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484DAC" w14:textId="77777777" w:rsidR="001A45DF" w:rsidRPr="00990FB6" w:rsidRDefault="001A45DF" w:rsidP="00B15F7D">
      <w:pPr>
        <w:tabs>
          <w:tab w:val="left" w:pos="4280"/>
        </w:tabs>
        <w:ind w:left="4248"/>
        <w:jc w:val="both"/>
        <w:rPr>
          <w:sz w:val="22"/>
          <w:szCs w:val="22"/>
        </w:rPr>
      </w:pPr>
    </w:p>
    <w:p w14:paraId="070C526E" w14:textId="002F5D48" w:rsidR="002C22FB" w:rsidRPr="00990FB6" w:rsidRDefault="002C22FB" w:rsidP="00B15F7D">
      <w:pPr>
        <w:pStyle w:val="Ttulo7"/>
        <w:tabs>
          <w:tab w:val="clear" w:pos="0"/>
          <w:tab w:val="left" w:pos="4280"/>
        </w:tabs>
        <w:ind w:left="4248"/>
        <w:jc w:val="both"/>
        <w:rPr>
          <w:rFonts w:ascii="Times New Roman" w:hAnsi="Times New Roman"/>
          <w:bCs w:val="0"/>
          <w:sz w:val="22"/>
          <w:szCs w:val="22"/>
          <w:u w:val="none"/>
          <w:lang w:val="es-ES_tradnl"/>
        </w:rPr>
      </w:pPr>
      <w:r w:rsidRPr="00990FB6">
        <w:rPr>
          <w:rFonts w:ascii="Times New Roman" w:hAnsi="Times New Roman"/>
          <w:bCs w:val="0"/>
          <w:sz w:val="22"/>
          <w:szCs w:val="22"/>
          <w:u w:val="none"/>
          <w:lang w:val="es-ES_tradnl"/>
        </w:rPr>
        <w:t xml:space="preserve">San José, </w:t>
      </w:r>
      <w:r w:rsidR="00EA4782" w:rsidRPr="00990FB6">
        <w:rPr>
          <w:rFonts w:ascii="Times New Roman" w:hAnsi="Times New Roman"/>
          <w:bCs w:val="0"/>
          <w:sz w:val="22"/>
          <w:szCs w:val="22"/>
          <w:u w:val="none"/>
          <w:lang w:val="es-ES_tradnl"/>
        </w:rPr>
        <w:t>15</w:t>
      </w:r>
      <w:r w:rsidRPr="00990FB6">
        <w:rPr>
          <w:rFonts w:ascii="Times New Roman" w:hAnsi="Times New Roman"/>
          <w:bCs w:val="0"/>
          <w:sz w:val="22"/>
          <w:szCs w:val="22"/>
          <w:u w:val="none"/>
          <w:lang w:val="es-ES_tradnl"/>
        </w:rPr>
        <w:t xml:space="preserve"> de</w:t>
      </w:r>
      <w:r w:rsidR="001A4268" w:rsidRPr="00990FB6">
        <w:rPr>
          <w:rFonts w:ascii="Times New Roman" w:hAnsi="Times New Roman"/>
          <w:bCs w:val="0"/>
          <w:sz w:val="22"/>
          <w:szCs w:val="22"/>
          <w:u w:val="none"/>
          <w:lang w:val="es-ES_tradnl"/>
        </w:rPr>
        <w:t xml:space="preserve"> </w:t>
      </w:r>
      <w:r w:rsidR="00EA4782" w:rsidRPr="00990FB6">
        <w:rPr>
          <w:rFonts w:ascii="Times New Roman" w:hAnsi="Times New Roman"/>
          <w:bCs w:val="0"/>
          <w:sz w:val="22"/>
          <w:szCs w:val="22"/>
          <w:u w:val="none"/>
          <w:lang w:val="es-ES_tradnl"/>
        </w:rPr>
        <w:t>junio</w:t>
      </w:r>
      <w:r w:rsidRPr="00990FB6">
        <w:rPr>
          <w:rFonts w:ascii="Times New Roman" w:hAnsi="Times New Roman"/>
          <w:bCs w:val="0"/>
          <w:sz w:val="22"/>
          <w:szCs w:val="22"/>
          <w:u w:val="none"/>
          <w:lang w:val="es-ES_tradnl"/>
        </w:rPr>
        <w:t xml:space="preserve"> de 202</w:t>
      </w:r>
      <w:r w:rsidR="002767E7" w:rsidRPr="00990FB6">
        <w:rPr>
          <w:rFonts w:ascii="Times New Roman" w:hAnsi="Times New Roman"/>
          <w:bCs w:val="0"/>
          <w:sz w:val="22"/>
          <w:szCs w:val="22"/>
          <w:u w:val="none"/>
          <w:lang w:val="es-ES_tradnl"/>
        </w:rPr>
        <w:t>3</w:t>
      </w:r>
    </w:p>
    <w:p w14:paraId="7EC2F5B0" w14:textId="25DCE32E" w:rsidR="002C22FB" w:rsidRPr="00990FB6" w:rsidRDefault="002C22FB" w:rsidP="00B15F7D">
      <w:pPr>
        <w:pStyle w:val="Ttulo7"/>
        <w:tabs>
          <w:tab w:val="clear" w:pos="0"/>
          <w:tab w:val="left" w:pos="4280"/>
        </w:tabs>
        <w:ind w:left="4248"/>
        <w:jc w:val="both"/>
        <w:rPr>
          <w:rFonts w:ascii="Times New Roman" w:hAnsi="Times New Roman"/>
          <w:sz w:val="22"/>
          <w:szCs w:val="22"/>
          <w:u w:val="none"/>
          <w:lang w:val="es-ES_tradnl"/>
        </w:rPr>
      </w:pPr>
      <w:proofErr w:type="spellStart"/>
      <w:r w:rsidRPr="00990FB6">
        <w:rPr>
          <w:rFonts w:ascii="Times New Roman" w:hAnsi="Times New Roman"/>
          <w:sz w:val="22"/>
          <w:szCs w:val="22"/>
          <w:u w:val="none"/>
          <w:lang w:val="es-ES_tradnl"/>
        </w:rPr>
        <w:t>N°</w:t>
      </w:r>
      <w:proofErr w:type="spellEnd"/>
      <w:r w:rsidRPr="00990FB6">
        <w:rPr>
          <w:rFonts w:ascii="Times New Roman" w:hAnsi="Times New Roman"/>
          <w:sz w:val="22"/>
          <w:szCs w:val="22"/>
          <w:u w:val="none"/>
          <w:lang w:val="es-ES_tradnl"/>
        </w:rPr>
        <w:t xml:space="preserve"> </w:t>
      </w:r>
      <w:r w:rsidR="00EA4782" w:rsidRPr="00990FB6">
        <w:rPr>
          <w:rFonts w:ascii="Times New Roman" w:hAnsi="Times New Roman"/>
          <w:sz w:val="22"/>
          <w:szCs w:val="22"/>
          <w:u w:val="none"/>
          <w:lang w:val="es-ES_tradnl"/>
        </w:rPr>
        <w:t>530</w:t>
      </w:r>
      <w:r w:rsidR="00B85515">
        <w:rPr>
          <w:rFonts w:ascii="Times New Roman" w:hAnsi="Times New Roman"/>
          <w:sz w:val="22"/>
          <w:szCs w:val="22"/>
          <w:u w:val="none"/>
          <w:lang w:val="es-ES_tradnl"/>
        </w:rPr>
        <w:t>7</w:t>
      </w:r>
      <w:r w:rsidRPr="00990FB6">
        <w:rPr>
          <w:rFonts w:ascii="Times New Roman" w:hAnsi="Times New Roman"/>
          <w:sz w:val="22"/>
          <w:szCs w:val="22"/>
          <w:u w:val="none"/>
          <w:lang w:val="es-ES_tradnl"/>
        </w:rPr>
        <w:t>-202</w:t>
      </w:r>
      <w:r w:rsidR="002767E7" w:rsidRPr="00990FB6">
        <w:rPr>
          <w:rFonts w:ascii="Times New Roman" w:hAnsi="Times New Roman"/>
          <w:sz w:val="22"/>
          <w:szCs w:val="22"/>
          <w:u w:val="none"/>
          <w:lang w:val="es-ES_tradnl"/>
        </w:rPr>
        <w:t>3</w:t>
      </w:r>
    </w:p>
    <w:p w14:paraId="0FE16748" w14:textId="4850676B" w:rsidR="002C22FB" w:rsidRPr="00990FB6" w:rsidRDefault="002C22FB" w:rsidP="00B15F7D">
      <w:pPr>
        <w:pStyle w:val="Ttulo7"/>
        <w:tabs>
          <w:tab w:val="clear" w:pos="0"/>
          <w:tab w:val="left" w:pos="4280"/>
        </w:tabs>
        <w:ind w:left="4248"/>
        <w:jc w:val="both"/>
        <w:rPr>
          <w:rFonts w:ascii="Times New Roman" w:hAnsi="Times New Roman"/>
          <w:sz w:val="22"/>
          <w:szCs w:val="22"/>
          <w:u w:val="none"/>
          <w:lang w:val="es-CR"/>
        </w:rPr>
      </w:pPr>
      <w:r w:rsidRPr="00990FB6">
        <w:rPr>
          <w:rFonts w:ascii="Times New Roman" w:hAnsi="Times New Roman"/>
          <w:sz w:val="22"/>
          <w:szCs w:val="22"/>
          <w:u w:val="none"/>
          <w:lang w:val="es-CR"/>
        </w:rPr>
        <w:t>Al contestar refiérase a este # de oficio</w:t>
      </w:r>
    </w:p>
    <w:p w14:paraId="256CD5E6" w14:textId="77777777" w:rsidR="00073B4F" w:rsidRPr="00990FB6" w:rsidRDefault="00073B4F" w:rsidP="00B15F7D">
      <w:pPr>
        <w:jc w:val="both"/>
        <w:rPr>
          <w:rFonts w:eastAsia="Arial Unicode MS"/>
          <w:b/>
          <w:bCs/>
          <w:kern w:val="1"/>
          <w:sz w:val="22"/>
          <w:szCs w:val="22"/>
          <w:lang w:val="es-CR" w:eastAsia="hi-IN" w:bidi="hi-IN"/>
        </w:rPr>
      </w:pPr>
    </w:p>
    <w:p w14:paraId="6DF04872" w14:textId="77777777" w:rsidR="00377DF9" w:rsidRPr="00377DF9" w:rsidRDefault="00377DF9" w:rsidP="00377DF9">
      <w:pPr>
        <w:jc w:val="both"/>
        <w:rPr>
          <w:b/>
          <w:bCs/>
          <w:sz w:val="22"/>
          <w:szCs w:val="22"/>
          <w:lang w:eastAsia="es-ES"/>
        </w:rPr>
      </w:pPr>
      <w:r w:rsidRPr="00377DF9">
        <w:rPr>
          <w:b/>
          <w:bCs/>
          <w:sz w:val="22"/>
          <w:szCs w:val="22"/>
          <w:lang w:eastAsia="es-ES"/>
        </w:rPr>
        <w:t>Señora</w:t>
      </w:r>
    </w:p>
    <w:p w14:paraId="361841D0" w14:textId="77777777" w:rsidR="00377DF9" w:rsidRPr="00377DF9" w:rsidRDefault="00377DF9" w:rsidP="00377DF9">
      <w:pPr>
        <w:jc w:val="both"/>
        <w:rPr>
          <w:b/>
          <w:bCs/>
          <w:sz w:val="22"/>
          <w:szCs w:val="22"/>
          <w:lang w:eastAsia="es-ES"/>
        </w:rPr>
      </w:pPr>
      <w:r w:rsidRPr="00377DF9">
        <w:rPr>
          <w:b/>
          <w:bCs/>
          <w:sz w:val="22"/>
          <w:szCs w:val="22"/>
          <w:lang w:eastAsia="es-ES"/>
        </w:rPr>
        <w:t>Licda. Nacira Valverde Bermúdez</w:t>
      </w:r>
    </w:p>
    <w:p w14:paraId="5BA1A0E7" w14:textId="77777777" w:rsidR="00377DF9" w:rsidRPr="00377DF9" w:rsidRDefault="00377DF9" w:rsidP="00377DF9">
      <w:pPr>
        <w:jc w:val="both"/>
        <w:rPr>
          <w:b/>
          <w:bCs/>
          <w:sz w:val="22"/>
          <w:szCs w:val="22"/>
          <w:lang w:eastAsia="es-ES"/>
        </w:rPr>
      </w:pPr>
      <w:r w:rsidRPr="00377DF9">
        <w:rPr>
          <w:b/>
          <w:bCs/>
          <w:sz w:val="22"/>
          <w:szCs w:val="22"/>
          <w:lang w:eastAsia="es-ES"/>
        </w:rPr>
        <w:t>Directora de Planificación</w:t>
      </w:r>
    </w:p>
    <w:p w14:paraId="62A69DAD" w14:textId="77777777" w:rsidR="00377DF9" w:rsidRPr="00377DF9" w:rsidRDefault="00377DF9" w:rsidP="00377DF9">
      <w:pPr>
        <w:jc w:val="both"/>
        <w:rPr>
          <w:b/>
          <w:bCs/>
          <w:sz w:val="22"/>
          <w:szCs w:val="22"/>
          <w:lang w:eastAsia="es-ES"/>
        </w:rPr>
      </w:pPr>
    </w:p>
    <w:p w14:paraId="42517478" w14:textId="54249B8E" w:rsidR="00E622A9" w:rsidRDefault="00377DF9" w:rsidP="00377DF9">
      <w:pPr>
        <w:jc w:val="both"/>
        <w:rPr>
          <w:b/>
          <w:bCs/>
          <w:sz w:val="22"/>
          <w:szCs w:val="22"/>
          <w:lang w:eastAsia="es-ES"/>
        </w:rPr>
      </w:pPr>
      <w:r w:rsidRPr="00377DF9">
        <w:rPr>
          <w:b/>
          <w:bCs/>
          <w:sz w:val="22"/>
          <w:szCs w:val="22"/>
          <w:lang w:eastAsia="es-ES"/>
        </w:rPr>
        <w:t>Estimada señora:</w:t>
      </w:r>
    </w:p>
    <w:p w14:paraId="1B708269" w14:textId="77777777" w:rsidR="00377DF9" w:rsidRPr="00990FB6" w:rsidRDefault="00377DF9" w:rsidP="00377DF9">
      <w:pPr>
        <w:jc w:val="both"/>
        <w:rPr>
          <w:rFonts w:eastAsia="Arial Unicode MS"/>
          <w:b/>
          <w:bCs/>
          <w:kern w:val="1"/>
          <w:sz w:val="22"/>
          <w:szCs w:val="22"/>
          <w:lang w:val="es-CR" w:eastAsia="hi-IN" w:bidi="hi-IN"/>
        </w:rPr>
      </w:pPr>
    </w:p>
    <w:p w14:paraId="1BFB6EAF" w14:textId="77777777" w:rsidR="002C22FB" w:rsidRPr="00990FB6" w:rsidRDefault="002C22FB" w:rsidP="00B15F7D">
      <w:pPr>
        <w:jc w:val="both"/>
        <w:rPr>
          <w:b/>
          <w:bCs/>
          <w:sz w:val="22"/>
          <w:szCs w:val="22"/>
          <w:lang w:val="es-CR"/>
        </w:rPr>
      </w:pPr>
    </w:p>
    <w:p w14:paraId="17D1E97F" w14:textId="6C58AAA4" w:rsidR="002C22FB" w:rsidRPr="00990FB6" w:rsidRDefault="00377DF9" w:rsidP="00B15F7D">
      <w:pPr>
        <w:ind w:firstLine="708"/>
        <w:jc w:val="both"/>
        <w:rPr>
          <w:sz w:val="22"/>
          <w:szCs w:val="22"/>
        </w:rPr>
      </w:pPr>
      <w:r>
        <w:rPr>
          <w:sz w:val="22"/>
          <w:szCs w:val="22"/>
        </w:rPr>
        <w:t>Para su estimable conocimiento y lo que corresponda</w:t>
      </w:r>
      <w:r w:rsidR="002C22FB" w:rsidRPr="00990FB6">
        <w:rPr>
          <w:sz w:val="22"/>
          <w:szCs w:val="22"/>
        </w:rPr>
        <w:t xml:space="preserve">, le transcribo el acuerdo tomado por la Corte Plena, en </w:t>
      </w:r>
      <w:r w:rsidR="002A5832" w:rsidRPr="00990FB6">
        <w:rPr>
          <w:sz w:val="22"/>
          <w:szCs w:val="22"/>
        </w:rPr>
        <w:t xml:space="preserve">sesión </w:t>
      </w:r>
      <w:proofErr w:type="spellStart"/>
      <w:r w:rsidR="002A5832" w:rsidRPr="00990FB6">
        <w:rPr>
          <w:b/>
          <w:bCs/>
          <w:sz w:val="22"/>
          <w:szCs w:val="22"/>
        </w:rPr>
        <w:t>N°</w:t>
      </w:r>
      <w:proofErr w:type="spellEnd"/>
      <w:r w:rsidR="002A5832" w:rsidRPr="00990FB6">
        <w:rPr>
          <w:b/>
          <w:bCs/>
          <w:sz w:val="22"/>
          <w:szCs w:val="22"/>
        </w:rPr>
        <w:t xml:space="preserve"> </w:t>
      </w:r>
      <w:r w:rsidR="00B15F7D" w:rsidRPr="00990FB6">
        <w:rPr>
          <w:b/>
          <w:bCs/>
          <w:sz w:val="22"/>
          <w:szCs w:val="22"/>
        </w:rPr>
        <w:t>24</w:t>
      </w:r>
      <w:r w:rsidR="002A5832" w:rsidRPr="00990FB6">
        <w:rPr>
          <w:b/>
          <w:bCs/>
          <w:sz w:val="22"/>
          <w:szCs w:val="22"/>
        </w:rPr>
        <w:t>-</w:t>
      </w:r>
      <w:r w:rsidR="00B15F7D" w:rsidRPr="00990FB6">
        <w:rPr>
          <w:b/>
          <w:bCs/>
          <w:sz w:val="22"/>
          <w:szCs w:val="22"/>
        </w:rPr>
        <w:t>2023</w:t>
      </w:r>
      <w:r w:rsidR="004934A1" w:rsidRPr="00990FB6">
        <w:rPr>
          <w:b/>
          <w:bCs/>
          <w:sz w:val="22"/>
          <w:szCs w:val="22"/>
        </w:rPr>
        <w:t xml:space="preserve"> </w:t>
      </w:r>
      <w:r w:rsidR="002A5832" w:rsidRPr="00990FB6">
        <w:rPr>
          <w:bCs/>
          <w:sz w:val="22"/>
          <w:szCs w:val="22"/>
        </w:rPr>
        <w:t>c</w:t>
      </w:r>
      <w:r w:rsidR="002A5832" w:rsidRPr="00990FB6">
        <w:rPr>
          <w:sz w:val="22"/>
          <w:szCs w:val="22"/>
        </w:rPr>
        <w:t>elebrada el</w:t>
      </w:r>
      <w:r w:rsidR="00D577EB" w:rsidRPr="00990FB6">
        <w:rPr>
          <w:sz w:val="22"/>
          <w:szCs w:val="22"/>
        </w:rPr>
        <w:t xml:space="preserve"> </w:t>
      </w:r>
      <w:r w:rsidR="00B15F7D" w:rsidRPr="00990FB6">
        <w:rPr>
          <w:b/>
          <w:sz w:val="22"/>
          <w:szCs w:val="22"/>
        </w:rPr>
        <w:t>30</w:t>
      </w:r>
      <w:r w:rsidR="00D06938" w:rsidRPr="00990FB6">
        <w:rPr>
          <w:b/>
          <w:sz w:val="22"/>
          <w:szCs w:val="22"/>
        </w:rPr>
        <w:t xml:space="preserve"> </w:t>
      </w:r>
      <w:r w:rsidR="002A5832" w:rsidRPr="00990FB6">
        <w:rPr>
          <w:b/>
          <w:sz w:val="22"/>
          <w:szCs w:val="22"/>
        </w:rPr>
        <w:t>de</w:t>
      </w:r>
      <w:r w:rsidR="005E341F" w:rsidRPr="00990FB6">
        <w:rPr>
          <w:b/>
          <w:sz w:val="22"/>
          <w:szCs w:val="22"/>
        </w:rPr>
        <w:t xml:space="preserve"> </w:t>
      </w:r>
      <w:r w:rsidR="00B15F7D" w:rsidRPr="00990FB6">
        <w:rPr>
          <w:b/>
          <w:sz w:val="22"/>
          <w:szCs w:val="22"/>
        </w:rPr>
        <w:t>mayo</w:t>
      </w:r>
      <w:r w:rsidR="002A5832" w:rsidRPr="00990FB6">
        <w:rPr>
          <w:b/>
          <w:bCs/>
          <w:sz w:val="22"/>
          <w:szCs w:val="22"/>
        </w:rPr>
        <w:t xml:space="preserve"> de</w:t>
      </w:r>
      <w:r w:rsidR="00B004F7" w:rsidRPr="00990FB6">
        <w:rPr>
          <w:b/>
          <w:bCs/>
          <w:sz w:val="22"/>
          <w:szCs w:val="22"/>
        </w:rPr>
        <w:t xml:space="preserve"> </w:t>
      </w:r>
      <w:r w:rsidR="000301C9" w:rsidRPr="00990FB6">
        <w:rPr>
          <w:b/>
          <w:bCs/>
          <w:sz w:val="22"/>
          <w:szCs w:val="22"/>
        </w:rPr>
        <w:t>202</w:t>
      </w:r>
      <w:r w:rsidR="00423F7E" w:rsidRPr="00990FB6">
        <w:rPr>
          <w:b/>
          <w:bCs/>
          <w:sz w:val="22"/>
          <w:szCs w:val="22"/>
        </w:rPr>
        <w:t>3</w:t>
      </w:r>
      <w:r w:rsidR="002A5832" w:rsidRPr="00990FB6">
        <w:rPr>
          <w:b/>
          <w:bCs/>
          <w:sz w:val="22"/>
          <w:szCs w:val="22"/>
        </w:rPr>
        <w:t>,</w:t>
      </w:r>
      <w:r w:rsidR="002A5832" w:rsidRPr="00990FB6">
        <w:rPr>
          <w:sz w:val="22"/>
          <w:szCs w:val="22"/>
        </w:rPr>
        <w:t xml:space="preserve"> que literalmente dice:</w:t>
      </w:r>
    </w:p>
    <w:p w14:paraId="6AF77045" w14:textId="77777777" w:rsidR="002C22FB" w:rsidRPr="00990FB6" w:rsidRDefault="002C22FB" w:rsidP="00B15F7D">
      <w:pPr>
        <w:ind w:firstLine="15"/>
        <w:jc w:val="both"/>
        <w:rPr>
          <w:sz w:val="22"/>
          <w:szCs w:val="22"/>
        </w:rPr>
      </w:pPr>
    </w:p>
    <w:p w14:paraId="597248F6" w14:textId="54453B3B" w:rsidR="00B15F7D" w:rsidRPr="00990FB6" w:rsidRDefault="002C22FB" w:rsidP="00F24C56">
      <w:pPr>
        <w:widowControl w:val="0"/>
        <w:autoSpaceDE w:val="0"/>
        <w:autoSpaceDN w:val="0"/>
        <w:adjustRightInd w:val="0"/>
        <w:contextualSpacing/>
        <w:jc w:val="center"/>
        <w:rPr>
          <w:b/>
          <w:bCs/>
          <w:sz w:val="22"/>
          <w:szCs w:val="22"/>
          <w:u w:val="single"/>
          <w:lang w:val="es-CR"/>
        </w:rPr>
      </w:pPr>
      <w:r w:rsidRPr="00990FB6">
        <w:rPr>
          <w:b/>
          <w:bCs/>
          <w:sz w:val="22"/>
          <w:szCs w:val="22"/>
        </w:rPr>
        <w:t>“</w:t>
      </w:r>
      <w:bookmarkStart w:id="0" w:name="_Toc135990657"/>
      <w:bookmarkStart w:id="1" w:name="_Toc136269048"/>
      <w:bookmarkStart w:id="2" w:name="_Hlk135829700"/>
      <w:r w:rsidR="00B15F7D" w:rsidRPr="00990FB6">
        <w:rPr>
          <w:b/>
          <w:bCs/>
          <w:sz w:val="22"/>
          <w:szCs w:val="22"/>
          <w:u w:val="single"/>
          <w:lang w:val="es-CR"/>
        </w:rPr>
        <w:t xml:space="preserve">ARTÍCULO </w:t>
      </w:r>
      <w:bookmarkEnd w:id="0"/>
      <w:bookmarkEnd w:id="1"/>
      <w:r w:rsidR="00B15F7D" w:rsidRPr="00990FB6">
        <w:rPr>
          <w:b/>
          <w:bCs/>
          <w:sz w:val="22"/>
          <w:szCs w:val="22"/>
          <w:u w:val="single"/>
          <w:lang w:val="es-CR"/>
        </w:rPr>
        <w:t>ÚNICO</w:t>
      </w:r>
    </w:p>
    <w:p w14:paraId="7EFE21FE" w14:textId="77777777" w:rsidR="00F24C56" w:rsidRPr="00990FB6" w:rsidRDefault="00F24C56" w:rsidP="00F24C56">
      <w:pPr>
        <w:widowControl w:val="0"/>
        <w:autoSpaceDE w:val="0"/>
        <w:autoSpaceDN w:val="0"/>
        <w:adjustRightInd w:val="0"/>
        <w:contextualSpacing/>
        <w:jc w:val="center"/>
        <w:rPr>
          <w:sz w:val="22"/>
          <w:szCs w:val="22"/>
          <w:lang w:val="es-CR"/>
        </w:rPr>
      </w:pPr>
    </w:p>
    <w:p w14:paraId="1065F6D0" w14:textId="32057A35" w:rsidR="00B15F7D" w:rsidRPr="00990FB6" w:rsidRDefault="00B15F7D" w:rsidP="00B15F7D">
      <w:pPr>
        <w:ind w:firstLine="708"/>
        <w:jc w:val="both"/>
        <w:rPr>
          <w:b/>
          <w:bCs/>
          <w:sz w:val="22"/>
          <w:szCs w:val="22"/>
          <w:lang w:val="es-CR"/>
        </w:rPr>
      </w:pPr>
      <w:r w:rsidRPr="00990FB6">
        <w:rPr>
          <w:b/>
          <w:bCs/>
          <w:sz w:val="22"/>
          <w:szCs w:val="22"/>
          <w:lang w:val="es-CR"/>
        </w:rPr>
        <w:t xml:space="preserve">Documento </w:t>
      </w:r>
      <w:proofErr w:type="spellStart"/>
      <w:r w:rsidRPr="00990FB6">
        <w:rPr>
          <w:b/>
          <w:bCs/>
          <w:sz w:val="22"/>
          <w:szCs w:val="22"/>
          <w:lang w:val="es-CR"/>
        </w:rPr>
        <w:t>N°</w:t>
      </w:r>
      <w:proofErr w:type="spellEnd"/>
      <w:r w:rsidRPr="00990FB6">
        <w:rPr>
          <w:b/>
          <w:bCs/>
          <w:sz w:val="22"/>
          <w:szCs w:val="22"/>
          <w:lang w:val="es-CR"/>
        </w:rPr>
        <w:t xml:space="preserve"> 9373-2016 / 10774-2022 / 1839-2023, 3946-2023, </w:t>
      </w:r>
      <w:r w:rsidRPr="00990FB6">
        <w:rPr>
          <w:b/>
          <w:bCs/>
          <w:sz w:val="22"/>
          <w:szCs w:val="22"/>
        </w:rPr>
        <w:t xml:space="preserve">3999-2023, </w:t>
      </w:r>
      <w:r w:rsidRPr="00990FB6">
        <w:rPr>
          <w:b/>
          <w:bCs/>
          <w:sz w:val="22"/>
          <w:szCs w:val="22"/>
          <w:lang w:val="es-CR"/>
        </w:rPr>
        <w:t xml:space="preserve">4188-2023, </w:t>
      </w:r>
      <w:r w:rsidRPr="00990FB6">
        <w:rPr>
          <w:b/>
          <w:bCs/>
          <w:sz w:val="22"/>
          <w:szCs w:val="22"/>
        </w:rPr>
        <w:t xml:space="preserve">4189-2023, </w:t>
      </w:r>
      <w:r w:rsidRPr="00990FB6">
        <w:rPr>
          <w:b/>
          <w:bCs/>
          <w:sz w:val="22"/>
          <w:szCs w:val="22"/>
          <w:lang w:val="es-CR"/>
        </w:rPr>
        <w:t xml:space="preserve">4192-2023, 4193-2023, 4196-2023, 4306-2023, 4307-2023, 4308-2023, 4329-2023, 4354-2023, 4426-2023, 4494-2023, 4502-2023, 4519-2023, </w:t>
      </w:r>
      <w:r w:rsidRPr="00990FB6">
        <w:rPr>
          <w:b/>
          <w:bCs/>
          <w:sz w:val="22"/>
          <w:szCs w:val="22"/>
        </w:rPr>
        <w:t xml:space="preserve">4529-2023, 4840-2023, 5155-2023, 5165-2023, </w:t>
      </w:r>
      <w:r w:rsidRPr="00990FB6">
        <w:rPr>
          <w:b/>
          <w:bCs/>
          <w:sz w:val="22"/>
          <w:szCs w:val="22"/>
          <w:lang w:val="es-CR"/>
        </w:rPr>
        <w:t xml:space="preserve">5270-2023, 5386-2023, 5367-2023, </w:t>
      </w:r>
      <w:r w:rsidRPr="00990FB6">
        <w:rPr>
          <w:b/>
          <w:bCs/>
          <w:sz w:val="22"/>
          <w:szCs w:val="22"/>
        </w:rPr>
        <w:t xml:space="preserve">5389-2023, 5404-2023, </w:t>
      </w:r>
      <w:r w:rsidRPr="00990FB6">
        <w:rPr>
          <w:b/>
          <w:bCs/>
          <w:sz w:val="22"/>
          <w:szCs w:val="22"/>
          <w:lang w:val="es-CR"/>
        </w:rPr>
        <w:t xml:space="preserve">5406-2023, </w:t>
      </w:r>
      <w:r w:rsidRPr="00990FB6">
        <w:rPr>
          <w:b/>
          <w:bCs/>
          <w:sz w:val="22"/>
          <w:szCs w:val="22"/>
        </w:rPr>
        <w:t>5436-2023</w:t>
      </w:r>
      <w:r w:rsidRPr="00990FB6">
        <w:rPr>
          <w:b/>
          <w:bCs/>
          <w:sz w:val="22"/>
          <w:szCs w:val="22"/>
          <w:lang w:val="es-CR"/>
        </w:rPr>
        <w:t>.</w:t>
      </w:r>
    </w:p>
    <w:p w14:paraId="172E10A8" w14:textId="77777777" w:rsidR="00F24C56" w:rsidRPr="00990FB6" w:rsidRDefault="00F24C56" w:rsidP="00B15F7D">
      <w:pPr>
        <w:ind w:firstLine="708"/>
        <w:jc w:val="both"/>
        <w:rPr>
          <w:b/>
          <w:bCs/>
          <w:sz w:val="22"/>
          <w:szCs w:val="22"/>
        </w:rPr>
      </w:pPr>
    </w:p>
    <w:p w14:paraId="32BA3D30" w14:textId="481A8B69" w:rsidR="00B15F7D" w:rsidRPr="00990FB6" w:rsidRDefault="00B15F7D" w:rsidP="00B15F7D">
      <w:pPr>
        <w:ind w:firstLine="708"/>
        <w:jc w:val="both"/>
        <w:rPr>
          <w:sz w:val="22"/>
          <w:szCs w:val="22"/>
        </w:rPr>
      </w:pPr>
      <w:r w:rsidRPr="00990FB6">
        <w:rPr>
          <w:sz w:val="22"/>
          <w:szCs w:val="22"/>
        </w:rPr>
        <w:t xml:space="preserve">El Consejo Superior, en sesión </w:t>
      </w:r>
      <w:proofErr w:type="spellStart"/>
      <w:r w:rsidRPr="00990FB6">
        <w:rPr>
          <w:sz w:val="22"/>
          <w:szCs w:val="22"/>
        </w:rPr>
        <w:t>N°</w:t>
      </w:r>
      <w:proofErr w:type="spellEnd"/>
      <w:r w:rsidRPr="00990FB6">
        <w:rPr>
          <w:sz w:val="22"/>
          <w:szCs w:val="22"/>
        </w:rPr>
        <w:t xml:space="preserve"> 103-2022 celebrada el 24 de noviembre de 2022</w:t>
      </w:r>
      <w:r w:rsidRPr="00990FB6">
        <w:rPr>
          <w:b/>
          <w:bCs/>
          <w:sz w:val="22"/>
          <w:szCs w:val="22"/>
        </w:rPr>
        <w:t>,</w:t>
      </w:r>
      <w:r w:rsidRPr="00990FB6">
        <w:rPr>
          <w:sz w:val="22"/>
          <w:szCs w:val="22"/>
        </w:rPr>
        <w:t xml:space="preserve"> artículo XIII dispuso en lo que interesa, lo siguiente:</w:t>
      </w:r>
    </w:p>
    <w:p w14:paraId="3D63100A" w14:textId="77777777" w:rsidR="00F24C56" w:rsidRPr="00990FB6" w:rsidRDefault="00F24C56" w:rsidP="00B15F7D">
      <w:pPr>
        <w:ind w:firstLine="708"/>
        <w:jc w:val="both"/>
        <w:rPr>
          <w:sz w:val="22"/>
          <w:szCs w:val="22"/>
        </w:rPr>
      </w:pPr>
    </w:p>
    <w:p w14:paraId="2DCA3A0C" w14:textId="77777777" w:rsidR="00B15F7D" w:rsidRPr="00990FB6" w:rsidRDefault="00B15F7D" w:rsidP="00B15F7D">
      <w:pPr>
        <w:ind w:firstLine="708"/>
        <w:jc w:val="both"/>
        <w:rPr>
          <w:sz w:val="22"/>
          <w:szCs w:val="22"/>
        </w:rPr>
      </w:pPr>
      <w:r w:rsidRPr="00990FB6">
        <w:rPr>
          <w:sz w:val="22"/>
          <w:szCs w:val="22"/>
        </w:rPr>
        <w:t>“(…)</w:t>
      </w:r>
    </w:p>
    <w:p w14:paraId="4221AF82" w14:textId="77777777" w:rsidR="00B15F7D" w:rsidRPr="00990FB6" w:rsidRDefault="00B15F7D" w:rsidP="00B15F7D">
      <w:pPr>
        <w:ind w:firstLine="708"/>
        <w:jc w:val="both"/>
        <w:rPr>
          <w:bCs/>
          <w:sz w:val="22"/>
          <w:szCs w:val="22"/>
          <w:highlight w:val="yellow"/>
          <w:lang w:val="es-CR"/>
        </w:rPr>
      </w:pPr>
    </w:p>
    <w:p w14:paraId="2156DD34" w14:textId="77777777" w:rsidR="00B15F7D" w:rsidRPr="00990FB6" w:rsidRDefault="00B15F7D" w:rsidP="00B15F7D">
      <w:pPr>
        <w:ind w:left="851" w:right="616" w:firstLine="708"/>
        <w:jc w:val="both"/>
        <w:rPr>
          <w:sz w:val="22"/>
          <w:szCs w:val="22"/>
        </w:rPr>
      </w:pPr>
      <w:r w:rsidRPr="00990FB6">
        <w:rPr>
          <w:b/>
          <w:sz w:val="22"/>
          <w:szCs w:val="22"/>
        </w:rPr>
        <w:t xml:space="preserve">Se acordó: 1.) </w:t>
      </w:r>
      <w:r w:rsidRPr="00990FB6">
        <w:rPr>
          <w:bCs/>
          <w:sz w:val="22"/>
          <w:szCs w:val="22"/>
        </w:rPr>
        <w:t xml:space="preserve">Tener por conocido el oficio N°1079-PLA-PP-2022 del 11 de noviembre de 2022, suscrito por el licenciado Minor Alvarado Chaves, Jefe del Subproceso Formulación de Presupuesto y Portafolio de Proyectos Institucionales y el máster Erick Antonio Mora Leiva, Jefe del Proceso de Planeación y Evaluación, ambos de la Dirección de Planificación. </w:t>
      </w:r>
      <w:r w:rsidRPr="00990FB6">
        <w:rPr>
          <w:b/>
          <w:sz w:val="22"/>
          <w:szCs w:val="22"/>
        </w:rPr>
        <w:t>2.)</w:t>
      </w:r>
      <w:r w:rsidRPr="00990FB6">
        <w:rPr>
          <w:bCs/>
          <w:sz w:val="22"/>
          <w:szCs w:val="22"/>
        </w:rPr>
        <w:t xml:space="preserve"> Indicar a los Centros de Responsabilidad del Poder Judicial, que, para la formulación presupuestaria del 2024, el </w:t>
      </w:r>
      <w:r w:rsidRPr="00990FB6">
        <w:rPr>
          <w:bCs/>
          <w:sz w:val="22"/>
          <w:szCs w:val="22"/>
          <w:lang w:val="es-CR"/>
        </w:rPr>
        <w:t xml:space="preserve">presupuesto máximo autorizado deberá ser igual al que finalmente quedó aprobado para el 2023, es decir, con cero crecimiento. </w:t>
      </w:r>
      <w:r w:rsidRPr="00990FB6">
        <w:rPr>
          <w:b/>
          <w:sz w:val="22"/>
          <w:szCs w:val="22"/>
          <w:lang w:val="es-CR"/>
        </w:rPr>
        <w:t>Se declara este acuerdo firme.</w:t>
      </w:r>
      <w:r w:rsidRPr="00990FB6">
        <w:rPr>
          <w:sz w:val="22"/>
          <w:szCs w:val="22"/>
        </w:rPr>
        <w:t>”</w:t>
      </w:r>
    </w:p>
    <w:p w14:paraId="1C70D89A" w14:textId="77777777" w:rsidR="00B15F7D" w:rsidRPr="00990FB6" w:rsidRDefault="00B15F7D" w:rsidP="00B15F7D">
      <w:pPr>
        <w:ind w:left="851" w:right="616" w:firstLine="708"/>
        <w:jc w:val="both"/>
        <w:rPr>
          <w:sz w:val="22"/>
          <w:szCs w:val="22"/>
        </w:rPr>
      </w:pPr>
    </w:p>
    <w:p w14:paraId="15F69E89" w14:textId="53BCAC54" w:rsidR="00B15F7D" w:rsidRDefault="00B15F7D" w:rsidP="00990FB6">
      <w:pPr>
        <w:contextualSpacing/>
        <w:jc w:val="center"/>
        <w:rPr>
          <w:bCs/>
          <w:sz w:val="22"/>
          <w:szCs w:val="22"/>
        </w:rPr>
      </w:pPr>
      <w:r w:rsidRPr="00990FB6">
        <w:rPr>
          <w:bCs/>
          <w:sz w:val="22"/>
          <w:szCs w:val="22"/>
        </w:rPr>
        <w:t xml:space="preserve">- 0 </w:t>
      </w:r>
      <w:r w:rsidR="00990FB6">
        <w:rPr>
          <w:bCs/>
          <w:sz w:val="22"/>
          <w:szCs w:val="22"/>
        </w:rPr>
        <w:t>–</w:t>
      </w:r>
    </w:p>
    <w:p w14:paraId="65E0804E" w14:textId="77777777" w:rsidR="00990FB6" w:rsidRPr="00990FB6" w:rsidRDefault="00990FB6" w:rsidP="00990FB6">
      <w:pPr>
        <w:contextualSpacing/>
        <w:jc w:val="center"/>
        <w:rPr>
          <w:bCs/>
          <w:color w:val="000000"/>
          <w:sz w:val="22"/>
          <w:szCs w:val="22"/>
          <w:lang w:val="es-CR"/>
        </w:rPr>
      </w:pPr>
    </w:p>
    <w:p w14:paraId="312C9F13" w14:textId="4F9C4ACA" w:rsidR="00B15F7D" w:rsidRPr="00990FB6" w:rsidRDefault="00B15F7D" w:rsidP="00B15F7D">
      <w:pPr>
        <w:ind w:firstLine="709"/>
        <w:jc w:val="both"/>
        <w:rPr>
          <w:sz w:val="22"/>
          <w:szCs w:val="22"/>
          <w:lang w:eastAsia="es-ES"/>
        </w:rPr>
      </w:pPr>
      <w:r w:rsidRPr="00990FB6">
        <w:rPr>
          <w:sz w:val="22"/>
          <w:szCs w:val="22"/>
          <w:lang w:eastAsia="es-ES"/>
        </w:rPr>
        <w:t xml:space="preserve">El Consejo Superior en sesión </w:t>
      </w:r>
      <w:proofErr w:type="spellStart"/>
      <w:r w:rsidRPr="00990FB6">
        <w:rPr>
          <w:sz w:val="22"/>
          <w:szCs w:val="22"/>
          <w:lang w:eastAsia="es-ES"/>
        </w:rPr>
        <w:t>N°</w:t>
      </w:r>
      <w:proofErr w:type="spellEnd"/>
      <w:r w:rsidRPr="00990FB6">
        <w:rPr>
          <w:sz w:val="22"/>
          <w:szCs w:val="22"/>
          <w:lang w:eastAsia="es-ES"/>
        </w:rPr>
        <w:t xml:space="preserve"> 106-2022 celebrada el 01 de diciembre del 2022, artículo LII, se dispuso, aprobar el informe </w:t>
      </w:r>
      <w:proofErr w:type="spellStart"/>
      <w:r w:rsidRPr="00990FB6">
        <w:rPr>
          <w:sz w:val="22"/>
          <w:szCs w:val="22"/>
          <w:lang w:eastAsia="es-ES"/>
        </w:rPr>
        <w:t>N°</w:t>
      </w:r>
      <w:proofErr w:type="spellEnd"/>
      <w:r w:rsidRPr="00990FB6">
        <w:rPr>
          <w:sz w:val="22"/>
          <w:szCs w:val="22"/>
          <w:lang w:eastAsia="es-ES"/>
        </w:rPr>
        <w:t xml:space="preserve"> 1104-PLA-PP-2022, del 22 de noviembre de 2022 remitido por la licenciada Nacira Valverde Bermúdez, directora interina de Planificación, relacionado con las Directrices Técnicas para la Programación y Formulación del Anteproyecto de Presupuesto 2024.</w:t>
      </w:r>
    </w:p>
    <w:p w14:paraId="39EDF5D5" w14:textId="77777777" w:rsidR="00F65B2B" w:rsidRPr="00990FB6" w:rsidRDefault="00F65B2B" w:rsidP="00B15F7D">
      <w:pPr>
        <w:ind w:firstLine="709"/>
        <w:jc w:val="both"/>
        <w:rPr>
          <w:sz w:val="22"/>
          <w:szCs w:val="22"/>
          <w:lang w:val="es-CR" w:eastAsia="en-US"/>
        </w:rPr>
      </w:pPr>
    </w:p>
    <w:p w14:paraId="17DF6350" w14:textId="78FCCD09" w:rsidR="00B15F7D" w:rsidRPr="00990FB6" w:rsidRDefault="00B15F7D" w:rsidP="00B15F7D">
      <w:pPr>
        <w:widowControl w:val="0"/>
        <w:shd w:val="clear" w:color="auto" w:fill="FFFFFF"/>
        <w:suppressAutoHyphens w:val="0"/>
        <w:ind w:firstLine="709"/>
        <w:jc w:val="both"/>
        <w:rPr>
          <w:sz w:val="22"/>
          <w:szCs w:val="22"/>
          <w:bdr w:val="none" w:sz="0" w:space="0" w:color="auto" w:frame="1"/>
          <w:shd w:val="clear" w:color="auto" w:fill="FFFFFF"/>
          <w:lang w:eastAsia="es-ES"/>
        </w:rPr>
      </w:pPr>
      <w:r w:rsidRPr="00990FB6">
        <w:rPr>
          <w:bCs/>
          <w:sz w:val="22"/>
          <w:szCs w:val="22"/>
        </w:rPr>
        <w:t>El Consejo Superior e</w:t>
      </w:r>
      <w:r w:rsidRPr="00990FB6">
        <w:rPr>
          <w:bCs/>
          <w:sz w:val="22"/>
          <w:szCs w:val="22"/>
          <w:lang w:eastAsia="es-ES"/>
        </w:rPr>
        <w:t xml:space="preserve">n sesión </w:t>
      </w:r>
      <w:proofErr w:type="spellStart"/>
      <w:r w:rsidRPr="00990FB6">
        <w:rPr>
          <w:bCs/>
          <w:sz w:val="22"/>
          <w:szCs w:val="22"/>
          <w:lang w:eastAsia="es-ES"/>
        </w:rPr>
        <w:t>N°</w:t>
      </w:r>
      <w:proofErr w:type="spellEnd"/>
      <w:r w:rsidRPr="00990FB6">
        <w:rPr>
          <w:bCs/>
          <w:sz w:val="22"/>
          <w:szCs w:val="22"/>
          <w:lang w:eastAsia="es-ES"/>
        </w:rPr>
        <w:t xml:space="preserve"> 13-2023 celebrada el 16 de febrero de 2023, artículo XXXVII, </w:t>
      </w:r>
      <w:r w:rsidRPr="00990FB6">
        <w:rPr>
          <w:sz w:val="22"/>
          <w:szCs w:val="22"/>
          <w:lang w:eastAsia="es-ES"/>
        </w:rPr>
        <w:t>tomó</w:t>
      </w:r>
      <w:r w:rsidRPr="00990FB6">
        <w:rPr>
          <w:sz w:val="22"/>
          <w:szCs w:val="22"/>
          <w:bdr w:val="none" w:sz="0" w:space="0" w:color="auto" w:frame="1"/>
          <w:shd w:val="clear" w:color="auto" w:fill="FFFFFF"/>
          <w:lang w:eastAsia="es-ES"/>
        </w:rPr>
        <w:t xml:space="preserve"> el acuerdo que literalmente dice:</w:t>
      </w:r>
    </w:p>
    <w:p w14:paraId="1552B840" w14:textId="77777777" w:rsidR="00F65B2B" w:rsidRPr="00990FB6" w:rsidRDefault="00F65B2B" w:rsidP="00B15F7D">
      <w:pPr>
        <w:widowControl w:val="0"/>
        <w:shd w:val="clear" w:color="auto" w:fill="FFFFFF"/>
        <w:suppressAutoHyphens w:val="0"/>
        <w:ind w:firstLine="709"/>
        <w:jc w:val="both"/>
        <w:rPr>
          <w:bCs/>
          <w:sz w:val="22"/>
          <w:szCs w:val="22"/>
          <w:lang w:eastAsia="es-ES"/>
        </w:rPr>
      </w:pPr>
    </w:p>
    <w:p w14:paraId="6FF1AB82" w14:textId="77777777" w:rsidR="00B15F7D" w:rsidRPr="00990FB6" w:rsidRDefault="00B15F7D" w:rsidP="00B15F7D">
      <w:pPr>
        <w:tabs>
          <w:tab w:val="center" w:pos="4252"/>
          <w:tab w:val="right" w:pos="8504"/>
        </w:tabs>
        <w:suppressAutoHyphens w:val="0"/>
        <w:ind w:left="851" w:right="900" w:firstLine="709"/>
        <w:jc w:val="both"/>
        <w:rPr>
          <w:sz w:val="22"/>
          <w:szCs w:val="22"/>
          <w:lang w:val="es-CR" w:eastAsia="es-ES"/>
        </w:rPr>
      </w:pPr>
      <w:r w:rsidRPr="00990FB6">
        <w:rPr>
          <w:b/>
          <w:bCs/>
          <w:sz w:val="22"/>
          <w:szCs w:val="22"/>
        </w:rPr>
        <w:lastRenderedPageBreak/>
        <w:t>“</w:t>
      </w:r>
      <w:r w:rsidRPr="00990FB6">
        <w:rPr>
          <w:sz w:val="22"/>
          <w:szCs w:val="22"/>
          <w:lang w:val="es-CR" w:eastAsia="es-ES"/>
        </w:rPr>
        <w:t xml:space="preserve">En sesión </w:t>
      </w:r>
      <w:proofErr w:type="spellStart"/>
      <w:r w:rsidRPr="00990FB6">
        <w:rPr>
          <w:sz w:val="22"/>
          <w:szCs w:val="22"/>
          <w:lang w:val="es-CR" w:eastAsia="es-ES"/>
        </w:rPr>
        <w:t>N°</w:t>
      </w:r>
      <w:proofErr w:type="spellEnd"/>
      <w:r w:rsidRPr="00990FB6">
        <w:rPr>
          <w:sz w:val="22"/>
          <w:szCs w:val="22"/>
          <w:lang w:val="es-CR" w:eastAsia="es-ES"/>
        </w:rPr>
        <w:t xml:space="preserve"> 106-2022-2022 celebrada el 01 de diciembre del 2022, artículo LII, aprobar el informe </w:t>
      </w:r>
      <w:proofErr w:type="spellStart"/>
      <w:r w:rsidRPr="00990FB6">
        <w:rPr>
          <w:sz w:val="22"/>
          <w:szCs w:val="22"/>
          <w:lang w:val="es-CR" w:eastAsia="es-ES"/>
        </w:rPr>
        <w:t>N°</w:t>
      </w:r>
      <w:proofErr w:type="spellEnd"/>
      <w:r w:rsidRPr="00990FB6">
        <w:rPr>
          <w:sz w:val="22"/>
          <w:szCs w:val="22"/>
          <w:lang w:val="es-CR" w:eastAsia="es-ES"/>
        </w:rPr>
        <w:t xml:space="preserve"> 1104-PLA-PP-2022, del 22 de noviembre de 2022 remitido por la licenciada Nacira Valverde Bermúdez, Directora interina de Planificación, relacionado con las Directrices Técnicas para la Programación y Formulación del Anteproyecto de Presupuesto 2024.</w:t>
      </w:r>
    </w:p>
    <w:p w14:paraId="254D83F4" w14:textId="77777777" w:rsidR="00B15F7D" w:rsidRPr="00990FB6" w:rsidRDefault="00B15F7D" w:rsidP="00B15F7D">
      <w:pPr>
        <w:tabs>
          <w:tab w:val="center" w:pos="4252"/>
          <w:tab w:val="right" w:pos="8504"/>
        </w:tabs>
        <w:suppressAutoHyphens w:val="0"/>
        <w:ind w:left="851" w:right="900" w:firstLine="709"/>
        <w:jc w:val="both"/>
        <w:rPr>
          <w:sz w:val="22"/>
          <w:szCs w:val="22"/>
          <w:u w:val="single"/>
          <w:lang w:val="es-CR" w:eastAsia="es-ES"/>
        </w:rPr>
      </w:pPr>
    </w:p>
    <w:p w14:paraId="29CBE682" w14:textId="77777777" w:rsidR="00B15F7D" w:rsidRPr="00990FB6" w:rsidRDefault="00B15F7D" w:rsidP="00B15F7D">
      <w:pPr>
        <w:suppressAutoHyphens w:val="0"/>
        <w:ind w:left="851" w:right="900" w:firstLine="709"/>
        <w:jc w:val="both"/>
        <w:rPr>
          <w:sz w:val="22"/>
          <w:szCs w:val="22"/>
          <w:lang w:val="es-CR" w:eastAsia="es-ES"/>
        </w:rPr>
      </w:pPr>
      <w:r w:rsidRPr="00990FB6">
        <w:rPr>
          <w:sz w:val="22"/>
          <w:szCs w:val="22"/>
          <w:lang w:val="es-CR" w:eastAsia="es-ES"/>
        </w:rPr>
        <w:t xml:space="preserve">En oficio número 87-PLA-PP-2023 del 3 de febrero del 2023, suscrito por la licenciada </w:t>
      </w:r>
      <w:r w:rsidRPr="00990FB6">
        <w:rPr>
          <w:snapToGrid w:val="0"/>
          <w:sz w:val="22"/>
          <w:szCs w:val="22"/>
          <w:lang w:val="es-CR" w:eastAsia="es-ES"/>
        </w:rPr>
        <w:t>Nacira Valverde Bermúdez, el máster Erick Antonio Mora Leiva y el licenciado</w:t>
      </w:r>
      <w:r w:rsidRPr="00990FB6">
        <w:rPr>
          <w:sz w:val="22"/>
          <w:szCs w:val="22"/>
          <w:lang w:val="es-CR" w:eastAsia="es-ES"/>
        </w:rPr>
        <w:t xml:space="preserve"> Minor Alvarado Chaves, por su orden, </w:t>
      </w:r>
      <w:r w:rsidRPr="00990FB6">
        <w:rPr>
          <w:snapToGrid w:val="0"/>
          <w:sz w:val="22"/>
          <w:szCs w:val="22"/>
          <w:lang w:val="es-CR" w:eastAsia="es-ES"/>
        </w:rPr>
        <w:t xml:space="preserve">Directora de Planificación, Jefe de Proceso de Planeación y Evaluación y </w:t>
      </w:r>
      <w:r w:rsidRPr="00990FB6">
        <w:rPr>
          <w:sz w:val="22"/>
          <w:szCs w:val="22"/>
          <w:lang w:val="es-CR" w:eastAsia="es-ES"/>
        </w:rPr>
        <w:t>Jefe de Subproceso de Formulación de Presupuesto y Portafolio de Proyectos Institucional, remitieron el siguiente informe:</w:t>
      </w:r>
    </w:p>
    <w:p w14:paraId="0E56CBEB" w14:textId="77777777" w:rsidR="00B15F7D" w:rsidRPr="00990FB6" w:rsidRDefault="00B15F7D" w:rsidP="00B15F7D">
      <w:pPr>
        <w:suppressAutoHyphens w:val="0"/>
        <w:ind w:left="851" w:right="900" w:firstLine="709"/>
        <w:jc w:val="both"/>
        <w:rPr>
          <w:sz w:val="22"/>
          <w:szCs w:val="22"/>
          <w:lang w:val="es-CR" w:eastAsia="es-ES"/>
        </w:rPr>
      </w:pPr>
    </w:p>
    <w:p w14:paraId="32D99CCF" w14:textId="77777777" w:rsidR="00B15F7D" w:rsidRPr="00990FB6" w:rsidRDefault="00B15F7D" w:rsidP="00B15F7D">
      <w:pPr>
        <w:ind w:left="851" w:right="900" w:firstLine="709"/>
        <w:jc w:val="both"/>
        <w:rPr>
          <w:sz w:val="22"/>
          <w:szCs w:val="22"/>
          <w:lang w:val="es-CR"/>
        </w:rPr>
      </w:pPr>
      <w:r w:rsidRPr="00990FB6">
        <w:rPr>
          <w:i/>
          <w:iCs/>
          <w:sz w:val="22"/>
          <w:szCs w:val="22"/>
          <w:lang w:val="es-CR"/>
        </w:rPr>
        <w:t>“</w:t>
      </w:r>
      <w:r w:rsidRPr="00990FB6">
        <w:rPr>
          <w:sz w:val="22"/>
          <w:szCs w:val="22"/>
          <w:lang w:val="es-CR"/>
        </w:rPr>
        <w:t xml:space="preserve">En sesión 106-2022 del Consejo Superior, celebrada el pasado 1° de diciembre, artículo LII, se aprobaron las Directrices Técnicas y el Cronograma para la Formulación del Anteproyecto de Presupuesto 2024, remitidas por la Dirección de Planificación con oficio 1104-PLA-PP-2022. </w:t>
      </w:r>
    </w:p>
    <w:p w14:paraId="61619201" w14:textId="77777777" w:rsidR="00B15F7D" w:rsidRPr="00990FB6" w:rsidRDefault="00B15F7D" w:rsidP="00B15F7D">
      <w:pPr>
        <w:ind w:left="851" w:right="900" w:firstLine="709"/>
        <w:jc w:val="both"/>
        <w:rPr>
          <w:sz w:val="22"/>
          <w:szCs w:val="22"/>
          <w:lang w:val="es-CR"/>
        </w:rPr>
      </w:pPr>
    </w:p>
    <w:p w14:paraId="772B2446" w14:textId="77777777" w:rsidR="00B15F7D" w:rsidRPr="00990FB6" w:rsidRDefault="00B15F7D" w:rsidP="00B15F7D">
      <w:pPr>
        <w:ind w:left="851" w:right="900" w:firstLine="709"/>
        <w:jc w:val="both"/>
        <w:rPr>
          <w:sz w:val="22"/>
          <w:szCs w:val="22"/>
          <w:lang w:val="es-CR"/>
        </w:rPr>
      </w:pPr>
      <w:r w:rsidRPr="00990FB6">
        <w:rPr>
          <w:sz w:val="22"/>
          <w:szCs w:val="22"/>
          <w:lang w:val="es-CR"/>
        </w:rPr>
        <w:t>En aras de lograr mejoras en el proceso de análisis del presupuesto institucional, especialmente posibilitar al Consejo Superior concentrar el conocimiento y análisis del presupuesto de una forma más integrada, la Dirección de Planificación elaboró una propuesta para el proceso del año 2024, la  cual compartió mediante reunión de trabajo  con las Direcciones Administrativas, el señor Presidente de la Corte y el Director del Despacho de la Presidencia, para que realizaran sus valoraciones y plantearan  observaciones de manera que fuera consensuada con estas instancias.</w:t>
      </w:r>
    </w:p>
    <w:p w14:paraId="4D1B918E" w14:textId="77777777" w:rsidR="00B15F7D" w:rsidRPr="00990FB6" w:rsidRDefault="00B15F7D" w:rsidP="00B15F7D">
      <w:pPr>
        <w:ind w:left="851" w:right="900" w:firstLine="709"/>
        <w:jc w:val="both"/>
        <w:rPr>
          <w:sz w:val="22"/>
          <w:szCs w:val="22"/>
          <w:lang w:val="es-CR"/>
        </w:rPr>
      </w:pPr>
    </w:p>
    <w:p w14:paraId="35ABE5CE" w14:textId="77777777" w:rsidR="00B15F7D" w:rsidRPr="00990FB6" w:rsidRDefault="00B15F7D" w:rsidP="00B15F7D">
      <w:pPr>
        <w:ind w:left="851" w:right="900" w:firstLine="709"/>
        <w:jc w:val="both"/>
        <w:rPr>
          <w:sz w:val="22"/>
          <w:szCs w:val="22"/>
          <w:lang w:val="es-CR"/>
        </w:rPr>
      </w:pPr>
      <w:r w:rsidRPr="00990FB6">
        <w:rPr>
          <w:sz w:val="22"/>
          <w:szCs w:val="22"/>
          <w:lang w:val="es-CR"/>
        </w:rPr>
        <w:t>Posteriormente el pasado miércoles 26 de enero, se le hizo la presentación preliminar a los integrantes del Consejo Superior, quienes realizaron sus observaciones, y las mismas se incorporaron en la siguiente propuesta:</w:t>
      </w:r>
    </w:p>
    <w:p w14:paraId="1E9BD4EC" w14:textId="77777777" w:rsidR="00B15F7D" w:rsidRPr="00990FB6" w:rsidRDefault="00B15F7D" w:rsidP="00B15F7D">
      <w:pPr>
        <w:ind w:left="851" w:right="900" w:firstLine="709"/>
        <w:jc w:val="both"/>
        <w:rPr>
          <w:sz w:val="22"/>
          <w:szCs w:val="22"/>
          <w:lang w:val="es-CR"/>
        </w:rPr>
      </w:pPr>
    </w:p>
    <w:p w14:paraId="5B442757" w14:textId="77777777" w:rsidR="00B15F7D" w:rsidRPr="00990FB6" w:rsidRDefault="00B15F7D" w:rsidP="00B15F7D">
      <w:pPr>
        <w:ind w:left="851" w:right="900"/>
        <w:jc w:val="center"/>
        <w:rPr>
          <w:b/>
          <w:bCs/>
          <w:sz w:val="22"/>
          <w:szCs w:val="22"/>
          <w:lang w:val="es-CR"/>
        </w:rPr>
      </w:pPr>
      <w:r w:rsidRPr="00990FB6">
        <w:rPr>
          <w:b/>
          <w:bCs/>
          <w:sz w:val="22"/>
          <w:szCs w:val="22"/>
          <w:lang w:val="es-CR"/>
        </w:rPr>
        <w:t>PROPUESTA DE CRONOGRAMA DE TRABAJO</w:t>
      </w:r>
    </w:p>
    <w:p w14:paraId="60A62AFE" w14:textId="77777777" w:rsidR="00B15F7D" w:rsidRPr="00990FB6" w:rsidRDefault="00B15F7D" w:rsidP="00B15F7D">
      <w:pPr>
        <w:ind w:left="851" w:right="900"/>
        <w:jc w:val="center"/>
        <w:rPr>
          <w:b/>
          <w:bCs/>
          <w:sz w:val="22"/>
          <w:szCs w:val="22"/>
          <w:lang w:val="es-CR"/>
        </w:rPr>
      </w:pPr>
      <w:r w:rsidRPr="00990FB6">
        <w:rPr>
          <w:b/>
          <w:bCs/>
          <w:sz w:val="22"/>
          <w:szCs w:val="22"/>
          <w:lang w:val="es-CR"/>
        </w:rPr>
        <w:t>PROCESO DE FORMULACIÓN PRESUPUESTARIA 2024</w:t>
      </w:r>
    </w:p>
    <w:p w14:paraId="61CC2BD0" w14:textId="77777777" w:rsidR="00B15F7D" w:rsidRPr="00990FB6" w:rsidRDefault="00B15F7D" w:rsidP="00B15F7D">
      <w:pPr>
        <w:ind w:left="851" w:right="900"/>
        <w:jc w:val="center"/>
        <w:rPr>
          <w:b/>
          <w:bCs/>
          <w:sz w:val="22"/>
          <w:szCs w:val="22"/>
          <w:lang w:val="es-CR"/>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9"/>
        <w:gridCol w:w="7195"/>
      </w:tblGrid>
      <w:tr w:rsidR="00B15F7D" w:rsidRPr="00990FB6" w14:paraId="6C567F6E" w14:textId="77777777" w:rsidTr="000A0C22">
        <w:trPr>
          <w:trHeight w:val="365"/>
          <w:tblHeader/>
          <w:jc w:val="center"/>
        </w:trPr>
        <w:tc>
          <w:tcPr>
            <w:tcW w:w="2439" w:type="dxa"/>
            <w:shd w:val="clear" w:color="auto" w:fill="1F4E79"/>
            <w:vAlign w:val="center"/>
          </w:tcPr>
          <w:p w14:paraId="70B9A6B9" w14:textId="77777777" w:rsidR="00B15F7D" w:rsidRPr="00990FB6" w:rsidRDefault="00B15F7D" w:rsidP="00B15F7D">
            <w:pPr>
              <w:jc w:val="center"/>
              <w:rPr>
                <w:b/>
                <w:sz w:val="22"/>
                <w:szCs w:val="22"/>
                <w:lang w:val="es-CR"/>
              </w:rPr>
            </w:pPr>
            <w:r w:rsidRPr="00990FB6">
              <w:rPr>
                <w:b/>
                <w:sz w:val="22"/>
                <w:szCs w:val="22"/>
                <w:lang w:val="es-CR"/>
              </w:rPr>
              <w:t>Fecha</w:t>
            </w:r>
          </w:p>
        </w:tc>
        <w:tc>
          <w:tcPr>
            <w:tcW w:w="7195" w:type="dxa"/>
            <w:shd w:val="clear" w:color="auto" w:fill="1F4E79"/>
            <w:vAlign w:val="center"/>
          </w:tcPr>
          <w:p w14:paraId="1D3DF115" w14:textId="77777777" w:rsidR="00B15F7D" w:rsidRPr="00990FB6" w:rsidRDefault="00B15F7D" w:rsidP="00B15F7D">
            <w:pPr>
              <w:jc w:val="center"/>
              <w:rPr>
                <w:b/>
                <w:sz w:val="22"/>
                <w:szCs w:val="22"/>
                <w:lang w:val="es-CR"/>
              </w:rPr>
            </w:pPr>
            <w:r w:rsidRPr="00990FB6">
              <w:rPr>
                <w:b/>
                <w:sz w:val="22"/>
                <w:szCs w:val="22"/>
                <w:lang w:val="es-CR"/>
              </w:rPr>
              <w:t>Temas</w:t>
            </w:r>
          </w:p>
        </w:tc>
      </w:tr>
      <w:tr w:rsidR="00B15F7D" w:rsidRPr="00990FB6" w14:paraId="6F2EE29C" w14:textId="77777777" w:rsidTr="000A0C22">
        <w:trPr>
          <w:jc w:val="center"/>
        </w:trPr>
        <w:tc>
          <w:tcPr>
            <w:tcW w:w="2439" w:type="dxa"/>
            <w:shd w:val="clear" w:color="auto" w:fill="auto"/>
            <w:vAlign w:val="center"/>
          </w:tcPr>
          <w:p w14:paraId="4D637FC5" w14:textId="77777777" w:rsidR="00B15F7D" w:rsidRPr="00990FB6" w:rsidRDefault="00B15F7D" w:rsidP="00B15F7D">
            <w:pPr>
              <w:jc w:val="center"/>
              <w:rPr>
                <w:sz w:val="22"/>
                <w:szCs w:val="22"/>
                <w:lang w:val="es-CR"/>
              </w:rPr>
            </w:pPr>
            <w:r w:rsidRPr="00990FB6">
              <w:rPr>
                <w:sz w:val="22"/>
                <w:szCs w:val="22"/>
                <w:lang w:val="es-CR"/>
              </w:rPr>
              <w:t>1° FEBRERO – 24 MARZO</w:t>
            </w:r>
          </w:p>
        </w:tc>
        <w:tc>
          <w:tcPr>
            <w:tcW w:w="7195" w:type="dxa"/>
            <w:shd w:val="clear" w:color="auto" w:fill="auto"/>
          </w:tcPr>
          <w:p w14:paraId="7D29761D" w14:textId="77777777" w:rsidR="00B15F7D" w:rsidRPr="00990FB6" w:rsidRDefault="00B15F7D" w:rsidP="00B15F7D">
            <w:pPr>
              <w:jc w:val="both"/>
              <w:rPr>
                <w:sz w:val="22"/>
                <w:szCs w:val="22"/>
                <w:lang w:val="es-CR"/>
              </w:rPr>
            </w:pPr>
            <w:r w:rsidRPr="00990FB6">
              <w:rPr>
                <w:sz w:val="22"/>
                <w:szCs w:val="22"/>
                <w:lang w:val="es-CR"/>
              </w:rPr>
              <w:t>ANÁLISIS DE LOS ANTEPROYECTOS DE PRESUPUESTO POR PARTE DE LA DIRECCIÓN DE PLANIFICACIÓN DE LOS 81 CENTROS DE RESPONSABILIDAD.</w:t>
            </w:r>
          </w:p>
          <w:p w14:paraId="3AA536AA" w14:textId="77777777" w:rsidR="00B15F7D" w:rsidRPr="00990FB6" w:rsidRDefault="00B15F7D" w:rsidP="00B15F7D">
            <w:pPr>
              <w:jc w:val="both"/>
              <w:rPr>
                <w:sz w:val="22"/>
                <w:szCs w:val="22"/>
                <w:lang w:val="es-CR"/>
              </w:rPr>
            </w:pPr>
            <w:r w:rsidRPr="00990FB6">
              <w:rPr>
                <w:sz w:val="22"/>
                <w:szCs w:val="22"/>
                <w:lang w:val="es-CR"/>
              </w:rPr>
              <w:t>EN CASO DE SER NECESARIO SE REALIZARÁN REUNIONES TÉCNICAS CON TEMAS ESPECÍFICOS CON DIRECCIONES ADMINISTRATIVAS, DIRECTORES DE PROGRAMA Y CENTROS DE RESPONSABILIDAD.</w:t>
            </w:r>
          </w:p>
        </w:tc>
      </w:tr>
      <w:tr w:rsidR="00B15F7D" w:rsidRPr="00990FB6" w14:paraId="13A267AE" w14:textId="77777777" w:rsidTr="000A0C22">
        <w:trPr>
          <w:jc w:val="center"/>
        </w:trPr>
        <w:tc>
          <w:tcPr>
            <w:tcW w:w="2439" w:type="dxa"/>
            <w:shd w:val="clear" w:color="auto" w:fill="auto"/>
            <w:vAlign w:val="center"/>
          </w:tcPr>
          <w:p w14:paraId="74B8661E" w14:textId="77777777" w:rsidR="00B15F7D" w:rsidRPr="00990FB6" w:rsidRDefault="00B15F7D" w:rsidP="00B15F7D">
            <w:pPr>
              <w:jc w:val="center"/>
              <w:rPr>
                <w:b/>
                <w:bCs/>
                <w:sz w:val="22"/>
                <w:szCs w:val="22"/>
                <w:lang w:val="es-CR"/>
              </w:rPr>
            </w:pPr>
            <w:r w:rsidRPr="00990FB6">
              <w:rPr>
                <w:b/>
                <w:bCs/>
                <w:sz w:val="22"/>
                <w:szCs w:val="22"/>
                <w:lang w:val="es-CR"/>
              </w:rPr>
              <w:t>27 MARZO – 29 MARZO</w:t>
            </w:r>
          </w:p>
        </w:tc>
        <w:tc>
          <w:tcPr>
            <w:tcW w:w="7195" w:type="dxa"/>
            <w:shd w:val="clear" w:color="auto" w:fill="auto"/>
          </w:tcPr>
          <w:p w14:paraId="61327905" w14:textId="77777777" w:rsidR="00B15F7D" w:rsidRPr="00990FB6" w:rsidRDefault="00B15F7D" w:rsidP="00B15F7D">
            <w:pPr>
              <w:jc w:val="both"/>
              <w:rPr>
                <w:b/>
                <w:bCs/>
                <w:sz w:val="22"/>
                <w:szCs w:val="22"/>
                <w:lang w:val="es-CR"/>
              </w:rPr>
            </w:pPr>
            <w:r w:rsidRPr="00990FB6">
              <w:rPr>
                <w:b/>
                <w:bCs/>
                <w:sz w:val="22"/>
                <w:szCs w:val="22"/>
                <w:lang w:val="es-CR"/>
              </w:rPr>
              <w:t>REUNIONES DE TRABAJO CON DIRECCIONES ADMINISTRATIVAS Y JEFES DE PROGRAMA (SÁBANA) (*):</w:t>
            </w:r>
          </w:p>
          <w:p w14:paraId="685992D9" w14:textId="77777777" w:rsidR="00B15F7D" w:rsidRPr="00990FB6" w:rsidRDefault="00B15F7D" w:rsidP="00B15F7D">
            <w:pPr>
              <w:numPr>
                <w:ilvl w:val="0"/>
                <w:numId w:val="122"/>
              </w:numPr>
              <w:suppressAutoHyphens w:val="0"/>
              <w:contextualSpacing/>
              <w:jc w:val="both"/>
              <w:rPr>
                <w:rFonts w:eastAsia="Calibri"/>
                <w:sz w:val="22"/>
                <w:szCs w:val="22"/>
                <w:lang w:val="es-CR" w:eastAsia="en-US"/>
              </w:rPr>
            </w:pPr>
          </w:p>
          <w:p w14:paraId="4F638D76" w14:textId="77777777" w:rsidR="00B15F7D" w:rsidRPr="00990FB6" w:rsidRDefault="00B15F7D" w:rsidP="00B15F7D">
            <w:pPr>
              <w:ind w:left="720"/>
              <w:jc w:val="both"/>
              <w:rPr>
                <w:sz w:val="22"/>
                <w:szCs w:val="22"/>
                <w:lang w:val="es-CR"/>
              </w:rPr>
            </w:pPr>
          </w:p>
          <w:p w14:paraId="3936C0A8"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lastRenderedPageBreak/>
              <w:t>Análisis de Salarios realizado por la Dirección de Gestión Humana.</w:t>
            </w:r>
          </w:p>
          <w:p w14:paraId="0489D03E" w14:textId="77777777" w:rsidR="00B15F7D" w:rsidRPr="00990FB6" w:rsidRDefault="00B15F7D" w:rsidP="00B15F7D">
            <w:pPr>
              <w:numPr>
                <w:ilvl w:val="0"/>
                <w:numId w:val="122"/>
              </w:numPr>
              <w:suppressAutoHyphens w:val="0"/>
              <w:jc w:val="both"/>
              <w:rPr>
                <w:sz w:val="22"/>
                <w:szCs w:val="22"/>
                <w:lang w:val="es-CR"/>
              </w:rPr>
            </w:pPr>
          </w:p>
          <w:p w14:paraId="36067A85"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Presupuesto 2024 Comisiones.</w:t>
            </w:r>
          </w:p>
          <w:p w14:paraId="3197094C"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la Atención y Prevención de la Violencia Intrafamiliar</w:t>
            </w:r>
          </w:p>
          <w:p w14:paraId="0A4C7F4E"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Género</w:t>
            </w:r>
          </w:p>
          <w:p w14:paraId="33BC8CE2"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la Jurisdicción de Familia, Niñez y Adolescencia</w:t>
            </w:r>
          </w:p>
          <w:p w14:paraId="637580C2"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Transparencia Institucional</w:t>
            </w:r>
          </w:p>
          <w:p w14:paraId="2DD97755"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la Jurisdicción Contencioso Administrativa</w:t>
            </w:r>
          </w:p>
          <w:p w14:paraId="0AC3BE17"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Gestión Integral de la Calidad de la Justicia (GICA)</w:t>
            </w:r>
          </w:p>
          <w:p w14:paraId="12603367"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Gestión Ambiental Institucional</w:t>
            </w:r>
          </w:p>
          <w:p w14:paraId="0FA0AEFE"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Relaciones Laborales</w:t>
            </w:r>
          </w:p>
          <w:p w14:paraId="2265FF12"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Consejo de Personal</w:t>
            </w:r>
          </w:p>
          <w:p w14:paraId="3DF7233D"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Salud Ocupacional</w:t>
            </w:r>
          </w:p>
          <w:p w14:paraId="4D0FC2DC"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Asuntos Penales</w:t>
            </w:r>
          </w:p>
          <w:p w14:paraId="70B35ABE"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la Jurisdicción Civil</w:t>
            </w:r>
          </w:p>
          <w:p w14:paraId="2BAD2FA6"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Acceso a la Justicia</w:t>
            </w:r>
          </w:p>
          <w:p w14:paraId="2E09BA43"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la Jurisdicción Laboral</w:t>
            </w:r>
          </w:p>
          <w:p w14:paraId="463B76B4"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Interinstitucional de Tránsito</w:t>
            </w:r>
          </w:p>
          <w:p w14:paraId="7245B37A"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Programa Hacia Cero Papel</w:t>
            </w:r>
          </w:p>
          <w:p w14:paraId="77033239"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de la Jurisdicción Agrario y Agroambiental</w:t>
            </w:r>
          </w:p>
          <w:p w14:paraId="50AAABEB"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Contra el Hostigamiento Sexual</w:t>
            </w:r>
          </w:p>
          <w:p w14:paraId="3E922FE9"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Comisión Institucional de Selección y Eliminación de Documentos</w:t>
            </w:r>
          </w:p>
          <w:p w14:paraId="0944D9CF"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Presupuesto 2024 Áreas.</w:t>
            </w:r>
          </w:p>
          <w:p w14:paraId="31649DB6"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Construcciones</w:t>
            </w:r>
          </w:p>
          <w:p w14:paraId="7C031BD7"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Informática</w:t>
            </w:r>
          </w:p>
          <w:p w14:paraId="1E50074F"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Vehículos</w:t>
            </w:r>
          </w:p>
          <w:p w14:paraId="7F353371"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Seguridad</w:t>
            </w:r>
          </w:p>
          <w:p w14:paraId="37037CC6"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 xml:space="preserve">Becas-Capacitación y Permisos para personal judicial becado. </w:t>
            </w:r>
          </w:p>
          <w:p w14:paraId="1BD68230" w14:textId="77777777" w:rsidR="00B15F7D" w:rsidRPr="00990FB6" w:rsidRDefault="00B15F7D" w:rsidP="00B15F7D">
            <w:pPr>
              <w:ind w:left="720"/>
              <w:jc w:val="both"/>
              <w:rPr>
                <w:sz w:val="22"/>
                <w:szCs w:val="22"/>
                <w:lang w:val="es-CR"/>
              </w:rPr>
            </w:pPr>
          </w:p>
          <w:p w14:paraId="0F4D1F24"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Proyecciones de Salario Escolar.</w:t>
            </w:r>
          </w:p>
          <w:p w14:paraId="1CB0684B" w14:textId="77777777" w:rsidR="00B15F7D" w:rsidRPr="00990FB6" w:rsidRDefault="00B15F7D" w:rsidP="00B15F7D">
            <w:pPr>
              <w:ind w:left="720"/>
              <w:jc w:val="both"/>
              <w:rPr>
                <w:sz w:val="22"/>
                <w:szCs w:val="22"/>
                <w:lang w:val="es-CR"/>
              </w:rPr>
            </w:pPr>
          </w:p>
          <w:p w14:paraId="369DD246"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Proyecciones de Montos por Auxilio de Cesantía.</w:t>
            </w:r>
          </w:p>
          <w:p w14:paraId="5F9896C7" w14:textId="77777777" w:rsidR="00B15F7D" w:rsidRPr="00990FB6" w:rsidRDefault="00B15F7D" w:rsidP="00B15F7D">
            <w:pPr>
              <w:ind w:left="720"/>
              <w:jc w:val="both"/>
              <w:rPr>
                <w:sz w:val="22"/>
                <w:szCs w:val="22"/>
                <w:lang w:val="es-CR"/>
              </w:rPr>
            </w:pPr>
          </w:p>
          <w:p w14:paraId="7BDD37D7"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Análisis de Subpartidas Sensibles.</w:t>
            </w:r>
          </w:p>
          <w:p w14:paraId="70B4345B"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Alquiler de Edificios, Mantenimiento y Construcciones (10101-10801-50201)</w:t>
            </w:r>
          </w:p>
          <w:p w14:paraId="4C496DA3"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Alquiler de Equipo de Cómputo y Compra de Equipo de Cómputo (10103-50105)</w:t>
            </w:r>
          </w:p>
          <w:p w14:paraId="37FFD351"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Servicios Públicos (10201-10202-10204)</w:t>
            </w:r>
          </w:p>
          <w:p w14:paraId="6C5AA0BE"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Información y Publicidad y Propaganda (10301-10302)</w:t>
            </w:r>
          </w:p>
          <w:p w14:paraId="6BD57C73"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Ciencias de la Salud (10401)</w:t>
            </w:r>
          </w:p>
          <w:p w14:paraId="7814497A"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lastRenderedPageBreak/>
              <w:t>Servicios Generales (10406)</w:t>
            </w:r>
          </w:p>
          <w:p w14:paraId="3D53B758"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Otros Servicios de Gestión y Apoyo (10499)</w:t>
            </w:r>
          </w:p>
          <w:p w14:paraId="4FAD85B5"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Gastos de Viaje y Transporte (10501-10502-10503-10504)</w:t>
            </w:r>
          </w:p>
          <w:p w14:paraId="4EEF4952"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Actividades de Capacitación y Actividades Protocolarias y Sociales (10701-10702)</w:t>
            </w:r>
          </w:p>
          <w:p w14:paraId="4CDC9D17"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Mantenimiento y Reparación Equipo de Transporte, Combustibles y Lubricantes (10805-20101)</w:t>
            </w:r>
          </w:p>
          <w:p w14:paraId="46834E14" w14:textId="77777777" w:rsidR="00B15F7D" w:rsidRPr="00990FB6" w:rsidRDefault="00B15F7D" w:rsidP="00B15F7D">
            <w:pPr>
              <w:numPr>
                <w:ilvl w:val="1"/>
                <w:numId w:val="122"/>
              </w:numPr>
              <w:suppressAutoHyphens w:val="0"/>
              <w:contextualSpacing/>
              <w:jc w:val="both"/>
              <w:rPr>
                <w:rFonts w:eastAsia="Calibri"/>
                <w:sz w:val="22"/>
                <w:szCs w:val="22"/>
                <w:lang w:val="es-CR" w:eastAsia="en-US"/>
              </w:rPr>
            </w:pPr>
            <w:r w:rsidRPr="00990FB6">
              <w:rPr>
                <w:rFonts w:eastAsia="Calibri"/>
                <w:sz w:val="22"/>
                <w:szCs w:val="22"/>
                <w:lang w:val="es-CR" w:eastAsia="en-US"/>
              </w:rPr>
              <w:t>Alimentos y Bebidas (20203)</w:t>
            </w:r>
          </w:p>
          <w:p w14:paraId="36571D1F"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Presupuesto de los Programas:</w:t>
            </w:r>
          </w:p>
          <w:p w14:paraId="47050F85"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Programa 926 Dirección y Administración.</w:t>
            </w:r>
          </w:p>
          <w:p w14:paraId="28313251"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Programa 927 Servicio Jurisdiccional.</w:t>
            </w:r>
          </w:p>
          <w:p w14:paraId="02640E78"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Programa 928 Organismo de Investigación Judicial.</w:t>
            </w:r>
          </w:p>
          <w:p w14:paraId="538BB82E"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Programa 929 Ministerio Público.</w:t>
            </w:r>
          </w:p>
          <w:p w14:paraId="3225AB75"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Programa 930 Defensa Pública.</w:t>
            </w:r>
          </w:p>
          <w:p w14:paraId="6A2F83D0"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 xml:space="preserve">Programa 950 </w:t>
            </w:r>
            <w:r w:rsidRPr="00990FB6">
              <w:rPr>
                <w:i/>
                <w:iCs/>
                <w:sz w:val="22"/>
                <w:szCs w:val="22"/>
                <w:lang w:val="es-CR" w:eastAsia="es-CR"/>
              </w:rPr>
              <w:t>Servicio de Atención y Protección Víctimas y Testigos.</w:t>
            </w:r>
          </w:p>
          <w:p w14:paraId="3BE0BA60" w14:textId="77777777" w:rsidR="00B15F7D" w:rsidRPr="00990FB6" w:rsidRDefault="00B15F7D" w:rsidP="00B15F7D">
            <w:pPr>
              <w:numPr>
                <w:ilvl w:val="1"/>
                <w:numId w:val="122"/>
              </w:numPr>
              <w:suppressAutoHyphens w:val="0"/>
              <w:jc w:val="both"/>
              <w:rPr>
                <w:sz w:val="22"/>
                <w:szCs w:val="22"/>
                <w:lang w:val="es-CR"/>
              </w:rPr>
            </w:pPr>
            <w:r w:rsidRPr="00990FB6">
              <w:rPr>
                <w:i/>
                <w:iCs/>
                <w:sz w:val="22"/>
                <w:szCs w:val="22"/>
                <w:lang w:val="es-CR"/>
              </w:rPr>
              <w:t>Programa 951 Administración Fondo de Jubilaciones y Pensiones</w:t>
            </w:r>
          </w:p>
          <w:p w14:paraId="375AB95C" w14:textId="77777777" w:rsidR="00B15F7D" w:rsidRPr="00990FB6" w:rsidRDefault="00B15F7D" w:rsidP="00B15F7D">
            <w:pPr>
              <w:ind w:left="720"/>
              <w:jc w:val="both"/>
              <w:rPr>
                <w:sz w:val="22"/>
                <w:szCs w:val="22"/>
                <w:lang w:val="es-CR"/>
              </w:rPr>
            </w:pPr>
          </w:p>
          <w:p w14:paraId="2E85D903" w14:textId="77777777" w:rsidR="00B15F7D" w:rsidRPr="00990FB6" w:rsidRDefault="00B15F7D" w:rsidP="00B15F7D">
            <w:pPr>
              <w:numPr>
                <w:ilvl w:val="0"/>
                <w:numId w:val="122"/>
              </w:numPr>
              <w:suppressAutoHyphens w:val="0"/>
              <w:jc w:val="both"/>
              <w:rPr>
                <w:sz w:val="22"/>
                <w:szCs w:val="22"/>
                <w:lang w:val="es-CR"/>
              </w:rPr>
            </w:pPr>
            <w:r w:rsidRPr="00990FB6">
              <w:rPr>
                <w:sz w:val="22"/>
                <w:szCs w:val="22"/>
                <w:lang w:val="es-CR"/>
              </w:rPr>
              <w:t>Propuestas de estudios de leyes especiales.</w:t>
            </w:r>
          </w:p>
          <w:p w14:paraId="5FE312B8"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Código Procesal Agrario</w:t>
            </w:r>
          </w:p>
          <w:p w14:paraId="2551F363"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Ley de Justicia Restaurativa</w:t>
            </w:r>
          </w:p>
          <w:p w14:paraId="53F2EEEF"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Código Procesal Familia</w:t>
            </w:r>
          </w:p>
          <w:p w14:paraId="29C53C17"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Creación de Jurisdicción en Asuntos Indígenas</w:t>
            </w:r>
          </w:p>
          <w:p w14:paraId="0E9EFC1A"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Ley de Bienestar Animal</w:t>
            </w:r>
          </w:p>
          <w:p w14:paraId="043A1856"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Estudio de Custodios de Detenidos</w:t>
            </w:r>
          </w:p>
          <w:p w14:paraId="43C45922"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Estudio de Fiscales de Juicio</w:t>
            </w:r>
          </w:p>
          <w:p w14:paraId="5E9C488A"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Necesidades de Penal Jurisdiccional</w:t>
            </w:r>
          </w:p>
          <w:p w14:paraId="2C97B225"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Estudios Varios (Acuerdos del Consejo Superior)</w:t>
            </w:r>
          </w:p>
          <w:p w14:paraId="529A1161"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Tribunales Peninsulares</w:t>
            </w:r>
          </w:p>
          <w:p w14:paraId="7B998B34"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Plazas extraordinarias Expropiaciones</w:t>
            </w:r>
          </w:p>
          <w:p w14:paraId="4C7E4958"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Subproceso de Gestión de Evaluación del Desempeño</w:t>
            </w:r>
          </w:p>
          <w:p w14:paraId="23D08DC3"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Oficio de Atención a la Víctima</w:t>
            </w:r>
          </w:p>
          <w:p w14:paraId="12DB2EAF" w14:textId="77777777" w:rsidR="00B15F7D" w:rsidRPr="00990FB6" w:rsidRDefault="00B15F7D" w:rsidP="00B15F7D">
            <w:pPr>
              <w:numPr>
                <w:ilvl w:val="1"/>
                <w:numId w:val="122"/>
              </w:numPr>
              <w:suppressAutoHyphens w:val="0"/>
              <w:jc w:val="both"/>
              <w:rPr>
                <w:i/>
                <w:iCs/>
                <w:sz w:val="22"/>
                <w:szCs w:val="22"/>
                <w:lang w:val="es-CR"/>
              </w:rPr>
            </w:pPr>
            <w:r w:rsidRPr="00990FB6">
              <w:rPr>
                <w:i/>
                <w:iCs/>
                <w:sz w:val="22"/>
                <w:szCs w:val="22"/>
                <w:lang w:val="es-CR"/>
              </w:rPr>
              <w:t>Informe Proyecto SICOP</w:t>
            </w:r>
          </w:p>
          <w:p w14:paraId="7D9AB5EE" w14:textId="77777777" w:rsidR="00B15F7D" w:rsidRPr="00990FB6" w:rsidRDefault="00B15F7D" w:rsidP="00B15F7D">
            <w:pPr>
              <w:contextualSpacing/>
              <w:jc w:val="both"/>
              <w:rPr>
                <w:bCs/>
                <w:sz w:val="22"/>
                <w:szCs w:val="22"/>
                <w:lang w:val="es-CR"/>
              </w:rPr>
            </w:pPr>
          </w:p>
          <w:p w14:paraId="33425ACE" w14:textId="77777777" w:rsidR="00B15F7D" w:rsidRPr="00990FB6" w:rsidRDefault="00B15F7D" w:rsidP="00B15F7D">
            <w:pPr>
              <w:contextualSpacing/>
              <w:jc w:val="both"/>
              <w:rPr>
                <w:sz w:val="22"/>
                <w:szCs w:val="22"/>
                <w:lang w:val="es-CR"/>
              </w:rPr>
            </w:pPr>
          </w:p>
        </w:tc>
      </w:tr>
      <w:tr w:rsidR="00B15F7D" w:rsidRPr="00990FB6" w14:paraId="205AF0DF" w14:textId="77777777" w:rsidTr="000A0C22">
        <w:trPr>
          <w:trHeight w:val="567"/>
          <w:jc w:val="center"/>
        </w:trPr>
        <w:tc>
          <w:tcPr>
            <w:tcW w:w="2439" w:type="dxa"/>
            <w:shd w:val="clear" w:color="auto" w:fill="auto"/>
            <w:vAlign w:val="center"/>
          </w:tcPr>
          <w:p w14:paraId="587045B1" w14:textId="77777777" w:rsidR="00B15F7D" w:rsidRPr="00990FB6" w:rsidRDefault="00B15F7D" w:rsidP="00B15F7D">
            <w:pPr>
              <w:jc w:val="center"/>
              <w:rPr>
                <w:sz w:val="22"/>
                <w:szCs w:val="22"/>
                <w:lang w:val="es-CR"/>
              </w:rPr>
            </w:pPr>
            <w:r w:rsidRPr="00990FB6">
              <w:rPr>
                <w:sz w:val="22"/>
                <w:szCs w:val="22"/>
                <w:lang w:val="es-CR"/>
              </w:rPr>
              <w:lastRenderedPageBreak/>
              <w:t>30 – 31 MARZO</w:t>
            </w:r>
          </w:p>
        </w:tc>
        <w:tc>
          <w:tcPr>
            <w:tcW w:w="7195" w:type="dxa"/>
            <w:shd w:val="clear" w:color="auto" w:fill="auto"/>
            <w:vAlign w:val="center"/>
          </w:tcPr>
          <w:p w14:paraId="662E7C14" w14:textId="77777777" w:rsidR="00B15F7D" w:rsidRPr="00990FB6" w:rsidRDefault="00B15F7D" w:rsidP="00B15F7D">
            <w:pPr>
              <w:jc w:val="center"/>
              <w:rPr>
                <w:sz w:val="22"/>
                <w:szCs w:val="22"/>
                <w:lang w:val="es-CR"/>
              </w:rPr>
            </w:pPr>
            <w:r w:rsidRPr="00990FB6">
              <w:rPr>
                <w:sz w:val="22"/>
                <w:szCs w:val="22"/>
                <w:lang w:val="es-CR"/>
              </w:rPr>
              <w:t>ATENCIÓN DE OBSERVACIONES DE LAS REUNIONES DE TRABAJO</w:t>
            </w:r>
          </w:p>
        </w:tc>
      </w:tr>
      <w:tr w:rsidR="00B15F7D" w:rsidRPr="00990FB6" w14:paraId="19FEFCF7" w14:textId="77777777" w:rsidTr="000A0C22">
        <w:trPr>
          <w:trHeight w:val="567"/>
          <w:jc w:val="center"/>
        </w:trPr>
        <w:tc>
          <w:tcPr>
            <w:tcW w:w="2439" w:type="dxa"/>
            <w:shd w:val="clear" w:color="auto" w:fill="D0CECE"/>
            <w:vAlign w:val="center"/>
          </w:tcPr>
          <w:p w14:paraId="5BD75A2D" w14:textId="77777777" w:rsidR="00B15F7D" w:rsidRPr="00990FB6" w:rsidRDefault="00B15F7D" w:rsidP="00B15F7D">
            <w:pPr>
              <w:jc w:val="center"/>
              <w:rPr>
                <w:b/>
                <w:sz w:val="22"/>
                <w:szCs w:val="22"/>
                <w:lang w:val="es-CR"/>
              </w:rPr>
            </w:pPr>
            <w:r w:rsidRPr="00990FB6">
              <w:rPr>
                <w:b/>
                <w:sz w:val="22"/>
                <w:szCs w:val="22"/>
                <w:lang w:val="es-CR"/>
              </w:rPr>
              <w:t>3 ABRIL- 10 ABRIL</w:t>
            </w:r>
          </w:p>
        </w:tc>
        <w:tc>
          <w:tcPr>
            <w:tcW w:w="7195" w:type="dxa"/>
            <w:shd w:val="clear" w:color="auto" w:fill="D0CECE"/>
            <w:vAlign w:val="center"/>
          </w:tcPr>
          <w:p w14:paraId="6FAB4EE8" w14:textId="77777777" w:rsidR="00B15F7D" w:rsidRPr="00990FB6" w:rsidRDefault="00B15F7D" w:rsidP="00B15F7D">
            <w:pPr>
              <w:jc w:val="center"/>
              <w:rPr>
                <w:b/>
                <w:sz w:val="22"/>
                <w:szCs w:val="22"/>
                <w:lang w:val="es-CR"/>
              </w:rPr>
            </w:pPr>
            <w:r w:rsidRPr="00990FB6">
              <w:rPr>
                <w:b/>
                <w:sz w:val="22"/>
                <w:szCs w:val="22"/>
                <w:lang w:val="es-CR"/>
              </w:rPr>
              <w:t>RECESO POR SEMANA SANTA Y FERIADO DÍA JUAN SANTAMARÍA</w:t>
            </w:r>
          </w:p>
        </w:tc>
      </w:tr>
      <w:tr w:rsidR="00B15F7D" w:rsidRPr="00990FB6" w14:paraId="23E09A06" w14:textId="77777777" w:rsidTr="000A0C22">
        <w:trPr>
          <w:trHeight w:val="567"/>
          <w:jc w:val="center"/>
        </w:trPr>
        <w:tc>
          <w:tcPr>
            <w:tcW w:w="2439" w:type="dxa"/>
            <w:shd w:val="clear" w:color="auto" w:fill="auto"/>
            <w:vAlign w:val="center"/>
          </w:tcPr>
          <w:p w14:paraId="663B4BBF" w14:textId="77777777" w:rsidR="00B15F7D" w:rsidRPr="00990FB6" w:rsidRDefault="00B15F7D" w:rsidP="00B15F7D">
            <w:pPr>
              <w:jc w:val="center"/>
              <w:rPr>
                <w:sz w:val="22"/>
                <w:szCs w:val="22"/>
                <w:lang w:val="es-CR"/>
              </w:rPr>
            </w:pPr>
            <w:r w:rsidRPr="00990FB6">
              <w:rPr>
                <w:sz w:val="22"/>
                <w:szCs w:val="22"/>
                <w:lang w:val="es-CR"/>
              </w:rPr>
              <w:t>12 ABRIL</w:t>
            </w:r>
          </w:p>
        </w:tc>
        <w:tc>
          <w:tcPr>
            <w:tcW w:w="7195" w:type="dxa"/>
            <w:shd w:val="clear" w:color="auto" w:fill="auto"/>
            <w:vAlign w:val="center"/>
          </w:tcPr>
          <w:p w14:paraId="0BD5CB30" w14:textId="77777777" w:rsidR="00B15F7D" w:rsidRPr="00990FB6" w:rsidRDefault="00B15F7D" w:rsidP="00B15F7D">
            <w:pPr>
              <w:rPr>
                <w:bCs/>
                <w:sz w:val="22"/>
                <w:szCs w:val="22"/>
                <w:lang w:val="es-CR"/>
              </w:rPr>
            </w:pPr>
            <w:r w:rsidRPr="00990FB6">
              <w:rPr>
                <w:bCs/>
                <w:sz w:val="22"/>
                <w:szCs w:val="22"/>
                <w:lang w:val="es-CR"/>
              </w:rPr>
              <w:t xml:space="preserve">REUNIÓN DE TRABAJO DEL CONSEJO SUPERIOR PARA CONOCER PRESUPUESTO 2024 </w:t>
            </w:r>
            <w:r w:rsidRPr="00990FB6">
              <w:rPr>
                <w:b/>
                <w:sz w:val="22"/>
                <w:szCs w:val="22"/>
                <w:lang w:val="es-CR"/>
              </w:rPr>
              <w:t>(*)</w:t>
            </w:r>
          </w:p>
        </w:tc>
      </w:tr>
      <w:tr w:rsidR="00B15F7D" w:rsidRPr="00990FB6" w14:paraId="5F7E8345" w14:textId="77777777" w:rsidTr="000A0C22">
        <w:trPr>
          <w:trHeight w:val="567"/>
          <w:jc w:val="center"/>
        </w:trPr>
        <w:tc>
          <w:tcPr>
            <w:tcW w:w="2439" w:type="dxa"/>
            <w:shd w:val="clear" w:color="auto" w:fill="auto"/>
            <w:vAlign w:val="center"/>
          </w:tcPr>
          <w:p w14:paraId="7A81AABF" w14:textId="77777777" w:rsidR="00B15F7D" w:rsidRPr="00990FB6" w:rsidRDefault="00B15F7D" w:rsidP="00B15F7D">
            <w:pPr>
              <w:jc w:val="center"/>
              <w:rPr>
                <w:b/>
                <w:bCs/>
                <w:sz w:val="22"/>
                <w:szCs w:val="22"/>
                <w:lang w:val="es-CR"/>
              </w:rPr>
            </w:pPr>
            <w:r w:rsidRPr="00990FB6">
              <w:rPr>
                <w:b/>
                <w:bCs/>
                <w:sz w:val="22"/>
                <w:szCs w:val="22"/>
                <w:lang w:val="es-CR"/>
              </w:rPr>
              <w:lastRenderedPageBreak/>
              <w:t>18 ABRIL- 21 ABRIL</w:t>
            </w:r>
          </w:p>
        </w:tc>
        <w:tc>
          <w:tcPr>
            <w:tcW w:w="7195" w:type="dxa"/>
            <w:shd w:val="clear" w:color="auto" w:fill="auto"/>
            <w:vAlign w:val="center"/>
          </w:tcPr>
          <w:p w14:paraId="5B806808" w14:textId="77777777" w:rsidR="00B15F7D" w:rsidRPr="00990FB6" w:rsidRDefault="00B15F7D" w:rsidP="00B15F7D">
            <w:pPr>
              <w:rPr>
                <w:b/>
                <w:bCs/>
                <w:sz w:val="22"/>
                <w:szCs w:val="22"/>
                <w:lang w:val="es-CR"/>
              </w:rPr>
            </w:pPr>
            <w:r w:rsidRPr="00990FB6">
              <w:rPr>
                <w:b/>
                <w:bCs/>
                <w:sz w:val="22"/>
                <w:szCs w:val="22"/>
                <w:lang w:val="es-CR"/>
              </w:rPr>
              <w:t>SESIONES CON CONSEJO SUPERIOR (*):</w:t>
            </w:r>
          </w:p>
          <w:p w14:paraId="6823E47A" w14:textId="77777777" w:rsidR="00B15F7D" w:rsidRPr="00990FB6" w:rsidRDefault="00B15F7D" w:rsidP="00B15F7D">
            <w:pPr>
              <w:rPr>
                <w:b/>
                <w:bCs/>
                <w:sz w:val="22"/>
                <w:szCs w:val="22"/>
                <w:lang w:val="es-CR"/>
              </w:rPr>
            </w:pPr>
            <w:r w:rsidRPr="00990FB6">
              <w:rPr>
                <w:b/>
                <w:bCs/>
                <w:sz w:val="22"/>
                <w:szCs w:val="22"/>
                <w:lang w:val="es-CR"/>
              </w:rPr>
              <w:t>martes 18 ABRIL (II audiencia)</w:t>
            </w:r>
          </w:p>
          <w:p w14:paraId="440119E6" w14:textId="77777777" w:rsidR="00B15F7D" w:rsidRPr="00990FB6" w:rsidRDefault="00B15F7D" w:rsidP="00B15F7D">
            <w:pPr>
              <w:rPr>
                <w:b/>
                <w:bCs/>
                <w:sz w:val="22"/>
                <w:szCs w:val="22"/>
                <w:lang w:val="es-CR"/>
              </w:rPr>
            </w:pPr>
            <w:r w:rsidRPr="00990FB6">
              <w:rPr>
                <w:b/>
                <w:bCs/>
                <w:sz w:val="22"/>
                <w:szCs w:val="22"/>
                <w:lang w:val="es-CR"/>
              </w:rPr>
              <w:t>miércoles 19 ABRIL (I y II audiencia)</w:t>
            </w:r>
          </w:p>
          <w:p w14:paraId="794B76E0" w14:textId="77777777" w:rsidR="00B15F7D" w:rsidRPr="00990FB6" w:rsidRDefault="00B15F7D" w:rsidP="00B15F7D">
            <w:pPr>
              <w:rPr>
                <w:b/>
                <w:bCs/>
                <w:sz w:val="22"/>
                <w:szCs w:val="22"/>
                <w:lang w:val="es-CR"/>
              </w:rPr>
            </w:pPr>
            <w:r w:rsidRPr="00990FB6">
              <w:rPr>
                <w:b/>
                <w:bCs/>
                <w:sz w:val="22"/>
                <w:szCs w:val="22"/>
                <w:lang w:val="es-CR"/>
              </w:rPr>
              <w:t xml:space="preserve">jueves 20 ABRIL (II audiencia) </w:t>
            </w:r>
          </w:p>
          <w:p w14:paraId="5F1C65E9" w14:textId="77777777" w:rsidR="00B15F7D" w:rsidRPr="00990FB6" w:rsidRDefault="00B15F7D" w:rsidP="00B15F7D">
            <w:pPr>
              <w:rPr>
                <w:b/>
                <w:bCs/>
                <w:sz w:val="22"/>
                <w:szCs w:val="22"/>
                <w:lang w:val="es-CR"/>
              </w:rPr>
            </w:pPr>
            <w:r w:rsidRPr="00990FB6">
              <w:rPr>
                <w:b/>
                <w:bCs/>
                <w:sz w:val="22"/>
                <w:szCs w:val="22"/>
                <w:lang w:val="es-CR"/>
              </w:rPr>
              <w:t xml:space="preserve">viernes 21 ABRIL (I y II audiencia) </w:t>
            </w:r>
          </w:p>
        </w:tc>
      </w:tr>
      <w:tr w:rsidR="00B15F7D" w:rsidRPr="00990FB6" w14:paraId="037C0C56" w14:textId="77777777" w:rsidTr="000A0C22">
        <w:trPr>
          <w:trHeight w:val="567"/>
          <w:jc w:val="center"/>
        </w:trPr>
        <w:tc>
          <w:tcPr>
            <w:tcW w:w="2439" w:type="dxa"/>
            <w:shd w:val="clear" w:color="auto" w:fill="auto"/>
            <w:vAlign w:val="center"/>
          </w:tcPr>
          <w:p w14:paraId="137ECFED" w14:textId="77777777" w:rsidR="00B15F7D" w:rsidRPr="00990FB6" w:rsidRDefault="00B15F7D" w:rsidP="00B15F7D">
            <w:pPr>
              <w:jc w:val="center"/>
              <w:rPr>
                <w:sz w:val="22"/>
                <w:szCs w:val="22"/>
                <w:lang w:val="es-CR"/>
              </w:rPr>
            </w:pPr>
            <w:r w:rsidRPr="00990FB6">
              <w:rPr>
                <w:sz w:val="22"/>
                <w:szCs w:val="22"/>
                <w:lang w:val="es-CR"/>
              </w:rPr>
              <w:t>24 ABRIL- 28 ABRIL</w:t>
            </w:r>
          </w:p>
        </w:tc>
        <w:tc>
          <w:tcPr>
            <w:tcW w:w="7195" w:type="dxa"/>
            <w:shd w:val="clear" w:color="auto" w:fill="auto"/>
            <w:vAlign w:val="center"/>
          </w:tcPr>
          <w:p w14:paraId="02FB731F" w14:textId="77777777" w:rsidR="00B15F7D" w:rsidRPr="00990FB6" w:rsidRDefault="00B15F7D" w:rsidP="00B15F7D">
            <w:pPr>
              <w:rPr>
                <w:bCs/>
                <w:sz w:val="22"/>
                <w:szCs w:val="22"/>
                <w:lang w:val="es-CR"/>
              </w:rPr>
            </w:pPr>
            <w:r w:rsidRPr="00990FB6">
              <w:rPr>
                <w:bCs/>
                <w:sz w:val="22"/>
                <w:szCs w:val="22"/>
                <w:lang w:val="es-CR"/>
              </w:rPr>
              <w:t>COMUNICADOS SECRETARÍA DE LA CORTE</w:t>
            </w:r>
          </w:p>
        </w:tc>
      </w:tr>
      <w:tr w:rsidR="00B15F7D" w:rsidRPr="00990FB6" w14:paraId="2AAD0AB8" w14:textId="77777777" w:rsidTr="000A0C22">
        <w:trPr>
          <w:trHeight w:val="567"/>
          <w:jc w:val="center"/>
        </w:trPr>
        <w:tc>
          <w:tcPr>
            <w:tcW w:w="2439" w:type="dxa"/>
            <w:shd w:val="clear" w:color="auto" w:fill="D0CECE"/>
            <w:vAlign w:val="center"/>
          </w:tcPr>
          <w:p w14:paraId="48F1E8D4" w14:textId="77777777" w:rsidR="00B15F7D" w:rsidRPr="00990FB6" w:rsidRDefault="00B15F7D" w:rsidP="00B15F7D">
            <w:pPr>
              <w:jc w:val="center"/>
              <w:rPr>
                <w:b/>
                <w:bCs/>
                <w:sz w:val="22"/>
                <w:szCs w:val="22"/>
                <w:lang w:val="es-CR"/>
              </w:rPr>
            </w:pPr>
          </w:p>
          <w:p w14:paraId="037DF696" w14:textId="77777777" w:rsidR="00B15F7D" w:rsidRPr="00990FB6" w:rsidRDefault="00B15F7D" w:rsidP="00B15F7D">
            <w:pPr>
              <w:jc w:val="center"/>
              <w:rPr>
                <w:b/>
                <w:bCs/>
                <w:sz w:val="22"/>
                <w:szCs w:val="22"/>
                <w:lang w:val="es-CR"/>
              </w:rPr>
            </w:pPr>
            <w:r w:rsidRPr="00990FB6">
              <w:rPr>
                <w:b/>
                <w:bCs/>
                <w:sz w:val="22"/>
                <w:szCs w:val="22"/>
                <w:lang w:val="es-CR"/>
              </w:rPr>
              <w:t>1 MAYO</w:t>
            </w:r>
          </w:p>
        </w:tc>
        <w:tc>
          <w:tcPr>
            <w:tcW w:w="7195" w:type="dxa"/>
            <w:shd w:val="clear" w:color="auto" w:fill="D0CECE"/>
            <w:vAlign w:val="center"/>
          </w:tcPr>
          <w:p w14:paraId="12697A10" w14:textId="77777777" w:rsidR="00B15F7D" w:rsidRPr="00990FB6" w:rsidRDefault="00B15F7D" w:rsidP="00B15F7D">
            <w:pPr>
              <w:rPr>
                <w:b/>
                <w:bCs/>
                <w:sz w:val="22"/>
                <w:szCs w:val="22"/>
                <w:lang w:val="es-CR"/>
              </w:rPr>
            </w:pPr>
          </w:p>
          <w:p w14:paraId="737C79AC" w14:textId="77777777" w:rsidR="00B15F7D" w:rsidRPr="00990FB6" w:rsidRDefault="00B15F7D" w:rsidP="00B15F7D">
            <w:pPr>
              <w:rPr>
                <w:b/>
                <w:bCs/>
                <w:sz w:val="22"/>
                <w:szCs w:val="22"/>
                <w:lang w:val="es-CR"/>
              </w:rPr>
            </w:pPr>
          </w:p>
          <w:p w14:paraId="0954AEBA" w14:textId="77777777" w:rsidR="00B15F7D" w:rsidRPr="00990FB6" w:rsidRDefault="00B15F7D" w:rsidP="00B15F7D">
            <w:pPr>
              <w:rPr>
                <w:b/>
                <w:bCs/>
                <w:sz w:val="22"/>
                <w:szCs w:val="22"/>
                <w:lang w:val="es-CR"/>
              </w:rPr>
            </w:pPr>
            <w:r w:rsidRPr="00990FB6">
              <w:rPr>
                <w:b/>
                <w:bCs/>
                <w:sz w:val="22"/>
                <w:szCs w:val="22"/>
                <w:lang w:val="es-CR"/>
              </w:rPr>
              <w:t>FERIADO DÍA INTERNACIONAL DEL TRABAJO</w:t>
            </w:r>
          </w:p>
          <w:p w14:paraId="10BFD723" w14:textId="77777777" w:rsidR="00B15F7D" w:rsidRPr="00990FB6" w:rsidRDefault="00B15F7D" w:rsidP="00B15F7D">
            <w:pPr>
              <w:rPr>
                <w:b/>
                <w:bCs/>
                <w:sz w:val="22"/>
                <w:szCs w:val="22"/>
                <w:lang w:val="es-CR"/>
              </w:rPr>
            </w:pPr>
          </w:p>
        </w:tc>
      </w:tr>
      <w:tr w:rsidR="00B15F7D" w:rsidRPr="00990FB6" w14:paraId="1C696EDE" w14:textId="77777777" w:rsidTr="000A0C22">
        <w:trPr>
          <w:trHeight w:val="567"/>
          <w:jc w:val="center"/>
        </w:trPr>
        <w:tc>
          <w:tcPr>
            <w:tcW w:w="2439" w:type="dxa"/>
            <w:shd w:val="clear" w:color="auto" w:fill="auto"/>
            <w:vAlign w:val="center"/>
          </w:tcPr>
          <w:p w14:paraId="4B8106BD" w14:textId="77777777" w:rsidR="00B15F7D" w:rsidRPr="00990FB6" w:rsidRDefault="00B15F7D" w:rsidP="00B15F7D">
            <w:pPr>
              <w:jc w:val="center"/>
              <w:rPr>
                <w:sz w:val="22"/>
                <w:szCs w:val="22"/>
                <w:lang w:val="es-CR"/>
              </w:rPr>
            </w:pPr>
            <w:r w:rsidRPr="00990FB6">
              <w:rPr>
                <w:sz w:val="22"/>
                <w:szCs w:val="22"/>
                <w:lang w:val="es-CR"/>
              </w:rPr>
              <w:t>2 MAYO- J4 MAYO</w:t>
            </w:r>
          </w:p>
        </w:tc>
        <w:tc>
          <w:tcPr>
            <w:tcW w:w="7195" w:type="dxa"/>
            <w:shd w:val="clear" w:color="auto" w:fill="auto"/>
            <w:vAlign w:val="center"/>
          </w:tcPr>
          <w:p w14:paraId="2FEC6EF5" w14:textId="77777777" w:rsidR="00B15F7D" w:rsidRPr="00990FB6" w:rsidRDefault="00B15F7D" w:rsidP="00B15F7D">
            <w:pPr>
              <w:rPr>
                <w:bCs/>
                <w:sz w:val="22"/>
                <w:szCs w:val="22"/>
                <w:lang w:val="es-CR"/>
              </w:rPr>
            </w:pPr>
            <w:r w:rsidRPr="00990FB6">
              <w:rPr>
                <w:bCs/>
                <w:sz w:val="22"/>
                <w:szCs w:val="22"/>
                <w:lang w:val="es-CR"/>
              </w:rPr>
              <w:t xml:space="preserve">PERÍODO PARA PRESENTAR RECONSIDERACIONES POR PARTE DE LOS PROGRAMAS Y CENTROS DE RESPONSABILIDAD </w:t>
            </w:r>
          </w:p>
        </w:tc>
      </w:tr>
      <w:tr w:rsidR="00B15F7D" w:rsidRPr="00990FB6" w14:paraId="7A395CEE" w14:textId="77777777" w:rsidTr="000A0C22">
        <w:trPr>
          <w:trHeight w:val="567"/>
          <w:jc w:val="center"/>
        </w:trPr>
        <w:tc>
          <w:tcPr>
            <w:tcW w:w="2439" w:type="dxa"/>
            <w:shd w:val="clear" w:color="auto" w:fill="auto"/>
            <w:vAlign w:val="center"/>
          </w:tcPr>
          <w:p w14:paraId="13CF0787" w14:textId="77777777" w:rsidR="00B15F7D" w:rsidRPr="00990FB6" w:rsidRDefault="00B15F7D" w:rsidP="00B15F7D">
            <w:pPr>
              <w:jc w:val="center"/>
              <w:rPr>
                <w:sz w:val="22"/>
                <w:szCs w:val="22"/>
                <w:lang w:val="es-CR"/>
              </w:rPr>
            </w:pPr>
            <w:r w:rsidRPr="00990FB6">
              <w:rPr>
                <w:sz w:val="22"/>
                <w:szCs w:val="22"/>
                <w:lang w:val="es-CR"/>
              </w:rPr>
              <w:t>V5 MAYO- 9 MAYO</w:t>
            </w:r>
          </w:p>
        </w:tc>
        <w:tc>
          <w:tcPr>
            <w:tcW w:w="7195" w:type="dxa"/>
            <w:shd w:val="clear" w:color="auto" w:fill="auto"/>
            <w:vAlign w:val="center"/>
          </w:tcPr>
          <w:p w14:paraId="08608776" w14:textId="77777777" w:rsidR="00B15F7D" w:rsidRPr="00990FB6" w:rsidRDefault="00B15F7D" w:rsidP="00B15F7D">
            <w:pPr>
              <w:rPr>
                <w:bCs/>
                <w:sz w:val="22"/>
                <w:szCs w:val="22"/>
                <w:lang w:val="es-CR"/>
              </w:rPr>
            </w:pPr>
            <w:r w:rsidRPr="00990FB6">
              <w:rPr>
                <w:bCs/>
                <w:sz w:val="22"/>
                <w:szCs w:val="22"/>
                <w:lang w:val="es-CR"/>
              </w:rPr>
              <w:t>FINALIZAR ATENCIÓN DE RECONSIDERACIONES POR PARTE DE LA DIRECCIÓN DE PLANIFICACIÓN</w:t>
            </w:r>
          </w:p>
        </w:tc>
      </w:tr>
      <w:tr w:rsidR="00B15F7D" w:rsidRPr="00990FB6" w14:paraId="03FB61CA" w14:textId="77777777" w:rsidTr="000A0C22">
        <w:trPr>
          <w:trHeight w:val="567"/>
          <w:jc w:val="center"/>
        </w:trPr>
        <w:tc>
          <w:tcPr>
            <w:tcW w:w="2439" w:type="dxa"/>
            <w:shd w:val="clear" w:color="auto" w:fill="D0CECE"/>
            <w:vAlign w:val="center"/>
          </w:tcPr>
          <w:p w14:paraId="05AF16F8" w14:textId="77777777" w:rsidR="00B15F7D" w:rsidRPr="00990FB6" w:rsidRDefault="00B15F7D" w:rsidP="00B15F7D">
            <w:pPr>
              <w:jc w:val="center"/>
              <w:rPr>
                <w:b/>
                <w:bCs/>
                <w:sz w:val="22"/>
                <w:szCs w:val="22"/>
                <w:lang w:val="es-CR"/>
              </w:rPr>
            </w:pPr>
            <w:r w:rsidRPr="00990FB6">
              <w:rPr>
                <w:b/>
                <w:bCs/>
                <w:sz w:val="22"/>
                <w:szCs w:val="22"/>
                <w:lang w:val="es-CR"/>
              </w:rPr>
              <w:t>10 MAYO</w:t>
            </w:r>
          </w:p>
        </w:tc>
        <w:tc>
          <w:tcPr>
            <w:tcW w:w="7195" w:type="dxa"/>
            <w:shd w:val="clear" w:color="auto" w:fill="D0CECE"/>
            <w:vAlign w:val="center"/>
          </w:tcPr>
          <w:p w14:paraId="2910C8FD" w14:textId="77777777" w:rsidR="00B15F7D" w:rsidRPr="00990FB6" w:rsidRDefault="00B15F7D" w:rsidP="00B15F7D">
            <w:pPr>
              <w:rPr>
                <w:b/>
                <w:bCs/>
                <w:sz w:val="22"/>
                <w:szCs w:val="22"/>
                <w:lang w:val="es-CR"/>
              </w:rPr>
            </w:pPr>
            <w:r w:rsidRPr="00990FB6">
              <w:rPr>
                <w:b/>
                <w:bCs/>
                <w:sz w:val="22"/>
                <w:szCs w:val="22"/>
                <w:lang w:val="es-CR"/>
              </w:rPr>
              <w:t>SESIÓN DE CONSEJO SUPERIOR PARA APROBAR PROYECTO DE PRESUPUESTO PARA ENVIAR A CORTE PLENA (*)</w:t>
            </w:r>
          </w:p>
        </w:tc>
      </w:tr>
      <w:tr w:rsidR="00B15F7D" w:rsidRPr="00990FB6" w14:paraId="6EDEAB61" w14:textId="77777777" w:rsidTr="000A0C22">
        <w:trPr>
          <w:trHeight w:val="567"/>
          <w:jc w:val="center"/>
        </w:trPr>
        <w:tc>
          <w:tcPr>
            <w:tcW w:w="2439" w:type="dxa"/>
            <w:shd w:val="clear" w:color="auto" w:fill="auto"/>
            <w:vAlign w:val="center"/>
          </w:tcPr>
          <w:p w14:paraId="5DE3279F" w14:textId="77777777" w:rsidR="00B15F7D" w:rsidRPr="00990FB6" w:rsidRDefault="00B15F7D" w:rsidP="00B15F7D">
            <w:pPr>
              <w:jc w:val="center"/>
              <w:rPr>
                <w:sz w:val="22"/>
                <w:szCs w:val="22"/>
                <w:lang w:val="es-CR"/>
              </w:rPr>
            </w:pPr>
            <w:r w:rsidRPr="00990FB6">
              <w:rPr>
                <w:sz w:val="22"/>
                <w:szCs w:val="22"/>
                <w:lang w:val="es-CR"/>
              </w:rPr>
              <w:t>15 MAYO- 19 MAYO</w:t>
            </w:r>
          </w:p>
        </w:tc>
        <w:tc>
          <w:tcPr>
            <w:tcW w:w="7195" w:type="dxa"/>
            <w:shd w:val="clear" w:color="auto" w:fill="auto"/>
            <w:vAlign w:val="center"/>
          </w:tcPr>
          <w:p w14:paraId="6E73E32A" w14:textId="77777777" w:rsidR="00B15F7D" w:rsidRPr="00990FB6" w:rsidRDefault="00B15F7D" w:rsidP="00B15F7D">
            <w:pPr>
              <w:rPr>
                <w:bCs/>
                <w:sz w:val="22"/>
                <w:szCs w:val="22"/>
                <w:lang w:val="es-CR"/>
              </w:rPr>
            </w:pPr>
            <w:r w:rsidRPr="00990FB6">
              <w:rPr>
                <w:bCs/>
                <w:sz w:val="22"/>
                <w:szCs w:val="22"/>
                <w:lang w:val="es-CR"/>
              </w:rPr>
              <w:t>CONSOLIDACIÓN DEL PRESUPUESTO 2024 POR PLANIFICACIÓN Y ENVÍO A LA CORTE PLENA</w:t>
            </w:r>
          </w:p>
        </w:tc>
      </w:tr>
      <w:tr w:rsidR="00B15F7D" w:rsidRPr="00990FB6" w14:paraId="4E2E034A" w14:textId="77777777" w:rsidTr="000A0C22">
        <w:trPr>
          <w:trHeight w:val="567"/>
          <w:jc w:val="center"/>
        </w:trPr>
        <w:tc>
          <w:tcPr>
            <w:tcW w:w="2439" w:type="dxa"/>
            <w:shd w:val="clear" w:color="auto" w:fill="auto"/>
            <w:vAlign w:val="center"/>
          </w:tcPr>
          <w:p w14:paraId="6F61A272" w14:textId="77777777" w:rsidR="00B15F7D" w:rsidRPr="00990FB6" w:rsidRDefault="00B15F7D" w:rsidP="00B15F7D">
            <w:pPr>
              <w:jc w:val="center"/>
              <w:rPr>
                <w:sz w:val="22"/>
                <w:szCs w:val="22"/>
                <w:lang w:val="es-CR"/>
              </w:rPr>
            </w:pPr>
            <w:r w:rsidRPr="00990FB6">
              <w:rPr>
                <w:sz w:val="22"/>
                <w:szCs w:val="22"/>
                <w:lang w:val="es-CR"/>
              </w:rPr>
              <w:t>22 MAYO – 26 MAYO</w:t>
            </w:r>
          </w:p>
        </w:tc>
        <w:tc>
          <w:tcPr>
            <w:tcW w:w="7195" w:type="dxa"/>
            <w:shd w:val="clear" w:color="auto" w:fill="auto"/>
            <w:vAlign w:val="center"/>
          </w:tcPr>
          <w:p w14:paraId="0FA1D326" w14:textId="77777777" w:rsidR="00B15F7D" w:rsidRPr="00990FB6" w:rsidRDefault="00B15F7D" w:rsidP="00B15F7D">
            <w:pPr>
              <w:rPr>
                <w:bCs/>
                <w:sz w:val="22"/>
                <w:szCs w:val="22"/>
                <w:lang w:val="es-CR"/>
              </w:rPr>
            </w:pPr>
            <w:r w:rsidRPr="00990FB6">
              <w:rPr>
                <w:bCs/>
                <w:sz w:val="22"/>
                <w:szCs w:val="22"/>
                <w:lang w:val="es-CR"/>
              </w:rPr>
              <w:t>ANÁLISIS Y REVISIÓN DE DOCUMENTACIÓN SOBRE PRESUPUESTO 2024 POR PARTE DE CORTE PLENA</w:t>
            </w:r>
          </w:p>
        </w:tc>
      </w:tr>
      <w:tr w:rsidR="00B15F7D" w:rsidRPr="00990FB6" w14:paraId="4A3E20AD" w14:textId="77777777" w:rsidTr="000A0C22">
        <w:trPr>
          <w:trHeight w:val="567"/>
          <w:jc w:val="center"/>
        </w:trPr>
        <w:tc>
          <w:tcPr>
            <w:tcW w:w="2439" w:type="dxa"/>
            <w:shd w:val="clear" w:color="auto" w:fill="D0CECE"/>
            <w:vAlign w:val="center"/>
          </w:tcPr>
          <w:p w14:paraId="56410759" w14:textId="77777777" w:rsidR="00B15F7D" w:rsidRPr="00990FB6" w:rsidRDefault="00B15F7D" w:rsidP="00B15F7D">
            <w:pPr>
              <w:jc w:val="center"/>
              <w:rPr>
                <w:b/>
                <w:bCs/>
                <w:sz w:val="22"/>
                <w:szCs w:val="22"/>
                <w:lang w:val="es-CR"/>
              </w:rPr>
            </w:pPr>
            <w:r w:rsidRPr="00990FB6">
              <w:rPr>
                <w:b/>
                <w:bCs/>
                <w:sz w:val="22"/>
                <w:szCs w:val="22"/>
                <w:lang w:val="es-CR"/>
              </w:rPr>
              <w:t>29 MAYO – 2 JUNIO</w:t>
            </w:r>
          </w:p>
        </w:tc>
        <w:tc>
          <w:tcPr>
            <w:tcW w:w="7195" w:type="dxa"/>
            <w:shd w:val="clear" w:color="auto" w:fill="D0CECE"/>
            <w:vAlign w:val="center"/>
          </w:tcPr>
          <w:p w14:paraId="17C3B687" w14:textId="77777777" w:rsidR="00B15F7D" w:rsidRPr="00990FB6" w:rsidRDefault="00B15F7D" w:rsidP="00B15F7D">
            <w:pPr>
              <w:rPr>
                <w:b/>
                <w:bCs/>
                <w:sz w:val="22"/>
                <w:szCs w:val="22"/>
                <w:lang w:val="es-CR"/>
              </w:rPr>
            </w:pPr>
            <w:r w:rsidRPr="00990FB6">
              <w:rPr>
                <w:b/>
                <w:bCs/>
                <w:sz w:val="22"/>
                <w:szCs w:val="22"/>
                <w:lang w:val="es-CR"/>
              </w:rPr>
              <w:t>APROBACIÓN PRESUPUESTO 2024 POR PARTE DE CORTE PLENA (**)</w:t>
            </w:r>
          </w:p>
        </w:tc>
      </w:tr>
      <w:tr w:rsidR="00B15F7D" w:rsidRPr="00990FB6" w14:paraId="47FAA8BE" w14:textId="77777777" w:rsidTr="000A0C22">
        <w:trPr>
          <w:trHeight w:val="567"/>
          <w:jc w:val="center"/>
        </w:trPr>
        <w:tc>
          <w:tcPr>
            <w:tcW w:w="2439" w:type="dxa"/>
            <w:shd w:val="clear" w:color="auto" w:fill="auto"/>
            <w:vAlign w:val="center"/>
          </w:tcPr>
          <w:p w14:paraId="4C785933" w14:textId="77777777" w:rsidR="00B15F7D" w:rsidRPr="00990FB6" w:rsidRDefault="00B15F7D" w:rsidP="00B15F7D">
            <w:pPr>
              <w:jc w:val="center"/>
              <w:rPr>
                <w:sz w:val="22"/>
                <w:szCs w:val="22"/>
                <w:lang w:val="es-CR"/>
              </w:rPr>
            </w:pPr>
            <w:r w:rsidRPr="00990FB6">
              <w:rPr>
                <w:sz w:val="22"/>
                <w:szCs w:val="22"/>
                <w:lang w:val="es-CR"/>
              </w:rPr>
              <w:t>5 JUNIO – 15 DE JUNIO</w:t>
            </w:r>
          </w:p>
        </w:tc>
        <w:tc>
          <w:tcPr>
            <w:tcW w:w="7195" w:type="dxa"/>
            <w:shd w:val="clear" w:color="auto" w:fill="auto"/>
            <w:vAlign w:val="center"/>
          </w:tcPr>
          <w:p w14:paraId="4002D6E3" w14:textId="77777777" w:rsidR="00B15F7D" w:rsidRPr="00990FB6" w:rsidRDefault="00B15F7D" w:rsidP="00B15F7D">
            <w:pPr>
              <w:rPr>
                <w:bCs/>
                <w:sz w:val="22"/>
                <w:szCs w:val="22"/>
                <w:lang w:val="es-CR"/>
              </w:rPr>
            </w:pPr>
            <w:r w:rsidRPr="00990FB6">
              <w:rPr>
                <w:bCs/>
                <w:sz w:val="22"/>
                <w:szCs w:val="22"/>
                <w:lang w:val="es-CR"/>
              </w:rPr>
              <w:t>PREPARAR Y ENVIAR EL PROYECTO DE PRESUPUESTO AL MINISTERIO DE HACIENDA</w:t>
            </w:r>
          </w:p>
        </w:tc>
      </w:tr>
    </w:tbl>
    <w:p w14:paraId="76285889" w14:textId="77777777" w:rsidR="00B15F7D" w:rsidRPr="00990FB6" w:rsidRDefault="00B15F7D" w:rsidP="00B15F7D">
      <w:pPr>
        <w:ind w:left="851" w:right="851"/>
        <w:rPr>
          <w:b/>
          <w:sz w:val="22"/>
          <w:szCs w:val="22"/>
          <w:lang w:val="es-CR"/>
        </w:rPr>
      </w:pPr>
      <w:r w:rsidRPr="00990FB6">
        <w:rPr>
          <w:b/>
          <w:sz w:val="22"/>
          <w:szCs w:val="22"/>
          <w:lang w:val="es-CR"/>
        </w:rPr>
        <w:t>(*) SESIONES DE SALONES DEL TERCER PISO EDIFICIO DE LA CORTE</w:t>
      </w:r>
    </w:p>
    <w:p w14:paraId="04D985F8" w14:textId="77777777" w:rsidR="00B15F7D" w:rsidRPr="00990FB6" w:rsidRDefault="00B15F7D" w:rsidP="00B15F7D">
      <w:pPr>
        <w:widowControl w:val="0"/>
        <w:suppressAutoHyphens w:val="0"/>
        <w:ind w:left="851" w:right="851"/>
        <w:rPr>
          <w:b/>
          <w:sz w:val="22"/>
          <w:szCs w:val="22"/>
          <w:lang w:val="es-CR"/>
        </w:rPr>
      </w:pPr>
      <w:r w:rsidRPr="00990FB6">
        <w:rPr>
          <w:b/>
          <w:sz w:val="22"/>
          <w:szCs w:val="22"/>
          <w:lang w:val="es-CR"/>
        </w:rPr>
        <w:t>(**) SESIONES EN SALÓN DE CORTE PLENA</w:t>
      </w:r>
    </w:p>
    <w:p w14:paraId="27F53ADC" w14:textId="77777777" w:rsidR="00B15F7D" w:rsidRPr="00990FB6" w:rsidRDefault="00B15F7D" w:rsidP="00B15F7D">
      <w:pPr>
        <w:widowControl w:val="0"/>
        <w:suppressAutoHyphens w:val="0"/>
        <w:ind w:left="851" w:right="851"/>
        <w:jc w:val="both"/>
        <w:rPr>
          <w:sz w:val="22"/>
          <w:szCs w:val="22"/>
          <w:lang w:val="es-CR"/>
        </w:rPr>
      </w:pPr>
      <w:r w:rsidRPr="00990FB6">
        <w:rPr>
          <w:sz w:val="22"/>
          <w:szCs w:val="22"/>
          <w:lang w:val="es-CR"/>
        </w:rPr>
        <w:t xml:space="preserve">Nota: Los temas pueden variar de acuerdo con la dinámica de las sesiones de trabajo. </w:t>
      </w:r>
    </w:p>
    <w:p w14:paraId="05DFD381" w14:textId="77777777" w:rsidR="00B15F7D" w:rsidRPr="00990FB6" w:rsidRDefault="00B15F7D" w:rsidP="00B15F7D">
      <w:pPr>
        <w:widowControl w:val="0"/>
        <w:suppressAutoHyphens w:val="0"/>
        <w:ind w:left="851" w:right="851"/>
        <w:jc w:val="both"/>
        <w:rPr>
          <w:sz w:val="22"/>
          <w:szCs w:val="22"/>
          <w:lang w:val="es-CR"/>
        </w:rPr>
      </w:pPr>
    </w:p>
    <w:p w14:paraId="76C1BD93" w14:textId="77777777" w:rsidR="00B15F7D" w:rsidRPr="00990FB6" w:rsidRDefault="00B15F7D" w:rsidP="00B15F7D">
      <w:pPr>
        <w:ind w:left="851" w:right="851" w:firstLine="709"/>
        <w:rPr>
          <w:b/>
          <w:bCs/>
          <w:sz w:val="22"/>
          <w:szCs w:val="22"/>
          <w:lang w:val="es-CR"/>
        </w:rPr>
      </w:pPr>
      <w:r w:rsidRPr="00990FB6">
        <w:rPr>
          <w:b/>
          <w:bCs/>
          <w:sz w:val="22"/>
          <w:szCs w:val="22"/>
          <w:lang w:val="es-CR"/>
        </w:rPr>
        <w:t xml:space="preserve">1.Consideraciones relevantes del Proceso de Formulación 2024 </w:t>
      </w:r>
    </w:p>
    <w:p w14:paraId="019295B6" w14:textId="77777777" w:rsidR="00B15F7D" w:rsidRPr="00990FB6" w:rsidRDefault="00B15F7D" w:rsidP="00B15F7D">
      <w:pPr>
        <w:ind w:left="851" w:right="851" w:firstLine="709"/>
        <w:jc w:val="both"/>
        <w:rPr>
          <w:sz w:val="22"/>
          <w:szCs w:val="22"/>
          <w:lang w:val="es-CR"/>
        </w:rPr>
      </w:pPr>
      <w:r w:rsidRPr="00990FB6">
        <w:rPr>
          <w:sz w:val="22"/>
          <w:szCs w:val="22"/>
          <w:lang w:val="es-CR"/>
        </w:rPr>
        <w:t xml:space="preserve">Es importante destacar que, en relación con la programación mostrada, para este año se tienen algunas consideraciones relevantes que se detallan a continuación: </w:t>
      </w:r>
    </w:p>
    <w:p w14:paraId="6F860A68" w14:textId="77777777" w:rsidR="00B15F7D" w:rsidRPr="00990FB6" w:rsidRDefault="00B15F7D" w:rsidP="00B15F7D">
      <w:pPr>
        <w:ind w:right="851"/>
        <w:jc w:val="both"/>
        <w:rPr>
          <w:sz w:val="22"/>
          <w:szCs w:val="22"/>
          <w:lang w:val="es-CR"/>
        </w:rPr>
      </w:pPr>
    </w:p>
    <w:p w14:paraId="044A26D5" w14:textId="77777777" w:rsidR="00B15F7D" w:rsidRPr="00990FB6" w:rsidRDefault="00B15F7D" w:rsidP="00B15F7D">
      <w:pPr>
        <w:numPr>
          <w:ilvl w:val="0"/>
          <w:numId w:val="125"/>
        </w:numPr>
        <w:suppressAutoHyphens w:val="0"/>
        <w:ind w:left="851" w:right="851" w:firstLine="709"/>
        <w:jc w:val="both"/>
        <w:rPr>
          <w:sz w:val="22"/>
          <w:szCs w:val="22"/>
          <w:lang w:val="es-CR"/>
        </w:rPr>
      </w:pPr>
      <w:r w:rsidRPr="00990FB6">
        <w:rPr>
          <w:sz w:val="22"/>
          <w:szCs w:val="22"/>
          <w:lang w:val="es-CR"/>
        </w:rPr>
        <w:t>Para el 2024 se mantiene una política restrictiva en materia de contratos de alquiler de edificio, nuevas contrataciones o ampliaciones de contratos de limpieza, jardinería o vigilancia, para lo cual los artículos relacionados se desactivaron en el sistema de formulación para que las nuevas solicitudes sean analizadas por la Dirección Ejecutiva.</w:t>
      </w:r>
    </w:p>
    <w:p w14:paraId="2BC05960" w14:textId="77777777" w:rsidR="00B15F7D" w:rsidRPr="00990FB6" w:rsidRDefault="00B15F7D" w:rsidP="00B15F7D">
      <w:pPr>
        <w:suppressAutoHyphens w:val="0"/>
        <w:ind w:left="851" w:right="851"/>
        <w:jc w:val="both"/>
        <w:rPr>
          <w:sz w:val="22"/>
          <w:szCs w:val="22"/>
          <w:lang w:val="es-CR"/>
        </w:rPr>
      </w:pPr>
    </w:p>
    <w:p w14:paraId="0D3180DC" w14:textId="77777777" w:rsidR="00B15F7D" w:rsidRPr="00990FB6" w:rsidRDefault="00B15F7D" w:rsidP="00B15F7D">
      <w:pPr>
        <w:numPr>
          <w:ilvl w:val="0"/>
          <w:numId w:val="125"/>
        </w:numPr>
        <w:suppressAutoHyphens w:val="0"/>
        <w:ind w:left="851" w:right="851" w:firstLine="709"/>
        <w:jc w:val="both"/>
        <w:rPr>
          <w:sz w:val="22"/>
          <w:szCs w:val="22"/>
          <w:lang w:val="es-CR"/>
        </w:rPr>
      </w:pPr>
      <w:r w:rsidRPr="00990FB6">
        <w:rPr>
          <w:sz w:val="22"/>
          <w:szCs w:val="22"/>
          <w:lang w:val="es-CR"/>
        </w:rPr>
        <w:t xml:space="preserve">El Consejo Superior en sesión 103-2022, celebrada el 24 de noviembre, artículo XIII, conoció el oficio 1079-PLA-PP-2022 donde aprobó un 0% de variación </w:t>
      </w:r>
      <w:r w:rsidRPr="00990FB6">
        <w:rPr>
          <w:sz w:val="22"/>
          <w:szCs w:val="22"/>
          <w:lang w:val="es-CR"/>
        </w:rPr>
        <w:lastRenderedPageBreak/>
        <w:t xml:space="preserve">en la formulación presupuestaria. Es decir, que el límite presupuestario para el 2024 debe ser igual o menor al aprobado para el presupuesto del 2023, respetando el equilibrio de los montos asignados de gasto corriente (partidas 0, 1, 2, 6 y 9) y gasto de capital (partidas 5 y 7). </w:t>
      </w:r>
    </w:p>
    <w:p w14:paraId="3F292840" w14:textId="77777777" w:rsidR="00B15F7D" w:rsidRPr="00990FB6" w:rsidRDefault="00B15F7D" w:rsidP="00B15F7D">
      <w:pPr>
        <w:suppressAutoHyphens w:val="0"/>
        <w:ind w:right="851"/>
        <w:jc w:val="both"/>
        <w:rPr>
          <w:sz w:val="22"/>
          <w:szCs w:val="22"/>
          <w:lang w:val="es-CR"/>
        </w:rPr>
      </w:pPr>
    </w:p>
    <w:p w14:paraId="28F9FF29" w14:textId="77777777" w:rsidR="00B15F7D" w:rsidRPr="00990FB6" w:rsidRDefault="00B15F7D" w:rsidP="00B15F7D">
      <w:pPr>
        <w:numPr>
          <w:ilvl w:val="0"/>
          <w:numId w:val="125"/>
        </w:numPr>
        <w:suppressAutoHyphens w:val="0"/>
        <w:ind w:left="851" w:right="851" w:firstLine="709"/>
        <w:jc w:val="both"/>
        <w:rPr>
          <w:sz w:val="22"/>
          <w:szCs w:val="22"/>
          <w:lang w:val="es-CR"/>
        </w:rPr>
      </w:pPr>
      <w:r w:rsidRPr="00990FB6">
        <w:rPr>
          <w:sz w:val="22"/>
          <w:szCs w:val="22"/>
          <w:lang w:val="es-CR"/>
        </w:rPr>
        <w:t>Es importante destacar que al igual que para para los procesos de formulación 2022 y 2023, debido a la reorganización de funciones y procesos realizada a lo interno de esta Dirección, no se solicitará la autorización del pago de horas extras para el personal encargado de realizar los estudios de requerimiento de recurso humano, tanto los de la continuidad o no de las plazas aprobadas como extraordinarias para 2023, además de la actualización de los estudios necesarios para la atención de las diferentes Leyes o Reformas que se encuentren en proceso de aprobación por parte de la Asamblea Legislativa. De igual forma, tampoco se está solicitando la autorización para trabajar en tiempo extraordinario para el personal del Área Administrativa que brinda soporte a este proceso.</w:t>
      </w:r>
    </w:p>
    <w:p w14:paraId="19BE8E8E" w14:textId="77777777" w:rsidR="00B15F7D" w:rsidRPr="00990FB6" w:rsidRDefault="00B15F7D" w:rsidP="00B15F7D">
      <w:pPr>
        <w:suppressAutoHyphens w:val="0"/>
        <w:ind w:right="851"/>
        <w:jc w:val="both"/>
        <w:rPr>
          <w:sz w:val="22"/>
          <w:szCs w:val="22"/>
          <w:lang w:val="es-CR"/>
        </w:rPr>
      </w:pPr>
    </w:p>
    <w:p w14:paraId="3E6F9C14" w14:textId="77777777" w:rsidR="00B15F7D" w:rsidRPr="00990FB6" w:rsidRDefault="00B15F7D" w:rsidP="00B15F7D">
      <w:pPr>
        <w:ind w:left="851" w:right="851" w:firstLine="709"/>
        <w:jc w:val="both"/>
        <w:rPr>
          <w:sz w:val="22"/>
          <w:szCs w:val="22"/>
          <w:lang w:val="es-CR"/>
        </w:rPr>
      </w:pPr>
      <w:r w:rsidRPr="00990FB6">
        <w:rPr>
          <w:sz w:val="22"/>
          <w:szCs w:val="22"/>
          <w:lang w:val="es-CR"/>
        </w:rPr>
        <w:t xml:space="preserve">No obstante, como ha sido característico de los procesos de formulación de años anteriores, en este periodo el Subproceso de Formulación Presupuesto y Portafolio de Proyectos, en razón que los plazos de atención de las solicitudes, se le presenta una alta carga de trabajo lo que provocará la atención de gestiones fuera de la jornada laboral, generando con ello la necesidad de contar con la autorización del pago de horas extra. </w:t>
      </w:r>
    </w:p>
    <w:p w14:paraId="5AC37179" w14:textId="77777777" w:rsidR="00B15F7D" w:rsidRPr="00990FB6" w:rsidRDefault="00B15F7D" w:rsidP="00B15F7D">
      <w:pPr>
        <w:ind w:right="851"/>
        <w:jc w:val="both"/>
        <w:rPr>
          <w:sz w:val="22"/>
          <w:szCs w:val="22"/>
          <w:lang w:val="es-CR"/>
        </w:rPr>
      </w:pPr>
    </w:p>
    <w:p w14:paraId="16E5105E" w14:textId="77777777" w:rsidR="00B15F7D" w:rsidRPr="00990FB6" w:rsidRDefault="00B15F7D" w:rsidP="00B15F7D">
      <w:pPr>
        <w:ind w:left="851" w:right="851" w:firstLine="709"/>
        <w:jc w:val="both"/>
        <w:rPr>
          <w:sz w:val="22"/>
          <w:szCs w:val="22"/>
          <w:lang w:val="es-CR"/>
        </w:rPr>
      </w:pPr>
      <w:r w:rsidRPr="00990FB6">
        <w:rPr>
          <w:sz w:val="22"/>
          <w:szCs w:val="22"/>
          <w:lang w:val="es-CR"/>
        </w:rPr>
        <w:t xml:space="preserve">En este sentido, se solicita la autorización del reconocimiento de horas extra únicamente para el personal de la Unidad de Formulación de Presupuesto, que se indica en la Tabla 2, para el período comprendido desde el 1° de febrero y hasta el 15 de junio del 2023, </w:t>
      </w:r>
      <w:r w:rsidRPr="00990FB6">
        <w:rPr>
          <w:b/>
          <w:bCs/>
          <w:sz w:val="22"/>
          <w:szCs w:val="22"/>
          <w:lang w:val="es-CR"/>
        </w:rPr>
        <w:t>las cuales se realizarán cuando estrictamente se requiera y bajo la modalidad presencial</w:t>
      </w:r>
      <w:r w:rsidRPr="00990FB6">
        <w:rPr>
          <w:sz w:val="22"/>
          <w:szCs w:val="22"/>
          <w:lang w:val="es-CR"/>
        </w:rPr>
        <w:t xml:space="preserve">. </w:t>
      </w:r>
    </w:p>
    <w:p w14:paraId="6CB19EB8" w14:textId="77777777" w:rsidR="00B15F7D" w:rsidRPr="00990FB6" w:rsidRDefault="00B15F7D" w:rsidP="00B15F7D">
      <w:pPr>
        <w:ind w:right="851"/>
        <w:jc w:val="both"/>
        <w:rPr>
          <w:sz w:val="22"/>
          <w:szCs w:val="22"/>
          <w:lang w:val="es-CR"/>
        </w:rPr>
      </w:pPr>
    </w:p>
    <w:p w14:paraId="7522D800" w14:textId="77777777" w:rsidR="00B15F7D" w:rsidRPr="00990FB6" w:rsidRDefault="00B15F7D" w:rsidP="00B15F7D">
      <w:pPr>
        <w:ind w:left="851" w:right="851" w:firstLine="709"/>
        <w:jc w:val="both"/>
        <w:rPr>
          <w:sz w:val="22"/>
          <w:szCs w:val="22"/>
          <w:lang w:val="es-CR"/>
        </w:rPr>
      </w:pPr>
      <w:r w:rsidRPr="00990FB6">
        <w:rPr>
          <w:sz w:val="22"/>
          <w:szCs w:val="22"/>
          <w:lang w:val="es-CR"/>
        </w:rPr>
        <w:t>En la actualidad todas y todos los colaboradores de la Unidad indicada, se encuentran en labores mediante la modalidad de 3 días en teletrabajo y 2 en forma presencial y que producto de esto se han implementado una serie de controles adicionales que han permitido mantener bajo un estándar adecuado, eficiente y oportuno el desempeño del personal, el cual cuenta con las herramientas adecuadas para su desempeño, logrando hasta la fecha niveles óptimos en los resultados reportados.</w:t>
      </w:r>
    </w:p>
    <w:p w14:paraId="54C56C36" w14:textId="77777777" w:rsidR="00B15F7D" w:rsidRPr="00990FB6" w:rsidRDefault="00B15F7D" w:rsidP="00B15F7D">
      <w:pPr>
        <w:ind w:right="851"/>
        <w:jc w:val="both"/>
        <w:rPr>
          <w:sz w:val="22"/>
          <w:szCs w:val="22"/>
          <w:lang w:val="es-CR"/>
        </w:rPr>
      </w:pPr>
    </w:p>
    <w:p w14:paraId="34D54955" w14:textId="77777777" w:rsidR="00B15F7D" w:rsidRPr="00990FB6" w:rsidRDefault="00B15F7D" w:rsidP="00B15F7D">
      <w:pPr>
        <w:ind w:left="851" w:right="851" w:firstLine="709"/>
        <w:jc w:val="both"/>
        <w:rPr>
          <w:sz w:val="22"/>
          <w:szCs w:val="22"/>
          <w:lang w:val="es-CR"/>
        </w:rPr>
      </w:pPr>
      <w:r w:rsidRPr="00990FB6">
        <w:rPr>
          <w:sz w:val="22"/>
          <w:szCs w:val="22"/>
          <w:lang w:val="es-CR"/>
        </w:rPr>
        <w:t>Todos estos controles se pretenden implementar en la misma proporción al momento del inicio de la implementación de las horas extras, además se cuenta con una programación de entrega de productos al Consejo Superior por profesional.</w:t>
      </w:r>
    </w:p>
    <w:p w14:paraId="756B0310" w14:textId="77777777" w:rsidR="00B15F7D" w:rsidRPr="00990FB6" w:rsidRDefault="00B15F7D" w:rsidP="00B15F7D">
      <w:pPr>
        <w:ind w:left="851" w:right="851" w:firstLine="709"/>
        <w:jc w:val="both"/>
        <w:rPr>
          <w:sz w:val="22"/>
          <w:szCs w:val="22"/>
          <w:lang w:val="es-CR"/>
        </w:rPr>
      </w:pPr>
    </w:p>
    <w:p w14:paraId="25617E11" w14:textId="77777777" w:rsidR="00B15F7D" w:rsidRPr="00990FB6" w:rsidRDefault="00B15F7D" w:rsidP="00B15F7D">
      <w:pPr>
        <w:ind w:left="851" w:right="851" w:firstLine="709"/>
        <w:jc w:val="both"/>
        <w:rPr>
          <w:sz w:val="22"/>
          <w:szCs w:val="22"/>
          <w:lang w:val="es-CR"/>
        </w:rPr>
      </w:pPr>
      <w:r w:rsidRPr="00990FB6">
        <w:rPr>
          <w:sz w:val="22"/>
          <w:szCs w:val="22"/>
          <w:lang w:val="es-CR"/>
        </w:rPr>
        <w:t>Es importante destacar que la presente solicitud se realiza ya que históricamente durante este proceso, no es posible atender la carga de trabajo dentro de la jornada ordinaria, igualmente, se controlará por parte de la jefatura inmediata, que se utilicen las horas estrictamente necesarias.</w:t>
      </w:r>
    </w:p>
    <w:p w14:paraId="282E1264" w14:textId="77777777" w:rsidR="00B15F7D" w:rsidRPr="00990FB6" w:rsidRDefault="00B15F7D" w:rsidP="00B15F7D">
      <w:pPr>
        <w:ind w:left="851" w:right="851" w:firstLine="709"/>
        <w:jc w:val="both"/>
        <w:rPr>
          <w:sz w:val="22"/>
          <w:szCs w:val="22"/>
          <w:lang w:val="es-CR"/>
        </w:rPr>
      </w:pPr>
    </w:p>
    <w:p w14:paraId="0A84535C" w14:textId="77777777" w:rsidR="00B15F7D" w:rsidRPr="00990FB6" w:rsidRDefault="00B15F7D" w:rsidP="00B15F7D">
      <w:pPr>
        <w:jc w:val="center"/>
        <w:rPr>
          <w:b/>
          <w:sz w:val="22"/>
          <w:szCs w:val="22"/>
          <w:lang w:val="es-CR"/>
        </w:rPr>
      </w:pPr>
      <w:r w:rsidRPr="00990FB6">
        <w:rPr>
          <w:b/>
          <w:sz w:val="22"/>
          <w:szCs w:val="22"/>
          <w:lang w:val="es-CR"/>
        </w:rPr>
        <w:lastRenderedPageBreak/>
        <w:t xml:space="preserve">Tabla 2. Funcionarios del Subproceso de Formulación de Presupuesto y </w:t>
      </w:r>
    </w:p>
    <w:p w14:paraId="117E9969" w14:textId="77777777" w:rsidR="00B15F7D" w:rsidRPr="00990FB6" w:rsidRDefault="00B15F7D" w:rsidP="00B15F7D">
      <w:pPr>
        <w:jc w:val="center"/>
        <w:rPr>
          <w:b/>
          <w:sz w:val="22"/>
          <w:szCs w:val="22"/>
          <w:lang w:val="es-CR"/>
        </w:rPr>
      </w:pPr>
      <w:r w:rsidRPr="00990FB6">
        <w:rPr>
          <w:b/>
          <w:sz w:val="22"/>
          <w:szCs w:val="22"/>
          <w:lang w:val="es-CR"/>
        </w:rPr>
        <w:t>Portafolio de Proyectos</w:t>
      </w:r>
    </w:p>
    <w:p w14:paraId="40D01255" w14:textId="77777777" w:rsidR="00B15F7D" w:rsidRPr="00990FB6" w:rsidRDefault="00B15F7D" w:rsidP="00B15F7D">
      <w:pPr>
        <w:jc w:val="center"/>
        <w:rPr>
          <w:b/>
          <w:sz w:val="22"/>
          <w:szCs w:val="22"/>
          <w:lang w:val="es-CR"/>
        </w:rPr>
      </w:pPr>
    </w:p>
    <w:tbl>
      <w:tblPr>
        <w:tblW w:w="29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2"/>
        <w:gridCol w:w="1586"/>
      </w:tblGrid>
      <w:tr w:rsidR="00B15F7D" w:rsidRPr="00990FB6" w14:paraId="3C73DFD0" w14:textId="77777777" w:rsidTr="000A0C22">
        <w:trPr>
          <w:trHeight w:val="283"/>
          <w:tblHeader/>
          <w:jc w:val="center"/>
        </w:trPr>
        <w:tc>
          <w:tcPr>
            <w:tcW w:w="3544" w:type="pct"/>
            <w:shd w:val="clear" w:color="auto" w:fill="1F497D"/>
            <w:vAlign w:val="center"/>
          </w:tcPr>
          <w:p w14:paraId="095C21C5" w14:textId="77777777" w:rsidR="00B15F7D" w:rsidRPr="00990FB6" w:rsidRDefault="00B15F7D" w:rsidP="00B15F7D">
            <w:pPr>
              <w:jc w:val="center"/>
              <w:rPr>
                <w:b/>
                <w:sz w:val="22"/>
                <w:szCs w:val="22"/>
                <w:lang w:val="es-CR"/>
              </w:rPr>
            </w:pPr>
            <w:r w:rsidRPr="00990FB6">
              <w:rPr>
                <w:b/>
                <w:sz w:val="22"/>
                <w:szCs w:val="22"/>
                <w:lang w:val="es-CR"/>
              </w:rPr>
              <w:t>Servidora/</w:t>
            </w:r>
            <w:proofErr w:type="spellStart"/>
            <w:r w:rsidRPr="00990FB6">
              <w:rPr>
                <w:b/>
                <w:sz w:val="22"/>
                <w:szCs w:val="22"/>
                <w:lang w:val="es-CR"/>
              </w:rPr>
              <w:t>or</w:t>
            </w:r>
            <w:proofErr w:type="spellEnd"/>
          </w:p>
        </w:tc>
        <w:tc>
          <w:tcPr>
            <w:tcW w:w="1456" w:type="pct"/>
            <w:shd w:val="clear" w:color="auto" w:fill="1F497D"/>
            <w:vAlign w:val="center"/>
          </w:tcPr>
          <w:p w14:paraId="2E8842B5" w14:textId="77777777" w:rsidR="00B15F7D" w:rsidRPr="00990FB6" w:rsidRDefault="00B15F7D" w:rsidP="00B15F7D">
            <w:pPr>
              <w:jc w:val="center"/>
              <w:rPr>
                <w:b/>
                <w:sz w:val="22"/>
                <w:szCs w:val="22"/>
                <w:lang w:val="es-CR"/>
              </w:rPr>
            </w:pPr>
            <w:r w:rsidRPr="00990FB6">
              <w:rPr>
                <w:b/>
                <w:sz w:val="22"/>
                <w:szCs w:val="22"/>
                <w:lang w:val="es-CR"/>
              </w:rPr>
              <w:t>Cédula</w:t>
            </w:r>
          </w:p>
        </w:tc>
      </w:tr>
      <w:tr w:rsidR="00B15F7D" w:rsidRPr="00990FB6" w14:paraId="1A55080B" w14:textId="77777777" w:rsidTr="000A0C22">
        <w:trPr>
          <w:trHeight w:val="283"/>
          <w:jc w:val="center"/>
        </w:trPr>
        <w:tc>
          <w:tcPr>
            <w:tcW w:w="3544" w:type="pct"/>
            <w:shd w:val="clear" w:color="auto" w:fill="auto"/>
            <w:vAlign w:val="center"/>
          </w:tcPr>
          <w:p w14:paraId="445E0208" w14:textId="77777777" w:rsidR="00B15F7D" w:rsidRPr="00990FB6" w:rsidRDefault="00B15F7D" w:rsidP="00B15F7D">
            <w:pPr>
              <w:rPr>
                <w:sz w:val="22"/>
                <w:szCs w:val="22"/>
                <w:lang w:val="es-CR"/>
              </w:rPr>
            </w:pPr>
            <w:r w:rsidRPr="00990FB6">
              <w:rPr>
                <w:sz w:val="22"/>
                <w:szCs w:val="22"/>
                <w:lang w:val="es-CR"/>
              </w:rPr>
              <w:t>Paulo Mena Quesada</w:t>
            </w:r>
          </w:p>
        </w:tc>
        <w:tc>
          <w:tcPr>
            <w:tcW w:w="1456" w:type="pct"/>
            <w:vAlign w:val="center"/>
          </w:tcPr>
          <w:p w14:paraId="6580D415" w14:textId="77777777" w:rsidR="00B15F7D" w:rsidRPr="00990FB6" w:rsidRDefault="00B15F7D" w:rsidP="00B15F7D">
            <w:pPr>
              <w:jc w:val="center"/>
              <w:rPr>
                <w:sz w:val="22"/>
                <w:szCs w:val="22"/>
                <w:lang w:val="es-CR" w:eastAsia="es-CR"/>
              </w:rPr>
            </w:pPr>
            <w:r w:rsidRPr="00990FB6">
              <w:rPr>
                <w:sz w:val="22"/>
                <w:szCs w:val="22"/>
                <w:lang w:val="es-CR"/>
              </w:rPr>
              <w:t>3-0331-0109</w:t>
            </w:r>
          </w:p>
        </w:tc>
      </w:tr>
      <w:tr w:rsidR="00B15F7D" w:rsidRPr="00990FB6" w14:paraId="09A32951" w14:textId="77777777" w:rsidTr="000A0C22">
        <w:trPr>
          <w:trHeight w:val="283"/>
          <w:jc w:val="center"/>
        </w:trPr>
        <w:tc>
          <w:tcPr>
            <w:tcW w:w="3544" w:type="pct"/>
            <w:shd w:val="clear" w:color="auto" w:fill="auto"/>
            <w:vAlign w:val="center"/>
          </w:tcPr>
          <w:p w14:paraId="4B223C60" w14:textId="77777777" w:rsidR="00B15F7D" w:rsidRPr="00990FB6" w:rsidRDefault="00B15F7D" w:rsidP="00B15F7D">
            <w:pPr>
              <w:rPr>
                <w:sz w:val="22"/>
                <w:szCs w:val="22"/>
                <w:lang w:val="es-CR"/>
              </w:rPr>
            </w:pPr>
            <w:r w:rsidRPr="00990FB6">
              <w:rPr>
                <w:sz w:val="22"/>
                <w:szCs w:val="22"/>
                <w:lang w:val="es-CR"/>
              </w:rPr>
              <w:t>Rita Castro Abarca</w:t>
            </w:r>
          </w:p>
        </w:tc>
        <w:tc>
          <w:tcPr>
            <w:tcW w:w="1456" w:type="pct"/>
            <w:vAlign w:val="center"/>
          </w:tcPr>
          <w:p w14:paraId="7B73196B" w14:textId="77777777" w:rsidR="00B15F7D" w:rsidRPr="00990FB6" w:rsidRDefault="00B15F7D" w:rsidP="00B15F7D">
            <w:pPr>
              <w:jc w:val="center"/>
              <w:rPr>
                <w:sz w:val="22"/>
                <w:szCs w:val="22"/>
                <w:lang w:val="es-CR"/>
              </w:rPr>
            </w:pPr>
            <w:r w:rsidRPr="00990FB6">
              <w:rPr>
                <w:sz w:val="22"/>
                <w:szCs w:val="22"/>
                <w:lang w:val="es-CR"/>
              </w:rPr>
              <w:t>2-0456-0750</w:t>
            </w:r>
          </w:p>
        </w:tc>
      </w:tr>
      <w:tr w:rsidR="00B15F7D" w:rsidRPr="00990FB6" w14:paraId="00821248" w14:textId="77777777" w:rsidTr="000A0C22">
        <w:trPr>
          <w:trHeight w:val="283"/>
          <w:jc w:val="center"/>
        </w:trPr>
        <w:tc>
          <w:tcPr>
            <w:tcW w:w="3544" w:type="pct"/>
            <w:shd w:val="clear" w:color="auto" w:fill="auto"/>
            <w:vAlign w:val="center"/>
          </w:tcPr>
          <w:p w14:paraId="5374BD40" w14:textId="77777777" w:rsidR="00B15F7D" w:rsidRPr="00990FB6" w:rsidRDefault="00B15F7D" w:rsidP="00B15F7D">
            <w:pPr>
              <w:rPr>
                <w:sz w:val="22"/>
                <w:szCs w:val="22"/>
                <w:lang w:val="es-CR"/>
              </w:rPr>
            </w:pPr>
            <w:r w:rsidRPr="00990FB6">
              <w:rPr>
                <w:sz w:val="22"/>
                <w:szCs w:val="22"/>
                <w:lang w:val="es-CR"/>
              </w:rPr>
              <w:t>Ana Cecilia Murillo Berrocal</w:t>
            </w:r>
          </w:p>
        </w:tc>
        <w:tc>
          <w:tcPr>
            <w:tcW w:w="1456" w:type="pct"/>
            <w:vAlign w:val="center"/>
          </w:tcPr>
          <w:p w14:paraId="408D1C43" w14:textId="77777777" w:rsidR="00B15F7D" w:rsidRPr="00990FB6" w:rsidRDefault="00B15F7D" w:rsidP="00B15F7D">
            <w:pPr>
              <w:jc w:val="center"/>
              <w:rPr>
                <w:sz w:val="22"/>
                <w:szCs w:val="22"/>
                <w:lang w:val="es-CR"/>
              </w:rPr>
            </w:pPr>
            <w:r w:rsidRPr="00990FB6">
              <w:rPr>
                <w:sz w:val="22"/>
                <w:szCs w:val="22"/>
                <w:lang w:val="es-CR"/>
              </w:rPr>
              <w:t>1-0611-0353</w:t>
            </w:r>
          </w:p>
        </w:tc>
      </w:tr>
      <w:tr w:rsidR="00B15F7D" w:rsidRPr="00990FB6" w14:paraId="4F9E4DAD" w14:textId="77777777" w:rsidTr="000A0C22">
        <w:trPr>
          <w:trHeight w:val="283"/>
          <w:jc w:val="center"/>
        </w:trPr>
        <w:tc>
          <w:tcPr>
            <w:tcW w:w="3544" w:type="pct"/>
            <w:shd w:val="clear" w:color="auto" w:fill="auto"/>
            <w:vAlign w:val="center"/>
          </w:tcPr>
          <w:p w14:paraId="190402C4" w14:textId="77777777" w:rsidR="00B15F7D" w:rsidRPr="00990FB6" w:rsidRDefault="00B15F7D" w:rsidP="00B15F7D">
            <w:pPr>
              <w:rPr>
                <w:sz w:val="22"/>
                <w:szCs w:val="22"/>
                <w:lang w:val="es-CR"/>
              </w:rPr>
            </w:pPr>
            <w:r w:rsidRPr="00990FB6">
              <w:rPr>
                <w:sz w:val="22"/>
                <w:szCs w:val="22"/>
                <w:lang w:val="es-CR"/>
              </w:rPr>
              <w:t>Vanessa Guadamuz Alvarado</w:t>
            </w:r>
          </w:p>
        </w:tc>
        <w:tc>
          <w:tcPr>
            <w:tcW w:w="1456" w:type="pct"/>
            <w:vAlign w:val="center"/>
          </w:tcPr>
          <w:p w14:paraId="49EACBEE" w14:textId="77777777" w:rsidR="00B15F7D" w:rsidRPr="00990FB6" w:rsidRDefault="00B15F7D" w:rsidP="00B15F7D">
            <w:pPr>
              <w:jc w:val="center"/>
              <w:rPr>
                <w:sz w:val="22"/>
                <w:szCs w:val="22"/>
                <w:lang w:val="es-CR"/>
              </w:rPr>
            </w:pPr>
            <w:r w:rsidRPr="00990FB6">
              <w:rPr>
                <w:sz w:val="22"/>
                <w:szCs w:val="22"/>
                <w:lang w:val="es-CR"/>
              </w:rPr>
              <w:t>5-0293-0535</w:t>
            </w:r>
          </w:p>
        </w:tc>
      </w:tr>
      <w:tr w:rsidR="00B15F7D" w:rsidRPr="00990FB6" w14:paraId="6EF5E33D" w14:textId="77777777" w:rsidTr="000A0C22">
        <w:trPr>
          <w:trHeight w:val="283"/>
          <w:jc w:val="center"/>
        </w:trPr>
        <w:tc>
          <w:tcPr>
            <w:tcW w:w="3544" w:type="pct"/>
            <w:shd w:val="clear" w:color="auto" w:fill="auto"/>
            <w:vAlign w:val="center"/>
          </w:tcPr>
          <w:p w14:paraId="0716D0B3" w14:textId="77777777" w:rsidR="00B15F7D" w:rsidRPr="00990FB6" w:rsidRDefault="00B15F7D" w:rsidP="00B15F7D">
            <w:pPr>
              <w:rPr>
                <w:sz w:val="22"/>
                <w:szCs w:val="22"/>
                <w:lang w:val="es-CR"/>
              </w:rPr>
            </w:pPr>
            <w:r w:rsidRPr="00990FB6">
              <w:rPr>
                <w:sz w:val="22"/>
                <w:szCs w:val="22"/>
                <w:lang w:val="es-CR"/>
              </w:rPr>
              <w:t>Laura Sánchez Córdoba</w:t>
            </w:r>
          </w:p>
        </w:tc>
        <w:tc>
          <w:tcPr>
            <w:tcW w:w="1456" w:type="pct"/>
            <w:vAlign w:val="center"/>
          </w:tcPr>
          <w:p w14:paraId="11511741" w14:textId="77777777" w:rsidR="00B15F7D" w:rsidRPr="00990FB6" w:rsidRDefault="00B15F7D" w:rsidP="00B15F7D">
            <w:pPr>
              <w:jc w:val="center"/>
              <w:rPr>
                <w:sz w:val="22"/>
                <w:szCs w:val="22"/>
                <w:lang w:val="es-CR"/>
              </w:rPr>
            </w:pPr>
            <w:r w:rsidRPr="00990FB6">
              <w:rPr>
                <w:sz w:val="22"/>
                <w:szCs w:val="22"/>
                <w:lang w:val="es-CR"/>
              </w:rPr>
              <w:t>1-1029-0652</w:t>
            </w:r>
          </w:p>
        </w:tc>
      </w:tr>
    </w:tbl>
    <w:p w14:paraId="6A1B9810" w14:textId="77777777" w:rsidR="00B15F7D" w:rsidRPr="00990FB6" w:rsidRDefault="00B15F7D" w:rsidP="00B15F7D">
      <w:pPr>
        <w:tabs>
          <w:tab w:val="left" w:pos="0"/>
        </w:tabs>
        <w:ind w:left="851" w:right="851" w:firstLine="709"/>
        <w:jc w:val="both"/>
        <w:rPr>
          <w:b/>
          <w:snapToGrid w:val="0"/>
          <w:sz w:val="22"/>
          <w:szCs w:val="22"/>
          <w:lang w:val="es-CR"/>
        </w:rPr>
      </w:pPr>
    </w:p>
    <w:p w14:paraId="3FA59639" w14:textId="77777777" w:rsidR="00B15F7D" w:rsidRPr="00990FB6" w:rsidRDefault="00B15F7D" w:rsidP="00B15F7D">
      <w:pPr>
        <w:tabs>
          <w:tab w:val="left" w:pos="0"/>
        </w:tabs>
        <w:ind w:left="851" w:right="851" w:firstLine="709"/>
        <w:jc w:val="both"/>
        <w:rPr>
          <w:b/>
          <w:snapToGrid w:val="0"/>
          <w:sz w:val="22"/>
          <w:szCs w:val="22"/>
          <w:lang w:val="es-CR"/>
        </w:rPr>
      </w:pPr>
      <w:r w:rsidRPr="00990FB6">
        <w:rPr>
          <w:b/>
          <w:snapToGrid w:val="0"/>
          <w:sz w:val="22"/>
          <w:szCs w:val="22"/>
          <w:lang w:val="es-CR"/>
        </w:rPr>
        <w:t>RECOMENDACIONES</w:t>
      </w:r>
    </w:p>
    <w:p w14:paraId="4E80DE93" w14:textId="77777777" w:rsidR="00B15F7D" w:rsidRPr="00990FB6" w:rsidRDefault="00B15F7D" w:rsidP="00B15F7D">
      <w:pPr>
        <w:tabs>
          <w:tab w:val="left" w:pos="0"/>
        </w:tabs>
        <w:ind w:left="851" w:right="851" w:firstLine="709"/>
        <w:jc w:val="both"/>
        <w:rPr>
          <w:b/>
          <w:snapToGrid w:val="0"/>
          <w:sz w:val="22"/>
          <w:szCs w:val="22"/>
          <w:lang w:val="es-CR"/>
        </w:rPr>
      </w:pPr>
    </w:p>
    <w:p w14:paraId="40E78D63" w14:textId="77777777" w:rsidR="00B15F7D" w:rsidRPr="00990FB6" w:rsidRDefault="00B15F7D" w:rsidP="00B15F7D">
      <w:pPr>
        <w:ind w:left="851" w:right="851" w:firstLine="709"/>
        <w:jc w:val="both"/>
        <w:rPr>
          <w:b/>
          <w:sz w:val="22"/>
          <w:szCs w:val="22"/>
          <w:lang w:val="es-CR"/>
        </w:rPr>
      </w:pPr>
      <w:r w:rsidRPr="00990FB6">
        <w:rPr>
          <w:b/>
          <w:sz w:val="22"/>
          <w:szCs w:val="22"/>
          <w:lang w:val="es-CR"/>
        </w:rPr>
        <w:t>Al Consejo Superior</w:t>
      </w:r>
    </w:p>
    <w:p w14:paraId="0E27DC98" w14:textId="77777777" w:rsidR="00B15F7D" w:rsidRPr="00990FB6" w:rsidRDefault="00B15F7D" w:rsidP="00B15F7D">
      <w:pPr>
        <w:ind w:left="851" w:right="851" w:firstLine="709"/>
        <w:jc w:val="both"/>
        <w:rPr>
          <w:b/>
          <w:sz w:val="22"/>
          <w:szCs w:val="22"/>
          <w:lang w:val="es-CR"/>
        </w:rPr>
      </w:pPr>
    </w:p>
    <w:p w14:paraId="2A466D97" w14:textId="77777777" w:rsidR="00B15F7D" w:rsidRPr="00990FB6" w:rsidRDefault="00B15F7D" w:rsidP="00B15F7D">
      <w:pPr>
        <w:numPr>
          <w:ilvl w:val="0"/>
          <w:numId w:val="123"/>
        </w:numPr>
        <w:suppressAutoHyphens w:val="0"/>
        <w:ind w:left="851" w:right="851" w:firstLine="709"/>
        <w:jc w:val="both"/>
        <w:rPr>
          <w:sz w:val="22"/>
          <w:szCs w:val="22"/>
          <w:lang w:val="es-CR"/>
        </w:rPr>
      </w:pPr>
      <w:r w:rsidRPr="00990FB6">
        <w:rPr>
          <w:sz w:val="22"/>
          <w:szCs w:val="22"/>
          <w:lang w:val="es-CR"/>
        </w:rPr>
        <w:t xml:space="preserve">Analizar y aprobar la propuesta de cronograma de reuniones de trabajo y sesiones extraordinarias del proceso de formulación del anteproyecto de presupuesto 2024, planteado por la Dirección de Planificación, en el entendido de que podrá sufrir eventuales variaciones en los temas a tratar por efecto de la misma dinámica del proceso. </w:t>
      </w:r>
    </w:p>
    <w:p w14:paraId="6AE70070" w14:textId="77777777" w:rsidR="00B15F7D" w:rsidRPr="00990FB6" w:rsidRDefault="00B15F7D" w:rsidP="00B15F7D">
      <w:pPr>
        <w:suppressAutoHyphens w:val="0"/>
        <w:ind w:left="851" w:right="851"/>
        <w:jc w:val="both"/>
        <w:rPr>
          <w:sz w:val="22"/>
          <w:szCs w:val="22"/>
          <w:lang w:val="es-CR"/>
        </w:rPr>
      </w:pPr>
    </w:p>
    <w:p w14:paraId="3B08A693" w14:textId="77777777" w:rsidR="00B15F7D" w:rsidRPr="00990FB6" w:rsidRDefault="00B15F7D" w:rsidP="00B15F7D">
      <w:pPr>
        <w:numPr>
          <w:ilvl w:val="0"/>
          <w:numId w:val="123"/>
        </w:numPr>
        <w:suppressAutoHyphens w:val="0"/>
        <w:ind w:left="851" w:right="851" w:firstLine="709"/>
        <w:jc w:val="both"/>
        <w:rPr>
          <w:sz w:val="22"/>
          <w:szCs w:val="22"/>
          <w:lang w:val="es-CR"/>
        </w:rPr>
      </w:pPr>
      <w:r w:rsidRPr="00990FB6">
        <w:rPr>
          <w:sz w:val="22"/>
          <w:szCs w:val="22"/>
          <w:lang w:val="es-CR"/>
        </w:rPr>
        <w:t>Debido a que el proceso de formulación presupuestaria responde a plazos perentorios se debe hacer un esfuerzo por calendarizar y priorizar las fechas establecidas para estos fines.</w:t>
      </w:r>
    </w:p>
    <w:p w14:paraId="55EB1FCE" w14:textId="77777777" w:rsidR="00B15F7D" w:rsidRPr="00990FB6" w:rsidRDefault="00B15F7D" w:rsidP="00B15F7D">
      <w:pPr>
        <w:suppressAutoHyphens w:val="0"/>
        <w:ind w:left="851" w:right="851"/>
        <w:jc w:val="both"/>
        <w:rPr>
          <w:sz w:val="22"/>
          <w:szCs w:val="22"/>
          <w:lang w:val="es-CR"/>
        </w:rPr>
      </w:pPr>
    </w:p>
    <w:p w14:paraId="383009D6" w14:textId="77777777" w:rsidR="00B15F7D" w:rsidRPr="00990FB6" w:rsidRDefault="00B15F7D" w:rsidP="00B15F7D">
      <w:pPr>
        <w:numPr>
          <w:ilvl w:val="0"/>
          <w:numId w:val="123"/>
        </w:numPr>
        <w:suppressAutoHyphens w:val="0"/>
        <w:ind w:left="851" w:right="851" w:firstLine="709"/>
        <w:jc w:val="both"/>
        <w:rPr>
          <w:sz w:val="22"/>
          <w:szCs w:val="22"/>
          <w:lang w:val="es-CR"/>
        </w:rPr>
      </w:pPr>
      <w:r w:rsidRPr="00990FB6">
        <w:rPr>
          <w:sz w:val="22"/>
          <w:szCs w:val="22"/>
          <w:lang w:val="es-CR"/>
        </w:rPr>
        <w:t xml:space="preserve">Autorizar el pago de horas extras del 1° de febrero hasta el 15 de junio del 2023, para el personal de la Unidad de Formulación de Presupuesto del Subproceso de Formulación de Presupuesto y Portafolio de Proyectos Institucional, </w:t>
      </w:r>
      <w:r w:rsidRPr="00990FB6">
        <w:rPr>
          <w:b/>
          <w:bCs/>
          <w:sz w:val="22"/>
          <w:szCs w:val="22"/>
          <w:lang w:val="es-CR"/>
        </w:rPr>
        <w:t>las cuales de requerirse deben ser realizadas en modalidad presencial</w:t>
      </w:r>
      <w:r w:rsidRPr="00990FB6">
        <w:rPr>
          <w:sz w:val="22"/>
          <w:szCs w:val="22"/>
          <w:lang w:val="es-CR"/>
        </w:rPr>
        <w:t>, controlándose con la supervisión de la jefatura inmediata, de que se utilicen las horas estrictamente necesarias, en caso de requerirse. El uso de horas extra es mayor en los meses de febrero hasta abril, donde se procesa la mayor cantidad de información, posterior a esta fecha queda supeditado únicamente a solicitud e indicación de las jefaturas para la atención de gestiones de carácter urgente y que no se puedan realizar en el horario ordinario.</w:t>
      </w:r>
    </w:p>
    <w:p w14:paraId="25F63514" w14:textId="77777777" w:rsidR="00B15F7D" w:rsidRPr="00990FB6" w:rsidRDefault="00B15F7D" w:rsidP="00B15F7D">
      <w:pPr>
        <w:suppressAutoHyphens w:val="0"/>
        <w:ind w:left="851" w:right="851"/>
        <w:jc w:val="both"/>
        <w:rPr>
          <w:sz w:val="22"/>
          <w:szCs w:val="22"/>
          <w:lang w:val="es-CR"/>
        </w:rPr>
      </w:pPr>
    </w:p>
    <w:p w14:paraId="715F0E0A" w14:textId="77777777" w:rsidR="00B15F7D" w:rsidRPr="00990FB6" w:rsidRDefault="00B15F7D" w:rsidP="00B15F7D">
      <w:pPr>
        <w:numPr>
          <w:ilvl w:val="0"/>
          <w:numId w:val="123"/>
        </w:numPr>
        <w:suppressAutoHyphens w:val="0"/>
        <w:ind w:left="851" w:right="851" w:firstLine="709"/>
        <w:jc w:val="both"/>
        <w:rPr>
          <w:sz w:val="22"/>
          <w:szCs w:val="22"/>
          <w:lang w:val="es-CR"/>
        </w:rPr>
      </w:pPr>
      <w:r w:rsidRPr="00990FB6">
        <w:rPr>
          <w:sz w:val="22"/>
          <w:szCs w:val="22"/>
          <w:lang w:val="es-CR"/>
        </w:rPr>
        <w:t xml:space="preserve">Solicitar a la Secretaría de la Corte iniciar con el proceso de formulación presupuestaria 2024, asimismo le brinde prioridad a la comunicación de estos acuerdos en el plazo máximo de tres días, ya que se requieren atender los plazos de reconsideraciones que diferentes oficinas puedan solicitar y al estar el proceso programado, se requiere la prontitud de la comunicación. </w:t>
      </w:r>
    </w:p>
    <w:p w14:paraId="66AA844D" w14:textId="77777777" w:rsidR="00B15F7D" w:rsidRPr="00990FB6" w:rsidRDefault="00B15F7D" w:rsidP="00B15F7D">
      <w:pPr>
        <w:suppressAutoHyphens w:val="0"/>
        <w:ind w:left="851" w:right="851"/>
        <w:jc w:val="both"/>
        <w:rPr>
          <w:sz w:val="22"/>
          <w:szCs w:val="22"/>
          <w:lang w:val="es-CR"/>
        </w:rPr>
      </w:pPr>
    </w:p>
    <w:p w14:paraId="36A262C1" w14:textId="77777777" w:rsidR="00B15F7D" w:rsidRPr="00990FB6" w:rsidRDefault="00B15F7D" w:rsidP="00B15F7D">
      <w:pPr>
        <w:ind w:left="851" w:right="851" w:firstLine="709"/>
        <w:jc w:val="both"/>
        <w:rPr>
          <w:b/>
          <w:sz w:val="22"/>
          <w:szCs w:val="22"/>
          <w:lang w:val="es-CR"/>
        </w:rPr>
      </w:pPr>
      <w:r w:rsidRPr="00990FB6">
        <w:rPr>
          <w:b/>
          <w:sz w:val="22"/>
          <w:szCs w:val="22"/>
          <w:lang w:val="es-CR"/>
        </w:rPr>
        <w:t>A la Secretaría General de la Corte</w:t>
      </w:r>
    </w:p>
    <w:p w14:paraId="0EB3455B" w14:textId="77777777" w:rsidR="00B15F7D" w:rsidRPr="00990FB6" w:rsidRDefault="00B15F7D" w:rsidP="00B15F7D">
      <w:pPr>
        <w:ind w:left="851" w:right="851"/>
        <w:jc w:val="both"/>
        <w:rPr>
          <w:b/>
          <w:sz w:val="22"/>
          <w:szCs w:val="22"/>
          <w:lang w:val="es-CR"/>
        </w:rPr>
      </w:pPr>
    </w:p>
    <w:p w14:paraId="0E78733A" w14:textId="77777777" w:rsidR="00B15F7D" w:rsidRPr="00990FB6" w:rsidRDefault="00B15F7D" w:rsidP="00B15F7D">
      <w:pPr>
        <w:numPr>
          <w:ilvl w:val="0"/>
          <w:numId w:val="124"/>
        </w:numPr>
        <w:suppressAutoHyphens w:val="0"/>
        <w:ind w:left="851" w:right="851" w:firstLine="709"/>
        <w:jc w:val="both"/>
        <w:rPr>
          <w:b/>
          <w:bCs/>
          <w:sz w:val="22"/>
          <w:szCs w:val="22"/>
          <w:lang w:val="es-CR"/>
        </w:rPr>
      </w:pPr>
      <w:r w:rsidRPr="00990FB6">
        <w:rPr>
          <w:sz w:val="22"/>
          <w:szCs w:val="22"/>
          <w:lang w:val="es-CR"/>
        </w:rPr>
        <w:t xml:space="preserve">Comunicar a las oficinas de los miembros del Consejo Superior, con el fin de separar los espacios en las agendas, </w:t>
      </w:r>
      <w:r w:rsidRPr="00990FB6">
        <w:rPr>
          <w:b/>
          <w:bCs/>
          <w:sz w:val="22"/>
          <w:szCs w:val="22"/>
          <w:lang w:val="es-CR"/>
        </w:rPr>
        <w:t xml:space="preserve">para los días 12 de abril, del 18 al 21 de </w:t>
      </w:r>
      <w:r w:rsidRPr="00990FB6">
        <w:rPr>
          <w:b/>
          <w:bCs/>
          <w:sz w:val="22"/>
          <w:szCs w:val="22"/>
          <w:lang w:val="es-CR"/>
        </w:rPr>
        <w:lastRenderedPageBreak/>
        <w:t xml:space="preserve">abril, el 10 de mayo y del 29 de mayo al 2 de junio para la aprobación y discusión en Corte Plena. </w:t>
      </w:r>
    </w:p>
    <w:p w14:paraId="3DE93044" w14:textId="77777777" w:rsidR="00B15F7D" w:rsidRPr="00990FB6" w:rsidRDefault="00B15F7D" w:rsidP="00B15F7D">
      <w:pPr>
        <w:suppressAutoHyphens w:val="0"/>
        <w:ind w:left="851" w:right="851"/>
        <w:jc w:val="both"/>
        <w:rPr>
          <w:b/>
          <w:bCs/>
          <w:sz w:val="22"/>
          <w:szCs w:val="22"/>
          <w:lang w:val="es-CR"/>
        </w:rPr>
      </w:pPr>
    </w:p>
    <w:p w14:paraId="35ED8362" w14:textId="77777777" w:rsidR="00B15F7D" w:rsidRPr="00990FB6" w:rsidRDefault="00B15F7D" w:rsidP="00B15F7D">
      <w:pPr>
        <w:numPr>
          <w:ilvl w:val="0"/>
          <w:numId w:val="124"/>
        </w:numPr>
        <w:suppressAutoHyphens w:val="0"/>
        <w:ind w:left="851" w:right="851" w:firstLine="709"/>
        <w:jc w:val="both"/>
        <w:rPr>
          <w:sz w:val="22"/>
          <w:szCs w:val="22"/>
          <w:lang w:val="es-CR"/>
        </w:rPr>
      </w:pPr>
      <w:r w:rsidRPr="00990FB6">
        <w:rPr>
          <w:sz w:val="22"/>
          <w:szCs w:val="22"/>
          <w:lang w:val="es-CR"/>
        </w:rPr>
        <w:t xml:space="preserve">Realizar las gestiones y convocatorias correspondientes para la designación de los representantes de los Frentes Gremiales, de tal forma que, desde la primera reunión de trabajo de presupuesto, </w:t>
      </w:r>
      <w:r w:rsidRPr="00990FB6">
        <w:rPr>
          <w:b/>
          <w:bCs/>
          <w:sz w:val="22"/>
          <w:szCs w:val="22"/>
          <w:lang w:val="es-CR"/>
        </w:rPr>
        <w:t>programada para 12 de abril del 2023</w:t>
      </w:r>
      <w:r w:rsidRPr="00990FB6">
        <w:rPr>
          <w:sz w:val="22"/>
          <w:szCs w:val="22"/>
          <w:lang w:val="es-CR"/>
        </w:rPr>
        <w:t>, se cuente con la presencia de las personas designadas.</w:t>
      </w:r>
    </w:p>
    <w:p w14:paraId="73D628E8" w14:textId="77777777" w:rsidR="00B15F7D" w:rsidRPr="00990FB6" w:rsidRDefault="00B15F7D" w:rsidP="00B15F7D">
      <w:pPr>
        <w:suppressAutoHyphens w:val="0"/>
        <w:ind w:left="851" w:right="851"/>
        <w:jc w:val="both"/>
        <w:rPr>
          <w:sz w:val="22"/>
          <w:szCs w:val="22"/>
          <w:lang w:val="es-CR"/>
        </w:rPr>
      </w:pPr>
    </w:p>
    <w:p w14:paraId="79EC321B" w14:textId="77777777" w:rsidR="00B15F7D" w:rsidRPr="00990FB6" w:rsidRDefault="00B15F7D" w:rsidP="00B15F7D">
      <w:pPr>
        <w:numPr>
          <w:ilvl w:val="0"/>
          <w:numId w:val="124"/>
        </w:numPr>
        <w:suppressAutoHyphens w:val="0"/>
        <w:ind w:left="851" w:right="851" w:firstLine="709"/>
        <w:jc w:val="both"/>
        <w:rPr>
          <w:sz w:val="22"/>
          <w:szCs w:val="22"/>
          <w:lang w:val="es-CR"/>
        </w:rPr>
      </w:pPr>
      <w:r w:rsidRPr="00990FB6">
        <w:rPr>
          <w:sz w:val="22"/>
          <w:szCs w:val="22"/>
          <w:lang w:val="es-CR"/>
        </w:rPr>
        <w:t xml:space="preserve">Preparar la logística para la determinación del espacio físico que se indique por parte del Consejo Superior y la Corte Plena, para la celebración de las reuniones de trabajo, sesiones extraordinarias del Consejo Superior y Corte Plena, conforme el cronograma presentado. </w:t>
      </w:r>
    </w:p>
    <w:p w14:paraId="754B3050" w14:textId="77777777" w:rsidR="00B15F7D" w:rsidRPr="00990FB6" w:rsidRDefault="00B15F7D" w:rsidP="00B15F7D">
      <w:pPr>
        <w:suppressAutoHyphens w:val="0"/>
        <w:ind w:left="851" w:right="851"/>
        <w:jc w:val="both"/>
        <w:rPr>
          <w:sz w:val="22"/>
          <w:szCs w:val="22"/>
          <w:lang w:val="es-CR"/>
        </w:rPr>
      </w:pPr>
    </w:p>
    <w:p w14:paraId="60896CAA" w14:textId="77777777" w:rsidR="00B15F7D" w:rsidRPr="00990FB6" w:rsidRDefault="00B15F7D" w:rsidP="00B15F7D">
      <w:pPr>
        <w:numPr>
          <w:ilvl w:val="0"/>
          <w:numId w:val="124"/>
        </w:numPr>
        <w:suppressAutoHyphens w:val="0"/>
        <w:ind w:left="851" w:right="851" w:firstLine="709"/>
        <w:jc w:val="both"/>
        <w:rPr>
          <w:sz w:val="22"/>
          <w:szCs w:val="22"/>
          <w:lang w:val="es-CR"/>
        </w:rPr>
      </w:pPr>
      <w:r w:rsidRPr="00990FB6">
        <w:rPr>
          <w:sz w:val="22"/>
          <w:szCs w:val="22"/>
          <w:lang w:val="es-CR"/>
        </w:rPr>
        <w:t xml:space="preserve">Elevar a Corte Plena la solicitud para conocer el anteproyecto de presupuesto 2024, en la semana que comprende del </w:t>
      </w:r>
      <w:r w:rsidRPr="00990FB6">
        <w:rPr>
          <w:b/>
          <w:bCs/>
          <w:sz w:val="22"/>
          <w:szCs w:val="22"/>
          <w:lang w:val="es-CR"/>
        </w:rPr>
        <w:t>lunes 29 de mayo al viernes 2 de junio del 2023</w:t>
      </w:r>
      <w:r w:rsidRPr="00990FB6">
        <w:rPr>
          <w:sz w:val="22"/>
          <w:szCs w:val="22"/>
          <w:lang w:val="es-CR"/>
        </w:rPr>
        <w:t>.</w:t>
      </w:r>
    </w:p>
    <w:p w14:paraId="131A9C7D" w14:textId="77777777" w:rsidR="00B15F7D" w:rsidRPr="00990FB6" w:rsidRDefault="00B15F7D" w:rsidP="00B15F7D">
      <w:pPr>
        <w:suppressAutoHyphens w:val="0"/>
        <w:ind w:left="851" w:right="851"/>
        <w:jc w:val="both"/>
        <w:rPr>
          <w:sz w:val="22"/>
          <w:szCs w:val="22"/>
          <w:lang w:val="es-CR"/>
        </w:rPr>
      </w:pPr>
    </w:p>
    <w:p w14:paraId="7EF21C02" w14:textId="77777777" w:rsidR="00B15F7D" w:rsidRPr="00990FB6" w:rsidRDefault="00B15F7D" w:rsidP="00B15F7D">
      <w:pPr>
        <w:ind w:left="851" w:right="851" w:firstLine="709"/>
        <w:jc w:val="both"/>
        <w:rPr>
          <w:b/>
          <w:sz w:val="22"/>
          <w:szCs w:val="22"/>
          <w:lang w:val="es-CR"/>
        </w:rPr>
      </w:pPr>
      <w:r w:rsidRPr="00990FB6">
        <w:rPr>
          <w:b/>
          <w:sz w:val="22"/>
          <w:szCs w:val="22"/>
          <w:lang w:val="es-CR"/>
        </w:rPr>
        <w:t>A la Dirección de Gestión Humana</w:t>
      </w:r>
    </w:p>
    <w:p w14:paraId="29296633" w14:textId="77777777" w:rsidR="00B15F7D" w:rsidRPr="00990FB6" w:rsidRDefault="00B15F7D" w:rsidP="00B15F7D">
      <w:pPr>
        <w:ind w:left="851" w:right="851"/>
        <w:jc w:val="both"/>
        <w:rPr>
          <w:b/>
          <w:sz w:val="22"/>
          <w:szCs w:val="22"/>
          <w:lang w:val="es-CR"/>
        </w:rPr>
      </w:pPr>
    </w:p>
    <w:p w14:paraId="3442748A" w14:textId="77777777" w:rsidR="00B15F7D" w:rsidRPr="00990FB6" w:rsidRDefault="00B15F7D" w:rsidP="00B15F7D">
      <w:pPr>
        <w:numPr>
          <w:ilvl w:val="0"/>
          <w:numId w:val="124"/>
        </w:numPr>
        <w:suppressAutoHyphens w:val="0"/>
        <w:ind w:left="851" w:right="851" w:firstLine="709"/>
        <w:contextualSpacing/>
        <w:jc w:val="both"/>
        <w:rPr>
          <w:i/>
          <w:iCs/>
          <w:sz w:val="22"/>
          <w:szCs w:val="22"/>
          <w:lang w:val="es-CR"/>
        </w:rPr>
      </w:pPr>
      <w:r w:rsidRPr="00990FB6">
        <w:rPr>
          <w:sz w:val="22"/>
          <w:szCs w:val="22"/>
          <w:lang w:val="es-CR"/>
        </w:rPr>
        <w:t>Solicitar a la Dirección de Gestión Humana, remitir a la Dirección de Planificación la información correspondiente al Análisis de Salarios a más tardar el miércoles 1° de marzo, de manera tal que se pueda integrar a la información que llevará la Dirección de Planificación a las reuniones de trabajo previstas.</w:t>
      </w:r>
      <w:r w:rsidRPr="00990FB6">
        <w:rPr>
          <w:i/>
          <w:iCs/>
          <w:sz w:val="22"/>
          <w:szCs w:val="22"/>
          <w:lang w:val="es-CR"/>
        </w:rPr>
        <w:t>”</w:t>
      </w:r>
    </w:p>
    <w:p w14:paraId="747DACF1" w14:textId="77777777" w:rsidR="00B15F7D" w:rsidRPr="00990FB6" w:rsidRDefault="00B15F7D" w:rsidP="00B15F7D">
      <w:pPr>
        <w:suppressAutoHyphens w:val="0"/>
        <w:ind w:left="1560" w:right="851"/>
        <w:contextualSpacing/>
        <w:jc w:val="both"/>
        <w:rPr>
          <w:i/>
          <w:iCs/>
          <w:sz w:val="22"/>
          <w:szCs w:val="22"/>
          <w:lang w:val="es-CR"/>
        </w:rPr>
      </w:pPr>
    </w:p>
    <w:p w14:paraId="14609F73" w14:textId="77777777" w:rsidR="00B15F7D" w:rsidRPr="00990FB6" w:rsidRDefault="00B15F7D" w:rsidP="00B15F7D">
      <w:pPr>
        <w:shd w:val="clear" w:color="auto" w:fill="FFFFFF"/>
        <w:jc w:val="center"/>
        <w:rPr>
          <w:sz w:val="22"/>
          <w:szCs w:val="22"/>
          <w:lang w:val="es-CR"/>
        </w:rPr>
      </w:pPr>
      <w:r w:rsidRPr="00990FB6">
        <w:rPr>
          <w:sz w:val="22"/>
          <w:szCs w:val="22"/>
          <w:lang w:val="es-CR"/>
        </w:rPr>
        <w:t>- 0 -</w:t>
      </w:r>
    </w:p>
    <w:p w14:paraId="59D1C908" w14:textId="77777777" w:rsidR="00B15F7D" w:rsidRPr="00990FB6" w:rsidRDefault="00B15F7D" w:rsidP="00B15F7D">
      <w:pPr>
        <w:shd w:val="clear" w:color="auto" w:fill="FFFFFF"/>
        <w:ind w:left="851"/>
        <w:jc w:val="center"/>
        <w:rPr>
          <w:sz w:val="22"/>
          <w:szCs w:val="22"/>
          <w:lang w:val="es-CR"/>
        </w:rPr>
      </w:pPr>
    </w:p>
    <w:p w14:paraId="601A11F8" w14:textId="77777777" w:rsidR="00B15F7D" w:rsidRPr="00990FB6" w:rsidRDefault="00B15F7D" w:rsidP="00B15F7D">
      <w:pPr>
        <w:widowControl w:val="0"/>
        <w:suppressAutoHyphens w:val="0"/>
        <w:autoSpaceDE w:val="0"/>
        <w:autoSpaceDN w:val="0"/>
        <w:adjustRightInd w:val="0"/>
        <w:ind w:left="851" w:firstLine="709"/>
        <w:jc w:val="both"/>
        <w:rPr>
          <w:sz w:val="22"/>
          <w:szCs w:val="22"/>
          <w:lang w:val="es-CR" w:eastAsia="es-ES"/>
        </w:rPr>
      </w:pPr>
      <w:r w:rsidRPr="00990FB6">
        <w:rPr>
          <w:rFonts w:eastAsia="Calibri"/>
          <w:sz w:val="22"/>
          <w:szCs w:val="22"/>
          <w:lang w:val="es-CR" w:eastAsia="es-ES"/>
        </w:rPr>
        <w:t>Manifiesta la m</w:t>
      </w:r>
      <w:r w:rsidRPr="00990FB6">
        <w:rPr>
          <w:sz w:val="22"/>
          <w:szCs w:val="22"/>
          <w:lang w:val="es-CR" w:eastAsia="es-ES"/>
        </w:rPr>
        <w:t>áster Ana Eugenia Romero Jenkins, Directora Ejecutiva: "Quiero hacer la aclaración de que le consulté a la licenciada Nacira Valverde Bermúdez sobre el lugar, porque viene un pie de página que dice que los que tienen un asterisco serán en los salones del tercer piso y los que tienen dos asteriscos en el salón de Corte Plena, y las reuniones y sesiones de este Consejo Superior, que son el 12 de abril y del 18 al 21 de abril las están programando en los salones; pero no podría ser porque no hay sistema de grabación. Esto yo se lo aclaré a la licenciada Nacira Valverde Bermúdez y me indicó que seguramente había algún error, entonces, yo dejaría la manifestación de que en cuanto al lugar de esas dos actividades será igualmente en el Salón de Corte Plena. Lo que me indicó Nacira es que habría que ver el lunes cómo se hacía porque el lunes hay Corte Plena, pero de toda suerte nos tendría que acompañar el Presidente o la Vicepresidenta y no podrían, entonces yo creo que ese día habría que hacer algún ajuste, pero se los comento porque sí debería ser aquí".</w:t>
      </w:r>
    </w:p>
    <w:p w14:paraId="63303DAB" w14:textId="77777777" w:rsidR="00B15F7D" w:rsidRPr="00990FB6" w:rsidRDefault="00B15F7D" w:rsidP="00B15F7D">
      <w:pPr>
        <w:widowControl w:val="0"/>
        <w:suppressAutoHyphens w:val="0"/>
        <w:autoSpaceDE w:val="0"/>
        <w:autoSpaceDN w:val="0"/>
        <w:adjustRightInd w:val="0"/>
        <w:ind w:left="851" w:firstLine="709"/>
        <w:jc w:val="both"/>
        <w:rPr>
          <w:sz w:val="22"/>
          <w:szCs w:val="22"/>
          <w:lang w:val="es-CR" w:eastAsia="es-ES"/>
        </w:rPr>
      </w:pPr>
    </w:p>
    <w:p w14:paraId="4CBABC83" w14:textId="77777777" w:rsidR="00B15F7D" w:rsidRPr="00990FB6" w:rsidRDefault="00B15F7D" w:rsidP="00B15F7D">
      <w:pPr>
        <w:shd w:val="clear" w:color="auto" w:fill="FFFFFF"/>
        <w:jc w:val="center"/>
        <w:rPr>
          <w:sz w:val="22"/>
          <w:szCs w:val="22"/>
          <w:lang w:val="es-CR"/>
        </w:rPr>
      </w:pPr>
      <w:r w:rsidRPr="00990FB6">
        <w:rPr>
          <w:sz w:val="22"/>
          <w:szCs w:val="22"/>
          <w:lang w:val="es-CR"/>
        </w:rPr>
        <w:t>- 0 -</w:t>
      </w:r>
    </w:p>
    <w:p w14:paraId="32DEBCF1" w14:textId="77777777" w:rsidR="00B15F7D" w:rsidRPr="00990FB6" w:rsidRDefault="00B15F7D" w:rsidP="00B15F7D">
      <w:pPr>
        <w:tabs>
          <w:tab w:val="left" w:pos="851"/>
          <w:tab w:val="left" w:pos="8080"/>
        </w:tabs>
        <w:ind w:left="851"/>
        <w:jc w:val="center"/>
        <w:rPr>
          <w:sz w:val="22"/>
          <w:szCs w:val="22"/>
          <w:lang w:val="es-CR"/>
        </w:rPr>
      </w:pPr>
    </w:p>
    <w:p w14:paraId="26032ABE" w14:textId="77777777" w:rsidR="00B15F7D" w:rsidRPr="00990FB6" w:rsidRDefault="00B15F7D" w:rsidP="00B15F7D">
      <w:pPr>
        <w:tabs>
          <w:tab w:val="left" w:pos="851"/>
          <w:tab w:val="left" w:pos="8080"/>
        </w:tabs>
        <w:ind w:left="851" w:firstLine="851"/>
        <w:jc w:val="both"/>
        <w:rPr>
          <w:sz w:val="22"/>
          <w:szCs w:val="22"/>
          <w:lang w:val="es-CR"/>
        </w:rPr>
      </w:pPr>
      <w:r w:rsidRPr="00990FB6">
        <w:rPr>
          <w:b/>
          <w:bCs/>
          <w:sz w:val="22"/>
          <w:szCs w:val="22"/>
          <w:lang w:val="es-CR"/>
        </w:rPr>
        <w:t xml:space="preserve">Se acordó: </w:t>
      </w:r>
      <w:r w:rsidRPr="00990FB6">
        <w:rPr>
          <w:sz w:val="22"/>
          <w:szCs w:val="22"/>
          <w:lang w:val="es-CR"/>
        </w:rPr>
        <w:t xml:space="preserve">Tener por rendido el oficio número 87-PLA-PP-2023 del  3 de febrero del 2023, suscrito por la licenciada Nacira Valverde Bermúdez, el máster Erick Antonio Mora Leiva y el licenciado Minor Alvarado Chaves, por su orden, Directora de Planificación, Jefe de Proceso de Planeación y Evaluación y Jefe de Subproceso de Formulación de Presupuesto  y Portafolio de Proyectos Institucional, mediante el cual remite la propuesta para el proceso de </w:t>
      </w:r>
      <w:r w:rsidRPr="00990FB6">
        <w:rPr>
          <w:sz w:val="22"/>
          <w:szCs w:val="22"/>
          <w:lang w:val="es-CR"/>
        </w:rPr>
        <w:lastRenderedPageBreak/>
        <w:t xml:space="preserve">Formulación del Anteproyecto de Presupuesto 2024 y acoger sus recomendaciones, en consecuencia: </w:t>
      </w:r>
      <w:r w:rsidRPr="00990FB6">
        <w:rPr>
          <w:b/>
          <w:bCs/>
          <w:sz w:val="22"/>
          <w:szCs w:val="22"/>
          <w:lang w:val="es-CR"/>
        </w:rPr>
        <w:t xml:space="preserve">1.) </w:t>
      </w:r>
      <w:r w:rsidRPr="00990FB6">
        <w:rPr>
          <w:sz w:val="22"/>
          <w:szCs w:val="22"/>
          <w:lang w:val="es-CR"/>
        </w:rPr>
        <w:t xml:space="preserve">Aprobar la propuesta de cronograma de reuniones de trabajo y sesiones extraordinarias del proceso de formulación del anteproyecto de presupuesto 2024, planteado por la Dirección de Planificación, en el entendido de que podrá sufrir eventuales variaciones en los temas a tratar por efecto de la misma dinámica del proceso. </w:t>
      </w:r>
      <w:r w:rsidRPr="00990FB6">
        <w:rPr>
          <w:b/>
          <w:bCs/>
          <w:sz w:val="22"/>
          <w:szCs w:val="22"/>
          <w:lang w:val="es-CR"/>
        </w:rPr>
        <w:t xml:space="preserve">2.) </w:t>
      </w:r>
      <w:r w:rsidRPr="00990FB6">
        <w:rPr>
          <w:sz w:val="22"/>
          <w:szCs w:val="22"/>
          <w:lang w:val="es-CR"/>
        </w:rPr>
        <w:t xml:space="preserve">Autorizar el pago de horas extras del 1° de febrero hasta el 15 de junio del 2023, para el personal de la Unidad de Formulación de Presupuesto del Subproceso de Formulación de Presupuesto y Portafolio de Proyectos Institucional, </w:t>
      </w:r>
      <w:r w:rsidRPr="00990FB6">
        <w:rPr>
          <w:b/>
          <w:bCs/>
          <w:sz w:val="22"/>
          <w:szCs w:val="22"/>
          <w:lang w:val="es-CR"/>
        </w:rPr>
        <w:t>las cuales de requerirse deben ser realizadas en modalidad presencial</w:t>
      </w:r>
      <w:r w:rsidRPr="00990FB6">
        <w:rPr>
          <w:sz w:val="22"/>
          <w:szCs w:val="22"/>
          <w:lang w:val="es-CR"/>
        </w:rPr>
        <w:t xml:space="preserve">, controlándose con la supervisión de la jefatura inmediata, de que se utilicen las horas estrictamente necesarias, en caso de requerirse. El uso de horas extra es mayor en los meses de febrero hasta abril, donde se procesa la mayor cantidad de información, posterior a esta fecha queda supeditado únicamente a solicitud e indicación de las jefaturas para la atención de gestiones de carácter urgente y que no se puedan realizar en el horario ordinario. </w:t>
      </w:r>
      <w:r w:rsidRPr="00990FB6">
        <w:rPr>
          <w:b/>
          <w:bCs/>
          <w:sz w:val="22"/>
          <w:szCs w:val="22"/>
          <w:lang w:val="es-CR"/>
        </w:rPr>
        <w:t>3.)</w:t>
      </w:r>
      <w:r w:rsidRPr="00990FB6">
        <w:rPr>
          <w:sz w:val="22"/>
          <w:szCs w:val="22"/>
          <w:lang w:val="es-CR"/>
        </w:rPr>
        <w:t xml:space="preserve"> Deberá la Secretaría de la Corte:  </w:t>
      </w:r>
      <w:r w:rsidRPr="00990FB6">
        <w:rPr>
          <w:b/>
          <w:bCs/>
          <w:sz w:val="22"/>
          <w:szCs w:val="22"/>
          <w:lang w:val="es-CR"/>
        </w:rPr>
        <w:t>3.1.)</w:t>
      </w:r>
      <w:r w:rsidRPr="00990FB6">
        <w:rPr>
          <w:sz w:val="22"/>
          <w:szCs w:val="22"/>
          <w:lang w:val="es-CR"/>
        </w:rPr>
        <w:t xml:space="preserve"> Iniciar con el proceso de formulación presupuestaria 2024, asimismo brindar prioridad a la comunicación de estos acuerdos en el plazo máximo de tres días, ya que se requieren atender los plazos de reconsideraciones que diferentes oficinas puedan solicitar y al estar el proceso programado, se requiere la prontitud de la comunicación. </w:t>
      </w:r>
      <w:r w:rsidRPr="00990FB6">
        <w:rPr>
          <w:b/>
          <w:bCs/>
          <w:sz w:val="22"/>
          <w:szCs w:val="22"/>
          <w:lang w:val="es-CR"/>
        </w:rPr>
        <w:t>3.2.)</w:t>
      </w:r>
      <w:r w:rsidRPr="00990FB6">
        <w:rPr>
          <w:sz w:val="22"/>
          <w:szCs w:val="22"/>
          <w:lang w:val="es-CR"/>
        </w:rPr>
        <w:t xml:space="preserve"> Comunicar a las oficinas de los miembros del Consejo Superior, con el fin de separar los espacios en las agendas, para los días 12 de abril, del 18 al 21 de abril, el 10 de mayo y del 29 de mayo al 2 de junio para la aprobación y discusión en Corte Plena. </w:t>
      </w:r>
      <w:r w:rsidRPr="00990FB6">
        <w:rPr>
          <w:b/>
          <w:bCs/>
          <w:sz w:val="22"/>
          <w:szCs w:val="22"/>
          <w:lang w:val="es-CR"/>
        </w:rPr>
        <w:t xml:space="preserve">3.3.) </w:t>
      </w:r>
      <w:r w:rsidRPr="00990FB6">
        <w:rPr>
          <w:sz w:val="22"/>
          <w:szCs w:val="22"/>
          <w:lang w:val="es-CR"/>
        </w:rPr>
        <w:t xml:space="preserve">Realizar las gestiones y convocatorias correspondientes para la designación de los representantes de los Frentes Gremiales, de tal forma que, desde la primera reunión de trabajo de presupuesto, </w:t>
      </w:r>
      <w:r w:rsidRPr="00990FB6">
        <w:rPr>
          <w:b/>
          <w:bCs/>
          <w:sz w:val="22"/>
          <w:szCs w:val="22"/>
          <w:lang w:val="es-CR"/>
        </w:rPr>
        <w:t>programada para 12 de abril del 2023</w:t>
      </w:r>
      <w:r w:rsidRPr="00990FB6">
        <w:rPr>
          <w:sz w:val="22"/>
          <w:szCs w:val="22"/>
          <w:lang w:val="es-CR"/>
        </w:rPr>
        <w:t xml:space="preserve">, se cuente con la presencia de las personas designadas. </w:t>
      </w:r>
      <w:r w:rsidRPr="00990FB6">
        <w:rPr>
          <w:b/>
          <w:bCs/>
          <w:sz w:val="22"/>
          <w:szCs w:val="22"/>
          <w:lang w:val="es-CR"/>
        </w:rPr>
        <w:t xml:space="preserve">3.4.) </w:t>
      </w:r>
      <w:r w:rsidRPr="00990FB6">
        <w:rPr>
          <w:sz w:val="22"/>
          <w:szCs w:val="22"/>
          <w:lang w:val="es-CR"/>
        </w:rPr>
        <w:t xml:space="preserve">Preparar la logística para la determinación del espacio físico que se indique por parte del Consejo Superior y la Corte Plena, para la celebración de las reuniones de trabajo, sesiones extraordinarias del Consejo Superior y Corte Plena, conforme el cronograma presentado. </w:t>
      </w:r>
      <w:r w:rsidRPr="00990FB6">
        <w:rPr>
          <w:b/>
          <w:bCs/>
          <w:sz w:val="22"/>
          <w:szCs w:val="22"/>
          <w:lang w:val="es-CR"/>
        </w:rPr>
        <w:t>3.5.)</w:t>
      </w:r>
      <w:r w:rsidRPr="00990FB6">
        <w:rPr>
          <w:sz w:val="22"/>
          <w:szCs w:val="22"/>
          <w:lang w:val="es-CR"/>
        </w:rPr>
        <w:t xml:space="preserve"> Elevar a Corte Plena la solicitud para conocer el anteproyecto de presupuesto 2024, en la semana que comprende del lunes 29 de mayo al viernes 2 de junio del 2023. </w:t>
      </w:r>
      <w:r w:rsidRPr="00990FB6">
        <w:rPr>
          <w:b/>
          <w:bCs/>
          <w:sz w:val="22"/>
          <w:szCs w:val="22"/>
          <w:lang w:val="es-CR"/>
        </w:rPr>
        <w:t>4.)</w:t>
      </w:r>
      <w:r w:rsidRPr="00990FB6">
        <w:rPr>
          <w:sz w:val="22"/>
          <w:szCs w:val="22"/>
          <w:lang w:val="es-CR"/>
        </w:rPr>
        <w:t xml:space="preserve"> Deberá la </w:t>
      </w:r>
      <w:r w:rsidRPr="00990FB6">
        <w:rPr>
          <w:b/>
          <w:sz w:val="22"/>
          <w:szCs w:val="22"/>
          <w:lang w:val="es-CR"/>
        </w:rPr>
        <w:t xml:space="preserve">Dirección de Gestión Humana: </w:t>
      </w:r>
      <w:r w:rsidRPr="00990FB6">
        <w:rPr>
          <w:sz w:val="22"/>
          <w:szCs w:val="22"/>
          <w:lang w:val="es-CR"/>
        </w:rPr>
        <w:t xml:space="preserve">remitir a la Dirección de Planificación la información correspondiente al Análisis de Salarios a más tardar </w:t>
      </w:r>
      <w:r w:rsidRPr="00990FB6">
        <w:rPr>
          <w:b/>
          <w:bCs/>
          <w:sz w:val="22"/>
          <w:szCs w:val="22"/>
          <w:lang w:val="es-CR"/>
        </w:rPr>
        <w:t>el miércoles 1° de marzo de 2023</w:t>
      </w:r>
      <w:r w:rsidRPr="00990FB6">
        <w:rPr>
          <w:sz w:val="22"/>
          <w:szCs w:val="22"/>
          <w:lang w:val="es-CR"/>
        </w:rPr>
        <w:t xml:space="preserve">, de manera tal que se pueda integrar a la información que llevará la Dirección de Planificación a las reuniones de trabajo previstas. </w:t>
      </w:r>
      <w:r w:rsidRPr="00990FB6">
        <w:rPr>
          <w:b/>
          <w:bCs/>
          <w:sz w:val="22"/>
          <w:szCs w:val="22"/>
          <w:lang w:val="es-CR"/>
        </w:rPr>
        <w:t xml:space="preserve">5.) </w:t>
      </w:r>
      <w:r w:rsidRPr="00990FB6">
        <w:rPr>
          <w:sz w:val="22"/>
          <w:szCs w:val="22"/>
          <w:lang w:val="es-CR"/>
        </w:rPr>
        <w:t>Tomar nota de las manifestaciones de la máster Ana Eugenia Romero Jenkins, Directora Ejecutiva y hacerlas de conocimiento de la Dirección de Planificación con la finalidad que realice los ajustes correspondientes.</w:t>
      </w:r>
    </w:p>
    <w:p w14:paraId="628B6F8C" w14:textId="77777777" w:rsidR="00B15F7D" w:rsidRPr="00990FB6" w:rsidRDefault="00B15F7D" w:rsidP="00B15F7D">
      <w:pPr>
        <w:tabs>
          <w:tab w:val="left" w:pos="851"/>
          <w:tab w:val="left" w:pos="8080"/>
        </w:tabs>
        <w:ind w:left="851" w:firstLine="851"/>
        <w:jc w:val="both"/>
        <w:rPr>
          <w:sz w:val="22"/>
          <w:szCs w:val="22"/>
          <w:lang w:val="es-CR"/>
        </w:rPr>
      </w:pPr>
    </w:p>
    <w:p w14:paraId="1A43345D" w14:textId="77777777" w:rsidR="00B15F7D" w:rsidRPr="00990FB6" w:rsidRDefault="00B15F7D" w:rsidP="00B15F7D">
      <w:pPr>
        <w:ind w:left="851" w:right="900" w:firstLine="851"/>
        <w:jc w:val="both"/>
        <w:rPr>
          <w:sz w:val="22"/>
          <w:szCs w:val="22"/>
        </w:rPr>
      </w:pPr>
      <w:r w:rsidRPr="00990FB6">
        <w:rPr>
          <w:sz w:val="22"/>
          <w:szCs w:val="22"/>
          <w:lang w:val="es-CR"/>
        </w:rPr>
        <w:t xml:space="preserve">Las Direcciones Ejecutiva, de Gestión Humana y de Planificación, así como, la Secretaría General de la Corte, y el administrador del Consejo Superior tomarán nota para lo que corresponda de acuerdo a sus competencias. </w:t>
      </w:r>
      <w:r w:rsidRPr="00990FB6">
        <w:rPr>
          <w:b/>
          <w:bCs/>
          <w:sz w:val="22"/>
          <w:szCs w:val="22"/>
          <w:lang w:val="es-CR"/>
        </w:rPr>
        <w:t>Se declara acuerdo firme.</w:t>
      </w:r>
      <w:r w:rsidRPr="00990FB6">
        <w:rPr>
          <w:b/>
          <w:bCs/>
          <w:sz w:val="22"/>
          <w:szCs w:val="22"/>
        </w:rPr>
        <w:t>””</w:t>
      </w:r>
    </w:p>
    <w:p w14:paraId="1F3C99D8" w14:textId="77777777" w:rsidR="00B15F7D" w:rsidRPr="00990FB6" w:rsidRDefault="00B15F7D" w:rsidP="00B15F7D">
      <w:pPr>
        <w:autoSpaceDE w:val="0"/>
        <w:autoSpaceDN w:val="0"/>
        <w:ind w:left="851" w:right="900"/>
        <w:jc w:val="both"/>
        <w:rPr>
          <w:sz w:val="22"/>
          <w:szCs w:val="22"/>
        </w:rPr>
      </w:pPr>
      <w:r w:rsidRPr="00990FB6">
        <w:rPr>
          <w:sz w:val="22"/>
          <w:szCs w:val="22"/>
        </w:rPr>
        <w:t> </w:t>
      </w:r>
    </w:p>
    <w:p w14:paraId="72E6C6F0" w14:textId="77777777" w:rsidR="00B15F7D" w:rsidRPr="00990FB6" w:rsidRDefault="00B15F7D" w:rsidP="00B15F7D">
      <w:pPr>
        <w:jc w:val="center"/>
        <w:rPr>
          <w:bCs/>
          <w:sz w:val="22"/>
          <w:szCs w:val="22"/>
          <w:lang w:val="es-CR"/>
        </w:rPr>
      </w:pPr>
      <w:r w:rsidRPr="00990FB6">
        <w:rPr>
          <w:bCs/>
          <w:sz w:val="22"/>
          <w:szCs w:val="22"/>
          <w:lang w:val="es-CR"/>
        </w:rPr>
        <w:t>- 0 -</w:t>
      </w:r>
    </w:p>
    <w:p w14:paraId="1A6ACC5E" w14:textId="77777777" w:rsidR="00B15F7D" w:rsidRPr="00990FB6" w:rsidRDefault="00B15F7D" w:rsidP="00B15F7D">
      <w:pPr>
        <w:jc w:val="center"/>
        <w:rPr>
          <w:b/>
          <w:sz w:val="22"/>
          <w:szCs w:val="22"/>
          <w:lang w:val="es-CR"/>
        </w:rPr>
      </w:pPr>
    </w:p>
    <w:p w14:paraId="0E2EEA46" w14:textId="21732AF8" w:rsidR="00B15F7D" w:rsidRPr="00990FB6" w:rsidRDefault="00B15F7D" w:rsidP="00B15F7D">
      <w:pPr>
        <w:ind w:firstLine="708"/>
        <w:jc w:val="both"/>
        <w:rPr>
          <w:sz w:val="22"/>
          <w:szCs w:val="22"/>
        </w:rPr>
      </w:pPr>
      <w:r w:rsidRPr="00990FB6">
        <w:rPr>
          <w:color w:val="000000"/>
          <w:sz w:val="22"/>
          <w:szCs w:val="22"/>
          <w:shd w:val="clear" w:color="auto" w:fill="FFFFFF"/>
          <w:lang w:val="es-CR"/>
        </w:rPr>
        <w:t xml:space="preserve">La Corte Plena en sesión </w:t>
      </w:r>
      <w:proofErr w:type="spellStart"/>
      <w:r w:rsidRPr="00990FB6">
        <w:rPr>
          <w:sz w:val="22"/>
          <w:szCs w:val="22"/>
        </w:rPr>
        <w:t>N°</w:t>
      </w:r>
      <w:proofErr w:type="spellEnd"/>
      <w:r w:rsidRPr="00990FB6">
        <w:rPr>
          <w:sz w:val="22"/>
          <w:szCs w:val="22"/>
        </w:rPr>
        <w:t xml:space="preserve"> 09-2023 celebrada el 27 de febrero de 2023, artículo IV, se tomó el acuerdo cuya parte dispositiva dice: </w:t>
      </w:r>
    </w:p>
    <w:p w14:paraId="5A443D04" w14:textId="77777777" w:rsidR="00F65B2B" w:rsidRPr="00990FB6" w:rsidRDefault="00F65B2B" w:rsidP="00B15F7D">
      <w:pPr>
        <w:ind w:firstLine="708"/>
        <w:jc w:val="both"/>
        <w:rPr>
          <w:sz w:val="22"/>
          <w:szCs w:val="22"/>
        </w:rPr>
      </w:pPr>
    </w:p>
    <w:p w14:paraId="38DE34C8" w14:textId="77777777" w:rsidR="00B15F7D" w:rsidRPr="00990FB6" w:rsidRDefault="00B15F7D" w:rsidP="00B15F7D">
      <w:pPr>
        <w:ind w:left="851" w:right="851" w:firstLine="708"/>
        <w:rPr>
          <w:sz w:val="22"/>
          <w:szCs w:val="22"/>
        </w:rPr>
      </w:pPr>
      <w:r w:rsidRPr="00990FB6">
        <w:rPr>
          <w:sz w:val="22"/>
          <w:szCs w:val="22"/>
        </w:rPr>
        <w:t>“(…)</w:t>
      </w:r>
    </w:p>
    <w:p w14:paraId="3F9B9CB8" w14:textId="77777777" w:rsidR="00B15F7D" w:rsidRPr="00990FB6" w:rsidRDefault="00B15F7D" w:rsidP="00B15F7D">
      <w:pPr>
        <w:ind w:left="851" w:right="851" w:firstLine="708"/>
        <w:rPr>
          <w:b/>
          <w:bCs/>
          <w:color w:val="000000"/>
          <w:sz w:val="22"/>
          <w:szCs w:val="22"/>
          <w:shd w:val="clear" w:color="auto" w:fill="FFFFFF"/>
          <w:lang w:val="es-CR"/>
        </w:rPr>
      </w:pPr>
    </w:p>
    <w:p w14:paraId="4FD8244C" w14:textId="77777777" w:rsidR="00B15F7D" w:rsidRPr="00990FB6" w:rsidRDefault="00B15F7D" w:rsidP="00B15F7D">
      <w:pPr>
        <w:ind w:left="851" w:right="851" w:firstLine="709"/>
        <w:jc w:val="both"/>
        <w:rPr>
          <w:b/>
          <w:bCs/>
          <w:sz w:val="22"/>
          <w:szCs w:val="22"/>
        </w:rPr>
      </w:pPr>
      <w:r w:rsidRPr="00990FB6">
        <w:rPr>
          <w:b/>
          <w:bCs/>
          <w:sz w:val="22"/>
          <w:szCs w:val="22"/>
          <w:shd w:val="clear" w:color="auto" w:fill="FFFFFF"/>
        </w:rPr>
        <w:t xml:space="preserve">Se acordó: 1) </w:t>
      </w:r>
      <w:r w:rsidRPr="00990FB6">
        <w:rPr>
          <w:sz w:val="22"/>
          <w:szCs w:val="22"/>
          <w:shd w:val="clear" w:color="auto" w:fill="FFFFFF"/>
        </w:rPr>
        <w:t xml:space="preserve">Tener por conocido el acuerdo adoptado por el Consejo Superior en sesión </w:t>
      </w:r>
      <w:proofErr w:type="spellStart"/>
      <w:r w:rsidRPr="00990FB6">
        <w:rPr>
          <w:sz w:val="22"/>
          <w:szCs w:val="22"/>
          <w:shd w:val="clear" w:color="auto" w:fill="FFFFFF"/>
        </w:rPr>
        <w:t>N°</w:t>
      </w:r>
      <w:proofErr w:type="spellEnd"/>
      <w:r w:rsidRPr="00990FB6">
        <w:rPr>
          <w:sz w:val="22"/>
          <w:szCs w:val="22"/>
          <w:shd w:val="clear" w:color="auto" w:fill="FFFFFF"/>
        </w:rPr>
        <w:t xml:space="preserve"> 13-2022 celebrada el 16 de febrero de 2023, artículo XXXVII, relacionado con la propuesta de programación de sesiones previas de trabajo y sesiones del Consejo Superior para aprobación del anteproyecto de presupuesto 2024. </w:t>
      </w:r>
      <w:r w:rsidRPr="00990FB6">
        <w:rPr>
          <w:b/>
          <w:bCs/>
          <w:sz w:val="22"/>
          <w:szCs w:val="22"/>
          <w:shd w:val="clear" w:color="auto" w:fill="FFFFFF"/>
        </w:rPr>
        <w:t>2)</w:t>
      </w:r>
      <w:r w:rsidRPr="00990FB6">
        <w:rPr>
          <w:sz w:val="22"/>
          <w:szCs w:val="22"/>
          <w:shd w:val="clear" w:color="auto" w:fill="FFFFFF"/>
        </w:rPr>
        <w:t xml:space="preserve"> Reservar </w:t>
      </w:r>
      <w:r w:rsidRPr="00990FB6">
        <w:rPr>
          <w:sz w:val="22"/>
          <w:szCs w:val="22"/>
        </w:rPr>
        <w:t>la semana del lunes 29 de mayo al viernes 2 de junio de 2023</w:t>
      </w:r>
      <w:r w:rsidRPr="00990FB6">
        <w:rPr>
          <w:sz w:val="22"/>
          <w:szCs w:val="22"/>
          <w:shd w:val="clear" w:color="auto" w:fill="FFFFFF"/>
        </w:rPr>
        <w:t xml:space="preserve">, para que esta Corte conozca el anteproyecto de presupuesto 2023. </w:t>
      </w:r>
      <w:r w:rsidRPr="00990FB6">
        <w:rPr>
          <w:b/>
          <w:bCs/>
          <w:sz w:val="22"/>
          <w:szCs w:val="22"/>
          <w:shd w:val="clear" w:color="auto" w:fill="FFFFFF"/>
        </w:rPr>
        <w:t>Se declara acuerdo firme.</w:t>
      </w:r>
      <w:r w:rsidRPr="00990FB6">
        <w:rPr>
          <w:b/>
          <w:bCs/>
          <w:sz w:val="22"/>
          <w:szCs w:val="22"/>
        </w:rPr>
        <w:t>”</w:t>
      </w:r>
    </w:p>
    <w:p w14:paraId="31F54F34" w14:textId="77777777" w:rsidR="00B15F7D" w:rsidRPr="00990FB6" w:rsidRDefault="00B15F7D" w:rsidP="00B15F7D">
      <w:pPr>
        <w:ind w:left="851" w:right="851" w:firstLine="709"/>
        <w:jc w:val="both"/>
        <w:rPr>
          <w:bCs/>
          <w:sz w:val="22"/>
          <w:szCs w:val="22"/>
          <w:lang w:eastAsia="es-ES"/>
        </w:rPr>
      </w:pPr>
    </w:p>
    <w:p w14:paraId="2AEC3E55" w14:textId="52D072E8" w:rsidR="00B15F7D" w:rsidRPr="00990FB6" w:rsidRDefault="00B15F7D" w:rsidP="00B15F7D">
      <w:pPr>
        <w:widowControl w:val="0"/>
        <w:autoSpaceDE w:val="0"/>
        <w:autoSpaceDN w:val="0"/>
        <w:adjustRightInd w:val="0"/>
        <w:contextualSpacing/>
        <w:jc w:val="center"/>
        <w:rPr>
          <w:sz w:val="22"/>
          <w:szCs w:val="22"/>
          <w:shd w:val="clear" w:color="auto" w:fill="FFFFFF"/>
        </w:rPr>
      </w:pPr>
      <w:r w:rsidRPr="00990FB6">
        <w:rPr>
          <w:sz w:val="22"/>
          <w:szCs w:val="22"/>
          <w:shd w:val="clear" w:color="auto" w:fill="FFFFFF"/>
        </w:rPr>
        <w:t xml:space="preserve">- 0 </w:t>
      </w:r>
      <w:r w:rsidR="00F65B2B" w:rsidRPr="00990FB6">
        <w:rPr>
          <w:sz w:val="22"/>
          <w:szCs w:val="22"/>
          <w:shd w:val="clear" w:color="auto" w:fill="FFFFFF"/>
        </w:rPr>
        <w:t>–</w:t>
      </w:r>
    </w:p>
    <w:p w14:paraId="32A6AF8A" w14:textId="77777777" w:rsidR="00F65B2B" w:rsidRPr="00990FB6" w:rsidRDefault="00F65B2B" w:rsidP="00B15F7D">
      <w:pPr>
        <w:widowControl w:val="0"/>
        <w:autoSpaceDE w:val="0"/>
        <w:autoSpaceDN w:val="0"/>
        <w:adjustRightInd w:val="0"/>
        <w:contextualSpacing/>
        <w:jc w:val="center"/>
        <w:rPr>
          <w:sz w:val="22"/>
          <w:szCs w:val="22"/>
        </w:rPr>
      </w:pPr>
    </w:p>
    <w:p w14:paraId="441FFE72" w14:textId="21D51D67" w:rsidR="00B15F7D" w:rsidRPr="00990FB6" w:rsidRDefault="00B15F7D" w:rsidP="00B15F7D">
      <w:pPr>
        <w:keepNext/>
        <w:ind w:firstLine="406"/>
        <w:jc w:val="both"/>
        <w:rPr>
          <w:color w:val="000000"/>
          <w:sz w:val="22"/>
          <w:szCs w:val="22"/>
          <w:lang w:val="es-CR"/>
        </w:rPr>
      </w:pPr>
      <w:r w:rsidRPr="00990FB6">
        <w:rPr>
          <w:color w:val="000000"/>
          <w:sz w:val="22"/>
          <w:szCs w:val="22"/>
          <w:lang w:val="es-CR"/>
        </w:rPr>
        <w:t xml:space="preserve">En sesión de Consejo Superior </w:t>
      </w:r>
      <w:proofErr w:type="spellStart"/>
      <w:r w:rsidRPr="00990FB6">
        <w:rPr>
          <w:color w:val="000000"/>
          <w:sz w:val="22"/>
          <w:szCs w:val="22"/>
          <w:lang w:val="es-CR"/>
        </w:rPr>
        <w:t>N°</w:t>
      </w:r>
      <w:proofErr w:type="spellEnd"/>
      <w:r w:rsidRPr="00990FB6">
        <w:rPr>
          <w:color w:val="000000"/>
          <w:sz w:val="22"/>
          <w:szCs w:val="22"/>
          <w:lang w:val="es-CR"/>
        </w:rPr>
        <w:t xml:space="preserve"> 39-2023 del 10 de mayo de 2023, artículo I, se tomó el acuerdo que en lo que interesa dice: </w:t>
      </w:r>
    </w:p>
    <w:p w14:paraId="07D5BA35" w14:textId="77777777" w:rsidR="00F65B2B" w:rsidRPr="00990FB6" w:rsidRDefault="00F65B2B" w:rsidP="00B15F7D">
      <w:pPr>
        <w:keepNext/>
        <w:ind w:firstLine="406"/>
        <w:jc w:val="both"/>
        <w:rPr>
          <w:color w:val="000000"/>
          <w:sz w:val="22"/>
          <w:szCs w:val="22"/>
          <w:lang w:val="es-CR"/>
        </w:rPr>
      </w:pPr>
    </w:p>
    <w:p w14:paraId="1A7144C4" w14:textId="2D55492A" w:rsidR="00B15F7D" w:rsidRPr="00990FB6" w:rsidRDefault="00B15F7D" w:rsidP="00B15F7D">
      <w:pPr>
        <w:keepNext/>
        <w:ind w:left="708" w:firstLine="708"/>
        <w:jc w:val="both"/>
        <w:rPr>
          <w:color w:val="000000"/>
          <w:sz w:val="22"/>
          <w:szCs w:val="22"/>
          <w:lang w:val="es-CR"/>
        </w:rPr>
      </w:pPr>
      <w:r w:rsidRPr="00990FB6">
        <w:rPr>
          <w:color w:val="000000"/>
          <w:sz w:val="22"/>
          <w:szCs w:val="22"/>
          <w:lang w:val="es-CR"/>
        </w:rPr>
        <w:t>“(...)</w:t>
      </w:r>
    </w:p>
    <w:p w14:paraId="3BE495CB" w14:textId="77777777" w:rsidR="00F65B2B" w:rsidRPr="00990FB6" w:rsidRDefault="00F65B2B" w:rsidP="00B15F7D">
      <w:pPr>
        <w:keepNext/>
        <w:ind w:left="708" w:firstLine="708"/>
        <w:jc w:val="both"/>
        <w:rPr>
          <w:color w:val="000000"/>
          <w:sz w:val="22"/>
          <w:szCs w:val="22"/>
          <w:lang w:val="es-CR"/>
        </w:rPr>
      </w:pPr>
    </w:p>
    <w:p w14:paraId="0667D585" w14:textId="77777777" w:rsidR="00B15F7D" w:rsidRPr="00990FB6" w:rsidRDefault="00B15F7D" w:rsidP="00B15F7D">
      <w:pPr>
        <w:ind w:left="851" w:right="851" w:firstLine="709"/>
        <w:jc w:val="both"/>
        <w:rPr>
          <w:sz w:val="22"/>
          <w:szCs w:val="22"/>
          <w:lang w:eastAsia="es-ES"/>
        </w:rPr>
      </w:pPr>
      <w:r w:rsidRPr="00990FB6">
        <w:rPr>
          <w:b/>
          <w:bCs/>
          <w:sz w:val="22"/>
          <w:szCs w:val="22"/>
          <w:lang w:eastAsia="es-ES"/>
        </w:rPr>
        <w:t>Se acordó:</w:t>
      </w:r>
      <w:r w:rsidRPr="00990FB6">
        <w:rPr>
          <w:sz w:val="22"/>
          <w:szCs w:val="22"/>
          <w:lang w:eastAsia="es-ES"/>
        </w:rPr>
        <w:t xml:space="preserve"> </w:t>
      </w:r>
      <w:r w:rsidRPr="00990FB6">
        <w:rPr>
          <w:b/>
          <w:bCs/>
          <w:sz w:val="22"/>
          <w:szCs w:val="22"/>
          <w:lang w:eastAsia="es-ES"/>
        </w:rPr>
        <w:t>1)</w:t>
      </w:r>
      <w:r w:rsidRPr="00990FB6">
        <w:rPr>
          <w:sz w:val="22"/>
          <w:szCs w:val="22"/>
          <w:lang w:eastAsia="es-ES"/>
        </w:rPr>
        <w:t xml:space="preserve"> Tener por recibidos los escenarios planteados por la Dirección de Planificación para el presupuesto del Poder Judicial para el año 2024</w:t>
      </w:r>
      <w:r w:rsidRPr="00990FB6">
        <w:rPr>
          <w:b/>
          <w:bCs/>
          <w:sz w:val="22"/>
          <w:szCs w:val="22"/>
          <w:lang w:eastAsia="es-ES"/>
        </w:rPr>
        <w:t>. 2)</w:t>
      </w:r>
      <w:r w:rsidRPr="00990FB6">
        <w:rPr>
          <w:sz w:val="22"/>
          <w:szCs w:val="22"/>
          <w:lang w:eastAsia="es-ES"/>
        </w:rPr>
        <w:t xml:space="preserve"> Comisionar al Despacho de la Presidencia para que coordine una reunión con las diferentes jefaturas de los Programas Presupuestarios, Dirección de Tecnología de la Información y Dirección Ejecutiva, a fin de que estos Programas y Direcciones Administrativas realicen una propuesta de rebajo conforme la información proporcionada por la Dirección de Planificación en el escenario 2 denominado “</w:t>
      </w:r>
      <w:r w:rsidRPr="00990FB6">
        <w:rPr>
          <w:b/>
          <w:bCs/>
          <w:i/>
          <w:iCs/>
          <w:sz w:val="22"/>
          <w:szCs w:val="22"/>
          <w:lang w:eastAsia="es-ES"/>
        </w:rPr>
        <w:t>Escenario 2: Rebajos para ajustarse al límite establecido por el Ministerio de Haciende de ¢480.567.100.000 (inviable para el Poder Judicial)</w:t>
      </w:r>
      <w:r w:rsidRPr="00990FB6">
        <w:rPr>
          <w:sz w:val="22"/>
          <w:szCs w:val="22"/>
          <w:lang w:eastAsia="es-ES"/>
        </w:rPr>
        <w:t xml:space="preserve">”.  Lo anterior, como una medida extrema, previendo el riesgo y responsabilidad para el Consejo Superior de no presentar un proyecto de presupuesto ante Corte Plena, ajustado a los lineamientos establecidos por el Ministerio de Hacienda mediante oficio MH-DM-OF-0561-2023 en el cual estableció el límite presupuestario al Poder Judicial para 2024. Este escenario debe detallar claramente el impacto que tendrá para la prestación del servicio público, en caso de que se llegue a concretar </w:t>
      </w:r>
      <w:r w:rsidRPr="00990FB6">
        <w:rPr>
          <w:b/>
          <w:bCs/>
          <w:sz w:val="22"/>
          <w:szCs w:val="22"/>
          <w:lang w:eastAsia="es-ES"/>
        </w:rPr>
        <w:t>3)</w:t>
      </w:r>
      <w:r w:rsidRPr="00990FB6">
        <w:rPr>
          <w:sz w:val="22"/>
          <w:szCs w:val="22"/>
          <w:lang w:eastAsia="es-ES"/>
        </w:rPr>
        <w:t xml:space="preserve"> Estar a la espera del resultado de la reunión que se realizará entre la Presidencia de la Corte y el Ministerio de Hacienda, para tratar el tema Presupuestario, de conformidad con el acuerdo tomado por este Consejo Superior en sesión número 38-2023 del 9 de abril de 2023, artículo XLVII.</w:t>
      </w:r>
    </w:p>
    <w:p w14:paraId="5876F946" w14:textId="77777777" w:rsidR="00B15F7D" w:rsidRPr="00990FB6" w:rsidRDefault="00B15F7D" w:rsidP="00B15F7D">
      <w:pPr>
        <w:ind w:left="851" w:right="851" w:firstLine="709"/>
        <w:jc w:val="both"/>
        <w:rPr>
          <w:sz w:val="22"/>
          <w:szCs w:val="22"/>
          <w:lang w:eastAsia="es-ES"/>
        </w:rPr>
      </w:pPr>
    </w:p>
    <w:p w14:paraId="6745E7D7" w14:textId="77777777" w:rsidR="00B15F7D" w:rsidRPr="00990FB6" w:rsidRDefault="00B15F7D" w:rsidP="00B15F7D">
      <w:pPr>
        <w:ind w:left="851" w:right="851" w:firstLine="709"/>
        <w:jc w:val="both"/>
        <w:rPr>
          <w:b/>
          <w:bCs/>
          <w:sz w:val="22"/>
          <w:szCs w:val="22"/>
          <w:lang w:eastAsia="es-ES"/>
        </w:rPr>
      </w:pPr>
      <w:r w:rsidRPr="00990FB6">
        <w:rPr>
          <w:sz w:val="22"/>
          <w:szCs w:val="22"/>
          <w:lang w:eastAsia="es-ES"/>
        </w:rPr>
        <w:t xml:space="preserve">La Dirección de Planificación tomará nota para lo que corresponda. </w:t>
      </w:r>
      <w:r w:rsidRPr="00990FB6">
        <w:rPr>
          <w:b/>
          <w:bCs/>
          <w:sz w:val="22"/>
          <w:szCs w:val="22"/>
          <w:lang w:eastAsia="es-ES"/>
        </w:rPr>
        <w:t>Se declara acuerdo firme.</w:t>
      </w:r>
    </w:p>
    <w:p w14:paraId="7FDC1525" w14:textId="77777777" w:rsidR="00B15F7D" w:rsidRPr="00990FB6" w:rsidRDefault="00B15F7D" w:rsidP="00B15F7D">
      <w:pPr>
        <w:ind w:left="851" w:right="851" w:firstLine="709"/>
        <w:jc w:val="both"/>
        <w:rPr>
          <w:b/>
          <w:bCs/>
          <w:sz w:val="22"/>
          <w:szCs w:val="22"/>
          <w:lang w:eastAsia="es-ES"/>
        </w:rPr>
      </w:pPr>
    </w:p>
    <w:p w14:paraId="392417D0" w14:textId="29CF3F1D" w:rsidR="00B15F7D" w:rsidRPr="00990FB6" w:rsidRDefault="00B15F7D" w:rsidP="00B15F7D">
      <w:pPr>
        <w:jc w:val="center"/>
        <w:rPr>
          <w:color w:val="000000"/>
          <w:sz w:val="22"/>
          <w:szCs w:val="22"/>
          <w:shd w:val="clear" w:color="auto" w:fill="FFFFFF"/>
          <w:lang w:val="es-CR"/>
        </w:rPr>
      </w:pPr>
      <w:r w:rsidRPr="00990FB6">
        <w:rPr>
          <w:color w:val="000000"/>
          <w:sz w:val="22"/>
          <w:szCs w:val="22"/>
          <w:shd w:val="clear" w:color="auto" w:fill="FFFFFF"/>
          <w:lang w:val="es-CR"/>
        </w:rPr>
        <w:t xml:space="preserve">- 0 </w:t>
      </w:r>
      <w:r w:rsidR="00F65B2B" w:rsidRPr="00990FB6">
        <w:rPr>
          <w:color w:val="000000"/>
          <w:sz w:val="22"/>
          <w:szCs w:val="22"/>
          <w:shd w:val="clear" w:color="auto" w:fill="FFFFFF"/>
          <w:lang w:val="es-CR"/>
        </w:rPr>
        <w:t>–</w:t>
      </w:r>
    </w:p>
    <w:p w14:paraId="570F7722" w14:textId="77777777" w:rsidR="00F65B2B" w:rsidRPr="00990FB6" w:rsidRDefault="00F65B2B" w:rsidP="00B15F7D">
      <w:pPr>
        <w:jc w:val="center"/>
        <w:rPr>
          <w:color w:val="000000"/>
          <w:sz w:val="22"/>
          <w:szCs w:val="22"/>
          <w:shd w:val="clear" w:color="auto" w:fill="FFFFFF"/>
          <w:lang w:val="es-CR"/>
        </w:rPr>
      </w:pPr>
    </w:p>
    <w:p w14:paraId="38B26BA4" w14:textId="0EB4F682" w:rsidR="00B15F7D" w:rsidRPr="00990FB6" w:rsidRDefault="00B15F7D" w:rsidP="00B15F7D">
      <w:pPr>
        <w:ind w:firstLine="708"/>
        <w:jc w:val="both"/>
        <w:rPr>
          <w:color w:val="000000"/>
          <w:sz w:val="22"/>
          <w:szCs w:val="22"/>
          <w:shd w:val="clear" w:color="auto" w:fill="FFFFFF"/>
          <w:lang w:val="es-CR"/>
        </w:rPr>
      </w:pPr>
      <w:r w:rsidRPr="00990FB6">
        <w:rPr>
          <w:color w:val="000000"/>
          <w:sz w:val="22"/>
          <w:szCs w:val="22"/>
          <w:shd w:val="clear" w:color="auto" w:fill="FFFFFF"/>
          <w:lang w:val="es-CR"/>
        </w:rPr>
        <w:t xml:space="preserve">El Consejo Superior en sesión </w:t>
      </w:r>
      <w:proofErr w:type="spellStart"/>
      <w:r w:rsidRPr="00990FB6">
        <w:rPr>
          <w:color w:val="000000"/>
          <w:sz w:val="22"/>
          <w:szCs w:val="22"/>
          <w:shd w:val="clear" w:color="auto" w:fill="FFFFFF"/>
          <w:lang w:val="es-CR"/>
        </w:rPr>
        <w:t>N°</w:t>
      </w:r>
      <w:proofErr w:type="spellEnd"/>
      <w:r w:rsidRPr="00990FB6">
        <w:rPr>
          <w:color w:val="000000"/>
          <w:sz w:val="22"/>
          <w:szCs w:val="22"/>
          <w:shd w:val="clear" w:color="auto" w:fill="FFFFFF"/>
          <w:lang w:val="es-CR"/>
        </w:rPr>
        <w:t xml:space="preserve"> 42-23 celebrada el 18 de mayo de 2023, artículo XII, tomó el acuerdo, que en lo que interesa dice: </w:t>
      </w:r>
    </w:p>
    <w:p w14:paraId="4F618AD4" w14:textId="77777777" w:rsidR="00F65B2B" w:rsidRPr="00990FB6" w:rsidRDefault="00F65B2B" w:rsidP="00B15F7D">
      <w:pPr>
        <w:ind w:firstLine="708"/>
        <w:jc w:val="both"/>
        <w:rPr>
          <w:color w:val="000000"/>
          <w:sz w:val="22"/>
          <w:szCs w:val="22"/>
          <w:shd w:val="clear" w:color="auto" w:fill="FFFFFF"/>
          <w:lang w:val="es-CR"/>
        </w:rPr>
      </w:pPr>
    </w:p>
    <w:p w14:paraId="2FD84DB1" w14:textId="77777777" w:rsidR="00B15F7D" w:rsidRPr="00990FB6" w:rsidRDefault="00B15F7D" w:rsidP="00B15F7D">
      <w:pPr>
        <w:ind w:left="851" w:right="851" w:firstLine="709"/>
        <w:jc w:val="both"/>
        <w:rPr>
          <w:snapToGrid w:val="0"/>
          <w:color w:val="000000"/>
          <w:sz w:val="22"/>
          <w:szCs w:val="22"/>
        </w:rPr>
      </w:pPr>
      <w:r w:rsidRPr="00990FB6">
        <w:rPr>
          <w:snapToGrid w:val="0"/>
          <w:color w:val="000000"/>
          <w:sz w:val="22"/>
          <w:szCs w:val="22"/>
        </w:rPr>
        <w:t xml:space="preserve">“El Consejo Superior en la sesión 39-2023, artículo I, conoció entre otros escenarios de Presupuesto 2024, el escenario 1: </w:t>
      </w:r>
      <w:r w:rsidRPr="00990FB6">
        <w:rPr>
          <w:b/>
          <w:bCs/>
          <w:i/>
          <w:iCs/>
          <w:snapToGrid w:val="0"/>
          <w:color w:val="000000"/>
          <w:sz w:val="22"/>
          <w:szCs w:val="22"/>
        </w:rPr>
        <w:t>Presupuesto del Poder Judicial sin ningún crecimiento presupuestario</w:t>
      </w:r>
      <w:r w:rsidRPr="00990FB6">
        <w:rPr>
          <w:snapToGrid w:val="0"/>
          <w:color w:val="000000"/>
          <w:sz w:val="22"/>
          <w:szCs w:val="22"/>
        </w:rPr>
        <w:t xml:space="preserve">, el cual se elaboró ajustado al monto de Ley </w:t>
      </w:r>
      <w:r w:rsidRPr="00990FB6">
        <w:rPr>
          <w:snapToGrid w:val="0"/>
          <w:color w:val="000000"/>
          <w:sz w:val="22"/>
          <w:szCs w:val="22"/>
        </w:rPr>
        <w:lastRenderedPageBreak/>
        <w:t>aprobado para el 2023 y como complemento a este escenario, el Consejo Superior conoció el escenario 2, denominado “</w:t>
      </w:r>
      <w:r w:rsidRPr="00990FB6">
        <w:rPr>
          <w:b/>
          <w:bCs/>
          <w:snapToGrid w:val="0"/>
          <w:color w:val="000000"/>
          <w:sz w:val="22"/>
          <w:szCs w:val="22"/>
        </w:rPr>
        <w:t>Rebajos para ajustarse al límite establecido por el Ministerio de Haciende de ¢480.567.100.000 (inviable para el Poder Judicial)</w:t>
      </w:r>
      <w:r w:rsidRPr="00990FB6">
        <w:rPr>
          <w:snapToGrid w:val="0"/>
          <w:color w:val="000000"/>
          <w:sz w:val="22"/>
          <w:szCs w:val="22"/>
        </w:rPr>
        <w:t xml:space="preserve">”. </w:t>
      </w:r>
    </w:p>
    <w:p w14:paraId="18295459" w14:textId="77777777" w:rsidR="00B15F7D" w:rsidRPr="00990FB6" w:rsidRDefault="00B15F7D" w:rsidP="00B15F7D">
      <w:pPr>
        <w:ind w:left="851" w:right="851" w:firstLine="709"/>
        <w:jc w:val="both"/>
        <w:rPr>
          <w:snapToGrid w:val="0"/>
          <w:color w:val="000000"/>
          <w:sz w:val="22"/>
          <w:szCs w:val="22"/>
        </w:rPr>
      </w:pPr>
    </w:p>
    <w:p w14:paraId="04959408" w14:textId="77777777" w:rsidR="00B15F7D" w:rsidRPr="00990FB6" w:rsidRDefault="00B15F7D" w:rsidP="00B15F7D">
      <w:pPr>
        <w:ind w:left="851" w:right="851" w:firstLine="709"/>
        <w:jc w:val="both"/>
        <w:rPr>
          <w:snapToGrid w:val="0"/>
          <w:color w:val="000000"/>
          <w:sz w:val="22"/>
          <w:szCs w:val="22"/>
        </w:rPr>
      </w:pPr>
      <w:r w:rsidRPr="00990FB6">
        <w:rPr>
          <w:snapToGrid w:val="0"/>
          <w:color w:val="000000"/>
          <w:sz w:val="22"/>
          <w:szCs w:val="22"/>
        </w:rPr>
        <w:t>Al respecto, se dispuso lo siguiente:</w:t>
      </w:r>
    </w:p>
    <w:p w14:paraId="795CA522" w14:textId="77777777" w:rsidR="00B15F7D" w:rsidRPr="00990FB6" w:rsidRDefault="00B15F7D" w:rsidP="00B15F7D">
      <w:pPr>
        <w:ind w:left="851" w:right="851" w:firstLine="709"/>
        <w:jc w:val="both"/>
        <w:rPr>
          <w:snapToGrid w:val="0"/>
          <w:color w:val="000000"/>
          <w:sz w:val="22"/>
          <w:szCs w:val="22"/>
        </w:rPr>
      </w:pPr>
    </w:p>
    <w:p w14:paraId="72380C53" w14:textId="77777777" w:rsidR="00B15F7D" w:rsidRPr="00990FB6" w:rsidRDefault="00B15F7D" w:rsidP="00B15F7D">
      <w:pPr>
        <w:ind w:left="851" w:right="851" w:firstLine="709"/>
        <w:jc w:val="both"/>
        <w:rPr>
          <w:i/>
          <w:iCs/>
          <w:sz w:val="22"/>
          <w:szCs w:val="22"/>
          <w:lang w:eastAsia="es-ES"/>
        </w:rPr>
      </w:pPr>
      <w:r w:rsidRPr="00990FB6">
        <w:rPr>
          <w:b/>
          <w:bCs/>
          <w:i/>
          <w:iCs/>
          <w:sz w:val="22"/>
          <w:szCs w:val="22"/>
          <w:lang w:eastAsia="es-ES"/>
        </w:rPr>
        <w:t>Se acordó:</w:t>
      </w:r>
      <w:r w:rsidRPr="00990FB6">
        <w:rPr>
          <w:i/>
          <w:iCs/>
          <w:sz w:val="22"/>
          <w:szCs w:val="22"/>
          <w:lang w:eastAsia="es-ES"/>
        </w:rPr>
        <w:t xml:space="preserve"> 1) Tener por recibidos los escenarios planteados por la Dirección de Planificación para el presupuesto del Poder Judicial para el año 2024. 2) Comisionar al Despacho de la Presidencia para que coordine una reunión con las diferentes jefaturas de los Programas Presupuestarios, Dirección de Tecnología de la Información y Dirección Ejecutiva, a fin de que estos Programas y Direcciones Administrativas realicen una propuesta de rebajo conforme la información proporcionada por la Dirección de Planificación en el escenario 2 denominado “</w:t>
      </w:r>
      <w:r w:rsidRPr="00990FB6">
        <w:rPr>
          <w:b/>
          <w:bCs/>
          <w:i/>
          <w:iCs/>
          <w:sz w:val="22"/>
          <w:szCs w:val="22"/>
          <w:lang w:eastAsia="es-ES"/>
        </w:rPr>
        <w:t>Escenario 2: Rebajos para ajustarse al límite establecido por el Ministerio de Haciende de ¢480.567.100.000 (inviable para el Poder Judicial)</w:t>
      </w:r>
      <w:r w:rsidRPr="00990FB6">
        <w:rPr>
          <w:i/>
          <w:iCs/>
          <w:sz w:val="22"/>
          <w:szCs w:val="22"/>
          <w:lang w:eastAsia="es-ES"/>
        </w:rPr>
        <w:t>”.  Lo anterior, como una medida extrema, previendo el riesgo y responsabilidad para el Consejo Superior de no presentar un proyecto de presupuesto ante Corte Plena, ajustado a los lineamientos establecidos por el Ministerio de Hacienda mediante oficio MH-DM-OF-0561-2023 en el cual estableció el límite presupuestario al Poder Judicial para 2024. Este escenario debe detallar claramente el impacto que tendrá para la prestación del servicio público, en caso de que se llegue a concretar 3) Estar a la espera del resultado de la reunión que se realizará entre la Presidencia de la Corte y el Ministerio de Hacienda, para tratar el tema Presupuestario, de conformidad con el acuerdo tomado por este Consejo Superior en sesión número 38-2023 del 9 de abril de 2023, artículo XLVII.</w:t>
      </w:r>
    </w:p>
    <w:p w14:paraId="6B3DB978" w14:textId="77777777" w:rsidR="00B15F7D" w:rsidRPr="00990FB6" w:rsidRDefault="00B15F7D" w:rsidP="00B15F7D">
      <w:pPr>
        <w:ind w:left="851" w:right="851" w:firstLine="709"/>
        <w:jc w:val="both"/>
        <w:rPr>
          <w:i/>
          <w:iCs/>
          <w:sz w:val="22"/>
          <w:szCs w:val="22"/>
          <w:lang w:eastAsia="es-ES"/>
        </w:rPr>
      </w:pPr>
    </w:p>
    <w:p w14:paraId="3A013165" w14:textId="77777777" w:rsidR="00B15F7D" w:rsidRPr="00990FB6" w:rsidRDefault="00B15F7D" w:rsidP="00B15F7D">
      <w:pPr>
        <w:ind w:left="851" w:right="851" w:firstLine="709"/>
        <w:jc w:val="both"/>
        <w:rPr>
          <w:i/>
          <w:iCs/>
          <w:sz w:val="22"/>
          <w:szCs w:val="22"/>
          <w:lang w:eastAsia="es-ES"/>
        </w:rPr>
      </w:pPr>
      <w:r w:rsidRPr="00990FB6">
        <w:rPr>
          <w:i/>
          <w:iCs/>
          <w:sz w:val="22"/>
          <w:szCs w:val="22"/>
          <w:lang w:eastAsia="es-ES"/>
        </w:rPr>
        <w:t>La Dirección de Planificación tomará nota para lo que corresponda. Se declara acuerdo firme.</w:t>
      </w:r>
    </w:p>
    <w:p w14:paraId="5AD0D2D2" w14:textId="77777777" w:rsidR="00B15F7D" w:rsidRPr="00990FB6" w:rsidRDefault="00B15F7D" w:rsidP="00B15F7D">
      <w:pPr>
        <w:ind w:left="851" w:right="851" w:firstLine="709"/>
        <w:jc w:val="both"/>
        <w:rPr>
          <w:i/>
          <w:iCs/>
          <w:sz w:val="22"/>
          <w:szCs w:val="22"/>
          <w:lang w:eastAsia="es-ES"/>
        </w:rPr>
      </w:pPr>
    </w:p>
    <w:p w14:paraId="1834A80B" w14:textId="77777777" w:rsidR="00B15F7D" w:rsidRPr="00990FB6" w:rsidRDefault="00B15F7D" w:rsidP="00B15F7D">
      <w:pPr>
        <w:ind w:left="851" w:right="851"/>
        <w:jc w:val="center"/>
        <w:rPr>
          <w:iCs/>
          <w:sz w:val="22"/>
          <w:szCs w:val="22"/>
          <w:lang w:eastAsia="es-ES"/>
        </w:rPr>
      </w:pPr>
      <w:r w:rsidRPr="00990FB6">
        <w:rPr>
          <w:iCs/>
          <w:sz w:val="22"/>
          <w:szCs w:val="22"/>
          <w:lang w:eastAsia="es-ES"/>
        </w:rPr>
        <w:t>- 0 -</w:t>
      </w:r>
    </w:p>
    <w:p w14:paraId="371F7B19" w14:textId="77777777" w:rsidR="00B15F7D" w:rsidRPr="00990FB6" w:rsidRDefault="00B15F7D" w:rsidP="00B15F7D">
      <w:pPr>
        <w:ind w:left="851" w:right="851" w:firstLine="709"/>
        <w:jc w:val="both"/>
        <w:rPr>
          <w:snapToGrid w:val="0"/>
          <w:sz w:val="22"/>
          <w:szCs w:val="22"/>
        </w:rPr>
      </w:pPr>
    </w:p>
    <w:p w14:paraId="4DC24466" w14:textId="77777777" w:rsidR="00B15F7D" w:rsidRPr="00990FB6" w:rsidRDefault="00B15F7D" w:rsidP="00B15F7D">
      <w:pPr>
        <w:ind w:left="851" w:right="851" w:firstLine="709"/>
        <w:jc w:val="both"/>
        <w:rPr>
          <w:snapToGrid w:val="0"/>
          <w:sz w:val="22"/>
          <w:szCs w:val="22"/>
        </w:rPr>
      </w:pPr>
      <w:r w:rsidRPr="00990FB6">
        <w:rPr>
          <w:snapToGrid w:val="0"/>
          <w:sz w:val="22"/>
          <w:szCs w:val="22"/>
        </w:rPr>
        <w:t>Con relación a lo anterior, se informa que el pasado jueves 11 de mayo, bajo coordinación del Máster. Roger Mata Brenes, Director del Despacho de la Presidencia se efectuó la reunión solicitada por el Consejo Superior y como resultado los diferentes Programas y Direcciones Administrativas emitieron sus argumentaciones y expresaron nuevamente la inviabilidad de realizar los rebajos correspondientes, en el caso que se rebajen los recursos al Poder Judicial, se presenta el detalle de los impactos en las diferentes subpartidas y servicios en el Poder Judicial.</w:t>
      </w:r>
    </w:p>
    <w:p w14:paraId="30C6E07C" w14:textId="77777777" w:rsidR="00B15F7D" w:rsidRPr="00990FB6" w:rsidRDefault="00B15F7D" w:rsidP="00B15F7D">
      <w:pPr>
        <w:ind w:left="851" w:right="851" w:firstLine="709"/>
        <w:jc w:val="both"/>
        <w:rPr>
          <w:snapToGrid w:val="0"/>
          <w:sz w:val="22"/>
          <w:szCs w:val="22"/>
        </w:rPr>
      </w:pPr>
    </w:p>
    <w:p w14:paraId="589ED04F" w14:textId="77777777" w:rsidR="00B15F7D" w:rsidRPr="00990FB6" w:rsidRDefault="00B15F7D" w:rsidP="00B15F7D">
      <w:pPr>
        <w:ind w:left="851" w:right="851" w:firstLine="709"/>
        <w:jc w:val="both"/>
        <w:rPr>
          <w:snapToGrid w:val="0"/>
          <w:sz w:val="22"/>
          <w:szCs w:val="22"/>
        </w:rPr>
      </w:pPr>
      <w:r w:rsidRPr="00990FB6">
        <w:rPr>
          <w:snapToGrid w:val="0"/>
          <w:sz w:val="22"/>
          <w:szCs w:val="22"/>
        </w:rPr>
        <w:t>(…)</w:t>
      </w:r>
    </w:p>
    <w:p w14:paraId="5FAA49AE" w14:textId="77777777" w:rsidR="00B15F7D" w:rsidRPr="00990FB6" w:rsidRDefault="00B15F7D" w:rsidP="00B15F7D">
      <w:pPr>
        <w:ind w:left="851" w:right="851" w:firstLine="709"/>
        <w:jc w:val="both"/>
        <w:rPr>
          <w:snapToGrid w:val="0"/>
          <w:sz w:val="22"/>
          <w:szCs w:val="22"/>
        </w:rPr>
      </w:pPr>
    </w:p>
    <w:p w14:paraId="22D97007" w14:textId="6C17CA4B" w:rsidR="00B15F7D" w:rsidRPr="00990FB6" w:rsidRDefault="00B15F7D" w:rsidP="00B15F7D">
      <w:pPr>
        <w:ind w:left="851" w:right="851" w:firstLine="708"/>
        <w:jc w:val="both"/>
        <w:rPr>
          <w:sz w:val="22"/>
          <w:szCs w:val="22"/>
        </w:rPr>
      </w:pPr>
      <w:r w:rsidRPr="00990FB6">
        <w:rPr>
          <w:b/>
          <w:sz w:val="22"/>
          <w:szCs w:val="22"/>
        </w:rPr>
        <w:t>Se acordó: 1)</w:t>
      </w:r>
      <w:r w:rsidRPr="00990FB6">
        <w:rPr>
          <w:sz w:val="22"/>
          <w:szCs w:val="22"/>
        </w:rPr>
        <w:t xml:space="preserve"> Tomar nota del análisis realizado por el Organismo de Investigación Judicial, el Ministerio Público, la Defensa Pública, la Dirección de Tecnología de la Información y la Dirección Ejecutiva. </w:t>
      </w:r>
      <w:r w:rsidRPr="00990FB6">
        <w:rPr>
          <w:b/>
          <w:sz w:val="22"/>
          <w:szCs w:val="22"/>
        </w:rPr>
        <w:t>2)</w:t>
      </w:r>
      <w:r w:rsidRPr="00990FB6">
        <w:rPr>
          <w:sz w:val="22"/>
          <w:szCs w:val="22"/>
        </w:rPr>
        <w:t xml:space="preserve"> Reiterar que la solicitud planteada por el Ministerio de Hacienda de rebajar al presupuesto del Poder Judicial </w:t>
      </w:r>
      <w:r w:rsidRPr="00990FB6">
        <w:rPr>
          <w:sz w:val="22"/>
          <w:szCs w:val="22"/>
        </w:rPr>
        <w:lastRenderedPageBreak/>
        <w:t>la suma de ¢10.367.</w:t>
      </w:r>
      <w:r w:rsidRPr="00990FB6">
        <w:rPr>
          <w:bCs/>
          <w:sz w:val="22"/>
          <w:szCs w:val="22"/>
        </w:rPr>
        <w:t>280.538</w:t>
      </w:r>
      <w:r w:rsidRPr="00990FB6">
        <w:rPr>
          <w:sz w:val="22"/>
          <w:szCs w:val="22"/>
        </w:rPr>
        <w:t xml:space="preserve">.00 </w:t>
      </w:r>
      <w:r w:rsidRPr="00990FB6">
        <w:rPr>
          <w:b/>
          <w:bCs/>
          <w:sz w:val="22"/>
          <w:szCs w:val="22"/>
        </w:rPr>
        <w:t>resulta inviable</w:t>
      </w:r>
      <w:r w:rsidRPr="00990FB6">
        <w:rPr>
          <w:sz w:val="22"/>
          <w:szCs w:val="22"/>
        </w:rPr>
        <w:t xml:space="preserve">, ya que el análisis realizado por cada jefatura demuestra la afectación en la prestación de los servicios básicos del Poder Judicial. </w:t>
      </w:r>
      <w:r w:rsidRPr="00990FB6">
        <w:rPr>
          <w:b/>
          <w:sz w:val="22"/>
          <w:szCs w:val="22"/>
        </w:rPr>
        <w:t>3)</w:t>
      </w:r>
      <w:r w:rsidRPr="00990FB6">
        <w:rPr>
          <w:sz w:val="22"/>
          <w:szCs w:val="22"/>
        </w:rPr>
        <w:t xml:space="preserve"> Se reitera lo comunicado mediante el oficio 120-P-2024 de la Presidencia de la Corte, en el que se sustentan las razones de la inviabilidad del recorte solicitado, lo cual se visualiza con más detalle su afectación en la “</w:t>
      </w:r>
      <w:r w:rsidRPr="00990FB6">
        <w:rPr>
          <w:b/>
          <w:bCs/>
          <w:i/>
          <w:iCs/>
          <w:sz w:val="22"/>
          <w:szCs w:val="22"/>
          <w:lang w:eastAsia="es-CR"/>
        </w:rPr>
        <w:t>Tabla resumen de rebajos por programa, según gasto corriente y de capital</w:t>
      </w:r>
      <w:r w:rsidRPr="00990FB6">
        <w:rPr>
          <w:bCs/>
          <w:sz w:val="22"/>
          <w:szCs w:val="22"/>
          <w:lang w:eastAsia="es-CR"/>
        </w:rPr>
        <w:t>”</w:t>
      </w:r>
      <w:r w:rsidRPr="00990FB6">
        <w:rPr>
          <w:bCs/>
          <w:sz w:val="22"/>
          <w:szCs w:val="22"/>
        </w:rPr>
        <w:t>. I</w:t>
      </w:r>
      <w:r w:rsidRPr="00990FB6">
        <w:rPr>
          <w:sz w:val="22"/>
          <w:szCs w:val="22"/>
        </w:rPr>
        <w:t xml:space="preserve">gualmente, se reitera que la ejecución presupuestaria del Poder Judicial históricamente ha superado más del 95%, lo que demuestra el grado de compromiso y utilización de los recursos en la Institución. </w:t>
      </w:r>
      <w:r w:rsidRPr="00990FB6">
        <w:rPr>
          <w:b/>
          <w:bCs/>
          <w:sz w:val="22"/>
          <w:szCs w:val="22"/>
        </w:rPr>
        <w:t>4)</w:t>
      </w:r>
      <w:r w:rsidRPr="00990FB6">
        <w:rPr>
          <w:sz w:val="22"/>
          <w:szCs w:val="22"/>
        </w:rPr>
        <w:t xml:space="preserve"> En línea con lo anterior </w:t>
      </w:r>
      <w:r w:rsidRPr="00990FB6">
        <w:rPr>
          <w:sz w:val="22"/>
          <w:szCs w:val="22"/>
          <w:shd w:val="clear" w:color="auto" w:fill="FFFFFF"/>
        </w:rPr>
        <w:t xml:space="preserve">aprobar el Anteproyecto de Presupuesto 2024 conforme el escenario 1 conocido y aprobado por el Consejo Superior en la sesión </w:t>
      </w:r>
      <w:r w:rsidRPr="00990FB6">
        <w:rPr>
          <w:snapToGrid w:val="0"/>
          <w:color w:val="000000"/>
          <w:sz w:val="22"/>
          <w:szCs w:val="22"/>
        </w:rPr>
        <w:t xml:space="preserve">39-2023, artículo I, denominado: </w:t>
      </w:r>
      <w:r w:rsidRPr="00990FB6">
        <w:rPr>
          <w:b/>
          <w:bCs/>
          <w:snapToGrid w:val="0"/>
          <w:color w:val="000000"/>
          <w:sz w:val="22"/>
          <w:szCs w:val="22"/>
        </w:rPr>
        <w:t>Presupuesto del Poder Judicial sin ningún crecimiento presupuestario</w:t>
      </w:r>
      <w:r w:rsidRPr="00990FB6">
        <w:rPr>
          <w:snapToGrid w:val="0"/>
          <w:color w:val="000000"/>
          <w:sz w:val="22"/>
          <w:szCs w:val="22"/>
        </w:rPr>
        <w:t xml:space="preserve">, el cual se elaboró ajustado al monto de Ley aprobado para el 2023 </w:t>
      </w:r>
      <w:r w:rsidRPr="00990FB6">
        <w:rPr>
          <w:sz w:val="22"/>
          <w:szCs w:val="22"/>
          <w:shd w:val="clear" w:color="auto" w:fill="FFFFFF"/>
        </w:rPr>
        <w:t>y remitir a la Corte Plena para su discusión y aprobación</w:t>
      </w:r>
      <w:r w:rsidRPr="00990FB6">
        <w:rPr>
          <w:b/>
          <w:bCs/>
          <w:sz w:val="22"/>
          <w:szCs w:val="22"/>
          <w:shd w:val="clear" w:color="auto" w:fill="FFFFFF"/>
        </w:rPr>
        <w:t>.  5)</w:t>
      </w:r>
      <w:r w:rsidRPr="00990FB6">
        <w:rPr>
          <w:sz w:val="22"/>
          <w:szCs w:val="22"/>
          <w:shd w:val="clear" w:color="auto" w:fill="FFFFFF"/>
        </w:rPr>
        <w:t xml:space="preserve"> </w:t>
      </w:r>
      <w:r w:rsidRPr="00990FB6">
        <w:rPr>
          <w:sz w:val="22"/>
          <w:szCs w:val="22"/>
        </w:rPr>
        <w:t>Hacer atenta instancia a la Corte Plena para que el contenido económico actualizado y requerido por las Reformas Legales y otros Informes que se considere pertinentes, se remitan de forma independiente al presupuesto ordinario por la no posibilidad de asignarles recursos dentro del límite presupuestario establecido al Poder Judicial para el 2024.</w:t>
      </w:r>
    </w:p>
    <w:p w14:paraId="67B892EF" w14:textId="77777777" w:rsidR="00F65B2B" w:rsidRPr="00990FB6" w:rsidRDefault="00F65B2B" w:rsidP="00B15F7D">
      <w:pPr>
        <w:ind w:left="851" w:right="851" w:firstLine="708"/>
        <w:jc w:val="both"/>
        <w:rPr>
          <w:sz w:val="22"/>
          <w:szCs w:val="22"/>
        </w:rPr>
      </w:pPr>
    </w:p>
    <w:p w14:paraId="0AAB91E4" w14:textId="2EE9C60C" w:rsidR="00B15F7D" w:rsidRPr="00990FB6" w:rsidRDefault="00B15F7D" w:rsidP="00B15F7D">
      <w:pPr>
        <w:widowControl w:val="0"/>
        <w:autoSpaceDE w:val="0"/>
        <w:autoSpaceDN w:val="0"/>
        <w:adjustRightInd w:val="0"/>
        <w:ind w:left="851" w:right="851" w:firstLine="709"/>
        <w:jc w:val="both"/>
        <w:rPr>
          <w:b/>
          <w:bCs/>
          <w:color w:val="000000"/>
          <w:sz w:val="22"/>
          <w:szCs w:val="22"/>
          <w:lang w:val="es-CR"/>
        </w:rPr>
      </w:pPr>
      <w:r w:rsidRPr="00990FB6">
        <w:rPr>
          <w:sz w:val="22"/>
          <w:szCs w:val="22"/>
        </w:rPr>
        <w:t>Hacer este acuerdo de conocimiento de la Corte Plena.</w:t>
      </w:r>
      <w:r w:rsidRPr="00990FB6">
        <w:rPr>
          <w:b/>
          <w:sz w:val="22"/>
          <w:szCs w:val="22"/>
        </w:rPr>
        <w:t xml:space="preserve"> Se declara acuerdo firme.</w:t>
      </w:r>
      <w:r w:rsidRPr="00990FB6">
        <w:rPr>
          <w:b/>
          <w:bCs/>
          <w:color w:val="000000"/>
          <w:sz w:val="22"/>
          <w:szCs w:val="22"/>
          <w:lang w:val="es-CR"/>
        </w:rPr>
        <w:t>”</w:t>
      </w:r>
    </w:p>
    <w:p w14:paraId="595F916D" w14:textId="77777777" w:rsidR="00F65B2B" w:rsidRPr="00990FB6" w:rsidRDefault="00F65B2B" w:rsidP="00B15F7D">
      <w:pPr>
        <w:widowControl w:val="0"/>
        <w:autoSpaceDE w:val="0"/>
        <w:autoSpaceDN w:val="0"/>
        <w:adjustRightInd w:val="0"/>
        <w:ind w:left="851" w:right="851" w:firstLine="709"/>
        <w:jc w:val="both"/>
        <w:rPr>
          <w:b/>
          <w:bCs/>
          <w:color w:val="000000"/>
          <w:sz w:val="22"/>
          <w:szCs w:val="22"/>
          <w:lang w:val="es-CR"/>
        </w:rPr>
      </w:pPr>
    </w:p>
    <w:p w14:paraId="73088708" w14:textId="77777777" w:rsidR="00B15F7D" w:rsidRPr="00990FB6" w:rsidRDefault="00B15F7D" w:rsidP="00B15F7D">
      <w:pPr>
        <w:ind w:left="851" w:right="851"/>
        <w:contextualSpacing/>
        <w:jc w:val="center"/>
        <w:rPr>
          <w:snapToGrid w:val="0"/>
          <w:sz w:val="22"/>
          <w:szCs w:val="22"/>
        </w:rPr>
      </w:pPr>
      <w:r w:rsidRPr="00990FB6">
        <w:rPr>
          <w:snapToGrid w:val="0"/>
          <w:sz w:val="22"/>
          <w:szCs w:val="22"/>
        </w:rPr>
        <w:t>- 0 -</w:t>
      </w:r>
    </w:p>
    <w:p w14:paraId="29312862" w14:textId="77777777" w:rsidR="00B15F7D" w:rsidRPr="00990FB6" w:rsidRDefault="00B15F7D" w:rsidP="00B15F7D">
      <w:pPr>
        <w:ind w:left="851" w:right="851" w:firstLine="709"/>
        <w:jc w:val="both"/>
        <w:rPr>
          <w:snapToGrid w:val="0"/>
          <w:sz w:val="22"/>
          <w:szCs w:val="22"/>
        </w:rPr>
      </w:pPr>
    </w:p>
    <w:p w14:paraId="5DE6EF6C" w14:textId="425ADEFC" w:rsidR="00B15F7D" w:rsidRPr="00990FB6" w:rsidRDefault="00B15F7D" w:rsidP="00B15F7D">
      <w:pPr>
        <w:ind w:firstLine="708"/>
        <w:jc w:val="both"/>
        <w:rPr>
          <w:sz w:val="22"/>
          <w:szCs w:val="22"/>
        </w:rPr>
      </w:pPr>
      <w:r w:rsidRPr="00990FB6">
        <w:rPr>
          <w:sz w:val="22"/>
          <w:szCs w:val="22"/>
        </w:rPr>
        <w:t xml:space="preserve">La máster Nacira Valverde Bermúdez, directora de Planificación, en oficio </w:t>
      </w:r>
      <w:proofErr w:type="spellStart"/>
      <w:r w:rsidRPr="00990FB6">
        <w:rPr>
          <w:sz w:val="22"/>
          <w:szCs w:val="22"/>
        </w:rPr>
        <w:t>N°</w:t>
      </w:r>
      <w:proofErr w:type="spellEnd"/>
      <w:r w:rsidRPr="00990FB6">
        <w:rPr>
          <w:sz w:val="22"/>
          <w:szCs w:val="22"/>
        </w:rPr>
        <w:t xml:space="preserve"> 465-PLA-2023, de 23 de mayo de 2023, comunicó lo siguiente: </w:t>
      </w:r>
    </w:p>
    <w:p w14:paraId="332941F7" w14:textId="77777777" w:rsidR="00F65B2B" w:rsidRPr="00990FB6" w:rsidRDefault="00F65B2B" w:rsidP="00B15F7D">
      <w:pPr>
        <w:ind w:firstLine="708"/>
        <w:jc w:val="both"/>
        <w:rPr>
          <w:sz w:val="22"/>
          <w:szCs w:val="22"/>
        </w:rPr>
      </w:pPr>
    </w:p>
    <w:p w14:paraId="7F7BE86F" w14:textId="77777777" w:rsidR="00B15F7D" w:rsidRPr="00990FB6" w:rsidRDefault="00B15F7D" w:rsidP="00B15F7D">
      <w:pPr>
        <w:ind w:left="851" w:right="851" w:firstLine="565"/>
        <w:jc w:val="both"/>
        <w:rPr>
          <w:sz w:val="22"/>
          <w:szCs w:val="22"/>
        </w:rPr>
      </w:pPr>
      <w:r w:rsidRPr="00990FB6">
        <w:rPr>
          <w:sz w:val="22"/>
          <w:szCs w:val="22"/>
        </w:rPr>
        <w:t xml:space="preserve">“El pasado jueves 18 de mayo, el Consejo Superior en la sesión 42-2023, finalizó con la etapa de discusión y análisis de los diferentes informes relacionados con remuneraciones, gasto variable y estudios de requerimiento humano afines al proceso de formulación presupuestaria del Poder Judicial para el 2024; concretamente en el artículo XII de esta sesión se dispuso lo siguiente: </w:t>
      </w:r>
    </w:p>
    <w:p w14:paraId="4F90E13C" w14:textId="77777777" w:rsidR="00B15F7D" w:rsidRPr="00990FB6" w:rsidRDefault="00B15F7D" w:rsidP="00B15F7D">
      <w:pPr>
        <w:ind w:left="851" w:right="851"/>
        <w:rPr>
          <w:rFonts w:eastAsia="NSimSun"/>
          <w:sz w:val="22"/>
          <w:szCs w:val="22"/>
        </w:rPr>
      </w:pPr>
    </w:p>
    <w:p w14:paraId="041D9ED5" w14:textId="50D46118" w:rsidR="00B15F7D" w:rsidRPr="00990FB6" w:rsidRDefault="00B15F7D" w:rsidP="00B15F7D">
      <w:pPr>
        <w:ind w:left="851" w:right="851" w:firstLine="565"/>
        <w:jc w:val="both"/>
        <w:rPr>
          <w:i/>
          <w:iCs/>
          <w:sz w:val="22"/>
          <w:szCs w:val="22"/>
        </w:rPr>
      </w:pPr>
      <w:r w:rsidRPr="00990FB6">
        <w:rPr>
          <w:b/>
          <w:i/>
          <w:iCs/>
          <w:sz w:val="22"/>
          <w:szCs w:val="22"/>
        </w:rPr>
        <w:t>Se acordó: 1)</w:t>
      </w:r>
      <w:r w:rsidRPr="00990FB6">
        <w:rPr>
          <w:i/>
          <w:iCs/>
          <w:sz w:val="22"/>
          <w:szCs w:val="22"/>
        </w:rPr>
        <w:t xml:space="preserve"> Tomar nota del análisis realizado por el Organismo de Investigación Judicial, el Ministerio Público, la Defensa Pública, la Dirección de Tecnología de la Información y la Dirección Ejecutiva. </w:t>
      </w:r>
      <w:r w:rsidRPr="00990FB6">
        <w:rPr>
          <w:b/>
          <w:i/>
          <w:iCs/>
          <w:sz w:val="22"/>
          <w:szCs w:val="22"/>
        </w:rPr>
        <w:t>2)</w:t>
      </w:r>
      <w:r w:rsidRPr="00990FB6">
        <w:rPr>
          <w:i/>
          <w:iCs/>
          <w:sz w:val="22"/>
          <w:szCs w:val="22"/>
        </w:rPr>
        <w:t xml:space="preserve"> Reiterar que la solicitud planteada por el Ministerio de Hacienda de rebajar al presupuesto del Poder Judicial la suma de ¢10.367.</w:t>
      </w:r>
      <w:r w:rsidRPr="00990FB6">
        <w:rPr>
          <w:bCs/>
          <w:i/>
          <w:iCs/>
          <w:sz w:val="22"/>
          <w:szCs w:val="22"/>
        </w:rPr>
        <w:t>280.538</w:t>
      </w:r>
      <w:r w:rsidRPr="00990FB6">
        <w:rPr>
          <w:i/>
          <w:iCs/>
          <w:sz w:val="22"/>
          <w:szCs w:val="22"/>
        </w:rPr>
        <w:t xml:space="preserve">.00 </w:t>
      </w:r>
      <w:r w:rsidRPr="00990FB6">
        <w:rPr>
          <w:b/>
          <w:bCs/>
          <w:i/>
          <w:iCs/>
          <w:sz w:val="22"/>
          <w:szCs w:val="22"/>
        </w:rPr>
        <w:t>resulta inviable</w:t>
      </w:r>
      <w:r w:rsidRPr="00990FB6">
        <w:rPr>
          <w:i/>
          <w:iCs/>
          <w:sz w:val="22"/>
          <w:szCs w:val="22"/>
        </w:rPr>
        <w:t xml:space="preserve">, ya que el análisis realizado por cada jefatura demuestra la afectación en la prestación de los servicios básicos del Poder Judicial. </w:t>
      </w:r>
      <w:r w:rsidRPr="00990FB6">
        <w:rPr>
          <w:b/>
          <w:i/>
          <w:iCs/>
          <w:sz w:val="22"/>
          <w:szCs w:val="22"/>
        </w:rPr>
        <w:t>3)</w:t>
      </w:r>
      <w:r w:rsidRPr="00990FB6">
        <w:rPr>
          <w:i/>
          <w:iCs/>
          <w:sz w:val="22"/>
          <w:szCs w:val="22"/>
        </w:rPr>
        <w:t xml:space="preserve"> Se reitera lo comunicado mediante el oficio 120-P-2024 de la Presidencia de la Corte, en el que se sustentan las razones de la inviabilidad del recorte solicitado, lo cual se visualiza con más detalle su afectación en la “</w:t>
      </w:r>
      <w:r w:rsidRPr="00990FB6">
        <w:rPr>
          <w:b/>
          <w:bCs/>
          <w:i/>
          <w:iCs/>
          <w:sz w:val="22"/>
          <w:szCs w:val="22"/>
          <w:lang w:eastAsia="es-CR"/>
        </w:rPr>
        <w:t>Tabla resumen de rebajos por programa, según gasto corriente y de capital</w:t>
      </w:r>
      <w:r w:rsidRPr="00990FB6">
        <w:rPr>
          <w:bCs/>
          <w:i/>
          <w:iCs/>
          <w:sz w:val="22"/>
          <w:szCs w:val="22"/>
          <w:lang w:eastAsia="es-CR"/>
        </w:rPr>
        <w:t>”</w:t>
      </w:r>
      <w:r w:rsidRPr="00990FB6">
        <w:rPr>
          <w:bCs/>
          <w:i/>
          <w:iCs/>
          <w:sz w:val="22"/>
          <w:szCs w:val="22"/>
        </w:rPr>
        <w:t>. I</w:t>
      </w:r>
      <w:r w:rsidRPr="00990FB6">
        <w:rPr>
          <w:i/>
          <w:iCs/>
          <w:sz w:val="22"/>
          <w:szCs w:val="22"/>
        </w:rPr>
        <w:t xml:space="preserve">gualmente, se reitera que la ejecución presupuestaria del Poder Judicial históricamente ha superado más del 95%, lo que demuestra el grado de compromiso y utilización de los recursos en la Institución. </w:t>
      </w:r>
      <w:r w:rsidRPr="00990FB6">
        <w:rPr>
          <w:b/>
          <w:bCs/>
          <w:i/>
          <w:iCs/>
          <w:sz w:val="22"/>
          <w:szCs w:val="22"/>
        </w:rPr>
        <w:t>4)</w:t>
      </w:r>
      <w:r w:rsidRPr="00990FB6">
        <w:rPr>
          <w:i/>
          <w:iCs/>
          <w:sz w:val="22"/>
          <w:szCs w:val="22"/>
        </w:rPr>
        <w:t xml:space="preserve"> En línea con lo anterior </w:t>
      </w:r>
      <w:r w:rsidRPr="00990FB6">
        <w:rPr>
          <w:i/>
          <w:iCs/>
          <w:sz w:val="22"/>
          <w:szCs w:val="22"/>
          <w:shd w:val="clear" w:color="auto" w:fill="FFFFFF"/>
        </w:rPr>
        <w:t xml:space="preserve">aprobar el Anteproyecto de Presupuesto 2024 conforme el escenario 1 conocido y aprobado por el Consejo Superior en la sesión </w:t>
      </w:r>
      <w:r w:rsidRPr="00990FB6">
        <w:rPr>
          <w:i/>
          <w:iCs/>
          <w:snapToGrid w:val="0"/>
          <w:color w:val="000000"/>
          <w:sz w:val="22"/>
          <w:szCs w:val="22"/>
        </w:rPr>
        <w:lastRenderedPageBreak/>
        <w:t xml:space="preserve">39-2023, artículo I, denominado: </w:t>
      </w:r>
      <w:r w:rsidRPr="00990FB6">
        <w:rPr>
          <w:b/>
          <w:bCs/>
          <w:i/>
          <w:iCs/>
          <w:snapToGrid w:val="0"/>
          <w:color w:val="000000"/>
          <w:sz w:val="22"/>
          <w:szCs w:val="22"/>
        </w:rPr>
        <w:t>Presupuesto del Poder Judicial sin ningún crecimiento presupuestario</w:t>
      </w:r>
      <w:r w:rsidRPr="00990FB6">
        <w:rPr>
          <w:i/>
          <w:iCs/>
          <w:snapToGrid w:val="0"/>
          <w:color w:val="000000"/>
          <w:sz w:val="22"/>
          <w:szCs w:val="22"/>
        </w:rPr>
        <w:t xml:space="preserve">, el cual se elaboró ajustado al monto de Ley aprobado para el 2023 </w:t>
      </w:r>
      <w:r w:rsidRPr="00990FB6">
        <w:rPr>
          <w:i/>
          <w:iCs/>
          <w:sz w:val="22"/>
          <w:szCs w:val="22"/>
          <w:shd w:val="clear" w:color="auto" w:fill="FFFFFF"/>
        </w:rPr>
        <w:t xml:space="preserve">y remitir a la Corte Plena para su discusión y aprobación.  5) </w:t>
      </w:r>
      <w:r w:rsidRPr="00990FB6">
        <w:rPr>
          <w:i/>
          <w:iCs/>
          <w:sz w:val="22"/>
          <w:szCs w:val="22"/>
        </w:rPr>
        <w:t>Hacer atenta instancia a la Corte Plena para que el contenido económico actualizado y requerido por las Reformas Legales y otros Informes que se considere pertinentes, se remitan de forma independiente al presupuesto ordinario por la no posibilidad de asignarles recursos dentro del límite presupuestario establecido al Poder Judicial para el 2024.</w:t>
      </w:r>
    </w:p>
    <w:p w14:paraId="7E9DB0AE" w14:textId="77777777" w:rsidR="00F65B2B" w:rsidRPr="00990FB6" w:rsidRDefault="00F65B2B" w:rsidP="00B15F7D">
      <w:pPr>
        <w:ind w:left="851" w:right="851" w:firstLine="565"/>
        <w:jc w:val="both"/>
        <w:rPr>
          <w:i/>
          <w:iCs/>
          <w:sz w:val="22"/>
          <w:szCs w:val="22"/>
        </w:rPr>
      </w:pPr>
    </w:p>
    <w:p w14:paraId="7F62F14B" w14:textId="77777777" w:rsidR="00B15F7D" w:rsidRPr="00990FB6" w:rsidRDefault="00B15F7D" w:rsidP="00B15F7D">
      <w:pPr>
        <w:widowControl w:val="0"/>
        <w:autoSpaceDE w:val="0"/>
        <w:autoSpaceDN w:val="0"/>
        <w:adjustRightInd w:val="0"/>
        <w:ind w:left="851" w:right="851" w:firstLine="709"/>
        <w:jc w:val="both"/>
        <w:rPr>
          <w:b/>
          <w:i/>
          <w:iCs/>
          <w:sz w:val="22"/>
          <w:szCs w:val="22"/>
        </w:rPr>
      </w:pPr>
      <w:r w:rsidRPr="00990FB6">
        <w:rPr>
          <w:i/>
          <w:iCs/>
          <w:sz w:val="22"/>
          <w:szCs w:val="22"/>
        </w:rPr>
        <w:t>Hacer este acuerdo de conocimiento de la Corte Plena.</w:t>
      </w:r>
      <w:r w:rsidRPr="00990FB6">
        <w:rPr>
          <w:b/>
          <w:i/>
          <w:iCs/>
          <w:sz w:val="22"/>
          <w:szCs w:val="22"/>
        </w:rPr>
        <w:t xml:space="preserve"> Se declara acuerdo firme.</w:t>
      </w:r>
    </w:p>
    <w:p w14:paraId="11CFD8FD" w14:textId="77777777" w:rsidR="00B15F7D" w:rsidRPr="00990FB6" w:rsidRDefault="00B15F7D" w:rsidP="00B15F7D">
      <w:pPr>
        <w:ind w:left="851" w:right="851"/>
        <w:jc w:val="both"/>
        <w:rPr>
          <w:i/>
          <w:iCs/>
          <w:sz w:val="22"/>
          <w:szCs w:val="22"/>
        </w:rPr>
      </w:pPr>
    </w:p>
    <w:p w14:paraId="6DC4166F" w14:textId="77777777" w:rsidR="00B15F7D" w:rsidRPr="00990FB6" w:rsidRDefault="00B15F7D" w:rsidP="00B15F7D">
      <w:pPr>
        <w:ind w:left="851" w:right="851" w:firstLine="565"/>
        <w:jc w:val="both"/>
        <w:rPr>
          <w:sz w:val="22"/>
          <w:szCs w:val="22"/>
        </w:rPr>
      </w:pPr>
      <w:r w:rsidRPr="00990FB6">
        <w:rPr>
          <w:bCs/>
          <w:sz w:val="22"/>
          <w:szCs w:val="22"/>
        </w:rPr>
        <w:t xml:space="preserve">Al respecto, en primer lugar, se debe indicar que al igual que en años anteriores, esta etapa se caracterizó por un </w:t>
      </w:r>
      <w:r w:rsidRPr="00990FB6">
        <w:rPr>
          <w:sz w:val="22"/>
          <w:szCs w:val="22"/>
        </w:rPr>
        <w:t>amplio análisis y la aplicación de los lineamientos establecidos tanto por Consejo Superior, Corte Plena, como por el Ministerio de Hacienda, lo que derivó en el anteproyecto de presupuesto del Poder Judicial para el 2024 que hoy se presenta.</w:t>
      </w:r>
    </w:p>
    <w:p w14:paraId="169D86D4" w14:textId="77777777" w:rsidR="00B15F7D" w:rsidRPr="00990FB6" w:rsidRDefault="00B15F7D" w:rsidP="00B15F7D">
      <w:pPr>
        <w:ind w:left="851" w:right="851"/>
        <w:jc w:val="both"/>
        <w:rPr>
          <w:sz w:val="22"/>
          <w:szCs w:val="22"/>
        </w:rPr>
      </w:pPr>
    </w:p>
    <w:p w14:paraId="344A3913" w14:textId="77777777" w:rsidR="00B15F7D" w:rsidRPr="00990FB6" w:rsidRDefault="00B15F7D" w:rsidP="00B15F7D">
      <w:pPr>
        <w:ind w:left="851" w:right="851" w:firstLine="565"/>
        <w:jc w:val="both"/>
        <w:rPr>
          <w:sz w:val="22"/>
          <w:szCs w:val="22"/>
        </w:rPr>
      </w:pPr>
      <w:r w:rsidRPr="00990FB6">
        <w:rPr>
          <w:sz w:val="22"/>
          <w:szCs w:val="22"/>
        </w:rPr>
        <w:t>El proceso metodológico para este año cambio sustancialmente, de tal forma que para el primer trimestre del año, la labor de análisis, revisión y propuesta se realizó a lo interno de la Dirección de Planificación. Posteriormente, se realizó una sesión de trabajo con los directores administrativos y la labor de las y los integrantes del Consejo Superior, comprendió una reunión de trabajo efectuada el pasado 12 de abril, así como sesiones del Consejo Superior entre el 18 y el 21 de abril, que derivó en tres actas de aprobación (sesión 31-2023 del 18 de abril, sesión 32-2023 del 19 de abril y sesión 39-2023 del 10 de mayo). Adicionalmente, en la sesión ordinaria 42-2023 del pasado jueves 18 de mayo se incorporaron algunos temas finales, para concretar el anteproyecto de presupuesto del 2024 que es remitido a Corte Plena para su conocimiento y aprobación. </w:t>
      </w:r>
    </w:p>
    <w:p w14:paraId="1E7C6160" w14:textId="77777777" w:rsidR="00B15F7D" w:rsidRPr="00990FB6" w:rsidRDefault="00B15F7D" w:rsidP="00B15F7D">
      <w:pPr>
        <w:ind w:left="851" w:right="851"/>
        <w:jc w:val="both"/>
        <w:rPr>
          <w:sz w:val="22"/>
          <w:szCs w:val="22"/>
        </w:rPr>
      </w:pPr>
    </w:p>
    <w:p w14:paraId="24B060B1" w14:textId="77777777" w:rsidR="00B15F7D" w:rsidRPr="00990FB6" w:rsidRDefault="00B15F7D" w:rsidP="00B15F7D">
      <w:pPr>
        <w:ind w:left="851" w:right="851" w:firstLine="708"/>
        <w:jc w:val="both"/>
        <w:rPr>
          <w:sz w:val="22"/>
          <w:szCs w:val="22"/>
        </w:rPr>
      </w:pPr>
      <w:r w:rsidRPr="00990FB6">
        <w:rPr>
          <w:sz w:val="22"/>
          <w:szCs w:val="22"/>
        </w:rPr>
        <w:t>Por su parte, durante esta fase del proceso se tomó en consideración lo propuesto en los siguientes comunicados del Ministerio de Hacienda:</w:t>
      </w:r>
    </w:p>
    <w:p w14:paraId="1D7A1E59" w14:textId="77777777" w:rsidR="00B15F7D" w:rsidRPr="00990FB6" w:rsidRDefault="00B15F7D" w:rsidP="00B15F7D">
      <w:pPr>
        <w:ind w:left="851" w:right="851"/>
        <w:jc w:val="both"/>
        <w:rPr>
          <w:sz w:val="22"/>
          <w:szCs w:val="22"/>
        </w:rPr>
      </w:pPr>
    </w:p>
    <w:p w14:paraId="70EB1113" w14:textId="77777777" w:rsidR="00B15F7D" w:rsidRPr="00990FB6" w:rsidRDefault="00B15F7D" w:rsidP="00B15F7D">
      <w:pPr>
        <w:numPr>
          <w:ilvl w:val="0"/>
          <w:numId w:val="102"/>
        </w:numPr>
        <w:suppressAutoHyphens w:val="0"/>
        <w:autoSpaceDE w:val="0"/>
        <w:autoSpaceDN w:val="0"/>
        <w:adjustRightInd w:val="0"/>
        <w:ind w:left="851" w:right="851" w:firstLine="709"/>
        <w:jc w:val="both"/>
        <w:rPr>
          <w:color w:val="000000"/>
          <w:sz w:val="22"/>
          <w:szCs w:val="22"/>
          <w:lang w:eastAsia="es-ES"/>
        </w:rPr>
      </w:pPr>
      <w:r w:rsidRPr="00990FB6">
        <w:rPr>
          <w:color w:val="000000"/>
          <w:sz w:val="22"/>
          <w:szCs w:val="22"/>
          <w:lang w:eastAsia="es-ES"/>
        </w:rPr>
        <w:t>Oficio MH-DM-OF-0438-2023 referente a la aplicación de la regla fiscal en la formulación de los presupuestos ordinarios y al gasto total ejecutado del 2022, para las entidades y órganos que conforman el Sector Público no Financiero (SPNF).</w:t>
      </w:r>
    </w:p>
    <w:p w14:paraId="04FAF074" w14:textId="77777777" w:rsidR="00B15F7D" w:rsidRPr="00990FB6" w:rsidRDefault="00B15F7D" w:rsidP="00B15F7D">
      <w:pPr>
        <w:suppressAutoHyphens w:val="0"/>
        <w:autoSpaceDE w:val="0"/>
        <w:autoSpaceDN w:val="0"/>
        <w:adjustRightInd w:val="0"/>
        <w:ind w:left="1560" w:right="851"/>
        <w:jc w:val="both"/>
        <w:rPr>
          <w:color w:val="000000"/>
          <w:sz w:val="22"/>
          <w:szCs w:val="22"/>
          <w:lang w:eastAsia="es-ES"/>
        </w:rPr>
      </w:pPr>
    </w:p>
    <w:p w14:paraId="29E75102" w14:textId="77777777" w:rsidR="00B15F7D" w:rsidRPr="00990FB6" w:rsidRDefault="00B15F7D" w:rsidP="00B15F7D">
      <w:pPr>
        <w:numPr>
          <w:ilvl w:val="0"/>
          <w:numId w:val="102"/>
        </w:numPr>
        <w:suppressAutoHyphens w:val="0"/>
        <w:autoSpaceDE w:val="0"/>
        <w:autoSpaceDN w:val="0"/>
        <w:adjustRightInd w:val="0"/>
        <w:ind w:left="851" w:right="851" w:firstLine="709"/>
        <w:jc w:val="both"/>
        <w:rPr>
          <w:color w:val="000000"/>
          <w:sz w:val="22"/>
          <w:szCs w:val="22"/>
          <w:lang w:eastAsia="es-ES"/>
        </w:rPr>
      </w:pPr>
      <w:r w:rsidRPr="00990FB6">
        <w:rPr>
          <w:color w:val="000000"/>
          <w:sz w:val="22"/>
          <w:szCs w:val="22"/>
          <w:lang w:eastAsia="es-ES"/>
        </w:rPr>
        <w:t xml:space="preserve">Oficio MH-DM-OF-0561-2023 referente a la comunicación del gasto presupuestario máximo para 2024 otorgado al Poder Judicial. </w:t>
      </w:r>
    </w:p>
    <w:p w14:paraId="2A1B7C6A" w14:textId="77777777" w:rsidR="00B15F7D" w:rsidRPr="00990FB6" w:rsidRDefault="00B15F7D" w:rsidP="00B15F7D">
      <w:pPr>
        <w:suppressAutoHyphens w:val="0"/>
        <w:autoSpaceDE w:val="0"/>
        <w:autoSpaceDN w:val="0"/>
        <w:adjustRightInd w:val="0"/>
        <w:ind w:right="851"/>
        <w:jc w:val="both"/>
        <w:rPr>
          <w:color w:val="000000"/>
          <w:sz w:val="22"/>
          <w:szCs w:val="22"/>
          <w:lang w:eastAsia="es-ES"/>
        </w:rPr>
      </w:pPr>
    </w:p>
    <w:p w14:paraId="7B80BB4E" w14:textId="77777777" w:rsidR="00B15F7D" w:rsidRPr="00990FB6" w:rsidRDefault="00B15F7D" w:rsidP="00B15F7D">
      <w:pPr>
        <w:numPr>
          <w:ilvl w:val="0"/>
          <w:numId w:val="102"/>
        </w:numPr>
        <w:suppressAutoHyphens w:val="0"/>
        <w:autoSpaceDE w:val="0"/>
        <w:autoSpaceDN w:val="0"/>
        <w:adjustRightInd w:val="0"/>
        <w:ind w:left="851" w:right="851" w:firstLine="709"/>
        <w:jc w:val="both"/>
        <w:rPr>
          <w:color w:val="000000"/>
          <w:sz w:val="22"/>
          <w:szCs w:val="22"/>
          <w:lang w:eastAsia="es-ES"/>
        </w:rPr>
      </w:pPr>
      <w:r w:rsidRPr="00990FB6">
        <w:rPr>
          <w:color w:val="000000"/>
          <w:sz w:val="22"/>
          <w:szCs w:val="22"/>
          <w:lang w:eastAsia="es-ES"/>
        </w:rPr>
        <w:t>Circular MH-DGPN-DG-CIR-0005-2023 referente a la comunicación sobre lineamientos donde se incluye tipo de cambio y contribuciones sociales para el proceso de formulación 2024.</w:t>
      </w:r>
    </w:p>
    <w:p w14:paraId="149EA682" w14:textId="77777777" w:rsidR="00B15F7D" w:rsidRPr="00990FB6" w:rsidRDefault="00B15F7D" w:rsidP="00B15F7D">
      <w:pPr>
        <w:suppressAutoHyphens w:val="0"/>
        <w:autoSpaceDE w:val="0"/>
        <w:autoSpaceDN w:val="0"/>
        <w:adjustRightInd w:val="0"/>
        <w:ind w:right="851"/>
        <w:jc w:val="both"/>
        <w:rPr>
          <w:color w:val="000000"/>
          <w:sz w:val="22"/>
          <w:szCs w:val="22"/>
          <w:lang w:eastAsia="es-ES"/>
        </w:rPr>
      </w:pPr>
    </w:p>
    <w:p w14:paraId="256696C7" w14:textId="77777777" w:rsidR="00B15F7D" w:rsidRPr="00990FB6" w:rsidRDefault="00B15F7D" w:rsidP="00B15F7D">
      <w:pPr>
        <w:numPr>
          <w:ilvl w:val="0"/>
          <w:numId w:val="102"/>
        </w:numPr>
        <w:suppressAutoHyphens w:val="0"/>
        <w:autoSpaceDE w:val="0"/>
        <w:autoSpaceDN w:val="0"/>
        <w:adjustRightInd w:val="0"/>
        <w:ind w:left="851" w:right="851" w:firstLine="709"/>
        <w:jc w:val="both"/>
        <w:rPr>
          <w:color w:val="000000"/>
          <w:sz w:val="22"/>
          <w:szCs w:val="22"/>
          <w:lang w:eastAsia="es-ES"/>
        </w:rPr>
      </w:pPr>
      <w:r w:rsidRPr="00990FB6">
        <w:rPr>
          <w:color w:val="000000"/>
          <w:sz w:val="22"/>
          <w:szCs w:val="22"/>
          <w:lang w:eastAsia="es-ES"/>
        </w:rPr>
        <w:lastRenderedPageBreak/>
        <w:t>Circular MH-DGPN-DG-CIR-0008-2023 Modificación Parcial a los Lineamientos Técnicos por Aplicación del Salario Global.</w:t>
      </w:r>
    </w:p>
    <w:p w14:paraId="6BB32A0E" w14:textId="77777777" w:rsidR="00B15F7D" w:rsidRPr="00990FB6" w:rsidRDefault="00B15F7D" w:rsidP="00B15F7D">
      <w:pPr>
        <w:ind w:left="851" w:right="851"/>
        <w:jc w:val="both"/>
        <w:rPr>
          <w:sz w:val="22"/>
          <w:szCs w:val="22"/>
        </w:rPr>
      </w:pPr>
    </w:p>
    <w:p w14:paraId="53614C27" w14:textId="77777777" w:rsidR="00B15F7D" w:rsidRPr="00990FB6" w:rsidRDefault="00B15F7D" w:rsidP="00B15F7D">
      <w:pPr>
        <w:jc w:val="center"/>
        <w:rPr>
          <w:sz w:val="22"/>
          <w:szCs w:val="22"/>
        </w:rPr>
      </w:pPr>
      <w:r w:rsidRPr="00990FB6">
        <w:rPr>
          <w:sz w:val="22"/>
          <w:szCs w:val="22"/>
          <w:lang w:eastAsia="es-CR"/>
        </w:rPr>
        <w:object w:dxaOrig="1508" w:dyaOrig="984" w14:anchorId="3CDCA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8" o:title=""/>
          </v:shape>
          <o:OLEObject Type="Embed" ProgID="Acrobat.Document.DC" ShapeID="_x0000_i1025" DrawAspect="Icon" ObjectID="_1748679153" r:id="rId9"/>
        </w:object>
      </w:r>
      <w:r w:rsidRPr="00990FB6">
        <w:rPr>
          <w:sz w:val="22"/>
          <w:szCs w:val="22"/>
        </w:rPr>
        <w:tab/>
        <w:t xml:space="preserve">  </w:t>
      </w:r>
      <w:r w:rsidRPr="00990FB6">
        <w:rPr>
          <w:sz w:val="22"/>
          <w:szCs w:val="22"/>
          <w:lang w:eastAsia="es-CR"/>
        </w:rPr>
        <w:object w:dxaOrig="1376" w:dyaOrig="899" w14:anchorId="7767EA4F">
          <v:shape id="_x0000_i1026" type="#_x0000_t75" style="width:69pt;height:45pt" o:ole="">
            <v:imagedata r:id="rId10" o:title=""/>
          </v:shape>
          <o:OLEObject Type="Embed" ProgID="Acrobat.Document.DC" ShapeID="_x0000_i1026" DrawAspect="Icon" ObjectID="_1748679154" r:id="rId11"/>
        </w:object>
      </w:r>
      <w:r w:rsidRPr="00990FB6">
        <w:rPr>
          <w:sz w:val="22"/>
          <w:szCs w:val="22"/>
        </w:rPr>
        <w:object w:dxaOrig="1520" w:dyaOrig="987" w14:anchorId="6894C891">
          <v:shape id="_x0000_i1027" type="#_x0000_t75" style="width:76pt;height:49pt" o:ole="">
            <v:imagedata r:id="rId12" o:title=""/>
          </v:shape>
          <o:OLEObject Type="Embed" ProgID="Acrobat.Document.DC" ShapeID="_x0000_i1027" DrawAspect="Icon" ObjectID="_1748679155" r:id="rId13"/>
        </w:object>
      </w:r>
      <w:r w:rsidRPr="00990FB6">
        <w:rPr>
          <w:sz w:val="22"/>
          <w:szCs w:val="22"/>
        </w:rPr>
        <w:object w:dxaOrig="1520" w:dyaOrig="987" w14:anchorId="2EDF43DC">
          <v:shape id="_x0000_i1028" type="#_x0000_t75" style="width:76pt;height:49pt" o:ole="">
            <v:imagedata r:id="rId14" o:title=""/>
          </v:shape>
          <o:OLEObject Type="Embed" ProgID="Acrobat.Document.DC" ShapeID="_x0000_i1028" DrawAspect="Icon" ObjectID="_1748679156" r:id="rId15"/>
        </w:object>
      </w:r>
    </w:p>
    <w:p w14:paraId="56B351C1" w14:textId="77777777" w:rsidR="00B15F7D" w:rsidRPr="00990FB6" w:rsidRDefault="00B15F7D" w:rsidP="00B15F7D">
      <w:pPr>
        <w:jc w:val="both"/>
        <w:rPr>
          <w:sz w:val="22"/>
          <w:szCs w:val="22"/>
        </w:rPr>
      </w:pPr>
    </w:p>
    <w:p w14:paraId="38542DEF" w14:textId="77777777" w:rsidR="00B15F7D" w:rsidRPr="00990FB6" w:rsidRDefault="00B15F7D" w:rsidP="00B15F7D">
      <w:pPr>
        <w:ind w:left="851" w:right="851" w:firstLine="708"/>
        <w:jc w:val="both"/>
        <w:rPr>
          <w:sz w:val="22"/>
          <w:szCs w:val="22"/>
        </w:rPr>
      </w:pPr>
      <w:r w:rsidRPr="00990FB6">
        <w:rPr>
          <w:sz w:val="22"/>
          <w:szCs w:val="22"/>
        </w:rPr>
        <w:t xml:space="preserve">Cabe resaltar que en el oficio MH-DM-OF-0561-2023 del Ministerio de Hacienda, se estableció para el Poder Judicial un límite máximo de </w:t>
      </w:r>
      <w:r w:rsidRPr="00990FB6">
        <w:rPr>
          <w:b/>
          <w:sz w:val="22"/>
          <w:szCs w:val="22"/>
        </w:rPr>
        <w:t>¢480.567.100.000</w:t>
      </w:r>
      <w:r w:rsidRPr="00990FB6">
        <w:rPr>
          <w:sz w:val="22"/>
          <w:szCs w:val="22"/>
        </w:rPr>
        <w:t xml:space="preserve"> para su formulación presupuestaria del 2024, cifra que representa más de </w:t>
      </w:r>
      <w:r w:rsidRPr="00990FB6">
        <w:rPr>
          <w:b/>
          <w:sz w:val="22"/>
          <w:szCs w:val="22"/>
        </w:rPr>
        <w:t>¢</w:t>
      </w:r>
      <w:r w:rsidRPr="00990FB6">
        <w:rPr>
          <w:sz w:val="22"/>
          <w:szCs w:val="22"/>
        </w:rPr>
        <w:t>10.000 millones en relación con el presupuesto aprobado para 2023, rebajo que se ha considerado inviable por el impacto que tendría en la prestación de servicios básicos de la Institución.</w:t>
      </w:r>
    </w:p>
    <w:p w14:paraId="1072F4FB" w14:textId="77777777" w:rsidR="00B15F7D" w:rsidRPr="00990FB6" w:rsidRDefault="00B15F7D" w:rsidP="00B15F7D">
      <w:pPr>
        <w:ind w:left="851" w:right="851" w:firstLine="360"/>
        <w:jc w:val="both"/>
        <w:rPr>
          <w:sz w:val="22"/>
          <w:szCs w:val="22"/>
        </w:rPr>
      </w:pPr>
    </w:p>
    <w:p w14:paraId="252CFBC8" w14:textId="77777777" w:rsidR="00B15F7D" w:rsidRPr="00990FB6" w:rsidRDefault="00B15F7D" w:rsidP="00B15F7D">
      <w:pPr>
        <w:ind w:left="851" w:right="851"/>
        <w:jc w:val="both"/>
        <w:rPr>
          <w:sz w:val="22"/>
          <w:szCs w:val="22"/>
        </w:rPr>
      </w:pPr>
      <w:r w:rsidRPr="00990FB6">
        <w:rPr>
          <w:sz w:val="22"/>
          <w:szCs w:val="22"/>
        </w:rPr>
        <w:t xml:space="preserve">En relación con este oficio, la Presidencia de la Corte mediante oficio 120-P-2023 hizo instancia ante el Ministro de Hacienda y le solicitó reconsiderar el límite establecido al Poder Judicial; de forma concreta se pidió lo siguiente: </w:t>
      </w:r>
    </w:p>
    <w:p w14:paraId="49C3DCC8" w14:textId="77777777" w:rsidR="00B15F7D" w:rsidRPr="00990FB6" w:rsidRDefault="00B15F7D" w:rsidP="00B15F7D">
      <w:pPr>
        <w:jc w:val="both"/>
        <w:rPr>
          <w:sz w:val="22"/>
          <w:szCs w:val="22"/>
        </w:rPr>
      </w:pPr>
    </w:p>
    <w:p w14:paraId="79F9B62D" w14:textId="77777777" w:rsidR="00B15F7D" w:rsidRPr="00990FB6" w:rsidRDefault="00B15F7D" w:rsidP="00B15F7D">
      <w:pPr>
        <w:jc w:val="center"/>
        <w:rPr>
          <w:sz w:val="22"/>
          <w:szCs w:val="22"/>
        </w:rPr>
      </w:pPr>
      <w:r w:rsidRPr="00990FB6">
        <w:rPr>
          <w:sz w:val="22"/>
          <w:szCs w:val="22"/>
        </w:rPr>
        <w:object w:dxaOrig="1508" w:dyaOrig="984" w14:anchorId="463B18F3">
          <v:shape id="_x0000_i1029" type="#_x0000_t75" style="width:76pt;height:49pt" o:ole="">
            <v:imagedata r:id="rId16" o:title=""/>
          </v:shape>
          <o:OLEObject Type="Embed" ProgID="Acrobat.Document.DC" ShapeID="_x0000_i1029" DrawAspect="Icon" ObjectID="_1748679157" r:id="rId17"/>
        </w:object>
      </w:r>
    </w:p>
    <w:p w14:paraId="7BCECE29" w14:textId="77777777" w:rsidR="00B15F7D" w:rsidRPr="00990FB6" w:rsidRDefault="00B15F7D" w:rsidP="00B15F7D">
      <w:pPr>
        <w:jc w:val="both"/>
        <w:rPr>
          <w:sz w:val="22"/>
          <w:szCs w:val="22"/>
        </w:rPr>
      </w:pPr>
    </w:p>
    <w:p w14:paraId="47C7F7CD" w14:textId="77777777" w:rsidR="00B15F7D" w:rsidRPr="00990FB6" w:rsidRDefault="00B15F7D" w:rsidP="00B15F7D">
      <w:pPr>
        <w:autoSpaceDE w:val="0"/>
        <w:autoSpaceDN w:val="0"/>
        <w:adjustRightInd w:val="0"/>
        <w:ind w:left="851" w:right="851" w:firstLine="709"/>
        <w:jc w:val="both"/>
        <w:rPr>
          <w:i/>
          <w:iCs/>
          <w:sz w:val="22"/>
          <w:szCs w:val="22"/>
        </w:rPr>
      </w:pPr>
      <w:r w:rsidRPr="00990FB6">
        <w:rPr>
          <w:i/>
          <w:iCs/>
          <w:sz w:val="22"/>
          <w:szCs w:val="22"/>
        </w:rPr>
        <w:t xml:space="preserve">“(…) </w:t>
      </w:r>
    </w:p>
    <w:p w14:paraId="5D7A4585" w14:textId="77777777" w:rsidR="00B15F7D" w:rsidRPr="00990FB6" w:rsidRDefault="00B15F7D" w:rsidP="00B15F7D">
      <w:pPr>
        <w:autoSpaceDE w:val="0"/>
        <w:autoSpaceDN w:val="0"/>
        <w:adjustRightInd w:val="0"/>
        <w:ind w:left="851" w:right="851" w:firstLine="709"/>
        <w:jc w:val="both"/>
        <w:rPr>
          <w:i/>
          <w:iCs/>
          <w:sz w:val="22"/>
          <w:szCs w:val="22"/>
        </w:rPr>
      </w:pPr>
    </w:p>
    <w:p w14:paraId="36C9D52F" w14:textId="77777777" w:rsidR="00B15F7D" w:rsidRPr="00990FB6" w:rsidRDefault="00B15F7D" w:rsidP="00B15F7D">
      <w:pPr>
        <w:autoSpaceDE w:val="0"/>
        <w:autoSpaceDN w:val="0"/>
        <w:adjustRightInd w:val="0"/>
        <w:ind w:left="851" w:right="851" w:firstLine="709"/>
        <w:jc w:val="both"/>
        <w:rPr>
          <w:i/>
          <w:iCs/>
          <w:sz w:val="22"/>
          <w:szCs w:val="22"/>
        </w:rPr>
      </w:pPr>
      <w:r w:rsidRPr="00990FB6">
        <w:rPr>
          <w:i/>
          <w:iCs/>
          <w:sz w:val="22"/>
          <w:szCs w:val="22"/>
        </w:rPr>
        <w:t>Es así como el Poder Judicial, solicita reconsiderar el límite presupuestario comunicado y en su defecto solicita se brinde como corresponde el límite presupuestario según la regla fiscal, a partir del presupuesto aprobado del año 2023, es decir, aplicar el porcentaje de crecimiento del  3.53 %, con un incremento bruto a partir del monto del presupuesto 2023 de ₡ 17.262.546.425, con fundamento también en lo señalado textualmente en el oficio MH-DM-OF-0561-2023, que señala textualmente “Los límites comunicados son máximos, sin embargo, se ha reservado la suma de hasta ₡125.000,0 millones que serán distribuidos por el Consejo de Gobierno entre los ministerios y los otros poderes de la República.” Lo negrito y subrayado no es del original. Para atender, los requerimientos mínimos para atender el mandato constitucional, estos recursos solicitados podrán sustentar dentro de su límite la creación de plazas nuevas para atender el proyecto de seguridad ciudadana en el que se propone establecer de forma definitiva los Tribunales Penales en las zonas alejadas, como lo son Tribunales Penales en Cañas, Turrialba, Sarapiquí, Siquirres y Quepos. Así como los Tribunales Peninsulares en la zona sur del país, proyectos que se sustentan en criterios técnicos previamente elaborados”.</w:t>
      </w:r>
    </w:p>
    <w:p w14:paraId="78044C0E" w14:textId="77777777" w:rsidR="00B15F7D" w:rsidRPr="00990FB6" w:rsidRDefault="00B15F7D" w:rsidP="00B15F7D">
      <w:pPr>
        <w:ind w:left="851" w:right="851" w:firstLine="709"/>
        <w:jc w:val="both"/>
        <w:rPr>
          <w:sz w:val="22"/>
          <w:szCs w:val="22"/>
        </w:rPr>
      </w:pPr>
    </w:p>
    <w:p w14:paraId="57E6A913" w14:textId="77777777" w:rsidR="00B15F7D" w:rsidRPr="00990FB6" w:rsidRDefault="00B15F7D" w:rsidP="00B15F7D">
      <w:pPr>
        <w:ind w:left="851" w:right="851" w:firstLine="709"/>
        <w:jc w:val="both"/>
        <w:rPr>
          <w:sz w:val="22"/>
          <w:szCs w:val="22"/>
        </w:rPr>
      </w:pPr>
      <w:r w:rsidRPr="00990FB6">
        <w:rPr>
          <w:sz w:val="22"/>
          <w:szCs w:val="22"/>
        </w:rPr>
        <w:t xml:space="preserve">Al respecto, luego de las gestiones realizadas, según comunicación verbal a la fecha de entrega de este oficio se logró que el Ministerio de Hacienda autorice al Poder </w:t>
      </w:r>
      <w:r w:rsidRPr="00990FB6">
        <w:rPr>
          <w:sz w:val="22"/>
          <w:szCs w:val="22"/>
        </w:rPr>
        <w:lastRenderedPageBreak/>
        <w:t>Judicial que su formulación presupuestaria para el 2024 sea al menos igual que el monto aprobado por Ley para el 2023.</w:t>
      </w:r>
    </w:p>
    <w:p w14:paraId="46F11EA2" w14:textId="77777777" w:rsidR="00B15F7D" w:rsidRPr="00990FB6" w:rsidRDefault="00B15F7D" w:rsidP="00B15F7D">
      <w:pPr>
        <w:ind w:left="851" w:right="851" w:firstLine="709"/>
        <w:jc w:val="both"/>
        <w:rPr>
          <w:sz w:val="22"/>
          <w:szCs w:val="22"/>
        </w:rPr>
      </w:pPr>
    </w:p>
    <w:p w14:paraId="2B3119CD" w14:textId="77777777" w:rsidR="00B15F7D" w:rsidRPr="00990FB6" w:rsidRDefault="00B15F7D" w:rsidP="00B15F7D">
      <w:pPr>
        <w:ind w:left="851" w:right="851" w:firstLine="709"/>
        <w:jc w:val="both"/>
        <w:rPr>
          <w:sz w:val="22"/>
          <w:szCs w:val="22"/>
        </w:rPr>
      </w:pPr>
      <w:r w:rsidRPr="00990FB6">
        <w:rPr>
          <w:sz w:val="22"/>
          <w:szCs w:val="22"/>
        </w:rPr>
        <w:t>En términos generales, este proyecto de presupuesto cumple con la solicitud del Ministerio de Hacienda de no crear plazas nuevas para el 2024, considerando además que debido a la situación fiscal no será posible atender solicitudes de ampliación del monto de gasto presupuestario máximo comunicado.</w:t>
      </w:r>
    </w:p>
    <w:p w14:paraId="15B784FF" w14:textId="77777777" w:rsidR="00B15F7D" w:rsidRPr="00990FB6" w:rsidRDefault="00B15F7D" w:rsidP="00B15F7D">
      <w:pPr>
        <w:ind w:left="851" w:right="851" w:firstLine="709"/>
        <w:jc w:val="both"/>
        <w:rPr>
          <w:sz w:val="22"/>
          <w:szCs w:val="22"/>
          <w:highlight w:val="cyan"/>
        </w:rPr>
      </w:pPr>
    </w:p>
    <w:p w14:paraId="3C75F4F7" w14:textId="77777777" w:rsidR="00B15F7D" w:rsidRPr="00990FB6" w:rsidRDefault="00B15F7D" w:rsidP="00B15F7D">
      <w:pPr>
        <w:ind w:left="851" w:right="851" w:firstLine="709"/>
        <w:jc w:val="both"/>
        <w:rPr>
          <w:sz w:val="22"/>
          <w:szCs w:val="22"/>
        </w:rPr>
      </w:pPr>
      <w:r w:rsidRPr="00990FB6">
        <w:rPr>
          <w:sz w:val="22"/>
          <w:szCs w:val="22"/>
        </w:rPr>
        <w:t xml:space="preserve">Considerando que el </w:t>
      </w:r>
      <w:r w:rsidRPr="00990FB6">
        <w:rPr>
          <w:b/>
          <w:bCs/>
          <w:sz w:val="22"/>
          <w:szCs w:val="22"/>
        </w:rPr>
        <w:t>Presupuesto Ordinario</w:t>
      </w:r>
      <w:r w:rsidRPr="00990FB6">
        <w:rPr>
          <w:sz w:val="22"/>
          <w:szCs w:val="22"/>
        </w:rPr>
        <w:t xml:space="preserve"> del Poder Judicial se ajusta al aprobado para 2023, se tiene que el monto formulado por concepto de gasto corriente para el 2024 es de ¢ 460.964.940.943.  Por su parte, en el caso del gasto de capital es de ¢ 28.159.067.547, para un total de ¢489.124.008.490.</w:t>
      </w:r>
    </w:p>
    <w:p w14:paraId="144388C4" w14:textId="77777777" w:rsidR="00B15F7D" w:rsidRPr="00990FB6" w:rsidRDefault="00B15F7D" w:rsidP="00B15F7D">
      <w:pPr>
        <w:ind w:left="851" w:right="851" w:firstLine="709"/>
        <w:jc w:val="both"/>
        <w:rPr>
          <w:sz w:val="22"/>
          <w:szCs w:val="22"/>
        </w:rPr>
      </w:pPr>
    </w:p>
    <w:p w14:paraId="7DE2834B" w14:textId="77777777" w:rsidR="00B15F7D" w:rsidRPr="00990FB6" w:rsidRDefault="00B15F7D" w:rsidP="00B15F7D">
      <w:pPr>
        <w:ind w:left="851" w:right="851" w:firstLine="709"/>
        <w:jc w:val="both"/>
        <w:rPr>
          <w:sz w:val="22"/>
          <w:szCs w:val="22"/>
        </w:rPr>
      </w:pPr>
      <w:r w:rsidRPr="00990FB6">
        <w:rPr>
          <w:sz w:val="22"/>
          <w:szCs w:val="22"/>
        </w:rPr>
        <w:t>Por otra parte, un aspecto que se señala en el oficio MH-DM-OF-0561-2023   del Ministerio de Hacienda, es que del límite presupuestario establecido para el Poder Judicial para el 2024, se incluye lo correspondiente a los recursos del presupuesto para la operación de la Junta Administradora del Fondo de Jubilaciones y Pensiones del Poder Judicial, que se financian con recursos de los trabajadores, jubilados y pensionados de ese Poder, esto de conformidad con al artículo 239 de la Ley N.º 9544, Reforma a la Ley N.º 7333, Ley Orgánica del Poder Judicial.</w:t>
      </w:r>
    </w:p>
    <w:p w14:paraId="75D3C802" w14:textId="77777777" w:rsidR="00B15F7D" w:rsidRPr="00990FB6" w:rsidRDefault="00B15F7D" w:rsidP="00B15F7D">
      <w:pPr>
        <w:ind w:left="851" w:right="851" w:firstLine="709"/>
        <w:jc w:val="both"/>
        <w:rPr>
          <w:sz w:val="22"/>
          <w:szCs w:val="22"/>
        </w:rPr>
      </w:pPr>
    </w:p>
    <w:p w14:paraId="58ACE6FE" w14:textId="77777777" w:rsidR="00B15F7D" w:rsidRPr="00990FB6" w:rsidRDefault="00B15F7D" w:rsidP="00B15F7D">
      <w:pPr>
        <w:ind w:left="851" w:right="851" w:firstLine="709"/>
        <w:jc w:val="both"/>
        <w:rPr>
          <w:b/>
          <w:sz w:val="22"/>
          <w:szCs w:val="22"/>
        </w:rPr>
      </w:pPr>
      <w:r w:rsidRPr="00990FB6">
        <w:rPr>
          <w:sz w:val="22"/>
          <w:szCs w:val="22"/>
        </w:rPr>
        <w:t xml:space="preserve">En este sentido, cabe indicar </w:t>
      </w:r>
      <w:r w:rsidRPr="00990FB6">
        <w:rPr>
          <w:b/>
          <w:bCs/>
          <w:sz w:val="22"/>
          <w:szCs w:val="22"/>
        </w:rPr>
        <w:t>que adicionalmente</w:t>
      </w:r>
      <w:r w:rsidRPr="00990FB6">
        <w:rPr>
          <w:sz w:val="22"/>
          <w:szCs w:val="22"/>
        </w:rPr>
        <w:t>, como parte del Proyecto de Presupuesto para el 2024 que hoy se presenta, se incluye el “</w:t>
      </w:r>
      <w:r w:rsidRPr="00990FB6">
        <w:rPr>
          <w:b/>
          <w:i/>
          <w:sz w:val="22"/>
          <w:szCs w:val="22"/>
        </w:rPr>
        <w:t>Programa 951 Administración Fondo de Jubilaciones y Pensiones</w:t>
      </w:r>
      <w:r w:rsidRPr="00990FB6">
        <w:rPr>
          <w:sz w:val="22"/>
          <w:szCs w:val="22"/>
        </w:rPr>
        <w:t xml:space="preserve">”, con un presupuesto total de </w:t>
      </w:r>
      <w:r w:rsidRPr="00990FB6">
        <w:rPr>
          <w:b/>
          <w:sz w:val="22"/>
          <w:szCs w:val="22"/>
        </w:rPr>
        <w:t xml:space="preserve">¢2.166.990.724.  </w:t>
      </w:r>
    </w:p>
    <w:p w14:paraId="7C267842" w14:textId="77777777" w:rsidR="00B15F7D" w:rsidRPr="00990FB6" w:rsidRDefault="00B15F7D" w:rsidP="00B15F7D">
      <w:pPr>
        <w:ind w:left="851" w:right="851" w:firstLine="709"/>
        <w:jc w:val="both"/>
        <w:rPr>
          <w:b/>
          <w:bCs/>
          <w:sz w:val="22"/>
          <w:szCs w:val="22"/>
        </w:rPr>
      </w:pPr>
    </w:p>
    <w:p w14:paraId="6AE081F2" w14:textId="77777777" w:rsidR="00B15F7D" w:rsidRPr="00990FB6" w:rsidRDefault="00B15F7D" w:rsidP="00B15F7D">
      <w:pPr>
        <w:ind w:left="851" w:right="851" w:firstLine="709"/>
        <w:jc w:val="both"/>
        <w:rPr>
          <w:sz w:val="22"/>
          <w:szCs w:val="22"/>
        </w:rPr>
      </w:pPr>
      <w:r w:rsidRPr="00990FB6">
        <w:rPr>
          <w:sz w:val="22"/>
          <w:szCs w:val="22"/>
        </w:rPr>
        <w:t xml:space="preserve">Es importante señalar que del monto anterior, un total de </w:t>
      </w:r>
      <w:r w:rsidRPr="00990FB6">
        <w:rPr>
          <w:b/>
          <w:sz w:val="22"/>
          <w:szCs w:val="22"/>
        </w:rPr>
        <w:t>¢1.640.568.715</w:t>
      </w:r>
      <w:r w:rsidRPr="00990FB6">
        <w:rPr>
          <w:sz w:val="22"/>
          <w:szCs w:val="22"/>
        </w:rPr>
        <w:t xml:space="preserve"> corresponden estrictamente al costo de las nuevas plazas que se crean para la Junta Administradora, más el gasto variable asociado al funcionamiento de la Junta. Por su parte, un total de </w:t>
      </w:r>
      <w:r w:rsidRPr="00990FB6">
        <w:rPr>
          <w:b/>
          <w:sz w:val="22"/>
          <w:szCs w:val="22"/>
        </w:rPr>
        <w:t>¢526.422.009</w:t>
      </w:r>
      <w:r w:rsidRPr="00990FB6">
        <w:rPr>
          <w:sz w:val="22"/>
          <w:szCs w:val="22"/>
        </w:rPr>
        <w:t xml:space="preserve">, corresponde al costo de las plazas que ya existen en el Poder Judicial y que han venido brindando apoyo en la administración del fondo de jubilaciones, costo que si bien se refleja como parte del Programa 951, este forma parte del límite presupuestario establecido para el Poder Judicial, pues compete a recurso humano que ya venía operando en la institución, como se explicó con anterioridad y que se cancela con recursos ordinarios del Poder Judicial como en años anteriores. </w:t>
      </w:r>
    </w:p>
    <w:p w14:paraId="41E6186D" w14:textId="77777777" w:rsidR="00B15F7D" w:rsidRPr="00990FB6" w:rsidRDefault="00B15F7D" w:rsidP="00B15F7D">
      <w:pPr>
        <w:ind w:left="851" w:right="851" w:firstLine="709"/>
        <w:jc w:val="both"/>
        <w:rPr>
          <w:sz w:val="22"/>
          <w:szCs w:val="22"/>
        </w:rPr>
      </w:pPr>
    </w:p>
    <w:p w14:paraId="3343DCA6" w14:textId="77777777" w:rsidR="00B15F7D" w:rsidRPr="00990FB6" w:rsidRDefault="00B15F7D" w:rsidP="00B15F7D">
      <w:pPr>
        <w:ind w:left="851" w:right="851" w:firstLine="709"/>
        <w:jc w:val="both"/>
        <w:rPr>
          <w:sz w:val="22"/>
          <w:szCs w:val="22"/>
        </w:rPr>
      </w:pPr>
      <w:r w:rsidRPr="00990FB6">
        <w:rPr>
          <w:sz w:val="22"/>
          <w:szCs w:val="22"/>
        </w:rPr>
        <w:t>A continuación, se presenta un resumen del proyecto de presupuesto para el 2024, distribuido por Programa institucional y desagregado entre gasto corriente y gasto de capital, en apego a los lineamientos establecidos por el Ministerio de Hacienda, donde destaca una reducción significativa del gasto corriente y un aumento en la inversión:</w:t>
      </w:r>
    </w:p>
    <w:p w14:paraId="4D7497FB" w14:textId="77777777" w:rsidR="00B15F7D" w:rsidRPr="00990FB6" w:rsidRDefault="00B15F7D" w:rsidP="00B15F7D">
      <w:pPr>
        <w:ind w:left="851" w:right="851" w:firstLine="360"/>
        <w:jc w:val="both"/>
        <w:rPr>
          <w:sz w:val="22"/>
          <w:szCs w:val="22"/>
        </w:rPr>
      </w:pPr>
    </w:p>
    <w:p w14:paraId="0CF7638F" w14:textId="77777777" w:rsidR="00B15F7D" w:rsidRPr="00990FB6" w:rsidRDefault="00B15F7D" w:rsidP="00B15F7D">
      <w:pPr>
        <w:jc w:val="both"/>
        <w:rPr>
          <w:sz w:val="22"/>
          <w:szCs w:val="22"/>
        </w:rPr>
      </w:pPr>
      <w:r w:rsidRPr="00990FB6">
        <w:rPr>
          <w:noProof/>
          <w:sz w:val="22"/>
          <w:szCs w:val="22"/>
        </w:rPr>
        <w:lastRenderedPageBreak/>
        <w:drawing>
          <wp:inline distT="0" distB="0" distL="0" distR="0" wp14:anchorId="7EEA13B2" wp14:editId="75029776">
            <wp:extent cx="5396230" cy="1533525"/>
            <wp:effectExtent l="0" t="0" r="0" b="9525"/>
            <wp:docPr id="915951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6230" cy="1533525"/>
                    </a:xfrm>
                    <a:prstGeom prst="rect">
                      <a:avLst/>
                    </a:prstGeom>
                    <a:noFill/>
                    <a:ln>
                      <a:noFill/>
                    </a:ln>
                  </pic:spPr>
                </pic:pic>
              </a:graphicData>
            </a:graphic>
          </wp:inline>
        </w:drawing>
      </w:r>
    </w:p>
    <w:p w14:paraId="09B32398" w14:textId="77777777" w:rsidR="00B15F7D" w:rsidRPr="00990FB6" w:rsidRDefault="00B15F7D" w:rsidP="00B15F7D">
      <w:pPr>
        <w:jc w:val="both"/>
        <w:rPr>
          <w:sz w:val="22"/>
          <w:szCs w:val="22"/>
        </w:rPr>
      </w:pPr>
    </w:p>
    <w:p w14:paraId="38692C00" w14:textId="77777777" w:rsidR="00B15F7D" w:rsidRPr="00990FB6" w:rsidRDefault="00B15F7D" w:rsidP="00B15F7D">
      <w:pPr>
        <w:ind w:left="851" w:right="851" w:firstLine="709"/>
        <w:jc w:val="both"/>
        <w:rPr>
          <w:sz w:val="22"/>
          <w:szCs w:val="22"/>
          <w:u w:val="words"/>
          <w:lang w:val="es-CR" w:eastAsia="es-CR"/>
        </w:rPr>
      </w:pPr>
      <w:r w:rsidRPr="00990FB6">
        <w:rPr>
          <w:sz w:val="22"/>
          <w:szCs w:val="22"/>
          <w:lang w:val="es-CR" w:eastAsia="es-CR"/>
        </w:rPr>
        <w:t>Finalmente, se debe indicar que hay algunas necesidades institucionales como requerimientos de leyes y obligaciones legales que no pueden ser incorporadas al presupuesto ordinario debido a las limitaciones presupuestarias, por lo que solicita a la Corte Plena que se remitan al Ministerio de Hacienda de manera adicional al presupuesto ordinario del Poder Judicial. Estas necesidades son:</w:t>
      </w:r>
    </w:p>
    <w:p w14:paraId="35C9D52A" w14:textId="77777777" w:rsidR="00B15F7D" w:rsidRPr="00990FB6" w:rsidRDefault="00B15F7D" w:rsidP="00B15F7D">
      <w:pPr>
        <w:ind w:left="851" w:right="851" w:firstLine="709"/>
        <w:jc w:val="both"/>
        <w:rPr>
          <w:sz w:val="22"/>
          <w:szCs w:val="22"/>
        </w:rPr>
      </w:pPr>
    </w:p>
    <w:p w14:paraId="1B038BF2"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t>Presupuesto requerido para la Atención y Acceso a la Justicia de Personas con Asuntos relacionados a Pensiones Alimentarias (18 plazas): ¢986.988.280.​</w:t>
      </w:r>
    </w:p>
    <w:p w14:paraId="721C74AA" w14:textId="77777777" w:rsidR="00B15F7D" w:rsidRPr="00990FB6" w:rsidRDefault="00B15F7D" w:rsidP="00B15F7D">
      <w:pPr>
        <w:ind w:left="851" w:right="851" w:firstLine="709"/>
        <w:jc w:val="both"/>
        <w:rPr>
          <w:sz w:val="22"/>
          <w:szCs w:val="22"/>
        </w:rPr>
      </w:pPr>
    </w:p>
    <w:p w14:paraId="48B48EF9"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t>Necesidad de 22 plazas de Custodio de Detenidos para diferentes oficinas del OIJ a nivel nacional, estimado en ¢619.637.496 millones aproximadamente.​</w:t>
      </w:r>
    </w:p>
    <w:p w14:paraId="51DDD1FA" w14:textId="77777777" w:rsidR="00B15F7D" w:rsidRPr="00990FB6" w:rsidRDefault="00B15F7D" w:rsidP="00B15F7D">
      <w:pPr>
        <w:ind w:left="851" w:right="851" w:firstLine="709"/>
        <w:jc w:val="both"/>
        <w:rPr>
          <w:sz w:val="22"/>
          <w:szCs w:val="22"/>
        </w:rPr>
      </w:pPr>
    </w:p>
    <w:p w14:paraId="45CD56C3"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t>Acceso a la Justicia de las personas ciudadanas en Zonas cercanas a Puerto Jiménez "Tribunales Peninsulares": ¢635.841.075.​</w:t>
      </w:r>
    </w:p>
    <w:p w14:paraId="718642BD" w14:textId="77777777" w:rsidR="00B15F7D" w:rsidRPr="00990FB6" w:rsidRDefault="00B15F7D" w:rsidP="00B15F7D">
      <w:pPr>
        <w:ind w:left="851" w:right="851" w:firstLine="709"/>
        <w:jc w:val="both"/>
        <w:rPr>
          <w:sz w:val="22"/>
          <w:szCs w:val="22"/>
        </w:rPr>
      </w:pPr>
    </w:p>
    <w:p w14:paraId="46BB4CF0"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t>Requerimientos de personal Fiscal de Juicio en el Ministerio Público: ¢1.540.219.459.​</w:t>
      </w:r>
    </w:p>
    <w:p w14:paraId="1A836BD5" w14:textId="77777777" w:rsidR="00B15F7D" w:rsidRPr="00990FB6" w:rsidRDefault="00B15F7D" w:rsidP="00B15F7D">
      <w:pPr>
        <w:ind w:left="851" w:right="851" w:firstLine="709"/>
        <w:jc w:val="both"/>
        <w:rPr>
          <w:sz w:val="22"/>
          <w:szCs w:val="22"/>
        </w:rPr>
      </w:pPr>
    </w:p>
    <w:p w14:paraId="3ECC7949" w14:textId="77777777" w:rsidR="00B15F7D" w:rsidRPr="00990FB6" w:rsidRDefault="00B15F7D" w:rsidP="00B15F7D">
      <w:pPr>
        <w:numPr>
          <w:ilvl w:val="0"/>
          <w:numId w:val="103"/>
        </w:numPr>
        <w:suppressAutoHyphens w:val="0"/>
        <w:ind w:left="851" w:right="851" w:firstLine="709"/>
        <w:contextualSpacing/>
        <w:rPr>
          <w:sz w:val="22"/>
          <w:szCs w:val="22"/>
        </w:rPr>
      </w:pPr>
      <w:r w:rsidRPr="00990FB6">
        <w:rPr>
          <w:sz w:val="22"/>
          <w:szCs w:val="22"/>
        </w:rPr>
        <w:t>Tribunales de Juicio Penal a nivel nacional: Completar estructuras mínimas: ¢4.301.924.026.​</w:t>
      </w:r>
    </w:p>
    <w:p w14:paraId="4555B41F" w14:textId="77777777" w:rsidR="00B15F7D" w:rsidRPr="00990FB6" w:rsidRDefault="00B15F7D" w:rsidP="00B15F7D">
      <w:pPr>
        <w:ind w:left="851" w:right="851" w:firstLine="709"/>
        <w:jc w:val="both"/>
        <w:rPr>
          <w:sz w:val="22"/>
          <w:szCs w:val="22"/>
        </w:rPr>
      </w:pPr>
    </w:p>
    <w:p w14:paraId="03EBD17F"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t>Estudio de Requerimiento Humano sobre Ley 9458 que reforma la Ley 4573, Código Penal y Ley 7451, Ley de Bienestar de los Animales 9458: ¢ 586.212.000</w:t>
      </w:r>
    </w:p>
    <w:p w14:paraId="08D0AC83" w14:textId="77777777" w:rsidR="00B15F7D" w:rsidRPr="00990FB6" w:rsidRDefault="00B15F7D" w:rsidP="00B15F7D">
      <w:pPr>
        <w:ind w:left="851" w:right="851" w:firstLine="709"/>
        <w:jc w:val="both"/>
        <w:rPr>
          <w:sz w:val="22"/>
          <w:szCs w:val="22"/>
        </w:rPr>
      </w:pPr>
    </w:p>
    <w:p w14:paraId="4876D9FB"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t>Estudio de Requerimiento Humano sobre el Impacto organizacional y presupuestario en el Poder Judicial a partir de la promulgación del Código Procesal de Familia: ¢ 2.949.448.745​.</w:t>
      </w:r>
    </w:p>
    <w:p w14:paraId="12955B76" w14:textId="77777777" w:rsidR="00B15F7D" w:rsidRPr="00990FB6" w:rsidRDefault="00B15F7D" w:rsidP="00B15F7D">
      <w:pPr>
        <w:ind w:left="851" w:right="851" w:firstLine="709"/>
        <w:jc w:val="both"/>
        <w:rPr>
          <w:sz w:val="22"/>
          <w:szCs w:val="22"/>
        </w:rPr>
      </w:pPr>
    </w:p>
    <w:p w14:paraId="06E27937"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t>Estudio de Requerimiento Humano sobre el Impacto organizacional y presupuestario en el Poder Judicial a partir de la promulgación del Nuevo Código Procesal Agrario, Ley 9609: ¢ 699.737.184</w:t>
      </w:r>
    </w:p>
    <w:p w14:paraId="3950E110" w14:textId="77777777" w:rsidR="00B15F7D" w:rsidRPr="00990FB6" w:rsidRDefault="00B15F7D" w:rsidP="00B15F7D">
      <w:pPr>
        <w:ind w:left="851" w:right="851" w:firstLine="709"/>
        <w:jc w:val="both"/>
        <w:rPr>
          <w:sz w:val="22"/>
          <w:szCs w:val="22"/>
        </w:rPr>
      </w:pPr>
    </w:p>
    <w:p w14:paraId="6ED6F17C" w14:textId="77777777" w:rsidR="00B15F7D" w:rsidRPr="00990FB6" w:rsidRDefault="00B15F7D" w:rsidP="00B15F7D">
      <w:pPr>
        <w:numPr>
          <w:ilvl w:val="0"/>
          <w:numId w:val="103"/>
        </w:numPr>
        <w:suppressAutoHyphens w:val="0"/>
        <w:ind w:left="851" w:right="851" w:firstLine="709"/>
        <w:contextualSpacing/>
        <w:jc w:val="both"/>
        <w:rPr>
          <w:sz w:val="22"/>
          <w:szCs w:val="22"/>
        </w:rPr>
      </w:pPr>
      <w:r w:rsidRPr="00990FB6">
        <w:rPr>
          <w:sz w:val="22"/>
          <w:szCs w:val="22"/>
        </w:rPr>
        <w:lastRenderedPageBreak/>
        <w:t>Estudio de Requerimiento Humano sobre el Informe de presupuesto del Impacto de Ley 9582 Justicia Restaurativa: ¢1,335,011,931</w:t>
      </w:r>
    </w:p>
    <w:p w14:paraId="46FB179C" w14:textId="77777777" w:rsidR="00B15F7D" w:rsidRPr="00990FB6" w:rsidRDefault="00B15F7D" w:rsidP="00B15F7D">
      <w:pPr>
        <w:ind w:left="851" w:right="851" w:firstLine="709"/>
        <w:jc w:val="both"/>
        <w:rPr>
          <w:sz w:val="22"/>
          <w:szCs w:val="22"/>
        </w:rPr>
      </w:pPr>
    </w:p>
    <w:p w14:paraId="29C5955D" w14:textId="028FF0AF" w:rsidR="00B15F7D" w:rsidRPr="00990FB6" w:rsidRDefault="00B15F7D" w:rsidP="00B15F7D">
      <w:pPr>
        <w:ind w:left="851" w:right="851" w:firstLine="709"/>
        <w:jc w:val="both"/>
        <w:rPr>
          <w:sz w:val="22"/>
          <w:szCs w:val="22"/>
        </w:rPr>
      </w:pPr>
      <w:r w:rsidRPr="00990FB6">
        <w:rPr>
          <w:sz w:val="22"/>
          <w:szCs w:val="22"/>
        </w:rPr>
        <w:t>La información concerniente al anteproyecto de presupuesto del Poder Judicial para el 2024 se encuentra disponible en el siguiente vínculo:</w:t>
      </w:r>
    </w:p>
    <w:p w14:paraId="67112B96" w14:textId="77777777" w:rsidR="00F65B2B" w:rsidRPr="00990FB6" w:rsidRDefault="00F65B2B" w:rsidP="00B15F7D">
      <w:pPr>
        <w:ind w:left="851" w:right="851" w:firstLine="709"/>
        <w:jc w:val="both"/>
        <w:rPr>
          <w:sz w:val="22"/>
          <w:szCs w:val="22"/>
        </w:rPr>
      </w:pPr>
    </w:p>
    <w:p w14:paraId="1BFFD486" w14:textId="77777777" w:rsidR="00B15F7D" w:rsidRPr="00990FB6" w:rsidRDefault="00B15F7D" w:rsidP="00B15F7D">
      <w:pPr>
        <w:jc w:val="center"/>
        <w:rPr>
          <w:b/>
          <w:bCs/>
          <w:color w:val="0000FF"/>
          <w:sz w:val="22"/>
          <w:szCs w:val="22"/>
          <w:u w:val="single"/>
        </w:rPr>
      </w:pPr>
      <w:r w:rsidRPr="00990FB6">
        <w:rPr>
          <w:b/>
          <w:bCs/>
          <w:sz w:val="22"/>
          <w:szCs w:val="22"/>
          <w:lang w:val="es-ES_tradnl"/>
        </w:rPr>
        <w:fldChar w:fldCharType="begin"/>
      </w:r>
      <w:r w:rsidRPr="00990FB6">
        <w:rPr>
          <w:b/>
          <w:bCs/>
          <w:sz w:val="22"/>
          <w:szCs w:val="22"/>
        </w:rPr>
        <w:instrText xml:space="preserve"> HYPERLINK "https://pjcr-my.sharepoint.com/personal/lsanchezco_poder-judicial_go_cr/_layouts/15/onedrive.aspx?id=%2Fpersonal%2Flsanchezco%5Fpoder%2Djudicial%5Fgo%5Fcr%2FDocuments%2FPRESUPUESTO%202024%20PARA%20CORTE%20PLENA&amp;ga=1" </w:instrText>
      </w:r>
      <w:r w:rsidRPr="00990FB6">
        <w:rPr>
          <w:b/>
          <w:bCs/>
          <w:sz w:val="22"/>
          <w:szCs w:val="22"/>
          <w:lang w:val="es-ES_tradnl"/>
        </w:rPr>
      </w:r>
      <w:r w:rsidRPr="00990FB6">
        <w:rPr>
          <w:b/>
          <w:bCs/>
          <w:sz w:val="22"/>
          <w:szCs w:val="22"/>
          <w:lang w:val="es-ES_tradnl"/>
        </w:rPr>
        <w:fldChar w:fldCharType="separate"/>
      </w:r>
      <w:r w:rsidRPr="00990FB6">
        <w:rPr>
          <w:b/>
          <w:color w:val="0000FF"/>
          <w:sz w:val="22"/>
          <w:szCs w:val="22"/>
          <w:u w:val="single"/>
        </w:rPr>
        <w:t>Anteproyecto de Presupuesto Poder Judicial 2024</w:t>
      </w:r>
    </w:p>
    <w:p w14:paraId="63C64ADF" w14:textId="77777777" w:rsidR="00F65B2B" w:rsidRPr="00990FB6" w:rsidRDefault="00B15F7D" w:rsidP="00B15F7D">
      <w:pPr>
        <w:jc w:val="center"/>
        <w:rPr>
          <w:sz w:val="22"/>
          <w:szCs w:val="22"/>
        </w:rPr>
      </w:pPr>
      <w:r w:rsidRPr="00990FB6">
        <w:rPr>
          <w:sz w:val="22"/>
          <w:szCs w:val="22"/>
        </w:rPr>
        <w:fldChar w:fldCharType="end"/>
      </w:r>
    </w:p>
    <w:p w14:paraId="4088D3F3" w14:textId="18C1F44F" w:rsidR="00B15F7D" w:rsidRPr="00990FB6" w:rsidRDefault="00B15F7D" w:rsidP="00B15F7D">
      <w:pPr>
        <w:jc w:val="center"/>
        <w:rPr>
          <w:sz w:val="22"/>
          <w:szCs w:val="22"/>
        </w:rPr>
      </w:pPr>
      <w:r w:rsidRPr="00990FB6">
        <w:rPr>
          <w:sz w:val="22"/>
          <w:szCs w:val="22"/>
        </w:rPr>
        <w:t>- 0 -</w:t>
      </w:r>
    </w:p>
    <w:p w14:paraId="5C37DEC0" w14:textId="77777777" w:rsidR="00B15F7D" w:rsidRPr="00990FB6" w:rsidRDefault="00B15F7D" w:rsidP="00B15F7D">
      <w:pPr>
        <w:jc w:val="center"/>
        <w:rPr>
          <w:bCs/>
          <w:sz w:val="22"/>
          <w:szCs w:val="22"/>
          <w:lang w:eastAsia="es-ES"/>
        </w:rPr>
      </w:pPr>
    </w:p>
    <w:bookmarkEnd w:id="2"/>
    <w:p w14:paraId="666964E8" w14:textId="77777777" w:rsidR="00B15F7D" w:rsidRPr="00990FB6" w:rsidRDefault="00B15F7D" w:rsidP="00B15F7D">
      <w:pPr>
        <w:widowControl w:val="0"/>
        <w:jc w:val="right"/>
        <w:rPr>
          <w:snapToGrid w:val="0"/>
          <w:sz w:val="22"/>
          <w:szCs w:val="22"/>
        </w:rPr>
      </w:pPr>
      <w:r w:rsidRPr="00990FB6">
        <w:rPr>
          <w:bCs/>
          <w:sz w:val="22"/>
          <w:szCs w:val="22"/>
          <w:lang w:eastAsia="es-ES"/>
        </w:rPr>
        <w:t xml:space="preserve">La máster Nacira Valverde Bermúdez, mediante oficio </w:t>
      </w:r>
      <w:r w:rsidRPr="00990FB6">
        <w:rPr>
          <w:snapToGrid w:val="0"/>
          <w:sz w:val="22"/>
          <w:szCs w:val="22"/>
        </w:rPr>
        <w:t>813-PLA-PP-2022</w:t>
      </w:r>
    </w:p>
    <w:p w14:paraId="74510D77" w14:textId="4933347D" w:rsidR="00B15F7D" w:rsidRPr="00990FB6" w:rsidRDefault="00B15F7D" w:rsidP="00B15F7D">
      <w:pPr>
        <w:suppressAutoHyphens w:val="0"/>
        <w:jc w:val="both"/>
        <w:rPr>
          <w:bCs/>
          <w:sz w:val="22"/>
          <w:szCs w:val="22"/>
          <w:lang w:eastAsia="es-ES"/>
        </w:rPr>
      </w:pPr>
      <w:r w:rsidRPr="00990FB6">
        <w:rPr>
          <w:bCs/>
          <w:sz w:val="22"/>
          <w:szCs w:val="22"/>
          <w:lang w:eastAsia="es-ES"/>
        </w:rPr>
        <w:t xml:space="preserve">Del 14 de setiembre de 2022 manifestó: </w:t>
      </w:r>
    </w:p>
    <w:p w14:paraId="4C717354" w14:textId="77777777" w:rsidR="00F65B2B" w:rsidRPr="00990FB6" w:rsidRDefault="00F65B2B" w:rsidP="00B15F7D">
      <w:pPr>
        <w:suppressAutoHyphens w:val="0"/>
        <w:jc w:val="both"/>
        <w:rPr>
          <w:bCs/>
          <w:sz w:val="22"/>
          <w:szCs w:val="22"/>
          <w:lang w:eastAsia="es-ES"/>
        </w:rPr>
      </w:pPr>
    </w:p>
    <w:p w14:paraId="647E91BA" w14:textId="77777777" w:rsidR="00B15F7D" w:rsidRPr="00990FB6" w:rsidRDefault="00B15F7D" w:rsidP="00B15F7D">
      <w:pPr>
        <w:ind w:left="851" w:right="851" w:firstLine="709"/>
        <w:jc w:val="both"/>
        <w:rPr>
          <w:sz w:val="22"/>
          <w:szCs w:val="22"/>
        </w:rPr>
      </w:pPr>
      <w:r w:rsidRPr="00990FB6">
        <w:rPr>
          <w:sz w:val="22"/>
          <w:szCs w:val="22"/>
        </w:rPr>
        <w:t>“Le remito el informe suscrito por el Lic. Minor Alvarado Chaves, Jefe del Subproceso de Formulación de Presupuesto y Portafolio de Proyectos Institucional, relacionado con la propuesta del cronograma 2024 de las actividades previas al inicio de la formulación presupuestaria en el Sistema Integrado de Gestión Administrativa (SIGA-PJ), con el fin de consolidar e integrar de manera coordinada dichas actividades.</w:t>
      </w:r>
      <w:r w:rsidRPr="00990FB6">
        <w:rPr>
          <w:color w:val="0000FF"/>
          <w:sz w:val="22"/>
          <w:szCs w:val="22"/>
          <w:u w:val="single"/>
        </w:rPr>
        <w:t xml:space="preserve"> </w:t>
      </w:r>
    </w:p>
    <w:p w14:paraId="66A98461" w14:textId="77777777" w:rsidR="00B15F7D" w:rsidRPr="00990FB6" w:rsidRDefault="00B15F7D" w:rsidP="00B15F7D">
      <w:pPr>
        <w:ind w:left="851" w:right="851" w:firstLine="709"/>
        <w:jc w:val="both"/>
        <w:rPr>
          <w:color w:val="0000FF"/>
          <w:sz w:val="22"/>
          <w:szCs w:val="22"/>
          <w:u w:val="single"/>
        </w:rPr>
      </w:pPr>
    </w:p>
    <w:p w14:paraId="10486817" w14:textId="77777777" w:rsidR="00B15F7D" w:rsidRPr="00990FB6" w:rsidRDefault="00B15F7D" w:rsidP="00B15F7D">
      <w:pPr>
        <w:widowControl w:val="0"/>
        <w:ind w:left="851" w:right="851" w:firstLine="709"/>
        <w:jc w:val="both"/>
        <w:rPr>
          <w:sz w:val="22"/>
          <w:szCs w:val="22"/>
        </w:rPr>
      </w:pPr>
      <w:r w:rsidRPr="00990FB6">
        <w:rPr>
          <w:sz w:val="22"/>
          <w:szCs w:val="22"/>
        </w:rPr>
        <w:t>Con el fin de que se manifestaran al respecto, mediante oficio 758-PLA-PP-2022, de 30 de agosto de 2022, el preliminar de este documento fue puesto en conocimiento de la Máster Ana Eugenia Romero Jenkins Directora Ejecutiva, Máster Kattia Morales Navarro, Directora de Tecnología de Información y Comunicaciones y Máster Roxana Arrieta Meléndez, Directora de Gestión Humana, con el fin de que se realizaran las observaciones que consideraran. Se recibió oficio 2335-DTI-2022, suscrito por la Máster Morales Navarro, y 3003-DE-2022 suscrito por la Máster Romero Jenkins; vía correo electrónico el Lic. David Madrigal Robles de la Dirección de Gestión Humana remitió la apreciación por parte de esa Dirección (“</w:t>
      </w:r>
      <w:r w:rsidRPr="00990FB6">
        <w:rPr>
          <w:i/>
          <w:iCs/>
          <w:sz w:val="22"/>
          <w:szCs w:val="22"/>
        </w:rPr>
        <w:t>5. Detalle de las observaciones recibidas</w:t>
      </w:r>
      <w:r w:rsidRPr="00990FB6">
        <w:rPr>
          <w:sz w:val="22"/>
          <w:szCs w:val="22"/>
        </w:rPr>
        <w:t xml:space="preserve">". </w:t>
      </w:r>
    </w:p>
    <w:p w14:paraId="44CDEE95" w14:textId="77777777" w:rsidR="00B15F7D" w:rsidRPr="00990FB6" w:rsidRDefault="00B15F7D" w:rsidP="00B15F7D">
      <w:pPr>
        <w:ind w:left="851" w:right="851" w:firstLine="709"/>
        <w:rPr>
          <w:sz w:val="22"/>
          <w:szCs w:val="22"/>
        </w:rPr>
      </w:pPr>
    </w:p>
    <w:p w14:paraId="2B4694C2" w14:textId="77777777" w:rsidR="00B15F7D" w:rsidRPr="00990FB6" w:rsidRDefault="00B15F7D" w:rsidP="00B15F7D">
      <w:pPr>
        <w:ind w:left="851" w:right="851" w:firstLine="709"/>
        <w:rPr>
          <w:sz w:val="22"/>
          <w:szCs w:val="22"/>
        </w:rPr>
      </w:pPr>
      <w:r w:rsidRPr="00990FB6">
        <w:rPr>
          <w:sz w:val="22"/>
          <w:szCs w:val="22"/>
        </w:rPr>
        <w:t>Las observaciones se consideraron en lo pertinente, en el informe que se presenta.</w:t>
      </w:r>
    </w:p>
    <w:p w14:paraId="4DC5AD05" w14:textId="77777777" w:rsidR="00B15F7D" w:rsidRPr="00990FB6" w:rsidRDefault="00B15F7D" w:rsidP="00B15F7D">
      <w:pPr>
        <w:ind w:left="851" w:right="851" w:firstLine="709"/>
        <w:jc w:val="both"/>
        <w:rPr>
          <w:sz w:val="22"/>
          <w:szCs w:val="22"/>
        </w:rPr>
      </w:pPr>
    </w:p>
    <w:p w14:paraId="338B6ACA" w14:textId="77777777" w:rsidR="00B15F7D" w:rsidRPr="00990FB6" w:rsidRDefault="00B15F7D" w:rsidP="00B15F7D">
      <w:pPr>
        <w:ind w:left="851" w:right="851" w:firstLine="709"/>
        <w:jc w:val="both"/>
        <w:rPr>
          <w:iCs/>
          <w:spacing w:val="-3"/>
          <w:sz w:val="22"/>
          <w:szCs w:val="22"/>
        </w:rPr>
      </w:pPr>
      <w:r w:rsidRPr="00990FB6">
        <w:rPr>
          <w:iCs/>
          <w:spacing w:val="-3"/>
          <w:sz w:val="22"/>
          <w:szCs w:val="22"/>
        </w:rPr>
        <w:t>La Dirección de Planificación como ente rector y responsable de liderar el proceso de elaboración del Anteproyecto de Presupuesto Institucional 2024, realiza la propuesta del “</w:t>
      </w:r>
      <w:r w:rsidRPr="00990FB6">
        <w:rPr>
          <w:i/>
          <w:spacing w:val="-3"/>
          <w:sz w:val="22"/>
          <w:szCs w:val="22"/>
        </w:rPr>
        <w:t>Cronograma de Actividades Previas Presupuesto 2024</w:t>
      </w:r>
      <w:r w:rsidRPr="00990FB6">
        <w:rPr>
          <w:iCs/>
          <w:spacing w:val="-3"/>
          <w:sz w:val="22"/>
          <w:szCs w:val="22"/>
        </w:rPr>
        <w:t xml:space="preserve">”, el cual será remitido al Consejo Superior para su aprobación, este </w:t>
      </w:r>
      <w:bookmarkStart w:id="3" w:name="_Hlk80619217"/>
      <w:r w:rsidRPr="00990FB6">
        <w:rPr>
          <w:iCs/>
          <w:spacing w:val="-3"/>
          <w:sz w:val="22"/>
          <w:szCs w:val="22"/>
        </w:rPr>
        <w:t>cronograma contempla las actividades previas al inicio de la formulación presupuestaria, que se realiza mediante el Sistema Integrado de Gestión Administrativa (SIGA-PJ). Esta labor tiene como objetivo consolidar e integrar de manera coordinada las diferentes tareas y actividades del proceso que realizan las oficinas involucradas.</w:t>
      </w:r>
      <w:bookmarkEnd w:id="3"/>
    </w:p>
    <w:p w14:paraId="068C9649" w14:textId="77777777" w:rsidR="00B15F7D" w:rsidRPr="00990FB6" w:rsidRDefault="00B15F7D" w:rsidP="00B15F7D">
      <w:pPr>
        <w:ind w:left="851" w:right="851" w:firstLine="709"/>
        <w:jc w:val="both"/>
        <w:rPr>
          <w:iCs/>
          <w:spacing w:val="-3"/>
          <w:sz w:val="22"/>
          <w:szCs w:val="22"/>
        </w:rPr>
      </w:pPr>
    </w:p>
    <w:p w14:paraId="5A6E2C42" w14:textId="77777777" w:rsidR="00B15F7D" w:rsidRPr="00990FB6" w:rsidRDefault="00B15F7D" w:rsidP="00B15F7D">
      <w:pPr>
        <w:ind w:left="851" w:right="851" w:firstLine="709"/>
        <w:jc w:val="both"/>
        <w:rPr>
          <w:b/>
          <w:bCs/>
          <w:iCs/>
          <w:spacing w:val="-3"/>
          <w:sz w:val="22"/>
          <w:szCs w:val="22"/>
        </w:rPr>
      </w:pPr>
      <w:r w:rsidRPr="00990FB6">
        <w:rPr>
          <w:iCs/>
          <w:spacing w:val="-3"/>
          <w:sz w:val="22"/>
          <w:szCs w:val="22"/>
        </w:rPr>
        <w:t>El “</w:t>
      </w:r>
      <w:r w:rsidRPr="00990FB6">
        <w:rPr>
          <w:i/>
          <w:spacing w:val="-3"/>
          <w:sz w:val="22"/>
          <w:szCs w:val="22"/>
        </w:rPr>
        <w:t>Cronograma de Actividades Previas Presupuesto 2024</w:t>
      </w:r>
      <w:r w:rsidRPr="00990FB6">
        <w:rPr>
          <w:iCs/>
          <w:spacing w:val="-3"/>
          <w:sz w:val="22"/>
          <w:szCs w:val="22"/>
        </w:rPr>
        <w:t xml:space="preserve">” incorpora el proceso de proyección plurianual de presupuesto institucional, además del proceso de </w:t>
      </w:r>
      <w:proofErr w:type="spellStart"/>
      <w:r w:rsidRPr="00990FB6">
        <w:rPr>
          <w:iCs/>
          <w:spacing w:val="-3"/>
          <w:sz w:val="22"/>
          <w:szCs w:val="22"/>
        </w:rPr>
        <w:t>preformulación</w:t>
      </w:r>
      <w:proofErr w:type="spellEnd"/>
      <w:r w:rsidRPr="00990FB6">
        <w:rPr>
          <w:iCs/>
          <w:spacing w:val="-3"/>
          <w:sz w:val="22"/>
          <w:szCs w:val="22"/>
        </w:rPr>
        <w:t xml:space="preserve"> y como se menciona en el párrafo anterior, define las actividades a </w:t>
      </w:r>
      <w:r w:rsidRPr="00990FB6">
        <w:rPr>
          <w:iCs/>
          <w:spacing w:val="-3"/>
          <w:sz w:val="22"/>
          <w:szCs w:val="22"/>
        </w:rPr>
        <w:lastRenderedPageBreak/>
        <w:t xml:space="preserve">desarrollar previas a la formulación presupuestaria en el SIGA-PJ. </w:t>
      </w:r>
      <w:r w:rsidRPr="00990FB6">
        <w:rPr>
          <w:b/>
          <w:bCs/>
          <w:iCs/>
          <w:spacing w:val="-3"/>
          <w:sz w:val="22"/>
          <w:szCs w:val="22"/>
        </w:rPr>
        <w:t>Esta programación de tareas es de cumplimiento obligatorio para todas las oficinas y centros de responsabilidad involucrados en el proceso de formulación del presupuesto 2024.</w:t>
      </w:r>
    </w:p>
    <w:p w14:paraId="4FA4D397" w14:textId="77777777" w:rsidR="00B15F7D" w:rsidRPr="00990FB6" w:rsidRDefault="00B15F7D" w:rsidP="00B15F7D">
      <w:pPr>
        <w:ind w:left="851" w:right="851" w:firstLine="709"/>
        <w:jc w:val="both"/>
        <w:rPr>
          <w:iCs/>
          <w:spacing w:val="-3"/>
          <w:sz w:val="22"/>
          <w:szCs w:val="22"/>
        </w:rPr>
      </w:pPr>
    </w:p>
    <w:p w14:paraId="01562C1D" w14:textId="77777777" w:rsidR="00B15F7D" w:rsidRPr="00990FB6" w:rsidRDefault="00B15F7D" w:rsidP="00B15F7D">
      <w:pPr>
        <w:ind w:left="851" w:right="851" w:firstLine="709"/>
        <w:jc w:val="both"/>
        <w:rPr>
          <w:iCs/>
          <w:spacing w:val="-3"/>
          <w:sz w:val="22"/>
          <w:szCs w:val="22"/>
        </w:rPr>
      </w:pPr>
      <w:r w:rsidRPr="00990FB6">
        <w:rPr>
          <w:iCs/>
          <w:spacing w:val="-3"/>
          <w:sz w:val="22"/>
          <w:szCs w:val="22"/>
        </w:rPr>
        <w:t>En este sentido es importante mantener la comunicación y coordinación con la Dirección Ejecutiva y la Dirección de Tecnología de la Información y Comunicaciones, esto por cuanto ambas llevan a cabo un papel relevante en la definición de lineamientos, comunicaciones, análisis y consolidación de los presupuestos de las áreas presupuestarias (informática, vehículos, construcciones y seguridad). Lo anterior, teniendo presente que la Dirección de Planificación es la oficina responsable de analizar, verificar, consolidar y elaborar el Anteproyecto de Presupuesto del Poder Judicial, tomando como base los recursos solicitados por cada Centro de Responsabilidad.</w:t>
      </w:r>
    </w:p>
    <w:p w14:paraId="61E7095C" w14:textId="77777777" w:rsidR="00B15F7D" w:rsidRPr="00990FB6" w:rsidRDefault="00B15F7D" w:rsidP="00B15F7D">
      <w:pPr>
        <w:ind w:left="851" w:right="851" w:firstLine="709"/>
        <w:jc w:val="both"/>
        <w:rPr>
          <w:iCs/>
          <w:spacing w:val="-3"/>
          <w:sz w:val="22"/>
          <w:szCs w:val="22"/>
        </w:rPr>
      </w:pPr>
    </w:p>
    <w:p w14:paraId="775EEA6F" w14:textId="77777777" w:rsidR="00B15F7D" w:rsidRPr="00990FB6" w:rsidRDefault="00B15F7D" w:rsidP="00B15F7D">
      <w:pPr>
        <w:ind w:left="851" w:right="851" w:firstLine="709"/>
        <w:jc w:val="both"/>
        <w:rPr>
          <w:iCs/>
          <w:spacing w:val="-3"/>
          <w:sz w:val="22"/>
          <w:szCs w:val="22"/>
        </w:rPr>
      </w:pPr>
      <w:r w:rsidRPr="00990FB6">
        <w:rPr>
          <w:iCs/>
          <w:spacing w:val="-3"/>
          <w:sz w:val="22"/>
          <w:szCs w:val="22"/>
        </w:rPr>
        <w:t>Considerando que el inicio de la proyección de presupuesto plurianual institucional se define para el mes de setiembre según la propuesta del “</w:t>
      </w:r>
      <w:r w:rsidRPr="00990FB6">
        <w:rPr>
          <w:i/>
          <w:spacing w:val="-3"/>
          <w:sz w:val="22"/>
          <w:szCs w:val="22"/>
        </w:rPr>
        <w:t>Cronograma de Actividades Previas Presupuesto 2024</w:t>
      </w:r>
      <w:r w:rsidRPr="00990FB6">
        <w:rPr>
          <w:iCs/>
          <w:spacing w:val="-3"/>
          <w:sz w:val="22"/>
          <w:szCs w:val="22"/>
        </w:rPr>
        <w:t>”, se procederá a poner en conocimiento de todos los involucrados con el fin de dar cumplimiento a las actividades según las fechas establecidas. De seguido se exponen las consideraciones generales que fueron tomadas en cuenta para la elaboración del cronograma.</w:t>
      </w:r>
    </w:p>
    <w:p w14:paraId="0F548BBB" w14:textId="77777777" w:rsidR="00B15F7D" w:rsidRPr="00990FB6" w:rsidRDefault="00B15F7D" w:rsidP="00B15F7D">
      <w:pPr>
        <w:keepNext/>
        <w:numPr>
          <w:ilvl w:val="0"/>
          <w:numId w:val="104"/>
        </w:numPr>
        <w:tabs>
          <w:tab w:val="num" w:pos="720"/>
        </w:tabs>
        <w:ind w:left="851" w:right="851" w:firstLine="709"/>
        <w:jc w:val="both"/>
        <w:rPr>
          <w:iCs/>
          <w:spacing w:val="-3"/>
          <w:sz w:val="22"/>
          <w:szCs w:val="22"/>
        </w:rPr>
      </w:pPr>
      <w:bookmarkStart w:id="4" w:name="_Toc135990662"/>
      <w:r w:rsidRPr="00990FB6">
        <w:rPr>
          <w:b/>
          <w:bCs/>
          <w:kern w:val="1"/>
          <w:sz w:val="22"/>
          <w:szCs w:val="22"/>
          <w:u w:val="single"/>
        </w:rPr>
        <w:t>Consideraciones en el proceso de proyección plurianual del presupuesto institucional correspondiente al periodo 2024</w:t>
      </w:r>
      <w:bookmarkEnd w:id="4"/>
    </w:p>
    <w:p w14:paraId="39812B86" w14:textId="77777777" w:rsidR="00B15F7D" w:rsidRPr="00990FB6" w:rsidRDefault="00B15F7D" w:rsidP="00B15F7D">
      <w:pPr>
        <w:keepNext/>
        <w:numPr>
          <w:ilvl w:val="1"/>
          <w:numId w:val="104"/>
        </w:numPr>
        <w:tabs>
          <w:tab w:val="num" w:pos="1440"/>
        </w:tabs>
        <w:ind w:left="851" w:right="851" w:firstLine="709"/>
        <w:jc w:val="both"/>
        <w:rPr>
          <w:b/>
          <w:bCs/>
          <w:i/>
          <w:iCs/>
          <w:sz w:val="22"/>
          <w:szCs w:val="22"/>
          <w:u w:val="single"/>
        </w:rPr>
      </w:pPr>
      <w:r w:rsidRPr="00990FB6">
        <w:rPr>
          <w:b/>
          <w:bCs/>
          <w:sz w:val="22"/>
          <w:szCs w:val="22"/>
          <w:u w:val="single"/>
        </w:rPr>
        <w:t xml:space="preserve"> </w:t>
      </w:r>
      <w:bookmarkStart w:id="5" w:name="_Toc135990663"/>
      <w:r w:rsidRPr="00990FB6">
        <w:rPr>
          <w:b/>
          <w:bCs/>
          <w:sz w:val="22"/>
          <w:szCs w:val="22"/>
          <w:u w:val="single"/>
        </w:rPr>
        <w:t>Mandato Constitucional</w:t>
      </w:r>
      <w:bookmarkEnd w:id="5"/>
    </w:p>
    <w:p w14:paraId="2B6F7C10" w14:textId="77777777" w:rsidR="00B15F7D" w:rsidRPr="00990FB6" w:rsidRDefault="00B15F7D" w:rsidP="00B15F7D">
      <w:pPr>
        <w:ind w:left="851" w:right="851" w:firstLine="709"/>
        <w:jc w:val="both"/>
        <w:rPr>
          <w:iCs/>
          <w:spacing w:val="-3"/>
          <w:sz w:val="22"/>
          <w:szCs w:val="22"/>
        </w:rPr>
      </w:pPr>
      <w:r w:rsidRPr="00990FB6">
        <w:rPr>
          <w:iCs/>
          <w:spacing w:val="-3"/>
          <w:sz w:val="22"/>
          <w:szCs w:val="22"/>
        </w:rPr>
        <w:t xml:space="preserve">Se reitera que, la Ley 9696 </w:t>
      </w:r>
      <w:r w:rsidRPr="00990FB6">
        <w:rPr>
          <w:i/>
          <w:spacing w:val="-3"/>
          <w:sz w:val="22"/>
          <w:szCs w:val="22"/>
        </w:rPr>
        <w:t xml:space="preserve">“Adición de un Párrafo Primero y Reforma del Tercer Párrafo del Artículo 176 de la Constitución Política de la República de Costa Rica (Principios de Sostenibilidad Fiscal y </w:t>
      </w:r>
      <w:proofErr w:type="spellStart"/>
      <w:r w:rsidRPr="00990FB6">
        <w:rPr>
          <w:i/>
          <w:spacing w:val="-3"/>
          <w:sz w:val="22"/>
          <w:szCs w:val="22"/>
        </w:rPr>
        <w:t>Plurianualidad</w:t>
      </w:r>
      <w:proofErr w:type="spellEnd"/>
      <w:r w:rsidRPr="00990FB6">
        <w:rPr>
          <w:i/>
          <w:spacing w:val="-3"/>
          <w:sz w:val="22"/>
          <w:szCs w:val="22"/>
        </w:rPr>
        <w:t>)”</w:t>
      </w:r>
      <w:r w:rsidRPr="00990FB6">
        <w:rPr>
          <w:iCs/>
          <w:spacing w:val="-3"/>
          <w:sz w:val="22"/>
          <w:szCs w:val="22"/>
        </w:rPr>
        <w:t>, establece que:</w:t>
      </w:r>
    </w:p>
    <w:p w14:paraId="6EF7371E" w14:textId="77777777" w:rsidR="00B15F7D" w:rsidRPr="00990FB6" w:rsidRDefault="00B15F7D" w:rsidP="00B15F7D">
      <w:pPr>
        <w:ind w:left="851" w:right="851" w:firstLine="709"/>
        <w:jc w:val="both"/>
        <w:rPr>
          <w:iCs/>
          <w:spacing w:val="-3"/>
          <w:sz w:val="22"/>
          <w:szCs w:val="22"/>
        </w:rPr>
      </w:pPr>
    </w:p>
    <w:p w14:paraId="1D0A7AC7" w14:textId="77777777" w:rsidR="00B15F7D" w:rsidRPr="00990FB6" w:rsidRDefault="00B15F7D" w:rsidP="00B15F7D">
      <w:pPr>
        <w:shd w:val="clear" w:color="auto" w:fill="FFFFFF"/>
        <w:ind w:left="851" w:right="851" w:firstLine="709"/>
        <w:jc w:val="both"/>
        <w:rPr>
          <w:i/>
          <w:iCs/>
          <w:color w:val="353535"/>
          <w:sz w:val="22"/>
          <w:szCs w:val="22"/>
          <w:lang w:eastAsia="es-CR"/>
        </w:rPr>
      </w:pPr>
      <w:r w:rsidRPr="00990FB6">
        <w:rPr>
          <w:i/>
          <w:iCs/>
          <w:color w:val="353535"/>
          <w:sz w:val="22"/>
          <w:szCs w:val="22"/>
          <w:lang w:eastAsia="es-CR"/>
        </w:rPr>
        <w:t xml:space="preserve">“Artículo 176- La gestión pública se conducirá de forma sostenible, transparente y responsable, la cual se basará en un </w:t>
      </w:r>
      <w:proofErr w:type="spellStart"/>
      <w:r w:rsidRPr="00990FB6">
        <w:rPr>
          <w:i/>
          <w:iCs/>
          <w:color w:val="353535"/>
          <w:sz w:val="22"/>
          <w:szCs w:val="22"/>
          <w:lang w:eastAsia="es-CR"/>
        </w:rPr>
        <w:t>co</w:t>
      </w:r>
      <w:proofErr w:type="spellEnd"/>
      <w:r w:rsidRPr="00990FB6">
        <w:rPr>
          <w:i/>
          <w:iCs/>
          <w:color w:val="353535"/>
          <w:sz w:val="22"/>
          <w:szCs w:val="22"/>
          <w:lang w:eastAsia="es-CR"/>
        </w:rPr>
        <w:t xml:space="preserve"> de presupuestación plurianual, en procura de la continuidad de los servicios que presta.</w:t>
      </w:r>
    </w:p>
    <w:p w14:paraId="3614E7F4" w14:textId="77777777" w:rsidR="00B15F7D" w:rsidRPr="00990FB6" w:rsidRDefault="00B15F7D" w:rsidP="00B15F7D">
      <w:pPr>
        <w:shd w:val="clear" w:color="auto" w:fill="FFFFFF"/>
        <w:ind w:left="851" w:right="851" w:firstLine="709"/>
        <w:jc w:val="both"/>
        <w:rPr>
          <w:color w:val="353535"/>
          <w:sz w:val="22"/>
          <w:szCs w:val="22"/>
          <w:lang w:eastAsia="es-CR"/>
        </w:rPr>
      </w:pPr>
    </w:p>
    <w:p w14:paraId="5B13564D" w14:textId="77777777" w:rsidR="00B15F7D" w:rsidRPr="00990FB6" w:rsidRDefault="00B15F7D" w:rsidP="00B15F7D">
      <w:pPr>
        <w:shd w:val="clear" w:color="auto" w:fill="FFFFFF"/>
        <w:ind w:left="851" w:right="851" w:firstLine="709"/>
        <w:jc w:val="both"/>
        <w:rPr>
          <w:i/>
          <w:iCs/>
          <w:color w:val="353535"/>
          <w:sz w:val="22"/>
          <w:szCs w:val="22"/>
          <w:lang w:eastAsia="es-CR"/>
        </w:rPr>
      </w:pPr>
      <w:r w:rsidRPr="00990FB6">
        <w:rPr>
          <w:i/>
          <w:iCs/>
          <w:color w:val="353535"/>
          <w:sz w:val="22"/>
          <w:szCs w:val="22"/>
          <w:lang w:eastAsia="es-CR"/>
        </w:rPr>
        <w:t>El presupuesto ordinario de la República comprende todos los ingresos probables y todos los gastos autorizados de la Administración Pública, durante todo el año económico. En ningún caso, el monto de los gastos presupuestos podrá exceder el de los ingresos probables.</w:t>
      </w:r>
    </w:p>
    <w:p w14:paraId="0FE2BFF0" w14:textId="77777777" w:rsidR="00B15F7D" w:rsidRPr="00990FB6" w:rsidRDefault="00B15F7D" w:rsidP="00B15F7D">
      <w:pPr>
        <w:shd w:val="clear" w:color="auto" w:fill="FFFFFF"/>
        <w:ind w:left="851" w:right="851" w:firstLine="709"/>
        <w:jc w:val="both"/>
        <w:rPr>
          <w:color w:val="353535"/>
          <w:sz w:val="22"/>
          <w:szCs w:val="22"/>
          <w:lang w:eastAsia="es-CR"/>
        </w:rPr>
      </w:pPr>
    </w:p>
    <w:p w14:paraId="08EA0640" w14:textId="77777777" w:rsidR="00B15F7D" w:rsidRPr="00990FB6" w:rsidRDefault="00B15F7D" w:rsidP="00B15F7D">
      <w:pPr>
        <w:shd w:val="clear" w:color="auto" w:fill="FFFFFF"/>
        <w:ind w:left="851" w:right="851" w:firstLine="709"/>
        <w:jc w:val="both"/>
        <w:rPr>
          <w:color w:val="353535"/>
          <w:sz w:val="22"/>
          <w:szCs w:val="22"/>
          <w:lang w:eastAsia="es-CR"/>
        </w:rPr>
      </w:pPr>
      <w:r w:rsidRPr="00990FB6">
        <w:rPr>
          <w:i/>
          <w:iCs/>
          <w:color w:val="353535"/>
          <w:sz w:val="22"/>
          <w:szCs w:val="22"/>
          <w:lang w:eastAsia="es-CR"/>
        </w:rPr>
        <w:t>La Administración Pública, en sentido amplio, observará las reglas anteriores para dictar sus presupuestos.</w:t>
      </w:r>
    </w:p>
    <w:p w14:paraId="14FE713C" w14:textId="77777777" w:rsidR="00B15F7D" w:rsidRPr="00990FB6" w:rsidRDefault="00B15F7D" w:rsidP="00B15F7D">
      <w:pPr>
        <w:shd w:val="clear" w:color="auto" w:fill="FFFFFF"/>
        <w:ind w:left="851" w:right="851" w:firstLine="709"/>
        <w:jc w:val="both"/>
        <w:rPr>
          <w:i/>
          <w:iCs/>
          <w:color w:val="353535"/>
          <w:sz w:val="22"/>
          <w:szCs w:val="22"/>
          <w:lang w:eastAsia="es-CR"/>
        </w:rPr>
      </w:pPr>
    </w:p>
    <w:p w14:paraId="004AD62E" w14:textId="77777777" w:rsidR="00B15F7D" w:rsidRPr="00990FB6" w:rsidRDefault="00B15F7D" w:rsidP="00B15F7D">
      <w:pPr>
        <w:shd w:val="clear" w:color="auto" w:fill="FFFFFF"/>
        <w:ind w:left="851" w:right="851" w:firstLine="709"/>
        <w:jc w:val="both"/>
        <w:rPr>
          <w:i/>
          <w:iCs/>
          <w:color w:val="353535"/>
          <w:sz w:val="22"/>
          <w:szCs w:val="22"/>
          <w:lang w:eastAsia="es-CR"/>
        </w:rPr>
      </w:pPr>
      <w:r w:rsidRPr="00990FB6">
        <w:rPr>
          <w:i/>
          <w:iCs/>
          <w:color w:val="353535"/>
          <w:sz w:val="22"/>
          <w:szCs w:val="22"/>
          <w:lang w:eastAsia="es-CR"/>
        </w:rPr>
        <w:t>El presupuesto de la República se emitirá para el término de un año, del primero de enero al treinta y uno de diciembre.”.</w:t>
      </w:r>
    </w:p>
    <w:p w14:paraId="52074BD9" w14:textId="77777777" w:rsidR="00B15F7D" w:rsidRPr="00990FB6" w:rsidRDefault="00B15F7D" w:rsidP="00B15F7D">
      <w:pPr>
        <w:shd w:val="clear" w:color="auto" w:fill="FFFFFF"/>
        <w:ind w:left="851" w:right="851" w:firstLine="709"/>
        <w:jc w:val="both"/>
        <w:rPr>
          <w:color w:val="353535"/>
          <w:sz w:val="22"/>
          <w:szCs w:val="22"/>
          <w:lang w:eastAsia="es-CR"/>
        </w:rPr>
      </w:pPr>
    </w:p>
    <w:p w14:paraId="7CF592F4" w14:textId="77777777" w:rsidR="00B15F7D" w:rsidRPr="00990FB6" w:rsidRDefault="00B15F7D" w:rsidP="00B15F7D">
      <w:pPr>
        <w:ind w:left="851" w:right="851" w:firstLine="709"/>
        <w:jc w:val="both"/>
        <w:rPr>
          <w:iCs/>
          <w:spacing w:val="-3"/>
          <w:sz w:val="22"/>
          <w:szCs w:val="22"/>
        </w:rPr>
      </w:pPr>
      <w:r w:rsidRPr="00990FB6">
        <w:rPr>
          <w:iCs/>
          <w:spacing w:val="-3"/>
          <w:sz w:val="22"/>
          <w:szCs w:val="22"/>
        </w:rPr>
        <w:t xml:space="preserve">Por lo anterior, se acentúa el rango constitucional de los principios de sostenibilidad de los servicios públicos y de presupuestación plurianual, siendo de acatamiento normativo obligatorio para las instituciones públicas. Así las cosas, con el objetivo de dar cumplimiento con ese mandato constitucional, desde el 2020 se incorporó al portafolio institucional el proyecto estratégico relacionado con el Modelo de Gestión </w:t>
      </w:r>
      <w:r w:rsidRPr="00990FB6">
        <w:rPr>
          <w:iCs/>
          <w:spacing w:val="-3"/>
          <w:sz w:val="22"/>
          <w:szCs w:val="22"/>
        </w:rPr>
        <w:lastRenderedPageBreak/>
        <w:t>de Presupuestos Plurianuales en el cual, se contempla el desarrollo del Sistema de Proyección Plurianual como uno de sus principales entregables y el cual ya tiene dos años de estar incorporado y utilizarse en el proceso presupuestario siendo que para este ejercicio del Anteproyecto de Presupuesto Institucional 2024 representa el tercer periodo en que este sistema forma parte del proceso.</w:t>
      </w:r>
    </w:p>
    <w:p w14:paraId="7413A208" w14:textId="77777777" w:rsidR="00B15F7D" w:rsidRPr="00990FB6" w:rsidRDefault="00B15F7D" w:rsidP="00B15F7D">
      <w:pPr>
        <w:ind w:left="851" w:right="851" w:firstLine="709"/>
        <w:jc w:val="both"/>
        <w:rPr>
          <w:iCs/>
          <w:spacing w:val="-3"/>
          <w:sz w:val="22"/>
          <w:szCs w:val="22"/>
        </w:rPr>
      </w:pPr>
    </w:p>
    <w:p w14:paraId="303C15CD" w14:textId="77777777" w:rsidR="00B15F7D" w:rsidRPr="00990FB6" w:rsidRDefault="00B15F7D" w:rsidP="00B15F7D">
      <w:pPr>
        <w:ind w:left="851" w:right="851" w:firstLine="709"/>
        <w:jc w:val="both"/>
        <w:rPr>
          <w:iCs/>
          <w:spacing w:val="-3"/>
          <w:sz w:val="22"/>
          <w:szCs w:val="22"/>
        </w:rPr>
      </w:pPr>
      <w:r w:rsidRPr="00990FB6">
        <w:rPr>
          <w:iCs/>
          <w:spacing w:val="-3"/>
          <w:sz w:val="22"/>
          <w:szCs w:val="22"/>
        </w:rPr>
        <w:t>El Sistema de Proyección Plurianual permite realizar las estimaciones de todos los proyectos estratégicos que se encuentran incorporados dentro del Portafolio de Proyectos Institucional y que tienen el estado de “En progreso” o “Aprobado – No Iniciado”.</w:t>
      </w:r>
    </w:p>
    <w:p w14:paraId="0C1D2DEC" w14:textId="77777777" w:rsidR="00B15F7D" w:rsidRPr="00990FB6" w:rsidRDefault="00B15F7D" w:rsidP="00B15F7D">
      <w:pPr>
        <w:ind w:left="851" w:right="851" w:firstLine="709"/>
        <w:jc w:val="both"/>
        <w:rPr>
          <w:iCs/>
          <w:spacing w:val="-3"/>
          <w:sz w:val="22"/>
          <w:szCs w:val="22"/>
        </w:rPr>
      </w:pPr>
    </w:p>
    <w:p w14:paraId="56775F0B" w14:textId="77777777" w:rsidR="00B15F7D" w:rsidRPr="00990FB6" w:rsidRDefault="00B15F7D" w:rsidP="00B15F7D">
      <w:pPr>
        <w:ind w:left="851" w:right="851" w:firstLine="709"/>
        <w:jc w:val="both"/>
        <w:rPr>
          <w:iCs/>
          <w:spacing w:val="-3"/>
          <w:sz w:val="22"/>
          <w:szCs w:val="22"/>
        </w:rPr>
      </w:pPr>
      <w:r w:rsidRPr="00990FB6">
        <w:rPr>
          <w:iCs/>
          <w:spacing w:val="-3"/>
          <w:sz w:val="22"/>
          <w:szCs w:val="22"/>
        </w:rPr>
        <w:t>Actualmente, pueden realizarse las proyecciones de presupuesto plurianual de los recursos relacionados con las áreas presupuestarias, demás gasto variable que no esté relacionado con las áreas y, como elemento nuevo y relevante, el recurso humano asociado a las iniciativas que conforman el Portafolio de Proyectos Institucional.</w:t>
      </w:r>
    </w:p>
    <w:p w14:paraId="3C861E8F" w14:textId="77777777" w:rsidR="00B15F7D" w:rsidRPr="00990FB6" w:rsidRDefault="00B15F7D" w:rsidP="00B15F7D">
      <w:pPr>
        <w:ind w:left="851" w:right="851" w:firstLine="709"/>
        <w:jc w:val="both"/>
        <w:rPr>
          <w:iCs/>
          <w:spacing w:val="-3"/>
          <w:sz w:val="22"/>
          <w:szCs w:val="22"/>
        </w:rPr>
      </w:pPr>
    </w:p>
    <w:p w14:paraId="004F2D91" w14:textId="77777777" w:rsidR="00B15F7D" w:rsidRPr="00990FB6" w:rsidRDefault="00B15F7D" w:rsidP="00B15F7D">
      <w:pPr>
        <w:keepNext/>
        <w:numPr>
          <w:ilvl w:val="1"/>
          <w:numId w:val="104"/>
        </w:numPr>
        <w:tabs>
          <w:tab w:val="num" w:pos="1440"/>
        </w:tabs>
        <w:ind w:left="851" w:right="851" w:firstLine="709"/>
        <w:jc w:val="both"/>
        <w:rPr>
          <w:b/>
          <w:bCs/>
          <w:i/>
          <w:iCs/>
          <w:sz w:val="22"/>
          <w:szCs w:val="22"/>
          <w:u w:val="single"/>
        </w:rPr>
      </w:pPr>
      <w:r w:rsidRPr="00990FB6">
        <w:rPr>
          <w:b/>
          <w:bCs/>
          <w:sz w:val="22"/>
          <w:szCs w:val="22"/>
          <w:u w:val="single"/>
        </w:rPr>
        <w:t xml:space="preserve"> </w:t>
      </w:r>
      <w:bookmarkStart w:id="6" w:name="_Toc135990664"/>
      <w:r w:rsidRPr="00990FB6">
        <w:rPr>
          <w:b/>
          <w:bCs/>
          <w:sz w:val="22"/>
          <w:szCs w:val="22"/>
          <w:u w:val="single"/>
        </w:rPr>
        <w:t>Seguimiento de los recursos ejecutados relacionados con proyectos estratégicos</w:t>
      </w:r>
      <w:bookmarkEnd w:id="6"/>
    </w:p>
    <w:p w14:paraId="7893D071" w14:textId="77777777" w:rsidR="00B15F7D" w:rsidRPr="00990FB6" w:rsidRDefault="00B15F7D" w:rsidP="00B15F7D">
      <w:pPr>
        <w:ind w:left="851" w:right="851" w:firstLine="709"/>
        <w:jc w:val="both"/>
        <w:rPr>
          <w:iCs/>
          <w:spacing w:val="-3"/>
          <w:sz w:val="22"/>
          <w:szCs w:val="22"/>
        </w:rPr>
      </w:pPr>
    </w:p>
    <w:p w14:paraId="59B064CE" w14:textId="77777777" w:rsidR="00B15F7D" w:rsidRPr="00990FB6" w:rsidRDefault="00B15F7D" w:rsidP="00B15F7D">
      <w:pPr>
        <w:ind w:left="851" w:right="851" w:firstLine="709"/>
        <w:jc w:val="both"/>
        <w:rPr>
          <w:sz w:val="22"/>
          <w:szCs w:val="22"/>
        </w:rPr>
      </w:pPr>
      <w:r w:rsidRPr="00990FB6">
        <w:rPr>
          <w:sz w:val="22"/>
          <w:szCs w:val="22"/>
        </w:rPr>
        <w:t>El Consejo Superior del Poder Judicial, en sesión 72-2021 celebrada el 24 de agosto de 2021, artículo XXVIII, acordó:</w:t>
      </w:r>
    </w:p>
    <w:p w14:paraId="5F180E52" w14:textId="77777777" w:rsidR="00B15F7D" w:rsidRPr="00990FB6" w:rsidRDefault="00B15F7D" w:rsidP="00B15F7D">
      <w:pPr>
        <w:ind w:left="851" w:right="851" w:firstLine="709"/>
        <w:jc w:val="both"/>
        <w:rPr>
          <w:sz w:val="22"/>
          <w:szCs w:val="22"/>
        </w:rPr>
      </w:pPr>
    </w:p>
    <w:p w14:paraId="38EA57AD" w14:textId="77777777" w:rsidR="00B15F7D" w:rsidRPr="00990FB6" w:rsidRDefault="00B15F7D" w:rsidP="00B15F7D">
      <w:pPr>
        <w:ind w:left="851" w:right="851" w:firstLine="709"/>
        <w:jc w:val="both"/>
        <w:rPr>
          <w:i/>
          <w:iCs/>
          <w:sz w:val="22"/>
          <w:szCs w:val="22"/>
        </w:rPr>
      </w:pPr>
      <w:r w:rsidRPr="00990FB6">
        <w:rPr>
          <w:i/>
          <w:iCs/>
          <w:sz w:val="22"/>
          <w:szCs w:val="22"/>
        </w:rPr>
        <w:t xml:space="preserve">“1.) Tener por recibido el oficio </w:t>
      </w:r>
      <w:proofErr w:type="spellStart"/>
      <w:r w:rsidRPr="00990FB6">
        <w:rPr>
          <w:i/>
          <w:iCs/>
          <w:sz w:val="22"/>
          <w:szCs w:val="22"/>
        </w:rPr>
        <w:t>N°</w:t>
      </w:r>
      <w:proofErr w:type="spellEnd"/>
      <w:r w:rsidRPr="00990FB6">
        <w:rPr>
          <w:i/>
          <w:iCs/>
          <w:sz w:val="22"/>
          <w:szCs w:val="22"/>
        </w:rPr>
        <w:t xml:space="preserve"> 935-88-SAF-2021 del 9 de agosto del 2021, suscrito por el máster Roberth García González, Auditor General, dirigido a la máster Nacira Valverde Bermúdez, Directora de Dirección de Planificación y a la máster Kattia Morales Navarro, Directora de la Dirección de Tecnologías de Información. 2.) Remitir a la Auditoría Judicial el oficio N°971-PLA-2021 del 17 de agosto de 2021, suscrito por la licenciada Nacira Valverde Bermúdez, Directora de Planificación, para que valoren lo que estimen pertinente. 3.) La Dirección de Planificación tomará nota para los fines correspondientes.”.</w:t>
      </w:r>
    </w:p>
    <w:p w14:paraId="1132534E" w14:textId="77777777" w:rsidR="00B15F7D" w:rsidRPr="00990FB6" w:rsidRDefault="00B15F7D" w:rsidP="00B15F7D">
      <w:pPr>
        <w:ind w:left="851" w:right="851" w:firstLine="709"/>
        <w:jc w:val="both"/>
        <w:rPr>
          <w:sz w:val="22"/>
          <w:szCs w:val="22"/>
        </w:rPr>
      </w:pPr>
    </w:p>
    <w:p w14:paraId="52B28770" w14:textId="77777777" w:rsidR="00B15F7D" w:rsidRPr="00990FB6" w:rsidRDefault="00B15F7D" w:rsidP="00B15F7D">
      <w:pPr>
        <w:ind w:left="851" w:right="851" w:firstLine="709"/>
        <w:jc w:val="both"/>
        <w:rPr>
          <w:sz w:val="22"/>
          <w:szCs w:val="22"/>
        </w:rPr>
      </w:pPr>
      <w:r w:rsidRPr="00990FB6">
        <w:rPr>
          <w:sz w:val="22"/>
          <w:szCs w:val="22"/>
        </w:rPr>
        <w:t>Al respecto, en el oficio N°935-88-SAF-2021 de 9 de agosto de 2021, suscrito por el Máster Roberth García González, Director General de la Auditoría Interna, se realizaron las siguientes recomendaciones dirigidas a la Dirección de Planificación:</w:t>
      </w:r>
    </w:p>
    <w:p w14:paraId="2602C50E" w14:textId="77777777" w:rsidR="00B15F7D" w:rsidRPr="00990FB6" w:rsidRDefault="00B15F7D" w:rsidP="00B15F7D">
      <w:pPr>
        <w:ind w:left="851" w:right="851" w:firstLine="709"/>
        <w:jc w:val="both"/>
        <w:rPr>
          <w:sz w:val="22"/>
          <w:szCs w:val="22"/>
        </w:rPr>
      </w:pPr>
    </w:p>
    <w:p w14:paraId="534E7D1B" w14:textId="77777777" w:rsidR="00B15F7D" w:rsidRPr="00990FB6" w:rsidRDefault="00B15F7D" w:rsidP="00B15F7D">
      <w:pPr>
        <w:ind w:left="851" w:right="851" w:firstLine="709"/>
        <w:jc w:val="both"/>
        <w:rPr>
          <w:b/>
          <w:bCs/>
          <w:i/>
          <w:iCs/>
          <w:sz w:val="22"/>
          <w:szCs w:val="22"/>
        </w:rPr>
      </w:pPr>
      <w:r w:rsidRPr="00990FB6">
        <w:rPr>
          <w:b/>
          <w:bCs/>
          <w:i/>
          <w:iCs/>
          <w:sz w:val="22"/>
          <w:szCs w:val="22"/>
        </w:rPr>
        <w:t xml:space="preserve">“A la Jefatura de la Dirección de Planificación </w:t>
      </w:r>
    </w:p>
    <w:p w14:paraId="0522588B" w14:textId="77777777" w:rsidR="00B15F7D" w:rsidRPr="00990FB6" w:rsidRDefault="00B15F7D" w:rsidP="00B15F7D">
      <w:pPr>
        <w:ind w:left="851" w:right="851" w:firstLine="709"/>
        <w:jc w:val="both"/>
        <w:rPr>
          <w:i/>
          <w:iCs/>
          <w:sz w:val="22"/>
          <w:szCs w:val="22"/>
        </w:rPr>
      </w:pPr>
      <w:r w:rsidRPr="00990FB6">
        <w:rPr>
          <w:i/>
          <w:iCs/>
          <w:sz w:val="22"/>
          <w:szCs w:val="22"/>
        </w:rPr>
        <w:t xml:space="preserve"> </w:t>
      </w:r>
    </w:p>
    <w:p w14:paraId="11AB76E9" w14:textId="77777777" w:rsidR="00B15F7D" w:rsidRPr="00990FB6" w:rsidRDefault="00B15F7D" w:rsidP="00B15F7D">
      <w:pPr>
        <w:ind w:left="851" w:right="851" w:firstLine="709"/>
        <w:jc w:val="both"/>
        <w:rPr>
          <w:i/>
          <w:iCs/>
          <w:sz w:val="22"/>
          <w:szCs w:val="22"/>
        </w:rPr>
      </w:pPr>
      <w:r w:rsidRPr="00990FB6">
        <w:rPr>
          <w:i/>
          <w:iCs/>
          <w:sz w:val="22"/>
          <w:szCs w:val="22"/>
        </w:rPr>
        <w:t>5.2.       Remitir a esta Auditoría la evidencia sobre la implementación de la funcionalidad que permitirá observar los datos de los recursos económicos formulados y ejecutados de los proyectos, del Sistema de Proyección Plurianual, con el fin de fortalecer la gestión institucional y rendición de cuentas.”.</w:t>
      </w:r>
    </w:p>
    <w:p w14:paraId="79FD74C6" w14:textId="77777777" w:rsidR="00B15F7D" w:rsidRPr="00990FB6" w:rsidRDefault="00B15F7D" w:rsidP="00B15F7D">
      <w:pPr>
        <w:ind w:left="851" w:right="851" w:firstLine="709"/>
        <w:jc w:val="both"/>
        <w:rPr>
          <w:iCs/>
          <w:spacing w:val="-3"/>
          <w:sz w:val="22"/>
          <w:szCs w:val="22"/>
        </w:rPr>
      </w:pPr>
    </w:p>
    <w:p w14:paraId="0B75CF9C" w14:textId="77777777" w:rsidR="00B15F7D" w:rsidRPr="00990FB6" w:rsidRDefault="00B15F7D" w:rsidP="00B15F7D">
      <w:pPr>
        <w:ind w:left="851" w:right="851" w:firstLine="709"/>
        <w:jc w:val="both"/>
        <w:rPr>
          <w:iCs/>
          <w:spacing w:val="-3"/>
          <w:sz w:val="22"/>
          <w:szCs w:val="22"/>
        </w:rPr>
      </w:pPr>
      <w:r w:rsidRPr="00990FB6">
        <w:rPr>
          <w:iCs/>
          <w:spacing w:val="-3"/>
          <w:sz w:val="22"/>
          <w:szCs w:val="22"/>
        </w:rPr>
        <w:t>Considerando lo sugerido por la Auditoría Judicial, se establece que, en cada ejercicio de presupuestación plurianual institucional, las personas líderes de proyectos deben hacer la proyección de los recursos para cada año cuyo estado se muestre como “</w:t>
      </w:r>
      <w:r w:rsidRPr="00990FB6">
        <w:rPr>
          <w:i/>
          <w:spacing w:val="-3"/>
          <w:sz w:val="22"/>
          <w:szCs w:val="22"/>
        </w:rPr>
        <w:t>Proyectado</w:t>
      </w:r>
      <w:r w:rsidRPr="00990FB6">
        <w:rPr>
          <w:iCs/>
          <w:spacing w:val="-3"/>
          <w:sz w:val="22"/>
          <w:szCs w:val="22"/>
        </w:rPr>
        <w:t xml:space="preserve">” </w:t>
      </w:r>
      <w:r w:rsidRPr="00990FB6">
        <w:rPr>
          <w:b/>
          <w:bCs/>
          <w:iCs/>
          <w:spacing w:val="-3"/>
          <w:sz w:val="22"/>
          <w:szCs w:val="22"/>
        </w:rPr>
        <w:t>y hacer la actualización de los recursos del periodo en estado “</w:t>
      </w:r>
      <w:r w:rsidRPr="00990FB6">
        <w:rPr>
          <w:b/>
          <w:bCs/>
          <w:i/>
          <w:spacing w:val="-3"/>
          <w:sz w:val="22"/>
          <w:szCs w:val="22"/>
        </w:rPr>
        <w:t xml:space="preserve">En </w:t>
      </w:r>
      <w:r w:rsidRPr="00990FB6">
        <w:rPr>
          <w:b/>
          <w:bCs/>
          <w:i/>
          <w:spacing w:val="-3"/>
          <w:sz w:val="22"/>
          <w:szCs w:val="22"/>
        </w:rPr>
        <w:lastRenderedPageBreak/>
        <w:t>ejecución</w:t>
      </w:r>
      <w:r w:rsidRPr="00990FB6">
        <w:rPr>
          <w:b/>
          <w:bCs/>
          <w:iCs/>
          <w:spacing w:val="-3"/>
          <w:sz w:val="22"/>
          <w:szCs w:val="22"/>
        </w:rPr>
        <w:t>”</w:t>
      </w:r>
      <w:r w:rsidRPr="00990FB6">
        <w:rPr>
          <w:iCs/>
          <w:spacing w:val="-3"/>
          <w:sz w:val="22"/>
          <w:szCs w:val="22"/>
        </w:rPr>
        <w:t>. Así las cosas, el seguimiento de los recursos ejecutados de los proyectos se realiza en el Sistema de Proyección Plurianual, mientras que actualmente se encuentra en coordinación de la Dirección Ejecutiva y la Dirección de Planificación el desarrollo de funcionalidades en el SIGA-PJ y el Sistema de Proyección Plurianual, que permitirá realizar este proceso de manera automatizada.</w:t>
      </w:r>
    </w:p>
    <w:p w14:paraId="41AA5AEE" w14:textId="77777777" w:rsidR="00B15F7D" w:rsidRPr="00990FB6" w:rsidRDefault="00B15F7D" w:rsidP="00B15F7D">
      <w:pPr>
        <w:ind w:left="851" w:right="851" w:firstLine="709"/>
        <w:jc w:val="both"/>
        <w:rPr>
          <w:iCs/>
          <w:spacing w:val="-3"/>
          <w:sz w:val="22"/>
          <w:szCs w:val="22"/>
        </w:rPr>
      </w:pPr>
    </w:p>
    <w:p w14:paraId="3F6F2C56" w14:textId="77777777" w:rsidR="00B15F7D" w:rsidRPr="00990FB6" w:rsidRDefault="00B15F7D" w:rsidP="00B15F7D">
      <w:pPr>
        <w:keepNext/>
        <w:numPr>
          <w:ilvl w:val="1"/>
          <w:numId w:val="104"/>
        </w:numPr>
        <w:tabs>
          <w:tab w:val="num" w:pos="1440"/>
        </w:tabs>
        <w:ind w:left="851" w:right="851" w:firstLine="709"/>
        <w:jc w:val="both"/>
        <w:rPr>
          <w:b/>
          <w:bCs/>
          <w:iCs/>
          <w:sz w:val="22"/>
          <w:szCs w:val="22"/>
          <w:u w:val="single"/>
        </w:rPr>
      </w:pPr>
      <w:bookmarkStart w:id="7" w:name="_Toc135990665"/>
      <w:r w:rsidRPr="00990FB6">
        <w:rPr>
          <w:b/>
          <w:bCs/>
          <w:sz w:val="22"/>
          <w:szCs w:val="22"/>
          <w:u w:val="single"/>
        </w:rPr>
        <w:t>Incorporación de recurso humano de los proyectos estratégicos</w:t>
      </w:r>
      <w:bookmarkEnd w:id="7"/>
    </w:p>
    <w:p w14:paraId="2704AAD9" w14:textId="77777777" w:rsidR="00B15F7D" w:rsidRPr="00990FB6" w:rsidRDefault="00B15F7D" w:rsidP="00B15F7D">
      <w:pPr>
        <w:ind w:left="851" w:right="851" w:firstLine="709"/>
        <w:jc w:val="both"/>
        <w:rPr>
          <w:iCs/>
          <w:spacing w:val="-3"/>
          <w:sz w:val="22"/>
          <w:szCs w:val="22"/>
        </w:rPr>
      </w:pPr>
    </w:p>
    <w:p w14:paraId="791B04DF" w14:textId="77777777" w:rsidR="00B15F7D" w:rsidRPr="00990FB6" w:rsidRDefault="00B15F7D" w:rsidP="00B15F7D">
      <w:pPr>
        <w:ind w:left="851" w:right="851" w:firstLine="709"/>
        <w:jc w:val="both"/>
        <w:rPr>
          <w:iCs/>
          <w:spacing w:val="-3"/>
          <w:sz w:val="22"/>
          <w:szCs w:val="22"/>
        </w:rPr>
      </w:pPr>
      <w:r w:rsidRPr="00990FB6">
        <w:rPr>
          <w:iCs/>
          <w:spacing w:val="-3"/>
          <w:sz w:val="22"/>
          <w:szCs w:val="22"/>
        </w:rPr>
        <w:t>Dado el avance que ha tenido el proyecto relacionado con el Modelo de Gestión de Presupuesto Plurianual, en el cual se desarrolla el Sistema de Proyección Plurianual, se ha logrado hacer la programación de las pantallas relacionadas con la proyección del recurso humano que se requiere para el desarrollo de los diferentes proyectos estratégicos.</w:t>
      </w:r>
    </w:p>
    <w:p w14:paraId="1C96C823" w14:textId="77777777" w:rsidR="00B15F7D" w:rsidRPr="00990FB6" w:rsidRDefault="00B15F7D" w:rsidP="00B15F7D">
      <w:pPr>
        <w:ind w:left="851" w:right="851" w:firstLine="709"/>
        <w:jc w:val="both"/>
        <w:rPr>
          <w:iCs/>
          <w:spacing w:val="-3"/>
          <w:sz w:val="22"/>
          <w:szCs w:val="22"/>
        </w:rPr>
      </w:pPr>
    </w:p>
    <w:p w14:paraId="5F88BA8F" w14:textId="77777777" w:rsidR="00B15F7D" w:rsidRPr="00990FB6" w:rsidRDefault="00B15F7D" w:rsidP="00B15F7D">
      <w:pPr>
        <w:ind w:left="851" w:right="851" w:firstLine="709"/>
        <w:jc w:val="both"/>
        <w:rPr>
          <w:iCs/>
          <w:spacing w:val="-3"/>
          <w:sz w:val="22"/>
          <w:szCs w:val="22"/>
        </w:rPr>
      </w:pPr>
      <w:r w:rsidRPr="00990FB6">
        <w:rPr>
          <w:iCs/>
          <w:spacing w:val="-3"/>
          <w:sz w:val="22"/>
          <w:szCs w:val="22"/>
        </w:rPr>
        <w:t>Así las cosas, las oficinas responsables de proyectos estratégicos deberán tener presente para su inclusión la siguiente información relacionada con el registro de recurso humano en el sistema informático:</w:t>
      </w:r>
    </w:p>
    <w:p w14:paraId="1B69E39B" w14:textId="77777777" w:rsidR="00B15F7D" w:rsidRPr="00990FB6" w:rsidRDefault="00B15F7D" w:rsidP="00B15F7D">
      <w:pPr>
        <w:ind w:left="851" w:right="851" w:firstLine="709"/>
        <w:jc w:val="both"/>
        <w:rPr>
          <w:iCs/>
          <w:spacing w:val="-3"/>
          <w:sz w:val="22"/>
          <w:szCs w:val="22"/>
        </w:rPr>
      </w:pPr>
    </w:p>
    <w:p w14:paraId="484D7B1D" w14:textId="77777777" w:rsidR="00B15F7D" w:rsidRPr="00990FB6" w:rsidRDefault="00B15F7D" w:rsidP="00B15F7D">
      <w:pPr>
        <w:numPr>
          <w:ilvl w:val="0"/>
          <w:numId w:val="117"/>
        </w:numPr>
        <w:suppressAutoHyphens w:val="0"/>
        <w:ind w:left="851" w:right="851" w:firstLine="709"/>
        <w:jc w:val="both"/>
        <w:rPr>
          <w:iCs/>
          <w:spacing w:val="-3"/>
          <w:sz w:val="22"/>
          <w:szCs w:val="22"/>
        </w:rPr>
      </w:pPr>
      <w:r w:rsidRPr="00990FB6">
        <w:rPr>
          <w:iCs/>
          <w:spacing w:val="-3"/>
          <w:sz w:val="22"/>
          <w:szCs w:val="22"/>
        </w:rPr>
        <w:t>Tipo de recurso humano:</w:t>
      </w:r>
    </w:p>
    <w:p w14:paraId="5F78DE27" w14:textId="77777777" w:rsidR="00B15F7D" w:rsidRPr="00990FB6" w:rsidRDefault="00B15F7D" w:rsidP="00B15F7D">
      <w:pPr>
        <w:numPr>
          <w:ilvl w:val="1"/>
          <w:numId w:val="117"/>
        </w:numPr>
        <w:suppressAutoHyphens w:val="0"/>
        <w:ind w:left="851" w:right="851" w:firstLine="709"/>
        <w:jc w:val="both"/>
        <w:rPr>
          <w:iCs/>
          <w:spacing w:val="-3"/>
          <w:sz w:val="22"/>
          <w:szCs w:val="22"/>
        </w:rPr>
      </w:pPr>
      <w:r w:rsidRPr="00990FB6">
        <w:rPr>
          <w:iCs/>
          <w:spacing w:val="-3"/>
          <w:sz w:val="22"/>
          <w:szCs w:val="22"/>
        </w:rPr>
        <w:t>Ordinario: propio de la planilla del Poder Judicial, el cual dedica un periodo de su tiempo regular para el desarrollo del proyecto.</w:t>
      </w:r>
    </w:p>
    <w:p w14:paraId="3AEF571C" w14:textId="77777777" w:rsidR="00B15F7D" w:rsidRPr="00990FB6" w:rsidRDefault="00B15F7D" w:rsidP="00B15F7D">
      <w:pPr>
        <w:numPr>
          <w:ilvl w:val="1"/>
          <w:numId w:val="117"/>
        </w:numPr>
        <w:suppressAutoHyphens w:val="0"/>
        <w:ind w:left="851" w:right="851" w:firstLine="709"/>
        <w:jc w:val="both"/>
        <w:rPr>
          <w:iCs/>
          <w:spacing w:val="-3"/>
          <w:sz w:val="22"/>
          <w:szCs w:val="22"/>
        </w:rPr>
      </w:pPr>
      <w:r w:rsidRPr="00990FB6">
        <w:rPr>
          <w:iCs/>
          <w:spacing w:val="-3"/>
          <w:sz w:val="22"/>
          <w:szCs w:val="22"/>
        </w:rPr>
        <w:t>Permiso con goce de salario: asignación de recurso humano adicional mediante el artículo n°44 de la Ley Orgánica del Poder Judicial, este en particular debe estar relacionado a uno o varios proyectos estratégicos.</w:t>
      </w:r>
    </w:p>
    <w:p w14:paraId="0AED97F4" w14:textId="77777777" w:rsidR="00B15F7D" w:rsidRPr="00990FB6" w:rsidRDefault="00B15F7D" w:rsidP="00B15F7D">
      <w:pPr>
        <w:numPr>
          <w:ilvl w:val="0"/>
          <w:numId w:val="117"/>
        </w:numPr>
        <w:suppressAutoHyphens w:val="0"/>
        <w:ind w:left="851" w:right="851" w:firstLine="709"/>
        <w:jc w:val="both"/>
        <w:rPr>
          <w:iCs/>
          <w:spacing w:val="-3"/>
          <w:sz w:val="22"/>
          <w:szCs w:val="22"/>
        </w:rPr>
      </w:pPr>
      <w:r w:rsidRPr="00990FB6">
        <w:rPr>
          <w:iCs/>
          <w:spacing w:val="-3"/>
          <w:sz w:val="22"/>
          <w:szCs w:val="22"/>
        </w:rPr>
        <w:t>Tipo de puesto</w:t>
      </w:r>
    </w:p>
    <w:p w14:paraId="57EB29C1" w14:textId="77777777" w:rsidR="00B15F7D" w:rsidRPr="00990FB6" w:rsidRDefault="00B15F7D" w:rsidP="00B15F7D">
      <w:pPr>
        <w:numPr>
          <w:ilvl w:val="0"/>
          <w:numId w:val="117"/>
        </w:numPr>
        <w:suppressAutoHyphens w:val="0"/>
        <w:ind w:left="851" w:right="851" w:firstLine="709"/>
        <w:jc w:val="both"/>
        <w:rPr>
          <w:iCs/>
          <w:spacing w:val="-3"/>
          <w:sz w:val="22"/>
          <w:szCs w:val="22"/>
        </w:rPr>
      </w:pPr>
      <w:r w:rsidRPr="00990FB6">
        <w:rPr>
          <w:iCs/>
          <w:spacing w:val="-3"/>
          <w:sz w:val="22"/>
          <w:szCs w:val="22"/>
        </w:rPr>
        <w:t>Cantidad por tipo de puesto</w:t>
      </w:r>
    </w:p>
    <w:p w14:paraId="73ADC134" w14:textId="77777777" w:rsidR="00B15F7D" w:rsidRPr="00990FB6" w:rsidRDefault="00B15F7D" w:rsidP="00B15F7D">
      <w:pPr>
        <w:numPr>
          <w:ilvl w:val="0"/>
          <w:numId w:val="117"/>
        </w:numPr>
        <w:suppressAutoHyphens w:val="0"/>
        <w:ind w:left="851" w:right="851" w:firstLine="709"/>
        <w:jc w:val="both"/>
        <w:rPr>
          <w:iCs/>
          <w:spacing w:val="-3"/>
          <w:sz w:val="22"/>
          <w:szCs w:val="22"/>
        </w:rPr>
      </w:pPr>
      <w:r w:rsidRPr="00990FB6">
        <w:rPr>
          <w:iCs/>
          <w:spacing w:val="-3"/>
          <w:sz w:val="22"/>
          <w:szCs w:val="22"/>
        </w:rPr>
        <w:t>Número de plaza</w:t>
      </w:r>
    </w:p>
    <w:p w14:paraId="6BD9DDE6" w14:textId="77777777" w:rsidR="00B15F7D" w:rsidRPr="00990FB6" w:rsidRDefault="00B15F7D" w:rsidP="00B15F7D">
      <w:pPr>
        <w:numPr>
          <w:ilvl w:val="0"/>
          <w:numId w:val="117"/>
        </w:numPr>
        <w:suppressAutoHyphens w:val="0"/>
        <w:ind w:left="851" w:right="851" w:firstLine="709"/>
        <w:jc w:val="both"/>
        <w:rPr>
          <w:iCs/>
          <w:spacing w:val="-3"/>
          <w:sz w:val="22"/>
          <w:szCs w:val="22"/>
        </w:rPr>
      </w:pPr>
      <w:r w:rsidRPr="00990FB6">
        <w:rPr>
          <w:iCs/>
          <w:spacing w:val="-3"/>
          <w:sz w:val="22"/>
          <w:szCs w:val="22"/>
        </w:rPr>
        <w:t>Tiempo en que el recurso estará dedicado al proyecto</w:t>
      </w:r>
    </w:p>
    <w:p w14:paraId="2022C40E" w14:textId="77777777" w:rsidR="00B15F7D" w:rsidRPr="00990FB6" w:rsidRDefault="00B15F7D" w:rsidP="00B15F7D">
      <w:pPr>
        <w:numPr>
          <w:ilvl w:val="0"/>
          <w:numId w:val="117"/>
        </w:numPr>
        <w:suppressAutoHyphens w:val="0"/>
        <w:ind w:left="851" w:right="851" w:firstLine="709"/>
        <w:jc w:val="both"/>
        <w:rPr>
          <w:iCs/>
          <w:spacing w:val="-3"/>
          <w:sz w:val="22"/>
          <w:szCs w:val="22"/>
        </w:rPr>
      </w:pPr>
      <w:r w:rsidRPr="00990FB6">
        <w:rPr>
          <w:iCs/>
          <w:spacing w:val="-3"/>
          <w:sz w:val="22"/>
          <w:szCs w:val="22"/>
        </w:rPr>
        <w:t>Porcentaje de dedicación que tendrá el recurso humano para trabajar en el proyecto</w:t>
      </w:r>
    </w:p>
    <w:p w14:paraId="70C81E88" w14:textId="77777777" w:rsidR="00B15F7D" w:rsidRPr="00990FB6" w:rsidRDefault="00B15F7D" w:rsidP="00B15F7D">
      <w:pPr>
        <w:ind w:left="851" w:right="851" w:firstLine="709"/>
        <w:jc w:val="both"/>
        <w:rPr>
          <w:iCs/>
          <w:spacing w:val="-3"/>
          <w:sz w:val="22"/>
          <w:szCs w:val="22"/>
        </w:rPr>
      </w:pPr>
    </w:p>
    <w:p w14:paraId="48483241" w14:textId="77777777" w:rsidR="00B15F7D" w:rsidRPr="00990FB6" w:rsidRDefault="00B15F7D" w:rsidP="00B15F7D">
      <w:pPr>
        <w:keepNext/>
        <w:numPr>
          <w:ilvl w:val="0"/>
          <w:numId w:val="104"/>
        </w:numPr>
        <w:tabs>
          <w:tab w:val="num" w:pos="720"/>
        </w:tabs>
        <w:ind w:left="851" w:right="851" w:firstLine="709"/>
        <w:jc w:val="both"/>
        <w:rPr>
          <w:b/>
          <w:bCs/>
          <w:i/>
          <w:iCs/>
          <w:sz w:val="22"/>
          <w:szCs w:val="22"/>
          <w:u w:val="single"/>
        </w:rPr>
      </w:pPr>
      <w:bookmarkStart w:id="8" w:name="_Toc135990666"/>
      <w:r w:rsidRPr="00990FB6">
        <w:rPr>
          <w:b/>
          <w:bCs/>
          <w:sz w:val="22"/>
          <w:szCs w:val="22"/>
          <w:u w:val="single"/>
        </w:rPr>
        <w:t>Planificación del Proceso de Formulación Presupuestaria del Ejercicio Presupuestario 2024</w:t>
      </w:r>
      <w:bookmarkEnd w:id="8"/>
    </w:p>
    <w:p w14:paraId="14BCC25B" w14:textId="77777777" w:rsidR="00B15F7D" w:rsidRPr="00990FB6" w:rsidRDefault="00B15F7D" w:rsidP="00B15F7D">
      <w:pPr>
        <w:ind w:left="851" w:right="851" w:firstLine="709"/>
        <w:rPr>
          <w:iCs/>
          <w:spacing w:val="-3"/>
          <w:sz w:val="22"/>
          <w:szCs w:val="22"/>
        </w:rPr>
      </w:pPr>
    </w:p>
    <w:p w14:paraId="2878CF43" w14:textId="77777777" w:rsidR="00B15F7D" w:rsidRPr="00990FB6" w:rsidRDefault="00B15F7D" w:rsidP="00B15F7D">
      <w:pPr>
        <w:ind w:left="851" w:right="851" w:firstLine="709"/>
        <w:jc w:val="both"/>
        <w:rPr>
          <w:iCs/>
          <w:spacing w:val="-3"/>
          <w:sz w:val="22"/>
          <w:szCs w:val="22"/>
        </w:rPr>
      </w:pPr>
      <w:r w:rsidRPr="00990FB6">
        <w:rPr>
          <w:iCs/>
          <w:spacing w:val="-3"/>
          <w:sz w:val="22"/>
          <w:szCs w:val="22"/>
        </w:rPr>
        <w:t xml:space="preserve">Cabe señalar que, a diferencia de años anteriores, para el proceso de formulación del anteproyecto de presupuesto para el 2024 se debe tener presentes que la principal variación corresponde a la obligatoriedad de </w:t>
      </w:r>
      <w:r w:rsidRPr="00990FB6">
        <w:rPr>
          <w:b/>
          <w:bCs/>
          <w:iCs/>
          <w:spacing w:val="-3"/>
          <w:sz w:val="22"/>
          <w:szCs w:val="22"/>
        </w:rPr>
        <w:t>incorporación del requerimiento de recurso humano</w:t>
      </w:r>
      <w:r w:rsidRPr="00990FB6">
        <w:rPr>
          <w:iCs/>
          <w:spacing w:val="-3"/>
          <w:sz w:val="22"/>
          <w:szCs w:val="22"/>
        </w:rPr>
        <w:t xml:space="preserve"> para la ejecución de proyectos estratégicos. Además, es importante aclarar que el Sistema de Proyección Plurianual tiene las funcionalidades relacionadas con la migración de información hacia los sistemas informáticos de Preformulación y SIGA-PJ, ejercicios que ya fueron ejecutados exitosamente el año anterior. </w:t>
      </w:r>
    </w:p>
    <w:p w14:paraId="3DB40BA4" w14:textId="77777777" w:rsidR="00B15F7D" w:rsidRPr="00990FB6" w:rsidRDefault="00B15F7D" w:rsidP="00B15F7D">
      <w:pPr>
        <w:ind w:left="851" w:right="851" w:firstLine="709"/>
        <w:jc w:val="both"/>
        <w:rPr>
          <w:iCs/>
          <w:spacing w:val="-3"/>
          <w:sz w:val="22"/>
          <w:szCs w:val="22"/>
        </w:rPr>
      </w:pPr>
    </w:p>
    <w:p w14:paraId="3F2F654D" w14:textId="77777777" w:rsidR="00B15F7D" w:rsidRPr="00990FB6" w:rsidRDefault="00B15F7D" w:rsidP="00B15F7D">
      <w:pPr>
        <w:ind w:left="851" w:right="851" w:firstLine="709"/>
        <w:jc w:val="both"/>
        <w:rPr>
          <w:iCs/>
          <w:spacing w:val="-3"/>
          <w:sz w:val="22"/>
          <w:szCs w:val="22"/>
        </w:rPr>
      </w:pPr>
      <w:r w:rsidRPr="00990FB6">
        <w:rPr>
          <w:iCs/>
          <w:spacing w:val="-3"/>
          <w:sz w:val="22"/>
          <w:szCs w:val="22"/>
        </w:rPr>
        <w:t>El proceso de formulación presupuestaria en el Poder Judicial mantendrá las 5 fases; tal y como se muestra en la siguiente imagen.</w:t>
      </w:r>
    </w:p>
    <w:p w14:paraId="184E02D5" w14:textId="77777777" w:rsidR="00B15F7D" w:rsidRPr="00990FB6" w:rsidRDefault="00B15F7D" w:rsidP="00B15F7D">
      <w:pPr>
        <w:ind w:left="851" w:right="900"/>
        <w:rPr>
          <w:iCs/>
          <w:spacing w:val="-3"/>
          <w:sz w:val="22"/>
          <w:szCs w:val="22"/>
        </w:rPr>
      </w:pPr>
    </w:p>
    <w:p w14:paraId="03CF6047" w14:textId="37624824" w:rsidR="00B15F7D" w:rsidRPr="00990FB6" w:rsidRDefault="00B15F7D" w:rsidP="00B15F7D">
      <w:pPr>
        <w:ind w:left="851" w:right="900"/>
        <w:jc w:val="center"/>
        <w:rPr>
          <w:b/>
          <w:bCs/>
          <w:iCs/>
          <w:spacing w:val="-3"/>
          <w:sz w:val="22"/>
          <w:szCs w:val="22"/>
        </w:rPr>
      </w:pPr>
      <w:r w:rsidRPr="00990FB6">
        <w:rPr>
          <w:b/>
          <w:bCs/>
          <w:iCs/>
          <w:spacing w:val="-3"/>
          <w:sz w:val="22"/>
          <w:szCs w:val="22"/>
        </w:rPr>
        <w:t>Figura n°1. Fases del proceso para la elaboración del Anteproyecto de Presupuesto del Poder Judicial para el periodo 2024</w:t>
      </w:r>
    </w:p>
    <w:p w14:paraId="507652C3" w14:textId="77777777" w:rsidR="00F65B2B" w:rsidRPr="00990FB6" w:rsidRDefault="00F65B2B" w:rsidP="00B15F7D">
      <w:pPr>
        <w:ind w:left="851" w:right="900"/>
        <w:jc w:val="center"/>
        <w:rPr>
          <w:b/>
          <w:bCs/>
          <w:iCs/>
          <w:spacing w:val="-3"/>
          <w:sz w:val="22"/>
          <w:szCs w:val="22"/>
        </w:rPr>
      </w:pPr>
    </w:p>
    <w:p w14:paraId="45AD2E6D" w14:textId="77777777" w:rsidR="00B15F7D" w:rsidRPr="00990FB6" w:rsidRDefault="00B15F7D" w:rsidP="00B15F7D">
      <w:pPr>
        <w:jc w:val="center"/>
        <w:rPr>
          <w:iCs/>
          <w:spacing w:val="-3"/>
          <w:sz w:val="22"/>
          <w:szCs w:val="22"/>
        </w:rPr>
      </w:pPr>
      <w:r w:rsidRPr="00990FB6">
        <w:rPr>
          <w:iCs/>
          <w:noProof/>
          <w:spacing w:val="-3"/>
          <w:sz w:val="22"/>
          <w:szCs w:val="22"/>
        </w:rPr>
        <w:drawing>
          <wp:inline distT="0" distB="0" distL="0" distR="0" wp14:anchorId="7F79772F" wp14:editId="71DE46E0">
            <wp:extent cx="5613400" cy="2471420"/>
            <wp:effectExtent l="0" t="0" r="6350" b="5080"/>
            <wp:docPr id="1008685654" name="Imagen 10086856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3400" cy="2471420"/>
                    </a:xfrm>
                    <a:prstGeom prst="rect">
                      <a:avLst/>
                    </a:prstGeom>
                    <a:noFill/>
                    <a:ln>
                      <a:noFill/>
                    </a:ln>
                  </pic:spPr>
                </pic:pic>
              </a:graphicData>
            </a:graphic>
          </wp:inline>
        </w:drawing>
      </w:r>
    </w:p>
    <w:p w14:paraId="1FDAF300" w14:textId="77777777" w:rsidR="00B15F7D" w:rsidRPr="00990FB6" w:rsidRDefault="00B15F7D" w:rsidP="00B15F7D">
      <w:pPr>
        <w:ind w:left="143" w:firstLine="708"/>
        <w:rPr>
          <w:iCs/>
          <w:spacing w:val="-3"/>
          <w:sz w:val="22"/>
          <w:szCs w:val="22"/>
        </w:rPr>
      </w:pPr>
      <w:r w:rsidRPr="00990FB6">
        <w:rPr>
          <w:b/>
          <w:bCs/>
          <w:iCs/>
          <w:spacing w:val="-3"/>
          <w:sz w:val="22"/>
          <w:szCs w:val="22"/>
        </w:rPr>
        <w:t>Fuente:</w:t>
      </w:r>
      <w:r w:rsidRPr="00990FB6">
        <w:rPr>
          <w:iCs/>
          <w:spacing w:val="-3"/>
          <w:sz w:val="22"/>
          <w:szCs w:val="22"/>
        </w:rPr>
        <w:t xml:space="preserve"> Elaboración propia.</w:t>
      </w:r>
    </w:p>
    <w:p w14:paraId="2DA913F4" w14:textId="77777777" w:rsidR="00B15F7D" w:rsidRPr="00990FB6" w:rsidRDefault="00B15F7D" w:rsidP="00B15F7D">
      <w:pPr>
        <w:jc w:val="center"/>
        <w:rPr>
          <w:iCs/>
          <w:spacing w:val="-3"/>
          <w:sz w:val="22"/>
          <w:szCs w:val="22"/>
        </w:rPr>
      </w:pPr>
    </w:p>
    <w:p w14:paraId="4A6F4005" w14:textId="77777777" w:rsidR="00B15F7D" w:rsidRPr="00990FB6" w:rsidRDefault="00B15F7D" w:rsidP="00B15F7D">
      <w:pPr>
        <w:ind w:left="851" w:right="851" w:firstLine="709"/>
        <w:jc w:val="both"/>
        <w:rPr>
          <w:iCs/>
          <w:spacing w:val="-3"/>
          <w:sz w:val="22"/>
          <w:szCs w:val="22"/>
        </w:rPr>
      </w:pPr>
      <w:r w:rsidRPr="00990FB6">
        <w:rPr>
          <w:iCs/>
          <w:spacing w:val="-3"/>
          <w:sz w:val="22"/>
          <w:szCs w:val="22"/>
        </w:rPr>
        <w:t>El presente informe incluye la propuesta del Cronograma de Actividades Previas a la Formulación Presupuestaria que abarca actividades de la fase 1 y 2 y parte de la fase 3, las mismas deben ser coordinadas de manera integral.</w:t>
      </w:r>
    </w:p>
    <w:p w14:paraId="28F7EB7D" w14:textId="77777777" w:rsidR="00B15F7D" w:rsidRPr="00990FB6" w:rsidRDefault="00B15F7D" w:rsidP="00B15F7D">
      <w:pPr>
        <w:ind w:left="851" w:right="851" w:firstLine="709"/>
        <w:rPr>
          <w:iCs/>
          <w:spacing w:val="-3"/>
          <w:sz w:val="22"/>
          <w:szCs w:val="22"/>
          <w:highlight w:val="yellow"/>
        </w:rPr>
      </w:pPr>
    </w:p>
    <w:p w14:paraId="4A11F4EC" w14:textId="77777777" w:rsidR="00B15F7D" w:rsidRPr="00990FB6" w:rsidRDefault="00B15F7D" w:rsidP="00B15F7D">
      <w:pPr>
        <w:keepNext/>
        <w:numPr>
          <w:ilvl w:val="1"/>
          <w:numId w:val="104"/>
        </w:numPr>
        <w:tabs>
          <w:tab w:val="num" w:pos="1440"/>
        </w:tabs>
        <w:ind w:left="851" w:right="851" w:firstLine="709"/>
        <w:jc w:val="both"/>
        <w:rPr>
          <w:bCs/>
          <w:iCs/>
          <w:spacing w:val="-3"/>
          <w:sz w:val="22"/>
          <w:szCs w:val="22"/>
        </w:rPr>
      </w:pPr>
      <w:bookmarkStart w:id="9" w:name="_Toc135990667"/>
      <w:r w:rsidRPr="00990FB6">
        <w:rPr>
          <w:bCs/>
          <w:iCs/>
          <w:spacing w:val="-3"/>
          <w:sz w:val="22"/>
          <w:szCs w:val="22"/>
        </w:rPr>
        <w:t>Descripción de las Fases que contemplan las actividades previas a la Formulación Presupuestaria 2024</w:t>
      </w:r>
      <w:bookmarkEnd w:id="9"/>
    </w:p>
    <w:p w14:paraId="2DEDEBC2" w14:textId="77777777" w:rsidR="00B15F7D" w:rsidRPr="00990FB6" w:rsidRDefault="00B15F7D" w:rsidP="00B15F7D">
      <w:pPr>
        <w:ind w:left="851" w:right="851" w:firstLine="709"/>
        <w:jc w:val="both"/>
        <w:rPr>
          <w:iCs/>
          <w:spacing w:val="-3"/>
          <w:sz w:val="22"/>
          <w:szCs w:val="22"/>
          <w:highlight w:val="yellow"/>
        </w:rPr>
      </w:pPr>
    </w:p>
    <w:p w14:paraId="1B7A4C24" w14:textId="77777777" w:rsidR="00B15F7D" w:rsidRPr="00990FB6" w:rsidRDefault="00B15F7D" w:rsidP="00B15F7D">
      <w:pPr>
        <w:ind w:left="851" w:right="851" w:firstLine="709"/>
        <w:jc w:val="both"/>
        <w:rPr>
          <w:iCs/>
          <w:spacing w:val="-3"/>
          <w:sz w:val="22"/>
          <w:szCs w:val="22"/>
        </w:rPr>
      </w:pPr>
      <w:r w:rsidRPr="00990FB6">
        <w:rPr>
          <w:iCs/>
          <w:spacing w:val="-3"/>
          <w:sz w:val="22"/>
          <w:szCs w:val="22"/>
        </w:rPr>
        <w:t>A continuación, se presenta una descripción de las fases y las instancias involucradas:</w:t>
      </w:r>
    </w:p>
    <w:p w14:paraId="3DC7D2AD" w14:textId="77777777" w:rsidR="00B15F7D" w:rsidRPr="00990FB6" w:rsidRDefault="00B15F7D" w:rsidP="00B15F7D">
      <w:pPr>
        <w:ind w:left="851" w:right="851" w:firstLine="709"/>
        <w:jc w:val="both"/>
        <w:rPr>
          <w:iCs/>
          <w:spacing w:val="-3"/>
          <w:sz w:val="22"/>
          <w:szCs w:val="22"/>
        </w:rPr>
      </w:pPr>
    </w:p>
    <w:p w14:paraId="35EA0945" w14:textId="77777777" w:rsidR="00B15F7D" w:rsidRPr="00990FB6" w:rsidRDefault="00B15F7D" w:rsidP="00B15F7D">
      <w:pPr>
        <w:numPr>
          <w:ilvl w:val="0"/>
          <w:numId w:val="105"/>
        </w:numPr>
        <w:suppressAutoHyphens w:val="0"/>
        <w:ind w:left="851" w:right="851" w:firstLine="709"/>
        <w:jc w:val="both"/>
        <w:rPr>
          <w:sz w:val="22"/>
          <w:szCs w:val="22"/>
        </w:rPr>
      </w:pPr>
      <w:r w:rsidRPr="00990FB6">
        <w:rPr>
          <w:b/>
          <w:bCs/>
          <w:iCs/>
          <w:spacing w:val="-3"/>
          <w:sz w:val="22"/>
          <w:szCs w:val="22"/>
        </w:rPr>
        <w:t>Fase 1. Proceso de Proyección Plurianual Institucional:</w:t>
      </w:r>
      <w:r w:rsidRPr="00990FB6">
        <w:rPr>
          <w:iCs/>
          <w:spacing w:val="-3"/>
          <w:sz w:val="22"/>
          <w:szCs w:val="22"/>
        </w:rPr>
        <w:t xml:space="preserve"> estimación multianual de presupuestos en el Sistema de Proyección Plurianual de los </w:t>
      </w:r>
      <w:r w:rsidRPr="00990FB6">
        <w:rPr>
          <w:sz w:val="22"/>
          <w:szCs w:val="22"/>
        </w:rPr>
        <w:t xml:space="preserve">proyectos estratégicos, entiéndase como proyecto estratégico aquel que presente un inicio y fin claramente definido, con el objetivo de crear un producto único, proponer un cambio, y/o innovar a la hora de realizar las tareas. Para lo cual, se consideran los proyectos estratégicos que se encuentran en ejecución y están alineados con el Plan Estratégico Institucional 2019-2024, aprobado por la Corte Plena en la sesión 56-18 del 10 de diciembre de 2018, artículo XXIII, o que han sido aprobados para su ejecución por una Instancia Superior (Corte Plena o Consejo Superior). Contempla los recursos de gasto variables, áreas presupuestarias y recurso humano ordinario, así como permisos con goce de salario. </w:t>
      </w:r>
    </w:p>
    <w:p w14:paraId="6E726E69" w14:textId="77777777" w:rsidR="00B15F7D" w:rsidRPr="00990FB6" w:rsidRDefault="00B15F7D" w:rsidP="00B15F7D">
      <w:pPr>
        <w:ind w:left="851" w:right="851" w:firstLine="709"/>
        <w:jc w:val="both"/>
        <w:rPr>
          <w:sz w:val="22"/>
          <w:szCs w:val="22"/>
        </w:rPr>
      </w:pPr>
    </w:p>
    <w:p w14:paraId="3702A3E3" w14:textId="77777777" w:rsidR="00B15F7D" w:rsidRPr="00990FB6" w:rsidRDefault="00B15F7D" w:rsidP="00B15F7D">
      <w:pPr>
        <w:ind w:left="851" w:right="851" w:firstLine="709"/>
        <w:jc w:val="both"/>
        <w:rPr>
          <w:sz w:val="22"/>
          <w:szCs w:val="22"/>
        </w:rPr>
      </w:pPr>
      <w:r w:rsidRPr="00990FB6">
        <w:rPr>
          <w:sz w:val="22"/>
          <w:szCs w:val="22"/>
        </w:rPr>
        <w:t xml:space="preserve">Los recursos presupuestarios requeridos para los proyectos estratégicos corresponden a todos los períodos de duración que contempla el cronograma que se encuentra cargado para cada caso en el MS Project Online. Específicamente, las oficinas líderes de proyectos estratégicos deben incluir los recursos según su tipo: ordinarios, recurso humano, cooperación o donaciones y los correspondientes a las </w:t>
      </w:r>
      <w:r w:rsidRPr="00990FB6">
        <w:rPr>
          <w:sz w:val="22"/>
          <w:szCs w:val="22"/>
        </w:rPr>
        <w:lastRenderedPageBreak/>
        <w:t>áreas presupuestarias de Construcciones, Informática, Seguridad y Vehículos. Una vez que los recursos formulados en el Sistema de Proyección Plurianual han sido pasados a revisión a la Dirección de Planificación, posteriormente se trasladan de manera automática al Sistema de Preformulación y Sistema SIGA-PJ según corresponda.</w:t>
      </w:r>
    </w:p>
    <w:p w14:paraId="7B560B1C" w14:textId="77777777" w:rsidR="00B15F7D" w:rsidRPr="00990FB6" w:rsidRDefault="00B15F7D" w:rsidP="00B15F7D">
      <w:pPr>
        <w:ind w:left="851" w:right="851" w:firstLine="709"/>
        <w:jc w:val="both"/>
        <w:rPr>
          <w:iCs/>
          <w:spacing w:val="-3"/>
          <w:sz w:val="22"/>
          <w:szCs w:val="22"/>
        </w:rPr>
      </w:pPr>
    </w:p>
    <w:p w14:paraId="2EF53499" w14:textId="77777777" w:rsidR="00B15F7D" w:rsidRPr="00990FB6" w:rsidRDefault="00B15F7D" w:rsidP="00B15F7D">
      <w:pPr>
        <w:numPr>
          <w:ilvl w:val="0"/>
          <w:numId w:val="105"/>
        </w:numPr>
        <w:suppressAutoHyphens w:val="0"/>
        <w:ind w:left="851" w:right="851" w:firstLine="709"/>
        <w:jc w:val="both"/>
        <w:rPr>
          <w:iCs/>
          <w:spacing w:val="-3"/>
          <w:sz w:val="22"/>
          <w:szCs w:val="22"/>
        </w:rPr>
      </w:pPr>
      <w:r w:rsidRPr="00990FB6">
        <w:rPr>
          <w:b/>
          <w:bCs/>
          <w:iCs/>
          <w:spacing w:val="-3"/>
          <w:sz w:val="22"/>
          <w:szCs w:val="22"/>
        </w:rPr>
        <w:t>Fase 2:</w:t>
      </w:r>
      <w:r w:rsidRPr="00990FB6">
        <w:rPr>
          <w:iCs/>
          <w:spacing w:val="-3"/>
          <w:sz w:val="22"/>
          <w:szCs w:val="22"/>
        </w:rPr>
        <w:t xml:space="preserve"> Formulación en el Sistema de Preformulación de los recursos presupuestarios correspondientes a las Áreas de Construcciones, Informática, Seguridad y Vehículos. De manera automática en </w:t>
      </w:r>
      <w:proofErr w:type="spellStart"/>
      <w:r w:rsidRPr="00990FB6">
        <w:rPr>
          <w:iCs/>
          <w:spacing w:val="-3"/>
          <w:sz w:val="22"/>
          <w:szCs w:val="22"/>
        </w:rPr>
        <w:t>preformulación</w:t>
      </w:r>
      <w:proofErr w:type="spellEnd"/>
      <w:r w:rsidRPr="00990FB6">
        <w:rPr>
          <w:iCs/>
          <w:spacing w:val="-3"/>
          <w:sz w:val="22"/>
          <w:szCs w:val="22"/>
        </w:rPr>
        <w:t xml:space="preserve"> se incluyen los recursos que fueron aprobados en el Sistema de Proyección Plurianual para los proyectos incluidos en el Portafolio de Proyectos Institucional.</w:t>
      </w:r>
    </w:p>
    <w:p w14:paraId="0FEF9C24" w14:textId="77777777" w:rsidR="00B15F7D" w:rsidRPr="00990FB6" w:rsidRDefault="00B15F7D" w:rsidP="00B15F7D">
      <w:pPr>
        <w:ind w:left="851" w:right="851" w:firstLine="709"/>
        <w:jc w:val="both"/>
        <w:rPr>
          <w:iCs/>
          <w:spacing w:val="-3"/>
          <w:sz w:val="22"/>
          <w:szCs w:val="22"/>
        </w:rPr>
      </w:pPr>
    </w:p>
    <w:p w14:paraId="7645BA49" w14:textId="77777777" w:rsidR="00B15F7D" w:rsidRPr="00990FB6" w:rsidRDefault="00B15F7D" w:rsidP="00B15F7D">
      <w:pPr>
        <w:ind w:left="851" w:right="851" w:firstLine="709"/>
        <w:jc w:val="both"/>
        <w:rPr>
          <w:iCs/>
          <w:spacing w:val="-3"/>
          <w:sz w:val="22"/>
          <w:szCs w:val="22"/>
        </w:rPr>
      </w:pPr>
      <w:r w:rsidRPr="00990FB6">
        <w:rPr>
          <w:iCs/>
          <w:spacing w:val="-3"/>
          <w:sz w:val="22"/>
          <w:szCs w:val="22"/>
        </w:rPr>
        <w:t>Los involucrados en esta etapa son las oficinas, centros de responsabilidad, programas, Dirección Ejecutiva, Dirección Tecnología de la Información y la Dirección de Planificación.</w:t>
      </w:r>
    </w:p>
    <w:p w14:paraId="6C087EF9" w14:textId="77777777" w:rsidR="00B15F7D" w:rsidRPr="00990FB6" w:rsidRDefault="00B15F7D" w:rsidP="00B15F7D">
      <w:pPr>
        <w:ind w:left="851" w:right="851" w:firstLine="709"/>
        <w:jc w:val="both"/>
        <w:rPr>
          <w:iCs/>
          <w:spacing w:val="-3"/>
          <w:sz w:val="22"/>
          <w:szCs w:val="22"/>
        </w:rPr>
      </w:pPr>
    </w:p>
    <w:p w14:paraId="1CFC0B6C" w14:textId="77777777" w:rsidR="00B15F7D" w:rsidRPr="00990FB6" w:rsidRDefault="00B15F7D" w:rsidP="00B15F7D">
      <w:pPr>
        <w:numPr>
          <w:ilvl w:val="0"/>
          <w:numId w:val="105"/>
        </w:numPr>
        <w:suppressAutoHyphens w:val="0"/>
        <w:ind w:left="851" w:right="851" w:firstLine="709"/>
        <w:jc w:val="both"/>
        <w:rPr>
          <w:iCs/>
          <w:spacing w:val="-3"/>
          <w:sz w:val="22"/>
          <w:szCs w:val="22"/>
        </w:rPr>
      </w:pPr>
      <w:r w:rsidRPr="00990FB6">
        <w:rPr>
          <w:b/>
          <w:bCs/>
          <w:iCs/>
          <w:spacing w:val="-3"/>
          <w:sz w:val="22"/>
          <w:szCs w:val="22"/>
        </w:rPr>
        <w:t>Fase 3:</w:t>
      </w:r>
      <w:r w:rsidRPr="00990FB6">
        <w:rPr>
          <w:iCs/>
          <w:spacing w:val="-3"/>
          <w:sz w:val="22"/>
          <w:szCs w:val="22"/>
        </w:rPr>
        <w:t xml:space="preserve"> Definición de parámetros generales y generación de gastos fijos en el Sistema SIGA-PJ para la formulación del anteproyecto de presupuesto 2024. De manera automática en el Sistema SIGA-PJ se incluyen los recursos que no están relacionados con las áreas presupuestarias y que fueron aprobados en el Sistema de Proyección Plurianual para las iniciativas que conforman el Portafolio Institucional.</w:t>
      </w:r>
    </w:p>
    <w:p w14:paraId="0C4EF68B" w14:textId="77777777" w:rsidR="00B15F7D" w:rsidRPr="00990FB6" w:rsidRDefault="00B15F7D" w:rsidP="00B15F7D">
      <w:pPr>
        <w:ind w:left="851" w:right="851" w:firstLine="709"/>
        <w:jc w:val="both"/>
        <w:rPr>
          <w:iCs/>
          <w:spacing w:val="-3"/>
          <w:sz w:val="22"/>
          <w:szCs w:val="22"/>
        </w:rPr>
      </w:pPr>
    </w:p>
    <w:p w14:paraId="4C54F0D6" w14:textId="77777777" w:rsidR="00B15F7D" w:rsidRPr="00990FB6" w:rsidRDefault="00B15F7D" w:rsidP="00B15F7D">
      <w:pPr>
        <w:ind w:left="851" w:right="851" w:firstLine="709"/>
        <w:jc w:val="both"/>
        <w:rPr>
          <w:iCs/>
          <w:spacing w:val="-3"/>
          <w:sz w:val="22"/>
          <w:szCs w:val="22"/>
        </w:rPr>
      </w:pPr>
      <w:r w:rsidRPr="00990FB6">
        <w:rPr>
          <w:iCs/>
          <w:spacing w:val="-3"/>
          <w:sz w:val="22"/>
          <w:szCs w:val="22"/>
        </w:rPr>
        <w:t xml:space="preserve">Los involucrados en esta etapa son la Dirección de Planificación, Dirección Ejecutiva, Dirección de Tecnología de la Información y Comunicaciones, Dirección de Gestión Humana, Departamento Financiero Contable, Departamento de Proveeduría, Departamento de Servicios Generales, Departamento de Seguridad, oficinas, centros de responsabilidad y programas. </w:t>
      </w:r>
    </w:p>
    <w:p w14:paraId="71A82060" w14:textId="77777777" w:rsidR="00B15F7D" w:rsidRPr="00990FB6" w:rsidRDefault="00B15F7D" w:rsidP="00B15F7D">
      <w:pPr>
        <w:ind w:left="851" w:right="851" w:firstLine="709"/>
        <w:jc w:val="both"/>
        <w:rPr>
          <w:iCs/>
          <w:spacing w:val="-3"/>
          <w:sz w:val="22"/>
          <w:szCs w:val="22"/>
        </w:rPr>
      </w:pPr>
    </w:p>
    <w:p w14:paraId="59EEEC86" w14:textId="77777777" w:rsidR="00B15F7D" w:rsidRPr="00990FB6" w:rsidRDefault="00B15F7D" w:rsidP="00B15F7D">
      <w:pPr>
        <w:keepNext/>
        <w:numPr>
          <w:ilvl w:val="1"/>
          <w:numId w:val="104"/>
        </w:numPr>
        <w:tabs>
          <w:tab w:val="num" w:pos="1440"/>
        </w:tabs>
        <w:ind w:left="851" w:right="851" w:firstLine="709"/>
        <w:jc w:val="both"/>
        <w:rPr>
          <w:bCs/>
          <w:iCs/>
          <w:spacing w:val="-3"/>
          <w:sz w:val="22"/>
          <w:szCs w:val="22"/>
        </w:rPr>
      </w:pPr>
      <w:bookmarkStart w:id="10" w:name="_Toc135990668"/>
      <w:r w:rsidRPr="00990FB6">
        <w:rPr>
          <w:bCs/>
          <w:iCs/>
          <w:spacing w:val="-3"/>
          <w:sz w:val="22"/>
          <w:szCs w:val="22"/>
        </w:rPr>
        <w:t>Propuesta de Cronograma de Actividades Previas a la Formulación Presupuestaria</w:t>
      </w:r>
      <w:bookmarkEnd w:id="10"/>
    </w:p>
    <w:p w14:paraId="3DF4AF04" w14:textId="77777777" w:rsidR="00B15F7D" w:rsidRPr="00990FB6" w:rsidRDefault="00B15F7D" w:rsidP="00B15F7D">
      <w:pPr>
        <w:ind w:left="851" w:right="851" w:firstLine="709"/>
        <w:jc w:val="both"/>
        <w:rPr>
          <w:iCs/>
          <w:spacing w:val="-3"/>
          <w:sz w:val="22"/>
          <w:szCs w:val="22"/>
        </w:rPr>
      </w:pPr>
    </w:p>
    <w:p w14:paraId="6EEAFA3A" w14:textId="77777777" w:rsidR="00B15F7D" w:rsidRPr="00990FB6" w:rsidRDefault="00B15F7D" w:rsidP="00B15F7D">
      <w:pPr>
        <w:ind w:left="851" w:right="851" w:firstLine="709"/>
        <w:jc w:val="both"/>
        <w:rPr>
          <w:iCs/>
          <w:spacing w:val="-3"/>
          <w:sz w:val="22"/>
          <w:szCs w:val="22"/>
        </w:rPr>
      </w:pPr>
      <w:r w:rsidRPr="00990FB6">
        <w:rPr>
          <w:iCs/>
          <w:spacing w:val="-3"/>
          <w:sz w:val="22"/>
          <w:szCs w:val="22"/>
        </w:rPr>
        <w:t>A continuación, se adjunta la propuesta del Cronograma de Actividades Previas a la Formulación Presupuestaria 2024:</w:t>
      </w:r>
    </w:p>
    <w:p w14:paraId="478E71BD" w14:textId="77777777" w:rsidR="00B15F7D" w:rsidRPr="00990FB6" w:rsidRDefault="00B15F7D" w:rsidP="00B15F7D">
      <w:pPr>
        <w:jc w:val="both"/>
        <w:rPr>
          <w:iCs/>
          <w:spacing w:val="-3"/>
          <w:sz w:val="22"/>
          <w:szCs w:val="22"/>
        </w:rPr>
      </w:pPr>
    </w:p>
    <w:p w14:paraId="3EAE4470" w14:textId="77777777" w:rsidR="00B15F7D" w:rsidRPr="00990FB6" w:rsidRDefault="00B15F7D" w:rsidP="00B15F7D">
      <w:pPr>
        <w:jc w:val="center"/>
        <w:rPr>
          <w:iCs/>
          <w:spacing w:val="-3"/>
          <w:sz w:val="22"/>
          <w:szCs w:val="22"/>
        </w:rPr>
      </w:pPr>
      <w:r w:rsidRPr="00990FB6">
        <w:rPr>
          <w:iCs/>
          <w:spacing w:val="-3"/>
          <w:sz w:val="22"/>
          <w:szCs w:val="22"/>
        </w:rPr>
        <w:object w:dxaOrig="1530" w:dyaOrig="990" w14:anchorId="64390DCC">
          <v:shape id="_x0000_i1030" type="#_x0000_t75" style="width:77.5pt;height:50pt" o:ole="">
            <v:imagedata r:id="rId20" o:title=""/>
          </v:shape>
          <o:OLEObject Type="Embed" ProgID="Acrobat.Document.DC" ShapeID="_x0000_i1030" DrawAspect="Icon" ObjectID="_1748679158" r:id="rId21"/>
        </w:object>
      </w:r>
    </w:p>
    <w:p w14:paraId="3E84624A" w14:textId="77777777" w:rsidR="00B15F7D" w:rsidRPr="00990FB6" w:rsidRDefault="00B15F7D" w:rsidP="00B15F7D">
      <w:pPr>
        <w:jc w:val="both"/>
        <w:rPr>
          <w:iCs/>
          <w:spacing w:val="-3"/>
          <w:sz w:val="22"/>
          <w:szCs w:val="22"/>
        </w:rPr>
      </w:pPr>
    </w:p>
    <w:p w14:paraId="77BB9668" w14:textId="77777777" w:rsidR="00B15F7D" w:rsidRPr="00990FB6" w:rsidRDefault="00B15F7D" w:rsidP="00B15F7D">
      <w:pPr>
        <w:ind w:left="851" w:right="851" w:firstLine="709"/>
        <w:jc w:val="both"/>
        <w:rPr>
          <w:iCs/>
          <w:spacing w:val="-3"/>
          <w:sz w:val="22"/>
          <w:szCs w:val="22"/>
        </w:rPr>
      </w:pPr>
      <w:r w:rsidRPr="00990FB6">
        <w:rPr>
          <w:b/>
          <w:bCs/>
          <w:iCs/>
          <w:spacing w:val="-3"/>
          <w:sz w:val="22"/>
          <w:szCs w:val="22"/>
        </w:rPr>
        <w:t>El cambio más importante está relacionado con la incorporación de recursos humanos en los proyectos estratégicos</w:t>
      </w:r>
      <w:r w:rsidRPr="00990FB6">
        <w:rPr>
          <w:iCs/>
          <w:spacing w:val="-3"/>
          <w:sz w:val="22"/>
          <w:szCs w:val="22"/>
        </w:rPr>
        <w:t>. En este sentido es importante la comunicación y coordinación con la Dirección Ejecutiva y la Dirección de Tecnología de la Información, ya que ambas llevan a cabo un papel relevante en cuanto a la definición de lineamientos, comunicaciones, análisis y consolidación de los presupuestos de las Áreas.</w:t>
      </w:r>
    </w:p>
    <w:p w14:paraId="728618B4" w14:textId="77777777" w:rsidR="00B15F7D" w:rsidRPr="00990FB6" w:rsidRDefault="00B15F7D" w:rsidP="00B15F7D">
      <w:pPr>
        <w:ind w:left="851" w:right="851" w:firstLine="709"/>
        <w:jc w:val="both"/>
        <w:rPr>
          <w:iCs/>
          <w:spacing w:val="-3"/>
          <w:sz w:val="22"/>
          <w:szCs w:val="22"/>
        </w:rPr>
      </w:pPr>
    </w:p>
    <w:p w14:paraId="1D6E9439" w14:textId="77777777" w:rsidR="00B15F7D" w:rsidRPr="00990FB6" w:rsidRDefault="00B15F7D" w:rsidP="00B15F7D">
      <w:pPr>
        <w:keepNext/>
        <w:numPr>
          <w:ilvl w:val="1"/>
          <w:numId w:val="104"/>
        </w:numPr>
        <w:tabs>
          <w:tab w:val="num" w:pos="1440"/>
        </w:tabs>
        <w:ind w:left="851" w:right="851" w:firstLine="709"/>
        <w:jc w:val="both"/>
        <w:rPr>
          <w:bCs/>
          <w:iCs/>
          <w:spacing w:val="-3"/>
          <w:sz w:val="22"/>
          <w:szCs w:val="22"/>
        </w:rPr>
      </w:pPr>
      <w:bookmarkStart w:id="11" w:name="_Toc135990669"/>
      <w:r w:rsidRPr="00990FB6">
        <w:rPr>
          <w:bCs/>
          <w:iCs/>
          <w:spacing w:val="-3"/>
          <w:sz w:val="22"/>
          <w:szCs w:val="22"/>
        </w:rPr>
        <w:lastRenderedPageBreak/>
        <w:t>Responsabilidades de los diferentes actores</w:t>
      </w:r>
      <w:bookmarkEnd w:id="11"/>
    </w:p>
    <w:p w14:paraId="363918AA" w14:textId="77777777" w:rsidR="00B15F7D" w:rsidRPr="00990FB6" w:rsidRDefault="00B15F7D" w:rsidP="00B15F7D">
      <w:pPr>
        <w:ind w:left="851" w:right="851" w:firstLine="709"/>
        <w:rPr>
          <w:iCs/>
          <w:spacing w:val="-3"/>
          <w:sz w:val="22"/>
          <w:szCs w:val="22"/>
        </w:rPr>
      </w:pPr>
    </w:p>
    <w:p w14:paraId="4773EFF3" w14:textId="77777777" w:rsidR="00B15F7D" w:rsidRPr="00990FB6" w:rsidRDefault="00B15F7D" w:rsidP="00B15F7D">
      <w:pPr>
        <w:ind w:left="851" w:right="851" w:firstLine="709"/>
        <w:jc w:val="both"/>
        <w:rPr>
          <w:iCs/>
          <w:spacing w:val="-3"/>
          <w:sz w:val="22"/>
          <w:szCs w:val="22"/>
        </w:rPr>
      </w:pPr>
      <w:r w:rsidRPr="00990FB6">
        <w:rPr>
          <w:iCs/>
          <w:spacing w:val="-3"/>
          <w:sz w:val="22"/>
          <w:szCs w:val="22"/>
        </w:rPr>
        <w:t>Detalle de responsabilidades de cada una de las partes que intervienen en las primeras fases del proceso del presupuesto 2024:</w:t>
      </w:r>
    </w:p>
    <w:p w14:paraId="45C90DFA" w14:textId="77777777" w:rsidR="00B15F7D" w:rsidRPr="00990FB6" w:rsidRDefault="00B15F7D" w:rsidP="00B15F7D">
      <w:pPr>
        <w:ind w:left="851" w:right="851" w:firstLine="709"/>
        <w:jc w:val="both"/>
        <w:rPr>
          <w:iCs/>
          <w:spacing w:val="-3"/>
          <w:sz w:val="22"/>
          <w:szCs w:val="22"/>
        </w:rPr>
      </w:pPr>
    </w:p>
    <w:p w14:paraId="4D29FB59"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Dirección de Planificación</w:t>
      </w:r>
    </w:p>
    <w:p w14:paraId="5E9C62C4" w14:textId="77777777" w:rsidR="00B15F7D" w:rsidRPr="00990FB6" w:rsidRDefault="00B15F7D" w:rsidP="00B15F7D">
      <w:pPr>
        <w:ind w:left="851" w:right="851" w:firstLine="709"/>
        <w:jc w:val="both"/>
        <w:rPr>
          <w:b/>
          <w:bCs/>
          <w:iCs/>
          <w:spacing w:val="-3"/>
          <w:sz w:val="22"/>
          <w:szCs w:val="22"/>
        </w:rPr>
      </w:pPr>
    </w:p>
    <w:p w14:paraId="3085E673" w14:textId="77777777" w:rsidR="00B15F7D" w:rsidRPr="00990FB6" w:rsidRDefault="00B15F7D" w:rsidP="00B15F7D">
      <w:pPr>
        <w:numPr>
          <w:ilvl w:val="0"/>
          <w:numId w:val="106"/>
        </w:numPr>
        <w:suppressAutoHyphens w:val="0"/>
        <w:ind w:left="851" w:right="851" w:firstLine="709"/>
        <w:jc w:val="both"/>
        <w:rPr>
          <w:iCs/>
          <w:spacing w:val="-3"/>
          <w:sz w:val="22"/>
          <w:szCs w:val="22"/>
        </w:rPr>
      </w:pPr>
      <w:r w:rsidRPr="00990FB6">
        <w:rPr>
          <w:iCs/>
          <w:spacing w:val="-3"/>
          <w:sz w:val="22"/>
          <w:szCs w:val="22"/>
        </w:rPr>
        <w:t>Ente rector del proceso de formulación presupuestaria en el Poder Judicial.</w:t>
      </w:r>
    </w:p>
    <w:p w14:paraId="1BE69D2D" w14:textId="77777777" w:rsidR="00B15F7D" w:rsidRPr="00990FB6" w:rsidRDefault="00B15F7D" w:rsidP="00B15F7D">
      <w:pPr>
        <w:numPr>
          <w:ilvl w:val="0"/>
          <w:numId w:val="106"/>
        </w:numPr>
        <w:suppressAutoHyphens w:val="0"/>
        <w:ind w:left="851" w:right="851" w:firstLine="709"/>
        <w:jc w:val="both"/>
        <w:rPr>
          <w:iCs/>
          <w:spacing w:val="-3"/>
          <w:sz w:val="22"/>
          <w:szCs w:val="22"/>
        </w:rPr>
      </w:pPr>
      <w:r w:rsidRPr="00990FB6">
        <w:rPr>
          <w:iCs/>
          <w:spacing w:val="-3"/>
          <w:sz w:val="22"/>
          <w:szCs w:val="22"/>
        </w:rPr>
        <w:t>Administrador de la seguridad del Sistema de Proyección Plurianual y del Sistema SIGA-PJ.</w:t>
      </w:r>
    </w:p>
    <w:p w14:paraId="79288130" w14:textId="77777777" w:rsidR="00B15F7D" w:rsidRPr="00990FB6" w:rsidRDefault="00B15F7D" w:rsidP="00B15F7D">
      <w:pPr>
        <w:numPr>
          <w:ilvl w:val="0"/>
          <w:numId w:val="106"/>
        </w:numPr>
        <w:suppressAutoHyphens w:val="0"/>
        <w:ind w:left="851" w:right="851" w:firstLine="709"/>
        <w:jc w:val="both"/>
        <w:rPr>
          <w:iCs/>
          <w:spacing w:val="-3"/>
          <w:sz w:val="22"/>
          <w:szCs w:val="22"/>
        </w:rPr>
      </w:pPr>
      <w:r w:rsidRPr="00990FB6">
        <w:rPr>
          <w:iCs/>
          <w:spacing w:val="-3"/>
          <w:sz w:val="22"/>
          <w:szCs w:val="22"/>
        </w:rPr>
        <w:t xml:space="preserve">Responsable de la inclusión de parámetros generales en el Sistema SIGA-PJ. </w:t>
      </w:r>
    </w:p>
    <w:p w14:paraId="21F11755" w14:textId="77777777" w:rsidR="00B15F7D" w:rsidRPr="00990FB6" w:rsidRDefault="00B15F7D" w:rsidP="00B15F7D">
      <w:pPr>
        <w:numPr>
          <w:ilvl w:val="0"/>
          <w:numId w:val="106"/>
        </w:numPr>
        <w:suppressAutoHyphens w:val="0"/>
        <w:ind w:left="851" w:right="851" w:firstLine="709"/>
        <w:jc w:val="both"/>
        <w:rPr>
          <w:iCs/>
          <w:spacing w:val="-3"/>
          <w:sz w:val="22"/>
          <w:szCs w:val="22"/>
        </w:rPr>
      </w:pPr>
      <w:r w:rsidRPr="00990FB6">
        <w:rPr>
          <w:iCs/>
          <w:spacing w:val="-3"/>
          <w:sz w:val="22"/>
          <w:szCs w:val="22"/>
        </w:rPr>
        <w:t>Coordinador de la formulación de recursos en el Sistema de Proyección Plurianual.</w:t>
      </w:r>
    </w:p>
    <w:p w14:paraId="3918EC53" w14:textId="77777777" w:rsidR="00B15F7D" w:rsidRPr="00990FB6" w:rsidRDefault="00B15F7D" w:rsidP="00B15F7D">
      <w:pPr>
        <w:numPr>
          <w:ilvl w:val="0"/>
          <w:numId w:val="106"/>
        </w:numPr>
        <w:suppressAutoHyphens w:val="0"/>
        <w:ind w:left="851" w:right="851" w:firstLine="709"/>
        <w:jc w:val="both"/>
        <w:rPr>
          <w:iCs/>
          <w:spacing w:val="-3"/>
          <w:sz w:val="22"/>
          <w:szCs w:val="22"/>
        </w:rPr>
      </w:pPr>
      <w:r w:rsidRPr="00990FB6">
        <w:rPr>
          <w:iCs/>
          <w:spacing w:val="-3"/>
          <w:sz w:val="22"/>
          <w:szCs w:val="22"/>
        </w:rPr>
        <w:t>Responsable de la revisión y análisis de los recursos incluidos para las iniciativas que conforman el Portafolio Institucional.</w:t>
      </w:r>
    </w:p>
    <w:p w14:paraId="0C2EFAD5" w14:textId="77777777" w:rsidR="00B15F7D" w:rsidRPr="00990FB6" w:rsidRDefault="00B15F7D" w:rsidP="00B15F7D">
      <w:pPr>
        <w:numPr>
          <w:ilvl w:val="0"/>
          <w:numId w:val="106"/>
        </w:numPr>
        <w:suppressAutoHyphens w:val="0"/>
        <w:ind w:left="851" w:right="851" w:firstLine="709"/>
        <w:jc w:val="both"/>
        <w:rPr>
          <w:iCs/>
          <w:spacing w:val="-3"/>
          <w:sz w:val="22"/>
          <w:szCs w:val="22"/>
        </w:rPr>
      </w:pPr>
      <w:r w:rsidRPr="00990FB6">
        <w:rPr>
          <w:iCs/>
          <w:spacing w:val="-3"/>
          <w:sz w:val="22"/>
          <w:szCs w:val="22"/>
        </w:rPr>
        <w:t>Responsable de garantizar que el Sistema de Proyección Plurianual contenga la información actualizada y congruente con los demás sistemas presupuestarios, por lo que le corresponde solicitar los ajustes correspondientes a las oficinas presupuestarias cuando se detecte alguna diferencia.</w:t>
      </w:r>
    </w:p>
    <w:p w14:paraId="01596638" w14:textId="77777777" w:rsidR="00B15F7D" w:rsidRPr="00990FB6" w:rsidRDefault="00B15F7D" w:rsidP="00B15F7D">
      <w:pPr>
        <w:ind w:left="851" w:right="851" w:firstLine="709"/>
        <w:rPr>
          <w:iCs/>
          <w:spacing w:val="-3"/>
          <w:sz w:val="22"/>
          <w:szCs w:val="22"/>
        </w:rPr>
      </w:pPr>
    </w:p>
    <w:p w14:paraId="5DB32598"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Dirección de Tecnología de la Información</w:t>
      </w:r>
    </w:p>
    <w:p w14:paraId="3CB61B5A" w14:textId="77777777" w:rsidR="00B15F7D" w:rsidRPr="00990FB6" w:rsidRDefault="00B15F7D" w:rsidP="00B15F7D">
      <w:pPr>
        <w:ind w:left="851" w:right="851" w:firstLine="709"/>
        <w:jc w:val="both"/>
        <w:rPr>
          <w:b/>
          <w:bCs/>
          <w:iCs/>
          <w:spacing w:val="-3"/>
          <w:sz w:val="22"/>
          <w:szCs w:val="22"/>
        </w:rPr>
      </w:pPr>
    </w:p>
    <w:p w14:paraId="3144168D" w14:textId="77777777" w:rsidR="00B15F7D" w:rsidRPr="00990FB6" w:rsidRDefault="00B15F7D" w:rsidP="00B15F7D">
      <w:pPr>
        <w:numPr>
          <w:ilvl w:val="0"/>
          <w:numId w:val="107"/>
        </w:numPr>
        <w:suppressAutoHyphens w:val="0"/>
        <w:ind w:left="851" w:right="851" w:firstLine="709"/>
        <w:jc w:val="both"/>
        <w:rPr>
          <w:iCs/>
          <w:spacing w:val="-3"/>
          <w:sz w:val="22"/>
          <w:szCs w:val="22"/>
        </w:rPr>
      </w:pPr>
      <w:r w:rsidRPr="00990FB6">
        <w:rPr>
          <w:iCs/>
          <w:spacing w:val="-3"/>
          <w:sz w:val="22"/>
          <w:szCs w:val="22"/>
        </w:rPr>
        <w:t>Coordinador de la formulación de los recursos del Área de Informática.</w:t>
      </w:r>
    </w:p>
    <w:p w14:paraId="1C21E44F" w14:textId="77777777" w:rsidR="00B15F7D" w:rsidRPr="00990FB6" w:rsidRDefault="00B15F7D" w:rsidP="00B15F7D">
      <w:pPr>
        <w:numPr>
          <w:ilvl w:val="0"/>
          <w:numId w:val="107"/>
        </w:numPr>
        <w:suppressAutoHyphens w:val="0"/>
        <w:ind w:left="851" w:right="851" w:firstLine="709"/>
        <w:jc w:val="both"/>
        <w:rPr>
          <w:iCs/>
          <w:spacing w:val="-3"/>
          <w:sz w:val="22"/>
          <w:szCs w:val="22"/>
        </w:rPr>
      </w:pPr>
      <w:r w:rsidRPr="00990FB6">
        <w:rPr>
          <w:iCs/>
          <w:spacing w:val="-3"/>
          <w:sz w:val="22"/>
          <w:szCs w:val="22"/>
        </w:rPr>
        <w:t>Responsable de la revisión, análisis y consolidación de los recursos incluidos en el Área de Informática.</w:t>
      </w:r>
    </w:p>
    <w:p w14:paraId="5B40704E" w14:textId="77777777" w:rsidR="00B15F7D" w:rsidRPr="00990FB6" w:rsidRDefault="00B15F7D" w:rsidP="00B15F7D">
      <w:pPr>
        <w:numPr>
          <w:ilvl w:val="0"/>
          <w:numId w:val="107"/>
        </w:numPr>
        <w:suppressAutoHyphens w:val="0"/>
        <w:ind w:left="851" w:right="851" w:firstLine="709"/>
        <w:jc w:val="both"/>
        <w:rPr>
          <w:iCs/>
          <w:spacing w:val="-3"/>
          <w:sz w:val="22"/>
          <w:szCs w:val="22"/>
        </w:rPr>
      </w:pPr>
      <w:r w:rsidRPr="00990FB6">
        <w:rPr>
          <w:iCs/>
          <w:spacing w:val="-3"/>
          <w:sz w:val="22"/>
          <w:szCs w:val="22"/>
        </w:rPr>
        <w:t>Revisar y realizar observaciones del documento de directrices presupuestarias.</w:t>
      </w:r>
    </w:p>
    <w:p w14:paraId="522156B9" w14:textId="77777777" w:rsidR="00B15F7D" w:rsidRPr="00990FB6" w:rsidRDefault="00B15F7D" w:rsidP="00B15F7D">
      <w:pPr>
        <w:numPr>
          <w:ilvl w:val="0"/>
          <w:numId w:val="107"/>
        </w:numPr>
        <w:suppressAutoHyphens w:val="0"/>
        <w:ind w:left="851" w:right="851" w:firstLine="709"/>
        <w:jc w:val="both"/>
        <w:rPr>
          <w:iCs/>
          <w:spacing w:val="-3"/>
          <w:sz w:val="22"/>
          <w:szCs w:val="22"/>
        </w:rPr>
      </w:pPr>
      <w:r w:rsidRPr="00990FB6">
        <w:rPr>
          <w:iCs/>
          <w:spacing w:val="-3"/>
          <w:sz w:val="22"/>
          <w:szCs w:val="22"/>
        </w:rPr>
        <w:t>Atender los requerimientos solicitados para los sistemas: Sistema de Proyección Plurianual, Sistema de Preformulación y Sistema SIGA-PJ.</w:t>
      </w:r>
    </w:p>
    <w:p w14:paraId="6408D0BF" w14:textId="77777777" w:rsidR="00B15F7D" w:rsidRPr="00990FB6" w:rsidRDefault="00B15F7D" w:rsidP="00B15F7D">
      <w:pPr>
        <w:numPr>
          <w:ilvl w:val="0"/>
          <w:numId w:val="107"/>
        </w:numPr>
        <w:suppressAutoHyphens w:val="0"/>
        <w:ind w:left="851" w:right="851" w:firstLine="709"/>
        <w:jc w:val="both"/>
        <w:rPr>
          <w:iCs/>
          <w:spacing w:val="-3"/>
          <w:sz w:val="22"/>
          <w:szCs w:val="22"/>
        </w:rPr>
      </w:pPr>
      <w:r w:rsidRPr="00990FB6">
        <w:rPr>
          <w:iCs/>
          <w:spacing w:val="-3"/>
          <w:sz w:val="22"/>
          <w:szCs w:val="22"/>
        </w:rPr>
        <w:t xml:space="preserve">Realizar los ajustes correspondientes en el Sistema de Proyección Plurianual cuando producto de la etapa de </w:t>
      </w:r>
      <w:proofErr w:type="spellStart"/>
      <w:r w:rsidRPr="00990FB6">
        <w:rPr>
          <w:iCs/>
          <w:spacing w:val="-3"/>
          <w:sz w:val="22"/>
          <w:szCs w:val="22"/>
        </w:rPr>
        <w:t>preformulación</w:t>
      </w:r>
      <w:proofErr w:type="spellEnd"/>
      <w:r w:rsidRPr="00990FB6">
        <w:rPr>
          <w:iCs/>
          <w:spacing w:val="-3"/>
          <w:sz w:val="22"/>
          <w:szCs w:val="22"/>
        </w:rPr>
        <w:t>; se realicen cambios en los montos proyectados para los proyectos estratégicos en el área presupuestaria de informática, específicamente para el periodo 2024.</w:t>
      </w:r>
    </w:p>
    <w:p w14:paraId="413D0B8C" w14:textId="77777777" w:rsidR="00B15F7D" w:rsidRPr="00990FB6" w:rsidRDefault="00B15F7D" w:rsidP="00B15F7D">
      <w:pPr>
        <w:ind w:left="851" w:right="851" w:firstLine="709"/>
        <w:jc w:val="both"/>
        <w:rPr>
          <w:iCs/>
          <w:spacing w:val="-3"/>
          <w:sz w:val="22"/>
          <w:szCs w:val="22"/>
        </w:rPr>
      </w:pPr>
    </w:p>
    <w:p w14:paraId="5DF0E3BB"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Dirección Ejecutiva</w:t>
      </w:r>
    </w:p>
    <w:p w14:paraId="7D5D7005" w14:textId="77777777" w:rsidR="00B15F7D" w:rsidRPr="00990FB6" w:rsidRDefault="00B15F7D" w:rsidP="00B15F7D">
      <w:pPr>
        <w:ind w:left="851" w:right="851" w:firstLine="709"/>
        <w:jc w:val="both"/>
        <w:rPr>
          <w:b/>
          <w:bCs/>
          <w:iCs/>
          <w:spacing w:val="-3"/>
          <w:sz w:val="22"/>
          <w:szCs w:val="22"/>
        </w:rPr>
      </w:pPr>
    </w:p>
    <w:p w14:paraId="049F7006" w14:textId="77777777" w:rsidR="00B15F7D" w:rsidRPr="00990FB6" w:rsidRDefault="00B15F7D" w:rsidP="00B15F7D">
      <w:pPr>
        <w:numPr>
          <w:ilvl w:val="0"/>
          <w:numId w:val="108"/>
        </w:numPr>
        <w:suppressAutoHyphens w:val="0"/>
        <w:ind w:left="851" w:right="851" w:firstLine="709"/>
        <w:jc w:val="both"/>
        <w:rPr>
          <w:iCs/>
          <w:spacing w:val="-3"/>
          <w:sz w:val="22"/>
          <w:szCs w:val="22"/>
        </w:rPr>
      </w:pPr>
      <w:r w:rsidRPr="00990FB6">
        <w:rPr>
          <w:iCs/>
          <w:spacing w:val="-3"/>
          <w:sz w:val="22"/>
          <w:szCs w:val="22"/>
        </w:rPr>
        <w:t>Administrador de la seguridad del Sistema de Preformulación.</w:t>
      </w:r>
    </w:p>
    <w:p w14:paraId="7399418F" w14:textId="77777777" w:rsidR="00B15F7D" w:rsidRPr="00990FB6" w:rsidRDefault="00B15F7D" w:rsidP="00B15F7D">
      <w:pPr>
        <w:numPr>
          <w:ilvl w:val="0"/>
          <w:numId w:val="108"/>
        </w:numPr>
        <w:suppressAutoHyphens w:val="0"/>
        <w:ind w:left="851" w:right="851" w:firstLine="709"/>
        <w:jc w:val="both"/>
        <w:rPr>
          <w:iCs/>
          <w:spacing w:val="-3"/>
          <w:sz w:val="22"/>
          <w:szCs w:val="22"/>
        </w:rPr>
      </w:pPr>
      <w:r w:rsidRPr="00990FB6">
        <w:rPr>
          <w:iCs/>
          <w:spacing w:val="-3"/>
          <w:sz w:val="22"/>
          <w:szCs w:val="22"/>
        </w:rPr>
        <w:t xml:space="preserve">Revisar y aprobar la </w:t>
      </w:r>
      <w:proofErr w:type="spellStart"/>
      <w:r w:rsidRPr="00990FB6">
        <w:rPr>
          <w:iCs/>
          <w:spacing w:val="-3"/>
          <w:sz w:val="22"/>
          <w:szCs w:val="22"/>
        </w:rPr>
        <w:t>preformulación</w:t>
      </w:r>
      <w:proofErr w:type="spellEnd"/>
      <w:r w:rsidRPr="00990FB6">
        <w:rPr>
          <w:iCs/>
          <w:spacing w:val="-3"/>
          <w:sz w:val="22"/>
          <w:szCs w:val="22"/>
        </w:rPr>
        <w:t xml:space="preserve"> en el Área de Informática, realizada por las Administraciones Regionales y los Departamentos a su cargo para su posterior traslado a la Dirección de Tecnología de la Información y Comunicaciones.</w:t>
      </w:r>
    </w:p>
    <w:p w14:paraId="597511AB" w14:textId="77777777" w:rsidR="00B15F7D" w:rsidRPr="00990FB6" w:rsidRDefault="00B15F7D" w:rsidP="00B15F7D">
      <w:pPr>
        <w:numPr>
          <w:ilvl w:val="0"/>
          <w:numId w:val="108"/>
        </w:numPr>
        <w:suppressAutoHyphens w:val="0"/>
        <w:ind w:left="851" w:right="851" w:firstLine="709"/>
        <w:jc w:val="both"/>
        <w:rPr>
          <w:iCs/>
          <w:spacing w:val="-3"/>
          <w:sz w:val="22"/>
          <w:szCs w:val="22"/>
        </w:rPr>
      </w:pPr>
      <w:r w:rsidRPr="00990FB6">
        <w:rPr>
          <w:iCs/>
          <w:spacing w:val="-3"/>
          <w:sz w:val="22"/>
          <w:szCs w:val="22"/>
        </w:rPr>
        <w:t>Coordinador de la formulación de las Áreas de Seguridad, Construcciones y Vehículos.</w:t>
      </w:r>
    </w:p>
    <w:p w14:paraId="7B33BDBC" w14:textId="77777777" w:rsidR="00B15F7D" w:rsidRPr="00990FB6" w:rsidRDefault="00B15F7D" w:rsidP="00B15F7D">
      <w:pPr>
        <w:numPr>
          <w:ilvl w:val="0"/>
          <w:numId w:val="108"/>
        </w:numPr>
        <w:suppressAutoHyphens w:val="0"/>
        <w:ind w:left="851" w:right="851" w:firstLine="709"/>
        <w:jc w:val="both"/>
        <w:rPr>
          <w:iCs/>
          <w:spacing w:val="-3"/>
          <w:sz w:val="22"/>
          <w:szCs w:val="22"/>
        </w:rPr>
      </w:pPr>
      <w:r w:rsidRPr="00990FB6">
        <w:rPr>
          <w:iCs/>
          <w:spacing w:val="-3"/>
          <w:sz w:val="22"/>
          <w:szCs w:val="22"/>
        </w:rPr>
        <w:t>Responsable de la revisión, análisis y consolidación de los recursos incluidos en el Área de Seguridad, Construcciones y Vehículos.</w:t>
      </w:r>
    </w:p>
    <w:p w14:paraId="0B02D5BA" w14:textId="77777777" w:rsidR="00B15F7D" w:rsidRPr="00990FB6" w:rsidRDefault="00B15F7D" w:rsidP="00B15F7D">
      <w:pPr>
        <w:numPr>
          <w:ilvl w:val="0"/>
          <w:numId w:val="108"/>
        </w:numPr>
        <w:suppressAutoHyphens w:val="0"/>
        <w:ind w:left="851" w:right="851" w:firstLine="709"/>
        <w:jc w:val="both"/>
        <w:rPr>
          <w:iCs/>
          <w:spacing w:val="-3"/>
          <w:sz w:val="22"/>
          <w:szCs w:val="22"/>
        </w:rPr>
      </w:pPr>
      <w:r w:rsidRPr="00990FB6">
        <w:rPr>
          <w:iCs/>
          <w:spacing w:val="-3"/>
          <w:sz w:val="22"/>
          <w:szCs w:val="22"/>
        </w:rPr>
        <w:lastRenderedPageBreak/>
        <w:t>Revisar y realizar observaciones del documento de directrices presupuestarias.</w:t>
      </w:r>
    </w:p>
    <w:p w14:paraId="06CE00F0" w14:textId="77777777" w:rsidR="00B15F7D" w:rsidRPr="00990FB6" w:rsidRDefault="00B15F7D" w:rsidP="00B15F7D">
      <w:pPr>
        <w:numPr>
          <w:ilvl w:val="0"/>
          <w:numId w:val="108"/>
        </w:numPr>
        <w:suppressAutoHyphens w:val="0"/>
        <w:ind w:left="851" w:right="851" w:firstLine="709"/>
        <w:jc w:val="both"/>
        <w:rPr>
          <w:iCs/>
          <w:spacing w:val="-3"/>
          <w:sz w:val="22"/>
          <w:szCs w:val="22"/>
        </w:rPr>
      </w:pPr>
      <w:r w:rsidRPr="00990FB6">
        <w:rPr>
          <w:iCs/>
          <w:spacing w:val="-3"/>
          <w:sz w:val="22"/>
          <w:szCs w:val="22"/>
        </w:rPr>
        <w:t xml:space="preserve">Realizar los ajustes correspondientes en el Sistema de Proyección Plurianual cuando producto de la etapa de </w:t>
      </w:r>
      <w:proofErr w:type="spellStart"/>
      <w:r w:rsidRPr="00990FB6">
        <w:rPr>
          <w:iCs/>
          <w:spacing w:val="-3"/>
          <w:sz w:val="22"/>
          <w:szCs w:val="22"/>
        </w:rPr>
        <w:t>preformulación</w:t>
      </w:r>
      <w:proofErr w:type="spellEnd"/>
      <w:r w:rsidRPr="00990FB6">
        <w:rPr>
          <w:iCs/>
          <w:spacing w:val="-3"/>
          <w:sz w:val="22"/>
          <w:szCs w:val="22"/>
        </w:rPr>
        <w:t>; se realicen cambios en los montos proyectados para los proyectos estratégicos en las áreas presupuestarias de construcciones, seguridad y vehículos, específicamente para el periodo 2024.</w:t>
      </w:r>
    </w:p>
    <w:p w14:paraId="2806ABCA" w14:textId="77777777" w:rsidR="00B15F7D" w:rsidRPr="00990FB6" w:rsidRDefault="00B15F7D" w:rsidP="00B15F7D">
      <w:pPr>
        <w:ind w:left="851" w:right="851" w:firstLine="709"/>
        <w:jc w:val="both"/>
        <w:rPr>
          <w:iCs/>
          <w:spacing w:val="-3"/>
          <w:sz w:val="22"/>
          <w:szCs w:val="22"/>
        </w:rPr>
      </w:pPr>
    </w:p>
    <w:p w14:paraId="22F92B7E"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Dirección de Gestión Humana</w:t>
      </w:r>
    </w:p>
    <w:p w14:paraId="4C0642B6" w14:textId="77777777" w:rsidR="00B15F7D" w:rsidRPr="00990FB6" w:rsidRDefault="00B15F7D" w:rsidP="00B15F7D">
      <w:pPr>
        <w:ind w:left="851" w:right="851" w:firstLine="709"/>
        <w:jc w:val="both"/>
        <w:rPr>
          <w:b/>
          <w:bCs/>
          <w:iCs/>
          <w:spacing w:val="-3"/>
          <w:sz w:val="22"/>
          <w:szCs w:val="22"/>
        </w:rPr>
      </w:pPr>
    </w:p>
    <w:p w14:paraId="273A13F7" w14:textId="77777777" w:rsidR="00B15F7D" w:rsidRPr="00990FB6" w:rsidRDefault="00B15F7D" w:rsidP="00B15F7D">
      <w:pPr>
        <w:numPr>
          <w:ilvl w:val="0"/>
          <w:numId w:val="109"/>
        </w:numPr>
        <w:suppressAutoHyphens w:val="0"/>
        <w:ind w:left="851" w:right="851" w:firstLine="709"/>
        <w:jc w:val="both"/>
        <w:rPr>
          <w:iCs/>
          <w:spacing w:val="-3"/>
          <w:sz w:val="22"/>
          <w:szCs w:val="22"/>
        </w:rPr>
      </w:pPr>
      <w:r w:rsidRPr="00990FB6">
        <w:rPr>
          <w:iCs/>
          <w:spacing w:val="-3"/>
          <w:sz w:val="22"/>
          <w:szCs w:val="22"/>
        </w:rPr>
        <w:t>Revisar y realizar observaciones del documento de directrices presupuestarias.</w:t>
      </w:r>
    </w:p>
    <w:p w14:paraId="7A1CA805" w14:textId="77777777" w:rsidR="00B15F7D" w:rsidRPr="00990FB6" w:rsidRDefault="00B15F7D" w:rsidP="00B15F7D">
      <w:pPr>
        <w:ind w:left="851" w:right="851" w:firstLine="709"/>
        <w:jc w:val="both"/>
        <w:rPr>
          <w:iCs/>
          <w:spacing w:val="-3"/>
          <w:sz w:val="22"/>
          <w:szCs w:val="22"/>
        </w:rPr>
      </w:pPr>
    </w:p>
    <w:p w14:paraId="3866B7FC"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Departamento Financiero Contable</w:t>
      </w:r>
    </w:p>
    <w:p w14:paraId="57AD153D" w14:textId="77777777" w:rsidR="00B15F7D" w:rsidRPr="00990FB6" w:rsidRDefault="00B15F7D" w:rsidP="00B15F7D">
      <w:pPr>
        <w:ind w:left="851" w:right="851" w:firstLine="709"/>
        <w:jc w:val="both"/>
        <w:rPr>
          <w:b/>
          <w:bCs/>
          <w:iCs/>
          <w:spacing w:val="-3"/>
          <w:sz w:val="22"/>
          <w:szCs w:val="22"/>
        </w:rPr>
      </w:pPr>
    </w:p>
    <w:p w14:paraId="2614A512" w14:textId="77777777" w:rsidR="00B15F7D" w:rsidRPr="00990FB6" w:rsidRDefault="00B15F7D" w:rsidP="00B15F7D">
      <w:pPr>
        <w:numPr>
          <w:ilvl w:val="0"/>
          <w:numId w:val="110"/>
        </w:numPr>
        <w:suppressAutoHyphens w:val="0"/>
        <w:ind w:left="851" w:right="851" w:firstLine="709"/>
        <w:jc w:val="both"/>
        <w:rPr>
          <w:iCs/>
          <w:spacing w:val="-3"/>
          <w:sz w:val="22"/>
          <w:szCs w:val="22"/>
        </w:rPr>
      </w:pPr>
      <w:r w:rsidRPr="00990FB6">
        <w:rPr>
          <w:iCs/>
          <w:spacing w:val="-3"/>
          <w:sz w:val="22"/>
          <w:szCs w:val="22"/>
        </w:rPr>
        <w:t>Revisar y realizar observaciones del documento de directrices presupuestarias.</w:t>
      </w:r>
    </w:p>
    <w:p w14:paraId="010D6A33" w14:textId="77777777" w:rsidR="00B15F7D" w:rsidRPr="00990FB6" w:rsidRDefault="00B15F7D" w:rsidP="00B15F7D">
      <w:pPr>
        <w:numPr>
          <w:ilvl w:val="0"/>
          <w:numId w:val="109"/>
        </w:numPr>
        <w:suppressAutoHyphens w:val="0"/>
        <w:ind w:left="851" w:right="851" w:firstLine="709"/>
        <w:jc w:val="both"/>
        <w:rPr>
          <w:iCs/>
          <w:spacing w:val="-3"/>
          <w:sz w:val="22"/>
          <w:szCs w:val="22"/>
        </w:rPr>
      </w:pPr>
      <w:r w:rsidRPr="00990FB6">
        <w:rPr>
          <w:iCs/>
          <w:spacing w:val="-3"/>
          <w:sz w:val="22"/>
          <w:szCs w:val="22"/>
        </w:rPr>
        <w:t xml:space="preserve">Responsable de la estimación de servicios públicos, tipo de cambio, servicio de correo y servicio telegráfico, atender consultas y ajustes de los datos generados.  </w:t>
      </w:r>
    </w:p>
    <w:p w14:paraId="7AAFE504" w14:textId="77777777" w:rsidR="00B15F7D" w:rsidRPr="00990FB6" w:rsidRDefault="00B15F7D" w:rsidP="00B15F7D">
      <w:pPr>
        <w:numPr>
          <w:ilvl w:val="0"/>
          <w:numId w:val="109"/>
        </w:numPr>
        <w:suppressAutoHyphens w:val="0"/>
        <w:ind w:left="851" w:right="851" w:firstLine="709"/>
        <w:jc w:val="both"/>
        <w:rPr>
          <w:iCs/>
          <w:spacing w:val="-3"/>
          <w:sz w:val="22"/>
          <w:szCs w:val="22"/>
        </w:rPr>
      </w:pPr>
      <w:r w:rsidRPr="00990FB6">
        <w:rPr>
          <w:sz w:val="22"/>
          <w:szCs w:val="22"/>
        </w:rPr>
        <w:t>Brindar el aval o sugerir las subpartidas de los proyectos del Área de Construcciones.</w:t>
      </w:r>
    </w:p>
    <w:p w14:paraId="48F1B706" w14:textId="77777777" w:rsidR="00B15F7D" w:rsidRPr="00990FB6" w:rsidRDefault="00B15F7D" w:rsidP="00B15F7D">
      <w:pPr>
        <w:ind w:left="851" w:right="851" w:firstLine="709"/>
        <w:rPr>
          <w:b/>
          <w:bCs/>
          <w:iCs/>
          <w:spacing w:val="-3"/>
          <w:sz w:val="22"/>
          <w:szCs w:val="22"/>
        </w:rPr>
      </w:pPr>
    </w:p>
    <w:p w14:paraId="7C074E32"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Departamento de Proveeduría</w:t>
      </w:r>
    </w:p>
    <w:p w14:paraId="3F4FDF62" w14:textId="77777777" w:rsidR="00B15F7D" w:rsidRPr="00990FB6" w:rsidRDefault="00B15F7D" w:rsidP="00B15F7D">
      <w:pPr>
        <w:ind w:left="851" w:right="851" w:firstLine="709"/>
        <w:jc w:val="both"/>
        <w:rPr>
          <w:b/>
          <w:bCs/>
          <w:iCs/>
          <w:spacing w:val="-3"/>
          <w:sz w:val="22"/>
          <w:szCs w:val="22"/>
        </w:rPr>
      </w:pPr>
    </w:p>
    <w:p w14:paraId="763978F5" w14:textId="77777777" w:rsidR="00B15F7D" w:rsidRPr="00990FB6" w:rsidRDefault="00B15F7D" w:rsidP="00B15F7D">
      <w:pPr>
        <w:numPr>
          <w:ilvl w:val="0"/>
          <w:numId w:val="116"/>
        </w:numPr>
        <w:suppressAutoHyphens w:val="0"/>
        <w:ind w:left="851" w:right="851" w:firstLine="709"/>
        <w:jc w:val="both"/>
        <w:rPr>
          <w:iCs/>
          <w:spacing w:val="-3"/>
          <w:sz w:val="22"/>
          <w:szCs w:val="22"/>
        </w:rPr>
      </w:pPr>
      <w:r w:rsidRPr="00990FB6">
        <w:rPr>
          <w:iCs/>
          <w:spacing w:val="-3"/>
          <w:sz w:val="22"/>
          <w:szCs w:val="22"/>
        </w:rPr>
        <w:t>Revisar y realizar observaciones del documento de directrices presupuestarias.</w:t>
      </w:r>
    </w:p>
    <w:p w14:paraId="15E23E5A" w14:textId="77777777" w:rsidR="00B15F7D" w:rsidRPr="00990FB6" w:rsidRDefault="00B15F7D" w:rsidP="00B15F7D">
      <w:pPr>
        <w:numPr>
          <w:ilvl w:val="0"/>
          <w:numId w:val="116"/>
        </w:numPr>
        <w:suppressAutoHyphens w:val="0"/>
        <w:ind w:left="851" w:right="851" w:firstLine="709"/>
        <w:jc w:val="both"/>
        <w:rPr>
          <w:iCs/>
          <w:spacing w:val="-3"/>
          <w:sz w:val="22"/>
          <w:szCs w:val="22"/>
        </w:rPr>
      </w:pPr>
      <w:r w:rsidRPr="00990FB6">
        <w:rPr>
          <w:iCs/>
          <w:spacing w:val="-3"/>
          <w:sz w:val="22"/>
          <w:szCs w:val="22"/>
        </w:rPr>
        <w:t>Responsable de la actualización de cuadros de consumo, artículos con parámetros, actualización del catálogo de bienes y servicios, inclusión del tipo de cambio, contratos, históricos de consumo de combustible, atender consultas y ajustes de los datos generados.</w:t>
      </w:r>
    </w:p>
    <w:p w14:paraId="237EB32D" w14:textId="77777777" w:rsidR="00B15F7D" w:rsidRPr="00990FB6" w:rsidRDefault="00B15F7D" w:rsidP="00B15F7D">
      <w:pPr>
        <w:ind w:left="851" w:right="851" w:firstLine="709"/>
        <w:jc w:val="both"/>
        <w:rPr>
          <w:iCs/>
          <w:spacing w:val="-3"/>
          <w:sz w:val="22"/>
          <w:szCs w:val="22"/>
        </w:rPr>
      </w:pPr>
    </w:p>
    <w:p w14:paraId="4EAC8CD4"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Departamento de Servicios Generales</w:t>
      </w:r>
    </w:p>
    <w:p w14:paraId="4CA385CB" w14:textId="77777777" w:rsidR="00B15F7D" w:rsidRPr="00990FB6" w:rsidRDefault="00B15F7D" w:rsidP="00B15F7D">
      <w:pPr>
        <w:ind w:left="851" w:right="851" w:firstLine="709"/>
        <w:jc w:val="both"/>
        <w:rPr>
          <w:b/>
          <w:bCs/>
          <w:iCs/>
          <w:spacing w:val="-3"/>
          <w:sz w:val="22"/>
          <w:szCs w:val="22"/>
        </w:rPr>
      </w:pPr>
    </w:p>
    <w:p w14:paraId="3850A25A" w14:textId="77777777" w:rsidR="00B15F7D" w:rsidRPr="00990FB6" w:rsidRDefault="00B15F7D" w:rsidP="00B15F7D">
      <w:pPr>
        <w:numPr>
          <w:ilvl w:val="0"/>
          <w:numId w:val="111"/>
        </w:numPr>
        <w:suppressAutoHyphens w:val="0"/>
        <w:ind w:left="851" w:right="851" w:firstLine="709"/>
        <w:jc w:val="both"/>
        <w:rPr>
          <w:iCs/>
          <w:spacing w:val="-3"/>
          <w:sz w:val="22"/>
          <w:szCs w:val="22"/>
        </w:rPr>
      </w:pPr>
      <w:r w:rsidRPr="00990FB6">
        <w:rPr>
          <w:iCs/>
          <w:spacing w:val="-3"/>
          <w:sz w:val="22"/>
          <w:szCs w:val="22"/>
        </w:rPr>
        <w:t>Revisar y realizar observaciones del documento de directrices presupuestarias.</w:t>
      </w:r>
    </w:p>
    <w:p w14:paraId="087115DD" w14:textId="77777777" w:rsidR="00B15F7D" w:rsidRPr="00990FB6" w:rsidRDefault="00B15F7D" w:rsidP="00B15F7D">
      <w:pPr>
        <w:numPr>
          <w:ilvl w:val="0"/>
          <w:numId w:val="111"/>
        </w:numPr>
        <w:suppressAutoHyphens w:val="0"/>
        <w:ind w:left="851" w:right="851" w:firstLine="709"/>
        <w:jc w:val="both"/>
        <w:rPr>
          <w:iCs/>
          <w:spacing w:val="-3"/>
          <w:sz w:val="22"/>
          <w:szCs w:val="22"/>
        </w:rPr>
      </w:pPr>
      <w:r w:rsidRPr="00990FB6">
        <w:rPr>
          <w:iCs/>
          <w:spacing w:val="-3"/>
          <w:sz w:val="22"/>
          <w:szCs w:val="22"/>
        </w:rPr>
        <w:t>Responsable de distribuir los montos del servicio de correo y servicio telegráfico.</w:t>
      </w:r>
    </w:p>
    <w:p w14:paraId="7560777A" w14:textId="77777777" w:rsidR="00B15F7D" w:rsidRPr="00990FB6" w:rsidRDefault="00B15F7D" w:rsidP="00B15F7D">
      <w:pPr>
        <w:ind w:left="851" w:right="851" w:firstLine="709"/>
        <w:jc w:val="both"/>
        <w:rPr>
          <w:iCs/>
          <w:spacing w:val="-3"/>
          <w:sz w:val="22"/>
          <w:szCs w:val="22"/>
        </w:rPr>
      </w:pPr>
    </w:p>
    <w:p w14:paraId="10D48C5E"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Departamento de Seguridad</w:t>
      </w:r>
    </w:p>
    <w:p w14:paraId="4519AE2B" w14:textId="77777777" w:rsidR="00B15F7D" w:rsidRPr="00990FB6" w:rsidRDefault="00B15F7D" w:rsidP="00B15F7D">
      <w:pPr>
        <w:ind w:left="851" w:right="851" w:firstLine="709"/>
        <w:jc w:val="both"/>
        <w:rPr>
          <w:b/>
          <w:bCs/>
          <w:iCs/>
          <w:spacing w:val="-3"/>
          <w:sz w:val="22"/>
          <w:szCs w:val="22"/>
        </w:rPr>
      </w:pPr>
    </w:p>
    <w:p w14:paraId="053B6E0F" w14:textId="77777777" w:rsidR="00B15F7D" w:rsidRPr="00990FB6" w:rsidRDefault="00B15F7D" w:rsidP="00B15F7D">
      <w:pPr>
        <w:numPr>
          <w:ilvl w:val="0"/>
          <w:numId w:val="113"/>
        </w:numPr>
        <w:suppressAutoHyphens w:val="0"/>
        <w:ind w:left="851" w:right="851" w:firstLine="709"/>
        <w:jc w:val="both"/>
        <w:rPr>
          <w:iCs/>
          <w:spacing w:val="-3"/>
          <w:sz w:val="22"/>
          <w:szCs w:val="22"/>
        </w:rPr>
      </w:pPr>
      <w:r w:rsidRPr="00990FB6">
        <w:rPr>
          <w:iCs/>
          <w:spacing w:val="-3"/>
          <w:sz w:val="22"/>
          <w:szCs w:val="22"/>
        </w:rPr>
        <w:t>Revisar y realizar observaciones del documento de directrices presupuestarias.</w:t>
      </w:r>
    </w:p>
    <w:p w14:paraId="53F9DF09" w14:textId="77777777" w:rsidR="00B15F7D" w:rsidRPr="00990FB6" w:rsidRDefault="00B15F7D" w:rsidP="00B15F7D">
      <w:pPr>
        <w:numPr>
          <w:ilvl w:val="0"/>
          <w:numId w:val="112"/>
        </w:numPr>
        <w:suppressAutoHyphens w:val="0"/>
        <w:ind w:left="851" w:right="851" w:firstLine="709"/>
        <w:jc w:val="both"/>
        <w:rPr>
          <w:iCs/>
          <w:spacing w:val="-3"/>
          <w:sz w:val="22"/>
          <w:szCs w:val="22"/>
        </w:rPr>
      </w:pPr>
      <w:r w:rsidRPr="00990FB6">
        <w:rPr>
          <w:iCs/>
          <w:spacing w:val="-3"/>
          <w:sz w:val="22"/>
          <w:szCs w:val="22"/>
        </w:rPr>
        <w:t>Encargado de la formulación del Área de Seguridad.</w:t>
      </w:r>
    </w:p>
    <w:p w14:paraId="33EE2ED7" w14:textId="77777777" w:rsidR="00B15F7D" w:rsidRPr="00990FB6" w:rsidRDefault="00B15F7D" w:rsidP="00B15F7D">
      <w:pPr>
        <w:ind w:left="851" w:right="851" w:firstLine="709"/>
        <w:jc w:val="both"/>
        <w:rPr>
          <w:iCs/>
          <w:spacing w:val="-3"/>
          <w:sz w:val="22"/>
          <w:szCs w:val="22"/>
        </w:rPr>
      </w:pPr>
    </w:p>
    <w:p w14:paraId="5387CE63"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A las Oficinas Líderes de Proyectos Estratégicos</w:t>
      </w:r>
    </w:p>
    <w:p w14:paraId="1C059577" w14:textId="77777777" w:rsidR="00B15F7D" w:rsidRPr="00990FB6" w:rsidRDefault="00B15F7D" w:rsidP="00B15F7D">
      <w:pPr>
        <w:ind w:left="851" w:right="851" w:firstLine="709"/>
        <w:jc w:val="both"/>
        <w:rPr>
          <w:b/>
          <w:bCs/>
          <w:iCs/>
          <w:spacing w:val="-3"/>
          <w:sz w:val="22"/>
          <w:szCs w:val="22"/>
        </w:rPr>
      </w:pPr>
    </w:p>
    <w:p w14:paraId="1D43C67B" w14:textId="77777777" w:rsidR="00B15F7D" w:rsidRPr="00990FB6" w:rsidRDefault="00B15F7D" w:rsidP="00B15F7D">
      <w:pPr>
        <w:numPr>
          <w:ilvl w:val="0"/>
          <w:numId w:val="114"/>
        </w:numPr>
        <w:suppressAutoHyphens w:val="0"/>
        <w:ind w:left="851" w:right="851" w:firstLine="709"/>
        <w:jc w:val="both"/>
        <w:rPr>
          <w:iCs/>
          <w:spacing w:val="-3"/>
          <w:sz w:val="22"/>
          <w:szCs w:val="22"/>
        </w:rPr>
      </w:pPr>
      <w:r w:rsidRPr="00990FB6">
        <w:rPr>
          <w:iCs/>
          <w:spacing w:val="-3"/>
          <w:sz w:val="22"/>
          <w:szCs w:val="22"/>
        </w:rPr>
        <w:lastRenderedPageBreak/>
        <w:t>Realizar la formulación de la proyección plurianual de los recursos de los proyectos de acuerdo con los plazos establecidos en el Cronograma.</w:t>
      </w:r>
    </w:p>
    <w:p w14:paraId="4C2224C4" w14:textId="77777777" w:rsidR="00B15F7D" w:rsidRPr="00990FB6" w:rsidRDefault="00B15F7D" w:rsidP="00B15F7D">
      <w:pPr>
        <w:numPr>
          <w:ilvl w:val="0"/>
          <w:numId w:val="114"/>
        </w:numPr>
        <w:suppressAutoHyphens w:val="0"/>
        <w:ind w:left="851" w:right="851" w:firstLine="709"/>
        <w:jc w:val="both"/>
        <w:rPr>
          <w:iCs/>
          <w:spacing w:val="-3"/>
          <w:sz w:val="22"/>
          <w:szCs w:val="22"/>
        </w:rPr>
      </w:pPr>
      <w:r w:rsidRPr="00990FB6">
        <w:rPr>
          <w:iCs/>
          <w:spacing w:val="-3"/>
          <w:sz w:val="22"/>
          <w:szCs w:val="22"/>
        </w:rPr>
        <w:t>Mantener el Sistema de Proyección Plurianual actualizado durante todo el proceso de formulación del presupuesto 2024, es decir que las diferentes oficinas a cargo de proyectos estratégicos velarán porque los montos proyectados en el Sistema de Proyección Plurianual coincidan con los montos destinados a proyectos estratégicos dentro del presupuesto 2024 de su oficina.</w:t>
      </w:r>
    </w:p>
    <w:p w14:paraId="54E94300" w14:textId="77777777" w:rsidR="00B15F7D" w:rsidRPr="00990FB6" w:rsidRDefault="00B15F7D" w:rsidP="00B15F7D">
      <w:pPr>
        <w:ind w:left="851" w:right="851" w:firstLine="709"/>
        <w:jc w:val="both"/>
        <w:rPr>
          <w:b/>
          <w:bCs/>
          <w:iCs/>
          <w:spacing w:val="-3"/>
          <w:sz w:val="22"/>
          <w:szCs w:val="22"/>
        </w:rPr>
      </w:pPr>
    </w:p>
    <w:p w14:paraId="13BC4200"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Oficinas, Centros de Responsabilidad y Programas</w:t>
      </w:r>
    </w:p>
    <w:p w14:paraId="383CBC2A" w14:textId="77777777" w:rsidR="00B15F7D" w:rsidRPr="00990FB6" w:rsidRDefault="00B15F7D" w:rsidP="00B15F7D">
      <w:pPr>
        <w:ind w:left="851" w:right="851" w:firstLine="709"/>
        <w:jc w:val="both"/>
        <w:rPr>
          <w:b/>
          <w:bCs/>
          <w:iCs/>
          <w:spacing w:val="-3"/>
          <w:sz w:val="22"/>
          <w:szCs w:val="22"/>
        </w:rPr>
      </w:pPr>
    </w:p>
    <w:p w14:paraId="0D0B59A6" w14:textId="77777777" w:rsidR="00B15F7D" w:rsidRPr="00990FB6" w:rsidRDefault="00B15F7D" w:rsidP="00B15F7D">
      <w:pPr>
        <w:numPr>
          <w:ilvl w:val="0"/>
          <w:numId w:val="115"/>
        </w:numPr>
        <w:suppressAutoHyphens w:val="0"/>
        <w:ind w:left="851" w:right="851" w:firstLine="709"/>
        <w:jc w:val="both"/>
        <w:rPr>
          <w:iCs/>
          <w:spacing w:val="-3"/>
          <w:sz w:val="22"/>
          <w:szCs w:val="22"/>
        </w:rPr>
      </w:pPr>
      <w:r w:rsidRPr="00990FB6">
        <w:rPr>
          <w:iCs/>
          <w:spacing w:val="-3"/>
          <w:sz w:val="22"/>
          <w:szCs w:val="22"/>
        </w:rPr>
        <w:t>Revisar los gastos fijos y servicios públicos obtenidos de la primera generación, remitir las consultas y solicitar los ajustes correspondientes, en el plazo establecido en el Cronograma.</w:t>
      </w:r>
    </w:p>
    <w:p w14:paraId="077AE63D" w14:textId="77777777" w:rsidR="00B15F7D" w:rsidRPr="00990FB6" w:rsidRDefault="00B15F7D" w:rsidP="00B15F7D">
      <w:pPr>
        <w:numPr>
          <w:ilvl w:val="0"/>
          <w:numId w:val="115"/>
        </w:numPr>
        <w:suppressAutoHyphens w:val="0"/>
        <w:ind w:left="851" w:right="851" w:firstLine="709"/>
        <w:jc w:val="both"/>
        <w:rPr>
          <w:iCs/>
          <w:spacing w:val="-3"/>
          <w:sz w:val="22"/>
          <w:szCs w:val="22"/>
        </w:rPr>
      </w:pPr>
      <w:r w:rsidRPr="00990FB6">
        <w:rPr>
          <w:iCs/>
          <w:spacing w:val="-3"/>
          <w:sz w:val="22"/>
          <w:szCs w:val="22"/>
        </w:rPr>
        <w:t>Realizar la formulación presupuestaria de recursos de las Áreas de Informática, Construcciones, Seguridad y Vehículos, en el plazo establecido en el Cronograma considerando los cambios realizados en el proceso.</w:t>
      </w:r>
    </w:p>
    <w:p w14:paraId="10DF56BA" w14:textId="6651D9D4" w:rsidR="00B15F7D" w:rsidRPr="00990FB6" w:rsidRDefault="00B15F7D" w:rsidP="00B15F7D">
      <w:pPr>
        <w:keepNext/>
        <w:numPr>
          <w:ilvl w:val="0"/>
          <w:numId w:val="104"/>
        </w:numPr>
        <w:tabs>
          <w:tab w:val="num" w:pos="720"/>
        </w:tabs>
        <w:ind w:left="851" w:right="851" w:firstLine="709"/>
        <w:jc w:val="center"/>
        <w:rPr>
          <w:b/>
          <w:bCs/>
          <w:i/>
          <w:iCs/>
          <w:sz w:val="22"/>
          <w:szCs w:val="22"/>
          <w:u w:val="single"/>
        </w:rPr>
      </w:pPr>
      <w:bookmarkStart w:id="12" w:name="_Toc135990670"/>
      <w:r w:rsidRPr="00990FB6">
        <w:rPr>
          <w:b/>
          <w:bCs/>
          <w:sz w:val="22"/>
          <w:szCs w:val="22"/>
          <w:u w:val="single"/>
        </w:rPr>
        <w:t>Conclusiones</w:t>
      </w:r>
      <w:bookmarkEnd w:id="12"/>
    </w:p>
    <w:p w14:paraId="6D1E95CB" w14:textId="77777777" w:rsidR="00F65B2B" w:rsidRPr="00990FB6" w:rsidRDefault="00F65B2B" w:rsidP="00F65B2B">
      <w:pPr>
        <w:keepNext/>
        <w:ind w:left="1560" w:right="851"/>
        <w:rPr>
          <w:b/>
          <w:bCs/>
          <w:i/>
          <w:iCs/>
          <w:sz w:val="22"/>
          <w:szCs w:val="22"/>
          <w:u w:val="single"/>
        </w:rPr>
      </w:pPr>
    </w:p>
    <w:p w14:paraId="630EE99F" w14:textId="77777777" w:rsidR="00B15F7D" w:rsidRPr="00990FB6" w:rsidRDefault="00B15F7D" w:rsidP="00B15F7D">
      <w:pPr>
        <w:ind w:left="851" w:right="851" w:firstLine="709"/>
        <w:jc w:val="both"/>
        <w:rPr>
          <w:iCs/>
          <w:spacing w:val="-3"/>
          <w:sz w:val="22"/>
          <w:szCs w:val="22"/>
        </w:rPr>
      </w:pPr>
      <w:r w:rsidRPr="00990FB6">
        <w:rPr>
          <w:iCs/>
          <w:spacing w:val="-3"/>
          <w:sz w:val="22"/>
          <w:szCs w:val="22"/>
        </w:rPr>
        <w:t xml:space="preserve">3.1. La Dirección de Planificación como ente rector del proceso de formulación presupuestaria en el Poder Judicial, debe elaborar el Cronograma de Actividades Previas a la Formulación Presupuestaria 2024 y remitirlo al Consejo Superior para su aprobación, en este se incluyen las actividades previas al inicio de la presupuestación en el Sistema SIGA-PJ. </w:t>
      </w:r>
    </w:p>
    <w:p w14:paraId="4E25609D" w14:textId="77777777" w:rsidR="00B15F7D" w:rsidRPr="00990FB6" w:rsidRDefault="00B15F7D" w:rsidP="00B15F7D">
      <w:pPr>
        <w:ind w:left="851" w:right="851" w:firstLine="709"/>
        <w:jc w:val="both"/>
        <w:rPr>
          <w:iCs/>
          <w:spacing w:val="-3"/>
          <w:sz w:val="22"/>
          <w:szCs w:val="22"/>
        </w:rPr>
      </w:pPr>
    </w:p>
    <w:p w14:paraId="0AF83770" w14:textId="77777777" w:rsidR="00B15F7D" w:rsidRPr="00990FB6" w:rsidRDefault="00B15F7D" w:rsidP="00B15F7D">
      <w:pPr>
        <w:ind w:left="851" w:right="851" w:firstLine="709"/>
        <w:jc w:val="both"/>
        <w:rPr>
          <w:iCs/>
          <w:spacing w:val="-3"/>
          <w:sz w:val="22"/>
          <w:szCs w:val="22"/>
        </w:rPr>
      </w:pPr>
      <w:r w:rsidRPr="00990FB6">
        <w:rPr>
          <w:iCs/>
          <w:spacing w:val="-3"/>
          <w:sz w:val="22"/>
          <w:szCs w:val="22"/>
        </w:rPr>
        <w:t>3.2. El cronograma debe ser de cumplimiento obligatorio para todas las oficinas y centros de responsabilidad involucrados en el proceso. El cambio más importante está relacionado con la incorporación de recursos humanos en los proyectos estratégicos.</w:t>
      </w:r>
    </w:p>
    <w:p w14:paraId="6F737357" w14:textId="77777777" w:rsidR="00B15F7D" w:rsidRPr="00990FB6" w:rsidRDefault="00B15F7D" w:rsidP="00B15F7D">
      <w:pPr>
        <w:ind w:left="851" w:right="851" w:firstLine="709"/>
        <w:jc w:val="both"/>
        <w:rPr>
          <w:iCs/>
          <w:spacing w:val="-3"/>
          <w:sz w:val="22"/>
          <w:szCs w:val="22"/>
        </w:rPr>
      </w:pPr>
    </w:p>
    <w:p w14:paraId="3B1CBE87" w14:textId="49658FA5" w:rsidR="00B15F7D" w:rsidRPr="00990FB6" w:rsidRDefault="00B15F7D" w:rsidP="00B15F7D">
      <w:pPr>
        <w:keepNext/>
        <w:numPr>
          <w:ilvl w:val="0"/>
          <w:numId w:val="104"/>
        </w:numPr>
        <w:tabs>
          <w:tab w:val="num" w:pos="720"/>
        </w:tabs>
        <w:ind w:left="851" w:right="851" w:firstLine="709"/>
        <w:jc w:val="both"/>
        <w:rPr>
          <w:b/>
          <w:bCs/>
          <w:i/>
          <w:iCs/>
          <w:spacing w:val="-3"/>
          <w:sz w:val="22"/>
          <w:szCs w:val="22"/>
          <w:u w:val="single"/>
        </w:rPr>
      </w:pPr>
      <w:bookmarkStart w:id="13" w:name="_Toc135990671"/>
      <w:r w:rsidRPr="00990FB6">
        <w:rPr>
          <w:b/>
          <w:bCs/>
          <w:sz w:val="22"/>
          <w:szCs w:val="22"/>
          <w:u w:val="single"/>
        </w:rPr>
        <w:t>Recomendaciones</w:t>
      </w:r>
      <w:bookmarkEnd w:id="13"/>
    </w:p>
    <w:p w14:paraId="5844935E" w14:textId="77777777" w:rsidR="00F65B2B" w:rsidRPr="00990FB6" w:rsidRDefault="00F65B2B" w:rsidP="00F65B2B">
      <w:pPr>
        <w:keepNext/>
        <w:ind w:left="1560" w:right="851"/>
        <w:jc w:val="both"/>
        <w:rPr>
          <w:b/>
          <w:bCs/>
          <w:i/>
          <w:iCs/>
          <w:spacing w:val="-3"/>
          <w:sz w:val="22"/>
          <w:szCs w:val="22"/>
          <w:u w:val="single"/>
        </w:rPr>
      </w:pPr>
    </w:p>
    <w:p w14:paraId="58C60680"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Al Consejo Superior</w:t>
      </w:r>
    </w:p>
    <w:p w14:paraId="3FF444F3" w14:textId="77777777" w:rsidR="00B15F7D" w:rsidRPr="00990FB6" w:rsidRDefault="00B15F7D" w:rsidP="00B15F7D">
      <w:pPr>
        <w:ind w:left="851" w:right="851" w:firstLine="709"/>
        <w:jc w:val="both"/>
        <w:rPr>
          <w:b/>
          <w:bCs/>
          <w:iCs/>
          <w:spacing w:val="-3"/>
          <w:sz w:val="22"/>
          <w:szCs w:val="22"/>
        </w:rPr>
      </w:pPr>
    </w:p>
    <w:p w14:paraId="19060010"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Aprobar la siguiente propuesta del cronograma detallado de las fases previas al inicio de la formulación del anteproyecto de presupuesto institucional 2024:</w:t>
      </w:r>
    </w:p>
    <w:p w14:paraId="163D1ADD" w14:textId="77777777" w:rsidR="00B15F7D" w:rsidRPr="00990FB6" w:rsidRDefault="00B15F7D" w:rsidP="00B15F7D">
      <w:pPr>
        <w:jc w:val="both"/>
        <w:rPr>
          <w:iCs/>
          <w:spacing w:val="-3"/>
          <w:sz w:val="22"/>
          <w:szCs w:val="22"/>
        </w:rPr>
      </w:pPr>
    </w:p>
    <w:tbl>
      <w:tblPr>
        <w:tblW w:w="4630" w:type="pct"/>
        <w:tblCellMar>
          <w:left w:w="70" w:type="dxa"/>
          <w:right w:w="70" w:type="dxa"/>
        </w:tblCellMar>
        <w:tblLook w:val="04A0" w:firstRow="1" w:lastRow="0" w:firstColumn="1" w:lastColumn="0" w:noHBand="0" w:noVBand="1"/>
      </w:tblPr>
      <w:tblGrid>
        <w:gridCol w:w="1061"/>
        <w:gridCol w:w="3789"/>
        <w:gridCol w:w="1081"/>
        <w:gridCol w:w="923"/>
        <w:gridCol w:w="1668"/>
      </w:tblGrid>
      <w:tr w:rsidR="00B15F7D" w:rsidRPr="00990FB6" w14:paraId="307C63B8" w14:textId="77777777" w:rsidTr="000A0C22">
        <w:trPr>
          <w:trHeight w:val="290"/>
        </w:trPr>
        <w:tc>
          <w:tcPr>
            <w:tcW w:w="846" w:type="pct"/>
            <w:tcBorders>
              <w:top w:val="single" w:sz="4" w:space="0" w:color="B1BBCC"/>
              <w:left w:val="single" w:sz="4" w:space="0" w:color="B1BBCC"/>
              <w:bottom w:val="single" w:sz="4" w:space="0" w:color="B1BBCC"/>
              <w:right w:val="single" w:sz="4" w:space="0" w:color="B1BBCC"/>
            </w:tcBorders>
            <w:shd w:val="clear" w:color="000000" w:fill="44546A"/>
            <w:vAlign w:val="center"/>
            <w:hideMark/>
          </w:tcPr>
          <w:p w14:paraId="413C5AD7"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EDT</w:t>
            </w:r>
          </w:p>
        </w:tc>
        <w:tc>
          <w:tcPr>
            <w:tcW w:w="2446" w:type="pct"/>
            <w:tcBorders>
              <w:top w:val="single" w:sz="4" w:space="0" w:color="B1BBCC"/>
              <w:left w:val="nil"/>
              <w:bottom w:val="single" w:sz="4" w:space="0" w:color="B1BBCC"/>
              <w:right w:val="single" w:sz="4" w:space="0" w:color="B1BBCC"/>
            </w:tcBorders>
            <w:shd w:val="clear" w:color="000000" w:fill="44546A"/>
            <w:vAlign w:val="center"/>
            <w:hideMark/>
          </w:tcPr>
          <w:p w14:paraId="4375B9A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Nombre de tarea</w:t>
            </w:r>
          </w:p>
        </w:tc>
        <w:tc>
          <w:tcPr>
            <w:tcW w:w="519" w:type="pct"/>
            <w:tcBorders>
              <w:top w:val="single" w:sz="4" w:space="0" w:color="B1BBCC"/>
              <w:left w:val="nil"/>
              <w:bottom w:val="single" w:sz="4" w:space="0" w:color="B1BBCC"/>
              <w:right w:val="single" w:sz="4" w:space="0" w:color="B1BBCC"/>
            </w:tcBorders>
            <w:shd w:val="clear" w:color="000000" w:fill="44546A"/>
            <w:vAlign w:val="center"/>
            <w:hideMark/>
          </w:tcPr>
          <w:p w14:paraId="16611E4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Comienzo</w:t>
            </w:r>
          </w:p>
        </w:tc>
        <w:tc>
          <w:tcPr>
            <w:tcW w:w="450" w:type="pct"/>
            <w:tcBorders>
              <w:top w:val="single" w:sz="4" w:space="0" w:color="B1BBCC"/>
              <w:left w:val="nil"/>
              <w:bottom w:val="single" w:sz="4" w:space="0" w:color="B1BBCC"/>
              <w:right w:val="single" w:sz="4" w:space="0" w:color="B1BBCC"/>
            </w:tcBorders>
            <w:shd w:val="clear" w:color="000000" w:fill="44546A"/>
            <w:vAlign w:val="center"/>
            <w:hideMark/>
          </w:tcPr>
          <w:p w14:paraId="26D464DD"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Fin</w:t>
            </w:r>
          </w:p>
        </w:tc>
        <w:tc>
          <w:tcPr>
            <w:tcW w:w="739" w:type="pct"/>
            <w:tcBorders>
              <w:top w:val="single" w:sz="4" w:space="0" w:color="B1BBCC"/>
              <w:left w:val="nil"/>
              <w:bottom w:val="single" w:sz="4" w:space="0" w:color="B1BBCC"/>
              <w:right w:val="single" w:sz="4" w:space="0" w:color="B1BBCC"/>
            </w:tcBorders>
            <w:shd w:val="clear" w:color="000000" w:fill="44546A"/>
            <w:vAlign w:val="center"/>
            <w:hideMark/>
          </w:tcPr>
          <w:p w14:paraId="3D2E338C"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Nombres de los recursos</w:t>
            </w:r>
          </w:p>
        </w:tc>
      </w:tr>
      <w:tr w:rsidR="00B15F7D" w:rsidRPr="00990FB6" w14:paraId="2C24BD41"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6E747A"/>
            <w:vAlign w:val="center"/>
            <w:hideMark/>
          </w:tcPr>
          <w:p w14:paraId="2F0A45DD"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0</w:t>
            </w:r>
          </w:p>
        </w:tc>
        <w:tc>
          <w:tcPr>
            <w:tcW w:w="2446" w:type="pct"/>
            <w:tcBorders>
              <w:top w:val="nil"/>
              <w:left w:val="nil"/>
              <w:bottom w:val="single" w:sz="4" w:space="0" w:color="B1BBCC"/>
              <w:right w:val="single" w:sz="4" w:space="0" w:color="B1BBCC"/>
            </w:tcBorders>
            <w:shd w:val="clear" w:color="000000" w:fill="6E747A"/>
            <w:vAlign w:val="center"/>
            <w:hideMark/>
          </w:tcPr>
          <w:p w14:paraId="3826F5B8" w14:textId="77777777" w:rsidR="00B15F7D" w:rsidRPr="00990FB6" w:rsidRDefault="00B15F7D" w:rsidP="00B15F7D">
            <w:pPr>
              <w:rPr>
                <w:b/>
                <w:bCs/>
                <w:color w:val="FFFFFF"/>
                <w:sz w:val="22"/>
                <w:szCs w:val="22"/>
                <w:lang w:eastAsia="es-CR"/>
              </w:rPr>
            </w:pPr>
            <w:r w:rsidRPr="00990FB6">
              <w:rPr>
                <w:b/>
                <w:bCs/>
                <w:color w:val="FFFFFF"/>
                <w:sz w:val="22"/>
                <w:szCs w:val="22"/>
                <w:lang w:eastAsia="es-CR"/>
              </w:rPr>
              <w:t>Cronograma de Actividades Previas Presupuesto 2024</w:t>
            </w:r>
          </w:p>
        </w:tc>
        <w:tc>
          <w:tcPr>
            <w:tcW w:w="519" w:type="pct"/>
            <w:tcBorders>
              <w:top w:val="nil"/>
              <w:left w:val="nil"/>
              <w:bottom w:val="single" w:sz="4" w:space="0" w:color="B1BBCC"/>
              <w:right w:val="single" w:sz="4" w:space="0" w:color="B1BBCC"/>
            </w:tcBorders>
            <w:shd w:val="clear" w:color="000000" w:fill="6E747A"/>
            <w:vAlign w:val="center"/>
            <w:hideMark/>
          </w:tcPr>
          <w:p w14:paraId="49AD63CB"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 xml:space="preserve"> 16/8/22</w:t>
            </w:r>
          </w:p>
        </w:tc>
        <w:tc>
          <w:tcPr>
            <w:tcW w:w="450" w:type="pct"/>
            <w:tcBorders>
              <w:top w:val="nil"/>
              <w:left w:val="nil"/>
              <w:bottom w:val="single" w:sz="4" w:space="0" w:color="B1BBCC"/>
              <w:right w:val="single" w:sz="4" w:space="0" w:color="B1BBCC"/>
            </w:tcBorders>
            <w:shd w:val="clear" w:color="000000" w:fill="6E747A"/>
            <w:vAlign w:val="center"/>
            <w:hideMark/>
          </w:tcPr>
          <w:p w14:paraId="1BDA3552"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 xml:space="preserve"> 13/1/23</w:t>
            </w:r>
          </w:p>
        </w:tc>
        <w:tc>
          <w:tcPr>
            <w:tcW w:w="739" w:type="pct"/>
            <w:tcBorders>
              <w:top w:val="nil"/>
              <w:left w:val="nil"/>
              <w:bottom w:val="single" w:sz="4" w:space="0" w:color="B1BBCC"/>
              <w:right w:val="single" w:sz="4" w:space="0" w:color="B1BBCC"/>
            </w:tcBorders>
            <w:shd w:val="clear" w:color="000000" w:fill="6E747A"/>
            <w:vAlign w:val="center"/>
            <w:hideMark/>
          </w:tcPr>
          <w:p w14:paraId="1D3C44B6" w14:textId="77777777" w:rsidR="00B15F7D" w:rsidRPr="00990FB6" w:rsidRDefault="00B15F7D" w:rsidP="00B15F7D">
            <w:pPr>
              <w:rPr>
                <w:b/>
                <w:bCs/>
                <w:color w:val="FFFFFF"/>
                <w:sz w:val="22"/>
                <w:szCs w:val="22"/>
                <w:lang w:eastAsia="es-CR"/>
              </w:rPr>
            </w:pPr>
            <w:r w:rsidRPr="00990FB6">
              <w:rPr>
                <w:b/>
                <w:bCs/>
                <w:color w:val="FFFFFF"/>
                <w:sz w:val="22"/>
                <w:szCs w:val="22"/>
                <w:lang w:eastAsia="es-CR"/>
              </w:rPr>
              <w:t> </w:t>
            </w:r>
          </w:p>
        </w:tc>
      </w:tr>
      <w:tr w:rsidR="00B15F7D" w:rsidRPr="00990FB6" w14:paraId="145C5C60"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BDD7EE"/>
            <w:vAlign w:val="center"/>
            <w:hideMark/>
          </w:tcPr>
          <w:p w14:paraId="187D36D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2446" w:type="pct"/>
            <w:tcBorders>
              <w:top w:val="nil"/>
              <w:left w:val="nil"/>
              <w:bottom w:val="single" w:sz="4" w:space="0" w:color="B1BBCC"/>
              <w:right w:val="single" w:sz="4" w:space="0" w:color="B1BBCC"/>
            </w:tcBorders>
            <w:shd w:val="clear" w:color="000000" w:fill="BDD7EE"/>
            <w:vAlign w:val="center"/>
            <w:hideMark/>
          </w:tcPr>
          <w:p w14:paraId="16AE845E"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Proceso de Proyección Plurianual</w:t>
            </w:r>
          </w:p>
        </w:tc>
        <w:tc>
          <w:tcPr>
            <w:tcW w:w="519" w:type="pct"/>
            <w:tcBorders>
              <w:top w:val="nil"/>
              <w:left w:val="nil"/>
              <w:bottom w:val="single" w:sz="4" w:space="0" w:color="B1BBCC"/>
              <w:right w:val="single" w:sz="4" w:space="0" w:color="B1BBCC"/>
            </w:tcBorders>
            <w:shd w:val="clear" w:color="000000" w:fill="BDD7EE"/>
            <w:vAlign w:val="center"/>
            <w:hideMark/>
          </w:tcPr>
          <w:p w14:paraId="4018D9F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16/8/22</w:t>
            </w:r>
          </w:p>
        </w:tc>
        <w:tc>
          <w:tcPr>
            <w:tcW w:w="450" w:type="pct"/>
            <w:tcBorders>
              <w:top w:val="nil"/>
              <w:left w:val="nil"/>
              <w:bottom w:val="single" w:sz="4" w:space="0" w:color="B1BBCC"/>
              <w:right w:val="single" w:sz="4" w:space="0" w:color="B1BBCC"/>
            </w:tcBorders>
            <w:shd w:val="clear" w:color="000000" w:fill="BDD7EE"/>
            <w:vAlign w:val="center"/>
            <w:hideMark/>
          </w:tcPr>
          <w:p w14:paraId="146E03E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BDD7EE"/>
            <w:vAlign w:val="center"/>
            <w:hideMark/>
          </w:tcPr>
          <w:p w14:paraId="5B98EA2B"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w:t>
            </w:r>
          </w:p>
        </w:tc>
      </w:tr>
      <w:tr w:rsidR="00B15F7D" w:rsidRPr="00990FB6" w14:paraId="1B35D782"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6507FC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1.1</w:t>
            </w:r>
          </w:p>
        </w:tc>
        <w:tc>
          <w:tcPr>
            <w:tcW w:w="2446" w:type="pct"/>
            <w:tcBorders>
              <w:top w:val="nil"/>
              <w:left w:val="nil"/>
              <w:bottom w:val="single" w:sz="4" w:space="0" w:color="B1BBCC"/>
              <w:right w:val="single" w:sz="4" w:space="0" w:color="B1BBCC"/>
            </w:tcBorders>
            <w:shd w:val="clear" w:color="000000" w:fill="FFFFFF"/>
            <w:vAlign w:val="center"/>
            <w:hideMark/>
          </w:tcPr>
          <w:p w14:paraId="4943CCC4"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Circular sobre los lineamientos de la Proyección Plurianual</w:t>
            </w:r>
          </w:p>
        </w:tc>
        <w:tc>
          <w:tcPr>
            <w:tcW w:w="519" w:type="pct"/>
            <w:tcBorders>
              <w:top w:val="nil"/>
              <w:left w:val="nil"/>
              <w:bottom w:val="single" w:sz="4" w:space="0" w:color="B1BBCC"/>
              <w:right w:val="single" w:sz="4" w:space="0" w:color="B1BBCC"/>
            </w:tcBorders>
            <w:shd w:val="clear" w:color="000000" w:fill="FFFFFF"/>
            <w:vAlign w:val="center"/>
            <w:hideMark/>
          </w:tcPr>
          <w:p w14:paraId="4913474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16/8/22</w:t>
            </w:r>
          </w:p>
        </w:tc>
        <w:tc>
          <w:tcPr>
            <w:tcW w:w="450" w:type="pct"/>
            <w:tcBorders>
              <w:top w:val="nil"/>
              <w:left w:val="nil"/>
              <w:bottom w:val="single" w:sz="4" w:space="0" w:color="B1BBCC"/>
              <w:right w:val="single" w:sz="4" w:space="0" w:color="B1BBCC"/>
            </w:tcBorders>
            <w:shd w:val="clear" w:color="000000" w:fill="FFFFFF"/>
            <w:vAlign w:val="center"/>
            <w:hideMark/>
          </w:tcPr>
          <w:p w14:paraId="03A17078"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16/9/22</w:t>
            </w:r>
          </w:p>
        </w:tc>
        <w:tc>
          <w:tcPr>
            <w:tcW w:w="739" w:type="pct"/>
            <w:tcBorders>
              <w:top w:val="nil"/>
              <w:left w:val="nil"/>
              <w:bottom w:val="single" w:sz="4" w:space="0" w:color="B1BBCC"/>
              <w:right w:val="single" w:sz="4" w:space="0" w:color="B1BBCC"/>
            </w:tcBorders>
            <w:shd w:val="clear" w:color="000000" w:fill="FFFFFF"/>
            <w:vAlign w:val="center"/>
            <w:hideMark/>
          </w:tcPr>
          <w:p w14:paraId="636455A0"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Unidad Estratégica de Portafolio de Proyectos Institucional</w:t>
            </w:r>
          </w:p>
        </w:tc>
      </w:tr>
      <w:tr w:rsidR="00B15F7D" w:rsidRPr="00990FB6" w14:paraId="7A69CBB7"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B995DC8"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1.1.1</w:t>
            </w:r>
          </w:p>
        </w:tc>
        <w:tc>
          <w:tcPr>
            <w:tcW w:w="2446" w:type="pct"/>
            <w:tcBorders>
              <w:top w:val="nil"/>
              <w:left w:val="nil"/>
              <w:bottom w:val="single" w:sz="4" w:space="0" w:color="B1BBCC"/>
              <w:right w:val="single" w:sz="4" w:space="0" w:color="B1BBCC"/>
            </w:tcBorders>
            <w:shd w:val="clear" w:color="000000" w:fill="FFFFFF"/>
            <w:vAlign w:val="center"/>
            <w:hideMark/>
          </w:tcPr>
          <w:p w14:paraId="45AFAD67" w14:textId="77777777" w:rsidR="00B15F7D" w:rsidRPr="00990FB6" w:rsidRDefault="00B15F7D" w:rsidP="00B15F7D">
            <w:pPr>
              <w:rPr>
                <w:color w:val="000000"/>
                <w:sz w:val="22"/>
                <w:szCs w:val="22"/>
                <w:lang w:eastAsia="es-CR"/>
              </w:rPr>
            </w:pPr>
            <w:r w:rsidRPr="00990FB6">
              <w:rPr>
                <w:color w:val="000000"/>
                <w:sz w:val="22"/>
                <w:szCs w:val="22"/>
                <w:lang w:eastAsia="es-CR"/>
              </w:rPr>
              <w:t>Elaboración de la circular</w:t>
            </w:r>
          </w:p>
        </w:tc>
        <w:tc>
          <w:tcPr>
            <w:tcW w:w="519" w:type="pct"/>
            <w:tcBorders>
              <w:top w:val="nil"/>
              <w:left w:val="nil"/>
              <w:bottom w:val="single" w:sz="4" w:space="0" w:color="B1BBCC"/>
              <w:right w:val="single" w:sz="4" w:space="0" w:color="B1BBCC"/>
            </w:tcBorders>
            <w:shd w:val="clear" w:color="000000" w:fill="FFFFFF"/>
            <w:vAlign w:val="center"/>
            <w:hideMark/>
          </w:tcPr>
          <w:p w14:paraId="7F9C2A0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16/8/22</w:t>
            </w:r>
          </w:p>
        </w:tc>
        <w:tc>
          <w:tcPr>
            <w:tcW w:w="450" w:type="pct"/>
            <w:tcBorders>
              <w:top w:val="nil"/>
              <w:left w:val="nil"/>
              <w:bottom w:val="single" w:sz="4" w:space="0" w:color="B1BBCC"/>
              <w:right w:val="single" w:sz="4" w:space="0" w:color="B1BBCC"/>
            </w:tcBorders>
            <w:shd w:val="clear" w:color="000000" w:fill="FFFFFF"/>
            <w:vAlign w:val="center"/>
            <w:hideMark/>
          </w:tcPr>
          <w:p w14:paraId="250602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19/8/22</w:t>
            </w:r>
          </w:p>
        </w:tc>
        <w:tc>
          <w:tcPr>
            <w:tcW w:w="739" w:type="pct"/>
            <w:tcBorders>
              <w:top w:val="nil"/>
              <w:left w:val="nil"/>
              <w:bottom w:val="single" w:sz="4" w:space="0" w:color="B1BBCC"/>
              <w:right w:val="single" w:sz="4" w:space="0" w:color="B1BBCC"/>
            </w:tcBorders>
            <w:shd w:val="clear" w:color="000000" w:fill="FFFFFF"/>
            <w:vAlign w:val="center"/>
            <w:hideMark/>
          </w:tcPr>
          <w:p w14:paraId="728F3178"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4CE0075F"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7B926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1.1.2</w:t>
            </w:r>
          </w:p>
        </w:tc>
        <w:tc>
          <w:tcPr>
            <w:tcW w:w="2446" w:type="pct"/>
            <w:tcBorders>
              <w:top w:val="nil"/>
              <w:left w:val="nil"/>
              <w:bottom w:val="single" w:sz="4" w:space="0" w:color="B1BBCC"/>
              <w:right w:val="single" w:sz="4" w:space="0" w:color="B1BBCC"/>
            </w:tcBorders>
            <w:shd w:val="clear" w:color="000000" w:fill="FFFFFF"/>
            <w:vAlign w:val="center"/>
            <w:hideMark/>
          </w:tcPr>
          <w:p w14:paraId="2515B29A" w14:textId="77777777" w:rsidR="00B15F7D" w:rsidRPr="00990FB6" w:rsidRDefault="00B15F7D" w:rsidP="00B15F7D">
            <w:pPr>
              <w:rPr>
                <w:color w:val="000000"/>
                <w:sz w:val="22"/>
                <w:szCs w:val="22"/>
                <w:lang w:eastAsia="es-CR"/>
              </w:rPr>
            </w:pPr>
            <w:r w:rsidRPr="00990FB6">
              <w:rPr>
                <w:color w:val="000000"/>
                <w:sz w:val="22"/>
                <w:szCs w:val="22"/>
                <w:lang w:eastAsia="es-CR"/>
              </w:rPr>
              <w:t>Proceso de revisión de la Jefatura y la Coordinación</w:t>
            </w:r>
          </w:p>
        </w:tc>
        <w:tc>
          <w:tcPr>
            <w:tcW w:w="519" w:type="pct"/>
            <w:tcBorders>
              <w:top w:val="nil"/>
              <w:left w:val="nil"/>
              <w:bottom w:val="single" w:sz="4" w:space="0" w:color="B1BBCC"/>
              <w:right w:val="single" w:sz="4" w:space="0" w:color="B1BBCC"/>
            </w:tcBorders>
            <w:shd w:val="clear" w:color="000000" w:fill="FFFFFF"/>
            <w:vAlign w:val="center"/>
            <w:hideMark/>
          </w:tcPr>
          <w:p w14:paraId="4C7173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22/8/22</w:t>
            </w:r>
          </w:p>
        </w:tc>
        <w:tc>
          <w:tcPr>
            <w:tcW w:w="450" w:type="pct"/>
            <w:tcBorders>
              <w:top w:val="nil"/>
              <w:left w:val="nil"/>
              <w:bottom w:val="single" w:sz="4" w:space="0" w:color="B1BBCC"/>
              <w:right w:val="single" w:sz="4" w:space="0" w:color="B1BBCC"/>
            </w:tcBorders>
            <w:shd w:val="clear" w:color="000000" w:fill="FFFFFF"/>
            <w:vAlign w:val="center"/>
            <w:hideMark/>
          </w:tcPr>
          <w:p w14:paraId="375B2A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26/8/22</w:t>
            </w:r>
          </w:p>
        </w:tc>
        <w:tc>
          <w:tcPr>
            <w:tcW w:w="739" w:type="pct"/>
            <w:tcBorders>
              <w:top w:val="nil"/>
              <w:left w:val="nil"/>
              <w:bottom w:val="single" w:sz="4" w:space="0" w:color="B1BBCC"/>
              <w:right w:val="single" w:sz="4" w:space="0" w:color="B1BBCC"/>
            </w:tcBorders>
            <w:shd w:val="clear" w:color="000000" w:fill="FFFFFF"/>
            <w:vAlign w:val="center"/>
            <w:hideMark/>
          </w:tcPr>
          <w:p w14:paraId="3F8ADA28"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123E3559"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987B55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1.1.3</w:t>
            </w:r>
          </w:p>
        </w:tc>
        <w:tc>
          <w:tcPr>
            <w:tcW w:w="2446" w:type="pct"/>
            <w:tcBorders>
              <w:top w:val="nil"/>
              <w:left w:val="nil"/>
              <w:bottom w:val="single" w:sz="4" w:space="0" w:color="B1BBCC"/>
              <w:right w:val="single" w:sz="4" w:space="0" w:color="B1BBCC"/>
            </w:tcBorders>
            <w:shd w:val="clear" w:color="000000" w:fill="FFFFFF"/>
            <w:vAlign w:val="center"/>
            <w:hideMark/>
          </w:tcPr>
          <w:p w14:paraId="764548D6" w14:textId="77777777" w:rsidR="00B15F7D" w:rsidRPr="00990FB6" w:rsidRDefault="00B15F7D" w:rsidP="00B15F7D">
            <w:pPr>
              <w:rPr>
                <w:color w:val="000000"/>
                <w:sz w:val="22"/>
                <w:szCs w:val="22"/>
                <w:lang w:eastAsia="es-CR"/>
              </w:rPr>
            </w:pPr>
            <w:r w:rsidRPr="00990FB6">
              <w:rPr>
                <w:color w:val="000000"/>
                <w:sz w:val="22"/>
                <w:szCs w:val="22"/>
                <w:lang w:eastAsia="es-CR"/>
              </w:rPr>
              <w:t>Publicación de la Circular</w:t>
            </w:r>
          </w:p>
        </w:tc>
        <w:tc>
          <w:tcPr>
            <w:tcW w:w="519" w:type="pct"/>
            <w:tcBorders>
              <w:top w:val="nil"/>
              <w:left w:val="nil"/>
              <w:bottom w:val="single" w:sz="4" w:space="0" w:color="B1BBCC"/>
              <w:right w:val="single" w:sz="4" w:space="0" w:color="B1BBCC"/>
            </w:tcBorders>
            <w:shd w:val="clear" w:color="000000" w:fill="FFFFFF"/>
            <w:vAlign w:val="center"/>
            <w:hideMark/>
          </w:tcPr>
          <w:p w14:paraId="5B081F5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14/9/22</w:t>
            </w:r>
          </w:p>
        </w:tc>
        <w:tc>
          <w:tcPr>
            <w:tcW w:w="450" w:type="pct"/>
            <w:tcBorders>
              <w:top w:val="nil"/>
              <w:left w:val="nil"/>
              <w:bottom w:val="single" w:sz="4" w:space="0" w:color="B1BBCC"/>
              <w:right w:val="single" w:sz="4" w:space="0" w:color="B1BBCC"/>
            </w:tcBorders>
            <w:shd w:val="clear" w:color="000000" w:fill="FFFFFF"/>
            <w:vAlign w:val="center"/>
            <w:hideMark/>
          </w:tcPr>
          <w:p w14:paraId="61A758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16/9/22</w:t>
            </w:r>
          </w:p>
        </w:tc>
        <w:tc>
          <w:tcPr>
            <w:tcW w:w="739" w:type="pct"/>
            <w:tcBorders>
              <w:top w:val="nil"/>
              <w:left w:val="nil"/>
              <w:bottom w:val="single" w:sz="4" w:space="0" w:color="B1BBCC"/>
              <w:right w:val="single" w:sz="4" w:space="0" w:color="B1BBCC"/>
            </w:tcBorders>
            <w:shd w:val="clear" w:color="000000" w:fill="FFFFFF"/>
            <w:vAlign w:val="center"/>
            <w:hideMark/>
          </w:tcPr>
          <w:p w14:paraId="6BFADEB2"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670FC5B8"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791535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1.2</w:t>
            </w:r>
          </w:p>
        </w:tc>
        <w:tc>
          <w:tcPr>
            <w:tcW w:w="2446" w:type="pct"/>
            <w:tcBorders>
              <w:top w:val="nil"/>
              <w:left w:val="nil"/>
              <w:bottom w:val="single" w:sz="4" w:space="0" w:color="B1BBCC"/>
              <w:right w:val="single" w:sz="4" w:space="0" w:color="B1BBCC"/>
            </w:tcBorders>
            <w:shd w:val="clear" w:color="000000" w:fill="FFFFFF"/>
            <w:vAlign w:val="center"/>
            <w:hideMark/>
          </w:tcPr>
          <w:p w14:paraId="1D376A21"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Cronograma de actividades previas presupuesto 2024</w:t>
            </w:r>
          </w:p>
        </w:tc>
        <w:tc>
          <w:tcPr>
            <w:tcW w:w="519" w:type="pct"/>
            <w:tcBorders>
              <w:top w:val="nil"/>
              <w:left w:val="nil"/>
              <w:bottom w:val="single" w:sz="4" w:space="0" w:color="B1BBCC"/>
              <w:right w:val="single" w:sz="4" w:space="0" w:color="B1BBCC"/>
            </w:tcBorders>
            <w:shd w:val="clear" w:color="000000" w:fill="FFFFFF"/>
            <w:vAlign w:val="center"/>
            <w:hideMark/>
          </w:tcPr>
          <w:p w14:paraId="71EF43E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16/8/22</w:t>
            </w:r>
          </w:p>
        </w:tc>
        <w:tc>
          <w:tcPr>
            <w:tcW w:w="450" w:type="pct"/>
            <w:tcBorders>
              <w:top w:val="nil"/>
              <w:left w:val="nil"/>
              <w:bottom w:val="single" w:sz="4" w:space="0" w:color="B1BBCC"/>
              <w:right w:val="single" w:sz="4" w:space="0" w:color="B1BBCC"/>
            </w:tcBorders>
            <w:shd w:val="clear" w:color="000000" w:fill="FFFFFF"/>
            <w:vAlign w:val="center"/>
            <w:hideMark/>
          </w:tcPr>
          <w:p w14:paraId="030E20C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13/9/22</w:t>
            </w:r>
          </w:p>
        </w:tc>
        <w:tc>
          <w:tcPr>
            <w:tcW w:w="739" w:type="pct"/>
            <w:tcBorders>
              <w:top w:val="nil"/>
              <w:left w:val="nil"/>
              <w:bottom w:val="single" w:sz="4" w:space="0" w:color="B1BBCC"/>
              <w:right w:val="single" w:sz="4" w:space="0" w:color="B1BBCC"/>
            </w:tcBorders>
            <w:shd w:val="clear" w:color="000000" w:fill="FFFFFF"/>
            <w:vAlign w:val="center"/>
            <w:hideMark/>
          </w:tcPr>
          <w:p w14:paraId="500B92E9"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Unidad Estratégica de Portafolio de Proyectos Institucional</w:t>
            </w:r>
          </w:p>
        </w:tc>
      </w:tr>
      <w:tr w:rsidR="00B15F7D" w:rsidRPr="00990FB6" w14:paraId="3CB83C6F"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632102D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1.2.1</w:t>
            </w:r>
          </w:p>
        </w:tc>
        <w:tc>
          <w:tcPr>
            <w:tcW w:w="2446" w:type="pct"/>
            <w:tcBorders>
              <w:top w:val="nil"/>
              <w:left w:val="nil"/>
              <w:bottom w:val="single" w:sz="4" w:space="0" w:color="B1BBCC"/>
              <w:right w:val="single" w:sz="4" w:space="0" w:color="B1BBCC"/>
            </w:tcBorders>
            <w:shd w:val="clear" w:color="000000" w:fill="FFFFFF"/>
            <w:vAlign w:val="center"/>
            <w:hideMark/>
          </w:tcPr>
          <w:p w14:paraId="04774B54" w14:textId="77777777" w:rsidR="00B15F7D" w:rsidRPr="00990FB6" w:rsidRDefault="00B15F7D" w:rsidP="00B15F7D">
            <w:pPr>
              <w:rPr>
                <w:color w:val="000000"/>
                <w:sz w:val="22"/>
                <w:szCs w:val="22"/>
                <w:lang w:eastAsia="es-CR"/>
              </w:rPr>
            </w:pPr>
            <w:r w:rsidRPr="00990FB6">
              <w:rPr>
                <w:color w:val="000000"/>
                <w:sz w:val="22"/>
                <w:szCs w:val="22"/>
                <w:lang w:eastAsia="es-CR"/>
              </w:rPr>
              <w:t>Elaborar propuesta de cronograma</w:t>
            </w:r>
          </w:p>
        </w:tc>
        <w:tc>
          <w:tcPr>
            <w:tcW w:w="519" w:type="pct"/>
            <w:tcBorders>
              <w:top w:val="nil"/>
              <w:left w:val="nil"/>
              <w:bottom w:val="single" w:sz="4" w:space="0" w:color="B1BBCC"/>
              <w:right w:val="single" w:sz="4" w:space="0" w:color="B1BBCC"/>
            </w:tcBorders>
            <w:shd w:val="clear" w:color="000000" w:fill="FFFFFF"/>
            <w:vAlign w:val="center"/>
            <w:hideMark/>
          </w:tcPr>
          <w:p w14:paraId="6F9178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16/8/22</w:t>
            </w:r>
          </w:p>
        </w:tc>
        <w:tc>
          <w:tcPr>
            <w:tcW w:w="450" w:type="pct"/>
            <w:tcBorders>
              <w:top w:val="nil"/>
              <w:left w:val="nil"/>
              <w:bottom w:val="single" w:sz="4" w:space="0" w:color="B1BBCC"/>
              <w:right w:val="single" w:sz="4" w:space="0" w:color="B1BBCC"/>
            </w:tcBorders>
            <w:shd w:val="clear" w:color="000000" w:fill="FFFFFF"/>
            <w:vAlign w:val="center"/>
            <w:hideMark/>
          </w:tcPr>
          <w:p w14:paraId="3AD1860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19/8/22</w:t>
            </w:r>
          </w:p>
        </w:tc>
        <w:tc>
          <w:tcPr>
            <w:tcW w:w="739" w:type="pct"/>
            <w:tcBorders>
              <w:top w:val="nil"/>
              <w:left w:val="nil"/>
              <w:bottom w:val="single" w:sz="4" w:space="0" w:color="B1BBCC"/>
              <w:right w:val="single" w:sz="4" w:space="0" w:color="B1BBCC"/>
            </w:tcBorders>
            <w:shd w:val="clear" w:color="000000" w:fill="FFFFFF"/>
            <w:vAlign w:val="center"/>
            <w:hideMark/>
          </w:tcPr>
          <w:p w14:paraId="130EE01C"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651F5EE4"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2F332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1.2.2</w:t>
            </w:r>
          </w:p>
        </w:tc>
        <w:tc>
          <w:tcPr>
            <w:tcW w:w="2446" w:type="pct"/>
            <w:tcBorders>
              <w:top w:val="nil"/>
              <w:left w:val="nil"/>
              <w:bottom w:val="single" w:sz="4" w:space="0" w:color="B1BBCC"/>
              <w:right w:val="single" w:sz="4" w:space="0" w:color="B1BBCC"/>
            </w:tcBorders>
            <w:shd w:val="clear" w:color="000000" w:fill="FFFFFF"/>
            <w:vAlign w:val="center"/>
            <w:hideMark/>
          </w:tcPr>
          <w:p w14:paraId="46F3E9A8" w14:textId="77777777" w:rsidR="00B15F7D" w:rsidRPr="00990FB6" w:rsidRDefault="00B15F7D" w:rsidP="00B15F7D">
            <w:pPr>
              <w:rPr>
                <w:color w:val="000000"/>
                <w:sz w:val="22"/>
                <w:szCs w:val="22"/>
                <w:lang w:eastAsia="es-CR"/>
              </w:rPr>
            </w:pPr>
            <w:r w:rsidRPr="00990FB6">
              <w:rPr>
                <w:color w:val="000000"/>
                <w:sz w:val="22"/>
                <w:szCs w:val="22"/>
                <w:lang w:eastAsia="es-CR"/>
              </w:rPr>
              <w:t>Elaboración de Oficio</w:t>
            </w:r>
          </w:p>
        </w:tc>
        <w:tc>
          <w:tcPr>
            <w:tcW w:w="519" w:type="pct"/>
            <w:tcBorders>
              <w:top w:val="nil"/>
              <w:left w:val="nil"/>
              <w:bottom w:val="single" w:sz="4" w:space="0" w:color="B1BBCC"/>
              <w:right w:val="single" w:sz="4" w:space="0" w:color="B1BBCC"/>
            </w:tcBorders>
            <w:shd w:val="clear" w:color="000000" w:fill="FFFFFF"/>
            <w:vAlign w:val="center"/>
            <w:hideMark/>
          </w:tcPr>
          <w:p w14:paraId="1657BE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18/8/22</w:t>
            </w:r>
          </w:p>
        </w:tc>
        <w:tc>
          <w:tcPr>
            <w:tcW w:w="450" w:type="pct"/>
            <w:tcBorders>
              <w:top w:val="nil"/>
              <w:left w:val="nil"/>
              <w:bottom w:val="single" w:sz="4" w:space="0" w:color="B1BBCC"/>
              <w:right w:val="single" w:sz="4" w:space="0" w:color="B1BBCC"/>
            </w:tcBorders>
            <w:shd w:val="clear" w:color="000000" w:fill="FFFFFF"/>
            <w:vAlign w:val="center"/>
            <w:hideMark/>
          </w:tcPr>
          <w:p w14:paraId="3F4391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19/8/22</w:t>
            </w:r>
          </w:p>
        </w:tc>
        <w:tc>
          <w:tcPr>
            <w:tcW w:w="739" w:type="pct"/>
            <w:tcBorders>
              <w:top w:val="nil"/>
              <w:left w:val="nil"/>
              <w:bottom w:val="single" w:sz="4" w:space="0" w:color="B1BBCC"/>
              <w:right w:val="single" w:sz="4" w:space="0" w:color="B1BBCC"/>
            </w:tcBorders>
            <w:shd w:val="clear" w:color="000000" w:fill="FFFFFF"/>
            <w:vAlign w:val="center"/>
            <w:hideMark/>
          </w:tcPr>
          <w:p w14:paraId="1E3EAA7E"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64976D87"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F8836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1.2.3</w:t>
            </w:r>
          </w:p>
        </w:tc>
        <w:tc>
          <w:tcPr>
            <w:tcW w:w="2446" w:type="pct"/>
            <w:tcBorders>
              <w:top w:val="nil"/>
              <w:left w:val="nil"/>
              <w:bottom w:val="single" w:sz="4" w:space="0" w:color="B1BBCC"/>
              <w:right w:val="single" w:sz="4" w:space="0" w:color="B1BBCC"/>
            </w:tcBorders>
            <w:shd w:val="clear" w:color="000000" w:fill="FFFFFF"/>
            <w:vAlign w:val="center"/>
            <w:hideMark/>
          </w:tcPr>
          <w:p w14:paraId="27A87EF9" w14:textId="77777777" w:rsidR="00B15F7D" w:rsidRPr="00990FB6" w:rsidRDefault="00B15F7D" w:rsidP="00B15F7D">
            <w:pPr>
              <w:rPr>
                <w:color w:val="000000"/>
                <w:sz w:val="22"/>
                <w:szCs w:val="22"/>
                <w:lang w:eastAsia="es-CR"/>
              </w:rPr>
            </w:pPr>
            <w:r w:rsidRPr="00990FB6">
              <w:rPr>
                <w:color w:val="000000"/>
                <w:sz w:val="22"/>
                <w:szCs w:val="22"/>
                <w:lang w:eastAsia="es-CR"/>
              </w:rPr>
              <w:t>Consulta a la Dirección Ejecutiva, Dirección de Gestión Humana y a la Dirección de Tecnología de Información</w:t>
            </w:r>
          </w:p>
        </w:tc>
        <w:tc>
          <w:tcPr>
            <w:tcW w:w="519" w:type="pct"/>
            <w:tcBorders>
              <w:top w:val="nil"/>
              <w:left w:val="nil"/>
              <w:bottom w:val="single" w:sz="4" w:space="0" w:color="B1BBCC"/>
              <w:right w:val="single" w:sz="4" w:space="0" w:color="B1BBCC"/>
            </w:tcBorders>
            <w:shd w:val="clear" w:color="000000" w:fill="FFFFFF"/>
            <w:vAlign w:val="center"/>
            <w:hideMark/>
          </w:tcPr>
          <w:p w14:paraId="061BE4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25/8/22</w:t>
            </w:r>
          </w:p>
        </w:tc>
        <w:tc>
          <w:tcPr>
            <w:tcW w:w="450" w:type="pct"/>
            <w:tcBorders>
              <w:top w:val="nil"/>
              <w:left w:val="nil"/>
              <w:bottom w:val="single" w:sz="4" w:space="0" w:color="B1BBCC"/>
              <w:right w:val="single" w:sz="4" w:space="0" w:color="B1BBCC"/>
            </w:tcBorders>
            <w:shd w:val="clear" w:color="000000" w:fill="FFFFFF"/>
            <w:vAlign w:val="center"/>
            <w:hideMark/>
          </w:tcPr>
          <w:p w14:paraId="771DF9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1/9/22</w:t>
            </w:r>
          </w:p>
        </w:tc>
        <w:tc>
          <w:tcPr>
            <w:tcW w:w="739" w:type="pct"/>
            <w:tcBorders>
              <w:top w:val="nil"/>
              <w:left w:val="nil"/>
              <w:bottom w:val="single" w:sz="4" w:space="0" w:color="B1BBCC"/>
              <w:right w:val="single" w:sz="4" w:space="0" w:color="B1BBCC"/>
            </w:tcBorders>
            <w:shd w:val="clear" w:color="000000" w:fill="FFFFFF"/>
            <w:vAlign w:val="center"/>
            <w:hideMark/>
          </w:tcPr>
          <w:p w14:paraId="53F7CD9A"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3664C38F"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051B3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1.2.4</w:t>
            </w:r>
          </w:p>
        </w:tc>
        <w:tc>
          <w:tcPr>
            <w:tcW w:w="2446" w:type="pct"/>
            <w:tcBorders>
              <w:top w:val="nil"/>
              <w:left w:val="nil"/>
              <w:bottom w:val="single" w:sz="4" w:space="0" w:color="B1BBCC"/>
              <w:right w:val="single" w:sz="4" w:space="0" w:color="B1BBCC"/>
            </w:tcBorders>
            <w:shd w:val="clear" w:color="000000" w:fill="FFFFFF"/>
            <w:vAlign w:val="center"/>
            <w:hideMark/>
          </w:tcPr>
          <w:p w14:paraId="794EDFD9" w14:textId="77777777" w:rsidR="00B15F7D" w:rsidRPr="00990FB6" w:rsidRDefault="00B15F7D" w:rsidP="00B15F7D">
            <w:pPr>
              <w:rPr>
                <w:color w:val="000000"/>
                <w:sz w:val="22"/>
                <w:szCs w:val="22"/>
                <w:lang w:eastAsia="es-CR"/>
              </w:rPr>
            </w:pPr>
            <w:r w:rsidRPr="00990FB6">
              <w:rPr>
                <w:color w:val="000000"/>
                <w:sz w:val="22"/>
                <w:szCs w:val="22"/>
                <w:lang w:eastAsia="es-CR"/>
              </w:rPr>
              <w:t>Aprobación del Consejo Superior</w:t>
            </w:r>
          </w:p>
        </w:tc>
        <w:tc>
          <w:tcPr>
            <w:tcW w:w="519" w:type="pct"/>
            <w:tcBorders>
              <w:top w:val="nil"/>
              <w:left w:val="nil"/>
              <w:bottom w:val="single" w:sz="4" w:space="0" w:color="B1BBCC"/>
              <w:right w:val="single" w:sz="4" w:space="0" w:color="B1BBCC"/>
            </w:tcBorders>
            <w:shd w:val="clear" w:color="000000" w:fill="FFFFFF"/>
            <w:vAlign w:val="center"/>
            <w:hideMark/>
          </w:tcPr>
          <w:p w14:paraId="61EE77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1475CF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13/9/22</w:t>
            </w:r>
          </w:p>
        </w:tc>
        <w:tc>
          <w:tcPr>
            <w:tcW w:w="739" w:type="pct"/>
            <w:tcBorders>
              <w:top w:val="nil"/>
              <w:left w:val="nil"/>
              <w:bottom w:val="single" w:sz="4" w:space="0" w:color="B1BBCC"/>
              <w:right w:val="single" w:sz="4" w:space="0" w:color="B1BBCC"/>
            </w:tcBorders>
            <w:shd w:val="clear" w:color="000000" w:fill="FFFFFF"/>
            <w:vAlign w:val="center"/>
            <w:hideMark/>
          </w:tcPr>
          <w:p w14:paraId="0698FE69"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4BE89180"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52AF0E6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1.3</w:t>
            </w:r>
          </w:p>
        </w:tc>
        <w:tc>
          <w:tcPr>
            <w:tcW w:w="2446" w:type="pct"/>
            <w:tcBorders>
              <w:top w:val="nil"/>
              <w:left w:val="nil"/>
              <w:bottom w:val="single" w:sz="4" w:space="0" w:color="B1BBCC"/>
              <w:right w:val="single" w:sz="4" w:space="0" w:color="B1BBCC"/>
            </w:tcBorders>
            <w:shd w:val="clear" w:color="000000" w:fill="FFFFFF"/>
            <w:vAlign w:val="center"/>
            <w:hideMark/>
          </w:tcPr>
          <w:p w14:paraId="20C77961"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Proceso de Capacitación del Personal involucrado en el Ejercicio Plurianual</w:t>
            </w:r>
          </w:p>
        </w:tc>
        <w:tc>
          <w:tcPr>
            <w:tcW w:w="519" w:type="pct"/>
            <w:tcBorders>
              <w:top w:val="nil"/>
              <w:left w:val="nil"/>
              <w:bottom w:val="single" w:sz="4" w:space="0" w:color="B1BBCC"/>
              <w:right w:val="single" w:sz="4" w:space="0" w:color="B1BBCC"/>
            </w:tcBorders>
            <w:shd w:val="clear" w:color="000000" w:fill="FFFFFF"/>
            <w:vAlign w:val="center"/>
            <w:hideMark/>
          </w:tcPr>
          <w:p w14:paraId="1F88456C"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29/8/22</w:t>
            </w:r>
          </w:p>
        </w:tc>
        <w:tc>
          <w:tcPr>
            <w:tcW w:w="450" w:type="pct"/>
            <w:tcBorders>
              <w:top w:val="nil"/>
              <w:left w:val="nil"/>
              <w:bottom w:val="single" w:sz="4" w:space="0" w:color="B1BBCC"/>
              <w:right w:val="single" w:sz="4" w:space="0" w:color="B1BBCC"/>
            </w:tcBorders>
            <w:shd w:val="clear" w:color="000000" w:fill="FFFFFF"/>
            <w:vAlign w:val="center"/>
            <w:hideMark/>
          </w:tcPr>
          <w:p w14:paraId="49DC092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14/9/22</w:t>
            </w:r>
          </w:p>
        </w:tc>
        <w:tc>
          <w:tcPr>
            <w:tcW w:w="739" w:type="pct"/>
            <w:tcBorders>
              <w:top w:val="nil"/>
              <w:left w:val="nil"/>
              <w:bottom w:val="single" w:sz="4" w:space="0" w:color="B1BBCC"/>
              <w:right w:val="single" w:sz="4" w:space="0" w:color="B1BBCC"/>
            </w:tcBorders>
            <w:shd w:val="clear" w:color="000000" w:fill="FFFFFF"/>
            <w:vAlign w:val="center"/>
            <w:hideMark/>
          </w:tcPr>
          <w:p w14:paraId="195779CE"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Unidad Estratégica de Portafolio de Proyectos Institucional</w:t>
            </w:r>
          </w:p>
        </w:tc>
      </w:tr>
      <w:tr w:rsidR="00B15F7D" w:rsidRPr="00990FB6" w14:paraId="730F6B10"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422C82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1.3.1</w:t>
            </w:r>
          </w:p>
        </w:tc>
        <w:tc>
          <w:tcPr>
            <w:tcW w:w="2446" w:type="pct"/>
            <w:tcBorders>
              <w:top w:val="nil"/>
              <w:left w:val="nil"/>
              <w:bottom w:val="single" w:sz="4" w:space="0" w:color="B1BBCC"/>
              <w:right w:val="single" w:sz="4" w:space="0" w:color="B1BBCC"/>
            </w:tcBorders>
            <w:shd w:val="clear" w:color="000000" w:fill="FFFFFF"/>
            <w:vAlign w:val="center"/>
            <w:hideMark/>
          </w:tcPr>
          <w:p w14:paraId="35651BD1" w14:textId="77777777" w:rsidR="00B15F7D" w:rsidRPr="00990FB6" w:rsidRDefault="00B15F7D" w:rsidP="00B15F7D">
            <w:pPr>
              <w:rPr>
                <w:color w:val="000000"/>
                <w:sz w:val="22"/>
                <w:szCs w:val="22"/>
                <w:lang w:eastAsia="es-CR"/>
              </w:rPr>
            </w:pPr>
            <w:r w:rsidRPr="00990FB6">
              <w:rPr>
                <w:color w:val="000000"/>
                <w:sz w:val="22"/>
                <w:szCs w:val="22"/>
                <w:lang w:eastAsia="es-CR"/>
              </w:rPr>
              <w:t>Comunicar proceso de capacitación</w:t>
            </w:r>
          </w:p>
        </w:tc>
        <w:tc>
          <w:tcPr>
            <w:tcW w:w="519" w:type="pct"/>
            <w:tcBorders>
              <w:top w:val="nil"/>
              <w:left w:val="nil"/>
              <w:bottom w:val="single" w:sz="4" w:space="0" w:color="B1BBCC"/>
              <w:right w:val="single" w:sz="4" w:space="0" w:color="B1BBCC"/>
            </w:tcBorders>
            <w:shd w:val="clear" w:color="000000" w:fill="FFFFFF"/>
            <w:vAlign w:val="center"/>
            <w:hideMark/>
          </w:tcPr>
          <w:p w14:paraId="02E8FB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29/8/22</w:t>
            </w:r>
          </w:p>
        </w:tc>
        <w:tc>
          <w:tcPr>
            <w:tcW w:w="450" w:type="pct"/>
            <w:tcBorders>
              <w:top w:val="nil"/>
              <w:left w:val="nil"/>
              <w:bottom w:val="single" w:sz="4" w:space="0" w:color="B1BBCC"/>
              <w:right w:val="single" w:sz="4" w:space="0" w:color="B1BBCC"/>
            </w:tcBorders>
            <w:shd w:val="clear" w:color="000000" w:fill="FFFFFF"/>
            <w:vAlign w:val="center"/>
            <w:hideMark/>
          </w:tcPr>
          <w:p w14:paraId="3F0E61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31/8/22</w:t>
            </w:r>
          </w:p>
        </w:tc>
        <w:tc>
          <w:tcPr>
            <w:tcW w:w="739" w:type="pct"/>
            <w:tcBorders>
              <w:top w:val="nil"/>
              <w:left w:val="nil"/>
              <w:bottom w:val="single" w:sz="4" w:space="0" w:color="B1BBCC"/>
              <w:right w:val="single" w:sz="4" w:space="0" w:color="B1BBCC"/>
            </w:tcBorders>
            <w:shd w:val="clear" w:color="000000" w:fill="FFFFFF"/>
            <w:vAlign w:val="center"/>
            <w:hideMark/>
          </w:tcPr>
          <w:p w14:paraId="25B38559"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5EE0AF4A"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18B4C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1.3.2</w:t>
            </w:r>
          </w:p>
        </w:tc>
        <w:tc>
          <w:tcPr>
            <w:tcW w:w="2446" w:type="pct"/>
            <w:tcBorders>
              <w:top w:val="nil"/>
              <w:left w:val="nil"/>
              <w:bottom w:val="single" w:sz="4" w:space="0" w:color="B1BBCC"/>
              <w:right w:val="single" w:sz="4" w:space="0" w:color="B1BBCC"/>
            </w:tcBorders>
            <w:shd w:val="clear" w:color="000000" w:fill="FFFFFF"/>
            <w:vAlign w:val="center"/>
            <w:hideMark/>
          </w:tcPr>
          <w:p w14:paraId="480E6EC0" w14:textId="77777777" w:rsidR="00B15F7D" w:rsidRPr="00990FB6" w:rsidRDefault="00B15F7D" w:rsidP="00B15F7D">
            <w:pPr>
              <w:rPr>
                <w:color w:val="000000"/>
                <w:sz w:val="22"/>
                <w:szCs w:val="22"/>
                <w:lang w:eastAsia="es-CR"/>
              </w:rPr>
            </w:pPr>
            <w:r w:rsidRPr="00990FB6">
              <w:rPr>
                <w:color w:val="000000"/>
                <w:sz w:val="22"/>
                <w:szCs w:val="22"/>
                <w:lang w:eastAsia="es-CR"/>
              </w:rPr>
              <w:t>Personal Programas Presupuestarios 928 - 929 - 930 - 950</w:t>
            </w:r>
          </w:p>
        </w:tc>
        <w:tc>
          <w:tcPr>
            <w:tcW w:w="519" w:type="pct"/>
            <w:tcBorders>
              <w:top w:val="nil"/>
              <w:left w:val="nil"/>
              <w:bottom w:val="single" w:sz="4" w:space="0" w:color="B1BBCC"/>
              <w:right w:val="single" w:sz="4" w:space="0" w:color="B1BBCC"/>
            </w:tcBorders>
            <w:shd w:val="clear" w:color="000000" w:fill="FFFFFF"/>
            <w:vAlign w:val="center"/>
            <w:hideMark/>
          </w:tcPr>
          <w:p w14:paraId="6CBB95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12/9/22</w:t>
            </w:r>
          </w:p>
        </w:tc>
        <w:tc>
          <w:tcPr>
            <w:tcW w:w="450" w:type="pct"/>
            <w:tcBorders>
              <w:top w:val="nil"/>
              <w:left w:val="nil"/>
              <w:bottom w:val="single" w:sz="4" w:space="0" w:color="B1BBCC"/>
              <w:right w:val="single" w:sz="4" w:space="0" w:color="B1BBCC"/>
            </w:tcBorders>
            <w:shd w:val="clear" w:color="000000" w:fill="FFFFFF"/>
            <w:vAlign w:val="center"/>
            <w:hideMark/>
          </w:tcPr>
          <w:p w14:paraId="7363B3A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14/9/22</w:t>
            </w:r>
          </w:p>
        </w:tc>
        <w:tc>
          <w:tcPr>
            <w:tcW w:w="739" w:type="pct"/>
            <w:tcBorders>
              <w:top w:val="nil"/>
              <w:left w:val="nil"/>
              <w:bottom w:val="single" w:sz="4" w:space="0" w:color="B1BBCC"/>
              <w:right w:val="single" w:sz="4" w:space="0" w:color="B1BBCC"/>
            </w:tcBorders>
            <w:shd w:val="clear" w:color="000000" w:fill="FFFFFF"/>
            <w:vAlign w:val="center"/>
            <w:hideMark/>
          </w:tcPr>
          <w:p w14:paraId="52F0119E"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78206219"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6CB1A2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1.3.3</w:t>
            </w:r>
          </w:p>
        </w:tc>
        <w:tc>
          <w:tcPr>
            <w:tcW w:w="2446" w:type="pct"/>
            <w:tcBorders>
              <w:top w:val="nil"/>
              <w:left w:val="nil"/>
              <w:bottom w:val="single" w:sz="4" w:space="0" w:color="B1BBCC"/>
              <w:right w:val="single" w:sz="4" w:space="0" w:color="B1BBCC"/>
            </w:tcBorders>
            <w:shd w:val="clear" w:color="000000" w:fill="FFFFFF"/>
            <w:vAlign w:val="center"/>
            <w:hideMark/>
          </w:tcPr>
          <w:p w14:paraId="75AECCFB" w14:textId="77777777" w:rsidR="00B15F7D" w:rsidRPr="00990FB6" w:rsidRDefault="00B15F7D" w:rsidP="00B15F7D">
            <w:pPr>
              <w:rPr>
                <w:color w:val="000000"/>
                <w:sz w:val="22"/>
                <w:szCs w:val="22"/>
                <w:lang w:eastAsia="es-CR"/>
              </w:rPr>
            </w:pPr>
            <w:r w:rsidRPr="00990FB6">
              <w:rPr>
                <w:color w:val="000000"/>
                <w:sz w:val="22"/>
                <w:szCs w:val="22"/>
                <w:lang w:eastAsia="es-CR"/>
              </w:rPr>
              <w:t>Personal Centros de Responsabilidad de los Programas Presupuestarios 926 - 927 - 951</w:t>
            </w:r>
          </w:p>
        </w:tc>
        <w:tc>
          <w:tcPr>
            <w:tcW w:w="519" w:type="pct"/>
            <w:tcBorders>
              <w:top w:val="nil"/>
              <w:left w:val="nil"/>
              <w:bottom w:val="single" w:sz="4" w:space="0" w:color="B1BBCC"/>
              <w:right w:val="single" w:sz="4" w:space="0" w:color="B1BBCC"/>
            </w:tcBorders>
            <w:shd w:val="clear" w:color="000000" w:fill="FFFFFF"/>
            <w:vAlign w:val="center"/>
            <w:hideMark/>
          </w:tcPr>
          <w:p w14:paraId="4DFABB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12/9/22</w:t>
            </w:r>
          </w:p>
        </w:tc>
        <w:tc>
          <w:tcPr>
            <w:tcW w:w="450" w:type="pct"/>
            <w:tcBorders>
              <w:top w:val="nil"/>
              <w:left w:val="nil"/>
              <w:bottom w:val="single" w:sz="4" w:space="0" w:color="B1BBCC"/>
              <w:right w:val="single" w:sz="4" w:space="0" w:color="B1BBCC"/>
            </w:tcBorders>
            <w:shd w:val="clear" w:color="000000" w:fill="FFFFFF"/>
            <w:vAlign w:val="center"/>
            <w:hideMark/>
          </w:tcPr>
          <w:p w14:paraId="26F759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14/9/22</w:t>
            </w:r>
          </w:p>
        </w:tc>
        <w:tc>
          <w:tcPr>
            <w:tcW w:w="739" w:type="pct"/>
            <w:tcBorders>
              <w:top w:val="nil"/>
              <w:left w:val="nil"/>
              <w:bottom w:val="single" w:sz="4" w:space="0" w:color="B1BBCC"/>
              <w:right w:val="single" w:sz="4" w:space="0" w:color="B1BBCC"/>
            </w:tcBorders>
            <w:shd w:val="clear" w:color="000000" w:fill="FFFFFF"/>
            <w:vAlign w:val="center"/>
            <w:hideMark/>
          </w:tcPr>
          <w:p w14:paraId="7A21A769"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7F8CFF66"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D605C2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1.4</w:t>
            </w:r>
          </w:p>
        </w:tc>
        <w:tc>
          <w:tcPr>
            <w:tcW w:w="2446" w:type="pct"/>
            <w:tcBorders>
              <w:top w:val="nil"/>
              <w:left w:val="nil"/>
              <w:bottom w:val="single" w:sz="4" w:space="0" w:color="B1BBCC"/>
              <w:right w:val="single" w:sz="4" w:space="0" w:color="B1BBCC"/>
            </w:tcBorders>
            <w:shd w:val="clear" w:color="000000" w:fill="FFFFFF"/>
            <w:vAlign w:val="center"/>
            <w:hideMark/>
          </w:tcPr>
          <w:p w14:paraId="44BB525A"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Ejercicio Plurianual Presupuesto 2024</w:t>
            </w:r>
          </w:p>
        </w:tc>
        <w:tc>
          <w:tcPr>
            <w:tcW w:w="519" w:type="pct"/>
            <w:tcBorders>
              <w:top w:val="nil"/>
              <w:left w:val="nil"/>
              <w:bottom w:val="single" w:sz="4" w:space="0" w:color="B1BBCC"/>
              <w:right w:val="single" w:sz="4" w:space="0" w:color="B1BBCC"/>
            </w:tcBorders>
            <w:shd w:val="clear" w:color="000000" w:fill="FFFFFF"/>
            <w:vAlign w:val="center"/>
            <w:hideMark/>
          </w:tcPr>
          <w:p w14:paraId="615323E8"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7/9/22</w:t>
            </w:r>
          </w:p>
        </w:tc>
        <w:tc>
          <w:tcPr>
            <w:tcW w:w="450" w:type="pct"/>
            <w:tcBorders>
              <w:top w:val="nil"/>
              <w:left w:val="nil"/>
              <w:bottom w:val="single" w:sz="4" w:space="0" w:color="B1BBCC"/>
              <w:right w:val="single" w:sz="4" w:space="0" w:color="B1BBCC"/>
            </w:tcBorders>
            <w:shd w:val="clear" w:color="000000" w:fill="FFFFFF"/>
            <w:vAlign w:val="center"/>
            <w:hideMark/>
          </w:tcPr>
          <w:p w14:paraId="4D95539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74B5DA84"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Unidad Estratégica de Portafolio de Proyectos Institucional</w:t>
            </w:r>
          </w:p>
        </w:tc>
      </w:tr>
      <w:tr w:rsidR="00B15F7D" w:rsidRPr="00990FB6" w14:paraId="79539B3C"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5F2ED9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1.4.1</w:t>
            </w:r>
          </w:p>
        </w:tc>
        <w:tc>
          <w:tcPr>
            <w:tcW w:w="2446" w:type="pct"/>
            <w:tcBorders>
              <w:top w:val="nil"/>
              <w:left w:val="nil"/>
              <w:bottom w:val="single" w:sz="4" w:space="0" w:color="B1BBCC"/>
              <w:right w:val="single" w:sz="4" w:space="0" w:color="B1BBCC"/>
            </w:tcBorders>
            <w:shd w:val="clear" w:color="000000" w:fill="FFFFFF"/>
            <w:vAlign w:val="center"/>
            <w:hideMark/>
          </w:tcPr>
          <w:p w14:paraId="23505293" w14:textId="77777777" w:rsidR="00B15F7D" w:rsidRPr="00990FB6" w:rsidRDefault="00B15F7D" w:rsidP="00B15F7D">
            <w:pPr>
              <w:rPr>
                <w:color w:val="000000"/>
                <w:sz w:val="22"/>
                <w:szCs w:val="22"/>
                <w:lang w:eastAsia="es-CR"/>
              </w:rPr>
            </w:pPr>
            <w:r w:rsidRPr="00990FB6">
              <w:rPr>
                <w:color w:val="000000"/>
                <w:sz w:val="22"/>
                <w:szCs w:val="22"/>
                <w:lang w:eastAsia="es-CR"/>
              </w:rPr>
              <w:t>Asignar permisos al personal responsable</w:t>
            </w:r>
          </w:p>
        </w:tc>
        <w:tc>
          <w:tcPr>
            <w:tcW w:w="519" w:type="pct"/>
            <w:tcBorders>
              <w:top w:val="nil"/>
              <w:left w:val="nil"/>
              <w:bottom w:val="single" w:sz="4" w:space="0" w:color="B1BBCC"/>
              <w:right w:val="single" w:sz="4" w:space="0" w:color="B1BBCC"/>
            </w:tcBorders>
            <w:shd w:val="clear" w:color="000000" w:fill="FFFFFF"/>
            <w:vAlign w:val="center"/>
            <w:hideMark/>
          </w:tcPr>
          <w:p w14:paraId="5B7C96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7/9/22</w:t>
            </w:r>
          </w:p>
        </w:tc>
        <w:tc>
          <w:tcPr>
            <w:tcW w:w="450" w:type="pct"/>
            <w:tcBorders>
              <w:top w:val="nil"/>
              <w:left w:val="nil"/>
              <w:bottom w:val="single" w:sz="4" w:space="0" w:color="B1BBCC"/>
              <w:right w:val="single" w:sz="4" w:space="0" w:color="B1BBCC"/>
            </w:tcBorders>
            <w:shd w:val="clear" w:color="000000" w:fill="FFFFFF"/>
            <w:vAlign w:val="center"/>
            <w:hideMark/>
          </w:tcPr>
          <w:p w14:paraId="55A03F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9/9/22</w:t>
            </w:r>
          </w:p>
        </w:tc>
        <w:tc>
          <w:tcPr>
            <w:tcW w:w="739" w:type="pct"/>
            <w:tcBorders>
              <w:top w:val="nil"/>
              <w:left w:val="nil"/>
              <w:bottom w:val="single" w:sz="4" w:space="0" w:color="B1BBCC"/>
              <w:right w:val="single" w:sz="4" w:space="0" w:color="B1BBCC"/>
            </w:tcBorders>
            <w:shd w:val="clear" w:color="000000" w:fill="FFFFFF"/>
            <w:vAlign w:val="center"/>
            <w:hideMark/>
          </w:tcPr>
          <w:p w14:paraId="7FA85F0E"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32500396"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77756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1.4.2</w:t>
            </w:r>
          </w:p>
        </w:tc>
        <w:tc>
          <w:tcPr>
            <w:tcW w:w="2446" w:type="pct"/>
            <w:tcBorders>
              <w:top w:val="nil"/>
              <w:left w:val="nil"/>
              <w:bottom w:val="single" w:sz="4" w:space="0" w:color="B1BBCC"/>
              <w:right w:val="single" w:sz="4" w:space="0" w:color="B1BBCC"/>
            </w:tcBorders>
            <w:shd w:val="clear" w:color="000000" w:fill="FFFFFF"/>
            <w:vAlign w:val="center"/>
            <w:hideMark/>
          </w:tcPr>
          <w:p w14:paraId="583BFA73" w14:textId="77777777" w:rsidR="00B15F7D" w:rsidRPr="00990FB6" w:rsidRDefault="00B15F7D" w:rsidP="00B15F7D">
            <w:pPr>
              <w:rPr>
                <w:color w:val="000000"/>
                <w:sz w:val="22"/>
                <w:szCs w:val="22"/>
                <w:lang w:eastAsia="es-CR"/>
              </w:rPr>
            </w:pPr>
            <w:r w:rsidRPr="00990FB6">
              <w:rPr>
                <w:color w:val="000000"/>
                <w:sz w:val="22"/>
                <w:szCs w:val="22"/>
                <w:lang w:eastAsia="es-CR"/>
              </w:rPr>
              <w:t>Proyectar recursos para proyectos estratégicos</w:t>
            </w:r>
          </w:p>
        </w:tc>
        <w:tc>
          <w:tcPr>
            <w:tcW w:w="519" w:type="pct"/>
            <w:tcBorders>
              <w:top w:val="nil"/>
              <w:left w:val="nil"/>
              <w:bottom w:val="single" w:sz="4" w:space="0" w:color="B1BBCC"/>
              <w:right w:val="single" w:sz="4" w:space="0" w:color="B1BBCC"/>
            </w:tcBorders>
            <w:shd w:val="clear" w:color="000000" w:fill="FFFFFF"/>
            <w:vAlign w:val="center"/>
            <w:hideMark/>
          </w:tcPr>
          <w:p w14:paraId="1003FF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15/9/22</w:t>
            </w:r>
          </w:p>
        </w:tc>
        <w:tc>
          <w:tcPr>
            <w:tcW w:w="450" w:type="pct"/>
            <w:tcBorders>
              <w:top w:val="nil"/>
              <w:left w:val="nil"/>
              <w:bottom w:val="single" w:sz="4" w:space="0" w:color="B1BBCC"/>
              <w:right w:val="single" w:sz="4" w:space="0" w:color="B1BBCC"/>
            </w:tcBorders>
            <w:shd w:val="clear" w:color="000000" w:fill="FFFFFF"/>
            <w:vAlign w:val="center"/>
            <w:hideMark/>
          </w:tcPr>
          <w:p w14:paraId="047FA0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23/9/22</w:t>
            </w:r>
          </w:p>
        </w:tc>
        <w:tc>
          <w:tcPr>
            <w:tcW w:w="739" w:type="pct"/>
            <w:tcBorders>
              <w:top w:val="nil"/>
              <w:left w:val="nil"/>
              <w:bottom w:val="single" w:sz="4" w:space="0" w:color="B1BBCC"/>
              <w:right w:val="single" w:sz="4" w:space="0" w:color="B1BBCC"/>
            </w:tcBorders>
            <w:shd w:val="clear" w:color="000000" w:fill="FFFFFF"/>
            <w:vAlign w:val="center"/>
            <w:hideMark/>
          </w:tcPr>
          <w:p w14:paraId="2F2B7C65"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2FE0D355"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2A663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1.4.3</w:t>
            </w:r>
          </w:p>
        </w:tc>
        <w:tc>
          <w:tcPr>
            <w:tcW w:w="2446" w:type="pct"/>
            <w:tcBorders>
              <w:top w:val="nil"/>
              <w:left w:val="nil"/>
              <w:bottom w:val="single" w:sz="4" w:space="0" w:color="B1BBCC"/>
              <w:right w:val="single" w:sz="4" w:space="0" w:color="B1BBCC"/>
            </w:tcBorders>
            <w:shd w:val="clear" w:color="000000" w:fill="FFFFFF"/>
            <w:vAlign w:val="center"/>
            <w:hideMark/>
          </w:tcPr>
          <w:p w14:paraId="04485AE0" w14:textId="77777777" w:rsidR="00B15F7D" w:rsidRPr="00990FB6" w:rsidRDefault="00B15F7D" w:rsidP="00B15F7D">
            <w:pPr>
              <w:rPr>
                <w:color w:val="000000"/>
                <w:sz w:val="22"/>
                <w:szCs w:val="22"/>
                <w:lang w:eastAsia="es-CR"/>
              </w:rPr>
            </w:pPr>
            <w:r w:rsidRPr="00990FB6">
              <w:rPr>
                <w:color w:val="000000"/>
                <w:sz w:val="22"/>
                <w:szCs w:val="22"/>
                <w:lang w:eastAsia="es-CR"/>
              </w:rPr>
              <w:t>Revisar y analizar los resultados de las proyecciones</w:t>
            </w:r>
          </w:p>
        </w:tc>
        <w:tc>
          <w:tcPr>
            <w:tcW w:w="519" w:type="pct"/>
            <w:tcBorders>
              <w:top w:val="nil"/>
              <w:left w:val="nil"/>
              <w:bottom w:val="single" w:sz="4" w:space="0" w:color="B1BBCC"/>
              <w:right w:val="single" w:sz="4" w:space="0" w:color="B1BBCC"/>
            </w:tcBorders>
            <w:shd w:val="clear" w:color="000000" w:fill="FFFFFF"/>
            <w:vAlign w:val="center"/>
            <w:hideMark/>
          </w:tcPr>
          <w:p w14:paraId="66D2F8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26/9/22</w:t>
            </w:r>
          </w:p>
        </w:tc>
        <w:tc>
          <w:tcPr>
            <w:tcW w:w="450" w:type="pct"/>
            <w:tcBorders>
              <w:top w:val="nil"/>
              <w:left w:val="nil"/>
              <w:bottom w:val="single" w:sz="4" w:space="0" w:color="B1BBCC"/>
              <w:right w:val="single" w:sz="4" w:space="0" w:color="B1BBCC"/>
            </w:tcBorders>
            <w:shd w:val="clear" w:color="000000" w:fill="FFFFFF"/>
            <w:vAlign w:val="center"/>
            <w:hideMark/>
          </w:tcPr>
          <w:p w14:paraId="46A2776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30/9/22</w:t>
            </w:r>
          </w:p>
        </w:tc>
        <w:tc>
          <w:tcPr>
            <w:tcW w:w="739" w:type="pct"/>
            <w:tcBorders>
              <w:top w:val="nil"/>
              <w:left w:val="nil"/>
              <w:bottom w:val="single" w:sz="4" w:space="0" w:color="B1BBCC"/>
              <w:right w:val="single" w:sz="4" w:space="0" w:color="B1BBCC"/>
            </w:tcBorders>
            <w:shd w:val="clear" w:color="000000" w:fill="FFFFFF"/>
            <w:vAlign w:val="center"/>
            <w:hideMark/>
          </w:tcPr>
          <w:p w14:paraId="61CA7B16"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36BEDDF5"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5F1843A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1.4.4</w:t>
            </w:r>
          </w:p>
        </w:tc>
        <w:tc>
          <w:tcPr>
            <w:tcW w:w="2446" w:type="pct"/>
            <w:tcBorders>
              <w:top w:val="nil"/>
              <w:left w:val="nil"/>
              <w:bottom w:val="single" w:sz="4" w:space="0" w:color="B1BBCC"/>
              <w:right w:val="single" w:sz="4" w:space="0" w:color="B1BBCC"/>
            </w:tcBorders>
            <w:shd w:val="clear" w:color="000000" w:fill="FFFFFF"/>
            <w:vAlign w:val="center"/>
            <w:hideMark/>
          </w:tcPr>
          <w:p w14:paraId="40E7A34D" w14:textId="77777777" w:rsidR="00B15F7D" w:rsidRPr="00990FB6" w:rsidRDefault="00B15F7D" w:rsidP="00B15F7D">
            <w:pPr>
              <w:rPr>
                <w:color w:val="000000"/>
                <w:sz w:val="22"/>
                <w:szCs w:val="22"/>
                <w:lang w:eastAsia="es-CR"/>
              </w:rPr>
            </w:pPr>
            <w:r w:rsidRPr="00990FB6">
              <w:rPr>
                <w:color w:val="000000"/>
                <w:sz w:val="22"/>
                <w:szCs w:val="22"/>
                <w:lang w:eastAsia="es-CR"/>
              </w:rPr>
              <w:t>Presentar proyecciones para conocimiento al Consejo Superior</w:t>
            </w:r>
          </w:p>
        </w:tc>
        <w:tc>
          <w:tcPr>
            <w:tcW w:w="519" w:type="pct"/>
            <w:tcBorders>
              <w:top w:val="nil"/>
              <w:left w:val="nil"/>
              <w:bottom w:val="single" w:sz="4" w:space="0" w:color="B1BBCC"/>
              <w:right w:val="single" w:sz="4" w:space="0" w:color="B1BBCC"/>
            </w:tcBorders>
            <w:shd w:val="clear" w:color="000000" w:fill="FFFFFF"/>
            <w:vAlign w:val="center"/>
            <w:hideMark/>
          </w:tcPr>
          <w:p w14:paraId="117087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3/10/22</w:t>
            </w:r>
          </w:p>
        </w:tc>
        <w:tc>
          <w:tcPr>
            <w:tcW w:w="450" w:type="pct"/>
            <w:tcBorders>
              <w:top w:val="nil"/>
              <w:left w:val="nil"/>
              <w:bottom w:val="single" w:sz="4" w:space="0" w:color="B1BBCC"/>
              <w:right w:val="single" w:sz="4" w:space="0" w:color="B1BBCC"/>
            </w:tcBorders>
            <w:shd w:val="clear" w:color="000000" w:fill="FFFFFF"/>
            <w:vAlign w:val="center"/>
            <w:hideMark/>
          </w:tcPr>
          <w:p w14:paraId="2512F0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7/10/22</w:t>
            </w:r>
          </w:p>
        </w:tc>
        <w:tc>
          <w:tcPr>
            <w:tcW w:w="739" w:type="pct"/>
            <w:tcBorders>
              <w:top w:val="nil"/>
              <w:left w:val="nil"/>
              <w:bottom w:val="single" w:sz="4" w:space="0" w:color="B1BBCC"/>
              <w:right w:val="single" w:sz="4" w:space="0" w:color="B1BBCC"/>
            </w:tcBorders>
            <w:shd w:val="clear" w:color="000000" w:fill="FFFFFF"/>
            <w:vAlign w:val="center"/>
            <w:hideMark/>
          </w:tcPr>
          <w:p w14:paraId="62963011"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69079EF4"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5355DB6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1.4.5</w:t>
            </w:r>
          </w:p>
        </w:tc>
        <w:tc>
          <w:tcPr>
            <w:tcW w:w="2446" w:type="pct"/>
            <w:tcBorders>
              <w:top w:val="nil"/>
              <w:left w:val="nil"/>
              <w:bottom w:val="single" w:sz="4" w:space="0" w:color="B1BBCC"/>
              <w:right w:val="single" w:sz="4" w:space="0" w:color="B1BBCC"/>
            </w:tcBorders>
            <w:shd w:val="clear" w:color="000000" w:fill="FFFFFF"/>
            <w:vAlign w:val="center"/>
            <w:hideMark/>
          </w:tcPr>
          <w:p w14:paraId="1FCF626D"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Proceso de "Volcados"</w:t>
            </w:r>
          </w:p>
        </w:tc>
        <w:tc>
          <w:tcPr>
            <w:tcW w:w="519" w:type="pct"/>
            <w:tcBorders>
              <w:top w:val="nil"/>
              <w:left w:val="nil"/>
              <w:bottom w:val="single" w:sz="4" w:space="0" w:color="B1BBCC"/>
              <w:right w:val="single" w:sz="4" w:space="0" w:color="B1BBCC"/>
            </w:tcBorders>
            <w:shd w:val="clear" w:color="000000" w:fill="FFFFFF"/>
            <w:vAlign w:val="center"/>
            <w:hideMark/>
          </w:tcPr>
          <w:p w14:paraId="71FFBF2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10/10/22</w:t>
            </w:r>
          </w:p>
        </w:tc>
        <w:tc>
          <w:tcPr>
            <w:tcW w:w="450" w:type="pct"/>
            <w:tcBorders>
              <w:top w:val="nil"/>
              <w:left w:val="nil"/>
              <w:bottom w:val="single" w:sz="4" w:space="0" w:color="B1BBCC"/>
              <w:right w:val="single" w:sz="4" w:space="0" w:color="B1BBCC"/>
            </w:tcBorders>
            <w:shd w:val="clear" w:color="000000" w:fill="FFFFFF"/>
            <w:vAlign w:val="center"/>
            <w:hideMark/>
          </w:tcPr>
          <w:p w14:paraId="7B55D11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2642BADE"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Unidad Estratégica de Portafolio de Proyectos Institucional</w:t>
            </w:r>
          </w:p>
        </w:tc>
      </w:tr>
      <w:tr w:rsidR="00B15F7D" w:rsidRPr="00990FB6" w14:paraId="78F2304E"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6469DB58"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1.4.5.1</w:t>
            </w:r>
          </w:p>
        </w:tc>
        <w:tc>
          <w:tcPr>
            <w:tcW w:w="2446" w:type="pct"/>
            <w:tcBorders>
              <w:top w:val="nil"/>
              <w:left w:val="nil"/>
              <w:bottom w:val="single" w:sz="4" w:space="0" w:color="B1BBCC"/>
              <w:right w:val="single" w:sz="4" w:space="0" w:color="B1BBCC"/>
            </w:tcBorders>
            <w:shd w:val="clear" w:color="000000" w:fill="FFFFFF"/>
            <w:vAlign w:val="center"/>
            <w:hideMark/>
          </w:tcPr>
          <w:p w14:paraId="4C109D9A"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Volcado a Preformulación (SPP - SPREF / áreas presupuestarias) </w:t>
            </w:r>
          </w:p>
        </w:tc>
        <w:tc>
          <w:tcPr>
            <w:tcW w:w="519" w:type="pct"/>
            <w:tcBorders>
              <w:top w:val="nil"/>
              <w:left w:val="nil"/>
              <w:bottom w:val="single" w:sz="4" w:space="0" w:color="B1BBCC"/>
              <w:right w:val="single" w:sz="4" w:space="0" w:color="B1BBCC"/>
            </w:tcBorders>
            <w:shd w:val="clear" w:color="000000" w:fill="FFFFFF"/>
            <w:vAlign w:val="center"/>
            <w:hideMark/>
          </w:tcPr>
          <w:p w14:paraId="347B06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10/10/22</w:t>
            </w:r>
          </w:p>
        </w:tc>
        <w:tc>
          <w:tcPr>
            <w:tcW w:w="450" w:type="pct"/>
            <w:tcBorders>
              <w:top w:val="nil"/>
              <w:left w:val="nil"/>
              <w:bottom w:val="single" w:sz="4" w:space="0" w:color="B1BBCC"/>
              <w:right w:val="single" w:sz="4" w:space="0" w:color="B1BBCC"/>
            </w:tcBorders>
            <w:shd w:val="clear" w:color="000000" w:fill="FFFFFF"/>
            <w:vAlign w:val="center"/>
            <w:hideMark/>
          </w:tcPr>
          <w:p w14:paraId="6EB8D36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14/10/22</w:t>
            </w:r>
          </w:p>
        </w:tc>
        <w:tc>
          <w:tcPr>
            <w:tcW w:w="739" w:type="pct"/>
            <w:tcBorders>
              <w:top w:val="nil"/>
              <w:left w:val="nil"/>
              <w:bottom w:val="single" w:sz="4" w:space="0" w:color="B1BBCC"/>
              <w:right w:val="single" w:sz="4" w:space="0" w:color="B1BBCC"/>
            </w:tcBorders>
            <w:shd w:val="clear" w:color="000000" w:fill="FFFFFF"/>
            <w:vAlign w:val="center"/>
            <w:hideMark/>
          </w:tcPr>
          <w:p w14:paraId="4392FC9F"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61CAB412"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E342A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1.4.5.2</w:t>
            </w:r>
          </w:p>
        </w:tc>
        <w:tc>
          <w:tcPr>
            <w:tcW w:w="2446" w:type="pct"/>
            <w:tcBorders>
              <w:top w:val="nil"/>
              <w:left w:val="nil"/>
              <w:bottom w:val="single" w:sz="4" w:space="0" w:color="B1BBCC"/>
              <w:right w:val="single" w:sz="4" w:space="0" w:color="B1BBCC"/>
            </w:tcBorders>
            <w:shd w:val="clear" w:color="000000" w:fill="FFFFFF"/>
            <w:vAlign w:val="center"/>
            <w:hideMark/>
          </w:tcPr>
          <w:p w14:paraId="32552E7F" w14:textId="77777777" w:rsidR="00B15F7D" w:rsidRPr="00990FB6" w:rsidRDefault="00B15F7D" w:rsidP="00B15F7D">
            <w:pPr>
              <w:rPr>
                <w:color w:val="000000"/>
                <w:sz w:val="22"/>
                <w:szCs w:val="22"/>
                <w:lang w:eastAsia="es-CR"/>
              </w:rPr>
            </w:pPr>
            <w:r w:rsidRPr="00990FB6">
              <w:rPr>
                <w:color w:val="000000"/>
                <w:sz w:val="22"/>
                <w:szCs w:val="22"/>
                <w:lang w:eastAsia="es-CR"/>
              </w:rPr>
              <w:t>Volcado al SIGA-PJ (SPP - SIGA-PJ / gasto variable)</w:t>
            </w:r>
          </w:p>
        </w:tc>
        <w:tc>
          <w:tcPr>
            <w:tcW w:w="519" w:type="pct"/>
            <w:tcBorders>
              <w:top w:val="nil"/>
              <w:left w:val="nil"/>
              <w:bottom w:val="single" w:sz="4" w:space="0" w:color="B1BBCC"/>
              <w:right w:val="single" w:sz="4" w:space="0" w:color="B1BBCC"/>
            </w:tcBorders>
            <w:shd w:val="clear" w:color="000000" w:fill="FFFFFF"/>
            <w:vAlign w:val="center"/>
            <w:hideMark/>
          </w:tcPr>
          <w:p w14:paraId="08E592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28/11/22</w:t>
            </w:r>
          </w:p>
        </w:tc>
        <w:tc>
          <w:tcPr>
            <w:tcW w:w="450" w:type="pct"/>
            <w:tcBorders>
              <w:top w:val="nil"/>
              <w:left w:val="nil"/>
              <w:bottom w:val="single" w:sz="4" w:space="0" w:color="B1BBCC"/>
              <w:right w:val="single" w:sz="4" w:space="0" w:color="B1BBCC"/>
            </w:tcBorders>
            <w:shd w:val="clear" w:color="000000" w:fill="FFFFFF"/>
            <w:vAlign w:val="center"/>
            <w:hideMark/>
          </w:tcPr>
          <w:p w14:paraId="6A29AD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5BEB0279"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r w:rsidR="00B15F7D" w:rsidRPr="00990FB6" w14:paraId="4EB9AF81"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BDD7EE"/>
            <w:vAlign w:val="center"/>
            <w:hideMark/>
          </w:tcPr>
          <w:p w14:paraId="386B07C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w:t>
            </w:r>
          </w:p>
        </w:tc>
        <w:tc>
          <w:tcPr>
            <w:tcW w:w="2446" w:type="pct"/>
            <w:tcBorders>
              <w:top w:val="nil"/>
              <w:left w:val="nil"/>
              <w:bottom w:val="single" w:sz="4" w:space="0" w:color="B1BBCC"/>
              <w:right w:val="single" w:sz="4" w:space="0" w:color="B1BBCC"/>
            </w:tcBorders>
            <w:shd w:val="clear" w:color="000000" w:fill="BDD7EE"/>
            <w:vAlign w:val="center"/>
            <w:hideMark/>
          </w:tcPr>
          <w:p w14:paraId="7D15628F"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Proceso de Pre-Formulación</w:t>
            </w:r>
          </w:p>
        </w:tc>
        <w:tc>
          <w:tcPr>
            <w:tcW w:w="519" w:type="pct"/>
            <w:tcBorders>
              <w:top w:val="nil"/>
              <w:left w:val="nil"/>
              <w:bottom w:val="single" w:sz="4" w:space="0" w:color="B1BBCC"/>
              <w:right w:val="single" w:sz="4" w:space="0" w:color="B1BBCC"/>
            </w:tcBorders>
            <w:shd w:val="clear" w:color="000000" w:fill="BDD7EE"/>
            <w:vAlign w:val="center"/>
            <w:hideMark/>
          </w:tcPr>
          <w:p w14:paraId="3872F3EC"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17/10/22</w:t>
            </w:r>
          </w:p>
        </w:tc>
        <w:tc>
          <w:tcPr>
            <w:tcW w:w="450" w:type="pct"/>
            <w:tcBorders>
              <w:top w:val="nil"/>
              <w:left w:val="nil"/>
              <w:bottom w:val="single" w:sz="4" w:space="0" w:color="B1BBCC"/>
              <w:right w:val="single" w:sz="4" w:space="0" w:color="B1BBCC"/>
            </w:tcBorders>
            <w:shd w:val="clear" w:color="000000" w:fill="BDD7EE"/>
            <w:vAlign w:val="center"/>
            <w:hideMark/>
          </w:tcPr>
          <w:p w14:paraId="2D0474D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13/1/23</w:t>
            </w:r>
          </w:p>
        </w:tc>
        <w:tc>
          <w:tcPr>
            <w:tcW w:w="739" w:type="pct"/>
            <w:tcBorders>
              <w:top w:val="nil"/>
              <w:left w:val="nil"/>
              <w:bottom w:val="single" w:sz="4" w:space="0" w:color="B1BBCC"/>
              <w:right w:val="single" w:sz="4" w:space="0" w:color="B1BBCC"/>
            </w:tcBorders>
            <w:shd w:val="clear" w:color="000000" w:fill="BDD7EE"/>
            <w:vAlign w:val="center"/>
            <w:hideMark/>
          </w:tcPr>
          <w:p w14:paraId="1F02EFE4"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w:t>
            </w:r>
          </w:p>
        </w:tc>
      </w:tr>
      <w:tr w:rsidR="00B15F7D" w:rsidRPr="00990FB6" w14:paraId="779B9506" w14:textId="77777777" w:rsidTr="000A0C22">
        <w:trPr>
          <w:trHeight w:val="116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48ED2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c>
          <w:tcPr>
            <w:tcW w:w="2446" w:type="pct"/>
            <w:tcBorders>
              <w:top w:val="nil"/>
              <w:left w:val="nil"/>
              <w:bottom w:val="single" w:sz="4" w:space="0" w:color="B1BBCC"/>
              <w:right w:val="single" w:sz="4" w:space="0" w:color="B1BBCC"/>
            </w:tcBorders>
            <w:shd w:val="clear" w:color="000000" w:fill="FFFFFF"/>
            <w:vAlign w:val="center"/>
            <w:hideMark/>
          </w:tcPr>
          <w:p w14:paraId="361F6BBE" w14:textId="77777777" w:rsidR="00B15F7D" w:rsidRPr="00990FB6" w:rsidRDefault="00B15F7D" w:rsidP="00B15F7D">
            <w:pPr>
              <w:rPr>
                <w:color w:val="000000"/>
                <w:sz w:val="22"/>
                <w:szCs w:val="22"/>
                <w:lang w:eastAsia="es-CR"/>
              </w:rPr>
            </w:pPr>
            <w:r w:rsidRPr="00990FB6">
              <w:rPr>
                <w:color w:val="000000"/>
                <w:sz w:val="22"/>
                <w:szCs w:val="22"/>
                <w:lang w:eastAsia="es-CR"/>
              </w:rPr>
              <w:t>Realizar la formulación presupuestaria de recursos del Área de Informática</w:t>
            </w:r>
          </w:p>
        </w:tc>
        <w:tc>
          <w:tcPr>
            <w:tcW w:w="519" w:type="pct"/>
            <w:tcBorders>
              <w:top w:val="nil"/>
              <w:left w:val="nil"/>
              <w:bottom w:val="single" w:sz="4" w:space="0" w:color="B1BBCC"/>
              <w:right w:val="single" w:sz="4" w:space="0" w:color="B1BBCC"/>
            </w:tcBorders>
            <w:shd w:val="clear" w:color="000000" w:fill="FFFFFF"/>
            <w:vAlign w:val="center"/>
            <w:hideMark/>
          </w:tcPr>
          <w:p w14:paraId="6E751D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17/10/22</w:t>
            </w:r>
          </w:p>
        </w:tc>
        <w:tc>
          <w:tcPr>
            <w:tcW w:w="450" w:type="pct"/>
            <w:tcBorders>
              <w:top w:val="nil"/>
              <w:left w:val="nil"/>
              <w:bottom w:val="single" w:sz="4" w:space="0" w:color="B1BBCC"/>
              <w:right w:val="single" w:sz="4" w:space="0" w:color="B1BBCC"/>
            </w:tcBorders>
            <w:shd w:val="clear" w:color="000000" w:fill="FFFFFF"/>
            <w:vAlign w:val="center"/>
            <w:hideMark/>
          </w:tcPr>
          <w:p w14:paraId="1DF040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28/10/22</w:t>
            </w:r>
          </w:p>
        </w:tc>
        <w:tc>
          <w:tcPr>
            <w:tcW w:w="739" w:type="pct"/>
            <w:tcBorders>
              <w:top w:val="nil"/>
              <w:left w:val="nil"/>
              <w:bottom w:val="single" w:sz="4" w:space="0" w:color="B1BBCC"/>
              <w:right w:val="single" w:sz="4" w:space="0" w:color="B1BBCC"/>
            </w:tcBorders>
            <w:shd w:val="clear" w:color="000000" w:fill="FFFFFF"/>
            <w:vAlign w:val="center"/>
            <w:hideMark/>
          </w:tcPr>
          <w:p w14:paraId="24E81C8A"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Tecnología de Información y Comunicaciones; Oficinas Presupuestarias, Centros de Responsabilidad; Programas Presupuestarios</w:t>
            </w:r>
          </w:p>
        </w:tc>
      </w:tr>
      <w:tr w:rsidR="00B15F7D" w:rsidRPr="00990FB6" w14:paraId="3EC5CEAE" w14:textId="77777777" w:rsidTr="000A0C22">
        <w:trPr>
          <w:trHeight w:val="203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6B0FE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w:t>
            </w:r>
          </w:p>
        </w:tc>
        <w:tc>
          <w:tcPr>
            <w:tcW w:w="2446" w:type="pct"/>
            <w:tcBorders>
              <w:top w:val="nil"/>
              <w:left w:val="nil"/>
              <w:bottom w:val="single" w:sz="4" w:space="0" w:color="B1BBCC"/>
              <w:right w:val="single" w:sz="4" w:space="0" w:color="B1BBCC"/>
            </w:tcBorders>
            <w:shd w:val="clear" w:color="000000" w:fill="FFFFFF"/>
            <w:vAlign w:val="center"/>
            <w:hideMark/>
          </w:tcPr>
          <w:p w14:paraId="6F21DB9B"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Revisar la </w:t>
            </w:r>
            <w:proofErr w:type="spellStart"/>
            <w:r w:rsidRPr="00990FB6">
              <w:rPr>
                <w:color w:val="000000"/>
                <w:sz w:val="22"/>
                <w:szCs w:val="22"/>
                <w:lang w:eastAsia="es-CR"/>
              </w:rPr>
              <w:t>preformulación</w:t>
            </w:r>
            <w:proofErr w:type="spellEnd"/>
            <w:r w:rsidRPr="00990FB6">
              <w:rPr>
                <w:color w:val="000000"/>
                <w:sz w:val="22"/>
                <w:szCs w:val="22"/>
                <w:lang w:eastAsia="es-CR"/>
              </w:rPr>
              <w:t xml:space="preserve"> presupuestaria del Área de Informática</w:t>
            </w:r>
          </w:p>
        </w:tc>
        <w:tc>
          <w:tcPr>
            <w:tcW w:w="519" w:type="pct"/>
            <w:tcBorders>
              <w:top w:val="nil"/>
              <w:left w:val="nil"/>
              <w:bottom w:val="single" w:sz="4" w:space="0" w:color="B1BBCC"/>
              <w:right w:val="single" w:sz="4" w:space="0" w:color="B1BBCC"/>
            </w:tcBorders>
            <w:shd w:val="clear" w:color="000000" w:fill="FFFFFF"/>
            <w:vAlign w:val="center"/>
            <w:hideMark/>
          </w:tcPr>
          <w:p w14:paraId="00F2C3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31/10/22</w:t>
            </w:r>
          </w:p>
        </w:tc>
        <w:tc>
          <w:tcPr>
            <w:tcW w:w="450" w:type="pct"/>
            <w:tcBorders>
              <w:top w:val="nil"/>
              <w:left w:val="nil"/>
              <w:bottom w:val="single" w:sz="4" w:space="0" w:color="B1BBCC"/>
              <w:right w:val="single" w:sz="4" w:space="0" w:color="B1BBCC"/>
            </w:tcBorders>
            <w:shd w:val="clear" w:color="000000" w:fill="FFFFFF"/>
            <w:vAlign w:val="center"/>
            <w:hideMark/>
          </w:tcPr>
          <w:p w14:paraId="7C4662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11/11/22</w:t>
            </w:r>
          </w:p>
        </w:tc>
        <w:tc>
          <w:tcPr>
            <w:tcW w:w="739" w:type="pct"/>
            <w:tcBorders>
              <w:top w:val="nil"/>
              <w:left w:val="nil"/>
              <w:bottom w:val="single" w:sz="4" w:space="0" w:color="B1BBCC"/>
              <w:right w:val="single" w:sz="4" w:space="0" w:color="B1BBCC"/>
            </w:tcBorders>
            <w:shd w:val="clear" w:color="000000" w:fill="FFFFFF"/>
            <w:vAlign w:val="center"/>
            <w:hideMark/>
          </w:tcPr>
          <w:p w14:paraId="333CCE5F"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Tecnología de Información y Comunicaciones; Dirección Ejecutiva; Organismo de Investigación Judicial; Ministerio Público; Defensa Pública</w:t>
            </w:r>
          </w:p>
        </w:tc>
      </w:tr>
      <w:tr w:rsidR="00B15F7D" w:rsidRPr="00990FB6" w14:paraId="3BD8FFDF"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596BD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w:t>
            </w:r>
          </w:p>
        </w:tc>
        <w:tc>
          <w:tcPr>
            <w:tcW w:w="2446" w:type="pct"/>
            <w:tcBorders>
              <w:top w:val="nil"/>
              <w:left w:val="nil"/>
              <w:bottom w:val="single" w:sz="4" w:space="0" w:color="B1BBCC"/>
              <w:right w:val="single" w:sz="4" w:space="0" w:color="B1BBCC"/>
            </w:tcBorders>
            <w:shd w:val="clear" w:color="000000" w:fill="FFFFFF"/>
            <w:vAlign w:val="center"/>
            <w:hideMark/>
          </w:tcPr>
          <w:p w14:paraId="42F3C4D6" w14:textId="77777777" w:rsidR="00B15F7D" w:rsidRPr="00990FB6" w:rsidRDefault="00B15F7D" w:rsidP="00B15F7D">
            <w:pPr>
              <w:rPr>
                <w:color w:val="000000"/>
                <w:sz w:val="22"/>
                <w:szCs w:val="22"/>
                <w:lang w:eastAsia="es-CR"/>
              </w:rPr>
            </w:pPr>
            <w:r w:rsidRPr="00990FB6">
              <w:rPr>
                <w:color w:val="000000"/>
                <w:sz w:val="22"/>
                <w:szCs w:val="22"/>
                <w:lang w:eastAsia="es-CR"/>
              </w:rPr>
              <w:t>Analizar y consolidar la formulación presupuestaria de recursos del Área de Informática</w:t>
            </w:r>
          </w:p>
        </w:tc>
        <w:tc>
          <w:tcPr>
            <w:tcW w:w="519" w:type="pct"/>
            <w:tcBorders>
              <w:top w:val="nil"/>
              <w:left w:val="nil"/>
              <w:bottom w:val="single" w:sz="4" w:space="0" w:color="B1BBCC"/>
              <w:right w:val="single" w:sz="4" w:space="0" w:color="B1BBCC"/>
            </w:tcBorders>
            <w:shd w:val="clear" w:color="000000" w:fill="FFFFFF"/>
            <w:vAlign w:val="center"/>
            <w:hideMark/>
          </w:tcPr>
          <w:p w14:paraId="1CD319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14/11/22</w:t>
            </w:r>
          </w:p>
        </w:tc>
        <w:tc>
          <w:tcPr>
            <w:tcW w:w="450" w:type="pct"/>
            <w:tcBorders>
              <w:top w:val="nil"/>
              <w:left w:val="nil"/>
              <w:bottom w:val="single" w:sz="4" w:space="0" w:color="B1BBCC"/>
              <w:right w:val="single" w:sz="4" w:space="0" w:color="B1BBCC"/>
            </w:tcBorders>
            <w:shd w:val="clear" w:color="000000" w:fill="FFFFFF"/>
            <w:vAlign w:val="center"/>
            <w:hideMark/>
          </w:tcPr>
          <w:p w14:paraId="697554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55265D60"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Tecnología de Información y Comunicaciones</w:t>
            </w:r>
          </w:p>
        </w:tc>
      </w:tr>
      <w:tr w:rsidR="00B15F7D" w:rsidRPr="00990FB6" w14:paraId="2469BB13"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EDCD9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c>
          <w:tcPr>
            <w:tcW w:w="2446" w:type="pct"/>
            <w:tcBorders>
              <w:top w:val="nil"/>
              <w:left w:val="nil"/>
              <w:bottom w:val="single" w:sz="4" w:space="0" w:color="B1BBCC"/>
              <w:right w:val="single" w:sz="4" w:space="0" w:color="B1BBCC"/>
            </w:tcBorders>
            <w:shd w:val="clear" w:color="000000" w:fill="FFFFFF"/>
            <w:vAlign w:val="center"/>
            <w:hideMark/>
          </w:tcPr>
          <w:p w14:paraId="4986E116" w14:textId="77777777" w:rsidR="00B15F7D" w:rsidRPr="00990FB6" w:rsidRDefault="00B15F7D" w:rsidP="00B15F7D">
            <w:pPr>
              <w:rPr>
                <w:color w:val="000000"/>
                <w:sz w:val="22"/>
                <w:szCs w:val="22"/>
                <w:lang w:eastAsia="es-CR"/>
              </w:rPr>
            </w:pPr>
            <w:r w:rsidRPr="00990FB6">
              <w:rPr>
                <w:color w:val="000000"/>
                <w:sz w:val="22"/>
                <w:szCs w:val="22"/>
                <w:lang w:eastAsia="es-CR"/>
              </w:rPr>
              <w:t>Realizar la formulación presupuestaria de recursos de las Áreas de Construcciones, Seguridad y Vehículos.</w:t>
            </w:r>
          </w:p>
        </w:tc>
        <w:tc>
          <w:tcPr>
            <w:tcW w:w="519" w:type="pct"/>
            <w:tcBorders>
              <w:top w:val="nil"/>
              <w:left w:val="nil"/>
              <w:bottom w:val="single" w:sz="4" w:space="0" w:color="B1BBCC"/>
              <w:right w:val="single" w:sz="4" w:space="0" w:color="B1BBCC"/>
            </w:tcBorders>
            <w:shd w:val="clear" w:color="000000" w:fill="FFFFFF"/>
            <w:vAlign w:val="center"/>
            <w:hideMark/>
          </w:tcPr>
          <w:p w14:paraId="5675E05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17/10/22</w:t>
            </w:r>
          </w:p>
        </w:tc>
        <w:tc>
          <w:tcPr>
            <w:tcW w:w="450" w:type="pct"/>
            <w:tcBorders>
              <w:top w:val="nil"/>
              <w:left w:val="nil"/>
              <w:bottom w:val="single" w:sz="4" w:space="0" w:color="B1BBCC"/>
              <w:right w:val="single" w:sz="4" w:space="0" w:color="B1BBCC"/>
            </w:tcBorders>
            <w:shd w:val="clear" w:color="000000" w:fill="FFFFFF"/>
            <w:vAlign w:val="center"/>
            <w:hideMark/>
          </w:tcPr>
          <w:p w14:paraId="032CFB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28/10/22</w:t>
            </w:r>
          </w:p>
        </w:tc>
        <w:tc>
          <w:tcPr>
            <w:tcW w:w="739" w:type="pct"/>
            <w:tcBorders>
              <w:top w:val="nil"/>
              <w:left w:val="nil"/>
              <w:bottom w:val="single" w:sz="4" w:space="0" w:color="B1BBCC"/>
              <w:right w:val="single" w:sz="4" w:space="0" w:color="B1BBCC"/>
            </w:tcBorders>
            <w:shd w:val="clear" w:color="000000" w:fill="FFFFFF"/>
            <w:vAlign w:val="center"/>
            <w:hideMark/>
          </w:tcPr>
          <w:p w14:paraId="6FB240B8"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Ejecutiva; Oficinas Presupuestarias, Centros de Responsabilidad; Programas Presupuestarios</w:t>
            </w:r>
          </w:p>
        </w:tc>
      </w:tr>
      <w:tr w:rsidR="00B15F7D" w:rsidRPr="00990FB6" w14:paraId="51D6D929"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73A85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w:t>
            </w:r>
          </w:p>
        </w:tc>
        <w:tc>
          <w:tcPr>
            <w:tcW w:w="2446" w:type="pct"/>
            <w:tcBorders>
              <w:top w:val="nil"/>
              <w:left w:val="nil"/>
              <w:bottom w:val="single" w:sz="4" w:space="0" w:color="B1BBCC"/>
              <w:right w:val="single" w:sz="4" w:space="0" w:color="B1BBCC"/>
            </w:tcBorders>
            <w:shd w:val="clear" w:color="000000" w:fill="FFFFFF"/>
            <w:vAlign w:val="center"/>
            <w:hideMark/>
          </w:tcPr>
          <w:p w14:paraId="6B1D3894"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Revisar la </w:t>
            </w:r>
            <w:proofErr w:type="spellStart"/>
            <w:r w:rsidRPr="00990FB6">
              <w:rPr>
                <w:color w:val="000000"/>
                <w:sz w:val="22"/>
                <w:szCs w:val="22"/>
                <w:lang w:eastAsia="es-CR"/>
              </w:rPr>
              <w:t>preformulación</w:t>
            </w:r>
            <w:proofErr w:type="spellEnd"/>
            <w:r w:rsidRPr="00990FB6">
              <w:rPr>
                <w:color w:val="000000"/>
                <w:sz w:val="22"/>
                <w:szCs w:val="22"/>
                <w:lang w:eastAsia="es-CR"/>
              </w:rPr>
              <w:t xml:space="preserve"> presupuestaria de las Áreas de Construcciones, Seguridad y Vehículos.</w:t>
            </w:r>
          </w:p>
        </w:tc>
        <w:tc>
          <w:tcPr>
            <w:tcW w:w="519" w:type="pct"/>
            <w:tcBorders>
              <w:top w:val="nil"/>
              <w:left w:val="nil"/>
              <w:bottom w:val="single" w:sz="4" w:space="0" w:color="B1BBCC"/>
              <w:right w:val="single" w:sz="4" w:space="0" w:color="B1BBCC"/>
            </w:tcBorders>
            <w:shd w:val="clear" w:color="000000" w:fill="FFFFFF"/>
            <w:vAlign w:val="center"/>
            <w:hideMark/>
          </w:tcPr>
          <w:p w14:paraId="5B1076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31/10/22</w:t>
            </w:r>
          </w:p>
        </w:tc>
        <w:tc>
          <w:tcPr>
            <w:tcW w:w="450" w:type="pct"/>
            <w:tcBorders>
              <w:top w:val="nil"/>
              <w:left w:val="nil"/>
              <w:bottom w:val="single" w:sz="4" w:space="0" w:color="B1BBCC"/>
              <w:right w:val="single" w:sz="4" w:space="0" w:color="B1BBCC"/>
            </w:tcBorders>
            <w:shd w:val="clear" w:color="000000" w:fill="FFFFFF"/>
            <w:vAlign w:val="center"/>
            <w:hideMark/>
          </w:tcPr>
          <w:p w14:paraId="219A67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4/11/22</w:t>
            </w:r>
          </w:p>
        </w:tc>
        <w:tc>
          <w:tcPr>
            <w:tcW w:w="739" w:type="pct"/>
            <w:tcBorders>
              <w:top w:val="nil"/>
              <w:left w:val="nil"/>
              <w:bottom w:val="single" w:sz="4" w:space="0" w:color="B1BBCC"/>
              <w:right w:val="single" w:sz="4" w:space="0" w:color="B1BBCC"/>
            </w:tcBorders>
            <w:shd w:val="clear" w:color="000000" w:fill="FFFFFF"/>
            <w:vAlign w:val="center"/>
            <w:hideMark/>
          </w:tcPr>
          <w:p w14:paraId="3B8AAB35" w14:textId="77777777" w:rsidR="00B15F7D" w:rsidRPr="00990FB6" w:rsidRDefault="00B15F7D" w:rsidP="00990FB6">
            <w:pPr>
              <w:jc w:val="both"/>
              <w:rPr>
                <w:color w:val="000000"/>
                <w:sz w:val="22"/>
                <w:szCs w:val="22"/>
                <w:lang w:eastAsia="es-CR"/>
              </w:rPr>
            </w:pPr>
            <w:r w:rsidRPr="00990FB6">
              <w:rPr>
                <w:color w:val="000000"/>
                <w:sz w:val="22"/>
                <w:szCs w:val="22"/>
                <w:lang w:eastAsia="es-CR"/>
              </w:rPr>
              <w:t xml:space="preserve">Dirección Ejecutiva; Depto. Seguridad; Depto. Servicios Generales; </w:t>
            </w:r>
            <w:r w:rsidRPr="00990FB6">
              <w:rPr>
                <w:color w:val="000000"/>
                <w:sz w:val="22"/>
                <w:szCs w:val="22"/>
                <w:lang w:eastAsia="es-CR"/>
              </w:rPr>
              <w:lastRenderedPageBreak/>
              <w:t>Centros de Responsabilidad</w:t>
            </w:r>
          </w:p>
        </w:tc>
      </w:tr>
      <w:tr w:rsidR="00B15F7D" w:rsidRPr="00990FB6" w14:paraId="5E2CA18D"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A55C9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2.6</w:t>
            </w:r>
          </w:p>
        </w:tc>
        <w:tc>
          <w:tcPr>
            <w:tcW w:w="2446" w:type="pct"/>
            <w:tcBorders>
              <w:top w:val="nil"/>
              <w:left w:val="nil"/>
              <w:bottom w:val="single" w:sz="4" w:space="0" w:color="B1BBCC"/>
              <w:right w:val="single" w:sz="4" w:space="0" w:color="B1BBCC"/>
            </w:tcBorders>
            <w:shd w:val="clear" w:color="000000" w:fill="FFFFFF"/>
            <w:vAlign w:val="center"/>
            <w:hideMark/>
          </w:tcPr>
          <w:p w14:paraId="0824966E" w14:textId="77777777" w:rsidR="00B15F7D" w:rsidRPr="00990FB6" w:rsidRDefault="00B15F7D" w:rsidP="00B15F7D">
            <w:pPr>
              <w:rPr>
                <w:color w:val="000000"/>
                <w:sz w:val="22"/>
                <w:szCs w:val="22"/>
                <w:lang w:eastAsia="es-CR"/>
              </w:rPr>
            </w:pPr>
            <w:r w:rsidRPr="00990FB6">
              <w:rPr>
                <w:color w:val="000000"/>
                <w:sz w:val="22"/>
                <w:szCs w:val="22"/>
                <w:lang w:eastAsia="es-CR"/>
              </w:rPr>
              <w:t>Analizar y consolidar la formulación presupuestaria de recursos de las Áreas de Construcciones, Seguridad y Vehículos.</w:t>
            </w:r>
          </w:p>
        </w:tc>
        <w:tc>
          <w:tcPr>
            <w:tcW w:w="519" w:type="pct"/>
            <w:tcBorders>
              <w:top w:val="nil"/>
              <w:left w:val="nil"/>
              <w:bottom w:val="single" w:sz="4" w:space="0" w:color="B1BBCC"/>
              <w:right w:val="single" w:sz="4" w:space="0" w:color="B1BBCC"/>
            </w:tcBorders>
            <w:shd w:val="clear" w:color="000000" w:fill="FFFFFF"/>
            <w:vAlign w:val="center"/>
            <w:hideMark/>
          </w:tcPr>
          <w:p w14:paraId="7EABC0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7/11/22</w:t>
            </w:r>
          </w:p>
        </w:tc>
        <w:tc>
          <w:tcPr>
            <w:tcW w:w="450" w:type="pct"/>
            <w:tcBorders>
              <w:top w:val="nil"/>
              <w:left w:val="nil"/>
              <w:bottom w:val="single" w:sz="4" w:space="0" w:color="B1BBCC"/>
              <w:right w:val="single" w:sz="4" w:space="0" w:color="B1BBCC"/>
            </w:tcBorders>
            <w:shd w:val="clear" w:color="000000" w:fill="FFFFFF"/>
            <w:vAlign w:val="center"/>
            <w:hideMark/>
          </w:tcPr>
          <w:p w14:paraId="1DFAF2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3F453C71"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Ejecutiva</w:t>
            </w:r>
          </w:p>
        </w:tc>
      </w:tr>
      <w:tr w:rsidR="00B15F7D" w:rsidRPr="00990FB6" w14:paraId="68E64D05"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13E8A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w:t>
            </w:r>
          </w:p>
        </w:tc>
        <w:tc>
          <w:tcPr>
            <w:tcW w:w="2446" w:type="pct"/>
            <w:tcBorders>
              <w:top w:val="nil"/>
              <w:left w:val="nil"/>
              <w:bottom w:val="single" w:sz="4" w:space="0" w:color="B1BBCC"/>
              <w:right w:val="single" w:sz="4" w:space="0" w:color="B1BBCC"/>
            </w:tcBorders>
            <w:shd w:val="clear" w:color="000000" w:fill="FFFFFF"/>
            <w:vAlign w:val="center"/>
            <w:hideMark/>
          </w:tcPr>
          <w:p w14:paraId="0759AF6A" w14:textId="77777777" w:rsidR="00B15F7D" w:rsidRPr="00990FB6" w:rsidRDefault="00B15F7D" w:rsidP="00B15F7D">
            <w:pPr>
              <w:rPr>
                <w:color w:val="000000"/>
                <w:sz w:val="22"/>
                <w:szCs w:val="22"/>
                <w:lang w:eastAsia="es-CR"/>
              </w:rPr>
            </w:pPr>
            <w:r w:rsidRPr="00990FB6">
              <w:rPr>
                <w:color w:val="000000"/>
                <w:sz w:val="22"/>
                <w:szCs w:val="22"/>
                <w:lang w:eastAsia="es-CR"/>
              </w:rPr>
              <w:t>Volcado al SIGA-PJ (Recursos de las áreas presupuestarias)</w:t>
            </w:r>
          </w:p>
        </w:tc>
        <w:tc>
          <w:tcPr>
            <w:tcW w:w="519" w:type="pct"/>
            <w:tcBorders>
              <w:top w:val="nil"/>
              <w:left w:val="nil"/>
              <w:bottom w:val="single" w:sz="4" w:space="0" w:color="B1BBCC"/>
              <w:right w:val="single" w:sz="4" w:space="0" w:color="B1BBCC"/>
            </w:tcBorders>
            <w:shd w:val="clear" w:color="000000" w:fill="FFFFFF"/>
            <w:vAlign w:val="center"/>
            <w:hideMark/>
          </w:tcPr>
          <w:p w14:paraId="16AB36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9/1/23</w:t>
            </w:r>
          </w:p>
        </w:tc>
        <w:tc>
          <w:tcPr>
            <w:tcW w:w="450" w:type="pct"/>
            <w:tcBorders>
              <w:top w:val="nil"/>
              <w:left w:val="nil"/>
              <w:bottom w:val="single" w:sz="4" w:space="0" w:color="B1BBCC"/>
              <w:right w:val="single" w:sz="4" w:space="0" w:color="B1BBCC"/>
            </w:tcBorders>
            <w:shd w:val="clear" w:color="000000" w:fill="FFFFFF"/>
            <w:vAlign w:val="center"/>
            <w:hideMark/>
          </w:tcPr>
          <w:p w14:paraId="415585F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13/1/23</w:t>
            </w:r>
          </w:p>
        </w:tc>
        <w:tc>
          <w:tcPr>
            <w:tcW w:w="739" w:type="pct"/>
            <w:tcBorders>
              <w:top w:val="nil"/>
              <w:left w:val="nil"/>
              <w:bottom w:val="single" w:sz="4" w:space="0" w:color="B1BBCC"/>
              <w:right w:val="single" w:sz="4" w:space="0" w:color="B1BBCC"/>
            </w:tcBorders>
            <w:shd w:val="clear" w:color="000000" w:fill="FFFFFF"/>
            <w:vAlign w:val="center"/>
            <w:hideMark/>
          </w:tcPr>
          <w:p w14:paraId="09003B0E" w14:textId="77777777" w:rsidR="00B15F7D" w:rsidRPr="00990FB6" w:rsidRDefault="00B15F7D" w:rsidP="00990FB6">
            <w:pPr>
              <w:jc w:val="both"/>
              <w:rPr>
                <w:color w:val="000000"/>
                <w:sz w:val="22"/>
                <w:szCs w:val="22"/>
                <w:lang w:eastAsia="es-CR"/>
              </w:rPr>
            </w:pPr>
            <w:r w:rsidRPr="00990FB6">
              <w:rPr>
                <w:color w:val="000000"/>
                <w:sz w:val="22"/>
                <w:szCs w:val="22"/>
                <w:lang w:eastAsia="es-CR"/>
              </w:rPr>
              <w:t> </w:t>
            </w:r>
          </w:p>
        </w:tc>
      </w:tr>
      <w:tr w:rsidR="00B15F7D" w:rsidRPr="00990FB6" w14:paraId="3266BD4C"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BDD7EE"/>
            <w:vAlign w:val="center"/>
            <w:hideMark/>
          </w:tcPr>
          <w:p w14:paraId="662596D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3</w:t>
            </w:r>
          </w:p>
        </w:tc>
        <w:tc>
          <w:tcPr>
            <w:tcW w:w="2446" w:type="pct"/>
            <w:tcBorders>
              <w:top w:val="nil"/>
              <w:left w:val="nil"/>
              <w:bottom w:val="single" w:sz="4" w:space="0" w:color="B1BBCC"/>
              <w:right w:val="single" w:sz="4" w:space="0" w:color="B1BBCC"/>
            </w:tcBorders>
            <w:shd w:val="clear" w:color="000000" w:fill="BDD7EE"/>
            <w:vAlign w:val="center"/>
            <w:hideMark/>
          </w:tcPr>
          <w:p w14:paraId="4B190176"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Proceso Sistema SIGA-PJ</w:t>
            </w:r>
          </w:p>
        </w:tc>
        <w:tc>
          <w:tcPr>
            <w:tcW w:w="519" w:type="pct"/>
            <w:tcBorders>
              <w:top w:val="nil"/>
              <w:left w:val="nil"/>
              <w:bottom w:val="single" w:sz="4" w:space="0" w:color="B1BBCC"/>
              <w:right w:val="single" w:sz="4" w:space="0" w:color="B1BBCC"/>
            </w:tcBorders>
            <w:shd w:val="clear" w:color="000000" w:fill="BDD7EE"/>
            <w:vAlign w:val="center"/>
            <w:hideMark/>
          </w:tcPr>
          <w:p w14:paraId="1959E4A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BDD7EE"/>
            <w:vAlign w:val="center"/>
            <w:hideMark/>
          </w:tcPr>
          <w:p w14:paraId="28A5E43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BDD7EE"/>
            <w:vAlign w:val="center"/>
            <w:hideMark/>
          </w:tcPr>
          <w:p w14:paraId="7F31BE84" w14:textId="77777777" w:rsidR="00B15F7D" w:rsidRPr="00990FB6" w:rsidRDefault="00B15F7D" w:rsidP="00990FB6">
            <w:pPr>
              <w:jc w:val="both"/>
              <w:rPr>
                <w:b/>
                <w:bCs/>
                <w:color w:val="000000"/>
                <w:sz w:val="22"/>
                <w:szCs w:val="22"/>
                <w:lang w:eastAsia="es-CR"/>
              </w:rPr>
            </w:pPr>
            <w:r w:rsidRPr="00990FB6">
              <w:rPr>
                <w:b/>
                <w:bCs/>
                <w:color w:val="000000"/>
                <w:sz w:val="22"/>
                <w:szCs w:val="22"/>
                <w:lang w:eastAsia="es-CR"/>
              </w:rPr>
              <w:t> </w:t>
            </w:r>
          </w:p>
        </w:tc>
      </w:tr>
      <w:tr w:rsidR="00B15F7D" w:rsidRPr="00990FB6" w14:paraId="6BFBB71A"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A78E3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c>
          <w:tcPr>
            <w:tcW w:w="2446" w:type="pct"/>
            <w:tcBorders>
              <w:top w:val="nil"/>
              <w:left w:val="nil"/>
              <w:bottom w:val="single" w:sz="4" w:space="0" w:color="B1BBCC"/>
              <w:right w:val="single" w:sz="4" w:space="0" w:color="B1BBCC"/>
            </w:tcBorders>
            <w:shd w:val="clear" w:color="000000" w:fill="FFFFFF"/>
            <w:vAlign w:val="center"/>
            <w:hideMark/>
          </w:tcPr>
          <w:p w14:paraId="7ABAA09E" w14:textId="77777777" w:rsidR="00B15F7D" w:rsidRPr="00990FB6" w:rsidRDefault="00B15F7D" w:rsidP="00B15F7D">
            <w:pPr>
              <w:rPr>
                <w:color w:val="000000"/>
                <w:sz w:val="22"/>
                <w:szCs w:val="22"/>
                <w:lang w:eastAsia="es-CR"/>
              </w:rPr>
            </w:pPr>
            <w:r w:rsidRPr="00990FB6">
              <w:rPr>
                <w:color w:val="000000"/>
                <w:sz w:val="22"/>
                <w:szCs w:val="22"/>
                <w:lang w:eastAsia="es-CR"/>
              </w:rPr>
              <w:t>Ingresar el período de formulación presupuestaria 2024.</w:t>
            </w:r>
          </w:p>
        </w:tc>
        <w:tc>
          <w:tcPr>
            <w:tcW w:w="519" w:type="pct"/>
            <w:tcBorders>
              <w:top w:val="nil"/>
              <w:left w:val="nil"/>
              <w:bottom w:val="single" w:sz="4" w:space="0" w:color="B1BBCC"/>
              <w:right w:val="single" w:sz="4" w:space="0" w:color="B1BBCC"/>
            </w:tcBorders>
            <w:shd w:val="clear" w:color="000000" w:fill="FFFFFF"/>
            <w:vAlign w:val="center"/>
            <w:hideMark/>
          </w:tcPr>
          <w:p w14:paraId="64B0D8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6F700B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7/9/22</w:t>
            </w:r>
          </w:p>
        </w:tc>
        <w:tc>
          <w:tcPr>
            <w:tcW w:w="739" w:type="pct"/>
            <w:tcBorders>
              <w:top w:val="nil"/>
              <w:left w:val="nil"/>
              <w:bottom w:val="single" w:sz="4" w:space="0" w:color="B1BBCC"/>
              <w:right w:val="single" w:sz="4" w:space="0" w:color="B1BBCC"/>
            </w:tcBorders>
            <w:shd w:val="clear" w:color="000000" w:fill="FFFFFF"/>
            <w:vAlign w:val="center"/>
            <w:hideMark/>
          </w:tcPr>
          <w:p w14:paraId="3881F0B2"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3E9D5AD1"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2AC43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w:t>
            </w:r>
          </w:p>
        </w:tc>
        <w:tc>
          <w:tcPr>
            <w:tcW w:w="2446" w:type="pct"/>
            <w:tcBorders>
              <w:top w:val="nil"/>
              <w:left w:val="nil"/>
              <w:bottom w:val="single" w:sz="4" w:space="0" w:color="B1BBCC"/>
              <w:right w:val="single" w:sz="4" w:space="0" w:color="B1BBCC"/>
            </w:tcBorders>
            <w:shd w:val="clear" w:color="000000" w:fill="FFFFFF"/>
            <w:vAlign w:val="center"/>
            <w:hideMark/>
          </w:tcPr>
          <w:p w14:paraId="15A66470" w14:textId="77777777" w:rsidR="00B15F7D" w:rsidRPr="00990FB6" w:rsidRDefault="00B15F7D" w:rsidP="00B15F7D">
            <w:pPr>
              <w:rPr>
                <w:color w:val="000000"/>
                <w:sz w:val="22"/>
                <w:szCs w:val="22"/>
                <w:lang w:eastAsia="es-CR"/>
              </w:rPr>
            </w:pPr>
            <w:r w:rsidRPr="00990FB6">
              <w:rPr>
                <w:color w:val="000000"/>
                <w:sz w:val="22"/>
                <w:szCs w:val="22"/>
                <w:lang w:eastAsia="es-CR"/>
              </w:rPr>
              <w:t>Incluir el porcentaje de crecimiento provisional.</w:t>
            </w:r>
          </w:p>
        </w:tc>
        <w:tc>
          <w:tcPr>
            <w:tcW w:w="519" w:type="pct"/>
            <w:tcBorders>
              <w:top w:val="nil"/>
              <w:left w:val="nil"/>
              <w:bottom w:val="single" w:sz="4" w:space="0" w:color="B1BBCC"/>
              <w:right w:val="single" w:sz="4" w:space="0" w:color="B1BBCC"/>
            </w:tcBorders>
            <w:shd w:val="clear" w:color="000000" w:fill="FFFFFF"/>
            <w:vAlign w:val="center"/>
            <w:hideMark/>
          </w:tcPr>
          <w:p w14:paraId="2B67D5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4975C3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7/9/22</w:t>
            </w:r>
          </w:p>
        </w:tc>
        <w:tc>
          <w:tcPr>
            <w:tcW w:w="739" w:type="pct"/>
            <w:tcBorders>
              <w:top w:val="nil"/>
              <w:left w:val="nil"/>
              <w:bottom w:val="single" w:sz="4" w:space="0" w:color="B1BBCC"/>
              <w:right w:val="single" w:sz="4" w:space="0" w:color="B1BBCC"/>
            </w:tcBorders>
            <w:shd w:val="clear" w:color="000000" w:fill="FFFFFF"/>
            <w:vAlign w:val="center"/>
            <w:hideMark/>
          </w:tcPr>
          <w:p w14:paraId="45E35E16"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60ABB5F0"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5B1E2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2446" w:type="pct"/>
            <w:tcBorders>
              <w:top w:val="nil"/>
              <w:left w:val="nil"/>
              <w:bottom w:val="single" w:sz="4" w:space="0" w:color="B1BBCC"/>
              <w:right w:val="single" w:sz="4" w:space="0" w:color="B1BBCC"/>
            </w:tcBorders>
            <w:shd w:val="clear" w:color="000000" w:fill="FFFFFF"/>
            <w:vAlign w:val="center"/>
            <w:hideMark/>
          </w:tcPr>
          <w:p w14:paraId="043F1240" w14:textId="77777777" w:rsidR="00B15F7D" w:rsidRPr="00990FB6" w:rsidRDefault="00B15F7D" w:rsidP="00B15F7D">
            <w:pPr>
              <w:rPr>
                <w:color w:val="000000"/>
                <w:sz w:val="22"/>
                <w:szCs w:val="22"/>
                <w:lang w:eastAsia="es-CR"/>
              </w:rPr>
            </w:pPr>
            <w:r w:rsidRPr="00990FB6">
              <w:rPr>
                <w:color w:val="000000"/>
                <w:sz w:val="22"/>
                <w:szCs w:val="22"/>
                <w:lang w:eastAsia="es-CR"/>
              </w:rPr>
              <w:t>Solicitar copiar los permisos del 2023 al 2024 y ubicar todas las oficinas en el nivel 6 "Acceso Departamento de Planificación". Se requiere GIS.</w:t>
            </w:r>
          </w:p>
        </w:tc>
        <w:tc>
          <w:tcPr>
            <w:tcW w:w="519" w:type="pct"/>
            <w:tcBorders>
              <w:top w:val="nil"/>
              <w:left w:val="nil"/>
              <w:bottom w:val="single" w:sz="4" w:space="0" w:color="B1BBCC"/>
              <w:right w:val="single" w:sz="4" w:space="0" w:color="B1BBCC"/>
            </w:tcBorders>
            <w:shd w:val="clear" w:color="000000" w:fill="FFFFFF"/>
            <w:vAlign w:val="center"/>
            <w:hideMark/>
          </w:tcPr>
          <w:p w14:paraId="02ABC75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130A2C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9/9/22</w:t>
            </w:r>
          </w:p>
        </w:tc>
        <w:tc>
          <w:tcPr>
            <w:tcW w:w="739" w:type="pct"/>
            <w:tcBorders>
              <w:top w:val="nil"/>
              <w:left w:val="nil"/>
              <w:bottom w:val="single" w:sz="4" w:space="0" w:color="B1BBCC"/>
              <w:right w:val="single" w:sz="4" w:space="0" w:color="B1BBCC"/>
            </w:tcBorders>
            <w:shd w:val="clear" w:color="000000" w:fill="FFFFFF"/>
            <w:vAlign w:val="center"/>
            <w:hideMark/>
          </w:tcPr>
          <w:p w14:paraId="0855DA7E"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 Dirección de Tecnología de Información y Comunicaciones</w:t>
            </w:r>
          </w:p>
        </w:tc>
      </w:tr>
      <w:tr w:rsidR="00B15F7D" w:rsidRPr="00990FB6" w14:paraId="114A83B6"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66FB1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w:t>
            </w:r>
          </w:p>
        </w:tc>
        <w:tc>
          <w:tcPr>
            <w:tcW w:w="2446" w:type="pct"/>
            <w:tcBorders>
              <w:top w:val="nil"/>
              <w:left w:val="nil"/>
              <w:bottom w:val="single" w:sz="4" w:space="0" w:color="B1BBCC"/>
              <w:right w:val="single" w:sz="4" w:space="0" w:color="B1BBCC"/>
            </w:tcBorders>
            <w:shd w:val="clear" w:color="000000" w:fill="FFFFFF"/>
            <w:vAlign w:val="center"/>
            <w:hideMark/>
          </w:tcPr>
          <w:p w14:paraId="7604B161" w14:textId="77777777" w:rsidR="00B15F7D" w:rsidRPr="00990FB6" w:rsidRDefault="00B15F7D" w:rsidP="00B15F7D">
            <w:pPr>
              <w:rPr>
                <w:color w:val="000000"/>
                <w:sz w:val="22"/>
                <w:szCs w:val="22"/>
                <w:lang w:eastAsia="es-CR"/>
              </w:rPr>
            </w:pPr>
            <w:r w:rsidRPr="00990FB6">
              <w:rPr>
                <w:color w:val="000000"/>
                <w:sz w:val="22"/>
                <w:szCs w:val="22"/>
                <w:lang w:eastAsia="es-CR"/>
              </w:rPr>
              <w:t>Actualizar la información de puestos por oficina.</w:t>
            </w:r>
          </w:p>
        </w:tc>
        <w:tc>
          <w:tcPr>
            <w:tcW w:w="519" w:type="pct"/>
            <w:tcBorders>
              <w:top w:val="nil"/>
              <w:left w:val="nil"/>
              <w:bottom w:val="single" w:sz="4" w:space="0" w:color="B1BBCC"/>
              <w:right w:val="single" w:sz="4" w:space="0" w:color="B1BBCC"/>
            </w:tcBorders>
            <w:shd w:val="clear" w:color="000000" w:fill="FFFFFF"/>
            <w:vAlign w:val="center"/>
            <w:hideMark/>
          </w:tcPr>
          <w:p w14:paraId="2D15C1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369A63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16/9/22</w:t>
            </w:r>
          </w:p>
        </w:tc>
        <w:tc>
          <w:tcPr>
            <w:tcW w:w="739" w:type="pct"/>
            <w:tcBorders>
              <w:top w:val="nil"/>
              <w:left w:val="nil"/>
              <w:bottom w:val="single" w:sz="4" w:space="0" w:color="B1BBCC"/>
              <w:right w:val="single" w:sz="4" w:space="0" w:color="B1BBCC"/>
            </w:tcBorders>
            <w:shd w:val="clear" w:color="000000" w:fill="FFFFFF"/>
            <w:vAlign w:val="center"/>
            <w:hideMark/>
          </w:tcPr>
          <w:p w14:paraId="5BF2EBBC"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69D0E7E2"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2AB8C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3.5</w:t>
            </w:r>
          </w:p>
        </w:tc>
        <w:tc>
          <w:tcPr>
            <w:tcW w:w="2446" w:type="pct"/>
            <w:tcBorders>
              <w:top w:val="nil"/>
              <w:left w:val="nil"/>
              <w:bottom w:val="single" w:sz="4" w:space="0" w:color="B1BBCC"/>
              <w:right w:val="single" w:sz="4" w:space="0" w:color="B1BBCC"/>
            </w:tcBorders>
            <w:shd w:val="clear" w:color="000000" w:fill="FFFFFF"/>
            <w:vAlign w:val="center"/>
            <w:hideMark/>
          </w:tcPr>
          <w:p w14:paraId="3A3E8FBF" w14:textId="77777777" w:rsidR="00B15F7D" w:rsidRPr="00990FB6" w:rsidRDefault="00B15F7D" w:rsidP="00B15F7D">
            <w:pPr>
              <w:rPr>
                <w:color w:val="000000"/>
                <w:sz w:val="22"/>
                <w:szCs w:val="22"/>
                <w:lang w:eastAsia="es-CR"/>
              </w:rPr>
            </w:pPr>
            <w:r w:rsidRPr="00990FB6">
              <w:rPr>
                <w:color w:val="000000"/>
                <w:sz w:val="22"/>
                <w:szCs w:val="22"/>
                <w:lang w:eastAsia="es-CR"/>
              </w:rPr>
              <w:t>Actualización del Catálogo de Bienes y Servicios para todos los artículos activos, excepto para los que sean "precio cero". Se requiere GIS.</w:t>
            </w:r>
          </w:p>
        </w:tc>
        <w:tc>
          <w:tcPr>
            <w:tcW w:w="519" w:type="pct"/>
            <w:tcBorders>
              <w:top w:val="nil"/>
              <w:left w:val="nil"/>
              <w:bottom w:val="single" w:sz="4" w:space="0" w:color="B1BBCC"/>
              <w:right w:val="single" w:sz="4" w:space="0" w:color="B1BBCC"/>
            </w:tcBorders>
            <w:shd w:val="clear" w:color="000000" w:fill="FFFFFF"/>
            <w:vAlign w:val="center"/>
            <w:hideMark/>
          </w:tcPr>
          <w:p w14:paraId="0D1D60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3AFC13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16/9/22</w:t>
            </w:r>
          </w:p>
        </w:tc>
        <w:tc>
          <w:tcPr>
            <w:tcW w:w="739" w:type="pct"/>
            <w:tcBorders>
              <w:top w:val="nil"/>
              <w:left w:val="nil"/>
              <w:bottom w:val="single" w:sz="4" w:space="0" w:color="B1BBCC"/>
              <w:right w:val="single" w:sz="4" w:space="0" w:color="B1BBCC"/>
            </w:tcBorders>
            <w:shd w:val="clear" w:color="000000" w:fill="FFFFFF"/>
            <w:vAlign w:val="center"/>
            <w:hideMark/>
          </w:tcPr>
          <w:p w14:paraId="738C561F"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Proveeduría; Dirección de Planificación; Dirección de Tecnología de Información y Comunicaciones</w:t>
            </w:r>
          </w:p>
        </w:tc>
      </w:tr>
      <w:tr w:rsidR="00B15F7D" w:rsidRPr="00990FB6" w14:paraId="2971BDDE"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E5CB6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2446" w:type="pct"/>
            <w:tcBorders>
              <w:top w:val="nil"/>
              <w:left w:val="nil"/>
              <w:bottom w:val="single" w:sz="4" w:space="0" w:color="B1BBCC"/>
              <w:right w:val="single" w:sz="4" w:space="0" w:color="B1BBCC"/>
            </w:tcBorders>
            <w:shd w:val="clear" w:color="000000" w:fill="FFFFFF"/>
            <w:vAlign w:val="center"/>
            <w:hideMark/>
          </w:tcPr>
          <w:p w14:paraId="15CF279A" w14:textId="77777777" w:rsidR="00B15F7D" w:rsidRPr="00990FB6" w:rsidRDefault="00B15F7D" w:rsidP="00B15F7D">
            <w:pPr>
              <w:rPr>
                <w:color w:val="000000"/>
                <w:sz w:val="22"/>
                <w:szCs w:val="22"/>
                <w:lang w:eastAsia="es-CR"/>
              </w:rPr>
            </w:pPr>
            <w:r w:rsidRPr="00990FB6">
              <w:rPr>
                <w:color w:val="000000"/>
                <w:sz w:val="22"/>
                <w:szCs w:val="22"/>
                <w:lang w:eastAsia="es-CR"/>
              </w:rPr>
              <w:t>Definir y aprobar los escenarios de proyecciones para servicios públicos.</w:t>
            </w:r>
          </w:p>
        </w:tc>
        <w:tc>
          <w:tcPr>
            <w:tcW w:w="519" w:type="pct"/>
            <w:tcBorders>
              <w:top w:val="nil"/>
              <w:left w:val="nil"/>
              <w:bottom w:val="single" w:sz="4" w:space="0" w:color="B1BBCC"/>
              <w:right w:val="single" w:sz="4" w:space="0" w:color="B1BBCC"/>
            </w:tcBorders>
            <w:shd w:val="clear" w:color="000000" w:fill="FFFFFF"/>
            <w:vAlign w:val="center"/>
            <w:hideMark/>
          </w:tcPr>
          <w:p w14:paraId="472EF4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6F6D270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16/9/22</w:t>
            </w:r>
          </w:p>
        </w:tc>
        <w:tc>
          <w:tcPr>
            <w:tcW w:w="739" w:type="pct"/>
            <w:tcBorders>
              <w:top w:val="nil"/>
              <w:left w:val="nil"/>
              <w:bottom w:val="single" w:sz="4" w:space="0" w:color="B1BBCC"/>
              <w:right w:val="single" w:sz="4" w:space="0" w:color="B1BBCC"/>
            </w:tcBorders>
            <w:shd w:val="clear" w:color="000000" w:fill="FFFFFF"/>
            <w:vAlign w:val="center"/>
            <w:hideMark/>
          </w:tcPr>
          <w:p w14:paraId="497F0864"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Ejecutiva; Dpto. Financiero Contable</w:t>
            </w:r>
          </w:p>
        </w:tc>
      </w:tr>
      <w:tr w:rsidR="00B15F7D" w:rsidRPr="00990FB6" w14:paraId="467589D4"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B8DC9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c>
          <w:tcPr>
            <w:tcW w:w="2446" w:type="pct"/>
            <w:tcBorders>
              <w:top w:val="nil"/>
              <w:left w:val="nil"/>
              <w:bottom w:val="single" w:sz="4" w:space="0" w:color="B1BBCC"/>
              <w:right w:val="single" w:sz="4" w:space="0" w:color="B1BBCC"/>
            </w:tcBorders>
            <w:shd w:val="clear" w:color="000000" w:fill="FFFFFF"/>
            <w:vAlign w:val="center"/>
            <w:hideMark/>
          </w:tcPr>
          <w:p w14:paraId="5983F412" w14:textId="77777777" w:rsidR="00B15F7D" w:rsidRPr="00990FB6" w:rsidRDefault="00B15F7D" w:rsidP="00B15F7D">
            <w:pPr>
              <w:rPr>
                <w:color w:val="000000"/>
                <w:sz w:val="22"/>
                <w:szCs w:val="22"/>
                <w:lang w:eastAsia="es-CR"/>
              </w:rPr>
            </w:pPr>
            <w:r w:rsidRPr="00990FB6">
              <w:rPr>
                <w:color w:val="000000"/>
                <w:sz w:val="22"/>
                <w:szCs w:val="22"/>
                <w:lang w:eastAsia="es-CR"/>
              </w:rPr>
              <w:t>Elaborar el documento de las Directrices Técnicas para la Programación y Formulación del Anteproyecto de Presupuesto 2024.</w:t>
            </w:r>
          </w:p>
        </w:tc>
        <w:tc>
          <w:tcPr>
            <w:tcW w:w="519" w:type="pct"/>
            <w:tcBorders>
              <w:top w:val="nil"/>
              <w:left w:val="nil"/>
              <w:bottom w:val="single" w:sz="4" w:space="0" w:color="B1BBCC"/>
              <w:right w:val="single" w:sz="4" w:space="0" w:color="B1BBCC"/>
            </w:tcBorders>
            <w:shd w:val="clear" w:color="000000" w:fill="FFFFFF"/>
            <w:vAlign w:val="center"/>
            <w:hideMark/>
          </w:tcPr>
          <w:p w14:paraId="363749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5/9/22</w:t>
            </w:r>
          </w:p>
        </w:tc>
        <w:tc>
          <w:tcPr>
            <w:tcW w:w="450" w:type="pct"/>
            <w:tcBorders>
              <w:top w:val="nil"/>
              <w:left w:val="nil"/>
              <w:bottom w:val="single" w:sz="4" w:space="0" w:color="B1BBCC"/>
              <w:right w:val="single" w:sz="4" w:space="0" w:color="B1BBCC"/>
            </w:tcBorders>
            <w:shd w:val="clear" w:color="000000" w:fill="FFFFFF"/>
            <w:vAlign w:val="center"/>
            <w:hideMark/>
          </w:tcPr>
          <w:p w14:paraId="02107F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23/9/22</w:t>
            </w:r>
          </w:p>
        </w:tc>
        <w:tc>
          <w:tcPr>
            <w:tcW w:w="739" w:type="pct"/>
            <w:tcBorders>
              <w:top w:val="nil"/>
              <w:left w:val="nil"/>
              <w:bottom w:val="single" w:sz="4" w:space="0" w:color="B1BBCC"/>
              <w:right w:val="single" w:sz="4" w:space="0" w:color="B1BBCC"/>
            </w:tcBorders>
            <w:shd w:val="clear" w:color="000000" w:fill="FFFFFF"/>
            <w:vAlign w:val="center"/>
            <w:hideMark/>
          </w:tcPr>
          <w:p w14:paraId="4DF18B30"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56F6756C"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6356F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3.8</w:t>
            </w:r>
          </w:p>
        </w:tc>
        <w:tc>
          <w:tcPr>
            <w:tcW w:w="2446" w:type="pct"/>
            <w:tcBorders>
              <w:top w:val="nil"/>
              <w:left w:val="nil"/>
              <w:bottom w:val="single" w:sz="4" w:space="0" w:color="B1BBCC"/>
              <w:right w:val="single" w:sz="4" w:space="0" w:color="B1BBCC"/>
            </w:tcBorders>
            <w:shd w:val="clear" w:color="000000" w:fill="FFFFFF"/>
            <w:vAlign w:val="center"/>
            <w:hideMark/>
          </w:tcPr>
          <w:p w14:paraId="6AF98692" w14:textId="77777777" w:rsidR="00B15F7D" w:rsidRPr="00990FB6" w:rsidRDefault="00B15F7D" w:rsidP="00B15F7D">
            <w:pPr>
              <w:rPr>
                <w:color w:val="000000"/>
                <w:sz w:val="22"/>
                <w:szCs w:val="22"/>
                <w:lang w:eastAsia="es-CR"/>
              </w:rPr>
            </w:pPr>
            <w:r w:rsidRPr="00990FB6">
              <w:rPr>
                <w:color w:val="000000"/>
                <w:sz w:val="22"/>
                <w:szCs w:val="22"/>
                <w:lang w:eastAsia="es-CR"/>
              </w:rPr>
              <w:t>Enviar a consulta de los Departamentos, Direcciones y Administraciones de Programas, el documento de las Directrices Técnicas para la Programación y Formulación del Anteproyecto de Presupuesto 2024.</w:t>
            </w:r>
          </w:p>
        </w:tc>
        <w:tc>
          <w:tcPr>
            <w:tcW w:w="519" w:type="pct"/>
            <w:tcBorders>
              <w:top w:val="nil"/>
              <w:left w:val="nil"/>
              <w:bottom w:val="single" w:sz="4" w:space="0" w:color="B1BBCC"/>
              <w:right w:val="single" w:sz="4" w:space="0" w:color="B1BBCC"/>
            </w:tcBorders>
            <w:shd w:val="clear" w:color="000000" w:fill="FFFFFF"/>
            <w:vAlign w:val="center"/>
            <w:hideMark/>
          </w:tcPr>
          <w:p w14:paraId="01AC823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26/9/22</w:t>
            </w:r>
          </w:p>
        </w:tc>
        <w:tc>
          <w:tcPr>
            <w:tcW w:w="450" w:type="pct"/>
            <w:tcBorders>
              <w:top w:val="nil"/>
              <w:left w:val="nil"/>
              <w:bottom w:val="single" w:sz="4" w:space="0" w:color="B1BBCC"/>
              <w:right w:val="single" w:sz="4" w:space="0" w:color="B1BBCC"/>
            </w:tcBorders>
            <w:shd w:val="clear" w:color="000000" w:fill="FFFFFF"/>
            <w:vAlign w:val="center"/>
            <w:hideMark/>
          </w:tcPr>
          <w:p w14:paraId="520BE5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27/9/22</w:t>
            </w:r>
          </w:p>
        </w:tc>
        <w:tc>
          <w:tcPr>
            <w:tcW w:w="739" w:type="pct"/>
            <w:tcBorders>
              <w:top w:val="nil"/>
              <w:left w:val="nil"/>
              <w:bottom w:val="single" w:sz="4" w:space="0" w:color="B1BBCC"/>
              <w:right w:val="single" w:sz="4" w:space="0" w:color="B1BBCC"/>
            </w:tcBorders>
            <w:shd w:val="clear" w:color="000000" w:fill="FFFFFF"/>
            <w:vAlign w:val="center"/>
            <w:hideMark/>
          </w:tcPr>
          <w:p w14:paraId="2D7AB174"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2B773030"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80398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3.9</w:t>
            </w:r>
          </w:p>
        </w:tc>
        <w:tc>
          <w:tcPr>
            <w:tcW w:w="2446" w:type="pct"/>
            <w:tcBorders>
              <w:top w:val="nil"/>
              <w:left w:val="nil"/>
              <w:bottom w:val="single" w:sz="4" w:space="0" w:color="B1BBCC"/>
              <w:right w:val="single" w:sz="4" w:space="0" w:color="B1BBCC"/>
            </w:tcBorders>
            <w:shd w:val="clear" w:color="000000" w:fill="FFFFFF"/>
            <w:vAlign w:val="center"/>
            <w:hideMark/>
          </w:tcPr>
          <w:p w14:paraId="4D02737C" w14:textId="77777777" w:rsidR="00B15F7D" w:rsidRPr="00990FB6" w:rsidRDefault="00B15F7D" w:rsidP="00B15F7D">
            <w:pPr>
              <w:rPr>
                <w:color w:val="000000"/>
                <w:sz w:val="22"/>
                <w:szCs w:val="22"/>
                <w:lang w:eastAsia="es-CR"/>
              </w:rPr>
            </w:pPr>
            <w:r w:rsidRPr="00990FB6">
              <w:rPr>
                <w:color w:val="000000"/>
                <w:sz w:val="22"/>
                <w:szCs w:val="22"/>
                <w:lang w:eastAsia="es-CR"/>
              </w:rPr>
              <w:t>Analizar el documento de las Directrices Técnicas para la Programación y Formulación del Anteproyecto de Presupuesto 2024 y remitir las observaciones.</w:t>
            </w:r>
          </w:p>
        </w:tc>
        <w:tc>
          <w:tcPr>
            <w:tcW w:w="519" w:type="pct"/>
            <w:tcBorders>
              <w:top w:val="nil"/>
              <w:left w:val="nil"/>
              <w:bottom w:val="single" w:sz="4" w:space="0" w:color="B1BBCC"/>
              <w:right w:val="single" w:sz="4" w:space="0" w:color="B1BBCC"/>
            </w:tcBorders>
            <w:shd w:val="clear" w:color="000000" w:fill="FFFFFF"/>
            <w:vAlign w:val="center"/>
            <w:hideMark/>
          </w:tcPr>
          <w:p w14:paraId="72153B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28/9/22</w:t>
            </w:r>
          </w:p>
        </w:tc>
        <w:tc>
          <w:tcPr>
            <w:tcW w:w="450" w:type="pct"/>
            <w:tcBorders>
              <w:top w:val="nil"/>
              <w:left w:val="nil"/>
              <w:bottom w:val="single" w:sz="4" w:space="0" w:color="B1BBCC"/>
              <w:right w:val="single" w:sz="4" w:space="0" w:color="B1BBCC"/>
            </w:tcBorders>
            <w:shd w:val="clear" w:color="000000" w:fill="FFFFFF"/>
            <w:vAlign w:val="center"/>
            <w:hideMark/>
          </w:tcPr>
          <w:p w14:paraId="339B8D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7/10/22</w:t>
            </w:r>
          </w:p>
        </w:tc>
        <w:tc>
          <w:tcPr>
            <w:tcW w:w="739" w:type="pct"/>
            <w:tcBorders>
              <w:top w:val="nil"/>
              <w:left w:val="nil"/>
              <w:bottom w:val="single" w:sz="4" w:space="0" w:color="B1BBCC"/>
              <w:right w:val="single" w:sz="4" w:space="0" w:color="B1BBCC"/>
            </w:tcBorders>
            <w:shd w:val="clear" w:color="000000" w:fill="FFFFFF"/>
            <w:vAlign w:val="center"/>
            <w:hideMark/>
          </w:tcPr>
          <w:p w14:paraId="7188E2F1" w14:textId="77777777" w:rsidR="00B15F7D" w:rsidRPr="00990FB6" w:rsidRDefault="00B15F7D" w:rsidP="00990FB6">
            <w:pPr>
              <w:jc w:val="both"/>
              <w:rPr>
                <w:color w:val="000000"/>
                <w:sz w:val="22"/>
                <w:szCs w:val="22"/>
                <w:lang w:eastAsia="es-CR"/>
              </w:rPr>
            </w:pPr>
            <w:r w:rsidRPr="00990FB6">
              <w:rPr>
                <w:color w:val="000000"/>
                <w:sz w:val="22"/>
                <w:szCs w:val="22"/>
                <w:lang w:eastAsia="es-CR"/>
              </w:rPr>
              <w:t>Centros de Responsabilidad; Depto. Seguridad; Dirección de Gestión Humana; Dirección de Tecnología de Información y Comunicaciones; Dirección Ejecutiva; Dpto. Financiero Contable</w:t>
            </w:r>
          </w:p>
        </w:tc>
      </w:tr>
      <w:tr w:rsidR="00B15F7D" w:rsidRPr="00990FB6" w14:paraId="0CA60062"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68066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3.10</w:t>
            </w:r>
          </w:p>
        </w:tc>
        <w:tc>
          <w:tcPr>
            <w:tcW w:w="2446" w:type="pct"/>
            <w:tcBorders>
              <w:top w:val="nil"/>
              <w:left w:val="nil"/>
              <w:bottom w:val="single" w:sz="4" w:space="0" w:color="B1BBCC"/>
              <w:right w:val="single" w:sz="4" w:space="0" w:color="B1BBCC"/>
            </w:tcBorders>
            <w:shd w:val="clear" w:color="000000" w:fill="FFFFFF"/>
            <w:vAlign w:val="center"/>
            <w:hideMark/>
          </w:tcPr>
          <w:p w14:paraId="56D5C931" w14:textId="77777777" w:rsidR="00B15F7D" w:rsidRPr="00990FB6" w:rsidRDefault="00B15F7D" w:rsidP="00B15F7D">
            <w:pPr>
              <w:rPr>
                <w:color w:val="000000"/>
                <w:sz w:val="22"/>
                <w:szCs w:val="22"/>
                <w:lang w:eastAsia="es-CR"/>
              </w:rPr>
            </w:pPr>
            <w:r w:rsidRPr="00990FB6">
              <w:rPr>
                <w:color w:val="000000"/>
                <w:sz w:val="22"/>
                <w:szCs w:val="22"/>
                <w:lang w:eastAsia="es-CR"/>
              </w:rPr>
              <w:t>Enviar a la Dirección Ejecutiva, Dirección de Gestión Humana, Departamento de Proveeduría, Departamento Financiero Contable y la Dirección Tecnología de Información y Comunicaciones, la lista con los cambios en oficinas.</w:t>
            </w:r>
          </w:p>
        </w:tc>
        <w:tc>
          <w:tcPr>
            <w:tcW w:w="519" w:type="pct"/>
            <w:tcBorders>
              <w:top w:val="nil"/>
              <w:left w:val="nil"/>
              <w:bottom w:val="single" w:sz="4" w:space="0" w:color="B1BBCC"/>
              <w:right w:val="single" w:sz="4" w:space="0" w:color="B1BBCC"/>
            </w:tcBorders>
            <w:shd w:val="clear" w:color="000000" w:fill="FFFFFF"/>
            <w:vAlign w:val="center"/>
            <w:hideMark/>
          </w:tcPr>
          <w:p w14:paraId="629449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12/9/22</w:t>
            </w:r>
          </w:p>
        </w:tc>
        <w:tc>
          <w:tcPr>
            <w:tcW w:w="450" w:type="pct"/>
            <w:tcBorders>
              <w:top w:val="nil"/>
              <w:left w:val="nil"/>
              <w:bottom w:val="single" w:sz="4" w:space="0" w:color="B1BBCC"/>
              <w:right w:val="single" w:sz="4" w:space="0" w:color="B1BBCC"/>
            </w:tcBorders>
            <w:shd w:val="clear" w:color="000000" w:fill="FFFFFF"/>
            <w:vAlign w:val="center"/>
            <w:hideMark/>
          </w:tcPr>
          <w:p w14:paraId="6DDB22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14/9/22</w:t>
            </w:r>
          </w:p>
        </w:tc>
        <w:tc>
          <w:tcPr>
            <w:tcW w:w="739" w:type="pct"/>
            <w:tcBorders>
              <w:top w:val="nil"/>
              <w:left w:val="nil"/>
              <w:bottom w:val="single" w:sz="4" w:space="0" w:color="B1BBCC"/>
              <w:right w:val="single" w:sz="4" w:space="0" w:color="B1BBCC"/>
            </w:tcBorders>
            <w:shd w:val="clear" w:color="000000" w:fill="FFFFFF"/>
            <w:vAlign w:val="center"/>
            <w:hideMark/>
          </w:tcPr>
          <w:p w14:paraId="0AC397DF"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3826E389"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576976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3.11</w:t>
            </w:r>
          </w:p>
        </w:tc>
        <w:tc>
          <w:tcPr>
            <w:tcW w:w="2446" w:type="pct"/>
            <w:tcBorders>
              <w:top w:val="nil"/>
              <w:left w:val="nil"/>
              <w:bottom w:val="single" w:sz="4" w:space="0" w:color="B1BBCC"/>
              <w:right w:val="single" w:sz="4" w:space="0" w:color="B1BBCC"/>
            </w:tcBorders>
            <w:shd w:val="clear" w:color="000000" w:fill="FFFFFF"/>
            <w:vAlign w:val="center"/>
            <w:hideMark/>
          </w:tcPr>
          <w:p w14:paraId="03E7C6F7" w14:textId="77777777" w:rsidR="00B15F7D" w:rsidRPr="00990FB6" w:rsidRDefault="00B15F7D" w:rsidP="00B15F7D">
            <w:pPr>
              <w:rPr>
                <w:color w:val="000000"/>
                <w:sz w:val="22"/>
                <w:szCs w:val="22"/>
                <w:lang w:eastAsia="es-CR"/>
              </w:rPr>
            </w:pPr>
            <w:r w:rsidRPr="00990FB6">
              <w:rPr>
                <w:color w:val="000000"/>
                <w:sz w:val="22"/>
                <w:szCs w:val="22"/>
                <w:lang w:eastAsia="es-CR"/>
              </w:rPr>
              <w:t>Actualizar los cuadros de consumo de las oficinas (revisión, artículos inactivos, despachos realizados en el SIM, actualización). Se requiere GIS.</w:t>
            </w:r>
          </w:p>
        </w:tc>
        <w:tc>
          <w:tcPr>
            <w:tcW w:w="519" w:type="pct"/>
            <w:tcBorders>
              <w:top w:val="nil"/>
              <w:left w:val="nil"/>
              <w:bottom w:val="single" w:sz="4" w:space="0" w:color="B1BBCC"/>
              <w:right w:val="single" w:sz="4" w:space="0" w:color="B1BBCC"/>
            </w:tcBorders>
            <w:shd w:val="clear" w:color="000000" w:fill="FFFFFF"/>
            <w:vAlign w:val="center"/>
            <w:hideMark/>
          </w:tcPr>
          <w:p w14:paraId="6DC895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12/9/22</w:t>
            </w:r>
          </w:p>
        </w:tc>
        <w:tc>
          <w:tcPr>
            <w:tcW w:w="450" w:type="pct"/>
            <w:tcBorders>
              <w:top w:val="nil"/>
              <w:left w:val="nil"/>
              <w:bottom w:val="single" w:sz="4" w:space="0" w:color="B1BBCC"/>
              <w:right w:val="single" w:sz="4" w:space="0" w:color="B1BBCC"/>
            </w:tcBorders>
            <w:shd w:val="clear" w:color="000000" w:fill="FFFFFF"/>
            <w:vAlign w:val="center"/>
            <w:hideMark/>
          </w:tcPr>
          <w:p w14:paraId="4323AE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30/9/22</w:t>
            </w:r>
          </w:p>
        </w:tc>
        <w:tc>
          <w:tcPr>
            <w:tcW w:w="739" w:type="pct"/>
            <w:tcBorders>
              <w:top w:val="nil"/>
              <w:left w:val="nil"/>
              <w:bottom w:val="single" w:sz="4" w:space="0" w:color="B1BBCC"/>
              <w:right w:val="single" w:sz="4" w:space="0" w:color="B1BBCC"/>
            </w:tcBorders>
            <w:shd w:val="clear" w:color="000000" w:fill="FFFFFF"/>
            <w:vAlign w:val="center"/>
            <w:hideMark/>
          </w:tcPr>
          <w:p w14:paraId="4AF1C532"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Proveeduría; Dirección de Planificación; Dirección de Tecnología de Información y Comunicaciones</w:t>
            </w:r>
          </w:p>
        </w:tc>
      </w:tr>
      <w:tr w:rsidR="00B15F7D" w:rsidRPr="00990FB6" w14:paraId="05908DE3"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6F3C6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3.12</w:t>
            </w:r>
          </w:p>
        </w:tc>
        <w:tc>
          <w:tcPr>
            <w:tcW w:w="2446" w:type="pct"/>
            <w:tcBorders>
              <w:top w:val="nil"/>
              <w:left w:val="nil"/>
              <w:bottom w:val="single" w:sz="4" w:space="0" w:color="B1BBCC"/>
              <w:right w:val="single" w:sz="4" w:space="0" w:color="B1BBCC"/>
            </w:tcBorders>
            <w:shd w:val="clear" w:color="000000" w:fill="FFFFFF"/>
            <w:vAlign w:val="center"/>
            <w:hideMark/>
          </w:tcPr>
          <w:p w14:paraId="111209A5" w14:textId="77777777" w:rsidR="00B15F7D" w:rsidRPr="00990FB6" w:rsidRDefault="00B15F7D" w:rsidP="00B15F7D">
            <w:pPr>
              <w:rPr>
                <w:color w:val="000000"/>
                <w:sz w:val="22"/>
                <w:szCs w:val="22"/>
                <w:lang w:eastAsia="es-CR"/>
              </w:rPr>
            </w:pPr>
            <w:r w:rsidRPr="00990FB6">
              <w:rPr>
                <w:color w:val="000000"/>
                <w:sz w:val="22"/>
                <w:szCs w:val="22"/>
                <w:lang w:eastAsia="es-CR"/>
              </w:rPr>
              <w:t>Revisar los artículos con parámetros por persona y por oficina del Catálogo de Bienes y Servicios y enviar a la Dirección de Planificación la información actualizada.</w:t>
            </w:r>
          </w:p>
        </w:tc>
        <w:tc>
          <w:tcPr>
            <w:tcW w:w="519" w:type="pct"/>
            <w:tcBorders>
              <w:top w:val="nil"/>
              <w:left w:val="nil"/>
              <w:bottom w:val="single" w:sz="4" w:space="0" w:color="B1BBCC"/>
              <w:right w:val="single" w:sz="4" w:space="0" w:color="B1BBCC"/>
            </w:tcBorders>
            <w:shd w:val="clear" w:color="000000" w:fill="FFFFFF"/>
            <w:vAlign w:val="center"/>
            <w:hideMark/>
          </w:tcPr>
          <w:p w14:paraId="7C08B1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19/9/22</w:t>
            </w:r>
          </w:p>
        </w:tc>
        <w:tc>
          <w:tcPr>
            <w:tcW w:w="450" w:type="pct"/>
            <w:tcBorders>
              <w:top w:val="nil"/>
              <w:left w:val="nil"/>
              <w:bottom w:val="single" w:sz="4" w:space="0" w:color="B1BBCC"/>
              <w:right w:val="single" w:sz="4" w:space="0" w:color="B1BBCC"/>
            </w:tcBorders>
            <w:shd w:val="clear" w:color="000000" w:fill="FFFFFF"/>
            <w:vAlign w:val="center"/>
            <w:hideMark/>
          </w:tcPr>
          <w:p w14:paraId="749A85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23/9/22</w:t>
            </w:r>
          </w:p>
        </w:tc>
        <w:tc>
          <w:tcPr>
            <w:tcW w:w="739" w:type="pct"/>
            <w:tcBorders>
              <w:top w:val="nil"/>
              <w:left w:val="nil"/>
              <w:bottom w:val="single" w:sz="4" w:space="0" w:color="B1BBCC"/>
              <w:right w:val="single" w:sz="4" w:space="0" w:color="B1BBCC"/>
            </w:tcBorders>
            <w:shd w:val="clear" w:color="000000" w:fill="FFFFFF"/>
            <w:vAlign w:val="center"/>
            <w:hideMark/>
          </w:tcPr>
          <w:p w14:paraId="670352E8"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Proveeduría</w:t>
            </w:r>
          </w:p>
        </w:tc>
      </w:tr>
      <w:tr w:rsidR="00B15F7D" w:rsidRPr="00990FB6" w14:paraId="287BB11F"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59FFD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3.13</w:t>
            </w:r>
          </w:p>
        </w:tc>
        <w:tc>
          <w:tcPr>
            <w:tcW w:w="2446" w:type="pct"/>
            <w:tcBorders>
              <w:top w:val="nil"/>
              <w:left w:val="nil"/>
              <w:bottom w:val="single" w:sz="4" w:space="0" w:color="B1BBCC"/>
              <w:right w:val="single" w:sz="4" w:space="0" w:color="B1BBCC"/>
            </w:tcBorders>
            <w:shd w:val="clear" w:color="000000" w:fill="FFFFFF"/>
            <w:vAlign w:val="center"/>
            <w:hideMark/>
          </w:tcPr>
          <w:p w14:paraId="35D6A91C" w14:textId="77777777" w:rsidR="00B15F7D" w:rsidRPr="00990FB6" w:rsidRDefault="00B15F7D" w:rsidP="00B15F7D">
            <w:pPr>
              <w:rPr>
                <w:color w:val="000000"/>
                <w:sz w:val="22"/>
                <w:szCs w:val="22"/>
                <w:lang w:eastAsia="es-CR"/>
              </w:rPr>
            </w:pPr>
            <w:r w:rsidRPr="00990FB6">
              <w:rPr>
                <w:color w:val="000000"/>
                <w:sz w:val="22"/>
                <w:szCs w:val="22"/>
                <w:lang w:eastAsia="es-CR"/>
              </w:rPr>
              <w:t>Realizar la estimación del tipo de cambio del dólar para la formulación e incluirlo en el Sistema SIGA-PJ.</w:t>
            </w:r>
          </w:p>
        </w:tc>
        <w:tc>
          <w:tcPr>
            <w:tcW w:w="519" w:type="pct"/>
            <w:tcBorders>
              <w:top w:val="nil"/>
              <w:left w:val="nil"/>
              <w:bottom w:val="single" w:sz="4" w:space="0" w:color="B1BBCC"/>
              <w:right w:val="single" w:sz="4" w:space="0" w:color="B1BBCC"/>
            </w:tcBorders>
            <w:shd w:val="clear" w:color="000000" w:fill="FFFFFF"/>
            <w:vAlign w:val="center"/>
            <w:hideMark/>
          </w:tcPr>
          <w:p w14:paraId="0722626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19/9/22</w:t>
            </w:r>
          </w:p>
        </w:tc>
        <w:tc>
          <w:tcPr>
            <w:tcW w:w="450" w:type="pct"/>
            <w:tcBorders>
              <w:top w:val="nil"/>
              <w:left w:val="nil"/>
              <w:bottom w:val="single" w:sz="4" w:space="0" w:color="B1BBCC"/>
              <w:right w:val="single" w:sz="4" w:space="0" w:color="B1BBCC"/>
            </w:tcBorders>
            <w:shd w:val="clear" w:color="000000" w:fill="FFFFFF"/>
            <w:vAlign w:val="center"/>
            <w:hideMark/>
          </w:tcPr>
          <w:p w14:paraId="4D25CA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23/9/22</w:t>
            </w:r>
          </w:p>
        </w:tc>
        <w:tc>
          <w:tcPr>
            <w:tcW w:w="739" w:type="pct"/>
            <w:tcBorders>
              <w:top w:val="nil"/>
              <w:left w:val="nil"/>
              <w:bottom w:val="single" w:sz="4" w:space="0" w:color="B1BBCC"/>
              <w:right w:val="single" w:sz="4" w:space="0" w:color="B1BBCC"/>
            </w:tcBorders>
            <w:shd w:val="clear" w:color="000000" w:fill="FFFFFF"/>
            <w:vAlign w:val="center"/>
            <w:hideMark/>
          </w:tcPr>
          <w:p w14:paraId="3DE8D68D" w14:textId="77777777" w:rsidR="00B15F7D" w:rsidRPr="00990FB6" w:rsidRDefault="00B15F7D" w:rsidP="00990FB6">
            <w:pPr>
              <w:jc w:val="both"/>
              <w:rPr>
                <w:color w:val="000000"/>
                <w:sz w:val="22"/>
                <w:szCs w:val="22"/>
                <w:lang w:eastAsia="es-CR"/>
              </w:rPr>
            </w:pPr>
            <w:r w:rsidRPr="00990FB6">
              <w:rPr>
                <w:color w:val="000000"/>
                <w:sz w:val="22"/>
                <w:szCs w:val="22"/>
                <w:lang w:eastAsia="es-CR"/>
              </w:rPr>
              <w:t>Dpto. Financiero Contable; Depto. Proveeduría</w:t>
            </w:r>
          </w:p>
        </w:tc>
      </w:tr>
      <w:tr w:rsidR="00B15F7D" w:rsidRPr="00990FB6" w14:paraId="14FD8A70"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C46BA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3.14</w:t>
            </w:r>
          </w:p>
        </w:tc>
        <w:tc>
          <w:tcPr>
            <w:tcW w:w="2446" w:type="pct"/>
            <w:tcBorders>
              <w:top w:val="nil"/>
              <w:left w:val="nil"/>
              <w:bottom w:val="single" w:sz="4" w:space="0" w:color="B1BBCC"/>
              <w:right w:val="single" w:sz="4" w:space="0" w:color="B1BBCC"/>
            </w:tcBorders>
            <w:shd w:val="clear" w:color="000000" w:fill="FFFFFF"/>
            <w:vAlign w:val="center"/>
            <w:hideMark/>
          </w:tcPr>
          <w:p w14:paraId="3061D207" w14:textId="77777777" w:rsidR="00B15F7D" w:rsidRPr="00990FB6" w:rsidRDefault="00B15F7D" w:rsidP="00B15F7D">
            <w:pPr>
              <w:rPr>
                <w:color w:val="000000"/>
                <w:sz w:val="22"/>
                <w:szCs w:val="22"/>
                <w:lang w:eastAsia="es-CR"/>
              </w:rPr>
            </w:pPr>
            <w:r w:rsidRPr="00990FB6">
              <w:rPr>
                <w:color w:val="000000"/>
                <w:sz w:val="22"/>
                <w:szCs w:val="22"/>
                <w:lang w:eastAsia="es-CR"/>
              </w:rPr>
              <w:t>Estimar los servicios públicos por oficina para el presupuesto del 2024, tomando en cuenta las oficinas nuevas y las que cierran vigencia.</w:t>
            </w:r>
          </w:p>
        </w:tc>
        <w:tc>
          <w:tcPr>
            <w:tcW w:w="519" w:type="pct"/>
            <w:tcBorders>
              <w:top w:val="nil"/>
              <w:left w:val="nil"/>
              <w:bottom w:val="single" w:sz="4" w:space="0" w:color="B1BBCC"/>
              <w:right w:val="single" w:sz="4" w:space="0" w:color="B1BBCC"/>
            </w:tcBorders>
            <w:shd w:val="clear" w:color="000000" w:fill="FFFFFF"/>
            <w:vAlign w:val="center"/>
            <w:hideMark/>
          </w:tcPr>
          <w:p w14:paraId="33C323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19/9/22</w:t>
            </w:r>
          </w:p>
        </w:tc>
        <w:tc>
          <w:tcPr>
            <w:tcW w:w="450" w:type="pct"/>
            <w:tcBorders>
              <w:top w:val="nil"/>
              <w:left w:val="nil"/>
              <w:bottom w:val="single" w:sz="4" w:space="0" w:color="B1BBCC"/>
              <w:right w:val="single" w:sz="4" w:space="0" w:color="B1BBCC"/>
            </w:tcBorders>
            <w:shd w:val="clear" w:color="000000" w:fill="FFFFFF"/>
            <w:vAlign w:val="center"/>
            <w:hideMark/>
          </w:tcPr>
          <w:p w14:paraId="6032A7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30/9/22</w:t>
            </w:r>
          </w:p>
        </w:tc>
        <w:tc>
          <w:tcPr>
            <w:tcW w:w="739" w:type="pct"/>
            <w:tcBorders>
              <w:top w:val="nil"/>
              <w:left w:val="nil"/>
              <w:bottom w:val="single" w:sz="4" w:space="0" w:color="B1BBCC"/>
              <w:right w:val="single" w:sz="4" w:space="0" w:color="B1BBCC"/>
            </w:tcBorders>
            <w:shd w:val="clear" w:color="000000" w:fill="FFFFFF"/>
            <w:vAlign w:val="center"/>
            <w:hideMark/>
          </w:tcPr>
          <w:p w14:paraId="125654BD" w14:textId="77777777" w:rsidR="00B15F7D" w:rsidRPr="00990FB6" w:rsidRDefault="00B15F7D" w:rsidP="00990FB6">
            <w:pPr>
              <w:jc w:val="both"/>
              <w:rPr>
                <w:color w:val="000000"/>
                <w:sz w:val="22"/>
                <w:szCs w:val="22"/>
                <w:lang w:eastAsia="es-CR"/>
              </w:rPr>
            </w:pPr>
            <w:r w:rsidRPr="00990FB6">
              <w:rPr>
                <w:color w:val="000000"/>
                <w:sz w:val="22"/>
                <w:szCs w:val="22"/>
                <w:lang w:eastAsia="es-CR"/>
              </w:rPr>
              <w:t>Dpto. Financiero Contable; Depto. Proveeduría</w:t>
            </w:r>
          </w:p>
        </w:tc>
      </w:tr>
      <w:tr w:rsidR="00B15F7D" w:rsidRPr="00990FB6" w14:paraId="4D53F66E"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5DB4B1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3.15</w:t>
            </w:r>
          </w:p>
        </w:tc>
        <w:tc>
          <w:tcPr>
            <w:tcW w:w="2446" w:type="pct"/>
            <w:tcBorders>
              <w:top w:val="nil"/>
              <w:left w:val="nil"/>
              <w:bottom w:val="single" w:sz="4" w:space="0" w:color="B1BBCC"/>
              <w:right w:val="single" w:sz="4" w:space="0" w:color="B1BBCC"/>
            </w:tcBorders>
            <w:shd w:val="clear" w:color="000000" w:fill="FFFFFF"/>
            <w:vAlign w:val="center"/>
            <w:hideMark/>
          </w:tcPr>
          <w:p w14:paraId="781880EA" w14:textId="77777777" w:rsidR="00B15F7D" w:rsidRPr="00990FB6" w:rsidRDefault="00B15F7D" w:rsidP="00B15F7D">
            <w:pPr>
              <w:rPr>
                <w:color w:val="000000"/>
                <w:sz w:val="22"/>
                <w:szCs w:val="22"/>
                <w:lang w:eastAsia="es-CR"/>
              </w:rPr>
            </w:pPr>
            <w:r w:rsidRPr="00990FB6">
              <w:rPr>
                <w:color w:val="000000"/>
                <w:sz w:val="22"/>
                <w:szCs w:val="22"/>
                <w:lang w:eastAsia="es-CR"/>
              </w:rPr>
              <w:t>Revisar la información de contratos para la formulación.</w:t>
            </w:r>
          </w:p>
        </w:tc>
        <w:tc>
          <w:tcPr>
            <w:tcW w:w="519" w:type="pct"/>
            <w:tcBorders>
              <w:top w:val="nil"/>
              <w:left w:val="nil"/>
              <w:bottom w:val="single" w:sz="4" w:space="0" w:color="B1BBCC"/>
              <w:right w:val="single" w:sz="4" w:space="0" w:color="B1BBCC"/>
            </w:tcBorders>
            <w:shd w:val="clear" w:color="000000" w:fill="FFFFFF"/>
            <w:vAlign w:val="center"/>
            <w:hideMark/>
          </w:tcPr>
          <w:p w14:paraId="5F1687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19/9/22</w:t>
            </w:r>
          </w:p>
        </w:tc>
        <w:tc>
          <w:tcPr>
            <w:tcW w:w="450" w:type="pct"/>
            <w:tcBorders>
              <w:top w:val="nil"/>
              <w:left w:val="nil"/>
              <w:bottom w:val="single" w:sz="4" w:space="0" w:color="B1BBCC"/>
              <w:right w:val="single" w:sz="4" w:space="0" w:color="B1BBCC"/>
            </w:tcBorders>
            <w:shd w:val="clear" w:color="000000" w:fill="FFFFFF"/>
            <w:vAlign w:val="center"/>
            <w:hideMark/>
          </w:tcPr>
          <w:p w14:paraId="7E4987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7/10/22</w:t>
            </w:r>
          </w:p>
        </w:tc>
        <w:tc>
          <w:tcPr>
            <w:tcW w:w="739" w:type="pct"/>
            <w:tcBorders>
              <w:top w:val="nil"/>
              <w:left w:val="nil"/>
              <w:bottom w:val="single" w:sz="4" w:space="0" w:color="B1BBCC"/>
              <w:right w:val="single" w:sz="4" w:space="0" w:color="B1BBCC"/>
            </w:tcBorders>
            <w:shd w:val="clear" w:color="000000" w:fill="FFFFFF"/>
            <w:vAlign w:val="center"/>
            <w:hideMark/>
          </w:tcPr>
          <w:p w14:paraId="65E99708"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Proveeduría; Dpto. Financiero Contable</w:t>
            </w:r>
          </w:p>
        </w:tc>
      </w:tr>
      <w:tr w:rsidR="00B15F7D" w:rsidRPr="00990FB6" w14:paraId="3B6DF82C"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921C2B6"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3.16</w:t>
            </w:r>
          </w:p>
        </w:tc>
        <w:tc>
          <w:tcPr>
            <w:tcW w:w="2446" w:type="pct"/>
            <w:tcBorders>
              <w:top w:val="nil"/>
              <w:left w:val="nil"/>
              <w:bottom w:val="single" w:sz="4" w:space="0" w:color="B1BBCC"/>
              <w:right w:val="single" w:sz="4" w:space="0" w:color="B1BBCC"/>
            </w:tcBorders>
            <w:shd w:val="clear" w:color="000000" w:fill="FFFFFF"/>
            <w:vAlign w:val="center"/>
            <w:hideMark/>
          </w:tcPr>
          <w:p w14:paraId="0F379769" w14:textId="77777777" w:rsidR="00B15F7D" w:rsidRPr="00990FB6" w:rsidRDefault="00B15F7D" w:rsidP="00B15F7D">
            <w:pPr>
              <w:rPr>
                <w:color w:val="000000"/>
                <w:sz w:val="22"/>
                <w:szCs w:val="22"/>
                <w:lang w:eastAsia="es-CR"/>
              </w:rPr>
            </w:pPr>
            <w:r w:rsidRPr="00990FB6">
              <w:rPr>
                <w:color w:val="000000"/>
                <w:sz w:val="22"/>
                <w:szCs w:val="22"/>
                <w:lang w:eastAsia="es-CR"/>
              </w:rPr>
              <w:t>Elaborar el Informe del Porcentaje de Crecimiento y el Cronograma de Formulación Presupuestaria 2024.</w:t>
            </w:r>
          </w:p>
        </w:tc>
        <w:tc>
          <w:tcPr>
            <w:tcW w:w="519" w:type="pct"/>
            <w:tcBorders>
              <w:top w:val="nil"/>
              <w:left w:val="nil"/>
              <w:bottom w:val="single" w:sz="4" w:space="0" w:color="B1BBCC"/>
              <w:right w:val="single" w:sz="4" w:space="0" w:color="B1BBCC"/>
            </w:tcBorders>
            <w:shd w:val="clear" w:color="000000" w:fill="FFFFFF"/>
            <w:vAlign w:val="center"/>
            <w:hideMark/>
          </w:tcPr>
          <w:p w14:paraId="62B862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3/10/22</w:t>
            </w:r>
          </w:p>
        </w:tc>
        <w:tc>
          <w:tcPr>
            <w:tcW w:w="450" w:type="pct"/>
            <w:tcBorders>
              <w:top w:val="nil"/>
              <w:left w:val="nil"/>
              <w:bottom w:val="single" w:sz="4" w:space="0" w:color="B1BBCC"/>
              <w:right w:val="single" w:sz="4" w:space="0" w:color="B1BBCC"/>
            </w:tcBorders>
            <w:shd w:val="clear" w:color="000000" w:fill="FFFFFF"/>
            <w:vAlign w:val="center"/>
            <w:hideMark/>
          </w:tcPr>
          <w:p w14:paraId="56973E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14/10/22</w:t>
            </w:r>
          </w:p>
        </w:tc>
        <w:tc>
          <w:tcPr>
            <w:tcW w:w="739" w:type="pct"/>
            <w:tcBorders>
              <w:top w:val="nil"/>
              <w:left w:val="nil"/>
              <w:bottom w:val="single" w:sz="4" w:space="0" w:color="B1BBCC"/>
              <w:right w:val="single" w:sz="4" w:space="0" w:color="B1BBCC"/>
            </w:tcBorders>
            <w:shd w:val="clear" w:color="000000" w:fill="FFFFFF"/>
            <w:vAlign w:val="center"/>
            <w:hideMark/>
          </w:tcPr>
          <w:p w14:paraId="0356FE7F"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393B3895"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4D6860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3.17</w:t>
            </w:r>
          </w:p>
        </w:tc>
        <w:tc>
          <w:tcPr>
            <w:tcW w:w="2446" w:type="pct"/>
            <w:tcBorders>
              <w:top w:val="nil"/>
              <w:left w:val="nil"/>
              <w:bottom w:val="single" w:sz="4" w:space="0" w:color="B1BBCC"/>
              <w:right w:val="single" w:sz="4" w:space="0" w:color="B1BBCC"/>
            </w:tcBorders>
            <w:shd w:val="clear" w:color="000000" w:fill="FFFFFF"/>
            <w:vAlign w:val="center"/>
            <w:hideMark/>
          </w:tcPr>
          <w:p w14:paraId="34DF9BEC" w14:textId="77777777" w:rsidR="00B15F7D" w:rsidRPr="00990FB6" w:rsidRDefault="00B15F7D" w:rsidP="00B15F7D">
            <w:pPr>
              <w:rPr>
                <w:color w:val="000000"/>
                <w:sz w:val="22"/>
                <w:szCs w:val="22"/>
                <w:lang w:eastAsia="es-CR"/>
              </w:rPr>
            </w:pPr>
            <w:r w:rsidRPr="00990FB6">
              <w:rPr>
                <w:color w:val="000000"/>
                <w:sz w:val="22"/>
                <w:szCs w:val="22"/>
                <w:lang w:eastAsia="es-CR"/>
              </w:rPr>
              <w:t>Cargar la información de servicios públicos en las estructuras de formulación y verificar que se haya cargado correctamente. Se requiere GIS.</w:t>
            </w:r>
          </w:p>
        </w:tc>
        <w:tc>
          <w:tcPr>
            <w:tcW w:w="519" w:type="pct"/>
            <w:tcBorders>
              <w:top w:val="nil"/>
              <w:left w:val="nil"/>
              <w:bottom w:val="single" w:sz="4" w:space="0" w:color="B1BBCC"/>
              <w:right w:val="single" w:sz="4" w:space="0" w:color="B1BBCC"/>
            </w:tcBorders>
            <w:shd w:val="clear" w:color="000000" w:fill="FFFFFF"/>
            <w:vAlign w:val="center"/>
            <w:hideMark/>
          </w:tcPr>
          <w:p w14:paraId="016D72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3/10/22</w:t>
            </w:r>
          </w:p>
        </w:tc>
        <w:tc>
          <w:tcPr>
            <w:tcW w:w="450" w:type="pct"/>
            <w:tcBorders>
              <w:top w:val="nil"/>
              <w:left w:val="nil"/>
              <w:bottom w:val="single" w:sz="4" w:space="0" w:color="B1BBCC"/>
              <w:right w:val="single" w:sz="4" w:space="0" w:color="B1BBCC"/>
            </w:tcBorders>
            <w:shd w:val="clear" w:color="000000" w:fill="FFFFFF"/>
            <w:vAlign w:val="center"/>
            <w:hideMark/>
          </w:tcPr>
          <w:p w14:paraId="5EBFCA6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7/10/22</w:t>
            </w:r>
          </w:p>
        </w:tc>
        <w:tc>
          <w:tcPr>
            <w:tcW w:w="739" w:type="pct"/>
            <w:tcBorders>
              <w:top w:val="nil"/>
              <w:left w:val="nil"/>
              <w:bottom w:val="single" w:sz="4" w:space="0" w:color="B1BBCC"/>
              <w:right w:val="single" w:sz="4" w:space="0" w:color="B1BBCC"/>
            </w:tcBorders>
            <w:shd w:val="clear" w:color="000000" w:fill="FFFFFF"/>
            <w:vAlign w:val="center"/>
            <w:hideMark/>
          </w:tcPr>
          <w:p w14:paraId="7EC3D123"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Tecnología de Información y Comunicaciones; Dpto. Financiero Contable</w:t>
            </w:r>
          </w:p>
        </w:tc>
      </w:tr>
      <w:tr w:rsidR="00B15F7D" w:rsidRPr="00990FB6" w14:paraId="2C131C4D"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FF672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3.18</w:t>
            </w:r>
          </w:p>
        </w:tc>
        <w:tc>
          <w:tcPr>
            <w:tcW w:w="2446" w:type="pct"/>
            <w:tcBorders>
              <w:top w:val="nil"/>
              <w:left w:val="nil"/>
              <w:bottom w:val="single" w:sz="4" w:space="0" w:color="B1BBCC"/>
              <w:right w:val="single" w:sz="4" w:space="0" w:color="B1BBCC"/>
            </w:tcBorders>
            <w:shd w:val="clear" w:color="000000" w:fill="FFFFFF"/>
            <w:vAlign w:val="center"/>
            <w:hideMark/>
          </w:tcPr>
          <w:p w14:paraId="1C876EE9" w14:textId="77777777" w:rsidR="00B15F7D" w:rsidRPr="00990FB6" w:rsidRDefault="00B15F7D" w:rsidP="00B15F7D">
            <w:pPr>
              <w:rPr>
                <w:color w:val="000000"/>
                <w:sz w:val="22"/>
                <w:szCs w:val="22"/>
                <w:lang w:eastAsia="es-CR"/>
              </w:rPr>
            </w:pPr>
            <w:r w:rsidRPr="00990FB6">
              <w:rPr>
                <w:color w:val="000000"/>
                <w:sz w:val="22"/>
                <w:szCs w:val="22"/>
                <w:lang w:eastAsia="es-CR"/>
              </w:rPr>
              <w:t>Estimar y distribuir los montos del servicio de correo y servicio telegráfico.</w:t>
            </w:r>
          </w:p>
        </w:tc>
        <w:tc>
          <w:tcPr>
            <w:tcW w:w="519" w:type="pct"/>
            <w:tcBorders>
              <w:top w:val="nil"/>
              <w:left w:val="nil"/>
              <w:bottom w:val="single" w:sz="4" w:space="0" w:color="B1BBCC"/>
              <w:right w:val="single" w:sz="4" w:space="0" w:color="B1BBCC"/>
            </w:tcBorders>
            <w:shd w:val="clear" w:color="000000" w:fill="FFFFFF"/>
            <w:vAlign w:val="center"/>
            <w:hideMark/>
          </w:tcPr>
          <w:p w14:paraId="12B6A1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3/10/22</w:t>
            </w:r>
          </w:p>
        </w:tc>
        <w:tc>
          <w:tcPr>
            <w:tcW w:w="450" w:type="pct"/>
            <w:tcBorders>
              <w:top w:val="nil"/>
              <w:left w:val="nil"/>
              <w:bottom w:val="single" w:sz="4" w:space="0" w:color="B1BBCC"/>
              <w:right w:val="single" w:sz="4" w:space="0" w:color="B1BBCC"/>
            </w:tcBorders>
            <w:shd w:val="clear" w:color="000000" w:fill="FFFFFF"/>
            <w:vAlign w:val="center"/>
            <w:hideMark/>
          </w:tcPr>
          <w:p w14:paraId="035CE3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7/10/22</w:t>
            </w:r>
          </w:p>
        </w:tc>
        <w:tc>
          <w:tcPr>
            <w:tcW w:w="739" w:type="pct"/>
            <w:tcBorders>
              <w:top w:val="nil"/>
              <w:left w:val="nil"/>
              <w:bottom w:val="single" w:sz="4" w:space="0" w:color="B1BBCC"/>
              <w:right w:val="single" w:sz="4" w:space="0" w:color="B1BBCC"/>
            </w:tcBorders>
            <w:shd w:val="clear" w:color="000000" w:fill="FFFFFF"/>
            <w:vAlign w:val="center"/>
            <w:hideMark/>
          </w:tcPr>
          <w:p w14:paraId="1DA05CC1"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Servicios Generales; Dpto. Financiero Contable</w:t>
            </w:r>
          </w:p>
        </w:tc>
      </w:tr>
      <w:tr w:rsidR="00B15F7D" w:rsidRPr="00990FB6" w14:paraId="03A03C84"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43174A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3.19</w:t>
            </w:r>
          </w:p>
        </w:tc>
        <w:tc>
          <w:tcPr>
            <w:tcW w:w="2446" w:type="pct"/>
            <w:tcBorders>
              <w:top w:val="nil"/>
              <w:left w:val="nil"/>
              <w:bottom w:val="single" w:sz="4" w:space="0" w:color="B1BBCC"/>
              <w:right w:val="single" w:sz="4" w:space="0" w:color="B1BBCC"/>
            </w:tcBorders>
            <w:shd w:val="clear" w:color="000000" w:fill="FFFFFF"/>
            <w:vAlign w:val="center"/>
            <w:hideMark/>
          </w:tcPr>
          <w:p w14:paraId="28565F0D" w14:textId="77777777" w:rsidR="00B15F7D" w:rsidRPr="00990FB6" w:rsidRDefault="00B15F7D" w:rsidP="00B15F7D">
            <w:pPr>
              <w:rPr>
                <w:color w:val="000000"/>
                <w:sz w:val="22"/>
                <w:szCs w:val="22"/>
                <w:lang w:eastAsia="es-CR"/>
              </w:rPr>
            </w:pPr>
            <w:r w:rsidRPr="00990FB6">
              <w:rPr>
                <w:color w:val="000000"/>
                <w:sz w:val="22"/>
                <w:szCs w:val="22"/>
                <w:lang w:eastAsia="es-CR"/>
              </w:rPr>
              <w:t>Actualizar los permisos para la revisión de la primera generación de gastos fijos.</w:t>
            </w:r>
          </w:p>
        </w:tc>
        <w:tc>
          <w:tcPr>
            <w:tcW w:w="519" w:type="pct"/>
            <w:tcBorders>
              <w:top w:val="nil"/>
              <w:left w:val="nil"/>
              <w:bottom w:val="single" w:sz="4" w:space="0" w:color="B1BBCC"/>
              <w:right w:val="single" w:sz="4" w:space="0" w:color="B1BBCC"/>
            </w:tcBorders>
            <w:shd w:val="clear" w:color="000000" w:fill="FFFFFF"/>
            <w:vAlign w:val="center"/>
            <w:hideMark/>
          </w:tcPr>
          <w:p w14:paraId="14894AC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3/10/22</w:t>
            </w:r>
          </w:p>
        </w:tc>
        <w:tc>
          <w:tcPr>
            <w:tcW w:w="450" w:type="pct"/>
            <w:tcBorders>
              <w:top w:val="nil"/>
              <w:left w:val="nil"/>
              <w:bottom w:val="single" w:sz="4" w:space="0" w:color="B1BBCC"/>
              <w:right w:val="single" w:sz="4" w:space="0" w:color="B1BBCC"/>
            </w:tcBorders>
            <w:shd w:val="clear" w:color="000000" w:fill="FFFFFF"/>
            <w:vAlign w:val="center"/>
            <w:hideMark/>
          </w:tcPr>
          <w:p w14:paraId="720621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7/10/22</w:t>
            </w:r>
          </w:p>
        </w:tc>
        <w:tc>
          <w:tcPr>
            <w:tcW w:w="739" w:type="pct"/>
            <w:tcBorders>
              <w:top w:val="nil"/>
              <w:left w:val="nil"/>
              <w:bottom w:val="single" w:sz="4" w:space="0" w:color="B1BBCC"/>
              <w:right w:val="single" w:sz="4" w:space="0" w:color="B1BBCC"/>
            </w:tcBorders>
            <w:shd w:val="clear" w:color="000000" w:fill="FFFFFF"/>
            <w:vAlign w:val="center"/>
            <w:hideMark/>
          </w:tcPr>
          <w:p w14:paraId="7036DBEE"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301FA048"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53E3B9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3.20</w:t>
            </w:r>
          </w:p>
        </w:tc>
        <w:tc>
          <w:tcPr>
            <w:tcW w:w="2446" w:type="pct"/>
            <w:tcBorders>
              <w:top w:val="nil"/>
              <w:left w:val="nil"/>
              <w:bottom w:val="single" w:sz="4" w:space="0" w:color="B1BBCC"/>
              <w:right w:val="single" w:sz="4" w:space="0" w:color="B1BBCC"/>
            </w:tcBorders>
            <w:shd w:val="clear" w:color="000000" w:fill="FFFFFF"/>
            <w:vAlign w:val="center"/>
            <w:hideMark/>
          </w:tcPr>
          <w:p w14:paraId="2F80ED11" w14:textId="77777777" w:rsidR="00B15F7D" w:rsidRPr="00990FB6" w:rsidRDefault="00B15F7D" w:rsidP="00B15F7D">
            <w:pPr>
              <w:rPr>
                <w:color w:val="000000"/>
                <w:sz w:val="22"/>
                <w:szCs w:val="22"/>
                <w:lang w:eastAsia="es-CR"/>
              </w:rPr>
            </w:pPr>
            <w:r w:rsidRPr="00990FB6">
              <w:rPr>
                <w:color w:val="000000"/>
                <w:sz w:val="22"/>
                <w:szCs w:val="22"/>
                <w:lang w:eastAsia="es-CR"/>
              </w:rPr>
              <w:t>Actualizar el Instructivo de Formulación Presupuestaria, la Guía para Formular el Presupuesto y Clasificador por Objeto del Gasto.</w:t>
            </w:r>
          </w:p>
        </w:tc>
        <w:tc>
          <w:tcPr>
            <w:tcW w:w="519" w:type="pct"/>
            <w:tcBorders>
              <w:top w:val="nil"/>
              <w:left w:val="nil"/>
              <w:bottom w:val="single" w:sz="4" w:space="0" w:color="B1BBCC"/>
              <w:right w:val="single" w:sz="4" w:space="0" w:color="B1BBCC"/>
            </w:tcBorders>
            <w:shd w:val="clear" w:color="000000" w:fill="FFFFFF"/>
            <w:vAlign w:val="center"/>
            <w:hideMark/>
          </w:tcPr>
          <w:p w14:paraId="00137D8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10/10/22</w:t>
            </w:r>
          </w:p>
        </w:tc>
        <w:tc>
          <w:tcPr>
            <w:tcW w:w="450" w:type="pct"/>
            <w:tcBorders>
              <w:top w:val="nil"/>
              <w:left w:val="nil"/>
              <w:bottom w:val="single" w:sz="4" w:space="0" w:color="B1BBCC"/>
              <w:right w:val="single" w:sz="4" w:space="0" w:color="B1BBCC"/>
            </w:tcBorders>
            <w:shd w:val="clear" w:color="000000" w:fill="FFFFFF"/>
            <w:vAlign w:val="center"/>
            <w:hideMark/>
          </w:tcPr>
          <w:p w14:paraId="06C310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14/10/22</w:t>
            </w:r>
          </w:p>
        </w:tc>
        <w:tc>
          <w:tcPr>
            <w:tcW w:w="739" w:type="pct"/>
            <w:tcBorders>
              <w:top w:val="nil"/>
              <w:left w:val="nil"/>
              <w:bottom w:val="single" w:sz="4" w:space="0" w:color="B1BBCC"/>
              <w:right w:val="single" w:sz="4" w:space="0" w:color="B1BBCC"/>
            </w:tcBorders>
            <w:shd w:val="clear" w:color="000000" w:fill="FFFFFF"/>
            <w:vAlign w:val="center"/>
            <w:hideMark/>
          </w:tcPr>
          <w:p w14:paraId="0464F535"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6631C051"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854AA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3.21</w:t>
            </w:r>
          </w:p>
        </w:tc>
        <w:tc>
          <w:tcPr>
            <w:tcW w:w="2446" w:type="pct"/>
            <w:tcBorders>
              <w:top w:val="nil"/>
              <w:left w:val="nil"/>
              <w:bottom w:val="single" w:sz="4" w:space="0" w:color="B1BBCC"/>
              <w:right w:val="single" w:sz="4" w:space="0" w:color="B1BBCC"/>
            </w:tcBorders>
            <w:shd w:val="clear" w:color="000000" w:fill="FFFFFF"/>
            <w:vAlign w:val="center"/>
            <w:hideMark/>
          </w:tcPr>
          <w:p w14:paraId="730B2421" w14:textId="77777777" w:rsidR="00B15F7D" w:rsidRPr="00990FB6" w:rsidRDefault="00B15F7D" w:rsidP="00B15F7D">
            <w:pPr>
              <w:rPr>
                <w:color w:val="000000"/>
                <w:sz w:val="22"/>
                <w:szCs w:val="22"/>
                <w:lang w:eastAsia="es-CR"/>
              </w:rPr>
            </w:pPr>
            <w:r w:rsidRPr="00990FB6">
              <w:rPr>
                <w:color w:val="000000"/>
                <w:sz w:val="22"/>
                <w:szCs w:val="22"/>
                <w:lang w:eastAsia="es-CR"/>
              </w:rPr>
              <w:t>Enviar a consulta de los Departamentos, Direcciones y Administraciones de Programas, el Instructivo de Formulación Presupuestaria, la Guía para Formular el Presupuesto y Clasificador por Objeto del Gasto.</w:t>
            </w:r>
          </w:p>
        </w:tc>
        <w:tc>
          <w:tcPr>
            <w:tcW w:w="519" w:type="pct"/>
            <w:tcBorders>
              <w:top w:val="nil"/>
              <w:left w:val="nil"/>
              <w:bottom w:val="single" w:sz="4" w:space="0" w:color="B1BBCC"/>
              <w:right w:val="single" w:sz="4" w:space="0" w:color="B1BBCC"/>
            </w:tcBorders>
            <w:shd w:val="clear" w:color="000000" w:fill="FFFFFF"/>
            <w:vAlign w:val="center"/>
            <w:hideMark/>
          </w:tcPr>
          <w:p w14:paraId="0D760D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17/10/22</w:t>
            </w:r>
          </w:p>
        </w:tc>
        <w:tc>
          <w:tcPr>
            <w:tcW w:w="450" w:type="pct"/>
            <w:tcBorders>
              <w:top w:val="nil"/>
              <w:left w:val="nil"/>
              <w:bottom w:val="single" w:sz="4" w:space="0" w:color="B1BBCC"/>
              <w:right w:val="single" w:sz="4" w:space="0" w:color="B1BBCC"/>
            </w:tcBorders>
            <w:shd w:val="clear" w:color="000000" w:fill="FFFFFF"/>
            <w:vAlign w:val="center"/>
            <w:hideMark/>
          </w:tcPr>
          <w:p w14:paraId="04F20A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18/10/22</w:t>
            </w:r>
          </w:p>
        </w:tc>
        <w:tc>
          <w:tcPr>
            <w:tcW w:w="739" w:type="pct"/>
            <w:tcBorders>
              <w:top w:val="nil"/>
              <w:left w:val="nil"/>
              <w:bottom w:val="single" w:sz="4" w:space="0" w:color="B1BBCC"/>
              <w:right w:val="single" w:sz="4" w:space="0" w:color="B1BBCC"/>
            </w:tcBorders>
            <w:shd w:val="clear" w:color="000000" w:fill="FFFFFF"/>
            <w:vAlign w:val="center"/>
            <w:hideMark/>
          </w:tcPr>
          <w:p w14:paraId="5497FF80"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78C89EFD" w14:textId="77777777" w:rsidTr="000A0C22">
        <w:trPr>
          <w:trHeight w:val="87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DABD6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3.22</w:t>
            </w:r>
          </w:p>
        </w:tc>
        <w:tc>
          <w:tcPr>
            <w:tcW w:w="2446" w:type="pct"/>
            <w:tcBorders>
              <w:top w:val="nil"/>
              <w:left w:val="nil"/>
              <w:bottom w:val="single" w:sz="4" w:space="0" w:color="B1BBCC"/>
              <w:right w:val="single" w:sz="4" w:space="0" w:color="B1BBCC"/>
            </w:tcBorders>
            <w:shd w:val="clear" w:color="000000" w:fill="FFFFFF"/>
            <w:vAlign w:val="center"/>
            <w:hideMark/>
          </w:tcPr>
          <w:p w14:paraId="64402091" w14:textId="77777777" w:rsidR="00B15F7D" w:rsidRPr="00990FB6" w:rsidRDefault="00B15F7D" w:rsidP="00B15F7D">
            <w:pPr>
              <w:rPr>
                <w:color w:val="000000"/>
                <w:sz w:val="22"/>
                <w:szCs w:val="22"/>
                <w:lang w:eastAsia="es-CR"/>
              </w:rPr>
            </w:pPr>
            <w:r w:rsidRPr="00990FB6">
              <w:rPr>
                <w:color w:val="000000"/>
                <w:sz w:val="22"/>
                <w:szCs w:val="22"/>
                <w:lang w:eastAsia="es-CR"/>
              </w:rPr>
              <w:t>Analizar los documentos: Instructivo de Formulación Presupuestaria, Guía para Formular el Presupuesto y Clasificador por Objeto del Gasto y remitir las observaciones.</w:t>
            </w:r>
          </w:p>
        </w:tc>
        <w:tc>
          <w:tcPr>
            <w:tcW w:w="519" w:type="pct"/>
            <w:tcBorders>
              <w:top w:val="nil"/>
              <w:left w:val="nil"/>
              <w:bottom w:val="single" w:sz="4" w:space="0" w:color="B1BBCC"/>
              <w:right w:val="single" w:sz="4" w:space="0" w:color="B1BBCC"/>
            </w:tcBorders>
            <w:shd w:val="clear" w:color="000000" w:fill="FFFFFF"/>
            <w:vAlign w:val="center"/>
            <w:hideMark/>
          </w:tcPr>
          <w:p w14:paraId="0B2E451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19/10/22</w:t>
            </w:r>
          </w:p>
        </w:tc>
        <w:tc>
          <w:tcPr>
            <w:tcW w:w="450" w:type="pct"/>
            <w:tcBorders>
              <w:top w:val="nil"/>
              <w:left w:val="nil"/>
              <w:bottom w:val="single" w:sz="4" w:space="0" w:color="B1BBCC"/>
              <w:right w:val="single" w:sz="4" w:space="0" w:color="B1BBCC"/>
            </w:tcBorders>
            <w:shd w:val="clear" w:color="000000" w:fill="FFFFFF"/>
            <w:vAlign w:val="center"/>
            <w:hideMark/>
          </w:tcPr>
          <w:p w14:paraId="091CC10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28/10/22</w:t>
            </w:r>
          </w:p>
        </w:tc>
        <w:tc>
          <w:tcPr>
            <w:tcW w:w="739" w:type="pct"/>
            <w:tcBorders>
              <w:top w:val="nil"/>
              <w:left w:val="nil"/>
              <w:bottom w:val="single" w:sz="4" w:space="0" w:color="B1BBCC"/>
              <w:right w:val="single" w:sz="4" w:space="0" w:color="B1BBCC"/>
            </w:tcBorders>
            <w:shd w:val="clear" w:color="000000" w:fill="FFFFFF"/>
            <w:vAlign w:val="center"/>
            <w:hideMark/>
          </w:tcPr>
          <w:p w14:paraId="2F26A65A" w14:textId="77777777" w:rsidR="00B15F7D" w:rsidRPr="00990FB6" w:rsidRDefault="00B15F7D" w:rsidP="00990FB6">
            <w:pPr>
              <w:jc w:val="both"/>
              <w:rPr>
                <w:color w:val="000000"/>
                <w:sz w:val="22"/>
                <w:szCs w:val="22"/>
                <w:lang w:eastAsia="es-CR"/>
              </w:rPr>
            </w:pPr>
            <w:r w:rsidRPr="00990FB6">
              <w:rPr>
                <w:color w:val="000000"/>
                <w:sz w:val="22"/>
                <w:szCs w:val="22"/>
                <w:lang w:eastAsia="es-CR"/>
              </w:rPr>
              <w:t>Centros de Responsabilidad; Depto. Proveeduría; Depto. Seguridad; Dirección de Gestión Humana; Dirección de Tecnología de Información y Comunicaciones; Dirección Ejecutiva; Dpto. Financiero Contable</w:t>
            </w:r>
          </w:p>
        </w:tc>
      </w:tr>
      <w:tr w:rsidR="00B15F7D" w:rsidRPr="00990FB6" w14:paraId="1047DE33"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438837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3.23</w:t>
            </w:r>
          </w:p>
        </w:tc>
        <w:tc>
          <w:tcPr>
            <w:tcW w:w="2446" w:type="pct"/>
            <w:tcBorders>
              <w:top w:val="nil"/>
              <w:left w:val="nil"/>
              <w:bottom w:val="single" w:sz="4" w:space="0" w:color="B1BBCC"/>
              <w:right w:val="single" w:sz="4" w:space="0" w:color="B1BBCC"/>
            </w:tcBorders>
            <w:shd w:val="clear" w:color="000000" w:fill="FFFFFF"/>
            <w:vAlign w:val="center"/>
            <w:hideMark/>
          </w:tcPr>
          <w:p w14:paraId="5BB34588" w14:textId="77777777" w:rsidR="00B15F7D" w:rsidRPr="00990FB6" w:rsidRDefault="00B15F7D" w:rsidP="00B15F7D">
            <w:pPr>
              <w:rPr>
                <w:color w:val="000000"/>
                <w:sz w:val="22"/>
                <w:szCs w:val="22"/>
                <w:lang w:eastAsia="es-CR"/>
              </w:rPr>
            </w:pPr>
            <w:r w:rsidRPr="00990FB6">
              <w:rPr>
                <w:color w:val="000000"/>
                <w:sz w:val="22"/>
                <w:szCs w:val="22"/>
                <w:lang w:eastAsia="es-CR"/>
              </w:rPr>
              <w:t>Enviar a los centros de responsabilidad la guía para consultar en Flota 2.0 los históricos de consumo de combustible.</w:t>
            </w:r>
          </w:p>
        </w:tc>
        <w:tc>
          <w:tcPr>
            <w:tcW w:w="519" w:type="pct"/>
            <w:tcBorders>
              <w:top w:val="nil"/>
              <w:left w:val="nil"/>
              <w:bottom w:val="single" w:sz="4" w:space="0" w:color="B1BBCC"/>
              <w:right w:val="single" w:sz="4" w:space="0" w:color="B1BBCC"/>
            </w:tcBorders>
            <w:shd w:val="clear" w:color="000000" w:fill="FFFFFF"/>
            <w:vAlign w:val="center"/>
            <w:hideMark/>
          </w:tcPr>
          <w:p w14:paraId="077F4B4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24/10/22</w:t>
            </w:r>
          </w:p>
        </w:tc>
        <w:tc>
          <w:tcPr>
            <w:tcW w:w="450" w:type="pct"/>
            <w:tcBorders>
              <w:top w:val="nil"/>
              <w:left w:val="nil"/>
              <w:bottom w:val="single" w:sz="4" w:space="0" w:color="B1BBCC"/>
              <w:right w:val="single" w:sz="4" w:space="0" w:color="B1BBCC"/>
            </w:tcBorders>
            <w:shd w:val="clear" w:color="000000" w:fill="FFFFFF"/>
            <w:vAlign w:val="center"/>
            <w:hideMark/>
          </w:tcPr>
          <w:p w14:paraId="397780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28/10/22</w:t>
            </w:r>
          </w:p>
        </w:tc>
        <w:tc>
          <w:tcPr>
            <w:tcW w:w="739" w:type="pct"/>
            <w:tcBorders>
              <w:top w:val="nil"/>
              <w:left w:val="nil"/>
              <w:bottom w:val="single" w:sz="4" w:space="0" w:color="B1BBCC"/>
              <w:right w:val="single" w:sz="4" w:space="0" w:color="B1BBCC"/>
            </w:tcBorders>
            <w:shd w:val="clear" w:color="000000" w:fill="FFFFFF"/>
            <w:vAlign w:val="center"/>
            <w:hideMark/>
          </w:tcPr>
          <w:p w14:paraId="387F8CC3"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Proveeduría</w:t>
            </w:r>
          </w:p>
        </w:tc>
      </w:tr>
      <w:tr w:rsidR="00B15F7D" w:rsidRPr="00990FB6" w14:paraId="17579543"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023F7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3.24</w:t>
            </w:r>
          </w:p>
        </w:tc>
        <w:tc>
          <w:tcPr>
            <w:tcW w:w="2446" w:type="pct"/>
            <w:tcBorders>
              <w:top w:val="nil"/>
              <w:left w:val="nil"/>
              <w:bottom w:val="single" w:sz="4" w:space="0" w:color="B1BBCC"/>
              <w:right w:val="single" w:sz="4" w:space="0" w:color="B1BBCC"/>
            </w:tcBorders>
            <w:shd w:val="clear" w:color="000000" w:fill="FFFFFF"/>
            <w:vAlign w:val="center"/>
            <w:hideMark/>
          </w:tcPr>
          <w:p w14:paraId="6ED4698B" w14:textId="77777777" w:rsidR="00B15F7D" w:rsidRPr="00990FB6" w:rsidRDefault="00B15F7D" w:rsidP="00B15F7D">
            <w:pPr>
              <w:rPr>
                <w:color w:val="000000"/>
                <w:sz w:val="22"/>
                <w:szCs w:val="22"/>
                <w:lang w:eastAsia="es-CR"/>
              </w:rPr>
            </w:pPr>
            <w:r w:rsidRPr="00990FB6">
              <w:rPr>
                <w:color w:val="000000"/>
                <w:sz w:val="22"/>
                <w:szCs w:val="22"/>
                <w:lang w:eastAsia="es-CR"/>
              </w:rPr>
              <w:t>Remitir al Consejo Superior las Directrices Técnicas, el Cronograma de Formulación Presupuestaria y el Informe del porcentaje de crecimiento 2024.</w:t>
            </w:r>
          </w:p>
        </w:tc>
        <w:tc>
          <w:tcPr>
            <w:tcW w:w="519" w:type="pct"/>
            <w:tcBorders>
              <w:top w:val="nil"/>
              <w:left w:val="nil"/>
              <w:bottom w:val="single" w:sz="4" w:space="0" w:color="B1BBCC"/>
              <w:right w:val="single" w:sz="4" w:space="0" w:color="B1BBCC"/>
            </w:tcBorders>
            <w:shd w:val="clear" w:color="000000" w:fill="FFFFFF"/>
            <w:vAlign w:val="center"/>
            <w:hideMark/>
          </w:tcPr>
          <w:p w14:paraId="65E1E86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24/10/22</w:t>
            </w:r>
          </w:p>
        </w:tc>
        <w:tc>
          <w:tcPr>
            <w:tcW w:w="450" w:type="pct"/>
            <w:tcBorders>
              <w:top w:val="nil"/>
              <w:left w:val="nil"/>
              <w:bottom w:val="single" w:sz="4" w:space="0" w:color="B1BBCC"/>
              <w:right w:val="single" w:sz="4" w:space="0" w:color="B1BBCC"/>
            </w:tcBorders>
            <w:shd w:val="clear" w:color="000000" w:fill="FFFFFF"/>
            <w:vAlign w:val="center"/>
            <w:hideMark/>
          </w:tcPr>
          <w:p w14:paraId="269D17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28/10/22</w:t>
            </w:r>
          </w:p>
        </w:tc>
        <w:tc>
          <w:tcPr>
            <w:tcW w:w="739" w:type="pct"/>
            <w:tcBorders>
              <w:top w:val="nil"/>
              <w:left w:val="nil"/>
              <w:bottom w:val="single" w:sz="4" w:space="0" w:color="B1BBCC"/>
              <w:right w:val="single" w:sz="4" w:space="0" w:color="B1BBCC"/>
            </w:tcBorders>
            <w:shd w:val="clear" w:color="000000" w:fill="FFFFFF"/>
            <w:vAlign w:val="center"/>
            <w:hideMark/>
          </w:tcPr>
          <w:p w14:paraId="739E34AC"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510293ED"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605D8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3.25</w:t>
            </w:r>
          </w:p>
        </w:tc>
        <w:tc>
          <w:tcPr>
            <w:tcW w:w="2446" w:type="pct"/>
            <w:tcBorders>
              <w:top w:val="nil"/>
              <w:left w:val="nil"/>
              <w:bottom w:val="single" w:sz="4" w:space="0" w:color="B1BBCC"/>
              <w:right w:val="single" w:sz="4" w:space="0" w:color="B1BBCC"/>
            </w:tcBorders>
            <w:shd w:val="clear" w:color="000000" w:fill="FFFFFF"/>
            <w:vAlign w:val="center"/>
            <w:hideMark/>
          </w:tcPr>
          <w:p w14:paraId="79561433" w14:textId="77777777" w:rsidR="00B15F7D" w:rsidRPr="00990FB6" w:rsidRDefault="00B15F7D" w:rsidP="00B15F7D">
            <w:pPr>
              <w:rPr>
                <w:color w:val="000000"/>
                <w:sz w:val="22"/>
                <w:szCs w:val="22"/>
                <w:lang w:eastAsia="es-CR"/>
              </w:rPr>
            </w:pPr>
            <w:r w:rsidRPr="00990FB6">
              <w:rPr>
                <w:color w:val="000000"/>
                <w:sz w:val="22"/>
                <w:szCs w:val="22"/>
                <w:lang w:eastAsia="es-CR"/>
              </w:rPr>
              <w:t>Aprobar las Directrices Técnicas, el Cronograma de Formulación Presupuestaria y el Informe del Porcentaje de Crecimiento 2024.</w:t>
            </w:r>
          </w:p>
        </w:tc>
        <w:tc>
          <w:tcPr>
            <w:tcW w:w="519" w:type="pct"/>
            <w:tcBorders>
              <w:top w:val="nil"/>
              <w:left w:val="nil"/>
              <w:bottom w:val="single" w:sz="4" w:space="0" w:color="B1BBCC"/>
              <w:right w:val="single" w:sz="4" w:space="0" w:color="B1BBCC"/>
            </w:tcBorders>
            <w:shd w:val="clear" w:color="000000" w:fill="FFFFFF"/>
            <w:vAlign w:val="center"/>
            <w:hideMark/>
          </w:tcPr>
          <w:p w14:paraId="7651E0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1/11/22</w:t>
            </w:r>
          </w:p>
        </w:tc>
        <w:tc>
          <w:tcPr>
            <w:tcW w:w="450" w:type="pct"/>
            <w:tcBorders>
              <w:top w:val="nil"/>
              <w:left w:val="nil"/>
              <w:bottom w:val="single" w:sz="4" w:space="0" w:color="B1BBCC"/>
              <w:right w:val="single" w:sz="4" w:space="0" w:color="B1BBCC"/>
            </w:tcBorders>
            <w:shd w:val="clear" w:color="000000" w:fill="FFFFFF"/>
            <w:vAlign w:val="center"/>
            <w:hideMark/>
          </w:tcPr>
          <w:p w14:paraId="3E2F2D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18/11/22</w:t>
            </w:r>
          </w:p>
        </w:tc>
        <w:tc>
          <w:tcPr>
            <w:tcW w:w="739" w:type="pct"/>
            <w:tcBorders>
              <w:top w:val="nil"/>
              <w:left w:val="nil"/>
              <w:bottom w:val="single" w:sz="4" w:space="0" w:color="B1BBCC"/>
              <w:right w:val="single" w:sz="4" w:space="0" w:color="B1BBCC"/>
            </w:tcBorders>
            <w:shd w:val="clear" w:color="000000" w:fill="FFFFFF"/>
            <w:vAlign w:val="center"/>
            <w:hideMark/>
          </w:tcPr>
          <w:p w14:paraId="32E33204" w14:textId="77777777" w:rsidR="00B15F7D" w:rsidRPr="00990FB6" w:rsidRDefault="00B15F7D" w:rsidP="00990FB6">
            <w:pPr>
              <w:jc w:val="both"/>
              <w:rPr>
                <w:color w:val="000000"/>
                <w:sz w:val="22"/>
                <w:szCs w:val="22"/>
                <w:lang w:eastAsia="es-CR"/>
              </w:rPr>
            </w:pPr>
            <w:r w:rsidRPr="00990FB6">
              <w:rPr>
                <w:color w:val="000000"/>
                <w:sz w:val="22"/>
                <w:szCs w:val="22"/>
                <w:lang w:eastAsia="es-CR"/>
              </w:rPr>
              <w:t>Consejo Superior</w:t>
            </w:r>
          </w:p>
        </w:tc>
      </w:tr>
      <w:tr w:rsidR="00B15F7D" w:rsidRPr="00990FB6" w14:paraId="17B69845"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6AF1C8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3.26</w:t>
            </w:r>
          </w:p>
        </w:tc>
        <w:tc>
          <w:tcPr>
            <w:tcW w:w="2446" w:type="pct"/>
            <w:tcBorders>
              <w:top w:val="nil"/>
              <w:left w:val="nil"/>
              <w:bottom w:val="single" w:sz="4" w:space="0" w:color="B1BBCC"/>
              <w:right w:val="single" w:sz="4" w:space="0" w:color="B1BBCC"/>
            </w:tcBorders>
            <w:shd w:val="clear" w:color="000000" w:fill="FFFFFF"/>
            <w:vAlign w:val="center"/>
            <w:hideMark/>
          </w:tcPr>
          <w:p w14:paraId="5895B76D" w14:textId="77777777" w:rsidR="00B15F7D" w:rsidRPr="00990FB6" w:rsidRDefault="00B15F7D" w:rsidP="00B15F7D">
            <w:pPr>
              <w:rPr>
                <w:color w:val="000000"/>
                <w:sz w:val="22"/>
                <w:szCs w:val="22"/>
                <w:lang w:eastAsia="es-CR"/>
              </w:rPr>
            </w:pPr>
            <w:r w:rsidRPr="00990FB6">
              <w:rPr>
                <w:color w:val="000000"/>
                <w:sz w:val="22"/>
                <w:szCs w:val="22"/>
                <w:lang w:eastAsia="es-CR"/>
              </w:rPr>
              <w:t>Actualizar los usuarios y permisos en el Sistema SIGA-PJ para la formulación 2024.</w:t>
            </w:r>
          </w:p>
        </w:tc>
        <w:tc>
          <w:tcPr>
            <w:tcW w:w="519" w:type="pct"/>
            <w:tcBorders>
              <w:top w:val="nil"/>
              <w:left w:val="nil"/>
              <w:bottom w:val="single" w:sz="4" w:space="0" w:color="B1BBCC"/>
              <w:right w:val="single" w:sz="4" w:space="0" w:color="B1BBCC"/>
            </w:tcBorders>
            <w:shd w:val="clear" w:color="000000" w:fill="FFFFFF"/>
            <w:vAlign w:val="center"/>
            <w:hideMark/>
          </w:tcPr>
          <w:p w14:paraId="02AABC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7/11/22</w:t>
            </w:r>
          </w:p>
        </w:tc>
        <w:tc>
          <w:tcPr>
            <w:tcW w:w="450" w:type="pct"/>
            <w:tcBorders>
              <w:top w:val="nil"/>
              <w:left w:val="nil"/>
              <w:bottom w:val="single" w:sz="4" w:space="0" w:color="B1BBCC"/>
              <w:right w:val="single" w:sz="4" w:space="0" w:color="B1BBCC"/>
            </w:tcBorders>
            <w:shd w:val="clear" w:color="000000" w:fill="FFFFFF"/>
            <w:vAlign w:val="center"/>
            <w:hideMark/>
          </w:tcPr>
          <w:p w14:paraId="6B16BCC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25/11/22</w:t>
            </w:r>
          </w:p>
        </w:tc>
        <w:tc>
          <w:tcPr>
            <w:tcW w:w="739" w:type="pct"/>
            <w:tcBorders>
              <w:top w:val="nil"/>
              <w:left w:val="nil"/>
              <w:bottom w:val="single" w:sz="4" w:space="0" w:color="B1BBCC"/>
              <w:right w:val="single" w:sz="4" w:space="0" w:color="B1BBCC"/>
            </w:tcBorders>
            <w:shd w:val="clear" w:color="000000" w:fill="FFFFFF"/>
            <w:vAlign w:val="center"/>
            <w:hideMark/>
          </w:tcPr>
          <w:p w14:paraId="6255FC22" w14:textId="77777777" w:rsidR="00B15F7D" w:rsidRPr="00990FB6" w:rsidRDefault="00B15F7D" w:rsidP="00990FB6">
            <w:pPr>
              <w:jc w:val="both"/>
              <w:rPr>
                <w:color w:val="000000"/>
                <w:sz w:val="22"/>
                <w:szCs w:val="22"/>
                <w:lang w:eastAsia="es-CR"/>
              </w:rPr>
            </w:pPr>
            <w:r w:rsidRPr="00990FB6">
              <w:rPr>
                <w:color w:val="000000"/>
                <w:sz w:val="22"/>
                <w:szCs w:val="22"/>
                <w:lang w:eastAsia="es-CR"/>
              </w:rPr>
              <w:t>Centros de Responsabilidad; Dirección de Planificación</w:t>
            </w:r>
          </w:p>
        </w:tc>
      </w:tr>
      <w:tr w:rsidR="00B15F7D" w:rsidRPr="00990FB6" w14:paraId="2ED760C8"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52FC427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3.27</w:t>
            </w:r>
          </w:p>
        </w:tc>
        <w:tc>
          <w:tcPr>
            <w:tcW w:w="2446" w:type="pct"/>
            <w:tcBorders>
              <w:top w:val="nil"/>
              <w:left w:val="nil"/>
              <w:bottom w:val="single" w:sz="4" w:space="0" w:color="B1BBCC"/>
              <w:right w:val="single" w:sz="4" w:space="0" w:color="B1BBCC"/>
            </w:tcBorders>
            <w:shd w:val="clear" w:color="000000" w:fill="FFFFFF"/>
            <w:vAlign w:val="center"/>
            <w:hideMark/>
          </w:tcPr>
          <w:p w14:paraId="328EC04C" w14:textId="77777777" w:rsidR="00B15F7D" w:rsidRPr="00990FB6" w:rsidRDefault="00B15F7D" w:rsidP="00B15F7D">
            <w:pPr>
              <w:rPr>
                <w:color w:val="000000"/>
                <w:sz w:val="22"/>
                <w:szCs w:val="22"/>
                <w:lang w:eastAsia="es-CR"/>
              </w:rPr>
            </w:pPr>
            <w:r w:rsidRPr="00990FB6">
              <w:rPr>
                <w:color w:val="000000"/>
                <w:sz w:val="22"/>
                <w:szCs w:val="22"/>
                <w:lang w:eastAsia="es-CR"/>
              </w:rPr>
              <w:t>Elaborar campaña de divulgación de las Directrices Técnicas para la Programación y Formulación del Anteproyecto de Presupuesto 2024.</w:t>
            </w:r>
          </w:p>
        </w:tc>
        <w:tc>
          <w:tcPr>
            <w:tcW w:w="519" w:type="pct"/>
            <w:tcBorders>
              <w:top w:val="nil"/>
              <w:left w:val="nil"/>
              <w:bottom w:val="single" w:sz="4" w:space="0" w:color="B1BBCC"/>
              <w:right w:val="single" w:sz="4" w:space="0" w:color="B1BBCC"/>
            </w:tcBorders>
            <w:shd w:val="clear" w:color="000000" w:fill="FFFFFF"/>
            <w:vAlign w:val="center"/>
            <w:hideMark/>
          </w:tcPr>
          <w:p w14:paraId="297401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14/11/22</w:t>
            </w:r>
          </w:p>
        </w:tc>
        <w:tc>
          <w:tcPr>
            <w:tcW w:w="450" w:type="pct"/>
            <w:tcBorders>
              <w:top w:val="nil"/>
              <w:left w:val="nil"/>
              <w:bottom w:val="single" w:sz="4" w:space="0" w:color="B1BBCC"/>
              <w:right w:val="single" w:sz="4" w:space="0" w:color="B1BBCC"/>
            </w:tcBorders>
            <w:shd w:val="clear" w:color="000000" w:fill="FFFFFF"/>
            <w:vAlign w:val="center"/>
            <w:hideMark/>
          </w:tcPr>
          <w:p w14:paraId="625BD0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25/11/22</w:t>
            </w:r>
          </w:p>
        </w:tc>
        <w:tc>
          <w:tcPr>
            <w:tcW w:w="739" w:type="pct"/>
            <w:tcBorders>
              <w:top w:val="nil"/>
              <w:left w:val="nil"/>
              <w:bottom w:val="single" w:sz="4" w:space="0" w:color="B1BBCC"/>
              <w:right w:val="single" w:sz="4" w:space="0" w:color="B1BBCC"/>
            </w:tcBorders>
            <w:shd w:val="clear" w:color="000000" w:fill="FFFFFF"/>
            <w:vAlign w:val="center"/>
            <w:hideMark/>
          </w:tcPr>
          <w:p w14:paraId="774BB7CE"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04E6C409"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7A8B7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3.28</w:t>
            </w:r>
          </w:p>
        </w:tc>
        <w:tc>
          <w:tcPr>
            <w:tcW w:w="2446" w:type="pct"/>
            <w:tcBorders>
              <w:top w:val="nil"/>
              <w:left w:val="nil"/>
              <w:bottom w:val="single" w:sz="4" w:space="0" w:color="B1BBCC"/>
              <w:right w:val="single" w:sz="4" w:space="0" w:color="B1BBCC"/>
            </w:tcBorders>
            <w:shd w:val="clear" w:color="000000" w:fill="FFFFFF"/>
            <w:vAlign w:val="center"/>
            <w:hideMark/>
          </w:tcPr>
          <w:p w14:paraId="3E9DBAC2" w14:textId="77777777" w:rsidR="00B15F7D" w:rsidRPr="00990FB6" w:rsidRDefault="00B15F7D" w:rsidP="00B15F7D">
            <w:pPr>
              <w:rPr>
                <w:color w:val="000000"/>
                <w:sz w:val="22"/>
                <w:szCs w:val="22"/>
                <w:lang w:eastAsia="es-CR"/>
              </w:rPr>
            </w:pPr>
            <w:r w:rsidRPr="00990FB6">
              <w:rPr>
                <w:color w:val="000000"/>
                <w:sz w:val="22"/>
                <w:szCs w:val="22"/>
                <w:lang w:eastAsia="es-CR"/>
              </w:rPr>
              <w:t>Ubicar todas las oficinas en el nivel 1 "Acceso por Oficina" para iniciar la formulación presupuestaria. Se requiere GIS.</w:t>
            </w:r>
          </w:p>
        </w:tc>
        <w:tc>
          <w:tcPr>
            <w:tcW w:w="519" w:type="pct"/>
            <w:tcBorders>
              <w:top w:val="nil"/>
              <w:left w:val="nil"/>
              <w:bottom w:val="single" w:sz="4" w:space="0" w:color="B1BBCC"/>
              <w:right w:val="single" w:sz="4" w:space="0" w:color="B1BBCC"/>
            </w:tcBorders>
            <w:shd w:val="clear" w:color="000000" w:fill="FFFFFF"/>
            <w:vAlign w:val="center"/>
            <w:hideMark/>
          </w:tcPr>
          <w:p w14:paraId="441269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28/11/22</w:t>
            </w:r>
          </w:p>
        </w:tc>
        <w:tc>
          <w:tcPr>
            <w:tcW w:w="450" w:type="pct"/>
            <w:tcBorders>
              <w:top w:val="nil"/>
              <w:left w:val="nil"/>
              <w:bottom w:val="single" w:sz="4" w:space="0" w:color="B1BBCC"/>
              <w:right w:val="single" w:sz="4" w:space="0" w:color="B1BBCC"/>
            </w:tcBorders>
            <w:shd w:val="clear" w:color="000000" w:fill="FFFFFF"/>
            <w:vAlign w:val="center"/>
            <w:hideMark/>
          </w:tcPr>
          <w:p w14:paraId="1176DE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183A0537"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 Dirección de Tecnología de Información y Comunicaciones</w:t>
            </w:r>
          </w:p>
        </w:tc>
      </w:tr>
      <w:tr w:rsidR="00B15F7D" w:rsidRPr="00990FB6" w14:paraId="6E1E42CE"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3FB31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3.29</w:t>
            </w:r>
          </w:p>
        </w:tc>
        <w:tc>
          <w:tcPr>
            <w:tcW w:w="2446" w:type="pct"/>
            <w:tcBorders>
              <w:top w:val="nil"/>
              <w:left w:val="nil"/>
              <w:bottom w:val="single" w:sz="4" w:space="0" w:color="B1BBCC"/>
              <w:right w:val="single" w:sz="4" w:space="0" w:color="B1BBCC"/>
            </w:tcBorders>
            <w:shd w:val="clear" w:color="000000" w:fill="FFFFFF"/>
            <w:vAlign w:val="center"/>
            <w:hideMark/>
          </w:tcPr>
          <w:p w14:paraId="76A54B70" w14:textId="77777777" w:rsidR="00B15F7D" w:rsidRPr="00990FB6" w:rsidRDefault="00B15F7D" w:rsidP="00B15F7D">
            <w:pPr>
              <w:rPr>
                <w:color w:val="000000"/>
                <w:sz w:val="22"/>
                <w:szCs w:val="22"/>
                <w:lang w:eastAsia="es-CR"/>
              </w:rPr>
            </w:pPr>
            <w:r w:rsidRPr="00990FB6">
              <w:rPr>
                <w:color w:val="000000"/>
                <w:sz w:val="22"/>
                <w:szCs w:val="22"/>
                <w:lang w:eastAsia="es-CR"/>
              </w:rPr>
              <w:t>Activar el proceso de actualización de precios. Se requiere GIS.</w:t>
            </w:r>
          </w:p>
        </w:tc>
        <w:tc>
          <w:tcPr>
            <w:tcW w:w="519" w:type="pct"/>
            <w:tcBorders>
              <w:top w:val="nil"/>
              <w:left w:val="nil"/>
              <w:bottom w:val="single" w:sz="4" w:space="0" w:color="B1BBCC"/>
              <w:right w:val="single" w:sz="4" w:space="0" w:color="B1BBCC"/>
            </w:tcBorders>
            <w:shd w:val="clear" w:color="000000" w:fill="FFFFFF"/>
            <w:vAlign w:val="center"/>
            <w:hideMark/>
          </w:tcPr>
          <w:p w14:paraId="3E4C04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28/11/22</w:t>
            </w:r>
          </w:p>
        </w:tc>
        <w:tc>
          <w:tcPr>
            <w:tcW w:w="450" w:type="pct"/>
            <w:tcBorders>
              <w:top w:val="nil"/>
              <w:left w:val="nil"/>
              <w:bottom w:val="single" w:sz="4" w:space="0" w:color="B1BBCC"/>
              <w:right w:val="single" w:sz="4" w:space="0" w:color="B1BBCC"/>
            </w:tcBorders>
            <w:shd w:val="clear" w:color="000000" w:fill="FFFFFF"/>
            <w:vAlign w:val="center"/>
            <w:hideMark/>
          </w:tcPr>
          <w:p w14:paraId="0547CE0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2EB8443A"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 Dirección de Tecnología de Información y Comunicaciones</w:t>
            </w:r>
          </w:p>
        </w:tc>
      </w:tr>
      <w:tr w:rsidR="00B15F7D" w:rsidRPr="00990FB6" w14:paraId="6BDCAC10"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9F5BB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3.30</w:t>
            </w:r>
          </w:p>
        </w:tc>
        <w:tc>
          <w:tcPr>
            <w:tcW w:w="2446" w:type="pct"/>
            <w:tcBorders>
              <w:top w:val="nil"/>
              <w:left w:val="nil"/>
              <w:bottom w:val="single" w:sz="4" w:space="0" w:color="B1BBCC"/>
              <w:right w:val="single" w:sz="4" w:space="0" w:color="B1BBCC"/>
            </w:tcBorders>
            <w:shd w:val="clear" w:color="000000" w:fill="FFFFFF"/>
            <w:vAlign w:val="center"/>
            <w:hideMark/>
          </w:tcPr>
          <w:p w14:paraId="032A7949" w14:textId="77777777" w:rsidR="00B15F7D" w:rsidRPr="00990FB6" w:rsidRDefault="00B15F7D" w:rsidP="00B15F7D">
            <w:pPr>
              <w:rPr>
                <w:color w:val="000000"/>
                <w:sz w:val="22"/>
                <w:szCs w:val="22"/>
                <w:lang w:eastAsia="es-CR"/>
              </w:rPr>
            </w:pPr>
            <w:r w:rsidRPr="00990FB6">
              <w:rPr>
                <w:color w:val="000000"/>
                <w:sz w:val="22"/>
                <w:szCs w:val="22"/>
                <w:lang w:eastAsia="es-CR"/>
              </w:rPr>
              <w:t>Estimar el límite presupuestario 2024 por centro de responsabilidad y hacer los oficios correspondientes.</w:t>
            </w:r>
          </w:p>
        </w:tc>
        <w:tc>
          <w:tcPr>
            <w:tcW w:w="519" w:type="pct"/>
            <w:tcBorders>
              <w:top w:val="nil"/>
              <w:left w:val="nil"/>
              <w:bottom w:val="single" w:sz="4" w:space="0" w:color="B1BBCC"/>
              <w:right w:val="single" w:sz="4" w:space="0" w:color="B1BBCC"/>
            </w:tcBorders>
            <w:shd w:val="clear" w:color="000000" w:fill="FFFFFF"/>
            <w:vAlign w:val="center"/>
            <w:hideMark/>
          </w:tcPr>
          <w:p w14:paraId="0F7B88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7/11/22</w:t>
            </w:r>
          </w:p>
        </w:tc>
        <w:tc>
          <w:tcPr>
            <w:tcW w:w="450" w:type="pct"/>
            <w:tcBorders>
              <w:top w:val="nil"/>
              <w:left w:val="nil"/>
              <w:bottom w:val="single" w:sz="4" w:space="0" w:color="B1BBCC"/>
              <w:right w:val="single" w:sz="4" w:space="0" w:color="B1BBCC"/>
            </w:tcBorders>
            <w:shd w:val="clear" w:color="000000" w:fill="FFFFFF"/>
            <w:vAlign w:val="center"/>
            <w:hideMark/>
          </w:tcPr>
          <w:p w14:paraId="112DFC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18/11/22</w:t>
            </w:r>
          </w:p>
        </w:tc>
        <w:tc>
          <w:tcPr>
            <w:tcW w:w="739" w:type="pct"/>
            <w:tcBorders>
              <w:top w:val="nil"/>
              <w:left w:val="nil"/>
              <w:bottom w:val="single" w:sz="4" w:space="0" w:color="B1BBCC"/>
              <w:right w:val="single" w:sz="4" w:space="0" w:color="B1BBCC"/>
            </w:tcBorders>
            <w:shd w:val="clear" w:color="000000" w:fill="FFFFFF"/>
            <w:vAlign w:val="center"/>
            <w:hideMark/>
          </w:tcPr>
          <w:p w14:paraId="2C4B9D42"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4F3502C1"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BC1DFC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3.31</w:t>
            </w:r>
          </w:p>
        </w:tc>
        <w:tc>
          <w:tcPr>
            <w:tcW w:w="2446" w:type="pct"/>
            <w:tcBorders>
              <w:top w:val="nil"/>
              <w:left w:val="nil"/>
              <w:bottom w:val="single" w:sz="4" w:space="0" w:color="B1BBCC"/>
              <w:right w:val="single" w:sz="4" w:space="0" w:color="B1BBCC"/>
            </w:tcBorders>
            <w:shd w:val="clear" w:color="000000" w:fill="FFFFFF"/>
            <w:vAlign w:val="center"/>
            <w:hideMark/>
          </w:tcPr>
          <w:p w14:paraId="27B24915" w14:textId="77777777" w:rsidR="00B15F7D" w:rsidRPr="00990FB6" w:rsidRDefault="00B15F7D" w:rsidP="00B15F7D">
            <w:pPr>
              <w:rPr>
                <w:color w:val="000000"/>
                <w:sz w:val="22"/>
                <w:szCs w:val="22"/>
                <w:lang w:eastAsia="es-CR"/>
              </w:rPr>
            </w:pPr>
            <w:r w:rsidRPr="00990FB6">
              <w:rPr>
                <w:color w:val="000000"/>
                <w:sz w:val="22"/>
                <w:szCs w:val="22"/>
                <w:lang w:eastAsia="es-CR"/>
              </w:rPr>
              <w:t>Enviar a los centros de responsabilidad los oficios con el límite presupuestario para el 2024.</w:t>
            </w:r>
          </w:p>
        </w:tc>
        <w:tc>
          <w:tcPr>
            <w:tcW w:w="519" w:type="pct"/>
            <w:tcBorders>
              <w:top w:val="nil"/>
              <w:left w:val="nil"/>
              <w:bottom w:val="single" w:sz="4" w:space="0" w:color="B1BBCC"/>
              <w:right w:val="single" w:sz="4" w:space="0" w:color="B1BBCC"/>
            </w:tcBorders>
            <w:shd w:val="clear" w:color="000000" w:fill="FFFFFF"/>
            <w:vAlign w:val="center"/>
            <w:hideMark/>
          </w:tcPr>
          <w:p w14:paraId="7DAA6D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28/11/22</w:t>
            </w:r>
          </w:p>
        </w:tc>
        <w:tc>
          <w:tcPr>
            <w:tcW w:w="450" w:type="pct"/>
            <w:tcBorders>
              <w:top w:val="nil"/>
              <w:left w:val="nil"/>
              <w:bottom w:val="single" w:sz="4" w:space="0" w:color="B1BBCC"/>
              <w:right w:val="single" w:sz="4" w:space="0" w:color="B1BBCC"/>
            </w:tcBorders>
            <w:shd w:val="clear" w:color="000000" w:fill="FFFFFF"/>
            <w:vAlign w:val="center"/>
            <w:hideMark/>
          </w:tcPr>
          <w:p w14:paraId="0E2AC9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1A80832D"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3583D21A"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FB782C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3.32</w:t>
            </w:r>
          </w:p>
        </w:tc>
        <w:tc>
          <w:tcPr>
            <w:tcW w:w="2446" w:type="pct"/>
            <w:tcBorders>
              <w:top w:val="nil"/>
              <w:left w:val="nil"/>
              <w:bottom w:val="single" w:sz="4" w:space="0" w:color="B1BBCC"/>
              <w:right w:val="single" w:sz="4" w:space="0" w:color="B1BBCC"/>
            </w:tcBorders>
            <w:shd w:val="clear" w:color="000000" w:fill="FFFFFF"/>
            <w:vAlign w:val="center"/>
            <w:hideMark/>
          </w:tcPr>
          <w:p w14:paraId="7E21C065" w14:textId="77777777" w:rsidR="00B15F7D" w:rsidRPr="00990FB6" w:rsidRDefault="00B15F7D" w:rsidP="00B15F7D">
            <w:pPr>
              <w:rPr>
                <w:color w:val="000000"/>
                <w:sz w:val="22"/>
                <w:szCs w:val="22"/>
                <w:lang w:eastAsia="es-CR"/>
              </w:rPr>
            </w:pPr>
            <w:r w:rsidRPr="00990FB6">
              <w:rPr>
                <w:color w:val="000000"/>
                <w:sz w:val="22"/>
                <w:szCs w:val="22"/>
                <w:lang w:eastAsia="es-CR"/>
              </w:rPr>
              <w:t>Remitir a los centros de responsabilidad un correo electrónico con el inicio de la formulación presupuestaria.</w:t>
            </w:r>
          </w:p>
        </w:tc>
        <w:tc>
          <w:tcPr>
            <w:tcW w:w="519" w:type="pct"/>
            <w:tcBorders>
              <w:top w:val="nil"/>
              <w:left w:val="nil"/>
              <w:bottom w:val="single" w:sz="4" w:space="0" w:color="B1BBCC"/>
              <w:right w:val="single" w:sz="4" w:space="0" w:color="B1BBCC"/>
            </w:tcBorders>
            <w:shd w:val="clear" w:color="000000" w:fill="FFFFFF"/>
            <w:vAlign w:val="center"/>
            <w:hideMark/>
          </w:tcPr>
          <w:p w14:paraId="6FDEDF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28/11/22</w:t>
            </w:r>
          </w:p>
        </w:tc>
        <w:tc>
          <w:tcPr>
            <w:tcW w:w="450" w:type="pct"/>
            <w:tcBorders>
              <w:top w:val="nil"/>
              <w:left w:val="nil"/>
              <w:bottom w:val="single" w:sz="4" w:space="0" w:color="B1BBCC"/>
              <w:right w:val="single" w:sz="4" w:space="0" w:color="B1BBCC"/>
            </w:tcBorders>
            <w:shd w:val="clear" w:color="000000" w:fill="FFFFFF"/>
            <w:vAlign w:val="center"/>
            <w:hideMark/>
          </w:tcPr>
          <w:p w14:paraId="542943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4E01C8DE"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25BEBC49"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D2007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3.33</w:t>
            </w:r>
          </w:p>
        </w:tc>
        <w:tc>
          <w:tcPr>
            <w:tcW w:w="2446" w:type="pct"/>
            <w:tcBorders>
              <w:top w:val="nil"/>
              <w:left w:val="nil"/>
              <w:bottom w:val="single" w:sz="4" w:space="0" w:color="B1BBCC"/>
              <w:right w:val="single" w:sz="4" w:space="0" w:color="B1BBCC"/>
            </w:tcBorders>
            <w:shd w:val="clear" w:color="000000" w:fill="FFFFFF"/>
            <w:vAlign w:val="center"/>
            <w:hideMark/>
          </w:tcPr>
          <w:p w14:paraId="70BACB12" w14:textId="77777777" w:rsidR="00B15F7D" w:rsidRPr="00990FB6" w:rsidRDefault="00B15F7D" w:rsidP="00B15F7D">
            <w:pPr>
              <w:rPr>
                <w:color w:val="000000"/>
                <w:sz w:val="22"/>
                <w:szCs w:val="22"/>
                <w:lang w:eastAsia="es-CR"/>
              </w:rPr>
            </w:pPr>
            <w:r w:rsidRPr="00990FB6">
              <w:rPr>
                <w:color w:val="000000"/>
                <w:sz w:val="22"/>
                <w:szCs w:val="22"/>
                <w:lang w:eastAsia="es-CR"/>
              </w:rPr>
              <w:t>Generar un comunicado a través del Departamento de Prensa sobre el inicio de la formulación presupuestaria 2024.</w:t>
            </w:r>
          </w:p>
        </w:tc>
        <w:tc>
          <w:tcPr>
            <w:tcW w:w="519" w:type="pct"/>
            <w:tcBorders>
              <w:top w:val="nil"/>
              <w:left w:val="nil"/>
              <w:bottom w:val="single" w:sz="4" w:space="0" w:color="B1BBCC"/>
              <w:right w:val="single" w:sz="4" w:space="0" w:color="B1BBCC"/>
            </w:tcBorders>
            <w:shd w:val="clear" w:color="000000" w:fill="FFFFFF"/>
            <w:vAlign w:val="center"/>
            <w:hideMark/>
          </w:tcPr>
          <w:p w14:paraId="490D53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28/11/22</w:t>
            </w:r>
          </w:p>
        </w:tc>
        <w:tc>
          <w:tcPr>
            <w:tcW w:w="450" w:type="pct"/>
            <w:tcBorders>
              <w:top w:val="nil"/>
              <w:left w:val="nil"/>
              <w:bottom w:val="single" w:sz="4" w:space="0" w:color="B1BBCC"/>
              <w:right w:val="single" w:sz="4" w:space="0" w:color="B1BBCC"/>
            </w:tcBorders>
            <w:shd w:val="clear" w:color="000000" w:fill="FFFFFF"/>
            <w:vAlign w:val="center"/>
            <w:hideMark/>
          </w:tcPr>
          <w:p w14:paraId="1F480C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2A01E519"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Prensa y Comunicación; Dirección de Planificación</w:t>
            </w:r>
          </w:p>
        </w:tc>
      </w:tr>
      <w:tr w:rsidR="00B15F7D" w:rsidRPr="00990FB6" w14:paraId="565FE42E"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14A0B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3.34</w:t>
            </w:r>
          </w:p>
        </w:tc>
        <w:tc>
          <w:tcPr>
            <w:tcW w:w="2446" w:type="pct"/>
            <w:tcBorders>
              <w:top w:val="nil"/>
              <w:left w:val="nil"/>
              <w:bottom w:val="single" w:sz="4" w:space="0" w:color="B1BBCC"/>
              <w:right w:val="single" w:sz="4" w:space="0" w:color="B1BBCC"/>
            </w:tcBorders>
            <w:shd w:val="clear" w:color="000000" w:fill="FFFFFF"/>
            <w:vAlign w:val="center"/>
            <w:hideMark/>
          </w:tcPr>
          <w:p w14:paraId="30B90B12" w14:textId="77777777" w:rsidR="00B15F7D" w:rsidRPr="00990FB6" w:rsidRDefault="00B15F7D" w:rsidP="00B15F7D">
            <w:pPr>
              <w:rPr>
                <w:color w:val="000000"/>
                <w:sz w:val="22"/>
                <w:szCs w:val="22"/>
                <w:lang w:eastAsia="es-CR"/>
              </w:rPr>
            </w:pPr>
            <w:r w:rsidRPr="00990FB6">
              <w:rPr>
                <w:color w:val="000000"/>
                <w:sz w:val="22"/>
                <w:szCs w:val="22"/>
                <w:lang w:eastAsia="es-CR"/>
              </w:rPr>
              <w:t>Publicar la Circular de Formulación Presupuestaria 2024.</w:t>
            </w:r>
          </w:p>
        </w:tc>
        <w:tc>
          <w:tcPr>
            <w:tcW w:w="519" w:type="pct"/>
            <w:tcBorders>
              <w:top w:val="nil"/>
              <w:left w:val="nil"/>
              <w:bottom w:val="single" w:sz="4" w:space="0" w:color="B1BBCC"/>
              <w:right w:val="single" w:sz="4" w:space="0" w:color="B1BBCC"/>
            </w:tcBorders>
            <w:shd w:val="clear" w:color="000000" w:fill="FFFFFF"/>
            <w:vAlign w:val="center"/>
            <w:hideMark/>
          </w:tcPr>
          <w:p w14:paraId="45EA884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28/11/22</w:t>
            </w:r>
          </w:p>
        </w:tc>
        <w:tc>
          <w:tcPr>
            <w:tcW w:w="450" w:type="pct"/>
            <w:tcBorders>
              <w:top w:val="nil"/>
              <w:left w:val="nil"/>
              <w:bottom w:val="single" w:sz="4" w:space="0" w:color="B1BBCC"/>
              <w:right w:val="single" w:sz="4" w:space="0" w:color="B1BBCC"/>
            </w:tcBorders>
            <w:shd w:val="clear" w:color="000000" w:fill="FFFFFF"/>
            <w:vAlign w:val="center"/>
            <w:hideMark/>
          </w:tcPr>
          <w:p w14:paraId="517BFF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30/11/22</w:t>
            </w:r>
          </w:p>
        </w:tc>
        <w:tc>
          <w:tcPr>
            <w:tcW w:w="739" w:type="pct"/>
            <w:tcBorders>
              <w:top w:val="nil"/>
              <w:left w:val="nil"/>
              <w:bottom w:val="single" w:sz="4" w:space="0" w:color="B1BBCC"/>
              <w:right w:val="single" w:sz="4" w:space="0" w:color="B1BBCC"/>
            </w:tcBorders>
            <w:shd w:val="clear" w:color="000000" w:fill="FFFFFF"/>
            <w:vAlign w:val="center"/>
            <w:hideMark/>
          </w:tcPr>
          <w:p w14:paraId="1CFAA385"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751D3B8B"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7C1A1C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3.35</w:t>
            </w:r>
          </w:p>
        </w:tc>
        <w:tc>
          <w:tcPr>
            <w:tcW w:w="2446" w:type="pct"/>
            <w:tcBorders>
              <w:top w:val="nil"/>
              <w:left w:val="nil"/>
              <w:bottom w:val="single" w:sz="4" w:space="0" w:color="B1BBCC"/>
              <w:right w:val="single" w:sz="4" w:space="0" w:color="B1BBCC"/>
            </w:tcBorders>
            <w:shd w:val="clear" w:color="000000" w:fill="FFFFFF"/>
            <w:vAlign w:val="center"/>
            <w:hideMark/>
          </w:tcPr>
          <w:p w14:paraId="1A6782A5"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Generación de Gastos Fijos</w:t>
            </w:r>
          </w:p>
        </w:tc>
        <w:tc>
          <w:tcPr>
            <w:tcW w:w="519" w:type="pct"/>
            <w:tcBorders>
              <w:top w:val="nil"/>
              <w:left w:val="nil"/>
              <w:bottom w:val="single" w:sz="4" w:space="0" w:color="B1BBCC"/>
              <w:right w:val="single" w:sz="4" w:space="0" w:color="B1BBCC"/>
            </w:tcBorders>
            <w:shd w:val="clear" w:color="000000" w:fill="FFFFFF"/>
            <w:vAlign w:val="center"/>
            <w:hideMark/>
          </w:tcPr>
          <w:p w14:paraId="100BAE6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26/9/22</w:t>
            </w:r>
          </w:p>
        </w:tc>
        <w:tc>
          <w:tcPr>
            <w:tcW w:w="450" w:type="pct"/>
            <w:tcBorders>
              <w:top w:val="nil"/>
              <w:left w:val="nil"/>
              <w:bottom w:val="single" w:sz="4" w:space="0" w:color="B1BBCC"/>
              <w:right w:val="single" w:sz="4" w:space="0" w:color="B1BBCC"/>
            </w:tcBorders>
            <w:shd w:val="clear" w:color="000000" w:fill="FFFFFF"/>
            <w:vAlign w:val="center"/>
            <w:hideMark/>
          </w:tcPr>
          <w:p w14:paraId="2B2DD98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22/11/22</w:t>
            </w:r>
          </w:p>
        </w:tc>
        <w:tc>
          <w:tcPr>
            <w:tcW w:w="739" w:type="pct"/>
            <w:tcBorders>
              <w:top w:val="nil"/>
              <w:left w:val="nil"/>
              <w:bottom w:val="single" w:sz="4" w:space="0" w:color="B1BBCC"/>
              <w:right w:val="single" w:sz="4" w:space="0" w:color="B1BBCC"/>
            </w:tcBorders>
            <w:shd w:val="clear" w:color="000000" w:fill="FFFFFF"/>
            <w:vAlign w:val="center"/>
            <w:hideMark/>
          </w:tcPr>
          <w:p w14:paraId="18FE76B8" w14:textId="77777777" w:rsidR="00B15F7D" w:rsidRPr="00990FB6" w:rsidRDefault="00B15F7D" w:rsidP="00990FB6">
            <w:pPr>
              <w:jc w:val="both"/>
              <w:rPr>
                <w:b/>
                <w:bCs/>
                <w:color w:val="000000"/>
                <w:sz w:val="22"/>
                <w:szCs w:val="22"/>
                <w:lang w:eastAsia="es-CR"/>
              </w:rPr>
            </w:pPr>
            <w:r w:rsidRPr="00990FB6">
              <w:rPr>
                <w:b/>
                <w:bCs/>
                <w:color w:val="000000"/>
                <w:sz w:val="22"/>
                <w:szCs w:val="22"/>
                <w:lang w:eastAsia="es-CR"/>
              </w:rPr>
              <w:t> </w:t>
            </w:r>
          </w:p>
        </w:tc>
      </w:tr>
      <w:tr w:rsidR="00B15F7D" w:rsidRPr="00990FB6" w14:paraId="0E353457"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D82475E"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3.35.1</w:t>
            </w:r>
          </w:p>
        </w:tc>
        <w:tc>
          <w:tcPr>
            <w:tcW w:w="2446" w:type="pct"/>
            <w:tcBorders>
              <w:top w:val="nil"/>
              <w:left w:val="nil"/>
              <w:bottom w:val="single" w:sz="4" w:space="0" w:color="B1BBCC"/>
              <w:right w:val="single" w:sz="4" w:space="0" w:color="B1BBCC"/>
            </w:tcBorders>
            <w:shd w:val="clear" w:color="000000" w:fill="FFFFFF"/>
            <w:vAlign w:val="center"/>
            <w:hideMark/>
          </w:tcPr>
          <w:p w14:paraId="09F8D55E" w14:textId="77777777" w:rsidR="00B15F7D" w:rsidRPr="00990FB6" w:rsidRDefault="00B15F7D" w:rsidP="00B15F7D">
            <w:pPr>
              <w:rPr>
                <w:color w:val="000000"/>
                <w:sz w:val="22"/>
                <w:szCs w:val="22"/>
                <w:lang w:eastAsia="es-CR"/>
              </w:rPr>
            </w:pPr>
            <w:r w:rsidRPr="00990FB6">
              <w:rPr>
                <w:color w:val="000000"/>
                <w:sz w:val="22"/>
                <w:szCs w:val="22"/>
                <w:lang w:eastAsia="es-CR"/>
              </w:rPr>
              <w:t>Realizar la verificación de parámetros de formulación (tipo de cambio, porcentaje de incremento, servicios públicos, artículos inactivos en los cuadros de consumo).</w:t>
            </w:r>
          </w:p>
        </w:tc>
        <w:tc>
          <w:tcPr>
            <w:tcW w:w="519" w:type="pct"/>
            <w:tcBorders>
              <w:top w:val="nil"/>
              <w:left w:val="nil"/>
              <w:bottom w:val="single" w:sz="4" w:space="0" w:color="B1BBCC"/>
              <w:right w:val="single" w:sz="4" w:space="0" w:color="B1BBCC"/>
            </w:tcBorders>
            <w:shd w:val="clear" w:color="000000" w:fill="FFFFFF"/>
            <w:vAlign w:val="center"/>
            <w:hideMark/>
          </w:tcPr>
          <w:p w14:paraId="2A1E20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26/9/22</w:t>
            </w:r>
          </w:p>
        </w:tc>
        <w:tc>
          <w:tcPr>
            <w:tcW w:w="450" w:type="pct"/>
            <w:tcBorders>
              <w:top w:val="nil"/>
              <w:left w:val="nil"/>
              <w:bottom w:val="single" w:sz="4" w:space="0" w:color="B1BBCC"/>
              <w:right w:val="single" w:sz="4" w:space="0" w:color="B1BBCC"/>
            </w:tcBorders>
            <w:shd w:val="clear" w:color="000000" w:fill="FFFFFF"/>
            <w:vAlign w:val="center"/>
            <w:hideMark/>
          </w:tcPr>
          <w:p w14:paraId="60C39F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30/9/22</w:t>
            </w:r>
          </w:p>
        </w:tc>
        <w:tc>
          <w:tcPr>
            <w:tcW w:w="739" w:type="pct"/>
            <w:tcBorders>
              <w:top w:val="nil"/>
              <w:left w:val="nil"/>
              <w:bottom w:val="single" w:sz="4" w:space="0" w:color="B1BBCC"/>
              <w:right w:val="single" w:sz="4" w:space="0" w:color="B1BBCC"/>
            </w:tcBorders>
            <w:shd w:val="clear" w:color="000000" w:fill="FFFFFF"/>
            <w:vAlign w:val="center"/>
            <w:hideMark/>
          </w:tcPr>
          <w:p w14:paraId="4BDA3BCE"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78D4523E"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2A25B3A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3.35.2</w:t>
            </w:r>
          </w:p>
        </w:tc>
        <w:tc>
          <w:tcPr>
            <w:tcW w:w="2446" w:type="pct"/>
            <w:tcBorders>
              <w:top w:val="nil"/>
              <w:left w:val="nil"/>
              <w:bottom w:val="single" w:sz="4" w:space="0" w:color="B1BBCC"/>
              <w:right w:val="single" w:sz="4" w:space="0" w:color="B1BBCC"/>
            </w:tcBorders>
            <w:shd w:val="clear" w:color="000000" w:fill="FFFFFF"/>
            <w:vAlign w:val="center"/>
            <w:hideMark/>
          </w:tcPr>
          <w:p w14:paraId="036A543B" w14:textId="77777777" w:rsidR="00B15F7D" w:rsidRPr="00990FB6" w:rsidRDefault="00B15F7D" w:rsidP="00B15F7D">
            <w:pPr>
              <w:rPr>
                <w:color w:val="000000"/>
                <w:sz w:val="22"/>
                <w:szCs w:val="22"/>
                <w:lang w:eastAsia="es-CR"/>
              </w:rPr>
            </w:pPr>
            <w:r w:rsidRPr="00990FB6">
              <w:rPr>
                <w:color w:val="000000"/>
                <w:sz w:val="22"/>
                <w:szCs w:val="22"/>
                <w:lang w:eastAsia="es-CR"/>
              </w:rPr>
              <w:t>Ejecutar la primera generación de gastos fijos.</w:t>
            </w:r>
          </w:p>
        </w:tc>
        <w:tc>
          <w:tcPr>
            <w:tcW w:w="519" w:type="pct"/>
            <w:tcBorders>
              <w:top w:val="nil"/>
              <w:left w:val="nil"/>
              <w:bottom w:val="single" w:sz="4" w:space="0" w:color="B1BBCC"/>
              <w:right w:val="single" w:sz="4" w:space="0" w:color="B1BBCC"/>
            </w:tcBorders>
            <w:shd w:val="clear" w:color="000000" w:fill="FFFFFF"/>
            <w:vAlign w:val="center"/>
            <w:hideMark/>
          </w:tcPr>
          <w:p w14:paraId="212E1C4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3/10/22</w:t>
            </w:r>
          </w:p>
        </w:tc>
        <w:tc>
          <w:tcPr>
            <w:tcW w:w="450" w:type="pct"/>
            <w:tcBorders>
              <w:top w:val="nil"/>
              <w:left w:val="nil"/>
              <w:bottom w:val="single" w:sz="4" w:space="0" w:color="B1BBCC"/>
              <w:right w:val="single" w:sz="4" w:space="0" w:color="B1BBCC"/>
            </w:tcBorders>
            <w:shd w:val="clear" w:color="000000" w:fill="FFFFFF"/>
            <w:vAlign w:val="center"/>
            <w:hideMark/>
          </w:tcPr>
          <w:p w14:paraId="00FE7B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12/10/22</w:t>
            </w:r>
          </w:p>
        </w:tc>
        <w:tc>
          <w:tcPr>
            <w:tcW w:w="739" w:type="pct"/>
            <w:tcBorders>
              <w:top w:val="nil"/>
              <w:left w:val="nil"/>
              <w:bottom w:val="single" w:sz="4" w:space="0" w:color="B1BBCC"/>
              <w:right w:val="single" w:sz="4" w:space="0" w:color="B1BBCC"/>
            </w:tcBorders>
            <w:shd w:val="clear" w:color="000000" w:fill="FFFFFF"/>
            <w:vAlign w:val="center"/>
            <w:hideMark/>
          </w:tcPr>
          <w:p w14:paraId="3DCCE75B" w14:textId="77777777" w:rsidR="00B15F7D" w:rsidRPr="00990FB6" w:rsidRDefault="00B15F7D" w:rsidP="00990FB6">
            <w:pPr>
              <w:jc w:val="both"/>
              <w:rPr>
                <w:color w:val="000000"/>
                <w:sz w:val="22"/>
                <w:szCs w:val="22"/>
                <w:lang w:eastAsia="es-CR"/>
              </w:rPr>
            </w:pPr>
            <w:r w:rsidRPr="00990FB6">
              <w:rPr>
                <w:color w:val="000000"/>
                <w:sz w:val="22"/>
                <w:szCs w:val="22"/>
                <w:lang w:eastAsia="es-CR"/>
              </w:rPr>
              <w:t>Centros de Responsabilidad; Depto. Proveeduría; Dirección de Planificación; Dpto. Financiero Contable</w:t>
            </w:r>
          </w:p>
        </w:tc>
      </w:tr>
      <w:tr w:rsidR="00B15F7D" w:rsidRPr="00990FB6" w14:paraId="2F6CCC7E"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046405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3.35.3</w:t>
            </w:r>
          </w:p>
        </w:tc>
        <w:tc>
          <w:tcPr>
            <w:tcW w:w="2446" w:type="pct"/>
            <w:tcBorders>
              <w:top w:val="nil"/>
              <w:left w:val="nil"/>
              <w:bottom w:val="single" w:sz="4" w:space="0" w:color="B1BBCC"/>
              <w:right w:val="single" w:sz="4" w:space="0" w:color="B1BBCC"/>
            </w:tcBorders>
            <w:shd w:val="clear" w:color="000000" w:fill="FFFFFF"/>
            <w:vAlign w:val="center"/>
            <w:hideMark/>
          </w:tcPr>
          <w:p w14:paraId="0C23306D" w14:textId="77777777" w:rsidR="00B15F7D" w:rsidRPr="00990FB6" w:rsidRDefault="00B15F7D" w:rsidP="00B15F7D">
            <w:pPr>
              <w:rPr>
                <w:color w:val="000000"/>
                <w:sz w:val="22"/>
                <w:szCs w:val="22"/>
                <w:lang w:eastAsia="es-CR"/>
              </w:rPr>
            </w:pPr>
            <w:r w:rsidRPr="00990FB6">
              <w:rPr>
                <w:color w:val="000000"/>
                <w:sz w:val="22"/>
                <w:szCs w:val="22"/>
                <w:lang w:eastAsia="es-CR"/>
              </w:rPr>
              <w:t>Remitir un comunicado a los Centros de Responsabilidad para que revisen los gastos fijos y servicios públicos obtenidos de la primera generación.</w:t>
            </w:r>
          </w:p>
        </w:tc>
        <w:tc>
          <w:tcPr>
            <w:tcW w:w="519" w:type="pct"/>
            <w:tcBorders>
              <w:top w:val="nil"/>
              <w:left w:val="nil"/>
              <w:bottom w:val="single" w:sz="4" w:space="0" w:color="B1BBCC"/>
              <w:right w:val="single" w:sz="4" w:space="0" w:color="B1BBCC"/>
            </w:tcBorders>
            <w:shd w:val="clear" w:color="000000" w:fill="FFFFFF"/>
            <w:vAlign w:val="center"/>
            <w:hideMark/>
          </w:tcPr>
          <w:p w14:paraId="3D05718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13/10/22</w:t>
            </w:r>
          </w:p>
        </w:tc>
        <w:tc>
          <w:tcPr>
            <w:tcW w:w="450" w:type="pct"/>
            <w:tcBorders>
              <w:top w:val="nil"/>
              <w:left w:val="nil"/>
              <w:bottom w:val="single" w:sz="4" w:space="0" w:color="B1BBCC"/>
              <w:right w:val="single" w:sz="4" w:space="0" w:color="B1BBCC"/>
            </w:tcBorders>
            <w:shd w:val="clear" w:color="000000" w:fill="FFFFFF"/>
            <w:vAlign w:val="center"/>
            <w:hideMark/>
          </w:tcPr>
          <w:p w14:paraId="14E04C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13/10/22</w:t>
            </w:r>
          </w:p>
        </w:tc>
        <w:tc>
          <w:tcPr>
            <w:tcW w:w="739" w:type="pct"/>
            <w:tcBorders>
              <w:top w:val="nil"/>
              <w:left w:val="nil"/>
              <w:bottom w:val="single" w:sz="4" w:space="0" w:color="B1BBCC"/>
              <w:right w:val="single" w:sz="4" w:space="0" w:color="B1BBCC"/>
            </w:tcBorders>
            <w:shd w:val="clear" w:color="000000" w:fill="FFFFFF"/>
            <w:vAlign w:val="center"/>
            <w:hideMark/>
          </w:tcPr>
          <w:p w14:paraId="7BE8DCD5"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0E4F3C03"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BEDD4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3.35.4</w:t>
            </w:r>
          </w:p>
        </w:tc>
        <w:tc>
          <w:tcPr>
            <w:tcW w:w="2446" w:type="pct"/>
            <w:tcBorders>
              <w:top w:val="nil"/>
              <w:left w:val="nil"/>
              <w:bottom w:val="single" w:sz="4" w:space="0" w:color="B1BBCC"/>
              <w:right w:val="single" w:sz="4" w:space="0" w:color="B1BBCC"/>
            </w:tcBorders>
            <w:shd w:val="clear" w:color="000000" w:fill="FFFFFF"/>
            <w:vAlign w:val="center"/>
            <w:hideMark/>
          </w:tcPr>
          <w:p w14:paraId="6DEB79EA" w14:textId="77777777" w:rsidR="00B15F7D" w:rsidRPr="00990FB6" w:rsidRDefault="00B15F7D" w:rsidP="00B15F7D">
            <w:pPr>
              <w:rPr>
                <w:color w:val="000000"/>
                <w:sz w:val="22"/>
                <w:szCs w:val="22"/>
                <w:lang w:eastAsia="es-CR"/>
              </w:rPr>
            </w:pPr>
            <w:r w:rsidRPr="00990FB6">
              <w:rPr>
                <w:color w:val="000000"/>
                <w:sz w:val="22"/>
                <w:szCs w:val="22"/>
                <w:lang w:eastAsia="es-CR"/>
              </w:rPr>
              <w:t>Revisar los gastos fijos y servicios públicos obtenidos de la primera generación, remitir las consultas y solicitar los ajustes correspondientes.</w:t>
            </w:r>
          </w:p>
        </w:tc>
        <w:tc>
          <w:tcPr>
            <w:tcW w:w="519" w:type="pct"/>
            <w:tcBorders>
              <w:top w:val="nil"/>
              <w:left w:val="nil"/>
              <w:bottom w:val="single" w:sz="4" w:space="0" w:color="B1BBCC"/>
              <w:right w:val="single" w:sz="4" w:space="0" w:color="B1BBCC"/>
            </w:tcBorders>
            <w:shd w:val="clear" w:color="000000" w:fill="FFFFFF"/>
            <w:vAlign w:val="center"/>
            <w:hideMark/>
          </w:tcPr>
          <w:p w14:paraId="7DB0E5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14/10/22</w:t>
            </w:r>
          </w:p>
        </w:tc>
        <w:tc>
          <w:tcPr>
            <w:tcW w:w="450" w:type="pct"/>
            <w:tcBorders>
              <w:top w:val="nil"/>
              <w:left w:val="nil"/>
              <w:bottom w:val="single" w:sz="4" w:space="0" w:color="B1BBCC"/>
              <w:right w:val="single" w:sz="4" w:space="0" w:color="B1BBCC"/>
            </w:tcBorders>
            <w:shd w:val="clear" w:color="000000" w:fill="FFFFFF"/>
            <w:vAlign w:val="center"/>
            <w:hideMark/>
          </w:tcPr>
          <w:p w14:paraId="0662CF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21/10/22</w:t>
            </w:r>
          </w:p>
        </w:tc>
        <w:tc>
          <w:tcPr>
            <w:tcW w:w="739" w:type="pct"/>
            <w:tcBorders>
              <w:top w:val="nil"/>
              <w:left w:val="nil"/>
              <w:bottom w:val="single" w:sz="4" w:space="0" w:color="B1BBCC"/>
              <w:right w:val="single" w:sz="4" w:space="0" w:color="B1BBCC"/>
            </w:tcBorders>
            <w:shd w:val="clear" w:color="000000" w:fill="FFFFFF"/>
            <w:vAlign w:val="center"/>
            <w:hideMark/>
          </w:tcPr>
          <w:p w14:paraId="17C8D2E4" w14:textId="77777777" w:rsidR="00B15F7D" w:rsidRPr="00990FB6" w:rsidRDefault="00B15F7D" w:rsidP="00990FB6">
            <w:pPr>
              <w:jc w:val="both"/>
              <w:rPr>
                <w:color w:val="000000"/>
                <w:sz w:val="22"/>
                <w:szCs w:val="22"/>
                <w:lang w:eastAsia="es-CR"/>
              </w:rPr>
            </w:pPr>
            <w:r w:rsidRPr="00990FB6">
              <w:rPr>
                <w:color w:val="000000"/>
                <w:sz w:val="22"/>
                <w:szCs w:val="22"/>
                <w:lang w:eastAsia="es-CR"/>
              </w:rPr>
              <w:t>Centros de Responsabilidad; Depto. Proveeduría; Dirección de Planificación; Dpto. Financiero Contable</w:t>
            </w:r>
          </w:p>
        </w:tc>
      </w:tr>
      <w:tr w:rsidR="00B15F7D" w:rsidRPr="00990FB6" w14:paraId="6D24C08F"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10BE08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3.35.5</w:t>
            </w:r>
          </w:p>
        </w:tc>
        <w:tc>
          <w:tcPr>
            <w:tcW w:w="2446" w:type="pct"/>
            <w:tcBorders>
              <w:top w:val="nil"/>
              <w:left w:val="nil"/>
              <w:bottom w:val="single" w:sz="4" w:space="0" w:color="B1BBCC"/>
              <w:right w:val="single" w:sz="4" w:space="0" w:color="B1BBCC"/>
            </w:tcBorders>
            <w:shd w:val="clear" w:color="000000" w:fill="FFFFFF"/>
            <w:vAlign w:val="center"/>
            <w:hideMark/>
          </w:tcPr>
          <w:p w14:paraId="6545915C" w14:textId="77777777" w:rsidR="00B15F7D" w:rsidRPr="00990FB6" w:rsidRDefault="00B15F7D" w:rsidP="00B15F7D">
            <w:pPr>
              <w:rPr>
                <w:color w:val="000000"/>
                <w:sz w:val="22"/>
                <w:szCs w:val="22"/>
                <w:lang w:eastAsia="es-CR"/>
              </w:rPr>
            </w:pPr>
            <w:r w:rsidRPr="00990FB6">
              <w:rPr>
                <w:color w:val="000000"/>
                <w:sz w:val="22"/>
                <w:szCs w:val="22"/>
                <w:lang w:eastAsia="es-CR"/>
              </w:rPr>
              <w:t>Atender las consultas y ajustes de la primera generación de gastos fijos.</w:t>
            </w:r>
          </w:p>
        </w:tc>
        <w:tc>
          <w:tcPr>
            <w:tcW w:w="519" w:type="pct"/>
            <w:tcBorders>
              <w:top w:val="nil"/>
              <w:left w:val="nil"/>
              <w:bottom w:val="single" w:sz="4" w:space="0" w:color="B1BBCC"/>
              <w:right w:val="single" w:sz="4" w:space="0" w:color="B1BBCC"/>
            </w:tcBorders>
            <w:shd w:val="clear" w:color="000000" w:fill="FFFFFF"/>
            <w:vAlign w:val="center"/>
            <w:hideMark/>
          </w:tcPr>
          <w:p w14:paraId="38E65A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14/10/22</w:t>
            </w:r>
          </w:p>
        </w:tc>
        <w:tc>
          <w:tcPr>
            <w:tcW w:w="450" w:type="pct"/>
            <w:tcBorders>
              <w:top w:val="nil"/>
              <w:left w:val="nil"/>
              <w:bottom w:val="single" w:sz="4" w:space="0" w:color="B1BBCC"/>
              <w:right w:val="single" w:sz="4" w:space="0" w:color="B1BBCC"/>
            </w:tcBorders>
            <w:shd w:val="clear" w:color="000000" w:fill="FFFFFF"/>
            <w:vAlign w:val="center"/>
            <w:hideMark/>
          </w:tcPr>
          <w:p w14:paraId="7828DA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28/10/22</w:t>
            </w:r>
          </w:p>
        </w:tc>
        <w:tc>
          <w:tcPr>
            <w:tcW w:w="739" w:type="pct"/>
            <w:tcBorders>
              <w:top w:val="nil"/>
              <w:left w:val="nil"/>
              <w:bottom w:val="single" w:sz="4" w:space="0" w:color="B1BBCC"/>
              <w:right w:val="single" w:sz="4" w:space="0" w:color="B1BBCC"/>
            </w:tcBorders>
            <w:shd w:val="clear" w:color="000000" w:fill="FFFFFF"/>
            <w:vAlign w:val="center"/>
            <w:hideMark/>
          </w:tcPr>
          <w:p w14:paraId="5250499C" w14:textId="77777777" w:rsidR="00B15F7D" w:rsidRPr="00990FB6" w:rsidRDefault="00B15F7D" w:rsidP="00990FB6">
            <w:pPr>
              <w:jc w:val="both"/>
              <w:rPr>
                <w:color w:val="000000"/>
                <w:sz w:val="22"/>
                <w:szCs w:val="22"/>
                <w:lang w:eastAsia="es-CR"/>
              </w:rPr>
            </w:pPr>
            <w:r w:rsidRPr="00990FB6">
              <w:rPr>
                <w:color w:val="000000"/>
                <w:sz w:val="22"/>
                <w:szCs w:val="22"/>
                <w:lang w:eastAsia="es-CR"/>
              </w:rPr>
              <w:t>Depto. Proveeduría; Dpto. Financiero Contable</w:t>
            </w:r>
          </w:p>
        </w:tc>
      </w:tr>
      <w:tr w:rsidR="00B15F7D" w:rsidRPr="00990FB6" w14:paraId="4E35AE33"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5FC14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3.35.6</w:t>
            </w:r>
          </w:p>
        </w:tc>
        <w:tc>
          <w:tcPr>
            <w:tcW w:w="2446" w:type="pct"/>
            <w:tcBorders>
              <w:top w:val="nil"/>
              <w:left w:val="nil"/>
              <w:bottom w:val="single" w:sz="4" w:space="0" w:color="B1BBCC"/>
              <w:right w:val="single" w:sz="4" w:space="0" w:color="B1BBCC"/>
            </w:tcBorders>
            <w:shd w:val="clear" w:color="000000" w:fill="FFFFFF"/>
            <w:vAlign w:val="center"/>
            <w:hideMark/>
          </w:tcPr>
          <w:p w14:paraId="22A96C33" w14:textId="77777777" w:rsidR="00B15F7D" w:rsidRPr="00990FB6" w:rsidRDefault="00B15F7D" w:rsidP="00B15F7D">
            <w:pPr>
              <w:rPr>
                <w:color w:val="000000"/>
                <w:sz w:val="22"/>
                <w:szCs w:val="22"/>
                <w:lang w:eastAsia="es-CR"/>
              </w:rPr>
            </w:pPr>
            <w:r w:rsidRPr="00990FB6">
              <w:rPr>
                <w:color w:val="000000"/>
                <w:sz w:val="22"/>
                <w:szCs w:val="22"/>
                <w:lang w:eastAsia="es-CR"/>
              </w:rPr>
              <w:t>Realizar la verificación de parámetros de formulación (tipo de cambio, porcentaje de incremento, servicios públicos, artículos inactivos en los cuadros de consumo).</w:t>
            </w:r>
          </w:p>
        </w:tc>
        <w:tc>
          <w:tcPr>
            <w:tcW w:w="519" w:type="pct"/>
            <w:tcBorders>
              <w:top w:val="nil"/>
              <w:left w:val="nil"/>
              <w:bottom w:val="single" w:sz="4" w:space="0" w:color="B1BBCC"/>
              <w:right w:val="single" w:sz="4" w:space="0" w:color="B1BBCC"/>
            </w:tcBorders>
            <w:shd w:val="clear" w:color="000000" w:fill="FFFFFF"/>
            <w:vAlign w:val="center"/>
            <w:hideMark/>
          </w:tcPr>
          <w:p w14:paraId="58A8B3F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31/10/22</w:t>
            </w:r>
          </w:p>
        </w:tc>
        <w:tc>
          <w:tcPr>
            <w:tcW w:w="450" w:type="pct"/>
            <w:tcBorders>
              <w:top w:val="nil"/>
              <w:left w:val="nil"/>
              <w:bottom w:val="single" w:sz="4" w:space="0" w:color="B1BBCC"/>
              <w:right w:val="single" w:sz="4" w:space="0" w:color="B1BBCC"/>
            </w:tcBorders>
            <w:shd w:val="clear" w:color="000000" w:fill="FFFFFF"/>
            <w:vAlign w:val="center"/>
            <w:hideMark/>
          </w:tcPr>
          <w:p w14:paraId="5B0E24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4/11/22</w:t>
            </w:r>
          </w:p>
        </w:tc>
        <w:tc>
          <w:tcPr>
            <w:tcW w:w="739" w:type="pct"/>
            <w:tcBorders>
              <w:top w:val="nil"/>
              <w:left w:val="nil"/>
              <w:bottom w:val="single" w:sz="4" w:space="0" w:color="B1BBCC"/>
              <w:right w:val="single" w:sz="4" w:space="0" w:color="B1BBCC"/>
            </w:tcBorders>
            <w:shd w:val="clear" w:color="000000" w:fill="FFFFFF"/>
            <w:vAlign w:val="center"/>
            <w:hideMark/>
          </w:tcPr>
          <w:p w14:paraId="48A71DF9"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7904905E" w14:textId="77777777" w:rsidTr="000A0C22">
        <w:trPr>
          <w:trHeight w:val="29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7C68C5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3.35.7</w:t>
            </w:r>
          </w:p>
        </w:tc>
        <w:tc>
          <w:tcPr>
            <w:tcW w:w="2446" w:type="pct"/>
            <w:tcBorders>
              <w:top w:val="nil"/>
              <w:left w:val="nil"/>
              <w:bottom w:val="single" w:sz="4" w:space="0" w:color="B1BBCC"/>
              <w:right w:val="single" w:sz="4" w:space="0" w:color="B1BBCC"/>
            </w:tcBorders>
            <w:shd w:val="clear" w:color="000000" w:fill="FFFFFF"/>
            <w:vAlign w:val="center"/>
            <w:hideMark/>
          </w:tcPr>
          <w:p w14:paraId="5A5D4EFB" w14:textId="77777777" w:rsidR="00B15F7D" w:rsidRPr="00990FB6" w:rsidRDefault="00B15F7D" w:rsidP="00B15F7D">
            <w:pPr>
              <w:rPr>
                <w:color w:val="000000"/>
                <w:sz w:val="22"/>
                <w:szCs w:val="22"/>
                <w:lang w:eastAsia="es-CR"/>
              </w:rPr>
            </w:pPr>
            <w:r w:rsidRPr="00990FB6">
              <w:rPr>
                <w:color w:val="000000"/>
                <w:sz w:val="22"/>
                <w:szCs w:val="22"/>
                <w:lang w:eastAsia="es-CR"/>
              </w:rPr>
              <w:t>Ejecutar la segunda generación de gastos fijos presupuesto.</w:t>
            </w:r>
          </w:p>
        </w:tc>
        <w:tc>
          <w:tcPr>
            <w:tcW w:w="519" w:type="pct"/>
            <w:tcBorders>
              <w:top w:val="nil"/>
              <w:left w:val="nil"/>
              <w:bottom w:val="single" w:sz="4" w:space="0" w:color="B1BBCC"/>
              <w:right w:val="single" w:sz="4" w:space="0" w:color="B1BBCC"/>
            </w:tcBorders>
            <w:shd w:val="clear" w:color="000000" w:fill="FFFFFF"/>
            <w:vAlign w:val="center"/>
            <w:hideMark/>
          </w:tcPr>
          <w:p w14:paraId="48ABCE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7/11/22</w:t>
            </w:r>
          </w:p>
        </w:tc>
        <w:tc>
          <w:tcPr>
            <w:tcW w:w="450" w:type="pct"/>
            <w:tcBorders>
              <w:top w:val="nil"/>
              <w:left w:val="nil"/>
              <w:bottom w:val="single" w:sz="4" w:space="0" w:color="B1BBCC"/>
              <w:right w:val="single" w:sz="4" w:space="0" w:color="B1BBCC"/>
            </w:tcBorders>
            <w:shd w:val="clear" w:color="000000" w:fill="FFFFFF"/>
            <w:vAlign w:val="center"/>
            <w:hideMark/>
          </w:tcPr>
          <w:p w14:paraId="0218EE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15/11/22</w:t>
            </w:r>
          </w:p>
        </w:tc>
        <w:tc>
          <w:tcPr>
            <w:tcW w:w="739" w:type="pct"/>
            <w:tcBorders>
              <w:top w:val="nil"/>
              <w:left w:val="nil"/>
              <w:bottom w:val="single" w:sz="4" w:space="0" w:color="B1BBCC"/>
              <w:right w:val="single" w:sz="4" w:space="0" w:color="B1BBCC"/>
            </w:tcBorders>
            <w:shd w:val="clear" w:color="000000" w:fill="FFFFFF"/>
            <w:vAlign w:val="center"/>
            <w:hideMark/>
          </w:tcPr>
          <w:p w14:paraId="1183669F" w14:textId="77777777" w:rsidR="00B15F7D" w:rsidRPr="00990FB6" w:rsidRDefault="00B15F7D" w:rsidP="00990FB6">
            <w:pPr>
              <w:jc w:val="both"/>
              <w:rPr>
                <w:color w:val="000000"/>
                <w:sz w:val="22"/>
                <w:szCs w:val="22"/>
                <w:lang w:eastAsia="es-CR"/>
              </w:rPr>
            </w:pPr>
            <w:r w:rsidRPr="00990FB6">
              <w:rPr>
                <w:color w:val="000000"/>
                <w:sz w:val="22"/>
                <w:szCs w:val="22"/>
                <w:lang w:eastAsia="es-CR"/>
              </w:rPr>
              <w:t>Dirección de Planificación</w:t>
            </w:r>
          </w:p>
        </w:tc>
      </w:tr>
      <w:tr w:rsidR="00B15F7D" w:rsidRPr="00990FB6" w14:paraId="6D959D70" w14:textId="77777777" w:rsidTr="000A0C22">
        <w:trPr>
          <w:trHeight w:val="580"/>
        </w:trPr>
        <w:tc>
          <w:tcPr>
            <w:tcW w:w="846" w:type="pct"/>
            <w:tcBorders>
              <w:top w:val="nil"/>
              <w:left w:val="single" w:sz="4" w:space="0" w:color="B1BBCC"/>
              <w:bottom w:val="single" w:sz="4" w:space="0" w:color="B1BBCC"/>
              <w:right w:val="single" w:sz="4" w:space="0" w:color="B1BBCC"/>
            </w:tcBorders>
            <w:shd w:val="clear" w:color="000000" w:fill="FFFFFF"/>
            <w:vAlign w:val="center"/>
            <w:hideMark/>
          </w:tcPr>
          <w:p w14:paraId="3F2356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3.35.8</w:t>
            </w:r>
          </w:p>
        </w:tc>
        <w:tc>
          <w:tcPr>
            <w:tcW w:w="2446" w:type="pct"/>
            <w:tcBorders>
              <w:top w:val="nil"/>
              <w:left w:val="nil"/>
              <w:bottom w:val="single" w:sz="4" w:space="0" w:color="B1BBCC"/>
              <w:right w:val="single" w:sz="4" w:space="0" w:color="B1BBCC"/>
            </w:tcBorders>
            <w:shd w:val="clear" w:color="000000" w:fill="FFFFFF"/>
            <w:vAlign w:val="center"/>
            <w:hideMark/>
          </w:tcPr>
          <w:p w14:paraId="49B0582C" w14:textId="77777777" w:rsidR="00B15F7D" w:rsidRPr="00990FB6" w:rsidRDefault="00B15F7D" w:rsidP="00B15F7D">
            <w:pPr>
              <w:rPr>
                <w:color w:val="000000"/>
                <w:sz w:val="22"/>
                <w:szCs w:val="22"/>
                <w:lang w:eastAsia="es-CR"/>
              </w:rPr>
            </w:pPr>
            <w:r w:rsidRPr="00990FB6">
              <w:rPr>
                <w:color w:val="000000"/>
                <w:sz w:val="22"/>
                <w:szCs w:val="22"/>
                <w:lang w:eastAsia="es-CR"/>
              </w:rPr>
              <w:t>Revisar los gastos fijos y servicios públicos obtenidos de la segunda generación.</w:t>
            </w:r>
          </w:p>
        </w:tc>
        <w:tc>
          <w:tcPr>
            <w:tcW w:w="519" w:type="pct"/>
            <w:tcBorders>
              <w:top w:val="nil"/>
              <w:left w:val="nil"/>
              <w:bottom w:val="single" w:sz="4" w:space="0" w:color="B1BBCC"/>
              <w:right w:val="single" w:sz="4" w:space="0" w:color="B1BBCC"/>
            </w:tcBorders>
            <w:shd w:val="clear" w:color="000000" w:fill="FFFFFF"/>
            <w:vAlign w:val="center"/>
            <w:hideMark/>
          </w:tcPr>
          <w:p w14:paraId="0D336D0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16/11/22</w:t>
            </w:r>
          </w:p>
        </w:tc>
        <w:tc>
          <w:tcPr>
            <w:tcW w:w="450" w:type="pct"/>
            <w:tcBorders>
              <w:top w:val="nil"/>
              <w:left w:val="nil"/>
              <w:bottom w:val="single" w:sz="4" w:space="0" w:color="B1BBCC"/>
              <w:right w:val="single" w:sz="4" w:space="0" w:color="B1BBCC"/>
            </w:tcBorders>
            <w:shd w:val="clear" w:color="000000" w:fill="FFFFFF"/>
            <w:vAlign w:val="center"/>
            <w:hideMark/>
          </w:tcPr>
          <w:p w14:paraId="08EB2FC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22/11/22</w:t>
            </w:r>
          </w:p>
        </w:tc>
        <w:tc>
          <w:tcPr>
            <w:tcW w:w="739" w:type="pct"/>
            <w:tcBorders>
              <w:top w:val="nil"/>
              <w:left w:val="nil"/>
              <w:bottom w:val="single" w:sz="4" w:space="0" w:color="B1BBCC"/>
              <w:right w:val="single" w:sz="4" w:space="0" w:color="B1BBCC"/>
            </w:tcBorders>
            <w:shd w:val="clear" w:color="000000" w:fill="FFFFFF"/>
            <w:vAlign w:val="center"/>
            <w:hideMark/>
          </w:tcPr>
          <w:p w14:paraId="419433D7" w14:textId="77777777" w:rsidR="00B15F7D" w:rsidRPr="00990FB6" w:rsidRDefault="00B15F7D" w:rsidP="00990FB6">
            <w:pPr>
              <w:jc w:val="both"/>
              <w:rPr>
                <w:color w:val="000000"/>
                <w:sz w:val="22"/>
                <w:szCs w:val="22"/>
                <w:lang w:eastAsia="es-CR"/>
              </w:rPr>
            </w:pPr>
            <w:r w:rsidRPr="00990FB6">
              <w:rPr>
                <w:color w:val="000000"/>
                <w:sz w:val="22"/>
                <w:szCs w:val="22"/>
                <w:lang w:eastAsia="es-CR"/>
              </w:rPr>
              <w:t>Centros de Responsabilidad; Depto. Proveeduría; Dirección de Planificación; Dpto. Financiero Contable</w:t>
            </w:r>
          </w:p>
        </w:tc>
      </w:tr>
    </w:tbl>
    <w:p w14:paraId="1FC5C5D4" w14:textId="77777777" w:rsidR="00B15F7D" w:rsidRPr="00990FB6" w:rsidRDefault="00B15F7D" w:rsidP="00B15F7D">
      <w:pPr>
        <w:jc w:val="both"/>
        <w:rPr>
          <w:iCs/>
          <w:spacing w:val="-3"/>
          <w:sz w:val="22"/>
          <w:szCs w:val="22"/>
        </w:rPr>
      </w:pPr>
    </w:p>
    <w:p w14:paraId="01431E7A"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lastRenderedPageBreak/>
        <w:t>Importante indicar que algunas de las actividades de la programación de la presente propuesta de Cronograma de Actividades Previas del Presupuesto 2024, ya se encuentran completadas o tienen un desarrollo, lo anterior según fechas propuestas para su implementación.</w:t>
      </w:r>
    </w:p>
    <w:p w14:paraId="06F4D43D" w14:textId="77777777" w:rsidR="00B15F7D" w:rsidRPr="00990FB6" w:rsidRDefault="00B15F7D" w:rsidP="00B15F7D">
      <w:pPr>
        <w:ind w:left="851" w:right="851" w:firstLine="709"/>
        <w:jc w:val="both"/>
        <w:rPr>
          <w:iCs/>
          <w:spacing w:val="-3"/>
          <w:sz w:val="22"/>
          <w:szCs w:val="22"/>
        </w:rPr>
      </w:pPr>
    </w:p>
    <w:p w14:paraId="797ED830"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 xml:space="preserve">A la Dirección de Tecnología de la Información </w:t>
      </w:r>
    </w:p>
    <w:p w14:paraId="12389F57" w14:textId="77777777" w:rsidR="00B15F7D" w:rsidRPr="00990FB6" w:rsidRDefault="00B15F7D" w:rsidP="00B15F7D">
      <w:pPr>
        <w:ind w:left="851" w:right="851" w:firstLine="709"/>
        <w:jc w:val="both"/>
        <w:rPr>
          <w:b/>
          <w:bCs/>
          <w:iCs/>
          <w:spacing w:val="-3"/>
          <w:sz w:val="22"/>
          <w:szCs w:val="22"/>
        </w:rPr>
      </w:pPr>
    </w:p>
    <w:p w14:paraId="21458C12"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Cumplir con los plazos establecidos en el Cronograma detallado de las fases previas al inicio de la formulación del anteproyecto de presupuesto 2024.</w:t>
      </w:r>
    </w:p>
    <w:p w14:paraId="041B629D" w14:textId="77777777" w:rsidR="00B15F7D" w:rsidRPr="00990FB6" w:rsidRDefault="00B15F7D" w:rsidP="00B15F7D">
      <w:pPr>
        <w:ind w:left="851" w:right="851" w:firstLine="709"/>
        <w:jc w:val="both"/>
        <w:rPr>
          <w:iCs/>
          <w:spacing w:val="-3"/>
          <w:sz w:val="22"/>
          <w:szCs w:val="22"/>
        </w:rPr>
      </w:pPr>
    </w:p>
    <w:p w14:paraId="29A2CCDF"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Coordinar el desarrollo de las actividades para la formulación de los recursos del Área de Informática en el Sistema de Preformulación, dentro de los plazos establecidos en el Cronograma.</w:t>
      </w:r>
    </w:p>
    <w:p w14:paraId="659A4473" w14:textId="77777777" w:rsidR="00B15F7D" w:rsidRPr="00990FB6" w:rsidRDefault="00B15F7D" w:rsidP="00B15F7D">
      <w:pPr>
        <w:ind w:left="851" w:right="851" w:firstLine="709"/>
        <w:jc w:val="both"/>
        <w:rPr>
          <w:iCs/>
          <w:spacing w:val="-3"/>
          <w:sz w:val="22"/>
          <w:szCs w:val="22"/>
        </w:rPr>
      </w:pPr>
    </w:p>
    <w:p w14:paraId="6A40EDE1"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 xml:space="preserve">Cumplir con las responsabilidades que se detallan en el apartado 2.3, con el objetivo de que los sistemas informáticos utilizados para el proceso de formulación de presupuesto 2024 se encuentren preparados. </w:t>
      </w:r>
    </w:p>
    <w:p w14:paraId="57F2C57A" w14:textId="77777777" w:rsidR="00B15F7D" w:rsidRPr="00990FB6" w:rsidRDefault="00B15F7D" w:rsidP="00B15F7D">
      <w:pPr>
        <w:ind w:left="851" w:right="851" w:firstLine="709"/>
        <w:jc w:val="both"/>
        <w:rPr>
          <w:iCs/>
          <w:spacing w:val="-3"/>
          <w:sz w:val="22"/>
          <w:szCs w:val="22"/>
        </w:rPr>
      </w:pPr>
    </w:p>
    <w:p w14:paraId="178EB303"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A la Dirección Ejecutiva</w:t>
      </w:r>
    </w:p>
    <w:p w14:paraId="58763DD3" w14:textId="77777777" w:rsidR="00B15F7D" w:rsidRPr="00990FB6" w:rsidRDefault="00B15F7D" w:rsidP="00B15F7D">
      <w:pPr>
        <w:ind w:left="851" w:right="851" w:firstLine="709"/>
        <w:jc w:val="both"/>
        <w:rPr>
          <w:iCs/>
          <w:spacing w:val="-3"/>
          <w:sz w:val="22"/>
          <w:szCs w:val="22"/>
        </w:rPr>
      </w:pPr>
    </w:p>
    <w:p w14:paraId="4B2EA949"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Cumplir con los plazos establecidos en el Cronograma detallado de las fases previas al inicio de la formulación del anteproyecto de presupuesto 2024.</w:t>
      </w:r>
    </w:p>
    <w:p w14:paraId="582122FF" w14:textId="77777777" w:rsidR="00B15F7D" w:rsidRPr="00990FB6" w:rsidRDefault="00B15F7D" w:rsidP="00B15F7D">
      <w:pPr>
        <w:ind w:left="851" w:right="851" w:firstLine="709"/>
        <w:jc w:val="both"/>
        <w:rPr>
          <w:iCs/>
          <w:spacing w:val="-3"/>
          <w:sz w:val="22"/>
          <w:szCs w:val="22"/>
        </w:rPr>
      </w:pPr>
    </w:p>
    <w:p w14:paraId="0A486370"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 xml:space="preserve">Revisar y aprobar la </w:t>
      </w:r>
      <w:proofErr w:type="spellStart"/>
      <w:r w:rsidRPr="00990FB6">
        <w:rPr>
          <w:iCs/>
          <w:spacing w:val="-3"/>
          <w:sz w:val="22"/>
          <w:szCs w:val="22"/>
        </w:rPr>
        <w:t>preformulación</w:t>
      </w:r>
      <w:proofErr w:type="spellEnd"/>
      <w:r w:rsidRPr="00990FB6">
        <w:rPr>
          <w:iCs/>
          <w:spacing w:val="-3"/>
          <w:sz w:val="22"/>
          <w:szCs w:val="22"/>
        </w:rPr>
        <w:t xml:space="preserve"> en el Área de Informática, realizada por las Administraciones Regionales y los Departamentos a su cargo para su posterior traslado a la Dirección de Tecnología de la Información y Comunicaciones.</w:t>
      </w:r>
    </w:p>
    <w:p w14:paraId="161B6827" w14:textId="77777777" w:rsidR="00B15F7D" w:rsidRPr="00990FB6" w:rsidRDefault="00B15F7D" w:rsidP="00B15F7D">
      <w:pPr>
        <w:ind w:left="851" w:right="851" w:firstLine="709"/>
        <w:jc w:val="both"/>
        <w:rPr>
          <w:iCs/>
          <w:spacing w:val="-3"/>
          <w:sz w:val="22"/>
          <w:szCs w:val="22"/>
        </w:rPr>
      </w:pPr>
    </w:p>
    <w:p w14:paraId="347756F1"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En conjunto con los departamentos de Seguridad y Servicios Generales, coordinar el desarrollo de las actividades para la formulación de los recursos de las áreas presupuestarias de Seguridad, Construcciones y Vehículos en el Sistema de Preformulación, dentro de los plazos establecidos en el Cronograma.</w:t>
      </w:r>
    </w:p>
    <w:p w14:paraId="614F2CEC" w14:textId="77777777" w:rsidR="00B15F7D" w:rsidRPr="00990FB6" w:rsidRDefault="00B15F7D" w:rsidP="00B15F7D">
      <w:pPr>
        <w:ind w:left="851" w:right="851" w:firstLine="709"/>
        <w:jc w:val="both"/>
        <w:rPr>
          <w:iCs/>
          <w:spacing w:val="-3"/>
          <w:sz w:val="22"/>
          <w:szCs w:val="22"/>
        </w:rPr>
      </w:pPr>
    </w:p>
    <w:p w14:paraId="357B3D9D"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 xml:space="preserve">Cumplir con las responsabilidades que en el apartado 2.3, con el objetivo de que los sistemas informáticos utilizados para el proceso de formulación de presupuesto 2024 coincidan en el contenido de los datos. </w:t>
      </w:r>
    </w:p>
    <w:p w14:paraId="53F78EBE" w14:textId="77777777" w:rsidR="00B15F7D" w:rsidRPr="00990FB6" w:rsidRDefault="00B15F7D" w:rsidP="00B15F7D">
      <w:pPr>
        <w:ind w:left="851" w:right="851" w:firstLine="709"/>
        <w:jc w:val="both"/>
        <w:rPr>
          <w:iCs/>
          <w:spacing w:val="-3"/>
          <w:sz w:val="22"/>
          <w:szCs w:val="22"/>
        </w:rPr>
      </w:pPr>
    </w:p>
    <w:p w14:paraId="5B2BFFA4"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A la Dirección de Planificación</w:t>
      </w:r>
    </w:p>
    <w:p w14:paraId="41FB10A4" w14:textId="77777777" w:rsidR="00B15F7D" w:rsidRPr="00990FB6" w:rsidRDefault="00B15F7D" w:rsidP="00B15F7D">
      <w:pPr>
        <w:ind w:left="851" w:right="851" w:firstLine="709"/>
        <w:jc w:val="both"/>
        <w:rPr>
          <w:b/>
          <w:bCs/>
          <w:iCs/>
          <w:spacing w:val="-3"/>
          <w:sz w:val="22"/>
          <w:szCs w:val="22"/>
        </w:rPr>
      </w:pPr>
    </w:p>
    <w:p w14:paraId="57BA4A27"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Dar seguimiento al cumplimiento de las actividades establecidas en el Cronograma detallado de las fases previas al inicio de la formulación del anteproyecto de presupuesto 2024.</w:t>
      </w:r>
    </w:p>
    <w:p w14:paraId="20BBAD8F" w14:textId="77777777" w:rsidR="00B15F7D" w:rsidRPr="00990FB6" w:rsidRDefault="00B15F7D" w:rsidP="00B15F7D">
      <w:pPr>
        <w:ind w:left="851" w:right="851" w:firstLine="709"/>
        <w:jc w:val="both"/>
        <w:rPr>
          <w:iCs/>
          <w:spacing w:val="-3"/>
          <w:sz w:val="22"/>
          <w:szCs w:val="22"/>
        </w:rPr>
      </w:pPr>
    </w:p>
    <w:p w14:paraId="5AFE164C"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Divulgar por medio de una circular el acuerdo del Consejo Superior y el Cronograma.</w:t>
      </w:r>
    </w:p>
    <w:p w14:paraId="60AA4929" w14:textId="77777777" w:rsidR="00B15F7D" w:rsidRPr="00990FB6" w:rsidRDefault="00B15F7D" w:rsidP="00B15F7D">
      <w:pPr>
        <w:ind w:left="851" w:right="851" w:firstLine="709"/>
        <w:jc w:val="both"/>
        <w:rPr>
          <w:iCs/>
          <w:spacing w:val="-3"/>
          <w:sz w:val="22"/>
          <w:szCs w:val="22"/>
        </w:rPr>
      </w:pPr>
    </w:p>
    <w:p w14:paraId="7FC584C7"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lastRenderedPageBreak/>
        <w:t>Comunicar a todos los Centros de Responsabilidad el acuerdo del Consejo Superior y el Cronograma.</w:t>
      </w:r>
    </w:p>
    <w:p w14:paraId="5783D328" w14:textId="77777777" w:rsidR="00B15F7D" w:rsidRPr="00990FB6" w:rsidRDefault="00B15F7D" w:rsidP="00B15F7D">
      <w:pPr>
        <w:ind w:left="851" w:right="851" w:firstLine="709"/>
        <w:jc w:val="both"/>
        <w:rPr>
          <w:iCs/>
          <w:spacing w:val="-3"/>
          <w:sz w:val="22"/>
          <w:szCs w:val="22"/>
        </w:rPr>
      </w:pPr>
    </w:p>
    <w:p w14:paraId="774891F3"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Verificar que las proyecciones para el periodo 2024 del Sistema de Proyección Plurianual estén actualizadas y sean congruentes con los demás sistemas informáticos utilizados en la institución para el proceso presupuestario.</w:t>
      </w:r>
    </w:p>
    <w:p w14:paraId="3614111D" w14:textId="77777777" w:rsidR="00B15F7D" w:rsidRPr="00990FB6" w:rsidRDefault="00B15F7D" w:rsidP="00B15F7D">
      <w:pPr>
        <w:ind w:left="851" w:right="851" w:firstLine="709"/>
        <w:jc w:val="both"/>
        <w:rPr>
          <w:iCs/>
          <w:spacing w:val="-3"/>
          <w:sz w:val="22"/>
          <w:szCs w:val="22"/>
        </w:rPr>
      </w:pPr>
    </w:p>
    <w:p w14:paraId="3AE14680"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Solicitar a cualquier oficina presupuestaria o centro de responsabilidad los ajustes correspondientes en el Sistema de Proyección Plurianual, cuando estos no coincidan con los registrados en el Sistema de Preformulación y SIGA-PJ.</w:t>
      </w:r>
    </w:p>
    <w:p w14:paraId="6F5A627B" w14:textId="77777777" w:rsidR="00B15F7D" w:rsidRPr="00990FB6" w:rsidRDefault="00B15F7D" w:rsidP="00B15F7D">
      <w:pPr>
        <w:ind w:left="851" w:right="851" w:firstLine="709"/>
        <w:jc w:val="both"/>
        <w:rPr>
          <w:iCs/>
          <w:spacing w:val="-3"/>
          <w:sz w:val="22"/>
          <w:szCs w:val="22"/>
        </w:rPr>
      </w:pPr>
    </w:p>
    <w:p w14:paraId="7980FB8C"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A las Oficinas Líderes de Proyectos Estratégicos</w:t>
      </w:r>
    </w:p>
    <w:p w14:paraId="643F153B" w14:textId="77777777" w:rsidR="00B15F7D" w:rsidRPr="00990FB6" w:rsidRDefault="00B15F7D" w:rsidP="00B15F7D">
      <w:pPr>
        <w:ind w:left="851" w:right="851" w:firstLine="709"/>
        <w:jc w:val="both"/>
        <w:rPr>
          <w:b/>
          <w:bCs/>
          <w:iCs/>
          <w:spacing w:val="-3"/>
          <w:sz w:val="22"/>
          <w:szCs w:val="22"/>
        </w:rPr>
      </w:pPr>
    </w:p>
    <w:p w14:paraId="631E5D83"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Realizar la formulación de la proyección plurianual de los recursos de los proyectos estratégicos de acuerdo con los plazos establecidos en el Cronograma.</w:t>
      </w:r>
    </w:p>
    <w:p w14:paraId="1EF645B4" w14:textId="77777777" w:rsidR="00B15F7D" w:rsidRPr="00990FB6" w:rsidRDefault="00B15F7D" w:rsidP="00B15F7D">
      <w:pPr>
        <w:ind w:left="851" w:right="851" w:firstLine="709"/>
        <w:jc w:val="both"/>
        <w:rPr>
          <w:iCs/>
          <w:spacing w:val="-3"/>
          <w:sz w:val="22"/>
          <w:szCs w:val="22"/>
        </w:rPr>
      </w:pPr>
    </w:p>
    <w:p w14:paraId="68DCDF6F"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Mantener el Sistema de Proyección Plurianual actualizado durante todo el proceso de formulación del presupuesto 2024, es decir que las diferentes oficinas a cargo de proyectos estratégicos velarán porque los montos proyectados en el Sistema de Proyección Plurianual coincidan con los montos destinados a proyectos estratégicos dentro del presupuesto 2024 de su oficina.</w:t>
      </w:r>
    </w:p>
    <w:p w14:paraId="7C748561" w14:textId="77777777" w:rsidR="00B15F7D" w:rsidRPr="00990FB6" w:rsidRDefault="00B15F7D" w:rsidP="00B15F7D">
      <w:pPr>
        <w:ind w:left="851" w:right="851" w:firstLine="709"/>
        <w:jc w:val="both"/>
        <w:rPr>
          <w:iCs/>
          <w:spacing w:val="-3"/>
          <w:sz w:val="22"/>
          <w:szCs w:val="22"/>
        </w:rPr>
      </w:pPr>
    </w:p>
    <w:p w14:paraId="1D2DD533"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A las Oficinas, Centros de Responsabilidad y Programas</w:t>
      </w:r>
    </w:p>
    <w:p w14:paraId="0258BBDB" w14:textId="77777777" w:rsidR="00B15F7D" w:rsidRPr="00990FB6" w:rsidRDefault="00B15F7D" w:rsidP="00B15F7D">
      <w:pPr>
        <w:ind w:left="851" w:right="851" w:firstLine="709"/>
        <w:jc w:val="both"/>
        <w:rPr>
          <w:b/>
          <w:bCs/>
          <w:iCs/>
          <w:spacing w:val="-3"/>
          <w:sz w:val="22"/>
          <w:szCs w:val="22"/>
        </w:rPr>
      </w:pPr>
    </w:p>
    <w:p w14:paraId="212B681F"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Cumplir con los plazos establecidos en el cronograma y las directrices, para la formulación de los recursos de las Áreas de Informática, Seguridad, Construcciones y Vehículos.</w:t>
      </w:r>
    </w:p>
    <w:p w14:paraId="19464382" w14:textId="77777777" w:rsidR="00B15F7D" w:rsidRPr="00990FB6" w:rsidRDefault="00B15F7D" w:rsidP="00B15F7D">
      <w:pPr>
        <w:ind w:left="851" w:right="851" w:firstLine="709"/>
        <w:jc w:val="both"/>
        <w:rPr>
          <w:iCs/>
          <w:spacing w:val="-3"/>
          <w:sz w:val="22"/>
          <w:szCs w:val="22"/>
        </w:rPr>
      </w:pPr>
    </w:p>
    <w:p w14:paraId="37989F54"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Revisar los gastos fijos y servicios públicos obtenidos de la primera generación, remitir las consultas y solicitar los ajustes correspondientes, en los plazos establecidos en el Cronograma.</w:t>
      </w:r>
    </w:p>
    <w:p w14:paraId="75252FD5" w14:textId="77777777" w:rsidR="00B15F7D" w:rsidRPr="00990FB6" w:rsidRDefault="00B15F7D" w:rsidP="00B15F7D">
      <w:pPr>
        <w:ind w:left="851" w:right="851" w:firstLine="709"/>
        <w:jc w:val="both"/>
        <w:rPr>
          <w:iCs/>
          <w:spacing w:val="-3"/>
          <w:sz w:val="22"/>
          <w:szCs w:val="22"/>
        </w:rPr>
      </w:pPr>
    </w:p>
    <w:p w14:paraId="2EA8E1CF" w14:textId="77777777" w:rsidR="00B15F7D" w:rsidRPr="00990FB6" w:rsidRDefault="00B15F7D" w:rsidP="00B15F7D">
      <w:pPr>
        <w:ind w:left="851" w:right="851" w:firstLine="709"/>
        <w:jc w:val="both"/>
        <w:rPr>
          <w:b/>
          <w:bCs/>
          <w:iCs/>
          <w:spacing w:val="-3"/>
          <w:sz w:val="22"/>
          <w:szCs w:val="22"/>
        </w:rPr>
      </w:pPr>
      <w:r w:rsidRPr="00990FB6">
        <w:rPr>
          <w:b/>
          <w:bCs/>
          <w:iCs/>
          <w:spacing w:val="-3"/>
          <w:sz w:val="22"/>
          <w:szCs w:val="22"/>
        </w:rPr>
        <w:t xml:space="preserve">Al Departamento de Prensa y Comunicación </w:t>
      </w:r>
    </w:p>
    <w:p w14:paraId="1FEB9D8A" w14:textId="77777777" w:rsidR="00B15F7D" w:rsidRPr="00990FB6" w:rsidRDefault="00B15F7D" w:rsidP="00B15F7D">
      <w:pPr>
        <w:ind w:left="851" w:right="851" w:firstLine="709"/>
        <w:jc w:val="both"/>
        <w:rPr>
          <w:b/>
          <w:bCs/>
          <w:iCs/>
          <w:spacing w:val="-3"/>
          <w:sz w:val="22"/>
          <w:szCs w:val="22"/>
        </w:rPr>
      </w:pPr>
    </w:p>
    <w:p w14:paraId="2D077AB8" w14:textId="77777777" w:rsidR="00B15F7D" w:rsidRPr="00990FB6" w:rsidRDefault="00B15F7D" w:rsidP="00B15F7D">
      <w:pPr>
        <w:numPr>
          <w:ilvl w:val="1"/>
          <w:numId w:val="104"/>
        </w:numPr>
        <w:suppressAutoHyphens w:val="0"/>
        <w:ind w:left="851" w:right="851" w:firstLine="709"/>
        <w:jc w:val="both"/>
        <w:rPr>
          <w:iCs/>
          <w:spacing w:val="-3"/>
          <w:sz w:val="22"/>
          <w:szCs w:val="22"/>
        </w:rPr>
      </w:pPr>
      <w:r w:rsidRPr="00990FB6">
        <w:rPr>
          <w:iCs/>
          <w:spacing w:val="-3"/>
          <w:sz w:val="22"/>
          <w:szCs w:val="22"/>
        </w:rPr>
        <w:t xml:space="preserve">Divulgar por medio de una campaña de prensa, los diferentes aspectos relativos al uso del Sistema de Presupuestación Plurianual. </w:t>
      </w:r>
    </w:p>
    <w:p w14:paraId="12FBB88B" w14:textId="77777777" w:rsidR="00B15F7D" w:rsidRPr="00990FB6" w:rsidRDefault="00B15F7D" w:rsidP="00B15F7D">
      <w:pPr>
        <w:ind w:left="851" w:right="851" w:firstLine="709"/>
        <w:rPr>
          <w:sz w:val="22"/>
          <w:szCs w:val="22"/>
        </w:rPr>
      </w:pPr>
    </w:p>
    <w:p w14:paraId="5DE35BD9" w14:textId="77777777" w:rsidR="00B15F7D" w:rsidRPr="00990FB6" w:rsidRDefault="00B15F7D" w:rsidP="00B15F7D">
      <w:pPr>
        <w:keepNext/>
        <w:numPr>
          <w:ilvl w:val="0"/>
          <w:numId w:val="104"/>
        </w:numPr>
        <w:tabs>
          <w:tab w:val="num" w:pos="720"/>
        </w:tabs>
        <w:ind w:left="851" w:right="851" w:firstLine="709"/>
        <w:jc w:val="both"/>
        <w:rPr>
          <w:b/>
          <w:bCs/>
          <w:sz w:val="22"/>
          <w:szCs w:val="22"/>
          <w:u w:val="single"/>
        </w:rPr>
      </w:pPr>
      <w:bookmarkStart w:id="14" w:name="_Toc135990672"/>
      <w:r w:rsidRPr="00990FB6">
        <w:rPr>
          <w:b/>
          <w:bCs/>
          <w:sz w:val="22"/>
          <w:szCs w:val="22"/>
          <w:u w:val="single"/>
        </w:rPr>
        <w:t>Detalle de las observaciones recibidas</w:t>
      </w:r>
      <w:bookmarkEnd w:id="14"/>
    </w:p>
    <w:p w14:paraId="76478C3D" w14:textId="77777777" w:rsidR="00B15F7D" w:rsidRPr="00990FB6" w:rsidRDefault="00B15F7D" w:rsidP="00B15F7D">
      <w:pPr>
        <w:ind w:left="851" w:right="851" w:firstLine="709"/>
        <w:rPr>
          <w:sz w:val="22"/>
          <w:szCs w:val="22"/>
        </w:rPr>
      </w:pPr>
    </w:p>
    <w:p w14:paraId="31DBFC64" w14:textId="77777777" w:rsidR="00B15F7D" w:rsidRPr="00990FB6" w:rsidRDefault="00B15F7D" w:rsidP="00B15F7D">
      <w:pPr>
        <w:ind w:left="851" w:right="851" w:firstLine="709"/>
        <w:jc w:val="both"/>
        <w:rPr>
          <w:sz w:val="22"/>
          <w:szCs w:val="22"/>
        </w:rPr>
      </w:pPr>
      <w:r w:rsidRPr="00990FB6">
        <w:rPr>
          <w:sz w:val="22"/>
          <w:szCs w:val="22"/>
        </w:rPr>
        <w:t xml:space="preserve">Tal como se había mencionado previamente, la propuesta preliminar de este informe fue puesta en consulta mediante el oficio 758-PLA-PP-2022, del 30 de agosto de 2022 y como respuesta se recibió el oficio 2335-DTI-2022 y 3003-DE-2022, suscrito por la Máster Kattia Morales Navarro, Directora de Tecnología de Información y Comunicaciones y la Máster Ana Eugenia Romero Jenkins, Directora Ejecutiva, en ese orden respectivamente. Además, de la respuesta enviada el 05 de setiembre anterior vía correo electrónico por parte del Lic. David Madrigal Robles, de </w:t>
      </w:r>
      <w:r w:rsidRPr="00990FB6">
        <w:rPr>
          <w:sz w:val="22"/>
          <w:szCs w:val="22"/>
        </w:rPr>
        <w:lastRenderedPageBreak/>
        <w:t>la Dirección de Gestión Humana. A continuación, se detalla la respuesta a cada una de las observaciones realizadas en el citado oficio.</w:t>
      </w:r>
    </w:p>
    <w:p w14:paraId="5F6E6876" w14:textId="77777777" w:rsidR="00B15F7D" w:rsidRPr="00990FB6" w:rsidRDefault="00B15F7D" w:rsidP="00B15F7D">
      <w:pPr>
        <w:rPr>
          <w:sz w:val="22"/>
          <w:szCs w:val="22"/>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2834"/>
        <w:gridCol w:w="3402"/>
        <w:gridCol w:w="3544"/>
      </w:tblGrid>
      <w:tr w:rsidR="00B15F7D" w:rsidRPr="00990FB6" w14:paraId="2C6C5F08" w14:textId="77777777" w:rsidTr="000A0C22">
        <w:trPr>
          <w:trHeight w:val="255"/>
          <w:tblHeader/>
          <w:jc w:val="center"/>
        </w:trPr>
        <w:tc>
          <w:tcPr>
            <w:tcW w:w="563" w:type="dxa"/>
            <w:shd w:val="clear" w:color="auto" w:fill="1F4E79"/>
            <w:vAlign w:val="center"/>
          </w:tcPr>
          <w:p w14:paraId="29AA526E" w14:textId="77777777" w:rsidR="00B15F7D" w:rsidRPr="00990FB6" w:rsidRDefault="00B15F7D" w:rsidP="00B15F7D">
            <w:pPr>
              <w:widowControl w:val="0"/>
              <w:autoSpaceDE w:val="0"/>
              <w:autoSpaceDN w:val="0"/>
              <w:adjustRightInd w:val="0"/>
              <w:jc w:val="center"/>
              <w:rPr>
                <w:b/>
                <w:bCs/>
                <w:color w:val="FFFFFF"/>
                <w:sz w:val="22"/>
                <w:szCs w:val="22"/>
              </w:rPr>
            </w:pPr>
            <w:proofErr w:type="spellStart"/>
            <w:r w:rsidRPr="00990FB6">
              <w:rPr>
                <w:b/>
                <w:bCs/>
                <w:color w:val="FFFFFF"/>
                <w:sz w:val="22"/>
                <w:szCs w:val="22"/>
              </w:rPr>
              <w:t>N°</w:t>
            </w:r>
            <w:proofErr w:type="spellEnd"/>
          </w:p>
        </w:tc>
        <w:tc>
          <w:tcPr>
            <w:tcW w:w="2834" w:type="dxa"/>
            <w:shd w:val="clear" w:color="auto" w:fill="1F4E79"/>
            <w:vAlign w:val="center"/>
          </w:tcPr>
          <w:p w14:paraId="06291E75" w14:textId="77777777" w:rsidR="00B15F7D" w:rsidRPr="00990FB6" w:rsidRDefault="00B15F7D" w:rsidP="00B15F7D">
            <w:pPr>
              <w:widowControl w:val="0"/>
              <w:autoSpaceDE w:val="0"/>
              <w:autoSpaceDN w:val="0"/>
              <w:adjustRightInd w:val="0"/>
              <w:jc w:val="center"/>
              <w:rPr>
                <w:b/>
                <w:bCs/>
                <w:color w:val="FFFFFF"/>
                <w:sz w:val="22"/>
                <w:szCs w:val="22"/>
              </w:rPr>
            </w:pPr>
            <w:r w:rsidRPr="00990FB6">
              <w:rPr>
                <w:b/>
                <w:bCs/>
                <w:color w:val="FFFFFF"/>
                <w:sz w:val="22"/>
                <w:szCs w:val="22"/>
              </w:rPr>
              <w:t>Apartado específico</w:t>
            </w:r>
          </w:p>
        </w:tc>
        <w:tc>
          <w:tcPr>
            <w:tcW w:w="3402" w:type="dxa"/>
            <w:shd w:val="clear" w:color="auto" w:fill="1F4E79"/>
            <w:vAlign w:val="center"/>
          </w:tcPr>
          <w:p w14:paraId="72820F78" w14:textId="77777777" w:rsidR="00B15F7D" w:rsidRPr="00990FB6" w:rsidRDefault="00B15F7D" w:rsidP="00B15F7D">
            <w:pPr>
              <w:widowControl w:val="0"/>
              <w:autoSpaceDE w:val="0"/>
              <w:autoSpaceDN w:val="0"/>
              <w:adjustRightInd w:val="0"/>
              <w:jc w:val="center"/>
              <w:rPr>
                <w:b/>
                <w:bCs/>
                <w:color w:val="FFFFFF"/>
                <w:sz w:val="22"/>
                <w:szCs w:val="22"/>
              </w:rPr>
            </w:pPr>
            <w:r w:rsidRPr="00990FB6">
              <w:rPr>
                <w:b/>
                <w:bCs/>
                <w:color w:val="FFFFFF"/>
                <w:sz w:val="22"/>
                <w:szCs w:val="22"/>
              </w:rPr>
              <w:t>Observación concreta de la Dirección Ejecutiva</w:t>
            </w:r>
          </w:p>
        </w:tc>
        <w:tc>
          <w:tcPr>
            <w:tcW w:w="3544" w:type="dxa"/>
            <w:shd w:val="clear" w:color="auto" w:fill="1F4E79"/>
            <w:vAlign w:val="center"/>
          </w:tcPr>
          <w:p w14:paraId="02986BCE" w14:textId="77777777" w:rsidR="00B15F7D" w:rsidRPr="00990FB6" w:rsidRDefault="00B15F7D" w:rsidP="00B15F7D">
            <w:pPr>
              <w:widowControl w:val="0"/>
              <w:autoSpaceDE w:val="0"/>
              <w:autoSpaceDN w:val="0"/>
              <w:adjustRightInd w:val="0"/>
              <w:jc w:val="center"/>
              <w:rPr>
                <w:b/>
                <w:bCs/>
                <w:color w:val="FFFFFF"/>
                <w:sz w:val="22"/>
                <w:szCs w:val="22"/>
              </w:rPr>
            </w:pPr>
            <w:r w:rsidRPr="00990FB6">
              <w:rPr>
                <w:b/>
                <w:bCs/>
                <w:color w:val="FFFFFF"/>
                <w:sz w:val="22"/>
                <w:szCs w:val="22"/>
              </w:rPr>
              <w:t>Criterio Técnico de la Dirección de Planificación</w:t>
            </w:r>
          </w:p>
        </w:tc>
      </w:tr>
      <w:tr w:rsidR="00B15F7D" w:rsidRPr="00990FB6" w14:paraId="4DAC58C2" w14:textId="77777777" w:rsidTr="000A0C22">
        <w:trPr>
          <w:trHeight w:val="242"/>
          <w:jc w:val="center"/>
        </w:trPr>
        <w:tc>
          <w:tcPr>
            <w:tcW w:w="563" w:type="dxa"/>
            <w:vAlign w:val="center"/>
          </w:tcPr>
          <w:p w14:paraId="54867B4B"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1</w:t>
            </w:r>
          </w:p>
        </w:tc>
        <w:tc>
          <w:tcPr>
            <w:tcW w:w="2834" w:type="dxa"/>
            <w:vAlign w:val="center"/>
          </w:tcPr>
          <w:p w14:paraId="4634BE5E"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7077F8FB" w14:textId="77777777" w:rsidR="00B15F7D" w:rsidRPr="00990FB6" w:rsidRDefault="00B15F7D" w:rsidP="00B15F7D">
            <w:pPr>
              <w:jc w:val="both"/>
              <w:rPr>
                <w:sz w:val="22"/>
                <w:szCs w:val="22"/>
              </w:rPr>
            </w:pPr>
            <w:r w:rsidRPr="00990FB6">
              <w:rPr>
                <w:sz w:val="22"/>
                <w:szCs w:val="22"/>
              </w:rPr>
              <w:t>Indica la Máster Morales Navarro respecto al plazo planteado para la proyección plurianual del presupuesto, lo siguiente: “</w:t>
            </w:r>
            <w:r w:rsidRPr="00990FB6">
              <w:rPr>
                <w:i/>
                <w:iCs/>
                <w:sz w:val="22"/>
                <w:szCs w:val="22"/>
              </w:rPr>
              <w:t>luego del análisis con las áreas encargadas de estas revisiones, se llega a la conclusión de que quince días son insuficientes para el acompañamiento, análisis y responsabilidad que implica la formulación de todo lo que se refiere a tecnología</w:t>
            </w:r>
            <w:r w:rsidRPr="00990FB6">
              <w:rPr>
                <w:sz w:val="22"/>
                <w:szCs w:val="22"/>
              </w:rPr>
              <w:t>”.</w:t>
            </w:r>
          </w:p>
          <w:bookmarkStart w:id="15" w:name="_MON_1724223759"/>
          <w:bookmarkEnd w:id="15"/>
          <w:p w14:paraId="4597B769" w14:textId="77777777" w:rsidR="00B15F7D" w:rsidRPr="00990FB6" w:rsidRDefault="00B15F7D" w:rsidP="00B15F7D">
            <w:pPr>
              <w:jc w:val="center"/>
              <w:rPr>
                <w:sz w:val="22"/>
                <w:szCs w:val="22"/>
              </w:rPr>
            </w:pPr>
            <w:r w:rsidRPr="00990FB6">
              <w:rPr>
                <w:sz w:val="22"/>
                <w:szCs w:val="22"/>
              </w:rPr>
              <w:object w:dxaOrig="1508" w:dyaOrig="983" w14:anchorId="7BD33E0C">
                <v:shape id="_x0000_i1031" type="#_x0000_t75" style="width:77.5pt;height:49pt" o:ole="">
                  <v:imagedata r:id="rId22" o:title=""/>
                </v:shape>
                <o:OLEObject Type="Embed" ProgID="Word.Document.12" ShapeID="_x0000_i1031" DrawAspect="Icon" ObjectID="_1748679159" r:id="rId23">
                  <o:FieldCodes>\s</o:FieldCodes>
                </o:OLEObject>
              </w:object>
            </w:r>
          </w:p>
        </w:tc>
        <w:tc>
          <w:tcPr>
            <w:tcW w:w="3544" w:type="dxa"/>
            <w:vAlign w:val="center"/>
          </w:tcPr>
          <w:p w14:paraId="6864054B"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Considerando que el Sistema de Proyección Plurianual se encuentra actualmente en proceso de desarrollo de mejoras y funcionalidades que permitirán un uso más integrado de todo el proceso de presupuestación, se delimita la realización del proceso de proyección plurianual del presupuesto institucional, exclusivamente a proyectos catalogados como estratégicos en el MS Project Online.</w:t>
            </w:r>
          </w:p>
          <w:p w14:paraId="602BF964" w14:textId="77777777" w:rsidR="00B15F7D" w:rsidRPr="00990FB6" w:rsidRDefault="00B15F7D" w:rsidP="00B15F7D">
            <w:pPr>
              <w:widowControl w:val="0"/>
              <w:autoSpaceDE w:val="0"/>
              <w:autoSpaceDN w:val="0"/>
              <w:adjustRightInd w:val="0"/>
              <w:jc w:val="both"/>
              <w:rPr>
                <w:sz w:val="22"/>
                <w:szCs w:val="22"/>
              </w:rPr>
            </w:pPr>
          </w:p>
          <w:p w14:paraId="120B67CB" w14:textId="77777777" w:rsidR="00B15F7D" w:rsidRPr="00990FB6" w:rsidRDefault="00B15F7D" w:rsidP="00B15F7D">
            <w:pPr>
              <w:widowControl w:val="0"/>
              <w:autoSpaceDE w:val="0"/>
              <w:autoSpaceDN w:val="0"/>
              <w:adjustRightInd w:val="0"/>
              <w:jc w:val="both"/>
              <w:rPr>
                <w:sz w:val="22"/>
                <w:szCs w:val="22"/>
              </w:rPr>
            </w:pPr>
          </w:p>
          <w:p w14:paraId="5A9990E4" w14:textId="77777777" w:rsidR="00B15F7D" w:rsidRPr="00990FB6" w:rsidRDefault="00B15F7D" w:rsidP="00B15F7D">
            <w:pPr>
              <w:widowControl w:val="0"/>
              <w:autoSpaceDE w:val="0"/>
              <w:autoSpaceDN w:val="0"/>
              <w:adjustRightInd w:val="0"/>
              <w:jc w:val="both"/>
              <w:rPr>
                <w:sz w:val="22"/>
                <w:szCs w:val="22"/>
              </w:rPr>
            </w:pPr>
          </w:p>
          <w:p w14:paraId="505852DE" w14:textId="77777777" w:rsidR="00B15F7D" w:rsidRPr="00990FB6" w:rsidRDefault="00B15F7D" w:rsidP="00B15F7D">
            <w:pPr>
              <w:widowControl w:val="0"/>
              <w:autoSpaceDE w:val="0"/>
              <w:autoSpaceDN w:val="0"/>
              <w:adjustRightInd w:val="0"/>
              <w:jc w:val="both"/>
              <w:rPr>
                <w:sz w:val="22"/>
                <w:szCs w:val="22"/>
              </w:rPr>
            </w:pPr>
          </w:p>
          <w:p w14:paraId="676FF8E5" w14:textId="77777777" w:rsidR="00B15F7D" w:rsidRPr="00990FB6" w:rsidRDefault="00B15F7D" w:rsidP="00B15F7D">
            <w:pPr>
              <w:widowControl w:val="0"/>
              <w:autoSpaceDE w:val="0"/>
              <w:autoSpaceDN w:val="0"/>
              <w:adjustRightInd w:val="0"/>
              <w:jc w:val="both"/>
              <w:rPr>
                <w:sz w:val="22"/>
                <w:szCs w:val="22"/>
              </w:rPr>
            </w:pPr>
          </w:p>
        </w:tc>
      </w:tr>
      <w:tr w:rsidR="00B15F7D" w:rsidRPr="00990FB6" w14:paraId="50EEB86F" w14:textId="77777777" w:rsidTr="000A0C22">
        <w:trPr>
          <w:trHeight w:val="242"/>
          <w:jc w:val="center"/>
        </w:trPr>
        <w:tc>
          <w:tcPr>
            <w:tcW w:w="563" w:type="dxa"/>
            <w:vAlign w:val="center"/>
          </w:tcPr>
          <w:p w14:paraId="67D5F612"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2</w:t>
            </w:r>
          </w:p>
        </w:tc>
        <w:tc>
          <w:tcPr>
            <w:tcW w:w="2834" w:type="dxa"/>
            <w:vAlign w:val="center"/>
          </w:tcPr>
          <w:p w14:paraId="164E0A73" w14:textId="77777777" w:rsidR="00B15F7D" w:rsidRPr="00990FB6" w:rsidRDefault="00B15F7D" w:rsidP="00B15F7D">
            <w:pPr>
              <w:jc w:val="both"/>
              <w:rPr>
                <w:sz w:val="22"/>
                <w:szCs w:val="22"/>
              </w:rPr>
            </w:pPr>
            <w:r w:rsidRPr="00990FB6">
              <w:rPr>
                <w:sz w:val="22"/>
                <w:szCs w:val="22"/>
              </w:rPr>
              <w:t>1.2 Seguimiento de los recursos ejecutados relacionados con proyectos estratégicos</w:t>
            </w:r>
          </w:p>
        </w:tc>
        <w:tc>
          <w:tcPr>
            <w:tcW w:w="3402" w:type="dxa"/>
            <w:shd w:val="clear" w:color="auto" w:fill="auto"/>
            <w:vAlign w:val="center"/>
          </w:tcPr>
          <w:p w14:paraId="4AF3A58F" w14:textId="77777777" w:rsidR="00B15F7D" w:rsidRPr="00990FB6" w:rsidRDefault="00B15F7D" w:rsidP="00B15F7D">
            <w:pPr>
              <w:jc w:val="both"/>
              <w:rPr>
                <w:sz w:val="22"/>
                <w:szCs w:val="22"/>
              </w:rPr>
            </w:pPr>
            <w:r w:rsidRPr="00990FB6">
              <w:rPr>
                <w:sz w:val="22"/>
                <w:szCs w:val="22"/>
              </w:rPr>
              <w:t>Respecto a los señado en el oficio, en el apartado en cuestión, donde se indicó:</w:t>
            </w:r>
          </w:p>
          <w:p w14:paraId="0023393E" w14:textId="77777777" w:rsidR="00B15F7D" w:rsidRPr="00990FB6" w:rsidRDefault="00B15F7D" w:rsidP="00B15F7D">
            <w:pPr>
              <w:jc w:val="both"/>
              <w:rPr>
                <w:iCs/>
                <w:spacing w:val="-3"/>
                <w:sz w:val="22"/>
                <w:szCs w:val="22"/>
              </w:rPr>
            </w:pPr>
            <w:r w:rsidRPr="00990FB6">
              <w:rPr>
                <w:iCs/>
                <w:spacing w:val="-3"/>
                <w:sz w:val="22"/>
                <w:szCs w:val="22"/>
              </w:rPr>
              <w:t>“</w:t>
            </w:r>
            <w:r w:rsidRPr="00990FB6">
              <w:rPr>
                <w:i/>
                <w:spacing w:val="-3"/>
                <w:sz w:val="22"/>
                <w:szCs w:val="22"/>
              </w:rPr>
              <w:t>Así las cosas, el seguimiento de los recursos ejecutados de los proyectos se realiza en el Sistema de Proyección Plurianual, mientras que actualmente se encuentra en coordinación de la Dirección Ejecutiva y la Dirección de Planificación el desarrollo de funcionalidades en el SIGA-PJ y el Sistema de Proyección Plurianual, que permite realizar este proceso de manera automatizada.</w:t>
            </w:r>
            <w:r w:rsidRPr="00990FB6">
              <w:rPr>
                <w:iCs/>
                <w:spacing w:val="-3"/>
                <w:sz w:val="22"/>
                <w:szCs w:val="22"/>
              </w:rPr>
              <w:t>”</w:t>
            </w:r>
          </w:p>
          <w:p w14:paraId="6257AE47" w14:textId="77777777" w:rsidR="00B15F7D" w:rsidRPr="00990FB6" w:rsidRDefault="00B15F7D" w:rsidP="00B15F7D">
            <w:pPr>
              <w:jc w:val="both"/>
              <w:rPr>
                <w:sz w:val="22"/>
                <w:szCs w:val="22"/>
              </w:rPr>
            </w:pPr>
          </w:p>
          <w:p w14:paraId="58C5C0D2" w14:textId="77777777" w:rsidR="00B15F7D" w:rsidRPr="00990FB6" w:rsidRDefault="00B15F7D" w:rsidP="00B15F7D">
            <w:pPr>
              <w:jc w:val="both"/>
              <w:rPr>
                <w:sz w:val="22"/>
                <w:szCs w:val="22"/>
              </w:rPr>
            </w:pPr>
            <w:r w:rsidRPr="00990FB6">
              <w:rPr>
                <w:sz w:val="22"/>
                <w:szCs w:val="22"/>
              </w:rPr>
              <w:t>La Dirección de Tecnología de Información y Comunicaciones indicó:</w:t>
            </w:r>
          </w:p>
          <w:p w14:paraId="35831726" w14:textId="77777777" w:rsidR="00B15F7D" w:rsidRPr="00990FB6" w:rsidRDefault="00B15F7D" w:rsidP="00B15F7D">
            <w:pPr>
              <w:jc w:val="both"/>
              <w:rPr>
                <w:sz w:val="22"/>
                <w:szCs w:val="22"/>
              </w:rPr>
            </w:pPr>
            <w:r w:rsidRPr="00990FB6">
              <w:rPr>
                <w:sz w:val="22"/>
                <w:szCs w:val="22"/>
              </w:rPr>
              <w:t>Cabe aclarar que las mejoras en el SIGA-PJ se han estado analizando a la luz del proyecto de Hacienda Digital.</w:t>
            </w:r>
          </w:p>
          <w:p w14:paraId="011BE500" w14:textId="77777777" w:rsidR="00B15F7D" w:rsidRPr="00990FB6" w:rsidRDefault="00B15F7D" w:rsidP="00B15F7D">
            <w:pPr>
              <w:jc w:val="both"/>
              <w:rPr>
                <w:sz w:val="22"/>
                <w:szCs w:val="22"/>
              </w:rPr>
            </w:pPr>
          </w:p>
          <w:p w14:paraId="262CDC76" w14:textId="77777777" w:rsidR="00B15F7D" w:rsidRPr="00990FB6" w:rsidRDefault="00B15F7D" w:rsidP="00B15F7D">
            <w:pPr>
              <w:jc w:val="both"/>
              <w:rPr>
                <w:sz w:val="22"/>
                <w:szCs w:val="22"/>
              </w:rPr>
            </w:pPr>
          </w:p>
        </w:tc>
        <w:tc>
          <w:tcPr>
            <w:tcW w:w="3544" w:type="dxa"/>
            <w:vAlign w:val="center"/>
          </w:tcPr>
          <w:p w14:paraId="22125BD5"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Se toma nota de la aclaración.</w:t>
            </w:r>
          </w:p>
          <w:p w14:paraId="3559CBDD"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No modifica el contenido del oficio.</w:t>
            </w:r>
          </w:p>
        </w:tc>
      </w:tr>
      <w:tr w:rsidR="00B15F7D" w:rsidRPr="00990FB6" w14:paraId="620F2735" w14:textId="77777777" w:rsidTr="000A0C22">
        <w:trPr>
          <w:trHeight w:val="242"/>
          <w:jc w:val="center"/>
        </w:trPr>
        <w:tc>
          <w:tcPr>
            <w:tcW w:w="563" w:type="dxa"/>
            <w:vAlign w:val="center"/>
          </w:tcPr>
          <w:p w14:paraId="71266608"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lastRenderedPageBreak/>
              <w:t>3</w:t>
            </w:r>
          </w:p>
        </w:tc>
        <w:tc>
          <w:tcPr>
            <w:tcW w:w="2834" w:type="dxa"/>
            <w:vAlign w:val="center"/>
          </w:tcPr>
          <w:p w14:paraId="6925320C"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52FDDAFD" w14:textId="77777777" w:rsidR="00B15F7D" w:rsidRPr="00990FB6" w:rsidRDefault="00B15F7D" w:rsidP="00B15F7D">
            <w:pPr>
              <w:jc w:val="both"/>
              <w:rPr>
                <w:sz w:val="22"/>
                <w:szCs w:val="22"/>
              </w:rPr>
            </w:pPr>
            <w:r w:rsidRPr="00990FB6">
              <w:rPr>
                <w:sz w:val="22"/>
                <w:szCs w:val="22"/>
              </w:rPr>
              <w:t>Respecto a las siguientes actividades:</w:t>
            </w:r>
          </w:p>
          <w:p w14:paraId="6FC6F393" w14:textId="77777777" w:rsidR="00B15F7D" w:rsidRPr="00990FB6" w:rsidRDefault="00B15F7D" w:rsidP="00B15F7D">
            <w:pPr>
              <w:numPr>
                <w:ilvl w:val="0"/>
                <w:numId w:val="118"/>
              </w:numPr>
              <w:suppressAutoHyphens w:val="0"/>
              <w:jc w:val="both"/>
              <w:rPr>
                <w:sz w:val="22"/>
                <w:szCs w:val="22"/>
              </w:rPr>
            </w:pPr>
            <w:r w:rsidRPr="00990FB6">
              <w:rPr>
                <w:sz w:val="22"/>
                <w:szCs w:val="22"/>
              </w:rPr>
              <w:t>Solicitar copiar los permisos del 2023 al 2024 y ubicar todas las oficinas en el nivel 6 "Acceso Departamento de Planificación".</w:t>
            </w:r>
          </w:p>
          <w:p w14:paraId="3E7B3C2C" w14:textId="77777777" w:rsidR="00B15F7D" w:rsidRPr="00990FB6" w:rsidRDefault="00B15F7D" w:rsidP="00B15F7D">
            <w:pPr>
              <w:numPr>
                <w:ilvl w:val="0"/>
                <w:numId w:val="118"/>
              </w:numPr>
              <w:suppressAutoHyphens w:val="0"/>
              <w:jc w:val="both"/>
              <w:rPr>
                <w:sz w:val="22"/>
                <w:szCs w:val="22"/>
              </w:rPr>
            </w:pPr>
            <w:r w:rsidRPr="00990FB6">
              <w:rPr>
                <w:sz w:val="22"/>
                <w:szCs w:val="22"/>
              </w:rPr>
              <w:t>Actualización del Catálogo de Bienes y Servicios para todos los artículos activos, excepto para los que sean "precio cero".</w:t>
            </w:r>
          </w:p>
          <w:p w14:paraId="18C041DF" w14:textId="77777777" w:rsidR="00B15F7D" w:rsidRPr="00990FB6" w:rsidRDefault="00B15F7D" w:rsidP="00B15F7D">
            <w:pPr>
              <w:numPr>
                <w:ilvl w:val="0"/>
                <w:numId w:val="118"/>
              </w:numPr>
              <w:suppressAutoHyphens w:val="0"/>
              <w:jc w:val="both"/>
              <w:rPr>
                <w:sz w:val="22"/>
                <w:szCs w:val="22"/>
              </w:rPr>
            </w:pPr>
            <w:r w:rsidRPr="00990FB6">
              <w:rPr>
                <w:sz w:val="22"/>
                <w:szCs w:val="22"/>
              </w:rPr>
              <w:t>Actualizar los cuadros de consumo de las oficinas (revisión, artículos inactivos, despachos realizados en el SIM, actualización).</w:t>
            </w:r>
          </w:p>
          <w:p w14:paraId="22ABD258" w14:textId="77777777" w:rsidR="00B15F7D" w:rsidRPr="00990FB6" w:rsidRDefault="00B15F7D" w:rsidP="00B15F7D">
            <w:pPr>
              <w:numPr>
                <w:ilvl w:val="0"/>
                <w:numId w:val="118"/>
              </w:numPr>
              <w:suppressAutoHyphens w:val="0"/>
              <w:jc w:val="both"/>
              <w:rPr>
                <w:sz w:val="22"/>
                <w:szCs w:val="22"/>
              </w:rPr>
            </w:pPr>
            <w:r w:rsidRPr="00990FB6">
              <w:rPr>
                <w:sz w:val="22"/>
                <w:szCs w:val="22"/>
              </w:rPr>
              <w:t>Cargar la información de servicios públicos en las estructuras de formulación y verificar que se haya cargado correctamente.</w:t>
            </w:r>
          </w:p>
          <w:p w14:paraId="34B134A3" w14:textId="77777777" w:rsidR="00B15F7D" w:rsidRPr="00990FB6" w:rsidRDefault="00B15F7D" w:rsidP="00B15F7D">
            <w:pPr>
              <w:numPr>
                <w:ilvl w:val="0"/>
                <w:numId w:val="118"/>
              </w:numPr>
              <w:suppressAutoHyphens w:val="0"/>
              <w:jc w:val="both"/>
              <w:rPr>
                <w:sz w:val="22"/>
                <w:szCs w:val="22"/>
              </w:rPr>
            </w:pPr>
            <w:r w:rsidRPr="00990FB6">
              <w:rPr>
                <w:sz w:val="22"/>
                <w:szCs w:val="22"/>
              </w:rPr>
              <w:t>Ubicar todas las oficinas en el nivel 1 "Acceso por Oficina" para iniciar la formulación presupuestaria.</w:t>
            </w:r>
          </w:p>
          <w:p w14:paraId="0D3D33AD" w14:textId="77777777" w:rsidR="00B15F7D" w:rsidRPr="00990FB6" w:rsidRDefault="00B15F7D" w:rsidP="00B15F7D">
            <w:pPr>
              <w:numPr>
                <w:ilvl w:val="0"/>
                <w:numId w:val="118"/>
              </w:numPr>
              <w:suppressAutoHyphens w:val="0"/>
              <w:jc w:val="both"/>
              <w:rPr>
                <w:sz w:val="22"/>
                <w:szCs w:val="22"/>
              </w:rPr>
            </w:pPr>
            <w:r w:rsidRPr="00990FB6">
              <w:rPr>
                <w:sz w:val="22"/>
                <w:szCs w:val="22"/>
              </w:rPr>
              <w:t>Activar el proceso de actualización de precios.</w:t>
            </w:r>
          </w:p>
          <w:p w14:paraId="7FF41AE2" w14:textId="77777777" w:rsidR="00B15F7D" w:rsidRPr="00990FB6" w:rsidRDefault="00B15F7D" w:rsidP="00B15F7D">
            <w:pPr>
              <w:jc w:val="both"/>
              <w:rPr>
                <w:sz w:val="22"/>
                <w:szCs w:val="22"/>
              </w:rPr>
            </w:pPr>
          </w:p>
          <w:p w14:paraId="52B8424B" w14:textId="77777777" w:rsidR="00B15F7D" w:rsidRPr="00990FB6" w:rsidRDefault="00B15F7D" w:rsidP="00B15F7D">
            <w:pPr>
              <w:jc w:val="both"/>
              <w:rPr>
                <w:sz w:val="22"/>
                <w:szCs w:val="22"/>
              </w:rPr>
            </w:pPr>
            <w:r w:rsidRPr="00990FB6">
              <w:rPr>
                <w:sz w:val="22"/>
                <w:szCs w:val="22"/>
              </w:rPr>
              <w:t>La Dirección de Tecnología de Información y Comunicaciones indicó lo siguiente:</w:t>
            </w:r>
          </w:p>
          <w:p w14:paraId="01D40A32" w14:textId="77777777" w:rsidR="00B15F7D" w:rsidRPr="00990FB6" w:rsidRDefault="00B15F7D" w:rsidP="00B15F7D">
            <w:pPr>
              <w:jc w:val="both"/>
              <w:rPr>
                <w:sz w:val="22"/>
                <w:szCs w:val="22"/>
              </w:rPr>
            </w:pPr>
            <w:r w:rsidRPr="00990FB6">
              <w:rPr>
                <w:sz w:val="22"/>
                <w:szCs w:val="22"/>
              </w:rPr>
              <w:t>“</w:t>
            </w:r>
            <w:r w:rsidRPr="00990FB6">
              <w:rPr>
                <w:i/>
                <w:iCs/>
                <w:sz w:val="22"/>
                <w:szCs w:val="22"/>
              </w:rPr>
              <w:t xml:space="preserve">Para las labores indicadas, en las que debe participar la Dirección de Tecnología de Información y Comunicaciones, se debe incluir una nota, en la cual dicha dirección quedará a la espera que se registren en el GIS el detalle de los requerimientos de servicios, con lo que dicha dirección atenderá de </w:t>
            </w:r>
            <w:r w:rsidRPr="00990FB6">
              <w:rPr>
                <w:i/>
                <w:iCs/>
                <w:sz w:val="22"/>
                <w:szCs w:val="22"/>
              </w:rPr>
              <w:lastRenderedPageBreak/>
              <w:t>manera oportuna las solicitudes registradas.</w:t>
            </w:r>
            <w:r w:rsidRPr="00990FB6">
              <w:rPr>
                <w:sz w:val="22"/>
                <w:szCs w:val="22"/>
              </w:rPr>
              <w:t>”</w:t>
            </w:r>
          </w:p>
        </w:tc>
        <w:tc>
          <w:tcPr>
            <w:tcW w:w="3544" w:type="dxa"/>
            <w:vAlign w:val="center"/>
          </w:tcPr>
          <w:p w14:paraId="3E97D690" w14:textId="77777777" w:rsidR="00B15F7D" w:rsidRPr="00990FB6" w:rsidRDefault="00B15F7D" w:rsidP="00B15F7D">
            <w:pPr>
              <w:widowControl w:val="0"/>
              <w:autoSpaceDE w:val="0"/>
              <w:autoSpaceDN w:val="0"/>
              <w:adjustRightInd w:val="0"/>
              <w:jc w:val="both"/>
              <w:rPr>
                <w:sz w:val="22"/>
                <w:szCs w:val="22"/>
                <w:highlight w:val="yellow"/>
              </w:rPr>
            </w:pPr>
            <w:r w:rsidRPr="00990FB6">
              <w:rPr>
                <w:sz w:val="22"/>
                <w:szCs w:val="22"/>
              </w:rPr>
              <w:lastRenderedPageBreak/>
              <w:t>Se toma nota y se realiza los ajustes correspondientes.</w:t>
            </w:r>
          </w:p>
        </w:tc>
      </w:tr>
      <w:tr w:rsidR="00B15F7D" w:rsidRPr="00990FB6" w14:paraId="32916896" w14:textId="77777777" w:rsidTr="000A0C22">
        <w:trPr>
          <w:trHeight w:val="242"/>
          <w:jc w:val="center"/>
        </w:trPr>
        <w:tc>
          <w:tcPr>
            <w:tcW w:w="563" w:type="dxa"/>
            <w:vAlign w:val="center"/>
          </w:tcPr>
          <w:p w14:paraId="7A600560"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4</w:t>
            </w:r>
          </w:p>
        </w:tc>
        <w:tc>
          <w:tcPr>
            <w:tcW w:w="2834" w:type="dxa"/>
            <w:vAlign w:val="center"/>
          </w:tcPr>
          <w:p w14:paraId="50BB2E02" w14:textId="77777777" w:rsidR="00B15F7D" w:rsidRPr="00990FB6" w:rsidRDefault="00B15F7D" w:rsidP="00B15F7D">
            <w:pPr>
              <w:jc w:val="both"/>
              <w:rPr>
                <w:sz w:val="22"/>
                <w:szCs w:val="22"/>
              </w:rPr>
            </w:pPr>
            <w:r w:rsidRPr="00990FB6">
              <w:rPr>
                <w:sz w:val="22"/>
                <w:szCs w:val="22"/>
              </w:rPr>
              <w:t>2.1 Descripción de las Fases que contemplan las actividades previas a la Formulación Presupuestaria 2024</w:t>
            </w:r>
          </w:p>
        </w:tc>
        <w:tc>
          <w:tcPr>
            <w:tcW w:w="3402" w:type="dxa"/>
            <w:shd w:val="clear" w:color="auto" w:fill="auto"/>
            <w:vAlign w:val="center"/>
          </w:tcPr>
          <w:p w14:paraId="37E0DF90" w14:textId="77777777" w:rsidR="00B15F7D" w:rsidRPr="00990FB6" w:rsidRDefault="00B15F7D" w:rsidP="00B15F7D">
            <w:pPr>
              <w:jc w:val="both"/>
              <w:rPr>
                <w:sz w:val="22"/>
                <w:szCs w:val="22"/>
              </w:rPr>
            </w:pPr>
            <w:r w:rsidRPr="00990FB6">
              <w:rPr>
                <w:sz w:val="22"/>
                <w:szCs w:val="22"/>
              </w:rPr>
              <w:t>Originalmente se indicó respecto al tipo de iniciativas:</w:t>
            </w:r>
          </w:p>
          <w:p w14:paraId="48ED732D" w14:textId="77777777" w:rsidR="00B15F7D" w:rsidRPr="00990FB6" w:rsidRDefault="00B15F7D" w:rsidP="00B15F7D">
            <w:pPr>
              <w:jc w:val="both"/>
              <w:rPr>
                <w:sz w:val="22"/>
                <w:szCs w:val="22"/>
              </w:rPr>
            </w:pPr>
            <w:r w:rsidRPr="00990FB6">
              <w:rPr>
                <w:sz w:val="22"/>
                <w:szCs w:val="22"/>
              </w:rPr>
              <w:t>“</w:t>
            </w:r>
            <w:r w:rsidRPr="00990FB6">
              <w:rPr>
                <w:i/>
                <w:iCs/>
                <w:sz w:val="22"/>
                <w:szCs w:val="22"/>
              </w:rPr>
              <w:t>Iniciativas Operativas tipo 1: Corresponde a labores operativas de interés institucional a la que se le aplica el seguimiento mediante la metodología institucional de administración de proyectos debido a la asignación de permisos con goce de salario según el artículo 44 de la Ley Orgánica del Poder Judicial. Solo incorporarán lo correspondiente a permisos con goce de salario requerido para el 2023</w:t>
            </w:r>
            <w:r w:rsidRPr="00990FB6">
              <w:rPr>
                <w:sz w:val="22"/>
                <w:szCs w:val="22"/>
              </w:rPr>
              <w:t>.”</w:t>
            </w:r>
          </w:p>
          <w:p w14:paraId="58685359" w14:textId="77777777" w:rsidR="00B15F7D" w:rsidRPr="00990FB6" w:rsidRDefault="00B15F7D" w:rsidP="00B15F7D">
            <w:pPr>
              <w:jc w:val="both"/>
              <w:rPr>
                <w:sz w:val="22"/>
                <w:szCs w:val="22"/>
              </w:rPr>
            </w:pPr>
          </w:p>
          <w:p w14:paraId="35525A8B" w14:textId="77777777" w:rsidR="00B15F7D" w:rsidRPr="00990FB6" w:rsidRDefault="00B15F7D" w:rsidP="00B15F7D">
            <w:pPr>
              <w:jc w:val="both"/>
              <w:rPr>
                <w:sz w:val="22"/>
                <w:szCs w:val="22"/>
              </w:rPr>
            </w:pPr>
            <w:r w:rsidRPr="00990FB6">
              <w:rPr>
                <w:sz w:val="22"/>
                <w:szCs w:val="22"/>
              </w:rPr>
              <w:t>La Dirección de Tecnología de Información y Comunicaciones indicó:</w:t>
            </w:r>
          </w:p>
          <w:p w14:paraId="33685ED6" w14:textId="77777777" w:rsidR="00B15F7D" w:rsidRPr="00990FB6" w:rsidRDefault="00B15F7D" w:rsidP="00B15F7D">
            <w:pPr>
              <w:jc w:val="both"/>
              <w:rPr>
                <w:sz w:val="22"/>
                <w:szCs w:val="22"/>
              </w:rPr>
            </w:pPr>
            <w:r w:rsidRPr="00990FB6">
              <w:rPr>
                <w:sz w:val="22"/>
                <w:szCs w:val="22"/>
              </w:rPr>
              <w:t>“</w:t>
            </w:r>
            <w:r w:rsidRPr="00990FB6">
              <w:rPr>
                <w:i/>
                <w:iCs/>
                <w:sz w:val="22"/>
                <w:szCs w:val="22"/>
              </w:rPr>
              <w:t>Cómo se va a manejar los periodos para registrar la información del 2023 y 2024.</w:t>
            </w:r>
            <w:r w:rsidRPr="00990FB6">
              <w:rPr>
                <w:sz w:val="22"/>
                <w:szCs w:val="22"/>
              </w:rPr>
              <w:t>”</w:t>
            </w:r>
          </w:p>
        </w:tc>
        <w:tc>
          <w:tcPr>
            <w:tcW w:w="3544" w:type="dxa"/>
            <w:vAlign w:val="center"/>
          </w:tcPr>
          <w:p w14:paraId="460B1780" w14:textId="77777777" w:rsidR="00B15F7D" w:rsidRPr="00990FB6" w:rsidRDefault="00B15F7D" w:rsidP="00B15F7D">
            <w:pPr>
              <w:widowControl w:val="0"/>
              <w:autoSpaceDE w:val="0"/>
              <w:autoSpaceDN w:val="0"/>
              <w:adjustRightInd w:val="0"/>
              <w:jc w:val="both"/>
              <w:rPr>
                <w:sz w:val="22"/>
                <w:szCs w:val="22"/>
                <w:highlight w:val="yellow"/>
              </w:rPr>
            </w:pPr>
            <w:r w:rsidRPr="00990FB6">
              <w:rPr>
                <w:sz w:val="22"/>
                <w:szCs w:val="22"/>
              </w:rPr>
              <w:t>Siendo que se modificó el alcance del proceso de presupuestación plurianual, se excluyó lo relacionado con este tipo de iniciativas del portafolio institucional.</w:t>
            </w:r>
          </w:p>
        </w:tc>
      </w:tr>
      <w:tr w:rsidR="00B15F7D" w:rsidRPr="00990FB6" w14:paraId="5B011BFF" w14:textId="77777777" w:rsidTr="000A0C22">
        <w:trPr>
          <w:trHeight w:val="242"/>
          <w:jc w:val="center"/>
        </w:trPr>
        <w:tc>
          <w:tcPr>
            <w:tcW w:w="563" w:type="dxa"/>
            <w:vAlign w:val="center"/>
          </w:tcPr>
          <w:p w14:paraId="0F66093A"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5</w:t>
            </w:r>
          </w:p>
        </w:tc>
        <w:tc>
          <w:tcPr>
            <w:tcW w:w="2834" w:type="dxa"/>
            <w:vAlign w:val="center"/>
          </w:tcPr>
          <w:p w14:paraId="587CBB87"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4433127E" w14:textId="77777777" w:rsidR="00B15F7D" w:rsidRPr="00990FB6" w:rsidRDefault="00B15F7D" w:rsidP="00B15F7D">
            <w:pPr>
              <w:jc w:val="both"/>
              <w:rPr>
                <w:sz w:val="22"/>
                <w:szCs w:val="22"/>
              </w:rPr>
            </w:pPr>
            <w:r w:rsidRPr="00990FB6">
              <w:rPr>
                <w:sz w:val="22"/>
                <w:szCs w:val="22"/>
              </w:rPr>
              <w:t>La Dirección de Tecnología de Información y Comunicaciones indica que dentro del Cronograma de Actividades Previas del Presupuesto 2024 no se señala la fecha en que se realizará el volcado del Sistema de Preformulación a SIGA-PJ.</w:t>
            </w:r>
          </w:p>
        </w:tc>
        <w:tc>
          <w:tcPr>
            <w:tcW w:w="3544" w:type="dxa"/>
            <w:vAlign w:val="center"/>
          </w:tcPr>
          <w:p w14:paraId="76594D8D" w14:textId="77777777" w:rsidR="00B15F7D" w:rsidRPr="00990FB6" w:rsidRDefault="00B15F7D" w:rsidP="00B15F7D">
            <w:pPr>
              <w:widowControl w:val="0"/>
              <w:autoSpaceDE w:val="0"/>
              <w:autoSpaceDN w:val="0"/>
              <w:adjustRightInd w:val="0"/>
              <w:jc w:val="both"/>
              <w:rPr>
                <w:sz w:val="22"/>
                <w:szCs w:val="22"/>
                <w:highlight w:val="yellow"/>
              </w:rPr>
            </w:pPr>
            <w:r w:rsidRPr="00990FB6">
              <w:rPr>
                <w:sz w:val="22"/>
                <w:szCs w:val="22"/>
              </w:rPr>
              <w:t>Se toma nota y se realiza los ajustes correspondientes incluyendo la actividad dentro del cronograma.</w:t>
            </w:r>
          </w:p>
        </w:tc>
      </w:tr>
      <w:tr w:rsidR="00B15F7D" w:rsidRPr="00990FB6" w14:paraId="0045D4D3" w14:textId="77777777" w:rsidTr="000A0C22">
        <w:trPr>
          <w:trHeight w:val="242"/>
          <w:jc w:val="center"/>
        </w:trPr>
        <w:tc>
          <w:tcPr>
            <w:tcW w:w="563" w:type="dxa"/>
            <w:vAlign w:val="center"/>
          </w:tcPr>
          <w:p w14:paraId="549BF68D"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6</w:t>
            </w:r>
          </w:p>
        </w:tc>
        <w:tc>
          <w:tcPr>
            <w:tcW w:w="2834" w:type="dxa"/>
            <w:vAlign w:val="center"/>
          </w:tcPr>
          <w:p w14:paraId="7E4E7528"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22F17BFD" w14:textId="77777777" w:rsidR="00B15F7D" w:rsidRPr="00990FB6" w:rsidRDefault="00B15F7D" w:rsidP="00B15F7D">
            <w:pPr>
              <w:jc w:val="both"/>
              <w:rPr>
                <w:sz w:val="22"/>
                <w:szCs w:val="22"/>
              </w:rPr>
            </w:pPr>
            <w:r w:rsidRPr="00990FB6">
              <w:rPr>
                <w:sz w:val="22"/>
                <w:szCs w:val="22"/>
              </w:rPr>
              <w:t>Respecto a la actividad en la que se indicó originalmente: “</w:t>
            </w:r>
            <w:r w:rsidRPr="00990FB6">
              <w:rPr>
                <w:i/>
                <w:iCs/>
                <w:sz w:val="22"/>
                <w:szCs w:val="22"/>
              </w:rPr>
              <w:t>Proyectar recursos para iniciativas operativas tipo 2 (recursos partida 5 y 7 vinculados a proyectos)</w:t>
            </w:r>
            <w:r w:rsidRPr="00990FB6">
              <w:rPr>
                <w:sz w:val="22"/>
                <w:szCs w:val="22"/>
              </w:rPr>
              <w:t>”, señala la Dirección de Tecnología de Información y Comunicaciones que “</w:t>
            </w:r>
            <w:r w:rsidRPr="00990FB6">
              <w:rPr>
                <w:i/>
                <w:iCs/>
                <w:sz w:val="22"/>
                <w:szCs w:val="22"/>
              </w:rPr>
              <w:t>Se considera que el plazo es insuficiente para atender los requerimientos y actividades que conlleva</w:t>
            </w:r>
            <w:r w:rsidRPr="00990FB6">
              <w:rPr>
                <w:sz w:val="22"/>
                <w:szCs w:val="22"/>
              </w:rPr>
              <w:t>”.</w:t>
            </w:r>
          </w:p>
        </w:tc>
        <w:tc>
          <w:tcPr>
            <w:tcW w:w="3544" w:type="dxa"/>
            <w:vAlign w:val="center"/>
          </w:tcPr>
          <w:p w14:paraId="252E6783" w14:textId="77777777" w:rsidR="00B15F7D" w:rsidRPr="00990FB6" w:rsidRDefault="00B15F7D" w:rsidP="00B15F7D">
            <w:pPr>
              <w:widowControl w:val="0"/>
              <w:autoSpaceDE w:val="0"/>
              <w:autoSpaceDN w:val="0"/>
              <w:adjustRightInd w:val="0"/>
              <w:jc w:val="both"/>
              <w:rPr>
                <w:sz w:val="22"/>
                <w:szCs w:val="22"/>
                <w:highlight w:val="yellow"/>
              </w:rPr>
            </w:pPr>
            <w:r w:rsidRPr="00990FB6">
              <w:rPr>
                <w:sz w:val="22"/>
                <w:szCs w:val="22"/>
              </w:rPr>
              <w:t>Siendo que se modificó el alcance del proceso de presupuestación plurianual, se excluyó esta actividad del cronograma.</w:t>
            </w:r>
          </w:p>
        </w:tc>
      </w:tr>
      <w:tr w:rsidR="00B15F7D" w:rsidRPr="00990FB6" w14:paraId="236E2E55" w14:textId="77777777" w:rsidTr="000A0C22">
        <w:trPr>
          <w:trHeight w:val="242"/>
          <w:jc w:val="center"/>
        </w:trPr>
        <w:tc>
          <w:tcPr>
            <w:tcW w:w="563" w:type="dxa"/>
            <w:vAlign w:val="center"/>
          </w:tcPr>
          <w:p w14:paraId="12025A07"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lastRenderedPageBreak/>
              <w:t>7</w:t>
            </w:r>
          </w:p>
        </w:tc>
        <w:tc>
          <w:tcPr>
            <w:tcW w:w="2834" w:type="dxa"/>
            <w:vAlign w:val="center"/>
          </w:tcPr>
          <w:p w14:paraId="7F447AEF"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012D1A78" w14:textId="77777777" w:rsidR="00B15F7D" w:rsidRPr="00990FB6" w:rsidRDefault="00B15F7D" w:rsidP="00B15F7D">
            <w:pPr>
              <w:jc w:val="both"/>
              <w:rPr>
                <w:sz w:val="22"/>
                <w:szCs w:val="22"/>
              </w:rPr>
            </w:pPr>
            <w:r w:rsidRPr="00990FB6">
              <w:rPr>
                <w:sz w:val="22"/>
                <w:szCs w:val="22"/>
              </w:rPr>
              <w:t>Para la actividad “</w:t>
            </w:r>
            <w:r w:rsidRPr="00990FB6">
              <w:rPr>
                <w:i/>
                <w:iCs/>
                <w:sz w:val="22"/>
                <w:szCs w:val="22"/>
              </w:rPr>
              <w:t>Realizar la formulación presupuestaria de recursos del Área de Informática</w:t>
            </w:r>
            <w:r w:rsidRPr="00990FB6">
              <w:rPr>
                <w:sz w:val="22"/>
                <w:szCs w:val="22"/>
              </w:rPr>
              <w:t>”, se señaló que “</w:t>
            </w:r>
            <w:r w:rsidRPr="00990FB6">
              <w:rPr>
                <w:i/>
                <w:iCs/>
                <w:sz w:val="22"/>
                <w:szCs w:val="22"/>
              </w:rPr>
              <w:t>en los nombres de recursos se debe agregar Centros Gestores en general, tomando en cuenta que la formulación no solo la lleva a cabo DTIC</w:t>
            </w:r>
            <w:r w:rsidRPr="00990FB6">
              <w:rPr>
                <w:sz w:val="22"/>
                <w:szCs w:val="22"/>
              </w:rPr>
              <w:t>”.</w:t>
            </w:r>
          </w:p>
        </w:tc>
        <w:tc>
          <w:tcPr>
            <w:tcW w:w="3544" w:type="dxa"/>
            <w:vAlign w:val="center"/>
          </w:tcPr>
          <w:p w14:paraId="3A5D2C02" w14:textId="77777777" w:rsidR="00B15F7D" w:rsidRPr="00990FB6" w:rsidRDefault="00B15F7D" w:rsidP="00B15F7D">
            <w:pPr>
              <w:widowControl w:val="0"/>
              <w:autoSpaceDE w:val="0"/>
              <w:autoSpaceDN w:val="0"/>
              <w:adjustRightInd w:val="0"/>
              <w:jc w:val="both"/>
              <w:rPr>
                <w:sz w:val="22"/>
                <w:szCs w:val="22"/>
                <w:highlight w:val="yellow"/>
              </w:rPr>
            </w:pPr>
            <w:r w:rsidRPr="00990FB6">
              <w:rPr>
                <w:sz w:val="22"/>
                <w:szCs w:val="22"/>
              </w:rPr>
              <w:t>Se toma nota y se realiza los ajustes correspondientes.</w:t>
            </w:r>
          </w:p>
        </w:tc>
      </w:tr>
      <w:tr w:rsidR="00B15F7D" w:rsidRPr="00990FB6" w14:paraId="381A3103" w14:textId="77777777" w:rsidTr="000A0C22">
        <w:trPr>
          <w:trHeight w:val="242"/>
          <w:jc w:val="center"/>
        </w:trPr>
        <w:tc>
          <w:tcPr>
            <w:tcW w:w="563" w:type="dxa"/>
            <w:vAlign w:val="center"/>
          </w:tcPr>
          <w:p w14:paraId="54F43D82"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8</w:t>
            </w:r>
          </w:p>
        </w:tc>
        <w:tc>
          <w:tcPr>
            <w:tcW w:w="2834" w:type="dxa"/>
            <w:vAlign w:val="center"/>
          </w:tcPr>
          <w:p w14:paraId="38E87AC5"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49BAA98A" w14:textId="77777777" w:rsidR="00B15F7D" w:rsidRPr="00990FB6" w:rsidRDefault="00B15F7D" w:rsidP="00B15F7D">
            <w:pPr>
              <w:jc w:val="both"/>
              <w:rPr>
                <w:sz w:val="22"/>
                <w:szCs w:val="22"/>
              </w:rPr>
            </w:pPr>
            <w:r w:rsidRPr="00990FB6">
              <w:rPr>
                <w:sz w:val="22"/>
                <w:szCs w:val="22"/>
              </w:rPr>
              <w:t>Para la actividad “</w:t>
            </w:r>
            <w:r w:rsidRPr="00990FB6">
              <w:rPr>
                <w:i/>
                <w:iCs/>
                <w:sz w:val="22"/>
                <w:szCs w:val="22"/>
              </w:rPr>
              <w:t xml:space="preserve">Revisar la </w:t>
            </w:r>
            <w:proofErr w:type="spellStart"/>
            <w:r w:rsidRPr="00990FB6">
              <w:rPr>
                <w:i/>
                <w:iCs/>
                <w:sz w:val="22"/>
                <w:szCs w:val="22"/>
              </w:rPr>
              <w:t>preformulación</w:t>
            </w:r>
            <w:proofErr w:type="spellEnd"/>
            <w:r w:rsidRPr="00990FB6">
              <w:rPr>
                <w:i/>
                <w:iCs/>
                <w:sz w:val="22"/>
                <w:szCs w:val="22"/>
              </w:rPr>
              <w:t xml:space="preserve"> presupuestaria del Área de Informática</w:t>
            </w:r>
            <w:r w:rsidRPr="00990FB6">
              <w:rPr>
                <w:sz w:val="22"/>
                <w:szCs w:val="22"/>
              </w:rPr>
              <w:t>”, se señaló que “</w:t>
            </w:r>
            <w:r w:rsidRPr="00990FB6">
              <w:rPr>
                <w:i/>
                <w:iCs/>
                <w:sz w:val="22"/>
                <w:szCs w:val="22"/>
              </w:rPr>
              <w:t>en los nombres de recursos se debe agregar Dirección Ejecutiva, Ministerio Público, Defensa Pública, Administración OIJ, tomando en cuenta que este período es para estas revisiones previo a que ingrese a la DTIC.</w:t>
            </w:r>
            <w:r w:rsidRPr="00990FB6">
              <w:rPr>
                <w:sz w:val="22"/>
                <w:szCs w:val="22"/>
              </w:rPr>
              <w:t>”.</w:t>
            </w:r>
          </w:p>
        </w:tc>
        <w:tc>
          <w:tcPr>
            <w:tcW w:w="3544" w:type="dxa"/>
            <w:vAlign w:val="center"/>
          </w:tcPr>
          <w:p w14:paraId="1906E209" w14:textId="77777777" w:rsidR="00B15F7D" w:rsidRPr="00990FB6" w:rsidRDefault="00B15F7D" w:rsidP="00B15F7D">
            <w:pPr>
              <w:widowControl w:val="0"/>
              <w:autoSpaceDE w:val="0"/>
              <w:autoSpaceDN w:val="0"/>
              <w:adjustRightInd w:val="0"/>
              <w:jc w:val="both"/>
              <w:rPr>
                <w:sz w:val="22"/>
                <w:szCs w:val="22"/>
                <w:highlight w:val="yellow"/>
              </w:rPr>
            </w:pPr>
            <w:r w:rsidRPr="00990FB6">
              <w:rPr>
                <w:sz w:val="22"/>
                <w:szCs w:val="22"/>
              </w:rPr>
              <w:t>Se toma nota y se realiza los ajustes correspondientes.</w:t>
            </w:r>
          </w:p>
        </w:tc>
      </w:tr>
      <w:tr w:rsidR="00B15F7D" w:rsidRPr="00990FB6" w14:paraId="27176E6C" w14:textId="77777777" w:rsidTr="000A0C22">
        <w:trPr>
          <w:trHeight w:val="242"/>
          <w:jc w:val="center"/>
        </w:trPr>
        <w:tc>
          <w:tcPr>
            <w:tcW w:w="563" w:type="dxa"/>
            <w:vAlign w:val="center"/>
          </w:tcPr>
          <w:p w14:paraId="5FD70D57"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9</w:t>
            </w:r>
          </w:p>
        </w:tc>
        <w:tc>
          <w:tcPr>
            <w:tcW w:w="2834" w:type="dxa"/>
            <w:vAlign w:val="center"/>
          </w:tcPr>
          <w:p w14:paraId="5827A6DC" w14:textId="77777777" w:rsidR="00B15F7D" w:rsidRPr="00990FB6" w:rsidRDefault="00B15F7D" w:rsidP="00B15F7D">
            <w:pPr>
              <w:jc w:val="both"/>
              <w:rPr>
                <w:sz w:val="22"/>
                <w:szCs w:val="22"/>
              </w:rPr>
            </w:pPr>
            <w:r w:rsidRPr="00990FB6">
              <w:rPr>
                <w:sz w:val="22"/>
                <w:szCs w:val="22"/>
              </w:rPr>
              <w:t>2.3</w:t>
            </w:r>
            <w:r w:rsidRPr="00990FB6">
              <w:rPr>
                <w:sz w:val="22"/>
                <w:szCs w:val="22"/>
              </w:rPr>
              <w:tab/>
              <w:t>Responsabilidades de los diferentes actores</w:t>
            </w:r>
          </w:p>
        </w:tc>
        <w:tc>
          <w:tcPr>
            <w:tcW w:w="3402" w:type="dxa"/>
            <w:shd w:val="clear" w:color="auto" w:fill="auto"/>
            <w:vAlign w:val="center"/>
          </w:tcPr>
          <w:p w14:paraId="0439211D" w14:textId="77777777" w:rsidR="00B15F7D" w:rsidRPr="00990FB6" w:rsidRDefault="00B15F7D" w:rsidP="00B15F7D">
            <w:pPr>
              <w:jc w:val="both"/>
              <w:rPr>
                <w:sz w:val="22"/>
                <w:szCs w:val="22"/>
              </w:rPr>
            </w:pPr>
            <w:r w:rsidRPr="00990FB6">
              <w:rPr>
                <w:sz w:val="22"/>
                <w:szCs w:val="22"/>
              </w:rPr>
              <w:t>Se solicitó incorporar dentro de las responsabilidades de la Dirección Ejecutiva:</w:t>
            </w:r>
          </w:p>
          <w:p w14:paraId="1EB80B30" w14:textId="77777777" w:rsidR="00B15F7D" w:rsidRPr="00990FB6" w:rsidRDefault="00B15F7D" w:rsidP="00B15F7D">
            <w:pPr>
              <w:jc w:val="both"/>
              <w:rPr>
                <w:sz w:val="22"/>
                <w:szCs w:val="22"/>
              </w:rPr>
            </w:pPr>
          </w:p>
          <w:p w14:paraId="1591E604" w14:textId="77777777" w:rsidR="00B15F7D" w:rsidRPr="00990FB6" w:rsidRDefault="00B15F7D" w:rsidP="00B15F7D">
            <w:pPr>
              <w:jc w:val="both"/>
              <w:rPr>
                <w:sz w:val="22"/>
                <w:szCs w:val="22"/>
              </w:rPr>
            </w:pPr>
            <w:r w:rsidRPr="00990FB6">
              <w:rPr>
                <w:sz w:val="22"/>
                <w:szCs w:val="22"/>
              </w:rPr>
              <w:t>“</w:t>
            </w:r>
            <w:r w:rsidRPr="00990FB6">
              <w:rPr>
                <w:i/>
                <w:iCs/>
                <w:sz w:val="22"/>
                <w:szCs w:val="22"/>
              </w:rPr>
              <w:t xml:space="preserve">b) Revisar y aprobar la </w:t>
            </w:r>
            <w:proofErr w:type="spellStart"/>
            <w:r w:rsidRPr="00990FB6">
              <w:rPr>
                <w:i/>
                <w:iCs/>
                <w:sz w:val="22"/>
                <w:szCs w:val="22"/>
              </w:rPr>
              <w:t>preformulación</w:t>
            </w:r>
            <w:proofErr w:type="spellEnd"/>
            <w:r w:rsidRPr="00990FB6">
              <w:rPr>
                <w:i/>
                <w:iCs/>
                <w:sz w:val="22"/>
                <w:szCs w:val="22"/>
              </w:rPr>
              <w:t xml:space="preserve"> en el Área de Informática, realizada por las Administraciones Regionales y los Departamentos a su cargo para su posterior traslado a la Dirección de Tecnología de la Información y Comunicaciones.</w:t>
            </w:r>
            <w:r w:rsidRPr="00990FB6">
              <w:rPr>
                <w:sz w:val="22"/>
                <w:szCs w:val="22"/>
              </w:rPr>
              <w:t>”</w:t>
            </w:r>
          </w:p>
          <w:p w14:paraId="1931D610" w14:textId="77777777" w:rsidR="00B15F7D" w:rsidRPr="00990FB6" w:rsidRDefault="00B15F7D" w:rsidP="00B15F7D">
            <w:pPr>
              <w:jc w:val="both"/>
              <w:rPr>
                <w:sz w:val="22"/>
                <w:szCs w:val="22"/>
              </w:rPr>
            </w:pPr>
          </w:p>
          <w:p w14:paraId="27EDD68A" w14:textId="77777777" w:rsidR="00B15F7D" w:rsidRPr="00990FB6" w:rsidRDefault="00B15F7D" w:rsidP="00B15F7D">
            <w:pPr>
              <w:jc w:val="both"/>
              <w:rPr>
                <w:sz w:val="22"/>
                <w:szCs w:val="22"/>
              </w:rPr>
            </w:pPr>
            <w:r w:rsidRPr="00990FB6">
              <w:rPr>
                <w:sz w:val="22"/>
                <w:szCs w:val="22"/>
              </w:rPr>
              <w:t>A continuación, se adjunta el oficio 3003-DE-2022 remitido por la Dirección Ejecutiva:</w:t>
            </w:r>
          </w:p>
          <w:bookmarkStart w:id="16" w:name="_MON_1724223207"/>
          <w:bookmarkEnd w:id="16"/>
          <w:p w14:paraId="6A4C44D8" w14:textId="77777777" w:rsidR="00B15F7D" w:rsidRPr="00990FB6" w:rsidRDefault="00B15F7D" w:rsidP="00B15F7D">
            <w:pPr>
              <w:jc w:val="center"/>
              <w:rPr>
                <w:sz w:val="22"/>
                <w:szCs w:val="22"/>
              </w:rPr>
            </w:pPr>
            <w:r w:rsidRPr="00990FB6">
              <w:rPr>
                <w:sz w:val="22"/>
                <w:szCs w:val="22"/>
              </w:rPr>
              <w:object w:dxaOrig="1508" w:dyaOrig="983" w14:anchorId="7200449F">
                <v:shape id="_x0000_i1032" type="#_x0000_t75" style="width:76pt;height:49pt" o:ole="">
                  <v:imagedata r:id="rId24" o:title=""/>
                </v:shape>
                <o:OLEObject Type="Embed" ProgID="Word.Document.12" ShapeID="_x0000_i1032" DrawAspect="Icon" ObjectID="_1748679160" r:id="rId25">
                  <o:FieldCodes>\s</o:FieldCodes>
                </o:OLEObject>
              </w:object>
            </w:r>
          </w:p>
          <w:p w14:paraId="0AFA1513" w14:textId="77777777" w:rsidR="00B15F7D" w:rsidRPr="00990FB6" w:rsidRDefault="00B15F7D" w:rsidP="00B15F7D">
            <w:pPr>
              <w:jc w:val="center"/>
              <w:rPr>
                <w:sz w:val="22"/>
                <w:szCs w:val="22"/>
              </w:rPr>
            </w:pPr>
          </w:p>
        </w:tc>
        <w:tc>
          <w:tcPr>
            <w:tcW w:w="3544" w:type="dxa"/>
            <w:vAlign w:val="center"/>
          </w:tcPr>
          <w:p w14:paraId="37071E05"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Se toma nota y se realiza el ajuste correspondiente.</w:t>
            </w:r>
          </w:p>
        </w:tc>
      </w:tr>
      <w:tr w:rsidR="00B15F7D" w:rsidRPr="00990FB6" w14:paraId="327A5C21" w14:textId="77777777" w:rsidTr="000A0C22">
        <w:trPr>
          <w:trHeight w:val="242"/>
          <w:jc w:val="center"/>
        </w:trPr>
        <w:tc>
          <w:tcPr>
            <w:tcW w:w="563" w:type="dxa"/>
            <w:vAlign w:val="center"/>
          </w:tcPr>
          <w:p w14:paraId="48F3FF73"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10</w:t>
            </w:r>
          </w:p>
        </w:tc>
        <w:tc>
          <w:tcPr>
            <w:tcW w:w="2834" w:type="dxa"/>
            <w:vAlign w:val="center"/>
          </w:tcPr>
          <w:p w14:paraId="539BACED"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1645EB3F" w14:textId="77777777" w:rsidR="00B15F7D" w:rsidRPr="00990FB6" w:rsidRDefault="00B15F7D" w:rsidP="00B15F7D">
            <w:pPr>
              <w:jc w:val="both"/>
              <w:rPr>
                <w:sz w:val="22"/>
                <w:szCs w:val="22"/>
              </w:rPr>
            </w:pPr>
            <w:r w:rsidRPr="00990FB6">
              <w:rPr>
                <w:sz w:val="22"/>
                <w:szCs w:val="22"/>
              </w:rPr>
              <w:t>Para la actividad “2.1 Realizar la formulación presupuestaria de recursos del Área de Informática” del cronograma, se indicó:</w:t>
            </w:r>
          </w:p>
          <w:p w14:paraId="135E9FFD" w14:textId="77777777" w:rsidR="00B15F7D" w:rsidRPr="00990FB6" w:rsidRDefault="00B15F7D" w:rsidP="00B15F7D">
            <w:pPr>
              <w:jc w:val="both"/>
              <w:rPr>
                <w:sz w:val="22"/>
                <w:szCs w:val="22"/>
              </w:rPr>
            </w:pPr>
            <w:r w:rsidRPr="00990FB6">
              <w:rPr>
                <w:i/>
                <w:iCs/>
                <w:sz w:val="22"/>
                <w:szCs w:val="22"/>
              </w:rPr>
              <w:lastRenderedPageBreak/>
              <w:t>En la última columna se debe detallar que esta actividad le corresponde a las “oficinas, centros de responsabilidad y programas”</w:t>
            </w:r>
            <w:r w:rsidRPr="00990FB6">
              <w:rPr>
                <w:sz w:val="22"/>
                <w:szCs w:val="22"/>
              </w:rPr>
              <w:t>.</w:t>
            </w:r>
          </w:p>
        </w:tc>
        <w:tc>
          <w:tcPr>
            <w:tcW w:w="3544" w:type="dxa"/>
            <w:vAlign w:val="center"/>
          </w:tcPr>
          <w:p w14:paraId="302C670E"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lastRenderedPageBreak/>
              <w:t>Se toma nota y se realiza el ajuste correspondiente.</w:t>
            </w:r>
          </w:p>
        </w:tc>
      </w:tr>
      <w:tr w:rsidR="00B15F7D" w:rsidRPr="00990FB6" w14:paraId="7DEF4353" w14:textId="77777777" w:rsidTr="000A0C22">
        <w:trPr>
          <w:trHeight w:val="242"/>
          <w:jc w:val="center"/>
        </w:trPr>
        <w:tc>
          <w:tcPr>
            <w:tcW w:w="563" w:type="dxa"/>
            <w:vAlign w:val="center"/>
          </w:tcPr>
          <w:p w14:paraId="1B2D21E0"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11</w:t>
            </w:r>
          </w:p>
        </w:tc>
        <w:tc>
          <w:tcPr>
            <w:tcW w:w="2834" w:type="dxa"/>
            <w:vAlign w:val="center"/>
          </w:tcPr>
          <w:p w14:paraId="2D795795"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2321B45D" w14:textId="77777777" w:rsidR="00B15F7D" w:rsidRPr="00990FB6" w:rsidRDefault="00B15F7D" w:rsidP="00B15F7D">
            <w:pPr>
              <w:jc w:val="both"/>
              <w:rPr>
                <w:sz w:val="22"/>
                <w:szCs w:val="22"/>
              </w:rPr>
            </w:pPr>
            <w:r w:rsidRPr="00990FB6">
              <w:rPr>
                <w:sz w:val="22"/>
                <w:szCs w:val="22"/>
              </w:rPr>
              <w:t xml:space="preserve">Para la actividad “2.2 Revisar la </w:t>
            </w:r>
            <w:proofErr w:type="spellStart"/>
            <w:r w:rsidRPr="00990FB6">
              <w:rPr>
                <w:sz w:val="22"/>
                <w:szCs w:val="22"/>
              </w:rPr>
              <w:t>preformulación</w:t>
            </w:r>
            <w:proofErr w:type="spellEnd"/>
            <w:r w:rsidRPr="00990FB6">
              <w:rPr>
                <w:sz w:val="22"/>
                <w:szCs w:val="22"/>
              </w:rPr>
              <w:t xml:space="preserve"> presupuestaria del Área de Informática” del cronograma, se indicó:</w:t>
            </w:r>
          </w:p>
          <w:p w14:paraId="5F112754" w14:textId="77777777" w:rsidR="00B15F7D" w:rsidRPr="00990FB6" w:rsidRDefault="00B15F7D" w:rsidP="00B15F7D">
            <w:pPr>
              <w:jc w:val="both"/>
              <w:rPr>
                <w:i/>
                <w:iCs/>
                <w:sz w:val="22"/>
                <w:szCs w:val="22"/>
              </w:rPr>
            </w:pPr>
            <w:r w:rsidRPr="00990FB6">
              <w:rPr>
                <w:i/>
                <w:iCs/>
                <w:sz w:val="22"/>
                <w:szCs w:val="22"/>
              </w:rPr>
              <w:t xml:space="preserve">“Para esta actividad, la Dirección Ejecutiva también participa, siendo que, esta Dirección revisa y aprueba la </w:t>
            </w:r>
            <w:proofErr w:type="spellStart"/>
            <w:r w:rsidRPr="00990FB6">
              <w:rPr>
                <w:i/>
                <w:iCs/>
                <w:sz w:val="22"/>
                <w:szCs w:val="22"/>
              </w:rPr>
              <w:t>preformulación</w:t>
            </w:r>
            <w:proofErr w:type="spellEnd"/>
            <w:r w:rsidRPr="00990FB6">
              <w:rPr>
                <w:i/>
                <w:iCs/>
                <w:sz w:val="22"/>
                <w:szCs w:val="22"/>
              </w:rPr>
              <w:t xml:space="preserve"> en el Área de Informática, realizada por las Administraciones Regionales y los Departamentos a cargo para su posterior traslado a la DTIC.</w:t>
            </w:r>
          </w:p>
          <w:p w14:paraId="301EAFA9" w14:textId="77777777" w:rsidR="00B15F7D" w:rsidRPr="00990FB6" w:rsidRDefault="00B15F7D" w:rsidP="00B15F7D">
            <w:pPr>
              <w:jc w:val="both"/>
              <w:rPr>
                <w:sz w:val="22"/>
                <w:szCs w:val="22"/>
              </w:rPr>
            </w:pPr>
            <w:r w:rsidRPr="00990FB6">
              <w:rPr>
                <w:i/>
                <w:iCs/>
                <w:sz w:val="22"/>
                <w:szCs w:val="22"/>
              </w:rPr>
              <w:t>Para esta labor se requiere que se otorgue un plazo mínimo de 10 días hábiles, según la experiencia en procesos anteriores, por lo que se necesita se incluya la nueva actividad a cargo de la Dirección Ejecutiva con el plazo indicado</w:t>
            </w:r>
            <w:r w:rsidRPr="00990FB6">
              <w:rPr>
                <w:sz w:val="22"/>
                <w:szCs w:val="22"/>
              </w:rPr>
              <w:t>”.</w:t>
            </w:r>
          </w:p>
        </w:tc>
        <w:tc>
          <w:tcPr>
            <w:tcW w:w="3544" w:type="dxa"/>
            <w:vAlign w:val="center"/>
          </w:tcPr>
          <w:p w14:paraId="2445C0AF"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El cronograma, en la columna de “Nombre de los Recursos” contempla la participación de la Dirección Ejecutiva, por lo que dicha observación no modifica el detalle de esta actividad.</w:t>
            </w:r>
          </w:p>
          <w:p w14:paraId="22FDCEB2"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 xml:space="preserve">Respecto a la ampliación del plazo propuesto de la actividad “2.2 Revisar la </w:t>
            </w:r>
            <w:proofErr w:type="spellStart"/>
            <w:r w:rsidRPr="00990FB6">
              <w:rPr>
                <w:sz w:val="22"/>
                <w:szCs w:val="22"/>
              </w:rPr>
              <w:t>preformulación</w:t>
            </w:r>
            <w:proofErr w:type="spellEnd"/>
            <w:r w:rsidRPr="00990FB6">
              <w:rPr>
                <w:sz w:val="22"/>
                <w:szCs w:val="22"/>
              </w:rPr>
              <w:t xml:space="preserve"> presupuestaria del Área de Informática” quedó determinada para desarrollarse desde el 31 de octubre hasta el 11 de noviembre del 2022. </w:t>
            </w:r>
          </w:p>
        </w:tc>
      </w:tr>
      <w:tr w:rsidR="00B15F7D" w:rsidRPr="00990FB6" w14:paraId="50665BAF" w14:textId="77777777" w:rsidTr="000A0C22">
        <w:trPr>
          <w:trHeight w:val="242"/>
          <w:jc w:val="center"/>
        </w:trPr>
        <w:tc>
          <w:tcPr>
            <w:tcW w:w="563" w:type="dxa"/>
            <w:vAlign w:val="center"/>
          </w:tcPr>
          <w:p w14:paraId="5EF6BDFD"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12</w:t>
            </w:r>
          </w:p>
        </w:tc>
        <w:tc>
          <w:tcPr>
            <w:tcW w:w="2834" w:type="dxa"/>
            <w:vAlign w:val="center"/>
          </w:tcPr>
          <w:p w14:paraId="3AE3700C"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424E4DBB" w14:textId="77777777" w:rsidR="00B15F7D" w:rsidRPr="00990FB6" w:rsidRDefault="00B15F7D" w:rsidP="00B15F7D">
            <w:pPr>
              <w:jc w:val="both"/>
              <w:rPr>
                <w:sz w:val="22"/>
                <w:szCs w:val="22"/>
              </w:rPr>
            </w:pPr>
            <w:r w:rsidRPr="00990FB6">
              <w:rPr>
                <w:sz w:val="22"/>
                <w:szCs w:val="22"/>
              </w:rPr>
              <w:t>Para la actividad “2.4 Realizar la formulación presupuestaria de recursos de las Áreas de Construcciones, Seguridad y Vehículos.” del cronograma, se indicó:</w:t>
            </w:r>
          </w:p>
          <w:p w14:paraId="5108E2D0" w14:textId="77777777" w:rsidR="00B15F7D" w:rsidRPr="00990FB6" w:rsidRDefault="00B15F7D" w:rsidP="00B15F7D">
            <w:pPr>
              <w:jc w:val="both"/>
              <w:rPr>
                <w:sz w:val="22"/>
                <w:szCs w:val="22"/>
              </w:rPr>
            </w:pPr>
            <w:r w:rsidRPr="00990FB6">
              <w:rPr>
                <w:i/>
                <w:iCs/>
                <w:sz w:val="22"/>
                <w:szCs w:val="22"/>
              </w:rPr>
              <w:t>En la última columna se debe detallar que esta actividad le corresponde a las “Oficinas, centros de responsabilidad y programas”</w:t>
            </w:r>
            <w:r w:rsidRPr="00990FB6">
              <w:rPr>
                <w:sz w:val="22"/>
                <w:szCs w:val="22"/>
              </w:rPr>
              <w:t>.</w:t>
            </w:r>
          </w:p>
        </w:tc>
        <w:tc>
          <w:tcPr>
            <w:tcW w:w="3544" w:type="dxa"/>
            <w:vAlign w:val="center"/>
          </w:tcPr>
          <w:p w14:paraId="5CF22445"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Se toma nota y se realiza el ajuste correspondiente.</w:t>
            </w:r>
          </w:p>
        </w:tc>
      </w:tr>
      <w:tr w:rsidR="00B15F7D" w:rsidRPr="00990FB6" w14:paraId="31696E4B" w14:textId="77777777" w:rsidTr="000A0C22">
        <w:trPr>
          <w:trHeight w:val="242"/>
          <w:jc w:val="center"/>
        </w:trPr>
        <w:tc>
          <w:tcPr>
            <w:tcW w:w="563" w:type="dxa"/>
            <w:vAlign w:val="center"/>
          </w:tcPr>
          <w:p w14:paraId="01D822A4"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13</w:t>
            </w:r>
          </w:p>
        </w:tc>
        <w:tc>
          <w:tcPr>
            <w:tcW w:w="2834" w:type="dxa"/>
            <w:vAlign w:val="center"/>
          </w:tcPr>
          <w:p w14:paraId="5BB5ADCA" w14:textId="77777777" w:rsidR="00B15F7D" w:rsidRPr="00990FB6" w:rsidRDefault="00B15F7D" w:rsidP="00B15F7D">
            <w:pPr>
              <w:jc w:val="both"/>
              <w:rPr>
                <w:sz w:val="22"/>
                <w:szCs w:val="22"/>
              </w:rPr>
            </w:pPr>
            <w:r w:rsidRPr="00990FB6">
              <w:rPr>
                <w:sz w:val="22"/>
                <w:szCs w:val="22"/>
              </w:rPr>
              <w:t>2.2</w:t>
            </w:r>
            <w:r w:rsidRPr="00990FB6">
              <w:rPr>
                <w:sz w:val="22"/>
                <w:szCs w:val="22"/>
              </w:rPr>
              <w:tab/>
              <w:t>Propuesta de Cronograma de Actividades Previas a la Formulación Presupuestaria</w:t>
            </w:r>
          </w:p>
        </w:tc>
        <w:tc>
          <w:tcPr>
            <w:tcW w:w="3402" w:type="dxa"/>
            <w:shd w:val="clear" w:color="auto" w:fill="auto"/>
            <w:vAlign w:val="center"/>
          </w:tcPr>
          <w:p w14:paraId="63D911C6" w14:textId="77777777" w:rsidR="00B15F7D" w:rsidRPr="00990FB6" w:rsidRDefault="00B15F7D" w:rsidP="00B15F7D">
            <w:pPr>
              <w:jc w:val="both"/>
              <w:rPr>
                <w:sz w:val="22"/>
                <w:szCs w:val="22"/>
              </w:rPr>
            </w:pPr>
            <w:r w:rsidRPr="00990FB6">
              <w:rPr>
                <w:sz w:val="22"/>
                <w:szCs w:val="22"/>
              </w:rPr>
              <w:t xml:space="preserve">Para la actividad “2.5 Revisar la </w:t>
            </w:r>
            <w:proofErr w:type="spellStart"/>
            <w:r w:rsidRPr="00990FB6">
              <w:rPr>
                <w:sz w:val="22"/>
                <w:szCs w:val="22"/>
              </w:rPr>
              <w:t>preformulación</w:t>
            </w:r>
            <w:proofErr w:type="spellEnd"/>
            <w:r w:rsidRPr="00990FB6">
              <w:rPr>
                <w:sz w:val="22"/>
                <w:szCs w:val="22"/>
              </w:rPr>
              <w:t xml:space="preserve"> presupuestaria de las Áreas de Construcciones, Seguridad y Vehículos.” del cronograma, se indicó:</w:t>
            </w:r>
          </w:p>
          <w:p w14:paraId="198BBF49" w14:textId="77777777" w:rsidR="00B15F7D" w:rsidRPr="00990FB6" w:rsidRDefault="00B15F7D" w:rsidP="00B15F7D">
            <w:pPr>
              <w:jc w:val="both"/>
              <w:rPr>
                <w:i/>
                <w:iCs/>
                <w:sz w:val="22"/>
                <w:szCs w:val="22"/>
              </w:rPr>
            </w:pPr>
            <w:r w:rsidRPr="00990FB6">
              <w:rPr>
                <w:i/>
                <w:iCs/>
                <w:sz w:val="22"/>
                <w:szCs w:val="22"/>
              </w:rPr>
              <w:t xml:space="preserve">En la última columna se debe detallar que esta actividad le corresponde a la “Dirección Ejecutiva, Departamento de Seguridad, Departamento de </w:t>
            </w:r>
            <w:r w:rsidRPr="00990FB6">
              <w:rPr>
                <w:i/>
                <w:iCs/>
                <w:sz w:val="22"/>
                <w:szCs w:val="22"/>
              </w:rPr>
              <w:lastRenderedPageBreak/>
              <w:t>Servicios Generales y centros de responsabilidad”.</w:t>
            </w:r>
          </w:p>
        </w:tc>
        <w:tc>
          <w:tcPr>
            <w:tcW w:w="3544" w:type="dxa"/>
            <w:vAlign w:val="center"/>
          </w:tcPr>
          <w:p w14:paraId="21360BA5"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lastRenderedPageBreak/>
              <w:t>Se toma nota y se realiza el ajuste correspondiente.</w:t>
            </w:r>
          </w:p>
        </w:tc>
      </w:tr>
      <w:tr w:rsidR="00B15F7D" w:rsidRPr="00990FB6" w14:paraId="69EEA55B" w14:textId="77777777" w:rsidTr="000A0C22">
        <w:trPr>
          <w:trHeight w:val="242"/>
          <w:jc w:val="center"/>
        </w:trPr>
        <w:tc>
          <w:tcPr>
            <w:tcW w:w="563" w:type="dxa"/>
            <w:vAlign w:val="center"/>
          </w:tcPr>
          <w:p w14:paraId="34B8F350"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14</w:t>
            </w:r>
          </w:p>
        </w:tc>
        <w:tc>
          <w:tcPr>
            <w:tcW w:w="2834" w:type="dxa"/>
            <w:vAlign w:val="center"/>
          </w:tcPr>
          <w:p w14:paraId="365B0327" w14:textId="77777777" w:rsidR="00B15F7D" w:rsidRPr="00990FB6" w:rsidRDefault="00B15F7D" w:rsidP="00B15F7D">
            <w:pPr>
              <w:jc w:val="both"/>
              <w:rPr>
                <w:sz w:val="22"/>
                <w:szCs w:val="22"/>
              </w:rPr>
            </w:pPr>
            <w:r w:rsidRPr="00990FB6">
              <w:rPr>
                <w:sz w:val="22"/>
                <w:szCs w:val="22"/>
              </w:rPr>
              <w:t>4. Recomendaciones</w:t>
            </w:r>
          </w:p>
        </w:tc>
        <w:tc>
          <w:tcPr>
            <w:tcW w:w="3402" w:type="dxa"/>
            <w:shd w:val="clear" w:color="auto" w:fill="auto"/>
            <w:vAlign w:val="center"/>
          </w:tcPr>
          <w:p w14:paraId="5C94C6C2" w14:textId="77777777" w:rsidR="00B15F7D" w:rsidRPr="00990FB6" w:rsidRDefault="00B15F7D" w:rsidP="00B15F7D">
            <w:pPr>
              <w:jc w:val="both"/>
              <w:rPr>
                <w:sz w:val="22"/>
                <w:szCs w:val="22"/>
              </w:rPr>
            </w:pPr>
            <w:r w:rsidRPr="00990FB6">
              <w:rPr>
                <w:sz w:val="22"/>
                <w:szCs w:val="22"/>
              </w:rPr>
              <w:t>Para el apartado de recomendaciones se hicieron las siguientes observaciones:</w:t>
            </w:r>
          </w:p>
          <w:p w14:paraId="5299E747" w14:textId="77777777" w:rsidR="00B15F7D" w:rsidRPr="00990FB6" w:rsidRDefault="00B15F7D" w:rsidP="00B15F7D">
            <w:pPr>
              <w:jc w:val="both"/>
              <w:rPr>
                <w:i/>
                <w:iCs/>
                <w:sz w:val="22"/>
                <w:szCs w:val="22"/>
              </w:rPr>
            </w:pPr>
            <w:r w:rsidRPr="00990FB6">
              <w:rPr>
                <w:sz w:val="22"/>
                <w:szCs w:val="22"/>
              </w:rPr>
              <w:t>“Favor separar las recomendaciones. Le corresponde a ambas Direcciones el “</w:t>
            </w:r>
            <w:r w:rsidRPr="00990FB6">
              <w:rPr>
                <w:i/>
                <w:iCs/>
                <w:sz w:val="22"/>
                <w:szCs w:val="22"/>
              </w:rPr>
              <w:t xml:space="preserve">Cumplir con los plazos establecidos en el Cronograma detallado de las fases previas al inicio de la formulación del anteproyecto de presupuesto 2024.” Sin embargo, si bien esta Dirección Ejecutiva revisa y aprueba la </w:t>
            </w:r>
            <w:proofErr w:type="spellStart"/>
            <w:r w:rsidRPr="00990FB6">
              <w:rPr>
                <w:i/>
                <w:iCs/>
                <w:sz w:val="22"/>
                <w:szCs w:val="22"/>
              </w:rPr>
              <w:t>preformulación</w:t>
            </w:r>
            <w:proofErr w:type="spellEnd"/>
            <w:r w:rsidRPr="00990FB6">
              <w:rPr>
                <w:i/>
                <w:iCs/>
                <w:sz w:val="22"/>
                <w:szCs w:val="22"/>
              </w:rPr>
              <w:t xml:space="preserve"> en el Área de Informática, realizada por las Administraciones Regionales y los Departamentos a cargo para su posterior traslado a la DTIC, la coordinación del desarrollo y consolidación final le corresponde a la Dirección de Tecnología de Información y Comunicaciones. </w:t>
            </w:r>
          </w:p>
          <w:p w14:paraId="754A70B9" w14:textId="77777777" w:rsidR="00B15F7D" w:rsidRPr="00990FB6" w:rsidRDefault="00B15F7D" w:rsidP="00B15F7D">
            <w:pPr>
              <w:jc w:val="both"/>
              <w:rPr>
                <w:sz w:val="22"/>
                <w:szCs w:val="22"/>
              </w:rPr>
            </w:pPr>
          </w:p>
          <w:p w14:paraId="43D3528E" w14:textId="77777777" w:rsidR="00B15F7D" w:rsidRPr="00990FB6" w:rsidRDefault="00B15F7D" w:rsidP="00B15F7D">
            <w:pPr>
              <w:jc w:val="both"/>
              <w:rPr>
                <w:i/>
                <w:iCs/>
                <w:sz w:val="22"/>
                <w:szCs w:val="22"/>
              </w:rPr>
            </w:pPr>
            <w:r w:rsidRPr="00990FB6">
              <w:rPr>
                <w:sz w:val="22"/>
                <w:szCs w:val="22"/>
              </w:rPr>
              <w:t xml:space="preserve">Se debe agregar la siguiente recomendación para esta Dirección Ejecutiva: </w:t>
            </w:r>
            <w:r w:rsidRPr="00990FB6">
              <w:rPr>
                <w:i/>
                <w:iCs/>
                <w:sz w:val="22"/>
                <w:szCs w:val="22"/>
              </w:rPr>
              <w:t xml:space="preserve">“Coordinar el desarrollo de las actividades para la formulación de los recursos de las Áreas de Seguridad, Construcciones y Vehículos en el Sistema de Preformulación, dentro de los plazos establecidos en el Cronograma.” </w:t>
            </w:r>
          </w:p>
          <w:p w14:paraId="1D12FA6A" w14:textId="77777777" w:rsidR="00B15F7D" w:rsidRPr="00990FB6" w:rsidRDefault="00B15F7D" w:rsidP="00B15F7D">
            <w:pPr>
              <w:jc w:val="both"/>
              <w:rPr>
                <w:sz w:val="22"/>
                <w:szCs w:val="22"/>
              </w:rPr>
            </w:pPr>
            <w:r w:rsidRPr="00990FB6">
              <w:rPr>
                <w:i/>
                <w:iCs/>
                <w:sz w:val="22"/>
                <w:szCs w:val="22"/>
              </w:rPr>
              <w:t xml:space="preserve">Además de la siguiente: “Revisar y aprobar la </w:t>
            </w:r>
            <w:proofErr w:type="spellStart"/>
            <w:r w:rsidRPr="00990FB6">
              <w:rPr>
                <w:i/>
                <w:iCs/>
                <w:sz w:val="22"/>
                <w:szCs w:val="22"/>
              </w:rPr>
              <w:t>preformulación</w:t>
            </w:r>
            <w:proofErr w:type="spellEnd"/>
            <w:r w:rsidRPr="00990FB6">
              <w:rPr>
                <w:i/>
                <w:iCs/>
                <w:sz w:val="22"/>
                <w:szCs w:val="22"/>
              </w:rPr>
              <w:t xml:space="preserve"> de los recursos del Área de Informática, realizada por las Administraciones Regionales y los Departamentos a cargo para su posterior traslado a la Dirección de Tecnología de la Información y Comunicaciones, dentro de los plazos establecidos en el cronograma”.”</w:t>
            </w:r>
          </w:p>
          <w:p w14:paraId="7C1D6C67" w14:textId="77777777" w:rsidR="00B15F7D" w:rsidRPr="00990FB6" w:rsidRDefault="00B15F7D" w:rsidP="00B15F7D">
            <w:pPr>
              <w:jc w:val="both"/>
              <w:rPr>
                <w:sz w:val="22"/>
                <w:szCs w:val="22"/>
              </w:rPr>
            </w:pPr>
          </w:p>
        </w:tc>
        <w:tc>
          <w:tcPr>
            <w:tcW w:w="3544" w:type="dxa"/>
            <w:vAlign w:val="center"/>
          </w:tcPr>
          <w:p w14:paraId="0FD49897"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lastRenderedPageBreak/>
              <w:t>Se toma nota y se realiza el ajuste correspondiente.</w:t>
            </w:r>
          </w:p>
        </w:tc>
      </w:tr>
      <w:tr w:rsidR="00B15F7D" w:rsidRPr="00990FB6" w14:paraId="4DD07C91" w14:textId="77777777" w:rsidTr="000A0C22">
        <w:trPr>
          <w:trHeight w:val="242"/>
          <w:jc w:val="center"/>
        </w:trPr>
        <w:tc>
          <w:tcPr>
            <w:tcW w:w="563" w:type="dxa"/>
            <w:vAlign w:val="center"/>
          </w:tcPr>
          <w:p w14:paraId="034A7F5C" w14:textId="77777777" w:rsidR="00B15F7D" w:rsidRPr="00990FB6" w:rsidRDefault="00B15F7D" w:rsidP="00B15F7D">
            <w:pPr>
              <w:widowControl w:val="0"/>
              <w:autoSpaceDE w:val="0"/>
              <w:autoSpaceDN w:val="0"/>
              <w:adjustRightInd w:val="0"/>
              <w:jc w:val="center"/>
              <w:rPr>
                <w:sz w:val="22"/>
                <w:szCs w:val="22"/>
              </w:rPr>
            </w:pPr>
            <w:r w:rsidRPr="00990FB6">
              <w:rPr>
                <w:sz w:val="22"/>
                <w:szCs w:val="22"/>
              </w:rPr>
              <w:t>15</w:t>
            </w:r>
          </w:p>
        </w:tc>
        <w:tc>
          <w:tcPr>
            <w:tcW w:w="2834" w:type="dxa"/>
            <w:vAlign w:val="center"/>
          </w:tcPr>
          <w:p w14:paraId="5C04A418" w14:textId="77777777" w:rsidR="00B15F7D" w:rsidRPr="00990FB6" w:rsidRDefault="00B15F7D" w:rsidP="00B15F7D">
            <w:pPr>
              <w:jc w:val="both"/>
              <w:rPr>
                <w:sz w:val="22"/>
                <w:szCs w:val="22"/>
              </w:rPr>
            </w:pPr>
            <w:r w:rsidRPr="00990FB6">
              <w:rPr>
                <w:sz w:val="22"/>
                <w:szCs w:val="22"/>
              </w:rPr>
              <w:t>No indica</w:t>
            </w:r>
          </w:p>
        </w:tc>
        <w:tc>
          <w:tcPr>
            <w:tcW w:w="3402" w:type="dxa"/>
            <w:shd w:val="clear" w:color="auto" w:fill="auto"/>
            <w:vAlign w:val="center"/>
          </w:tcPr>
          <w:p w14:paraId="391804FD" w14:textId="77777777" w:rsidR="00B15F7D" w:rsidRPr="00990FB6" w:rsidRDefault="00B15F7D" w:rsidP="00B15F7D">
            <w:pPr>
              <w:jc w:val="both"/>
              <w:rPr>
                <w:sz w:val="22"/>
                <w:szCs w:val="22"/>
              </w:rPr>
            </w:pPr>
            <w:r w:rsidRPr="00990FB6">
              <w:rPr>
                <w:sz w:val="22"/>
                <w:szCs w:val="22"/>
              </w:rPr>
              <w:t>EL Lic. David Madrigal Robles, Coordinador de Unidad 4 a.1. de la Unidad de Presupuesto y Estudios Especiales de la Dirección de Gestión Humana, vía correo electrónico del 01 de setiembre anterior, indicó que “</w:t>
            </w:r>
            <w:r w:rsidRPr="00990FB6">
              <w:rPr>
                <w:i/>
                <w:iCs/>
                <w:sz w:val="22"/>
                <w:szCs w:val="22"/>
              </w:rPr>
              <w:t>posteriormente a ser analizado el presente oficio en conjunto con la Dirección, no se identifican de momento observaciones que hacer al mismo; quedamos a la espera de contar con el “Documento de las Directrices Técnicas para la Programación y Formulación del Anteproyecto de Presupuesto 2024”, para analizar las actividades particulares correspondientes a esta dirección</w:t>
            </w:r>
            <w:r w:rsidRPr="00990FB6">
              <w:rPr>
                <w:sz w:val="22"/>
                <w:szCs w:val="22"/>
              </w:rPr>
              <w:t>”.</w:t>
            </w:r>
          </w:p>
          <w:p w14:paraId="69842756" w14:textId="77777777" w:rsidR="00B15F7D" w:rsidRPr="00990FB6" w:rsidRDefault="00B15F7D" w:rsidP="00B15F7D">
            <w:pPr>
              <w:jc w:val="center"/>
              <w:rPr>
                <w:sz w:val="22"/>
                <w:szCs w:val="22"/>
              </w:rPr>
            </w:pPr>
            <w:r w:rsidRPr="00990FB6">
              <w:rPr>
                <w:sz w:val="22"/>
                <w:szCs w:val="22"/>
              </w:rPr>
              <w:object w:dxaOrig="1508" w:dyaOrig="983" w14:anchorId="0F55881E">
                <v:shape id="_x0000_i1033" type="#_x0000_t75" style="width:76pt;height:49pt" o:ole="">
                  <v:imagedata r:id="rId26" o:title=""/>
                </v:shape>
                <o:OLEObject Type="Embed" ProgID="Package" ShapeID="_x0000_i1033" DrawAspect="Icon" ObjectID="_1748679161" r:id="rId27"/>
              </w:object>
            </w:r>
          </w:p>
        </w:tc>
        <w:tc>
          <w:tcPr>
            <w:tcW w:w="3544" w:type="dxa"/>
            <w:vAlign w:val="center"/>
          </w:tcPr>
          <w:p w14:paraId="0DE60EBF" w14:textId="77777777" w:rsidR="00B15F7D" w:rsidRPr="00990FB6" w:rsidRDefault="00B15F7D" w:rsidP="00B15F7D">
            <w:pPr>
              <w:widowControl w:val="0"/>
              <w:autoSpaceDE w:val="0"/>
              <w:autoSpaceDN w:val="0"/>
              <w:adjustRightInd w:val="0"/>
              <w:jc w:val="both"/>
              <w:rPr>
                <w:sz w:val="22"/>
                <w:szCs w:val="22"/>
              </w:rPr>
            </w:pPr>
            <w:r w:rsidRPr="00990FB6">
              <w:rPr>
                <w:sz w:val="22"/>
                <w:szCs w:val="22"/>
              </w:rPr>
              <w:t>Se toma nota de lo señalado por la Dirección de Gestión Humana lo cual no modifica el documento.</w:t>
            </w:r>
          </w:p>
        </w:tc>
      </w:tr>
    </w:tbl>
    <w:p w14:paraId="5247B5F2" w14:textId="77777777" w:rsidR="00B15F7D" w:rsidRPr="00990FB6" w:rsidRDefault="00B15F7D" w:rsidP="00B15F7D">
      <w:pPr>
        <w:jc w:val="both"/>
        <w:rPr>
          <w:rFonts w:eastAsia="Batang"/>
          <w:bCs/>
          <w:iCs/>
          <w:color w:val="000000"/>
          <w:sz w:val="22"/>
          <w:szCs w:val="22"/>
        </w:rPr>
      </w:pPr>
      <w:r w:rsidRPr="00990FB6">
        <w:rPr>
          <w:rFonts w:eastAsia="Batang"/>
          <w:b/>
          <w:iCs/>
          <w:color w:val="000000"/>
          <w:sz w:val="22"/>
          <w:szCs w:val="22"/>
        </w:rPr>
        <w:t>Fuente:</w:t>
      </w:r>
      <w:r w:rsidRPr="00990FB6">
        <w:rPr>
          <w:rFonts w:eastAsia="Batang"/>
          <w:bCs/>
          <w:iCs/>
          <w:color w:val="000000"/>
          <w:sz w:val="22"/>
          <w:szCs w:val="22"/>
        </w:rPr>
        <w:t xml:space="preserve"> Elaboración propia con información remitida por la Dirección de Tecnología de Información y Comunicaciones en Oficio 2335-DTI-2022.</w:t>
      </w:r>
    </w:p>
    <w:p w14:paraId="241BD4A4" w14:textId="77777777" w:rsidR="00B15F7D" w:rsidRPr="00990FB6" w:rsidRDefault="00B15F7D" w:rsidP="00B15F7D">
      <w:pPr>
        <w:suppressAutoHyphens w:val="0"/>
        <w:ind w:firstLine="709"/>
        <w:jc w:val="both"/>
        <w:rPr>
          <w:bCs/>
          <w:sz w:val="22"/>
          <w:szCs w:val="22"/>
          <w:lang w:eastAsia="es-ES"/>
        </w:rPr>
      </w:pPr>
    </w:p>
    <w:p w14:paraId="5AB9553E" w14:textId="3D869E41" w:rsidR="00B15F7D" w:rsidRPr="00990FB6" w:rsidRDefault="00B15F7D" w:rsidP="00B15F7D">
      <w:pPr>
        <w:ind w:firstLine="709"/>
        <w:jc w:val="center"/>
        <w:rPr>
          <w:bCs/>
          <w:sz w:val="22"/>
          <w:szCs w:val="22"/>
          <w:lang w:val="es-CR"/>
        </w:rPr>
      </w:pPr>
      <w:r w:rsidRPr="00990FB6">
        <w:rPr>
          <w:bCs/>
          <w:sz w:val="22"/>
          <w:szCs w:val="22"/>
          <w:lang w:val="es-CR"/>
        </w:rPr>
        <w:t>-0-</w:t>
      </w:r>
    </w:p>
    <w:p w14:paraId="7071EEB0" w14:textId="77777777" w:rsidR="00B305D7" w:rsidRPr="00990FB6" w:rsidRDefault="00B305D7" w:rsidP="00B15F7D">
      <w:pPr>
        <w:ind w:firstLine="709"/>
        <w:jc w:val="center"/>
        <w:rPr>
          <w:bCs/>
          <w:sz w:val="22"/>
          <w:szCs w:val="22"/>
          <w:lang w:val="es-CR"/>
        </w:rPr>
      </w:pPr>
    </w:p>
    <w:p w14:paraId="1308182C" w14:textId="5DDED64A" w:rsidR="00B15F7D" w:rsidRPr="00990FB6" w:rsidRDefault="00B15F7D" w:rsidP="00B15F7D">
      <w:pPr>
        <w:ind w:firstLine="708"/>
        <w:jc w:val="both"/>
        <w:rPr>
          <w:bCs/>
          <w:sz w:val="22"/>
          <w:szCs w:val="22"/>
          <w:lang w:eastAsia="es-ES"/>
        </w:rPr>
      </w:pPr>
      <w:r w:rsidRPr="00990FB6">
        <w:rPr>
          <w:bCs/>
          <w:sz w:val="22"/>
          <w:szCs w:val="22"/>
          <w:lang w:eastAsia="es-ES"/>
        </w:rPr>
        <w:t xml:space="preserve">En sesión de Consejo Superior </w:t>
      </w:r>
      <w:proofErr w:type="spellStart"/>
      <w:r w:rsidRPr="00990FB6">
        <w:rPr>
          <w:bCs/>
          <w:sz w:val="22"/>
          <w:szCs w:val="22"/>
          <w:lang w:eastAsia="es-ES"/>
        </w:rPr>
        <w:t>N°</w:t>
      </w:r>
      <w:proofErr w:type="spellEnd"/>
      <w:r w:rsidRPr="00990FB6">
        <w:rPr>
          <w:bCs/>
          <w:sz w:val="22"/>
          <w:szCs w:val="22"/>
          <w:lang w:eastAsia="es-ES"/>
        </w:rPr>
        <w:t xml:space="preserve"> 30-2021 celebrada el 16 de abril del 2021, artículo XXI, en lo que interesa, dispuso aprobar el informe 390-PLA-RH-MI-2021, relacionado con los antecedentes y situación actual respecto a las plazas de Custodias y Custodios de personas detenidas.</w:t>
      </w:r>
    </w:p>
    <w:p w14:paraId="48CFB491" w14:textId="77777777" w:rsidR="00B305D7" w:rsidRPr="00990FB6" w:rsidRDefault="00B305D7" w:rsidP="00B15F7D">
      <w:pPr>
        <w:ind w:firstLine="708"/>
        <w:jc w:val="both"/>
        <w:rPr>
          <w:bCs/>
          <w:sz w:val="22"/>
          <w:szCs w:val="22"/>
          <w:lang w:eastAsia="es-ES"/>
        </w:rPr>
      </w:pPr>
    </w:p>
    <w:p w14:paraId="389411FF" w14:textId="634EF6CA" w:rsidR="00B15F7D" w:rsidRPr="00990FB6" w:rsidRDefault="00B15F7D" w:rsidP="00B15F7D">
      <w:pPr>
        <w:ind w:firstLine="709"/>
        <w:jc w:val="both"/>
        <w:rPr>
          <w:sz w:val="22"/>
          <w:szCs w:val="22"/>
        </w:rPr>
      </w:pPr>
      <w:r w:rsidRPr="00990FB6">
        <w:rPr>
          <w:sz w:val="22"/>
          <w:szCs w:val="22"/>
        </w:rPr>
        <w:t xml:space="preserve">En sesión de Consejo Superior </w:t>
      </w:r>
      <w:proofErr w:type="spellStart"/>
      <w:r w:rsidRPr="00990FB6">
        <w:rPr>
          <w:sz w:val="22"/>
          <w:szCs w:val="22"/>
        </w:rPr>
        <w:t>N°</w:t>
      </w:r>
      <w:proofErr w:type="spellEnd"/>
      <w:r w:rsidRPr="00990FB6">
        <w:rPr>
          <w:sz w:val="22"/>
          <w:szCs w:val="22"/>
        </w:rPr>
        <w:t xml:space="preserve"> 29-2022 celebrada el 01 de abril del 2022, artículo XV, se a</w:t>
      </w:r>
      <w:r w:rsidRPr="00990FB6">
        <w:rPr>
          <w:rFonts w:eastAsia="Calibri"/>
          <w:iCs/>
          <w:sz w:val="22"/>
          <w:szCs w:val="22"/>
        </w:rPr>
        <w:t xml:space="preserve">probó el informe </w:t>
      </w:r>
      <w:r w:rsidRPr="00990FB6">
        <w:rPr>
          <w:sz w:val="22"/>
          <w:szCs w:val="22"/>
          <w:lang w:eastAsia="es-ES"/>
        </w:rPr>
        <w:t>188-PLA-RH-MI-2022</w:t>
      </w:r>
      <w:r w:rsidRPr="00990FB6">
        <w:rPr>
          <w:sz w:val="22"/>
          <w:szCs w:val="22"/>
        </w:rPr>
        <w:t xml:space="preserve">, </w:t>
      </w:r>
      <w:r w:rsidRPr="00990FB6">
        <w:rPr>
          <w:sz w:val="22"/>
          <w:szCs w:val="22"/>
          <w:lang w:eastAsia="es-ES"/>
        </w:rPr>
        <w:t xml:space="preserve">relacionado con la actualización presupuestaria del costo de las plazas requeridas por el </w:t>
      </w:r>
      <w:bookmarkStart w:id="17" w:name="_Hlk99968937"/>
      <w:r w:rsidRPr="00990FB6">
        <w:rPr>
          <w:sz w:val="22"/>
          <w:szCs w:val="22"/>
          <w:lang w:eastAsia="es-ES"/>
        </w:rPr>
        <w:t>Organismo de Investigación</w:t>
      </w:r>
      <w:bookmarkEnd w:id="17"/>
      <w:r w:rsidRPr="00990FB6">
        <w:rPr>
          <w:sz w:val="22"/>
          <w:szCs w:val="22"/>
          <w:lang w:eastAsia="es-ES"/>
        </w:rPr>
        <w:t xml:space="preserve"> Judicial, de personas Custodias y Custodios en las diferentes zonas del país</w:t>
      </w:r>
      <w:r w:rsidRPr="00990FB6">
        <w:rPr>
          <w:i/>
          <w:iCs/>
          <w:sz w:val="22"/>
          <w:szCs w:val="22"/>
        </w:rPr>
        <w:t xml:space="preserve"> </w:t>
      </w:r>
      <w:r w:rsidRPr="00990FB6">
        <w:rPr>
          <w:sz w:val="22"/>
          <w:szCs w:val="22"/>
        </w:rPr>
        <w:t>y se comunicó a</w:t>
      </w:r>
      <w:r w:rsidRPr="00990FB6">
        <w:rPr>
          <w:sz w:val="22"/>
          <w:szCs w:val="22"/>
          <w:lang w:eastAsia="es-ES"/>
        </w:rPr>
        <w:t xml:space="preserve"> Corte Plena este informe para hacer de su conocimiento la necesidad de 22 plazas nuevas que requiere el Organismo de Investigación Judicial, para considerar la posibilidad de solicitar estos requerimientos ante el Ministerio de Hacienda.</w:t>
      </w:r>
      <w:r w:rsidRPr="00990FB6">
        <w:rPr>
          <w:sz w:val="22"/>
          <w:szCs w:val="22"/>
        </w:rPr>
        <w:t xml:space="preserve"> </w:t>
      </w:r>
    </w:p>
    <w:p w14:paraId="675E9499" w14:textId="77777777" w:rsidR="00B305D7" w:rsidRPr="00990FB6" w:rsidRDefault="00B305D7" w:rsidP="00B15F7D">
      <w:pPr>
        <w:ind w:firstLine="709"/>
        <w:jc w:val="both"/>
        <w:rPr>
          <w:sz w:val="22"/>
          <w:szCs w:val="22"/>
        </w:rPr>
      </w:pPr>
    </w:p>
    <w:p w14:paraId="23833E74" w14:textId="32779D08" w:rsidR="00B15F7D" w:rsidRPr="00990FB6" w:rsidRDefault="00B15F7D" w:rsidP="00B15F7D">
      <w:pPr>
        <w:ind w:firstLine="708"/>
        <w:jc w:val="both"/>
        <w:rPr>
          <w:bCs/>
          <w:sz w:val="22"/>
          <w:szCs w:val="22"/>
          <w:lang w:eastAsia="es-ES"/>
        </w:rPr>
      </w:pPr>
      <w:r w:rsidRPr="00990FB6">
        <w:rPr>
          <w:bCs/>
          <w:sz w:val="22"/>
          <w:szCs w:val="22"/>
          <w:lang w:eastAsia="es-ES"/>
        </w:rPr>
        <w:t xml:space="preserve">Posteriormente el Consejo Superior del Poder Judicial, en sesión extraordinaria de presupuesto </w:t>
      </w:r>
      <w:proofErr w:type="spellStart"/>
      <w:r w:rsidRPr="00990FB6">
        <w:rPr>
          <w:bCs/>
          <w:sz w:val="22"/>
          <w:szCs w:val="22"/>
          <w:lang w:eastAsia="es-ES"/>
        </w:rPr>
        <w:t>N°</w:t>
      </w:r>
      <w:proofErr w:type="spellEnd"/>
      <w:r w:rsidRPr="00990FB6">
        <w:rPr>
          <w:bCs/>
          <w:sz w:val="22"/>
          <w:szCs w:val="22"/>
          <w:lang w:eastAsia="es-ES"/>
        </w:rPr>
        <w:t xml:space="preserve"> 32-23 celebrada el 19 de abril de 2023, artículo XXXVIII, tomó el acuerdo que literalmente dice:</w:t>
      </w:r>
    </w:p>
    <w:p w14:paraId="31D00184" w14:textId="77777777" w:rsidR="00B305D7" w:rsidRPr="00990FB6" w:rsidRDefault="00B305D7" w:rsidP="00B15F7D">
      <w:pPr>
        <w:ind w:firstLine="708"/>
        <w:jc w:val="both"/>
        <w:rPr>
          <w:bCs/>
          <w:sz w:val="22"/>
          <w:szCs w:val="22"/>
          <w:lang w:eastAsia="es-ES"/>
        </w:rPr>
      </w:pPr>
    </w:p>
    <w:p w14:paraId="7CFFA14F" w14:textId="77777777" w:rsidR="00B15F7D" w:rsidRPr="00990FB6" w:rsidRDefault="00B15F7D" w:rsidP="00B15F7D">
      <w:pPr>
        <w:suppressAutoHyphens w:val="0"/>
        <w:ind w:left="851" w:right="900" w:firstLine="708"/>
        <w:jc w:val="both"/>
        <w:rPr>
          <w:b/>
          <w:i/>
          <w:sz w:val="22"/>
          <w:szCs w:val="22"/>
          <w:lang w:val="es-CR" w:eastAsia="en-US"/>
        </w:rPr>
      </w:pPr>
      <w:r w:rsidRPr="00990FB6">
        <w:rPr>
          <w:b/>
          <w:bCs/>
          <w:sz w:val="22"/>
          <w:szCs w:val="22"/>
        </w:rPr>
        <w:t>“</w:t>
      </w:r>
      <w:r w:rsidRPr="00990FB6">
        <w:rPr>
          <w:sz w:val="22"/>
          <w:szCs w:val="22"/>
          <w:lang w:val="es-MX" w:eastAsia="en-US"/>
        </w:rPr>
        <w:t xml:space="preserve">La licenciada Nacira Valverde Bermúdez, Directora de Planificación, presentó el informe 270- PLA-RH-MI(PL)-2023, </w:t>
      </w:r>
      <w:r w:rsidRPr="00990FB6">
        <w:rPr>
          <w:b/>
          <w:i/>
          <w:sz w:val="22"/>
          <w:szCs w:val="22"/>
          <w:lang w:val="es-CR" w:eastAsia="en-US"/>
        </w:rPr>
        <w:t xml:space="preserve">Resumen de los antecedentes y </w:t>
      </w:r>
      <w:r w:rsidRPr="00990FB6">
        <w:rPr>
          <w:b/>
          <w:i/>
          <w:sz w:val="22"/>
          <w:szCs w:val="22"/>
          <w:lang w:val="es-CR" w:eastAsia="en-US"/>
        </w:rPr>
        <w:lastRenderedPageBreak/>
        <w:t>situación actual respecto a las plazas de Custodias y Custodios de personas detenidas para analizar el movimiento de estas plazas, que dice:</w:t>
      </w:r>
    </w:p>
    <w:p w14:paraId="75DC443D" w14:textId="77777777" w:rsidR="00B15F7D" w:rsidRPr="00990FB6" w:rsidRDefault="00B15F7D" w:rsidP="00B15F7D">
      <w:pPr>
        <w:suppressAutoHyphens w:val="0"/>
        <w:ind w:left="851" w:right="900" w:firstLine="709"/>
        <w:jc w:val="both"/>
        <w:rPr>
          <w:sz w:val="22"/>
          <w:szCs w:val="22"/>
          <w:lang w:val="es-CR" w:eastAsia="en-US"/>
        </w:rPr>
      </w:pPr>
    </w:p>
    <w:p w14:paraId="1E32D1C5" w14:textId="77777777" w:rsidR="00B15F7D" w:rsidRPr="00990FB6" w:rsidRDefault="00B15F7D" w:rsidP="00B15F7D">
      <w:pPr>
        <w:suppressAutoHyphens w:val="0"/>
        <w:ind w:left="851" w:right="900" w:firstLine="709"/>
        <w:jc w:val="both"/>
        <w:rPr>
          <w:sz w:val="22"/>
          <w:szCs w:val="22"/>
          <w:lang w:val="es-CR" w:eastAsia="en-US"/>
        </w:rPr>
      </w:pPr>
      <w:r w:rsidRPr="00990FB6">
        <w:rPr>
          <w:sz w:val="22"/>
          <w:szCs w:val="22"/>
          <w:lang w:val="es-CR" w:eastAsia="en-US"/>
        </w:rPr>
        <w:t xml:space="preserve">“En atención al oficio 3438-2021 del 21 de abril del 2021 donde se transcribe el acuerdo tomado por Consejo Superior en sesión 30-2021 del 16 de abril del 2021, artículo XXI, sobre el oficio 390-PLA-RH-MI-2021 del 7 de abril del 2021, relacionado con el resumen de los antecedentes y situación actual respecto a las plazas de Custodias y Custodios de personas detenidas para analizar el movimiento de estas plazas, se remitió el informe suscrito por el Ing. Jorge Fernando Rodríguez Salazar, Jefe </w:t>
      </w:r>
      <w:proofErr w:type="spellStart"/>
      <w:r w:rsidRPr="00990FB6">
        <w:rPr>
          <w:sz w:val="22"/>
          <w:szCs w:val="22"/>
          <w:lang w:val="es-CR" w:eastAsia="en-US"/>
        </w:rPr>
        <w:t>a.í</w:t>
      </w:r>
      <w:proofErr w:type="spellEnd"/>
      <w:r w:rsidRPr="00990FB6">
        <w:rPr>
          <w:sz w:val="22"/>
          <w:szCs w:val="22"/>
          <w:lang w:val="es-CR" w:eastAsia="en-US"/>
        </w:rPr>
        <w:t xml:space="preserve"> del Subproceso de Modernización Institucional, relacionado con lo acordado en esa sesión, sea: </w:t>
      </w:r>
    </w:p>
    <w:p w14:paraId="1EA644EA" w14:textId="77777777" w:rsidR="00B15F7D" w:rsidRPr="00990FB6" w:rsidRDefault="00B15F7D" w:rsidP="00B15F7D">
      <w:pPr>
        <w:suppressAutoHyphens w:val="0"/>
        <w:ind w:left="851" w:right="900" w:firstLine="709"/>
        <w:jc w:val="both"/>
        <w:rPr>
          <w:b/>
          <w:bCs/>
          <w:i/>
          <w:iCs/>
          <w:sz w:val="22"/>
          <w:szCs w:val="22"/>
          <w:lang w:val="es-CR" w:eastAsia="en-US"/>
        </w:rPr>
      </w:pPr>
    </w:p>
    <w:p w14:paraId="6BAE9062" w14:textId="77777777" w:rsidR="00B15F7D" w:rsidRPr="00990FB6" w:rsidRDefault="00B15F7D" w:rsidP="00B15F7D">
      <w:pPr>
        <w:suppressAutoHyphens w:val="0"/>
        <w:ind w:left="851" w:right="900" w:firstLine="709"/>
        <w:jc w:val="both"/>
        <w:rPr>
          <w:i/>
          <w:iCs/>
          <w:sz w:val="22"/>
          <w:szCs w:val="22"/>
          <w:lang w:val="es-CR" w:eastAsia="en-US"/>
        </w:rPr>
      </w:pPr>
      <w:r w:rsidRPr="00990FB6">
        <w:rPr>
          <w:b/>
          <w:bCs/>
          <w:i/>
          <w:iCs/>
          <w:sz w:val="22"/>
          <w:szCs w:val="22"/>
          <w:lang w:val="es-CR" w:eastAsia="en-US"/>
        </w:rPr>
        <w:t>“</w:t>
      </w:r>
      <w:r w:rsidRPr="00990FB6">
        <w:rPr>
          <w:rFonts w:eastAsia="Calibri"/>
          <w:b/>
          <w:i/>
          <w:iCs/>
          <w:sz w:val="22"/>
          <w:szCs w:val="22"/>
          <w:lang w:val="es-419" w:eastAsia="en-US"/>
        </w:rPr>
        <w:t>1)</w:t>
      </w:r>
      <w:r w:rsidRPr="00990FB6">
        <w:rPr>
          <w:rFonts w:eastAsia="Calibri"/>
          <w:i/>
          <w:iCs/>
          <w:sz w:val="22"/>
          <w:szCs w:val="22"/>
          <w:lang w:val="es-419" w:eastAsia="en-US"/>
        </w:rPr>
        <w:t xml:space="preserve"> Tener por rendido el informe</w:t>
      </w:r>
      <w:r w:rsidRPr="00990FB6">
        <w:rPr>
          <w:rFonts w:eastAsia="Calibri"/>
          <w:bCs/>
          <w:i/>
          <w:iCs/>
          <w:sz w:val="22"/>
          <w:szCs w:val="22"/>
          <w:lang w:val="es-419" w:eastAsia="en-US"/>
        </w:rPr>
        <w:t xml:space="preserve"> </w:t>
      </w:r>
      <w:proofErr w:type="spellStart"/>
      <w:r w:rsidRPr="00990FB6">
        <w:rPr>
          <w:rFonts w:eastAsia="Calibri"/>
          <w:bCs/>
          <w:i/>
          <w:iCs/>
          <w:sz w:val="22"/>
          <w:szCs w:val="22"/>
          <w:lang w:val="es-419" w:eastAsia="en-US"/>
        </w:rPr>
        <w:t>N°</w:t>
      </w:r>
      <w:proofErr w:type="spellEnd"/>
      <w:r w:rsidRPr="00990FB6">
        <w:rPr>
          <w:rFonts w:eastAsia="Calibri"/>
          <w:bCs/>
          <w:i/>
          <w:iCs/>
          <w:sz w:val="22"/>
          <w:szCs w:val="22"/>
          <w:lang w:val="es-419" w:eastAsia="en-US"/>
        </w:rPr>
        <w:t xml:space="preserve"> </w:t>
      </w:r>
      <w:r w:rsidRPr="00990FB6">
        <w:rPr>
          <w:rFonts w:eastAsia="Calibri"/>
          <w:i/>
          <w:iCs/>
          <w:sz w:val="22"/>
          <w:szCs w:val="22"/>
          <w:lang w:val="es-419" w:eastAsia="en-US"/>
        </w:rPr>
        <w:t xml:space="preserve">1490-PLA-MI-2020 de la Dirección de Planificación, relacionado con “el resumen de los antecedentes y situación actual respecto a las plazas de Custodias y Custodios de personas detenidas para analizar su movimiento.” </w:t>
      </w:r>
      <w:r w:rsidRPr="00990FB6">
        <w:rPr>
          <w:rFonts w:eastAsia="Calibri"/>
          <w:b/>
          <w:i/>
          <w:iCs/>
          <w:sz w:val="22"/>
          <w:szCs w:val="22"/>
          <w:lang w:val="es-419" w:eastAsia="en-US"/>
        </w:rPr>
        <w:t>2)</w:t>
      </w:r>
      <w:r w:rsidRPr="00990FB6">
        <w:rPr>
          <w:rFonts w:eastAsia="Calibri"/>
          <w:i/>
          <w:iCs/>
          <w:sz w:val="22"/>
          <w:szCs w:val="22"/>
          <w:lang w:val="es-419" w:eastAsia="en-US"/>
        </w:rPr>
        <w:t xml:space="preserve"> Tomar nota de los elementos conclusivos a los que se arribó en este informe, entre las más importantes se encuentran: </w:t>
      </w:r>
      <w:r w:rsidRPr="00990FB6">
        <w:rPr>
          <w:rFonts w:eastAsia="Calibri"/>
          <w:b/>
          <w:i/>
          <w:iCs/>
          <w:sz w:val="22"/>
          <w:szCs w:val="22"/>
          <w:lang w:val="es-419" w:eastAsia="en-US"/>
        </w:rPr>
        <w:t>a)</w:t>
      </w:r>
      <w:r w:rsidRPr="00990FB6">
        <w:rPr>
          <w:rFonts w:eastAsia="Calibri"/>
          <w:i/>
          <w:iCs/>
          <w:sz w:val="22"/>
          <w:szCs w:val="22"/>
          <w:lang w:val="es-419" w:eastAsia="en-US"/>
        </w:rPr>
        <w:t xml:space="preserve"> El Organismo de Investigación Judicial, cuenta con un total de 436 plazas de personas custodias, distribuidas en 27 unidades de cárceles y dos secciones de cárceles (Secciones del Primer y Segundo Circuito Judicial de San José). </w:t>
      </w:r>
      <w:r w:rsidRPr="00990FB6">
        <w:rPr>
          <w:rFonts w:eastAsia="Calibri"/>
          <w:b/>
          <w:i/>
          <w:iCs/>
          <w:sz w:val="22"/>
          <w:szCs w:val="22"/>
          <w:lang w:val="es-419" w:eastAsia="en-US"/>
        </w:rPr>
        <w:t>b)</w:t>
      </w:r>
      <w:r w:rsidRPr="00990FB6">
        <w:rPr>
          <w:rFonts w:eastAsia="Calibri"/>
          <w:i/>
          <w:iCs/>
          <w:sz w:val="22"/>
          <w:szCs w:val="22"/>
          <w:lang w:val="es-419" w:eastAsia="en-US"/>
        </w:rPr>
        <w:t xml:space="preserve"> Producto de los planes de descongestionamiento implementados por el “Proyecto de Mejora Integral del proceso Penal”, en los Tribunales Penales identificados como críticos del país, este Consejo aprobó 18 plazas de personas Custodias para el 2020, para que conformaran equipos de trabajo en conjunto con los Tribunales Penales, Ministerio Público y Defensa Pública, para garantizar la efectiva realización de los juicios y audiencias y lograr una disminución de circulante de causas pendientes de juicio. Este plan se ha afectado producto de la pandemia del COVIT-19, ante la cual en sesión 30-2020 celebrada el 31 de marzo de 2020, artículo XLI,  se aprobó un escenario en el cual se otorgan permisos con goce de salario solamente en aquellas oficinas de Tribunales Penales que no tienen la estructura mínima para poder hacer juicios colegiados destacados en la zona para atender casos de personas privadas de libertad, como es el caso de Quepos, Sarapiquí, Siquirres, Turrialba y Santa Cruz; por lo que actualmente se cuenta con ocho plazas con permiso con goce salarial de personas Custodias de Detenidos para cubrir los lugares indicados. </w:t>
      </w:r>
      <w:r w:rsidRPr="00990FB6">
        <w:rPr>
          <w:rFonts w:eastAsia="Calibri"/>
          <w:b/>
          <w:i/>
          <w:iCs/>
          <w:sz w:val="22"/>
          <w:szCs w:val="22"/>
          <w:lang w:val="es-419" w:eastAsia="en-US"/>
        </w:rPr>
        <w:t>c)</w:t>
      </w:r>
      <w:r w:rsidRPr="00990FB6">
        <w:rPr>
          <w:rFonts w:eastAsia="Calibri"/>
          <w:i/>
          <w:iCs/>
          <w:sz w:val="22"/>
          <w:szCs w:val="22"/>
          <w:lang w:val="es-419" w:eastAsia="en-US"/>
        </w:rPr>
        <w:t xml:space="preserve"> La Unidad de Cárceles de Heredia, proyecta una demanda de 17 custodios por día para el 2020, uno menos del que mantuvo por día durante el año 2019, sin embargo, la carga de trabajo actual se asume con cuatro plazas menos, al no continuar el plan de descongestionamiento en Tribunales Penales en el Circuito de Heredia, es decir, se pasa de 24 a 20 plazas, por lo que al considerar la distribución de las plazas en los diferentes roles de trabajo, esta Unidad no estaría en la capacidad operacional para asumir la proyección de la demanda para el año 2020, en condiciones normales. </w:t>
      </w:r>
      <w:r w:rsidRPr="00990FB6">
        <w:rPr>
          <w:rFonts w:eastAsia="Calibri"/>
          <w:b/>
          <w:i/>
          <w:iCs/>
          <w:sz w:val="22"/>
          <w:szCs w:val="22"/>
          <w:lang w:val="es-419" w:eastAsia="en-US"/>
        </w:rPr>
        <w:t>d)</w:t>
      </w:r>
      <w:r w:rsidRPr="00990FB6">
        <w:rPr>
          <w:rFonts w:eastAsia="Calibri"/>
          <w:i/>
          <w:iCs/>
          <w:sz w:val="22"/>
          <w:szCs w:val="22"/>
          <w:lang w:val="es-419" w:eastAsia="en-US"/>
        </w:rPr>
        <w:t xml:space="preserve"> Las Unidades de Cárceles de Limón, Puntarenas, Liberia, Quepos, Cañas, Garabito y Cóbano, de acuerdo con la proyección de la demanda que generarían los despachos judiciales de cada localidad en el año 2020 y de acuerdo con la cantidad de personal custodio con que cuentan, estarían en la capacidad operativa de asumir la carga de trabajo. </w:t>
      </w:r>
      <w:r w:rsidRPr="00990FB6">
        <w:rPr>
          <w:rFonts w:eastAsia="Calibri"/>
          <w:b/>
          <w:i/>
          <w:iCs/>
          <w:sz w:val="22"/>
          <w:szCs w:val="22"/>
          <w:lang w:val="es-419" w:eastAsia="en-US"/>
        </w:rPr>
        <w:t>e)</w:t>
      </w:r>
      <w:r w:rsidRPr="00990FB6">
        <w:rPr>
          <w:rFonts w:eastAsia="Calibri"/>
          <w:i/>
          <w:iCs/>
          <w:sz w:val="22"/>
          <w:szCs w:val="22"/>
          <w:lang w:val="es-419" w:eastAsia="en-US"/>
        </w:rPr>
        <w:t xml:space="preserve"> Las Unidades de Cárceles de Bribri y </w:t>
      </w:r>
      <w:proofErr w:type="spellStart"/>
      <w:r w:rsidRPr="00990FB6">
        <w:rPr>
          <w:rFonts w:eastAsia="Calibri"/>
          <w:i/>
          <w:iCs/>
          <w:sz w:val="22"/>
          <w:szCs w:val="22"/>
          <w:lang w:val="es-419" w:eastAsia="en-US"/>
        </w:rPr>
        <w:t>Bataán</w:t>
      </w:r>
      <w:proofErr w:type="spellEnd"/>
      <w:r w:rsidRPr="00990FB6">
        <w:rPr>
          <w:rFonts w:eastAsia="Calibri"/>
          <w:i/>
          <w:iCs/>
          <w:sz w:val="22"/>
          <w:szCs w:val="22"/>
          <w:lang w:val="es-419" w:eastAsia="en-US"/>
        </w:rPr>
        <w:t xml:space="preserve"> cuentan con dos plazas para </w:t>
      </w:r>
      <w:r w:rsidRPr="00990FB6">
        <w:rPr>
          <w:rFonts w:eastAsia="Calibri"/>
          <w:i/>
          <w:iCs/>
          <w:sz w:val="22"/>
          <w:szCs w:val="22"/>
          <w:lang w:val="es-419" w:eastAsia="en-US"/>
        </w:rPr>
        <w:lastRenderedPageBreak/>
        <w:t xml:space="preserve">atender los ingresos de personas detenidas y prácticas judiciales, por lo que se visualiza la necesidad de que al menos se cuente con una plaza más de persona detenida en cada Unidad de Cárceles. </w:t>
      </w:r>
      <w:r w:rsidRPr="00990FB6">
        <w:rPr>
          <w:rFonts w:eastAsia="Calibri"/>
          <w:b/>
          <w:i/>
          <w:iCs/>
          <w:sz w:val="22"/>
          <w:szCs w:val="22"/>
          <w:lang w:val="es-419" w:eastAsia="en-US"/>
        </w:rPr>
        <w:t>f)</w:t>
      </w:r>
      <w:r w:rsidRPr="00990FB6">
        <w:rPr>
          <w:rFonts w:eastAsia="Calibri"/>
          <w:i/>
          <w:iCs/>
          <w:sz w:val="22"/>
          <w:szCs w:val="22"/>
          <w:lang w:val="es-419" w:eastAsia="en-US"/>
        </w:rPr>
        <w:t xml:space="preserve"> Las Unidades de Cárceles de La Unión y Osa, solo cuenta con dos plazas de personas custodias, en el caso de la zona de La Unión es la Subdelegación que cuenta con la menor cantidad de plazas de personal custodio con respecto a todas las demás Subdelegaciones y que, por ende, es importante que como parte del “Proyecto de Mejora Integral del Proceso Penal” se analicen las cargas de trabajo que permitan identificar si es requerido fortalecer la estructura de la Unidad de Cárceles de La Unión, de igual forma, para las Unidades de Cárceles de Osa y Puriscal. </w:t>
      </w:r>
      <w:r w:rsidRPr="00990FB6">
        <w:rPr>
          <w:rFonts w:eastAsia="Calibri"/>
          <w:b/>
          <w:i/>
          <w:iCs/>
          <w:sz w:val="22"/>
          <w:szCs w:val="22"/>
          <w:lang w:val="es-419" w:eastAsia="en-US"/>
        </w:rPr>
        <w:t>g)</w:t>
      </w:r>
      <w:r w:rsidRPr="00990FB6">
        <w:rPr>
          <w:rFonts w:eastAsia="Calibri"/>
          <w:i/>
          <w:iCs/>
          <w:sz w:val="22"/>
          <w:szCs w:val="22"/>
          <w:lang w:val="es-419" w:eastAsia="en-US"/>
        </w:rPr>
        <w:t xml:space="preserve"> A marzo del 2020, existen 63 plazas del personal Custodio de Detenidos que se encuentran pendientes de completar el curso de armas y defensa (representa un 14,45% del total de plazas de personas custodias), según la información recibida por las oficinas del Organismo de Investigación Judicial, esto impide que este personal pueda salir a realizar traslados de personas privadas de libertad, por lo que reduce la capacidad operacional de las Unidades de Cárceles, por tanto, esto es un tema critico de reforzar. </w:t>
      </w:r>
      <w:r w:rsidRPr="00990FB6">
        <w:rPr>
          <w:rFonts w:eastAsia="Calibri"/>
          <w:b/>
          <w:i/>
          <w:iCs/>
          <w:sz w:val="22"/>
          <w:szCs w:val="22"/>
          <w:lang w:val="es-419" w:eastAsia="en-US"/>
        </w:rPr>
        <w:t>h)</w:t>
      </w:r>
      <w:r w:rsidRPr="00990FB6">
        <w:rPr>
          <w:rFonts w:eastAsia="Calibri"/>
          <w:i/>
          <w:iCs/>
          <w:sz w:val="22"/>
          <w:szCs w:val="22"/>
          <w:lang w:val="es-419" w:eastAsia="en-US"/>
        </w:rPr>
        <w:t xml:space="preserve"> Durante el 2019, un total de 807 personas en puestos ordinarios de Custodias o Custodios de Detenidos, disfrutaron en diferentes momentos del año, de un total de 13355 días de vacaciones e incapacidades (sin contar incapacidades por maternidad), y solamente se dieron sustituciones en 8105 días de los anteriormente indicados, es decir que solamente el 61% de las ocasiones donde se dieron vacaciones o incapacidades, se pudo realizar una sustitución; lo anterior según indican las propias Unidades de Cárceles hasta el día abordadas por el Proyecto de Mejora Integral del Proceso Penal, se debe a la naturaleza de estos puestos, los cuales requieren de una serie de requisitos indispensables y que aún en la actualidad, existe personal interino de custodios de detenidos, que no puede ejercer de manera total e integral sus funciones por tener pendiente la aprobación de los cursos de armas y defensa personal. </w:t>
      </w:r>
      <w:r w:rsidRPr="00990FB6">
        <w:rPr>
          <w:rFonts w:eastAsia="Calibri"/>
          <w:b/>
          <w:i/>
          <w:iCs/>
          <w:sz w:val="22"/>
          <w:szCs w:val="22"/>
          <w:lang w:val="es-419" w:eastAsia="en-US"/>
        </w:rPr>
        <w:t>i)</w:t>
      </w:r>
      <w:r w:rsidRPr="00990FB6">
        <w:rPr>
          <w:rFonts w:eastAsia="Calibri"/>
          <w:i/>
          <w:iCs/>
          <w:sz w:val="22"/>
          <w:szCs w:val="22"/>
          <w:lang w:val="es-419" w:eastAsia="en-US"/>
        </w:rPr>
        <w:t xml:space="preserve"> Se ha solicitado en dos ocasiones recalificar plazas de Custodia o Custodio de Personas Detenidas a otros puestos para que asuman otras funciones; lo que resta capacidad operativa a las Secciones de Cárceles del I y II Circuito Judicial de San José a las que pertenecían dichas plazas. </w:t>
      </w:r>
      <w:r w:rsidRPr="00990FB6">
        <w:rPr>
          <w:rFonts w:eastAsia="Calibri"/>
          <w:b/>
          <w:i/>
          <w:iCs/>
          <w:sz w:val="22"/>
          <w:szCs w:val="22"/>
          <w:lang w:val="es-419" w:eastAsia="en-US"/>
        </w:rPr>
        <w:t>j)</w:t>
      </w:r>
      <w:r w:rsidRPr="00990FB6">
        <w:rPr>
          <w:rFonts w:eastAsia="Calibri"/>
          <w:i/>
          <w:iCs/>
          <w:sz w:val="22"/>
          <w:szCs w:val="22"/>
          <w:lang w:val="es-419" w:eastAsia="en-US"/>
        </w:rPr>
        <w:t xml:space="preserve"> Ante la alta demanda y necesidades de mejora de las diferentes oficinas encargadas de custodiar personas detenidas a lo largo y ancho del territorio nacional, mediante estudio y como resultado del Proyecto de Mejora Integral del Proceso Penal, se recomendó y  aprobó por este Consejo el otorgamiento de permisos con goce de salario (14 para el 2018, 26 para el 2019 y 18 para el 2020, al día de hoy afectados por la pandemia del COVID-19, se mantienen ocho permisos con goce de salario de personas Custodias o Custodios de detenidas como se indicó. </w:t>
      </w:r>
      <w:r w:rsidRPr="00990FB6">
        <w:rPr>
          <w:rFonts w:eastAsia="Calibri"/>
          <w:b/>
          <w:i/>
          <w:iCs/>
          <w:sz w:val="22"/>
          <w:szCs w:val="22"/>
          <w:lang w:val="es-419" w:eastAsia="en-US"/>
        </w:rPr>
        <w:t>k)</w:t>
      </w:r>
      <w:r w:rsidRPr="00990FB6">
        <w:rPr>
          <w:rFonts w:eastAsia="Calibri"/>
          <w:i/>
          <w:iCs/>
          <w:sz w:val="22"/>
          <w:szCs w:val="22"/>
          <w:lang w:val="es-419" w:eastAsia="en-US"/>
        </w:rPr>
        <w:t xml:space="preserve"> La Unidad Regional de Atenas, cuenta con el apoyo de la Unidad de Cárceles de Alajuela para realizar las custodias cuando se programen audiencias en el Juzgado Penal de Atenas, localidad en la que existe Juzgado Penal y oficinas del Ministerio Público y la Defensa Pública, además de contar con celdas para el resguardo de personas detenidas, por lo cual, se recomienda valorar la dotación de una estructura mínima de personal custodio para la atención de asuntos de esta zona, así como los provenientes de Orotina, esto debido a que en el caso de la Unidad Regional de Orotina no cuenta con celdas para personas detenidas, contemplado además que , toda persona detenida en Orotina es atendida en la zona de Atenas que es donde se </w:t>
      </w:r>
      <w:r w:rsidRPr="00990FB6">
        <w:rPr>
          <w:rFonts w:eastAsia="Calibri"/>
          <w:i/>
          <w:iCs/>
          <w:sz w:val="22"/>
          <w:szCs w:val="22"/>
          <w:lang w:val="es-419" w:eastAsia="en-US"/>
        </w:rPr>
        <w:lastRenderedPageBreak/>
        <w:t xml:space="preserve">encuentra el Ministerio Público y el Juzgado Penal que tienen la competencia territorial. </w:t>
      </w:r>
      <w:r w:rsidRPr="00990FB6">
        <w:rPr>
          <w:rFonts w:eastAsia="Calibri"/>
          <w:b/>
          <w:i/>
          <w:iCs/>
          <w:sz w:val="22"/>
          <w:szCs w:val="22"/>
          <w:lang w:val="es-419" w:eastAsia="en-US"/>
        </w:rPr>
        <w:t>l)</w:t>
      </w:r>
      <w:r w:rsidRPr="00990FB6">
        <w:rPr>
          <w:rFonts w:eastAsia="Calibri"/>
          <w:i/>
          <w:iCs/>
          <w:sz w:val="22"/>
          <w:szCs w:val="22"/>
          <w:lang w:val="es-419" w:eastAsia="en-US"/>
        </w:rPr>
        <w:t xml:space="preserve"> La Unidad Regional de Buenos Aires cuenta con una plaza de persona custodia, lo que ocasiona que cuando se requiere un traslado de personas detenidas, deba recurrir a la colaboración de un investigador, lo cual evidencia la necesidad de una plaza de persona custodia de detenida para poder cumplir con el protocolo de seguridad que implican las custodias. </w:t>
      </w:r>
      <w:r w:rsidRPr="00990FB6">
        <w:rPr>
          <w:rFonts w:eastAsia="Calibri"/>
          <w:b/>
          <w:i/>
          <w:iCs/>
          <w:sz w:val="22"/>
          <w:szCs w:val="22"/>
          <w:lang w:val="es-419" w:eastAsia="en-US"/>
        </w:rPr>
        <w:t>m)</w:t>
      </w:r>
      <w:r w:rsidRPr="00990FB6">
        <w:rPr>
          <w:rFonts w:eastAsia="Calibri"/>
          <w:i/>
          <w:iCs/>
          <w:sz w:val="22"/>
          <w:szCs w:val="22"/>
          <w:lang w:val="es-419" w:eastAsia="en-US"/>
        </w:rPr>
        <w:t xml:space="preserve"> El Tribunal Penal de Corredores y el Tribunal Penal de Golfito están integrados por cuatro Juezas o Jueces y tres personas juzgadoras respectivamente, donde se estima que con las 10 plazas de custodios de detenidos asignadas a las Unidad de Cárceles de Corredores se puede asumir la carga de trabajo, sin embargo, por las distancias en que se ubican los Centros de Atención Integral donde se encuentran las personas privadas de libertad y tomando en consideración que la Delegación de Corredores debe atender los traslados y custodias de personas detenidas para cinco localidades de la región sur, a saber: Puerto Jiménez, Ciudad Cortés, Golfito, Coto Brus y Corredores; resulta necesaria la dotación de mayor personal para poder cubrir adecuadamente la demanda que se presenta debida a los altos tiempos de traslado. </w:t>
      </w:r>
      <w:r w:rsidRPr="00990FB6">
        <w:rPr>
          <w:rFonts w:eastAsia="Calibri"/>
          <w:b/>
          <w:i/>
          <w:iCs/>
          <w:sz w:val="22"/>
          <w:szCs w:val="22"/>
          <w:lang w:val="es-419" w:eastAsia="en-US"/>
        </w:rPr>
        <w:t>n)</w:t>
      </w:r>
      <w:r w:rsidRPr="00990FB6">
        <w:rPr>
          <w:rFonts w:eastAsia="Calibri"/>
          <w:i/>
          <w:iCs/>
          <w:sz w:val="22"/>
          <w:szCs w:val="22"/>
          <w:lang w:val="es-419" w:eastAsia="en-US"/>
        </w:rPr>
        <w:t xml:space="preserve"> Con respecto a los estudios de cargas de trabajo de las Unidades de Cárceles que no están contempladas en este informe, entre estas la solicitud realizada en oficio 2543-2020 de la Secretaría General de la Corte para la creación de una Unidad de Cárceles en la zona de Los Chiles, se indica que la Unidad Regional de Los Chiles dispone de celdas para personas detenidas, así como también en la localidad hay oficinas del Juzgado Penal, el Ministerio Público y la Defensa Pública, por lo que se recomienda valorar la dotación de una estructura mínima de personal custodio para la atención de asuntos de esta zona. Además, según cronograma del Proyecto de Mejora Integral del Proceso Penal, se realizará un abordaje integral de la Oficina, que permita analizar los datos y la carga de trabajo que está demandando la zona de Los Chiles. </w:t>
      </w:r>
      <w:r w:rsidRPr="00990FB6">
        <w:rPr>
          <w:rFonts w:eastAsia="Calibri"/>
          <w:b/>
          <w:i/>
          <w:iCs/>
          <w:sz w:val="22"/>
          <w:szCs w:val="22"/>
          <w:lang w:val="es-419" w:eastAsia="en-US"/>
        </w:rPr>
        <w:t xml:space="preserve">3) </w:t>
      </w:r>
      <w:r w:rsidRPr="00990FB6">
        <w:rPr>
          <w:rFonts w:eastAsia="Calibri"/>
          <w:i/>
          <w:iCs/>
          <w:sz w:val="22"/>
          <w:szCs w:val="22"/>
          <w:lang w:val="es-419" w:eastAsia="en-US"/>
        </w:rPr>
        <w:t xml:space="preserve">Este Consejo avala las recomendaciones técnicas referentes a la necesidad de recurso humano que se extraen de este informe, sin embargo, las limitaciones presupuestarias institucionales actuales, impiden que se pueda dotar dentro de las estructuras de trabajo en (la Delegación Regional de Heredia, Delegación Regional del Organismo de Investigación Judicial de Corredores, Oficina Regional del Organismo de Investigación Judicial de </w:t>
      </w:r>
      <w:proofErr w:type="spellStart"/>
      <w:r w:rsidRPr="00990FB6">
        <w:rPr>
          <w:rFonts w:eastAsia="Calibri"/>
          <w:i/>
          <w:iCs/>
          <w:sz w:val="22"/>
          <w:szCs w:val="22"/>
          <w:lang w:val="es-419" w:eastAsia="en-US"/>
        </w:rPr>
        <w:t>Bribrí</w:t>
      </w:r>
      <w:proofErr w:type="spellEnd"/>
      <w:r w:rsidRPr="00990FB6">
        <w:rPr>
          <w:rFonts w:eastAsia="Calibri"/>
          <w:i/>
          <w:iCs/>
          <w:sz w:val="22"/>
          <w:szCs w:val="22"/>
          <w:lang w:val="es-419" w:eastAsia="en-US"/>
        </w:rPr>
        <w:t xml:space="preserve">, Oficina Regional del Organismo de Investigación Judicial de </w:t>
      </w:r>
      <w:proofErr w:type="spellStart"/>
      <w:r w:rsidRPr="00990FB6">
        <w:rPr>
          <w:rFonts w:eastAsia="Calibri"/>
          <w:i/>
          <w:iCs/>
          <w:sz w:val="22"/>
          <w:szCs w:val="22"/>
          <w:lang w:val="es-419" w:eastAsia="en-US"/>
        </w:rPr>
        <w:t>Bataán</w:t>
      </w:r>
      <w:proofErr w:type="spellEnd"/>
      <w:r w:rsidRPr="00990FB6">
        <w:rPr>
          <w:rFonts w:eastAsia="Calibri"/>
          <w:i/>
          <w:iCs/>
          <w:sz w:val="22"/>
          <w:szCs w:val="22"/>
          <w:lang w:val="es-419" w:eastAsia="en-US"/>
        </w:rPr>
        <w:t>, Oficina Regional del Organismo de Investigación Judicial de Puriscal, Unidad Regional del Organismo de Investigación Judicial de Los Chiles, Unidad Regional del Organismo de Investigación Judicial de Buenos Aires y Unidad Regional del Organismo de Investigación Judicial de Atenas) las plazas de personas custodias de detenidos sugeridas por la Dirección de Planificación en este informe.</w:t>
      </w:r>
      <w:r w:rsidRPr="00990FB6">
        <w:rPr>
          <w:rFonts w:eastAsia="Calibri"/>
          <w:bCs/>
          <w:i/>
          <w:iCs/>
          <w:sz w:val="22"/>
          <w:szCs w:val="22"/>
          <w:lang w:val="es-419" w:eastAsia="en-US"/>
        </w:rPr>
        <w:t xml:space="preserve"> </w:t>
      </w:r>
      <w:r w:rsidRPr="00990FB6">
        <w:rPr>
          <w:rFonts w:eastAsia="Calibri"/>
          <w:b/>
          <w:bCs/>
          <w:i/>
          <w:iCs/>
          <w:sz w:val="22"/>
          <w:szCs w:val="22"/>
          <w:lang w:val="es-419" w:eastAsia="en-US"/>
        </w:rPr>
        <w:t>b)</w:t>
      </w:r>
      <w:r w:rsidRPr="00990FB6">
        <w:rPr>
          <w:rFonts w:eastAsia="Calibri"/>
          <w:bCs/>
          <w:i/>
          <w:iCs/>
          <w:sz w:val="22"/>
          <w:szCs w:val="22"/>
          <w:lang w:val="es-419" w:eastAsia="en-US"/>
        </w:rPr>
        <w:t xml:space="preserve"> En atención a la solicitud comunicada en oficio 2543-20 de la Secretaría General de la Corte, sobre la creación de una Unidad de Cárceles y la atención 24/7 en la zona de Los Chiles, la Dirección de Planificación analizará según el cronograma de abordaje, de forma que estos estudios permitan identificar si se requiere fortalecer la estructura de las Unidades de Cárceles del país pendientes de abordar al momento del presente estudio, tomando en consideración variables cualitativas y cuantitativas. Es así como, en el caso de la Unidad Regional de Los Chiles, será al momento del abordaje cuando se pueda realizar el estudio de cargas de trabajo y el análisis de </w:t>
      </w:r>
      <w:bookmarkStart w:id="18" w:name="_Hlk46409400"/>
      <w:r w:rsidRPr="00990FB6">
        <w:rPr>
          <w:rFonts w:eastAsia="Calibri"/>
          <w:bCs/>
          <w:i/>
          <w:iCs/>
          <w:sz w:val="22"/>
          <w:szCs w:val="22"/>
          <w:lang w:val="es-419" w:eastAsia="en-US"/>
        </w:rPr>
        <w:t xml:space="preserve">ampliación de cobertura 24/7, para valorar la necesidad de dotación de mayor </w:t>
      </w:r>
      <w:r w:rsidRPr="00990FB6">
        <w:rPr>
          <w:rFonts w:eastAsia="Calibri"/>
          <w:bCs/>
          <w:i/>
          <w:iCs/>
          <w:sz w:val="22"/>
          <w:szCs w:val="22"/>
          <w:lang w:val="es-419" w:eastAsia="en-US"/>
        </w:rPr>
        <w:lastRenderedPageBreak/>
        <w:t xml:space="preserve">cantidad </w:t>
      </w:r>
      <w:bookmarkEnd w:id="18"/>
      <w:r w:rsidRPr="00990FB6">
        <w:rPr>
          <w:rFonts w:eastAsia="Calibri"/>
          <w:bCs/>
          <w:i/>
          <w:iCs/>
          <w:sz w:val="22"/>
          <w:szCs w:val="22"/>
          <w:lang w:val="es-419" w:eastAsia="en-US"/>
        </w:rPr>
        <w:t xml:space="preserve">de personal custodio bajo el análisis integral y comparativo con el Modelo de Atención del Organismo de Investigación Judicial, aprobado por el Consejo Superior, en sesión 27-2020 celebrada el 24 de marzo de 2020, artículo LXIX. </w:t>
      </w:r>
      <w:r w:rsidRPr="00990FB6">
        <w:rPr>
          <w:rFonts w:eastAsia="Calibri"/>
          <w:b/>
          <w:bCs/>
          <w:i/>
          <w:iCs/>
          <w:sz w:val="22"/>
          <w:szCs w:val="22"/>
          <w:lang w:val="es-419" w:eastAsia="en-US"/>
        </w:rPr>
        <w:t>c)</w:t>
      </w:r>
      <w:r w:rsidRPr="00990FB6">
        <w:rPr>
          <w:rFonts w:eastAsia="Calibri"/>
          <w:bCs/>
          <w:i/>
          <w:iCs/>
          <w:sz w:val="22"/>
          <w:szCs w:val="22"/>
          <w:lang w:val="es-419" w:eastAsia="en-US"/>
        </w:rPr>
        <w:t xml:space="preserve"> La</w:t>
      </w:r>
      <w:r w:rsidRPr="00990FB6">
        <w:rPr>
          <w:rFonts w:eastAsia="Calibri"/>
          <w:i/>
          <w:iCs/>
          <w:sz w:val="22"/>
          <w:szCs w:val="22"/>
          <w:lang w:val="es-419" w:eastAsia="en-US"/>
        </w:rPr>
        <w:t xml:space="preserve"> Comisión de la Jurisdicción Penal y Presidencia de la Corte Suprema de Justicia coordinarán las acciones pertinentes con el Ministerio de Justicia y Paz, en cuanto al ingreso de las personas privadas de libertad de asuntos complejos o con máxima seguridad, en centros penales cercanos a las jurisdicciones que están realizando audiencias y se encuentran en zonas alejadas a los centros penales donde de forma oficial están recluidos estos privados de libertad. También se recomienda en el eventual caso de que una persona detenida cuente con varias causas, analizar bajo un criterio de mayoría sobre competencia territorial de las causas, para determinar el Centro Penal al cual se le debe trasladar definitivamente. </w:t>
      </w:r>
      <w:r w:rsidRPr="00990FB6">
        <w:rPr>
          <w:rFonts w:eastAsia="Calibri"/>
          <w:b/>
          <w:i/>
          <w:iCs/>
          <w:sz w:val="22"/>
          <w:szCs w:val="22"/>
          <w:lang w:val="es-419" w:eastAsia="en-US"/>
        </w:rPr>
        <w:t>d)</w:t>
      </w:r>
      <w:r w:rsidRPr="00990FB6">
        <w:rPr>
          <w:rFonts w:eastAsia="Calibri"/>
          <w:i/>
          <w:iCs/>
          <w:sz w:val="22"/>
          <w:szCs w:val="22"/>
          <w:lang w:val="es-419" w:eastAsia="en-US"/>
        </w:rPr>
        <w:t xml:space="preserve"> La Comisión de la Jurisdicción Penal valorará</w:t>
      </w:r>
      <w:r w:rsidRPr="00990FB6">
        <w:rPr>
          <w:rFonts w:eastAsia="Calibri"/>
          <w:b/>
          <w:i/>
          <w:iCs/>
          <w:sz w:val="22"/>
          <w:szCs w:val="22"/>
          <w:lang w:val="es-419" w:eastAsia="en-US"/>
        </w:rPr>
        <w:t xml:space="preserve"> </w:t>
      </w:r>
      <w:r w:rsidRPr="00990FB6">
        <w:rPr>
          <w:rFonts w:eastAsia="Calibri"/>
          <w:i/>
          <w:iCs/>
          <w:sz w:val="22"/>
          <w:szCs w:val="22"/>
          <w:lang w:val="es-419" w:eastAsia="en-US"/>
        </w:rPr>
        <w:t>la divulgación e implementación de las consideraciones</w:t>
      </w:r>
      <w:r w:rsidRPr="00990FB6">
        <w:rPr>
          <w:rFonts w:eastAsia="Calibri"/>
          <w:b/>
          <w:bCs/>
          <w:i/>
          <w:iCs/>
          <w:sz w:val="22"/>
          <w:szCs w:val="22"/>
          <w:lang w:val="es-419" w:eastAsia="en-US"/>
        </w:rPr>
        <w:t xml:space="preserve"> </w:t>
      </w:r>
      <w:r w:rsidRPr="00990FB6">
        <w:rPr>
          <w:rFonts w:eastAsia="Calibri"/>
          <w:bCs/>
          <w:i/>
          <w:iCs/>
          <w:sz w:val="22"/>
          <w:szCs w:val="22"/>
          <w:lang w:val="es-419" w:eastAsia="en-US"/>
        </w:rPr>
        <w:t>esgrimidas en la recomendación 10.3 de este informe</w:t>
      </w:r>
      <w:r w:rsidRPr="00990FB6">
        <w:rPr>
          <w:rFonts w:eastAsia="Calibri"/>
          <w:i/>
          <w:iCs/>
          <w:sz w:val="22"/>
          <w:szCs w:val="22"/>
          <w:lang w:val="es-419" w:eastAsia="en-US"/>
        </w:rPr>
        <w:t xml:space="preserve"> a las autoridades judiciales, cuando se requiera realizar un señalamiento para una práctica judicial con persona detenida, con la finalidad de que las Unidades de Cárceles brinden un mejor servicio a cada uno de los despachos judiciales. </w:t>
      </w:r>
      <w:r w:rsidRPr="00990FB6">
        <w:rPr>
          <w:rFonts w:eastAsia="Calibri"/>
          <w:b/>
          <w:i/>
          <w:iCs/>
          <w:sz w:val="22"/>
          <w:szCs w:val="22"/>
          <w:lang w:val="es-419" w:eastAsia="en-US"/>
        </w:rPr>
        <w:t>e)</w:t>
      </w:r>
      <w:r w:rsidRPr="00990FB6">
        <w:rPr>
          <w:rFonts w:eastAsia="Calibri"/>
          <w:i/>
          <w:iCs/>
          <w:sz w:val="22"/>
          <w:szCs w:val="22"/>
          <w:lang w:val="es-419" w:eastAsia="en-US"/>
        </w:rPr>
        <w:t xml:space="preserve"> El Ministerio Público deberá: </w:t>
      </w:r>
      <w:proofErr w:type="gramStart"/>
      <w:r w:rsidRPr="00990FB6">
        <w:rPr>
          <w:rFonts w:eastAsia="Calibri"/>
          <w:b/>
          <w:i/>
          <w:iCs/>
          <w:sz w:val="22"/>
          <w:szCs w:val="22"/>
          <w:lang w:val="es-419" w:eastAsia="en-US"/>
        </w:rPr>
        <w:t>e.1)</w:t>
      </w:r>
      <w:r w:rsidRPr="00990FB6">
        <w:rPr>
          <w:rFonts w:eastAsia="Calibri"/>
          <w:i/>
          <w:iCs/>
          <w:sz w:val="22"/>
          <w:szCs w:val="22"/>
          <w:lang w:val="es-419" w:eastAsia="en-US"/>
        </w:rPr>
        <w:t>Valorar</w:t>
      </w:r>
      <w:proofErr w:type="gramEnd"/>
      <w:r w:rsidRPr="00990FB6">
        <w:rPr>
          <w:rFonts w:eastAsia="Calibri"/>
          <w:i/>
          <w:iCs/>
          <w:sz w:val="22"/>
          <w:szCs w:val="22"/>
          <w:lang w:val="es-419" w:eastAsia="en-US"/>
        </w:rPr>
        <w:t xml:space="preserve"> cuales diligencias con persona privada de libertad y recluida en un Centro de Atención Institucional, se pueden realizar mediante el uso de medios digitales como la videoconferencia, videollamada (</w:t>
      </w:r>
      <w:proofErr w:type="spellStart"/>
      <w:r w:rsidRPr="00990FB6">
        <w:rPr>
          <w:rFonts w:eastAsia="Calibri"/>
          <w:i/>
          <w:iCs/>
          <w:sz w:val="22"/>
          <w:szCs w:val="22"/>
          <w:lang w:val="es-419" w:eastAsia="en-US"/>
        </w:rPr>
        <w:t>Teams</w:t>
      </w:r>
      <w:proofErr w:type="spellEnd"/>
      <w:r w:rsidRPr="00990FB6">
        <w:rPr>
          <w:rFonts w:eastAsia="Calibri"/>
          <w:i/>
          <w:iCs/>
          <w:sz w:val="22"/>
          <w:szCs w:val="22"/>
          <w:lang w:val="es-419" w:eastAsia="en-US"/>
        </w:rPr>
        <w:t xml:space="preserve">) u otros, lo anterior con la finalidad de hacer un uso más efectivo del personal y servicios que brindan las Unidades de Cárceles. </w:t>
      </w:r>
      <w:r w:rsidRPr="00990FB6">
        <w:rPr>
          <w:rFonts w:eastAsia="Calibri"/>
          <w:b/>
          <w:i/>
          <w:iCs/>
          <w:sz w:val="22"/>
          <w:szCs w:val="22"/>
          <w:lang w:val="es-419" w:eastAsia="en-US"/>
        </w:rPr>
        <w:t>e.2)</w:t>
      </w:r>
      <w:r w:rsidRPr="00990FB6">
        <w:rPr>
          <w:rFonts w:eastAsia="Calibri"/>
          <w:i/>
          <w:iCs/>
          <w:sz w:val="22"/>
          <w:szCs w:val="22"/>
          <w:lang w:val="es-419" w:eastAsia="en-US"/>
        </w:rPr>
        <w:t xml:space="preserve"> Valorar, tomando en consideración el recurso humano con que cuentan las Unidades de Cárceles del país que, cuando una persona detenida sea presentada por la Policía Administrativa (municipal, fiscal, fuerza pública o PCD), se brinde en la medida de lo posible, prioridad para toma de los datos y la indagatoria, y con esto aprovechar la presencia de la Policía Administrativa, de esta manera, se reducen los tiempos de atención de la persona detenida, se maximiza el recurso de la Policía Administrativa y se optimiza la utilización del talento humano de las Unidades de Cárceles. </w:t>
      </w:r>
      <w:r w:rsidRPr="00990FB6">
        <w:rPr>
          <w:rFonts w:eastAsia="Calibri"/>
          <w:b/>
          <w:i/>
          <w:iCs/>
          <w:sz w:val="22"/>
          <w:szCs w:val="22"/>
          <w:lang w:val="es-419" w:eastAsia="en-US"/>
        </w:rPr>
        <w:t>f)</w:t>
      </w:r>
      <w:r w:rsidRPr="00990FB6">
        <w:rPr>
          <w:rFonts w:eastAsia="Calibri"/>
          <w:i/>
          <w:iCs/>
          <w:sz w:val="22"/>
          <w:szCs w:val="22"/>
          <w:lang w:val="es-419" w:eastAsia="en-US"/>
        </w:rPr>
        <w:t xml:space="preserve"> La Escuela Judicial y Unidad de Capacitación del OIJ deberá: </w:t>
      </w:r>
      <w:r w:rsidRPr="00990FB6">
        <w:rPr>
          <w:rFonts w:eastAsia="Calibri"/>
          <w:b/>
          <w:i/>
          <w:iCs/>
          <w:sz w:val="22"/>
          <w:szCs w:val="22"/>
          <w:lang w:val="es-419" w:eastAsia="en-US"/>
        </w:rPr>
        <w:t>f.1)</w:t>
      </w:r>
      <w:r w:rsidRPr="00990FB6">
        <w:rPr>
          <w:rFonts w:eastAsia="Calibri"/>
          <w:i/>
          <w:iCs/>
          <w:sz w:val="22"/>
          <w:szCs w:val="22"/>
          <w:lang w:val="es-419" w:eastAsia="en-US"/>
        </w:rPr>
        <w:t xml:space="preserve"> Valorar la programación de los cursos de armas y defensa personal requeridos, de manera que el personal Custodio de Detenidos pendiente de realizar el curso de portación de armas y defensa esté capacitado a la brevedad posible y pueda sumarse a la capacidad operativa de las Unidades de Cárceles en labores como el traslado de personas detenidas, para las que el curso señalado resulta indispensable, ya que este punto resulta de necesidad urgente para el Organismo de Investigación Judicial. </w:t>
      </w:r>
      <w:r w:rsidRPr="00990FB6">
        <w:rPr>
          <w:rFonts w:eastAsia="Calibri"/>
          <w:b/>
          <w:i/>
          <w:iCs/>
          <w:sz w:val="22"/>
          <w:szCs w:val="22"/>
          <w:lang w:val="es-419" w:eastAsia="en-US"/>
        </w:rPr>
        <w:t>f.2)</w:t>
      </w:r>
      <w:r w:rsidRPr="00990FB6">
        <w:rPr>
          <w:rFonts w:eastAsia="Calibri"/>
          <w:i/>
          <w:iCs/>
          <w:sz w:val="22"/>
          <w:szCs w:val="22"/>
          <w:lang w:val="es-419" w:eastAsia="en-US"/>
        </w:rPr>
        <w:t xml:space="preserve"> Valorar la posibilidad de incrementar la periodicidad y cantidad de cursos de armas y defensa personal obligatorios que anualmente se imparten para el personal Custodio de Detenidos de todo el país, en función de la demanda que se presenta de personas pendientes de realizar los cursos; con la finalidad de contar con un banco de personas disponibles para ocupar (ya sea por sustitución o por nombramiento en una plaza) puestos de personas Custodias o Custodios de Detenidos, al momento que se requiera. </w:t>
      </w:r>
      <w:r w:rsidRPr="00990FB6">
        <w:rPr>
          <w:rFonts w:eastAsia="Calibri"/>
          <w:b/>
          <w:i/>
          <w:iCs/>
          <w:sz w:val="22"/>
          <w:szCs w:val="22"/>
          <w:lang w:val="es-419" w:eastAsia="en-US"/>
        </w:rPr>
        <w:t>g)</w:t>
      </w:r>
      <w:r w:rsidRPr="00990FB6">
        <w:rPr>
          <w:rFonts w:eastAsia="Calibri"/>
          <w:i/>
          <w:iCs/>
          <w:sz w:val="22"/>
          <w:szCs w:val="22"/>
          <w:lang w:val="es-419" w:eastAsia="en-US"/>
        </w:rPr>
        <w:t xml:space="preserve"> El Organismo de Investigación Judicial procederá a: </w:t>
      </w:r>
      <w:r w:rsidRPr="00990FB6">
        <w:rPr>
          <w:rFonts w:eastAsia="Calibri"/>
          <w:b/>
          <w:i/>
          <w:iCs/>
          <w:sz w:val="22"/>
          <w:szCs w:val="22"/>
          <w:lang w:val="es-419" w:eastAsia="en-US"/>
        </w:rPr>
        <w:t>g.1)</w:t>
      </w:r>
      <w:r w:rsidRPr="00990FB6">
        <w:rPr>
          <w:rFonts w:eastAsia="Calibri"/>
          <w:i/>
          <w:iCs/>
          <w:sz w:val="22"/>
          <w:szCs w:val="22"/>
          <w:lang w:val="es-419" w:eastAsia="en-US"/>
        </w:rPr>
        <w:t xml:space="preserve"> Impulsar el proyecto mencionado por el señor Flavio Quesada Sánchez, Secretario General del Organismo de Investigación Judicial (ver apéndice 21), relacionado con la capacitación de los custodios policiales de detenidos, de manera que, dos o tres funcionarios de la Sección de </w:t>
      </w:r>
      <w:r w:rsidRPr="00990FB6">
        <w:rPr>
          <w:rFonts w:eastAsia="Calibri"/>
          <w:i/>
          <w:iCs/>
          <w:sz w:val="22"/>
          <w:szCs w:val="22"/>
          <w:lang w:val="es-419" w:eastAsia="en-US"/>
        </w:rPr>
        <w:lastRenderedPageBreak/>
        <w:t xml:space="preserve">Cárceles del Primer Circuito Judicial de San José que trabajan en la actualización del manual de contención de personas detenidas a remitir al Consejo Superior por parte del OIJ, sean los que instruyan o brinden dirección funcional a los demás funcionarios a nivel nacional, con el fin de que todas las Unidades de Cárceles del país trabajen de forma estandarizada. </w:t>
      </w:r>
      <w:r w:rsidRPr="00990FB6">
        <w:rPr>
          <w:rFonts w:eastAsia="Calibri"/>
          <w:b/>
          <w:i/>
          <w:iCs/>
          <w:sz w:val="22"/>
          <w:szCs w:val="22"/>
          <w:lang w:val="es-419" w:eastAsia="en-US"/>
        </w:rPr>
        <w:t>g.2)</w:t>
      </w:r>
      <w:r w:rsidRPr="00990FB6">
        <w:rPr>
          <w:rFonts w:eastAsia="Calibri"/>
          <w:i/>
          <w:iCs/>
          <w:sz w:val="22"/>
          <w:szCs w:val="22"/>
          <w:lang w:val="es-419" w:eastAsia="en-US"/>
        </w:rPr>
        <w:t xml:space="preserve"> Valorar no realizar propuestas futuras de recalificación de puestos utilizando las plazas de custodios de detenidos, ya que como se visibiliza es una necesidad el recurso en esta función primordial en el Organismo de Investigación Judicial y hacer estas solicitudes resta capacidad operativa a las Secciones de Cárceles del país, limitando aún más los grupos de trabajo con los que se cuenta. </w:t>
      </w:r>
      <w:r w:rsidRPr="00990FB6">
        <w:rPr>
          <w:rFonts w:eastAsia="Calibri"/>
          <w:b/>
          <w:i/>
          <w:iCs/>
          <w:sz w:val="22"/>
          <w:szCs w:val="22"/>
          <w:lang w:val="es-419" w:eastAsia="en-US"/>
        </w:rPr>
        <w:t xml:space="preserve">g.3) </w:t>
      </w:r>
      <w:r w:rsidRPr="00990FB6">
        <w:rPr>
          <w:rFonts w:eastAsia="Calibri"/>
          <w:i/>
          <w:iCs/>
          <w:sz w:val="22"/>
          <w:szCs w:val="22"/>
          <w:lang w:val="es-419" w:eastAsia="en-US"/>
        </w:rPr>
        <w:t xml:space="preserve">Valorar la posibilidad de maximizar el recurso humano con que cuenta ese Organismo (plazas vacantes), con la finalidad de reasignarlo para las necesidades que se denotan en el presente informe. </w:t>
      </w:r>
      <w:r w:rsidRPr="00990FB6">
        <w:rPr>
          <w:rFonts w:eastAsia="Calibri"/>
          <w:b/>
          <w:i/>
          <w:iCs/>
          <w:sz w:val="22"/>
          <w:szCs w:val="22"/>
          <w:lang w:val="es-419" w:eastAsia="en-US"/>
        </w:rPr>
        <w:t>h)</w:t>
      </w:r>
      <w:r w:rsidRPr="00990FB6">
        <w:rPr>
          <w:rFonts w:eastAsia="Calibri"/>
          <w:i/>
          <w:iCs/>
          <w:sz w:val="22"/>
          <w:szCs w:val="22"/>
          <w:lang w:val="es-419" w:eastAsia="en-US"/>
        </w:rPr>
        <w:t xml:space="preserve"> La Dirección de Gestión Humana realizará una valoración de los perfiles competenciales y de los componentes salariales (disponibilidad y variación de jornada) de las plazas de Coordinador o Coordinadora de las Unidades de Cárceles, las cuales se encuentran realizando labores de Custodias o Custodios de Detenidos. </w:t>
      </w:r>
      <w:r w:rsidRPr="00990FB6">
        <w:rPr>
          <w:rFonts w:eastAsia="Calibri"/>
          <w:b/>
          <w:i/>
          <w:iCs/>
          <w:sz w:val="22"/>
          <w:szCs w:val="22"/>
          <w:lang w:val="es-419" w:eastAsia="en-US"/>
        </w:rPr>
        <w:t>i)</w:t>
      </w:r>
      <w:r w:rsidRPr="00990FB6">
        <w:rPr>
          <w:rFonts w:eastAsia="Calibri"/>
          <w:i/>
          <w:iCs/>
          <w:sz w:val="22"/>
          <w:szCs w:val="22"/>
          <w:lang w:val="es-419" w:eastAsia="en-US"/>
        </w:rPr>
        <w:t xml:space="preserve"> La Unidad de Potencial Interno (UPI) de la Administración del Organismo de Investigación Judicial mantendrá actualizado el banco de personas custodias que cumplan con todos los requisitos (curso de armas y curso de defensa personal), que permita a las Unidades de Cárceles del país, poder realizar sustituciones por vacaciones o incapacidades. </w:t>
      </w:r>
      <w:r w:rsidRPr="00990FB6">
        <w:rPr>
          <w:rFonts w:eastAsia="Calibri"/>
          <w:b/>
          <w:i/>
          <w:iCs/>
          <w:sz w:val="22"/>
          <w:szCs w:val="22"/>
          <w:lang w:val="es-419" w:eastAsia="en-US"/>
        </w:rPr>
        <w:t>j)</w:t>
      </w:r>
      <w:r w:rsidRPr="00990FB6">
        <w:rPr>
          <w:rFonts w:eastAsia="Calibri"/>
          <w:i/>
          <w:iCs/>
          <w:sz w:val="22"/>
          <w:szCs w:val="22"/>
          <w:lang w:val="es-419" w:eastAsia="en-US"/>
        </w:rPr>
        <w:t xml:space="preserve"> La Dirección de Planificación, como parte del “Proyecto de Mejora Integral del Proceso Penal” analizará según el cronograma de abordaje, las cargas de trabajo que permitan identificar de forma particular si se requiere fortalecer la estructura de las Unidades de Cárceles del país pendientes de abordar al momento del presente estudio, ya que este informe constituye un primer avance y atiende las necesidades planteadas partiendo de la información disponible al momento de realizar el estudio. </w:t>
      </w:r>
      <w:r w:rsidRPr="00990FB6">
        <w:rPr>
          <w:rFonts w:eastAsia="Calibri"/>
          <w:b/>
          <w:i/>
          <w:iCs/>
          <w:sz w:val="22"/>
          <w:szCs w:val="22"/>
          <w:lang w:val="es-419" w:eastAsia="en-US"/>
        </w:rPr>
        <w:t>4)</w:t>
      </w:r>
      <w:r w:rsidRPr="00990FB6">
        <w:rPr>
          <w:rFonts w:eastAsia="Calibri"/>
          <w:i/>
          <w:iCs/>
          <w:sz w:val="22"/>
          <w:szCs w:val="22"/>
          <w:lang w:val="es-419" w:eastAsia="en-US"/>
        </w:rPr>
        <w:t xml:space="preserve"> Comunicar el presente acuerdo al Ministerio Público, Comisión de la Jurisdicción Penal, Dirección General del Organismo de Investigación Judicial, Escuela Judicial, Unidad de Capacitación del Organismo de Investigación Judicial, Dirección de Gestión Humana, Unidad de Potencial Interno de la Administración del Organismo de Investigación Judicial y Dirección de Planificación.</w:t>
      </w:r>
      <w:r w:rsidRPr="00990FB6">
        <w:rPr>
          <w:i/>
          <w:iCs/>
          <w:sz w:val="22"/>
          <w:szCs w:val="22"/>
          <w:lang w:val="es-CR" w:eastAsia="en-US"/>
        </w:rPr>
        <w:t>”.</w:t>
      </w:r>
    </w:p>
    <w:p w14:paraId="22E5F577" w14:textId="77777777" w:rsidR="00B15F7D" w:rsidRPr="00990FB6" w:rsidRDefault="00B15F7D" w:rsidP="00B15F7D">
      <w:pPr>
        <w:suppressAutoHyphens w:val="0"/>
        <w:ind w:left="851" w:right="900" w:firstLine="709"/>
        <w:jc w:val="both"/>
        <w:rPr>
          <w:sz w:val="22"/>
          <w:szCs w:val="22"/>
          <w:lang w:val="es-CR" w:eastAsia="en-US"/>
        </w:rPr>
      </w:pPr>
    </w:p>
    <w:p w14:paraId="6B06A56D" w14:textId="77777777" w:rsidR="00B15F7D" w:rsidRPr="00990FB6" w:rsidRDefault="00B15F7D" w:rsidP="00B15F7D">
      <w:pPr>
        <w:suppressAutoHyphens w:val="0"/>
        <w:ind w:left="851" w:right="900" w:firstLine="709"/>
        <w:jc w:val="both"/>
        <w:rPr>
          <w:i/>
          <w:iCs/>
          <w:sz w:val="22"/>
          <w:szCs w:val="22"/>
          <w:lang w:val="es-CR" w:eastAsia="en-US"/>
        </w:rPr>
      </w:pPr>
      <w:r w:rsidRPr="00990FB6">
        <w:rPr>
          <w:sz w:val="22"/>
          <w:szCs w:val="22"/>
          <w:lang w:val="es-CR" w:eastAsia="en-US"/>
        </w:rPr>
        <w:t xml:space="preserve">Posteriormente, el Consejo Superior en sesión 29-2022, celebrada el 01 de abril de 2022, artículo XV, conoció el informe 188-PLA-RH-MI-2022, donde </w:t>
      </w:r>
      <w:r w:rsidRPr="00990FB6">
        <w:rPr>
          <w:b/>
          <w:bCs/>
          <w:sz w:val="22"/>
          <w:szCs w:val="22"/>
          <w:lang w:val="es-CR" w:eastAsia="en-US"/>
        </w:rPr>
        <w:t>acordó:</w:t>
      </w:r>
      <w:r w:rsidRPr="00990FB6">
        <w:rPr>
          <w:sz w:val="22"/>
          <w:szCs w:val="22"/>
          <w:lang w:val="es-CR" w:eastAsia="en-US"/>
        </w:rPr>
        <w:t xml:space="preserve"> </w:t>
      </w:r>
      <w:r w:rsidRPr="00990FB6">
        <w:rPr>
          <w:b/>
          <w:bCs/>
          <w:i/>
          <w:iCs/>
          <w:sz w:val="22"/>
          <w:szCs w:val="22"/>
          <w:lang w:val="es-CR" w:eastAsia="en-US"/>
        </w:rPr>
        <w:t>1) </w:t>
      </w:r>
      <w:r w:rsidRPr="00990FB6">
        <w:rPr>
          <w:i/>
          <w:iCs/>
          <w:sz w:val="22"/>
          <w:szCs w:val="22"/>
          <w:lang w:val="es-CR" w:eastAsia="en-US"/>
        </w:rPr>
        <w:t xml:space="preserve">Aprobar el informe 188-PLA-RH-MI-2022, relacionado con la actualización presupuestaria del costo de las plazas requeridas por el Organismo de Investigación Judicial, de personas Custodias y Custodios en las diferentes zonas del país. </w:t>
      </w:r>
      <w:r w:rsidRPr="00990FB6">
        <w:rPr>
          <w:b/>
          <w:bCs/>
          <w:i/>
          <w:iCs/>
          <w:sz w:val="22"/>
          <w:szCs w:val="22"/>
          <w:lang w:val="es-CR" w:eastAsia="en-US"/>
        </w:rPr>
        <w:t>2)</w:t>
      </w:r>
      <w:r w:rsidRPr="00990FB6">
        <w:rPr>
          <w:i/>
          <w:iCs/>
          <w:sz w:val="22"/>
          <w:szCs w:val="22"/>
          <w:lang w:val="es-CR" w:eastAsia="en-US"/>
        </w:rPr>
        <w:t> Comunicar a Corte Plena este informe para hacer de su conocimiento la necesidad de 22 plazas nuevas que requiere el Organismo de Investigación Judicial, para considerar la posibilidad de solicitar estos requerimientos ante el Ministerio de Hacienda. La magistrada Solano, se abstiene de votar.</w:t>
      </w:r>
    </w:p>
    <w:p w14:paraId="79054692" w14:textId="77777777" w:rsidR="00B15F7D" w:rsidRPr="00990FB6" w:rsidRDefault="00B15F7D" w:rsidP="00B15F7D">
      <w:pPr>
        <w:suppressAutoHyphens w:val="0"/>
        <w:ind w:left="851" w:right="900" w:firstLine="709"/>
        <w:jc w:val="both"/>
        <w:rPr>
          <w:sz w:val="22"/>
          <w:szCs w:val="22"/>
          <w:lang w:val="es-CR" w:eastAsia="en-US"/>
        </w:rPr>
      </w:pPr>
    </w:p>
    <w:p w14:paraId="5A715888" w14:textId="77777777" w:rsidR="00B15F7D" w:rsidRPr="00990FB6" w:rsidRDefault="00B15F7D" w:rsidP="00B15F7D">
      <w:pPr>
        <w:suppressAutoHyphens w:val="0"/>
        <w:ind w:left="851" w:right="900" w:firstLine="709"/>
        <w:jc w:val="both"/>
        <w:rPr>
          <w:sz w:val="22"/>
          <w:szCs w:val="22"/>
          <w:lang w:val="es-CR" w:eastAsia="es-CR"/>
        </w:rPr>
      </w:pPr>
      <w:r w:rsidRPr="00990FB6">
        <w:rPr>
          <w:sz w:val="22"/>
          <w:szCs w:val="22"/>
          <w:lang w:val="es-CR" w:eastAsia="en-US"/>
        </w:rPr>
        <w:t>Relacionado con lo anterior, y c</w:t>
      </w:r>
      <w:r w:rsidRPr="00990FB6">
        <w:rPr>
          <w:sz w:val="22"/>
          <w:szCs w:val="22"/>
          <w:lang w:val="es-CR" w:eastAsia="es-CR"/>
        </w:rPr>
        <w:t xml:space="preserve">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w:t>
      </w:r>
      <w:r w:rsidRPr="00990FB6">
        <w:rPr>
          <w:sz w:val="22"/>
          <w:szCs w:val="22"/>
          <w:lang w:val="es-CR" w:eastAsia="es-CR"/>
        </w:rPr>
        <w:lastRenderedPageBreak/>
        <w:t xml:space="preserve">del presupuesto 2023 y conociendo las limitaciones presupuestarias institucionales; a continuación, se muestra la necesidad de presupuestar para el 2023 el recurso identificado en el estudio 1490-PLA-MI-2020 realizado por esta Dirección. </w:t>
      </w:r>
    </w:p>
    <w:p w14:paraId="495E3F3C" w14:textId="77777777" w:rsidR="00B15F7D" w:rsidRPr="00990FB6" w:rsidRDefault="00B15F7D" w:rsidP="00B15F7D">
      <w:pPr>
        <w:suppressAutoHyphens w:val="0"/>
        <w:ind w:left="851" w:right="900" w:firstLine="709"/>
        <w:jc w:val="both"/>
        <w:rPr>
          <w:sz w:val="22"/>
          <w:szCs w:val="22"/>
          <w:lang w:val="es-CR" w:eastAsia="es-CR"/>
        </w:rPr>
      </w:pPr>
    </w:p>
    <w:p w14:paraId="3FACB4DE" w14:textId="77777777" w:rsidR="00B15F7D" w:rsidRPr="00990FB6" w:rsidRDefault="00B15F7D" w:rsidP="00B15F7D">
      <w:pPr>
        <w:suppressAutoHyphens w:val="0"/>
        <w:ind w:left="851" w:right="900" w:firstLine="709"/>
        <w:jc w:val="both"/>
        <w:rPr>
          <w:sz w:val="22"/>
          <w:szCs w:val="22"/>
          <w:lang w:val="es-CR" w:eastAsia="en-US"/>
        </w:rPr>
      </w:pPr>
      <w:r w:rsidRPr="00990FB6">
        <w:rPr>
          <w:sz w:val="22"/>
          <w:szCs w:val="22"/>
          <w:lang w:val="es-CR" w:eastAsia="en-US"/>
        </w:rPr>
        <w:t xml:space="preserve">De acuerdo con el análisis de cargas de trabajo realizado en las Unidades de Cárceles abordadas  producto del Proyecto de Mejora Integral del Proceso Penal,  se visualiza la necesidad  de dotar dentro de sus estructuras de trabajo de dos plazas de personas custodias en la Delegación Regional del Organismo de Investigación Judicial de Heredia, dos plazas de personas custodias en la Delegación Regional del Organismo de Investigación Judicial de Corredores, una plaza de persona custodia en la Oficina Regional del Organismo de Investigación Judicial de Bribri, una plaza de persona custodia en la Oficina Regional del Organismo de Investigación Judicial de </w:t>
      </w:r>
      <w:proofErr w:type="spellStart"/>
      <w:r w:rsidRPr="00990FB6">
        <w:rPr>
          <w:sz w:val="22"/>
          <w:szCs w:val="22"/>
          <w:lang w:val="es-CR" w:eastAsia="en-US"/>
        </w:rPr>
        <w:t>Bataán</w:t>
      </w:r>
      <w:proofErr w:type="spellEnd"/>
      <w:r w:rsidRPr="00990FB6">
        <w:rPr>
          <w:sz w:val="22"/>
          <w:szCs w:val="22"/>
          <w:lang w:val="es-CR" w:eastAsia="en-US"/>
        </w:rPr>
        <w:t xml:space="preserve">, una plaza de persona custodia en la Oficina Regional del Organismo de Investigación Judicial de Puriscal (quienes cuentan en la actualidad con una plaza a modo de préstamo por parte del I Circuito Judicial de San José, de Custodia o Custodio de persona detenida), dos plazas de persona custodia en la Unidad Regional del Organismo de Investigación Judicial de Los Chiles, una plaza de persona custodia en la Unidad Regional del Organismo de Investigación Judicial de Buenos Aires, dos plazas de persona custodia en la Unidad Regional del Organismo de Investigación Judicial de Atenas. </w:t>
      </w:r>
    </w:p>
    <w:p w14:paraId="5FA37AD8" w14:textId="77777777" w:rsidR="00B15F7D" w:rsidRPr="00990FB6" w:rsidRDefault="00B15F7D" w:rsidP="00B15F7D">
      <w:pPr>
        <w:suppressAutoHyphens w:val="0"/>
        <w:ind w:left="851" w:right="900" w:firstLine="709"/>
        <w:jc w:val="both"/>
        <w:rPr>
          <w:sz w:val="22"/>
          <w:szCs w:val="22"/>
          <w:lang w:val="es-CR" w:eastAsia="en-US"/>
        </w:rPr>
      </w:pPr>
    </w:p>
    <w:p w14:paraId="1DAC9447" w14:textId="77777777" w:rsidR="00B15F7D" w:rsidRPr="00990FB6" w:rsidRDefault="00B15F7D" w:rsidP="00B15F7D">
      <w:pPr>
        <w:suppressAutoHyphens w:val="0"/>
        <w:ind w:left="851" w:right="900" w:firstLine="709"/>
        <w:jc w:val="both"/>
        <w:rPr>
          <w:b/>
          <w:bCs/>
          <w:sz w:val="22"/>
          <w:szCs w:val="22"/>
          <w:lang w:val="es-CR" w:eastAsia="en-US"/>
        </w:rPr>
      </w:pPr>
      <w:r w:rsidRPr="00990FB6">
        <w:rPr>
          <w:sz w:val="22"/>
          <w:szCs w:val="22"/>
          <w:lang w:val="es-CR" w:eastAsia="en-US"/>
        </w:rPr>
        <w:t>En el transcurso del 2020 la Dirección de Planificación abordó el Segundo Circuito Judicial de la Zona Atlántica y el Segundo Circuito Judicial de Guanacaste, por lo tanto, se incorporó las necesidades de dos plazas de personas custodias en la Subdelegación Regional del Organismo de Investigación Judicial de Santa Cruz, dos plazas de personas custodias en la Subdelegación Regional del Organismo de Investigación Judicial de Siquirres, dos plazas en Turrialba, Sarapiquí y Cañas debido a que también se analizó los resultados del proyecto de mejora integral del proceso penal en planes remediales donde se han revisado estructuras mínimas de oficinas y se ha visto la necesidad de poder establecer estructuras ordinarias que permitan disminuir tiempos de traslado, maximizar recurso humano y mejorar el servicio público.</w:t>
      </w:r>
    </w:p>
    <w:p w14:paraId="00C1192D" w14:textId="77777777" w:rsidR="00B15F7D" w:rsidRPr="00990FB6" w:rsidRDefault="00B15F7D" w:rsidP="00B15F7D">
      <w:pPr>
        <w:suppressAutoHyphens w:val="0"/>
        <w:ind w:left="851" w:right="900" w:firstLine="709"/>
        <w:jc w:val="both"/>
        <w:rPr>
          <w:sz w:val="22"/>
          <w:szCs w:val="22"/>
          <w:lang w:val="es-CR" w:eastAsia="en-US"/>
        </w:rPr>
      </w:pPr>
    </w:p>
    <w:p w14:paraId="0AEF7B5D" w14:textId="77777777" w:rsidR="00B15F7D" w:rsidRPr="00990FB6" w:rsidRDefault="00B15F7D" w:rsidP="00B15F7D">
      <w:pPr>
        <w:suppressAutoHyphens w:val="0"/>
        <w:ind w:left="851" w:right="900" w:firstLine="709"/>
        <w:jc w:val="both"/>
        <w:rPr>
          <w:sz w:val="22"/>
          <w:szCs w:val="22"/>
          <w:lang w:val="es-CR" w:eastAsia="en-US"/>
        </w:rPr>
      </w:pPr>
      <w:r w:rsidRPr="00990FB6">
        <w:rPr>
          <w:sz w:val="22"/>
          <w:szCs w:val="22"/>
          <w:lang w:val="es-CR" w:eastAsia="en-US"/>
        </w:rPr>
        <w:t xml:space="preserve">De acuerdo con la recomendación anteriormente descrita, se procedió a realizar la actualización de la estimación de costos asociados a los requerimientos de personal Custodio de Detenidos en las oficinas del Organismo de Investigación Judicial de Heredia, Corredores, Bribri, </w:t>
      </w:r>
      <w:proofErr w:type="spellStart"/>
      <w:r w:rsidRPr="00990FB6">
        <w:rPr>
          <w:sz w:val="22"/>
          <w:szCs w:val="22"/>
          <w:lang w:val="es-CR" w:eastAsia="en-US"/>
        </w:rPr>
        <w:t>Bataán</w:t>
      </w:r>
      <w:proofErr w:type="spellEnd"/>
      <w:r w:rsidRPr="00990FB6">
        <w:rPr>
          <w:sz w:val="22"/>
          <w:szCs w:val="22"/>
          <w:lang w:val="es-CR" w:eastAsia="en-US"/>
        </w:rPr>
        <w:t>, Puriscal, Los Chiles, Buenos Aires, Atenas, Santa Cruz, Turrialba, Sarapiquí, Cañas y Siquirres. A continuación, se muestra la estimación de costos respecto al recurso humano sugerido.</w:t>
      </w:r>
    </w:p>
    <w:p w14:paraId="205C521D" w14:textId="77777777" w:rsidR="00B15F7D" w:rsidRPr="00990FB6" w:rsidRDefault="00B15F7D" w:rsidP="00B15F7D">
      <w:pPr>
        <w:suppressAutoHyphens w:val="0"/>
        <w:ind w:left="851" w:right="851" w:firstLine="709"/>
        <w:jc w:val="center"/>
        <w:rPr>
          <w:sz w:val="22"/>
          <w:szCs w:val="22"/>
          <w:lang w:val="es-CR" w:eastAsia="en-US"/>
        </w:rPr>
      </w:pPr>
    </w:p>
    <w:p w14:paraId="10C6F1C6" w14:textId="13D6F4FB" w:rsidR="00B15F7D" w:rsidRPr="00990FB6" w:rsidRDefault="00B15F7D" w:rsidP="00B15F7D">
      <w:pPr>
        <w:suppressAutoHyphens w:val="0"/>
        <w:ind w:left="851" w:right="851" w:firstLine="709"/>
        <w:jc w:val="center"/>
        <w:rPr>
          <w:sz w:val="22"/>
          <w:szCs w:val="22"/>
          <w:lang w:val="es-CR" w:eastAsia="en-US"/>
        </w:rPr>
      </w:pPr>
      <w:r w:rsidRPr="00990FB6">
        <w:rPr>
          <w:sz w:val="22"/>
          <w:szCs w:val="22"/>
          <w:lang w:val="es-CR" w:eastAsia="en-US"/>
        </w:rPr>
        <w:t>Cuadro 1. Costos estimados de las plazas propuestas de Custodios de Detenidos</w:t>
      </w:r>
    </w:p>
    <w:p w14:paraId="3880F45C" w14:textId="77777777" w:rsidR="00B305D7" w:rsidRPr="00990FB6" w:rsidRDefault="00B305D7" w:rsidP="00B15F7D">
      <w:pPr>
        <w:suppressAutoHyphens w:val="0"/>
        <w:ind w:left="851" w:right="851" w:firstLine="709"/>
        <w:jc w:val="center"/>
        <w:rPr>
          <w:sz w:val="22"/>
          <w:szCs w:val="22"/>
          <w:lang w:val="es-CR" w:eastAsia="en-US"/>
        </w:rPr>
      </w:pPr>
    </w:p>
    <w:tbl>
      <w:tblPr>
        <w:tblW w:w="0" w:type="auto"/>
        <w:tblCellMar>
          <w:left w:w="70" w:type="dxa"/>
          <w:right w:w="70" w:type="dxa"/>
        </w:tblCellMar>
        <w:tblLook w:val="04A0" w:firstRow="1" w:lastRow="0" w:firstColumn="1" w:lastColumn="0" w:noHBand="0" w:noVBand="1"/>
      </w:tblPr>
      <w:tblGrid>
        <w:gridCol w:w="1769"/>
        <w:gridCol w:w="2244"/>
        <w:gridCol w:w="1021"/>
        <w:gridCol w:w="1141"/>
        <w:gridCol w:w="1026"/>
        <w:gridCol w:w="885"/>
        <w:gridCol w:w="1117"/>
      </w:tblGrid>
      <w:tr w:rsidR="00B15F7D" w:rsidRPr="00990FB6" w14:paraId="7E812ABB" w14:textId="77777777" w:rsidTr="000A0C22">
        <w:trPr>
          <w:trHeight w:val="768"/>
        </w:trPr>
        <w:tc>
          <w:tcPr>
            <w:tcW w:w="0" w:type="auto"/>
            <w:tcBorders>
              <w:top w:val="single" w:sz="4" w:space="0" w:color="auto"/>
              <w:left w:val="single" w:sz="4" w:space="0" w:color="auto"/>
              <w:bottom w:val="single" w:sz="4" w:space="0" w:color="auto"/>
              <w:right w:val="single" w:sz="4" w:space="0" w:color="auto"/>
            </w:tcBorders>
            <w:shd w:val="clear" w:color="000000" w:fill="D9E1F2"/>
            <w:vAlign w:val="center"/>
            <w:hideMark/>
          </w:tcPr>
          <w:p w14:paraId="3B3602D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Programa</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22180CB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Oficina</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0FACD4C0"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746A7E6C"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Tipo de plaza</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3480E9AD"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xml:space="preserve"> Costo Unitario  </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50914FD0"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Período</w:t>
            </w:r>
          </w:p>
        </w:tc>
        <w:tc>
          <w:tcPr>
            <w:tcW w:w="0" w:type="auto"/>
            <w:tcBorders>
              <w:top w:val="single" w:sz="4" w:space="0" w:color="auto"/>
              <w:left w:val="nil"/>
              <w:bottom w:val="single" w:sz="4" w:space="0" w:color="auto"/>
              <w:right w:val="single" w:sz="4" w:space="0" w:color="auto"/>
            </w:tcBorders>
            <w:shd w:val="clear" w:color="000000" w:fill="D9E1F2"/>
            <w:vAlign w:val="center"/>
            <w:hideMark/>
          </w:tcPr>
          <w:p w14:paraId="71AFC0B7"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Costo Estimado</w:t>
            </w:r>
          </w:p>
        </w:tc>
      </w:tr>
      <w:tr w:rsidR="00B15F7D" w:rsidRPr="00990FB6" w14:paraId="5E1470BF" w14:textId="77777777" w:rsidTr="000A0C22">
        <w:trPr>
          <w:trHeight w:val="288"/>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3C514AAF"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lastRenderedPageBreak/>
              <w:t>Organismo de Investigación Judicial (928)</w:t>
            </w:r>
          </w:p>
        </w:tc>
        <w:tc>
          <w:tcPr>
            <w:tcW w:w="0" w:type="auto"/>
            <w:tcBorders>
              <w:top w:val="nil"/>
              <w:left w:val="nil"/>
              <w:bottom w:val="single" w:sz="4" w:space="0" w:color="auto"/>
              <w:right w:val="single" w:sz="4" w:space="0" w:color="auto"/>
            </w:tcBorders>
            <w:shd w:val="clear" w:color="auto" w:fill="auto"/>
            <w:vAlign w:val="center"/>
            <w:hideMark/>
          </w:tcPr>
          <w:p w14:paraId="15AAF41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Delegación Regional del Organismo de Investigación Judicial de Heredia</w:t>
            </w:r>
          </w:p>
        </w:tc>
        <w:tc>
          <w:tcPr>
            <w:tcW w:w="0" w:type="auto"/>
            <w:tcBorders>
              <w:top w:val="nil"/>
              <w:left w:val="nil"/>
              <w:bottom w:val="single" w:sz="4" w:space="0" w:color="auto"/>
              <w:right w:val="single" w:sz="4" w:space="0" w:color="auto"/>
            </w:tcBorders>
            <w:shd w:val="clear" w:color="auto" w:fill="auto"/>
            <w:vAlign w:val="center"/>
            <w:hideMark/>
          </w:tcPr>
          <w:p w14:paraId="5A61F78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B610D1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553F330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74952BB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19BC0B9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11F66840"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51363CA2"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28C0E64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Delegación Regional del Organismo de Investigación Judicial de Corredores</w:t>
            </w:r>
          </w:p>
        </w:tc>
        <w:tc>
          <w:tcPr>
            <w:tcW w:w="0" w:type="auto"/>
            <w:tcBorders>
              <w:top w:val="nil"/>
              <w:left w:val="nil"/>
              <w:bottom w:val="single" w:sz="4" w:space="0" w:color="auto"/>
              <w:right w:val="single" w:sz="4" w:space="0" w:color="auto"/>
            </w:tcBorders>
            <w:shd w:val="clear" w:color="auto" w:fill="auto"/>
            <w:vAlign w:val="center"/>
            <w:hideMark/>
          </w:tcPr>
          <w:p w14:paraId="0B4DDF1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5747E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211C31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51A868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44BC96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1A039E84"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350A1F8A"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6068C52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Oficina Regional del Organismo de Investigación Judicial de Bribri</w:t>
            </w:r>
          </w:p>
        </w:tc>
        <w:tc>
          <w:tcPr>
            <w:tcW w:w="0" w:type="auto"/>
            <w:tcBorders>
              <w:top w:val="nil"/>
              <w:left w:val="nil"/>
              <w:bottom w:val="single" w:sz="4" w:space="0" w:color="auto"/>
              <w:right w:val="single" w:sz="4" w:space="0" w:color="auto"/>
            </w:tcBorders>
            <w:shd w:val="clear" w:color="auto" w:fill="auto"/>
            <w:vAlign w:val="center"/>
            <w:hideMark/>
          </w:tcPr>
          <w:p w14:paraId="2E5F4E3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9487B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0CC64AA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2E2A943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328456D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r>
      <w:tr w:rsidR="00B15F7D" w:rsidRPr="00990FB6" w14:paraId="1D9C5475"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17E4FAD5"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46777EC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Oficina Regional del Organismo de Investigación Judicial de </w:t>
            </w:r>
            <w:proofErr w:type="spellStart"/>
            <w:r w:rsidRPr="00990FB6">
              <w:rPr>
                <w:color w:val="000000"/>
                <w:sz w:val="22"/>
                <w:szCs w:val="22"/>
                <w:lang w:val="es-CR" w:eastAsia="es-CR"/>
              </w:rPr>
              <w:t>Bataán</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7147FB2C"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17BC77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34A0CD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17FEE91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29402A1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r>
      <w:tr w:rsidR="00B15F7D" w:rsidRPr="00990FB6" w14:paraId="1A6A8EED"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1160CFA5"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4A0A96D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Oficina Regional del Organismo de Investigación Judicial de Puriscal</w:t>
            </w:r>
          </w:p>
        </w:tc>
        <w:tc>
          <w:tcPr>
            <w:tcW w:w="0" w:type="auto"/>
            <w:tcBorders>
              <w:top w:val="nil"/>
              <w:left w:val="nil"/>
              <w:bottom w:val="single" w:sz="4" w:space="0" w:color="auto"/>
              <w:right w:val="single" w:sz="4" w:space="0" w:color="auto"/>
            </w:tcBorders>
            <w:shd w:val="clear" w:color="auto" w:fill="auto"/>
            <w:vAlign w:val="center"/>
            <w:hideMark/>
          </w:tcPr>
          <w:p w14:paraId="13490B1A"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43B8DE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2BBEDB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5400A3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379998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r>
      <w:tr w:rsidR="00B15F7D" w:rsidRPr="00990FB6" w14:paraId="56536C89"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04F9E508"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01D4099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Unidad Regional del Organismo de Investigación Judicial de Los Chiles</w:t>
            </w:r>
          </w:p>
        </w:tc>
        <w:tc>
          <w:tcPr>
            <w:tcW w:w="0" w:type="auto"/>
            <w:tcBorders>
              <w:top w:val="nil"/>
              <w:left w:val="nil"/>
              <w:bottom w:val="single" w:sz="4" w:space="0" w:color="auto"/>
              <w:right w:val="single" w:sz="4" w:space="0" w:color="auto"/>
            </w:tcBorders>
            <w:shd w:val="clear" w:color="auto" w:fill="auto"/>
            <w:vAlign w:val="center"/>
            <w:hideMark/>
          </w:tcPr>
          <w:p w14:paraId="3E80F41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42026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1082B23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00FB80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4B7158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2839E7D3"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5977AE8B"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5F6FDE1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Unidad Regional del Organismo de Investigación Judicial de Buenos Aires</w:t>
            </w:r>
          </w:p>
        </w:tc>
        <w:tc>
          <w:tcPr>
            <w:tcW w:w="0" w:type="auto"/>
            <w:tcBorders>
              <w:top w:val="nil"/>
              <w:left w:val="nil"/>
              <w:bottom w:val="single" w:sz="4" w:space="0" w:color="auto"/>
              <w:right w:val="single" w:sz="4" w:space="0" w:color="auto"/>
            </w:tcBorders>
            <w:shd w:val="clear" w:color="auto" w:fill="auto"/>
            <w:vAlign w:val="center"/>
            <w:hideMark/>
          </w:tcPr>
          <w:p w14:paraId="61A8F3A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997FD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46E3E0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2F267F4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72EDCF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r>
      <w:tr w:rsidR="00B15F7D" w:rsidRPr="00990FB6" w14:paraId="53DDB647"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507F61FE"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41DF2D0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Unidad Regional del Organismo de Investigación Judicial de Atenas</w:t>
            </w:r>
          </w:p>
        </w:tc>
        <w:tc>
          <w:tcPr>
            <w:tcW w:w="0" w:type="auto"/>
            <w:tcBorders>
              <w:top w:val="nil"/>
              <w:left w:val="nil"/>
              <w:bottom w:val="single" w:sz="4" w:space="0" w:color="auto"/>
              <w:right w:val="single" w:sz="4" w:space="0" w:color="auto"/>
            </w:tcBorders>
            <w:shd w:val="clear" w:color="auto" w:fill="auto"/>
            <w:vAlign w:val="center"/>
            <w:hideMark/>
          </w:tcPr>
          <w:p w14:paraId="29CF6AFE"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548590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138B67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66025E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03F11C7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0B4A81D4"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7BA6B2B5"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4522BFB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Subdelegación Regional del Organismo de Investigación Judicial de Santa Cruz</w:t>
            </w:r>
          </w:p>
        </w:tc>
        <w:tc>
          <w:tcPr>
            <w:tcW w:w="0" w:type="auto"/>
            <w:tcBorders>
              <w:top w:val="nil"/>
              <w:left w:val="nil"/>
              <w:bottom w:val="single" w:sz="4" w:space="0" w:color="auto"/>
              <w:right w:val="single" w:sz="4" w:space="0" w:color="auto"/>
            </w:tcBorders>
            <w:shd w:val="clear" w:color="auto" w:fill="auto"/>
            <w:vAlign w:val="center"/>
            <w:hideMark/>
          </w:tcPr>
          <w:p w14:paraId="6120BF8B"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06113F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67477D6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3CA221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32EEB96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7F72AF0B"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44634F59"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14:paraId="30E7DF0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Subdelegación Regional del Organismo de Investigación Judicial de Siquirres</w:t>
            </w:r>
          </w:p>
        </w:tc>
        <w:tc>
          <w:tcPr>
            <w:tcW w:w="0" w:type="auto"/>
            <w:tcBorders>
              <w:top w:val="nil"/>
              <w:left w:val="nil"/>
              <w:bottom w:val="single" w:sz="4" w:space="0" w:color="auto"/>
              <w:right w:val="single" w:sz="4" w:space="0" w:color="auto"/>
            </w:tcBorders>
            <w:shd w:val="clear" w:color="auto" w:fill="auto"/>
            <w:vAlign w:val="center"/>
            <w:hideMark/>
          </w:tcPr>
          <w:p w14:paraId="4A64C7C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750A6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auto" w:fill="auto"/>
            <w:vAlign w:val="center"/>
            <w:hideMark/>
          </w:tcPr>
          <w:p w14:paraId="0C0DD05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auto" w:fill="auto"/>
            <w:vAlign w:val="center"/>
            <w:hideMark/>
          </w:tcPr>
          <w:p w14:paraId="08FD345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auto" w:fill="auto"/>
            <w:vAlign w:val="center"/>
            <w:hideMark/>
          </w:tcPr>
          <w:p w14:paraId="74CD34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4C9E7258"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6DB23D64"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000000" w:fill="FFFFFF"/>
            <w:vAlign w:val="center"/>
            <w:hideMark/>
          </w:tcPr>
          <w:p w14:paraId="69EA240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Subdelegación Regional del Organismo de </w:t>
            </w:r>
            <w:r w:rsidRPr="00990FB6">
              <w:rPr>
                <w:color w:val="000000"/>
                <w:sz w:val="22"/>
                <w:szCs w:val="22"/>
                <w:lang w:val="es-CR" w:eastAsia="es-CR"/>
              </w:rPr>
              <w:lastRenderedPageBreak/>
              <w:t>Investigación Judicial de Cañas</w:t>
            </w:r>
          </w:p>
        </w:tc>
        <w:tc>
          <w:tcPr>
            <w:tcW w:w="0" w:type="auto"/>
            <w:tcBorders>
              <w:top w:val="nil"/>
              <w:left w:val="nil"/>
              <w:bottom w:val="single" w:sz="4" w:space="0" w:color="auto"/>
              <w:right w:val="single" w:sz="4" w:space="0" w:color="auto"/>
            </w:tcBorders>
            <w:shd w:val="clear" w:color="000000" w:fill="FFFFFF"/>
            <w:vAlign w:val="center"/>
            <w:hideMark/>
          </w:tcPr>
          <w:p w14:paraId="567526BD"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lastRenderedPageBreak/>
              <w:t>2</w:t>
            </w:r>
          </w:p>
        </w:tc>
        <w:tc>
          <w:tcPr>
            <w:tcW w:w="0" w:type="auto"/>
            <w:tcBorders>
              <w:top w:val="nil"/>
              <w:left w:val="nil"/>
              <w:bottom w:val="single" w:sz="4" w:space="0" w:color="auto"/>
              <w:right w:val="single" w:sz="4" w:space="0" w:color="auto"/>
            </w:tcBorders>
            <w:shd w:val="clear" w:color="000000" w:fill="FFFFFF"/>
            <w:vAlign w:val="center"/>
            <w:hideMark/>
          </w:tcPr>
          <w:p w14:paraId="675C06B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000000" w:fill="FFFFFF"/>
            <w:vAlign w:val="center"/>
            <w:hideMark/>
          </w:tcPr>
          <w:p w14:paraId="507A5D1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000000" w:fill="FFFFFF"/>
            <w:vAlign w:val="center"/>
            <w:hideMark/>
          </w:tcPr>
          <w:p w14:paraId="0152278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000000" w:fill="FFFFFF"/>
            <w:vAlign w:val="center"/>
            <w:hideMark/>
          </w:tcPr>
          <w:p w14:paraId="47C4312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4E053CFD"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759582B7"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000000" w:fill="FFFFFF"/>
            <w:vAlign w:val="center"/>
            <w:hideMark/>
          </w:tcPr>
          <w:p w14:paraId="03C4A42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Subdelegación Regional del Organismo de Investigación Judicial de Turrialba</w:t>
            </w:r>
          </w:p>
        </w:tc>
        <w:tc>
          <w:tcPr>
            <w:tcW w:w="0" w:type="auto"/>
            <w:tcBorders>
              <w:top w:val="nil"/>
              <w:left w:val="nil"/>
              <w:bottom w:val="single" w:sz="4" w:space="0" w:color="auto"/>
              <w:right w:val="single" w:sz="4" w:space="0" w:color="auto"/>
            </w:tcBorders>
            <w:shd w:val="clear" w:color="000000" w:fill="FFFFFF"/>
            <w:vAlign w:val="center"/>
            <w:hideMark/>
          </w:tcPr>
          <w:p w14:paraId="29D99DB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1C846E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000000" w:fill="FFFFFF"/>
            <w:vAlign w:val="center"/>
            <w:hideMark/>
          </w:tcPr>
          <w:p w14:paraId="1F9DF80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000000" w:fill="FFFFFF"/>
            <w:vAlign w:val="center"/>
            <w:hideMark/>
          </w:tcPr>
          <w:p w14:paraId="0A40823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000000" w:fill="FFFFFF"/>
            <w:vAlign w:val="center"/>
            <w:hideMark/>
          </w:tcPr>
          <w:p w14:paraId="67D0BD9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2638633A" w14:textId="77777777" w:rsidTr="000A0C22">
        <w:trPr>
          <w:trHeight w:val="288"/>
        </w:trPr>
        <w:tc>
          <w:tcPr>
            <w:tcW w:w="0" w:type="auto"/>
            <w:vMerge/>
            <w:tcBorders>
              <w:top w:val="nil"/>
              <w:left w:val="single" w:sz="4" w:space="0" w:color="auto"/>
              <w:bottom w:val="single" w:sz="4" w:space="0" w:color="000000"/>
              <w:right w:val="single" w:sz="4" w:space="0" w:color="auto"/>
            </w:tcBorders>
            <w:vAlign w:val="center"/>
            <w:hideMark/>
          </w:tcPr>
          <w:p w14:paraId="3A01A388" w14:textId="77777777" w:rsidR="00B15F7D" w:rsidRPr="00990FB6" w:rsidRDefault="00B15F7D" w:rsidP="00B15F7D">
            <w:pPr>
              <w:suppressAutoHyphens w:val="0"/>
              <w:rPr>
                <w:b/>
                <w:bCs/>
                <w:color w:val="000000"/>
                <w:sz w:val="22"/>
                <w:szCs w:val="22"/>
                <w:lang w:val="es-CR" w:eastAsia="es-CR"/>
              </w:rPr>
            </w:pPr>
          </w:p>
        </w:tc>
        <w:tc>
          <w:tcPr>
            <w:tcW w:w="0" w:type="auto"/>
            <w:tcBorders>
              <w:top w:val="nil"/>
              <w:left w:val="nil"/>
              <w:bottom w:val="single" w:sz="4" w:space="0" w:color="auto"/>
              <w:right w:val="single" w:sz="4" w:space="0" w:color="auto"/>
            </w:tcBorders>
            <w:shd w:val="clear" w:color="000000" w:fill="FFFFFF"/>
            <w:vAlign w:val="center"/>
            <w:hideMark/>
          </w:tcPr>
          <w:p w14:paraId="6BEB684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Subdelegación Regional del Organismo de Investigación Judicial de Sarapiquí</w:t>
            </w:r>
          </w:p>
        </w:tc>
        <w:tc>
          <w:tcPr>
            <w:tcW w:w="0" w:type="auto"/>
            <w:tcBorders>
              <w:top w:val="nil"/>
              <w:left w:val="nil"/>
              <w:bottom w:val="single" w:sz="4" w:space="0" w:color="auto"/>
              <w:right w:val="single" w:sz="4" w:space="0" w:color="auto"/>
            </w:tcBorders>
            <w:shd w:val="clear" w:color="000000" w:fill="FFFFFF"/>
            <w:vAlign w:val="center"/>
            <w:hideMark/>
          </w:tcPr>
          <w:p w14:paraId="410C5DC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1275BFF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Custodio de detenidos</w:t>
            </w:r>
          </w:p>
        </w:tc>
        <w:tc>
          <w:tcPr>
            <w:tcW w:w="0" w:type="auto"/>
            <w:tcBorders>
              <w:top w:val="nil"/>
              <w:left w:val="nil"/>
              <w:bottom w:val="single" w:sz="4" w:space="0" w:color="auto"/>
              <w:right w:val="single" w:sz="4" w:space="0" w:color="auto"/>
            </w:tcBorders>
            <w:shd w:val="clear" w:color="000000" w:fill="FFFFFF"/>
            <w:vAlign w:val="center"/>
            <w:hideMark/>
          </w:tcPr>
          <w:p w14:paraId="4A51E3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₡19 745 000,00 </w:t>
            </w:r>
          </w:p>
        </w:tc>
        <w:tc>
          <w:tcPr>
            <w:tcW w:w="0" w:type="auto"/>
            <w:tcBorders>
              <w:top w:val="nil"/>
              <w:left w:val="nil"/>
              <w:bottom w:val="single" w:sz="4" w:space="0" w:color="auto"/>
              <w:right w:val="single" w:sz="4" w:space="0" w:color="auto"/>
            </w:tcBorders>
            <w:shd w:val="clear" w:color="000000" w:fill="FFFFFF"/>
            <w:vAlign w:val="center"/>
            <w:hideMark/>
          </w:tcPr>
          <w:p w14:paraId="429A72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 meses</w:t>
            </w:r>
          </w:p>
        </w:tc>
        <w:tc>
          <w:tcPr>
            <w:tcW w:w="0" w:type="auto"/>
            <w:tcBorders>
              <w:top w:val="nil"/>
              <w:left w:val="nil"/>
              <w:bottom w:val="single" w:sz="4" w:space="0" w:color="auto"/>
              <w:right w:val="single" w:sz="4" w:space="0" w:color="auto"/>
            </w:tcBorders>
            <w:shd w:val="clear" w:color="000000" w:fill="FFFFFF"/>
            <w:vAlign w:val="center"/>
            <w:hideMark/>
          </w:tcPr>
          <w:p w14:paraId="3A388AF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₡39 490 000,00 </w:t>
            </w:r>
          </w:p>
        </w:tc>
      </w:tr>
      <w:tr w:rsidR="00B15F7D" w:rsidRPr="00990FB6" w14:paraId="36BE9BA9" w14:textId="77777777" w:rsidTr="000A0C22">
        <w:trPr>
          <w:trHeight w:val="288"/>
        </w:trPr>
        <w:tc>
          <w:tcPr>
            <w:tcW w:w="0" w:type="auto"/>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5C4369B5" w14:textId="77777777" w:rsidR="00B15F7D" w:rsidRPr="00990FB6" w:rsidRDefault="00B15F7D" w:rsidP="00B15F7D">
            <w:pPr>
              <w:suppressAutoHyphens w:val="0"/>
              <w:jc w:val="right"/>
              <w:rPr>
                <w:b/>
                <w:bCs/>
                <w:color w:val="000000"/>
                <w:sz w:val="22"/>
                <w:szCs w:val="22"/>
                <w:lang w:val="es-CR" w:eastAsia="es-CR"/>
              </w:rPr>
            </w:pPr>
            <w:r w:rsidRPr="00990FB6">
              <w:rPr>
                <w:b/>
                <w:bCs/>
                <w:color w:val="000000"/>
                <w:sz w:val="22"/>
                <w:szCs w:val="22"/>
                <w:lang w:val="es-CR" w:eastAsia="es-CR"/>
              </w:rPr>
              <w:t>Total</w:t>
            </w:r>
          </w:p>
        </w:tc>
        <w:tc>
          <w:tcPr>
            <w:tcW w:w="0" w:type="auto"/>
            <w:tcBorders>
              <w:top w:val="nil"/>
              <w:left w:val="nil"/>
              <w:bottom w:val="single" w:sz="4" w:space="0" w:color="auto"/>
              <w:right w:val="single" w:sz="4" w:space="0" w:color="auto"/>
            </w:tcBorders>
            <w:shd w:val="clear" w:color="000000" w:fill="D9E1F2"/>
            <w:vAlign w:val="center"/>
            <w:hideMark/>
          </w:tcPr>
          <w:p w14:paraId="213B2317"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22</w:t>
            </w:r>
          </w:p>
        </w:tc>
        <w:tc>
          <w:tcPr>
            <w:tcW w:w="0" w:type="auto"/>
            <w:gridSpan w:val="4"/>
            <w:tcBorders>
              <w:top w:val="single" w:sz="4" w:space="0" w:color="auto"/>
              <w:left w:val="nil"/>
              <w:bottom w:val="single" w:sz="4" w:space="0" w:color="auto"/>
              <w:right w:val="single" w:sz="4" w:space="0" w:color="auto"/>
            </w:tcBorders>
            <w:shd w:val="clear" w:color="000000" w:fill="D9E1F2"/>
            <w:vAlign w:val="center"/>
            <w:hideMark/>
          </w:tcPr>
          <w:p w14:paraId="74BDF721" w14:textId="77777777" w:rsidR="00B15F7D" w:rsidRPr="00990FB6" w:rsidRDefault="00B15F7D" w:rsidP="00B15F7D">
            <w:pPr>
              <w:suppressAutoHyphens w:val="0"/>
              <w:jc w:val="right"/>
              <w:rPr>
                <w:b/>
                <w:bCs/>
                <w:color w:val="000000"/>
                <w:sz w:val="22"/>
                <w:szCs w:val="22"/>
                <w:lang w:val="es-CR" w:eastAsia="es-CR"/>
              </w:rPr>
            </w:pPr>
            <w:r w:rsidRPr="00990FB6">
              <w:rPr>
                <w:b/>
                <w:bCs/>
                <w:color w:val="000000"/>
                <w:sz w:val="22"/>
                <w:szCs w:val="22"/>
                <w:lang w:val="es-CR" w:eastAsia="es-CR"/>
              </w:rPr>
              <w:t xml:space="preserve">₡434 390 000,00 </w:t>
            </w:r>
          </w:p>
        </w:tc>
      </w:tr>
    </w:tbl>
    <w:p w14:paraId="496660CF" w14:textId="77777777" w:rsidR="00B15F7D" w:rsidRPr="00990FB6" w:rsidRDefault="00B15F7D" w:rsidP="00B15F7D">
      <w:pPr>
        <w:suppressAutoHyphens w:val="0"/>
        <w:ind w:firstLine="708"/>
        <w:jc w:val="center"/>
        <w:rPr>
          <w:b/>
          <w:bCs/>
          <w:sz w:val="22"/>
          <w:szCs w:val="22"/>
          <w:lang w:val="es-CR" w:eastAsia="en-US"/>
        </w:rPr>
      </w:pPr>
      <w:r w:rsidRPr="00990FB6">
        <w:rPr>
          <w:sz w:val="22"/>
          <w:szCs w:val="22"/>
          <w:lang w:val="es-CR" w:eastAsia="en-US"/>
        </w:rPr>
        <w:t>Fuente: Dirección de Planificación de acuerdo con información suministrada por el Subproceso de Formulación de Presupuesto y Portafolio de Proyectos</w:t>
      </w:r>
    </w:p>
    <w:p w14:paraId="779CCACD" w14:textId="77777777" w:rsidR="00B15F7D" w:rsidRPr="00990FB6" w:rsidRDefault="00B15F7D" w:rsidP="00B15F7D">
      <w:pPr>
        <w:suppressAutoHyphens w:val="0"/>
        <w:ind w:left="851" w:right="851" w:firstLine="709"/>
        <w:jc w:val="both"/>
        <w:rPr>
          <w:sz w:val="22"/>
          <w:szCs w:val="22"/>
          <w:lang w:val="es-CR" w:eastAsia="en-US"/>
        </w:rPr>
      </w:pPr>
    </w:p>
    <w:p w14:paraId="551D0000"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 xml:space="preserve">Las veintidós plazas de Custodio de Detenidos requeridos para las oficinas del OIJ de Heredia, Corredores, Bribri, </w:t>
      </w:r>
      <w:proofErr w:type="spellStart"/>
      <w:r w:rsidRPr="00990FB6">
        <w:rPr>
          <w:sz w:val="22"/>
          <w:szCs w:val="22"/>
          <w:lang w:val="es-CR" w:eastAsia="en-US"/>
        </w:rPr>
        <w:t>Bataán</w:t>
      </w:r>
      <w:proofErr w:type="spellEnd"/>
      <w:r w:rsidRPr="00990FB6">
        <w:rPr>
          <w:sz w:val="22"/>
          <w:szCs w:val="22"/>
          <w:lang w:val="es-CR" w:eastAsia="en-US"/>
        </w:rPr>
        <w:t>, Puriscal (quienes cuentan en la actualidad con una plaza a modo de préstamo por parte del I Circuito Judicial de San José, de Custodia o Custodio de persona detenida), Los Chiles, Buenos Aires, Atenas, Santa Cruz, Turrialba, Sarapiquí, Cañas y Siquirres implicarían un costo total anual de ₡ 434.390.000,00 en lo que respecta al rubro de Recurso Humano. Aunado a lo anterior, a continuación, se muestran los costos asociados a los requerimientos de equipo básico para el personal custodio de detenidos, tomando en consideración que una plaza de Custodio de Detenidos requiere del siguiente equipo:</w:t>
      </w:r>
    </w:p>
    <w:p w14:paraId="5495DEA2" w14:textId="77777777" w:rsidR="00B15F7D" w:rsidRPr="00990FB6" w:rsidRDefault="00B15F7D" w:rsidP="00B15F7D">
      <w:pPr>
        <w:suppressAutoHyphens w:val="0"/>
        <w:ind w:left="851" w:right="851" w:firstLine="709"/>
        <w:rPr>
          <w:sz w:val="22"/>
          <w:szCs w:val="22"/>
          <w:lang w:val="es-CR" w:eastAsia="en-US"/>
        </w:rPr>
      </w:pPr>
    </w:p>
    <w:p w14:paraId="148AD681" w14:textId="77777777" w:rsidR="00B15F7D" w:rsidRPr="00990FB6" w:rsidRDefault="00B15F7D" w:rsidP="00B15F7D">
      <w:pPr>
        <w:keepNext/>
        <w:suppressAutoHyphens w:val="0"/>
        <w:ind w:left="851" w:right="851" w:firstLine="709"/>
        <w:jc w:val="center"/>
        <w:rPr>
          <w:b/>
          <w:bCs/>
          <w:smallCaps/>
          <w:color w:val="44546A"/>
          <w:sz w:val="22"/>
          <w:szCs w:val="22"/>
          <w:lang w:val="es-CR" w:eastAsia="en-US"/>
        </w:rPr>
      </w:pPr>
      <w:r w:rsidRPr="00990FB6">
        <w:rPr>
          <w:smallCaps/>
          <w:color w:val="44546A"/>
          <w:sz w:val="22"/>
          <w:szCs w:val="22"/>
          <w:lang w:val="es-CR" w:eastAsia="en-US"/>
        </w:rPr>
        <w:t xml:space="preserve">Cuadro 2. Costo equipamiento básico para una plaza de Custodio de Detenidos </w:t>
      </w:r>
      <w:r w:rsidRPr="00990FB6">
        <w:rPr>
          <w:b/>
          <w:bCs/>
          <w:smallCaps/>
          <w:color w:val="44546A"/>
          <w:sz w:val="22"/>
          <w:szCs w:val="22"/>
          <w:lang w:val="es-CR" w:eastAsia="en-US"/>
        </w:rPr>
        <w:t xml:space="preserve"> </w:t>
      </w:r>
    </w:p>
    <w:p w14:paraId="2D53CAB0" w14:textId="77777777" w:rsidR="00B15F7D" w:rsidRPr="00990FB6" w:rsidRDefault="00B15F7D" w:rsidP="00B15F7D">
      <w:pPr>
        <w:keepNext/>
        <w:suppressAutoHyphens w:val="0"/>
        <w:ind w:left="851" w:right="851" w:firstLine="709"/>
        <w:rPr>
          <w:b/>
          <w:bCs/>
          <w:smallCaps/>
          <w:color w:val="44546A"/>
          <w:sz w:val="22"/>
          <w:szCs w:val="22"/>
          <w:lang w:val="es-CR" w:eastAsia="en-US"/>
        </w:rPr>
      </w:pPr>
      <w:r w:rsidRPr="00990FB6">
        <w:rPr>
          <w:b/>
          <w:bCs/>
          <w:smallCaps/>
          <w:noProof/>
          <w:color w:val="44546A"/>
          <w:sz w:val="22"/>
          <w:szCs w:val="22"/>
          <w:lang w:val="es-CR" w:eastAsia="en-US"/>
        </w:rPr>
        <w:drawing>
          <wp:inline distT="0" distB="0" distL="0" distR="0" wp14:anchorId="7751E281" wp14:editId="1B6B54B2">
            <wp:extent cx="4229100" cy="1884045"/>
            <wp:effectExtent l="0" t="0" r="0" b="1905"/>
            <wp:docPr id="613217471" name="Imagen 61321747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Tabla&#10;&#10;Descripción generada automáticamente"/>
                    <pic:cNvPicPr/>
                  </pic:nvPicPr>
                  <pic:blipFill>
                    <a:blip r:embed="rId28"/>
                    <a:stretch>
                      <a:fillRect/>
                    </a:stretch>
                  </pic:blipFill>
                  <pic:spPr>
                    <a:xfrm>
                      <a:off x="0" y="0"/>
                      <a:ext cx="4229100" cy="1884045"/>
                    </a:xfrm>
                    <a:prstGeom prst="rect">
                      <a:avLst/>
                    </a:prstGeom>
                  </pic:spPr>
                </pic:pic>
              </a:graphicData>
            </a:graphic>
          </wp:inline>
        </w:drawing>
      </w:r>
    </w:p>
    <w:p w14:paraId="029381C8" w14:textId="77777777" w:rsidR="00B15F7D" w:rsidRPr="00990FB6" w:rsidRDefault="00B15F7D" w:rsidP="00B15F7D">
      <w:pPr>
        <w:suppressAutoHyphens w:val="0"/>
        <w:ind w:left="851" w:right="851" w:firstLine="709"/>
        <w:jc w:val="center"/>
        <w:rPr>
          <w:b/>
          <w:bCs/>
          <w:sz w:val="22"/>
          <w:szCs w:val="22"/>
          <w:lang w:val="es-CR" w:eastAsia="en-US"/>
        </w:rPr>
      </w:pPr>
      <w:r w:rsidRPr="00990FB6">
        <w:rPr>
          <w:sz w:val="22"/>
          <w:szCs w:val="22"/>
          <w:lang w:val="es-CR" w:eastAsia="en-US"/>
        </w:rPr>
        <w:t>Fuente: Dirección de Planificación de acuerdo con información suministrada por el Subproceso de Formulación de Presupuesto y Portafolio de Proyectos</w:t>
      </w:r>
    </w:p>
    <w:p w14:paraId="6FE67FD7" w14:textId="77777777" w:rsidR="00B15F7D" w:rsidRPr="00990FB6" w:rsidRDefault="00B15F7D" w:rsidP="00B15F7D">
      <w:pPr>
        <w:suppressAutoHyphens w:val="0"/>
        <w:ind w:left="851" w:right="851" w:firstLine="709"/>
        <w:rPr>
          <w:sz w:val="22"/>
          <w:szCs w:val="22"/>
          <w:lang w:eastAsia="en-US"/>
        </w:rPr>
      </w:pPr>
    </w:p>
    <w:p w14:paraId="78C33F0F" w14:textId="462B4995"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 xml:space="preserve">De acuerdo con la información mostrada en los cuadros 1 y 2, a continuación, se muestran los requerimientos y costos totales asociados a la dotación de veintidós </w:t>
      </w:r>
      <w:r w:rsidRPr="00990FB6">
        <w:rPr>
          <w:sz w:val="22"/>
          <w:szCs w:val="22"/>
          <w:lang w:val="es-CR" w:eastAsia="en-US"/>
        </w:rPr>
        <w:lastRenderedPageBreak/>
        <w:t>plazas de Custodio de Detenidos, no se cargaron costos de equipamiento para aquellas zonas en las cuales se cuenta con plan remedial porque ya tienen el equipo.</w:t>
      </w:r>
    </w:p>
    <w:p w14:paraId="05B2C302" w14:textId="77777777" w:rsidR="00B305D7" w:rsidRPr="00990FB6" w:rsidRDefault="00B305D7" w:rsidP="00B15F7D">
      <w:pPr>
        <w:suppressAutoHyphens w:val="0"/>
        <w:ind w:left="851" w:right="851" w:firstLine="709"/>
        <w:jc w:val="both"/>
        <w:rPr>
          <w:sz w:val="22"/>
          <w:szCs w:val="22"/>
          <w:lang w:val="es-CR" w:eastAsia="en-US"/>
        </w:rPr>
      </w:pPr>
    </w:p>
    <w:p w14:paraId="75571F34" w14:textId="35EFCA17" w:rsidR="00B15F7D" w:rsidRPr="00990FB6" w:rsidRDefault="00B15F7D" w:rsidP="00B15F7D">
      <w:pPr>
        <w:keepNext/>
        <w:suppressAutoHyphens w:val="0"/>
        <w:ind w:left="851" w:right="851" w:firstLine="709"/>
        <w:jc w:val="center"/>
        <w:rPr>
          <w:smallCaps/>
          <w:color w:val="44546A"/>
          <w:sz w:val="22"/>
          <w:szCs w:val="22"/>
          <w:lang w:val="es-CR" w:eastAsia="en-US"/>
        </w:rPr>
      </w:pPr>
      <w:r w:rsidRPr="00990FB6">
        <w:rPr>
          <w:smallCaps/>
          <w:color w:val="44546A"/>
          <w:sz w:val="22"/>
          <w:szCs w:val="22"/>
          <w:lang w:val="es-CR" w:eastAsia="en-US"/>
        </w:rPr>
        <w:t xml:space="preserve">Cuadro </w:t>
      </w:r>
      <w:r w:rsidRPr="00990FB6">
        <w:rPr>
          <w:smallCaps/>
          <w:color w:val="44546A"/>
          <w:sz w:val="22"/>
          <w:szCs w:val="22"/>
          <w:lang w:val="es-CR" w:eastAsia="en-US"/>
        </w:rPr>
        <w:fldChar w:fldCharType="begin"/>
      </w:r>
      <w:r w:rsidRPr="00990FB6">
        <w:rPr>
          <w:smallCaps/>
          <w:color w:val="44546A"/>
          <w:sz w:val="22"/>
          <w:szCs w:val="22"/>
          <w:lang w:val="es-CR" w:eastAsia="en-US"/>
        </w:rPr>
        <w:instrText xml:space="preserve"> SEQ Cuadro \* ARABIC </w:instrText>
      </w:r>
      <w:r w:rsidRPr="00990FB6">
        <w:rPr>
          <w:smallCaps/>
          <w:color w:val="44546A"/>
          <w:sz w:val="22"/>
          <w:szCs w:val="22"/>
          <w:lang w:val="es-CR" w:eastAsia="en-US"/>
        </w:rPr>
        <w:fldChar w:fldCharType="separate"/>
      </w:r>
      <w:r w:rsidRPr="00990FB6">
        <w:rPr>
          <w:smallCaps/>
          <w:color w:val="44546A"/>
          <w:sz w:val="22"/>
          <w:szCs w:val="22"/>
          <w:lang w:val="es-CR" w:eastAsia="en-US"/>
        </w:rPr>
        <w:t>3</w:t>
      </w:r>
      <w:r w:rsidRPr="00990FB6">
        <w:rPr>
          <w:smallCaps/>
          <w:color w:val="44546A"/>
          <w:sz w:val="22"/>
          <w:szCs w:val="22"/>
          <w:lang w:val="es-CR" w:eastAsia="en-US"/>
        </w:rPr>
        <w:fldChar w:fldCharType="end"/>
      </w:r>
      <w:r w:rsidRPr="00990FB6">
        <w:rPr>
          <w:smallCaps/>
          <w:color w:val="44546A"/>
          <w:sz w:val="22"/>
          <w:szCs w:val="22"/>
          <w:lang w:val="es-CR" w:eastAsia="en-US"/>
        </w:rPr>
        <w:t xml:space="preserve">. Requerimientos y Costos Asociados a la dotación de veintidós plazas de Custodio de Detenidos </w:t>
      </w:r>
    </w:p>
    <w:p w14:paraId="4B28AE32" w14:textId="77777777" w:rsidR="00B305D7" w:rsidRPr="00990FB6" w:rsidRDefault="00B305D7" w:rsidP="00B15F7D">
      <w:pPr>
        <w:keepNext/>
        <w:suppressAutoHyphens w:val="0"/>
        <w:ind w:left="851" w:right="851" w:firstLine="709"/>
        <w:jc w:val="center"/>
        <w:rPr>
          <w:b/>
          <w:bCs/>
          <w:smallCaps/>
          <w:color w:val="44546A"/>
          <w:sz w:val="22"/>
          <w:szCs w:val="22"/>
          <w:lang w:val="es-CR" w:eastAsia="en-US"/>
        </w:rPr>
      </w:pPr>
    </w:p>
    <w:tbl>
      <w:tblPr>
        <w:tblW w:w="5000" w:type="pct"/>
        <w:jc w:val="center"/>
        <w:tblCellMar>
          <w:left w:w="70" w:type="dxa"/>
          <w:right w:w="70" w:type="dxa"/>
        </w:tblCellMar>
        <w:tblLook w:val="04A0" w:firstRow="1" w:lastRow="0" w:firstColumn="1" w:lastColumn="0" w:noHBand="0" w:noVBand="1"/>
      </w:tblPr>
      <w:tblGrid>
        <w:gridCol w:w="4567"/>
        <w:gridCol w:w="2508"/>
        <w:gridCol w:w="2118"/>
      </w:tblGrid>
      <w:tr w:rsidR="00B15F7D" w:rsidRPr="00990FB6" w14:paraId="0C74D129" w14:textId="77777777" w:rsidTr="000A0C22">
        <w:trPr>
          <w:trHeight w:val="300"/>
          <w:jc w:val="center"/>
        </w:trPr>
        <w:tc>
          <w:tcPr>
            <w:tcW w:w="248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A54F85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w:t>
            </w:r>
          </w:p>
        </w:tc>
        <w:tc>
          <w:tcPr>
            <w:tcW w:w="1364" w:type="pct"/>
            <w:tcBorders>
              <w:top w:val="single" w:sz="8" w:space="0" w:color="auto"/>
              <w:left w:val="nil"/>
              <w:bottom w:val="single" w:sz="8" w:space="0" w:color="auto"/>
              <w:right w:val="nil"/>
            </w:tcBorders>
            <w:shd w:val="clear" w:color="auto" w:fill="auto"/>
            <w:noWrap/>
            <w:vAlign w:val="center"/>
            <w:hideMark/>
          </w:tcPr>
          <w:p w14:paraId="18C8E5F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Programa</w:t>
            </w:r>
          </w:p>
        </w:tc>
        <w:tc>
          <w:tcPr>
            <w:tcW w:w="1152" w:type="pct"/>
            <w:tcBorders>
              <w:top w:val="single" w:sz="8" w:space="0" w:color="auto"/>
              <w:left w:val="nil"/>
              <w:bottom w:val="single" w:sz="8" w:space="0" w:color="auto"/>
              <w:right w:val="single" w:sz="8" w:space="0" w:color="auto"/>
            </w:tcBorders>
            <w:shd w:val="clear" w:color="auto" w:fill="auto"/>
            <w:noWrap/>
            <w:vAlign w:val="center"/>
            <w:hideMark/>
          </w:tcPr>
          <w:p w14:paraId="6E2B414B"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w:t>
            </w:r>
          </w:p>
        </w:tc>
      </w:tr>
      <w:tr w:rsidR="00B15F7D" w:rsidRPr="00990FB6" w14:paraId="6CE8A9C5" w14:textId="77777777" w:rsidTr="000A0C22">
        <w:trPr>
          <w:trHeight w:val="300"/>
          <w:jc w:val="center"/>
        </w:trPr>
        <w:tc>
          <w:tcPr>
            <w:tcW w:w="2484" w:type="pct"/>
            <w:vMerge/>
            <w:tcBorders>
              <w:top w:val="single" w:sz="8" w:space="0" w:color="auto"/>
              <w:left w:val="single" w:sz="8" w:space="0" w:color="auto"/>
              <w:bottom w:val="single" w:sz="8" w:space="0" w:color="000000"/>
              <w:right w:val="single" w:sz="8" w:space="0" w:color="auto"/>
            </w:tcBorders>
            <w:vAlign w:val="center"/>
            <w:hideMark/>
          </w:tcPr>
          <w:p w14:paraId="7888CF8F" w14:textId="77777777" w:rsidR="00B15F7D" w:rsidRPr="00990FB6" w:rsidRDefault="00B15F7D" w:rsidP="00B15F7D">
            <w:pPr>
              <w:suppressAutoHyphens w:val="0"/>
              <w:rPr>
                <w:b/>
                <w:bCs/>
                <w:sz w:val="22"/>
                <w:szCs w:val="22"/>
                <w:lang w:val="es-CR" w:eastAsia="es-CR"/>
              </w:rPr>
            </w:pPr>
          </w:p>
        </w:tc>
        <w:tc>
          <w:tcPr>
            <w:tcW w:w="1364" w:type="pct"/>
            <w:tcBorders>
              <w:top w:val="nil"/>
              <w:left w:val="nil"/>
              <w:bottom w:val="single" w:sz="8" w:space="0" w:color="auto"/>
              <w:right w:val="single" w:sz="8" w:space="0" w:color="auto"/>
            </w:tcBorders>
            <w:shd w:val="clear" w:color="auto" w:fill="auto"/>
            <w:noWrap/>
            <w:vAlign w:val="center"/>
            <w:hideMark/>
          </w:tcPr>
          <w:p w14:paraId="338F8D9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928</w:t>
            </w:r>
          </w:p>
        </w:tc>
        <w:tc>
          <w:tcPr>
            <w:tcW w:w="1152" w:type="pct"/>
            <w:tcBorders>
              <w:top w:val="nil"/>
              <w:left w:val="nil"/>
              <w:bottom w:val="single" w:sz="8" w:space="0" w:color="auto"/>
              <w:right w:val="single" w:sz="8" w:space="0" w:color="auto"/>
            </w:tcBorders>
            <w:shd w:val="clear" w:color="auto" w:fill="auto"/>
            <w:noWrap/>
            <w:vAlign w:val="center"/>
            <w:hideMark/>
          </w:tcPr>
          <w:p w14:paraId="2537E8B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Costo total</w:t>
            </w:r>
          </w:p>
        </w:tc>
      </w:tr>
      <w:tr w:rsidR="00B15F7D" w:rsidRPr="00990FB6" w14:paraId="37F77C72" w14:textId="77777777" w:rsidTr="000A0C22">
        <w:trPr>
          <w:trHeight w:val="290"/>
          <w:jc w:val="center"/>
        </w:trPr>
        <w:tc>
          <w:tcPr>
            <w:tcW w:w="2484" w:type="pct"/>
            <w:tcBorders>
              <w:top w:val="nil"/>
              <w:left w:val="single" w:sz="8" w:space="0" w:color="auto"/>
              <w:bottom w:val="nil"/>
              <w:right w:val="single" w:sz="8" w:space="0" w:color="auto"/>
            </w:tcBorders>
            <w:shd w:val="clear" w:color="auto" w:fill="auto"/>
            <w:noWrap/>
            <w:vAlign w:val="center"/>
            <w:hideMark/>
          </w:tcPr>
          <w:p w14:paraId="34C5E839" w14:textId="77777777" w:rsidR="00B15F7D" w:rsidRPr="00990FB6" w:rsidRDefault="00B15F7D" w:rsidP="00B15F7D">
            <w:pPr>
              <w:suppressAutoHyphens w:val="0"/>
              <w:rPr>
                <w:sz w:val="22"/>
                <w:szCs w:val="22"/>
                <w:lang w:val="es-CR" w:eastAsia="es-CR"/>
              </w:rPr>
            </w:pPr>
            <w:r w:rsidRPr="00990FB6">
              <w:rPr>
                <w:sz w:val="22"/>
                <w:szCs w:val="22"/>
                <w:lang w:val="es-CR" w:eastAsia="es-CR"/>
              </w:rPr>
              <w:t>Recurso humano</w:t>
            </w:r>
          </w:p>
        </w:tc>
        <w:tc>
          <w:tcPr>
            <w:tcW w:w="1364" w:type="pct"/>
            <w:tcBorders>
              <w:top w:val="nil"/>
              <w:left w:val="nil"/>
              <w:bottom w:val="nil"/>
              <w:right w:val="single" w:sz="8" w:space="0" w:color="auto"/>
            </w:tcBorders>
            <w:shd w:val="clear" w:color="auto" w:fill="auto"/>
            <w:noWrap/>
            <w:vAlign w:val="center"/>
            <w:hideMark/>
          </w:tcPr>
          <w:p w14:paraId="276A9DB6"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 xml:space="preserve">₡434 390 000,00 </w:t>
            </w:r>
          </w:p>
        </w:tc>
        <w:tc>
          <w:tcPr>
            <w:tcW w:w="1152" w:type="pct"/>
            <w:tcBorders>
              <w:top w:val="nil"/>
              <w:left w:val="nil"/>
              <w:bottom w:val="nil"/>
              <w:right w:val="single" w:sz="8" w:space="0" w:color="auto"/>
            </w:tcBorders>
            <w:shd w:val="clear" w:color="auto" w:fill="auto"/>
            <w:noWrap/>
            <w:vAlign w:val="center"/>
            <w:hideMark/>
          </w:tcPr>
          <w:p w14:paraId="4031222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434 390 000,00 </w:t>
            </w:r>
          </w:p>
        </w:tc>
      </w:tr>
      <w:tr w:rsidR="00B15F7D" w:rsidRPr="00990FB6" w14:paraId="341F0356" w14:textId="77777777" w:rsidTr="000A0C22">
        <w:trPr>
          <w:trHeight w:val="290"/>
          <w:jc w:val="center"/>
        </w:trPr>
        <w:tc>
          <w:tcPr>
            <w:tcW w:w="2484" w:type="pct"/>
            <w:tcBorders>
              <w:top w:val="nil"/>
              <w:left w:val="single" w:sz="8" w:space="0" w:color="auto"/>
              <w:bottom w:val="nil"/>
              <w:right w:val="single" w:sz="8" w:space="0" w:color="auto"/>
            </w:tcBorders>
            <w:shd w:val="clear" w:color="auto" w:fill="auto"/>
            <w:noWrap/>
            <w:vAlign w:val="center"/>
            <w:hideMark/>
          </w:tcPr>
          <w:p w14:paraId="2C6DF230" w14:textId="77777777" w:rsidR="00B15F7D" w:rsidRPr="00990FB6" w:rsidRDefault="00B15F7D" w:rsidP="00B15F7D">
            <w:pPr>
              <w:suppressAutoHyphens w:val="0"/>
              <w:rPr>
                <w:sz w:val="22"/>
                <w:szCs w:val="22"/>
                <w:lang w:val="es-CR" w:eastAsia="es-CR"/>
              </w:rPr>
            </w:pPr>
            <w:r w:rsidRPr="00990FB6">
              <w:rPr>
                <w:sz w:val="22"/>
                <w:szCs w:val="22"/>
                <w:lang w:val="es-CR" w:eastAsia="es-CR"/>
              </w:rPr>
              <w:t>Útiles y materiales de resguardo y seguridad</w:t>
            </w:r>
          </w:p>
        </w:tc>
        <w:tc>
          <w:tcPr>
            <w:tcW w:w="1364" w:type="pct"/>
            <w:tcBorders>
              <w:top w:val="nil"/>
              <w:left w:val="nil"/>
              <w:bottom w:val="nil"/>
              <w:right w:val="single" w:sz="8" w:space="0" w:color="auto"/>
            </w:tcBorders>
            <w:shd w:val="clear" w:color="auto" w:fill="auto"/>
            <w:noWrap/>
            <w:vAlign w:val="center"/>
            <w:hideMark/>
          </w:tcPr>
          <w:p w14:paraId="10F0EDF0"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₡19 549 904,00</w:t>
            </w:r>
          </w:p>
        </w:tc>
        <w:tc>
          <w:tcPr>
            <w:tcW w:w="1152" w:type="pct"/>
            <w:tcBorders>
              <w:top w:val="nil"/>
              <w:left w:val="nil"/>
              <w:bottom w:val="nil"/>
              <w:right w:val="single" w:sz="8" w:space="0" w:color="auto"/>
            </w:tcBorders>
            <w:shd w:val="clear" w:color="auto" w:fill="auto"/>
            <w:noWrap/>
            <w:vAlign w:val="center"/>
            <w:hideMark/>
          </w:tcPr>
          <w:p w14:paraId="05E4C32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19 549 904,00 </w:t>
            </w:r>
          </w:p>
        </w:tc>
      </w:tr>
      <w:tr w:rsidR="00B15F7D" w:rsidRPr="00990FB6" w14:paraId="7E961D0A" w14:textId="77777777" w:rsidTr="000A0C22">
        <w:trPr>
          <w:trHeight w:val="290"/>
          <w:jc w:val="center"/>
        </w:trPr>
        <w:tc>
          <w:tcPr>
            <w:tcW w:w="2484" w:type="pct"/>
            <w:tcBorders>
              <w:top w:val="nil"/>
              <w:left w:val="single" w:sz="8" w:space="0" w:color="auto"/>
              <w:bottom w:val="nil"/>
              <w:right w:val="single" w:sz="8" w:space="0" w:color="auto"/>
            </w:tcBorders>
            <w:shd w:val="clear" w:color="auto" w:fill="auto"/>
            <w:noWrap/>
            <w:vAlign w:val="center"/>
            <w:hideMark/>
          </w:tcPr>
          <w:p w14:paraId="24CFCA1E" w14:textId="77777777" w:rsidR="00B15F7D" w:rsidRPr="00990FB6" w:rsidRDefault="00B15F7D" w:rsidP="00B15F7D">
            <w:pPr>
              <w:suppressAutoHyphens w:val="0"/>
              <w:rPr>
                <w:sz w:val="22"/>
                <w:szCs w:val="22"/>
                <w:lang w:val="es-CR" w:eastAsia="es-CR"/>
              </w:rPr>
            </w:pPr>
            <w:r w:rsidRPr="00990FB6">
              <w:rPr>
                <w:sz w:val="22"/>
                <w:szCs w:val="22"/>
                <w:lang w:val="es-CR" w:eastAsia="es-CR"/>
              </w:rPr>
              <w:t>Equipo de transporte terrestre</w:t>
            </w:r>
          </w:p>
        </w:tc>
        <w:tc>
          <w:tcPr>
            <w:tcW w:w="1364" w:type="pct"/>
            <w:tcBorders>
              <w:top w:val="nil"/>
              <w:left w:val="nil"/>
              <w:bottom w:val="nil"/>
              <w:right w:val="single" w:sz="8" w:space="0" w:color="auto"/>
            </w:tcBorders>
            <w:shd w:val="clear" w:color="auto" w:fill="auto"/>
            <w:noWrap/>
            <w:vAlign w:val="center"/>
            <w:hideMark/>
          </w:tcPr>
          <w:p w14:paraId="5289AC80"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₡138 990 000,00</w:t>
            </w:r>
          </w:p>
        </w:tc>
        <w:tc>
          <w:tcPr>
            <w:tcW w:w="1152" w:type="pct"/>
            <w:tcBorders>
              <w:top w:val="nil"/>
              <w:left w:val="nil"/>
              <w:bottom w:val="nil"/>
              <w:right w:val="single" w:sz="8" w:space="0" w:color="auto"/>
            </w:tcBorders>
            <w:shd w:val="clear" w:color="auto" w:fill="auto"/>
            <w:noWrap/>
            <w:vAlign w:val="center"/>
            <w:hideMark/>
          </w:tcPr>
          <w:p w14:paraId="06AB8EE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138 990 000,00 </w:t>
            </w:r>
          </w:p>
        </w:tc>
      </w:tr>
      <w:tr w:rsidR="00B15F7D" w:rsidRPr="00990FB6" w14:paraId="46570B49" w14:textId="77777777" w:rsidTr="000A0C22">
        <w:trPr>
          <w:trHeight w:val="290"/>
          <w:jc w:val="center"/>
        </w:trPr>
        <w:tc>
          <w:tcPr>
            <w:tcW w:w="2484" w:type="pct"/>
            <w:tcBorders>
              <w:top w:val="nil"/>
              <w:left w:val="single" w:sz="8" w:space="0" w:color="auto"/>
              <w:bottom w:val="nil"/>
              <w:right w:val="single" w:sz="8" w:space="0" w:color="auto"/>
            </w:tcBorders>
            <w:shd w:val="clear" w:color="auto" w:fill="auto"/>
            <w:noWrap/>
            <w:vAlign w:val="center"/>
            <w:hideMark/>
          </w:tcPr>
          <w:p w14:paraId="5FE502C4" w14:textId="77777777" w:rsidR="00B15F7D" w:rsidRPr="00990FB6" w:rsidRDefault="00B15F7D" w:rsidP="00B15F7D">
            <w:pPr>
              <w:suppressAutoHyphens w:val="0"/>
              <w:rPr>
                <w:sz w:val="22"/>
                <w:szCs w:val="22"/>
                <w:lang w:val="es-CR" w:eastAsia="es-CR"/>
              </w:rPr>
            </w:pPr>
            <w:r w:rsidRPr="00990FB6">
              <w:rPr>
                <w:sz w:val="22"/>
                <w:szCs w:val="22"/>
                <w:lang w:val="es-CR" w:eastAsia="es-CR"/>
              </w:rPr>
              <w:t>Maquinaria y equipo diverso</w:t>
            </w:r>
          </w:p>
        </w:tc>
        <w:tc>
          <w:tcPr>
            <w:tcW w:w="1364" w:type="pct"/>
            <w:tcBorders>
              <w:top w:val="nil"/>
              <w:left w:val="nil"/>
              <w:bottom w:val="nil"/>
              <w:right w:val="single" w:sz="8" w:space="0" w:color="auto"/>
            </w:tcBorders>
            <w:shd w:val="clear" w:color="auto" w:fill="auto"/>
            <w:noWrap/>
            <w:vAlign w:val="center"/>
            <w:hideMark/>
          </w:tcPr>
          <w:p w14:paraId="6FA7F609"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₡19 038 819,58</w:t>
            </w:r>
          </w:p>
        </w:tc>
        <w:tc>
          <w:tcPr>
            <w:tcW w:w="1152" w:type="pct"/>
            <w:tcBorders>
              <w:top w:val="nil"/>
              <w:left w:val="nil"/>
              <w:bottom w:val="nil"/>
              <w:right w:val="single" w:sz="8" w:space="0" w:color="auto"/>
            </w:tcBorders>
            <w:shd w:val="clear" w:color="auto" w:fill="auto"/>
            <w:noWrap/>
            <w:vAlign w:val="center"/>
            <w:hideMark/>
          </w:tcPr>
          <w:p w14:paraId="1996B97F"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19 038 819,58 </w:t>
            </w:r>
          </w:p>
        </w:tc>
      </w:tr>
      <w:tr w:rsidR="00B15F7D" w:rsidRPr="00990FB6" w14:paraId="59E9693C" w14:textId="77777777" w:rsidTr="000A0C22">
        <w:trPr>
          <w:trHeight w:val="290"/>
          <w:jc w:val="center"/>
        </w:trPr>
        <w:tc>
          <w:tcPr>
            <w:tcW w:w="2484" w:type="pct"/>
            <w:tcBorders>
              <w:top w:val="nil"/>
              <w:left w:val="single" w:sz="8" w:space="0" w:color="auto"/>
              <w:bottom w:val="nil"/>
              <w:right w:val="single" w:sz="8" w:space="0" w:color="auto"/>
            </w:tcBorders>
            <w:shd w:val="clear" w:color="auto" w:fill="auto"/>
            <w:noWrap/>
            <w:vAlign w:val="center"/>
            <w:hideMark/>
          </w:tcPr>
          <w:p w14:paraId="1458DAAC"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Textiles y vestuario </w:t>
            </w:r>
          </w:p>
        </w:tc>
        <w:tc>
          <w:tcPr>
            <w:tcW w:w="1364" w:type="pct"/>
            <w:tcBorders>
              <w:top w:val="nil"/>
              <w:left w:val="nil"/>
              <w:bottom w:val="nil"/>
              <w:right w:val="single" w:sz="8" w:space="0" w:color="auto"/>
            </w:tcBorders>
            <w:shd w:val="clear" w:color="auto" w:fill="auto"/>
            <w:noWrap/>
            <w:vAlign w:val="center"/>
            <w:hideMark/>
          </w:tcPr>
          <w:p w14:paraId="2FC9A239"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₡1 607 308,12</w:t>
            </w:r>
          </w:p>
        </w:tc>
        <w:tc>
          <w:tcPr>
            <w:tcW w:w="1152" w:type="pct"/>
            <w:tcBorders>
              <w:top w:val="nil"/>
              <w:left w:val="nil"/>
              <w:bottom w:val="nil"/>
              <w:right w:val="single" w:sz="8" w:space="0" w:color="auto"/>
            </w:tcBorders>
            <w:shd w:val="clear" w:color="auto" w:fill="auto"/>
            <w:noWrap/>
            <w:vAlign w:val="center"/>
            <w:hideMark/>
          </w:tcPr>
          <w:p w14:paraId="65611ED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1 607 308,12 </w:t>
            </w:r>
          </w:p>
        </w:tc>
      </w:tr>
      <w:tr w:rsidR="00B15F7D" w:rsidRPr="00990FB6" w14:paraId="10811F31" w14:textId="77777777" w:rsidTr="000A0C22">
        <w:trPr>
          <w:trHeight w:val="290"/>
          <w:jc w:val="center"/>
        </w:trPr>
        <w:tc>
          <w:tcPr>
            <w:tcW w:w="2484" w:type="pct"/>
            <w:tcBorders>
              <w:top w:val="nil"/>
              <w:left w:val="single" w:sz="8" w:space="0" w:color="auto"/>
              <w:bottom w:val="nil"/>
              <w:right w:val="single" w:sz="8" w:space="0" w:color="auto"/>
            </w:tcBorders>
            <w:shd w:val="clear" w:color="auto" w:fill="auto"/>
            <w:noWrap/>
            <w:vAlign w:val="center"/>
            <w:hideMark/>
          </w:tcPr>
          <w:p w14:paraId="6A770D0B"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Otros útiles materiales y suministros </w:t>
            </w:r>
          </w:p>
        </w:tc>
        <w:tc>
          <w:tcPr>
            <w:tcW w:w="1364" w:type="pct"/>
            <w:tcBorders>
              <w:top w:val="nil"/>
              <w:left w:val="nil"/>
              <w:bottom w:val="nil"/>
              <w:right w:val="single" w:sz="8" w:space="0" w:color="auto"/>
            </w:tcBorders>
            <w:shd w:val="clear" w:color="auto" w:fill="auto"/>
            <w:noWrap/>
            <w:vAlign w:val="center"/>
            <w:hideMark/>
          </w:tcPr>
          <w:p w14:paraId="743C4E90"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₡617 356,52</w:t>
            </w:r>
          </w:p>
        </w:tc>
        <w:tc>
          <w:tcPr>
            <w:tcW w:w="1152" w:type="pct"/>
            <w:tcBorders>
              <w:top w:val="nil"/>
              <w:left w:val="nil"/>
              <w:bottom w:val="nil"/>
              <w:right w:val="single" w:sz="8" w:space="0" w:color="auto"/>
            </w:tcBorders>
            <w:shd w:val="clear" w:color="auto" w:fill="auto"/>
            <w:noWrap/>
            <w:vAlign w:val="center"/>
            <w:hideMark/>
          </w:tcPr>
          <w:p w14:paraId="489ED5E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617 356,52 </w:t>
            </w:r>
          </w:p>
        </w:tc>
      </w:tr>
      <w:tr w:rsidR="00B15F7D" w:rsidRPr="00990FB6" w14:paraId="709221EF" w14:textId="77777777" w:rsidTr="000A0C22">
        <w:trPr>
          <w:trHeight w:val="290"/>
          <w:jc w:val="center"/>
        </w:trPr>
        <w:tc>
          <w:tcPr>
            <w:tcW w:w="2484" w:type="pct"/>
            <w:tcBorders>
              <w:top w:val="nil"/>
              <w:left w:val="single" w:sz="8" w:space="0" w:color="auto"/>
              <w:bottom w:val="nil"/>
              <w:right w:val="single" w:sz="8" w:space="0" w:color="auto"/>
            </w:tcBorders>
            <w:shd w:val="clear" w:color="auto" w:fill="auto"/>
            <w:noWrap/>
            <w:vAlign w:val="center"/>
            <w:hideMark/>
          </w:tcPr>
          <w:p w14:paraId="44966295" w14:textId="77777777" w:rsidR="00B15F7D" w:rsidRPr="00990FB6" w:rsidRDefault="00B15F7D" w:rsidP="00B15F7D">
            <w:pPr>
              <w:suppressAutoHyphens w:val="0"/>
              <w:rPr>
                <w:sz w:val="22"/>
                <w:szCs w:val="22"/>
                <w:lang w:val="es-CR" w:eastAsia="es-CR"/>
              </w:rPr>
            </w:pPr>
            <w:r w:rsidRPr="00990FB6">
              <w:rPr>
                <w:sz w:val="22"/>
                <w:szCs w:val="22"/>
                <w:lang w:val="es-CR" w:eastAsia="es-CR"/>
              </w:rPr>
              <w:t>Equipo de comunicación</w:t>
            </w:r>
          </w:p>
        </w:tc>
        <w:tc>
          <w:tcPr>
            <w:tcW w:w="1364" w:type="pct"/>
            <w:tcBorders>
              <w:top w:val="nil"/>
              <w:left w:val="nil"/>
              <w:bottom w:val="nil"/>
              <w:right w:val="single" w:sz="8" w:space="0" w:color="auto"/>
            </w:tcBorders>
            <w:shd w:val="clear" w:color="auto" w:fill="auto"/>
            <w:noWrap/>
            <w:vAlign w:val="center"/>
            <w:hideMark/>
          </w:tcPr>
          <w:p w14:paraId="5850C86B"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₡3 326 268,00</w:t>
            </w:r>
          </w:p>
        </w:tc>
        <w:tc>
          <w:tcPr>
            <w:tcW w:w="1152" w:type="pct"/>
            <w:tcBorders>
              <w:top w:val="nil"/>
              <w:left w:val="nil"/>
              <w:bottom w:val="nil"/>
              <w:right w:val="single" w:sz="8" w:space="0" w:color="auto"/>
            </w:tcBorders>
            <w:shd w:val="clear" w:color="auto" w:fill="auto"/>
            <w:noWrap/>
            <w:vAlign w:val="center"/>
            <w:hideMark/>
          </w:tcPr>
          <w:p w14:paraId="2E2585F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3 326 268,00 </w:t>
            </w:r>
          </w:p>
        </w:tc>
      </w:tr>
      <w:tr w:rsidR="00B15F7D" w:rsidRPr="00990FB6" w14:paraId="3111642C" w14:textId="77777777" w:rsidTr="000A0C22">
        <w:trPr>
          <w:trHeight w:val="300"/>
          <w:jc w:val="center"/>
        </w:trPr>
        <w:tc>
          <w:tcPr>
            <w:tcW w:w="2484" w:type="pct"/>
            <w:tcBorders>
              <w:top w:val="nil"/>
              <w:left w:val="single" w:sz="8" w:space="0" w:color="auto"/>
              <w:bottom w:val="nil"/>
              <w:right w:val="single" w:sz="8" w:space="0" w:color="auto"/>
            </w:tcBorders>
            <w:shd w:val="clear" w:color="auto" w:fill="auto"/>
            <w:noWrap/>
            <w:vAlign w:val="center"/>
            <w:hideMark/>
          </w:tcPr>
          <w:p w14:paraId="312CC4A9" w14:textId="77777777" w:rsidR="00B15F7D" w:rsidRPr="00990FB6" w:rsidRDefault="00B15F7D" w:rsidP="00B15F7D">
            <w:pPr>
              <w:suppressAutoHyphens w:val="0"/>
              <w:rPr>
                <w:sz w:val="22"/>
                <w:szCs w:val="22"/>
                <w:lang w:val="es-CR" w:eastAsia="es-CR"/>
              </w:rPr>
            </w:pPr>
            <w:r w:rsidRPr="00990FB6">
              <w:rPr>
                <w:sz w:val="22"/>
                <w:szCs w:val="22"/>
                <w:lang w:val="es-CR" w:eastAsia="es-CR"/>
              </w:rPr>
              <w:t>Equipo y mobiliario de plazas nuevas</w:t>
            </w:r>
          </w:p>
        </w:tc>
        <w:tc>
          <w:tcPr>
            <w:tcW w:w="1364" w:type="pct"/>
            <w:tcBorders>
              <w:top w:val="nil"/>
              <w:left w:val="nil"/>
              <w:bottom w:val="nil"/>
              <w:right w:val="single" w:sz="8" w:space="0" w:color="auto"/>
            </w:tcBorders>
            <w:shd w:val="clear" w:color="auto" w:fill="auto"/>
            <w:noWrap/>
            <w:vAlign w:val="center"/>
            <w:hideMark/>
          </w:tcPr>
          <w:p w14:paraId="1D816488" w14:textId="77777777" w:rsidR="00B15F7D" w:rsidRPr="00990FB6" w:rsidRDefault="00B15F7D" w:rsidP="00B15F7D">
            <w:pPr>
              <w:suppressAutoHyphens w:val="0"/>
              <w:jc w:val="right"/>
              <w:rPr>
                <w:color w:val="000000"/>
                <w:sz w:val="22"/>
                <w:szCs w:val="22"/>
                <w:lang w:val="es-CR" w:eastAsia="es-CR"/>
              </w:rPr>
            </w:pPr>
            <w:r w:rsidRPr="00990FB6">
              <w:rPr>
                <w:color w:val="000000"/>
                <w:sz w:val="22"/>
                <w:szCs w:val="22"/>
                <w:lang w:val="es-CR" w:eastAsia="es-CR"/>
              </w:rPr>
              <w:t>₡2 117 839,34</w:t>
            </w:r>
          </w:p>
        </w:tc>
        <w:tc>
          <w:tcPr>
            <w:tcW w:w="1152" w:type="pct"/>
            <w:tcBorders>
              <w:top w:val="nil"/>
              <w:left w:val="nil"/>
              <w:bottom w:val="nil"/>
              <w:right w:val="single" w:sz="8" w:space="0" w:color="auto"/>
            </w:tcBorders>
            <w:shd w:val="clear" w:color="auto" w:fill="auto"/>
            <w:noWrap/>
            <w:vAlign w:val="center"/>
            <w:hideMark/>
          </w:tcPr>
          <w:p w14:paraId="07FA86C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2 117 839,34 </w:t>
            </w:r>
          </w:p>
        </w:tc>
      </w:tr>
      <w:tr w:rsidR="00B15F7D" w:rsidRPr="00990FB6" w14:paraId="283364E8" w14:textId="77777777" w:rsidTr="000A0C22">
        <w:trPr>
          <w:trHeight w:val="300"/>
          <w:jc w:val="center"/>
        </w:trPr>
        <w:tc>
          <w:tcPr>
            <w:tcW w:w="2484" w:type="pct"/>
            <w:tcBorders>
              <w:top w:val="single" w:sz="8" w:space="0" w:color="auto"/>
              <w:left w:val="single" w:sz="8" w:space="0" w:color="auto"/>
              <w:bottom w:val="single" w:sz="8" w:space="0" w:color="auto"/>
              <w:right w:val="nil"/>
            </w:tcBorders>
            <w:shd w:val="clear" w:color="auto" w:fill="auto"/>
            <w:noWrap/>
            <w:vAlign w:val="center"/>
            <w:hideMark/>
          </w:tcPr>
          <w:p w14:paraId="033CCAB3" w14:textId="77777777" w:rsidR="00B15F7D" w:rsidRPr="00990FB6" w:rsidRDefault="00B15F7D" w:rsidP="00B15F7D">
            <w:pPr>
              <w:suppressAutoHyphens w:val="0"/>
              <w:jc w:val="right"/>
              <w:rPr>
                <w:b/>
                <w:bCs/>
                <w:sz w:val="22"/>
                <w:szCs w:val="22"/>
                <w:lang w:val="es-CR" w:eastAsia="es-CR"/>
              </w:rPr>
            </w:pPr>
            <w:r w:rsidRPr="00990FB6">
              <w:rPr>
                <w:b/>
                <w:bCs/>
                <w:sz w:val="22"/>
                <w:szCs w:val="22"/>
                <w:lang w:val="es-CR" w:eastAsia="es-CR"/>
              </w:rPr>
              <w:t>TOTAL</w:t>
            </w:r>
          </w:p>
        </w:tc>
        <w:tc>
          <w:tcPr>
            <w:tcW w:w="1364" w:type="pct"/>
            <w:tcBorders>
              <w:top w:val="single" w:sz="8" w:space="0" w:color="auto"/>
              <w:left w:val="single" w:sz="8" w:space="0" w:color="auto"/>
              <w:bottom w:val="single" w:sz="8" w:space="0" w:color="auto"/>
              <w:right w:val="nil"/>
            </w:tcBorders>
            <w:shd w:val="clear" w:color="auto" w:fill="auto"/>
            <w:noWrap/>
            <w:vAlign w:val="center"/>
            <w:hideMark/>
          </w:tcPr>
          <w:p w14:paraId="4E38D8EB" w14:textId="77777777" w:rsidR="00B15F7D" w:rsidRPr="00990FB6" w:rsidRDefault="00B15F7D" w:rsidP="00B15F7D">
            <w:pPr>
              <w:suppressAutoHyphens w:val="0"/>
              <w:jc w:val="right"/>
              <w:rPr>
                <w:b/>
                <w:bCs/>
                <w:sz w:val="22"/>
                <w:szCs w:val="22"/>
                <w:lang w:val="es-CR" w:eastAsia="es-CR"/>
              </w:rPr>
            </w:pPr>
            <w:r w:rsidRPr="00990FB6">
              <w:rPr>
                <w:b/>
                <w:bCs/>
                <w:sz w:val="22"/>
                <w:szCs w:val="22"/>
                <w:lang w:val="es-CR" w:eastAsia="es-CR"/>
              </w:rPr>
              <w:t xml:space="preserve"> ₡             619 637 495,56 </w:t>
            </w:r>
          </w:p>
        </w:tc>
        <w:tc>
          <w:tcPr>
            <w:tcW w:w="115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E6896F" w14:textId="77777777" w:rsidR="00B15F7D" w:rsidRPr="00990FB6" w:rsidRDefault="00B15F7D" w:rsidP="00B15F7D">
            <w:pPr>
              <w:suppressAutoHyphens w:val="0"/>
              <w:jc w:val="right"/>
              <w:rPr>
                <w:b/>
                <w:bCs/>
                <w:sz w:val="22"/>
                <w:szCs w:val="22"/>
                <w:lang w:val="es-CR" w:eastAsia="es-CR"/>
              </w:rPr>
            </w:pPr>
            <w:r w:rsidRPr="00990FB6">
              <w:rPr>
                <w:b/>
                <w:bCs/>
                <w:sz w:val="22"/>
                <w:szCs w:val="22"/>
                <w:lang w:val="es-CR" w:eastAsia="es-CR"/>
              </w:rPr>
              <w:t xml:space="preserve"> ₡    619 637 495,56 </w:t>
            </w:r>
          </w:p>
        </w:tc>
      </w:tr>
    </w:tbl>
    <w:p w14:paraId="56B2DC3D" w14:textId="77777777" w:rsidR="00B15F7D" w:rsidRPr="00990FB6" w:rsidRDefault="00B15F7D" w:rsidP="00B15F7D">
      <w:pPr>
        <w:suppressAutoHyphens w:val="0"/>
        <w:jc w:val="both"/>
        <w:rPr>
          <w:b/>
          <w:bCs/>
          <w:sz w:val="22"/>
          <w:szCs w:val="22"/>
          <w:lang w:val="es-CR" w:eastAsia="en-US"/>
        </w:rPr>
      </w:pPr>
      <w:r w:rsidRPr="00990FB6">
        <w:rPr>
          <w:sz w:val="22"/>
          <w:szCs w:val="22"/>
          <w:lang w:val="es-CR" w:eastAsia="en-US"/>
        </w:rPr>
        <w:t>Fuente: Dirección de Planificación de acuerdo con información suministrada por el Subproceso de Formulación de Presupuesto y Portafolio de Proyectos y la Secretaría General del OIJ</w:t>
      </w:r>
    </w:p>
    <w:p w14:paraId="26B806B3" w14:textId="77777777" w:rsidR="00B15F7D" w:rsidRPr="00990FB6" w:rsidRDefault="00B15F7D" w:rsidP="00B15F7D">
      <w:pPr>
        <w:suppressAutoHyphens w:val="0"/>
        <w:ind w:left="851" w:right="851" w:firstLine="709"/>
        <w:rPr>
          <w:sz w:val="22"/>
          <w:szCs w:val="22"/>
          <w:lang w:val="es-CR" w:eastAsia="en-US"/>
        </w:rPr>
      </w:pPr>
    </w:p>
    <w:p w14:paraId="7CE5C223"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 xml:space="preserve">De esta manera, la dotación de veintidós plazas de Custodio de Detenidos para dotar de los recursos requeridos a las oficinas del OIJ de Heredia, Corredores, Bribri, </w:t>
      </w:r>
      <w:proofErr w:type="spellStart"/>
      <w:r w:rsidRPr="00990FB6">
        <w:rPr>
          <w:sz w:val="22"/>
          <w:szCs w:val="22"/>
          <w:lang w:val="es-CR" w:eastAsia="en-US"/>
        </w:rPr>
        <w:t>Bataán</w:t>
      </w:r>
      <w:proofErr w:type="spellEnd"/>
      <w:r w:rsidRPr="00990FB6">
        <w:rPr>
          <w:sz w:val="22"/>
          <w:szCs w:val="22"/>
          <w:lang w:val="es-CR" w:eastAsia="en-US"/>
        </w:rPr>
        <w:t>, Puriscal, Los Chiles, Buenos Aires, Atenas, Santa Cruz, Cañas, Turrialba, Sarapiquí y Siquirres, así como, el costo de cuatro vehículos para trasladar personas detenidas para las zonas de Los Chiles, Buenos Aires, Puriscal y Atenas. Tienen un costo presupuestado de ₡ 619.637.495,56.</w:t>
      </w:r>
    </w:p>
    <w:p w14:paraId="1555B300" w14:textId="77777777" w:rsidR="00B15F7D" w:rsidRPr="00990FB6" w:rsidRDefault="00B15F7D" w:rsidP="00B15F7D">
      <w:pPr>
        <w:suppressAutoHyphens w:val="0"/>
        <w:ind w:left="851" w:right="851" w:firstLine="709"/>
        <w:jc w:val="both"/>
        <w:rPr>
          <w:sz w:val="22"/>
          <w:szCs w:val="22"/>
          <w:lang w:val="es-CR" w:eastAsia="en-US"/>
        </w:rPr>
      </w:pPr>
    </w:p>
    <w:p w14:paraId="13C0CB43"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 xml:space="preserve">Se deja así rendida la actualización de costos para el análisis presupuestario del proceso de formulación 2024, en caso de que se puedan asignar los recursos. </w:t>
      </w:r>
    </w:p>
    <w:p w14:paraId="66428F05" w14:textId="77777777" w:rsidR="00B15F7D" w:rsidRPr="00990FB6" w:rsidRDefault="00B15F7D" w:rsidP="00B15F7D">
      <w:pPr>
        <w:ind w:left="851" w:right="851" w:firstLine="709"/>
        <w:jc w:val="both"/>
        <w:rPr>
          <w:i/>
          <w:iCs/>
          <w:sz w:val="22"/>
          <w:szCs w:val="22"/>
        </w:rPr>
      </w:pPr>
    </w:p>
    <w:p w14:paraId="2275B02C" w14:textId="77777777" w:rsidR="00B15F7D" w:rsidRPr="00990FB6" w:rsidRDefault="00B15F7D" w:rsidP="00B15F7D">
      <w:pPr>
        <w:ind w:left="851" w:right="851" w:firstLine="709"/>
        <w:jc w:val="both"/>
        <w:rPr>
          <w:sz w:val="22"/>
          <w:szCs w:val="22"/>
        </w:rPr>
      </w:pPr>
      <w:r w:rsidRPr="00990FB6">
        <w:rPr>
          <w:i/>
          <w:iCs/>
          <w:sz w:val="22"/>
          <w:szCs w:val="22"/>
        </w:rPr>
        <w:t>Este informe cuenta con las revisiones y ajustes correspondientes de las jefaturas indicadas</w:t>
      </w:r>
      <w:r w:rsidRPr="00990FB6">
        <w:rPr>
          <w:sz w:val="22"/>
          <w:szCs w:val="22"/>
        </w:rPr>
        <w:t>.</w:t>
      </w:r>
    </w:p>
    <w:p w14:paraId="17F45D68" w14:textId="69E38363" w:rsidR="00B15F7D" w:rsidRPr="00990FB6" w:rsidRDefault="00B15F7D" w:rsidP="00B15F7D">
      <w:pPr>
        <w:jc w:val="center"/>
        <w:rPr>
          <w:sz w:val="22"/>
          <w:szCs w:val="22"/>
        </w:rPr>
      </w:pPr>
      <w:r w:rsidRPr="00990FB6">
        <w:rPr>
          <w:sz w:val="22"/>
          <w:szCs w:val="22"/>
        </w:rPr>
        <w:t xml:space="preserve">- 0 </w:t>
      </w:r>
      <w:r w:rsidR="00B305D7" w:rsidRPr="00990FB6">
        <w:rPr>
          <w:sz w:val="22"/>
          <w:szCs w:val="22"/>
        </w:rPr>
        <w:t>–</w:t>
      </w:r>
    </w:p>
    <w:p w14:paraId="52AE3C21" w14:textId="77777777" w:rsidR="00B305D7" w:rsidRPr="00990FB6" w:rsidRDefault="00B305D7" w:rsidP="00B15F7D">
      <w:pPr>
        <w:jc w:val="center"/>
        <w:rPr>
          <w:sz w:val="22"/>
          <w:szCs w:val="22"/>
        </w:rPr>
      </w:pPr>
    </w:p>
    <w:p w14:paraId="14B014F5" w14:textId="77777777" w:rsidR="00B15F7D" w:rsidRPr="00990FB6" w:rsidRDefault="00B15F7D" w:rsidP="00B15F7D">
      <w:pPr>
        <w:suppressAutoHyphens w:val="0"/>
        <w:ind w:left="851" w:right="900" w:firstLine="708"/>
        <w:jc w:val="both"/>
        <w:rPr>
          <w:sz w:val="22"/>
          <w:szCs w:val="22"/>
        </w:rPr>
      </w:pPr>
      <w:r w:rsidRPr="00990FB6">
        <w:rPr>
          <w:rFonts w:eastAsia="Arial"/>
          <w:b/>
          <w:bCs/>
          <w:sz w:val="22"/>
          <w:szCs w:val="22"/>
          <w:lang w:val="es-CR" w:eastAsia="en-US"/>
        </w:rPr>
        <w:t xml:space="preserve">Se acordó: 1) </w:t>
      </w:r>
      <w:r w:rsidRPr="00990FB6">
        <w:rPr>
          <w:rFonts w:eastAsia="Arial"/>
          <w:sz w:val="22"/>
          <w:szCs w:val="22"/>
          <w:lang w:val="es-CR" w:eastAsia="en-US"/>
        </w:rPr>
        <w:t xml:space="preserve">Aprobar el informe </w:t>
      </w:r>
      <w:r w:rsidRPr="00990FB6">
        <w:rPr>
          <w:sz w:val="22"/>
          <w:szCs w:val="22"/>
          <w:lang w:val="es-MX" w:eastAsia="en-US"/>
        </w:rPr>
        <w:t>270- PLA-RH-MI(PL)-2023</w:t>
      </w:r>
      <w:r w:rsidRPr="00990FB6">
        <w:rPr>
          <w:rFonts w:eastAsia="Arial"/>
          <w:sz w:val="22"/>
          <w:szCs w:val="22"/>
          <w:lang w:val="es-CR" w:eastAsia="en-US"/>
        </w:rPr>
        <w:t>, relacionado con la actualización presupuestaria del costo de las plazas requeridas por el Organismo de Investigación Judicial, de personas Custodias y Custodios en las diferentes zonas del país</w:t>
      </w:r>
      <w:r w:rsidRPr="00990FB6">
        <w:rPr>
          <w:rFonts w:eastAsia="Arial"/>
          <w:i/>
          <w:iCs/>
          <w:sz w:val="22"/>
          <w:szCs w:val="22"/>
          <w:lang w:val="es-CR" w:eastAsia="en-US"/>
        </w:rPr>
        <w:t>.</w:t>
      </w:r>
      <w:r w:rsidRPr="00990FB6">
        <w:rPr>
          <w:rFonts w:eastAsia="Arial"/>
          <w:sz w:val="22"/>
          <w:szCs w:val="22"/>
          <w:lang w:val="es-CR" w:eastAsia="en-US"/>
        </w:rPr>
        <w:t xml:space="preserve"> </w:t>
      </w:r>
      <w:r w:rsidRPr="00990FB6">
        <w:rPr>
          <w:rFonts w:eastAsia="Arial"/>
          <w:b/>
          <w:bCs/>
          <w:sz w:val="22"/>
          <w:szCs w:val="22"/>
          <w:lang w:val="es-CR" w:eastAsia="en-US"/>
        </w:rPr>
        <w:t>2)</w:t>
      </w:r>
      <w:r w:rsidRPr="00990FB6">
        <w:rPr>
          <w:sz w:val="22"/>
          <w:szCs w:val="22"/>
          <w:lang w:val="es-CR" w:eastAsia="en-US"/>
        </w:rPr>
        <w:t xml:space="preserve"> Hacer del conocimiento de la Corte Plena para que valore remitir al Ministerio de Hacienda </w:t>
      </w:r>
      <w:r w:rsidRPr="00990FB6">
        <w:rPr>
          <w:rFonts w:eastAsia="Arial"/>
          <w:sz w:val="22"/>
          <w:szCs w:val="22"/>
          <w:lang w:val="es-CR" w:eastAsia="en-US"/>
        </w:rPr>
        <w:t xml:space="preserve">la necesidad de 22 plazas nuevas que requiere el Organismo de Investigación Judicial.  </w:t>
      </w:r>
      <w:r w:rsidRPr="00990FB6">
        <w:rPr>
          <w:rFonts w:eastAsia="Arial"/>
          <w:b/>
          <w:bCs/>
          <w:sz w:val="22"/>
          <w:szCs w:val="22"/>
          <w:lang w:val="es-CR" w:eastAsia="en-US"/>
        </w:rPr>
        <w:t>Se declara acuerdo firme.</w:t>
      </w:r>
      <w:r w:rsidRPr="00990FB6">
        <w:rPr>
          <w:b/>
          <w:bCs/>
          <w:sz w:val="22"/>
          <w:szCs w:val="22"/>
          <w:lang w:val="es-CR"/>
        </w:rPr>
        <w:t>”</w:t>
      </w:r>
    </w:p>
    <w:p w14:paraId="4220BAFE" w14:textId="53780E32" w:rsidR="00B15F7D" w:rsidRPr="00990FB6" w:rsidRDefault="00B15F7D" w:rsidP="00B15F7D">
      <w:pPr>
        <w:jc w:val="center"/>
        <w:rPr>
          <w:bCs/>
          <w:sz w:val="22"/>
          <w:szCs w:val="22"/>
          <w:lang w:val="es-CR"/>
        </w:rPr>
      </w:pPr>
      <w:r w:rsidRPr="00990FB6">
        <w:rPr>
          <w:bCs/>
          <w:sz w:val="22"/>
          <w:szCs w:val="22"/>
          <w:lang w:val="es-CR"/>
        </w:rPr>
        <w:t xml:space="preserve">- 0 </w:t>
      </w:r>
      <w:r w:rsidR="00B305D7" w:rsidRPr="00990FB6">
        <w:rPr>
          <w:bCs/>
          <w:sz w:val="22"/>
          <w:szCs w:val="22"/>
          <w:lang w:val="es-CR"/>
        </w:rPr>
        <w:t>–</w:t>
      </w:r>
    </w:p>
    <w:p w14:paraId="6B9B06CB" w14:textId="77777777" w:rsidR="00B305D7" w:rsidRPr="00990FB6" w:rsidRDefault="00B305D7" w:rsidP="00B15F7D">
      <w:pPr>
        <w:jc w:val="center"/>
        <w:rPr>
          <w:bCs/>
          <w:sz w:val="22"/>
          <w:szCs w:val="22"/>
          <w:lang w:val="es-CR"/>
        </w:rPr>
      </w:pPr>
    </w:p>
    <w:p w14:paraId="7CB280C1" w14:textId="3FC58202" w:rsidR="00B15F7D" w:rsidRPr="00990FB6" w:rsidRDefault="00B15F7D" w:rsidP="00B15F7D">
      <w:pPr>
        <w:widowControl w:val="0"/>
        <w:shd w:val="clear" w:color="auto" w:fill="FFFFFF"/>
        <w:suppressAutoHyphens w:val="0"/>
        <w:ind w:firstLine="709"/>
        <w:jc w:val="both"/>
        <w:rPr>
          <w:bCs/>
          <w:sz w:val="22"/>
          <w:szCs w:val="22"/>
          <w:lang w:eastAsia="es-ES"/>
        </w:rPr>
      </w:pPr>
      <w:r w:rsidRPr="00990FB6">
        <w:rPr>
          <w:bCs/>
          <w:sz w:val="22"/>
          <w:szCs w:val="22"/>
        </w:rPr>
        <w:t>E</w:t>
      </w:r>
      <w:r w:rsidRPr="00990FB6">
        <w:rPr>
          <w:bCs/>
          <w:sz w:val="22"/>
          <w:szCs w:val="22"/>
          <w:lang w:eastAsia="es-ES"/>
        </w:rPr>
        <w:t xml:space="preserve">l Consejo Superior en sesión </w:t>
      </w:r>
      <w:proofErr w:type="spellStart"/>
      <w:r w:rsidRPr="00990FB6">
        <w:rPr>
          <w:bCs/>
          <w:sz w:val="22"/>
          <w:szCs w:val="22"/>
          <w:lang w:eastAsia="es-ES"/>
        </w:rPr>
        <w:t>N°</w:t>
      </w:r>
      <w:proofErr w:type="spellEnd"/>
      <w:r w:rsidRPr="00990FB6">
        <w:rPr>
          <w:bCs/>
          <w:sz w:val="22"/>
          <w:szCs w:val="22"/>
        </w:rPr>
        <w:t xml:space="preserve"> 32-2023 c</w:t>
      </w:r>
      <w:r w:rsidRPr="00990FB6">
        <w:rPr>
          <w:bCs/>
          <w:sz w:val="22"/>
          <w:szCs w:val="22"/>
          <w:lang w:eastAsia="es-ES"/>
        </w:rPr>
        <w:t>elebrada el 19 de abril de 2023, artículo XXXV, tomó el acuerdo que literalmente dice:</w:t>
      </w:r>
    </w:p>
    <w:p w14:paraId="17196B82" w14:textId="77777777" w:rsidR="00B305D7" w:rsidRPr="00990FB6" w:rsidRDefault="00B305D7" w:rsidP="00B15F7D">
      <w:pPr>
        <w:widowControl w:val="0"/>
        <w:shd w:val="clear" w:color="auto" w:fill="FFFFFF"/>
        <w:suppressAutoHyphens w:val="0"/>
        <w:ind w:firstLine="709"/>
        <w:jc w:val="both"/>
        <w:rPr>
          <w:bCs/>
          <w:sz w:val="22"/>
          <w:szCs w:val="22"/>
          <w:lang w:eastAsia="es-ES"/>
        </w:rPr>
      </w:pPr>
    </w:p>
    <w:p w14:paraId="67026E30" w14:textId="77777777" w:rsidR="00B15F7D" w:rsidRPr="00990FB6" w:rsidRDefault="00B15F7D" w:rsidP="00B15F7D">
      <w:pPr>
        <w:suppressAutoHyphens w:val="0"/>
        <w:ind w:left="851" w:right="900" w:firstLine="709"/>
        <w:jc w:val="both"/>
        <w:rPr>
          <w:snapToGrid w:val="0"/>
          <w:sz w:val="22"/>
          <w:szCs w:val="22"/>
          <w:lang w:val="es-CR" w:eastAsia="en-US"/>
        </w:rPr>
      </w:pPr>
      <w:r w:rsidRPr="00990FB6">
        <w:rPr>
          <w:bCs/>
          <w:sz w:val="22"/>
          <w:szCs w:val="22"/>
          <w:lang w:eastAsia="es-ES"/>
        </w:rPr>
        <w:t>“La l</w:t>
      </w:r>
      <w:proofErr w:type="spellStart"/>
      <w:r w:rsidRPr="00990FB6">
        <w:rPr>
          <w:sz w:val="22"/>
          <w:szCs w:val="22"/>
          <w:lang w:val="es-MX" w:eastAsia="en-US"/>
        </w:rPr>
        <w:t>icenciada</w:t>
      </w:r>
      <w:proofErr w:type="spellEnd"/>
      <w:r w:rsidRPr="00990FB6">
        <w:rPr>
          <w:sz w:val="22"/>
          <w:szCs w:val="22"/>
          <w:lang w:val="es-MX" w:eastAsia="en-US"/>
        </w:rPr>
        <w:t xml:space="preserve"> Nacira Valverde Bermúdez, Directora de Planificación, presentó el informe </w:t>
      </w:r>
      <w:r w:rsidRPr="00990FB6">
        <w:rPr>
          <w:b/>
          <w:bCs/>
          <w:sz w:val="22"/>
          <w:szCs w:val="22"/>
          <w:lang w:val="es-MX" w:eastAsia="en-US"/>
        </w:rPr>
        <w:t xml:space="preserve">267-PLA-RH-EV-2023 </w:t>
      </w:r>
      <w:r w:rsidRPr="00990FB6">
        <w:rPr>
          <w:b/>
          <w:bCs/>
          <w:snapToGrid w:val="0"/>
          <w:sz w:val="22"/>
          <w:szCs w:val="22"/>
          <w:lang w:val="es-CR" w:eastAsia="en-US"/>
        </w:rPr>
        <w:t xml:space="preserve">PROYECTO DE FORTALECIMIENTO DE LA SEGURIDAD CIUDADANA EN EL PODER JUDICIAL, </w:t>
      </w:r>
      <w:r w:rsidRPr="00990FB6">
        <w:rPr>
          <w:snapToGrid w:val="0"/>
          <w:sz w:val="22"/>
          <w:szCs w:val="22"/>
          <w:lang w:val="es-CR" w:eastAsia="en-US"/>
        </w:rPr>
        <w:t>Actualización del impacto económico estimado del Proyecto “</w:t>
      </w:r>
      <w:r w:rsidRPr="00990FB6">
        <w:rPr>
          <w:i/>
          <w:iCs/>
          <w:snapToGrid w:val="0"/>
          <w:sz w:val="22"/>
          <w:szCs w:val="22"/>
          <w:lang w:val="es-CR" w:eastAsia="en-US"/>
        </w:rPr>
        <w:t>Análisis para la creación de Estructura Penal en la zona de Puerto Jiménez (“Tribunales Peninsulares”)</w:t>
      </w:r>
      <w:r w:rsidRPr="00990FB6">
        <w:rPr>
          <w:snapToGrid w:val="0"/>
          <w:sz w:val="22"/>
          <w:szCs w:val="22"/>
          <w:lang w:val="es-CR" w:eastAsia="en-US"/>
        </w:rPr>
        <w:t>”, en adelante abreviado a “</w:t>
      </w:r>
      <w:r w:rsidRPr="00990FB6">
        <w:rPr>
          <w:i/>
          <w:iCs/>
          <w:snapToGrid w:val="0"/>
          <w:sz w:val="22"/>
          <w:szCs w:val="22"/>
          <w:lang w:val="es-CR" w:eastAsia="en-US"/>
        </w:rPr>
        <w:t>Tribunales Peninsulares</w:t>
      </w:r>
      <w:r w:rsidRPr="00990FB6">
        <w:rPr>
          <w:snapToGrid w:val="0"/>
          <w:sz w:val="22"/>
          <w:szCs w:val="22"/>
          <w:lang w:val="es-CR" w:eastAsia="en-US"/>
        </w:rPr>
        <w:t>”, informe número 354-PLA-EV-RH-2022 del 27 de abril de 2022, que dice:</w:t>
      </w:r>
    </w:p>
    <w:p w14:paraId="634A0DDD" w14:textId="77777777" w:rsidR="00B15F7D" w:rsidRPr="00990FB6" w:rsidRDefault="00B15F7D" w:rsidP="00B15F7D">
      <w:pPr>
        <w:suppressAutoHyphens w:val="0"/>
        <w:ind w:firstLine="709"/>
        <w:jc w:val="both"/>
        <w:rPr>
          <w:b/>
          <w:bCs/>
          <w:snapToGrid w:val="0"/>
          <w:sz w:val="22"/>
          <w:szCs w:val="22"/>
          <w:lang w:val="es-CR" w:eastAsia="en-US"/>
        </w:rPr>
      </w:pPr>
    </w:p>
    <w:p w14:paraId="2B02BCBD" w14:textId="77777777" w:rsidR="00B15F7D" w:rsidRPr="00990FB6" w:rsidRDefault="00B15F7D" w:rsidP="00B15F7D">
      <w:pPr>
        <w:numPr>
          <w:ilvl w:val="0"/>
          <w:numId w:val="119"/>
        </w:numPr>
        <w:suppressAutoHyphens w:val="0"/>
        <w:ind w:left="851" w:right="851" w:firstLine="709"/>
        <w:contextualSpacing/>
        <w:jc w:val="both"/>
        <w:rPr>
          <w:b/>
          <w:bCs/>
          <w:sz w:val="22"/>
          <w:szCs w:val="22"/>
          <w:lang w:val="es-CR" w:eastAsia="en-US"/>
        </w:rPr>
      </w:pPr>
      <w:r w:rsidRPr="00990FB6">
        <w:rPr>
          <w:b/>
          <w:bCs/>
          <w:sz w:val="22"/>
          <w:szCs w:val="22"/>
          <w:lang w:val="es-CR" w:eastAsia="en-US"/>
        </w:rPr>
        <w:t>“ANTECEDENTES</w:t>
      </w:r>
    </w:p>
    <w:p w14:paraId="230F7641" w14:textId="77777777" w:rsidR="00B15F7D" w:rsidRPr="00990FB6" w:rsidRDefault="00B15F7D" w:rsidP="00B15F7D">
      <w:pPr>
        <w:suppressAutoHyphens w:val="0"/>
        <w:ind w:left="851" w:right="851" w:firstLine="709"/>
        <w:jc w:val="both"/>
        <w:rPr>
          <w:sz w:val="22"/>
          <w:szCs w:val="22"/>
          <w:lang w:val="es-CR" w:eastAsia="en-US"/>
        </w:rPr>
      </w:pPr>
    </w:p>
    <w:p w14:paraId="23385C0E"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El informe número 354-PLA-EV-RH-2022, Proyecto “</w:t>
      </w:r>
      <w:r w:rsidRPr="00990FB6">
        <w:rPr>
          <w:i/>
          <w:iCs/>
          <w:sz w:val="22"/>
          <w:szCs w:val="22"/>
          <w:lang w:val="es-CR" w:eastAsia="en-US"/>
        </w:rPr>
        <w:t>Tribunales Peninsulares</w:t>
      </w:r>
      <w:r w:rsidRPr="00990FB6">
        <w:rPr>
          <w:sz w:val="22"/>
          <w:szCs w:val="22"/>
          <w:lang w:val="es-CR" w:eastAsia="en-US"/>
        </w:rPr>
        <w:t>”, fue conocido por el Consejo Superior en la sesión número 36-2022 celebrada el 29 de abril de 2022, artículo XXX, y al respecto acordó:</w:t>
      </w:r>
    </w:p>
    <w:p w14:paraId="443040A7" w14:textId="77777777" w:rsidR="00B15F7D" w:rsidRPr="00990FB6" w:rsidRDefault="00B15F7D" w:rsidP="00B15F7D">
      <w:pPr>
        <w:suppressAutoHyphens w:val="0"/>
        <w:ind w:left="1560" w:right="851"/>
        <w:contextualSpacing/>
        <w:jc w:val="both"/>
        <w:rPr>
          <w:sz w:val="22"/>
          <w:szCs w:val="22"/>
          <w:lang w:val="es-CR" w:eastAsia="en-US"/>
        </w:rPr>
      </w:pPr>
    </w:p>
    <w:p w14:paraId="0A2D3005"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w:t>
      </w:r>
      <w:r w:rsidRPr="00990FB6">
        <w:rPr>
          <w:b/>
          <w:bCs/>
          <w:i/>
          <w:iCs/>
          <w:sz w:val="22"/>
          <w:szCs w:val="22"/>
          <w:lang w:val="es-CR" w:eastAsia="en-US"/>
        </w:rPr>
        <w:t>1.)</w:t>
      </w:r>
      <w:r w:rsidRPr="00990FB6">
        <w:rPr>
          <w:i/>
          <w:iCs/>
          <w:sz w:val="22"/>
          <w:szCs w:val="22"/>
          <w:lang w:val="es-CR" w:eastAsia="en-US"/>
        </w:rPr>
        <w:t xml:space="preserve"> Aprobar el informe 354-PLA-EV-RH-2022 y sus recomendaciones. </w:t>
      </w:r>
      <w:r w:rsidRPr="00990FB6">
        <w:rPr>
          <w:b/>
          <w:bCs/>
          <w:i/>
          <w:iCs/>
          <w:sz w:val="22"/>
          <w:szCs w:val="22"/>
          <w:lang w:val="es-CR" w:eastAsia="en-US"/>
        </w:rPr>
        <w:t>2.)</w:t>
      </w:r>
      <w:r w:rsidRPr="00990FB6">
        <w:rPr>
          <w:i/>
          <w:iCs/>
          <w:sz w:val="22"/>
          <w:szCs w:val="22"/>
          <w:lang w:val="es-CR" w:eastAsia="en-US"/>
        </w:rPr>
        <w:t xml:space="preserve"> Hacer del conocimiento de la Corte Plena para que valore remitir al Ministerio de Hacienda el contenido económico actualizado y requerido de forma independiente al presupuesto ordinario, como recursos adicionales para la implementación de la estructura penal en la Zona Sur, propiamente en Puerto Jiménez, a lo que se le ha llamado para su identificación "Tribunales Peninsulares".</w:t>
      </w:r>
      <w:r w:rsidRPr="00990FB6">
        <w:rPr>
          <w:sz w:val="22"/>
          <w:szCs w:val="22"/>
          <w:lang w:val="es-CR" w:eastAsia="en-US"/>
        </w:rPr>
        <w:t>”</w:t>
      </w:r>
    </w:p>
    <w:p w14:paraId="0297F222" w14:textId="77777777" w:rsidR="00B15F7D" w:rsidRPr="00990FB6" w:rsidRDefault="00B15F7D" w:rsidP="00B15F7D">
      <w:pPr>
        <w:suppressAutoHyphens w:val="0"/>
        <w:ind w:left="851" w:right="851" w:firstLine="709"/>
        <w:jc w:val="both"/>
        <w:rPr>
          <w:sz w:val="22"/>
          <w:szCs w:val="22"/>
          <w:lang w:val="es-CR" w:eastAsia="en-US"/>
        </w:rPr>
      </w:pPr>
    </w:p>
    <w:p w14:paraId="1A30AC50"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La Corte Plena, por su parte, conoció tanto el informe número 354-PLA-EV-RH-2022 como el acuerdo tomado por el Consejo Superior sobre el informe de cita, en la sesión número 27-2022 celebrada el 1° de junio de 2022, artículo IV, acordando lo siguiente:</w:t>
      </w:r>
    </w:p>
    <w:p w14:paraId="584F481D" w14:textId="77777777" w:rsidR="00B15F7D" w:rsidRPr="00990FB6" w:rsidRDefault="00B15F7D" w:rsidP="00B15F7D">
      <w:pPr>
        <w:suppressAutoHyphens w:val="0"/>
        <w:ind w:left="851" w:right="851" w:firstLine="709"/>
        <w:jc w:val="both"/>
        <w:rPr>
          <w:sz w:val="22"/>
          <w:szCs w:val="22"/>
          <w:lang w:val="es-CR" w:eastAsia="en-US"/>
        </w:rPr>
      </w:pPr>
    </w:p>
    <w:p w14:paraId="748E6336"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w:t>
      </w:r>
      <w:r w:rsidRPr="00990FB6">
        <w:rPr>
          <w:i/>
          <w:iCs/>
          <w:sz w:val="22"/>
          <w:szCs w:val="22"/>
          <w:lang w:val="es-CR" w:eastAsia="en-US"/>
        </w:rPr>
        <w:t xml:space="preserve">. . . aprobar por separado del Presupuesto Ordinario del Poder Judicial, los recursos institucionales en las sumas señaladas, que a continuación se indicarán: </w:t>
      </w:r>
      <w:r w:rsidRPr="00990FB6">
        <w:rPr>
          <w:b/>
          <w:bCs/>
          <w:i/>
          <w:iCs/>
          <w:sz w:val="22"/>
          <w:szCs w:val="22"/>
          <w:lang w:val="es-CR" w:eastAsia="en-US"/>
        </w:rPr>
        <w:t>1.)</w:t>
      </w:r>
      <w:r w:rsidRPr="00990FB6">
        <w:rPr>
          <w:i/>
          <w:iCs/>
          <w:sz w:val="22"/>
          <w:szCs w:val="22"/>
          <w:lang w:val="es-CR" w:eastAsia="en-US"/>
        </w:rPr>
        <w:t xml:space="preserve"> Presupuesto requerido para la atención y acceso a la justicia de personas relacionadas con pensiones. </w:t>
      </w:r>
      <w:r w:rsidRPr="00990FB6">
        <w:rPr>
          <w:b/>
          <w:bCs/>
          <w:i/>
          <w:iCs/>
          <w:sz w:val="22"/>
          <w:szCs w:val="22"/>
          <w:lang w:val="es-CR" w:eastAsia="en-US"/>
        </w:rPr>
        <w:t>2.)</w:t>
      </w:r>
      <w:r w:rsidRPr="00990FB6">
        <w:rPr>
          <w:i/>
          <w:iCs/>
          <w:sz w:val="22"/>
          <w:szCs w:val="22"/>
          <w:lang w:val="es-CR" w:eastAsia="en-US"/>
        </w:rPr>
        <w:t xml:space="preserve"> Veintidós plazas de custodios de detenidos, para diferentes oficinas del Organismo de Investigación Judicial. </w:t>
      </w:r>
      <w:r w:rsidRPr="00990FB6">
        <w:rPr>
          <w:b/>
          <w:bCs/>
          <w:i/>
          <w:iCs/>
          <w:sz w:val="22"/>
          <w:szCs w:val="22"/>
          <w:lang w:val="es-CR" w:eastAsia="en-US"/>
        </w:rPr>
        <w:t>3.)</w:t>
      </w:r>
      <w:r w:rsidRPr="00990FB6">
        <w:rPr>
          <w:i/>
          <w:iCs/>
          <w:sz w:val="22"/>
          <w:szCs w:val="22"/>
          <w:lang w:val="es-CR" w:eastAsia="en-US"/>
        </w:rPr>
        <w:t xml:space="preserve"> El acceso a la justicia a las personas ciudadanas en zonas cercanas a Puerto Jiménez y los tribunales peninsulares ─estimados en el Proyecto “Tribunales </w:t>
      </w:r>
      <w:proofErr w:type="gramStart"/>
      <w:r w:rsidRPr="00990FB6">
        <w:rPr>
          <w:i/>
          <w:iCs/>
          <w:sz w:val="22"/>
          <w:szCs w:val="22"/>
          <w:lang w:val="es-CR" w:eastAsia="en-US"/>
        </w:rPr>
        <w:t>Peninsulares”─</w:t>
      </w:r>
      <w:proofErr w:type="gramEnd"/>
      <w:r w:rsidRPr="00990FB6">
        <w:rPr>
          <w:i/>
          <w:iCs/>
          <w:sz w:val="22"/>
          <w:szCs w:val="22"/>
          <w:lang w:val="es-CR" w:eastAsia="en-US"/>
        </w:rPr>
        <w:t xml:space="preserve">. </w:t>
      </w:r>
      <w:r w:rsidRPr="00990FB6">
        <w:rPr>
          <w:b/>
          <w:bCs/>
          <w:i/>
          <w:iCs/>
          <w:sz w:val="22"/>
          <w:szCs w:val="22"/>
          <w:lang w:val="es-CR" w:eastAsia="en-US"/>
        </w:rPr>
        <w:t>4.)</w:t>
      </w:r>
      <w:r w:rsidRPr="00990FB6">
        <w:rPr>
          <w:i/>
          <w:iCs/>
          <w:sz w:val="22"/>
          <w:szCs w:val="22"/>
          <w:lang w:val="es-CR" w:eastAsia="en-US"/>
        </w:rPr>
        <w:t xml:space="preserve"> Requerimiento de personas fiscales de juicio en el Ministerio Publico. 5.) Tribunales de Juicio a nivel nacional a fin de completar estructuras.</w:t>
      </w:r>
      <w:r w:rsidRPr="00990FB6">
        <w:rPr>
          <w:sz w:val="22"/>
          <w:szCs w:val="22"/>
          <w:lang w:val="es-CR" w:eastAsia="en-US"/>
        </w:rPr>
        <w:t>”</w:t>
      </w:r>
    </w:p>
    <w:p w14:paraId="1581174A" w14:textId="77777777" w:rsidR="00B15F7D" w:rsidRPr="00990FB6" w:rsidRDefault="00B15F7D" w:rsidP="00B15F7D">
      <w:pPr>
        <w:suppressAutoHyphens w:val="0"/>
        <w:ind w:left="851" w:right="851" w:firstLine="709"/>
        <w:jc w:val="both"/>
        <w:rPr>
          <w:sz w:val="22"/>
          <w:szCs w:val="22"/>
          <w:lang w:val="es-CR" w:eastAsia="en-US"/>
        </w:rPr>
      </w:pPr>
    </w:p>
    <w:p w14:paraId="1467315A"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Finalmente, los recursos económicos necesarios para ejecutar el Proyecto</w:t>
      </w:r>
      <w:r w:rsidRPr="00990FB6">
        <w:rPr>
          <w:i/>
          <w:iCs/>
          <w:sz w:val="22"/>
          <w:szCs w:val="22"/>
          <w:lang w:val="es-CR" w:eastAsia="en-US"/>
        </w:rPr>
        <w:t xml:space="preserve"> “Tribunales Peninsulares</w:t>
      </w:r>
      <w:r w:rsidRPr="00990FB6">
        <w:rPr>
          <w:sz w:val="22"/>
          <w:szCs w:val="22"/>
          <w:lang w:val="es-CR" w:eastAsia="en-US"/>
        </w:rPr>
        <w:t>” no se incluyeron dentro del Presupuesto del Poder Judicial 2023 actualmente en ejecución.</w:t>
      </w:r>
    </w:p>
    <w:p w14:paraId="55DCF767" w14:textId="77777777" w:rsidR="00B15F7D" w:rsidRPr="00990FB6" w:rsidRDefault="00B15F7D" w:rsidP="00B15F7D">
      <w:pPr>
        <w:suppressAutoHyphens w:val="0"/>
        <w:ind w:left="851" w:right="851" w:firstLine="709"/>
        <w:jc w:val="both"/>
        <w:rPr>
          <w:sz w:val="22"/>
          <w:szCs w:val="22"/>
          <w:lang w:val="es-CR" w:eastAsia="en-US"/>
        </w:rPr>
      </w:pPr>
    </w:p>
    <w:p w14:paraId="190BFC9E" w14:textId="77777777" w:rsidR="00B15F7D" w:rsidRPr="00990FB6" w:rsidRDefault="00B15F7D" w:rsidP="00B15F7D">
      <w:pPr>
        <w:numPr>
          <w:ilvl w:val="0"/>
          <w:numId w:val="119"/>
        </w:numPr>
        <w:suppressAutoHyphens w:val="0"/>
        <w:ind w:left="851" w:right="851" w:firstLine="709"/>
        <w:contextualSpacing/>
        <w:jc w:val="both"/>
        <w:rPr>
          <w:b/>
          <w:bCs/>
          <w:sz w:val="22"/>
          <w:szCs w:val="22"/>
          <w:lang w:val="es-CR" w:eastAsia="en-US"/>
        </w:rPr>
      </w:pPr>
      <w:r w:rsidRPr="00990FB6">
        <w:rPr>
          <w:b/>
          <w:bCs/>
          <w:sz w:val="22"/>
          <w:szCs w:val="22"/>
          <w:lang w:val="es-CR" w:eastAsia="en-US"/>
        </w:rPr>
        <w:t>ACTUALIZACIÓN DEL IMPACTO ECONÓMICO ESTIMADO DEL PROYECTO “TRIBUNALES PENINSULARES”</w:t>
      </w:r>
    </w:p>
    <w:p w14:paraId="7BE6F6D6" w14:textId="77777777" w:rsidR="00B15F7D" w:rsidRPr="00990FB6" w:rsidRDefault="00B15F7D" w:rsidP="00B15F7D">
      <w:pPr>
        <w:suppressAutoHyphens w:val="0"/>
        <w:ind w:left="851" w:right="851" w:firstLine="709"/>
        <w:jc w:val="both"/>
        <w:rPr>
          <w:sz w:val="22"/>
          <w:szCs w:val="22"/>
          <w:lang w:val="es-CR" w:eastAsia="en-US"/>
        </w:rPr>
      </w:pPr>
    </w:p>
    <w:p w14:paraId="66986DD8"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El procedimiento seguido para actualizar a valor presente el impacto económico estimado del Proyecto “</w:t>
      </w:r>
      <w:r w:rsidRPr="00990FB6">
        <w:rPr>
          <w:i/>
          <w:iCs/>
          <w:sz w:val="22"/>
          <w:szCs w:val="22"/>
          <w:lang w:val="es-CR" w:eastAsia="en-US"/>
        </w:rPr>
        <w:t>Tribunales Peninsulares</w:t>
      </w:r>
      <w:r w:rsidRPr="00990FB6">
        <w:rPr>
          <w:sz w:val="22"/>
          <w:szCs w:val="22"/>
          <w:lang w:val="es-CR" w:eastAsia="en-US"/>
        </w:rPr>
        <w:t>” es el siguiente:</w:t>
      </w:r>
    </w:p>
    <w:p w14:paraId="00BAEC49" w14:textId="77777777" w:rsidR="00B15F7D" w:rsidRPr="00990FB6" w:rsidRDefault="00B15F7D" w:rsidP="00B15F7D">
      <w:pPr>
        <w:suppressAutoHyphens w:val="0"/>
        <w:ind w:left="851" w:right="851" w:firstLine="709"/>
        <w:jc w:val="both"/>
        <w:rPr>
          <w:sz w:val="22"/>
          <w:szCs w:val="22"/>
          <w:lang w:val="es-CR" w:eastAsia="en-US"/>
        </w:rPr>
      </w:pPr>
    </w:p>
    <w:p w14:paraId="1E0766D1" w14:textId="77777777" w:rsidR="00B15F7D" w:rsidRPr="00990FB6" w:rsidRDefault="00B15F7D" w:rsidP="00B15F7D">
      <w:pPr>
        <w:numPr>
          <w:ilvl w:val="0"/>
          <w:numId w:val="120"/>
        </w:numPr>
        <w:suppressAutoHyphens w:val="0"/>
        <w:ind w:left="851" w:right="851" w:firstLine="709"/>
        <w:jc w:val="both"/>
        <w:rPr>
          <w:sz w:val="22"/>
          <w:szCs w:val="22"/>
          <w:lang w:val="es-CR" w:eastAsia="en-US"/>
        </w:rPr>
      </w:pPr>
      <w:r w:rsidRPr="00990FB6">
        <w:rPr>
          <w:sz w:val="22"/>
          <w:szCs w:val="22"/>
          <w:lang w:val="es-CR" w:eastAsia="en-US"/>
        </w:rPr>
        <w:t>El ítem “</w:t>
      </w:r>
      <w:r w:rsidRPr="00990FB6">
        <w:rPr>
          <w:b/>
          <w:bCs/>
          <w:i/>
          <w:iCs/>
          <w:sz w:val="22"/>
          <w:szCs w:val="22"/>
          <w:lang w:val="es-CR" w:eastAsia="en-US"/>
        </w:rPr>
        <w:t>2.1.</w:t>
      </w:r>
      <w:r w:rsidRPr="00990FB6">
        <w:rPr>
          <w:sz w:val="22"/>
          <w:szCs w:val="22"/>
          <w:lang w:val="es-CR" w:eastAsia="en-US"/>
        </w:rPr>
        <w:t>”, ubicado más adelante en este documento, presenta el detalle del impacto económico correspondiente al personal requerido por el Proyecto “</w:t>
      </w:r>
      <w:r w:rsidRPr="00990FB6">
        <w:rPr>
          <w:i/>
          <w:iCs/>
          <w:sz w:val="22"/>
          <w:szCs w:val="22"/>
          <w:lang w:val="es-CR" w:eastAsia="en-US"/>
        </w:rPr>
        <w:t>Tribunales Peninsulares</w:t>
      </w:r>
      <w:r w:rsidRPr="00990FB6">
        <w:rPr>
          <w:sz w:val="22"/>
          <w:szCs w:val="22"/>
          <w:lang w:val="es-CR" w:eastAsia="en-US"/>
        </w:rPr>
        <w:t>” formulado originalmente; inmediatamente después, en el ítem “</w:t>
      </w:r>
      <w:r w:rsidRPr="00990FB6">
        <w:rPr>
          <w:b/>
          <w:bCs/>
          <w:i/>
          <w:iCs/>
          <w:sz w:val="22"/>
          <w:szCs w:val="22"/>
          <w:lang w:val="es-CR" w:eastAsia="en-US"/>
        </w:rPr>
        <w:t>2.2.</w:t>
      </w:r>
      <w:r w:rsidRPr="00990FB6">
        <w:rPr>
          <w:sz w:val="22"/>
          <w:szCs w:val="22"/>
          <w:lang w:val="es-CR" w:eastAsia="en-US"/>
        </w:rPr>
        <w:t>”, se muestra el mismo detalle, pero con esos montos económicos estimados a valor presente. Los cálculos realizados se encuentran registrados en la pestaña “</w:t>
      </w:r>
      <w:r w:rsidRPr="00990FB6">
        <w:rPr>
          <w:i/>
          <w:iCs/>
          <w:sz w:val="22"/>
          <w:szCs w:val="22"/>
          <w:lang w:val="es-CR" w:eastAsia="en-US"/>
        </w:rPr>
        <w:t>Solo Personal</w:t>
      </w:r>
      <w:r w:rsidRPr="00990FB6">
        <w:rPr>
          <w:sz w:val="22"/>
          <w:szCs w:val="22"/>
          <w:lang w:val="es-CR" w:eastAsia="en-US"/>
        </w:rPr>
        <w:t xml:space="preserve">” de la hoja electrónica incluida en el anexo 8 del apartado </w:t>
      </w:r>
      <w:r w:rsidRPr="00990FB6">
        <w:rPr>
          <w:b/>
          <w:bCs/>
          <w:i/>
          <w:iCs/>
          <w:sz w:val="22"/>
          <w:szCs w:val="22"/>
          <w:lang w:val="es-CR" w:eastAsia="en-US"/>
        </w:rPr>
        <w:t>ANEXOS</w:t>
      </w:r>
      <w:r w:rsidRPr="00990FB6">
        <w:rPr>
          <w:sz w:val="22"/>
          <w:szCs w:val="22"/>
          <w:lang w:val="es-CR" w:eastAsia="en-US"/>
        </w:rPr>
        <w:t xml:space="preserve"> de este documento.</w:t>
      </w:r>
    </w:p>
    <w:p w14:paraId="1D001F8B" w14:textId="77777777" w:rsidR="00B15F7D" w:rsidRPr="00990FB6" w:rsidRDefault="00B15F7D" w:rsidP="00B15F7D">
      <w:pPr>
        <w:suppressAutoHyphens w:val="0"/>
        <w:ind w:left="851" w:right="851" w:firstLine="709"/>
        <w:jc w:val="both"/>
        <w:rPr>
          <w:sz w:val="22"/>
          <w:szCs w:val="22"/>
          <w:lang w:val="es-CR" w:eastAsia="en-US"/>
        </w:rPr>
      </w:pPr>
    </w:p>
    <w:p w14:paraId="28C6DEA4" w14:textId="77777777" w:rsidR="00B15F7D" w:rsidRPr="00990FB6" w:rsidRDefault="00B15F7D" w:rsidP="00B15F7D">
      <w:pPr>
        <w:numPr>
          <w:ilvl w:val="0"/>
          <w:numId w:val="120"/>
        </w:numPr>
        <w:suppressAutoHyphens w:val="0"/>
        <w:ind w:left="851" w:right="851" w:firstLine="709"/>
        <w:jc w:val="both"/>
        <w:rPr>
          <w:sz w:val="22"/>
          <w:szCs w:val="22"/>
          <w:lang w:val="es-CR" w:eastAsia="en-US"/>
        </w:rPr>
      </w:pPr>
      <w:r w:rsidRPr="00990FB6">
        <w:rPr>
          <w:sz w:val="22"/>
          <w:szCs w:val="22"/>
          <w:lang w:val="es-CR" w:eastAsia="en-US"/>
        </w:rPr>
        <w:t>La estimación a valor presente del impacto económico total (el costo de los puestos requeridos más los costos variables) del Proyecto “</w:t>
      </w:r>
      <w:r w:rsidRPr="00990FB6">
        <w:rPr>
          <w:i/>
          <w:iCs/>
          <w:sz w:val="22"/>
          <w:szCs w:val="22"/>
          <w:lang w:val="es-CR" w:eastAsia="en-US"/>
        </w:rPr>
        <w:t>Tribunales Peninsulares</w:t>
      </w:r>
      <w:r w:rsidRPr="00990FB6">
        <w:rPr>
          <w:sz w:val="22"/>
          <w:szCs w:val="22"/>
          <w:lang w:val="es-CR" w:eastAsia="en-US"/>
        </w:rPr>
        <w:t>” se calcula de la misma forma indicada en el punto anterior: El ítem “</w:t>
      </w:r>
      <w:r w:rsidRPr="00990FB6">
        <w:rPr>
          <w:b/>
          <w:bCs/>
          <w:i/>
          <w:iCs/>
          <w:sz w:val="22"/>
          <w:szCs w:val="22"/>
          <w:lang w:val="es-CR" w:eastAsia="en-US"/>
        </w:rPr>
        <w:t>2.3.</w:t>
      </w:r>
      <w:r w:rsidRPr="00990FB6">
        <w:rPr>
          <w:sz w:val="22"/>
          <w:szCs w:val="22"/>
          <w:lang w:val="es-CR" w:eastAsia="en-US"/>
        </w:rPr>
        <w:t>” presenta el desglose del impacto económico total del Proyecto “</w:t>
      </w:r>
      <w:r w:rsidRPr="00990FB6">
        <w:rPr>
          <w:i/>
          <w:iCs/>
          <w:sz w:val="22"/>
          <w:szCs w:val="22"/>
          <w:lang w:val="es-CR" w:eastAsia="en-US"/>
        </w:rPr>
        <w:t>Tribunales Peninsulares</w:t>
      </w:r>
      <w:r w:rsidRPr="00990FB6">
        <w:rPr>
          <w:sz w:val="22"/>
          <w:szCs w:val="22"/>
          <w:lang w:val="es-CR" w:eastAsia="en-US"/>
        </w:rPr>
        <w:t>” al momento de ser formulado en el informe número 354-PLA-EV-RH-2022, y en el siguiente, en el “</w:t>
      </w:r>
      <w:r w:rsidRPr="00990FB6">
        <w:rPr>
          <w:b/>
          <w:bCs/>
          <w:i/>
          <w:iCs/>
          <w:sz w:val="22"/>
          <w:szCs w:val="22"/>
          <w:lang w:val="es-CR" w:eastAsia="en-US"/>
        </w:rPr>
        <w:t>2.4.</w:t>
      </w:r>
      <w:r w:rsidRPr="00990FB6">
        <w:rPr>
          <w:sz w:val="22"/>
          <w:szCs w:val="22"/>
          <w:lang w:val="es-CR" w:eastAsia="en-US"/>
        </w:rPr>
        <w:t>”, el estimado de su valor económico total actualizado.</w:t>
      </w:r>
    </w:p>
    <w:p w14:paraId="7058122E" w14:textId="77777777" w:rsidR="00B15F7D" w:rsidRPr="00990FB6" w:rsidRDefault="00B15F7D" w:rsidP="00B15F7D">
      <w:pPr>
        <w:suppressAutoHyphens w:val="0"/>
        <w:ind w:left="851" w:right="851" w:firstLine="709"/>
        <w:jc w:val="both"/>
        <w:rPr>
          <w:sz w:val="22"/>
          <w:szCs w:val="22"/>
          <w:lang w:val="es-CR" w:eastAsia="en-US"/>
        </w:rPr>
      </w:pPr>
    </w:p>
    <w:p w14:paraId="7DBE53AC" w14:textId="77777777" w:rsidR="00B15F7D" w:rsidRPr="00990FB6" w:rsidRDefault="00B15F7D" w:rsidP="00B15F7D">
      <w:pPr>
        <w:numPr>
          <w:ilvl w:val="0"/>
          <w:numId w:val="120"/>
        </w:numPr>
        <w:suppressAutoHyphens w:val="0"/>
        <w:ind w:left="851" w:right="851" w:firstLine="709"/>
        <w:jc w:val="both"/>
        <w:rPr>
          <w:sz w:val="22"/>
          <w:szCs w:val="22"/>
          <w:lang w:val="es-CR" w:eastAsia="en-US"/>
        </w:rPr>
      </w:pPr>
      <w:r w:rsidRPr="00990FB6">
        <w:rPr>
          <w:sz w:val="22"/>
          <w:szCs w:val="22"/>
          <w:lang w:val="es-CR" w:eastAsia="en-US"/>
        </w:rPr>
        <w:t xml:space="preserve">Las diferencias significativas identificadas entre los datos formulados originalmente en el oficio 354-PLA-EV-RH-2022, y los suministrados posteriormente por las mismas instancias informantes para efectos de ser actualizados a valor presente, se encuentran resaltadas con color amarillo y un comentario explicativo en el margen superior derecho de la celda electrónica que contiene a cada una de ellas, lo anterior en la hoja electrónica incluida en el anexo 8 del apartado </w:t>
      </w:r>
      <w:r w:rsidRPr="00990FB6">
        <w:rPr>
          <w:b/>
          <w:bCs/>
          <w:i/>
          <w:iCs/>
          <w:sz w:val="22"/>
          <w:szCs w:val="22"/>
          <w:lang w:val="es-CR" w:eastAsia="en-US"/>
        </w:rPr>
        <w:t>ANEXOS</w:t>
      </w:r>
      <w:r w:rsidRPr="00990FB6">
        <w:rPr>
          <w:sz w:val="22"/>
          <w:szCs w:val="22"/>
          <w:lang w:val="es-CR" w:eastAsia="en-US"/>
        </w:rPr>
        <w:t xml:space="preserve"> de este documento. Las diferencias más significativas son:</w:t>
      </w:r>
    </w:p>
    <w:p w14:paraId="099CF7BB" w14:textId="453E1977" w:rsidR="00B15F7D" w:rsidRPr="00990FB6" w:rsidRDefault="00B15F7D" w:rsidP="00B15F7D">
      <w:pPr>
        <w:numPr>
          <w:ilvl w:val="0"/>
          <w:numId w:val="121"/>
        </w:numPr>
        <w:suppressAutoHyphens w:val="0"/>
        <w:ind w:left="851" w:right="851" w:firstLine="709"/>
        <w:jc w:val="both"/>
        <w:rPr>
          <w:sz w:val="22"/>
          <w:szCs w:val="22"/>
          <w:lang w:val="es-CR" w:eastAsia="en-US"/>
        </w:rPr>
      </w:pPr>
      <w:r w:rsidRPr="00990FB6">
        <w:rPr>
          <w:sz w:val="22"/>
          <w:szCs w:val="22"/>
          <w:lang w:val="es-CR" w:eastAsia="en-US"/>
        </w:rPr>
        <w:t>El error material cometido en el cálculo original del monto económico total del artículo “</w:t>
      </w:r>
      <w:r w:rsidRPr="00990FB6">
        <w:rPr>
          <w:i/>
          <w:iCs/>
          <w:sz w:val="22"/>
          <w:szCs w:val="22"/>
          <w:lang w:val="es-CR" w:eastAsia="en-US"/>
        </w:rPr>
        <w:t>Municiones 9 mm para capacitación</w:t>
      </w:r>
      <w:r w:rsidRPr="00990FB6">
        <w:rPr>
          <w:sz w:val="22"/>
          <w:szCs w:val="22"/>
          <w:lang w:val="es-CR" w:eastAsia="en-US"/>
        </w:rPr>
        <w:t xml:space="preserve">”. La </w:t>
      </w:r>
      <w:r w:rsidRPr="00990FB6">
        <w:rPr>
          <w:b/>
          <w:bCs/>
          <w:i/>
          <w:iCs/>
          <w:sz w:val="22"/>
          <w:szCs w:val="22"/>
          <w:lang w:val="es-CR" w:eastAsia="en-US"/>
        </w:rPr>
        <w:t>Tabla 27</w:t>
      </w:r>
      <w:r w:rsidRPr="00990FB6">
        <w:rPr>
          <w:sz w:val="22"/>
          <w:szCs w:val="22"/>
          <w:lang w:val="es-CR" w:eastAsia="en-US"/>
        </w:rPr>
        <w:t xml:space="preserve"> del informe 354-PLA-EV-RH-2022 informa ¢6.187.500,00 siendo lo correcto ¢61.875.000,00 (55.000 unidades de munición * ¢1.125,00 el precio de cada unidad de munición en aquel momento = ¢61.875.000,00). Este error material se refleja en el recuadro del costo total del Proyecto informado en el ítem “</w:t>
      </w:r>
      <w:r w:rsidRPr="00990FB6">
        <w:rPr>
          <w:i/>
          <w:iCs/>
          <w:sz w:val="22"/>
          <w:szCs w:val="22"/>
          <w:lang w:val="es-CR" w:eastAsia="en-US"/>
        </w:rPr>
        <w:t>6.2</w:t>
      </w:r>
      <w:r w:rsidRPr="00990FB6">
        <w:rPr>
          <w:sz w:val="22"/>
          <w:szCs w:val="22"/>
          <w:lang w:val="es-CR" w:eastAsia="en-US"/>
        </w:rPr>
        <w:t>” del documento recién indicado.</w:t>
      </w:r>
    </w:p>
    <w:p w14:paraId="7A63CFC1" w14:textId="77777777" w:rsidR="00B305D7" w:rsidRPr="00990FB6" w:rsidRDefault="00B305D7" w:rsidP="00B305D7">
      <w:pPr>
        <w:suppressAutoHyphens w:val="0"/>
        <w:ind w:left="1560" w:right="851"/>
        <w:jc w:val="both"/>
        <w:rPr>
          <w:sz w:val="22"/>
          <w:szCs w:val="22"/>
          <w:lang w:val="es-CR" w:eastAsia="en-US"/>
        </w:rPr>
      </w:pPr>
    </w:p>
    <w:p w14:paraId="65D8795A" w14:textId="62262409" w:rsidR="00B15F7D" w:rsidRPr="00990FB6" w:rsidRDefault="00B15F7D" w:rsidP="00B15F7D">
      <w:pPr>
        <w:numPr>
          <w:ilvl w:val="0"/>
          <w:numId w:val="121"/>
        </w:numPr>
        <w:suppressAutoHyphens w:val="0"/>
        <w:ind w:left="851" w:right="851" w:firstLine="709"/>
        <w:jc w:val="both"/>
        <w:rPr>
          <w:sz w:val="22"/>
          <w:szCs w:val="22"/>
          <w:lang w:val="es-CR" w:eastAsia="en-US"/>
        </w:rPr>
      </w:pPr>
      <w:r w:rsidRPr="00990FB6">
        <w:rPr>
          <w:sz w:val="22"/>
          <w:szCs w:val="22"/>
          <w:lang w:val="es-CR" w:eastAsia="en-US"/>
        </w:rPr>
        <w:t>La variación en la cantidad de “</w:t>
      </w:r>
      <w:r w:rsidRPr="00990FB6">
        <w:rPr>
          <w:i/>
          <w:iCs/>
          <w:sz w:val="22"/>
          <w:szCs w:val="22"/>
          <w:lang w:val="es-CR" w:eastAsia="en-US"/>
        </w:rPr>
        <w:t>Mesa sala colegiada</w:t>
      </w:r>
      <w:r w:rsidRPr="00990FB6">
        <w:rPr>
          <w:sz w:val="22"/>
          <w:szCs w:val="22"/>
          <w:lang w:val="es-CR" w:eastAsia="en-US"/>
        </w:rPr>
        <w:t xml:space="preserve">” requeridas originalmente para habilitar una sala destinada a la celebración de audiencias y debates en Puerto Jiménez. </w:t>
      </w:r>
      <w:proofErr w:type="gramStart"/>
      <w:r w:rsidRPr="00990FB6">
        <w:rPr>
          <w:sz w:val="22"/>
          <w:szCs w:val="22"/>
          <w:lang w:val="es-CR" w:eastAsia="en-US"/>
        </w:rPr>
        <w:t>El requerimiento original son</w:t>
      </w:r>
      <w:proofErr w:type="gramEnd"/>
      <w:r w:rsidRPr="00990FB6">
        <w:rPr>
          <w:sz w:val="22"/>
          <w:szCs w:val="22"/>
          <w:lang w:val="es-CR" w:eastAsia="en-US"/>
        </w:rPr>
        <w:t xml:space="preserve"> las tres (3) unidades registradas en el recuadro incluido en el ítem “</w:t>
      </w:r>
      <w:r w:rsidRPr="00990FB6">
        <w:rPr>
          <w:b/>
          <w:bCs/>
          <w:i/>
          <w:iCs/>
          <w:sz w:val="22"/>
          <w:szCs w:val="22"/>
          <w:lang w:val="es-CR" w:eastAsia="en-US"/>
        </w:rPr>
        <w:t>3.7 Criterio de la Dirección Ejecutiva</w:t>
      </w:r>
      <w:r w:rsidRPr="00990FB6">
        <w:rPr>
          <w:sz w:val="22"/>
          <w:szCs w:val="22"/>
          <w:lang w:val="es-CR" w:eastAsia="en-US"/>
        </w:rPr>
        <w:t>” del informe 354-PLA-EV-RH-2022; no obstante, ahora la Dirección Ejecutiva indica que se requieren siete (7) unidades en el oficio 311-DE-2023, remitido a solicitud de la Dirección de Planificación con los montos económicos actualizados a valor presente de cada uno de los artículos requeridos para tal fin.</w:t>
      </w:r>
    </w:p>
    <w:p w14:paraId="6C415019" w14:textId="77777777" w:rsidR="00B305D7" w:rsidRPr="00990FB6" w:rsidRDefault="00B305D7" w:rsidP="00B305D7">
      <w:pPr>
        <w:suppressAutoHyphens w:val="0"/>
        <w:ind w:right="851"/>
        <w:jc w:val="both"/>
        <w:rPr>
          <w:sz w:val="22"/>
          <w:szCs w:val="22"/>
          <w:lang w:val="es-CR" w:eastAsia="en-US"/>
        </w:rPr>
      </w:pPr>
    </w:p>
    <w:p w14:paraId="3CB46948" w14:textId="4EAD689E" w:rsidR="00B15F7D" w:rsidRPr="00990FB6" w:rsidRDefault="00B15F7D" w:rsidP="00B15F7D">
      <w:pPr>
        <w:numPr>
          <w:ilvl w:val="0"/>
          <w:numId w:val="121"/>
        </w:numPr>
        <w:suppressAutoHyphens w:val="0"/>
        <w:ind w:left="851" w:right="851" w:firstLine="709"/>
        <w:jc w:val="both"/>
        <w:rPr>
          <w:sz w:val="22"/>
          <w:szCs w:val="22"/>
          <w:lang w:val="es-CR" w:eastAsia="en-US"/>
        </w:rPr>
      </w:pPr>
      <w:r w:rsidRPr="00990FB6">
        <w:rPr>
          <w:sz w:val="22"/>
          <w:szCs w:val="22"/>
          <w:lang w:val="es-CR" w:eastAsia="en-US"/>
        </w:rPr>
        <w:t>La eliminación del artículo “</w:t>
      </w:r>
      <w:r w:rsidRPr="00990FB6">
        <w:rPr>
          <w:i/>
          <w:iCs/>
          <w:sz w:val="22"/>
          <w:szCs w:val="22"/>
          <w:lang w:val="es-CR" w:eastAsia="en-US"/>
        </w:rPr>
        <w:t>Mesa sala unipersonal (partes)</w:t>
      </w:r>
      <w:r w:rsidRPr="00990FB6">
        <w:rPr>
          <w:sz w:val="22"/>
          <w:szCs w:val="22"/>
          <w:lang w:val="es-CR" w:eastAsia="en-US"/>
        </w:rPr>
        <w:t>” requerido originalmente para habilitar una sala destinada a la celebración de audiencias y debates en Puerto Jiménez. El requerimiento original son las seis (6) unidades registradas en el recuadro incluido en el ítem “</w:t>
      </w:r>
      <w:r w:rsidRPr="00990FB6">
        <w:rPr>
          <w:b/>
          <w:bCs/>
          <w:i/>
          <w:iCs/>
          <w:sz w:val="22"/>
          <w:szCs w:val="22"/>
          <w:lang w:val="es-CR" w:eastAsia="en-US"/>
        </w:rPr>
        <w:t>3.7 Criterio de la Dirección Ejecutiva</w:t>
      </w:r>
      <w:r w:rsidRPr="00990FB6">
        <w:rPr>
          <w:sz w:val="22"/>
          <w:szCs w:val="22"/>
          <w:lang w:val="es-CR" w:eastAsia="en-US"/>
        </w:rPr>
        <w:t xml:space="preserve">” del informe 354-PLA-EV-RH-2022; no obstante, ahora la Dirección Ejecutiva prescinde de este artículo en el oficio 311-DE-2023, remitido a solicitud de la Dirección de </w:t>
      </w:r>
      <w:r w:rsidRPr="00990FB6">
        <w:rPr>
          <w:sz w:val="22"/>
          <w:szCs w:val="22"/>
          <w:lang w:val="es-CR" w:eastAsia="en-US"/>
        </w:rPr>
        <w:lastRenderedPageBreak/>
        <w:t>Planificación con los montos económicos actualizados a valor presente de cada uno de los artículos requeridos para tal fin.</w:t>
      </w:r>
    </w:p>
    <w:p w14:paraId="6D93572D" w14:textId="77777777" w:rsidR="00B305D7" w:rsidRPr="00990FB6" w:rsidRDefault="00B305D7" w:rsidP="00B305D7">
      <w:pPr>
        <w:suppressAutoHyphens w:val="0"/>
        <w:ind w:right="851"/>
        <w:jc w:val="both"/>
        <w:rPr>
          <w:sz w:val="22"/>
          <w:szCs w:val="22"/>
          <w:lang w:val="es-CR" w:eastAsia="en-US"/>
        </w:rPr>
      </w:pPr>
    </w:p>
    <w:p w14:paraId="7037C519" w14:textId="5732B79C" w:rsidR="00B15F7D" w:rsidRPr="00990FB6" w:rsidRDefault="00B15F7D" w:rsidP="00B15F7D">
      <w:pPr>
        <w:numPr>
          <w:ilvl w:val="0"/>
          <w:numId w:val="121"/>
        </w:numPr>
        <w:suppressAutoHyphens w:val="0"/>
        <w:ind w:left="851" w:right="851" w:firstLine="709"/>
        <w:jc w:val="both"/>
        <w:rPr>
          <w:sz w:val="22"/>
          <w:szCs w:val="22"/>
          <w:lang w:val="es-CR" w:eastAsia="en-US"/>
        </w:rPr>
      </w:pPr>
      <w:r w:rsidRPr="00990FB6">
        <w:rPr>
          <w:sz w:val="22"/>
          <w:szCs w:val="22"/>
          <w:lang w:val="es-CR" w:eastAsia="en-US"/>
        </w:rPr>
        <w:t>La variación en el destino del alquiler del local requerido en Puerto Jiménez. El requerimiento original es para albergar las instalaciones del Juzgado Penal de Golfito con sede en Puerto Jiménez, según se indica en el recuadro incluido en el ítem “</w:t>
      </w:r>
      <w:r w:rsidRPr="00990FB6">
        <w:rPr>
          <w:i/>
          <w:iCs/>
          <w:sz w:val="22"/>
          <w:szCs w:val="22"/>
          <w:lang w:val="es-CR" w:eastAsia="en-US"/>
        </w:rPr>
        <w:t>6.2</w:t>
      </w:r>
      <w:r w:rsidRPr="00990FB6">
        <w:rPr>
          <w:sz w:val="22"/>
          <w:szCs w:val="22"/>
          <w:lang w:val="es-CR" w:eastAsia="en-US"/>
        </w:rPr>
        <w:t>” del informe 354-PLA-EV-RH-2022; no obstante, ahora la Dirección Ejecutiva indica que el alquiler del local en Puerto Jiménez se requiere para albergar a la Unidad Regional del Organismo de Investigación Judicial y una sala destinada a la celebración de audiencias y debates, en el oficio 311-DE-2023 remitido a solicitud de la Dirección de Planificación con los montos económicos actualizados a valor presente de cada uno de los artículos requeridos para tal fin.</w:t>
      </w:r>
    </w:p>
    <w:p w14:paraId="4FBAD08F" w14:textId="77777777" w:rsidR="00B305D7" w:rsidRPr="00990FB6" w:rsidRDefault="00B305D7" w:rsidP="00B305D7">
      <w:pPr>
        <w:suppressAutoHyphens w:val="0"/>
        <w:ind w:right="851"/>
        <w:jc w:val="both"/>
        <w:rPr>
          <w:sz w:val="22"/>
          <w:szCs w:val="22"/>
          <w:lang w:val="es-CR" w:eastAsia="en-US"/>
        </w:rPr>
      </w:pPr>
    </w:p>
    <w:p w14:paraId="26913709"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Impacto económico original correspondiente al personal requerido por el Proyecto “Tribunales Peninsulares” según la “Propuesta de Solución de la Dirección de Planificación”.</w:t>
      </w:r>
    </w:p>
    <w:p w14:paraId="2BF91DED" w14:textId="77777777" w:rsidR="00B15F7D" w:rsidRPr="00990FB6" w:rsidRDefault="00B15F7D" w:rsidP="00B15F7D">
      <w:pPr>
        <w:suppressAutoHyphens w:val="0"/>
        <w:ind w:left="851" w:right="851" w:firstLine="709"/>
        <w:jc w:val="both"/>
        <w:rPr>
          <w:sz w:val="22"/>
          <w:szCs w:val="22"/>
          <w:lang w:val="es-CR" w:eastAsia="en-US"/>
        </w:rPr>
      </w:pPr>
    </w:p>
    <w:p w14:paraId="0EFDD5C8"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La Dirección de Planificación recomienda al Consejo Superior valorar y aprobar la “</w:t>
      </w:r>
      <w:r w:rsidRPr="00990FB6">
        <w:rPr>
          <w:b/>
          <w:bCs/>
          <w:i/>
          <w:iCs/>
          <w:sz w:val="22"/>
          <w:szCs w:val="22"/>
          <w:lang w:val="es-CR" w:eastAsia="en-US"/>
        </w:rPr>
        <w:t>Propuesta de Solución de la Dirección de Planificación</w:t>
      </w:r>
      <w:r w:rsidRPr="00990FB6">
        <w:rPr>
          <w:sz w:val="22"/>
          <w:szCs w:val="22"/>
          <w:lang w:val="es-CR" w:eastAsia="en-US"/>
        </w:rPr>
        <w:t>”, incluida dentro del apartado “</w:t>
      </w:r>
      <w:r w:rsidRPr="00990FB6">
        <w:rPr>
          <w:b/>
          <w:bCs/>
          <w:i/>
          <w:iCs/>
          <w:sz w:val="22"/>
          <w:szCs w:val="22"/>
          <w:lang w:val="es-CR" w:eastAsia="en-US"/>
        </w:rPr>
        <w:t>3.6</w:t>
      </w:r>
      <w:r w:rsidRPr="00990FB6">
        <w:rPr>
          <w:sz w:val="22"/>
          <w:szCs w:val="22"/>
          <w:lang w:val="es-CR" w:eastAsia="en-US"/>
        </w:rPr>
        <w:t>” del informe número 354-PLA-EV-RH-2022 del 27 de abril de 2022, denominado “</w:t>
      </w:r>
      <w:r w:rsidRPr="00990FB6">
        <w:rPr>
          <w:i/>
          <w:iCs/>
          <w:sz w:val="22"/>
          <w:szCs w:val="22"/>
          <w:lang w:val="es-CR" w:eastAsia="en-US"/>
        </w:rPr>
        <w:t>Tribunales Peninsulares</w:t>
      </w:r>
      <w:r w:rsidRPr="00990FB6">
        <w:rPr>
          <w:sz w:val="22"/>
          <w:szCs w:val="22"/>
          <w:lang w:val="es-CR" w:eastAsia="en-US"/>
        </w:rPr>
        <w:t xml:space="preserve">”, “. . . </w:t>
      </w:r>
      <w:r w:rsidRPr="00990FB6">
        <w:rPr>
          <w:i/>
          <w:iCs/>
          <w:sz w:val="22"/>
          <w:szCs w:val="22"/>
          <w:lang w:val="es-CR" w:eastAsia="en-US"/>
        </w:rPr>
        <w:t>la cual consiste en la creación y reforzamiento de los despachos relacionados con la Materia Penal y se resume de la siguiente manera . . .</w:t>
      </w:r>
      <w:r w:rsidRPr="00990FB6">
        <w:rPr>
          <w:sz w:val="22"/>
          <w:szCs w:val="22"/>
          <w:lang w:val="es-CR" w:eastAsia="en-US"/>
        </w:rPr>
        <w:t>” para cada uno de los dos escenarios ahí considerados:</w:t>
      </w:r>
    </w:p>
    <w:p w14:paraId="3AFF147A" w14:textId="77777777" w:rsidR="00B15F7D" w:rsidRPr="00990FB6" w:rsidRDefault="00B15F7D" w:rsidP="00B15F7D">
      <w:pPr>
        <w:suppressAutoHyphens w:val="0"/>
        <w:ind w:left="851" w:right="851" w:firstLine="709"/>
        <w:jc w:val="both"/>
        <w:rPr>
          <w:sz w:val="22"/>
          <w:szCs w:val="22"/>
          <w:lang w:val="es-CR" w:eastAsia="en-US"/>
        </w:rPr>
      </w:pPr>
    </w:p>
    <w:p w14:paraId="66C15659" w14:textId="77777777" w:rsidR="00B15F7D" w:rsidRPr="00990FB6" w:rsidRDefault="00B15F7D" w:rsidP="00B15F7D">
      <w:pPr>
        <w:suppressAutoHyphens w:val="0"/>
        <w:ind w:left="851" w:right="851"/>
        <w:jc w:val="center"/>
        <w:rPr>
          <w:sz w:val="22"/>
          <w:szCs w:val="22"/>
          <w:lang w:val="es-CR" w:eastAsia="en-US"/>
        </w:rPr>
      </w:pPr>
      <w:r w:rsidRPr="00990FB6">
        <w:rPr>
          <w:noProof/>
          <w:sz w:val="22"/>
          <w:szCs w:val="22"/>
          <w:lang w:val="es-CR" w:eastAsia="en-US"/>
        </w:rPr>
        <w:drawing>
          <wp:inline distT="0" distB="0" distL="0" distR="0" wp14:anchorId="7F9CDE71" wp14:editId="400E9494">
            <wp:extent cx="4749932" cy="3117850"/>
            <wp:effectExtent l="0" t="0" r="0" b="6350"/>
            <wp:docPr id="477127421" name="Imagen 47712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51861" cy="3119116"/>
                    </a:xfrm>
                    <a:prstGeom prst="rect">
                      <a:avLst/>
                    </a:prstGeom>
                    <a:noFill/>
                    <a:ln>
                      <a:noFill/>
                    </a:ln>
                  </pic:spPr>
                </pic:pic>
              </a:graphicData>
            </a:graphic>
          </wp:inline>
        </w:drawing>
      </w:r>
    </w:p>
    <w:p w14:paraId="221A7FDB" w14:textId="77777777" w:rsidR="00B15F7D" w:rsidRPr="00990FB6" w:rsidRDefault="00B15F7D" w:rsidP="00B15F7D">
      <w:pPr>
        <w:suppressAutoHyphens w:val="0"/>
        <w:ind w:left="851" w:right="851" w:firstLine="709"/>
        <w:jc w:val="both"/>
        <w:rPr>
          <w:sz w:val="22"/>
          <w:szCs w:val="22"/>
          <w:lang w:val="es-CR" w:eastAsia="en-US"/>
        </w:rPr>
      </w:pPr>
    </w:p>
    <w:p w14:paraId="6DA7C122" w14:textId="1CA62401" w:rsidR="00B15F7D"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lastRenderedPageBreak/>
        <w:t>Impacto económico estimado a valor presente (actualizado) de la “Propuesta de Solución de la Dirección de Planificación”, solo considerando el personal requerido, es el siguiente:</w:t>
      </w:r>
    </w:p>
    <w:p w14:paraId="2CC00B83" w14:textId="77777777" w:rsidR="00990FB6" w:rsidRPr="00990FB6" w:rsidRDefault="00990FB6" w:rsidP="00990FB6">
      <w:pPr>
        <w:suppressAutoHyphens w:val="0"/>
        <w:ind w:left="1560" w:right="851"/>
        <w:contextualSpacing/>
        <w:jc w:val="both"/>
        <w:rPr>
          <w:sz w:val="22"/>
          <w:szCs w:val="22"/>
          <w:lang w:val="es-CR" w:eastAsia="en-US"/>
        </w:rPr>
      </w:pPr>
    </w:p>
    <w:p w14:paraId="57A9279E" w14:textId="77777777" w:rsidR="00B15F7D" w:rsidRPr="00990FB6" w:rsidRDefault="00B15F7D" w:rsidP="00B15F7D">
      <w:pPr>
        <w:suppressAutoHyphens w:val="0"/>
        <w:ind w:left="851" w:right="851" w:firstLine="709"/>
        <w:jc w:val="both"/>
        <w:rPr>
          <w:sz w:val="22"/>
          <w:szCs w:val="22"/>
          <w:lang w:val="es-CR" w:eastAsia="en-US"/>
        </w:rPr>
      </w:pPr>
      <w:r w:rsidRPr="00990FB6">
        <w:rPr>
          <w:noProof/>
          <w:sz w:val="22"/>
          <w:szCs w:val="22"/>
          <w:lang w:val="es-CR" w:eastAsia="en-US"/>
        </w:rPr>
        <w:drawing>
          <wp:inline distT="0" distB="0" distL="0" distR="0" wp14:anchorId="0A66D19A" wp14:editId="2583C0A3">
            <wp:extent cx="4181475" cy="4526915"/>
            <wp:effectExtent l="0" t="0" r="9525" b="6985"/>
            <wp:docPr id="1595751781" name="Imagen 159575178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30"/>
                    <a:stretch>
                      <a:fillRect/>
                    </a:stretch>
                  </pic:blipFill>
                  <pic:spPr>
                    <a:xfrm>
                      <a:off x="0" y="0"/>
                      <a:ext cx="4181475" cy="4526915"/>
                    </a:xfrm>
                    <a:prstGeom prst="rect">
                      <a:avLst/>
                    </a:prstGeom>
                  </pic:spPr>
                </pic:pic>
              </a:graphicData>
            </a:graphic>
          </wp:inline>
        </w:drawing>
      </w:r>
    </w:p>
    <w:p w14:paraId="0F61B264" w14:textId="77777777" w:rsidR="00B15F7D" w:rsidRPr="00990FB6" w:rsidRDefault="00B15F7D" w:rsidP="00B15F7D">
      <w:pPr>
        <w:suppressAutoHyphens w:val="0"/>
        <w:ind w:left="851" w:right="851" w:firstLine="709"/>
        <w:jc w:val="both"/>
        <w:rPr>
          <w:sz w:val="22"/>
          <w:szCs w:val="22"/>
          <w:lang w:val="es-CR" w:eastAsia="en-US"/>
        </w:rPr>
      </w:pPr>
    </w:p>
    <w:p w14:paraId="32055F93"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Impacto económico total original requerido por el Proyecto “Tribunales Peninsulares” según la “Propuesta de Solución de la Dirección de Planificación”.</w:t>
      </w:r>
    </w:p>
    <w:p w14:paraId="13305B8E" w14:textId="77777777" w:rsidR="00B15F7D" w:rsidRPr="00990FB6" w:rsidRDefault="00B15F7D" w:rsidP="00B15F7D">
      <w:pPr>
        <w:suppressAutoHyphens w:val="0"/>
        <w:ind w:left="851" w:right="851" w:firstLine="709"/>
        <w:jc w:val="both"/>
        <w:rPr>
          <w:sz w:val="22"/>
          <w:szCs w:val="22"/>
          <w:lang w:val="es-CR" w:eastAsia="en-US"/>
        </w:rPr>
      </w:pPr>
    </w:p>
    <w:p w14:paraId="4134FF33"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El impacto económico total de la “</w:t>
      </w:r>
      <w:r w:rsidRPr="00990FB6">
        <w:rPr>
          <w:b/>
          <w:bCs/>
          <w:i/>
          <w:iCs/>
          <w:sz w:val="22"/>
          <w:szCs w:val="22"/>
          <w:lang w:val="es-CR" w:eastAsia="en-US"/>
        </w:rPr>
        <w:t>Propuesta de Solución de la Dirección de Planificación</w:t>
      </w:r>
      <w:r w:rsidRPr="00990FB6">
        <w:rPr>
          <w:sz w:val="22"/>
          <w:szCs w:val="22"/>
          <w:lang w:val="es-CR" w:eastAsia="en-US"/>
        </w:rPr>
        <w:t>”, incluida dentro del apartado “</w:t>
      </w:r>
      <w:r w:rsidRPr="00990FB6">
        <w:rPr>
          <w:b/>
          <w:bCs/>
          <w:i/>
          <w:iCs/>
          <w:sz w:val="22"/>
          <w:szCs w:val="22"/>
          <w:lang w:val="es-CR" w:eastAsia="en-US"/>
        </w:rPr>
        <w:t>3.6</w:t>
      </w:r>
      <w:r w:rsidRPr="00990FB6">
        <w:rPr>
          <w:sz w:val="22"/>
          <w:szCs w:val="22"/>
          <w:lang w:val="es-CR" w:eastAsia="en-US"/>
        </w:rPr>
        <w:t>” del informe número 354-PLA-EV-RH-2022 del 27 de abril de 2022, Proyecto “</w:t>
      </w:r>
      <w:r w:rsidRPr="00990FB6">
        <w:rPr>
          <w:i/>
          <w:iCs/>
          <w:sz w:val="22"/>
          <w:szCs w:val="22"/>
          <w:lang w:val="es-CR" w:eastAsia="en-US"/>
        </w:rPr>
        <w:t>Tribunales Peninsulares</w:t>
      </w:r>
      <w:r w:rsidRPr="00990FB6">
        <w:rPr>
          <w:sz w:val="22"/>
          <w:szCs w:val="22"/>
          <w:lang w:val="es-CR" w:eastAsia="en-US"/>
        </w:rPr>
        <w:t>”, considerando los dos escenarios planteados, es el siguiente:</w:t>
      </w:r>
    </w:p>
    <w:p w14:paraId="292F0C3D" w14:textId="77777777" w:rsidR="00B15F7D" w:rsidRPr="00990FB6" w:rsidRDefault="00B15F7D" w:rsidP="00B15F7D">
      <w:pPr>
        <w:suppressAutoHyphens w:val="0"/>
        <w:ind w:left="851" w:right="851" w:firstLine="709"/>
        <w:jc w:val="both"/>
        <w:rPr>
          <w:sz w:val="22"/>
          <w:szCs w:val="22"/>
          <w:lang w:val="es-CR" w:eastAsia="en-US"/>
        </w:rPr>
      </w:pPr>
      <w:r w:rsidRPr="00990FB6">
        <w:rPr>
          <w:noProof/>
          <w:sz w:val="22"/>
          <w:szCs w:val="22"/>
          <w:lang w:val="es-CR" w:eastAsia="en-US"/>
        </w:rPr>
        <w:lastRenderedPageBreak/>
        <w:drawing>
          <wp:inline distT="0" distB="0" distL="0" distR="0" wp14:anchorId="4A81EFD3" wp14:editId="75DA5DD9">
            <wp:extent cx="4095750" cy="4762500"/>
            <wp:effectExtent l="0" t="0" r="0" b="0"/>
            <wp:docPr id="260057606" name="Imagen 26005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0" cy="4762500"/>
                    </a:xfrm>
                    <a:prstGeom prst="rect">
                      <a:avLst/>
                    </a:prstGeom>
                    <a:noFill/>
                    <a:ln>
                      <a:noFill/>
                    </a:ln>
                  </pic:spPr>
                </pic:pic>
              </a:graphicData>
            </a:graphic>
          </wp:inline>
        </w:drawing>
      </w:r>
    </w:p>
    <w:p w14:paraId="0CF5494B" w14:textId="77777777" w:rsidR="00B15F7D" w:rsidRPr="00990FB6" w:rsidRDefault="00B15F7D" w:rsidP="00B15F7D">
      <w:pPr>
        <w:suppressAutoHyphens w:val="0"/>
        <w:ind w:left="851" w:right="851" w:firstLine="709"/>
        <w:jc w:val="both"/>
        <w:rPr>
          <w:sz w:val="22"/>
          <w:szCs w:val="22"/>
          <w:lang w:val="es-CR" w:eastAsia="en-US"/>
        </w:rPr>
      </w:pPr>
    </w:p>
    <w:p w14:paraId="39098083"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Impacto económico total estimado a valor presente (actualizado) de la “Propuesta de Solución de la Dirección de Planificación”, considerando el personal requerido y demás requerimientos, es el siguiente:</w:t>
      </w:r>
    </w:p>
    <w:p w14:paraId="3C93F942" w14:textId="77777777" w:rsidR="00B15F7D" w:rsidRPr="00990FB6" w:rsidRDefault="00B15F7D" w:rsidP="00B15F7D">
      <w:pPr>
        <w:suppressAutoHyphens w:val="0"/>
        <w:ind w:left="1560" w:right="851"/>
        <w:contextualSpacing/>
        <w:jc w:val="both"/>
        <w:rPr>
          <w:sz w:val="22"/>
          <w:szCs w:val="22"/>
          <w:lang w:val="es-CR" w:eastAsia="en-US"/>
        </w:rPr>
      </w:pPr>
    </w:p>
    <w:p w14:paraId="13CE2063" w14:textId="77777777" w:rsidR="00B15F7D" w:rsidRPr="00990FB6" w:rsidRDefault="00B15F7D" w:rsidP="00B15F7D">
      <w:pPr>
        <w:suppressAutoHyphens w:val="0"/>
        <w:ind w:left="851" w:right="851" w:firstLine="709"/>
        <w:jc w:val="both"/>
        <w:rPr>
          <w:sz w:val="22"/>
          <w:szCs w:val="22"/>
          <w:lang w:val="es-CR" w:eastAsia="en-US"/>
        </w:rPr>
      </w:pPr>
      <w:r w:rsidRPr="00990FB6">
        <w:rPr>
          <w:noProof/>
          <w:sz w:val="22"/>
          <w:szCs w:val="22"/>
          <w:lang w:val="es-CR" w:eastAsia="en-US"/>
        </w:rPr>
        <w:drawing>
          <wp:inline distT="0" distB="0" distL="0" distR="0" wp14:anchorId="554F32C2" wp14:editId="38D8D0CE">
            <wp:extent cx="4572000" cy="1714500"/>
            <wp:effectExtent l="0" t="0" r="0" b="0"/>
            <wp:docPr id="1466871832" name="Imagen 14668718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Texto, Aplicación, Correo electrónico&#10;&#10;Descripción generada automáticamente"/>
                    <pic:cNvPicPr/>
                  </pic:nvPicPr>
                  <pic:blipFill>
                    <a:blip r:embed="rId32"/>
                    <a:stretch>
                      <a:fillRect/>
                    </a:stretch>
                  </pic:blipFill>
                  <pic:spPr>
                    <a:xfrm>
                      <a:off x="0" y="0"/>
                      <a:ext cx="4572000" cy="1714500"/>
                    </a:xfrm>
                    <a:prstGeom prst="rect">
                      <a:avLst/>
                    </a:prstGeom>
                  </pic:spPr>
                </pic:pic>
              </a:graphicData>
            </a:graphic>
          </wp:inline>
        </w:drawing>
      </w:r>
    </w:p>
    <w:p w14:paraId="65BD2D69" w14:textId="77777777" w:rsidR="00B15F7D" w:rsidRPr="00990FB6" w:rsidRDefault="00B15F7D" w:rsidP="00B15F7D">
      <w:pPr>
        <w:suppressAutoHyphens w:val="0"/>
        <w:ind w:left="851" w:right="851" w:firstLine="709"/>
        <w:jc w:val="both"/>
        <w:rPr>
          <w:sz w:val="22"/>
          <w:szCs w:val="22"/>
          <w:lang w:val="es-CR" w:eastAsia="en-US"/>
        </w:rPr>
      </w:pPr>
    </w:p>
    <w:p w14:paraId="2583FEDF" w14:textId="77777777" w:rsidR="00B15F7D" w:rsidRPr="00990FB6" w:rsidRDefault="00B15F7D" w:rsidP="00B15F7D">
      <w:pPr>
        <w:suppressAutoHyphens w:val="0"/>
        <w:ind w:left="851" w:right="851" w:firstLine="709"/>
        <w:jc w:val="both"/>
        <w:rPr>
          <w:sz w:val="22"/>
          <w:szCs w:val="22"/>
          <w:lang w:val="es-CR" w:eastAsia="en-US"/>
        </w:rPr>
      </w:pPr>
    </w:p>
    <w:p w14:paraId="53D56FCD" w14:textId="77777777" w:rsidR="00B15F7D" w:rsidRPr="00990FB6" w:rsidRDefault="00B15F7D" w:rsidP="00B15F7D">
      <w:pPr>
        <w:numPr>
          <w:ilvl w:val="0"/>
          <w:numId w:val="119"/>
        </w:numPr>
        <w:suppressAutoHyphens w:val="0"/>
        <w:ind w:left="851" w:right="851" w:firstLine="709"/>
        <w:contextualSpacing/>
        <w:jc w:val="both"/>
        <w:rPr>
          <w:b/>
          <w:bCs/>
          <w:sz w:val="22"/>
          <w:szCs w:val="22"/>
          <w:lang w:val="es-CR" w:eastAsia="en-US"/>
        </w:rPr>
      </w:pPr>
      <w:r w:rsidRPr="00990FB6">
        <w:rPr>
          <w:b/>
          <w:bCs/>
          <w:sz w:val="22"/>
          <w:szCs w:val="22"/>
          <w:lang w:val="es-CR" w:eastAsia="en-US"/>
        </w:rPr>
        <w:t>RECOMENDACIONES</w:t>
      </w:r>
    </w:p>
    <w:p w14:paraId="3E2EED8E" w14:textId="77777777" w:rsidR="00B15F7D" w:rsidRPr="00990FB6" w:rsidRDefault="00B15F7D" w:rsidP="00B15F7D">
      <w:pPr>
        <w:suppressAutoHyphens w:val="0"/>
        <w:ind w:left="851" w:right="851" w:firstLine="709"/>
        <w:jc w:val="both"/>
        <w:rPr>
          <w:sz w:val="22"/>
          <w:szCs w:val="22"/>
          <w:lang w:val="es-CR" w:eastAsia="en-US"/>
        </w:rPr>
      </w:pPr>
    </w:p>
    <w:p w14:paraId="295C3183"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La Dirección de Planificación mantiene las recomendaciones formuladas en el informe número 354-PLA-EV-RH-2022 del 27 de abril de 2022, las cuales se transcriben en lo conducente a continuación, con el impacto económico estimado a valor presente (actualizado):</w:t>
      </w:r>
    </w:p>
    <w:p w14:paraId="50E428A9" w14:textId="77777777" w:rsidR="00B15F7D" w:rsidRPr="00990FB6" w:rsidRDefault="00B15F7D" w:rsidP="00B15F7D">
      <w:pPr>
        <w:suppressAutoHyphens w:val="0"/>
        <w:ind w:left="851" w:right="851" w:firstLine="709"/>
        <w:jc w:val="both"/>
        <w:rPr>
          <w:sz w:val="22"/>
          <w:szCs w:val="22"/>
          <w:lang w:val="es-CR" w:eastAsia="en-US"/>
        </w:rPr>
      </w:pPr>
    </w:p>
    <w:p w14:paraId="5BF8AC77"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w:t>
      </w:r>
      <w:r w:rsidRPr="00990FB6">
        <w:rPr>
          <w:b/>
          <w:bCs/>
          <w:i/>
          <w:iCs/>
          <w:sz w:val="22"/>
          <w:szCs w:val="22"/>
          <w:lang w:val="es-CR" w:eastAsia="en-US"/>
        </w:rPr>
        <w:t>Al Consejo Superior:</w:t>
      </w:r>
    </w:p>
    <w:p w14:paraId="6DFD3F99" w14:textId="77777777" w:rsidR="00B15F7D" w:rsidRPr="00990FB6" w:rsidRDefault="00B15F7D" w:rsidP="00B15F7D">
      <w:pPr>
        <w:suppressAutoHyphens w:val="0"/>
        <w:ind w:left="851" w:right="851" w:firstLine="709"/>
        <w:jc w:val="both"/>
        <w:rPr>
          <w:i/>
          <w:iCs/>
          <w:sz w:val="22"/>
          <w:szCs w:val="22"/>
          <w:lang w:val="es-CR" w:eastAsia="en-US"/>
        </w:rPr>
      </w:pPr>
    </w:p>
    <w:p w14:paraId="277DBFC7"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Valorar aprobar el presente informe, con la actualización de costo del informe 354-PLA-EV-RH-2022,  denominado “Actualización del impacto económico estimado del Proyecto “Análisis para la creación de Estructura Penal en la zona de Puerto Jiménez (“Tribunales Peninsulares”)” ─, sus recomendaciones, así como la propuesta de solución contenida en el apartado 3.6 Propuesta de Solución de la Dirección de Planificación ─del informe original─, la cual consiste en la creación y reforzamiento de los despachos relacionados con la Materia Penal y se resume de la siguiente manera ─se presenta la estimación del impacto económico actualizado correspondiente al personal requerido─:</w:t>
      </w:r>
    </w:p>
    <w:p w14:paraId="1E32FE0D" w14:textId="77777777" w:rsidR="00B15F7D" w:rsidRPr="00990FB6" w:rsidRDefault="00B15F7D" w:rsidP="00B15F7D">
      <w:pPr>
        <w:suppressAutoHyphens w:val="0"/>
        <w:ind w:left="1560" w:right="851"/>
        <w:contextualSpacing/>
        <w:jc w:val="both"/>
        <w:rPr>
          <w:sz w:val="22"/>
          <w:szCs w:val="22"/>
          <w:lang w:val="es-CR" w:eastAsia="en-US"/>
        </w:rPr>
      </w:pPr>
    </w:p>
    <w:p w14:paraId="2548FA83" w14:textId="77777777" w:rsidR="00B15F7D" w:rsidRPr="00990FB6" w:rsidRDefault="00B15F7D" w:rsidP="00B15F7D">
      <w:pPr>
        <w:suppressAutoHyphens w:val="0"/>
        <w:ind w:left="851" w:right="851" w:firstLine="709"/>
        <w:jc w:val="both"/>
        <w:rPr>
          <w:i/>
          <w:iCs/>
          <w:sz w:val="22"/>
          <w:szCs w:val="22"/>
          <w:lang w:eastAsia="en-US"/>
        </w:rPr>
      </w:pPr>
      <w:r w:rsidRPr="00990FB6">
        <w:rPr>
          <w:noProof/>
          <w:sz w:val="22"/>
          <w:szCs w:val="22"/>
          <w:lang w:val="es-CR" w:eastAsia="en-US"/>
        </w:rPr>
        <w:lastRenderedPageBreak/>
        <w:drawing>
          <wp:inline distT="0" distB="0" distL="0" distR="0" wp14:anchorId="7750C69B" wp14:editId="70E029DB">
            <wp:extent cx="4191000" cy="4526915"/>
            <wp:effectExtent l="0" t="0" r="0" b="6985"/>
            <wp:docPr id="1862233804" name="Imagen 186223380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Tabla&#10;&#10;Descripción generada automáticamente"/>
                    <pic:cNvPicPr/>
                  </pic:nvPicPr>
                  <pic:blipFill>
                    <a:blip r:embed="rId33"/>
                    <a:stretch>
                      <a:fillRect/>
                    </a:stretch>
                  </pic:blipFill>
                  <pic:spPr>
                    <a:xfrm>
                      <a:off x="0" y="0"/>
                      <a:ext cx="4191000" cy="4526915"/>
                    </a:xfrm>
                    <a:prstGeom prst="rect">
                      <a:avLst/>
                    </a:prstGeom>
                  </pic:spPr>
                </pic:pic>
              </a:graphicData>
            </a:graphic>
          </wp:inline>
        </w:drawing>
      </w:r>
    </w:p>
    <w:p w14:paraId="7BBF397F" w14:textId="77777777" w:rsidR="00B15F7D" w:rsidRPr="00990FB6" w:rsidRDefault="00B15F7D" w:rsidP="00B15F7D">
      <w:pPr>
        <w:suppressAutoHyphens w:val="0"/>
        <w:ind w:left="851" w:right="851" w:firstLine="709"/>
        <w:jc w:val="both"/>
        <w:rPr>
          <w:i/>
          <w:iCs/>
          <w:sz w:val="22"/>
          <w:szCs w:val="22"/>
          <w:lang w:eastAsia="en-US"/>
        </w:rPr>
      </w:pPr>
    </w:p>
    <w:p w14:paraId="720DA908" w14:textId="77777777" w:rsidR="00B15F7D" w:rsidRPr="00990FB6" w:rsidRDefault="00B15F7D" w:rsidP="00B15F7D">
      <w:pPr>
        <w:suppressAutoHyphens w:val="0"/>
        <w:ind w:left="851" w:right="851" w:firstLine="709"/>
        <w:jc w:val="both"/>
        <w:rPr>
          <w:i/>
          <w:iCs/>
          <w:sz w:val="22"/>
          <w:szCs w:val="22"/>
          <w:lang w:eastAsia="en-US"/>
        </w:rPr>
      </w:pPr>
      <w:r w:rsidRPr="00990FB6">
        <w:rPr>
          <w:i/>
          <w:iCs/>
          <w:sz w:val="22"/>
          <w:szCs w:val="22"/>
          <w:lang w:eastAsia="en-US"/>
        </w:rPr>
        <w:t xml:space="preserve">Posterior a una revisión y valoración interna, del recurso disponible se recomienda la aprobación del escenario 1, el cual contempla la estructura mínima para garantizar la prestación del servicio en la zona, tanto el escenario 1 y 2 se podrá ejecutar en el tanto el Ministerio de Hacienda y la Asamblea Legislativa incluyan los recursos presupuestarios para atender la creación en la zona señalada. </w:t>
      </w:r>
    </w:p>
    <w:p w14:paraId="111A8754" w14:textId="77777777" w:rsidR="00B15F7D" w:rsidRPr="00990FB6" w:rsidRDefault="00B15F7D" w:rsidP="00B15F7D">
      <w:pPr>
        <w:suppressAutoHyphens w:val="0"/>
        <w:ind w:left="851" w:right="851" w:firstLine="709"/>
        <w:jc w:val="both"/>
        <w:rPr>
          <w:i/>
          <w:iCs/>
          <w:sz w:val="22"/>
          <w:szCs w:val="22"/>
          <w:lang w:eastAsia="en-US"/>
        </w:rPr>
      </w:pPr>
    </w:p>
    <w:p w14:paraId="41C658E3" w14:textId="77777777" w:rsidR="00B15F7D" w:rsidRPr="00990FB6" w:rsidRDefault="00B15F7D" w:rsidP="00B15F7D">
      <w:pPr>
        <w:suppressAutoHyphens w:val="0"/>
        <w:ind w:left="851" w:right="851" w:firstLine="709"/>
        <w:jc w:val="both"/>
        <w:rPr>
          <w:i/>
          <w:iCs/>
          <w:sz w:val="22"/>
          <w:szCs w:val="22"/>
          <w:lang w:eastAsia="en-US"/>
        </w:rPr>
      </w:pPr>
      <w:r w:rsidRPr="00990FB6">
        <w:rPr>
          <w:i/>
          <w:iCs/>
          <w:sz w:val="22"/>
          <w:szCs w:val="22"/>
          <w:lang w:eastAsia="en-US"/>
        </w:rPr>
        <w:t xml:space="preserve">Hay que aclarar que el escenario 2 contempla las recomendaciones externadas por la Dirección General del Organismo de Investigación contenidas en el apartado 3.6.4 </w:t>
      </w:r>
      <w:r w:rsidRPr="00990FB6">
        <w:rPr>
          <w:i/>
          <w:iCs/>
          <w:sz w:val="22"/>
          <w:szCs w:val="22"/>
          <w:lang w:val="es-CR" w:eastAsia="en-US"/>
        </w:rPr>
        <w:t>─del informe número 354-PLA-EV-RH-2022─</w:t>
      </w:r>
      <w:r w:rsidRPr="00990FB6">
        <w:rPr>
          <w:i/>
          <w:iCs/>
          <w:sz w:val="22"/>
          <w:szCs w:val="22"/>
          <w:lang w:eastAsia="en-US"/>
        </w:rPr>
        <w:t>.</w:t>
      </w:r>
    </w:p>
    <w:p w14:paraId="714CDF38" w14:textId="77777777" w:rsidR="00B15F7D" w:rsidRPr="00990FB6" w:rsidRDefault="00B15F7D" w:rsidP="00B15F7D">
      <w:pPr>
        <w:suppressAutoHyphens w:val="0"/>
        <w:ind w:left="851" w:right="851" w:firstLine="709"/>
        <w:jc w:val="both"/>
        <w:rPr>
          <w:i/>
          <w:iCs/>
          <w:sz w:val="22"/>
          <w:szCs w:val="22"/>
          <w:lang w:eastAsia="en-US"/>
        </w:rPr>
      </w:pPr>
    </w:p>
    <w:p w14:paraId="2D1C509F" w14:textId="77777777" w:rsidR="00B15F7D" w:rsidRPr="00990FB6" w:rsidRDefault="00B15F7D" w:rsidP="00B15F7D">
      <w:pPr>
        <w:suppressAutoHyphens w:val="0"/>
        <w:ind w:left="851" w:right="851" w:firstLine="709"/>
        <w:jc w:val="both"/>
        <w:rPr>
          <w:i/>
          <w:iCs/>
          <w:sz w:val="22"/>
          <w:szCs w:val="22"/>
          <w:lang w:eastAsia="en-US"/>
        </w:rPr>
      </w:pPr>
      <w:r w:rsidRPr="00990FB6">
        <w:rPr>
          <w:i/>
          <w:iCs/>
          <w:sz w:val="22"/>
          <w:szCs w:val="22"/>
          <w:lang w:eastAsia="en-US"/>
        </w:rPr>
        <w:t xml:space="preserve">En caso de aprobar el escenario 1, se debe considerar lo indicado por el Organismo de Investigación Judicial en las observaciones al informe puesto en consulta </w:t>
      </w:r>
      <w:r w:rsidRPr="00990FB6">
        <w:rPr>
          <w:i/>
          <w:iCs/>
          <w:sz w:val="22"/>
          <w:szCs w:val="22"/>
          <w:lang w:val="es-CR" w:eastAsia="en-US"/>
        </w:rPr>
        <w:t>─el informe número 207-PLA-EV-2022 del 17 de marzo de 2022─</w:t>
      </w:r>
      <w:r w:rsidRPr="00990FB6">
        <w:rPr>
          <w:i/>
          <w:iCs/>
          <w:sz w:val="22"/>
          <w:szCs w:val="22"/>
          <w:lang w:eastAsia="en-US"/>
        </w:rPr>
        <w:t xml:space="preserve">, “Reconsiderar el requerimiento humano planteado en el oficio 854-DG-2018 con la modificación siguiente: </w:t>
      </w:r>
    </w:p>
    <w:p w14:paraId="324D9F2E" w14:textId="77777777" w:rsidR="00B15F7D" w:rsidRPr="00990FB6" w:rsidRDefault="00B15F7D" w:rsidP="00B15F7D">
      <w:pPr>
        <w:suppressAutoHyphens w:val="0"/>
        <w:ind w:left="851" w:right="851" w:firstLine="709"/>
        <w:jc w:val="both"/>
        <w:rPr>
          <w:i/>
          <w:iCs/>
          <w:sz w:val="22"/>
          <w:szCs w:val="22"/>
          <w:lang w:val="es-CR" w:eastAsia="en-US"/>
        </w:rPr>
      </w:pPr>
      <w:r w:rsidRPr="00990FB6">
        <w:rPr>
          <w:rFonts w:eastAsia="Book Antiqua"/>
          <w:i/>
          <w:iCs/>
          <w:sz w:val="22"/>
          <w:szCs w:val="22"/>
          <w:lang w:val="es-CR" w:eastAsia="en-US"/>
        </w:rPr>
        <w:t xml:space="preserve"> </w:t>
      </w:r>
    </w:p>
    <w:tbl>
      <w:tblPr>
        <w:tblW w:w="4198" w:type="dxa"/>
        <w:jc w:val="center"/>
        <w:tblLayout w:type="fixed"/>
        <w:tblCellMar>
          <w:top w:w="30" w:type="dxa"/>
          <w:left w:w="70" w:type="dxa"/>
          <w:right w:w="115" w:type="dxa"/>
        </w:tblCellMar>
        <w:tblLook w:val="04A0" w:firstRow="1" w:lastRow="0" w:firstColumn="1" w:lastColumn="0" w:noHBand="0" w:noVBand="1"/>
      </w:tblPr>
      <w:tblGrid>
        <w:gridCol w:w="2552"/>
        <w:gridCol w:w="1646"/>
      </w:tblGrid>
      <w:tr w:rsidR="00B15F7D" w:rsidRPr="00990FB6" w14:paraId="50B90D49" w14:textId="77777777" w:rsidTr="000A0C22">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6E0831F"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b/>
                <w:i/>
                <w:iCs/>
                <w:sz w:val="22"/>
                <w:szCs w:val="22"/>
                <w:lang w:val="es-CR" w:eastAsia="en-US"/>
              </w:rPr>
              <w:lastRenderedPageBreak/>
              <w:t xml:space="preserve">PLAZA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4E132D2E"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b/>
                <w:i/>
                <w:iCs/>
                <w:sz w:val="22"/>
                <w:szCs w:val="22"/>
                <w:lang w:val="es-CR" w:eastAsia="en-US"/>
              </w:rPr>
              <w:t xml:space="preserve">CANTIDAD </w:t>
            </w:r>
          </w:p>
        </w:tc>
      </w:tr>
      <w:tr w:rsidR="00B15F7D" w:rsidRPr="00990FB6" w14:paraId="4590ED93" w14:textId="77777777" w:rsidTr="000A0C22">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63F7F9C"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sz w:val="22"/>
                <w:szCs w:val="22"/>
                <w:lang w:val="es-CR" w:eastAsia="en-US"/>
              </w:rPr>
              <w:t xml:space="preserve">Jefatura de Investigación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2D0F7890"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sz w:val="22"/>
                <w:szCs w:val="22"/>
                <w:lang w:val="es-CR" w:eastAsia="en-US"/>
              </w:rPr>
              <w:t xml:space="preserve">1 </w:t>
            </w:r>
          </w:p>
        </w:tc>
      </w:tr>
      <w:tr w:rsidR="00B15F7D" w:rsidRPr="00990FB6" w14:paraId="2B2F0FDB" w14:textId="77777777" w:rsidTr="000A0C22">
        <w:trPr>
          <w:trHeight w:val="288"/>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3F70242" w14:textId="77777777" w:rsidR="00B15F7D" w:rsidRPr="00990FB6" w:rsidRDefault="00B15F7D" w:rsidP="00B15F7D">
            <w:pPr>
              <w:suppressAutoHyphens w:val="0"/>
              <w:jc w:val="both"/>
              <w:rPr>
                <w:rFonts w:eastAsia="Yu Mincho"/>
                <w:i/>
                <w:iCs/>
                <w:sz w:val="22"/>
                <w:szCs w:val="22"/>
                <w:lang w:val="es-CR" w:eastAsia="en-US"/>
              </w:rPr>
            </w:pPr>
            <w:r w:rsidRPr="00990FB6">
              <w:rPr>
                <w:rFonts w:eastAsia="Book Antiqua"/>
                <w:i/>
                <w:iCs/>
                <w:sz w:val="22"/>
                <w:szCs w:val="22"/>
                <w:lang w:val="es-CR" w:eastAsia="en-US"/>
              </w:rPr>
              <w:t xml:space="preserve">Oficial Investigación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161E805C"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color w:val="FF0000"/>
                <w:sz w:val="22"/>
                <w:szCs w:val="22"/>
                <w:lang w:val="es-CR" w:eastAsia="en-US"/>
              </w:rPr>
              <w:t>1</w:t>
            </w:r>
            <w:r w:rsidRPr="00990FB6">
              <w:rPr>
                <w:rFonts w:eastAsia="Calibri"/>
                <w:i/>
                <w:iCs/>
                <w:sz w:val="22"/>
                <w:szCs w:val="22"/>
                <w:lang w:val="es-CR" w:eastAsia="en-US"/>
              </w:rPr>
              <w:t xml:space="preserve"> </w:t>
            </w:r>
          </w:p>
        </w:tc>
      </w:tr>
      <w:tr w:rsidR="00B15F7D" w:rsidRPr="00990FB6" w14:paraId="5FA91F64" w14:textId="77777777" w:rsidTr="000A0C22">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47801482" w14:textId="77777777" w:rsidR="00B15F7D" w:rsidRPr="00990FB6" w:rsidRDefault="00B15F7D" w:rsidP="00B15F7D">
            <w:pPr>
              <w:suppressAutoHyphens w:val="0"/>
              <w:jc w:val="both"/>
              <w:rPr>
                <w:rFonts w:eastAsia="Yu Mincho"/>
                <w:i/>
                <w:iCs/>
                <w:sz w:val="22"/>
                <w:szCs w:val="22"/>
                <w:lang w:val="es-CR" w:eastAsia="en-US"/>
              </w:rPr>
            </w:pPr>
            <w:r w:rsidRPr="00990FB6">
              <w:rPr>
                <w:rFonts w:eastAsia="Book Antiqua"/>
                <w:i/>
                <w:iCs/>
                <w:sz w:val="22"/>
                <w:szCs w:val="22"/>
                <w:lang w:val="es-CR" w:eastAsia="en-US"/>
              </w:rPr>
              <w:t xml:space="preserve">Investigador 1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179F91CD"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sz w:val="22"/>
                <w:szCs w:val="22"/>
                <w:lang w:val="es-CR" w:eastAsia="en-US"/>
              </w:rPr>
              <w:t xml:space="preserve">4 </w:t>
            </w:r>
          </w:p>
        </w:tc>
      </w:tr>
      <w:tr w:rsidR="00B15F7D" w:rsidRPr="00990FB6" w14:paraId="5FE481DC" w14:textId="77777777" w:rsidTr="000A0C22">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762628D3" w14:textId="77777777" w:rsidR="00B15F7D" w:rsidRPr="00990FB6" w:rsidRDefault="00B15F7D" w:rsidP="00B15F7D">
            <w:pPr>
              <w:suppressAutoHyphens w:val="0"/>
              <w:jc w:val="both"/>
              <w:rPr>
                <w:rFonts w:eastAsia="Yu Mincho"/>
                <w:i/>
                <w:iCs/>
                <w:sz w:val="22"/>
                <w:szCs w:val="22"/>
                <w:lang w:val="es-CR" w:eastAsia="en-US"/>
              </w:rPr>
            </w:pPr>
            <w:r w:rsidRPr="00990FB6">
              <w:rPr>
                <w:rFonts w:eastAsia="Book Antiqua"/>
                <w:i/>
                <w:iCs/>
                <w:sz w:val="22"/>
                <w:szCs w:val="22"/>
                <w:lang w:val="es-CR" w:eastAsia="en-US"/>
              </w:rPr>
              <w:t xml:space="preserve">Investigador 2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30F91D44"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sz w:val="22"/>
                <w:szCs w:val="22"/>
                <w:lang w:val="es-CR" w:eastAsia="en-US"/>
              </w:rPr>
              <w:t xml:space="preserve">2 </w:t>
            </w:r>
          </w:p>
        </w:tc>
      </w:tr>
      <w:tr w:rsidR="00B15F7D" w:rsidRPr="00990FB6" w14:paraId="5E1FC576" w14:textId="77777777" w:rsidTr="000A0C22">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C56ABB0" w14:textId="77777777" w:rsidR="00B15F7D" w:rsidRPr="00990FB6" w:rsidRDefault="00B15F7D" w:rsidP="00B15F7D">
            <w:pPr>
              <w:suppressAutoHyphens w:val="0"/>
              <w:jc w:val="both"/>
              <w:rPr>
                <w:rFonts w:eastAsia="Yu Mincho"/>
                <w:i/>
                <w:iCs/>
                <w:sz w:val="22"/>
                <w:szCs w:val="22"/>
                <w:lang w:val="es-CR" w:eastAsia="en-US"/>
              </w:rPr>
            </w:pPr>
            <w:r w:rsidRPr="00990FB6">
              <w:rPr>
                <w:rFonts w:eastAsia="Book Antiqua"/>
                <w:i/>
                <w:iCs/>
                <w:sz w:val="22"/>
                <w:szCs w:val="22"/>
                <w:lang w:val="es-CR" w:eastAsia="en-US"/>
              </w:rPr>
              <w:t xml:space="preserve">Secretaria 1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040565D1"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sz w:val="22"/>
                <w:szCs w:val="22"/>
                <w:lang w:val="es-CR" w:eastAsia="en-US"/>
              </w:rPr>
              <w:t xml:space="preserve">1 </w:t>
            </w:r>
          </w:p>
        </w:tc>
      </w:tr>
      <w:tr w:rsidR="00B15F7D" w:rsidRPr="00990FB6" w14:paraId="351C3C5E" w14:textId="77777777" w:rsidTr="000A0C22">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03E72519" w14:textId="77777777" w:rsidR="00B15F7D" w:rsidRPr="00990FB6" w:rsidRDefault="00B15F7D" w:rsidP="00B15F7D">
            <w:pPr>
              <w:suppressAutoHyphens w:val="0"/>
              <w:jc w:val="both"/>
              <w:rPr>
                <w:rFonts w:eastAsia="Yu Mincho"/>
                <w:i/>
                <w:iCs/>
                <w:sz w:val="22"/>
                <w:szCs w:val="22"/>
                <w:lang w:val="es-CR" w:eastAsia="en-US"/>
              </w:rPr>
            </w:pPr>
            <w:r w:rsidRPr="00990FB6">
              <w:rPr>
                <w:rFonts w:eastAsia="Book Antiqua"/>
                <w:i/>
                <w:iCs/>
                <w:sz w:val="22"/>
                <w:szCs w:val="22"/>
                <w:lang w:val="es-CR" w:eastAsia="en-US"/>
              </w:rPr>
              <w:t xml:space="preserve">Auxiliar Administrativo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5586F2C4"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sz w:val="22"/>
                <w:szCs w:val="22"/>
                <w:lang w:val="es-CR" w:eastAsia="en-US"/>
              </w:rPr>
              <w:t xml:space="preserve">1 </w:t>
            </w:r>
          </w:p>
        </w:tc>
      </w:tr>
      <w:tr w:rsidR="00B15F7D" w:rsidRPr="00990FB6" w14:paraId="1BED675A" w14:textId="77777777" w:rsidTr="000A0C22">
        <w:trPr>
          <w:trHeight w:val="547"/>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744C2F5" w14:textId="77777777" w:rsidR="00B15F7D" w:rsidRPr="00990FB6" w:rsidRDefault="00B15F7D" w:rsidP="00B15F7D">
            <w:pPr>
              <w:suppressAutoHyphens w:val="0"/>
              <w:jc w:val="both"/>
              <w:rPr>
                <w:rFonts w:eastAsia="Yu Mincho"/>
                <w:i/>
                <w:iCs/>
                <w:sz w:val="22"/>
                <w:szCs w:val="22"/>
                <w:lang w:val="es-CR" w:eastAsia="en-US"/>
              </w:rPr>
            </w:pPr>
            <w:r w:rsidRPr="00990FB6">
              <w:rPr>
                <w:rFonts w:eastAsia="Book Antiqua"/>
                <w:i/>
                <w:iCs/>
                <w:sz w:val="22"/>
                <w:szCs w:val="22"/>
                <w:lang w:val="es-CR" w:eastAsia="en-US"/>
              </w:rPr>
              <w:t xml:space="preserve">Custodios de Detenidos (Femenino y Masculino) </w:t>
            </w:r>
          </w:p>
        </w:tc>
        <w:tc>
          <w:tcPr>
            <w:tcW w:w="1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F7FE8E" w14:textId="77777777" w:rsidR="00B15F7D" w:rsidRPr="00990FB6" w:rsidRDefault="00B15F7D" w:rsidP="00B15F7D">
            <w:pPr>
              <w:suppressAutoHyphens w:val="0"/>
              <w:jc w:val="both"/>
              <w:rPr>
                <w:rFonts w:eastAsia="Yu Mincho"/>
                <w:i/>
                <w:iCs/>
                <w:sz w:val="22"/>
                <w:szCs w:val="22"/>
                <w:lang w:val="es-CR" w:eastAsia="en-US"/>
              </w:rPr>
            </w:pPr>
            <w:r w:rsidRPr="00990FB6">
              <w:rPr>
                <w:rFonts w:eastAsia="Calibri"/>
                <w:i/>
                <w:iCs/>
                <w:sz w:val="22"/>
                <w:szCs w:val="22"/>
                <w:lang w:val="es-CR" w:eastAsia="en-US"/>
              </w:rPr>
              <w:t xml:space="preserve">2 </w:t>
            </w:r>
          </w:p>
        </w:tc>
      </w:tr>
    </w:tbl>
    <w:p w14:paraId="7DA2B265" w14:textId="77777777" w:rsidR="00B15F7D" w:rsidRPr="00990FB6" w:rsidRDefault="00B15F7D" w:rsidP="00B15F7D">
      <w:pPr>
        <w:suppressAutoHyphens w:val="0"/>
        <w:ind w:left="851" w:right="851" w:firstLine="709"/>
        <w:jc w:val="both"/>
        <w:rPr>
          <w:i/>
          <w:iCs/>
          <w:sz w:val="22"/>
          <w:szCs w:val="22"/>
          <w:lang w:val="es-CR" w:eastAsia="en-US"/>
        </w:rPr>
      </w:pPr>
      <w:r w:rsidRPr="00990FB6">
        <w:rPr>
          <w:rFonts w:eastAsia="Book Antiqua"/>
          <w:i/>
          <w:iCs/>
          <w:sz w:val="22"/>
          <w:szCs w:val="22"/>
          <w:lang w:val="es-CR" w:eastAsia="en-US"/>
        </w:rPr>
        <w:t xml:space="preserve"> </w:t>
      </w:r>
    </w:p>
    <w:p w14:paraId="65A2D090" w14:textId="77777777" w:rsidR="00B15F7D" w:rsidRPr="00990FB6" w:rsidRDefault="00B15F7D" w:rsidP="00B15F7D">
      <w:pPr>
        <w:suppressAutoHyphens w:val="0"/>
        <w:ind w:left="851" w:right="851" w:firstLine="709"/>
        <w:jc w:val="both"/>
        <w:rPr>
          <w:i/>
          <w:iCs/>
          <w:sz w:val="22"/>
          <w:szCs w:val="22"/>
          <w:lang w:eastAsia="en-US"/>
        </w:rPr>
      </w:pPr>
      <w:r w:rsidRPr="00990FB6">
        <w:rPr>
          <w:i/>
          <w:iCs/>
          <w:sz w:val="22"/>
          <w:szCs w:val="22"/>
          <w:lang w:eastAsia="en-US"/>
        </w:rPr>
        <w:t xml:space="preserve">Por lo que una vez en marcha el plan piloto y transcurrido el plazo de 6 meses y 1 año, se dará seguimiento a la estructura base planteada con el fin de determinar si se requiere ampliar la misma. </w:t>
      </w:r>
    </w:p>
    <w:p w14:paraId="32281887" w14:textId="77777777" w:rsidR="00B15F7D" w:rsidRPr="00990FB6" w:rsidRDefault="00B15F7D" w:rsidP="00B15F7D">
      <w:pPr>
        <w:suppressAutoHyphens w:val="0"/>
        <w:ind w:left="851" w:right="851" w:firstLine="709"/>
        <w:jc w:val="both"/>
        <w:rPr>
          <w:i/>
          <w:iCs/>
          <w:sz w:val="22"/>
          <w:szCs w:val="22"/>
          <w:lang w:eastAsia="en-US"/>
        </w:rPr>
      </w:pPr>
    </w:p>
    <w:p w14:paraId="4741C251" w14:textId="77777777" w:rsidR="00B15F7D" w:rsidRPr="00990FB6" w:rsidRDefault="00B15F7D" w:rsidP="00B15F7D">
      <w:pPr>
        <w:suppressAutoHyphens w:val="0"/>
        <w:ind w:left="851" w:right="851" w:firstLine="709"/>
        <w:jc w:val="both"/>
        <w:rPr>
          <w:i/>
          <w:iCs/>
          <w:sz w:val="22"/>
          <w:szCs w:val="22"/>
          <w:lang w:eastAsia="en-US"/>
        </w:rPr>
      </w:pPr>
      <w:r w:rsidRPr="00990FB6">
        <w:rPr>
          <w:i/>
          <w:iCs/>
          <w:sz w:val="22"/>
          <w:szCs w:val="22"/>
          <w:lang w:eastAsia="en-US"/>
        </w:rPr>
        <w:t xml:space="preserve">Además, según lo indicado por la Dirección Ejecutiva, se deben de considerar otros elementos en función de las soluciones de espacio físico e infraestructura, las cuales se solicita valorar tanto en temas de seguridad y servicios de limpieza. </w:t>
      </w:r>
    </w:p>
    <w:p w14:paraId="40C87E02" w14:textId="77777777" w:rsidR="00B15F7D" w:rsidRPr="00990FB6" w:rsidRDefault="00B15F7D" w:rsidP="00B15F7D">
      <w:pPr>
        <w:suppressAutoHyphens w:val="0"/>
        <w:ind w:left="851" w:right="851" w:firstLine="709"/>
        <w:jc w:val="both"/>
        <w:rPr>
          <w:i/>
          <w:iCs/>
          <w:sz w:val="22"/>
          <w:szCs w:val="22"/>
          <w:lang w:eastAsia="en-US"/>
        </w:rPr>
      </w:pPr>
    </w:p>
    <w:p w14:paraId="6696F1BC" w14:textId="77777777" w:rsidR="00B15F7D" w:rsidRPr="00990FB6" w:rsidRDefault="00B15F7D" w:rsidP="00B15F7D">
      <w:pPr>
        <w:suppressAutoHyphens w:val="0"/>
        <w:ind w:left="851" w:right="851" w:firstLine="709"/>
        <w:jc w:val="both"/>
        <w:rPr>
          <w:i/>
          <w:iCs/>
          <w:sz w:val="22"/>
          <w:szCs w:val="22"/>
          <w:lang w:eastAsia="en-US"/>
        </w:rPr>
      </w:pPr>
      <w:r w:rsidRPr="00990FB6">
        <w:rPr>
          <w:i/>
          <w:iCs/>
          <w:sz w:val="22"/>
          <w:szCs w:val="22"/>
          <w:lang w:eastAsia="en-US"/>
        </w:rPr>
        <w:t xml:space="preserve">Según lo indicado en el oficio 1431-DE-2022 </w:t>
      </w:r>
      <w:r w:rsidRPr="00990FB6">
        <w:rPr>
          <w:i/>
          <w:iCs/>
          <w:sz w:val="22"/>
          <w:szCs w:val="22"/>
          <w:lang w:val="es-CR" w:eastAsia="en-US"/>
        </w:rPr>
        <w:t xml:space="preserve">─incluido y analizado en el informe número 354-PLA-EV-RH-2022─ </w:t>
      </w:r>
      <w:r w:rsidRPr="00990FB6">
        <w:rPr>
          <w:i/>
          <w:iCs/>
          <w:sz w:val="22"/>
          <w:szCs w:val="22"/>
          <w:lang w:eastAsia="en-US"/>
        </w:rPr>
        <w:t xml:space="preserve">se tiene la posibilidad de manera provisional de instalar la mayoría de las estructuras propuestas con excepción de la Unidad Regional del OIJ por lo que se deben valorar soluciones integrales a la problemática a mediano y largo plazo. </w:t>
      </w:r>
    </w:p>
    <w:p w14:paraId="47C49F6D" w14:textId="77777777" w:rsidR="00B15F7D" w:rsidRPr="00990FB6" w:rsidRDefault="00B15F7D" w:rsidP="00B15F7D">
      <w:pPr>
        <w:suppressAutoHyphens w:val="0"/>
        <w:ind w:left="851" w:right="851" w:firstLine="709"/>
        <w:jc w:val="both"/>
        <w:rPr>
          <w:i/>
          <w:iCs/>
          <w:sz w:val="22"/>
          <w:szCs w:val="22"/>
          <w:lang w:val="es-CR" w:eastAsia="en-US"/>
        </w:rPr>
      </w:pPr>
    </w:p>
    <w:p w14:paraId="5D24E22D" w14:textId="5E866F90" w:rsidR="00B15F7D"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El costo total ─se presenta la estimación del impacto económico total actualizada a valor presente─ para los diferentes escenarios se resume a continuación:</w:t>
      </w:r>
    </w:p>
    <w:p w14:paraId="6672D262" w14:textId="77777777" w:rsidR="00990FB6" w:rsidRPr="00990FB6" w:rsidRDefault="00990FB6" w:rsidP="00990FB6">
      <w:pPr>
        <w:suppressAutoHyphens w:val="0"/>
        <w:ind w:left="1560" w:right="851"/>
        <w:contextualSpacing/>
        <w:jc w:val="both"/>
        <w:rPr>
          <w:sz w:val="22"/>
          <w:szCs w:val="22"/>
          <w:lang w:val="es-CR" w:eastAsia="en-US"/>
        </w:rPr>
      </w:pPr>
    </w:p>
    <w:p w14:paraId="6B05C06C" w14:textId="77777777" w:rsidR="00B15F7D" w:rsidRPr="00990FB6" w:rsidRDefault="00B15F7D" w:rsidP="00B15F7D">
      <w:pPr>
        <w:suppressAutoHyphens w:val="0"/>
        <w:ind w:left="851" w:right="851" w:firstLine="709"/>
        <w:jc w:val="both"/>
        <w:rPr>
          <w:i/>
          <w:iCs/>
          <w:sz w:val="22"/>
          <w:szCs w:val="22"/>
          <w:lang w:val="es-CR" w:eastAsia="en-US"/>
        </w:rPr>
      </w:pPr>
      <w:r w:rsidRPr="00990FB6">
        <w:rPr>
          <w:noProof/>
          <w:sz w:val="22"/>
          <w:szCs w:val="22"/>
          <w:lang w:val="es-CR" w:eastAsia="en-US"/>
        </w:rPr>
        <w:drawing>
          <wp:inline distT="0" distB="0" distL="0" distR="0" wp14:anchorId="62B2B902" wp14:editId="7D7064B4">
            <wp:extent cx="4076700" cy="2208530"/>
            <wp:effectExtent l="0" t="0" r="0" b="1270"/>
            <wp:docPr id="577726349" name="Imagen 57772634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Aplicación&#10;&#10;Descripción generada automáticamente"/>
                    <pic:cNvPicPr/>
                  </pic:nvPicPr>
                  <pic:blipFill>
                    <a:blip r:embed="rId34"/>
                    <a:stretch>
                      <a:fillRect/>
                    </a:stretch>
                  </pic:blipFill>
                  <pic:spPr>
                    <a:xfrm>
                      <a:off x="0" y="0"/>
                      <a:ext cx="4076700" cy="2208530"/>
                    </a:xfrm>
                    <a:prstGeom prst="rect">
                      <a:avLst/>
                    </a:prstGeom>
                  </pic:spPr>
                </pic:pic>
              </a:graphicData>
            </a:graphic>
          </wp:inline>
        </w:drawing>
      </w:r>
    </w:p>
    <w:p w14:paraId="56B3D489" w14:textId="77777777" w:rsidR="00B15F7D" w:rsidRPr="00990FB6" w:rsidRDefault="00B15F7D" w:rsidP="00B15F7D">
      <w:pPr>
        <w:suppressAutoHyphens w:val="0"/>
        <w:ind w:left="851" w:right="851" w:firstLine="709"/>
        <w:jc w:val="both"/>
        <w:rPr>
          <w:i/>
          <w:iCs/>
          <w:sz w:val="22"/>
          <w:szCs w:val="22"/>
          <w:lang w:val="es-CR" w:eastAsia="en-US"/>
        </w:rPr>
      </w:pPr>
    </w:p>
    <w:p w14:paraId="4BED7BC9" w14:textId="77777777" w:rsidR="00B15F7D" w:rsidRPr="00990FB6" w:rsidRDefault="00B15F7D" w:rsidP="00B15F7D">
      <w:pPr>
        <w:suppressAutoHyphens w:val="0"/>
        <w:ind w:left="851" w:right="851" w:firstLine="709"/>
        <w:jc w:val="both"/>
        <w:rPr>
          <w:i/>
          <w:iCs/>
          <w:sz w:val="22"/>
          <w:szCs w:val="22"/>
          <w:lang w:val="es-CR" w:eastAsia="en-US"/>
        </w:rPr>
      </w:pPr>
      <w:r w:rsidRPr="00990FB6">
        <w:rPr>
          <w:i/>
          <w:iCs/>
          <w:sz w:val="22"/>
          <w:szCs w:val="22"/>
          <w:lang w:val="es-CR" w:eastAsia="en-US"/>
        </w:rPr>
        <w:t xml:space="preserve">Posterior al subtotal se integra las estimaciones ─del impacto económico actualizadas─ por parte de la Dirección Ejecutiva ─mediante oficios 311-DE-2023 y </w:t>
      </w:r>
      <w:r w:rsidRPr="00990FB6">
        <w:rPr>
          <w:i/>
          <w:iCs/>
          <w:sz w:val="22"/>
          <w:szCs w:val="22"/>
          <w:lang w:val="es-CR" w:eastAsia="en-US"/>
        </w:rPr>
        <w:lastRenderedPageBreak/>
        <w:t xml:space="preserve">346-DE-2023─ para solventar los requerimientos de espacio del Juzgado Penal de Golfito en su nueva sede Puerto Jiménez ─ahora sería para solventar los requerimientos de la unidad regional del Organismo de Investigación Judicial y de una sala para celebrar debates y audiencias en ese cantón, de acuerdo con lo informado por la Dirección Ejecutiva mediante oficios 311-DE-2023 y 346-DE-2023─, por lo que se solicita integrar los mismos en el presupuesto 2023 ─ahora sería en el Anteproyecto de presupuesto correspondiente al 2024─, con el </w:t>
      </w:r>
      <w:r w:rsidRPr="00990FB6">
        <w:rPr>
          <w:b/>
          <w:bCs/>
          <w:i/>
          <w:iCs/>
          <w:sz w:val="22"/>
          <w:szCs w:val="22"/>
          <w:lang w:val="es-CR" w:eastAsia="en-US"/>
        </w:rPr>
        <w:t>objetivo de disponer de contenido para una ampliación de manera provisional ya sea para el Juzgado o la Unidad Regional del OIJ,</w:t>
      </w:r>
      <w:r w:rsidRPr="00990FB6">
        <w:rPr>
          <w:i/>
          <w:iCs/>
          <w:sz w:val="22"/>
          <w:szCs w:val="22"/>
          <w:lang w:val="es-CR" w:eastAsia="en-US"/>
        </w:rPr>
        <w:t xml:space="preserve"> esto en vista de lo indicado en el 1431-DE-2022 donde se indica se podrían instalar de manera provisional la mayoría de estructuras a excepción de la Unidad Regional del OIJ ─se reitera, ahora sería para solventar los requerimientos de la unidad regional del Organismo de Investigación Judicial y de una sala para celebrar debates y audiencias en ese cantón, de acuerdo con lo informado más recientemente por la Dirección Ejecutiva mediante oficios 311-DE-2023 y 346-DE-2023─.</w:t>
      </w:r>
    </w:p>
    <w:p w14:paraId="70B2BD10" w14:textId="77777777" w:rsidR="00B15F7D" w:rsidRPr="00990FB6" w:rsidRDefault="00B15F7D" w:rsidP="00B15F7D">
      <w:pPr>
        <w:suppressAutoHyphens w:val="0"/>
        <w:ind w:left="851" w:right="851" w:firstLine="709"/>
        <w:jc w:val="both"/>
        <w:rPr>
          <w:i/>
          <w:iCs/>
          <w:sz w:val="22"/>
          <w:szCs w:val="22"/>
          <w:lang w:val="es-CR" w:eastAsia="en-US"/>
        </w:rPr>
      </w:pPr>
    </w:p>
    <w:p w14:paraId="140BEFFF"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En caso de que se proceda con la creación de la nueva sede del Juzgado Penal de Golfito, se mantendrá la misma competencia territorial que hoy asume el Juzgado Penal de Golfito, el personal destacado en la localidad se enfocará en la atención de asuntos provenientes de Puerto Jiménez. Según el análisis de la carga de trabajo el personal de la nueva sede podrá brindar colaboración en otras diligencias, especialmente de la etapa preparatoria. Esto involucraría realizar un abordaje del despacho por parte del Subproceso de Modernización Institucional de previo a la integración del recurso para ajustar el modelo de tramitación del Juzgado Penal de Golfito, y optimizarlo con el objetivo de tener el mayor aprovechamiento del recurso.</w:t>
      </w:r>
    </w:p>
    <w:p w14:paraId="2902D3BE" w14:textId="77777777" w:rsidR="00B15F7D" w:rsidRPr="00990FB6" w:rsidRDefault="00B15F7D" w:rsidP="00B15F7D">
      <w:pPr>
        <w:suppressAutoHyphens w:val="0"/>
        <w:ind w:left="851" w:right="851" w:firstLine="709"/>
        <w:jc w:val="both"/>
        <w:rPr>
          <w:i/>
          <w:iCs/>
          <w:sz w:val="22"/>
          <w:szCs w:val="22"/>
          <w:lang w:val="es-CR" w:eastAsia="en-US"/>
        </w:rPr>
      </w:pPr>
    </w:p>
    <w:p w14:paraId="6C81EC26" w14:textId="77777777" w:rsidR="00B15F7D" w:rsidRPr="00990FB6" w:rsidRDefault="00B15F7D" w:rsidP="00B15F7D">
      <w:pPr>
        <w:suppressAutoHyphens w:val="0"/>
        <w:ind w:left="851" w:right="851" w:firstLine="709"/>
        <w:jc w:val="both"/>
        <w:rPr>
          <w:i/>
          <w:iCs/>
          <w:sz w:val="22"/>
          <w:szCs w:val="22"/>
          <w:lang w:val="es-CR" w:eastAsia="en-US"/>
        </w:rPr>
      </w:pPr>
      <w:r w:rsidRPr="00990FB6">
        <w:rPr>
          <w:i/>
          <w:iCs/>
          <w:sz w:val="22"/>
          <w:szCs w:val="22"/>
          <w:lang w:val="es-CR" w:eastAsia="en-US"/>
        </w:rPr>
        <w:t>Se aclara que se mantiene como instancia superior el Tribunal Penal de Golfito.</w:t>
      </w:r>
    </w:p>
    <w:p w14:paraId="4F4D5C9F" w14:textId="77777777" w:rsidR="00B15F7D" w:rsidRPr="00990FB6" w:rsidRDefault="00B15F7D" w:rsidP="00B15F7D">
      <w:pPr>
        <w:suppressAutoHyphens w:val="0"/>
        <w:ind w:left="851" w:right="851" w:firstLine="709"/>
        <w:jc w:val="both"/>
        <w:rPr>
          <w:i/>
          <w:iCs/>
          <w:sz w:val="22"/>
          <w:szCs w:val="22"/>
          <w:lang w:val="es-CR" w:eastAsia="en-US"/>
        </w:rPr>
      </w:pPr>
    </w:p>
    <w:p w14:paraId="65E7327A" w14:textId="77777777" w:rsidR="00B15F7D" w:rsidRPr="00990FB6" w:rsidRDefault="00B15F7D" w:rsidP="00B15F7D">
      <w:pPr>
        <w:suppressAutoHyphens w:val="0"/>
        <w:ind w:left="851" w:right="851" w:firstLine="709"/>
        <w:jc w:val="both"/>
        <w:rPr>
          <w:b/>
          <w:bCs/>
          <w:i/>
          <w:iCs/>
          <w:sz w:val="22"/>
          <w:szCs w:val="22"/>
          <w:lang w:val="es-CR" w:eastAsia="en-US"/>
        </w:rPr>
      </w:pPr>
      <w:r w:rsidRPr="00990FB6">
        <w:rPr>
          <w:b/>
          <w:bCs/>
          <w:i/>
          <w:iCs/>
          <w:sz w:val="22"/>
          <w:szCs w:val="22"/>
          <w:lang w:val="es-CR" w:eastAsia="en-US"/>
        </w:rPr>
        <w:t>Al Ministerio Público</w:t>
      </w:r>
    </w:p>
    <w:p w14:paraId="71884FAE" w14:textId="77777777" w:rsidR="00B15F7D" w:rsidRPr="00990FB6" w:rsidRDefault="00B15F7D" w:rsidP="00B15F7D">
      <w:pPr>
        <w:suppressAutoHyphens w:val="0"/>
        <w:ind w:left="851" w:right="851" w:firstLine="709"/>
        <w:jc w:val="both"/>
        <w:rPr>
          <w:i/>
          <w:iCs/>
          <w:sz w:val="22"/>
          <w:szCs w:val="22"/>
          <w:lang w:val="es-CR" w:eastAsia="en-US"/>
        </w:rPr>
      </w:pPr>
    </w:p>
    <w:p w14:paraId="1565AC7E"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En cuanto a la Fiscalía General el recurso de Técnico judicial 2, se propuso la recomendación emitida en el informe 1137-PLA-MI-2021 donde se identifica y recomienda el traslado de un técnico de la fiscalía de Golfito a Puerto Jiménez.</w:t>
      </w:r>
    </w:p>
    <w:p w14:paraId="78970F00" w14:textId="77777777" w:rsidR="00B15F7D" w:rsidRPr="00990FB6" w:rsidRDefault="00B15F7D" w:rsidP="00B15F7D">
      <w:pPr>
        <w:suppressAutoHyphens w:val="0"/>
        <w:ind w:left="851" w:right="851" w:firstLine="709"/>
        <w:jc w:val="both"/>
        <w:rPr>
          <w:i/>
          <w:iCs/>
          <w:sz w:val="22"/>
          <w:szCs w:val="22"/>
          <w:lang w:val="es-CR" w:eastAsia="en-US"/>
        </w:rPr>
      </w:pPr>
    </w:p>
    <w:p w14:paraId="562759CD" w14:textId="77777777" w:rsidR="00B15F7D" w:rsidRPr="00990FB6" w:rsidRDefault="00B15F7D" w:rsidP="00B15F7D">
      <w:pPr>
        <w:suppressAutoHyphens w:val="0"/>
        <w:ind w:left="851" w:right="851" w:firstLine="709"/>
        <w:jc w:val="both"/>
        <w:rPr>
          <w:i/>
          <w:iCs/>
          <w:sz w:val="22"/>
          <w:szCs w:val="22"/>
          <w:lang w:val="es-CR" w:eastAsia="en-US"/>
        </w:rPr>
      </w:pPr>
      <w:r w:rsidRPr="00990FB6">
        <w:rPr>
          <w:i/>
          <w:iCs/>
          <w:sz w:val="22"/>
          <w:szCs w:val="22"/>
          <w:lang w:val="es-CR" w:eastAsia="en-US"/>
        </w:rPr>
        <w:t>Con esto se lograría reforzar la estructura mínima recomendada con la siguiente plaza:</w:t>
      </w:r>
    </w:p>
    <w:tbl>
      <w:tblPr>
        <w:tblW w:w="6400" w:type="dxa"/>
        <w:jc w:val="center"/>
        <w:tblCellMar>
          <w:left w:w="70" w:type="dxa"/>
          <w:right w:w="70" w:type="dxa"/>
        </w:tblCellMar>
        <w:tblLook w:val="04A0" w:firstRow="1" w:lastRow="0" w:firstColumn="1" w:lastColumn="0" w:noHBand="0" w:noVBand="1"/>
      </w:tblPr>
      <w:tblGrid>
        <w:gridCol w:w="4420"/>
        <w:gridCol w:w="1980"/>
      </w:tblGrid>
      <w:tr w:rsidR="00B15F7D" w:rsidRPr="00990FB6" w14:paraId="5CC0E6E0" w14:textId="77777777" w:rsidTr="000A0C22">
        <w:trPr>
          <w:trHeight w:val="270"/>
          <w:jc w:val="center"/>
        </w:trPr>
        <w:tc>
          <w:tcPr>
            <w:tcW w:w="4420" w:type="dxa"/>
            <w:tcBorders>
              <w:top w:val="single" w:sz="4" w:space="0" w:color="auto"/>
              <w:left w:val="single" w:sz="4" w:space="0" w:color="auto"/>
              <w:bottom w:val="single" w:sz="4" w:space="0" w:color="auto"/>
              <w:right w:val="single" w:sz="4" w:space="0" w:color="auto"/>
            </w:tcBorders>
            <w:shd w:val="clear" w:color="000000" w:fill="00B0F0"/>
            <w:vAlign w:val="center"/>
            <w:hideMark/>
          </w:tcPr>
          <w:p w14:paraId="3EACEF68" w14:textId="77777777" w:rsidR="00B15F7D" w:rsidRPr="00990FB6" w:rsidRDefault="00B15F7D" w:rsidP="00B15F7D">
            <w:pPr>
              <w:suppressAutoHyphens w:val="0"/>
              <w:jc w:val="center"/>
              <w:rPr>
                <w:b/>
                <w:bCs/>
                <w:i/>
                <w:iCs/>
                <w:color w:val="000000"/>
                <w:sz w:val="22"/>
                <w:szCs w:val="22"/>
                <w:lang w:val="es-CR" w:eastAsia="es-CR"/>
              </w:rPr>
            </w:pPr>
            <w:r w:rsidRPr="00990FB6">
              <w:rPr>
                <w:b/>
                <w:bCs/>
                <w:i/>
                <w:iCs/>
                <w:color w:val="000000"/>
                <w:sz w:val="22"/>
                <w:szCs w:val="22"/>
                <w:lang w:val="es-CR" w:eastAsia="es-CR"/>
              </w:rPr>
              <w:t>Tipo de Recurso</w:t>
            </w:r>
          </w:p>
        </w:tc>
        <w:tc>
          <w:tcPr>
            <w:tcW w:w="1980" w:type="dxa"/>
            <w:tcBorders>
              <w:top w:val="single" w:sz="4" w:space="0" w:color="auto"/>
              <w:left w:val="nil"/>
              <w:bottom w:val="single" w:sz="4" w:space="0" w:color="auto"/>
              <w:right w:val="single" w:sz="4" w:space="0" w:color="auto"/>
            </w:tcBorders>
            <w:shd w:val="clear" w:color="000000" w:fill="00B0F0"/>
            <w:vAlign w:val="center"/>
            <w:hideMark/>
          </w:tcPr>
          <w:p w14:paraId="0B692BC5" w14:textId="77777777" w:rsidR="00B15F7D" w:rsidRPr="00990FB6" w:rsidRDefault="00B15F7D" w:rsidP="00B15F7D">
            <w:pPr>
              <w:suppressAutoHyphens w:val="0"/>
              <w:jc w:val="center"/>
              <w:rPr>
                <w:b/>
                <w:bCs/>
                <w:i/>
                <w:iCs/>
                <w:color w:val="000000"/>
                <w:sz w:val="22"/>
                <w:szCs w:val="22"/>
                <w:lang w:val="es-CR" w:eastAsia="es-CR"/>
              </w:rPr>
            </w:pPr>
            <w:r w:rsidRPr="00990FB6">
              <w:rPr>
                <w:b/>
                <w:bCs/>
                <w:i/>
                <w:iCs/>
                <w:color w:val="000000"/>
                <w:sz w:val="22"/>
                <w:szCs w:val="22"/>
                <w:lang w:val="es-CR" w:eastAsia="es-CR"/>
              </w:rPr>
              <w:t>Cantidad de Recurso Requerido</w:t>
            </w:r>
          </w:p>
        </w:tc>
      </w:tr>
      <w:tr w:rsidR="00B15F7D" w:rsidRPr="00990FB6" w14:paraId="70D11409" w14:textId="77777777" w:rsidTr="000A0C22">
        <w:trPr>
          <w:trHeight w:val="270"/>
          <w:jc w:val="center"/>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6F66160F" w14:textId="77777777" w:rsidR="00B15F7D" w:rsidRPr="00990FB6" w:rsidRDefault="00B15F7D" w:rsidP="00B15F7D">
            <w:pPr>
              <w:suppressAutoHyphens w:val="0"/>
              <w:rPr>
                <w:i/>
                <w:iCs/>
                <w:color w:val="000000"/>
                <w:sz w:val="22"/>
                <w:szCs w:val="22"/>
                <w:lang w:val="es-CR" w:eastAsia="es-CR"/>
              </w:rPr>
            </w:pPr>
            <w:r w:rsidRPr="00990FB6">
              <w:rPr>
                <w:i/>
                <w:iCs/>
                <w:color w:val="000000"/>
                <w:sz w:val="22"/>
                <w:szCs w:val="22"/>
                <w:lang w:val="es-CR" w:eastAsia="es-CR"/>
              </w:rPr>
              <w:t>Técnico Judicial 2</w:t>
            </w:r>
          </w:p>
        </w:tc>
        <w:tc>
          <w:tcPr>
            <w:tcW w:w="1980" w:type="dxa"/>
            <w:tcBorders>
              <w:top w:val="nil"/>
              <w:left w:val="nil"/>
              <w:bottom w:val="single" w:sz="4" w:space="0" w:color="auto"/>
              <w:right w:val="single" w:sz="4" w:space="0" w:color="auto"/>
            </w:tcBorders>
            <w:shd w:val="clear" w:color="auto" w:fill="auto"/>
            <w:noWrap/>
            <w:vAlign w:val="center"/>
            <w:hideMark/>
          </w:tcPr>
          <w:p w14:paraId="3A6932DD" w14:textId="77777777" w:rsidR="00B15F7D" w:rsidRPr="00990FB6" w:rsidRDefault="00B15F7D" w:rsidP="00B15F7D">
            <w:pPr>
              <w:suppressAutoHyphens w:val="0"/>
              <w:jc w:val="center"/>
              <w:rPr>
                <w:i/>
                <w:iCs/>
                <w:color w:val="000000"/>
                <w:sz w:val="22"/>
                <w:szCs w:val="22"/>
                <w:lang w:val="es-CR" w:eastAsia="es-CR"/>
              </w:rPr>
            </w:pPr>
            <w:r w:rsidRPr="00990FB6">
              <w:rPr>
                <w:i/>
                <w:iCs/>
                <w:color w:val="000000"/>
                <w:sz w:val="22"/>
                <w:szCs w:val="22"/>
                <w:lang w:val="es-CR" w:eastAsia="es-CR"/>
              </w:rPr>
              <w:t>1</w:t>
            </w:r>
          </w:p>
        </w:tc>
      </w:tr>
    </w:tbl>
    <w:p w14:paraId="1FFA8F9D" w14:textId="77777777" w:rsidR="00B15F7D" w:rsidRPr="00990FB6" w:rsidRDefault="00B15F7D" w:rsidP="00B15F7D">
      <w:pPr>
        <w:suppressAutoHyphens w:val="0"/>
        <w:ind w:left="851" w:right="851" w:firstLine="709"/>
        <w:jc w:val="both"/>
        <w:rPr>
          <w:i/>
          <w:iCs/>
          <w:sz w:val="22"/>
          <w:szCs w:val="22"/>
          <w:lang w:val="es-CR" w:eastAsia="en-US"/>
        </w:rPr>
      </w:pPr>
    </w:p>
    <w:p w14:paraId="6A6434B4" w14:textId="77777777" w:rsidR="00B15F7D" w:rsidRPr="00990FB6" w:rsidRDefault="00B15F7D" w:rsidP="00B15F7D">
      <w:pPr>
        <w:suppressAutoHyphens w:val="0"/>
        <w:ind w:left="851" w:right="851" w:firstLine="709"/>
        <w:jc w:val="both"/>
        <w:rPr>
          <w:b/>
          <w:bCs/>
          <w:i/>
          <w:iCs/>
          <w:sz w:val="22"/>
          <w:szCs w:val="22"/>
          <w:lang w:val="es-CR" w:eastAsia="en-US"/>
        </w:rPr>
      </w:pPr>
      <w:r w:rsidRPr="00990FB6">
        <w:rPr>
          <w:b/>
          <w:bCs/>
          <w:i/>
          <w:iCs/>
          <w:sz w:val="22"/>
          <w:szCs w:val="22"/>
          <w:lang w:val="es-CR" w:eastAsia="en-US"/>
        </w:rPr>
        <w:t>Dirección de Gestión Humana</w:t>
      </w:r>
    </w:p>
    <w:p w14:paraId="2146BFD9" w14:textId="77777777" w:rsidR="00B15F7D" w:rsidRPr="00990FB6" w:rsidRDefault="00B15F7D" w:rsidP="00B15F7D">
      <w:pPr>
        <w:suppressAutoHyphens w:val="0"/>
        <w:ind w:left="851" w:right="851" w:firstLine="709"/>
        <w:jc w:val="both"/>
        <w:rPr>
          <w:i/>
          <w:iCs/>
          <w:sz w:val="22"/>
          <w:szCs w:val="22"/>
          <w:lang w:val="es-CR" w:eastAsia="en-US"/>
        </w:rPr>
      </w:pPr>
    </w:p>
    <w:p w14:paraId="323AB53C"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Según lo indicado por la Dirección General del OIJ, Oficina de Planes y Operaciones, en oficio 081-OPO-2022 del 30 de marzo de 2022, y señalado en la </w:t>
      </w:r>
      <w:r w:rsidRPr="00990FB6">
        <w:rPr>
          <w:sz w:val="22"/>
          <w:szCs w:val="22"/>
          <w:lang w:val="es-CR" w:eastAsia="en-US"/>
        </w:rPr>
        <w:lastRenderedPageBreak/>
        <w:t>observación 26 ─incluida en el informe número 354-PLA-EV-RH-2022─, en relación con el siguiente texto:</w:t>
      </w:r>
    </w:p>
    <w:p w14:paraId="11478AA1" w14:textId="77777777" w:rsidR="00B15F7D" w:rsidRPr="00990FB6" w:rsidRDefault="00B15F7D" w:rsidP="00B15F7D">
      <w:pPr>
        <w:suppressAutoHyphens w:val="0"/>
        <w:ind w:left="851" w:right="851" w:firstLine="709"/>
        <w:jc w:val="both"/>
        <w:rPr>
          <w:i/>
          <w:iCs/>
          <w:sz w:val="22"/>
          <w:szCs w:val="22"/>
          <w:lang w:val="es-CR" w:eastAsia="en-US"/>
        </w:rPr>
      </w:pPr>
    </w:p>
    <w:p w14:paraId="009DEF13" w14:textId="77777777" w:rsidR="00B15F7D" w:rsidRPr="00990FB6" w:rsidRDefault="00B15F7D" w:rsidP="00B15F7D">
      <w:pPr>
        <w:suppressAutoHyphens w:val="0"/>
        <w:ind w:left="851" w:right="851" w:firstLine="709"/>
        <w:jc w:val="both"/>
        <w:rPr>
          <w:i/>
          <w:iCs/>
          <w:sz w:val="22"/>
          <w:szCs w:val="22"/>
          <w:lang w:val="es-CR" w:eastAsia="en-US"/>
        </w:rPr>
      </w:pPr>
      <w:r w:rsidRPr="00990FB6">
        <w:rPr>
          <w:i/>
          <w:iCs/>
          <w:sz w:val="22"/>
          <w:szCs w:val="22"/>
          <w:lang w:val="es-CR" w:eastAsia="en-US"/>
        </w:rPr>
        <w:t xml:space="preserve">“es ahí donde se les solicita revisar no sólo la cantidad de personal propuesto, </w:t>
      </w:r>
      <w:r w:rsidRPr="00990FB6">
        <w:rPr>
          <w:b/>
          <w:bCs/>
          <w:i/>
          <w:iCs/>
          <w:sz w:val="22"/>
          <w:szCs w:val="22"/>
          <w:lang w:val="es-CR" w:eastAsia="en-US"/>
        </w:rPr>
        <w:t>sino también las funciones que le estarían dando al Oficial de Investigación propuestos</w:t>
      </w:r>
      <w:r w:rsidRPr="00990FB6">
        <w:rPr>
          <w:i/>
          <w:iCs/>
          <w:sz w:val="22"/>
          <w:szCs w:val="22"/>
          <w:lang w:val="es-CR" w:eastAsia="en-US"/>
        </w:rPr>
        <w:t xml:space="preserve"> por ustedes para que administre esa oficina, de mantenerse lo anterior nos oponemos totalmente a que se siga con esas malas prácticas de colocar personal a ejercer funciones que no les corresponde, por lo tanto requerimos que se cumpla con lo establecido en el  Manual de Puestos, porque están proponiendo a un oficial para que administre una oficina y el Manual indica que un solamente podrá asignar, supervisar y controlar las labores de investigación que realiza el grupo a su cargo, pero en ninguna parte del documento se indica que un Oficial deba administrar y mucho menos evaluar a su personal, por esa situación reiteramos nuestra oposición a que se siga cometiendo ese grave error de nombrar personal sin el perfil competencial requerido solamente para evitarse un gasto superior y que eso permita poner en riesgo al Estado cuando puedan plantear una acusación por estar ejerciendo funciones que no están descritas en el puesto que están desempeñando.”</w:t>
      </w:r>
    </w:p>
    <w:p w14:paraId="45E9624D" w14:textId="77777777" w:rsidR="00B15F7D" w:rsidRPr="00990FB6" w:rsidRDefault="00B15F7D" w:rsidP="00B15F7D">
      <w:pPr>
        <w:suppressAutoHyphens w:val="0"/>
        <w:ind w:left="851" w:right="851" w:firstLine="709"/>
        <w:jc w:val="both"/>
        <w:rPr>
          <w:i/>
          <w:iCs/>
          <w:sz w:val="22"/>
          <w:szCs w:val="22"/>
          <w:lang w:val="es-CR" w:eastAsia="en-US"/>
        </w:rPr>
      </w:pPr>
    </w:p>
    <w:p w14:paraId="256CF8DF" w14:textId="77777777" w:rsidR="00B15F7D" w:rsidRPr="00990FB6" w:rsidRDefault="00B15F7D" w:rsidP="00B15F7D">
      <w:pPr>
        <w:suppressAutoHyphens w:val="0"/>
        <w:ind w:left="851" w:right="851" w:firstLine="709"/>
        <w:jc w:val="both"/>
        <w:rPr>
          <w:i/>
          <w:iCs/>
          <w:sz w:val="22"/>
          <w:szCs w:val="22"/>
          <w:lang w:val="es-CR" w:eastAsia="en-US"/>
        </w:rPr>
      </w:pPr>
      <w:r w:rsidRPr="00990FB6">
        <w:rPr>
          <w:i/>
          <w:iCs/>
          <w:sz w:val="22"/>
          <w:szCs w:val="22"/>
          <w:lang w:val="es-CR" w:eastAsia="en-US"/>
        </w:rPr>
        <w:t>Se solicita la revisión del perfil competencial y de lo indicado entorno al puesto de Oficial de Investigación 1.</w:t>
      </w:r>
    </w:p>
    <w:p w14:paraId="60943A3B" w14:textId="77777777" w:rsidR="00B15F7D" w:rsidRPr="00990FB6" w:rsidRDefault="00B15F7D" w:rsidP="00B15F7D">
      <w:pPr>
        <w:suppressAutoHyphens w:val="0"/>
        <w:ind w:left="851" w:right="851" w:firstLine="709"/>
        <w:jc w:val="both"/>
        <w:rPr>
          <w:i/>
          <w:iCs/>
          <w:sz w:val="22"/>
          <w:szCs w:val="22"/>
          <w:lang w:val="es-CR" w:eastAsia="en-US"/>
        </w:rPr>
      </w:pPr>
    </w:p>
    <w:p w14:paraId="318AE49E"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En caso de aprobarse el presente informe ─actualización de costo del informe 354-PLA-EV-RH-2022─ y una vez que se tengan identificadas las posibles plazas sujetas a traslado, deberá proponer los movimientos formales de los puestos para las estructuras recomendados en este informe y la revisión del perfil competencial en caso de ser necesario.</w:t>
      </w:r>
    </w:p>
    <w:p w14:paraId="38714C8D" w14:textId="77777777" w:rsidR="00B15F7D" w:rsidRPr="00990FB6" w:rsidRDefault="00B15F7D" w:rsidP="00B15F7D">
      <w:pPr>
        <w:suppressAutoHyphens w:val="0"/>
        <w:ind w:left="851" w:right="851" w:firstLine="709"/>
        <w:jc w:val="both"/>
        <w:rPr>
          <w:i/>
          <w:iCs/>
          <w:sz w:val="22"/>
          <w:szCs w:val="22"/>
          <w:lang w:val="es-CR" w:eastAsia="en-US"/>
        </w:rPr>
      </w:pPr>
    </w:p>
    <w:p w14:paraId="6D929E2D" w14:textId="77777777" w:rsidR="00B15F7D" w:rsidRPr="00990FB6" w:rsidRDefault="00B15F7D" w:rsidP="00B15F7D">
      <w:pPr>
        <w:suppressAutoHyphens w:val="0"/>
        <w:ind w:left="851" w:right="851" w:firstLine="709"/>
        <w:jc w:val="both"/>
        <w:rPr>
          <w:b/>
          <w:bCs/>
          <w:i/>
          <w:iCs/>
          <w:sz w:val="22"/>
          <w:szCs w:val="22"/>
          <w:lang w:val="es-CR" w:eastAsia="en-US"/>
        </w:rPr>
      </w:pPr>
      <w:r w:rsidRPr="00990FB6">
        <w:rPr>
          <w:b/>
          <w:bCs/>
          <w:i/>
          <w:iCs/>
          <w:sz w:val="22"/>
          <w:szCs w:val="22"/>
          <w:lang w:val="es-CR" w:eastAsia="en-US"/>
        </w:rPr>
        <w:t>Departamento de Salud Ocupacional</w:t>
      </w:r>
    </w:p>
    <w:p w14:paraId="2CCB2633" w14:textId="77777777" w:rsidR="00B15F7D" w:rsidRPr="00990FB6" w:rsidRDefault="00B15F7D" w:rsidP="00B15F7D">
      <w:pPr>
        <w:suppressAutoHyphens w:val="0"/>
        <w:ind w:left="851" w:right="851" w:firstLine="709"/>
        <w:jc w:val="both"/>
        <w:rPr>
          <w:i/>
          <w:iCs/>
          <w:sz w:val="22"/>
          <w:szCs w:val="22"/>
          <w:lang w:val="es-CR" w:eastAsia="en-US"/>
        </w:rPr>
      </w:pPr>
    </w:p>
    <w:p w14:paraId="08854421"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Deberá valorar las condiciones y el espacio físico de los despachos existentes con el fin de determinar si se puede integrar el nuevo recurso de manera presencial en estos despachos (Fiscalía y Defensa de Puerto Jiménez) y que estas estén en apego a las medidas de distanciamiento vigentes definidas para la pandemia provocada por el COVID-19 ─lo anterior en caso de requerirse─.  De manera complementaria participar y revisar las distribuciones de planta para las nuevas oficinas (Juzgado Penal de Golfito Sede Puerto Jiménez y Unidad Regional del OIJ Puerto Jiménez).</w:t>
      </w:r>
    </w:p>
    <w:p w14:paraId="7B93520B" w14:textId="77777777" w:rsidR="00B15F7D" w:rsidRPr="00990FB6" w:rsidRDefault="00B15F7D" w:rsidP="00B15F7D">
      <w:pPr>
        <w:suppressAutoHyphens w:val="0"/>
        <w:ind w:left="851" w:right="851" w:firstLine="709"/>
        <w:jc w:val="both"/>
        <w:rPr>
          <w:i/>
          <w:iCs/>
          <w:sz w:val="22"/>
          <w:szCs w:val="22"/>
          <w:lang w:val="es-CR" w:eastAsia="en-US"/>
        </w:rPr>
      </w:pPr>
    </w:p>
    <w:p w14:paraId="5DBF68B4" w14:textId="77777777" w:rsidR="00B15F7D" w:rsidRPr="00990FB6" w:rsidRDefault="00B15F7D" w:rsidP="00B15F7D">
      <w:pPr>
        <w:suppressAutoHyphens w:val="0"/>
        <w:ind w:left="851" w:right="851" w:firstLine="709"/>
        <w:jc w:val="both"/>
        <w:rPr>
          <w:b/>
          <w:bCs/>
          <w:i/>
          <w:iCs/>
          <w:sz w:val="22"/>
          <w:szCs w:val="22"/>
          <w:lang w:val="es-CR" w:eastAsia="en-US"/>
        </w:rPr>
      </w:pPr>
      <w:r w:rsidRPr="00990FB6">
        <w:rPr>
          <w:b/>
          <w:bCs/>
          <w:i/>
          <w:iCs/>
          <w:sz w:val="22"/>
          <w:szCs w:val="22"/>
          <w:lang w:val="es-CR" w:eastAsia="en-US"/>
        </w:rPr>
        <w:t>Dirección Ejecutiva</w:t>
      </w:r>
    </w:p>
    <w:p w14:paraId="1320B336" w14:textId="77777777" w:rsidR="00B15F7D" w:rsidRPr="00990FB6" w:rsidRDefault="00B15F7D" w:rsidP="00B15F7D">
      <w:pPr>
        <w:suppressAutoHyphens w:val="0"/>
        <w:ind w:left="851" w:right="851" w:firstLine="709"/>
        <w:jc w:val="both"/>
        <w:rPr>
          <w:i/>
          <w:iCs/>
          <w:sz w:val="22"/>
          <w:szCs w:val="22"/>
          <w:lang w:val="es-CR" w:eastAsia="en-US"/>
        </w:rPr>
      </w:pPr>
    </w:p>
    <w:p w14:paraId="6887CEB8"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Valorar dentro de sus posibilidades presupuestarias, la asignación de un espacio físico idóneo para albergar al Juzgado Penal de Golfito Sede Puerto Jimenez, de manera tal que al menos pueda alojar y disponer de una sala de audiencias que cuenten con las condiciones de seguridad y tecnológicas idóneas para la realización de diligencias. La viabilidad de la recomendación será a partir de la certeza de la disponibilidad de recursos.</w:t>
      </w:r>
    </w:p>
    <w:p w14:paraId="3D125A36" w14:textId="77777777" w:rsidR="00B15F7D" w:rsidRPr="00990FB6" w:rsidRDefault="00B15F7D" w:rsidP="00B15F7D">
      <w:pPr>
        <w:suppressAutoHyphens w:val="0"/>
        <w:ind w:left="851" w:right="851" w:firstLine="709"/>
        <w:jc w:val="both"/>
        <w:rPr>
          <w:i/>
          <w:iCs/>
          <w:sz w:val="22"/>
          <w:szCs w:val="22"/>
          <w:lang w:val="es-CR" w:eastAsia="en-US"/>
        </w:rPr>
      </w:pPr>
    </w:p>
    <w:p w14:paraId="041B9CA4"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En conjunto con Servicios Generales, definir los requerimientos mínimos de espacio y distribución requerida para las nuevas dependencias; analizar la alternativa de establecer negociación con el propietario del inmueble alquilado actualmente en la localidad, para valorar la posibilidad de realizar un adendum al contrato de alquiler, o en su defecto, se busque otra alternativa o solución integral a los requerimientos de espacio físico e infraestructura en la zona (Compra terreno y construcción, compra de un edificio, alquiler de un edificio nuevo, ampliación de contrato, una combinación de las indicadas ,entre otras).  En el caso de OIJ La Secretaría General del OIJ remitió de previo estos requerimientos mínimos y se encuentran insertos en este documento en el apartado “3.6.3.1 Requerimientos de espacio físico” y anexo 3 ─ambos del informe número 354-PLA-EV-RH-2022─. Lo anterior a partir de los lineamientos presupuestarios y contenido económico. </w:t>
      </w:r>
    </w:p>
    <w:p w14:paraId="3254FCF2" w14:textId="77777777" w:rsidR="00B15F7D" w:rsidRPr="00990FB6" w:rsidRDefault="00B15F7D" w:rsidP="00B15F7D">
      <w:pPr>
        <w:suppressAutoHyphens w:val="0"/>
        <w:ind w:left="851" w:right="851" w:firstLine="709"/>
        <w:jc w:val="both"/>
        <w:rPr>
          <w:i/>
          <w:iCs/>
          <w:sz w:val="22"/>
          <w:szCs w:val="22"/>
          <w:lang w:val="es-CR" w:eastAsia="en-US"/>
        </w:rPr>
      </w:pPr>
    </w:p>
    <w:p w14:paraId="0178A0B1"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Valorar en conjunto con las dependencias relacionadas los requerimientos de seguridad y limpieza para los despachos de la Zona de Puerto Jimenez. </w:t>
      </w:r>
    </w:p>
    <w:p w14:paraId="0BB95270" w14:textId="77777777" w:rsidR="00B15F7D" w:rsidRPr="00990FB6" w:rsidRDefault="00B15F7D" w:rsidP="00B15F7D">
      <w:pPr>
        <w:suppressAutoHyphens w:val="0"/>
        <w:ind w:left="851" w:right="851" w:firstLine="709"/>
        <w:jc w:val="both"/>
        <w:rPr>
          <w:i/>
          <w:iCs/>
          <w:sz w:val="22"/>
          <w:szCs w:val="22"/>
          <w:lang w:val="es-CR" w:eastAsia="en-US"/>
        </w:rPr>
      </w:pPr>
    </w:p>
    <w:p w14:paraId="5F9C45A3"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En caso de que se mantenga la utilización del edificio alquilado, solicitar el criterio técnico del Departamento de Seguridad y de la Oficina Regional del OIJ de Golfito con el objetivo de valorar la viabilidad para señalar los juicios colegiados y unipersonales en la sala de juicio disponible en la misma zona de Puerto Jiménez, esto con el fin de mejorar el acceso a la justicia de las personas usuarias. Para lo anterior se debe de coordinar previamente con la Administración Regional el traslado de los Jueces y Juezas, así como el Técnico o Técnica Judicial que le asistirá en el juicio, además las disposiciones de seguridad necesarias para la realización de un juicio.</w:t>
      </w:r>
    </w:p>
    <w:p w14:paraId="09287757" w14:textId="77777777" w:rsidR="00B15F7D" w:rsidRPr="00990FB6" w:rsidRDefault="00B15F7D" w:rsidP="00B15F7D">
      <w:pPr>
        <w:suppressAutoHyphens w:val="0"/>
        <w:ind w:left="851" w:right="851" w:firstLine="709"/>
        <w:jc w:val="both"/>
        <w:rPr>
          <w:i/>
          <w:iCs/>
          <w:sz w:val="22"/>
          <w:szCs w:val="22"/>
          <w:lang w:val="es-CR" w:eastAsia="en-US"/>
        </w:rPr>
      </w:pPr>
    </w:p>
    <w:p w14:paraId="7076FCCD" w14:textId="77777777" w:rsidR="00B15F7D" w:rsidRPr="00990FB6" w:rsidRDefault="00B15F7D" w:rsidP="00B15F7D">
      <w:pPr>
        <w:suppressAutoHyphens w:val="0"/>
        <w:ind w:left="851" w:right="851" w:firstLine="709"/>
        <w:jc w:val="both"/>
        <w:rPr>
          <w:b/>
          <w:bCs/>
          <w:i/>
          <w:iCs/>
          <w:sz w:val="22"/>
          <w:szCs w:val="22"/>
          <w:lang w:val="es-CR" w:eastAsia="en-US"/>
        </w:rPr>
      </w:pPr>
      <w:r w:rsidRPr="00990FB6">
        <w:rPr>
          <w:b/>
          <w:bCs/>
          <w:i/>
          <w:iCs/>
          <w:sz w:val="22"/>
          <w:szCs w:val="22"/>
          <w:lang w:val="es-CR" w:eastAsia="en-US"/>
        </w:rPr>
        <w:t>Juzgado Penal de Golfito</w:t>
      </w:r>
    </w:p>
    <w:p w14:paraId="1FCD2728" w14:textId="77777777" w:rsidR="00B15F7D" w:rsidRPr="00990FB6" w:rsidRDefault="00B15F7D" w:rsidP="00B15F7D">
      <w:pPr>
        <w:suppressAutoHyphens w:val="0"/>
        <w:ind w:left="851" w:right="851" w:firstLine="709"/>
        <w:jc w:val="both"/>
        <w:rPr>
          <w:i/>
          <w:iCs/>
          <w:sz w:val="22"/>
          <w:szCs w:val="22"/>
          <w:lang w:val="es-CR" w:eastAsia="en-US"/>
        </w:rPr>
      </w:pPr>
    </w:p>
    <w:p w14:paraId="1C63E58D"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Una vez aprobada la creación de la sede Puerto Jiménez y de previo a su entrada en funcionamiento, deberá identificar los expedientes provenientes de la zona, con el objetivo de los que aún no tienen señalamiento, sean trasladados al escritorio de Personal Técnico o Juzgador de dicha sede, con la finalidad de agilizar los tiempos de respuesta, según corresponda. </w:t>
      </w:r>
    </w:p>
    <w:p w14:paraId="3F6A18A8" w14:textId="77777777" w:rsidR="00B15F7D" w:rsidRPr="00990FB6" w:rsidRDefault="00B15F7D" w:rsidP="00B15F7D">
      <w:pPr>
        <w:suppressAutoHyphens w:val="0"/>
        <w:ind w:left="851" w:right="851" w:firstLine="709"/>
        <w:jc w:val="both"/>
        <w:rPr>
          <w:i/>
          <w:iCs/>
          <w:sz w:val="22"/>
          <w:szCs w:val="22"/>
          <w:lang w:val="es-CR" w:eastAsia="en-US"/>
        </w:rPr>
      </w:pPr>
    </w:p>
    <w:p w14:paraId="6440B4FA"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Al tratarse de una sede de dicha dependencia deberá brindar el apoyo y coordinación respectivo, tanto por parte de la coordinadora judicial así como el Juez Coordinador.</w:t>
      </w:r>
    </w:p>
    <w:p w14:paraId="216BD3C2" w14:textId="77777777" w:rsidR="00B15F7D" w:rsidRPr="00990FB6" w:rsidRDefault="00B15F7D" w:rsidP="00B15F7D">
      <w:pPr>
        <w:suppressAutoHyphens w:val="0"/>
        <w:ind w:left="851" w:right="851" w:firstLine="709"/>
        <w:jc w:val="both"/>
        <w:rPr>
          <w:b/>
          <w:bCs/>
          <w:i/>
          <w:iCs/>
          <w:sz w:val="22"/>
          <w:szCs w:val="22"/>
          <w:lang w:val="es-CR" w:eastAsia="en-US"/>
        </w:rPr>
      </w:pPr>
    </w:p>
    <w:p w14:paraId="40A77365" w14:textId="77777777" w:rsidR="00B15F7D" w:rsidRPr="00990FB6" w:rsidRDefault="00B15F7D" w:rsidP="00B15F7D">
      <w:pPr>
        <w:suppressAutoHyphens w:val="0"/>
        <w:ind w:left="851" w:right="851" w:firstLine="709"/>
        <w:jc w:val="both"/>
        <w:rPr>
          <w:b/>
          <w:bCs/>
          <w:i/>
          <w:iCs/>
          <w:sz w:val="22"/>
          <w:szCs w:val="22"/>
          <w:lang w:val="es-CR" w:eastAsia="en-US"/>
        </w:rPr>
      </w:pPr>
      <w:r w:rsidRPr="00990FB6">
        <w:rPr>
          <w:b/>
          <w:bCs/>
          <w:i/>
          <w:iCs/>
          <w:sz w:val="22"/>
          <w:szCs w:val="22"/>
          <w:lang w:val="es-CR" w:eastAsia="en-US"/>
        </w:rPr>
        <w:t>Tribunal Penal de Golfito</w:t>
      </w:r>
    </w:p>
    <w:p w14:paraId="7302D330" w14:textId="77777777" w:rsidR="00B15F7D" w:rsidRPr="00990FB6" w:rsidRDefault="00B15F7D" w:rsidP="00B15F7D">
      <w:pPr>
        <w:suppressAutoHyphens w:val="0"/>
        <w:ind w:left="851" w:right="851" w:firstLine="709"/>
        <w:jc w:val="both"/>
        <w:rPr>
          <w:i/>
          <w:iCs/>
          <w:sz w:val="22"/>
          <w:szCs w:val="22"/>
          <w:lang w:val="es-CR" w:eastAsia="en-US"/>
        </w:rPr>
      </w:pPr>
    </w:p>
    <w:p w14:paraId="4E6CCF0C"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Tomar nota de lo indicado en este informe ─el 354-PLA-EV-RH-2022─, lo cual no supone una variación en la carga de trabajo ya que los casos para resolver seguirán siendo atendidos por el Tribunal Penal de Golfito, por lo que se insta </w:t>
      </w:r>
      <w:r w:rsidRPr="00990FB6">
        <w:rPr>
          <w:sz w:val="22"/>
          <w:szCs w:val="22"/>
          <w:lang w:val="es-CR" w:eastAsia="en-US"/>
        </w:rPr>
        <w:lastRenderedPageBreak/>
        <w:t>a continuar con la aplicación de audiencias virtuales y visitas presenciales a la zona con el objetivo de mantener el acceso a la justicia a los habitantes de Puerto Jiménez.</w:t>
      </w:r>
    </w:p>
    <w:p w14:paraId="3F4FEDE1" w14:textId="77777777" w:rsidR="00B15F7D" w:rsidRPr="00990FB6" w:rsidRDefault="00B15F7D" w:rsidP="00B15F7D">
      <w:pPr>
        <w:suppressAutoHyphens w:val="0"/>
        <w:ind w:left="851" w:right="851" w:firstLine="709"/>
        <w:jc w:val="both"/>
        <w:rPr>
          <w:i/>
          <w:iCs/>
          <w:sz w:val="22"/>
          <w:szCs w:val="22"/>
          <w:lang w:val="es-CR" w:eastAsia="en-US"/>
        </w:rPr>
      </w:pPr>
    </w:p>
    <w:p w14:paraId="7865A781" w14:textId="77777777" w:rsidR="00B15F7D" w:rsidRPr="00990FB6" w:rsidRDefault="00B15F7D" w:rsidP="00B15F7D">
      <w:pPr>
        <w:suppressAutoHyphens w:val="0"/>
        <w:ind w:left="851" w:right="851" w:firstLine="709"/>
        <w:jc w:val="both"/>
        <w:rPr>
          <w:b/>
          <w:bCs/>
          <w:i/>
          <w:iCs/>
          <w:sz w:val="22"/>
          <w:szCs w:val="22"/>
          <w:lang w:val="es-CR" w:eastAsia="en-US"/>
        </w:rPr>
      </w:pPr>
      <w:r w:rsidRPr="00990FB6">
        <w:rPr>
          <w:b/>
          <w:bCs/>
          <w:i/>
          <w:iCs/>
          <w:sz w:val="22"/>
          <w:szCs w:val="22"/>
          <w:lang w:val="es-CR" w:eastAsia="en-US"/>
        </w:rPr>
        <w:t>Dirección de Planificación</w:t>
      </w:r>
    </w:p>
    <w:p w14:paraId="6ED7E6BD" w14:textId="77777777" w:rsidR="00B15F7D" w:rsidRPr="00990FB6" w:rsidRDefault="00B15F7D" w:rsidP="00B15F7D">
      <w:pPr>
        <w:suppressAutoHyphens w:val="0"/>
        <w:ind w:left="851" w:right="851" w:firstLine="709"/>
        <w:jc w:val="both"/>
        <w:rPr>
          <w:i/>
          <w:iCs/>
          <w:sz w:val="22"/>
          <w:szCs w:val="22"/>
          <w:lang w:val="es-CR" w:eastAsia="en-US"/>
        </w:rPr>
      </w:pPr>
    </w:p>
    <w:p w14:paraId="6BBBC9A2"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Una vez aprobado el estudio y de previo al inicio de funciones de las nuevas estructuras, en el caso específico del Juzgado Penal de Golfito (incluye sede), se deberá revisar el Modelo de tramitación del despacho según proyecto de Mejora Integral del proceso Penal, para optimizar el mismo en función de la composición de la entrada, circulante (a ese momento), proveniente de Puerto Jiménez, con lo que se garantice la maximización del recurso y el mejor aprovechamiento del mismo y con la implementación del Modelo de Sostenibilidad. </w:t>
      </w:r>
    </w:p>
    <w:p w14:paraId="1E333820" w14:textId="77777777" w:rsidR="00B15F7D" w:rsidRPr="00990FB6" w:rsidRDefault="00B15F7D" w:rsidP="00B15F7D">
      <w:pPr>
        <w:suppressAutoHyphens w:val="0"/>
        <w:ind w:left="851" w:right="851" w:firstLine="709"/>
        <w:jc w:val="both"/>
        <w:rPr>
          <w:i/>
          <w:iCs/>
          <w:sz w:val="22"/>
          <w:szCs w:val="22"/>
          <w:lang w:val="es-CR" w:eastAsia="en-US"/>
        </w:rPr>
      </w:pPr>
    </w:p>
    <w:p w14:paraId="2DFCE93C"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Una vez aprobada la nueva sede en Puerto Jiménez deberá realizar ajustes a las matrices de indicadores con el objetivo de poder visibilizar lo relacionado con esta sede o implementar una matriz complementaria según se estime conveniente. </w:t>
      </w:r>
    </w:p>
    <w:p w14:paraId="5A8C72D2" w14:textId="77777777" w:rsidR="00B15F7D" w:rsidRPr="00990FB6" w:rsidRDefault="00B15F7D" w:rsidP="00B15F7D">
      <w:pPr>
        <w:suppressAutoHyphens w:val="0"/>
        <w:ind w:left="851" w:right="851" w:firstLine="709"/>
        <w:jc w:val="both"/>
        <w:rPr>
          <w:i/>
          <w:iCs/>
          <w:sz w:val="22"/>
          <w:szCs w:val="22"/>
          <w:lang w:val="es-CR" w:eastAsia="en-US"/>
        </w:rPr>
      </w:pPr>
    </w:p>
    <w:p w14:paraId="591DBBD4" w14:textId="77777777" w:rsidR="00B15F7D" w:rsidRPr="00990FB6" w:rsidRDefault="00B15F7D" w:rsidP="00B15F7D">
      <w:pPr>
        <w:numPr>
          <w:ilvl w:val="1"/>
          <w:numId w:val="119"/>
        </w:numPr>
        <w:suppressAutoHyphens w:val="0"/>
        <w:ind w:left="851" w:right="851" w:firstLine="709"/>
        <w:contextualSpacing/>
        <w:jc w:val="both"/>
        <w:rPr>
          <w:sz w:val="22"/>
          <w:szCs w:val="22"/>
          <w:lang w:val="es-CR" w:eastAsia="en-US"/>
        </w:rPr>
      </w:pPr>
      <w:r w:rsidRPr="00990FB6">
        <w:rPr>
          <w:sz w:val="22"/>
          <w:szCs w:val="22"/>
          <w:lang w:val="es-CR" w:eastAsia="en-US"/>
        </w:rPr>
        <w:t xml:space="preserve">Transcurrido el plazo de 6 meses y 1 año de su implementación, se dará seguimiento a la estructura base definida para el Organismo Judicial en la zona, con el objetivo de determinar si se requiere ampliar la capacidad operativa. Tal como se indica en la recomendación 5.1 ─del informe número 354-PLA-EV-RH-2022─.” En caso de que se apruebe el escenario 1. </w:t>
      </w:r>
    </w:p>
    <w:p w14:paraId="64BB902D" w14:textId="77777777" w:rsidR="00B15F7D" w:rsidRPr="00990FB6" w:rsidRDefault="00B15F7D" w:rsidP="00B15F7D">
      <w:pPr>
        <w:suppressAutoHyphens w:val="0"/>
        <w:ind w:left="1560" w:right="851"/>
        <w:contextualSpacing/>
        <w:jc w:val="both"/>
        <w:rPr>
          <w:sz w:val="22"/>
          <w:szCs w:val="22"/>
          <w:lang w:val="es-CR" w:eastAsia="en-US"/>
        </w:rPr>
      </w:pPr>
    </w:p>
    <w:p w14:paraId="0A96F83A" w14:textId="70CF321E" w:rsidR="00B15F7D" w:rsidRPr="00990FB6" w:rsidRDefault="00B15F7D" w:rsidP="00B15F7D">
      <w:pPr>
        <w:numPr>
          <w:ilvl w:val="0"/>
          <w:numId w:val="119"/>
        </w:numPr>
        <w:suppressAutoHyphens w:val="0"/>
        <w:ind w:left="851" w:right="851" w:firstLine="709"/>
        <w:contextualSpacing/>
        <w:jc w:val="both"/>
        <w:rPr>
          <w:b/>
          <w:bCs/>
          <w:sz w:val="22"/>
          <w:szCs w:val="22"/>
          <w:lang w:val="es-CR" w:eastAsia="en-US"/>
        </w:rPr>
      </w:pPr>
      <w:r w:rsidRPr="00990FB6">
        <w:rPr>
          <w:b/>
          <w:bCs/>
          <w:sz w:val="22"/>
          <w:szCs w:val="22"/>
          <w:lang w:val="es-CR" w:eastAsia="en-US"/>
        </w:rPr>
        <w:t>ANEXOS</w:t>
      </w:r>
    </w:p>
    <w:p w14:paraId="57C2AD72" w14:textId="77777777" w:rsidR="00B305D7" w:rsidRPr="00990FB6" w:rsidRDefault="00B305D7" w:rsidP="00B305D7">
      <w:pPr>
        <w:suppressAutoHyphens w:val="0"/>
        <w:ind w:left="1560" w:right="851"/>
        <w:contextualSpacing/>
        <w:jc w:val="both"/>
        <w:rPr>
          <w:b/>
          <w:bCs/>
          <w:sz w:val="22"/>
          <w:szCs w:val="22"/>
          <w:lang w:val="es-CR"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55"/>
        <w:gridCol w:w="4819"/>
        <w:gridCol w:w="1848"/>
      </w:tblGrid>
      <w:tr w:rsidR="00B15F7D" w:rsidRPr="00990FB6" w14:paraId="256736DA" w14:textId="77777777" w:rsidTr="00990FB6">
        <w:trPr>
          <w:trHeight w:val="471"/>
          <w:jc w:val="center"/>
        </w:trPr>
        <w:tc>
          <w:tcPr>
            <w:tcW w:w="1555" w:type="dxa"/>
            <w:vAlign w:val="center"/>
          </w:tcPr>
          <w:p w14:paraId="5CBD6F6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Anexo</w:t>
            </w:r>
          </w:p>
        </w:tc>
        <w:tc>
          <w:tcPr>
            <w:tcW w:w="4819" w:type="dxa"/>
            <w:vAlign w:val="center"/>
          </w:tcPr>
          <w:p w14:paraId="6A68CF2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Descripción del Documento</w:t>
            </w:r>
          </w:p>
        </w:tc>
        <w:tc>
          <w:tcPr>
            <w:tcW w:w="1848" w:type="dxa"/>
            <w:vAlign w:val="center"/>
          </w:tcPr>
          <w:p w14:paraId="51E04FE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Documento</w:t>
            </w:r>
          </w:p>
        </w:tc>
      </w:tr>
      <w:tr w:rsidR="00B15F7D" w:rsidRPr="00990FB6" w14:paraId="51336359" w14:textId="77777777" w:rsidTr="00990FB6">
        <w:trPr>
          <w:jc w:val="center"/>
        </w:trPr>
        <w:tc>
          <w:tcPr>
            <w:tcW w:w="1555" w:type="dxa"/>
          </w:tcPr>
          <w:p w14:paraId="03B0176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819" w:type="dxa"/>
          </w:tcPr>
          <w:p w14:paraId="157F55FD"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Informe definitivo 354-PLA-EV-RH-2022.</w:t>
            </w:r>
          </w:p>
        </w:tc>
        <w:bookmarkStart w:id="19" w:name="_MON_1736253721"/>
        <w:bookmarkEnd w:id="19"/>
        <w:tc>
          <w:tcPr>
            <w:tcW w:w="1848" w:type="dxa"/>
          </w:tcPr>
          <w:p w14:paraId="511296E3"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508" w:dyaOrig="983" w14:anchorId="5F53A038">
                <v:shape id="_x0000_i1034" type="#_x0000_t75" style="width:77.5pt;height:52pt" o:ole="">
                  <v:imagedata r:id="rId35" o:title=""/>
                </v:shape>
                <o:OLEObject Type="Embed" ProgID="Word.Document.8" ShapeID="_x0000_i1034" DrawAspect="Icon" ObjectID="_1748679162" r:id="rId36">
                  <o:FieldCodes>\s</o:FieldCodes>
                </o:OLEObject>
              </w:object>
            </w:r>
          </w:p>
        </w:tc>
      </w:tr>
      <w:tr w:rsidR="00B15F7D" w:rsidRPr="00990FB6" w14:paraId="05352111" w14:textId="77777777" w:rsidTr="00990FB6">
        <w:trPr>
          <w:jc w:val="center"/>
        </w:trPr>
        <w:tc>
          <w:tcPr>
            <w:tcW w:w="1555" w:type="dxa"/>
          </w:tcPr>
          <w:p w14:paraId="3B7721D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4819" w:type="dxa"/>
          </w:tcPr>
          <w:p w14:paraId="645A7DD6"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Acta 36-2022 Consejo Superior, artículo XXX.</w:t>
            </w:r>
          </w:p>
        </w:tc>
        <w:tc>
          <w:tcPr>
            <w:tcW w:w="1848" w:type="dxa"/>
          </w:tcPr>
          <w:p w14:paraId="7E9A6C2E"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376" w:dyaOrig="893" w14:anchorId="26365C76">
                <v:shape id="_x0000_i1035" type="#_x0000_t75" style="width:71.5pt;height:47pt" o:ole="">
                  <v:imagedata r:id="rId37" o:title=""/>
                </v:shape>
                <o:OLEObject Type="Embed" ProgID="Acrobat.Document.DC" ShapeID="_x0000_i1035" DrawAspect="Icon" ObjectID="_1748679163" r:id="rId38"/>
              </w:object>
            </w:r>
          </w:p>
        </w:tc>
      </w:tr>
      <w:tr w:rsidR="00B15F7D" w:rsidRPr="00990FB6" w14:paraId="53C052AD" w14:textId="77777777" w:rsidTr="00990FB6">
        <w:trPr>
          <w:jc w:val="center"/>
        </w:trPr>
        <w:tc>
          <w:tcPr>
            <w:tcW w:w="1555" w:type="dxa"/>
          </w:tcPr>
          <w:p w14:paraId="6242427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4819" w:type="dxa"/>
          </w:tcPr>
          <w:p w14:paraId="22FDDA41"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Acta 27-2022 Corte Plena, artículo IV.</w:t>
            </w:r>
          </w:p>
        </w:tc>
        <w:tc>
          <w:tcPr>
            <w:tcW w:w="1848" w:type="dxa"/>
          </w:tcPr>
          <w:p w14:paraId="7FAABA77"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376" w:dyaOrig="893" w14:anchorId="0E85E5B9">
                <v:shape id="_x0000_i1036" type="#_x0000_t75" style="width:71.5pt;height:47pt" o:ole="">
                  <v:imagedata r:id="rId39" o:title=""/>
                </v:shape>
                <o:OLEObject Type="Embed" ProgID="Acrobat.Document.DC" ShapeID="_x0000_i1036" DrawAspect="Icon" ObjectID="_1748679164" r:id="rId40"/>
              </w:object>
            </w:r>
          </w:p>
        </w:tc>
      </w:tr>
      <w:tr w:rsidR="00B15F7D" w:rsidRPr="00990FB6" w14:paraId="51F60083" w14:textId="77777777" w:rsidTr="00990FB6">
        <w:trPr>
          <w:jc w:val="center"/>
        </w:trPr>
        <w:tc>
          <w:tcPr>
            <w:tcW w:w="1555" w:type="dxa"/>
          </w:tcPr>
          <w:p w14:paraId="1430A2F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4819" w:type="dxa"/>
          </w:tcPr>
          <w:p w14:paraId="28E8E20E"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 xml:space="preserve">Estimación del costo de los puestos y del gasto variable asociado, correspondiente al Anteproyecto de presupuesto institucional para el 2024, remitido por el Subproceso Formulación de Presupuesto y Portafolio de Proyectos Institucionales mediante correo electrónico de 30 de enero de 2023. </w:t>
            </w:r>
          </w:p>
        </w:tc>
        <w:tc>
          <w:tcPr>
            <w:tcW w:w="1848" w:type="dxa"/>
          </w:tcPr>
          <w:p w14:paraId="09350463"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508" w:dyaOrig="983" w14:anchorId="41CAAF4B">
                <v:shape id="_x0000_i1037" type="#_x0000_t75" style="width:77.5pt;height:49pt" o:ole="">
                  <v:imagedata r:id="rId41" o:title=""/>
                </v:shape>
                <o:OLEObject Type="Embed" ProgID="Package" ShapeID="_x0000_i1037" DrawAspect="Icon" ObjectID="_1748679165" r:id="rId42"/>
              </w:object>
            </w:r>
          </w:p>
        </w:tc>
      </w:tr>
      <w:tr w:rsidR="00B15F7D" w:rsidRPr="00990FB6" w14:paraId="11832D15" w14:textId="77777777" w:rsidTr="00990FB6">
        <w:trPr>
          <w:jc w:val="center"/>
        </w:trPr>
        <w:tc>
          <w:tcPr>
            <w:tcW w:w="1555" w:type="dxa"/>
          </w:tcPr>
          <w:p w14:paraId="657E846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lastRenderedPageBreak/>
              <w:t>5</w:t>
            </w:r>
          </w:p>
        </w:tc>
        <w:tc>
          <w:tcPr>
            <w:tcW w:w="4819" w:type="dxa"/>
          </w:tcPr>
          <w:p w14:paraId="41AAED1D"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Respuesta de la Secretaría General del Organismo de Investigación Judicial a la solicitud de datos actualizados # 269-PLA-EV-TR-2023.</w:t>
            </w:r>
          </w:p>
        </w:tc>
        <w:tc>
          <w:tcPr>
            <w:tcW w:w="1848" w:type="dxa"/>
          </w:tcPr>
          <w:p w14:paraId="55574F1F"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508" w:dyaOrig="983" w14:anchorId="17B395DB">
                <v:shape id="_x0000_i1038" type="#_x0000_t75" style="width:77.5pt;height:49pt" o:ole="">
                  <v:imagedata r:id="rId43" o:title=""/>
                </v:shape>
                <o:OLEObject Type="Embed" ProgID="Package" ShapeID="_x0000_i1038" DrawAspect="Icon" ObjectID="_1748679166" r:id="rId44"/>
              </w:object>
            </w:r>
          </w:p>
        </w:tc>
      </w:tr>
      <w:tr w:rsidR="00B15F7D" w:rsidRPr="00990FB6" w14:paraId="39C60E05" w14:textId="77777777" w:rsidTr="00990FB6">
        <w:trPr>
          <w:jc w:val="center"/>
        </w:trPr>
        <w:tc>
          <w:tcPr>
            <w:tcW w:w="1555" w:type="dxa"/>
          </w:tcPr>
          <w:p w14:paraId="706549C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6</w:t>
            </w:r>
          </w:p>
        </w:tc>
        <w:tc>
          <w:tcPr>
            <w:tcW w:w="4819" w:type="dxa"/>
          </w:tcPr>
          <w:p w14:paraId="78CC5E9C"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Primera parte de la respuesta de la Dirección Ejecutiva a la solicitud de datos actualizados # 250-PLA-EV-TR-2023.</w:t>
            </w:r>
          </w:p>
        </w:tc>
        <w:tc>
          <w:tcPr>
            <w:tcW w:w="1848" w:type="dxa"/>
          </w:tcPr>
          <w:p w14:paraId="535688AC"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508" w:dyaOrig="983" w14:anchorId="5F88C295">
                <v:shape id="_x0000_i1039" type="#_x0000_t75" style="width:77.5pt;height:49pt" o:ole="">
                  <v:imagedata r:id="rId45" o:title=""/>
                </v:shape>
                <o:OLEObject Type="Embed" ProgID="Package" ShapeID="_x0000_i1039" DrawAspect="Icon" ObjectID="_1748679167" r:id="rId46"/>
              </w:object>
            </w:r>
          </w:p>
        </w:tc>
      </w:tr>
      <w:tr w:rsidR="00B15F7D" w:rsidRPr="00990FB6" w14:paraId="6BFD4F72" w14:textId="77777777" w:rsidTr="00990FB6">
        <w:trPr>
          <w:jc w:val="center"/>
        </w:trPr>
        <w:tc>
          <w:tcPr>
            <w:tcW w:w="1555" w:type="dxa"/>
          </w:tcPr>
          <w:p w14:paraId="7E149FF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7</w:t>
            </w:r>
          </w:p>
        </w:tc>
        <w:tc>
          <w:tcPr>
            <w:tcW w:w="4819" w:type="dxa"/>
          </w:tcPr>
          <w:p w14:paraId="784ACCBB"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Segunda parte de la respuesta de la Dirección Ejecutiva a la solicitud de datos actualizados # 250-PLA-EV-TR-2023.</w:t>
            </w:r>
          </w:p>
        </w:tc>
        <w:tc>
          <w:tcPr>
            <w:tcW w:w="1848" w:type="dxa"/>
          </w:tcPr>
          <w:p w14:paraId="689D0CB4"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508" w:dyaOrig="983" w14:anchorId="1C9DA7AC">
                <v:shape id="_x0000_i1040" type="#_x0000_t75" style="width:77.5pt;height:49pt" o:ole="">
                  <v:imagedata r:id="rId47" o:title=""/>
                </v:shape>
                <o:OLEObject Type="Embed" ProgID="Package" ShapeID="_x0000_i1040" DrawAspect="Icon" ObjectID="_1748679168" r:id="rId48"/>
              </w:object>
            </w:r>
          </w:p>
        </w:tc>
      </w:tr>
      <w:tr w:rsidR="00B15F7D" w:rsidRPr="00990FB6" w14:paraId="57153B67" w14:textId="77777777" w:rsidTr="00990FB6">
        <w:trPr>
          <w:jc w:val="center"/>
        </w:trPr>
        <w:tc>
          <w:tcPr>
            <w:tcW w:w="1555" w:type="dxa"/>
          </w:tcPr>
          <w:p w14:paraId="6FDDC47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8</w:t>
            </w:r>
          </w:p>
        </w:tc>
        <w:tc>
          <w:tcPr>
            <w:tcW w:w="4819" w:type="dxa"/>
          </w:tcPr>
          <w:p w14:paraId="29C80E2F"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Hoja electrónica de trabajo con los cálculos y los procedimientos seguidos para estimar a valor presente el costo del personal, variable y total del Proyecto “</w:t>
            </w:r>
            <w:r w:rsidRPr="00990FB6">
              <w:rPr>
                <w:i/>
                <w:iCs/>
                <w:sz w:val="22"/>
                <w:szCs w:val="22"/>
                <w:lang w:val="es-CR" w:eastAsia="es-CR"/>
              </w:rPr>
              <w:t>Tribunales Peninsulares</w:t>
            </w:r>
            <w:r w:rsidRPr="00990FB6">
              <w:rPr>
                <w:sz w:val="22"/>
                <w:szCs w:val="22"/>
                <w:lang w:val="es-CR" w:eastAsia="es-CR"/>
              </w:rPr>
              <w:t>”.</w:t>
            </w:r>
          </w:p>
        </w:tc>
        <w:bookmarkStart w:id="20" w:name="_MON_1737876483"/>
        <w:bookmarkEnd w:id="20"/>
        <w:tc>
          <w:tcPr>
            <w:tcW w:w="1848" w:type="dxa"/>
          </w:tcPr>
          <w:p w14:paraId="7AD4F704"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object w:dxaOrig="1376" w:dyaOrig="893" w14:anchorId="67362748">
                <v:shape id="_x0000_i1041" type="#_x0000_t75" style="width:69.95pt;height:44pt" o:ole="">
                  <v:imagedata r:id="rId49" o:title=""/>
                </v:shape>
                <o:OLEObject Type="Embed" ProgID="Excel.Sheet.12" ShapeID="_x0000_i1041" DrawAspect="Icon" ObjectID="_1748679169" r:id="rId50"/>
              </w:object>
            </w:r>
          </w:p>
        </w:tc>
      </w:tr>
    </w:tbl>
    <w:p w14:paraId="6494CE6F" w14:textId="77777777" w:rsidR="00B15F7D" w:rsidRPr="00990FB6" w:rsidRDefault="00B15F7D" w:rsidP="00B15F7D">
      <w:pPr>
        <w:suppressAutoHyphens w:val="0"/>
        <w:ind w:left="1560" w:right="851" w:hanging="709"/>
        <w:jc w:val="both"/>
        <w:rPr>
          <w:sz w:val="22"/>
          <w:szCs w:val="22"/>
          <w:lang w:val="es-CR" w:eastAsia="en-US"/>
        </w:rPr>
      </w:pPr>
    </w:p>
    <w:p w14:paraId="3BC0675E" w14:textId="6284D4B0" w:rsidR="00B15F7D" w:rsidRPr="00990FB6" w:rsidRDefault="00B15F7D" w:rsidP="00B15F7D">
      <w:pPr>
        <w:ind w:left="1560" w:right="851" w:hanging="709"/>
        <w:jc w:val="both"/>
        <w:rPr>
          <w:sz w:val="22"/>
          <w:szCs w:val="22"/>
        </w:rPr>
      </w:pPr>
      <w:r w:rsidRPr="00990FB6">
        <w:rPr>
          <w:i/>
          <w:iCs/>
          <w:sz w:val="22"/>
          <w:szCs w:val="22"/>
        </w:rPr>
        <w:t>Este informe cuenta con las revisiones y ajustes correspondientes de las jefaturas indicadas</w:t>
      </w:r>
      <w:r w:rsidRPr="00990FB6">
        <w:rPr>
          <w:sz w:val="22"/>
          <w:szCs w:val="22"/>
        </w:rPr>
        <w:t>.</w:t>
      </w:r>
    </w:p>
    <w:p w14:paraId="1CE061D2" w14:textId="77777777" w:rsidR="00B305D7" w:rsidRPr="00990FB6" w:rsidRDefault="00B305D7" w:rsidP="00B15F7D">
      <w:pPr>
        <w:ind w:left="1560" w:right="851" w:hanging="709"/>
        <w:jc w:val="both"/>
        <w:rPr>
          <w:sz w:val="22"/>
          <w:szCs w:val="22"/>
        </w:rPr>
      </w:pPr>
    </w:p>
    <w:p w14:paraId="5F4A6254" w14:textId="77777777" w:rsidR="00B15F7D" w:rsidRPr="00990FB6" w:rsidRDefault="00B15F7D" w:rsidP="00B15F7D">
      <w:pPr>
        <w:ind w:left="1560" w:right="851" w:hanging="709"/>
        <w:jc w:val="center"/>
        <w:rPr>
          <w:sz w:val="22"/>
          <w:szCs w:val="22"/>
        </w:rPr>
      </w:pPr>
      <w:r w:rsidRPr="00990FB6">
        <w:rPr>
          <w:sz w:val="22"/>
          <w:szCs w:val="22"/>
        </w:rPr>
        <w:t>-0-</w:t>
      </w:r>
    </w:p>
    <w:p w14:paraId="43AB20E8" w14:textId="77777777" w:rsidR="00B15F7D" w:rsidRPr="00990FB6" w:rsidRDefault="00B15F7D" w:rsidP="00B15F7D">
      <w:pPr>
        <w:suppressAutoHyphens w:val="0"/>
        <w:ind w:firstLine="709"/>
        <w:jc w:val="both"/>
        <w:rPr>
          <w:b/>
          <w:bCs/>
          <w:sz w:val="22"/>
          <w:szCs w:val="22"/>
          <w:lang w:val="es-CR" w:eastAsia="en-US"/>
        </w:rPr>
      </w:pPr>
    </w:p>
    <w:p w14:paraId="171A4FCE" w14:textId="77777777" w:rsidR="00B15F7D" w:rsidRPr="00990FB6" w:rsidRDefault="00B15F7D" w:rsidP="00B15F7D">
      <w:pPr>
        <w:suppressAutoHyphens w:val="0"/>
        <w:ind w:left="851" w:right="851" w:firstLine="709"/>
        <w:jc w:val="both"/>
        <w:rPr>
          <w:sz w:val="22"/>
          <w:szCs w:val="22"/>
        </w:rPr>
      </w:pPr>
      <w:r w:rsidRPr="00990FB6">
        <w:rPr>
          <w:b/>
          <w:bCs/>
          <w:sz w:val="22"/>
          <w:szCs w:val="22"/>
          <w:lang w:val="es-CR" w:eastAsia="en-US"/>
        </w:rPr>
        <w:t>Se acordó</w:t>
      </w:r>
      <w:r w:rsidRPr="00990FB6">
        <w:rPr>
          <w:sz w:val="22"/>
          <w:szCs w:val="22"/>
          <w:lang w:val="es-CR" w:eastAsia="en-US"/>
        </w:rPr>
        <w:t xml:space="preserve">: </w:t>
      </w:r>
      <w:r w:rsidRPr="00990FB6">
        <w:rPr>
          <w:b/>
          <w:bCs/>
          <w:sz w:val="22"/>
          <w:szCs w:val="22"/>
          <w:lang w:val="es-CR" w:eastAsia="en-US"/>
        </w:rPr>
        <w:t>1.)</w:t>
      </w:r>
      <w:r w:rsidRPr="00990FB6">
        <w:rPr>
          <w:sz w:val="22"/>
          <w:szCs w:val="22"/>
          <w:lang w:val="es-CR" w:eastAsia="en-US"/>
        </w:rPr>
        <w:t xml:space="preserve"> Aprobar el informe </w:t>
      </w:r>
      <w:r w:rsidRPr="00990FB6">
        <w:rPr>
          <w:b/>
          <w:bCs/>
          <w:sz w:val="22"/>
          <w:szCs w:val="22"/>
          <w:lang w:val="es-MX" w:eastAsia="en-US"/>
        </w:rPr>
        <w:t>267-PLA-RH-EV-2023</w:t>
      </w:r>
      <w:r w:rsidRPr="00990FB6">
        <w:rPr>
          <w:sz w:val="22"/>
          <w:szCs w:val="22"/>
          <w:lang w:val="es-CR" w:eastAsia="en-US"/>
        </w:rPr>
        <w:t xml:space="preserve"> y sus recomendaciones. </w:t>
      </w:r>
      <w:r w:rsidRPr="00990FB6">
        <w:rPr>
          <w:b/>
          <w:bCs/>
          <w:sz w:val="22"/>
          <w:szCs w:val="22"/>
          <w:lang w:val="es-CR" w:eastAsia="en-US"/>
        </w:rPr>
        <w:t>2.)</w:t>
      </w:r>
      <w:r w:rsidRPr="00990FB6">
        <w:rPr>
          <w:sz w:val="22"/>
          <w:szCs w:val="22"/>
          <w:lang w:val="es-CR" w:eastAsia="en-US"/>
        </w:rPr>
        <w:t xml:space="preserve"> Hacer del conocimiento de la Corte Plena para que valore remitir al Ministerio de Hacienda el contenido económico actualizado y requerido de forma independiente al presupuesto ordinario, como recursos adicionales para la implementación de la estructura penal en la Zona Sur, propiamente en Puerto Jiménez, a lo que se le ha llamado para su identificación "Tribunales Peninsulares". </w:t>
      </w:r>
      <w:r w:rsidRPr="00990FB6">
        <w:rPr>
          <w:b/>
          <w:bCs/>
          <w:sz w:val="22"/>
          <w:szCs w:val="22"/>
          <w:lang w:val="es-CR" w:eastAsia="en-US"/>
        </w:rPr>
        <w:t>Se declara este acuerdo firme.</w:t>
      </w:r>
      <w:r w:rsidRPr="00990FB6">
        <w:rPr>
          <w:b/>
          <w:bCs/>
          <w:sz w:val="22"/>
          <w:szCs w:val="22"/>
          <w:lang w:val="es-CR"/>
        </w:rPr>
        <w:t>”</w:t>
      </w:r>
    </w:p>
    <w:p w14:paraId="67745E69" w14:textId="77777777" w:rsidR="00B15F7D" w:rsidRPr="00990FB6" w:rsidRDefault="00B15F7D" w:rsidP="00B15F7D">
      <w:pPr>
        <w:tabs>
          <w:tab w:val="left" w:pos="4295"/>
        </w:tabs>
        <w:jc w:val="center"/>
        <w:rPr>
          <w:b/>
          <w:bCs/>
          <w:sz w:val="22"/>
          <w:szCs w:val="22"/>
        </w:rPr>
      </w:pPr>
    </w:p>
    <w:p w14:paraId="7656D468" w14:textId="24D677A7" w:rsidR="00B15F7D" w:rsidRPr="00990FB6" w:rsidRDefault="00B15F7D" w:rsidP="00B15F7D">
      <w:pPr>
        <w:jc w:val="center"/>
        <w:rPr>
          <w:color w:val="000000"/>
          <w:sz w:val="22"/>
          <w:szCs w:val="22"/>
          <w:shd w:val="clear" w:color="auto" w:fill="FFFFFF"/>
          <w:lang w:val="es-CR"/>
        </w:rPr>
      </w:pPr>
      <w:r w:rsidRPr="00990FB6">
        <w:rPr>
          <w:color w:val="000000"/>
          <w:sz w:val="22"/>
          <w:szCs w:val="22"/>
          <w:shd w:val="clear" w:color="auto" w:fill="FFFFFF"/>
          <w:lang w:val="es-CR"/>
        </w:rPr>
        <w:t xml:space="preserve">- 0 </w:t>
      </w:r>
      <w:r w:rsidR="00B305D7" w:rsidRPr="00990FB6">
        <w:rPr>
          <w:color w:val="000000"/>
          <w:sz w:val="22"/>
          <w:szCs w:val="22"/>
          <w:shd w:val="clear" w:color="auto" w:fill="FFFFFF"/>
          <w:lang w:val="es-CR"/>
        </w:rPr>
        <w:t>–</w:t>
      </w:r>
    </w:p>
    <w:p w14:paraId="3C46EE88" w14:textId="77777777" w:rsidR="00B305D7" w:rsidRPr="00990FB6" w:rsidRDefault="00B305D7" w:rsidP="00B15F7D">
      <w:pPr>
        <w:jc w:val="center"/>
        <w:rPr>
          <w:color w:val="000000"/>
          <w:sz w:val="22"/>
          <w:szCs w:val="22"/>
          <w:shd w:val="clear" w:color="auto" w:fill="FFFFFF"/>
          <w:lang w:val="es-CR"/>
        </w:rPr>
      </w:pPr>
    </w:p>
    <w:p w14:paraId="7C1F9A0E" w14:textId="52B9003B" w:rsidR="00B15F7D" w:rsidRPr="00990FB6" w:rsidRDefault="00B15F7D" w:rsidP="00B15F7D">
      <w:pPr>
        <w:widowControl w:val="0"/>
        <w:shd w:val="clear" w:color="auto" w:fill="FFFFFF"/>
        <w:suppressAutoHyphens w:val="0"/>
        <w:ind w:firstLine="709"/>
        <w:jc w:val="both"/>
        <w:rPr>
          <w:bCs/>
          <w:sz w:val="22"/>
          <w:szCs w:val="22"/>
        </w:rPr>
      </w:pPr>
      <w:r w:rsidRPr="00990FB6">
        <w:rPr>
          <w:bCs/>
          <w:sz w:val="22"/>
          <w:szCs w:val="22"/>
        </w:rPr>
        <w:t>E</w:t>
      </w:r>
      <w:r w:rsidRPr="00990FB6">
        <w:rPr>
          <w:bCs/>
          <w:sz w:val="22"/>
          <w:szCs w:val="22"/>
          <w:lang w:eastAsia="es-ES"/>
        </w:rPr>
        <w:t>n sesión extraordinaria de presupuesto del</w:t>
      </w:r>
      <w:r w:rsidRPr="00990FB6">
        <w:rPr>
          <w:bCs/>
          <w:sz w:val="22"/>
          <w:szCs w:val="22"/>
        </w:rPr>
        <w:t xml:space="preserve"> Consejo Superior </w:t>
      </w:r>
      <w:proofErr w:type="spellStart"/>
      <w:r w:rsidRPr="00990FB6">
        <w:rPr>
          <w:bCs/>
          <w:sz w:val="22"/>
          <w:szCs w:val="22"/>
        </w:rPr>
        <w:t>N°</w:t>
      </w:r>
      <w:proofErr w:type="spellEnd"/>
      <w:r w:rsidRPr="00990FB6">
        <w:rPr>
          <w:bCs/>
          <w:sz w:val="22"/>
          <w:szCs w:val="22"/>
        </w:rPr>
        <w:t xml:space="preserve"> 32-23 celebrada el 19 de abril de 2023, artículo XLI, se tomó el acuerdo que literalmente dice: </w:t>
      </w:r>
    </w:p>
    <w:p w14:paraId="1E4ACAFA" w14:textId="77777777" w:rsidR="00B305D7" w:rsidRPr="00990FB6" w:rsidRDefault="00B305D7" w:rsidP="00B15F7D">
      <w:pPr>
        <w:widowControl w:val="0"/>
        <w:shd w:val="clear" w:color="auto" w:fill="FFFFFF"/>
        <w:suppressAutoHyphens w:val="0"/>
        <w:ind w:firstLine="709"/>
        <w:jc w:val="both"/>
        <w:rPr>
          <w:bCs/>
          <w:sz w:val="22"/>
          <w:szCs w:val="22"/>
          <w:lang w:eastAsia="es-ES"/>
        </w:rPr>
      </w:pPr>
    </w:p>
    <w:p w14:paraId="63660A16" w14:textId="77777777" w:rsidR="00B15F7D" w:rsidRPr="00990FB6" w:rsidRDefault="00B15F7D" w:rsidP="00B15F7D">
      <w:pPr>
        <w:suppressAutoHyphens w:val="0"/>
        <w:ind w:left="851" w:right="1275" w:firstLine="708"/>
        <w:jc w:val="both"/>
        <w:rPr>
          <w:sz w:val="22"/>
          <w:szCs w:val="22"/>
          <w:lang w:val="es-MX" w:eastAsia="en-US"/>
        </w:rPr>
      </w:pPr>
      <w:r w:rsidRPr="00990FB6">
        <w:rPr>
          <w:sz w:val="22"/>
          <w:szCs w:val="22"/>
          <w:lang w:val="es-MX" w:eastAsia="en-US"/>
        </w:rPr>
        <w:t xml:space="preserve">“La licenciada Nacira Valverde Bermúdez, Directora de Planificación, presentó el informe 273- PLA-RH-MI(PL)-2023 relacionado con el informe 318-PLA-MI-RH-2022, </w:t>
      </w:r>
      <w:r w:rsidRPr="00990FB6">
        <w:rPr>
          <w:b/>
          <w:bCs/>
          <w:snapToGrid w:val="0"/>
          <w:sz w:val="22"/>
          <w:szCs w:val="22"/>
          <w:lang w:val="es-CR" w:eastAsia="en-US"/>
        </w:rPr>
        <w:t>PROYECTO DE FORTALECIMIENTO DE LA SEGURIDAD CIUDADANA EN EL PODER JUDICIAL</w:t>
      </w:r>
      <w:r w:rsidRPr="00990FB6">
        <w:rPr>
          <w:b/>
          <w:bCs/>
          <w:sz w:val="22"/>
          <w:szCs w:val="22"/>
          <w:lang w:val="es-MX" w:eastAsia="en-US"/>
        </w:rPr>
        <w:t xml:space="preserve"> Proyecto de mejora integral del proceso penal presupuesto 2023</w:t>
      </w:r>
      <w:r w:rsidRPr="00990FB6">
        <w:rPr>
          <w:sz w:val="22"/>
          <w:szCs w:val="22"/>
          <w:lang w:val="es-MX" w:eastAsia="en-US"/>
        </w:rPr>
        <w:t>, que fue conocido por el Consejo Superior en sesión extraordinaria (presupuesto) 36-2022 celebrada el 29 de abril del 2022, artículo XXIII y en esa oportunidad se acordó remitir para conocimiento de Corte Plena y este órgano superior en sesión extraordinaria del 1 de junio de 2022, aprobó el informe, pero sin contenido presupuestario por lo que se remite por separado al Ministerio de Hacienda, que dice:</w:t>
      </w:r>
    </w:p>
    <w:p w14:paraId="5C9DE9B3" w14:textId="77777777" w:rsidR="00B15F7D" w:rsidRPr="00990FB6" w:rsidRDefault="00B15F7D" w:rsidP="00B15F7D">
      <w:pPr>
        <w:suppressAutoHyphens w:val="0"/>
        <w:ind w:left="851" w:right="1275" w:firstLine="709"/>
        <w:jc w:val="both"/>
        <w:rPr>
          <w:snapToGrid w:val="0"/>
          <w:sz w:val="22"/>
          <w:szCs w:val="22"/>
          <w:lang w:val="es-CR" w:eastAsia="en-US"/>
        </w:rPr>
      </w:pPr>
    </w:p>
    <w:p w14:paraId="311B4D99" w14:textId="77777777" w:rsidR="00B15F7D" w:rsidRPr="00990FB6" w:rsidRDefault="00B15F7D" w:rsidP="00B15F7D">
      <w:pPr>
        <w:suppressAutoHyphens w:val="0"/>
        <w:ind w:left="851" w:right="1275" w:firstLine="709"/>
        <w:jc w:val="both"/>
        <w:rPr>
          <w:snapToGrid w:val="0"/>
          <w:sz w:val="22"/>
          <w:szCs w:val="22"/>
          <w:lang w:val="es-CR" w:eastAsia="en-US"/>
        </w:rPr>
      </w:pPr>
      <w:r w:rsidRPr="00990FB6">
        <w:rPr>
          <w:snapToGrid w:val="0"/>
          <w:sz w:val="22"/>
          <w:szCs w:val="22"/>
          <w:lang w:val="es-CR" w:eastAsia="en-US"/>
        </w:rPr>
        <w:lastRenderedPageBreak/>
        <w:t>“En virtud de que el informe 318-PLA-MI-RH-2022 fue aprobado por Corte Plena sin contenido presupuestario, el presente oficio tiene como finalidad actualizar la información del requerimiento humano para los despachos penales para el presupuesto 2024.</w:t>
      </w:r>
    </w:p>
    <w:p w14:paraId="7F7CAAB0" w14:textId="77777777" w:rsidR="00B15F7D" w:rsidRPr="00990FB6" w:rsidRDefault="00B15F7D" w:rsidP="00B15F7D">
      <w:pPr>
        <w:suppressAutoHyphens w:val="0"/>
        <w:ind w:left="851" w:right="1275" w:firstLine="709"/>
        <w:jc w:val="both"/>
        <w:rPr>
          <w:snapToGrid w:val="0"/>
          <w:sz w:val="22"/>
          <w:szCs w:val="22"/>
          <w:lang w:val="es-CR" w:eastAsia="en-US"/>
        </w:rPr>
      </w:pPr>
    </w:p>
    <w:p w14:paraId="6CAD2669" w14:textId="77777777" w:rsidR="00B15F7D" w:rsidRPr="00990FB6" w:rsidRDefault="00B15F7D" w:rsidP="00B15F7D">
      <w:pPr>
        <w:suppressAutoHyphens w:val="0"/>
        <w:ind w:left="851" w:right="1275" w:firstLine="709"/>
        <w:jc w:val="both"/>
        <w:rPr>
          <w:b/>
          <w:bCs/>
          <w:snapToGrid w:val="0"/>
          <w:sz w:val="22"/>
          <w:szCs w:val="22"/>
          <w:u w:val="single"/>
          <w:lang w:val="es-CR" w:eastAsia="en-US"/>
        </w:rPr>
      </w:pPr>
      <w:r w:rsidRPr="00990FB6">
        <w:rPr>
          <w:b/>
          <w:bCs/>
          <w:snapToGrid w:val="0"/>
          <w:sz w:val="22"/>
          <w:szCs w:val="22"/>
          <w:u w:val="single"/>
          <w:lang w:val="es-CR" w:eastAsia="en-US"/>
        </w:rPr>
        <w:t>Antecedentes</w:t>
      </w:r>
    </w:p>
    <w:p w14:paraId="49A76961" w14:textId="77777777" w:rsidR="00B15F7D" w:rsidRPr="00990FB6" w:rsidRDefault="00B15F7D" w:rsidP="00B15F7D">
      <w:pPr>
        <w:suppressAutoHyphens w:val="0"/>
        <w:ind w:left="851" w:right="1275" w:firstLine="709"/>
        <w:jc w:val="both"/>
        <w:rPr>
          <w:snapToGrid w:val="0"/>
          <w:sz w:val="22"/>
          <w:szCs w:val="22"/>
          <w:lang w:val="es-CR" w:eastAsia="en-US"/>
        </w:rPr>
      </w:pPr>
    </w:p>
    <w:p w14:paraId="368282FC" w14:textId="77777777" w:rsidR="00B15F7D" w:rsidRPr="00990FB6" w:rsidRDefault="00B15F7D" w:rsidP="00B15F7D">
      <w:pPr>
        <w:suppressAutoHyphens w:val="0"/>
        <w:ind w:left="851" w:right="1275" w:firstLine="709"/>
        <w:jc w:val="both"/>
        <w:rPr>
          <w:rFonts w:eastAsia="Calibri"/>
          <w:color w:val="000000"/>
          <w:sz w:val="22"/>
          <w:szCs w:val="22"/>
          <w:lang w:val="es-CR" w:eastAsia="en-US"/>
        </w:rPr>
      </w:pPr>
      <w:r w:rsidRPr="00990FB6">
        <w:rPr>
          <w:rFonts w:eastAsia="Calibri"/>
          <w:color w:val="000000"/>
          <w:sz w:val="22"/>
          <w:szCs w:val="22"/>
          <w:lang w:val="es-CR" w:eastAsia="en-US"/>
        </w:rPr>
        <w:t>El Consejo Superior aprobó el proyecto de Mejora Integral del Proceso Penal, en sesión 71-17, del 1 de agosto de 2017, artículo XVI, el cual implica una revisión de toda la jurisdicción penal adultos y la etapa de planeación del citado proyecto se dio durante el año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47E7C1BB" w14:textId="77777777" w:rsidR="00B15F7D" w:rsidRPr="00990FB6" w:rsidRDefault="00B15F7D" w:rsidP="00B15F7D">
      <w:pPr>
        <w:suppressAutoHyphens w:val="0"/>
        <w:ind w:left="851" w:right="1275" w:firstLine="709"/>
        <w:jc w:val="both"/>
        <w:rPr>
          <w:rFonts w:eastAsia="Calibri"/>
          <w:color w:val="000000"/>
          <w:sz w:val="22"/>
          <w:szCs w:val="22"/>
          <w:lang w:val="es-CR" w:eastAsia="en-US"/>
        </w:rPr>
      </w:pPr>
    </w:p>
    <w:p w14:paraId="21000804" w14:textId="77777777" w:rsidR="00B15F7D" w:rsidRPr="00990FB6" w:rsidRDefault="00B15F7D" w:rsidP="00B15F7D">
      <w:pPr>
        <w:widowControl w:val="0"/>
        <w:numPr>
          <w:ilvl w:val="0"/>
          <w:numId w:val="126"/>
        </w:numPr>
        <w:suppressAutoHyphens w:val="0"/>
        <w:autoSpaceDE w:val="0"/>
        <w:autoSpaceDN w:val="0"/>
        <w:adjustRightInd w:val="0"/>
        <w:ind w:left="851" w:right="1275" w:firstLine="709"/>
        <w:jc w:val="both"/>
        <w:rPr>
          <w:rFonts w:eastAsia="Calibri"/>
          <w:color w:val="000000"/>
          <w:sz w:val="22"/>
          <w:szCs w:val="22"/>
          <w:lang w:val="es-CR" w:eastAsia="en-US"/>
        </w:rPr>
      </w:pPr>
      <w:r w:rsidRPr="00990FB6">
        <w:rPr>
          <w:rFonts w:eastAsia="Calibri"/>
          <w:color w:val="000000"/>
          <w:sz w:val="22"/>
          <w:szCs w:val="22"/>
          <w:lang w:val="es-CR" w:eastAsia="en-US"/>
        </w:rPr>
        <w:t>Juzgados Penales, sesión del Consejo Superior 16-19 del 22 de febrero del 2019, artículo LXII, estudio 1405-PLA-18.</w:t>
      </w:r>
    </w:p>
    <w:p w14:paraId="19403635" w14:textId="77777777" w:rsidR="00B15F7D" w:rsidRPr="00990FB6" w:rsidRDefault="00B15F7D" w:rsidP="00B15F7D">
      <w:pPr>
        <w:widowControl w:val="0"/>
        <w:numPr>
          <w:ilvl w:val="0"/>
          <w:numId w:val="126"/>
        </w:numPr>
        <w:suppressAutoHyphens w:val="0"/>
        <w:autoSpaceDE w:val="0"/>
        <w:autoSpaceDN w:val="0"/>
        <w:adjustRightInd w:val="0"/>
        <w:ind w:left="851" w:right="1275" w:firstLine="709"/>
        <w:jc w:val="both"/>
        <w:rPr>
          <w:rFonts w:eastAsia="Calibri"/>
          <w:color w:val="000000"/>
          <w:sz w:val="22"/>
          <w:szCs w:val="22"/>
          <w:lang w:val="es-CR" w:eastAsia="en-US"/>
        </w:rPr>
      </w:pPr>
      <w:r w:rsidRPr="00990FB6">
        <w:rPr>
          <w:rFonts w:eastAsia="Calibri"/>
          <w:color w:val="000000"/>
          <w:sz w:val="22"/>
          <w:szCs w:val="22"/>
          <w:lang w:val="es-CR" w:eastAsia="en-US"/>
        </w:rPr>
        <w:t>Tribunales Penales: sesión del Consejo Superior 2-19 del 10 de enero del 2019, artículo XXXII, estudio 1427-PLA-18.</w:t>
      </w:r>
    </w:p>
    <w:p w14:paraId="4F6C3DEF" w14:textId="77777777" w:rsidR="00B15F7D" w:rsidRPr="00990FB6" w:rsidRDefault="00B15F7D" w:rsidP="00B15F7D">
      <w:pPr>
        <w:widowControl w:val="0"/>
        <w:numPr>
          <w:ilvl w:val="0"/>
          <w:numId w:val="126"/>
        </w:numPr>
        <w:suppressAutoHyphens w:val="0"/>
        <w:autoSpaceDE w:val="0"/>
        <w:autoSpaceDN w:val="0"/>
        <w:adjustRightInd w:val="0"/>
        <w:ind w:left="851" w:right="1275" w:firstLine="709"/>
        <w:jc w:val="both"/>
        <w:rPr>
          <w:rFonts w:eastAsia="Calibri"/>
          <w:color w:val="000000"/>
          <w:sz w:val="22"/>
          <w:szCs w:val="22"/>
          <w:lang w:val="es-CR" w:eastAsia="en-US"/>
        </w:rPr>
      </w:pPr>
      <w:r w:rsidRPr="00990FB6">
        <w:rPr>
          <w:rFonts w:eastAsia="Calibri"/>
          <w:color w:val="000000"/>
          <w:sz w:val="22"/>
          <w:szCs w:val="22"/>
          <w:lang w:val="es-CR" w:eastAsia="en-US"/>
        </w:rPr>
        <w:t>Flagrancia: sesiones del Consejo Superior 27-19 y 51-19, celebradas el 26 de marzo del 2019 y el 4 de junio del 2019, artículos XXXVIII y LXXI, respectivamente.</w:t>
      </w:r>
    </w:p>
    <w:p w14:paraId="0690D9E3" w14:textId="77777777" w:rsidR="00B15F7D" w:rsidRPr="00990FB6" w:rsidRDefault="00B15F7D" w:rsidP="00B15F7D">
      <w:pPr>
        <w:numPr>
          <w:ilvl w:val="0"/>
          <w:numId w:val="126"/>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Defensa Pública: sesión N°5-19 celebrada el 23 de enero de 2019, artículo XXIII, informe 1507-PLA-MI-2018 del 21 de diciembre de 2018 de la Dirección de Planificación, “Modelo de Tramitación de la Defensa Pública”.</w:t>
      </w:r>
    </w:p>
    <w:p w14:paraId="7E0387B1" w14:textId="77777777" w:rsidR="00B15F7D" w:rsidRPr="00990FB6" w:rsidRDefault="00B15F7D" w:rsidP="00B15F7D">
      <w:pPr>
        <w:numPr>
          <w:ilvl w:val="0"/>
          <w:numId w:val="126"/>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Ministerio Público: sesión N°43-19 celebrada el 14 de mayo del 2019, artículo XLII, informe 493-PLA-MI-2019 de la Dirección de Planificación, “Modelo de Tramitación del Ministerio Público”.</w:t>
      </w:r>
    </w:p>
    <w:p w14:paraId="68799446" w14:textId="77777777" w:rsidR="00B15F7D" w:rsidRPr="00990FB6" w:rsidRDefault="00B15F7D" w:rsidP="00B15F7D">
      <w:pPr>
        <w:numPr>
          <w:ilvl w:val="0"/>
          <w:numId w:val="126"/>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Organismo de Investigación Judicial: sesión N°27-2020 celebrada el 24 de marzo de 2020, artículo LXIX, oficio 320-PLA-MI-2020 de la Dirección de Planificación, “Modelo de Atención del Organismo de Investigación Judicial (OIJ)”.</w:t>
      </w:r>
    </w:p>
    <w:p w14:paraId="1B3A2EC1" w14:textId="36598FBE" w:rsidR="00B15F7D" w:rsidRPr="00990FB6" w:rsidRDefault="00B15F7D" w:rsidP="00B15F7D">
      <w:pPr>
        <w:numPr>
          <w:ilvl w:val="0"/>
          <w:numId w:val="126"/>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Juzgados de Ejecución de la Pena, sesiones del Consejo Superior 19-19, celebrada el 1° de marzo del 20219, artículo XLVI y 73-19, celebrada el 20 de agosto del 2019, según informes de la Dirección de Planificación 34-PLA-OI-2019 y 1070-PLA-OI-2019.</w:t>
      </w:r>
    </w:p>
    <w:p w14:paraId="24EC4B56" w14:textId="77777777" w:rsidR="00B305D7" w:rsidRPr="00990FB6" w:rsidRDefault="00B305D7" w:rsidP="00B305D7">
      <w:pPr>
        <w:suppressAutoHyphens w:val="0"/>
        <w:ind w:left="1560" w:right="1275"/>
        <w:jc w:val="both"/>
        <w:rPr>
          <w:rFonts w:eastAsia="Calibri"/>
          <w:color w:val="000000"/>
          <w:sz w:val="22"/>
          <w:szCs w:val="22"/>
          <w:u w:color="000000"/>
          <w:lang w:val="es-CR" w:eastAsia="en-US"/>
        </w:rPr>
      </w:pPr>
    </w:p>
    <w:p w14:paraId="2220561E" w14:textId="77777777" w:rsidR="00B15F7D" w:rsidRPr="00990FB6" w:rsidRDefault="00B15F7D" w:rsidP="00B15F7D">
      <w:pPr>
        <w:suppressAutoHyphens w:val="0"/>
        <w:ind w:left="851" w:right="1275" w:firstLine="709"/>
        <w:contextualSpacing/>
        <w:jc w:val="both"/>
        <w:rPr>
          <w:rFonts w:eastAsia="Calibri"/>
          <w:sz w:val="22"/>
          <w:szCs w:val="22"/>
          <w:lang w:val="es-CR" w:eastAsia="en-US"/>
        </w:rPr>
      </w:pPr>
      <w:r w:rsidRPr="00990FB6">
        <w:rPr>
          <w:rFonts w:eastAsia="Calibri"/>
          <w:sz w:val="22"/>
          <w:szCs w:val="22"/>
          <w:lang w:val="es-CR" w:eastAsia="en-US"/>
        </w:rPr>
        <w:t>En los mencionados modelos de tramitación del ámbito jurisdiccional, es decir Juzgados y Tribunales Penales, se incorporaron las estructuras organizacionales ideales para los despachos, por lo que a continuación se muestra el requerimiento humano según esa estructura aprobada:</w:t>
      </w:r>
    </w:p>
    <w:p w14:paraId="4D94729F"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2FE20AB" w14:textId="77777777" w:rsidR="00B15F7D" w:rsidRPr="00990FB6" w:rsidRDefault="00B15F7D" w:rsidP="00B15F7D">
      <w:pPr>
        <w:numPr>
          <w:ilvl w:val="0"/>
          <w:numId w:val="128"/>
        </w:numPr>
        <w:suppressAutoHyphens w:val="0"/>
        <w:ind w:left="851" w:right="1275" w:firstLine="709"/>
        <w:contextualSpacing/>
        <w:jc w:val="both"/>
        <w:rPr>
          <w:rFonts w:eastAsia="Calibri"/>
          <w:b/>
          <w:bCs/>
          <w:sz w:val="22"/>
          <w:szCs w:val="22"/>
          <w:lang w:val="es-CR" w:eastAsia="en-US"/>
        </w:rPr>
      </w:pPr>
      <w:r w:rsidRPr="00990FB6">
        <w:rPr>
          <w:rFonts w:eastAsia="Calibri"/>
          <w:b/>
          <w:bCs/>
          <w:sz w:val="22"/>
          <w:szCs w:val="22"/>
          <w:lang w:val="es-CR" w:eastAsia="en-US"/>
        </w:rPr>
        <w:lastRenderedPageBreak/>
        <w:t>Juzgados Penales</w:t>
      </w:r>
    </w:p>
    <w:p w14:paraId="7A3810F7" w14:textId="77777777" w:rsidR="00B15F7D" w:rsidRPr="00990FB6" w:rsidRDefault="00B15F7D" w:rsidP="00B15F7D">
      <w:pPr>
        <w:suppressAutoHyphens w:val="0"/>
        <w:ind w:left="1560" w:right="1275"/>
        <w:contextualSpacing/>
        <w:jc w:val="both"/>
        <w:rPr>
          <w:rFonts w:eastAsia="Calibri"/>
          <w:b/>
          <w:bCs/>
          <w:sz w:val="22"/>
          <w:szCs w:val="22"/>
          <w:lang w:val="es-CR" w:eastAsia="en-US"/>
        </w:rPr>
      </w:pPr>
    </w:p>
    <w:p w14:paraId="53EFD38F" w14:textId="77777777" w:rsidR="00B15F7D" w:rsidRPr="00990FB6" w:rsidRDefault="00B15F7D" w:rsidP="00B15F7D">
      <w:pPr>
        <w:suppressAutoHyphens w:val="0"/>
        <w:ind w:left="851" w:right="1275" w:firstLine="709"/>
        <w:contextualSpacing/>
        <w:jc w:val="both"/>
        <w:rPr>
          <w:rFonts w:eastAsia="Calibri"/>
          <w:sz w:val="22"/>
          <w:szCs w:val="22"/>
          <w:lang w:val="es-CR" w:eastAsia="en-US"/>
        </w:rPr>
      </w:pPr>
      <w:r w:rsidRPr="00990FB6">
        <w:rPr>
          <w:rFonts w:eastAsia="Calibri"/>
          <w:sz w:val="22"/>
          <w:szCs w:val="22"/>
          <w:lang w:val="es-CR" w:eastAsia="en-US"/>
        </w:rPr>
        <w:t>El Consejo Superior en sesión 16-19 del 22 de febrero del 2019, artículo LXII, aprobó el estudio de la Dirección de Planificación 1405-PLA-18 relacionado con el Modelo de Tramitación para los Juzgados Penales y como estructura organizacional recomendada se indicaron los siguientes puestos:</w:t>
      </w:r>
    </w:p>
    <w:p w14:paraId="3293EA4B" w14:textId="77777777" w:rsidR="00B15F7D" w:rsidRPr="00990FB6" w:rsidRDefault="00B15F7D" w:rsidP="00B15F7D">
      <w:pPr>
        <w:suppressAutoHyphens w:val="0"/>
        <w:ind w:left="851" w:right="851" w:firstLine="709"/>
        <w:contextualSpacing/>
        <w:jc w:val="both"/>
        <w:rPr>
          <w:rFonts w:eastAsia="Calibri"/>
          <w:b/>
          <w:bCs/>
          <w:sz w:val="22"/>
          <w:szCs w:val="22"/>
          <w:lang w:val="es-CR" w:eastAsia="en-US"/>
        </w:rPr>
      </w:pPr>
    </w:p>
    <w:p w14:paraId="6F9014D0" w14:textId="77777777" w:rsidR="00B15F7D" w:rsidRPr="00990FB6" w:rsidRDefault="00B15F7D" w:rsidP="00B15F7D">
      <w:pPr>
        <w:numPr>
          <w:ilvl w:val="0"/>
          <w:numId w:val="131"/>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Juez o Jueza 3 </w:t>
      </w:r>
    </w:p>
    <w:p w14:paraId="057B5A0A" w14:textId="77777777" w:rsidR="00B15F7D" w:rsidRPr="00990FB6" w:rsidRDefault="00B15F7D" w:rsidP="00B15F7D">
      <w:pPr>
        <w:numPr>
          <w:ilvl w:val="0"/>
          <w:numId w:val="131"/>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Coordinador o Coordinadora Judicial 2 </w:t>
      </w:r>
    </w:p>
    <w:p w14:paraId="6839E974" w14:textId="77777777" w:rsidR="00B15F7D" w:rsidRPr="00990FB6" w:rsidRDefault="00B15F7D" w:rsidP="00B15F7D">
      <w:pPr>
        <w:numPr>
          <w:ilvl w:val="0"/>
          <w:numId w:val="131"/>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Técnico o Técnica Judicial 2 (Tramitadores)</w:t>
      </w:r>
    </w:p>
    <w:p w14:paraId="10BDED59" w14:textId="77777777" w:rsidR="00B15F7D" w:rsidRPr="00990FB6" w:rsidRDefault="00B15F7D" w:rsidP="00B15F7D">
      <w:pPr>
        <w:numPr>
          <w:ilvl w:val="0"/>
          <w:numId w:val="131"/>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Técnico o Técnica Judicial 2 (Encargado del área de atención al usuario)</w:t>
      </w:r>
    </w:p>
    <w:p w14:paraId="61471984" w14:textId="77777777" w:rsidR="00B15F7D" w:rsidRPr="00990FB6" w:rsidRDefault="00B15F7D" w:rsidP="00B15F7D">
      <w:pPr>
        <w:numPr>
          <w:ilvl w:val="0"/>
          <w:numId w:val="131"/>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Auxiliar de Servicios Generales, cuando aplique.</w:t>
      </w:r>
    </w:p>
    <w:p w14:paraId="7FAAC0E7" w14:textId="77777777" w:rsidR="00B15F7D" w:rsidRPr="00990FB6" w:rsidRDefault="00B15F7D" w:rsidP="00B15F7D">
      <w:pPr>
        <w:tabs>
          <w:tab w:val="left" w:pos="8364"/>
        </w:tabs>
        <w:suppressAutoHyphens w:val="0"/>
        <w:ind w:left="851" w:right="851" w:firstLine="709"/>
        <w:contextualSpacing/>
        <w:jc w:val="both"/>
        <w:rPr>
          <w:rFonts w:eastAsia="Calibri"/>
          <w:sz w:val="22"/>
          <w:szCs w:val="22"/>
          <w:lang w:val="es-CR" w:eastAsia="en-US"/>
        </w:rPr>
      </w:pPr>
    </w:p>
    <w:p w14:paraId="54B769F5" w14:textId="77777777" w:rsidR="00B15F7D" w:rsidRPr="00990FB6" w:rsidRDefault="00B15F7D" w:rsidP="00B15F7D">
      <w:pPr>
        <w:tabs>
          <w:tab w:val="left" w:pos="8364"/>
        </w:tabs>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A continuación, se presenta la situación actual de los juzgados penales del país y su requerimiento de recurso humano:</w:t>
      </w:r>
    </w:p>
    <w:p w14:paraId="1DE390D0" w14:textId="7B0687FF" w:rsidR="00B15F7D" w:rsidRDefault="00B15F7D" w:rsidP="00990FB6">
      <w:pPr>
        <w:tabs>
          <w:tab w:val="left" w:pos="8364"/>
        </w:tabs>
        <w:suppressAutoHyphens w:val="0"/>
        <w:ind w:right="851"/>
        <w:contextualSpacing/>
        <w:jc w:val="both"/>
        <w:rPr>
          <w:rFonts w:eastAsia="Calibri"/>
          <w:sz w:val="22"/>
          <w:szCs w:val="22"/>
          <w:lang w:val="es-CR" w:eastAsia="en-US"/>
        </w:rPr>
      </w:pPr>
    </w:p>
    <w:p w14:paraId="449C2F8E" w14:textId="77777777" w:rsidR="00990FB6" w:rsidRPr="00990FB6" w:rsidRDefault="00990FB6" w:rsidP="00990FB6">
      <w:pPr>
        <w:tabs>
          <w:tab w:val="left" w:pos="8364"/>
        </w:tabs>
        <w:suppressAutoHyphens w:val="0"/>
        <w:ind w:right="851"/>
        <w:contextualSpacing/>
        <w:jc w:val="both"/>
        <w:rPr>
          <w:rFonts w:eastAsia="Calibri"/>
          <w:sz w:val="22"/>
          <w:szCs w:val="22"/>
          <w:lang w:val="es-CR" w:eastAsia="en-US"/>
        </w:rPr>
      </w:pPr>
    </w:p>
    <w:p w14:paraId="3E373422" w14:textId="36D94669" w:rsidR="00B15F7D" w:rsidRDefault="00B15F7D" w:rsidP="00B15F7D">
      <w:pPr>
        <w:ind w:left="851" w:right="851" w:firstLine="709"/>
        <w:jc w:val="center"/>
        <w:rPr>
          <w:b/>
          <w:bCs/>
          <w:color w:val="00000A"/>
          <w:sz w:val="22"/>
          <w:szCs w:val="22"/>
          <w:lang w:eastAsia="es-E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w:t>
      </w:r>
      <w:r w:rsidRPr="00990FB6">
        <w:rPr>
          <w:b/>
          <w:bCs/>
          <w:color w:val="00000A"/>
          <w:sz w:val="22"/>
          <w:szCs w:val="22"/>
          <w:lang w:eastAsia="es-ES"/>
        </w:rPr>
        <w:fldChar w:fldCharType="end"/>
      </w:r>
    </w:p>
    <w:p w14:paraId="486EEC3B" w14:textId="77777777" w:rsidR="00990FB6" w:rsidRPr="00990FB6" w:rsidRDefault="00990FB6" w:rsidP="00B15F7D">
      <w:pPr>
        <w:ind w:left="851" w:right="851" w:firstLine="709"/>
        <w:jc w:val="center"/>
        <w:rPr>
          <w:rFonts w:eastAsia="Calibri"/>
          <w:b/>
          <w:bCs/>
          <w:color w:val="00000A"/>
          <w:sz w:val="22"/>
          <w:szCs w:val="22"/>
          <w:lang w:eastAsia="en-US"/>
        </w:rPr>
      </w:pPr>
    </w:p>
    <w:p w14:paraId="66D7DB82" w14:textId="77777777" w:rsidR="00B15F7D" w:rsidRPr="00990FB6" w:rsidRDefault="00B15F7D" w:rsidP="00B15F7D">
      <w:pPr>
        <w:suppressAutoHyphens w:val="0"/>
        <w:jc w:val="center"/>
        <w:rPr>
          <w:rFonts w:eastAsia="Calibri"/>
          <w:b/>
          <w:bCs/>
          <w:sz w:val="22"/>
          <w:szCs w:val="22"/>
          <w:lang w:val="es-CR" w:eastAsia="en-US"/>
        </w:rPr>
      </w:pPr>
      <w:r w:rsidRPr="00990FB6">
        <w:rPr>
          <w:rFonts w:eastAsia="Calibri"/>
          <w:b/>
          <w:bCs/>
          <w:sz w:val="22"/>
          <w:szCs w:val="22"/>
          <w:lang w:val="es-CR" w:eastAsia="en-US"/>
        </w:rPr>
        <w:t>Personal ordinario actual de los Juzgados Penales del país, comparación entre personal juzgador y personal técnico judicial y análisis de necesidad de recurso humano adicional conforme la estructura aprobada y cuota establecida para personas juzgadoras</w:t>
      </w:r>
    </w:p>
    <w:p w14:paraId="020CFE4B" w14:textId="77777777" w:rsidR="00B15F7D" w:rsidRPr="00990FB6" w:rsidRDefault="00B15F7D" w:rsidP="00B15F7D">
      <w:pPr>
        <w:suppressAutoHyphens w:val="0"/>
        <w:jc w:val="center"/>
        <w:rPr>
          <w:rFonts w:eastAsia="Calibri"/>
          <w:b/>
          <w:bCs/>
          <w:sz w:val="22"/>
          <w:szCs w:val="22"/>
          <w:lang w:val="es-CR" w:eastAsia="en-US"/>
        </w:rPr>
      </w:pPr>
      <w:r w:rsidRPr="00990FB6">
        <w:rPr>
          <w:noProof/>
          <w:sz w:val="22"/>
          <w:szCs w:val="22"/>
          <w:lang w:val="es-CR" w:eastAsia="en-US"/>
        </w:rPr>
        <w:lastRenderedPageBreak/>
        <w:drawing>
          <wp:inline distT="0" distB="0" distL="0" distR="0" wp14:anchorId="5BD44B92" wp14:editId="7A63F561">
            <wp:extent cx="6019800" cy="4683760"/>
            <wp:effectExtent l="0" t="0" r="0" b="2540"/>
            <wp:docPr id="1255422288" name="Imagen 125542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19800" cy="4683760"/>
                    </a:xfrm>
                    <a:prstGeom prst="rect">
                      <a:avLst/>
                    </a:prstGeom>
                    <a:noFill/>
                    <a:ln>
                      <a:noFill/>
                    </a:ln>
                  </pic:spPr>
                </pic:pic>
              </a:graphicData>
            </a:graphic>
          </wp:inline>
        </w:drawing>
      </w:r>
    </w:p>
    <w:p w14:paraId="47844495" w14:textId="77777777" w:rsidR="00B15F7D" w:rsidRPr="00990FB6" w:rsidRDefault="00B15F7D" w:rsidP="00B15F7D">
      <w:pPr>
        <w:suppressAutoHyphens w:val="0"/>
        <w:ind w:left="851" w:right="851" w:firstLine="709"/>
        <w:jc w:val="center"/>
        <w:rPr>
          <w:rFonts w:eastAsia="Calibri"/>
          <w:sz w:val="22"/>
          <w:szCs w:val="22"/>
          <w:lang w:val="es-CR" w:eastAsia="en-US"/>
        </w:rPr>
      </w:pPr>
    </w:p>
    <w:p w14:paraId="3847F0F5"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Del requerimiento de recurso humano proyectado, a continuación, se muestra el resumen de las necesidades para los juzgados penales; así como, las observaciones pertinentes:</w:t>
      </w:r>
    </w:p>
    <w:p w14:paraId="3AF3B5E7" w14:textId="77777777" w:rsidR="00B15F7D" w:rsidRPr="00990FB6" w:rsidRDefault="00B15F7D" w:rsidP="00B15F7D">
      <w:pPr>
        <w:suppressAutoHyphens w:val="0"/>
        <w:rPr>
          <w:rFonts w:eastAsia="Calibri"/>
          <w:sz w:val="22"/>
          <w:szCs w:val="22"/>
          <w:lang w:val="es-CR" w:eastAsia="en-US"/>
        </w:rPr>
      </w:pPr>
    </w:p>
    <w:tbl>
      <w:tblPr>
        <w:tblW w:w="10065" w:type="dxa"/>
        <w:jc w:val="center"/>
        <w:tblLook w:val="04A0" w:firstRow="1" w:lastRow="0" w:firstColumn="1" w:lastColumn="0" w:noHBand="0" w:noVBand="1"/>
      </w:tblPr>
      <w:tblGrid>
        <w:gridCol w:w="2948"/>
        <w:gridCol w:w="2439"/>
        <w:gridCol w:w="4678"/>
      </w:tblGrid>
      <w:tr w:rsidR="00B15F7D" w:rsidRPr="00990FB6" w14:paraId="5330D32B" w14:textId="77777777" w:rsidTr="00990FB6">
        <w:trPr>
          <w:tblHeader/>
          <w:jc w:val="center"/>
        </w:trPr>
        <w:tc>
          <w:tcPr>
            <w:tcW w:w="2948" w:type="dxa"/>
            <w:tcBorders>
              <w:bottom w:val="single" w:sz="4" w:space="0" w:color="auto"/>
            </w:tcBorders>
            <w:vAlign w:val="center"/>
          </w:tcPr>
          <w:p w14:paraId="32964306" w14:textId="77777777" w:rsidR="00B15F7D" w:rsidRPr="00990FB6" w:rsidRDefault="00B15F7D" w:rsidP="00B15F7D">
            <w:pPr>
              <w:suppressAutoHyphens w:val="0"/>
              <w:jc w:val="center"/>
              <w:rPr>
                <w:rFonts w:eastAsia="Calibri"/>
                <w:b/>
                <w:bCs/>
                <w:color w:val="FFFFFF"/>
                <w:sz w:val="22"/>
                <w:szCs w:val="22"/>
                <w:lang w:eastAsia="ja-JP"/>
              </w:rPr>
            </w:pPr>
            <w:r w:rsidRPr="00990FB6">
              <w:rPr>
                <w:rFonts w:eastAsia="Calibri"/>
                <w:b/>
                <w:bCs/>
                <w:color w:val="FFFFFF"/>
                <w:sz w:val="22"/>
                <w:szCs w:val="22"/>
                <w:lang w:eastAsia="ja-JP"/>
              </w:rPr>
              <w:t>Despacho</w:t>
            </w:r>
          </w:p>
        </w:tc>
        <w:tc>
          <w:tcPr>
            <w:tcW w:w="2439" w:type="dxa"/>
            <w:tcBorders>
              <w:bottom w:val="single" w:sz="4" w:space="0" w:color="auto"/>
            </w:tcBorders>
            <w:vAlign w:val="center"/>
          </w:tcPr>
          <w:p w14:paraId="49960A6E" w14:textId="77777777" w:rsidR="00B15F7D" w:rsidRPr="00990FB6" w:rsidRDefault="00B15F7D" w:rsidP="00B15F7D">
            <w:pPr>
              <w:suppressAutoHyphens w:val="0"/>
              <w:jc w:val="center"/>
              <w:rPr>
                <w:rFonts w:eastAsia="Calibri"/>
                <w:b/>
                <w:bCs/>
                <w:color w:val="FFFFFF"/>
                <w:sz w:val="22"/>
                <w:szCs w:val="22"/>
                <w:lang w:eastAsia="ja-JP"/>
              </w:rPr>
            </w:pPr>
            <w:r w:rsidRPr="00990FB6">
              <w:rPr>
                <w:rFonts w:eastAsia="Calibri"/>
                <w:b/>
                <w:bCs/>
                <w:color w:val="FFFFFF"/>
                <w:sz w:val="22"/>
                <w:szCs w:val="22"/>
                <w:lang w:eastAsia="ja-JP"/>
              </w:rPr>
              <w:t>Requerimiento humano</w:t>
            </w:r>
          </w:p>
        </w:tc>
        <w:tc>
          <w:tcPr>
            <w:tcW w:w="4678" w:type="dxa"/>
            <w:tcBorders>
              <w:bottom w:val="single" w:sz="4" w:space="0" w:color="auto"/>
            </w:tcBorders>
          </w:tcPr>
          <w:p w14:paraId="1C1B0238" w14:textId="77777777" w:rsidR="00B15F7D" w:rsidRPr="00990FB6" w:rsidRDefault="00B15F7D" w:rsidP="00B15F7D">
            <w:pPr>
              <w:suppressAutoHyphens w:val="0"/>
              <w:jc w:val="center"/>
              <w:rPr>
                <w:rFonts w:eastAsia="Calibri"/>
                <w:b/>
                <w:bCs/>
                <w:color w:val="FFFFFF"/>
                <w:sz w:val="22"/>
                <w:szCs w:val="22"/>
                <w:lang w:eastAsia="ja-JP"/>
              </w:rPr>
            </w:pPr>
            <w:r w:rsidRPr="00990FB6">
              <w:rPr>
                <w:rFonts w:eastAsia="Calibri"/>
                <w:b/>
                <w:bCs/>
                <w:color w:val="FFFFFF"/>
                <w:sz w:val="22"/>
                <w:szCs w:val="22"/>
                <w:lang w:eastAsia="ja-JP"/>
              </w:rPr>
              <w:t>Observaciones</w:t>
            </w:r>
          </w:p>
        </w:tc>
      </w:tr>
      <w:tr w:rsidR="00B15F7D" w:rsidRPr="00990FB6" w14:paraId="7A2A3DC8"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1321F4A3"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del Puriscal</w:t>
            </w:r>
          </w:p>
        </w:tc>
        <w:tc>
          <w:tcPr>
            <w:tcW w:w="2439" w:type="dxa"/>
            <w:tcBorders>
              <w:top w:val="single" w:sz="4" w:space="0" w:color="auto"/>
              <w:left w:val="single" w:sz="4" w:space="0" w:color="auto"/>
              <w:bottom w:val="single" w:sz="4" w:space="0" w:color="auto"/>
              <w:right w:val="single" w:sz="4" w:space="0" w:color="auto"/>
            </w:tcBorders>
            <w:vAlign w:val="center"/>
          </w:tcPr>
          <w:p w14:paraId="18B2C6CB"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adicional de técnica o técnico judicial</w:t>
            </w:r>
          </w:p>
        </w:tc>
        <w:tc>
          <w:tcPr>
            <w:tcW w:w="4678" w:type="dxa"/>
            <w:tcBorders>
              <w:top w:val="single" w:sz="4" w:space="0" w:color="auto"/>
              <w:left w:val="single" w:sz="4" w:space="0" w:color="auto"/>
              <w:bottom w:val="single" w:sz="4" w:space="0" w:color="auto"/>
              <w:right w:val="single" w:sz="4" w:space="0" w:color="auto"/>
            </w:tcBorders>
          </w:tcPr>
          <w:p w14:paraId="1D81085B"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 xml:space="preserve">Este despacho fue abordado como parte del Modelo Penal y como parte de las propuestas de mejora se determina la necesidad de este puesto, el cual se solventaría con la potencial reclasificación del puesto ordinario de Auxiliar General y la contratación del servicio de limpieza para este despacho, cuando exista contenido económico para poder completar esa tarea; no obstante, dado que en el presente informe se desconoce las posibilidades presupuestarias de la modificación del contrato, se </w:t>
            </w:r>
            <w:r w:rsidRPr="00990FB6">
              <w:rPr>
                <w:rFonts w:eastAsia="Calibri"/>
                <w:sz w:val="22"/>
                <w:szCs w:val="22"/>
                <w:lang w:eastAsia="ja-JP"/>
              </w:rPr>
              <w:lastRenderedPageBreak/>
              <w:t>incluye la necesidad de personal adicional como parte del presupuesto 2024.</w:t>
            </w:r>
          </w:p>
        </w:tc>
      </w:tr>
      <w:tr w:rsidR="00B15F7D" w:rsidRPr="00990FB6" w14:paraId="07521202"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419120BC"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lastRenderedPageBreak/>
              <w:t>Juzgado Penal de Atenas</w:t>
            </w:r>
          </w:p>
        </w:tc>
        <w:tc>
          <w:tcPr>
            <w:tcW w:w="2439" w:type="dxa"/>
            <w:tcBorders>
              <w:top w:val="single" w:sz="4" w:space="0" w:color="auto"/>
              <w:left w:val="single" w:sz="4" w:space="0" w:color="auto"/>
              <w:bottom w:val="single" w:sz="4" w:space="0" w:color="auto"/>
              <w:right w:val="single" w:sz="4" w:space="0" w:color="auto"/>
            </w:tcBorders>
            <w:vAlign w:val="center"/>
          </w:tcPr>
          <w:p w14:paraId="77A1A888"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adicional de técnica o técnico judicial</w:t>
            </w:r>
          </w:p>
        </w:tc>
        <w:tc>
          <w:tcPr>
            <w:tcW w:w="4678" w:type="dxa"/>
            <w:tcBorders>
              <w:top w:val="single" w:sz="4" w:space="0" w:color="auto"/>
              <w:left w:val="single" w:sz="4" w:space="0" w:color="auto"/>
              <w:bottom w:val="single" w:sz="4" w:space="0" w:color="auto"/>
              <w:right w:val="single" w:sz="4" w:space="0" w:color="auto"/>
            </w:tcBorders>
          </w:tcPr>
          <w:p w14:paraId="0FCB5A40"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El despacho cuenta con una plaza ordinaria de Técnica o Técnico Judicial, la cual ostenta una carga de trabajo de 99 expedientes, cifra que supera el promedio mensual nacional de 71 asuntos por plaza de técnico/a judicial; además, supera el promedio del despacho modelo el Juzgado Penal de Cartago, en donde una plaza de técnica o técnico judicial recibe mensualmente 77 expedientes, se incluye la necesidad de personal adicional como parte del presupuesto 2024.</w:t>
            </w:r>
          </w:p>
        </w:tc>
      </w:tr>
      <w:tr w:rsidR="00B15F7D" w:rsidRPr="00990FB6" w14:paraId="55A44537"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72899883"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San Carlos</w:t>
            </w:r>
          </w:p>
        </w:tc>
        <w:tc>
          <w:tcPr>
            <w:tcW w:w="2439" w:type="dxa"/>
            <w:tcBorders>
              <w:top w:val="single" w:sz="4" w:space="0" w:color="auto"/>
              <w:left w:val="single" w:sz="4" w:space="0" w:color="auto"/>
              <w:bottom w:val="single" w:sz="4" w:space="0" w:color="auto"/>
              <w:right w:val="single" w:sz="4" w:space="0" w:color="auto"/>
            </w:tcBorders>
            <w:vAlign w:val="center"/>
          </w:tcPr>
          <w:p w14:paraId="23ACC5DD"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jueza o juez</w:t>
            </w:r>
          </w:p>
        </w:tc>
        <w:tc>
          <w:tcPr>
            <w:tcW w:w="4678" w:type="dxa"/>
            <w:tcBorders>
              <w:top w:val="single" w:sz="4" w:space="0" w:color="auto"/>
              <w:left w:val="single" w:sz="4" w:space="0" w:color="auto"/>
              <w:bottom w:val="single" w:sz="4" w:space="0" w:color="auto"/>
              <w:right w:val="single" w:sz="4" w:space="0" w:color="auto"/>
            </w:tcBorders>
          </w:tcPr>
          <w:p w14:paraId="362F74E5"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Para atender la entrada de asuntos nuevos y la etapa preparatoria se determina que este despacho requiere la asignación de una plaza a medio tiempo; ya que una plaza adicional de jueza o juez supondría una subutilización de recursos, por lo que para este informe no se considerara como un requerimiento adicional para el despacho.</w:t>
            </w:r>
          </w:p>
        </w:tc>
      </w:tr>
      <w:tr w:rsidR="00B15F7D" w:rsidRPr="00990FB6" w14:paraId="67F6D6E3" w14:textId="77777777" w:rsidTr="00990FB6">
        <w:trPr>
          <w:trHeight w:val="333"/>
          <w:jc w:val="center"/>
        </w:trPr>
        <w:tc>
          <w:tcPr>
            <w:tcW w:w="2948" w:type="dxa"/>
            <w:tcBorders>
              <w:top w:val="single" w:sz="4" w:space="0" w:color="auto"/>
              <w:left w:val="single" w:sz="4" w:space="0" w:color="auto"/>
              <w:bottom w:val="single" w:sz="4" w:space="0" w:color="auto"/>
              <w:right w:val="single" w:sz="4" w:space="0" w:color="auto"/>
            </w:tcBorders>
            <w:vAlign w:val="center"/>
          </w:tcPr>
          <w:p w14:paraId="1A002886"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la Fortuna</w:t>
            </w:r>
          </w:p>
        </w:tc>
        <w:tc>
          <w:tcPr>
            <w:tcW w:w="2439" w:type="dxa"/>
            <w:tcBorders>
              <w:top w:val="single" w:sz="4" w:space="0" w:color="auto"/>
              <w:left w:val="single" w:sz="4" w:space="0" w:color="auto"/>
              <w:bottom w:val="single" w:sz="4" w:space="0" w:color="auto"/>
              <w:right w:val="single" w:sz="4" w:space="0" w:color="auto"/>
            </w:tcBorders>
            <w:vAlign w:val="center"/>
          </w:tcPr>
          <w:p w14:paraId="131F527B"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técnica o técnico judicial</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33ABFC32"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Para completar estructura de tramitación aprobada, en la que se determina que debe existir una plaza de apoyo técnico judicial por cada persona juzgadora y el despacho cuenta con dos juezas o jueces y solo una técnica o técnico judicial.</w:t>
            </w:r>
          </w:p>
        </w:tc>
      </w:tr>
      <w:tr w:rsidR="00B15F7D" w:rsidRPr="00990FB6" w14:paraId="674DA103"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039EC2AC"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los Chiles</w:t>
            </w:r>
          </w:p>
        </w:tc>
        <w:tc>
          <w:tcPr>
            <w:tcW w:w="2439" w:type="dxa"/>
            <w:tcBorders>
              <w:top w:val="single" w:sz="4" w:space="0" w:color="auto"/>
              <w:left w:val="single" w:sz="4" w:space="0" w:color="auto"/>
              <w:bottom w:val="single" w:sz="4" w:space="0" w:color="auto"/>
              <w:right w:val="single" w:sz="4" w:space="0" w:color="auto"/>
            </w:tcBorders>
            <w:vAlign w:val="center"/>
          </w:tcPr>
          <w:p w14:paraId="7C9EEBCA"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técnica o técnico judicial</w:t>
            </w:r>
          </w:p>
        </w:tc>
        <w:tc>
          <w:tcPr>
            <w:tcW w:w="4678" w:type="dxa"/>
            <w:tcBorders>
              <w:top w:val="single" w:sz="4" w:space="0" w:color="auto"/>
              <w:left w:val="single" w:sz="4" w:space="0" w:color="auto"/>
              <w:bottom w:val="single" w:sz="4" w:space="0" w:color="auto"/>
              <w:right w:val="single" w:sz="4" w:space="0" w:color="auto"/>
            </w:tcBorders>
            <w:vAlign w:val="center"/>
          </w:tcPr>
          <w:p w14:paraId="77C8A422"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Para completar estructura de tramitación aprobada, en la que se determina que debe existir una plaza de apoyo técnico judicial por cada persona juzgadora y el despacho cuenta con dos juezas o jueces y solo una técnica o técnico judicial.</w:t>
            </w:r>
          </w:p>
        </w:tc>
      </w:tr>
      <w:tr w:rsidR="00B15F7D" w:rsidRPr="00990FB6" w14:paraId="66761214"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2826E940"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Cartago</w:t>
            </w:r>
          </w:p>
        </w:tc>
        <w:tc>
          <w:tcPr>
            <w:tcW w:w="2439" w:type="dxa"/>
            <w:tcBorders>
              <w:top w:val="single" w:sz="4" w:space="0" w:color="auto"/>
              <w:left w:val="single" w:sz="4" w:space="0" w:color="auto"/>
              <w:bottom w:val="single" w:sz="4" w:space="0" w:color="auto"/>
              <w:right w:val="single" w:sz="4" w:space="0" w:color="auto"/>
            </w:tcBorders>
            <w:vAlign w:val="center"/>
          </w:tcPr>
          <w:p w14:paraId="77CF0B12"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jueza o juez</w:t>
            </w:r>
          </w:p>
        </w:tc>
        <w:tc>
          <w:tcPr>
            <w:tcW w:w="4678" w:type="dxa"/>
            <w:tcBorders>
              <w:top w:val="single" w:sz="4" w:space="0" w:color="auto"/>
              <w:left w:val="single" w:sz="4" w:space="0" w:color="auto"/>
              <w:bottom w:val="single" w:sz="4" w:space="0" w:color="auto"/>
              <w:right w:val="single" w:sz="4" w:space="0" w:color="auto"/>
            </w:tcBorders>
          </w:tcPr>
          <w:p w14:paraId="5CE8B509"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 xml:space="preserve">Corresponde al despacho con mayor entrada de asuntos nuevos por plaza de jueza o juez, por lo que se considera necesario la asignación de otra plaza adicional, lo que permitiría equilibrar las cargas de trabajo del despacho con los demás juzgados penales del país. No se considera necesario dotar de personal técnico judicial, por cuanto el despacho cuenta con siete plazas y cuatro de juez o jueza, es decir que conforme la estructura, existe una diferencia de tres puestos de persona técnica judicial, de las cuales una podría trabajar de forma directa con la plaza nueva. </w:t>
            </w:r>
          </w:p>
        </w:tc>
      </w:tr>
      <w:tr w:rsidR="00B15F7D" w:rsidRPr="00990FB6" w14:paraId="48A86128"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5AA0741D"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Turrialba</w:t>
            </w:r>
          </w:p>
        </w:tc>
        <w:tc>
          <w:tcPr>
            <w:tcW w:w="2439" w:type="dxa"/>
            <w:tcBorders>
              <w:top w:val="single" w:sz="4" w:space="0" w:color="auto"/>
              <w:left w:val="single" w:sz="4" w:space="0" w:color="auto"/>
              <w:bottom w:val="single" w:sz="4" w:space="0" w:color="auto"/>
              <w:right w:val="single" w:sz="4" w:space="0" w:color="auto"/>
            </w:tcBorders>
            <w:vAlign w:val="center"/>
          </w:tcPr>
          <w:p w14:paraId="5893571F"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jueza o juez</w:t>
            </w:r>
          </w:p>
        </w:tc>
        <w:tc>
          <w:tcPr>
            <w:tcW w:w="4678" w:type="dxa"/>
            <w:tcBorders>
              <w:top w:val="single" w:sz="4" w:space="0" w:color="auto"/>
              <w:left w:val="single" w:sz="4" w:space="0" w:color="auto"/>
              <w:bottom w:val="single" w:sz="4" w:space="0" w:color="auto"/>
              <w:right w:val="single" w:sz="4" w:space="0" w:color="auto"/>
            </w:tcBorders>
          </w:tcPr>
          <w:p w14:paraId="27823141"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 xml:space="preserve">La carga de trabajo mensual por plaza de jueza o juez se estima en 113 asuntos; este despacho cuenta con dos jueces o juezas, por lo que, para atender la </w:t>
            </w:r>
            <w:r w:rsidRPr="00990FB6">
              <w:rPr>
                <w:rFonts w:eastAsia="Calibri"/>
                <w:sz w:val="22"/>
                <w:szCs w:val="22"/>
                <w:lang w:eastAsia="ja-JP"/>
              </w:rPr>
              <w:lastRenderedPageBreak/>
              <w:t>entrada de asuntos nuevos en etapa intermedia, requería de una plaza adicional. En caso de dotar esta plaza adicional no sería necesaria una plaza adicional de técnico/a judicial, ya que el despacho cuenta con tres plazas ordinarias.</w:t>
            </w:r>
          </w:p>
        </w:tc>
      </w:tr>
      <w:tr w:rsidR="00B15F7D" w:rsidRPr="00990FB6" w14:paraId="3716D91D"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7EA40D80"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lastRenderedPageBreak/>
              <w:t>Juzgado Penal de II Circuito Judicial de Guanacaste</w:t>
            </w:r>
          </w:p>
        </w:tc>
        <w:tc>
          <w:tcPr>
            <w:tcW w:w="2439" w:type="dxa"/>
            <w:tcBorders>
              <w:top w:val="single" w:sz="4" w:space="0" w:color="auto"/>
              <w:left w:val="single" w:sz="4" w:space="0" w:color="auto"/>
              <w:bottom w:val="single" w:sz="4" w:space="0" w:color="auto"/>
              <w:right w:val="single" w:sz="4" w:space="0" w:color="auto"/>
            </w:tcBorders>
            <w:vAlign w:val="center"/>
          </w:tcPr>
          <w:p w14:paraId="76A6DCC3"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jueza o juez</w:t>
            </w:r>
          </w:p>
        </w:tc>
        <w:tc>
          <w:tcPr>
            <w:tcW w:w="4678" w:type="dxa"/>
            <w:tcBorders>
              <w:top w:val="single" w:sz="4" w:space="0" w:color="auto"/>
              <w:left w:val="single" w:sz="4" w:space="0" w:color="auto"/>
              <w:bottom w:val="single" w:sz="4" w:space="0" w:color="auto"/>
              <w:right w:val="single" w:sz="4" w:space="0" w:color="auto"/>
            </w:tcBorders>
          </w:tcPr>
          <w:p w14:paraId="7A700904"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 xml:space="preserve">Para atender la entrada de asuntos nuevos y la etapa preparatoria se determina que este despacho requiere la asignación de una plaza a medio tiempo; ya que una plaza adicional de jueza o juez supondría una subutilización de recursos, por lo que para este informe no se considerara como un requerimiento adicional para el despacho. </w:t>
            </w:r>
          </w:p>
        </w:tc>
      </w:tr>
      <w:tr w:rsidR="00B15F7D" w:rsidRPr="00990FB6" w14:paraId="4F63D3BF" w14:textId="77777777" w:rsidTr="00990FB6">
        <w:trPr>
          <w:trHeight w:val="958"/>
          <w:jc w:val="center"/>
        </w:trPr>
        <w:tc>
          <w:tcPr>
            <w:tcW w:w="2948" w:type="dxa"/>
            <w:tcBorders>
              <w:top w:val="single" w:sz="4" w:space="0" w:color="auto"/>
              <w:left w:val="single" w:sz="4" w:space="0" w:color="auto"/>
              <w:bottom w:val="single" w:sz="4" w:space="0" w:color="auto"/>
              <w:right w:val="single" w:sz="4" w:space="0" w:color="auto"/>
            </w:tcBorders>
            <w:vAlign w:val="center"/>
          </w:tcPr>
          <w:p w14:paraId="0293EE5A"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Santa Cruz</w:t>
            </w:r>
          </w:p>
        </w:tc>
        <w:tc>
          <w:tcPr>
            <w:tcW w:w="2439" w:type="dxa"/>
            <w:tcBorders>
              <w:top w:val="single" w:sz="4" w:space="0" w:color="auto"/>
              <w:left w:val="single" w:sz="4" w:space="0" w:color="auto"/>
              <w:bottom w:val="single" w:sz="4" w:space="0" w:color="auto"/>
              <w:right w:val="single" w:sz="4" w:space="0" w:color="auto"/>
            </w:tcBorders>
            <w:vAlign w:val="center"/>
          </w:tcPr>
          <w:p w14:paraId="002BAABF"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jueza o juez</w:t>
            </w:r>
          </w:p>
        </w:tc>
        <w:tc>
          <w:tcPr>
            <w:tcW w:w="4678" w:type="dxa"/>
            <w:tcBorders>
              <w:top w:val="single" w:sz="4" w:space="0" w:color="auto"/>
              <w:left w:val="single" w:sz="4" w:space="0" w:color="auto"/>
              <w:bottom w:val="single" w:sz="4" w:space="0" w:color="auto"/>
              <w:right w:val="single" w:sz="4" w:space="0" w:color="auto"/>
            </w:tcBorders>
          </w:tcPr>
          <w:p w14:paraId="26420FC6"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Corresponde a un despacho abordado como parte del modelo penal, el informe definitivo fue enviado a aprobación mediante oficio 230-PLA-MI-2022 y como parte de las propuestas de mejora se expone la necesidad de asignar una tercera plaza de jueza o juez. En cuanto al personal técnico se determina que existe dos plazas ordinarias de jueces/zas contra cuatro de técnico o técnica judicial, por lo que existe capacidad en el despacho de personal técnico judicial.</w:t>
            </w:r>
          </w:p>
        </w:tc>
      </w:tr>
      <w:tr w:rsidR="00B15F7D" w:rsidRPr="00990FB6" w14:paraId="6E79AE6D"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43BF3881"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Garabito</w:t>
            </w:r>
          </w:p>
        </w:tc>
        <w:tc>
          <w:tcPr>
            <w:tcW w:w="2439" w:type="dxa"/>
            <w:tcBorders>
              <w:top w:val="single" w:sz="4" w:space="0" w:color="auto"/>
              <w:left w:val="single" w:sz="4" w:space="0" w:color="auto"/>
              <w:bottom w:val="single" w:sz="4" w:space="0" w:color="auto"/>
              <w:right w:val="single" w:sz="4" w:space="0" w:color="auto"/>
            </w:tcBorders>
            <w:vAlign w:val="center"/>
          </w:tcPr>
          <w:p w14:paraId="19E778D8"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técnica o técnico judicial</w:t>
            </w:r>
          </w:p>
        </w:tc>
        <w:tc>
          <w:tcPr>
            <w:tcW w:w="4678" w:type="dxa"/>
            <w:tcBorders>
              <w:top w:val="single" w:sz="4" w:space="0" w:color="auto"/>
              <w:left w:val="single" w:sz="4" w:space="0" w:color="auto"/>
              <w:bottom w:val="single" w:sz="4" w:space="0" w:color="auto"/>
              <w:right w:val="single" w:sz="4" w:space="0" w:color="auto"/>
            </w:tcBorders>
          </w:tcPr>
          <w:p w14:paraId="6013B0FC"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Corresponde a un despacho abordado como parte del modelo penal, el informe definitivo fue enviado al Consejo Superior mediante oficio 2045-PLA-MI-2020 y en las propuestas de mejora se expone la necesidad de asignar una plaza de técnica o técnico judicial; el citado informe 2045-PLA-MI-202, fue aprobado por el órgano superior en sesión 47-21 del 8 de junio del 2021, artículo LII. Actualmente el despacho cuenta con un permiso con goce de salario para cubrir esta necesidad, el cual fue prorrogado hasta el mes de marzo del 2023, con oficio 1246-PLA-MI(PL)-2022, aprobado por el Consejo Superior en sesión 112-2022 celebrada el 22 de diciembre del 2022, artículo LXXVI.</w:t>
            </w:r>
          </w:p>
        </w:tc>
      </w:tr>
      <w:tr w:rsidR="00B15F7D" w:rsidRPr="00990FB6" w14:paraId="38ACFD24"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4D25879A"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Buenos Aires</w:t>
            </w:r>
          </w:p>
        </w:tc>
        <w:tc>
          <w:tcPr>
            <w:tcW w:w="2439" w:type="dxa"/>
            <w:tcBorders>
              <w:top w:val="single" w:sz="4" w:space="0" w:color="auto"/>
              <w:left w:val="single" w:sz="4" w:space="0" w:color="auto"/>
              <w:bottom w:val="single" w:sz="4" w:space="0" w:color="auto"/>
              <w:right w:val="single" w:sz="4" w:space="0" w:color="auto"/>
            </w:tcBorders>
            <w:vAlign w:val="center"/>
          </w:tcPr>
          <w:p w14:paraId="33D01076"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persona técnica judicial</w:t>
            </w:r>
          </w:p>
        </w:tc>
        <w:tc>
          <w:tcPr>
            <w:tcW w:w="4678" w:type="dxa"/>
            <w:tcBorders>
              <w:top w:val="single" w:sz="4" w:space="0" w:color="auto"/>
              <w:left w:val="single" w:sz="4" w:space="0" w:color="auto"/>
              <w:bottom w:val="single" w:sz="4" w:space="0" w:color="auto"/>
              <w:right w:val="single" w:sz="4" w:space="0" w:color="auto"/>
            </w:tcBorders>
          </w:tcPr>
          <w:p w14:paraId="50145FD3"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 xml:space="preserve">Para completar estructura de tramitación aprobada para los juzgados penales; actualmente el despacho cuenta con un permiso con goce de salario para cubrir esta necesidad, el cual fue prorrogado hasta el mes de marzo del 2023, con oficio 1246-PLA-MI(PL)-2022, aprobado por el Consejo Superior en </w:t>
            </w:r>
            <w:r w:rsidRPr="00990FB6">
              <w:rPr>
                <w:rFonts w:eastAsia="Calibri"/>
                <w:sz w:val="22"/>
                <w:szCs w:val="22"/>
                <w:lang w:eastAsia="ja-JP"/>
              </w:rPr>
              <w:lastRenderedPageBreak/>
              <w:t>sesión 112-2022 celebrada el 22 de diciembre del 2022, artículo LXXVI.</w:t>
            </w:r>
          </w:p>
        </w:tc>
      </w:tr>
      <w:tr w:rsidR="00B15F7D" w:rsidRPr="00990FB6" w14:paraId="0F4FD4B0"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5F781F99"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lastRenderedPageBreak/>
              <w:t>Juzgado Penal de Coto Brus</w:t>
            </w:r>
          </w:p>
        </w:tc>
        <w:tc>
          <w:tcPr>
            <w:tcW w:w="2439" w:type="dxa"/>
            <w:tcBorders>
              <w:top w:val="single" w:sz="4" w:space="0" w:color="auto"/>
              <w:left w:val="single" w:sz="4" w:space="0" w:color="auto"/>
              <w:bottom w:val="single" w:sz="4" w:space="0" w:color="auto"/>
              <w:right w:val="single" w:sz="4" w:space="0" w:color="auto"/>
            </w:tcBorders>
            <w:vAlign w:val="center"/>
          </w:tcPr>
          <w:p w14:paraId="1E612267"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persona técnica judicial</w:t>
            </w:r>
          </w:p>
        </w:tc>
        <w:tc>
          <w:tcPr>
            <w:tcW w:w="4678" w:type="dxa"/>
            <w:tcBorders>
              <w:top w:val="single" w:sz="4" w:space="0" w:color="auto"/>
              <w:left w:val="single" w:sz="4" w:space="0" w:color="auto"/>
              <w:bottom w:val="single" w:sz="4" w:space="0" w:color="auto"/>
              <w:right w:val="single" w:sz="4" w:space="0" w:color="auto"/>
            </w:tcBorders>
          </w:tcPr>
          <w:p w14:paraId="0F717986" w14:textId="77777777" w:rsidR="00B15F7D" w:rsidRPr="00990FB6" w:rsidRDefault="00B15F7D" w:rsidP="00B15F7D">
            <w:pPr>
              <w:tabs>
                <w:tab w:val="left" w:pos="3240"/>
              </w:tabs>
              <w:suppressAutoHyphens w:val="0"/>
              <w:jc w:val="both"/>
              <w:rPr>
                <w:rFonts w:eastAsia="Calibri"/>
                <w:sz w:val="22"/>
                <w:szCs w:val="22"/>
                <w:lang w:eastAsia="ja-JP"/>
              </w:rPr>
            </w:pPr>
            <w:r w:rsidRPr="00990FB6">
              <w:rPr>
                <w:rFonts w:eastAsia="Calibri"/>
                <w:sz w:val="22"/>
                <w:szCs w:val="22"/>
                <w:lang w:eastAsia="ja-JP"/>
              </w:rPr>
              <w:t>Para completar estructura de tramitación aprobada para los juzgados penales; se incluye la necesidad de personal adicional como parte del presupuesto 2024.</w:t>
            </w:r>
          </w:p>
        </w:tc>
      </w:tr>
      <w:tr w:rsidR="00B15F7D" w:rsidRPr="00990FB6" w14:paraId="4FD0FE38"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049F1099"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 xml:space="preserve">Juzgado Penal de </w:t>
            </w:r>
            <w:proofErr w:type="spellStart"/>
            <w:r w:rsidRPr="00990FB6">
              <w:rPr>
                <w:rFonts w:eastAsia="Calibri"/>
                <w:b/>
                <w:bCs/>
                <w:sz w:val="22"/>
                <w:szCs w:val="22"/>
                <w:lang w:eastAsia="ja-JP"/>
              </w:rPr>
              <w:t>Bribrí</w:t>
            </w:r>
            <w:proofErr w:type="spellEnd"/>
          </w:p>
        </w:tc>
        <w:tc>
          <w:tcPr>
            <w:tcW w:w="2439" w:type="dxa"/>
            <w:tcBorders>
              <w:top w:val="single" w:sz="4" w:space="0" w:color="auto"/>
              <w:left w:val="single" w:sz="4" w:space="0" w:color="auto"/>
              <w:bottom w:val="single" w:sz="4" w:space="0" w:color="auto"/>
              <w:right w:val="single" w:sz="4" w:space="0" w:color="auto"/>
            </w:tcBorders>
            <w:vAlign w:val="center"/>
          </w:tcPr>
          <w:p w14:paraId="654C7AF2"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persona técnica judicial</w:t>
            </w:r>
          </w:p>
        </w:tc>
        <w:tc>
          <w:tcPr>
            <w:tcW w:w="4678" w:type="dxa"/>
            <w:tcBorders>
              <w:top w:val="single" w:sz="4" w:space="0" w:color="auto"/>
              <w:left w:val="single" w:sz="4" w:space="0" w:color="auto"/>
              <w:bottom w:val="single" w:sz="4" w:space="0" w:color="auto"/>
              <w:right w:val="single" w:sz="4" w:space="0" w:color="auto"/>
            </w:tcBorders>
          </w:tcPr>
          <w:p w14:paraId="42158D0D"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Según informe de abordaje del despacho 1434-PLA-OI-2020 aprobado por el Consejo Superior en sesión 93-2020, artículo XLV, celebrada el 24 de setiembre del 2020, la necesidad en la tramitación se solucionó con la plaza de traductor con la que cuenta el despacho, por lo que para el presente informe no se incorpora como una necesidad de requerimiento humano.</w:t>
            </w:r>
          </w:p>
        </w:tc>
      </w:tr>
      <w:tr w:rsidR="00B15F7D" w:rsidRPr="00990FB6" w14:paraId="53A45719" w14:textId="77777777" w:rsidTr="00990FB6">
        <w:trPr>
          <w:jc w:val="center"/>
        </w:trPr>
        <w:tc>
          <w:tcPr>
            <w:tcW w:w="2948" w:type="dxa"/>
            <w:tcBorders>
              <w:top w:val="single" w:sz="4" w:space="0" w:color="auto"/>
              <w:left w:val="single" w:sz="4" w:space="0" w:color="auto"/>
              <w:bottom w:val="single" w:sz="4" w:space="0" w:color="auto"/>
              <w:right w:val="single" w:sz="4" w:space="0" w:color="auto"/>
            </w:tcBorders>
            <w:vAlign w:val="center"/>
          </w:tcPr>
          <w:p w14:paraId="1FB583A9" w14:textId="77777777" w:rsidR="00B15F7D" w:rsidRPr="00990FB6" w:rsidRDefault="00B15F7D" w:rsidP="00B15F7D">
            <w:pPr>
              <w:suppressAutoHyphens w:val="0"/>
              <w:jc w:val="both"/>
              <w:rPr>
                <w:rFonts w:eastAsia="Calibri"/>
                <w:b/>
                <w:bCs/>
                <w:sz w:val="22"/>
                <w:szCs w:val="22"/>
                <w:lang w:eastAsia="ja-JP"/>
              </w:rPr>
            </w:pPr>
            <w:r w:rsidRPr="00990FB6">
              <w:rPr>
                <w:rFonts w:eastAsia="Calibri"/>
                <w:b/>
                <w:bCs/>
                <w:sz w:val="22"/>
                <w:szCs w:val="22"/>
                <w:lang w:eastAsia="ja-JP"/>
              </w:rPr>
              <w:t>Juzgado Penal de Batan</w:t>
            </w:r>
          </w:p>
        </w:tc>
        <w:tc>
          <w:tcPr>
            <w:tcW w:w="2439" w:type="dxa"/>
            <w:tcBorders>
              <w:top w:val="single" w:sz="4" w:space="0" w:color="auto"/>
              <w:left w:val="single" w:sz="4" w:space="0" w:color="auto"/>
              <w:bottom w:val="single" w:sz="4" w:space="0" w:color="auto"/>
              <w:right w:val="single" w:sz="4" w:space="0" w:color="auto"/>
            </w:tcBorders>
            <w:vAlign w:val="center"/>
          </w:tcPr>
          <w:p w14:paraId="1188B1A8"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Una plaza de juez o jueza</w:t>
            </w:r>
          </w:p>
        </w:tc>
        <w:tc>
          <w:tcPr>
            <w:tcW w:w="4678" w:type="dxa"/>
            <w:tcBorders>
              <w:top w:val="single" w:sz="4" w:space="0" w:color="auto"/>
              <w:left w:val="single" w:sz="4" w:space="0" w:color="auto"/>
              <w:bottom w:val="single" w:sz="4" w:space="0" w:color="auto"/>
              <w:right w:val="single" w:sz="4" w:space="0" w:color="auto"/>
            </w:tcBorders>
          </w:tcPr>
          <w:p w14:paraId="4414238B" w14:textId="77777777" w:rsidR="00B15F7D" w:rsidRPr="00990FB6" w:rsidRDefault="00B15F7D" w:rsidP="00B15F7D">
            <w:pPr>
              <w:suppressAutoHyphens w:val="0"/>
              <w:jc w:val="both"/>
              <w:rPr>
                <w:rFonts w:eastAsia="Calibri"/>
                <w:sz w:val="22"/>
                <w:szCs w:val="22"/>
                <w:lang w:eastAsia="ja-JP"/>
              </w:rPr>
            </w:pPr>
            <w:r w:rsidRPr="00990FB6">
              <w:rPr>
                <w:rFonts w:eastAsia="Calibri"/>
                <w:sz w:val="22"/>
                <w:szCs w:val="22"/>
                <w:lang w:eastAsia="ja-JP"/>
              </w:rPr>
              <w:t xml:space="preserve">Corresponde a un despacho abordado como parte del modelo penal, y mediante informe definitivo 583-PLA-MI-2021 en las propuestas de mejora se expone la necesidad de que Juzgado Penal de Limón colabore con 48 expedientes al mes de desestimaciones y sobreseimientos escritos provenientes del Juzgado Penal de </w:t>
            </w:r>
            <w:proofErr w:type="spellStart"/>
            <w:r w:rsidRPr="00990FB6">
              <w:rPr>
                <w:rFonts w:eastAsia="Calibri"/>
                <w:sz w:val="22"/>
                <w:szCs w:val="22"/>
                <w:lang w:eastAsia="ja-JP"/>
              </w:rPr>
              <w:t>Bataán</w:t>
            </w:r>
            <w:proofErr w:type="spellEnd"/>
            <w:r w:rsidRPr="00990FB6">
              <w:rPr>
                <w:rFonts w:eastAsia="Calibri"/>
                <w:sz w:val="22"/>
                <w:szCs w:val="22"/>
                <w:lang w:eastAsia="ja-JP"/>
              </w:rPr>
              <w:t>; lo que equipararía las cargas de trabajo de ambos despachos. El citado informe 583-PLA-MI-2021, fue aprobado por el órgano superior en sesión 78-21 del 7 de setiembre del 2021, artículo XXXI, por lo que para el presente informe no se incorpora necesidad de recurso humano para este despacho.</w:t>
            </w:r>
          </w:p>
        </w:tc>
      </w:tr>
    </w:tbl>
    <w:p w14:paraId="62AE3E7C" w14:textId="77777777" w:rsidR="00B15F7D" w:rsidRPr="00990FB6" w:rsidRDefault="00B15F7D" w:rsidP="00B15F7D">
      <w:pPr>
        <w:suppressAutoHyphens w:val="0"/>
        <w:jc w:val="both"/>
        <w:rPr>
          <w:rFonts w:eastAsia="Calibri"/>
          <w:color w:val="000000"/>
          <w:sz w:val="22"/>
          <w:szCs w:val="22"/>
          <w:u w:color="000000"/>
          <w:lang w:eastAsia="en-US"/>
        </w:rPr>
      </w:pPr>
    </w:p>
    <w:p w14:paraId="51A0042C" w14:textId="77777777" w:rsidR="00B15F7D" w:rsidRPr="00990FB6" w:rsidRDefault="00B15F7D" w:rsidP="00B15F7D">
      <w:pPr>
        <w:suppressAutoHyphens w:val="0"/>
        <w:ind w:left="851" w:right="1275" w:firstLine="709"/>
        <w:jc w:val="both"/>
        <w:rPr>
          <w:rFonts w:eastAsia="Calibri"/>
          <w:color w:val="000000"/>
          <w:sz w:val="22"/>
          <w:szCs w:val="22"/>
          <w:u w:color="000000"/>
          <w:lang w:eastAsia="en-US"/>
        </w:rPr>
      </w:pPr>
      <w:r w:rsidRPr="00990FB6">
        <w:rPr>
          <w:rFonts w:eastAsia="Calibri"/>
          <w:color w:val="000000"/>
          <w:sz w:val="22"/>
          <w:szCs w:val="22"/>
          <w:u w:color="000000"/>
          <w:lang w:eastAsia="en-US"/>
        </w:rPr>
        <w:t>El requerimiento humano planteado en el cuadro anterior, se determina a partir de las estadísticas de los juzgados penales del país; no obstante, existen despachos que fueron abordados como parte del Proyecto de Mejora Penal y que a partir del trabajo de campo y análisis de estadísticas, otras variables cuantitativas y cualitativas,  se determina la necesidad de asignación de recursos ordinario para atender su carga de trabajo, por lo que adicional al cuadro anterior, es necesario considerar esos despachos que ya cuentan con un informe de la Dirección de Planificación que lo sustente, como lo son los siguientes juzgados penales:</w:t>
      </w:r>
    </w:p>
    <w:p w14:paraId="02CCDFC2" w14:textId="77777777" w:rsidR="00B15F7D" w:rsidRPr="00990FB6" w:rsidRDefault="00B15F7D" w:rsidP="00B15F7D">
      <w:pPr>
        <w:suppressAutoHyphens w:val="0"/>
        <w:ind w:left="851" w:right="1275" w:firstLine="709"/>
        <w:jc w:val="both"/>
        <w:rPr>
          <w:rFonts w:eastAsia="Calibri"/>
          <w:color w:val="000000"/>
          <w:sz w:val="22"/>
          <w:szCs w:val="22"/>
          <w:u w:color="000000"/>
          <w:lang w:eastAsia="en-US"/>
        </w:rPr>
      </w:pPr>
    </w:p>
    <w:p w14:paraId="08B0CBCE" w14:textId="77777777" w:rsidR="00B15F7D" w:rsidRPr="00990FB6" w:rsidRDefault="00B15F7D" w:rsidP="00B15F7D">
      <w:pPr>
        <w:numPr>
          <w:ilvl w:val="0"/>
          <w:numId w:val="135"/>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Juzgado Penal de Pococí, informe definitivo 1054-PLA-MI-2021, aprobado por Consejo Superior en sesión 97-2021 celebrada el 11 de noviembre de 2021, artículo XLV, en el que se recomienda una plaza de Técnica o Técnico Judicial; para cubrir la necesidad se asigna un permiso con goce de salario prorrogado hasta el mes de marzo del 2023, según oficio 1246-PLA-MI(PL)-</w:t>
      </w:r>
      <w:r w:rsidRPr="00990FB6">
        <w:rPr>
          <w:rFonts w:eastAsia="Calibri"/>
          <w:color w:val="000000"/>
          <w:sz w:val="22"/>
          <w:szCs w:val="22"/>
          <w:u w:color="000000"/>
          <w:lang w:val="es-CR" w:eastAsia="en-US"/>
        </w:rPr>
        <w:lastRenderedPageBreak/>
        <w:t>2022, aprobado por el Consejo Superior en sesión 112-2022 celebrada el 22 de diciembre del 2022, artículo LXXVI.</w:t>
      </w:r>
    </w:p>
    <w:p w14:paraId="01874568" w14:textId="77777777" w:rsidR="00B15F7D" w:rsidRPr="00990FB6" w:rsidRDefault="00B15F7D" w:rsidP="00B15F7D">
      <w:pPr>
        <w:suppressAutoHyphens w:val="0"/>
        <w:ind w:left="851" w:right="851" w:firstLine="709"/>
        <w:contextualSpacing/>
        <w:jc w:val="both"/>
        <w:rPr>
          <w:rFonts w:eastAsia="Calibri"/>
          <w:color w:val="000000"/>
          <w:sz w:val="22"/>
          <w:szCs w:val="22"/>
          <w:u w:color="000000"/>
          <w:lang w:val="es-CR" w:eastAsia="en-US"/>
        </w:rPr>
      </w:pPr>
    </w:p>
    <w:p w14:paraId="3D7E474B" w14:textId="77777777" w:rsidR="00B15F7D" w:rsidRPr="00990FB6" w:rsidRDefault="00B15F7D" w:rsidP="00B15F7D">
      <w:pPr>
        <w:numPr>
          <w:ilvl w:val="0"/>
          <w:numId w:val="135"/>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Juzgado Penal de Pavas, informe definitivo 769-PLA-MI(PL)-2022, aprobado por el Consejo Superior en sesión 93-2022 del 27 de octubre del 2022, artículo XLVII, en las propuestas de mejora se indica la necesidad de una quinta persona juzgadora y una persona técnica judicial (equipo de trabajo).</w:t>
      </w:r>
    </w:p>
    <w:p w14:paraId="3081CC63" w14:textId="77777777" w:rsidR="00B15F7D" w:rsidRPr="00990FB6" w:rsidRDefault="00B15F7D" w:rsidP="00B15F7D">
      <w:pPr>
        <w:suppressAutoHyphens w:val="0"/>
        <w:ind w:left="851" w:right="851" w:firstLine="709"/>
        <w:contextualSpacing/>
        <w:jc w:val="both"/>
        <w:rPr>
          <w:rFonts w:eastAsia="Calibri"/>
          <w:color w:val="000000"/>
          <w:sz w:val="22"/>
          <w:szCs w:val="22"/>
          <w:u w:color="000000"/>
          <w:lang w:val="es-CR" w:eastAsia="en-US"/>
        </w:rPr>
      </w:pPr>
    </w:p>
    <w:p w14:paraId="7E8ABC97" w14:textId="77777777" w:rsidR="00B15F7D" w:rsidRPr="00990FB6" w:rsidRDefault="00B15F7D" w:rsidP="00B15F7D">
      <w:pPr>
        <w:numPr>
          <w:ilvl w:val="0"/>
          <w:numId w:val="135"/>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Juzgado Penal de Desamparados, informe preliminar 1259-PLA-MI(PL)-2022 enviado a las oficinas, en el que se recomienda un escenario ideal de asignación de una plaza más de jueza o juez 3.</w:t>
      </w:r>
    </w:p>
    <w:p w14:paraId="2B71E9C3" w14:textId="77777777" w:rsidR="00B15F7D" w:rsidRPr="00990FB6" w:rsidRDefault="00B15F7D" w:rsidP="00B15F7D">
      <w:pPr>
        <w:suppressAutoHyphens w:val="0"/>
        <w:ind w:left="851" w:right="851" w:firstLine="709"/>
        <w:contextualSpacing/>
        <w:jc w:val="both"/>
        <w:rPr>
          <w:rFonts w:eastAsia="Calibri"/>
          <w:color w:val="000000"/>
          <w:sz w:val="22"/>
          <w:szCs w:val="22"/>
          <w:u w:color="000000"/>
          <w:lang w:val="es-CR" w:eastAsia="en-US"/>
        </w:rPr>
      </w:pPr>
    </w:p>
    <w:p w14:paraId="4C21AFE3" w14:textId="77777777" w:rsidR="00B15F7D" w:rsidRPr="00990FB6" w:rsidRDefault="00B15F7D" w:rsidP="00B15F7D">
      <w:pPr>
        <w:numPr>
          <w:ilvl w:val="0"/>
          <w:numId w:val="135"/>
        </w:numPr>
        <w:suppressAutoHyphens w:val="0"/>
        <w:ind w:left="851" w:right="1275"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Juzgado Penal de Goicoechea, informe definitivo 951-PLA-MI-2022, pendiente de aprobación por parte del órgano superior, en el que se recomienda la asignación de dos plazas de ordinarias de persona técnica judicial.</w:t>
      </w:r>
    </w:p>
    <w:p w14:paraId="43656D55" w14:textId="77777777" w:rsidR="00B15F7D" w:rsidRPr="00990FB6" w:rsidRDefault="00B15F7D" w:rsidP="00B15F7D">
      <w:pPr>
        <w:suppressAutoHyphens w:val="0"/>
        <w:ind w:left="851" w:right="1275" w:firstLine="709"/>
        <w:jc w:val="both"/>
        <w:rPr>
          <w:rFonts w:eastAsia="Calibri"/>
          <w:color w:val="000000"/>
          <w:sz w:val="22"/>
          <w:szCs w:val="22"/>
          <w:u w:color="000000"/>
          <w:lang w:val="es-CR" w:eastAsia="en-US"/>
        </w:rPr>
      </w:pPr>
    </w:p>
    <w:p w14:paraId="252035DD" w14:textId="77777777" w:rsidR="00B15F7D" w:rsidRPr="00990FB6" w:rsidRDefault="00B15F7D" w:rsidP="00B15F7D">
      <w:pPr>
        <w:suppressAutoHyphens w:val="0"/>
        <w:ind w:left="851" w:right="1275" w:firstLine="709"/>
        <w:jc w:val="both"/>
        <w:rPr>
          <w:rFonts w:eastAsia="Calibri"/>
          <w:color w:val="000000"/>
          <w:sz w:val="22"/>
          <w:szCs w:val="22"/>
          <w:u w:color="000000"/>
          <w:lang w:eastAsia="en-US"/>
        </w:rPr>
      </w:pPr>
      <w:r w:rsidRPr="00990FB6">
        <w:rPr>
          <w:rFonts w:eastAsia="Calibri"/>
          <w:color w:val="000000"/>
          <w:sz w:val="22"/>
          <w:szCs w:val="22"/>
          <w:u w:color="000000"/>
          <w:lang w:eastAsia="en-US"/>
        </w:rPr>
        <w:t>En línea con lo expuesto, a continuación, se muestra el resumen del requerimiento humano para los Juzgados Penales, detallando primero aquellos que cuentan con un informe técnico de la Dirección de Planificación, como parte del proyecto de Mejora del Proceso Penal, y que además ya fue aprobado por el Consejo Superior:</w:t>
      </w:r>
    </w:p>
    <w:p w14:paraId="5FBF2CE9" w14:textId="77777777" w:rsidR="00B15F7D" w:rsidRPr="00990FB6" w:rsidRDefault="00B15F7D" w:rsidP="00B15F7D">
      <w:pPr>
        <w:suppressAutoHyphens w:val="0"/>
        <w:ind w:left="851" w:right="851" w:firstLine="709"/>
        <w:jc w:val="both"/>
        <w:rPr>
          <w:rFonts w:eastAsia="Calibri"/>
          <w:color w:val="000000"/>
          <w:sz w:val="22"/>
          <w:szCs w:val="22"/>
          <w:u w:color="000000"/>
          <w:lang w:eastAsia="en-US"/>
        </w:rPr>
      </w:pPr>
    </w:p>
    <w:p w14:paraId="442AC761" w14:textId="77777777" w:rsidR="00B15F7D" w:rsidRPr="00990FB6" w:rsidRDefault="00B15F7D" w:rsidP="00B305D7">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2</w:t>
      </w:r>
      <w:r w:rsidRPr="00990FB6">
        <w:rPr>
          <w:b/>
          <w:bCs/>
          <w:color w:val="00000A"/>
          <w:sz w:val="22"/>
          <w:szCs w:val="22"/>
          <w:lang w:eastAsia="es-ES"/>
        </w:rPr>
        <w:fldChar w:fldCharType="end"/>
      </w:r>
    </w:p>
    <w:p w14:paraId="382F9AD2" w14:textId="1812D785" w:rsidR="00B15F7D" w:rsidRPr="00990FB6" w:rsidRDefault="00B15F7D" w:rsidP="00B15F7D">
      <w:pPr>
        <w:tabs>
          <w:tab w:val="left" w:pos="8364"/>
        </w:tabs>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Costo anual de requerimiento humano adicional para los juzgados penales que cuentan con un estudio técnico de la Dirección de Planificación aprobado por el Consejo Superior</w:t>
      </w:r>
    </w:p>
    <w:p w14:paraId="25E2C26A" w14:textId="77777777" w:rsidR="00B305D7" w:rsidRPr="00990FB6" w:rsidRDefault="00B305D7" w:rsidP="00B15F7D">
      <w:pPr>
        <w:tabs>
          <w:tab w:val="left" w:pos="8364"/>
        </w:tabs>
        <w:suppressAutoHyphens w:val="0"/>
        <w:ind w:left="851" w:right="851" w:firstLine="709"/>
        <w:contextualSpacing/>
        <w:jc w:val="both"/>
        <w:rPr>
          <w:rFonts w:eastAsia="Calibri"/>
          <w:b/>
          <w:bCs/>
          <w:sz w:val="22"/>
          <w:szCs w:val="22"/>
          <w:lang w:val="es-CR" w:eastAsia="en-US"/>
        </w:rPr>
      </w:pPr>
    </w:p>
    <w:tbl>
      <w:tblPr>
        <w:tblW w:w="9501" w:type="dxa"/>
        <w:jc w:val="center"/>
        <w:tblCellMar>
          <w:left w:w="70" w:type="dxa"/>
          <w:right w:w="70" w:type="dxa"/>
        </w:tblCellMar>
        <w:tblLook w:val="04A0" w:firstRow="1" w:lastRow="0" w:firstColumn="1" w:lastColumn="0" w:noHBand="0" w:noVBand="1"/>
      </w:tblPr>
      <w:tblGrid>
        <w:gridCol w:w="2171"/>
        <w:gridCol w:w="729"/>
        <w:gridCol w:w="1045"/>
        <w:gridCol w:w="1155"/>
        <w:gridCol w:w="1566"/>
        <w:gridCol w:w="3132"/>
      </w:tblGrid>
      <w:tr w:rsidR="00B15F7D" w:rsidRPr="00990FB6" w14:paraId="0FD507D0" w14:textId="77777777" w:rsidTr="000A0C22">
        <w:trPr>
          <w:trHeight w:val="507"/>
          <w:jc w:val="center"/>
        </w:trPr>
        <w:tc>
          <w:tcPr>
            <w:tcW w:w="2171" w:type="dxa"/>
            <w:tcBorders>
              <w:top w:val="single" w:sz="4" w:space="0" w:color="auto"/>
              <w:left w:val="single" w:sz="4" w:space="0" w:color="auto"/>
              <w:bottom w:val="single" w:sz="4" w:space="0" w:color="auto"/>
              <w:right w:val="single" w:sz="4" w:space="0" w:color="auto"/>
            </w:tcBorders>
            <w:shd w:val="clear" w:color="000000" w:fill="0B64A0"/>
            <w:vAlign w:val="center"/>
            <w:hideMark/>
          </w:tcPr>
          <w:p w14:paraId="1553482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Despacho </w:t>
            </w:r>
          </w:p>
        </w:tc>
        <w:tc>
          <w:tcPr>
            <w:tcW w:w="729" w:type="dxa"/>
            <w:tcBorders>
              <w:top w:val="single" w:sz="4" w:space="0" w:color="auto"/>
              <w:left w:val="nil"/>
              <w:bottom w:val="single" w:sz="4" w:space="0" w:color="auto"/>
              <w:right w:val="single" w:sz="4" w:space="0" w:color="auto"/>
            </w:tcBorders>
            <w:shd w:val="clear" w:color="000000" w:fill="0B64A0"/>
            <w:vAlign w:val="center"/>
            <w:hideMark/>
          </w:tcPr>
          <w:p w14:paraId="3704B0A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 o Jueza 3</w:t>
            </w:r>
          </w:p>
        </w:tc>
        <w:tc>
          <w:tcPr>
            <w:tcW w:w="907" w:type="dxa"/>
            <w:tcBorders>
              <w:top w:val="single" w:sz="4" w:space="0" w:color="auto"/>
              <w:left w:val="nil"/>
              <w:bottom w:val="single" w:sz="4" w:space="0" w:color="auto"/>
              <w:right w:val="single" w:sz="4" w:space="0" w:color="auto"/>
            </w:tcBorders>
            <w:shd w:val="clear" w:color="000000" w:fill="0B64A0"/>
            <w:vAlign w:val="center"/>
            <w:hideMark/>
          </w:tcPr>
          <w:p w14:paraId="49FABDE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996" w:type="dxa"/>
            <w:tcBorders>
              <w:top w:val="single" w:sz="4" w:space="0" w:color="auto"/>
              <w:left w:val="nil"/>
              <w:bottom w:val="single" w:sz="4" w:space="0" w:color="auto"/>
              <w:right w:val="single" w:sz="4" w:space="0" w:color="auto"/>
            </w:tcBorders>
            <w:shd w:val="clear" w:color="000000" w:fill="0B64A0"/>
            <w:vAlign w:val="center"/>
            <w:hideMark/>
          </w:tcPr>
          <w:p w14:paraId="3353433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Total de plazas requeridas</w:t>
            </w:r>
          </w:p>
        </w:tc>
        <w:tc>
          <w:tcPr>
            <w:tcW w:w="1566" w:type="dxa"/>
            <w:tcBorders>
              <w:top w:val="single" w:sz="4" w:space="0" w:color="auto"/>
              <w:left w:val="nil"/>
              <w:bottom w:val="single" w:sz="4" w:space="0" w:color="auto"/>
              <w:right w:val="single" w:sz="4" w:space="0" w:color="auto"/>
            </w:tcBorders>
            <w:shd w:val="clear" w:color="000000" w:fill="0B64A0"/>
            <w:vAlign w:val="center"/>
            <w:hideMark/>
          </w:tcPr>
          <w:p w14:paraId="1C45A29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por anual puesto </w:t>
            </w:r>
          </w:p>
        </w:tc>
        <w:tc>
          <w:tcPr>
            <w:tcW w:w="3132" w:type="dxa"/>
            <w:tcBorders>
              <w:top w:val="single" w:sz="4" w:space="0" w:color="auto"/>
              <w:left w:val="nil"/>
              <w:bottom w:val="single" w:sz="4" w:space="0" w:color="auto"/>
              <w:right w:val="single" w:sz="4" w:space="0" w:color="auto"/>
            </w:tcBorders>
            <w:shd w:val="clear" w:color="000000" w:fill="0B64A0"/>
            <w:vAlign w:val="center"/>
            <w:hideMark/>
          </w:tcPr>
          <w:p w14:paraId="367A608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Informe</w:t>
            </w:r>
          </w:p>
        </w:tc>
      </w:tr>
      <w:tr w:rsidR="00B15F7D" w:rsidRPr="00990FB6" w14:paraId="12883A95" w14:textId="77777777" w:rsidTr="000A0C22">
        <w:trPr>
          <w:trHeight w:val="186"/>
          <w:jc w:val="center"/>
        </w:trPr>
        <w:tc>
          <w:tcPr>
            <w:tcW w:w="2171" w:type="dxa"/>
            <w:tcBorders>
              <w:top w:val="nil"/>
              <w:left w:val="single" w:sz="4" w:space="0" w:color="auto"/>
              <w:bottom w:val="single" w:sz="4" w:space="0" w:color="auto"/>
              <w:right w:val="single" w:sz="4" w:space="0" w:color="auto"/>
            </w:tcBorders>
            <w:shd w:val="clear" w:color="000000" w:fill="FFFFFF"/>
            <w:noWrap/>
            <w:vAlign w:val="bottom"/>
            <w:hideMark/>
          </w:tcPr>
          <w:p w14:paraId="7A996CF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Garabito</w:t>
            </w:r>
          </w:p>
        </w:tc>
        <w:tc>
          <w:tcPr>
            <w:tcW w:w="729" w:type="dxa"/>
            <w:tcBorders>
              <w:top w:val="nil"/>
              <w:left w:val="nil"/>
              <w:bottom w:val="single" w:sz="4" w:space="0" w:color="auto"/>
              <w:right w:val="single" w:sz="4" w:space="0" w:color="auto"/>
            </w:tcBorders>
            <w:shd w:val="clear" w:color="000000" w:fill="FFFFFF"/>
            <w:noWrap/>
            <w:vAlign w:val="bottom"/>
            <w:hideMark/>
          </w:tcPr>
          <w:p w14:paraId="6AF5EE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07" w:type="dxa"/>
            <w:tcBorders>
              <w:top w:val="nil"/>
              <w:left w:val="nil"/>
              <w:bottom w:val="single" w:sz="4" w:space="0" w:color="auto"/>
              <w:right w:val="single" w:sz="4" w:space="0" w:color="auto"/>
            </w:tcBorders>
            <w:shd w:val="clear" w:color="000000" w:fill="FFFFFF"/>
            <w:noWrap/>
            <w:vAlign w:val="bottom"/>
            <w:hideMark/>
          </w:tcPr>
          <w:p w14:paraId="77C2528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996" w:type="dxa"/>
            <w:tcBorders>
              <w:top w:val="nil"/>
              <w:left w:val="nil"/>
              <w:bottom w:val="single" w:sz="4" w:space="0" w:color="auto"/>
              <w:right w:val="single" w:sz="4" w:space="0" w:color="auto"/>
            </w:tcBorders>
            <w:shd w:val="clear" w:color="000000" w:fill="FFFFFF"/>
            <w:noWrap/>
            <w:vAlign w:val="bottom"/>
            <w:hideMark/>
          </w:tcPr>
          <w:p w14:paraId="74E535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566" w:type="dxa"/>
            <w:tcBorders>
              <w:top w:val="nil"/>
              <w:left w:val="nil"/>
              <w:bottom w:val="single" w:sz="4" w:space="0" w:color="auto"/>
              <w:right w:val="single" w:sz="4" w:space="0" w:color="auto"/>
            </w:tcBorders>
            <w:shd w:val="clear" w:color="000000" w:fill="FFFFFF"/>
            <w:vAlign w:val="center"/>
            <w:hideMark/>
          </w:tcPr>
          <w:p w14:paraId="18480017"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 xml:space="preserve"> ₡        15 945 000,00 </w:t>
            </w:r>
          </w:p>
        </w:tc>
        <w:tc>
          <w:tcPr>
            <w:tcW w:w="3132" w:type="dxa"/>
            <w:tcBorders>
              <w:top w:val="nil"/>
              <w:left w:val="nil"/>
              <w:bottom w:val="single" w:sz="4" w:space="0" w:color="auto"/>
              <w:right w:val="single" w:sz="4" w:space="0" w:color="auto"/>
            </w:tcBorders>
            <w:shd w:val="clear" w:color="000000" w:fill="FFFFFF"/>
            <w:noWrap/>
            <w:vAlign w:val="bottom"/>
            <w:hideMark/>
          </w:tcPr>
          <w:p w14:paraId="1D3843A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2045-PLA-MI-2020 </w:t>
            </w:r>
          </w:p>
        </w:tc>
      </w:tr>
      <w:tr w:rsidR="00B15F7D" w:rsidRPr="00990FB6" w14:paraId="00C09663" w14:textId="77777777" w:rsidTr="000A0C22">
        <w:trPr>
          <w:trHeight w:val="186"/>
          <w:jc w:val="center"/>
        </w:trPr>
        <w:tc>
          <w:tcPr>
            <w:tcW w:w="2171" w:type="dxa"/>
            <w:tcBorders>
              <w:top w:val="nil"/>
              <w:left w:val="single" w:sz="4" w:space="0" w:color="auto"/>
              <w:bottom w:val="single" w:sz="4" w:space="0" w:color="auto"/>
              <w:right w:val="single" w:sz="4" w:space="0" w:color="auto"/>
            </w:tcBorders>
            <w:shd w:val="clear" w:color="000000" w:fill="FFFFFF"/>
            <w:noWrap/>
            <w:vAlign w:val="bottom"/>
            <w:hideMark/>
          </w:tcPr>
          <w:p w14:paraId="0F3C229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Guápiles</w:t>
            </w:r>
          </w:p>
        </w:tc>
        <w:tc>
          <w:tcPr>
            <w:tcW w:w="729" w:type="dxa"/>
            <w:tcBorders>
              <w:top w:val="nil"/>
              <w:left w:val="nil"/>
              <w:bottom w:val="single" w:sz="4" w:space="0" w:color="auto"/>
              <w:right w:val="single" w:sz="4" w:space="0" w:color="auto"/>
            </w:tcBorders>
            <w:shd w:val="clear" w:color="000000" w:fill="FFFFFF"/>
            <w:noWrap/>
            <w:vAlign w:val="bottom"/>
            <w:hideMark/>
          </w:tcPr>
          <w:p w14:paraId="1108117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07" w:type="dxa"/>
            <w:tcBorders>
              <w:top w:val="nil"/>
              <w:left w:val="nil"/>
              <w:bottom w:val="single" w:sz="4" w:space="0" w:color="auto"/>
              <w:right w:val="single" w:sz="4" w:space="0" w:color="auto"/>
            </w:tcBorders>
            <w:shd w:val="clear" w:color="000000" w:fill="FFFFFF"/>
            <w:noWrap/>
            <w:vAlign w:val="bottom"/>
            <w:hideMark/>
          </w:tcPr>
          <w:p w14:paraId="7D92B9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996" w:type="dxa"/>
            <w:tcBorders>
              <w:top w:val="nil"/>
              <w:left w:val="nil"/>
              <w:bottom w:val="single" w:sz="4" w:space="0" w:color="auto"/>
              <w:right w:val="single" w:sz="4" w:space="0" w:color="auto"/>
            </w:tcBorders>
            <w:shd w:val="clear" w:color="000000" w:fill="FFFFFF"/>
            <w:noWrap/>
            <w:vAlign w:val="bottom"/>
            <w:hideMark/>
          </w:tcPr>
          <w:p w14:paraId="00E16BF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566" w:type="dxa"/>
            <w:tcBorders>
              <w:top w:val="nil"/>
              <w:left w:val="nil"/>
              <w:bottom w:val="single" w:sz="4" w:space="0" w:color="auto"/>
              <w:right w:val="single" w:sz="4" w:space="0" w:color="auto"/>
            </w:tcBorders>
            <w:shd w:val="clear" w:color="000000" w:fill="FFFFFF"/>
            <w:vAlign w:val="center"/>
            <w:hideMark/>
          </w:tcPr>
          <w:p w14:paraId="62F78785"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 xml:space="preserve"> ₡        15 945 000,00 </w:t>
            </w:r>
          </w:p>
        </w:tc>
        <w:tc>
          <w:tcPr>
            <w:tcW w:w="3132" w:type="dxa"/>
            <w:tcBorders>
              <w:top w:val="nil"/>
              <w:left w:val="nil"/>
              <w:bottom w:val="single" w:sz="4" w:space="0" w:color="auto"/>
              <w:right w:val="single" w:sz="4" w:space="0" w:color="auto"/>
            </w:tcBorders>
            <w:shd w:val="clear" w:color="000000" w:fill="FFFFFF"/>
            <w:noWrap/>
            <w:vAlign w:val="bottom"/>
            <w:hideMark/>
          </w:tcPr>
          <w:p w14:paraId="4D16DA4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1054-PLA-MI-2021</w:t>
            </w:r>
          </w:p>
        </w:tc>
      </w:tr>
      <w:tr w:rsidR="00B15F7D" w:rsidRPr="00990FB6" w14:paraId="50108AEF" w14:textId="77777777" w:rsidTr="000A0C22">
        <w:trPr>
          <w:trHeight w:val="194"/>
          <w:jc w:val="center"/>
        </w:trPr>
        <w:tc>
          <w:tcPr>
            <w:tcW w:w="2171" w:type="dxa"/>
            <w:tcBorders>
              <w:top w:val="nil"/>
              <w:left w:val="single" w:sz="4" w:space="0" w:color="auto"/>
              <w:bottom w:val="single" w:sz="4" w:space="0" w:color="auto"/>
              <w:right w:val="single" w:sz="4" w:space="0" w:color="auto"/>
            </w:tcBorders>
            <w:shd w:val="clear" w:color="000000" w:fill="FFFFFF"/>
            <w:noWrap/>
            <w:vAlign w:val="bottom"/>
            <w:hideMark/>
          </w:tcPr>
          <w:p w14:paraId="7755F71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Pavas</w:t>
            </w:r>
          </w:p>
        </w:tc>
        <w:tc>
          <w:tcPr>
            <w:tcW w:w="729" w:type="dxa"/>
            <w:tcBorders>
              <w:top w:val="nil"/>
              <w:left w:val="nil"/>
              <w:bottom w:val="single" w:sz="4" w:space="0" w:color="auto"/>
              <w:right w:val="single" w:sz="4" w:space="0" w:color="auto"/>
            </w:tcBorders>
            <w:shd w:val="clear" w:color="000000" w:fill="FFFFFF"/>
            <w:noWrap/>
            <w:vAlign w:val="bottom"/>
            <w:hideMark/>
          </w:tcPr>
          <w:p w14:paraId="37F5A7E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907" w:type="dxa"/>
            <w:tcBorders>
              <w:top w:val="nil"/>
              <w:left w:val="nil"/>
              <w:bottom w:val="single" w:sz="4" w:space="0" w:color="auto"/>
              <w:right w:val="single" w:sz="4" w:space="0" w:color="auto"/>
            </w:tcBorders>
            <w:shd w:val="clear" w:color="000000" w:fill="FFFFFF"/>
            <w:noWrap/>
            <w:vAlign w:val="bottom"/>
            <w:hideMark/>
          </w:tcPr>
          <w:p w14:paraId="6637B0F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996" w:type="dxa"/>
            <w:tcBorders>
              <w:top w:val="nil"/>
              <w:left w:val="nil"/>
              <w:bottom w:val="single" w:sz="4" w:space="0" w:color="auto"/>
              <w:right w:val="single" w:sz="4" w:space="0" w:color="auto"/>
            </w:tcBorders>
            <w:shd w:val="clear" w:color="000000" w:fill="FFFFFF"/>
            <w:noWrap/>
            <w:vAlign w:val="bottom"/>
            <w:hideMark/>
          </w:tcPr>
          <w:p w14:paraId="018D08B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566" w:type="dxa"/>
            <w:tcBorders>
              <w:top w:val="nil"/>
              <w:left w:val="nil"/>
              <w:bottom w:val="single" w:sz="4" w:space="0" w:color="auto"/>
              <w:right w:val="single" w:sz="4" w:space="0" w:color="auto"/>
            </w:tcBorders>
            <w:shd w:val="clear" w:color="000000" w:fill="FFFFFF"/>
            <w:vAlign w:val="center"/>
            <w:hideMark/>
          </w:tcPr>
          <w:p w14:paraId="1A9325AD"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 xml:space="preserve"> ₡        73 092 000,00 </w:t>
            </w:r>
          </w:p>
        </w:tc>
        <w:tc>
          <w:tcPr>
            <w:tcW w:w="3132" w:type="dxa"/>
            <w:tcBorders>
              <w:top w:val="nil"/>
              <w:left w:val="nil"/>
              <w:bottom w:val="single" w:sz="4" w:space="0" w:color="auto"/>
              <w:right w:val="single" w:sz="4" w:space="0" w:color="auto"/>
            </w:tcBorders>
            <w:shd w:val="clear" w:color="000000" w:fill="FFFFFF"/>
            <w:noWrap/>
            <w:vAlign w:val="bottom"/>
            <w:hideMark/>
          </w:tcPr>
          <w:p w14:paraId="1A191A3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769-PLA-MI-2022</w:t>
            </w:r>
          </w:p>
        </w:tc>
      </w:tr>
      <w:tr w:rsidR="00B15F7D" w:rsidRPr="00990FB6" w14:paraId="5EB66597" w14:textId="77777777" w:rsidTr="000A0C22">
        <w:trPr>
          <w:trHeight w:val="194"/>
          <w:jc w:val="center"/>
        </w:trPr>
        <w:tc>
          <w:tcPr>
            <w:tcW w:w="2171"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14:paraId="25AEE32E" w14:textId="77777777" w:rsidR="00B15F7D" w:rsidRPr="00990FB6" w:rsidRDefault="00B15F7D" w:rsidP="00B15F7D">
            <w:pPr>
              <w:suppressAutoHyphens w:val="0"/>
              <w:rPr>
                <w:b/>
                <w:bCs/>
                <w:color w:val="000000"/>
                <w:sz w:val="22"/>
                <w:szCs w:val="22"/>
                <w:lang w:val="es-CR" w:eastAsia="es-CR"/>
              </w:rPr>
            </w:pPr>
            <w:r w:rsidRPr="00990FB6">
              <w:rPr>
                <w:b/>
                <w:bCs/>
                <w:color w:val="000000"/>
                <w:sz w:val="22"/>
                <w:szCs w:val="22"/>
                <w:lang w:val="es-CR" w:eastAsia="es-CR"/>
              </w:rPr>
              <w:t>TOTALES</w:t>
            </w:r>
          </w:p>
        </w:tc>
        <w:tc>
          <w:tcPr>
            <w:tcW w:w="729" w:type="dxa"/>
            <w:tcBorders>
              <w:top w:val="single" w:sz="8" w:space="0" w:color="auto"/>
              <w:left w:val="nil"/>
              <w:bottom w:val="single" w:sz="8" w:space="0" w:color="auto"/>
              <w:right w:val="single" w:sz="4" w:space="0" w:color="auto"/>
            </w:tcBorders>
            <w:shd w:val="clear" w:color="000000" w:fill="FFFFFF"/>
            <w:noWrap/>
            <w:vAlign w:val="center"/>
            <w:hideMark/>
          </w:tcPr>
          <w:p w14:paraId="414E308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1</w:t>
            </w:r>
          </w:p>
        </w:tc>
        <w:tc>
          <w:tcPr>
            <w:tcW w:w="907" w:type="dxa"/>
            <w:tcBorders>
              <w:top w:val="single" w:sz="8" w:space="0" w:color="auto"/>
              <w:left w:val="nil"/>
              <w:bottom w:val="single" w:sz="8" w:space="0" w:color="auto"/>
              <w:right w:val="single" w:sz="4" w:space="0" w:color="auto"/>
            </w:tcBorders>
            <w:shd w:val="clear" w:color="000000" w:fill="FFFFFF"/>
            <w:noWrap/>
            <w:vAlign w:val="center"/>
            <w:hideMark/>
          </w:tcPr>
          <w:p w14:paraId="6FA89C8F"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3</w:t>
            </w:r>
          </w:p>
        </w:tc>
        <w:tc>
          <w:tcPr>
            <w:tcW w:w="996" w:type="dxa"/>
            <w:tcBorders>
              <w:top w:val="single" w:sz="8" w:space="0" w:color="auto"/>
              <w:left w:val="nil"/>
              <w:bottom w:val="single" w:sz="8" w:space="0" w:color="auto"/>
              <w:right w:val="single" w:sz="4" w:space="0" w:color="auto"/>
            </w:tcBorders>
            <w:shd w:val="clear" w:color="000000" w:fill="FFFFFF"/>
            <w:noWrap/>
            <w:vAlign w:val="center"/>
            <w:hideMark/>
          </w:tcPr>
          <w:p w14:paraId="328AFAE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4</w:t>
            </w:r>
          </w:p>
        </w:tc>
        <w:tc>
          <w:tcPr>
            <w:tcW w:w="1566" w:type="dxa"/>
            <w:tcBorders>
              <w:top w:val="single" w:sz="8" w:space="0" w:color="auto"/>
              <w:left w:val="nil"/>
              <w:bottom w:val="single" w:sz="8" w:space="0" w:color="auto"/>
              <w:right w:val="single" w:sz="4" w:space="0" w:color="auto"/>
            </w:tcBorders>
            <w:shd w:val="clear" w:color="000000" w:fill="FFFFFF"/>
            <w:noWrap/>
            <w:vAlign w:val="bottom"/>
            <w:hideMark/>
          </w:tcPr>
          <w:p w14:paraId="18C871EC" w14:textId="77777777" w:rsidR="00B15F7D" w:rsidRPr="00990FB6" w:rsidRDefault="00B15F7D" w:rsidP="00B15F7D">
            <w:pPr>
              <w:suppressAutoHyphens w:val="0"/>
              <w:rPr>
                <w:b/>
                <w:bCs/>
                <w:color w:val="000000"/>
                <w:sz w:val="22"/>
                <w:szCs w:val="22"/>
                <w:lang w:val="es-CR" w:eastAsia="es-CR"/>
              </w:rPr>
            </w:pPr>
            <w:r w:rsidRPr="00990FB6">
              <w:rPr>
                <w:b/>
                <w:bCs/>
                <w:color w:val="000000"/>
                <w:sz w:val="22"/>
                <w:szCs w:val="22"/>
                <w:lang w:val="es-CR" w:eastAsia="en-US"/>
              </w:rPr>
              <w:t xml:space="preserve"> ₡      104 982 000,00 </w:t>
            </w:r>
          </w:p>
        </w:tc>
        <w:tc>
          <w:tcPr>
            <w:tcW w:w="3132" w:type="dxa"/>
            <w:tcBorders>
              <w:top w:val="single" w:sz="8" w:space="0" w:color="auto"/>
              <w:left w:val="nil"/>
              <w:bottom w:val="single" w:sz="8" w:space="0" w:color="auto"/>
              <w:right w:val="single" w:sz="8" w:space="0" w:color="auto"/>
            </w:tcBorders>
            <w:shd w:val="clear" w:color="000000" w:fill="FFFFFF"/>
            <w:noWrap/>
            <w:vAlign w:val="bottom"/>
            <w:hideMark/>
          </w:tcPr>
          <w:p w14:paraId="5CC723D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w:t>
            </w:r>
          </w:p>
        </w:tc>
      </w:tr>
    </w:tbl>
    <w:p w14:paraId="16642913" w14:textId="77777777" w:rsidR="00B15F7D" w:rsidRPr="00990FB6" w:rsidRDefault="00B15F7D" w:rsidP="00B15F7D">
      <w:pPr>
        <w:suppressAutoHyphens w:val="0"/>
        <w:ind w:right="-1"/>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1B8881DD" w14:textId="77777777" w:rsidR="00B15F7D" w:rsidRPr="00990FB6" w:rsidRDefault="00B15F7D" w:rsidP="00B15F7D">
      <w:pPr>
        <w:suppressAutoHyphens w:val="0"/>
        <w:ind w:left="851" w:right="851" w:firstLine="709"/>
        <w:jc w:val="both"/>
        <w:rPr>
          <w:rFonts w:eastAsia="Calibri"/>
          <w:color w:val="000000"/>
          <w:sz w:val="22"/>
          <w:szCs w:val="22"/>
          <w:u w:color="000000"/>
          <w:lang w:eastAsia="en-US"/>
        </w:rPr>
      </w:pPr>
    </w:p>
    <w:p w14:paraId="5EEACB75" w14:textId="77777777" w:rsidR="00B15F7D" w:rsidRPr="00990FB6" w:rsidRDefault="00B15F7D" w:rsidP="00B15F7D">
      <w:pPr>
        <w:suppressAutoHyphens w:val="0"/>
        <w:ind w:left="851" w:right="1275" w:firstLine="709"/>
        <w:jc w:val="both"/>
        <w:rPr>
          <w:rFonts w:eastAsia="Calibri"/>
          <w:sz w:val="22"/>
          <w:szCs w:val="22"/>
          <w:lang w:val="es-CR" w:eastAsia="en-US"/>
        </w:rPr>
      </w:pPr>
      <w:r w:rsidRPr="00990FB6">
        <w:rPr>
          <w:rFonts w:eastAsia="Calibri"/>
          <w:sz w:val="22"/>
          <w:szCs w:val="22"/>
          <w:lang w:val="es-CR" w:eastAsia="en-US"/>
        </w:rPr>
        <w:t xml:space="preserve">En el cuadro anterior, se detallan los informes técnicos realizados por personal profesional de la Dirección de Planificación, revisados y aprobados por el Consejo Superior, donde se identifica la necesidad de requerimiento humano y como se puede observar, se tiene la necesidad de incrementar en al menos una persona técnica judicial para esos juzgados y en el Juzgado Penal de Pavas una </w:t>
      </w:r>
      <w:r w:rsidRPr="00990FB6">
        <w:rPr>
          <w:rFonts w:eastAsia="Calibri"/>
          <w:sz w:val="22"/>
          <w:szCs w:val="22"/>
          <w:lang w:val="es-CR" w:eastAsia="en-US"/>
        </w:rPr>
        <w:lastRenderedPageBreak/>
        <w:t xml:space="preserve">plaza de persona juzgadora, con el fin de cumplir con la estructura mínima requerida para su correcto funcionamiento, por lo que se considera indispensable ese apoyo de forma permanente, lo cual provocaría un costo total anual aproximado de  ₡ 104 982 000,00 para esas oficinas; sin embargo, la necesidad de los despachos de Garabito y Guápiles ha sido cubierta a través de dos permisos con goce de salario bajo el artículo 44,  por lo que el incremento en el costo de la oficina debería ser mínimo a la hora de realizarse el cambio de forma temporal a permanente, en comparación de crear plazas ordinarias completamente nuevas. </w:t>
      </w:r>
    </w:p>
    <w:p w14:paraId="708C2EFA" w14:textId="77777777" w:rsidR="00B15F7D" w:rsidRPr="00990FB6" w:rsidRDefault="00B15F7D" w:rsidP="00B15F7D">
      <w:pPr>
        <w:suppressAutoHyphens w:val="0"/>
        <w:ind w:left="851" w:right="1275" w:firstLine="709"/>
        <w:jc w:val="both"/>
        <w:rPr>
          <w:rFonts w:eastAsia="Calibri"/>
          <w:sz w:val="22"/>
          <w:szCs w:val="22"/>
          <w:lang w:val="es-CR" w:eastAsia="en-US"/>
        </w:rPr>
      </w:pPr>
    </w:p>
    <w:p w14:paraId="4CF3271A" w14:textId="77777777" w:rsidR="00B15F7D" w:rsidRPr="00990FB6" w:rsidRDefault="00B15F7D" w:rsidP="00B15F7D">
      <w:pPr>
        <w:suppressAutoHyphens w:val="0"/>
        <w:ind w:left="851" w:right="1275" w:firstLine="709"/>
        <w:jc w:val="both"/>
        <w:rPr>
          <w:rFonts w:eastAsia="Calibri"/>
          <w:sz w:val="22"/>
          <w:szCs w:val="22"/>
          <w:lang w:val="es-CR" w:eastAsia="en-US"/>
        </w:rPr>
      </w:pPr>
      <w:r w:rsidRPr="00990FB6">
        <w:rPr>
          <w:rFonts w:eastAsia="Calibri"/>
          <w:sz w:val="22"/>
          <w:szCs w:val="22"/>
          <w:lang w:val="es-CR" w:eastAsia="en-US"/>
        </w:rPr>
        <w:t>Es importante aclarar que, dentro de la cantidad total de plazas faltantes se incluye una plaza de técnica o técnico judicial para la localidad de Pavas y si bien es cierto, en estos despachos existe una plaza de Auxiliar de Servicios Generales, la cual se podría recalificar a persona técnica judicial 2; sin embargo, para el presente informe se desconocen las posibilidades presupuestarias para las modificaciones del contrato de limpieza, por lo que se incluye la necesidad de personal adicional como la creación de una plaza nueva.</w:t>
      </w:r>
    </w:p>
    <w:p w14:paraId="272FFB12" w14:textId="77777777" w:rsidR="00B15F7D" w:rsidRPr="00990FB6" w:rsidRDefault="00B15F7D" w:rsidP="00B15F7D">
      <w:pPr>
        <w:suppressAutoHyphens w:val="0"/>
        <w:ind w:left="851" w:right="851" w:firstLine="709"/>
        <w:jc w:val="both"/>
        <w:rPr>
          <w:rFonts w:eastAsia="Calibri"/>
          <w:sz w:val="22"/>
          <w:szCs w:val="22"/>
          <w:lang w:val="es-CR" w:eastAsia="en-US"/>
        </w:rPr>
      </w:pPr>
    </w:p>
    <w:p w14:paraId="76BFA738" w14:textId="77777777" w:rsidR="00B15F7D" w:rsidRPr="00990FB6" w:rsidRDefault="00B15F7D" w:rsidP="00B15F7D">
      <w:pPr>
        <w:suppressAutoHyphens w:val="0"/>
        <w:ind w:left="851" w:right="1275" w:firstLine="709"/>
        <w:jc w:val="both"/>
        <w:rPr>
          <w:rFonts w:eastAsia="Calibri"/>
          <w:sz w:val="22"/>
          <w:szCs w:val="22"/>
          <w:lang w:val="es-CR" w:eastAsia="en-US"/>
        </w:rPr>
      </w:pPr>
      <w:r w:rsidRPr="00990FB6">
        <w:rPr>
          <w:rFonts w:eastAsia="Calibri"/>
          <w:sz w:val="22"/>
          <w:szCs w:val="22"/>
          <w:lang w:val="es-CR" w:eastAsia="en-US"/>
        </w:rPr>
        <w:t>Continuando con los despachos abordados como parte del proyecto del Modelo Penal, seguidamente se muestran los despachos en los cuales se determinó una necesidad de recurso adicional, pero que se encuentra en etapa de consulta para posteriormente ser remitidos al órgano superior para su aprobación o que ya fueron enviados y se encuentran a la espera de ser conocidos por el órgano superior:</w:t>
      </w:r>
    </w:p>
    <w:p w14:paraId="317F0CB3" w14:textId="77777777" w:rsidR="00B15F7D" w:rsidRPr="00990FB6" w:rsidRDefault="00B15F7D" w:rsidP="00B15F7D">
      <w:pPr>
        <w:suppressAutoHyphens w:val="0"/>
        <w:ind w:left="851" w:right="851" w:firstLine="709"/>
        <w:jc w:val="both"/>
        <w:rPr>
          <w:rFonts w:eastAsia="Calibri"/>
          <w:sz w:val="22"/>
          <w:szCs w:val="22"/>
          <w:lang w:val="es-CR" w:eastAsia="en-US"/>
        </w:rPr>
      </w:pPr>
    </w:p>
    <w:p w14:paraId="72170485" w14:textId="77777777" w:rsidR="00B15F7D" w:rsidRPr="00990FB6" w:rsidRDefault="00B15F7D" w:rsidP="00B305D7">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3</w:t>
      </w:r>
      <w:r w:rsidRPr="00990FB6">
        <w:rPr>
          <w:b/>
          <w:bCs/>
          <w:color w:val="00000A"/>
          <w:sz w:val="22"/>
          <w:szCs w:val="22"/>
          <w:lang w:eastAsia="es-ES"/>
        </w:rPr>
        <w:fldChar w:fldCharType="end"/>
      </w:r>
    </w:p>
    <w:p w14:paraId="781545D1" w14:textId="77777777" w:rsidR="00B15F7D" w:rsidRPr="00990FB6" w:rsidRDefault="00B15F7D" w:rsidP="00B15F7D">
      <w:pPr>
        <w:tabs>
          <w:tab w:val="left" w:pos="8364"/>
        </w:tabs>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Costo anual de requerimiento humano adicional para los juzgados penales que tienen un informe técnico pendiente de aprobación por el Consejo Superior</w:t>
      </w:r>
    </w:p>
    <w:p w14:paraId="63246B85" w14:textId="77777777" w:rsidR="00B15F7D" w:rsidRPr="00990FB6" w:rsidRDefault="00B15F7D" w:rsidP="00B15F7D">
      <w:pPr>
        <w:suppressAutoHyphens w:val="0"/>
        <w:ind w:right="-1"/>
        <w:jc w:val="both"/>
        <w:rPr>
          <w:rFonts w:eastAsia="Calibri"/>
          <w:color w:val="000000"/>
          <w:sz w:val="22"/>
          <w:szCs w:val="22"/>
          <w:u w:color="000000"/>
          <w:lang w:eastAsia="en-US"/>
        </w:rPr>
      </w:pPr>
    </w:p>
    <w:tbl>
      <w:tblPr>
        <w:tblW w:w="5623" w:type="pct"/>
        <w:jc w:val="center"/>
        <w:tblLayout w:type="fixed"/>
        <w:tblCellMar>
          <w:left w:w="70" w:type="dxa"/>
          <w:right w:w="70" w:type="dxa"/>
        </w:tblCellMar>
        <w:tblLook w:val="04A0" w:firstRow="1" w:lastRow="0" w:firstColumn="1" w:lastColumn="0" w:noHBand="0" w:noVBand="1"/>
      </w:tblPr>
      <w:tblGrid>
        <w:gridCol w:w="2269"/>
        <w:gridCol w:w="698"/>
        <w:gridCol w:w="747"/>
        <w:gridCol w:w="683"/>
        <w:gridCol w:w="1275"/>
        <w:gridCol w:w="1134"/>
        <w:gridCol w:w="1275"/>
        <w:gridCol w:w="2269"/>
      </w:tblGrid>
      <w:tr w:rsidR="00B15F7D" w:rsidRPr="00990FB6" w14:paraId="53A41372" w14:textId="77777777" w:rsidTr="000A0C22">
        <w:trPr>
          <w:trHeight w:val="480"/>
          <w:jc w:val="center"/>
        </w:trPr>
        <w:tc>
          <w:tcPr>
            <w:tcW w:w="1096" w:type="pct"/>
            <w:vMerge w:val="restart"/>
            <w:tcBorders>
              <w:top w:val="single" w:sz="8" w:space="0" w:color="E7E6E6"/>
              <w:left w:val="single" w:sz="8" w:space="0" w:color="E7E6E6"/>
              <w:bottom w:val="single" w:sz="8" w:space="0" w:color="E7E6E6"/>
              <w:right w:val="single" w:sz="8" w:space="0" w:color="E7E6E6"/>
            </w:tcBorders>
            <w:shd w:val="clear" w:color="000000" w:fill="0B64A0"/>
            <w:vAlign w:val="center"/>
            <w:hideMark/>
          </w:tcPr>
          <w:p w14:paraId="073DAC4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Despacho </w:t>
            </w:r>
          </w:p>
        </w:tc>
        <w:tc>
          <w:tcPr>
            <w:tcW w:w="1028" w:type="pct"/>
            <w:gridSpan w:val="3"/>
            <w:tcBorders>
              <w:top w:val="single" w:sz="8" w:space="0" w:color="E7E6E6"/>
              <w:left w:val="nil"/>
              <w:bottom w:val="single" w:sz="8" w:space="0" w:color="E7E6E6"/>
              <w:right w:val="single" w:sz="8" w:space="0" w:color="E7E6E6"/>
            </w:tcBorders>
            <w:shd w:val="clear" w:color="000000" w:fill="5B9BD5"/>
            <w:noWrap/>
            <w:vAlign w:val="center"/>
            <w:hideMark/>
          </w:tcPr>
          <w:p w14:paraId="6405F26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 Humano</w:t>
            </w:r>
          </w:p>
        </w:tc>
        <w:tc>
          <w:tcPr>
            <w:tcW w:w="1780" w:type="pct"/>
            <w:gridSpan w:val="3"/>
            <w:tcBorders>
              <w:top w:val="single" w:sz="8" w:space="0" w:color="E7E6E6"/>
              <w:left w:val="nil"/>
              <w:bottom w:val="single" w:sz="8" w:space="0" w:color="E7E6E6"/>
              <w:right w:val="single" w:sz="8" w:space="0" w:color="E7E6E6"/>
            </w:tcBorders>
            <w:shd w:val="clear" w:color="000000" w:fill="5B9BD5"/>
            <w:noWrap/>
            <w:vAlign w:val="center"/>
            <w:hideMark/>
          </w:tcPr>
          <w:p w14:paraId="533173D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presupuestario</w:t>
            </w:r>
          </w:p>
        </w:tc>
        <w:tc>
          <w:tcPr>
            <w:tcW w:w="1096" w:type="pct"/>
            <w:vMerge w:val="restart"/>
            <w:tcBorders>
              <w:top w:val="nil"/>
              <w:left w:val="single" w:sz="8" w:space="0" w:color="E7E6E6"/>
              <w:bottom w:val="nil"/>
              <w:right w:val="nil"/>
            </w:tcBorders>
            <w:shd w:val="clear" w:color="000000" w:fill="0B64A0"/>
            <w:vAlign w:val="center"/>
            <w:hideMark/>
          </w:tcPr>
          <w:p w14:paraId="2B360D2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Informe</w:t>
            </w:r>
          </w:p>
        </w:tc>
      </w:tr>
      <w:tr w:rsidR="00B15F7D" w:rsidRPr="00990FB6" w14:paraId="41BCF1C8" w14:textId="77777777" w:rsidTr="000A0C22">
        <w:trPr>
          <w:trHeight w:val="732"/>
          <w:jc w:val="center"/>
        </w:trPr>
        <w:tc>
          <w:tcPr>
            <w:tcW w:w="1096" w:type="pct"/>
            <w:vMerge/>
            <w:tcBorders>
              <w:top w:val="single" w:sz="8" w:space="0" w:color="E7E6E6"/>
              <w:left w:val="single" w:sz="8" w:space="0" w:color="E7E6E6"/>
              <w:bottom w:val="single" w:sz="8" w:space="0" w:color="E7E6E6"/>
              <w:right w:val="single" w:sz="8" w:space="0" w:color="E7E6E6"/>
            </w:tcBorders>
            <w:vAlign w:val="center"/>
            <w:hideMark/>
          </w:tcPr>
          <w:p w14:paraId="588ADAAC" w14:textId="77777777" w:rsidR="00B15F7D" w:rsidRPr="00990FB6" w:rsidRDefault="00B15F7D" w:rsidP="00B15F7D">
            <w:pPr>
              <w:suppressAutoHyphens w:val="0"/>
              <w:rPr>
                <w:b/>
                <w:bCs/>
                <w:color w:val="FFFFFF"/>
                <w:sz w:val="22"/>
                <w:szCs w:val="22"/>
                <w:lang w:val="es-CR" w:eastAsia="es-CR"/>
              </w:rPr>
            </w:pPr>
          </w:p>
        </w:tc>
        <w:tc>
          <w:tcPr>
            <w:tcW w:w="337" w:type="pct"/>
            <w:tcBorders>
              <w:top w:val="nil"/>
              <w:left w:val="nil"/>
              <w:bottom w:val="single" w:sz="8" w:space="0" w:color="E7E6E6"/>
              <w:right w:val="single" w:sz="8" w:space="0" w:color="E7E6E6"/>
            </w:tcBorders>
            <w:shd w:val="clear" w:color="000000" w:fill="0B64A0"/>
            <w:vAlign w:val="center"/>
            <w:hideMark/>
          </w:tcPr>
          <w:p w14:paraId="61F3E5A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 o Jueza 3</w:t>
            </w:r>
          </w:p>
        </w:tc>
        <w:tc>
          <w:tcPr>
            <w:tcW w:w="361" w:type="pct"/>
            <w:tcBorders>
              <w:top w:val="nil"/>
              <w:left w:val="nil"/>
              <w:bottom w:val="single" w:sz="8" w:space="0" w:color="E7E6E6"/>
              <w:right w:val="single" w:sz="8" w:space="0" w:color="E7E6E6"/>
            </w:tcBorders>
            <w:shd w:val="clear" w:color="000000" w:fill="0B64A0"/>
            <w:vAlign w:val="center"/>
            <w:hideMark/>
          </w:tcPr>
          <w:p w14:paraId="64BE2A7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330" w:type="pct"/>
            <w:tcBorders>
              <w:top w:val="nil"/>
              <w:left w:val="nil"/>
              <w:bottom w:val="single" w:sz="8" w:space="0" w:color="E7E6E6"/>
              <w:right w:val="single" w:sz="8" w:space="0" w:color="E7E6E6"/>
            </w:tcBorders>
            <w:shd w:val="clear" w:color="000000" w:fill="0B64A0"/>
            <w:vAlign w:val="center"/>
            <w:hideMark/>
          </w:tcPr>
          <w:p w14:paraId="6E6FAED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Total de plazas requeridas</w:t>
            </w:r>
          </w:p>
        </w:tc>
        <w:tc>
          <w:tcPr>
            <w:tcW w:w="616" w:type="pct"/>
            <w:tcBorders>
              <w:top w:val="nil"/>
              <w:left w:val="nil"/>
              <w:bottom w:val="single" w:sz="8" w:space="0" w:color="E7E6E6"/>
              <w:right w:val="single" w:sz="8" w:space="0" w:color="E7E6E6"/>
            </w:tcBorders>
            <w:shd w:val="clear" w:color="000000" w:fill="0B64A0"/>
            <w:vAlign w:val="center"/>
            <w:hideMark/>
          </w:tcPr>
          <w:p w14:paraId="4D93038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juez o jueza 3</w:t>
            </w:r>
          </w:p>
        </w:tc>
        <w:tc>
          <w:tcPr>
            <w:tcW w:w="548" w:type="pct"/>
            <w:tcBorders>
              <w:top w:val="nil"/>
              <w:left w:val="nil"/>
              <w:bottom w:val="single" w:sz="8" w:space="0" w:color="E7E6E6"/>
              <w:right w:val="single" w:sz="8" w:space="0" w:color="E7E6E6"/>
            </w:tcBorders>
            <w:shd w:val="clear" w:color="000000" w:fill="0B64A0"/>
            <w:vAlign w:val="center"/>
            <w:hideMark/>
          </w:tcPr>
          <w:p w14:paraId="1BFB76D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616" w:type="pct"/>
            <w:tcBorders>
              <w:top w:val="nil"/>
              <w:left w:val="nil"/>
              <w:bottom w:val="single" w:sz="8" w:space="0" w:color="E7E6E6"/>
              <w:right w:val="single" w:sz="8" w:space="0" w:color="E7E6E6"/>
            </w:tcBorders>
            <w:shd w:val="clear" w:color="000000" w:fill="0B64A0"/>
            <w:vAlign w:val="center"/>
            <w:hideMark/>
          </w:tcPr>
          <w:p w14:paraId="1909CD7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anual  </w:t>
            </w:r>
          </w:p>
        </w:tc>
        <w:tc>
          <w:tcPr>
            <w:tcW w:w="1096" w:type="pct"/>
            <w:vMerge/>
            <w:tcBorders>
              <w:top w:val="nil"/>
              <w:left w:val="single" w:sz="8" w:space="0" w:color="E7E6E6"/>
              <w:bottom w:val="nil"/>
              <w:right w:val="nil"/>
            </w:tcBorders>
            <w:vAlign w:val="center"/>
            <w:hideMark/>
          </w:tcPr>
          <w:p w14:paraId="281B7DFC" w14:textId="77777777" w:rsidR="00B15F7D" w:rsidRPr="00990FB6" w:rsidRDefault="00B15F7D" w:rsidP="00B15F7D">
            <w:pPr>
              <w:suppressAutoHyphens w:val="0"/>
              <w:rPr>
                <w:b/>
                <w:bCs/>
                <w:color w:val="FFFFFF"/>
                <w:sz w:val="22"/>
                <w:szCs w:val="22"/>
                <w:lang w:val="es-CR" w:eastAsia="es-CR"/>
              </w:rPr>
            </w:pPr>
          </w:p>
        </w:tc>
      </w:tr>
      <w:tr w:rsidR="00B15F7D" w:rsidRPr="00990FB6" w14:paraId="4E68FF49" w14:textId="77777777" w:rsidTr="000A0C22">
        <w:trPr>
          <w:trHeight w:val="276"/>
          <w:jc w:val="center"/>
        </w:trPr>
        <w:tc>
          <w:tcPr>
            <w:tcW w:w="1096" w:type="pct"/>
            <w:tcBorders>
              <w:top w:val="nil"/>
              <w:left w:val="single" w:sz="8" w:space="0" w:color="E7E6E6"/>
              <w:bottom w:val="single" w:sz="8" w:space="0" w:color="E7E6E6"/>
              <w:right w:val="single" w:sz="8" w:space="0" w:color="E7E6E6"/>
            </w:tcBorders>
            <w:shd w:val="clear" w:color="000000" w:fill="FFFFFF"/>
            <w:noWrap/>
            <w:vAlign w:val="bottom"/>
            <w:hideMark/>
          </w:tcPr>
          <w:p w14:paraId="08945934"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Penal de Puriscal</w:t>
            </w:r>
          </w:p>
        </w:tc>
        <w:tc>
          <w:tcPr>
            <w:tcW w:w="337" w:type="pct"/>
            <w:tcBorders>
              <w:top w:val="nil"/>
              <w:left w:val="nil"/>
              <w:bottom w:val="single" w:sz="8" w:space="0" w:color="E7E6E6"/>
              <w:right w:val="single" w:sz="8" w:space="0" w:color="E7E6E6"/>
            </w:tcBorders>
            <w:shd w:val="clear" w:color="000000" w:fill="FFFFFF"/>
            <w:noWrap/>
            <w:vAlign w:val="bottom"/>
            <w:hideMark/>
          </w:tcPr>
          <w:p w14:paraId="3E2EE7A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61" w:type="pct"/>
            <w:tcBorders>
              <w:top w:val="nil"/>
              <w:left w:val="nil"/>
              <w:bottom w:val="single" w:sz="8" w:space="0" w:color="E7E6E6"/>
              <w:right w:val="single" w:sz="8" w:space="0" w:color="E7E6E6"/>
            </w:tcBorders>
            <w:shd w:val="clear" w:color="000000" w:fill="FFFFFF"/>
            <w:noWrap/>
            <w:vAlign w:val="bottom"/>
            <w:hideMark/>
          </w:tcPr>
          <w:p w14:paraId="287A8BC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30" w:type="pct"/>
            <w:tcBorders>
              <w:top w:val="nil"/>
              <w:left w:val="nil"/>
              <w:bottom w:val="single" w:sz="8" w:space="0" w:color="E7E6E6"/>
              <w:right w:val="single" w:sz="8" w:space="0" w:color="E7E6E6"/>
            </w:tcBorders>
            <w:shd w:val="clear" w:color="000000" w:fill="FFFFFF"/>
            <w:noWrap/>
            <w:vAlign w:val="bottom"/>
            <w:hideMark/>
          </w:tcPr>
          <w:p w14:paraId="0051000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6" w:type="pct"/>
            <w:tcBorders>
              <w:top w:val="nil"/>
              <w:left w:val="nil"/>
              <w:bottom w:val="single" w:sz="8" w:space="0" w:color="E7E6E6"/>
              <w:right w:val="single" w:sz="8" w:space="0" w:color="E7E6E6"/>
            </w:tcBorders>
            <w:shd w:val="clear" w:color="000000" w:fill="FFFFFF"/>
            <w:vAlign w:val="center"/>
            <w:hideMark/>
          </w:tcPr>
          <w:p w14:paraId="3E7BB363" w14:textId="77777777" w:rsidR="00B15F7D" w:rsidRPr="00990FB6" w:rsidRDefault="00B15F7D" w:rsidP="00B15F7D">
            <w:pPr>
              <w:suppressAutoHyphens w:val="0"/>
              <w:rPr>
                <w:sz w:val="22"/>
                <w:szCs w:val="22"/>
                <w:lang w:val="es-CR" w:eastAsia="es-CR"/>
              </w:rPr>
            </w:pPr>
            <w:r w:rsidRPr="00990FB6">
              <w:rPr>
                <w:sz w:val="22"/>
                <w:szCs w:val="22"/>
                <w:lang w:val="es-CR" w:eastAsia="en-US"/>
              </w:rPr>
              <w:t xml:space="preserve">₡  -   </w:t>
            </w:r>
          </w:p>
        </w:tc>
        <w:tc>
          <w:tcPr>
            <w:tcW w:w="548" w:type="pct"/>
            <w:tcBorders>
              <w:top w:val="nil"/>
              <w:left w:val="nil"/>
              <w:bottom w:val="single" w:sz="8" w:space="0" w:color="E7E6E6"/>
              <w:right w:val="single" w:sz="8" w:space="0" w:color="E7E6E6"/>
            </w:tcBorders>
            <w:shd w:val="clear" w:color="000000" w:fill="FFFFFF"/>
            <w:vAlign w:val="center"/>
            <w:hideMark/>
          </w:tcPr>
          <w:p w14:paraId="2A9DAD71" w14:textId="77777777" w:rsidR="00B15F7D" w:rsidRPr="00990FB6" w:rsidRDefault="00B15F7D" w:rsidP="00B15F7D">
            <w:pPr>
              <w:suppressAutoHyphens w:val="0"/>
              <w:jc w:val="right"/>
              <w:rPr>
                <w:sz w:val="22"/>
                <w:szCs w:val="22"/>
                <w:lang w:val="es-CR" w:eastAsia="en-US"/>
              </w:rPr>
            </w:pPr>
            <w:r w:rsidRPr="00990FB6">
              <w:rPr>
                <w:sz w:val="22"/>
                <w:szCs w:val="22"/>
                <w:lang w:val="es-CR" w:eastAsia="en-US"/>
              </w:rPr>
              <w:t xml:space="preserve"> ₡ 15 945 000,00 </w:t>
            </w:r>
          </w:p>
        </w:tc>
        <w:tc>
          <w:tcPr>
            <w:tcW w:w="616" w:type="pct"/>
            <w:tcBorders>
              <w:top w:val="nil"/>
              <w:left w:val="nil"/>
              <w:bottom w:val="single" w:sz="8" w:space="0" w:color="E7E6E6"/>
              <w:right w:val="single" w:sz="8" w:space="0" w:color="E7E6E6"/>
            </w:tcBorders>
            <w:shd w:val="clear" w:color="000000" w:fill="FFFFFF"/>
            <w:vAlign w:val="center"/>
            <w:hideMark/>
          </w:tcPr>
          <w:p w14:paraId="7E138D0E" w14:textId="77777777" w:rsidR="00B15F7D" w:rsidRPr="00990FB6" w:rsidRDefault="00B15F7D" w:rsidP="00B15F7D">
            <w:pPr>
              <w:suppressAutoHyphens w:val="0"/>
              <w:jc w:val="right"/>
              <w:rPr>
                <w:sz w:val="22"/>
                <w:szCs w:val="22"/>
                <w:lang w:val="es-CR" w:eastAsia="en-US"/>
              </w:rPr>
            </w:pPr>
            <w:r w:rsidRPr="00990FB6">
              <w:rPr>
                <w:sz w:val="22"/>
                <w:szCs w:val="22"/>
                <w:lang w:val="es-CR" w:eastAsia="en-US"/>
              </w:rPr>
              <w:t xml:space="preserve"> ₡ 15 945 000,00 </w:t>
            </w:r>
          </w:p>
        </w:tc>
        <w:tc>
          <w:tcPr>
            <w:tcW w:w="1096" w:type="pct"/>
            <w:tcBorders>
              <w:top w:val="single" w:sz="8" w:space="0" w:color="E7E6E6"/>
              <w:left w:val="nil"/>
              <w:bottom w:val="single" w:sz="8" w:space="0" w:color="E7E6E6"/>
              <w:right w:val="single" w:sz="8" w:space="0" w:color="E7E6E6"/>
            </w:tcBorders>
            <w:shd w:val="clear" w:color="000000" w:fill="FFFFFF"/>
            <w:noWrap/>
            <w:vAlign w:val="center"/>
            <w:hideMark/>
          </w:tcPr>
          <w:p w14:paraId="4F175D7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Preliminar 1288-PLA-MI(PL)-2022</w:t>
            </w:r>
          </w:p>
        </w:tc>
      </w:tr>
      <w:tr w:rsidR="00B15F7D" w:rsidRPr="00990FB6" w14:paraId="0323171B" w14:textId="77777777" w:rsidTr="000A0C22">
        <w:trPr>
          <w:trHeight w:val="276"/>
          <w:jc w:val="center"/>
        </w:trPr>
        <w:tc>
          <w:tcPr>
            <w:tcW w:w="1096" w:type="pct"/>
            <w:tcBorders>
              <w:top w:val="nil"/>
              <w:left w:val="single" w:sz="8" w:space="0" w:color="E7E6E6"/>
              <w:bottom w:val="single" w:sz="8" w:space="0" w:color="E7E6E6"/>
              <w:right w:val="single" w:sz="8" w:space="0" w:color="E7E6E6"/>
            </w:tcBorders>
            <w:shd w:val="clear" w:color="000000" w:fill="FFFFFF"/>
            <w:noWrap/>
            <w:vAlign w:val="bottom"/>
            <w:hideMark/>
          </w:tcPr>
          <w:p w14:paraId="2D166CB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Santa Cruz</w:t>
            </w:r>
          </w:p>
        </w:tc>
        <w:tc>
          <w:tcPr>
            <w:tcW w:w="337" w:type="pct"/>
            <w:tcBorders>
              <w:top w:val="nil"/>
              <w:left w:val="nil"/>
              <w:bottom w:val="single" w:sz="8" w:space="0" w:color="E7E6E6"/>
              <w:right w:val="single" w:sz="8" w:space="0" w:color="E7E6E6"/>
            </w:tcBorders>
            <w:shd w:val="clear" w:color="000000" w:fill="FFFFFF"/>
            <w:noWrap/>
            <w:vAlign w:val="bottom"/>
            <w:hideMark/>
          </w:tcPr>
          <w:p w14:paraId="505455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61" w:type="pct"/>
            <w:tcBorders>
              <w:top w:val="nil"/>
              <w:left w:val="nil"/>
              <w:bottom w:val="single" w:sz="8" w:space="0" w:color="E7E6E6"/>
              <w:right w:val="single" w:sz="8" w:space="0" w:color="E7E6E6"/>
            </w:tcBorders>
            <w:shd w:val="clear" w:color="000000" w:fill="FFFFFF"/>
            <w:noWrap/>
            <w:vAlign w:val="bottom"/>
            <w:hideMark/>
          </w:tcPr>
          <w:p w14:paraId="4E579D1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30" w:type="pct"/>
            <w:tcBorders>
              <w:top w:val="nil"/>
              <w:left w:val="nil"/>
              <w:bottom w:val="single" w:sz="8" w:space="0" w:color="E7E6E6"/>
              <w:right w:val="single" w:sz="8" w:space="0" w:color="E7E6E6"/>
            </w:tcBorders>
            <w:shd w:val="clear" w:color="000000" w:fill="FFFFFF"/>
            <w:noWrap/>
            <w:vAlign w:val="bottom"/>
            <w:hideMark/>
          </w:tcPr>
          <w:p w14:paraId="12326C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6" w:type="pct"/>
            <w:tcBorders>
              <w:top w:val="nil"/>
              <w:left w:val="nil"/>
              <w:bottom w:val="single" w:sz="8" w:space="0" w:color="E7E6E6"/>
              <w:right w:val="single" w:sz="8" w:space="0" w:color="E7E6E6"/>
            </w:tcBorders>
            <w:shd w:val="clear" w:color="000000" w:fill="FFFFFF"/>
            <w:vAlign w:val="center"/>
            <w:hideMark/>
          </w:tcPr>
          <w:p w14:paraId="337C087D" w14:textId="77777777" w:rsidR="00B15F7D" w:rsidRPr="00990FB6" w:rsidRDefault="00B15F7D" w:rsidP="00B15F7D">
            <w:pPr>
              <w:suppressAutoHyphens w:val="0"/>
              <w:jc w:val="right"/>
              <w:rPr>
                <w:sz w:val="22"/>
                <w:szCs w:val="22"/>
                <w:lang w:val="es-CR" w:eastAsia="es-CR"/>
              </w:rPr>
            </w:pPr>
            <w:r w:rsidRPr="00990FB6">
              <w:rPr>
                <w:sz w:val="22"/>
                <w:szCs w:val="22"/>
                <w:lang w:val="es-CR" w:eastAsia="en-US"/>
              </w:rPr>
              <w:t xml:space="preserve"> ₡ 57 147 000,00 </w:t>
            </w:r>
          </w:p>
        </w:tc>
        <w:tc>
          <w:tcPr>
            <w:tcW w:w="548" w:type="pct"/>
            <w:tcBorders>
              <w:top w:val="nil"/>
              <w:left w:val="nil"/>
              <w:bottom w:val="single" w:sz="8" w:space="0" w:color="E7E6E6"/>
              <w:right w:val="single" w:sz="8" w:space="0" w:color="E7E6E6"/>
            </w:tcBorders>
            <w:shd w:val="clear" w:color="000000" w:fill="FFFFFF"/>
            <w:vAlign w:val="center"/>
            <w:hideMark/>
          </w:tcPr>
          <w:p w14:paraId="385E6905" w14:textId="77777777" w:rsidR="00B15F7D" w:rsidRPr="00990FB6" w:rsidRDefault="00B15F7D" w:rsidP="00B15F7D">
            <w:pPr>
              <w:suppressAutoHyphens w:val="0"/>
              <w:rPr>
                <w:sz w:val="22"/>
                <w:szCs w:val="22"/>
                <w:lang w:val="es-CR" w:eastAsia="es-CR"/>
              </w:rPr>
            </w:pPr>
            <w:r w:rsidRPr="00990FB6">
              <w:rPr>
                <w:sz w:val="22"/>
                <w:szCs w:val="22"/>
                <w:lang w:val="es-CR" w:eastAsia="en-US"/>
              </w:rPr>
              <w:t>₡  -</w:t>
            </w:r>
          </w:p>
        </w:tc>
        <w:tc>
          <w:tcPr>
            <w:tcW w:w="616" w:type="pct"/>
            <w:tcBorders>
              <w:top w:val="nil"/>
              <w:left w:val="nil"/>
              <w:bottom w:val="single" w:sz="8" w:space="0" w:color="E7E6E6"/>
              <w:right w:val="single" w:sz="8" w:space="0" w:color="E7E6E6"/>
            </w:tcBorders>
            <w:shd w:val="clear" w:color="000000" w:fill="FFFFFF"/>
            <w:vAlign w:val="center"/>
            <w:hideMark/>
          </w:tcPr>
          <w:p w14:paraId="18EFB4D8" w14:textId="77777777" w:rsidR="00B15F7D" w:rsidRPr="00990FB6" w:rsidRDefault="00B15F7D" w:rsidP="00B15F7D">
            <w:pPr>
              <w:suppressAutoHyphens w:val="0"/>
              <w:jc w:val="right"/>
              <w:rPr>
                <w:sz w:val="22"/>
                <w:szCs w:val="22"/>
                <w:lang w:val="es-CR" w:eastAsia="es-CR"/>
              </w:rPr>
            </w:pPr>
            <w:r w:rsidRPr="00990FB6">
              <w:rPr>
                <w:sz w:val="22"/>
                <w:szCs w:val="22"/>
                <w:lang w:val="es-CR" w:eastAsia="en-US"/>
              </w:rPr>
              <w:t xml:space="preserve"> ₡ 57 147 000,00 </w:t>
            </w:r>
          </w:p>
        </w:tc>
        <w:tc>
          <w:tcPr>
            <w:tcW w:w="1096" w:type="pct"/>
            <w:tcBorders>
              <w:top w:val="nil"/>
              <w:left w:val="nil"/>
              <w:bottom w:val="single" w:sz="8" w:space="0" w:color="E7E6E6"/>
              <w:right w:val="single" w:sz="8" w:space="0" w:color="E7E6E6"/>
            </w:tcBorders>
            <w:shd w:val="clear" w:color="000000" w:fill="FFFFFF"/>
            <w:noWrap/>
            <w:vAlign w:val="center"/>
            <w:hideMark/>
          </w:tcPr>
          <w:p w14:paraId="3EF975A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Definitivo, pendiente de aprobar 230-PLA-MI-2022</w:t>
            </w:r>
          </w:p>
        </w:tc>
      </w:tr>
      <w:tr w:rsidR="00B15F7D" w:rsidRPr="00990FB6" w14:paraId="42296FA0" w14:textId="77777777" w:rsidTr="000A0C22">
        <w:trPr>
          <w:trHeight w:val="276"/>
          <w:jc w:val="center"/>
        </w:trPr>
        <w:tc>
          <w:tcPr>
            <w:tcW w:w="1096" w:type="pct"/>
            <w:tcBorders>
              <w:top w:val="nil"/>
              <w:left w:val="single" w:sz="8" w:space="0" w:color="E7E6E6"/>
              <w:bottom w:val="single" w:sz="8" w:space="0" w:color="E7E6E6"/>
              <w:right w:val="single" w:sz="8" w:space="0" w:color="E7E6E6"/>
            </w:tcBorders>
            <w:shd w:val="clear" w:color="000000" w:fill="FFFFFF"/>
            <w:noWrap/>
            <w:vAlign w:val="bottom"/>
            <w:hideMark/>
          </w:tcPr>
          <w:p w14:paraId="743A2A5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Goicoechea</w:t>
            </w:r>
          </w:p>
        </w:tc>
        <w:tc>
          <w:tcPr>
            <w:tcW w:w="337" w:type="pct"/>
            <w:tcBorders>
              <w:top w:val="nil"/>
              <w:left w:val="nil"/>
              <w:bottom w:val="single" w:sz="8" w:space="0" w:color="E7E6E6"/>
              <w:right w:val="single" w:sz="8" w:space="0" w:color="E7E6E6"/>
            </w:tcBorders>
            <w:shd w:val="clear" w:color="000000" w:fill="FFFFFF"/>
            <w:noWrap/>
            <w:vAlign w:val="bottom"/>
            <w:hideMark/>
          </w:tcPr>
          <w:p w14:paraId="7676588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61" w:type="pct"/>
            <w:tcBorders>
              <w:top w:val="nil"/>
              <w:left w:val="nil"/>
              <w:bottom w:val="single" w:sz="8" w:space="0" w:color="E7E6E6"/>
              <w:right w:val="single" w:sz="8" w:space="0" w:color="E7E6E6"/>
            </w:tcBorders>
            <w:shd w:val="clear" w:color="000000" w:fill="FFFFFF"/>
            <w:noWrap/>
            <w:vAlign w:val="bottom"/>
            <w:hideMark/>
          </w:tcPr>
          <w:p w14:paraId="352EB0D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330" w:type="pct"/>
            <w:tcBorders>
              <w:top w:val="nil"/>
              <w:left w:val="nil"/>
              <w:bottom w:val="single" w:sz="8" w:space="0" w:color="E7E6E6"/>
              <w:right w:val="single" w:sz="8" w:space="0" w:color="E7E6E6"/>
            </w:tcBorders>
            <w:shd w:val="clear" w:color="000000" w:fill="FFFFFF"/>
            <w:noWrap/>
            <w:vAlign w:val="bottom"/>
            <w:hideMark/>
          </w:tcPr>
          <w:p w14:paraId="5B442A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16" w:type="pct"/>
            <w:tcBorders>
              <w:top w:val="nil"/>
              <w:left w:val="nil"/>
              <w:bottom w:val="single" w:sz="8" w:space="0" w:color="E7E6E6"/>
              <w:right w:val="single" w:sz="8" w:space="0" w:color="E7E6E6"/>
            </w:tcBorders>
            <w:shd w:val="clear" w:color="000000" w:fill="FFFFFF"/>
            <w:vAlign w:val="center"/>
            <w:hideMark/>
          </w:tcPr>
          <w:p w14:paraId="61257274" w14:textId="77777777" w:rsidR="00B15F7D" w:rsidRPr="00990FB6" w:rsidRDefault="00B15F7D" w:rsidP="00B15F7D">
            <w:pPr>
              <w:suppressAutoHyphens w:val="0"/>
              <w:rPr>
                <w:sz w:val="22"/>
                <w:szCs w:val="22"/>
                <w:lang w:val="es-CR" w:eastAsia="es-CR"/>
              </w:rPr>
            </w:pPr>
            <w:r w:rsidRPr="00990FB6">
              <w:rPr>
                <w:sz w:val="22"/>
                <w:szCs w:val="22"/>
                <w:lang w:val="es-CR" w:eastAsia="en-US"/>
              </w:rPr>
              <w:t xml:space="preserve">₡  -   </w:t>
            </w:r>
          </w:p>
        </w:tc>
        <w:tc>
          <w:tcPr>
            <w:tcW w:w="548" w:type="pct"/>
            <w:tcBorders>
              <w:top w:val="nil"/>
              <w:left w:val="nil"/>
              <w:bottom w:val="single" w:sz="8" w:space="0" w:color="E7E6E6"/>
              <w:right w:val="single" w:sz="8" w:space="0" w:color="E7E6E6"/>
            </w:tcBorders>
            <w:shd w:val="clear" w:color="000000" w:fill="FFFFFF"/>
            <w:vAlign w:val="center"/>
            <w:hideMark/>
          </w:tcPr>
          <w:p w14:paraId="74A4BCE8" w14:textId="77777777" w:rsidR="00B15F7D" w:rsidRPr="00990FB6" w:rsidRDefault="00B15F7D" w:rsidP="00B15F7D">
            <w:pPr>
              <w:suppressAutoHyphens w:val="0"/>
              <w:rPr>
                <w:sz w:val="22"/>
                <w:szCs w:val="22"/>
                <w:lang w:val="es-CR" w:eastAsia="es-CR"/>
              </w:rPr>
            </w:pPr>
            <w:r w:rsidRPr="00990FB6">
              <w:rPr>
                <w:sz w:val="22"/>
                <w:szCs w:val="22"/>
                <w:lang w:val="es-CR" w:eastAsia="en-US"/>
              </w:rPr>
              <w:t xml:space="preserve">₡ 31 890 000,00 </w:t>
            </w:r>
          </w:p>
        </w:tc>
        <w:tc>
          <w:tcPr>
            <w:tcW w:w="616" w:type="pct"/>
            <w:tcBorders>
              <w:top w:val="nil"/>
              <w:left w:val="nil"/>
              <w:bottom w:val="single" w:sz="8" w:space="0" w:color="E7E6E6"/>
              <w:right w:val="single" w:sz="8" w:space="0" w:color="E7E6E6"/>
            </w:tcBorders>
            <w:shd w:val="clear" w:color="000000" w:fill="FFFFFF"/>
            <w:vAlign w:val="center"/>
            <w:hideMark/>
          </w:tcPr>
          <w:p w14:paraId="6EEFF847" w14:textId="77777777" w:rsidR="00B15F7D" w:rsidRPr="00990FB6" w:rsidRDefault="00B15F7D" w:rsidP="00B15F7D">
            <w:pPr>
              <w:suppressAutoHyphens w:val="0"/>
              <w:jc w:val="right"/>
              <w:rPr>
                <w:sz w:val="22"/>
                <w:szCs w:val="22"/>
                <w:lang w:val="es-CR" w:eastAsia="es-CR"/>
              </w:rPr>
            </w:pPr>
            <w:r w:rsidRPr="00990FB6">
              <w:rPr>
                <w:sz w:val="22"/>
                <w:szCs w:val="22"/>
                <w:lang w:val="es-CR" w:eastAsia="en-US"/>
              </w:rPr>
              <w:t xml:space="preserve"> ₡ 31 890 000,00 </w:t>
            </w:r>
          </w:p>
        </w:tc>
        <w:tc>
          <w:tcPr>
            <w:tcW w:w="1096" w:type="pct"/>
            <w:tcBorders>
              <w:top w:val="nil"/>
              <w:left w:val="nil"/>
              <w:bottom w:val="single" w:sz="8" w:space="0" w:color="E7E6E6"/>
              <w:right w:val="single" w:sz="8" w:space="0" w:color="E7E6E6"/>
            </w:tcBorders>
            <w:shd w:val="clear" w:color="000000" w:fill="FFFFFF"/>
            <w:noWrap/>
            <w:vAlign w:val="center"/>
            <w:hideMark/>
          </w:tcPr>
          <w:p w14:paraId="0714C07F"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Definitivo, pendiente de aprobar 951-PLA-MI(PL)-2022</w:t>
            </w:r>
          </w:p>
        </w:tc>
      </w:tr>
      <w:tr w:rsidR="00B15F7D" w:rsidRPr="00990FB6" w14:paraId="2EE41C46" w14:textId="77777777" w:rsidTr="000A0C22">
        <w:trPr>
          <w:trHeight w:val="276"/>
          <w:jc w:val="center"/>
        </w:trPr>
        <w:tc>
          <w:tcPr>
            <w:tcW w:w="1096" w:type="pct"/>
            <w:tcBorders>
              <w:top w:val="nil"/>
              <w:left w:val="single" w:sz="8" w:space="0" w:color="E7E6E6"/>
              <w:bottom w:val="single" w:sz="8" w:space="0" w:color="E7E6E6"/>
              <w:right w:val="single" w:sz="8" w:space="0" w:color="E7E6E6"/>
            </w:tcBorders>
            <w:shd w:val="clear" w:color="000000" w:fill="FFFFFF"/>
            <w:noWrap/>
            <w:vAlign w:val="bottom"/>
            <w:hideMark/>
          </w:tcPr>
          <w:p w14:paraId="4AAC1C6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lastRenderedPageBreak/>
              <w:t>Juzgado Penal de Desamparados</w:t>
            </w:r>
          </w:p>
        </w:tc>
        <w:tc>
          <w:tcPr>
            <w:tcW w:w="337" w:type="pct"/>
            <w:tcBorders>
              <w:top w:val="nil"/>
              <w:left w:val="nil"/>
              <w:bottom w:val="single" w:sz="8" w:space="0" w:color="E7E6E6"/>
              <w:right w:val="single" w:sz="8" w:space="0" w:color="E7E6E6"/>
            </w:tcBorders>
            <w:shd w:val="clear" w:color="000000" w:fill="FFFFFF"/>
            <w:noWrap/>
            <w:vAlign w:val="bottom"/>
            <w:hideMark/>
          </w:tcPr>
          <w:p w14:paraId="47CA55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61" w:type="pct"/>
            <w:tcBorders>
              <w:top w:val="nil"/>
              <w:left w:val="nil"/>
              <w:bottom w:val="single" w:sz="8" w:space="0" w:color="E7E6E6"/>
              <w:right w:val="single" w:sz="8" w:space="0" w:color="E7E6E6"/>
            </w:tcBorders>
            <w:shd w:val="clear" w:color="000000" w:fill="FFFFFF"/>
            <w:noWrap/>
            <w:vAlign w:val="bottom"/>
            <w:hideMark/>
          </w:tcPr>
          <w:p w14:paraId="38442D3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30" w:type="pct"/>
            <w:tcBorders>
              <w:top w:val="nil"/>
              <w:left w:val="nil"/>
              <w:bottom w:val="single" w:sz="8" w:space="0" w:color="E7E6E6"/>
              <w:right w:val="single" w:sz="8" w:space="0" w:color="E7E6E6"/>
            </w:tcBorders>
            <w:shd w:val="clear" w:color="000000" w:fill="FFFFFF"/>
            <w:noWrap/>
            <w:vAlign w:val="bottom"/>
            <w:hideMark/>
          </w:tcPr>
          <w:p w14:paraId="2A87C9D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6" w:type="pct"/>
            <w:tcBorders>
              <w:top w:val="nil"/>
              <w:left w:val="nil"/>
              <w:bottom w:val="single" w:sz="8" w:space="0" w:color="E7E6E6"/>
              <w:right w:val="single" w:sz="8" w:space="0" w:color="E7E6E6"/>
            </w:tcBorders>
            <w:shd w:val="clear" w:color="000000" w:fill="FFFFFF"/>
            <w:vAlign w:val="center"/>
            <w:hideMark/>
          </w:tcPr>
          <w:p w14:paraId="3656E053" w14:textId="77777777" w:rsidR="00B15F7D" w:rsidRPr="00990FB6" w:rsidRDefault="00B15F7D" w:rsidP="00B15F7D">
            <w:pPr>
              <w:suppressAutoHyphens w:val="0"/>
              <w:jc w:val="right"/>
              <w:rPr>
                <w:sz w:val="22"/>
                <w:szCs w:val="22"/>
                <w:lang w:val="es-CR" w:eastAsia="es-CR"/>
              </w:rPr>
            </w:pPr>
            <w:r w:rsidRPr="00990FB6">
              <w:rPr>
                <w:sz w:val="22"/>
                <w:szCs w:val="22"/>
                <w:lang w:val="es-CR" w:eastAsia="en-US"/>
              </w:rPr>
              <w:t xml:space="preserve"> ₡ 57 147 000,00 </w:t>
            </w:r>
          </w:p>
        </w:tc>
        <w:tc>
          <w:tcPr>
            <w:tcW w:w="548" w:type="pct"/>
            <w:tcBorders>
              <w:top w:val="nil"/>
              <w:left w:val="nil"/>
              <w:bottom w:val="single" w:sz="8" w:space="0" w:color="E7E6E6"/>
              <w:right w:val="single" w:sz="8" w:space="0" w:color="E7E6E6"/>
            </w:tcBorders>
            <w:shd w:val="clear" w:color="000000" w:fill="FFFFFF"/>
            <w:vAlign w:val="center"/>
            <w:hideMark/>
          </w:tcPr>
          <w:p w14:paraId="3DE891DD" w14:textId="77777777" w:rsidR="00B15F7D" w:rsidRPr="00990FB6" w:rsidRDefault="00B15F7D" w:rsidP="00B15F7D">
            <w:pPr>
              <w:suppressAutoHyphens w:val="0"/>
              <w:rPr>
                <w:sz w:val="22"/>
                <w:szCs w:val="22"/>
                <w:lang w:val="es-CR" w:eastAsia="es-CR"/>
              </w:rPr>
            </w:pPr>
            <w:r w:rsidRPr="00990FB6">
              <w:rPr>
                <w:sz w:val="22"/>
                <w:szCs w:val="22"/>
                <w:lang w:val="es-CR" w:eastAsia="en-US"/>
              </w:rPr>
              <w:t>₡  -</w:t>
            </w:r>
          </w:p>
        </w:tc>
        <w:tc>
          <w:tcPr>
            <w:tcW w:w="616" w:type="pct"/>
            <w:tcBorders>
              <w:top w:val="nil"/>
              <w:left w:val="nil"/>
              <w:bottom w:val="single" w:sz="8" w:space="0" w:color="E7E6E6"/>
              <w:right w:val="single" w:sz="8" w:space="0" w:color="E7E6E6"/>
            </w:tcBorders>
            <w:shd w:val="clear" w:color="000000" w:fill="FFFFFF"/>
            <w:vAlign w:val="center"/>
            <w:hideMark/>
          </w:tcPr>
          <w:p w14:paraId="1E30B097" w14:textId="77777777" w:rsidR="00B15F7D" w:rsidRPr="00990FB6" w:rsidRDefault="00B15F7D" w:rsidP="00B15F7D">
            <w:pPr>
              <w:suppressAutoHyphens w:val="0"/>
              <w:jc w:val="right"/>
              <w:rPr>
                <w:sz w:val="22"/>
                <w:szCs w:val="22"/>
                <w:lang w:val="es-CR" w:eastAsia="es-CR"/>
              </w:rPr>
            </w:pPr>
            <w:r w:rsidRPr="00990FB6">
              <w:rPr>
                <w:sz w:val="22"/>
                <w:szCs w:val="22"/>
                <w:lang w:val="es-CR" w:eastAsia="en-US"/>
              </w:rPr>
              <w:t xml:space="preserve"> ₡ 57 147 000,00 </w:t>
            </w:r>
          </w:p>
        </w:tc>
        <w:tc>
          <w:tcPr>
            <w:tcW w:w="1096" w:type="pct"/>
            <w:tcBorders>
              <w:top w:val="nil"/>
              <w:left w:val="nil"/>
              <w:bottom w:val="single" w:sz="8" w:space="0" w:color="E7E6E6"/>
              <w:right w:val="single" w:sz="8" w:space="0" w:color="E7E6E6"/>
            </w:tcBorders>
            <w:shd w:val="clear" w:color="000000" w:fill="FFFFFF"/>
            <w:noWrap/>
            <w:vAlign w:val="center"/>
            <w:hideMark/>
          </w:tcPr>
          <w:p w14:paraId="4CF35A8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Preliminar 1259-PLA-MI(PL)-2022</w:t>
            </w:r>
          </w:p>
        </w:tc>
      </w:tr>
      <w:tr w:rsidR="00B15F7D" w:rsidRPr="00990FB6" w14:paraId="55A79D22" w14:textId="77777777" w:rsidTr="000A0C22">
        <w:trPr>
          <w:trHeight w:val="276"/>
          <w:jc w:val="center"/>
        </w:trPr>
        <w:tc>
          <w:tcPr>
            <w:tcW w:w="1096" w:type="pct"/>
            <w:tcBorders>
              <w:top w:val="nil"/>
              <w:left w:val="single" w:sz="8" w:space="0" w:color="E7E6E6"/>
              <w:bottom w:val="single" w:sz="8" w:space="0" w:color="E7E6E6"/>
              <w:right w:val="single" w:sz="8" w:space="0" w:color="E7E6E6"/>
            </w:tcBorders>
            <w:shd w:val="clear" w:color="000000" w:fill="FFFFFF"/>
            <w:noWrap/>
            <w:vAlign w:val="bottom"/>
            <w:hideMark/>
          </w:tcPr>
          <w:p w14:paraId="001D6441" w14:textId="77777777" w:rsidR="00B15F7D" w:rsidRPr="00990FB6" w:rsidRDefault="00B15F7D" w:rsidP="00B15F7D">
            <w:pPr>
              <w:suppressAutoHyphens w:val="0"/>
              <w:rPr>
                <w:b/>
                <w:bCs/>
                <w:color w:val="000000"/>
                <w:sz w:val="22"/>
                <w:szCs w:val="22"/>
                <w:lang w:val="es-CR" w:eastAsia="es-CR"/>
              </w:rPr>
            </w:pPr>
            <w:r w:rsidRPr="00990FB6">
              <w:rPr>
                <w:b/>
                <w:bCs/>
                <w:color w:val="000000"/>
                <w:sz w:val="22"/>
                <w:szCs w:val="22"/>
                <w:lang w:val="es-CR" w:eastAsia="es-CR"/>
              </w:rPr>
              <w:t>TOTALES</w:t>
            </w:r>
          </w:p>
        </w:tc>
        <w:tc>
          <w:tcPr>
            <w:tcW w:w="337" w:type="pct"/>
            <w:tcBorders>
              <w:top w:val="nil"/>
              <w:left w:val="nil"/>
              <w:bottom w:val="single" w:sz="8" w:space="0" w:color="E7E6E6"/>
              <w:right w:val="single" w:sz="8" w:space="0" w:color="E7E6E6"/>
            </w:tcBorders>
            <w:shd w:val="clear" w:color="000000" w:fill="FFFFFF"/>
            <w:noWrap/>
            <w:vAlign w:val="center"/>
            <w:hideMark/>
          </w:tcPr>
          <w:p w14:paraId="029BB54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361" w:type="pct"/>
            <w:tcBorders>
              <w:top w:val="nil"/>
              <w:left w:val="nil"/>
              <w:bottom w:val="single" w:sz="8" w:space="0" w:color="E7E6E6"/>
              <w:right w:val="single" w:sz="8" w:space="0" w:color="E7E6E6"/>
            </w:tcBorders>
            <w:shd w:val="clear" w:color="000000" w:fill="FFFFFF"/>
            <w:noWrap/>
            <w:vAlign w:val="center"/>
            <w:hideMark/>
          </w:tcPr>
          <w:p w14:paraId="2A865051"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3</w:t>
            </w:r>
          </w:p>
        </w:tc>
        <w:tc>
          <w:tcPr>
            <w:tcW w:w="330" w:type="pct"/>
            <w:tcBorders>
              <w:top w:val="nil"/>
              <w:left w:val="nil"/>
              <w:bottom w:val="single" w:sz="8" w:space="0" w:color="E7E6E6"/>
              <w:right w:val="single" w:sz="8" w:space="0" w:color="E7E6E6"/>
            </w:tcBorders>
            <w:shd w:val="clear" w:color="000000" w:fill="FFFFFF"/>
            <w:noWrap/>
            <w:vAlign w:val="center"/>
            <w:hideMark/>
          </w:tcPr>
          <w:p w14:paraId="7DC40E60"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5</w:t>
            </w:r>
          </w:p>
        </w:tc>
        <w:tc>
          <w:tcPr>
            <w:tcW w:w="616" w:type="pct"/>
            <w:tcBorders>
              <w:top w:val="nil"/>
              <w:left w:val="nil"/>
              <w:bottom w:val="single" w:sz="8" w:space="0" w:color="E7E6E6"/>
              <w:right w:val="single" w:sz="8" w:space="0" w:color="E7E6E6"/>
            </w:tcBorders>
            <w:shd w:val="clear" w:color="000000" w:fill="FFFFFF"/>
            <w:vAlign w:val="center"/>
            <w:hideMark/>
          </w:tcPr>
          <w:p w14:paraId="65686675" w14:textId="77777777" w:rsidR="00B15F7D" w:rsidRPr="00990FB6" w:rsidRDefault="00B15F7D" w:rsidP="00B15F7D">
            <w:pPr>
              <w:suppressAutoHyphens w:val="0"/>
              <w:jc w:val="right"/>
              <w:rPr>
                <w:b/>
                <w:bCs/>
                <w:sz w:val="22"/>
                <w:szCs w:val="22"/>
                <w:lang w:val="es-CR" w:eastAsia="es-CR"/>
              </w:rPr>
            </w:pPr>
            <w:r w:rsidRPr="00990FB6">
              <w:rPr>
                <w:b/>
                <w:bCs/>
                <w:sz w:val="22"/>
                <w:szCs w:val="22"/>
                <w:lang w:val="es-CR" w:eastAsia="es-CR"/>
              </w:rPr>
              <w:t xml:space="preserve"> ₡ 114 294 000,00 </w:t>
            </w:r>
          </w:p>
        </w:tc>
        <w:tc>
          <w:tcPr>
            <w:tcW w:w="548" w:type="pct"/>
            <w:tcBorders>
              <w:top w:val="nil"/>
              <w:left w:val="nil"/>
              <w:bottom w:val="single" w:sz="8" w:space="0" w:color="E7E6E6"/>
              <w:right w:val="single" w:sz="8" w:space="0" w:color="E7E6E6"/>
            </w:tcBorders>
            <w:shd w:val="clear" w:color="000000" w:fill="FFFFFF"/>
            <w:vAlign w:val="center"/>
            <w:hideMark/>
          </w:tcPr>
          <w:p w14:paraId="712F762F" w14:textId="77777777" w:rsidR="00B15F7D" w:rsidRPr="00990FB6" w:rsidRDefault="00B15F7D" w:rsidP="00B15F7D">
            <w:pPr>
              <w:suppressAutoHyphens w:val="0"/>
              <w:jc w:val="right"/>
              <w:rPr>
                <w:b/>
                <w:bCs/>
                <w:sz w:val="22"/>
                <w:szCs w:val="22"/>
                <w:lang w:val="es-CR" w:eastAsia="es-CR"/>
              </w:rPr>
            </w:pPr>
            <w:r w:rsidRPr="00990FB6">
              <w:rPr>
                <w:b/>
                <w:bCs/>
                <w:sz w:val="22"/>
                <w:szCs w:val="22"/>
                <w:lang w:val="es-CR" w:eastAsia="es-CR"/>
              </w:rPr>
              <w:t xml:space="preserve"> ₡ 47 835 000,00 </w:t>
            </w:r>
          </w:p>
        </w:tc>
        <w:tc>
          <w:tcPr>
            <w:tcW w:w="616" w:type="pct"/>
            <w:tcBorders>
              <w:top w:val="nil"/>
              <w:left w:val="nil"/>
              <w:bottom w:val="single" w:sz="8" w:space="0" w:color="E7E6E6"/>
              <w:right w:val="single" w:sz="8" w:space="0" w:color="E7E6E6"/>
            </w:tcBorders>
            <w:shd w:val="clear" w:color="000000" w:fill="FFFFFF"/>
            <w:noWrap/>
            <w:vAlign w:val="bottom"/>
            <w:hideMark/>
          </w:tcPr>
          <w:p w14:paraId="44D5E78E" w14:textId="77777777" w:rsidR="00B15F7D" w:rsidRPr="00990FB6" w:rsidRDefault="00B15F7D" w:rsidP="00B15F7D">
            <w:pPr>
              <w:suppressAutoHyphens w:val="0"/>
              <w:jc w:val="right"/>
              <w:rPr>
                <w:b/>
                <w:bCs/>
                <w:color w:val="000000"/>
                <w:sz w:val="22"/>
                <w:szCs w:val="22"/>
                <w:lang w:val="es-CR" w:eastAsia="es-CR"/>
              </w:rPr>
            </w:pPr>
            <w:r w:rsidRPr="00990FB6">
              <w:rPr>
                <w:b/>
                <w:bCs/>
                <w:color w:val="000000"/>
                <w:sz w:val="22"/>
                <w:szCs w:val="22"/>
                <w:lang w:val="es-CR" w:eastAsia="es-CR"/>
              </w:rPr>
              <w:t>₡ 162 129 000,00</w:t>
            </w:r>
          </w:p>
        </w:tc>
        <w:tc>
          <w:tcPr>
            <w:tcW w:w="1096" w:type="pct"/>
            <w:tcBorders>
              <w:top w:val="nil"/>
              <w:left w:val="nil"/>
              <w:bottom w:val="single" w:sz="8" w:space="0" w:color="E7E6E6"/>
              <w:right w:val="single" w:sz="8" w:space="0" w:color="E7E6E6"/>
            </w:tcBorders>
            <w:shd w:val="clear" w:color="000000" w:fill="FFFFFF"/>
            <w:noWrap/>
            <w:vAlign w:val="bottom"/>
            <w:hideMark/>
          </w:tcPr>
          <w:p w14:paraId="5D20FD7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w:t>
            </w:r>
          </w:p>
        </w:tc>
      </w:tr>
    </w:tbl>
    <w:p w14:paraId="1A440D53" w14:textId="77777777" w:rsidR="00B15F7D" w:rsidRPr="00990FB6" w:rsidRDefault="00B15F7D" w:rsidP="00B15F7D">
      <w:pPr>
        <w:suppressAutoHyphens w:val="0"/>
        <w:ind w:right="-1"/>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3FBFF92D" w14:textId="77777777" w:rsidR="00B15F7D" w:rsidRPr="00990FB6" w:rsidRDefault="00B15F7D" w:rsidP="00B15F7D">
      <w:pPr>
        <w:suppressAutoHyphens w:val="0"/>
        <w:ind w:left="851" w:right="851" w:firstLine="709"/>
        <w:jc w:val="both"/>
        <w:rPr>
          <w:rFonts w:eastAsia="Calibri"/>
          <w:color w:val="000000"/>
          <w:sz w:val="22"/>
          <w:szCs w:val="22"/>
          <w:u w:color="000000"/>
          <w:lang w:eastAsia="en-US"/>
        </w:rPr>
      </w:pPr>
    </w:p>
    <w:p w14:paraId="42C70CE3" w14:textId="77777777" w:rsidR="00B15F7D" w:rsidRPr="00990FB6" w:rsidRDefault="00B15F7D" w:rsidP="00B15F7D">
      <w:pPr>
        <w:suppressAutoHyphens w:val="0"/>
        <w:ind w:left="851" w:right="1275" w:firstLine="709"/>
        <w:jc w:val="both"/>
        <w:rPr>
          <w:rFonts w:eastAsia="Calibri"/>
          <w:sz w:val="22"/>
          <w:szCs w:val="22"/>
          <w:lang w:val="es-CR" w:eastAsia="en-US"/>
        </w:rPr>
      </w:pPr>
      <w:r w:rsidRPr="00990FB6">
        <w:rPr>
          <w:rFonts w:eastAsia="Calibri"/>
          <w:sz w:val="22"/>
          <w:szCs w:val="22"/>
          <w:lang w:val="es-CR" w:eastAsia="en-US"/>
        </w:rPr>
        <w:t>En el cuadro anterior se tiene que, se ha identificado la necesidad de personal para esos Juzgados Penales que ya han sido abordadas por parte de las personas profesionales de la Dirección de Planificación y que sus respectivos informes definitivos esperan para ser aprobados por el Consejo Superior.</w:t>
      </w:r>
    </w:p>
    <w:p w14:paraId="69463CA0" w14:textId="77777777" w:rsidR="00B15F7D" w:rsidRPr="00990FB6" w:rsidRDefault="00B15F7D" w:rsidP="00B15F7D">
      <w:pPr>
        <w:suppressAutoHyphens w:val="0"/>
        <w:ind w:left="851" w:right="1275" w:firstLine="709"/>
        <w:jc w:val="both"/>
        <w:rPr>
          <w:rFonts w:eastAsia="Calibri"/>
          <w:sz w:val="22"/>
          <w:szCs w:val="22"/>
          <w:lang w:val="es-CR" w:eastAsia="en-US"/>
        </w:rPr>
      </w:pPr>
    </w:p>
    <w:p w14:paraId="4690B000" w14:textId="77777777" w:rsidR="00B15F7D" w:rsidRPr="00990FB6" w:rsidRDefault="00B15F7D" w:rsidP="00B15F7D">
      <w:pPr>
        <w:suppressAutoHyphens w:val="0"/>
        <w:ind w:left="851" w:right="1275" w:firstLine="709"/>
        <w:jc w:val="both"/>
        <w:rPr>
          <w:rFonts w:eastAsia="Calibri"/>
          <w:sz w:val="22"/>
          <w:szCs w:val="22"/>
          <w:lang w:val="es-CR" w:eastAsia="en-US"/>
        </w:rPr>
      </w:pPr>
      <w:r w:rsidRPr="00990FB6">
        <w:rPr>
          <w:rFonts w:eastAsia="Calibri"/>
          <w:sz w:val="22"/>
          <w:szCs w:val="22"/>
          <w:lang w:val="es-CR" w:eastAsia="en-US"/>
        </w:rPr>
        <w:t>Es importante aclarar que, dentro de la cantidad total de plazas faltantes se incluye una plaza de técnica o técnico judicial para las localidad de Puriscal y si bien es cierto, en este despacho existe una plaza de Auxiliar de Servicios Generales, la cual se podría recalificar a persona técnica judicial 2, para el presente informe se desconocen las posibilidades presupuestarias para las modificaciones del contrato de limpieza, por lo que se incluye la necesidad de personal adicional como la creación de una plaza nueva, por lo que costo total anual para los cuatro despachos sería de ₡ 162  129 000,00.</w:t>
      </w:r>
    </w:p>
    <w:p w14:paraId="37BCBCBA" w14:textId="77777777" w:rsidR="00B15F7D" w:rsidRPr="00990FB6" w:rsidRDefault="00B15F7D" w:rsidP="00B15F7D">
      <w:pPr>
        <w:suppressAutoHyphens w:val="0"/>
        <w:ind w:left="851" w:right="1275" w:firstLine="709"/>
        <w:jc w:val="both"/>
        <w:rPr>
          <w:rFonts w:eastAsia="Calibri"/>
          <w:sz w:val="22"/>
          <w:szCs w:val="22"/>
          <w:lang w:val="es-CR" w:eastAsia="en-US"/>
        </w:rPr>
      </w:pPr>
      <w:r w:rsidRPr="00990FB6">
        <w:rPr>
          <w:rFonts w:eastAsia="Calibri"/>
          <w:sz w:val="22"/>
          <w:szCs w:val="22"/>
          <w:lang w:val="es-CR" w:eastAsia="en-US"/>
        </w:rPr>
        <w:t xml:space="preserve"> </w:t>
      </w:r>
    </w:p>
    <w:p w14:paraId="5EA10568" w14:textId="77777777" w:rsidR="00B15F7D" w:rsidRPr="00990FB6" w:rsidRDefault="00B15F7D" w:rsidP="00B15F7D">
      <w:pPr>
        <w:suppressAutoHyphens w:val="0"/>
        <w:ind w:left="851" w:right="1275" w:firstLine="709"/>
        <w:jc w:val="both"/>
        <w:rPr>
          <w:rFonts w:eastAsia="Calibri"/>
          <w:sz w:val="22"/>
          <w:szCs w:val="22"/>
          <w:lang w:val="es-CR" w:eastAsia="en-US"/>
        </w:rPr>
      </w:pPr>
      <w:r w:rsidRPr="00990FB6">
        <w:rPr>
          <w:rFonts w:eastAsia="Calibri"/>
          <w:sz w:val="22"/>
          <w:szCs w:val="22"/>
          <w:lang w:val="es-CR" w:eastAsia="en-US"/>
        </w:rPr>
        <w:t>Seguidamente se muestra el requerimiento de recurso humano, en los Juzgados Penales que aún no han sido abordados, pero donde se identificó faltante de personal para completar la estructura aprobada para estos despachos:</w:t>
      </w:r>
    </w:p>
    <w:p w14:paraId="62595ED1" w14:textId="77777777" w:rsidR="00B15F7D" w:rsidRPr="00990FB6" w:rsidRDefault="00B15F7D" w:rsidP="00B15F7D">
      <w:pPr>
        <w:suppressAutoHyphens w:val="0"/>
        <w:ind w:left="851" w:right="851" w:firstLine="709"/>
        <w:jc w:val="both"/>
        <w:rPr>
          <w:rFonts w:eastAsia="Calibri"/>
          <w:sz w:val="22"/>
          <w:szCs w:val="22"/>
          <w:lang w:val="es-CR" w:eastAsia="en-US"/>
        </w:rPr>
      </w:pPr>
    </w:p>
    <w:p w14:paraId="19975151" w14:textId="77777777" w:rsidR="00B15F7D" w:rsidRPr="00990FB6" w:rsidRDefault="00B15F7D" w:rsidP="00B305D7">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4</w:t>
      </w:r>
      <w:r w:rsidRPr="00990FB6">
        <w:rPr>
          <w:b/>
          <w:bCs/>
          <w:color w:val="00000A"/>
          <w:sz w:val="22"/>
          <w:szCs w:val="22"/>
          <w:lang w:eastAsia="es-ES"/>
        </w:rPr>
        <w:fldChar w:fldCharType="end"/>
      </w:r>
    </w:p>
    <w:p w14:paraId="5D175EA6" w14:textId="77777777" w:rsidR="00B15F7D" w:rsidRPr="00990FB6" w:rsidRDefault="00B15F7D" w:rsidP="00B15F7D">
      <w:pPr>
        <w:tabs>
          <w:tab w:val="left" w:pos="8364"/>
        </w:tabs>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Costo anual de requerimiento humano adicional para los juzgados penales que aún no han sido abordados como parte del proyecto del Modelo Penal</w:t>
      </w:r>
    </w:p>
    <w:p w14:paraId="6496F86B" w14:textId="77777777" w:rsidR="00B15F7D" w:rsidRPr="00990FB6" w:rsidRDefault="00B15F7D" w:rsidP="00B15F7D">
      <w:pPr>
        <w:suppressAutoHyphens w:val="0"/>
        <w:contextualSpacing/>
        <w:jc w:val="both"/>
        <w:rPr>
          <w:rFonts w:eastAsia="Calibri"/>
          <w:b/>
          <w:bCs/>
          <w:sz w:val="22"/>
          <w:szCs w:val="22"/>
          <w:lang w:val="es-CR" w:eastAsia="en-US"/>
        </w:rPr>
      </w:pPr>
    </w:p>
    <w:tbl>
      <w:tblPr>
        <w:tblW w:w="7640" w:type="dxa"/>
        <w:jc w:val="center"/>
        <w:tblCellMar>
          <w:left w:w="70" w:type="dxa"/>
          <w:right w:w="70" w:type="dxa"/>
        </w:tblCellMar>
        <w:tblLook w:val="04A0" w:firstRow="1" w:lastRow="0" w:firstColumn="1" w:lastColumn="0" w:noHBand="0" w:noVBand="1"/>
      </w:tblPr>
      <w:tblGrid>
        <w:gridCol w:w="2920"/>
        <w:gridCol w:w="820"/>
        <w:gridCol w:w="1045"/>
        <w:gridCol w:w="1155"/>
        <w:gridCol w:w="1760"/>
      </w:tblGrid>
      <w:tr w:rsidR="00B15F7D" w:rsidRPr="00990FB6" w14:paraId="4A292DE7" w14:textId="77777777" w:rsidTr="000A0C22">
        <w:trPr>
          <w:trHeight w:val="720"/>
          <w:jc w:val="center"/>
        </w:trPr>
        <w:tc>
          <w:tcPr>
            <w:tcW w:w="2920" w:type="dxa"/>
            <w:tcBorders>
              <w:top w:val="single" w:sz="4" w:space="0" w:color="auto"/>
              <w:left w:val="single" w:sz="4" w:space="0" w:color="auto"/>
              <w:bottom w:val="single" w:sz="4" w:space="0" w:color="auto"/>
              <w:right w:val="single" w:sz="4" w:space="0" w:color="auto"/>
            </w:tcBorders>
            <w:shd w:val="clear" w:color="000000" w:fill="0B64A0"/>
            <w:vAlign w:val="center"/>
            <w:hideMark/>
          </w:tcPr>
          <w:p w14:paraId="0EC5133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Despacho </w:t>
            </w:r>
          </w:p>
        </w:tc>
        <w:tc>
          <w:tcPr>
            <w:tcW w:w="820" w:type="dxa"/>
            <w:tcBorders>
              <w:top w:val="single" w:sz="4" w:space="0" w:color="auto"/>
              <w:left w:val="nil"/>
              <w:bottom w:val="single" w:sz="4" w:space="0" w:color="auto"/>
              <w:right w:val="single" w:sz="4" w:space="0" w:color="auto"/>
            </w:tcBorders>
            <w:shd w:val="clear" w:color="000000" w:fill="0B64A0"/>
            <w:vAlign w:val="center"/>
            <w:hideMark/>
          </w:tcPr>
          <w:p w14:paraId="397EDF8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 o Jueza 3</w:t>
            </w:r>
          </w:p>
        </w:tc>
        <w:tc>
          <w:tcPr>
            <w:tcW w:w="1020" w:type="dxa"/>
            <w:tcBorders>
              <w:top w:val="single" w:sz="4" w:space="0" w:color="auto"/>
              <w:left w:val="nil"/>
              <w:bottom w:val="single" w:sz="4" w:space="0" w:color="auto"/>
              <w:right w:val="single" w:sz="4" w:space="0" w:color="auto"/>
            </w:tcBorders>
            <w:shd w:val="clear" w:color="000000" w:fill="0B64A0"/>
            <w:vAlign w:val="center"/>
            <w:hideMark/>
          </w:tcPr>
          <w:p w14:paraId="5351060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1120" w:type="dxa"/>
            <w:tcBorders>
              <w:top w:val="single" w:sz="4" w:space="0" w:color="auto"/>
              <w:left w:val="nil"/>
              <w:bottom w:val="single" w:sz="4" w:space="0" w:color="auto"/>
              <w:right w:val="single" w:sz="4" w:space="0" w:color="auto"/>
            </w:tcBorders>
            <w:shd w:val="clear" w:color="000000" w:fill="0B64A0"/>
            <w:vAlign w:val="center"/>
            <w:hideMark/>
          </w:tcPr>
          <w:p w14:paraId="6660C37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Total de plazas requeridas</w:t>
            </w:r>
          </w:p>
        </w:tc>
        <w:tc>
          <w:tcPr>
            <w:tcW w:w="1760" w:type="dxa"/>
            <w:tcBorders>
              <w:top w:val="single" w:sz="4" w:space="0" w:color="auto"/>
              <w:left w:val="nil"/>
              <w:bottom w:val="single" w:sz="4" w:space="0" w:color="auto"/>
              <w:right w:val="single" w:sz="4" w:space="0" w:color="auto"/>
            </w:tcBorders>
            <w:shd w:val="clear" w:color="000000" w:fill="0B64A0"/>
            <w:vAlign w:val="center"/>
            <w:hideMark/>
          </w:tcPr>
          <w:p w14:paraId="293750F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por anual puesto </w:t>
            </w:r>
          </w:p>
        </w:tc>
      </w:tr>
      <w:tr w:rsidR="00B15F7D" w:rsidRPr="00990FB6" w14:paraId="6673D066" w14:textId="77777777" w:rsidTr="004D284E">
        <w:trPr>
          <w:trHeight w:val="264"/>
          <w:jc w:val="center"/>
        </w:trPr>
        <w:tc>
          <w:tcPr>
            <w:tcW w:w="2920" w:type="dxa"/>
            <w:tcBorders>
              <w:top w:val="nil"/>
              <w:left w:val="single" w:sz="4" w:space="0" w:color="auto"/>
              <w:bottom w:val="single" w:sz="4" w:space="0" w:color="auto"/>
              <w:right w:val="single" w:sz="4" w:space="0" w:color="auto"/>
            </w:tcBorders>
            <w:shd w:val="clear" w:color="000000" w:fill="FFFFFF"/>
            <w:noWrap/>
            <w:vAlign w:val="bottom"/>
            <w:hideMark/>
          </w:tcPr>
          <w:p w14:paraId="28D2D68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Turrialba</w:t>
            </w:r>
          </w:p>
        </w:tc>
        <w:tc>
          <w:tcPr>
            <w:tcW w:w="820" w:type="dxa"/>
            <w:tcBorders>
              <w:top w:val="nil"/>
              <w:left w:val="nil"/>
              <w:bottom w:val="single" w:sz="4" w:space="0" w:color="auto"/>
              <w:right w:val="single" w:sz="4" w:space="0" w:color="auto"/>
            </w:tcBorders>
            <w:shd w:val="clear" w:color="000000" w:fill="FFFFFF"/>
            <w:noWrap/>
            <w:vAlign w:val="bottom"/>
            <w:hideMark/>
          </w:tcPr>
          <w:p w14:paraId="3B7CCA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020" w:type="dxa"/>
            <w:tcBorders>
              <w:top w:val="nil"/>
              <w:left w:val="nil"/>
              <w:bottom w:val="single" w:sz="4" w:space="0" w:color="auto"/>
              <w:right w:val="single" w:sz="4" w:space="0" w:color="auto"/>
            </w:tcBorders>
            <w:shd w:val="clear" w:color="000000" w:fill="FFFFFF"/>
            <w:noWrap/>
            <w:vAlign w:val="bottom"/>
            <w:hideMark/>
          </w:tcPr>
          <w:p w14:paraId="3D6588C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120" w:type="dxa"/>
            <w:tcBorders>
              <w:top w:val="nil"/>
              <w:left w:val="nil"/>
              <w:bottom w:val="single" w:sz="4" w:space="0" w:color="auto"/>
              <w:right w:val="single" w:sz="4" w:space="0" w:color="auto"/>
            </w:tcBorders>
            <w:shd w:val="clear" w:color="000000" w:fill="FFFFFF"/>
            <w:noWrap/>
            <w:vAlign w:val="bottom"/>
            <w:hideMark/>
          </w:tcPr>
          <w:p w14:paraId="7B3CFF0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60" w:type="dxa"/>
            <w:tcBorders>
              <w:top w:val="nil"/>
              <w:left w:val="nil"/>
              <w:bottom w:val="single" w:sz="4" w:space="0" w:color="auto"/>
              <w:right w:val="single" w:sz="4" w:space="0" w:color="auto"/>
            </w:tcBorders>
            <w:shd w:val="clear" w:color="000000" w:fill="FFFFFF"/>
            <w:vAlign w:val="center"/>
            <w:hideMark/>
          </w:tcPr>
          <w:p w14:paraId="6E0F927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57 147 000,00 </w:t>
            </w:r>
          </w:p>
        </w:tc>
      </w:tr>
      <w:tr w:rsidR="00B15F7D" w:rsidRPr="00990FB6" w14:paraId="08543DBB" w14:textId="77777777" w:rsidTr="004D284E">
        <w:trPr>
          <w:trHeight w:val="264"/>
          <w:jc w:val="center"/>
        </w:trPr>
        <w:tc>
          <w:tcPr>
            <w:tcW w:w="2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0ED72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Coto Brus</w:t>
            </w:r>
          </w:p>
        </w:tc>
        <w:tc>
          <w:tcPr>
            <w:tcW w:w="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610E4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0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6D46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40443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985AD4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r>
      <w:tr w:rsidR="00B15F7D" w:rsidRPr="00990FB6" w14:paraId="75D41B01" w14:textId="77777777" w:rsidTr="004D284E">
        <w:trPr>
          <w:trHeight w:val="264"/>
          <w:jc w:val="center"/>
        </w:trPr>
        <w:tc>
          <w:tcPr>
            <w:tcW w:w="29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D0DB5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Buenos Aires</w:t>
            </w:r>
          </w:p>
        </w:tc>
        <w:tc>
          <w:tcPr>
            <w:tcW w:w="820" w:type="dxa"/>
            <w:tcBorders>
              <w:top w:val="single" w:sz="4" w:space="0" w:color="auto"/>
              <w:left w:val="nil"/>
              <w:bottom w:val="single" w:sz="4" w:space="0" w:color="auto"/>
              <w:right w:val="single" w:sz="4" w:space="0" w:color="auto"/>
            </w:tcBorders>
            <w:shd w:val="clear" w:color="000000" w:fill="FFFFFF"/>
            <w:noWrap/>
            <w:vAlign w:val="bottom"/>
            <w:hideMark/>
          </w:tcPr>
          <w:p w14:paraId="417C73F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020" w:type="dxa"/>
            <w:tcBorders>
              <w:top w:val="single" w:sz="4" w:space="0" w:color="auto"/>
              <w:left w:val="nil"/>
              <w:bottom w:val="single" w:sz="4" w:space="0" w:color="auto"/>
              <w:right w:val="single" w:sz="4" w:space="0" w:color="auto"/>
            </w:tcBorders>
            <w:shd w:val="clear" w:color="000000" w:fill="FFFFFF"/>
            <w:noWrap/>
            <w:vAlign w:val="bottom"/>
            <w:hideMark/>
          </w:tcPr>
          <w:p w14:paraId="5E79F49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07A93C9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60" w:type="dxa"/>
            <w:tcBorders>
              <w:top w:val="single" w:sz="4" w:space="0" w:color="auto"/>
              <w:left w:val="nil"/>
              <w:bottom w:val="single" w:sz="4" w:space="0" w:color="auto"/>
              <w:right w:val="single" w:sz="4" w:space="0" w:color="auto"/>
            </w:tcBorders>
            <w:shd w:val="clear" w:color="000000" w:fill="FFFFFF"/>
            <w:vAlign w:val="center"/>
            <w:hideMark/>
          </w:tcPr>
          <w:p w14:paraId="028650B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r>
      <w:tr w:rsidR="00B15F7D" w:rsidRPr="00990FB6" w14:paraId="16DBB1FD" w14:textId="77777777" w:rsidTr="000A0C22">
        <w:trPr>
          <w:trHeight w:val="264"/>
          <w:jc w:val="center"/>
        </w:trPr>
        <w:tc>
          <w:tcPr>
            <w:tcW w:w="2920" w:type="dxa"/>
            <w:tcBorders>
              <w:top w:val="nil"/>
              <w:left w:val="single" w:sz="4" w:space="0" w:color="auto"/>
              <w:bottom w:val="single" w:sz="4" w:space="0" w:color="auto"/>
              <w:right w:val="single" w:sz="4" w:space="0" w:color="auto"/>
            </w:tcBorders>
            <w:shd w:val="clear" w:color="000000" w:fill="FFFFFF"/>
            <w:noWrap/>
            <w:vAlign w:val="bottom"/>
            <w:hideMark/>
          </w:tcPr>
          <w:p w14:paraId="651CE5F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La Fortuna</w:t>
            </w:r>
          </w:p>
        </w:tc>
        <w:tc>
          <w:tcPr>
            <w:tcW w:w="820" w:type="dxa"/>
            <w:tcBorders>
              <w:top w:val="nil"/>
              <w:left w:val="nil"/>
              <w:bottom w:val="single" w:sz="4" w:space="0" w:color="auto"/>
              <w:right w:val="single" w:sz="4" w:space="0" w:color="auto"/>
            </w:tcBorders>
            <w:shd w:val="clear" w:color="000000" w:fill="FFFFFF"/>
            <w:noWrap/>
            <w:vAlign w:val="bottom"/>
            <w:hideMark/>
          </w:tcPr>
          <w:p w14:paraId="20AFBF4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020" w:type="dxa"/>
            <w:tcBorders>
              <w:top w:val="nil"/>
              <w:left w:val="nil"/>
              <w:bottom w:val="single" w:sz="4" w:space="0" w:color="auto"/>
              <w:right w:val="single" w:sz="4" w:space="0" w:color="auto"/>
            </w:tcBorders>
            <w:shd w:val="clear" w:color="000000" w:fill="FFFFFF"/>
            <w:noWrap/>
            <w:vAlign w:val="bottom"/>
            <w:hideMark/>
          </w:tcPr>
          <w:p w14:paraId="1148D7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FFFFFF"/>
            <w:noWrap/>
            <w:vAlign w:val="bottom"/>
            <w:hideMark/>
          </w:tcPr>
          <w:p w14:paraId="328A21B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60" w:type="dxa"/>
            <w:tcBorders>
              <w:top w:val="nil"/>
              <w:left w:val="nil"/>
              <w:bottom w:val="single" w:sz="4" w:space="0" w:color="auto"/>
              <w:right w:val="single" w:sz="4" w:space="0" w:color="auto"/>
            </w:tcBorders>
            <w:shd w:val="clear" w:color="000000" w:fill="FFFFFF"/>
            <w:vAlign w:val="center"/>
            <w:hideMark/>
          </w:tcPr>
          <w:p w14:paraId="783B529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r>
      <w:tr w:rsidR="00B15F7D" w:rsidRPr="00990FB6" w14:paraId="4F50F21B" w14:textId="77777777" w:rsidTr="000A0C22">
        <w:trPr>
          <w:trHeight w:val="264"/>
          <w:jc w:val="center"/>
        </w:trPr>
        <w:tc>
          <w:tcPr>
            <w:tcW w:w="2920" w:type="dxa"/>
            <w:tcBorders>
              <w:top w:val="nil"/>
              <w:left w:val="single" w:sz="4" w:space="0" w:color="auto"/>
              <w:bottom w:val="single" w:sz="4" w:space="0" w:color="auto"/>
              <w:right w:val="single" w:sz="4" w:space="0" w:color="auto"/>
            </w:tcBorders>
            <w:shd w:val="clear" w:color="000000" w:fill="FFFFFF"/>
            <w:noWrap/>
            <w:vAlign w:val="bottom"/>
            <w:hideMark/>
          </w:tcPr>
          <w:p w14:paraId="0547EFA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Los Chiles</w:t>
            </w:r>
          </w:p>
        </w:tc>
        <w:tc>
          <w:tcPr>
            <w:tcW w:w="820" w:type="dxa"/>
            <w:tcBorders>
              <w:top w:val="nil"/>
              <w:left w:val="nil"/>
              <w:bottom w:val="single" w:sz="4" w:space="0" w:color="auto"/>
              <w:right w:val="single" w:sz="4" w:space="0" w:color="auto"/>
            </w:tcBorders>
            <w:shd w:val="clear" w:color="000000" w:fill="FFFFFF"/>
            <w:noWrap/>
            <w:vAlign w:val="bottom"/>
            <w:hideMark/>
          </w:tcPr>
          <w:p w14:paraId="33C0E09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020" w:type="dxa"/>
            <w:tcBorders>
              <w:top w:val="nil"/>
              <w:left w:val="nil"/>
              <w:bottom w:val="single" w:sz="4" w:space="0" w:color="auto"/>
              <w:right w:val="single" w:sz="4" w:space="0" w:color="auto"/>
            </w:tcBorders>
            <w:shd w:val="clear" w:color="000000" w:fill="FFFFFF"/>
            <w:noWrap/>
            <w:vAlign w:val="bottom"/>
            <w:hideMark/>
          </w:tcPr>
          <w:p w14:paraId="09749F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FFFFFF"/>
            <w:noWrap/>
            <w:vAlign w:val="bottom"/>
            <w:hideMark/>
          </w:tcPr>
          <w:p w14:paraId="5A2915B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60" w:type="dxa"/>
            <w:tcBorders>
              <w:top w:val="nil"/>
              <w:left w:val="nil"/>
              <w:bottom w:val="single" w:sz="4" w:space="0" w:color="auto"/>
              <w:right w:val="single" w:sz="4" w:space="0" w:color="auto"/>
            </w:tcBorders>
            <w:shd w:val="clear" w:color="000000" w:fill="FFFFFF"/>
            <w:vAlign w:val="center"/>
            <w:hideMark/>
          </w:tcPr>
          <w:p w14:paraId="7533625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r>
      <w:tr w:rsidR="00B15F7D" w:rsidRPr="00990FB6" w14:paraId="70A33945" w14:textId="77777777" w:rsidTr="000A0C22">
        <w:trPr>
          <w:trHeight w:val="264"/>
          <w:jc w:val="center"/>
        </w:trPr>
        <w:tc>
          <w:tcPr>
            <w:tcW w:w="2920" w:type="dxa"/>
            <w:tcBorders>
              <w:top w:val="nil"/>
              <w:left w:val="single" w:sz="4" w:space="0" w:color="auto"/>
              <w:bottom w:val="single" w:sz="4" w:space="0" w:color="auto"/>
              <w:right w:val="single" w:sz="4" w:space="0" w:color="auto"/>
            </w:tcBorders>
            <w:shd w:val="clear" w:color="000000" w:fill="FFFFFF"/>
            <w:noWrap/>
            <w:vAlign w:val="bottom"/>
            <w:hideMark/>
          </w:tcPr>
          <w:p w14:paraId="6F64E6B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Cartago</w:t>
            </w:r>
          </w:p>
        </w:tc>
        <w:tc>
          <w:tcPr>
            <w:tcW w:w="820" w:type="dxa"/>
            <w:tcBorders>
              <w:top w:val="nil"/>
              <w:left w:val="nil"/>
              <w:bottom w:val="single" w:sz="4" w:space="0" w:color="auto"/>
              <w:right w:val="single" w:sz="4" w:space="0" w:color="auto"/>
            </w:tcBorders>
            <w:shd w:val="clear" w:color="000000" w:fill="FFFFFF"/>
            <w:noWrap/>
            <w:vAlign w:val="bottom"/>
            <w:hideMark/>
          </w:tcPr>
          <w:p w14:paraId="0CF43D2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020" w:type="dxa"/>
            <w:tcBorders>
              <w:top w:val="nil"/>
              <w:left w:val="nil"/>
              <w:bottom w:val="single" w:sz="4" w:space="0" w:color="auto"/>
              <w:right w:val="single" w:sz="4" w:space="0" w:color="auto"/>
            </w:tcBorders>
            <w:shd w:val="clear" w:color="000000" w:fill="FFFFFF"/>
            <w:noWrap/>
            <w:vAlign w:val="bottom"/>
            <w:hideMark/>
          </w:tcPr>
          <w:p w14:paraId="10DA8AB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120" w:type="dxa"/>
            <w:tcBorders>
              <w:top w:val="nil"/>
              <w:left w:val="nil"/>
              <w:bottom w:val="single" w:sz="4" w:space="0" w:color="auto"/>
              <w:right w:val="single" w:sz="4" w:space="0" w:color="auto"/>
            </w:tcBorders>
            <w:shd w:val="clear" w:color="000000" w:fill="FFFFFF"/>
            <w:noWrap/>
            <w:vAlign w:val="bottom"/>
            <w:hideMark/>
          </w:tcPr>
          <w:p w14:paraId="2B0738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60" w:type="dxa"/>
            <w:tcBorders>
              <w:top w:val="nil"/>
              <w:left w:val="nil"/>
              <w:bottom w:val="single" w:sz="4" w:space="0" w:color="auto"/>
              <w:right w:val="single" w:sz="4" w:space="0" w:color="auto"/>
            </w:tcBorders>
            <w:shd w:val="clear" w:color="000000" w:fill="FFFFFF"/>
            <w:vAlign w:val="center"/>
            <w:hideMark/>
          </w:tcPr>
          <w:p w14:paraId="4EFD90A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57 147 000,00 </w:t>
            </w:r>
          </w:p>
        </w:tc>
      </w:tr>
      <w:tr w:rsidR="00B15F7D" w:rsidRPr="00990FB6" w14:paraId="55D30E61" w14:textId="77777777" w:rsidTr="000A0C22">
        <w:trPr>
          <w:trHeight w:val="276"/>
          <w:jc w:val="center"/>
        </w:trPr>
        <w:tc>
          <w:tcPr>
            <w:tcW w:w="2920" w:type="dxa"/>
            <w:tcBorders>
              <w:top w:val="nil"/>
              <w:left w:val="single" w:sz="4" w:space="0" w:color="auto"/>
              <w:bottom w:val="nil"/>
              <w:right w:val="single" w:sz="4" w:space="0" w:color="auto"/>
            </w:tcBorders>
            <w:shd w:val="clear" w:color="000000" w:fill="FFFFFF"/>
            <w:noWrap/>
            <w:vAlign w:val="bottom"/>
            <w:hideMark/>
          </w:tcPr>
          <w:p w14:paraId="40D90DC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Atenas</w:t>
            </w:r>
          </w:p>
        </w:tc>
        <w:tc>
          <w:tcPr>
            <w:tcW w:w="820" w:type="dxa"/>
            <w:tcBorders>
              <w:top w:val="nil"/>
              <w:left w:val="nil"/>
              <w:bottom w:val="nil"/>
              <w:right w:val="single" w:sz="4" w:space="0" w:color="auto"/>
            </w:tcBorders>
            <w:shd w:val="clear" w:color="000000" w:fill="FFFFFF"/>
            <w:noWrap/>
            <w:vAlign w:val="bottom"/>
            <w:hideMark/>
          </w:tcPr>
          <w:p w14:paraId="61F2023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020" w:type="dxa"/>
            <w:tcBorders>
              <w:top w:val="nil"/>
              <w:left w:val="nil"/>
              <w:bottom w:val="nil"/>
              <w:right w:val="single" w:sz="4" w:space="0" w:color="auto"/>
            </w:tcBorders>
            <w:shd w:val="clear" w:color="000000" w:fill="FFFFFF"/>
            <w:noWrap/>
            <w:vAlign w:val="bottom"/>
            <w:hideMark/>
          </w:tcPr>
          <w:p w14:paraId="1C4C45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20" w:type="dxa"/>
            <w:tcBorders>
              <w:top w:val="nil"/>
              <w:left w:val="nil"/>
              <w:bottom w:val="nil"/>
              <w:right w:val="single" w:sz="4" w:space="0" w:color="auto"/>
            </w:tcBorders>
            <w:shd w:val="clear" w:color="000000" w:fill="FFFFFF"/>
            <w:noWrap/>
            <w:vAlign w:val="bottom"/>
            <w:hideMark/>
          </w:tcPr>
          <w:p w14:paraId="351C0E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60" w:type="dxa"/>
            <w:tcBorders>
              <w:top w:val="nil"/>
              <w:left w:val="nil"/>
              <w:bottom w:val="nil"/>
              <w:right w:val="single" w:sz="4" w:space="0" w:color="auto"/>
            </w:tcBorders>
            <w:shd w:val="clear" w:color="000000" w:fill="FFFFFF"/>
            <w:vAlign w:val="center"/>
            <w:hideMark/>
          </w:tcPr>
          <w:p w14:paraId="1074399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r>
      <w:tr w:rsidR="00B15F7D" w:rsidRPr="00990FB6" w14:paraId="587B1BAC" w14:textId="77777777" w:rsidTr="000A0C22">
        <w:trPr>
          <w:trHeight w:val="276"/>
          <w:jc w:val="center"/>
        </w:trPr>
        <w:tc>
          <w:tcPr>
            <w:tcW w:w="2920"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14:paraId="1CDB90FB" w14:textId="77777777" w:rsidR="00B15F7D" w:rsidRPr="00990FB6" w:rsidRDefault="00B15F7D" w:rsidP="00B15F7D">
            <w:pPr>
              <w:suppressAutoHyphens w:val="0"/>
              <w:rPr>
                <w:b/>
                <w:bCs/>
                <w:color w:val="000000"/>
                <w:sz w:val="22"/>
                <w:szCs w:val="22"/>
                <w:lang w:val="es-CR" w:eastAsia="es-CR"/>
              </w:rPr>
            </w:pPr>
            <w:r w:rsidRPr="00990FB6">
              <w:rPr>
                <w:b/>
                <w:bCs/>
                <w:color w:val="000000"/>
                <w:sz w:val="22"/>
                <w:szCs w:val="22"/>
                <w:lang w:val="es-CR" w:eastAsia="es-CR"/>
              </w:rPr>
              <w:lastRenderedPageBreak/>
              <w:t>TOTALES</w:t>
            </w:r>
          </w:p>
        </w:tc>
        <w:tc>
          <w:tcPr>
            <w:tcW w:w="820" w:type="dxa"/>
            <w:tcBorders>
              <w:top w:val="single" w:sz="8" w:space="0" w:color="auto"/>
              <w:left w:val="nil"/>
              <w:bottom w:val="single" w:sz="8" w:space="0" w:color="auto"/>
              <w:right w:val="single" w:sz="4" w:space="0" w:color="auto"/>
            </w:tcBorders>
            <w:shd w:val="clear" w:color="000000" w:fill="FFFFFF"/>
            <w:noWrap/>
            <w:vAlign w:val="center"/>
            <w:hideMark/>
          </w:tcPr>
          <w:p w14:paraId="2E55BCAF"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w:t>
            </w:r>
          </w:p>
        </w:tc>
        <w:tc>
          <w:tcPr>
            <w:tcW w:w="1020" w:type="dxa"/>
            <w:tcBorders>
              <w:top w:val="single" w:sz="8" w:space="0" w:color="auto"/>
              <w:left w:val="nil"/>
              <w:bottom w:val="single" w:sz="8" w:space="0" w:color="auto"/>
              <w:right w:val="single" w:sz="4" w:space="0" w:color="auto"/>
            </w:tcBorders>
            <w:shd w:val="clear" w:color="000000" w:fill="FFFFFF"/>
            <w:noWrap/>
            <w:vAlign w:val="center"/>
            <w:hideMark/>
          </w:tcPr>
          <w:p w14:paraId="2A3454B3"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5</w:t>
            </w:r>
          </w:p>
        </w:tc>
        <w:tc>
          <w:tcPr>
            <w:tcW w:w="1120" w:type="dxa"/>
            <w:tcBorders>
              <w:top w:val="single" w:sz="8" w:space="0" w:color="auto"/>
              <w:left w:val="nil"/>
              <w:bottom w:val="single" w:sz="8" w:space="0" w:color="auto"/>
              <w:right w:val="single" w:sz="4" w:space="0" w:color="auto"/>
            </w:tcBorders>
            <w:shd w:val="clear" w:color="000000" w:fill="FFFFFF"/>
            <w:noWrap/>
            <w:vAlign w:val="center"/>
            <w:hideMark/>
          </w:tcPr>
          <w:p w14:paraId="34A229AD"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7</w:t>
            </w:r>
          </w:p>
        </w:tc>
        <w:tc>
          <w:tcPr>
            <w:tcW w:w="1760" w:type="dxa"/>
            <w:tcBorders>
              <w:top w:val="single" w:sz="8" w:space="0" w:color="auto"/>
              <w:left w:val="nil"/>
              <w:bottom w:val="single" w:sz="8" w:space="0" w:color="auto"/>
              <w:right w:val="single" w:sz="4" w:space="0" w:color="auto"/>
            </w:tcBorders>
            <w:shd w:val="clear" w:color="000000" w:fill="FFFFFF"/>
            <w:noWrap/>
            <w:vAlign w:val="bottom"/>
            <w:hideMark/>
          </w:tcPr>
          <w:p w14:paraId="4C2592BC" w14:textId="77777777" w:rsidR="00B15F7D" w:rsidRPr="00990FB6" w:rsidRDefault="00B15F7D" w:rsidP="00B15F7D">
            <w:pPr>
              <w:suppressAutoHyphens w:val="0"/>
              <w:rPr>
                <w:b/>
                <w:bCs/>
                <w:color w:val="000000"/>
                <w:sz w:val="22"/>
                <w:szCs w:val="22"/>
                <w:lang w:val="es-CR" w:eastAsia="es-CR"/>
              </w:rPr>
            </w:pPr>
            <w:r w:rsidRPr="00990FB6">
              <w:rPr>
                <w:b/>
                <w:bCs/>
                <w:color w:val="000000"/>
                <w:sz w:val="22"/>
                <w:szCs w:val="22"/>
                <w:lang w:val="es-CR" w:eastAsia="es-CR"/>
              </w:rPr>
              <w:t xml:space="preserve"> ₡      194 019 000,00 </w:t>
            </w:r>
          </w:p>
        </w:tc>
      </w:tr>
    </w:tbl>
    <w:p w14:paraId="05E18C79" w14:textId="77777777" w:rsidR="00B15F7D" w:rsidRPr="00990FB6" w:rsidRDefault="00B15F7D" w:rsidP="00B15F7D">
      <w:pPr>
        <w:suppressAutoHyphens w:val="0"/>
        <w:contextualSpacing/>
        <w:jc w:val="both"/>
        <w:rPr>
          <w:rFonts w:eastAsia="Calibri"/>
          <w:b/>
          <w:bCs/>
          <w:sz w:val="22"/>
          <w:szCs w:val="22"/>
          <w:lang w:val="es-CR" w:eastAsia="en-US"/>
        </w:rPr>
      </w:pPr>
    </w:p>
    <w:p w14:paraId="38D6C284" w14:textId="77777777" w:rsidR="00B15F7D" w:rsidRPr="00990FB6" w:rsidRDefault="00B15F7D" w:rsidP="00B15F7D">
      <w:pPr>
        <w:suppressAutoHyphens w:val="0"/>
        <w:ind w:left="851" w:right="1275" w:firstLine="709"/>
        <w:contextualSpacing/>
        <w:jc w:val="both"/>
        <w:rPr>
          <w:rFonts w:eastAsia="Calibri"/>
          <w:sz w:val="22"/>
          <w:szCs w:val="22"/>
          <w:lang w:val="es-CR" w:eastAsia="en-US"/>
        </w:rPr>
      </w:pPr>
      <w:r w:rsidRPr="00990FB6">
        <w:rPr>
          <w:rFonts w:eastAsia="Calibri"/>
          <w:sz w:val="22"/>
          <w:szCs w:val="22"/>
          <w:lang w:val="es-CR" w:eastAsia="en-US"/>
        </w:rPr>
        <w:t>A pesar de que los juzgados penales de Turrialba, Coto Brus, Buenos Aires, La Fortuna, Los Chiles y Cartago, no han sido abordados como parte del proyecto del Modelo Penal, es posible determinar la necesidad de requerimiento humano en el puesto de persona técnica judicial (Coto Brus, Buenos Aires, La Fortuna, Los Chiles y Atenas), a partir de la comparación de su estructura organizacional ordinaria con la aprobada para los juzgados penales; en el caso del personal juzgador (Turrialba y Cartago), con  la entrada mensual de asuntos nuevos, se determina la cantidad teórica de jueces o juezas que requerirían, según la cuota establecida. Debido a lo anterior, se considera necesario para brindar un mejor servicio al usuario la asignación de recurso adicional, el cual tendría un costo total anual de ₡ 194 019 000,00.</w:t>
      </w:r>
    </w:p>
    <w:p w14:paraId="21F12383" w14:textId="77777777" w:rsidR="00B15F7D" w:rsidRPr="00990FB6" w:rsidRDefault="00B15F7D" w:rsidP="00B15F7D">
      <w:pPr>
        <w:suppressAutoHyphens w:val="0"/>
        <w:ind w:left="851" w:right="1275" w:firstLine="709"/>
        <w:contextualSpacing/>
        <w:jc w:val="both"/>
        <w:rPr>
          <w:rFonts w:eastAsia="Calibri"/>
          <w:sz w:val="22"/>
          <w:szCs w:val="22"/>
          <w:lang w:val="es-CR" w:eastAsia="en-US"/>
        </w:rPr>
      </w:pPr>
    </w:p>
    <w:p w14:paraId="3AEC1F19" w14:textId="77777777" w:rsidR="00B15F7D" w:rsidRPr="00990FB6" w:rsidRDefault="00B15F7D" w:rsidP="00B15F7D">
      <w:pPr>
        <w:suppressAutoHyphens w:val="0"/>
        <w:ind w:left="851" w:right="1275" w:firstLine="709"/>
        <w:contextualSpacing/>
        <w:jc w:val="both"/>
        <w:rPr>
          <w:rFonts w:eastAsia="Calibri"/>
          <w:sz w:val="22"/>
          <w:szCs w:val="22"/>
          <w:lang w:val="es-CR" w:eastAsia="en-US"/>
        </w:rPr>
      </w:pPr>
      <w:r w:rsidRPr="00990FB6">
        <w:rPr>
          <w:rFonts w:eastAsia="Calibri"/>
          <w:sz w:val="22"/>
          <w:szCs w:val="22"/>
          <w:lang w:val="es-CR" w:eastAsia="en-US"/>
        </w:rPr>
        <w:t xml:space="preserve">La necesidad del Juzgado Penal de Buenos Aires ha sido cubierta a través de permisos con goce de salario bajo el artículo 44, por lo que el incremento en el costo de la oficina debería ser mínimo a la hora de realizarse el cambio de forma temporal a permanente, en comparación de crear plazas ordinarias completamente nuevas. </w:t>
      </w:r>
    </w:p>
    <w:p w14:paraId="0F71D901"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1D9EA374" w14:textId="77777777" w:rsidR="00B15F7D" w:rsidRPr="00990FB6" w:rsidRDefault="00B15F7D" w:rsidP="00B15F7D">
      <w:pPr>
        <w:numPr>
          <w:ilvl w:val="0"/>
          <w:numId w:val="128"/>
        </w:numPr>
        <w:suppressAutoHyphens w:val="0"/>
        <w:ind w:left="851" w:right="1275" w:firstLine="709"/>
        <w:contextualSpacing/>
        <w:jc w:val="both"/>
        <w:rPr>
          <w:rFonts w:eastAsia="Calibri"/>
          <w:b/>
          <w:bCs/>
          <w:sz w:val="22"/>
          <w:szCs w:val="22"/>
          <w:lang w:val="es-CR" w:eastAsia="en-US"/>
        </w:rPr>
      </w:pPr>
      <w:r w:rsidRPr="00990FB6">
        <w:rPr>
          <w:rFonts w:eastAsia="Calibri"/>
          <w:b/>
          <w:bCs/>
          <w:sz w:val="22"/>
          <w:szCs w:val="22"/>
          <w:lang w:val="es-CR" w:eastAsia="en-US"/>
        </w:rPr>
        <w:t>Tribunales Penales</w:t>
      </w:r>
    </w:p>
    <w:p w14:paraId="69F1536F" w14:textId="77777777" w:rsidR="00B15F7D" w:rsidRPr="00990FB6" w:rsidRDefault="00B15F7D" w:rsidP="00B15F7D">
      <w:pPr>
        <w:suppressAutoHyphens w:val="0"/>
        <w:ind w:left="851" w:right="1275" w:firstLine="709"/>
        <w:jc w:val="both"/>
        <w:rPr>
          <w:rFonts w:eastAsia="Calibri"/>
          <w:color w:val="000000"/>
          <w:sz w:val="22"/>
          <w:szCs w:val="22"/>
          <w:lang w:val="es-CR" w:eastAsia="en-US"/>
        </w:rPr>
      </w:pPr>
    </w:p>
    <w:p w14:paraId="6A1AAF4D" w14:textId="77777777" w:rsidR="00B15F7D" w:rsidRPr="00990FB6" w:rsidRDefault="00B15F7D" w:rsidP="00B15F7D">
      <w:pPr>
        <w:suppressAutoHyphens w:val="0"/>
        <w:ind w:left="851" w:right="1275" w:firstLine="709"/>
        <w:jc w:val="both"/>
        <w:rPr>
          <w:rFonts w:eastAsia="Calibri"/>
          <w:color w:val="000000"/>
          <w:sz w:val="22"/>
          <w:szCs w:val="22"/>
          <w:lang w:val="es-CR" w:eastAsia="en-US"/>
        </w:rPr>
      </w:pPr>
      <w:r w:rsidRPr="00990FB6">
        <w:rPr>
          <w:rFonts w:eastAsia="Calibri"/>
          <w:color w:val="000000"/>
          <w:sz w:val="22"/>
          <w:szCs w:val="22"/>
          <w:lang w:val="es-CR" w:eastAsia="en-US"/>
        </w:rPr>
        <w:t>Si bien es cierto, para los Tribunales Penales existe una estructura organizacional aprobada por el Consejo Superior en sesión del Consejo Superior 2-19 del 10 de enero del 2019, artículo 2-19, según informe 1427-PLA-18, para el presente informe se planteará la necesidad de requerimiento humano para los despachos que ya fueron abordados como parte de proyecto del Modelo Penal o aquellos Tribunales que cuentan con un informe técnico que sustente la necesidad de asignación de personal adicional, puesto que la dinámica de trabajo de estos despachos debe ser analizada para determinar la necesidad de asignación de recurso adicional.</w:t>
      </w:r>
    </w:p>
    <w:p w14:paraId="1CC3FEFB" w14:textId="77777777" w:rsidR="00B15F7D" w:rsidRPr="00990FB6" w:rsidRDefault="00B15F7D" w:rsidP="00B15F7D">
      <w:pPr>
        <w:suppressAutoHyphens w:val="0"/>
        <w:ind w:left="851" w:right="1275" w:firstLine="709"/>
        <w:contextualSpacing/>
        <w:jc w:val="both"/>
        <w:rPr>
          <w:rFonts w:eastAsia="Calibri"/>
          <w:color w:val="000000"/>
          <w:sz w:val="22"/>
          <w:szCs w:val="22"/>
          <w:u w:color="000000"/>
          <w:lang w:eastAsia="en-US"/>
        </w:rPr>
      </w:pPr>
    </w:p>
    <w:p w14:paraId="2619AD24" w14:textId="77777777" w:rsidR="00B15F7D" w:rsidRPr="00990FB6" w:rsidRDefault="00B15F7D" w:rsidP="00B15F7D">
      <w:pPr>
        <w:suppressAutoHyphens w:val="0"/>
        <w:ind w:left="851" w:right="1275" w:firstLine="709"/>
        <w:contextualSpacing/>
        <w:jc w:val="both"/>
        <w:rPr>
          <w:rFonts w:eastAsia="Calibri"/>
          <w:color w:val="000000"/>
          <w:sz w:val="22"/>
          <w:szCs w:val="22"/>
          <w:u w:color="000000"/>
          <w:lang w:eastAsia="en-US"/>
        </w:rPr>
      </w:pPr>
      <w:r w:rsidRPr="00990FB6">
        <w:rPr>
          <w:rFonts w:eastAsia="Calibri"/>
          <w:color w:val="000000"/>
          <w:sz w:val="22"/>
          <w:szCs w:val="22"/>
          <w:u w:color="000000"/>
          <w:lang w:eastAsia="en-US"/>
        </w:rPr>
        <w:t xml:space="preserve">En línea con lo anterior, de seguido se muestra el detalle de requerimiento humano para los Tribunales Penales, iniciando con los despachos que cuentan con una estructura mínima y que actualmente mantienen permisos con goce de salario para la conformación de una sección mixta. </w:t>
      </w:r>
    </w:p>
    <w:p w14:paraId="4213FC45" w14:textId="77777777" w:rsidR="00B15F7D" w:rsidRPr="00990FB6" w:rsidRDefault="00B15F7D" w:rsidP="00B15F7D">
      <w:pPr>
        <w:suppressAutoHyphens w:val="0"/>
        <w:ind w:left="851" w:right="1275" w:firstLine="709"/>
        <w:contextualSpacing/>
        <w:jc w:val="both"/>
        <w:rPr>
          <w:rFonts w:eastAsia="Calibri"/>
          <w:color w:val="000000"/>
          <w:sz w:val="22"/>
          <w:szCs w:val="22"/>
          <w:u w:color="000000"/>
          <w:lang w:eastAsia="en-US"/>
        </w:rPr>
      </w:pPr>
    </w:p>
    <w:p w14:paraId="13C1B3C4" w14:textId="77777777" w:rsidR="00B15F7D" w:rsidRPr="00990FB6" w:rsidRDefault="00B15F7D" w:rsidP="00B15F7D">
      <w:pPr>
        <w:numPr>
          <w:ilvl w:val="1"/>
          <w:numId w:val="128"/>
        </w:numPr>
        <w:suppressAutoHyphens w:val="0"/>
        <w:ind w:left="851" w:right="1275" w:firstLine="709"/>
        <w:contextualSpacing/>
        <w:jc w:val="both"/>
        <w:rPr>
          <w:rFonts w:eastAsia="Calibri"/>
          <w:b/>
          <w:bCs/>
          <w:sz w:val="22"/>
          <w:szCs w:val="22"/>
          <w:lang w:val="es-CR" w:eastAsia="en-US"/>
        </w:rPr>
      </w:pPr>
      <w:r w:rsidRPr="00990FB6">
        <w:rPr>
          <w:rFonts w:eastAsia="Calibri"/>
          <w:b/>
          <w:bCs/>
          <w:sz w:val="22"/>
          <w:szCs w:val="22"/>
          <w:lang w:val="es-CR" w:eastAsia="en-US"/>
        </w:rPr>
        <w:t xml:space="preserve"> Tribunales Penales con estructura mínima</w:t>
      </w:r>
    </w:p>
    <w:p w14:paraId="091A31BC" w14:textId="77777777" w:rsidR="00B15F7D" w:rsidRPr="00990FB6" w:rsidRDefault="00B15F7D" w:rsidP="00B15F7D">
      <w:pPr>
        <w:suppressAutoHyphens w:val="0"/>
        <w:ind w:left="851" w:right="1275" w:firstLine="709"/>
        <w:jc w:val="both"/>
        <w:rPr>
          <w:rFonts w:eastAsia="Arial Unicode MS"/>
          <w:color w:val="000000"/>
          <w:sz w:val="22"/>
          <w:szCs w:val="22"/>
          <w:lang w:val="es-CR" w:eastAsia="en-US"/>
        </w:rPr>
      </w:pPr>
    </w:p>
    <w:p w14:paraId="4CF2B05E" w14:textId="77777777" w:rsidR="00B15F7D" w:rsidRPr="00990FB6" w:rsidRDefault="00B15F7D" w:rsidP="00B15F7D">
      <w:pPr>
        <w:suppressAutoHyphens w:val="0"/>
        <w:ind w:left="851" w:right="1275" w:firstLine="709"/>
        <w:jc w:val="both"/>
        <w:rPr>
          <w:rFonts w:eastAsia="Calibri"/>
          <w:color w:val="000000"/>
          <w:sz w:val="22"/>
          <w:szCs w:val="22"/>
          <w:lang w:val="es-CR" w:eastAsia="en-US"/>
        </w:rPr>
      </w:pPr>
      <w:r w:rsidRPr="00990FB6">
        <w:rPr>
          <w:rFonts w:eastAsia="Arial Unicode MS"/>
          <w:color w:val="000000"/>
          <w:sz w:val="22"/>
          <w:szCs w:val="22"/>
          <w:lang w:val="es-CR" w:eastAsia="en-US"/>
        </w:rPr>
        <w:t>El primer análisis se realizará en los Tribunales Penales que, disponen de estructuras mínimas que los limita a la realización de los juicios colegiados, a saber: Sarapiquí, Siquirres, Quepos, Turrialba, Cañas y Santa Cruz</w:t>
      </w:r>
      <w:r w:rsidRPr="00990FB6">
        <w:rPr>
          <w:rFonts w:eastAsia="Calibri"/>
          <w:color w:val="000000"/>
          <w:sz w:val="22"/>
          <w:szCs w:val="22"/>
          <w:lang w:val="es-CR" w:eastAsia="en-US"/>
        </w:rPr>
        <w:t xml:space="preserve">, puesto que para resolver los expedientes de juicios colegiados, es necesario que se integren en conjunto con los Tribunales Penales cabecera de cada cantón (Heredia, Cartago, Puntarenas, Guápiles, Liberia y Nicoya), situación que limita la atención </w:t>
      </w:r>
      <w:r w:rsidRPr="00990FB6">
        <w:rPr>
          <w:rFonts w:eastAsia="Calibri"/>
          <w:color w:val="000000"/>
          <w:sz w:val="22"/>
          <w:szCs w:val="22"/>
          <w:lang w:val="es-CR" w:eastAsia="en-US"/>
        </w:rPr>
        <w:lastRenderedPageBreak/>
        <w:t>de ambas zonas; seguidamente se detalla el requerimiento de personal para los despachos penales con estas características:</w:t>
      </w:r>
    </w:p>
    <w:p w14:paraId="1564F366" w14:textId="77777777" w:rsidR="00B15F7D" w:rsidRPr="00990FB6" w:rsidRDefault="00B15F7D" w:rsidP="00B15F7D">
      <w:pPr>
        <w:suppressAutoHyphens w:val="0"/>
        <w:contextualSpacing/>
        <w:jc w:val="both"/>
        <w:rPr>
          <w:rFonts w:eastAsia="Calibri"/>
          <w:color w:val="000000"/>
          <w:sz w:val="22"/>
          <w:szCs w:val="22"/>
          <w:u w:color="000000"/>
          <w:lang w:eastAsia="en-US"/>
        </w:rPr>
        <w:sectPr w:rsidR="00B15F7D" w:rsidRPr="00990FB6" w:rsidSect="00B305D7">
          <w:headerReference w:type="default" r:id="rId52"/>
          <w:footerReference w:type="default" r:id="rId53"/>
          <w:pgSz w:w="12242" w:h="15842" w:code="1"/>
          <w:pgMar w:top="719" w:right="1469" w:bottom="284" w:left="1560" w:header="709" w:footer="709" w:gutter="0"/>
          <w:pgBorders w:offsetFrom="page">
            <w:bottom w:val="single" w:sz="12" w:space="24" w:color="auto"/>
          </w:pgBorders>
          <w:cols w:space="708"/>
          <w:docGrid w:linePitch="360"/>
        </w:sectPr>
      </w:pPr>
    </w:p>
    <w:p w14:paraId="5CDA3D16" w14:textId="77777777" w:rsidR="00B15F7D" w:rsidRPr="00990FB6" w:rsidRDefault="00B15F7D" w:rsidP="00B15F7D">
      <w:pPr>
        <w:jc w:val="center"/>
        <w:rPr>
          <w:rFonts w:eastAsia="Calibri"/>
          <w:b/>
          <w:bCs/>
          <w:color w:val="00000A"/>
          <w:sz w:val="22"/>
          <w:szCs w:val="22"/>
          <w:lang w:eastAsia="en-US"/>
        </w:rPr>
      </w:pPr>
      <w:r w:rsidRPr="00990FB6">
        <w:rPr>
          <w:b/>
          <w:bCs/>
          <w:color w:val="00000A"/>
          <w:sz w:val="22"/>
          <w:szCs w:val="22"/>
          <w:lang w:eastAsia="es-ES"/>
        </w:rPr>
        <w:lastRenderedPageBreak/>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5</w:t>
      </w:r>
      <w:r w:rsidRPr="00990FB6">
        <w:rPr>
          <w:b/>
          <w:bCs/>
          <w:color w:val="00000A"/>
          <w:sz w:val="22"/>
          <w:szCs w:val="22"/>
          <w:lang w:eastAsia="es-ES"/>
        </w:rPr>
        <w:fldChar w:fldCharType="end"/>
      </w:r>
    </w:p>
    <w:p w14:paraId="3B665533" w14:textId="1247FD41" w:rsidR="00B15F7D" w:rsidRPr="00990FB6" w:rsidRDefault="00B15F7D" w:rsidP="00B15F7D">
      <w:pPr>
        <w:tabs>
          <w:tab w:val="left" w:pos="8364"/>
        </w:tabs>
        <w:suppressAutoHyphens w:val="0"/>
        <w:contextualSpacing/>
        <w:jc w:val="center"/>
        <w:rPr>
          <w:rFonts w:eastAsia="Calibri"/>
          <w:b/>
          <w:bCs/>
          <w:sz w:val="22"/>
          <w:szCs w:val="22"/>
          <w:lang w:val="es-CR" w:eastAsia="en-US"/>
        </w:rPr>
      </w:pPr>
      <w:r w:rsidRPr="00990FB6">
        <w:rPr>
          <w:rFonts w:eastAsia="Calibri"/>
          <w:b/>
          <w:bCs/>
          <w:sz w:val="22"/>
          <w:szCs w:val="22"/>
          <w:lang w:val="es-CR" w:eastAsia="en-US"/>
        </w:rPr>
        <w:t>Costo anual de requerimiento humano adicional para los juzgados penales que aún no han sido abordados como parte del proyecto del Modelo Penal</w:t>
      </w:r>
    </w:p>
    <w:p w14:paraId="6ECB55AA" w14:textId="77777777" w:rsidR="004D284E" w:rsidRPr="00990FB6" w:rsidRDefault="004D284E" w:rsidP="00B15F7D">
      <w:pPr>
        <w:tabs>
          <w:tab w:val="left" w:pos="8364"/>
        </w:tabs>
        <w:suppressAutoHyphens w:val="0"/>
        <w:contextualSpacing/>
        <w:jc w:val="center"/>
        <w:rPr>
          <w:rFonts w:eastAsia="Calibri"/>
          <w:b/>
          <w:bCs/>
          <w:sz w:val="22"/>
          <w:szCs w:val="22"/>
          <w:lang w:val="es-CR" w:eastAsia="en-US"/>
        </w:rPr>
      </w:pPr>
    </w:p>
    <w:tbl>
      <w:tblPr>
        <w:tblW w:w="50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98"/>
        <w:gridCol w:w="788"/>
        <w:gridCol w:w="844"/>
        <w:gridCol w:w="1074"/>
        <w:gridCol w:w="896"/>
        <w:gridCol w:w="814"/>
        <w:gridCol w:w="972"/>
        <w:gridCol w:w="569"/>
        <w:gridCol w:w="955"/>
        <w:gridCol w:w="774"/>
        <w:gridCol w:w="791"/>
        <w:gridCol w:w="1144"/>
        <w:gridCol w:w="849"/>
        <w:gridCol w:w="1279"/>
        <w:gridCol w:w="849"/>
      </w:tblGrid>
      <w:tr w:rsidR="00B15F7D" w:rsidRPr="00990FB6" w14:paraId="30B1933F" w14:textId="77777777" w:rsidTr="000A0C22">
        <w:trPr>
          <w:trHeight w:val="458"/>
        </w:trPr>
        <w:tc>
          <w:tcPr>
            <w:tcW w:w="1918" w:type="pct"/>
            <w:gridSpan w:val="5"/>
            <w:vMerge w:val="restart"/>
            <w:shd w:val="clear" w:color="000000" w:fill="A9D08E"/>
            <w:noWrap/>
            <w:vAlign w:val="center"/>
            <w:hideMark/>
          </w:tcPr>
          <w:p w14:paraId="5FDF680E"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ESTADÍSTICAS</w:t>
            </w:r>
          </w:p>
        </w:tc>
        <w:tc>
          <w:tcPr>
            <w:tcW w:w="1134" w:type="pct"/>
            <w:gridSpan w:val="4"/>
            <w:vMerge w:val="restart"/>
            <w:shd w:val="clear" w:color="000000" w:fill="BDD7EE"/>
            <w:noWrap/>
            <w:vAlign w:val="center"/>
            <w:hideMark/>
          </w:tcPr>
          <w:p w14:paraId="18A7DBD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xml:space="preserve">RECURSO HUMANO ORDINARIO </w:t>
            </w:r>
          </w:p>
        </w:tc>
        <w:tc>
          <w:tcPr>
            <w:tcW w:w="536" w:type="pct"/>
            <w:gridSpan w:val="2"/>
            <w:vMerge w:val="restart"/>
            <w:shd w:val="clear" w:color="000000" w:fill="E890D5"/>
            <w:vAlign w:val="center"/>
            <w:hideMark/>
          </w:tcPr>
          <w:p w14:paraId="7AA8CEFE"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ESTRUCTURA ORGANIZACIONAL</w:t>
            </w:r>
          </w:p>
        </w:tc>
        <w:tc>
          <w:tcPr>
            <w:tcW w:w="1411" w:type="pct"/>
            <w:gridSpan w:val="4"/>
            <w:vMerge w:val="restart"/>
            <w:shd w:val="clear" w:color="000000" w:fill="FCE4D6"/>
            <w:noWrap/>
            <w:vAlign w:val="center"/>
            <w:hideMark/>
          </w:tcPr>
          <w:p w14:paraId="3919DFF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REQUERIMIENTO DE RECURSO HUMANO</w:t>
            </w:r>
          </w:p>
        </w:tc>
      </w:tr>
      <w:tr w:rsidR="00B15F7D" w:rsidRPr="00990FB6" w14:paraId="6BF25CB8" w14:textId="77777777" w:rsidTr="000A0C22">
        <w:trPr>
          <w:trHeight w:val="458"/>
        </w:trPr>
        <w:tc>
          <w:tcPr>
            <w:tcW w:w="1918" w:type="pct"/>
            <w:gridSpan w:val="5"/>
            <w:vMerge/>
            <w:vAlign w:val="center"/>
            <w:hideMark/>
          </w:tcPr>
          <w:p w14:paraId="276A982D" w14:textId="77777777" w:rsidR="00B15F7D" w:rsidRPr="00990FB6" w:rsidRDefault="00B15F7D" w:rsidP="00B15F7D">
            <w:pPr>
              <w:suppressAutoHyphens w:val="0"/>
              <w:rPr>
                <w:b/>
                <w:bCs/>
                <w:color w:val="000000"/>
                <w:sz w:val="22"/>
                <w:szCs w:val="22"/>
                <w:lang w:val="es-CR" w:eastAsia="es-CR"/>
              </w:rPr>
            </w:pPr>
          </w:p>
        </w:tc>
        <w:tc>
          <w:tcPr>
            <w:tcW w:w="1134" w:type="pct"/>
            <w:gridSpan w:val="4"/>
            <w:vMerge/>
            <w:vAlign w:val="center"/>
            <w:hideMark/>
          </w:tcPr>
          <w:p w14:paraId="3F5CCA58" w14:textId="77777777" w:rsidR="00B15F7D" w:rsidRPr="00990FB6" w:rsidRDefault="00B15F7D" w:rsidP="00B15F7D">
            <w:pPr>
              <w:suppressAutoHyphens w:val="0"/>
              <w:rPr>
                <w:b/>
                <w:bCs/>
                <w:color w:val="000000"/>
                <w:sz w:val="22"/>
                <w:szCs w:val="22"/>
                <w:lang w:val="es-CR" w:eastAsia="es-CR"/>
              </w:rPr>
            </w:pPr>
          </w:p>
        </w:tc>
        <w:tc>
          <w:tcPr>
            <w:tcW w:w="536" w:type="pct"/>
            <w:gridSpan w:val="2"/>
            <w:vMerge/>
            <w:vAlign w:val="center"/>
            <w:hideMark/>
          </w:tcPr>
          <w:p w14:paraId="65CB5D32" w14:textId="77777777" w:rsidR="00B15F7D" w:rsidRPr="00990FB6" w:rsidRDefault="00B15F7D" w:rsidP="00B15F7D">
            <w:pPr>
              <w:suppressAutoHyphens w:val="0"/>
              <w:rPr>
                <w:b/>
                <w:bCs/>
                <w:color w:val="000000"/>
                <w:sz w:val="22"/>
                <w:szCs w:val="22"/>
                <w:lang w:val="es-CR" w:eastAsia="es-CR"/>
              </w:rPr>
            </w:pPr>
          </w:p>
        </w:tc>
        <w:tc>
          <w:tcPr>
            <w:tcW w:w="1411" w:type="pct"/>
            <w:gridSpan w:val="4"/>
            <w:vMerge/>
            <w:vAlign w:val="center"/>
            <w:hideMark/>
          </w:tcPr>
          <w:p w14:paraId="45C32F17" w14:textId="77777777" w:rsidR="00B15F7D" w:rsidRPr="00990FB6" w:rsidRDefault="00B15F7D" w:rsidP="00B15F7D">
            <w:pPr>
              <w:suppressAutoHyphens w:val="0"/>
              <w:rPr>
                <w:b/>
                <w:bCs/>
                <w:color w:val="000000"/>
                <w:sz w:val="22"/>
                <w:szCs w:val="22"/>
                <w:lang w:val="es-CR" w:eastAsia="es-CR"/>
              </w:rPr>
            </w:pPr>
          </w:p>
        </w:tc>
      </w:tr>
      <w:tr w:rsidR="00B15F7D" w:rsidRPr="00990FB6" w14:paraId="251B7951" w14:textId="77777777" w:rsidTr="000A0C22">
        <w:trPr>
          <w:trHeight w:val="1470"/>
        </w:trPr>
        <w:tc>
          <w:tcPr>
            <w:tcW w:w="684" w:type="pct"/>
            <w:shd w:val="clear" w:color="000000" w:fill="A9D08E"/>
            <w:vAlign w:val="center"/>
            <w:hideMark/>
          </w:tcPr>
          <w:p w14:paraId="4BDBF71A"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Oficina</w:t>
            </w:r>
          </w:p>
        </w:tc>
        <w:tc>
          <w:tcPr>
            <w:tcW w:w="270" w:type="pct"/>
            <w:shd w:val="clear" w:color="000000" w:fill="A9D08E"/>
            <w:vAlign w:val="center"/>
            <w:hideMark/>
          </w:tcPr>
          <w:p w14:paraId="50A38ED0"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Promedio de asuntos entrados 2017 al 2022</w:t>
            </w:r>
          </w:p>
        </w:tc>
        <w:tc>
          <w:tcPr>
            <w:tcW w:w="289" w:type="pct"/>
            <w:shd w:val="clear" w:color="000000" w:fill="A9D08E"/>
            <w:vAlign w:val="center"/>
            <w:hideMark/>
          </w:tcPr>
          <w:p w14:paraId="2DAAB0C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de entrada colegiados</w:t>
            </w:r>
          </w:p>
        </w:tc>
        <w:tc>
          <w:tcPr>
            <w:tcW w:w="368" w:type="pct"/>
            <w:shd w:val="clear" w:color="000000" w:fill="A9D08E"/>
            <w:vAlign w:val="center"/>
            <w:hideMark/>
          </w:tcPr>
          <w:p w14:paraId="084BCB3C"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de entrada unipersonales</w:t>
            </w:r>
          </w:p>
        </w:tc>
        <w:tc>
          <w:tcPr>
            <w:tcW w:w="307" w:type="pct"/>
            <w:shd w:val="clear" w:color="000000" w:fill="A9D08E"/>
            <w:vAlign w:val="center"/>
            <w:hideMark/>
          </w:tcPr>
          <w:p w14:paraId="5EC07E9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sin integra.</w:t>
            </w:r>
          </w:p>
        </w:tc>
        <w:tc>
          <w:tcPr>
            <w:tcW w:w="279" w:type="pct"/>
            <w:shd w:val="clear" w:color="000000" w:fill="BDD7EE"/>
            <w:vAlign w:val="center"/>
            <w:hideMark/>
          </w:tcPr>
          <w:p w14:paraId="19C50667"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 de Jueces(as) 4</w:t>
            </w:r>
          </w:p>
        </w:tc>
        <w:tc>
          <w:tcPr>
            <w:tcW w:w="333" w:type="pct"/>
            <w:shd w:val="clear" w:color="000000" w:fill="BDD7EE"/>
            <w:vAlign w:val="center"/>
            <w:hideMark/>
          </w:tcPr>
          <w:p w14:paraId="369362F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Coordinador</w:t>
            </w:r>
            <w:r w:rsidRPr="00990FB6">
              <w:rPr>
                <w:b/>
                <w:bCs/>
                <w:color w:val="000000"/>
                <w:sz w:val="22"/>
                <w:szCs w:val="22"/>
                <w:lang w:val="es-CR" w:eastAsia="es-CR"/>
              </w:rPr>
              <w:br/>
              <w:t>(a) Judicial</w:t>
            </w:r>
          </w:p>
        </w:tc>
        <w:tc>
          <w:tcPr>
            <w:tcW w:w="195" w:type="pct"/>
            <w:shd w:val="clear" w:color="000000" w:fill="BDD7EE"/>
            <w:vAlign w:val="center"/>
            <w:hideMark/>
          </w:tcPr>
          <w:p w14:paraId="4F47F3B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Juez/a 1</w:t>
            </w:r>
          </w:p>
        </w:tc>
        <w:tc>
          <w:tcPr>
            <w:tcW w:w="326" w:type="pct"/>
            <w:shd w:val="clear" w:color="000000" w:fill="BDD7EE"/>
            <w:vAlign w:val="center"/>
            <w:hideMark/>
          </w:tcPr>
          <w:p w14:paraId="165CD15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 de Técnicos(as) Judiciales 3</w:t>
            </w:r>
          </w:p>
        </w:tc>
        <w:tc>
          <w:tcPr>
            <w:tcW w:w="265" w:type="pct"/>
            <w:shd w:val="clear" w:color="000000" w:fill="E890D5"/>
            <w:vAlign w:val="center"/>
            <w:hideMark/>
          </w:tcPr>
          <w:p w14:paraId="01D738F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 de secciones de Mixtas</w:t>
            </w:r>
          </w:p>
        </w:tc>
        <w:tc>
          <w:tcPr>
            <w:tcW w:w="271" w:type="pct"/>
            <w:shd w:val="clear" w:color="000000" w:fill="E890D5"/>
            <w:vAlign w:val="center"/>
            <w:hideMark/>
          </w:tcPr>
          <w:p w14:paraId="38B03C9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 de secciones de flagrancia</w:t>
            </w:r>
          </w:p>
        </w:tc>
        <w:tc>
          <w:tcPr>
            <w:tcW w:w="392" w:type="pct"/>
            <w:shd w:val="clear" w:color="000000" w:fill="FCE4D6"/>
            <w:vAlign w:val="center"/>
            <w:hideMark/>
          </w:tcPr>
          <w:p w14:paraId="5C110176"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Requerimiento teórico de jueces 1</w:t>
            </w:r>
          </w:p>
        </w:tc>
        <w:tc>
          <w:tcPr>
            <w:tcW w:w="291" w:type="pct"/>
            <w:shd w:val="clear" w:color="auto" w:fill="FBE4D5"/>
            <w:vAlign w:val="center"/>
            <w:hideMark/>
          </w:tcPr>
          <w:p w14:paraId="1371FAD7"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Necesidad de juez/a 1</w:t>
            </w:r>
          </w:p>
        </w:tc>
        <w:tc>
          <w:tcPr>
            <w:tcW w:w="438" w:type="pct"/>
            <w:shd w:val="clear" w:color="000000" w:fill="FCE4D6"/>
            <w:vAlign w:val="center"/>
            <w:hideMark/>
          </w:tcPr>
          <w:p w14:paraId="16B0BDF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Requerimiento teórico de personal técnico judicial</w:t>
            </w:r>
          </w:p>
        </w:tc>
        <w:tc>
          <w:tcPr>
            <w:tcW w:w="291" w:type="pct"/>
            <w:shd w:val="clear" w:color="auto" w:fill="FBE4D5"/>
            <w:vAlign w:val="center"/>
            <w:hideMark/>
          </w:tcPr>
          <w:p w14:paraId="15742E2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Necesidad de técnico/a judicial</w:t>
            </w:r>
          </w:p>
        </w:tc>
      </w:tr>
      <w:tr w:rsidR="00B15F7D" w:rsidRPr="00990FB6" w14:paraId="39DE1070" w14:textId="77777777" w:rsidTr="000A0C22">
        <w:trPr>
          <w:trHeight w:val="300"/>
        </w:trPr>
        <w:tc>
          <w:tcPr>
            <w:tcW w:w="684" w:type="pct"/>
            <w:shd w:val="clear" w:color="auto" w:fill="auto"/>
            <w:noWrap/>
            <w:vAlign w:val="center"/>
            <w:hideMark/>
          </w:tcPr>
          <w:p w14:paraId="2A09E8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Tribunal Penal de Sarapiquí</w:t>
            </w:r>
          </w:p>
        </w:tc>
        <w:tc>
          <w:tcPr>
            <w:tcW w:w="270" w:type="pct"/>
            <w:shd w:val="clear" w:color="auto" w:fill="auto"/>
            <w:noWrap/>
            <w:vAlign w:val="center"/>
            <w:hideMark/>
          </w:tcPr>
          <w:p w14:paraId="592A3D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19</w:t>
            </w:r>
          </w:p>
        </w:tc>
        <w:tc>
          <w:tcPr>
            <w:tcW w:w="289" w:type="pct"/>
            <w:shd w:val="clear" w:color="auto" w:fill="auto"/>
            <w:noWrap/>
            <w:vAlign w:val="center"/>
            <w:hideMark/>
          </w:tcPr>
          <w:p w14:paraId="447A327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35%</w:t>
            </w:r>
          </w:p>
        </w:tc>
        <w:tc>
          <w:tcPr>
            <w:tcW w:w="368" w:type="pct"/>
            <w:shd w:val="clear" w:color="auto" w:fill="auto"/>
            <w:noWrap/>
            <w:vAlign w:val="center"/>
            <w:hideMark/>
          </w:tcPr>
          <w:p w14:paraId="1EEF5C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65%</w:t>
            </w:r>
          </w:p>
        </w:tc>
        <w:tc>
          <w:tcPr>
            <w:tcW w:w="307" w:type="pct"/>
            <w:shd w:val="clear" w:color="auto" w:fill="auto"/>
            <w:noWrap/>
            <w:vAlign w:val="center"/>
            <w:hideMark/>
          </w:tcPr>
          <w:p w14:paraId="5FBF163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279" w:type="pct"/>
            <w:shd w:val="clear" w:color="000000" w:fill="FFFFFF"/>
            <w:noWrap/>
            <w:vAlign w:val="center"/>
            <w:hideMark/>
          </w:tcPr>
          <w:p w14:paraId="40C5341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33" w:type="pct"/>
            <w:shd w:val="clear" w:color="000000" w:fill="FFFFFF"/>
            <w:noWrap/>
            <w:vAlign w:val="center"/>
            <w:hideMark/>
          </w:tcPr>
          <w:p w14:paraId="686D5CC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95" w:type="pct"/>
            <w:shd w:val="clear" w:color="000000" w:fill="FFFFFF"/>
            <w:noWrap/>
            <w:vAlign w:val="center"/>
            <w:hideMark/>
          </w:tcPr>
          <w:p w14:paraId="468E38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6" w:type="pct"/>
            <w:shd w:val="clear" w:color="000000" w:fill="FFFFFF"/>
            <w:noWrap/>
            <w:vAlign w:val="center"/>
            <w:hideMark/>
          </w:tcPr>
          <w:p w14:paraId="592CCF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65" w:type="pct"/>
            <w:shd w:val="clear" w:color="000000" w:fill="FFFFFF"/>
            <w:noWrap/>
            <w:vAlign w:val="center"/>
            <w:hideMark/>
          </w:tcPr>
          <w:p w14:paraId="27202A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1" w:type="pct"/>
            <w:shd w:val="clear" w:color="000000" w:fill="FFFFFF"/>
            <w:noWrap/>
            <w:vAlign w:val="center"/>
            <w:hideMark/>
          </w:tcPr>
          <w:p w14:paraId="17FB01E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92" w:type="pct"/>
            <w:shd w:val="clear" w:color="000000" w:fill="FFFFFF"/>
            <w:noWrap/>
            <w:vAlign w:val="center"/>
            <w:hideMark/>
          </w:tcPr>
          <w:p w14:paraId="1385D7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291" w:type="pct"/>
            <w:shd w:val="clear" w:color="auto" w:fill="FBE4D5"/>
            <w:noWrap/>
            <w:vAlign w:val="center"/>
            <w:hideMark/>
          </w:tcPr>
          <w:p w14:paraId="10B9C8D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438" w:type="pct"/>
            <w:shd w:val="clear" w:color="000000" w:fill="FFFFFF"/>
            <w:noWrap/>
            <w:vAlign w:val="center"/>
            <w:hideMark/>
          </w:tcPr>
          <w:p w14:paraId="4259970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3,25</w:t>
            </w:r>
          </w:p>
        </w:tc>
        <w:tc>
          <w:tcPr>
            <w:tcW w:w="291" w:type="pct"/>
            <w:shd w:val="clear" w:color="auto" w:fill="FBE4D5"/>
            <w:noWrap/>
            <w:vAlign w:val="center"/>
            <w:hideMark/>
          </w:tcPr>
          <w:p w14:paraId="0202A0C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2,25</w:t>
            </w:r>
          </w:p>
        </w:tc>
      </w:tr>
      <w:tr w:rsidR="00B15F7D" w:rsidRPr="00990FB6" w14:paraId="03ADF121" w14:textId="77777777" w:rsidTr="000A0C22">
        <w:trPr>
          <w:trHeight w:val="300"/>
        </w:trPr>
        <w:tc>
          <w:tcPr>
            <w:tcW w:w="684" w:type="pct"/>
            <w:shd w:val="clear" w:color="auto" w:fill="auto"/>
            <w:noWrap/>
            <w:vAlign w:val="center"/>
            <w:hideMark/>
          </w:tcPr>
          <w:p w14:paraId="172969F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Tribunal Penal de Turrialba</w:t>
            </w:r>
          </w:p>
        </w:tc>
        <w:tc>
          <w:tcPr>
            <w:tcW w:w="270" w:type="pct"/>
            <w:shd w:val="clear" w:color="auto" w:fill="auto"/>
            <w:noWrap/>
            <w:vAlign w:val="center"/>
            <w:hideMark/>
          </w:tcPr>
          <w:p w14:paraId="2AD3DC7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27</w:t>
            </w:r>
          </w:p>
        </w:tc>
        <w:tc>
          <w:tcPr>
            <w:tcW w:w="289" w:type="pct"/>
            <w:shd w:val="clear" w:color="auto" w:fill="auto"/>
            <w:noWrap/>
            <w:vAlign w:val="center"/>
            <w:hideMark/>
          </w:tcPr>
          <w:p w14:paraId="1CBD74A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27%</w:t>
            </w:r>
          </w:p>
        </w:tc>
        <w:tc>
          <w:tcPr>
            <w:tcW w:w="368" w:type="pct"/>
            <w:shd w:val="clear" w:color="auto" w:fill="auto"/>
            <w:noWrap/>
            <w:vAlign w:val="center"/>
            <w:hideMark/>
          </w:tcPr>
          <w:p w14:paraId="2B3035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71%</w:t>
            </w:r>
          </w:p>
        </w:tc>
        <w:tc>
          <w:tcPr>
            <w:tcW w:w="307" w:type="pct"/>
            <w:shd w:val="clear" w:color="auto" w:fill="auto"/>
            <w:noWrap/>
            <w:vAlign w:val="center"/>
            <w:hideMark/>
          </w:tcPr>
          <w:p w14:paraId="738366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79" w:type="pct"/>
            <w:shd w:val="clear" w:color="000000" w:fill="FFFFFF"/>
            <w:noWrap/>
            <w:vAlign w:val="center"/>
            <w:hideMark/>
          </w:tcPr>
          <w:p w14:paraId="12F09A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33" w:type="pct"/>
            <w:shd w:val="clear" w:color="000000" w:fill="FFFFFF"/>
            <w:noWrap/>
            <w:vAlign w:val="center"/>
            <w:hideMark/>
          </w:tcPr>
          <w:p w14:paraId="337492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95" w:type="pct"/>
            <w:shd w:val="clear" w:color="000000" w:fill="FFFFFF"/>
            <w:noWrap/>
            <w:vAlign w:val="center"/>
            <w:hideMark/>
          </w:tcPr>
          <w:p w14:paraId="1A1889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6" w:type="pct"/>
            <w:shd w:val="clear" w:color="000000" w:fill="FFFFFF"/>
            <w:noWrap/>
            <w:vAlign w:val="center"/>
            <w:hideMark/>
          </w:tcPr>
          <w:p w14:paraId="3A6127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65" w:type="pct"/>
            <w:shd w:val="clear" w:color="000000" w:fill="FFFFFF"/>
            <w:noWrap/>
            <w:vAlign w:val="center"/>
            <w:hideMark/>
          </w:tcPr>
          <w:p w14:paraId="3C3B3E8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1" w:type="pct"/>
            <w:shd w:val="clear" w:color="000000" w:fill="FFFFFF"/>
            <w:noWrap/>
            <w:vAlign w:val="center"/>
            <w:hideMark/>
          </w:tcPr>
          <w:p w14:paraId="47DAD3D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92" w:type="pct"/>
            <w:shd w:val="clear" w:color="000000" w:fill="FFFFFF"/>
            <w:noWrap/>
            <w:vAlign w:val="center"/>
            <w:hideMark/>
          </w:tcPr>
          <w:p w14:paraId="30FD3F7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291" w:type="pct"/>
            <w:shd w:val="clear" w:color="auto" w:fill="FBE4D5"/>
            <w:noWrap/>
            <w:vAlign w:val="center"/>
            <w:hideMark/>
          </w:tcPr>
          <w:p w14:paraId="7E795F3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438" w:type="pct"/>
            <w:shd w:val="clear" w:color="000000" w:fill="FFFFFF"/>
            <w:noWrap/>
            <w:vAlign w:val="center"/>
            <w:hideMark/>
          </w:tcPr>
          <w:p w14:paraId="1146EC1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3,25</w:t>
            </w:r>
          </w:p>
        </w:tc>
        <w:tc>
          <w:tcPr>
            <w:tcW w:w="291" w:type="pct"/>
            <w:shd w:val="clear" w:color="auto" w:fill="FBE4D5"/>
            <w:noWrap/>
            <w:vAlign w:val="center"/>
            <w:hideMark/>
          </w:tcPr>
          <w:p w14:paraId="68DD0FA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2,25</w:t>
            </w:r>
          </w:p>
        </w:tc>
      </w:tr>
      <w:tr w:rsidR="00B15F7D" w:rsidRPr="00990FB6" w14:paraId="11E09A9F" w14:textId="77777777" w:rsidTr="000A0C22">
        <w:trPr>
          <w:trHeight w:val="300"/>
        </w:trPr>
        <w:tc>
          <w:tcPr>
            <w:tcW w:w="684" w:type="pct"/>
            <w:shd w:val="clear" w:color="auto" w:fill="auto"/>
            <w:noWrap/>
            <w:vAlign w:val="center"/>
            <w:hideMark/>
          </w:tcPr>
          <w:p w14:paraId="43083D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Tribunal Penal de Quepos</w:t>
            </w:r>
          </w:p>
        </w:tc>
        <w:tc>
          <w:tcPr>
            <w:tcW w:w="270" w:type="pct"/>
            <w:shd w:val="clear" w:color="auto" w:fill="auto"/>
            <w:noWrap/>
            <w:vAlign w:val="center"/>
            <w:hideMark/>
          </w:tcPr>
          <w:p w14:paraId="2E33FD8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28</w:t>
            </w:r>
          </w:p>
        </w:tc>
        <w:tc>
          <w:tcPr>
            <w:tcW w:w="289" w:type="pct"/>
            <w:shd w:val="clear" w:color="auto" w:fill="auto"/>
            <w:noWrap/>
            <w:vAlign w:val="center"/>
            <w:hideMark/>
          </w:tcPr>
          <w:p w14:paraId="1B9112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41%</w:t>
            </w:r>
          </w:p>
        </w:tc>
        <w:tc>
          <w:tcPr>
            <w:tcW w:w="368" w:type="pct"/>
            <w:shd w:val="clear" w:color="auto" w:fill="auto"/>
            <w:noWrap/>
            <w:vAlign w:val="center"/>
            <w:hideMark/>
          </w:tcPr>
          <w:p w14:paraId="278F2E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59%</w:t>
            </w:r>
          </w:p>
        </w:tc>
        <w:tc>
          <w:tcPr>
            <w:tcW w:w="307" w:type="pct"/>
            <w:shd w:val="clear" w:color="auto" w:fill="auto"/>
            <w:noWrap/>
            <w:vAlign w:val="center"/>
            <w:hideMark/>
          </w:tcPr>
          <w:p w14:paraId="3AF194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279" w:type="pct"/>
            <w:shd w:val="clear" w:color="000000" w:fill="FFFFFF"/>
            <w:noWrap/>
            <w:vAlign w:val="center"/>
            <w:hideMark/>
          </w:tcPr>
          <w:p w14:paraId="60CF452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33" w:type="pct"/>
            <w:shd w:val="clear" w:color="000000" w:fill="FFFFFF"/>
            <w:noWrap/>
            <w:vAlign w:val="center"/>
            <w:hideMark/>
          </w:tcPr>
          <w:p w14:paraId="0A9C3D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95" w:type="pct"/>
            <w:shd w:val="clear" w:color="000000" w:fill="FFFFFF"/>
            <w:noWrap/>
            <w:vAlign w:val="center"/>
            <w:hideMark/>
          </w:tcPr>
          <w:p w14:paraId="26DE5C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6" w:type="pct"/>
            <w:shd w:val="clear" w:color="000000" w:fill="FFFFFF"/>
            <w:noWrap/>
            <w:vAlign w:val="center"/>
            <w:hideMark/>
          </w:tcPr>
          <w:p w14:paraId="3B948E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65" w:type="pct"/>
            <w:shd w:val="clear" w:color="000000" w:fill="FFFFFF"/>
            <w:noWrap/>
            <w:vAlign w:val="center"/>
            <w:hideMark/>
          </w:tcPr>
          <w:p w14:paraId="4D3C70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1" w:type="pct"/>
            <w:shd w:val="clear" w:color="000000" w:fill="FFFFFF"/>
            <w:noWrap/>
            <w:vAlign w:val="center"/>
            <w:hideMark/>
          </w:tcPr>
          <w:p w14:paraId="22A519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92" w:type="pct"/>
            <w:shd w:val="clear" w:color="000000" w:fill="FFFFFF"/>
            <w:noWrap/>
            <w:vAlign w:val="center"/>
            <w:hideMark/>
          </w:tcPr>
          <w:p w14:paraId="32D2A92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291" w:type="pct"/>
            <w:shd w:val="clear" w:color="auto" w:fill="FBE4D5"/>
            <w:noWrap/>
            <w:vAlign w:val="center"/>
            <w:hideMark/>
          </w:tcPr>
          <w:p w14:paraId="56AF9F4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438" w:type="pct"/>
            <w:shd w:val="clear" w:color="000000" w:fill="FFFFFF"/>
            <w:noWrap/>
            <w:vAlign w:val="center"/>
            <w:hideMark/>
          </w:tcPr>
          <w:p w14:paraId="2A7E081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3,25</w:t>
            </w:r>
          </w:p>
        </w:tc>
        <w:tc>
          <w:tcPr>
            <w:tcW w:w="291" w:type="pct"/>
            <w:shd w:val="clear" w:color="auto" w:fill="FBE4D5"/>
            <w:noWrap/>
            <w:vAlign w:val="center"/>
            <w:hideMark/>
          </w:tcPr>
          <w:p w14:paraId="40081A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2,25</w:t>
            </w:r>
          </w:p>
        </w:tc>
      </w:tr>
      <w:tr w:rsidR="00B15F7D" w:rsidRPr="00990FB6" w14:paraId="5FCF76BE" w14:textId="77777777" w:rsidTr="000A0C22">
        <w:trPr>
          <w:trHeight w:val="300"/>
        </w:trPr>
        <w:tc>
          <w:tcPr>
            <w:tcW w:w="684" w:type="pct"/>
            <w:shd w:val="clear" w:color="auto" w:fill="auto"/>
            <w:noWrap/>
            <w:vAlign w:val="center"/>
            <w:hideMark/>
          </w:tcPr>
          <w:p w14:paraId="709885A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Tribunal Penal de Siquirres</w:t>
            </w:r>
          </w:p>
        </w:tc>
        <w:tc>
          <w:tcPr>
            <w:tcW w:w="270" w:type="pct"/>
            <w:shd w:val="clear" w:color="auto" w:fill="auto"/>
            <w:noWrap/>
            <w:vAlign w:val="center"/>
            <w:hideMark/>
          </w:tcPr>
          <w:p w14:paraId="264D15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25</w:t>
            </w:r>
          </w:p>
        </w:tc>
        <w:tc>
          <w:tcPr>
            <w:tcW w:w="289" w:type="pct"/>
            <w:shd w:val="clear" w:color="auto" w:fill="auto"/>
            <w:noWrap/>
            <w:vAlign w:val="center"/>
            <w:hideMark/>
          </w:tcPr>
          <w:p w14:paraId="7639709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42%</w:t>
            </w:r>
          </w:p>
        </w:tc>
        <w:tc>
          <w:tcPr>
            <w:tcW w:w="368" w:type="pct"/>
            <w:shd w:val="clear" w:color="auto" w:fill="auto"/>
            <w:noWrap/>
            <w:vAlign w:val="center"/>
            <w:hideMark/>
          </w:tcPr>
          <w:p w14:paraId="14A243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58%</w:t>
            </w:r>
          </w:p>
        </w:tc>
        <w:tc>
          <w:tcPr>
            <w:tcW w:w="307" w:type="pct"/>
            <w:shd w:val="clear" w:color="auto" w:fill="auto"/>
            <w:noWrap/>
            <w:vAlign w:val="center"/>
            <w:hideMark/>
          </w:tcPr>
          <w:p w14:paraId="30027BE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279" w:type="pct"/>
            <w:shd w:val="clear" w:color="000000" w:fill="FFFFFF"/>
            <w:noWrap/>
            <w:vAlign w:val="center"/>
            <w:hideMark/>
          </w:tcPr>
          <w:p w14:paraId="6A5820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33" w:type="pct"/>
            <w:shd w:val="clear" w:color="000000" w:fill="FFFFFF"/>
            <w:noWrap/>
            <w:vAlign w:val="center"/>
            <w:hideMark/>
          </w:tcPr>
          <w:p w14:paraId="51EADC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95" w:type="pct"/>
            <w:shd w:val="clear" w:color="000000" w:fill="FFFFFF"/>
            <w:noWrap/>
            <w:vAlign w:val="center"/>
            <w:hideMark/>
          </w:tcPr>
          <w:p w14:paraId="3A1EB40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6" w:type="pct"/>
            <w:shd w:val="clear" w:color="000000" w:fill="FFFFFF"/>
            <w:noWrap/>
            <w:vAlign w:val="center"/>
            <w:hideMark/>
          </w:tcPr>
          <w:p w14:paraId="46EE2CF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65" w:type="pct"/>
            <w:shd w:val="clear" w:color="000000" w:fill="FFFFFF"/>
            <w:noWrap/>
            <w:vAlign w:val="center"/>
            <w:hideMark/>
          </w:tcPr>
          <w:p w14:paraId="3A3FDC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1" w:type="pct"/>
            <w:shd w:val="clear" w:color="000000" w:fill="FFFFFF"/>
            <w:noWrap/>
            <w:vAlign w:val="center"/>
            <w:hideMark/>
          </w:tcPr>
          <w:p w14:paraId="3EEF23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92" w:type="pct"/>
            <w:shd w:val="clear" w:color="000000" w:fill="FFFFFF"/>
            <w:noWrap/>
            <w:vAlign w:val="center"/>
            <w:hideMark/>
          </w:tcPr>
          <w:p w14:paraId="7725A4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291" w:type="pct"/>
            <w:shd w:val="clear" w:color="auto" w:fill="FBE4D5"/>
            <w:noWrap/>
            <w:vAlign w:val="center"/>
            <w:hideMark/>
          </w:tcPr>
          <w:p w14:paraId="7A2B828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438" w:type="pct"/>
            <w:shd w:val="clear" w:color="000000" w:fill="FFFFFF"/>
            <w:noWrap/>
            <w:vAlign w:val="center"/>
            <w:hideMark/>
          </w:tcPr>
          <w:p w14:paraId="723C1EE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3,25</w:t>
            </w:r>
          </w:p>
        </w:tc>
        <w:tc>
          <w:tcPr>
            <w:tcW w:w="291" w:type="pct"/>
            <w:shd w:val="clear" w:color="auto" w:fill="FBE4D5"/>
            <w:noWrap/>
            <w:vAlign w:val="center"/>
            <w:hideMark/>
          </w:tcPr>
          <w:p w14:paraId="07799E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2,25</w:t>
            </w:r>
          </w:p>
        </w:tc>
      </w:tr>
      <w:tr w:rsidR="00B15F7D" w:rsidRPr="00990FB6" w14:paraId="3541AB2A" w14:textId="77777777" w:rsidTr="000A0C22">
        <w:trPr>
          <w:trHeight w:val="300"/>
        </w:trPr>
        <w:tc>
          <w:tcPr>
            <w:tcW w:w="684" w:type="pct"/>
            <w:shd w:val="clear" w:color="auto" w:fill="auto"/>
            <w:noWrap/>
            <w:vAlign w:val="center"/>
            <w:hideMark/>
          </w:tcPr>
          <w:p w14:paraId="350B52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Tribunal Penal de Cañas</w:t>
            </w:r>
          </w:p>
        </w:tc>
        <w:tc>
          <w:tcPr>
            <w:tcW w:w="270" w:type="pct"/>
            <w:shd w:val="clear" w:color="auto" w:fill="auto"/>
            <w:noWrap/>
            <w:vAlign w:val="center"/>
            <w:hideMark/>
          </w:tcPr>
          <w:p w14:paraId="0E6EC5A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w:t>
            </w:r>
          </w:p>
        </w:tc>
        <w:tc>
          <w:tcPr>
            <w:tcW w:w="289" w:type="pct"/>
            <w:shd w:val="clear" w:color="auto" w:fill="auto"/>
            <w:noWrap/>
            <w:vAlign w:val="center"/>
            <w:hideMark/>
          </w:tcPr>
          <w:p w14:paraId="4AA0A01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35%</w:t>
            </w:r>
          </w:p>
        </w:tc>
        <w:tc>
          <w:tcPr>
            <w:tcW w:w="368" w:type="pct"/>
            <w:shd w:val="clear" w:color="auto" w:fill="auto"/>
            <w:noWrap/>
            <w:vAlign w:val="center"/>
            <w:hideMark/>
          </w:tcPr>
          <w:p w14:paraId="0F2A23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64%</w:t>
            </w:r>
          </w:p>
        </w:tc>
        <w:tc>
          <w:tcPr>
            <w:tcW w:w="307" w:type="pct"/>
            <w:shd w:val="clear" w:color="auto" w:fill="auto"/>
            <w:noWrap/>
            <w:vAlign w:val="center"/>
            <w:hideMark/>
          </w:tcPr>
          <w:p w14:paraId="5E9B89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9" w:type="pct"/>
            <w:shd w:val="clear" w:color="000000" w:fill="FFFFFF"/>
            <w:noWrap/>
            <w:vAlign w:val="center"/>
            <w:hideMark/>
          </w:tcPr>
          <w:p w14:paraId="0FF85C6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33" w:type="pct"/>
            <w:shd w:val="clear" w:color="000000" w:fill="FFFFFF"/>
            <w:noWrap/>
            <w:vAlign w:val="center"/>
            <w:hideMark/>
          </w:tcPr>
          <w:p w14:paraId="45FDE37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95" w:type="pct"/>
            <w:shd w:val="clear" w:color="000000" w:fill="FFFFFF"/>
            <w:noWrap/>
            <w:vAlign w:val="center"/>
            <w:hideMark/>
          </w:tcPr>
          <w:p w14:paraId="380D06D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6" w:type="pct"/>
            <w:shd w:val="clear" w:color="000000" w:fill="FFFFFF"/>
            <w:noWrap/>
            <w:vAlign w:val="center"/>
            <w:hideMark/>
          </w:tcPr>
          <w:p w14:paraId="66CCCE3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65" w:type="pct"/>
            <w:shd w:val="clear" w:color="000000" w:fill="FFFFFF"/>
            <w:noWrap/>
            <w:vAlign w:val="center"/>
            <w:hideMark/>
          </w:tcPr>
          <w:p w14:paraId="5A10A2F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1" w:type="pct"/>
            <w:shd w:val="clear" w:color="000000" w:fill="FFFFFF"/>
            <w:noWrap/>
            <w:vAlign w:val="center"/>
            <w:hideMark/>
          </w:tcPr>
          <w:p w14:paraId="4B49EA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92" w:type="pct"/>
            <w:shd w:val="clear" w:color="000000" w:fill="FFFFFF"/>
            <w:noWrap/>
            <w:vAlign w:val="center"/>
            <w:hideMark/>
          </w:tcPr>
          <w:p w14:paraId="6DAC7C6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291" w:type="pct"/>
            <w:shd w:val="clear" w:color="auto" w:fill="FBE4D5"/>
            <w:noWrap/>
            <w:vAlign w:val="center"/>
            <w:hideMark/>
          </w:tcPr>
          <w:p w14:paraId="0D2C7AF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0,25</w:t>
            </w:r>
          </w:p>
        </w:tc>
        <w:tc>
          <w:tcPr>
            <w:tcW w:w="438" w:type="pct"/>
            <w:shd w:val="clear" w:color="000000" w:fill="FFFFFF"/>
            <w:noWrap/>
            <w:vAlign w:val="center"/>
            <w:hideMark/>
          </w:tcPr>
          <w:p w14:paraId="7E772F8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3,25</w:t>
            </w:r>
          </w:p>
        </w:tc>
        <w:tc>
          <w:tcPr>
            <w:tcW w:w="291" w:type="pct"/>
            <w:shd w:val="clear" w:color="auto" w:fill="FBE4D5"/>
            <w:noWrap/>
            <w:vAlign w:val="center"/>
            <w:hideMark/>
          </w:tcPr>
          <w:p w14:paraId="3D670BE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2,25</w:t>
            </w:r>
          </w:p>
        </w:tc>
      </w:tr>
      <w:tr w:rsidR="00B15F7D" w:rsidRPr="00990FB6" w14:paraId="6BDD31B1" w14:textId="77777777" w:rsidTr="000A0C22">
        <w:trPr>
          <w:trHeight w:val="350"/>
        </w:trPr>
        <w:tc>
          <w:tcPr>
            <w:tcW w:w="684" w:type="pct"/>
            <w:shd w:val="clear" w:color="auto" w:fill="auto"/>
            <w:noWrap/>
            <w:vAlign w:val="center"/>
            <w:hideMark/>
          </w:tcPr>
          <w:p w14:paraId="33502DD8" w14:textId="77777777" w:rsidR="00B15F7D" w:rsidRPr="00990FB6" w:rsidRDefault="00B15F7D" w:rsidP="00B15F7D">
            <w:pPr>
              <w:suppressAutoHyphens w:val="0"/>
              <w:jc w:val="center"/>
              <w:rPr>
                <w:color w:val="000000"/>
                <w:sz w:val="22"/>
                <w:szCs w:val="22"/>
                <w:lang w:val="pt-BR" w:eastAsia="es-CR"/>
              </w:rPr>
            </w:pPr>
            <w:r w:rsidRPr="00990FB6">
              <w:rPr>
                <w:color w:val="000000"/>
                <w:sz w:val="22"/>
                <w:szCs w:val="22"/>
                <w:lang w:val="pt-BR" w:eastAsia="es-CR"/>
              </w:rPr>
              <w:t>Tribunal Penal de Santa Cruz</w:t>
            </w:r>
          </w:p>
        </w:tc>
        <w:tc>
          <w:tcPr>
            <w:tcW w:w="270" w:type="pct"/>
            <w:shd w:val="clear" w:color="auto" w:fill="auto"/>
            <w:noWrap/>
            <w:vAlign w:val="center"/>
            <w:hideMark/>
          </w:tcPr>
          <w:p w14:paraId="25FB8B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39</w:t>
            </w:r>
          </w:p>
        </w:tc>
        <w:tc>
          <w:tcPr>
            <w:tcW w:w="289" w:type="pct"/>
            <w:shd w:val="clear" w:color="auto" w:fill="auto"/>
            <w:noWrap/>
            <w:vAlign w:val="center"/>
            <w:hideMark/>
          </w:tcPr>
          <w:p w14:paraId="3E169FF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33%</w:t>
            </w:r>
          </w:p>
        </w:tc>
        <w:tc>
          <w:tcPr>
            <w:tcW w:w="368" w:type="pct"/>
            <w:shd w:val="clear" w:color="auto" w:fill="auto"/>
            <w:noWrap/>
            <w:vAlign w:val="center"/>
            <w:hideMark/>
          </w:tcPr>
          <w:p w14:paraId="05040BD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67%</w:t>
            </w:r>
          </w:p>
        </w:tc>
        <w:tc>
          <w:tcPr>
            <w:tcW w:w="307" w:type="pct"/>
            <w:shd w:val="clear" w:color="auto" w:fill="auto"/>
            <w:noWrap/>
            <w:vAlign w:val="center"/>
            <w:hideMark/>
          </w:tcPr>
          <w:p w14:paraId="0748198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279" w:type="pct"/>
            <w:shd w:val="clear" w:color="000000" w:fill="FFFFFF"/>
            <w:noWrap/>
            <w:vAlign w:val="center"/>
            <w:hideMark/>
          </w:tcPr>
          <w:p w14:paraId="7407BCE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333" w:type="pct"/>
            <w:shd w:val="clear" w:color="000000" w:fill="FFFFFF"/>
            <w:noWrap/>
            <w:vAlign w:val="center"/>
            <w:hideMark/>
          </w:tcPr>
          <w:p w14:paraId="67E810D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95" w:type="pct"/>
            <w:shd w:val="clear" w:color="000000" w:fill="FFFFFF"/>
            <w:noWrap/>
            <w:vAlign w:val="center"/>
            <w:hideMark/>
          </w:tcPr>
          <w:p w14:paraId="4CD9DC4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6" w:type="pct"/>
            <w:shd w:val="clear" w:color="000000" w:fill="FFFFFF"/>
            <w:noWrap/>
            <w:vAlign w:val="center"/>
            <w:hideMark/>
          </w:tcPr>
          <w:p w14:paraId="5CE516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65" w:type="pct"/>
            <w:shd w:val="clear" w:color="000000" w:fill="FFFFFF"/>
            <w:noWrap/>
            <w:vAlign w:val="center"/>
            <w:hideMark/>
          </w:tcPr>
          <w:p w14:paraId="5B9133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1" w:type="pct"/>
            <w:shd w:val="clear" w:color="000000" w:fill="FFFFFF"/>
            <w:noWrap/>
            <w:vAlign w:val="center"/>
            <w:hideMark/>
          </w:tcPr>
          <w:p w14:paraId="6C78B1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92" w:type="pct"/>
            <w:shd w:val="clear" w:color="000000" w:fill="FFFFFF"/>
            <w:noWrap/>
            <w:vAlign w:val="center"/>
            <w:hideMark/>
          </w:tcPr>
          <w:p w14:paraId="6D355E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0,50</w:t>
            </w:r>
          </w:p>
        </w:tc>
        <w:tc>
          <w:tcPr>
            <w:tcW w:w="291" w:type="pct"/>
            <w:shd w:val="clear" w:color="auto" w:fill="FBE4D5"/>
            <w:noWrap/>
            <w:vAlign w:val="center"/>
            <w:hideMark/>
          </w:tcPr>
          <w:p w14:paraId="338034D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0,50</w:t>
            </w:r>
          </w:p>
        </w:tc>
        <w:tc>
          <w:tcPr>
            <w:tcW w:w="438" w:type="pct"/>
            <w:shd w:val="clear" w:color="000000" w:fill="FFFFFF"/>
            <w:noWrap/>
            <w:vAlign w:val="center"/>
            <w:hideMark/>
          </w:tcPr>
          <w:p w14:paraId="58777D7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3,25</w:t>
            </w:r>
          </w:p>
        </w:tc>
        <w:tc>
          <w:tcPr>
            <w:tcW w:w="291" w:type="pct"/>
            <w:shd w:val="clear" w:color="auto" w:fill="FBE4D5"/>
            <w:noWrap/>
            <w:vAlign w:val="center"/>
            <w:hideMark/>
          </w:tcPr>
          <w:p w14:paraId="7B14E6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1,25</w:t>
            </w:r>
          </w:p>
        </w:tc>
      </w:tr>
    </w:tbl>
    <w:p w14:paraId="1FC8535B" w14:textId="07491FB9" w:rsidR="00B15F7D" w:rsidRPr="00990FB6" w:rsidRDefault="00B15F7D" w:rsidP="00B15F7D">
      <w:pPr>
        <w:suppressAutoHyphens w:val="0"/>
        <w:ind w:right="616"/>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w:t>
      </w:r>
    </w:p>
    <w:p w14:paraId="1B52AD10" w14:textId="77777777" w:rsidR="00B305D7" w:rsidRPr="00990FB6" w:rsidRDefault="00B305D7" w:rsidP="00B15F7D">
      <w:pPr>
        <w:suppressAutoHyphens w:val="0"/>
        <w:ind w:right="616"/>
        <w:jc w:val="both"/>
        <w:rPr>
          <w:rFonts w:eastAsia="Calibri"/>
          <w:color w:val="000000"/>
          <w:sz w:val="22"/>
          <w:szCs w:val="22"/>
          <w:lang w:val="es-CR" w:eastAsia="en-US"/>
        </w:rPr>
      </w:pPr>
    </w:p>
    <w:p w14:paraId="63328DDE" w14:textId="4DC602C6"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 xml:space="preserve">De los despachos con estructura mínima, se determina lo siguiente en cuanto al personal técnico de apoyo y los jueces o juezas de trámite:  </w:t>
      </w:r>
    </w:p>
    <w:p w14:paraId="4065361A" w14:textId="77777777" w:rsidR="00B305D7" w:rsidRPr="00990FB6" w:rsidRDefault="00B305D7" w:rsidP="00B15F7D">
      <w:pPr>
        <w:suppressAutoHyphens w:val="0"/>
        <w:ind w:left="851" w:right="851" w:firstLine="709"/>
        <w:jc w:val="both"/>
        <w:rPr>
          <w:rFonts w:eastAsia="Calibri"/>
          <w:color w:val="000000"/>
          <w:sz w:val="22"/>
          <w:szCs w:val="22"/>
          <w:lang w:val="es-CR" w:eastAsia="en-US"/>
        </w:rPr>
      </w:pPr>
    </w:p>
    <w:p w14:paraId="25796640" w14:textId="05D96AED" w:rsidR="00B15F7D" w:rsidRPr="00990FB6" w:rsidRDefault="00B15F7D" w:rsidP="00B15F7D">
      <w:pPr>
        <w:widowControl w:val="0"/>
        <w:numPr>
          <w:ilvl w:val="0"/>
          <w:numId w:val="129"/>
        </w:numPr>
        <w:suppressAutoHyphens w:val="0"/>
        <w:autoSpaceDE w:val="0"/>
        <w:autoSpaceDN w:val="0"/>
        <w:adjustRightInd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Ninguno cuenta con la figura de juez o jueza tramitador, pero según el informe del modelo de tramitación, este puesto es para atender entre 3 a 4 secciones y exceptuando el Tribunal Penal de Santa Cruz, son despachos que cuentan con una sección mixta, es decir que resuelven tanto expedientes colegiados como unipersonales; en el caso de Tribunal Penal de Santa Cruz, cuenta además con una Sección de Flagrancia.</w:t>
      </w:r>
    </w:p>
    <w:p w14:paraId="00E7B3A9" w14:textId="77777777" w:rsidR="00B305D7" w:rsidRPr="00990FB6" w:rsidRDefault="00B305D7" w:rsidP="00B305D7">
      <w:pPr>
        <w:widowControl w:val="0"/>
        <w:suppressAutoHyphens w:val="0"/>
        <w:autoSpaceDE w:val="0"/>
        <w:autoSpaceDN w:val="0"/>
        <w:adjustRightInd w:val="0"/>
        <w:ind w:left="1560" w:right="851"/>
        <w:jc w:val="both"/>
        <w:rPr>
          <w:rFonts w:eastAsia="Calibri"/>
          <w:color w:val="000000"/>
          <w:sz w:val="22"/>
          <w:szCs w:val="22"/>
          <w:lang w:val="es-CR" w:eastAsia="en-US"/>
        </w:rPr>
      </w:pPr>
    </w:p>
    <w:p w14:paraId="3D546E9B" w14:textId="77777777" w:rsidR="00B15F7D" w:rsidRPr="00990FB6" w:rsidRDefault="00B15F7D" w:rsidP="00B15F7D">
      <w:pPr>
        <w:widowControl w:val="0"/>
        <w:numPr>
          <w:ilvl w:val="0"/>
          <w:numId w:val="129"/>
        </w:numPr>
        <w:suppressAutoHyphens w:val="0"/>
        <w:autoSpaceDE w:val="0"/>
        <w:autoSpaceDN w:val="0"/>
        <w:adjustRightInd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 xml:space="preserve">Exceptuando el Tribunal Penal de Santa Cruz que cuenta con dos plazas de técnico o técnica judicial, todos los demás cuentan únicamente con una plaza, situación que es contraria al modelo que estipula dos técnicos/as por cada sección. </w:t>
      </w:r>
    </w:p>
    <w:p w14:paraId="6B24037A" w14:textId="77777777" w:rsidR="00B15F7D" w:rsidRPr="00990FB6" w:rsidRDefault="00B15F7D" w:rsidP="00B15F7D">
      <w:pPr>
        <w:suppressAutoHyphens w:val="0"/>
        <w:ind w:right="616"/>
        <w:jc w:val="both"/>
        <w:rPr>
          <w:rFonts w:eastAsia="Calibri"/>
          <w:color w:val="000000"/>
          <w:sz w:val="22"/>
          <w:szCs w:val="22"/>
          <w:lang w:val="es-CR" w:eastAsia="en-US"/>
        </w:rPr>
        <w:sectPr w:rsidR="00B15F7D" w:rsidRPr="00990FB6" w:rsidSect="000F3CED">
          <w:pgSz w:w="15842" w:h="12242" w:orient="landscape" w:code="1"/>
          <w:pgMar w:top="1560" w:right="719" w:bottom="1469" w:left="719" w:header="709" w:footer="709" w:gutter="0"/>
          <w:pgBorders w:offsetFrom="page">
            <w:bottom w:val="single" w:sz="12" w:space="24" w:color="auto"/>
          </w:pgBorders>
          <w:cols w:space="708"/>
          <w:docGrid w:linePitch="360"/>
        </w:sectPr>
      </w:pPr>
    </w:p>
    <w:p w14:paraId="5FA650FC" w14:textId="53E3F84A"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lastRenderedPageBreak/>
        <w:t xml:space="preserve">Ahora bien, en cuanto a la necesidad de asignación de plazas de jueces y juezas 4, a continuación, se detallan las estadísticas relacionadas con la entrada de asuntos nuevos, lo que permite determinar el requerimiento teórico de secciones en estos despachos: </w:t>
      </w:r>
    </w:p>
    <w:p w14:paraId="6BB91AEE" w14:textId="77777777" w:rsidR="00B305D7" w:rsidRPr="00990FB6" w:rsidRDefault="00B305D7" w:rsidP="00B15F7D">
      <w:pPr>
        <w:suppressAutoHyphens w:val="0"/>
        <w:ind w:left="851" w:right="851" w:firstLine="709"/>
        <w:jc w:val="both"/>
        <w:rPr>
          <w:rFonts w:eastAsia="Calibri"/>
          <w:color w:val="000000"/>
          <w:sz w:val="22"/>
          <w:szCs w:val="22"/>
          <w:lang w:val="es-CR" w:eastAsia="en-US"/>
        </w:rPr>
      </w:pPr>
    </w:p>
    <w:p w14:paraId="0A7DC285" w14:textId="77777777" w:rsidR="00B15F7D" w:rsidRPr="00990FB6" w:rsidRDefault="00B15F7D" w:rsidP="00B15F7D">
      <w:pPr>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6</w:t>
      </w:r>
      <w:r w:rsidRPr="00990FB6">
        <w:rPr>
          <w:b/>
          <w:bCs/>
          <w:color w:val="00000A"/>
          <w:sz w:val="22"/>
          <w:szCs w:val="22"/>
          <w:lang w:eastAsia="es-ES"/>
        </w:rPr>
        <w:fldChar w:fldCharType="end"/>
      </w:r>
    </w:p>
    <w:p w14:paraId="159C1C2B" w14:textId="77777777" w:rsidR="00B15F7D" w:rsidRPr="00990FB6" w:rsidRDefault="00B15F7D" w:rsidP="00B15F7D">
      <w:pPr>
        <w:tabs>
          <w:tab w:val="left" w:pos="8364"/>
        </w:tabs>
        <w:suppressAutoHyphens w:val="0"/>
        <w:contextualSpacing/>
        <w:jc w:val="center"/>
        <w:rPr>
          <w:rFonts w:eastAsia="Calibri"/>
          <w:b/>
          <w:bCs/>
          <w:sz w:val="22"/>
          <w:szCs w:val="22"/>
          <w:lang w:val="es-CR" w:eastAsia="en-US"/>
        </w:rPr>
      </w:pPr>
      <w:r w:rsidRPr="00990FB6">
        <w:rPr>
          <w:rFonts w:eastAsia="Calibri"/>
          <w:b/>
          <w:bCs/>
          <w:sz w:val="22"/>
          <w:szCs w:val="22"/>
          <w:lang w:val="es-CR" w:eastAsia="en-US"/>
        </w:rPr>
        <w:t>Requerimiento teórico de recurso humano para los Tribunales Penales con estructura mínima</w:t>
      </w:r>
    </w:p>
    <w:tbl>
      <w:tblPr>
        <w:tblW w:w="5000" w:type="pct"/>
        <w:jc w:val="center"/>
        <w:tblCellMar>
          <w:left w:w="70" w:type="dxa"/>
          <w:right w:w="70" w:type="dxa"/>
        </w:tblCellMar>
        <w:tblLook w:val="04A0" w:firstRow="1" w:lastRow="0" w:firstColumn="1" w:lastColumn="0" w:noHBand="0" w:noVBand="1"/>
      </w:tblPr>
      <w:tblGrid>
        <w:gridCol w:w="1310"/>
        <w:gridCol w:w="553"/>
        <w:gridCol w:w="576"/>
        <w:gridCol w:w="726"/>
        <w:gridCol w:w="469"/>
        <w:gridCol w:w="571"/>
        <w:gridCol w:w="693"/>
        <w:gridCol w:w="411"/>
        <w:gridCol w:w="560"/>
        <w:gridCol w:w="576"/>
        <w:gridCol w:w="726"/>
        <w:gridCol w:w="527"/>
        <w:gridCol w:w="538"/>
        <w:gridCol w:w="582"/>
      </w:tblGrid>
      <w:tr w:rsidR="00B15F7D" w:rsidRPr="00990FB6" w14:paraId="5C441278" w14:textId="77777777" w:rsidTr="000A0C22">
        <w:trPr>
          <w:trHeight w:val="458"/>
          <w:jc w:val="center"/>
        </w:trPr>
        <w:tc>
          <w:tcPr>
            <w:tcW w:w="2080" w:type="pct"/>
            <w:gridSpan w:val="5"/>
            <w:vMerge w:val="restart"/>
            <w:tcBorders>
              <w:top w:val="single" w:sz="8" w:space="0" w:color="auto"/>
              <w:left w:val="single" w:sz="8" w:space="0" w:color="auto"/>
              <w:bottom w:val="single" w:sz="4" w:space="0" w:color="auto"/>
              <w:right w:val="single" w:sz="8" w:space="0" w:color="000000"/>
            </w:tcBorders>
            <w:shd w:val="clear" w:color="000000" w:fill="A9D08E"/>
            <w:noWrap/>
            <w:vAlign w:val="center"/>
            <w:hideMark/>
          </w:tcPr>
          <w:p w14:paraId="20F16BC6"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ESTADÍSTICAS</w:t>
            </w:r>
          </w:p>
        </w:tc>
        <w:tc>
          <w:tcPr>
            <w:tcW w:w="1256" w:type="pct"/>
            <w:gridSpan w:val="4"/>
            <w:vMerge w:val="restart"/>
            <w:tcBorders>
              <w:top w:val="single" w:sz="8" w:space="0" w:color="auto"/>
              <w:left w:val="single" w:sz="8" w:space="0" w:color="auto"/>
              <w:bottom w:val="single" w:sz="4" w:space="0" w:color="auto"/>
              <w:right w:val="single" w:sz="8" w:space="0" w:color="000000"/>
            </w:tcBorders>
            <w:shd w:val="clear" w:color="000000" w:fill="BDD7EE"/>
            <w:noWrap/>
            <w:vAlign w:val="center"/>
            <w:hideMark/>
          </w:tcPr>
          <w:p w14:paraId="68C04FB6"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xml:space="preserve">RECURSO HUMANO ORDINARIO </w:t>
            </w:r>
          </w:p>
        </w:tc>
        <w:tc>
          <w:tcPr>
            <w:tcW w:w="1035" w:type="pct"/>
            <w:gridSpan w:val="3"/>
            <w:vMerge w:val="restart"/>
            <w:tcBorders>
              <w:top w:val="single" w:sz="8" w:space="0" w:color="auto"/>
              <w:left w:val="single" w:sz="8" w:space="0" w:color="auto"/>
              <w:bottom w:val="single" w:sz="4" w:space="0" w:color="auto"/>
              <w:right w:val="single" w:sz="4" w:space="0" w:color="auto"/>
            </w:tcBorders>
            <w:shd w:val="clear" w:color="000000" w:fill="F4B084"/>
            <w:vAlign w:val="center"/>
            <w:hideMark/>
          </w:tcPr>
          <w:p w14:paraId="34BEEF9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RECURSO HUMANO PARA ATENDER LA ENTRADA</w:t>
            </w:r>
          </w:p>
        </w:tc>
        <w:tc>
          <w:tcPr>
            <w:tcW w:w="629" w:type="pct"/>
            <w:gridSpan w:val="2"/>
            <w:vMerge w:val="restart"/>
            <w:tcBorders>
              <w:top w:val="single" w:sz="8" w:space="0" w:color="auto"/>
              <w:left w:val="single" w:sz="8" w:space="0" w:color="auto"/>
              <w:bottom w:val="single" w:sz="4" w:space="0" w:color="auto"/>
              <w:right w:val="single" w:sz="8" w:space="0" w:color="000000"/>
            </w:tcBorders>
            <w:shd w:val="clear" w:color="000000" w:fill="8A94EE"/>
            <w:vAlign w:val="center"/>
            <w:hideMark/>
          </w:tcPr>
          <w:p w14:paraId="1BF9E147"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REQUERIMIENTO HUMANO</w:t>
            </w:r>
          </w:p>
        </w:tc>
      </w:tr>
      <w:tr w:rsidR="00B15F7D" w:rsidRPr="00990FB6" w14:paraId="49951F34" w14:textId="77777777" w:rsidTr="000A0C22">
        <w:trPr>
          <w:trHeight w:val="458"/>
          <w:jc w:val="center"/>
        </w:trPr>
        <w:tc>
          <w:tcPr>
            <w:tcW w:w="2080" w:type="pct"/>
            <w:gridSpan w:val="5"/>
            <w:vMerge/>
            <w:tcBorders>
              <w:top w:val="single" w:sz="8" w:space="0" w:color="auto"/>
              <w:left w:val="single" w:sz="8" w:space="0" w:color="auto"/>
              <w:bottom w:val="single" w:sz="4" w:space="0" w:color="auto"/>
              <w:right w:val="single" w:sz="8" w:space="0" w:color="000000"/>
            </w:tcBorders>
            <w:vAlign w:val="center"/>
            <w:hideMark/>
          </w:tcPr>
          <w:p w14:paraId="3A856FD8" w14:textId="77777777" w:rsidR="00B15F7D" w:rsidRPr="00990FB6" w:rsidRDefault="00B15F7D" w:rsidP="00B15F7D">
            <w:pPr>
              <w:suppressAutoHyphens w:val="0"/>
              <w:rPr>
                <w:b/>
                <w:bCs/>
                <w:color w:val="000000"/>
                <w:sz w:val="22"/>
                <w:szCs w:val="22"/>
                <w:lang w:val="es-CR" w:eastAsia="es-CR"/>
              </w:rPr>
            </w:pPr>
          </w:p>
        </w:tc>
        <w:tc>
          <w:tcPr>
            <w:tcW w:w="1256" w:type="pct"/>
            <w:gridSpan w:val="4"/>
            <w:vMerge/>
            <w:tcBorders>
              <w:top w:val="single" w:sz="8" w:space="0" w:color="auto"/>
              <w:left w:val="single" w:sz="8" w:space="0" w:color="auto"/>
              <w:bottom w:val="single" w:sz="4" w:space="0" w:color="auto"/>
              <w:right w:val="single" w:sz="8" w:space="0" w:color="000000"/>
            </w:tcBorders>
            <w:vAlign w:val="center"/>
            <w:hideMark/>
          </w:tcPr>
          <w:p w14:paraId="2C207AAD" w14:textId="77777777" w:rsidR="00B15F7D" w:rsidRPr="00990FB6" w:rsidRDefault="00B15F7D" w:rsidP="00B15F7D">
            <w:pPr>
              <w:suppressAutoHyphens w:val="0"/>
              <w:rPr>
                <w:b/>
                <w:bCs/>
                <w:color w:val="000000"/>
                <w:sz w:val="22"/>
                <w:szCs w:val="22"/>
                <w:lang w:val="es-CR" w:eastAsia="es-CR"/>
              </w:rPr>
            </w:pPr>
          </w:p>
        </w:tc>
        <w:tc>
          <w:tcPr>
            <w:tcW w:w="1035" w:type="pct"/>
            <w:gridSpan w:val="3"/>
            <w:vMerge/>
            <w:tcBorders>
              <w:top w:val="nil"/>
              <w:left w:val="nil"/>
              <w:bottom w:val="single" w:sz="4" w:space="0" w:color="auto"/>
              <w:right w:val="nil"/>
            </w:tcBorders>
            <w:vAlign w:val="center"/>
            <w:hideMark/>
          </w:tcPr>
          <w:p w14:paraId="750F0414" w14:textId="77777777" w:rsidR="00B15F7D" w:rsidRPr="00990FB6" w:rsidRDefault="00B15F7D" w:rsidP="00B15F7D">
            <w:pPr>
              <w:suppressAutoHyphens w:val="0"/>
              <w:rPr>
                <w:b/>
                <w:bCs/>
                <w:color w:val="000000"/>
                <w:sz w:val="22"/>
                <w:szCs w:val="22"/>
                <w:lang w:val="es-CR" w:eastAsia="es-CR"/>
              </w:rPr>
            </w:pPr>
          </w:p>
        </w:tc>
        <w:tc>
          <w:tcPr>
            <w:tcW w:w="629" w:type="pct"/>
            <w:gridSpan w:val="2"/>
            <w:vMerge/>
            <w:tcBorders>
              <w:top w:val="nil"/>
              <w:left w:val="nil"/>
              <w:bottom w:val="single" w:sz="4" w:space="0" w:color="auto"/>
              <w:right w:val="nil"/>
            </w:tcBorders>
            <w:vAlign w:val="center"/>
            <w:hideMark/>
          </w:tcPr>
          <w:p w14:paraId="5C1C6D2C" w14:textId="77777777" w:rsidR="00B15F7D" w:rsidRPr="00990FB6" w:rsidRDefault="00B15F7D" w:rsidP="00B15F7D">
            <w:pPr>
              <w:suppressAutoHyphens w:val="0"/>
              <w:rPr>
                <w:b/>
                <w:bCs/>
                <w:color w:val="000000"/>
                <w:sz w:val="22"/>
                <w:szCs w:val="22"/>
                <w:lang w:val="es-CR" w:eastAsia="es-CR"/>
              </w:rPr>
            </w:pPr>
          </w:p>
        </w:tc>
      </w:tr>
      <w:tr w:rsidR="00B15F7D" w:rsidRPr="00990FB6" w14:paraId="119B1885" w14:textId="77777777" w:rsidTr="000A0C22">
        <w:trPr>
          <w:trHeight w:val="1660"/>
          <w:jc w:val="center"/>
        </w:trPr>
        <w:tc>
          <w:tcPr>
            <w:tcW w:w="770" w:type="pct"/>
            <w:tcBorders>
              <w:top w:val="nil"/>
              <w:left w:val="single" w:sz="8" w:space="0" w:color="auto"/>
              <w:bottom w:val="single" w:sz="4" w:space="0" w:color="auto"/>
              <w:right w:val="single" w:sz="4" w:space="0" w:color="auto"/>
            </w:tcBorders>
            <w:shd w:val="clear" w:color="000000" w:fill="A9D08E"/>
            <w:vAlign w:val="center"/>
            <w:hideMark/>
          </w:tcPr>
          <w:p w14:paraId="78DAEF2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Oficina</w:t>
            </w:r>
          </w:p>
        </w:tc>
        <w:tc>
          <w:tcPr>
            <w:tcW w:w="311" w:type="pct"/>
            <w:tcBorders>
              <w:top w:val="nil"/>
              <w:left w:val="nil"/>
              <w:bottom w:val="single" w:sz="4" w:space="0" w:color="auto"/>
              <w:right w:val="single" w:sz="4" w:space="0" w:color="auto"/>
            </w:tcBorders>
            <w:shd w:val="clear" w:color="000000" w:fill="A9D08E"/>
            <w:vAlign w:val="center"/>
            <w:hideMark/>
          </w:tcPr>
          <w:p w14:paraId="021555CE"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xml:space="preserve">Promedio de asuntos entrados </w:t>
            </w:r>
            <w:r w:rsidRPr="00990FB6">
              <w:rPr>
                <w:b/>
                <w:bCs/>
                <w:color w:val="000000"/>
                <w:sz w:val="22"/>
                <w:szCs w:val="22"/>
                <w:lang w:val="es-CR" w:eastAsia="es-CR"/>
              </w:rPr>
              <w:br/>
              <w:t>2017 al 2022</w:t>
            </w:r>
          </w:p>
        </w:tc>
        <w:tc>
          <w:tcPr>
            <w:tcW w:w="325" w:type="pct"/>
            <w:tcBorders>
              <w:top w:val="nil"/>
              <w:left w:val="nil"/>
              <w:bottom w:val="single" w:sz="4" w:space="0" w:color="auto"/>
              <w:right w:val="single" w:sz="4" w:space="0" w:color="auto"/>
            </w:tcBorders>
            <w:shd w:val="clear" w:color="000000" w:fill="A9D08E"/>
            <w:vAlign w:val="center"/>
            <w:hideMark/>
          </w:tcPr>
          <w:p w14:paraId="078980F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de entrada colegiados</w:t>
            </w:r>
          </w:p>
        </w:tc>
        <w:tc>
          <w:tcPr>
            <w:tcW w:w="415" w:type="pct"/>
            <w:tcBorders>
              <w:top w:val="nil"/>
              <w:left w:val="nil"/>
              <w:bottom w:val="single" w:sz="4" w:space="0" w:color="auto"/>
              <w:right w:val="single" w:sz="4" w:space="0" w:color="auto"/>
            </w:tcBorders>
            <w:shd w:val="clear" w:color="000000" w:fill="A9D08E"/>
            <w:vAlign w:val="center"/>
            <w:hideMark/>
          </w:tcPr>
          <w:p w14:paraId="4124BE33"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 de entrada unipersonales</w:t>
            </w:r>
          </w:p>
        </w:tc>
        <w:tc>
          <w:tcPr>
            <w:tcW w:w="259" w:type="pct"/>
            <w:tcBorders>
              <w:top w:val="nil"/>
              <w:left w:val="nil"/>
              <w:bottom w:val="single" w:sz="4" w:space="0" w:color="auto"/>
              <w:right w:val="single" w:sz="8" w:space="0" w:color="auto"/>
            </w:tcBorders>
            <w:shd w:val="clear" w:color="000000" w:fill="A9D08E"/>
            <w:vAlign w:val="center"/>
            <w:hideMark/>
          </w:tcPr>
          <w:p w14:paraId="39A185C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sin integra.</w:t>
            </w:r>
          </w:p>
        </w:tc>
        <w:tc>
          <w:tcPr>
            <w:tcW w:w="321" w:type="pct"/>
            <w:tcBorders>
              <w:top w:val="nil"/>
              <w:left w:val="nil"/>
              <w:bottom w:val="single" w:sz="4" w:space="0" w:color="auto"/>
              <w:right w:val="single" w:sz="4" w:space="0" w:color="auto"/>
            </w:tcBorders>
            <w:shd w:val="clear" w:color="000000" w:fill="BDD7EE"/>
            <w:vAlign w:val="center"/>
            <w:hideMark/>
          </w:tcPr>
          <w:p w14:paraId="04961D5B"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 de Jueces(as) 4</w:t>
            </w:r>
          </w:p>
        </w:tc>
        <w:tc>
          <w:tcPr>
            <w:tcW w:w="395" w:type="pct"/>
            <w:tcBorders>
              <w:top w:val="nil"/>
              <w:left w:val="nil"/>
              <w:bottom w:val="single" w:sz="4" w:space="0" w:color="auto"/>
              <w:right w:val="single" w:sz="4" w:space="0" w:color="auto"/>
            </w:tcBorders>
            <w:shd w:val="clear" w:color="000000" w:fill="BDD7EE"/>
            <w:vAlign w:val="center"/>
            <w:hideMark/>
          </w:tcPr>
          <w:p w14:paraId="0DF0DB6B"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Coordinador</w:t>
            </w:r>
            <w:r w:rsidRPr="00990FB6">
              <w:rPr>
                <w:b/>
                <w:bCs/>
                <w:color w:val="000000"/>
                <w:sz w:val="22"/>
                <w:szCs w:val="22"/>
                <w:lang w:val="es-CR" w:eastAsia="es-CR"/>
              </w:rPr>
              <w:br/>
              <w:t>(a) Judicial</w:t>
            </w:r>
          </w:p>
        </w:tc>
        <w:tc>
          <w:tcPr>
            <w:tcW w:w="225" w:type="pct"/>
            <w:tcBorders>
              <w:top w:val="nil"/>
              <w:left w:val="nil"/>
              <w:bottom w:val="single" w:sz="4" w:space="0" w:color="auto"/>
              <w:right w:val="single" w:sz="4" w:space="0" w:color="auto"/>
            </w:tcBorders>
            <w:shd w:val="clear" w:color="000000" w:fill="BDD7EE"/>
            <w:vAlign w:val="center"/>
            <w:hideMark/>
          </w:tcPr>
          <w:p w14:paraId="6C1E438D"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Juez/a 1</w:t>
            </w:r>
          </w:p>
        </w:tc>
        <w:tc>
          <w:tcPr>
            <w:tcW w:w="315" w:type="pct"/>
            <w:tcBorders>
              <w:top w:val="nil"/>
              <w:left w:val="nil"/>
              <w:bottom w:val="single" w:sz="4" w:space="0" w:color="auto"/>
              <w:right w:val="single" w:sz="8" w:space="0" w:color="auto"/>
            </w:tcBorders>
            <w:shd w:val="clear" w:color="000000" w:fill="BDD7EE"/>
            <w:vAlign w:val="center"/>
            <w:hideMark/>
          </w:tcPr>
          <w:p w14:paraId="6012747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 de Técnicos (as) Judiciales 3</w:t>
            </w:r>
          </w:p>
        </w:tc>
        <w:tc>
          <w:tcPr>
            <w:tcW w:w="325" w:type="pct"/>
            <w:tcBorders>
              <w:top w:val="nil"/>
              <w:left w:val="single" w:sz="8" w:space="0" w:color="auto"/>
              <w:bottom w:val="single" w:sz="4" w:space="0" w:color="auto"/>
              <w:right w:val="single" w:sz="4" w:space="0" w:color="auto"/>
            </w:tcBorders>
            <w:shd w:val="clear" w:color="000000" w:fill="F4B084"/>
            <w:vAlign w:val="center"/>
            <w:hideMark/>
          </w:tcPr>
          <w:p w14:paraId="3F0A6646"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Secciones colegiadas para atender la entrada</w:t>
            </w:r>
          </w:p>
        </w:tc>
        <w:tc>
          <w:tcPr>
            <w:tcW w:w="415" w:type="pct"/>
            <w:tcBorders>
              <w:top w:val="nil"/>
              <w:left w:val="nil"/>
              <w:bottom w:val="single" w:sz="4" w:space="0" w:color="auto"/>
              <w:right w:val="single" w:sz="4" w:space="0" w:color="auto"/>
            </w:tcBorders>
            <w:shd w:val="clear" w:color="000000" w:fill="F4B084"/>
            <w:vAlign w:val="center"/>
            <w:hideMark/>
          </w:tcPr>
          <w:p w14:paraId="0D0266FF"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Secciones unipersonales para atender la entrada</w:t>
            </w:r>
          </w:p>
        </w:tc>
        <w:tc>
          <w:tcPr>
            <w:tcW w:w="295" w:type="pct"/>
            <w:tcBorders>
              <w:top w:val="nil"/>
              <w:left w:val="nil"/>
              <w:bottom w:val="single" w:sz="4" w:space="0" w:color="auto"/>
              <w:right w:val="single" w:sz="8" w:space="0" w:color="auto"/>
            </w:tcBorders>
            <w:shd w:val="clear" w:color="000000" w:fill="F4B084"/>
            <w:vAlign w:val="center"/>
            <w:hideMark/>
          </w:tcPr>
          <w:p w14:paraId="3035F6C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Total de secciones para atender la entrada</w:t>
            </w:r>
          </w:p>
        </w:tc>
        <w:tc>
          <w:tcPr>
            <w:tcW w:w="302" w:type="pct"/>
            <w:tcBorders>
              <w:top w:val="nil"/>
              <w:left w:val="nil"/>
              <w:bottom w:val="single" w:sz="4" w:space="0" w:color="auto"/>
              <w:right w:val="single" w:sz="4" w:space="0" w:color="auto"/>
            </w:tcBorders>
            <w:shd w:val="clear" w:color="000000" w:fill="8A94EE"/>
            <w:vAlign w:val="center"/>
            <w:hideMark/>
          </w:tcPr>
          <w:p w14:paraId="2148848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Cantidad de jueces o juezas para atender la entrada total</w:t>
            </w:r>
          </w:p>
        </w:tc>
        <w:tc>
          <w:tcPr>
            <w:tcW w:w="328" w:type="pct"/>
            <w:tcBorders>
              <w:top w:val="nil"/>
              <w:left w:val="nil"/>
              <w:bottom w:val="single" w:sz="4" w:space="0" w:color="auto"/>
              <w:right w:val="single" w:sz="8" w:space="0" w:color="auto"/>
            </w:tcBorders>
            <w:shd w:val="clear" w:color="000000" w:fill="8A94EE"/>
            <w:vAlign w:val="center"/>
            <w:hideMark/>
          </w:tcPr>
          <w:p w14:paraId="7611529C"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Diferencia con el recurso ordinario</w:t>
            </w:r>
          </w:p>
        </w:tc>
      </w:tr>
      <w:tr w:rsidR="00B15F7D" w:rsidRPr="00990FB6" w14:paraId="245D0893" w14:textId="77777777" w:rsidTr="000A0C22">
        <w:trPr>
          <w:trHeight w:val="300"/>
          <w:jc w:val="center"/>
        </w:trPr>
        <w:tc>
          <w:tcPr>
            <w:tcW w:w="770" w:type="pct"/>
            <w:tcBorders>
              <w:top w:val="nil"/>
              <w:left w:val="single" w:sz="8" w:space="0" w:color="auto"/>
              <w:bottom w:val="single" w:sz="4" w:space="0" w:color="auto"/>
              <w:right w:val="single" w:sz="4" w:space="0" w:color="auto"/>
            </w:tcBorders>
            <w:shd w:val="clear" w:color="auto" w:fill="auto"/>
            <w:noWrap/>
            <w:vAlign w:val="center"/>
            <w:hideMark/>
          </w:tcPr>
          <w:p w14:paraId="060864E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311" w:type="pct"/>
            <w:tcBorders>
              <w:top w:val="nil"/>
              <w:left w:val="nil"/>
              <w:bottom w:val="single" w:sz="4" w:space="0" w:color="auto"/>
              <w:right w:val="single" w:sz="4" w:space="0" w:color="auto"/>
            </w:tcBorders>
            <w:shd w:val="clear" w:color="auto" w:fill="auto"/>
            <w:noWrap/>
            <w:vAlign w:val="center"/>
            <w:hideMark/>
          </w:tcPr>
          <w:p w14:paraId="0B12FF4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19</w:t>
            </w:r>
          </w:p>
        </w:tc>
        <w:tc>
          <w:tcPr>
            <w:tcW w:w="325" w:type="pct"/>
            <w:tcBorders>
              <w:top w:val="nil"/>
              <w:left w:val="nil"/>
              <w:bottom w:val="single" w:sz="4" w:space="0" w:color="auto"/>
              <w:right w:val="single" w:sz="4" w:space="0" w:color="auto"/>
            </w:tcBorders>
            <w:shd w:val="clear" w:color="auto" w:fill="auto"/>
            <w:noWrap/>
            <w:vAlign w:val="center"/>
            <w:hideMark/>
          </w:tcPr>
          <w:p w14:paraId="72D8241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35%</w:t>
            </w:r>
          </w:p>
        </w:tc>
        <w:tc>
          <w:tcPr>
            <w:tcW w:w="415" w:type="pct"/>
            <w:tcBorders>
              <w:top w:val="nil"/>
              <w:left w:val="nil"/>
              <w:bottom w:val="single" w:sz="4" w:space="0" w:color="auto"/>
              <w:right w:val="single" w:sz="4" w:space="0" w:color="auto"/>
            </w:tcBorders>
            <w:shd w:val="clear" w:color="auto" w:fill="auto"/>
            <w:noWrap/>
            <w:vAlign w:val="center"/>
            <w:hideMark/>
          </w:tcPr>
          <w:p w14:paraId="68ECF2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65%</w:t>
            </w:r>
          </w:p>
        </w:tc>
        <w:tc>
          <w:tcPr>
            <w:tcW w:w="259" w:type="pct"/>
            <w:tcBorders>
              <w:top w:val="nil"/>
              <w:left w:val="nil"/>
              <w:bottom w:val="single" w:sz="4" w:space="0" w:color="auto"/>
              <w:right w:val="single" w:sz="8" w:space="0" w:color="auto"/>
            </w:tcBorders>
            <w:shd w:val="clear" w:color="auto" w:fill="auto"/>
            <w:noWrap/>
            <w:vAlign w:val="center"/>
            <w:hideMark/>
          </w:tcPr>
          <w:p w14:paraId="6522CD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1" w:type="pct"/>
            <w:tcBorders>
              <w:top w:val="nil"/>
              <w:left w:val="nil"/>
              <w:bottom w:val="single" w:sz="4" w:space="0" w:color="auto"/>
              <w:right w:val="single" w:sz="4" w:space="0" w:color="auto"/>
            </w:tcBorders>
            <w:shd w:val="clear" w:color="000000" w:fill="FFFFFF"/>
            <w:noWrap/>
            <w:vAlign w:val="center"/>
            <w:hideMark/>
          </w:tcPr>
          <w:p w14:paraId="0320D8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95" w:type="pct"/>
            <w:tcBorders>
              <w:top w:val="nil"/>
              <w:left w:val="nil"/>
              <w:bottom w:val="single" w:sz="4" w:space="0" w:color="auto"/>
              <w:right w:val="single" w:sz="4" w:space="0" w:color="auto"/>
            </w:tcBorders>
            <w:shd w:val="clear" w:color="000000" w:fill="FFFFFF"/>
            <w:noWrap/>
            <w:vAlign w:val="center"/>
            <w:hideMark/>
          </w:tcPr>
          <w:p w14:paraId="1E0ED3E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25" w:type="pct"/>
            <w:tcBorders>
              <w:top w:val="nil"/>
              <w:left w:val="nil"/>
              <w:bottom w:val="single" w:sz="4" w:space="0" w:color="auto"/>
              <w:right w:val="single" w:sz="4" w:space="0" w:color="auto"/>
            </w:tcBorders>
            <w:shd w:val="clear" w:color="000000" w:fill="FFFFFF"/>
            <w:noWrap/>
            <w:vAlign w:val="center"/>
            <w:hideMark/>
          </w:tcPr>
          <w:p w14:paraId="39E528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15" w:type="pct"/>
            <w:tcBorders>
              <w:top w:val="nil"/>
              <w:left w:val="nil"/>
              <w:bottom w:val="single" w:sz="4" w:space="0" w:color="auto"/>
              <w:right w:val="single" w:sz="8" w:space="0" w:color="auto"/>
            </w:tcBorders>
            <w:shd w:val="clear" w:color="000000" w:fill="FFFFFF"/>
            <w:noWrap/>
            <w:vAlign w:val="center"/>
            <w:hideMark/>
          </w:tcPr>
          <w:p w14:paraId="275676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25" w:type="pct"/>
            <w:tcBorders>
              <w:top w:val="nil"/>
              <w:left w:val="single" w:sz="8" w:space="0" w:color="auto"/>
              <w:bottom w:val="single" w:sz="4" w:space="0" w:color="auto"/>
              <w:right w:val="single" w:sz="4" w:space="0" w:color="auto"/>
            </w:tcBorders>
            <w:shd w:val="clear" w:color="000000" w:fill="FFFFFF"/>
            <w:noWrap/>
            <w:vAlign w:val="center"/>
            <w:hideMark/>
          </w:tcPr>
          <w:p w14:paraId="3B00637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0,43</w:t>
            </w:r>
          </w:p>
        </w:tc>
        <w:tc>
          <w:tcPr>
            <w:tcW w:w="415" w:type="pct"/>
            <w:tcBorders>
              <w:top w:val="nil"/>
              <w:left w:val="nil"/>
              <w:bottom w:val="single" w:sz="4" w:space="0" w:color="auto"/>
              <w:right w:val="single" w:sz="4" w:space="0" w:color="auto"/>
            </w:tcBorders>
            <w:shd w:val="clear" w:color="000000" w:fill="FFFFFF"/>
            <w:noWrap/>
            <w:vAlign w:val="center"/>
            <w:hideMark/>
          </w:tcPr>
          <w:p w14:paraId="18F4417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0,61</w:t>
            </w:r>
          </w:p>
        </w:tc>
        <w:tc>
          <w:tcPr>
            <w:tcW w:w="295" w:type="pct"/>
            <w:tcBorders>
              <w:top w:val="nil"/>
              <w:left w:val="nil"/>
              <w:bottom w:val="single" w:sz="4" w:space="0" w:color="auto"/>
              <w:right w:val="single" w:sz="8" w:space="0" w:color="auto"/>
            </w:tcBorders>
            <w:shd w:val="clear" w:color="auto" w:fill="auto"/>
            <w:noWrap/>
            <w:vAlign w:val="center"/>
            <w:hideMark/>
          </w:tcPr>
          <w:p w14:paraId="6D7F5F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1,04</w:t>
            </w:r>
          </w:p>
        </w:tc>
        <w:tc>
          <w:tcPr>
            <w:tcW w:w="302" w:type="pct"/>
            <w:tcBorders>
              <w:top w:val="nil"/>
              <w:left w:val="nil"/>
              <w:bottom w:val="single" w:sz="4" w:space="0" w:color="auto"/>
              <w:right w:val="single" w:sz="4" w:space="0" w:color="auto"/>
            </w:tcBorders>
            <w:shd w:val="clear" w:color="000000" w:fill="FFFFFF"/>
            <w:noWrap/>
            <w:vAlign w:val="center"/>
            <w:hideMark/>
          </w:tcPr>
          <w:p w14:paraId="4A8EB7D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1,91</w:t>
            </w:r>
          </w:p>
        </w:tc>
        <w:tc>
          <w:tcPr>
            <w:tcW w:w="328" w:type="pct"/>
            <w:tcBorders>
              <w:top w:val="nil"/>
              <w:left w:val="nil"/>
              <w:bottom w:val="single" w:sz="4" w:space="0" w:color="auto"/>
              <w:right w:val="single" w:sz="8" w:space="0" w:color="auto"/>
            </w:tcBorders>
            <w:shd w:val="clear" w:color="000000" w:fill="FFFFFF"/>
            <w:noWrap/>
            <w:vAlign w:val="center"/>
            <w:hideMark/>
          </w:tcPr>
          <w:p w14:paraId="602FC9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0,91</w:t>
            </w:r>
          </w:p>
        </w:tc>
      </w:tr>
      <w:tr w:rsidR="00B15F7D" w:rsidRPr="00990FB6" w14:paraId="59D26371" w14:textId="77777777" w:rsidTr="000A0C22">
        <w:trPr>
          <w:trHeight w:val="300"/>
          <w:jc w:val="center"/>
        </w:trPr>
        <w:tc>
          <w:tcPr>
            <w:tcW w:w="770" w:type="pct"/>
            <w:tcBorders>
              <w:top w:val="nil"/>
              <w:left w:val="single" w:sz="8" w:space="0" w:color="auto"/>
              <w:bottom w:val="single" w:sz="4" w:space="0" w:color="auto"/>
              <w:right w:val="single" w:sz="4" w:space="0" w:color="auto"/>
            </w:tcBorders>
            <w:shd w:val="clear" w:color="auto" w:fill="auto"/>
            <w:noWrap/>
            <w:vAlign w:val="center"/>
            <w:hideMark/>
          </w:tcPr>
          <w:p w14:paraId="201EC01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311" w:type="pct"/>
            <w:tcBorders>
              <w:top w:val="nil"/>
              <w:left w:val="nil"/>
              <w:bottom w:val="single" w:sz="4" w:space="0" w:color="auto"/>
              <w:right w:val="single" w:sz="4" w:space="0" w:color="auto"/>
            </w:tcBorders>
            <w:shd w:val="clear" w:color="auto" w:fill="auto"/>
            <w:noWrap/>
            <w:vAlign w:val="center"/>
            <w:hideMark/>
          </w:tcPr>
          <w:p w14:paraId="56BC70F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27</w:t>
            </w:r>
          </w:p>
        </w:tc>
        <w:tc>
          <w:tcPr>
            <w:tcW w:w="325" w:type="pct"/>
            <w:tcBorders>
              <w:top w:val="nil"/>
              <w:left w:val="nil"/>
              <w:bottom w:val="single" w:sz="4" w:space="0" w:color="auto"/>
              <w:right w:val="single" w:sz="4" w:space="0" w:color="auto"/>
            </w:tcBorders>
            <w:shd w:val="clear" w:color="auto" w:fill="auto"/>
            <w:noWrap/>
            <w:vAlign w:val="center"/>
            <w:hideMark/>
          </w:tcPr>
          <w:p w14:paraId="1646DD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27%</w:t>
            </w:r>
          </w:p>
        </w:tc>
        <w:tc>
          <w:tcPr>
            <w:tcW w:w="415" w:type="pct"/>
            <w:tcBorders>
              <w:top w:val="nil"/>
              <w:left w:val="nil"/>
              <w:bottom w:val="single" w:sz="4" w:space="0" w:color="auto"/>
              <w:right w:val="single" w:sz="4" w:space="0" w:color="auto"/>
            </w:tcBorders>
            <w:shd w:val="clear" w:color="auto" w:fill="auto"/>
            <w:noWrap/>
            <w:vAlign w:val="center"/>
            <w:hideMark/>
          </w:tcPr>
          <w:p w14:paraId="37BB611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71%</w:t>
            </w:r>
          </w:p>
        </w:tc>
        <w:tc>
          <w:tcPr>
            <w:tcW w:w="259" w:type="pct"/>
            <w:tcBorders>
              <w:top w:val="nil"/>
              <w:left w:val="nil"/>
              <w:bottom w:val="single" w:sz="4" w:space="0" w:color="auto"/>
              <w:right w:val="single" w:sz="8" w:space="0" w:color="auto"/>
            </w:tcBorders>
            <w:shd w:val="clear" w:color="auto" w:fill="auto"/>
            <w:noWrap/>
            <w:vAlign w:val="center"/>
            <w:hideMark/>
          </w:tcPr>
          <w:p w14:paraId="2A87E9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321" w:type="pct"/>
            <w:tcBorders>
              <w:top w:val="nil"/>
              <w:left w:val="nil"/>
              <w:bottom w:val="single" w:sz="4" w:space="0" w:color="auto"/>
              <w:right w:val="single" w:sz="4" w:space="0" w:color="auto"/>
            </w:tcBorders>
            <w:shd w:val="clear" w:color="000000" w:fill="FFFFFF"/>
            <w:noWrap/>
            <w:vAlign w:val="center"/>
            <w:hideMark/>
          </w:tcPr>
          <w:p w14:paraId="3B0DE8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95" w:type="pct"/>
            <w:tcBorders>
              <w:top w:val="nil"/>
              <w:left w:val="nil"/>
              <w:bottom w:val="single" w:sz="4" w:space="0" w:color="auto"/>
              <w:right w:val="single" w:sz="4" w:space="0" w:color="auto"/>
            </w:tcBorders>
            <w:shd w:val="clear" w:color="000000" w:fill="FFFFFF"/>
            <w:noWrap/>
            <w:vAlign w:val="center"/>
            <w:hideMark/>
          </w:tcPr>
          <w:p w14:paraId="1FA97C7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25" w:type="pct"/>
            <w:tcBorders>
              <w:top w:val="nil"/>
              <w:left w:val="nil"/>
              <w:bottom w:val="single" w:sz="4" w:space="0" w:color="auto"/>
              <w:right w:val="single" w:sz="4" w:space="0" w:color="auto"/>
            </w:tcBorders>
            <w:shd w:val="clear" w:color="000000" w:fill="FFFFFF"/>
            <w:noWrap/>
            <w:vAlign w:val="center"/>
            <w:hideMark/>
          </w:tcPr>
          <w:p w14:paraId="441868E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15" w:type="pct"/>
            <w:tcBorders>
              <w:top w:val="nil"/>
              <w:left w:val="nil"/>
              <w:bottom w:val="single" w:sz="4" w:space="0" w:color="auto"/>
              <w:right w:val="single" w:sz="8" w:space="0" w:color="auto"/>
            </w:tcBorders>
            <w:shd w:val="clear" w:color="000000" w:fill="FFFFFF"/>
            <w:noWrap/>
            <w:vAlign w:val="center"/>
            <w:hideMark/>
          </w:tcPr>
          <w:p w14:paraId="777C21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25" w:type="pct"/>
            <w:tcBorders>
              <w:top w:val="nil"/>
              <w:left w:val="single" w:sz="8" w:space="0" w:color="auto"/>
              <w:bottom w:val="single" w:sz="4" w:space="0" w:color="auto"/>
              <w:right w:val="single" w:sz="4" w:space="0" w:color="auto"/>
            </w:tcBorders>
            <w:shd w:val="clear" w:color="000000" w:fill="FFFFFF"/>
            <w:noWrap/>
            <w:vAlign w:val="center"/>
            <w:hideMark/>
          </w:tcPr>
          <w:p w14:paraId="700DF5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0,49</w:t>
            </w:r>
          </w:p>
        </w:tc>
        <w:tc>
          <w:tcPr>
            <w:tcW w:w="415" w:type="pct"/>
            <w:tcBorders>
              <w:top w:val="nil"/>
              <w:left w:val="nil"/>
              <w:bottom w:val="single" w:sz="4" w:space="0" w:color="auto"/>
              <w:right w:val="single" w:sz="4" w:space="0" w:color="auto"/>
            </w:tcBorders>
            <w:shd w:val="clear" w:color="000000" w:fill="FFFFFF"/>
            <w:noWrap/>
            <w:vAlign w:val="center"/>
            <w:hideMark/>
          </w:tcPr>
          <w:p w14:paraId="62A1448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0,96</w:t>
            </w:r>
          </w:p>
        </w:tc>
        <w:tc>
          <w:tcPr>
            <w:tcW w:w="295" w:type="pct"/>
            <w:tcBorders>
              <w:top w:val="nil"/>
              <w:left w:val="nil"/>
              <w:bottom w:val="single" w:sz="4" w:space="0" w:color="auto"/>
              <w:right w:val="single" w:sz="8" w:space="0" w:color="auto"/>
            </w:tcBorders>
            <w:shd w:val="clear" w:color="auto" w:fill="auto"/>
            <w:noWrap/>
            <w:vAlign w:val="center"/>
            <w:hideMark/>
          </w:tcPr>
          <w:p w14:paraId="5FCE62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1,45</w:t>
            </w:r>
          </w:p>
        </w:tc>
        <w:tc>
          <w:tcPr>
            <w:tcW w:w="302" w:type="pct"/>
            <w:tcBorders>
              <w:top w:val="nil"/>
              <w:left w:val="nil"/>
              <w:bottom w:val="single" w:sz="4" w:space="0" w:color="auto"/>
              <w:right w:val="single" w:sz="4" w:space="0" w:color="auto"/>
            </w:tcBorders>
            <w:shd w:val="clear" w:color="000000" w:fill="FFFFFF"/>
            <w:noWrap/>
            <w:vAlign w:val="center"/>
            <w:hideMark/>
          </w:tcPr>
          <w:p w14:paraId="0BAC88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2,43</w:t>
            </w:r>
          </w:p>
        </w:tc>
        <w:tc>
          <w:tcPr>
            <w:tcW w:w="328" w:type="pct"/>
            <w:tcBorders>
              <w:top w:val="nil"/>
              <w:left w:val="nil"/>
              <w:bottom w:val="single" w:sz="4" w:space="0" w:color="auto"/>
              <w:right w:val="single" w:sz="8" w:space="0" w:color="auto"/>
            </w:tcBorders>
            <w:shd w:val="clear" w:color="000000" w:fill="FFFFFF"/>
            <w:noWrap/>
            <w:vAlign w:val="center"/>
            <w:hideMark/>
          </w:tcPr>
          <w:p w14:paraId="74F0ED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1,43</w:t>
            </w:r>
          </w:p>
        </w:tc>
      </w:tr>
      <w:tr w:rsidR="00B15F7D" w:rsidRPr="00990FB6" w14:paraId="5E2FE5D4" w14:textId="77777777" w:rsidTr="000A0C22">
        <w:trPr>
          <w:trHeight w:val="300"/>
          <w:jc w:val="center"/>
        </w:trPr>
        <w:tc>
          <w:tcPr>
            <w:tcW w:w="770" w:type="pct"/>
            <w:tcBorders>
              <w:top w:val="nil"/>
              <w:left w:val="single" w:sz="8" w:space="0" w:color="auto"/>
              <w:bottom w:val="single" w:sz="4" w:space="0" w:color="auto"/>
              <w:right w:val="single" w:sz="4" w:space="0" w:color="auto"/>
            </w:tcBorders>
            <w:shd w:val="clear" w:color="auto" w:fill="auto"/>
            <w:noWrap/>
            <w:vAlign w:val="center"/>
            <w:hideMark/>
          </w:tcPr>
          <w:p w14:paraId="773DB9E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311" w:type="pct"/>
            <w:tcBorders>
              <w:top w:val="nil"/>
              <w:left w:val="nil"/>
              <w:bottom w:val="single" w:sz="4" w:space="0" w:color="auto"/>
              <w:right w:val="single" w:sz="4" w:space="0" w:color="auto"/>
            </w:tcBorders>
            <w:shd w:val="clear" w:color="auto" w:fill="auto"/>
            <w:noWrap/>
            <w:vAlign w:val="center"/>
            <w:hideMark/>
          </w:tcPr>
          <w:p w14:paraId="161169D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28</w:t>
            </w:r>
          </w:p>
        </w:tc>
        <w:tc>
          <w:tcPr>
            <w:tcW w:w="325" w:type="pct"/>
            <w:tcBorders>
              <w:top w:val="nil"/>
              <w:left w:val="nil"/>
              <w:bottom w:val="single" w:sz="4" w:space="0" w:color="auto"/>
              <w:right w:val="single" w:sz="4" w:space="0" w:color="auto"/>
            </w:tcBorders>
            <w:shd w:val="clear" w:color="auto" w:fill="auto"/>
            <w:noWrap/>
            <w:vAlign w:val="center"/>
            <w:hideMark/>
          </w:tcPr>
          <w:p w14:paraId="351673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41%</w:t>
            </w:r>
          </w:p>
        </w:tc>
        <w:tc>
          <w:tcPr>
            <w:tcW w:w="415" w:type="pct"/>
            <w:tcBorders>
              <w:top w:val="nil"/>
              <w:left w:val="nil"/>
              <w:bottom w:val="single" w:sz="4" w:space="0" w:color="auto"/>
              <w:right w:val="single" w:sz="4" w:space="0" w:color="auto"/>
            </w:tcBorders>
            <w:shd w:val="clear" w:color="auto" w:fill="auto"/>
            <w:noWrap/>
            <w:vAlign w:val="center"/>
            <w:hideMark/>
          </w:tcPr>
          <w:p w14:paraId="3964CA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59%</w:t>
            </w:r>
          </w:p>
        </w:tc>
        <w:tc>
          <w:tcPr>
            <w:tcW w:w="259" w:type="pct"/>
            <w:tcBorders>
              <w:top w:val="nil"/>
              <w:left w:val="nil"/>
              <w:bottom w:val="single" w:sz="4" w:space="0" w:color="auto"/>
              <w:right w:val="single" w:sz="8" w:space="0" w:color="auto"/>
            </w:tcBorders>
            <w:shd w:val="clear" w:color="auto" w:fill="auto"/>
            <w:noWrap/>
            <w:vAlign w:val="center"/>
            <w:hideMark/>
          </w:tcPr>
          <w:p w14:paraId="6ABC3A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1" w:type="pct"/>
            <w:tcBorders>
              <w:top w:val="nil"/>
              <w:left w:val="nil"/>
              <w:bottom w:val="single" w:sz="4" w:space="0" w:color="auto"/>
              <w:right w:val="single" w:sz="4" w:space="0" w:color="auto"/>
            </w:tcBorders>
            <w:shd w:val="clear" w:color="000000" w:fill="FFFFFF"/>
            <w:noWrap/>
            <w:vAlign w:val="center"/>
            <w:hideMark/>
          </w:tcPr>
          <w:p w14:paraId="520DC2F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95" w:type="pct"/>
            <w:tcBorders>
              <w:top w:val="nil"/>
              <w:left w:val="nil"/>
              <w:bottom w:val="single" w:sz="4" w:space="0" w:color="auto"/>
              <w:right w:val="single" w:sz="4" w:space="0" w:color="auto"/>
            </w:tcBorders>
            <w:shd w:val="clear" w:color="000000" w:fill="FFFFFF"/>
            <w:noWrap/>
            <w:vAlign w:val="center"/>
            <w:hideMark/>
          </w:tcPr>
          <w:p w14:paraId="74FDA7E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25" w:type="pct"/>
            <w:tcBorders>
              <w:top w:val="nil"/>
              <w:left w:val="nil"/>
              <w:bottom w:val="single" w:sz="4" w:space="0" w:color="auto"/>
              <w:right w:val="single" w:sz="4" w:space="0" w:color="auto"/>
            </w:tcBorders>
            <w:shd w:val="clear" w:color="000000" w:fill="FFFFFF"/>
            <w:noWrap/>
            <w:vAlign w:val="center"/>
            <w:hideMark/>
          </w:tcPr>
          <w:p w14:paraId="421EC31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15" w:type="pct"/>
            <w:tcBorders>
              <w:top w:val="nil"/>
              <w:left w:val="nil"/>
              <w:bottom w:val="single" w:sz="4" w:space="0" w:color="auto"/>
              <w:right w:val="single" w:sz="8" w:space="0" w:color="auto"/>
            </w:tcBorders>
            <w:shd w:val="clear" w:color="000000" w:fill="FFFFFF"/>
            <w:noWrap/>
            <w:vAlign w:val="center"/>
            <w:hideMark/>
          </w:tcPr>
          <w:p w14:paraId="312E83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25" w:type="pct"/>
            <w:tcBorders>
              <w:top w:val="nil"/>
              <w:left w:val="single" w:sz="8" w:space="0" w:color="auto"/>
              <w:bottom w:val="single" w:sz="4" w:space="0" w:color="auto"/>
              <w:right w:val="single" w:sz="4" w:space="0" w:color="auto"/>
            </w:tcBorders>
            <w:shd w:val="clear" w:color="000000" w:fill="FFFFFF"/>
            <w:noWrap/>
            <w:vAlign w:val="center"/>
            <w:hideMark/>
          </w:tcPr>
          <w:p w14:paraId="60759A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0,78</w:t>
            </w:r>
          </w:p>
        </w:tc>
        <w:tc>
          <w:tcPr>
            <w:tcW w:w="415" w:type="pct"/>
            <w:tcBorders>
              <w:top w:val="nil"/>
              <w:left w:val="nil"/>
              <w:bottom w:val="single" w:sz="4" w:space="0" w:color="auto"/>
              <w:right w:val="single" w:sz="4" w:space="0" w:color="auto"/>
            </w:tcBorders>
            <w:shd w:val="clear" w:color="000000" w:fill="FFFFFF"/>
            <w:noWrap/>
            <w:vAlign w:val="center"/>
            <w:hideMark/>
          </w:tcPr>
          <w:p w14:paraId="1AB73A3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0,82</w:t>
            </w:r>
          </w:p>
        </w:tc>
        <w:tc>
          <w:tcPr>
            <w:tcW w:w="295" w:type="pct"/>
            <w:tcBorders>
              <w:top w:val="nil"/>
              <w:left w:val="nil"/>
              <w:bottom w:val="single" w:sz="4" w:space="0" w:color="auto"/>
              <w:right w:val="single" w:sz="8" w:space="0" w:color="auto"/>
            </w:tcBorders>
            <w:shd w:val="clear" w:color="auto" w:fill="auto"/>
            <w:noWrap/>
            <w:vAlign w:val="center"/>
            <w:hideMark/>
          </w:tcPr>
          <w:p w14:paraId="02420B4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1,60</w:t>
            </w:r>
          </w:p>
        </w:tc>
        <w:tc>
          <w:tcPr>
            <w:tcW w:w="302" w:type="pct"/>
            <w:tcBorders>
              <w:top w:val="nil"/>
              <w:left w:val="nil"/>
              <w:bottom w:val="single" w:sz="4" w:space="0" w:color="auto"/>
              <w:right w:val="single" w:sz="4" w:space="0" w:color="auto"/>
            </w:tcBorders>
            <w:shd w:val="clear" w:color="000000" w:fill="FFFFFF"/>
            <w:noWrap/>
            <w:vAlign w:val="center"/>
            <w:hideMark/>
          </w:tcPr>
          <w:p w14:paraId="3AB789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3,15</w:t>
            </w:r>
          </w:p>
        </w:tc>
        <w:tc>
          <w:tcPr>
            <w:tcW w:w="328" w:type="pct"/>
            <w:tcBorders>
              <w:top w:val="nil"/>
              <w:left w:val="nil"/>
              <w:bottom w:val="single" w:sz="4" w:space="0" w:color="auto"/>
              <w:right w:val="single" w:sz="8" w:space="0" w:color="auto"/>
            </w:tcBorders>
            <w:shd w:val="clear" w:color="000000" w:fill="FFFFFF"/>
            <w:noWrap/>
            <w:vAlign w:val="center"/>
            <w:hideMark/>
          </w:tcPr>
          <w:p w14:paraId="2E2F0D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2,15</w:t>
            </w:r>
          </w:p>
        </w:tc>
      </w:tr>
      <w:tr w:rsidR="00B15F7D" w:rsidRPr="00990FB6" w14:paraId="062136DE" w14:textId="77777777" w:rsidTr="000A0C22">
        <w:trPr>
          <w:trHeight w:val="300"/>
          <w:jc w:val="center"/>
        </w:trPr>
        <w:tc>
          <w:tcPr>
            <w:tcW w:w="770" w:type="pct"/>
            <w:tcBorders>
              <w:top w:val="nil"/>
              <w:left w:val="single" w:sz="8" w:space="0" w:color="auto"/>
              <w:bottom w:val="single" w:sz="4" w:space="0" w:color="auto"/>
              <w:right w:val="single" w:sz="4" w:space="0" w:color="auto"/>
            </w:tcBorders>
            <w:shd w:val="clear" w:color="auto" w:fill="auto"/>
            <w:noWrap/>
            <w:vAlign w:val="center"/>
            <w:hideMark/>
          </w:tcPr>
          <w:p w14:paraId="6E90D6BF"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311" w:type="pct"/>
            <w:tcBorders>
              <w:top w:val="nil"/>
              <w:left w:val="nil"/>
              <w:bottom w:val="single" w:sz="4" w:space="0" w:color="auto"/>
              <w:right w:val="single" w:sz="4" w:space="0" w:color="auto"/>
            </w:tcBorders>
            <w:shd w:val="clear" w:color="auto" w:fill="auto"/>
            <w:noWrap/>
            <w:vAlign w:val="center"/>
            <w:hideMark/>
          </w:tcPr>
          <w:p w14:paraId="458B4A5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25</w:t>
            </w:r>
          </w:p>
        </w:tc>
        <w:tc>
          <w:tcPr>
            <w:tcW w:w="325" w:type="pct"/>
            <w:tcBorders>
              <w:top w:val="nil"/>
              <w:left w:val="nil"/>
              <w:bottom w:val="single" w:sz="4" w:space="0" w:color="auto"/>
              <w:right w:val="single" w:sz="4" w:space="0" w:color="auto"/>
            </w:tcBorders>
            <w:shd w:val="clear" w:color="auto" w:fill="auto"/>
            <w:noWrap/>
            <w:vAlign w:val="center"/>
            <w:hideMark/>
          </w:tcPr>
          <w:p w14:paraId="0BAF7CE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42%</w:t>
            </w:r>
          </w:p>
        </w:tc>
        <w:tc>
          <w:tcPr>
            <w:tcW w:w="415" w:type="pct"/>
            <w:tcBorders>
              <w:top w:val="nil"/>
              <w:left w:val="nil"/>
              <w:bottom w:val="single" w:sz="4" w:space="0" w:color="auto"/>
              <w:right w:val="single" w:sz="4" w:space="0" w:color="auto"/>
            </w:tcBorders>
            <w:shd w:val="clear" w:color="auto" w:fill="auto"/>
            <w:noWrap/>
            <w:vAlign w:val="center"/>
            <w:hideMark/>
          </w:tcPr>
          <w:p w14:paraId="6657F54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58%</w:t>
            </w:r>
          </w:p>
        </w:tc>
        <w:tc>
          <w:tcPr>
            <w:tcW w:w="259" w:type="pct"/>
            <w:tcBorders>
              <w:top w:val="nil"/>
              <w:left w:val="nil"/>
              <w:bottom w:val="single" w:sz="4" w:space="0" w:color="auto"/>
              <w:right w:val="single" w:sz="8" w:space="0" w:color="auto"/>
            </w:tcBorders>
            <w:shd w:val="clear" w:color="auto" w:fill="auto"/>
            <w:noWrap/>
            <w:vAlign w:val="center"/>
            <w:hideMark/>
          </w:tcPr>
          <w:p w14:paraId="5769573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1" w:type="pct"/>
            <w:tcBorders>
              <w:top w:val="nil"/>
              <w:left w:val="nil"/>
              <w:bottom w:val="single" w:sz="4" w:space="0" w:color="auto"/>
              <w:right w:val="single" w:sz="4" w:space="0" w:color="auto"/>
            </w:tcBorders>
            <w:shd w:val="clear" w:color="000000" w:fill="FFFFFF"/>
            <w:noWrap/>
            <w:vAlign w:val="center"/>
            <w:hideMark/>
          </w:tcPr>
          <w:p w14:paraId="7F43E28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95" w:type="pct"/>
            <w:tcBorders>
              <w:top w:val="nil"/>
              <w:left w:val="nil"/>
              <w:bottom w:val="single" w:sz="4" w:space="0" w:color="auto"/>
              <w:right w:val="single" w:sz="4" w:space="0" w:color="auto"/>
            </w:tcBorders>
            <w:shd w:val="clear" w:color="000000" w:fill="FFFFFF"/>
            <w:noWrap/>
            <w:vAlign w:val="center"/>
            <w:hideMark/>
          </w:tcPr>
          <w:p w14:paraId="6A57019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25" w:type="pct"/>
            <w:tcBorders>
              <w:top w:val="nil"/>
              <w:left w:val="nil"/>
              <w:bottom w:val="single" w:sz="4" w:space="0" w:color="auto"/>
              <w:right w:val="single" w:sz="4" w:space="0" w:color="auto"/>
            </w:tcBorders>
            <w:shd w:val="clear" w:color="000000" w:fill="FFFFFF"/>
            <w:noWrap/>
            <w:vAlign w:val="center"/>
            <w:hideMark/>
          </w:tcPr>
          <w:p w14:paraId="26E47A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15" w:type="pct"/>
            <w:tcBorders>
              <w:top w:val="nil"/>
              <w:left w:val="nil"/>
              <w:bottom w:val="single" w:sz="4" w:space="0" w:color="auto"/>
              <w:right w:val="single" w:sz="8" w:space="0" w:color="auto"/>
            </w:tcBorders>
            <w:shd w:val="clear" w:color="000000" w:fill="FFFFFF"/>
            <w:noWrap/>
            <w:vAlign w:val="center"/>
            <w:hideMark/>
          </w:tcPr>
          <w:p w14:paraId="26303A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25" w:type="pct"/>
            <w:tcBorders>
              <w:top w:val="nil"/>
              <w:left w:val="single" w:sz="8" w:space="0" w:color="auto"/>
              <w:bottom w:val="single" w:sz="4" w:space="0" w:color="auto"/>
              <w:right w:val="single" w:sz="4" w:space="0" w:color="auto"/>
            </w:tcBorders>
            <w:shd w:val="clear" w:color="000000" w:fill="FFFFFF"/>
            <w:noWrap/>
            <w:vAlign w:val="center"/>
            <w:hideMark/>
          </w:tcPr>
          <w:p w14:paraId="234A1A1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0,71</w:t>
            </w:r>
          </w:p>
        </w:tc>
        <w:tc>
          <w:tcPr>
            <w:tcW w:w="415" w:type="pct"/>
            <w:tcBorders>
              <w:top w:val="nil"/>
              <w:left w:val="nil"/>
              <w:bottom w:val="single" w:sz="4" w:space="0" w:color="auto"/>
              <w:right w:val="single" w:sz="4" w:space="0" w:color="auto"/>
            </w:tcBorders>
            <w:shd w:val="clear" w:color="000000" w:fill="FFFFFF"/>
            <w:noWrap/>
            <w:vAlign w:val="center"/>
            <w:hideMark/>
          </w:tcPr>
          <w:p w14:paraId="6CD785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0,74</w:t>
            </w:r>
          </w:p>
        </w:tc>
        <w:tc>
          <w:tcPr>
            <w:tcW w:w="295" w:type="pct"/>
            <w:tcBorders>
              <w:top w:val="nil"/>
              <w:left w:val="nil"/>
              <w:bottom w:val="single" w:sz="4" w:space="0" w:color="auto"/>
              <w:right w:val="single" w:sz="8" w:space="0" w:color="auto"/>
            </w:tcBorders>
            <w:shd w:val="clear" w:color="auto" w:fill="auto"/>
            <w:noWrap/>
            <w:vAlign w:val="center"/>
            <w:hideMark/>
          </w:tcPr>
          <w:p w14:paraId="2317188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1,45</w:t>
            </w:r>
          </w:p>
        </w:tc>
        <w:tc>
          <w:tcPr>
            <w:tcW w:w="302" w:type="pct"/>
            <w:tcBorders>
              <w:top w:val="nil"/>
              <w:left w:val="nil"/>
              <w:bottom w:val="single" w:sz="4" w:space="0" w:color="auto"/>
              <w:right w:val="single" w:sz="4" w:space="0" w:color="auto"/>
            </w:tcBorders>
            <w:shd w:val="clear" w:color="000000" w:fill="FFFFFF"/>
            <w:noWrap/>
            <w:vAlign w:val="center"/>
            <w:hideMark/>
          </w:tcPr>
          <w:p w14:paraId="481431A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2,86</w:t>
            </w:r>
          </w:p>
        </w:tc>
        <w:tc>
          <w:tcPr>
            <w:tcW w:w="328" w:type="pct"/>
            <w:tcBorders>
              <w:top w:val="nil"/>
              <w:left w:val="nil"/>
              <w:bottom w:val="single" w:sz="4" w:space="0" w:color="auto"/>
              <w:right w:val="single" w:sz="8" w:space="0" w:color="auto"/>
            </w:tcBorders>
            <w:shd w:val="clear" w:color="000000" w:fill="FFFFFF"/>
            <w:noWrap/>
            <w:vAlign w:val="center"/>
            <w:hideMark/>
          </w:tcPr>
          <w:p w14:paraId="49C0D7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1,86</w:t>
            </w:r>
          </w:p>
        </w:tc>
      </w:tr>
      <w:tr w:rsidR="00B15F7D" w:rsidRPr="00990FB6" w14:paraId="7AC1581B" w14:textId="77777777" w:rsidTr="000A0C22">
        <w:trPr>
          <w:trHeight w:val="300"/>
          <w:jc w:val="center"/>
        </w:trPr>
        <w:tc>
          <w:tcPr>
            <w:tcW w:w="770" w:type="pct"/>
            <w:tcBorders>
              <w:top w:val="nil"/>
              <w:left w:val="single" w:sz="8" w:space="0" w:color="auto"/>
              <w:bottom w:val="single" w:sz="4" w:space="0" w:color="auto"/>
              <w:right w:val="single" w:sz="4" w:space="0" w:color="auto"/>
            </w:tcBorders>
            <w:shd w:val="clear" w:color="auto" w:fill="auto"/>
            <w:noWrap/>
            <w:vAlign w:val="center"/>
            <w:hideMark/>
          </w:tcPr>
          <w:p w14:paraId="4342A7E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311" w:type="pct"/>
            <w:tcBorders>
              <w:top w:val="nil"/>
              <w:left w:val="nil"/>
              <w:bottom w:val="single" w:sz="4" w:space="0" w:color="auto"/>
              <w:right w:val="single" w:sz="4" w:space="0" w:color="auto"/>
            </w:tcBorders>
            <w:shd w:val="clear" w:color="auto" w:fill="auto"/>
            <w:noWrap/>
            <w:vAlign w:val="center"/>
            <w:hideMark/>
          </w:tcPr>
          <w:p w14:paraId="6F2F5C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w:t>
            </w:r>
          </w:p>
        </w:tc>
        <w:tc>
          <w:tcPr>
            <w:tcW w:w="325" w:type="pct"/>
            <w:tcBorders>
              <w:top w:val="nil"/>
              <w:left w:val="nil"/>
              <w:bottom w:val="single" w:sz="4" w:space="0" w:color="auto"/>
              <w:right w:val="single" w:sz="4" w:space="0" w:color="auto"/>
            </w:tcBorders>
            <w:shd w:val="clear" w:color="auto" w:fill="auto"/>
            <w:noWrap/>
            <w:vAlign w:val="center"/>
            <w:hideMark/>
          </w:tcPr>
          <w:p w14:paraId="0702141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35%</w:t>
            </w:r>
          </w:p>
        </w:tc>
        <w:tc>
          <w:tcPr>
            <w:tcW w:w="415" w:type="pct"/>
            <w:tcBorders>
              <w:top w:val="nil"/>
              <w:left w:val="nil"/>
              <w:bottom w:val="single" w:sz="4" w:space="0" w:color="auto"/>
              <w:right w:val="single" w:sz="4" w:space="0" w:color="auto"/>
            </w:tcBorders>
            <w:shd w:val="clear" w:color="auto" w:fill="auto"/>
            <w:noWrap/>
            <w:vAlign w:val="center"/>
            <w:hideMark/>
          </w:tcPr>
          <w:p w14:paraId="75C96A6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64%</w:t>
            </w:r>
          </w:p>
        </w:tc>
        <w:tc>
          <w:tcPr>
            <w:tcW w:w="259" w:type="pct"/>
            <w:tcBorders>
              <w:top w:val="nil"/>
              <w:left w:val="nil"/>
              <w:bottom w:val="single" w:sz="4" w:space="0" w:color="auto"/>
              <w:right w:val="single" w:sz="8" w:space="0" w:color="auto"/>
            </w:tcBorders>
            <w:shd w:val="clear" w:color="auto" w:fill="auto"/>
            <w:noWrap/>
            <w:vAlign w:val="center"/>
            <w:hideMark/>
          </w:tcPr>
          <w:p w14:paraId="4B04E10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21" w:type="pct"/>
            <w:tcBorders>
              <w:top w:val="nil"/>
              <w:left w:val="nil"/>
              <w:bottom w:val="single" w:sz="4" w:space="0" w:color="auto"/>
              <w:right w:val="single" w:sz="4" w:space="0" w:color="auto"/>
            </w:tcBorders>
            <w:shd w:val="clear" w:color="000000" w:fill="FFFFFF"/>
            <w:noWrap/>
            <w:vAlign w:val="center"/>
            <w:hideMark/>
          </w:tcPr>
          <w:p w14:paraId="1539356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95" w:type="pct"/>
            <w:tcBorders>
              <w:top w:val="nil"/>
              <w:left w:val="nil"/>
              <w:bottom w:val="single" w:sz="4" w:space="0" w:color="auto"/>
              <w:right w:val="single" w:sz="4" w:space="0" w:color="auto"/>
            </w:tcBorders>
            <w:shd w:val="clear" w:color="000000" w:fill="FFFFFF"/>
            <w:noWrap/>
            <w:vAlign w:val="center"/>
            <w:hideMark/>
          </w:tcPr>
          <w:p w14:paraId="4EC1F62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25" w:type="pct"/>
            <w:tcBorders>
              <w:top w:val="nil"/>
              <w:left w:val="nil"/>
              <w:bottom w:val="single" w:sz="4" w:space="0" w:color="auto"/>
              <w:right w:val="single" w:sz="4" w:space="0" w:color="auto"/>
            </w:tcBorders>
            <w:shd w:val="clear" w:color="000000" w:fill="FFFFFF"/>
            <w:noWrap/>
            <w:vAlign w:val="center"/>
            <w:hideMark/>
          </w:tcPr>
          <w:p w14:paraId="020BF75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15" w:type="pct"/>
            <w:tcBorders>
              <w:top w:val="nil"/>
              <w:left w:val="nil"/>
              <w:bottom w:val="single" w:sz="4" w:space="0" w:color="auto"/>
              <w:right w:val="single" w:sz="8" w:space="0" w:color="auto"/>
            </w:tcBorders>
            <w:shd w:val="clear" w:color="000000" w:fill="FFFFFF"/>
            <w:noWrap/>
            <w:vAlign w:val="center"/>
            <w:hideMark/>
          </w:tcPr>
          <w:p w14:paraId="201C12D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25" w:type="pct"/>
            <w:tcBorders>
              <w:top w:val="nil"/>
              <w:left w:val="single" w:sz="8" w:space="0" w:color="auto"/>
              <w:bottom w:val="single" w:sz="4" w:space="0" w:color="auto"/>
              <w:right w:val="single" w:sz="4" w:space="0" w:color="auto"/>
            </w:tcBorders>
            <w:shd w:val="clear" w:color="000000" w:fill="FFFFFF"/>
            <w:noWrap/>
            <w:vAlign w:val="center"/>
            <w:hideMark/>
          </w:tcPr>
          <w:p w14:paraId="700C1E0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0,74</w:t>
            </w:r>
          </w:p>
        </w:tc>
        <w:tc>
          <w:tcPr>
            <w:tcW w:w="415" w:type="pct"/>
            <w:tcBorders>
              <w:top w:val="nil"/>
              <w:left w:val="nil"/>
              <w:bottom w:val="single" w:sz="4" w:space="0" w:color="auto"/>
              <w:right w:val="single" w:sz="4" w:space="0" w:color="auto"/>
            </w:tcBorders>
            <w:shd w:val="clear" w:color="000000" w:fill="FFFFFF"/>
            <w:noWrap/>
            <w:vAlign w:val="center"/>
            <w:hideMark/>
          </w:tcPr>
          <w:p w14:paraId="1BE89B1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1,02</w:t>
            </w:r>
          </w:p>
        </w:tc>
        <w:tc>
          <w:tcPr>
            <w:tcW w:w="295" w:type="pct"/>
            <w:tcBorders>
              <w:top w:val="nil"/>
              <w:left w:val="nil"/>
              <w:bottom w:val="single" w:sz="4" w:space="0" w:color="auto"/>
              <w:right w:val="single" w:sz="8" w:space="0" w:color="auto"/>
            </w:tcBorders>
            <w:shd w:val="clear" w:color="auto" w:fill="auto"/>
            <w:noWrap/>
            <w:vAlign w:val="center"/>
            <w:hideMark/>
          </w:tcPr>
          <w:p w14:paraId="4592327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1,77</w:t>
            </w:r>
          </w:p>
        </w:tc>
        <w:tc>
          <w:tcPr>
            <w:tcW w:w="302" w:type="pct"/>
            <w:tcBorders>
              <w:top w:val="nil"/>
              <w:left w:val="nil"/>
              <w:bottom w:val="single" w:sz="4" w:space="0" w:color="auto"/>
              <w:right w:val="single" w:sz="4" w:space="0" w:color="auto"/>
            </w:tcBorders>
            <w:shd w:val="clear" w:color="000000" w:fill="FFFFFF"/>
            <w:noWrap/>
            <w:vAlign w:val="center"/>
            <w:hideMark/>
          </w:tcPr>
          <w:p w14:paraId="14A613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3,25</w:t>
            </w:r>
          </w:p>
        </w:tc>
        <w:tc>
          <w:tcPr>
            <w:tcW w:w="328" w:type="pct"/>
            <w:tcBorders>
              <w:top w:val="nil"/>
              <w:left w:val="nil"/>
              <w:bottom w:val="single" w:sz="4" w:space="0" w:color="auto"/>
              <w:right w:val="single" w:sz="8" w:space="0" w:color="auto"/>
            </w:tcBorders>
            <w:shd w:val="clear" w:color="000000" w:fill="FFFFFF"/>
            <w:noWrap/>
            <w:vAlign w:val="center"/>
            <w:hideMark/>
          </w:tcPr>
          <w:p w14:paraId="424C0D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2,25</w:t>
            </w:r>
          </w:p>
        </w:tc>
      </w:tr>
      <w:tr w:rsidR="00B15F7D" w:rsidRPr="00990FB6" w14:paraId="2CFD20EC" w14:textId="77777777" w:rsidTr="000A0C22">
        <w:trPr>
          <w:trHeight w:val="350"/>
          <w:jc w:val="center"/>
        </w:trPr>
        <w:tc>
          <w:tcPr>
            <w:tcW w:w="770" w:type="pct"/>
            <w:tcBorders>
              <w:top w:val="nil"/>
              <w:left w:val="single" w:sz="8" w:space="0" w:color="auto"/>
              <w:bottom w:val="single" w:sz="8" w:space="0" w:color="auto"/>
              <w:right w:val="single" w:sz="4" w:space="0" w:color="auto"/>
            </w:tcBorders>
            <w:shd w:val="clear" w:color="auto" w:fill="auto"/>
            <w:noWrap/>
            <w:vAlign w:val="center"/>
            <w:hideMark/>
          </w:tcPr>
          <w:p w14:paraId="665E02A9"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Tribunal Penal de Santa Cruz</w:t>
            </w:r>
          </w:p>
        </w:tc>
        <w:tc>
          <w:tcPr>
            <w:tcW w:w="311" w:type="pct"/>
            <w:tcBorders>
              <w:top w:val="nil"/>
              <w:left w:val="nil"/>
              <w:bottom w:val="single" w:sz="8" w:space="0" w:color="auto"/>
              <w:right w:val="single" w:sz="4" w:space="0" w:color="auto"/>
            </w:tcBorders>
            <w:shd w:val="clear" w:color="auto" w:fill="auto"/>
            <w:noWrap/>
            <w:vAlign w:val="center"/>
            <w:hideMark/>
          </w:tcPr>
          <w:p w14:paraId="3F98FB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39</w:t>
            </w:r>
          </w:p>
        </w:tc>
        <w:tc>
          <w:tcPr>
            <w:tcW w:w="325" w:type="pct"/>
            <w:tcBorders>
              <w:top w:val="nil"/>
              <w:left w:val="nil"/>
              <w:bottom w:val="single" w:sz="8" w:space="0" w:color="auto"/>
              <w:right w:val="single" w:sz="4" w:space="0" w:color="auto"/>
            </w:tcBorders>
            <w:shd w:val="clear" w:color="auto" w:fill="auto"/>
            <w:noWrap/>
            <w:vAlign w:val="center"/>
            <w:hideMark/>
          </w:tcPr>
          <w:p w14:paraId="6AE8581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33%</w:t>
            </w:r>
          </w:p>
        </w:tc>
        <w:tc>
          <w:tcPr>
            <w:tcW w:w="415" w:type="pct"/>
            <w:tcBorders>
              <w:top w:val="nil"/>
              <w:left w:val="nil"/>
              <w:bottom w:val="single" w:sz="8" w:space="0" w:color="auto"/>
              <w:right w:val="single" w:sz="4" w:space="0" w:color="auto"/>
            </w:tcBorders>
            <w:shd w:val="clear" w:color="auto" w:fill="auto"/>
            <w:noWrap/>
            <w:vAlign w:val="center"/>
            <w:hideMark/>
          </w:tcPr>
          <w:p w14:paraId="6E876DE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67%</w:t>
            </w:r>
          </w:p>
        </w:tc>
        <w:tc>
          <w:tcPr>
            <w:tcW w:w="259" w:type="pct"/>
            <w:tcBorders>
              <w:top w:val="nil"/>
              <w:left w:val="nil"/>
              <w:bottom w:val="single" w:sz="8" w:space="0" w:color="auto"/>
              <w:right w:val="single" w:sz="8" w:space="0" w:color="auto"/>
            </w:tcBorders>
            <w:shd w:val="clear" w:color="auto" w:fill="auto"/>
            <w:noWrap/>
            <w:vAlign w:val="center"/>
            <w:hideMark/>
          </w:tcPr>
          <w:p w14:paraId="5C8FF5C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21" w:type="pct"/>
            <w:tcBorders>
              <w:top w:val="nil"/>
              <w:left w:val="nil"/>
              <w:bottom w:val="single" w:sz="8" w:space="0" w:color="auto"/>
              <w:right w:val="single" w:sz="4" w:space="0" w:color="auto"/>
            </w:tcBorders>
            <w:shd w:val="clear" w:color="000000" w:fill="FFFFFF"/>
            <w:noWrap/>
            <w:vAlign w:val="center"/>
            <w:hideMark/>
          </w:tcPr>
          <w:p w14:paraId="19D4E2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395" w:type="pct"/>
            <w:tcBorders>
              <w:top w:val="nil"/>
              <w:left w:val="nil"/>
              <w:bottom w:val="single" w:sz="8" w:space="0" w:color="auto"/>
              <w:right w:val="single" w:sz="4" w:space="0" w:color="auto"/>
            </w:tcBorders>
            <w:shd w:val="clear" w:color="000000" w:fill="FFFFFF"/>
            <w:noWrap/>
            <w:vAlign w:val="center"/>
            <w:hideMark/>
          </w:tcPr>
          <w:p w14:paraId="170CE66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25" w:type="pct"/>
            <w:tcBorders>
              <w:top w:val="nil"/>
              <w:left w:val="nil"/>
              <w:bottom w:val="single" w:sz="8" w:space="0" w:color="auto"/>
              <w:right w:val="single" w:sz="4" w:space="0" w:color="auto"/>
            </w:tcBorders>
            <w:shd w:val="clear" w:color="000000" w:fill="FFFFFF"/>
            <w:noWrap/>
            <w:vAlign w:val="center"/>
            <w:hideMark/>
          </w:tcPr>
          <w:p w14:paraId="64F0C04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15" w:type="pct"/>
            <w:tcBorders>
              <w:top w:val="nil"/>
              <w:left w:val="nil"/>
              <w:bottom w:val="single" w:sz="8" w:space="0" w:color="auto"/>
              <w:right w:val="single" w:sz="8" w:space="0" w:color="auto"/>
            </w:tcBorders>
            <w:shd w:val="clear" w:color="000000" w:fill="FFFFFF"/>
            <w:noWrap/>
            <w:vAlign w:val="center"/>
            <w:hideMark/>
          </w:tcPr>
          <w:p w14:paraId="030D7E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325" w:type="pct"/>
            <w:tcBorders>
              <w:top w:val="nil"/>
              <w:left w:val="single" w:sz="8" w:space="0" w:color="auto"/>
              <w:bottom w:val="single" w:sz="8" w:space="0" w:color="auto"/>
              <w:right w:val="single" w:sz="4" w:space="0" w:color="auto"/>
            </w:tcBorders>
            <w:shd w:val="clear" w:color="000000" w:fill="FFFFFF"/>
            <w:noWrap/>
            <w:vAlign w:val="center"/>
            <w:hideMark/>
          </w:tcPr>
          <w:p w14:paraId="37B8B1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0,86</w:t>
            </w:r>
          </w:p>
        </w:tc>
        <w:tc>
          <w:tcPr>
            <w:tcW w:w="415" w:type="pct"/>
            <w:tcBorders>
              <w:top w:val="nil"/>
              <w:left w:val="nil"/>
              <w:bottom w:val="single" w:sz="8" w:space="0" w:color="auto"/>
              <w:right w:val="single" w:sz="4" w:space="0" w:color="auto"/>
            </w:tcBorders>
            <w:shd w:val="clear" w:color="000000" w:fill="FFFFFF"/>
            <w:noWrap/>
            <w:vAlign w:val="center"/>
            <w:hideMark/>
          </w:tcPr>
          <w:p w14:paraId="4384567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1,30</w:t>
            </w:r>
          </w:p>
        </w:tc>
        <w:tc>
          <w:tcPr>
            <w:tcW w:w="295" w:type="pct"/>
            <w:tcBorders>
              <w:top w:val="nil"/>
              <w:left w:val="nil"/>
              <w:bottom w:val="single" w:sz="8" w:space="0" w:color="auto"/>
              <w:right w:val="single" w:sz="8" w:space="0" w:color="auto"/>
            </w:tcBorders>
            <w:shd w:val="clear" w:color="auto" w:fill="auto"/>
            <w:noWrap/>
            <w:vAlign w:val="center"/>
            <w:hideMark/>
          </w:tcPr>
          <w:p w14:paraId="46F7162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2,16</w:t>
            </w:r>
          </w:p>
        </w:tc>
        <w:tc>
          <w:tcPr>
            <w:tcW w:w="302" w:type="pct"/>
            <w:tcBorders>
              <w:top w:val="nil"/>
              <w:left w:val="nil"/>
              <w:bottom w:val="single" w:sz="8" w:space="0" w:color="auto"/>
              <w:right w:val="single" w:sz="4" w:space="0" w:color="auto"/>
            </w:tcBorders>
            <w:shd w:val="clear" w:color="000000" w:fill="FFFFFF"/>
            <w:noWrap/>
            <w:vAlign w:val="center"/>
            <w:hideMark/>
          </w:tcPr>
          <w:p w14:paraId="1019FC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3,87</w:t>
            </w:r>
          </w:p>
        </w:tc>
        <w:tc>
          <w:tcPr>
            <w:tcW w:w="328" w:type="pct"/>
            <w:tcBorders>
              <w:top w:val="nil"/>
              <w:left w:val="nil"/>
              <w:bottom w:val="single" w:sz="8" w:space="0" w:color="auto"/>
              <w:right w:val="single" w:sz="8" w:space="0" w:color="auto"/>
            </w:tcBorders>
            <w:shd w:val="clear" w:color="000000" w:fill="FFFFFF"/>
            <w:noWrap/>
            <w:vAlign w:val="center"/>
            <w:hideMark/>
          </w:tcPr>
          <w:p w14:paraId="4FF60A7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1,87</w:t>
            </w:r>
          </w:p>
        </w:tc>
      </w:tr>
    </w:tbl>
    <w:p w14:paraId="05E4CA77" w14:textId="374AFEEB" w:rsidR="00B15F7D" w:rsidRPr="00990FB6" w:rsidRDefault="00B15F7D" w:rsidP="00B15F7D">
      <w:pPr>
        <w:suppressAutoHyphens w:val="0"/>
        <w:ind w:right="616"/>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anuarios estadísticos</w:t>
      </w:r>
    </w:p>
    <w:p w14:paraId="53224AEC" w14:textId="77777777" w:rsidR="00B305D7" w:rsidRPr="00990FB6" w:rsidRDefault="00B305D7" w:rsidP="00B15F7D">
      <w:pPr>
        <w:suppressAutoHyphens w:val="0"/>
        <w:ind w:right="616"/>
        <w:jc w:val="both"/>
        <w:rPr>
          <w:rFonts w:eastAsia="Calibri"/>
          <w:color w:val="000000"/>
          <w:sz w:val="22"/>
          <w:szCs w:val="22"/>
          <w:lang w:val="es-CR" w:eastAsia="en-US"/>
        </w:rPr>
      </w:pPr>
    </w:p>
    <w:p w14:paraId="3537EAB5"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lastRenderedPageBreak/>
        <w:t>Con base en la información anterior, se determina que el Tribunal Penal de Sarapiquí, es el que ostenta mensualmente la menor entrada asuntos nuevos; ahora bien, los tribunales penales de Cañas y Santa Cruz, mantienen una entrada mensual que es muy cercana a la capacidad establecida para los jueces o juezas de fondo; es decir 20 sentencias o medidas alternas para un juez o jueza exclusivo para juicios unipersonales y de 15 sentencias o medidas alternas para una sección exclusiva para juicios colegiados. No obstante a lo anterior, para el caso del Tribunal Penal de Cañas, conforme la entrada mensual de asuntos nuevos, se estima en 11 asuntos los ingresos colegiados y la cuota establecida para una sección exclusiva corresponde a 15 sentencias o medidas alternas, según el modelo de tramitación aprobado, por lo que asignar una sección exclusiva para la atención de juicios colegiados supondría una carga de trabajo inferior a su capacidad, debido a lo anterior, se determina que la necesidad de personal es únicamente de dos plazas de jueza o juez 4 que permita al despacho conformar de manera ordinaria una sección mixta, que resuelva tanto juicios colegiados como unipersonales.</w:t>
      </w:r>
    </w:p>
    <w:p w14:paraId="3D33F36D"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p>
    <w:p w14:paraId="0D0E75FE"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Para los restantes Tribunales Penales, la entrada mensual de asuntos nuevos es menor a las cuotas establecidas en el modelo de tramitación aprobado para los Tribunales Penales, por lo que para cubrir la entrada de asuntos nuevos sería necesaria una sección mixta, la cual tendría una cuota mensual de 32 sentencias o medidas alternas.</w:t>
      </w:r>
    </w:p>
    <w:p w14:paraId="7ED13922"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p>
    <w:p w14:paraId="3B89BF78"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En relación con los Tribunales con estructura mínima, es conveniente mencionar que, con la finalidad de brindar un mejor servicio al usuario, a pesar de las limitaciones presupuestarias implementadas por la pandemia provocada por el COVID-19, la Institución ha mantenido desde aproximadamente el 2019 la asignación de permisos con goce de salario en estos despachos y la última prórroga aprobada por el Consejo Superior fue hasta el 31 de marzo del 2023, en la sesión 112-2022 celebrada el 22 de diciembre del 2022, artículo LXXVI:</w:t>
      </w:r>
    </w:p>
    <w:p w14:paraId="2E832AA6" w14:textId="77777777" w:rsidR="00B15F7D" w:rsidRPr="00990FB6" w:rsidRDefault="00B15F7D" w:rsidP="00B15F7D">
      <w:pPr>
        <w:ind w:left="851" w:right="851" w:firstLine="709"/>
        <w:jc w:val="both"/>
        <w:rPr>
          <w:b/>
          <w:bCs/>
          <w:color w:val="00000A"/>
          <w:sz w:val="22"/>
          <w:szCs w:val="22"/>
          <w:lang w:eastAsia="es-ES"/>
        </w:rPr>
      </w:pPr>
    </w:p>
    <w:p w14:paraId="7907E3CA"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7</w:t>
      </w:r>
      <w:r w:rsidRPr="00990FB6">
        <w:rPr>
          <w:b/>
          <w:bCs/>
          <w:color w:val="00000A"/>
          <w:sz w:val="22"/>
          <w:szCs w:val="22"/>
          <w:lang w:eastAsia="es-ES"/>
        </w:rPr>
        <w:fldChar w:fldCharType="end"/>
      </w:r>
    </w:p>
    <w:p w14:paraId="3EBAB325"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Permisos con goce de salario prorrogados hasta el 31-03-2023 en los Tribunales Penales con estructura mínima</w:t>
      </w:r>
    </w:p>
    <w:p w14:paraId="1B776889" w14:textId="77777777" w:rsidR="00B15F7D" w:rsidRPr="00990FB6" w:rsidRDefault="00B15F7D" w:rsidP="00B15F7D">
      <w:pPr>
        <w:tabs>
          <w:tab w:val="left" w:pos="8364"/>
        </w:tabs>
        <w:suppressAutoHyphens w:val="0"/>
        <w:contextualSpacing/>
        <w:jc w:val="center"/>
        <w:rPr>
          <w:rFonts w:eastAsia="Calibri"/>
          <w:b/>
          <w:bCs/>
          <w:sz w:val="22"/>
          <w:szCs w:val="22"/>
          <w:lang w:val="es-CR" w:eastAsia="en-US"/>
        </w:rPr>
      </w:pPr>
    </w:p>
    <w:tbl>
      <w:tblPr>
        <w:tblW w:w="23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07"/>
        <w:gridCol w:w="818"/>
        <w:gridCol w:w="950"/>
      </w:tblGrid>
      <w:tr w:rsidR="00B15F7D" w:rsidRPr="00990FB6" w14:paraId="3AFA9D08" w14:textId="77777777" w:rsidTr="000A0C22">
        <w:trPr>
          <w:trHeight w:val="492"/>
          <w:jc w:val="center"/>
        </w:trPr>
        <w:tc>
          <w:tcPr>
            <w:tcW w:w="2830" w:type="pct"/>
            <w:shd w:val="clear" w:color="000000" w:fill="305496"/>
            <w:vAlign w:val="center"/>
            <w:hideMark/>
          </w:tcPr>
          <w:p w14:paraId="4EF21E4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004" w:type="pct"/>
            <w:shd w:val="clear" w:color="000000" w:fill="305496"/>
            <w:vAlign w:val="center"/>
            <w:hideMark/>
          </w:tcPr>
          <w:p w14:paraId="39810AD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Jueces 4</w:t>
            </w:r>
          </w:p>
        </w:tc>
        <w:tc>
          <w:tcPr>
            <w:tcW w:w="1166" w:type="pct"/>
            <w:shd w:val="clear" w:color="000000" w:fill="305496"/>
            <w:vAlign w:val="center"/>
            <w:hideMark/>
          </w:tcPr>
          <w:p w14:paraId="268AEED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Técnicos Judiciales 3</w:t>
            </w:r>
          </w:p>
        </w:tc>
      </w:tr>
      <w:tr w:rsidR="00B15F7D" w:rsidRPr="00990FB6" w14:paraId="1265BBF8" w14:textId="77777777" w:rsidTr="000A0C22">
        <w:trPr>
          <w:trHeight w:val="288"/>
          <w:jc w:val="center"/>
        </w:trPr>
        <w:tc>
          <w:tcPr>
            <w:tcW w:w="2830" w:type="pct"/>
            <w:shd w:val="clear" w:color="000000" w:fill="FFFFFF"/>
            <w:noWrap/>
            <w:vAlign w:val="bottom"/>
            <w:hideMark/>
          </w:tcPr>
          <w:p w14:paraId="3B67025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1004" w:type="pct"/>
            <w:shd w:val="clear" w:color="000000" w:fill="FFFFFF"/>
            <w:noWrap/>
            <w:vAlign w:val="center"/>
            <w:hideMark/>
          </w:tcPr>
          <w:p w14:paraId="79D193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166" w:type="pct"/>
            <w:shd w:val="clear" w:color="000000" w:fill="FFFFFF"/>
            <w:noWrap/>
            <w:vAlign w:val="center"/>
            <w:hideMark/>
          </w:tcPr>
          <w:p w14:paraId="7816812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r>
      <w:tr w:rsidR="00B15F7D" w:rsidRPr="00990FB6" w14:paraId="1F4CF302" w14:textId="77777777" w:rsidTr="000A0C22">
        <w:trPr>
          <w:trHeight w:val="288"/>
          <w:jc w:val="center"/>
        </w:trPr>
        <w:tc>
          <w:tcPr>
            <w:tcW w:w="2830" w:type="pct"/>
            <w:shd w:val="clear" w:color="000000" w:fill="FFFFFF"/>
            <w:noWrap/>
            <w:vAlign w:val="bottom"/>
            <w:hideMark/>
          </w:tcPr>
          <w:p w14:paraId="63E8C3E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1004" w:type="pct"/>
            <w:shd w:val="clear" w:color="000000" w:fill="FFFFFF"/>
            <w:noWrap/>
            <w:vAlign w:val="center"/>
            <w:hideMark/>
          </w:tcPr>
          <w:p w14:paraId="73AF5DB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66" w:type="pct"/>
            <w:shd w:val="clear" w:color="000000" w:fill="FFFFFF"/>
            <w:noWrap/>
            <w:vAlign w:val="center"/>
            <w:hideMark/>
          </w:tcPr>
          <w:p w14:paraId="29AAFA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r>
      <w:tr w:rsidR="00B15F7D" w:rsidRPr="00990FB6" w14:paraId="11B07FAD" w14:textId="77777777" w:rsidTr="000A0C22">
        <w:trPr>
          <w:trHeight w:val="288"/>
          <w:jc w:val="center"/>
        </w:trPr>
        <w:tc>
          <w:tcPr>
            <w:tcW w:w="2830" w:type="pct"/>
            <w:shd w:val="clear" w:color="auto" w:fill="auto"/>
            <w:noWrap/>
            <w:vAlign w:val="bottom"/>
            <w:hideMark/>
          </w:tcPr>
          <w:p w14:paraId="661358F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1004" w:type="pct"/>
            <w:shd w:val="clear" w:color="auto" w:fill="auto"/>
            <w:noWrap/>
            <w:vAlign w:val="center"/>
            <w:hideMark/>
          </w:tcPr>
          <w:p w14:paraId="0F48A8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66" w:type="pct"/>
            <w:shd w:val="clear" w:color="auto" w:fill="auto"/>
            <w:noWrap/>
            <w:vAlign w:val="center"/>
            <w:hideMark/>
          </w:tcPr>
          <w:p w14:paraId="7184E0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r>
      <w:tr w:rsidR="00B15F7D" w:rsidRPr="00990FB6" w14:paraId="1B4D77A7" w14:textId="77777777" w:rsidTr="000A0C22">
        <w:trPr>
          <w:trHeight w:val="288"/>
          <w:jc w:val="center"/>
        </w:trPr>
        <w:tc>
          <w:tcPr>
            <w:tcW w:w="2830" w:type="pct"/>
            <w:shd w:val="clear" w:color="000000" w:fill="FFFFFF"/>
            <w:noWrap/>
            <w:vAlign w:val="bottom"/>
            <w:hideMark/>
          </w:tcPr>
          <w:p w14:paraId="3B1EBEA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1004" w:type="pct"/>
            <w:shd w:val="clear" w:color="000000" w:fill="FFFFFF"/>
            <w:noWrap/>
            <w:vAlign w:val="center"/>
            <w:hideMark/>
          </w:tcPr>
          <w:p w14:paraId="2585E0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166" w:type="pct"/>
            <w:shd w:val="clear" w:color="000000" w:fill="FFFFFF"/>
            <w:noWrap/>
            <w:vAlign w:val="center"/>
            <w:hideMark/>
          </w:tcPr>
          <w:p w14:paraId="1C0F8AD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r>
      <w:tr w:rsidR="00B15F7D" w:rsidRPr="00990FB6" w14:paraId="7870EF0E" w14:textId="77777777" w:rsidTr="000A0C22">
        <w:trPr>
          <w:trHeight w:val="288"/>
          <w:jc w:val="center"/>
        </w:trPr>
        <w:tc>
          <w:tcPr>
            <w:tcW w:w="2830" w:type="pct"/>
            <w:shd w:val="clear" w:color="000000" w:fill="FFFFFF"/>
            <w:noWrap/>
            <w:vAlign w:val="bottom"/>
            <w:hideMark/>
          </w:tcPr>
          <w:p w14:paraId="05F4019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1004" w:type="pct"/>
            <w:shd w:val="clear" w:color="000000" w:fill="FFFFFF"/>
            <w:noWrap/>
            <w:vAlign w:val="center"/>
            <w:hideMark/>
          </w:tcPr>
          <w:p w14:paraId="7CED88A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166" w:type="pct"/>
            <w:shd w:val="clear" w:color="000000" w:fill="FFFFFF"/>
            <w:noWrap/>
            <w:vAlign w:val="center"/>
            <w:hideMark/>
          </w:tcPr>
          <w:p w14:paraId="3FA001C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r>
      <w:tr w:rsidR="00B15F7D" w:rsidRPr="00990FB6" w14:paraId="2E7180FA" w14:textId="77777777" w:rsidTr="000A0C22">
        <w:trPr>
          <w:trHeight w:val="288"/>
          <w:jc w:val="center"/>
        </w:trPr>
        <w:tc>
          <w:tcPr>
            <w:tcW w:w="2830" w:type="pct"/>
            <w:shd w:val="clear" w:color="000000" w:fill="FFFFFF"/>
            <w:noWrap/>
            <w:vAlign w:val="bottom"/>
            <w:hideMark/>
          </w:tcPr>
          <w:p w14:paraId="1F8FDC08"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lastRenderedPageBreak/>
              <w:t>Tribuna Penal de Santa Cruz</w:t>
            </w:r>
          </w:p>
        </w:tc>
        <w:tc>
          <w:tcPr>
            <w:tcW w:w="1004" w:type="pct"/>
            <w:shd w:val="clear" w:color="000000" w:fill="FFFFFF"/>
            <w:noWrap/>
            <w:vAlign w:val="center"/>
            <w:hideMark/>
          </w:tcPr>
          <w:p w14:paraId="6CF8E0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166" w:type="pct"/>
            <w:shd w:val="clear" w:color="000000" w:fill="FFFFFF"/>
            <w:noWrap/>
            <w:vAlign w:val="center"/>
            <w:hideMark/>
          </w:tcPr>
          <w:p w14:paraId="22D3B27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r>
      <w:tr w:rsidR="00B15F7D" w:rsidRPr="00990FB6" w14:paraId="3CCB0036" w14:textId="77777777" w:rsidTr="000A0C22">
        <w:trPr>
          <w:trHeight w:val="288"/>
          <w:jc w:val="center"/>
        </w:trPr>
        <w:tc>
          <w:tcPr>
            <w:tcW w:w="2830" w:type="pct"/>
            <w:shd w:val="clear" w:color="000000" w:fill="D0CECE"/>
            <w:vAlign w:val="center"/>
            <w:hideMark/>
          </w:tcPr>
          <w:p w14:paraId="536DCE30"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Totales</w:t>
            </w:r>
          </w:p>
        </w:tc>
        <w:tc>
          <w:tcPr>
            <w:tcW w:w="1004" w:type="pct"/>
            <w:shd w:val="clear" w:color="000000" w:fill="D0CECE"/>
            <w:noWrap/>
            <w:vAlign w:val="center"/>
            <w:hideMark/>
          </w:tcPr>
          <w:p w14:paraId="368BD956"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w:t>
            </w:r>
          </w:p>
        </w:tc>
        <w:tc>
          <w:tcPr>
            <w:tcW w:w="1166" w:type="pct"/>
            <w:shd w:val="clear" w:color="000000" w:fill="D0CECE"/>
            <w:noWrap/>
            <w:vAlign w:val="center"/>
            <w:hideMark/>
          </w:tcPr>
          <w:p w14:paraId="2E1D802D"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12</w:t>
            </w:r>
          </w:p>
        </w:tc>
      </w:tr>
    </w:tbl>
    <w:p w14:paraId="52D3E47E" w14:textId="65A1197F" w:rsidR="00B15F7D" w:rsidRPr="00990FB6" w:rsidRDefault="00B15F7D" w:rsidP="00B15F7D">
      <w:pPr>
        <w:suppressAutoHyphens w:val="0"/>
        <w:ind w:left="2552" w:right="2550"/>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del informe 1246-PLA-MI(PL)-2022, aprobado por el Consejo Superior en sesión 112-2022.</w:t>
      </w:r>
    </w:p>
    <w:p w14:paraId="705C0E33" w14:textId="77777777" w:rsidR="00B305D7" w:rsidRPr="00990FB6" w:rsidRDefault="00B305D7" w:rsidP="00B15F7D">
      <w:pPr>
        <w:suppressAutoHyphens w:val="0"/>
        <w:ind w:left="2552" w:right="2550"/>
        <w:jc w:val="both"/>
        <w:rPr>
          <w:rFonts w:eastAsia="Calibri"/>
          <w:color w:val="000000"/>
          <w:sz w:val="22"/>
          <w:szCs w:val="22"/>
          <w:lang w:val="es-CR" w:eastAsia="en-US"/>
        </w:rPr>
      </w:pPr>
    </w:p>
    <w:p w14:paraId="25F19D8D"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Además de los permisos con goce de salario, los despachos de Sarapiquí, Siquirres, Santa Cruz y Turrialba cuentan con una plaza de juez o jueza 4 ordinaria del Centro de Apoyo, Coordinación y Mejoramiento de la Función Jurisdiccional (CACMFJ), con la finalidad de poder conformar las estructuras organizacionales de trabajo requeridas en estos tribunales.</w:t>
      </w:r>
    </w:p>
    <w:p w14:paraId="4135F3A7"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p>
    <w:p w14:paraId="4DD127CE"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Es importante mencionar que, en el caso del Tribunal Penal de Quepos, ya se cuenta con el informe técnico 2045-</w:t>
      </w:r>
      <w:r w:rsidRPr="00990FB6">
        <w:rPr>
          <w:rFonts w:eastAsia="Calibri"/>
          <w:color w:val="000000"/>
          <w:sz w:val="22"/>
          <w:szCs w:val="22"/>
          <w:lang w:val="es-CR" w:eastAsia="en-US"/>
        </w:rPr>
        <w:tab/>
        <w:t>PLA-OI-2020, como parte del proyecto del Modelo Penal y que fue aprobado por el Consejo Superior en la sesión 47-21 del 8 de junio del 2021, artículo LII, en el que entre otros aspectos, se recomendó lo siguiente:</w:t>
      </w:r>
    </w:p>
    <w:p w14:paraId="6BF0F761"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p>
    <w:p w14:paraId="164F3382" w14:textId="77777777" w:rsidR="00B15F7D" w:rsidRPr="00990FB6" w:rsidRDefault="00B15F7D" w:rsidP="00B15F7D">
      <w:pPr>
        <w:suppressAutoHyphens w:val="0"/>
        <w:ind w:left="851" w:right="851" w:firstLine="709"/>
        <w:jc w:val="both"/>
        <w:rPr>
          <w:rFonts w:eastAsia="Calibri"/>
          <w:i/>
          <w:iCs/>
          <w:color w:val="000000"/>
          <w:sz w:val="22"/>
          <w:szCs w:val="22"/>
          <w:lang w:val="es-CR" w:eastAsia="en-US"/>
        </w:rPr>
      </w:pPr>
      <w:r w:rsidRPr="00990FB6">
        <w:rPr>
          <w:rFonts w:eastAsia="Calibri"/>
          <w:i/>
          <w:iCs/>
          <w:color w:val="000000"/>
          <w:sz w:val="22"/>
          <w:szCs w:val="22"/>
          <w:lang w:val="es-CR" w:eastAsia="en-US"/>
        </w:rPr>
        <w:t>“(…)10.3 Autorizar la creación de una Sede del Tribunal Penal de Puntarenas en Garabito, utilizando una plaza de Jueza o Juez 3 del Juzgado Penal de Cóbano, la cual se requiere de un estudio de la Dirección de Gestión Humana para que pueda ser recalificada a Jueza o Juez 4, una vez que esta sea liberada, según lo indicado en la sesión 104-19 del Consejo Superior celebrada el 28 de noviembre del 2019, articulo XXIII, que literalmente dice:</w:t>
      </w:r>
    </w:p>
    <w:p w14:paraId="7777D206" w14:textId="77777777" w:rsidR="00B15F7D" w:rsidRPr="00990FB6" w:rsidRDefault="00B15F7D" w:rsidP="00B15F7D">
      <w:pPr>
        <w:suppressAutoHyphens w:val="0"/>
        <w:ind w:left="851" w:right="851" w:firstLine="709"/>
        <w:jc w:val="both"/>
        <w:rPr>
          <w:rFonts w:eastAsia="Calibri"/>
          <w:i/>
          <w:iCs/>
          <w:color w:val="000000"/>
          <w:sz w:val="22"/>
          <w:szCs w:val="22"/>
          <w:lang w:val="es-CR" w:eastAsia="en-US"/>
        </w:rPr>
      </w:pPr>
    </w:p>
    <w:p w14:paraId="4AC11B2D" w14:textId="77777777" w:rsidR="00B15F7D" w:rsidRPr="00990FB6" w:rsidRDefault="00B15F7D" w:rsidP="00B15F7D">
      <w:pPr>
        <w:suppressAutoHyphens w:val="0"/>
        <w:ind w:left="851" w:right="851" w:firstLine="709"/>
        <w:jc w:val="both"/>
        <w:rPr>
          <w:i/>
          <w:iCs/>
          <w:sz w:val="22"/>
          <w:szCs w:val="22"/>
          <w:lang w:eastAsia="en-US"/>
        </w:rPr>
      </w:pPr>
      <w:r w:rsidRPr="00990FB6">
        <w:rPr>
          <w:i/>
          <w:iCs/>
          <w:sz w:val="22"/>
          <w:szCs w:val="22"/>
          <w:lang w:eastAsia="en-US"/>
        </w:rPr>
        <w:t xml:space="preserve">“.. 2.) De conformidad con lo que establece el artículo 81, inciso 6° de la Ley Orgánica del Poder Judicial, prorrogar la medida cautelar de traslado temporal del licenciado Francisco </w:t>
      </w:r>
      <w:proofErr w:type="spellStart"/>
      <w:r w:rsidRPr="00990FB6">
        <w:rPr>
          <w:i/>
          <w:iCs/>
          <w:sz w:val="22"/>
          <w:szCs w:val="22"/>
          <w:lang w:eastAsia="en-US"/>
        </w:rPr>
        <w:t>Traña</w:t>
      </w:r>
      <w:proofErr w:type="spellEnd"/>
      <w:r w:rsidRPr="00990FB6">
        <w:rPr>
          <w:i/>
          <w:iCs/>
          <w:sz w:val="22"/>
          <w:szCs w:val="22"/>
          <w:lang w:eastAsia="en-US"/>
        </w:rPr>
        <w:t xml:space="preserve"> Chaves, Juez Penal de Cóbano, al Centro de Apoyo, Coordinación y Mejoramiento de la Función Jurisdiccional, por el plazo de tres meses a partir del 19 de noviembre de 2019 y hasta el 20 de febrero de 2020, por lo cual, deberá el citado Centro, designar un Juez Supernumerario (materia Penal), en el Juzgado Penal de Cóbano, debido al traslado antes citado. 3.)  Trasladar el presente acuerdo al Consejo de la Judicatura con la finalidad que estudie la reubicación laboral en otro despacho judicial del licenciado </w:t>
      </w:r>
      <w:proofErr w:type="spellStart"/>
      <w:r w:rsidRPr="00990FB6">
        <w:rPr>
          <w:i/>
          <w:iCs/>
          <w:sz w:val="22"/>
          <w:szCs w:val="22"/>
          <w:lang w:eastAsia="en-US"/>
        </w:rPr>
        <w:t>Traña</w:t>
      </w:r>
      <w:proofErr w:type="spellEnd"/>
      <w:r w:rsidRPr="00990FB6">
        <w:rPr>
          <w:i/>
          <w:iCs/>
          <w:sz w:val="22"/>
          <w:szCs w:val="22"/>
          <w:lang w:eastAsia="en-US"/>
        </w:rPr>
        <w:t xml:space="preserve"> Chaves, en una plaza vacante y de igual categoría e informe a este Consejo lo pertinente.”</w:t>
      </w:r>
    </w:p>
    <w:p w14:paraId="6D3C75DF" w14:textId="77777777" w:rsidR="00B15F7D" w:rsidRPr="00990FB6" w:rsidRDefault="00B15F7D" w:rsidP="00B15F7D">
      <w:pPr>
        <w:suppressAutoHyphens w:val="0"/>
        <w:ind w:left="851" w:right="851" w:firstLine="709"/>
        <w:jc w:val="both"/>
        <w:rPr>
          <w:sz w:val="22"/>
          <w:szCs w:val="22"/>
          <w:lang w:val="es-CR" w:eastAsia="en-US"/>
        </w:rPr>
      </w:pPr>
    </w:p>
    <w:p w14:paraId="4382D4C3" w14:textId="77777777" w:rsidR="00B15F7D" w:rsidRPr="00990FB6" w:rsidRDefault="00B15F7D" w:rsidP="00B15F7D">
      <w:pPr>
        <w:suppressAutoHyphens w:val="0"/>
        <w:ind w:left="851" w:right="851" w:firstLine="709"/>
        <w:jc w:val="both"/>
        <w:rPr>
          <w:rFonts w:eastAsia="Calibri"/>
          <w:i/>
          <w:iCs/>
          <w:color w:val="000000"/>
          <w:sz w:val="22"/>
          <w:szCs w:val="22"/>
          <w:u w:color="000000"/>
          <w:lang w:eastAsia="en-US"/>
        </w:rPr>
      </w:pPr>
      <w:r w:rsidRPr="00990FB6">
        <w:rPr>
          <w:rFonts w:eastAsia="Calibri"/>
          <w:i/>
          <w:iCs/>
          <w:color w:val="000000"/>
          <w:sz w:val="22"/>
          <w:szCs w:val="22"/>
          <w:u w:color="000000"/>
          <w:lang w:eastAsia="en-US"/>
        </w:rPr>
        <w:t xml:space="preserve">Una vez que se logre concretar este movimiento, esta plaza se destacará en resolver los asuntos unipersonales de Garabito dos semanas al mes y contarán con el apoyo de una Técnica o Técnico Judicial supernumerario; los juicios colegiados se desarrollarán en rol una semana al mes en Garabito y otra semana en </w:t>
      </w:r>
      <w:proofErr w:type="gramStart"/>
      <w:r w:rsidRPr="00990FB6">
        <w:rPr>
          <w:rFonts w:eastAsia="Calibri"/>
          <w:i/>
          <w:iCs/>
          <w:color w:val="000000"/>
          <w:sz w:val="22"/>
          <w:szCs w:val="22"/>
          <w:u w:color="000000"/>
          <w:lang w:eastAsia="en-US"/>
        </w:rPr>
        <w:t>Quepos.(</w:t>
      </w:r>
      <w:proofErr w:type="gramEnd"/>
      <w:r w:rsidRPr="00990FB6">
        <w:rPr>
          <w:rFonts w:eastAsia="Calibri"/>
          <w:i/>
          <w:iCs/>
          <w:color w:val="000000"/>
          <w:sz w:val="22"/>
          <w:szCs w:val="22"/>
          <w:u w:color="000000"/>
          <w:lang w:eastAsia="en-US"/>
        </w:rPr>
        <w:t>…)”.</w:t>
      </w:r>
    </w:p>
    <w:p w14:paraId="0D291449"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p>
    <w:p w14:paraId="7BFBE705"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 xml:space="preserve">Debido a lo anterior, se consultó a la Sección Administrativa de la Carrera Judicial sobre el estado de la plaza del Lic. Francisco </w:t>
      </w:r>
      <w:proofErr w:type="spellStart"/>
      <w:r w:rsidRPr="00990FB6">
        <w:rPr>
          <w:rFonts w:eastAsia="Calibri"/>
          <w:color w:val="000000"/>
          <w:sz w:val="22"/>
          <w:szCs w:val="22"/>
          <w:lang w:val="es-CR" w:eastAsia="en-US"/>
        </w:rPr>
        <w:t>Traña</w:t>
      </w:r>
      <w:proofErr w:type="spellEnd"/>
      <w:r w:rsidRPr="00990FB6">
        <w:rPr>
          <w:rFonts w:eastAsia="Calibri"/>
          <w:color w:val="000000"/>
          <w:sz w:val="22"/>
          <w:szCs w:val="22"/>
          <w:lang w:val="es-CR" w:eastAsia="en-US"/>
        </w:rPr>
        <w:t xml:space="preserve"> Chaves y por medio de correo electrónico remitido el 24 de enero del 2023, la Licda. Laura Gutiérrez Escobar, Profesional 2 de la citada oficina, comunica que, en la plaza 369971 de </w:t>
      </w:r>
      <w:r w:rsidRPr="00990FB6">
        <w:rPr>
          <w:rFonts w:eastAsia="Calibri"/>
          <w:color w:val="000000"/>
          <w:sz w:val="22"/>
          <w:szCs w:val="22"/>
          <w:lang w:val="es-CR" w:eastAsia="en-US"/>
        </w:rPr>
        <w:lastRenderedPageBreak/>
        <w:t xml:space="preserve">juez o jueza 3 del Juzgado Penal de Cóbano, no se encuentra nadie nombrado desde el 23 de diciembre del 2022; asimismo, se revisa la relación de puestos del citado juzgado y se determina que al 7 de diciembre del 2022, las dos plazas ordinarias de jueza o juez 3 se encuentran vacantes. Posteriormente se consulta a la Sección de Análisis de puestos sobre el estado del estudio de reclasificación de la plaza de juez o jueza 3 a la categoría 4; no obstante, al momento de realizar este informe de presupuesto no se ha recibido respuesta. </w:t>
      </w:r>
    </w:p>
    <w:p w14:paraId="09DA94FE"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p>
    <w:p w14:paraId="21929696" w14:textId="1699BE6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 xml:space="preserve">En virtud de lo expuesto, se determina que la diferencia en costos anuales de una plaza de juez o jueza 3 a una categoría 4 es de ₡4 564 000,00, por lo que para el presente informe se incluye como requerimiento humano para el Tribunal Penal de Quepos una plaza de jueza o juez 4, dos técnicas o técnicos judiciales 3 y además el costo anual de la reclasificación del puesto de juez o jueza 3 a la categoría 4. </w:t>
      </w:r>
    </w:p>
    <w:p w14:paraId="232A4345" w14:textId="77777777" w:rsidR="00B305D7" w:rsidRPr="00990FB6" w:rsidRDefault="00B305D7" w:rsidP="00B15F7D">
      <w:pPr>
        <w:suppressAutoHyphens w:val="0"/>
        <w:ind w:left="851" w:right="851" w:firstLine="709"/>
        <w:jc w:val="both"/>
        <w:rPr>
          <w:rFonts w:eastAsia="Calibri"/>
          <w:color w:val="000000"/>
          <w:sz w:val="22"/>
          <w:szCs w:val="22"/>
          <w:lang w:val="es-CR" w:eastAsia="en-US"/>
        </w:rPr>
      </w:pPr>
    </w:p>
    <w:p w14:paraId="0FA7C8D2"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color w:val="000000"/>
          <w:sz w:val="22"/>
          <w:szCs w:val="22"/>
          <w:lang w:val="es-CR" w:eastAsia="en-US"/>
        </w:rPr>
        <w:t>A continuación, se muestra el resumen de necesidades en estos tribunales:</w:t>
      </w:r>
    </w:p>
    <w:p w14:paraId="32CFC8FA"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p>
    <w:p w14:paraId="685DEA7F"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8</w:t>
      </w:r>
      <w:r w:rsidRPr="00990FB6">
        <w:rPr>
          <w:b/>
          <w:bCs/>
          <w:color w:val="00000A"/>
          <w:sz w:val="22"/>
          <w:szCs w:val="22"/>
          <w:lang w:eastAsia="es-ES"/>
        </w:rPr>
        <w:fldChar w:fldCharType="end"/>
      </w:r>
    </w:p>
    <w:p w14:paraId="75F9F582"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Costo anual de requerimiento humano adicional para los Tribunales Penales con estructura mínima</w:t>
      </w:r>
    </w:p>
    <w:p w14:paraId="114C613C" w14:textId="77777777" w:rsidR="00B15F7D" w:rsidRPr="00990FB6" w:rsidRDefault="00B15F7D" w:rsidP="00B15F7D">
      <w:pPr>
        <w:tabs>
          <w:tab w:val="left" w:pos="8364"/>
        </w:tabs>
        <w:suppressAutoHyphens w:val="0"/>
        <w:contextualSpacing/>
        <w:jc w:val="center"/>
        <w:rPr>
          <w:rFonts w:eastAsia="Calibri"/>
          <w:b/>
          <w:bCs/>
          <w:sz w:val="22"/>
          <w:szCs w:val="22"/>
          <w:lang w:val="es-CR" w:eastAsia="en-US"/>
        </w:rPr>
      </w:pPr>
    </w:p>
    <w:tbl>
      <w:tblPr>
        <w:tblW w:w="60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05"/>
        <w:gridCol w:w="820"/>
        <w:gridCol w:w="1085"/>
        <w:gridCol w:w="548"/>
        <w:gridCol w:w="1225"/>
        <w:gridCol w:w="1225"/>
        <w:gridCol w:w="1361"/>
        <w:gridCol w:w="2449"/>
      </w:tblGrid>
      <w:tr w:rsidR="00B15F7D" w:rsidRPr="00990FB6" w14:paraId="644F1B57" w14:textId="77777777" w:rsidTr="000A0C22">
        <w:trPr>
          <w:trHeight w:val="300"/>
          <w:jc w:val="center"/>
        </w:trPr>
        <w:tc>
          <w:tcPr>
            <w:tcW w:w="897" w:type="pct"/>
            <w:vMerge w:val="restart"/>
            <w:shd w:val="clear" w:color="000000" w:fill="305496"/>
            <w:vAlign w:val="center"/>
            <w:hideMark/>
          </w:tcPr>
          <w:p w14:paraId="3A3AE89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155" w:type="pct"/>
            <w:gridSpan w:val="3"/>
            <w:shd w:val="clear" w:color="000000" w:fill="5B9BD5"/>
            <w:noWrap/>
            <w:vAlign w:val="bottom"/>
            <w:hideMark/>
          </w:tcPr>
          <w:p w14:paraId="00F94EE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1795" w:type="pct"/>
            <w:gridSpan w:val="3"/>
            <w:shd w:val="clear" w:color="000000" w:fill="5B9BD5"/>
            <w:noWrap/>
            <w:vAlign w:val="bottom"/>
            <w:hideMark/>
          </w:tcPr>
          <w:p w14:paraId="7755E02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c>
          <w:tcPr>
            <w:tcW w:w="1153" w:type="pct"/>
            <w:vMerge w:val="restart"/>
            <w:shd w:val="clear" w:color="000000" w:fill="305496"/>
            <w:vAlign w:val="center"/>
            <w:hideMark/>
          </w:tcPr>
          <w:p w14:paraId="3484C38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Observaciones</w:t>
            </w:r>
          </w:p>
        </w:tc>
      </w:tr>
      <w:tr w:rsidR="00B15F7D" w:rsidRPr="00990FB6" w14:paraId="15B78F71" w14:textId="77777777" w:rsidTr="000A0C22">
        <w:trPr>
          <w:trHeight w:val="900"/>
          <w:jc w:val="center"/>
        </w:trPr>
        <w:tc>
          <w:tcPr>
            <w:tcW w:w="897" w:type="pct"/>
            <w:vMerge/>
            <w:vAlign w:val="center"/>
            <w:hideMark/>
          </w:tcPr>
          <w:p w14:paraId="49D8C301" w14:textId="77777777" w:rsidR="00B15F7D" w:rsidRPr="00990FB6" w:rsidRDefault="00B15F7D" w:rsidP="00B15F7D">
            <w:pPr>
              <w:suppressAutoHyphens w:val="0"/>
              <w:rPr>
                <w:b/>
                <w:bCs/>
                <w:color w:val="FFFFFF"/>
                <w:sz w:val="22"/>
                <w:szCs w:val="22"/>
                <w:lang w:val="es-CR" w:eastAsia="es-CR"/>
              </w:rPr>
            </w:pPr>
          </w:p>
        </w:tc>
        <w:tc>
          <w:tcPr>
            <w:tcW w:w="386" w:type="pct"/>
            <w:shd w:val="clear" w:color="000000" w:fill="305496"/>
            <w:vAlign w:val="center"/>
            <w:hideMark/>
          </w:tcPr>
          <w:p w14:paraId="1BBDD48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Jueces(zas) 4</w:t>
            </w:r>
          </w:p>
        </w:tc>
        <w:tc>
          <w:tcPr>
            <w:tcW w:w="511" w:type="pct"/>
            <w:shd w:val="clear" w:color="000000" w:fill="305496"/>
            <w:vAlign w:val="center"/>
            <w:hideMark/>
          </w:tcPr>
          <w:p w14:paraId="5C8E3C3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Técnicos(as) Judiciales 3</w:t>
            </w:r>
          </w:p>
        </w:tc>
        <w:tc>
          <w:tcPr>
            <w:tcW w:w="258" w:type="pct"/>
            <w:shd w:val="clear" w:color="000000" w:fill="305496"/>
            <w:vAlign w:val="center"/>
            <w:hideMark/>
          </w:tcPr>
          <w:p w14:paraId="57A904A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Total</w:t>
            </w:r>
          </w:p>
        </w:tc>
        <w:tc>
          <w:tcPr>
            <w:tcW w:w="577" w:type="pct"/>
            <w:shd w:val="clear" w:color="000000" w:fill="305496"/>
            <w:vAlign w:val="center"/>
            <w:hideMark/>
          </w:tcPr>
          <w:p w14:paraId="0A23C85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 juez o jueza 4</w:t>
            </w:r>
          </w:p>
        </w:tc>
        <w:tc>
          <w:tcPr>
            <w:tcW w:w="577" w:type="pct"/>
            <w:shd w:val="clear" w:color="000000" w:fill="305496"/>
            <w:vAlign w:val="center"/>
            <w:hideMark/>
          </w:tcPr>
          <w:p w14:paraId="19C8A2D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 técnico/</w:t>
            </w:r>
            <w:proofErr w:type="gramStart"/>
            <w:r w:rsidRPr="00990FB6">
              <w:rPr>
                <w:b/>
                <w:bCs/>
                <w:color w:val="FFFFFF"/>
                <w:sz w:val="22"/>
                <w:szCs w:val="22"/>
                <w:lang w:val="es-CR" w:eastAsia="es-CR"/>
              </w:rPr>
              <w:t>a  judicial</w:t>
            </w:r>
            <w:proofErr w:type="gramEnd"/>
            <w:r w:rsidRPr="00990FB6">
              <w:rPr>
                <w:b/>
                <w:bCs/>
                <w:color w:val="FFFFFF"/>
                <w:sz w:val="22"/>
                <w:szCs w:val="22"/>
                <w:lang w:val="es-CR" w:eastAsia="es-CR"/>
              </w:rPr>
              <w:t xml:space="preserve"> 3</w:t>
            </w:r>
          </w:p>
        </w:tc>
        <w:tc>
          <w:tcPr>
            <w:tcW w:w="641" w:type="pct"/>
            <w:shd w:val="clear" w:color="000000" w:fill="305496"/>
            <w:vAlign w:val="center"/>
            <w:hideMark/>
          </w:tcPr>
          <w:p w14:paraId="411CF78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c>
          <w:tcPr>
            <w:tcW w:w="1153" w:type="pct"/>
            <w:vMerge/>
            <w:vAlign w:val="center"/>
            <w:hideMark/>
          </w:tcPr>
          <w:p w14:paraId="0F5046C4" w14:textId="77777777" w:rsidR="00B15F7D" w:rsidRPr="00990FB6" w:rsidRDefault="00B15F7D" w:rsidP="00B15F7D">
            <w:pPr>
              <w:suppressAutoHyphens w:val="0"/>
              <w:rPr>
                <w:b/>
                <w:bCs/>
                <w:color w:val="FFFFFF"/>
                <w:sz w:val="22"/>
                <w:szCs w:val="22"/>
                <w:lang w:val="es-CR" w:eastAsia="es-CR"/>
              </w:rPr>
            </w:pPr>
          </w:p>
        </w:tc>
      </w:tr>
      <w:tr w:rsidR="00B15F7D" w:rsidRPr="00990FB6" w14:paraId="1D3DD34C" w14:textId="77777777" w:rsidTr="000A0C22">
        <w:trPr>
          <w:trHeight w:val="804"/>
          <w:jc w:val="center"/>
        </w:trPr>
        <w:tc>
          <w:tcPr>
            <w:tcW w:w="897" w:type="pct"/>
            <w:shd w:val="clear" w:color="auto" w:fill="auto"/>
            <w:vAlign w:val="center"/>
            <w:hideMark/>
          </w:tcPr>
          <w:p w14:paraId="3E06AB6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386" w:type="pct"/>
            <w:shd w:val="clear" w:color="auto" w:fill="auto"/>
            <w:vAlign w:val="center"/>
            <w:hideMark/>
          </w:tcPr>
          <w:p w14:paraId="20EA87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1</w:t>
            </w:r>
          </w:p>
        </w:tc>
        <w:tc>
          <w:tcPr>
            <w:tcW w:w="511" w:type="pct"/>
            <w:shd w:val="clear" w:color="auto" w:fill="auto"/>
            <w:vAlign w:val="center"/>
            <w:hideMark/>
          </w:tcPr>
          <w:p w14:paraId="606E66F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2</w:t>
            </w:r>
          </w:p>
        </w:tc>
        <w:tc>
          <w:tcPr>
            <w:tcW w:w="258" w:type="pct"/>
            <w:shd w:val="clear" w:color="auto" w:fill="auto"/>
            <w:vAlign w:val="center"/>
            <w:hideMark/>
          </w:tcPr>
          <w:p w14:paraId="06701A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3</w:t>
            </w:r>
          </w:p>
        </w:tc>
        <w:tc>
          <w:tcPr>
            <w:tcW w:w="577" w:type="pct"/>
            <w:shd w:val="clear" w:color="auto" w:fill="auto"/>
            <w:vAlign w:val="center"/>
            <w:hideMark/>
          </w:tcPr>
          <w:p w14:paraId="15B35AA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61 711 000,00 </w:t>
            </w:r>
          </w:p>
        </w:tc>
        <w:tc>
          <w:tcPr>
            <w:tcW w:w="577" w:type="pct"/>
            <w:shd w:val="clear" w:color="auto" w:fill="auto"/>
            <w:vAlign w:val="center"/>
            <w:hideMark/>
          </w:tcPr>
          <w:p w14:paraId="1CA9D7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33 352 000,00 </w:t>
            </w:r>
          </w:p>
        </w:tc>
        <w:tc>
          <w:tcPr>
            <w:tcW w:w="641" w:type="pct"/>
            <w:shd w:val="clear" w:color="auto" w:fill="auto"/>
            <w:vAlign w:val="center"/>
            <w:hideMark/>
          </w:tcPr>
          <w:p w14:paraId="3AC37F8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95 063 000,00 </w:t>
            </w:r>
          </w:p>
        </w:tc>
        <w:tc>
          <w:tcPr>
            <w:tcW w:w="1153" w:type="pct"/>
            <w:shd w:val="clear" w:color="auto" w:fill="auto"/>
            <w:vAlign w:val="center"/>
            <w:hideMark/>
          </w:tcPr>
          <w:p w14:paraId="7900580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Requerimiento solicitado, según informe de rediseño del modelo penal 2045-PLA-OI-2020, aprobado por el Consejo Superior en la sesión 47-21 del 8 de junio del 2021, artículo LII.</w:t>
            </w:r>
          </w:p>
        </w:tc>
      </w:tr>
      <w:tr w:rsidR="00B15F7D" w:rsidRPr="00990FB6" w14:paraId="385EC9F7" w14:textId="77777777" w:rsidTr="000A0C22">
        <w:trPr>
          <w:trHeight w:val="804"/>
          <w:jc w:val="center"/>
        </w:trPr>
        <w:tc>
          <w:tcPr>
            <w:tcW w:w="897" w:type="pct"/>
            <w:shd w:val="clear" w:color="auto" w:fill="auto"/>
            <w:vAlign w:val="center"/>
            <w:hideMark/>
          </w:tcPr>
          <w:p w14:paraId="67DFBA7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386" w:type="pct"/>
            <w:shd w:val="clear" w:color="auto" w:fill="auto"/>
            <w:vAlign w:val="center"/>
            <w:hideMark/>
          </w:tcPr>
          <w:p w14:paraId="0D0229E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11" w:type="pct"/>
            <w:shd w:val="clear" w:color="auto" w:fill="auto"/>
            <w:vAlign w:val="center"/>
            <w:hideMark/>
          </w:tcPr>
          <w:p w14:paraId="270D2F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58" w:type="pct"/>
            <w:shd w:val="clear" w:color="auto" w:fill="auto"/>
            <w:vAlign w:val="center"/>
            <w:hideMark/>
          </w:tcPr>
          <w:p w14:paraId="3FE0184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577" w:type="pct"/>
            <w:shd w:val="clear" w:color="auto" w:fill="auto"/>
            <w:vAlign w:val="center"/>
            <w:hideMark/>
          </w:tcPr>
          <w:p w14:paraId="1310F6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577" w:type="pct"/>
            <w:shd w:val="clear" w:color="auto" w:fill="auto"/>
            <w:vAlign w:val="center"/>
            <w:hideMark/>
          </w:tcPr>
          <w:p w14:paraId="0CDE8B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41" w:type="pct"/>
            <w:shd w:val="clear" w:color="auto" w:fill="auto"/>
            <w:vAlign w:val="center"/>
            <w:hideMark/>
          </w:tcPr>
          <w:p w14:paraId="50A870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156 774 000,00 </w:t>
            </w:r>
          </w:p>
        </w:tc>
        <w:tc>
          <w:tcPr>
            <w:tcW w:w="1153" w:type="pct"/>
            <w:shd w:val="clear" w:color="auto" w:fill="auto"/>
            <w:vAlign w:val="center"/>
            <w:hideMark/>
          </w:tcPr>
          <w:p w14:paraId="690322E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Requerimiento solicitado, según informe de rediseño del modelo penal 239-PLA-OI-2020, aprobado por el Consejo Superior en la sesión 18-2020, artículo L.</w:t>
            </w:r>
          </w:p>
        </w:tc>
      </w:tr>
      <w:tr w:rsidR="00B15F7D" w:rsidRPr="00990FB6" w14:paraId="7680DEF5" w14:textId="77777777" w:rsidTr="000A0C22">
        <w:trPr>
          <w:trHeight w:val="804"/>
          <w:jc w:val="center"/>
        </w:trPr>
        <w:tc>
          <w:tcPr>
            <w:tcW w:w="897" w:type="pct"/>
            <w:shd w:val="clear" w:color="auto" w:fill="auto"/>
            <w:vAlign w:val="center"/>
            <w:hideMark/>
          </w:tcPr>
          <w:p w14:paraId="2776DE9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386" w:type="pct"/>
            <w:shd w:val="clear" w:color="auto" w:fill="auto"/>
            <w:vAlign w:val="center"/>
            <w:hideMark/>
          </w:tcPr>
          <w:p w14:paraId="1646739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11" w:type="pct"/>
            <w:shd w:val="clear" w:color="auto" w:fill="auto"/>
            <w:vAlign w:val="center"/>
            <w:hideMark/>
          </w:tcPr>
          <w:p w14:paraId="27CC4F4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58" w:type="pct"/>
            <w:shd w:val="clear" w:color="auto" w:fill="auto"/>
            <w:vAlign w:val="center"/>
            <w:hideMark/>
          </w:tcPr>
          <w:p w14:paraId="640B1D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577" w:type="pct"/>
            <w:shd w:val="clear" w:color="auto" w:fill="auto"/>
            <w:vAlign w:val="center"/>
            <w:hideMark/>
          </w:tcPr>
          <w:p w14:paraId="197F6F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577" w:type="pct"/>
            <w:shd w:val="clear" w:color="auto" w:fill="auto"/>
            <w:vAlign w:val="center"/>
            <w:hideMark/>
          </w:tcPr>
          <w:p w14:paraId="48DF142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41" w:type="pct"/>
            <w:shd w:val="clear" w:color="auto" w:fill="auto"/>
            <w:vAlign w:val="center"/>
            <w:hideMark/>
          </w:tcPr>
          <w:p w14:paraId="3114005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156 774 000,00 </w:t>
            </w:r>
          </w:p>
        </w:tc>
        <w:tc>
          <w:tcPr>
            <w:tcW w:w="1153" w:type="pct"/>
            <w:shd w:val="clear" w:color="auto" w:fill="auto"/>
            <w:vAlign w:val="center"/>
            <w:hideMark/>
          </w:tcPr>
          <w:p w14:paraId="675D047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Requerimiento solicitado, según informe de rediseño del modelo penal 1061-PLA-MI-2021, aprobado por el Consejo Superior en sesión 97-2021 celebrada el 11 de noviembre de 2021, artículo XLVI</w:t>
            </w:r>
          </w:p>
        </w:tc>
      </w:tr>
      <w:tr w:rsidR="00B15F7D" w:rsidRPr="00990FB6" w14:paraId="00DFC53E" w14:textId="77777777" w:rsidTr="000A0C22">
        <w:trPr>
          <w:trHeight w:val="300"/>
          <w:jc w:val="center"/>
        </w:trPr>
        <w:tc>
          <w:tcPr>
            <w:tcW w:w="897" w:type="pct"/>
            <w:shd w:val="clear" w:color="auto" w:fill="auto"/>
            <w:vAlign w:val="center"/>
            <w:hideMark/>
          </w:tcPr>
          <w:p w14:paraId="48F650C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lastRenderedPageBreak/>
              <w:t>Tribunal Penal de Turrialba</w:t>
            </w:r>
          </w:p>
        </w:tc>
        <w:tc>
          <w:tcPr>
            <w:tcW w:w="386" w:type="pct"/>
            <w:shd w:val="clear" w:color="auto" w:fill="auto"/>
            <w:vAlign w:val="center"/>
            <w:hideMark/>
          </w:tcPr>
          <w:p w14:paraId="2C8561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11" w:type="pct"/>
            <w:shd w:val="clear" w:color="auto" w:fill="auto"/>
            <w:vAlign w:val="center"/>
            <w:hideMark/>
          </w:tcPr>
          <w:p w14:paraId="13F9128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58" w:type="pct"/>
            <w:shd w:val="clear" w:color="auto" w:fill="auto"/>
            <w:vAlign w:val="center"/>
            <w:hideMark/>
          </w:tcPr>
          <w:p w14:paraId="5547DD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577" w:type="pct"/>
            <w:shd w:val="clear" w:color="auto" w:fill="auto"/>
            <w:vAlign w:val="center"/>
            <w:hideMark/>
          </w:tcPr>
          <w:p w14:paraId="411762E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577" w:type="pct"/>
            <w:shd w:val="clear" w:color="auto" w:fill="auto"/>
            <w:vAlign w:val="center"/>
            <w:hideMark/>
          </w:tcPr>
          <w:p w14:paraId="393A9FF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41" w:type="pct"/>
            <w:shd w:val="clear" w:color="auto" w:fill="auto"/>
            <w:vAlign w:val="center"/>
            <w:hideMark/>
          </w:tcPr>
          <w:p w14:paraId="1917DBB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156 774 000,00 </w:t>
            </w:r>
          </w:p>
        </w:tc>
        <w:tc>
          <w:tcPr>
            <w:tcW w:w="1153" w:type="pct"/>
            <w:shd w:val="clear" w:color="auto" w:fill="auto"/>
            <w:vAlign w:val="center"/>
            <w:hideMark/>
          </w:tcPr>
          <w:p w14:paraId="4353CCA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Pendiente de abordaje</w:t>
            </w:r>
          </w:p>
        </w:tc>
      </w:tr>
      <w:tr w:rsidR="00B15F7D" w:rsidRPr="00990FB6" w14:paraId="3F6AC9F3" w14:textId="77777777" w:rsidTr="000A0C22">
        <w:trPr>
          <w:trHeight w:val="804"/>
          <w:jc w:val="center"/>
        </w:trPr>
        <w:tc>
          <w:tcPr>
            <w:tcW w:w="897" w:type="pct"/>
            <w:shd w:val="clear" w:color="auto" w:fill="auto"/>
            <w:vAlign w:val="center"/>
            <w:hideMark/>
          </w:tcPr>
          <w:p w14:paraId="239E9E7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386" w:type="pct"/>
            <w:shd w:val="clear" w:color="auto" w:fill="auto"/>
            <w:vAlign w:val="center"/>
            <w:hideMark/>
          </w:tcPr>
          <w:p w14:paraId="1730EA0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11" w:type="pct"/>
            <w:shd w:val="clear" w:color="auto" w:fill="auto"/>
            <w:vAlign w:val="center"/>
            <w:hideMark/>
          </w:tcPr>
          <w:p w14:paraId="4A8F14D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58" w:type="pct"/>
            <w:shd w:val="clear" w:color="auto" w:fill="auto"/>
            <w:vAlign w:val="center"/>
            <w:hideMark/>
          </w:tcPr>
          <w:p w14:paraId="6E1FCC8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577" w:type="pct"/>
            <w:shd w:val="clear" w:color="auto" w:fill="auto"/>
            <w:vAlign w:val="center"/>
            <w:hideMark/>
          </w:tcPr>
          <w:p w14:paraId="54F5D9E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577" w:type="pct"/>
            <w:shd w:val="clear" w:color="auto" w:fill="auto"/>
            <w:vAlign w:val="center"/>
            <w:hideMark/>
          </w:tcPr>
          <w:p w14:paraId="76B4D61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41" w:type="pct"/>
            <w:shd w:val="clear" w:color="auto" w:fill="auto"/>
            <w:vAlign w:val="center"/>
            <w:hideMark/>
          </w:tcPr>
          <w:p w14:paraId="12854D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156 774 000,00 </w:t>
            </w:r>
          </w:p>
        </w:tc>
        <w:tc>
          <w:tcPr>
            <w:tcW w:w="1153" w:type="pct"/>
            <w:shd w:val="clear" w:color="auto" w:fill="auto"/>
            <w:vAlign w:val="center"/>
            <w:hideMark/>
          </w:tcPr>
          <w:p w14:paraId="1EE7D889"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Requerimiento solicitado, según informe de rediseño del modelo penal 279-PLA-OI-20, aprobado por el Consejo Superior en sesión 108-20 artículo XLIX.</w:t>
            </w:r>
          </w:p>
        </w:tc>
      </w:tr>
      <w:tr w:rsidR="00B15F7D" w:rsidRPr="00990FB6" w14:paraId="03B9F58B" w14:textId="77777777" w:rsidTr="000A0C22">
        <w:trPr>
          <w:trHeight w:val="540"/>
          <w:jc w:val="center"/>
        </w:trPr>
        <w:tc>
          <w:tcPr>
            <w:tcW w:w="897" w:type="pct"/>
            <w:shd w:val="clear" w:color="auto" w:fill="auto"/>
            <w:vAlign w:val="center"/>
            <w:hideMark/>
          </w:tcPr>
          <w:p w14:paraId="7ED2425F"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386" w:type="pct"/>
            <w:shd w:val="clear" w:color="auto" w:fill="auto"/>
            <w:vAlign w:val="center"/>
            <w:hideMark/>
          </w:tcPr>
          <w:p w14:paraId="6349213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511" w:type="pct"/>
            <w:shd w:val="clear" w:color="auto" w:fill="auto"/>
            <w:vAlign w:val="center"/>
            <w:hideMark/>
          </w:tcPr>
          <w:p w14:paraId="078BE14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58" w:type="pct"/>
            <w:shd w:val="clear" w:color="auto" w:fill="auto"/>
            <w:vAlign w:val="center"/>
            <w:hideMark/>
          </w:tcPr>
          <w:p w14:paraId="1C4DE6F1" w14:textId="77777777" w:rsidR="00B15F7D" w:rsidRPr="00990FB6" w:rsidRDefault="00B15F7D" w:rsidP="00B15F7D">
            <w:pPr>
              <w:suppressAutoHyphens w:val="0"/>
              <w:jc w:val="center"/>
              <w:rPr>
                <w:color w:val="000000"/>
                <w:sz w:val="22"/>
                <w:szCs w:val="22"/>
                <w:lang w:val="es-CR" w:eastAsia="es-CR"/>
              </w:rPr>
            </w:pPr>
          </w:p>
          <w:p w14:paraId="73A15AF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w:t>
            </w:r>
          </w:p>
        </w:tc>
        <w:tc>
          <w:tcPr>
            <w:tcW w:w="577" w:type="pct"/>
            <w:shd w:val="clear" w:color="auto" w:fill="auto"/>
            <w:vAlign w:val="center"/>
            <w:hideMark/>
          </w:tcPr>
          <w:p w14:paraId="102C283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185 133 000,00 </w:t>
            </w:r>
          </w:p>
        </w:tc>
        <w:tc>
          <w:tcPr>
            <w:tcW w:w="577" w:type="pct"/>
            <w:shd w:val="clear" w:color="auto" w:fill="auto"/>
            <w:vAlign w:val="center"/>
            <w:hideMark/>
          </w:tcPr>
          <w:p w14:paraId="090EFE4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41" w:type="pct"/>
            <w:shd w:val="clear" w:color="auto" w:fill="auto"/>
            <w:vAlign w:val="center"/>
            <w:hideMark/>
          </w:tcPr>
          <w:p w14:paraId="1F3DA3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218 485 000,00 </w:t>
            </w:r>
          </w:p>
        </w:tc>
        <w:tc>
          <w:tcPr>
            <w:tcW w:w="1153" w:type="pct"/>
            <w:shd w:val="clear" w:color="auto" w:fill="auto"/>
            <w:vAlign w:val="center"/>
            <w:hideMark/>
          </w:tcPr>
          <w:p w14:paraId="1AC1467D"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 xml:space="preserve">Despacho abordado por el proyecto penal, el informe definitivo se envió aprobación con el consecutivo 1363-PLA-MI-2021. </w:t>
            </w:r>
          </w:p>
        </w:tc>
      </w:tr>
      <w:tr w:rsidR="00B15F7D" w:rsidRPr="00990FB6" w14:paraId="6BE702D4" w14:textId="77777777" w:rsidTr="000A0C22">
        <w:trPr>
          <w:trHeight w:val="300"/>
          <w:jc w:val="center"/>
        </w:trPr>
        <w:tc>
          <w:tcPr>
            <w:tcW w:w="897" w:type="pct"/>
            <w:shd w:val="clear" w:color="000000" w:fill="DEEAF6"/>
            <w:vAlign w:val="center"/>
            <w:hideMark/>
          </w:tcPr>
          <w:p w14:paraId="100D7797"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386" w:type="pct"/>
            <w:shd w:val="clear" w:color="000000" w:fill="DEEAF6"/>
            <w:vAlign w:val="center"/>
            <w:hideMark/>
          </w:tcPr>
          <w:p w14:paraId="6FB1A821"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12</w:t>
            </w:r>
          </w:p>
        </w:tc>
        <w:tc>
          <w:tcPr>
            <w:tcW w:w="511" w:type="pct"/>
            <w:shd w:val="clear" w:color="000000" w:fill="DEEAF6"/>
            <w:vAlign w:val="center"/>
            <w:hideMark/>
          </w:tcPr>
          <w:p w14:paraId="0D8BF6BF"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12</w:t>
            </w:r>
          </w:p>
        </w:tc>
        <w:tc>
          <w:tcPr>
            <w:tcW w:w="258" w:type="pct"/>
            <w:shd w:val="clear" w:color="000000" w:fill="DEEAF6"/>
            <w:vAlign w:val="center"/>
            <w:hideMark/>
          </w:tcPr>
          <w:p w14:paraId="4D85C17F"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24</w:t>
            </w:r>
          </w:p>
        </w:tc>
        <w:tc>
          <w:tcPr>
            <w:tcW w:w="577" w:type="pct"/>
            <w:shd w:val="clear" w:color="000000" w:fill="DEEAF6"/>
            <w:vAlign w:val="center"/>
            <w:hideMark/>
          </w:tcPr>
          <w:p w14:paraId="1F5D0340"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 ₡ 740 532 000,00 </w:t>
            </w:r>
          </w:p>
        </w:tc>
        <w:tc>
          <w:tcPr>
            <w:tcW w:w="577" w:type="pct"/>
            <w:shd w:val="clear" w:color="000000" w:fill="DEEAF6"/>
            <w:vAlign w:val="center"/>
            <w:hideMark/>
          </w:tcPr>
          <w:p w14:paraId="4E52671F"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 ₡ 200 112 000,00 </w:t>
            </w:r>
          </w:p>
        </w:tc>
        <w:tc>
          <w:tcPr>
            <w:tcW w:w="641" w:type="pct"/>
            <w:shd w:val="clear" w:color="000000" w:fill="DEEAF6"/>
            <w:vAlign w:val="center"/>
            <w:hideMark/>
          </w:tcPr>
          <w:p w14:paraId="4A4AE4E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940 644 000,00</w:t>
            </w:r>
          </w:p>
        </w:tc>
        <w:tc>
          <w:tcPr>
            <w:tcW w:w="1153" w:type="pct"/>
            <w:shd w:val="clear" w:color="000000" w:fill="DEEAF6"/>
            <w:vAlign w:val="center"/>
            <w:hideMark/>
          </w:tcPr>
          <w:p w14:paraId="363D620B"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w:t>
            </w:r>
          </w:p>
        </w:tc>
      </w:tr>
    </w:tbl>
    <w:p w14:paraId="1864801F" w14:textId="27637D58" w:rsidR="00B15F7D" w:rsidRPr="00990FB6" w:rsidRDefault="00B15F7D" w:rsidP="00B15F7D">
      <w:pPr>
        <w:suppressAutoHyphens w:val="0"/>
        <w:ind w:right="-1"/>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2ECC5330" w14:textId="77777777" w:rsidR="00B305D7" w:rsidRPr="00990FB6" w:rsidRDefault="00B305D7" w:rsidP="00B15F7D">
      <w:pPr>
        <w:suppressAutoHyphens w:val="0"/>
        <w:ind w:right="-1"/>
        <w:jc w:val="both"/>
        <w:rPr>
          <w:rFonts w:eastAsia="Calibri"/>
          <w:color w:val="000000"/>
          <w:sz w:val="22"/>
          <w:szCs w:val="22"/>
          <w:lang w:val="es-CR" w:eastAsia="en-US"/>
        </w:rPr>
      </w:pPr>
    </w:p>
    <w:p w14:paraId="6293D789"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color w:val="000000"/>
          <w:sz w:val="22"/>
          <w:szCs w:val="22"/>
          <w:u w:color="000000"/>
          <w:lang w:eastAsia="en-US"/>
        </w:rPr>
        <w:t xml:space="preserve">Se considera que, para los despachos detallados en el cuadro anterior, es indispensable el apoyo de forma permanente, lo cual provocaría un costo total anual aproximado de ₡940 644 000,00 para esas oficinas más ₡4 564 000,00 de la reclasificación del puesto de Juez o Jueza 3 a categoría 4, para un total de ₡945 208 000,00; sin embargo, de manera parcial esa situación se ha solventado, a través de los permisos con goce de salario bajo el artículo 44, desde el 2019 aproximadamente, </w:t>
      </w:r>
      <w:r w:rsidRPr="00990FB6">
        <w:rPr>
          <w:rFonts w:eastAsia="Calibri"/>
          <w:sz w:val="22"/>
          <w:szCs w:val="22"/>
          <w:lang w:val="es-CR" w:eastAsia="en-US"/>
        </w:rPr>
        <w:t xml:space="preserve">por lo que el incremento en el costo debería ser mínimo a la hora de realizarse el cambio de forma temporal a permanente, en comparación de crear plazas completamente nuevas. </w:t>
      </w:r>
    </w:p>
    <w:p w14:paraId="5CC09E66" w14:textId="77777777" w:rsidR="00B15F7D" w:rsidRPr="00990FB6" w:rsidRDefault="00B15F7D" w:rsidP="00B15F7D">
      <w:pPr>
        <w:suppressAutoHyphens w:val="0"/>
        <w:ind w:left="851" w:right="851" w:firstLine="709"/>
        <w:jc w:val="both"/>
        <w:rPr>
          <w:rFonts w:eastAsia="Calibri"/>
          <w:sz w:val="22"/>
          <w:szCs w:val="22"/>
          <w:lang w:val="es-CR" w:eastAsia="en-US"/>
        </w:rPr>
      </w:pPr>
    </w:p>
    <w:p w14:paraId="6489A404" w14:textId="77777777" w:rsidR="00B15F7D" w:rsidRPr="00990FB6" w:rsidRDefault="00B15F7D" w:rsidP="00B15F7D">
      <w:pPr>
        <w:numPr>
          <w:ilvl w:val="1"/>
          <w:numId w:val="128"/>
        </w:numPr>
        <w:suppressAutoHyphens w:val="0"/>
        <w:ind w:left="851" w:right="851" w:firstLine="709"/>
        <w:contextualSpacing/>
        <w:jc w:val="both"/>
        <w:rPr>
          <w:rFonts w:eastAsia="Calibri"/>
          <w:sz w:val="22"/>
          <w:szCs w:val="22"/>
          <w:lang w:val="es-CR" w:eastAsia="en-US"/>
        </w:rPr>
      </w:pPr>
      <w:r w:rsidRPr="00990FB6">
        <w:rPr>
          <w:rFonts w:eastAsia="Calibri"/>
          <w:b/>
          <w:bCs/>
          <w:sz w:val="22"/>
          <w:szCs w:val="22"/>
          <w:lang w:val="es-CR" w:eastAsia="en-US"/>
        </w:rPr>
        <w:t>Tribunales Penales con abordaje realizado como parte de proyecto del Modelo Penal</w:t>
      </w:r>
      <w:r w:rsidRPr="00990FB6">
        <w:rPr>
          <w:rFonts w:eastAsia="Calibri"/>
          <w:b/>
          <w:bCs/>
          <w:sz w:val="22"/>
          <w:szCs w:val="22"/>
          <w:lang w:val="es-CR" w:eastAsia="en-US"/>
        </w:rPr>
        <w:tab/>
      </w:r>
    </w:p>
    <w:p w14:paraId="0F661C0D" w14:textId="77777777" w:rsidR="00B15F7D" w:rsidRPr="00990FB6" w:rsidRDefault="00B15F7D" w:rsidP="00B15F7D">
      <w:pPr>
        <w:suppressAutoHyphens w:val="0"/>
        <w:ind w:left="1560" w:right="851"/>
        <w:contextualSpacing/>
        <w:jc w:val="both"/>
        <w:rPr>
          <w:rFonts w:eastAsia="Calibri"/>
          <w:sz w:val="22"/>
          <w:szCs w:val="22"/>
          <w:lang w:val="es-CR" w:eastAsia="en-US"/>
        </w:rPr>
      </w:pPr>
    </w:p>
    <w:p w14:paraId="5B4ED618" w14:textId="77777777" w:rsidR="00B15F7D" w:rsidRPr="00990FB6" w:rsidRDefault="00B15F7D" w:rsidP="00B15F7D">
      <w:pPr>
        <w:suppressAutoHyphens w:val="0"/>
        <w:ind w:left="851" w:right="851" w:firstLine="709"/>
        <w:contextualSpacing/>
        <w:jc w:val="both"/>
        <w:rPr>
          <w:rFonts w:eastAsia="Calibri"/>
          <w:color w:val="000000"/>
          <w:sz w:val="22"/>
          <w:szCs w:val="22"/>
          <w:u w:color="000000"/>
          <w:lang w:eastAsia="en-US"/>
        </w:rPr>
      </w:pPr>
      <w:r w:rsidRPr="00990FB6">
        <w:rPr>
          <w:rFonts w:eastAsia="Calibri"/>
          <w:color w:val="000000"/>
          <w:sz w:val="22"/>
          <w:szCs w:val="22"/>
          <w:u w:color="000000"/>
          <w:lang w:eastAsia="en-US"/>
        </w:rPr>
        <w:t>Continuando con los Tribunales Penales, existen despachos que ya fueron abordados por la Dirección de Planificación, como parte del proyecto del Modelo Penal, por lo que seguidamente se detallan los despachos que ya cuentan con un informe aprobado por el Consejo Superior, según el escenario ideal de recurso humano recomendado en esa oportunidad, que permite atender tanto la entrada como el circulante del despacho:</w:t>
      </w:r>
    </w:p>
    <w:p w14:paraId="7A783979" w14:textId="77777777" w:rsidR="00B15F7D" w:rsidRPr="00990FB6" w:rsidRDefault="00B15F7D" w:rsidP="00B15F7D">
      <w:pPr>
        <w:suppressAutoHyphens w:val="0"/>
        <w:ind w:left="851" w:right="851" w:firstLine="709"/>
        <w:contextualSpacing/>
        <w:jc w:val="both"/>
        <w:rPr>
          <w:rFonts w:eastAsia="Calibri"/>
          <w:color w:val="000000"/>
          <w:sz w:val="22"/>
          <w:szCs w:val="22"/>
          <w:u w:color="000000"/>
          <w:lang w:eastAsia="en-US"/>
        </w:rPr>
      </w:pPr>
    </w:p>
    <w:p w14:paraId="7141C03B"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9</w:t>
      </w:r>
      <w:r w:rsidRPr="00990FB6">
        <w:rPr>
          <w:b/>
          <w:bCs/>
          <w:color w:val="00000A"/>
          <w:sz w:val="22"/>
          <w:szCs w:val="22"/>
          <w:lang w:eastAsia="es-ES"/>
        </w:rPr>
        <w:fldChar w:fldCharType="end"/>
      </w:r>
    </w:p>
    <w:p w14:paraId="02787938"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Costo anual de requerimiento humano adicional para los Tribunales Penales que cuentan con un informe técnico de la Dirección de Planificación aprobado por el Consejo Superior</w:t>
      </w:r>
    </w:p>
    <w:p w14:paraId="62CF0E77"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p>
    <w:tbl>
      <w:tblPr>
        <w:tblW w:w="6246" w:type="pct"/>
        <w:tblInd w:w="-1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3"/>
        <w:gridCol w:w="679"/>
        <w:gridCol w:w="682"/>
        <w:gridCol w:w="816"/>
        <w:gridCol w:w="682"/>
        <w:gridCol w:w="1224"/>
        <w:gridCol w:w="1226"/>
        <w:gridCol w:w="1226"/>
        <w:gridCol w:w="1361"/>
        <w:gridCol w:w="1769"/>
      </w:tblGrid>
      <w:tr w:rsidR="00B15F7D" w:rsidRPr="00990FB6" w14:paraId="1A81D97C" w14:textId="77777777" w:rsidTr="000A0C22">
        <w:trPr>
          <w:trHeight w:val="505"/>
        </w:trPr>
        <w:tc>
          <w:tcPr>
            <w:tcW w:w="618" w:type="pct"/>
            <w:vMerge w:val="restart"/>
            <w:shd w:val="clear" w:color="000000" w:fill="305496"/>
            <w:vAlign w:val="center"/>
            <w:hideMark/>
          </w:tcPr>
          <w:p w14:paraId="3C6AE31E"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Despacho</w:t>
            </w:r>
          </w:p>
        </w:tc>
        <w:tc>
          <w:tcPr>
            <w:tcW w:w="1296" w:type="pct"/>
            <w:gridSpan w:val="4"/>
            <w:shd w:val="clear" w:color="000000" w:fill="5B9BD5"/>
            <w:noWrap/>
            <w:vAlign w:val="center"/>
            <w:hideMark/>
          </w:tcPr>
          <w:p w14:paraId="6B97D85A"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REQUERIMIENTO</w:t>
            </w:r>
          </w:p>
        </w:tc>
        <w:tc>
          <w:tcPr>
            <w:tcW w:w="2283" w:type="pct"/>
            <w:gridSpan w:val="4"/>
            <w:shd w:val="clear" w:color="000000" w:fill="5B9BD5"/>
            <w:noWrap/>
            <w:vAlign w:val="center"/>
            <w:hideMark/>
          </w:tcPr>
          <w:p w14:paraId="3B53E876"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COSTO PRESPUESTARIO</w:t>
            </w:r>
          </w:p>
        </w:tc>
        <w:tc>
          <w:tcPr>
            <w:tcW w:w="802" w:type="pct"/>
            <w:shd w:val="clear" w:color="000000" w:fill="5B9BD5"/>
            <w:noWrap/>
            <w:vAlign w:val="bottom"/>
            <w:hideMark/>
          </w:tcPr>
          <w:p w14:paraId="1D09C2C6"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 </w:t>
            </w:r>
          </w:p>
        </w:tc>
      </w:tr>
      <w:tr w:rsidR="00B15F7D" w:rsidRPr="00990FB6" w14:paraId="54C56817" w14:textId="77777777" w:rsidTr="000A0C22">
        <w:trPr>
          <w:trHeight w:val="805"/>
        </w:trPr>
        <w:tc>
          <w:tcPr>
            <w:tcW w:w="618" w:type="pct"/>
            <w:vMerge/>
            <w:vAlign w:val="center"/>
            <w:hideMark/>
          </w:tcPr>
          <w:p w14:paraId="02811C54" w14:textId="77777777" w:rsidR="00B15F7D" w:rsidRPr="00990FB6" w:rsidRDefault="00B15F7D" w:rsidP="00B15F7D">
            <w:pPr>
              <w:suppressAutoHyphens w:val="0"/>
              <w:jc w:val="both"/>
              <w:rPr>
                <w:b/>
                <w:bCs/>
                <w:color w:val="FFFFFF"/>
                <w:sz w:val="22"/>
                <w:szCs w:val="22"/>
                <w:lang w:val="es-CR" w:eastAsia="es-CR"/>
              </w:rPr>
            </w:pPr>
          </w:p>
        </w:tc>
        <w:tc>
          <w:tcPr>
            <w:tcW w:w="308" w:type="pct"/>
            <w:shd w:val="clear" w:color="000000" w:fill="305496"/>
            <w:vAlign w:val="center"/>
            <w:hideMark/>
          </w:tcPr>
          <w:p w14:paraId="2E28716C"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Juez/a 4</w:t>
            </w:r>
          </w:p>
        </w:tc>
        <w:tc>
          <w:tcPr>
            <w:tcW w:w="309" w:type="pct"/>
            <w:shd w:val="clear" w:color="000000" w:fill="305496"/>
            <w:vAlign w:val="center"/>
            <w:hideMark/>
          </w:tcPr>
          <w:p w14:paraId="60940AD6"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Juez/a 1</w:t>
            </w:r>
          </w:p>
        </w:tc>
        <w:tc>
          <w:tcPr>
            <w:tcW w:w="370" w:type="pct"/>
            <w:shd w:val="clear" w:color="000000" w:fill="305496"/>
            <w:vAlign w:val="center"/>
            <w:hideMark/>
          </w:tcPr>
          <w:p w14:paraId="2A7092FA"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Técnico(a) Judicial 3</w:t>
            </w:r>
          </w:p>
        </w:tc>
        <w:tc>
          <w:tcPr>
            <w:tcW w:w="309" w:type="pct"/>
            <w:shd w:val="clear" w:color="000000" w:fill="305496"/>
            <w:vAlign w:val="center"/>
            <w:hideMark/>
          </w:tcPr>
          <w:p w14:paraId="3BC3557D"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Total</w:t>
            </w:r>
          </w:p>
        </w:tc>
        <w:tc>
          <w:tcPr>
            <w:tcW w:w="555" w:type="pct"/>
            <w:shd w:val="clear" w:color="000000" w:fill="305496"/>
            <w:vAlign w:val="center"/>
            <w:hideMark/>
          </w:tcPr>
          <w:p w14:paraId="4FB37FFD"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 xml:space="preserve"> juez o jueza 4</w:t>
            </w:r>
          </w:p>
        </w:tc>
        <w:tc>
          <w:tcPr>
            <w:tcW w:w="556" w:type="pct"/>
            <w:shd w:val="clear" w:color="000000" w:fill="305496"/>
            <w:vAlign w:val="center"/>
            <w:hideMark/>
          </w:tcPr>
          <w:p w14:paraId="3441F61C"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Juez/a 1</w:t>
            </w:r>
          </w:p>
        </w:tc>
        <w:tc>
          <w:tcPr>
            <w:tcW w:w="556" w:type="pct"/>
            <w:shd w:val="clear" w:color="000000" w:fill="305496"/>
            <w:vAlign w:val="center"/>
            <w:hideMark/>
          </w:tcPr>
          <w:p w14:paraId="618B6AE9"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Técnico/a judicial 3</w:t>
            </w:r>
          </w:p>
        </w:tc>
        <w:tc>
          <w:tcPr>
            <w:tcW w:w="617" w:type="pct"/>
            <w:shd w:val="clear" w:color="000000" w:fill="305496"/>
            <w:vAlign w:val="center"/>
            <w:hideMark/>
          </w:tcPr>
          <w:p w14:paraId="3C914536"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Costo Total</w:t>
            </w:r>
          </w:p>
        </w:tc>
        <w:tc>
          <w:tcPr>
            <w:tcW w:w="802" w:type="pct"/>
            <w:shd w:val="clear" w:color="000000" w:fill="305496"/>
            <w:vAlign w:val="center"/>
            <w:hideMark/>
          </w:tcPr>
          <w:p w14:paraId="2C18F6EB" w14:textId="77777777" w:rsidR="00B15F7D" w:rsidRPr="00990FB6" w:rsidRDefault="00B15F7D" w:rsidP="00B15F7D">
            <w:pPr>
              <w:suppressAutoHyphens w:val="0"/>
              <w:jc w:val="both"/>
              <w:rPr>
                <w:b/>
                <w:bCs/>
                <w:color w:val="FFFFFF"/>
                <w:sz w:val="22"/>
                <w:szCs w:val="22"/>
                <w:lang w:val="es-CR" w:eastAsia="es-CR"/>
              </w:rPr>
            </w:pPr>
            <w:r w:rsidRPr="00990FB6">
              <w:rPr>
                <w:b/>
                <w:bCs/>
                <w:color w:val="FFFFFF"/>
                <w:sz w:val="22"/>
                <w:szCs w:val="22"/>
                <w:lang w:val="es-CR" w:eastAsia="es-CR"/>
              </w:rPr>
              <w:t>Observaciones</w:t>
            </w:r>
          </w:p>
        </w:tc>
      </w:tr>
      <w:tr w:rsidR="00B15F7D" w:rsidRPr="00990FB6" w14:paraId="74F0EB37" w14:textId="77777777" w:rsidTr="000A0C22">
        <w:trPr>
          <w:trHeight w:val="2410"/>
        </w:trPr>
        <w:tc>
          <w:tcPr>
            <w:tcW w:w="618" w:type="pct"/>
            <w:shd w:val="clear" w:color="000000" w:fill="FFFFFF"/>
            <w:vAlign w:val="center"/>
            <w:hideMark/>
          </w:tcPr>
          <w:p w14:paraId="34372893"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Tribunal Penal de Puntarenas</w:t>
            </w:r>
          </w:p>
        </w:tc>
        <w:tc>
          <w:tcPr>
            <w:tcW w:w="308" w:type="pct"/>
            <w:shd w:val="clear" w:color="000000" w:fill="FFFFFF"/>
            <w:vAlign w:val="center"/>
            <w:hideMark/>
          </w:tcPr>
          <w:p w14:paraId="431C70A9"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3</w:t>
            </w:r>
          </w:p>
        </w:tc>
        <w:tc>
          <w:tcPr>
            <w:tcW w:w="309" w:type="pct"/>
            <w:shd w:val="clear" w:color="000000" w:fill="FFFFFF"/>
            <w:vAlign w:val="center"/>
            <w:hideMark/>
          </w:tcPr>
          <w:p w14:paraId="351AD46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0</w:t>
            </w:r>
          </w:p>
        </w:tc>
        <w:tc>
          <w:tcPr>
            <w:tcW w:w="370" w:type="pct"/>
            <w:shd w:val="clear" w:color="000000" w:fill="FFFFFF"/>
            <w:vAlign w:val="center"/>
            <w:hideMark/>
          </w:tcPr>
          <w:p w14:paraId="6152E7BA"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1</w:t>
            </w:r>
          </w:p>
        </w:tc>
        <w:tc>
          <w:tcPr>
            <w:tcW w:w="309" w:type="pct"/>
            <w:shd w:val="clear" w:color="000000" w:fill="FFFFFF"/>
            <w:vAlign w:val="center"/>
            <w:hideMark/>
          </w:tcPr>
          <w:p w14:paraId="4490BDE3"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4</w:t>
            </w:r>
          </w:p>
        </w:tc>
        <w:tc>
          <w:tcPr>
            <w:tcW w:w="555" w:type="pct"/>
            <w:shd w:val="clear" w:color="000000" w:fill="FFFFFF"/>
            <w:vAlign w:val="center"/>
            <w:hideMark/>
          </w:tcPr>
          <w:p w14:paraId="7FD175D8"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185 133 000,00 </w:t>
            </w:r>
          </w:p>
        </w:tc>
        <w:tc>
          <w:tcPr>
            <w:tcW w:w="556" w:type="pct"/>
            <w:shd w:val="clear" w:color="000000" w:fill="FFFFFF"/>
            <w:vAlign w:val="center"/>
            <w:hideMark/>
          </w:tcPr>
          <w:p w14:paraId="21A2CB2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   </w:t>
            </w:r>
          </w:p>
        </w:tc>
        <w:tc>
          <w:tcPr>
            <w:tcW w:w="556" w:type="pct"/>
            <w:shd w:val="clear" w:color="000000" w:fill="FFFFFF"/>
            <w:vAlign w:val="center"/>
            <w:hideMark/>
          </w:tcPr>
          <w:p w14:paraId="7D57FEAA"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16 676 000,00 </w:t>
            </w:r>
          </w:p>
        </w:tc>
        <w:tc>
          <w:tcPr>
            <w:tcW w:w="617" w:type="pct"/>
            <w:shd w:val="clear" w:color="000000" w:fill="FFFFFF"/>
            <w:vAlign w:val="center"/>
            <w:hideMark/>
          </w:tcPr>
          <w:p w14:paraId="33D1B0C0"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201 809 000,00 </w:t>
            </w:r>
          </w:p>
        </w:tc>
        <w:tc>
          <w:tcPr>
            <w:tcW w:w="802" w:type="pct"/>
            <w:shd w:val="clear" w:color="000000" w:fill="FFFFFF"/>
            <w:vAlign w:val="center"/>
            <w:hideMark/>
          </w:tcPr>
          <w:p w14:paraId="0E768C4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Escenario ideal, informe de abordaje 2045-PLA-OI-2020, aprobado por el Consejo Superior en la sesión 47-21 del 8 de junio del 2021, artículo LII. En el caso del personal técnico, se había recomendado cuatro plazas de técnica o técnico judicial 3; sin embargo, en sesión de Consejo Superior 54-22 del 28 de junio del 2022, artículo XXIX, se aprobó la reasignación de los puestos 44938 y 86072 a Técnico Judicial 3, los cuales fueron adscritos al Tribunal Penal de Puntarenas. Asimismo, el Tribunal cuenta con una plaza de Técnico Supernumerario de manera permanente.</w:t>
            </w:r>
          </w:p>
        </w:tc>
      </w:tr>
      <w:tr w:rsidR="00B15F7D" w:rsidRPr="00990FB6" w14:paraId="0F742970" w14:textId="77777777" w:rsidTr="000A0C22">
        <w:trPr>
          <w:trHeight w:val="1690"/>
        </w:trPr>
        <w:tc>
          <w:tcPr>
            <w:tcW w:w="618" w:type="pct"/>
            <w:shd w:val="clear" w:color="000000" w:fill="FFFFFF"/>
            <w:vAlign w:val="center"/>
            <w:hideMark/>
          </w:tcPr>
          <w:p w14:paraId="597C923E"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Tribunal Penal de Liberia</w:t>
            </w:r>
          </w:p>
        </w:tc>
        <w:tc>
          <w:tcPr>
            <w:tcW w:w="308" w:type="pct"/>
            <w:shd w:val="clear" w:color="000000" w:fill="FFFFFF"/>
            <w:vAlign w:val="center"/>
            <w:hideMark/>
          </w:tcPr>
          <w:p w14:paraId="1B0338B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3</w:t>
            </w:r>
          </w:p>
        </w:tc>
        <w:tc>
          <w:tcPr>
            <w:tcW w:w="309" w:type="pct"/>
            <w:shd w:val="clear" w:color="000000" w:fill="FFFFFF"/>
            <w:vAlign w:val="center"/>
            <w:hideMark/>
          </w:tcPr>
          <w:p w14:paraId="65A3259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0</w:t>
            </w:r>
          </w:p>
        </w:tc>
        <w:tc>
          <w:tcPr>
            <w:tcW w:w="370" w:type="pct"/>
            <w:shd w:val="clear" w:color="000000" w:fill="FFFFFF"/>
            <w:vAlign w:val="center"/>
            <w:hideMark/>
          </w:tcPr>
          <w:p w14:paraId="3EE6B1CE"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4</w:t>
            </w:r>
          </w:p>
        </w:tc>
        <w:tc>
          <w:tcPr>
            <w:tcW w:w="309" w:type="pct"/>
            <w:shd w:val="clear" w:color="000000" w:fill="FFFFFF"/>
            <w:vAlign w:val="center"/>
            <w:hideMark/>
          </w:tcPr>
          <w:p w14:paraId="3340076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7</w:t>
            </w:r>
          </w:p>
        </w:tc>
        <w:tc>
          <w:tcPr>
            <w:tcW w:w="555" w:type="pct"/>
            <w:shd w:val="clear" w:color="000000" w:fill="FFFFFF"/>
            <w:vAlign w:val="center"/>
            <w:hideMark/>
          </w:tcPr>
          <w:p w14:paraId="3A68AC8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185 133 000,00 </w:t>
            </w:r>
          </w:p>
        </w:tc>
        <w:tc>
          <w:tcPr>
            <w:tcW w:w="556" w:type="pct"/>
            <w:shd w:val="clear" w:color="000000" w:fill="FFFFFF"/>
            <w:vAlign w:val="center"/>
            <w:hideMark/>
          </w:tcPr>
          <w:p w14:paraId="5CB03E31"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   </w:t>
            </w:r>
          </w:p>
        </w:tc>
        <w:tc>
          <w:tcPr>
            <w:tcW w:w="556" w:type="pct"/>
            <w:shd w:val="clear" w:color="000000" w:fill="FFFFFF"/>
            <w:vAlign w:val="center"/>
            <w:hideMark/>
          </w:tcPr>
          <w:p w14:paraId="704EB4A4"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66 704 000,00 </w:t>
            </w:r>
          </w:p>
        </w:tc>
        <w:tc>
          <w:tcPr>
            <w:tcW w:w="617" w:type="pct"/>
            <w:shd w:val="clear" w:color="000000" w:fill="FFFFFF"/>
            <w:vAlign w:val="center"/>
            <w:hideMark/>
          </w:tcPr>
          <w:p w14:paraId="1674E56D"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251 837 000,00 </w:t>
            </w:r>
          </w:p>
        </w:tc>
        <w:tc>
          <w:tcPr>
            <w:tcW w:w="802" w:type="pct"/>
            <w:shd w:val="clear" w:color="000000" w:fill="FFFFFF"/>
            <w:vAlign w:val="center"/>
            <w:hideMark/>
          </w:tcPr>
          <w:p w14:paraId="1D92452A"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 xml:space="preserve">Escenario ideal, del informe 251-PLA-OI-2020 aprobado por el Consejo Superior en sesión 20-20 artículo LIII. En el caso del personal </w:t>
            </w:r>
            <w:r w:rsidRPr="00990FB6">
              <w:rPr>
                <w:color w:val="000000"/>
                <w:sz w:val="22"/>
                <w:szCs w:val="22"/>
                <w:lang w:val="es-CR" w:eastAsia="es-CR"/>
              </w:rPr>
              <w:lastRenderedPageBreak/>
              <w:t>técnico se había recomendado cinco plazas de técnica o técnico judicial 3; sin embargo, en sesión 6-20 del 23 de enero del 2020, artículo LII, se aprobó la reclasificación del puesto 44798 de Auxiliar de Servicios Generales a Técnico Judicial 3.</w:t>
            </w:r>
          </w:p>
        </w:tc>
      </w:tr>
      <w:tr w:rsidR="00B15F7D" w:rsidRPr="00990FB6" w14:paraId="1DEEA784" w14:textId="77777777" w:rsidTr="000A0C22">
        <w:trPr>
          <w:trHeight w:val="730"/>
        </w:trPr>
        <w:tc>
          <w:tcPr>
            <w:tcW w:w="618" w:type="pct"/>
            <w:shd w:val="clear" w:color="000000" w:fill="FFFFFF"/>
            <w:vAlign w:val="center"/>
            <w:hideMark/>
          </w:tcPr>
          <w:p w14:paraId="7666649B"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lastRenderedPageBreak/>
              <w:t>Tribunal Penal de Guápiles</w:t>
            </w:r>
          </w:p>
        </w:tc>
        <w:tc>
          <w:tcPr>
            <w:tcW w:w="308" w:type="pct"/>
            <w:shd w:val="clear" w:color="000000" w:fill="FFFFFF"/>
            <w:vAlign w:val="center"/>
            <w:hideMark/>
          </w:tcPr>
          <w:p w14:paraId="512E93FB"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3</w:t>
            </w:r>
          </w:p>
        </w:tc>
        <w:tc>
          <w:tcPr>
            <w:tcW w:w="309" w:type="pct"/>
            <w:shd w:val="clear" w:color="000000" w:fill="FFFFFF"/>
            <w:vAlign w:val="center"/>
            <w:hideMark/>
          </w:tcPr>
          <w:p w14:paraId="02EFDFD3"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0</w:t>
            </w:r>
          </w:p>
        </w:tc>
        <w:tc>
          <w:tcPr>
            <w:tcW w:w="370" w:type="pct"/>
            <w:shd w:val="clear" w:color="000000" w:fill="FFFFFF"/>
            <w:vAlign w:val="center"/>
            <w:hideMark/>
          </w:tcPr>
          <w:p w14:paraId="476A5ABF"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3</w:t>
            </w:r>
          </w:p>
        </w:tc>
        <w:tc>
          <w:tcPr>
            <w:tcW w:w="309" w:type="pct"/>
            <w:shd w:val="clear" w:color="000000" w:fill="FFFFFF"/>
            <w:vAlign w:val="center"/>
            <w:hideMark/>
          </w:tcPr>
          <w:p w14:paraId="56283AF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6</w:t>
            </w:r>
          </w:p>
        </w:tc>
        <w:tc>
          <w:tcPr>
            <w:tcW w:w="555" w:type="pct"/>
            <w:shd w:val="clear" w:color="000000" w:fill="FFFFFF"/>
            <w:vAlign w:val="center"/>
            <w:hideMark/>
          </w:tcPr>
          <w:p w14:paraId="606ADD9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185 133 000,00 </w:t>
            </w:r>
          </w:p>
        </w:tc>
        <w:tc>
          <w:tcPr>
            <w:tcW w:w="556" w:type="pct"/>
            <w:shd w:val="clear" w:color="000000" w:fill="FFFFFF"/>
            <w:vAlign w:val="center"/>
            <w:hideMark/>
          </w:tcPr>
          <w:p w14:paraId="7EC3A4BF"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   </w:t>
            </w:r>
          </w:p>
        </w:tc>
        <w:tc>
          <w:tcPr>
            <w:tcW w:w="556" w:type="pct"/>
            <w:shd w:val="clear" w:color="000000" w:fill="FFFFFF"/>
            <w:vAlign w:val="center"/>
            <w:hideMark/>
          </w:tcPr>
          <w:p w14:paraId="32942AC0"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50 028 000,00 </w:t>
            </w:r>
          </w:p>
        </w:tc>
        <w:tc>
          <w:tcPr>
            <w:tcW w:w="617" w:type="pct"/>
            <w:shd w:val="clear" w:color="000000" w:fill="FFFFFF"/>
            <w:vAlign w:val="center"/>
            <w:hideMark/>
          </w:tcPr>
          <w:p w14:paraId="7938C8D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235 161 000,00 </w:t>
            </w:r>
          </w:p>
        </w:tc>
        <w:tc>
          <w:tcPr>
            <w:tcW w:w="802" w:type="pct"/>
            <w:shd w:val="clear" w:color="000000" w:fill="FFFFFF"/>
            <w:vAlign w:val="center"/>
            <w:hideMark/>
          </w:tcPr>
          <w:p w14:paraId="127E9A3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 xml:space="preserve">Escenario ideal del informe de abordaje 1038-PLA-MI-2021, aprobado por el Consejo Superior en la sesión </w:t>
            </w:r>
            <w:proofErr w:type="spellStart"/>
            <w:r w:rsidRPr="00990FB6">
              <w:rPr>
                <w:color w:val="000000"/>
                <w:sz w:val="22"/>
                <w:szCs w:val="22"/>
                <w:lang w:val="es-CR" w:eastAsia="es-CR"/>
              </w:rPr>
              <w:t>N°</w:t>
            </w:r>
            <w:proofErr w:type="spellEnd"/>
            <w:r w:rsidRPr="00990FB6">
              <w:rPr>
                <w:color w:val="000000"/>
                <w:sz w:val="22"/>
                <w:szCs w:val="22"/>
                <w:lang w:val="es-CR" w:eastAsia="es-CR"/>
              </w:rPr>
              <w:t xml:space="preserve"> 98-2021 celebrada el 16 de noviembre de 2021, ARTÍCULO XLI</w:t>
            </w:r>
          </w:p>
        </w:tc>
      </w:tr>
      <w:tr w:rsidR="00B15F7D" w:rsidRPr="00990FB6" w14:paraId="1EE93E49" w14:textId="77777777" w:rsidTr="000A0C22">
        <w:trPr>
          <w:trHeight w:val="566"/>
        </w:trPr>
        <w:tc>
          <w:tcPr>
            <w:tcW w:w="618" w:type="pct"/>
            <w:shd w:val="clear" w:color="000000" w:fill="FFFFFF"/>
            <w:vAlign w:val="center"/>
            <w:hideMark/>
          </w:tcPr>
          <w:p w14:paraId="679D38A2"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Tribunal Penal de Limón</w:t>
            </w:r>
          </w:p>
        </w:tc>
        <w:tc>
          <w:tcPr>
            <w:tcW w:w="308" w:type="pct"/>
            <w:shd w:val="clear" w:color="000000" w:fill="FFFFFF"/>
            <w:vAlign w:val="center"/>
            <w:hideMark/>
          </w:tcPr>
          <w:p w14:paraId="15929C3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3</w:t>
            </w:r>
          </w:p>
        </w:tc>
        <w:tc>
          <w:tcPr>
            <w:tcW w:w="309" w:type="pct"/>
            <w:shd w:val="clear" w:color="000000" w:fill="FFFFFF"/>
            <w:noWrap/>
            <w:vAlign w:val="center"/>
            <w:hideMark/>
          </w:tcPr>
          <w:p w14:paraId="347F72A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1</w:t>
            </w:r>
          </w:p>
        </w:tc>
        <w:tc>
          <w:tcPr>
            <w:tcW w:w="370" w:type="pct"/>
            <w:shd w:val="clear" w:color="000000" w:fill="FFFFFF"/>
            <w:vAlign w:val="center"/>
            <w:hideMark/>
          </w:tcPr>
          <w:p w14:paraId="185F0D0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4</w:t>
            </w:r>
          </w:p>
        </w:tc>
        <w:tc>
          <w:tcPr>
            <w:tcW w:w="309" w:type="pct"/>
            <w:shd w:val="clear" w:color="000000" w:fill="FFFFFF"/>
            <w:vAlign w:val="center"/>
            <w:hideMark/>
          </w:tcPr>
          <w:p w14:paraId="11835F2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8</w:t>
            </w:r>
          </w:p>
        </w:tc>
        <w:tc>
          <w:tcPr>
            <w:tcW w:w="555" w:type="pct"/>
            <w:shd w:val="clear" w:color="000000" w:fill="FFFFFF"/>
            <w:vAlign w:val="center"/>
            <w:hideMark/>
          </w:tcPr>
          <w:p w14:paraId="77E6D31A"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185 133 000,00 </w:t>
            </w:r>
          </w:p>
        </w:tc>
        <w:tc>
          <w:tcPr>
            <w:tcW w:w="556" w:type="pct"/>
            <w:shd w:val="clear" w:color="000000" w:fill="FFFFFF"/>
            <w:vAlign w:val="center"/>
            <w:hideMark/>
          </w:tcPr>
          <w:p w14:paraId="6D3D8E8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53 778 000,00 </w:t>
            </w:r>
          </w:p>
        </w:tc>
        <w:tc>
          <w:tcPr>
            <w:tcW w:w="556" w:type="pct"/>
            <w:shd w:val="clear" w:color="000000" w:fill="FFFFFF"/>
            <w:vAlign w:val="center"/>
            <w:hideMark/>
          </w:tcPr>
          <w:p w14:paraId="6D916ABE"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66 704 000,00 </w:t>
            </w:r>
          </w:p>
        </w:tc>
        <w:tc>
          <w:tcPr>
            <w:tcW w:w="617" w:type="pct"/>
            <w:shd w:val="clear" w:color="000000" w:fill="FFFFFF"/>
            <w:vAlign w:val="center"/>
            <w:hideMark/>
          </w:tcPr>
          <w:p w14:paraId="7EB8E08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305 615 000,00 </w:t>
            </w:r>
          </w:p>
        </w:tc>
        <w:tc>
          <w:tcPr>
            <w:tcW w:w="802" w:type="pct"/>
            <w:shd w:val="clear" w:color="000000" w:fill="FFFFFF"/>
            <w:vAlign w:val="center"/>
            <w:hideMark/>
          </w:tcPr>
          <w:p w14:paraId="158B5FD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 xml:space="preserve">Escenario actual del informe de abordaje 1433-PLA-MI-2020, aprobado por el Consejo Superior en Sesión 95-20 celebrada el 2 de octubre del 2020, artículo XLI  </w:t>
            </w:r>
          </w:p>
        </w:tc>
      </w:tr>
      <w:tr w:rsidR="00B15F7D" w:rsidRPr="00990FB6" w14:paraId="1CCB475B" w14:textId="77777777" w:rsidTr="000A0C22">
        <w:trPr>
          <w:trHeight w:val="730"/>
        </w:trPr>
        <w:tc>
          <w:tcPr>
            <w:tcW w:w="618" w:type="pct"/>
            <w:shd w:val="clear" w:color="000000" w:fill="FFFFFF"/>
            <w:vAlign w:val="center"/>
            <w:hideMark/>
          </w:tcPr>
          <w:p w14:paraId="7507354E"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Tribunal Penal de Pavas</w:t>
            </w:r>
          </w:p>
        </w:tc>
        <w:tc>
          <w:tcPr>
            <w:tcW w:w="308" w:type="pct"/>
            <w:shd w:val="clear" w:color="000000" w:fill="FFFFFF"/>
            <w:vAlign w:val="center"/>
            <w:hideMark/>
          </w:tcPr>
          <w:p w14:paraId="3094F9C8"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1</w:t>
            </w:r>
          </w:p>
        </w:tc>
        <w:tc>
          <w:tcPr>
            <w:tcW w:w="309" w:type="pct"/>
            <w:shd w:val="clear" w:color="000000" w:fill="FFFFFF"/>
            <w:noWrap/>
            <w:vAlign w:val="center"/>
            <w:hideMark/>
          </w:tcPr>
          <w:p w14:paraId="5E3F3EA7"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0</w:t>
            </w:r>
          </w:p>
        </w:tc>
        <w:tc>
          <w:tcPr>
            <w:tcW w:w="370" w:type="pct"/>
            <w:shd w:val="clear" w:color="000000" w:fill="FFFFFF"/>
            <w:vAlign w:val="center"/>
            <w:hideMark/>
          </w:tcPr>
          <w:p w14:paraId="3B537412"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5</w:t>
            </w:r>
          </w:p>
        </w:tc>
        <w:tc>
          <w:tcPr>
            <w:tcW w:w="309" w:type="pct"/>
            <w:shd w:val="clear" w:color="000000" w:fill="FFFFFF"/>
            <w:vAlign w:val="center"/>
            <w:hideMark/>
          </w:tcPr>
          <w:p w14:paraId="0B98A37E"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6</w:t>
            </w:r>
          </w:p>
        </w:tc>
        <w:tc>
          <w:tcPr>
            <w:tcW w:w="555" w:type="pct"/>
            <w:shd w:val="clear" w:color="000000" w:fill="FFFFFF"/>
            <w:vAlign w:val="center"/>
            <w:hideMark/>
          </w:tcPr>
          <w:p w14:paraId="79C4E127"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61 711 000,00 </w:t>
            </w:r>
          </w:p>
        </w:tc>
        <w:tc>
          <w:tcPr>
            <w:tcW w:w="556" w:type="pct"/>
            <w:shd w:val="clear" w:color="000000" w:fill="FFFFFF"/>
            <w:vAlign w:val="center"/>
            <w:hideMark/>
          </w:tcPr>
          <w:p w14:paraId="10FE80D8"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   </w:t>
            </w:r>
          </w:p>
        </w:tc>
        <w:tc>
          <w:tcPr>
            <w:tcW w:w="556" w:type="pct"/>
            <w:shd w:val="clear" w:color="000000" w:fill="FFFFFF"/>
            <w:vAlign w:val="center"/>
            <w:hideMark/>
          </w:tcPr>
          <w:p w14:paraId="0EA192B2"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83 380 000,00 </w:t>
            </w:r>
          </w:p>
        </w:tc>
        <w:tc>
          <w:tcPr>
            <w:tcW w:w="617" w:type="pct"/>
            <w:shd w:val="clear" w:color="000000" w:fill="FFFFFF"/>
            <w:vAlign w:val="center"/>
            <w:hideMark/>
          </w:tcPr>
          <w:p w14:paraId="6785814A"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145 091 000,00 </w:t>
            </w:r>
          </w:p>
        </w:tc>
        <w:tc>
          <w:tcPr>
            <w:tcW w:w="802" w:type="pct"/>
            <w:shd w:val="clear" w:color="000000" w:fill="FFFFFF"/>
            <w:vAlign w:val="center"/>
            <w:hideMark/>
          </w:tcPr>
          <w:p w14:paraId="07BDF0CB"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Escenario 3, según informe 512-PLA-MI-2022, aprobado por el Consejo Superior en sesión 63-22 del 28 de julio del 2022, artículo XXXVI.</w:t>
            </w:r>
          </w:p>
        </w:tc>
      </w:tr>
      <w:tr w:rsidR="00B15F7D" w:rsidRPr="00990FB6" w14:paraId="3F8C5747" w14:textId="77777777" w:rsidTr="000A0C22">
        <w:trPr>
          <w:trHeight w:val="730"/>
        </w:trPr>
        <w:tc>
          <w:tcPr>
            <w:tcW w:w="618" w:type="pct"/>
            <w:shd w:val="clear" w:color="000000" w:fill="FFFFFF"/>
            <w:vAlign w:val="center"/>
            <w:hideMark/>
          </w:tcPr>
          <w:p w14:paraId="3D7D3CF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lastRenderedPageBreak/>
              <w:t>Tribunal Penal de Goicoechea</w:t>
            </w:r>
          </w:p>
        </w:tc>
        <w:tc>
          <w:tcPr>
            <w:tcW w:w="308" w:type="pct"/>
            <w:shd w:val="clear" w:color="000000" w:fill="FFFFFF"/>
            <w:vAlign w:val="center"/>
            <w:hideMark/>
          </w:tcPr>
          <w:p w14:paraId="0898671D"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0</w:t>
            </w:r>
          </w:p>
        </w:tc>
        <w:tc>
          <w:tcPr>
            <w:tcW w:w="309" w:type="pct"/>
            <w:shd w:val="clear" w:color="000000" w:fill="FFFFFF"/>
            <w:vAlign w:val="center"/>
            <w:hideMark/>
          </w:tcPr>
          <w:p w14:paraId="59B86A6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1</w:t>
            </w:r>
          </w:p>
        </w:tc>
        <w:tc>
          <w:tcPr>
            <w:tcW w:w="370" w:type="pct"/>
            <w:shd w:val="clear" w:color="000000" w:fill="FFFFFF"/>
            <w:vAlign w:val="center"/>
            <w:hideMark/>
          </w:tcPr>
          <w:p w14:paraId="12D7957E"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0</w:t>
            </w:r>
          </w:p>
        </w:tc>
        <w:tc>
          <w:tcPr>
            <w:tcW w:w="309" w:type="pct"/>
            <w:shd w:val="clear" w:color="000000" w:fill="FFFFFF"/>
            <w:vAlign w:val="center"/>
            <w:hideMark/>
          </w:tcPr>
          <w:p w14:paraId="738EB798"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1</w:t>
            </w:r>
          </w:p>
        </w:tc>
        <w:tc>
          <w:tcPr>
            <w:tcW w:w="555" w:type="pct"/>
            <w:shd w:val="clear" w:color="000000" w:fill="FFFFFF"/>
            <w:vAlign w:val="center"/>
            <w:hideMark/>
          </w:tcPr>
          <w:p w14:paraId="45264498"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   </w:t>
            </w:r>
          </w:p>
        </w:tc>
        <w:tc>
          <w:tcPr>
            <w:tcW w:w="556" w:type="pct"/>
            <w:shd w:val="clear" w:color="000000" w:fill="FFFFFF"/>
            <w:vAlign w:val="center"/>
            <w:hideMark/>
          </w:tcPr>
          <w:p w14:paraId="68225727"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53 778 000,00 </w:t>
            </w:r>
          </w:p>
        </w:tc>
        <w:tc>
          <w:tcPr>
            <w:tcW w:w="556" w:type="pct"/>
            <w:shd w:val="clear" w:color="000000" w:fill="FFFFFF"/>
            <w:vAlign w:val="center"/>
            <w:hideMark/>
          </w:tcPr>
          <w:p w14:paraId="08766E81"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   </w:t>
            </w:r>
          </w:p>
        </w:tc>
        <w:tc>
          <w:tcPr>
            <w:tcW w:w="617" w:type="pct"/>
            <w:shd w:val="clear" w:color="000000" w:fill="FFFFFF"/>
            <w:vAlign w:val="center"/>
            <w:hideMark/>
          </w:tcPr>
          <w:p w14:paraId="4279FD97"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53 778 000,00 </w:t>
            </w:r>
          </w:p>
        </w:tc>
        <w:tc>
          <w:tcPr>
            <w:tcW w:w="802" w:type="pct"/>
            <w:shd w:val="clear" w:color="000000" w:fill="FFFFFF"/>
            <w:vAlign w:val="center"/>
            <w:hideMark/>
          </w:tcPr>
          <w:p w14:paraId="5D026292"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Escenario ideal propuesto en el informe 830-PLA-MI(PL)-2022, aprobado por el Consejo Superior en sesión 96-22 del 8 de noviembre del 2022, artículo LIV.</w:t>
            </w:r>
          </w:p>
        </w:tc>
      </w:tr>
      <w:tr w:rsidR="00B15F7D" w:rsidRPr="00990FB6" w14:paraId="776FD7C7" w14:textId="77777777" w:rsidTr="000A0C22">
        <w:trPr>
          <w:trHeight w:val="730"/>
        </w:trPr>
        <w:tc>
          <w:tcPr>
            <w:tcW w:w="618" w:type="pct"/>
            <w:shd w:val="clear" w:color="000000" w:fill="FFFFFF"/>
            <w:vAlign w:val="center"/>
            <w:hideMark/>
          </w:tcPr>
          <w:p w14:paraId="05FD0947"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Tribunal Penal de Heredia</w:t>
            </w:r>
          </w:p>
        </w:tc>
        <w:tc>
          <w:tcPr>
            <w:tcW w:w="308" w:type="pct"/>
            <w:shd w:val="clear" w:color="000000" w:fill="FFFFFF"/>
            <w:vAlign w:val="center"/>
            <w:hideMark/>
          </w:tcPr>
          <w:p w14:paraId="57598B09"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2</w:t>
            </w:r>
          </w:p>
        </w:tc>
        <w:tc>
          <w:tcPr>
            <w:tcW w:w="309" w:type="pct"/>
            <w:shd w:val="clear" w:color="000000" w:fill="FFFFFF"/>
            <w:vAlign w:val="center"/>
            <w:hideMark/>
          </w:tcPr>
          <w:p w14:paraId="2137B27C"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0</w:t>
            </w:r>
          </w:p>
        </w:tc>
        <w:tc>
          <w:tcPr>
            <w:tcW w:w="370" w:type="pct"/>
            <w:shd w:val="clear" w:color="000000" w:fill="FFFFFF"/>
            <w:vAlign w:val="center"/>
            <w:hideMark/>
          </w:tcPr>
          <w:p w14:paraId="70C70D32"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5</w:t>
            </w:r>
          </w:p>
        </w:tc>
        <w:tc>
          <w:tcPr>
            <w:tcW w:w="309" w:type="pct"/>
            <w:shd w:val="clear" w:color="000000" w:fill="FFFFFF"/>
            <w:vAlign w:val="center"/>
            <w:hideMark/>
          </w:tcPr>
          <w:p w14:paraId="1F522250"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7</w:t>
            </w:r>
          </w:p>
        </w:tc>
        <w:tc>
          <w:tcPr>
            <w:tcW w:w="555" w:type="pct"/>
            <w:shd w:val="clear" w:color="000000" w:fill="FFFFFF"/>
            <w:vAlign w:val="center"/>
            <w:hideMark/>
          </w:tcPr>
          <w:p w14:paraId="2CFB2750"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123 422 000,00 </w:t>
            </w:r>
          </w:p>
        </w:tc>
        <w:tc>
          <w:tcPr>
            <w:tcW w:w="556" w:type="pct"/>
            <w:shd w:val="clear" w:color="000000" w:fill="FFFFFF"/>
            <w:vAlign w:val="center"/>
            <w:hideMark/>
          </w:tcPr>
          <w:p w14:paraId="3A1FF025"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                          -   </w:t>
            </w:r>
          </w:p>
        </w:tc>
        <w:tc>
          <w:tcPr>
            <w:tcW w:w="556" w:type="pct"/>
            <w:shd w:val="clear" w:color="000000" w:fill="FFFFFF"/>
            <w:vAlign w:val="center"/>
            <w:hideMark/>
          </w:tcPr>
          <w:p w14:paraId="764C8B3D" w14:textId="77777777" w:rsidR="00B15F7D" w:rsidRPr="00990FB6" w:rsidRDefault="00B15F7D" w:rsidP="00B15F7D">
            <w:pPr>
              <w:suppressAutoHyphens w:val="0"/>
              <w:jc w:val="both"/>
              <w:rPr>
                <w:color w:val="000000"/>
                <w:sz w:val="22"/>
                <w:szCs w:val="22"/>
                <w:lang w:val="es-CR" w:eastAsia="en-US"/>
              </w:rPr>
            </w:pPr>
            <w:r w:rsidRPr="00990FB6">
              <w:rPr>
                <w:color w:val="000000"/>
                <w:sz w:val="22"/>
                <w:szCs w:val="22"/>
                <w:lang w:val="es-CR" w:eastAsia="en-US"/>
              </w:rPr>
              <w:t xml:space="preserve"> </w:t>
            </w:r>
          </w:p>
          <w:p w14:paraId="71868E28"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n-US"/>
              </w:rPr>
              <w:t xml:space="preserve">₡ 83 380 000,00 </w:t>
            </w:r>
          </w:p>
        </w:tc>
        <w:tc>
          <w:tcPr>
            <w:tcW w:w="617" w:type="pct"/>
            <w:shd w:val="clear" w:color="000000" w:fill="FFFFFF"/>
            <w:vAlign w:val="center"/>
            <w:hideMark/>
          </w:tcPr>
          <w:p w14:paraId="52087D0E" w14:textId="77777777" w:rsidR="00B15F7D" w:rsidRPr="00990FB6" w:rsidRDefault="00B15F7D" w:rsidP="00B15F7D">
            <w:pPr>
              <w:suppressAutoHyphens w:val="0"/>
              <w:jc w:val="both"/>
              <w:rPr>
                <w:color w:val="000000"/>
                <w:sz w:val="22"/>
                <w:szCs w:val="22"/>
                <w:lang w:val="es-CR" w:eastAsia="en-US"/>
              </w:rPr>
            </w:pPr>
            <w:r w:rsidRPr="00990FB6">
              <w:rPr>
                <w:color w:val="000000"/>
                <w:sz w:val="22"/>
                <w:szCs w:val="22"/>
                <w:lang w:val="es-CR" w:eastAsia="en-US"/>
              </w:rPr>
              <w:t xml:space="preserve"> </w:t>
            </w:r>
          </w:p>
          <w:p w14:paraId="2AB26AEA" w14:textId="77777777" w:rsidR="00B15F7D" w:rsidRPr="00990FB6" w:rsidRDefault="00B15F7D" w:rsidP="00B15F7D">
            <w:pPr>
              <w:suppressAutoHyphens w:val="0"/>
              <w:jc w:val="both"/>
              <w:rPr>
                <w:color w:val="000000"/>
                <w:sz w:val="22"/>
                <w:szCs w:val="22"/>
                <w:lang w:val="es-CR" w:eastAsia="en-US"/>
              </w:rPr>
            </w:pPr>
            <w:r w:rsidRPr="00990FB6">
              <w:rPr>
                <w:color w:val="000000"/>
                <w:sz w:val="22"/>
                <w:szCs w:val="22"/>
                <w:lang w:val="es-CR" w:eastAsia="en-US"/>
              </w:rPr>
              <w:t xml:space="preserve">₡ 206 802 000,00 </w:t>
            </w:r>
          </w:p>
          <w:p w14:paraId="19BC4AE8" w14:textId="77777777" w:rsidR="00B15F7D" w:rsidRPr="00990FB6" w:rsidRDefault="00B15F7D" w:rsidP="00B15F7D">
            <w:pPr>
              <w:suppressAutoHyphens w:val="0"/>
              <w:jc w:val="both"/>
              <w:rPr>
                <w:color w:val="000000"/>
                <w:sz w:val="22"/>
                <w:szCs w:val="22"/>
                <w:lang w:val="es-CR" w:eastAsia="es-CR"/>
              </w:rPr>
            </w:pPr>
          </w:p>
        </w:tc>
        <w:tc>
          <w:tcPr>
            <w:tcW w:w="802" w:type="pct"/>
            <w:shd w:val="clear" w:color="000000" w:fill="FFFFFF"/>
            <w:vAlign w:val="center"/>
            <w:hideMark/>
          </w:tcPr>
          <w:p w14:paraId="67926D16"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Escenario ideal propuesto en el informe 252-PLA-MI(PL)-2020, aprobado por el Consejo Superior la sesión 20-2020, artículo LIV.</w:t>
            </w:r>
          </w:p>
        </w:tc>
      </w:tr>
      <w:tr w:rsidR="00B15F7D" w:rsidRPr="00990FB6" w14:paraId="16AA91A2" w14:textId="77777777" w:rsidTr="000A0C22">
        <w:trPr>
          <w:trHeight w:val="300"/>
        </w:trPr>
        <w:tc>
          <w:tcPr>
            <w:tcW w:w="618" w:type="pct"/>
            <w:shd w:val="clear" w:color="000000" w:fill="DEEAF6"/>
            <w:vAlign w:val="center"/>
            <w:hideMark/>
          </w:tcPr>
          <w:p w14:paraId="18B5F7FD"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s-CR"/>
              </w:rPr>
              <w:t>Totales</w:t>
            </w:r>
          </w:p>
        </w:tc>
        <w:tc>
          <w:tcPr>
            <w:tcW w:w="308" w:type="pct"/>
            <w:shd w:val="clear" w:color="000000" w:fill="DEEAF6"/>
            <w:vAlign w:val="center"/>
            <w:hideMark/>
          </w:tcPr>
          <w:p w14:paraId="17F760C8"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s-CR"/>
              </w:rPr>
              <w:t>15</w:t>
            </w:r>
          </w:p>
        </w:tc>
        <w:tc>
          <w:tcPr>
            <w:tcW w:w="309" w:type="pct"/>
            <w:shd w:val="clear" w:color="000000" w:fill="DEEAF6"/>
            <w:vAlign w:val="center"/>
            <w:hideMark/>
          </w:tcPr>
          <w:p w14:paraId="08489128"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s-CR"/>
              </w:rPr>
              <w:t>2</w:t>
            </w:r>
          </w:p>
        </w:tc>
        <w:tc>
          <w:tcPr>
            <w:tcW w:w="370" w:type="pct"/>
            <w:shd w:val="clear" w:color="000000" w:fill="DEEAF6"/>
            <w:vAlign w:val="center"/>
            <w:hideMark/>
          </w:tcPr>
          <w:p w14:paraId="62F55D5B"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s-CR"/>
              </w:rPr>
              <w:t>22</w:t>
            </w:r>
          </w:p>
        </w:tc>
        <w:tc>
          <w:tcPr>
            <w:tcW w:w="309" w:type="pct"/>
            <w:shd w:val="clear" w:color="000000" w:fill="DEEAF6"/>
            <w:vAlign w:val="center"/>
            <w:hideMark/>
          </w:tcPr>
          <w:p w14:paraId="7A0B643E"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n-US"/>
              </w:rPr>
              <w:t>39</w:t>
            </w:r>
          </w:p>
        </w:tc>
        <w:tc>
          <w:tcPr>
            <w:tcW w:w="555" w:type="pct"/>
            <w:shd w:val="clear" w:color="000000" w:fill="DEEAF6"/>
            <w:vAlign w:val="center"/>
            <w:hideMark/>
          </w:tcPr>
          <w:p w14:paraId="221185DA"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n-US"/>
              </w:rPr>
              <w:t xml:space="preserve"> ₡ 925 665 000,00 </w:t>
            </w:r>
          </w:p>
        </w:tc>
        <w:tc>
          <w:tcPr>
            <w:tcW w:w="556" w:type="pct"/>
            <w:shd w:val="clear" w:color="000000" w:fill="DEEAF6"/>
            <w:vAlign w:val="center"/>
            <w:hideMark/>
          </w:tcPr>
          <w:p w14:paraId="1548C242"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n-US"/>
              </w:rPr>
              <w:t xml:space="preserve"> ₡ 107 556 000,00 </w:t>
            </w:r>
          </w:p>
        </w:tc>
        <w:tc>
          <w:tcPr>
            <w:tcW w:w="556" w:type="pct"/>
            <w:shd w:val="clear" w:color="000000" w:fill="DEEAF6"/>
            <w:vAlign w:val="center"/>
            <w:hideMark/>
          </w:tcPr>
          <w:p w14:paraId="23510B16"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n-US"/>
              </w:rPr>
              <w:t xml:space="preserve"> ₡ 366 872 000,00                                                                                      </w:t>
            </w:r>
          </w:p>
        </w:tc>
        <w:tc>
          <w:tcPr>
            <w:tcW w:w="617" w:type="pct"/>
            <w:shd w:val="clear" w:color="000000" w:fill="DEEAF6"/>
            <w:vAlign w:val="center"/>
            <w:hideMark/>
          </w:tcPr>
          <w:p w14:paraId="77230BCD"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n-US"/>
              </w:rPr>
              <w:t xml:space="preserve"> ₡ 1 400 093 000,00 </w:t>
            </w:r>
          </w:p>
        </w:tc>
        <w:tc>
          <w:tcPr>
            <w:tcW w:w="802" w:type="pct"/>
            <w:shd w:val="clear" w:color="000000" w:fill="DEEAF6"/>
            <w:vAlign w:val="center"/>
            <w:hideMark/>
          </w:tcPr>
          <w:p w14:paraId="1688BC40" w14:textId="77777777" w:rsidR="00B15F7D" w:rsidRPr="00990FB6" w:rsidRDefault="00B15F7D" w:rsidP="00B15F7D">
            <w:pPr>
              <w:suppressAutoHyphens w:val="0"/>
              <w:jc w:val="both"/>
              <w:rPr>
                <w:b/>
                <w:bCs/>
                <w:color w:val="3A3838"/>
                <w:sz w:val="22"/>
                <w:szCs w:val="22"/>
                <w:lang w:val="es-CR" w:eastAsia="es-CR"/>
              </w:rPr>
            </w:pPr>
            <w:r w:rsidRPr="00990FB6">
              <w:rPr>
                <w:b/>
                <w:bCs/>
                <w:color w:val="3A3838"/>
                <w:sz w:val="22"/>
                <w:szCs w:val="22"/>
                <w:lang w:val="es-CR" w:eastAsia="es-CR"/>
              </w:rPr>
              <w:t> </w:t>
            </w:r>
          </w:p>
        </w:tc>
      </w:tr>
    </w:tbl>
    <w:p w14:paraId="28A1B80A" w14:textId="77777777" w:rsidR="00B15F7D" w:rsidRPr="00990FB6" w:rsidRDefault="00B15F7D" w:rsidP="00B15F7D">
      <w:pPr>
        <w:suppressAutoHyphens w:val="0"/>
        <w:ind w:left="851" w:right="851" w:firstLine="709"/>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5F1E1659" w14:textId="77777777" w:rsidR="00B15F7D" w:rsidRPr="00990FB6" w:rsidRDefault="00B15F7D" w:rsidP="00B15F7D">
      <w:pPr>
        <w:suppressAutoHyphens w:val="0"/>
        <w:ind w:left="851" w:right="851" w:firstLine="709"/>
        <w:jc w:val="both"/>
        <w:rPr>
          <w:rFonts w:eastAsia="Calibri"/>
          <w:color w:val="000000"/>
          <w:sz w:val="22"/>
          <w:szCs w:val="22"/>
          <w:u w:color="000000"/>
          <w:lang w:eastAsia="en-US"/>
        </w:rPr>
      </w:pPr>
    </w:p>
    <w:p w14:paraId="204C2F72" w14:textId="77777777" w:rsidR="00B15F7D" w:rsidRPr="00990FB6" w:rsidRDefault="00B15F7D" w:rsidP="00B15F7D">
      <w:pPr>
        <w:suppressAutoHyphens w:val="0"/>
        <w:ind w:left="851" w:right="851" w:firstLine="709"/>
        <w:jc w:val="both"/>
        <w:rPr>
          <w:rFonts w:eastAsia="Calibri"/>
          <w:color w:val="000000"/>
          <w:sz w:val="22"/>
          <w:szCs w:val="22"/>
          <w:u w:color="000000"/>
          <w:lang w:eastAsia="en-US"/>
        </w:rPr>
      </w:pPr>
      <w:r w:rsidRPr="00990FB6">
        <w:rPr>
          <w:rFonts w:eastAsia="Calibri"/>
          <w:color w:val="000000"/>
          <w:sz w:val="22"/>
          <w:szCs w:val="22"/>
          <w:u w:color="000000"/>
          <w:lang w:eastAsia="en-US"/>
        </w:rPr>
        <w:t>En el cuadro anterior, se detallan los informes técnicos realizados por el personal profesional de la Dirección de Planificación, revisados y aprobados por el Consejo Superior, donde se identifica la necesidad de requerimiento humano y como se puede observar, se tiene la necesidad de incrementar tanto en puestos profesionales como de apoyo técnico judicial, con el fin de cumplir con la estructura ideal requerida para su correcto funcionamiento y se considera indispensable ese apoyo de forma permanente, el cual tendría un costo anual de ₡1 400 093 000,00. Ahora bien, existen tribunales penales que cuentan con permisos con goce de salario, para cubrir el requerimiento; a saber:</w:t>
      </w:r>
    </w:p>
    <w:p w14:paraId="25C4FD76" w14:textId="77777777" w:rsidR="00B15F7D" w:rsidRPr="00990FB6" w:rsidRDefault="00B15F7D" w:rsidP="00B15F7D">
      <w:pPr>
        <w:suppressAutoHyphens w:val="0"/>
        <w:ind w:left="851" w:right="851" w:firstLine="709"/>
        <w:jc w:val="both"/>
        <w:rPr>
          <w:rFonts w:eastAsia="Calibri"/>
          <w:color w:val="000000"/>
          <w:sz w:val="22"/>
          <w:szCs w:val="22"/>
          <w:u w:color="000000"/>
          <w:lang w:eastAsia="en-US"/>
        </w:rPr>
      </w:pPr>
    </w:p>
    <w:p w14:paraId="113C5191" w14:textId="77777777" w:rsidR="00B15F7D" w:rsidRPr="00990FB6" w:rsidRDefault="00B15F7D" w:rsidP="00B15F7D">
      <w:pPr>
        <w:numPr>
          <w:ilvl w:val="0"/>
          <w:numId w:val="136"/>
        </w:numPr>
        <w:suppressAutoHyphens w:val="0"/>
        <w:ind w:left="851" w:right="851"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Tribunal Penal de Limón, desde el año 2021, cuenta con una licencia con goce de salario de juez o jueza 1, por lo que el impacto para el presupuesto del requerimiento total para el año 2024 sería ₡251 837 000,00.</w:t>
      </w:r>
    </w:p>
    <w:p w14:paraId="5211D5E8" w14:textId="77777777" w:rsidR="00B15F7D" w:rsidRPr="00990FB6" w:rsidRDefault="00B15F7D" w:rsidP="00B15F7D">
      <w:pPr>
        <w:numPr>
          <w:ilvl w:val="0"/>
          <w:numId w:val="136"/>
        </w:numPr>
        <w:suppressAutoHyphens w:val="0"/>
        <w:ind w:left="851" w:right="851"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Tribunal Penal de Liberia, desde el 2022, cuenta con una licencia con goce de salario de juez o jueza 4, por lo que el impacto del requerimiento humano total para el año 2024 sería ₡190 126 000,00.</w:t>
      </w:r>
    </w:p>
    <w:p w14:paraId="114801E5" w14:textId="3E32A086" w:rsidR="00B15F7D" w:rsidRPr="0045290B" w:rsidRDefault="00B15F7D" w:rsidP="00B15F7D">
      <w:pPr>
        <w:numPr>
          <w:ilvl w:val="0"/>
          <w:numId w:val="136"/>
        </w:numPr>
        <w:suppressAutoHyphens w:val="0"/>
        <w:ind w:left="851" w:right="851" w:firstLine="709"/>
        <w:jc w:val="both"/>
        <w:rPr>
          <w:rFonts w:eastAsia="Calibri"/>
          <w:color w:val="000000"/>
          <w:sz w:val="22"/>
          <w:szCs w:val="22"/>
          <w:u w:color="000000"/>
          <w:lang w:val="es-CR" w:eastAsia="en-US"/>
        </w:rPr>
      </w:pPr>
      <w:r w:rsidRPr="00990FB6">
        <w:rPr>
          <w:rFonts w:eastAsia="Calibri"/>
          <w:color w:val="000000"/>
          <w:sz w:val="22"/>
          <w:szCs w:val="22"/>
          <w:u w:color="000000"/>
          <w:lang w:val="es-CR" w:eastAsia="en-US"/>
        </w:rPr>
        <w:t xml:space="preserve">Tribunal Penal de Goicoechea, a partir del 2023, cuenta con una licencia con goce de salario de juez o jueza 1, </w:t>
      </w:r>
      <w:r w:rsidRPr="00990FB6">
        <w:rPr>
          <w:rFonts w:eastAsia="Calibri"/>
          <w:sz w:val="22"/>
          <w:szCs w:val="22"/>
          <w:lang w:val="es-CR" w:eastAsia="en-US"/>
        </w:rPr>
        <w:t xml:space="preserve">por lo que el incremento en el costo debería ser mínimo a la hora de realizarse el cambio de forma temporal a permanente, en comparación de crear plazas completamente nuevas. </w:t>
      </w:r>
    </w:p>
    <w:p w14:paraId="37450D78" w14:textId="77777777" w:rsidR="0045290B" w:rsidRPr="00990FB6" w:rsidRDefault="0045290B" w:rsidP="0045290B">
      <w:pPr>
        <w:suppressAutoHyphens w:val="0"/>
        <w:ind w:left="1560" w:right="851"/>
        <w:jc w:val="both"/>
        <w:rPr>
          <w:rFonts w:eastAsia="Calibri"/>
          <w:color w:val="000000"/>
          <w:sz w:val="22"/>
          <w:szCs w:val="22"/>
          <w:u w:color="000000"/>
          <w:lang w:val="es-CR" w:eastAsia="en-US"/>
        </w:rPr>
      </w:pPr>
    </w:p>
    <w:p w14:paraId="127D7527" w14:textId="77777777" w:rsidR="00B15F7D" w:rsidRPr="00990FB6" w:rsidRDefault="00B15F7D" w:rsidP="00B15F7D">
      <w:pPr>
        <w:numPr>
          <w:ilvl w:val="1"/>
          <w:numId w:val="128"/>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 xml:space="preserve">Tribunales Penales abordados como parte del Modelo Penal, con informe definitivo pendiente de aprobar por el Consejo Superior </w:t>
      </w:r>
    </w:p>
    <w:p w14:paraId="72040D2A" w14:textId="77777777" w:rsidR="00B15F7D" w:rsidRPr="00990FB6" w:rsidRDefault="00B15F7D" w:rsidP="00B15F7D">
      <w:pPr>
        <w:suppressAutoHyphens w:val="0"/>
        <w:ind w:left="851" w:right="851" w:firstLine="709"/>
        <w:contextualSpacing/>
        <w:jc w:val="both"/>
        <w:rPr>
          <w:rFonts w:eastAsia="Calibri"/>
          <w:b/>
          <w:bCs/>
          <w:sz w:val="22"/>
          <w:szCs w:val="22"/>
          <w:lang w:val="es-CR" w:eastAsia="en-US"/>
        </w:rPr>
      </w:pPr>
    </w:p>
    <w:p w14:paraId="207A06B6"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lastRenderedPageBreak/>
        <w:t>Continuando con los Tribunales Penales rediseñados como parte del proyecto del Modelo Penal, seguidamente se muestran los despachos en los cuales se determinó una necesidad de recurso adicional, pero que se encuentra pendiente de remitir al Consejo Superior el informe respectivo:</w:t>
      </w:r>
    </w:p>
    <w:p w14:paraId="046030BD" w14:textId="77777777" w:rsidR="00B15F7D" w:rsidRPr="00990FB6" w:rsidRDefault="00B15F7D" w:rsidP="00B15F7D">
      <w:pPr>
        <w:suppressAutoHyphens w:val="0"/>
        <w:ind w:left="851" w:right="851" w:firstLine="709"/>
        <w:jc w:val="both"/>
        <w:rPr>
          <w:rFonts w:eastAsia="Calibri"/>
          <w:sz w:val="22"/>
          <w:szCs w:val="22"/>
          <w:lang w:val="es-CR" w:eastAsia="en-US"/>
        </w:rPr>
      </w:pPr>
    </w:p>
    <w:p w14:paraId="793A741C"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10</w:t>
      </w:r>
      <w:r w:rsidRPr="00990FB6">
        <w:rPr>
          <w:b/>
          <w:bCs/>
          <w:color w:val="00000A"/>
          <w:sz w:val="22"/>
          <w:szCs w:val="22"/>
          <w:lang w:eastAsia="es-ES"/>
        </w:rPr>
        <w:fldChar w:fldCharType="end"/>
      </w:r>
    </w:p>
    <w:p w14:paraId="528551E1"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Costo anual de requerimiento humano adicional para los Tribunales Penales que cuentan con un informe técnico de la Dirección de Planificación pendiente de aprobación por parte del Consejo Superior</w:t>
      </w:r>
    </w:p>
    <w:p w14:paraId="5FA2FA61" w14:textId="77777777" w:rsidR="00B15F7D" w:rsidRPr="00990FB6" w:rsidRDefault="00B15F7D" w:rsidP="00B15F7D">
      <w:pPr>
        <w:suppressAutoHyphens w:val="0"/>
        <w:contextualSpacing/>
        <w:jc w:val="both"/>
        <w:rPr>
          <w:rFonts w:eastAsia="Calibri"/>
          <w:b/>
          <w:bCs/>
          <w:sz w:val="22"/>
          <w:szCs w:val="22"/>
          <w:lang w:val="es-CR" w:eastAsia="en-US"/>
        </w:rPr>
      </w:pPr>
    </w:p>
    <w:tbl>
      <w:tblPr>
        <w:tblW w:w="0" w:type="auto"/>
        <w:tblCellMar>
          <w:left w:w="70" w:type="dxa"/>
          <w:right w:w="70" w:type="dxa"/>
        </w:tblCellMar>
        <w:tblLook w:val="04A0" w:firstRow="1" w:lastRow="0" w:firstColumn="1" w:lastColumn="0" w:noHBand="0" w:noVBand="1"/>
      </w:tblPr>
      <w:tblGrid>
        <w:gridCol w:w="1368"/>
        <w:gridCol w:w="2084"/>
        <w:gridCol w:w="745"/>
        <w:gridCol w:w="1561"/>
        <w:gridCol w:w="3055"/>
      </w:tblGrid>
      <w:tr w:rsidR="00B15F7D" w:rsidRPr="00990FB6" w14:paraId="522494DD" w14:textId="77777777" w:rsidTr="000A0C22">
        <w:trPr>
          <w:trHeight w:val="360"/>
        </w:trPr>
        <w:tc>
          <w:tcPr>
            <w:tcW w:w="1408"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0A6C4CA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400" w:type="dxa"/>
            <w:tcBorders>
              <w:top w:val="single" w:sz="12" w:space="0" w:color="E7E6E6"/>
              <w:left w:val="nil"/>
              <w:bottom w:val="single" w:sz="12" w:space="0" w:color="E7E6E6"/>
              <w:right w:val="single" w:sz="12" w:space="0" w:color="E7E6E6"/>
            </w:tcBorders>
            <w:shd w:val="clear" w:color="000000" w:fill="5B9BD5"/>
            <w:noWrap/>
            <w:vAlign w:val="center"/>
            <w:hideMark/>
          </w:tcPr>
          <w:p w14:paraId="77C6893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0" w:type="auto"/>
            <w:gridSpan w:val="3"/>
            <w:tcBorders>
              <w:top w:val="single" w:sz="12" w:space="0" w:color="E7E6E6"/>
              <w:left w:val="single" w:sz="12" w:space="0" w:color="E7E6E6"/>
              <w:bottom w:val="single" w:sz="12" w:space="0" w:color="E7E6E6"/>
              <w:right w:val="single" w:sz="12" w:space="0" w:color="E7E6E6"/>
            </w:tcBorders>
            <w:shd w:val="clear" w:color="000000" w:fill="5B9BD5"/>
            <w:noWrap/>
            <w:vAlign w:val="center"/>
            <w:hideMark/>
          </w:tcPr>
          <w:p w14:paraId="168A492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2EC8B932" w14:textId="77777777" w:rsidTr="000A0C22">
        <w:trPr>
          <w:trHeight w:val="490"/>
        </w:trPr>
        <w:tc>
          <w:tcPr>
            <w:tcW w:w="1408" w:type="dxa"/>
            <w:vMerge/>
            <w:tcBorders>
              <w:top w:val="single" w:sz="8" w:space="0" w:color="E7E6E6"/>
              <w:left w:val="single" w:sz="8" w:space="0" w:color="E7E6E6"/>
              <w:bottom w:val="single" w:sz="8" w:space="0" w:color="E7E6E6"/>
              <w:right w:val="single" w:sz="8" w:space="0" w:color="E7E6E6"/>
            </w:tcBorders>
            <w:vAlign w:val="center"/>
            <w:hideMark/>
          </w:tcPr>
          <w:p w14:paraId="606FB142" w14:textId="77777777" w:rsidR="00B15F7D" w:rsidRPr="00990FB6" w:rsidRDefault="00B15F7D" w:rsidP="00B15F7D">
            <w:pPr>
              <w:suppressAutoHyphens w:val="0"/>
              <w:rPr>
                <w:b/>
                <w:bCs/>
                <w:color w:val="FFFFFF"/>
                <w:sz w:val="22"/>
                <w:szCs w:val="22"/>
                <w:lang w:val="es-CR" w:eastAsia="es-CR"/>
              </w:rPr>
            </w:pPr>
          </w:p>
        </w:tc>
        <w:tc>
          <w:tcPr>
            <w:tcW w:w="1400" w:type="dxa"/>
            <w:tcBorders>
              <w:top w:val="single" w:sz="12" w:space="0" w:color="E7E6E6"/>
              <w:left w:val="nil"/>
              <w:bottom w:val="single" w:sz="8" w:space="0" w:color="D4D4D4"/>
              <w:right w:val="single" w:sz="8" w:space="0" w:color="D4D4D4"/>
            </w:tcBorders>
            <w:shd w:val="clear" w:color="000000" w:fill="305496"/>
            <w:vAlign w:val="center"/>
            <w:hideMark/>
          </w:tcPr>
          <w:p w14:paraId="37F01C0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0" w:type="auto"/>
            <w:tcBorders>
              <w:top w:val="single" w:sz="12" w:space="0" w:color="E7E6E6"/>
              <w:left w:val="nil"/>
              <w:bottom w:val="nil"/>
              <w:right w:val="single" w:sz="8" w:space="0" w:color="D4D4D4"/>
            </w:tcBorders>
            <w:shd w:val="clear" w:color="000000" w:fill="305496"/>
            <w:vAlign w:val="center"/>
            <w:hideMark/>
          </w:tcPr>
          <w:p w14:paraId="1170E7D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plaza</w:t>
            </w:r>
          </w:p>
        </w:tc>
        <w:tc>
          <w:tcPr>
            <w:tcW w:w="1663" w:type="dxa"/>
            <w:tcBorders>
              <w:top w:val="single" w:sz="12" w:space="0" w:color="E7E6E6"/>
              <w:left w:val="nil"/>
              <w:bottom w:val="nil"/>
              <w:right w:val="single" w:sz="8" w:space="0" w:color="D4D4D4"/>
            </w:tcBorders>
            <w:shd w:val="clear" w:color="000000" w:fill="305496"/>
            <w:vAlign w:val="center"/>
            <w:hideMark/>
          </w:tcPr>
          <w:p w14:paraId="337B7AD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c>
          <w:tcPr>
            <w:tcW w:w="3249" w:type="dxa"/>
            <w:tcBorders>
              <w:top w:val="single" w:sz="12" w:space="0" w:color="E7E6E6"/>
              <w:left w:val="nil"/>
              <w:bottom w:val="nil"/>
              <w:right w:val="single" w:sz="8" w:space="0" w:color="D4D4D4"/>
            </w:tcBorders>
            <w:shd w:val="clear" w:color="000000" w:fill="305496"/>
            <w:vAlign w:val="center"/>
            <w:hideMark/>
          </w:tcPr>
          <w:p w14:paraId="2323C85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Observaciones</w:t>
            </w:r>
          </w:p>
        </w:tc>
      </w:tr>
      <w:tr w:rsidR="00B15F7D" w:rsidRPr="00990FB6" w14:paraId="339614F9" w14:textId="77777777" w:rsidTr="000A0C22">
        <w:trPr>
          <w:trHeight w:val="295"/>
        </w:trPr>
        <w:tc>
          <w:tcPr>
            <w:tcW w:w="1408" w:type="dxa"/>
            <w:tcBorders>
              <w:top w:val="nil"/>
              <w:left w:val="single" w:sz="8" w:space="0" w:color="E7E6E6"/>
              <w:bottom w:val="single" w:sz="8" w:space="0" w:color="D4D4D4"/>
              <w:right w:val="single" w:sz="8" w:space="0" w:color="D4D4D4"/>
            </w:tcBorders>
            <w:shd w:val="clear" w:color="auto" w:fill="auto"/>
            <w:vAlign w:val="center"/>
            <w:hideMark/>
          </w:tcPr>
          <w:p w14:paraId="657590F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Tribunal de Nicoya </w:t>
            </w:r>
          </w:p>
        </w:tc>
        <w:tc>
          <w:tcPr>
            <w:tcW w:w="1400" w:type="dxa"/>
            <w:tcBorders>
              <w:top w:val="nil"/>
              <w:left w:val="nil"/>
              <w:bottom w:val="single" w:sz="8" w:space="0" w:color="D4D4D4"/>
              <w:right w:val="single" w:sz="8" w:space="0" w:color="D4D4D4"/>
            </w:tcBorders>
            <w:shd w:val="clear" w:color="auto" w:fill="auto"/>
            <w:vAlign w:val="center"/>
            <w:hideMark/>
          </w:tcPr>
          <w:p w14:paraId="6A478A2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tcBorders>
              <w:top w:val="nil"/>
              <w:left w:val="nil"/>
              <w:bottom w:val="single" w:sz="8" w:space="0" w:color="D4D4D4"/>
              <w:right w:val="single" w:sz="8" w:space="0" w:color="D4D4D4"/>
            </w:tcBorders>
            <w:shd w:val="clear" w:color="auto" w:fill="auto"/>
            <w:vAlign w:val="center"/>
            <w:hideMark/>
          </w:tcPr>
          <w:p w14:paraId="558CEB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c>
          <w:tcPr>
            <w:tcW w:w="1663" w:type="dxa"/>
            <w:tcBorders>
              <w:top w:val="nil"/>
              <w:left w:val="nil"/>
              <w:bottom w:val="single" w:sz="8" w:space="0" w:color="D4D4D4"/>
              <w:right w:val="single" w:sz="8" w:space="0" w:color="D4D4D4"/>
            </w:tcBorders>
            <w:shd w:val="clear" w:color="auto" w:fill="auto"/>
            <w:vAlign w:val="center"/>
            <w:hideMark/>
          </w:tcPr>
          <w:p w14:paraId="1A415F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3249" w:type="dxa"/>
            <w:tcBorders>
              <w:top w:val="nil"/>
              <w:left w:val="nil"/>
              <w:bottom w:val="single" w:sz="8" w:space="0" w:color="D4D4D4"/>
              <w:right w:val="single" w:sz="8" w:space="0" w:color="D4D4D4"/>
            </w:tcBorders>
            <w:shd w:val="clear" w:color="auto" w:fill="auto"/>
            <w:vAlign w:val="center"/>
            <w:hideMark/>
          </w:tcPr>
          <w:p w14:paraId="58F46A12"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 xml:space="preserve">Escenario estructura actual, informe definitivo de abordaje 803-PLA-MI-2022. </w:t>
            </w:r>
          </w:p>
        </w:tc>
      </w:tr>
    </w:tbl>
    <w:p w14:paraId="1FAF6588" w14:textId="6FA03772" w:rsidR="00B15F7D" w:rsidRPr="00990FB6" w:rsidRDefault="00B15F7D" w:rsidP="00B15F7D">
      <w:pPr>
        <w:suppressAutoHyphens w:val="0"/>
        <w:ind w:left="708" w:right="566" w:firstLine="708"/>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707BF68A" w14:textId="77777777" w:rsidR="00B305D7" w:rsidRPr="00990FB6" w:rsidRDefault="00B305D7" w:rsidP="00B15F7D">
      <w:pPr>
        <w:suppressAutoHyphens w:val="0"/>
        <w:ind w:left="708" w:right="566" w:firstLine="708"/>
        <w:jc w:val="both"/>
        <w:rPr>
          <w:rFonts w:eastAsia="Calibri"/>
          <w:color w:val="000000"/>
          <w:sz w:val="22"/>
          <w:szCs w:val="22"/>
          <w:lang w:val="es-CR" w:eastAsia="en-US"/>
        </w:rPr>
      </w:pPr>
    </w:p>
    <w:p w14:paraId="26D6DA6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 determina que, para el caso de los despachos penales abordados como parte del proyecto Penal, pero que el informe definitivo se encuentra pendiente de aprobación, existe necesidad de crear dos plazas de técnica o técnico judicial para el Tribunal Penal de Nicoya el costo total de recurso humano sería de ₡ 33 352 000,00; es importante mencionar que, este despacho cuenta desde el segundo semestre del 2022 con un permiso con goce de salario de Técnica o Técnico Judicial, por lo que el impacto en el presupuesto para el año 2024 sería de   ₡16 676 000,00.</w:t>
      </w:r>
    </w:p>
    <w:p w14:paraId="1B85DD57"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9891B5C" w14:textId="77777777" w:rsidR="00B15F7D" w:rsidRPr="00990FB6" w:rsidRDefault="00B15F7D" w:rsidP="00B15F7D">
      <w:pPr>
        <w:numPr>
          <w:ilvl w:val="1"/>
          <w:numId w:val="128"/>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Tribunales Penales pendientes de ser abordados, con necesidad de recurso adicional</w:t>
      </w:r>
    </w:p>
    <w:p w14:paraId="1BEB8093" w14:textId="77777777" w:rsidR="00B15F7D" w:rsidRPr="00990FB6" w:rsidRDefault="00B15F7D" w:rsidP="00B15F7D">
      <w:pPr>
        <w:suppressAutoHyphens w:val="0"/>
        <w:ind w:left="851" w:right="851" w:firstLine="709"/>
        <w:contextualSpacing/>
        <w:jc w:val="both"/>
        <w:rPr>
          <w:rFonts w:eastAsia="Calibri"/>
          <w:color w:val="000000"/>
          <w:sz w:val="22"/>
          <w:szCs w:val="22"/>
          <w:u w:color="000000"/>
          <w:lang w:eastAsia="en-US"/>
        </w:rPr>
      </w:pPr>
    </w:p>
    <w:p w14:paraId="34B04D76"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Seguidamente se muestra el requerimiento de recurso humano en el Tribunal Penal de Alajuela, que aún no ha sido abordado, pero que conforme las estadísticas corresponden al despacho con el mayor ingreso de asuntos nuevos durante el período del 2017 al 2022:</w:t>
      </w:r>
    </w:p>
    <w:p w14:paraId="6A987B56" w14:textId="77777777" w:rsidR="00B15F7D" w:rsidRPr="00990FB6" w:rsidRDefault="00B15F7D" w:rsidP="00B15F7D">
      <w:pPr>
        <w:suppressAutoHyphens w:val="0"/>
        <w:ind w:left="851" w:right="851" w:firstLine="709"/>
        <w:jc w:val="both"/>
        <w:rPr>
          <w:rFonts w:eastAsia="Calibri"/>
          <w:sz w:val="22"/>
          <w:szCs w:val="22"/>
          <w:lang w:val="es-CR" w:eastAsia="en-US"/>
        </w:rPr>
      </w:pPr>
    </w:p>
    <w:p w14:paraId="76C0796A" w14:textId="77777777" w:rsidR="00B15F7D" w:rsidRPr="00990FB6" w:rsidRDefault="00B15F7D" w:rsidP="00B15F7D">
      <w:pPr>
        <w:numPr>
          <w:ilvl w:val="0"/>
          <w:numId w:val="138"/>
        </w:numPr>
        <w:suppressAutoHyphens w:val="0"/>
        <w:ind w:left="851" w:right="851" w:firstLine="709"/>
        <w:jc w:val="center"/>
        <w:rPr>
          <w:rFonts w:eastAsia="Calibri"/>
          <w:sz w:val="22"/>
          <w:szCs w:val="22"/>
          <w:lang w:val="es-CR" w:eastAsia="en-US"/>
        </w:rPr>
      </w:pPr>
    </w:p>
    <w:p w14:paraId="50FEDC48" w14:textId="77777777" w:rsidR="00B15F7D" w:rsidRPr="00990FB6" w:rsidRDefault="00B15F7D" w:rsidP="00B15F7D">
      <w:pPr>
        <w:suppressAutoHyphens w:val="0"/>
        <w:ind w:left="851" w:right="851" w:firstLine="709"/>
        <w:jc w:val="center"/>
        <w:rPr>
          <w:rFonts w:eastAsia="Calibri"/>
          <w:b/>
          <w:bCs/>
          <w:sz w:val="22"/>
          <w:szCs w:val="22"/>
          <w:lang w:val="es-CR" w:eastAsia="en-US"/>
        </w:rPr>
      </w:pPr>
      <w:r w:rsidRPr="00990FB6">
        <w:rPr>
          <w:rFonts w:eastAsia="Calibri"/>
          <w:b/>
          <w:bCs/>
          <w:sz w:val="22"/>
          <w:szCs w:val="22"/>
          <w:lang w:val="es-CR" w:eastAsia="en-US"/>
        </w:rPr>
        <w:t>Promedio mensual de asuntos ingresados más expedientes reentrados en los Tribunales Penales durante el período del 2017-2022</w:t>
      </w:r>
    </w:p>
    <w:p w14:paraId="5C558AE6" w14:textId="77777777" w:rsidR="00B15F7D" w:rsidRPr="00990FB6" w:rsidRDefault="00B15F7D" w:rsidP="00B15F7D">
      <w:pPr>
        <w:suppressAutoHyphens w:val="0"/>
        <w:ind w:left="851" w:right="851" w:firstLine="709"/>
        <w:jc w:val="both"/>
        <w:rPr>
          <w:rFonts w:eastAsia="Calibri"/>
          <w:b/>
          <w:bCs/>
          <w:sz w:val="22"/>
          <w:szCs w:val="22"/>
          <w:lang w:val="es-CR" w:eastAsia="en-US"/>
        </w:rPr>
      </w:pPr>
    </w:p>
    <w:p w14:paraId="58BE841A"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noProof/>
          <w:sz w:val="22"/>
          <w:szCs w:val="22"/>
          <w:lang w:val="es-CR" w:eastAsia="en-US"/>
        </w:rPr>
        <w:lastRenderedPageBreak/>
        <w:drawing>
          <wp:inline distT="0" distB="0" distL="0" distR="0" wp14:anchorId="67C9862B" wp14:editId="392D0A3F">
            <wp:extent cx="4310070" cy="2346955"/>
            <wp:effectExtent l="0" t="0" r="0" b="0"/>
            <wp:docPr id="201973800" name="Imagen 20197380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Gráfico&#10;&#10;Descripción generada automá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44742" cy="2365835"/>
                    </a:xfrm>
                    <a:prstGeom prst="rect">
                      <a:avLst/>
                    </a:prstGeom>
                    <a:noFill/>
                  </pic:spPr>
                </pic:pic>
              </a:graphicData>
            </a:graphic>
          </wp:inline>
        </w:drawing>
      </w:r>
    </w:p>
    <w:p w14:paraId="1FDEBE87"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b/>
          <w:bCs/>
          <w:sz w:val="22"/>
          <w:szCs w:val="22"/>
          <w:lang w:val="es-CR" w:eastAsia="en-US"/>
        </w:rPr>
        <w:t>Fuente:</w:t>
      </w:r>
      <w:r w:rsidRPr="00990FB6">
        <w:rPr>
          <w:rFonts w:eastAsia="Calibri"/>
          <w:sz w:val="22"/>
          <w:szCs w:val="22"/>
          <w:lang w:val="es-CR" w:eastAsia="en-US"/>
        </w:rPr>
        <w:t xml:space="preserve"> elaboración propia a partir de las estadísticas el Subproceso de Estadística de la Dirección de Planificación.</w:t>
      </w:r>
    </w:p>
    <w:p w14:paraId="3F3FF5CB" w14:textId="77777777" w:rsidR="00B15F7D" w:rsidRPr="00990FB6" w:rsidRDefault="00B15F7D" w:rsidP="00B15F7D">
      <w:pPr>
        <w:suppressAutoHyphens w:val="0"/>
        <w:ind w:left="851" w:right="851" w:firstLine="709"/>
        <w:jc w:val="both"/>
        <w:rPr>
          <w:rFonts w:eastAsia="Calibri"/>
          <w:sz w:val="22"/>
          <w:szCs w:val="22"/>
          <w:lang w:val="es-CR" w:eastAsia="en-US"/>
        </w:rPr>
      </w:pPr>
    </w:p>
    <w:p w14:paraId="13C541CB"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Tal y como se muestra en la gráfica anterior, se determina que durante el período del 2017 al 2022, el Tribunal Penal de Alajuela corresponde al despacho con mayor entrada mensual de asuntos nuevos y a continuación se muestra una estimación de la cantidad de secciones que requiere el despacho para la atención de su carga de trabajo:</w:t>
      </w:r>
    </w:p>
    <w:p w14:paraId="1179C272" w14:textId="77777777" w:rsidR="00B15F7D" w:rsidRPr="00990FB6" w:rsidRDefault="00B15F7D" w:rsidP="00B15F7D">
      <w:pPr>
        <w:suppressAutoHyphens w:val="0"/>
        <w:ind w:left="851" w:right="851" w:firstLine="709"/>
        <w:jc w:val="both"/>
        <w:rPr>
          <w:rFonts w:eastAsia="Calibri"/>
          <w:sz w:val="22"/>
          <w:szCs w:val="22"/>
          <w:lang w:val="es-CR" w:eastAsia="en-US"/>
        </w:rPr>
      </w:pPr>
    </w:p>
    <w:p w14:paraId="07253DA6"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11</w:t>
      </w:r>
      <w:r w:rsidRPr="00990FB6">
        <w:rPr>
          <w:b/>
          <w:bCs/>
          <w:color w:val="00000A"/>
          <w:sz w:val="22"/>
          <w:szCs w:val="22"/>
          <w:lang w:eastAsia="es-ES"/>
        </w:rPr>
        <w:fldChar w:fldCharType="end"/>
      </w:r>
    </w:p>
    <w:p w14:paraId="3ABABF8E"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Cantidad teórica necesaria para cubrir la entrada de asuntos nuevos y reentrados en el Tribunal Penal de Alajuela</w:t>
      </w:r>
    </w:p>
    <w:p w14:paraId="2953718B" w14:textId="77777777" w:rsidR="00B15F7D" w:rsidRPr="00990FB6" w:rsidRDefault="00B15F7D" w:rsidP="00B15F7D">
      <w:pPr>
        <w:suppressAutoHyphens w:val="0"/>
        <w:jc w:val="both"/>
        <w:rPr>
          <w:rFonts w:eastAsia="Calibri"/>
          <w:sz w:val="22"/>
          <w:szCs w:val="22"/>
          <w:lang w:val="es-CR" w:eastAsia="en-US"/>
        </w:rPr>
      </w:pPr>
    </w:p>
    <w:tbl>
      <w:tblPr>
        <w:tblW w:w="8620" w:type="dxa"/>
        <w:jc w:val="center"/>
        <w:tblCellMar>
          <w:left w:w="70" w:type="dxa"/>
          <w:right w:w="70" w:type="dxa"/>
        </w:tblCellMar>
        <w:tblLook w:val="04A0" w:firstRow="1" w:lastRow="0" w:firstColumn="1" w:lastColumn="0" w:noHBand="0" w:noVBand="1"/>
      </w:tblPr>
      <w:tblGrid>
        <w:gridCol w:w="4101"/>
        <w:gridCol w:w="1199"/>
        <w:gridCol w:w="1840"/>
        <w:gridCol w:w="1480"/>
      </w:tblGrid>
      <w:tr w:rsidR="00B15F7D" w:rsidRPr="00990FB6" w14:paraId="611189B4" w14:textId="77777777" w:rsidTr="000A0C22">
        <w:trPr>
          <w:trHeight w:val="324"/>
          <w:jc w:val="center"/>
        </w:trPr>
        <w:tc>
          <w:tcPr>
            <w:tcW w:w="4101" w:type="dxa"/>
            <w:tcBorders>
              <w:top w:val="single" w:sz="8" w:space="0" w:color="E7E6E6"/>
              <w:left w:val="single" w:sz="8" w:space="0" w:color="E7E6E6"/>
              <w:bottom w:val="single" w:sz="8" w:space="0" w:color="E7E6E6"/>
              <w:right w:val="single" w:sz="8" w:space="0" w:color="E7E6E6"/>
            </w:tcBorders>
            <w:shd w:val="clear" w:color="000000" w:fill="8EA9DB"/>
            <w:noWrap/>
            <w:vAlign w:val="bottom"/>
            <w:hideMark/>
          </w:tcPr>
          <w:p w14:paraId="0137BBDD"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Variable</w:t>
            </w:r>
          </w:p>
        </w:tc>
        <w:tc>
          <w:tcPr>
            <w:tcW w:w="1199" w:type="dxa"/>
            <w:tcBorders>
              <w:top w:val="single" w:sz="8" w:space="0" w:color="E7E6E6"/>
              <w:left w:val="nil"/>
              <w:bottom w:val="single" w:sz="8" w:space="0" w:color="E7E6E6"/>
              <w:right w:val="single" w:sz="8" w:space="0" w:color="E7E6E6"/>
            </w:tcBorders>
            <w:shd w:val="clear" w:color="000000" w:fill="8EA9DB"/>
            <w:noWrap/>
            <w:vAlign w:val="center"/>
            <w:hideMark/>
          </w:tcPr>
          <w:p w14:paraId="522EC30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Total</w:t>
            </w:r>
          </w:p>
        </w:tc>
        <w:tc>
          <w:tcPr>
            <w:tcW w:w="1840" w:type="dxa"/>
            <w:tcBorders>
              <w:top w:val="single" w:sz="8" w:space="0" w:color="E7E6E6"/>
              <w:left w:val="nil"/>
              <w:bottom w:val="single" w:sz="8" w:space="0" w:color="E7E6E6"/>
              <w:right w:val="single" w:sz="8" w:space="0" w:color="E7E6E6"/>
            </w:tcBorders>
            <w:shd w:val="clear" w:color="000000" w:fill="8EA9DB"/>
            <w:noWrap/>
            <w:vAlign w:val="center"/>
            <w:hideMark/>
          </w:tcPr>
          <w:p w14:paraId="66FC06A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Colegiados</w:t>
            </w:r>
          </w:p>
        </w:tc>
        <w:tc>
          <w:tcPr>
            <w:tcW w:w="1480" w:type="dxa"/>
            <w:tcBorders>
              <w:top w:val="single" w:sz="8" w:space="0" w:color="E7E6E6"/>
              <w:left w:val="nil"/>
              <w:bottom w:val="single" w:sz="8" w:space="0" w:color="E7E6E6"/>
              <w:right w:val="single" w:sz="8" w:space="0" w:color="E7E6E6"/>
            </w:tcBorders>
            <w:shd w:val="clear" w:color="000000" w:fill="8EA9DB"/>
            <w:noWrap/>
            <w:vAlign w:val="center"/>
            <w:hideMark/>
          </w:tcPr>
          <w:p w14:paraId="6D97512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Unipersonales</w:t>
            </w:r>
          </w:p>
        </w:tc>
      </w:tr>
      <w:tr w:rsidR="00B15F7D" w:rsidRPr="00990FB6" w14:paraId="7E58F7C6" w14:textId="77777777" w:rsidTr="000A0C22">
        <w:trPr>
          <w:trHeight w:val="324"/>
          <w:jc w:val="center"/>
        </w:trPr>
        <w:tc>
          <w:tcPr>
            <w:tcW w:w="4101" w:type="dxa"/>
            <w:tcBorders>
              <w:top w:val="nil"/>
              <w:left w:val="single" w:sz="8" w:space="0" w:color="E7E6E6"/>
              <w:bottom w:val="single" w:sz="8" w:space="0" w:color="E7E6E6"/>
              <w:right w:val="single" w:sz="8" w:space="0" w:color="E7E6E6"/>
            </w:tcBorders>
            <w:shd w:val="clear" w:color="auto" w:fill="auto"/>
            <w:noWrap/>
            <w:vAlign w:val="bottom"/>
            <w:hideMark/>
          </w:tcPr>
          <w:p w14:paraId="78DCA94F"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Promedio mensual de asuntos nuevos 2017-2022</w:t>
            </w:r>
          </w:p>
        </w:tc>
        <w:tc>
          <w:tcPr>
            <w:tcW w:w="1199" w:type="dxa"/>
            <w:tcBorders>
              <w:top w:val="nil"/>
              <w:left w:val="nil"/>
              <w:bottom w:val="single" w:sz="8" w:space="0" w:color="E7E6E6"/>
              <w:right w:val="single" w:sz="8" w:space="0" w:color="E7E6E6"/>
            </w:tcBorders>
            <w:shd w:val="clear" w:color="auto" w:fill="auto"/>
            <w:noWrap/>
            <w:vAlign w:val="center"/>
            <w:hideMark/>
          </w:tcPr>
          <w:p w14:paraId="445843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127</w:t>
            </w:r>
          </w:p>
        </w:tc>
        <w:tc>
          <w:tcPr>
            <w:tcW w:w="1840" w:type="dxa"/>
            <w:tcBorders>
              <w:top w:val="nil"/>
              <w:left w:val="nil"/>
              <w:bottom w:val="single" w:sz="8" w:space="0" w:color="E7E6E6"/>
              <w:right w:val="single" w:sz="8" w:space="0" w:color="E7E6E6"/>
            </w:tcBorders>
            <w:shd w:val="clear" w:color="auto" w:fill="auto"/>
            <w:noWrap/>
            <w:vAlign w:val="center"/>
            <w:hideMark/>
          </w:tcPr>
          <w:p w14:paraId="0926F16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59,78</w:t>
            </w:r>
          </w:p>
        </w:tc>
        <w:tc>
          <w:tcPr>
            <w:tcW w:w="1480" w:type="dxa"/>
            <w:tcBorders>
              <w:top w:val="nil"/>
              <w:left w:val="nil"/>
              <w:bottom w:val="single" w:sz="8" w:space="0" w:color="E7E6E6"/>
              <w:right w:val="single" w:sz="8" w:space="0" w:color="E7E6E6"/>
            </w:tcBorders>
            <w:shd w:val="clear" w:color="auto" w:fill="auto"/>
            <w:noWrap/>
            <w:vAlign w:val="center"/>
            <w:hideMark/>
          </w:tcPr>
          <w:p w14:paraId="36087AB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66,62</w:t>
            </w:r>
          </w:p>
        </w:tc>
      </w:tr>
      <w:tr w:rsidR="00B15F7D" w:rsidRPr="00990FB6" w14:paraId="0BE7E778" w14:textId="77777777" w:rsidTr="000A0C22">
        <w:trPr>
          <w:trHeight w:val="324"/>
          <w:jc w:val="center"/>
        </w:trPr>
        <w:tc>
          <w:tcPr>
            <w:tcW w:w="4101" w:type="dxa"/>
            <w:tcBorders>
              <w:top w:val="nil"/>
              <w:left w:val="single" w:sz="8" w:space="0" w:color="E7E6E6"/>
              <w:bottom w:val="single" w:sz="8" w:space="0" w:color="E7E6E6"/>
              <w:right w:val="single" w:sz="8" w:space="0" w:color="E7E6E6"/>
            </w:tcBorders>
            <w:shd w:val="clear" w:color="auto" w:fill="auto"/>
            <w:noWrap/>
            <w:vAlign w:val="bottom"/>
            <w:hideMark/>
          </w:tcPr>
          <w:p w14:paraId="36266EB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Cuota mensual establecida</w:t>
            </w:r>
          </w:p>
        </w:tc>
        <w:tc>
          <w:tcPr>
            <w:tcW w:w="1199" w:type="dxa"/>
            <w:tcBorders>
              <w:top w:val="nil"/>
              <w:left w:val="nil"/>
              <w:bottom w:val="single" w:sz="8" w:space="0" w:color="E7E6E6"/>
              <w:right w:val="single" w:sz="8" w:space="0" w:color="E7E6E6"/>
            </w:tcBorders>
            <w:shd w:val="clear" w:color="000000" w:fill="44546A"/>
            <w:noWrap/>
            <w:vAlign w:val="center"/>
            <w:hideMark/>
          </w:tcPr>
          <w:p w14:paraId="7B71A7F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840" w:type="dxa"/>
            <w:tcBorders>
              <w:top w:val="nil"/>
              <w:left w:val="nil"/>
              <w:bottom w:val="single" w:sz="8" w:space="0" w:color="E7E6E6"/>
              <w:right w:val="single" w:sz="8" w:space="0" w:color="E7E6E6"/>
            </w:tcBorders>
            <w:shd w:val="clear" w:color="auto" w:fill="auto"/>
            <w:noWrap/>
            <w:vAlign w:val="center"/>
            <w:hideMark/>
          </w:tcPr>
          <w:p w14:paraId="524567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15</w:t>
            </w:r>
          </w:p>
        </w:tc>
        <w:tc>
          <w:tcPr>
            <w:tcW w:w="1480" w:type="dxa"/>
            <w:tcBorders>
              <w:top w:val="nil"/>
              <w:left w:val="nil"/>
              <w:bottom w:val="single" w:sz="8" w:space="0" w:color="E7E6E6"/>
              <w:right w:val="single" w:sz="8" w:space="0" w:color="E7E6E6"/>
            </w:tcBorders>
            <w:shd w:val="clear" w:color="auto" w:fill="auto"/>
            <w:noWrap/>
            <w:vAlign w:val="center"/>
            <w:hideMark/>
          </w:tcPr>
          <w:p w14:paraId="4BA173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20</w:t>
            </w:r>
          </w:p>
        </w:tc>
      </w:tr>
      <w:tr w:rsidR="00B15F7D" w:rsidRPr="00990FB6" w14:paraId="61F4EC79" w14:textId="77777777" w:rsidTr="000A0C22">
        <w:trPr>
          <w:trHeight w:val="324"/>
          <w:jc w:val="center"/>
        </w:trPr>
        <w:tc>
          <w:tcPr>
            <w:tcW w:w="4101" w:type="dxa"/>
            <w:tcBorders>
              <w:top w:val="nil"/>
              <w:left w:val="single" w:sz="8" w:space="0" w:color="E7E6E6"/>
              <w:bottom w:val="single" w:sz="8" w:space="0" w:color="E7E6E6"/>
              <w:right w:val="single" w:sz="8" w:space="0" w:color="E7E6E6"/>
            </w:tcBorders>
            <w:shd w:val="clear" w:color="auto" w:fill="auto"/>
            <w:noWrap/>
            <w:vAlign w:val="bottom"/>
            <w:hideMark/>
          </w:tcPr>
          <w:p w14:paraId="5AA7A0D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Cantidad teórica de secciones</w:t>
            </w:r>
          </w:p>
        </w:tc>
        <w:tc>
          <w:tcPr>
            <w:tcW w:w="1199" w:type="dxa"/>
            <w:tcBorders>
              <w:top w:val="nil"/>
              <w:left w:val="nil"/>
              <w:bottom w:val="single" w:sz="8" w:space="0" w:color="E7E6E6"/>
              <w:right w:val="single" w:sz="8" w:space="0" w:color="E7E6E6"/>
            </w:tcBorders>
            <w:shd w:val="clear" w:color="auto" w:fill="auto"/>
            <w:noWrap/>
            <w:vAlign w:val="center"/>
            <w:hideMark/>
          </w:tcPr>
          <w:p w14:paraId="6BD12A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7,32</w:t>
            </w:r>
          </w:p>
        </w:tc>
        <w:tc>
          <w:tcPr>
            <w:tcW w:w="1840" w:type="dxa"/>
            <w:tcBorders>
              <w:top w:val="nil"/>
              <w:left w:val="nil"/>
              <w:bottom w:val="single" w:sz="8" w:space="0" w:color="E7E6E6"/>
              <w:right w:val="single" w:sz="8" w:space="0" w:color="E7E6E6"/>
            </w:tcBorders>
            <w:shd w:val="clear" w:color="auto" w:fill="auto"/>
            <w:noWrap/>
            <w:vAlign w:val="center"/>
            <w:hideMark/>
          </w:tcPr>
          <w:p w14:paraId="525B09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3,99</w:t>
            </w:r>
          </w:p>
        </w:tc>
        <w:tc>
          <w:tcPr>
            <w:tcW w:w="1480" w:type="dxa"/>
            <w:tcBorders>
              <w:top w:val="nil"/>
              <w:left w:val="nil"/>
              <w:bottom w:val="single" w:sz="8" w:space="0" w:color="E7E6E6"/>
              <w:right w:val="single" w:sz="8" w:space="0" w:color="E7E6E6"/>
            </w:tcBorders>
            <w:shd w:val="clear" w:color="auto" w:fill="auto"/>
            <w:noWrap/>
            <w:vAlign w:val="center"/>
            <w:hideMark/>
          </w:tcPr>
          <w:p w14:paraId="097B804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3,33</w:t>
            </w:r>
          </w:p>
        </w:tc>
      </w:tr>
      <w:tr w:rsidR="00B15F7D" w:rsidRPr="00990FB6" w14:paraId="3A0FE268" w14:textId="77777777" w:rsidTr="000A0C22">
        <w:trPr>
          <w:trHeight w:val="324"/>
          <w:jc w:val="center"/>
        </w:trPr>
        <w:tc>
          <w:tcPr>
            <w:tcW w:w="4101" w:type="dxa"/>
            <w:tcBorders>
              <w:top w:val="nil"/>
              <w:left w:val="single" w:sz="8" w:space="0" w:color="E7E6E6"/>
              <w:bottom w:val="single" w:sz="8" w:space="0" w:color="E7E6E6"/>
              <w:right w:val="single" w:sz="8" w:space="0" w:color="E7E6E6"/>
            </w:tcBorders>
            <w:shd w:val="clear" w:color="auto" w:fill="auto"/>
            <w:noWrap/>
            <w:vAlign w:val="bottom"/>
            <w:hideMark/>
          </w:tcPr>
          <w:p w14:paraId="0C20BF2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Cantidad real de secciones</w:t>
            </w:r>
          </w:p>
        </w:tc>
        <w:tc>
          <w:tcPr>
            <w:tcW w:w="1199" w:type="dxa"/>
            <w:tcBorders>
              <w:top w:val="nil"/>
              <w:left w:val="nil"/>
              <w:bottom w:val="single" w:sz="8" w:space="0" w:color="E7E6E6"/>
              <w:right w:val="single" w:sz="8" w:space="0" w:color="E7E6E6"/>
            </w:tcBorders>
            <w:shd w:val="clear" w:color="auto" w:fill="auto"/>
            <w:noWrap/>
            <w:vAlign w:val="center"/>
            <w:hideMark/>
          </w:tcPr>
          <w:p w14:paraId="5F51921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1840" w:type="dxa"/>
            <w:tcBorders>
              <w:top w:val="nil"/>
              <w:left w:val="nil"/>
              <w:bottom w:val="single" w:sz="8" w:space="0" w:color="E7E6E6"/>
              <w:right w:val="single" w:sz="8" w:space="0" w:color="E7E6E6"/>
            </w:tcBorders>
            <w:shd w:val="clear" w:color="auto" w:fill="auto"/>
            <w:noWrap/>
            <w:vAlign w:val="center"/>
            <w:hideMark/>
          </w:tcPr>
          <w:p w14:paraId="575F015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2,00</w:t>
            </w:r>
          </w:p>
        </w:tc>
        <w:tc>
          <w:tcPr>
            <w:tcW w:w="1480" w:type="dxa"/>
            <w:tcBorders>
              <w:top w:val="nil"/>
              <w:left w:val="nil"/>
              <w:bottom w:val="single" w:sz="8" w:space="0" w:color="E7E6E6"/>
              <w:right w:val="single" w:sz="8" w:space="0" w:color="E7E6E6"/>
            </w:tcBorders>
            <w:shd w:val="clear" w:color="auto" w:fill="auto"/>
            <w:noWrap/>
            <w:vAlign w:val="center"/>
            <w:hideMark/>
          </w:tcPr>
          <w:p w14:paraId="72C2E6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r>
      <w:tr w:rsidR="00B15F7D" w:rsidRPr="00990FB6" w14:paraId="72C2513E" w14:textId="77777777" w:rsidTr="000A0C22">
        <w:trPr>
          <w:trHeight w:val="324"/>
          <w:jc w:val="center"/>
        </w:trPr>
        <w:tc>
          <w:tcPr>
            <w:tcW w:w="4101" w:type="dxa"/>
            <w:tcBorders>
              <w:top w:val="nil"/>
              <w:left w:val="single" w:sz="8" w:space="0" w:color="E7E6E6"/>
              <w:bottom w:val="single" w:sz="8" w:space="0" w:color="E7E6E6"/>
              <w:right w:val="single" w:sz="8" w:space="0" w:color="E7E6E6"/>
            </w:tcBorders>
            <w:shd w:val="clear" w:color="auto" w:fill="auto"/>
            <w:noWrap/>
            <w:vAlign w:val="bottom"/>
            <w:hideMark/>
          </w:tcPr>
          <w:p w14:paraId="0E6D89C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Diferencia</w:t>
            </w:r>
          </w:p>
        </w:tc>
        <w:tc>
          <w:tcPr>
            <w:tcW w:w="1199" w:type="dxa"/>
            <w:tcBorders>
              <w:top w:val="nil"/>
              <w:left w:val="nil"/>
              <w:bottom w:val="single" w:sz="8" w:space="0" w:color="E7E6E6"/>
              <w:right w:val="single" w:sz="8" w:space="0" w:color="E7E6E6"/>
            </w:tcBorders>
            <w:shd w:val="clear" w:color="auto" w:fill="auto"/>
            <w:noWrap/>
            <w:vAlign w:val="center"/>
            <w:hideMark/>
          </w:tcPr>
          <w:p w14:paraId="1B4B2A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3,32</w:t>
            </w:r>
          </w:p>
        </w:tc>
        <w:tc>
          <w:tcPr>
            <w:tcW w:w="1840" w:type="dxa"/>
            <w:tcBorders>
              <w:top w:val="nil"/>
              <w:left w:val="nil"/>
              <w:bottom w:val="single" w:sz="8" w:space="0" w:color="E7E6E6"/>
              <w:right w:val="single" w:sz="8" w:space="0" w:color="E7E6E6"/>
            </w:tcBorders>
            <w:shd w:val="clear" w:color="auto" w:fill="auto"/>
            <w:noWrap/>
            <w:vAlign w:val="center"/>
            <w:hideMark/>
          </w:tcPr>
          <w:p w14:paraId="2D9DD17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1,99</w:t>
            </w:r>
          </w:p>
        </w:tc>
        <w:tc>
          <w:tcPr>
            <w:tcW w:w="1480" w:type="dxa"/>
            <w:tcBorders>
              <w:top w:val="nil"/>
              <w:left w:val="nil"/>
              <w:bottom w:val="single" w:sz="8" w:space="0" w:color="E7E6E6"/>
              <w:right w:val="single" w:sz="8" w:space="0" w:color="E7E6E6"/>
            </w:tcBorders>
            <w:shd w:val="clear" w:color="auto" w:fill="auto"/>
            <w:noWrap/>
            <w:vAlign w:val="center"/>
            <w:hideMark/>
          </w:tcPr>
          <w:p w14:paraId="1A7AC41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2,33</w:t>
            </w:r>
          </w:p>
        </w:tc>
      </w:tr>
      <w:tr w:rsidR="00B15F7D" w:rsidRPr="00990FB6" w14:paraId="131D8844" w14:textId="77777777" w:rsidTr="000A0C22">
        <w:trPr>
          <w:trHeight w:val="324"/>
          <w:jc w:val="center"/>
        </w:trPr>
        <w:tc>
          <w:tcPr>
            <w:tcW w:w="4101" w:type="dxa"/>
            <w:tcBorders>
              <w:top w:val="nil"/>
              <w:left w:val="single" w:sz="8" w:space="0" w:color="E7E6E6"/>
              <w:bottom w:val="single" w:sz="8" w:space="0" w:color="E7E6E6"/>
              <w:right w:val="single" w:sz="8" w:space="0" w:color="E7E6E6"/>
            </w:tcBorders>
            <w:shd w:val="clear" w:color="000000" w:fill="D9E1F2"/>
            <w:noWrap/>
            <w:vAlign w:val="bottom"/>
            <w:hideMark/>
          </w:tcPr>
          <w:p w14:paraId="23B3A705" w14:textId="77777777" w:rsidR="00B15F7D" w:rsidRPr="00990FB6" w:rsidRDefault="00B15F7D" w:rsidP="00B15F7D">
            <w:pPr>
              <w:suppressAutoHyphens w:val="0"/>
              <w:rPr>
                <w:b/>
                <w:bCs/>
                <w:color w:val="000000"/>
                <w:sz w:val="22"/>
                <w:szCs w:val="22"/>
                <w:lang w:val="es-CR" w:eastAsia="es-CR"/>
              </w:rPr>
            </w:pPr>
            <w:r w:rsidRPr="00990FB6">
              <w:rPr>
                <w:b/>
                <w:bCs/>
                <w:color w:val="000000"/>
                <w:sz w:val="22"/>
                <w:szCs w:val="22"/>
                <w:lang w:val="es-CR" w:eastAsia="es-CR"/>
              </w:rPr>
              <w:t xml:space="preserve">Requerimiento humano </w:t>
            </w:r>
          </w:p>
        </w:tc>
        <w:tc>
          <w:tcPr>
            <w:tcW w:w="1199" w:type="dxa"/>
            <w:tcBorders>
              <w:top w:val="nil"/>
              <w:left w:val="nil"/>
              <w:bottom w:val="single" w:sz="8" w:space="0" w:color="E7E6E6"/>
              <w:right w:val="single" w:sz="8" w:space="0" w:color="E7E6E6"/>
            </w:tcBorders>
            <w:shd w:val="clear" w:color="000000" w:fill="D9E1F2"/>
            <w:noWrap/>
            <w:vAlign w:val="center"/>
            <w:hideMark/>
          </w:tcPr>
          <w:p w14:paraId="3E1B291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8,29</w:t>
            </w:r>
          </w:p>
        </w:tc>
        <w:tc>
          <w:tcPr>
            <w:tcW w:w="1840" w:type="dxa"/>
            <w:tcBorders>
              <w:top w:val="nil"/>
              <w:left w:val="nil"/>
              <w:bottom w:val="single" w:sz="8" w:space="0" w:color="E7E6E6"/>
              <w:right w:val="single" w:sz="8" w:space="0" w:color="E7E6E6"/>
            </w:tcBorders>
            <w:shd w:val="clear" w:color="000000" w:fill="D9E1F2"/>
            <w:noWrap/>
            <w:vAlign w:val="center"/>
            <w:hideMark/>
          </w:tcPr>
          <w:p w14:paraId="3303E24C"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5,96</w:t>
            </w:r>
          </w:p>
        </w:tc>
        <w:tc>
          <w:tcPr>
            <w:tcW w:w="1480" w:type="dxa"/>
            <w:tcBorders>
              <w:top w:val="nil"/>
              <w:left w:val="nil"/>
              <w:bottom w:val="single" w:sz="8" w:space="0" w:color="E7E6E6"/>
              <w:right w:val="single" w:sz="8" w:space="0" w:color="E7E6E6"/>
            </w:tcBorders>
            <w:shd w:val="clear" w:color="000000" w:fill="D9E1F2"/>
            <w:noWrap/>
            <w:vAlign w:val="center"/>
            <w:hideMark/>
          </w:tcPr>
          <w:p w14:paraId="370D450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2,33</w:t>
            </w:r>
          </w:p>
        </w:tc>
      </w:tr>
    </w:tbl>
    <w:p w14:paraId="6F015C10" w14:textId="5EADFC26" w:rsidR="00B15F7D" w:rsidRPr="00990FB6" w:rsidRDefault="00B15F7D" w:rsidP="00B15F7D">
      <w:pPr>
        <w:suppressAutoHyphens w:val="0"/>
        <w:ind w:left="708" w:right="282" w:firstLine="424"/>
        <w:jc w:val="both"/>
        <w:rPr>
          <w:rFonts w:eastAsia="Calibri"/>
          <w:sz w:val="22"/>
          <w:szCs w:val="22"/>
          <w:lang w:val="es-CR" w:eastAsia="en-US"/>
        </w:rPr>
      </w:pPr>
      <w:r w:rsidRPr="00990FB6">
        <w:rPr>
          <w:rFonts w:eastAsia="Calibri"/>
          <w:b/>
          <w:bCs/>
          <w:sz w:val="22"/>
          <w:szCs w:val="22"/>
          <w:lang w:val="es-CR" w:eastAsia="en-US"/>
        </w:rPr>
        <w:t>Fuente:</w:t>
      </w:r>
      <w:r w:rsidRPr="00990FB6">
        <w:rPr>
          <w:rFonts w:eastAsia="Calibri"/>
          <w:sz w:val="22"/>
          <w:szCs w:val="22"/>
          <w:lang w:val="es-CR" w:eastAsia="en-US"/>
        </w:rPr>
        <w:t xml:space="preserve"> elaboración propia a partir de las estadísticas el Subproceso de Estadística de la Dirección de Planificación.</w:t>
      </w:r>
    </w:p>
    <w:p w14:paraId="53AF2CEC" w14:textId="77777777" w:rsidR="00B305D7" w:rsidRPr="00990FB6" w:rsidRDefault="00B305D7" w:rsidP="00B15F7D">
      <w:pPr>
        <w:suppressAutoHyphens w:val="0"/>
        <w:ind w:left="708" w:right="282" w:firstLine="424"/>
        <w:jc w:val="both"/>
        <w:rPr>
          <w:rFonts w:eastAsia="Calibri"/>
          <w:sz w:val="22"/>
          <w:szCs w:val="22"/>
          <w:lang w:val="es-CR" w:eastAsia="en-US"/>
        </w:rPr>
      </w:pPr>
    </w:p>
    <w:p w14:paraId="2235B6F8"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Según el cuadro anterior, el Tribunal Penal de Alajuela requiere de ocho plazas nuevas de juez o jueza 4 para poder cubrir la entrada mensual de asuntos nuevos.</w:t>
      </w:r>
    </w:p>
    <w:p w14:paraId="01B903F7" w14:textId="77777777" w:rsidR="00B15F7D" w:rsidRPr="00990FB6" w:rsidRDefault="00B15F7D" w:rsidP="00B15F7D">
      <w:pPr>
        <w:suppressAutoHyphens w:val="0"/>
        <w:ind w:left="851" w:right="851" w:firstLine="709"/>
        <w:jc w:val="both"/>
        <w:rPr>
          <w:rFonts w:eastAsia="Calibri"/>
          <w:sz w:val="22"/>
          <w:szCs w:val="22"/>
          <w:lang w:val="es-CR" w:eastAsia="en-US"/>
        </w:rPr>
      </w:pPr>
    </w:p>
    <w:p w14:paraId="31D9D33A"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Respecto al Tribunal Penal de Alajuela se indica lo siguiente:</w:t>
      </w:r>
    </w:p>
    <w:p w14:paraId="0C893044" w14:textId="77777777" w:rsidR="00B15F7D" w:rsidRPr="00990FB6" w:rsidRDefault="00B15F7D" w:rsidP="00B15F7D">
      <w:pPr>
        <w:suppressAutoHyphens w:val="0"/>
        <w:ind w:left="851" w:right="851" w:firstLine="709"/>
        <w:jc w:val="both"/>
        <w:rPr>
          <w:rFonts w:eastAsia="Calibri"/>
          <w:sz w:val="22"/>
          <w:szCs w:val="22"/>
          <w:lang w:val="es-CR" w:eastAsia="en-US"/>
        </w:rPr>
      </w:pPr>
    </w:p>
    <w:p w14:paraId="060D632B" w14:textId="77777777" w:rsidR="00B15F7D" w:rsidRPr="00990FB6" w:rsidRDefault="00B15F7D" w:rsidP="00B15F7D">
      <w:pPr>
        <w:numPr>
          <w:ilvl w:val="0"/>
          <w:numId w:val="137"/>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 xml:space="preserve">De manera ordinaria el despacho cuenta con ocho plazas de jueza o juez, que conforman dos secciones colegiadas, una unipersonal y el juez </w:t>
      </w:r>
      <w:r w:rsidRPr="00990FB6">
        <w:rPr>
          <w:rFonts w:eastAsia="Calibri"/>
          <w:sz w:val="22"/>
          <w:szCs w:val="22"/>
          <w:lang w:val="es-CR" w:eastAsia="en-US"/>
        </w:rPr>
        <w:lastRenderedPageBreak/>
        <w:t>coordinador que resuelve las apelaciones; en el área de apoyo jurisdiccional cuenta con 11 técnicos o técnicas judiciales 3 y un juez o jueza de trámite.</w:t>
      </w:r>
    </w:p>
    <w:p w14:paraId="4AA22084"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48C65520" w14:textId="77777777" w:rsidR="00B15F7D" w:rsidRPr="00990FB6" w:rsidRDefault="00B15F7D" w:rsidP="00B15F7D">
      <w:pPr>
        <w:numPr>
          <w:ilvl w:val="0"/>
          <w:numId w:val="137"/>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Según el cuadro anterior, para poder dar soporte a la cantidad mensual de asuntos ingresados requiere de cuatro secciones colegiadas, tres unipersonales y una de apelaciones, que en estructura de personal sería: 16 jueces o juezas 4, 15 técnicos o técnicas judiciales (2 para cada sección unipersonal o colegiada y una para la sección de apelaciones) y dos jueces o juezas de trámite.</w:t>
      </w:r>
    </w:p>
    <w:p w14:paraId="7BBC790C"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087CCC0E" w14:textId="77777777" w:rsidR="00B15F7D" w:rsidRPr="00990FB6" w:rsidRDefault="00B15F7D" w:rsidP="00B15F7D">
      <w:pPr>
        <w:numPr>
          <w:ilvl w:val="0"/>
          <w:numId w:val="137"/>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Debido al incremento en la carga de trabajo del despacho, a partir del año 2022 se le asigna un permiso con goce de salario de jueza o juez 4, quien junto con la sección unipersonal y el juez coordinador conforman una sección mixta; no obstante, según el modelo de tramitación aprobado para los Tribunales Penales, la estructura organizacional ideal considera que el juez o jueza coordinadora debe estar destacado en asuntos de apelación, siempre y cuando la entrada alcance un valor mensual de 30 asuntos.</w:t>
      </w:r>
    </w:p>
    <w:p w14:paraId="36ACF0F4"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3A49F80"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En virtud de lo anterior, seguidamente se muestra un comparativo de la cantidad de asuntos nuevos ingresados más los asuntos reentrados, en aquellos tribunales que la plaza de juez o jueza coordinadora se dedica a la resolución de apelaciones, es decir que no integran otra sección del tribunal, lo anterior según estadísticas del 2019 al 2022:</w:t>
      </w:r>
    </w:p>
    <w:p w14:paraId="7D87C9B0" w14:textId="77777777" w:rsidR="00B15F7D" w:rsidRPr="00990FB6" w:rsidRDefault="00B15F7D" w:rsidP="00B15F7D">
      <w:pPr>
        <w:suppressAutoHyphens w:val="0"/>
        <w:ind w:left="851" w:right="851" w:firstLine="709"/>
        <w:jc w:val="both"/>
        <w:rPr>
          <w:rFonts w:eastAsia="Calibri"/>
          <w:sz w:val="22"/>
          <w:szCs w:val="22"/>
          <w:lang w:val="es-CR" w:eastAsia="en-US"/>
        </w:rPr>
      </w:pPr>
    </w:p>
    <w:p w14:paraId="5D515D1F" w14:textId="77777777" w:rsidR="00B15F7D" w:rsidRPr="00990FB6" w:rsidRDefault="00B15F7D" w:rsidP="00B15F7D">
      <w:pPr>
        <w:numPr>
          <w:ilvl w:val="0"/>
          <w:numId w:val="138"/>
        </w:numPr>
        <w:suppressAutoHyphens w:val="0"/>
        <w:ind w:left="851" w:right="851" w:firstLine="709"/>
        <w:jc w:val="center"/>
        <w:rPr>
          <w:rFonts w:eastAsia="Calibri"/>
          <w:sz w:val="22"/>
          <w:szCs w:val="22"/>
          <w:lang w:val="es-CR" w:eastAsia="en-US"/>
        </w:rPr>
      </w:pPr>
    </w:p>
    <w:p w14:paraId="156E5597" w14:textId="77777777" w:rsidR="00B15F7D" w:rsidRPr="00990FB6" w:rsidRDefault="00B15F7D" w:rsidP="00B15F7D">
      <w:pPr>
        <w:suppressAutoHyphens w:val="0"/>
        <w:ind w:left="851" w:right="851" w:firstLine="709"/>
        <w:jc w:val="center"/>
        <w:rPr>
          <w:rFonts w:eastAsia="Calibri"/>
          <w:b/>
          <w:bCs/>
          <w:sz w:val="22"/>
          <w:szCs w:val="22"/>
          <w:lang w:val="es-CR" w:eastAsia="en-US"/>
        </w:rPr>
      </w:pPr>
      <w:r w:rsidRPr="00990FB6">
        <w:rPr>
          <w:rFonts w:eastAsia="Calibri"/>
          <w:b/>
          <w:bCs/>
          <w:sz w:val="22"/>
          <w:szCs w:val="22"/>
          <w:lang w:val="es-CR" w:eastAsia="en-US"/>
        </w:rPr>
        <w:t>Promedio mensual de asuntos ingresados en los Tribunales Penales donde el Juez o Jueza Coordinador resuelve durante el período del 2019-2022</w:t>
      </w:r>
    </w:p>
    <w:p w14:paraId="44D647D7" w14:textId="77777777" w:rsidR="00B15F7D" w:rsidRPr="00990FB6" w:rsidRDefault="00B15F7D" w:rsidP="00B15F7D">
      <w:pPr>
        <w:suppressAutoHyphens w:val="0"/>
        <w:ind w:left="851" w:right="851" w:firstLine="709"/>
        <w:jc w:val="both"/>
        <w:rPr>
          <w:rFonts w:eastAsia="Calibri"/>
          <w:sz w:val="22"/>
          <w:szCs w:val="22"/>
          <w:lang w:val="es-CR" w:eastAsia="en-US"/>
        </w:rPr>
      </w:pPr>
    </w:p>
    <w:p w14:paraId="6B8ECF9B"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noProof/>
          <w:sz w:val="22"/>
          <w:szCs w:val="22"/>
          <w:lang w:val="es-CR" w:eastAsia="en-US"/>
        </w:rPr>
        <w:drawing>
          <wp:inline distT="0" distB="0" distL="0" distR="0" wp14:anchorId="0FEED893" wp14:editId="58F73008">
            <wp:extent cx="4401310" cy="2555240"/>
            <wp:effectExtent l="0" t="0" r="0" b="0"/>
            <wp:docPr id="521631206" name="Imagen 52163120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Gráfico, Gráfico de barras&#10;&#10;Descripción generada automáticamen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16076" cy="2563813"/>
                    </a:xfrm>
                    <a:prstGeom prst="rect">
                      <a:avLst/>
                    </a:prstGeom>
                    <a:noFill/>
                  </pic:spPr>
                </pic:pic>
              </a:graphicData>
            </a:graphic>
          </wp:inline>
        </w:drawing>
      </w:r>
    </w:p>
    <w:p w14:paraId="60BF589B"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b/>
          <w:bCs/>
          <w:sz w:val="22"/>
          <w:szCs w:val="22"/>
          <w:lang w:val="es-CR" w:eastAsia="en-US"/>
        </w:rPr>
        <w:t>Fuente:</w:t>
      </w:r>
      <w:r w:rsidRPr="00990FB6">
        <w:rPr>
          <w:rFonts w:eastAsia="Calibri"/>
          <w:sz w:val="22"/>
          <w:szCs w:val="22"/>
          <w:lang w:val="es-CR" w:eastAsia="en-US"/>
        </w:rPr>
        <w:t xml:space="preserve"> elaboración propia a partir de los datos estadísticos del Subproceso de Estadística.</w:t>
      </w:r>
    </w:p>
    <w:p w14:paraId="27B71058"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b/>
          <w:bCs/>
          <w:sz w:val="22"/>
          <w:szCs w:val="22"/>
          <w:lang w:val="es-CR" w:eastAsia="en-US"/>
        </w:rPr>
        <w:t>Nota:</w:t>
      </w:r>
      <w:r w:rsidRPr="00990FB6">
        <w:rPr>
          <w:rFonts w:eastAsia="Calibri"/>
          <w:sz w:val="22"/>
          <w:szCs w:val="22"/>
          <w:lang w:val="es-CR" w:eastAsia="en-US"/>
        </w:rPr>
        <w:t xml:space="preserve"> para el cálculo se considera tanto la entrada de asuntos nuevos y los reentrados.</w:t>
      </w:r>
    </w:p>
    <w:p w14:paraId="34FAD83C" w14:textId="77777777" w:rsidR="00B15F7D" w:rsidRPr="00990FB6" w:rsidRDefault="00B15F7D" w:rsidP="00B15F7D">
      <w:pPr>
        <w:suppressAutoHyphens w:val="0"/>
        <w:ind w:left="851" w:right="851" w:firstLine="709"/>
        <w:jc w:val="both"/>
        <w:rPr>
          <w:rFonts w:eastAsia="Calibri"/>
          <w:sz w:val="22"/>
          <w:szCs w:val="22"/>
          <w:lang w:val="es-CR" w:eastAsia="en-US"/>
        </w:rPr>
      </w:pPr>
    </w:p>
    <w:p w14:paraId="16464E97"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lastRenderedPageBreak/>
        <w:t>De los tribunales penales, en los que el juez o jueza coordinadora integra la sección de apelaciones de manera exclusiva, es decir que no integran otra sección, se determina que el Tribunal Penal de Alajuela es el que mayor carga de trabajo ostenta con 137 asuntos, durante el período del 2019 al 2022.</w:t>
      </w:r>
    </w:p>
    <w:p w14:paraId="2241B3B3" w14:textId="77777777" w:rsidR="00B15F7D" w:rsidRPr="00990FB6" w:rsidRDefault="00B15F7D" w:rsidP="00B15F7D">
      <w:pPr>
        <w:suppressAutoHyphens w:val="0"/>
        <w:ind w:left="851" w:right="851" w:firstLine="709"/>
        <w:jc w:val="both"/>
        <w:rPr>
          <w:rFonts w:eastAsia="Calibri"/>
          <w:sz w:val="22"/>
          <w:szCs w:val="22"/>
          <w:lang w:val="es-CR" w:eastAsia="en-US"/>
        </w:rPr>
      </w:pPr>
    </w:p>
    <w:p w14:paraId="4CF0BEF2" w14:textId="6F2297CC" w:rsidR="00B15F7D" w:rsidRDefault="00B15F7D" w:rsidP="00B305D7">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Ahora bien, seguidamente se muestra el comparativo, pero con la cantidad de asuntos ingresados en apelación durante el período del 2019 al 2022:</w:t>
      </w:r>
    </w:p>
    <w:p w14:paraId="1D2659D5" w14:textId="77777777" w:rsidR="0045290B" w:rsidRPr="00990FB6" w:rsidRDefault="0045290B" w:rsidP="00B305D7">
      <w:pPr>
        <w:suppressAutoHyphens w:val="0"/>
        <w:ind w:left="851" w:right="851" w:firstLine="709"/>
        <w:jc w:val="both"/>
        <w:rPr>
          <w:rFonts w:eastAsia="Calibri"/>
          <w:sz w:val="22"/>
          <w:szCs w:val="22"/>
          <w:lang w:val="es-CR" w:eastAsia="en-US"/>
        </w:rPr>
      </w:pPr>
    </w:p>
    <w:p w14:paraId="4ADA209B" w14:textId="77777777" w:rsidR="00B15F7D" w:rsidRPr="00990FB6" w:rsidRDefault="00B15F7D" w:rsidP="00B15F7D">
      <w:pPr>
        <w:numPr>
          <w:ilvl w:val="0"/>
          <w:numId w:val="138"/>
        </w:numPr>
        <w:suppressAutoHyphens w:val="0"/>
        <w:ind w:left="851" w:right="851" w:firstLine="709"/>
        <w:jc w:val="center"/>
        <w:rPr>
          <w:rFonts w:eastAsia="Calibri"/>
          <w:sz w:val="22"/>
          <w:szCs w:val="22"/>
          <w:lang w:val="es-CR" w:eastAsia="en-US"/>
        </w:rPr>
      </w:pPr>
    </w:p>
    <w:p w14:paraId="2D21BA38" w14:textId="77777777" w:rsidR="00B15F7D" w:rsidRPr="00990FB6" w:rsidRDefault="00B15F7D" w:rsidP="00B15F7D">
      <w:pPr>
        <w:suppressAutoHyphens w:val="0"/>
        <w:ind w:left="851" w:right="851" w:firstLine="709"/>
        <w:jc w:val="center"/>
        <w:rPr>
          <w:rFonts w:eastAsia="Calibri"/>
          <w:b/>
          <w:bCs/>
          <w:sz w:val="22"/>
          <w:szCs w:val="22"/>
          <w:lang w:val="es-CR" w:eastAsia="en-US"/>
        </w:rPr>
      </w:pPr>
      <w:r w:rsidRPr="00990FB6">
        <w:rPr>
          <w:rFonts w:eastAsia="Calibri"/>
          <w:b/>
          <w:bCs/>
          <w:sz w:val="22"/>
          <w:szCs w:val="22"/>
          <w:lang w:val="es-CR" w:eastAsia="en-US"/>
        </w:rPr>
        <w:t>Promedio mensual de asuntos ingresados en apelación en los Tribunales Penales donde el Juez o Jueza Coordinador resuelve durante el período del 2019-2022</w:t>
      </w:r>
    </w:p>
    <w:p w14:paraId="01F1BD01" w14:textId="77777777" w:rsidR="00B15F7D" w:rsidRPr="00990FB6" w:rsidRDefault="00B15F7D" w:rsidP="00B15F7D">
      <w:pPr>
        <w:suppressAutoHyphens w:val="0"/>
        <w:ind w:left="851" w:right="851" w:firstLine="709"/>
        <w:jc w:val="both"/>
        <w:rPr>
          <w:rFonts w:eastAsia="Calibri"/>
          <w:sz w:val="22"/>
          <w:szCs w:val="22"/>
          <w:lang w:val="es-CR" w:eastAsia="en-US"/>
        </w:rPr>
      </w:pPr>
    </w:p>
    <w:p w14:paraId="31EC8DDB"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noProof/>
          <w:sz w:val="22"/>
          <w:szCs w:val="22"/>
          <w:lang w:val="es-CR" w:eastAsia="en-US"/>
        </w:rPr>
        <w:drawing>
          <wp:inline distT="0" distB="0" distL="0" distR="0" wp14:anchorId="1DFA7854" wp14:editId="6D153FC9">
            <wp:extent cx="4368165" cy="2152650"/>
            <wp:effectExtent l="0" t="0" r="0" b="0"/>
            <wp:docPr id="963434560" name="Imagen 96343456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 Gráfico de barras&#10;&#10;Descripción generada automá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90480" cy="2163647"/>
                    </a:xfrm>
                    <a:prstGeom prst="rect">
                      <a:avLst/>
                    </a:prstGeom>
                    <a:noFill/>
                  </pic:spPr>
                </pic:pic>
              </a:graphicData>
            </a:graphic>
          </wp:inline>
        </w:drawing>
      </w:r>
    </w:p>
    <w:p w14:paraId="5B0AD0C4"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b/>
          <w:bCs/>
          <w:sz w:val="22"/>
          <w:szCs w:val="22"/>
          <w:lang w:val="es-CR" w:eastAsia="en-US"/>
        </w:rPr>
        <w:t>Fuente:</w:t>
      </w:r>
      <w:r w:rsidRPr="00990FB6">
        <w:rPr>
          <w:rFonts w:eastAsia="Calibri"/>
          <w:sz w:val="22"/>
          <w:szCs w:val="22"/>
          <w:lang w:val="es-CR" w:eastAsia="en-US"/>
        </w:rPr>
        <w:t xml:space="preserve"> elaboración propia a partir de los datos estadísticos del Subproceso de Estadística.</w:t>
      </w:r>
    </w:p>
    <w:p w14:paraId="48F7E79D" w14:textId="77777777" w:rsidR="00B15F7D" w:rsidRPr="00990FB6" w:rsidRDefault="00B15F7D" w:rsidP="00B15F7D">
      <w:pPr>
        <w:suppressAutoHyphens w:val="0"/>
        <w:ind w:left="851" w:right="851" w:firstLine="709"/>
        <w:jc w:val="both"/>
        <w:rPr>
          <w:rFonts w:eastAsia="Calibri"/>
          <w:sz w:val="22"/>
          <w:szCs w:val="22"/>
          <w:lang w:val="es-CR" w:eastAsia="en-US"/>
        </w:rPr>
      </w:pPr>
    </w:p>
    <w:p w14:paraId="697D47E7"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Con base en la información anterior se determina que, el Tribunal Penal de Alajuela se ubica en cuarto lugar de los tribunales penales con el mayor ingreso de asuntos en apelación, por cuanto se estima su entrada en 33 expedientes al mes, cifra que concuerda con la cuota establecida en el modelo de tramitación, por lo que en este caso se considera que existe una alta carga de trabajo en la figura del Juez o Jueza Coordinadora de Tribunal Penal de Alajuela, quien además de las apelaciones integra una sección mixta y realiza labores administrativas de coordinación.</w:t>
      </w:r>
    </w:p>
    <w:p w14:paraId="063C48E8" w14:textId="77777777" w:rsidR="00B15F7D" w:rsidRPr="00990FB6" w:rsidRDefault="00B15F7D" w:rsidP="00B15F7D">
      <w:pPr>
        <w:suppressAutoHyphens w:val="0"/>
        <w:ind w:left="851" w:right="851" w:firstLine="709"/>
        <w:jc w:val="both"/>
        <w:rPr>
          <w:rFonts w:eastAsia="Calibri"/>
          <w:sz w:val="22"/>
          <w:szCs w:val="22"/>
          <w:lang w:val="es-CR" w:eastAsia="en-US"/>
        </w:rPr>
      </w:pPr>
    </w:p>
    <w:p w14:paraId="51C5938B" w14:textId="77777777" w:rsidR="00B15F7D" w:rsidRPr="00990FB6" w:rsidRDefault="00B15F7D" w:rsidP="00B15F7D">
      <w:pPr>
        <w:numPr>
          <w:ilvl w:val="3"/>
          <w:numId w:val="139"/>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 xml:space="preserve">Como parte de los esfuerzos institucionales para la maximización de los recursos y búsqueda de soluciones a la actual carga de trabajo del Tribunal Penal de Alajuela, según acuerdo de Consejo Superior tomado en el artículo XLVII de la sesión 77-2022 celebrada el 08 de setiembre  de 2022, se aprobó el informe 684-PLA-EV-2022 de la Dirección de Planificación, que entre otras recomendaciones, señaló que se debe realizar por parte de la Dirección de Gestión Humana un estudio de recalificación de las plazas vacantes 44563 y 15583 de técnico (a)  judicial 1 del Juzgado de Tránsito del Primer Circuito Judicial de Alajuela, para que se determine si es viable modificarlas a la categoría de Juez (a) 4, para la integración de dos Secciones Unipersonales del Tribunal Penal del Primer Circuito Judicial de Alajuela; no obstante, al momento de elaboración del </w:t>
      </w:r>
      <w:r w:rsidRPr="00990FB6">
        <w:rPr>
          <w:rFonts w:eastAsia="Calibri"/>
          <w:sz w:val="22"/>
          <w:szCs w:val="22"/>
          <w:lang w:val="es-CR" w:eastAsia="en-US"/>
        </w:rPr>
        <w:lastRenderedPageBreak/>
        <w:t>presente informe se encuentra el estudio solicitado se encuentra pendiente por parte de la Dirección de Gestión Humana.</w:t>
      </w:r>
    </w:p>
    <w:p w14:paraId="23BA1C3B"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35D9CA04"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Seguidamente se muestran los costos que representaría la creación de plazas nuevas en el Tribunal Penal de Alajuela:</w:t>
      </w:r>
    </w:p>
    <w:p w14:paraId="7F27D956" w14:textId="77777777" w:rsidR="00B15F7D" w:rsidRPr="00990FB6" w:rsidRDefault="00B15F7D" w:rsidP="00B15F7D">
      <w:pPr>
        <w:suppressAutoHyphens w:val="0"/>
        <w:ind w:left="851" w:right="851" w:firstLine="709"/>
        <w:jc w:val="both"/>
        <w:rPr>
          <w:rFonts w:eastAsia="Calibri"/>
          <w:sz w:val="22"/>
          <w:szCs w:val="22"/>
          <w:lang w:val="es-CR" w:eastAsia="en-US"/>
        </w:rPr>
      </w:pPr>
    </w:p>
    <w:p w14:paraId="36C9A8EF"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12</w:t>
      </w:r>
      <w:r w:rsidRPr="00990FB6">
        <w:rPr>
          <w:b/>
          <w:bCs/>
          <w:color w:val="00000A"/>
          <w:sz w:val="22"/>
          <w:szCs w:val="22"/>
          <w:lang w:eastAsia="es-ES"/>
        </w:rPr>
        <w:fldChar w:fldCharType="end"/>
      </w:r>
    </w:p>
    <w:p w14:paraId="7162B9DB"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Costo anual de requerimiento humano adicional para los Tribunales Penales que no han sido abordados como parte del proyecto del Modelo Penal</w:t>
      </w:r>
    </w:p>
    <w:p w14:paraId="7380E903" w14:textId="77777777" w:rsidR="00B15F7D" w:rsidRPr="00990FB6" w:rsidRDefault="00B15F7D" w:rsidP="00B15F7D">
      <w:pPr>
        <w:tabs>
          <w:tab w:val="left" w:pos="8364"/>
        </w:tabs>
        <w:suppressAutoHyphens w:val="0"/>
        <w:ind w:left="851" w:right="851" w:firstLine="709"/>
        <w:contextualSpacing/>
        <w:jc w:val="both"/>
        <w:rPr>
          <w:rFonts w:eastAsia="Calibri"/>
          <w:b/>
          <w:bCs/>
          <w:sz w:val="22"/>
          <w:szCs w:val="22"/>
          <w:lang w:val="es-CR" w:eastAsia="en-US"/>
        </w:rPr>
      </w:pPr>
    </w:p>
    <w:tbl>
      <w:tblPr>
        <w:tblW w:w="57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03"/>
        <w:gridCol w:w="511"/>
        <w:gridCol w:w="512"/>
        <w:gridCol w:w="770"/>
        <w:gridCol w:w="506"/>
        <w:gridCol w:w="1227"/>
        <w:gridCol w:w="1088"/>
        <w:gridCol w:w="1090"/>
        <w:gridCol w:w="1231"/>
        <w:gridCol w:w="2035"/>
      </w:tblGrid>
      <w:tr w:rsidR="00B15F7D" w:rsidRPr="00990FB6" w14:paraId="7248A89D" w14:textId="77777777" w:rsidTr="000A0C22">
        <w:trPr>
          <w:trHeight w:val="300"/>
          <w:jc w:val="center"/>
        </w:trPr>
        <w:tc>
          <w:tcPr>
            <w:tcW w:w="548" w:type="pct"/>
            <w:vMerge w:val="restart"/>
            <w:shd w:val="clear" w:color="000000" w:fill="305496"/>
            <w:vAlign w:val="center"/>
            <w:hideMark/>
          </w:tcPr>
          <w:p w14:paraId="33780C0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141" w:type="pct"/>
            <w:gridSpan w:val="4"/>
            <w:shd w:val="clear" w:color="000000" w:fill="5B9BD5"/>
            <w:noWrap/>
            <w:vAlign w:val="center"/>
            <w:hideMark/>
          </w:tcPr>
          <w:p w14:paraId="1F715C3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2301" w:type="pct"/>
            <w:gridSpan w:val="4"/>
            <w:shd w:val="clear" w:color="000000" w:fill="5B9BD5"/>
            <w:noWrap/>
            <w:vAlign w:val="center"/>
            <w:hideMark/>
          </w:tcPr>
          <w:p w14:paraId="5AEB089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c>
          <w:tcPr>
            <w:tcW w:w="1011" w:type="pct"/>
            <w:vMerge w:val="restart"/>
            <w:shd w:val="clear" w:color="000000" w:fill="305496"/>
            <w:vAlign w:val="center"/>
            <w:hideMark/>
          </w:tcPr>
          <w:p w14:paraId="05B455B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Observaciones</w:t>
            </w:r>
          </w:p>
        </w:tc>
      </w:tr>
      <w:tr w:rsidR="00B15F7D" w:rsidRPr="00990FB6" w14:paraId="1AD4612E" w14:textId="77777777" w:rsidTr="000A0C22">
        <w:trPr>
          <w:trHeight w:val="648"/>
          <w:jc w:val="center"/>
        </w:trPr>
        <w:tc>
          <w:tcPr>
            <w:tcW w:w="548" w:type="pct"/>
            <w:vMerge/>
            <w:vAlign w:val="center"/>
            <w:hideMark/>
          </w:tcPr>
          <w:p w14:paraId="68798126" w14:textId="77777777" w:rsidR="00B15F7D" w:rsidRPr="00990FB6" w:rsidRDefault="00B15F7D" w:rsidP="00B15F7D">
            <w:pPr>
              <w:suppressAutoHyphens w:val="0"/>
              <w:rPr>
                <w:b/>
                <w:bCs/>
                <w:color w:val="FFFFFF"/>
                <w:sz w:val="22"/>
                <w:szCs w:val="22"/>
                <w:lang w:val="es-CR" w:eastAsia="es-CR"/>
              </w:rPr>
            </w:pPr>
          </w:p>
        </w:tc>
        <w:tc>
          <w:tcPr>
            <w:tcW w:w="254" w:type="pct"/>
            <w:shd w:val="clear" w:color="000000" w:fill="305496"/>
            <w:vAlign w:val="center"/>
            <w:hideMark/>
          </w:tcPr>
          <w:p w14:paraId="185C813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4</w:t>
            </w:r>
          </w:p>
        </w:tc>
        <w:tc>
          <w:tcPr>
            <w:tcW w:w="254" w:type="pct"/>
            <w:shd w:val="clear" w:color="000000" w:fill="305496"/>
            <w:vAlign w:val="center"/>
            <w:hideMark/>
          </w:tcPr>
          <w:p w14:paraId="2FD6293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382" w:type="pct"/>
            <w:shd w:val="clear" w:color="000000" w:fill="305496"/>
            <w:vAlign w:val="center"/>
            <w:hideMark/>
          </w:tcPr>
          <w:p w14:paraId="45F7339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251" w:type="pct"/>
            <w:shd w:val="clear" w:color="000000" w:fill="305496"/>
            <w:vAlign w:val="center"/>
            <w:hideMark/>
          </w:tcPr>
          <w:p w14:paraId="3781F15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Total</w:t>
            </w:r>
          </w:p>
        </w:tc>
        <w:tc>
          <w:tcPr>
            <w:tcW w:w="609" w:type="pct"/>
            <w:shd w:val="clear" w:color="000000" w:fill="305496"/>
            <w:vAlign w:val="center"/>
            <w:hideMark/>
          </w:tcPr>
          <w:p w14:paraId="0F14117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juez o jueza 4</w:t>
            </w:r>
          </w:p>
        </w:tc>
        <w:tc>
          <w:tcPr>
            <w:tcW w:w="540" w:type="pct"/>
            <w:shd w:val="clear" w:color="000000" w:fill="305496"/>
            <w:vAlign w:val="center"/>
            <w:hideMark/>
          </w:tcPr>
          <w:p w14:paraId="0FEDBB1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541" w:type="pct"/>
            <w:shd w:val="clear" w:color="000000" w:fill="305496"/>
            <w:vAlign w:val="center"/>
            <w:hideMark/>
          </w:tcPr>
          <w:p w14:paraId="2E2E830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610" w:type="pct"/>
            <w:shd w:val="clear" w:color="000000" w:fill="305496"/>
            <w:vAlign w:val="center"/>
            <w:hideMark/>
          </w:tcPr>
          <w:p w14:paraId="49653CB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c>
          <w:tcPr>
            <w:tcW w:w="1011" w:type="pct"/>
            <w:vMerge/>
            <w:vAlign w:val="center"/>
            <w:hideMark/>
          </w:tcPr>
          <w:p w14:paraId="4BD739E2" w14:textId="77777777" w:rsidR="00B15F7D" w:rsidRPr="00990FB6" w:rsidRDefault="00B15F7D" w:rsidP="00B15F7D">
            <w:pPr>
              <w:suppressAutoHyphens w:val="0"/>
              <w:rPr>
                <w:b/>
                <w:bCs/>
                <w:color w:val="FFFFFF"/>
                <w:sz w:val="22"/>
                <w:szCs w:val="22"/>
                <w:lang w:val="es-CR" w:eastAsia="es-CR"/>
              </w:rPr>
            </w:pPr>
          </w:p>
        </w:tc>
      </w:tr>
      <w:tr w:rsidR="00B15F7D" w:rsidRPr="00990FB6" w14:paraId="2F25465F" w14:textId="77777777" w:rsidTr="000A0C22">
        <w:trPr>
          <w:trHeight w:val="804"/>
          <w:jc w:val="center"/>
        </w:trPr>
        <w:tc>
          <w:tcPr>
            <w:tcW w:w="548" w:type="pct"/>
            <w:shd w:val="clear" w:color="000000" w:fill="FFFFFF"/>
            <w:vAlign w:val="center"/>
            <w:hideMark/>
          </w:tcPr>
          <w:p w14:paraId="60A0DF8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Alajuela</w:t>
            </w:r>
          </w:p>
        </w:tc>
        <w:tc>
          <w:tcPr>
            <w:tcW w:w="254" w:type="pct"/>
            <w:shd w:val="clear" w:color="000000" w:fill="FFFFFF"/>
            <w:vAlign w:val="center"/>
            <w:hideMark/>
          </w:tcPr>
          <w:p w14:paraId="16AC12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w:t>
            </w:r>
          </w:p>
        </w:tc>
        <w:tc>
          <w:tcPr>
            <w:tcW w:w="254" w:type="pct"/>
            <w:shd w:val="clear" w:color="000000" w:fill="FFFFFF"/>
            <w:vAlign w:val="center"/>
            <w:hideMark/>
          </w:tcPr>
          <w:p w14:paraId="624574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82" w:type="pct"/>
            <w:shd w:val="clear" w:color="000000" w:fill="FFFFFF"/>
            <w:vAlign w:val="center"/>
            <w:hideMark/>
          </w:tcPr>
          <w:p w14:paraId="1D9221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251" w:type="pct"/>
            <w:shd w:val="clear" w:color="000000" w:fill="FFFFFF"/>
            <w:vAlign w:val="center"/>
            <w:hideMark/>
          </w:tcPr>
          <w:p w14:paraId="0A1CC3C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13</w:t>
            </w:r>
          </w:p>
        </w:tc>
        <w:tc>
          <w:tcPr>
            <w:tcW w:w="609" w:type="pct"/>
            <w:shd w:val="clear" w:color="000000" w:fill="FFFFFF"/>
            <w:vAlign w:val="center"/>
            <w:hideMark/>
          </w:tcPr>
          <w:p w14:paraId="0C90A38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370 266 000,00 </w:t>
            </w:r>
          </w:p>
        </w:tc>
        <w:tc>
          <w:tcPr>
            <w:tcW w:w="540" w:type="pct"/>
            <w:shd w:val="clear" w:color="000000" w:fill="FFFFFF"/>
            <w:vAlign w:val="center"/>
            <w:hideMark/>
          </w:tcPr>
          <w:p w14:paraId="23DE6F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53 778 000,00 </w:t>
            </w:r>
          </w:p>
        </w:tc>
        <w:tc>
          <w:tcPr>
            <w:tcW w:w="541" w:type="pct"/>
            <w:shd w:val="clear" w:color="000000" w:fill="FFFFFF"/>
            <w:vAlign w:val="center"/>
            <w:hideMark/>
          </w:tcPr>
          <w:p w14:paraId="275EB1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66 704 000,00 </w:t>
            </w:r>
          </w:p>
        </w:tc>
        <w:tc>
          <w:tcPr>
            <w:tcW w:w="610" w:type="pct"/>
            <w:shd w:val="clear" w:color="000000" w:fill="FFFFFF"/>
            <w:vAlign w:val="center"/>
            <w:hideMark/>
          </w:tcPr>
          <w:p w14:paraId="76D537B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490 748 000,00 </w:t>
            </w:r>
          </w:p>
        </w:tc>
        <w:tc>
          <w:tcPr>
            <w:tcW w:w="1011" w:type="pct"/>
            <w:shd w:val="clear" w:color="000000" w:fill="FFFFFF"/>
            <w:vAlign w:val="center"/>
            <w:hideMark/>
          </w:tcPr>
          <w:p w14:paraId="6CC726B8" w14:textId="77777777" w:rsidR="00B15F7D" w:rsidRPr="00990FB6" w:rsidRDefault="00B15F7D" w:rsidP="00B15F7D">
            <w:pPr>
              <w:suppressAutoHyphens w:val="0"/>
              <w:jc w:val="both"/>
              <w:rPr>
                <w:color w:val="000000"/>
                <w:sz w:val="22"/>
                <w:szCs w:val="22"/>
                <w:lang w:val="es-CR" w:eastAsia="es-CR"/>
              </w:rPr>
            </w:pPr>
            <w:r w:rsidRPr="00990FB6">
              <w:rPr>
                <w:color w:val="000000"/>
                <w:sz w:val="22"/>
                <w:szCs w:val="22"/>
                <w:lang w:val="es-CR" w:eastAsia="es-CR"/>
              </w:rPr>
              <w:t xml:space="preserve">Informe 890-PLA-2016, sesión de Consejo Superior </w:t>
            </w:r>
            <w:proofErr w:type="spellStart"/>
            <w:r w:rsidRPr="00990FB6">
              <w:rPr>
                <w:color w:val="000000"/>
                <w:sz w:val="22"/>
                <w:szCs w:val="22"/>
                <w:lang w:val="es-CR" w:eastAsia="es-CR"/>
              </w:rPr>
              <w:t>N°</w:t>
            </w:r>
            <w:proofErr w:type="spellEnd"/>
            <w:r w:rsidRPr="00990FB6">
              <w:rPr>
                <w:color w:val="000000"/>
                <w:sz w:val="22"/>
                <w:szCs w:val="22"/>
                <w:lang w:val="es-CR" w:eastAsia="es-CR"/>
              </w:rPr>
              <w:t xml:space="preserve"> 57-16, celebrada el 9 de junio del 2016, artículo XIII. Se aprobó la conformación de una sección colegiada emergente.</w:t>
            </w:r>
          </w:p>
        </w:tc>
      </w:tr>
      <w:tr w:rsidR="00B15F7D" w:rsidRPr="00990FB6" w14:paraId="05724226" w14:textId="77777777" w:rsidTr="000A0C22">
        <w:trPr>
          <w:trHeight w:val="300"/>
          <w:jc w:val="center"/>
        </w:trPr>
        <w:tc>
          <w:tcPr>
            <w:tcW w:w="548" w:type="pct"/>
            <w:shd w:val="clear" w:color="000000" w:fill="DEEAF6"/>
            <w:vAlign w:val="center"/>
            <w:hideMark/>
          </w:tcPr>
          <w:p w14:paraId="44098925"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254" w:type="pct"/>
            <w:shd w:val="clear" w:color="000000" w:fill="DEEAF6"/>
            <w:vAlign w:val="center"/>
            <w:hideMark/>
          </w:tcPr>
          <w:p w14:paraId="3CDF3A17"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6</w:t>
            </w:r>
          </w:p>
        </w:tc>
        <w:tc>
          <w:tcPr>
            <w:tcW w:w="254" w:type="pct"/>
            <w:shd w:val="clear" w:color="000000" w:fill="DEEAF6"/>
            <w:vAlign w:val="center"/>
            <w:hideMark/>
          </w:tcPr>
          <w:p w14:paraId="5AC4628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w:t>
            </w:r>
          </w:p>
        </w:tc>
        <w:tc>
          <w:tcPr>
            <w:tcW w:w="382" w:type="pct"/>
            <w:shd w:val="clear" w:color="000000" w:fill="DEEAF6"/>
            <w:vAlign w:val="center"/>
            <w:hideMark/>
          </w:tcPr>
          <w:p w14:paraId="3B052E5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4</w:t>
            </w:r>
          </w:p>
        </w:tc>
        <w:tc>
          <w:tcPr>
            <w:tcW w:w="251" w:type="pct"/>
            <w:shd w:val="clear" w:color="000000" w:fill="DEEAF6"/>
            <w:vAlign w:val="center"/>
            <w:hideMark/>
          </w:tcPr>
          <w:p w14:paraId="50CF69C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11</w:t>
            </w:r>
          </w:p>
        </w:tc>
        <w:tc>
          <w:tcPr>
            <w:tcW w:w="609" w:type="pct"/>
            <w:shd w:val="clear" w:color="000000" w:fill="DEEAF6"/>
            <w:vAlign w:val="center"/>
            <w:hideMark/>
          </w:tcPr>
          <w:p w14:paraId="401A4E5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370 266 000,00 </w:t>
            </w:r>
          </w:p>
        </w:tc>
        <w:tc>
          <w:tcPr>
            <w:tcW w:w="540" w:type="pct"/>
            <w:shd w:val="clear" w:color="000000" w:fill="DEEAF6"/>
            <w:vAlign w:val="center"/>
            <w:hideMark/>
          </w:tcPr>
          <w:p w14:paraId="4C3C1EEB"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53 778 000,00 </w:t>
            </w:r>
          </w:p>
        </w:tc>
        <w:tc>
          <w:tcPr>
            <w:tcW w:w="541" w:type="pct"/>
            <w:shd w:val="clear" w:color="000000" w:fill="DEEAF6"/>
            <w:vAlign w:val="center"/>
            <w:hideMark/>
          </w:tcPr>
          <w:p w14:paraId="397B09D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66 704 000,00 </w:t>
            </w:r>
          </w:p>
        </w:tc>
        <w:tc>
          <w:tcPr>
            <w:tcW w:w="610" w:type="pct"/>
            <w:shd w:val="clear" w:color="000000" w:fill="DEEAF6"/>
            <w:vAlign w:val="center"/>
            <w:hideMark/>
          </w:tcPr>
          <w:p w14:paraId="4036641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490 748 000,00 </w:t>
            </w:r>
          </w:p>
        </w:tc>
        <w:tc>
          <w:tcPr>
            <w:tcW w:w="1011" w:type="pct"/>
            <w:shd w:val="clear" w:color="000000" w:fill="DEEAF6"/>
            <w:vAlign w:val="center"/>
            <w:hideMark/>
          </w:tcPr>
          <w:p w14:paraId="01AA830D"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w:t>
            </w:r>
          </w:p>
        </w:tc>
      </w:tr>
    </w:tbl>
    <w:p w14:paraId="0B6056AB" w14:textId="77777777" w:rsidR="00B15F7D" w:rsidRPr="00990FB6" w:rsidRDefault="00B15F7D" w:rsidP="00B15F7D">
      <w:pPr>
        <w:suppressAutoHyphens w:val="0"/>
        <w:ind w:right="566"/>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09E9A4B3" w14:textId="77777777" w:rsidR="00B15F7D" w:rsidRPr="00990FB6" w:rsidRDefault="00B15F7D" w:rsidP="00B15F7D">
      <w:pPr>
        <w:suppressAutoHyphens w:val="0"/>
        <w:jc w:val="both"/>
        <w:rPr>
          <w:rFonts w:eastAsia="Calibri"/>
          <w:sz w:val="22"/>
          <w:szCs w:val="22"/>
          <w:lang w:val="es-CR" w:eastAsia="en-US"/>
        </w:rPr>
      </w:pPr>
    </w:p>
    <w:p w14:paraId="63600F4A"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Para la asignación de plazas en el Tribunal Penal de Alajuela para dar soporte a la entrada mensual de asuntos, el costo total anual es de ₡ 490 748 000,00, más la reclasificación de dos plazas de técnica o técnico judicial 1 a juez o jueza 4, cuyo costo asciende a ₡ 92 660 000,00, por lo que el costo total de reforzamiento del Tribunal Penal de Alajuela se estima en ₡ 583 408 000,00.</w:t>
      </w:r>
    </w:p>
    <w:p w14:paraId="77377FE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731F53E" w14:textId="77777777" w:rsidR="00B15F7D" w:rsidRPr="00990FB6" w:rsidRDefault="00B15F7D" w:rsidP="00B15F7D">
      <w:pPr>
        <w:numPr>
          <w:ilvl w:val="1"/>
          <w:numId w:val="128"/>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 xml:space="preserve">Secciones de Flagrancia </w:t>
      </w:r>
    </w:p>
    <w:p w14:paraId="429A13FB"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las secciones de Flagrancia del país se han detectado necesidades de personal, los cuales se exponen a continuación:</w:t>
      </w:r>
    </w:p>
    <w:p w14:paraId="2BFD5076"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30049543" w14:textId="6351096F" w:rsidR="00B15F7D" w:rsidRDefault="00B15F7D" w:rsidP="00B15F7D">
      <w:pPr>
        <w:numPr>
          <w:ilvl w:val="0"/>
          <w:numId w:val="132"/>
        </w:numPr>
        <w:suppressAutoHyphens w:val="0"/>
        <w:ind w:left="851" w:right="851" w:firstLine="709"/>
        <w:jc w:val="both"/>
        <w:rPr>
          <w:rFonts w:eastAsia="Calibri"/>
          <w:sz w:val="22"/>
          <w:szCs w:val="22"/>
          <w:lang w:val="es-CR" w:eastAsia="en-US"/>
        </w:rPr>
      </w:pPr>
      <w:bookmarkStart w:id="21" w:name="_Hlk51663084"/>
      <w:r w:rsidRPr="00990FB6">
        <w:rPr>
          <w:rFonts w:eastAsia="Calibri"/>
          <w:b/>
          <w:bCs/>
          <w:sz w:val="22"/>
          <w:szCs w:val="22"/>
          <w:lang w:val="es-CR" w:eastAsia="en-US"/>
        </w:rPr>
        <w:t>Sección de Flagrancia de San Ramón:</w:t>
      </w:r>
      <w:r w:rsidRPr="00990FB6">
        <w:rPr>
          <w:rFonts w:eastAsia="Calibri"/>
          <w:sz w:val="22"/>
          <w:szCs w:val="22"/>
          <w:lang w:val="es-CR" w:eastAsia="en-US"/>
        </w:rPr>
        <w:t xml:space="preserve"> mediante oficio 463-PLA-OI-2020, aprobado por el Consejo Superior en sesión 38-21, celebrada el 11 de mayo del 2021, artículo XLII, se analizó la situación de la Sección de Flagrancia del Tercer Circuito Judicial de Alajuela (San Ramón), en el que se concluyó que la proporción de recurso humano en todas las secciones de Flagrancia del país es de tres Técnicas o Técnicos Judiciales por cada cuatro plazas de Jueza o Juez 4, la excepción a nivel nacional la tiene San Ramón, donde esa relación es de dos contra cuatro recursos respectivamente, lo que los sitúa en desventaja estructural </w:t>
      </w:r>
      <w:r w:rsidRPr="00990FB6">
        <w:rPr>
          <w:rFonts w:eastAsia="Calibri"/>
          <w:sz w:val="22"/>
          <w:szCs w:val="22"/>
          <w:lang w:val="es-CR" w:eastAsia="en-US"/>
        </w:rPr>
        <w:lastRenderedPageBreak/>
        <w:t>con el resto de secciones de Flagrancia del paí</w:t>
      </w:r>
      <w:bookmarkEnd w:id="21"/>
      <w:r w:rsidRPr="00990FB6">
        <w:rPr>
          <w:rFonts w:eastAsia="Calibri"/>
          <w:sz w:val="22"/>
          <w:szCs w:val="22"/>
          <w:lang w:val="es-CR" w:eastAsia="en-US"/>
        </w:rPr>
        <w:t>s.  Ante lo expuesto, el requerimiento humano sería una plaza de Técnica o Técnico Judicial.</w:t>
      </w:r>
    </w:p>
    <w:p w14:paraId="36E3C4FC" w14:textId="77777777" w:rsidR="0045290B" w:rsidRPr="00990FB6" w:rsidRDefault="0045290B" w:rsidP="0045290B">
      <w:pPr>
        <w:suppressAutoHyphens w:val="0"/>
        <w:ind w:left="1560" w:right="851"/>
        <w:jc w:val="both"/>
        <w:rPr>
          <w:rFonts w:eastAsia="Calibri"/>
          <w:sz w:val="22"/>
          <w:szCs w:val="22"/>
          <w:lang w:val="es-CR" w:eastAsia="en-US"/>
        </w:rPr>
      </w:pPr>
    </w:p>
    <w:p w14:paraId="3ADEEF60"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13</w:t>
      </w:r>
      <w:r w:rsidRPr="00990FB6">
        <w:rPr>
          <w:b/>
          <w:bCs/>
          <w:color w:val="00000A"/>
          <w:sz w:val="22"/>
          <w:szCs w:val="22"/>
          <w:lang w:eastAsia="es-ES"/>
        </w:rPr>
        <w:fldChar w:fldCharType="end"/>
      </w:r>
    </w:p>
    <w:p w14:paraId="15920D05"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Costo anual de requerimiento humano adicional para las secciones de Flagrancia</w:t>
      </w:r>
    </w:p>
    <w:p w14:paraId="1F0A35CF"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p>
    <w:tbl>
      <w:tblPr>
        <w:tblW w:w="6369" w:type="dxa"/>
        <w:jc w:val="center"/>
        <w:tblCellMar>
          <w:left w:w="70" w:type="dxa"/>
          <w:right w:w="70" w:type="dxa"/>
        </w:tblCellMar>
        <w:tblLook w:val="04A0" w:firstRow="1" w:lastRow="0" w:firstColumn="1" w:lastColumn="0" w:noHBand="0" w:noVBand="1"/>
      </w:tblPr>
      <w:tblGrid>
        <w:gridCol w:w="2400"/>
        <w:gridCol w:w="1134"/>
        <w:gridCol w:w="1276"/>
        <w:gridCol w:w="1559"/>
      </w:tblGrid>
      <w:tr w:rsidR="00B15F7D" w:rsidRPr="00990FB6" w14:paraId="0CA77AD2" w14:textId="77777777" w:rsidTr="000A0C22">
        <w:trPr>
          <w:trHeight w:val="300"/>
          <w:jc w:val="center"/>
        </w:trPr>
        <w:tc>
          <w:tcPr>
            <w:tcW w:w="2400"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65BF1A7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3969" w:type="dxa"/>
            <w:gridSpan w:val="3"/>
            <w:tcBorders>
              <w:top w:val="single" w:sz="12" w:space="0" w:color="A5A5A5"/>
              <w:left w:val="nil"/>
              <w:bottom w:val="single" w:sz="12" w:space="0" w:color="A5A5A5"/>
              <w:right w:val="single" w:sz="12" w:space="0" w:color="A5A5A5"/>
            </w:tcBorders>
            <w:shd w:val="clear" w:color="000000" w:fill="5B9BD5"/>
            <w:noWrap/>
            <w:vAlign w:val="center"/>
            <w:hideMark/>
          </w:tcPr>
          <w:p w14:paraId="6F683AD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r>
      <w:tr w:rsidR="00B15F7D" w:rsidRPr="00990FB6" w14:paraId="2099BF4A" w14:textId="77777777" w:rsidTr="000A0C22">
        <w:trPr>
          <w:trHeight w:val="521"/>
          <w:jc w:val="center"/>
        </w:trPr>
        <w:tc>
          <w:tcPr>
            <w:tcW w:w="2400" w:type="dxa"/>
            <w:vMerge/>
            <w:tcBorders>
              <w:top w:val="single" w:sz="8" w:space="0" w:color="E7E6E6"/>
              <w:left w:val="single" w:sz="8" w:space="0" w:color="E7E6E6"/>
              <w:bottom w:val="single" w:sz="8" w:space="0" w:color="E7E6E6"/>
              <w:right w:val="single" w:sz="8" w:space="0" w:color="E7E6E6"/>
            </w:tcBorders>
            <w:vAlign w:val="center"/>
            <w:hideMark/>
          </w:tcPr>
          <w:p w14:paraId="101F7CDE" w14:textId="77777777" w:rsidR="00B15F7D" w:rsidRPr="00990FB6" w:rsidRDefault="00B15F7D" w:rsidP="00B15F7D">
            <w:pPr>
              <w:suppressAutoHyphens w:val="0"/>
              <w:rPr>
                <w:b/>
                <w:bCs/>
                <w:color w:val="FFFFFF"/>
                <w:sz w:val="22"/>
                <w:szCs w:val="22"/>
                <w:lang w:val="es-CR" w:eastAsia="es-CR"/>
              </w:rPr>
            </w:pPr>
          </w:p>
        </w:tc>
        <w:tc>
          <w:tcPr>
            <w:tcW w:w="1134" w:type="dxa"/>
            <w:tcBorders>
              <w:top w:val="single" w:sz="12" w:space="0" w:color="A5A5A5"/>
              <w:left w:val="nil"/>
              <w:bottom w:val="single" w:sz="8" w:space="0" w:color="D4D4D4"/>
              <w:right w:val="single" w:sz="8" w:space="0" w:color="D4D4D4"/>
            </w:tcBorders>
            <w:shd w:val="clear" w:color="000000" w:fill="305496"/>
            <w:vAlign w:val="center"/>
            <w:hideMark/>
          </w:tcPr>
          <w:p w14:paraId="23061B6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276" w:type="dxa"/>
            <w:tcBorders>
              <w:top w:val="nil"/>
              <w:left w:val="nil"/>
              <w:bottom w:val="nil"/>
              <w:right w:val="single" w:sz="8" w:space="0" w:color="D4D4D4"/>
            </w:tcBorders>
            <w:shd w:val="clear" w:color="000000" w:fill="305496"/>
            <w:vAlign w:val="center"/>
            <w:hideMark/>
          </w:tcPr>
          <w:p w14:paraId="3C57091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plaza técnico judicial 3</w:t>
            </w:r>
          </w:p>
        </w:tc>
        <w:tc>
          <w:tcPr>
            <w:tcW w:w="1559" w:type="dxa"/>
            <w:tcBorders>
              <w:top w:val="nil"/>
              <w:left w:val="nil"/>
              <w:bottom w:val="nil"/>
              <w:right w:val="single" w:sz="8" w:space="0" w:color="D4D4D4"/>
            </w:tcBorders>
            <w:shd w:val="clear" w:color="000000" w:fill="305496"/>
            <w:vAlign w:val="center"/>
            <w:hideMark/>
          </w:tcPr>
          <w:p w14:paraId="72040DF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76EA5F0A" w14:textId="77777777" w:rsidTr="000A0C22">
        <w:trPr>
          <w:trHeight w:val="196"/>
          <w:jc w:val="center"/>
        </w:trPr>
        <w:tc>
          <w:tcPr>
            <w:tcW w:w="2400" w:type="dxa"/>
            <w:tcBorders>
              <w:top w:val="nil"/>
              <w:left w:val="single" w:sz="8" w:space="0" w:color="D4D4D4"/>
              <w:bottom w:val="single" w:sz="12" w:space="0" w:color="A5A5A5"/>
              <w:right w:val="single" w:sz="8" w:space="0" w:color="D4D4D4"/>
            </w:tcBorders>
            <w:shd w:val="clear" w:color="auto" w:fill="auto"/>
            <w:vAlign w:val="center"/>
            <w:hideMark/>
          </w:tcPr>
          <w:p w14:paraId="454C30A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Sección de Flagrancia de San Ramón</w:t>
            </w:r>
          </w:p>
        </w:tc>
        <w:tc>
          <w:tcPr>
            <w:tcW w:w="1134" w:type="dxa"/>
            <w:tcBorders>
              <w:top w:val="nil"/>
              <w:left w:val="nil"/>
              <w:bottom w:val="single" w:sz="12" w:space="0" w:color="A5A5A5"/>
              <w:right w:val="single" w:sz="8" w:space="0" w:color="D4D4D4"/>
            </w:tcBorders>
            <w:shd w:val="clear" w:color="auto" w:fill="auto"/>
            <w:vAlign w:val="center"/>
            <w:hideMark/>
          </w:tcPr>
          <w:p w14:paraId="16F36E6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276" w:type="dxa"/>
            <w:tcBorders>
              <w:top w:val="nil"/>
              <w:left w:val="nil"/>
              <w:bottom w:val="single" w:sz="12" w:space="0" w:color="A5A5A5"/>
              <w:right w:val="single" w:sz="8" w:space="0" w:color="D4D4D4"/>
            </w:tcBorders>
            <w:shd w:val="clear" w:color="auto" w:fill="auto"/>
            <w:vAlign w:val="center"/>
            <w:hideMark/>
          </w:tcPr>
          <w:p w14:paraId="13DF49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c>
          <w:tcPr>
            <w:tcW w:w="1559" w:type="dxa"/>
            <w:tcBorders>
              <w:top w:val="nil"/>
              <w:left w:val="nil"/>
              <w:bottom w:val="single" w:sz="12" w:space="0" w:color="A5A5A5"/>
              <w:right w:val="single" w:sz="8" w:space="0" w:color="D4D4D4"/>
            </w:tcBorders>
            <w:shd w:val="clear" w:color="auto" w:fill="auto"/>
            <w:vAlign w:val="center"/>
            <w:hideMark/>
          </w:tcPr>
          <w:p w14:paraId="780BC7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r>
    </w:tbl>
    <w:p w14:paraId="184D0323" w14:textId="77777777" w:rsidR="00B15F7D" w:rsidRPr="00990FB6" w:rsidRDefault="00B15F7D" w:rsidP="00B15F7D">
      <w:pPr>
        <w:suppressAutoHyphens w:val="0"/>
        <w:ind w:left="1418" w:right="1416"/>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5D7E1CF8" w14:textId="77777777" w:rsidR="00B15F7D" w:rsidRPr="00990FB6" w:rsidRDefault="00B15F7D" w:rsidP="00B15F7D">
      <w:pPr>
        <w:ind w:left="851" w:right="851" w:firstLine="709"/>
        <w:jc w:val="both"/>
        <w:rPr>
          <w:rFonts w:eastAsia="Calibri"/>
          <w:sz w:val="22"/>
          <w:szCs w:val="22"/>
          <w:lang w:val="es-CR" w:eastAsia="en-US"/>
        </w:rPr>
      </w:pPr>
      <w:r w:rsidRPr="00990FB6">
        <w:rPr>
          <w:rFonts w:eastAsia="Calibri"/>
          <w:sz w:val="22"/>
          <w:szCs w:val="22"/>
          <w:lang w:val="es-CR" w:eastAsia="en-US"/>
        </w:rPr>
        <w:t>Se estima que la asignación de una plaza de técnica o técnico judicial 3 para la Sección de Flagrancia de San Ramón sería de ₡ 16 676 000,00.</w:t>
      </w:r>
    </w:p>
    <w:p w14:paraId="4A2A4C55" w14:textId="77777777" w:rsidR="00B15F7D" w:rsidRPr="00990FB6" w:rsidRDefault="00B15F7D" w:rsidP="00B15F7D">
      <w:pPr>
        <w:ind w:left="851" w:right="851" w:firstLine="709"/>
        <w:jc w:val="both"/>
        <w:rPr>
          <w:rFonts w:eastAsia="Calibri"/>
          <w:sz w:val="22"/>
          <w:szCs w:val="22"/>
          <w:lang w:val="es-CR" w:eastAsia="en-US"/>
        </w:rPr>
      </w:pPr>
    </w:p>
    <w:p w14:paraId="53BF247B" w14:textId="77777777" w:rsidR="00B15F7D" w:rsidRPr="00990FB6" w:rsidRDefault="00B15F7D" w:rsidP="00B15F7D">
      <w:pPr>
        <w:numPr>
          <w:ilvl w:val="1"/>
          <w:numId w:val="128"/>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Aumento en la cuota de las secciones unipersonales</w:t>
      </w:r>
    </w:p>
    <w:p w14:paraId="66E76716"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p>
    <w:p w14:paraId="566AA01E"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r w:rsidRPr="00990FB6">
        <w:rPr>
          <w:sz w:val="22"/>
          <w:szCs w:val="22"/>
          <w:lang w:val="es-CR" w:eastAsia="en-US"/>
        </w:rPr>
        <w:t>La Dirección de Planificación mediante oficio 52-PLA-MI (PL)-2023, remitido para aprobación del Consejo Superior el 27 de enero del 2023, realizó un análisis de la cuota de trabajo esperada para la atención se asuntos unipersonales en los Tribunales Penales del país, en el que se recomienda aumentar la cuota ideal mensual en un 25% al pasar de 20 sentencias o medidas alternas al mes a 25 y en el citado informe 52-PLA-MI(PL)-2023 se determina que los siguientes despachos tienen una mayor criticidad para la atención de asuntos unipersonales, ya que se estima que tiene una capacidad instalada menor al 80%, por lo que sería necesario su reforzamiento con recurso humano adicional, los cuales se detallan a continuación:</w:t>
      </w:r>
    </w:p>
    <w:p w14:paraId="538D72AB"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p>
    <w:p w14:paraId="7474E6CE"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14</w:t>
      </w:r>
      <w:r w:rsidRPr="00990FB6">
        <w:rPr>
          <w:b/>
          <w:bCs/>
          <w:color w:val="00000A"/>
          <w:sz w:val="22"/>
          <w:szCs w:val="22"/>
          <w:lang w:eastAsia="es-ES"/>
        </w:rPr>
        <w:fldChar w:fldCharType="end"/>
      </w:r>
    </w:p>
    <w:p w14:paraId="43C76120" w14:textId="77777777" w:rsidR="00B15F7D" w:rsidRPr="00990FB6" w:rsidRDefault="00B15F7D" w:rsidP="00B15F7D">
      <w:pPr>
        <w:suppressAutoHyphens w:val="0"/>
        <w:ind w:left="851" w:right="851" w:firstLine="709"/>
        <w:jc w:val="center"/>
        <w:rPr>
          <w:bCs/>
          <w:i/>
          <w:smallCaps/>
          <w:sz w:val="22"/>
          <w:szCs w:val="22"/>
          <w:lang w:val="es-CR" w:eastAsia="en-US"/>
        </w:rPr>
      </w:pPr>
      <w:r w:rsidRPr="00990FB6">
        <w:rPr>
          <w:b/>
          <w:bCs/>
          <w:smallCaps/>
          <w:sz w:val="22"/>
          <w:szCs w:val="22"/>
          <w:lang w:val="es-CR" w:eastAsia="en-US"/>
        </w:rPr>
        <w:t>Requerimiento de recurso humano adicional para la atención de juicios unipersonales en los tribunales penales del país debido al aumento en la cuota establecida</w:t>
      </w:r>
    </w:p>
    <w:p w14:paraId="52E5DEDE" w14:textId="77777777" w:rsidR="00B15F7D" w:rsidRPr="00990FB6" w:rsidRDefault="00B15F7D" w:rsidP="00B15F7D">
      <w:pPr>
        <w:tabs>
          <w:tab w:val="left" w:pos="426"/>
          <w:tab w:val="left" w:pos="1134"/>
        </w:tabs>
        <w:suppressAutoHyphens w:val="0"/>
        <w:contextualSpacing/>
        <w:jc w:val="both"/>
        <w:rPr>
          <w:sz w:val="22"/>
          <w:szCs w:val="22"/>
          <w:lang w:val="es-CR" w:eastAsia="en-US"/>
        </w:rPr>
      </w:pPr>
    </w:p>
    <w:tbl>
      <w:tblPr>
        <w:tblW w:w="0" w:type="auto"/>
        <w:jc w:val="center"/>
        <w:tblLook w:val="04A0" w:firstRow="1" w:lastRow="0" w:firstColumn="1" w:lastColumn="0" w:noHBand="0" w:noVBand="1"/>
      </w:tblPr>
      <w:tblGrid>
        <w:gridCol w:w="1673"/>
        <w:gridCol w:w="1206"/>
        <w:gridCol w:w="1293"/>
        <w:gridCol w:w="1404"/>
        <w:gridCol w:w="1275"/>
        <w:gridCol w:w="1273"/>
      </w:tblGrid>
      <w:tr w:rsidR="00B15F7D" w:rsidRPr="00990FB6" w14:paraId="6F4483B8" w14:textId="77777777" w:rsidTr="000A0C22">
        <w:trPr>
          <w:jc w:val="center"/>
        </w:trPr>
        <w:tc>
          <w:tcPr>
            <w:tcW w:w="1673" w:type="dxa"/>
            <w:shd w:val="clear" w:color="auto" w:fill="002060"/>
            <w:vAlign w:val="center"/>
          </w:tcPr>
          <w:p w14:paraId="57A3C71C" w14:textId="77777777" w:rsidR="00B15F7D" w:rsidRPr="00990FB6" w:rsidRDefault="00B15F7D" w:rsidP="00B15F7D">
            <w:pPr>
              <w:suppressAutoHyphens w:val="0"/>
              <w:jc w:val="center"/>
              <w:rPr>
                <w:b/>
                <w:sz w:val="22"/>
                <w:szCs w:val="22"/>
                <w:lang w:eastAsia="es-CR"/>
              </w:rPr>
            </w:pPr>
            <w:r w:rsidRPr="00990FB6">
              <w:rPr>
                <w:b/>
                <w:sz w:val="22"/>
                <w:szCs w:val="22"/>
                <w:lang w:eastAsia="es-CR"/>
              </w:rPr>
              <w:t>Tribunal Penal</w:t>
            </w:r>
          </w:p>
        </w:tc>
        <w:tc>
          <w:tcPr>
            <w:tcW w:w="1157" w:type="dxa"/>
            <w:shd w:val="clear" w:color="auto" w:fill="002060"/>
            <w:vAlign w:val="center"/>
          </w:tcPr>
          <w:p w14:paraId="411A5C8E" w14:textId="77777777" w:rsidR="00B15F7D" w:rsidRPr="00990FB6" w:rsidRDefault="00B15F7D" w:rsidP="00B15F7D">
            <w:pPr>
              <w:suppressAutoHyphens w:val="0"/>
              <w:jc w:val="center"/>
              <w:rPr>
                <w:b/>
                <w:sz w:val="22"/>
                <w:szCs w:val="22"/>
                <w:lang w:eastAsia="es-CR"/>
              </w:rPr>
            </w:pPr>
            <w:r w:rsidRPr="00990FB6">
              <w:rPr>
                <w:b/>
                <w:sz w:val="22"/>
                <w:szCs w:val="22"/>
                <w:lang w:eastAsia="es-CR"/>
              </w:rPr>
              <w:t>Persona</w:t>
            </w:r>
          </w:p>
          <w:p w14:paraId="2B5D9631" w14:textId="77777777" w:rsidR="00B15F7D" w:rsidRPr="00990FB6" w:rsidRDefault="00B15F7D" w:rsidP="00B15F7D">
            <w:pPr>
              <w:suppressAutoHyphens w:val="0"/>
              <w:jc w:val="center"/>
              <w:rPr>
                <w:b/>
                <w:sz w:val="22"/>
                <w:szCs w:val="22"/>
                <w:lang w:eastAsia="es-CR"/>
              </w:rPr>
            </w:pPr>
            <w:r w:rsidRPr="00990FB6">
              <w:rPr>
                <w:b/>
                <w:sz w:val="22"/>
                <w:szCs w:val="22"/>
                <w:lang w:eastAsia="es-CR"/>
              </w:rPr>
              <w:t>Juzgadora 4</w:t>
            </w:r>
          </w:p>
        </w:tc>
        <w:tc>
          <w:tcPr>
            <w:tcW w:w="1293" w:type="dxa"/>
            <w:shd w:val="clear" w:color="auto" w:fill="002060"/>
            <w:vAlign w:val="center"/>
          </w:tcPr>
          <w:p w14:paraId="4057B124" w14:textId="77777777" w:rsidR="00B15F7D" w:rsidRPr="00990FB6" w:rsidRDefault="00B15F7D" w:rsidP="00B15F7D">
            <w:pPr>
              <w:suppressAutoHyphens w:val="0"/>
              <w:jc w:val="center"/>
              <w:rPr>
                <w:b/>
                <w:sz w:val="22"/>
                <w:szCs w:val="22"/>
                <w:lang w:eastAsia="es-CR"/>
              </w:rPr>
            </w:pPr>
            <w:r w:rsidRPr="00990FB6">
              <w:rPr>
                <w:b/>
                <w:sz w:val="22"/>
                <w:szCs w:val="22"/>
                <w:lang w:eastAsia="es-CR"/>
              </w:rPr>
              <w:t>Persona</w:t>
            </w:r>
          </w:p>
          <w:p w14:paraId="7F3375A9" w14:textId="77777777" w:rsidR="00B15F7D" w:rsidRPr="00990FB6" w:rsidRDefault="00B15F7D" w:rsidP="00B15F7D">
            <w:pPr>
              <w:suppressAutoHyphens w:val="0"/>
              <w:jc w:val="center"/>
              <w:rPr>
                <w:b/>
                <w:sz w:val="22"/>
                <w:szCs w:val="22"/>
                <w:lang w:eastAsia="es-CR"/>
              </w:rPr>
            </w:pPr>
            <w:r w:rsidRPr="00990FB6">
              <w:rPr>
                <w:b/>
                <w:sz w:val="22"/>
                <w:szCs w:val="22"/>
                <w:lang w:eastAsia="es-CR"/>
              </w:rPr>
              <w:t>Fiscal</w:t>
            </w:r>
          </w:p>
        </w:tc>
        <w:tc>
          <w:tcPr>
            <w:tcW w:w="1404" w:type="dxa"/>
            <w:shd w:val="clear" w:color="auto" w:fill="002060"/>
            <w:vAlign w:val="center"/>
          </w:tcPr>
          <w:p w14:paraId="7435CE73" w14:textId="77777777" w:rsidR="00B15F7D" w:rsidRPr="00990FB6" w:rsidRDefault="00B15F7D" w:rsidP="00B15F7D">
            <w:pPr>
              <w:suppressAutoHyphens w:val="0"/>
              <w:jc w:val="center"/>
              <w:rPr>
                <w:b/>
                <w:sz w:val="22"/>
                <w:szCs w:val="22"/>
                <w:lang w:eastAsia="es-CR"/>
              </w:rPr>
            </w:pPr>
            <w:r w:rsidRPr="00990FB6">
              <w:rPr>
                <w:b/>
                <w:sz w:val="22"/>
                <w:szCs w:val="22"/>
                <w:lang w:eastAsia="es-CR"/>
              </w:rPr>
              <w:t>Persona Defensora Pública</w:t>
            </w:r>
          </w:p>
        </w:tc>
        <w:tc>
          <w:tcPr>
            <w:tcW w:w="1275" w:type="dxa"/>
            <w:shd w:val="clear" w:color="auto" w:fill="002060"/>
            <w:vAlign w:val="center"/>
          </w:tcPr>
          <w:p w14:paraId="4F3E0DEF" w14:textId="77777777" w:rsidR="00B15F7D" w:rsidRPr="00990FB6" w:rsidRDefault="00B15F7D" w:rsidP="00B15F7D">
            <w:pPr>
              <w:suppressAutoHyphens w:val="0"/>
              <w:jc w:val="center"/>
              <w:rPr>
                <w:b/>
                <w:sz w:val="22"/>
                <w:szCs w:val="22"/>
                <w:lang w:eastAsia="es-CR"/>
              </w:rPr>
            </w:pPr>
            <w:r w:rsidRPr="00990FB6">
              <w:rPr>
                <w:b/>
                <w:sz w:val="22"/>
                <w:szCs w:val="22"/>
                <w:lang w:eastAsia="es-CR"/>
              </w:rPr>
              <w:t>Personas Técnicas Judiciales</w:t>
            </w:r>
          </w:p>
        </w:tc>
        <w:tc>
          <w:tcPr>
            <w:tcW w:w="1273" w:type="dxa"/>
            <w:shd w:val="clear" w:color="auto" w:fill="002060"/>
            <w:vAlign w:val="center"/>
          </w:tcPr>
          <w:p w14:paraId="1AA962EB" w14:textId="77777777" w:rsidR="00B15F7D" w:rsidRPr="00990FB6" w:rsidRDefault="00B15F7D" w:rsidP="00B15F7D">
            <w:pPr>
              <w:suppressAutoHyphens w:val="0"/>
              <w:jc w:val="center"/>
              <w:rPr>
                <w:b/>
                <w:sz w:val="22"/>
                <w:szCs w:val="22"/>
                <w:lang w:eastAsia="es-CR"/>
              </w:rPr>
            </w:pPr>
            <w:r w:rsidRPr="00990FB6">
              <w:rPr>
                <w:b/>
                <w:sz w:val="22"/>
                <w:szCs w:val="22"/>
                <w:lang w:eastAsia="es-CR"/>
              </w:rPr>
              <w:t>Total</w:t>
            </w:r>
          </w:p>
        </w:tc>
      </w:tr>
      <w:tr w:rsidR="00B15F7D" w:rsidRPr="00990FB6" w14:paraId="2F892B45" w14:textId="77777777" w:rsidTr="000A0C22">
        <w:trPr>
          <w:jc w:val="center"/>
        </w:trPr>
        <w:tc>
          <w:tcPr>
            <w:tcW w:w="1673" w:type="dxa"/>
            <w:vAlign w:val="center"/>
          </w:tcPr>
          <w:p w14:paraId="327E2C72" w14:textId="77777777" w:rsidR="00B15F7D" w:rsidRPr="00990FB6" w:rsidRDefault="00B15F7D" w:rsidP="00B15F7D">
            <w:pPr>
              <w:suppressAutoHyphens w:val="0"/>
              <w:rPr>
                <w:sz w:val="22"/>
                <w:szCs w:val="22"/>
                <w:lang w:eastAsia="es-CR"/>
              </w:rPr>
            </w:pPr>
            <w:r w:rsidRPr="00990FB6">
              <w:rPr>
                <w:sz w:val="22"/>
                <w:szCs w:val="22"/>
                <w:lang w:eastAsia="es-CR"/>
              </w:rPr>
              <w:t>Pavas*</w:t>
            </w:r>
          </w:p>
        </w:tc>
        <w:tc>
          <w:tcPr>
            <w:tcW w:w="1157" w:type="dxa"/>
            <w:vAlign w:val="center"/>
          </w:tcPr>
          <w:p w14:paraId="2D7BDBF8"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vAlign w:val="center"/>
          </w:tcPr>
          <w:p w14:paraId="03B288AC"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vAlign w:val="center"/>
          </w:tcPr>
          <w:p w14:paraId="7331DE36"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tcPr>
          <w:p w14:paraId="5B26B281"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tcPr>
          <w:p w14:paraId="769AE67C"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14:paraId="47CA789B" w14:textId="77777777" w:rsidTr="000A0C22">
        <w:trPr>
          <w:jc w:val="center"/>
        </w:trPr>
        <w:tc>
          <w:tcPr>
            <w:tcW w:w="1673" w:type="dxa"/>
            <w:vAlign w:val="center"/>
          </w:tcPr>
          <w:p w14:paraId="3C4DB23C" w14:textId="77777777" w:rsidR="00B15F7D" w:rsidRPr="00990FB6" w:rsidRDefault="00B15F7D" w:rsidP="00B15F7D">
            <w:pPr>
              <w:suppressAutoHyphens w:val="0"/>
              <w:rPr>
                <w:sz w:val="22"/>
                <w:szCs w:val="22"/>
                <w:lang w:eastAsia="es-CR"/>
              </w:rPr>
            </w:pPr>
            <w:r w:rsidRPr="00990FB6">
              <w:rPr>
                <w:sz w:val="22"/>
                <w:szCs w:val="22"/>
                <w:lang w:eastAsia="es-CR"/>
              </w:rPr>
              <w:t>Sarapiquí</w:t>
            </w:r>
          </w:p>
        </w:tc>
        <w:tc>
          <w:tcPr>
            <w:tcW w:w="1157" w:type="dxa"/>
            <w:vAlign w:val="center"/>
          </w:tcPr>
          <w:p w14:paraId="0BBB7C2B"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vAlign w:val="center"/>
          </w:tcPr>
          <w:p w14:paraId="32974554"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vAlign w:val="center"/>
          </w:tcPr>
          <w:p w14:paraId="704B7AD5"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tcPr>
          <w:p w14:paraId="1AB43CFC"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tcPr>
          <w:p w14:paraId="0F944FEA"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14:paraId="3856606D" w14:textId="77777777" w:rsidTr="000A0C22">
        <w:trPr>
          <w:trHeight w:val="251"/>
          <w:jc w:val="center"/>
        </w:trPr>
        <w:tc>
          <w:tcPr>
            <w:tcW w:w="1673" w:type="dxa"/>
            <w:vAlign w:val="center"/>
          </w:tcPr>
          <w:p w14:paraId="3D81BFC8" w14:textId="77777777" w:rsidR="00B15F7D" w:rsidRPr="00990FB6" w:rsidRDefault="00B15F7D" w:rsidP="00B15F7D">
            <w:pPr>
              <w:suppressAutoHyphens w:val="0"/>
              <w:rPr>
                <w:sz w:val="22"/>
                <w:szCs w:val="22"/>
                <w:lang w:eastAsia="es-CR"/>
              </w:rPr>
            </w:pPr>
            <w:r w:rsidRPr="00990FB6">
              <w:rPr>
                <w:sz w:val="22"/>
                <w:szCs w:val="22"/>
                <w:lang w:eastAsia="es-CR"/>
              </w:rPr>
              <w:t>Heredia</w:t>
            </w:r>
          </w:p>
        </w:tc>
        <w:tc>
          <w:tcPr>
            <w:tcW w:w="1157" w:type="dxa"/>
            <w:vAlign w:val="center"/>
          </w:tcPr>
          <w:p w14:paraId="35A71D98"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vAlign w:val="center"/>
          </w:tcPr>
          <w:p w14:paraId="67272410"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vAlign w:val="center"/>
          </w:tcPr>
          <w:p w14:paraId="639F5D77"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tcPr>
          <w:p w14:paraId="73D18E65"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tcPr>
          <w:p w14:paraId="4950B5AC"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14:paraId="10D2AB24" w14:textId="77777777" w:rsidTr="000A0C22">
        <w:trPr>
          <w:jc w:val="center"/>
        </w:trPr>
        <w:tc>
          <w:tcPr>
            <w:tcW w:w="1673" w:type="dxa"/>
            <w:vAlign w:val="center"/>
          </w:tcPr>
          <w:p w14:paraId="64BE0060" w14:textId="77777777" w:rsidR="00B15F7D" w:rsidRPr="00990FB6" w:rsidRDefault="00B15F7D" w:rsidP="00B15F7D">
            <w:pPr>
              <w:suppressAutoHyphens w:val="0"/>
              <w:rPr>
                <w:sz w:val="22"/>
                <w:szCs w:val="22"/>
                <w:lang w:eastAsia="es-CR"/>
              </w:rPr>
            </w:pPr>
            <w:r w:rsidRPr="00990FB6">
              <w:rPr>
                <w:sz w:val="22"/>
                <w:szCs w:val="22"/>
                <w:lang w:eastAsia="es-CR"/>
              </w:rPr>
              <w:t>Pérez Zeledón</w:t>
            </w:r>
          </w:p>
        </w:tc>
        <w:tc>
          <w:tcPr>
            <w:tcW w:w="1157" w:type="dxa"/>
            <w:vAlign w:val="center"/>
          </w:tcPr>
          <w:p w14:paraId="6821475A"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vAlign w:val="center"/>
          </w:tcPr>
          <w:p w14:paraId="5FBB37C9"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vAlign w:val="center"/>
          </w:tcPr>
          <w:p w14:paraId="2C581008"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tcPr>
          <w:p w14:paraId="496BDFF8"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tcPr>
          <w:p w14:paraId="4A7BF77F"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14:paraId="3BC8DD52" w14:textId="77777777" w:rsidTr="000A0C22">
        <w:trPr>
          <w:jc w:val="center"/>
        </w:trPr>
        <w:tc>
          <w:tcPr>
            <w:tcW w:w="1673" w:type="dxa"/>
            <w:vAlign w:val="center"/>
          </w:tcPr>
          <w:p w14:paraId="7CFC3C0C" w14:textId="77777777" w:rsidR="00B15F7D" w:rsidRPr="00990FB6" w:rsidRDefault="00B15F7D" w:rsidP="00B15F7D">
            <w:pPr>
              <w:suppressAutoHyphens w:val="0"/>
              <w:rPr>
                <w:sz w:val="22"/>
                <w:szCs w:val="22"/>
                <w:lang w:eastAsia="es-CR"/>
              </w:rPr>
            </w:pPr>
            <w:r w:rsidRPr="00990FB6">
              <w:rPr>
                <w:sz w:val="22"/>
                <w:szCs w:val="22"/>
                <w:lang w:eastAsia="es-CR"/>
              </w:rPr>
              <w:t>San Carlos</w:t>
            </w:r>
          </w:p>
        </w:tc>
        <w:tc>
          <w:tcPr>
            <w:tcW w:w="1157" w:type="dxa"/>
            <w:vAlign w:val="center"/>
          </w:tcPr>
          <w:p w14:paraId="73988C7F"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vAlign w:val="center"/>
          </w:tcPr>
          <w:p w14:paraId="3E52D2F5"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vAlign w:val="center"/>
          </w:tcPr>
          <w:p w14:paraId="0A73CD5C"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tcPr>
          <w:p w14:paraId="1799F96C"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tcPr>
          <w:p w14:paraId="09026427"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14:paraId="67088053" w14:textId="77777777" w:rsidTr="000A0C22">
        <w:trPr>
          <w:jc w:val="center"/>
        </w:trPr>
        <w:tc>
          <w:tcPr>
            <w:tcW w:w="1673" w:type="dxa"/>
            <w:vAlign w:val="center"/>
          </w:tcPr>
          <w:p w14:paraId="23DF72A0" w14:textId="77777777" w:rsidR="00B15F7D" w:rsidRPr="00990FB6" w:rsidRDefault="00B15F7D" w:rsidP="00B15F7D">
            <w:pPr>
              <w:suppressAutoHyphens w:val="0"/>
              <w:rPr>
                <w:sz w:val="22"/>
                <w:szCs w:val="22"/>
                <w:lang w:eastAsia="es-CR"/>
              </w:rPr>
            </w:pPr>
            <w:r w:rsidRPr="00990FB6">
              <w:rPr>
                <w:sz w:val="22"/>
                <w:szCs w:val="22"/>
                <w:lang w:eastAsia="es-CR"/>
              </w:rPr>
              <w:t>Pococí</w:t>
            </w:r>
          </w:p>
        </w:tc>
        <w:tc>
          <w:tcPr>
            <w:tcW w:w="1157" w:type="dxa"/>
            <w:vAlign w:val="center"/>
          </w:tcPr>
          <w:p w14:paraId="4E3D23D0"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vAlign w:val="center"/>
          </w:tcPr>
          <w:p w14:paraId="1A93CB8A"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vAlign w:val="center"/>
          </w:tcPr>
          <w:p w14:paraId="32F432F8"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tcPr>
          <w:p w14:paraId="5D5412A8"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tcPr>
          <w:p w14:paraId="7D5CAA91"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14:paraId="3A1E8CC3" w14:textId="77777777" w:rsidTr="000A0C22">
        <w:trPr>
          <w:jc w:val="center"/>
        </w:trPr>
        <w:tc>
          <w:tcPr>
            <w:tcW w:w="1673" w:type="dxa"/>
            <w:vAlign w:val="center"/>
          </w:tcPr>
          <w:p w14:paraId="4C2FCF89" w14:textId="77777777" w:rsidR="00B15F7D" w:rsidRPr="00990FB6" w:rsidRDefault="00B15F7D" w:rsidP="00B15F7D">
            <w:pPr>
              <w:suppressAutoHyphens w:val="0"/>
              <w:rPr>
                <w:sz w:val="22"/>
                <w:szCs w:val="22"/>
                <w:lang w:eastAsia="es-CR"/>
              </w:rPr>
            </w:pPr>
            <w:r w:rsidRPr="00990FB6">
              <w:rPr>
                <w:sz w:val="22"/>
                <w:szCs w:val="22"/>
                <w:lang w:eastAsia="es-CR"/>
              </w:rPr>
              <w:t>Limón</w:t>
            </w:r>
          </w:p>
        </w:tc>
        <w:tc>
          <w:tcPr>
            <w:tcW w:w="1157" w:type="dxa"/>
            <w:vAlign w:val="center"/>
          </w:tcPr>
          <w:p w14:paraId="61399D60"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vAlign w:val="center"/>
          </w:tcPr>
          <w:p w14:paraId="7A574736"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vAlign w:val="center"/>
          </w:tcPr>
          <w:p w14:paraId="0153CC92"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tcPr>
          <w:p w14:paraId="06DBAA86"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tcPr>
          <w:p w14:paraId="342993F9"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14:paraId="3DE10D57" w14:textId="77777777" w:rsidTr="000A0C22">
        <w:trPr>
          <w:jc w:val="center"/>
        </w:trPr>
        <w:tc>
          <w:tcPr>
            <w:tcW w:w="1673" w:type="dxa"/>
            <w:shd w:val="clear" w:color="auto" w:fill="auto"/>
            <w:vAlign w:val="center"/>
          </w:tcPr>
          <w:p w14:paraId="410AFA1B" w14:textId="77777777" w:rsidR="00B15F7D" w:rsidRPr="00990FB6" w:rsidRDefault="00B15F7D" w:rsidP="00B15F7D">
            <w:pPr>
              <w:suppressAutoHyphens w:val="0"/>
              <w:rPr>
                <w:sz w:val="22"/>
                <w:szCs w:val="22"/>
                <w:lang w:eastAsia="es-CR"/>
              </w:rPr>
            </w:pPr>
            <w:r w:rsidRPr="00990FB6">
              <w:rPr>
                <w:sz w:val="22"/>
                <w:szCs w:val="22"/>
                <w:lang w:eastAsia="es-CR"/>
              </w:rPr>
              <w:t>Alajuela</w:t>
            </w:r>
          </w:p>
        </w:tc>
        <w:tc>
          <w:tcPr>
            <w:tcW w:w="1157" w:type="dxa"/>
            <w:shd w:val="clear" w:color="auto" w:fill="auto"/>
            <w:vAlign w:val="center"/>
          </w:tcPr>
          <w:p w14:paraId="5D29B71F"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93" w:type="dxa"/>
            <w:shd w:val="clear" w:color="auto" w:fill="auto"/>
            <w:vAlign w:val="center"/>
          </w:tcPr>
          <w:p w14:paraId="24630DE2"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404" w:type="dxa"/>
            <w:shd w:val="clear" w:color="auto" w:fill="auto"/>
            <w:vAlign w:val="center"/>
          </w:tcPr>
          <w:p w14:paraId="071866FB" w14:textId="77777777" w:rsidR="00B15F7D" w:rsidRPr="00990FB6" w:rsidRDefault="00B15F7D" w:rsidP="00B15F7D">
            <w:pPr>
              <w:suppressAutoHyphens w:val="0"/>
              <w:jc w:val="center"/>
              <w:rPr>
                <w:sz w:val="22"/>
                <w:szCs w:val="22"/>
                <w:lang w:eastAsia="es-CR"/>
              </w:rPr>
            </w:pPr>
            <w:r w:rsidRPr="00990FB6">
              <w:rPr>
                <w:sz w:val="22"/>
                <w:szCs w:val="22"/>
                <w:lang w:eastAsia="es-CR"/>
              </w:rPr>
              <w:t>1</w:t>
            </w:r>
          </w:p>
        </w:tc>
        <w:tc>
          <w:tcPr>
            <w:tcW w:w="1275" w:type="dxa"/>
            <w:shd w:val="clear" w:color="auto" w:fill="auto"/>
          </w:tcPr>
          <w:p w14:paraId="4E33506C" w14:textId="77777777" w:rsidR="00B15F7D" w:rsidRPr="00990FB6" w:rsidRDefault="00B15F7D" w:rsidP="00B15F7D">
            <w:pPr>
              <w:suppressAutoHyphens w:val="0"/>
              <w:jc w:val="center"/>
              <w:rPr>
                <w:sz w:val="22"/>
                <w:szCs w:val="22"/>
                <w:lang w:eastAsia="es-CR"/>
              </w:rPr>
            </w:pPr>
            <w:r w:rsidRPr="00990FB6">
              <w:rPr>
                <w:sz w:val="22"/>
                <w:szCs w:val="22"/>
                <w:lang w:eastAsia="es-CR"/>
              </w:rPr>
              <w:t>2</w:t>
            </w:r>
          </w:p>
        </w:tc>
        <w:tc>
          <w:tcPr>
            <w:tcW w:w="1273" w:type="dxa"/>
            <w:shd w:val="clear" w:color="auto" w:fill="auto"/>
          </w:tcPr>
          <w:p w14:paraId="21A123A4" w14:textId="77777777" w:rsidR="00B15F7D" w:rsidRPr="00990FB6" w:rsidRDefault="00B15F7D" w:rsidP="00B15F7D">
            <w:pPr>
              <w:suppressAutoHyphens w:val="0"/>
              <w:jc w:val="center"/>
              <w:rPr>
                <w:sz w:val="22"/>
                <w:szCs w:val="22"/>
                <w:lang w:eastAsia="es-CR"/>
              </w:rPr>
            </w:pPr>
            <w:r w:rsidRPr="00990FB6">
              <w:rPr>
                <w:sz w:val="22"/>
                <w:szCs w:val="22"/>
                <w:lang w:eastAsia="es-CR"/>
              </w:rPr>
              <w:t>5</w:t>
            </w:r>
          </w:p>
        </w:tc>
      </w:tr>
      <w:tr w:rsidR="00B15F7D" w:rsidRPr="00990FB6" w:rsidDel="00792377" w14:paraId="7A118564" w14:textId="77777777" w:rsidTr="000A0C22">
        <w:trPr>
          <w:jc w:val="center"/>
        </w:trPr>
        <w:tc>
          <w:tcPr>
            <w:tcW w:w="1673" w:type="dxa"/>
            <w:shd w:val="clear" w:color="auto" w:fill="B4C6E7"/>
            <w:vAlign w:val="center"/>
          </w:tcPr>
          <w:p w14:paraId="7DC9965F" w14:textId="77777777" w:rsidR="00B15F7D" w:rsidRPr="00990FB6" w:rsidRDefault="00B15F7D" w:rsidP="00B15F7D">
            <w:pPr>
              <w:suppressAutoHyphens w:val="0"/>
              <w:rPr>
                <w:b/>
                <w:sz w:val="22"/>
                <w:szCs w:val="22"/>
                <w:lang w:eastAsia="es-CR"/>
              </w:rPr>
            </w:pPr>
            <w:r w:rsidRPr="00990FB6">
              <w:rPr>
                <w:b/>
                <w:sz w:val="22"/>
                <w:szCs w:val="22"/>
                <w:lang w:eastAsia="es-CR"/>
              </w:rPr>
              <w:t>Total</w:t>
            </w:r>
          </w:p>
        </w:tc>
        <w:tc>
          <w:tcPr>
            <w:tcW w:w="1157" w:type="dxa"/>
            <w:shd w:val="clear" w:color="auto" w:fill="B4C6E7"/>
            <w:vAlign w:val="center"/>
          </w:tcPr>
          <w:p w14:paraId="399ABD90" w14:textId="77777777" w:rsidR="00B15F7D" w:rsidRPr="00990FB6" w:rsidRDefault="00B15F7D" w:rsidP="00B15F7D">
            <w:pPr>
              <w:suppressAutoHyphens w:val="0"/>
              <w:jc w:val="center"/>
              <w:rPr>
                <w:b/>
                <w:sz w:val="22"/>
                <w:szCs w:val="22"/>
                <w:lang w:eastAsia="es-CR"/>
              </w:rPr>
            </w:pPr>
            <w:r w:rsidRPr="00990FB6">
              <w:rPr>
                <w:b/>
                <w:sz w:val="22"/>
                <w:szCs w:val="22"/>
                <w:lang w:eastAsia="es-CR"/>
              </w:rPr>
              <w:t>8</w:t>
            </w:r>
          </w:p>
        </w:tc>
        <w:tc>
          <w:tcPr>
            <w:tcW w:w="1293" w:type="dxa"/>
            <w:shd w:val="clear" w:color="auto" w:fill="B4C6E7"/>
            <w:vAlign w:val="center"/>
          </w:tcPr>
          <w:p w14:paraId="00670B51" w14:textId="77777777" w:rsidR="00B15F7D" w:rsidRPr="00990FB6" w:rsidRDefault="00B15F7D" w:rsidP="00B15F7D">
            <w:pPr>
              <w:suppressAutoHyphens w:val="0"/>
              <w:jc w:val="center"/>
              <w:rPr>
                <w:b/>
                <w:sz w:val="22"/>
                <w:szCs w:val="22"/>
                <w:lang w:eastAsia="es-CR"/>
              </w:rPr>
            </w:pPr>
            <w:r w:rsidRPr="00990FB6">
              <w:rPr>
                <w:b/>
                <w:sz w:val="22"/>
                <w:szCs w:val="22"/>
                <w:lang w:eastAsia="es-CR"/>
              </w:rPr>
              <w:t>8</w:t>
            </w:r>
          </w:p>
        </w:tc>
        <w:tc>
          <w:tcPr>
            <w:tcW w:w="1404" w:type="dxa"/>
            <w:shd w:val="clear" w:color="auto" w:fill="B4C6E7"/>
            <w:vAlign w:val="center"/>
          </w:tcPr>
          <w:p w14:paraId="0C29D947" w14:textId="77777777" w:rsidR="00B15F7D" w:rsidRPr="00990FB6" w:rsidRDefault="00B15F7D" w:rsidP="00B15F7D">
            <w:pPr>
              <w:suppressAutoHyphens w:val="0"/>
              <w:jc w:val="center"/>
              <w:rPr>
                <w:b/>
                <w:sz w:val="22"/>
                <w:szCs w:val="22"/>
                <w:lang w:eastAsia="es-CR"/>
              </w:rPr>
            </w:pPr>
            <w:r w:rsidRPr="00990FB6">
              <w:rPr>
                <w:b/>
                <w:sz w:val="22"/>
                <w:szCs w:val="22"/>
                <w:lang w:eastAsia="es-CR"/>
              </w:rPr>
              <w:t>8</w:t>
            </w:r>
          </w:p>
        </w:tc>
        <w:tc>
          <w:tcPr>
            <w:tcW w:w="1275" w:type="dxa"/>
            <w:shd w:val="clear" w:color="auto" w:fill="B4C6E7"/>
          </w:tcPr>
          <w:p w14:paraId="3C812AC6" w14:textId="77777777" w:rsidR="00B15F7D" w:rsidRPr="00990FB6" w:rsidDel="00792377" w:rsidRDefault="00B15F7D" w:rsidP="00B15F7D">
            <w:pPr>
              <w:suppressAutoHyphens w:val="0"/>
              <w:jc w:val="center"/>
              <w:rPr>
                <w:b/>
                <w:sz w:val="22"/>
                <w:szCs w:val="22"/>
                <w:lang w:eastAsia="es-CR"/>
              </w:rPr>
            </w:pPr>
            <w:r w:rsidRPr="00990FB6">
              <w:rPr>
                <w:b/>
                <w:sz w:val="22"/>
                <w:szCs w:val="22"/>
                <w:lang w:eastAsia="es-CR"/>
              </w:rPr>
              <w:t>16</w:t>
            </w:r>
          </w:p>
        </w:tc>
        <w:tc>
          <w:tcPr>
            <w:tcW w:w="1273" w:type="dxa"/>
            <w:shd w:val="clear" w:color="auto" w:fill="B4C6E7"/>
          </w:tcPr>
          <w:p w14:paraId="4252B5B4" w14:textId="77777777" w:rsidR="00B15F7D" w:rsidRPr="00990FB6" w:rsidRDefault="00B15F7D" w:rsidP="00B15F7D">
            <w:pPr>
              <w:suppressAutoHyphens w:val="0"/>
              <w:jc w:val="center"/>
              <w:rPr>
                <w:b/>
                <w:sz w:val="22"/>
                <w:szCs w:val="22"/>
                <w:lang w:eastAsia="es-CR"/>
              </w:rPr>
            </w:pPr>
            <w:r w:rsidRPr="00990FB6">
              <w:rPr>
                <w:b/>
                <w:sz w:val="22"/>
                <w:szCs w:val="22"/>
                <w:lang w:eastAsia="es-CR"/>
              </w:rPr>
              <w:t>40</w:t>
            </w:r>
          </w:p>
        </w:tc>
      </w:tr>
    </w:tbl>
    <w:p w14:paraId="0D3746B7" w14:textId="77777777" w:rsidR="00B15F7D" w:rsidRPr="00990FB6" w:rsidRDefault="00B15F7D" w:rsidP="00B15F7D">
      <w:pPr>
        <w:tabs>
          <w:tab w:val="left" w:pos="426"/>
          <w:tab w:val="left" w:pos="1134"/>
        </w:tabs>
        <w:suppressAutoHyphens w:val="0"/>
        <w:ind w:left="567"/>
        <w:contextualSpacing/>
        <w:jc w:val="both"/>
        <w:rPr>
          <w:sz w:val="22"/>
          <w:szCs w:val="22"/>
          <w:lang w:val="es-CR" w:eastAsia="en-US"/>
        </w:rPr>
      </w:pPr>
      <w:r w:rsidRPr="00990FB6">
        <w:rPr>
          <w:b/>
          <w:bCs/>
          <w:sz w:val="22"/>
          <w:szCs w:val="22"/>
          <w:lang w:val="es-CR" w:eastAsia="en-US"/>
        </w:rPr>
        <w:t xml:space="preserve">Fuente: </w:t>
      </w:r>
      <w:r w:rsidRPr="00990FB6">
        <w:rPr>
          <w:sz w:val="22"/>
          <w:szCs w:val="22"/>
          <w:lang w:val="es-CR" w:eastAsia="en-US"/>
        </w:rPr>
        <w:t>elaboración propia a partir del informe 52-PLA-MI(PL)-2023.</w:t>
      </w:r>
    </w:p>
    <w:p w14:paraId="1CA097D9" w14:textId="77777777" w:rsidR="00B15F7D" w:rsidRPr="00990FB6" w:rsidRDefault="00B15F7D" w:rsidP="00B15F7D">
      <w:pPr>
        <w:tabs>
          <w:tab w:val="left" w:pos="426"/>
          <w:tab w:val="left" w:pos="1134"/>
        </w:tabs>
        <w:suppressAutoHyphens w:val="0"/>
        <w:contextualSpacing/>
        <w:jc w:val="both"/>
        <w:rPr>
          <w:sz w:val="22"/>
          <w:szCs w:val="22"/>
          <w:lang w:val="es-CR" w:eastAsia="en-US"/>
        </w:rPr>
      </w:pPr>
    </w:p>
    <w:p w14:paraId="57EE309B"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r w:rsidRPr="00990FB6">
        <w:rPr>
          <w:sz w:val="22"/>
          <w:szCs w:val="22"/>
          <w:lang w:val="es-CR" w:eastAsia="en-US"/>
        </w:rPr>
        <w:t xml:space="preserve">Según la información del cuadro anterior, se determina que existe una necesidad de 40 plazas en los Tribunales Penales del país, para la atención de los asuntos unipersonales; no obstante, en el presente informe se han realizado análisis que han determinado el requerimiento humano, conforme los abordajes realizados como parte del Modelo Penal; por lo que para la estimación de costos para creación de secciones unipersonales en los Tribunales, se considerará únicamente el requerimiento humano del ámbito jurisdiccional del Tribunal Penal de Pérez Zeledón y San Carlos; adicionalmente se incluye la necesidad del Tribunal Penal de Guápiles- Pococí, toda vez que, en el presente cuadro 9 del presente informe se recomienda la asignación de tres plazas de Jueza o Juez 4 para la conformación de una sección colegiada, por lo que la necesidad de recurso humano para la atención de juicios unipersonales es requerida ante el aumento en la cuota establecida; por cuanto los demás despachos ya fueron considerados en análisis previos a este apartado y las necesidades del ámbito auxiliar de justicia en un informe complementario.  </w:t>
      </w:r>
    </w:p>
    <w:p w14:paraId="67CB7CCD"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p>
    <w:p w14:paraId="047FC428"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r w:rsidRPr="00990FB6">
        <w:rPr>
          <w:sz w:val="22"/>
          <w:szCs w:val="22"/>
          <w:lang w:val="es-CR" w:eastAsia="en-US"/>
        </w:rPr>
        <w:t>A continuación; se muestran los costos asociados:</w:t>
      </w:r>
    </w:p>
    <w:p w14:paraId="3494D36D"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p>
    <w:p w14:paraId="4C7FCC79"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15</w:t>
      </w:r>
      <w:r w:rsidRPr="00990FB6">
        <w:rPr>
          <w:b/>
          <w:bCs/>
          <w:color w:val="00000A"/>
          <w:sz w:val="22"/>
          <w:szCs w:val="22"/>
          <w:lang w:eastAsia="es-ES"/>
        </w:rPr>
        <w:fldChar w:fldCharType="end"/>
      </w:r>
    </w:p>
    <w:p w14:paraId="5DD4098F" w14:textId="77777777" w:rsidR="00B15F7D" w:rsidRPr="00990FB6" w:rsidRDefault="00B15F7D" w:rsidP="00B15F7D">
      <w:pPr>
        <w:suppressAutoHyphens w:val="0"/>
        <w:ind w:left="851" w:right="851" w:firstLine="709"/>
        <w:jc w:val="center"/>
        <w:rPr>
          <w:bCs/>
          <w:i/>
          <w:smallCaps/>
          <w:sz w:val="22"/>
          <w:szCs w:val="22"/>
          <w:lang w:val="es-CR" w:eastAsia="en-US"/>
        </w:rPr>
      </w:pPr>
      <w:r w:rsidRPr="00990FB6">
        <w:rPr>
          <w:b/>
          <w:bCs/>
          <w:smallCaps/>
          <w:sz w:val="22"/>
          <w:szCs w:val="22"/>
          <w:lang w:val="es-CR" w:eastAsia="en-US"/>
        </w:rPr>
        <w:t>Requerimiento de recurso humano adicional para la atención de juicios unipersonales en los tribunales penales del país debido al aumento en la cuota establecida</w:t>
      </w:r>
    </w:p>
    <w:p w14:paraId="2A7F975B"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val="es-CR" w:eastAsia="en-US"/>
        </w:rPr>
      </w:pPr>
    </w:p>
    <w:tbl>
      <w:tblPr>
        <w:tblW w:w="8637" w:type="dxa"/>
        <w:jc w:val="center"/>
        <w:tblCellMar>
          <w:left w:w="70" w:type="dxa"/>
          <w:right w:w="70" w:type="dxa"/>
        </w:tblCellMar>
        <w:tblLook w:val="04A0" w:firstRow="1" w:lastRow="0" w:firstColumn="1" w:lastColumn="0" w:noHBand="0" w:noVBand="1"/>
      </w:tblPr>
      <w:tblGrid>
        <w:gridCol w:w="1870"/>
        <w:gridCol w:w="739"/>
        <w:gridCol w:w="1130"/>
        <w:gridCol w:w="646"/>
        <w:gridCol w:w="1275"/>
        <w:gridCol w:w="1418"/>
        <w:gridCol w:w="1559"/>
      </w:tblGrid>
      <w:tr w:rsidR="00B15F7D" w:rsidRPr="00990FB6" w14:paraId="1901519B" w14:textId="77777777" w:rsidTr="000A0C22">
        <w:trPr>
          <w:trHeight w:val="300"/>
          <w:jc w:val="center"/>
        </w:trPr>
        <w:tc>
          <w:tcPr>
            <w:tcW w:w="2227"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7BDE40D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2158" w:type="dxa"/>
            <w:gridSpan w:val="3"/>
            <w:tcBorders>
              <w:top w:val="single" w:sz="8" w:space="0" w:color="E7E6E6"/>
              <w:left w:val="nil"/>
              <w:bottom w:val="single" w:sz="8" w:space="0" w:color="E7E6E6"/>
              <w:right w:val="single" w:sz="8" w:space="0" w:color="E7E6E6"/>
            </w:tcBorders>
            <w:shd w:val="clear" w:color="000000" w:fill="5B9BD5"/>
            <w:noWrap/>
            <w:vAlign w:val="center"/>
            <w:hideMark/>
          </w:tcPr>
          <w:p w14:paraId="18698C1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2693" w:type="dxa"/>
            <w:gridSpan w:val="2"/>
            <w:tcBorders>
              <w:top w:val="single" w:sz="8" w:space="0" w:color="E7E6E6"/>
              <w:left w:val="single" w:sz="8" w:space="0" w:color="E7E6E6"/>
              <w:bottom w:val="single" w:sz="8" w:space="0" w:color="E7E6E6"/>
              <w:right w:val="nil"/>
            </w:tcBorders>
            <w:shd w:val="clear" w:color="000000" w:fill="5B9BD5"/>
            <w:noWrap/>
            <w:vAlign w:val="center"/>
            <w:hideMark/>
          </w:tcPr>
          <w:p w14:paraId="242EF84A"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COSTO PRESPUESTARIO</w:t>
            </w:r>
          </w:p>
        </w:tc>
        <w:tc>
          <w:tcPr>
            <w:tcW w:w="1559" w:type="dxa"/>
            <w:tcBorders>
              <w:top w:val="single" w:sz="8" w:space="0" w:color="E7E6E6"/>
              <w:left w:val="nil"/>
              <w:bottom w:val="single" w:sz="8" w:space="0" w:color="E7E6E6"/>
              <w:right w:val="single" w:sz="8" w:space="0" w:color="E7E6E6"/>
            </w:tcBorders>
            <w:shd w:val="clear" w:color="000000" w:fill="5B9BD5"/>
            <w:noWrap/>
            <w:vAlign w:val="center"/>
            <w:hideMark/>
          </w:tcPr>
          <w:p w14:paraId="38F7E462"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 </w:t>
            </w:r>
          </w:p>
        </w:tc>
      </w:tr>
      <w:tr w:rsidR="00B15F7D" w:rsidRPr="00990FB6" w14:paraId="70B10C6E" w14:textId="77777777" w:rsidTr="000A0C22">
        <w:trPr>
          <w:trHeight w:val="492"/>
          <w:jc w:val="center"/>
        </w:trPr>
        <w:tc>
          <w:tcPr>
            <w:tcW w:w="2227" w:type="dxa"/>
            <w:vMerge/>
            <w:tcBorders>
              <w:top w:val="single" w:sz="8" w:space="0" w:color="E7E6E6"/>
              <w:left w:val="single" w:sz="8" w:space="0" w:color="E7E6E6"/>
              <w:bottom w:val="single" w:sz="8" w:space="0" w:color="E7E6E6"/>
              <w:right w:val="single" w:sz="8" w:space="0" w:color="E7E6E6"/>
            </w:tcBorders>
            <w:vAlign w:val="center"/>
            <w:hideMark/>
          </w:tcPr>
          <w:p w14:paraId="62A45E28" w14:textId="77777777" w:rsidR="00B15F7D" w:rsidRPr="00990FB6" w:rsidRDefault="00B15F7D" w:rsidP="00B15F7D">
            <w:pPr>
              <w:suppressAutoHyphens w:val="0"/>
              <w:rPr>
                <w:b/>
                <w:bCs/>
                <w:color w:val="FFFFFF"/>
                <w:sz w:val="22"/>
                <w:szCs w:val="22"/>
                <w:lang w:val="es-CR" w:eastAsia="es-CR"/>
              </w:rPr>
            </w:pPr>
          </w:p>
        </w:tc>
        <w:tc>
          <w:tcPr>
            <w:tcW w:w="709" w:type="dxa"/>
            <w:tcBorders>
              <w:top w:val="nil"/>
              <w:left w:val="nil"/>
              <w:bottom w:val="single" w:sz="8" w:space="0" w:color="E7E6E6"/>
              <w:right w:val="single" w:sz="8" w:space="0" w:color="E7E6E6"/>
            </w:tcBorders>
            <w:shd w:val="clear" w:color="000000" w:fill="305496"/>
            <w:vAlign w:val="center"/>
            <w:hideMark/>
          </w:tcPr>
          <w:p w14:paraId="56BCFCD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4</w:t>
            </w:r>
          </w:p>
        </w:tc>
        <w:tc>
          <w:tcPr>
            <w:tcW w:w="801" w:type="dxa"/>
            <w:tcBorders>
              <w:top w:val="nil"/>
              <w:left w:val="nil"/>
              <w:bottom w:val="single" w:sz="8" w:space="0" w:color="E7E6E6"/>
              <w:right w:val="single" w:sz="8" w:space="0" w:color="E7E6E6"/>
            </w:tcBorders>
            <w:shd w:val="clear" w:color="000000" w:fill="305496"/>
            <w:vAlign w:val="center"/>
            <w:hideMark/>
          </w:tcPr>
          <w:p w14:paraId="2B3DD6C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648" w:type="dxa"/>
            <w:tcBorders>
              <w:top w:val="nil"/>
              <w:left w:val="nil"/>
              <w:bottom w:val="single" w:sz="8" w:space="0" w:color="E7E6E6"/>
              <w:right w:val="single" w:sz="8" w:space="0" w:color="E7E6E6"/>
            </w:tcBorders>
            <w:shd w:val="clear" w:color="000000" w:fill="305496"/>
            <w:vAlign w:val="center"/>
            <w:hideMark/>
          </w:tcPr>
          <w:p w14:paraId="7E6522A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Total</w:t>
            </w:r>
          </w:p>
        </w:tc>
        <w:tc>
          <w:tcPr>
            <w:tcW w:w="1275" w:type="dxa"/>
            <w:tcBorders>
              <w:top w:val="nil"/>
              <w:left w:val="nil"/>
              <w:bottom w:val="single" w:sz="8" w:space="0" w:color="E7E6E6"/>
              <w:right w:val="single" w:sz="8" w:space="0" w:color="E7E6E6"/>
            </w:tcBorders>
            <w:shd w:val="clear" w:color="000000" w:fill="305496"/>
            <w:vAlign w:val="center"/>
            <w:hideMark/>
          </w:tcPr>
          <w:p w14:paraId="08EF276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juez o jueza 4</w:t>
            </w:r>
          </w:p>
        </w:tc>
        <w:tc>
          <w:tcPr>
            <w:tcW w:w="1418" w:type="dxa"/>
            <w:tcBorders>
              <w:top w:val="nil"/>
              <w:left w:val="nil"/>
              <w:bottom w:val="single" w:sz="8" w:space="0" w:color="E7E6E6"/>
              <w:right w:val="single" w:sz="8" w:space="0" w:color="E7E6E6"/>
            </w:tcBorders>
            <w:shd w:val="clear" w:color="000000" w:fill="305496"/>
            <w:vAlign w:val="center"/>
            <w:hideMark/>
          </w:tcPr>
          <w:p w14:paraId="59C75FE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559" w:type="dxa"/>
            <w:tcBorders>
              <w:top w:val="nil"/>
              <w:left w:val="nil"/>
              <w:bottom w:val="single" w:sz="8" w:space="0" w:color="E7E6E6"/>
              <w:right w:val="single" w:sz="8" w:space="0" w:color="E7E6E6"/>
            </w:tcBorders>
            <w:shd w:val="clear" w:color="000000" w:fill="305496"/>
            <w:vAlign w:val="center"/>
            <w:hideMark/>
          </w:tcPr>
          <w:p w14:paraId="50B5FCD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1EAFBCFA" w14:textId="77777777" w:rsidTr="000A0C22">
        <w:trPr>
          <w:trHeight w:val="300"/>
          <w:jc w:val="center"/>
        </w:trPr>
        <w:tc>
          <w:tcPr>
            <w:tcW w:w="2227" w:type="dxa"/>
            <w:tcBorders>
              <w:top w:val="nil"/>
              <w:left w:val="single" w:sz="8" w:space="0" w:color="E7E6E6"/>
              <w:bottom w:val="single" w:sz="8" w:space="0" w:color="E7E6E6"/>
              <w:right w:val="single" w:sz="8" w:space="0" w:color="E7E6E6"/>
            </w:tcBorders>
            <w:shd w:val="clear" w:color="000000" w:fill="FFFFFF"/>
            <w:vAlign w:val="center"/>
            <w:hideMark/>
          </w:tcPr>
          <w:p w14:paraId="5336D9B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Pérez Zeledon</w:t>
            </w:r>
          </w:p>
        </w:tc>
        <w:tc>
          <w:tcPr>
            <w:tcW w:w="709" w:type="dxa"/>
            <w:tcBorders>
              <w:top w:val="nil"/>
              <w:left w:val="nil"/>
              <w:bottom w:val="single" w:sz="8" w:space="0" w:color="E7E6E6"/>
              <w:right w:val="single" w:sz="8" w:space="0" w:color="E7E6E6"/>
            </w:tcBorders>
            <w:shd w:val="clear" w:color="000000" w:fill="FFFFFF"/>
            <w:vAlign w:val="center"/>
            <w:hideMark/>
          </w:tcPr>
          <w:p w14:paraId="7A4BF23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801" w:type="dxa"/>
            <w:tcBorders>
              <w:top w:val="nil"/>
              <w:left w:val="nil"/>
              <w:bottom w:val="single" w:sz="8" w:space="0" w:color="E7E6E6"/>
              <w:right w:val="single" w:sz="8" w:space="0" w:color="E7E6E6"/>
            </w:tcBorders>
            <w:shd w:val="clear" w:color="000000" w:fill="FFFFFF"/>
            <w:vAlign w:val="center"/>
            <w:hideMark/>
          </w:tcPr>
          <w:p w14:paraId="4E97F78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48" w:type="dxa"/>
            <w:tcBorders>
              <w:top w:val="nil"/>
              <w:left w:val="nil"/>
              <w:bottom w:val="single" w:sz="8" w:space="0" w:color="E7E6E6"/>
              <w:right w:val="single" w:sz="8" w:space="0" w:color="E7E6E6"/>
            </w:tcBorders>
            <w:shd w:val="clear" w:color="000000" w:fill="FFFFFF"/>
            <w:vAlign w:val="center"/>
            <w:hideMark/>
          </w:tcPr>
          <w:p w14:paraId="3700D8D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1275" w:type="dxa"/>
            <w:tcBorders>
              <w:top w:val="nil"/>
              <w:left w:val="nil"/>
              <w:bottom w:val="single" w:sz="8" w:space="0" w:color="E7E6E6"/>
              <w:right w:val="single" w:sz="8" w:space="0" w:color="E7E6E6"/>
            </w:tcBorders>
            <w:shd w:val="clear" w:color="000000" w:fill="FFFFFF"/>
            <w:vAlign w:val="center"/>
            <w:hideMark/>
          </w:tcPr>
          <w:p w14:paraId="368B197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418" w:type="dxa"/>
            <w:tcBorders>
              <w:top w:val="nil"/>
              <w:left w:val="nil"/>
              <w:bottom w:val="single" w:sz="8" w:space="0" w:color="E7E6E6"/>
              <w:right w:val="single" w:sz="8" w:space="0" w:color="E7E6E6"/>
            </w:tcBorders>
            <w:shd w:val="clear" w:color="000000" w:fill="FFFFFF"/>
            <w:vAlign w:val="center"/>
            <w:hideMark/>
          </w:tcPr>
          <w:p w14:paraId="115D3CB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tcBorders>
              <w:top w:val="nil"/>
              <w:left w:val="nil"/>
              <w:bottom w:val="single" w:sz="8" w:space="0" w:color="E7E6E6"/>
              <w:right w:val="single" w:sz="8" w:space="0" w:color="E7E6E6"/>
            </w:tcBorders>
            <w:shd w:val="clear" w:color="000000" w:fill="FFFFFF"/>
            <w:vAlign w:val="center"/>
            <w:hideMark/>
          </w:tcPr>
          <w:p w14:paraId="40EEA7F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5EDD0867" w14:textId="77777777" w:rsidTr="000A0C22">
        <w:trPr>
          <w:trHeight w:val="300"/>
          <w:jc w:val="center"/>
        </w:trPr>
        <w:tc>
          <w:tcPr>
            <w:tcW w:w="2227" w:type="dxa"/>
            <w:tcBorders>
              <w:top w:val="nil"/>
              <w:left w:val="single" w:sz="8" w:space="0" w:color="E7E6E6"/>
              <w:bottom w:val="single" w:sz="8" w:space="0" w:color="E7E6E6"/>
              <w:right w:val="single" w:sz="8" w:space="0" w:color="E7E6E6"/>
            </w:tcBorders>
            <w:shd w:val="clear" w:color="000000" w:fill="FFFFFF"/>
            <w:vAlign w:val="center"/>
            <w:hideMark/>
          </w:tcPr>
          <w:p w14:paraId="56F1866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San Carlos</w:t>
            </w:r>
          </w:p>
        </w:tc>
        <w:tc>
          <w:tcPr>
            <w:tcW w:w="709" w:type="dxa"/>
            <w:tcBorders>
              <w:top w:val="nil"/>
              <w:left w:val="nil"/>
              <w:bottom w:val="single" w:sz="8" w:space="0" w:color="E7E6E6"/>
              <w:right w:val="single" w:sz="8" w:space="0" w:color="E7E6E6"/>
            </w:tcBorders>
            <w:shd w:val="clear" w:color="000000" w:fill="FFFFFF"/>
            <w:vAlign w:val="center"/>
            <w:hideMark/>
          </w:tcPr>
          <w:p w14:paraId="0ABE17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801" w:type="dxa"/>
            <w:tcBorders>
              <w:top w:val="nil"/>
              <w:left w:val="nil"/>
              <w:bottom w:val="single" w:sz="8" w:space="0" w:color="E7E6E6"/>
              <w:right w:val="single" w:sz="8" w:space="0" w:color="E7E6E6"/>
            </w:tcBorders>
            <w:shd w:val="clear" w:color="000000" w:fill="FFFFFF"/>
            <w:vAlign w:val="center"/>
            <w:hideMark/>
          </w:tcPr>
          <w:p w14:paraId="399779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48" w:type="dxa"/>
            <w:tcBorders>
              <w:top w:val="nil"/>
              <w:left w:val="nil"/>
              <w:bottom w:val="single" w:sz="8" w:space="0" w:color="E7E6E6"/>
              <w:right w:val="single" w:sz="8" w:space="0" w:color="E7E6E6"/>
            </w:tcBorders>
            <w:shd w:val="clear" w:color="000000" w:fill="FFFFFF"/>
            <w:vAlign w:val="center"/>
            <w:hideMark/>
          </w:tcPr>
          <w:p w14:paraId="030B46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1275" w:type="dxa"/>
            <w:tcBorders>
              <w:top w:val="nil"/>
              <w:left w:val="nil"/>
              <w:bottom w:val="single" w:sz="8" w:space="0" w:color="E7E6E6"/>
              <w:right w:val="single" w:sz="8" w:space="0" w:color="E7E6E6"/>
            </w:tcBorders>
            <w:shd w:val="clear" w:color="000000" w:fill="FFFFFF"/>
            <w:vAlign w:val="center"/>
            <w:hideMark/>
          </w:tcPr>
          <w:p w14:paraId="62A357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418" w:type="dxa"/>
            <w:tcBorders>
              <w:top w:val="nil"/>
              <w:left w:val="nil"/>
              <w:bottom w:val="single" w:sz="8" w:space="0" w:color="E7E6E6"/>
              <w:right w:val="single" w:sz="8" w:space="0" w:color="E7E6E6"/>
            </w:tcBorders>
            <w:shd w:val="clear" w:color="000000" w:fill="FFFFFF"/>
            <w:vAlign w:val="center"/>
            <w:hideMark/>
          </w:tcPr>
          <w:p w14:paraId="2F507A4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tcBorders>
              <w:top w:val="nil"/>
              <w:left w:val="nil"/>
              <w:bottom w:val="single" w:sz="8" w:space="0" w:color="E7E6E6"/>
              <w:right w:val="single" w:sz="8" w:space="0" w:color="E7E6E6"/>
            </w:tcBorders>
            <w:shd w:val="clear" w:color="000000" w:fill="FFFFFF"/>
            <w:vAlign w:val="center"/>
            <w:hideMark/>
          </w:tcPr>
          <w:p w14:paraId="3D6ECDE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6EE9435D" w14:textId="77777777" w:rsidTr="000A0C22">
        <w:trPr>
          <w:trHeight w:val="300"/>
          <w:jc w:val="center"/>
        </w:trPr>
        <w:tc>
          <w:tcPr>
            <w:tcW w:w="2227" w:type="dxa"/>
            <w:tcBorders>
              <w:top w:val="nil"/>
              <w:left w:val="single" w:sz="8" w:space="0" w:color="E7E6E6"/>
              <w:bottom w:val="single" w:sz="8" w:space="0" w:color="E7E6E6"/>
              <w:right w:val="single" w:sz="8" w:space="0" w:color="E7E6E6"/>
            </w:tcBorders>
            <w:shd w:val="clear" w:color="auto" w:fill="auto"/>
            <w:vAlign w:val="center"/>
          </w:tcPr>
          <w:p w14:paraId="6098453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Guápiles</w:t>
            </w:r>
          </w:p>
        </w:tc>
        <w:tc>
          <w:tcPr>
            <w:tcW w:w="709" w:type="dxa"/>
            <w:tcBorders>
              <w:top w:val="nil"/>
              <w:left w:val="nil"/>
              <w:bottom w:val="single" w:sz="8" w:space="0" w:color="E7E6E6"/>
              <w:right w:val="single" w:sz="8" w:space="0" w:color="E7E6E6"/>
            </w:tcBorders>
            <w:shd w:val="clear" w:color="auto" w:fill="auto"/>
            <w:vAlign w:val="center"/>
          </w:tcPr>
          <w:p w14:paraId="4CA3203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801" w:type="dxa"/>
            <w:tcBorders>
              <w:top w:val="nil"/>
              <w:left w:val="nil"/>
              <w:bottom w:val="single" w:sz="8" w:space="0" w:color="E7E6E6"/>
              <w:right w:val="single" w:sz="8" w:space="0" w:color="E7E6E6"/>
            </w:tcBorders>
            <w:shd w:val="clear" w:color="auto" w:fill="auto"/>
            <w:vAlign w:val="center"/>
          </w:tcPr>
          <w:p w14:paraId="2918FA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48" w:type="dxa"/>
            <w:tcBorders>
              <w:top w:val="nil"/>
              <w:left w:val="nil"/>
              <w:bottom w:val="single" w:sz="8" w:space="0" w:color="E7E6E6"/>
              <w:right w:val="single" w:sz="8" w:space="0" w:color="E7E6E6"/>
            </w:tcBorders>
            <w:shd w:val="clear" w:color="auto" w:fill="auto"/>
            <w:vAlign w:val="center"/>
          </w:tcPr>
          <w:p w14:paraId="3E5317D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1275" w:type="dxa"/>
            <w:tcBorders>
              <w:top w:val="nil"/>
              <w:left w:val="nil"/>
              <w:bottom w:val="single" w:sz="8" w:space="0" w:color="E7E6E6"/>
              <w:right w:val="single" w:sz="8" w:space="0" w:color="E7E6E6"/>
            </w:tcBorders>
            <w:shd w:val="clear" w:color="auto" w:fill="auto"/>
            <w:vAlign w:val="center"/>
          </w:tcPr>
          <w:p w14:paraId="14C5DB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418" w:type="dxa"/>
            <w:tcBorders>
              <w:top w:val="nil"/>
              <w:left w:val="nil"/>
              <w:bottom w:val="single" w:sz="8" w:space="0" w:color="E7E6E6"/>
              <w:right w:val="single" w:sz="8" w:space="0" w:color="E7E6E6"/>
            </w:tcBorders>
            <w:shd w:val="clear" w:color="auto" w:fill="auto"/>
            <w:vAlign w:val="center"/>
          </w:tcPr>
          <w:p w14:paraId="058B8C3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tcBorders>
              <w:top w:val="nil"/>
              <w:left w:val="nil"/>
              <w:bottom w:val="single" w:sz="8" w:space="0" w:color="E7E6E6"/>
              <w:right w:val="single" w:sz="8" w:space="0" w:color="E7E6E6"/>
            </w:tcBorders>
            <w:shd w:val="clear" w:color="auto" w:fill="auto"/>
            <w:vAlign w:val="center"/>
          </w:tcPr>
          <w:p w14:paraId="558F20C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33CDEAA7" w14:textId="77777777" w:rsidTr="000A0C22">
        <w:trPr>
          <w:trHeight w:val="300"/>
          <w:jc w:val="center"/>
        </w:trPr>
        <w:tc>
          <w:tcPr>
            <w:tcW w:w="2227" w:type="dxa"/>
            <w:tcBorders>
              <w:top w:val="nil"/>
              <w:left w:val="single" w:sz="8" w:space="0" w:color="E7E6E6"/>
              <w:bottom w:val="single" w:sz="8" w:space="0" w:color="E7E6E6"/>
              <w:right w:val="single" w:sz="8" w:space="0" w:color="E7E6E6"/>
            </w:tcBorders>
            <w:shd w:val="clear" w:color="000000" w:fill="DEEAF6"/>
            <w:vAlign w:val="center"/>
            <w:hideMark/>
          </w:tcPr>
          <w:p w14:paraId="05CA3529"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709" w:type="dxa"/>
            <w:tcBorders>
              <w:top w:val="nil"/>
              <w:left w:val="nil"/>
              <w:bottom w:val="single" w:sz="8" w:space="0" w:color="E7E6E6"/>
              <w:right w:val="single" w:sz="8" w:space="0" w:color="E7E6E6"/>
            </w:tcBorders>
            <w:shd w:val="clear" w:color="000000" w:fill="DEEAF6"/>
            <w:vAlign w:val="center"/>
            <w:hideMark/>
          </w:tcPr>
          <w:p w14:paraId="3966087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3</w:t>
            </w:r>
          </w:p>
        </w:tc>
        <w:tc>
          <w:tcPr>
            <w:tcW w:w="801" w:type="dxa"/>
            <w:tcBorders>
              <w:top w:val="nil"/>
              <w:left w:val="nil"/>
              <w:bottom w:val="single" w:sz="8" w:space="0" w:color="E7E6E6"/>
              <w:right w:val="single" w:sz="8" w:space="0" w:color="E7E6E6"/>
            </w:tcBorders>
            <w:shd w:val="clear" w:color="000000" w:fill="DEEAF6"/>
            <w:vAlign w:val="center"/>
            <w:hideMark/>
          </w:tcPr>
          <w:p w14:paraId="1A5E806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6</w:t>
            </w:r>
          </w:p>
        </w:tc>
        <w:tc>
          <w:tcPr>
            <w:tcW w:w="648" w:type="dxa"/>
            <w:tcBorders>
              <w:top w:val="nil"/>
              <w:left w:val="nil"/>
              <w:bottom w:val="single" w:sz="8" w:space="0" w:color="E7E6E6"/>
              <w:right w:val="single" w:sz="8" w:space="0" w:color="E7E6E6"/>
            </w:tcBorders>
            <w:shd w:val="clear" w:color="000000" w:fill="DEEAF6"/>
            <w:vAlign w:val="center"/>
            <w:hideMark/>
          </w:tcPr>
          <w:p w14:paraId="3671202D"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9</w:t>
            </w:r>
          </w:p>
        </w:tc>
        <w:tc>
          <w:tcPr>
            <w:tcW w:w="1275" w:type="dxa"/>
            <w:tcBorders>
              <w:top w:val="nil"/>
              <w:left w:val="nil"/>
              <w:bottom w:val="single" w:sz="8" w:space="0" w:color="E7E6E6"/>
              <w:right w:val="single" w:sz="8" w:space="0" w:color="E7E6E6"/>
            </w:tcBorders>
            <w:shd w:val="clear" w:color="000000" w:fill="DEEAF6"/>
            <w:vAlign w:val="center"/>
            <w:hideMark/>
          </w:tcPr>
          <w:p w14:paraId="2CEC24A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₡185 133 000,00 </w:t>
            </w:r>
          </w:p>
        </w:tc>
        <w:tc>
          <w:tcPr>
            <w:tcW w:w="1418" w:type="dxa"/>
            <w:tcBorders>
              <w:top w:val="nil"/>
              <w:left w:val="nil"/>
              <w:bottom w:val="single" w:sz="8" w:space="0" w:color="E7E6E6"/>
              <w:right w:val="single" w:sz="8" w:space="0" w:color="E7E6E6"/>
            </w:tcBorders>
            <w:shd w:val="clear" w:color="000000" w:fill="DEEAF6"/>
            <w:vAlign w:val="center"/>
            <w:hideMark/>
          </w:tcPr>
          <w:p w14:paraId="7A461CDC"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100 056 000,00 </w:t>
            </w:r>
          </w:p>
          <w:p w14:paraId="6ECE2519" w14:textId="77777777" w:rsidR="00B15F7D" w:rsidRPr="00990FB6" w:rsidRDefault="00B15F7D" w:rsidP="00B15F7D">
            <w:pPr>
              <w:suppressAutoHyphens w:val="0"/>
              <w:jc w:val="center"/>
              <w:rPr>
                <w:b/>
                <w:bCs/>
                <w:color w:val="3A3838"/>
                <w:sz w:val="22"/>
                <w:szCs w:val="22"/>
                <w:lang w:val="es-CR" w:eastAsia="es-CR"/>
              </w:rPr>
            </w:pPr>
          </w:p>
        </w:tc>
        <w:tc>
          <w:tcPr>
            <w:tcW w:w="1559" w:type="dxa"/>
            <w:tcBorders>
              <w:top w:val="nil"/>
              <w:left w:val="nil"/>
              <w:bottom w:val="single" w:sz="8" w:space="0" w:color="E7E6E6"/>
              <w:right w:val="single" w:sz="8" w:space="0" w:color="E7E6E6"/>
            </w:tcBorders>
            <w:shd w:val="clear" w:color="000000" w:fill="DEEAF6"/>
            <w:vAlign w:val="center"/>
            <w:hideMark/>
          </w:tcPr>
          <w:p w14:paraId="75720F9D"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285 189 000,00 </w:t>
            </w:r>
          </w:p>
        </w:tc>
      </w:tr>
    </w:tbl>
    <w:p w14:paraId="7DAFE2CE" w14:textId="77777777" w:rsidR="00B15F7D" w:rsidRPr="00990FB6" w:rsidRDefault="00B15F7D" w:rsidP="00B15F7D">
      <w:pPr>
        <w:suppressAutoHyphens w:val="0"/>
        <w:ind w:left="284" w:right="424"/>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5F9CE661" w14:textId="77777777" w:rsidR="00B15F7D" w:rsidRPr="00990FB6" w:rsidRDefault="00B15F7D" w:rsidP="00B15F7D">
      <w:pPr>
        <w:tabs>
          <w:tab w:val="left" w:pos="426"/>
          <w:tab w:val="left" w:pos="1134"/>
        </w:tabs>
        <w:suppressAutoHyphens w:val="0"/>
        <w:ind w:left="851" w:right="851" w:firstLine="709"/>
        <w:contextualSpacing/>
        <w:jc w:val="both"/>
        <w:rPr>
          <w:sz w:val="22"/>
          <w:szCs w:val="22"/>
          <w:lang w:eastAsia="en-US"/>
        </w:rPr>
      </w:pPr>
    </w:p>
    <w:p w14:paraId="213F06A9" w14:textId="77777777" w:rsidR="00B15F7D" w:rsidRPr="00990FB6" w:rsidRDefault="00B15F7D" w:rsidP="00B15F7D">
      <w:pPr>
        <w:ind w:left="851" w:right="851" w:firstLine="709"/>
        <w:jc w:val="both"/>
        <w:rPr>
          <w:sz w:val="22"/>
          <w:szCs w:val="22"/>
          <w:lang w:eastAsia="en-US"/>
        </w:rPr>
      </w:pPr>
      <w:r w:rsidRPr="00990FB6">
        <w:rPr>
          <w:rFonts w:eastAsia="Calibri"/>
          <w:sz w:val="22"/>
          <w:szCs w:val="22"/>
          <w:lang w:val="es-CR" w:eastAsia="en-US"/>
        </w:rPr>
        <w:t xml:space="preserve">Con base en los cálculos anteriores, se determina que la necesidad de requerimiento humano en los Tribunales Penales, para atender la entrada de asuntos unipersonales asciende a                            </w:t>
      </w:r>
      <w:r w:rsidRPr="00990FB6">
        <w:rPr>
          <w:sz w:val="22"/>
          <w:szCs w:val="22"/>
          <w:lang w:eastAsia="en-US"/>
        </w:rPr>
        <w:t>₡ 285 189 000,00.</w:t>
      </w:r>
    </w:p>
    <w:p w14:paraId="09EF38B2" w14:textId="77777777" w:rsidR="00B15F7D" w:rsidRPr="00990FB6" w:rsidRDefault="00B15F7D" w:rsidP="00B15F7D">
      <w:pPr>
        <w:ind w:left="851" w:right="851" w:firstLine="709"/>
        <w:jc w:val="both"/>
        <w:rPr>
          <w:sz w:val="22"/>
          <w:szCs w:val="22"/>
          <w:lang w:eastAsia="en-US"/>
        </w:rPr>
      </w:pPr>
    </w:p>
    <w:p w14:paraId="395EBA17" w14:textId="77777777" w:rsidR="00B15F7D" w:rsidRPr="00990FB6" w:rsidRDefault="00B15F7D" w:rsidP="00B15F7D">
      <w:pPr>
        <w:numPr>
          <w:ilvl w:val="1"/>
          <w:numId w:val="128"/>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Necesidad de jueces y juezas de trámite en los Tribunales Penales</w:t>
      </w:r>
    </w:p>
    <w:p w14:paraId="0215CB64" w14:textId="77777777" w:rsidR="00B15F7D" w:rsidRPr="00990FB6" w:rsidRDefault="00B15F7D" w:rsidP="00B15F7D">
      <w:pPr>
        <w:ind w:left="851" w:right="851" w:firstLine="709"/>
        <w:jc w:val="both"/>
        <w:rPr>
          <w:rFonts w:eastAsia="Calibri"/>
          <w:sz w:val="22"/>
          <w:szCs w:val="22"/>
          <w:lang w:val="es-CR" w:eastAsia="en-US"/>
        </w:rPr>
      </w:pPr>
    </w:p>
    <w:p w14:paraId="1928764D" w14:textId="77777777" w:rsidR="00B15F7D" w:rsidRPr="00990FB6" w:rsidRDefault="00B15F7D" w:rsidP="00B15F7D">
      <w:pPr>
        <w:ind w:left="851" w:right="851" w:firstLine="709"/>
        <w:jc w:val="both"/>
        <w:rPr>
          <w:rFonts w:eastAsia="Calibri"/>
          <w:sz w:val="22"/>
          <w:szCs w:val="22"/>
          <w:lang w:val="es-CR" w:eastAsia="en-US"/>
        </w:rPr>
      </w:pPr>
      <w:r w:rsidRPr="00990FB6">
        <w:rPr>
          <w:rFonts w:eastAsia="Calibri"/>
          <w:sz w:val="22"/>
          <w:szCs w:val="22"/>
          <w:lang w:val="es-CR" w:eastAsia="en-US"/>
        </w:rPr>
        <w:t>La estructura organizacional aprobada por el Consejo Superior en sesión del Consejo Superior 2-19 del 10 de enero del 2019, artículo, según informe 1427-</w:t>
      </w:r>
      <w:r w:rsidRPr="00990FB6">
        <w:rPr>
          <w:rFonts w:eastAsia="Calibri"/>
          <w:sz w:val="22"/>
          <w:szCs w:val="22"/>
          <w:lang w:val="es-CR" w:eastAsia="en-US"/>
        </w:rPr>
        <w:lastRenderedPageBreak/>
        <w:t>PLA-18, Tribunales Penales, fue la siguiente, en cuanto a los jueces y juezas de trámite:</w:t>
      </w:r>
    </w:p>
    <w:p w14:paraId="404F1994" w14:textId="77777777" w:rsidR="00B15F7D" w:rsidRPr="00990FB6" w:rsidRDefault="00B15F7D" w:rsidP="00B15F7D">
      <w:pPr>
        <w:ind w:left="851" w:right="851" w:firstLine="709"/>
        <w:jc w:val="both"/>
        <w:rPr>
          <w:rFonts w:eastAsia="Calibri"/>
          <w:sz w:val="22"/>
          <w:szCs w:val="22"/>
          <w:lang w:val="es-CR" w:eastAsia="en-US"/>
        </w:rPr>
      </w:pPr>
    </w:p>
    <w:p w14:paraId="359516B0" w14:textId="77777777" w:rsidR="00B15F7D" w:rsidRPr="00990FB6" w:rsidRDefault="00B15F7D" w:rsidP="00B15F7D">
      <w:pPr>
        <w:numPr>
          <w:ilvl w:val="0"/>
          <w:numId w:val="127"/>
        </w:numPr>
        <w:suppressAutoHyphens w:val="0"/>
        <w:ind w:left="851" w:right="851" w:firstLine="709"/>
        <w:jc w:val="both"/>
        <w:rPr>
          <w:bCs/>
          <w:i/>
          <w:iCs/>
          <w:sz w:val="22"/>
          <w:szCs w:val="22"/>
          <w:lang w:val="es-CR" w:eastAsia="en-US"/>
        </w:rPr>
      </w:pPr>
      <w:r w:rsidRPr="00990FB6">
        <w:rPr>
          <w:bCs/>
          <w:i/>
          <w:iCs/>
          <w:sz w:val="22"/>
          <w:szCs w:val="22"/>
          <w:lang w:val="es-CR" w:eastAsia="en-US"/>
        </w:rPr>
        <w:t xml:space="preserve">Una Jueza o Juez de Trámite por cada tres o cuatro secciones (colegiada o unipersonal). </w:t>
      </w:r>
    </w:p>
    <w:p w14:paraId="33942233" w14:textId="77777777" w:rsidR="00B15F7D" w:rsidRPr="00990FB6" w:rsidRDefault="00B15F7D" w:rsidP="00B15F7D">
      <w:pPr>
        <w:suppressAutoHyphens w:val="0"/>
        <w:ind w:left="851" w:right="851" w:firstLine="709"/>
        <w:jc w:val="both"/>
        <w:rPr>
          <w:bCs/>
          <w:i/>
          <w:iCs/>
          <w:sz w:val="22"/>
          <w:szCs w:val="22"/>
          <w:lang w:val="es-CR" w:eastAsia="en-US"/>
        </w:rPr>
      </w:pPr>
    </w:p>
    <w:p w14:paraId="54F0C436"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Por lo que seguidamente se muestra la estimación de la cantidad de jueces y juezas de trámite que requieren los Tribunales Penales, conforme su estructura ordinaria más la cantidad de personal adicional recomendado en el presente informe:</w:t>
      </w:r>
    </w:p>
    <w:p w14:paraId="33A4229C" w14:textId="77777777" w:rsidR="00B15F7D" w:rsidRPr="00990FB6" w:rsidRDefault="00B15F7D" w:rsidP="00B15F7D">
      <w:pPr>
        <w:suppressAutoHyphens w:val="0"/>
        <w:ind w:left="851" w:right="851" w:firstLine="709"/>
        <w:jc w:val="both"/>
        <w:rPr>
          <w:rFonts w:eastAsia="Calibri"/>
          <w:sz w:val="22"/>
          <w:szCs w:val="22"/>
          <w:lang w:val="es-CR" w:eastAsia="en-US"/>
        </w:rPr>
      </w:pPr>
    </w:p>
    <w:p w14:paraId="3AD09017"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16</w:t>
      </w:r>
      <w:r w:rsidRPr="00990FB6">
        <w:rPr>
          <w:b/>
          <w:bCs/>
          <w:color w:val="00000A"/>
          <w:sz w:val="22"/>
          <w:szCs w:val="22"/>
          <w:lang w:eastAsia="es-ES"/>
        </w:rPr>
        <w:fldChar w:fldCharType="end"/>
      </w:r>
    </w:p>
    <w:p w14:paraId="6E349EE4" w14:textId="77777777" w:rsidR="00B15F7D" w:rsidRPr="00990FB6" w:rsidRDefault="00B15F7D" w:rsidP="00B15F7D">
      <w:pPr>
        <w:suppressAutoHyphens w:val="0"/>
        <w:ind w:left="851" w:right="851" w:firstLine="709"/>
        <w:jc w:val="center"/>
        <w:rPr>
          <w:bCs/>
          <w:i/>
          <w:smallCaps/>
          <w:sz w:val="22"/>
          <w:szCs w:val="22"/>
          <w:lang w:val="es-CR" w:eastAsia="en-US"/>
        </w:rPr>
      </w:pPr>
      <w:r w:rsidRPr="00990FB6">
        <w:rPr>
          <w:b/>
          <w:bCs/>
          <w:smallCaps/>
          <w:sz w:val="22"/>
          <w:szCs w:val="22"/>
          <w:lang w:val="es-CR" w:eastAsia="en-US"/>
        </w:rPr>
        <w:t>Necesidad de jueces y juezas de trámite en los Tribunales Penales del país, conforme la estructura organizacional aprobada por el Consejo Superior</w:t>
      </w:r>
    </w:p>
    <w:p w14:paraId="73C0772D" w14:textId="77777777" w:rsidR="00B15F7D" w:rsidRPr="00990FB6" w:rsidRDefault="00B15F7D" w:rsidP="00B15F7D">
      <w:pPr>
        <w:suppressAutoHyphens w:val="0"/>
        <w:jc w:val="both"/>
        <w:rPr>
          <w:rFonts w:eastAsia="Calibri"/>
          <w:sz w:val="22"/>
          <w:szCs w:val="22"/>
          <w:lang w:val="es-CR" w:eastAsia="en-US"/>
        </w:rPr>
      </w:pPr>
    </w:p>
    <w:tbl>
      <w:tblPr>
        <w:tblW w:w="6162" w:type="pct"/>
        <w:tblInd w:w="-1003" w:type="dxa"/>
        <w:tblLayout w:type="fixed"/>
        <w:tblCellMar>
          <w:left w:w="70" w:type="dxa"/>
          <w:right w:w="70" w:type="dxa"/>
        </w:tblCellMar>
        <w:tblLook w:val="04A0" w:firstRow="1" w:lastRow="0" w:firstColumn="1" w:lastColumn="0" w:noHBand="0" w:noVBand="1"/>
      </w:tblPr>
      <w:tblGrid>
        <w:gridCol w:w="2587"/>
        <w:gridCol w:w="1086"/>
        <w:gridCol w:w="881"/>
        <w:gridCol w:w="770"/>
        <w:gridCol w:w="1023"/>
        <w:gridCol w:w="814"/>
        <w:gridCol w:w="1275"/>
        <w:gridCol w:w="1358"/>
        <w:gridCol w:w="1086"/>
      </w:tblGrid>
      <w:tr w:rsidR="00B15F7D" w:rsidRPr="00990FB6" w14:paraId="0B51EDA2" w14:textId="77777777" w:rsidTr="000A0C22">
        <w:trPr>
          <w:trHeight w:val="529"/>
        </w:trPr>
        <w:tc>
          <w:tcPr>
            <w:tcW w:w="1189" w:type="pct"/>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39A8FE5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Tribunales Penales</w:t>
            </w:r>
          </w:p>
        </w:tc>
        <w:tc>
          <w:tcPr>
            <w:tcW w:w="1258" w:type="pct"/>
            <w:gridSpan w:val="3"/>
            <w:tcBorders>
              <w:top w:val="single" w:sz="8" w:space="0" w:color="E7E6E6"/>
              <w:left w:val="nil"/>
              <w:bottom w:val="single" w:sz="8" w:space="0" w:color="E7E6E6"/>
              <w:right w:val="nil"/>
            </w:tcBorders>
            <w:shd w:val="clear" w:color="000000" w:fill="5B9BD5"/>
            <w:noWrap/>
            <w:vAlign w:val="center"/>
            <w:hideMark/>
          </w:tcPr>
          <w:p w14:paraId="23325FB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Cantidad de Secciones ordinarias</w:t>
            </w:r>
          </w:p>
        </w:tc>
        <w:tc>
          <w:tcPr>
            <w:tcW w:w="844" w:type="pct"/>
            <w:gridSpan w:val="2"/>
            <w:tcBorders>
              <w:top w:val="single" w:sz="8" w:space="0" w:color="E7E6E6"/>
              <w:left w:val="single" w:sz="8" w:space="0" w:color="E7E6E6"/>
              <w:bottom w:val="single" w:sz="8" w:space="0" w:color="E7E6E6"/>
              <w:right w:val="nil"/>
            </w:tcBorders>
            <w:shd w:val="clear" w:color="000000" w:fill="5B9BD5"/>
            <w:vAlign w:val="center"/>
            <w:hideMark/>
          </w:tcPr>
          <w:p w14:paraId="5E8DEE74"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Secciones recomendadas en el presente informe de requerimiento humano</w:t>
            </w:r>
          </w:p>
        </w:tc>
        <w:tc>
          <w:tcPr>
            <w:tcW w:w="1709" w:type="pct"/>
            <w:gridSpan w:val="3"/>
            <w:tcBorders>
              <w:top w:val="single" w:sz="8" w:space="0" w:color="E7E6E6"/>
              <w:left w:val="single" w:sz="8" w:space="0" w:color="E7E6E6"/>
              <w:bottom w:val="single" w:sz="8" w:space="0" w:color="E7E6E6"/>
              <w:right w:val="nil"/>
            </w:tcBorders>
            <w:shd w:val="clear" w:color="000000" w:fill="5B9BD5"/>
            <w:vAlign w:val="center"/>
            <w:hideMark/>
          </w:tcPr>
          <w:p w14:paraId="0601BA3A"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 de jueces o juezas de trámite</w:t>
            </w:r>
          </w:p>
        </w:tc>
      </w:tr>
      <w:tr w:rsidR="00B15F7D" w:rsidRPr="00990FB6" w14:paraId="7B400F3D" w14:textId="77777777" w:rsidTr="000A0C22">
        <w:trPr>
          <w:trHeight w:val="1056"/>
        </w:trPr>
        <w:tc>
          <w:tcPr>
            <w:tcW w:w="1189" w:type="pct"/>
            <w:vMerge/>
            <w:tcBorders>
              <w:top w:val="single" w:sz="8" w:space="0" w:color="E7E6E6"/>
              <w:left w:val="single" w:sz="8" w:space="0" w:color="E7E6E6"/>
              <w:bottom w:val="single" w:sz="8" w:space="0" w:color="E7E6E6"/>
              <w:right w:val="single" w:sz="8" w:space="0" w:color="E7E6E6"/>
            </w:tcBorders>
            <w:vAlign w:val="center"/>
            <w:hideMark/>
          </w:tcPr>
          <w:p w14:paraId="611619EB" w14:textId="77777777" w:rsidR="00B15F7D" w:rsidRPr="00990FB6" w:rsidRDefault="00B15F7D" w:rsidP="00B15F7D">
            <w:pPr>
              <w:suppressAutoHyphens w:val="0"/>
              <w:rPr>
                <w:b/>
                <w:bCs/>
                <w:sz w:val="22"/>
                <w:szCs w:val="22"/>
                <w:lang w:val="es-CR" w:eastAsia="es-CR"/>
              </w:rPr>
            </w:pPr>
          </w:p>
        </w:tc>
        <w:tc>
          <w:tcPr>
            <w:tcW w:w="499" w:type="pct"/>
            <w:tcBorders>
              <w:top w:val="nil"/>
              <w:left w:val="nil"/>
              <w:bottom w:val="single" w:sz="8" w:space="0" w:color="E7E6E6"/>
              <w:right w:val="single" w:sz="8" w:space="0" w:color="E7E6E6"/>
            </w:tcBorders>
            <w:shd w:val="clear" w:color="000000" w:fill="305496"/>
            <w:vAlign w:val="center"/>
            <w:hideMark/>
          </w:tcPr>
          <w:p w14:paraId="27ED43C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Unipersonales</w:t>
            </w:r>
          </w:p>
        </w:tc>
        <w:tc>
          <w:tcPr>
            <w:tcW w:w="405" w:type="pct"/>
            <w:tcBorders>
              <w:top w:val="nil"/>
              <w:left w:val="nil"/>
              <w:bottom w:val="single" w:sz="8" w:space="0" w:color="E7E6E6"/>
              <w:right w:val="single" w:sz="8" w:space="0" w:color="E7E6E6"/>
            </w:tcBorders>
            <w:shd w:val="clear" w:color="000000" w:fill="305496"/>
            <w:vAlign w:val="center"/>
            <w:hideMark/>
          </w:tcPr>
          <w:p w14:paraId="544F2434"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Colegiados</w:t>
            </w:r>
          </w:p>
        </w:tc>
        <w:tc>
          <w:tcPr>
            <w:tcW w:w="354" w:type="pct"/>
            <w:tcBorders>
              <w:top w:val="nil"/>
              <w:left w:val="nil"/>
              <w:bottom w:val="single" w:sz="8" w:space="0" w:color="E7E6E6"/>
              <w:right w:val="single" w:sz="8" w:space="0" w:color="E7E6E6"/>
            </w:tcBorders>
            <w:shd w:val="clear" w:color="000000" w:fill="305496"/>
            <w:vAlign w:val="center"/>
            <w:hideMark/>
          </w:tcPr>
          <w:p w14:paraId="7B2CCE1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Flagrancia</w:t>
            </w:r>
          </w:p>
        </w:tc>
        <w:tc>
          <w:tcPr>
            <w:tcW w:w="470" w:type="pct"/>
            <w:tcBorders>
              <w:top w:val="nil"/>
              <w:left w:val="nil"/>
              <w:bottom w:val="single" w:sz="8" w:space="0" w:color="E7E6E6"/>
              <w:right w:val="single" w:sz="8" w:space="0" w:color="E7E6E6"/>
            </w:tcBorders>
            <w:shd w:val="clear" w:color="000000" w:fill="305496"/>
            <w:vAlign w:val="center"/>
            <w:hideMark/>
          </w:tcPr>
          <w:p w14:paraId="00EAEAC0"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Unipersonales</w:t>
            </w:r>
          </w:p>
        </w:tc>
        <w:tc>
          <w:tcPr>
            <w:tcW w:w="374" w:type="pct"/>
            <w:tcBorders>
              <w:top w:val="nil"/>
              <w:left w:val="nil"/>
              <w:bottom w:val="single" w:sz="8" w:space="0" w:color="E7E6E6"/>
              <w:right w:val="single" w:sz="8" w:space="0" w:color="E7E6E6"/>
            </w:tcBorders>
            <w:shd w:val="clear" w:color="000000" w:fill="305496"/>
            <w:vAlign w:val="center"/>
            <w:hideMark/>
          </w:tcPr>
          <w:p w14:paraId="4F3C899D"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Colegiadas</w:t>
            </w:r>
          </w:p>
        </w:tc>
        <w:tc>
          <w:tcPr>
            <w:tcW w:w="586" w:type="pct"/>
            <w:tcBorders>
              <w:top w:val="nil"/>
              <w:left w:val="nil"/>
              <w:bottom w:val="single" w:sz="8" w:space="0" w:color="E7E6E6"/>
              <w:right w:val="single" w:sz="8" w:space="0" w:color="E7E6E6"/>
            </w:tcBorders>
            <w:shd w:val="clear" w:color="000000" w:fill="70AD47"/>
            <w:vAlign w:val="center"/>
            <w:hideMark/>
          </w:tcPr>
          <w:p w14:paraId="607818E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Estimación de cantidad de jueces o juezas de trámites que necesita el despacho</w:t>
            </w:r>
          </w:p>
        </w:tc>
        <w:tc>
          <w:tcPr>
            <w:tcW w:w="624" w:type="pct"/>
            <w:tcBorders>
              <w:top w:val="nil"/>
              <w:left w:val="nil"/>
              <w:bottom w:val="single" w:sz="8" w:space="0" w:color="E7E6E6"/>
              <w:right w:val="single" w:sz="8" w:space="0" w:color="E7E6E6"/>
            </w:tcBorders>
            <w:shd w:val="clear" w:color="000000" w:fill="70AD47"/>
            <w:vAlign w:val="center"/>
            <w:hideMark/>
          </w:tcPr>
          <w:p w14:paraId="7A6095E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Estructura ordinaria</w:t>
            </w:r>
          </w:p>
        </w:tc>
        <w:tc>
          <w:tcPr>
            <w:tcW w:w="499" w:type="pct"/>
            <w:tcBorders>
              <w:top w:val="nil"/>
              <w:left w:val="nil"/>
              <w:bottom w:val="single" w:sz="8" w:space="0" w:color="E7E6E6"/>
              <w:right w:val="single" w:sz="8" w:space="0" w:color="E7E6E6"/>
            </w:tcBorders>
            <w:shd w:val="clear" w:color="000000" w:fill="70AD47"/>
            <w:vAlign w:val="center"/>
            <w:hideMark/>
          </w:tcPr>
          <w:p w14:paraId="6662E6E0"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 teórico</w:t>
            </w:r>
          </w:p>
        </w:tc>
      </w:tr>
      <w:tr w:rsidR="00B15F7D" w:rsidRPr="00990FB6" w14:paraId="373852D3"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63959EA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Cartago</w:t>
            </w:r>
          </w:p>
        </w:tc>
        <w:tc>
          <w:tcPr>
            <w:tcW w:w="499" w:type="pct"/>
            <w:tcBorders>
              <w:top w:val="nil"/>
              <w:left w:val="nil"/>
              <w:bottom w:val="single" w:sz="8" w:space="0" w:color="E7E6E6"/>
              <w:right w:val="single" w:sz="8" w:space="0" w:color="E7E6E6"/>
            </w:tcBorders>
            <w:shd w:val="clear" w:color="000000" w:fill="FFFFFF"/>
            <w:noWrap/>
            <w:vAlign w:val="center"/>
            <w:hideMark/>
          </w:tcPr>
          <w:p w14:paraId="7DF36FE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405" w:type="pct"/>
            <w:tcBorders>
              <w:top w:val="nil"/>
              <w:left w:val="nil"/>
              <w:bottom w:val="single" w:sz="8" w:space="0" w:color="E7E6E6"/>
              <w:right w:val="single" w:sz="8" w:space="0" w:color="E7E6E6"/>
            </w:tcBorders>
            <w:shd w:val="clear" w:color="000000" w:fill="FFFFFF"/>
            <w:noWrap/>
            <w:vAlign w:val="center"/>
            <w:hideMark/>
          </w:tcPr>
          <w:p w14:paraId="7F192D4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54" w:type="pct"/>
            <w:tcBorders>
              <w:top w:val="nil"/>
              <w:left w:val="nil"/>
              <w:bottom w:val="single" w:sz="8" w:space="0" w:color="E7E6E6"/>
              <w:right w:val="single" w:sz="8" w:space="0" w:color="E7E6E6"/>
            </w:tcBorders>
            <w:shd w:val="clear" w:color="000000" w:fill="FFFFFF"/>
            <w:noWrap/>
            <w:vAlign w:val="center"/>
            <w:hideMark/>
          </w:tcPr>
          <w:p w14:paraId="03EB3C3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7272A73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33866FA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477739C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1,5</w:t>
            </w:r>
          </w:p>
        </w:tc>
        <w:tc>
          <w:tcPr>
            <w:tcW w:w="624" w:type="pct"/>
            <w:tcBorders>
              <w:top w:val="nil"/>
              <w:left w:val="nil"/>
              <w:bottom w:val="single" w:sz="8" w:space="0" w:color="E7E6E6"/>
              <w:right w:val="single" w:sz="8" w:space="0" w:color="E7E6E6"/>
            </w:tcBorders>
            <w:shd w:val="clear" w:color="000000" w:fill="FFFFFF"/>
            <w:noWrap/>
            <w:vAlign w:val="center"/>
            <w:hideMark/>
          </w:tcPr>
          <w:p w14:paraId="43EF8F4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5857B14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0,5</w:t>
            </w:r>
          </w:p>
        </w:tc>
      </w:tr>
      <w:tr w:rsidR="00B15F7D" w:rsidRPr="00990FB6" w14:paraId="365E13D5"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06CE295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Heredia</w:t>
            </w:r>
          </w:p>
        </w:tc>
        <w:tc>
          <w:tcPr>
            <w:tcW w:w="499" w:type="pct"/>
            <w:tcBorders>
              <w:top w:val="nil"/>
              <w:left w:val="nil"/>
              <w:bottom w:val="single" w:sz="8" w:space="0" w:color="E7E6E6"/>
              <w:right w:val="single" w:sz="8" w:space="0" w:color="E7E6E6"/>
            </w:tcBorders>
            <w:shd w:val="clear" w:color="000000" w:fill="FFFFFF"/>
            <w:noWrap/>
            <w:vAlign w:val="center"/>
            <w:hideMark/>
          </w:tcPr>
          <w:p w14:paraId="2E13D8E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4A74CC8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354" w:type="pct"/>
            <w:tcBorders>
              <w:top w:val="nil"/>
              <w:left w:val="nil"/>
              <w:bottom w:val="single" w:sz="8" w:space="0" w:color="E7E6E6"/>
              <w:right w:val="single" w:sz="8" w:space="0" w:color="E7E6E6"/>
            </w:tcBorders>
            <w:shd w:val="clear" w:color="000000" w:fill="FFFFFF"/>
            <w:noWrap/>
            <w:vAlign w:val="center"/>
            <w:hideMark/>
          </w:tcPr>
          <w:p w14:paraId="7DD7B3E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571E9D9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74" w:type="pct"/>
            <w:tcBorders>
              <w:top w:val="nil"/>
              <w:left w:val="nil"/>
              <w:bottom w:val="single" w:sz="8" w:space="0" w:color="E7E6E6"/>
              <w:right w:val="single" w:sz="8" w:space="0" w:color="E7E6E6"/>
            </w:tcBorders>
            <w:shd w:val="clear" w:color="000000" w:fill="FFFFFF"/>
            <w:noWrap/>
            <w:vAlign w:val="center"/>
            <w:hideMark/>
          </w:tcPr>
          <w:p w14:paraId="4C903B2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543A928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1,75</w:t>
            </w:r>
          </w:p>
        </w:tc>
        <w:tc>
          <w:tcPr>
            <w:tcW w:w="624" w:type="pct"/>
            <w:tcBorders>
              <w:top w:val="nil"/>
              <w:left w:val="nil"/>
              <w:bottom w:val="single" w:sz="8" w:space="0" w:color="E7E6E6"/>
              <w:right w:val="single" w:sz="8" w:space="0" w:color="E7E6E6"/>
            </w:tcBorders>
            <w:shd w:val="clear" w:color="000000" w:fill="FFFFFF"/>
            <w:noWrap/>
            <w:vAlign w:val="center"/>
            <w:hideMark/>
          </w:tcPr>
          <w:p w14:paraId="6613F77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auto" w:fill="F7CAAC"/>
            <w:noWrap/>
            <w:vAlign w:val="center"/>
            <w:hideMark/>
          </w:tcPr>
          <w:p w14:paraId="270999C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0,75</w:t>
            </w:r>
          </w:p>
        </w:tc>
      </w:tr>
      <w:tr w:rsidR="00B15F7D" w:rsidRPr="00990FB6" w14:paraId="3FEBF50D"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522B9B5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Pococí</w:t>
            </w:r>
          </w:p>
        </w:tc>
        <w:tc>
          <w:tcPr>
            <w:tcW w:w="499" w:type="pct"/>
            <w:tcBorders>
              <w:top w:val="nil"/>
              <w:left w:val="nil"/>
              <w:bottom w:val="single" w:sz="8" w:space="0" w:color="E7E6E6"/>
              <w:right w:val="single" w:sz="8" w:space="0" w:color="E7E6E6"/>
            </w:tcBorders>
            <w:shd w:val="clear" w:color="000000" w:fill="FFFFFF"/>
            <w:noWrap/>
            <w:vAlign w:val="center"/>
            <w:hideMark/>
          </w:tcPr>
          <w:p w14:paraId="6DF3EF1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42290B7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54" w:type="pct"/>
            <w:tcBorders>
              <w:top w:val="nil"/>
              <w:left w:val="nil"/>
              <w:bottom w:val="single" w:sz="8" w:space="0" w:color="E7E6E6"/>
              <w:right w:val="single" w:sz="8" w:space="0" w:color="E7E6E6"/>
            </w:tcBorders>
            <w:shd w:val="clear" w:color="000000" w:fill="FFFFFF"/>
            <w:noWrap/>
            <w:vAlign w:val="center"/>
            <w:hideMark/>
          </w:tcPr>
          <w:p w14:paraId="3BA8DB1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57E9266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74" w:type="pct"/>
            <w:tcBorders>
              <w:top w:val="nil"/>
              <w:left w:val="nil"/>
              <w:bottom w:val="single" w:sz="8" w:space="0" w:color="E7E6E6"/>
              <w:right w:val="single" w:sz="8" w:space="0" w:color="E7E6E6"/>
            </w:tcBorders>
            <w:shd w:val="clear" w:color="000000" w:fill="FFFFFF"/>
            <w:noWrap/>
            <w:vAlign w:val="center"/>
            <w:hideMark/>
          </w:tcPr>
          <w:p w14:paraId="2672B6E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586" w:type="pct"/>
            <w:tcBorders>
              <w:top w:val="nil"/>
              <w:left w:val="nil"/>
              <w:bottom w:val="single" w:sz="8" w:space="0" w:color="E7E6E6"/>
              <w:right w:val="single" w:sz="8" w:space="0" w:color="E7E6E6"/>
            </w:tcBorders>
            <w:shd w:val="clear" w:color="000000" w:fill="FFFFFF"/>
            <w:noWrap/>
            <w:vAlign w:val="center"/>
            <w:hideMark/>
          </w:tcPr>
          <w:p w14:paraId="19DF76F7"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1,5</w:t>
            </w:r>
          </w:p>
        </w:tc>
        <w:tc>
          <w:tcPr>
            <w:tcW w:w="624" w:type="pct"/>
            <w:tcBorders>
              <w:top w:val="nil"/>
              <w:left w:val="nil"/>
              <w:bottom w:val="single" w:sz="8" w:space="0" w:color="E7E6E6"/>
              <w:right w:val="single" w:sz="8" w:space="0" w:color="E7E6E6"/>
            </w:tcBorders>
            <w:shd w:val="clear" w:color="000000" w:fill="FFFFFF"/>
            <w:noWrap/>
            <w:vAlign w:val="center"/>
            <w:hideMark/>
          </w:tcPr>
          <w:p w14:paraId="2CE39A4E"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32A35B22"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0,5</w:t>
            </w:r>
          </w:p>
        </w:tc>
      </w:tr>
      <w:tr w:rsidR="00B15F7D" w:rsidRPr="00990FB6" w14:paraId="63B7CBB8"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5A24DB6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Puntarenas</w:t>
            </w:r>
          </w:p>
        </w:tc>
        <w:tc>
          <w:tcPr>
            <w:tcW w:w="499" w:type="pct"/>
            <w:tcBorders>
              <w:top w:val="nil"/>
              <w:left w:val="nil"/>
              <w:bottom w:val="single" w:sz="8" w:space="0" w:color="E7E6E6"/>
              <w:right w:val="single" w:sz="8" w:space="0" w:color="E7E6E6"/>
            </w:tcBorders>
            <w:shd w:val="clear" w:color="000000" w:fill="FFFFFF"/>
            <w:noWrap/>
            <w:vAlign w:val="center"/>
            <w:hideMark/>
          </w:tcPr>
          <w:p w14:paraId="5302A70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27CFC8B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54" w:type="pct"/>
            <w:tcBorders>
              <w:top w:val="nil"/>
              <w:left w:val="nil"/>
              <w:bottom w:val="single" w:sz="8" w:space="0" w:color="E7E6E6"/>
              <w:right w:val="single" w:sz="8" w:space="0" w:color="E7E6E6"/>
            </w:tcBorders>
            <w:shd w:val="clear" w:color="000000" w:fill="FFFFFF"/>
            <w:noWrap/>
            <w:vAlign w:val="center"/>
            <w:hideMark/>
          </w:tcPr>
          <w:p w14:paraId="6953B4E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4B50B48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722A5D0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586" w:type="pct"/>
            <w:tcBorders>
              <w:top w:val="nil"/>
              <w:left w:val="nil"/>
              <w:bottom w:val="single" w:sz="8" w:space="0" w:color="E7E6E6"/>
              <w:right w:val="single" w:sz="8" w:space="0" w:color="E7E6E6"/>
            </w:tcBorders>
            <w:shd w:val="clear" w:color="000000" w:fill="FFFFFF"/>
            <w:noWrap/>
            <w:vAlign w:val="center"/>
            <w:hideMark/>
          </w:tcPr>
          <w:p w14:paraId="5E3EF7E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1,25</w:t>
            </w:r>
          </w:p>
        </w:tc>
        <w:tc>
          <w:tcPr>
            <w:tcW w:w="624" w:type="pct"/>
            <w:tcBorders>
              <w:top w:val="nil"/>
              <w:left w:val="nil"/>
              <w:bottom w:val="single" w:sz="8" w:space="0" w:color="E7E6E6"/>
              <w:right w:val="single" w:sz="8" w:space="0" w:color="E7E6E6"/>
            </w:tcBorders>
            <w:shd w:val="clear" w:color="000000" w:fill="FFFFFF"/>
            <w:noWrap/>
            <w:vAlign w:val="center"/>
            <w:hideMark/>
          </w:tcPr>
          <w:p w14:paraId="30B8712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2ED95C5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5A8E0AE7"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1D0F3D71" w14:textId="77777777" w:rsidR="00B15F7D" w:rsidRPr="00990FB6" w:rsidRDefault="00B15F7D" w:rsidP="00B15F7D">
            <w:pPr>
              <w:suppressAutoHyphens w:val="0"/>
              <w:jc w:val="center"/>
              <w:rPr>
                <w:sz w:val="22"/>
                <w:szCs w:val="22"/>
                <w:lang w:val="pt-BR" w:eastAsia="es-CR"/>
              </w:rPr>
            </w:pPr>
            <w:r w:rsidRPr="00990FB6">
              <w:rPr>
                <w:sz w:val="22"/>
                <w:szCs w:val="22"/>
                <w:lang w:val="es-CR" w:eastAsia="es-CR"/>
              </w:rPr>
              <w:t xml:space="preserve">Tribunal Penal de </w:t>
            </w:r>
            <w:r w:rsidRPr="00990FB6">
              <w:rPr>
                <w:sz w:val="22"/>
                <w:szCs w:val="22"/>
                <w:lang w:val="pt-BR" w:eastAsia="es-CR"/>
              </w:rPr>
              <w:t>Alajuela</w:t>
            </w:r>
          </w:p>
        </w:tc>
        <w:tc>
          <w:tcPr>
            <w:tcW w:w="499" w:type="pct"/>
            <w:tcBorders>
              <w:top w:val="nil"/>
              <w:left w:val="nil"/>
              <w:bottom w:val="single" w:sz="8" w:space="0" w:color="E7E6E6"/>
              <w:right w:val="single" w:sz="8" w:space="0" w:color="E7E6E6"/>
            </w:tcBorders>
            <w:shd w:val="clear" w:color="000000" w:fill="FFFFFF"/>
            <w:noWrap/>
            <w:vAlign w:val="center"/>
            <w:hideMark/>
          </w:tcPr>
          <w:p w14:paraId="6CB4EB9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405" w:type="pct"/>
            <w:tcBorders>
              <w:top w:val="nil"/>
              <w:left w:val="nil"/>
              <w:bottom w:val="single" w:sz="8" w:space="0" w:color="E7E6E6"/>
              <w:right w:val="single" w:sz="8" w:space="0" w:color="E7E6E6"/>
            </w:tcBorders>
            <w:shd w:val="clear" w:color="000000" w:fill="FFFFFF"/>
            <w:noWrap/>
            <w:vAlign w:val="center"/>
            <w:hideMark/>
          </w:tcPr>
          <w:p w14:paraId="73BF145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54" w:type="pct"/>
            <w:tcBorders>
              <w:top w:val="nil"/>
              <w:left w:val="nil"/>
              <w:bottom w:val="single" w:sz="8" w:space="0" w:color="E7E6E6"/>
              <w:right w:val="single" w:sz="8" w:space="0" w:color="E7E6E6"/>
            </w:tcBorders>
            <w:shd w:val="clear" w:color="000000" w:fill="FFFFFF"/>
            <w:noWrap/>
            <w:vAlign w:val="center"/>
            <w:hideMark/>
          </w:tcPr>
          <w:p w14:paraId="047D0E3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4C9783D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74" w:type="pct"/>
            <w:tcBorders>
              <w:top w:val="nil"/>
              <w:left w:val="nil"/>
              <w:bottom w:val="single" w:sz="8" w:space="0" w:color="E7E6E6"/>
              <w:right w:val="single" w:sz="8" w:space="0" w:color="E7E6E6"/>
            </w:tcBorders>
            <w:shd w:val="clear" w:color="000000" w:fill="FFFFFF"/>
            <w:noWrap/>
            <w:vAlign w:val="center"/>
            <w:hideMark/>
          </w:tcPr>
          <w:p w14:paraId="6BA98E7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586" w:type="pct"/>
            <w:tcBorders>
              <w:top w:val="nil"/>
              <w:left w:val="nil"/>
              <w:bottom w:val="single" w:sz="8" w:space="0" w:color="E7E6E6"/>
              <w:right w:val="single" w:sz="8" w:space="0" w:color="E7E6E6"/>
            </w:tcBorders>
            <w:shd w:val="clear" w:color="000000" w:fill="FFFFFF"/>
            <w:noWrap/>
            <w:vAlign w:val="center"/>
            <w:hideMark/>
          </w:tcPr>
          <w:p w14:paraId="62CC6B3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2,25</w:t>
            </w:r>
          </w:p>
        </w:tc>
        <w:tc>
          <w:tcPr>
            <w:tcW w:w="624" w:type="pct"/>
            <w:tcBorders>
              <w:top w:val="nil"/>
              <w:left w:val="nil"/>
              <w:bottom w:val="single" w:sz="8" w:space="0" w:color="E7E6E6"/>
              <w:right w:val="single" w:sz="8" w:space="0" w:color="E7E6E6"/>
            </w:tcBorders>
            <w:shd w:val="clear" w:color="000000" w:fill="FFFFFF"/>
            <w:noWrap/>
            <w:vAlign w:val="center"/>
            <w:hideMark/>
          </w:tcPr>
          <w:p w14:paraId="573AD98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auto" w:fill="F7CAAC"/>
            <w:noWrap/>
            <w:vAlign w:val="center"/>
            <w:hideMark/>
          </w:tcPr>
          <w:p w14:paraId="07B8E0A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1,25</w:t>
            </w:r>
          </w:p>
        </w:tc>
      </w:tr>
      <w:tr w:rsidR="00B15F7D" w:rsidRPr="00990FB6" w14:paraId="7E0788C7"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16452347" w14:textId="77777777" w:rsidR="00B15F7D" w:rsidRPr="00990FB6" w:rsidRDefault="00B15F7D" w:rsidP="00B15F7D">
            <w:pPr>
              <w:suppressAutoHyphens w:val="0"/>
              <w:jc w:val="center"/>
              <w:rPr>
                <w:sz w:val="22"/>
                <w:szCs w:val="22"/>
                <w:lang w:val="pt-BR" w:eastAsia="es-CR"/>
              </w:rPr>
            </w:pPr>
            <w:r w:rsidRPr="00990FB6">
              <w:rPr>
                <w:sz w:val="22"/>
                <w:szCs w:val="22"/>
                <w:lang w:val="es-CR" w:eastAsia="es-CR"/>
              </w:rPr>
              <w:t xml:space="preserve">Tribunal Penal de </w:t>
            </w:r>
            <w:r w:rsidRPr="00990FB6">
              <w:rPr>
                <w:sz w:val="22"/>
                <w:szCs w:val="22"/>
                <w:lang w:val="pt-BR" w:eastAsia="es-CR"/>
              </w:rPr>
              <w:t xml:space="preserve">Liberia </w:t>
            </w:r>
          </w:p>
        </w:tc>
        <w:tc>
          <w:tcPr>
            <w:tcW w:w="499" w:type="pct"/>
            <w:tcBorders>
              <w:top w:val="nil"/>
              <w:left w:val="nil"/>
              <w:bottom w:val="single" w:sz="8" w:space="0" w:color="E7E6E6"/>
              <w:right w:val="single" w:sz="8" w:space="0" w:color="E7E6E6"/>
            </w:tcBorders>
            <w:shd w:val="clear" w:color="000000" w:fill="FFFFFF"/>
            <w:noWrap/>
            <w:vAlign w:val="center"/>
            <w:hideMark/>
          </w:tcPr>
          <w:p w14:paraId="756708B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405" w:type="pct"/>
            <w:tcBorders>
              <w:top w:val="nil"/>
              <w:left w:val="nil"/>
              <w:bottom w:val="single" w:sz="8" w:space="0" w:color="E7E6E6"/>
              <w:right w:val="single" w:sz="8" w:space="0" w:color="E7E6E6"/>
            </w:tcBorders>
            <w:shd w:val="clear" w:color="000000" w:fill="FFFFFF"/>
            <w:noWrap/>
            <w:vAlign w:val="center"/>
            <w:hideMark/>
          </w:tcPr>
          <w:p w14:paraId="0CC6885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54" w:type="pct"/>
            <w:tcBorders>
              <w:top w:val="nil"/>
              <w:left w:val="nil"/>
              <w:bottom w:val="single" w:sz="8" w:space="0" w:color="E7E6E6"/>
              <w:right w:val="single" w:sz="8" w:space="0" w:color="E7E6E6"/>
            </w:tcBorders>
            <w:shd w:val="clear" w:color="000000" w:fill="FFFFFF"/>
            <w:noWrap/>
            <w:vAlign w:val="center"/>
            <w:hideMark/>
          </w:tcPr>
          <w:p w14:paraId="3768162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2F263BF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68D676B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586" w:type="pct"/>
            <w:tcBorders>
              <w:top w:val="nil"/>
              <w:left w:val="nil"/>
              <w:bottom w:val="single" w:sz="8" w:space="0" w:color="E7E6E6"/>
              <w:right w:val="single" w:sz="8" w:space="0" w:color="E7E6E6"/>
            </w:tcBorders>
            <w:shd w:val="clear" w:color="000000" w:fill="FFFFFF"/>
            <w:noWrap/>
            <w:vAlign w:val="center"/>
            <w:hideMark/>
          </w:tcPr>
          <w:p w14:paraId="06957FD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1,25</w:t>
            </w:r>
          </w:p>
        </w:tc>
        <w:tc>
          <w:tcPr>
            <w:tcW w:w="624" w:type="pct"/>
            <w:tcBorders>
              <w:top w:val="nil"/>
              <w:left w:val="nil"/>
              <w:bottom w:val="single" w:sz="8" w:space="0" w:color="E7E6E6"/>
              <w:right w:val="single" w:sz="8" w:space="0" w:color="E7E6E6"/>
            </w:tcBorders>
            <w:shd w:val="clear" w:color="000000" w:fill="FFFFFF"/>
            <w:noWrap/>
            <w:vAlign w:val="center"/>
            <w:hideMark/>
          </w:tcPr>
          <w:p w14:paraId="3054F18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45C3A7C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66733A5C"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0217293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Limón</w:t>
            </w:r>
          </w:p>
        </w:tc>
        <w:tc>
          <w:tcPr>
            <w:tcW w:w="499" w:type="pct"/>
            <w:tcBorders>
              <w:top w:val="nil"/>
              <w:left w:val="nil"/>
              <w:bottom w:val="single" w:sz="8" w:space="0" w:color="E7E6E6"/>
              <w:right w:val="single" w:sz="8" w:space="0" w:color="E7E6E6"/>
            </w:tcBorders>
            <w:shd w:val="clear" w:color="000000" w:fill="FFFFFF"/>
            <w:noWrap/>
            <w:vAlign w:val="center"/>
            <w:hideMark/>
          </w:tcPr>
          <w:p w14:paraId="4D93E9A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3E78B0D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354" w:type="pct"/>
            <w:tcBorders>
              <w:top w:val="nil"/>
              <w:left w:val="nil"/>
              <w:bottom w:val="single" w:sz="8" w:space="0" w:color="E7E6E6"/>
              <w:right w:val="single" w:sz="8" w:space="0" w:color="E7E6E6"/>
            </w:tcBorders>
            <w:shd w:val="clear" w:color="000000" w:fill="FFFFFF"/>
            <w:noWrap/>
            <w:vAlign w:val="center"/>
            <w:hideMark/>
          </w:tcPr>
          <w:p w14:paraId="3725503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2D844B7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374" w:type="pct"/>
            <w:tcBorders>
              <w:top w:val="nil"/>
              <w:left w:val="nil"/>
              <w:bottom w:val="single" w:sz="8" w:space="0" w:color="E7E6E6"/>
              <w:right w:val="single" w:sz="8" w:space="0" w:color="E7E6E6"/>
            </w:tcBorders>
            <w:shd w:val="clear" w:color="000000" w:fill="FFFFFF"/>
            <w:noWrap/>
            <w:vAlign w:val="center"/>
            <w:hideMark/>
          </w:tcPr>
          <w:p w14:paraId="474EFDA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3C64B93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624" w:type="pct"/>
            <w:tcBorders>
              <w:top w:val="nil"/>
              <w:left w:val="nil"/>
              <w:bottom w:val="single" w:sz="8" w:space="0" w:color="E7E6E6"/>
              <w:right w:val="single" w:sz="8" w:space="0" w:color="E7E6E6"/>
            </w:tcBorders>
            <w:shd w:val="clear" w:color="000000" w:fill="FFFFFF"/>
            <w:noWrap/>
            <w:vAlign w:val="center"/>
            <w:hideMark/>
          </w:tcPr>
          <w:p w14:paraId="7F2267D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auto" w:fill="F7CAAC"/>
            <w:noWrap/>
            <w:vAlign w:val="center"/>
            <w:hideMark/>
          </w:tcPr>
          <w:p w14:paraId="65F7974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r>
      <w:tr w:rsidR="00B15F7D" w:rsidRPr="00990FB6" w14:paraId="41E44234"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6D92C4C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Pérez Zeledón</w:t>
            </w:r>
          </w:p>
        </w:tc>
        <w:tc>
          <w:tcPr>
            <w:tcW w:w="499" w:type="pct"/>
            <w:tcBorders>
              <w:top w:val="nil"/>
              <w:left w:val="nil"/>
              <w:bottom w:val="single" w:sz="8" w:space="0" w:color="E7E6E6"/>
              <w:right w:val="single" w:sz="8" w:space="0" w:color="E7E6E6"/>
            </w:tcBorders>
            <w:shd w:val="clear" w:color="000000" w:fill="FFFFFF"/>
            <w:noWrap/>
            <w:vAlign w:val="center"/>
            <w:hideMark/>
          </w:tcPr>
          <w:p w14:paraId="3293A23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64C3F4E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54" w:type="pct"/>
            <w:tcBorders>
              <w:top w:val="nil"/>
              <w:left w:val="nil"/>
              <w:bottom w:val="single" w:sz="8" w:space="0" w:color="E7E6E6"/>
              <w:right w:val="single" w:sz="8" w:space="0" w:color="E7E6E6"/>
            </w:tcBorders>
            <w:shd w:val="clear" w:color="000000" w:fill="FFFFFF"/>
            <w:noWrap/>
            <w:vAlign w:val="center"/>
            <w:hideMark/>
          </w:tcPr>
          <w:p w14:paraId="4C97D7C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783CCEA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74" w:type="pct"/>
            <w:tcBorders>
              <w:top w:val="nil"/>
              <w:left w:val="nil"/>
              <w:bottom w:val="single" w:sz="8" w:space="0" w:color="E7E6E6"/>
              <w:right w:val="single" w:sz="8" w:space="0" w:color="E7E6E6"/>
            </w:tcBorders>
            <w:shd w:val="clear" w:color="000000" w:fill="FFFFFF"/>
            <w:noWrap/>
            <w:vAlign w:val="center"/>
            <w:hideMark/>
          </w:tcPr>
          <w:p w14:paraId="4FD161D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2EA4634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1,25</w:t>
            </w:r>
          </w:p>
        </w:tc>
        <w:tc>
          <w:tcPr>
            <w:tcW w:w="624" w:type="pct"/>
            <w:tcBorders>
              <w:top w:val="nil"/>
              <w:left w:val="nil"/>
              <w:bottom w:val="single" w:sz="8" w:space="0" w:color="E7E6E6"/>
              <w:right w:val="single" w:sz="8" w:space="0" w:color="E7E6E6"/>
            </w:tcBorders>
            <w:shd w:val="clear" w:color="000000" w:fill="FFFFFF"/>
            <w:noWrap/>
            <w:vAlign w:val="center"/>
            <w:hideMark/>
          </w:tcPr>
          <w:p w14:paraId="73818EA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4C49AFA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528EE11D"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6CCCA8F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San Carlos</w:t>
            </w:r>
          </w:p>
        </w:tc>
        <w:tc>
          <w:tcPr>
            <w:tcW w:w="499" w:type="pct"/>
            <w:tcBorders>
              <w:top w:val="nil"/>
              <w:left w:val="nil"/>
              <w:bottom w:val="single" w:sz="8" w:space="0" w:color="E7E6E6"/>
              <w:right w:val="single" w:sz="8" w:space="0" w:color="E7E6E6"/>
            </w:tcBorders>
            <w:shd w:val="clear" w:color="000000" w:fill="FFFFFF"/>
            <w:noWrap/>
            <w:vAlign w:val="center"/>
            <w:hideMark/>
          </w:tcPr>
          <w:p w14:paraId="027C0BE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405" w:type="pct"/>
            <w:tcBorders>
              <w:top w:val="nil"/>
              <w:left w:val="nil"/>
              <w:bottom w:val="single" w:sz="8" w:space="0" w:color="E7E6E6"/>
              <w:right w:val="single" w:sz="8" w:space="0" w:color="E7E6E6"/>
            </w:tcBorders>
            <w:shd w:val="clear" w:color="000000" w:fill="FFFFFF"/>
            <w:noWrap/>
            <w:vAlign w:val="center"/>
            <w:hideMark/>
          </w:tcPr>
          <w:p w14:paraId="6BE0E7C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54" w:type="pct"/>
            <w:tcBorders>
              <w:top w:val="nil"/>
              <w:left w:val="nil"/>
              <w:bottom w:val="single" w:sz="8" w:space="0" w:color="E7E6E6"/>
              <w:right w:val="single" w:sz="8" w:space="0" w:color="E7E6E6"/>
            </w:tcBorders>
            <w:shd w:val="clear" w:color="000000" w:fill="FFFFFF"/>
            <w:noWrap/>
            <w:vAlign w:val="center"/>
            <w:hideMark/>
          </w:tcPr>
          <w:p w14:paraId="2E2938E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7E78E4E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74" w:type="pct"/>
            <w:tcBorders>
              <w:top w:val="nil"/>
              <w:left w:val="nil"/>
              <w:bottom w:val="single" w:sz="8" w:space="0" w:color="E7E6E6"/>
              <w:right w:val="single" w:sz="8" w:space="0" w:color="E7E6E6"/>
            </w:tcBorders>
            <w:shd w:val="clear" w:color="000000" w:fill="FFFFFF"/>
            <w:noWrap/>
            <w:vAlign w:val="center"/>
            <w:hideMark/>
          </w:tcPr>
          <w:p w14:paraId="7EF1B2A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19608B5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1,5</w:t>
            </w:r>
          </w:p>
        </w:tc>
        <w:tc>
          <w:tcPr>
            <w:tcW w:w="624" w:type="pct"/>
            <w:tcBorders>
              <w:top w:val="nil"/>
              <w:left w:val="nil"/>
              <w:bottom w:val="single" w:sz="8" w:space="0" w:color="E7E6E6"/>
              <w:right w:val="single" w:sz="8" w:space="0" w:color="E7E6E6"/>
            </w:tcBorders>
            <w:shd w:val="clear" w:color="000000" w:fill="FFFFFF"/>
            <w:noWrap/>
            <w:vAlign w:val="center"/>
            <w:hideMark/>
          </w:tcPr>
          <w:p w14:paraId="27CF33A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52FD180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0,5</w:t>
            </w:r>
          </w:p>
        </w:tc>
      </w:tr>
      <w:tr w:rsidR="00B15F7D" w:rsidRPr="00990FB6" w14:paraId="5BB659B8"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4E5EEDF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Nicoya</w:t>
            </w:r>
          </w:p>
        </w:tc>
        <w:tc>
          <w:tcPr>
            <w:tcW w:w="499" w:type="pct"/>
            <w:tcBorders>
              <w:top w:val="nil"/>
              <w:left w:val="nil"/>
              <w:bottom w:val="single" w:sz="8" w:space="0" w:color="E7E6E6"/>
              <w:right w:val="single" w:sz="8" w:space="0" w:color="E7E6E6"/>
            </w:tcBorders>
            <w:shd w:val="clear" w:color="000000" w:fill="FFFFFF"/>
            <w:noWrap/>
            <w:vAlign w:val="center"/>
            <w:hideMark/>
          </w:tcPr>
          <w:p w14:paraId="2ADB6A0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3E7E835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54" w:type="pct"/>
            <w:tcBorders>
              <w:top w:val="nil"/>
              <w:left w:val="nil"/>
              <w:bottom w:val="single" w:sz="8" w:space="0" w:color="E7E6E6"/>
              <w:right w:val="single" w:sz="8" w:space="0" w:color="E7E6E6"/>
            </w:tcBorders>
            <w:shd w:val="clear" w:color="000000" w:fill="FFFFFF"/>
            <w:noWrap/>
            <w:vAlign w:val="center"/>
            <w:hideMark/>
          </w:tcPr>
          <w:p w14:paraId="1680F4A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70" w:type="pct"/>
            <w:tcBorders>
              <w:top w:val="nil"/>
              <w:left w:val="nil"/>
              <w:bottom w:val="single" w:sz="8" w:space="0" w:color="E7E6E6"/>
              <w:right w:val="single" w:sz="8" w:space="0" w:color="E7E6E6"/>
            </w:tcBorders>
            <w:shd w:val="clear" w:color="000000" w:fill="FFFFFF"/>
            <w:noWrap/>
            <w:vAlign w:val="center"/>
            <w:hideMark/>
          </w:tcPr>
          <w:p w14:paraId="6C35600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56B319A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2FEC25C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0,5</w:t>
            </w:r>
          </w:p>
        </w:tc>
        <w:tc>
          <w:tcPr>
            <w:tcW w:w="624" w:type="pct"/>
            <w:tcBorders>
              <w:top w:val="nil"/>
              <w:left w:val="nil"/>
              <w:bottom w:val="single" w:sz="8" w:space="0" w:color="E7E6E6"/>
              <w:right w:val="single" w:sz="8" w:space="0" w:color="E7E6E6"/>
            </w:tcBorders>
            <w:shd w:val="clear" w:color="000000" w:fill="FFFFFF"/>
            <w:noWrap/>
            <w:vAlign w:val="center"/>
            <w:hideMark/>
          </w:tcPr>
          <w:p w14:paraId="11717A9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4979AB8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-0,5</w:t>
            </w:r>
          </w:p>
        </w:tc>
      </w:tr>
      <w:tr w:rsidR="00B15F7D" w:rsidRPr="00990FB6" w14:paraId="3AD8DDD9"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7D9CD57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Corredores</w:t>
            </w:r>
          </w:p>
        </w:tc>
        <w:tc>
          <w:tcPr>
            <w:tcW w:w="499" w:type="pct"/>
            <w:tcBorders>
              <w:top w:val="nil"/>
              <w:left w:val="nil"/>
              <w:bottom w:val="single" w:sz="8" w:space="0" w:color="E7E6E6"/>
              <w:right w:val="single" w:sz="8" w:space="0" w:color="E7E6E6"/>
            </w:tcBorders>
            <w:shd w:val="clear" w:color="000000" w:fill="FFFFFF"/>
            <w:noWrap/>
            <w:vAlign w:val="center"/>
            <w:hideMark/>
          </w:tcPr>
          <w:p w14:paraId="04B6061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5615058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54" w:type="pct"/>
            <w:tcBorders>
              <w:top w:val="nil"/>
              <w:left w:val="nil"/>
              <w:bottom w:val="single" w:sz="8" w:space="0" w:color="E7E6E6"/>
              <w:right w:val="single" w:sz="8" w:space="0" w:color="E7E6E6"/>
            </w:tcBorders>
            <w:shd w:val="clear" w:color="000000" w:fill="FFFFFF"/>
            <w:noWrap/>
            <w:vAlign w:val="center"/>
            <w:hideMark/>
          </w:tcPr>
          <w:p w14:paraId="7F83314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6706C4C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09B767C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5C15D9B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0,75</w:t>
            </w:r>
          </w:p>
        </w:tc>
        <w:tc>
          <w:tcPr>
            <w:tcW w:w="624" w:type="pct"/>
            <w:tcBorders>
              <w:top w:val="nil"/>
              <w:left w:val="nil"/>
              <w:bottom w:val="single" w:sz="8" w:space="0" w:color="E7E6E6"/>
              <w:right w:val="single" w:sz="8" w:space="0" w:color="E7E6E6"/>
            </w:tcBorders>
            <w:shd w:val="clear" w:color="000000" w:fill="FFFFFF"/>
            <w:noWrap/>
            <w:vAlign w:val="center"/>
            <w:hideMark/>
          </w:tcPr>
          <w:p w14:paraId="4D4E552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5126069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62F7DFDF"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2CC3B0B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San Ramón</w:t>
            </w:r>
          </w:p>
        </w:tc>
        <w:tc>
          <w:tcPr>
            <w:tcW w:w="499" w:type="pct"/>
            <w:tcBorders>
              <w:top w:val="nil"/>
              <w:left w:val="nil"/>
              <w:bottom w:val="single" w:sz="8" w:space="0" w:color="E7E6E6"/>
              <w:right w:val="single" w:sz="8" w:space="0" w:color="E7E6E6"/>
            </w:tcBorders>
            <w:shd w:val="clear" w:color="000000" w:fill="FFFFFF"/>
            <w:noWrap/>
            <w:vAlign w:val="center"/>
            <w:hideMark/>
          </w:tcPr>
          <w:p w14:paraId="6A60138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02D93BB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54" w:type="pct"/>
            <w:tcBorders>
              <w:top w:val="nil"/>
              <w:left w:val="nil"/>
              <w:bottom w:val="single" w:sz="8" w:space="0" w:color="E7E6E6"/>
              <w:right w:val="single" w:sz="8" w:space="0" w:color="E7E6E6"/>
            </w:tcBorders>
            <w:shd w:val="clear" w:color="000000" w:fill="FFFFFF"/>
            <w:noWrap/>
            <w:vAlign w:val="center"/>
            <w:hideMark/>
          </w:tcPr>
          <w:p w14:paraId="62D3CA7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720C31C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58DE35E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5FC7732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0,75</w:t>
            </w:r>
          </w:p>
        </w:tc>
        <w:tc>
          <w:tcPr>
            <w:tcW w:w="624" w:type="pct"/>
            <w:tcBorders>
              <w:top w:val="nil"/>
              <w:left w:val="nil"/>
              <w:bottom w:val="single" w:sz="8" w:space="0" w:color="E7E6E6"/>
              <w:right w:val="single" w:sz="8" w:space="0" w:color="E7E6E6"/>
            </w:tcBorders>
            <w:shd w:val="clear" w:color="000000" w:fill="FFFFFF"/>
            <w:noWrap/>
            <w:vAlign w:val="center"/>
            <w:hideMark/>
          </w:tcPr>
          <w:p w14:paraId="019A7A6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1E55F72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5A5F0708"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5A545CA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lastRenderedPageBreak/>
              <w:t>Tribunal Penal de San José</w:t>
            </w:r>
          </w:p>
        </w:tc>
        <w:tc>
          <w:tcPr>
            <w:tcW w:w="499" w:type="pct"/>
            <w:tcBorders>
              <w:top w:val="nil"/>
              <w:left w:val="nil"/>
              <w:bottom w:val="single" w:sz="8" w:space="0" w:color="E7E6E6"/>
              <w:right w:val="single" w:sz="8" w:space="0" w:color="E7E6E6"/>
            </w:tcBorders>
            <w:shd w:val="clear" w:color="000000" w:fill="FFFFFF"/>
            <w:noWrap/>
            <w:vAlign w:val="center"/>
            <w:hideMark/>
          </w:tcPr>
          <w:p w14:paraId="7172F40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405" w:type="pct"/>
            <w:tcBorders>
              <w:top w:val="nil"/>
              <w:left w:val="nil"/>
              <w:bottom w:val="single" w:sz="8" w:space="0" w:color="E7E6E6"/>
              <w:right w:val="single" w:sz="8" w:space="0" w:color="E7E6E6"/>
            </w:tcBorders>
            <w:shd w:val="clear" w:color="000000" w:fill="FFFFFF"/>
            <w:noWrap/>
            <w:vAlign w:val="center"/>
            <w:hideMark/>
          </w:tcPr>
          <w:p w14:paraId="620821A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6</w:t>
            </w:r>
          </w:p>
        </w:tc>
        <w:tc>
          <w:tcPr>
            <w:tcW w:w="354" w:type="pct"/>
            <w:tcBorders>
              <w:top w:val="nil"/>
              <w:left w:val="nil"/>
              <w:bottom w:val="single" w:sz="8" w:space="0" w:color="E7E6E6"/>
              <w:right w:val="single" w:sz="8" w:space="0" w:color="E7E6E6"/>
            </w:tcBorders>
            <w:shd w:val="clear" w:color="000000" w:fill="FFFFFF"/>
            <w:noWrap/>
            <w:vAlign w:val="center"/>
            <w:hideMark/>
          </w:tcPr>
          <w:p w14:paraId="6CFF182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470" w:type="pct"/>
            <w:tcBorders>
              <w:top w:val="nil"/>
              <w:left w:val="nil"/>
              <w:bottom w:val="single" w:sz="8" w:space="0" w:color="E7E6E6"/>
              <w:right w:val="single" w:sz="8" w:space="0" w:color="E7E6E6"/>
            </w:tcBorders>
            <w:shd w:val="clear" w:color="000000" w:fill="FFFFFF"/>
            <w:noWrap/>
            <w:vAlign w:val="center"/>
            <w:hideMark/>
          </w:tcPr>
          <w:p w14:paraId="114E2A8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7EC2EDE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172EE90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2,75</w:t>
            </w:r>
          </w:p>
        </w:tc>
        <w:tc>
          <w:tcPr>
            <w:tcW w:w="624" w:type="pct"/>
            <w:tcBorders>
              <w:top w:val="nil"/>
              <w:left w:val="nil"/>
              <w:bottom w:val="single" w:sz="8" w:space="0" w:color="E7E6E6"/>
              <w:right w:val="single" w:sz="8" w:space="0" w:color="E7E6E6"/>
            </w:tcBorders>
            <w:shd w:val="clear" w:color="000000" w:fill="FFFFFF"/>
            <w:noWrap/>
            <w:vAlign w:val="center"/>
            <w:hideMark/>
          </w:tcPr>
          <w:p w14:paraId="7DAF820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499" w:type="pct"/>
            <w:tcBorders>
              <w:top w:val="nil"/>
              <w:left w:val="nil"/>
              <w:bottom w:val="single" w:sz="8" w:space="0" w:color="E7E6E6"/>
              <w:right w:val="single" w:sz="8" w:space="0" w:color="E7E6E6"/>
            </w:tcBorders>
            <w:shd w:val="clear" w:color="000000" w:fill="FFFFFF"/>
            <w:noWrap/>
            <w:vAlign w:val="center"/>
            <w:hideMark/>
          </w:tcPr>
          <w:p w14:paraId="511CD68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477E4BCE"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0A9D9FC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Goicoechea</w:t>
            </w:r>
          </w:p>
        </w:tc>
        <w:tc>
          <w:tcPr>
            <w:tcW w:w="499" w:type="pct"/>
            <w:tcBorders>
              <w:top w:val="nil"/>
              <w:left w:val="nil"/>
              <w:bottom w:val="single" w:sz="8" w:space="0" w:color="E7E6E6"/>
              <w:right w:val="single" w:sz="8" w:space="0" w:color="E7E6E6"/>
            </w:tcBorders>
            <w:shd w:val="clear" w:color="000000" w:fill="FFFFFF"/>
            <w:noWrap/>
            <w:vAlign w:val="center"/>
            <w:hideMark/>
          </w:tcPr>
          <w:p w14:paraId="5C06DE3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0E87F72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6</w:t>
            </w:r>
          </w:p>
        </w:tc>
        <w:tc>
          <w:tcPr>
            <w:tcW w:w="354" w:type="pct"/>
            <w:tcBorders>
              <w:top w:val="nil"/>
              <w:left w:val="nil"/>
              <w:bottom w:val="single" w:sz="8" w:space="0" w:color="E7E6E6"/>
              <w:right w:val="single" w:sz="8" w:space="0" w:color="E7E6E6"/>
            </w:tcBorders>
            <w:shd w:val="clear" w:color="000000" w:fill="FFFFFF"/>
            <w:noWrap/>
            <w:vAlign w:val="center"/>
            <w:hideMark/>
          </w:tcPr>
          <w:p w14:paraId="1120F00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0" w:type="pct"/>
            <w:tcBorders>
              <w:top w:val="nil"/>
              <w:left w:val="nil"/>
              <w:bottom w:val="single" w:sz="8" w:space="0" w:color="E7E6E6"/>
              <w:right w:val="single" w:sz="8" w:space="0" w:color="E7E6E6"/>
            </w:tcBorders>
            <w:shd w:val="clear" w:color="000000" w:fill="FFFFFF"/>
            <w:noWrap/>
            <w:vAlign w:val="center"/>
            <w:hideMark/>
          </w:tcPr>
          <w:p w14:paraId="37A50F1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5241ABD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3C695A6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624" w:type="pct"/>
            <w:tcBorders>
              <w:top w:val="nil"/>
              <w:left w:val="nil"/>
              <w:bottom w:val="single" w:sz="8" w:space="0" w:color="E7E6E6"/>
              <w:right w:val="single" w:sz="8" w:space="0" w:color="E7E6E6"/>
            </w:tcBorders>
            <w:shd w:val="clear" w:color="000000" w:fill="FFFFFF"/>
            <w:noWrap/>
            <w:vAlign w:val="center"/>
            <w:hideMark/>
          </w:tcPr>
          <w:p w14:paraId="30BED7D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auto" w:fill="F7CAAC"/>
            <w:noWrap/>
            <w:vAlign w:val="center"/>
            <w:hideMark/>
          </w:tcPr>
          <w:p w14:paraId="246B67E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r>
      <w:tr w:rsidR="00B15F7D" w:rsidRPr="00990FB6" w14:paraId="2DE8E505"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532F08D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Desamparados</w:t>
            </w:r>
          </w:p>
        </w:tc>
        <w:tc>
          <w:tcPr>
            <w:tcW w:w="499" w:type="pct"/>
            <w:tcBorders>
              <w:top w:val="nil"/>
              <w:left w:val="nil"/>
              <w:bottom w:val="single" w:sz="8" w:space="0" w:color="E7E6E6"/>
              <w:right w:val="single" w:sz="8" w:space="0" w:color="E7E6E6"/>
            </w:tcBorders>
            <w:shd w:val="clear" w:color="000000" w:fill="FFFFFF"/>
            <w:noWrap/>
            <w:vAlign w:val="center"/>
            <w:hideMark/>
          </w:tcPr>
          <w:p w14:paraId="4E72BBE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05" w:type="pct"/>
            <w:tcBorders>
              <w:top w:val="nil"/>
              <w:left w:val="nil"/>
              <w:bottom w:val="single" w:sz="8" w:space="0" w:color="E7E6E6"/>
              <w:right w:val="single" w:sz="8" w:space="0" w:color="E7E6E6"/>
            </w:tcBorders>
            <w:shd w:val="clear" w:color="000000" w:fill="FFFFFF"/>
            <w:noWrap/>
            <w:vAlign w:val="center"/>
            <w:hideMark/>
          </w:tcPr>
          <w:p w14:paraId="229F75A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54" w:type="pct"/>
            <w:tcBorders>
              <w:top w:val="nil"/>
              <w:left w:val="nil"/>
              <w:bottom w:val="single" w:sz="8" w:space="0" w:color="E7E6E6"/>
              <w:right w:val="single" w:sz="8" w:space="0" w:color="E7E6E6"/>
            </w:tcBorders>
            <w:shd w:val="clear" w:color="000000" w:fill="FFFFFF"/>
            <w:noWrap/>
            <w:vAlign w:val="center"/>
            <w:hideMark/>
          </w:tcPr>
          <w:p w14:paraId="5A71F86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70" w:type="pct"/>
            <w:tcBorders>
              <w:top w:val="nil"/>
              <w:left w:val="nil"/>
              <w:bottom w:val="single" w:sz="8" w:space="0" w:color="E7E6E6"/>
              <w:right w:val="single" w:sz="8" w:space="0" w:color="E7E6E6"/>
            </w:tcBorders>
            <w:shd w:val="clear" w:color="000000" w:fill="FFFFFF"/>
            <w:noWrap/>
            <w:vAlign w:val="center"/>
            <w:hideMark/>
          </w:tcPr>
          <w:p w14:paraId="6153C56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74" w:type="pct"/>
            <w:tcBorders>
              <w:top w:val="nil"/>
              <w:left w:val="nil"/>
              <w:bottom w:val="single" w:sz="8" w:space="0" w:color="E7E6E6"/>
              <w:right w:val="single" w:sz="8" w:space="0" w:color="E7E6E6"/>
            </w:tcBorders>
            <w:shd w:val="clear" w:color="000000" w:fill="FFFFFF"/>
            <w:noWrap/>
            <w:vAlign w:val="center"/>
            <w:hideMark/>
          </w:tcPr>
          <w:p w14:paraId="65CA25B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1716AB8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0,75</w:t>
            </w:r>
          </w:p>
        </w:tc>
        <w:tc>
          <w:tcPr>
            <w:tcW w:w="624" w:type="pct"/>
            <w:tcBorders>
              <w:top w:val="nil"/>
              <w:left w:val="nil"/>
              <w:bottom w:val="single" w:sz="8" w:space="0" w:color="E7E6E6"/>
              <w:right w:val="single" w:sz="8" w:space="0" w:color="E7E6E6"/>
            </w:tcBorders>
            <w:shd w:val="clear" w:color="000000" w:fill="FFFFFF"/>
            <w:noWrap/>
            <w:vAlign w:val="center"/>
            <w:hideMark/>
          </w:tcPr>
          <w:p w14:paraId="5BBE90F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99" w:type="pct"/>
            <w:tcBorders>
              <w:top w:val="nil"/>
              <w:left w:val="nil"/>
              <w:bottom w:val="single" w:sz="8" w:space="0" w:color="E7E6E6"/>
              <w:right w:val="single" w:sz="8" w:space="0" w:color="E7E6E6"/>
            </w:tcBorders>
            <w:shd w:val="clear" w:color="000000" w:fill="FFFFFF"/>
            <w:noWrap/>
            <w:vAlign w:val="center"/>
            <w:hideMark/>
          </w:tcPr>
          <w:p w14:paraId="38CD0FE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57B8DADD"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5AA6B63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Tribunal Penal de Pavas</w:t>
            </w:r>
          </w:p>
        </w:tc>
        <w:tc>
          <w:tcPr>
            <w:tcW w:w="499" w:type="pct"/>
            <w:tcBorders>
              <w:top w:val="nil"/>
              <w:left w:val="nil"/>
              <w:bottom w:val="single" w:sz="8" w:space="0" w:color="E7E6E6"/>
              <w:right w:val="single" w:sz="8" w:space="0" w:color="E7E6E6"/>
            </w:tcBorders>
            <w:shd w:val="clear" w:color="000000" w:fill="FFFFFF"/>
            <w:noWrap/>
            <w:vAlign w:val="center"/>
            <w:hideMark/>
          </w:tcPr>
          <w:p w14:paraId="48A8A40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405" w:type="pct"/>
            <w:tcBorders>
              <w:top w:val="nil"/>
              <w:left w:val="nil"/>
              <w:bottom w:val="single" w:sz="8" w:space="0" w:color="E7E6E6"/>
              <w:right w:val="single" w:sz="8" w:space="0" w:color="E7E6E6"/>
            </w:tcBorders>
            <w:shd w:val="clear" w:color="000000" w:fill="FFFFFF"/>
            <w:noWrap/>
            <w:vAlign w:val="center"/>
            <w:hideMark/>
          </w:tcPr>
          <w:p w14:paraId="08A8C6A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354" w:type="pct"/>
            <w:tcBorders>
              <w:top w:val="nil"/>
              <w:left w:val="nil"/>
              <w:bottom w:val="single" w:sz="8" w:space="0" w:color="E7E6E6"/>
              <w:right w:val="single" w:sz="8" w:space="0" w:color="E7E6E6"/>
            </w:tcBorders>
            <w:shd w:val="clear" w:color="000000" w:fill="FFFFFF"/>
            <w:noWrap/>
            <w:vAlign w:val="center"/>
            <w:hideMark/>
          </w:tcPr>
          <w:p w14:paraId="4DD8E98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70" w:type="pct"/>
            <w:tcBorders>
              <w:top w:val="nil"/>
              <w:left w:val="nil"/>
              <w:bottom w:val="single" w:sz="8" w:space="0" w:color="E7E6E6"/>
              <w:right w:val="single" w:sz="8" w:space="0" w:color="E7E6E6"/>
            </w:tcBorders>
            <w:shd w:val="clear" w:color="000000" w:fill="FFFFFF"/>
            <w:noWrap/>
            <w:vAlign w:val="center"/>
            <w:hideMark/>
          </w:tcPr>
          <w:p w14:paraId="1583AE1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74" w:type="pct"/>
            <w:tcBorders>
              <w:top w:val="nil"/>
              <w:left w:val="nil"/>
              <w:bottom w:val="single" w:sz="8" w:space="0" w:color="E7E6E6"/>
              <w:right w:val="single" w:sz="8" w:space="0" w:color="E7E6E6"/>
            </w:tcBorders>
            <w:shd w:val="clear" w:color="000000" w:fill="FFFFFF"/>
            <w:noWrap/>
            <w:vAlign w:val="center"/>
            <w:hideMark/>
          </w:tcPr>
          <w:p w14:paraId="77BB991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86" w:type="pct"/>
            <w:tcBorders>
              <w:top w:val="nil"/>
              <w:left w:val="nil"/>
              <w:bottom w:val="single" w:sz="8" w:space="0" w:color="E7E6E6"/>
              <w:right w:val="single" w:sz="8" w:space="0" w:color="E7E6E6"/>
            </w:tcBorders>
            <w:shd w:val="clear" w:color="000000" w:fill="FFFFFF"/>
            <w:noWrap/>
            <w:vAlign w:val="center"/>
            <w:hideMark/>
          </w:tcPr>
          <w:p w14:paraId="72EC687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2,25</w:t>
            </w:r>
          </w:p>
        </w:tc>
        <w:tc>
          <w:tcPr>
            <w:tcW w:w="624" w:type="pct"/>
            <w:tcBorders>
              <w:top w:val="nil"/>
              <w:left w:val="nil"/>
              <w:bottom w:val="single" w:sz="8" w:space="0" w:color="E7E6E6"/>
              <w:right w:val="single" w:sz="8" w:space="0" w:color="E7E6E6"/>
            </w:tcBorders>
            <w:shd w:val="clear" w:color="000000" w:fill="FFFFFF"/>
            <w:noWrap/>
            <w:vAlign w:val="center"/>
            <w:hideMark/>
          </w:tcPr>
          <w:p w14:paraId="72713D2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499" w:type="pct"/>
            <w:tcBorders>
              <w:top w:val="nil"/>
              <w:left w:val="nil"/>
              <w:bottom w:val="single" w:sz="8" w:space="0" w:color="E7E6E6"/>
              <w:right w:val="single" w:sz="8" w:space="0" w:color="E7E6E6"/>
            </w:tcBorders>
            <w:shd w:val="clear" w:color="000000" w:fill="FFFFFF"/>
            <w:noWrap/>
            <w:vAlign w:val="center"/>
            <w:hideMark/>
          </w:tcPr>
          <w:p w14:paraId="7D44E95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0,25</w:t>
            </w:r>
          </w:p>
        </w:tc>
      </w:tr>
      <w:tr w:rsidR="00B15F7D" w:rsidRPr="00990FB6" w14:paraId="1DA96E25" w14:textId="77777777" w:rsidTr="000A0C22">
        <w:trPr>
          <w:trHeight w:val="283"/>
        </w:trPr>
        <w:tc>
          <w:tcPr>
            <w:tcW w:w="1189" w:type="pct"/>
            <w:tcBorders>
              <w:top w:val="nil"/>
              <w:left w:val="single" w:sz="8" w:space="0" w:color="E7E6E6"/>
              <w:bottom w:val="single" w:sz="8" w:space="0" w:color="E7E6E6"/>
              <w:right w:val="single" w:sz="8" w:space="0" w:color="E7E6E6"/>
            </w:tcBorders>
            <w:shd w:val="clear" w:color="000000" w:fill="FFFFFF"/>
            <w:vAlign w:val="center"/>
            <w:hideMark/>
          </w:tcPr>
          <w:p w14:paraId="69B140E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Total general</w:t>
            </w:r>
          </w:p>
        </w:tc>
        <w:tc>
          <w:tcPr>
            <w:tcW w:w="499" w:type="pct"/>
            <w:tcBorders>
              <w:top w:val="nil"/>
              <w:left w:val="nil"/>
              <w:bottom w:val="single" w:sz="8" w:space="0" w:color="E7E6E6"/>
              <w:right w:val="single" w:sz="8" w:space="0" w:color="E7E6E6"/>
            </w:tcBorders>
            <w:shd w:val="clear" w:color="000000" w:fill="FFFFFF"/>
            <w:noWrap/>
            <w:vAlign w:val="center"/>
            <w:hideMark/>
          </w:tcPr>
          <w:p w14:paraId="5013B7F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26</w:t>
            </w:r>
          </w:p>
        </w:tc>
        <w:tc>
          <w:tcPr>
            <w:tcW w:w="405" w:type="pct"/>
            <w:tcBorders>
              <w:top w:val="nil"/>
              <w:left w:val="nil"/>
              <w:bottom w:val="single" w:sz="8" w:space="0" w:color="E7E6E6"/>
              <w:right w:val="single" w:sz="8" w:space="0" w:color="E7E6E6"/>
            </w:tcBorders>
            <w:shd w:val="clear" w:color="000000" w:fill="FFFFFF"/>
            <w:noWrap/>
            <w:vAlign w:val="center"/>
            <w:hideMark/>
          </w:tcPr>
          <w:p w14:paraId="1F85FEC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40</w:t>
            </w:r>
          </w:p>
        </w:tc>
        <w:tc>
          <w:tcPr>
            <w:tcW w:w="354" w:type="pct"/>
            <w:tcBorders>
              <w:top w:val="nil"/>
              <w:left w:val="nil"/>
              <w:bottom w:val="single" w:sz="8" w:space="0" w:color="E7E6E6"/>
              <w:right w:val="single" w:sz="8" w:space="0" w:color="E7E6E6"/>
            </w:tcBorders>
            <w:shd w:val="clear" w:color="000000" w:fill="FFFFFF"/>
            <w:noWrap/>
            <w:vAlign w:val="center"/>
            <w:hideMark/>
          </w:tcPr>
          <w:p w14:paraId="728B4BD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14</w:t>
            </w:r>
          </w:p>
        </w:tc>
        <w:tc>
          <w:tcPr>
            <w:tcW w:w="470" w:type="pct"/>
            <w:tcBorders>
              <w:top w:val="nil"/>
              <w:left w:val="nil"/>
              <w:bottom w:val="single" w:sz="8" w:space="0" w:color="E7E6E6"/>
              <w:right w:val="single" w:sz="8" w:space="0" w:color="E7E6E6"/>
            </w:tcBorders>
            <w:shd w:val="clear" w:color="000000" w:fill="FFFFFF"/>
            <w:noWrap/>
            <w:vAlign w:val="center"/>
            <w:hideMark/>
          </w:tcPr>
          <w:p w14:paraId="64EA52F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8</w:t>
            </w:r>
          </w:p>
        </w:tc>
        <w:tc>
          <w:tcPr>
            <w:tcW w:w="374" w:type="pct"/>
            <w:tcBorders>
              <w:top w:val="nil"/>
              <w:left w:val="nil"/>
              <w:bottom w:val="single" w:sz="8" w:space="0" w:color="E7E6E6"/>
              <w:right w:val="single" w:sz="8" w:space="0" w:color="E7E6E6"/>
            </w:tcBorders>
            <w:shd w:val="clear" w:color="000000" w:fill="FFFFFF"/>
            <w:noWrap/>
            <w:vAlign w:val="center"/>
            <w:hideMark/>
          </w:tcPr>
          <w:p w14:paraId="0C7EE84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5</w:t>
            </w:r>
          </w:p>
        </w:tc>
        <w:tc>
          <w:tcPr>
            <w:tcW w:w="586" w:type="pct"/>
            <w:tcBorders>
              <w:top w:val="nil"/>
              <w:left w:val="nil"/>
              <w:bottom w:val="single" w:sz="8" w:space="0" w:color="E7E6E6"/>
              <w:right w:val="single" w:sz="8" w:space="0" w:color="E7E6E6"/>
            </w:tcBorders>
            <w:shd w:val="clear" w:color="000000" w:fill="FFFFFF"/>
            <w:noWrap/>
            <w:vAlign w:val="center"/>
            <w:hideMark/>
          </w:tcPr>
          <w:p w14:paraId="7BA1343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24</w:t>
            </w:r>
          </w:p>
        </w:tc>
        <w:tc>
          <w:tcPr>
            <w:tcW w:w="624" w:type="pct"/>
            <w:tcBorders>
              <w:top w:val="nil"/>
              <w:left w:val="nil"/>
              <w:bottom w:val="single" w:sz="8" w:space="0" w:color="E7E6E6"/>
              <w:right w:val="single" w:sz="8" w:space="0" w:color="E7E6E6"/>
            </w:tcBorders>
            <w:shd w:val="clear" w:color="000000" w:fill="FFFFFF"/>
            <w:noWrap/>
            <w:vAlign w:val="center"/>
            <w:hideMark/>
          </w:tcPr>
          <w:p w14:paraId="725C448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19</w:t>
            </w:r>
          </w:p>
        </w:tc>
        <w:tc>
          <w:tcPr>
            <w:tcW w:w="499" w:type="pct"/>
            <w:tcBorders>
              <w:top w:val="nil"/>
              <w:left w:val="nil"/>
              <w:bottom w:val="single" w:sz="8" w:space="0" w:color="E7E6E6"/>
              <w:right w:val="single" w:sz="8" w:space="0" w:color="E7E6E6"/>
            </w:tcBorders>
            <w:shd w:val="clear" w:color="000000" w:fill="FFFFFF"/>
            <w:noWrap/>
            <w:vAlign w:val="center"/>
            <w:hideMark/>
          </w:tcPr>
          <w:p w14:paraId="58BE755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5</w:t>
            </w:r>
          </w:p>
        </w:tc>
      </w:tr>
    </w:tbl>
    <w:p w14:paraId="07F33080" w14:textId="77777777" w:rsidR="00B15F7D" w:rsidRPr="00990FB6" w:rsidRDefault="00B15F7D" w:rsidP="00B15F7D">
      <w:pPr>
        <w:suppressAutoHyphens w:val="0"/>
        <w:jc w:val="both"/>
        <w:rPr>
          <w:rFonts w:eastAsia="Calibri"/>
          <w:sz w:val="22"/>
          <w:szCs w:val="22"/>
          <w:lang w:val="es-CR" w:eastAsia="en-US"/>
        </w:rPr>
      </w:pPr>
      <w:r w:rsidRPr="00990FB6">
        <w:rPr>
          <w:rFonts w:eastAsia="Calibri"/>
          <w:b/>
          <w:bCs/>
          <w:sz w:val="22"/>
          <w:szCs w:val="22"/>
          <w:lang w:val="es-CR" w:eastAsia="en-US"/>
        </w:rPr>
        <w:t>Fuente:</w:t>
      </w:r>
      <w:r w:rsidRPr="00990FB6">
        <w:rPr>
          <w:rFonts w:eastAsia="Calibri"/>
          <w:sz w:val="22"/>
          <w:szCs w:val="22"/>
          <w:lang w:val="es-CR" w:eastAsia="en-US"/>
        </w:rPr>
        <w:t xml:space="preserve"> elaboración propia a partir de los datos de la relación de puestos y la información suministrada por los despachos.</w:t>
      </w:r>
    </w:p>
    <w:p w14:paraId="179854AD" w14:textId="77777777" w:rsidR="00B15F7D" w:rsidRPr="00990FB6" w:rsidRDefault="00B15F7D" w:rsidP="00B15F7D">
      <w:pPr>
        <w:suppressAutoHyphens w:val="0"/>
        <w:ind w:left="851" w:right="851" w:firstLine="709"/>
        <w:jc w:val="both"/>
        <w:rPr>
          <w:rFonts w:eastAsia="Calibri"/>
          <w:sz w:val="22"/>
          <w:szCs w:val="22"/>
          <w:lang w:val="es-CR" w:eastAsia="en-US"/>
        </w:rPr>
      </w:pPr>
    </w:p>
    <w:p w14:paraId="49F530D6"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Para el presente informe, se considerarán únicamente aquellas necesidades que el requerimiento teórico sea igual o superior a 0,75; ya que una cifra menor correspondería a la asignación de una plaza a medio tiempo; ya que una plaza adicional de jueza o juez supondría una subutilización de recursos.</w:t>
      </w:r>
    </w:p>
    <w:p w14:paraId="5E5F603A" w14:textId="77777777" w:rsidR="00B15F7D" w:rsidRPr="00990FB6" w:rsidRDefault="00B15F7D" w:rsidP="00B15F7D">
      <w:pPr>
        <w:suppressAutoHyphens w:val="0"/>
        <w:ind w:left="851" w:right="851" w:firstLine="709"/>
        <w:jc w:val="both"/>
        <w:rPr>
          <w:rFonts w:eastAsia="Calibri"/>
          <w:sz w:val="22"/>
          <w:szCs w:val="22"/>
          <w:lang w:val="es-CR" w:eastAsia="en-US"/>
        </w:rPr>
      </w:pPr>
    </w:p>
    <w:p w14:paraId="0BFB6CC9"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Tomando en consideración lo anterior, seguidamente se detallan aquellos despachos que requieren la creación de una plaza adicional de jueza o juez 1:</w:t>
      </w:r>
    </w:p>
    <w:p w14:paraId="47891B15" w14:textId="77777777" w:rsidR="00B15F7D" w:rsidRPr="00990FB6" w:rsidRDefault="00B15F7D" w:rsidP="00B15F7D">
      <w:pPr>
        <w:suppressAutoHyphens w:val="0"/>
        <w:ind w:left="851" w:right="851" w:firstLine="709"/>
        <w:jc w:val="both"/>
        <w:rPr>
          <w:rFonts w:eastAsia="Calibri"/>
          <w:sz w:val="22"/>
          <w:szCs w:val="22"/>
          <w:lang w:val="es-CR" w:eastAsia="en-US"/>
        </w:rPr>
      </w:pPr>
    </w:p>
    <w:p w14:paraId="71E0DA14" w14:textId="77777777" w:rsidR="00B15F7D" w:rsidRPr="00990FB6" w:rsidRDefault="00B15F7D" w:rsidP="00B15F7D">
      <w:pPr>
        <w:numPr>
          <w:ilvl w:val="0"/>
          <w:numId w:val="142"/>
        </w:numPr>
        <w:suppressAutoHyphens w:val="0"/>
        <w:ind w:left="851" w:right="851" w:firstLine="709"/>
        <w:jc w:val="both"/>
        <w:rPr>
          <w:rFonts w:eastAsia="Calibri"/>
          <w:sz w:val="22"/>
          <w:szCs w:val="22"/>
          <w:lang w:val="es-CR" w:eastAsia="en-US"/>
        </w:rPr>
      </w:pPr>
      <w:r w:rsidRPr="00990FB6">
        <w:rPr>
          <w:rFonts w:eastAsia="Calibri"/>
          <w:sz w:val="22"/>
          <w:szCs w:val="22"/>
          <w:u w:val="single"/>
          <w:lang w:val="es-CR" w:eastAsia="en-US"/>
        </w:rPr>
        <w:t>Tribunal Penal de Heredia</w:t>
      </w:r>
      <w:r w:rsidRPr="00990FB6">
        <w:rPr>
          <w:rFonts w:eastAsia="Calibri"/>
          <w:sz w:val="22"/>
          <w:szCs w:val="22"/>
          <w:lang w:val="es-CR" w:eastAsia="en-US"/>
        </w:rPr>
        <w:t>, corresponde a un despacho abordado como parte del Modelo Penal y en el presente informe se recomienda la dotación de dos secciones unipersonales adicionales, lo que compromete la capacidad del Juez o Jueza de trámite ordinaria, por lo que para el presente informe se incluye como una necesidad de recurso humano.</w:t>
      </w:r>
    </w:p>
    <w:p w14:paraId="5A1B2F3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FEF5E38" w14:textId="77777777" w:rsidR="00B15F7D" w:rsidRPr="00990FB6" w:rsidRDefault="00B15F7D" w:rsidP="00B15F7D">
      <w:pPr>
        <w:numPr>
          <w:ilvl w:val="0"/>
          <w:numId w:val="142"/>
        </w:numPr>
        <w:suppressAutoHyphens w:val="0"/>
        <w:ind w:left="851" w:right="851" w:firstLine="709"/>
        <w:jc w:val="both"/>
        <w:rPr>
          <w:rFonts w:eastAsia="Calibri"/>
          <w:sz w:val="22"/>
          <w:szCs w:val="22"/>
          <w:lang w:val="es-CR" w:eastAsia="en-US"/>
        </w:rPr>
      </w:pPr>
      <w:r w:rsidRPr="00990FB6">
        <w:rPr>
          <w:rFonts w:eastAsia="Calibri"/>
          <w:sz w:val="22"/>
          <w:szCs w:val="22"/>
          <w:u w:val="single"/>
          <w:lang w:val="es-CR" w:eastAsia="en-US"/>
        </w:rPr>
        <w:t xml:space="preserve">Tribunal Penal de Alajuela, </w:t>
      </w:r>
      <w:r w:rsidRPr="00990FB6">
        <w:rPr>
          <w:rFonts w:eastAsia="Calibri"/>
          <w:sz w:val="22"/>
          <w:szCs w:val="22"/>
          <w:lang w:val="es-CR" w:eastAsia="en-US"/>
        </w:rPr>
        <w:t>para el presente informe en el apartado 2,4 se considera la necesidad de dotar de una plaza adiciona de jueza o juez 1 para el tribunal.</w:t>
      </w:r>
    </w:p>
    <w:p w14:paraId="7CFE733D"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4897F6C0" w14:textId="77777777" w:rsidR="00B15F7D" w:rsidRPr="00990FB6" w:rsidRDefault="00B15F7D" w:rsidP="00B15F7D">
      <w:pPr>
        <w:numPr>
          <w:ilvl w:val="0"/>
          <w:numId w:val="142"/>
        </w:numPr>
        <w:suppressAutoHyphens w:val="0"/>
        <w:ind w:left="851" w:right="851" w:firstLine="709"/>
        <w:jc w:val="both"/>
        <w:rPr>
          <w:rFonts w:eastAsia="Calibri"/>
          <w:sz w:val="22"/>
          <w:szCs w:val="22"/>
          <w:lang w:val="es-CR" w:eastAsia="en-US"/>
        </w:rPr>
      </w:pPr>
      <w:r w:rsidRPr="00990FB6">
        <w:rPr>
          <w:rFonts w:eastAsia="Calibri"/>
          <w:sz w:val="22"/>
          <w:szCs w:val="22"/>
          <w:u w:val="single"/>
          <w:lang w:val="es-CR" w:eastAsia="en-US"/>
        </w:rPr>
        <w:t xml:space="preserve">Tribunal Penal de Limón, </w:t>
      </w:r>
      <w:r w:rsidRPr="00990FB6">
        <w:rPr>
          <w:rFonts w:eastAsia="Calibri"/>
          <w:sz w:val="22"/>
          <w:szCs w:val="22"/>
          <w:lang w:val="es-CR" w:eastAsia="en-US"/>
        </w:rPr>
        <w:t>para el presente informe en el apartado 2,2 se considera la necesidad de dotar de una plaza adiciona de jueza o juez 1 para el tribunal.</w:t>
      </w:r>
    </w:p>
    <w:p w14:paraId="08E20CE1" w14:textId="77777777" w:rsidR="00B15F7D" w:rsidRPr="00990FB6" w:rsidRDefault="00B15F7D" w:rsidP="00B15F7D">
      <w:pPr>
        <w:suppressAutoHyphens w:val="0"/>
        <w:ind w:left="851" w:right="851" w:firstLine="709"/>
        <w:jc w:val="both"/>
        <w:rPr>
          <w:rFonts w:eastAsia="Calibri"/>
          <w:sz w:val="22"/>
          <w:szCs w:val="22"/>
          <w:lang w:val="es-CR" w:eastAsia="en-US"/>
        </w:rPr>
      </w:pPr>
    </w:p>
    <w:p w14:paraId="6314C125" w14:textId="77777777" w:rsidR="00B15F7D" w:rsidRPr="00990FB6" w:rsidRDefault="00B15F7D" w:rsidP="00B15F7D">
      <w:pPr>
        <w:numPr>
          <w:ilvl w:val="0"/>
          <w:numId w:val="142"/>
        </w:numPr>
        <w:suppressAutoHyphens w:val="0"/>
        <w:ind w:left="851" w:right="851" w:firstLine="709"/>
        <w:jc w:val="both"/>
        <w:rPr>
          <w:rFonts w:eastAsia="Calibri"/>
          <w:sz w:val="22"/>
          <w:szCs w:val="22"/>
          <w:lang w:val="es-CR" w:eastAsia="en-US"/>
        </w:rPr>
      </w:pPr>
      <w:r w:rsidRPr="00990FB6">
        <w:rPr>
          <w:rFonts w:eastAsia="Calibri"/>
          <w:sz w:val="22"/>
          <w:szCs w:val="22"/>
          <w:u w:val="single"/>
          <w:lang w:val="es-CR" w:eastAsia="en-US"/>
        </w:rPr>
        <w:t xml:space="preserve">Tribunal Penal de Goicoechea, </w:t>
      </w:r>
      <w:r w:rsidRPr="00990FB6">
        <w:rPr>
          <w:rFonts w:eastAsia="Calibri"/>
          <w:sz w:val="22"/>
          <w:szCs w:val="22"/>
          <w:lang w:val="es-CR" w:eastAsia="en-US"/>
        </w:rPr>
        <w:t>para el presente informe en el apartado 2,2 se considera la necesidad de dotar de una plaza adiciona de jueza o juez 1 para el tribunal.</w:t>
      </w:r>
    </w:p>
    <w:p w14:paraId="2E428521" w14:textId="77777777" w:rsidR="00B15F7D" w:rsidRPr="00990FB6" w:rsidRDefault="00B15F7D" w:rsidP="00B15F7D">
      <w:pPr>
        <w:suppressAutoHyphens w:val="0"/>
        <w:ind w:left="851" w:right="851" w:firstLine="709"/>
        <w:jc w:val="both"/>
        <w:rPr>
          <w:rFonts w:eastAsia="Calibri"/>
          <w:sz w:val="22"/>
          <w:szCs w:val="22"/>
          <w:lang w:val="es-CR" w:eastAsia="en-US"/>
        </w:rPr>
      </w:pPr>
    </w:p>
    <w:p w14:paraId="48FA10EA" w14:textId="77777777" w:rsidR="00B15F7D" w:rsidRPr="00990FB6" w:rsidRDefault="00B15F7D" w:rsidP="00B15F7D">
      <w:pPr>
        <w:suppressAutoHyphens w:val="0"/>
        <w:ind w:left="851" w:right="851" w:firstLine="709"/>
        <w:jc w:val="both"/>
        <w:rPr>
          <w:color w:val="000000"/>
          <w:sz w:val="22"/>
          <w:szCs w:val="22"/>
          <w:lang w:val="es-CR" w:eastAsia="es-CR"/>
        </w:rPr>
      </w:pPr>
      <w:r w:rsidRPr="00990FB6">
        <w:rPr>
          <w:rFonts w:eastAsia="Calibri"/>
          <w:sz w:val="22"/>
          <w:szCs w:val="22"/>
          <w:lang w:val="es-CR" w:eastAsia="en-US"/>
        </w:rPr>
        <w:t>En virtud de lo anterior, se determina que conforme las estructuras ordinarias actuales de los Tribunales Penales, es necesario crear cuatro plazas nuevas de juez o jueza de trámite; no obstante, tres de esas plazas ya se consideraron en apartados previos del presente informe, por lo que es necesario únicamente adicionar la plaza del Tribunal Penal de Heredia, cuyo costo anual asciende a ₡ 53 778 000,00</w:t>
      </w:r>
      <w:r w:rsidRPr="00990FB6">
        <w:rPr>
          <w:color w:val="000000"/>
          <w:sz w:val="22"/>
          <w:szCs w:val="22"/>
          <w:lang w:val="es-CR" w:eastAsia="es-CR"/>
        </w:rPr>
        <w:t>.</w:t>
      </w:r>
    </w:p>
    <w:p w14:paraId="3C67B740" w14:textId="77777777" w:rsidR="00B15F7D" w:rsidRPr="00990FB6" w:rsidRDefault="00B15F7D" w:rsidP="00B15F7D">
      <w:pPr>
        <w:suppressAutoHyphens w:val="0"/>
        <w:ind w:left="851" w:right="851" w:firstLine="709"/>
        <w:contextualSpacing/>
        <w:jc w:val="both"/>
        <w:rPr>
          <w:rFonts w:eastAsia="Calibri"/>
          <w:b/>
          <w:bCs/>
          <w:sz w:val="22"/>
          <w:szCs w:val="22"/>
          <w:lang w:val="es-CR" w:eastAsia="en-US"/>
        </w:rPr>
      </w:pPr>
    </w:p>
    <w:p w14:paraId="71EDEEB5" w14:textId="77777777" w:rsidR="00B15F7D" w:rsidRPr="00990FB6" w:rsidRDefault="00B15F7D" w:rsidP="00B15F7D">
      <w:pPr>
        <w:numPr>
          <w:ilvl w:val="0"/>
          <w:numId w:val="128"/>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Juzgados de Ejecución de la Pena</w:t>
      </w:r>
    </w:p>
    <w:p w14:paraId="4FEB9B80" w14:textId="77777777" w:rsidR="00B15F7D" w:rsidRPr="00990FB6" w:rsidRDefault="00B15F7D" w:rsidP="00B15F7D">
      <w:pPr>
        <w:suppressAutoHyphens w:val="0"/>
        <w:ind w:left="851" w:right="851" w:firstLine="709"/>
        <w:jc w:val="both"/>
        <w:rPr>
          <w:rFonts w:eastAsia="Calibri"/>
          <w:sz w:val="22"/>
          <w:szCs w:val="22"/>
          <w:lang w:val="es-CR" w:eastAsia="en-US"/>
        </w:rPr>
      </w:pPr>
    </w:p>
    <w:p w14:paraId="1CB9602F"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Para los juzgados especializados en la materia de Ejecución de la Pena, según establece el informe 34-PLA-OI-2019 “Modelo de Tramitación del Juzgado de Ejecución de la Pena”, acogido por el Consejo Superior en sesión celebrada el 1° de marzo de 2019, artículo XLVI, la carga de trabajo aceptable</w:t>
      </w:r>
      <w:r w:rsidRPr="00990FB6">
        <w:rPr>
          <w:sz w:val="22"/>
          <w:szCs w:val="22"/>
          <w:lang w:val="es-CR" w:eastAsia="en-US"/>
        </w:rPr>
        <w:t xml:space="preserve"> por </w:t>
      </w:r>
      <w:r w:rsidRPr="00990FB6">
        <w:rPr>
          <w:rFonts w:eastAsia="Calibri"/>
          <w:sz w:val="22"/>
          <w:szCs w:val="22"/>
          <w:lang w:val="es-CR" w:eastAsia="en-US"/>
        </w:rPr>
        <w:t xml:space="preserve">plaza de </w:t>
      </w:r>
      <w:r w:rsidRPr="00990FB6">
        <w:rPr>
          <w:rFonts w:eastAsia="Calibri"/>
          <w:sz w:val="22"/>
          <w:szCs w:val="22"/>
          <w:lang w:val="es-CR" w:eastAsia="en-US"/>
        </w:rPr>
        <w:lastRenderedPageBreak/>
        <w:t>Jueza o Juez es de 4 asuntos terminados estadísticamente por día; asimismo, la estructura organizacional mínima sería la siguiente, la cual podría aumentar a partir del volumen de carga de trabajo de cada despacho:</w:t>
      </w:r>
    </w:p>
    <w:p w14:paraId="0EABA705" w14:textId="77777777" w:rsidR="00B15F7D" w:rsidRPr="00990FB6" w:rsidRDefault="00B15F7D" w:rsidP="00B15F7D">
      <w:pPr>
        <w:suppressAutoHyphens w:val="0"/>
        <w:ind w:left="851" w:right="851" w:firstLine="709"/>
        <w:jc w:val="both"/>
        <w:rPr>
          <w:rFonts w:eastAsia="Calibri"/>
          <w:sz w:val="22"/>
          <w:szCs w:val="22"/>
          <w:lang w:val="es-CR" w:eastAsia="en-US"/>
        </w:rPr>
      </w:pPr>
    </w:p>
    <w:p w14:paraId="6A332A47" w14:textId="77777777" w:rsidR="00B15F7D" w:rsidRPr="00990FB6" w:rsidRDefault="00B15F7D" w:rsidP="00B15F7D">
      <w:pPr>
        <w:ind w:left="851" w:right="851" w:firstLine="709"/>
        <w:jc w:val="center"/>
        <w:rPr>
          <w:b/>
          <w:bCs/>
          <w:color w:val="00000A"/>
          <w:sz w:val="22"/>
          <w:szCs w:val="22"/>
          <w:lang w:eastAsia="es-ES"/>
        </w:rPr>
      </w:pPr>
      <w:r w:rsidRPr="00990FB6">
        <w:rPr>
          <w:b/>
          <w:bCs/>
          <w:color w:val="00000A"/>
          <w:sz w:val="22"/>
          <w:szCs w:val="22"/>
          <w:lang w:eastAsia="es-ES"/>
        </w:rPr>
        <w:t xml:space="preserve">Figura </w:t>
      </w:r>
      <w:r w:rsidRPr="00990FB6">
        <w:rPr>
          <w:b/>
          <w:bCs/>
          <w:color w:val="00000A"/>
          <w:sz w:val="22"/>
          <w:szCs w:val="22"/>
          <w:lang w:eastAsia="es-ES"/>
        </w:rPr>
        <w:fldChar w:fldCharType="begin"/>
      </w:r>
      <w:r w:rsidRPr="00990FB6">
        <w:rPr>
          <w:b/>
          <w:bCs/>
          <w:color w:val="00000A"/>
          <w:sz w:val="22"/>
          <w:szCs w:val="22"/>
          <w:lang w:eastAsia="es-ES"/>
        </w:rPr>
        <w:instrText xml:space="preserve"> SEQ Figura \* ARABIC </w:instrText>
      </w:r>
      <w:r w:rsidRPr="00990FB6">
        <w:rPr>
          <w:b/>
          <w:bCs/>
          <w:color w:val="00000A"/>
          <w:sz w:val="22"/>
          <w:szCs w:val="22"/>
          <w:lang w:eastAsia="es-ES"/>
        </w:rPr>
        <w:fldChar w:fldCharType="separate"/>
      </w:r>
      <w:r w:rsidRPr="00990FB6">
        <w:rPr>
          <w:b/>
          <w:bCs/>
          <w:noProof/>
          <w:color w:val="00000A"/>
          <w:sz w:val="22"/>
          <w:szCs w:val="22"/>
          <w:lang w:eastAsia="es-ES"/>
        </w:rPr>
        <w:t>1</w:t>
      </w:r>
      <w:r w:rsidRPr="00990FB6">
        <w:rPr>
          <w:b/>
          <w:bCs/>
          <w:color w:val="00000A"/>
          <w:sz w:val="22"/>
          <w:szCs w:val="22"/>
          <w:lang w:eastAsia="es-ES"/>
        </w:rPr>
        <w:fldChar w:fldCharType="end"/>
      </w:r>
    </w:p>
    <w:p w14:paraId="47E9E03A" w14:textId="77777777" w:rsidR="00B15F7D" w:rsidRPr="00990FB6" w:rsidRDefault="00B15F7D" w:rsidP="00B15F7D">
      <w:pPr>
        <w:ind w:left="851" w:right="851" w:firstLine="709"/>
        <w:jc w:val="center"/>
        <w:rPr>
          <w:b/>
          <w:bCs/>
          <w:color w:val="00000A"/>
          <w:sz w:val="22"/>
          <w:szCs w:val="22"/>
          <w:lang w:eastAsia="es-ES"/>
        </w:rPr>
      </w:pPr>
      <w:r w:rsidRPr="00990FB6">
        <w:rPr>
          <w:rFonts w:eastAsia="Calibri"/>
          <w:b/>
          <w:bCs/>
          <w:color w:val="00000A"/>
          <w:sz w:val="22"/>
          <w:szCs w:val="22"/>
          <w:lang w:eastAsia="es-ES"/>
        </w:rPr>
        <w:t>Estructura organizacional para los Juzgados de Ejecución de la Pena</w:t>
      </w:r>
    </w:p>
    <w:p w14:paraId="724BE344" w14:textId="77777777" w:rsidR="00B15F7D" w:rsidRPr="00990FB6" w:rsidRDefault="00B15F7D" w:rsidP="00B15F7D">
      <w:pPr>
        <w:suppressAutoHyphens w:val="0"/>
        <w:overflowPunct w:val="0"/>
        <w:ind w:left="851" w:right="851" w:firstLine="709"/>
        <w:jc w:val="both"/>
        <w:textAlignment w:val="baseline"/>
        <w:rPr>
          <w:rFonts w:eastAsia="Calibri"/>
          <w:sz w:val="22"/>
          <w:szCs w:val="22"/>
          <w:lang w:val="es-CR" w:eastAsia="en-US"/>
        </w:rPr>
      </w:pPr>
    </w:p>
    <w:p w14:paraId="645A8B81" w14:textId="77777777" w:rsidR="00B15F7D" w:rsidRPr="00990FB6" w:rsidRDefault="00B15F7D" w:rsidP="00B15F7D">
      <w:pPr>
        <w:suppressAutoHyphens w:val="0"/>
        <w:overflowPunct w:val="0"/>
        <w:ind w:left="851" w:right="851" w:firstLine="709"/>
        <w:jc w:val="both"/>
        <w:textAlignment w:val="baseline"/>
        <w:rPr>
          <w:rFonts w:eastAsia="Calibri"/>
          <w:sz w:val="22"/>
          <w:szCs w:val="22"/>
          <w:lang w:val="es-CR" w:eastAsia="en-US"/>
        </w:rPr>
      </w:pPr>
    </w:p>
    <w:p w14:paraId="00A6D1F9" w14:textId="77777777" w:rsidR="00B15F7D" w:rsidRPr="00990FB6" w:rsidRDefault="00B15F7D" w:rsidP="00B15F7D">
      <w:pPr>
        <w:suppressAutoHyphens w:val="0"/>
        <w:contextualSpacing/>
        <w:jc w:val="center"/>
        <w:rPr>
          <w:sz w:val="22"/>
          <w:szCs w:val="22"/>
          <w:lang w:val="es-CR" w:eastAsia="en-US"/>
        </w:rPr>
      </w:pPr>
      <w:r w:rsidRPr="00990FB6">
        <w:rPr>
          <w:sz w:val="22"/>
          <w:szCs w:val="22"/>
          <w:lang w:val="es-CR" w:eastAsia="en-US"/>
        </w:rPr>
        <w:object w:dxaOrig="22755" w:dyaOrig="3910" w14:anchorId="238DDF08">
          <v:shape id="_x0000_i1042" type="#_x0000_t75" style="width:402.75pt;height:64.5pt" o:ole="">
            <v:imagedata r:id="rId57" o:title=""/>
          </v:shape>
          <o:OLEObject Type="Embed" ProgID="Visio.Drawing.11" ShapeID="_x0000_i1042" DrawAspect="Content" ObjectID="_1748679170" r:id="rId58"/>
        </w:object>
      </w:r>
    </w:p>
    <w:p w14:paraId="1AD1E579" w14:textId="77777777" w:rsidR="00B15F7D" w:rsidRPr="00990FB6" w:rsidRDefault="00B15F7D" w:rsidP="00B15F7D">
      <w:p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Fuente:</w:t>
      </w:r>
      <w:r w:rsidRPr="00990FB6">
        <w:rPr>
          <w:rFonts w:eastAsia="Calibri"/>
          <w:sz w:val="22"/>
          <w:szCs w:val="22"/>
          <w:lang w:val="es-CR" w:eastAsia="en-US"/>
        </w:rPr>
        <w:t xml:space="preserve"> elaboración propia a partir del informe 34-PLA-OI-2019</w:t>
      </w:r>
    </w:p>
    <w:p w14:paraId="015D064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8C6EDC1"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Por lo anterior, a continuación, se detalla el recurso humano ordinario actual de la jurisdicción de Ejecución de la Pena; así como, el promedio mensual de asuntos nuevos por cada despacho, el cálculo de entrada por plaza, según las estadísticas del período comprendido entre el año 2019 y el 2022 y el requerimiento teórico de plazas de juezas o jueces, según la cuota establecida:</w:t>
      </w:r>
    </w:p>
    <w:p w14:paraId="329BF565" w14:textId="77777777" w:rsidR="00B15F7D" w:rsidRPr="00990FB6" w:rsidRDefault="00B15F7D" w:rsidP="00B15F7D">
      <w:pPr>
        <w:suppressAutoHyphens w:val="0"/>
        <w:ind w:left="851" w:right="851" w:firstLine="709"/>
        <w:contextualSpacing/>
        <w:jc w:val="center"/>
        <w:rPr>
          <w:rFonts w:eastAsia="Calibri"/>
          <w:sz w:val="22"/>
          <w:szCs w:val="22"/>
          <w:lang w:val="es-CR" w:eastAsia="en-US"/>
        </w:rPr>
      </w:pPr>
    </w:p>
    <w:p w14:paraId="2421FD15"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17</w:t>
      </w:r>
      <w:r w:rsidRPr="00990FB6">
        <w:rPr>
          <w:b/>
          <w:bCs/>
          <w:color w:val="00000A"/>
          <w:sz w:val="22"/>
          <w:szCs w:val="22"/>
          <w:lang w:eastAsia="es-ES"/>
        </w:rPr>
        <w:fldChar w:fldCharType="end"/>
      </w:r>
    </w:p>
    <w:p w14:paraId="46F6DCDB" w14:textId="09A25DA9"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Requerimiento humano adicional para los Juzgados de Ejecución de la Pena</w:t>
      </w:r>
    </w:p>
    <w:p w14:paraId="34EFDC76" w14:textId="77777777" w:rsidR="004D284E" w:rsidRPr="00990FB6" w:rsidRDefault="004D284E" w:rsidP="00B15F7D">
      <w:pPr>
        <w:tabs>
          <w:tab w:val="left" w:pos="8364"/>
        </w:tabs>
        <w:suppressAutoHyphens w:val="0"/>
        <w:ind w:left="851" w:right="851" w:firstLine="709"/>
        <w:contextualSpacing/>
        <w:jc w:val="center"/>
        <w:rPr>
          <w:rFonts w:eastAsia="Calibri"/>
          <w:b/>
          <w:bCs/>
          <w:sz w:val="22"/>
          <w:szCs w:val="22"/>
          <w:lang w:val="es-CR" w:eastAsia="en-US"/>
        </w:rPr>
      </w:pPr>
    </w:p>
    <w:tbl>
      <w:tblPr>
        <w:tblW w:w="63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64"/>
        <w:gridCol w:w="701"/>
        <w:gridCol w:w="679"/>
        <w:gridCol w:w="611"/>
        <w:gridCol w:w="737"/>
        <w:gridCol w:w="677"/>
        <w:gridCol w:w="681"/>
        <w:gridCol w:w="677"/>
        <w:gridCol w:w="816"/>
        <w:gridCol w:w="814"/>
        <w:gridCol w:w="683"/>
        <w:gridCol w:w="677"/>
        <w:gridCol w:w="677"/>
        <w:gridCol w:w="681"/>
      </w:tblGrid>
      <w:tr w:rsidR="00B15F7D" w:rsidRPr="00990FB6" w14:paraId="1798E41A" w14:textId="77777777" w:rsidTr="000A0C22">
        <w:trPr>
          <w:trHeight w:val="468"/>
          <w:jc w:val="center"/>
        </w:trPr>
        <w:tc>
          <w:tcPr>
            <w:tcW w:w="959" w:type="pct"/>
            <w:vMerge w:val="restart"/>
            <w:shd w:val="clear" w:color="000000" w:fill="8EA9DB"/>
            <w:vAlign w:val="center"/>
            <w:hideMark/>
          </w:tcPr>
          <w:p w14:paraId="07838951"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Despachos</w:t>
            </w:r>
          </w:p>
        </w:tc>
        <w:tc>
          <w:tcPr>
            <w:tcW w:w="612" w:type="pct"/>
            <w:gridSpan w:val="2"/>
            <w:shd w:val="clear" w:color="000000" w:fill="2F75B5"/>
            <w:vAlign w:val="center"/>
            <w:hideMark/>
          </w:tcPr>
          <w:p w14:paraId="5C378E0A"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Plazas ordinarias de la judicatura</w:t>
            </w:r>
          </w:p>
        </w:tc>
        <w:tc>
          <w:tcPr>
            <w:tcW w:w="598" w:type="pct"/>
            <w:gridSpan w:val="2"/>
            <w:shd w:val="clear" w:color="000000" w:fill="2F75B5"/>
            <w:vAlign w:val="center"/>
            <w:hideMark/>
          </w:tcPr>
          <w:p w14:paraId="5A50F684"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Plazas ordinarias del ámbito auxiliar de justicia</w:t>
            </w:r>
          </w:p>
        </w:tc>
        <w:tc>
          <w:tcPr>
            <w:tcW w:w="1928" w:type="pct"/>
            <w:gridSpan w:val="6"/>
            <w:shd w:val="clear" w:color="000000" w:fill="2F75B5"/>
            <w:vAlign w:val="center"/>
            <w:hideMark/>
          </w:tcPr>
          <w:p w14:paraId="6F0DFA78"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Estadísticas</w:t>
            </w:r>
          </w:p>
        </w:tc>
        <w:tc>
          <w:tcPr>
            <w:tcW w:w="902" w:type="pct"/>
            <w:gridSpan w:val="3"/>
            <w:shd w:val="clear" w:color="000000" w:fill="70AD47"/>
            <w:vAlign w:val="center"/>
            <w:hideMark/>
          </w:tcPr>
          <w:p w14:paraId="064EC99B"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 HUMANO</w:t>
            </w:r>
          </w:p>
        </w:tc>
      </w:tr>
      <w:tr w:rsidR="00B15F7D" w:rsidRPr="00990FB6" w14:paraId="3F07842F" w14:textId="77777777" w:rsidTr="000A0C22">
        <w:trPr>
          <w:trHeight w:val="732"/>
          <w:jc w:val="center"/>
        </w:trPr>
        <w:tc>
          <w:tcPr>
            <w:tcW w:w="959" w:type="pct"/>
            <w:vMerge/>
            <w:vAlign w:val="center"/>
            <w:hideMark/>
          </w:tcPr>
          <w:p w14:paraId="5F73740A" w14:textId="77777777" w:rsidR="00B15F7D" w:rsidRPr="00990FB6" w:rsidRDefault="00B15F7D" w:rsidP="00B15F7D">
            <w:pPr>
              <w:suppressAutoHyphens w:val="0"/>
              <w:rPr>
                <w:b/>
                <w:bCs/>
                <w:sz w:val="22"/>
                <w:szCs w:val="22"/>
                <w:lang w:val="es-CR" w:eastAsia="es-CR"/>
              </w:rPr>
            </w:pPr>
          </w:p>
        </w:tc>
        <w:tc>
          <w:tcPr>
            <w:tcW w:w="311" w:type="pct"/>
            <w:shd w:val="clear" w:color="000000" w:fill="8EA9DB"/>
            <w:vAlign w:val="center"/>
            <w:hideMark/>
          </w:tcPr>
          <w:p w14:paraId="6B377F1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Cantidad de plazas de juez (a)</w:t>
            </w:r>
          </w:p>
        </w:tc>
        <w:tc>
          <w:tcPr>
            <w:tcW w:w="301" w:type="pct"/>
            <w:shd w:val="clear" w:color="000000" w:fill="8EA9DB"/>
            <w:vAlign w:val="center"/>
            <w:hideMark/>
          </w:tcPr>
          <w:p w14:paraId="4B1499C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Plazas de técnico/a Judicial</w:t>
            </w:r>
          </w:p>
        </w:tc>
        <w:tc>
          <w:tcPr>
            <w:tcW w:w="271" w:type="pct"/>
            <w:shd w:val="clear" w:color="000000" w:fill="8EA9DB"/>
            <w:vAlign w:val="center"/>
            <w:hideMark/>
          </w:tcPr>
          <w:p w14:paraId="705C7F78"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Fiscales</w:t>
            </w:r>
          </w:p>
        </w:tc>
        <w:tc>
          <w:tcPr>
            <w:tcW w:w="327" w:type="pct"/>
            <w:shd w:val="clear" w:color="000000" w:fill="8EA9DB"/>
            <w:vAlign w:val="center"/>
            <w:hideMark/>
          </w:tcPr>
          <w:p w14:paraId="27931B6D"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Defensores</w:t>
            </w:r>
          </w:p>
        </w:tc>
        <w:tc>
          <w:tcPr>
            <w:tcW w:w="300" w:type="pct"/>
            <w:shd w:val="clear" w:color="000000" w:fill="8EA9DB"/>
            <w:vAlign w:val="center"/>
            <w:hideMark/>
          </w:tcPr>
          <w:p w14:paraId="518FEFC0"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Promedio 2019-2022</w:t>
            </w:r>
          </w:p>
        </w:tc>
        <w:tc>
          <w:tcPr>
            <w:tcW w:w="302" w:type="pct"/>
            <w:shd w:val="clear" w:color="000000" w:fill="8EA9DB"/>
            <w:vAlign w:val="center"/>
            <w:hideMark/>
          </w:tcPr>
          <w:p w14:paraId="19ED79B6"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Entrada por plaza juez(a) </w:t>
            </w:r>
          </w:p>
        </w:tc>
        <w:tc>
          <w:tcPr>
            <w:tcW w:w="300" w:type="pct"/>
            <w:shd w:val="clear" w:color="000000" w:fill="8EA9DB"/>
            <w:vAlign w:val="center"/>
            <w:hideMark/>
          </w:tcPr>
          <w:p w14:paraId="4662F03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Entrada por técnico(a)</w:t>
            </w:r>
          </w:p>
        </w:tc>
        <w:tc>
          <w:tcPr>
            <w:tcW w:w="362" w:type="pct"/>
            <w:shd w:val="clear" w:color="000000" w:fill="8EA9DB"/>
            <w:vAlign w:val="center"/>
            <w:hideMark/>
          </w:tcPr>
          <w:p w14:paraId="5CA74C0B"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Circulante diciembre 2022</w:t>
            </w:r>
          </w:p>
        </w:tc>
        <w:tc>
          <w:tcPr>
            <w:tcW w:w="361" w:type="pct"/>
            <w:shd w:val="clear" w:color="000000" w:fill="8EA9DB"/>
            <w:vAlign w:val="center"/>
            <w:hideMark/>
          </w:tcPr>
          <w:p w14:paraId="191D33D1"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Circulante por plaza de juez (a)</w:t>
            </w:r>
          </w:p>
        </w:tc>
        <w:tc>
          <w:tcPr>
            <w:tcW w:w="303" w:type="pct"/>
            <w:shd w:val="clear" w:color="000000" w:fill="8EA9DB"/>
            <w:vAlign w:val="center"/>
            <w:hideMark/>
          </w:tcPr>
          <w:p w14:paraId="10598908"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Carga de trabajo total</w:t>
            </w:r>
          </w:p>
        </w:tc>
        <w:tc>
          <w:tcPr>
            <w:tcW w:w="300" w:type="pct"/>
            <w:shd w:val="clear" w:color="000000" w:fill="70AD47"/>
            <w:vAlign w:val="center"/>
            <w:hideMark/>
          </w:tcPr>
          <w:p w14:paraId="55EAC2E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Cantidad teórica de juezas o jueces</w:t>
            </w:r>
          </w:p>
        </w:tc>
        <w:tc>
          <w:tcPr>
            <w:tcW w:w="300" w:type="pct"/>
            <w:shd w:val="clear" w:color="000000" w:fill="70AD47"/>
            <w:vAlign w:val="center"/>
            <w:hideMark/>
          </w:tcPr>
          <w:p w14:paraId="2A4437AB"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 total de jueces o juezas</w:t>
            </w:r>
          </w:p>
        </w:tc>
        <w:tc>
          <w:tcPr>
            <w:tcW w:w="302" w:type="pct"/>
            <w:shd w:val="clear" w:color="000000" w:fill="70AD47"/>
            <w:vAlign w:val="center"/>
            <w:hideMark/>
          </w:tcPr>
          <w:p w14:paraId="1618587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 total de fiscales</w:t>
            </w:r>
          </w:p>
        </w:tc>
      </w:tr>
      <w:tr w:rsidR="00B15F7D" w:rsidRPr="00990FB6" w14:paraId="5405502F" w14:textId="77777777" w:rsidTr="000A0C22">
        <w:trPr>
          <w:trHeight w:val="300"/>
          <w:jc w:val="center"/>
        </w:trPr>
        <w:tc>
          <w:tcPr>
            <w:tcW w:w="959" w:type="pct"/>
            <w:shd w:val="clear" w:color="000000" w:fill="FFFFFF"/>
            <w:vAlign w:val="center"/>
            <w:hideMark/>
          </w:tcPr>
          <w:p w14:paraId="1E66D193"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Juzgado de Ejecución de la Pena de Alajuela</w:t>
            </w:r>
          </w:p>
        </w:tc>
        <w:tc>
          <w:tcPr>
            <w:tcW w:w="311" w:type="pct"/>
            <w:shd w:val="clear" w:color="000000" w:fill="FFFFFF"/>
            <w:vAlign w:val="center"/>
            <w:hideMark/>
          </w:tcPr>
          <w:p w14:paraId="6982A75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7</w:t>
            </w:r>
          </w:p>
        </w:tc>
        <w:tc>
          <w:tcPr>
            <w:tcW w:w="301" w:type="pct"/>
            <w:shd w:val="clear" w:color="000000" w:fill="FFFFFF"/>
            <w:vAlign w:val="center"/>
            <w:hideMark/>
          </w:tcPr>
          <w:p w14:paraId="545B155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7</w:t>
            </w:r>
          </w:p>
        </w:tc>
        <w:tc>
          <w:tcPr>
            <w:tcW w:w="271" w:type="pct"/>
            <w:shd w:val="clear" w:color="000000" w:fill="FFFFFF"/>
            <w:vAlign w:val="center"/>
            <w:hideMark/>
          </w:tcPr>
          <w:p w14:paraId="454D944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327" w:type="pct"/>
            <w:shd w:val="clear" w:color="000000" w:fill="FFFFFF"/>
            <w:vAlign w:val="center"/>
            <w:hideMark/>
          </w:tcPr>
          <w:p w14:paraId="4C3F199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8</w:t>
            </w:r>
          </w:p>
        </w:tc>
        <w:tc>
          <w:tcPr>
            <w:tcW w:w="300" w:type="pct"/>
            <w:shd w:val="clear" w:color="000000" w:fill="FFFFFF"/>
            <w:vAlign w:val="center"/>
            <w:hideMark/>
          </w:tcPr>
          <w:p w14:paraId="2BC500C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717</w:t>
            </w:r>
          </w:p>
        </w:tc>
        <w:tc>
          <w:tcPr>
            <w:tcW w:w="302" w:type="pct"/>
            <w:shd w:val="clear" w:color="000000" w:fill="FFFFFF"/>
            <w:vAlign w:val="center"/>
            <w:hideMark/>
          </w:tcPr>
          <w:p w14:paraId="3FBCC7F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102</w:t>
            </w:r>
          </w:p>
        </w:tc>
        <w:tc>
          <w:tcPr>
            <w:tcW w:w="300" w:type="pct"/>
            <w:shd w:val="clear" w:color="000000" w:fill="FFFFFF"/>
            <w:vAlign w:val="center"/>
            <w:hideMark/>
          </w:tcPr>
          <w:p w14:paraId="484FFC23"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102</w:t>
            </w:r>
          </w:p>
        </w:tc>
        <w:tc>
          <w:tcPr>
            <w:tcW w:w="362" w:type="pct"/>
            <w:shd w:val="clear" w:color="000000" w:fill="FFFFFF"/>
            <w:vAlign w:val="center"/>
            <w:hideMark/>
          </w:tcPr>
          <w:p w14:paraId="3F88A767"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4806</w:t>
            </w:r>
          </w:p>
        </w:tc>
        <w:tc>
          <w:tcPr>
            <w:tcW w:w="361" w:type="pct"/>
            <w:shd w:val="clear" w:color="000000" w:fill="FFFFFF"/>
            <w:vAlign w:val="center"/>
            <w:hideMark/>
          </w:tcPr>
          <w:p w14:paraId="788AE857"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687</w:t>
            </w:r>
          </w:p>
        </w:tc>
        <w:tc>
          <w:tcPr>
            <w:tcW w:w="303" w:type="pct"/>
            <w:shd w:val="clear" w:color="000000" w:fill="FFFFFF"/>
            <w:vAlign w:val="center"/>
            <w:hideMark/>
          </w:tcPr>
          <w:p w14:paraId="04004E37"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789</w:t>
            </w:r>
          </w:p>
        </w:tc>
        <w:tc>
          <w:tcPr>
            <w:tcW w:w="300" w:type="pct"/>
            <w:shd w:val="clear" w:color="000000" w:fill="FFFFFF"/>
            <w:vAlign w:val="center"/>
            <w:hideMark/>
          </w:tcPr>
          <w:p w14:paraId="1AC54A2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8,54</w:t>
            </w:r>
          </w:p>
        </w:tc>
        <w:tc>
          <w:tcPr>
            <w:tcW w:w="300" w:type="pct"/>
            <w:shd w:val="clear" w:color="000000" w:fill="FFFFFF"/>
            <w:vAlign w:val="center"/>
            <w:hideMark/>
          </w:tcPr>
          <w:p w14:paraId="1DBAA08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1,54</w:t>
            </w:r>
          </w:p>
        </w:tc>
        <w:tc>
          <w:tcPr>
            <w:tcW w:w="302" w:type="pct"/>
            <w:shd w:val="clear" w:color="000000" w:fill="FFFFFF"/>
            <w:vAlign w:val="center"/>
            <w:hideMark/>
          </w:tcPr>
          <w:p w14:paraId="1BACECC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r>
      <w:tr w:rsidR="00B15F7D" w:rsidRPr="00990FB6" w14:paraId="7EDA8CD0" w14:textId="77777777" w:rsidTr="000A0C22">
        <w:trPr>
          <w:trHeight w:val="300"/>
          <w:jc w:val="center"/>
        </w:trPr>
        <w:tc>
          <w:tcPr>
            <w:tcW w:w="959" w:type="pct"/>
            <w:shd w:val="clear" w:color="000000" w:fill="FFFFFF"/>
            <w:vAlign w:val="center"/>
            <w:hideMark/>
          </w:tcPr>
          <w:p w14:paraId="6AE20180"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Juzgado de Ejecución de la Pena de San José</w:t>
            </w:r>
          </w:p>
        </w:tc>
        <w:tc>
          <w:tcPr>
            <w:tcW w:w="311" w:type="pct"/>
            <w:shd w:val="clear" w:color="000000" w:fill="FFFFFF"/>
            <w:vAlign w:val="center"/>
            <w:hideMark/>
          </w:tcPr>
          <w:p w14:paraId="7B6070F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01" w:type="pct"/>
            <w:shd w:val="clear" w:color="000000" w:fill="FFFFFF"/>
            <w:vAlign w:val="center"/>
            <w:hideMark/>
          </w:tcPr>
          <w:p w14:paraId="3DDA186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271" w:type="pct"/>
            <w:shd w:val="clear" w:color="000000" w:fill="FFFFFF"/>
            <w:vAlign w:val="center"/>
            <w:hideMark/>
          </w:tcPr>
          <w:p w14:paraId="72E6360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27" w:type="pct"/>
            <w:shd w:val="clear" w:color="000000" w:fill="FFFFFF"/>
            <w:vAlign w:val="center"/>
            <w:hideMark/>
          </w:tcPr>
          <w:p w14:paraId="04B4716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5</w:t>
            </w:r>
          </w:p>
        </w:tc>
        <w:tc>
          <w:tcPr>
            <w:tcW w:w="300" w:type="pct"/>
            <w:shd w:val="clear" w:color="000000" w:fill="FFFFFF"/>
            <w:vAlign w:val="center"/>
            <w:hideMark/>
          </w:tcPr>
          <w:p w14:paraId="196E7C5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186</w:t>
            </w:r>
          </w:p>
        </w:tc>
        <w:tc>
          <w:tcPr>
            <w:tcW w:w="302" w:type="pct"/>
            <w:shd w:val="clear" w:color="000000" w:fill="FFFFFF"/>
            <w:vAlign w:val="center"/>
            <w:hideMark/>
          </w:tcPr>
          <w:p w14:paraId="3EA5EBB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93</w:t>
            </w:r>
          </w:p>
        </w:tc>
        <w:tc>
          <w:tcPr>
            <w:tcW w:w="300" w:type="pct"/>
            <w:shd w:val="clear" w:color="000000" w:fill="FFFFFF"/>
            <w:vAlign w:val="center"/>
            <w:hideMark/>
          </w:tcPr>
          <w:p w14:paraId="7E5126A4"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47</w:t>
            </w:r>
          </w:p>
        </w:tc>
        <w:tc>
          <w:tcPr>
            <w:tcW w:w="362" w:type="pct"/>
            <w:shd w:val="clear" w:color="000000" w:fill="FFFFFF"/>
            <w:vAlign w:val="center"/>
            <w:hideMark/>
          </w:tcPr>
          <w:p w14:paraId="0A446D40"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2038</w:t>
            </w:r>
          </w:p>
        </w:tc>
        <w:tc>
          <w:tcPr>
            <w:tcW w:w="361" w:type="pct"/>
            <w:shd w:val="clear" w:color="000000" w:fill="FFFFFF"/>
            <w:vAlign w:val="center"/>
            <w:hideMark/>
          </w:tcPr>
          <w:p w14:paraId="7E1FD38A"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1019</w:t>
            </w:r>
          </w:p>
        </w:tc>
        <w:tc>
          <w:tcPr>
            <w:tcW w:w="303" w:type="pct"/>
            <w:shd w:val="clear" w:color="000000" w:fill="FFFFFF"/>
            <w:vAlign w:val="center"/>
            <w:hideMark/>
          </w:tcPr>
          <w:p w14:paraId="2603442E"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1112</w:t>
            </w:r>
          </w:p>
        </w:tc>
        <w:tc>
          <w:tcPr>
            <w:tcW w:w="300" w:type="pct"/>
            <w:shd w:val="clear" w:color="000000" w:fill="FFFFFF"/>
            <w:vAlign w:val="center"/>
            <w:hideMark/>
          </w:tcPr>
          <w:p w14:paraId="665B53A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2,22</w:t>
            </w:r>
          </w:p>
        </w:tc>
        <w:tc>
          <w:tcPr>
            <w:tcW w:w="300" w:type="pct"/>
            <w:shd w:val="clear" w:color="000000" w:fill="FFFFFF"/>
            <w:vAlign w:val="center"/>
            <w:hideMark/>
          </w:tcPr>
          <w:p w14:paraId="58A6122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0,22</w:t>
            </w:r>
          </w:p>
        </w:tc>
        <w:tc>
          <w:tcPr>
            <w:tcW w:w="302" w:type="pct"/>
            <w:shd w:val="clear" w:color="000000" w:fill="FFFFFF"/>
            <w:vAlign w:val="center"/>
            <w:hideMark/>
          </w:tcPr>
          <w:p w14:paraId="76142BA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r>
      <w:tr w:rsidR="00B15F7D" w:rsidRPr="00990FB6" w14:paraId="16720F38" w14:textId="77777777" w:rsidTr="000A0C22">
        <w:trPr>
          <w:trHeight w:val="300"/>
          <w:jc w:val="center"/>
        </w:trPr>
        <w:tc>
          <w:tcPr>
            <w:tcW w:w="959" w:type="pct"/>
            <w:shd w:val="clear" w:color="000000" w:fill="FFFFFF"/>
            <w:vAlign w:val="center"/>
            <w:hideMark/>
          </w:tcPr>
          <w:p w14:paraId="2158F2C9"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Juzgado de Ejecución de la Pena de Guápiles-Pococi (a)</w:t>
            </w:r>
          </w:p>
        </w:tc>
        <w:tc>
          <w:tcPr>
            <w:tcW w:w="311" w:type="pct"/>
            <w:shd w:val="clear" w:color="000000" w:fill="FFFFFF"/>
            <w:vAlign w:val="center"/>
            <w:hideMark/>
          </w:tcPr>
          <w:p w14:paraId="6C66E02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01" w:type="pct"/>
            <w:shd w:val="clear" w:color="000000" w:fill="FFFFFF"/>
            <w:vAlign w:val="center"/>
            <w:hideMark/>
          </w:tcPr>
          <w:p w14:paraId="41B2684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271" w:type="pct"/>
            <w:shd w:val="clear" w:color="000000" w:fill="FFFFFF"/>
            <w:vAlign w:val="center"/>
            <w:hideMark/>
          </w:tcPr>
          <w:p w14:paraId="745633B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27" w:type="pct"/>
            <w:shd w:val="clear" w:color="000000" w:fill="FFFFFF"/>
            <w:vAlign w:val="center"/>
            <w:hideMark/>
          </w:tcPr>
          <w:p w14:paraId="2A0A025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00" w:type="pct"/>
            <w:shd w:val="clear" w:color="000000" w:fill="FFFFFF"/>
            <w:vAlign w:val="center"/>
            <w:hideMark/>
          </w:tcPr>
          <w:p w14:paraId="5D0892F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119</w:t>
            </w:r>
          </w:p>
        </w:tc>
        <w:tc>
          <w:tcPr>
            <w:tcW w:w="302" w:type="pct"/>
            <w:shd w:val="clear" w:color="000000" w:fill="FFFFFF"/>
            <w:vAlign w:val="center"/>
            <w:hideMark/>
          </w:tcPr>
          <w:p w14:paraId="2CFA823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119</w:t>
            </w:r>
          </w:p>
        </w:tc>
        <w:tc>
          <w:tcPr>
            <w:tcW w:w="300" w:type="pct"/>
            <w:shd w:val="clear" w:color="000000" w:fill="FFFFFF"/>
            <w:vAlign w:val="center"/>
            <w:hideMark/>
          </w:tcPr>
          <w:p w14:paraId="21616CB1"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88</w:t>
            </w:r>
          </w:p>
        </w:tc>
        <w:tc>
          <w:tcPr>
            <w:tcW w:w="362" w:type="pct"/>
            <w:shd w:val="clear" w:color="000000" w:fill="FFFFFF"/>
            <w:vAlign w:val="center"/>
            <w:hideMark/>
          </w:tcPr>
          <w:p w14:paraId="31938271"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1140</w:t>
            </w:r>
          </w:p>
        </w:tc>
        <w:tc>
          <w:tcPr>
            <w:tcW w:w="361" w:type="pct"/>
            <w:shd w:val="clear" w:color="000000" w:fill="FFFFFF"/>
            <w:vAlign w:val="center"/>
            <w:hideMark/>
          </w:tcPr>
          <w:p w14:paraId="02FFEF1D"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1140</w:t>
            </w:r>
          </w:p>
        </w:tc>
        <w:tc>
          <w:tcPr>
            <w:tcW w:w="303" w:type="pct"/>
            <w:shd w:val="clear" w:color="000000" w:fill="FFFFFF"/>
            <w:vAlign w:val="center"/>
            <w:hideMark/>
          </w:tcPr>
          <w:p w14:paraId="2F84D8A5"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1259</w:t>
            </w:r>
          </w:p>
        </w:tc>
        <w:tc>
          <w:tcPr>
            <w:tcW w:w="300" w:type="pct"/>
            <w:shd w:val="clear" w:color="000000" w:fill="FFFFFF"/>
            <w:vAlign w:val="center"/>
            <w:hideMark/>
          </w:tcPr>
          <w:p w14:paraId="1677F2C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1,42</w:t>
            </w:r>
          </w:p>
        </w:tc>
        <w:tc>
          <w:tcPr>
            <w:tcW w:w="300" w:type="pct"/>
            <w:shd w:val="clear" w:color="000000" w:fill="FFFFFF"/>
            <w:vAlign w:val="center"/>
            <w:hideMark/>
          </w:tcPr>
          <w:p w14:paraId="12A8CB8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0,42</w:t>
            </w:r>
          </w:p>
        </w:tc>
        <w:tc>
          <w:tcPr>
            <w:tcW w:w="302" w:type="pct"/>
            <w:shd w:val="clear" w:color="000000" w:fill="FFFFFF"/>
            <w:vAlign w:val="center"/>
            <w:hideMark/>
          </w:tcPr>
          <w:p w14:paraId="7094C5B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r>
      <w:tr w:rsidR="00B15F7D" w:rsidRPr="00990FB6" w14:paraId="37191121" w14:textId="77777777" w:rsidTr="000A0C22">
        <w:trPr>
          <w:trHeight w:val="300"/>
          <w:jc w:val="center"/>
        </w:trPr>
        <w:tc>
          <w:tcPr>
            <w:tcW w:w="959" w:type="pct"/>
            <w:shd w:val="clear" w:color="000000" w:fill="FFFFFF"/>
            <w:vAlign w:val="center"/>
            <w:hideMark/>
          </w:tcPr>
          <w:p w14:paraId="30BE960F"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Juzgado de Ejecución de la Pena Liberia</w:t>
            </w:r>
          </w:p>
        </w:tc>
        <w:tc>
          <w:tcPr>
            <w:tcW w:w="311" w:type="pct"/>
            <w:shd w:val="clear" w:color="000000" w:fill="FFFFFF"/>
            <w:vAlign w:val="center"/>
            <w:hideMark/>
          </w:tcPr>
          <w:p w14:paraId="1A8F989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01" w:type="pct"/>
            <w:shd w:val="clear" w:color="000000" w:fill="FFFFFF"/>
            <w:vAlign w:val="center"/>
            <w:hideMark/>
          </w:tcPr>
          <w:p w14:paraId="11DCA15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271" w:type="pct"/>
            <w:shd w:val="clear" w:color="000000" w:fill="FFFFFF"/>
            <w:vAlign w:val="center"/>
            <w:hideMark/>
          </w:tcPr>
          <w:p w14:paraId="5827001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27" w:type="pct"/>
            <w:shd w:val="clear" w:color="000000" w:fill="FFFFFF"/>
            <w:vAlign w:val="center"/>
            <w:hideMark/>
          </w:tcPr>
          <w:p w14:paraId="6B3C537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00" w:type="pct"/>
            <w:shd w:val="clear" w:color="000000" w:fill="FFFFFF"/>
            <w:vAlign w:val="center"/>
            <w:hideMark/>
          </w:tcPr>
          <w:p w14:paraId="045BE56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81</w:t>
            </w:r>
          </w:p>
        </w:tc>
        <w:tc>
          <w:tcPr>
            <w:tcW w:w="302" w:type="pct"/>
            <w:shd w:val="clear" w:color="000000" w:fill="FFFFFF"/>
            <w:vAlign w:val="center"/>
            <w:hideMark/>
          </w:tcPr>
          <w:p w14:paraId="547BCDE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81</w:t>
            </w:r>
          </w:p>
        </w:tc>
        <w:tc>
          <w:tcPr>
            <w:tcW w:w="300" w:type="pct"/>
            <w:shd w:val="clear" w:color="000000" w:fill="FFFFFF"/>
            <w:vAlign w:val="center"/>
            <w:hideMark/>
          </w:tcPr>
          <w:p w14:paraId="2C97B119"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81</w:t>
            </w:r>
          </w:p>
        </w:tc>
        <w:tc>
          <w:tcPr>
            <w:tcW w:w="362" w:type="pct"/>
            <w:shd w:val="clear" w:color="000000" w:fill="FFFFFF"/>
            <w:vAlign w:val="center"/>
            <w:hideMark/>
          </w:tcPr>
          <w:p w14:paraId="5271E82B"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820</w:t>
            </w:r>
          </w:p>
        </w:tc>
        <w:tc>
          <w:tcPr>
            <w:tcW w:w="361" w:type="pct"/>
            <w:shd w:val="clear" w:color="000000" w:fill="FFFFFF"/>
            <w:vAlign w:val="center"/>
            <w:hideMark/>
          </w:tcPr>
          <w:p w14:paraId="76E49C86"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820</w:t>
            </w:r>
          </w:p>
        </w:tc>
        <w:tc>
          <w:tcPr>
            <w:tcW w:w="303" w:type="pct"/>
            <w:shd w:val="clear" w:color="000000" w:fill="FFFFFF"/>
            <w:vAlign w:val="center"/>
            <w:hideMark/>
          </w:tcPr>
          <w:p w14:paraId="3B55B7E4"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901</w:t>
            </w:r>
          </w:p>
        </w:tc>
        <w:tc>
          <w:tcPr>
            <w:tcW w:w="300" w:type="pct"/>
            <w:shd w:val="clear" w:color="000000" w:fill="FFFFFF"/>
            <w:vAlign w:val="center"/>
            <w:hideMark/>
          </w:tcPr>
          <w:p w14:paraId="627C7F5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0,96</w:t>
            </w:r>
          </w:p>
        </w:tc>
        <w:tc>
          <w:tcPr>
            <w:tcW w:w="300" w:type="pct"/>
            <w:shd w:val="clear" w:color="000000" w:fill="FFFFFF"/>
            <w:vAlign w:val="center"/>
            <w:hideMark/>
          </w:tcPr>
          <w:p w14:paraId="5D2F154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-0,04</w:t>
            </w:r>
          </w:p>
        </w:tc>
        <w:tc>
          <w:tcPr>
            <w:tcW w:w="302" w:type="pct"/>
            <w:shd w:val="clear" w:color="000000" w:fill="FFFFFF"/>
            <w:vAlign w:val="center"/>
            <w:hideMark/>
          </w:tcPr>
          <w:p w14:paraId="7251619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r>
      <w:tr w:rsidR="00B15F7D" w:rsidRPr="00990FB6" w14:paraId="47B0D140" w14:textId="77777777" w:rsidTr="000A0C22">
        <w:trPr>
          <w:trHeight w:val="300"/>
          <w:jc w:val="center"/>
        </w:trPr>
        <w:tc>
          <w:tcPr>
            <w:tcW w:w="959" w:type="pct"/>
            <w:shd w:val="clear" w:color="000000" w:fill="FFFFFF"/>
            <w:vAlign w:val="center"/>
            <w:hideMark/>
          </w:tcPr>
          <w:p w14:paraId="57B2F8D4"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lastRenderedPageBreak/>
              <w:t>Juzgado de Ejecución de la Pena de Cartago</w:t>
            </w:r>
          </w:p>
        </w:tc>
        <w:tc>
          <w:tcPr>
            <w:tcW w:w="311" w:type="pct"/>
            <w:shd w:val="clear" w:color="000000" w:fill="FFFFFF"/>
            <w:vAlign w:val="center"/>
            <w:hideMark/>
          </w:tcPr>
          <w:p w14:paraId="0800AEB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01" w:type="pct"/>
            <w:shd w:val="clear" w:color="000000" w:fill="FFFFFF"/>
            <w:vAlign w:val="center"/>
            <w:hideMark/>
          </w:tcPr>
          <w:p w14:paraId="1D3A6F5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271" w:type="pct"/>
            <w:shd w:val="clear" w:color="000000" w:fill="FFFFFF"/>
            <w:vAlign w:val="center"/>
            <w:hideMark/>
          </w:tcPr>
          <w:p w14:paraId="65CDB7B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w:t>
            </w:r>
          </w:p>
        </w:tc>
        <w:tc>
          <w:tcPr>
            <w:tcW w:w="327" w:type="pct"/>
            <w:shd w:val="clear" w:color="000000" w:fill="FFFFFF"/>
            <w:vAlign w:val="center"/>
            <w:hideMark/>
          </w:tcPr>
          <w:p w14:paraId="200EBFC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300" w:type="pct"/>
            <w:shd w:val="clear" w:color="000000" w:fill="FFFFFF"/>
            <w:vAlign w:val="center"/>
            <w:hideMark/>
          </w:tcPr>
          <w:p w14:paraId="70E0014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190</w:t>
            </w:r>
          </w:p>
        </w:tc>
        <w:tc>
          <w:tcPr>
            <w:tcW w:w="302" w:type="pct"/>
            <w:shd w:val="clear" w:color="000000" w:fill="FFFFFF"/>
            <w:vAlign w:val="center"/>
            <w:hideMark/>
          </w:tcPr>
          <w:p w14:paraId="5C9D94F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95</w:t>
            </w:r>
          </w:p>
        </w:tc>
        <w:tc>
          <w:tcPr>
            <w:tcW w:w="300" w:type="pct"/>
            <w:shd w:val="clear" w:color="000000" w:fill="FFFFFF"/>
            <w:vAlign w:val="center"/>
            <w:hideMark/>
          </w:tcPr>
          <w:p w14:paraId="246802E0"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63</w:t>
            </w:r>
          </w:p>
        </w:tc>
        <w:tc>
          <w:tcPr>
            <w:tcW w:w="362" w:type="pct"/>
            <w:shd w:val="clear" w:color="000000" w:fill="FFFFFF"/>
            <w:vAlign w:val="center"/>
            <w:hideMark/>
          </w:tcPr>
          <w:p w14:paraId="454301A0"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1405</w:t>
            </w:r>
          </w:p>
        </w:tc>
        <w:tc>
          <w:tcPr>
            <w:tcW w:w="361" w:type="pct"/>
            <w:shd w:val="clear" w:color="000000" w:fill="FFFFFF"/>
            <w:vAlign w:val="center"/>
            <w:hideMark/>
          </w:tcPr>
          <w:p w14:paraId="36A21E15"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702,5</w:t>
            </w:r>
          </w:p>
        </w:tc>
        <w:tc>
          <w:tcPr>
            <w:tcW w:w="303" w:type="pct"/>
            <w:shd w:val="clear" w:color="000000" w:fill="FFFFFF"/>
            <w:vAlign w:val="center"/>
            <w:hideMark/>
          </w:tcPr>
          <w:p w14:paraId="0468E5FF"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798</w:t>
            </w:r>
          </w:p>
        </w:tc>
        <w:tc>
          <w:tcPr>
            <w:tcW w:w="300" w:type="pct"/>
            <w:shd w:val="clear" w:color="000000" w:fill="FFFFFF"/>
            <w:vAlign w:val="center"/>
            <w:hideMark/>
          </w:tcPr>
          <w:p w14:paraId="474C1D5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2,26</w:t>
            </w:r>
          </w:p>
        </w:tc>
        <w:tc>
          <w:tcPr>
            <w:tcW w:w="300" w:type="pct"/>
            <w:shd w:val="clear" w:color="000000" w:fill="FFFFFF"/>
            <w:vAlign w:val="center"/>
            <w:hideMark/>
          </w:tcPr>
          <w:p w14:paraId="4E0F355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0,26</w:t>
            </w:r>
          </w:p>
        </w:tc>
        <w:tc>
          <w:tcPr>
            <w:tcW w:w="302" w:type="pct"/>
            <w:shd w:val="clear" w:color="000000" w:fill="FFFFFF"/>
            <w:vAlign w:val="center"/>
            <w:hideMark/>
          </w:tcPr>
          <w:p w14:paraId="387DA85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r>
      <w:tr w:rsidR="00B15F7D" w:rsidRPr="00990FB6" w14:paraId="6D76E394" w14:textId="77777777" w:rsidTr="000A0C22">
        <w:trPr>
          <w:trHeight w:val="300"/>
          <w:jc w:val="center"/>
        </w:trPr>
        <w:tc>
          <w:tcPr>
            <w:tcW w:w="959" w:type="pct"/>
            <w:shd w:val="clear" w:color="000000" w:fill="FFFFFF"/>
            <w:vAlign w:val="center"/>
            <w:hideMark/>
          </w:tcPr>
          <w:p w14:paraId="65585971"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Juzgado de Ejecución de la Pena de Puntarenas</w:t>
            </w:r>
          </w:p>
        </w:tc>
        <w:tc>
          <w:tcPr>
            <w:tcW w:w="311" w:type="pct"/>
            <w:shd w:val="clear" w:color="000000" w:fill="FFFFFF"/>
            <w:vAlign w:val="center"/>
            <w:hideMark/>
          </w:tcPr>
          <w:p w14:paraId="096C320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01" w:type="pct"/>
            <w:shd w:val="clear" w:color="000000" w:fill="FFFFFF"/>
            <w:vAlign w:val="center"/>
            <w:hideMark/>
          </w:tcPr>
          <w:p w14:paraId="16C8C2B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271" w:type="pct"/>
            <w:shd w:val="clear" w:color="000000" w:fill="FFFFFF"/>
            <w:vAlign w:val="center"/>
            <w:hideMark/>
          </w:tcPr>
          <w:p w14:paraId="2EE29D7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27" w:type="pct"/>
            <w:shd w:val="clear" w:color="000000" w:fill="FFFFFF"/>
            <w:vAlign w:val="center"/>
            <w:hideMark/>
          </w:tcPr>
          <w:p w14:paraId="46C0379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00" w:type="pct"/>
            <w:shd w:val="clear" w:color="000000" w:fill="FFFFFF"/>
            <w:vAlign w:val="center"/>
            <w:hideMark/>
          </w:tcPr>
          <w:p w14:paraId="5721C01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70</w:t>
            </w:r>
          </w:p>
        </w:tc>
        <w:tc>
          <w:tcPr>
            <w:tcW w:w="302" w:type="pct"/>
            <w:shd w:val="clear" w:color="000000" w:fill="FFFFFF"/>
            <w:vAlign w:val="center"/>
            <w:hideMark/>
          </w:tcPr>
          <w:p w14:paraId="44D35EE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70</w:t>
            </w:r>
          </w:p>
        </w:tc>
        <w:tc>
          <w:tcPr>
            <w:tcW w:w="300" w:type="pct"/>
            <w:shd w:val="clear" w:color="000000" w:fill="FFFFFF"/>
            <w:vAlign w:val="center"/>
            <w:hideMark/>
          </w:tcPr>
          <w:p w14:paraId="7BED1D0F"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70</w:t>
            </w:r>
          </w:p>
        </w:tc>
        <w:tc>
          <w:tcPr>
            <w:tcW w:w="362" w:type="pct"/>
            <w:shd w:val="clear" w:color="000000" w:fill="FFFFFF"/>
            <w:vAlign w:val="center"/>
            <w:hideMark/>
          </w:tcPr>
          <w:p w14:paraId="5280B16C"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397</w:t>
            </w:r>
          </w:p>
        </w:tc>
        <w:tc>
          <w:tcPr>
            <w:tcW w:w="361" w:type="pct"/>
            <w:shd w:val="clear" w:color="000000" w:fill="FFFFFF"/>
            <w:vAlign w:val="center"/>
            <w:hideMark/>
          </w:tcPr>
          <w:p w14:paraId="2E236882"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397</w:t>
            </w:r>
          </w:p>
        </w:tc>
        <w:tc>
          <w:tcPr>
            <w:tcW w:w="303" w:type="pct"/>
            <w:shd w:val="clear" w:color="000000" w:fill="FFFFFF"/>
            <w:vAlign w:val="center"/>
            <w:hideMark/>
          </w:tcPr>
          <w:p w14:paraId="1F6D08C3"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467</w:t>
            </w:r>
          </w:p>
        </w:tc>
        <w:tc>
          <w:tcPr>
            <w:tcW w:w="300" w:type="pct"/>
            <w:shd w:val="clear" w:color="000000" w:fill="FFFFFF"/>
            <w:vAlign w:val="center"/>
            <w:hideMark/>
          </w:tcPr>
          <w:p w14:paraId="34F5E9E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0,83</w:t>
            </w:r>
          </w:p>
        </w:tc>
        <w:tc>
          <w:tcPr>
            <w:tcW w:w="300" w:type="pct"/>
            <w:shd w:val="clear" w:color="000000" w:fill="FFFFFF"/>
            <w:vAlign w:val="center"/>
            <w:hideMark/>
          </w:tcPr>
          <w:p w14:paraId="591AD3D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-0,17</w:t>
            </w:r>
          </w:p>
        </w:tc>
        <w:tc>
          <w:tcPr>
            <w:tcW w:w="302" w:type="pct"/>
            <w:shd w:val="clear" w:color="000000" w:fill="FFFFFF"/>
            <w:vAlign w:val="center"/>
            <w:hideMark/>
          </w:tcPr>
          <w:p w14:paraId="753E2DF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r>
      <w:tr w:rsidR="00B15F7D" w:rsidRPr="00990FB6" w14:paraId="48E39B48" w14:textId="77777777" w:rsidTr="000A0C22">
        <w:trPr>
          <w:trHeight w:val="300"/>
          <w:jc w:val="center"/>
        </w:trPr>
        <w:tc>
          <w:tcPr>
            <w:tcW w:w="959" w:type="pct"/>
            <w:shd w:val="clear" w:color="000000" w:fill="FFFFFF"/>
            <w:vAlign w:val="center"/>
            <w:hideMark/>
          </w:tcPr>
          <w:p w14:paraId="0505861A" w14:textId="77777777" w:rsidR="00B15F7D" w:rsidRPr="00990FB6" w:rsidRDefault="00B15F7D" w:rsidP="00B15F7D">
            <w:pPr>
              <w:suppressAutoHyphens w:val="0"/>
              <w:jc w:val="both"/>
              <w:rPr>
                <w:sz w:val="22"/>
                <w:szCs w:val="22"/>
                <w:lang w:val="es-CR" w:eastAsia="es-CR"/>
              </w:rPr>
            </w:pPr>
            <w:r w:rsidRPr="00990FB6">
              <w:rPr>
                <w:sz w:val="22"/>
                <w:szCs w:val="22"/>
                <w:lang w:val="es-CR" w:eastAsia="es-CR"/>
              </w:rPr>
              <w:t>Juzgado de Ejecución de la Pena Zona Atlántica</w:t>
            </w:r>
          </w:p>
        </w:tc>
        <w:tc>
          <w:tcPr>
            <w:tcW w:w="311" w:type="pct"/>
            <w:shd w:val="clear" w:color="000000" w:fill="FFFFFF"/>
            <w:vAlign w:val="center"/>
            <w:hideMark/>
          </w:tcPr>
          <w:p w14:paraId="3FF6452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01" w:type="pct"/>
            <w:shd w:val="clear" w:color="000000" w:fill="FFFFFF"/>
            <w:vAlign w:val="center"/>
            <w:hideMark/>
          </w:tcPr>
          <w:p w14:paraId="65C6A08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271" w:type="pct"/>
            <w:shd w:val="clear" w:color="000000" w:fill="FFFFFF"/>
            <w:vAlign w:val="center"/>
            <w:hideMark/>
          </w:tcPr>
          <w:p w14:paraId="10088AC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27" w:type="pct"/>
            <w:shd w:val="clear" w:color="000000" w:fill="FFFFFF"/>
            <w:vAlign w:val="center"/>
            <w:hideMark/>
          </w:tcPr>
          <w:p w14:paraId="32C1795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00" w:type="pct"/>
            <w:shd w:val="clear" w:color="000000" w:fill="FFFFFF"/>
            <w:vAlign w:val="center"/>
            <w:hideMark/>
          </w:tcPr>
          <w:p w14:paraId="4358F88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52</w:t>
            </w:r>
          </w:p>
        </w:tc>
        <w:tc>
          <w:tcPr>
            <w:tcW w:w="302" w:type="pct"/>
            <w:shd w:val="clear" w:color="000000" w:fill="FFFFFF"/>
            <w:vAlign w:val="center"/>
            <w:hideMark/>
          </w:tcPr>
          <w:p w14:paraId="4742A7B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52</w:t>
            </w:r>
          </w:p>
        </w:tc>
        <w:tc>
          <w:tcPr>
            <w:tcW w:w="300" w:type="pct"/>
            <w:shd w:val="clear" w:color="000000" w:fill="FFFFFF"/>
            <w:vAlign w:val="center"/>
            <w:hideMark/>
          </w:tcPr>
          <w:p w14:paraId="6329B195"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52</w:t>
            </w:r>
          </w:p>
        </w:tc>
        <w:tc>
          <w:tcPr>
            <w:tcW w:w="362" w:type="pct"/>
            <w:shd w:val="clear" w:color="000000" w:fill="FFFFFF"/>
            <w:vAlign w:val="center"/>
            <w:hideMark/>
          </w:tcPr>
          <w:p w14:paraId="518E9C9C"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286</w:t>
            </w:r>
          </w:p>
        </w:tc>
        <w:tc>
          <w:tcPr>
            <w:tcW w:w="361" w:type="pct"/>
            <w:shd w:val="clear" w:color="000000" w:fill="FFFFFF"/>
            <w:vAlign w:val="center"/>
            <w:hideMark/>
          </w:tcPr>
          <w:p w14:paraId="671AF3B2"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286</w:t>
            </w:r>
          </w:p>
        </w:tc>
        <w:tc>
          <w:tcPr>
            <w:tcW w:w="303" w:type="pct"/>
            <w:shd w:val="clear" w:color="000000" w:fill="FFFFFF"/>
            <w:vAlign w:val="center"/>
            <w:hideMark/>
          </w:tcPr>
          <w:p w14:paraId="1003EA81" w14:textId="77777777" w:rsidR="00B15F7D" w:rsidRPr="00990FB6" w:rsidRDefault="00B15F7D" w:rsidP="00B15F7D">
            <w:pPr>
              <w:suppressAutoHyphens w:val="0"/>
              <w:jc w:val="center"/>
              <w:rPr>
                <w:sz w:val="22"/>
                <w:szCs w:val="22"/>
                <w:lang w:val="es-CR" w:eastAsia="es-CR"/>
              </w:rPr>
            </w:pPr>
            <w:r w:rsidRPr="00990FB6">
              <w:rPr>
                <w:sz w:val="22"/>
                <w:szCs w:val="22"/>
                <w:lang w:val="es-CR" w:eastAsia="en-US"/>
              </w:rPr>
              <w:t>338</w:t>
            </w:r>
          </w:p>
        </w:tc>
        <w:tc>
          <w:tcPr>
            <w:tcW w:w="300" w:type="pct"/>
            <w:shd w:val="clear" w:color="000000" w:fill="FFFFFF"/>
            <w:vAlign w:val="center"/>
            <w:hideMark/>
          </w:tcPr>
          <w:p w14:paraId="01480D7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0,62</w:t>
            </w:r>
          </w:p>
        </w:tc>
        <w:tc>
          <w:tcPr>
            <w:tcW w:w="300" w:type="pct"/>
            <w:shd w:val="clear" w:color="000000" w:fill="FFFFFF"/>
            <w:vAlign w:val="center"/>
            <w:hideMark/>
          </w:tcPr>
          <w:p w14:paraId="443A37D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-0,38</w:t>
            </w:r>
          </w:p>
        </w:tc>
        <w:tc>
          <w:tcPr>
            <w:tcW w:w="302" w:type="pct"/>
            <w:shd w:val="clear" w:color="000000" w:fill="FFFFFF"/>
            <w:vAlign w:val="center"/>
            <w:hideMark/>
          </w:tcPr>
          <w:p w14:paraId="087D459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r>
      <w:tr w:rsidR="00B15F7D" w:rsidRPr="00990FB6" w14:paraId="056D038F" w14:textId="77777777" w:rsidTr="000A0C22">
        <w:trPr>
          <w:trHeight w:val="300"/>
          <w:jc w:val="center"/>
        </w:trPr>
        <w:tc>
          <w:tcPr>
            <w:tcW w:w="959" w:type="pct"/>
            <w:shd w:val="clear" w:color="000000" w:fill="2F5496"/>
            <w:vAlign w:val="center"/>
            <w:hideMark/>
          </w:tcPr>
          <w:p w14:paraId="5EC8E26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TOTAL</w:t>
            </w:r>
          </w:p>
        </w:tc>
        <w:tc>
          <w:tcPr>
            <w:tcW w:w="311" w:type="pct"/>
            <w:shd w:val="clear" w:color="000000" w:fill="2F5496"/>
            <w:vAlign w:val="center"/>
            <w:hideMark/>
          </w:tcPr>
          <w:p w14:paraId="5BA3AEE3"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15</w:t>
            </w:r>
          </w:p>
        </w:tc>
        <w:tc>
          <w:tcPr>
            <w:tcW w:w="301" w:type="pct"/>
            <w:shd w:val="clear" w:color="000000" w:fill="2F5496"/>
            <w:vAlign w:val="center"/>
            <w:hideMark/>
          </w:tcPr>
          <w:p w14:paraId="31793041"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17</w:t>
            </w:r>
          </w:p>
        </w:tc>
        <w:tc>
          <w:tcPr>
            <w:tcW w:w="271" w:type="pct"/>
            <w:shd w:val="clear" w:color="000000" w:fill="2F5496"/>
            <w:vAlign w:val="center"/>
            <w:hideMark/>
          </w:tcPr>
          <w:p w14:paraId="113CF5C6"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12</w:t>
            </w:r>
          </w:p>
        </w:tc>
        <w:tc>
          <w:tcPr>
            <w:tcW w:w="327" w:type="pct"/>
            <w:shd w:val="clear" w:color="000000" w:fill="2F5496"/>
            <w:vAlign w:val="center"/>
            <w:hideMark/>
          </w:tcPr>
          <w:p w14:paraId="6AAD5D5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22,5</w:t>
            </w:r>
          </w:p>
        </w:tc>
        <w:tc>
          <w:tcPr>
            <w:tcW w:w="300" w:type="pct"/>
            <w:shd w:val="clear" w:color="000000" w:fill="2F5496"/>
            <w:vAlign w:val="center"/>
            <w:hideMark/>
          </w:tcPr>
          <w:p w14:paraId="17E26CC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177</w:t>
            </w:r>
          </w:p>
        </w:tc>
        <w:tc>
          <w:tcPr>
            <w:tcW w:w="302" w:type="pct"/>
            <w:shd w:val="clear" w:color="000000" w:fill="2F5496"/>
            <w:vAlign w:val="center"/>
            <w:hideMark/>
          </w:tcPr>
          <w:p w14:paraId="64731103"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77</w:t>
            </w:r>
          </w:p>
        </w:tc>
        <w:tc>
          <w:tcPr>
            <w:tcW w:w="300" w:type="pct"/>
            <w:shd w:val="clear" w:color="000000" w:fill="2F5496"/>
            <w:vAlign w:val="center"/>
            <w:hideMark/>
          </w:tcPr>
          <w:p w14:paraId="2D60855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n-US"/>
              </w:rPr>
              <w:t>76</w:t>
            </w:r>
          </w:p>
        </w:tc>
        <w:tc>
          <w:tcPr>
            <w:tcW w:w="362" w:type="pct"/>
            <w:shd w:val="clear" w:color="000000" w:fill="2F5496"/>
            <w:vAlign w:val="center"/>
            <w:hideMark/>
          </w:tcPr>
          <w:p w14:paraId="6AE75D7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n-US"/>
              </w:rPr>
              <w:t>10892</w:t>
            </w:r>
          </w:p>
        </w:tc>
        <w:tc>
          <w:tcPr>
            <w:tcW w:w="361" w:type="pct"/>
            <w:shd w:val="clear" w:color="000000" w:fill="2F5496"/>
            <w:vAlign w:val="center"/>
            <w:hideMark/>
          </w:tcPr>
          <w:p w14:paraId="48F9DE1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n-US"/>
              </w:rPr>
              <w:t>722</w:t>
            </w:r>
          </w:p>
        </w:tc>
        <w:tc>
          <w:tcPr>
            <w:tcW w:w="303" w:type="pct"/>
            <w:shd w:val="clear" w:color="000000" w:fill="2F5496"/>
            <w:vAlign w:val="center"/>
            <w:hideMark/>
          </w:tcPr>
          <w:p w14:paraId="34CB2C2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n-US"/>
              </w:rPr>
              <w:t>809</w:t>
            </w:r>
          </w:p>
        </w:tc>
        <w:tc>
          <w:tcPr>
            <w:tcW w:w="300" w:type="pct"/>
            <w:shd w:val="clear" w:color="000000" w:fill="2F5496"/>
            <w:vAlign w:val="center"/>
            <w:hideMark/>
          </w:tcPr>
          <w:p w14:paraId="71695BF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2</w:t>
            </w:r>
          </w:p>
        </w:tc>
        <w:tc>
          <w:tcPr>
            <w:tcW w:w="300" w:type="pct"/>
            <w:shd w:val="clear" w:color="000000" w:fill="2F5496"/>
            <w:vAlign w:val="center"/>
            <w:hideMark/>
          </w:tcPr>
          <w:p w14:paraId="71F9C20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2</w:t>
            </w:r>
          </w:p>
        </w:tc>
        <w:tc>
          <w:tcPr>
            <w:tcW w:w="302" w:type="pct"/>
            <w:shd w:val="clear" w:color="000000" w:fill="2F5496"/>
            <w:vAlign w:val="center"/>
            <w:hideMark/>
          </w:tcPr>
          <w:p w14:paraId="1594B83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3</w:t>
            </w:r>
          </w:p>
        </w:tc>
      </w:tr>
    </w:tbl>
    <w:p w14:paraId="422E410B" w14:textId="77777777" w:rsidR="00B15F7D" w:rsidRPr="00990FB6" w:rsidRDefault="00B15F7D" w:rsidP="00B15F7D">
      <w:pPr>
        <w:suppressAutoHyphens w:val="0"/>
        <w:ind w:right="-1135" w:firstLine="708"/>
        <w:jc w:val="both"/>
        <w:rPr>
          <w:sz w:val="22"/>
          <w:szCs w:val="22"/>
          <w:lang w:val="es-CR" w:eastAsia="en-US"/>
        </w:rPr>
      </w:pPr>
      <w:r w:rsidRPr="00990FB6">
        <w:rPr>
          <w:b/>
          <w:bCs/>
          <w:sz w:val="22"/>
          <w:szCs w:val="22"/>
          <w:lang w:val="es-CR" w:eastAsia="en-US"/>
        </w:rPr>
        <w:t>Fuente:</w:t>
      </w:r>
      <w:r w:rsidRPr="00990FB6">
        <w:rPr>
          <w:sz w:val="22"/>
          <w:szCs w:val="22"/>
          <w:lang w:val="es-CR" w:eastAsia="en-US"/>
        </w:rPr>
        <w:t xml:space="preserve"> Elaboración propia a partir de la información suministrada por cada dependencia y a los anuarios estadísticos.</w:t>
      </w:r>
    </w:p>
    <w:p w14:paraId="03821067" w14:textId="77777777" w:rsidR="00B15F7D" w:rsidRPr="00990FB6" w:rsidRDefault="00B15F7D" w:rsidP="00B15F7D">
      <w:pPr>
        <w:suppressAutoHyphens w:val="0"/>
        <w:ind w:right="-1135" w:firstLine="708"/>
        <w:jc w:val="both"/>
        <w:rPr>
          <w:sz w:val="22"/>
          <w:szCs w:val="22"/>
          <w:lang w:val="es-CR" w:eastAsia="en-US"/>
        </w:rPr>
      </w:pPr>
      <w:r w:rsidRPr="00990FB6">
        <w:rPr>
          <w:sz w:val="22"/>
          <w:szCs w:val="22"/>
          <w:lang w:val="es-CR" w:eastAsia="en-US"/>
        </w:rPr>
        <w:t>Notas: (a) según el abordaje realizado la Coordinadora Judicial debe asumir un 35% de la carga de la tramitación, por lo que se adiciona esa proporción al cálculo respectivo de la entrada por plaza de personal de apoyo.</w:t>
      </w:r>
    </w:p>
    <w:p w14:paraId="2FBBE4E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648850C"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Conforme la información anterior, respecto a la estructura organizacional actual, es necesario destacar que, a nivel de personal de apoyo técnico, únicamente el Juzgado de Ejecución de la Pena de Liberia cuenta con una plaza de técnica o técnico judicial, pero no de persona Coordinadora Judicial, contrario al Juzgado de Ejecución de la Pena de Puntarenas, que cuenta con una plaza de Coordinador o Coordinadora Judicial, pero carece de personas técnicas judiciales; mientras que en el caso del Juzgado Penal de San José, el personal técnico judicial dobla la cantidad de dos jueces o juezas ordinarias del despacho y además cuenta con una figura de Coordinador o Coordinadora Judicial; situación similar se presenta en el Juzgado de Ejecución de la Pena de Cartago, en donde cuentan con dos plazas de persona juzgadora, pero tres plazas de técnicos o técnicas judiciales y adicionalmente ostenta una plaza de Coordinador o Coordinadora Judicial.</w:t>
      </w:r>
    </w:p>
    <w:p w14:paraId="3724FA1F"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09C4C2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Continuando con la estructura organizacional, pero a nivel del ámbito jurisdiccional, se determina que a nivel de la Defensa Pública existen más defensores públicos que jueces o juezas de ejecución en Alajuela, Pococí, Cartago y San José, lo cual obedece a la necesidad de atención de las personas sentenciadas privadas de libertadas de los Centro Penitenciarios ubicados en esas zonas del país; por parte de la Fiscalía se determina un faltante de tres puestos ordinarios de Fiscal(a) en Alajuela.</w:t>
      </w:r>
    </w:p>
    <w:p w14:paraId="27226CA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EAF1F80"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De la información estadística, se determina que durante el período comprendido entre el año 2019 y el 2022, el Juzgado de Ejecución de la Pena de Pococí fue el despacho con la mayor cantidad mensual de asuntos nuevos por plaza de jueza o juez, con 119 expedientes, seguido del despacho modelo, el Juzgado de Ejecución de la Pena de Alajuela con 102 asuntos, el tercer lugar sería para Cartago con 95 expedientes, el cuarto lugar San José con 93 incidentes nuevos, el quinto lugar es para Liberia con 81 expedientes, el sexto lugar sería para Puntarenas con 70 y el despacho con el menor ingreso sería Limón con 52 asuntos nuevos. El promedio nacional mensual de asuntos nuevos por plaza de jueza o juez de ejecución de la pena se estima en 88 asuntos y los despachos con una entrada menor a ese promedio son Liberia con 81 casos, Puntarenas con 70 expedientes y Limón con 52. Continuando con el análisis de la carga de trabajo, respecto al personal de apoyo se determina que Alajuela ostenta el mayor ingreso </w:t>
      </w:r>
      <w:r w:rsidRPr="00990FB6">
        <w:rPr>
          <w:rFonts w:eastAsia="Calibri"/>
          <w:sz w:val="22"/>
          <w:szCs w:val="22"/>
          <w:lang w:val="es-CR" w:eastAsia="en-US"/>
        </w:rPr>
        <w:lastRenderedPageBreak/>
        <w:t>mensual por plaza de Técnico o Técnica Judicial con 102 asuntos, el segundo lugar sería para Pococí con 88 asuntos, Liberia con 81 expedientes, Puntarenas con 70, Cartago con 63 asuntos, Limón con 52 y San José con 47. El promedio nacional de asuntos nuevos ingresados por plaza de técnica o técnico judicial es de 72 asuntos y por debajo de esa cifra se encuentran San José, Limón y Cartago.</w:t>
      </w:r>
    </w:p>
    <w:p w14:paraId="4F5873B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0F5C74B9"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Respecto a la necesidad de requerimiento humano, se indica que los cálculos que se muestran en el cuadro anterior se realizaron únicamente sobre la necesidad de plazas de juez o jueza, dado que la estructura mínima establece que el personal técnico de apoyo y profesionales del ámbito auxiliar de justicia dependerá de la cantidad de jueces y juezas del despacho. En vista de lo anterior, se expone lo siguiente:</w:t>
      </w:r>
    </w:p>
    <w:p w14:paraId="68F6A1FD"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8B15D5F" w14:textId="77777777" w:rsidR="00B15F7D" w:rsidRPr="00990FB6" w:rsidRDefault="00B15F7D" w:rsidP="00B15F7D">
      <w:pPr>
        <w:numPr>
          <w:ilvl w:val="0"/>
          <w:numId w:val="130"/>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el caso del Juzgado de Ejecución de la Pena Pococí, el cual corresponde al despacho</w:t>
      </w:r>
      <w:r w:rsidRPr="00990FB6">
        <w:rPr>
          <w:sz w:val="22"/>
          <w:szCs w:val="22"/>
          <w:lang w:val="es-CR" w:eastAsia="en-US"/>
        </w:rPr>
        <w:t xml:space="preserve"> con la mayor entrada de asuntos nuevos por plaza de persona juzgadora con 109 asuntos; se precisa que, esa carga resulta alta para una sola persona juzgadora, pero insuficiente para adicionar una plaza, puesto que, al distribuir la entrada entre dos plazas, se establece que ambas plazas representarían un 65% de la capacidad establecida, por lo que la asignación de una segunda plaza sería necesaria a tiempo parcial. </w:t>
      </w:r>
      <w:r w:rsidRPr="00990FB6">
        <w:rPr>
          <w:rFonts w:eastAsia="Calibri"/>
          <w:sz w:val="22"/>
          <w:szCs w:val="22"/>
          <w:lang w:val="es-CR" w:eastAsia="en-US"/>
        </w:rPr>
        <w:t>Si bien es cierto el modelo establece que por cada plaza de persona juzgadora debe existir una de apoyo técnico judicial, se considera que, el Juzgado de Ejecución de la Pena de Pococí requiere de una plaza de técnica o técnico judicial adicional, toda vez que un 35% de la entrada de asuntos nuevos que deben ser tramitados por la plaza de Coordinadora o Coordinador Judicial; no obstante, el adicionar una plaza de apoyo técnico, permitiría equilibrar mejor las cargas de trabajo con el puesto de coordinación y las plazas técnicas ostentarían una entrada de asuntos nuevos de 59 expedientes.</w:t>
      </w:r>
    </w:p>
    <w:p w14:paraId="2757E605"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22025DB" w14:textId="77777777" w:rsidR="00B15F7D" w:rsidRPr="00990FB6" w:rsidRDefault="00B15F7D" w:rsidP="00B15F7D">
      <w:pPr>
        <w:numPr>
          <w:ilvl w:val="0"/>
          <w:numId w:val="130"/>
        </w:numPr>
        <w:suppressAutoHyphens w:val="0"/>
        <w:ind w:left="851" w:right="851" w:firstLine="709"/>
        <w:contextualSpacing/>
        <w:jc w:val="both"/>
        <w:rPr>
          <w:rFonts w:eastAsia="Calibri"/>
          <w:sz w:val="22"/>
          <w:szCs w:val="22"/>
          <w:lang w:val="es-CR" w:eastAsia="en-US"/>
        </w:rPr>
      </w:pPr>
      <w:r w:rsidRPr="00990FB6">
        <w:rPr>
          <w:sz w:val="22"/>
          <w:szCs w:val="22"/>
          <w:lang w:val="es-CR" w:eastAsia="en-US"/>
        </w:rPr>
        <w:t>Para los Juzgados de Ejecución de la Pena de Cartago y San José, existe una necesidad de asignación de recurso de manera parcial.</w:t>
      </w:r>
    </w:p>
    <w:p w14:paraId="56592CCE" w14:textId="77777777" w:rsidR="00B15F7D" w:rsidRPr="00990FB6" w:rsidRDefault="00B15F7D" w:rsidP="00B15F7D">
      <w:pPr>
        <w:suppressAutoHyphens w:val="0"/>
        <w:ind w:left="851" w:right="851" w:firstLine="709"/>
        <w:contextualSpacing/>
        <w:jc w:val="both"/>
        <w:rPr>
          <w:sz w:val="22"/>
          <w:szCs w:val="22"/>
          <w:lang w:val="es-CR" w:eastAsia="en-US"/>
        </w:rPr>
      </w:pPr>
    </w:p>
    <w:p w14:paraId="3618CA8E" w14:textId="77777777" w:rsidR="00B15F7D" w:rsidRPr="00990FB6" w:rsidRDefault="00B15F7D" w:rsidP="00B15F7D">
      <w:pPr>
        <w:numPr>
          <w:ilvl w:val="0"/>
          <w:numId w:val="130"/>
        </w:numPr>
        <w:suppressAutoHyphens w:val="0"/>
        <w:ind w:left="851" w:right="851" w:firstLine="709"/>
        <w:contextualSpacing/>
        <w:jc w:val="both"/>
        <w:rPr>
          <w:rFonts w:eastAsia="Calibri"/>
          <w:sz w:val="22"/>
          <w:szCs w:val="22"/>
          <w:lang w:val="es-CR" w:eastAsia="en-US"/>
        </w:rPr>
      </w:pPr>
      <w:r w:rsidRPr="00990FB6">
        <w:rPr>
          <w:sz w:val="22"/>
          <w:szCs w:val="22"/>
          <w:lang w:val="es-CR" w:eastAsia="en-US"/>
        </w:rPr>
        <w:t>Respecto al personal de apoyo, si bien es cierto, este dependerá de la cantidad de jueces y juezas del despacho, se debe considerar que los Juzgados de Ejecución de la Pena de Puntarenas y Liberia, cuenta únicamente con una plaza de jueza o juez y con una de apoyo técnico judicial (Puntarenas un coordinador judicial y Liberia un técnico/a judicial), lo que ocasiona que ciertos procesos de la tramitación de los expedientes, deban ser asumidos por los jueces y juezas del despachos, ya que el personal de apoyo técnico debe atender la manifestación, remesado de expedientes, envió de citaciones ante la Oficina de Comunicaciones Judiciales, envió de remisiones de detenidos ante el Organismo de Investigación Judicial, asistir parcialmente a las audiencias para realizar coordinaciones en los casos en que se presenten errores de conexión y sea necesario el traslado de la persona privada de libertad, tramitación ordinaria de los expediente, entre otros. Por lo que se considera necesario que, en estos despachos se cuente con una plaza de apoyo técnico judicial adicional.</w:t>
      </w:r>
    </w:p>
    <w:p w14:paraId="701F7CC1"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0301E9C9" w14:textId="77777777" w:rsidR="00B15F7D" w:rsidRPr="00990FB6" w:rsidRDefault="00B15F7D" w:rsidP="00B15F7D">
      <w:pPr>
        <w:numPr>
          <w:ilvl w:val="0"/>
          <w:numId w:val="130"/>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En el caso del Juzgado de Ejecución de la Pena de Alajuela, se determina que existe necesidad de asignación de una plaza de Jueza o Juez 2, toda vez que, conforme la capacidad establecida de 4 asuntos terminados al mes por </w:t>
      </w:r>
      <w:r w:rsidRPr="00990FB6">
        <w:rPr>
          <w:rFonts w:eastAsia="Calibri"/>
          <w:sz w:val="22"/>
          <w:szCs w:val="22"/>
          <w:lang w:val="es-CR" w:eastAsia="en-US"/>
        </w:rPr>
        <w:lastRenderedPageBreak/>
        <w:t>plaza de persona juzgadora, serían necesarias ochos jueces o juezas en el despacho para atender la entrada de asuntos nuevos al mes; debido a esto adicionalmente, conforme el modelo de tramitación aprobado, sería necesaria la asignación de una plaza de técnica o técnico judicial 2 para el apoyo técnico judicial y una de fiscal o fiscala auxiliar.</w:t>
      </w:r>
    </w:p>
    <w:p w14:paraId="7B72664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EC9F28E"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Por otro lado, este despacho fue abordado como parte del proyecto del modelo penal, según informe 34-PLA-OI-2019, aprobado por el Consejo Superior en sesiones </w:t>
      </w:r>
      <w:r w:rsidRPr="00990FB6">
        <w:rPr>
          <w:rFonts w:eastAsia="Calibri"/>
          <w:color w:val="000000"/>
          <w:sz w:val="22"/>
          <w:szCs w:val="22"/>
          <w:u w:color="000000"/>
          <w:lang w:val="es-CR" w:eastAsia="en-US"/>
        </w:rPr>
        <w:t>19-19, celebrada el 1° de marzo del 20219, artículo XLVI y 73-19, celebrada el 20 de agosto del 2019 y en el citado informe 34-PLA-OI-2019, se recomendó la asignación de dos plazas de técnica o técnico judicial 2, por lo que se consideran para el presente informe.</w:t>
      </w:r>
    </w:p>
    <w:p w14:paraId="546B16D0"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B5712B0"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4674BDB5"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línea con lo anterior, a continuación, se detallan el requerimiento de personal en los despachos de Ejecución de la Pena y el costo presupuestario:</w:t>
      </w:r>
    </w:p>
    <w:p w14:paraId="079EA57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C3DADF9" w14:textId="77777777" w:rsidR="00B15F7D" w:rsidRPr="00990FB6" w:rsidRDefault="00B15F7D" w:rsidP="00B15F7D">
      <w:pPr>
        <w:ind w:left="851" w:right="851" w:firstLine="709"/>
        <w:jc w:val="center"/>
        <w:rPr>
          <w:rFonts w:eastAsia="Calibri"/>
          <w:b/>
          <w:bCs/>
          <w:color w:val="00000A"/>
          <w:sz w:val="22"/>
          <w:szCs w:val="22"/>
          <w:lang w:eastAsia="en-US"/>
        </w:rPr>
      </w:pPr>
      <w:r w:rsidRPr="00990FB6">
        <w:rPr>
          <w:b/>
          <w:bCs/>
          <w:color w:val="00000A"/>
          <w:sz w:val="22"/>
          <w:szCs w:val="22"/>
          <w:lang w:eastAsia="es-ES"/>
        </w:rPr>
        <w:t xml:space="preserve">Cuadro </w:t>
      </w:r>
      <w:r w:rsidRPr="00990FB6">
        <w:rPr>
          <w:b/>
          <w:bCs/>
          <w:color w:val="00000A"/>
          <w:sz w:val="22"/>
          <w:szCs w:val="22"/>
          <w:lang w:eastAsia="es-ES"/>
        </w:rPr>
        <w:fldChar w:fldCharType="begin"/>
      </w:r>
      <w:r w:rsidRPr="00990FB6">
        <w:rPr>
          <w:b/>
          <w:bCs/>
          <w:color w:val="00000A"/>
          <w:sz w:val="22"/>
          <w:szCs w:val="22"/>
          <w:lang w:eastAsia="es-ES"/>
        </w:rPr>
        <w:instrText xml:space="preserve"> SEQ Cuadro \* ARABIC </w:instrText>
      </w:r>
      <w:r w:rsidRPr="00990FB6">
        <w:rPr>
          <w:b/>
          <w:bCs/>
          <w:color w:val="00000A"/>
          <w:sz w:val="22"/>
          <w:szCs w:val="22"/>
          <w:lang w:eastAsia="es-ES"/>
        </w:rPr>
        <w:fldChar w:fldCharType="separate"/>
      </w:r>
      <w:r w:rsidRPr="00990FB6">
        <w:rPr>
          <w:b/>
          <w:bCs/>
          <w:noProof/>
          <w:color w:val="00000A"/>
          <w:sz w:val="22"/>
          <w:szCs w:val="22"/>
          <w:lang w:eastAsia="es-ES"/>
        </w:rPr>
        <w:t>18</w:t>
      </w:r>
      <w:r w:rsidRPr="00990FB6">
        <w:rPr>
          <w:b/>
          <w:bCs/>
          <w:color w:val="00000A"/>
          <w:sz w:val="22"/>
          <w:szCs w:val="22"/>
          <w:lang w:eastAsia="es-ES"/>
        </w:rPr>
        <w:fldChar w:fldCharType="end"/>
      </w:r>
    </w:p>
    <w:p w14:paraId="15482611" w14:textId="77777777" w:rsidR="00B15F7D" w:rsidRPr="00990FB6" w:rsidRDefault="00B15F7D" w:rsidP="00B15F7D">
      <w:pPr>
        <w:tabs>
          <w:tab w:val="left" w:pos="8364"/>
        </w:tabs>
        <w:suppressAutoHyphens w:val="0"/>
        <w:ind w:left="851" w:right="851" w:firstLine="709"/>
        <w:contextualSpacing/>
        <w:jc w:val="center"/>
        <w:rPr>
          <w:rFonts w:eastAsia="Calibri"/>
          <w:b/>
          <w:bCs/>
          <w:sz w:val="22"/>
          <w:szCs w:val="22"/>
          <w:lang w:val="es-CR" w:eastAsia="en-US"/>
        </w:rPr>
      </w:pPr>
      <w:r w:rsidRPr="00990FB6">
        <w:rPr>
          <w:rFonts w:eastAsia="Calibri"/>
          <w:b/>
          <w:bCs/>
          <w:sz w:val="22"/>
          <w:szCs w:val="22"/>
          <w:lang w:val="es-CR" w:eastAsia="en-US"/>
        </w:rPr>
        <w:t>Costo presupuestario del requerimiento humano adicional para los Juzgados de Ejecución de la Pena</w:t>
      </w:r>
    </w:p>
    <w:tbl>
      <w:tblPr>
        <w:tblW w:w="10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2"/>
        <w:gridCol w:w="567"/>
        <w:gridCol w:w="992"/>
        <w:gridCol w:w="851"/>
        <w:gridCol w:w="709"/>
        <w:gridCol w:w="1134"/>
        <w:gridCol w:w="1275"/>
        <w:gridCol w:w="1134"/>
        <w:gridCol w:w="1276"/>
        <w:gridCol w:w="1276"/>
      </w:tblGrid>
      <w:tr w:rsidR="00B15F7D" w:rsidRPr="00990FB6" w14:paraId="3D14EE52" w14:textId="77777777" w:rsidTr="000A0C22">
        <w:trPr>
          <w:trHeight w:val="310"/>
          <w:jc w:val="center"/>
        </w:trPr>
        <w:tc>
          <w:tcPr>
            <w:tcW w:w="1702" w:type="dxa"/>
            <w:vMerge w:val="restart"/>
            <w:shd w:val="clear" w:color="000000" w:fill="305496"/>
            <w:vAlign w:val="center"/>
            <w:hideMark/>
          </w:tcPr>
          <w:p w14:paraId="0BE9105A"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Despacho</w:t>
            </w:r>
          </w:p>
        </w:tc>
        <w:tc>
          <w:tcPr>
            <w:tcW w:w="3119" w:type="dxa"/>
            <w:gridSpan w:val="4"/>
            <w:shd w:val="clear" w:color="000000" w:fill="5B9BD5"/>
            <w:noWrap/>
            <w:vAlign w:val="bottom"/>
            <w:hideMark/>
          </w:tcPr>
          <w:p w14:paraId="07250CB0"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 HUMANO</w:t>
            </w:r>
          </w:p>
        </w:tc>
        <w:tc>
          <w:tcPr>
            <w:tcW w:w="6095" w:type="dxa"/>
            <w:gridSpan w:val="5"/>
            <w:shd w:val="clear" w:color="000000" w:fill="5B9BD5"/>
            <w:noWrap/>
            <w:vAlign w:val="bottom"/>
            <w:hideMark/>
          </w:tcPr>
          <w:p w14:paraId="3364740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PRESPUESTARIO </w:t>
            </w:r>
          </w:p>
          <w:p w14:paraId="2FC53F2A"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w:t>
            </w:r>
          </w:p>
        </w:tc>
      </w:tr>
      <w:tr w:rsidR="00B15F7D" w:rsidRPr="00990FB6" w14:paraId="7AFDB234" w14:textId="77777777" w:rsidTr="000A0C22">
        <w:trPr>
          <w:trHeight w:val="740"/>
          <w:jc w:val="center"/>
        </w:trPr>
        <w:tc>
          <w:tcPr>
            <w:tcW w:w="1702" w:type="dxa"/>
            <w:vMerge/>
            <w:vAlign w:val="center"/>
            <w:hideMark/>
          </w:tcPr>
          <w:p w14:paraId="6707A53D" w14:textId="77777777" w:rsidR="00B15F7D" w:rsidRPr="00990FB6" w:rsidRDefault="00B15F7D" w:rsidP="00B15F7D">
            <w:pPr>
              <w:suppressAutoHyphens w:val="0"/>
              <w:rPr>
                <w:b/>
                <w:bCs/>
                <w:sz w:val="22"/>
                <w:szCs w:val="22"/>
                <w:lang w:val="es-CR" w:eastAsia="es-CR"/>
              </w:rPr>
            </w:pPr>
          </w:p>
        </w:tc>
        <w:tc>
          <w:tcPr>
            <w:tcW w:w="567" w:type="dxa"/>
            <w:shd w:val="clear" w:color="000000" w:fill="305496"/>
            <w:vAlign w:val="center"/>
            <w:hideMark/>
          </w:tcPr>
          <w:p w14:paraId="2B5B131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Jueza o juez 2</w:t>
            </w:r>
          </w:p>
        </w:tc>
        <w:tc>
          <w:tcPr>
            <w:tcW w:w="992" w:type="dxa"/>
            <w:shd w:val="clear" w:color="000000" w:fill="305496"/>
            <w:vAlign w:val="center"/>
            <w:hideMark/>
          </w:tcPr>
          <w:p w14:paraId="5FF92656"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Coordinador/a Judicial 2</w:t>
            </w:r>
          </w:p>
        </w:tc>
        <w:tc>
          <w:tcPr>
            <w:tcW w:w="851" w:type="dxa"/>
            <w:shd w:val="clear" w:color="000000" w:fill="305496"/>
            <w:vAlign w:val="center"/>
            <w:hideMark/>
          </w:tcPr>
          <w:p w14:paraId="7440932C"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Técnico/a Judicial 2</w:t>
            </w:r>
          </w:p>
        </w:tc>
        <w:tc>
          <w:tcPr>
            <w:tcW w:w="709" w:type="dxa"/>
            <w:shd w:val="clear" w:color="000000" w:fill="305496"/>
            <w:vAlign w:val="center"/>
            <w:hideMark/>
          </w:tcPr>
          <w:p w14:paraId="6C5AE85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Fiscales</w:t>
            </w:r>
          </w:p>
        </w:tc>
        <w:tc>
          <w:tcPr>
            <w:tcW w:w="1134" w:type="dxa"/>
            <w:shd w:val="clear" w:color="000000" w:fill="305496"/>
            <w:vAlign w:val="center"/>
            <w:hideMark/>
          </w:tcPr>
          <w:p w14:paraId="768FEDB3"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Jueza o juez 2</w:t>
            </w:r>
          </w:p>
        </w:tc>
        <w:tc>
          <w:tcPr>
            <w:tcW w:w="1275" w:type="dxa"/>
            <w:shd w:val="clear" w:color="000000" w:fill="305496"/>
            <w:vAlign w:val="center"/>
            <w:hideMark/>
          </w:tcPr>
          <w:p w14:paraId="0A9EF0BB"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plaza Coordinador judicial 2 </w:t>
            </w:r>
          </w:p>
        </w:tc>
        <w:tc>
          <w:tcPr>
            <w:tcW w:w="1134" w:type="dxa"/>
            <w:shd w:val="clear" w:color="000000" w:fill="305496"/>
            <w:vAlign w:val="center"/>
            <w:hideMark/>
          </w:tcPr>
          <w:p w14:paraId="0E85DD6D"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plaza técnico judicial 2 </w:t>
            </w:r>
          </w:p>
        </w:tc>
        <w:tc>
          <w:tcPr>
            <w:tcW w:w="1276" w:type="dxa"/>
            <w:shd w:val="clear" w:color="000000" w:fill="305496"/>
            <w:vAlign w:val="center"/>
            <w:hideMark/>
          </w:tcPr>
          <w:p w14:paraId="408C478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plaza Fiscal (a) Auxiliar </w:t>
            </w:r>
          </w:p>
        </w:tc>
        <w:tc>
          <w:tcPr>
            <w:tcW w:w="1276" w:type="dxa"/>
            <w:shd w:val="clear" w:color="000000" w:fill="305496"/>
            <w:vAlign w:val="center"/>
            <w:hideMark/>
          </w:tcPr>
          <w:p w14:paraId="60A026C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Total </w:t>
            </w:r>
          </w:p>
        </w:tc>
      </w:tr>
      <w:tr w:rsidR="00B15F7D" w:rsidRPr="00990FB6" w14:paraId="5010D0F6" w14:textId="77777777" w:rsidTr="000A0C22">
        <w:trPr>
          <w:trHeight w:val="310"/>
          <w:jc w:val="center"/>
        </w:trPr>
        <w:tc>
          <w:tcPr>
            <w:tcW w:w="1702" w:type="dxa"/>
            <w:shd w:val="clear" w:color="auto" w:fill="auto"/>
            <w:noWrap/>
            <w:vAlign w:val="center"/>
            <w:hideMark/>
          </w:tcPr>
          <w:p w14:paraId="71AA8161"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Alajuela</w:t>
            </w:r>
          </w:p>
        </w:tc>
        <w:tc>
          <w:tcPr>
            <w:tcW w:w="567" w:type="dxa"/>
            <w:shd w:val="clear" w:color="auto" w:fill="auto"/>
            <w:noWrap/>
            <w:vAlign w:val="center"/>
            <w:hideMark/>
          </w:tcPr>
          <w:p w14:paraId="3532564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992" w:type="dxa"/>
            <w:shd w:val="clear" w:color="auto" w:fill="auto"/>
            <w:noWrap/>
            <w:vAlign w:val="center"/>
            <w:hideMark/>
          </w:tcPr>
          <w:p w14:paraId="6723EAB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851" w:type="dxa"/>
            <w:shd w:val="clear" w:color="auto" w:fill="auto"/>
            <w:noWrap/>
            <w:vAlign w:val="center"/>
            <w:hideMark/>
          </w:tcPr>
          <w:p w14:paraId="67F0F01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709" w:type="dxa"/>
            <w:shd w:val="clear" w:color="000000" w:fill="FFFFFF"/>
            <w:noWrap/>
            <w:vAlign w:val="center"/>
            <w:hideMark/>
          </w:tcPr>
          <w:p w14:paraId="213741E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1134" w:type="dxa"/>
            <w:shd w:val="clear" w:color="000000" w:fill="FFFFFF"/>
            <w:noWrap/>
            <w:vAlign w:val="center"/>
            <w:hideMark/>
          </w:tcPr>
          <w:p w14:paraId="5FE8007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54 945 000,00</w:t>
            </w:r>
          </w:p>
        </w:tc>
        <w:tc>
          <w:tcPr>
            <w:tcW w:w="1275" w:type="dxa"/>
            <w:shd w:val="clear" w:color="000000" w:fill="FFFFFF"/>
            <w:noWrap/>
            <w:vAlign w:val="center"/>
            <w:hideMark/>
          </w:tcPr>
          <w:p w14:paraId="62662B3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1134" w:type="dxa"/>
            <w:shd w:val="clear" w:color="000000" w:fill="FFFFFF"/>
            <w:noWrap/>
            <w:vAlign w:val="center"/>
            <w:hideMark/>
          </w:tcPr>
          <w:p w14:paraId="0493FAD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47 835 000,00 </w:t>
            </w:r>
          </w:p>
        </w:tc>
        <w:tc>
          <w:tcPr>
            <w:tcW w:w="1276" w:type="dxa"/>
            <w:shd w:val="clear" w:color="000000" w:fill="FFFFFF"/>
            <w:noWrap/>
            <w:vAlign w:val="center"/>
            <w:hideMark/>
          </w:tcPr>
          <w:p w14:paraId="3C0A4C7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219 452 000,00 </w:t>
            </w:r>
          </w:p>
        </w:tc>
        <w:tc>
          <w:tcPr>
            <w:tcW w:w="1276" w:type="dxa"/>
            <w:shd w:val="clear" w:color="000000" w:fill="FFFFFF"/>
            <w:noWrap/>
            <w:vAlign w:val="center"/>
            <w:hideMark/>
          </w:tcPr>
          <w:p w14:paraId="7223521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322 232 000,00</w:t>
            </w:r>
          </w:p>
        </w:tc>
      </w:tr>
      <w:tr w:rsidR="00B15F7D" w:rsidRPr="00990FB6" w14:paraId="1774766E" w14:textId="77777777" w:rsidTr="000A0C22">
        <w:trPr>
          <w:trHeight w:val="310"/>
          <w:jc w:val="center"/>
        </w:trPr>
        <w:tc>
          <w:tcPr>
            <w:tcW w:w="1702" w:type="dxa"/>
            <w:shd w:val="clear" w:color="auto" w:fill="auto"/>
            <w:noWrap/>
            <w:vAlign w:val="center"/>
            <w:hideMark/>
          </w:tcPr>
          <w:p w14:paraId="302D4569"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Pococí</w:t>
            </w:r>
          </w:p>
        </w:tc>
        <w:tc>
          <w:tcPr>
            <w:tcW w:w="567" w:type="dxa"/>
            <w:shd w:val="clear" w:color="auto" w:fill="auto"/>
            <w:noWrap/>
            <w:vAlign w:val="center"/>
            <w:hideMark/>
          </w:tcPr>
          <w:p w14:paraId="53CC910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992" w:type="dxa"/>
            <w:shd w:val="clear" w:color="auto" w:fill="auto"/>
            <w:noWrap/>
            <w:vAlign w:val="center"/>
            <w:hideMark/>
          </w:tcPr>
          <w:p w14:paraId="69E4A91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851" w:type="dxa"/>
            <w:shd w:val="clear" w:color="auto" w:fill="auto"/>
            <w:noWrap/>
            <w:vAlign w:val="center"/>
            <w:hideMark/>
          </w:tcPr>
          <w:p w14:paraId="043882C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709" w:type="dxa"/>
            <w:shd w:val="clear" w:color="000000" w:fill="FFFFFF"/>
            <w:noWrap/>
            <w:vAlign w:val="center"/>
            <w:hideMark/>
          </w:tcPr>
          <w:p w14:paraId="06FD931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1134" w:type="dxa"/>
            <w:shd w:val="clear" w:color="000000" w:fill="FFFFFF"/>
            <w:noWrap/>
            <w:vAlign w:val="center"/>
            <w:hideMark/>
          </w:tcPr>
          <w:p w14:paraId="4901875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w:t>
            </w:r>
          </w:p>
        </w:tc>
        <w:tc>
          <w:tcPr>
            <w:tcW w:w="1275" w:type="dxa"/>
            <w:shd w:val="clear" w:color="000000" w:fill="FFFFFF"/>
            <w:noWrap/>
            <w:vAlign w:val="center"/>
            <w:hideMark/>
          </w:tcPr>
          <w:p w14:paraId="5AB108B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w:t>
            </w:r>
          </w:p>
        </w:tc>
        <w:tc>
          <w:tcPr>
            <w:tcW w:w="1134" w:type="dxa"/>
            <w:shd w:val="clear" w:color="000000" w:fill="FFFFFF"/>
            <w:noWrap/>
            <w:vAlign w:val="center"/>
            <w:hideMark/>
          </w:tcPr>
          <w:p w14:paraId="54A8299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c>
          <w:tcPr>
            <w:tcW w:w="1276" w:type="dxa"/>
            <w:shd w:val="clear" w:color="000000" w:fill="FFFFFF"/>
            <w:noWrap/>
            <w:vAlign w:val="center"/>
            <w:hideMark/>
          </w:tcPr>
          <w:p w14:paraId="5250B99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1276" w:type="dxa"/>
            <w:shd w:val="clear" w:color="000000" w:fill="FFFFFF"/>
            <w:noWrap/>
            <w:vAlign w:val="center"/>
            <w:hideMark/>
          </w:tcPr>
          <w:p w14:paraId="7DED662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15 945 000,00</w:t>
            </w:r>
          </w:p>
        </w:tc>
      </w:tr>
      <w:tr w:rsidR="00B15F7D" w:rsidRPr="00990FB6" w14:paraId="7C468516" w14:textId="77777777" w:rsidTr="000A0C22">
        <w:trPr>
          <w:trHeight w:val="310"/>
          <w:jc w:val="center"/>
        </w:trPr>
        <w:tc>
          <w:tcPr>
            <w:tcW w:w="1702" w:type="dxa"/>
            <w:shd w:val="clear" w:color="auto" w:fill="auto"/>
            <w:noWrap/>
            <w:vAlign w:val="center"/>
            <w:hideMark/>
          </w:tcPr>
          <w:p w14:paraId="69F01D78"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Liberia</w:t>
            </w:r>
          </w:p>
        </w:tc>
        <w:tc>
          <w:tcPr>
            <w:tcW w:w="567" w:type="dxa"/>
            <w:shd w:val="clear" w:color="auto" w:fill="auto"/>
            <w:noWrap/>
            <w:vAlign w:val="center"/>
            <w:hideMark/>
          </w:tcPr>
          <w:p w14:paraId="3BA777A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992" w:type="dxa"/>
            <w:shd w:val="clear" w:color="auto" w:fill="auto"/>
            <w:noWrap/>
            <w:vAlign w:val="center"/>
            <w:hideMark/>
          </w:tcPr>
          <w:p w14:paraId="22A74E6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851" w:type="dxa"/>
            <w:shd w:val="clear" w:color="auto" w:fill="auto"/>
            <w:noWrap/>
            <w:vAlign w:val="center"/>
            <w:hideMark/>
          </w:tcPr>
          <w:p w14:paraId="07780A2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709" w:type="dxa"/>
            <w:shd w:val="clear" w:color="000000" w:fill="FFFFFF"/>
            <w:noWrap/>
            <w:vAlign w:val="center"/>
            <w:hideMark/>
          </w:tcPr>
          <w:p w14:paraId="232B601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1134" w:type="dxa"/>
            <w:shd w:val="clear" w:color="000000" w:fill="FFFFFF"/>
            <w:noWrap/>
            <w:vAlign w:val="center"/>
            <w:hideMark/>
          </w:tcPr>
          <w:p w14:paraId="521293A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w:t>
            </w:r>
          </w:p>
        </w:tc>
        <w:tc>
          <w:tcPr>
            <w:tcW w:w="1275" w:type="dxa"/>
            <w:shd w:val="clear" w:color="000000" w:fill="FFFFFF"/>
            <w:noWrap/>
            <w:vAlign w:val="center"/>
            <w:hideMark/>
          </w:tcPr>
          <w:p w14:paraId="2DB7F93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18 905 000,00 </w:t>
            </w:r>
          </w:p>
        </w:tc>
        <w:tc>
          <w:tcPr>
            <w:tcW w:w="1134" w:type="dxa"/>
            <w:shd w:val="clear" w:color="000000" w:fill="FFFFFF"/>
            <w:noWrap/>
            <w:vAlign w:val="center"/>
            <w:hideMark/>
          </w:tcPr>
          <w:p w14:paraId="05E1652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1276" w:type="dxa"/>
            <w:shd w:val="clear" w:color="000000" w:fill="FFFFFF"/>
            <w:noWrap/>
            <w:hideMark/>
          </w:tcPr>
          <w:p w14:paraId="32F1D09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1276" w:type="dxa"/>
            <w:shd w:val="clear" w:color="000000" w:fill="FFFFFF"/>
            <w:noWrap/>
            <w:vAlign w:val="center"/>
            <w:hideMark/>
          </w:tcPr>
          <w:p w14:paraId="01DC521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18 905 000,00</w:t>
            </w:r>
          </w:p>
        </w:tc>
      </w:tr>
      <w:tr w:rsidR="00B15F7D" w:rsidRPr="00990FB6" w14:paraId="280A7E4E" w14:textId="77777777" w:rsidTr="000A0C22">
        <w:trPr>
          <w:trHeight w:val="310"/>
          <w:jc w:val="center"/>
        </w:trPr>
        <w:tc>
          <w:tcPr>
            <w:tcW w:w="1702" w:type="dxa"/>
            <w:shd w:val="clear" w:color="auto" w:fill="auto"/>
            <w:noWrap/>
            <w:vAlign w:val="center"/>
            <w:hideMark/>
          </w:tcPr>
          <w:p w14:paraId="386C8E70"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Puntarenas</w:t>
            </w:r>
          </w:p>
        </w:tc>
        <w:tc>
          <w:tcPr>
            <w:tcW w:w="567" w:type="dxa"/>
            <w:shd w:val="clear" w:color="auto" w:fill="auto"/>
            <w:noWrap/>
            <w:vAlign w:val="center"/>
            <w:hideMark/>
          </w:tcPr>
          <w:p w14:paraId="37A1296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992" w:type="dxa"/>
            <w:shd w:val="clear" w:color="auto" w:fill="auto"/>
            <w:noWrap/>
            <w:vAlign w:val="center"/>
            <w:hideMark/>
          </w:tcPr>
          <w:p w14:paraId="3CBDBED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851" w:type="dxa"/>
            <w:shd w:val="clear" w:color="auto" w:fill="auto"/>
            <w:noWrap/>
            <w:vAlign w:val="center"/>
            <w:hideMark/>
          </w:tcPr>
          <w:p w14:paraId="564F0BF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709" w:type="dxa"/>
            <w:shd w:val="clear" w:color="000000" w:fill="FFFFFF"/>
            <w:noWrap/>
            <w:vAlign w:val="center"/>
            <w:hideMark/>
          </w:tcPr>
          <w:p w14:paraId="318A854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1134" w:type="dxa"/>
            <w:shd w:val="clear" w:color="000000" w:fill="FFFFFF"/>
            <w:noWrap/>
            <w:vAlign w:val="center"/>
            <w:hideMark/>
          </w:tcPr>
          <w:p w14:paraId="2A27D56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w:t>
            </w:r>
          </w:p>
        </w:tc>
        <w:tc>
          <w:tcPr>
            <w:tcW w:w="1275" w:type="dxa"/>
            <w:shd w:val="clear" w:color="000000" w:fill="FFFFFF"/>
            <w:noWrap/>
            <w:vAlign w:val="center"/>
            <w:hideMark/>
          </w:tcPr>
          <w:p w14:paraId="5531A2E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w:t>
            </w:r>
          </w:p>
        </w:tc>
        <w:tc>
          <w:tcPr>
            <w:tcW w:w="1134" w:type="dxa"/>
            <w:shd w:val="clear" w:color="000000" w:fill="FFFFFF"/>
            <w:noWrap/>
            <w:vAlign w:val="center"/>
            <w:hideMark/>
          </w:tcPr>
          <w:p w14:paraId="6C429E3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c>
          <w:tcPr>
            <w:tcW w:w="1276" w:type="dxa"/>
            <w:shd w:val="clear" w:color="000000" w:fill="FFFFFF"/>
            <w:noWrap/>
            <w:hideMark/>
          </w:tcPr>
          <w:p w14:paraId="52BD070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1276" w:type="dxa"/>
            <w:shd w:val="clear" w:color="000000" w:fill="FFFFFF"/>
            <w:noWrap/>
            <w:vAlign w:val="center"/>
            <w:hideMark/>
          </w:tcPr>
          <w:p w14:paraId="38C2E65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15 945 000,00</w:t>
            </w:r>
          </w:p>
        </w:tc>
      </w:tr>
      <w:tr w:rsidR="00B15F7D" w:rsidRPr="00990FB6" w14:paraId="1B06CBA2" w14:textId="77777777" w:rsidTr="000A0C22">
        <w:trPr>
          <w:trHeight w:val="310"/>
          <w:jc w:val="center"/>
        </w:trPr>
        <w:tc>
          <w:tcPr>
            <w:tcW w:w="1702" w:type="dxa"/>
            <w:shd w:val="clear" w:color="000000" w:fill="DEEAF6"/>
            <w:vAlign w:val="center"/>
            <w:hideMark/>
          </w:tcPr>
          <w:p w14:paraId="359C37C0"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Totales</w:t>
            </w:r>
          </w:p>
        </w:tc>
        <w:tc>
          <w:tcPr>
            <w:tcW w:w="567" w:type="dxa"/>
            <w:shd w:val="clear" w:color="000000" w:fill="DEEAF6"/>
            <w:vAlign w:val="center"/>
            <w:hideMark/>
          </w:tcPr>
          <w:p w14:paraId="45138A2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w:t>
            </w:r>
          </w:p>
        </w:tc>
        <w:tc>
          <w:tcPr>
            <w:tcW w:w="992" w:type="dxa"/>
            <w:shd w:val="clear" w:color="000000" w:fill="DEEAF6"/>
            <w:vAlign w:val="center"/>
            <w:hideMark/>
          </w:tcPr>
          <w:p w14:paraId="19A8E0DA"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w:t>
            </w:r>
          </w:p>
        </w:tc>
        <w:tc>
          <w:tcPr>
            <w:tcW w:w="851" w:type="dxa"/>
            <w:shd w:val="clear" w:color="000000" w:fill="DEEAF6"/>
            <w:vAlign w:val="center"/>
            <w:hideMark/>
          </w:tcPr>
          <w:p w14:paraId="7EC6D260"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5</w:t>
            </w:r>
          </w:p>
        </w:tc>
        <w:tc>
          <w:tcPr>
            <w:tcW w:w="709" w:type="dxa"/>
            <w:shd w:val="clear" w:color="000000" w:fill="DEEAF6"/>
            <w:vAlign w:val="center"/>
            <w:hideMark/>
          </w:tcPr>
          <w:p w14:paraId="2C819C2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4</w:t>
            </w:r>
          </w:p>
        </w:tc>
        <w:tc>
          <w:tcPr>
            <w:tcW w:w="1134" w:type="dxa"/>
            <w:shd w:val="clear" w:color="000000" w:fill="DEEAF6"/>
            <w:vAlign w:val="center"/>
            <w:hideMark/>
          </w:tcPr>
          <w:p w14:paraId="0350073E" w14:textId="77777777" w:rsidR="00B15F7D" w:rsidRPr="00990FB6" w:rsidRDefault="00B15F7D" w:rsidP="00B15F7D">
            <w:pPr>
              <w:suppressAutoHyphens w:val="0"/>
              <w:jc w:val="center"/>
              <w:rPr>
                <w:b/>
                <w:bCs/>
                <w:sz w:val="22"/>
                <w:szCs w:val="22"/>
                <w:lang w:val="es-CR" w:eastAsia="es-CR"/>
              </w:rPr>
            </w:pPr>
            <w:r w:rsidRPr="00990FB6">
              <w:rPr>
                <w:sz w:val="22"/>
                <w:szCs w:val="22"/>
                <w:lang w:val="es-CR" w:eastAsia="es-CR"/>
              </w:rPr>
              <w:t>₡ 54 945 000,00</w:t>
            </w:r>
          </w:p>
        </w:tc>
        <w:tc>
          <w:tcPr>
            <w:tcW w:w="1275" w:type="dxa"/>
            <w:shd w:val="clear" w:color="000000" w:fill="DEEAF6"/>
            <w:vAlign w:val="center"/>
            <w:hideMark/>
          </w:tcPr>
          <w:p w14:paraId="30329A2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18 905 000,00</w:t>
            </w:r>
          </w:p>
        </w:tc>
        <w:tc>
          <w:tcPr>
            <w:tcW w:w="1134" w:type="dxa"/>
            <w:shd w:val="clear" w:color="000000" w:fill="DEEAF6"/>
            <w:vAlign w:val="center"/>
            <w:hideMark/>
          </w:tcPr>
          <w:p w14:paraId="2050D910"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xml:space="preserve"> ₡ 79 725 000,00 </w:t>
            </w:r>
          </w:p>
        </w:tc>
        <w:tc>
          <w:tcPr>
            <w:tcW w:w="1276" w:type="dxa"/>
            <w:shd w:val="clear" w:color="000000" w:fill="DEEAF6"/>
            <w:vAlign w:val="center"/>
            <w:hideMark/>
          </w:tcPr>
          <w:p w14:paraId="58A3EDD6"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xml:space="preserve"> ₡ 219 452 000,00 </w:t>
            </w:r>
          </w:p>
        </w:tc>
        <w:tc>
          <w:tcPr>
            <w:tcW w:w="1276" w:type="dxa"/>
            <w:shd w:val="clear" w:color="000000" w:fill="DEEAF6"/>
            <w:vAlign w:val="center"/>
            <w:hideMark/>
          </w:tcPr>
          <w:p w14:paraId="23E81F5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373 027 000,00</w:t>
            </w:r>
          </w:p>
        </w:tc>
      </w:tr>
    </w:tbl>
    <w:p w14:paraId="6EBED1D4" w14:textId="77777777" w:rsidR="00B15F7D" w:rsidRPr="00990FB6" w:rsidRDefault="00B15F7D" w:rsidP="00B15F7D">
      <w:pPr>
        <w:suppressAutoHyphens w:val="0"/>
        <w:ind w:left="708" w:right="424" w:firstLine="424"/>
        <w:jc w:val="both"/>
        <w:rPr>
          <w:rFonts w:eastAsia="Calibri"/>
          <w:color w:val="000000"/>
          <w:sz w:val="22"/>
          <w:szCs w:val="22"/>
          <w:lang w:val="es-CR" w:eastAsia="en-US"/>
        </w:rPr>
      </w:pPr>
      <w:r w:rsidRPr="00990FB6">
        <w:rPr>
          <w:rFonts w:eastAsia="Calibri"/>
          <w:b/>
          <w:bCs/>
          <w:color w:val="000000"/>
          <w:sz w:val="22"/>
          <w:szCs w:val="22"/>
          <w:lang w:val="es-CR" w:eastAsia="en-US"/>
        </w:rPr>
        <w:t>Fuente:</w:t>
      </w:r>
      <w:r w:rsidRPr="00990FB6">
        <w:rPr>
          <w:rFonts w:eastAsia="Calibri"/>
          <w:color w:val="000000"/>
          <w:sz w:val="22"/>
          <w:szCs w:val="22"/>
          <w:lang w:val="es-CR" w:eastAsia="en-US"/>
        </w:rPr>
        <w:t xml:space="preserve"> elaboración propia a partir de los costos remitidos por el Subproceso de Presupuesto y Proyectos.</w:t>
      </w:r>
    </w:p>
    <w:p w14:paraId="298492E6" w14:textId="77777777" w:rsidR="00B15F7D" w:rsidRPr="00990FB6" w:rsidRDefault="00B15F7D" w:rsidP="00B15F7D">
      <w:pPr>
        <w:suppressAutoHyphens w:val="0"/>
        <w:contextualSpacing/>
        <w:jc w:val="both"/>
        <w:rPr>
          <w:rFonts w:eastAsia="Calibri"/>
          <w:sz w:val="22"/>
          <w:szCs w:val="22"/>
          <w:lang w:val="es-CR" w:eastAsia="en-US"/>
        </w:rPr>
      </w:pPr>
    </w:p>
    <w:p w14:paraId="5E045626"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total para la jurisdicción de Ejecución de la Pena se requieren de cinco plazas de técnica o técnico judicial (Alajuela, Puntarenas y Pococí), un Coordinador o Coordinadora Judicial (Liberia) y cuatro personas fiscales (Alajuela), cuyo costo anual sería de ₡ 373 027 000, 00.</w:t>
      </w:r>
    </w:p>
    <w:p w14:paraId="6769CC6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0D3EBD4"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lastRenderedPageBreak/>
        <w:t xml:space="preserve">Puesto que existen despachos de Ejecución de la Pena que su carga de trabajo es alta, pero que de asignarse recurso adicional de Jueza o Juez supondría la subutilización de los recursos, se recomienda continuar con la asignación de la plaza itinerante de Jueza o Juez; asimismo, en la medida de lo posible que las Administraciones Regionales de Liberia, Puntarenas y Pococí, brinden un apoyo frecuente con jueces o juezas supernumerarios para la atención de aquellos incidentes de resolución de escritorio o que se encuentran en etapa de fallo, sin discriminación de expedientes. </w:t>
      </w:r>
    </w:p>
    <w:p w14:paraId="3D0AFE61"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9CDAB53"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r w:rsidRPr="00990FB6">
        <w:rPr>
          <w:rFonts w:eastAsia="Calibri"/>
          <w:b/>
          <w:bCs/>
          <w:sz w:val="22"/>
          <w:szCs w:val="22"/>
          <w:u w:val="single"/>
          <w:lang w:val="es-CR" w:eastAsia="en-US"/>
        </w:rPr>
        <w:t>Conclusiones</w:t>
      </w:r>
    </w:p>
    <w:p w14:paraId="12327210"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344E7A4C"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el caso de los Juzgados Penales se determina la necesidad de crear cinco plazas nuevas de Juez o Jueza 3, para Santa Cruz, Turrialba, Cartago, Pavas y Desamparados; de los cuales Cartago y Turrialba no han sido rediseñados como parte del proyecto del modelo penal.</w:t>
      </w:r>
    </w:p>
    <w:p w14:paraId="41B68F13"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139BA119"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el caso del personal técnico se requiere la creación de once plazas nuevas de técnico o técnica judicial; a saber: Puriscal, Garabito, Guápiles, Pavas, Coto Brus, Buenos Aires, La Fortuna, Los Chiles, Atenas y Goicoechea (2). Los despachos de Puriscal, Garabito, Guápiles, Pavas y Goicoechea ya fueron abordados por el proyecto del Modelo Penal.</w:t>
      </w:r>
    </w:p>
    <w:p w14:paraId="548003B6"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4E1B4FD5"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anual de creación de plazas nuevas para los juzgados penales es de ₡ 461 130 000,00.</w:t>
      </w:r>
    </w:p>
    <w:p w14:paraId="08D27BBE"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0DE1E7F1"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el caso de los Tribunales Penales con estructura mínima, se deben crear 12 plazas nuevas de juez o jueza 4 y 12 de técnica o técnico judicial 3, para un costo total anual de ₡ 940 644 000,00; adicionalmente se debe incluir el costo de reclasificación de un puesto de juez o jueza 3 a categoría 4, el cual se estima en ₡4 564 000,00, por lo que el costo total de requerimiento humano en los Tribunales Penales de estructura mínima es de ₡945 208 000; no obstante, estos tribunales desde el 2019, cuentan con un total de 21 licencias con goce de salario (9 de jueza o juez 4 y 12 de técnica o técnico judicial) para mitigar el faltante de personal, por lo que el incremento en el costo debería ser mínimo a la hora de realizarse el cambio de forma temporal a permanente, en comparación de crear plazas completamente nuevas.</w:t>
      </w:r>
    </w:p>
    <w:p w14:paraId="2E8BB9B5"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41600E39"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Adicionalmente, para los Tribunales Penales abordados por el Modelo Penal, se determina que para contar con una estructura ideal para atender la entrada de asuntos nuevos como su circulante, existe la necesidad de creación de 15 plazas de jueza o jueza 4 (Puntarenas, Liberia, Guápiles, Limón, Pavas y Heredia), dos plazas de juez o jueza 1 (Limón y Goicoechea) y 22 de técnica o técnico judicial 3 (Puntarenas, Liberia, Guápiles, Limón, Pavas, Goicoechea y Heredia), con un costo total anual de ₡ 1 400 093 000,00. En el caso de los Tribunales Penales de Limón, Liberia y Goicoechea, cuentan con permisos con goce de salario, para cubrir el faltante del personal.</w:t>
      </w:r>
    </w:p>
    <w:p w14:paraId="1D0E86C3"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154A973"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La Dirección de Planificación, finalizó el abordaje del Tribunal Penal de Nicoya, pero se encuentra pendiente de aprobar por parte del Consejo </w:t>
      </w:r>
      <w:r w:rsidRPr="00990FB6">
        <w:rPr>
          <w:rFonts w:eastAsia="Calibri"/>
          <w:sz w:val="22"/>
          <w:szCs w:val="22"/>
          <w:lang w:val="es-CR" w:eastAsia="en-US"/>
        </w:rPr>
        <w:lastRenderedPageBreak/>
        <w:t>Superior el informe definitivo; sin embargo, durante el trabajo efectuado se determinó la necesidad de dos plazas de técnica o técnico judicial 3 y el costo anual asciende a ₡ 33 352 000,00.</w:t>
      </w:r>
    </w:p>
    <w:p w14:paraId="37F58CF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22E1162"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el caso de Tribunales Penales pendientes de abordar, se considera únicamente el Tribunal Penal de Alajuela, que corresponde al despacho con la mayor entrada de asuntos nuevos a nivel nacional, según promedio mensual estimado entre el 2017 al 2022, y se determina que su estructura ordinaria actual es insuficiente para atender la entrada de asuntos nuevos, por lo que requiere la creación de seis plazas nuevas de juez o jueza 4, una de juez o jueza de trámite y cuatro de técnica o técnico judicial 3, más la reclasificación de dos plazas de técnica o técnica judicial 1 del Juzgado de Tránsito de Alajuela a jueza o juez 4, el costo total se estima en ₡ 583 408 000,00.</w:t>
      </w:r>
    </w:p>
    <w:p w14:paraId="1C5DD025"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606D25D"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Para las secciones de flagrancia, se requiere una plaza nueva de técnica o técnico judicial 3 para San Ramón, el cual tiene un costo total de ₡ 16 676 000,00.</w:t>
      </w:r>
    </w:p>
    <w:p w14:paraId="5EC1191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30EC895B"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Debido a la recomendación de la Dirección de Planificación de aumentar la cuota de sentencias y medidas alternas a las secciones unipersonales, se determina que existen despachos cuya capacidad operativa para la resolución de estos expedientes es menor al 80%, por lo que es necesario adicionar recurso humano para atender su carga de trabajo en los Tribunales Penales de Pococí, Pérez Zeledón y San Carlos y el costo anual asciende a ¢ 285 189 000,00. </w:t>
      </w:r>
    </w:p>
    <w:p w14:paraId="7D5E4784"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4EA7C87"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En el caso de los jueces y juezas de trámite se determina que conforme la estructura ordinaria de los Tribunales Penales, según el modelo de tramitación aprobado para estos despachos, es necesario asignar un juez o jueza 1 de trámite en Heredia y su costo anual es de ₡ 53 778 000,00.</w:t>
      </w:r>
    </w:p>
    <w:p w14:paraId="52B81E55"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C70942B" w14:textId="77777777" w:rsidR="00B15F7D" w:rsidRPr="00990FB6" w:rsidRDefault="00B15F7D" w:rsidP="00B15F7D">
      <w:pPr>
        <w:numPr>
          <w:ilvl w:val="0"/>
          <w:numId w:val="133"/>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Finalmente, para los Juzgados de Ejecución de la Pena, se requiere la asignación de una plaza de jueza o juez 2 en el despacho de Alajuela, cinco plazas nuevas de técnica o técnico judicial 2 para Alajuela, Puntarenas y Pococí, una plaza de coordinador o coordinadora judicial 2 para Liberia y de cuatro fiscales auxiliares para la atención de los casos de Alajuela, cuyo costo anual asciende a ₡ 373 027 000,00.</w:t>
      </w:r>
    </w:p>
    <w:p w14:paraId="05F1280A" w14:textId="77777777" w:rsidR="00B15F7D" w:rsidRPr="00990FB6" w:rsidRDefault="00B15F7D" w:rsidP="00B15F7D">
      <w:pPr>
        <w:suppressAutoHyphens w:val="0"/>
        <w:ind w:left="851" w:right="851" w:firstLine="709"/>
        <w:jc w:val="both"/>
        <w:rPr>
          <w:rFonts w:eastAsia="Calibri"/>
          <w:sz w:val="22"/>
          <w:szCs w:val="22"/>
          <w:lang w:val="es-CR" w:eastAsia="en-US"/>
        </w:rPr>
      </w:pPr>
    </w:p>
    <w:p w14:paraId="0F99C933"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r w:rsidRPr="00990FB6">
        <w:rPr>
          <w:rFonts w:eastAsia="Calibri"/>
          <w:b/>
          <w:bCs/>
          <w:sz w:val="22"/>
          <w:szCs w:val="22"/>
          <w:u w:val="single"/>
          <w:lang w:val="es-CR" w:eastAsia="en-US"/>
        </w:rPr>
        <w:t>Recomendaciones</w:t>
      </w:r>
    </w:p>
    <w:p w14:paraId="19C85A8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3645E54E"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Dadas las necesidades planteadas en el presente informe, a continuación, se enumeran las recomendaciones relacionadas con el requerimiento humano para los despachos penales, lo anterior, tomando en cuenta la capacidad instalada de las oficinas para atender la entrada de asuntos nuevos y considerando la estructura organización aprobada para cada tipo de despacho penal:</w:t>
      </w:r>
    </w:p>
    <w:p w14:paraId="327AA945"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6BC7DEE" w14:textId="77777777" w:rsidR="00B15F7D" w:rsidRPr="00990FB6" w:rsidRDefault="00B15F7D" w:rsidP="00B15F7D">
      <w:pPr>
        <w:numPr>
          <w:ilvl w:val="0"/>
          <w:numId w:val="134"/>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 xml:space="preserve">Escenario #1 </w:t>
      </w:r>
    </w:p>
    <w:p w14:paraId="2837E057"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02A62B06"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Para el correcto funcionamiento de los despachos penales, se recomienda crear de manera ordinaria la totalidad de plazas analizadas en el presente informe, </w:t>
      </w:r>
      <w:r w:rsidRPr="00990FB6">
        <w:rPr>
          <w:rFonts w:eastAsia="Calibri"/>
          <w:sz w:val="22"/>
          <w:szCs w:val="22"/>
          <w:lang w:val="es-CR" w:eastAsia="en-US"/>
        </w:rPr>
        <w:lastRenderedPageBreak/>
        <w:t>toda vez que, son necesarias para la atención total de la carga de trabajo; a saber: 16 plazas para los Juzgados Penales, 87 plazas para los Tribunales Penales y 11 para los Juzgados de Ejecución de la Pena; adicionalmente, la reclasificación de dos plazas de Técnica o Técnico Judicial 1 y un juez o jueza 3 todos a juez o jueza 4, distribuidos de la siguiente manera:</w:t>
      </w:r>
    </w:p>
    <w:p w14:paraId="3BCD283F"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488DD307" w14:textId="77777777" w:rsidR="00B15F7D" w:rsidRPr="00990FB6" w:rsidRDefault="00B15F7D" w:rsidP="00B15F7D">
      <w:pPr>
        <w:numPr>
          <w:ilvl w:val="1"/>
          <w:numId w:val="134"/>
        </w:numPr>
        <w:suppressAutoHyphens w:val="0"/>
        <w:ind w:left="851" w:right="851" w:firstLine="709"/>
        <w:contextualSpacing/>
        <w:jc w:val="both"/>
        <w:rPr>
          <w:rFonts w:eastAsia="Calibri"/>
          <w:sz w:val="22"/>
          <w:szCs w:val="22"/>
          <w:u w:val="single"/>
          <w:lang w:val="es-CR" w:eastAsia="en-US"/>
        </w:rPr>
      </w:pPr>
      <w:r w:rsidRPr="00990FB6">
        <w:rPr>
          <w:rFonts w:eastAsia="Calibri"/>
          <w:sz w:val="22"/>
          <w:szCs w:val="22"/>
          <w:u w:val="single"/>
          <w:lang w:val="es-CR" w:eastAsia="en-US"/>
        </w:rPr>
        <w:t>Juzgados Penales</w:t>
      </w:r>
    </w:p>
    <w:p w14:paraId="03E591BB"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191472C6"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Seguidamente se detallan las plazas nuevas de forma ordinaria que se recomienda crear para los Juzgados Penales:</w:t>
      </w:r>
    </w:p>
    <w:p w14:paraId="4083E67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4"/>
        <w:gridCol w:w="2008"/>
        <w:gridCol w:w="984"/>
        <w:gridCol w:w="1101"/>
        <w:gridCol w:w="939"/>
        <w:gridCol w:w="1046"/>
        <w:gridCol w:w="1036"/>
      </w:tblGrid>
      <w:tr w:rsidR="00B15F7D" w:rsidRPr="00990FB6" w14:paraId="66F3320F" w14:textId="77777777" w:rsidTr="000A0C22">
        <w:trPr>
          <w:trHeight w:val="300"/>
        </w:trPr>
        <w:tc>
          <w:tcPr>
            <w:tcW w:w="1052" w:type="pct"/>
            <w:vMerge w:val="restart"/>
            <w:shd w:val="clear" w:color="000000" w:fill="305496"/>
            <w:vAlign w:val="center"/>
            <w:hideMark/>
          </w:tcPr>
          <w:p w14:paraId="1F2DBA4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1218" w:type="pct"/>
            <w:vMerge w:val="restart"/>
            <w:shd w:val="clear" w:color="000000" w:fill="305496"/>
            <w:vAlign w:val="center"/>
            <w:hideMark/>
          </w:tcPr>
          <w:p w14:paraId="384FF51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Despacho </w:t>
            </w:r>
          </w:p>
        </w:tc>
        <w:tc>
          <w:tcPr>
            <w:tcW w:w="778" w:type="pct"/>
            <w:gridSpan w:val="2"/>
            <w:shd w:val="clear" w:color="000000" w:fill="5B9BD5"/>
            <w:noWrap/>
            <w:vAlign w:val="center"/>
            <w:hideMark/>
          </w:tcPr>
          <w:p w14:paraId="6E7AF94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1952" w:type="pct"/>
            <w:gridSpan w:val="3"/>
            <w:shd w:val="clear" w:color="000000" w:fill="5B9BD5"/>
            <w:noWrap/>
            <w:vAlign w:val="center"/>
            <w:hideMark/>
          </w:tcPr>
          <w:p w14:paraId="7EBAFFC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76E99C2B" w14:textId="77777777" w:rsidTr="000A0C22">
        <w:trPr>
          <w:trHeight w:val="780"/>
        </w:trPr>
        <w:tc>
          <w:tcPr>
            <w:tcW w:w="1052" w:type="pct"/>
            <w:vMerge/>
            <w:vAlign w:val="center"/>
            <w:hideMark/>
          </w:tcPr>
          <w:p w14:paraId="1AD44F48" w14:textId="77777777" w:rsidR="00B15F7D" w:rsidRPr="00990FB6" w:rsidRDefault="00B15F7D" w:rsidP="00B15F7D">
            <w:pPr>
              <w:suppressAutoHyphens w:val="0"/>
              <w:rPr>
                <w:b/>
                <w:bCs/>
                <w:color w:val="FFFFFF"/>
                <w:sz w:val="22"/>
                <w:szCs w:val="22"/>
                <w:lang w:val="es-CR" w:eastAsia="es-CR"/>
              </w:rPr>
            </w:pPr>
          </w:p>
        </w:tc>
        <w:tc>
          <w:tcPr>
            <w:tcW w:w="1218" w:type="pct"/>
            <w:vMerge/>
            <w:vAlign w:val="center"/>
            <w:hideMark/>
          </w:tcPr>
          <w:p w14:paraId="5DF22ADC" w14:textId="77777777" w:rsidR="00B15F7D" w:rsidRPr="00990FB6" w:rsidRDefault="00B15F7D" w:rsidP="00B15F7D">
            <w:pPr>
              <w:suppressAutoHyphens w:val="0"/>
              <w:rPr>
                <w:b/>
                <w:bCs/>
                <w:color w:val="FFFFFF"/>
                <w:sz w:val="22"/>
                <w:szCs w:val="22"/>
                <w:lang w:val="es-CR" w:eastAsia="es-CR"/>
              </w:rPr>
            </w:pPr>
          </w:p>
        </w:tc>
        <w:tc>
          <w:tcPr>
            <w:tcW w:w="367" w:type="pct"/>
            <w:shd w:val="clear" w:color="000000" w:fill="305496"/>
            <w:vAlign w:val="center"/>
            <w:hideMark/>
          </w:tcPr>
          <w:p w14:paraId="2E63327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 o Jueza 3</w:t>
            </w:r>
          </w:p>
        </w:tc>
        <w:tc>
          <w:tcPr>
            <w:tcW w:w="411" w:type="pct"/>
            <w:shd w:val="clear" w:color="000000" w:fill="305496"/>
            <w:vAlign w:val="center"/>
            <w:hideMark/>
          </w:tcPr>
          <w:p w14:paraId="2E947C7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612" w:type="pct"/>
            <w:shd w:val="clear" w:color="000000" w:fill="305496"/>
            <w:vAlign w:val="center"/>
            <w:hideMark/>
          </w:tcPr>
          <w:p w14:paraId="11789F2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 o Jueza 3</w:t>
            </w:r>
          </w:p>
        </w:tc>
        <w:tc>
          <w:tcPr>
            <w:tcW w:w="663" w:type="pct"/>
            <w:shd w:val="clear" w:color="000000" w:fill="305496"/>
            <w:vAlign w:val="center"/>
            <w:hideMark/>
          </w:tcPr>
          <w:p w14:paraId="5B7E698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677" w:type="pct"/>
            <w:shd w:val="clear" w:color="000000" w:fill="305496"/>
            <w:vAlign w:val="center"/>
            <w:hideMark/>
          </w:tcPr>
          <w:p w14:paraId="1BA3D33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por anual puesto</w:t>
            </w:r>
          </w:p>
        </w:tc>
      </w:tr>
      <w:tr w:rsidR="00B15F7D" w:rsidRPr="00990FB6" w14:paraId="298CFFC8" w14:textId="77777777" w:rsidTr="000A0C22">
        <w:trPr>
          <w:trHeight w:val="276"/>
        </w:trPr>
        <w:tc>
          <w:tcPr>
            <w:tcW w:w="1052" w:type="pct"/>
            <w:vMerge w:val="restart"/>
            <w:shd w:val="clear" w:color="000000" w:fill="FFFFFF"/>
            <w:vAlign w:val="center"/>
            <w:hideMark/>
          </w:tcPr>
          <w:p w14:paraId="7B19259D"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1218" w:type="pct"/>
            <w:shd w:val="clear" w:color="auto" w:fill="auto"/>
            <w:vAlign w:val="center"/>
            <w:hideMark/>
          </w:tcPr>
          <w:p w14:paraId="0EC4EBF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Puriscal</w:t>
            </w:r>
          </w:p>
        </w:tc>
        <w:tc>
          <w:tcPr>
            <w:tcW w:w="367" w:type="pct"/>
            <w:shd w:val="clear" w:color="auto" w:fill="auto"/>
            <w:vAlign w:val="center"/>
            <w:hideMark/>
          </w:tcPr>
          <w:p w14:paraId="339CA3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vAlign w:val="center"/>
            <w:hideMark/>
          </w:tcPr>
          <w:p w14:paraId="1B2A87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vAlign w:val="center"/>
            <w:hideMark/>
          </w:tcPr>
          <w:p w14:paraId="499FC56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   </w:t>
            </w:r>
          </w:p>
        </w:tc>
        <w:tc>
          <w:tcPr>
            <w:tcW w:w="663" w:type="pct"/>
            <w:shd w:val="clear" w:color="000000" w:fill="FFFFFF"/>
            <w:vAlign w:val="center"/>
            <w:hideMark/>
          </w:tcPr>
          <w:p w14:paraId="1165DB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 </w:t>
            </w:r>
          </w:p>
        </w:tc>
        <w:tc>
          <w:tcPr>
            <w:tcW w:w="677" w:type="pct"/>
            <w:shd w:val="clear" w:color="000000" w:fill="FFFFFF"/>
            <w:vAlign w:val="center"/>
            <w:hideMark/>
          </w:tcPr>
          <w:p w14:paraId="0B968C3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w:t>
            </w:r>
          </w:p>
        </w:tc>
      </w:tr>
      <w:tr w:rsidR="00B15F7D" w:rsidRPr="00990FB6" w14:paraId="1224BEF9" w14:textId="77777777" w:rsidTr="000A0C22">
        <w:trPr>
          <w:trHeight w:val="288"/>
        </w:trPr>
        <w:tc>
          <w:tcPr>
            <w:tcW w:w="1052" w:type="pct"/>
            <w:vMerge/>
            <w:vAlign w:val="center"/>
            <w:hideMark/>
          </w:tcPr>
          <w:p w14:paraId="213D562D"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491FD0D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Santa Cruz</w:t>
            </w:r>
          </w:p>
        </w:tc>
        <w:tc>
          <w:tcPr>
            <w:tcW w:w="367" w:type="pct"/>
            <w:shd w:val="clear" w:color="auto" w:fill="auto"/>
            <w:vAlign w:val="center"/>
            <w:hideMark/>
          </w:tcPr>
          <w:p w14:paraId="649CAA4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auto" w:fill="auto"/>
            <w:vAlign w:val="center"/>
            <w:hideMark/>
          </w:tcPr>
          <w:p w14:paraId="693DCA5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12" w:type="pct"/>
            <w:shd w:val="clear" w:color="000000" w:fill="FFFFFF"/>
            <w:vAlign w:val="center"/>
            <w:hideMark/>
          </w:tcPr>
          <w:p w14:paraId="0287AC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57 147 000,00 </w:t>
            </w:r>
          </w:p>
        </w:tc>
        <w:tc>
          <w:tcPr>
            <w:tcW w:w="663" w:type="pct"/>
            <w:shd w:val="clear" w:color="000000" w:fill="FFFFFF"/>
            <w:hideMark/>
          </w:tcPr>
          <w:p w14:paraId="29E3C0B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w:t>
            </w:r>
          </w:p>
        </w:tc>
        <w:tc>
          <w:tcPr>
            <w:tcW w:w="677" w:type="pct"/>
            <w:shd w:val="clear" w:color="000000" w:fill="FFFFFF"/>
            <w:vAlign w:val="center"/>
            <w:hideMark/>
          </w:tcPr>
          <w:p w14:paraId="2163F11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57 147 000,00 </w:t>
            </w:r>
          </w:p>
        </w:tc>
      </w:tr>
      <w:tr w:rsidR="00B15F7D" w:rsidRPr="00990FB6" w14:paraId="2FD95FA2" w14:textId="77777777" w:rsidTr="000A0C22">
        <w:trPr>
          <w:trHeight w:val="288"/>
        </w:trPr>
        <w:tc>
          <w:tcPr>
            <w:tcW w:w="1052" w:type="pct"/>
            <w:vMerge/>
            <w:vAlign w:val="center"/>
            <w:hideMark/>
          </w:tcPr>
          <w:p w14:paraId="26BF121A"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0B26396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Turrialba</w:t>
            </w:r>
          </w:p>
        </w:tc>
        <w:tc>
          <w:tcPr>
            <w:tcW w:w="367" w:type="pct"/>
            <w:shd w:val="clear" w:color="auto" w:fill="auto"/>
            <w:vAlign w:val="center"/>
            <w:hideMark/>
          </w:tcPr>
          <w:p w14:paraId="5474E2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auto" w:fill="auto"/>
            <w:vAlign w:val="center"/>
            <w:hideMark/>
          </w:tcPr>
          <w:p w14:paraId="23264B5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12" w:type="pct"/>
            <w:shd w:val="clear" w:color="000000" w:fill="FFFFFF"/>
            <w:vAlign w:val="center"/>
            <w:hideMark/>
          </w:tcPr>
          <w:p w14:paraId="0F26470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57 147 000,00 </w:t>
            </w:r>
          </w:p>
        </w:tc>
        <w:tc>
          <w:tcPr>
            <w:tcW w:w="663" w:type="pct"/>
            <w:shd w:val="clear" w:color="000000" w:fill="FFFFFF"/>
            <w:hideMark/>
          </w:tcPr>
          <w:p w14:paraId="4A80281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w:t>
            </w:r>
          </w:p>
        </w:tc>
        <w:tc>
          <w:tcPr>
            <w:tcW w:w="677" w:type="pct"/>
            <w:shd w:val="clear" w:color="000000" w:fill="FFFFFF"/>
            <w:vAlign w:val="center"/>
            <w:hideMark/>
          </w:tcPr>
          <w:p w14:paraId="318E016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57 147 000,00 </w:t>
            </w:r>
          </w:p>
        </w:tc>
      </w:tr>
      <w:tr w:rsidR="00B15F7D" w:rsidRPr="00990FB6" w14:paraId="11BC440F" w14:textId="77777777" w:rsidTr="000A0C22">
        <w:trPr>
          <w:trHeight w:val="288"/>
        </w:trPr>
        <w:tc>
          <w:tcPr>
            <w:tcW w:w="1052" w:type="pct"/>
            <w:vMerge/>
            <w:vAlign w:val="center"/>
            <w:hideMark/>
          </w:tcPr>
          <w:p w14:paraId="413683B2"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6367263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Garabito</w:t>
            </w:r>
          </w:p>
        </w:tc>
        <w:tc>
          <w:tcPr>
            <w:tcW w:w="367" w:type="pct"/>
            <w:shd w:val="clear" w:color="auto" w:fill="auto"/>
            <w:vAlign w:val="center"/>
            <w:hideMark/>
          </w:tcPr>
          <w:p w14:paraId="073120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vAlign w:val="center"/>
            <w:hideMark/>
          </w:tcPr>
          <w:p w14:paraId="02B9EF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vAlign w:val="center"/>
            <w:hideMark/>
          </w:tcPr>
          <w:p w14:paraId="3224EEA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   </w:t>
            </w:r>
          </w:p>
        </w:tc>
        <w:tc>
          <w:tcPr>
            <w:tcW w:w="663" w:type="pct"/>
            <w:shd w:val="clear" w:color="000000" w:fill="FFFFFF"/>
            <w:vAlign w:val="center"/>
            <w:hideMark/>
          </w:tcPr>
          <w:p w14:paraId="4DE3E2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 </w:t>
            </w:r>
          </w:p>
        </w:tc>
        <w:tc>
          <w:tcPr>
            <w:tcW w:w="677" w:type="pct"/>
            <w:shd w:val="clear" w:color="000000" w:fill="FFFFFF"/>
            <w:vAlign w:val="center"/>
            <w:hideMark/>
          </w:tcPr>
          <w:p w14:paraId="3A81699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w:t>
            </w:r>
          </w:p>
        </w:tc>
      </w:tr>
      <w:tr w:rsidR="00B15F7D" w:rsidRPr="00990FB6" w14:paraId="7C4A1682" w14:textId="77777777" w:rsidTr="000A0C22">
        <w:trPr>
          <w:trHeight w:val="288"/>
        </w:trPr>
        <w:tc>
          <w:tcPr>
            <w:tcW w:w="1052" w:type="pct"/>
            <w:vMerge/>
            <w:vAlign w:val="center"/>
            <w:hideMark/>
          </w:tcPr>
          <w:p w14:paraId="7E8BBF7F" w14:textId="77777777" w:rsidR="00B15F7D" w:rsidRPr="00990FB6" w:rsidRDefault="00B15F7D" w:rsidP="00B15F7D">
            <w:pPr>
              <w:suppressAutoHyphens w:val="0"/>
              <w:rPr>
                <w:b/>
                <w:bCs/>
                <w:color w:val="000000"/>
                <w:sz w:val="22"/>
                <w:szCs w:val="22"/>
                <w:lang w:val="es-CR" w:eastAsia="es-CR"/>
              </w:rPr>
            </w:pPr>
          </w:p>
        </w:tc>
        <w:tc>
          <w:tcPr>
            <w:tcW w:w="1218" w:type="pct"/>
            <w:shd w:val="clear" w:color="000000" w:fill="FFFFFF"/>
            <w:vAlign w:val="center"/>
            <w:hideMark/>
          </w:tcPr>
          <w:p w14:paraId="523E795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Guápiles</w:t>
            </w:r>
          </w:p>
        </w:tc>
        <w:tc>
          <w:tcPr>
            <w:tcW w:w="367" w:type="pct"/>
            <w:shd w:val="clear" w:color="000000" w:fill="FFFFFF"/>
            <w:vAlign w:val="center"/>
            <w:hideMark/>
          </w:tcPr>
          <w:p w14:paraId="41C2423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000000" w:fill="FFFFFF"/>
            <w:vAlign w:val="center"/>
            <w:hideMark/>
          </w:tcPr>
          <w:p w14:paraId="5474287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vAlign w:val="center"/>
            <w:hideMark/>
          </w:tcPr>
          <w:p w14:paraId="0741B60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 xml:space="preserve">₡  -   </w:t>
            </w:r>
          </w:p>
        </w:tc>
        <w:tc>
          <w:tcPr>
            <w:tcW w:w="663" w:type="pct"/>
            <w:shd w:val="clear" w:color="000000" w:fill="FFFFFF"/>
            <w:vAlign w:val="center"/>
            <w:hideMark/>
          </w:tcPr>
          <w:p w14:paraId="7EEFE42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 </w:t>
            </w:r>
          </w:p>
        </w:tc>
        <w:tc>
          <w:tcPr>
            <w:tcW w:w="677" w:type="pct"/>
            <w:shd w:val="clear" w:color="000000" w:fill="FFFFFF"/>
            <w:hideMark/>
          </w:tcPr>
          <w:p w14:paraId="540FC6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15 945 000,00 </w:t>
            </w:r>
          </w:p>
        </w:tc>
      </w:tr>
      <w:tr w:rsidR="00B15F7D" w:rsidRPr="00990FB6" w14:paraId="6400AB3F" w14:textId="77777777" w:rsidTr="000A0C22">
        <w:trPr>
          <w:trHeight w:val="288"/>
        </w:trPr>
        <w:tc>
          <w:tcPr>
            <w:tcW w:w="1052" w:type="pct"/>
            <w:vMerge/>
            <w:vAlign w:val="center"/>
            <w:hideMark/>
          </w:tcPr>
          <w:p w14:paraId="414E8558" w14:textId="77777777" w:rsidR="00B15F7D" w:rsidRPr="00990FB6" w:rsidRDefault="00B15F7D" w:rsidP="00B15F7D">
            <w:pPr>
              <w:suppressAutoHyphens w:val="0"/>
              <w:rPr>
                <w:b/>
                <w:bCs/>
                <w:color w:val="000000"/>
                <w:sz w:val="22"/>
                <w:szCs w:val="22"/>
                <w:lang w:val="es-CR" w:eastAsia="es-CR"/>
              </w:rPr>
            </w:pPr>
          </w:p>
        </w:tc>
        <w:tc>
          <w:tcPr>
            <w:tcW w:w="1218" w:type="pct"/>
            <w:shd w:val="clear" w:color="000000" w:fill="FFFFFF"/>
            <w:vAlign w:val="center"/>
            <w:hideMark/>
          </w:tcPr>
          <w:p w14:paraId="7C5E4E3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Pavas</w:t>
            </w:r>
          </w:p>
        </w:tc>
        <w:tc>
          <w:tcPr>
            <w:tcW w:w="367" w:type="pct"/>
            <w:shd w:val="clear" w:color="000000" w:fill="FFFFFF"/>
            <w:vAlign w:val="center"/>
            <w:hideMark/>
          </w:tcPr>
          <w:p w14:paraId="48EB9E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000000" w:fill="FFFFFF"/>
            <w:vAlign w:val="center"/>
            <w:hideMark/>
          </w:tcPr>
          <w:p w14:paraId="12302EE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vAlign w:val="center"/>
            <w:hideMark/>
          </w:tcPr>
          <w:p w14:paraId="5D84D7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57 147 000,00</w:t>
            </w:r>
          </w:p>
        </w:tc>
        <w:tc>
          <w:tcPr>
            <w:tcW w:w="663" w:type="pct"/>
            <w:shd w:val="clear" w:color="000000" w:fill="FFFFFF"/>
            <w:vAlign w:val="center"/>
            <w:hideMark/>
          </w:tcPr>
          <w:p w14:paraId="4C45387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 </w:t>
            </w:r>
          </w:p>
        </w:tc>
        <w:tc>
          <w:tcPr>
            <w:tcW w:w="677" w:type="pct"/>
            <w:shd w:val="clear" w:color="000000" w:fill="FFFFFF"/>
            <w:hideMark/>
          </w:tcPr>
          <w:p w14:paraId="1694C2C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15 945 000,00 </w:t>
            </w:r>
          </w:p>
        </w:tc>
      </w:tr>
      <w:tr w:rsidR="00B15F7D" w:rsidRPr="00990FB6" w14:paraId="17A24B5F" w14:textId="77777777" w:rsidTr="000A0C22">
        <w:trPr>
          <w:trHeight w:val="288"/>
        </w:trPr>
        <w:tc>
          <w:tcPr>
            <w:tcW w:w="1052" w:type="pct"/>
            <w:vMerge/>
            <w:vAlign w:val="center"/>
            <w:hideMark/>
          </w:tcPr>
          <w:p w14:paraId="08B68C1F"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5E2A3AE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Coto Brus</w:t>
            </w:r>
          </w:p>
        </w:tc>
        <w:tc>
          <w:tcPr>
            <w:tcW w:w="367" w:type="pct"/>
            <w:shd w:val="clear" w:color="auto" w:fill="auto"/>
            <w:vAlign w:val="center"/>
            <w:hideMark/>
          </w:tcPr>
          <w:p w14:paraId="1521BDB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vAlign w:val="center"/>
            <w:hideMark/>
          </w:tcPr>
          <w:p w14:paraId="4A7869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hideMark/>
          </w:tcPr>
          <w:p w14:paraId="086C9BE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63" w:type="pct"/>
            <w:shd w:val="clear" w:color="000000" w:fill="FFFFFF"/>
            <w:vAlign w:val="center"/>
            <w:hideMark/>
          </w:tcPr>
          <w:p w14:paraId="49A664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15 945 000,00</w:t>
            </w:r>
          </w:p>
        </w:tc>
        <w:tc>
          <w:tcPr>
            <w:tcW w:w="677" w:type="pct"/>
            <w:shd w:val="clear" w:color="000000" w:fill="FFFFFF"/>
            <w:hideMark/>
          </w:tcPr>
          <w:p w14:paraId="0F61024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15 945 000,00 </w:t>
            </w:r>
          </w:p>
        </w:tc>
      </w:tr>
      <w:tr w:rsidR="00B15F7D" w:rsidRPr="00990FB6" w14:paraId="7E18C950" w14:textId="77777777" w:rsidTr="000A0C22">
        <w:trPr>
          <w:trHeight w:val="288"/>
        </w:trPr>
        <w:tc>
          <w:tcPr>
            <w:tcW w:w="1052" w:type="pct"/>
            <w:vMerge/>
            <w:vAlign w:val="center"/>
            <w:hideMark/>
          </w:tcPr>
          <w:p w14:paraId="4832379B"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498C02B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Buenos Aires</w:t>
            </w:r>
          </w:p>
        </w:tc>
        <w:tc>
          <w:tcPr>
            <w:tcW w:w="367" w:type="pct"/>
            <w:shd w:val="clear" w:color="auto" w:fill="auto"/>
            <w:vAlign w:val="center"/>
            <w:hideMark/>
          </w:tcPr>
          <w:p w14:paraId="1B50CB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vAlign w:val="center"/>
            <w:hideMark/>
          </w:tcPr>
          <w:p w14:paraId="05ACD5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hideMark/>
          </w:tcPr>
          <w:p w14:paraId="529535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63" w:type="pct"/>
            <w:shd w:val="clear" w:color="000000" w:fill="FFFFFF"/>
            <w:vAlign w:val="center"/>
            <w:hideMark/>
          </w:tcPr>
          <w:p w14:paraId="41394F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w:t>
            </w:r>
          </w:p>
        </w:tc>
        <w:tc>
          <w:tcPr>
            <w:tcW w:w="677" w:type="pct"/>
            <w:shd w:val="clear" w:color="000000" w:fill="FFFFFF"/>
            <w:hideMark/>
          </w:tcPr>
          <w:p w14:paraId="4EAA80B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15 945 000,00 </w:t>
            </w:r>
          </w:p>
        </w:tc>
      </w:tr>
      <w:tr w:rsidR="00B15F7D" w:rsidRPr="00990FB6" w14:paraId="58B21528" w14:textId="77777777" w:rsidTr="000A0C22">
        <w:trPr>
          <w:trHeight w:val="288"/>
        </w:trPr>
        <w:tc>
          <w:tcPr>
            <w:tcW w:w="1052" w:type="pct"/>
            <w:vMerge/>
            <w:vAlign w:val="center"/>
            <w:hideMark/>
          </w:tcPr>
          <w:p w14:paraId="17F0044A"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6DE1590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La Fortuna</w:t>
            </w:r>
          </w:p>
        </w:tc>
        <w:tc>
          <w:tcPr>
            <w:tcW w:w="367" w:type="pct"/>
            <w:shd w:val="clear" w:color="auto" w:fill="auto"/>
            <w:vAlign w:val="center"/>
            <w:hideMark/>
          </w:tcPr>
          <w:p w14:paraId="7921730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vAlign w:val="center"/>
            <w:hideMark/>
          </w:tcPr>
          <w:p w14:paraId="1347B05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hideMark/>
          </w:tcPr>
          <w:p w14:paraId="40449B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63" w:type="pct"/>
            <w:shd w:val="clear" w:color="000000" w:fill="FFFFFF"/>
            <w:vAlign w:val="center"/>
            <w:hideMark/>
          </w:tcPr>
          <w:p w14:paraId="230A6ED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w:t>
            </w:r>
          </w:p>
        </w:tc>
        <w:tc>
          <w:tcPr>
            <w:tcW w:w="677" w:type="pct"/>
            <w:shd w:val="clear" w:color="000000" w:fill="FFFFFF"/>
            <w:hideMark/>
          </w:tcPr>
          <w:p w14:paraId="624A55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15 945 000,00 </w:t>
            </w:r>
          </w:p>
        </w:tc>
      </w:tr>
      <w:tr w:rsidR="00B15F7D" w:rsidRPr="00990FB6" w14:paraId="31C71F83" w14:textId="77777777" w:rsidTr="000A0C22">
        <w:trPr>
          <w:trHeight w:val="288"/>
        </w:trPr>
        <w:tc>
          <w:tcPr>
            <w:tcW w:w="1052" w:type="pct"/>
            <w:vMerge/>
            <w:vAlign w:val="center"/>
            <w:hideMark/>
          </w:tcPr>
          <w:p w14:paraId="42E284C2"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070BEF8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Los Chiles</w:t>
            </w:r>
          </w:p>
        </w:tc>
        <w:tc>
          <w:tcPr>
            <w:tcW w:w="367" w:type="pct"/>
            <w:shd w:val="clear" w:color="auto" w:fill="auto"/>
            <w:vAlign w:val="center"/>
            <w:hideMark/>
          </w:tcPr>
          <w:p w14:paraId="6FF0DA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vAlign w:val="center"/>
            <w:hideMark/>
          </w:tcPr>
          <w:p w14:paraId="0608714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hideMark/>
          </w:tcPr>
          <w:p w14:paraId="0CEE7E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63" w:type="pct"/>
            <w:shd w:val="clear" w:color="000000" w:fill="FFFFFF"/>
            <w:vAlign w:val="center"/>
            <w:hideMark/>
          </w:tcPr>
          <w:p w14:paraId="3471CF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w:t>
            </w:r>
          </w:p>
        </w:tc>
        <w:tc>
          <w:tcPr>
            <w:tcW w:w="677" w:type="pct"/>
            <w:shd w:val="clear" w:color="000000" w:fill="FFFFFF"/>
            <w:hideMark/>
          </w:tcPr>
          <w:p w14:paraId="0D3B2A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15 945 000,00 </w:t>
            </w:r>
          </w:p>
        </w:tc>
      </w:tr>
      <w:tr w:rsidR="00B15F7D" w:rsidRPr="00990FB6" w14:paraId="22E8821B" w14:textId="77777777" w:rsidTr="000A0C22">
        <w:trPr>
          <w:trHeight w:val="288"/>
        </w:trPr>
        <w:tc>
          <w:tcPr>
            <w:tcW w:w="1052" w:type="pct"/>
            <w:vMerge/>
            <w:vAlign w:val="center"/>
            <w:hideMark/>
          </w:tcPr>
          <w:p w14:paraId="3F10B271" w14:textId="77777777" w:rsidR="00B15F7D" w:rsidRPr="00990FB6" w:rsidRDefault="00B15F7D" w:rsidP="00B15F7D">
            <w:pPr>
              <w:suppressAutoHyphens w:val="0"/>
              <w:rPr>
                <w:b/>
                <w:bCs/>
                <w:color w:val="000000"/>
                <w:sz w:val="22"/>
                <w:szCs w:val="22"/>
                <w:lang w:val="es-CR" w:eastAsia="es-CR"/>
              </w:rPr>
            </w:pPr>
          </w:p>
        </w:tc>
        <w:tc>
          <w:tcPr>
            <w:tcW w:w="1218" w:type="pct"/>
            <w:shd w:val="clear" w:color="000000" w:fill="FFFFFF"/>
            <w:vAlign w:val="center"/>
            <w:hideMark/>
          </w:tcPr>
          <w:p w14:paraId="7E9A685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Cartago</w:t>
            </w:r>
          </w:p>
        </w:tc>
        <w:tc>
          <w:tcPr>
            <w:tcW w:w="367" w:type="pct"/>
            <w:shd w:val="clear" w:color="000000" w:fill="FFFFFF"/>
            <w:vAlign w:val="center"/>
            <w:hideMark/>
          </w:tcPr>
          <w:p w14:paraId="04A118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000000" w:fill="FFFFFF"/>
            <w:vAlign w:val="center"/>
            <w:hideMark/>
          </w:tcPr>
          <w:p w14:paraId="333EC3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12" w:type="pct"/>
            <w:shd w:val="clear" w:color="000000" w:fill="FFFFFF"/>
            <w:vAlign w:val="center"/>
            <w:hideMark/>
          </w:tcPr>
          <w:p w14:paraId="09DA4D5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57 147 000,00</w:t>
            </w:r>
          </w:p>
        </w:tc>
        <w:tc>
          <w:tcPr>
            <w:tcW w:w="663" w:type="pct"/>
            <w:shd w:val="clear" w:color="000000" w:fill="FFFFFF"/>
            <w:vAlign w:val="center"/>
            <w:hideMark/>
          </w:tcPr>
          <w:p w14:paraId="16D5A1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77" w:type="pct"/>
            <w:shd w:val="clear" w:color="000000" w:fill="FFFFFF"/>
            <w:vAlign w:val="center"/>
            <w:hideMark/>
          </w:tcPr>
          <w:p w14:paraId="1CA938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57 147 000,00</w:t>
            </w:r>
          </w:p>
        </w:tc>
      </w:tr>
      <w:tr w:rsidR="00B15F7D" w:rsidRPr="00990FB6" w14:paraId="1C4C0585" w14:textId="77777777" w:rsidTr="000A0C22">
        <w:trPr>
          <w:trHeight w:val="288"/>
        </w:trPr>
        <w:tc>
          <w:tcPr>
            <w:tcW w:w="1052" w:type="pct"/>
            <w:vMerge/>
            <w:vAlign w:val="center"/>
            <w:hideMark/>
          </w:tcPr>
          <w:p w14:paraId="4CD3FADB" w14:textId="77777777" w:rsidR="00B15F7D" w:rsidRPr="00990FB6" w:rsidRDefault="00B15F7D" w:rsidP="00B15F7D">
            <w:pPr>
              <w:suppressAutoHyphens w:val="0"/>
              <w:rPr>
                <w:b/>
                <w:bCs/>
                <w:color w:val="000000"/>
                <w:sz w:val="22"/>
                <w:szCs w:val="22"/>
                <w:lang w:val="es-CR" w:eastAsia="es-CR"/>
              </w:rPr>
            </w:pPr>
          </w:p>
        </w:tc>
        <w:tc>
          <w:tcPr>
            <w:tcW w:w="1218" w:type="pct"/>
            <w:shd w:val="clear" w:color="000000" w:fill="FFFFFF"/>
            <w:vAlign w:val="center"/>
            <w:hideMark/>
          </w:tcPr>
          <w:p w14:paraId="7B4B947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Atenas</w:t>
            </w:r>
          </w:p>
        </w:tc>
        <w:tc>
          <w:tcPr>
            <w:tcW w:w="367" w:type="pct"/>
            <w:shd w:val="clear" w:color="000000" w:fill="FFFFFF"/>
            <w:vAlign w:val="center"/>
            <w:hideMark/>
          </w:tcPr>
          <w:p w14:paraId="1D8BDBE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000000" w:fill="FFFFFF"/>
            <w:vAlign w:val="center"/>
            <w:hideMark/>
          </w:tcPr>
          <w:p w14:paraId="197FB6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12" w:type="pct"/>
            <w:shd w:val="clear" w:color="000000" w:fill="FFFFFF"/>
            <w:vAlign w:val="center"/>
            <w:hideMark/>
          </w:tcPr>
          <w:p w14:paraId="53869C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63" w:type="pct"/>
            <w:shd w:val="clear" w:color="000000" w:fill="FFFFFF"/>
            <w:vAlign w:val="center"/>
            <w:hideMark/>
          </w:tcPr>
          <w:p w14:paraId="6E39AA6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15 945 000,00</w:t>
            </w:r>
          </w:p>
        </w:tc>
        <w:tc>
          <w:tcPr>
            <w:tcW w:w="677" w:type="pct"/>
            <w:shd w:val="clear" w:color="000000" w:fill="FFFFFF"/>
            <w:vAlign w:val="center"/>
            <w:hideMark/>
          </w:tcPr>
          <w:p w14:paraId="354B14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15 945 000,00</w:t>
            </w:r>
          </w:p>
        </w:tc>
      </w:tr>
      <w:tr w:rsidR="00B15F7D" w:rsidRPr="00990FB6" w14:paraId="453C7787" w14:textId="77777777" w:rsidTr="000A0C22">
        <w:trPr>
          <w:trHeight w:val="288"/>
        </w:trPr>
        <w:tc>
          <w:tcPr>
            <w:tcW w:w="1052" w:type="pct"/>
            <w:vMerge/>
            <w:vAlign w:val="center"/>
            <w:hideMark/>
          </w:tcPr>
          <w:p w14:paraId="2B7C82E7"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62B6AB9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Desamparados</w:t>
            </w:r>
          </w:p>
        </w:tc>
        <w:tc>
          <w:tcPr>
            <w:tcW w:w="367" w:type="pct"/>
            <w:shd w:val="clear" w:color="auto" w:fill="auto"/>
            <w:vAlign w:val="center"/>
            <w:hideMark/>
          </w:tcPr>
          <w:p w14:paraId="14E27BC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auto" w:fill="auto"/>
            <w:vAlign w:val="center"/>
            <w:hideMark/>
          </w:tcPr>
          <w:p w14:paraId="4FB26D2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12" w:type="pct"/>
            <w:shd w:val="clear" w:color="000000" w:fill="FFFFFF"/>
            <w:vAlign w:val="center"/>
            <w:hideMark/>
          </w:tcPr>
          <w:p w14:paraId="0B1293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57 147 000,00</w:t>
            </w:r>
          </w:p>
        </w:tc>
        <w:tc>
          <w:tcPr>
            <w:tcW w:w="663" w:type="pct"/>
            <w:shd w:val="clear" w:color="000000" w:fill="FFFFFF"/>
            <w:vAlign w:val="center"/>
            <w:hideMark/>
          </w:tcPr>
          <w:p w14:paraId="62BB7F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77" w:type="pct"/>
            <w:shd w:val="clear" w:color="000000" w:fill="FFFFFF"/>
            <w:vAlign w:val="center"/>
            <w:hideMark/>
          </w:tcPr>
          <w:p w14:paraId="4E238F4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57 147 000,00</w:t>
            </w:r>
          </w:p>
        </w:tc>
      </w:tr>
      <w:tr w:rsidR="00B15F7D" w:rsidRPr="00990FB6" w14:paraId="5C57B37D" w14:textId="77777777" w:rsidTr="000A0C22">
        <w:trPr>
          <w:trHeight w:val="300"/>
        </w:trPr>
        <w:tc>
          <w:tcPr>
            <w:tcW w:w="1052" w:type="pct"/>
            <w:vMerge/>
            <w:vAlign w:val="center"/>
            <w:hideMark/>
          </w:tcPr>
          <w:p w14:paraId="3BC23CA0" w14:textId="77777777" w:rsidR="00B15F7D" w:rsidRPr="00990FB6" w:rsidRDefault="00B15F7D" w:rsidP="00B15F7D">
            <w:pPr>
              <w:suppressAutoHyphens w:val="0"/>
              <w:rPr>
                <w:b/>
                <w:bCs/>
                <w:color w:val="000000"/>
                <w:sz w:val="22"/>
                <w:szCs w:val="22"/>
                <w:lang w:val="es-CR" w:eastAsia="es-CR"/>
              </w:rPr>
            </w:pPr>
          </w:p>
        </w:tc>
        <w:tc>
          <w:tcPr>
            <w:tcW w:w="1218" w:type="pct"/>
            <w:shd w:val="clear" w:color="auto" w:fill="auto"/>
            <w:vAlign w:val="center"/>
            <w:hideMark/>
          </w:tcPr>
          <w:p w14:paraId="259CA40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Goicoechea</w:t>
            </w:r>
          </w:p>
        </w:tc>
        <w:tc>
          <w:tcPr>
            <w:tcW w:w="367" w:type="pct"/>
            <w:shd w:val="clear" w:color="auto" w:fill="auto"/>
            <w:vAlign w:val="center"/>
            <w:hideMark/>
          </w:tcPr>
          <w:p w14:paraId="054CD16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vAlign w:val="center"/>
            <w:hideMark/>
          </w:tcPr>
          <w:p w14:paraId="6F0AD6E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12" w:type="pct"/>
            <w:shd w:val="clear" w:color="000000" w:fill="FFFFFF"/>
            <w:vAlign w:val="center"/>
            <w:hideMark/>
          </w:tcPr>
          <w:p w14:paraId="0DE33E6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663" w:type="pct"/>
            <w:shd w:val="clear" w:color="000000" w:fill="FFFFFF"/>
            <w:vAlign w:val="center"/>
            <w:hideMark/>
          </w:tcPr>
          <w:p w14:paraId="61DCB66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31 890 000,00 </w:t>
            </w:r>
          </w:p>
        </w:tc>
        <w:tc>
          <w:tcPr>
            <w:tcW w:w="677" w:type="pct"/>
            <w:shd w:val="clear" w:color="000000" w:fill="FFFFFF"/>
            <w:vAlign w:val="center"/>
            <w:hideMark/>
          </w:tcPr>
          <w:p w14:paraId="6B4F4D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31 890 000,00</w:t>
            </w:r>
          </w:p>
        </w:tc>
      </w:tr>
      <w:tr w:rsidR="00B15F7D" w:rsidRPr="00990FB6" w14:paraId="32C2AC62" w14:textId="77777777" w:rsidTr="000A0C22">
        <w:trPr>
          <w:trHeight w:val="300"/>
        </w:trPr>
        <w:tc>
          <w:tcPr>
            <w:tcW w:w="1052" w:type="pct"/>
            <w:vMerge/>
            <w:vAlign w:val="center"/>
            <w:hideMark/>
          </w:tcPr>
          <w:p w14:paraId="2B8D9FFF" w14:textId="77777777" w:rsidR="00B15F7D" w:rsidRPr="00990FB6" w:rsidRDefault="00B15F7D" w:rsidP="00B15F7D">
            <w:pPr>
              <w:suppressAutoHyphens w:val="0"/>
              <w:rPr>
                <w:b/>
                <w:bCs/>
                <w:color w:val="000000"/>
                <w:sz w:val="22"/>
                <w:szCs w:val="22"/>
                <w:lang w:val="es-CR" w:eastAsia="es-CR"/>
              </w:rPr>
            </w:pPr>
          </w:p>
        </w:tc>
        <w:tc>
          <w:tcPr>
            <w:tcW w:w="1218" w:type="pct"/>
            <w:shd w:val="clear" w:color="000000" w:fill="DEEAF6"/>
            <w:vAlign w:val="center"/>
            <w:hideMark/>
          </w:tcPr>
          <w:p w14:paraId="733FCE74"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367" w:type="pct"/>
            <w:shd w:val="clear" w:color="000000" w:fill="DEEAF6"/>
            <w:vAlign w:val="center"/>
            <w:hideMark/>
          </w:tcPr>
          <w:p w14:paraId="71E029A7"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5</w:t>
            </w:r>
          </w:p>
        </w:tc>
        <w:tc>
          <w:tcPr>
            <w:tcW w:w="411" w:type="pct"/>
            <w:shd w:val="clear" w:color="000000" w:fill="DEEAF6"/>
            <w:vAlign w:val="center"/>
            <w:hideMark/>
          </w:tcPr>
          <w:p w14:paraId="3FAAF31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11</w:t>
            </w:r>
          </w:p>
        </w:tc>
        <w:tc>
          <w:tcPr>
            <w:tcW w:w="612" w:type="pct"/>
            <w:shd w:val="clear" w:color="000000" w:fill="DEEAF6"/>
            <w:vAlign w:val="center"/>
            <w:hideMark/>
          </w:tcPr>
          <w:p w14:paraId="1C3B8F59"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₡285 735 000,00 </w:t>
            </w:r>
          </w:p>
        </w:tc>
        <w:tc>
          <w:tcPr>
            <w:tcW w:w="663" w:type="pct"/>
            <w:shd w:val="clear" w:color="000000" w:fill="DEEAF6"/>
            <w:vAlign w:val="center"/>
            <w:hideMark/>
          </w:tcPr>
          <w:p w14:paraId="33F6F757"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175 395 000,00 </w:t>
            </w:r>
          </w:p>
        </w:tc>
        <w:tc>
          <w:tcPr>
            <w:tcW w:w="677" w:type="pct"/>
            <w:shd w:val="clear" w:color="000000" w:fill="DEEAF6"/>
            <w:vAlign w:val="center"/>
            <w:hideMark/>
          </w:tcPr>
          <w:p w14:paraId="247B8C5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461 130 000,00 </w:t>
            </w:r>
          </w:p>
        </w:tc>
      </w:tr>
    </w:tbl>
    <w:p w14:paraId="715C04D7" w14:textId="77777777" w:rsidR="00B15F7D" w:rsidRPr="00990FB6" w:rsidRDefault="00B15F7D" w:rsidP="00B15F7D">
      <w:pPr>
        <w:suppressAutoHyphens w:val="0"/>
        <w:ind w:left="-207"/>
        <w:contextualSpacing/>
        <w:jc w:val="both"/>
        <w:rPr>
          <w:rFonts w:eastAsia="Calibri"/>
          <w:sz w:val="22"/>
          <w:szCs w:val="22"/>
          <w:lang w:val="es-CR" w:eastAsia="en-US"/>
        </w:rPr>
      </w:pPr>
    </w:p>
    <w:p w14:paraId="723292C1" w14:textId="77777777" w:rsidR="00B15F7D" w:rsidRPr="00990FB6" w:rsidRDefault="00B15F7D" w:rsidP="00B15F7D">
      <w:pPr>
        <w:suppressAutoHyphens w:val="0"/>
        <w:ind w:left="-207"/>
        <w:contextualSpacing/>
        <w:jc w:val="both"/>
        <w:rPr>
          <w:rFonts w:eastAsia="Calibri"/>
          <w:sz w:val="22"/>
          <w:szCs w:val="22"/>
          <w:lang w:val="es-CR" w:eastAsia="en-US"/>
        </w:rPr>
      </w:pPr>
    </w:p>
    <w:p w14:paraId="1934F0A0"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Los costos variables totales por equipo de cómputo y mobiliario para este escenario ascienden a ₡19 411 530,00, distribuidos de la siguiente manera:</w:t>
      </w:r>
    </w:p>
    <w:p w14:paraId="1EFFDD01" w14:textId="77777777" w:rsidR="00B15F7D" w:rsidRPr="00990FB6" w:rsidRDefault="00B15F7D" w:rsidP="00B15F7D">
      <w:pPr>
        <w:suppressAutoHyphens w:val="0"/>
        <w:ind w:left="1560" w:right="851"/>
        <w:contextualSpacing/>
        <w:jc w:val="both"/>
        <w:rPr>
          <w:rFonts w:eastAsia="Calibri"/>
          <w:sz w:val="22"/>
          <w:szCs w:val="22"/>
          <w:lang w:val="es-CR"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6"/>
        <w:gridCol w:w="1335"/>
        <w:gridCol w:w="911"/>
        <w:gridCol w:w="1033"/>
        <w:gridCol w:w="1639"/>
        <w:gridCol w:w="1776"/>
        <w:gridCol w:w="698"/>
      </w:tblGrid>
      <w:tr w:rsidR="00B15F7D" w:rsidRPr="00990FB6" w14:paraId="1738CB0D" w14:textId="77777777" w:rsidTr="000A0C22">
        <w:trPr>
          <w:trHeight w:val="288"/>
        </w:trPr>
        <w:tc>
          <w:tcPr>
            <w:tcW w:w="1036" w:type="pct"/>
            <w:vMerge w:val="restart"/>
            <w:shd w:val="clear" w:color="000000" w:fill="305496"/>
            <w:vAlign w:val="center"/>
            <w:hideMark/>
          </w:tcPr>
          <w:p w14:paraId="58CE2FA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1202" w:type="pct"/>
            <w:vMerge w:val="restart"/>
            <w:shd w:val="clear" w:color="000000" w:fill="305496"/>
            <w:vAlign w:val="center"/>
            <w:hideMark/>
          </w:tcPr>
          <w:p w14:paraId="7906EDA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769" w:type="pct"/>
            <w:gridSpan w:val="2"/>
            <w:shd w:val="clear" w:color="000000" w:fill="5B9BD5"/>
            <w:noWrap/>
            <w:vAlign w:val="center"/>
            <w:hideMark/>
          </w:tcPr>
          <w:p w14:paraId="19D85DFD"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REQUERIMIENTO</w:t>
            </w:r>
          </w:p>
        </w:tc>
        <w:tc>
          <w:tcPr>
            <w:tcW w:w="1352" w:type="pct"/>
            <w:gridSpan w:val="2"/>
            <w:shd w:val="clear" w:color="000000" w:fill="5B9BD5"/>
            <w:noWrap/>
            <w:vAlign w:val="center"/>
            <w:hideMark/>
          </w:tcPr>
          <w:p w14:paraId="1C9A747A"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COSTOS DE GASTOS VARIABLES</w:t>
            </w:r>
          </w:p>
        </w:tc>
        <w:tc>
          <w:tcPr>
            <w:tcW w:w="641" w:type="pct"/>
            <w:shd w:val="clear" w:color="000000" w:fill="5B9BD5"/>
            <w:noWrap/>
            <w:vAlign w:val="center"/>
            <w:hideMark/>
          </w:tcPr>
          <w:p w14:paraId="6C731D52"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 </w:t>
            </w:r>
          </w:p>
        </w:tc>
      </w:tr>
      <w:tr w:rsidR="00B15F7D" w:rsidRPr="00990FB6" w14:paraId="4BB44C98" w14:textId="77777777" w:rsidTr="000A0C22">
        <w:trPr>
          <w:trHeight w:val="492"/>
        </w:trPr>
        <w:tc>
          <w:tcPr>
            <w:tcW w:w="1036" w:type="pct"/>
            <w:vMerge/>
            <w:vAlign w:val="center"/>
            <w:hideMark/>
          </w:tcPr>
          <w:p w14:paraId="78D279BA" w14:textId="77777777" w:rsidR="00B15F7D" w:rsidRPr="00990FB6" w:rsidRDefault="00B15F7D" w:rsidP="00B15F7D">
            <w:pPr>
              <w:suppressAutoHyphens w:val="0"/>
              <w:rPr>
                <w:b/>
                <w:bCs/>
                <w:color w:val="FFFFFF"/>
                <w:sz w:val="22"/>
                <w:szCs w:val="22"/>
                <w:lang w:val="es-CR" w:eastAsia="es-CR"/>
              </w:rPr>
            </w:pPr>
          </w:p>
        </w:tc>
        <w:tc>
          <w:tcPr>
            <w:tcW w:w="1202" w:type="pct"/>
            <w:vMerge/>
            <w:vAlign w:val="center"/>
            <w:hideMark/>
          </w:tcPr>
          <w:p w14:paraId="3D94C3C4" w14:textId="77777777" w:rsidR="00B15F7D" w:rsidRPr="00990FB6" w:rsidRDefault="00B15F7D" w:rsidP="00B15F7D">
            <w:pPr>
              <w:suppressAutoHyphens w:val="0"/>
              <w:rPr>
                <w:b/>
                <w:bCs/>
                <w:color w:val="FFFFFF"/>
                <w:sz w:val="22"/>
                <w:szCs w:val="22"/>
                <w:lang w:val="es-CR" w:eastAsia="es-CR"/>
              </w:rPr>
            </w:pPr>
          </w:p>
        </w:tc>
        <w:tc>
          <w:tcPr>
            <w:tcW w:w="360" w:type="pct"/>
            <w:shd w:val="clear" w:color="000000" w:fill="305496"/>
            <w:vAlign w:val="center"/>
            <w:hideMark/>
          </w:tcPr>
          <w:p w14:paraId="0F26FEF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 o Jueza 3</w:t>
            </w:r>
          </w:p>
        </w:tc>
        <w:tc>
          <w:tcPr>
            <w:tcW w:w="409" w:type="pct"/>
            <w:shd w:val="clear" w:color="000000" w:fill="305496"/>
            <w:vAlign w:val="center"/>
            <w:hideMark/>
          </w:tcPr>
          <w:p w14:paraId="660FE52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649" w:type="pct"/>
            <w:shd w:val="clear" w:color="000000" w:fill="305496"/>
            <w:vAlign w:val="center"/>
            <w:hideMark/>
          </w:tcPr>
          <w:p w14:paraId="0AD6F57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profesional</w:t>
            </w:r>
          </w:p>
        </w:tc>
        <w:tc>
          <w:tcPr>
            <w:tcW w:w="703" w:type="pct"/>
            <w:shd w:val="clear" w:color="000000" w:fill="305496"/>
            <w:vAlign w:val="center"/>
            <w:hideMark/>
          </w:tcPr>
          <w:p w14:paraId="7392B59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c>
          <w:tcPr>
            <w:tcW w:w="641" w:type="pct"/>
            <w:shd w:val="clear" w:color="000000" w:fill="305496"/>
            <w:vAlign w:val="center"/>
            <w:hideMark/>
          </w:tcPr>
          <w:p w14:paraId="5E4D048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026160D0" w14:textId="77777777" w:rsidTr="000A0C22">
        <w:trPr>
          <w:trHeight w:val="276"/>
        </w:trPr>
        <w:tc>
          <w:tcPr>
            <w:tcW w:w="1036" w:type="pct"/>
            <w:vMerge w:val="restart"/>
            <w:shd w:val="clear" w:color="000000" w:fill="FFFFFF"/>
            <w:vAlign w:val="center"/>
            <w:hideMark/>
          </w:tcPr>
          <w:p w14:paraId="5EEB45F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1202" w:type="pct"/>
            <w:shd w:val="clear" w:color="auto" w:fill="auto"/>
            <w:vAlign w:val="center"/>
            <w:hideMark/>
          </w:tcPr>
          <w:p w14:paraId="02E84AB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Puriscal</w:t>
            </w:r>
          </w:p>
        </w:tc>
        <w:tc>
          <w:tcPr>
            <w:tcW w:w="360" w:type="pct"/>
            <w:shd w:val="clear" w:color="000000" w:fill="FFFFFF"/>
            <w:vAlign w:val="center"/>
            <w:hideMark/>
          </w:tcPr>
          <w:p w14:paraId="2487C9A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084F6D0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vAlign w:val="center"/>
            <w:hideMark/>
          </w:tcPr>
          <w:p w14:paraId="6A1664D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vAlign w:val="center"/>
            <w:hideMark/>
          </w:tcPr>
          <w:p w14:paraId="7828120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641" w:type="pct"/>
            <w:shd w:val="clear" w:color="000000" w:fill="FFFFFF"/>
            <w:vAlign w:val="center"/>
            <w:hideMark/>
          </w:tcPr>
          <w:p w14:paraId="34497D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36F99247" w14:textId="77777777" w:rsidTr="000A0C22">
        <w:trPr>
          <w:trHeight w:val="276"/>
        </w:trPr>
        <w:tc>
          <w:tcPr>
            <w:tcW w:w="1036" w:type="pct"/>
            <w:vMerge/>
            <w:vAlign w:val="center"/>
            <w:hideMark/>
          </w:tcPr>
          <w:p w14:paraId="6CCBCAF3"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6135BFB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Santa Cruz</w:t>
            </w:r>
          </w:p>
        </w:tc>
        <w:tc>
          <w:tcPr>
            <w:tcW w:w="360" w:type="pct"/>
            <w:shd w:val="clear" w:color="000000" w:fill="FFFFFF"/>
            <w:vAlign w:val="center"/>
            <w:hideMark/>
          </w:tcPr>
          <w:p w14:paraId="6609C95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09" w:type="pct"/>
            <w:shd w:val="clear" w:color="000000" w:fill="FFFFFF"/>
            <w:vAlign w:val="center"/>
            <w:hideMark/>
          </w:tcPr>
          <w:p w14:paraId="207E0F5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49" w:type="pct"/>
            <w:shd w:val="clear" w:color="000000" w:fill="FFFFFF"/>
            <w:vAlign w:val="center"/>
            <w:hideMark/>
          </w:tcPr>
          <w:p w14:paraId="1F1F0BF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703" w:type="pct"/>
            <w:shd w:val="clear" w:color="000000" w:fill="FFFFFF"/>
            <w:hideMark/>
          </w:tcPr>
          <w:p w14:paraId="051AE5A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41" w:type="pct"/>
            <w:shd w:val="clear" w:color="000000" w:fill="FFFFFF"/>
            <w:vAlign w:val="center"/>
            <w:hideMark/>
          </w:tcPr>
          <w:p w14:paraId="73E86F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661AC44F" w14:textId="77777777" w:rsidTr="000A0C22">
        <w:trPr>
          <w:trHeight w:val="276"/>
        </w:trPr>
        <w:tc>
          <w:tcPr>
            <w:tcW w:w="1036" w:type="pct"/>
            <w:vMerge/>
            <w:vAlign w:val="center"/>
            <w:hideMark/>
          </w:tcPr>
          <w:p w14:paraId="1F6D8323"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474CAB4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Turrialba</w:t>
            </w:r>
          </w:p>
        </w:tc>
        <w:tc>
          <w:tcPr>
            <w:tcW w:w="360" w:type="pct"/>
            <w:shd w:val="clear" w:color="000000" w:fill="FFFFFF"/>
            <w:vAlign w:val="center"/>
            <w:hideMark/>
          </w:tcPr>
          <w:p w14:paraId="6353D3A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09" w:type="pct"/>
            <w:shd w:val="clear" w:color="000000" w:fill="FFFFFF"/>
            <w:vAlign w:val="center"/>
            <w:hideMark/>
          </w:tcPr>
          <w:p w14:paraId="21EAA59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49" w:type="pct"/>
            <w:shd w:val="clear" w:color="000000" w:fill="FFFFFF"/>
            <w:vAlign w:val="center"/>
            <w:hideMark/>
          </w:tcPr>
          <w:p w14:paraId="41DFBD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703" w:type="pct"/>
            <w:shd w:val="clear" w:color="000000" w:fill="FFFFFF"/>
            <w:hideMark/>
          </w:tcPr>
          <w:p w14:paraId="3F81CF9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41" w:type="pct"/>
            <w:shd w:val="clear" w:color="000000" w:fill="FFFFFF"/>
            <w:vAlign w:val="center"/>
            <w:hideMark/>
          </w:tcPr>
          <w:p w14:paraId="7205DDC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w:t>
            </w:r>
          </w:p>
        </w:tc>
      </w:tr>
      <w:tr w:rsidR="00B15F7D" w:rsidRPr="00990FB6" w14:paraId="05629DCF" w14:textId="77777777" w:rsidTr="000A0C22">
        <w:trPr>
          <w:trHeight w:val="276"/>
        </w:trPr>
        <w:tc>
          <w:tcPr>
            <w:tcW w:w="1036" w:type="pct"/>
            <w:vMerge/>
            <w:vAlign w:val="center"/>
            <w:hideMark/>
          </w:tcPr>
          <w:p w14:paraId="2BE9E570"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4713D24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Garabito</w:t>
            </w:r>
          </w:p>
        </w:tc>
        <w:tc>
          <w:tcPr>
            <w:tcW w:w="360" w:type="pct"/>
            <w:shd w:val="clear" w:color="000000" w:fill="FFFFFF"/>
            <w:vAlign w:val="center"/>
            <w:hideMark/>
          </w:tcPr>
          <w:p w14:paraId="5E75D5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699C44B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hideMark/>
          </w:tcPr>
          <w:p w14:paraId="2B0581C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hideMark/>
          </w:tcPr>
          <w:p w14:paraId="0D5103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vAlign w:val="center"/>
            <w:hideMark/>
          </w:tcPr>
          <w:p w14:paraId="78057B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1 058 920,00</w:t>
            </w:r>
          </w:p>
        </w:tc>
      </w:tr>
      <w:tr w:rsidR="00B15F7D" w:rsidRPr="00990FB6" w14:paraId="5BF844D2" w14:textId="77777777" w:rsidTr="000A0C22">
        <w:trPr>
          <w:trHeight w:val="276"/>
        </w:trPr>
        <w:tc>
          <w:tcPr>
            <w:tcW w:w="1036" w:type="pct"/>
            <w:vMerge/>
            <w:vAlign w:val="center"/>
            <w:hideMark/>
          </w:tcPr>
          <w:p w14:paraId="334CB4CA" w14:textId="77777777" w:rsidR="00B15F7D" w:rsidRPr="00990FB6" w:rsidRDefault="00B15F7D" w:rsidP="00B15F7D">
            <w:pPr>
              <w:suppressAutoHyphens w:val="0"/>
              <w:rPr>
                <w:b/>
                <w:bCs/>
                <w:color w:val="000000"/>
                <w:sz w:val="22"/>
                <w:szCs w:val="22"/>
                <w:lang w:val="es-CR" w:eastAsia="es-CR"/>
              </w:rPr>
            </w:pPr>
          </w:p>
        </w:tc>
        <w:tc>
          <w:tcPr>
            <w:tcW w:w="1202" w:type="pct"/>
            <w:shd w:val="clear" w:color="000000" w:fill="FFFFFF"/>
            <w:vAlign w:val="center"/>
            <w:hideMark/>
          </w:tcPr>
          <w:p w14:paraId="20C071C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Guápiles</w:t>
            </w:r>
          </w:p>
        </w:tc>
        <w:tc>
          <w:tcPr>
            <w:tcW w:w="360" w:type="pct"/>
            <w:shd w:val="clear" w:color="000000" w:fill="FFFFFF"/>
            <w:vAlign w:val="center"/>
            <w:hideMark/>
          </w:tcPr>
          <w:p w14:paraId="11D9318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544D49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hideMark/>
          </w:tcPr>
          <w:p w14:paraId="33FA54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hideMark/>
          </w:tcPr>
          <w:p w14:paraId="25875A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vAlign w:val="center"/>
            <w:hideMark/>
          </w:tcPr>
          <w:p w14:paraId="549E67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1 058 920,00</w:t>
            </w:r>
          </w:p>
        </w:tc>
      </w:tr>
      <w:tr w:rsidR="00B15F7D" w:rsidRPr="00990FB6" w14:paraId="609D8199" w14:textId="77777777" w:rsidTr="000A0C22">
        <w:trPr>
          <w:trHeight w:val="276"/>
        </w:trPr>
        <w:tc>
          <w:tcPr>
            <w:tcW w:w="1036" w:type="pct"/>
            <w:vMerge/>
            <w:vAlign w:val="center"/>
            <w:hideMark/>
          </w:tcPr>
          <w:p w14:paraId="5E7524FF" w14:textId="77777777" w:rsidR="00B15F7D" w:rsidRPr="00990FB6" w:rsidRDefault="00B15F7D" w:rsidP="00B15F7D">
            <w:pPr>
              <w:suppressAutoHyphens w:val="0"/>
              <w:rPr>
                <w:b/>
                <w:bCs/>
                <w:color w:val="000000"/>
                <w:sz w:val="22"/>
                <w:szCs w:val="22"/>
                <w:lang w:val="es-CR" w:eastAsia="es-CR"/>
              </w:rPr>
            </w:pPr>
          </w:p>
        </w:tc>
        <w:tc>
          <w:tcPr>
            <w:tcW w:w="1202" w:type="pct"/>
            <w:shd w:val="clear" w:color="000000" w:fill="FFFFFF"/>
            <w:vAlign w:val="center"/>
            <w:hideMark/>
          </w:tcPr>
          <w:p w14:paraId="4F193C6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Pavas</w:t>
            </w:r>
          </w:p>
        </w:tc>
        <w:tc>
          <w:tcPr>
            <w:tcW w:w="360" w:type="pct"/>
            <w:shd w:val="clear" w:color="000000" w:fill="FFFFFF"/>
            <w:vAlign w:val="center"/>
            <w:hideMark/>
          </w:tcPr>
          <w:p w14:paraId="162E24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09" w:type="pct"/>
            <w:shd w:val="clear" w:color="000000" w:fill="FFFFFF"/>
            <w:vAlign w:val="center"/>
            <w:hideMark/>
          </w:tcPr>
          <w:p w14:paraId="034435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vAlign w:val="center"/>
            <w:hideMark/>
          </w:tcPr>
          <w:p w14:paraId="6AD032A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1 552 682,00</w:t>
            </w:r>
          </w:p>
        </w:tc>
        <w:tc>
          <w:tcPr>
            <w:tcW w:w="703" w:type="pct"/>
            <w:shd w:val="clear" w:color="000000" w:fill="FFFFFF"/>
            <w:hideMark/>
          </w:tcPr>
          <w:p w14:paraId="50348B0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vAlign w:val="center"/>
            <w:hideMark/>
          </w:tcPr>
          <w:p w14:paraId="0AC5C8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2 611 602,00 </w:t>
            </w:r>
          </w:p>
        </w:tc>
      </w:tr>
      <w:tr w:rsidR="00B15F7D" w:rsidRPr="00990FB6" w14:paraId="02DD91E2" w14:textId="77777777" w:rsidTr="000A0C22">
        <w:trPr>
          <w:trHeight w:val="276"/>
        </w:trPr>
        <w:tc>
          <w:tcPr>
            <w:tcW w:w="1036" w:type="pct"/>
            <w:vMerge/>
            <w:vAlign w:val="center"/>
            <w:hideMark/>
          </w:tcPr>
          <w:p w14:paraId="1581B236"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2B9E7D1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Coto Brus</w:t>
            </w:r>
          </w:p>
        </w:tc>
        <w:tc>
          <w:tcPr>
            <w:tcW w:w="360" w:type="pct"/>
            <w:shd w:val="clear" w:color="000000" w:fill="FFFFFF"/>
            <w:vAlign w:val="center"/>
            <w:hideMark/>
          </w:tcPr>
          <w:p w14:paraId="7A327D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7E07770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hideMark/>
          </w:tcPr>
          <w:p w14:paraId="7F6DCAC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hideMark/>
          </w:tcPr>
          <w:p w14:paraId="320893D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vAlign w:val="center"/>
            <w:hideMark/>
          </w:tcPr>
          <w:p w14:paraId="0E1CD32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1 058 920,00</w:t>
            </w:r>
          </w:p>
        </w:tc>
      </w:tr>
      <w:tr w:rsidR="00B15F7D" w:rsidRPr="00990FB6" w14:paraId="724F6E56" w14:textId="77777777" w:rsidTr="000A0C22">
        <w:trPr>
          <w:trHeight w:val="276"/>
        </w:trPr>
        <w:tc>
          <w:tcPr>
            <w:tcW w:w="1036" w:type="pct"/>
            <w:vMerge/>
            <w:vAlign w:val="center"/>
            <w:hideMark/>
          </w:tcPr>
          <w:p w14:paraId="0932313E"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6597DC7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Buenos Aires</w:t>
            </w:r>
          </w:p>
        </w:tc>
        <w:tc>
          <w:tcPr>
            <w:tcW w:w="360" w:type="pct"/>
            <w:shd w:val="clear" w:color="000000" w:fill="FFFFFF"/>
            <w:vAlign w:val="center"/>
            <w:hideMark/>
          </w:tcPr>
          <w:p w14:paraId="0DF1698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016A6CB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hideMark/>
          </w:tcPr>
          <w:p w14:paraId="6AD84D1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hideMark/>
          </w:tcPr>
          <w:p w14:paraId="07124B3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vAlign w:val="center"/>
            <w:hideMark/>
          </w:tcPr>
          <w:p w14:paraId="63DB62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w:t>
            </w:r>
          </w:p>
        </w:tc>
      </w:tr>
      <w:tr w:rsidR="00B15F7D" w:rsidRPr="00990FB6" w14:paraId="281BC397" w14:textId="77777777" w:rsidTr="000A0C22">
        <w:trPr>
          <w:trHeight w:val="276"/>
        </w:trPr>
        <w:tc>
          <w:tcPr>
            <w:tcW w:w="1036" w:type="pct"/>
            <w:vMerge/>
            <w:vAlign w:val="center"/>
            <w:hideMark/>
          </w:tcPr>
          <w:p w14:paraId="6C48D2D9"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40CDC78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La Fortuna</w:t>
            </w:r>
          </w:p>
        </w:tc>
        <w:tc>
          <w:tcPr>
            <w:tcW w:w="360" w:type="pct"/>
            <w:shd w:val="clear" w:color="000000" w:fill="FFFFFF"/>
            <w:vAlign w:val="center"/>
            <w:hideMark/>
          </w:tcPr>
          <w:p w14:paraId="316CEA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3A7E42B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hideMark/>
          </w:tcPr>
          <w:p w14:paraId="18D3646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hideMark/>
          </w:tcPr>
          <w:p w14:paraId="00BF235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hideMark/>
          </w:tcPr>
          <w:p w14:paraId="3FBBF11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1 058 920,00</w:t>
            </w:r>
          </w:p>
        </w:tc>
      </w:tr>
      <w:tr w:rsidR="00B15F7D" w:rsidRPr="00990FB6" w14:paraId="3044F0EF" w14:textId="77777777" w:rsidTr="000A0C22">
        <w:trPr>
          <w:trHeight w:val="276"/>
        </w:trPr>
        <w:tc>
          <w:tcPr>
            <w:tcW w:w="1036" w:type="pct"/>
            <w:vMerge/>
            <w:vAlign w:val="center"/>
            <w:hideMark/>
          </w:tcPr>
          <w:p w14:paraId="4C2B2F74"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2FC8467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Los Chiles</w:t>
            </w:r>
          </w:p>
        </w:tc>
        <w:tc>
          <w:tcPr>
            <w:tcW w:w="360" w:type="pct"/>
            <w:shd w:val="clear" w:color="000000" w:fill="FFFFFF"/>
            <w:vAlign w:val="center"/>
            <w:hideMark/>
          </w:tcPr>
          <w:p w14:paraId="3143139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7553B76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hideMark/>
          </w:tcPr>
          <w:p w14:paraId="27B0276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hideMark/>
          </w:tcPr>
          <w:p w14:paraId="2BE3DE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hideMark/>
          </w:tcPr>
          <w:p w14:paraId="5FE35BC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1 058 920,00</w:t>
            </w:r>
          </w:p>
        </w:tc>
      </w:tr>
      <w:tr w:rsidR="00B15F7D" w:rsidRPr="00990FB6" w14:paraId="4887A7A6" w14:textId="77777777" w:rsidTr="000A0C22">
        <w:trPr>
          <w:trHeight w:val="276"/>
        </w:trPr>
        <w:tc>
          <w:tcPr>
            <w:tcW w:w="1036" w:type="pct"/>
            <w:vMerge/>
            <w:vAlign w:val="center"/>
            <w:hideMark/>
          </w:tcPr>
          <w:p w14:paraId="5FDBBC2A" w14:textId="77777777" w:rsidR="00B15F7D" w:rsidRPr="00990FB6" w:rsidRDefault="00B15F7D" w:rsidP="00B15F7D">
            <w:pPr>
              <w:suppressAutoHyphens w:val="0"/>
              <w:rPr>
                <w:b/>
                <w:bCs/>
                <w:color w:val="000000"/>
                <w:sz w:val="22"/>
                <w:szCs w:val="22"/>
                <w:lang w:val="es-CR" w:eastAsia="es-CR"/>
              </w:rPr>
            </w:pPr>
          </w:p>
        </w:tc>
        <w:tc>
          <w:tcPr>
            <w:tcW w:w="1202" w:type="pct"/>
            <w:shd w:val="clear" w:color="000000" w:fill="FFFFFF"/>
            <w:vAlign w:val="center"/>
            <w:hideMark/>
          </w:tcPr>
          <w:p w14:paraId="0BCE921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Cartago</w:t>
            </w:r>
          </w:p>
        </w:tc>
        <w:tc>
          <w:tcPr>
            <w:tcW w:w="360" w:type="pct"/>
            <w:shd w:val="clear" w:color="000000" w:fill="FFFFFF"/>
            <w:vAlign w:val="center"/>
            <w:hideMark/>
          </w:tcPr>
          <w:p w14:paraId="0EC664D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09" w:type="pct"/>
            <w:shd w:val="clear" w:color="000000" w:fill="FFFFFF"/>
            <w:vAlign w:val="center"/>
            <w:hideMark/>
          </w:tcPr>
          <w:p w14:paraId="6C17CE6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49" w:type="pct"/>
            <w:shd w:val="clear" w:color="000000" w:fill="FFFFFF"/>
            <w:vAlign w:val="center"/>
            <w:hideMark/>
          </w:tcPr>
          <w:p w14:paraId="6855D24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w:t>
            </w:r>
          </w:p>
        </w:tc>
        <w:tc>
          <w:tcPr>
            <w:tcW w:w="703" w:type="pct"/>
            <w:shd w:val="clear" w:color="000000" w:fill="FFFFFF"/>
            <w:vAlign w:val="center"/>
            <w:hideMark/>
          </w:tcPr>
          <w:p w14:paraId="3F71DD7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41" w:type="pct"/>
            <w:shd w:val="clear" w:color="000000" w:fill="FFFFFF"/>
            <w:vAlign w:val="center"/>
            <w:hideMark/>
          </w:tcPr>
          <w:p w14:paraId="0E4A03F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1151250F" w14:textId="77777777" w:rsidTr="000A0C22">
        <w:trPr>
          <w:trHeight w:val="276"/>
        </w:trPr>
        <w:tc>
          <w:tcPr>
            <w:tcW w:w="1036" w:type="pct"/>
            <w:vMerge/>
            <w:vAlign w:val="center"/>
            <w:hideMark/>
          </w:tcPr>
          <w:p w14:paraId="173761A0" w14:textId="77777777" w:rsidR="00B15F7D" w:rsidRPr="00990FB6" w:rsidRDefault="00B15F7D" w:rsidP="00B15F7D">
            <w:pPr>
              <w:suppressAutoHyphens w:val="0"/>
              <w:rPr>
                <w:b/>
                <w:bCs/>
                <w:color w:val="000000"/>
                <w:sz w:val="22"/>
                <w:szCs w:val="22"/>
                <w:lang w:val="es-CR" w:eastAsia="es-CR"/>
              </w:rPr>
            </w:pPr>
          </w:p>
        </w:tc>
        <w:tc>
          <w:tcPr>
            <w:tcW w:w="1202" w:type="pct"/>
            <w:shd w:val="clear" w:color="000000" w:fill="FFFFFF"/>
            <w:vAlign w:val="center"/>
            <w:hideMark/>
          </w:tcPr>
          <w:p w14:paraId="42A8F43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Atenas</w:t>
            </w:r>
          </w:p>
        </w:tc>
        <w:tc>
          <w:tcPr>
            <w:tcW w:w="360" w:type="pct"/>
            <w:shd w:val="clear" w:color="000000" w:fill="FFFFFF"/>
            <w:vAlign w:val="center"/>
            <w:hideMark/>
          </w:tcPr>
          <w:p w14:paraId="66ACD71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0FC363C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49" w:type="pct"/>
            <w:shd w:val="clear" w:color="000000" w:fill="FFFFFF"/>
            <w:hideMark/>
          </w:tcPr>
          <w:p w14:paraId="55D83A9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703" w:type="pct"/>
            <w:shd w:val="clear" w:color="000000" w:fill="FFFFFF"/>
            <w:hideMark/>
          </w:tcPr>
          <w:p w14:paraId="634B7BA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1 058 920,00 </w:t>
            </w:r>
          </w:p>
        </w:tc>
        <w:tc>
          <w:tcPr>
            <w:tcW w:w="641" w:type="pct"/>
            <w:shd w:val="clear" w:color="000000" w:fill="FFFFFF"/>
            <w:vAlign w:val="center"/>
            <w:hideMark/>
          </w:tcPr>
          <w:p w14:paraId="61D3B1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w:t>
            </w:r>
          </w:p>
        </w:tc>
      </w:tr>
      <w:tr w:rsidR="00B15F7D" w:rsidRPr="00990FB6" w14:paraId="51C5465F" w14:textId="77777777" w:rsidTr="000A0C22">
        <w:trPr>
          <w:trHeight w:val="276"/>
        </w:trPr>
        <w:tc>
          <w:tcPr>
            <w:tcW w:w="1036" w:type="pct"/>
            <w:vMerge/>
            <w:vAlign w:val="center"/>
            <w:hideMark/>
          </w:tcPr>
          <w:p w14:paraId="71076831"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4435256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Desamparados</w:t>
            </w:r>
          </w:p>
        </w:tc>
        <w:tc>
          <w:tcPr>
            <w:tcW w:w="360" w:type="pct"/>
            <w:shd w:val="clear" w:color="000000" w:fill="FFFFFF"/>
            <w:vAlign w:val="center"/>
            <w:hideMark/>
          </w:tcPr>
          <w:p w14:paraId="45E88EC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09" w:type="pct"/>
            <w:shd w:val="clear" w:color="000000" w:fill="FFFFFF"/>
            <w:vAlign w:val="center"/>
            <w:hideMark/>
          </w:tcPr>
          <w:p w14:paraId="05BB12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49" w:type="pct"/>
            <w:shd w:val="clear" w:color="000000" w:fill="FFFFFF"/>
            <w:vAlign w:val="center"/>
            <w:hideMark/>
          </w:tcPr>
          <w:p w14:paraId="74C79C1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1 552 682,00</w:t>
            </w:r>
          </w:p>
        </w:tc>
        <w:tc>
          <w:tcPr>
            <w:tcW w:w="703" w:type="pct"/>
            <w:shd w:val="clear" w:color="000000" w:fill="FFFFFF"/>
            <w:vAlign w:val="center"/>
            <w:hideMark/>
          </w:tcPr>
          <w:p w14:paraId="28BCB94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41" w:type="pct"/>
            <w:shd w:val="clear" w:color="000000" w:fill="FFFFFF"/>
            <w:vAlign w:val="center"/>
            <w:hideMark/>
          </w:tcPr>
          <w:p w14:paraId="6B1CFA9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4C0B9FC2" w14:textId="77777777" w:rsidTr="000A0C22">
        <w:trPr>
          <w:trHeight w:val="276"/>
        </w:trPr>
        <w:tc>
          <w:tcPr>
            <w:tcW w:w="1036" w:type="pct"/>
            <w:vMerge/>
            <w:vAlign w:val="center"/>
            <w:hideMark/>
          </w:tcPr>
          <w:p w14:paraId="18297F42" w14:textId="77777777" w:rsidR="00B15F7D" w:rsidRPr="00990FB6" w:rsidRDefault="00B15F7D" w:rsidP="00B15F7D">
            <w:pPr>
              <w:suppressAutoHyphens w:val="0"/>
              <w:rPr>
                <w:b/>
                <w:bCs/>
                <w:color w:val="000000"/>
                <w:sz w:val="22"/>
                <w:szCs w:val="22"/>
                <w:lang w:val="es-CR" w:eastAsia="es-CR"/>
              </w:rPr>
            </w:pPr>
          </w:p>
        </w:tc>
        <w:tc>
          <w:tcPr>
            <w:tcW w:w="1202" w:type="pct"/>
            <w:shd w:val="clear" w:color="auto" w:fill="auto"/>
            <w:vAlign w:val="center"/>
            <w:hideMark/>
          </w:tcPr>
          <w:p w14:paraId="0B03CB2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Goicoechea</w:t>
            </w:r>
          </w:p>
        </w:tc>
        <w:tc>
          <w:tcPr>
            <w:tcW w:w="360" w:type="pct"/>
            <w:shd w:val="clear" w:color="000000" w:fill="FFFFFF"/>
            <w:vAlign w:val="center"/>
            <w:hideMark/>
          </w:tcPr>
          <w:p w14:paraId="2B95C8F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09" w:type="pct"/>
            <w:shd w:val="clear" w:color="000000" w:fill="FFFFFF"/>
            <w:vAlign w:val="center"/>
            <w:hideMark/>
          </w:tcPr>
          <w:p w14:paraId="2C4BD3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49" w:type="pct"/>
            <w:shd w:val="clear" w:color="000000" w:fill="FFFFFF"/>
            <w:vAlign w:val="center"/>
            <w:hideMark/>
          </w:tcPr>
          <w:p w14:paraId="74005D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703" w:type="pct"/>
            <w:shd w:val="clear" w:color="000000" w:fill="FFFFFF"/>
            <w:vAlign w:val="center"/>
            <w:hideMark/>
          </w:tcPr>
          <w:p w14:paraId="4CFFCEB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641" w:type="pct"/>
            <w:shd w:val="clear" w:color="000000" w:fill="FFFFFF"/>
            <w:vAlign w:val="center"/>
            <w:hideMark/>
          </w:tcPr>
          <w:p w14:paraId="0CA90A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r>
      <w:tr w:rsidR="00B15F7D" w:rsidRPr="00990FB6" w14:paraId="0973E085" w14:textId="77777777" w:rsidTr="000A0C22">
        <w:trPr>
          <w:trHeight w:val="288"/>
        </w:trPr>
        <w:tc>
          <w:tcPr>
            <w:tcW w:w="1036" w:type="pct"/>
            <w:vMerge/>
            <w:vAlign w:val="center"/>
            <w:hideMark/>
          </w:tcPr>
          <w:p w14:paraId="74FCBA8D" w14:textId="77777777" w:rsidR="00B15F7D" w:rsidRPr="00990FB6" w:rsidRDefault="00B15F7D" w:rsidP="00B15F7D">
            <w:pPr>
              <w:suppressAutoHyphens w:val="0"/>
              <w:rPr>
                <w:b/>
                <w:bCs/>
                <w:color w:val="000000"/>
                <w:sz w:val="22"/>
                <w:szCs w:val="22"/>
                <w:lang w:val="es-CR" w:eastAsia="es-CR"/>
              </w:rPr>
            </w:pPr>
          </w:p>
        </w:tc>
        <w:tc>
          <w:tcPr>
            <w:tcW w:w="1202" w:type="pct"/>
            <w:shd w:val="clear" w:color="000000" w:fill="DEEAF6"/>
            <w:vAlign w:val="center"/>
            <w:hideMark/>
          </w:tcPr>
          <w:p w14:paraId="1E8DB4B3"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360" w:type="pct"/>
            <w:shd w:val="clear" w:color="000000" w:fill="DEEAF6"/>
            <w:vAlign w:val="center"/>
            <w:hideMark/>
          </w:tcPr>
          <w:p w14:paraId="3D5A0C1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5</w:t>
            </w:r>
          </w:p>
        </w:tc>
        <w:tc>
          <w:tcPr>
            <w:tcW w:w="409" w:type="pct"/>
            <w:shd w:val="clear" w:color="000000" w:fill="DEEAF6"/>
            <w:vAlign w:val="center"/>
            <w:hideMark/>
          </w:tcPr>
          <w:p w14:paraId="428DEE99"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11</w:t>
            </w:r>
          </w:p>
        </w:tc>
        <w:tc>
          <w:tcPr>
            <w:tcW w:w="649" w:type="pct"/>
            <w:shd w:val="clear" w:color="000000" w:fill="DEEAF6"/>
            <w:vAlign w:val="center"/>
            <w:hideMark/>
          </w:tcPr>
          <w:p w14:paraId="5A07382D"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7 763 410,00 </w:t>
            </w:r>
          </w:p>
        </w:tc>
        <w:tc>
          <w:tcPr>
            <w:tcW w:w="703" w:type="pct"/>
            <w:shd w:val="clear" w:color="000000" w:fill="DEEAF6"/>
            <w:vAlign w:val="center"/>
            <w:hideMark/>
          </w:tcPr>
          <w:p w14:paraId="6202F2F5"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11 648 120,00 </w:t>
            </w:r>
          </w:p>
        </w:tc>
        <w:tc>
          <w:tcPr>
            <w:tcW w:w="641" w:type="pct"/>
            <w:shd w:val="clear" w:color="000000" w:fill="DEEAF6"/>
            <w:vAlign w:val="center"/>
            <w:hideMark/>
          </w:tcPr>
          <w:p w14:paraId="262F8E54"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19 411 530,00 </w:t>
            </w:r>
          </w:p>
        </w:tc>
      </w:tr>
    </w:tbl>
    <w:p w14:paraId="3D79040A" w14:textId="77777777" w:rsidR="00B15F7D" w:rsidRPr="00990FB6" w:rsidRDefault="00B15F7D" w:rsidP="00B15F7D">
      <w:pPr>
        <w:suppressAutoHyphens w:val="0"/>
        <w:contextualSpacing/>
        <w:jc w:val="both"/>
        <w:rPr>
          <w:rFonts w:eastAsia="Calibri"/>
          <w:sz w:val="22"/>
          <w:szCs w:val="22"/>
          <w:lang w:val="es-CR" w:eastAsia="en-US"/>
        </w:rPr>
      </w:pPr>
    </w:p>
    <w:p w14:paraId="669CD689"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juzgados penales se estima es ¢ 461 130 000.00 y los costos variables asociados en ¢19 411 530.00.</w:t>
      </w:r>
    </w:p>
    <w:p w14:paraId="29DF3CFB"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43342A5" w14:textId="77777777" w:rsidR="00B15F7D" w:rsidRPr="00990FB6" w:rsidRDefault="00B15F7D" w:rsidP="00B15F7D">
      <w:pPr>
        <w:numPr>
          <w:ilvl w:val="1"/>
          <w:numId w:val="134"/>
        </w:numPr>
        <w:suppressAutoHyphens w:val="0"/>
        <w:ind w:left="851" w:right="851" w:firstLine="709"/>
        <w:contextualSpacing/>
        <w:jc w:val="both"/>
        <w:rPr>
          <w:rFonts w:eastAsia="Calibri"/>
          <w:sz w:val="22"/>
          <w:szCs w:val="22"/>
          <w:u w:val="single"/>
          <w:lang w:val="es-CR" w:eastAsia="en-US"/>
        </w:rPr>
      </w:pPr>
      <w:r w:rsidRPr="00990FB6">
        <w:rPr>
          <w:rFonts w:eastAsia="Calibri"/>
          <w:sz w:val="22"/>
          <w:szCs w:val="22"/>
          <w:u w:val="single"/>
          <w:lang w:val="es-CR" w:eastAsia="en-US"/>
        </w:rPr>
        <w:t>Tribunales Penales</w:t>
      </w:r>
    </w:p>
    <w:p w14:paraId="6D90AF7F"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2A98934"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Seguidamente se detallan las plazas nuevas de forma ordinaria que se recomienda crear para los Tribunales Penales:</w:t>
      </w:r>
    </w:p>
    <w:p w14:paraId="1D0189A7"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tbl>
      <w:tblPr>
        <w:tblW w:w="5548" w:type="pct"/>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5"/>
        <w:gridCol w:w="1973"/>
        <w:gridCol w:w="619"/>
        <w:gridCol w:w="543"/>
        <w:gridCol w:w="817"/>
        <w:gridCol w:w="1223"/>
        <w:gridCol w:w="1085"/>
        <w:gridCol w:w="141"/>
        <w:gridCol w:w="1085"/>
        <w:gridCol w:w="1225"/>
      </w:tblGrid>
      <w:tr w:rsidR="00B15F7D" w:rsidRPr="00990FB6" w14:paraId="13958146" w14:textId="77777777" w:rsidTr="000A0C22">
        <w:trPr>
          <w:trHeight w:val="300"/>
        </w:trPr>
        <w:tc>
          <w:tcPr>
            <w:tcW w:w="554" w:type="pct"/>
            <w:vMerge w:val="restart"/>
            <w:shd w:val="clear" w:color="000000" w:fill="305496"/>
            <w:vAlign w:val="center"/>
            <w:hideMark/>
          </w:tcPr>
          <w:p w14:paraId="5F0A858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1007" w:type="pct"/>
            <w:vMerge w:val="restart"/>
            <w:shd w:val="clear" w:color="000000" w:fill="305496"/>
            <w:vAlign w:val="center"/>
            <w:hideMark/>
          </w:tcPr>
          <w:p w14:paraId="31B0D51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010" w:type="pct"/>
            <w:gridSpan w:val="3"/>
            <w:shd w:val="clear" w:color="000000" w:fill="5B9BD5"/>
            <w:noWrap/>
            <w:vAlign w:val="center"/>
            <w:hideMark/>
          </w:tcPr>
          <w:p w14:paraId="67ECDAA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2429" w:type="pct"/>
            <w:gridSpan w:val="5"/>
            <w:shd w:val="clear" w:color="000000" w:fill="5B9BD5"/>
            <w:noWrap/>
            <w:vAlign w:val="center"/>
            <w:hideMark/>
          </w:tcPr>
          <w:p w14:paraId="048C409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08597B28" w14:textId="77777777" w:rsidTr="000A0C22">
        <w:trPr>
          <w:trHeight w:val="490"/>
        </w:trPr>
        <w:tc>
          <w:tcPr>
            <w:tcW w:w="554" w:type="pct"/>
            <w:vMerge/>
            <w:vAlign w:val="center"/>
            <w:hideMark/>
          </w:tcPr>
          <w:p w14:paraId="698D0D4E" w14:textId="77777777" w:rsidR="00B15F7D" w:rsidRPr="00990FB6" w:rsidRDefault="00B15F7D" w:rsidP="00B15F7D">
            <w:pPr>
              <w:suppressAutoHyphens w:val="0"/>
              <w:rPr>
                <w:b/>
                <w:bCs/>
                <w:color w:val="FFFFFF"/>
                <w:sz w:val="22"/>
                <w:szCs w:val="22"/>
                <w:lang w:val="es-CR" w:eastAsia="es-CR"/>
              </w:rPr>
            </w:pPr>
          </w:p>
        </w:tc>
        <w:tc>
          <w:tcPr>
            <w:tcW w:w="1007" w:type="pct"/>
            <w:vMerge/>
            <w:vAlign w:val="center"/>
            <w:hideMark/>
          </w:tcPr>
          <w:p w14:paraId="63444FFC" w14:textId="77777777" w:rsidR="00B15F7D" w:rsidRPr="00990FB6" w:rsidRDefault="00B15F7D" w:rsidP="00B15F7D">
            <w:pPr>
              <w:suppressAutoHyphens w:val="0"/>
              <w:rPr>
                <w:b/>
                <w:bCs/>
                <w:color w:val="FFFFFF"/>
                <w:sz w:val="22"/>
                <w:szCs w:val="22"/>
                <w:lang w:val="es-CR" w:eastAsia="es-CR"/>
              </w:rPr>
            </w:pPr>
          </w:p>
        </w:tc>
        <w:tc>
          <w:tcPr>
            <w:tcW w:w="316" w:type="pct"/>
            <w:shd w:val="clear" w:color="000000" w:fill="305496"/>
            <w:vAlign w:val="center"/>
            <w:hideMark/>
          </w:tcPr>
          <w:p w14:paraId="4EBD70E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4</w:t>
            </w:r>
          </w:p>
        </w:tc>
        <w:tc>
          <w:tcPr>
            <w:tcW w:w="277" w:type="pct"/>
            <w:shd w:val="clear" w:color="000000" w:fill="305496"/>
            <w:vAlign w:val="center"/>
            <w:hideMark/>
          </w:tcPr>
          <w:p w14:paraId="54A13F8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417" w:type="pct"/>
            <w:shd w:val="clear" w:color="000000" w:fill="305496"/>
            <w:vAlign w:val="center"/>
            <w:hideMark/>
          </w:tcPr>
          <w:p w14:paraId="490E462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624" w:type="pct"/>
            <w:shd w:val="clear" w:color="000000" w:fill="305496"/>
            <w:vAlign w:val="center"/>
            <w:hideMark/>
          </w:tcPr>
          <w:p w14:paraId="43A61D8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juez o jueza 4</w:t>
            </w:r>
          </w:p>
        </w:tc>
        <w:tc>
          <w:tcPr>
            <w:tcW w:w="626" w:type="pct"/>
            <w:gridSpan w:val="2"/>
            <w:shd w:val="clear" w:color="000000" w:fill="305496"/>
            <w:vAlign w:val="center"/>
            <w:hideMark/>
          </w:tcPr>
          <w:p w14:paraId="56C7E2A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553" w:type="pct"/>
            <w:shd w:val="clear" w:color="000000" w:fill="305496"/>
            <w:vAlign w:val="center"/>
            <w:hideMark/>
          </w:tcPr>
          <w:p w14:paraId="4D4F820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625" w:type="pct"/>
            <w:shd w:val="clear" w:color="000000" w:fill="305496"/>
            <w:vAlign w:val="center"/>
            <w:hideMark/>
          </w:tcPr>
          <w:p w14:paraId="7E3D14F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698465E0" w14:textId="77777777" w:rsidTr="000A0C22">
        <w:trPr>
          <w:trHeight w:val="300"/>
        </w:trPr>
        <w:tc>
          <w:tcPr>
            <w:tcW w:w="554" w:type="pct"/>
            <w:vMerge w:val="restart"/>
            <w:shd w:val="clear" w:color="000000" w:fill="FFFFFF"/>
            <w:vAlign w:val="center"/>
            <w:hideMark/>
          </w:tcPr>
          <w:p w14:paraId="6BD66F17"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1007" w:type="pct"/>
            <w:shd w:val="clear" w:color="auto" w:fill="auto"/>
            <w:vAlign w:val="center"/>
            <w:hideMark/>
          </w:tcPr>
          <w:p w14:paraId="1C70C31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316" w:type="pct"/>
            <w:shd w:val="clear" w:color="auto" w:fill="auto"/>
            <w:vAlign w:val="center"/>
            <w:hideMark/>
          </w:tcPr>
          <w:p w14:paraId="2CF8F5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7" w:type="pct"/>
            <w:shd w:val="clear" w:color="auto" w:fill="auto"/>
            <w:vAlign w:val="center"/>
            <w:hideMark/>
          </w:tcPr>
          <w:p w14:paraId="65DD568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hideMark/>
          </w:tcPr>
          <w:p w14:paraId="774C4C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000000" w:fill="FFFFFF"/>
            <w:vAlign w:val="center"/>
            <w:hideMark/>
          </w:tcPr>
          <w:p w14:paraId="451EFEA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626" w:type="pct"/>
            <w:gridSpan w:val="2"/>
            <w:shd w:val="clear" w:color="000000" w:fill="FFFFFF"/>
          </w:tcPr>
          <w:p w14:paraId="511CED3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5DC543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33 352 000,00</w:t>
            </w:r>
          </w:p>
        </w:tc>
        <w:tc>
          <w:tcPr>
            <w:tcW w:w="625" w:type="pct"/>
            <w:shd w:val="clear" w:color="000000" w:fill="FFFFFF"/>
            <w:vAlign w:val="center"/>
            <w:hideMark/>
          </w:tcPr>
          <w:p w14:paraId="73CBB8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12EDDB10" w14:textId="77777777" w:rsidTr="000A0C22">
        <w:trPr>
          <w:trHeight w:val="300"/>
        </w:trPr>
        <w:tc>
          <w:tcPr>
            <w:tcW w:w="554" w:type="pct"/>
            <w:vMerge/>
            <w:vAlign w:val="center"/>
            <w:hideMark/>
          </w:tcPr>
          <w:p w14:paraId="17452369"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hideMark/>
          </w:tcPr>
          <w:p w14:paraId="526C2F3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316" w:type="pct"/>
            <w:shd w:val="clear" w:color="auto" w:fill="auto"/>
            <w:vAlign w:val="center"/>
            <w:hideMark/>
          </w:tcPr>
          <w:p w14:paraId="1B5D049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77" w:type="pct"/>
            <w:shd w:val="clear" w:color="auto" w:fill="auto"/>
            <w:vAlign w:val="center"/>
            <w:hideMark/>
          </w:tcPr>
          <w:p w14:paraId="5A84D42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hideMark/>
          </w:tcPr>
          <w:p w14:paraId="34CB3C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000000" w:fill="FFFFFF"/>
            <w:vAlign w:val="center"/>
            <w:hideMark/>
          </w:tcPr>
          <w:p w14:paraId="73CA8E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626" w:type="pct"/>
            <w:gridSpan w:val="2"/>
            <w:shd w:val="clear" w:color="000000" w:fill="FFFFFF"/>
          </w:tcPr>
          <w:p w14:paraId="3CDA887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26B14F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33 352 000,00</w:t>
            </w:r>
          </w:p>
        </w:tc>
        <w:tc>
          <w:tcPr>
            <w:tcW w:w="625" w:type="pct"/>
            <w:shd w:val="clear" w:color="000000" w:fill="FFFFFF"/>
            <w:vAlign w:val="center"/>
            <w:hideMark/>
          </w:tcPr>
          <w:p w14:paraId="7B47F7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156 774 000,00</w:t>
            </w:r>
          </w:p>
        </w:tc>
      </w:tr>
      <w:tr w:rsidR="00B15F7D" w:rsidRPr="00990FB6" w14:paraId="62B6FBF4" w14:textId="77777777" w:rsidTr="000A0C22">
        <w:trPr>
          <w:trHeight w:val="300"/>
        </w:trPr>
        <w:tc>
          <w:tcPr>
            <w:tcW w:w="554" w:type="pct"/>
            <w:vMerge/>
            <w:vAlign w:val="center"/>
            <w:hideMark/>
          </w:tcPr>
          <w:p w14:paraId="49F9C343"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hideMark/>
          </w:tcPr>
          <w:p w14:paraId="0DC4C20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316" w:type="pct"/>
            <w:shd w:val="clear" w:color="auto" w:fill="auto"/>
            <w:vAlign w:val="center"/>
            <w:hideMark/>
          </w:tcPr>
          <w:p w14:paraId="505339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77" w:type="pct"/>
            <w:shd w:val="clear" w:color="auto" w:fill="auto"/>
            <w:vAlign w:val="center"/>
            <w:hideMark/>
          </w:tcPr>
          <w:p w14:paraId="23D61E0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hideMark/>
          </w:tcPr>
          <w:p w14:paraId="684B55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000000" w:fill="FFFFFF"/>
            <w:vAlign w:val="center"/>
            <w:hideMark/>
          </w:tcPr>
          <w:p w14:paraId="2D2D2FD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626" w:type="pct"/>
            <w:gridSpan w:val="2"/>
            <w:shd w:val="clear" w:color="000000" w:fill="FFFFFF"/>
          </w:tcPr>
          <w:p w14:paraId="3990CF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0364FDC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33 352 000,00</w:t>
            </w:r>
          </w:p>
        </w:tc>
        <w:tc>
          <w:tcPr>
            <w:tcW w:w="625" w:type="pct"/>
            <w:shd w:val="clear" w:color="000000" w:fill="FFFFFF"/>
            <w:vAlign w:val="center"/>
            <w:hideMark/>
          </w:tcPr>
          <w:p w14:paraId="5469322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156 774 000,00</w:t>
            </w:r>
          </w:p>
        </w:tc>
      </w:tr>
      <w:tr w:rsidR="00B15F7D" w:rsidRPr="00990FB6" w14:paraId="00119043" w14:textId="77777777" w:rsidTr="000A0C22">
        <w:trPr>
          <w:trHeight w:val="300"/>
        </w:trPr>
        <w:tc>
          <w:tcPr>
            <w:tcW w:w="554" w:type="pct"/>
            <w:vMerge/>
            <w:vAlign w:val="center"/>
            <w:hideMark/>
          </w:tcPr>
          <w:p w14:paraId="20ECB967"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hideMark/>
          </w:tcPr>
          <w:p w14:paraId="34915E4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316" w:type="pct"/>
            <w:shd w:val="clear" w:color="auto" w:fill="auto"/>
            <w:vAlign w:val="center"/>
            <w:hideMark/>
          </w:tcPr>
          <w:p w14:paraId="47DA12D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77" w:type="pct"/>
            <w:shd w:val="clear" w:color="auto" w:fill="auto"/>
            <w:vAlign w:val="center"/>
            <w:hideMark/>
          </w:tcPr>
          <w:p w14:paraId="1412C9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hideMark/>
          </w:tcPr>
          <w:p w14:paraId="2FC47C4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000000" w:fill="FFFFFF"/>
            <w:vAlign w:val="center"/>
            <w:hideMark/>
          </w:tcPr>
          <w:p w14:paraId="1FE1B6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626" w:type="pct"/>
            <w:gridSpan w:val="2"/>
            <w:shd w:val="clear" w:color="000000" w:fill="FFFFFF"/>
          </w:tcPr>
          <w:p w14:paraId="3110B7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694B7A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33 352 000,00</w:t>
            </w:r>
          </w:p>
        </w:tc>
        <w:tc>
          <w:tcPr>
            <w:tcW w:w="625" w:type="pct"/>
            <w:shd w:val="clear" w:color="000000" w:fill="FFFFFF"/>
            <w:vAlign w:val="center"/>
            <w:hideMark/>
          </w:tcPr>
          <w:p w14:paraId="0FB078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156 774 000,00</w:t>
            </w:r>
          </w:p>
        </w:tc>
      </w:tr>
      <w:tr w:rsidR="00B15F7D" w:rsidRPr="00990FB6" w14:paraId="7388A24A" w14:textId="77777777" w:rsidTr="000A0C22">
        <w:trPr>
          <w:trHeight w:val="300"/>
        </w:trPr>
        <w:tc>
          <w:tcPr>
            <w:tcW w:w="554" w:type="pct"/>
            <w:vMerge/>
            <w:vAlign w:val="center"/>
            <w:hideMark/>
          </w:tcPr>
          <w:p w14:paraId="3CD81BE7"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hideMark/>
          </w:tcPr>
          <w:p w14:paraId="49B3444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316" w:type="pct"/>
            <w:shd w:val="clear" w:color="auto" w:fill="auto"/>
            <w:vAlign w:val="center"/>
            <w:hideMark/>
          </w:tcPr>
          <w:p w14:paraId="7D4F840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77" w:type="pct"/>
            <w:shd w:val="clear" w:color="auto" w:fill="auto"/>
            <w:vAlign w:val="center"/>
            <w:hideMark/>
          </w:tcPr>
          <w:p w14:paraId="6E89D74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hideMark/>
          </w:tcPr>
          <w:p w14:paraId="39141E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000000" w:fill="FFFFFF"/>
            <w:vAlign w:val="center"/>
            <w:hideMark/>
          </w:tcPr>
          <w:p w14:paraId="53F422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626" w:type="pct"/>
            <w:gridSpan w:val="2"/>
            <w:shd w:val="clear" w:color="000000" w:fill="FFFFFF"/>
          </w:tcPr>
          <w:p w14:paraId="57E11F8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728267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33 352 000,00</w:t>
            </w:r>
          </w:p>
        </w:tc>
        <w:tc>
          <w:tcPr>
            <w:tcW w:w="625" w:type="pct"/>
            <w:shd w:val="clear" w:color="000000" w:fill="FFFFFF"/>
            <w:vAlign w:val="center"/>
            <w:hideMark/>
          </w:tcPr>
          <w:p w14:paraId="0FC429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156 774 000,00</w:t>
            </w:r>
          </w:p>
        </w:tc>
      </w:tr>
      <w:tr w:rsidR="00B15F7D" w:rsidRPr="00990FB6" w14:paraId="31D36E03" w14:textId="77777777" w:rsidTr="000A0C22">
        <w:trPr>
          <w:trHeight w:val="300"/>
        </w:trPr>
        <w:tc>
          <w:tcPr>
            <w:tcW w:w="554" w:type="pct"/>
            <w:vMerge/>
            <w:vAlign w:val="center"/>
            <w:hideMark/>
          </w:tcPr>
          <w:p w14:paraId="5BC6D822"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hideMark/>
          </w:tcPr>
          <w:p w14:paraId="765E75E0"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316" w:type="pct"/>
            <w:shd w:val="clear" w:color="auto" w:fill="auto"/>
            <w:vAlign w:val="center"/>
            <w:hideMark/>
          </w:tcPr>
          <w:p w14:paraId="20DD17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277" w:type="pct"/>
            <w:shd w:val="clear" w:color="auto" w:fill="auto"/>
            <w:vAlign w:val="center"/>
            <w:hideMark/>
          </w:tcPr>
          <w:p w14:paraId="5CD3A1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hideMark/>
          </w:tcPr>
          <w:p w14:paraId="3DE535E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000000" w:fill="FFFFFF"/>
            <w:vAlign w:val="center"/>
            <w:hideMark/>
          </w:tcPr>
          <w:p w14:paraId="1D52C9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185 133 000,00 </w:t>
            </w:r>
          </w:p>
        </w:tc>
        <w:tc>
          <w:tcPr>
            <w:tcW w:w="626" w:type="pct"/>
            <w:gridSpan w:val="2"/>
            <w:shd w:val="clear" w:color="000000" w:fill="FFFFFF"/>
          </w:tcPr>
          <w:p w14:paraId="0BF7A6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36AEFD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33 352 000,00</w:t>
            </w:r>
          </w:p>
        </w:tc>
        <w:tc>
          <w:tcPr>
            <w:tcW w:w="625" w:type="pct"/>
            <w:shd w:val="clear" w:color="000000" w:fill="FFFFFF"/>
            <w:vAlign w:val="center"/>
            <w:hideMark/>
          </w:tcPr>
          <w:p w14:paraId="724DE83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218 485 000,00 </w:t>
            </w:r>
          </w:p>
        </w:tc>
      </w:tr>
      <w:tr w:rsidR="00B15F7D" w:rsidRPr="00990FB6" w14:paraId="50B476AA" w14:textId="77777777" w:rsidTr="000A0C22">
        <w:trPr>
          <w:trHeight w:val="300"/>
        </w:trPr>
        <w:tc>
          <w:tcPr>
            <w:tcW w:w="554" w:type="pct"/>
            <w:vMerge/>
            <w:vAlign w:val="center"/>
            <w:hideMark/>
          </w:tcPr>
          <w:p w14:paraId="17303AB1"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3048445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Puntarenas</w:t>
            </w:r>
          </w:p>
        </w:tc>
        <w:tc>
          <w:tcPr>
            <w:tcW w:w="316" w:type="pct"/>
            <w:shd w:val="clear" w:color="000000" w:fill="FFFFFF"/>
            <w:vAlign w:val="center"/>
            <w:hideMark/>
          </w:tcPr>
          <w:p w14:paraId="5F734F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277" w:type="pct"/>
            <w:shd w:val="clear" w:color="000000" w:fill="FFFFFF"/>
            <w:vAlign w:val="center"/>
            <w:hideMark/>
          </w:tcPr>
          <w:p w14:paraId="65C803F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000000" w:fill="FFFFFF"/>
            <w:vAlign w:val="center"/>
            <w:hideMark/>
          </w:tcPr>
          <w:p w14:paraId="454C2A6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24" w:type="pct"/>
            <w:shd w:val="clear" w:color="000000" w:fill="FFFFFF"/>
            <w:vAlign w:val="center"/>
            <w:hideMark/>
          </w:tcPr>
          <w:p w14:paraId="1603F3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185 133 000,00 </w:t>
            </w:r>
          </w:p>
        </w:tc>
        <w:tc>
          <w:tcPr>
            <w:tcW w:w="626" w:type="pct"/>
            <w:gridSpan w:val="2"/>
            <w:shd w:val="clear" w:color="000000" w:fill="FFFFFF"/>
          </w:tcPr>
          <w:p w14:paraId="30A6608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79D0CF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c>
          <w:tcPr>
            <w:tcW w:w="625" w:type="pct"/>
            <w:shd w:val="clear" w:color="000000" w:fill="FFFFFF"/>
            <w:vAlign w:val="center"/>
            <w:hideMark/>
          </w:tcPr>
          <w:p w14:paraId="5AB0EE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201 809 000,00 </w:t>
            </w:r>
          </w:p>
        </w:tc>
      </w:tr>
      <w:tr w:rsidR="00B15F7D" w:rsidRPr="00990FB6" w14:paraId="796FA8DB" w14:textId="77777777" w:rsidTr="000A0C22">
        <w:trPr>
          <w:trHeight w:val="300"/>
        </w:trPr>
        <w:tc>
          <w:tcPr>
            <w:tcW w:w="554" w:type="pct"/>
            <w:vMerge/>
            <w:vAlign w:val="center"/>
            <w:hideMark/>
          </w:tcPr>
          <w:p w14:paraId="363949A6"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4ECB42B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Liberia</w:t>
            </w:r>
          </w:p>
        </w:tc>
        <w:tc>
          <w:tcPr>
            <w:tcW w:w="316" w:type="pct"/>
            <w:shd w:val="clear" w:color="000000" w:fill="FFFFFF"/>
            <w:vAlign w:val="center"/>
            <w:hideMark/>
          </w:tcPr>
          <w:p w14:paraId="66CC39E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277" w:type="pct"/>
            <w:shd w:val="clear" w:color="000000" w:fill="FFFFFF"/>
            <w:vAlign w:val="center"/>
            <w:hideMark/>
          </w:tcPr>
          <w:p w14:paraId="43D64C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000000" w:fill="FFFFFF"/>
            <w:vAlign w:val="center"/>
            <w:hideMark/>
          </w:tcPr>
          <w:p w14:paraId="0F4869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624" w:type="pct"/>
            <w:shd w:val="clear" w:color="000000" w:fill="FFFFFF"/>
            <w:vAlign w:val="center"/>
            <w:hideMark/>
          </w:tcPr>
          <w:p w14:paraId="67F320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185 133 000,00 </w:t>
            </w:r>
          </w:p>
        </w:tc>
        <w:tc>
          <w:tcPr>
            <w:tcW w:w="626" w:type="pct"/>
            <w:gridSpan w:val="2"/>
            <w:shd w:val="clear" w:color="000000" w:fill="FFFFFF"/>
          </w:tcPr>
          <w:p w14:paraId="753721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5F174A4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66 704 000,00 </w:t>
            </w:r>
          </w:p>
        </w:tc>
        <w:tc>
          <w:tcPr>
            <w:tcW w:w="625" w:type="pct"/>
            <w:shd w:val="clear" w:color="000000" w:fill="FFFFFF"/>
            <w:vAlign w:val="center"/>
            <w:hideMark/>
          </w:tcPr>
          <w:p w14:paraId="1B8932D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251 837 000,00 </w:t>
            </w:r>
          </w:p>
        </w:tc>
      </w:tr>
      <w:tr w:rsidR="00B15F7D" w:rsidRPr="00990FB6" w14:paraId="2870D19F" w14:textId="77777777" w:rsidTr="000A0C22">
        <w:trPr>
          <w:trHeight w:val="300"/>
        </w:trPr>
        <w:tc>
          <w:tcPr>
            <w:tcW w:w="554" w:type="pct"/>
            <w:vMerge/>
            <w:vAlign w:val="center"/>
            <w:hideMark/>
          </w:tcPr>
          <w:p w14:paraId="4BADE274"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68D5509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Guápiles</w:t>
            </w:r>
          </w:p>
        </w:tc>
        <w:tc>
          <w:tcPr>
            <w:tcW w:w="316" w:type="pct"/>
            <w:shd w:val="clear" w:color="000000" w:fill="FFFFFF"/>
            <w:vAlign w:val="center"/>
            <w:hideMark/>
          </w:tcPr>
          <w:p w14:paraId="5A8159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4</w:t>
            </w:r>
          </w:p>
        </w:tc>
        <w:tc>
          <w:tcPr>
            <w:tcW w:w="277" w:type="pct"/>
            <w:shd w:val="clear" w:color="000000" w:fill="FFFFFF"/>
            <w:vAlign w:val="center"/>
            <w:hideMark/>
          </w:tcPr>
          <w:p w14:paraId="2F4695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0</w:t>
            </w:r>
          </w:p>
        </w:tc>
        <w:tc>
          <w:tcPr>
            <w:tcW w:w="417" w:type="pct"/>
            <w:shd w:val="clear" w:color="000000" w:fill="FFFFFF"/>
            <w:vAlign w:val="center"/>
            <w:hideMark/>
          </w:tcPr>
          <w:p w14:paraId="41EE72E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5</w:t>
            </w:r>
          </w:p>
        </w:tc>
        <w:tc>
          <w:tcPr>
            <w:tcW w:w="624" w:type="pct"/>
            <w:shd w:val="clear" w:color="000000" w:fill="FFFFFF"/>
            <w:vAlign w:val="center"/>
            <w:hideMark/>
          </w:tcPr>
          <w:p w14:paraId="73BAEB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246 844 000,00 </w:t>
            </w:r>
          </w:p>
        </w:tc>
        <w:tc>
          <w:tcPr>
            <w:tcW w:w="626" w:type="pct"/>
            <w:gridSpan w:val="2"/>
            <w:shd w:val="clear" w:color="000000" w:fill="FFFFFF"/>
            <w:vAlign w:val="center"/>
          </w:tcPr>
          <w:p w14:paraId="64D8111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   </w:t>
            </w:r>
          </w:p>
        </w:tc>
        <w:tc>
          <w:tcPr>
            <w:tcW w:w="553" w:type="pct"/>
            <w:shd w:val="clear" w:color="000000" w:fill="FFFFFF"/>
            <w:vAlign w:val="center"/>
            <w:hideMark/>
          </w:tcPr>
          <w:p w14:paraId="501552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83 380 000,00 </w:t>
            </w:r>
          </w:p>
        </w:tc>
        <w:tc>
          <w:tcPr>
            <w:tcW w:w="625" w:type="pct"/>
            <w:shd w:val="clear" w:color="000000" w:fill="FFFFFF"/>
            <w:vAlign w:val="center"/>
            <w:hideMark/>
          </w:tcPr>
          <w:p w14:paraId="5D15CD4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330 224 000,00 </w:t>
            </w:r>
          </w:p>
        </w:tc>
      </w:tr>
      <w:tr w:rsidR="00B15F7D" w:rsidRPr="00990FB6" w14:paraId="4631581E" w14:textId="77777777" w:rsidTr="000A0C22">
        <w:trPr>
          <w:trHeight w:val="300"/>
        </w:trPr>
        <w:tc>
          <w:tcPr>
            <w:tcW w:w="554" w:type="pct"/>
            <w:vMerge/>
            <w:vAlign w:val="center"/>
            <w:hideMark/>
          </w:tcPr>
          <w:p w14:paraId="0B26766A"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5D99761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Limón</w:t>
            </w:r>
          </w:p>
        </w:tc>
        <w:tc>
          <w:tcPr>
            <w:tcW w:w="316" w:type="pct"/>
            <w:shd w:val="clear" w:color="000000" w:fill="FFFFFF"/>
            <w:vAlign w:val="center"/>
            <w:hideMark/>
          </w:tcPr>
          <w:p w14:paraId="6353D8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277" w:type="pct"/>
            <w:shd w:val="clear" w:color="000000" w:fill="FFFFFF"/>
            <w:vAlign w:val="center"/>
            <w:hideMark/>
          </w:tcPr>
          <w:p w14:paraId="22A93E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7" w:type="pct"/>
            <w:shd w:val="clear" w:color="000000" w:fill="FFFFFF"/>
            <w:vAlign w:val="center"/>
            <w:hideMark/>
          </w:tcPr>
          <w:p w14:paraId="51D625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624" w:type="pct"/>
            <w:shd w:val="clear" w:color="000000" w:fill="FFFFFF"/>
            <w:vAlign w:val="center"/>
            <w:hideMark/>
          </w:tcPr>
          <w:p w14:paraId="1F5DF1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185 133 000,00 </w:t>
            </w:r>
          </w:p>
        </w:tc>
        <w:tc>
          <w:tcPr>
            <w:tcW w:w="626" w:type="pct"/>
            <w:gridSpan w:val="2"/>
            <w:shd w:val="clear" w:color="000000" w:fill="FFFFFF"/>
            <w:vAlign w:val="center"/>
            <w:hideMark/>
          </w:tcPr>
          <w:p w14:paraId="7210B6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c>
          <w:tcPr>
            <w:tcW w:w="553" w:type="pct"/>
            <w:shd w:val="clear" w:color="000000" w:fill="FFFFFF"/>
            <w:vAlign w:val="center"/>
            <w:hideMark/>
          </w:tcPr>
          <w:p w14:paraId="063D20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66 704 000,00 </w:t>
            </w:r>
          </w:p>
        </w:tc>
        <w:tc>
          <w:tcPr>
            <w:tcW w:w="625" w:type="pct"/>
            <w:shd w:val="clear" w:color="000000" w:fill="FFFFFF"/>
            <w:vAlign w:val="center"/>
            <w:hideMark/>
          </w:tcPr>
          <w:p w14:paraId="72085EF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305 615 000,00 </w:t>
            </w:r>
          </w:p>
        </w:tc>
      </w:tr>
      <w:tr w:rsidR="00B15F7D" w:rsidRPr="00990FB6" w14:paraId="316D505F" w14:textId="77777777" w:rsidTr="000A0C22">
        <w:trPr>
          <w:trHeight w:val="300"/>
        </w:trPr>
        <w:tc>
          <w:tcPr>
            <w:tcW w:w="554" w:type="pct"/>
            <w:vMerge/>
            <w:vAlign w:val="center"/>
            <w:hideMark/>
          </w:tcPr>
          <w:p w14:paraId="6E0E5DEC"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38361D9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Pavas</w:t>
            </w:r>
          </w:p>
        </w:tc>
        <w:tc>
          <w:tcPr>
            <w:tcW w:w="316" w:type="pct"/>
            <w:shd w:val="clear" w:color="000000" w:fill="FFFFFF"/>
            <w:vAlign w:val="center"/>
            <w:hideMark/>
          </w:tcPr>
          <w:p w14:paraId="0F19472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7" w:type="pct"/>
            <w:shd w:val="clear" w:color="000000" w:fill="FFFFFF"/>
            <w:vAlign w:val="center"/>
            <w:hideMark/>
          </w:tcPr>
          <w:p w14:paraId="57CC5AB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000000" w:fill="FFFFFF"/>
            <w:vAlign w:val="center"/>
            <w:hideMark/>
          </w:tcPr>
          <w:p w14:paraId="55C128B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w:t>
            </w:r>
          </w:p>
        </w:tc>
        <w:tc>
          <w:tcPr>
            <w:tcW w:w="624" w:type="pct"/>
            <w:shd w:val="clear" w:color="000000" w:fill="FFFFFF"/>
            <w:vAlign w:val="center"/>
            <w:hideMark/>
          </w:tcPr>
          <w:p w14:paraId="6E441F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626" w:type="pct"/>
            <w:gridSpan w:val="2"/>
            <w:shd w:val="clear" w:color="000000" w:fill="FFFFFF"/>
            <w:vAlign w:val="center"/>
            <w:hideMark/>
          </w:tcPr>
          <w:p w14:paraId="468944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1B1A88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83 380 000,00 </w:t>
            </w:r>
          </w:p>
        </w:tc>
        <w:tc>
          <w:tcPr>
            <w:tcW w:w="625" w:type="pct"/>
            <w:shd w:val="clear" w:color="000000" w:fill="FFFFFF"/>
            <w:vAlign w:val="center"/>
            <w:hideMark/>
          </w:tcPr>
          <w:p w14:paraId="63EA5F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145 091 000,00 </w:t>
            </w:r>
          </w:p>
        </w:tc>
      </w:tr>
      <w:tr w:rsidR="00B15F7D" w:rsidRPr="00990FB6" w14:paraId="546B6489" w14:textId="77777777" w:rsidTr="000A0C22">
        <w:trPr>
          <w:trHeight w:val="300"/>
        </w:trPr>
        <w:tc>
          <w:tcPr>
            <w:tcW w:w="554" w:type="pct"/>
            <w:vMerge/>
            <w:vAlign w:val="center"/>
            <w:hideMark/>
          </w:tcPr>
          <w:p w14:paraId="49B11C3C"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2A950DD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Goicoechea</w:t>
            </w:r>
          </w:p>
        </w:tc>
        <w:tc>
          <w:tcPr>
            <w:tcW w:w="316" w:type="pct"/>
            <w:shd w:val="clear" w:color="000000" w:fill="FFFFFF"/>
            <w:vAlign w:val="center"/>
            <w:hideMark/>
          </w:tcPr>
          <w:p w14:paraId="334044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277" w:type="pct"/>
            <w:shd w:val="clear" w:color="000000" w:fill="FFFFFF"/>
            <w:vAlign w:val="center"/>
            <w:hideMark/>
          </w:tcPr>
          <w:p w14:paraId="4388FF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7" w:type="pct"/>
            <w:shd w:val="clear" w:color="000000" w:fill="FFFFFF"/>
            <w:vAlign w:val="center"/>
            <w:hideMark/>
          </w:tcPr>
          <w:p w14:paraId="79D1415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24" w:type="pct"/>
            <w:shd w:val="clear" w:color="000000" w:fill="FFFFFF"/>
            <w:vAlign w:val="center"/>
            <w:hideMark/>
          </w:tcPr>
          <w:p w14:paraId="6BC545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626" w:type="pct"/>
            <w:gridSpan w:val="2"/>
            <w:shd w:val="clear" w:color="000000" w:fill="FFFFFF"/>
            <w:vAlign w:val="center"/>
            <w:hideMark/>
          </w:tcPr>
          <w:p w14:paraId="0A19924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c>
          <w:tcPr>
            <w:tcW w:w="553" w:type="pct"/>
            <w:shd w:val="clear" w:color="000000" w:fill="FFFFFF"/>
            <w:vAlign w:val="center"/>
            <w:hideMark/>
          </w:tcPr>
          <w:p w14:paraId="120CC8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w:t>
            </w:r>
          </w:p>
        </w:tc>
        <w:tc>
          <w:tcPr>
            <w:tcW w:w="625" w:type="pct"/>
            <w:shd w:val="clear" w:color="000000" w:fill="FFFFFF"/>
            <w:vAlign w:val="center"/>
            <w:hideMark/>
          </w:tcPr>
          <w:p w14:paraId="0F65EE1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r>
      <w:tr w:rsidR="00B15F7D" w:rsidRPr="00990FB6" w14:paraId="31891093" w14:textId="77777777" w:rsidTr="000A0C22">
        <w:trPr>
          <w:trHeight w:val="300"/>
        </w:trPr>
        <w:tc>
          <w:tcPr>
            <w:tcW w:w="554" w:type="pct"/>
            <w:vMerge/>
            <w:vAlign w:val="center"/>
            <w:hideMark/>
          </w:tcPr>
          <w:p w14:paraId="36FCAB7E"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164BE4C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Heredia</w:t>
            </w:r>
          </w:p>
        </w:tc>
        <w:tc>
          <w:tcPr>
            <w:tcW w:w="316" w:type="pct"/>
            <w:shd w:val="clear" w:color="000000" w:fill="FFFFFF"/>
            <w:vAlign w:val="center"/>
            <w:hideMark/>
          </w:tcPr>
          <w:p w14:paraId="789579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277" w:type="pct"/>
            <w:shd w:val="clear" w:color="000000" w:fill="FFFFFF"/>
            <w:vAlign w:val="center"/>
            <w:hideMark/>
          </w:tcPr>
          <w:p w14:paraId="19545C4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7" w:type="pct"/>
            <w:shd w:val="clear" w:color="000000" w:fill="FFFFFF"/>
            <w:vAlign w:val="center"/>
            <w:hideMark/>
          </w:tcPr>
          <w:p w14:paraId="5464C4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w:t>
            </w:r>
          </w:p>
        </w:tc>
        <w:tc>
          <w:tcPr>
            <w:tcW w:w="624" w:type="pct"/>
            <w:shd w:val="clear" w:color="000000" w:fill="FFFFFF"/>
            <w:vAlign w:val="center"/>
            <w:hideMark/>
          </w:tcPr>
          <w:p w14:paraId="38CC3DE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123 422 000,00 </w:t>
            </w:r>
          </w:p>
        </w:tc>
        <w:tc>
          <w:tcPr>
            <w:tcW w:w="626" w:type="pct"/>
            <w:gridSpan w:val="2"/>
            <w:shd w:val="clear" w:color="000000" w:fill="FFFFFF"/>
            <w:vAlign w:val="center"/>
            <w:hideMark/>
          </w:tcPr>
          <w:p w14:paraId="0E7099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53 778 000,00</w:t>
            </w:r>
          </w:p>
        </w:tc>
        <w:tc>
          <w:tcPr>
            <w:tcW w:w="553" w:type="pct"/>
            <w:shd w:val="clear" w:color="000000" w:fill="FFFFFF"/>
            <w:vAlign w:val="center"/>
            <w:hideMark/>
          </w:tcPr>
          <w:p w14:paraId="10BE56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w:t>
            </w:r>
            <w:r w:rsidRPr="00990FB6">
              <w:rPr>
                <w:color w:val="000000"/>
                <w:sz w:val="22"/>
                <w:szCs w:val="22"/>
                <w:lang w:val="es-CR" w:eastAsia="es-CR"/>
              </w:rPr>
              <w:t xml:space="preserve"> ₡ 83 380 000,00</w:t>
            </w:r>
          </w:p>
        </w:tc>
        <w:tc>
          <w:tcPr>
            <w:tcW w:w="625" w:type="pct"/>
            <w:shd w:val="clear" w:color="000000" w:fill="FFFFFF"/>
            <w:vAlign w:val="center"/>
            <w:hideMark/>
          </w:tcPr>
          <w:p w14:paraId="711444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260 580 000,00 </w:t>
            </w:r>
          </w:p>
        </w:tc>
      </w:tr>
      <w:tr w:rsidR="00B15F7D" w:rsidRPr="00990FB6" w14:paraId="0931B979" w14:textId="77777777" w:rsidTr="000A0C22">
        <w:trPr>
          <w:trHeight w:val="300"/>
        </w:trPr>
        <w:tc>
          <w:tcPr>
            <w:tcW w:w="554" w:type="pct"/>
            <w:vMerge/>
            <w:vAlign w:val="center"/>
            <w:hideMark/>
          </w:tcPr>
          <w:p w14:paraId="724DAC25"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28D1F1F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de Nicoya</w:t>
            </w:r>
          </w:p>
        </w:tc>
        <w:tc>
          <w:tcPr>
            <w:tcW w:w="316" w:type="pct"/>
            <w:shd w:val="clear" w:color="000000" w:fill="FFFFFF"/>
            <w:vAlign w:val="center"/>
            <w:hideMark/>
          </w:tcPr>
          <w:p w14:paraId="193D5C2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277" w:type="pct"/>
            <w:shd w:val="clear" w:color="000000" w:fill="FFFFFF"/>
            <w:vAlign w:val="center"/>
            <w:hideMark/>
          </w:tcPr>
          <w:p w14:paraId="620493C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000000" w:fill="FFFFFF"/>
            <w:vAlign w:val="center"/>
            <w:hideMark/>
          </w:tcPr>
          <w:p w14:paraId="64A593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000000" w:fill="FFFFFF"/>
            <w:vAlign w:val="center"/>
            <w:hideMark/>
          </w:tcPr>
          <w:p w14:paraId="3F056E2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626" w:type="pct"/>
            <w:gridSpan w:val="2"/>
            <w:shd w:val="clear" w:color="000000" w:fill="FFFFFF"/>
            <w:hideMark/>
          </w:tcPr>
          <w:p w14:paraId="4E605B8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61A4708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25" w:type="pct"/>
            <w:shd w:val="clear" w:color="000000" w:fill="FFFFFF"/>
            <w:vAlign w:val="center"/>
            <w:hideMark/>
          </w:tcPr>
          <w:p w14:paraId="7C7E02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r>
      <w:tr w:rsidR="00B15F7D" w:rsidRPr="00990FB6" w14:paraId="6F2D1CBE" w14:textId="77777777" w:rsidTr="000A0C22">
        <w:trPr>
          <w:trHeight w:val="490"/>
        </w:trPr>
        <w:tc>
          <w:tcPr>
            <w:tcW w:w="554" w:type="pct"/>
            <w:vMerge/>
            <w:vAlign w:val="center"/>
            <w:hideMark/>
          </w:tcPr>
          <w:p w14:paraId="53A4FE72"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hideMark/>
          </w:tcPr>
          <w:p w14:paraId="7BC22AAF"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Sección de Flagrancia de San Ramón</w:t>
            </w:r>
          </w:p>
        </w:tc>
        <w:tc>
          <w:tcPr>
            <w:tcW w:w="316" w:type="pct"/>
            <w:shd w:val="clear" w:color="000000" w:fill="FFFFFF"/>
            <w:vAlign w:val="center"/>
            <w:hideMark/>
          </w:tcPr>
          <w:p w14:paraId="62EC828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277" w:type="pct"/>
            <w:shd w:val="clear" w:color="000000" w:fill="FFFFFF"/>
            <w:vAlign w:val="center"/>
            <w:hideMark/>
          </w:tcPr>
          <w:p w14:paraId="2658076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000000" w:fill="FFFFFF"/>
            <w:vAlign w:val="center"/>
            <w:hideMark/>
          </w:tcPr>
          <w:p w14:paraId="1A20C12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24" w:type="pct"/>
            <w:shd w:val="clear" w:color="000000" w:fill="FFFFFF"/>
            <w:vAlign w:val="center"/>
            <w:hideMark/>
          </w:tcPr>
          <w:p w14:paraId="759EBA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626" w:type="pct"/>
            <w:gridSpan w:val="2"/>
            <w:shd w:val="clear" w:color="000000" w:fill="FFFFFF"/>
            <w:hideMark/>
          </w:tcPr>
          <w:p w14:paraId="656A74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000000" w:fill="FFFFFF"/>
            <w:vAlign w:val="center"/>
            <w:hideMark/>
          </w:tcPr>
          <w:p w14:paraId="40070D5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c>
          <w:tcPr>
            <w:tcW w:w="625" w:type="pct"/>
            <w:shd w:val="clear" w:color="000000" w:fill="FFFFFF"/>
            <w:vAlign w:val="center"/>
            <w:hideMark/>
          </w:tcPr>
          <w:p w14:paraId="69975F3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r>
      <w:tr w:rsidR="00B15F7D" w:rsidRPr="00990FB6" w14:paraId="60AD51D2" w14:textId="77777777" w:rsidTr="000A0C22">
        <w:trPr>
          <w:trHeight w:val="300"/>
        </w:trPr>
        <w:tc>
          <w:tcPr>
            <w:tcW w:w="554" w:type="pct"/>
            <w:vMerge/>
            <w:vAlign w:val="center"/>
            <w:hideMark/>
          </w:tcPr>
          <w:p w14:paraId="30B49BB6"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FFFFFF"/>
            <w:vAlign w:val="center"/>
            <w:hideMark/>
          </w:tcPr>
          <w:p w14:paraId="1BC6642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Alajuela</w:t>
            </w:r>
          </w:p>
        </w:tc>
        <w:tc>
          <w:tcPr>
            <w:tcW w:w="316" w:type="pct"/>
            <w:shd w:val="clear" w:color="000000" w:fill="FFFFFF"/>
            <w:vAlign w:val="center"/>
            <w:hideMark/>
          </w:tcPr>
          <w:p w14:paraId="24FD91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w:t>
            </w:r>
          </w:p>
        </w:tc>
        <w:tc>
          <w:tcPr>
            <w:tcW w:w="277" w:type="pct"/>
            <w:shd w:val="clear" w:color="000000" w:fill="FFFFFF"/>
            <w:vAlign w:val="center"/>
            <w:hideMark/>
          </w:tcPr>
          <w:p w14:paraId="2EBBFB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7" w:type="pct"/>
            <w:shd w:val="clear" w:color="000000" w:fill="FFFFFF"/>
            <w:vAlign w:val="center"/>
            <w:hideMark/>
          </w:tcPr>
          <w:p w14:paraId="7CBEB1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624" w:type="pct"/>
            <w:shd w:val="clear" w:color="000000" w:fill="FFFFFF"/>
            <w:vAlign w:val="center"/>
            <w:hideMark/>
          </w:tcPr>
          <w:p w14:paraId="3AA0529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370 266 000,00 </w:t>
            </w:r>
          </w:p>
        </w:tc>
        <w:tc>
          <w:tcPr>
            <w:tcW w:w="626" w:type="pct"/>
            <w:gridSpan w:val="2"/>
            <w:shd w:val="clear" w:color="000000" w:fill="FFFFFF"/>
            <w:vAlign w:val="center"/>
            <w:hideMark/>
          </w:tcPr>
          <w:p w14:paraId="338CF75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c>
          <w:tcPr>
            <w:tcW w:w="553" w:type="pct"/>
            <w:shd w:val="clear" w:color="000000" w:fill="FFFFFF"/>
            <w:vAlign w:val="center"/>
            <w:hideMark/>
          </w:tcPr>
          <w:p w14:paraId="41FAB7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66 704 000,00 </w:t>
            </w:r>
          </w:p>
        </w:tc>
        <w:tc>
          <w:tcPr>
            <w:tcW w:w="625" w:type="pct"/>
            <w:shd w:val="clear" w:color="000000" w:fill="FFFFFF"/>
            <w:vAlign w:val="center"/>
            <w:hideMark/>
          </w:tcPr>
          <w:p w14:paraId="4A6A07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490 748 000,00 </w:t>
            </w:r>
          </w:p>
        </w:tc>
      </w:tr>
      <w:tr w:rsidR="00B15F7D" w:rsidRPr="00990FB6" w14:paraId="71D49A87" w14:textId="77777777" w:rsidTr="000A0C22">
        <w:trPr>
          <w:trHeight w:val="300"/>
        </w:trPr>
        <w:tc>
          <w:tcPr>
            <w:tcW w:w="554" w:type="pct"/>
            <w:vMerge/>
            <w:vAlign w:val="center"/>
          </w:tcPr>
          <w:p w14:paraId="7428CD36"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tcPr>
          <w:p w14:paraId="5C558E5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n-US"/>
              </w:rPr>
              <w:t>Tribunal Penal de Pérez Zeledon</w:t>
            </w:r>
          </w:p>
        </w:tc>
        <w:tc>
          <w:tcPr>
            <w:tcW w:w="316" w:type="pct"/>
            <w:shd w:val="clear" w:color="auto" w:fill="auto"/>
            <w:vAlign w:val="center"/>
          </w:tcPr>
          <w:p w14:paraId="5942BE6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7" w:type="pct"/>
            <w:shd w:val="clear" w:color="auto" w:fill="auto"/>
            <w:vAlign w:val="center"/>
          </w:tcPr>
          <w:p w14:paraId="708E65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tcPr>
          <w:p w14:paraId="21C99CC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auto" w:fill="auto"/>
            <w:vAlign w:val="center"/>
          </w:tcPr>
          <w:p w14:paraId="4E90E57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626" w:type="pct"/>
            <w:gridSpan w:val="2"/>
            <w:shd w:val="clear" w:color="auto" w:fill="auto"/>
          </w:tcPr>
          <w:p w14:paraId="27BF2E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auto" w:fill="auto"/>
            <w:vAlign w:val="center"/>
          </w:tcPr>
          <w:p w14:paraId="6C58F7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25" w:type="pct"/>
            <w:shd w:val="clear" w:color="auto" w:fill="auto"/>
            <w:vAlign w:val="center"/>
          </w:tcPr>
          <w:p w14:paraId="2C1662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47E48790" w14:textId="77777777" w:rsidTr="000A0C22">
        <w:trPr>
          <w:trHeight w:val="300"/>
        </w:trPr>
        <w:tc>
          <w:tcPr>
            <w:tcW w:w="554" w:type="pct"/>
            <w:vMerge/>
            <w:vAlign w:val="center"/>
          </w:tcPr>
          <w:p w14:paraId="04392DC6" w14:textId="77777777" w:rsidR="00B15F7D" w:rsidRPr="00990FB6" w:rsidRDefault="00B15F7D" w:rsidP="00B15F7D">
            <w:pPr>
              <w:suppressAutoHyphens w:val="0"/>
              <w:rPr>
                <w:b/>
                <w:bCs/>
                <w:color w:val="000000"/>
                <w:sz w:val="22"/>
                <w:szCs w:val="22"/>
                <w:lang w:val="es-CR" w:eastAsia="es-CR"/>
              </w:rPr>
            </w:pPr>
          </w:p>
        </w:tc>
        <w:tc>
          <w:tcPr>
            <w:tcW w:w="1007" w:type="pct"/>
            <w:shd w:val="clear" w:color="auto" w:fill="auto"/>
            <w:vAlign w:val="center"/>
          </w:tcPr>
          <w:p w14:paraId="209DBAC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n-US"/>
              </w:rPr>
              <w:t>Tribunal Penal de San Carlos</w:t>
            </w:r>
          </w:p>
        </w:tc>
        <w:tc>
          <w:tcPr>
            <w:tcW w:w="316" w:type="pct"/>
            <w:shd w:val="clear" w:color="auto" w:fill="auto"/>
            <w:vAlign w:val="center"/>
          </w:tcPr>
          <w:p w14:paraId="5E143B5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277" w:type="pct"/>
            <w:shd w:val="clear" w:color="auto" w:fill="auto"/>
            <w:vAlign w:val="center"/>
          </w:tcPr>
          <w:p w14:paraId="49345B0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7" w:type="pct"/>
            <w:shd w:val="clear" w:color="auto" w:fill="auto"/>
            <w:vAlign w:val="center"/>
          </w:tcPr>
          <w:p w14:paraId="78951C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24" w:type="pct"/>
            <w:shd w:val="clear" w:color="auto" w:fill="auto"/>
            <w:vAlign w:val="center"/>
          </w:tcPr>
          <w:p w14:paraId="0B649F6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626" w:type="pct"/>
            <w:gridSpan w:val="2"/>
            <w:shd w:val="clear" w:color="auto" w:fill="auto"/>
          </w:tcPr>
          <w:p w14:paraId="2E446A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53" w:type="pct"/>
            <w:shd w:val="clear" w:color="auto" w:fill="auto"/>
            <w:vAlign w:val="center"/>
          </w:tcPr>
          <w:p w14:paraId="11B16F3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625" w:type="pct"/>
            <w:shd w:val="clear" w:color="auto" w:fill="auto"/>
            <w:vAlign w:val="center"/>
          </w:tcPr>
          <w:p w14:paraId="5F046D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67719A93" w14:textId="77777777" w:rsidTr="000A0C22">
        <w:trPr>
          <w:trHeight w:val="300"/>
        </w:trPr>
        <w:tc>
          <w:tcPr>
            <w:tcW w:w="554" w:type="pct"/>
            <w:vMerge/>
            <w:vAlign w:val="center"/>
            <w:hideMark/>
          </w:tcPr>
          <w:p w14:paraId="2531860B" w14:textId="77777777" w:rsidR="00B15F7D" w:rsidRPr="00990FB6" w:rsidRDefault="00B15F7D" w:rsidP="00B15F7D">
            <w:pPr>
              <w:suppressAutoHyphens w:val="0"/>
              <w:rPr>
                <w:b/>
                <w:bCs/>
                <w:color w:val="000000"/>
                <w:sz w:val="22"/>
                <w:szCs w:val="22"/>
                <w:lang w:val="es-CR" w:eastAsia="es-CR"/>
              </w:rPr>
            </w:pPr>
          </w:p>
        </w:tc>
        <w:tc>
          <w:tcPr>
            <w:tcW w:w="1007" w:type="pct"/>
            <w:shd w:val="clear" w:color="000000" w:fill="DEEAF6"/>
            <w:vAlign w:val="center"/>
            <w:hideMark/>
          </w:tcPr>
          <w:p w14:paraId="77F00898"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316" w:type="pct"/>
            <w:shd w:val="clear" w:color="000000" w:fill="DEEAF6"/>
            <w:vAlign w:val="center"/>
            <w:hideMark/>
          </w:tcPr>
          <w:p w14:paraId="4E869CB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36</w:t>
            </w:r>
          </w:p>
        </w:tc>
        <w:tc>
          <w:tcPr>
            <w:tcW w:w="277" w:type="pct"/>
            <w:shd w:val="clear" w:color="000000" w:fill="DEEAF6"/>
            <w:vAlign w:val="center"/>
            <w:hideMark/>
          </w:tcPr>
          <w:p w14:paraId="1D35F451"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4</w:t>
            </w:r>
          </w:p>
        </w:tc>
        <w:tc>
          <w:tcPr>
            <w:tcW w:w="417" w:type="pct"/>
            <w:shd w:val="clear" w:color="000000" w:fill="DEEAF6"/>
            <w:vAlign w:val="center"/>
            <w:hideMark/>
          </w:tcPr>
          <w:p w14:paraId="39EA7BE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47</w:t>
            </w:r>
          </w:p>
        </w:tc>
        <w:tc>
          <w:tcPr>
            <w:tcW w:w="624" w:type="pct"/>
            <w:shd w:val="clear" w:color="000000" w:fill="DEEAF6"/>
            <w:vAlign w:val="center"/>
            <w:hideMark/>
          </w:tcPr>
          <w:p w14:paraId="739F1FE8"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 2 221 596 000,00 </w:t>
            </w:r>
          </w:p>
        </w:tc>
        <w:tc>
          <w:tcPr>
            <w:tcW w:w="554" w:type="pct"/>
            <w:shd w:val="clear" w:color="000000" w:fill="DEEAF6"/>
            <w:vAlign w:val="center"/>
            <w:hideMark/>
          </w:tcPr>
          <w:p w14:paraId="3A97F7D3"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₡215 112 000,00 </w:t>
            </w:r>
          </w:p>
        </w:tc>
        <w:tc>
          <w:tcPr>
            <w:tcW w:w="626" w:type="pct"/>
            <w:gridSpan w:val="2"/>
            <w:shd w:val="clear" w:color="000000" w:fill="DEEAF6"/>
            <w:vAlign w:val="center"/>
            <w:hideMark/>
          </w:tcPr>
          <w:p w14:paraId="730B2CE5"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 ₡ 783 772 000,00 </w:t>
            </w:r>
          </w:p>
        </w:tc>
        <w:tc>
          <w:tcPr>
            <w:tcW w:w="625" w:type="pct"/>
            <w:shd w:val="clear" w:color="000000" w:fill="DEEAF6"/>
            <w:vAlign w:val="center"/>
            <w:hideMark/>
          </w:tcPr>
          <w:p w14:paraId="0EC645D4"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 3 220 480 000,00 </w:t>
            </w:r>
          </w:p>
        </w:tc>
      </w:tr>
    </w:tbl>
    <w:p w14:paraId="0C43DAF6" w14:textId="77777777" w:rsidR="00B15F7D" w:rsidRPr="00990FB6" w:rsidRDefault="00B15F7D" w:rsidP="00B15F7D">
      <w:pPr>
        <w:suppressAutoHyphens w:val="0"/>
        <w:contextualSpacing/>
        <w:jc w:val="both"/>
        <w:rPr>
          <w:rFonts w:eastAsia="Calibri"/>
          <w:sz w:val="22"/>
          <w:szCs w:val="22"/>
          <w:lang w:val="es-CR" w:eastAsia="en-US"/>
        </w:rPr>
      </w:pPr>
    </w:p>
    <w:p w14:paraId="2233D5E0"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39A0C94B"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Reclasificación de la plaza vacante 369971 de jueza o juez 3 del Juzgado Penal de Cóbano a Juez o Jueza 4, para que sea destacada en el Tribunal Penal de Quepos, cuyo costo anual asciende a </w:t>
      </w:r>
      <w:r w:rsidRPr="00990FB6">
        <w:rPr>
          <w:rFonts w:eastAsia="Calibri"/>
          <w:color w:val="000000"/>
          <w:sz w:val="22"/>
          <w:szCs w:val="22"/>
          <w:u w:color="000000"/>
          <w:lang w:val="es-CR" w:eastAsia="en-US"/>
        </w:rPr>
        <w:t>₡4 564 000,00.</w:t>
      </w:r>
    </w:p>
    <w:p w14:paraId="685710B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F285D52"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color w:val="000000"/>
          <w:sz w:val="22"/>
          <w:szCs w:val="22"/>
          <w:u w:color="000000"/>
          <w:lang w:val="es-CR" w:eastAsia="en-US"/>
        </w:rPr>
        <w:t xml:space="preserve">Reclasificación de las plazas vacantes </w:t>
      </w:r>
      <w:r w:rsidRPr="00990FB6">
        <w:rPr>
          <w:rFonts w:eastAsia="Calibri"/>
          <w:sz w:val="22"/>
          <w:szCs w:val="22"/>
          <w:lang w:val="es-CR" w:eastAsia="en-US"/>
        </w:rPr>
        <w:t>44563 y 15583 de técnica o técnico judicial 1 del Juzgado de Tránsito del Primer Circuito Judicial de Alajuela a Jueza o Juez 4, para ser destacadas en el Tribunal Penal de Alajuela, cuyo costo anual asciende a ₡ 92 660 000,00.</w:t>
      </w:r>
    </w:p>
    <w:p w14:paraId="7A90F8C3"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6A45949"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Los costos variables totales por equipo de cómputo y mobiliario para este escenario ascienden a ₡ 116 534 566,00, distribuidos de la siguiente manera:</w:t>
      </w:r>
    </w:p>
    <w:p w14:paraId="0A021685" w14:textId="77777777" w:rsidR="00B15F7D" w:rsidRPr="00990FB6" w:rsidRDefault="00B15F7D" w:rsidP="00B15F7D">
      <w:pPr>
        <w:suppressAutoHyphens w:val="0"/>
        <w:ind w:left="720"/>
        <w:contextualSpacing/>
        <w:rPr>
          <w:rFonts w:eastAsia="Calibri"/>
          <w:sz w:val="22"/>
          <w:szCs w:val="22"/>
          <w:lang w:val="es-CR" w:eastAsia="en-US"/>
        </w:rPr>
      </w:pPr>
    </w:p>
    <w:tbl>
      <w:tblPr>
        <w:tblW w:w="10206" w:type="dxa"/>
        <w:jc w:val="center"/>
        <w:tblLayout w:type="fixed"/>
        <w:tblCellMar>
          <w:left w:w="70" w:type="dxa"/>
          <w:right w:w="70" w:type="dxa"/>
        </w:tblCellMar>
        <w:tblLook w:val="04A0" w:firstRow="1" w:lastRow="0" w:firstColumn="1" w:lastColumn="0" w:noHBand="0" w:noVBand="1"/>
      </w:tblPr>
      <w:tblGrid>
        <w:gridCol w:w="1511"/>
        <w:gridCol w:w="2317"/>
        <w:gridCol w:w="708"/>
        <w:gridCol w:w="709"/>
        <w:gridCol w:w="709"/>
        <w:gridCol w:w="1417"/>
        <w:gridCol w:w="1276"/>
        <w:gridCol w:w="1559"/>
      </w:tblGrid>
      <w:tr w:rsidR="00B15F7D" w:rsidRPr="00990FB6" w14:paraId="7DBFB637" w14:textId="77777777" w:rsidTr="000A0C22">
        <w:trPr>
          <w:trHeight w:val="300"/>
          <w:jc w:val="center"/>
        </w:trPr>
        <w:tc>
          <w:tcPr>
            <w:tcW w:w="1511"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0D26AD5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lastRenderedPageBreak/>
              <w:t xml:space="preserve">Programa presupuestario </w:t>
            </w:r>
          </w:p>
        </w:tc>
        <w:tc>
          <w:tcPr>
            <w:tcW w:w="2317"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1FD5490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2126" w:type="dxa"/>
            <w:gridSpan w:val="3"/>
            <w:tcBorders>
              <w:top w:val="single" w:sz="8" w:space="0" w:color="E7E6E6"/>
              <w:left w:val="nil"/>
              <w:bottom w:val="single" w:sz="8" w:space="0" w:color="E7E6E6"/>
              <w:right w:val="single" w:sz="8" w:space="0" w:color="E7E6E6"/>
            </w:tcBorders>
            <w:shd w:val="clear" w:color="000000" w:fill="5B9BD5"/>
            <w:noWrap/>
            <w:vAlign w:val="center"/>
            <w:hideMark/>
          </w:tcPr>
          <w:p w14:paraId="545EC07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4252" w:type="dxa"/>
            <w:gridSpan w:val="3"/>
            <w:tcBorders>
              <w:top w:val="single" w:sz="8" w:space="0" w:color="E7E6E6"/>
              <w:left w:val="single" w:sz="8" w:space="0" w:color="E7E6E6"/>
              <w:bottom w:val="single" w:sz="8" w:space="0" w:color="E7E6E6"/>
              <w:right w:val="single" w:sz="8" w:space="0" w:color="E7E6E6"/>
            </w:tcBorders>
            <w:shd w:val="clear" w:color="000000" w:fill="5B9BD5"/>
            <w:noWrap/>
            <w:vAlign w:val="center"/>
            <w:hideMark/>
          </w:tcPr>
          <w:p w14:paraId="520AA744"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COSTOS DE GASTOS VARIABLES</w:t>
            </w:r>
          </w:p>
        </w:tc>
      </w:tr>
      <w:tr w:rsidR="00B15F7D" w:rsidRPr="00990FB6" w14:paraId="5E875EBF" w14:textId="77777777" w:rsidTr="000A0C22">
        <w:trPr>
          <w:trHeight w:val="490"/>
          <w:jc w:val="center"/>
        </w:trPr>
        <w:tc>
          <w:tcPr>
            <w:tcW w:w="1511" w:type="dxa"/>
            <w:vMerge/>
            <w:tcBorders>
              <w:top w:val="single" w:sz="8" w:space="0" w:color="E7E6E6"/>
              <w:left w:val="single" w:sz="8" w:space="0" w:color="E7E6E6"/>
              <w:bottom w:val="single" w:sz="8" w:space="0" w:color="E7E6E6"/>
              <w:right w:val="single" w:sz="8" w:space="0" w:color="E7E6E6"/>
            </w:tcBorders>
            <w:vAlign w:val="center"/>
            <w:hideMark/>
          </w:tcPr>
          <w:p w14:paraId="3EBE4601" w14:textId="77777777" w:rsidR="00B15F7D" w:rsidRPr="00990FB6" w:rsidRDefault="00B15F7D" w:rsidP="00B15F7D">
            <w:pPr>
              <w:suppressAutoHyphens w:val="0"/>
              <w:rPr>
                <w:b/>
                <w:bCs/>
                <w:color w:val="FFFFFF"/>
                <w:sz w:val="22"/>
                <w:szCs w:val="22"/>
                <w:lang w:val="es-CR" w:eastAsia="es-CR"/>
              </w:rPr>
            </w:pPr>
          </w:p>
        </w:tc>
        <w:tc>
          <w:tcPr>
            <w:tcW w:w="2317" w:type="dxa"/>
            <w:vMerge/>
            <w:tcBorders>
              <w:top w:val="single" w:sz="8" w:space="0" w:color="E7E6E6"/>
              <w:left w:val="single" w:sz="8" w:space="0" w:color="E7E6E6"/>
              <w:bottom w:val="single" w:sz="8" w:space="0" w:color="E7E6E6"/>
              <w:right w:val="single" w:sz="8" w:space="0" w:color="E7E6E6"/>
            </w:tcBorders>
            <w:vAlign w:val="center"/>
            <w:hideMark/>
          </w:tcPr>
          <w:p w14:paraId="24906F1A" w14:textId="77777777" w:rsidR="00B15F7D" w:rsidRPr="00990FB6" w:rsidRDefault="00B15F7D" w:rsidP="00B15F7D">
            <w:pPr>
              <w:suppressAutoHyphens w:val="0"/>
              <w:rPr>
                <w:b/>
                <w:bCs/>
                <w:color w:val="FFFFFF"/>
                <w:sz w:val="22"/>
                <w:szCs w:val="22"/>
                <w:lang w:val="es-CR" w:eastAsia="es-CR"/>
              </w:rPr>
            </w:pPr>
          </w:p>
        </w:tc>
        <w:tc>
          <w:tcPr>
            <w:tcW w:w="708" w:type="dxa"/>
            <w:tcBorders>
              <w:top w:val="nil"/>
              <w:left w:val="nil"/>
              <w:bottom w:val="single" w:sz="8" w:space="0" w:color="E7E6E6"/>
              <w:right w:val="single" w:sz="8" w:space="0" w:color="E7E6E6"/>
            </w:tcBorders>
            <w:shd w:val="clear" w:color="000000" w:fill="305496"/>
            <w:vAlign w:val="center"/>
            <w:hideMark/>
          </w:tcPr>
          <w:p w14:paraId="5403110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4</w:t>
            </w:r>
          </w:p>
        </w:tc>
        <w:tc>
          <w:tcPr>
            <w:tcW w:w="709" w:type="dxa"/>
            <w:tcBorders>
              <w:top w:val="nil"/>
              <w:left w:val="nil"/>
              <w:bottom w:val="single" w:sz="8" w:space="0" w:color="E7E6E6"/>
              <w:right w:val="single" w:sz="8" w:space="0" w:color="E7E6E6"/>
            </w:tcBorders>
            <w:shd w:val="clear" w:color="000000" w:fill="305496"/>
            <w:vAlign w:val="center"/>
            <w:hideMark/>
          </w:tcPr>
          <w:p w14:paraId="14B06E6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709" w:type="dxa"/>
            <w:tcBorders>
              <w:top w:val="nil"/>
              <w:left w:val="nil"/>
              <w:bottom w:val="single" w:sz="8" w:space="0" w:color="E7E6E6"/>
              <w:right w:val="single" w:sz="8" w:space="0" w:color="E7E6E6"/>
            </w:tcBorders>
            <w:shd w:val="clear" w:color="000000" w:fill="305496"/>
            <w:vAlign w:val="center"/>
            <w:hideMark/>
          </w:tcPr>
          <w:p w14:paraId="4F87C50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417" w:type="dxa"/>
            <w:tcBorders>
              <w:top w:val="nil"/>
              <w:left w:val="nil"/>
              <w:bottom w:val="single" w:sz="8" w:space="0" w:color="E7E6E6"/>
              <w:right w:val="single" w:sz="8" w:space="0" w:color="E7E6E6"/>
            </w:tcBorders>
            <w:shd w:val="clear" w:color="000000" w:fill="305496"/>
            <w:vAlign w:val="center"/>
            <w:hideMark/>
          </w:tcPr>
          <w:p w14:paraId="269F4B9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profesional</w:t>
            </w:r>
          </w:p>
        </w:tc>
        <w:tc>
          <w:tcPr>
            <w:tcW w:w="1276" w:type="dxa"/>
            <w:tcBorders>
              <w:top w:val="nil"/>
              <w:left w:val="nil"/>
              <w:bottom w:val="single" w:sz="8" w:space="0" w:color="E7E6E6"/>
              <w:right w:val="single" w:sz="8" w:space="0" w:color="E7E6E6"/>
            </w:tcBorders>
            <w:shd w:val="clear" w:color="000000" w:fill="305496"/>
            <w:vAlign w:val="center"/>
            <w:hideMark/>
          </w:tcPr>
          <w:p w14:paraId="48234E0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c>
          <w:tcPr>
            <w:tcW w:w="1559" w:type="dxa"/>
            <w:tcBorders>
              <w:top w:val="nil"/>
              <w:left w:val="nil"/>
              <w:bottom w:val="single" w:sz="8" w:space="0" w:color="E7E6E6"/>
              <w:right w:val="single" w:sz="8" w:space="0" w:color="E7E6E6"/>
            </w:tcBorders>
            <w:shd w:val="clear" w:color="000000" w:fill="305496"/>
            <w:vAlign w:val="center"/>
            <w:hideMark/>
          </w:tcPr>
          <w:p w14:paraId="0D750D2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62434E11" w14:textId="77777777" w:rsidTr="000A0C22">
        <w:trPr>
          <w:trHeight w:val="300"/>
          <w:jc w:val="center"/>
        </w:trPr>
        <w:tc>
          <w:tcPr>
            <w:tcW w:w="1511" w:type="dxa"/>
            <w:vMerge w:val="restart"/>
            <w:tcBorders>
              <w:top w:val="nil"/>
              <w:left w:val="single" w:sz="8" w:space="0" w:color="E7E6E6"/>
              <w:bottom w:val="single" w:sz="8" w:space="0" w:color="E7E6E6"/>
              <w:right w:val="nil"/>
            </w:tcBorders>
            <w:shd w:val="clear" w:color="000000" w:fill="FFFFFF"/>
            <w:vAlign w:val="center"/>
            <w:hideMark/>
          </w:tcPr>
          <w:p w14:paraId="0A4AB8B4"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317" w:type="dxa"/>
            <w:tcBorders>
              <w:top w:val="nil"/>
              <w:left w:val="single" w:sz="8" w:space="0" w:color="D4D4D4"/>
              <w:bottom w:val="single" w:sz="8" w:space="0" w:color="D4D4D4"/>
              <w:right w:val="single" w:sz="8" w:space="0" w:color="D4D4D4"/>
            </w:tcBorders>
            <w:shd w:val="clear" w:color="auto" w:fill="auto"/>
            <w:vAlign w:val="center"/>
            <w:hideMark/>
          </w:tcPr>
          <w:p w14:paraId="6F9C99C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708" w:type="dxa"/>
            <w:tcBorders>
              <w:top w:val="nil"/>
              <w:left w:val="nil"/>
              <w:bottom w:val="single" w:sz="8" w:space="0" w:color="D4D4D4"/>
              <w:right w:val="single" w:sz="8" w:space="0" w:color="D4D4D4"/>
            </w:tcBorders>
            <w:shd w:val="clear" w:color="auto" w:fill="auto"/>
            <w:vAlign w:val="center"/>
            <w:hideMark/>
          </w:tcPr>
          <w:p w14:paraId="65C4063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tcBorders>
              <w:top w:val="nil"/>
              <w:left w:val="nil"/>
              <w:bottom w:val="single" w:sz="8" w:space="0" w:color="D4D4D4"/>
              <w:right w:val="single" w:sz="8" w:space="0" w:color="D4D4D4"/>
            </w:tcBorders>
            <w:shd w:val="clear" w:color="auto" w:fill="auto"/>
            <w:vAlign w:val="center"/>
            <w:hideMark/>
          </w:tcPr>
          <w:p w14:paraId="2C302CC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D4D4D4"/>
              <w:right w:val="single" w:sz="8" w:space="0" w:color="D4D4D4"/>
            </w:tcBorders>
            <w:shd w:val="clear" w:color="auto" w:fill="auto"/>
            <w:vAlign w:val="center"/>
            <w:hideMark/>
          </w:tcPr>
          <w:p w14:paraId="4F318C6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tcBorders>
              <w:top w:val="nil"/>
              <w:left w:val="single" w:sz="8" w:space="0" w:color="E7E6E6"/>
              <w:bottom w:val="single" w:sz="8" w:space="0" w:color="E7E6E6"/>
              <w:right w:val="single" w:sz="8" w:space="0" w:color="E7E6E6"/>
            </w:tcBorders>
            <w:shd w:val="clear" w:color="000000" w:fill="FFFFFF"/>
            <w:vAlign w:val="center"/>
            <w:hideMark/>
          </w:tcPr>
          <w:p w14:paraId="3AE33BC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1276" w:type="dxa"/>
            <w:tcBorders>
              <w:top w:val="nil"/>
              <w:left w:val="nil"/>
              <w:bottom w:val="single" w:sz="8" w:space="0" w:color="E7E6E6"/>
              <w:right w:val="single" w:sz="8" w:space="0" w:color="E7E6E6"/>
            </w:tcBorders>
            <w:shd w:val="clear" w:color="000000" w:fill="FFFFFF"/>
            <w:vAlign w:val="center"/>
            <w:hideMark/>
          </w:tcPr>
          <w:p w14:paraId="3A7939A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tcBorders>
              <w:top w:val="nil"/>
              <w:left w:val="nil"/>
              <w:bottom w:val="single" w:sz="8" w:space="0" w:color="E7E6E6"/>
              <w:right w:val="single" w:sz="8" w:space="0" w:color="E7E6E6"/>
            </w:tcBorders>
            <w:shd w:val="clear" w:color="000000" w:fill="FFFFFF"/>
            <w:vAlign w:val="center"/>
            <w:hideMark/>
          </w:tcPr>
          <w:p w14:paraId="57A4A46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6C332D64"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4B16D5CA"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D4D4D4"/>
              <w:bottom w:val="single" w:sz="8" w:space="0" w:color="D4D4D4"/>
              <w:right w:val="single" w:sz="8" w:space="0" w:color="D4D4D4"/>
            </w:tcBorders>
            <w:shd w:val="clear" w:color="auto" w:fill="auto"/>
            <w:vAlign w:val="center"/>
            <w:hideMark/>
          </w:tcPr>
          <w:p w14:paraId="46148AA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708" w:type="dxa"/>
            <w:tcBorders>
              <w:top w:val="nil"/>
              <w:left w:val="nil"/>
              <w:bottom w:val="single" w:sz="8" w:space="0" w:color="D4D4D4"/>
              <w:right w:val="single" w:sz="8" w:space="0" w:color="D4D4D4"/>
            </w:tcBorders>
            <w:shd w:val="clear" w:color="auto" w:fill="auto"/>
            <w:vAlign w:val="center"/>
            <w:hideMark/>
          </w:tcPr>
          <w:p w14:paraId="1D176A6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tcBorders>
              <w:top w:val="nil"/>
              <w:left w:val="nil"/>
              <w:bottom w:val="single" w:sz="8" w:space="0" w:color="D4D4D4"/>
              <w:right w:val="single" w:sz="8" w:space="0" w:color="D4D4D4"/>
            </w:tcBorders>
            <w:shd w:val="clear" w:color="auto" w:fill="auto"/>
            <w:vAlign w:val="center"/>
            <w:hideMark/>
          </w:tcPr>
          <w:p w14:paraId="2659CD6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D4D4D4"/>
              <w:right w:val="single" w:sz="8" w:space="0" w:color="D4D4D4"/>
            </w:tcBorders>
            <w:shd w:val="clear" w:color="auto" w:fill="auto"/>
            <w:vAlign w:val="center"/>
            <w:hideMark/>
          </w:tcPr>
          <w:p w14:paraId="5E2AD0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tcBorders>
              <w:top w:val="nil"/>
              <w:left w:val="single" w:sz="8" w:space="0" w:color="E7E6E6"/>
              <w:bottom w:val="single" w:sz="8" w:space="0" w:color="E7E6E6"/>
              <w:right w:val="single" w:sz="8" w:space="0" w:color="E7E6E6"/>
            </w:tcBorders>
            <w:shd w:val="clear" w:color="000000" w:fill="FFFFFF"/>
            <w:hideMark/>
          </w:tcPr>
          <w:p w14:paraId="2B9CDC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3 105 364,00 </w:t>
            </w:r>
          </w:p>
        </w:tc>
        <w:tc>
          <w:tcPr>
            <w:tcW w:w="1276" w:type="dxa"/>
            <w:tcBorders>
              <w:top w:val="nil"/>
              <w:left w:val="nil"/>
              <w:bottom w:val="single" w:sz="8" w:space="0" w:color="E7E6E6"/>
              <w:right w:val="single" w:sz="8" w:space="0" w:color="E7E6E6"/>
            </w:tcBorders>
            <w:shd w:val="clear" w:color="000000" w:fill="FFFFFF"/>
            <w:hideMark/>
          </w:tcPr>
          <w:p w14:paraId="3BC4D9C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tcBorders>
              <w:top w:val="nil"/>
              <w:left w:val="nil"/>
              <w:bottom w:val="single" w:sz="8" w:space="0" w:color="E7E6E6"/>
              <w:right w:val="single" w:sz="8" w:space="0" w:color="E7E6E6"/>
            </w:tcBorders>
            <w:shd w:val="clear" w:color="000000" w:fill="FFFFFF"/>
            <w:vAlign w:val="center"/>
            <w:hideMark/>
          </w:tcPr>
          <w:p w14:paraId="09E3334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2811E087"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0261462D"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D4D4D4"/>
              <w:bottom w:val="single" w:sz="8" w:space="0" w:color="D4D4D4"/>
              <w:right w:val="single" w:sz="8" w:space="0" w:color="D4D4D4"/>
            </w:tcBorders>
            <w:shd w:val="clear" w:color="auto" w:fill="auto"/>
            <w:vAlign w:val="center"/>
            <w:hideMark/>
          </w:tcPr>
          <w:p w14:paraId="68CDCEB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708" w:type="dxa"/>
            <w:tcBorders>
              <w:top w:val="nil"/>
              <w:left w:val="nil"/>
              <w:bottom w:val="single" w:sz="8" w:space="0" w:color="D4D4D4"/>
              <w:right w:val="single" w:sz="8" w:space="0" w:color="D4D4D4"/>
            </w:tcBorders>
            <w:shd w:val="clear" w:color="auto" w:fill="auto"/>
            <w:vAlign w:val="center"/>
            <w:hideMark/>
          </w:tcPr>
          <w:p w14:paraId="3A8110D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tcBorders>
              <w:top w:val="nil"/>
              <w:left w:val="nil"/>
              <w:bottom w:val="single" w:sz="8" w:space="0" w:color="D4D4D4"/>
              <w:right w:val="single" w:sz="8" w:space="0" w:color="D4D4D4"/>
            </w:tcBorders>
            <w:shd w:val="clear" w:color="auto" w:fill="auto"/>
            <w:vAlign w:val="center"/>
            <w:hideMark/>
          </w:tcPr>
          <w:p w14:paraId="046ED87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D4D4D4"/>
              <w:right w:val="single" w:sz="8" w:space="0" w:color="D4D4D4"/>
            </w:tcBorders>
            <w:shd w:val="clear" w:color="auto" w:fill="auto"/>
            <w:vAlign w:val="center"/>
            <w:hideMark/>
          </w:tcPr>
          <w:p w14:paraId="2B737C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tcBorders>
              <w:top w:val="nil"/>
              <w:left w:val="single" w:sz="8" w:space="0" w:color="E7E6E6"/>
              <w:bottom w:val="single" w:sz="8" w:space="0" w:color="E7E6E6"/>
              <w:right w:val="single" w:sz="8" w:space="0" w:color="E7E6E6"/>
            </w:tcBorders>
            <w:shd w:val="clear" w:color="000000" w:fill="FFFFFF"/>
            <w:hideMark/>
          </w:tcPr>
          <w:p w14:paraId="08871B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3 105 364,00 </w:t>
            </w:r>
          </w:p>
        </w:tc>
        <w:tc>
          <w:tcPr>
            <w:tcW w:w="1276" w:type="dxa"/>
            <w:tcBorders>
              <w:top w:val="nil"/>
              <w:left w:val="nil"/>
              <w:bottom w:val="single" w:sz="8" w:space="0" w:color="E7E6E6"/>
              <w:right w:val="single" w:sz="8" w:space="0" w:color="E7E6E6"/>
            </w:tcBorders>
            <w:shd w:val="clear" w:color="000000" w:fill="FFFFFF"/>
            <w:hideMark/>
          </w:tcPr>
          <w:p w14:paraId="422DB6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tcBorders>
              <w:top w:val="nil"/>
              <w:left w:val="nil"/>
              <w:bottom w:val="single" w:sz="8" w:space="0" w:color="E7E6E6"/>
              <w:right w:val="single" w:sz="8" w:space="0" w:color="E7E6E6"/>
            </w:tcBorders>
            <w:shd w:val="clear" w:color="000000" w:fill="FFFFFF"/>
            <w:vAlign w:val="center"/>
            <w:hideMark/>
          </w:tcPr>
          <w:p w14:paraId="6ECF76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3ECE8AA9"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50DF55B6"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D4D4D4"/>
              <w:bottom w:val="single" w:sz="8" w:space="0" w:color="D4D4D4"/>
              <w:right w:val="single" w:sz="8" w:space="0" w:color="D4D4D4"/>
            </w:tcBorders>
            <w:shd w:val="clear" w:color="auto" w:fill="auto"/>
            <w:vAlign w:val="center"/>
            <w:hideMark/>
          </w:tcPr>
          <w:p w14:paraId="22E8099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708" w:type="dxa"/>
            <w:tcBorders>
              <w:top w:val="nil"/>
              <w:left w:val="nil"/>
              <w:bottom w:val="single" w:sz="8" w:space="0" w:color="D4D4D4"/>
              <w:right w:val="single" w:sz="8" w:space="0" w:color="D4D4D4"/>
            </w:tcBorders>
            <w:shd w:val="clear" w:color="auto" w:fill="auto"/>
            <w:vAlign w:val="center"/>
            <w:hideMark/>
          </w:tcPr>
          <w:p w14:paraId="3AC419C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tcBorders>
              <w:top w:val="nil"/>
              <w:left w:val="nil"/>
              <w:bottom w:val="single" w:sz="8" w:space="0" w:color="D4D4D4"/>
              <w:right w:val="single" w:sz="8" w:space="0" w:color="D4D4D4"/>
            </w:tcBorders>
            <w:shd w:val="clear" w:color="auto" w:fill="auto"/>
            <w:vAlign w:val="center"/>
            <w:hideMark/>
          </w:tcPr>
          <w:p w14:paraId="101EBF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D4D4D4"/>
              <w:right w:val="single" w:sz="8" w:space="0" w:color="D4D4D4"/>
            </w:tcBorders>
            <w:shd w:val="clear" w:color="auto" w:fill="auto"/>
            <w:vAlign w:val="center"/>
            <w:hideMark/>
          </w:tcPr>
          <w:p w14:paraId="06ABAFB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tcBorders>
              <w:top w:val="nil"/>
              <w:left w:val="single" w:sz="8" w:space="0" w:color="E7E6E6"/>
              <w:bottom w:val="single" w:sz="8" w:space="0" w:color="E7E6E6"/>
              <w:right w:val="single" w:sz="8" w:space="0" w:color="E7E6E6"/>
            </w:tcBorders>
            <w:shd w:val="clear" w:color="000000" w:fill="FFFFFF"/>
            <w:hideMark/>
          </w:tcPr>
          <w:p w14:paraId="0380692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3 105 364,00 </w:t>
            </w:r>
          </w:p>
        </w:tc>
        <w:tc>
          <w:tcPr>
            <w:tcW w:w="1276" w:type="dxa"/>
            <w:tcBorders>
              <w:top w:val="nil"/>
              <w:left w:val="nil"/>
              <w:bottom w:val="single" w:sz="8" w:space="0" w:color="E7E6E6"/>
              <w:right w:val="single" w:sz="8" w:space="0" w:color="E7E6E6"/>
            </w:tcBorders>
            <w:shd w:val="clear" w:color="000000" w:fill="FFFFFF"/>
            <w:hideMark/>
          </w:tcPr>
          <w:p w14:paraId="704ED2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tcBorders>
              <w:top w:val="nil"/>
              <w:left w:val="nil"/>
              <w:bottom w:val="single" w:sz="8" w:space="0" w:color="E7E6E6"/>
              <w:right w:val="single" w:sz="8" w:space="0" w:color="E7E6E6"/>
            </w:tcBorders>
            <w:shd w:val="clear" w:color="000000" w:fill="FFFFFF"/>
            <w:vAlign w:val="center"/>
            <w:hideMark/>
          </w:tcPr>
          <w:p w14:paraId="1ADD81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01A975B4"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14AA5142"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D4D4D4"/>
              <w:bottom w:val="single" w:sz="8" w:space="0" w:color="D4D4D4"/>
              <w:right w:val="single" w:sz="8" w:space="0" w:color="D4D4D4"/>
            </w:tcBorders>
            <w:shd w:val="clear" w:color="auto" w:fill="auto"/>
            <w:vAlign w:val="center"/>
            <w:hideMark/>
          </w:tcPr>
          <w:p w14:paraId="64FC1EF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708" w:type="dxa"/>
            <w:tcBorders>
              <w:top w:val="nil"/>
              <w:left w:val="nil"/>
              <w:bottom w:val="single" w:sz="8" w:space="0" w:color="D4D4D4"/>
              <w:right w:val="single" w:sz="8" w:space="0" w:color="D4D4D4"/>
            </w:tcBorders>
            <w:shd w:val="clear" w:color="auto" w:fill="auto"/>
            <w:vAlign w:val="center"/>
            <w:hideMark/>
          </w:tcPr>
          <w:p w14:paraId="373D3A0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tcBorders>
              <w:top w:val="nil"/>
              <w:left w:val="nil"/>
              <w:bottom w:val="single" w:sz="8" w:space="0" w:color="D4D4D4"/>
              <w:right w:val="single" w:sz="8" w:space="0" w:color="D4D4D4"/>
            </w:tcBorders>
            <w:shd w:val="clear" w:color="auto" w:fill="auto"/>
            <w:vAlign w:val="center"/>
            <w:hideMark/>
          </w:tcPr>
          <w:p w14:paraId="42E81D3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D4D4D4"/>
              <w:right w:val="single" w:sz="8" w:space="0" w:color="D4D4D4"/>
            </w:tcBorders>
            <w:shd w:val="clear" w:color="auto" w:fill="auto"/>
            <w:vAlign w:val="center"/>
            <w:hideMark/>
          </w:tcPr>
          <w:p w14:paraId="5DB6D9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tcBorders>
              <w:top w:val="nil"/>
              <w:left w:val="single" w:sz="8" w:space="0" w:color="E7E6E6"/>
              <w:bottom w:val="single" w:sz="8" w:space="0" w:color="E7E6E6"/>
              <w:right w:val="single" w:sz="8" w:space="0" w:color="E7E6E6"/>
            </w:tcBorders>
            <w:shd w:val="clear" w:color="000000" w:fill="FFFFFF"/>
            <w:hideMark/>
          </w:tcPr>
          <w:p w14:paraId="4AC86E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3 105 364,00 </w:t>
            </w:r>
          </w:p>
        </w:tc>
        <w:tc>
          <w:tcPr>
            <w:tcW w:w="1276" w:type="dxa"/>
            <w:tcBorders>
              <w:top w:val="nil"/>
              <w:left w:val="nil"/>
              <w:bottom w:val="single" w:sz="8" w:space="0" w:color="E7E6E6"/>
              <w:right w:val="single" w:sz="8" w:space="0" w:color="E7E6E6"/>
            </w:tcBorders>
            <w:shd w:val="clear" w:color="000000" w:fill="FFFFFF"/>
            <w:hideMark/>
          </w:tcPr>
          <w:p w14:paraId="0631C94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tcBorders>
              <w:top w:val="nil"/>
              <w:left w:val="nil"/>
              <w:bottom w:val="single" w:sz="8" w:space="0" w:color="E7E6E6"/>
              <w:right w:val="single" w:sz="8" w:space="0" w:color="E7E6E6"/>
            </w:tcBorders>
            <w:shd w:val="clear" w:color="000000" w:fill="FFFFFF"/>
            <w:vAlign w:val="center"/>
            <w:hideMark/>
          </w:tcPr>
          <w:p w14:paraId="3F036E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511BEB3E"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5D1535CF"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D4D4D4"/>
              <w:bottom w:val="nil"/>
              <w:right w:val="single" w:sz="8" w:space="0" w:color="D4D4D4"/>
            </w:tcBorders>
            <w:shd w:val="clear" w:color="auto" w:fill="auto"/>
            <w:vAlign w:val="center"/>
            <w:hideMark/>
          </w:tcPr>
          <w:p w14:paraId="11BE219E"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708" w:type="dxa"/>
            <w:tcBorders>
              <w:top w:val="nil"/>
              <w:left w:val="nil"/>
              <w:bottom w:val="nil"/>
              <w:right w:val="single" w:sz="8" w:space="0" w:color="D4D4D4"/>
            </w:tcBorders>
            <w:shd w:val="clear" w:color="auto" w:fill="auto"/>
            <w:vAlign w:val="center"/>
            <w:hideMark/>
          </w:tcPr>
          <w:p w14:paraId="461C5A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709" w:type="dxa"/>
            <w:tcBorders>
              <w:top w:val="nil"/>
              <w:left w:val="nil"/>
              <w:bottom w:val="single" w:sz="8" w:space="0" w:color="D4D4D4"/>
              <w:right w:val="single" w:sz="8" w:space="0" w:color="D4D4D4"/>
            </w:tcBorders>
            <w:shd w:val="clear" w:color="auto" w:fill="auto"/>
            <w:vAlign w:val="center"/>
            <w:hideMark/>
          </w:tcPr>
          <w:p w14:paraId="48B792A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nil"/>
              <w:right w:val="single" w:sz="8" w:space="0" w:color="D4D4D4"/>
            </w:tcBorders>
            <w:shd w:val="clear" w:color="auto" w:fill="auto"/>
            <w:vAlign w:val="center"/>
            <w:hideMark/>
          </w:tcPr>
          <w:p w14:paraId="4581895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tcBorders>
              <w:top w:val="nil"/>
              <w:left w:val="single" w:sz="8" w:space="0" w:color="E7E6E6"/>
              <w:bottom w:val="single" w:sz="8" w:space="0" w:color="E7E6E6"/>
              <w:right w:val="single" w:sz="8" w:space="0" w:color="E7E6E6"/>
            </w:tcBorders>
            <w:shd w:val="clear" w:color="000000" w:fill="FFFFFF"/>
            <w:vAlign w:val="center"/>
            <w:hideMark/>
          </w:tcPr>
          <w:p w14:paraId="157E16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c>
          <w:tcPr>
            <w:tcW w:w="1276" w:type="dxa"/>
            <w:tcBorders>
              <w:top w:val="nil"/>
              <w:left w:val="nil"/>
              <w:bottom w:val="single" w:sz="8" w:space="0" w:color="E7E6E6"/>
              <w:right w:val="single" w:sz="8" w:space="0" w:color="E7E6E6"/>
            </w:tcBorders>
            <w:shd w:val="clear" w:color="000000" w:fill="FFFFFF"/>
            <w:hideMark/>
          </w:tcPr>
          <w:p w14:paraId="21372AC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tcBorders>
              <w:top w:val="nil"/>
              <w:left w:val="nil"/>
              <w:bottom w:val="single" w:sz="8" w:space="0" w:color="E7E6E6"/>
              <w:right w:val="single" w:sz="8" w:space="0" w:color="E7E6E6"/>
            </w:tcBorders>
            <w:shd w:val="clear" w:color="000000" w:fill="FFFFFF"/>
            <w:vAlign w:val="center"/>
            <w:hideMark/>
          </w:tcPr>
          <w:p w14:paraId="5C70092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6 775 886,00 </w:t>
            </w:r>
          </w:p>
        </w:tc>
      </w:tr>
      <w:tr w:rsidR="00B15F7D" w:rsidRPr="00990FB6" w14:paraId="20073C89"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371C8DB4" w14:textId="77777777" w:rsidR="00B15F7D" w:rsidRPr="00990FB6" w:rsidRDefault="00B15F7D" w:rsidP="00B15F7D">
            <w:pPr>
              <w:suppressAutoHyphens w:val="0"/>
              <w:rPr>
                <w:b/>
                <w:bCs/>
                <w:color w:val="000000"/>
                <w:sz w:val="22"/>
                <w:szCs w:val="22"/>
                <w:lang w:val="es-CR" w:eastAsia="es-CR"/>
              </w:rPr>
            </w:pPr>
          </w:p>
        </w:tc>
        <w:tc>
          <w:tcPr>
            <w:tcW w:w="2317" w:type="dxa"/>
            <w:tcBorders>
              <w:top w:val="single" w:sz="8" w:space="0" w:color="E7E6E6"/>
              <w:left w:val="single" w:sz="8" w:space="0" w:color="E7E6E6"/>
              <w:bottom w:val="single" w:sz="8" w:space="0" w:color="E7E6E6"/>
              <w:right w:val="single" w:sz="8" w:space="0" w:color="E7E6E6"/>
            </w:tcBorders>
            <w:shd w:val="clear" w:color="000000" w:fill="FFFFFF"/>
            <w:vAlign w:val="center"/>
            <w:hideMark/>
          </w:tcPr>
          <w:p w14:paraId="5D75069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Puntarenas</w:t>
            </w:r>
          </w:p>
        </w:tc>
        <w:tc>
          <w:tcPr>
            <w:tcW w:w="708" w:type="dxa"/>
            <w:tcBorders>
              <w:top w:val="single" w:sz="8" w:space="0" w:color="E7E6E6"/>
              <w:left w:val="nil"/>
              <w:bottom w:val="single" w:sz="8" w:space="0" w:color="E7E6E6"/>
              <w:right w:val="single" w:sz="8" w:space="0" w:color="E7E6E6"/>
            </w:tcBorders>
            <w:shd w:val="clear" w:color="000000" w:fill="FFFFFF"/>
            <w:vAlign w:val="center"/>
            <w:hideMark/>
          </w:tcPr>
          <w:p w14:paraId="6D8B6E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709" w:type="dxa"/>
            <w:tcBorders>
              <w:top w:val="single" w:sz="8" w:space="0" w:color="E7E6E6"/>
              <w:left w:val="nil"/>
              <w:bottom w:val="single" w:sz="8" w:space="0" w:color="E7E6E6"/>
              <w:right w:val="single" w:sz="8" w:space="0" w:color="E7E6E6"/>
            </w:tcBorders>
            <w:shd w:val="clear" w:color="000000" w:fill="FFFFFF"/>
            <w:vAlign w:val="center"/>
            <w:hideMark/>
          </w:tcPr>
          <w:p w14:paraId="1926B06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single" w:sz="8" w:space="0" w:color="E7E6E6"/>
              <w:left w:val="nil"/>
              <w:bottom w:val="single" w:sz="8" w:space="0" w:color="E7E6E6"/>
              <w:right w:val="single" w:sz="8" w:space="0" w:color="E7E6E6"/>
            </w:tcBorders>
            <w:shd w:val="clear" w:color="000000" w:fill="FFFFFF"/>
            <w:vAlign w:val="center"/>
            <w:hideMark/>
          </w:tcPr>
          <w:p w14:paraId="7C4A11B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7" w:type="dxa"/>
            <w:tcBorders>
              <w:top w:val="nil"/>
              <w:left w:val="nil"/>
              <w:bottom w:val="single" w:sz="8" w:space="0" w:color="E7E6E6"/>
              <w:right w:val="single" w:sz="8" w:space="0" w:color="E7E6E6"/>
            </w:tcBorders>
            <w:shd w:val="clear" w:color="000000" w:fill="FFFFFF"/>
            <w:vAlign w:val="center"/>
            <w:hideMark/>
          </w:tcPr>
          <w:p w14:paraId="4095AEE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c>
          <w:tcPr>
            <w:tcW w:w="1276" w:type="dxa"/>
            <w:tcBorders>
              <w:top w:val="nil"/>
              <w:left w:val="nil"/>
              <w:bottom w:val="single" w:sz="8" w:space="0" w:color="E7E6E6"/>
              <w:right w:val="single" w:sz="8" w:space="0" w:color="E7E6E6"/>
            </w:tcBorders>
            <w:shd w:val="clear" w:color="000000" w:fill="FFFFFF"/>
            <w:vAlign w:val="center"/>
            <w:hideMark/>
          </w:tcPr>
          <w:p w14:paraId="4964D5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1559" w:type="dxa"/>
            <w:tcBorders>
              <w:top w:val="nil"/>
              <w:left w:val="nil"/>
              <w:bottom w:val="single" w:sz="8" w:space="0" w:color="E7E6E6"/>
              <w:right w:val="single" w:sz="8" w:space="0" w:color="E7E6E6"/>
            </w:tcBorders>
            <w:shd w:val="clear" w:color="000000" w:fill="FFFFFF"/>
            <w:vAlign w:val="center"/>
            <w:hideMark/>
          </w:tcPr>
          <w:p w14:paraId="3C623E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5 716 966,00 </w:t>
            </w:r>
          </w:p>
        </w:tc>
      </w:tr>
      <w:tr w:rsidR="00B15F7D" w:rsidRPr="00990FB6" w14:paraId="0BCD46F8"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50AA10E9"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FFFFFF"/>
            <w:vAlign w:val="center"/>
            <w:hideMark/>
          </w:tcPr>
          <w:p w14:paraId="27579CE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Liberia</w:t>
            </w:r>
          </w:p>
        </w:tc>
        <w:tc>
          <w:tcPr>
            <w:tcW w:w="708" w:type="dxa"/>
            <w:tcBorders>
              <w:top w:val="nil"/>
              <w:left w:val="nil"/>
              <w:bottom w:val="single" w:sz="8" w:space="0" w:color="E7E6E6"/>
              <w:right w:val="single" w:sz="8" w:space="0" w:color="E7E6E6"/>
            </w:tcBorders>
            <w:shd w:val="clear" w:color="000000" w:fill="FFFFFF"/>
            <w:vAlign w:val="center"/>
            <w:hideMark/>
          </w:tcPr>
          <w:p w14:paraId="672A1C3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709" w:type="dxa"/>
            <w:tcBorders>
              <w:top w:val="nil"/>
              <w:left w:val="nil"/>
              <w:bottom w:val="single" w:sz="8" w:space="0" w:color="E7E6E6"/>
              <w:right w:val="single" w:sz="8" w:space="0" w:color="E7E6E6"/>
            </w:tcBorders>
            <w:shd w:val="clear" w:color="000000" w:fill="FFFFFF"/>
            <w:vAlign w:val="center"/>
            <w:hideMark/>
          </w:tcPr>
          <w:p w14:paraId="558A01F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E7E6E6"/>
              <w:right w:val="single" w:sz="8" w:space="0" w:color="E7E6E6"/>
            </w:tcBorders>
            <w:shd w:val="clear" w:color="000000" w:fill="FFFFFF"/>
            <w:vAlign w:val="center"/>
            <w:hideMark/>
          </w:tcPr>
          <w:p w14:paraId="2A7B18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1417" w:type="dxa"/>
            <w:tcBorders>
              <w:top w:val="nil"/>
              <w:left w:val="nil"/>
              <w:bottom w:val="single" w:sz="8" w:space="0" w:color="E7E6E6"/>
              <w:right w:val="single" w:sz="8" w:space="0" w:color="E7E6E6"/>
            </w:tcBorders>
            <w:shd w:val="clear" w:color="000000" w:fill="FFFFFF"/>
            <w:hideMark/>
          </w:tcPr>
          <w:p w14:paraId="4F70A5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4 658 046,00 </w:t>
            </w:r>
          </w:p>
        </w:tc>
        <w:tc>
          <w:tcPr>
            <w:tcW w:w="1276" w:type="dxa"/>
            <w:tcBorders>
              <w:top w:val="nil"/>
              <w:left w:val="nil"/>
              <w:bottom w:val="single" w:sz="8" w:space="0" w:color="E7E6E6"/>
              <w:right w:val="single" w:sz="8" w:space="0" w:color="E7E6E6"/>
            </w:tcBorders>
            <w:shd w:val="clear" w:color="000000" w:fill="FFFFFF"/>
            <w:vAlign w:val="center"/>
            <w:hideMark/>
          </w:tcPr>
          <w:p w14:paraId="2F80C15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4 235 680,00 </w:t>
            </w:r>
          </w:p>
        </w:tc>
        <w:tc>
          <w:tcPr>
            <w:tcW w:w="1559" w:type="dxa"/>
            <w:tcBorders>
              <w:top w:val="nil"/>
              <w:left w:val="nil"/>
              <w:bottom w:val="single" w:sz="8" w:space="0" w:color="E7E6E6"/>
              <w:right w:val="single" w:sz="8" w:space="0" w:color="E7E6E6"/>
            </w:tcBorders>
            <w:shd w:val="clear" w:color="000000" w:fill="FFFFFF"/>
            <w:vAlign w:val="center"/>
            <w:hideMark/>
          </w:tcPr>
          <w:p w14:paraId="798559A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8 893 726,00 </w:t>
            </w:r>
          </w:p>
        </w:tc>
      </w:tr>
      <w:tr w:rsidR="00B15F7D" w:rsidRPr="00990FB6" w14:paraId="14A002D5"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5D284FC4"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FFFFFF"/>
            <w:vAlign w:val="center"/>
            <w:hideMark/>
          </w:tcPr>
          <w:p w14:paraId="6E88EA7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Guápiles</w:t>
            </w:r>
          </w:p>
        </w:tc>
        <w:tc>
          <w:tcPr>
            <w:tcW w:w="708" w:type="dxa"/>
            <w:tcBorders>
              <w:top w:val="nil"/>
              <w:left w:val="nil"/>
              <w:bottom w:val="single" w:sz="8" w:space="0" w:color="E7E6E6"/>
              <w:right w:val="single" w:sz="8" w:space="0" w:color="E7E6E6"/>
            </w:tcBorders>
            <w:shd w:val="clear" w:color="000000" w:fill="FFFFFF"/>
            <w:vAlign w:val="center"/>
            <w:hideMark/>
          </w:tcPr>
          <w:p w14:paraId="1597D66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4</w:t>
            </w:r>
          </w:p>
        </w:tc>
        <w:tc>
          <w:tcPr>
            <w:tcW w:w="709" w:type="dxa"/>
            <w:tcBorders>
              <w:top w:val="nil"/>
              <w:left w:val="nil"/>
              <w:bottom w:val="single" w:sz="8" w:space="0" w:color="E7E6E6"/>
              <w:right w:val="single" w:sz="8" w:space="0" w:color="E7E6E6"/>
            </w:tcBorders>
            <w:shd w:val="clear" w:color="000000" w:fill="FFFFFF"/>
            <w:vAlign w:val="center"/>
            <w:hideMark/>
          </w:tcPr>
          <w:p w14:paraId="7D0850E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0</w:t>
            </w:r>
          </w:p>
        </w:tc>
        <w:tc>
          <w:tcPr>
            <w:tcW w:w="709" w:type="dxa"/>
            <w:tcBorders>
              <w:top w:val="nil"/>
              <w:left w:val="nil"/>
              <w:bottom w:val="single" w:sz="8" w:space="0" w:color="E7E6E6"/>
              <w:right w:val="single" w:sz="8" w:space="0" w:color="E7E6E6"/>
            </w:tcBorders>
            <w:shd w:val="clear" w:color="000000" w:fill="FFFFFF"/>
            <w:vAlign w:val="center"/>
            <w:hideMark/>
          </w:tcPr>
          <w:p w14:paraId="4313BB6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5</w:t>
            </w:r>
          </w:p>
        </w:tc>
        <w:tc>
          <w:tcPr>
            <w:tcW w:w="1417" w:type="dxa"/>
            <w:tcBorders>
              <w:top w:val="nil"/>
              <w:left w:val="nil"/>
              <w:bottom w:val="single" w:sz="8" w:space="0" w:color="E7E6E6"/>
              <w:right w:val="single" w:sz="8" w:space="0" w:color="E7E6E6"/>
            </w:tcBorders>
            <w:shd w:val="clear" w:color="000000" w:fill="FFFFFF"/>
            <w:vAlign w:val="center"/>
            <w:hideMark/>
          </w:tcPr>
          <w:p w14:paraId="670A2F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6 210 728,00 </w:t>
            </w:r>
          </w:p>
        </w:tc>
        <w:tc>
          <w:tcPr>
            <w:tcW w:w="1276" w:type="dxa"/>
            <w:tcBorders>
              <w:top w:val="nil"/>
              <w:left w:val="nil"/>
              <w:bottom w:val="single" w:sz="8" w:space="0" w:color="E7E6E6"/>
              <w:right w:val="single" w:sz="8" w:space="0" w:color="E7E6E6"/>
            </w:tcBorders>
            <w:shd w:val="clear" w:color="000000" w:fill="FFFFFF"/>
            <w:vAlign w:val="center"/>
            <w:hideMark/>
          </w:tcPr>
          <w:p w14:paraId="0CD962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5 294 600,00 </w:t>
            </w:r>
          </w:p>
        </w:tc>
        <w:tc>
          <w:tcPr>
            <w:tcW w:w="1559" w:type="dxa"/>
            <w:tcBorders>
              <w:top w:val="nil"/>
              <w:left w:val="nil"/>
              <w:bottom w:val="single" w:sz="8" w:space="0" w:color="E7E6E6"/>
              <w:right w:val="single" w:sz="8" w:space="0" w:color="E7E6E6"/>
            </w:tcBorders>
            <w:shd w:val="clear" w:color="000000" w:fill="FFFFFF"/>
            <w:vAlign w:val="center"/>
            <w:hideMark/>
          </w:tcPr>
          <w:p w14:paraId="0A9F19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11 505 328,00                                                                 </w:t>
            </w:r>
          </w:p>
        </w:tc>
      </w:tr>
      <w:tr w:rsidR="00B15F7D" w:rsidRPr="00990FB6" w14:paraId="28AE8E91"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599965BE"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FFFFFF"/>
            <w:vAlign w:val="center"/>
            <w:hideMark/>
          </w:tcPr>
          <w:p w14:paraId="6CE104F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Limón</w:t>
            </w:r>
          </w:p>
        </w:tc>
        <w:tc>
          <w:tcPr>
            <w:tcW w:w="708" w:type="dxa"/>
            <w:tcBorders>
              <w:top w:val="nil"/>
              <w:left w:val="nil"/>
              <w:bottom w:val="single" w:sz="8" w:space="0" w:color="E7E6E6"/>
              <w:right w:val="single" w:sz="8" w:space="0" w:color="E7E6E6"/>
            </w:tcBorders>
            <w:shd w:val="clear" w:color="000000" w:fill="FFFFFF"/>
            <w:vAlign w:val="center"/>
            <w:hideMark/>
          </w:tcPr>
          <w:p w14:paraId="0F89250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709" w:type="dxa"/>
            <w:tcBorders>
              <w:top w:val="nil"/>
              <w:left w:val="nil"/>
              <w:bottom w:val="single" w:sz="8" w:space="0" w:color="E7E6E6"/>
              <w:right w:val="single" w:sz="8" w:space="0" w:color="E7E6E6"/>
            </w:tcBorders>
            <w:shd w:val="clear" w:color="000000" w:fill="FFFFFF"/>
            <w:vAlign w:val="center"/>
            <w:hideMark/>
          </w:tcPr>
          <w:p w14:paraId="1B5DF2D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tcBorders>
              <w:top w:val="nil"/>
              <w:left w:val="nil"/>
              <w:bottom w:val="single" w:sz="8" w:space="0" w:color="E7E6E6"/>
              <w:right w:val="single" w:sz="8" w:space="0" w:color="E7E6E6"/>
            </w:tcBorders>
            <w:shd w:val="clear" w:color="000000" w:fill="FFFFFF"/>
            <w:vAlign w:val="center"/>
            <w:hideMark/>
          </w:tcPr>
          <w:p w14:paraId="7E3989D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1417" w:type="dxa"/>
            <w:tcBorders>
              <w:top w:val="nil"/>
              <w:left w:val="nil"/>
              <w:bottom w:val="single" w:sz="8" w:space="0" w:color="E7E6E6"/>
              <w:right w:val="single" w:sz="8" w:space="0" w:color="E7E6E6"/>
            </w:tcBorders>
            <w:shd w:val="clear" w:color="000000" w:fill="FFFFFF"/>
            <w:vAlign w:val="center"/>
            <w:hideMark/>
          </w:tcPr>
          <w:p w14:paraId="0069698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6 210 728,00 </w:t>
            </w:r>
          </w:p>
        </w:tc>
        <w:tc>
          <w:tcPr>
            <w:tcW w:w="1276" w:type="dxa"/>
            <w:tcBorders>
              <w:top w:val="nil"/>
              <w:left w:val="nil"/>
              <w:bottom w:val="single" w:sz="8" w:space="0" w:color="E7E6E6"/>
              <w:right w:val="single" w:sz="8" w:space="0" w:color="E7E6E6"/>
            </w:tcBorders>
            <w:shd w:val="clear" w:color="000000" w:fill="FFFFFF"/>
            <w:vAlign w:val="center"/>
            <w:hideMark/>
          </w:tcPr>
          <w:p w14:paraId="670310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4 235 680,00 </w:t>
            </w:r>
          </w:p>
        </w:tc>
        <w:tc>
          <w:tcPr>
            <w:tcW w:w="1559" w:type="dxa"/>
            <w:tcBorders>
              <w:top w:val="nil"/>
              <w:left w:val="nil"/>
              <w:bottom w:val="single" w:sz="8" w:space="0" w:color="E7E6E6"/>
              <w:right w:val="single" w:sz="8" w:space="0" w:color="E7E6E6"/>
            </w:tcBorders>
            <w:shd w:val="clear" w:color="000000" w:fill="FFFFFF"/>
            <w:vAlign w:val="center"/>
            <w:hideMark/>
          </w:tcPr>
          <w:p w14:paraId="7B9BF2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10 446 408,00 </w:t>
            </w:r>
          </w:p>
        </w:tc>
      </w:tr>
      <w:tr w:rsidR="00B15F7D" w:rsidRPr="00990FB6" w14:paraId="2DE0837D"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4BA018FB"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FFFFFF"/>
            <w:vAlign w:val="center"/>
            <w:hideMark/>
          </w:tcPr>
          <w:p w14:paraId="57EB39E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Pavas</w:t>
            </w:r>
          </w:p>
        </w:tc>
        <w:tc>
          <w:tcPr>
            <w:tcW w:w="708" w:type="dxa"/>
            <w:tcBorders>
              <w:top w:val="nil"/>
              <w:left w:val="nil"/>
              <w:bottom w:val="single" w:sz="8" w:space="0" w:color="E7E6E6"/>
              <w:right w:val="single" w:sz="8" w:space="0" w:color="E7E6E6"/>
            </w:tcBorders>
            <w:shd w:val="clear" w:color="000000" w:fill="FFFFFF"/>
            <w:vAlign w:val="center"/>
            <w:hideMark/>
          </w:tcPr>
          <w:p w14:paraId="761898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tcBorders>
              <w:top w:val="nil"/>
              <w:left w:val="nil"/>
              <w:bottom w:val="single" w:sz="8" w:space="0" w:color="E7E6E6"/>
              <w:right w:val="single" w:sz="8" w:space="0" w:color="E7E6E6"/>
            </w:tcBorders>
            <w:shd w:val="clear" w:color="000000" w:fill="FFFFFF"/>
            <w:vAlign w:val="center"/>
            <w:hideMark/>
          </w:tcPr>
          <w:p w14:paraId="288FE0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E7E6E6"/>
              <w:right w:val="single" w:sz="8" w:space="0" w:color="E7E6E6"/>
            </w:tcBorders>
            <w:shd w:val="clear" w:color="000000" w:fill="FFFFFF"/>
            <w:vAlign w:val="center"/>
            <w:hideMark/>
          </w:tcPr>
          <w:p w14:paraId="32AD444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w:t>
            </w:r>
          </w:p>
        </w:tc>
        <w:tc>
          <w:tcPr>
            <w:tcW w:w="1417" w:type="dxa"/>
            <w:tcBorders>
              <w:top w:val="nil"/>
              <w:left w:val="nil"/>
              <w:bottom w:val="single" w:sz="8" w:space="0" w:color="E7E6E6"/>
              <w:right w:val="single" w:sz="8" w:space="0" w:color="E7E6E6"/>
            </w:tcBorders>
            <w:shd w:val="clear" w:color="000000" w:fill="FFFFFF"/>
            <w:vAlign w:val="center"/>
            <w:hideMark/>
          </w:tcPr>
          <w:p w14:paraId="3C20D8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276" w:type="dxa"/>
            <w:tcBorders>
              <w:top w:val="nil"/>
              <w:left w:val="nil"/>
              <w:bottom w:val="single" w:sz="8" w:space="0" w:color="E7E6E6"/>
              <w:right w:val="single" w:sz="8" w:space="0" w:color="E7E6E6"/>
            </w:tcBorders>
            <w:shd w:val="clear" w:color="000000" w:fill="FFFFFF"/>
            <w:vAlign w:val="center"/>
            <w:hideMark/>
          </w:tcPr>
          <w:p w14:paraId="532B9EC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5 294 600,00 </w:t>
            </w:r>
          </w:p>
        </w:tc>
        <w:tc>
          <w:tcPr>
            <w:tcW w:w="1559" w:type="dxa"/>
            <w:tcBorders>
              <w:top w:val="nil"/>
              <w:left w:val="nil"/>
              <w:bottom w:val="single" w:sz="8" w:space="0" w:color="E7E6E6"/>
              <w:right w:val="single" w:sz="8" w:space="0" w:color="E7E6E6"/>
            </w:tcBorders>
            <w:shd w:val="clear" w:color="000000" w:fill="FFFFFF"/>
            <w:vAlign w:val="center"/>
            <w:hideMark/>
          </w:tcPr>
          <w:p w14:paraId="4B76F6A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6 847 282,00 </w:t>
            </w:r>
          </w:p>
        </w:tc>
      </w:tr>
      <w:tr w:rsidR="00B15F7D" w:rsidRPr="00990FB6" w14:paraId="36436787"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192115B3"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FFFFFF"/>
            <w:vAlign w:val="center"/>
            <w:hideMark/>
          </w:tcPr>
          <w:p w14:paraId="254A2BD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Goicoechea</w:t>
            </w:r>
          </w:p>
        </w:tc>
        <w:tc>
          <w:tcPr>
            <w:tcW w:w="708" w:type="dxa"/>
            <w:tcBorders>
              <w:top w:val="nil"/>
              <w:left w:val="nil"/>
              <w:bottom w:val="single" w:sz="8" w:space="0" w:color="E7E6E6"/>
              <w:right w:val="single" w:sz="8" w:space="0" w:color="E7E6E6"/>
            </w:tcBorders>
            <w:shd w:val="clear" w:color="000000" w:fill="FFFFFF"/>
            <w:vAlign w:val="center"/>
            <w:hideMark/>
          </w:tcPr>
          <w:p w14:paraId="29810A0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E7E6E6"/>
              <w:right w:val="single" w:sz="8" w:space="0" w:color="E7E6E6"/>
            </w:tcBorders>
            <w:shd w:val="clear" w:color="000000" w:fill="FFFFFF"/>
            <w:vAlign w:val="center"/>
            <w:hideMark/>
          </w:tcPr>
          <w:p w14:paraId="566ACB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tcBorders>
              <w:top w:val="nil"/>
              <w:left w:val="nil"/>
              <w:bottom w:val="single" w:sz="8" w:space="0" w:color="E7E6E6"/>
              <w:right w:val="single" w:sz="8" w:space="0" w:color="E7E6E6"/>
            </w:tcBorders>
            <w:shd w:val="clear" w:color="000000" w:fill="FFFFFF"/>
            <w:vAlign w:val="center"/>
            <w:hideMark/>
          </w:tcPr>
          <w:p w14:paraId="5A19F4E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417" w:type="dxa"/>
            <w:tcBorders>
              <w:top w:val="nil"/>
              <w:left w:val="nil"/>
              <w:bottom w:val="single" w:sz="8" w:space="0" w:color="E7E6E6"/>
              <w:right w:val="single" w:sz="8" w:space="0" w:color="E7E6E6"/>
            </w:tcBorders>
            <w:shd w:val="clear" w:color="000000" w:fill="FFFFFF"/>
            <w:vAlign w:val="center"/>
            <w:hideMark/>
          </w:tcPr>
          <w:p w14:paraId="30D4416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276" w:type="dxa"/>
            <w:tcBorders>
              <w:top w:val="nil"/>
              <w:left w:val="nil"/>
              <w:bottom w:val="single" w:sz="8" w:space="0" w:color="E7E6E6"/>
              <w:right w:val="single" w:sz="8" w:space="0" w:color="E7E6E6"/>
            </w:tcBorders>
            <w:shd w:val="clear" w:color="000000" w:fill="FFFFFF"/>
            <w:vAlign w:val="center"/>
            <w:hideMark/>
          </w:tcPr>
          <w:p w14:paraId="59DE6C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tcBorders>
              <w:top w:val="nil"/>
              <w:left w:val="nil"/>
              <w:bottom w:val="single" w:sz="8" w:space="0" w:color="E7E6E6"/>
              <w:right w:val="single" w:sz="8" w:space="0" w:color="E7E6E6"/>
            </w:tcBorders>
            <w:shd w:val="clear" w:color="000000" w:fill="FFFFFF"/>
            <w:vAlign w:val="center"/>
            <w:hideMark/>
          </w:tcPr>
          <w:p w14:paraId="44E23C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010E2038"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52E784D4"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FFFFFF"/>
            <w:vAlign w:val="center"/>
            <w:hideMark/>
          </w:tcPr>
          <w:p w14:paraId="16DF8A3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Heredia</w:t>
            </w:r>
          </w:p>
        </w:tc>
        <w:tc>
          <w:tcPr>
            <w:tcW w:w="708" w:type="dxa"/>
            <w:tcBorders>
              <w:top w:val="nil"/>
              <w:left w:val="nil"/>
              <w:bottom w:val="single" w:sz="8" w:space="0" w:color="E7E6E6"/>
              <w:right w:val="single" w:sz="8" w:space="0" w:color="E7E6E6"/>
            </w:tcBorders>
            <w:shd w:val="clear" w:color="000000" w:fill="FFFFFF"/>
            <w:vAlign w:val="center"/>
            <w:hideMark/>
          </w:tcPr>
          <w:p w14:paraId="18C71C1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tcBorders>
              <w:top w:val="nil"/>
              <w:left w:val="nil"/>
              <w:bottom w:val="single" w:sz="8" w:space="0" w:color="E7E6E6"/>
              <w:right w:val="single" w:sz="8" w:space="0" w:color="E7E6E6"/>
            </w:tcBorders>
            <w:shd w:val="clear" w:color="000000" w:fill="FFFFFF"/>
            <w:vAlign w:val="center"/>
            <w:hideMark/>
          </w:tcPr>
          <w:p w14:paraId="298DF8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tcBorders>
              <w:top w:val="nil"/>
              <w:left w:val="nil"/>
              <w:bottom w:val="single" w:sz="8" w:space="0" w:color="E7E6E6"/>
              <w:right w:val="single" w:sz="8" w:space="0" w:color="E7E6E6"/>
            </w:tcBorders>
            <w:shd w:val="clear" w:color="000000" w:fill="FFFFFF"/>
            <w:vAlign w:val="center"/>
            <w:hideMark/>
          </w:tcPr>
          <w:p w14:paraId="467F2A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w:t>
            </w:r>
          </w:p>
        </w:tc>
        <w:tc>
          <w:tcPr>
            <w:tcW w:w="1417" w:type="dxa"/>
            <w:tcBorders>
              <w:top w:val="nil"/>
              <w:left w:val="nil"/>
              <w:bottom w:val="single" w:sz="8" w:space="0" w:color="E7E6E6"/>
              <w:right w:val="single" w:sz="8" w:space="0" w:color="E7E6E6"/>
            </w:tcBorders>
            <w:shd w:val="clear" w:color="000000" w:fill="FFFFFF"/>
            <w:vAlign w:val="center"/>
            <w:hideMark/>
          </w:tcPr>
          <w:p w14:paraId="179091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c>
          <w:tcPr>
            <w:tcW w:w="1276" w:type="dxa"/>
            <w:tcBorders>
              <w:top w:val="nil"/>
              <w:left w:val="nil"/>
              <w:bottom w:val="single" w:sz="8" w:space="0" w:color="E7E6E6"/>
              <w:right w:val="single" w:sz="8" w:space="0" w:color="E7E6E6"/>
            </w:tcBorders>
            <w:shd w:val="clear" w:color="000000" w:fill="FFFFFF"/>
            <w:vAlign w:val="center"/>
            <w:hideMark/>
          </w:tcPr>
          <w:p w14:paraId="2019AF8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5 294 600,00 </w:t>
            </w:r>
          </w:p>
        </w:tc>
        <w:tc>
          <w:tcPr>
            <w:tcW w:w="1559" w:type="dxa"/>
            <w:tcBorders>
              <w:top w:val="nil"/>
              <w:left w:val="nil"/>
              <w:bottom w:val="single" w:sz="8" w:space="0" w:color="E7E6E6"/>
              <w:right w:val="single" w:sz="8" w:space="0" w:color="E7E6E6"/>
            </w:tcBorders>
            <w:shd w:val="clear" w:color="000000" w:fill="FFFFFF"/>
            <w:vAlign w:val="center"/>
            <w:hideMark/>
          </w:tcPr>
          <w:p w14:paraId="146EFDD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9 952 646,00 </w:t>
            </w:r>
          </w:p>
        </w:tc>
      </w:tr>
      <w:tr w:rsidR="00B15F7D" w:rsidRPr="00990FB6" w14:paraId="7739A023"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15F6AD68"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FFFFFF"/>
            <w:vAlign w:val="center"/>
            <w:hideMark/>
          </w:tcPr>
          <w:p w14:paraId="336736F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de Nicoya</w:t>
            </w:r>
          </w:p>
        </w:tc>
        <w:tc>
          <w:tcPr>
            <w:tcW w:w="708" w:type="dxa"/>
            <w:tcBorders>
              <w:top w:val="nil"/>
              <w:left w:val="nil"/>
              <w:bottom w:val="single" w:sz="8" w:space="0" w:color="E7E6E6"/>
              <w:right w:val="single" w:sz="8" w:space="0" w:color="E7E6E6"/>
            </w:tcBorders>
            <w:shd w:val="clear" w:color="000000" w:fill="FFFFFF"/>
            <w:vAlign w:val="center"/>
            <w:hideMark/>
          </w:tcPr>
          <w:p w14:paraId="19B3777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E7E6E6"/>
              <w:right w:val="single" w:sz="8" w:space="0" w:color="E7E6E6"/>
            </w:tcBorders>
            <w:shd w:val="clear" w:color="000000" w:fill="FFFFFF"/>
            <w:vAlign w:val="center"/>
            <w:hideMark/>
          </w:tcPr>
          <w:p w14:paraId="14FA92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E7E6E6"/>
              <w:right w:val="single" w:sz="8" w:space="0" w:color="E7E6E6"/>
            </w:tcBorders>
            <w:shd w:val="clear" w:color="000000" w:fill="FFFFFF"/>
            <w:vAlign w:val="center"/>
            <w:hideMark/>
          </w:tcPr>
          <w:p w14:paraId="6BD96D1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tcBorders>
              <w:top w:val="nil"/>
              <w:left w:val="nil"/>
              <w:bottom w:val="single" w:sz="8" w:space="0" w:color="E7E6E6"/>
              <w:right w:val="single" w:sz="8" w:space="0" w:color="E7E6E6"/>
            </w:tcBorders>
            <w:shd w:val="clear" w:color="000000" w:fill="FFFFFF"/>
            <w:vAlign w:val="center"/>
            <w:hideMark/>
          </w:tcPr>
          <w:p w14:paraId="0F3A1D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276" w:type="dxa"/>
            <w:tcBorders>
              <w:top w:val="nil"/>
              <w:left w:val="nil"/>
              <w:bottom w:val="single" w:sz="8" w:space="0" w:color="E7E6E6"/>
              <w:right w:val="single" w:sz="8" w:space="0" w:color="E7E6E6"/>
            </w:tcBorders>
            <w:shd w:val="clear" w:color="000000" w:fill="FFFFFF"/>
            <w:vAlign w:val="center"/>
            <w:hideMark/>
          </w:tcPr>
          <w:p w14:paraId="438C69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tcBorders>
              <w:top w:val="nil"/>
              <w:left w:val="nil"/>
              <w:bottom w:val="single" w:sz="8" w:space="0" w:color="E7E6E6"/>
              <w:right w:val="single" w:sz="8" w:space="0" w:color="E7E6E6"/>
            </w:tcBorders>
            <w:shd w:val="clear" w:color="000000" w:fill="FFFFFF"/>
            <w:vAlign w:val="center"/>
            <w:hideMark/>
          </w:tcPr>
          <w:p w14:paraId="7CB9994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r>
      <w:tr w:rsidR="00B15F7D" w:rsidRPr="00990FB6" w14:paraId="0F975A19" w14:textId="77777777" w:rsidTr="000A0C22">
        <w:trPr>
          <w:trHeight w:val="490"/>
          <w:jc w:val="center"/>
        </w:trPr>
        <w:tc>
          <w:tcPr>
            <w:tcW w:w="1511" w:type="dxa"/>
            <w:vMerge/>
            <w:tcBorders>
              <w:top w:val="nil"/>
              <w:left w:val="single" w:sz="8" w:space="0" w:color="E7E6E6"/>
              <w:bottom w:val="single" w:sz="8" w:space="0" w:color="E7E6E6"/>
              <w:right w:val="nil"/>
            </w:tcBorders>
            <w:vAlign w:val="center"/>
            <w:hideMark/>
          </w:tcPr>
          <w:p w14:paraId="78C16835"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D4D4D4"/>
              <w:bottom w:val="nil"/>
              <w:right w:val="single" w:sz="8" w:space="0" w:color="D4D4D4"/>
            </w:tcBorders>
            <w:shd w:val="clear" w:color="auto" w:fill="auto"/>
            <w:vAlign w:val="center"/>
            <w:hideMark/>
          </w:tcPr>
          <w:p w14:paraId="2EC79F1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Sección de Flagrancia de San Ramón</w:t>
            </w:r>
          </w:p>
        </w:tc>
        <w:tc>
          <w:tcPr>
            <w:tcW w:w="708" w:type="dxa"/>
            <w:tcBorders>
              <w:top w:val="nil"/>
              <w:left w:val="single" w:sz="8" w:space="0" w:color="E7E6E6"/>
              <w:bottom w:val="single" w:sz="8" w:space="0" w:color="E7E6E6"/>
              <w:right w:val="single" w:sz="8" w:space="0" w:color="E7E6E6"/>
            </w:tcBorders>
            <w:shd w:val="clear" w:color="000000" w:fill="FFFFFF"/>
            <w:vAlign w:val="center"/>
            <w:hideMark/>
          </w:tcPr>
          <w:p w14:paraId="3B2EBCC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E7E6E6"/>
              <w:right w:val="single" w:sz="8" w:space="0" w:color="E7E6E6"/>
            </w:tcBorders>
            <w:shd w:val="clear" w:color="000000" w:fill="FFFFFF"/>
            <w:vAlign w:val="center"/>
            <w:hideMark/>
          </w:tcPr>
          <w:p w14:paraId="0B0CD1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tcBorders>
              <w:top w:val="nil"/>
              <w:left w:val="nil"/>
              <w:bottom w:val="single" w:sz="8" w:space="0" w:color="E7E6E6"/>
              <w:right w:val="single" w:sz="8" w:space="0" w:color="E7E6E6"/>
            </w:tcBorders>
            <w:shd w:val="clear" w:color="000000" w:fill="FFFFFF"/>
            <w:vAlign w:val="center"/>
            <w:hideMark/>
          </w:tcPr>
          <w:p w14:paraId="05BE656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7" w:type="dxa"/>
            <w:tcBorders>
              <w:top w:val="nil"/>
              <w:left w:val="nil"/>
              <w:bottom w:val="single" w:sz="8" w:space="0" w:color="E7E6E6"/>
              <w:right w:val="single" w:sz="8" w:space="0" w:color="E7E6E6"/>
            </w:tcBorders>
            <w:shd w:val="clear" w:color="000000" w:fill="FFFFFF"/>
            <w:vAlign w:val="center"/>
            <w:hideMark/>
          </w:tcPr>
          <w:p w14:paraId="7444F88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276" w:type="dxa"/>
            <w:tcBorders>
              <w:top w:val="nil"/>
              <w:left w:val="nil"/>
              <w:bottom w:val="single" w:sz="8" w:space="0" w:color="E7E6E6"/>
              <w:right w:val="single" w:sz="8" w:space="0" w:color="E7E6E6"/>
            </w:tcBorders>
            <w:shd w:val="clear" w:color="000000" w:fill="FFFFFF"/>
            <w:vAlign w:val="center"/>
            <w:hideMark/>
          </w:tcPr>
          <w:p w14:paraId="14FF6A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1559" w:type="dxa"/>
            <w:tcBorders>
              <w:top w:val="nil"/>
              <w:left w:val="nil"/>
              <w:bottom w:val="single" w:sz="8" w:space="0" w:color="E7E6E6"/>
              <w:right w:val="single" w:sz="8" w:space="0" w:color="E7E6E6"/>
            </w:tcBorders>
            <w:shd w:val="clear" w:color="000000" w:fill="FFFFFF"/>
            <w:vAlign w:val="center"/>
            <w:hideMark/>
          </w:tcPr>
          <w:p w14:paraId="25AA414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57660C73"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3C683CFC" w14:textId="77777777" w:rsidR="00B15F7D" w:rsidRPr="00990FB6" w:rsidRDefault="00B15F7D" w:rsidP="00B15F7D">
            <w:pPr>
              <w:suppressAutoHyphens w:val="0"/>
              <w:rPr>
                <w:b/>
                <w:bCs/>
                <w:color w:val="000000"/>
                <w:sz w:val="22"/>
                <w:szCs w:val="22"/>
                <w:lang w:val="es-CR" w:eastAsia="es-CR"/>
              </w:rPr>
            </w:pPr>
          </w:p>
        </w:tc>
        <w:tc>
          <w:tcPr>
            <w:tcW w:w="2317" w:type="dxa"/>
            <w:tcBorders>
              <w:top w:val="single" w:sz="8" w:space="0" w:color="E7E6E6"/>
              <w:left w:val="single" w:sz="8" w:space="0" w:color="E7E6E6"/>
              <w:bottom w:val="single" w:sz="8" w:space="0" w:color="E7E6E6"/>
              <w:right w:val="single" w:sz="8" w:space="0" w:color="E7E6E6"/>
            </w:tcBorders>
            <w:shd w:val="clear" w:color="000000" w:fill="FFFFFF"/>
            <w:vAlign w:val="center"/>
            <w:hideMark/>
          </w:tcPr>
          <w:p w14:paraId="05F8697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Alajuela</w:t>
            </w:r>
          </w:p>
        </w:tc>
        <w:tc>
          <w:tcPr>
            <w:tcW w:w="708" w:type="dxa"/>
            <w:tcBorders>
              <w:top w:val="nil"/>
              <w:left w:val="nil"/>
              <w:bottom w:val="single" w:sz="8" w:space="0" w:color="E7E6E6"/>
              <w:right w:val="single" w:sz="8" w:space="0" w:color="E7E6E6"/>
            </w:tcBorders>
            <w:shd w:val="clear" w:color="000000" w:fill="FFFFFF"/>
            <w:vAlign w:val="center"/>
            <w:hideMark/>
          </w:tcPr>
          <w:p w14:paraId="25F2AC8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8</w:t>
            </w:r>
          </w:p>
        </w:tc>
        <w:tc>
          <w:tcPr>
            <w:tcW w:w="709" w:type="dxa"/>
            <w:tcBorders>
              <w:top w:val="nil"/>
              <w:left w:val="nil"/>
              <w:bottom w:val="single" w:sz="8" w:space="0" w:color="E7E6E6"/>
              <w:right w:val="single" w:sz="8" w:space="0" w:color="E7E6E6"/>
            </w:tcBorders>
            <w:shd w:val="clear" w:color="000000" w:fill="FFFFFF"/>
            <w:vAlign w:val="center"/>
            <w:hideMark/>
          </w:tcPr>
          <w:p w14:paraId="69D0CC7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tcBorders>
              <w:top w:val="nil"/>
              <w:left w:val="nil"/>
              <w:bottom w:val="single" w:sz="8" w:space="0" w:color="E7E6E6"/>
              <w:right w:val="single" w:sz="8" w:space="0" w:color="E7E6E6"/>
            </w:tcBorders>
            <w:shd w:val="clear" w:color="000000" w:fill="FFFFFF"/>
            <w:vAlign w:val="center"/>
            <w:hideMark/>
          </w:tcPr>
          <w:p w14:paraId="0A41F2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1417" w:type="dxa"/>
            <w:tcBorders>
              <w:top w:val="nil"/>
              <w:left w:val="nil"/>
              <w:bottom w:val="single" w:sz="8" w:space="0" w:color="E7E6E6"/>
              <w:right w:val="single" w:sz="8" w:space="0" w:color="E7E6E6"/>
            </w:tcBorders>
            <w:shd w:val="clear" w:color="000000" w:fill="FFFFFF"/>
            <w:vAlign w:val="center"/>
            <w:hideMark/>
          </w:tcPr>
          <w:p w14:paraId="1F0A04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₡13 974 138,00 </w:t>
            </w:r>
          </w:p>
        </w:tc>
        <w:tc>
          <w:tcPr>
            <w:tcW w:w="1276" w:type="dxa"/>
            <w:tcBorders>
              <w:top w:val="nil"/>
              <w:left w:val="nil"/>
              <w:bottom w:val="single" w:sz="8" w:space="0" w:color="E7E6E6"/>
              <w:right w:val="single" w:sz="8" w:space="0" w:color="E7E6E6"/>
            </w:tcBorders>
            <w:shd w:val="clear" w:color="000000" w:fill="FFFFFF"/>
            <w:vAlign w:val="center"/>
            <w:hideMark/>
          </w:tcPr>
          <w:p w14:paraId="5E6A7C9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4 235 680,00 </w:t>
            </w:r>
          </w:p>
        </w:tc>
        <w:tc>
          <w:tcPr>
            <w:tcW w:w="1559" w:type="dxa"/>
            <w:tcBorders>
              <w:top w:val="nil"/>
              <w:left w:val="nil"/>
              <w:bottom w:val="single" w:sz="8" w:space="0" w:color="E7E6E6"/>
              <w:right w:val="single" w:sz="8" w:space="0" w:color="E7E6E6"/>
            </w:tcBorders>
            <w:shd w:val="clear" w:color="000000" w:fill="FFFFFF"/>
            <w:vAlign w:val="center"/>
            <w:hideMark/>
          </w:tcPr>
          <w:p w14:paraId="3639831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18 209 818,00 </w:t>
            </w:r>
          </w:p>
        </w:tc>
      </w:tr>
      <w:tr w:rsidR="00B15F7D" w:rsidRPr="00990FB6" w14:paraId="0F4DC641" w14:textId="77777777" w:rsidTr="000A0C22">
        <w:trPr>
          <w:trHeight w:val="300"/>
          <w:jc w:val="center"/>
        </w:trPr>
        <w:tc>
          <w:tcPr>
            <w:tcW w:w="1511" w:type="dxa"/>
            <w:vMerge/>
            <w:tcBorders>
              <w:top w:val="nil"/>
              <w:left w:val="single" w:sz="8" w:space="0" w:color="E7E6E6"/>
              <w:bottom w:val="single" w:sz="8" w:space="0" w:color="E7E6E6"/>
              <w:right w:val="nil"/>
            </w:tcBorders>
            <w:vAlign w:val="center"/>
          </w:tcPr>
          <w:p w14:paraId="00F8797D"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auto" w:fill="auto"/>
            <w:vAlign w:val="center"/>
          </w:tcPr>
          <w:p w14:paraId="57595E7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n-US"/>
              </w:rPr>
              <w:t>Tribunal Penal de Pérez Zeledon</w:t>
            </w:r>
          </w:p>
        </w:tc>
        <w:tc>
          <w:tcPr>
            <w:tcW w:w="708" w:type="dxa"/>
            <w:tcBorders>
              <w:top w:val="nil"/>
              <w:left w:val="nil"/>
              <w:bottom w:val="single" w:sz="8" w:space="0" w:color="E7E6E6"/>
              <w:right w:val="single" w:sz="8" w:space="0" w:color="E7E6E6"/>
            </w:tcBorders>
            <w:shd w:val="clear" w:color="auto" w:fill="auto"/>
            <w:vAlign w:val="center"/>
          </w:tcPr>
          <w:p w14:paraId="1A8AD6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1</w:t>
            </w:r>
          </w:p>
        </w:tc>
        <w:tc>
          <w:tcPr>
            <w:tcW w:w="709" w:type="dxa"/>
            <w:tcBorders>
              <w:top w:val="nil"/>
              <w:left w:val="nil"/>
              <w:bottom w:val="single" w:sz="8" w:space="0" w:color="E7E6E6"/>
              <w:right w:val="single" w:sz="8" w:space="0" w:color="E7E6E6"/>
            </w:tcBorders>
            <w:shd w:val="clear" w:color="auto" w:fill="auto"/>
            <w:vAlign w:val="center"/>
          </w:tcPr>
          <w:p w14:paraId="5B51D4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0</w:t>
            </w:r>
          </w:p>
        </w:tc>
        <w:tc>
          <w:tcPr>
            <w:tcW w:w="709" w:type="dxa"/>
            <w:tcBorders>
              <w:top w:val="nil"/>
              <w:left w:val="nil"/>
              <w:bottom w:val="single" w:sz="8" w:space="0" w:color="E7E6E6"/>
              <w:right w:val="single" w:sz="8" w:space="0" w:color="E7E6E6"/>
            </w:tcBorders>
            <w:shd w:val="clear" w:color="auto" w:fill="auto"/>
            <w:vAlign w:val="center"/>
          </w:tcPr>
          <w:p w14:paraId="6D4FC4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2</w:t>
            </w:r>
          </w:p>
        </w:tc>
        <w:tc>
          <w:tcPr>
            <w:tcW w:w="1417" w:type="dxa"/>
            <w:tcBorders>
              <w:top w:val="nil"/>
              <w:left w:val="nil"/>
              <w:bottom w:val="single" w:sz="8" w:space="0" w:color="E7E6E6"/>
              <w:right w:val="single" w:sz="8" w:space="0" w:color="E7E6E6"/>
            </w:tcBorders>
            <w:shd w:val="clear" w:color="auto" w:fill="auto"/>
            <w:vAlign w:val="center"/>
          </w:tcPr>
          <w:p w14:paraId="2837E6B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1 552 682,00 </w:t>
            </w:r>
          </w:p>
        </w:tc>
        <w:tc>
          <w:tcPr>
            <w:tcW w:w="1276" w:type="dxa"/>
            <w:tcBorders>
              <w:top w:val="nil"/>
              <w:left w:val="nil"/>
              <w:bottom w:val="single" w:sz="8" w:space="0" w:color="E7E6E6"/>
              <w:right w:val="single" w:sz="8" w:space="0" w:color="E7E6E6"/>
            </w:tcBorders>
            <w:shd w:val="clear" w:color="auto" w:fill="auto"/>
          </w:tcPr>
          <w:p w14:paraId="039B3FE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2 117 840,00 </w:t>
            </w:r>
          </w:p>
        </w:tc>
        <w:tc>
          <w:tcPr>
            <w:tcW w:w="1559" w:type="dxa"/>
            <w:tcBorders>
              <w:top w:val="nil"/>
              <w:left w:val="nil"/>
              <w:bottom w:val="single" w:sz="8" w:space="0" w:color="E7E6E6"/>
              <w:right w:val="single" w:sz="8" w:space="0" w:color="E7E6E6"/>
            </w:tcBorders>
            <w:shd w:val="clear" w:color="auto" w:fill="auto"/>
            <w:vAlign w:val="center"/>
          </w:tcPr>
          <w:p w14:paraId="75EFE5B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6DFAC580" w14:textId="77777777" w:rsidTr="000A0C22">
        <w:trPr>
          <w:trHeight w:val="300"/>
          <w:jc w:val="center"/>
        </w:trPr>
        <w:tc>
          <w:tcPr>
            <w:tcW w:w="1511" w:type="dxa"/>
            <w:vMerge/>
            <w:tcBorders>
              <w:top w:val="nil"/>
              <w:left w:val="single" w:sz="8" w:space="0" w:color="E7E6E6"/>
              <w:bottom w:val="single" w:sz="8" w:space="0" w:color="E7E6E6"/>
              <w:right w:val="nil"/>
            </w:tcBorders>
            <w:vAlign w:val="center"/>
          </w:tcPr>
          <w:p w14:paraId="35BB5473"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auto" w:fill="auto"/>
            <w:vAlign w:val="center"/>
          </w:tcPr>
          <w:p w14:paraId="6EA3996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n-US"/>
              </w:rPr>
              <w:t>Tribunal Penal de San Carlos</w:t>
            </w:r>
          </w:p>
        </w:tc>
        <w:tc>
          <w:tcPr>
            <w:tcW w:w="708" w:type="dxa"/>
            <w:tcBorders>
              <w:top w:val="nil"/>
              <w:left w:val="nil"/>
              <w:bottom w:val="single" w:sz="8" w:space="0" w:color="E7E6E6"/>
              <w:right w:val="single" w:sz="8" w:space="0" w:color="E7E6E6"/>
            </w:tcBorders>
            <w:shd w:val="clear" w:color="auto" w:fill="auto"/>
            <w:vAlign w:val="center"/>
          </w:tcPr>
          <w:p w14:paraId="1540747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1</w:t>
            </w:r>
          </w:p>
        </w:tc>
        <w:tc>
          <w:tcPr>
            <w:tcW w:w="709" w:type="dxa"/>
            <w:tcBorders>
              <w:top w:val="nil"/>
              <w:left w:val="nil"/>
              <w:bottom w:val="single" w:sz="8" w:space="0" w:color="E7E6E6"/>
              <w:right w:val="single" w:sz="8" w:space="0" w:color="E7E6E6"/>
            </w:tcBorders>
            <w:shd w:val="clear" w:color="auto" w:fill="auto"/>
            <w:vAlign w:val="center"/>
          </w:tcPr>
          <w:p w14:paraId="64C0925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0</w:t>
            </w:r>
          </w:p>
        </w:tc>
        <w:tc>
          <w:tcPr>
            <w:tcW w:w="709" w:type="dxa"/>
            <w:tcBorders>
              <w:top w:val="nil"/>
              <w:left w:val="nil"/>
              <w:bottom w:val="single" w:sz="8" w:space="0" w:color="E7E6E6"/>
              <w:right w:val="single" w:sz="8" w:space="0" w:color="E7E6E6"/>
            </w:tcBorders>
            <w:shd w:val="clear" w:color="auto" w:fill="auto"/>
            <w:vAlign w:val="center"/>
          </w:tcPr>
          <w:p w14:paraId="4ABA9A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2</w:t>
            </w:r>
          </w:p>
        </w:tc>
        <w:tc>
          <w:tcPr>
            <w:tcW w:w="1417" w:type="dxa"/>
            <w:tcBorders>
              <w:top w:val="nil"/>
              <w:left w:val="nil"/>
              <w:bottom w:val="single" w:sz="8" w:space="0" w:color="E7E6E6"/>
              <w:right w:val="single" w:sz="8" w:space="0" w:color="E7E6E6"/>
            </w:tcBorders>
            <w:shd w:val="clear" w:color="auto" w:fill="auto"/>
            <w:vAlign w:val="center"/>
          </w:tcPr>
          <w:p w14:paraId="73D72E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 xml:space="preserve"> ₡     1 552 682,00 </w:t>
            </w:r>
          </w:p>
        </w:tc>
        <w:tc>
          <w:tcPr>
            <w:tcW w:w="1276" w:type="dxa"/>
            <w:tcBorders>
              <w:top w:val="nil"/>
              <w:left w:val="nil"/>
              <w:bottom w:val="single" w:sz="8" w:space="0" w:color="E7E6E6"/>
              <w:right w:val="single" w:sz="8" w:space="0" w:color="E7E6E6"/>
            </w:tcBorders>
            <w:shd w:val="clear" w:color="auto" w:fill="auto"/>
          </w:tcPr>
          <w:p w14:paraId="211EBB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2 117 840,00 </w:t>
            </w:r>
          </w:p>
        </w:tc>
        <w:tc>
          <w:tcPr>
            <w:tcW w:w="1559" w:type="dxa"/>
            <w:tcBorders>
              <w:top w:val="nil"/>
              <w:left w:val="nil"/>
              <w:bottom w:val="single" w:sz="8" w:space="0" w:color="E7E6E6"/>
              <w:right w:val="single" w:sz="8" w:space="0" w:color="E7E6E6"/>
            </w:tcBorders>
            <w:shd w:val="clear" w:color="auto" w:fill="auto"/>
            <w:vAlign w:val="center"/>
          </w:tcPr>
          <w:p w14:paraId="3315FF9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170415F5" w14:textId="77777777" w:rsidTr="000A0C22">
        <w:trPr>
          <w:trHeight w:val="300"/>
          <w:jc w:val="center"/>
        </w:trPr>
        <w:tc>
          <w:tcPr>
            <w:tcW w:w="1511" w:type="dxa"/>
            <w:vMerge/>
            <w:tcBorders>
              <w:top w:val="nil"/>
              <w:left w:val="single" w:sz="8" w:space="0" w:color="E7E6E6"/>
              <w:bottom w:val="single" w:sz="8" w:space="0" w:color="E7E6E6"/>
              <w:right w:val="nil"/>
            </w:tcBorders>
            <w:vAlign w:val="center"/>
            <w:hideMark/>
          </w:tcPr>
          <w:p w14:paraId="4877BF8D" w14:textId="77777777" w:rsidR="00B15F7D" w:rsidRPr="00990FB6" w:rsidRDefault="00B15F7D" w:rsidP="00B15F7D">
            <w:pPr>
              <w:suppressAutoHyphens w:val="0"/>
              <w:rPr>
                <w:b/>
                <w:bCs/>
                <w:color w:val="000000"/>
                <w:sz w:val="22"/>
                <w:szCs w:val="22"/>
                <w:lang w:val="es-CR" w:eastAsia="es-CR"/>
              </w:rPr>
            </w:pPr>
          </w:p>
        </w:tc>
        <w:tc>
          <w:tcPr>
            <w:tcW w:w="2317" w:type="dxa"/>
            <w:tcBorders>
              <w:top w:val="nil"/>
              <w:left w:val="single" w:sz="8" w:space="0" w:color="E7E6E6"/>
              <w:bottom w:val="single" w:sz="8" w:space="0" w:color="E7E6E6"/>
              <w:right w:val="single" w:sz="8" w:space="0" w:color="E7E6E6"/>
            </w:tcBorders>
            <w:shd w:val="clear" w:color="000000" w:fill="DEEAF6"/>
            <w:vAlign w:val="center"/>
            <w:hideMark/>
          </w:tcPr>
          <w:p w14:paraId="34FC6E66"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708" w:type="dxa"/>
            <w:tcBorders>
              <w:top w:val="nil"/>
              <w:left w:val="nil"/>
              <w:bottom w:val="single" w:sz="8" w:space="0" w:color="E7E6E6"/>
              <w:right w:val="single" w:sz="8" w:space="0" w:color="E7E6E6"/>
            </w:tcBorders>
            <w:shd w:val="clear" w:color="000000" w:fill="DEEAF6"/>
            <w:vAlign w:val="center"/>
            <w:hideMark/>
          </w:tcPr>
          <w:p w14:paraId="5324014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36</w:t>
            </w:r>
          </w:p>
        </w:tc>
        <w:tc>
          <w:tcPr>
            <w:tcW w:w="709" w:type="dxa"/>
            <w:tcBorders>
              <w:top w:val="nil"/>
              <w:left w:val="nil"/>
              <w:bottom w:val="single" w:sz="8" w:space="0" w:color="E7E6E6"/>
              <w:right w:val="single" w:sz="8" w:space="0" w:color="E7E6E6"/>
            </w:tcBorders>
            <w:shd w:val="clear" w:color="000000" w:fill="DEEAF6"/>
            <w:vAlign w:val="center"/>
            <w:hideMark/>
          </w:tcPr>
          <w:p w14:paraId="2752639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w:t>
            </w:r>
          </w:p>
        </w:tc>
        <w:tc>
          <w:tcPr>
            <w:tcW w:w="709" w:type="dxa"/>
            <w:tcBorders>
              <w:top w:val="nil"/>
              <w:left w:val="nil"/>
              <w:bottom w:val="single" w:sz="8" w:space="0" w:color="E7E6E6"/>
              <w:right w:val="single" w:sz="8" w:space="0" w:color="E7E6E6"/>
            </w:tcBorders>
            <w:shd w:val="clear" w:color="000000" w:fill="DEEAF6"/>
            <w:vAlign w:val="center"/>
            <w:hideMark/>
          </w:tcPr>
          <w:p w14:paraId="1EC3DE1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41</w:t>
            </w:r>
          </w:p>
        </w:tc>
        <w:tc>
          <w:tcPr>
            <w:tcW w:w="1417" w:type="dxa"/>
            <w:tcBorders>
              <w:top w:val="nil"/>
              <w:left w:val="nil"/>
              <w:bottom w:val="single" w:sz="8" w:space="0" w:color="E7E6E6"/>
              <w:right w:val="single" w:sz="8" w:space="0" w:color="E7E6E6"/>
            </w:tcBorders>
            <w:shd w:val="clear" w:color="000000" w:fill="DEEAF6"/>
            <w:vAlign w:val="center"/>
            <w:hideMark/>
          </w:tcPr>
          <w:p w14:paraId="5B2CF033"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 ₡ 66 765 326,00 </w:t>
            </w:r>
          </w:p>
        </w:tc>
        <w:tc>
          <w:tcPr>
            <w:tcW w:w="1276" w:type="dxa"/>
            <w:tcBorders>
              <w:top w:val="nil"/>
              <w:left w:val="nil"/>
              <w:bottom w:val="single" w:sz="8" w:space="0" w:color="E7E6E6"/>
              <w:right w:val="single" w:sz="8" w:space="0" w:color="E7E6E6"/>
            </w:tcBorders>
            <w:shd w:val="clear" w:color="000000" w:fill="DEEAF6"/>
            <w:vAlign w:val="center"/>
            <w:hideMark/>
          </w:tcPr>
          <w:p w14:paraId="6607C36B"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49 769 240,00 </w:t>
            </w:r>
          </w:p>
        </w:tc>
        <w:tc>
          <w:tcPr>
            <w:tcW w:w="1559" w:type="dxa"/>
            <w:tcBorders>
              <w:top w:val="nil"/>
              <w:left w:val="nil"/>
              <w:bottom w:val="single" w:sz="8" w:space="0" w:color="E7E6E6"/>
              <w:right w:val="single" w:sz="8" w:space="0" w:color="E7E6E6"/>
            </w:tcBorders>
            <w:shd w:val="clear" w:color="000000" w:fill="DEEAF6"/>
            <w:vAlign w:val="center"/>
            <w:hideMark/>
          </w:tcPr>
          <w:p w14:paraId="52E0D97B" w14:textId="77777777" w:rsidR="00B15F7D" w:rsidRPr="00990FB6" w:rsidRDefault="00B15F7D" w:rsidP="00B15F7D">
            <w:pPr>
              <w:suppressAutoHyphens w:val="0"/>
              <w:ind w:right="-69"/>
              <w:rPr>
                <w:b/>
                <w:bCs/>
                <w:color w:val="3A3838"/>
                <w:sz w:val="22"/>
                <w:szCs w:val="22"/>
                <w:lang w:val="es-CR" w:eastAsia="es-CR"/>
              </w:rPr>
            </w:pPr>
            <w:r w:rsidRPr="00990FB6">
              <w:rPr>
                <w:b/>
                <w:bCs/>
                <w:color w:val="3A3838"/>
                <w:sz w:val="22"/>
                <w:szCs w:val="22"/>
                <w:lang w:val="es-CR" w:eastAsia="en-US"/>
              </w:rPr>
              <w:t xml:space="preserve">₡ 116 5344 566 ,00 </w:t>
            </w:r>
          </w:p>
        </w:tc>
      </w:tr>
    </w:tbl>
    <w:p w14:paraId="12CB1C6B" w14:textId="77777777" w:rsidR="00B15F7D" w:rsidRPr="00990FB6" w:rsidRDefault="00B15F7D" w:rsidP="00B15F7D">
      <w:pPr>
        <w:suppressAutoHyphens w:val="0"/>
        <w:contextualSpacing/>
        <w:jc w:val="both"/>
        <w:rPr>
          <w:rFonts w:eastAsia="Calibri"/>
          <w:sz w:val="22"/>
          <w:szCs w:val="22"/>
          <w:lang w:val="es-CR" w:eastAsia="en-US"/>
        </w:rPr>
      </w:pPr>
    </w:p>
    <w:p w14:paraId="150DE221"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Tribunales penales se estima es                   ¢ 3 317 704 000,00 y los costos variables asociados en ¢116 534 566,00.</w:t>
      </w:r>
    </w:p>
    <w:p w14:paraId="50A8DABD"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8DC5AD3" w14:textId="77777777" w:rsidR="00B15F7D" w:rsidRPr="00990FB6" w:rsidRDefault="00B15F7D" w:rsidP="00B15F7D">
      <w:pPr>
        <w:numPr>
          <w:ilvl w:val="1"/>
          <w:numId w:val="134"/>
        </w:numPr>
        <w:suppressAutoHyphens w:val="0"/>
        <w:ind w:left="851" w:right="851" w:firstLine="709"/>
        <w:contextualSpacing/>
        <w:jc w:val="both"/>
        <w:rPr>
          <w:rFonts w:eastAsia="Calibri"/>
          <w:sz w:val="22"/>
          <w:szCs w:val="22"/>
          <w:u w:val="single"/>
          <w:lang w:val="es-CR" w:eastAsia="en-US"/>
        </w:rPr>
      </w:pPr>
      <w:r w:rsidRPr="00990FB6">
        <w:rPr>
          <w:rFonts w:eastAsia="Calibri"/>
          <w:sz w:val="22"/>
          <w:szCs w:val="22"/>
          <w:u w:val="single"/>
          <w:lang w:val="es-CR" w:eastAsia="en-US"/>
        </w:rPr>
        <w:t>Ejecución de la Pena</w:t>
      </w:r>
    </w:p>
    <w:p w14:paraId="38954C82" w14:textId="77777777" w:rsidR="00B15F7D" w:rsidRPr="00990FB6" w:rsidRDefault="00B15F7D" w:rsidP="00B15F7D">
      <w:pPr>
        <w:suppressAutoHyphens w:val="0"/>
        <w:ind w:left="851" w:right="851" w:firstLine="709"/>
        <w:contextualSpacing/>
        <w:jc w:val="both"/>
        <w:rPr>
          <w:rFonts w:eastAsia="Calibri"/>
          <w:sz w:val="22"/>
          <w:szCs w:val="22"/>
          <w:u w:val="single"/>
          <w:lang w:val="es-CR" w:eastAsia="en-US"/>
        </w:rPr>
      </w:pPr>
    </w:p>
    <w:p w14:paraId="52A4FACE" w14:textId="77777777" w:rsidR="00B15F7D" w:rsidRPr="00990FB6" w:rsidRDefault="00B15F7D" w:rsidP="00B15F7D">
      <w:pPr>
        <w:numPr>
          <w:ilvl w:val="0"/>
          <w:numId w:val="140"/>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Seguidamente se detallan las plazas nuevas de forma ordinaria que se recomienda crear para los Juzgados de Ejecución de la Pena:</w:t>
      </w:r>
    </w:p>
    <w:p w14:paraId="1E369A0A" w14:textId="77777777" w:rsidR="00B15F7D" w:rsidRPr="00990FB6" w:rsidRDefault="00B15F7D" w:rsidP="00B15F7D">
      <w:pPr>
        <w:suppressAutoHyphens w:val="0"/>
        <w:contextualSpacing/>
        <w:jc w:val="both"/>
        <w:rPr>
          <w:rFonts w:eastAsia="Calibri"/>
          <w:sz w:val="22"/>
          <w:szCs w:val="22"/>
          <w:lang w:val="es-CR" w:eastAsia="en-US"/>
        </w:rPr>
      </w:pPr>
    </w:p>
    <w:p w14:paraId="2FC02602" w14:textId="77777777" w:rsidR="00B15F7D" w:rsidRPr="00990FB6" w:rsidRDefault="00B15F7D" w:rsidP="00B15F7D">
      <w:pPr>
        <w:suppressAutoHyphens w:val="0"/>
        <w:contextualSpacing/>
        <w:jc w:val="both"/>
        <w:rPr>
          <w:rFonts w:eastAsia="Calibri"/>
          <w:sz w:val="22"/>
          <w:szCs w:val="22"/>
          <w:lang w:val="es-CR"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53"/>
        <w:gridCol w:w="1957"/>
        <w:gridCol w:w="375"/>
        <w:gridCol w:w="674"/>
        <w:gridCol w:w="535"/>
        <w:gridCol w:w="461"/>
        <w:gridCol w:w="805"/>
        <w:gridCol w:w="805"/>
        <w:gridCol w:w="805"/>
        <w:gridCol w:w="853"/>
        <w:gridCol w:w="805"/>
      </w:tblGrid>
      <w:tr w:rsidR="00B15F7D" w:rsidRPr="00990FB6" w14:paraId="538EBA09" w14:textId="77777777" w:rsidTr="000A0C22">
        <w:trPr>
          <w:trHeight w:val="310"/>
          <w:jc w:val="center"/>
        </w:trPr>
        <w:tc>
          <w:tcPr>
            <w:tcW w:w="491" w:type="pct"/>
            <w:vMerge w:val="restart"/>
            <w:shd w:val="clear" w:color="000000" w:fill="305496"/>
            <w:vAlign w:val="center"/>
            <w:hideMark/>
          </w:tcPr>
          <w:p w14:paraId="797EF34A"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Programa presupuestario </w:t>
            </w:r>
          </w:p>
        </w:tc>
        <w:tc>
          <w:tcPr>
            <w:tcW w:w="524" w:type="pct"/>
            <w:vMerge w:val="restart"/>
            <w:shd w:val="clear" w:color="000000" w:fill="305496"/>
            <w:vAlign w:val="center"/>
            <w:hideMark/>
          </w:tcPr>
          <w:p w14:paraId="1648528D"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Despacho</w:t>
            </w:r>
          </w:p>
        </w:tc>
        <w:tc>
          <w:tcPr>
            <w:tcW w:w="1333" w:type="pct"/>
            <w:gridSpan w:val="4"/>
            <w:shd w:val="clear" w:color="000000" w:fill="5B9BD5"/>
            <w:noWrap/>
            <w:vAlign w:val="bottom"/>
            <w:hideMark/>
          </w:tcPr>
          <w:p w14:paraId="6F9397A7"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 HUMANO</w:t>
            </w:r>
          </w:p>
        </w:tc>
        <w:tc>
          <w:tcPr>
            <w:tcW w:w="2095" w:type="pct"/>
            <w:gridSpan w:val="4"/>
            <w:shd w:val="clear" w:color="000000" w:fill="5B9BD5"/>
            <w:noWrap/>
            <w:vAlign w:val="bottom"/>
            <w:hideMark/>
          </w:tcPr>
          <w:p w14:paraId="0C2DD6DC"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PRESPUESTARIO </w:t>
            </w:r>
          </w:p>
        </w:tc>
        <w:tc>
          <w:tcPr>
            <w:tcW w:w="557" w:type="pct"/>
            <w:shd w:val="clear" w:color="000000" w:fill="5B9BD5"/>
            <w:noWrap/>
            <w:vAlign w:val="bottom"/>
            <w:hideMark/>
          </w:tcPr>
          <w:p w14:paraId="55986CB2"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w:t>
            </w:r>
          </w:p>
        </w:tc>
      </w:tr>
      <w:tr w:rsidR="00B15F7D" w:rsidRPr="00990FB6" w14:paraId="368E1ECE" w14:textId="77777777" w:rsidTr="000A0C22">
        <w:trPr>
          <w:trHeight w:val="740"/>
          <w:jc w:val="center"/>
        </w:trPr>
        <w:tc>
          <w:tcPr>
            <w:tcW w:w="491" w:type="pct"/>
            <w:vMerge/>
            <w:vAlign w:val="center"/>
            <w:hideMark/>
          </w:tcPr>
          <w:p w14:paraId="2583CF27" w14:textId="77777777" w:rsidR="00B15F7D" w:rsidRPr="00990FB6" w:rsidRDefault="00B15F7D" w:rsidP="00B15F7D">
            <w:pPr>
              <w:suppressAutoHyphens w:val="0"/>
              <w:rPr>
                <w:b/>
                <w:bCs/>
                <w:sz w:val="22"/>
                <w:szCs w:val="22"/>
                <w:lang w:val="es-CR" w:eastAsia="es-CR"/>
              </w:rPr>
            </w:pPr>
          </w:p>
        </w:tc>
        <w:tc>
          <w:tcPr>
            <w:tcW w:w="524" w:type="pct"/>
            <w:vMerge/>
            <w:vAlign w:val="center"/>
            <w:hideMark/>
          </w:tcPr>
          <w:p w14:paraId="4CAEC383" w14:textId="77777777" w:rsidR="00B15F7D" w:rsidRPr="00990FB6" w:rsidRDefault="00B15F7D" w:rsidP="00B15F7D">
            <w:pPr>
              <w:suppressAutoHyphens w:val="0"/>
              <w:rPr>
                <w:b/>
                <w:bCs/>
                <w:sz w:val="22"/>
                <w:szCs w:val="22"/>
                <w:lang w:val="es-CR" w:eastAsia="es-CR"/>
              </w:rPr>
            </w:pPr>
          </w:p>
        </w:tc>
        <w:tc>
          <w:tcPr>
            <w:tcW w:w="254" w:type="pct"/>
            <w:shd w:val="clear" w:color="000000" w:fill="305496"/>
            <w:vAlign w:val="center"/>
            <w:hideMark/>
          </w:tcPr>
          <w:p w14:paraId="678F6934"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Jueza o juez 2</w:t>
            </w:r>
          </w:p>
        </w:tc>
        <w:tc>
          <w:tcPr>
            <w:tcW w:w="445" w:type="pct"/>
            <w:shd w:val="clear" w:color="000000" w:fill="305496"/>
            <w:vAlign w:val="center"/>
            <w:hideMark/>
          </w:tcPr>
          <w:p w14:paraId="03C3F05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Coordinador (a) Judicial 2</w:t>
            </w:r>
          </w:p>
        </w:tc>
        <w:tc>
          <w:tcPr>
            <w:tcW w:w="336" w:type="pct"/>
            <w:shd w:val="clear" w:color="000000" w:fill="305496"/>
            <w:vAlign w:val="center"/>
            <w:hideMark/>
          </w:tcPr>
          <w:p w14:paraId="0EE73A0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Técnico/a Judicial 2</w:t>
            </w:r>
          </w:p>
        </w:tc>
        <w:tc>
          <w:tcPr>
            <w:tcW w:w="299" w:type="pct"/>
            <w:shd w:val="clear" w:color="000000" w:fill="305496"/>
            <w:vAlign w:val="center"/>
            <w:hideMark/>
          </w:tcPr>
          <w:p w14:paraId="57A90563"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Fiscales</w:t>
            </w:r>
          </w:p>
        </w:tc>
        <w:tc>
          <w:tcPr>
            <w:tcW w:w="508" w:type="pct"/>
            <w:shd w:val="clear" w:color="000000" w:fill="305496"/>
            <w:vAlign w:val="center"/>
            <w:hideMark/>
          </w:tcPr>
          <w:p w14:paraId="0A409CA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Jueza o juez 2</w:t>
            </w:r>
          </w:p>
        </w:tc>
        <w:tc>
          <w:tcPr>
            <w:tcW w:w="508" w:type="pct"/>
            <w:shd w:val="clear" w:color="000000" w:fill="305496"/>
            <w:vAlign w:val="center"/>
            <w:hideMark/>
          </w:tcPr>
          <w:p w14:paraId="6BC7806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plaza Coordinador judicial 2 </w:t>
            </w:r>
          </w:p>
        </w:tc>
        <w:tc>
          <w:tcPr>
            <w:tcW w:w="508" w:type="pct"/>
            <w:shd w:val="clear" w:color="000000" w:fill="305496"/>
            <w:vAlign w:val="center"/>
            <w:hideMark/>
          </w:tcPr>
          <w:p w14:paraId="5F95A3F1"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plaza técnico judicial 2 </w:t>
            </w:r>
          </w:p>
        </w:tc>
        <w:tc>
          <w:tcPr>
            <w:tcW w:w="571" w:type="pct"/>
            <w:shd w:val="clear" w:color="000000" w:fill="305496"/>
            <w:vAlign w:val="center"/>
            <w:hideMark/>
          </w:tcPr>
          <w:p w14:paraId="0ABF3B2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plaza Fiscal (a) Auxiliar </w:t>
            </w:r>
          </w:p>
        </w:tc>
        <w:tc>
          <w:tcPr>
            <w:tcW w:w="557" w:type="pct"/>
            <w:shd w:val="clear" w:color="000000" w:fill="305496"/>
            <w:vAlign w:val="center"/>
            <w:hideMark/>
          </w:tcPr>
          <w:p w14:paraId="654C2E03"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Costo Total </w:t>
            </w:r>
          </w:p>
        </w:tc>
      </w:tr>
      <w:tr w:rsidR="00B15F7D" w:rsidRPr="00990FB6" w14:paraId="6D3807F9" w14:textId="77777777" w:rsidTr="000A0C22">
        <w:trPr>
          <w:trHeight w:val="310"/>
          <w:jc w:val="center"/>
        </w:trPr>
        <w:tc>
          <w:tcPr>
            <w:tcW w:w="491" w:type="pct"/>
            <w:shd w:val="clear" w:color="auto" w:fill="auto"/>
            <w:vAlign w:val="center"/>
            <w:hideMark/>
          </w:tcPr>
          <w:p w14:paraId="05408607"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930- Ministerio Público</w:t>
            </w:r>
          </w:p>
        </w:tc>
        <w:tc>
          <w:tcPr>
            <w:tcW w:w="524" w:type="pct"/>
            <w:shd w:val="clear" w:color="auto" w:fill="auto"/>
            <w:noWrap/>
            <w:vAlign w:val="center"/>
            <w:hideMark/>
          </w:tcPr>
          <w:p w14:paraId="17626F12" w14:textId="77777777" w:rsidR="00B15F7D" w:rsidRPr="00990FB6" w:rsidRDefault="00B15F7D" w:rsidP="00B15F7D">
            <w:pPr>
              <w:suppressAutoHyphens w:val="0"/>
              <w:rPr>
                <w:sz w:val="22"/>
                <w:szCs w:val="22"/>
                <w:lang w:val="es-CR" w:eastAsia="es-CR"/>
              </w:rPr>
            </w:pPr>
            <w:r w:rsidRPr="00990FB6">
              <w:rPr>
                <w:sz w:val="22"/>
                <w:szCs w:val="22"/>
                <w:lang w:val="es-CR" w:eastAsia="es-CR"/>
              </w:rPr>
              <w:t>Fiscalía de Ejecución de la Pena de Alajuela</w:t>
            </w:r>
          </w:p>
        </w:tc>
        <w:tc>
          <w:tcPr>
            <w:tcW w:w="254" w:type="pct"/>
            <w:shd w:val="clear" w:color="auto" w:fill="auto"/>
            <w:noWrap/>
            <w:vAlign w:val="center"/>
            <w:hideMark/>
          </w:tcPr>
          <w:p w14:paraId="364BC5A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45" w:type="pct"/>
            <w:shd w:val="clear" w:color="auto" w:fill="auto"/>
            <w:noWrap/>
            <w:vAlign w:val="center"/>
            <w:hideMark/>
          </w:tcPr>
          <w:p w14:paraId="13EB6A4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36" w:type="pct"/>
            <w:shd w:val="clear" w:color="auto" w:fill="auto"/>
            <w:noWrap/>
            <w:vAlign w:val="center"/>
            <w:hideMark/>
          </w:tcPr>
          <w:p w14:paraId="4958AC8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0 </w:t>
            </w:r>
          </w:p>
        </w:tc>
        <w:tc>
          <w:tcPr>
            <w:tcW w:w="299" w:type="pct"/>
            <w:shd w:val="clear" w:color="000000" w:fill="FFFFFF"/>
            <w:noWrap/>
            <w:vAlign w:val="center"/>
            <w:hideMark/>
          </w:tcPr>
          <w:p w14:paraId="69DFEAF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508" w:type="pct"/>
            <w:shd w:val="clear" w:color="000000" w:fill="FFFFFF"/>
            <w:noWrap/>
            <w:vAlign w:val="center"/>
            <w:hideMark/>
          </w:tcPr>
          <w:p w14:paraId="4E452453"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08" w:type="pct"/>
            <w:shd w:val="clear" w:color="000000" w:fill="FFFFFF"/>
            <w:noWrap/>
            <w:vAlign w:val="center"/>
            <w:hideMark/>
          </w:tcPr>
          <w:p w14:paraId="4D8F58E5"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08" w:type="pct"/>
            <w:shd w:val="clear" w:color="000000" w:fill="FFFFFF"/>
            <w:noWrap/>
            <w:vAlign w:val="center"/>
            <w:hideMark/>
          </w:tcPr>
          <w:p w14:paraId="0F5233BE"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71" w:type="pct"/>
            <w:shd w:val="clear" w:color="000000" w:fill="FFFFFF"/>
            <w:noWrap/>
            <w:vAlign w:val="center"/>
            <w:hideMark/>
          </w:tcPr>
          <w:p w14:paraId="5F97BEB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219 452 000,00 </w:t>
            </w:r>
          </w:p>
        </w:tc>
        <w:tc>
          <w:tcPr>
            <w:tcW w:w="557" w:type="pct"/>
            <w:shd w:val="clear" w:color="000000" w:fill="FFFFFF"/>
            <w:noWrap/>
            <w:vAlign w:val="center"/>
            <w:hideMark/>
          </w:tcPr>
          <w:p w14:paraId="5B7D33C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₡219 452 000,00</w:t>
            </w:r>
          </w:p>
        </w:tc>
      </w:tr>
      <w:tr w:rsidR="00B15F7D" w:rsidRPr="00990FB6" w14:paraId="3777BAAE" w14:textId="77777777" w:rsidTr="000A0C22">
        <w:trPr>
          <w:trHeight w:val="310"/>
          <w:jc w:val="center"/>
        </w:trPr>
        <w:tc>
          <w:tcPr>
            <w:tcW w:w="491" w:type="pct"/>
            <w:vMerge w:val="restart"/>
            <w:shd w:val="clear" w:color="auto" w:fill="auto"/>
            <w:vAlign w:val="center"/>
            <w:hideMark/>
          </w:tcPr>
          <w:p w14:paraId="1996BB85"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927- Servicio Jurisdiccional</w:t>
            </w:r>
          </w:p>
        </w:tc>
        <w:tc>
          <w:tcPr>
            <w:tcW w:w="524" w:type="pct"/>
            <w:shd w:val="clear" w:color="auto" w:fill="auto"/>
            <w:noWrap/>
            <w:vAlign w:val="center"/>
            <w:hideMark/>
          </w:tcPr>
          <w:p w14:paraId="46A48BB2"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Alajuela</w:t>
            </w:r>
          </w:p>
        </w:tc>
        <w:tc>
          <w:tcPr>
            <w:tcW w:w="254" w:type="pct"/>
            <w:shd w:val="clear" w:color="auto" w:fill="auto"/>
            <w:noWrap/>
            <w:vAlign w:val="center"/>
            <w:hideMark/>
          </w:tcPr>
          <w:p w14:paraId="3190163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45" w:type="pct"/>
            <w:shd w:val="clear" w:color="auto" w:fill="auto"/>
            <w:noWrap/>
            <w:vAlign w:val="center"/>
            <w:hideMark/>
          </w:tcPr>
          <w:p w14:paraId="7FB0FAB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36" w:type="pct"/>
            <w:shd w:val="clear" w:color="auto" w:fill="auto"/>
            <w:noWrap/>
            <w:vAlign w:val="center"/>
            <w:hideMark/>
          </w:tcPr>
          <w:p w14:paraId="438E59C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299" w:type="pct"/>
            <w:shd w:val="clear" w:color="000000" w:fill="FFFFFF"/>
            <w:noWrap/>
            <w:vAlign w:val="center"/>
            <w:hideMark/>
          </w:tcPr>
          <w:p w14:paraId="4716FC5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08" w:type="pct"/>
            <w:shd w:val="clear" w:color="000000" w:fill="FFFFFF"/>
            <w:noWrap/>
            <w:vAlign w:val="center"/>
            <w:hideMark/>
          </w:tcPr>
          <w:p w14:paraId="57DB4F4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54 945 000,00 </w:t>
            </w:r>
          </w:p>
        </w:tc>
        <w:tc>
          <w:tcPr>
            <w:tcW w:w="508" w:type="pct"/>
            <w:shd w:val="clear" w:color="000000" w:fill="FFFFFF"/>
            <w:noWrap/>
            <w:vAlign w:val="center"/>
            <w:hideMark/>
          </w:tcPr>
          <w:p w14:paraId="137E1192"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08" w:type="pct"/>
            <w:shd w:val="clear" w:color="000000" w:fill="FFFFFF"/>
            <w:noWrap/>
            <w:vAlign w:val="center"/>
            <w:hideMark/>
          </w:tcPr>
          <w:p w14:paraId="6674C44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47 835 000,00 </w:t>
            </w:r>
          </w:p>
        </w:tc>
        <w:tc>
          <w:tcPr>
            <w:tcW w:w="571" w:type="pct"/>
            <w:shd w:val="clear" w:color="000000" w:fill="FFFFFF"/>
            <w:noWrap/>
            <w:hideMark/>
          </w:tcPr>
          <w:p w14:paraId="289B11D7"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57" w:type="pct"/>
            <w:shd w:val="clear" w:color="000000" w:fill="FFFFFF"/>
            <w:noWrap/>
            <w:vAlign w:val="center"/>
            <w:hideMark/>
          </w:tcPr>
          <w:p w14:paraId="60083F7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₡102 780 000,00</w:t>
            </w:r>
          </w:p>
        </w:tc>
      </w:tr>
      <w:tr w:rsidR="00B15F7D" w:rsidRPr="00990FB6" w14:paraId="6AECD236" w14:textId="77777777" w:rsidTr="000A0C22">
        <w:trPr>
          <w:trHeight w:val="640"/>
          <w:jc w:val="center"/>
        </w:trPr>
        <w:tc>
          <w:tcPr>
            <w:tcW w:w="491" w:type="pct"/>
            <w:vMerge/>
            <w:vAlign w:val="center"/>
            <w:hideMark/>
          </w:tcPr>
          <w:p w14:paraId="0741881F" w14:textId="77777777" w:rsidR="00B15F7D" w:rsidRPr="00990FB6" w:rsidRDefault="00B15F7D" w:rsidP="00B15F7D">
            <w:pPr>
              <w:suppressAutoHyphens w:val="0"/>
              <w:rPr>
                <w:b/>
                <w:bCs/>
                <w:sz w:val="22"/>
                <w:szCs w:val="22"/>
                <w:lang w:val="es-CR" w:eastAsia="es-CR"/>
              </w:rPr>
            </w:pPr>
          </w:p>
        </w:tc>
        <w:tc>
          <w:tcPr>
            <w:tcW w:w="524" w:type="pct"/>
            <w:shd w:val="clear" w:color="auto" w:fill="auto"/>
            <w:noWrap/>
            <w:vAlign w:val="center"/>
            <w:hideMark/>
          </w:tcPr>
          <w:p w14:paraId="780FB7BE"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Pococí</w:t>
            </w:r>
          </w:p>
        </w:tc>
        <w:tc>
          <w:tcPr>
            <w:tcW w:w="254" w:type="pct"/>
            <w:shd w:val="clear" w:color="auto" w:fill="auto"/>
            <w:noWrap/>
            <w:vAlign w:val="center"/>
            <w:hideMark/>
          </w:tcPr>
          <w:p w14:paraId="0E08F3D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45" w:type="pct"/>
            <w:shd w:val="clear" w:color="auto" w:fill="auto"/>
            <w:noWrap/>
            <w:vAlign w:val="center"/>
            <w:hideMark/>
          </w:tcPr>
          <w:p w14:paraId="087FC78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36" w:type="pct"/>
            <w:shd w:val="clear" w:color="auto" w:fill="auto"/>
            <w:noWrap/>
            <w:vAlign w:val="center"/>
            <w:hideMark/>
          </w:tcPr>
          <w:p w14:paraId="2916CEB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299" w:type="pct"/>
            <w:shd w:val="clear" w:color="000000" w:fill="FFFFFF"/>
            <w:noWrap/>
            <w:vAlign w:val="center"/>
            <w:hideMark/>
          </w:tcPr>
          <w:p w14:paraId="6B04938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08" w:type="pct"/>
            <w:shd w:val="clear" w:color="000000" w:fill="FFFFFF"/>
            <w:noWrap/>
            <w:hideMark/>
          </w:tcPr>
          <w:p w14:paraId="299B739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w:t>
            </w:r>
          </w:p>
        </w:tc>
        <w:tc>
          <w:tcPr>
            <w:tcW w:w="508" w:type="pct"/>
            <w:shd w:val="clear" w:color="000000" w:fill="FFFFFF"/>
            <w:noWrap/>
            <w:vAlign w:val="center"/>
            <w:hideMark/>
          </w:tcPr>
          <w:p w14:paraId="4BAF06E8"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08" w:type="pct"/>
            <w:shd w:val="clear" w:color="000000" w:fill="FFFFFF"/>
            <w:noWrap/>
            <w:vAlign w:val="center"/>
            <w:hideMark/>
          </w:tcPr>
          <w:p w14:paraId="14A8C6F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c>
          <w:tcPr>
            <w:tcW w:w="571" w:type="pct"/>
            <w:shd w:val="clear" w:color="000000" w:fill="FFFFFF"/>
            <w:noWrap/>
            <w:hideMark/>
          </w:tcPr>
          <w:p w14:paraId="29E53BDC"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57" w:type="pct"/>
            <w:shd w:val="clear" w:color="000000" w:fill="FFFFFF"/>
            <w:noWrap/>
            <w:vAlign w:val="center"/>
            <w:hideMark/>
          </w:tcPr>
          <w:p w14:paraId="5A3629C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15 945 000,00</w:t>
            </w:r>
          </w:p>
        </w:tc>
      </w:tr>
      <w:tr w:rsidR="00B15F7D" w:rsidRPr="00990FB6" w14:paraId="7F3BC885" w14:textId="77777777" w:rsidTr="000A0C22">
        <w:trPr>
          <w:trHeight w:val="310"/>
          <w:jc w:val="center"/>
        </w:trPr>
        <w:tc>
          <w:tcPr>
            <w:tcW w:w="491" w:type="pct"/>
            <w:vMerge/>
            <w:vAlign w:val="center"/>
            <w:hideMark/>
          </w:tcPr>
          <w:p w14:paraId="1A49608C" w14:textId="77777777" w:rsidR="00B15F7D" w:rsidRPr="00990FB6" w:rsidRDefault="00B15F7D" w:rsidP="00B15F7D">
            <w:pPr>
              <w:suppressAutoHyphens w:val="0"/>
              <w:rPr>
                <w:b/>
                <w:bCs/>
                <w:sz w:val="22"/>
                <w:szCs w:val="22"/>
                <w:lang w:val="es-CR" w:eastAsia="es-CR"/>
              </w:rPr>
            </w:pPr>
          </w:p>
        </w:tc>
        <w:tc>
          <w:tcPr>
            <w:tcW w:w="524" w:type="pct"/>
            <w:shd w:val="clear" w:color="auto" w:fill="auto"/>
            <w:noWrap/>
            <w:vAlign w:val="center"/>
            <w:hideMark/>
          </w:tcPr>
          <w:p w14:paraId="0C09A950"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Liberia</w:t>
            </w:r>
          </w:p>
        </w:tc>
        <w:tc>
          <w:tcPr>
            <w:tcW w:w="254" w:type="pct"/>
            <w:shd w:val="clear" w:color="auto" w:fill="auto"/>
            <w:noWrap/>
            <w:vAlign w:val="center"/>
            <w:hideMark/>
          </w:tcPr>
          <w:p w14:paraId="69B11C5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45" w:type="pct"/>
            <w:shd w:val="clear" w:color="auto" w:fill="auto"/>
            <w:noWrap/>
            <w:vAlign w:val="center"/>
            <w:hideMark/>
          </w:tcPr>
          <w:p w14:paraId="4A99B50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36" w:type="pct"/>
            <w:shd w:val="clear" w:color="auto" w:fill="auto"/>
            <w:noWrap/>
            <w:vAlign w:val="center"/>
            <w:hideMark/>
          </w:tcPr>
          <w:p w14:paraId="05C2FC4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299" w:type="pct"/>
            <w:shd w:val="clear" w:color="000000" w:fill="FFFFFF"/>
            <w:noWrap/>
            <w:vAlign w:val="center"/>
            <w:hideMark/>
          </w:tcPr>
          <w:p w14:paraId="2454F9C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08" w:type="pct"/>
            <w:shd w:val="clear" w:color="000000" w:fill="FFFFFF"/>
            <w:noWrap/>
            <w:hideMark/>
          </w:tcPr>
          <w:p w14:paraId="6AFDF8F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w:t>
            </w:r>
          </w:p>
        </w:tc>
        <w:tc>
          <w:tcPr>
            <w:tcW w:w="508" w:type="pct"/>
            <w:shd w:val="clear" w:color="000000" w:fill="FFFFFF"/>
            <w:noWrap/>
            <w:vAlign w:val="center"/>
            <w:hideMark/>
          </w:tcPr>
          <w:p w14:paraId="2C44064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18 905 000,00 </w:t>
            </w:r>
          </w:p>
        </w:tc>
        <w:tc>
          <w:tcPr>
            <w:tcW w:w="508" w:type="pct"/>
            <w:shd w:val="clear" w:color="000000" w:fill="FFFFFF"/>
            <w:noWrap/>
            <w:vAlign w:val="center"/>
            <w:hideMark/>
          </w:tcPr>
          <w:p w14:paraId="48B090DA"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71" w:type="pct"/>
            <w:shd w:val="clear" w:color="000000" w:fill="FFFFFF"/>
            <w:noWrap/>
            <w:hideMark/>
          </w:tcPr>
          <w:p w14:paraId="38B1DF9A"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57" w:type="pct"/>
            <w:shd w:val="clear" w:color="000000" w:fill="FFFFFF"/>
            <w:noWrap/>
            <w:vAlign w:val="center"/>
            <w:hideMark/>
          </w:tcPr>
          <w:p w14:paraId="1ADBD9B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18 905 000,00</w:t>
            </w:r>
          </w:p>
        </w:tc>
      </w:tr>
      <w:tr w:rsidR="00B15F7D" w:rsidRPr="00990FB6" w14:paraId="25DF1E95" w14:textId="77777777" w:rsidTr="000A0C22">
        <w:trPr>
          <w:trHeight w:val="310"/>
          <w:jc w:val="center"/>
        </w:trPr>
        <w:tc>
          <w:tcPr>
            <w:tcW w:w="491" w:type="pct"/>
            <w:vMerge/>
            <w:vAlign w:val="center"/>
            <w:hideMark/>
          </w:tcPr>
          <w:p w14:paraId="3388995E" w14:textId="77777777" w:rsidR="00B15F7D" w:rsidRPr="00990FB6" w:rsidRDefault="00B15F7D" w:rsidP="00B15F7D">
            <w:pPr>
              <w:suppressAutoHyphens w:val="0"/>
              <w:rPr>
                <w:b/>
                <w:bCs/>
                <w:sz w:val="22"/>
                <w:szCs w:val="22"/>
                <w:lang w:val="es-CR" w:eastAsia="es-CR"/>
              </w:rPr>
            </w:pPr>
          </w:p>
        </w:tc>
        <w:tc>
          <w:tcPr>
            <w:tcW w:w="524" w:type="pct"/>
            <w:shd w:val="clear" w:color="auto" w:fill="auto"/>
            <w:noWrap/>
            <w:vAlign w:val="center"/>
            <w:hideMark/>
          </w:tcPr>
          <w:p w14:paraId="1A707927"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Puntarenas</w:t>
            </w:r>
          </w:p>
        </w:tc>
        <w:tc>
          <w:tcPr>
            <w:tcW w:w="254" w:type="pct"/>
            <w:shd w:val="clear" w:color="auto" w:fill="auto"/>
            <w:noWrap/>
            <w:vAlign w:val="center"/>
            <w:hideMark/>
          </w:tcPr>
          <w:p w14:paraId="67E4840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45" w:type="pct"/>
            <w:shd w:val="clear" w:color="auto" w:fill="auto"/>
            <w:noWrap/>
            <w:vAlign w:val="center"/>
            <w:hideMark/>
          </w:tcPr>
          <w:p w14:paraId="44A965C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36" w:type="pct"/>
            <w:shd w:val="clear" w:color="auto" w:fill="auto"/>
            <w:noWrap/>
            <w:vAlign w:val="center"/>
            <w:hideMark/>
          </w:tcPr>
          <w:p w14:paraId="31B2FC8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299" w:type="pct"/>
            <w:shd w:val="clear" w:color="000000" w:fill="FFFFFF"/>
            <w:noWrap/>
            <w:vAlign w:val="center"/>
            <w:hideMark/>
          </w:tcPr>
          <w:p w14:paraId="3A8DBFF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08" w:type="pct"/>
            <w:shd w:val="clear" w:color="000000" w:fill="FFFFFF"/>
            <w:noWrap/>
            <w:vAlign w:val="center"/>
            <w:hideMark/>
          </w:tcPr>
          <w:p w14:paraId="6B09940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w:t>
            </w:r>
          </w:p>
        </w:tc>
        <w:tc>
          <w:tcPr>
            <w:tcW w:w="508" w:type="pct"/>
            <w:shd w:val="clear" w:color="000000" w:fill="FFFFFF"/>
            <w:noWrap/>
            <w:vAlign w:val="center"/>
            <w:hideMark/>
          </w:tcPr>
          <w:p w14:paraId="697FFC8C"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08" w:type="pct"/>
            <w:shd w:val="clear" w:color="000000" w:fill="FFFFFF"/>
            <w:noWrap/>
            <w:vAlign w:val="center"/>
            <w:hideMark/>
          </w:tcPr>
          <w:p w14:paraId="6E086F6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c>
          <w:tcPr>
            <w:tcW w:w="571" w:type="pct"/>
            <w:shd w:val="clear" w:color="000000" w:fill="FFFFFF"/>
            <w:noWrap/>
            <w:vAlign w:val="center"/>
            <w:hideMark/>
          </w:tcPr>
          <w:p w14:paraId="54A5EB5A"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w:t>
            </w:r>
          </w:p>
        </w:tc>
        <w:tc>
          <w:tcPr>
            <w:tcW w:w="557" w:type="pct"/>
            <w:shd w:val="clear" w:color="000000" w:fill="FFFFFF"/>
            <w:noWrap/>
            <w:vAlign w:val="center"/>
            <w:hideMark/>
          </w:tcPr>
          <w:p w14:paraId="7C42B32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15 945 000,00</w:t>
            </w:r>
          </w:p>
        </w:tc>
      </w:tr>
      <w:tr w:rsidR="00B15F7D" w:rsidRPr="00990FB6" w14:paraId="5B007680" w14:textId="77777777" w:rsidTr="000A0C22">
        <w:trPr>
          <w:trHeight w:val="310"/>
          <w:jc w:val="center"/>
        </w:trPr>
        <w:tc>
          <w:tcPr>
            <w:tcW w:w="491" w:type="pct"/>
            <w:shd w:val="clear" w:color="000000" w:fill="DEEAF6"/>
            <w:vAlign w:val="center"/>
            <w:hideMark/>
          </w:tcPr>
          <w:p w14:paraId="7BA4FE16"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w:t>
            </w:r>
          </w:p>
        </w:tc>
        <w:tc>
          <w:tcPr>
            <w:tcW w:w="524" w:type="pct"/>
            <w:shd w:val="clear" w:color="000000" w:fill="DEEAF6"/>
            <w:vAlign w:val="center"/>
            <w:hideMark/>
          </w:tcPr>
          <w:p w14:paraId="03B48888"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Totales</w:t>
            </w:r>
          </w:p>
        </w:tc>
        <w:tc>
          <w:tcPr>
            <w:tcW w:w="254" w:type="pct"/>
            <w:shd w:val="clear" w:color="000000" w:fill="DEEAF6"/>
            <w:vAlign w:val="center"/>
            <w:hideMark/>
          </w:tcPr>
          <w:p w14:paraId="3FE68AAB"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w:t>
            </w:r>
          </w:p>
        </w:tc>
        <w:tc>
          <w:tcPr>
            <w:tcW w:w="445" w:type="pct"/>
            <w:shd w:val="clear" w:color="000000" w:fill="DEEAF6"/>
            <w:vAlign w:val="center"/>
            <w:hideMark/>
          </w:tcPr>
          <w:p w14:paraId="0A62A3FB"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w:t>
            </w:r>
          </w:p>
        </w:tc>
        <w:tc>
          <w:tcPr>
            <w:tcW w:w="336" w:type="pct"/>
            <w:shd w:val="clear" w:color="000000" w:fill="DEEAF6"/>
            <w:vAlign w:val="center"/>
            <w:hideMark/>
          </w:tcPr>
          <w:p w14:paraId="05399034"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5</w:t>
            </w:r>
          </w:p>
        </w:tc>
        <w:tc>
          <w:tcPr>
            <w:tcW w:w="299" w:type="pct"/>
            <w:shd w:val="clear" w:color="000000" w:fill="DEEAF6"/>
            <w:vAlign w:val="center"/>
            <w:hideMark/>
          </w:tcPr>
          <w:p w14:paraId="0C5DE154"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4</w:t>
            </w:r>
          </w:p>
        </w:tc>
        <w:tc>
          <w:tcPr>
            <w:tcW w:w="508" w:type="pct"/>
            <w:shd w:val="clear" w:color="000000" w:fill="DEEAF6"/>
            <w:vAlign w:val="center"/>
            <w:hideMark/>
          </w:tcPr>
          <w:p w14:paraId="0899FD1B"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xml:space="preserve"> ₡ 54 945 000,00 </w:t>
            </w:r>
          </w:p>
        </w:tc>
        <w:tc>
          <w:tcPr>
            <w:tcW w:w="508" w:type="pct"/>
            <w:shd w:val="clear" w:color="000000" w:fill="DEEAF6"/>
            <w:vAlign w:val="center"/>
            <w:hideMark/>
          </w:tcPr>
          <w:p w14:paraId="168FA105"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xml:space="preserve"> ₡ 18 905 000,00 </w:t>
            </w:r>
          </w:p>
        </w:tc>
        <w:tc>
          <w:tcPr>
            <w:tcW w:w="508" w:type="pct"/>
            <w:shd w:val="clear" w:color="000000" w:fill="DEEAF6"/>
            <w:vAlign w:val="center"/>
            <w:hideMark/>
          </w:tcPr>
          <w:p w14:paraId="1F20F6BD"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xml:space="preserve"> ₡ 79 725 000,00 </w:t>
            </w:r>
          </w:p>
        </w:tc>
        <w:tc>
          <w:tcPr>
            <w:tcW w:w="571" w:type="pct"/>
            <w:shd w:val="clear" w:color="000000" w:fill="DEEAF6"/>
            <w:vAlign w:val="center"/>
            <w:hideMark/>
          </w:tcPr>
          <w:p w14:paraId="4EA673CC"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xml:space="preserve"> ₡ 219 452 000,00 </w:t>
            </w:r>
          </w:p>
        </w:tc>
        <w:tc>
          <w:tcPr>
            <w:tcW w:w="557" w:type="pct"/>
            <w:shd w:val="clear" w:color="000000" w:fill="DEEAF6"/>
            <w:vAlign w:val="center"/>
            <w:hideMark/>
          </w:tcPr>
          <w:p w14:paraId="62B5295B"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xml:space="preserve"> ₡373 027 000,00 </w:t>
            </w:r>
          </w:p>
        </w:tc>
      </w:tr>
    </w:tbl>
    <w:p w14:paraId="3BCF02AA" w14:textId="77777777" w:rsidR="00B15F7D" w:rsidRPr="00990FB6" w:rsidRDefault="00B15F7D" w:rsidP="00B15F7D">
      <w:pPr>
        <w:suppressAutoHyphens w:val="0"/>
        <w:ind w:left="851" w:right="851" w:firstLine="709"/>
        <w:jc w:val="both"/>
        <w:rPr>
          <w:rFonts w:eastAsia="Calibri"/>
          <w:sz w:val="22"/>
          <w:szCs w:val="22"/>
          <w:lang w:val="es-CR" w:eastAsia="en-US"/>
        </w:rPr>
      </w:pPr>
    </w:p>
    <w:p w14:paraId="0FA5F865" w14:textId="77777777" w:rsidR="00B15F7D" w:rsidRPr="00990FB6" w:rsidRDefault="00B15F7D" w:rsidP="00B15F7D">
      <w:pPr>
        <w:suppressAutoHyphens w:val="0"/>
        <w:ind w:left="851" w:right="851" w:firstLine="709"/>
        <w:jc w:val="both"/>
        <w:rPr>
          <w:b/>
          <w:bCs/>
          <w:color w:val="3A3838"/>
          <w:sz w:val="22"/>
          <w:szCs w:val="22"/>
          <w:lang w:val="es-CR" w:eastAsia="es-CR"/>
        </w:rPr>
      </w:pPr>
      <w:r w:rsidRPr="00990FB6">
        <w:rPr>
          <w:rFonts w:eastAsia="Calibri"/>
          <w:sz w:val="22"/>
          <w:szCs w:val="22"/>
          <w:lang w:val="es-CR" w:eastAsia="en-US"/>
        </w:rPr>
        <w:t xml:space="preserve">Los costos variables totales por equipo de cómputo y mobiliario para este escenario ascienden a ₡ 14 116 930,00, distribuidos de la siguiente manera: </w:t>
      </w:r>
    </w:p>
    <w:p w14:paraId="6D36FCD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tbl>
      <w:tblPr>
        <w:tblW w:w="56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59"/>
        <w:gridCol w:w="2341"/>
        <w:gridCol w:w="820"/>
        <w:gridCol w:w="951"/>
        <w:gridCol w:w="818"/>
        <w:gridCol w:w="677"/>
        <w:gridCol w:w="1086"/>
        <w:gridCol w:w="1088"/>
        <w:gridCol w:w="1088"/>
      </w:tblGrid>
      <w:tr w:rsidR="00B15F7D" w:rsidRPr="00990FB6" w14:paraId="7F824AC5" w14:textId="77777777" w:rsidTr="000A0C22">
        <w:trPr>
          <w:trHeight w:val="300"/>
          <w:jc w:val="center"/>
        </w:trPr>
        <w:tc>
          <w:tcPr>
            <w:tcW w:w="533" w:type="pct"/>
            <w:vMerge w:val="restart"/>
            <w:shd w:val="clear" w:color="000000" w:fill="305496"/>
            <w:vAlign w:val="center"/>
            <w:hideMark/>
          </w:tcPr>
          <w:p w14:paraId="718F1FF1"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Programa presupuestario </w:t>
            </w:r>
          </w:p>
        </w:tc>
        <w:tc>
          <w:tcPr>
            <w:tcW w:w="1179" w:type="pct"/>
            <w:vMerge w:val="restart"/>
            <w:shd w:val="clear" w:color="000000" w:fill="305496"/>
            <w:vAlign w:val="center"/>
            <w:hideMark/>
          </w:tcPr>
          <w:p w14:paraId="1AC95E5C"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Despacho</w:t>
            </w:r>
          </w:p>
        </w:tc>
        <w:tc>
          <w:tcPr>
            <w:tcW w:w="1645" w:type="pct"/>
            <w:gridSpan w:val="4"/>
            <w:shd w:val="clear" w:color="000000" w:fill="5B9BD5"/>
            <w:noWrap/>
            <w:vAlign w:val="center"/>
            <w:hideMark/>
          </w:tcPr>
          <w:p w14:paraId="3A35A200"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REQUERIMIENTO</w:t>
            </w:r>
          </w:p>
        </w:tc>
        <w:tc>
          <w:tcPr>
            <w:tcW w:w="1643" w:type="pct"/>
            <w:gridSpan w:val="3"/>
            <w:shd w:val="clear" w:color="000000" w:fill="5B9BD5"/>
            <w:noWrap/>
            <w:vAlign w:val="center"/>
            <w:hideMark/>
          </w:tcPr>
          <w:p w14:paraId="3694A4C8"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COSTOS DE GASTOS VARIABLES</w:t>
            </w:r>
          </w:p>
        </w:tc>
      </w:tr>
      <w:tr w:rsidR="00B15F7D" w:rsidRPr="00990FB6" w14:paraId="6FE78DEE" w14:textId="77777777" w:rsidTr="000A0C22">
        <w:trPr>
          <w:trHeight w:val="740"/>
          <w:jc w:val="center"/>
        </w:trPr>
        <w:tc>
          <w:tcPr>
            <w:tcW w:w="533" w:type="pct"/>
            <w:vMerge/>
            <w:vAlign w:val="center"/>
            <w:hideMark/>
          </w:tcPr>
          <w:p w14:paraId="447B57A9" w14:textId="77777777" w:rsidR="00B15F7D" w:rsidRPr="00990FB6" w:rsidRDefault="00B15F7D" w:rsidP="00B15F7D">
            <w:pPr>
              <w:suppressAutoHyphens w:val="0"/>
              <w:rPr>
                <w:b/>
                <w:bCs/>
                <w:sz w:val="22"/>
                <w:szCs w:val="22"/>
                <w:lang w:val="es-CR" w:eastAsia="es-CR"/>
              </w:rPr>
            </w:pPr>
          </w:p>
        </w:tc>
        <w:tc>
          <w:tcPr>
            <w:tcW w:w="1179" w:type="pct"/>
            <w:vMerge/>
            <w:vAlign w:val="center"/>
            <w:hideMark/>
          </w:tcPr>
          <w:p w14:paraId="4ADEBE0B" w14:textId="77777777" w:rsidR="00B15F7D" w:rsidRPr="00990FB6" w:rsidRDefault="00B15F7D" w:rsidP="00B15F7D">
            <w:pPr>
              <w:suppressAutoHyphens w:val="0"/>
              <w:rPr>
                <w:b/>
                <w:bCs/>
                <w:sz w:val="22"/>
                <w:szCs w:val="22"/>
                <w:lang w:val="es-CR" w:eastAsia="es-CR"/>
              </w:rPr>
            </w:pPr>
          </w:p>
        </w:tc>
        <w:tc>
          <w:tcPr>
            <w:tcW w:w="413" w:type="pct"/>
            <w:shd w:val="clear" w:color="000000" w:fill="305496"/>
            <w:vAlign w:val="center"/>
            <w:hideMark/>
          </w:tcPr>
          <w:p w14:paraId="5E2D890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Juez/a 2</w:t>
            </w:r>
          </w:p>
        </w:tc>
        <w:tc>
          <w:tcPr>
            <w:tcW w:w="479" w:type="pct"/>
            <w:shd w:val="clear" w:color="000000" w:fill="305496"/>
            <w:vAlign w:val="center"/>
            <w:hideMark/>
          </w:tcPr>
          <w:p w14:paraId="13EFCEDB"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Coordinador/a Judicial 2</w:t>
            </w:r>
          </w:p>
        </w:tc>
        <w:tc>
          <w:tcPr>
            <w:tcW w:w="412" w:type="pct"/>
            <w:shd w:val="clear" w:color="000000" w:fill="305496"/>
            <w:vAlign w:val="center"/>
            <w:hideMark/>
          </w:tcPr>
          <w:p w14:paraId="71DF6931"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Técnico/a Judicial 2</w:t>
            </w:r>
          </w:p>
        </w:tc>
        <w:tc>
          <w:tcPr>
            <w:tcW w:w="341" w:type="pct"/>
            <w:shd w:val="clear" w:color="000000" w:fill="305496"/>
            <w:vAlign w:val="center"/>
            <w:hideMark/>
          </w:tcPr>
          <w:p w14:paraId="22D38180"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Fiscales</w:t>
            </w:r>
          </w:p>
        </w:tc>
        <w:tc>
          <w:tcPr>
            <w:tcW w:w="547" w:type="pct"/>
            <w:shd w:val="clear" w:color="000000" w:fill="305496"/>
            <w:vAlign w:val="center"/>
            <w:hideMark/>
          </w:tcPr>
          <w:p w14:paraId="271BD95A"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Plaza profesional</w:t>
            </w:r>
          </w:p>
        </w:tc>
        <w:tc>
          <w:tcPr>
            <w:tcW w:w="548" w:type="pct"/>
            <w:shd w:val="clear" w:color="000000" w:fill="305496"/>
            <w:vAlign w:val="center"/>
            <w:hideMark/>
          </w:tcPr>
          <w:p w14:paraId="726E20F7"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Plaza no profesional</w:t>
            </w:r>
          </w:p>
        </w:tc>
        <w:tc>
          <w:tcPr>
            <w:tcW w:w="547" w:type="pct"/>
            <w:shd w:val="clear" w:color="000000" w:fill="305496"/>
            <w:vAlign w:val="center"/>
            <w:hideMark/>
          </w:tcPr>
          <w:p w14:paraId="05F3AAA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Costo Total</w:t>
            </w:r>
          </w:p>
        </w:tc>
      </w:tr>
      <w:tr w:rsidR="00B15F7D" w:rsidRPr="00990FB6" w14:paraId="39E3C174" w14:textId="77777777" w:rsidTr="000A0C22">
        <w:trPr>
          <w:trHeight w:val="310"/>
          <w:jc w:val="center"/>
        </w:trPr>
        <w:tc>
          <w:tcPr>
            <w:tcW w:w="533" w:type="pct"/>
            <w:shd w:val="clear" w:color="000000" w:fill="FFFFFF"/>
            <w:vAlign w:val="center"/>
            <w:hideMark/>
          </w:tcPr>
          <w:p w14:paraId="213CD08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930- Ministerio Público</w:t>
            </w:r>
          </w:p>
        </w:tc>
        <w:tc>
          <w:tcPr>
            <w:tcW w:w="1179" w:type="pct"/>
            <w:shd w:val="clear" w:color="auto" w:fill="auto"/>
            <w:noWrap/>
            <w:vAlign w:val="center"/>
            <w:hideMark/>
          </w:tcPr>
          <w:p w14:paraId="3519C369" w14:textId="77777777" w:rsidR="00B15F7D" w:rsidRPr="00990FB6" w:rsidRDefault="00B15F7D" w:rsidP="00B15F7D">
            <w:pPr>
              <w:suppressAutoHyphens w:val="0"/>
              <w:rPr>
                <w:sz w:val="22"/>
                <w:szCs w:val="22"/>
                <w:lang w:val="es-CR" w:eastAsia="es-CR"/>
              </w:rPr>
            </w:pPr>
            <w:r w:rsidRPr="00990FB6">
              <w:rPr>
                <w:sz w:val="22"/>
                <w:szCs w:val="22"/>
                <w:lang w:val="es-CR" w:eastAsia="es-CR"/>
              </w:rPr>
              <w:t>Fiscalía de Ejecución de la Pena de Alajuela</w:t>
            </w:r>
          </w:p>
        </w:tc>
        <w:tc>
          <w:tcPr>
            <w:tcW w:w="413" w:type="pct"/>
            <w:shd w:val="clear" w:color="auto" w:fill="auto"/>
            <w:noWrap/>
            <w:vAlign w:val="center"/>
            <w:hideMark/>
          </w:tcPr>
          <w:p w14:paraId="386A553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79" w:type="pct"/>
            <w:shd w:val="clear" w:color="auto" w:fill="auto"/>
            <w:noWrap/>
            <w:vAlign w:val="center"/>
            <w:hideMark/>
          </w:tcPr>
          <w:p w14:paraId="62549A3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12" w:type="pct"/>
            <w:shd w:val="clear" w:color="auto" w:fill="auto"/>
            <w:noWrap/>
            <w:vAlign w:val="center"/>
            <w:hideMark/>
          </w:tcPr>
          <w:p w14:paraId="62AD0B64"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41" w:type="pct"/>
            <w:shd w:val="clear" w:color="000000" w:fill="FFFFFF"/>
            <w:noWrap/>
            <w:vAlign w:val="center"/>
            <w:hideMark/>
          </w:tcPr>
          <w:p w14:paraId="239AEC3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4</w:t>
            </w:r>
          </w:p>
        </w:tc>
        <w:tc>
          <w:tcPr>
            <w:tcW w:w="547" w:type="pct"/>
            <w:shd w:val="clear" w:color="000000" w:fill="FFFFFF"/>
            <w:vAlign w:val="center"/>
            <w:hideMark/>
          </w:tcPr>
          <w:p w14:paraId="0965FC77"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6 210 728,00 </w:t>
            </w:r>
          </w:p>
        </w:tc>
        <w:tc>
          <w:tcPr>
            <w:tcW w:w="548" w:type="pct"/>
            <w:shd w:val="clear" w:color="000000" w:fill="FFFFFF"/>
            <w:vAlign w:val="center"/>
            <w:hideMark/>
          </w:tcPr>
          <w:p w14:paraId="289310F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547" w:type="pct"/>
            <w:shd w:val="clear" w:color="000000" w:fill="FFFFFF"/>
            <w:vAlign w:val="center"/>
            <w:hideMark/>
          </w:tcPr>
          <w:p w14:paraId="2CFE7BE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6 210 728,00 </w:t>
            </w:r>
          </w:p>
        </w:tc>
      </w:tr>
      <w:tr w:rsidR="00B15F7D" w:rsidRPr="00990FB6" w14:paraId="0F595CEC" w14:textId="77777777" w:rsidTr="000A0C22">
        <w:trPr>
          <w:trHeight w:val="310"/>
          <w:jc w:val="center"/>
        </w:trPr>
        <w:tc>
          <w:tcPr>
            <w:tcW w:w="533" w:type="pct"/>
            <w:vMerge w:val="restart"/>
            <w:shd w:val="clear" w:color="000000" w:fill="FFFFFF"/>
            <w:vAlign w:val="center"/>
            <w:hideMark/>
          </w:tcPr>
          <w:p w14:paraId="718160FF"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lastRenderedPageBreak/>
              <w:t>927- Servicio Jurisdiccional</w:t>
            </w:r>
          </w:p>
        </w:tc>
        <w:tc>
          <w:tcPr>
            <w:tcW w:w="1179" w:type="pct"/>
            <w:shd w:val="clear" w:color="auto" w:fill="auto"/>
            <w:noWrap/>
            <w:vAlign w:val="center"/>
            <w:hideMark/>
          </w:tcPr>
          <w:p w14:paraId="0B72F905"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Alajuela</w:t>
            </w:r>
          </w:p>
        </w:tc>
        <w:tc>
          <w:tcPr>
            <w:tcW w:w="413" w:type="pct"/>
            <w:shd w:val="clear" w:color="auto" w:fill="auto"/>
            <w:noWrap/>
            <w:vAlign w:val="center"/>
            <w:hideMark/>
          </w:tcPr>
          <w:p w14:paraId="54C7FB5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79" w:type="pct"/>
            <w:shd w:val="clear" w:color="auto" w:fill="auto"/>
            <w:noWrap/>
            <w:vAlign w:val="center"/>
            <w:hideMark/>
          </w:tcPr>
          <w:p w14:paraId="1701761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12" w:type="pct"/>
            <w:shd w:val="clear" w:color="auto" w:fill="auto"/>
            <w:noWrap/>
            <w:vAlign w:val="center"/>
            <w:hideMark/>
          </w:tcPr>
          <w:p w14:paraId="2E1B5EFE"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3</w:t>
            </w:r>
          </w:p>
        </w:tc>
        <w:tc>
          <w:tcPr>
            <w:tcW w:w="341" w:type="pct"/>
            <w:shd w:val="clear" w:color="000000" w:fill="FFFFFF"/>
            <w:noWrap/>
            <w:vAlign w:val="center"/>
            <w:hideMark/>
          </w:tcPr>
          <w:p w14:paraId="6B17F09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47" w:type="pct"/>
            <w:shd w:val="clear" w:color="000000" w:fill="FFFFFF"/>
            <w:vAlign w:val="center"/>
            <w:hideMark/>
          </w:tcPr>
          <w:p w14:paraId="1074D0A8"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1 552 682,00 </w:t>
            </w:r>
          </w:p>
        </w:tc>
        <w:tc>
          <w:tcPr>
            <w:tcW w:w="548" w:type="pct"/>
            <w:shd w:val="clear" w:color="000000" w:fill="FFFFFF"/>
            <w:vAlign w:val="center"/>
            <w:hideMark/>
          </w:tcPr>
          <w:p w14:paraId="6C7578B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3 176 760,00 </w:t>
            </w:r>
          </w:p>
        </w:tc>
        <w:tc>
          <w:tcPr>
            <w:tcW w:w="547" w:type="pct"/>
            <w:shd w:val="clear" w:color="000000" w:fill="FFFFFF"/>
            <w:vAlign w:val="center"/>
            <w:hideMark/>
          </w:tcPr>
          <w:p w14:paraId="71A62EA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4 729 442,00 </w:t>
            </w:r>
          </w:p>
        </w:tc>
      </w:tr>
      <w:tr w:rsidR="00B15F7D" w:rsidRPr="00990FB6" w14:paraId="3F27FA7C" w14:textId="77777777" w:rsidTr="000A0C22">
        <w:trPr>
          <w:trHeight w:val="310"/>
          <w:jc w:val="center"/>
        </w:trPr>
        <w:tc>
          <w:tcPr>
            <w:tcW w:w="533" w:type="pct"/>
            <w:vMerge/>
            <w:vAlign w:val="center"/>
            <w:hideMark/>
          </w:tcPr>
          <w:p w14:paraId="724E7484" w14:textId="77777777" w:rsidR="00B15F7D" w:rsidRPr="00990FB6" w:rsidRDefault="00B15F7D" w:rsidP="00B15F7D">
            <w:pPr>
              <w:suppressAutoHyphens w:val="0"/>
              <w:rPr>
                <w:b/>
                <w:bCs/>
                <w:sz w:val="22"/>
                <w:szCs w:val="22"/>
                <w:lang w:val="es-CR" w:eastAsia="es-CR"/>
              </w:rPr>
            </w:pPr>
          </w:p>
        </w:tc>
        <w:tc>
          <w:tcPr>
            <w:tcW w:w="1179" w:type="pct"/>
            <w:shd w:val="clear" w:color="auto" w:fill="auto"/>
            <w:noWrap/>
            <w:vAlign w:val="center"/>
            <w:hideMark/>
          </w:tcPr>
          <w:p w14:paraId="46D8E14A"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Pococí</w:t>
            </w:r>
          </w:p>
        </w:tc>
        <w:tc>
          <w:tcPr>
            <w:tcW w:w="413" w:type="pct"/>
            <w:shd w:val="clear" w:color="auto" w:fill="auto"/>
            <w:noWrap/>
            <w:vAlign w:val="center"/>
            <w:hideMark/>
          </w:tcPr>
          <w:p w14:paraId="0947BF1C"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79" w:type="pct"/>
            <w:shd w:val="clear" w:color="auto" w:fill="auto"/>
            <w:noWrap/>
            <w:vAlign w:val="center"/>
            <w:hideMark/>
          </w:tcPr>
          <w:p w14:paraId="207B45E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12" w:type="pct"/>
            <w:shd w:val="clear" w:color="auto" w:fill="auto"/>
            <w:noWrap/>
            <w:vAlign w:val="center"/>
            <w:hideMark/>
          </w:tcPr>
          <w:p w14:paraId="34347EC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41" w:type="pct"/>
            <w:shd w:val="clear" w:color="000000" w:fill="FFFFFF"/>
            <w:noWrap/>
            <w:vAlign w:val="center"/>
            <w:hideMark/>
          </w:tcPr>
          <w:p w14:paraId="5CEFD74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47" w:type="pct"/>
            <w:shd w:val="clear" w:color="000000" w:fill="FFFFFF"/>
            <w:vAlign w:val="center"/>
            <w:hideMark/>
          </w:tcPr>
          <w:p w14:paraId="7821BF56"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548" w:type="pct"/>
            <w:shd w:val="clear" w:color="000000" w:fill="FFFFFF"/>
            <w:vAlign w:val="center"/>
            <w:hideMark/>
          </w:tcPr>
          <w:p w14:paraId="41B6479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1 058 920,00 </w:t>
            </w:r>
          </w:p>
        </w:tc>
        <w:tc>
          <w:tcPr>
            <w:tcW w:w="547" w:type="pct"/>
            <w:shd w:val="clear" w:color="000000" w:fill="FFFFFF"/>
            <w:vAlign w:val="center"/>
            <w:hideMark/>
          </w:tcPr>
          <w:p w14:paraId="08E4734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1 058 920,00 </w:t>
            </w:r>
          </w:p>
        </w:tc>
      </w:tr>
      <w:tr w:rsidR="00B15F7D" w:rsidRPr="00990FB6" w14:paraId="3BE10930" w14:textId="77777777" w:rsidTr="000A0C22">
        <w:trPr>
          <w:trHeight w:val="310"/>
          <w:jc w:val="center"/>
        </w:trPr>
        <w:tc>
          <w:tcPr>
            <w:tcW w:w="533" w:type="pct"/>
            <w:vMerge/>
            <w:vAlign w:val="center"/>
            <w:hideMark/>
          </w:tcPr>
          <w:p w14:paraId="7BC132A5" w14:textId="77777777" w:rsidR="00B15F7D" w:rsidRPr="00990FB6" w:rsidRDefault="00B15F7D" w:rsidP="00B15F7D">
            <w:pPr>
              <w:suppressAutoHyphens w:val="0"/>
              <w:rPr>
                <w:b/>
                <w:bCs/>
                <w:sz w:val="22"/>
                <w:szCs w:val="22"/>
                <w:lang w:val="es-CR" w:eastAsia="es-CR"/>
              </w:rPr>
            </w:pPr>
          </w:p>
        </w:tc>
        <w:tc>
          <w:tcPr>
            <w:tcW w:w="1179" w:type="pct"/>
            <w:shd w:val="clear" w:color="auto" w:fill="auto"/>
            <w:noWrap/>
            <w:vAlign w:val="center"/>
            <w:hideMark/>
          </w:tcPr>
          <w:p w14:paraId="3DC0EEB6"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Liberia</w:t>
            </w:r>
          </w:p>
        </w:tc>
        <w:tc>
          <w:tcPr>
            <w:tcW w:w="413" w:type="pct"/>
            <w:shd w:val="clear" w:color="auto" w:fill="auto"/>
            <w:noWrap/>
            <w:vAlign w:val="center"/>
            <w:hideMark/>
          </w:tcPr>
          <w:p w14:paraId="2D927EE1"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79" w:type="pct"/>
            <w:shd w:val="clear" w:color="auto" w:fill="auto"/>
            <w:noWrap/>
            <w:vAlign w:val="center"/>
            <w:hideMark/>
          </w:tcPr>
          <w:p w14:paraId="681A518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412" w:type="pct"/>
            <w:shd w:val="clear" w:color="auto" w:fill="auto"/>
            <w:noWrap/>
            <w:vAlign w:val="center"/>
            <w:hideMark/>
          </w:tcPr>
          <w:p w14:paraId="54B5C4E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341" w:type="pct"/>
            <w:shd w:val="clear" w:color="000000" w:fill="FFFFFF"/>
            <w:noWrap/>
            <w:vAlign w:val="center"/>
            <w:hideMark/>
          </w:tcPr>
          <w:p w14:paraId="5C5012E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47" w:type="pct"/>
            <w:shd w:val="clear" w:color="000000" w:fill="FFFFFF"/>
            <w:vAlign w:val="center"/>
            <w:hideMark/>
          </w:tcPr>
          <w:p w14:paraId="06F33112"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548" w:type="pct"/>
            <w:shd w:val="clear" w:color="000000" w:fill="FFFFFF"/>
            <w:vAlign w:val="center"/>
            <w:hideMark/>
          </w:tcPr>
          <w:p w14:paraId="3AAE35A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1 058 920,00 </w:t>
            </w:r>
          </w:p>
        </w:tc>
        <w:tc>
          <w:tcPr>
            <w:tcW w:w="547" w:type="pct"/>
            <w:shd w:val="clear" w:color="000000" w:fill="FFFFFF"/>
            <w:vAlign w:val="center"/>
            <w:hideMark/>
          </w:tcPr>
          <w:p w14:paraId="484C8D99"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1 058 920,00 </w:t>
            </w:r>
          </w:p>
        </w:tc>
      </w:tr>
      <w:tr w:rsidR="00B15F7D" w:rsidRPr="00990FB6" w14:paraId="648B9739" w14:textId="77777777" w:rsidTr="000A0C22">
        <w:trPr>
          <w:trHeight w:val="310"/>
          <w:jc w:val="center"/>
        </w:trPr>
        <w:tc>
          <w:tcPr>
            <w:tcW w:w="533" w:type="pct"/>
            <w:vMerge/>
            <w:vAlign w:val="center"/>
            <w:hideMark/>
          </w:tcPr>
          <w:p w14:paraId="432A51C6" w14:textId="77777777" w:rsidR="00B15F7D" w:rsidRPr="00990FB6" w:rsidRDefault="00B15F7D" w:rsidP="00B15F7D">
            <w:pPr>
              <w:suppressAutoHyphens w:val="0"/>
              <w:rPr>
                <w:b/>
                <w:bCs/>
                <w:sz w:val="22"/>
                <w:szCs w:val="22"/>
                <w:lang w:val="es-CR" w:eastAsia="es-CR"/>
              </w:rPr>
            </w:pPr>
          </w:p>
        </w:tc>
        <w:tc>
          <w:tcPr>
            <w:tcW w:w="1179" w:type="pct"/>
            <w:shd w:val="clear" w:color="auto" w:fill="auto"/>
            <w:noWrap/>
            <w:vAlign w:val="center"/>
            <w:hideMark/>
          </w:tcPr>
          <w:p w14:paraId="499002E1" w14:textId="77777777" w:rsidR="00B15F7D" w:rsidRPr="00990FB6" w:rsidRDefault="00B15F7D" w:rsidP="00B15F7D">
            <w:pPr>
              <w:suppressAutoHyphens w:val="0"/>
              <w:rPr>
                <w:sz w:val="22"/>
                <w:szCs w:val="22"/>
                <w:lang w:val="es-CR" w:eastAsia="es-CR"/>
              </w:rPr>
            </w:pPr>
            <w:r w:rsidRPr="00990FB6">
              <w:rPr>
                <w:sz w:val="22"/>
                <w:szCs w:val="22"/>
                <w:lang w:val="es-CR" w:eastAsia="es-CR"/>
              </w:rPr>
              <w:t>Juzgado de Ejecución de la Pena de Puntarenas</w:t>
            </w:r>
          </w:p>
        </w:tc>
        <w:tc>
          <w:tcPr>
            <w:tcW w:w="413" w:type="pct"/>
            <w:shd w:val="clear" w:color="auto" w:fill="auto"/>
            <w:noWrap/>
            <w:vAlign w:val="center"/>
            <w:hideMark/>
          </w:tcPr>
          <w:p w14:paraId="34CB456F"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79" w:type="pct"/>
            <w:shd w:val="clear" w:color="auto" w:fill="auto"/>
            <w:noWrap/>
            <w:vAlign w:val="center"/>
            <w:hideMark/>
          </w:tcPr>
          <w:p w14:paraId="7533890A"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412" w:type="pct"/>
            <w:shd w:val="clear" w:color="auto" w:fill="auto"/>
            <w:noWrap/>
            <w:vAlign w:val="center"/>
            <w:hideMark/>
          </w:tcPr>
          <w:p w14:paraId="551D3D0B"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1</w:t>
            </w:r>
          </w:p>
        </w:tc>
        <w:tc>
          <w:tcPr>
            <w:tcW w:w="341" w:type="pct"/>
            <w:shd w:val="clear" w:color="000000" w:fill="FFFFFF"/>
            <w:noWrap/>
            <w:vAlign w:val="center"/>
            <w:hideMark/>
          </w:tcPr>
          <w:p w14:paraId="5DBBA4F0"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0</w:t>
            </w:r>
          </w:p>
        </w:tc>
        <w:tc>
          <w:tcPr>
            <w:tcW w:w="547" w:type="pct"/>
            <w:shd w:val="clear" w:color="000000" w:fill="FFFFFF"/>
            <w:vAlign w:val="center"/>
            <w:hideMark/>
          </w:tcPr>
          <w:p w14:paraId="02B3722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   </w:t>
            </w:r>
          </w:p>
        </w:tc>
        <w:tc>
          <w:tcPr>
            <w:tcW w:w="548" w:type="pct"/>
            <w:shd w:val="clear" w:color="000000" w:fill="FFFFFF"/>
            <w:vAlign w:val="center"/>
            <w:hideMark/>
          </w:tcPr>
          <w:p w14:paraId="392E9895"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1 058 920,00 </w:t>
            </w:r>
          </w:p>
        </w:tc>
        <w:tc>
          <w:tcPr>
            <w:tcW w:w="547" w:type="pct"/>
            <w:shd w:val="clear" w:color="000000" w:fill="FFFFFF"/>
            <w:vAlign w:val="center"/>
            <w:hideMark/>
          </w:tcPr>
          <w:p w14:paraId="4BA06D3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1 058 920,00 </w:t>
            </w:r>
          </w:p>
        </w:tc>
      </w:tr>
      <w:tr w:rsidR="00B15F7D" w:rsidRPr="00990FB6" w14:paraId="37D344DB" w14:textId="77777777" w:rsidTr="000A0C22">
        <w:trPr>
          <w:trHeight w:val="300"/>
          <w:jc w:val="center"/>
        </w:trPr>
        <w:tc>
          <w:tcPr>
            <w:tcW w:w="533" w:type="pct"/>
            <w:shd w:val="clear" w:color="000000" w:fill="FFFFFF"/>
            <w:vAlign w:val="center"/>
            <w:hideMark/>
          </w:tcPr>
          <w:p w14:paraId="5A354C48"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 </w:t>
            </w:r>
          </w:p>
        </w:tc>
        <w:tc>
          <w:tcPr>
            <w:tcW w:w="1179" w:type="pct"/>
            <w:shd w:val="clear" w:color="000000" w:fill="DEEAF6"/>
            <w:vAlign w:val="center"/>
            <w:hideMark/>
          </w:tcPr>
          <w:p w14:paraId="49BC598C" w14:textId="77777777" w:rsidR="00B15F7D" w:rsidRPr="00990FB6" w:rsidRDefault="00B15F7D" w:rsidP="00B15F7D">
            <w:pPr>
              <w:suppressAutoHyphens w:val="0"/>
              <w:rPr>
                <w:b/>
                <w:bCs/>
                <w:sz w:val="22"/>
                <w:szCs w:val="22"/>
                <w:lang w:val="es-CR" w:eastAsia="es-CR"/>
              </w:rPr>
            </w:pPr>
            <w:r w:rsidRPr="00990FB6">
              <w:rPr>
                <w:b/>
                <w:bCs/>
                <w:sz w:val="22"/>
                <w:szCs w:val="22"/>
                <w:lang w:val="es-CR" w:eastAsia="es-CR"/>
              </w:rPr>
              <w:t>Totales</w:t>
            </w:r>
          </w:p>
        </w:tc>
        <w:tc>
          <w:tcPr>
            <w:tcW w:w="413" w:type="pct"/>
            <w:shd w:val="clear" w:color="000000" w:fill="DEEAF6"/>
            <w:vAlign w:val="center"/>
            <w:hideMark/>
          </w:tcPr>
          <w:p w14:paraId="59C41F3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w:t>
            </w:r>
          </w:p>
        </w:tc>
        <w:tc>
          <w:tcPr>
            <w:tcW w:w="479" w:type="pct"/>
            <w:shd w:val="clear" w:color="000000" w:fill="DEEAF6"/>
            <w:vAlign w:val="center"/>
            <w:hideMark/>
          </w:tcPr>
          <w:p w14:paraId="53EE1BC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1</w:t>
            </w:r>
          </w:p>
        </w:tc>
        <w:tc>
          <w:tcPr>
            <w:tcW w:w="412" w:type="pct"/>
            <w:shd w:val="clear" w:color="000000" w:fill="DEEAF6"/>
            <w:vAlign w:val="center"/>
            <w:hideMark/>
          </w:tcPr>
          <w:p w14:paraId="70AD88B9"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5</w:t>
            </w:r>
          </w:p>
        </w:tc>
        <w:tc>
          <w:tcPr>
            <w:tcW w:w="341" w:type="pct"/>
            <w:shd w:val="clear" w:color="000000" w:fill="DEEAF6"/>
            <w:vAlign w:val="center"/>
            <w:hideMark/>
          </w:tcPr>
          <w:p w14:paraId="4C6307B5"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4</w:t>
            </w:r>
          </w:p>
        </w:tc>
        <w:tc>
          <w:tcPr>
            <w:tcW w:w="547" w:type="pct"/>
            <w:shd w:val="clear" w:color="000000" w:fill="DEEAF6"/>
            <w:vAlign w:val="center"/>
            <w:hideMark/>
          </w:tcPr>
          <w:p w14:paraId="0E2B972E"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 7 763 410,00 </w:t>
            </w:r>
          </w:p>
        </w:tc>
        <w:tc>
          <w:tcPr>
            <w:tcW w:w="548" w:type="pct"/>
            <w:shd w:val="clear" w:color="000000" w:fill="DEEAF6"/>
            <w:vAlign w:val="center"/>
            <w:hideMark/>
          </w:tcPr>
          <w:p w14:paraId="39536CD2"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 6 353 520,00 </w:t>
            </w:r>
          </w:p>
        </w:tc>
        <w:tc>
          <w:tcPr>
            <w:tcW w:w="547" w:type="pct"/>
            <w:shd w:val="clear" w:color="000000" w:fill="DEEAF6"/>
            <w:vAlign w:val="center"/>
            <w:hideMark/>
          </w:tcPr>
          <w:p w14:paraId="5082751A" w14:textId="77777777" w:rsidR="00B15F7D" w:rsidRPr="00990FB6" w:rsidRDefault="00B15F7D" w:rsidP="00B15F7D">
            <w:pPr>
              <w:suppressAutoHyphens w:val="0"/>
              <w:jc w:val="center"/>
              <w:rPr>
                <w:b/>
                <w:bCs/>
                <w:sz w:val="22"/>
                <w:szCs w:val="22"/>
                <w:lang w:val="es-CR" w:eastAsia="es-CR"/>
              </w:rPr>
            </w:pPr>
            <w:r w:rsidRPr="00990FB6">
              <w:rPr>
                <w:b/>
                <w:bCs/>
                <w:sz w:val="22"/>
                <w:szCs w:val="22"/>
                <w:lang w:val="es-CR" w:eastAsia="es-CR"/>
              </w:rPr>
              <w:t xml:space="preserve"> ₡ 14 116 930,00 </w:t>
            </w:r>
          </w:p>
        </w:tc>
      </w:tr>
    </w:tbl>
    <w:p w14:paraId="3F055A4E" w14:textId="77777777" w:rsidR="00B15F7D" w:rsidRPr="00990FB6" w:rsidRDefault="00B15F7D" w:rsidP="00B15F7D">
      <w:pPr>
        <w:suppressAutoHyphens w:val="0"/>
        <w:contextualSpacing/>
        <w:jc w:val="both"/>
        <w:rPr>
          <w:rFonts w:eastAsia="Calibri"/>
          <w:sz w:val="22"/>
          <w:szCs w:val="22"/>
          <w:lang w:val="es-CR" w:eastAsia="en-US"/>
        </w:rPr>
      </w:pPr>
    </w:p>
    <w:p w14:paraId="4B662685"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Juzgados de Ejecución de la se estima ₡ 373 027 000, 00 y los costos variables asociados en ¢14 116 930, 00.</w:t>
      </w:r>
    </w:p>
    <w:p w14:paraId="28E0A165"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p>
    <w:p w14:paraId="4C9C7ACE"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r w:rsidRPr="00990FB6">
        <w:rPr>
          <w:rFonts w:eastAsia="Calibri"/>
          <w:b/>
          <w:bCs/>
          <w:sz w:val="22"/>
          <w:szCs w:val="22"/>
          <w:u w:val="single"/>
          <w:lang w:val="es-CR" w:eastAsia="en-US"/>
        </w:rPr>
        <w:t>En resumen, el escenario 1 ideal tiene el siguiente costo:</w:t>
      </w:r>
    </w:p>
    <w:p w14:paraId="2A2005E2"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p>
    <w:tbl>
      <w:tblPr>
        <w:tblW w:w="9020" w:type="dxa"/>
        <w:tblCellMar>
          <w:left w:w="70" w:type="dxa"/>
          <w:right w:w="70" w:type="dxa"/>
        </w:tblCellMar>
        <w:tblLook w:val="04A0" w:firstRow="1" w:lastRow="0" w:firstColumn="1" w:lastColumn="0" w:noHBand="0" w:noVBand="1"/>
      </w:tblPr>
      <w:tblGrid>
        <w:gridCol w:w="2840"/>
        <w:gridCol w:w="2260"/>
        <w:gridCol w:w="1940"/>
        <w:gridCol w:w="1980"/>
      </w:tblGrid>
      <w:tr w:rsidR="00B15F7D" w:rsidRPr="00990FB6" w14:paraId="24B2C953" w14:textId="77777777" w:rsidTr="000A0C22">
        <w:trPr>
          <w:trHeight w:val="300"/>
        </w:trPr>
        <w:tc>
          <w:tcPr>
            <w:tcW w:w="2840" w:type="dxa"/>
            <w:vMerge w:val="restart"/>
            <w:tcBorders>
              <w:top w:val="single" w:sz="8" w:space="0" w:color="E7E6E6"/>
              <w:left w:val="single" w:sz="8" w:space="0" w:color="E7E6E6"/>
              <w:bottom w:val="nil"/>
              <w:right w:val="nil"/>
            </w:tcBorders>
            <w:shd w:val="clear" w:color="000000" w:fill="305496"/>
            <w:vAlign w:val="center"/>
            <w:hideMark/>
          </w:tcPr>
          <w:p w14:paraId="298E68C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4200" w:type="dxa"/>
            <w:gridSpan w:val="2"/>
            <w:tcBorders>
              <w:top w:val="single" w:sz="8" w:space="0" w:color="E7E6E6"/>
              <w:left w:val="single" w:sz="8" w:space="0" w:color="E7E6E6"/>
              <w:bottom w:val="single" w:sz="8" w:space="0" w:color="E7E6E6"/>
              <w:right w:val="nil"/>
            </w:tcBorders>
            <w:shd w:val="clear" w:color="000000" w:fill="5B9BD5"/>
            <w:noWrap/>
            <w:vAlign w:val="center"/>
            <w:hideMark/>
          </w:tcPr>
          <w:p w14:paraId="57572EB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PROGRAMA</w:t>
            </w:r>
          </w:p>
        </w:tc>
        <w:tc>
          <w:tcPr>
            <w:tcW w:w="1980" w:type="dxa"/>
            <w:vMerge w:val="restart"/>
            <w:tcBorders>
              <w:top w:val="single" w:sz="8" w:space="0" w:color="E7E6E6"/>
              <w:left w:val="single" w:sz="8" w:space="0" w:color="E7E6E6"/>
              <w:bottom w:val="nil"/>
              <w:right w:val="nil"/>
            </w:tcBorders>
            <w:shd w:val="clear" w:color="000000" w:fill="305496"/>
            <w:vAlign w:val="center"/>
            <w:hideMark/>
          </w:tcPr>
          <w:p w14:paraId="46A78C0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399F6E8F" w14:textId="77777777" w:rsidTr="000A0C22">
        <w:trPr>
          <w:trHeight w:val="300"/>
        </w:trPr>
        <w:tc>
          <w:tcPr>
            <w:tcW w:w="2840" w:type="dxa"/>
            <w:vMerge/>
            <w:tcBorders>
              <w:top w:val="single" w:sz="8" w:space="0" w:color="E7E6E6"/>
              <w:left w:val="single" w:sz="8" w:space="0" w:color="E7E6E6"/>
              <w:bottom w:val="nil"/>
              <w:right w:val="nil"/>
            </w:tcBorders>
            <w:vAlign w:val="center"/>
            <w:hideMark/>
          </w:tcPr>
          <w:p w14:paraId="79E22926" w14:textId="77777777" w:rsidR="00B15F7D" w:rsidRPr="00990FB6" w:rsidRDefault="00B15F7D" w:rsidP="00B15F7D">
            <w:pPr>
              <w:suppressAutoHyphens w:val="0"/>
              <w:rPr>
                <w:b/>
                <w:bCs/>
                <w:color w:val="FFFFFF"/>
                <w:sz w:val="22"/>
                <w:szCs w:val="22"/>
                <w:lang w:val="es-CR" w:eastAsia="es-CR"/>
              </w:rPr>
            </w:pPr>
          </w:p>
        </w:tc>
        <w:tc>
          <w:tcPr>
            <w:tcW w:w="2260" w:type="dxa"/>
            <w:tcBorders>
              <w:top w:val="nil"/>
              <w:left w:val="single" w:sz="8" w:space="0" w:color="E7E6E6"/>
              <w:bottom w:val="nil"/>
              <w:right w:val="nil"/>
            </w:tcBorders>
            <w:shd w:val="clear" w:color="000000" w:fill="305496"/>
            <w:vAlign w:val="center"/>
            <w:hideMark/>
          </w:tcPr>
          <w:p w14:paraId="7451994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927</w:t>
            </w:r>
          </w:p>
        </w:tc>
        <w:tc>
          <w:tcPr>
            <w:tcW w:w="1940" w:type="dxa"/>
            <w:tcBorders>
              <w:top w:val="nil"/>
              <w:left w:val="single" w:sz="8" w:space="0" w:color="E7E6E6"/>
              <w:bottom w:val="nil"/>
              <w:right w:val="nil"/>
            </w:tcBorders>
            <w:shd w:val="clear" w:color="000000" w:fill="305496"/>
            <w:vAlign w:val="center"/>
            <w:hideMark/>
          </w:tcPr>
          <w:p w14:paraId="7971359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929</w:t>
            </w:r>
          </w:p>
        </w:tc>
        <w:tc>
          <w:tcPr>
            <w:tcW w:w="1980" w:type="dxa"/>
            <w:vMerge/>
            <w:tcBorders>
              <w:top w:val="single" w:sz="8" w:space="0" w:color="E7E6E6"/>
              <w:left w:val="single" w:sz="8" w:space="0" w:color="E7E6E6"/>
              <w:bottom w:val="nil"/>
              <w:right w:val="nil"/>
            </w:tcBorders>
            <w:vAlign w:val="center"/>
            <w:hideMark/>
          </w:tcPr>
          <w:p w14:paraId="0721E01D" w14:textId="77777777" w:rsidR="00B15F7D" w:rsidRPr="00990FB6" w:rsidRDefault="00B15F7D" w:rsidP="00B15F7D">
            <w:pPr>
              <w:suppressAutoHyphens w:val="0"/>
              <w:rPr>
                <w:b/>
                <w:bCs/>
                <w:color w:val="FFFFFF"/>
                <w:sz w:val="22"/>
                <w:szCs w:val="22"/>
                <w:lang w:val="es-CR" w:eastAsia="es-CR"/>
              </w:rPr>
            </w:pPr>
          </w:p>
        </w:tc>
      </w:tr>
      <w:tr w:rsidR="00B15F7D" w:rsidRPr="00990FB6" w14:paraId="13E40A9B" w14:textId="77777777" w:rsidTr="000A0C22">
        <w:trPr>
          <w:trHeight w:val="300"/>
        </w:trPr>
        <w:tc>
          <w:tcPr>
            <w:tcW w:w="2840" w:type="dxa"/>
            <w:tcBorders>
              <w:top w:val="single" w:sz="8" w:space="0" w:color="E7E6E6"/>
              <w:left w:val="single" w:sz="8" w:space="0" w:color="E7E6E6"/>
              <w:bottom w:val="single" w:sz="8" w:space="0" w:color="E7E6E6"/>
              <w:right w:val="single" w:sz="8" w:space="0" w:color="E7E6E6"/>
            </w:tcBorders>
            <w:shd w:val="clear" w:color="auto" w:fill="auto"/>
            <w:vAlign w:val="center"/>
            <w:hideMark/>
          </w:tcPr>
          <w:p w14:paraId="34613C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Recurso Humano</w:t>
            </w:r>
          </w:p>
        </w:tc>
        <w:tc>
          <w:tcPr>
            <w:tcW w:w="2260" w:type="dxa"/>
            <w:tcBorders>
              <w:top w:val="single" w:sz="8" w:space="0" w:color="E7E6E6"/>
              <w:left w:val="nil"/>
              <w:bottom w:val="single" w:sz="8" w:space="0" w:color="E7E6E6"/>
              <w:right w:val="single" w:sz="8" w:space="0" w:color="E7E6E6"/>
            </w:tcBorders>
            <w:shd w:val="clear" w:color="auto" w:fill="auto"/>
            <w:vAlign w:val="center"/>
            <w:hideMark/>
          </w:tcPr>
          <w:p w14:paraId="1155A28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₡3 932 409 000,00</w:t>
            </w:r>
          </w:p>
        </w:tc>
        <w:tc>
          <w:tcPr>
            <w:tcW w:w="1940" w:type="dxa"/>
            <w:tcBorders>
              <w:top w:val="single" w:sz="8" w:space="0" w:color="E7E6E6"/>
              <w:left w:val="nil"/>
              <w:bottom w:val="single" w:sz="8" w:space="0" w:color="E7E6E6"/>
              <w:right w:val="single" w:sz="8" w:space="0" w:color="E7E6E6"/>
            </w:tcBorders>
            <w:shd w:val="clear" w:color="auto" w:fill="auto"/>
            <w:vAlign w:val="center"/>
            <w:hideMark/>
          </w:tcPr>
          <w:p w14:paraId="1D48568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₡219 452 000,00</w:t>
            </w:r>
          </w:p>
        </w:tc>
        <w:tc>
          <w:tcPr>
            <w:tcW w:w="1980" w:type="dxa"/>
            <w:tcBorders>
              <w:top w:val="single" w:sz="8" w:space="0" w:color="E7E6E6"/>
              <w:left w:val="nil"/>
              <w:bottom w:val="single" w:sz="8" w:space="0" w:color="E7E6E6"/>
              <w:right w:val="single" w:sz="8" w:space="0" w:color="E7E6E6"/>
            </w:tcBorders>
            <w:shd w:val="clear" w:color="auto" w:fill="auto"/>
            <w:vAlign w:val="center"/>
            <w:hideMark/>
          </w:tcPr>
          <w:p w14:paraId="7B2D4CB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₡4 151 861 000,00</w:t>
            </w:r>
          </w:p>
        </w:tc>
      </w:tr>
      <w:tr w:rsidR="00B15F7D" w:rsidRPr="00990FB6" w14:paraId="4E274346" w14:textId="77777777" w:rsidTr="000A0C22">
        <w:trPr>
          <w:trHeight w:val="540"/>
        </w:trPr>
        <w:tc>
          <w:tcPr>
            <w:tcW w:w="2840" w:type="dxa"/>
            <w:tcBorders>
              <w:top w:val="nil"/>
              <w:left w:val="single" w:sz="8" w:space="0" w:color="E7E6E6"/>
              <w:bottom w:val="single" w:sz="8" w:space="0" w:color="E7E6E6"/>
              <w:right w:val="single" w:sz="8" w:space="0" w:color="E7E6E6"/>
            </w:tcBorders>
            <w:shd w:val="clear" w:color="auto" w:fill="auto"/>
            <w:vAlign w:val="center"/>
            <w:hideMark/>
          </w:tcPr>
          <w:p w14:paraId="2E7789C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Equipo y mobiliario de plazas nuevas</w:t>
            </w:r>
          </w:p>
        </w:tc>
        <w:tc>
          <w:tcPr>
            <w:tcW w:w="2260" w:type="dxa"/>
            <w:tcBorders>
              <w:top w:val="nil"/>
              <w:left w:val="nil"/>
              <w:bottom w:val="single" w:sz="8" w:space="0" w:color="E7E6E6"/>
              <w:right w:val="single" w:sz="8" w:space="0" w:color="E7E6E6"/>
            </w:tcBorders>
            <w:shd w:val="clear" w:color="auto" w:fill="auto"/>
            <w:vAlign w:val="center"/>
            <w:hideMark/>
          </w:tcPr>
          <w:p w14:paraId="3AEDEE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₡143 852 298,00</w:t>
            </w:r>
          </w:p>
        </w:tc>
        <w:tc>
          <w:tcPr>
            <w:tcW w:w="1940" w:type="dxa"/>
            <w:tcBorders>
              <w:top w:val="nil"/>
              <w:left w:val="nil"/>
              <w:bottom w:val="single" w:sz="8" w:space="0" w:color="E7E6E6"/>
              <w:right w:val="single" w:sz="8" w:space="0" w:color="E7E6E6"/>
            </w:tcBorders>
            <w:shd w:val="clear" w:color="auto" w:fill="auto"/>
            <w:vAlign w:val="center"/>
            <w:hideMark/>
          </w:tcPr>
          <w:p w14:paraId="54D1BF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₡6 210 728,00</w:t>
            </w:r>
          </w:p>
        </w:tc>
        <w:tc>
          <w:tcPr>
            <w:tcW w:w="1980" w:type="dxa"/>
            <w:tcBorders>
              <w:top w:val="nil"/>
              <w:left w:val="nil"/>
              <w:bottom w:val="single" w:sz="8" w:space="0" w:color="E7E6E6"/>
              <w:right w:val="single" w:sz="8" w:space="0" w:color="E7E6E6"/>
            </w:tcBorders>
            <w:shd w:val="clear" w:color="auto" w:fill="auto"/>
            <w:vAlign w:val="center"/>
            <w:hideMark/>
          </w:tcPr>
          <w:p w14:paraId="0DAA024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n-US"/>
              </w:rPr>
              <w:t>₡150 063 026,00</w:t>
            </w:r>
          </w:p>
        </w:tc>
      </w:tr>
      <w:tr w:rsidR="00B15F7D" w:rsidRPr="00990FB6" w14:paraId="6C91FBC9" w14:textId="77777777" w:rsidTr="000A0C22">
        <w:trPr>
          <w:trHeight w:val="300"/>
        </w:trPr>
        <w:tc>
          <w:tcPr>
            <w:tcW w:w="2840" w:type="dxa"/>
            <w:tcBorders>
              <w:top w:val="nil"/>
              <w:left w:val="single" w:sz="8" w:space="0" w:color="E7E6E6"/>
              <w:bottom w:val="single" w:sz="8" w:space="0" w:color="E7E6E6"/>
              <w:right w:val="single" w:sz="8" w:space="0" w:color="E7E6E6"/>
            </w:tcBorders>
            <w:shd w:val="clear" w:color="000000" w:fill="DEEAF6"/>
            <w:vAlign w:val="center"/>
            <w:hideMark/>
          </w:tcPr>
          <w:p w14:paraId="534CC592"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n-US"/>
              </w:rPr>
              <w:t xml:space="preserve">TOTAL COSTOS ESTIMADOS </w:t>
            </w:r>
          </w:p>
        </w:tc>
        <w:tc>
          <w:tcPr>
            <w:tcW w:w="2260" w:type="dxa"/>
            <w:tcBorders>
              <w:top w:val="nil"/>
              <w:left w:val="nil"/>
              <w:bottom w:val="single" w:sz="8" w:space="0" w:color="E7E6E6"/>
              <w:right w:val="single" w:sz="8" w:space="0" w:color="E7E6E6"/>
            </w:tcBorders>
            <w:shd w:val="clear" w:color="000000" w:fill="DEEAF6"/>
            <w:vAlign w:val="center"/>
            <w:hideMark/>
          </w:tcPr>
          <w:p w14:paraId="43445685"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₡4 076 261 298,00</w:t>
            </w:r>
          </w:p>
        </w:tc>
        <w:tc>
          <w:tcPr>
            <w:tcW w:w="1940" w:type="dxa"/>
            <w:tcBorders>
              <w:top w:val="nil"/>
              <w:left w:val="nil"/>
              <w:bottom w:val="single" w:sz="8" w:space="0" w:color="E7E6E6"/>
              <w:right w:val="single" w:sz="8" w:space="0" w:color="E7E6E6"/>
            </w:tcBorders>
            <w:shd w:val="clear" w:color="000000" w:fill="DEEAF6"/>
            <w:vAlign w:val="center"/>
            <w:hideMark/>
          </w:tcPr>
          <w:p w14:paraId="2FB7F60C"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₡225 662 728,00</w:t>
            </w:r>
          </w:p>
        </w:tc>
        <w:tc>
          <w:tcPr>
            <w:tcW w:w="1980" w:type="dxa"/>
            <w:tcBorders>
              <w:top w:val="nil"/>
              <w:left w:val="nil"/>
              <w:bottom w:val="single" w:sz="8" w:space="0" w:color="E7E6E6"/>
              <w:right w:val="single" w:sz="8" w:space="0" w:color="E7E6E6"/>
            </w:tcBorders>
            <w:shd w:val="clear" w:color="000000" w:fill="DEEAF6"/>
            <w:vAlign w:val="center"/>
            <w:hideMark/>
          </w:tcPr>
          <w:p w14:paraId="3F66FA0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₡4 301 924 026,00</w:t>
            </w:r>
          </w:p>
        </w:tc>
      </w:tr>
    </w:tbl>
    <w:p w14:paraId="37753ECA" w14:textId="77777777" w:rsidR="00B15F7D" w:rsidRPr="00990FB6" w:rsidRDefault="00B15F7D" w:rsidP="00B15F7D">
      <w:pPr>
        <w:suppressAutoHyphens w:val="0"/>
        <w:contextualSpacing/>
        <w:jc w:val="both"/>
        <w:rPr>
          <w:rFonts w:eastAsia="Calibri"/>
          <w:sz w:val="22"/>
          <w:szCs w:val="22"/>
          <w:lang w:val="es-CR" w:eastAsia="en-US"/>
        </w:rPr>
      </w:pPr>
    </w:p>
    <w:p w14:paraId="27F68D19" w14:textId="77777777" w:rsidR="00B15F7D" w:rsidRPr="00990FB6" w:rsidRDefault="00B15F7D" w:rsidP="00B15F7D">
      <w:pPr>
        <w:numPr>
          <w:ilvl w:val="0"/>
          <w:numId w:val="134"/>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Escenario #2</w:t>
      </w:r>
    </w:p>
    <w:p w14:paraId="388FB706"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C6D2AD5"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 recomienda aprobar la transformación de permisos con goce de salario vigentes en los despachos penales a plazas extraordinarias; asimismo, dotar la totalidad de plazas necesarias en los despachos penales de estructura mínima, esto con la finalidad de lograr alcanzar las estructuras organizacionales mínimas en aquellos despachos más críticos; a saber: 3 plazas extraordinarias en los Juzgados Penales, 28 plazas extraordinarias en los Tribunales Penales y seis extraordinarias en los Juzgados de Ejecución de la Pena.</w:t>
      </w:r>
    </w:p>
    <w:p w14:paraId="03111C6D" w14:textId="77777777" w:rsidR="00B15F7D" w:rsidRPr="00990FB6" w:rsidRDefault="00B15F7D" w:rsidP="00B15F7D">
      <w:pPr>
        <w:suppressAutoHyphens w:val="0"/>
        <w:ind w:left="851" w:right="851" w:firstLine="709"/>
        <w:contextualSpacing/>
        <w:jc w:val="both"/>
        <w:rPr>
          <w:rFonts w:eastAsia="Calibri"/>
          <w:sz w:val="22"/>
          <w:szCs w:val="22"/>
          <w:u w:val="single"/>
          <w:lang w:val="es-CR" w:eastAsia="en-US"/>
        </w:rPr>
      </w:pPr>
    </w:p>
    <w:p w14:paraId="427C3C91" w14:textId="77777777" w:rsidR="00B15F7D" w:rsidRPr="00990FB6" w:rsidRDefault="00B15F7D" w:rsidP="00B15F7D">
      <w:pPr>
        <w:numPr>
          <w:ilvl w:val="1"/>
          <w:numId w:val="134"/>
        </w:numPr>
        <w:suppressAutoHyphens w:val="0"/>
        <w:ind w:left="851" w:right="851" w:firstLine="709"/>
        <w:contextualSpacing/>
        <w:jc w:val="both"/>
        <w:rPr>
          <w:rFonts w:eastAsia="Calibri"/>
          <w:sz w:val="22"/>
          <w:szCs w:val="22"/>
          <w:u w:val="single"/>
          <w:lang w:val="es-CR" w:eastAsia="en-US"/>
        </w:rPr>
      </w:pPr>
      <w:r w:rsidRPr="00990FB6">
        <w:rPr>
          <w:rFonts w:eastAsia="Calibri"/>
          <w:sz w:val="22"/>
          <w:szCs w:val="22"/>
          <w:u w:val="single"/>
          <w:lang w:val="es-CR" w:eastAsia="en-US"/>
        </w:rPr>
        <w:t>Juzgados Penales</w:t>
      </w:r>
    </w:p>
    <w:p w14:paraId="332C5EA5" w14:textId="77777777" w:rsidR="00B15F7D" w:rsidRPr="00990FB6" w:rsidRDefault="00B15F7D" w:rsidP="00B15F7D">
      <w:pPr>
        <w:suppressAutoHyphens w:val="0"/>
        <w:ind w:left="851" w:right="851" w:firstLine="709"/>
        <w:contextualSpacing/>
        <w:jc w:val="both"/>
        <w:rPr>
          <w:rFonts w:eastAsia="Calibri"/>
          <w:sz w:val="22"/>
          <w:szCs w:val="22"/>
          <w:u w:val="single"/>
          <w:lang w:val="es-CR" w:eastAsia="en-US"/>
        </w:rPr>
      </w:pPr>
    </w:p>
    <w:p w14:paraId="4837B3DC" w14:textId="77777777" w:rsidR="00B15F7D" w:rsidRPr="00990FB6" w:rsidRDefault="00B15F7D" w:rsidP="00B15F7D">
      <w:pPr>
        <w:numPr>
          <w:ilvl w:val="0"/>
          <w:numId w:val="141"/>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Seguidamente se detallan las plazas nuevas de forma extraordinarias que se recomienda crear para los Juzgados Penales:</w:t>
      </w:r>
    </w:p>
    <w:p w14:paraId="1BFBE98C" w14:textId="77777777" w:rsidR="00B15F7D" w:rsidRPr="00990FB6" w:rsidRDefault="00B15F7D" w:rsidP="00B15F7D">
      <w:pPr>
        <w:suppressAutoHyphens w:val="0"/>
        <w:ind w:left="851" w:right="851" w:firstLine="709"/>
        <w:contextualSpacing/>
        <w:jc w:val="both"/>
        <w:rPr>
          <w:rFonts w:eastAsia="Calibri"/>
          <w:sz w:val="22"/>
          <w:szCs w:val="22"/>
          <w:u w:val="single"/>
          <w:lang w:val="es-CR" w:eastAsia="en-US"/>
        </w:rPr>
      </w:pPr>
    </w:p>
    <w:tbl>
      <w:tblPr>
        <w:tblW w:w="8354" w:type="dxa"/>
        <w:tblCellMar>
          <w:left w:w="70" w:type="dxa"/>
          <w:right w:w="70" w:type="dxa"/>
        </w:tblCellMar>
        <w:tblLook w:val="04A0" w:firstRow="1" w:lastRow="0" w:firstColumn="1" w:lastColumn="0" w:noHBand="0" w:noVBand="1"/>
      </w:tblPr>
      <w:tblGrid>
        <w:gridCol w:w="1491"/>
        <w:gridCol w:w="2321"/>
        <w:gridCol w:w="2008"/>
        <w:gridCol w:w="1368"/>
        <w:gridCol w:w="1640"/>
      </w:tblGrid>
      <w:tr w:rsidR="00B15F7D" w:rsidRPr="00990FB6" w14:paraId="69B76093" w14:textId="77777777" w:rsidTr="000A0C22">
        <w:trPr>
          <w:trHeight w:val="300"/>
        </w:trPr>
        <w:tc>
          <w:tcPr>
            <w:tcW w:w="1245"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2A3B658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410"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43B35C7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580" w:type="dxa"/>
            <w:tcBorders>
              <w:top w:val="nil"/>
              <w:left w:val="nil"/>
              <w:bottom w:val="single" w:sz="8" w:space="0" w:color="E7E6E6"/>
              <w:right w:val="nil"/>
            </w:tcBorders>
            <w:shd w:val="clear" w:color="000000" w:fill="5B9BD5"/>
            <w:noWrap/>
            <w:vAlign w:val="center"/>
            <w:hideMark/>
          </w:tcPr>
          <w:p w14:paraId="52EFFCD4"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REQUERIMIENTO</w:t>
            </w:r>
          </w:p>
        </w:tc>
        <w:tc>
          <w:tcPr>
            <w:tcW w:w="3119" w:type="dxa"/>
            <w:gridSpan w:val="2"/>
            <w:tcBorders>
              <w:top w:val="single" w:sz="8" w:space="0" w:color="E7E6E6"/>
              <w:left w:val="single" w:sz="8" w:space="0" w:color="E7E6E6"/>
              <w:bottom w:val="single" w:sz="8" w:space="0" w:color="E7E6E6"/>
              <w:right w:val="nil"/>
            </w:tcBorders>
            <w:shd w:val="clear" w:color="000000" w:fill="5B9BD5"/>
            <w:noWrap/>
            <w:vAlign w:val="center"/>
            <w:hideMark/>
          </w:tcPr>
          <w:p w14:paraId="5BC32D8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29E0979B" w14:textId="77777777" w:rsidTr="000A0C22">
        <w:trPr>
          <w:trHeight w:val="492"/>
        </w:trPr>
        <w:tc>
          <w:tcPr>
            <w:tcW w:w="1245" w:type="dxa"/>
            <w:vMerge/>
            <w:tcBorders>
              <w:top w:val="single" w:sz="8" w:space="0" w:color="E7E6E6"/>
              <w:left w:val="single" w:sz="8" w:space="0" w:color="E7E6E6"/>
              <w:bottom w:val="single" w:sz="8" w:space="0" w:color="E7E6E6"/>
              <w:right w:val="single" w:sz="8" w:space="0" w:color="E7E6E6"/>
            </w:tcBorders>
            <w:vAlign w:val="center"/>
            <w:hideMark/>
          </w:tcPr>
          <w:p w14:paraId="3B00C5E3" w14:textId="77777777" w:rsidR="00B15F7D" w:rsidRPr="00990FB6" w:rsidRDefault="00B15F7D" w:rsidP="00B15F7D">
            <w:pPr>
              <w:suppressAutoHyphens w:val="0"/>
              <w:rPr>
                <w:b/>
                <w:bCs/>
                <w:color w:val="FFFFFF"/>
                <w:sz w:val="22"/>
                <w:szCs w:val="22"/>
                <w:lang w:val="es-CR" w:eastAsia="es-CR"/>
              </w:rPr>
            </w:pPr>
          </w:p>
        </w:tc>
        <w:tc>
          <w:tcPr>
            <w:tcW w:w="2410" w:type="dxa"/>
            <w:vMerge/>
            <w:tcBorders>
              <w:top w:val="single" w:sz="8" w:space="0" w:color="E7E6E6"/>
              <w:left w:val="single" w:sz="8" w:space="0" w:color="E7E6E6"/>
              <w:bottom w:val="single" w:sz="8" w:space="0" w:color="E7E6E6"/>
              <w:right w:val="single" w:sz="8" w:space="0" w:color="E7E6E6"/>
            </w:tcBorders>
            <w:vAlign w:val="center"/>
            <w:hideMark/>
          </w:tcPr>
          <w:p w14:paraId="27B4712E" w14:textId="77777777" w:rsidR="00B15F7D" w:rsidRPr="00990FB6" w:rsidRDefault="00B15F7D" w:rsidP="00B15F7D">
            <w:pPr>
              <w:suppressAutoHyphens w:val="0"/>
              <w:rPr>
                <w:b/>
                <w:bCs/>
                <w:color w:val="FFFFFF"/>
                <w:sz w:val="22"/>
                <w:szCs w:val="22"/>
                <w:lang w:val="es-CR" w:eastAsia="es-CR"/>
              </w:rPr>
            </w:pPr>
          </w:p>
        </w:tc>
        <w:tc>
          <w:tcPr>
            <w:tcW w:w="1580" w:type="dxa"/>
            <w:tcBorders>
              <w:top w:val="nil"/>
              <w:left w:val="nil"/>
              <w:bottom w:val="single" w:sz="8" w:space="0" w:color="E7E6E6"/>
              <w:right w:val="single" w:sz="8" w:space="0" w:color="E7E6E6"/>
            </w:tcBorders>
            <w:shd w:val="clear" w:color="000000" w:fill="305496"/>
            <w:vAlign w:val="center"/>
            <w:hideMark/>
          </w:tcPr>
          <w:p w14:paraId="5066B1C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1418" w:type="dxa"/>
            <w:tcBorders>
              <w:top w:val="nil"/>
              <w:left w:val="nil"/>
              <w:bottom w:val="single" w:sz="8" w:space="0" w:color="E7E6E6"/>
              <w:right w:val="single" w:sz="8" w:space="0" w:color="E7E6E6"/>
            </w:tcBorders>
            <w:shd w:val="clear" w:color="000000" w:fill="305496"/>
            <w:vAlign w:val="center"/>
            <w:hideMark/>
          </w:tcPr>
          <w:p w14:paraId="0EBEDE6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1701" w:type="dxa"/>
            <w:tcBorders>
              <w:top w:val="nil"/>
              <w:left w:val="nil"/>
              <w:bottom w:val="single" w:sz="8" w:space="0" w:color="E7E6E6"/>
              <w:right w:val="single" w:sz="8" w:space="0" w:color="E7E6E6"/>
            </w:tcBorders>
            <w:shd w:val="clear" w:color="000000" w:fill="305496"/>
            <w:vAlign w:val="center"/>
            <w:hideMark/>
          </w:tcPr>
          <w:p w14:paraId="4B662D3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por anual puesto</w:t>
            </w:r>
          </w:p>
        </w:tc>
      </w:tr>
      <w:tr w:rsidR="00B15F7D" w:rsidRPr="00990FB6" w14:paraId="179FACFC" w14:textId="77777777" w:rsidTr="000A0C22">
        <w:trPr>
          <w:trHeight w:val="300"/>
        </w:trPr>
        <w:tc>
          <w:tcPr>
            <w:tcW w:w="1245" w:type="dxa"/>
            <w:vMerge w:val="restart"/>
            <w:tcBorders>
              <w:top w:val="nil"/>
              <w:left w:val="single" w:sz="8" w:space="0" w:color="E7E6E6"/>
              <w:bottom w:val="single" w:sz="8" w:space="0" w:color="E7E6E6"/>
              <w:right w:val="single" w:sz="8" w:space="0" w:color="E7E6E6"/>
            </w:tcBorders>
            <w:shd w:val="clear" w:color="000000" w:fill="FFFFFF"/>
            <w:vAlign w:val="center"/>
            <w:hideMark/>
          </w:tcPr>
          <w:p w14:paraId="2824D0E1"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410" w:type="dxa"/>
            <w:tcBorders>
              <w:top w:val="nil"/>
              <w:left w:val="nil"/>
              <w:bottom w:val="single" w:sz="8" w:space="0" w:color="E7E6E6"/>
              <w:right w:val="single" w:sz="8" w:space="0" w:color="E7E6E6"/>
            </w:tcBorders>
            <w:shd w:val="clear" w:color="000000" w:fill="FFFFFF"/>
            <w:noWrap/>
            <w:vAlign w:val="bottom"/>
            <w:hideMark/>
          </w:tcPr>
          <w:p w14:paraId="276E0AB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Garabito</w:t>
            </w:r>
          </w:p>
        </w:tc>
        <w:tc>
          <w:tcPr>
            <w:tcW w:w="1580" w:type="dxa"/>
            <w:tcBorders>
              <w:top w:val="nil"/>
              <w:left w:val="nil"/>
              <w:bottom w:val="single" w:sz="8" w:space="0" w:color="E7E6E6"/>
              <w:right w:val="single" w:sz="8" w:space="0" w:color="E7E6E6"/>
            </w:tcBorders>
            <w:shd w:val="clear" w:color="000000" w:fill="FFFFFF"/>
            <w:noWrap/>
            <w:vAlign w:val="bottom"/>
            <w:hideMark/>
          </w:tcPr>
          <w:p w14:paraId="439E43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8" w:type="dxa"/>
            <w:vMerge w:val="restart"/>
            <w:tcBorders>
              <w:top w:val="nil"/>
              <w:left w:val="single" w:sz="8" w:space="0" w:color="E7E6E6"/>
              <w:bottom w:val="single" w:sz="8" w:space="0" w:color="E7E6E6"/>
              <w:right w:val="single" w:sz="8" w:space="0" w:color="E7E6E6"/>
            </w:tcBorders>
            <w:shd w:val="clear" w:color="000000" w:fill="FFFFFF"/>
            <w:vAlign w:val="center"/>
            <w:hideMark/>
          </w:tcPr>
          <w:p w14:paraId="299F056D"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c>
          <w:tcPr>
            <w:tcW w:w="1701" w:type="dxa"/>
            <w:tcBorders>
              <w:top w:val="nil"/>
              <w:left w:val="nil"/>
              <w:bottom w:val="single" w:sz="8" w:space="0" w:color="E7E6E6"/>
              <w:right w:val="single" w:sz="8" w:space="0" w:color="E7E6E6"/>
            </w:tcBorders>
            <w:shd w:val="clear" w:color="000000" w:fill="FFFFFF"/>
            <w:vAlign w:val="center"/>
            <w:hideMark/>
          </w:tcPr>
          <w:p w14:paraId="549FF5A5"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15 945 000,00 </w:t>
            </w:r>
          </w:p>
        </w:tc>
      </w:tr>
      <w:tr w:rsidR="00B15F7D" w:rsidRPr="00990FB6" w14:paraId="1A6181AB" w14:textId="77777777" w:rsidTr="000A0C22">
        <w:trPr>
          <w:trHeight w:val="300"/>
        </w:trPr>
        <w:tc>
          <w:tcPr>
            <w:tcW w:w="1245" w:type="dxa"/>
            <w:vMerge/>
            <w:tcBorders>
              <w:top w:val="nil"/>
              <w:left w:val="single" w:sz="8" w:space="0" w:color="E7E6E6"/>
              <w:bottom w:val="single" w:sz="8" w:space="0" w:color="E7E6E6"/>
              <w:right w:val="single" w:sz="8" w:space="0" w:color="E7E6E6"/>
            </w:tcBorders>
            <w:vAlign w:val="center"/>
            <w:hideMark/>
          </w:tcPr>
          <w:p w14:paraId="63BC048E" w14:textId="77777777" w:rsidR="00B15F7D" w:rsidRPr="00990FB6" w:rsidRDefault="00B15F7D" w:rsidP="00B15F7D">
            <w:pPr>
              <w:suppressAutoHyphens w:val="0"/>
              <w:rPr>
                <w:b/>
                <w:bCs/>
                <w:color w:val="000000"/>
                <w:sz w:val="22"/>
                <w:szCs w:val="22"/>
                <w:lang w:val="es-CR" w:eastAsia="es-CR"/>
              </w:rPr>
            </w:pPr>
          </w:p>
        </w:tc>
        <w:tc>
          <w:tcPr>
            <w:tcW w:w="2410" w:type="dxa"/>
            <w:tcBorders>
              <w:top w:val="nil"/>
              <w:left w:val="nil"/>
              <w:bottom w:val="single" w:sz="8" w:space="0" w:color="E7E6E6"/>
              <w:right w:val="single" w:sz="8" w:space="0" w:color="E7E6E6"/>
            </w:tcBorders>
            <w:shd w:val="clear" w:color="000000" w:fill="FFFFFF"/>
            <w:noWrap/>
            <w:vAlign w:val="bottom"/>
            <w:hideMark/>
          </w:tcPr>
          <w:p w14:paraId="3F07A09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Buenos Aires</w:t>
            </w:r>
          </w:p>
        </w:tc>
        <w:tc>
          <w:tcPr>
            <w:tcW w:w="1580" w:type="dxa"/>
            <w:tcBorders>
              <w:top w:val="nil"/>
              <w:left w:val="nil"/>
              <w:bottom w:val="single" w:sz="8" w:space="0" w:color="E7E6E6"/>
              <w:right w:val="single" w:sz="8" w:space="0" w:color="E7E6E6"/>
            </w:tcBorders>
            <w:shd w:val="clear" w:color="000000" w:fill="FFFFFF"/>
            <w:noWrap/>
            <w:vAlign w:val="bottom"/>
            <w:hideMark/>
          </w:tcPr>
          <w:p w14:paraId="22A895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8" w:type="dxa"/>
            <w:vMerge/>
            <w:tcBorders>
              <w:top w:val="nil"/>
              <w:left w:val="single" w:sz="8" w:space="0" w:color="E7E6E6"/>
              <w:bottom w:val="single" w:sz="8" w:space="0" w:color="E7E6E6"/>
              <w:right w:val="single" w:sz="8" w:space="0" w:color="E7E6E6"/>
            </w:tcBorders>
            <w:vAlign w:val="center"/>
            <w:hideMark/>
          </w:tcPr>
          <w:p w14:paraId="3868FA2A" w14:textId="77777777" w:rsidR="00B15F7D" w:rsidRPr="00990FB6" w:rsidRDefault="00B15F7D" w:rsidP="00B15F7D">
            <w:pPr>
              <w:suppressAutoHyphens w:val="0"/>
              <w:rPr>
                <w:sz w:val="22"/>
                <w:szCs w:val="22"/>
                <w:lang w:val="es-CR" w:eastAsia="es-CR"/>
              </w:rPr>
            </w:pPr>
          </w:p>
        </w:tc>
        <w:tc>
          <w:tcPr>
            <w:tcW w:w="1701" w:type="dxa"/>
            <w:tcBorders>
              <w:top w:val="nil"/>
              <w:left w:val="nil"/>
              <w:bottom w:val="single" w:sz="8" w:space="0" w:color="E7E6E6"/>
              <w:right w:val="single" w:sz="8" w:space="0" w:color="E7E6E6"/>
            </w:tcBorders>
            <w:shd w:val="clear" w:color="000000" w:fill="FFFFFF"/>
            <w:vAlign w:val="center"/>
            <w:hideMark/>
          </w:tcPr>
          <w:p w14:paraId="2E51FCF1"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15 945 000,00 </w:t>
            </w:r>
          </w:p>
        </w:tc>
      </w:tr>
      <w:tr w:rsidR="00B15F7D" w:rsidRPr="00990FB6" w14:paraId="5E30D975" w14:textId="77777777" w:rsidTr="000A0C22">
        <w:trPr>
          <w:trHeight w:val="300"/>
        </w:trPr>
        <w:tc>
          <w:tcPr>
            <w:tcW w:w="1245" w:type="dxa"/>
            <w:vMerge/>
            <w:tcBorders>
              <w:top w:val="nil"/>
              <w:left w:val="single" w:sz="8" w:space="0" w:color="E7E6E6"/>
              <w:bottom w:val="single" w:sz="8" w:space="0" w:color="E7E6E6"/>
              <w:right w:val="single" w:sz="8" w:space="0" w:color="E7E6E6"/>
            </w:tcBorders>
            <w:vAlign w:val="center"/>
            <w:hideMark/>
          </w:tcPr>
          <w:p w14:paraId="29B847FA" w14:textId="77777777" w:rsidR="00B15F7D" w:rsidRPr="00990FB6" w:rsidRDefault="00B15F7D" w:rsidP="00B15F7D">
            <w:pPr>
              <w:suppressAutoHyphens w:val="0"/>
              <w:rPr>
                <w:b/>
                <w:bCs/>
                <w:color w:val="000000"/>
                <w:sz w:val="22"/>
                <w:szCs w:val="22"/>
                <w:lang w:val="es-CR" w:eastAsia="es-CR"/>
              </w:rPr>
            </w:pPr>
          </w:p>
        </w:tc>
        <w:tc>
          <w:tcPr>
            <w:tcW w:w="2410" w:type="dxa"/>
            <w:tcBorders>
              <w:top w:val="nil"/>
              <w:left w:val="nil"/>
              <w:bottom w:val="single" w:sz="8" w:space="0" w:color="E7E6E6"/>
              <w:right w:val="single" w:sz="8" w:space="0" w:color="E7E6E6"/>
            </w:tcBorders>
            <w:shd w:val="clear" w:color="000000" w:fill="FFFFFF"/>
            <w:noWrap/>
            <w:vAlign w:val="bottom"/>
            <w:hideMark/>
          </w:tcPr>
          <w:p w14:paraId="1DAE06E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Pococí</w:t>
            </w:r>
          </w:p>
        </w:tc>
        <w:tc>
          <w:tcPr>
            <w:tcW w:w="1580" w:type="dxa"/>
            <w:tcBorders>
              <w:top w:val="nil"/>
              <w:left w:val="nil"/>
              <w:bottom w:val="single" w:sz="8" w:space="0" w:color="E7E6E6"/>
              <w:right w:val="single" w:sz="8" w:space="0" w:color="E7E6E6"/>
            </w:tcBorders>
            <w:shd w:val="clear" w:color="000000" w:fill="FFFFFF"/>
            <w:noWrap/>
            <w:vAlign w:val="bottom"/>
            <w:hideMark/>
          </w:tcPr>
          <w:p w14:paraId="384BB7E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8" w:type="dxa"/>
            <w:vMerge/>
            <w:tcBorders>
              <w:top w:val="nil"/>
              <w:left w:val="single" w:sz="8" w:space="0" w:color="E7E6E6"/>
              <w:bottom w:val="single" w:sz="8" w:space="0" w:color="E7E6E6"/>
              <w:right w:val="single" w:sz="8" w:space="0" w:color="E7E6E6"/>
            </w:tcBorders>
            <w:vAlign w:val="center"/>
            <w:hideMark/>
          </w:tcPr>
          <w:p w14:paraId="4BDA75DA" w14:textId="77777777" w:rsidR="00B15F7D" w:rsidRPr="00990FB6" w:rsidRDefault="00B15F7D" w:rsidP="00B15F7D">
            <w:pPr>
              <w:suppressAutoHyphens w:val="0"/>
              <w:rPr>
                <w:sz w:val="22"/>
                <w:szCs w:val="22"/>
                <w:lang w:val="es-CR" w:eastAsia="es-CR"/>
              </w:rPr>
            </w:pPr>
          </w:p>
        </w:tc>
        <w:tc>
          <w:tcPr>
            <w:tcW w:w="1701" w:type="dxa"/>
            <w:tcBorders>
              <w:top w:val="nil"/>
              <w:left w:val="nil"/>
              <w:bottom w:val="single" w:sz="8" w:space="0" w:color="E7E6E6"/>
              <w:right w:val="single" w:sz="8" w:space="0" w:color="E7E6E6"/>
            </w:tcBorders>
            <w:shd w:val="clear" w:color="000000" w:fill="FFFFFF"/>
            <w:vAlign w:val="center"/>
            <w:hideMark/>
          </w:tcPr>
          <w:p w14:paraId="16E805BD"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15 945 000,00 </w:t>
            </w:r>
          </w:p>
        </w:tc>
      </w:tr>
      <w:tr w:rsidR="00B15F7D" w:rsidRPr="00990FB6" w14:paraId="1E16BF74" w14:textId="77777777" w:rsidTr="000A0C22">
        <w:trPr>
          <w:trHeight w:val="300"/>
        </w:trPr>
        <w:tc>
          <w:tcPr>
            <w:tcW w:w="1245" w:type="dxa"/>
            <w:vMerge/>
            <w:tcBorders>
              <w:top w:val="nil"/>
              <w:left w:val="single" w:sz="8" w:space="0" w:color="E7E6E6"/>
              <w:bottom w:val="single" w:sz="8" w:space="0" w:color="E7E6E6"/>
              <w:right w:val="single" w:sz="8" w:space="0" w:color="E7E6E6"/>
            </w:tcBorders>
            <w:vAlign w:val="center"/>
            <w:hideMark/>
          </w:tcPr>
          <w:p w14:paraId="13134761" w14:textId="77777777" w:rsidR="00B15F7D" w:rsidRPr="00990FB6" w:rsidRDefault="00B15F7D" w:rsidP="00B15F7D">
            <w:pPr>
              <w:suppressAutoHyphens w:val="0"/>
              <w:rPr>
                <w:b/>
                <w:bCs/>
                <w:color w:val="000000"/>
                <w:sz w:val="22"/>
                <w:szCs w:val="22"/>
                <w:lang w:val="es-CR" w:eastAsia="es-CR"/>
              </w:rPr>
            </w:pPr>
          </w:p>
        </w:tc>
        <w:tc>
          <w:tcPr>
            <w:tcW w:w="2410" w:type="dxa"/>
            <w:tcBorders>
              <w:top w:val="nil"/>
              <w:left w:val="nil"/>
              <w:bottom w:val="single" w:sz="8" w:space="0" w:color="E7E6E6"/>
              <w:right w:val="single" w:sz="8" w:space="0" w:color="E7E6E6"/>
            </w:tcBorders>
            <w:shd w:val="clear" w:color="000000" w:fill="DEEAF6"/>
            <w:vAlign w:val="center"/>
            <w:hideMark/>
          </w:tcPr>
          <w:p w14:paraId="65A620F6"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1580" w:type="dxa"/>
            <w:tcBorders>
              <w:top w:val="nil"/>
              <w:left w:val="nil"/>
              <w:bottom w:val="single" w:sz="8" w:space="0" w:color="E7E6E6"/>
              <w:right w:val="single" w:sz="8" w:space="0" w:color="E7E6E6"/>
            </w:tcBorders>
            <w:shd w:val="clear" w:color="000000" w:fill="DEEAF6"/>
            <w:vAlign w:val="center"/>
            <w:hideMark/>
          </w:tcPr>
          <w:p w14:paraId="314B7D9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w:t>
            </w:r>
          </w:p>
        </w:tc>
        <w:tc>
          <w:tcPr>
            <w:tcW w:w="1418" w:type="dxa"/>
            <w:tcBorders>
              <w:top w:val="nil"/>
              <w:left w:val="nil"/>
              <w:bottom w:val="single" w:sz="8" w:space="0" w:color="E7E6E6"/>
              <w:right w:val="single" w:sz="8" w:space="0" w:color="E7E6E6"/>
            </w:tcBorders>
            <w:shd w:val="clear" w:color="000000" w:fill="DEEAF6"/>
            <w:vAlign w:val="center"/>
            <w:hideMark/>
          </w:tcPr>
          <w:p w14:paraId="381D1BB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₡15 945 000,00 </w:t>
            </w:r>
          </w:p>
        </w:tc>
        <w:tc>
          <w:tcPr>
            <w:tcW w:w="1701" w:type="dxa"/>
            <w:tcBorders>
              <w:top w:val="nil"/>
              <w:left w:val="nil"/>
              <w:bottom w:val="single" w:sz="8" w:space="0" w:color="E7E6E6"/>
              <w:right w:val="single" w:sz="8" w:space="0" w:color="E7E6E6"/>
            </w:tcBorders>
            <w:shd w:val="clear" w:color="000000" w:fill="DEEAF6"/>
            <w:vAlign w:val="center"/>
            <w:hideMark/>
          </w:tcPr>
          <w:p w14:paraId="4FBCEE8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47 835 000,00 </w:t>
            </w:r>
          </w:p>
        </w:tc>
      </w:tr>
    </w:tbl>
    <w:p w14:paraId="69BB90E4" w14:textId="77777777" w:rsidR="00B15F7D" w:rsidRPr="00990FB6" w:rsidRDefault="00B15F7D" w:rsidP="00B15F7D">
      <w:pPr>
        <w:suppressAutoHyphens w:val="0"/>
        <w:contextualSpacing/>
        <w:rPr>
          <w:rFonts w:eastAsia="Calibri"/>
          <w:sz w:val="22"/>
          <w:szCs w:val="22"/>
          <w:u w:val="single"/>
          <w:lang w:val="es-CR" w:eastAsia="en-US"/>
        </w:rPr>
      </w:pPr>
    </w:p>
    <w:p w14:paraId="5BB26D2B"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Los costos variables totales por equipo de cómputo y mobiliario para este escenario ascienden a ₡3 176 760,00, distribuidos de la siguiente manera:</w:t>
      </w:r>
    </w:p>
    <w:p w14:paraId="6712EB80" w14:textId="77777777" w:rsidR="00B15F7D" w:rsidRPr="00990FB6" w:rsidRDefault="00B15F7D" w:rsidP="00B15F7D">
      <w:pPr>
        <w:suppressAutoHyphens w:val="0"/>
        <w:ind w:left="720"/>
        <w:contextualSpacing/>
        <w:jc w:val="center"/>
        <w:rPr>
          <w:rFonts w:eastAsia="Calibri"/>
          <w:sz w:val="22"/>
          <w:szCs w:val="22"/>
          <w:u w:val="single"/>
          <w:lang w:val="es-CR" w:eastAsia="en-US"/>
        </w:rPr>
      </w:pPr>
    </w:p>
    <w:tbl>
      <w:tblPr>
        <w:tblW w:w="7220" w:type="dxa"/>
        <w:jc w:val="center"/>
        <w:tblCellMar>
          <w:left w:w="70" w:type="dxa"/>
          <w:right w:w="70" w:type="dxa"/>
        </w:tblCellMar>
        <w:tblLook w:val="04A0" w:firstRow="1" w:lastRow="0" w:firstColumn="1" w:lastColumn="0" w:noHBand="0" w:noVBand="1"/>
      </w:tblPr>
      <w:tblGrid>
        <w:gridCol w:w="1546"/>
        <w:gridCol w:w="2552"/>
        <w:gridCol w:w="1546"/>
        <w:gridCol w:w="1701"/>
      </w:tblGrid>
      <w:tr w:rsidR="00B15F7D" w:rsidRPr="00990FB6" w14:paraId="7D666F31" w14:textId="77777777" w:rsidTr="000A0C22">
        <w:trPr>
          <w:trHeight w:val="564"/>
          <w:jc w:val="center"/>
        </w:trPr>
        <w:tc>
          <w:tcPr>
            <w:tcW w:w="1691"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5BE1886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552"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7639ED3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276" w:type="dxa"/>
            <w:tcBorders>
              <w:top w:val="single" w:sz="8" w:space="0" w:color="E7E6E6"/>
              <w:left w:val="nil"/>
              <w:bottom w:val="single" w:sz="8" w:space="0" w:color="E7E6E6"/>
              <w:right w:val="nil"/>
            </w:tcBorders>
            <w:shd w:val="clear" w:color="000000" w:fill="5B9BD5"/>
            <w:vAlign w:val="center"/>
            <w:hideMark/>
          </w:tcPr>
          <w:p w14:paraId="274F54F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 humano</w:t>
            </w:r>
          </w:p>
        </w:tc>
        <w:tc>
          <w:tcPr>
            <w:tcW w:w="1701" w:type="dxa"/>
            <w:tcBorders>
              <w:top w:val="single" w:sz="8" w:space="0" w:color="E7E6E6"/>
              <w:left w:val="single" w:sz="8" w:space="0" w:color="E7E6E6"/>
              <w:bottom w:val="single" w:sz="8" w:space="0" w:color="E7E6E6"/>
              <w:right w:val="nil"/>
            </w:tcBorders>
            <w:shd w:val="clear" w:color="000000" w:fill="5B9BD5"/>
            <w:noWrap/>
            <w:vAlign w:val="center"/>
            <w:hideMark/>
          </w:tcPr>
          <w:p w14:paraId="297B61D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variable</w:t>
            </w:r>
          </w:p>
        </w:tc>
      </w:tr>
      <w:tr w:rsidR="00B15F7D" w:rsidRPr="00990FB6" w14:paraId="709F8052" w14:textId="77777777" w:rsidTr="000A0C22">
        <w:trPr>
          <w:trHeight w:val="492"/>
          <w:jc w:val="center"/>
        </w:trPr>
        <w:tc>
          <w:tcPr>
            <w:tcW w:w="1691" w:type="dxa"/>
            <w:vMerge/>
            <w:tcBorders>
              <w:top w:val="single" w:sz="8" w:space="0" w:color="E7E6E6"/>
              <w:left w:val="single" w:sz="8" w:space="0" w:color="E7E6E6"/>
              <w:bottom w:val="single" w:sz="8" w:space="0" w:color="E7E6E6"/>
              <w:right w:val="single" w:sz="8" w:space="0" w:color="E7E6E6"/>
            </w:tcBorders>
            <w:vAlign w:val="center"/>
            <w:hideMark/>
          </w:tcPr>
          <w:p w14:paraId="5DC49A11" w14:textId="77777777" w:rsidR="00B15F7D" w:rsidRPr="00990FB6" w:rsidRDefault="00B15F7D" w:rsidP="00B15F7D">
            <w:pPr>
              <w:suppressAutoHyphens w:val="0"/>
              <w:rPr>
                <w:b/>
                <w:bCs/>
                <w:color w:val="FFFFFF"/>
                <w:sz w:val="22"/>
                <w:szCs w:val="22"/>
                <w:lang w:val="es-CR" w:eastAsia="es-CR"/>
              </w:rPr>
            </w:pPr>
          </w:p>
        </w:tc>
        <w:tc>
          <w:tcPr>
            <w:tcW w:w="2552" w:type="dxa"/>
            <w:vMerge/>
            <w:tcBorders>
              <w:top w:val="single" w:sz="8" w:space="0" w:color="E7E6E6"/>
              <w:left w:val="single" w:sz="8" w:space="0" w:color="E7E6E6"/>
              <w:bottom w:val="single" w:sz="8" w:space="0" w:color="E7E6E6"/>
              <w:right w:val="single" w:sz="8" w:space="0" w:color="E7E6E6"/>
            </w:tcBorders>
            <w:vAlign w:val="center"/>
            <w:hideMark/>
          </w:tcPr>
          <w:p w14:paraId="5A577456" w14:textId="77777777" w:rsidR="00B15F7D" w:rsidRPr="00990FB6" w:rsidRDefault="00B15F7D" w:rsidP="00B15F7D">
            <w:pPr>
              <w:suppressAutoHyphens w:val="0"/>
              <w:rPr>
                <w:b/>
                <w:bCs/>
                <w:color w:val="FFFFFF"/>
                <w:sz w:val="22"/>
                <w:szCs w:val="22"/>
                <w:lang w:val="es-CR" w:eastAsia="es-CR"/>
              </w:rPr>
            </w:pPr>
          </w:p>
        </w:tc>
        <w:tc>
          <w:tcPr>
            <w:tcW w:w="1276" w:type="dxa"/>
            <w:tcBorders>
              <w:top w:val="nil"/>
              <w:left w:val="nil"/>
              <w:bottom w:val="single" w:sz="8" w:space="0" w:color="E7E6E6"/>
              <w:right w:val="single" w:sz="8" w:space="0" w:color="E7E6E6"/>
            </w:tcBorders>
            <w:shd w:val="clear" w:color="000000" w:fill="305496"/>
            <w:vAlign w:val="center"/>
            <w:hideMark/>
          </w:tcPr>
          <w:p w14:paraId="6816F23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1701" w:type="dxa"/>
            <w:tcBorders>
              <w:top w:val="nil"/>
              <w:left w:val="nil"/>
              <w:bottom w:val="single" w:sz="8" w:space="0" w:color="E7E6E6"/>
              <w:right w:val="single" w:sz="8" w:space="0" w:color="E7E6E6"/>
            </w:tcBorders>
            <w:shd w:val="clear" w:color="000000" w:fill="305496"/>
            <w:vAlign w:val="center"/>
            <w:hideMark/>
          </w:tcPr>
          <w:p w14:paraId="5357F6A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r>
      <w:tr w:rsidR="00B15F7D" w:rsidRPr="00990FB6" w14:paraId="03181EBA" w14:textId="77777777" w:rsidTr="000A0C22">
        <w:trPr>
          <w:trHeight w:val="300"/>
          <w:jc w:val="center"/>
        </w:trPr>
        <w:tc>
          <w:tcPr>
            <w:tcW w:w="1691" w:type="dxa"/>
            <w:vMerge w:val="restart"/>
            <w:tcBorders>
              <w:top w:val="nil"/>
              <w:left w:val="single" w:sz="8" w:space="0" w:color="E7E6E6"/>
              <w:bottom w:val="single" w:sz="8" w:space="0" w:color="E7E6E6"/>
              <w:right w:val="single" w:sz="8" w:space="0" w:color="E7E6E6"/>
            </w:tcBorders>
            <w:shd w:val="clear" w:color="000000" w:fill="FFFFFF"/>
            <w:vAlign w:val="center"/>
            <w:hideMark/>
          </w:tcPr>
          <w:p w14:paraId="320AC772"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552" w:type="dxa"/>
            <w:tcBorders>
              <w:top w:val="nil"/>
              <w:left w:val="nil"/>
              <w:bottom w:val="single" w:sz="8" w:space="0" w:color="E7E6E6"/>
              <w:right w:val="single" w:sz="8" w:space="0" w:color="E7E6E6"/>
            </w:tcBorders>
            <w:shd w:val="clear" w:color="000000" w:fill="FFFFFF"/>
            <w:noWrap/>
            <w:vAlign w:val="bottom"/>
            <w:hideMark/>
          </w:tcPr>
          <w:p w14:paraId="62922B6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Garabito</w:t>
            </w:r>
          </w:p>
        </w:tc>
        <w:tc>
          <w:tcPr>
            <w:tcW w:w="1276" w:type="dxa"/>
            <w:tcBorders>
              <w:top w:val="nil"/>
              <w:left w:val="nil"/>
              <w:bottom w:val="single" w:sz="8" w:space="0" w:color="E7E6E6"/>
              <w:right w:val="single" w:sz="8" w:space="0" w:color="E7E6E6"/>
            </w:tcBorders>
            <w:shd w:val="clear" w:color="000000" w:fill="FFFFFF"/>
            <w:noWrap/>
            <w:vAlign w:val="bottom"/>
            <w:hideMark/>
          </w:tcPr>
          <w:p w14:paraId="1C987A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01" w:type="dxa"/>
            <w:tcBorders>
              <w:top w:val="nil"/>
              <w:left w:val="nil"/>
              <w:bottom w:val="single" w:sz="8" w:space="0" w:color="E7E6E6"/>
              <w:right w:val="single" w:sz="8" w:space="0" w:color="E7E6E6"/>
            </w:tcBorders>
            <w:shd w:val="clear" w:color="000000" w:fill="FFFFFF"/>
            <w:vAlign w:val="center"/>
            <w:hideMark/>
          </w:tcPr>
          <w:p w14:paraId="20AF60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53587FD7" w14:textId="77777777" w:rsidTr="000A0C22">
        <w:trPr>
          <w:trHeight w:val="300"/>
          <w:jc w:val="center"/>
        </w:trPr>
        <w:tc>
          <w:tcPr>
            <w:tcW w:w="1691" w:type="dxa"/>
            <w:vMerge/>
            <w:tcBorders>
              <w:top w:val="nil"/>
              <w:left w:val="single" w:sz="8" w:space="0" w:color="E7E6E6"/>
              <w:bottom w:val="single" w:sz="8" w:space="0" w:color="E7E6E6"/>
              <w:right w:val="single" w:sz="8" w:space="0" w:color="E7E6E6"/>
            </w:tcBorders>
            <w:vAlign w:val="center"/>
            <w:hideMark/>
          </w:tcPr>
          <w:p w14:paraId="4F5F71B4" w14:textId="77777777" w:rsidR="00B15F7D" w:rsidRPr="00990FB6" w:rsidRDefault="00B15F7D" w:rsidP="00B15F7D">
            <w:pPr>
              <w:suppressAutoHyphens w:val="0"/>
              <w:rPr>
                <w:b/>
                <w:bCs/>
                <w:color w:val="000000"/>
                <w:sz w:val="22"/>
                <w:szCs w:val="22"/>
                <w:lang w:val="es-CR" w:eastAsia="es-CR"/>
              </w:rPr>
            </w:pPr>
          </w:p>
        </w:tc>
        <w:tc>
          <w:tcPr>
            <w:tcW w:w="2552" w:type="dxa"/>
            <w:tcBorders>
              <w:top w:val="nil"/>
              <w:left w:val="nil"/>
              <w:bottom w:val="single" w:sz="8" w:space="0" w:color="E7E6E6"/>
              <w:right w:val="single" w:sz="8" w:space="0" w:color="E7E6E6"/>
            </w:tcBorders>
            <w:shd w:val="clear" w:color="000000" w:fill="FFFFFF"/>
            <w:noWrap/>
            <w:vAlign w:val="bottom"/>
            <w:hideMark/>
          </w:tcPr>
          <w:p w14:paraId="1B99DFB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Buenos Aires</w:t>
            </w:r>
          </w:p>
        </w:tc>
        <w:tc>
          <w:tcPr>
            <w:tcW w:w="1276" w:type="dxa"/>
            <w:tcBorders>
              <w:top w:val="nil"/>
              <w:left w:val="nil"/>
              <w:bottom w:val="single" w:sz="8" w:space="0" w:color="E7E6E6"/>
              <w:right w:val="single" w:sz="8" w:space="0" w:color="E7E6E6"/>
            </w:tcBorders>
            <w:shd w:val="clear" w:color="000000" w:fill="FFFFFF"/>
            <w:noWrap/>
            <w:vAlign w:val="bottom"/>
            <w:hideMark/>
          </w:tcPr>
          <w:p w14:paraId="7928010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01" w:type="dxa"/>
            <w:tcBorders>
              <w:top w:val="nil"/>
              <w:left w:val="nil"/>
              <w:bottom w:val="single" w:sz="8" w:space="0" w:color="E7E6E6"/>
              <w:right w:val="single" w:sz="8" w:space="0" w:color="E7E6E6"/>
            </w:tcBorders>
            <w:shd w:val="clear" w:color="000000" w:fill="FFFFFF"/>
            <w:vAlign w:val="center"/>
            <w:hideMark/>
          </w:tcPr>
          <w:p w14:paraId="0EBBBD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5A2DEB3E" w14:textId="77777777" w:rsidTr="000A0C22">
        <w:trPr>
          <w:trHeight w:val="300"/>
          <w:jc w:val="center"/>
        </w:trPr>
        <w:tc>
          <w:tcPr>
            <w:tcW w:w="1691" w:type="dxa"/>
            <w:vMerge/>
            <w:tcBorders>
              <w:top w:val="nil"/>
              <w:left w:val="single" w:sz="8" w:space="0" w:color="E7E6E6"/>
              <w:bottom w:val="single" w:sz="8" w:space="0" w:color="E7E6E6"/>
              <w:right w:val="single" w:sz="8" w:space="0" w:color="E7E6E6"/>
            </w:tcBorders>
            <w:vAlign w:val="center"/>
            <w:hideMark/>
          </w:tcPr>
          <w:p w14:paraId="052D4668" w14:textId="77777777" w:rsidR="00B15F7D" w:rsidRPr="00990FB6" w:rsidRDefault="00B15F7D" w:rsidP="00B15F7D">
            <w:pPr>
              <w:suppressAutoHyphens w:val="0"/>
              <w:rPr>
                <w:b/>
                <w:bCs/>
                <w:color w:val="000000"/>
                <w:sz w:val="22"/>
                <w:szCs w:val="22"/>
                <w:lang w:val="es-CR" w:eastAsia="es-CR"/>
              </w:rPr>
            </w:pPr>
          </w:p>
        </w:tc>
        <w:tc>
          <w:tcPr>
            <w:tcW w:w="2552" w:type="dxa"/>
            <w:tcBorders>
              <w:top w:val="nil"/>
              <w:left w:val="nil"/>
              <w:bottom w:val="single" w:sz="8" w:space="0" w:color="E7E6E6"/>
              <w:right w:val="single" w:sz="8" w:space="0" w:color="E7E6E6"/>
            </w:tcBorders>
            <w:shd w:val="clear" w:color="000000" w:fill="FFFFFF"/>
            <w:noWrap/>
            <w:vAlign w:val="bottom"/>
            <w:hideMark/>
          </w:tcPr>
          <w:p w14:paraId="34F2BB7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Pococí</w:t>
            </w:r>
          </w:p>
        </w:tc>
        <w:tc>
          <w:tcPr>
            <w:tcW w:w="1276" w:type="dxa"/>
            <w:tcBorders>
              <w:top w:val="nil"/>
              <w:left w:val="nil"/>
              <w:bottom w:val="single" w:sz="8" w:space="0" w:color="E7E6E6"/>
              <w:right w:val="single" w:sz="8" w:space="0" w:color="E7E6E6"/>
            </w:tcBorders>
            <w:shd w:val="clear" w:color="000000" w:fill="FFFFFF"/>
            <w:noWrap/>
            <w:vAlign w:val="bottom"/>
            <w:hideMark/>
          </w:tcPr>
          <w:p w14:paraId="5F0E296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01" w:type="dxa"/>
            <w:tcBorders>
              <w:top w:val="nil"/>
              <w:left w:val="nil"/>
              <w:bottom w:val="single" w:sz="8" w:space="0" w:color="E7E6E6"/>
              <w:right w:val="single" w:sz="8" w:space="0" w:color="E7E6E6"/>
            </w:tcBorders>
            <w:shd w:val="clear" w:color="000000" w:fill="FFFFFF"/>
            <w:vAlign w:val="center"/>
            <w:hideMark/>
          </w:tcPr>
          <w:p w14:paraId="3D5753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0D93F99D" w14:textId="77777777" w:rsidTr="000A0C22">
        <w:trPr>
          <w:trHeight w:val="300"/>
          <w:jc w:val="center"/>
        </w:trPr>
        <w:tc>
          <w:tcPr>
            <w:tcW w:w="1691" w:type="dxa"/>
            <w:vMerge/>
            <w:tcBorders>
              <w:top w:val="nil"/>
              <w:left w:val="single" w:sz="8" w:space="0" w:color="E7E6E6"/>
              <w:bottom w:val="single" w:sz="8" w:space="0" w:color="E7E6E6"/>
              <w:right w:val="single" w:sz="8" w:space="0" w:color="E7E6E6"/>
            </w:tcBorders>
            <w:vAlign w:val="center"/>
            <w:hideMark/>
          </w:tcPr>
          <w:p w14:paraId="2EA6963F" w14:textId="77777777" w:rsidR="00B15F7D" w:rsidRPr="00990FB6" w:rsidRDefault="00B15F7D" w:rsidP="00B15F7D">
            <w:pPr>
              <w:suppressAutoHyphens w:val="0"/>
              <w:rPr>
                <w:b/>
                <w:bCs/>
                <w:color w:val="000000"/>
                <w:sz w:val="22"/>
                <w:szCs w:val="22"/>
                <w:lang w:val="es-CR" w:eastAsia="es-CR"/>
              </w:rPr>
            </w:pPr>
          </w:p>
        </w:tc>
        <w:tc>
          <w:tcPr>
            <w:tcW w:w="2552" w:type="dxa"/>
            <w:tcBorders>
              <w:top w:val="nil"/>
              <w:left w:val="nil"/>
              <w:bottom w:val="single" w:sz="8" w:space="0" w:color="E7E6E6"/>
              <w:right w:val="single" w:sz="8" w:space="0" w:color="E7E6E6"/>
            </w:tcBorders>
            <w:shd w:val="clear" w:color="000000" w:fill="DEEAF6"/>
            <w:vAlign w:val="center"/>
            <w:hideMark/>
          </w:tcPr>
          <w:p w14:paraId="47DEB7DE"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1276" w:type="dxa"/>
            <w:tcBorders>
              <w:top w:val="nil"/>
              <w:left w:val="nil"/>
              <w:bottom w:val="single" w:sz="8" w:space="0" w:color="E7E6E6"/>
              <w:right w:val="single" w:sz="8" w:space="0" w:color="E7E6E6"/>
            </w:tcBorders>
            <w:shd w:val="clear" w:color="000000" w:fill="DEEAF6"/>
            <w:vAlign w:val="center"/>
            <w:hideMark/>
          </w:tcPr>
          <w:p w14:paraId="46409657"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w:t>
            </w:r>
          </w:p>
        </w:tc>
        <w:tc>
          <w:tcPr>
            <w:tcW w:w="1701" w:type="dxa"/>
            <w:tcBorders>
              <w:top w:val="nil"/>
              <w:left w:val="nil"/>
              <w:bottom w:val="single" w:sz="8" w:space="0" w:color="E7E6E6"/>
              <w:right w:val="single" w:sz="8" w:space="0" w:color="E7E6E6"/>
            </w:tcBorders>
            <w:shd w:val="clear" w:color="000000" w:fill="DEEAF6"/>
            <w:vAlign w:val="center"/>
            <w:hideMark/>
          </w:tcPr>
          <w:p w14:paraId="36D46784"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3 176 760,00 </w:t>
            </w:r>
          </w:p>
        </w:tc>
      </w:tr>
    </w:tbl>
    <w:p w14:paraId="00DBBA88" w14:textId="77777777" w:rsidR="00B15F7D" w:rsidRPr="00990FB6" w:rsidRDefault="00B15F7D" w:rsidP="00B15F7D">
      <w:pPr>
        <w:suppressAutoHyphens w:val="0"/>
        <w:ind w:left="709"/>
        <w:contextualSpacing/>
        <w:jc w:val="both"/>
        <w:rPr>
          <w:rFonts w:eastAsia="Calibri"/>
          <w:sz w:val="22"/>
          <w:szCs w:val="22"/>
          <w:lang w:val="es-CR" w:eastAsia="en-US"/>
        </w:rPr>
      </w:pPr>
    </w:p>
    <w:p w14:paraId="088F9341"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Juzgados Penales se estima en ₡ 47 835 000,00</w:t>
      </w:r>
      <w:r w:rsidRPr="00990FB6">
        <w:rPr>
          <w:b/>
          <w:bCs/>
          <w:color w:val="3A3838"/>
          <w:sz w:val="22"/>
          <w:szCs w:val="22"/>
          <w:lang w:val="es-CR" w:eastAsia="es-CR"/>
        </w:rPr>
        <w:t xml:space="preserve"> </w:t>
      </w:r>
      <w:r w:rsidRPr="00990FB6">
        <w:rPr>
          <w:rFonts w:eastAsia="Calibri"/>
          <w:sz w:val="22"/>
          <w:szCs w:val="22"/>
          <w:lang w:val="es-CR" w:eastAsia="en-US"/>
        </w:rPr>
        <w:t>y los costos variables asociados en ¢3 176 760,00</w:t>
      </w:r>
    </w:p>
    <w:p w14:paraId="0710DFA9"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2D611A78" w14:textId="77777777" w:rsidR="00B15F7D" w:rsidRPr="00990FB6" w:rsidRDefault="00B15F7D" w:rsidP="00B15F7D">
      <w:pPr>
        <w:numPr>
          <w:ilvl w:val="1"/>
          <w:numId w:val="134"/>
        </w:numPr>
        <w:suppressAutoHyphens w:val="0"/>
        <w:ind w:left="851" w:right="851" w:firstLine="709"/>
        <w:contextualSpacing/>
        <w:jc w:val="both"/>
        <w:rPr>
          <w:rFonts w:eastAsia="Calibri"/>
          <w:sz w:val="22"/>
          <w:szCs w:val="22"/>
          <w:u w:val="single"/>
          <w:lang w:val="es-CR" w:eastAsia="en-US"/>
        </w:rPr>
      </w:pPr>
      <w:r w:rsidRPr="00990FB6">
        <w:rPr>
          <w:rFonts w:eastAsia="Calibri"/>
          <w:sz w:val="22"/>
          <w:szCs w:val="22"/>
          <w:u w:val="single"/>
          <w:lang w:val="es-CR" w:eastAsia="en-US"/>
        </w:rPr>
        <w:t>Tribunales Penales</w:t>
      </w:r>
    </w:p>
    <w:p w14:paraId="0141350B" w14:textId="77777777" w:rsidR="00B15F7D" w:rsidRPr="00990FB6" w:rsidRDefault="00B15F7D" w:rsidP="00B15F7D">
      <w:pPr>
        <w:suppressAutoHyphens w:val="0"/>
        <w:ind w:left="851" w:right="851" w:firstLine="709"/>
        <w:contextualSpacing/>
        <w:jc w:val="both"/>
        <w:rPr>
          <w:rFonts w:eastAsia="Calibri"/>
          <w:sz w:val="22"/>
          <w:szCs w:val="22"/>
          <w:u w:val="single"/>
          <w:lang w:val="es-CR" w:eastAsia="en-US"/>
        </w:rPr>
      </w:pPr>
    </w:p>
    <w:p w14:paraId="3D9C8EBF"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Seguidamente se detallan las plazas nuevas de forma ordinaria que se recomienda crear para los Tribunales Penales:</w:t>
      </w:r>
    </w:p>
    <w:p w14:paraId="3A1D09DF" w14:textId="77777777" w:rsidR="00B15F7D" w:rsidRPr="00990FB6" w:rsidRDefault="00B15F7D" w:rsidP="00B15F7D">
      <w:pPr>
        <w:suppressAutoHyphens w:val="0"/>
        <w:ind w:left="1560" w:right="851"/>
        <w:contextualSpacing/>
        <w:jc w:val="both"/>
        <w:rPr>
          <w:rFonts w:eastAsia="Calibri"/>
          <w:sz w:val="22"/>
          <w:szCs w:val="22"/>
          <w:lang w:val="es-CR" w:eastAsia="en-US"/>
        </w:rPr>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34"/>
        <w:gridCol w:w="1460"/>
        <w:gridCol w:w="709"/>
        <w:gridCol w:w="709"/>
        <w:gridCol w:w="708"/>
        <w:gridCol w:w="687"/>
        <w:gridCol w:w="1440"/>
        <w:gridCol w:w="1275"/>
        <w:gridCol w:w="1418"/>
        <w:gridCol w:w="1559"/>
      </w:tblGrid>
      <w:tr w:rsidR="00B15F7D" w:rsidRPr="00990FB6" w14:paraId="55BF1907" w14:textId="77777777" w:rsidTr="000A0C22">
        <w:trPr>
          <w:trHeight w:val="300"/>
          <w:jc w:val="center"/>
        </w:trPr>
        <w:tc>
          <w:tcPr>
            <w:tcW w:w="1234" w:type="dxa"/>
            <w:vMerge w:val="restart"/>
            <w:shd w:val="clear" w:color="000000" w:fill="305496"/>
            <w:vAlign w:val="center"/>
            <w:hideMark/>
          </w:tcPr>
          <w:p w14:paraId="07107A7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1460" w:type="dxa"/>
            <w:vMerge w:val="restart"/>
            <w:shd w:val="clear" w:color="000000" w:fill="305496"/>
            <w:vAlign w:val="center"/>
            <w:hideMark/>
          </w:tcPr>
          <w:p w14:paraId="1E37FC6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2813" w:type="dxa"/>
            <w:gridSpan w:val="4"/>
            <w:shd w:val="clear" w:color="000000" w:fill="5B9BD5"/>
            <w:noWrap/>
            <w:vAlign w:val="bottom"/>
            <w:hideMark/>
          </w:tcPr>
          <w:p w14:paraId="64D9EF7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5692" w:type="dxa"/>
            <w:gridSpan w:val="4"/>
            <w:shd w:val="clear" w:color="000000" w:fill="5B9BD5"/>
            <w:noWrap/>
            <w:vAlign w:val="center"/>
            <w:hideMark/>
          </w:tcPr>
          <w:p w14:paraId="17C4034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01BE3C62" w14:textId="77777777" w:rsidTr="000A0C22">
        <w:trPr>
          <w:trHeight w:val="492"/>
          <w:jc w:val="center"/>
        </w:trPr>
        <w:tc>
          <w:tcPr>
            <w:tcW w:w="1234" w:type="dxa"/>
            <w:vMerge/>
            <w:vAlign w:val="center"/>
            <w:hideMark/>
          </w:tcPr>
          <w:p w14:paraId="1F301802" w14:textId="77777777" w:rsidR="00B15F7D" w:rsidRPr="00990FB6" w:rsidRDefault="00B15F7D" w:rsidP="00B15F7D">
            <w:pPr>
              <w:suppressAutoHyphens w:val="0"/>
              <w:rPr>
                <w:b/>
                <w:bCs/>
                <w:color w:val="FFFFFF"/>
                <w:sz w:val="22"/>
                <w:szCs w:val="22"/>
                <w:lang w:val="es-CR" w:eastAsia="es-CR"/>
              </w:rPr>
            </w:pPr>
          </w:p>
        </w:tc>
        <w:tc>
          <w:tcPr>
            <w:tcW w:w="1460" w:type="dxa"/>
            <w:vMerge/>
            <w:vAlign w:val="center"/>
            <w:hideMark/>
          </w:tcPr>
          <w:p w14:paraId="1315BEE0" w14:textId="77777777" w:rsidR="00B15F7D" w:rsidRPr="00990FB6" w:rsidRDefault="00B15F7D" w:rsidP="00B15F7D">
            <w:pPr>
              <w:suppressAutoHyphens w:val="0"/>
              <w:rPr>
                <w:b/>
                <w:bCs/>
                <w:color w:val="FFFFFF"/>
                <w:sz w:val="22"/>
                <w:szCs w:val="22"/>
                <w:lang w:val="es-CR" w:eastAsia="es-CR"/>
              </w:rPr>
            </w:pPr>
          </w:p>
        </w:tc>
        <w:tc>
          <w:tcPr>
            <w:tcW w:w="709" w:type="dxa"/>
            <w:shd w:val="clear" w:color="000000" w:fill="305496"/>
            <w:vAlign w:val="center"/>
            <w:hideMark/>
          </w:tcPr>
          <w:p w14:paraId="4448490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Jueces/zas 4</w:t>
            </w:r>
          </w:p>
        </w:tc>
        <w:tc>
          <w:tcPr>
            <w:tcW w:w="709" w:type="dxa"/>
            <w:shd w:val="clear" w:color="000000" w:fill="305496"/>
            <w:vAlign w:val="center"/>
            <w:hideMark/>
          </w:tcPr>
          <w:p w14:paraId="242761F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Jueces 1</w:t>
            </w:r>
          </w:p>
        </w:tc>
        <w:tc>
          <w:tcPr>
            <w:tcW w:w="708" w:type="dxa"/>
            <w:shd w:val="clear" w:color="000000" w:fill="305496"/>
            <w:vAlign w:val="center"/>
            <w:hideMark/>
          </w:tcPr>
          <w:p w14:paraId="15E656A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Técnicos (as) Judiciales 3</w:t>
            </w:r>
          </w:p>
        </w:tc>
        <w:tc>
          <w:tcPr>
            <w:tcW w:w="687" w:type="dxa"/>
            <w:shd w:val="clear" w:color="000000" w:fill="305496"/>
            <w:vAlign w:val="center"/>
            <w:hideMark/>
          </w:tcPr>
          <w:p w14:paraId="40977CF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Total</w:t>
            </w:r>
          </w:p>
        </w:tc>
        <w:tc>
          <w:tcPr>
            <w:tcW w:w="1440" w:type="dxa"/>
            <w:shd w:val="clear" w:color="000000" w:fill="305496"/>
            <w:vAlign w:val="center"/>
            <w:hideMark/>
          </w:tcPr>
          <w:p w14:paraId="0EA2EFD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juez o jueza 4</w:t>
            </w:r>
          </w:p>
        </w:tc>
        <w:tc>
          <w:tcPr>
            <w:tcW w:w="1275" w:type="dxa"/>
            <w:shd w:val="clear" w:color="000000" w:fill="305496"/>
            <w:vAlign w:val="center"/>
            <w:hideMark/>
          </w:tcPr>
          <w:p w14:paraId="1BD7131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1418" w:type="dxa"/>
            <w:shd w:val="clear" w:color="000000" w:fill="305496"/>
            <w:vAlign w:val="center"/>
            <w:hideMark/>
          </w:tcPr>
          <w:p w14:paraId="250373D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559" w:type="dxa"/>
            <w:shd w:val="clear" w:color="000000" w:fill="305496"/>
            <w:vAlign w:val="center"/>
            <w:hideMark/>
          </w:tcPr>
          <w:p w14:paraId="107F612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7F8CA25B" w14:textId="77777777" w:rsidTr="000A0C22">
        <w:trPr>
          <w:trHeight w:val="300"/>
          <w:jc w:val="center"/>
        </w:trPr>
        <w:tc>
          <w:tcPr>
            <w:tcW w:w="1234" w:type="dxa"/>
            <w:vMerge w:val="restart"/>
            <w:shd w:val="clear" w:color="000000" w:fill="FFFFFF"/>
            <w:vAlign w:val="center"/>
            <w:hideMark/>
          </w:tcPr>
          <w:p w14:paraId="7A1F25B5"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1460" w:type="dxa"/>
            <w:shd w:val="clear" w:color="auto" w:fill="auto"/>
            <w:vAlign w:val="center"/>
            <w:hideMark/>
          </w:tcPr>
          <w:p w14:paraId="17F6941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709" w:type="dxa"/>
            <w:shd w:val="clear" w:color="auto" w:fill="auto"/>
            <w:vAlign w:val="center"/>
            <w:hideMark/>
          </w:tcPr>
          <w:p w14:paraId="699CAA3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shd w:val="clear" w:color="auto" w:fill="auto"/>
            <w:vAlign w:val="center"/>
            <w:hideMark/>
          </w:tcPr>
          <w:p w14:paraId="3A3C15F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2E229D5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87" w:type="dxa"/>
            <w:shd w:val="clear" w:color="auto" w:fill="auto"/>
            <w:vAlign w:val="center"/>
            <w:hideMark/>
          </w:tcPr>
          <w:p w14:paraId="00FABD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1440" w:type="dxa"/>
            <w:shd w:val="clear" w:color="000000" w:fill="FFFFFF"/>
            <w:vAlign w:val="center"/>
            <w:hideMark/>
          </w:tcPr>
          <w:p w14:paraId="2E4354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5" w:type="dxa"/>
            <w:shd w:val="clear" w:color="000000" w:fill="FFFFFF"/>
            <w:vAlign w:val="center"/>
            <w:hideMark/>
          </w:tcPr>
          <w:p w14:paraId="680102E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09DA86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1F5AF5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78504ACF" w14:textId="77777777" w:rsidTr="000A0C22">
        <w:trPr>
          <w:trHeight w:val="300"/>
          <w:jc w:val="center"/>
        </w:trPr>
        <w:tc>
          <w:tcPr>
            <w:tcW w:w="1234" w:type="dxa"/>
            <w:vMerge/>
            <w:vAlign w:val="center"/>
            <w:hideMark/>
          </w:tcPr>
          <w:p w14:paraId="513D6A9A"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3C2F855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709" w:type="dxa"/>
            <w:shd w:val="clear" w:color="auto" w:fill="auto"/>
            <w:vAlign w:val="center"/>
            <w:hideMark/>
          </w:tcPr>
          <w:p w14:paraId="061C1E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shd w:val="clear" w:color="auto" w:fill="auto"/>
            <w:vAlign w:val="center"/>
            <w:hideMark/>
          </w:tcPr>
          <w:p w14:paraId="7FC8D7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56F4ACE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87" w:type="dxa"/>
            <w:shd w:val="clear" w:color="auto" w:fill="auto"/>
            <w:vAlign w:val="center"/>
            <w:hideMark/>
          </w:tcPr>
          <w:p w14:paraId="039ABB1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1440" w:type="dxa"/>
            <w:shd w:val="clear" w:color="000000" w:fill="FFFFFF"/>
            <w:vAlign w:val="center"/>
            <w:hideMark/>
          </w:tcPr>
          <w:p w14:paraId="6207532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1275" w:type="dxa"/>
            <w:shd w:val="clear" w:color="000000" w:fill="FFFFFF"/>
            <w:hideMark/>
          </w:tcPr>
          <w:p w14:paraId="4E0D6F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7475E9B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6A952F9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156 774 000,00 </w:t>
            </w:r>
          </w:p>
        </w:tc>
      </w:tr>
      <w:tr w:rsidR="00B15F7D" w:rsidRPr="00990FB6" w14:paraId="295C0211" w14:textId="77777777" w:rsidTr="000A0C22">
        <w:trPr>
          <w:trHeight w:val="300"/>
          <w:jc w:val="center"/>
        </w:trPr>
        <w:tc>
          <w:tcPr>
            <w:tcW w:w="1234" w:type="dxa"/>
            <w:vMerge/>
            <w:vAlign w:val="center"/>
            <w:hideMark/>
          </w:tcPr>
          <w:p w14:paraId="3B52F0EB"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77F13BD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709" w:type="dxa"/>
            <w:shd w:val="clear" w:color="auto" w:fill="auto"/>
            <w:vAlign w:val="center"/>
            <w:hideMark/>
          </w:tcPr>
          <w:p w14:paraId="7C908F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shd w:val="clear" w:color="auto" w:fill="auto"/>
            <w:vAlign w:val="center"/>
            <w:hideMark/>
          </w:tcPr>
          <w:p w14:paraId="50E1D64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02E6E2E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87" w:type="dxa"/>
            <w:shd w:val="clear" w:color="auto" w:fill="auto"/>
            <w:vAlign w:val="center"/>
            <w:hideMark/>
          </w:tcPr>
          <w:p w14:paraId="6E9A66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1440" w:type="dxa"/>
            <w:shd w:val="clear" w:color="000000" w:fill="FFFFFF"/>
            <w:vAlign w:val="center"/>
            <w:hideMark/>
          </w:tcPr>
          <w:p w14:paraId="3469350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1275" w:type="dxa"/>
            <w:shd w:val="clear" w:color="000000" w:fill="FFFFFF"/>
            <w:hideMark/>
          </w:tcPr>
          <w:p w14:paraId="4324515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635163D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hideMark/>
          </w:tcPr>
          <w:p w14:paraId="4470759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156 774 000,00 </w:t>
            </w:r>
          </w:p>
        </w:tc>
      </w:tr>
      <w:tr w:rsidR="00B15F7D" w:rsidRPr="00990FB6" w14:paraId="4592B84B" w14:textId="77777777" w:rsidTr="000A0C22">
        <w:trPr>
          <w:trHeight w:val="300"/>
          <w:jc w:val="center"/>
        </w:trPr>
        <w:tc>
          <w:tcPr>
            <w:tcW w:w="1234" w:type="dxa"/>
            <w:vMerge/>
            <w:vAlign w:val="center"/>
            <w:hideMark/>
          </w:tcPr>
          <w:p w14:paraId="49C80258"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190EBE5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709" w:type="dxa"/>
            <w:shd w:val="clear" w:color="auto" w:fill="auto"/>
            <w:vAlign w:val="center"/>
            <w:hideMark/>
          </w:tcPr>
          <w:p w14:paraId="65A8D74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shd w:val="clear" w:color="auto" w:fill="auto"/>
            <w:vAlign w:val="center"/>
            <w:hideMark/>
          </w:tcPr>
          <w:p w14:paraId="1958EB6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034AE7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87" w:type="dxa"/>
            <w:shd w:val="clear" w:color="auto" w:fill="auto"/>
            <w:vAlign w:val="center"/>
            <w:hideMark/>
          </w:tcPr>
          <w:p w14:paraId="6BAD09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1440" w:type="dxa"/>
            <w:shd w:val="clear" w:color="000000" w:fill="FFFFFF"/>
            <w:vAlign w:val="center"/>
            <w:hideMark/>
          </w:tcPr>
          <w:p w14:paraId="685C2B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123 422 000,00 </w:t>
            </w:r>
          </w:p>
        </w:tc>
        <w:tc>
          <w:tcPr>
            <w:tcW w:w="1275" w:type="dxa"/>
            <w:shd w:val="clear" w:color="000000" w:fill="FFFFFF"/>
            <w:hideMark/>
          </w:tcPr>
          <w:p w14:paraId="32FCA3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210D47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hideMark/>
          </w:tcPr>
          <w:p w14:paraId="157506C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156 774 000,00 </w:t>
            </w:r>
          </w:p>
        </w:tc>
      </w:tr>
      <w:tr w:rsidR="00B15F7D" w:rsidRPr="00990FB6" w14:paraId="7E888C0E" w14:textId="77777777" w:rsidTr="000A0C22">
        <w:trPr>
          <w:trHeight w:val="300"/>
          <w:jc w:val="center"/>
        </w:trPr>
        <w:tc>
          <w:tcPr>
            <w:tcW w:w="1234" w:type="dxa"/>
            <w:vMerge/>
            <w:vAlign w:val="center"/>
            <w:hideMark/>
          </w:tcPr>
          <w:p w14:paraId="28B4FC93"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424A596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709" w:type="dxa"/>
            <w:shd w:val="clear" w:color="auto" w:fill="auto"/>
            <w:vAlign w:val="center"/>
            <w:hideMark/>
          </w:tcPr>
          <w:p w14:paraId="3953F7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709" w:type="dxa"/>
            <w:shd w:val="clear" w:color="auto" w:fill="auto"/>
            <w:vAlign w:val="center"/>
            <w:hideMark/>
          </w:tcPr>
          <w:p w14:paraId="65497B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4F14C8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87" w:type="dxa"/>
            <w:shd w:val="clear" w:color="auto" w:fill="auto"/>
            <w:vAlign w:val="center"/>
            <w:hideMark/>
          </w:tcPr>
          <w:p w14:paraId="6B4C7F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4</w:t>
            </w:r>
          </w:p>
        </w:tc>
        <w:tc>
          <w:tcPr>
            <w:tcW w:w="1440" w:type="dxa"/>
            <w:shd w:val="clear" w:color="000000" w:fill="FFFFFF"/>
            <w:vAlign w:val="center"/>
            <w:hideMark/>
          </w:tcPr>
          <w:p w14:paraId="70C55D3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123 422 000,00</w:t>
            </w:r>
          </w:p>
        </w:tc>
        <w:tc>
          <w:tcPr>
            <w:tcW w:w="1275" w:type="dxa"/>
            <w:shd w:val="clear" w:color="000000" w:fill="FFFFFF"/>
            <w:hideMark/>
          </w:tcPr>
          <w:p w14:paraId="5E952A7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1B8A24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hideMark/>
          </w:tcPr>
          <w:p w14:paraId="1DB331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156 774 000,00 </w:t>
            </w:r>
          </w:p>
        </w:tc>
      </w:tr>
      <w:tr w:rsidR="00B15F7D" w:rsidRPr="00990FB6" w14:paraId="30B04C61" w14:textId="77777777" w:rsidTr="000A0C22">
        <w:trPr>
          <w:trHeight w:val="300"/>
          <w:jc w:val="center"/>
        </w:trPr>
        <w:tc>
          <w:tcPr>
            <w:tcW w:w="1234" w:type="dxa"/>
            <w:vMerge/>
            <w:vAlign w:val="center"/>
            <w:hideMark/>
          </w:tcPr>
          <w:p w14:paraId="5771F836"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4A4C04A9"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709" w:type="dxa"/>
            <w:shd w:val="clear" w:color="auto" w:fill="auto"/>
            <w:vAlign w:val="center"/>
            <w:hideMark/>
          </w:tcPr>
          <w:p w14:paraId="615BA7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709" w:type="dxa"/>
            <w:shd w:val="clear" w:color="auto" w:fill="auto"/>
            <w:vAlign w:val="center"/>
            <w:hideMark/>
          </w:tcPr>
          <w:p w14:paraId="1433E1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2567C5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687" w:type="dxa"/>
            <w:shd w:val="clear" w:color="auto" w:fill="auto"/>
            <w:vAlign w:val="center"/>
            <w:hideMark/>
          </w:tcPr>
          <w:p w14:paraId="1920429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w:t>
            </w:r>
          </w:p>
        </w:tc>
        <w:tc>
          <w:tcPr>
            <w:tcW w:w="1440" w:type="dxa"/>
            <w:shd w:val="clear" w:color="000000" w:fill="FFFFFF"/>
            <w:vAlign w:val="center"/>
            <w:hideMark/>
          </w:tcPr>
          <w:p w14:paraId="05A7E85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185 133 000,00 </w:t>
            </w:r>
          </w:p>
        </w:tc>
        <w:tc>
          <w:tcPr>
            <w:tcW w:w="1275" w:type="dxa"/>
            <w:shd w:val="clear" w:color="000000" w:fill="FFFFFF"/>
            <w:hideMark/>
          </w:tcPr>
          <w:p w14:paraId="1587FA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1CACD3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2D4AFB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218 485 000,00 </w:t>
            </w:r>
          </w:p>
        </w:tc>
      </w:tr>
      <w:tr w:rsidR="00B15F7D" w:rsidRPr="00990FB6" w14:paraId="1106A7DD" w14:textId="77777777" w:rsidTr="000A0C22">
        <w:trPr>
          <w:trHeight w:val="300"/>
          <w:jc w:val="center"/>
        </w:trPr>
        <w:tc>
          <w:tcPr>
            <w:tcW w:w="1234" w:type="dxa"/>
            <w:vMerge/>
            <w:vAlign w:val="center"/>
            <w:hideMark/>
          </w:tcPr>
          <w:p w14:paraId="766EFA6E"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1A8A3BF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Limón</w:t>
            </w:r>
          </w:p>
        </w:tc>
        <w:tc>
          <w:tcPr>
            <w:tcW w:w="709" w:type="dxa"/>
            <w:shd w:val="clear" w:color="auto" w:fill="auto"/>
            <w:vAlign w:val="center"/>
            <w:hideMark/>
          </w:tcPr>
          <w:p w14:paraId="442AF25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shd w:val="clear" w:color="auto" w:fill="auto"/>
            <w:vAlign w:val="center"/>
            <w:hideMark/>
          </w:tcPr>
          <w:p w14:paraId="3EA06A6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8" w:type="dxa"/>
            <w:shd w:val="clear" w:color="auto" w:fill="auto"/>
            <w:vAlign w:val="center"/>
            <w:hideMark/>
          </w:tcPr>
          <w:p w14:paraId="2B1F712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87" w:type="dxa"/>
            <w:shd w:val="clear" w:color="auto" w:fill="auto"/>
            <w:vAlign w:val="center"/>
            <w:hideMark/>
          </w:tcPr>
          <w:p w14:paraId="704496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40" w:type="dxa"/>
            <w:shd w:val="clear" w:color="000000" w:fill="FFFFFF"/>
            <w:vAlign w:val="center"/>
            <w:hideMark/>
          </w:tcPr>
          <w:p w14:paraId="1247A7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275" w:type="dxa"/>
            <w:shd w:val="clear" w:color="000000" w:fill="FFFFFF"/>
            <w:vAlign w:val="center"/>
            <w:hideMark/>
          </w:tcPr>
          <w:p w14:paraId="61F664E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c>
          <w:tcPr>
            <w:tcW w:w="1418" w:type="dxa"/>
            <w:shd w:val="clear" w:color="000000" w:fill="FFFFFF"/>
            <w:vAlign w:val="center"/>
            <w:hideMark/>
          </w:tcPr>
          <w:p w14:paraId="4489486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61ABA5D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r>
      <w:tr w:rsidR="00B15F7D" w:rsidRPr="00990FB6" w14:paraId="3BA673C8" w14:textId="77777777" w:rsidTr="000A0C22">
        <w:trPr>
          <w:trHeight w:val="300"/>
          <w:jc w:val="center"/>
        </w:trPr>
        <w:tc>
          <w:tcPr>
            <w:tcW w:w="1234" w:type="dxa"/>
            <w:vMerge/>
            <w:vAlign w:val="center"/>
            <w:hideMark/>
          </w:tcPr>
          <w:p w14:paraId="476292F1"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2BABF03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Alajuela</w:t>
            </w:r>
          </w:p>
        </w:tc>
        <w:tc>
          <w:tcPr>
            <w:tcW w:w="709" w:type="dxa"/>
            <w:shd w:val="clear" w:color="auto" w:fill="auto"/>
            <w:vAlign w:val="center"/>
            <w:hideMark/>
          </w:tcPr>
          <w:p w14:paraId="7E2BE8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shd w:val="clear" w:color="auto" w:fill="auto"/>
            <w:vAlign w:val="center"/>
            <w:hideMark/>
          </w:tcPr>
          <w:p w14:paraId="7587BF6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73C7A4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87" w:type="dxa"/>
            <w:shd w:val="clear" w:color="auto" w:fill="auto"/>
            <w:vAlign w:val="center"/>
            <w:hideMark/>
          </w:tcPr>
          <w:p w14:paraId="4CF005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40" w:type="dxa"/>
            <w:shd w:val="clear" w:color="000000" w:fill="FFFFFF"/>
            <w:vAlign w:val="center"/>
            <w:hideMark/>
          </w:tcPr>
          <w:p w14:paraId="2F1FB4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5" w:type="dxa"/>
            <w:shd w:val="clear" w:color="000000" w:fill="FFFFFF"/>
            <w:hideMark/>
          </w:tcPr>
          <w:p w14:paraId="6E6DD1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vAlign w:val="center"/>
            <w:hideMark/>
          </w:tcPr>
          <w:p w14:paraId="060731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5CFB9C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r>
      <w:tr w:rsidR="00B15F7D" w:rsidRPr="00990FB6" w14:paraId="23541F42" w14:textId="77777777" w:rsidTr="000A0C22">
        <w:trPr>
          <w:trHeight w:val="300"/>
          <w:jc w:val="center"/>
        </w:trPr>
        <w:tc>
          <w:tcPr>
            <w:tcW w:w="1234" w:type="dxa"/>
            <w:vMerge/>
            <w:vAlign w:val="center"/>
            <w:hideMark/>
          </w:tcPr>
          <w:p w14:paraId="7BB49765"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5A20F26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Liberia</w:t>
            </w:r>
          </w:p>
        </w:tc>
        <w:tc>
          <w:tcPr>
            <w:tcW w:w="709" w:type="dxa"/>
            <w:shd w:val="clear" w:color="auto" w:fill="auto"/>
            <w:vAlign w:val="center"/>
            <w:hideMark/>
          </w:tcPr>
          <w:p w14:paraId="3D013F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709" w:type="dxa"/>
            <w:shd w:val="clear" w:color="auto" w:fill="auto"/>
            <w:vAlign w:val="center"/>
            <w:hideMark/>
          </w:tcPr>
          <w:p w14:paraId="73F96D2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42DCFDD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687" w:type="dxa"/>
            <w:shd w:val="clear" w:color="auto" w:fill="auto"/>
            <w:vAlign w:val="center"/>
            <w:hideMark/>
          </w:tcPr>
          <w:p w14:paraId="3302A2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40" w:type="dxa"/>
            <w:shd w:val="clear" w:color="000000" w:fill="FFFFFF"/>
            <w:vAlign w:val="center"/>
            <w:hideMark/>
          </w:tcPr>
          <w:p w14:paraId="0727BF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5" w:type="dxa"/>
            <w:shd w:val="clear" w:color="000000" w:fill="FFFFFF"/>
            <w:hideMark/>
          </w:tcPr>
          <w:p w14:paraId="1AFAFB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vAlign w:val="center"/>
            <w:hideMark/>
          </w:tcPr>
          <w:p w14:paraId="299623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7FDB839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w:t>
            </w:r>
          </w:p>
        </w:tc>
      </w:tr>
      <w:tr w:rsidR="00B15F7D" w:rsidRPr="00990FB6" w14:paraId="50CE0D8D" w14:textId="77777777" w:rsidTr="000A0C22">
        <w:trPr>
          <w:trHeight w:val="300"/>
          <w:jc w:val="center"/>
        </w:trPr>
        <w:tc>
          <w:tcPr>
            <w:tcW w:w="1234" w:type="dxa"/>
            <w:vMerge/>
            <w:vAlign w:val="center"/>
            <w:hideMark/>
          </w:tcPr>
          <w:p w14:paraId="6D3FF3ED" w14:textId="77777777" w:rsidR="00B15F7D" w:rsidRPr="00990FB6" w:rsidRDefault="00B15F7D" w:rsidP="00B15F7D">
            <w:pPr>
              <w:suppressAutoHyphens w:val="0"/>
              <w:rPr>
                <w:b/>
                <w:bCs/>
                <w:color w:val="000000"/>
                <w:sz w:val="22"/>
                <w:szCs w:val="22"/>
                <w:lang w:val="es-CR" w:eastAsia="es-CR"/>
              </w:rPr>
            </w:pPr>
          </w:p>
        </w:tc>
        <w:tc>
          <w:tcPr>
            <w:tcW w:w="1460" w:type="dxa"/>
            <w:shd w:val="clear" w:color="auto" w:fill="auto"/>
            <w:vAlign w:val="center"/>
            <w:hideMark/>
          </w:tcPr>
          <w:p w14:paraId="497DB9D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Nicoya</w:t>
            </w:r>
          </w:p>
        </w:tc>
        <w:tc>
          <w:tcPr>
            <w:tcW w:w="709" w:type="dxa"/>
            <w:shd w:val="clear" w:color="auto" w:fill="auto"/>
            <w:vAlign w:val="center"/>
            <w:hideMark/>
          </w:tcPr>
          <w:p w14:paraId="774F58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9" w:type="dxa"/>
            <w:shd w:val="clear" w:color="auto" w:fill="auto"/>
            <w:vAlign w:val="center"/>
            <w:hideMark/>
          </w:tcPr>
          <w:p w14:paraId="3A13648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708" w:type="dxa"/>
            <w:shd w:val="clear" w:color="auto" w:fill="auto"/>
            <w:vAlign w:val="center"/>
            <w:hideMark/>
          </w:tcPr>
          <w:p w14:paraId="150530C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687" w:type="dxa"/>
            <w:shd w:val="clear" w:color="auto" w:fill="auto"/>
            <w:vAlign w:val="center"/>
            <w:hideMark/>
          </w:tcPr>
          <w:p w14:paraId="032D9E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40" w:type="dxa"/>
            <w:shd w:val="clear" w:color="000000" w:fill="FFFFFF"/>
            <w:vAlign w:val="center"/>
            <w:hideMark/>
          </w:tcPr>
          <w:p w14:paraId="082F54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275" w:type="dxa"/>
            <w:shd w:val="clear" w:color="000000" w:fill="FFFFFF"/>
            <w:hideMark/>
          </w:tcPr>
          <w:p w14:paraId="1ACDB50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vAlign w:val="center"/>
            <w:hideMark/>
          </w:tcPr>
          <w:p w14:paraId="60A580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c>
          <w:tcPr>
            <w:tcW w:w="1559" w:type="dxa"/>
            <w:shd w:val="clear" w:color="000000" w:fill="FFFFFF"/>
            <w:vAlign w:val="center"/>
            <w:hideMark/>
          </w:tcPr>
          <w:p w14:paraId="48466C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r>
      <w:tr w:rsidR="00B15F7D" w:rsidRPr="00990FB6" w14:paraId="42BD067D" w14:textId="77777777" w:rsidTr="000A0C22">
        <w:trPr>
          <w:trHeight w:val="300"/>
          <w:jc w:val="center"/>
        </w:trPr>
        <w:tc>
          <w:tcPr>
            <w:tcW w:w="1234" w:type="dxa"/>
            <w:vMerge/>
            <w:vAlign w:val="center"/>
            <w:hideMark/>
          </w:tcPr>
          <w:p w14:paraId="0BEAB650" w14:textId="77777777" w:rsidR="00B15F7D" w:rsidRPr="00990FB6" w:rsidRDefault="00B15F7D" w:rsidP="00B15F7D">
            <w:pPr>
              <w:suppressAutoHyphens w:val="0"/>
              <w:rPr>
                <w:b/>
                <w:bCs/>
                <w:color w:val="000000"/>
                <w:sz w:val="22"/>
                <w:szCs w:val="22"/>
                <w:lang w:val="es-CR" w:eastAsia="es-CR"/>
              </w:rPr>
            </w:pPr>
          </w:p>
        </w:tc>
        <w:tc>
          <w:tcPr>
            <w:tcW w:w="1460" w:type="dxa"/>
            <w:shd w:val="clear" w:color="000000" w:fill="DEEAF6"/>
            <w:vAlign w:val="center"/>
            <w:hideMark/>
          </w:tcPr>
          <w:p w14:paraId="4660D79B"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709" w:type="dxa"/>
            <w:shd w:val="clear" w:color="000000" w:fill="DEEAF6"/>
            <w:vAlign w:val="center"/>
            <w:hideMark/>
          </w:tcPr>
          <w:p w14:paraId="0C3C2629"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14</w:t>
            </w:r>
          </w:p>
        </w:tc>
        <w:tc>
          <w:tcPr>
            <w:tcW w:w="709" w:type="dxa"/>
            <w:shd w:val="clear" w:color="000000" w:fill="DEEAF6"/>
            <w:vAlign w:val="center"/>
            <w:hideMark/>
          </w:tcPr>
          <w:p w14:paraId="7A90A5F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1</w:t>
            </w:r>
          </w:p>
        </w:tc>
        <w:tc>
          <w:tcPr>
            <w:tcW w:w="708" w:type="dxa"/>
            <w:shd w:val="clear" w:color="000000" w:fill="DEEAF6"/>
            <w:vAlign w:val="center"/>
            <w:hideMark/>
          </w:tcPr>
          <w:p w14:paraId="1A3CFCD5"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13</w:t>
            </w:r>
          </w:p>
        </w:tc>
        <w:tc>
          <w:tcPr>
            <w:tcW w:w="687" w:type="dxa"/>
            <w:shd w:val="clear" w:color="000000" w:fill="DEEAF6"/>
            <w:vAlign w:val="center"/>
            <w:hideMark/>
          </w:tcPr>
          <w:p w14:paraId="30BC3F1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28</w:t>
            </w:r>
          </w:p>
        </w:tc>
        <w:tc>
          <w:tcPr>
            <w:tcW w:w="1440" w:type="dxa"/>
            <w:shd w:val="clear" w:color="000000" w:fill="DEEAF6"/>
            <w:vAlign w:val="center"/>
            <w:hideMark/>
          </w:tcPr>
          <w:p w14:paraId="40CD025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₡863 954 000,00 </w:t>
            </w:r>
          </w:p>
        </w:tc>
        <w:tc>
          <w:tcPr>
            <w:tcW w:w="1275" w:type="dxa"/>
            <w:shd w:val="clear" w:color="000000" w:fill="DEEAF6"/>
            <w:vAlign w:val="center"/>
            <w:hideMark/>
          </w:tcPr>
          <w:p w14:paraId="13DE904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53 778 000,00 </w:t>
            </w:r>
          </w:p>
        </w:tc>
        <w:tc>
          <w:tcPr>
            <w:tcW w:w="1418" w:type="dxa"/>
            <w:shd w:val="clear" w:color="000000" w:fill="DEEAF6"/>
            <w:vAlign w:val="center"/>
            <w:hideMark/>
          </w:tcPr>
          <w:p w14:paraId="5C52C09F"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216 788 000,00 </w:t>
            </w:r>
          </w:p>
        </w:tc>
        <w:tc>
          <w:tcPr>
            <w:tcW w:w="1559" w:type="dxa"/>
            <w:shd w:val="clear" w:color="000000" w:fill="DEEAF6"/>
            <w:vAlign w:val="center"/>
            <w:hideMark/>
          </w:tcPr>
          <w:p w14:paraId="6DB48E1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1 134 520 000,00 </w:t>
            </w:r>
          </w:p>
        </w:tc>
      </w:tr>
    </w:tbl>
    <w:p w14:paraId="68AED155" w14:textId="77777777" w:rsidR="00B15F7D" w:rsidRPr="00990FB6" w:rsidRDefault="00B15F7D" w:rsidP="00B15F7D">
      <w:pPr>
        <w:suppressAutoHyphens w:val="0"/>
        <w:contextualSpacing/>
        <w:jc w:val="both"/>
        <w:rPr>
          <w:rFonts w:eastAsia="Calibri"/>
          <w:sz w:val="22"/>
          <w:szCs w:val="22"/>
          <w:lang w:val="es-CR" w:eastAsia="en-US"/>
        </w:rPr>
      </w:pPr>
    </w:p>
    <w:p w14:paraId="15A1A79D"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Reclasificación de la plaza vacante 369971 de jueza o juez 3 del Juzgado Penal de Cóbano a Juez o Jueza 4, para que sea destacada en el Tribunal Penal de Quepos, cuyo costo anual asciende a </w:t>
      </w:r>
      <w:r w:rsidRPr="00990FB6">
        <w:rPr>
          <w:rFonts w:eastAsia="Calibri"/>
          <w:color w:val="000000"/>
          <w:sz w:val="22"/>
          <w:szCs w:val="22"/>
          <w:u w:color="000000"/>
          <w:lang w:val="es-CR" w:eastAsia="en-US"/>
        </w:rPr>
        <w:t>₡4 564 000,00.</w:t>
      </w:r>
    </w:p>
    <w:p w14:paraId="75A7DD91"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43EBF1F8"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color w:val="000000"/>
          <w:sz w:val="22"/>
          <w:szCs w:val="22"/>
          <w:u w:color="000000"/>
          <w:lang w:val="es-CR" w:eastAsia="en-US"/>
        </w:rPr>
        <w:t xml:space="preserve">Reclasificación de las plazas vacantes </w:t>
      </w:r>
      <w:r w:rsidRPr="00990FB6">
        <w:rPr>
          <w:rFonts w:eastAsia="Calibri"/>
          <w:sz w:val="22"/>
          <w:szCs w:val="22"/>
          <w:lang w:val="es-CR" w:eastAsia="en-US"/>
        </w:rPr>
        <w:t>44563 y 15583 de técnica o técnico judicial 1 del Juzgado de Tránsito del Primer Circuito Judicial de Alajuela a Jueza o Juez 4, para ser destacadas en el Tribunal Penal de Alajuela, cuyo costo anual asciende a ₡ 92 660 000,00.</w:t>
      </w:r>
    </w:p>
    <w:p w14:paraId="4DAE9F5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3F22D9AA"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Los costos variables totales por equipo de cómputo y mobiliario para este escenario ascienden a ₡41 714 236,00, distribuidos de la siguiente manera:</w:t>
      </w:r>
    </w:p>
    <w:p w14:paraId="37053689" w14:textId="77777777" w:rsidR="00B15F7D" w:rsidRPr="00990FB6" w:rsidRDefault="00B15F7D" w:rsidP="00B15F7D">
      <w:pPr>
        <w:suppressAutoHyphens w:val="0"/>
        <w:ind w:right="851"/>
        <w:contextualSpacing/>
        <w:jc w:val="both"/>
        <w:rPr>
          <w:rFonts w:eastAsia="Calibri"/>
          <w:sz w:val="22"/>
          <w:szCs w:val="22"/>
          <w:lang w:val="es-CR" w:eastAsia="en-US"/>
        </w:rPr>
      </w:pPr>
    </w:p>
    <w:tbl>
      <w:tblPr>
        <w:tblW w:w="10490" w:type="dxa"/>
        <w:tblInd w:w="-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6"/>
        <w:gridCol w:w="1416"/>
        <w:gridCol w:w="739"/>
        <w:gridCol w:w="739"/>
        <w:gridCol w:w="1130"/>
        <w:gridCol w:w="1953"/>
        <w:gridCol w:w="1741"/>
        <w:gridCol w:w="1226"/>
      </w:tblGrid>
      <w:tr w:rsidR="00B15F7D" w:rsidRPr="00990FB6" w14:paraId="223D8353" w14:textId="77777777" w:rsidTr="000A0C22">
        <w:trPr>
          <w:trHeight w:val="300"/>
        </w:trPr>
        <w:tc>
          <w:tcPr>
            <w:tcW w:w="1277" w:type="dxa"/>
            <w:vMerge w:val="restart"/>
            <w:shd w:val="clear" w:color="000000" w:fill="305496"/>
            <w:vAlign w:val="center"/>
            <w:hideMark/>
          </w:tcPr>
          <w:p w14:paraId="5E09EF3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247" w:type="dxa"/>
            <w:vMerge w:val="restart"/>
            <w:shd w:val="clear" w:color="000000" w:fill="305496"/>
            <w:vAlign w:val="center"/>
            <w:hideMark/>
          </w:tcPr>
          <w:p w14:paraId="3E2A51A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0" w:type="auto"/>
            <w:gridSpan w:val="3"/>
            <w:shd w:val="clear" w:color="000000" w:fill="5B9BD5"/>
            <w:noWrap/>
            <w:vAlign w:val="center"/>
            <w:hideMark/>
          </w:tcPr>
          <w:p w14:paraId="788BD44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4752" w:type="dxa"/>
            <w:gridSpan w:val="3"/>
            <w:shd w:val="clear" w:color="000000" w:fill="5B9BD5"/>
            <w:noWrap/>
            <w:vAlign w:val="center"/>
            <w:hideMark/>
          </w:tcPr>
          <w:p w14:paraId="275C7D3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COSTOS DE GASTOS VARIABLES</w:t>
            </w:r>
          </w:p>
        </w:tc>
      </w:tr>
      <w:tr w:rsidR="00B15F7D" w:rsidRPr="00990FB6" w14:paraId="7ACD8B74" w14:textId="77777777" w:rsidTr="000A0C22">
        <w:trPr>
          <w:trHeight w:val="300"/>
        </w:trPr>
        <w:tc>
          <w:tcPr>
            <w:tcW w:w="1277" w:type="dxa"/>
            <w:vMerge/>
            <w:vAlign w:val="center"/>
            <w:hideMark/>
          </w:tcPr>
          <w:p w14:paraId="2CE3CBCA" w14:textId="77777777" w:rsidR="00B15F7D" w:rsidRPr="00990FB6" w:rsidRDefault="00B15F7D" w:rsidP="00B15F7D">
            <w:pPr>
              <w:suppressAutoHyphens w:val="0"/>
              <w:rPr>
                <w:b/>
                <w:bCs/>
                <w:color w:val="FFFFFF"/>
                <w:sz w:val="22"/>
                <w:szCs w:val="22"/>
                <w:lang w:val="es-CR" w:eastAsia="es-CR"/>
              </w:rPr>
            </w:pPr>
          </w:p>
        </w:tc>
        <w:tc>
          <w:tcPr>
            <w:tcW w:w="2247" w:type="dxa"/>
            <w:vMerge/>
            <w:vAlign w:val="center"/>
            <w:hideMark/>
          </w:tcPr>
          <w:p w14:paraId="3A0DC68C" w14:textId="77777777" w:rsidR="00B15F7D" w:rsidRPr="00990FB6" w:rsidRDefault="00B15F7D" w:rsidP="00B15F7D">
            <w:pPr>
              <w:suppressAutoHyphens w:val="0"/>
              <w:rPr>
                <w:b/>
                <w:bCs/>
                <w:color w:val="FFFFFF"/>
                <w:sz w:val="22"/>
                <w:szCs w:val="22"/>
                <w:lang w:val="es-CR" w:eastAsia="es-CR"/>
              </w:rPr>
            </w:pPr>
          </w:p>
        </w:tc>
        <w:tc>
          <w:tcPr>
            <w:tcW w:w="0" w:type="auto"/>
            <w:shd w:val="clear" w:color="000000" w:fill="305496"/>
            <w:vAlign w:val="center"/>
            <w:hideMark/>
          </w:tcPr>
          <w:p w14:paraId="3D86AB3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4</w:t>
            </w:r>
          </w:p>
        </w:tc>
        <w:tc>
          <w:tcPr>
            <w:tcW w:w="0" w:type="auto"/>
            <w:shd w:val="clear" w:color="000000" w:fill="305496"/>
            <w:vAlign w:val="center"/>
            <w:hideMark/>
          </w:tcPr>
          <w:p w14:paraId="7264672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0" w:type="auto"/>
            <w:shd w:val="clear" w:color="000000" w:fill="305496"/>
            <w:vAlign w:val="center"/>
            <w:hideMark/>
          </w:tcPr>
          <w:p w14:paraId="10D71AA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0" w:type="auto"/>
            <w:shd w:val="clear" w:color="000000" w:fill="305496"/>
            <w:vAlign w:val="center"/>
            <w:hideMark/>
          </w:tcPr>
          <w:p w14:paraId="2725D1A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profesional</w:t>
            </w:r>
          </w:p>
        </w:tc>
        <w:tc>
          <w:tcPr>
            <w:tcW w:w="0" w:type="auto"/>
            <w:shd w:val="clear" w:color="000000" w:fill="305496"/>
            <w:vAlign w:val="center"/>
            <w:hideMark/>
          </w:tcPr>
          <w:p w14:paraId="70E7F55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c>
          <w:tcPr>
            <w:tcW w:w="1602" w:type="dxa"/>
            <w:shd w:val="clear" w:color="000000" w:fill="305496"/>
            <w:vAlign w:val="center"/>
            <w:hideMark/>
          </w:tcPr>
          <w:p w14:paraId="0DBBDB0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52D7F109" w14:textId="77777777" w:rsidTr="000A0C22">
        <w:trPr>
          <w:trHeight w:val="300"/>
        </w:trPr>
        <w:tc>
          <w:tcPr>
            <w:tcW w:w="1277" w:type="dxa"/>
            <w:vMerge w:val="restart"/>
            <w:shd w:val="clear" w:color="000000" w:fill="FFFFFF"/>
            <w:vAlign w:val="center"/>
            <w:hideMark/>
          </w:tcPr>
          <w:p w14:paraId="3A6BD60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247" w:type="dxa"/>
            <w:shd w:val="clear" w:color="auto" w:fill="auto"/>
            <w:vAlign w:val="center"/>
            <w:hideMark/>
          </w:tcPr>
          <w:p w14:paraId="55FEB22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0" w:type="auto"/>
            <w:shd w:val="clear" w:color="auto" w:fill="auto"/>
            <w:vAlign w:val="center"/>
            <w:hideMark/>
          </w:tcPr>
          <w:p w14:paraId="2705FD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auto" w:fill="auto"/>
            <w:vAlign w:val="center"/>
            <w:hideMark/>
          </w:tcPr>
          <w:p w14:paraId="2BDA13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6832A6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000000" w:fill="FFFFFF"/>
            <w:vAlign w:val="center"/>
            <w:hideMark/>
          </w:tcPr>
          <w:p w14:paraId="7A36BC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0" w:type="auto"/>
            <w:shd w:val="clear" w:color="000000" w:fill="FFFFFF"/>
            <w:vAlign w:val="center"/>
            <w:hideMark/>
          </w:tcPr>
          <w:p w14:paraId="20EE328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602" w:type="dxa"/>
            <w:shd w:val="clear" w:color="000000" w:fill="FFFFFF"/>
            <w:vAlign w:val="center"/>
            <w:hideMark/>
          </w:tcPr>
          <w:p w14:paraId="6D14D2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1F87D61B" w14:textId="77777777" w:rsidTr="000A0C22">
        <w:trPr>
          <w:trHeight w:val="300"/>
        </w:trPr>
        <w:tc>
          <w:tcPr>
            <w:tcW w:w="1277" w:type="dxa"/>
            <w:vMerge/>
            <w:vAlign w:val="center"/>
            <w:hideMark/>
          </w:tcPr>
          <w:p w14:paraId="4146D4CA"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555E202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0" w:type="auto"/>
            <w:shd w:val="clear" w:color="auto" w:fill="auto"/>
            <w:vAlign w:val="center"/>
            <w:hideMark/>
          </w:tcPr>
          <w:p w14:paraId="170438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auto" w:fill="auto"/>
            <w:vAlign w:val="center"/>
            <w:hideMark/>
          </w:tcPr>
          <w:p w14:paraId="17FF541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394A9B6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000000" w:fill="FFFFFF"/>
            <w:vAlign w:val="center"/>
            <w:hideMark/>
          </w:tcPr>
          <w:p w14:paraId="7E3881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0" w:type="auto"/>
            <w:shd w:val="clear" w:color="000000" w:fill="FFFFFF"/>
            <w:vAlign w:val="center"/>
            <w:hideMark/>
          </w:tcPr>
          <w:p w14:paraId="58BDB5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602" w:type="dxa"/>
            <w:shd w:val="clear" w:color="000000" w:fill="FFFFFF"/>
            <w:vAlign w:val="center"/>
            <w:hideMark/>
          </w:tcPr>
          <w:p w14:paraId="00ED02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14924AC4" w14:textId="77777777" w:rsidTr="000A0C22">
        <w:trPr>
          <w:trHeight w:val="300"/>
        </w:trPr>
        <w:tc>
          <w:tcPr>
            <w:tcW w:w="1277" w:type="dxa"/>
            <w:vMerge/>
            <w:vAlign w:val="center"/>
            <w:hideMark/>
          </w:tcPr>
          <w:p w14:paraId="392D9F74"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264AFBB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0" w:type="auto"/>
            <w:shd w:val="clear" w:color="auto" w:fill="auto"/>
            <w:vAlign w:val="center"/>
            <w:hideMark/>
          </w:tcPr>
          <w:p w14:paraId="25A7AA7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auto" w:fill="auto"/>
            <w:vAlign w:val="center"/>
            <w:hideMark/>
          </w:tcPr>
          <w:p w14:paraId="2C42A0C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131E78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000000" w:fill="FFFFFF"/>
            <w:vAlign w:val="center"/>
            <w:hideMark/>
          </w:tcPr>
          <w:p w14:paraId="130AB5F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0" w:type="auto"/>
            <w:shd w:val="clear" w:color="000000" w:fill="FFFFFF"/>
            <w:vAlign w:val="center"/>
            <w:hideMark/>
          </w:tcPr>
          <w:p w14:paraId="1CF38D4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602" w:type="dxa"/>
            <w:shd w:val="clear" w:color="000000" w:fill="FFFFFF"/>
            <w:vAlign w:val="center"/>
            <w:hideMark/>
          </w:tcPr>
          <w:p w14:paraId="467F169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2B22542A" w14:textId="77777777" w:rsidTr="000A0C22">
        <w:trPr>
          <w:trHeight w:val="300"/>
        </w:trPr>
        <w:tc>
          <w:tcPr>
            <w:tcW w:w="1277" w:type="dxa"/>
            <w:vMerge/>
            <w:vAlign w:val="center"/>
            <w:hideMark/>
          </w:tcPr>
          <w:p w14:paraId="4B4B059D"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18232BA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0" w:type="auto"/>
            <w:shd w:val="clear" w:color="auto" w:fill="auto"/>
            <w:vAlign w:val="center"/>
            <w:hideMark/>
          </w:tcPr>
          <w:p w14:paraId="184E9A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auto" w:fill="auto"/>
            <w:vAlign w:val="center"/>
            <w:hideMark/>
          </w:tcPr>
          <w:p w14:paraId="1A94C0D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57B634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000000" w:fill="FFFFFF"/>
            <w:vAlign w:val="center"/>
            <w:hideMark/>
          </w:tcPr>
          <w:p w14:paraId="03FB52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0" w:type="auto"/>
            <w:shd w:val="clear" w:color="000000" w:fill="FFFFFF"/>
            <w:vAlign w:val="center"/>
            <w:hideMark/>
          </w:tcPr>
          <w:p w14:paraId="5BA9F0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602" w:type="dxa"/>
            <w:shd w:val="clear" w:color="000000" w:fill="FFFFFF"/>
            <w:vAlign w:val="center"/>
            <w:hideMark/>
          </w:tcPr>
          <w:p w14:paraId="216E9A4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562892AB" w14:textId="77777777" w:rsidTr="000A0C22">
        <w:trPr>
          <w:trHeight w:val="300"/>
        </w:trPr>
        <w:tc>
          <w:tcPr>
            <w:tcW w:w="1277" w:type="dxa"/>
            <w:vMerge/>
            <w:vAlign w:val="center"/>
            <w:hideMark/>
          </w:tcPr>
          <w:p w14:paraId="5F03A114"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2947639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0" w:type="auto"/>
            <w:shd w:val="clear" w:color="auto" w:fill="auto"/>
            <w:vAlign w:val="center"/>
            <w:hideMark/>
          </w:tcPr>
          <w:p w14:paraId="32C4843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auto" w:fill="auto"/>
            <w:vAlign w:val="center"/>
            <w:hideMark/>
          </w:tcPr>
          <w:p w14:paraId="38108B6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6DC066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000000" w:fill="FFFFFF"/>
            <w:vAlign w:val="center"/>
            <w:hideMark/>
          </w:tcPr>
          <w:p w14:paraId="092DE6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0" w:type="auto"/>
            <w:shd w:val="clear" w:color="000000" w:fill="FFFFFF"/>
            <w:vAlign w:val="center"/>
            <w:hideMark/>
          </w:tcPr>
          <w:p w14:paraId="40E38B3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602" w:type="dxa"/>
            <w:shd w:val="clear" w:color="000000" w:fill="FFFFFF"/>
            <w:vAlign w:val="center"/>
            <w:hideMark/>
          </w:tcPr>
          <w:p w14:paraId="74615C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24C9E9FA" w14:textId="77777777" w:rsidTr="000A0C22">
        <w:trPr>
          <w:trHeight w:val="300"/>
        </w:trPr>
        <w:tc>
          <w:tcPr>
            <w:tcW w:w="1277" w:type="dxa"/>
            <w:vMerge/>
            <w:vAlign w:val="center"/>
            <w:hideMark/>
          </w:tcPr>
          <w:p w14:paraId="6D8F974A"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38ABE4AC"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0" w:type="auto"/>
            <w:shd w:val="clear" w:color="auto" w:fill="auto"/>
            <w:vAlign w:val="center"/>
            <w:hideMark/>
          </w:tcPr>
          <w:p w14:paraId="35707ED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0" w:type="auto"/>
            <w:shd w:val="clear" w:color="auto" w:fill="auto"/>
            <w:vAlign w:val="center"/>
            <w:hideMark/>
          </w:tcPr>
          <w:p w14:paraId="37BDD3B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087011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0" w:type="auto"/>
            <w:shd w:val="clear" w:color="000000" w:fill="FFFFFF"/>
            <w:vAlign w:val="center"/>
            <w:hideMark/>
          </w:tcPr>
          <w:p w14:paraId="4E6535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c>
          <w:tcPr>
            <w:tcW w:w="0" w:type="auto"/>
            <w:shd w:val="clear" w:color="000000" w:fill="FFFFFF"/>
            <w:vAlign w:val="center"/>
            <w:hideMark/>
          </w:tcPr>
          <w:p w14:paraId="1BC6731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602" w:type="dxa"/>
            <w:shd w:val="clear" w:color="000000" w:fill="FFFFFF"/>
            <w:vAlign w:val="center"/>
            <w:hideMark/>
          </w:tcPr>
          <w:p w14:paraId="273B30B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6 775 886,00 </w:t>
            </w:r>
          </w:p>
        </w:tc>
      </w:tr>
      <w:tr w:rsidR="00B15F7D" w:rsidRPr="00990FB6" w14:paraId="43D862E8" w14:textId="77777777" w:rsidTr="000A0C22">
        <w:trPr>
          <w:trHeight w:val="300"/>
        </w:trPr>
        <w:tc>
          <w:tcPr>
            <w:tcW w:w="1277" w:type="dxa"/>
            <w:vMerge/>
            <w:vAlign w:val="center"/>
            <w:hideMark/>
          </w:tcPr>
          <w:p w14:paraId="7121E672"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3C92A05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Limón</w:t>
            </w:r>
          </w:p>
        </w:tc>
        <w:tc>
          <w:tcPr>
            <w:tcW w:w="0" w:type="auto"/>
            <w:shd w:val="clear" w:color="auto" w:fill="auto"/>
            <w:vAlign w:val="center"/>
            <w:hideMark/>
          </w:tcPr>
          <w:p w14:paraId="601D3BD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5C8D56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0" w:type="auto"/>
            <w:shd w:val="clear" w:color="auto" w:fill="auto"/>
            <w:vAlign w:val="center"/>
            <w:hideMark/>
          </w:tcPr>
          <w:p w14:paraId="35407E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000000" w:fill="FFFFFF"/>
            <w:vAlign w:val="center"/>
            <w:hideMark/>
          </w:tcPr>
          <w:p w14:paraId="0647C0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0" w:type="auto"/>
            <w:shd w:val="clear" w:color="000000" w:fill="FFFFFF"/>
            <w:vAlign w:val="center"/>
            <w:hideMark/>
          </w:tcPr>
          <w:p w14:paraId="09B6CD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602" w:type="dxa"/>
            <w:shd w:val="clear" w:color="000000" w:fill="FFFFFF"/>
            <w:vAlign w:val="center"/>
            <w:hideMark/>
          </w:tcPr>
          <w:p w14:paraId="45009E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0BE867C6" w14:textId="77777777" w:rsidTr="000A0C22">
        <w:trPr>
          <w:trHeight w:val="300"/>
        </w:trPr>
        <w:tc>
          <w:tcPr>
            <w:tcW w:w="1277" w:type="dxa"/>
            <w:vMerge/>
            <w:vAlign w:val="center"/>
            <w:hideMark/>
          </w:tcPr>
          <w:p w14:paraId="5F57289C"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2DBDC9B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Alajuela</w:t>
            </w:r>
          </w:p>
        </w:tc>
        <w:tc>
          <w:tcPr>
            <w:tcW w:w="0" w:type="auto"/>
            <w:shd w:val="clear" w:color="auto" w:fill="auto"/>
            <w:vAlign w:val="center"/>
            <w:hideMark/>
          </w:tcPr>
          <w:p w14:paraId="64EFE0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0" w:type="auto"/>
            <w:shd w:val="clear" w:color="auto" w:fill="auto"/>
            <w:vAlign w:val="center"/>
            <w:hideMark/>
          </w:tcPr>
          <w:p w14:paraId="6191B23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2D6F73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000000" w:fill="FFFFFF"/>
            <w:vAlign w:val="center"/>
            <w:hideMark/>
          </w:tcPr>
          <w:p w14:paraId="27B3941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c>
          <w:tcPr>
            <w:tcW w:w="0" w:type="auto"/>
            <w:shd w:val="clear" w:color="000000" w:fill="FFFFFF"/>
            <w:vAlign w:val="center"/>
            <w:hideMark/>
          </w:tcPr>
          <w:p w14:paraId="2F4453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602" w:type="dxa"/>
            <w:shd w:val="clear" w:color="000000" w:fill="FFFFFF"/>
            <w:vAlign w:val="center"/>
            <w:hideMark/>
          </w:tcPr>
          <w:p w14:paraId="6B3C85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r>
      <w:tr w:rsidR="00B15F7D" w:rsidRPr="00990FB6" w14:paraId="46A8380D" w14:textId="77777777" w:rsidTr="000A0C22">
        <w:trPr>
          <w:trHeight w:val="300"/>
        </w:trPr>
        <w:tc>
          <w:tcPr>
            <w:tcW w:w="1277" w:type="dxa"/>
            <w:vMerge/>
            <w:vAlign w:val="center"/>
            <w:hideMark/>
          </w:tcPr>
          <w:p w14:paraId="6DE1CD66"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0A91C44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Liberia</w:t>
            </w:r>
          </w:p>
        </w:tc>
        <w:tc>
          <w:tcPr>
            <w:tcW w:w="0" w:type="auto"/>
            <w:shd w:val="clear" w:color="auto" w:fill="auto"/>
            <w:vAlign w:val="center"/>
            <w:hideMark/>
          </w:tcPr>
          <w:p w14:paraId="1523CC4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0" w:type="auto"/>
            <w:shd w:val="clear" w:color="auto" w:fill="auto"/>
            <w:vAlign w:val="center"/>
            <w:hideMark/>
          </w:tcPr>
          <w:p w14:paraId="1961B77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54C8E0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000000" w:fill="FFFFFF"/>
            <w:vAlign w:val="center"/>
            <w:hideMark/>
          </w:tcPr>
          <w:p w14:paraId="394BCB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0" w:type="auto"/>
            <w:shd w:val="clear" w:color="000000" w:fill="FFFFFF"/>
            <w:vAlign w:val="center"/>
            <w:hideMark/>
          </w:tcPr>
          <w:p w14:paraId="2BDC015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602" w:type="dxa"/>
            <w:shd w:val="clear" w:color="000000" w:fill="FFFFFF"/>
            <w:vAlign w:val="center"/>
            <w:hideMark/>
          </w:tcPr>
          <w:p w14:paraId="322B6A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5B07D897" w14:textId="77777777" w:rsidTr="000A0C22">
        <w:trPr>
          <w:trHeight w:val="300"/>
        </w:trPr>
        <w:tc>
          <w:tcPr>
            <w:tcW w:w="1277" w:type="dxa"/>
            <w:vMerge/>
            <w:vAlign w:val="center"/>
            <w:hideMark/>
          </w:tcPr>
          <w:p w14:paraId="3E7B3652" w14:textId="77777777" w:rsidR="00B15F7D" w:rsidRPr="00990FB6" w:rsidRDefault="00B15F7D" w:rsidP="00B15F7D">
            <w:pPr>
              <w:suppressAutoHyphens w:val="0"/>
              <w:rPr>
                <w:b/>
                <w:bCs/>
                <w:color w:val="000000"/>
                <w:sz w:val="22"/>
                <w:szCs w:val="22"/>
                <w:lang w:val="es-CR" w:eastAsia="es-CR"/>
              </w:rPr>
            </w:pPr>
          </w:p>
        </w:tc>
        <w:tc>
          <w:tcPr>
            <w:tcW w:w="2247" w:type="dxa"/>
            <w:shd w:val="clear" w:color="auto" w:fill="auto"/>
            <w:vAlign w:val="center"/>
            <w:hideMark/>
          </w:tcPr>
          <w:p w14:paraId="17DFBB5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Nicoya</w:t>
            </w:r>
          </w:p>
        </w:tc>
        <w:tc>
          <w:tcPr>
            <w:tcW w:w="0" w:type="auto"/>
            <w:shd w:val="clear" w:color="auto" w:fill="auto"/>
            <w:vAlign w:val="center"/>
            <w:hideMark/>
          </w:tcPr>
          <w:p w14:paraId="7D229A0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337BB2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0" w:type="auto"/>
            <w:shd w:val="clear" w:color="auto" w:fill="auto"/>
            <w:vAlign w:val="center"/>
            <w:hideMark/>
          </w:tcPr>
          <w:p w14:paraId="2B7A7A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0" w:type="auto"/>
            <w:shd w:val="clear" w:color="000000" w:fill="FFFFFF"/>
            <w:vAlign w:val="center"/>
            <w:hideMark/>
          </w:tcPr>
          <w:p w14:paraId="14C55F0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0" w:type="auto"/>
            <w:shd w:val="clear" w:color="000000" w:fill="FFFFFF"/>
            <w:vAlign w:val="center"/>
            <w:hideMark/>
          </w:tcPr>
          <w:p w14:paraId="72DAE8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1602" w:type="dxa"/>
            <w:shd w:val="clear" w:color="000000" w:fill="FFFFFF"/>
            <w:vAlign w:val="center"/>
            <w:hideMark/>
          </w:tcPr>
          <w:p w14:paraId="5322043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4816B908" w14:textId="77777777" w:rsidTr="000A0C22">
        <w:trPr>
          <w:trHeight w:val="300"/>
        </w:trPr>
        <w:tc>
          <w:tcPr>
            <w:tcW w:w="1277" w:type="dxa"/>
            <w:vMerge/>
            <w:vAlign w:val="center"/>
            <w:hideMark/>
          </w:tcPr>
          <w:p w14:paraId="570CFE4F" w14:textId="77777777" w:rsidR="00B15F7D" w:rsidRPr="00990FB6" w:rsidRDefault="00B15F7D" w:rsidP="00B15F7D">
            <w:pPr>
              <w:suppressAutoHyphens w:val="0"/>
              <w:rPr>
                <w:b/>
                <w:bCs/>
                <w:color w:val="000000"/>
                <w:sz w:val="22"/>
                <w:szCs w:val="22"/>
                <w:lang w:val="es-CR" w:eastAsia="es-CR"/>
              </w:rPr>
            </w:pPr>
          </w:p>
        </w:tc>
        <w:tc>
          <w:tcPr>
            <w:tcW w:w="2247" w:type="dxa"/>
            <w:shd w:val="clear" w:color="000000" w:fill="DEEAF6"/>
            <w:vAlign w:val="center"/>
            <w:hideMark/>
          </w:tcPr>
          <w:p w14:paraId="2884F44B"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0" w:type="auto"/>
            <w:shd w:val="clear" w:color="000000" w:fill="DEEAF6"/>
            <w:vAlign w:val="center"/>
            <w:hideMark/>
          </w:tcPr>
          <w:p w14:paraId="0F9CA1B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17</w:t>
            </w:r>
          </w:p>
        </w:tc>
        <w:tc>
          <w:tcPr>
            <w:tcW w:w="0" w:type="auto"/>
            <w:shd w:val="clear" w:color="000000" w:fill="DEEAF6"/>
            <w:vAlign w:val="center"/>
            <w:hideMark/>
          </w:tcPr>
          <w:p w14:paraId="06F3988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w:t>
            </w:r>
          </w:p>
        </w:tc>
        <w:tc>
          <w:tcPr>
            <w:tcW w:w="0" w:type="auto"/>
            <w:shd w:val="clear" w:color="000000" w:fill="DEEAF6"/>
            <w:vAlign w:val="center"/>
            <w:hideMark/>
          </w:tcPr>
          <w:p w14:paraId="4A2E763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13</w:t>
            </w:r>
          </w:p>
        </w:tc>
        <w:tc>
          <w:tcPr>
            <w:tcW w:w="0" w:type="auto"/>
            <w:shd w:val="clear" w:color="000000" w:fill="DEEAF6"/>
            <w:vAlign w:val="center"/>
            <w:hideMark/>
          </w:tcPr>
          <w:p w14:paraId="7379DE4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27 948 276,00 </w:t>
            </w:r>
          </w:p>
        </w:tc>
        <w:tc>
          <w:tcPr>
            <w:tcW w:w="0" w:type="auto"/>
            <w:shd w:val="clear" w:color="000000" w:fill="DEEAF6"/>
            <w:vAlign w:val="center"/>
            <w:hideMark/>
          </w:tcPr>
          <w:p w14:paraId="2551B39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13 765 960,00 </w:t>
            </w:r>
          </w:p>
        </w:tc>
        <w:tc>
          <w:tcPr>
            <w:tcW w:w="1602" w:type="dxa"/>
            <w:shd w:val="clear" w:color="000000" w:fill="DEEAF6"/>
            <w:vAlign w:val="center"/>
            <w:hideMark/>
          </w:tcPr>
          <w:p w14:paraId="4A62B717"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41 714 236,00 </w:t>
            </w:r>
          </w:p>
        </w:tc>
      </w:tr>
    </w:tbl>
    <w:p w14:paraId="2AC55348" w14:textId="77777777" w:rsidR="00B15F7D" w:rsidRPr="00990FB6" w:rsidRDefault="00B15F7D" w:rsidP="00B15F7D">
      <w:pPr>
        <w:suppressAutoHyphens w:val="0"/>
        <w:ind w:left="720"/>
        <w:contextualSpacing/>
        <w:jc w:val="both"/>
        <w:rPr>
          <w:rFonts w:eastAsia="Calibri"/>
          <w:sz w:val="22"/>
          <w:szCs w:val="22"/>
          <w:lang w:val="es-CR" w:eastAsia="en-US"/>
        </w:rPr>
      </w:pPr>
    </w:p>
    <w:p w14:paraId="6F18AFCB"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Tribunales Penales se estima en ¢1 231 744 000,00 y los costos variables asociados en ¢41 714 236,00.</w:t>
      </w:r>
    </w:p>
    <w:p w14:paraId="211CF94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F930BDA" w14:textId="77777777" w:rsidR="00B15F7D" w:rsidRPr="00990FB6" w:rsidRDefault="00B15F7D" w:rsidP="00B15F7D">
      <w:pPr>
        <w:numPr>
          <w:ilvl w:val="1"/>
          <w:numId w:val="134"/>
        </w:numPr>
        <w:suppressAutoHyphens w:val="0"/>
        <w:ind w:left="851" w:right="851" w:firstLine="709"/>
        <w:contextualSpacing/>
        <w:jc w:val="both"/>
        <w:rPr>
          <w:rFonts w:eastAsia="Calibri"/>
          <w:sz w:val="22"/>
          <w:szCs w:val="22"/>
          <w:u w:val="single"/>
          <w:lang w:val="es-CR" w:eastAsia="en-US"/>
        </w:rPr>
      </w:pPr>
      <w:r w:rsidRPr="00990FB6">
        <w:rPr>
          <w:rFonts w:eastAsia="Calibri"/>
          <w:sz w:val="22"/>
          <w:szCs w:val="22"/>
          <w:u w:val="single"/>
          <w:lang w:val="es-CR" w:eastAsia="en-US"/>
        </w:rPr>
        <w:t>Juzgados de Ejecución de la Pena</w:t>
      </w:r>
    </w:p>
    <w:p w14:paraId="773A90D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1CD3A8FB" w14:textId="77777777" w:rsidR="00B15F7D" w:rsidRPr="00990FB6" w:rsidRDefault="00B15F7D" w:rsidP="00B15F7D">
      <w:pPr>
        <w:numPr>
          <w:ilvl w:val="0"/>
          <w:numId w:val="132"/>
        </w:numPr>
        <w:suppressAutoHyphens w:val="0"/>
        <w:ind w:right="851" w:firstLine="709"/>
        <w:contextualSpacing/>
        <w:jc w:val="both"/>
        <w:rPr>
          <w:rFonts w:eastAsia="Calibri"/>
          <w:sz w:val="22"/>
          <w:szCs w:val="22"/>
          <w:u w:val="single"/>
          <w:lang w:val="es-CR" w:eastAsia="en-US"/>
        </w:rPr>
      </w:pPr>
      <w:r w:rsidRPr="00990FB6">
        <w:rPr>
          <w:rFonts w:eastAsia="Calibri"/>
          <w:sz w:val="22"/>
          <w:szCs w:val="22"/>
          <w:lang w:val="es-CR" w:eastAsia="en-US"/>
        </w:rPr>
        <w:t>Seguidamente se detallan las plazas nuevas de forma ordinaria que se recomienda crear para los Juzgados de Ejecución de la Pena:</w:t>
      </w:r>
    </w:p>
    <w:p w14:paraId="7F06580E" w14:textId="77777777" w:rsidR="00B15F7D" w:rsidRPr="00990FB6" w:rsidRDefault="00B15F7D" w:rsidP="00B15F7D">
      <w:pPr>
        <w:suppressAutoHyphens w:val="0"/>
        <w:ind w:left="720"/>
        <w:contextualSpacing/>
        <w:jc w:val="both"/>
        <w:rPr>
          <w:rFonts w:eastAsia="Calibri"/>
          <w:sz w:val="22"/>
          <w:szCs w:val="22"/>
          <w:u w:val="single"/>
          <w:lang w:val="es-CR" w:eastAsia="en-US"/>
        </w:rPr>
      </w:pPr>
    </w:p>
    <w:tbl>
      <w:tblPr>
        <w:tblW w:w="6020" w:type="pct"/>
        <w:jc w:val="center"/>
        <w:tblLayout w:type="fixed"/>
        <w:tblCellMar>
          <w:left w:w="70" w:type="dxa"/>
          <w:right w:w="70" w:type="dxa"/>
        </w:tblCellMar>
        <w:tblLook w:val="04A0" w:firstRow="1" w:lastRow="0" w:firstColumn="1" w:lastColumn="0" w:noHBand="0" w:noVBand="1"/>
      </w:tblPr>
      <w:tblGrid>
        <w:gridCol w:w="1495"/>
        <w:gridCol w:w="1767"/>
        <w:gridCol w:w="954"/>
        <w:gridCol w:w="814"/>
        <w:gridCol w:w="817"/>
        <w:gridCol w:w="1088"/>
        <w:gridCol w:w="1222"/>
        <w:gridCol w:w="1226"/>
        <w:gridCol w:w="1222"/>
      </w:tblGrid>
      <w:tr w:rsidR="00B15F7D" w:rsidRPr="00990FB6" w14:paraId="0E9CAE9E" w14:textId="77777777" w:rsidTr="000A0C22">
        <w:trPr>
          <w:trHeight w:val="312"/>
          <w:jc w:val="center"/>
        </w:trPr>
        <w:tc>
          <w:tcPr>
            <w:tcW w:w="705" w:type="pct"/>
            <w:vMerge w:val="restart"/>
            <w:tcBorders>
              <w:top w:val="single" w:sz="12" w:space="0" w:color="E7E6E6"/>
              <w:left w:val="single" w:sz="12" w:space="0" w:color="E7E6E6"/>
              <w:right w:val="single" w:sz="12" w:space="0" w:color="E7E6E6"/>
            </w:tcBorders>
            <w:shd w:val="clear" w:color="000000" w:fill="305496"/>
            <w:vAlign w:val="center"/>
          </w:tcPr>
          <w:p w14:paraId="316D1E1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833" w:type="pct"/>
            <w:vMerge w:val="restart"/>
            <w:tcBorders>
              <w:top w:val="single" w:sz="12" w:space="0" w:color="E7E6E6"/>
              <w:left w:val="single" w:sz="12" w:space="0" w:color="E7E6E6"/>
              <w:bottom w:val="single" w:sz="12" w:space="0" w:color="E7E6E6"/>
              <w:right w:val="single" w:sz="12" w:space="0" w:color="E7E6E6"/>
            </w:tcBorders>
            <w:shd w:val="clear" w:color="000000" w:fill="305496"/>
            <w:vAlign w:val="center"/>
            <w:hideMark/>
          </w:tcPr>
          <w:p w14:paraId="42289F9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219" w:type="pct"/>
            <w:gridSpan w:val="3"/>
            <w:tcBorders>
              <w:top w:val="single" w:sz="12" w:space="0" w:color="E7E6E6"/>
              <w:left w:val="nil"/>
              <w:bottom w:val="single" w:sz="12" w:space="0" w:color="E7E6E6"/>
              <w:right w:val="single" w:sz="12" w:space="0" w:color="E7E6E6"/>
            </w:tcBorders>
            <w:shd w:val="clear" w:color="000000" w:fill="5B9BD5"/>
            <w:noWrap/>
            <w:vAlign w:val="bottom"/>
            <w:hideMark/>
          </w:tcPr>
          <w:p w14:paraId="2B7F3D0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 HUMANO</w:t>
            </w:r>
          </w:p>
        </w:tc>
        <w:tc>
          <w:tcPr>
            <w:tcW w:w="2243" w:type="pct"/>
            <w:gridSpan w:val="4"/>
            <w:tcBorders>
              <w:top w:val="single" w:sz="12" w:space="0" w:color="E7E6E6"/>
              <w:left w:val="nil"/>
              <w:bottom w:val="single" w:sz="12" w:space="0" w:color="E7E6E6"/>
              <w:right w:val="single" w:sz="12" w:space="0" w:color="E7E6E6"/>
            </w:tcBorders>
            <w:shd w:val="clear" w:color="000000" w:fill="5B9BD5"/>
            <w:noWrap/>
            <w:vAlign w:val="bottom"/>
            <w:hideMark/>
          </w:tcPr>
          <w:p w14:paraId="4B54C88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PRESPUESTARIO </w:t>
            </w:r>
          </w:p>
        </w:tc>
      </w:tr>
      <w:tr w:rsidR="00B15F7D" w:rsidRPr="00990FB6" w14:paraId="75553473" w14:textId="77777777" w:rsidTr="000A0C22">
        <w:trPr>
          <w:trHeight w:val="744"/>
          <w:jc w:val="center"/>
        </w:trPr>
        <w:tc>
          <w:tcPr>
            <w:tcW w:w="705" w:type="pct"/>
            <w:vMerge/>
            <w:tcBorders>
              <w:left w:val="single" w:sz="12" w:space="0" w:color="E7E6E6"/>
              <w:bottom w:val="single" w:sz="12" w:space="0" w:color="E7E6E6"/>
              <w:right w:val="single" w:sz="12" w:space="0" w:color="E7E6E6"/>
            </w:tcBorders>
            <w:vAlign w:val="center"/>
          </w:tcPr>
          <w:p w14:paraId="2BE3AE41" w14:textId="77777777" w:rsidR="00B15F7D" w:rsidRPr="00990FB6" w:rsidRDefault="00B15F7D" w:rsidP="00B15F7D">
            <w:pPr>
              <w:suppressAutoHyphens w:val="0"/>
              <w:rPr>
                <w:b/>
                <w:bCs/>
                <w:color w:val="FFFFFF"/>
                <w:sz w:val="22"/>
                <w:szCs w:val="22"/>
                <w:lang w:val="es-CR" w:eastAsia="es-CR"/>
              </w:rPr>
            </w:pPr>
          </w:p>
        </w:tc>
        <w:tc>
          <w:tcPr>
            <w:tcW w:w="833" w:type="pct"/>
            <w:vMerge/>
            <w:tcBorders>
              <w:top w:val="single" w:sz="12" w:space="0" w:color="E7E6E6"/>
              <w:left w:val="single" w:sz="12" w:space="0" w:color="E7E6E6"/>
              <w:bottom w:val="single" w:sz="12" w:space="0" w:color="E7E6E6"/>
              <w:right w:val="single" w:sz="12" w:space="0" w:color="E7E6E6"/>
            </w:tcBorders>
            <w:vAlign w:val="center"/>
            <w:hideMark/>
          </w:tcPr>
          <w:p w14:paraId="58A0B8B2" w14:textId="77777777" w:rsidR="00B15F7D" w:rsidRPr="00990FB6" w:rsidRDefault="00B15F7D" w:rsidP="00B15F7D">
            <w:pPr>
              <w:suppressAutoHyphens w:val="0"/>
              <w:rPr>
                <w:b/>
                <w:bCs/>
                <w:color w:val="FFFFFF"/>
                <w:sz w:val="22"/>
                <w:szCs w:val="22"/>
                <w:lang w:val="es-CR" w:eastAsia="es-CR"/>
              </w:rPr>
            </w:pPr>
          </w:p>
        </w:tc>
        <w:tc>
          <w:tcPr>
            <w:tcW w:w="450" w:type="pct"/>
            <w:tcBorders>
              <w:top w:val="nil"/>
              <w:left w:val="nil"/>
              <w:bottom w:val="single" w:sz="12" w:space="0" w:color="E7E6E6"/>
              <w:right w:val="single" w:sz="12" w:space="0" w:color="E7E6E6"/>
            </w:tcBorders>
            <w:shd w:val="clear" w:color="000000" w:fill="305496"/>
            <w:vAlign w:val="center"/>
            <w:hideMark/>
          </w:tcPr>
          <w:p w14:paraId="28DA70A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Coordinador (a) Judicial 2</w:t>
            </w:r>
          </w:p>
        </w:tc>
        <w:tc>
          <w:tcPr>
            <w:tcW w:w="384" w:type="pct"/>
            <w:tcBorders>
              <w:top w:val="nil"/>
              <w:left w:val="nil"/>
              <w:bottom w:val="single" w:sz="12" w:space="0" w:color="E7E6E6"/>
              <w:right w:val="single" w:sz="12" w:space="0" w:color="E7E6E6"/>
            </w:tcBorders>
            <w:shd w:val="clear" w:color="000000" w:fill="305496"/>
            <w:vAlign w:val="center"/>
            <w:hideMark/>
          </w:tcPr>
          <w:p w14:paraId="5F1FED3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385" w:type="pct"/>
            <w:tcBorders>
              <w:top w:val="nil"/>
              <w:left w:val="nil"/>
              <w:bottom w:val="single" w:sz="12" w:space="0" w:color="E7E6E6"/>
              <w:right w:val="single" w:sz="12" w:space="0" w:color="E7E6E6"/>
            </w:tcBorders>
            <w:shd w:val="clear" w:color="000000" w:fill="305496"/>
            <w:vAlign w:val="center"/>
            <w:hideMark/>
          </w:tcPr>
          <w:p w14:paraId="66DD16B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Fiscales</w:t>
            </w:r>
          </w:p>
        </w:tc>
        <w:tc>
          <w:tcPr>
            <w:tcW w:w="513" w:type="pct"/>
            <w:tcBorders>
              <w:top w:val="nil"/>
              <w:left w:val="nil"/>
              <w:bottom w:val="single" w:sz="12" w:space="0" w:color="E7E6E6"/>
              <w:right w:val="single" w:sz="12" w:space="0" w:color="E7E6E6"/>
            </w:tcBorders>
            <w:shd w:val="clear" w:color="000000" w:fill="305496"/>
            <w:vAlign w:val="center"/>
            <w:hideMark/>
          </w:tcPr>
          <w:p w14:paraId="4ABCAD3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plaza Coordinador judicial 2 </w:t>
            </w:r>
          </w:p>
        </w:tc>
        <w:tc>
          <w:tcPr>
            <w:tcW w:w="576" w:type="pct"/>
            <w:tcBorders>
              <w:top w:val="nil"/>
              <w:left w:val="nil"/>
              <w:bottom w:val="single" w:sz="12" w:space="0" w:color="E7E6E6"/>
              <w:right w:val="single" w:sz="12" w:space="0" w:color="E7E6E6"/>
            </w:tcBorders>
            <w:shd w:val="clear" w:color="000000" w:fill="305496"/>
            <w:vAlign w:val="center"/>
            <w:hideMark/>
          </w:tcPr>
          <w:p w14:paraId="434CF45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plaza técnico judicial 2 </w:t>
            </w:r>
          </w:p>
        </w:tc>
        <w:tc>
          <w:tcPr>
            <w:tcW w:w="578" w:type="pct"/>
            <w:tcBorders>
              <w:top w:val="nil"/>
              <w:left w:val="nil"/>
              <w:bottom w:val="single" w:sz="12" w:space="0" w:color="E7E6E6"/>
              <w:right w:val="single" w:sz="12" w:space="0" w:color="E7E6E6"/>
            </w:tcBorders>
            <w:shd w:val="clear" w:color="000000" w:fill="305496"/>
            <w:vAlign w:val="center"/>
            <w:hideMark/>
          </w:tcPr>
          <w:p w14:paraId="7A456DC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plaza Fiscal (a) Auxiliar </w:t>
            </w:r>
          </w:p>
        </w:tc>
        <w:tc>
          <w:tcPr>
            <w:tcW w:w="577" w:type="pct"/>
            <w:tcBorders>
              <w:top w:val="nil"/>
              <w:left w:val="nil"/>
              <w:bottom w:val="single" w:sz="12" w:space="0" w:color="E7E6E6"/>
              <w:right w:val="single" w:sz="12" w:space="0" w:color="E7E6E6"/>
            </w:tcBorders>
            <w:shd w:val="clear" w:color="000000" w:fill="305496"/>
            <w:vAlign w:val="center"/>
            <w:hideMark/>
          </w:tcPr>
          <w:p w14:paraId="5491B83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Costo Total </w:t>
            </w:r>
          </w:p>
        </w:tc>
      </w:tr>
      <w:tr w:rsidR="00B15F7D" w:rsidRPr="00990FB6" w14:paraId="13424332" w14:textId="77777777" w:rsidTr="000A0C22">
        <w:trPr>
          <w:trHeight w:val="312"/>
          <w:jc w:val="center"/>
        </w:trPr>
        <w:tc>
          <w:tcPr>
            <w:tcW w:w="705" w:type="pct"/>
            <w:tcBorders>
              <w:top w:val="nil"/>
              <w:left w:val="single" w:sz="12" w:space="0" w:color="E7E6E6"/>
              <w:bottom w:val="single" w:sz="12" w:space="0" w:color="E7E6E6"/>
              <w:right w:val="single" w:sz="12" w:space="0" w:color="E7E6E6"/>
            </w:tcBorders>
            <w:vAlign w:val="center"/>
          </w:tcPr>
          <w:p w14:paraId="60CA267F" w14:textId="77777777" w:rsidR="00B15F7D" w:rsidRPr="00990FB6" w:rsidRDefault="00B15F7D" w:rsidP="00B15F7D">
            <w:pPr>
              <w:suppressAutoHyphens w:val="0"/>
              <w:rPr>
                <w:color w:val="000000"/>
                <w:sz w:val="22"/>
                <w:szCs w:val="22"/>
                <w:lang w:val="es-CR" w:eastAsia="es-CR"/>
              </w:rPr>
            </w:pPr>
            <w:r w:rsidRPr="00990FB6">
              <w:rPr>
                <w:b/>
                <w:bCs/>
                <w:color w:val="000000"/>
                <w:sz w:val="22"/>
                <w:szCs w:val="22"/>
                <w:lang w:val="es-CR" w:eastAsia="es-CR"/>
              </w:rPr>
              <w:t>930- Ministerio Público</w:t>
            </w:r>
          </w:p>
        </w:tc>
        <w:tc>
          <w:tcPr>
            <w:tcW w:w="833" w:type="pct"/>
            <w:tcBorders>
              <w:top w:val="nil"/>
              <w:left w:val="single" w:sz="12" w:space="0" w:color="E7E6E6"/>
              <w:bottom w:val="single" w:sz="12" w:space="0" w:color="E7E6E6"/>
              <w:right w:val="single" w:sz="12" w:space="0" w:color="E7E6E6"/>
            </w:tcBorders>
            <w:shd w:val="clear" w:color="auto" w:fill="auto"/>
            <w:noWrap/>
            <w:vAlign w:val="center"/>
            <w:hideMark/>
          </w:tcPr>
          <w:p w14:paraId="4633C6C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la Pena de Alajuela</w:t>
            </w:r>
          </w:p>
        </w:tc>
        <w:tc>
          <w:tcPr>
            <w:tcW w:w="450" w:type="pct"/>
            <w:tcBorders>
              <w:top w:val="nil"/>
              <w:left w:val="nil"/>
              <w:bottom w:val="single" w:sz="12" w:space="0" w:color="E7E6E6"/>
              <w:right w:val="single" w:sz="12" w:space="0" w:color="E7E6E6"/>
            </w:tcBorders>
            <w:shd w:val="clear" w:color="auto" w:fill="auto"/>
            <w:noWrap/>
            <w:vAlign w:val="center"/>
            <w:hideMark/>
          </w:tcPr>
          <w:p w14:paraId="4B5CB4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84" w:type="pct"/>
            <w:tcBorders>
              <w:top w:val="nil"/>
              <w:left w:val="nil"/>
              <w:bottom w:val="single" w:sz="12" w:space="0" w:color="E7E6E6"/>
              <w:right w:val="single" w:sz="12" w:space="0" w:color="E7E6E6"/>
            </w:tcBorders>
            <w:shd w:val="clear" w:color="auto" w:fill="auto"/>
            <w:noWrap/>
            <w:vAlign w:val="center"/>
            <w:hideMark/>
          </w:tcPr>
          <w:p w14:paraId="3E7908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85" w:type="pct"/>
            <w:tcBorders>
              <w:top w:val="nil"/>
              <w:left w:val="nil"/>
              <w:bottom w:val="single" w:sz="12" w:space="0" w:color="E7E6E6"/>
              <w:right w:val="single" w:sz="12" w:space="0" w:color="E7E6E6"/>
            </w:tcBorders>
            <w:shd w:val="clear" w:color="000000" w:fill="FFFFFF"/>
            <w:noWrap/>
            <w:vAlign w:val="center"/>
            <w:hideMark/>
          </w:tcPr>
          <w:p w14:paraId="4458392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513" w:type="pct"/>
            <w:tcBorders>
              <w:top w:val="nil"/>
              <w:left w:val="nil"/>
              <w:bottom w:val="single" w:sz="12" w:space="0" w:color="E7E6E6"/>
              <w:right w:val="single" w:sz="12" w:space="0" w:color="E7E6E6"/>
            </w:tcBorders>
            <w:shd w:val="clear" w:color="000000" w:fill="FFFFFF"/>
            <w:noWrap/>
            <w:vAlign w:val="center"/>
            <w:hideMark/>
          </w:tcPr>
          <w:p w14:paraId="07944FF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6" w:type="pct"/>
            <w:tcBorders>
              <w:top w:val="nil"/>
              <w:left w:val="nil"/>
              <w:bottom w:val="single" w:sz="12" w:space="0" w:color="E7E6E6"/>
              <w:right w:val="single" w:sz="12" w:space="0" w:color="E7E6E6"/>
            </w:tcBorders>
            <w:shd w:val="clear" w:color="000000" w:fill="FFFFFF"/>
            <w:noWrap/>
            <w:vAlign w:val="center"/>
            <w:hideMark/>
          </w:tcPr>
          <w:p w14:paraId="5FCCEB0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8" w:type="pct"/>
            <w:tcBorders>
              <w:top w:val="nil"/>
              <w:left w:val="nil"/>
              <w:bottom w:val="single" w:sz="12" w:space="0" w:color="E7E6E6"/>
              <w:right w:val="single" w:sz="12" w:space="0" w:color="E7E6E6"/>
            </w:tcBorders>
            <w:shd w:val="clear" w:color="000000" w:fill="FFFFFF"/>
            <w:noWrap/>
            <w:vAlign w:val="center"/>
            <w:hideMark/>
          </w:tcPr>
          <w:p w14:paraId="536086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164 589 000,00 </w:t>
            </w:r>
          </w:p>
        </w:tc>
        <w:tc>
          <w:tcPr>
            <w:tcW w:w="577" w:type="pct"/>
            <w:tcBorders>
              <w:top w:val="nil"/>
              <w:left w:val="nil"/>
              <w:bottom w:val="single" w:sz="12" w:space="0" w:color="E7E6E6"/>
              <w:right w:val="single" w:sz="12" w:space="0" w:color="E7E6E6"/>
            </w:tcBorders>
            <w:shd w:val="clear" w:color="000000" w:fill="FFFFFF"/>
            <w:noWrap/>
            <w:vAlign w:val="center"/>
            <w:hideMark/>
          </w:tcPr>
          <w:p w14:paraId="39191B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164 589 000,00</w:t>
            </w:r>
          </w:p>
        </w:tc>
      </w:tr>
      <w:tr w:rsidR="00B15F7D" w:rsidRPr="00990FB6" w14:paraId="7FD63853" w14:textId="77777777" w:rsidTr="000A0C22">
        <w:trPr>
          <w:trHeight w:val="312"/>
          <w:jc w:val="center"/>
        </w:trPr>
        <w:tc>
          <w:tcPr>
            <w:tcW w:w="705" w:type="pct"/>
            <w:vMerge w:val="restart"/>
            <w:tcBorders>
              <w:top w:val="nil"/>
              <w:left w:val="single" w:sz="12" w:space="0" w:color="E7E6E6"/>
              <w:right w:val="single" w:sz="12" w:space="0" w:color="E7E6E6"/>
            </w:tcBorders>
            <w:vAlign w:val="center"/>
          </w:tcPr>
          <w:p w14:paraId="70188245" w14:textId="77777777" w:rsidR="00B15F7D" w:rsidRPr="00990FB6" w:rsidRDefault="00B15F7D" w:rsidP="00B15F7D">
            <w:pPr>
              <w:suppressAutoHyphens w:val="0"/>
              <w:rPr>
                <w:color w:val="000000"/>
                <w:sz w:val="22"/>
                <w:szCs w:val="22"/>
                <w:lang w:val="es-CR" w:eastAsia="es-CR"/>
              </w:rPr>
            </w:pPr>
            <w:r w:rsidRPr="00990FB6">
              <w:rPr>
                <w:b/>
                <w:bCs/>
                <w:color w:val="000000"/>
                <w:sz w:val="22"/>
                <w:szCs w:val="22"/>
                <w:lang w:val="es-CR" w:eastAsia="es-CR"/>
              </w:rPr>
              <w:t>927- Servicio Jurisdiccional</w:t>
            </w:r>
          </w:p>
        </w:tc>
        <w:tc>
          <w:tcPr>
            <w:tcW w:w="833" w:type="pct"/>
            <w:tcBorders>
              <w:top w:val="nil"/>
              <w:left w:val="single" w:sz="12" w:space="0" w:color="E7E6E6"/>
              <w:bottom w:val="single" w:sz="12" w:space="0" w:color="E7E6E6"/>
              <w:right w:val="single" w:sz="12" w:space="0" w:color="E7E6E6"/>
            </w:tcBorders>
            <w:shd w:val="clear" w:color="auto" w:fill="auto"/>
            <w:noWrap/>
            <w:vAlign w:val="center"/>
            <w:hideMark/>
          </w:tcPr>
          <w:p w14:paraId="774A783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Pococí</w:t>
            </w:r>
          </w:p>
        </w:tc>
        <w:tc>
          <w:tcPr>
            <w:tcW w:w="450" w:type="pct"/>
            <w:tcBorders>
              <w:top w:val="nil"/>
              <w:left w:val="nil"/>
              <w:bottom w:val="single" w:sz="12" w:space="0" w:color="E7E6E6"/>
              <w:right w:val="single" w:sz="12" w:space="0" w:color="E7E6E6"/>
            </w:tcBorders>
            <w:shd w:val="clear" w:color="auto" w:fill="auto"/>
            <w:noWrap/>
            <w:vAlign w:val="center"/>
            <w:hideMark/>
          </w:tcPr>
          <w:p w14:paraId="7EF3C1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84" w:type="pct"/>
            <w:tcBorders>
              <w:top w:val="nil"/>
              <w:left w:val="nil"/>
              <w:bottom w:val="single" w:sz="12" w:space="0" w:color="E7E6E6"/>
              <w:right w:val="single" w:sz="12" w:space="0" w:color="E7E6E6"/>
            </w:tcBorders>
            <w:shd w:val="clear" w:color="auto" w:fill="auto"/>
            <w:noWrap/>
            <w:vAlign w:val="center"/>
            <w:hideMark/>
          </w:tcPr>
          <w:p w14:paraId="6840458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85" w:type="pct"/>
            <w:tcBorders>
              <w:top w:val="nil"/>
              <w:left w:val="nil"/>
              <w:bottom w:val="single" w:sz="12" w:space="0" w:color="E7E6E6"/>
              <w:right w:val="single" w:sz="12" w:space="0" w:color="E7E6E6"/>
            </w:tcBorders>
            <w:shd w:val="clear" w:color="000000" w:fill="FFFFFF"/>
            <w:noWrap/>
            <w:vAlign w:val="center"/>
            <w:hideMark/>
          </w:tcPr>
          <w:p w14:paraId="04B7A01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13" w:type="pct"/>
            <w:tcBorders>
              <w:top w:val="nil"/>
              <w:left w:val="nil"/>
              <w:bottom w:val="single" w:sz="12" w:space="0" w:color="E7E6E6"/>
              <w:right w:val="single" w:sz="12" w:space="0" w:color="E7E6E6"/>
            </w:tcBorders>
            <w:shd w:val="clear" w:color="000000" w:fill="FFFFFF"/>
            <w:noWrap/>
            <w:vAlign w:val="center"/>
            <w:hideMark/>
          </w:tcPr>
          <w:p w14:paraId="138447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6" w:type="pct"/>
            <w:tcBorders>
              <w:top w:val="nil"/>
              <w:left w:val="nil"/>
              <w:bottom w:val="single" w:sz="12" w:space="0" w:color="E7E6E6"/>
              <w:right w:val="single" w:sz="12" w:space="0" w:color="E7E6E6"/>
            </w:tcBorders>
            <w:shd w:val="clear" w:color="000000" w:fill="FFFFFF"/>
            <w:noWrap/>
            <w:vAlign w:val="center"/>
            <w:hideMark/>
          </w:tcPr>
          <w:p w14:paraId="54C1649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 </w:t>
            </w:r>
          </w:p>
        </w:tc>
        <w:tc>
          <w:tcPr>
            <w:tcW w:w="578" w:type="pct"/>
            <w:tcBorders>
              <w:top w:val="nil"/>
              <w:left w:val="nil"/>
              <w:bottom w:val="single" w:sz="12" w:space="0" w:color="E7E6E6"/>
              <w:right w:val="single" w:sz="12" w:space="0" w:color="E7E6E6"/>
            </w:tcBorders>
            <w:shd w:val="clear" w:color="000000" w:fill="FFFFFF"/>
            <w:noWrap/>
            <w:vAlign w:val="center"/>
            <w:hideMark/>
          </w:tcPr>
          <w:p w14:paraId="1A3CFEE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7" w:type="pct"/>
            <w:tcBorders>
              <w:top w:val="nil"/>
              <w:left w:val="nil"/>
              <w:bottom w:val="single" w:sz="12" w:space="0" w:color="E7E6E6"/>
              <w:right w:val="single" w:sz="12" w:space="0" w:color="E7E6E6"/>
            </w:tcBorders>
            <w:shd w:val="clear" w:color="000000" w:fill="FFFFFF"/>
            <w:noWrap/>
            <w:vAlign w:val="center"/>
            <w:hideMark/>
          </w:tcPr>
          <w:p w14:paraId="310AA12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15 945 000,00</w:t>
            </w:r>
          </w:p>
        </w:tc>
      </w:tr>
      <w:tr w:rsidR="00B15F7D" w:rsidRPr="00990FB6" w14:paraId="4F806113" w14:textId="77777777" w:rsidTr="000A0C22">
        <w:trPr>
          <w:trHeight w:val="312"/>
          <w:jc w:val="center"/>
        </w:trPr>
        <w:tc>
          <w:tcPr>
            <w:tcW w:w="705" w:type="pct"/>
            <w:vMerge/>
            <w:tcBorders>
              <w:left w:val="single" w:sz="12" w:space="0" w:color="E7E6E6"/>
              <w:right w:val="single" w:sz="12" w:space="0" w:color="E7E6E6"/>
            </w:tcBorders>
            <w:vAlign w:val="center"/>
          </w:tcPr>
          <w:p w14:paraId="583BC774" w14:textId="77777777" w:rsidR="00B15F7D" w:rsidRPr="00990FB6" w:rsidRDefault="00B15F7D" w:rsidP="00B15F7D">
            <w:pPr>
              <w:suppressAutoHyphens w:val="0"/>
              <w:rPr>
                <w:color w:val="000000"/>
                <w:sz w:val="22"/>
                <w:szCs w:val="22"/>
                <w:lang w:val="es-CR" w:eastAsia="es-CR"/>
              </w:rPr>
            </w:pPr>
          </w:p>
        </w:tc>
        <w:tc>
          <w:tcPr>
            <w:tcW w:w="833" w:type="pct"/>
            <w:tcBorders>
              <w:top w:val="nil"/>
              <w:left w:val="single" w:sz="12" w:space="0" w:color="E7E6E6"/>
              <w:bottom w:val="single" w:sz="12" w:space="0" w:color="E7E6E6"/>
              <w:right w:val="single" w:sz="12" w:space="0" w:color="E7E6E6"/>
            </w:tcBorders>
            <w:shd w:val="clear" w:color="auto" w:fill="auto"/>
            <w:noWrap/>
            <w:vAlign w:val="center"/>
            <w:hideMark/>
          </w:tcPr>
          <w:p w14:paraId="085F9E5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la Pena de Liberia</w:t>
            </w:r>
          </w:p>
        </w:tc>
        <w:tc>
          <w:tcPr>
            <w:tcW w:w="450" w:type="pct"/>
            <w:tcBorders>
              <w:top w:val="nil"/>
              <w:left w:val="nil"/>
              <w:bottom w:val="single" w:sz="12" w:space="0" w:color="E7E6E6"/>
              <w:right w:val="single" w:sz="12" w:space="0" w:color="E7E6E6"/>
            </w:tcBorders>
            <w:shd w:val="clear" w:color="auto" w:fill="auto"/>
            <w:noWrap/>
            <w:vAlign w:val="center"/>
            <w:hideMark/>
          </w:tcPr>
          <w:p w14:paraId="574AF48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84" w:type="pct"/>
            <w:tcBorders>
              <w:top w:val="nil"/>
              <w:left w:val="nil"/>
              <w:bottom w:val="single" w:sz="12" w:space="0" w:color="E7E6E6"/>
              <w:right w:val="single" w:sz="12" w:space="0" w:color="E7E6E6"/>
            </w:tcBorders>
            <w:shd w:val="clear" w:color="auto" w:fill="auto"/>
            <w:noWrap/>
            <w:vAlign w:val="center"/>
            <w:hideMark/>
          </w:tcPr>
          <w:p w14:paraId="7192E4D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85" w:type="pct"/>
            <w:tcBorders>
              <w:top w:val="nil"/>
              <w:left w:val="nil"/>
              <w:bottom w:val="single" w:sz="12" w:space="0" w:color="E7E6E6"/>
              <w:right w:val="single" w:sz="12" w:space="0" w:color="E7E6E6"/>
            </w:tcBorders>
            <w:shd w:val="clear" w:color="000000" w:fill="FFFFFF"/>
            <w:noWrap/>
            <w:vAlign w:val="center"/>
            <w:hideMark/>
          </w:tcPr>
          <w:p w14:paraId="2B61B5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13" w:type="pct"/>
            <w:tcBorders>
              <w:top w:val="nil"/>
              <w:left w:val="nil"/>
              <w:bottom w:val="single" w:sz="12" w:space="0" w:color="E7E6E6"/>
              <w:right w:val="single" w:sz="12" w:space="0" w:color="E7E6E6"/>
            </w:tcBorders>
            <w:shd w:val="clear" w:color="000000" w:fill="FFFFFF"/>
            <w:noWrap/>
            <w:vAlign w:val="center"/>
            <w:hideMark/>
          </w:tcPr>
          <w:p w14:paraId="5E86F9B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18 905 000,00 </w:t>
            </w:r>
          </w:p>
        </w:tc>
        <w:tc>
          <w:tcPr>
            <w:tcW w:w="576" w:type="pct"/>
            <w:tcBorders>
              <w:top w:val="nil"/>
              <w:left w:val="nil"/>
              <w:bottom w:val="single" w:sz="12" w:space="0" w:color="E7E6E6"/>
              <w:right w:val="single" w:sz="12" w:space="0" w:color="E7E6E6"/>
            </w:tcBorders>
            <w:shd w:val="clear" w:color="000000" w:fill="FFFFFF"/>
            <w:noWrap/>
            <w:vAlign w:val="center"/>
            <w:hideMark/>
          </w:tcPr>
          <w:p w14:paraId="7B27CA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8" w:type="pct"/>
            <w:tcBorders>
              <w:top w:val="nil"/>
              <w:left w:val="nil"/>
              <w:bottom w:val="single" w:sz="12" w:space="0" w:color="E7E6E6"/>
              <w:right w:val="single" w:sz="12" w:space="0" w:color="E7E6E6"/>
            </w:tcBorders>
            <w:shd w:val="clear" w:color="000000" w:fill="FFFFFF"/>
            <w:noWrap/>
            <w:vAlign w:val="center"/>
            <w:hideMark/>
          </w:tcPr>
          <w:p w14:paraId="408456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7" w:type="pct"/>
            <w:tcBorders>
              <w:top w:val="nil"/>
              <w:left w:val="nil"/>
              <w:bottom w:val="single" w:sz="12" w:space="0" w:color="E7E6E6"/>
              <w:right w:val="single" w:sz="12" w:space="0" w:color="E7E6E6"/>
            </w:tcBorders>
            <w:shd w:val="clear" w:color="000000" w:fill="FFFFFF"/>
            <w:noWrap/>
            <w:vAlign w:val="center"/>
            <w:hideMark/>
          </w:tcPr>
          <w:p w14:paraId="3008751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18 905 000,00</w:t>
            </w:r>
          </w:p>
        </w:tc>
      </w:tr>
      <w:tr w:rsidR="00B15F7D" w:rsidRPr="00990FB6" w14:paraId="5F200DD9" w14:textId="77777777" w:rsidTr="000A0C22">
        <w:trPr>
          <w:trHeight w:val="312"/>
          <w:jc w:val="center"/>
        </w:trPr>
        <w:tc>
          <w:tcPr>
            <w:tcW w:w="705" w:type="pct"/>
            <w:vMerge/>
            <w:tcBorders>
              <w:left w:val="single" w:sz="12" w:space="0" w:color="E7E6E6"/>
              <w:bottom w:val="single" w:sz="12" w:space="0" w:color="E7E6E6"/>
              <w:right w:val="single" w:sz="12" w:space="0" w:color="E7E6E6"/>
            </w:tcBorders>
            <w:vAlign w:val="center"/>
          </w:tcPr>
          <w:p w14:paraId="0B18E375" w14:textId="77777777" w:rsidR="00B15F7D" w:rsidRPr="00990FB6" w:rsidRDefault="00B15F7D" w:rsidP="00B15F7D">
            <w:pPr>
              <w:suppressAutoHyphens w:val="0"/>
              <w:rPr>
                <w:color w:val="000000"/>
                <w:sz w:val="22"/>
                <w:szCs w:val="22"/>
                <w:lang w:val="es-CR" w:eastAsia="es-CR"/>
              </w:rPr>
            </w:pPr>
          </w:p>
        </w:tc>
        <w:tc>
          <w:tcPr>
            <w:tcW w:w="833" w:type="pct"/>
            <w:tcBorders>
              <w:top w:val="nil"/>
              <w:left w:val="single" w:sz="12" w:space="0" w:color="E7E6E6"/>
              <w:bottom w:val="single" w:sz="12" w:space="0" w:color="E7E6E6"/>
              <w:right w:val="single" w:sz="12" w:space="0" w:color="E7E6E6"/>
            </w:tcBorders>
            <w:shd w:val="clear" w:color="auto" w:fill="auto"/>
            <w:noWrap/>
            <w:vAlign w:val="center"/>
            <w:hideMark/>
          </w:tcPr>
          <w:p w14:paraId="54DAB2E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la Pena de Puntarenas</w:t>
            </w:r>
          </w:p>
        </w:tc>
        <w:tc>
          <w:tcPr>
            <w:tcW w:w="450" w:type="pct"/>
            <w:tcBorders>
              <w:top w:val="nil"/>
              <w:left w:val="nil"/>
              <w:bottom w:val="single" w:sz="12" w:space="0" w:color="E7E6E6"/>
              <w:right w:val="single" w:sz="12" w:space="0" w:color="E7E6E6"/>
            </w:tcBorders>
            <w:shd w:val="clear" w:color="auto" w:fill="auto"/>
            <w:noWrap/>
            <w:vAlign w:val="center"/>
            <w:hideMark/>
          </w:tcPr>
          <w:p w14:paraId="650E38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384" w:type="pct"/>
            <w:tcBorders>
              <w:top w:val="nil"/>
              <w:left w:val="nil"/>
              <w:bottom w:val="single" w:sz="12" w:space="0" w:color="E7E6E6"/>
              <w:right w:val="single" w:sz="12" w:space="0" w:color="E7E6E6"/>
            </w:tcBorders>
            <w:shd w:val="clear" w:color="auto" w:fill="auto"/>
            <w:noWrap/>
            <w:vAlign w:val="center"/>
            <w:hideMark/>
          </w:tcPr>
          <w:p w14:paraId="6DACF9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385" w:type="pct"/>
            <w:tcBorders>
              <w:top w:val="nil"/>
              <w:left w:val="nil"/>
              <w:bottom w:val="single" w:sz="12" w:space="0" w:color="E7E6E6"/>
              <w:right w:val="single" w:sz="12" w:space="0" w:color="E7E6E6"/>
            </w:tcBorders>
            <w:shd w:val="clear" w:color="000000" w:fill="FFFFFF"/>
            <w:noWrap/>
            <w:vAlign w:val="center"/>
            <w:hideMark/>
          </w:tcPr>
          <w:p w14:paraId="1FDB82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13" w:type="pct"/>
            <w:tcBorders>
              <w:top w:val="nil"/>
              <w:left w:val="nil"/>
              <w:bottom w:val="single" w:sz="12" w:space="0" w:color="E7E6E6"/>
              <w:right w:val="single" w:sz="12" w:space="0" w:color="E7E6E6"/>
            </w:tcBorders>
            <w:shd w:val="clear" w:color="000000" w:fill="FFFFFF"/>
            <w:noWrap/>
            <w:vAlign w:val="center"/>
            <w:hideMark/>
          </w:tcPr>
          <w:p w14:paraId="4322935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6" w:type="pct"/>
            <w:tcBorders>
              <w:top w:val="nil"/>
              <w:left w:val="nil"/>
              <w:bottom w:val="single" w:sz="12" w:space="0" w:color="E7E6E6"/>
              <w:right w:val="single" w:sz="12" w:space="0" w:color="E7E6E6"/>
            </w:tcBorders>
            <w:shd w:val="clear" w:color="000000" w:fill="FFFFFF"/>
            <w:noWrap/>
            <w:vAlign w:val="center"/>
            <w:hideMark/>
          </w:tcPr>
          <w:p w14:paraId="207A985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15 945 000,00 </w:t>
            </w:r>
          </w:p>
        </w:tc>
        <w:tc>
          <w:tcPr>
            <w:tcW w:w="578" w:type="pct"/>
            <w:tcBorders>
              <w:top w:val="nil"/>
              <w:left w:val="nil"/>
              <w:bottom w:val="single" w:sz="12" w:space="0" w:color="E7E6E6"/>
              <w:right w:val="single" w:sz="12" w:space="0" w:color="E7E6E6"/>
            </w:tcBorders>
            <w:shd w:val="clear" w:color="000000" w:fill="FFFFFF"/>
            <w:noWrap/>
            <w:vAlign w:val="center"/>
            <w:hideMark/>
          </w:tcPr>
          <w:p w14:paraId="1A331C7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77" w:type="pct"/>
            <w:tcBorders>
              <w:top w:val="nil"/>
              <w:left w:val="nil"/>
              <w:bottom w:val="single" w:sz="12" w:space="0" w:color="E7E6E6"/>
              <w:right w:val="single" w:sz="12" w:space="0" w:color="E7E6E6"/>
            </w:tcBorders>
            <w:shd w:val="clear" w:color="000000" w:fill="FFFFFF"/>
            <w:noWrap/>
            <w:vAlign w:val="center"/>
            <w:hideMark/>
          </w:tcPr>
          <w:p w14:paraId="35D8F44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15 945 000,00</w:t>
            </w:r>
          </w:p>
        </w:tc>
      </w:tr>
      <w:tr w:rsidR="00B15F7D" w:rsidRPr="00990FB6" w14:paraId="0509BF96" w14:textId="77777777" w:rsidTr="000A0C22">
        <w:trPr>
          <w:trHeight w:val="312"/>
          <w:jc w:val="center"/>
        </w:trPr>
        <w:tc>
          <w:tcPr>
            <w:tcW w:w="705" w:type="pct"/>
            <w:tcBorders>
              <w:top w:val="nil"/>
              <w:left w:val="single" w:sz="12" w:space="0" w:color="E7E6E6"/>
              <w:bottom w:val="single" w:sz="12" w:space="0" w:color="E7E6E6"/>
              <w:right w:val="single" w:sz="12" w:space="0" w:color="E7E6E6"/>
            </w:tcBorders>
            <w:shd w:val="clear" w:color="000000" w:fill="DEEAF6"/>
          </w:tcPr>
          <w:p w14:paraId="6BC037AA" w14:textId="77777777" w:rsidR="00B15F7D" w:rsidRPr="00990FB6" w:rsidRDefault="00B15F7D" w:rsidP="00B15F7D">
            <w:pPr>
              <w:suppressAutoHyphens w:val="0"/>
              <w:rPr>
                <w:b/>
                <w:bCs/>
                <w:color w:val="3A3838"/>
                <w:sz w:val="22"/>
                <w:szCs w:val="22"/>
                <w:lang w:val="es-CR" w:eastAsia="es-CR"/>
              </w:rPr>
            </w:pPr>
          </w:p>
        </w:tc>
        <w:tc>
          <w:tcPr>
            <w:tcW w:w="833" w:type="pct"/>
            <w:tcBorders>
              <w:top w:val="nil"/>
              <w:left w:val="single" w:sz="12" w:space="0" w:color="E7E6E6"/>
              <w:bottom w:val="single" w:sz="12" w:space="0" w:color="E7E6E6"/>
              <w:right w:val="single" w:sz="12" w:space="0" w:color="E7E6E6"/>
            </w:tcBorders>
            <w:shd w:val="clear" w:color="000000" w:fill="DEEAF6"/>
            <w:vAlign w:val="center"/>
            <w:hideMark/>
          </w:tcPr>
          <w:p w14:paraId="48245BEF"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450" w:type="pct"/>
            <w:tcBorders>
              <w:top w:val="nil"/>
              <w:left w:val="nil"/>
              <w:bottom w:val="single" w:sz="12" w:space="0" w:color="E7E6E6"/>
              <w:right w:val="single" w:sz="12" w:space="0" w:color="E7E6E6"/>
            </w:tcBorders>
            <w:shd w:val="clear" w:color="000000" w:fill="DEEAF6"/>
            <w:vAlign w:val="center"/>
            <w:hideMark/>
          </w:tcPr>
          <w:p w14:paraId="35E7BE4F"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w:t>
            </w:r>
          </w:p>
        </w:tc>
        <w:tc>
          <w:tcPr>
            <w:tcW w:w="384" w:type="pct"/>
            <w:tcBorders>
              <w:top w:val="nil"/>
              <w:left w:val="nil"/>
              <w:bottom w:val="single" w:sz="12" w:space="0" w:color="E7E6E6"/>
              <w:right w:val="single" w:sz="12" w:space="0" w:color="E7E6E6"/>
            </w:tcBorders>
            <w:shd w:val="clear" w:color="000000" w:fill="DEEAF6"/>
            <w:vAlign w:val="center"/>
            <w:hideMark/>
          </w:tcPr>
          <w:p w14:paraId="167CB86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2</w:t>
            </w:r>
          </w:p>
        </w:tc>
        <w:tc>
          <w:tcPr>
            <w:tcW w:w="385" w:type="pct"/>
            <w:tcBorders>
              <w:top w:val="nil"/>
              <w:left w:val="nil"/>
              <w:bottom w:val="single" w:sz="12" w:space="0" w:color="E7E6E6"/>
              <w:right w:val="single" w:sz="12" w:space="0" w:color="E7E6E6"/>
            </w:tcBorders>
            <w:shd w:val="clear" w:color="000000" w:fill="DEEAF6"/>
            <w:vAlign w:val="center"/>
            <w:hideMark/>
          </w:tcPr>
          <w:p w14:paraId="49BB7A9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w:t>
            </w:r>
          </w:p>
        </w:tc>
        <w:tc>
          <w:tcPr>
            <w:tcW w:w="513" w:type="pct"/>
            <w:tcBorders>
              <w:top w:val="nil"/>
              <w:left w:val="nil"/>
              <w:bottom w:val="single" w:sz="12" w:space="0" w:color="E7E6E6"/>
              <w:right w:val="single" w:sz="12" w:space="0" w:color="E7E6E6"/>
            </w:tcBorders>
            <w:shd w:val="clear" w:color="000000" w:fill="DEEAF6"/>
            <w:vAlign w:val="center"/>
            <w:hideMark/>
          </w:tcPr>
          <w:p w14:paraId="385A187E"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xml:space="preserve"> ₡ 18 905 000,00 </w:t>
            </w:r>
          </w:p>
        </w:tc>
        <w:tc>
          <w:tcPr>
            <w:tcW w:w="576" w:type="pct"/>
            <w:tcBorders>
              <w:top w:val="nil"/>
              <w:left w:val="nil"/>
              <w:bottom w:val="single" w:sz="12" w:space="0" w:color="E7E6E6"/>
              <w:right w:val="single" w:sz="12" w:space="0" w:color="E7E6E6"/>
            </w:tcBorders>
            <w:shd w:val="clear" w:color="000000" w:fill="DEEAF6"/>
            <w:vAlign w:val="center"/>
            <w:hideMark/>
          </w:tcPr>
          <w:p w14:paraId="736A715D"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xml:space="preserve"> ₡ 31 890 000,00 </w:t>
            </w:r>
          </w:p>
        </w:tc>
        <w:tc>
          <w:tcPr>
            <w:tcW w:w="578" w:type="pct"/>
            <w:tcBorders>
              <w:top w:val="nil"/>
              <w:left w:val="nil"/>
              <w:bottom w:val="single" w:sz="12" w:space="0" w:color="E7E6E6"/>
              <w:right w:val="single" w:sz="12" w:space="0" w:color="E7E6E6"/>
            </w:tcBorders>
            <w:shd w:val="clear" w:color="000000" w:fill="DEEAF6"/>
            <w:vAlign w:val="center"/>
            <w:hideMark/>
          </w:tcPr>
          <w:p w14:paraId="558BE396"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xml:space="preserve"> ₡164 589 000,00 </w:t>
            </w:r>
          </w:p>
        </w:tc>
        <w:tc>
          <w:tcPr>
            <w:tcW w:w="577" w:type="pct"/>
            <w:tcBorders>
              <w:top w:val="nil"/>
              <w:left w:val="nil"/>
              <w:bottom w:val="single" w:sz="12" w:space="0" w:color="E7E6E6"/>
              <w:right w:val="single" w:sz="12" w:space="0" w:color="E7E6E6"/>
            </w:tcBorders>
            <w:shd w:val="clear" w:color="000000" w:fill="DEEAF6"/>
            <w:vAlign w:val="center"/>
            <w:hideMark/>
          </w:tcPr>
          <w:p w14:paraId="72A6D36C"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xml:space="preserve"> ₡ 215 384 000,00 </w:t>
            </w:r>
          </w:p>
        </w:tc>
      </w:tr>
    </w:tbl>
    <w:p w14:paraId="62079FF4" w14:textId="77777777" w:rsidR="00B15F7D" w:rsidRPr="00990FB6" w:rsidRDefault="00B15F7D" w:rsidP="00B15F7D">
      <w:pPr>
        <w:suppressAutoHyphens w:val="0"/>
        <w:contextualSpacing/>
        <w:jc w:val="both"/>
        <w:rPr>
          <w:rFonts w:eastAsia="Calibri"/>
          <w:sz w:val="22"/>
          <w:szCs w:val="22"/>
          <w:lang w:val="es-CR" w:eastAsia="en-US"/>
        </w:rPr>
      </w:pPr>
    </w:p>
    <w:p w14:paraId="599031E6"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Los costos variables totales por equipo de cómputo y mobiliario para este escenario ascienden a ₡7 834 806,00, distribuidos de la siguiente manera:</w:t>
      </w:r>
    </w:p>
    <w:p w14:paraId="0BD731BB" w14:textId="77777777" w:rsidR="00B15F7D" w:rsidRPr="00990FB6" w:rsidRDefault="00B15F7D" w:rsidP="00B15F7D">
      <w:pPr>
        <w:suppressAutoHyphens w:val="0"/>
        <w:ind w:left="1560" w:right="851"/>
        <w:contextualSpacing/>
        <w:jc w:val="both"/>
        <w:rPr>
          <w:rFonts w:eastAsia="Calibri"/>
          <w:sz w:val="22"/>
          <w:szCs w:val="22"/>
          <w:lang w:val="es-CR" w:eastAsia="en-US"/>
        </w:rPr>
      </w:pPr>
    </w:p>
    <w:tbl>
      <w:tblPr>
        <w:tblW w:w="5628" w:type="pct"/>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92"/>
        <w:gridCol w:w="2357"/>
        <w:gridCol w:w="954"/>
        <w:gridCol w:w="817"/>
        <w:gridCol w:w="817"/>
        <w:gridCol w:w="1087"/>
        <w:gridCol w:w="1228"/>
        <w:gridCol w:w="1085"/>
      </w:tblGrid>
      <w:tr w:rsidR="00B15F7D" w:rsidRPr="00990FB6" w14:paraId="128AB260" w14:textId="77777777" w:rsidTr="000A0C22">
        <w:trPr>
          <w:trHeight w:val="300"/>
        </w:trPr>
        <w:tc>
          <w:tcPr>
            <w:tcW w:w="801" w:type="pct"/>
            <w:vMerge w:val="restart"/>
            <w:shd w:val="clear" w:color="000000" w:fill="305496"/>
            <w:vAlign w:val="center"/>
            <w:hideMark/>
          </w:tcPr>
          <w:p w14:paraId="599B78F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1186" w:type="pct"/>
            <w:vMerge w:val="restart"/>
            <w:shd w:val="clear" w:color="000000" w:fill="305496"/>
            <w:vAlign w:val="center"/>
            <w:hideMark/>
          </w:tcPr>
          <w:p w14:paraId="3C7DB2F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301" w:type="pct"/>
            <w:gridSpan w:val="3"/>
            <w:shd w:val="clear" w:color="000000" w:fill="5B9BD5"/>
            <w:noWrap/>
            <w:vAlign w:val="center"/>
            <w:hideMark/>
          </w:tcPr>
          <w:p w14:paraId="3D478FE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1712" w:type="pct"/>
            <w:gridSpan w:val="3"/>
            <w:shd w:val="clear" w:color="000000" w:fill="5B9BD5"/>
            <w:noWrap/>
            <w:vAlign w:val="center"/>
            <w:hideMark/>
          </w:tcPr>
          <w:p w14:paraId="7D67CF5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COSTOS DE GASTOS VARIABLES</w:t>
            </w:r>
          </w:p>
        </w:tc>
      </w:tr>
      <w:tr w:rsidR="00B15F7D" w:rsidRPr="00990FB6" w14:paraId="5E73F42E" w14:textId="77777777" w:rsidTr="000A0C22">
        <w:trPr>
          <w:trHeight w:val="504"/>
        </w:trPr>
        <w:tc>
          <w:tcPr>
            <w:tcW w:w="801" w:type="pct"/>
            <w:vMerge/>
            <w:vAlign w:val="center"/>
            <w:hideMark/>
          </w:tcPr>
          <w:p w14:paraId="6DE9B7F5" w14:textId="77777777" w:rsidR="00B15F7D" w:rsidRPr="00990FB6" w:rsidRDefault="00B15F7D" w:rsidP="00B15F7D">
            <w:pPr>
              <w:suppressAutoHyphens w:val="0"/>
              <w:rPr>
                <w:b/>
                <w:bCs/>
                <w:color w:val="FFFFFF"/>
                <w:sz w:val="22"/>
                <w:szCs w:val="22"/>
                <w:lang w:val="es-CR" w:eastAsia="es-CR"/>
              </w:rPr>
            </w:pPr>
          </w:p>
        </w:tc>
        <w:tc>
          <w:tcPr>
            <w:tcW w:w="1186" w:type="pct"/>
            <w:vMerge/>
            <w:vAlign w:val="center"/>
            <w:hideMark/>
          </w:tcPr>
          <w:p w14:paraId="3A431CDA" w14:textId="77777777" w:rsidR="00B15F7D" w:rsidRPr="00990FB6" w:rsidRDefault="00B15F7D" w:rsidP="00B15F7D">
            <w:pPr>
              <w:suppressAutoHyphens w:val="0"/>
              <w:rPr>
                <w:b/>
                <w:bCs/>
                <w:color w:val="FFFFFF"/>
                <w:sz w:val="22"/>
                <w:szCs w:val="22"/>
                <w:lang w:val="es-CR" w:eastAsia="es-CR"/>
              </w:rPr>
            </w:pPr>
          </w:p>
        </w:tc>
        <w:tc>
          <w:tcPr>
            <w:tcW w:w="480" w:type="pct"/>
            <w:shd w:val="clear" w:color="000000" w:fill="305496"/>
            <w:vAlign w:val="center"/>
            <w:hideMark/>
          </w:tcPr>
          <w:p w14:paraId="3BB6B1E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Coordinador/a Judicial 2</w:t>
            </w:r>
          </w:p>
        </w:tc>
        <w:tc>
          <w:tcPr>
            <w:tcW w:w="411" w:type="pct"/>
            <w:shd w:val="clear" w:color="000000" w:fill="305496"/>
            <w:vAlign w:val="center"/>
            <w:hideMark/>
          </w:tcPr>
          <w:p w14:paraId="6AD4F66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411" w:type="pct"/>
            <w:shd w:val="clear" w:color="000000" w:fill="305496"/>
            <w:vAlign w:val="center"/>
            <w:hideMark/>
          </w:tcPr>
          <w:p w14:paraId="06FD28A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Fiscales</w:t>
            </w:r>
          </w:p>
        </w:tc>
        <w:tc>
          <w:tcPr>
            <w:tcW w:w="547" w:type="pct"/>
            <w:shd w:val="clear" w:color="000000" w:fill="305496"/>
            <w:vAlign w:val="center"/>
            <w:hideMark/>
          </w:tcPr>
          <w:p w14:paraId="390C7B4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profesional</w:t>
            </w:r>
          </w:p>
        </w:tc>
        <w:tc>
          <w:tcPr>
            <w:tcW w:w="618" w:type="pct"/>
            <w:shd w:val="clear" w:color="000000" w:fill="305496"/>
            <w:vAlign w:val="center"/>
            <w:hideMark/>
          </w:tcPr>
          <w:p w14:paraId="2EE26E5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c>
          <w:tcPr>
            <w:tcW w:w="548" w:type="pct"/>
            <w:shd w:val="clear" w:color="000000" w:fill="305496"/>
            <w:vAlign w:val="center"/>
            <w:hideMark/>
          </w:tcPr>
          <w:p w14:paraId="3FB0031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27AC5037" w14:textId="77777777" w:rsidTr="000A0C22">
        <w:trPr>
          <w:trHeight w:val="312"/>
        </w:trPr>
        <w:tc>
          <w:tcPr>
            <w:tcW w:w="801" w:type="pct"/>
            <w:shd w:val="clear" w:color="000000" w:fill="FFFFFF"/>
            <w:vAlign w:val="center"/>
            <w:hideMark/>
          </w:tcPr>
          <w:p w14:paraId="216B6C9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930- Ministerio Público</w:t>
            </w:r>
          </w:p>
        </w:tc>
        <w:tc>
          <w:tcPr>
            <w:tcW w:w="1186" w:type="pct"/>
            <w:shd w:val="clear" w:color="auto" w:fill="auto"/>
            <w:noWrap/>
            <w:vAlign w:val="center"/>
            <w:hideMark/>
          </w:tcPr>
          <w:p w14:paraId="3131BB9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la Pena de Alajuela</w:t>
            </w:r>
          </w:p>
        </w:tc>
        <w:tc>
          <w:tcPr>
            <w:tcW w:w="480" w:type="pct"/>
            <w:shd w:val="clear" w:color="auto" w:fill="auto"/>
            <w:noWrap/>
            <w:vAlign w:val="center"/>
            <w:hideMark/>
          </w:tcPr>
          <w:p w14:paraId="5BF573E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noWrap/>
            <w:vAlign w:val="center"/>
            <w:hideMark/>
          </w:tcPr>
          <w:p w14:paraId="726D4B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000000" w:fill="FFFFFF"/>
            <w:noWrap/>
            <w:vAlign w:val="center"/>
            <w:hideMark/>
          </w:tcPr>
          <w:p w14:paraId="65F73A4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w:t>
            </w:r>
          </w:p>
        </w:tc>
        <w:tc>
          <w:tcPr>
            <w:tcW w:w="547" w:type="pct"/>
            <w:shd w:val="clear" w:color="000000" w:fill="FFFFFF"/>
            <w:vAlign w:val="center"/>
            <w:hideMark/>
          </w:tcPr>
          <w:p w14:paraId="5882C3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c>
          <w:tcPr>
            <w:tcW w:w="618" w:type="pct"/>
            <w:shd w:val="clear" w:color="000000" w:fill="FFFFFF"/>
            <w:vAlign w:val="center"/>
            <w:hideMark/>
          </w:tcPr>
          <w:p w14:paraId="2B82AC9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548" w:type="pct"/>
            <w:shd w:val="clear" w:color="000000" w:fill="FFFFFF"/>
            <w:vAlign w:val="center"/>
            <w:hideMark/>
          </w:tcPr>
          <w:p w14:paraId="4F23B3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r>
      <w:tr w:rsidR="00B15F7D" w:rsidRPr="00990FB6" w14:paraId="7986EA57" w14:textId="77777777" w:rsidTr="000A0C22">
        <w:trPr>
          <w:trHeight w:val="312"/>
        </w:trPr>
        <w:tc>
          <w:tcPr>
            <w:tcW w:w="801" w:type="pct"/>
            <w:vMerge w:val="restart"/>
            <w:shd w:val="clear" w:color="000000" w:fill="FFFFFF"/>
            <w:vAlign w:val="center"/>
            <w:hideMark/>
          </w:tcPr>
          <w:p w14:paraId="188E0A9A" w14:textId="77777777" w:rsidR="00B15F7D" w:rsidRPr="00990FB6" w:rsidRDefault="00B15F7D" w:rsidP="00B15F7D">
            <w:pPr>
              <w:suppressAutoHyphens w:val="0"/>
              <w:rPr>
                <w:b/>
                <w:bCs/>
                <w:color w:val="000000"/>
                <w:sz w:val="22"/>
                <w:szCs w:val="22"/>
                <w:lang w:val="es-CR" w:eastAsia="es-CR"/>
              </w:rPr>
            </w:pPr>
            <w:r w:rsidRPr="00990FB6">
              <w:rPr>
                <w:b/>
                <w:bCs/>
                <w:color w:val="000000"/>
                <w:sz w:val="22"/>
                <w:szCs w:val="22"/>
                <w:lang w:val="es-CR" w:eastAsia="es-CR"/>
              </w:rPr>
              <w:t>927- Servicio Jurisdiccional</w:t>
            </w:r>
          </w:p>
        </w:tc>
        <w:tc>
          <w:tcPr>
            <w:tcW w:w="1186" w:type="pct"/>
            <w:shd w:val="clear" w:color="auto" w:fill="auto"/>
            <w:noWrap/>
            <w:vAlign w:val="center"/>
            <w:hideMark/>
          </w:tcPr>
          <w:p w14:paraId="1C39676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Pococí</w:t>
            </w:r>
          </w:p>
        </w:tc>
        <w:tc>
          <w:tcPr>
            <w:tcW w:w="480" w:type="pct"/>
            <w:shd w:val="clear" w:color="auto" w:fill="auto"/>
            <w:noWrap/>
            <w:vAlign w:val="center"/>
            <w:hideMark/>
          </w:tcPr>
          <w:p w14:paraId="6140896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noWrap/>
            <w:vAlign w:val="center"/>
            <w:hideMark/>
          </w:tcPr>
          <w:p w14:paraId="03E3E3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000000" w:fill="FFFFFF"/>
            <w:noWrap/>
            <w:vAlign w:val="center"/>
            <w:hideMark/>
          </w:tcPr>
          <w:p w14:paraId="58A0353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47" w:type="pct"/>
            <w:shd w:val="clear" w:color="000000" w:fill="FFFFFF"/>
            <w:vAlign w:val="center"/>
            <w:hideMark/>
          </w:tcPr>
          <w:p w14:paraId="15271C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618" w:type="pct"/>
            <w:shd w:val="clear" w:color="000000" w:fill="FFFFFF"/>
            <w:vAlign w:val="center"/>
            <w:hideMark/>
          </w:tcPr>
          <w:p w14:paraId="188CCF8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548" w:type="pct"/>
            <w:shd w:val="clear" w:color="000000" w:fill="FFFFFF"/>
            <w:vAlign w:val="center"/>
            <w:hideMark/>
          </w:tcPr>
          <w:p w14:paraId="6D01CF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05C4424A" w14:textId="77777777" w:rsidTr="000A0C22">
        <w:trPr>
          <w:trHeight w:val="312"/>
        </w:trPr>
        <w:tc>
          <w:tcPr>
            <w:tcW w:w="801" w:type="pct"/>
            <w:vMerge/>
            <w:vAlign w:val="center"/>
            <w:hideMark/>
          </w:tcPr>
          <w:p w14:paraId="47D8F4E1" w14:textId="77777777" w:rsidR="00B15F7D" w:rsidRPr="00990FB6" w:rsidRDefault="00B15F7D" w:rsidP="00B15F7D">
            <w:pPr>
              <w:suppressAutoHyphens w:val="0"/>
              <w:rPr>
                <w:b/>
                <w:bCs/>
                <w:color w:val="000000"/>
                <w:sz w:val="22"/>
                <w:szCs w:val="22"/>
                <w:lang w:val="es-CR" w:eastAsia="es-CR"/>
              </w:rPr>
            </w:pPr>
          </w:p>
        </w:tc>
        <w:tc>
          <w:tcPr>
            <w:tcW w:w="1186" w:type="pct"/>
            <w:shd w:val="clear" w:color="auto" w:fill="auto"/>
            <w:noWrap/>
            <w:vAlign w:val="center"/>
            <w:hideMark/>
          </w:tcPr>
          <w:p w14:paraId="69373D8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la Pena de Liberia</w:t>
            </w:r>
          </w:p>
        </w:tc>
        <w:tc>
          <w:tcPr>
            <w:tcW w:w="480" w:type="pct"/>
            <w:shd w:val="clear" w:color="auto" w:fill="auto"/>
            <w:noWrap/>
            <w:vAlign w:val="center"/>
            <w:hideMark/>
          </w:tcPr>
          <w:p w14:paraId="073FF2B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auto" w:fill="auto"/>
            <w:noWrap/>
            <w:vAlign w:val="center"/>
            <w:hideMark/>
          </w:tcPr>
          <w:p w14:paraId="3B4FBA7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000000" w:fill="FFFFFF"/>
            <w:noWrap/>
            <w:vAlign w:val="center"/>
            <w:hideMark/>
          </w:tcPr>
          <w:p w14:paraId="7CB21C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47" w:type="pct"/>
            <w:shd w:val="clear" w:color="000000" w:fill="FFFFFF"/>
            <w:vAlign w:val="center"/>
            <w:hideMark/>
          </w:tcPr>
          <w:p w14:paraId="580EC5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618" w:type="pct"/>
            <w:shd w:val="clear" w:color="000000" w:fill="FFFFFF"/>
            <w:vAlign w:val="center"/>
            <w:hideMark/>
          </w:tcPr>
          <w:p w14:paraId="49C0F3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548" w:type="pct"/>
            <w:shd w:val="clear" w:color="000000" w:fill="FFFFFF"/>
            <w:vAlign w:val="center"/>
            <w:hideMark/>
          </w:tcPr>
          <w:p w14:paraId="0A3DF3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w:t>
            </w:r>
          </w:p>
        </w:tc>
      </w:tr>
      <w:tr w:rsidR="00B15F7D" w:rsidRPr="00990FB6" w14:paraId="485EB0A9" w14:textId="77777777" w:rsidTr="000A0C22">
        <w:trPr>
          <w:trHeight w:val="312"/>
        </w:trPr>
        <w:tc>
          <w:tcPr>
            <w:tcW w:w="801" w:type="pct"/>
            <w:vMerge/>
            <w:vAlign w:val="center"/>
            <w:hideMark/>
          </w:tcPr>
          <w:p w14:paraId="552FCD46" w14:textId="77777777" w:rsidR="00B15F7D" w:rsidRPr="00990FB6" w:rsidRDefault="00B15F7D" w:rsidP="00B15F7D">
            <w:pPr>
              <w:suppressAutoHyphens w:val="0"/>
              <w:rPr>
                <w:b/>
                <w:bCs/>
                <w:color w:val="000000"/>
                <w:sz w:val="22"/>
                <w:szCs w:val="22"/>
                <w:lang w:val="es-CR" w:eastAsia="es-CR"/>
              </w:rPr>
            </w:pPr>
          </w:p>
        </w:tc>
        <w:tc>
          <w:tcPr>
            <w:tcW w:w="1186" w:type="pct"/>
            <w:shd w:val="clear" w:color="auto" w:fill="auto"/>
            <w:noWrap/>
            <w:vAlign w:val="center"/>
            <w:hideMark/>
          </w:tcPr>
          <w:p w14:paraId="25E2DFB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de Ejecución de la Pena de Puntarenas</w:t>
            </w:r>
          </w:p>
        </w:tc>
        <w:tc>
          <w:tcPr>
            <w:tcW w:w="480" w:type="pct"/>
            <w:shd w:val="clear" w:color="auto" w:fill="auto"/>
            <w:noWrap/>
            <w:vAlign w:val="center"/>
            <w:hideMark/>
          </w:tcPr>
          <w:p w14:paraId="0BACDE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411" w:type="pct"/>
            <w:shd w:val="clear" w:color="auto" w:fill="auto"/>
            <w:noWrap/>
            <w:vAlign w:val="center"/>
            <w:hideMark/>
          </w:tcPr>
          <w:p w14:paraId="01D1398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411" w:type="pct"/>
            <w:shd w:val="clear" w:color="000000" w:fill="FFFFFF"/>
            <w:noWrap/>
            <w:vAlign w:val="center"/>
            <w:hideMark/>
          </w:tcPr>
          <w:p w14:paraId="5298BEB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47" w:type="pct"/>
            <w:shd w:val="clear" w:color="000000" w:fill="FFFFFF"/>
            <w:vAlign w:val="center"/>
            <w:hideMark/>
          </w:tcPr>
          <w:p w14:paraId="48D968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618" w:type="pct"/>
            <w:shd w:val="clear" w:color="000000" w:fill="FFFFFF"/>
            <w:vAlign w:val="center"/>
            <w:hideMark/>
          </w:tcPr>
          <w:p w14:paraId="57795E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548" w:type="pct"/>
            <w:shd w:val="clear" w:color="000000" w:fill="FFFFFF"/>
            <w:vAlign w:val="center"/>
            <w:hideMark/>
          </w:tcPr>
          <w:p w14:paraId="662F87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w:t>
            </w:r>
          </w:p>
        </w:tc>
      </w:tr>
      <w:tr w:rsidR="00B15F7D" w:rsidRPr="00990FB6" w14:paraId="08D707E3" w14:textId="77777777" w:rsidTr="000A0C22">
        <w:trPr>
          <w:trHeight w:val="300"/>
        </w:trPr>
        <w:tc>
          <w:tcPr>
            <w:tcW w:w="1987" w:type="pct"/>
            <w:gridSpan w:val="2"/>
            <w:shd w:val="clear" w:color="000000" w:fill="FFFFFF"/>
            <w:vAlign w:val="center"/>
            <w:hideMark/>
          </w:tcPr>
          <w:p w14:paraId="73AC106B" w14:textId="77777777" w:rsidR="00B15F7D" w:rsidRPr="00990FB6" w:rsidRDefault="00B15F7D" w:rsidP="00B15F7D">
            <w:pPr>
              <w:suppressAutoHyphens w:val="0"/>
              <w:jc w:val="center"/>
              <w:rPr>
                <w:b/>
                <w:bCs/>
                <w:color w:val="3A3838"/>
                <w:sz w:val="22"/>
                <w:szCs w:val="22"/>
                <w:lang w:val="es-CR" w:eastAsia="es-CR"/>
              </w:rPr>
            </w:pPr>
          </w:p>
          <w:p w14:paraId="2AFECE9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Totales</w:t>
            </w:r>
          </w:p>
        </w:tc>
        <w:tc>
          <w:tcPr>
            <w:tcW w:w="480" w:type="pct"/>
            <w:shd w:val="clear" w:color="000000" w:fill="DEEAF6"/>
            <w:vAlign w:val="center"/>
            <w:hideMark/>
          </w:tcPr>
          <w:p w14:paraId="0C4811C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w:t>
            </w:r>
          </w:p>
        </w:tc>
        <w:tc>
          <w:tcPr>
            <w:tcW w:w="411" w:type="pct"/>
            <w:shd w:val="clear" w:color="000000" w:fill="DEEAF6"/>
            <w:vAlign w:val="center"/>
            <w:hideMark/>
          </w:tcPr>
          <w:p w14:paraId="43DDFAF8"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2</w:t>
            </w:r>
          </w:p>
        </w:tc>
        <w:tc>
          <w:tcPr>
            <w:tcW w:w="411" w:type="pct"/>
            <w:shd w:val="clear" w:color="000000" w:fill="DEEAF6"/>
            <w:vAlign w:val="center"/>
            <w:hideMark/>
          </w:tcPr>
          <w:p w14:paraId="35F1DE7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w:t>
            </w:r>
          </w:p>
        </w:tc>
        <w:tc>
          <w:tcPr>
            <w:tcW w:w="547" w:type="pct"/>
            <w:shd w:val="clear" w:color="000000" w:fill="DEEAF6"/>
            <w:vAlign w:val="center"/>
            <w:hideMark/>
          </w:tcPr>
          <w:p w14:paraId="1AF0B4C1"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4 658 046,00</w:t>
            </w:r>
          </w:p>
        </w:tc>
        <w:tc>
          <w:tcPr>
            <w:tcW w:w="618" w:type="pct"/>
            <w:shd w:val="clear" w:color="000000" w:fill="DEEAF6"/>
            <w:vAlign w:val="center"/>
            <w:hideMark/>
          </w:tcPr>
          <w:p w14:paraId="1F53201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3 176 760,00 </w:t>
            </w:r>
          </w:p>
        </w:tc>
        <w:tc>
          <w:tcPr>
            <w:tcW w:w="548" w:type="pct"/>
            <w:shd w:val="clear" w:color="000000" w:fill="DEEAF6"/>
            <w:vAlign w:val="center"/>
            <w:hideMark/>
          </w:tcPr>
          <w:p w14:paraId="5301D86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7 834 806,00 </w:t>
            </w:r>
          </w:p>
        </w:tc>
      </w:tr>
    </w:tbl>
    <w:p w14:paraId="3C56529A" w14:textId="77777777" w:rsidR="00B15F7D" w:rsidRPr="00990FB6" w:rsidRDefault="00B15F7D" w:rsidP="00B15F7D">
      <w:pPr>
        <w:suppressAutoHyphens w:val="0"/>
        <w:contextualSpacing/>
        <w:jc w:val="both"/>
        <w:rPr>
          <w:rFonts w:eastAsia="Calibri"/>
          <w:sz w:val="22"/>
          <w:szCs w:val="22"/>
          <w:lang w:val="es-CR" w:eastAsia="en-US"/>
        </w:rPr>
      </w:pPr>
    </w:p>
    <w:p w14:paraId="56ABAE31"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Juzgados de Ejecución de la se estima ¢215 384 000, 00 y los costos variables asociados en ¢7 834 806.00.</w:t>
      </w:r>
    </w:p>
    <w:p w14:paraId="13467C40"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p>
    <w:p w14:paraId="12194CB0"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r w:rsidRPr="00990FB6">
        <w:rPr>
          <w:rFonts w:eastAsia="Calibri"/>
          <w:b/>
          <w:bCs/>
          <w:sz w:val="22"/>
          <w:szCs w:val="22"/>
          <w:u w:val="single"/>
          <w:lang w:val="es-CR" w:eastAsia="en-US"/>
        </w:rPr>
        <w:t>En resumen, el escenario # 2 tiene el siguiente costo:</w:t>
      </w:r>
    </w:p>
    <w:p w14:paraId="6F9FC09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tbl>
      <w:tblPr>
        <w:tblW w:w="7787" w:type="dxa"/>
        <w:jc w:val="center"/>
        <w:tblCellMar>
          <w:left w:w="70" w:type="dxa"/>
          <w:right w:w="70" w:type="dxa"/>
        </w:tblCellMar>
        <w:tblLook w:val="04A0" w:firstRow="1" w:lastRow="0" w:firstColumn="1" w:lastColumn="0" w:noHBand="0" w:noVBand="1"/>
      </w:tblPr>
      <w:tblGrid>
        <w:gridCol w:w="2780"/>
        <w:gridCol w:w="1746"/>
        <w:gridCol w:w="1560"/>
        <w:gridCol w:w="1701"/>
      </w:tblGrid>
      <w:tr w:rsidR="00B15F7D" w:rsidRPr="00990FB6" w14:paraId="6FAD3BC6" w14:textId="77777777" w:rsidTr="000A0C22">
        <w:trPr>
          <w:trHeight w:val="300"/>
          <w:jc w:val="center"/>
        </w:trPr>
        <w:tc>
          <w:tcPr>
            <w:tcW w:w="2780" w:type="dxa"/>
            <w:vMerge w:val="restart"/>
            <w:tcBorders>
              <w:top w:val="single" w:sz="8" w:space="0" w:color="E7E6E6"/>
              <w:left w:val="single" w:sz="8" w:space="0" w:color="E7E6E6"/>
              <w:bottom w:val="nil"/>
              <w:right w:val="nil"/>
            </w:tcBorders>
            <w:shd w:val="clear" w:color="000000" w:fill="305496"/>
            <w:vAlign w:val="center"/>
            <w:hideMark/>
          </w:tcPr>
          <w:p w14:paraId="5EAB899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3306" w:type="dxa"/>
            <w:gridSpan w:val="2"/>
            <w:tcBorders>
              <w:top w:val="single" w:sz="8" w:space="0" w:color="E7E6E6"/>
              <w:left w:val="single" w:sz="8" w:space="0" w:color="E7E6E6"/>
              <w:bottom w:val="single" w:sz="8" w:space="0" w:color="E7E6E6"/>
              <w:right w:val="nil"/>
            </w:tcBorders>
            <w:shd w:val="clear" w:color="000000" w:fill="5B9BD5"/>
            <w:noWrap/>
            <w:vAlign w:val="center"/>
            <w:hideMark/>
          </w:tcPr>
          <w:p w14:paraId="75C9422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PROGRAMA</w:t>
            </w:r>
          </w:p>
        </w:tc>
        <w:tc>
          <w:tcPr>
            <w:tcW w:w="1701" w:type="dxa"/>
            <w:vMerge w:val="restart"/>
            <w:tcBorders>
              <w:top w:val="single" w:sz="8" w:space="0" w:color="E7E6E6"/>
              <w:left w:val="single" w:sz="8" w:space="0" w:color="E7E6E6"/>
              <w:bottom w:val="nil"/>
              <w:right w:val="nil"/>
            </w:tcBorders>
            <w:shd w:val="clear" w:color="000000" w:fill="305496"/>
            <w:vAlign w:val="center"/>
            <w:hideMark/>
          </w:tcPr>
          <w:p w14:paraId="44FB16F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285EA785" w14:textId="77777777" w:rsidTr="000A0C22">
        <w:trPr>
          <w:trHeight w:val="300"/>
          <w:jc w:val="center"/>
        </w:trPr>
        <w:tc>
          <w:tcPr>
            <w:tcW w:w="2780" w:type="dxa"/>
            <w:vMerge/>
            <w:tcBorders>
              <w:top w:val="single" w:sz="8" w:space="0" w:color="E7E6E6"/>
              <w:left w:val="single" w:sz="8" w:space="0" w:color="E7E6E6"/>
              <w:bottom w:val="nil"/>
              <w:right w:val="nil"/>
            </w:tcBorders>
            <w:vAlign w:val="center"/>
            <w:hideMark/>
          </w:tcPr>
          <w:p w14:paraId="63DB1BA8" w14:textId="77777777" w:rsidR="00B15F7D" w:rsidRPr="00990FB6" w:rsidRDefault="00B15F7D" w:rsidP="00B15F7D">
            <w:pPr>
              <w:suppressAutoHyphens w:val="0"/>
              <w:rPr>
                <w:b/>
                <w:bCs/>
                <w:color w:val="FFFFFF"/>
                <w:sz w:val="22"/>
                <w:szCs w:val="22"/>
                <w:lang w:val="es-CR" w:eastAsia="es-CR"/>
              </w:rPr>
            </w:pPr>
          </w:p>
        </w:tc>
        <w:tc>
          <w:tcPr>
            <w:tcW w:w="1746" w:type="dxa"/>
            <w:tcBorders>
              <w:top w:val="nil"/>
              <w:left w:val="single" w:sz="8" w:space="0" w:color="E7E6E6"/>
              <w:bottom w:val="nil"/>
              <w:right w:val="nil"/>
            </w:tcBorders>
            <w:shd w:val="clear" w:color="000000" w:fill="305496"/>
            <w:vAlign w:val="center"/>
            <w:hideMark/>
          </w:tcPr>
          <w:p w14:paraId="67C0D84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927</w:t>
            </w:r>
          </w:p>
        </w:tc>
        <w:tc>
          <w:tcPr>
            <w:tcW w:w="1560" w:type="dxa"/>
            <w:tcBorders>
              <w:top w:val="nil"/>
              <w:left w:val="single" w:sz="8" w:space="0" w:color="E7E6E6"/>
              <w:bottom w:val="nil"/>
              <w:right w:val="nil"/>
            </w:tcBorders>
            <w:shd w:val="clear" w:color="000000" w:fill="305496"/>
            <w:vAlign w:val="center"/>
            <w:hideMark/>
          </w:tcPr>
          <w:p w14:paraId="6C35998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929</w:t>
            </w:r>
          </w:p>
        </w:tc>
        <w:tc>
          <w:tcPr>
            <w:tcW w:w="1701" w:type="dxa"/>
            <w:vMerge/>
            <w:tcBorders>
              <w:top w:val="single" w:sz="8" w:space="0" w:color="E7E6E6"/>
              <w:left w:val="single" w:sz="8" w:space="0" w:color="E7E6E6"/>
              <w:bottom w:val="nil"/>
              <w:right w:val="nil"/>
            </w:tcBorders>
            <w:vAlign w:val="center"/>
            <w:hideMark/>
          </w:tcPr>
          <w:p w14:paraId="5F505877" w14:textId="77777777" w:rsidR="00B15F7D" w:rsidRPr="00990FB6" w:rsidRDefault="00B15F7D" w:rsidP="00B15F7D">
            <w:pPr>
              <w:suppressAutoHyphens w:val="0"/>
              <w:rPr>
                <w:b/>
                <w:bCs/>
                <w:color w:val="FFFFFF"/>
                <w:sz w:val="22"/>
                <w:szCs w:val="22"/>
                <w:lang w:val="es-CR" w:eastAsia="es-CR"/>
              </w:rPr>
            </w:pPr>
          </w:p>
        </w:tc>
      </w:tr>
      <w:tr w:rsidR="00B15F7D" w:rsidRPr="00990FB6" w14:paraId="125529DA" w14:textId="77777777" w:rsidTr="000A0C22">
        <w:trPr>
          <w:trHeight w:val="300"/>
          <w:jc w:val="center"/>
        </w:trPr>
        <w:tc>
          <w:tcPr>
            <w:tcW w:w="2780" w:type="dxa"/>
            <w:tcBorders>
              <w:top w:val="single" w:sz="8" w:space="0" w:color="E7E6E6"/>
              <w:left w:val="single" w:sz="8" w:space="0" w:color="E7E6E6"/>
              <w:bottom w:val="single" w:sz="8" w:space="0" w:color="E7E6E6"/>
              <w:right w:val="single" w:sz="8" w:space="0" w:color="E7E6E6"/>
            </w:tcBorders>
            <w:shd w:val="clear" w:color="auto" w:fill="auto"/>
            <w:vAlign w:val="center"/>
            <w:hideMark/>
          </w:tcPr>
          <w:p w14:paraId="524D6E6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Recurso Humano</w:t>
            </w:r>
          </w:p>
        </w:tc>
        <w:tc>
          <w:tcPr>
            <w:tcW w:w="1746" w:type="dxa"/>
            <w:tcBorders>
              <w:top w:val="single" w:sz="8" w:space="0" w:color="E7E6E6"/>
              <w:left w:val="nil"/>
              <w:bottom w:val="single" w:sz="8" w:space="0" w:color="E7E6E6"/>
              <w:right w:val="single" w:sz="8" w:space="0" w:color="E7E6E6"/>
            </w:tcBorders>
            <w:shd w:val="clear" w:color="auto" w:fill="auto"/>
            <w:vAlign w:val="center"/>
            <w:hideMark/>
          </w:tcPr>
          <w:p w14:paraId="7F927F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1 330 374 000,00 </w:t>
            </w:r>
          </w:p>
        </w:tc>
        <w:tc>
          <w:tcPr>
            <w:tcW w:w="1560" w:type="dxa"/>
            <w:tcBorders>
              <w:top w:val="single" w:sz="8" w:space="0" w:color="E7E6E6"/>
              <w:left w:val="nil"/>
              <w:bottom w:val="single" w:sz="8" w:space="0" w:color="E7E6E6"/>
              <w:right w:val="single" w:sz="8" w:space="0" w:color="E7E6E6"/>
            </w:tcBorders>
            <w:shd w:val="clear" w:color="auto" w:fill="auto"/>
            <w:vAlign w:val="center"/>
            <w:hideMark/>
          </w:tcPr>
          <w:p w14:paraId="322C702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164 589 000,00 </w:t>
            </w:r>
          </w:p>
        </w:tc>
        <w:tc>
          <w:tcPr>
            <w:tcW w:w="1701" w:type="dxa"/>
            <w:tcBorders>
              <w:top w:val="single" w:sz="8" w:space="0" w:color="E7E6E6"/>
              <w:left w:val="nil"/>
              <w:bottom w:val="single" w:sz="8" w:space="0" w:color="E7E6E6"/>
              <w:right w:val="single" w:sz="8" w:space="0" w:color="E7E6E6"/>
            </w:tcBorders>
            <w:shd w:val="clear" w:color="auto" w:fill="auto"/>
            <w:vAlign w:val="center"/>
            <w:hideMark/>
          </w:tcPr>
          <w:p w14:paraId="6DD7FE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₡1 494 963 000,00</w:t>
            </w:r>
          </w:p>
        </w:tc>
      </w:tr>
      <w:tr w:rsidR="00B15F7D" w:rsidRPr="00990FB6" w14:paraId="435B2C4E" w14:textId="77777777" w:rsidTr="000A0C22">
        <w:trPr>
          <w:trHeight w:val="540"/>
          <w:jc w:val="center"/>
        </w:trPr>
        <w:tc>
          <w:tcPr>
            <w:tcW w:w="2780" w:type="dxa"/>
            <w:tcBorders>
              <w:top w:val="nil"/>
              <w:left w:val="single" w:sz="8" w:space="0" w:color="E7E6E6"/>
              <w:bottom w:val="single" w:sz="8" w:space="0" w:color="E7E6E6"/>
              <w:right w:val="single" w:sz="8" w:space="0" w:color="E7E6E6"/>
            </w:tcBorders>
            <w:shd w:val="clear" w:color="auto" w:fill="auto"/>
            <w:vAlign w:val="center"/>
            <w:hideMark/>
          </w:tcPr>
          <w:p w14:paraId="68334DD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Equipo y mobiliario de plazas nuevas</w:t>
            </w:r>
          </w:p>
        </w:tc>
        <w:tc>
          <w:tcPr>
            <w:tcW w:w="1746" w:type="dxa"/>
            <w:tcBorders>
              <w:top w:val="nil"/>
              <w:left w:val="nil"/>
              <w:bottom w:val="single" w:sz="8" w:space="0" w:color="E7E6E6"/>
              <w:right w:val="single" w:sz="8" w:space="0" w:color="E7E6E6"/>
            </w:tcBorders>
            <w:shd w:val="clear" w:color="auto" w:fill="auto"/>
            <w:vAlign w:val="center"/>
            <w:hideMark/>
          </w:tcPr>
          <w:p w14:paraId="133EDD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48 067 756,00 </w:t>
            </w:r>
          </w:p>
        </w:tc>
        <w:tc>
          <w:tcPr>
            <w:tcW w:w="1560" w:type="dxa"/>
            <w:tcBorders>
              <w:top w:val="nil"/>
              <w:left w:val="nil"/>
              <w:bottom w:val="single" w:sz="8" w:space="0" w:color="E7E6E6"/>
              <w:right w:val="single" w:sz="8" w:space="0" w:color="E7E6E6"/>
            </w:tcBorders>
            <w:shd w:val="clear" w:color="auto" w:fill="auto"/>
            <w:vAlign w:val="center"/>
            <w:hideMark/>
          </w:tcPr>
          <w:p w14:paraId="6DC6EC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4 658 046,00 </w:t>
            </w:r>
          </w:p>
        </w:tc>
        <w:tc>
          <w:tcPr>
            <w:tcW w:w="1701" w:type="dxa"/>
            <w:tcBorders>
              <w:top w:val="nil"/>
              <w:left w:val="nil"/>
              <w:bottom w:val="single" w:sz="8" w:space="0" w:color="E7E6E6"/>
              <w:right w:val="single" w:sz="8" w:space="0" w:color="E7E6E6"/>
            </w:tcBorders>
            <w:shd w:val="clear" w:color="auto" w:fill="auto"/>
            <w:vAlign w:val="center"/>
            <w:hideMark/>
          </w:tcPr>
          <w:p w14:paraId="035A89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₡52 725 802,00</w:t>
            </w:r>
          </w:p>
        </w:tc>
      </w:tr>
      <w:tr w:rsidR="00B15F7D" w:rsidRPr="00990FB6" w14:paraId="017D2065" w14:textId="77777777" w:rsidTr="000A0C22">
        <w:trPr>
          <w:trHeight w:val="300"/>
          <w:jc w:val="center"/>
        </w:trPr>
        <w:tc>
          <w:tcPr>
            <w:tcW w:w="2780" w:type="dxa"/>
            <w:tcBorders>
              <w:top w:val="nil"/>
              <w:left w:val="single" w:sz="8" w:space="0" w:color="E7E6E6"/>
              <w:bottom w:val="single" w:sz="8" w:space="0" w:color="E7E6E6"/>
              <w:right w:val="single" w:sz="8" w:space="0" w:color="E7E6E6"/>
            </w:tcBorders>
            <w:shd w:val="clear" w:color="000000" w:fill="DEEAF6"/>
            <w:vAlign w:val="center"/>
            <w:hideMark/>
          </w:tcPr>
          <w:p w14:paraId="1BBF7684"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xml:space="preserve">TOTAL COSTOS ESTIMADOS </w:t>
            </w:r>
          </w:p>
        </w:tc>
        <w:tc>
          <w:tcPr>
            <w:tcW w:w="1746" w:type="dxa"/>
            <w:tcBorders>
              <w:top w:val="nil"/>
              <w:left w:val="nil"/>
              <w:bottom w:val="single" w:sz="8" w:space="0" w:color="E7E6E6"/>
              <w:right w:val="single" w:sz="8" w:space="0" w:color="E7E6E6"/>
            </w:tcBorders>
            <w:shd w:val="clear" w:color="000000" w:fill="DEEAF6"/>
            <w:vAlign w:val="center"/>
            <w:hideMark/>
          </w:tcPr>
          <w:p w14:paraId="1B32790D"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₡1 378 441 756,00</w:t>
            </w:r>
          </w:p>
        </w:tc>
        <w:tc>
          <w:tcPr>
            <w:tcW w:w="1560" w:type="dxa"/>
            <w:tcBorders>
              <w:top w:val="nil"/>
              <w:left w:val="nil"/>
              <w:bottom w:val="single" w:sz="8" w:space="0" w:color="E7E6E6"/>
              <w:right w:val="single" w:sz="8" w:space="0" w:color="E7E6E6"/>
            </w:tcBorders>
            <w:shd w:val="clear" w:color="000000" w:fill="DEEAF6"/>
            <w:vAlign w:val="center"/>
            <w:hideMark/>
          </w:tcPr>
          <w:p w14:paraId="7A5AAC0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₡169 247 046,00</w:t>
            </w:r>
          </w:p>
        </w:tc>
        <w:tc>
          <w:tcPr>
            <w:tcW w:w="1701" w:type="dxa"/>
            <w:tcBorders>
              <w:top w:val="nil"/>
              <w:left w:val="nil"/>
              <w:bottom w:val="single" w:sz="8" w:space="0" w:color="E7E6E6"/>
              <w:right w:val="single" w:sz="8" w:space="0" w:color="E7E6E6"/>
            </w:tcBorders>
            <w:shd w:val="clear" w:color="000000" w:fill="DEEAF6"/>
            <w:vAlign w:val="center"/>
            <w:hideMark/>
          </w:tcPr>
          <w:p w14:paraId="0387881B"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₡1 547 688 802,00</w:t>
            </w:r>
          </w:p>
        </w:tc>
      </w:tr>
    </w:tbl>
    <w:p w14:paraId="38507917" w14:textId="77777777" w:rsidR="00B15F7D" w:rsidRPr="00990FB6" w:rsidRDefault="00B15F7D" w:rsidP="00B15F7D">
      <w:pPr>
        <w:suppressAutoHyphens w:val="0"/>
        <w:contextualSpacing/>
        <w:jc w:val="both"/>
        <w:rPr>
          <w:rFonts w:eastAsia="Calibri"/>
          <w:b/>
          <w:bCs/>
          <w:sz w:val="22"/>
          <w:szCs w:val="22"/>
          <w:lang w:val="es-CR" w:eastAsia="en-US"/>
        </w:rPr>
      </w:pPr>
    </w:p>
    <w:p w14:paraId="02423C41" w14:textId="77777777" w:rsidR="00B15F7D" w:rsidRPr="00990FB6" w:rsidRDefault="00B15F7D" w:rsidP="00B15F7D">
      <w:pPr>
        <w:numPr>
          <w:ilvl w:val="0"/>
          <w:numId w:val="134"/>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Escenario #3</w:t>
      </w:r>
    </w:p>
    <w:p w14:paraId="420E40D6" w14:textId="77777777" w:rsidR="00B15F7D" w:rsidRPr="00990FB6" w:rsidRDefault="00B15F7D" w:rsidP="00B15F7D">
      <w:pPr>
        <w:suppressAutoHyphens w:val="0"/>
        <w:ind w:left="1560" w:right="851"/>
        <w:contextualSpacing/>
        <w:jc w:val="both"/>
        <w:rPr>
          <w:rFonts w:eastAsia="Calibri"/>
          <w:b/>
          <w:bCs/>
          <w:sz w:val="22"/>
          <w:szCs w:val="22"/>
          <w:lang w:val="es-CR" w:eastAsia="en-US"/>
        </w:rPr>
      </w:pPr>
    </w:p>
    <w:p w14:paraId="37DA2690"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 recomienda aprobar únicamente la transformación de permisos con goce de salario vigentes en los despachos penales a plazas extraordinarias; a saber: 3 en los Juzgados Penales y 24 plazas en los Tribunales Penales.</w:t>
      </w:r>
    </w:p>
    <w:p w14:paraId="4706447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67D877C" w14:textId="77777777" w:rsidR="00B15F7D" w:rsidRPr="00990FB6" w:rsidRDefault="00B15F7D" w:rsidP="00B15F7D">
      <w:pPr>
        <w:numPr>
          <w:ilvl w:val="1"/>
          <w:numId w:val="134"/>
        </w:numPr>
        <w:suppressAutoHyphens w:val="0"/>
        <w:ind w:left="851" w:right="851" w:firstLine="709"/>
        <w:contextualSpacing/>
        <w:jc w:val="both"/>
        <w:rPr>
          <w:rFonts w:eastAsia="Calibri"/>
          <w:sz w:val="22"/>
          <w:szCs w:val="22"/>
          <w:u w:val="single"/>
          <w:lang w:val="es-CR" w:eastAsia="en-US"/>
        </w:rPr>
      </w:pPr>
      <w:r w:rsidRPr="00990FB6">
        <w:rPr>
          <w:rFonts w:eastAsia="Calibri"/>
          <w:sz w:val="22"/>
          <w:szCs w:val="22"/>
          <w:u w:val="single"/>
          <w:lang w:val="es-CR" w:eastAsia="en-US"/>
        </w:rPr>
        <w:t>Juzgados Penales</w:t>
      </w:r>
    </w:p>
    <w:p w14:paraId="28C37C5C" w14:textId="77777777" w:rsidR="00B15F7D" w:rsidRPr="00990FB6" w:rsidRDefault="00B15F7D" w:rsidP="00B15F7D">
      <w:pPr>
        <w:suppressAutoHyphens w:val="0"/>
        <w:ind w:left="851" w:right="851" w:firstLine="709"/>
        <w:contextualSpacing/>
        <w:jc w:val="both"/>
        <w:rPr>
          <w:rFonts w:eastAsia="Calibri"/>
          <w:sz w:val="22"/>
          <w:szCs w:val="22"/>
          <w:u w:val="single"/>
          <w:lang w:val="es-CR" w:eastAsia="en-US"/>
        </w:rPr>
      </w:pPr>
    </w:p>
    <w:p w14:paraId="6E86A6DE" w14:textId="77777777" w:rsidR="00B15F7D" w:rsidRPr="00990FB6" w:rsidRDefault="00B15F7D" w:rsidP="00B15F7D">
      <w:pPr>
        <w:numPr>
          <w:ilvl w:val="0"/>
          <w:numId w:val="141"/>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Seguidamente se detallan las plazas nuevas de forma ordinaria que se recomienda crear para los Juzgados Penales:</w:t>
      </w:r>
    </w:p>
    <w:p w14:paraId="3EBC7D7F" w14:textId="77777777" w:rsidR="00B15F7D" w:rsidRPr="00990FB6" w:rsidRDefault="00B15F7D" w:rsidP="00B15F7D">
      <w:pPr>
        <w:suppressAutoHyphens w:val="0"/>
        <w:ind w:left="851" w:right="851" w:firstLine="709"/>
        <w:contextualSpacing/>
        <w:jc w:val="both"/>
        <w:rPr>
          <w:rFonts w:eastAsia="Calibri"/>
          <w:sz w:val="22"/>
          <w:szCs w:val="22"/>
          <w:u w:val="single"/>
          <w:lang w:val="es-CR" w:eastAsia="en-US"/>
        </w:rPr>
      </w:pPr>
    </w:p>
    <w:tbl>
      <w:tblPr>
        <w:tblW w:w="8354" w:type="dxa"/>
        <w:tblCellMar>
          <w:left w:w="70" w:type="dxa"/>
          <w:right w:w="70" w:type="dxa"/>
        </w:tblCellMar>
        <w:tblLook w:val="04A0" w:firstRow="1" w:lastRow="0" w:firstColumn="1" w:lastColumn="0" w:noHBand="0" w:noVBand="1"/>
      </w:tblPr>
      <w:tblGrid>
        <w:gridCol w:w="1491"/>
        <w:gridCol w:w="2321"/>
        <w:gridCol w:w="2008"/>
        <w:gridCol w:w="1368"/>
        <w:gridCol w:w="1640"/>
      </w:tblGrid>
      <w:tr w:rsidR="00B15F7D" w:rsidRPr="00990FB6" w14:paraId="0B5D333B" w14:textId="77777777" w:rsidTr="000A0C22">
        <w:trPr>
          <w:trHeight w:val="300"/>
        </w:trPr>
        <w:tc>
          <w:tcPr>
            <w:tcW w:w="1245"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60274BE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410"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5E96A8F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580" w:type="dxa"/>
            <w:tcBorders>
              <w:top w:val="nil"/>
              <w:left w:val="nil"/>
              <w:bottom w:val="single" w:sz="8" w:space="0" w:color="E7E6E6"/>
              <w:right w:val="nil"/>
            </w:tcBorders>
            <w:shd w:val="clear" w:color="000000" w:fill="5B9BD5"/>
            <w:noWrap/>
            <w:vAlign w:val="center"/>
            <w:hideMark/>
          </w:tcPr>
          <w:p w14:paraId="54DBF3DA" w14:textId="77777777" w:rsidR="00B15F7D" w:rsidRPr="00990FB6" w:rsidRDefault="00B15F7D" w:rsidP="00B15F7D">
            <w:pPr>
              <w:suppressAutoHyphens w:val="0"/>
              <w:rPr>
                <w:b/>
                <w:bCs/>
                <w:color w:val="FFFFFF"/>
                <w:sz w:val="22"/>
                <w:szCs w:val="22"/>
                <w:lang w:val="es-CR" w:eastAsia="es-CR"/>
              </w:rPr>
            </w:pPr>
            <w:r w:rsidRPr="00990FB6">
              <w:rPr>
                <w:b/>
                <w:bCs/>
                <w:color w:val="FFFFFF"/>
                <w:sz w:val="22"/>
                <w:szCs w:val="22"/>
                <w:lang w:val="es-CR" w:eastAsia="es-CR"/>
              </w:rPr>
              <w:t>REQUERIMIENTO</w:t>
            </w:r>
          </w:p>
        </w:tc>
        <w:tc>
          <w:tcPr>
            <w:tcW w:w="3119" w:type="dxa"/>
            <w:gridSpan w:val="2"/>
            <w:tcBorders>
              <w:top w:val="single" w:sz="8" w:space="0" w:color="E7E6E6"/>
              <w:left w:val="single" w:sz="8" w:space="0" w:color="E7E6E6"/>
              <w:bottom w:val="single" w:sz="8" w:space="0" w:color="E7E6E6"/>
              <w:right w:val="nil"/>
            </w:tcBorders>
            <w:shd w:val="clear" w:color="000000" w:fill="5B9BD5"/>
            <w:noWrap/>
            <w:vAlign w:val="center"/>
            <w:hideMark/>
          </w:tcPr>
          <w:p w14:paraId="1526C4E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29C48573" w14:textId="77777777" w:rsidTr="000A0C22">
        <w:trPr>
          <w:trHeight w:val="492"/>
        </w:trPr>
        <w:tc>
          <w:tcPr>
            <w:tcW w:w="1245" w:type="dxa"/>
            <w:vMerge/>
            <w:tcBorders>
              <w:top w:val="single" w:sz="8" w:space="0" w:color="E7E6E6"/>
              <w:left w:val="single" w:sz="8" w:space="0" w:color="E7E6E6"/>
              <w:bottom w:val="single" w:sz="8" w:space="0" w:color="E7E6E6"/>
              <w:right w:val="single" w:sz="8" w:space="0" w:color="E7E6E6"/>
            </w:tcBorders>
            <w:vAlign w:val="center"/>
            <w:hideMark/>
          </w:tcPr>
          <w:p w14:paraId="11831955" w14:textId="77777777" w:rsidR="00B15F7D" w:rsidRPr="00990FB6" w:rsidRDefault="00B15F7D" w:rsidP="00B15F7D">
            <w:pPr>
              <w:suppressAutoHyphens w:val="0"/>
              <w:rPr>
                <w:b/>
                <w:bCs/>
                <w:color w:val="FFFFFF"/>
                <w:sz w:val="22"/>
                <w:szCs w:val="22"/>
                <w:lang w:val="es-CR" w:eastAsia="es-CR"/>
              </w:rPr>
            </w:pPr>
          </w:p>
        </w:tc>
        <w:tc>
          <w:tcPr>
            <w:tcW w:w="2410" w:type="dxa"/>
            <w:vMerge/>
            <w:tcBorders>
              <w:top w:val="single" w:sz="8" w:space="0" w:color="E7E6E6"/>
              <w:left w:val="single" w:sz="8" w:space="0" w:color="E7E6E6"/>
              <w:bottom w:val="single" w:sz="8" w:space="0" w:color="E7E6E6"/>
              <w:right w:val="single" w:sz="8" w:space="0" w:color="E7E6E6"/>
            </w:tcBorders>
            <w:vAlign w:val="center"/>
            <w:hideMark/>
          </w:tcPr>
          <w:p w14:paraId="6D6F7C83" w14:textId="77777777" w:rsidR="00B15F7D" w:rsidRPr="00990FB6" w:rsidRDefault="00B15F7D" w:rsidP="00B15F7D">
            <w:pPr>
              <w:suppressAutoHyphens w:val="0"/>
              <w:rPr>
                <w:b/>
                <w:bCs/>
                <w:color w:val="FFFFFF"/>
                <w:sz w:val="22"/>
                <w:szCs w:val="22"/>
                <w:lang w:val="es-CR" w:eastAsia="es-CR"/>
              </w:rPr>
            </w:pPr>
          </w:p>
        </w:tc>
        <w:tc>
          <w:tcPr>
            <w:tcW w:w="1580" w:type="dxa"/>
            <w:tcBorders>
              <w:top w:val="nil"/>
              <w:left w:val="nil"/>
              <w:bottom w:val="single" w:sz="8" w:space="0" w:color="E7E6E6"/>
              <w:right w:val="single" w:sz="8" w:space="0" w:color="E7E6E6"/>
            </w:tcBorders>
            <w:shd w:val="clear" w:color="000000" w:fill="305496"/>
            <w:vAlign w:val="center"/>
            <w:hideMark/>
          </w:tcPr>
          <w:p w14:paraId="690894F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1418" w:type="dxa"/>
            <w:tcBorders>
              <w:top w:val="nil"/>
              <w:left w:val="nil"/>
              <w:bottom w:val="single" w:sz="8" w:space="0" w:color="E7E6E6"/>
              <w:right w:val="single" w:sz="8" w:space="0" w:color="E7E6E6"/>
            </w:tcBorders>
            <w:shd w:val="clear" w:color="000000" w:fill="305496"/>
            <w:vAlign w:val="center"/>
            <w:hideMark/>
          </w:tcPr>
          <w:p w14:paraId="0948A13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2</w:t>
            </w:r>
          </w:p>
        </w:tc>
        <w:tc>
          <w:tcPr>
            <w:tcW w:w="1701" w:type="dxa"/>
            <w:tcBorders>
              <w:top w:val="nil"/>
              <w:left w:val="nil"/>
              <w:bottom w:val="single" w:sz="8" w:space="0" w:color="E7E6E6"/>
              <w:right w:val="single" w:sz="8" w:space="0" w:color="E7E6E6"/>
            </w:tcBorders>
            <w:shd w:val="clear" w:color="000000" w:fill="305496"/>
            <w:vAlign w:val="center"/>
            <w:hideMark/>
          </w:tcPr>
          <w:p w14:paraId="425DF67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por anual puesto</w:t>
            </w:r>
          </w:p>
        </w:tc>
      </w:tr>
      <w:tr w:rsidR="00B15F7D" w:rsidRPr="00990FB6" w14:paraId="479FA7A4" w14:textId="77777777" w:rsidTr="000A0C22">
        <w:trPr>
          <w:trHeight w:val="300"/>
        </w:trPr>
        <w:tc>
          <w:tcPr>
            <w:tcW w:w="1245" w:type="dxa"/>
            <w:vMerge w:val="restart"/>
            <w:tcBorders>
              <w:top w:val="nil"/>
              <w:left w:val="single" w:sz="8" w:space="0" w:color="E7E6E6"/>
              <w:bottom w:val="single" w:sz="8" w:space="0" w:color="E7E6E6"/>
              <w:right w:val="single" w:sz="8" w:space="0" w:color="E7E6E6"/>
            </w:tcBorders>
            <w:shd w:val="clear" w:color="000000" w:fill="FFFFFF"/>
            <w:vAlign w:val="center"/>
            <w:hideMark/>
          </w:tcPr>
          <w:p w14:paraId="7340674A"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lastRenderedPageBreak/>
              <w:t>927- Servicio Jurisdiccional</w:t>
            </w:r>
          </w:p>
        </w:tc>
        <w:tc>
          <w:tcPr>
            <w:tcW w:w="2410" w:type="dxa"/>
            <w:tcBorders>
              <w:top w:val="nil"/>
              <w:left w:val="nil"/>
              <w:bottom w:val="single" w:sz="8" w:space="0" w:color="E7E6E6"/>
              <w:right w:val="single" w:sz="8" w:space="0" w:color="E7E6E6"/>
            </w:tcBorders>
            <w:shd w:val="clear" w:color="000000" w:fill="FFFFFF"/>
            <w:noWrap/>
            <w:vAlign w:val="bottom"/>
            <w:hideMark/>
          </w:tcPr>
          <w:p w14:paraId="08C76BE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Garabito</w:t>
            </w:r>
          </w:p>
        </w:tc>
        <w:tc>
          <w:tcPr>
            <w:tcW w:w="1580" w:type="dxa"/>
            <w:tcBorders>
              <w:top w:val="nil"/>
              <w:left w:val="nil"/>
              <w:bottom w:val="single" w:sz="8" w:space="0" w:color="E7E6E6"/>
              <w:right w:val="single" w:sz="8" w:space="0" w:color="E7E6E6"/>
            </w:tcBorders>
            <w:shd w:val="clear" w:color="000000" w:fill="FFFFFF"/>
            <w:noWrap/>
            <w:vAlign w:val="bottom"/>
            <w:hideMark/>
          </w:tcPr>
          <w:p w14:paraId="65837E0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8" w:type="dxa"/>
            <w:vMerge w:val="restart"/>
            <w:tcBorders>
              <w:top w:val="nil"/>
              <w:left w:val="single" w:sz="8" w:space="0" w:color="E7E6E6"/>
              <w:bottom w:val="single" w:sz="8" w:space="0" w:color="E7E6E6"/>
              <w:right w:val="single" w:sz="8" w:space="0" w:color="E7E6E6"/>
            </w:tcBorders>
            <w:shd w:val="clear" w:color="000000" w:fill="FFFFFF"/>
            <w:vAlign w:val="center"/>
            <w:hideMark/>
          </w:tcPr>
          <w:p w14:paraId="00865E63" w14:textId="77777777" w:rsidR="00B15F7D" w:rsidRPr="00990FB6" w:rsidRDefault="00B15F7D" w:rsidP="00B15F7D">
            <w:pPr>
              <w:suppressAutoHyphens w:val="0"/>
              <w:jc w:val="center"/>
              <w:rPr>
                <w:sz w:val="22"/>
                <w:szCs w:val="22"/>
                <w:lang w:val="es-CR" w:eastAsia="es-CR"/>
              </w:rPr>
            </w:pPr>
            <w:r w:rsidRPr="00990FB6">
              <w:rPr>
                <w:sz w:val="22"/>
                <w:szCs w:val="22"/>
                <w:lang w:val="es-CR" w:eastAsia="es-CR"/>
              </w:rPr>
              <w:t xml:space="preserve"> ₡ 15 945 000,00 </w:t>
            </w:r>
          </w:p>
        </w:tc>
        <w:tc>
          <w:tcPr>
            <w:tcW w:w="1701" w:type="dxa"/>
            <w:tcBorders>
              <w:top w:val="nil"/>
              <w:left w:val="nil"/>
              <w:bottom w:val="single" w:sz="8" w:space="0" w:color="E7E6E6"/>
              <w:right w:val="single" w:sz="8" w:space="0" w:color="E7E6E6"/>
            </w:tcBorders>
            <w:shd w:val="clear" w:color="000000" w:fill="FFFFFF"/>
            <w:vAlign w:val="center"/>
            <w:hideMark/>
          </w:tcPr>
          <w:p w14:paraId="3DDFA3E7"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15 945 000,00 </w:t>
            </w:r>
          </w:p>
        </w:tc>
      </w:tr>
      <w:tr w:rsidR="00B15F7D" w:rsidRPr="00990FB6" w14:paraId="639D6733" w14:textId="77777777" w:rsidTr="000A0C22">
        <w:trPr>
          <w:trHeight w:val="300"/>
        </w:trPr>
        <w:tc>
          <w:tcPr>
            <w:tcW w:w="1245" w:type="dxa"/>
            <w:vMerge/>
            <w:tcBorders>
              <w:top w:val="nil"/>
              <w:left w:val="single" w:sz="8" w:space="0" w:color="E7E6E6"/>
              <w:bottom w:val="single" w:sz="8" w:space="0" w:color="E7E6E6"/>
              <w:right w:val="single" w:sz="8" w:space="0" w:color="E7E6E6"/>
            </w:tcBorders>
            <w:vAlign w:val="center"/>
            <w:hideMark/>
          </w:tcPr>
          <w:p w14:paraId="52EF11E6" w14:textId="77777777" w:rsidR="00B15F7D" w:rsidRPr="00990FB6" w:rsidRDefault="00B15F7D" w:rsidP="00B15F7D">
            <w:pPr>
              <w:suppressAutoHyphens w:val="0"/>
              <w:rPr>
                <w:b/>
                <w:bCs/>
                <w:color w:val="000000"/>
                <w:sz w:val="22"/>
                <w:szCs w:val="22"/>
                <w:lang w:val="es-CR" w:eastAsia="es-CR"/>
              </w:rPr>
            </w:pPr>
          </w:p>
        </w:tc>
        <w:tc>
          <w:tcPr>
            <w:tcW w:w="2410" w:type="dxa"/>
            <w:tcBorders>
              <w:top w:val="nil"/>
              <w:left w:val="nil"/>
              <w:bottom w:val="single" w:sz="8" w:space="0" w:color="E7E6E6"/>
              <w:right w:val="single" w:sz="8" w:space="0" w:color="E7E6E6"/>
            </w:tcBorders>
            <w:shd w:val="clear" w:color="000000" w:fill="FFFFFF"/>
            <w:noWrap/>
            <w:vAlign w:val="bottom"/>
            <w:hideMark/>
          </w:tcPr>
          <w:p w14:paraId="388E7DC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Buenos Aires</w:t>
            </w:r>
          </w:p>
        </w:tc>
        <w:tc>
          <w:tcPr>
            <w:tcW w:w="1580" w:type="dxa"/>
            <w:tcBorders>
              <w:top w:val="nil"/>
              <w:left w:val="nil"/>
              <w:bottom w:val="single" w:sz="8" w:space="0" w:color="E7E6E6"/>
              <w:right w:val="single" w:sz="8" w:space="0" w:color="E7E6E6"/>
            </w:tcBorders>
            <w:shd w:val="clear" w:color="000000" w:fill="FFFFFF"/>
            <w:noWrap/>
            <w:vAlign w:val="bottom"/>
            <w:hideMark/>
          </w:tcPr>
          <w:p w14:paraId="4D7CBB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8" w:type="dxa"/>
            <w:vMerge/>
            <w:tcBorders>
              <w:top w:val="nil"/>
              <w:left w:val="single" w:sz="8" w:space="0" w:color="E7E6E6"/>
              <w:bottom w:val="single" w:sz="8" w:space="0" w:color="E7E6E6"/>
              <w:right w:val="single" w:sz="8" w:space="0" w:color="E7E6E6"/>
            </w:tcBorders>
            <w:vAlign w:val="center"/>
            <w:hideMark/>
          </w:tcPr>
          <w:p w14:paraId="452E0C0D" w14:textId="77777777" w:rsidR="00B15F7D" w:rsidRPr="00990FB6" w:rsidRDefault="00B15F7D" w:rsidP="00B15F7D">
            <w:pPr>
              <w:suppressAutoHyphens w:val="0"/>
              <w:rPr>
                <w:sz w:val="22"/>
                <w:szCs w:val="22"/>
                <w:lang w:val="es-CR" w:eastAsia="es-CR"/>
              </w:rPr>
            </w:pPr>
          </w:p>
        </w:tc>
        <w:tc>
          <w:tcPr>
            <w:tcW w:w="1701" w:type="dxa"/>
            <w:tcBorders>
              <w:top w:val="nil"/>
              <w:left w:val="nil"/>
              <w:bottom w:val="single" w:sz="8" w:space="0" w:color="E7E6E6"/>
              <w:right w:val="single" w:sz="8" w:space="0" w:color="E7E6E6"/>
            </w:tcBorders>
            <w:shd w:val="clear" w:color="000000" w:fill="FFFFFF"/>
            <w:vAlign w:val="center"/>
            <w:hideMark/>
          </w:tcPr>
          <w:p w14:paraId="129119F4"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15 945 000,00 </w:t>
            </w:r>
          </w:p>
        </w:tc>
      </w:tr>
      <w:tr w:rsidR="00B15F7D" w:rsidRPr="00990FB6" w14:paraId="566F1915" w14:textId="77777777" w:rsidTr="000A0C22">
        <w:trPr>
          <w:trHeight w:val="300"/>
        </w:trPr>
        <w:tc>
          <w:tcPr>
            <w:tcW w:w="1245" w:type="dxa"/>
            <w:vMerge/>
            <w:tcBorders>
              <w:top w:val="nil"/>
              <w:left w:val="single" w:sz="8" w:space="0" w:color="E7E6E6"/>
              <w:bottom w:val="single" w:sz="8" w:space="0" w:color="E7E6E6"/>
              <w:right w:val="single" w:sz="8" w:space="0" w:color="E7E6E6"/>
            </w:tcBorders>
            <w:vAlign w:val="center"/>
            <w:hideMark/>
          </w:tcPr>
          <w:p w14:paraId="288D0D42" w14:textId="77777777" w:rsidR="00B15F7D" w:rsidRPr="00990FB6" w:rsidRDefault="00B15F7D" w:rsidP="00B15F7D">
            <w:pPr>
              <w:suppressAutoHyphens w:val="0"/>
              <w:rPr>
                <w:b/>
                <w:bCs/>
                <w:color w:val="000000"/>
                <w:sz w:val="22"/>
                <w:szCs w:val="22"/>
                <w:lang w:val="es-CR" w:eastAsia="es-CR"/>
              </w:rPr>
            </w:pPr>
          </w:p>
        </w:tc>
        <w:tc>
          <w:tcPr>
            <w:tcW w:w="2410" w:type="dxa"/>
            <w:tcBorders>
              <w:top w:val="nil"/>
              <w:left w:val="nil"/>
              <w:bottom w:val="single" w:sz="8" w:space="0" w:color="E7E6E6"/>
              <w:right w:val="single" w:sz="8" w:space="0" w:color="E7E6E6"/>
            </w:tcBorders>
            <w:shd w:val="clear" w:color="000000" w:fill="FFFFFF"/>
            <w:noWrap/>
            <w:vAlign w:val="bottom"/>
            <w:hideMark/>
          </w:tcPr>
          <w:p w14:paraId="46426EE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Pococí</w:t>
            </w:r>
          </w:p>
        </w:tc>
        <w:tc>
          <w:tcPr>
            <w:tcW w:w="1580" w:type="dxa"/>
            <w:tcBorders>
              <w:top w:val="nil"/>
              <w:left w:val="nil"/>
              <w:bottom w:val="single" w:sz="8" w:space="0" w:color="E7E6E6"/>
              <w:right w:val="single" w:sz="8" w:space="0" w:color="E7E6E6"/>
            </w:tcBorders>
            <w:shd w:val="clear" w:color="000000" w:fill="FFFFFF"/>
            <w:noWrap/>
            <w:vAlign w:val="bottom"/>
            <w:hideMark/>
          </w:tcPr>
          <w:p w14:paraId="7DA44F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8" w:type="dxa"/>
            <w:vMerge/>
            <w:tcBorders>
              <w:top w:val="nil"/>
              <w:left w:val="single" w:sz="8" w:space="0" w:color="E7E6E6"/>
              <w:bottom w:val="single" w:sz="8" w:space="0" w:color="E7E6E6"/>
              <w:right w:val="single" w:sz="8" w:space="0" w:color="E7E6E6"/>
            </w:tcBorders>
            <w:vAlign w:val="center"/>
            <w:hideMark/>
          </w:tcPr>
          <w:p w14:paraId="23834B90" w14:textId="77777777" w:rsidR="00B15F7D" w:rsidRPr="00990FB6" w:rsidRDefault="00B15F7D" w:rsidP="00B15F7D">
            <w:pPr>
              <w:suppressAutoHyphens w:val="0"/>
              <w:rPr>
                <w:sz w:val="22"/>
                <w:szCs w:val="22"/>
                <w:lang w:val="es-CR" w:eastAsia="es-CR"/>
              </w:rPr>
            </w:pPr>
          </w:p>
        </w:tc>
        <w:tc>
          <w:tcPr>
            <w:tcW w:w="1701" w:type="dxa"/>
            <w:tcBorders>
              <w:top w:val="nil"/>
              <w:left w:val="nil"/>
              <w:bottom w:val="single" w:sz="8" w:space="0" w:color="E7E6E6"/>
              <w:right w:val="single" w:sz="8" w:space="0" w:color="E7E6E6"/>
            </w:tcBorders>
            <w:shd w:val="clear" w:color="000000" w:fill="FFFFFF"/>
            <w:vAlign w:val="center"/>
            <w:hideMark/>
          </w:tcPr>
          <w:p w14:paraId="7EF6A043" w14:textId="77777777" w:rsidR="00B15F7D" w:rsidRPr="00990FB6" w:rsidRDefault="00B15F7D" w:rsidP="00B15F7D">
            <w:pPr>
              <w:suppressAutoHyphens w:val="0"/>
              <w:rPr>
                <w:sz w:val="22"/>
                <w:szCs w:val="22"/>
                <w:lang w:val="es-CR" w:eastAsia="es-CR"/>
              </w:rPr>
            </w:pPr>
            <w:r w:rsidRPr="00990FB6">
              <w:rPr>
                <w:sz w:val="22"/>
                <w:szCs w:val="22"/>
                <w:lang w:val="es-CR" w:eastAsia="es-CR"/>
              </w:rPr>
              <w:t xml:space="preserve"> ₡           15 945 000,00 </w:t>
            </w:r>
          </w:p>
        </w:tc>
      </w:tr>
      <w:tr w:rsidR="00B15F7D" w:rsidRPr="00990FB6" w14:paraId="5EF8620C" w14:textId="77777777" w:rsidTr="000A0C22">
        <w:trPr>
          <w:trHeight w:val="300"/>
        </w:trPr>
        <w:tc>
          <w:tcPr>
            <w:tcW w:w="1245" w:type="dxa"/>
            <w:vMerge/>
            <w:tcBorders>
              <w:top w:val="nil"/>
              <w:left w:val="single" w:sz="8" w:space="0" w:color="E7E6E6"/>
              <w:bottom w:val="single" w:sz="8" w:space="0" w:color="E7E6E6"/>
              <w:right w:val="single" w:sz="8" w:space="0" w:color="E7E6E6"/>
            </w:tcBorders>
            <w:vAlign w:val="center"/>
            <w:hideMark/>
          </w:tcPr>
          <w:p w14:paraId="7F222672" w14:textId="77777777" w:rsidR="00B15F7D" w:rsidRPr="00990FB6" w:rsidRDefault="00B15F7D" w:rsidP="00B15F7D">
            <w:pPr>
              <w:suppressAutoHyphens w:val="0"/>
              <w:rPr>
                <w:b/>
                <w:bCs/>
                <w:color w:val="000000"/>
                <w:sz w:val="22"/>
                <w:szCs w:val="22"/>
                <w:lang w:val="es-CR" w:eastAsia="es-CR"/>
              </w:rPr>
            </w:pPr>
          </w:p>
        </w:tc>
        <w:tc>
          <w:tcPr>
            <w:tcW w:w="2410" w:type="dxa"/>
            <w:tcBorders>
              <w:top w:val="nil"/>
              <w:left w:val="nil"/>
              <w:bottom w:val="single" w:sz="8" w:space="0" w:color="E7E6E6"/>
              <w:right w:val="single" w:sz="8" w:space="0" w:color="E7E6E6"/>
            </w:tcBorders>
            <w:shd w:val="clear" w:color="000000" w:fill="DEEAF6"/>
            <w:vAlign w:val="center"/>
            <w:hideMark/>
          </w:tcPr>
          <w:p w14:paraId="5C29F23A"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1580" w:type="dxa"/>
            <w:tcBorders>
              <w:top w:val="nil"/>
              <w:left w:val="nil"/>
              <w:bottom w:val="single" w:sz="8" w:space="0" w:color="E7E6E6"/>
              <w:right w:val="single" w:sz="8" w:space="0" w:color="E7E6E6"/>
            </w:tcBorders>
            <w:shd w:val="clear" w:color="000000" w:fill="DEEAF6"/>
            <w:vAlign w:val="center"/>
            <w:hideMark/>
          </w:tcPr>
          <w:p w14:paraId="503E7D0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w:t>
            </w:r>
          </w:p>
        </w:tc>
        <w:tc>
          <w:tcPr>
            <w:tcW w:w="1418" w:type="dxa"/>
            <w:tcBorders>
              <w:top w:val="nil"/>
              <w:left w:val="nil"/>
              <w:bottom w:val="single" w:sz="8" w:space="0" w:color="E7E6E6"/>
              <w:right w:val="single" w:sz="8" w:space="0" w:color="E7E6E6"/>
            </w:tcBorders>
            <w:shd w:val="clear" w:color="000000" w:fill="DEEAF6"/>
            <w:vAlign w:val="center"/>
            <w:hideMark/>
          </w:tcPr>
          <w:p w14:paraId="084E525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₡15 945 000,00 </w:t>
            </w:r>
          </w:p>
        </w:tc>
        <w:tc>
          <w:tcPr>
            <w:tcW w:w="1701" w:type="dxa"/>
            <w:tcBorders>
              <w:top w:val="nil"/>
              <w:left w:val="nil"/>
              <w:bottom w:val="single" w:sz="8" w:space="0" w:color="E7E6E6"/>
              <w:right w:val="single" w:sz="8" w:space="0" w:color="E7E6E6"/>
            </w:tcBorders>
            <w:shd w:val="clear" w:color="000000" w:fill="DEEAF6"/>
            <w:vAlign w:val="center"/>
            <w:hideMark/>
          </w:tcPr>
          <w:p w14:paraId="3FBA090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47 835 000,00 </w:t>
            </w:r>
          </w:p>
        </w:tc>
      </w:tr>
    </w:tbl>
    <w:p w14:paraId="79D65BC5" w14:textId="77777777" w:rsidR="00B15F7D" w:rsidRPr="00990FB6" w:rsidRDefault="00B15F7D" w:rsidP="00B15F7D">
      <w:pPr>
        <w:suppressAutoHyphens w:val="0"/>
        <w:ind w:left="720"/>
        <w:contextualSpacing/>
        <w:jc w:val="center"/>
        <w:rPr>
          <w:rFonts w:eastAsia="Calibri"/>
          <w:sz w:val="22"/>
          <w:szCs w:val="22"/>
          <w:u w:val="single"/>
          <w:lang w:val="es-CR" w:eastAsia="en-US"/>
        </w:rPr>
      </w:pPr>
    </w:p>
    <w:p w14:paraId="2F8B869C"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Los costos variables totales por equipo de cómputo y mobiliario para este escenario ascienden a ₡3 176 760,00, distribuidos de la siguiente manera:</w:t>
      </w:r>
    </w:p>
    <w:p w14:paraId="16B7D3D5" w14:textId="77777777" w:rsidR="00B15F7D" w:rsidRPr="00990FB6" w:rsidRDefault="00B15F7D" w:rsidP="00B15F7D">
      <w:pPr>
        <w:suppressAutoHyphens w:val="0"/>
        <w:ind w:left="720"/>
        <w:contextualSpacing/>
        <w:jc w:val="center"/>
        <w:rPr>
          <w:rFonts w:eastAsia="Calibri"/>
          <w:sz w:val="22"/>
          <w:szCs w:val="22"/>
          <w:u w:val="single"/>
          <w:lang w:val="es-CR" w:eastAsia="en-US"/>
        </w:rPr>
      </w:pPr>
    </w:p>
    <w:tbl>
      <w:tblPr>
        <w:tblW w:w="7220" w:type="dxa"/>
        <w:jc w:val="center"/>
        <w:tblCellMar>
          <w:left w:w="70" w:type="dxa"/>
          <w:right w:w="70" w:type="dxa"/>
        </w:tblCellMar>
        <w:tblLook w:val="04A0" w:firstRow="1" w:lastRow="0" w:firstColumn="1" w:lastColumn="0" w:noHBand="0" w:noVBand="1"/>
      </w:tblPr>
      <w:tblGrid>
        <w:gridCol w:w="1546"/>
        <w:gridCol w:w="2552"/>
        <w:gridCol w:w="1546"/>
        <w:gridCol w:w="1701"/>
      </w:tblGrid>
      <w:tr w:rsidR="00B15F7D" w:rsidRPr="00990FB6" w14:paraId="3228481B" w14:textId="77777777" w:rsidTr="000A0C22">
        <w:trPr>
          <w:trHeight w:val="564"/>
          <w:jc w:val="center"/>
        </w:trPr>
        <w:tc>
          <w:tcPr>
            <w:tcW w:w="1691"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25465EF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552"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17B5A8E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1276" w:type="dxa"/>
            <w:tcBorders>
              <w:top w:val="single" w:sz="8" w:space="0" w:color="E7E6E6"/>
              <w:left w:val="nil"/>
              <w:bottom w:val="single" w:sz="8" w:space="0" w:color="E7E6E6"/>
              <w:right w:val="nil"/>
            </w:tcBorders>
            <w:shd w:val="clear" w:color="000000" w:fill="5B9BD5"/>
            <w:vAlign w:val="center"/>
            <w:hideMark/>
          </w:tcPr>
          <w:p w14:paraId="2F1DA63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 humano</w:t>
            </w:r>
          </w:p>
        </w:tc>
        <w:tc>
          <w:tcPr>
            <w:tcW w:w="1701" w:type="dxa"/>
            <w:tcBorders>
              <w:top w:val="single" w:sz="8" w:space="0" w:color="E7E6E6"/>
              <w:left w:val="single" w:sz="8" w:space="0" w:color="E7E6E6"/>
              <w:bottom w:val="single" w:sz="8" w:space="0" w:color="E7E6E6"/>
              <w:right w:val="nil"/>
            </w:tcBorders>
            <w:shd w:val="clear" w:color="000000" w:fill="5B9BD5"/>
            <w:noWrap/>
            <w:vAlign w:val="center"/>
            <w:hideMark/>
          </w:tcPr>
          <w:p w14:paraId="1F7DA4C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variable</w:t>
            </w:r>
          </w:p>
        </w:tc>
      </w:tr>
      <w:tr w:rsidR="00B15F7D" w:rsidRPr="00990FB6" w14:paraId="2F320BE0" w14:textId="77777777" w:rsidTr="000A0C22">
        <w:trPr>
          <w:trHeight w:val="492"/>
          <w:jc w:val="center"/>
        </w:trPr>
        <w:tc>
          <w:tcPr>
            <w:tcW w:w="1691" w:type="dxa"/>
            <w:vMerge/>
            <w:tcBorders>
              <w:top w:val="single" w:sz="8" w:space="0" w:color="E7E6E6"/>
              <w:left w:val="single" w:sz="8" w:space="0" w:color="E7E6E6"/>
              <w:bottom w:val="single" w:sz="8" w:space="0" w:color="E7E6E6"/>
              <w:right w:val="single" w:sz="8" w:space="0" w:color="E7E6E6"/>
            </w:tcBorders>
            <w:vAlign w:val="center"/>
            <w:hideMark/>
          </w:tcPr>
          <w:p w14:paraId="4E630268" w14:textId="77777777" w:rsidR="00B15F7D" w:rsidRPr="00990FB6" w:rsidRDefault="00B15F7D" w:rsidP="00B15F7D">
            <w:pPr>
              <w:suppressAutoHyphens w:val="0"/>
              <w:rPr>
                <w:b/>
                <w:bCs/>
                <w:color w:val="FFFFFF"/>
                <w:sz w:val="22"/>
                <w:szCs w:val="22"/>
                <w:lang w:val="es-CR" w:eastAsia="es-CR"/>
              </w:rPr>
            </w:pPr>
          </w:p>
        </w:tc>
        <w:tc>
          <w:tcPr>
            <w:tcW w:w="2552" w:type="dxa"/>
            <w:vMerge/>
            <w:tcBorders>
              <w:top w:val="single" w:sz="8" w:space="0" w:color="E7E6E6"/>
              <w:left w:val="single" w:sz="8" w:space="0" w:color="E7E6E6"/>
              <w:bottom w:val="single" w:sz="8" w:space="0" w:color="E7E6E6"/>
              <w:right w:val="single" w:sz="8" w:space="0" w:color="E7E6E6"/>
            </w:tcBorders>
            <w:vAlign w:val="center"/>
            <w:hideMark/>
          </w:tcPr>
          <w:p w14:paraId="47603E60" w14:textId="77777777" w:rsidR="00B15F7D" w:rsidRPr="00990FB6" w:rsidRDefault="00B15F7D" w:rsidP="00B15F7D">
            <w:pPr>
              <w:suppressAutoHyphens w:val="0"/>
              <w:rPr>
                <w:b/>
                <w:bCs/>
                <w:color w:val="FFFFFF"/>
                <w:sz w:val="22"/>
                <w:szCs w:val="22"/>
                <w:lang w:val="es-CR" w:eastAsia="es-CR"/>
              </w:rPr>
            </w:pPr>
          </w:p>
        </w:tc>
        <w:tc>
          <w:tcPr>
            <w:tcW w:w="1276" w:type="dxa"/>
            <w:tcBorders>
              <w:top w:val="nil"/>
              <w:left w:val="nil"/>
              <w:bottom w:val="single" w:sz="8" w:space="0" w:color="E7E6E6"/>
              <w:right w:val="single" w:sz="8" w:space="0" w:color="E7E6E6"/>
            </w:tcBorders>
            <w:shd w:val="clear" w:color="000000" w:fill="305496"/>
            <w:vAlign w:val="center"/>
            <w:hideMark/>
          </w:tcPr>
          <w:p w14:paraId="5245C69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701" w:type="dxa"/>
            <w:tcBorders>
              <w:top w:val="nil"/>
              <w:left w:val="nil"/>
              <w:bottom w:val="single" w:sz="8" w:space="0" w:color="E7E6E6"/>
              <w:right w:val="single" w:sz="8" w:space="0" w:color="E7E6E6"/>
            </w:tcBorders>
            <w:shd w:val="clear" w:color="000000" w:fill="305496"/>
            <w:vAlign w:val="center"/>
            <w:hideMark/>
          </w:tcPr>
          <w:p w14:paraId="59E1316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r>
      <w:tr w:rsidR="00B15F7D" w:rsidRPr="00990FB6" w14:paraId="0A6EBF6C" w14:textId="77777777" w:rsidTr="000A0C22">
        <w:trPr>
          <w:trHeight w:val="300"/>
          <w:jc w:val="center"/>
        </w:trPr>
        <w:tc>
          <w:tcPr>
            <w:tcW w:w="1691" w:type="dxa"/>
            <w:vMerge w:val="restart"/>
            <w:tcBorders>
              <w:top w:val="nil"/>
              <w:left w:val="single" w:sz="8" w:space="0" w:color="E7E6E6"/>
              <w:bottom w:val="single" w:sz="8" w:space="0" w:color="E7E6E6"/>
              <w:right w:val="single" w:sz="8" w:space="0" w:color="E7E6E6"/>
            </w:tcBorders>
            <w:shd w:val="clear" w:color="000000" w:fill="FFFFFF"/>
            <w:vAlign w:val="center"/>
            <w:hideMark/>
          </w:tcPr>
          <w:p w14:paraId="2DFE4BB8"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552" w:type="dxa"/>
            <w:tcBorders>
              <w:top w:val="nil"/>
              <w:left w:val="nil"/>
              <w:bottom w:val="single" w:sz="8" w:space="0" w:color="E7E6E6"/>
              <w:right w:val="single" w:sz="8" w:space="0" w:color="E7E6E6"/>
            </w:tcBorders>
            <w:shd w:val="clear" w:color="000000" w:fill="FFFFFF"/>
            <w:noWrap/>
            <w:vAlign w:val="bottom"/>
            <w:hideMark/>
          </w:tcPr>
          <w:p w14:paraId="0FABA64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Garabito</w:t>
            </w:r>
          </w:p>
        </w:tc>
        <w:tc>
          <w:tcPr>
            <w:tcW w:w="1276" w:type="dxa"/>
            <w:tcBorders>
              <w:top w:val="nil"/>
              <w:left w:val="nil"/>
              <w:bottom w:val="single" w:sz="8" w:space="0" w:color="E7E6E6"/>
              <w:right w:val="single" w:sz="8" w:space="0" w:color="E7E6E6"/>
            </w:tcBorders>
            <w:shd w:val="clear" w:color="000000" w:fill="FFFFFF"/>
            <w:noWrap/>
            <w:vAlign w:val="bottom"/>
            <w:hideMark/>
          </w:tcPr>
          <w:p w14:paraId="471733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01" w:type="dxa"/>
            <w:tcBorders>
              <w:top w:val="nil"/>
              <w:left w:val="nil"/>
              <w:bottom w:val="single" w:sz="8" w:space="0" w:color="E7E6E6"/>
              <w:right w:val="single" w:sz="8" w:space="0" w:color="E7E6E6"/>
            </w:tcBorders>
            <w:shd w:val="clear" w:color="000000" w:fill="FFFFFF"/>
            <w:vAlign w:val="center"/>
            <w:hideMark/>
          </w:tcPr>
          <w:p w14:paraId="6021C42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2893C40A" w14:textId="77777777" w:rsidTr="000A0C22">
        <w:trPr>
          <w:trHeight w:val="300"/>
          <w:jc w:val="center"/>
        </w:trPr>
        <w:tc>
          <w:tcPr>
            <w:tcW w:w="1691" w:type="dxa"/>
            <w:vMerge/>
            <w:tcBorders>
              <w:top w:val="nil"/>
              <w:left w:val="single" w:sz="8" w:space="0" w:color="E7E6E6"/>
              <w:bottom w:val="single" w:sz="8" w:space="0" w:color="E7E6E6"/>
              <w:right w:val="single" w:sz="8" w:space="0" w:color="E7E6E6"/>
            </w:tcBorders>
            <w:vAlign w:val="center"/>
            <w:hideMark/>
          </w:tcPr>
          <w:p w14:paraId="55B24F00" w14:textId="77777777" w:rsidR="00B15F7D" w:rsidRPr="00990FB6" w:rsidRDefault="00B15F7D" w:rsidP="00B15F7D">
            <w:pPr>
              <w:suppressAutoHyphens w:val="0"/>
              <w:rPr>
                <w:b/>
                <w:bCs/>
                <w:color w:val="000000"/>
                <w:sz w:val="22"/>
                <w:szCs w:val="22"/>
                <w:lang w:val="es-CR" w:eastAsia="es-CR"/>
              </w:rPr>
            </w:pPr>
          </w:p>
        </w:tc>
        <w:tc>
          <w:tcPr>
            <w:tcW w:w="2552" w:type="dxa"/>
            <w:tcBorders>
              <w:top w:val="nil"/>
              <w:left w:val="nil"/>
              <w:bottom w:val="single" w:sz="8" w:space="0" w:color="E7E6E6"/>
              <w:right w:val="single" w:sz="8" w:space="0" w:color="E7E6E6"/>
            </w:tcBorders>
            <w:shd w:val="clear" w:color="000000" w:fill="FFFFFF"/>
            <w:noWrap/>
            <w:vAlign w:val="bottom"/>
            <w:hideMark/>
          </w:tcPr>
          <w:p w14:paraId="348D98C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Buenos Aires</w:t>
            </w:r>
          </w:p>
        </w:tc>
        <w:tc>
          <w:tcPr>
            <w:tcW w:w="1276" w:type="dxa"/>
            <w:tcBorders>
              <w:top w:val="nil"/>
              <w:left w:val="nil"/>
              <w:bottom w:val="single" w:sz="8" w:space="0" w:color="E7E6E6"/>
              <w:right w:val="single" w:sz="8" w:space="0" w:color="E7E6E6"/>
            </w:tcBorders>
            <w:shd w:val="clear" w:color="000000" w:fill="FFFFFF"/>
            <w:noWrap/>
            <w:vAlign w:val="bottom"/>
            <w:hideMark/>
          </w:tcPr>
          <w:p w14:paraId="3729F13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01" w:type="dxa"/>
            <w:tcBorders>
              <w:top w:val="nil"/>
              <w:left w:val="nil"/>
              <w:bottom w:val="single" w:sz="8" w:space="0" w:color="E7E6E6"/>
              <w:right w:val="single" w:sz="8" w:space="0" w:color="E7E6E6"/>
            </w:tcBorders>
            <w:shd w:val="clear" w:color="000000" w:fill="FFFFFF"/>
            <w:vAlign w:val="center"/>
            <w:hideMark/>
          </w:tcPr>
          <w:p w14:paraId="5F17A14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0B57797F" w14:textId="77777777" w:rsidTr="000A0C22">
        <w:trPr>
          <w:trHeight w:val="300"/>
          <w:jc w:val="center"/>
        </w:trPr>
        <w:tc>
          <w:tcPr>
            <w:tcW w:w="1691" w:type="dxa"/>
            <w:vMerge/>
            <w:tcBorders>
              <w:top w:val="nil"/>
              <w:left w:val="single" w:sz="8" w:space="0" w:color="E7E6E6"/>
              <w:bottom w:val="single" w:sz="8" w:space="0" w:color="E7E6E6"/>
              <w:right w:val="single" w:sz="8" w:space="0" w:color="E7E6E6"/>
            </w:tcBorders>
            <w:vAlign w:val="center"/>
            <w:hideMark/>
          </w:tcPr>
          <w:p w14:paraId="47D48EE5" w14:textId="77777777" w:rsidR="00B15F7D" w:rsidRPr="00990FB6" w:rsidRDefault="00B15F7D" w:rsidP="00B15F7D">
            <w:pPr>
              <w:suppressAutoHyphens w:val="0"/>
              <w:rPr>
                <w:b/>
                <w:bCs/>
                <w:color w:val="000000"/>
                <w:sz w:val="22"/>
                <w:szCs w:val="22"/>
                <w:lang w:val="es-CR" w:eastAsia="es-CR"/>
              </w:rPr>
            </w:pPr>
          </w:p>
        </w:tc>
        <w:tc>
          <w:tcPr>
            <w:tcW w:w="2552" w:type="dxa"/>
            <w:tcBorders>
              <w:top w:val="nil"/>
              <w:left w:val="nil"/>
              <w:bottom w:val="single" w:sz="8" w:space="0" w:color="E7E6E6"/>
              <w:right w:val="single" w:sz="8" w:space="0" w:color="E7E6E6"/>
            </w:tcBorders>
            <w:shd w:val="clear" w:color="000000" w:fill="FFFFFF"/>
            <w:noWrap/>
            <w:vAlign w:val="bottom"/>
            <w:hideMark/>
          </w:tcPr>
          <w:p w14:paraId="407ACA2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Juzgado Penal de Pococí</w:t>
            </w:r>
          </w:p>
        </w:tc>
        <w:tc>
          <w:tcPr>
            <w:tcW w:w="1276" w:type="dxa"/>
            <w:tcBorders>
              <w:top w:val="nil"/>
              <w:left w:val="nil"/>
              <w:bottom w:val="single" w:sz="8" w:space="0" w:color="E7E6E6"/>
              <w:right w:val="single" w:sz="8" w:space="0" w:color="E7E6E6"/>
            </w:tcBorders>
            <w:shd w:val="clear" w:color="000000" w:fill="FFFFFF"/>
            <w:noWrap/>
            <w:vAlign w:val="bottom"/>
            <w:hideMark/>
          </w:tcPr>
          <w:p w14:paraId="41AAD1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01" w:type="dxa"/>
            <w:tcBorders>
              <w:top w:val="nil"/>
              <w:left w:val="nil"/>
              <w:bottom w:val="single" w:sz="8" w:space="0" w:color="E7E6E6"/>
              <w:right w:val="single" w:sz="8" w:space="0" w:color="E7E6E6"/>
            </w:tcBorders>
            <w:shd w:val="clear" w:color="000000" w:fill="FFFFFF"/>
            <w:vAlign w:val="center"/>
            <w:hideMark/>
          </w:tcPr>
          <w:p w14:paraId="513F7A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3E2D4DA9" w14:textId="77777777" w:rsidTr="000A0C22">
        <w:trPr>
          <w:trHeight w:val="300"/>
          <w:jc w:val="center"/>
        </w:trPr>
        <w:tc>
          <w:tcPr>
            <w:tcW w:w="1691" w:type="dxa"/>
            <w:vMerge/>
            <w:tcBorders>
              <w:top w:val="nil"/>
              <w:left w:val="single" w:sz="8" w:space="0" w:color="E7E6E6"/>
              <w:bottom w:val="single" w:sz="8" w:space="0" w:color="E7E6E6"/>
              <w:right w:val="single" w:sz="8" w:space="0" w:color="E7E6E6"/>
            </w:tcBorders>
            <w:vAlign w:val="center"/>
            <w:hideMark/>
          </w:tcPr>
          <w:p w14:paraId="35DCC13F" w14:textId="77777777" w:rsidR="00B15F7D" w:rsidRPr="00990FB6" w:rsidRDefault="00B15F7D" w:rsidP="00B15F7D">
            <w:pPr>
              <w:suppressAutoHyphens w:val="0"/>
              <w:rPr>
                <w:b/>
                <w:bCs/>
                <w:color w:val="000000"/>
                <w:sz w:val="22"/>
                <w:szCs w:val="22"/>
                <w:lang w:val="es-CR" w:eastAsia="es-CR"/>
              </w:rPr>
            </w:pPr>
          </w:p>
        </w:tc>
        <w:tc>
          <w:tcPr>
            <w:tcW w:w="2552" w:type="dxa"/>
            <w:tcBorders>
              <w:top w:val="nil"/>
              <w:left w:val="nil"/>
              <w:bottom w:val="single" w:sz="8" w:space="0" w:color="E7E6E6"/>
              <w:right w:val="single" w:sz="8" w:space="0" w:color="E7E6E6"/>
            </w:tcBorders>
            <w:shd w:val="clear" w:color="000000" w:fill="DEEAF6"/>
            <w:vAlign w:val="center"/>
            <w:hideMark/>
          </w:tcPr>
          <w:p w14:paraId="70EE6BFE"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1276" w:type="dxa"/>
            <w:tcBorders>
              <w:top w:val="nil"/>
              <w:left w:val="nil"/>
              <w:bottom w:val="single" w:sz="8" w:space="0" w:color="E7E6E6"/>
              <w:right w:val="single" w:sz="8" w:space="0" w:color="E7E6E6"/>
            </w:tcBorders>
            <w:shd w:val="clear" w:color="000000" w:fill="DEEAF6"/>
            <w:vAlign w:val="center"/>
            <w:hideMark/>
          </w:tcPr>
          <w:p w14:paraId="05B1F4E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3</w:t>
            </w:r>
          </w:p>
        </w:tc>
        <w:tc>
          <w:tcPr>
            <w:tcW w:w="1701" w:type="dxa"/>
            <w:tcBorders>
              <w:top w:val="nil"/>
              <w:left w:val="nil"/>
              <w:bottom w:val="single" w:sz="8" w:space="0" w:color="E7E6E6"/>
              <w:right w:val="single" w:sz="8" w:space="0" w:color="E7E6E6"/>
            </w:tcBorders>
            <w:shd w:val="clear" w:color="000000" w:fill="DEEAF6"/>
            <w:vAlign w:val="center"/>
            <w:hideMark/>
          </w:tcPr>
          <w:p w14:paraId="170BE3C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3 176 760,00 </w:t>
            </w:r>
          </w:p>
        </w:tc>
      </w:tr>
    </w:tbl>
    <w:p w14:paraId="6B093178" w14:textId="77777777" w:rsidR="00B15F7D" w:rsidRPr="00990FB6" w:rsidRDefault="00B15F7D" w:rsidP="00B15F7D">
      <w:pPr>
        <w:suppressAutoHyphens w:val="0"/>
        <w:ind w:left="709"/>
        <w:contextualSpacing/>
        <w:jc w:val="both"/>
        <w:rPr>
          <w:rFonts w:eastAsia="Calibri"/>
          <w:sz w:val="22"/>
          <w:szCs w:val="22"/>
          <w:lang w:val="es-CR" w:eastAsia="en-US"/>
        </w:rPr>
      </w:pPr>
    </w:p>
    <w:p w14:paraId="5ABBCA12"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Juzgados Penales se estima en ₡ 47 835 000,00</w:t>
      </w:r>
      <w:r w:rsidRPr="00990FB6">
        <w:rPr>
          <w:b/>
          <w:bCs/>
          <w:color w:val="3A3838"/>
          <w:sz w:val="22"/>
          <w:szCs w:val="22"/>
          <w:lang w:val="es-CR" w:eastAsia="es-CR"/>
        </w:rPr>
        <w:t xml:space="preserve"> </w:t>
      </w:r>
      <w:r w:rsidRPr="00990FB6">
        <w:rPr>
          <w:rFonts w:eastAsia="Calibri"/>
          <w:sz w:val="22"/>
          <w:szCs w:val="22"/>
          <w:lang w:val="es-CR" w:eastAsia="en-US"/>
        </w:rPr>
        <w:t>y los costos variables asociados en ¢3 176 760,00.</w:t>
      </w:r>
    </w:p>
    <w:p w14:paraId="7143E994"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564D930"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7"/>
        <w:gridCol w:w="2268"/>
        <w:gridCol w:w="708"/>
        <w:gridCol w:w="567"/>
        <w:gridCol w:w="851"/>
        <w:gridCol w:w="1417"/>
        <w:gridCol w:w="1276"/>
        <w:gridCol w:w="1418"/>
        <w:gridCol w:w="1559"/>
      </w:tblGrid>
      <w:tr w:rsidR="00B15F7D" w:rsidRPr="00990FB6" w14:paraId="599AC492" w14:textId="77777777" w:rsidTr="000A0C22">
        <w:trPr>
          <w:trHeight w:val="300"/>
          <w:jc w:val="center"/>
        </w:trPr>
        <w:tc>
          <w:tcPr>
            <w:tcW w:w="1277" w:type="dxa"/>
            <w:vMerge w:val="restart"/>
            <w:shd w:val="clear" w:color="000000" w:fill="305496"/>
            <w:vAlign w:val="center"/>
            <w:hideMark/>
          </w:tcPr>
          <w:p w14:paraId="18ECDB2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268" w:type="dxa"/>
            <w:vMerge w:val="restart"/>
            <w:shd w:val="clear" w:color="000000" w:fill="305496"/>
            <w:vAlign w:val="center"/>
            <w:hideMark/>
          </w:tcPr>
          <w:p w14:paraId="51A15E4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2126" w:type="dxa"/>
            <w:gridSpan w:val="3"/>
            <w:shd w:val="clear" w:color="000000" w:fill="5B9BD5"/>
            <w:noWrap/>
            <w:vAlign w:val="center"/>
            <w:hideMark/>
          </w:tcPr>
          <w:p w14:paraId="36A9EF0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5670" w:type="dxa"/>
            <w:gridSpan w:val="4"/>
            <w:shd w:val="clear" w:color="000000" w:fill="5B9BD5"/>
            <w:noWrap/>
            <w:vAlign w:val="center"/>
            <w:hideMark/>
          </w:tcPr>
          <w:p w14:paraId="3044C73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7F40BBDE" w14:textId="77777777" w:rsidTr="000A0C22">
        <w:trPr>
          <w:trHeight w:val="490"/>
          <w:jc w:val="center"/>
        </w:trPr>
        <w:tc>
          <w:tcPr>
            <w:tcW w:w="1277" w:type="dxa"/>
            <w:vMerge/>
            <w:vAlign w:val="center"/>
            <w:hideMark/>
          </w:tcPr>
          <w:p w14:paraId="2173F519" w14:textId="77777777" w:rsidR="00B15F7D" w:rsidRPr="00990FB6" w:rsidRDefault="00B15F7D" w:rsidP="00B15F7D">
            <w:pPr>
              <w:suppressAutoHyphens w:val="0"/>
              <w:rPr>
                <w:b/>
                <w:bCs/>
                <w:color w:val="FFFFFF"/>
                <w:sz w:val="22"/>
                <w:szCs w:val="22"/>
                <w:lang w:val="es-CR" w:eastAsia="es-CR"/>
              </w:rPr>
            </w:pPr>
          </w:p>
        </w:tc>
        <w:tc>
          <w:tcPr>
            <w:tcW w:w="2268" w:type="dxa"/>
            <w:vMerge/>
            <w:vAlign w:val="center"/>
            <w:hideMark/>
          </w:tcPr>
          <w:p w14:paraId="788E94AC" w14:textId="77777777" w:rsidR="00B15F7D" w:rsidRPr="00990FB6" w:rsidRDefault="00B15F7D" w:rsidP="00B15F7D">
            <w:pPr>
              <w:suppressAutoHyphens w:val="0"/>
              <w:rPr>
                <w:b/>
                <w:bCs/>
                <w:color w:val="FFFFFF"/>
                <w:sz w:val="22"/>
                <w:szCs w:val="22"/>
                <w:lang w:val="es-CR" w:eastAsia="es-CR"/>
              </w:rPr>
            </w:pPr>
          </w:p>
        </w:tc>
        <w:tc>
          <w:tcPr>
            <w:tcW w:w="708" w:type="dxa"/>
            <w:shd w:val="clear" w:color="000000" w:fill="305496"/>
            <w:vAlign w:val="center"/>
            <w:hideMark/>
          </w:tcPr>
          <w:p w14:paraId="10EA8D76"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Jueces/zas 4</w:t>
            </w:r>
          </w:p>
        </w:tc>
        <w:tc>
          <w:tcPr>
            <w:tcW w:w="567" w:type="dxa"/>
            <w:shd w:val="clear" w:color="000000" w:fill="305496"/>
            <w:vAlign w:val="center"/>
            <w:hideMark/>
          </w:tcPr>
          <w:p w14:paraId="1141AED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851" w:type="dxa"/>
            <w:shd w:val="clear" w:color="000000" w:fill="305496"/>
            <w:vAlign w:val="center"/>
            <w:hideMark/>
          </w:tcPr>
          <w:p w14:paraId="1FDCAF0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Técnicos (as) Judiciales 3</w:t>
            </w:r>
          </w:p>
        </w:tc>
        <w:tc>
          <w:tcPr>
            <w:tcW w:w="1417" w:type="dxa"/>
            <w:shd w:val="clear" w:color="000000" w:fill="305496"/>
            <w:vAlign w:val="center"/>
            <w:hideMark/>
          </w:tcPr>
          <w:p w14:paraId="7033088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juez o jueza 4</w:t>
            </w:r>
          </w:p>
        </w:tc>
        <w:tc>
          <w:tcPr>
            <w:tcW w:w="1276" w:type="dxa"/>
            <w:shd w:val="clear" w:color="000000" w:fill="305496"/>
            <w:vAlign w:val="center"/>
            <w:hideMark/>
          </w:tcPr>
          <w:p w14:paraId="70DB790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1418" w:type="dxa"/>
            <w:shd w:val="clear" w:color="000000" w:fill="305496"/>
            <w:vAlign w:val="center"/>
            <w:hideMark/>
          </w:tcPr>
          <w:p w14:paraId="2EBF457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559" w:type="dxa"/>
            <w:shd w:val="clear" w:color="000000" w:fill="305496"/>
            <w:vAlign w:val="center"/>
            <w:hideMark/>
          </w:tcPr>
          <w:p w14:paraId="7AD9593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27CB3C1F" w14:textId="77777777" w:rsidTr="000A0C22">
        <w:trPr>
          <w:trHeight w:val="300"/>
          <w:jc w:val="center"/>
        </w:trPr>
        <w:tc>
          <w:tcPr>
            <w:tcW w:w="1277" w:type="dxa"/>
            <w:vMerge w:val="restart"/>
            <w:shd w:val="clear" w:color="000000" w:fill="FFFFFF"/>
            <w:vAlign w:val="center"/>
            <w:hideMark/>
          </w:tcPr>
          <w:p w14:paraId="71741DAB"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268" w:type="dxa"/>
            <w:shd w:val="clear" w:color="auto" w:fill="auto"/>
            <w:vAlign w:val="center"/>
            <w:hideMark/>
          </w:tcPr>
          <w:p w14:paraId="0EA32A3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708" w:type="dxa"/>
            <w:shd w:val="clear" w:color="auto" w:fill="auto"/>
            <w:vAlign w:val="center"/>
            <w:hideMark/>
          </w:tcPr>
          <w:p w14:paraId="2497A5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68AF1C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20E90E8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shd w:val="clear" w:color="000000" w:fill="FFFFFF"/>
            <w:vAlign w:val="center"/>
            <w:hideMark/>
          </w:tcPr>
          <w:p w14:paraId="27DFD9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5198251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54D3C61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5B64097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233CEE38" w14:textId="77777777" w:rsidTr="000A0C22">
        <w:trPr>
          <w:trHeight w:val="300"/>
          <w:jc w:val="center"/>
        </w:trPr>
        <w:tc>
          <w:tcPr>
            <w:tcW w:w="1277" w:type="dxa"/>
            <w:vMerge/>
            <w:vAlign w:val="center"/>
            <w:hideMark/>
          </w:tcPr>
          <w:p w14:paraId="3ACE45B5"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1654FF6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708" w:type="dxa"/>
            <w:shd w:val="clear" w:color="auto" w:fill="auto"/>
            <w:vAlign w:val="center"/>
            <w:hideMark/>
          </w:tcPr>
          <w:p w14:paraId="55D7EE2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57D8748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25FA82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shd w:val="clear" w:color="000000" w:fill="FFFFFF"/>
            <w:vAlign w:val="center"/>
            <w:hideMark/>
          </w:tcPr>
          <w:p w14:paraId="1667C2D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25A972A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70A0BA1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610F4E5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1C3E4BC2" w14:textId="77777777" w:rsidTr="000A0C22">
        <w:trPr>
          <w:trHeight w:val="300"/>
          <w:jc w:val="center"/>
        </w:trPr>
        <w:tc>
          <w:tcPr>
            <w:tcW w:w="1277" w:type="dxa"/>
            <w:vMerge/>
            <w:vAlign w:val="center"/>
            <w:hideMark/>
          </w:tcPr>
          <w:p w14:paraId="738B9DED"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4E36872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708" w:type="dxa"/>
            <w:shd w:val="clear" w:color="auto" w:fill="auto"/>
            <w:vAlign w:val="center"/>
            <w:hideMark/>
          </w:tcPr>
          <w:p w14:paraId="1CEBDF5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1FE34C2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6DEDDF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shd w:val="clear" w:color="000000" w:fill="FFFFFF"/>
            <w:vAlign w:val="center"/>
            <w:hideMark/>
          </w:tcPr>
          <w:p w14:paraId="599EF98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42D6BA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42BCDAB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6220B7F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65ABC0BE" w14:textId="77777777" w:rsidTr="000A0C22">
        <w:trPr>
          <w:trHeight w:val="300"/>
          <w:jc w:val="center"/>
        </w:trPr>
        <w:tc>
          <w:tcPr>
            <w:tcW w:w="1277" w:type="dxa"/>
            <w:vMerge/>
            <w:vAlign w:val="center"/>
            <w:hideMark/>
          </w:tcPr>
          <w:p w14:paraId="1CED20D4"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5011263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708" w:type="dxa"/>
            <w:shd w:val="clear" w:color="auto" w:fill="auto"/>
            <w:vAlign w:val="center"/>
            <w:hideMark/>
          </w:tcPr>
          <w:p w14:paraId="3CF373C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62AD7FC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350C7B2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shd w:val="clear" w:color="000000" w:fill="FFFFFF"/>
            <w:vAlign w:val="center"/>
            <w:hideMark/>
          </w:tcPr>
          <w:p w14:paraId="3ADDF4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6FE9FD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7EB028D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471AAE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2C5F2A51" w14:textId="77777777" w:rsidTr="000A0C22">
        <w:trPr>
          <w:trHeight w:val="300"/>
          <w:jc w:val="center"/>
        </w:trPr>
        <w:tc>
          <w:tcPr>
            <w:tcW w:w="1277" w:type="dxa"/>
            <w:vMerge/>
            <w:vAlign w:val="center"/>
            <w:hideMark/>
          </w:tcPr>
          <w:p w14:paraId="090E2513"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7EB0FA8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708" w:type="dxa"/>
            <w:shd w:val="clear" w:color="auto" w:fill="auto"/>
            <w:vAlign w:val="center"/>
            <w:hideMark/>
          </w:tcPr>
          <w:p w14:paraId="668808D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67" w:type="dxa"/>
            <w:shd w:val="clear" w:color="auto" w:fill="auto"/>
            <w:vAlign w:val="center"/>
            <w:hideMark/>
          </w:tcPr>
          <w:p w14:paraId="0BC763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7B350E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shd w:val="clear" w:color="000000" w:fill="FFFFFF"/>
            <w:vAlign w:val="center"/>
            <w:hideMark/>
          </w:tcPr>
          <w:p w14:paraId="3D8539D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₡123 422 000,00</w:t>
            </w:r>
          </w:p>
        </w:tc>
        <w:tc>
          <w:tcPr>
            <w:tcW w:w="1276" w:type="dxa"/>
            <w:shd w:val="clear" w:color="000000" w:fill="FFFFFF"/>
            <w:hideMark/>
          </w:tcPr>
          <w:p w14:paraId="3B09D5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034DF0B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hideMark/>
          </w:tcPr>
          <w:p w14:paraId="6018A4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156 774 000,00 </w:t>
            </w:r>
          </w:p>
        </w:tc>
      </w:tr>
      <w:tr w:rsidR="00B15F7D" w:rsidRPr="00990FB6" w14:paraId="22FCCF9A" w14:textId="77777777" w:rsidTr="000A0C22">
        <w:trPr>
          <w:trHeight w:val="300"/>
          <w:jc w:val="center"/>
        </w:trPr>
        <w:tc>
          <w:tcPr>
            <w:tcW w:w="1277" w:type="dxa"/>
            <w:vMerge/>
            <w:vAlign w:val="center"/>
            <w:hideMark/>
          </w:tcPr>
          <w:p w14:paraId="59E73958"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168FCF98"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708" w:type="dxa"/>
            <w:shd w:val="clear" w:color="auto" w:fill="auto"/>
            <w:vAlign w:val="center"/>
            <w:hideMark/>
          </w:tcPr>
          <w:p w14:paraId="261BBFE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67" w:type="dxa"/>
            <w:shd w:val="clear" w:color="auto" w:fill="auto"/>
            <w:vAlign w:val="center"/>
            <w:hideMark/>
          </w:tcPr>
          <w:p w14:paraId="119DD7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6F70DB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417" w:type="dxa"/>
            <w:shd w:val="clear" w:color="000000" w:fill="FFFFFF"/>
            <w:vAlign w:val="center"/>
            <w:hideMark/>
          </w:tcPr>
          <w:p w14:paraId="5790D1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₡123 422 000,00</w:t>
            </w:r>
          </w:p>
        </w:tc>
        <w:tc>
          <w:tcPr>
            <w:tcW w:w="1276" w:type="dxa"/>
            <w:shd w:val="clear" w:color="000000" w:fill="FFFFFF"/>
            <w:hideMark/>
          </w:tcPr>
          <w:p w14:paraId="69BC29C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729ADC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hideMark/>
          </w:tcPr>
          <w:p w14:paraId="3A1A6E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156 774 000,00 </w:t>
            </w:r>
          </w:p>
        </w:tc>
      </w:tr>
      <w:tr w:rsidR="00B15F7D" w:rsidRPr="00990FB6" w14:paraId="19F11AC0" w14:textId="77777777" w:rsidTr="000A0C22">
        <w:trPr>
          <w:trHeight w:val="300"/>
          <w:jc w:val="center"/>
        </w:trPr>
        <w:tc>
          <w:tcPr>
            <w:tcW w:w="1277" w:type="dxa"/>
            <w:vMerge/>
            <w:vAlign w:val="center"/>
            <w:hideMark/>
          </w:tcPr>
          <w:p w14:paraId="57B5097B"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573998E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Limón</w:t>
            </w:r>
          </w:p>
        </w:tc>
        <w:tc>
          <w:tcPr>
            <w:tcW w:w="708" w:type="dxa"/>
            <w:shd w:val="clear" w:color="auto" w:fill="auto"/>
            <w:vAlign w:val="center"/>
            <w:hideMark/>
          </w:tcPr>
          <w:p w14:paraId="57AC0BB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67" w:type="dxa"/>
            <w:shd w:val="clear" w:color="auto" w:fill="auto"/>
            <w:vAlign w:val="center"/>
            <w:hideMark/>
          </w:tcPr>
          <w:p w14:paraId="7E49787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851" w:type="dxa"/>
            <w:shd w:val="clear" w:color="auto" w:fill="auto"/>
            <w:vAlign w:val="center"/>
            <w:hideMark/>
          </w:tcPr>
          <w:p w14:paraId="639F4E0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417" w:type="dxa"/>
            <w:shd w:val="clear" w:color="000000" w:fill="FFFFFF"/>
            <w:vAlign w:val="center"/>
            <w:hideMark/>
          </w:tcPr>
          <w:p w14:paraId="7181A32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276" w:type="dxa"/>
            <w:shd w:val="clear" w:color="000000" w:fill="FFFFFF"/>
            <w:vAlign w:val="center"/>
            <w:hideMark/>
          </w:tcPr>
          <w:p w14:paraId="155E1BD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c>
          <w:tcPr>
            <w:tcW w:w="1418" w:type="dxa"/>
            <w:shd w:val="clear" w:color="000000" w:fill="FFFFFF"/>
            <w:vAlign w:val="center"/>
            <w:hideMark/>
          </w:tcPr>
          <w:p w14:paraId="565ED1F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0EA98F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53 778 000,00 </w:t>
            </w:r>
          </w:p>
        </w:tc>
      </w:tr>
      <w:tr w:rsidR="00B15F7D" w:rsidRPr="00990FB6" w14:paraId="6A0AD0FF" w14:textId="77777777" w:rsidTr="000A0C22">
        <w:trPr>
          <w:trHeight w:val="300"/>
          <w:jc w:val="center"/>
        </w:trPr>
        <w:tc>
          <w:tcPr>
            <w:tcW w:w="1277" w:type="dxa"/>
            <w:vMerge/>
            <w:vAlign w:val="center"/>
            <w:hideMark/>
          </w:tcPr>
          <w:p w14:paraId="519C07C6"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69E3107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Alajuela</w:t>
            </w:r>
          </w:p>
        </w:tc>
        <w:tc>
          <w:tcPr>
            <w:tcW w:w="708" w:type="dxa"/>
            <w:shd w:val="clear" w:color="auto" w:fill="auto"/>
            <w:vAlign w:val="center"/>
            <w:hideMark/>
          </w:tcPr>
          <w:p w14:paraId="46FBA7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3F5F80F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4DE436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417" w:type="dxa"/>
            <w:shd w:val="clear" w:color="000000" w:fill="FFFFFF"/>
            <w:vAlign w:val="center"/>
            <w:hideMark/>
          </w:tcPr>
          <w:p w14:paraId="4710E5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hideMark/>
          </w:tcPr>
          <w:p w14:paraId="6E301B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vAlign w:val="center"/>
            <w:hideMark/>
          </w:tcPr>
          <w:p w14:paraId="46A5BA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5EFEA4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r>
      <w:tr w:rsidR="00B15F7D" w:rsidRPr="00990FB6" w14:paraId="3DE04C93" w14:textId="77777777" w:rsidTr="000A0C22">
        <w:trPr>
          <w:trHeight w:val="300"/>
          <w:jc w:val="center"/>
        </w:trPr>
        <w:tc>
          <w:tcPr>
            <w:tcW w:w="1277" w:type="dxa"/>
            <w:vMerge/>
            <w:vAlign w:val="center"/>
            <w:hideMark/>
          </w:tcPr>
          <w:p w14:paraId="3C00B4DB"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022716D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Liberia</w:t>
            </w:r>
          </w:p>
        </w:tc>
        <w:tc>
          <w:tcPr>
            <w:tcW w:w="708" w:type="dxa"/>
            <w:shd w:val="clear" w:color="auto" w:fill="auto"/>
            <w:vAlign w:val="center"/>
            <w:hideMark/>
          </w:tcPr>
          <w:p w14:paraId="30A320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7D32E52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248D53A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417" w:type="dxa"/>
            <w:shd w:val="clear" w:color="000000" w:fill="FFFFFF"/>
            <w:vAlign w:val="center"/>
            <w:hideMark/>
          </w:tcPr>
          <w:p w14:paraId="5CCFAC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hideMark/>
          </w:tcPr>
          <w:p w14:paraId="262ABA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vAlign w:val="center"/>
            <w:hideMark/>
          </w:tcPr>
          <w:p w14:paraId="503BBA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1E6FB0D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r>
      <w:tr w:rsidR="00B15F7D" w:rsidRPr="00990FB6" w14:paraId="72A199E1" w14:textId="77777777" w:rsidTr="000A0C22">
        <w:trPr>
          <w:trHeight w:val="300"/>
          <w:jc w:val="center"/>
        </w:trPr>
        <w:tc>
          <w:tcPr>
            <w:tcW w:w="1277" w:type="dxa"/>
            <w:vMerge/>
            <w:vAlign w:val="center"/>
            <w:hideMark/>
          </w:tcPr>
          <w:p w14:paraId="60E671C7" w14:textId="77777777" w:rsidR="00B15F7D" w:rsidRPr="00990FB6" w:rsidRDefault="00B15F7D" w:rsidP="00B15F7D">
            <w:pPr>
              <w:suppressAutoHyphens w:val="0"/>
              <w:rPr>
                <w:b/>
                <w:bCs/>
                <w:color w:val="000000"/>
                <w:sz w:val="22"/>
                <w:szCs w:val="22"/>
                <w:lang w:val="es-CR" w:eastAsia="es-CR"/>
              </w:rPr>
            </w:pPr>
          </w:p>
        </w:tc>
        <w:tc>
          <w:tcPr>
            <w:tcW w:w="2268" w:type="dxa"/>
            <w:shd w:val="clear" w:color="auto" w:fill="auto"/>
            <w:vAlign w:val="center"/>
            <w:hideMark/>
          </w:tcPr>
          <w:p w14:paraId="03A7B8F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Nicoya</w:t>
            </w:r>
          </w:p>
        </w:tc>
        <w:tc>
          <w:tcPr>
            <w:tcW w:w="708" w:type="dxa"/>
            <w:shd w:val="clear" w:color="auto" w:fill="auto"/>
            <w:vAlign w:val="center"/>
            <w:hideMark/>
          </w:tcPr>
          <w:p w14:paraId="54705F4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67" w:type="dxa"/>
            <w:shd w:val="clear" w:color="auto" w:fill="auto"/>
            <w:vAlign w:val="center"/>
            <w:hideMark/>
          </w:tcPr>
          <w:p w14:paraId="76042E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851" w:type="dxa"/>
            <w:shd w:val="clear" w:color="auto" w:fill="auto"/>
            <w:vAlign w:val="center"/>
            <w:hideMark/>
          </w:tcPr>
          <w:p w14:paraId="1983C8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417" w:type="dxa"/>
            <w:shd w:val="clear" w:color="000000" w:fill="FFFFFF"/>
            <w:vAlign w:val="center"/>
            <w:hideMark/>
          </w:tcPr>
          <w:p w14:paraId="6FBD72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276" w:type="dxa"/>
            <w:shd w:val="clear" w:color="000000" w:fill="FFFFFF"/>
            <w:hideMark/>
          </w:tcPr>
          <w:p w14:paraId="51EC8B6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vAlign w:val="center"/>
            <w:hideMark/>
          </w:tcPr>
          <w:p w14:paraId="7AAD10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c>
          <w:tcPr>
            <w:tcW w:w="1559" w:type="dxa"/>
            <w:shd w:val="clear" w:color="000000" w:fill="FFFFFF"/>
            <w:vAlign w:val="center"/>
            <w:hideMark/>
          </w:tcPr>
          <w:p w14:paraId="5C52E17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16 676 000,00 </w:t>
            </w:r>
          </w:p>
        </w:tc>
      </w:tr>
      <w:tr w:rsidR="00B15F7D" w:rsidRPr="00990FB6" w14:paraId="14703DE7" w14:textId="77777777" w:rsidTr="000A0C22">
        <w:trPr>
          <w:trHeight w:val="300"/>
          <w:jc w:val="center"/>
        </w:trPr>
        <w:tc>
          <w:tcPr>
            <w:tcW w:w="1277" w:type="dxa"/>
            <w:vMerge/>
            <w:vAlign w:val="center"/>
            <w:hideMark/>
          </w:tcPr>
          <w:p w14:paraId="3C993749" w14:textId="77777777" w:rsidR="00B15F7D" w:rsidRPr="00990FB6" w:rsidRDefault="00B15F7D" w:rsidP="00B15F7D">
            <w:pPr>
              <w:suppressAutoHyphens w:val="0"/>
              <w:rPr>
                <w:b/>
                <w:bCs/>
                <w:color w:val="000000"/>
                <w:sz w:val="22"/>
                <w:szCs w:val="22"/>
                <w:lang w:val="es-CR" w:eastAsia="es-CR"/>
              </w:rPr>
            </w:pPr>
          </w:p>
        </w:tc>
        <w:tc>
          <w:tcPr>
            <w:tcW w:w="2268" w:type="dxa"/>
            <w:shd w:val="clear" w:color="000000" w:fill="DEEAF6"/>
            <w:vAlign w:val="center"/>
            <w:hideMark/>
          </w:tcPr>
          <w:p w14:paraId="5CEAD0BF"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708" w:type="dxa"/>
            <w:shd w:val="clear" w:color="000000" w:fill="DEEAF6"/>
            <w:vAlign w:val="center"/>
            <w:hideMark/>
          </w:tcPr>
          <w:p w14:paraId="3757187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10</w:t>
            </w:r>
          </w:p>
        </w:tc>
        <w:tc>
          <w:tcPr>
            <w:tcW w:w="567" w:type="dxa"/>
            <w:shd w:val="clear" w:color="000000" w:fill="DEEAF6"/>
            <w:vAlign w:val="center"/>
            <w:hideMark/>
          </w:tcPr>
          <w:p w14:paraId="23514D7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w:t>
            </w:r>
          </w:p>
        </w:tc>
        <w:tc>
          <w:tcPr>
            <w:tcW w:w="851" w:type="dxa"/>
            <w:shd w:val="clear" w:color="000000" w:fill="DEEAF6"/>
            <w:vAlign w:val="center"/>
            <w:hideMark/>
          </w:tcPr>
          <w:p w14:paraId="01169539"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13</w:t>
            </w:r>
          </w:p>
        </w:tc>
        <w:tc>
          <w:tcPr>
            <w:tcW w:w="1417" w:type="dxa"/>
            <w:shd w:val="clear" w:color="000000" w:fill="DEEAF6"/>
            <w:vAlign w:val="center"/>
            <w:hideMark/>
          </w:tcPr>
          <w:p w14:paraId="5A6752E5"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617 110 000,00 </w:t>
            </w:r>
          </w:p>
        </w:tc>
        <w:tc>
          <w:tcPr>
            <w:tcW w:w="1276" w:type="dxa"/>
            <w:shd w:val="clear" w:color="000000" w:fill="DEEAF6"/>
            <w:vAlign w:val="center"/>
            <w:hideMark/>
          </w:tcPr>
          <w:p w14:paraId="48E3F4F5"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53 778 000,00 </w:t>
            </w:r>
          </w:p>
        </w:tc>
        <w:tc>
          <w:tcPr>
            <w:tcW w:w="1418" w:type="dxa"/>
            <w:shd w:val="clear" w:color="000000" w:fill="DEEAF6"/>
            <w:vAlign w:val="center"/>
            <w:hideMark/>
          </w:tcPr>
          <w:p w14:paraId="6C39312B"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₡216 788 000,00 </w:t>
            </w:r>
          </w:p>
        </w:tc>
        <w:tc>
          <w:tcPr>
            <w:tcW w:w="1559" w:type="dxa"/>
            <w:shd w:val="clear" w:color="000000" w:fill="DEEAF6"/>
            <w:vAlign w:val="center"/>
            <w:hideMark/>
          </w:tcPr>
          <w:p w14:paraId="69203A7A"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887 676 000,00 </w:t>
            </w:r>
          </w:p>
        </w:tc>
      </w:tr>
    </w:tbl>
    <w:p w14:paraId="310389C1" w14:textId="77777777" w:rsidR="00B15F7D" w:rsidRPr="00990FB6" w:rsidRDefault="00B15F7D" w:rsidP="00B15F7D">
      <w:pPr>
        <w:suppressAutoHyphens w:val="0"/>
        <w:ind w:left="720"/>
        <w:contextualSpacing/>
        <w:jc w:val="both"/>
        <w:rPr>
          <w:rFonts w:eastAsia="Calibri"/>
          <w:sz w:val="22"/>
          <w:szCs w:val="22"/>
          <w:lang w:val="es-CR" w:eastAsia="en-US"/>
        </w:rPr>
      </w:pPr>
    </w:p>
    <w:p w14:paraId="6FC88BD9" w14:textId="77777777" w:rsidR="00B15F7D" w:rsidRPr="00990FB6" w:rsidRDefault="00B15F7D" w:rsidP="00B15F7D">
      <w:pPr>
        <w:numPr>
          <w:ilvl w:val="0"/>
          <w:numId w:val="132"/>
        </w:numPr>
        <w:suppressAutoHyphens w:val="0"/>
        <w:ind w:left="851" w:right="851" w:firstLine="709"/>
        <w:jc w:val="both"/>
        <w:rPr>
          <w:b/>
          <w:bCs/>
          <w:color w:val="3A3838"/>
          <w:sz w:val="22"/>
          <w:szCs w:val="22"/>
          <w:lang w:val="es-CR" w:eastAsia="es-CR"/>
        </w:rPr>
      </w:pPr>
      <w:r w:rsidRPr="00990FB6">
        <w:rPr>
          <w:rFonts w:eastAsia="Calibri"/>
          <w:sz w:val="22"/>
          <w:szCs w:val="22"/>
          <w:lang w:val="es-CR" w:eastAsia="en-US"/>
        </w:rPr>
        <w:t>Los costos variables totales por equipo de cómputo y mobiliario para este escenario ascienden a ¢30 845 462,00, distribuidos de la siguiente manera:</w:t>
      </w:r>
    </w:p>
    <w:p w14:paraId="7BAA02C2" w14:textId="77777777" w:rsidR="00B15F7D" w:rsidRPr="00990FB6" w:rsidRDefault="00B15F7D" w:rsidP="00B15F7D">
      <w:pPr>
        <w:suppressAutoHyphens w:val="0"/>
        <w:contextualSpacing/>
        <w:jc w:val="both"/>
        <w:rPr>
          <w:rFonts w:eastAsia="Calibri"/>
          <w:sz w:val="22"/>
          <w:szCs w:val="22"/>
          <w:lang w:val="es-CR" w:eastAsia="en-US"/>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6"/>
        <w:gridCol w:w="1517"/>
        <w:gridCol w:w="739"/>
        <w:gridCol w:w="739"/>
        <w:gridCol w:w="1130"/>
        <w:gridCol w:w="1701"/>
        <w:gridCol w:w="1559"/>
        <w:gridCol w:w="1559"/>
      </w:tblGrid>
      <w:tr w:rsidR="00B15F7D" w:rsidRPr="00990FB6" w14:paraId="7D99DAF0" w14:textId="77777777" w:rsidTr="000A0C22">
        <w:trPr>
          <w:trHeight w:val="300"/>
          <w:jc w:val="center"/>
        </w:trPr>
        <w:tc>
          <w:tcPr>
            <w:tcW w:w="1254" w:type="dxa"/>
            <w:vMerge w:val="restart"/>
            <w:shd w:val="clear" w:color="000000" w:fill="305496"/>
            <w:vAlign w:val="center"/>
            <w:hideMark/>
          </w:tcPr>
          <w:p w14:paraId="4438C14A" w14:textId="77777777" w:rsidR="00B15F7D" w:rsidRPr="00990FB6" w:rsidRDefault="00B15F7D" w:rsidP="00B15F7D">
            <w:pPr>
              <w:suppressAutoHyphens w:val="0"/>
              <w:jc w:val="center"/>
              <w:rPr>
                <w:b/>
                <w:bCs/>
                <w:color w:val="FFFFFF"/>
                <w:sz w:val="22"/>
                <w:szCs w:val="22"/>
                <w:lang w:val="es-CR" w:eastAsia="es-CR"/>
              </w:rPr>
            </w:pPr>
            <w:bookmarkStart w:id="22" w:name="_Hlk127201333"/>
            <w:r w:rsidRPr="00990FB6">
              <w:rPr>
                <w:b/>
                <w:bCs/>
                <w:color w:val="FFFFFF"/>
                <w:sz w:val="22"/>
                <w:szCs w:val="22"/>
                <w:lang w:val="es-CR" w:eastAsia="es-CR"/>
              </w:rPr>
              <w:t xml:space="preserve">Programa presupuestario </w:t>
            </w:r>
          </w:p>
        </w:tc>
        <w:tc>
          <w:tcPr>
            <w:tcW w:w="2249" w:type="dxa"/>
            <w:vMerge w:val="restart"/>
            <w:shd w:val="clear" w:color="000000" w:fill="305496"/>
            <w:vAlign w:val="center"/>
            <w:hideMark/>
          </w:tcPr>
          <w:p w14:paraId="505C149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2168" w:type="dxa"/>
            <w:gridSpan w:val="3"/>
            <w:shd w:val="clear" w:color="000000" w:fill="5B9BD5"/>
            <w:noWrap/>
            <w:vAlign w:val="center"/>
            <w:hideMark/>
          </w:tcPr>
          <w:p w14:paraId="778FB7F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4819" w:type="dxa"/>
            <w:gridSpan w:val="3"/>
            <w:shd w:val="clear" w:color="000000" w:fill="5B9BD5"/>
            <w:noWrap/>
            <w:vAlign w:val="center"/>
            <w:hideMark/>
          </w:tcPr>
          <w:p w14:paraId="5F91F61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COSTOS DE GASTOS VARIABLES</w:t>
            </w:r>
          </w:p>
        </w:tc>
      </w:tr>
      <w:tr w:rsidR="00B15F7D" w:rsidRPr="00990FB6" w14:paraId="7E7BD42D" w14:textId="77777777" w:rsidTr="000A0C22">
        <w:trPr>
          <w:trHeight w:val="450"/>
          <w:jc w:val="center"/>
        </w:trPr>
        <w:tc>
          <w:tcPr>
            <w:tcW w:w="1254" w:type="dxa"/>
            <w:vMerge/>
            <w:vAlign w:val="center"/>
            <w:hideMark/>
          </w:tcPr>
          <w:p w14:paraId="1271378E" w14:textId="77777777" w:rsidR="00B15F7D" w:rsidRPr="00990FB6" w:rsidRDefault="00B15F7D" w:rsidP="00B15F7D">
            <w:pPr>
              <w:suppressAutoHyphens w:val="0"/>
              <w:rPr>
                <w:b/>
                <w:bCs/>
                <w:color w:val="FFFFFF"/>
                <w:sz w:val="22"/>
                <w:szCs w:val="22"/>
                <w:lang w:val="es-CR" w:eastAsia="es-CR"/>
              </w:rPr>
            </w:pPr>
          </w:p>
        </w:tc>
        <w:tc>
          <w:tcPr>
            <w:tcW w:w="2249" w:type="dxa"/>
            <w:vMerge/>
            <w:vAlign w:val="center"/>
            <w:hideMark/>
          </w:tcPr>
          <w:p w14:paraId="1C6CFA8F" w14:textId="77777777" w:rsidR="00B15F7D" w:rsidRPr="00990FB6" w:rsidRDefault="00B15F7D" w:rsidP="00B15F7D">
            <w:pPr>
              <w:suppressAutoHyphens w:val="0"/>
              <w:rPr>
                <w:b/>
                <w:bCs/>
                <w:color w:val="FFFFFF"/>
                <w:sz w:val="22"/>
                <w:szCs w:val="22"/>
                <w:lang w:val="es-CR" w:eastAsia="es-CR"/>
              </w:rPr>
            </w:pPr>
          </w:p>
        </w:tc>
        <w:tc>
          <w:tcPr>
            <w:tcW w:w="588" w:type="dxa"/>
            <w:shd w:val="clear" w:color="000000" w:fill="305496"/>
            <w:vAlign w:val="center"/>
            <w:hideMark/>
          </w:tcPr>
          <w:p w14:paraId="1BD50DB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4</w:t>
            </w:r>
          </w:p>
        </w:tc>
        <w:tc>
          <w:tcPr>
            <w:tcW w:w="588" w:type="dxa"/>
            <w:shd w:val="clear" w:color="000000" w:fill="305496"/>
            <w:vAlign w:val="center"/>
            <w:hideMark/>
          </w:tcPr>
          <w:p w14:paraId="577C60E0"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992" w:type="dxa"/>
            <w:shd w:val="clear" w:color="000000" w:fill="305496"/>
            <w:vAlign w:val="center"/>
            <w:hideMark/>
          </w:tcPr>
          <w:p w14:paraId="599D561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701" w:type="dxa"/>
            <w:shd w:val="clear" w:color="000000" w:fill="305496"/>
            <w:vAlign w:val="center"/>
            <w:hideMark/>
          </w:tcPr>
          <w:p w14:paraId="03FC1BE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profesional</w:t>
            </w:r>
          </w:p>
        </w:tc>
        <w:tc>
          <w:tcPr>
            <w:tcW w:w="1559" w:type="dxa"/>
            <w:shd w:val="clear" w:color="000000" w:fill="305496"/>
            <w:vAlign w:val="center"/>
            <w:hideMark/>
          </w:tcPr>
          <w:p w14:paraId="79C7303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c>
          <w:tcPr>
            <w:tcW w:w="1559" w:type="dxa"/>
            <w:shd w:val="clear" w:color="000000" w:fill="305496"/>
            <w:vAlign w:val="center"/>
            <w:hideMark/>
          </w:tcPr>
          <w:p w14:paraId="6991191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5C6D03AC" w14:textId="77777777" w:rsidTr="000A0C22">
        <w:trPr>
          <w:trHeight w:val="300"/>
          <w:jc w:val="center"/>
        </w:trPr>
        <w:tc>
          <w:tcPr>
            <w:tcW w:w="1254" w:type="dxa"/>
            <w:vMerge w:val="restart"/>
            <w:shd w:val="clear" w:color="000000" w:fill="FFFFFF"/>
            <w:vAlign w:val="center"/>
            <w:hideMark/>
          </w:tcPr>
          <w:p w14:paraId="6F87C039"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249" w:type="dxa"/>
            <w:shd w:val="clear" w:color="auto" w:fill="auto"/>
            <w:vAlign w:val="center"/>
            <w:hideMark/>
          </w:tcPr>
          <w:p w14:paraId="45E650E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588" w:type="dxa"/>
            <w:shd w:val="clear" w:color="auto" w:fill="auto"/>
            <w:vAlign w:val="center"/>
            <w:hideMark/>
          </w:tcPr>
          <w:p w14:paraId="2FBA94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23CE59F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3E5D344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18AAD3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vAlign w:val="center"/>
            <w:hideMark/>
          </w:tcPr>
          <w:p w14:paraId="6C862A9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721CF8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15FA4DD6" w14:textId="77777777" w:rsidTr="000A0C22">
        <w:trPr>
          <w:trHeight w:val="300"/>
          <w:jc w:val="center"/>
        </w:trPr>
        <w:tc>
          <w:tcPr>
            <w:tcW w:w="1254" w:type="dxa"/>
            <w:vMerge/>
            <w:vAlign w:val="center"/>
            <w:hideMark/>
          </w:tcPr>
          <w:p w14:paraId="5D32B586"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7D6ABFE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588" w:type="dxa"/>
            <w:shd w:val="clear" w:color="auto" w:fill="auto"/>
            <w:vAlign w:val="center"/>
            <w:hideMark/>
          </w:tcPr>
          <w:p w14:paraId="0351D6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75A5236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5B4D0D7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360ADC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59A9040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440BDB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6EB5CEA6" w14:textId="77777777" w:rsidTr="000A0C22">
        <w:trPr>
          <w:trHeight w:val="300"/>
          <w:jc w:val="center"/>
        </w:trPr>
        <w:tc>
          <w:tcPr>
            <w:tcW w:w="1254" w:type="dxa"/>
            <w:vMerge/>
            <w:vAlign w:val="center"/>
            <w:hideMark/>
          </w:tcPr>
          <w:p w14:paraId="3E88D299"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220418D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588" w:type="dxa"/>
            <w:shd w:val="clear" w:color="auto" w:fill="auto"/>
            <w:vAlign w:val="center"/>
            <w:hideMark/>
          </w:tcPr>
          <w:p w14:paraId="1239C11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4CB1E9D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6064F6C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1C5C456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1ADF45B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0282CB1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776C2845" w14:textId="77777777" w:rsidTr="000A0C22">
        <w:trPr>
          <w:trHeight w:val="300"/>
          <w:jc w:val="center"/>
        </w:trPr>
        <w:tc>
          <w:tcPr>
            <w:tcW w:w="1254" w:type="dxa"/>
            <w:vMerge/>
            <w:vAlign w:val="center"/>
            <w:hideMark/>
          </w:tcPr>
          <w:p w14:paraId="4FC5B755"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6F17208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588" w:type="dxa"/>
            <w:shd w:val="clear" w:color="auto" w:fill="auto"/>
            <w:vAlign w:val="center"/>
            <w:hideMark/>
          </w:tcPr>
          <w:p w14:paraId="6548B7E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31C434B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4F265C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0DB160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68E23B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4A1DE1C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524517F9" w14:textId="77777777" w:rsidTr="000A0C22">
        <w:trPr>
          <w:trHeight w:val="300"/>
          <w:jc w:val="center"/>
        </w:trPr>
        <w:tc>
          <w:tcPr>
            <w:tcW w:w="1254" w:type="dxa"/>
            <w:vMerge/>
            <w:vAlign w:val="center"/>
            <w:hideMark/>
          </w:tcPr>
          <w:p w14:paraId="0B51E51E"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5FCF61B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588" w:type="dxa"/>
            <w:shd w:val="clear" w:color="auto" w:fill="auto"/>
            <w:vAlign w:val="center"/>
            <w:hideMark/>
          </w:tcPr>
          <w:p w14:paraId="31E4EE6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88" w:type="dxa"/>
            <w:shd w:val="clear" w:color="auto" w:fill="auto"/>
            <w:vAlign w:val="center"/>
            <w:hideMark/>
          </w:tcPr>
          <w:p w14:paraId="369A59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5A6E480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53CD8D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1559" w:type="dxa"/>
            <w:shd w:val="clear" w:color="000000" w:fill="FFFFFF"/>
            <w:hideMark/>
          </w:tcPr>
          <w:p w14:paraId="0FCBB4F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14E9393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5E032833" w14:textId="77777777" w:rsidTr="000A0C22">
        <w:trPr>
          <w:trHeight w:val="300"/>
          <w:jc w:val="center"/>
        </w:trPr>
        <w:tc>
          <w:tcPr>
            <w:tcW w:w="1254" w:type="dxa"/>
            <w:vMerge/>
            <w:vAlign w:val="center"/>
            <w:hideMark/>
          </w:tcPr>
          <w:p w14:paraId="3FB5843F"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319F4818"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588" w:type="dxa"/>
            <w:shd w:val="clear" w:color="auto" w:fill="auto"/>
            <w:vAlign w:val="center"/>
            <w:hideMark/>
          </w:tcPr>
          <w:p w14:paraId="469D87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88" w:type="dxa"/>
            <w:shd w:val="clear" w:color="auto" w:fill="auto"/>
            <w:vAlign w:val="center"/>
            <w:hideMark/>
          </w:tcPr>
          <w:p w14:paraId="2453D33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3EDBEE9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165C83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1559" w:type="dxa"/>
            <w:shd w:val="clear" w:color="000000" w:fill="FFFFFF"/>
            <w:hideMark/>
          </w:tcPr>
          <w:p w14:paraId="76344A8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4F1B1BB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60ABB584" w14:textId="77777777" w:rsidTr="000A0C22">
        <w:trPr>
          <w:trHeight w:val="300"/>
          <w:jc w:val="center"/>
        </w:trPr>
        <w:tc>
          <w:tcPr>
            <w:tcW w:w="1254" w:type="dxa"/>
            <w:vMerge/>
            <w:vAlign w:val="center"/>
            <w:hideMark/>
          </w:tcPr>
          <w:p w14:paraId="3A2A1BDF"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7C7C10B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Limón</w:t>
            </w:r>
          </w:p>
        </w:tc>
        <w:tc>
          <w:tcPr>
            <w:tcW w:w="588" w:type="dxa"/>
            <w:shd w:val="clear" w:color="auto" w:fill="auto"/>
            <w:vAlign w:val="center"/>
            <w:hideMark/>
          </w:tcPr>
          <w:p w14:paraId="3E99A9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88" w:type="dxa"/>
            <w:shd w:val="clear" w:color="auto" w:fill="auto"/>
            <w:vAlign w:val="center"/>
            <w:hideMark/>
          </w:tcPr>
          <w:p w14:paraId="2800B5A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992" w:type="dxa"/>
            <w:shd w:val="clear" w:color="auto" w:fill="auto"/>
            <w:vAlign w:val="center"/>
            <w:hideMark/>
          </w:tcPr>
          <w:p w14:paraId="3E44C65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701" w:type="dxa"/>
            <w:shd w:val="clear" w:color="000000" w:fill="FFFFFF"/>
            <w:vAlign w:val="center"/>
            <w:hideMark/>
          </w:tcPr>
          <w:p w14:paraId="6F79E4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vAlign w:val="center"/>
            <w:hideMark/>
          </w:tcPr>
          <w:p w14:paraId="323373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7AEC920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08B506CD" w14:textId="77777777" w:rsidTr="000A0C22">
        <w:trPr>
          <w:trHeight w:val="300"/>
          <w:jc w:val="center"/>
        </w:trPr>
        <w:tc>
          <w:tcPr>
            <w:tcW w:w="1254" w:type="dxa"/>
            <w:vMerge/>
            <w:vAlign w:val="center"/>
            <w:hideMark/>
          </w:tcPr>
          <w:p w14:paraId="365F7D2B"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0851A9E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Alajuela</w:t>
            </w:r>
          </w:p>
        </w:tc>
        <w:tc>
          <w:tcPr>
            <w:tcW w:w="588" w:type="dxa"/>
            <w:shd w:val="clear" w:color="auto" w:fill="auto"/>
            <w:vAlign w:val="center"/>
            <w:hideMark/>
          </w:tcPr>
          <w:p w14:paraId="3FEF96C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657808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48FBC5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701" w:type="dxa"/>
            <w:shd w:val="clear" w:color="000000" w:fill="FFFFFF"/>
            <w:vAlign w:val="center"/>
            <w:hideMark/>
          </w:tcPr>
          <w:p w14:paraId="7DCD7E0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4F67D4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5D4DB21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500C86F6" w14:textId="77777777" w:rsidTr="000A0C22">
        <w:trPr>
          <w:trHeight w:val="300"/>
          <w:jc w:val="center"/>
        </w:trPr>
        <w:tc>
          <w:tcPr>
            <w:tcW w:w="1254" w:type="dxa"/>
            <w:vMerge/>
            <w:vAlign w:val="center"/>
            <w:hideMark/>
          </w:tcPr>
          <w:p w14:paraId="23D2AB09"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63F83376"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Liberia</w:t>
            </w:r>
          </w:p>
        </w:tc>
        <w:tc>
          <w:tcPr>
            <w:tcW w:w="588" w:type="dxa"/>
            <w:shd w:val="clear" w:color="auto" w:fill="auto"/>
            <w:vAlign w:val="center"/>
            <w:hideMark/>
          </w:tcPr>
          <w:p w14:paraId="43DB22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48D0839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0254933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1701" w:type="dxa"/>
            <w:shd w:val="clear" w:color="000000" w:fill="FFFFFF"/>
            <w:vAlign w:val="center"/>
            <w:hideMark/>
          </w:tcPr>
          <w:p w14:paraId="01A085A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0633A4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062EE4C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r>
      <w:tr w:rsidR="00B15F7D" w:rsidRPr="00990FB6" w14:paraId="3F4D8704" w14:textId="77777777" w:rsidTr="000A0C22">
        <w:trPr>
          <w:trHeight w:val="300"/>
          <w:jc w:val="center"/>
        </w:trPr>
        <w:tc>
          <w:tcPr>
            <w:tcW w:w="1254" w:type="dxa"/>
            <w:vMerge/>
            <w:vAlign w:val="center"/>
            <w:hideMark/>
          </w:tcPr>
          <w:p w14:paraId="0BA26C62"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7124AF8F"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Nicoya</w:t>
            </w:r>
          </w:p>
        </w:tc>
        <w:tc>
          <w:tcPr>
            <w:tcW w:w="588" w:type="dxa"/>
            <w:shd w:val="clear" w:color="auto" w:fill="auto"/>
            <w:vAlign w:val="center"/>
            <w:hideMark/>
          </w:tcPr>
          <w:p w14:paraId="276FF77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588" w:type="dxa"/>
            <w:shd w:val="clear" w:color="auto" w:fill="auto"/>
            <w:vAlign w:val="center"/>
            <w:hideMark/>
          </w:tcPr>
          <w:p w14:paraId="0D7637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0B42A35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1701" w:type="dxa"/>
            <w:shd w:val="clear" w:color="000000" w:fill="FFFFFF"/>
            <w:vAlign w:val="center"/>
            <w:hideMark/>
          </w:tcPr>
          <w:p w14:paraId="168122F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559" w:type="dxa"/>
            <w:shd w:val="clear" w:color="000000" w:fill="FFFFFF"/>
            <w:vAlign w:val="center"/>
            <w:hideMark/>
          </w:tcPr>
          <w:p w14:paraId="73280A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c>
          <w:tcPr>
            <w:tcW w:w="1559" w:type="dxa"/>
            <w:shd w:val="clear" w:color="000000" w:fill="FFFFFF"/>
            <w:vAlign w:val="center"/>
            <w:hideMark/>
          </w:tcPr>
          <w:p w14:paraId="6221A1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1 058 920,00 </w:t>
            </w:r>
          </w:p>
        </w:tc>
      </w:tr>
      <w:tr w:rsidR="00B15F7D" w:rsidRPr="00990FB6" w14:paraId="026AC7D0" w14:textId="77777777" w:rsidTr="000A0C22">
        <w:trPr>
          <w:trHeight w:val="300"/>
          <w:jc w:val="center"/>
        </w:trPr>
        <w:tc>
          <w:tcPr>
            <w:tcW w:w="1254" w:type="dxa"/>
            <w:vMerge/>
            <w:vAlign w:val="center"/>
            <w:hideMark/>
          </w:tcPr>
          <w:p w14:paraId="1C418BB5" w14:textId="77777777" w:rsidR="00B15F7D" w:rsidRPr="00990FB6" w:rsidRDefault="00B15F7D" w:rsidP="00B15F7D">
            <w:pPr>
              <w:suppressAutoHyphens w:val="0"/>
              <w:rPr>
                <w:b/>
                <w:bCs/>
                <w:color w:val="000000"/>
                <w:sz w:val="22"/>
                <w:szCs w:val="22"/>
                <w:lang w:val="es-CR" w:eastAsia="es-CR"/>
              </w:rPr>
            </w:pPr>
          </w:p>
        </w:tc>
        <w:tc>
          <w:tcPr>
            <w:tcW w:w="2249" w:type="dxa"/>
            <w:shd w:val="clear" w:color="000000" w:fill="DEEAF6"/>
            <w:vAlign w:val="center"/>
            <w:hideMark/>
          </w:tcPr>
          <w:p w14:paraId="19995DC5"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588" w:type="dxa"/>
            <w:shd w:val="clear" w:color="000000" w:fill="DEEAF6"/>
            <w:vAlign w:val="center"/>
            <w:hideMark/>
          </w:tcPr>
          <w:p w14:paraId="2BAF1F31"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10</w:t>
            </w:r>
          </w:p>
        </w:tc>
        <w:tc>
          <w:tcPr>
            <w:tcW w:w="588" w:type="dxa"/>
            <w:shd w:val="clear" w:color="000000" w:fill="DEEAF6"/>
            <w:vAlign w:val="center"/>
            <w:hideMark/>
          </w:tcPr>
          <w:p w14:paraId="784C5F5B"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w:t>
            </w:r>
          </w:p>
        </w:tc>
        <w:tc>
          <w:tcPr>
            <w:tcW w:w="992" w:type="dxa"/>
            <w:shd w:val="clear" w:color="000000" w:fill="DEEAF6"/>
            <w:vAlign w:val="center"/>
            <w:hideMark/>
          </w:tcPr>
          <w:p w14:paraId="24F32DFB"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13</w:t>
            </w:r>
          </w:p>
        </w:tc>
        <w:tc>
          <w:tcPr>
            <w:tcW w:w="1701" w:type="dxa"/>
            <w:shd w:val="clear" w:color="000000" w:fill="DEEAF6"/>
            <w:vAlign w:val="center"/>
            <w:hideMark/>
          </w:tcPr>
          <w:p w14:paraId="2037BCD8"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17 079 502,00 </w:t>
            </w:r>
          </w:p>
        </w:tc>
        <w:tc>
          <w:tcPr>
            <w:tcW w:w="1559" w:type="dxa"/>
            <w:shd w:val="clear" w:color="000000" w:fill="DEEAF6"/>
            <w:vAlign w:val="center"/>
            <w:hideMark/>
          </w:tcPr>
          <w:p w14:paraId="155468F6"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13 765 960,00 </w:t>
            </w:r>
          </w:p>
        </w:tc>
        <w:tc>
          <w:tcPr>
            <w:tcW w:w="1559" w:type="dxa"/>
            <w:shd w:val="clear" w:color="000000" w:fill="DEEAF6"/>
            <w:vAlign w:val="center"/>
            <w:hideMark/>
          </w:tcPr>
          <w:p w14:paraId="624B6B93"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30 845 462,00 </w:t>
            </w:r>
          </w:p>
        </w:tc>
      </w:tr>
      <w:bookmarkEnd w:id="22"/>
    </w:tbl>
    <w:p w14:paraId="55802F22" w14:textId="77777777" w:rsidR="00B15F7D" w:rsidRPr="00990FB6" w:rsidRDefault="00B15F7D" w:rsidP="00B15F7D">
      <w:pPr>
        <w:suppressAutoHyphens w:val="0"/>
        <w:ind w:left="709"/>
        <w:contextualSpacing/>
        <w:jc w:val="both"/>
        <w:rPr>
          <w:rFonts w:eastAsia="Calibri"/>
          <w:sz w:val="22"/>
          <w:szCs w:val="22"/>
          <w:lang w:val="es-CR" w:eastAsia="en-US"/>
        </w:rPr>
      </w:pPr>
    </w:p>
    <w:p w14:paraId="319D0A84" w14:textId="77777777" w:rsidR="00B15F7D" w:rsidRPr="00990FB6" w:rsidRDefault="00B15F7D" w:rsidP="00B15F7D">
      <w:pPr>
        <w:numPr>
          <w:ilvl w:val="0"/>
          <w:numId w:val="132"/>
        </w:num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El costo total de requerimiento humano para los Tribunales Penales se estima en ¢887 676 000,00 y los costos variables asociados en ¢30 845 462,00.</w:t>
      </w:r>
    </w:p>
    <w:p w14:paraId="70A9284A"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p>
    <w:p w14:paraId="247BA3E2"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r w:rsidRPr="00990FB6">
        <w:rPr>
          <w:rFonts w:eastAsia="Calibri"/>
          <w:b/>
          <w:bCs/>
          <w:sz w:val="22"/>
          <w:szCs w:val="22"/>
          <w:u w:val="single"/>
          <w:lang w:val="es-CR" w:eastAsia="en-US"/>
        </w:rPr>
        <w:t>En resumen, el escenario # 3 tiene el siguiente costo:</w:t>
      </w:r>
    </w:p>
    <w:p w14:paraId="364AD877" w14:textId="77777777" w:rsidR="00B15F7D" w:rsidRPr="00990FB6" w:rsidRDefault="00B15F7D" w:rsidP="00B15F7D">
      <w:pPr>
        <w:suppressAutoHyphens w:val="0"/>
        <w:ind w:left="349"/>
        <w:contextualSpacing/>
        <w:jc w:val="both"/>
        <w:rPr>
          <w:rFonts w:eastAsia="Calibri"/>
          <w:sz w:val="22"/>
          <w:szCs w:val="22"/>
          <w:lang w:val="es-CR" w:eastAsia="en-US"/>
        </w:rPr>
      </w:pPr>
    </w:p>
    <w:tbl>
      <w:tblPr>
        <w:tblW w:w="6936" w:type="dxa"/>
        <w:jc w:val="center"/>
        <w:tblCellMar>
          <w:left w:w="70" w:type="dxa"/>
          <w:right w:w="70" w:type="dxa"/>
        </w:tblCellMar>
        <w:tblLook w:val="04A0" w:firstRow="1" w:lastRow="0" w:firstColumn="1" w:lastColumn="0" w:noHBand="0" w:noVBand="1"/>
      </w:tblPr>
      <w:tblGrid>
        <w:gridCol w:w="2700"/>
        <w:gridCol w:w="1968"/>
        <w:gridCol w:w="2268"/>
      </w:tblGrid>
      <w:tr w:rsidR="00B15F7D" w:rsidRPr="00990FB6" w14:paraId="43CAD5A0" w14:textId="77777777" w:rsidTr="000A0C22">
        <w:trPr>
          <w:trHeight w:val="300"/>
          <w:jc w:val="center"/>
        </w:trPr>
        <w:tc>
          <w:tcPr>
            <w:tcW w:w="2700" w:type="dxa"/>
            <w:vMerge w:val="restart"/>
            <w:tcBorders>
              <w:top w:val="single" w:sz="8" w:space="0" w:color="E7E6E6"/>
              <w:left w:val="single" w:sz="8" w:space="0" w:color="E7E6E6"/>
              <w:bottom w:val="nil"/>
              <w:right w:val="nil"/>
            </w:tcBorders>
            <w:shd w:val="clear" w:color="000000" w:fill="305496"/>
            <w:vAlign w:val="center"/>
            <w:hideMark/>
          </w:tcPr>
          <w:p w14:paraId="705F0C0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1968" w:type="dxa"/>
            <w:tcBorders>
              <w:top w:val="single" w:sz="8" w:space="0" w:color="E7E6E6"/>
              <w:left w:val="single" w:sz="8" w:space="0" w:color="E7E6E6"/>
              <w:bottom w:val="single" w:sz="8" w:space="0" w:color="E7E6E6"/>
              <w:right w:val="nil"/>
            </w:tcBorders>
            <w:shd w:val="clear" w:color="000000" w:fill="5B9BD5"/>
            <w:noWrap/>
            <w:vAlign w:val="center"/>
            <w:hideMark/>
          </w:tcPr>
          <w:p w14:paraId="095CFDE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PROGRAMA</w:t>
            </w:r>
          </w:p>
        </w:tc>
        <w:tc>
          <w:tcPr>
            <w:tcW w:w="2268" w:type="dxa"/>
            <w:vMerge w:val="restart"/>
            <w:tcBorders>
              <w:top w:val="single" w:sz="8" w:space="0" w:color="E7E6E6"/>
              <w:left w:val="single" w:sz="8" w:space="0" w:color="E7E6E6"/>
              <w:bottom w:val="nil"/>
              <w:right w:val="nil"/>
            </w:tcBorders>
            <w:shd w:val="clear" w:color="000000" w:fill="305496"/>
            <w:vAlign w:val="center"/>
            <w:hideMark/>
          </w:tcPr>
          <w:p w14:paraId="4F85318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4918598C" w14:textId="77777777" w:rsidTr="000A0C22">
        <w:trPr>
          <w:trHeight w:val="300"/>
          <w:jc w:val="center"/>
        </w:trPr>
        <w:tc>
          <w:tcPr>
            <w:tcW w:w="2700" w:type="dxa"/>
            <w:vMerge/>
            <w:tcBorders>
              <w:top w:val="single" w:sz="8" w:space="0" w:color="E7E6E6"/>
              <w:left w:val="single" w:sz="8" w:space="0" w:color="E7E6E6"/>
              <w:bottom w:val="nil"/>
              <w:right w:val="nil"/>
            </w:tcBorders>
            <w:vAlign w:val="center"/>
            <w:hideMark/>
          </w:tcPr>
          <w:p w14:paraId="57722813" w14:textId="77777777" w:rsidR="00B15F7D" w:rsidRPr="00990FB6" w:rsidRDefault="00B15F7D" w:rsidP="00B15F7D">
            <w:pPr>
              <w:suppressAutoHyphens w:val="0"/>
              <w:rPr>
                <w:b/>
                <w:bCs/>
                <w:color w:val="FFFFFF"/>
                <w:sz w:val="22"/>
                <w:szCs w:val="22"/>
                <w:lang w:val="es-CR" w:eastAsia="es-CR"/>
              </w:rPr>
            </w:pPr>
          </w:p>
        </w:tc>
        <w:tc>
          <w:tcPr>
            <w:tcW w:w="1968" w:type="dxa"/>
            <w:tcBorders>
              <w:top w:val="nil"/>
              <w:left w:val="single" w:sz="8" w:space="0" w:color="E7E6E6"/>
              <w:bottom w:val="nil"/>
              <w:right w:val="nil"/>
            </w:tcBorders>
            <w:shd w:val="clear" w:color="000000" w:fill="305496"/>
            <w:vAlign w:val="center"/>
            <w:hideMark/>
          </w:tcPr>
          <w:p w14:paraId="51784FA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927</w:t>
            </w:r>
          </w:p>
        </w:tc>
        <w:tc>
          <w:tcPr>
            <w:tcW w:w="2268" w:type="dxa"/>
            <w:vMerge/>
            <w:tcBorders>
              <w:top w:val="single" w:sz="8" w:space="0" w:color="E7E6E6"/>
              <w:left w:val="single" w:sz="8" w:space="0" w:color="E7E6E6"/>
              <w:bottom w:val="nil"/>
              <w:right w:val="nil"/>
            </w:tcBorders>
            <w:vAlign w:val="center"/>
            <w:hideMark/>
          </w:tcPr>
          <w:p w14:paraId="0F94589E" w14:textId="77777777" w:rsidR="00B15F7D" w:rsidRPr="00990FB6" w:rsidRDefault="00B15F7D" w:rsidP="00B15F7D">
            <w:pPr>
              <w:suppressAutoHyphens w:val="0"/>
              <w:rPr>
                <w:b/>
                <w:bCs/>
                <w:color w:val="FFFFFF"/>
                <w:sz w:val="22"/>
                <w:szCs w:val="22"/>
                <w:lang w:val="es-CR" w:eastAsia="es-CR"/>
              </w:rPr>
            </w:pPr>
          </w:p>
        </w:tc>
      </w:tr>
      <w:tr w:rsidR="00B15F7D" w:rsidRPr="00990FB6" w14:paraId="609E8FE4" w14:textId="77777777" w:rsidTr="000A0C22">
        <w:trPr>
          <w:trHeight w:val="300"/>
          <w:jc w:val="center"/>
        </w:trPr>
        <w:tc>
          <w:tcPr>
            <w:tcW w:w="2700" w:type="dxa"/>
            <w:tcBorders>
              <w:top w:val="single" w:sz="8" w:space="0" w:color="E7E6E6"/>
              <w:left w:val="single" w:sz="8" w:space="0" w:color="E7E6E6"/>
              <w:bottom w:val="single" w:sz="8" w:space="0" w:color="E7E6E6"/>
              <w:right w:val="single" w:sz="8" w:space="0" w:color="E7E6E6"/>
            </w:tcBorders>
            <w:shd w:val="clear" w:color="auto" w:fill="auto"/>
            <w:vAlign w:val="center"/>
            <w:hideMark/>
          </w:tcPr>
          <w:p w14:paraId="463039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Recurso Humano</w:t>
            </w:r>
          </w:p>
        </w:tc>
        <w:tc>
          <w:tcPr>
            <w:tcW w:w="1968" w:type="dxa"/>
            <w:tcBorders>
              <w:top w:val="single" w:sz="8" w:space="0" w:color="E7E6E6"/>
              <w:left w:val="nil"/>
              <w:bottom w:val="single" w:sz="8" w:space="0" w:color="E7E6E6"/>
              <w:right w:val="single" w:sz="8" w:space="0" w:color="E7E6E6"/>
            </w:tcBorders>
            <w:shd w:val="clear" w:color="auto" w:fill="auto"/>
            <w:vAlign w:val="center"/>
            <w:hideMark/>
          </w:tcPr>
          <w:p w14:paraId="43296D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935 511 000,00 </w:t>
            </w:r>
          </w:p>
        </w:tc>
        <w:tc>
          <w:tcPr>
            <w:tcW w:w="2268" w:type="dxa"/>
            <w:tcBorders>
              <w:top w:val="single" w:sz="8" w:space="0" w:color="E7E6E6"/>
              <w:left w:val="nil"/>
              <w:bottom w:val="single" w:sz="8" w:space="0" w:color="E7E6E6"/>
              <w:right w:val="single" w:sz="8" w:space="0" w:color="E7E6E6"/>
            </w:tcBorders>
            <w:shd w:val="clear" w:color="auto" w:fill="auto"/>
            <w:vAlign w:val="center"/>
            <w:hideMark/>
          </w:tcPr>
          <w:p w14:paraId="2764C9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₡935 511 000,00</w:t>
            </w:r>
          </w:p>
        </w:tc>
      </w:tr>
      <w:tr w:rsidR="00B15F7D" w:rsidRPr="00990FB6" w14:paraId="527BBD7B" w14:textId="77777777" w:rsidTr="000A0C22">
        <w:trPr>
          <w:trHeight w:val="490"/>
          <w:jc w:val="center"/>
        </w:trPr>
        <w:tc>
          <w:tcPr>
            <w:tcW w:w="2700" w:type="dxa"/>
            <w:tcBorders>
              <w:top w:val="nil"/>
              <w:left w:val="single" w:sz="8" w:space="0" w:color="E7E6E6"/>
              <w:bottom w:val="single" w:sz="8" w:space="0" w:color="E7E6E6"/>
              <w:right w:val="single" w:sz="8" w:space="0" w:color="E7E6E6"/>
            </w:tcBorders>
            <w:shd w:val="clear" w:color="auto" w:fill="auto"/>
            <w:vAlign w:val="center"/>
            <w:hideMark/>
          </w:tcPr>
          <w:p w14:paraId="3E03168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lastRenderedPageBreak/>
              <w:t>Equipo y mobiliario de plazas nuevas</w:t>
            </w:r>
          </w:p>
        </w:tc>
        <w:tc>
          <w:tcPr>
            <w:tcW w:w="1968" w:type="dxa"/>
            <w:tcBorders>
              <w:top w:val="nil"/>
              <w:left w:val="nil"/>
              <w:bottom w:val="single" w:sz="8" w:space="0" w:color="E7E6E6"/>
              <w:right w:val="single" w:sz="8" w:space="0" w:color="E7E6E6"/>
            </w:tcBorders>
            <w:shd w:val="clear" w:color="auto" w:fill="auto"/>
            <w:vAlign w:val="center"/>
            <w:hideMark/>
          </w:tcPr>
          <w:p w14:paraId="1784778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34 022 222,00 </w:t>
            </w:r>
          </w:p>
        </w:tc>
        <w:tc>
          <w:tcPr>
            <w:tcW w:w="2268" w:type="dxa"/>
            <w:tcBorders>
              <w:top w:val="nil"/>
              <w:left w:val="nil"/>
              <w:bottom w:val="single" w:sz="8" w:space="0" w:color="E7E6E6"/>
              <w:right w:val="single" w:sz="8" w:space="0" w:color="E7E6E6"/>
            </w:tcBorders>
            <w:shd w:val="clear" w:color="auto" w:fill="auto"/>
            <w:vAlign w:val="center"/>
            <w:hideMark/>
          </w:tcPr>
          <w:p w14:paraId="4FE9AC1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₡34 022 222,00</w:t>
            </w:r>
          </w:p>
        </w:tc>
      </w:tr>
      <w:tr w:rsidR="00B15F7D" w:rsidRPr="00990FB6" w14:paraId="605C4F7E" w14:textId="77777777" w:rsidTr="000A0C22">
        <w:trPr>
          <w:trHeight w:val="300"/>
          <w:jc w:val="center"/>
        </w:trPr>
        <w:tc>
          <w:tcPr>
            <w:tcW w:w="2700" w:type="dxa"/>
            <w:tcBorders>
              <w:top w:val="nil"/>
              <w:left w:val="single" w:sz="8" w:space="0" w:color="E7E6E6"/>
              <w:bottom w:val="single" w:sz="8" w:space="0" w:color="E7E6E6"/>
              <w:right w:val="single" w:sz="8" w:space="0" w:color="E7E6E6"/>
            </w:tcBorders>
            <w:shd w:val="clear" w:color="000000" w:fill="DEEAF6"/>
            <w:vAlign w:val="center"/>
            <w:hideMark/>
          </w:tcPr>
          <w:p w14:paraId="7020EA54"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xml:space="preserve">TOTAL COSTOS ESTIMADOS </w:t>
            </w:r>
          </w:p>
        </w:tc>
        <w:tc>
          <w:tcPr>
            <w:tcW w:w="1968" w:type="dxa"/>
            <w:tcBorders>
              <w:top w:val="nil"/>
              <w:left w:val="nil"/>
              <w:bottom w:val="single" w:sz="8" w:space="0" w:color="E7E6E6"/>
              <w:right w:val="single" w:sz="8" w:space="0" w:color="E7E6E6"/>
            </w:tcBorders>
            <w:shd w:val="clear" w:color="000000" w:fill="DEEAF6"/>
            <w:vAlign w:val="center"/>
            <w:hideMark/>
          </w:tcPr>
          <w:p w14:paraId="39CA7FC4"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₡969 533 222,00</w:t>
            </w:r>
          </w:p>
        </w:tc>
        <w:tc>
          <w:tcPr>
            <w:tcW w:w="2268" w:type="dxa"/>
            <w:tcBorders>
              <w:top w:val="nil"/>
              <w:left w:val="nil"/>
              <w:bottom w:val="single" w:sz="8" w:space="0" w:color="E7E6E6"/>
              <w:right w:val="single" w:sz="8" w:space="0" w:color="E7E6E6"/>
            </w:tcBorders>
            <w:shd w:val="clear" w:color="000000" w:fill="DEEAF6"/>
            <w:vAlign w:val="center"/>
            <w:hideMark/>
          </w:tcPr>
          <w:p w14:paraId="289467BC"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₡969 533 222,00</w:t>
            </w:r>
          </w:p>
        </w:tc>
      </w:tr>
    </w:tbl>
    <w:p w14:paraId="50627774" w14:textId="77777777" w:rsidR="00B15F7D" w:rsidRPr="00990FB6" w:rsidRDefault="00B15F7D" w:rsidP="00B15F7D">
      <w:pPr>
        <w:suppressAutoHyphens w:val="0"/>
        <w:ind w:left="720"/>
        <w:contextualSpacing/>
        <w:jc w:val="both"/>
        <w:rPr>
          <w:rFonts w:eastAsia="Calibri"/>
          <w:sz w:val="22"/>
          <w:szCs w:val="22"/>
          <w:lang w:val="es-CR" w:eastAsia="en-US"/>
        </w:rPr>
      </w:pPr>
    </w:p>
    <w:p w14:paraId="6C8D7F72" w14:textId="77777777" w:rsidR="00B15F7D" w:rsidRPr="00990FB6" w:rsidRDefault="00B15F7D" w:rsidP="00B15F7D">
      <w:pPr>
        <w:numPr>
          <w:ilvl w:val="0"/>
          <w:numId w:val="134"/>
        </w:numPr>
        <w:suppressAutoHyphens w:val="0"/>
        <w:ind w:left="851" w:right="851" w:firstLine="709"/>
        <w:contextualSpacing/>
        <w:jc w:val="both"/>
        <w:rPr>
          <w:rFonts w:eastAsia="Calibri"/>
          <w:b/>
          <w:bCs/>
          <w:sz w:val="22"/>
          <w:szCs w:val="22"/>
          <w:lang w:val="es-CR" w:eastAsia="en-US"/>
        </w:rPr>
      </w:pPr>
      <w:r w:rsidRPr="00990FB6">
        <w:rPr>
          <w:rFonts w:eastAsia="Calibri"/>
          <w:b/>
          <w:bCs/>
          <w:sz w:val="22"/>
          <w:szCs w:val="22"/>
          <w:lang w:val="es-CR" w:eastAsia="en-US"/>
        </w:rPr>
        <w:t>Escenario #4</w:t>
      </w:r>
    </w:p>
    <w:p w14:paraId="0B5F1E3F"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B1804AB"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Se recomienda aprobar únicamente la transformación de permisos con goce de salario vigentes a plazas extraordinarias en aquellos Tribunales Penales que cuentan con una estructura mínima; </w:t>
      </w:r>
      <w:r w:rsidRPr="00990FB6">
        <w:rPr>
          <w:sz w:val="22"/>
          <w:szCs w:val="22"/>
          <w:lang w:eastAsia="en-US"/>
        </w:rPr>
        <w:t xml:space="preserve">de tal forma que tengan la capacidad in situ de poder hacer los juicios colegiados, sin necesidad de que las personas juzgadoras de otros despachos cabeceras se desplacen hacia esos lugares diariamente; </w:t>
      </w:r>
      <w:r w:rsidRPr="00990FB6">
        <w:rPr>
          <w:rFonts w:eastAsia="Calibri"/>
          <w:sz w:val="22"/>
          <w:szCs w:val="22"/>
          <w:lang w:val="es-CR" w:eastAsia="en-US"/>
        </w:rPr>
        <w:t>a saber: 20 plazas en los Tribunales Penales.</w:t>
      </w:r>
    </w:p>
    <w:p w14:paraId="4377ED49"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6AD6E933"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6"/>
        <w:gridCol w:w="1109"/>
        <w:gridCol w:w="1106"/>
        <w:gridCol w:w="751"/>
        <w:gridCol w:w="1301"/>
        <w:gridCol w:w="1275"/>
        <w:gridCol w:w="1276"/>
        <w:gridCol w:w="1418"/>
        <w:gridCol w:w="1559"/>
      </w:tblGrid>
      <w:tr w:rsidR="00B15F7D" w:rsidRPr="00990FB6" w14:paraId="08F463E2" w14:textId="77777777" w:rsidTr="000A0C22">
        <w:trPr>
          <w:trHeight w:val="300"/>
          <w:jc w:val="center"/>
        </w:trPr>
        <w:tc>
          <w:tcPr>
            <w:tcW w:w="0" w:type="auto"/>
            <w:vMerge w:val="restart"/>
            <w:shd w:val="clear" w:color="000000" w:fill="305496"/>
            <w:vAlign w:val="center"/>
            <w:hideMark/>
          </w:tcPr>
          <w:p w14:paraId="51BD480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194" w:type="dxa"/>
            <w:vMerge w:val="restart"/>
            <w:shd w:val="clear" w:color="000000" w:fill="305496"/>
            <w:vAlign w:val="center"/>
            <w:hideMark/>
          </w:tcPr>
          <w:p w14:paraId="65803F9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2410" w:type="dxa"/>
            <w:gridSpan w:val="3"/>
            <w:shd w:val="clear" w:color="000000" w:fill="5B9BD5"/>
            <w:noWrap/>
            <w:vAlign w:val="bottom"/>
            <w:hideMark/>
          </w:tcPr>
          <w:p w14:paraId="0413FC3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5528" w:type="dxa"/>
            <w:gridSpan w:val="4"/>
            <w:shd w:val="clear" w:color="000000" w:fill="5B9BD5"/>
            <w:noWrap/>
            <w:vAlign w:val="center"/>
            <w:hideMark/>
          </w:tcPr>
          <w:p w14:paraId="0DBF8F9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PRESPUESTARIO</w:t>
            </w:r>
          </w:p>
        </w:tc>
      </w:tr>
      <w:tr w:rsidR="00B15F7D" w:rsidRPr="00990FB6" w14:paraId="4BB6FCCD" w14:textId="77777777" w:rsidTr="000A0C22">
        <w:trPr>
          <w:trHeight w:val="490"/>
          <w:jc w:val="center"/>
        </w:trPr>
        <w:tc>
          <w:tcPr>
            <w:tcW w:w="0" w:type="auto"/>
            <w:vMerge/>
            <w:vAlign w:val="center"/>
            <w:hideMark/>
          </w:tcPr>
          <w:p w14:paraId="22A88848" w14:textId="77777777" w:rsidR="00B15F7D" w:rsidRPr="00990FB6" w:rsidRDefault="00B15F7D" w:rsidP="00B15F7D">
            <w:pPr>
              <w:suppressAutoHyphens w:val="0"/>
              <w:rPr>
                <w:b/>
                <w:bCs/>
                <w:color w:val="FFFFFF"/>
                <w:sz w:val="22"/>
                <w:szCs w:val="22"/>
                <w:lang w:val="es-CR" w:eastAsia="es-CR"/>
              </w:rPr>
            </w:pPr>
          </w:p>
        </w:tc>
        <w:tc>
          <w:tcPr>
            <w:tcW w:w="2194" w:type="dxa"/>
            <w:vMerge/>
            <w:vAlign w:val="center"/>
            <w:hideMark/>
          </w:tcPr>
          <w:p w14:paraId="3680E7F5" w14:textId="77777777" w:rsidR="00B15F7D" w:rsidRPr="00990FB6" w:rsidRDefault="00B15F7D" w:rsidP="00B15F7D">
            <w:pPr>
              <w:suppressAutoHyphens w:val="0"/>
              <w:rPr>
                <w:b/>
                <w:bCs/>
                <w:color w:val="FFFFFF"/>
                <w:sz w:val="22"/>
                <w:szCs w:val="22"/>
                <w:lang w:val="es-CR" w:eastAsia="es-CR"/>
              </w:rPr>
            </w:pPr>
          </w:p>
        </w:tc>
        <w:tc>
          <w:tcPr>
            <w:tcW w:w="850" w:type="dxa"/>
            <w:shd w:val="clear" w:color="000000" w:fill="305496"/>
            <w:vAlign w:val="center"/>
            <w:hideMark/>
          </w:tcPr>
          <w:p w14:paraId="0A4F658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Jueces/zas 4</w:t>
            </w:r>
          </w:p>
        </w:tc>
        <w:tc>
          <w:tcPr>
            <w:tcW w:w="567" w:type="dxa"/>
            <w:shd w:val="clear" w:color="000000" w:fill="305496"/>
            <w:vAlign w:val="center"/>
            <w:hideMark/>
          </w:tcPr>
          <w:p w14:paraId="22F645A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Jueces 1</w:t>
            </w:r>
          </w:p>
        </w:tc>
        <w:tc>
          <w:tcPr>
            <w:tcW w:w="993" w:type="dxa"/>
            <w:shd w:val="clear" w:color="000000" w:fill="305496"/>
            <w:vAlign w:val="center"/>
            <w:hideMark/>
          </w:tcPr>
          <w:p w14:paraId="5CDBFE0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Técnicos(as) Judiciales 3</w:t>
            </w:r>
          </w:p>
        </w:tc>
        <w:tc>
          <w:tcPr>
            <w:tcW w:w="1275" w:type="dxa"/>
            <w:shd w:val="clear" w:color="000000" w:fill="305496"/>
            <w:vAlign w:val="center"/>
            <w:hideMark/>
          </w:tcPr>
          <w:p w14:paraId="7EAE0A6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 juez o jueza 4</w:t>
            </w:r>
          </w:p>
        </w:tc>
        <w:tc>
          <w:tcPr>
            <w:tcW w:w="1276" w:type="dxa"/>
            <w:shd w:val="clear" w:color="000000" w:fill="305496"/>
            <w:vAlign w:val="center"/>
            <w:hideMark/>
          </w:tcPr>
          <w:p w14:paraId="75D19E1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1418" w:type="dxa"/>
            <w:shd w:val="clear" w:color="000000" w:fill="305496"/>
            <w:vAlign w:val="center"/>
            <w:hideMark/>
          </w:tcPr>
          <w:p w14:paraId="05AA59EF"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559" w:type="dxa"/>
            <w:shd w:val="clear" w:color="000000" w:fill="305496"/>
            <w:vAlign w:val="center"/>
            <w:hideMark/>
          </w:tcPr>
          <w:p w14:paraId="7348D24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1C5E508F" w14:textId="77777777" w:rsidTr="000A0C22">
        <w:trPr>
          <w:trHeight w:val="300"/>
          <w:jc w:val="center"/>
        </w:trPr>
        <w:tc>
          <w:tcPr>
            <w:tcW w:w="0" w:type="auto"/>
            <w:vMerge w:val="restart"/>
            <w:shd w:val="clear" w:color="000000" w:fill="FFFFFF"/>
            <w:vAlign w:val="center"/>
            <w:hideMark/>
          </w:tcPr>
          <w:p w14:paraId="460D219C"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t>927- Servicio Jurisdiccional</w:t>
            </w:r>
          </w:p>
        </w:tc>
        <w:tc>
          <w:tcPr>
            <w:tcW w:w="2194" w:type="dxa"/>
            <w:shd w:val="clear" w:color="auto" w:fill="auto"/>
            <w:vAlign w:val="center"/>
            <w:hideMark/>
          </w:tcPr>
          <w:p w14:paraId="00CF2F0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850" w:type="dxa"/>
            <w:shd w:val="clear" w:color="auto" w:fill="auto"/>
            <w:vAlign w:val="center"/>
            <w:hideMark/>
          </w:tcPr>
          <w:p w14:paraId="274C9CE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412B1C1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3" w:type="dxa"/>
            <w:shd w:val="clear" w:color="auto" w:fill="auto"/>
            <w:vAlign w:val="center"/>
            <w:hideMark/>
          </w:tcPr>
          <w:p w14:paraId="2DE14DC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275" w:type="dxa"/>
            <w:shd w:val="clear" w:color="000000" w:fill="FFFFFF"/>
            <w:vAlign w:val="center"/>
            <w:hideMark/>
          </w:tcPr>
          <w:p w14:paraId="3770812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7216F3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75755EA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32BD1F1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0159D337" w14:textId="77777777" w:rsidTr="000A0C22">
        <w:trPr>
          <w:trHeight w:val="300"/>
          <w:jc w:val="center"/>
        </w:trPr>
        <w:tc>
          <w:tcPr>
            <w:tcW w:w="0" w:type="auto"/>
            <w:vMerge/>
            <w:vAlign w:val="center"/>
            <w:hideMark/>
          </w:tcPr>
          <w:p w14:paraId="69452EF3" w14:textId="77777777" w:rsidR="00B15F7D" w:rsidRPr="00990FB6" w:rsidRDefault="00B15F7D" w:rsidP="00B15F7D">
            <w:pPr>
              <w:suppressAutoHyphens w:val="0"/>
              <w:rPr>
                <w:b/>
                <w:bCs/>
                <w:color w:val="000000"/>
                <w:sz w:val="22"/>
                <w:szCs w:val="22"/>
                <w:lang w:val="es-CR" w:eastAsia="es-CR"/>
              </w:rPr>
            </w:pPr>
          </w:p>
        </w:tc>
        <w:tc>
          <w:tcPr>
            <w:tcW w:w="2194" w:type="dxa"/>
            <w:shd w:val="clear" w:color="auto" w:fill="auto"/>
            <w:vAlign w:val="center"/>
            <w:hideMark/>
          </w:tcPr>
          <w:p w14:paraId="1E27188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850" w:type="dxa"/>
            <w:shd w:val="clear" w:color="auto" w:fill="auto"/>
            <w:vAlign w:val="center"/>
            <w:hideMark/>
          </w:tcPr>
          <w:p w14:paraId="5CE52E1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5F25040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3" w:type="dxa"/>
            <w:shd w:val="clear" w:color="auto" w:fill="auto"/>
            <w:vAlign w:val="center"/>
            <w:hideMark/>
          </w:tcPr>
          <w:p w14:paraId="2A18C08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275" w:type="dxa"/>
            <w:shd w:val="clear" w:color="000000" w:fill="FFFFFF"/>
            <w:vAlign w:val="center"/>
            <w:hideMark/>
          </w:tcPr>
          <w:p w14:paraId="129E23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57B1A6C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555893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422E32A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04D07CDB" w14:textId="77777777" w:rsidTr="000A0C22">
        <w:trPr>
          <w:trHeight w:val="300"/>
          <w:jc w:val="center"/>
        </w:trPr>
        <w:tc>
          <w:tcPr>
            <w:tcW w:w="0" w:type="auto"/>
            <w:vMerge/>
            <w:vAlign w:val="center"/>
            <w:hideMark/>
          </w:tcPr>
          <w:p w14:paraId="6E088E57" w14:textId="77777777" w:rsidR="00B15F7D" w:rsidRPr="00990FB6" w:rsidRDefault="00B15F7D" w:rsidP="00B15F7D">
            <w:pPr>
              <w:suppressAutoHyphens w:val="0"/>
              <w:rPr>
                <w:b/>
                <w:bCs/>
                <w:color w:val="000000"/>
                <w:sz w:val="22"/>
                <w:szCs w:val="22"/>
                <w:lang w:val="es-CR" w:eastAsia="es-CR"/>
              </w:rPr>
            </w:pPr>
          </w:p>
        </w:tc>
        <w:tc>
          <w:tcPr>
            <w:tcW w:w="2194" w:type="dxa"/>
            <w:shd w:val="clear" w:color="auto" w:fill="auto"/>
            <w:vAlign w:val="center"/>
            <w:hideMark/>
          </w:tcPr>
          <w:p w14:paraId="594983A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850" w:type="dxa"/>
            <w:shd w:val="clear" w:color="auto" w:fill="auto"/>
            <w:vAlign w:val="center"/>
            <w:hideMark/>
          </w:tcPr>
          <w:p w14:paraId="744BD61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1C61DE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3" w:type="dxa"/>
            <w:shd w:val="clear" w:color="auto" w:fill="auto"/>
            <w:vAlign w:val="center"/>
            <w:hideMark/>
          </w:tcPr>
          <w:p w14:paraId="71A063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275" w:type="dxa"/>
            <w:shd w:val="clear" w:color="000000" w:fill="FFFFFF"/>
            <w:vAlign w:val="center"/>
            <w:hideMark/>
          </w:tcPr>
          <w:p w14:paraId="31144C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72C30D2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3FDCDB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16E25B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702BBD35" w14:textId="77777777" w:rsidTr="000A0C22">
        <w:trPr>
          <w:trHeight w:val="300"/>
          <w:jc w:val="center"/>
        </w:trPr>
        <w:tc>
          <w:tcPr>
            <w:tcW w:w="0" w:type="auto"/>
            <w:vMerge/>
            <w:vAlign w:val="center"/>
            <w:hideMark/>
          </w:tcPr>
          <w:p w14:paraId="4D52972E" w14:textId="77777777" w:rsidR="00B15F7D" w:rsidRPr="00990FB6" w:rsidRDefault="00B15F7D" w:rsidP="00B15F7D">
            <w:pPr>
              <w:suppressAutoHyphens w:val="0"/>
              <w:rPr>
                <w:b/>
                <w:bCs/>
                <w:color w:val="000000"/>
                <w:sz w:val="22"/>
                <w:szCs w:val="22"/>
                <w:lang w:val="es-CR" w:eastAsia="es-CR"/>
              </w:rPr>
            </w:pPr>
          </w:p>
        </w:tc>
        <w:tc>
          <w:tcPr>
            <w:tcW w:w="2194" w:type="dxa"/>
            <w:shd w:val="clear" w:color="auto" w:fill="auto"/>
            <w:vAlign w:val="center"/>
            <w:hideMark/>
          </w:tcPr>
          <w:p w14:paraId="747E8D5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850" w:type="dxa"/>
            <w:shd w:val="clear" w:color="auto" w:fill="auto"/>
            <w:vAlign w:val="center"/>
            <w:hideMark/>
          </w:tcPr>
          <w:p w14:paraId="3600FCF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67" w:type="dxa"/>
            <w:shd w:val="clear" w:color="auto" w:fill="auto"/>
            <w:vAlign w:val="center"/>
            <w:hideMark/>
          </w:tcPr>
          <w:p w14:paraId="5EF5C97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3" w:type="dxa"/>
            <w:shd w:val="clear" w:color="auto" w:fill="auto"/>
            <w:vAlign w:val="center"/>
            <w:hideMark/>
          </w:tcPr>
          <w:p w14:paraId="163F32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275" w:type="dxa"/>
            <w:shd w:val="clear" w:color="000000" w:fill="FFFFFF"/>
            <w:vAlign w:val="center"/>
            <w:hideMark/>
          </w:tcPr>
          <w:p w14:paraId="1174AE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61 711 000,00 </w:t>
            </w:r>
          </w:p>
        </w:tc>
        <w:tc>
          <w:tcPr>
            <w:tcW w:w="1276" w:type="dxa"/>
            <w:shd w:val="clear" w:color="000000" w:fill="FFFFFF"/>
            <w:vAlign w:val="center"/>
            <w:hideMark/>
          </w:tcPr>
          <w:p w14:paraId="44595EF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   </w:t>
            </w:r>
          </w:p>
        </w:tc>
        <w:tc>
          <w:tcPr>
            <w:tcW w:w="1418" w:type="dxa"/>
            <w:shd w:val="clear" w:color="000000" w:fill="FFFFFF"/>
            <w:vAlign w:val="center"/>
            <w:hideMark/>
          </w:tcPr>
          <w:p w14:paraId="339E153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vAlign w:val="center"/>
            <w:hideMark/>
          </w:tcPr>
          <w:p w14:paraId="52A0716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95 063 000,00 </w:t>
            </w:r>
          </w:p>
        </w:tc>
      </w:tr>
      <w:tr w:rsidR="00B15F7D" w:rsidRPr="00990FB6" w14:paraId="342D115C" w14:textId="77777777" w:rsidTr="000A0C22">
        <w:trPr>
          <w:trHeight w:val="300"/>
          <w:jc w:val="center"/>
        </w:trPr>
        <w:tc>
          <w:tcPr>
            <w:tcW w:w="0" w:type="auto"/>
            <w:vMerge/>
            <w:vAlign w:val="center"/>
            <w:hideMark/>
          </w:tcPr>
          <w:p w14:paraId="590681F4" w14:textId="77777777" w:rsidR="00B15F7D" w:rsidRPr="00990FB6" w:rsidRDefault="00B15F7D" w:rsidP="00B15F7D">
            <w:pPr>
              <w:suppressAutoHyphens w:val="0"/>
              <w:rPr>
                <w:b/>
                <w:bCs/>
                <w:color w:val="000000"/>
                <w:sz w:val="22"/>
                <w:szCs w:val="22"/>
                <w:lang w:val="es-CR" w:eastAsia="es-CR"/>
              </w:rPr>
            </w:pPr>
          </w:p>
        </w:tc>
        <w:tc>
          <w:tcPr>
            <w:tcW w:w="2194" w:type="dxa"/>
            <w:shd w:val="clear" w:color="auto" w:fill="auto"/>
            <w:vAlign w:val="center"/>
            <w:hideMark/>
          </w:tcPr>
          <w:p w14:paraId="69B4567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850" w:type="dxa"/>
            <w:shd w:val="clear" w:color="auto" w:fill="auto"/>
            <w:vAlign w:val="center"/>
            <w:hideMark/>
          </w:tcPr>
          <w:p w14:paraId="4665F17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67" w:type="dxa"/>
            <w:shd w:val="clear" w:color="auto" w:fill="auto"/>
            <w:vAlign w:val="center"/>
            <w:hideMark/>
          </w:tcPr>
          <w:p w14:paraId="4FEE359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3" w:type="dxa"/>
            <w:shd w:val="clear" w:color="auto" w:fill="auto"/>
            <w:vAlign w:val="center"/>
            <w:hideMark/>
          </w:tcPr>
          <w:p w14:paraId="008A61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275" w:type="dxa"/>
            <w:shd w:val="clear" w:color="000000" w:fill="FFFFFF"/>
            <w:vAlign w:val="center"/>
            <w:hideMark/>
          </w:tcPr>
          <w:p w14:paraId="57CD68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₡123 422 000,00</w:t>
            </w:r>
          </w:p>
        </w:tc>
        <w:tc>
          <w:tcPr>
            <w:tcW w:w="1276" w:type="dxa"/>
            <w:shd w:val="clear" w:color="000000" w:fill="FFFFFF"/>
            <w:hideMark/>
          </w:tcPr>
          <w:p w14:paraId="7E3EBB2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479F1D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hideMark/>
          </w:tcPr>
          <w:p w14:paraId="3E3FE4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156 774 000,00 </w:t>
            </w:r>
          </w:p>
        </w:tc>
      </w:tr>
      <w:tr w:rsidR="00B15F7D" w:rsidRPr="00990FB6" w14:paraId="0EB0E7B3" w14:textId="77777777" w:rsidTr="000A0C22">
        <w:trPr>
          <w:trHeight w:val="300"/>
          <w:jc w:val="center"/>
        </w:trPr>
        <w:tc>
          <w:tcPr>
            <w:tcW w:w="0" w:type="auto"/>
            <w:vMerge/>
            <w:vAlign w:val="center"/>
            <w:hideMark/>
          </w:tcPr>
          <w:p w14:paraId="3FFFC59F" w14:textId="77777777" w:rsidR="00B15F7D" w:rsidRPr="00990FB6" w:rsidRDefault="00B15F7D" w:rsidP="00B15F7D">
            <w:pPr>
              <w:suppressAutoHyphens w:val="0"/>
              <w:rPr>
                <w:b/>
                <w:bCs/>
                <w:color w:val="000000"/>
                <w:sz w:val="22"/>
                <w:szCs w:val="22"/>
                <w:lang w:val="es-CR" w:eastAsia="es-CR"/>
              </w:rPr>
            </w:pPr>
          </w:p>
        </w:tc>
        <w:tc>
          <w:tcPr>
            <w:tcW w:w="2194" w:type="dxa"/>
            <w:shd w:val="clear" w:color="auto" w:fill="auto"/>
            <w:vAlign w:val="center"/>
            <w:hideMark/>
          </w:tcPr>
          <w:p w14:paraId="524D3E60"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850" w:type="dxa"/>
            <w:shd w:val="clear" w:color="auto" w:fill="auto"/>
            <w:vAlign w:val="center"/>
            <w:hideMark/>
          </w:tcPr>
          <w:p w14:paraId="785ECC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67" w:type="dxa"/>
            <w:shd w:val="clear" w:color="auto" w:fill="auto"/>
            <w:vAlign w:val="center"/>
            <w:hideMark/>
          </w:tcPr>
          <w:p w14:paraId="67C5281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3" w:type="dxa"/>
            <w:shd w:val="clear" w:color="auto" w:fill="auto"/>
            <w:vAlign w:val="center"/>
            <w:hideMark/>
          </w:tcPr>
          <w:p w14:paraId="11A0D42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275" w:type="dxa"/>
            <w:shd w:val="clear" w:color="000000" w:fill="FFFFFF"/>
            <w:vAlign w:val="center"/>
            <w:hideMark/>
          </w:tcPr>
          <w:p w14:paraId="61F79A0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₡123 422 000,00</w:t>
            </w:r>
          </w:p>
        </w:tc>
        <w:tc>
          <w:tcPr>
            <w:tcW w:w="1276" w:type="dxa"/>
            <w:shd w:val="clear" w:color="000000" w:fill="FFFFFF"/>
            <w:hideMark/>
          </w:tcPr>
          <w:p w14:paraId="72DE0CA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w:t>
            </w:r>
          </w:p>
        </w:tc>
        <w:tc>
          <w:tcPr>
            <w:tcW w:w="1418" w:type="dxa"/>
            <w:shd w:val="clear" w:color="000000" w:fill="FFFFFF"/>
            <w:hideMark/>
          </w:tcPr>
          <w:p w14:paraId="4B97A53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33 352 000,00 </w:t>
            </w:r>
          </w:p>
        </w:tc>
        <w:tc>
          <w:tcPr>
            <w:tcW w:w="1559" w:type="dxa"/>
            <w:shd w:val="clear" w:color="000000" w:fill="FFFFFF"/>
            <w:hideMark/>
          </w:tcPr>
          <w:p w14:paraId="13AA7E0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156 774 000,00 </w:t>
            </w:r>
          </w:p>
        </w:tc>
      </w:tr>
      <w:tr w:rsidR="00B15F7D" w:rsidRPr="00990FB6" w14:paraId="7CD05BE8" w14:textId="77777777" w:rsidTr="000A0C22">
        <w:trPr>
          <w:trHeight w:val="300"/>
          <w:jc w:val="center"/>
        </w:trPr>
        <w:tc>
          <w:tcPr>
            <w:tcW w:w="0" w:type="auto"/>
            <w:vMerge/>
            <w:vAlign w:val="center"/>
            <w:hideMark/>
          </w:tcPr>
          <w:p w14:paraId="33B570C1" w14:textId="77777777" w:rsidR="00B15F7D" w:rsidRPr="00990FB6" w:rsidRDefault="00B15F7D" w:rsidP="00B15F7D">
            <w:pPr>
              <w:suppressAutoHyphens w:val="0"/>
              <w:rPr>
                <w:b/>
                <w:bCs/>
                <w:color w:val="000000"/>
                <w:sz w:val="22"/>
                <w:szCs w:val="22"/>
                <w:lang w:val="es-CR" w:eastAsia="es-CR"/>
              </w:rPr>
            </w:pPr>
          </w:p>
        </w:tc>
        <w:tc>
          <w:tcPr>
            <w:tcW w:w="2194" w:type="dxa"/>
            <w:shd w:val="clear" w:color="000000" w:fill="DEEAF6"/>
            <w:vAlign w:val="center"/>
            <w:hideMark/>
          </w:tcPr>
          <w:p w14:paraId="52B374D4"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850" w:type="dxa"/>
            <w:shd w:val="clear" w:color="000000" w:fill="DEEAF6"/>
            <w:vAlign w:val="center"/>
            <w:hideMark/>
          </w:tcPr>
          <w:p w14:paraId="4995C541"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8</w:t>
            </w:r>
          </w:p>
        </w:tc>
        <w:tc>
          <w:tcPr>
            <w:tcW w:w="567" w:type="dxa"/>
            <w:shd w:val="clear" w:color="000000" w:fill="DEEAF6"/>
            <w:vAlign w:val="center"/>
            <w:hideMark/>
          </w:tcPr>
          <w:p w14:paraId="11BD1918"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0</w:t>
            </w:r>
          </w:p>
        </w:tc>
        <w:tc>
          <w:tcPr>
            <w:tcW w:w="993" w:type="dxa"/>
            <w:shd w:val="clear" w:color="000000" w:fill="DEEAF6"/>
            <w:vAlign w:val="center"/>
            <w:hideMark/>
          </w:tcPr>
          <w:p w14:paraId="1E787654"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12</w:t>
            </w:r>
          </w:p>
        </w:tc>
        <w:tc>
          <w:tcPr>
            <w:tcW w:w="1275" w:type="dxa"/>
            <w:shd w:val="clear" w:color="000000" w:fill="DEEAF6"/>
            <w:vAlign w:val="center"/>
            <w:hideMark/>
          </w:tcPr>
          <w:p w14:paraId="0E60285F"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493 688 000,00 </w:t>
            </w:r>
          </w:p>
        </w:tc>
        <w:tc>
          <w:tcPr>
            <w:tcW w:w="1276" w:type="dxa"/>
            <w:shd w:val="clear" w:color="000000" w:fill="DEEAF6"/>
            <w:vAlign w:val="center"/>
            <w:hideMark/>
          </w:tcPr>
          <w:p w14:paraId="19F96C4D"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   </w:t>
            </w:r>
          </w:p>
        </w:tc>
        <w:tc>
          <w:tcPr>
            <w:tcW w:w="1418" w:type="dxa"/>
            <w:shd w:val="clear" w:color="000000" w:fill="DEEAF6"/>
            <w:vAlign w:val="center"/>
            <w:hideMark/>
          </w:tcPr>
          <w:p w14:paraId="10BC8AC3"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200 112 000,00 </w:t>
            </w:r>
          </w:p>
        </w:tc>
        <w:tc>
          <w:tcPr>
            <w:tcW w:w="1559" w:type="dxa"/>
            <w:shd w:val="clear" w:color="000000" w:fill="DEEAF6"/>
            <w:vAlign w:val="center"/>
            <w:hideMark/>
          </w:tcPr>
          <w:p w14:paraId="2C240494"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 xml:space="preserve"> ₡    693 800 000,00 </w:t>
            </w:r>
          </w:p>
        </w:tc>
      </w:tr>
    </w:tbl>
    <w:p w14:paraId="6062D1AF" w14:textId="77777777" w:rsidR="00B15F7D" w:rsidRPr="00990FB6" w:rsidRDefault="00B15F7D" w:rsidP="00B15F7D">
      <w:pPr>
        <w:suppressAutoHyphens w:val="0"/>
        <w:ind w:left="720"/>
        <w:contextualSpacing/>
        <w:jc w:val="both"/>
        <w:rPr>
          <w:rFonts w:eastAsia="Calibri"/>
          <w:sz w:val="22"/>
          <w:szCs w:val="22"/>
          <w:lang w:val="es-CR" w:eastAsia="en-US"/>
        </w:rPr>
      </w:pPr>
    </w:p>
    <w:p w14:paraId="4A1310E6" w14:textId="77777777" w:rsidR="00B15F7D" w:rsidRPr="00990FB6" w:rsidRDefault="00B15F7D" w:rsidP="00B15F7D">
      <w:pPr>
        <w:numPr>
          <w:ilvl w:val="0"/>
          <w:numId w:val="132"/>
        </w:numPr>
        <w:suppressAutoHyphens w:val="0"/>
        <w:ind w:left="851" w:right="851" w:firstLine="709"/>
        <w:jc w:val="both"/>
        <w:rPr>
          <w:b/>
          <w:bCs/>
          <w:color w:val="3A3838"/>
          <w:sz w:val="22"/>
          <w:szCs w:val="22"/>
          <w:lang w:val="es-CR" w:eastAsia="es-CR"/>
        </w:rPr>
      </w:pPr>
      <w:r w:rsidRPr="00990FB6">
        <w:rPr>
          <w:rFonts w:eastAsia="Calibri"/>
          <w:sz w:val="22"/>
          <w:szCs w:val="22"/>
          <w:lang w:val="es-CR" w:eastAsia="en-US"/>
        </w:rPr>
        <w:t>Los costos variables totales por equipo de cómputo y mobiliario para este escenario ascienden a ¢25 128 496,00, distribuidos de la siguiente manera:</w:t>
      </w:r>
    </w:p>
    <w:p w14:paraId="587C17BA" w14:textId="77777777" w:rsidR="00B15F7D" w:rsidRPr="00990FB6" w:rsidRDefault="00B15F7D" w:rsidP="00B15F7D">
      <w:pPr>
        <w:suppressAutoHyphens w:val="0"/>
        <w:ind w:left="720"/>
        <w:contextualSpacing/>
        <w:jc w:val="both"/>
        <w:rPr>
          <w:rFonts w:eastAsia="Calibri"/>
          <w:sz w:val="22"/>
          <w:szCs w:val="22"/>
          <w:lang w:val="es-CR" w:eastAsia="en-US"/>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6"/>
        <w:gridCol w:w="1517"/>
        <w:gridCol w:w="739"/>
        <w:gridCol w:w="739"/>
        <w:gridCol w:w="1130"/>
        <w:gridCol w:w="1701"/>
        <w:gridCol w:w="1559"/>
        <w:gridCol w:w="1559"/>
      </w:tblGrid>
      <w:tr w:rsidR="00B15F7D" w:rsidRPr="00990FB6" w14:paraId="4CEB5494" w14:textId="77777777" w:rsidTr="000A0C22">
        <w:trPr>
          <w:trHeight w:val="300"/>
          <w:jc w:val="center"/>
        </w:trPr>
        <w:tc>
          <w:tcPr>
            <w:tcW w:w="1254" w:type="dxa"/>
            <w:vMerge w:val="restart"/>
            <w:shd w:val="clear" w:color="000000" w:fill="305496"/>
            <w:vAlign w:val="center"/>
            <w:hideMark/>
          </w:tcPr>
          <w:p w14:paraId="2BA7220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 xml:space="preserve">Programa presupuestario </w:t>
            </w:r>
          </w:p>
        </w:tc>
        <w:tc>
          <w:tcPr>
            <w:tcW w:w="2249" w:type="dxa"/>
            <w:vMerge w:val="restart"/>
            <w:shd w:val="clear" w:color="000000" w:fill="305496"/>
            <w:vAlign w:val="center"/>
            <w:hideMark/>
          </w:tcPr>
          <w:p w14:paraId="45D1FA47"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Despacho</w:t>
            </w:r>
          </w:p>
        </w:tc>
        <w:tc>
          <w:tcPr>
            <w:tcW w:w="2168" w:type="dxa"/>
            <w:gridSpan w:val="3"/>
            <w:shd w:val="clear" w:color="000000" w:fill="5B9BD5"/>
            <w:noWrap/>
            <w:vAlign w:val="center"/>
            <w:hideMark/>
          </w:tcPr>
          <w:p w14:paraId="237B606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4819" w:type="dxa"/>
            <w:gridSpan w:val="3"/>
            <w:shd w:val="clear" w:color="000000" w:fill="5B9BD5"/>
            <w:noWrap/>
            <w:vAlign w:val="center"/>
            <w:hideMark/>
          </w:tcPr>
          <w:p w14:paraId="4F2EAE8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COSTOS DE GASTOS VARIABLES</w:t>
            </w:r>
          </w:p>
        </w:tc>
      </w:tr>
      <w:tr w:rsidR="00B15F7D" w:rsidRPr="00990FB6" w14:paraId="08D3064E" w14:textId="77777777" w:rsidTr="000A0C22">
        <w:trPr>
          <w:trHeight w:val="450"/>
          <w:jc w:val="center"/>
        </w:trPr>
        <w:tc>
          <w:tcPr>
            <w:tcW w:w="1254" w:type="dxa"/>
            <w:vMerge/>
            <w:vAlign w:val="center"/>
            <w:hideMark/>
          </w:tcPr>
          <w:p w14:paraId="7B18872E" w14:textId="77777777" w:rsidR="00B15F7D" w:rsidRPr="00990FB6" w:rsidRDefault="00B15F7D" w:rsidP="00B15F7D">
            <w:pPr>
              <w:suppressAutoHyphens w:val="0"/>
              <w:rPr>
                <w:b/>
                <w:bCs/>
                <w:color w:val="FFFFFF"/>
                <w:sz w:val="22"/>
                <w:szCs w:val="22"/>
                <w:lang w:val="es-CR" w:eastAsia="es-CR"/>
              </w:rPr>
            </w:pPr>
          </w:p>
        </w:tc>
        <w:tc>
          <w:tcPr>
            <w:tcW w:w="2249" w:type="dxa"/>
            <w:vMerge/>
            <w:vAlign w:val="center"/>
            <w:hideMark/>
          </w:tcPr>
          <w:p w14:paraId="7706F29C" w14:textId="77777777" w:rsidR="00B15F7D" w:rsidRPr="00990FB6" w:rsidRDefault="00B15F7D" w:rsidP="00B15F7D">
            <w:pPr>
              <w:suppressAutoHyphens w:val="0"/>
              <w:rPr>
                <w:b/>
                <w:bCs/>
                <w:color w:val="FFFFFF"/>
                <w:sz w:val="22"/>
                <w:szCs w:val="22"/>
                <w:lang w:val="es-CR" w:eastAsia="es-CR"/>
              </w:rPr>
            </w:pPr>
          </w:p>
        </w:tc>
        <w:tc>
          <w:tcPr>
            <w:tcW w:w="588" w:type="dxa"/>
            <w:shd w:val="clear" w:color="000000" w:fill="305496"/>
            <w:vAlign w:val="center"/>
            <w:hideMark/>
          </w:tcPr>
          <w:p w14:paraId="60963119"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4</w:t>
            </w:r>
          </w:p>
        </w:tc>
        <w:tc>
          <w:tcPr>
            <w:tcW w:w="588" w:type="dxa"/>
            <w:shd w:val="clear" w:color="000000" w:fill="305496"/>
            <w:vAlign w:val="center"/>
            <w:hideMark/>
          </w:tcPr>
          <w:p w14:paraId="7CE6719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Juez/a 1</w:t>
            </w:r>
          </w:p>
        </w:tc>
        <w:tc>
          <w:tcPr>
            <w:tcW w:w="992" w:type="dxa"/>
            <w:shd w:val="clear" w:color="000000" w:fill="305496"/>
            <w:vAlign w:val="center"/>
            <w:hideMark/>
          </w:tcPr>
          <w:p w14:paraId="2FA14C3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Técnico(a) Judicial 3</w:t>
            </w:r>
          </w:p>
        </w:tc>
        <w:tc>
          <w:tcPr>
            <w:tcW w:w="1701" w:type="dxa"/>
            <w:shd w:val="clear" w:color="000000" w:fill="305496"/>
            <w:vAlign w:val="center"/>
            <w:hideMark/>
          </w:tcPr>
          <w:p w14:paraId="59F65643"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profesional</w:t>
            </w:r>
          </w:p>
        </w:tc>
        <w:tc>
          <w:tcPr>
            <w:tcW w:w="1559" w:type="dxa"/>
            <w:shd w:val="clear" w:color="000000" w:fill="305496"/>
            <w:vAlign w:val="center"/>
            <w:hideMark/>
          </w:tcPr>
          <w:p w14:paraId="5A583895"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Plaza no profesional</w:t>
            </w:r>
          </w:p>
        </w:tc>
        <w:tc>
          <w:tcPr>
            <w:tcW w:w="1559" w:type="dxa"/>
            <w:shd w:val="clear" w:color="000000" w:fill="305496"/>
            <w:vAlign w:val="center"/>
            <w:hideMark/>
          </w:tcPr>
          <w:p w14:paraId="057F89B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256307DD" w14:textId="77777777" w:rsidTr="000A0C22">
        <w:trPr>
          <w:trHeight w:val="300"/>
          <w:jc w:val="center"/>
        </w:trPr>
        <w:tc>
          <w:tcPr>
            <w:tcW w:w="1254" w:type="dxa"/>
            <w:vMerge w:val="restart"/>
            <w:shd w:val="clear" w:color="000000" w:fill="FFFFFF"/>
            <w:vAlign w:val="center"/>
            <w:hideMark/>
          </w:tcPr>
          <w:p w14:paraId="22A58321" w14:textId="77777777" w:rsidR="00B15F7D" w:rsidRPr="00990FB6" w:rsidRDefault="00B15F7D" w:rsidP="00B15F7D">
            <w:pPr>
              <w:suppressAutoHyphens w:val="0"/>
              <w:jc w:val="center"/>
              <w:rPr>
                <w:b/>
                <w:bCs/>
                <w:color w:val="000000"/>
                <w:sz w:val="22"/>
                <w:szCs w:val="22"/>
                <w:lang w:val="es-CR" w:eastAsia="es-CR"/>
              </w:rPr>
            </w:pPr>
            <w:r w:rsidRPr="00990FB6">
              <w:rPr>
                <w:b/>
                <w:bCs/>
                <w:color w:val="000000"/>
                <w:sz w:val="22"/>
                <w:szCs w:val="22"/>
                <w:lang w:val="es-CR" w:eastAsia="es-CR"/>
              </w:rPr>
              <w:lastRenderedPageBreak/>
              <w:t>927- Servicio Jurisdiccional</w:t>
            </w:r>
          </w:p>
        </w:tc>
        <w:tc>
          <w:tcPr>
            <w:tcW w:w="2249" w:type="dxa"/>
            <w:shd w:val="clear" w:color="auto" w:fill="auto"/>
            <w:vAlign w:val="center"/>
            <w:hideMark/>
          </w:tcPr>
          <w:p w14:paraId="42A4439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Quepos</w:t>
            </w:r>
          </w:p>
        </w:tc>
        <w:tc>
          <w:tcPr>
            <w:tcW w:w="588" w:type="dxa"/>
            <w:shd w:val="clear" w:color="auto" w:fill="auto"/>
            <w:vAlign w:val="center"/>
            <w:hideMark/>
          </w:tcPr>
          <w:p w14:paraId="32C1869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45562CE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160625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04CD78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vAlign w:val="center"/>
            <w:hideMark/>
          </w:tcPr>
          <w:p w14:paraId="59A4274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0983EE8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0FA13E6C" w14:textId="77777777" w:rsidTr="000A0C22">
        <w:trPr>
          <w:trHeight w:val="300"/>
          <w:jc w:val="center"/>
        </w:trPr>
        <w:tc>
          <w:tcPr>
            <w:tcW w:w="1254" w:type="dxa"/>
            <w:vMerge/>
            <w:shd w:val="clear" w:color="000000" w:fill="FFFFFF"/>
            <w:vAlign w:val="center"/>
            <w:hideMark/>
          </w:tcPr>
          <w:p w14:paraId="63317A0E"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7C2463F1"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Sarapiquí</w:t>
            </w:r>
          </w:p>
        </w:tc>
        <w:tc>
          <w:tcPr>
            <w:tcW w:w="588" w:type="dxa"/>
            <w:shd w:val="clear" w:color="auto" w:fill="auto"/>
            <w:vAlign w:val="center"/>
            <w:hideMark/>
          </w:tcPr>
          <w:p w14:paraId="1B1B143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78E3E2B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597C702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15E83A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0909C36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569AE7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6D4A3A68" w14:textId="77777777" w:rsidTr="000A0C22">
        <w:trPr>
          <w:trHeight w:val="300"/>
          <w:jc w:val="center"/>
        </w:trPr>
        <w:tc>
          <w:tcPr>
            <w:tcW w:w="1254" w:type="dxa"/>
            <w:vMerge/>
            <w:shd w:val="clear" w:color="000000" w:fill="FFFFFF"/>
            <w:vAlign w:val="center"/>
            <w:hideMark/>
          </w:tcPr>
          <w:p w14:paraId="37E46484"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4FF0E70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Siquirres</w:t>
            </w:r>
          </w:p>
        </w:tc>
        <w:tc>
          <w:tcPr>
            <w:tcW w:w="588" w:type="dxa"/>
            <w:shd w:val="clear" w:color="auto" w:fill="auto"/>
            <w:vAlign w:val="center"/>
            <w:hideMark/>
          </w:tcPr>
          <w:p w14:paraId="67DBF7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7CC1EBC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367FE8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640BEAC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383BF93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6FD5848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3F577E32" w14:textId="77777777" w:rsidTr="000A0C22">
        <w:trPr>
          <w:trHeight w:val="300"/>
          <w:jc w:val="center"/>
        </w:trPr>
        <w:tc>
          <w:tcPr>
            <w:tcW w:w="1254" w:type="dxa"/>
            <w:vMerge/>
            <w:shd w:val="clear" w:color="000000" w:fill="FFFFFF"/>
            <w:vAlign w:val="center"/>
            <w:hideMark/>
          </w:tcPr>
          <w:p w14:paraId="53AFA24A"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13F1CA2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Turrialba</w:t>
            </w:r>
          </w:p>
        </w:tc>
        <w:tc>
          <w:tcPr>
            <w:tcW w:w="588" w:type="dxa"/>
            <w:shd w:val="clear" w:color="auto" w:fill="auto"/>
            <w:vAlign w:val="center"/>
            <w:hideMark/>
          </w:tcPr>
          <w:p w14:paraId="3DE3ED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1</w:t>
            </w:r>
          </w:p>
        </w:tc>
        <w:tc>
          <w:tcPr>
            <w:tcW w:w="588" w:type="dxa"/>
            <w:shd w:val="clear" w:color="auto" w:fill="auto"/>
            <w:vAlign w:val="center"/>
            <w:hideMark/>
          </w:tcPr>
          <w:p w14:paraId="6C2AFE0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485F379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07E483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1 552 682,00 </w:t>
            </w:r>
          </w:p>
        </w:tc>
        <w:tc>
          <w:tcPr>
            <w:tcW w:w="1559" w:type="dxa"/>
            <w:shd w:val="clear" w:color="000000" w:fill="FFFFFF"/>
            <w:hideMark/>
          </w:tcPr>
          <w:p w14:paraId="64A0670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789D231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3 670 522,00 </w:t>
            </w:r>
          </w:p>
        </w:tc>
      </w:tr>
      <w:tr w:rsidR="00B15F7D" w:rsidRPr="00990FB6" w14:paraId="6AF6E42E" w14:textId="77777777" w:rsidTr="000A0C22">
        <w:trPr>
          <w:trHeight w:val="300"/>
          <w:jc w:val="center"/>
        </w:trPr>
        <w:tc>
          <w:tcPr>
            <w:tcW w:w="1254" w:type="dxa"/>
            <w:vMerge/>
            <w:shd w:val="clear" w:color="000000" w:fill="FFFFFF"/>
            <w:vAlign w:val="center"/>
            <w:hideMark/>
          </w:tcPr>
          <w:p w14:paraId="1A912C64"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4E60C53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val="es-CR" w:eastAsia="es-CR"/>
              </w:rPr>
              <w:t>Tribunal Penal de Cañas</w:t>
            </w:r>
          </w:p>
        </w:tc>
        <w:tc>
          <w:tcPr>
            <w:tcW w:w="588" w:type="dxa"/>
            <w:shd w:val="clear" w:color="auto" w:fill="auto"/>
            <w:vAlign w:val="center"/>
            <w:hideMark/>
          </w:tcPr>
          <w:p w14:paraId="717A43A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88" w:type="dxa"/>
            <w:shd w:val="clear" w:color="auto" w:fill="auto"/>
            <w:vAlign w:val="center"/>
            <w:hideMark/>
          </w:tcPr>
          <w:p w14:paraId="7A82C08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0521BB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7A1DA60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1559" w:type="dxa"/>
            <w:shd w:val="clear" w:color="000000" w:fill="FFFFFF"/>
            <w:hideMark/>
          </w:tcPr>
          <w:p w14:paraId="5E77C3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33A20D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51FBCC63" w14:textId="77777777" w:rsidTr="000A0C22">
        <w:trPr>
          <w:trHeight w:val="300"/>
          <w:jc w:val="center"/>
        </w:trPr>
        <w:tc>
          <w:tcPr>
            <w:tcW w:w="1254" w:type="dxa"/>
            <w:vMerge/>
            <w:shd w:val="clear" w:color="000000" w:fill="FFFFFF"/>
            <w:vAlign w:val="center"/>
            <w:hideMark/>
          </w:tcPr>
          <w:p w14:paraId="1C9C9999" w14:textId="77777777" w:rsidR="00B15F7D" w:rsidRPr="00990FB6" w:rsidRDefault="00B15F7D" w:rsidP="00B15F7D">
            <w:pPr>
              <w:suppressAutoHyphens w:val="0"/>
              <w:rPr>
                <w:b/>
                <w:bCs/>
                <w:color w:val="000000"/>
                <w:sz w:val="22"/>
                <w:szCs w:val="22"/>
                <w:lang w:val="es-CR" w:eastAsia="es-CR"/>
              </w:rPr>
            </w:pPr>
          </w:p>
        </w:tc>
        <w:tc>
          <w:tcPr>
            <w:tcW w:w="2249" w:type="dxa"/>
            <w:shd w:val="clear" w:color="auto" w:fill="auto"/>
            <w:vAlign w:val="center"/>
            <w:hideMark/>
          </w:tcPr>
          <w:p w14:paraId="3EBD30D0" w14:textId="77777777" w:rsidR="00B15F7D" w:rsidRPr="00990FB6" w:rsidRDefault="00B15F7D" w:rsidP="00B15F7D">
            <w:pPr>
              <w:suppressAutoHyphens w:val="0"/>
              <w:rPr>
                <w:color w:val="000000"/>
                <w:sz w:val="22"/>
                <w:szCs w:val="22"/>
                <w:lang w:val="pt-BR" w:eastAsia="es-CR"/>
              </w:rPr>
            </w:pPr>
            <w:r w:rsidRPr="00990FB6">
              <w:rPr>
                <w:color w:val="000000"/>
                <w:sz w:val="22"/>
                <w:szCs w:val="22"/>
                <w:lang w:val="pt-BR" w:eastAsia="es-CR"/>
              </w:rPr>
              <w:t>Tribuna Penal de Santa Cruz</w:t>
            </w:r>
          </w:p>
        </w:tc>
        <w:tc>
          <w:tcPr>
            <w:tcW w:w="588" w:type="dxa"/>
            <w:shd w:val="clear" w:color="auto" w:fill="auto"/>
            <w:vAlign w:val="center"/>
            <w:hideMark/>
          </w:tcPr>
          <w:p w14:paraId="7B06782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588" w:type="dxa"/>
            <w:shd w:val="clear" w:color="auto" w:fill="auto"/>
            <w:vAlign w:val="center"/>
            <w:hideMark/>
          </w:tcPr>
          <w:p w14:paraId="423D1D4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0</w:t>
            </w:r>
          </w:p>
        </w:tc>
        <w:tc>
          <w:tcPr>
            <w:tcW w:w="992" w:type="dxa"/>
            <w:shd w:val="clear" w:color="auto" w:fill="auto"/>
            <w:vAlign w:val="center"/>
            <w:hideMark/>
          </w:tcPr>
          <w:p w14:paraId="3D9A13C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w:t>
            </w:r>
          </w:p>
        </w:tc>
        <w:tc>
          <w:tcPr>
            <w:tcW w:w="1701" w:type="dxa"/>
            <w:shd w:val="clear" w:color="000000" w:fill="FFFFFF"/>
            <w:vAlign w:val="center"/>
            <w:hideMark/>
          </w:tcPr>
          <w:p w14:paraId="5AF575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3 105 364,00 </w:t>
            </w:r>
          </w:p>
        </w:tc>
        <w:tc>
          <w:tcPr>
            <w:tcW w:w="1559" w:type="dxa"/>
            <w:shd w:val="clear" w:color="000000" w:fill="FFFFFF"/>
            <w:hideMark/>
          </w:tcPr>
          <w:p w14:paraId="15BC235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2 117 840,00 </w:t>
            </w:r>
          </w:p>
        </w:tc>
        <w:tc>
          <w:tcPr>
            <w:tcW w:w="1559" w:type="dxa"/>
            <w:shd w:val="clear" w:color="000000" w:fill="FFFFFF"/>
            <w:vAlign w:val="center"/>
            <w:hideMark/>
          </w:tcPr>
          <w:p w14:paraId="6DA445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5 223 204,00 </w:t>
            </w:r>
          </w:p>
        </w:tc>
      </w:tr>
      <w:tr w:rsidR="00B15F7D" w:rsidRPr="00990FB6" w14:paraId="745B9D44" w14:textId="77777777" w:rsidTr="000A0C22">
        <w:trPr>
          <w:trHeight w:val="300"/>
          <w:jc w:val="center"/>
        </w:trPr>
        <w:tc>
          <w:tcPr>
            <w:tcW w:w="1254" w:type="dxa"/>
            <w:vMerge/>
            <w:shd w:val="clear" w:color="000000" w:fill="FFFFFF"/>
            <w:vAlign w:val="center"/>
            <w:hideMark/>
          </w:tcPr>
          <w:p w14:paraId="43DCD8FE" w14:textId="77777777" w:rsidR="00B15F7D" w:rsidRPr="00990FB6" w:rsidRDefault="00B15F7D" w:rsidP="00B15F7D">
            <w:pPr>
              <w:suppressAutoHyphens w:val="0"/>
              <w:rPr>
                <w:b/>
                <w:bCs/>
                <w:color w:val="000000"/>
                <w:sz w:val="22"/>
                <w:szCs w:val="22"/>
                <w:lang w:val="es-CR" w:eastAsia="es-CR"/>
              </w:rPr>
            </w:pPr>
          </w:p>
        </w:tc>
        <w:tc>
          <w:tcPr>
            <w:tcW w:w="2249" w:type="dxa"/>
            <w:shd w:val="clear" w:color="000000" w:fill="DEEAF6"/>
            <w:vAlign w:val="center"/>
            <w:hideMark/>
          </w:tcPr>
          <w:p w14:paraId="0A7D58C0"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Totales</w:t>
            </w:r>
          </w:p>
        </w:tc>
        <w:tc>
          <w:tcPr>
            <w:tcW w:w="588" w:type="dxa"/>
            <w:shd w:val="clear" w:color="000000" w:fill="DEEAF6"/>
            <w:vAlign w:val="center"/>
            <w:hideMark/>
          </w:tcPr>
          <w:p w14:paraId="05C2746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8</w:t>
            </w:r>
          </w:p>
        </w:tc>
        <w:tc>
          <w:tcPr>
            <w:tcW w:w="588" w:type="dxa"/>
            <w:shd w:val="clear" w:color="000000" w:fill="DEEAF6"/>
            <w:vAlign w:val="center"/>
            <w:hideMark/>
          </w:tcPr>
          <w:p w14:paraId="0FF74A50"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0</w:t>
            </w:r>
          </w:p>
        </w:tc>
        <w:tc>
          <w:tcPr>
            <w:tcW w:w="992" w:type="dxa"/>
            <w:shd w:val="clear" w:color="000000" w:fill="DEEAF6"/>
            <w:vAlign w:val="center"/>
            <w:hideMark/>
          </w:tcPr>
          <w:p w14:paraId="1CEAA4D3"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12</w:t>
            </w:r>
          </w:p>
        </w:tc>
        <w:tc>
          <w:tcPr>
            <w:tcW w:w="1701" w:type="dxa"/>
            <w:shd w:val="clear" w:color="000000" w:fill="DEEAF6"/>
            <w:vAlign w:val="center"/>
            <w:hideMark/>
          </w:tcPr>
          <w:p w14:paraId="70C1EA3F"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₡12 421 456,00 </w:t>
            </w:r>
          </w:p>
        </w:tc>
        <w:tc>
          <w:tcPr>
            <w:tcW w:w="1559" w:type="dxa"/>
            <w:shd w:val="clear" w:color="000000" w:fill="DEEAF6"/>
            <w:vAlign w:val="center"/>
            <w:hideMark/>
          </w:tcPr>
          <w:p w14:paraId="5A446A8C"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12 707 040,00 </w:t>
            </w:r>
          </w:p>
        </w:tc>
        <w:tc>
          <w:tcPr>
            <w:tcW w:w="1559" w:type="dxa"/>
            <w:shd w:val="clear" w:color="000000" w:fill="DEEAF6"/>
            <w:vAlign w:val="center"/>
            <w:hideMark/>
          </w:tcPr>
          <w:p w14:paraId="0DB859D9"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n-US"/>
              </w:rPr>
              <w:t xml:space="preserve"> ₡     25 128 496,00 </w:t>
            </w:r>
          </w:p>
        </w:tc>
      </w:tr>
    </w:tbl>
    <w:p w14:paraId="79AD25D2" w14:textId="77777777" w:rsidR="00B15F7D" w:rsidRPr="00990FB6" w:rsidRDefault="00B15F7D" w:rsidP="00B15F7D">
      <w:pPr>
        <w:suppressAutoHyphens w:val="0"/>
        <w:ind w:left="349"/>
        <w:contextualSpacing/>
        <w:jc w:val="both"/>
        <w:rPr>
          <w:rFonts w:eastAsia="Calibri"/>
          <w:b/>
          <w:bCs/>
          <w:sz w:val="22"/>
          <w:szCs w:val="22"/>
          <w:u w:val="single"/>
          <w:lang w:val="es-CR" w:eastAsia="en-US"/>
        </w:rPr>
      </w:pPr>
    </w:p>
    <w:p w14:paraId="0290EDB1" w14:textId="77777777" w:rsidR="00B15F7D" w:rsidRPr="00990FB6" w:rsidRDefault="00B15F7D" w:rsidP="00B15F7D">
      <w:pPr>
        <w:suppressAutoHyphens w:val="0"/>
        <w:ind w:left="851" w:right="851" w:firstLine="709"/>
        <w:contextualSpacing/>
        <w:jc w:val="both"/>
        <w:rPr>
          <w:rFonts w:eastAsia="Calibri"/>
          <w:b/>
          <w:bCs/>
          <w:sz w:val="22"/>
          <w:szCs w:val="22"/>
          <w:u w:val="single"/>
          <w:lang w:val="es-CR" w:eastAsia="en-US"/>
        </w:rPr>
      </w:pPr>
      <w:r w:rsidRPr="00990FB6">
        <w:rPr>
          <w:rFonts w:eastAsia="Calibri"/>
          <w:b/>
          <w:bCs/>
          <w:sz w:val="22"/>
          <w:szCs w:val="22"/>
          <w:u w:val="single"/>
          <w:lang w:val="es-CR" w:eastAsia="en-US"/>
        </w:rPr>
        <w:t>En resumen, el escenario # 4 tiene el siguiente costo:</w:t>
      </w:r>
    </w:p>
    <w:p w14:paraId="0CFB5148" w14:textId="77777777" w:rsidR="00B15F7D" w:rsidRPr="00990FB6" w:rsidRDefault="00B15F7D" w:rsidP="00B15F7D">
      <w:pPr>
        <w:suppressAutoHyphens w:val="0"/>
        <w:ind w:left="720"/>
        <w:contextualSpacing/>
        <w:jc w:val="both"/>
        <w:rPr>
          <w:rFonts w:eastAsia="Calibri"/>
          <w:sz w:val="22"/>
          <w:szCs w:val="22"/>
          <w:lang w:val="es-CR" w:eastAsia="en-US"/>
        </w:rPr>
      </w:pPr>
    </w:p>
    <w:tbl>
      <w:tblPr>
        <w:tblW w:w="7361" w:type="dxa"/>
        <w:jc w:val="center"/>
        <w:tblCellMar>
          <w:left w:w="70" w:type="dxa"/>
          <w:right w:w="70" w:type="dxa"/>
        </w:tblCellMar>
        <w:tblLook w:val="04A0" w:firstRow="1" w:lastRow="0" w:firstColumn="1" w:lastColumn="0" w:noHBand="0" w:noVBand="1"/>
      </w:tblPr>
      <w:tblGrid>
        <w:gridCol w:w="2700"/>
        <w:gridCol w:w="2393"/>
        <w:gridCol w:w="2268"/>
      </w:tblGrid>
      <w:tr w:rsidR="00B15F7D" w:rsidRPr="00990FB6" w14:paraId="6848ABF6" w14:textId="77777777" w:rsidTr="000A0C22">
        <w:trPr>
          <w:trHeight w:val="300"/>
          <w:jc w:val="center"/>
        </w:trPr>
        <w:tc>
          <w:tcPr>
            <w:tcW w:w="2700" w:type="dxa"/>
            <w:vMerge w:val="restart"/>
            <w:tcBorders>
              <w:top w:val="single" w:sz="8" w:space="0" w:color="E7E6E6"/>
              <w:left w:val="single" w:sz="8" w:space="0" w:color="E7E6E6"/>
              <w:bottom w:val="nil"/>
              <w:right w:val="nil"/>
            </w:tcBorders>
            <w:shd w:val="clear" w:color="000000" w:fill="305496"/>
            <w:vAlign w:val="center"/>
            <w:hideMark/>
          </w:tcPr>
          <w:p w14:paraId="2069F08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REQUERIMIENTO</w:t>
            </w:r>
          </w:p>
        </w:tc>
        <w:tc>
          <w:tcPr>
            <w:tcW w:w="2393" w:type="dxa"/>
            <w:tcBorders>
              <w:top w:val="single" w:sz="8" w:space="0" w:color="E7E6E6"/>
              <w:left w:val="single" w:sz="8" w:space="0" w:color="E7E6E6"/>
              <w:bottom w:val="single" w:sz="8" w:space="0" w:color="E7E6E6"/>
              <w:right w:val="nil"/>
            </w:tcBorders>
            <w:shd w:val="clear" w:color="000000" w:fill="5B9BD5"/>
            <w:noWrap/>
            <w:vAlign w:val="center"/>
            <w:hideMark/>
          </w:tcPr>
          <w:p w14:paraId="1B3E474E"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PROGRAMA</w:t>
            </w:r>
          </w:p>
        </w:tc>
        <w:tc>
          <w:tcPr>
            <w:tcW w:w="2268" w:type="dxa"/>
            <w:vMerge w:val="restart"/>
            <w:tcBorders>
              <w:top w:val="single" w:sz="8" w:space="0" w:color="E7E6E6"/>
              <w:left w:val="single" w:sz="8" w:space="0" w:color="E7E6E6"/>
              <w:bottom w:val="nil"/>
              <w:right w:val="nil"/>
            </w:tcBorders>
            <w:shd w:val="clear" w:color="000000" w:fill="305496"/>
            <w:vAlign w:val="center"/>
            <w:hideMark/>
          </w:tcPr>
          <w:p w14:paraId="3F4229C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COSTO TOTAL</w:t>
            </w:r>
          </w:p>
        </w:tc>
      </w:tr>
      <w:tr w:rsidR="00B15F7D" w:rsidRPr="00990FB6" w14:paraId="54118F7C" w14:textId="77777777" w:rsidTr="000A0C22">
        <w:trPr>
          <w:trHeight w:val="300"/>
          <w:jc w:val="center"/>
        </w:trPr>
        <w:tc>
          <w:tcPr>
            <w:tcW w:w="2700" w:type="dxa"/>
            <w:vMerge/>
            <w:tcBorders>
              <w:top w:val="single" w:sz="8" w:space="0" w:color="E7E6E6"/>
              <w:left w:val="single" w:sz="8" w:space="0" w:color="E7E6E6"/>
              <w:bottom w:val="nil"/>
              <w:right w:val="nil"/>
            </w:tcBorders>
            <w:vAlign w:val="center"/>
            <w:hideMark/>
          </w:tcPr>
          <w:p w14:paraId="46F9F29B" w14:textId="77777777" w:rsidR="00B15F7D" w:rsidRPr="00990FB6" w:rsidRDefault="00B15F7D" w:rsidP="00B15F7D">
            <w:pPr>
              <w:suppressAutoHyphens w:val="0"/>
              <w:rPr>
                <w:b/>
                <w:bCs/>
                <w:color w:val="FFFFFF"/>
                <w:sz w:val="22"/>
                <w:szCs w:val="22"/>
                <w:lang w:val="es-CR" w:eastAsia="es-CR"/>
              </w:rPr>
            </w:pPr>
          </w:p>
        </w:tc>
        <w:tc>
          <w:tcPr>
            <w:tcW w:w="2393" w:type="dxa"/>
            <w:tcBorders>
              <w:top w:val="nil"/>
              <w:left w:val="single" w:sz="8" w:space="0" w:color="E7E6E6"/>
              <w:bottom w:val="nil"/>
              <w:right w:val="nil"/>
            </w:tcBorders>
            <w:shd w:val="clear" w:color="000000" w:fill="305496"/>
            <w:vAlign w:val="center"/>
            <w:hideMark/>
          </w:tcPr>
          <w:p w14:paraId="7DDCEFE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val="es-CR" w:eastAsia="es-CR"/>
              </w:rPr>
              <w:t>927</w:t>
            </w:r>
          </w:p>
        </w:tc>
        <w:tc>
          <w:tcPr>
            <w:tcW w:w="2268" w:type="dxa"/>
            <w:vMerge/>
            <w:tcBorders>
              <w:top w:val="single" w:sz="8" w:space="0" w:color="E7E6E6"/>
              <w:left w:val="single" w:sz="8" w:space="0" w:color="E7E6E6"/>
              <w:bottom w:val="nil"/>
              <w:right w:val="nil"/>
            </w:tcBorders>
            <w:vAlign w:val="center"/>
            <w:hideMark/>
          </w:tcPr>
          <w:p w14:paraId="1FECA20D" w14:textId="77777777" w:rsidR="00B15F7D" w:rsidRPr="00990FB6" w:rsidRDefault="00B15F7D" w:rsidP="00B15F7D">
            <w:pPr>
              <w:suppressAutoHyphens w:val="0"/>
              <w:rPr>
                <w:b/>
                <w:bCs/>
                <w:color w:val="FFFFFF"/>
                <w:sz w:val="22"/>
                <w:szCs w:val="22"/>
                <w:lang w:val="es-CR" w:eastAsia="es-CR"/>
              </w:rPr>
            </w:pPr>
          </w:p>
        </w:tc>
      </w:tr>
      <w:tr w:rsidR="00B15F7D" w:rsidRPr="00990FB6" w14:paraId="7D3E1C9B" w14:textId="77777777" w:rsidTr="000A0C22">
        <w:trPr>
          <w:trHeight w:val="300"/>
          <w:jc w:val="center"/>
        </w:trPr>
        <w:tc>
          <w:tcPr>
            <w:tcW w:w="2700" w:type="dxa"/>
            <w:tcBorders>
              <w:top w:val="single" w:sz="8" w:space="0" w:color="E7E6E6"/>
              <w:left w:val="single" w:sz="8" w:space="0" w:color="E7E6E6"/>
              <w:bottom w:val="single" w:sz="8" w:space="0" w:color="E7E6E6"/>
              <w:right w:val="single" w:sz="8" w:space="0" w:color="E7E6E6"/>
            </w:tcBorders>
            <w:shd w:val="clear" w:color="auto" w:fill="auto"/>
            <w:vAlign w:val="center"/>
            <w:hideMark/>
          </w:tcPr>
          <w:p w14:paraId="40BA5B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Recurso Humano</w:t>
            </w:r>
          </w:p>
        </w:tc>
        <w:tc>
          <w:tcPr>
            <w:tcW w:w="2393" w:type="dxa"/>
            <w:tcBorders>
              <w:top w:val="single" w:sz="8" w:space="0" w:color="E7E6E6"/>
              <w:left w:val="nil"/>
              <w:bottom w:val="single" w:sz="8" w:space="0" w:color="E7E6E6"/>
              <w:right w:val="single" w:sz="8" w:space="0" w:color="E7E6E6"/>
            </w:tcBorders>
            <w:shd w:val="clear" w:color="auto" w:fill="auto"/>
            <w:vAlign w:val="center"/>
            <w:hideMark/>
          </w:tcPr>
          <w:p w14:paraId="48613D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693 800 000,00 </w:t>
            </w:r>
          </w:p>
        </w:tc>
        <w:tc>
          <w:tcPr>
            <w:tcW w:w="2268" w:type="dxa"/>
            <w:tcBorders>
              <w:top w:val="single" w:sz="8" w:space="0" w:color="E7E6E6"/>
              <w:left w:val="nil"/>
              <w:bottom w:val="single" w:sz="8" w:space="0" w:color="E7E6E6"/>
              <w:right w:val="single" w:sz="8" w:space="0" w:color="E7E6E6"/>
            </w:tcBorders>
            <w:shd w:val="clear" w:color="auto" w:fill="auto"/>
            <w:vAlign w:val="center"/>
            <w:hideMark/>
          </w:tcPr>
          <w:p w14:paraId="55857DF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₡693 800 000,00</w:t>
            </w:r>
          </w:p>
        </w:tc>
      </w:tr>
      <w:tr w:rsidR="00B15F7D" w:rsidRPr="00990FB6" w14:paraId="16865F31" w14:textId="77777777" w:rsidTr="000A0C22">
        <w:trPr>
          <w:trHeight w:val="490"/>
          <w:jc w:val="center"/>
        </w:trPr>
        <w:tc>
          <w:tcPr>
            <w:tcW w:w="2700" w:type="dxa"/>
            <w:tcBorders>
              <w:top w:val="nil"/>
              <w:left w:val="single" w:sz="8" w:space="0" w:color="E7E6E6"/>
              <w:bottom w:val="single" w:sz="8" w:space="0" w:color="E7E6E6"/>
              <w:right w:val="single" w:sz="8" w:space="0" w:color="E7E6E6"/>
            </w:tcBorders>
            <w:shd w:val="clear" w:color="auto" w:fill="auto"/>
            <w:vAlign w:val="center"/>
            <w:hideMark/>
          </w:tcPr>
          <w:p w14:paraId="52DC692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Equipo y mobiliario de plazas nuevas</w:t>
            </w:r>
          </w:p>
        </w:tc>
        <w:tc>
          <w:tcPr>
            <w:tcW w:w="2393" w:type="dxa"/>
            <w:tcBorders>
              <w:top w:val="nil"/>
              <w:left w:val="nil"/>
              <w:bottom w:val="single" w:sz="8" w:space="0" w:color="E7E6E6"/>
              <w:right w:val="single" w:sz="8" w:space="0" w:color="E7E6E6"/>
            </w:tcBorders>
            <w:shd w:val="clear" w:color="auto" w:fill="auto"/>
            <w:vAlign w:val="center"/>
            <w:hideMark/>
          </w:tcPr>
          <w:p w14:paraId="6CBA1C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 xml:space="preserve"> ₡ 25 128 496,00 </w:t>
            </w:r>
          </w:p>
        </w:tc>
        <w:tc>
          <w:tcPr>
            <w:tcW w:w="2268" w:type="dxa"/>
            <w:tcBorders>
              <w:top w:val="nil"/>
              <w:left w:val="nil"/>
              <w:bottom w:val="single" w:sz="8" w:space="0" w:color="E7E6E6"/>
              <w:right w:val="single" w:sz="8" w:space="0" w:color="E7E6E6"/>
            </w:tcBorders>
            <w:shd w:val="clear" w:color="auto" w:fill="auto"/>
            <w:vAlign w:val="center"/>
            <w:hideMark/>
          </w:tcPr>
          <w:p w14:paraId="3AF2FA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val="es-CR" w:eastAsia="es-CR"/>
              </w:rPr>
              <w:t>₡25 128 496,00</w:t>
            </w:r>
          </w:p>
        </w:tc>
      </w:tr>
      <w:tr w:rsidR="00B15F7D" w:rsidRPr="00990FB6" w14:paraId="2CB6D682" w14:textId="77777777" w:rsidTr="000A0C22">
        <w:trPr>
          <w:trHeight w:val="300"/>
          <w:jc w:val="center"/>
        </w:trPr>
        <w:tc>
          <w:tcPr>
            <w:tcW w:w="2700" w:type="dxa"/>
            <w:tcBorders>
              <w:top w:val="nil"/>
              <w:left w:val="single" w:sz="8" w:space="0" w:color="E7E6E6"/>
              <w:bottom w:val="single" w:sz="8" w:space="0" w:color="E7E6E6"/>
              <w:right w:val="single" w:sz="8" w:space="0" w:color="E7E6E6"/>
            </w:tcBorders>
            <w:shd w:val="clear" w:color="000000" w:fill="DEEAF6"/>
            <w:vAlign w:val="center"/>
            <w:hideMark/>
          </w:tcPr>
          <w:p w14:paraId="3BFE86B6"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val="es-CR" w:eastAsia="es-CR"/>
              </w:rPr>
              <w:t xml:space="preserve">TOTAL COSTOS ESTIMADOS </w:t>
            </w:r>
          </w:p>
        </w:tc>
        <w:tc>
          <w:tcPr>
            <w:tcW w:w="2393" w:type="dxa"/>
            <w:tcBorders>
              <w:top w:val="nil"/>
              <w:left w:val="nil"/>
              <w:bottom w:val="single" w:sz="8" w:space="0" w:color="E7E6E6"/>
              <w:right w:val="single" w:sz="8" w:space="0" w:color="E7E6E6"/>
            </w:tcBorders>
            <w:shd w:val="clear" w:color="000000" w:fill="DEEAF6"/>
            <w:vAlign w:val="center"/>
            <w:hideMark/>
          </w:tcPr>
          <w:p w14:paraId="2E82B887"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₡718 928 496,00</w:t>
            </w:r>
          </w:p>
        </w:tc>
        <w:tc>
          <w:tcPr>
            <w:tcW w:w="2268" w:type="dxa"/>
            <w:tcBorders>
              <w:top w:val="nil"/>
              <w:left w:val="nil"/>
              <w:bottom w:val="single" w:sz="8" w:space="0" w:color="E7E6E6"/>
              <w:right w:val="single" w:sz="8" w:space="0" w:color="E7E6E6"/>
            </w:tcBorders>
            <w:shd w:val="clear" w:color="000000" w:fill="DEEAF6"/>
            <w:vAlign w:val="center"/>
            <w:hideMark/>
          </w:tcPr>
          <w:p w14:paraId="67EDE6A9"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val="es-CR" w:eastAsia="es-CR"/>
              </w:rPr>
              <w:t>₡718 928 496,00</w:t>
            </w:r>
          </w:p>
        </w:tc>
      </w:tr>
    </w:tbl>
    <w:p w14:paraId="7D500F64"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036B6B30" w14:textId="77777777" w:rsidR="00B15F7D" w:rsidRPr="00990FB6" w:rsidRDefault="00B15F7D" w:rsidP="00B15F7D">
      <w:pPr>
        <w:ind w:left="851" w:right="851" w:firstLine="709"/>
        <w:jc w:val="both"/>
        <w:rPr>
          <w:sz w:val="22"/>
          <w:szCs w:val="22"/>
          <w:lang w:val="es-CR"/>
        </w:rPr>
      </w:pPr>
      <w:r w:rsidRPr="00990FB6">
        <w:rPr>
          <w:i/>
          <w:iCs/>
          <w:sz w:val="22"/>
          <w:szCs w:val="22"/>
          <w:lang w:val="es-CR"/>
        </w:rPr>
        <w:t>Este informe cuenta con las revisiones y ajustes correspondientes de las jefaturas indicadas</w:t>
      </w:r>
      <w:r w:rsidRPr="00990FB6">
        <w:rPr>
          <w:sz w:val="22"/>
          <w:szCs w:val="22"/>
          <w:lang w:val="es-CR"/>
        </w:rPr>
        <w:t>.</w:t>
      </w:r>
    </w:p>
    <w:p w14:paraId="4AFBCDA7" w14:textId="77777777" w:rsidR="00B15F7D" w:rsidRPr="00990FB6" w:rsidRDefault="00B15F7D" w:rsidP="00B15F7D">
      <w:pPr>
        <w:ind w:left="851" w:right="851" w:firstLine="709"/>
        <w:jc w:val="both"/>
        <w:rPr>
          <w:sz w:val="22"/>
          <w:szCs w:val="22"/>
          <w:lang w:val="es-CR"/>
        </w:rPr>
      </w:pPr>
    </w:p>
    <w:p w14:paraId="390D68DE" w14:textId="77777777" w:rsidR="00B15F7D" w:rsidRPr="00990FB6" w:rsidRDefault="00B15F7D" w:rsidP="00B15F7D">
      <w:pPr>
        <w:suppressAutoHyphens w:val="0"/>
        <w:jc w:val="center"/>
        <w:rPr>
          <w:snapToGrid w:val="0"/>
          <w:sz w:val="22"/>
          <w:szCs w:val="22"/>
          <w:lang w:val="es-CR" w:eastAsia="en-US"/>
        </w:rPr>
      </w:pPr>
      <w:r w:rsidRPr="00990FB6">
        <w:rPr>
          <w:snapToGrid w:val="0"/>
          <w:sz w:val="22"/>
          <w:szCs w:val="22"/>
          <w:lang w:val="es-CR" w:eastAsia="en-US"/>
        </w:rPr>
        <w:t>- 0 -</w:t>
      </w:r>
    </w:p>
    <w:p w14:paraId="527CE763" w14:textId="77777777" w:rsidR="00B15F7D" w:rsidRPr="00990FB6" w:rsidRDefault="00B15F7D" w:rsidP="00B15F7D">
      <w:pPr>
        <w:suppressAutoHyphens w:val="0"/>
        <w:ind w:left="851" w:right="900" w:firstLine="709"/>
        <w:jc w:val="both"/>
        <w:rPr>
          <w:b/>
          <w:bCs/>
          <w:sz w:val="22"/>
          <w:szCs w:val="22"/>
          <w:lang w:val="es-CR" w:eastAsia="en-US"/>
        </w:rPr>
      </w:pPr>
    </w:p>
    <w:p w14:paraId="1CC59988" w14:textId="77777777" w:rsidR="00B15F7D" w:rsidRPr="00990FB6" w:rsidRDefault="00B15F7D" w:rsidP="00B15F7D">
      <w:pPr>
        <w:suppressAutoHyphens w:val="0"/>
        <w:ind w:left="851" w:right="900" w:firstLine="709"/>
        <w:jc w:val="both"/>
        <w:rPr>
          <w:b/>
          <w:bCs/>
          <w:sz w:val="22"/>
          <w:szCs w:val="22"/>
          <w:lang w:val="es-CR"/>
        </w:rPr>
      </w:pPr>
      <w:r w:rsidRPr="00990FB6">
        <w:rPr>
          <w:b/>
          <w:bCs/>
          <w:sz w:val="22"/>
          <w:szCs w:val="22"/>
          <w:lang w:val="es-CR" w:eastAsia="en-US"/>
        </w:rPr>
        <w:t xml:space="preserve">Se acordó: 1.) </w:t>
      </w:r>
      <w:r w:rsidRPr="00990FB6">
        <w:rPr>
          <w:sz w:val="22"/>
          <w:szCs w:val="22"/>
          <w:lang w:val="es-CR" w:eastAsia="en-US"/>
        </w:rPr>
        <w:t>Tomar nota del informe</w:t>
      </w:r>
      <w:r w:rsidRPr="00990FB6">
        <w:rPr>
          <w:b/>
          <w:bCs/>
          <w:sz w:val="22"/>
          <w:szCs w:val="22"/>
          <w:lang w:val="es-CR" w:eastAsia="en-US"/>
        </w:rPr>
        <w:t xml:space="preserve"> </w:t>
      </w:r>
      <w:r w:rsidRPr="00990FB6">
        <w:rPr>
          <w:sz w:val="22"/>
          <w:szCs w:val="22"/>
          <w:lang w:val="es-MX" w:eastAsia="en-US"/>
        </w:rPr>
        <w:t>273-PLA-RH-MI(PL)-2023</w:t>
      </w:r>
      <w:r w:rsidRPr="00990FB6">
        <w:rPr>
          <w:sz w:val="22"/>
          <w:szCs w:val="22"/>
          <w:lang w:val="es-CR" w:eastAsia="en-US"/>
        </w:rPr>
        <w:t xml:space="preserve"> en el que se visibilizan las necesidades de recurso humano de los despachos penales. </w:t>
      </w:r>
      <w:r w:rsidRPr="00990FB6">
        <w:rPr>
          <w:b/>
          <w:bCs/>
          <w:sz w:val="22"/>
          <w:szCs w:val="22"/>
          <w:lang w:val="es-CR" w:eastAsia="en-US"/>
        </w:rPr>
        <w:t xml:space="preserve">2) </w:t>
      </w:r>
      <w:r w:rsidRPr="00990FB6">
        <w:rPr>
          <w:sz w:val="22"/>
          <w:szCs w:val="22"/>
          <w:lang w:val="es-CR" w:eastAsia="en-US"/>
        </w:rPr>
        <w:t xml:space="preserve"> Hacer del conocimiento de la Corte Plena para que valore remitir al Ministerio de Hacienda </w:t>
      </w:r>
      <w:r w:rsidRPr="00990FB6">
        <w:rPr>
          <w:rFonts w:eastAsia="Arial"/>
          <w:sz w:val="22"/>
          <w:szCs w:val="22"/>
          <w:lang w:val="es-CR" w:eastAsia="en-US"/>
        </w:rPr>
        <w:t xml:space="preserve">el escenario 1 propuesto en este informe.  </w:t>
      </w:r>
      <w:r w:rsidRPr="00990FB6">
        <w:rPr>
          <w:b/>
          <w:bCs/>
          <w:sz w:val="22"/>
          <w:szCs w:val="22"/>
          <w:lang w:val="es-CR" w:eastAsia="en-US"/>
        </w:rPr>
        <w:t xml:space="preserve">3.) </w:t>
      </w:r>
      <w:r w:rsidRPr="00990FB6">
        <w:rPr>
          <w:sz w:val="22"/>
          <w:szCs w:val="22"/>
          <w:lang w:val="es-CR" w:eastAsia="en-US"/>
        </w:rPr>
        <w:t xml:space="preserve">Se deberá seguir realizando esfuerzos con planes remediales para suplir las necesidades detectadas de acuerdo con las posibilidades existentes. </w:t>
      </w:r>
      <w:r w:rsidRPr="00990FB6">
        <w:rPr>
          <w:b/>
          <w:bCs/>
          <w:sz w:val="22"/>
          <w:szCs w:val="22"/>
          <w:lang w:val="es-CR" w:eastAsia="en-US"/>
        </w:rPr>
        <w:t xml:space="preserve">4.) </w:t>
      </w:r>
      <w:r w:rsidRPr="00990FB6">
        <w:rPr>
          <w:sz w:val="22"/>
          <w:szCs w:val="22"/>
          <w:lang w:val="es-CR" w:eastAsia="en-US"/>
        </w:rPr>
        <w:t xml:space="preserve">Con los recursos humanos detectados en los diferentes informes proceder de forma inmediata a proponer el direccionamiento de los recursos para ir abarcando las necesidades estructurales detectadas en la materia penal. </w:t>
      </w:r>
      <w:r w:rsidRPr="00990FB6">
        <w:rPr>
          <w:b/>
          <w:bCs/>
          <w:sz w:val="22"/>
          <w:szCs w:val="22"/>
          <w:lang w:val="es-CR" w:eastAsia="en-US"/>
        </w:rPr>
        <w:t>Se declara acuerdo firme.</w:t>
      </w:r>
      <w:r w:rsidRPr="00990FB6">
        <w:rPr>
          <w:b/>
          <w:bCs/>
          <w:sz w:val="22"/>
          <w:szCs w:val="22"/>
          <w:lang w:val="es-CR"/>
        </w:rPr>
        <w:t>”</w:t>
      </w:r>
    </w:p>
    <w:p w14:paraId="639FC4B4" w14:textId="77777777" w:rsidR="00B15F7D" w:rsidRPr="00990FB6" w:rsidRDefault="00B15F7D" w:rsidP="00B15F7D">
      <w:pPr>
        <w:suppressAutoHyphens w:val="0"/>
        <w:ind w:left="851" w:right="900" w:firstLine="709"/>
        <w:jc w:val="both"/>
        <w:rPr>
          <w:b/>
          <w:bCs/>
          <w:sz w:val="22"/>
          <w:szCs w:val="22"/>
          <w:lang w:val="es-CR" w:eastAsia="en-US"/>
        </w:rPr>
      </w:pPr>
    </w:p>
    <w:p w14:paraId="034A267B" w14:textId="5EF0B0B0" w:rsidR="00B15F7D" w:rsidRPr="00990FB6" w:rsidRDefault="00B15F7D" w:rsidP="00B15F7D">
      <w:pPr>
        <w:tabs>
          <w:tab w:val="left" w:pos="4295"/>
        </w:tabs>
        <w:jc w:val="center"/>
        <w:rPr>
          <w:sz w:val="22"/>
          <w:szCs w:val="22"/>
        </w:rPr>
      </w:pPr>
      <w:r w:rsidRPr="00990FB6">
        <w:rPr>
          <w:sz w:val="22"/>
          <w:szCs w:val="22"/>
        </w:rPr>
        <w:t xml:space="preserve">- 0 </w:t>
      </w:r>
      <w:r w:rsidR="00F723CD" w:rsidRPr="00990FB6">
        <w:rPr>
          <w:sz w:val="22"/>
          <w:szCs w:val="22"/>
        </w:rPr>
        <w:t>–</w:t>
      </w:r>
    </w:p>
    <w:p w14:paraId="0DB74638" w14:textId="77777777" w:rsidR="00F723CD" w:rsidRPr="00990FB6" w:rsidRDefault="00F723CD" w:rsidP="00B15F7D">
      <w:pPr>
        <w:tabs>
          <w:tab w:val="left" w:pos="4295"/>
        </w:tabs>
        <w:jc w:val="center"/>
        <w:rPr>
          <w:sz w:val="22"/>
          <w:szCs w:val="22"/>
        </w:rPr>
      </w:pPr>
    </w:p>
    <w:p w14:paraId="4EB2DE2D" w14:textId="52B72B20" w:rsidR="00B15F7D" w:rsidRPr="00990FB6" w:rsidRDefault="00B15F7D" w:rsidP="00B15F7D">
      <w:pPr>
        <w:suppressAutoHyphens w:val="0"/>
        <w:ind w:firstLine="709"/>
        <w:jc w:val="both"/>
        <w:rPr>
          <w:bCs/>
          <w:sz w:val="22"/>
          <w:szCs w:val="22"/>
        </w:rPr>
      </w:pPr>
      <w:r w:rsidRPr="00990FB6">
        <w:rPr>
          <w:bCs/>
          <w:sz w:val="22"/>
          <w:szCs w:val="22"/>
        </w:rPr>
        <w:t xml:space="preserve">El Consejo Superior, en sesión extraordinaria de presupuesto </w:t>
      </w:r>
      <w:proofErr w:type="spellStart"/>
      <w:r w:rsidRPr="00990FB6">
        <w:rPr>
          <w:bCs/>
          <w:sz w:val="22"/>
          <w:szCs w:val="22"/>
        </w:rPr>
        <w:t>N°</w:t>
      </w:r>
      <w:proofErr w:type="spellEnd"/>
      <w:r w:rsidRPr="00990FB6">
        <w:rPr>
          <w:bCs/>
          <w:sz w:val="22"/>
          <w:szCs w:val="22"/>
        </w:rPr>
        <w:t xml:space="preserve"> 32-2023 celebrada el 19 de abril de 2023, artículo XL, tomó el acuerdo que literalmente dice:</w:t>
      </w:r>
    </w:p>
    <w:p w14:paraId="57FE46A3" w14:textId="77777777" w:rsidR="00F723CD" w:rsidRPr="00990FB6" w:rsidRDefault="00F723CD" w:rsidP="00B15F7D">
      <w:pPr>
        <w:suppressAutoHyphens w:val="0"/>
        <w:ind w:firstLine="709"/>
        <w:jc w:val="both"/>
        <w:rPr>
          <w:bCs/>
          <w:sz w:val="22"/>
          <w:szCs w:val="22"/>
        </w:rPr>
      </w:pPr>
    </w:p>
    <w:p w14:paraId="3F02459B" w14:textId="77777777" w:rsidR="00B15F7D" w:rsidRPr="00990FB6" w:rsidRDefault="00B15F7D" w:rsidP="00B15F7D">
      <w:pPr>
        <w:ind w:left="851" w:right="851" w:firstLine="709"/>
        <w:jc w:val="both"/>
        <w:rPr>
          <w:bCs/>
          <w:sz w:val="22"/>
          <w:szCs w:val="22"/>
        </w:rPr>
      </w:pPr>
      <w:r w:rsidRPr="00990FB6">
        <w:rPr>
          <w:bCs/>
          <w:sz w:val="22"/>
          <w:szCs w:val="22"/>
        </w:rPr>
        <w:t>“</w:t>
      </w:r>
      <w:bookmarkStart w:id="23" w:name="_Hlk132798138"/>
      <w:r w:rsidRPr="00990FB6">
        <w:rPr>
          <w:sz w:val="22"/>
          <w:szCs w:val="22"/>
          <w:lang w:val="es-MX"/>
        </w:rPr>
        <w:t>La licenciada Nacira Valverde Bermúdez, Directora de Planificación, presentó el informe 272- PLA-RH-OI-2023 Informe de requerimiento de recurso humano para el Juzgado Contravencional de Acosta, que dice:</w:t>
      </w:r>
    </w:p>
    <w:p w14:paraId="5535334F" w14:textId="77777777" w:rsidR="00B15F7D" w:rsidRPr="00990FB6" w:rsidRDefault="00B15F7D" w:rsidP="00B15F7D">
      <w:pPr>
        <w:ind w:left="851" w:right="851" w:firstLine="709"/>
        <w:jc w:val="both"/>
        <w:rPr>
          <w:sz w:val="22"/>
          <w:szCs w:val="22"/>
          <w:lang w:val="es-MX"/>
        </w:rPr>
      </w:pPr>
    </w:p>
    <w:p w14:paraId="74FE3C08" w14:textId="77777777" w:rsidR="00B15F7D" w:rsidRPr="00990FB6" w:rsidRDefault="00B15F7D" w:rsidP="00B15F7D">
      <w:pPr>
        <w:widowControl w:val="0"/>
        <w:ind w:left="851" w:right="851" w:firstLine="709"/>
        <w:jc w:val="both"/>
        <w:rPr>
          <w:sz w:val="22"/>
          <w:szCs w:val="22"/>
        </w:rPr>
      </w:pPr>
      <w:r w:rsidRPr="00990FB6">
        <w:rPr>
          <w:sz w:val="22"/>
          <w:szCs w:val="22"/>
        </w:rPr>
        <w:t xml:space="preserve">“Como es de su conocimiento, en este momento la Dirección de Planificación se encuentra elaborando los estudios de requerimiento humano para el proceso de formulación presupuestaria para el año 2024, razón por la cual, resulta necesario dar a conocer el acuerdo emitido por el Consejo Superior, a fin de </w:t>
      </w:r>
      <w:bookmarkStart w:id="24" w:name="_Hlk132355091"/>
      <w:r w:rsidRPr="00990FB6">
        <w:rPr>
          <w:sz w:val="22"/>
          <w:szCs w:val="22"/>
        </w:rPr>
        <w:t xml:space="preserve">incluir una plaza de Técnica o Técnico Judicial 1 de manera extraordinaria para el Juzgado Contravencional de Acosta, por el periodo de un año. </w:t>
      </w:r>
      <w:bookmarkEnd w:id="24"/>
      <w:r w:rsidRPr="00990FB6">
        <w:rPr>
          <w:sz w:val="22"/>
          <w:szCs w:val="22"/>
        </w:rPr>
        <w:t>Al respecto, le remito la información recopilada por el Lic. Raúl Camacho Mora, Profesional 2 de este Subproceso.</w:t>
      </w:r>
    </w:p>
    <w:p w14:paraId="5851F30B" w14:textId="77777777" w:rsidR="00B15F7D" w:rsidRPr="00990FB6" w:rsidRDefault="00B15F7D" w:rsidP="00B15F7D">
      <w:pPr>
        <w:widowControl w:val="0"/>
        <w:ind w:left="851" w:right="851" w:firstLine="709"/>
        <w:jc w:val="both"/>
        <w:rPr>
          <w:sz w:val="22"/>
          <w:szCs w:val="22"/>
        </w:rPr>
      </w:pPr>
    </w:p>
    <w:p w14:paraId="5AE5DBD0" w14:textId="77777777" w:rsidR="00B15F7D" w:rsidRPr="00990FB6" w:rsidRDefault="00B15F7D" w:rsidP="00B15F7D">
      <w:pPr>
        <w:widowControl w:val="0"/>
        <w:numPr>
          <w:ilvl w:val="0"/>
          <w:numId w:val="143"/>
        </w:numPr>
        <w:suppressAutoHyphens w:val="0"/>
        <w:ind w:left="851" w:right="851" w:firstLine="709"/>
        <w:jc w:val="both"/>
        <w:rPr>
          <w:b/>
          <w:bCs/>
          <w:sz w:val="22"/>
          <w:szCs w:val="22"/>
        </w:rPr>
      </w:pPr>
      <w:r w:rsidRPr="00990FB6">
        <w:rPr>
          <w:b/>
          <w:bCs/>
          <w:sz w:val="22"/>
          <w:szCs w:val="22"/>
        </w:rPr>
        <w:t>Antecedentes.</w:t>
      </w:r>
    </w:p>
    <w:p w14:paraId="3F2EAD34" w14:textId="77777777" w:rsidR="00B15F7D" w:rsidRPr="00990FB6" w:rsidRDefault="00B15F7D" w:rsidP="00B15F7D">
      <w:pPr>
        <w:ind w:left="851" w:right="851" w:firstLine="709"/>
        <w:jc w:val="both"/>
        <w:rPr>
          <w:sz w:val="22"/>
          <w:szCs w:val="22"/>
        </w:rPr>
      </w:pPr>
    </w:p>
    <w:p w14:paraId="7CB77A48" w14:textId="77777777" w:rsidR="00B15F7D" w:rsidRPr="00990FB6" w:rsidRDefault="00B15F7D" w:rsidP="00B15F7D">
      <w:pPr>
        <w:ind w:left="851" w:right="851" w:firstLine="709"/>
        <w:jc w:val="both"/>
        <w:rPr>
          <w:sz w:val="22"/>
          <w:szCs w:val="22"/>
        </w:rPr>
      </w:pPr>
      <w:r w:rsidRPr="00990FB6">
        <w:rPr>
          <w:sz w:val="22"/>
          <w:szCs w:val="22"/>
        </w:rPr>
        <w:t>1.1.- La Secretaría General de la Corte comunica a la Dirección de Planificación el oficio 11420-2021, que transcribe el acuerdo tomado por el Consejo Superior en sesión 103-21, del 1° de diciembre del 2021, artículo LVII, en que se dispuso:</w:t>
      </w:r>
    </w:p>
    <w:p w14:paraId="25DB068E" w14:textId="77777777" w:rsidR="00B15F7D" w:rsidRPr="00990FB6" w:rsidRDefault="00B15F7D" w:rsidP="00B15F7D">
      <w:pPr>
        <w:ind w:left="851" w:right="851" w:firstLine="709"/>
        <w:jc w:val="both"/>
        <w:rPr>
          <w:sz w:val="22"/>
          <w:szCs w:val="22"/>
        </w:rPr>
      </w:pPr>
    </w:p>
    <w:p w14:paraId="5E974CBA" w14:textId="77777777" w:rsidR="00B15F7D" w:rsidRPr="00990FB6" w:rsidRDefault="00B15F7D" w:rsidP="00B15F7D">
      <w:pPr>
        <w:ind w:left="851" w:right="851" w:firstLine="709"/>
        <w:jc w:val="both"/>
        <w:rPr>
          <w:i/>
          <w:iCs/>
          <w:sz w:val="22"/>
          <w:szCs w:val="22"/>
        </w:rPr>
      </w:pPr>
      <w:r w:rsidRPr="00990FB6">
        <w:rPr>
          <w:i/>
          <w:iCs/>
          <w:sz w:val="22"/>
          <w:szCs w:val="22"/>
        </w:rPr>
        <w:t>“1.) Tener por rendido el informe remitido por la licenciada Derling Edith Talavera Polanco, Jueza coordinadora del Contravencional de Acosta, mediante nota del 17 de noviembre de 2021, referente al Modelo de sostenibilidad del Juzgado Contravencional de Acosta, aprobado por la Dirección de Planificación comunicado mediante oficio número 197-PLA-MI-2021. 2.) Previamente a resolver lo que corresponda, trasladar la gestión de la licenciada Derling Edith Talavera Polanco, a las Direcciones de Planificación y de Gestión Humana, a fin de que emitan un informe técnico de acuerdo a sus competencias, y remitan a este Consejo lo que corresponda.”.</w:t>
      </w:r>
    </w:p>
    <w:p w14:paraId="6D675EEC" w14:textId="77777777" w:rsidR="00B15F7D" w:rsidRPr="00990FB6" w:rsidRDefault="00B15F7D" w:rsidP="00B15F7D">
      <w:pPr>
        <w:ind w:left="851" w:right="851" w:firstLine="709"/>
        <w:jc w:val="both"/>
        <w:rPr>
          <w:sz w:val="22"/>
          <w:szCs w:val="22"/>
        </w:rPr>
      </w:pPr>
    </w:p>
    <w:p w14:paraId="31B17E65" w14:textId="77777777" w:rsidR="00B15F7D" w:rsidRPr="00990FB6" w:rsidRDefault="00B15F7D" w:rsidP="00B15F7D">
      <w:pPr>
        <w:numPr>
          <w:ilvl w:val="1"/>
          <w:numId w:val="148"/>
        </w:numPr>
        <w:suppressAutoHyphens w:val="0"/>
        <w:ind w:left="851" w:right="851" w:firstLine="709"/>
        <w:jc w:val="both"/>
        <w:rPr>
          <w:sz w:val="22"/>
          <w:szCs w:val="22"/>
        </w:rPr>
      </w:pPr>
      <w:r w:rsidRPr="00990FB6">
        <w:rPr>
          <w:sz w:val="22"/>
          <w:szCs w:val="22"/>
        </w:rPr>
        <w:t xml:space="preserve">En ese sentido, la Dirección de Planificación elaboró el informe 337-PLA-OI-2022, que fue remitido en modo de consulta a la licenciada Derling Edith Talavera Polanco, Jueza Coordinadora del Juzgado Contravencional de Acosta, así como a la Máster Roxana Arrieta Meléndez, Directora </w:t>
      </w:r>
      <w:proofErr w:type="spellStart"/>
      <w:r w:rsidRPr="00990FB6">
        <w:rPr>
          <w:sz w:val="22"/>
          <w:szCs w:val="22"/>
        </w:rPr>
        <w:t>a.i.</w:t>
      </w:r>
      <w:proofErr w:type="spellEnd"/>
      <w:r w:rsidRPr="00990FB6">
        <w:rPr>
          <w:sz w:val="22"/>
          <w:szCs w:val="22"/>
        </w:rPr>
        <w:t xml:space="preserve"> de Gestión Humana y a la Máster Maricruz Chacón Cubillo, Directora </w:t>
      </w:r>
      <w:proofErr w:type="spellStart"/>
      <w:r w:rsidRPr="00990FB6">
        <w:rPr>
          <w:sz w:val="22"/>
          <w:szCs w:val="22"/>
        </w:rPr>
        <w:t>a.i.</w:t>
      </w:r>
      <w:proofErr w:type="spellEnd"/>
      <w:r w:rsidRPr="00990FB6">
        <w:rPr>
          <w:sz w:val="22"/>
          <w:szCs w:val="22"/>
        </w:rPr>
        <w:t xml:space="preserve"> del Centro de Apoyo, Coordinación y Mejoramiento de la Función Jurisdiccional. Como respuesta, se recibió el oficio de fecha 5 de mayo, suscrito por la licenciada Talavera Polanco y por parte de la Máster Chacón Cubillo, el oficio N°156-CACMFJ-JEF-2022 del 29 de abril de 2022.</w:t>
      </w:r>
    </w:p>
    <w:p w14:paraId="014AA982" w14:textId="77777777" w:rsidR="00B15F7D" w:rsidRPr="00990FB6" w:rsidRDefault="00B15F7D" w:rsidP="00B15F7D">
      <w:pPr>
        <w:ind w:left="851" w:right="851" w:firstLine="709"/>
        <w:jc w:val="both"/>
        <w:rPr>
          <w:sz w:val="22"/>
          <w:szCs w:val="22"/>
        </w:rPr>
      </w:pPr>
    </w:p>
    <w:p w14:paraId="28559846" w14:textId="77777777" w:rsidR="00B15F7D" w:rsidRPr="00990FB6" w:rsidRDefault="00B15F7D" w:rsidP="00B15F7D">
      <w:pPr>
        <w:numPr>
          <w:ilvl w:val="1"/>
          <w:numId w:val="149"/>
        </w:numPr>
        <w:suppressAutoHyphens w:val="0"/>
        <w:ind w:left="851" w:right="851" w:firstLine="709"/>
        <w:jc w:val="both"/>
        <w:rPr>
          <w:sz w:val="22"/>
          <w:szCs w:val="22"/>
        </w:rPr>
      </w:pPr>
      <w:r w:rsidRPr="00990FB6">
        <w:rPr>
          <w:sz w:val="22"/>
          <w:szCs w:val="22"/>
        </w:rPr>
        <w:t xml:space="preserve">Las observaciones indicadas en el punto anterior se incorporaron en el informe 413-PLA-OI-2022, relacionado con el estudio de estructura del Juzgado Contravencional de Acosta, que fue conocido por el Consejo Superior en sesión 48-2022 del 7 de junio de 2022, artículo XXXVIII, y al respecto se dispuso entre otras cosas: </w:t>
      </w:r>
    </w:p>
    <w:p w14:paraId="76BF8A2C" w14:textId="77777777" w:rsidR="00B15F7D" w:rsidRPr="00990FB6" w:rsidRDefault="00B15F7D" w:rsidP="00B15F7D">
      <w:pPr>
        <w:ind w:left="851" w:right="851" w:firstLine="709"/>
        <w:jc w:val="both"/>
        <w:rPr>
          <w:sz w:val="22"/>
          <w:szCs w:val="22"/>
        </w:rPr>
      </w:pPr>
    </w:p>
    <w:p w14:paraId="2D24B009" w14:textId="77777777" w:rsidR="00B15F7D" w:rsidRPr="00990FB6" w:rsidRDefault="00B15F7D" w:rsidP="00B15F7D">
      <w:pPr>
        <w:autoSpaceDE w:val="0"/>
        <w:autoSpaceDN w:val="0"/>
        <w:adjustRightInd w:val="0"/>
        <w:ind w:left="851" w:right="851" w:firstLine="709"/>
        <w:jc w:val="both"/>
        <w:rPr>
          <w:rFonts w:eastAsia="Calibri"/>
          <w:color w:val="000000"/>
          <w:sz w:val="22"/>
          <w:szCs w:val="22"/>
        </w:rPr>
      </w:pPr>
      <w:r w:rsidRPr="00990FB6">
        <w:rPr>
          <w:rFonts w:eastAsia="Calibri"/>
          <w:color w:val="000000"/>
          <w:sz w:val="22"/>
          <w:szCs w:val="22"/>
        </w:rPr>
        <w:t xml:space="preserve">“… </w:t>
      </w:r>
    </w:p>
    <w:p w14:paraId="738216AB" w14:textId="77777777" w:rsidR="00B15F7D" w:rsidRPr="00990FB6" w:rsidRDefault="00B15F7D" w:rsidP="00B15F7D">
      <w:pPr>
        <w:autoSpaceDE w:val="0"/>
        <w:autoSpaceDN w:val="0"/>
        <w:adjustRightInd w:val="0"/>
        <w:ind w:left="851" w:right="851" w:firstLine="709"/>
        <w:jc w:val="both"/>
        <w:rPr>
          <w:rFonts w:eastAsia="Calibri"/>
          <w:color w:val="000000"/>
          <w:sz w:val="22"/>
          <w:szCs w:val="22"/>
        </w:rPr>
      </w:pPr>
    </w:p>
    <w:p w14:paraId="60AC904F" w14:textId="77777777" w:rsidR="00B15F7D" w:rsidRPr="00990FB6" w:rsidRDefault="00B15F7D" w:rsidP="00B15F7D">
      <w:pPr>
        <w:ind w:left="851" w:right="851" w:firstLine="709"/>
        <w:jc w:val="both"/>
        <w:rPr>
          <w:sz w:val="22"/>
          <w:szCs w:val="22"/>
        </w:rPr>
      </w:pPr>
      <w:r w:rsidRPr="00990FB6">
        <w:rPr>
          <w:rFonts w:eastAsia="Calibri"/>
          <w:i/>
          <w:iCs/>
          <w:color w:val="000000"/>
          <w:sz w:val="22"/>
          <w:szCs w:val="22"/>
        </w:rPr>
        <w:t>g) El Subproceso de Organización Institucional de la Dirección de Planificación efectuará un seguimiento cuatro meses después de comunicado el presente acuerdo, para determinar el grado de aprovechamiento del recurso, así como el análisis de las plantillas indicadas en párrafos anteriores.”.</w:t>
      </w:r>
    </w:p>
    <w:p w14:paraId="57292002" w14:textId="77777777" w:rsidR="00B15F7D" w:rsidRPr="00990FB6" w:rsidRDefault="00B15F7D" w:rsidP="00B15F7D">
      <w:pPr>
        <w:ind w:left="851" w:right="851" w:firstLine="709"/>
        <w:jc w:val="both"/>
        <w:rPr>
          <w:sz w:val="22"/>
          <w:szCs w:val="22"/>
        </w:rPr>
      </w:pPr>
    </w:p>
    <w:p w14:paraId="5FBDC97C" w14:textId="77777777" w:rsidR="00B15F7D" w:rsidRPr="00990FB6" w:rsidRDefault="00B15F7D" w:rsidP="00B15F7D">
      <w:pPr>
        <w:numPr>
          <w:ilvl w:val="1"/>
          <w:numId w:val="146"/>
        </w:numPr>
        <w:suppressAutoHyphens w:val="0"/>
        <w:ind w:left="851" w:right="851" w:firstLine="709"/>
        <w:jc w:val="both"/>
        <w:rPr>
          <w:sz w:val="22"/>
          <w:szCs w:val="22"/>
        </w:rPr>
      </w:pPr>
      <w:r w:rsidRPr="00990FB6">
        <w:rPr>
          <w:sz w:val="22"/>
          <w:szCs w:val="22"/>
        </w:rPr>
        <w:t xml:space="preserve"> Producto de la recomendación anterior, la Dirección de Planificación procedió a elaborar el seguimiento indicado a través del informe 1119-PLA-OI-</w:t>
      </w:r>
      <w:proofErr w:type="gramStart"/>
      <w:r w:rsidRPr="00990FB6">
        <w:rPr>
          <w:sz w:val="22"/>
          <w:szCs w:val="22"/>
        </w:rPr>
        <w:t>2022  (</w:t>
      </w:r>
      <w:proofErr w:type="gramEnd"/>
      <w:r w:rsidRPr="00990FB6">
        <w:rPr>
          <w:sz w:val="22"/>
          <w:szCs w:val="22"/>
        </w:rPr>
        <w:t>Anexo 1), que fue aprobado por el Consejo Superior en sesión 06-2023 del 24 de enero de 2023, artículo XXXV, y dentro de las disposiciones acordó:</w:t>
      </w:r>
    </w:p>
    <w:p w14:paraId="0EE7954F" w14:textId="77777777" w:rsidR="00B15F7D" w:rsidRPr="00990FB6" w:rsidRDefault="00B15F7D" w:rsidP="00B15F7D">
      <w:pPr>
        <w:ind w:left="851" w:right="851" w:firstLine="709"/>
        <w:rPr>
          <w:sz w:val="22"/>
          <w:szCs w:val="22"/>
        </w:rPr>
      </w:pPr>
    </w:p>
    <w:p w14:paraId="6557A375" w14:textId="77777777" w:rsidR="00B15F7D" w:rsidRPr="00990FB6" w:rsidRDefault="00B15F7D" w:rsidP="00B15F7D">
      <w:pPr>
        <w:ind w:left="851" w:right="851" w:firstLine="709"/>
        <w:jc w:val="both"/>
        <w:rPr>
          <w:i/>
          <w:iCs/>
          <w:sz w:val="22"/>
          <w:szCs w:val="22"/>
        </w:rPr>
      </w:pPr>
      <w:r w:rsidRPr="00990FB6">
        <w:rPr>
          <w:i/>
          <w:iCs/>
          <w:sz w:val="22"/>
          <w:szCs w:val="22"/>
        </w:rPr>
        <w:t xml:space="preserve">“… </w:t>
      </w:r>
      <w:r w:rsidRPr="00990FB6">
        <w:rPr>
          <w:b/>
          <w:bCs/>
          <w:i/>
          <w:iCs/>
          <w:sz w:val="22"/>
          <w:szCs w:val="22"/>
        </w:rPr>
        <w:t xml:space="preserve">f) </w:t>
      </w:r>
      <w:r w:rsidRPr="00990FB6">
        <w:rPr>
          <w:i/>
          <w:iCs/>
          <w:sz w:val="22"/>
          <w:szCs w:val="22"/>
        </w:rPr>
        <w:t>La Dirección de Planificación incluirá en el ejercicio de formulación presupuestaria para el año 2024, el estudio para la eventual inclusión de una plaza de Técnica o Técnico Judicial 1 de manera extraordinaria para el Juzgado Contravencional de Acosta, por el periodo de un año, dado que está por demostrado en el abordaje, por una parte, la necesidad de una segunda plaza técnica en la tramitación de expedientes hasta tanto mejoren las condiciones de salud de uno de los recursos técnicos de planta en la oficina (que se puede destacar de momento exclusivamente en labores de manifestación), y por otra, que la permanencia del recurso facilitado para asumir esas tareas, por su naturaleza y fines de su creación, no debería permanecer de manera permanente en ese despacho…”.</w:t>
      </w:r>
    </w:p>
    <w:p w14:paraId="6E269C56" w14:textId="77777777" w:rsidR="00B15F7D" w:rsidRPr="00990FB6" w:rsidRDefault="00B15F7D" w:rsidP="00B15F7D">
      <w:pPr>
        <w:ind w:left="851" w:right="851" w:firstLine="709"/>
        <w:jc w:val="both"/>
        <w:rPr>
          <w:sz w:val="22"/>
          <w:szCs w:val="22"/>
        </w:rPr>
      </w:pPr>
    </w:p>
    <w:p w14:paraId="5A489177" w14:textId="77777777" w:rsidR="00B15F7D" w:rsidRPr="00990FB6" w:rsidRDefault="00B15F7D" w:rsidP="00B15F7D">
      <w:pPr>
        <w:numPr>
          <w:ilvl w:val="0"/>
          <w:numId w:val="150"/>
        </w:numPr>
        <w:suppressAutoHyphens w:val="0"/>
        <w:ind w:left="851" w:right="851" w:firstLine="709"/>
        <w:jc w:val="both"/>
        <w:rPr>
          <w:b/>
          <w:bCs/>
          <w:sz w:val="22"/>
          <w:szCs w:val="22"/>
        </w:rPr>
      </w:pPr>
      <w:r w:rsidRPr="00990FB6">
        <w:rPr>
          <w:b/>
          <w:bCs/>
          <w:sz w:val="22"/>
          <w:szCs w:val="22"/>
        </w:rPr>
        <w:t>Información relevante.</w:t>
      </w:r>
    </w:p>
    <w:p w14:paraId="2D0176BF" w14:textId="77777777" w:rsidR="00B15F7D" w:rsidRPr="00990FB6" w:rsidRDefault="00B15F7D" w:rsidP="00B15F7D">
      <w:pPr>
        <w:ind w:left="851" w:right="851" w:firstLine="709"/>
        <w:jc w:val="both"/>
        <w:rPr>
          <w:sz w:val="22"/>
          <w:szCs w:val="22"/>
        </w:rPr>
      </w:pPr>
    </w:p>
    <w:p w14:paraId="2C35422C" w14:textId="77777777" w:rsidR="00B15F7D" w:rsidRPr="00990FB6" w:rsidRDefault="00B15F7D" w:rsidP="00B15F7D">
      <w:pPr>
        <w:ind w:left="851" w:right="851" w:firstLine="709"/>
        <w:jc w:val="both"/>
        <w:rPr>
          <w:sz w:val="22"/>
          <w:szCs w:val="22"/>
        </w:rPr>
      </w:pPr>
      <w:r w:rsidRPr="00990FB6">
        <w:rPr>
          <w:sz w:val="22"/>
          <w:szCs w:val="22"/>
        </w:rPr>
        <w:t xml:space="preserve">Tal como se observa en los antecedentes anteriores, el informe de seguimiento fue aprobado por el Consejo Superior, en el pasado mes de enero del presente año, el cual fue comunicado oficialmente a las dependencias involucradas. </w:t>
      </w:r>
    </w:p>
    <w:p w14:paraId="12386216" w14:textId="77777777" w:rsidR="00B15F7D" w:rsidRPr="00990FB6" w:rsidRDefault="00B15F7D" w:rsidP="00B15F7D">
      <w:pPr>
        <w:ind w:left="851" w:right="851" w:firstLine="709"/>
        <w:jc w:val="both"/>
        <w:rPr>
          <w:sz w:val="22"/>
          <w:szCs w:val="22"/>
        </w:rPr>
      </w:pPr>
    </w:p>
    <w:p w14:paraId="1817A024" w14:textId="77777777" w:rsidR="00B15F7D" w:rsidRPr="00990FB6" w:rsidRDefault="00B15F7D" w:rsidP="00B15F7D">
      <w:pPr>
        <w:ind w:left="851" w:right="851" w:firstLine="709"/>
        <w:jc w:val="both"/>
        <w:rPr>
          <w:sz w:val="22"/>
          <w:szCs w:val="22"/>
        </w:rPr>
      </w:pPr>
      <w:r w:rsidRPr="00990FB6">
        <w:rPr>
          <w:sz w:val="22"/>
          <w:szCs w:val="22"/>
        </w:rPr>
        <w:t>En razón de lo anterior, esta Dirección estima prudente que al estarse realizando los estudios de necesidad de requerimiento humano para el ejercicio presupuestario del 2024, se proceda con la correspondiente inclusión de una plaza de Técnica o Técnico Judicial 1 de manera extraordinaria para el Juzgado Contravencional de Acosta, con base en el análisis que previamente se había realizado por esta Dirección, mediante el  informe 1119-PLA-OI-2022 que para efectos del presente oficio, se detallan las conclusiones a las cuales se determinó producto del análisis realizado:</w:t>
      </w:r>
    </w:p>
    <w:p w14:paraId="5D6736C1" w14:textId="77777777" w:rsidR="00B15F7D" w:rsidRPr="00990FB6" w:rsidRDefault="00B15F7D" w:rsidP="00B15F7D">
      <w:pPr>
        <w:ind w:left="851" w:right="851" w:firstLine="709"/>
        <w:jc w:val="both"/>
        <w:rPr>
          <w:sz w:val="22"/>
          <w:szCs w:val="22"/>
        </w:rPr>
      </w:pPr>
    </w:p>
    <w:p w14:paraId="5BAC745C"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color w:val="000000"/>
          <w:sz w:val="22"/>
          <w:szCs w:val="22"/>
          <w:lang w:eastAsia="es-ES"/>
        </w:rPr>
        <w:t>“</w:t>
      </w:r>
      <w:r w:rsidRPr="00990FB6">
        <w:rPr>
          <w:b/>
          <w:bCs/>
          <w:i/>
          <w:iCs/>
          <w:color w:val="000000"/>
          <w:sz w:val="22"/>
          <w:szCs w:val="22"/>
          <w:lang w:eastAsia="es-ES"/>
        </w:rPr>
        <w:t xml:space="preserve">4.1. </w:t>
      </w:r>
      <w:r w:rsidRPr="00990FB6">
        <w:rPr>
          <w:i/>
          <w:iCs/>
          <w:color w:val="000000"/>
          <w:sz w:val="22"/>
          <w:szCs w:val="22"/>
          <w:lang w:eastAsia="es-ES"/>
        </w:rPr>
        <w:t xml:space="preserve">El Consejo Superior en sesión 48-2022 del 7 de junio de 2022, artículo XXXVIII, dispuso entre otras cosas que “g) El Subproceso de Organización Institucional de la Dirección de Planificación efectuará un seguimiento cuatro meses después de comunicado el presente acuerdo, para determinar el grado de aprovechamiento del recurso, así como el análisis de las plantillas indicadas en párrafos anteriores.”. </w:t>
      </w:r>
    </w:p>
    <w:p w14:paraId="01F8DCFF"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4342C182"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4.2. </w:t>
      </w:r>
      <w:r w:rsidRPr="00990FB6">
        <w:rPr>
          <w:i/>
          <w:iCs/>
          <w:color w:val="000000"/>
          <w:sz w:val="22"/>
          <w:szCs w:val="22"/>
          <w:lang w:eastAsia="es-ES"/>
        </w:rPr>
        <w:t xml:space="preserve">El mismo ente jerárquico comunica el acuerdo emitido por el Consejo Superior, en sesión 34-22 del 26 de abril de 2022, artículo XLV y dispuso: “1.) Dadas las necesidades del Juzgado Contravencional y de Menor Cuantía de Acosta, expuestas en el estudio de ambiente laboral, se dispone lo siguiente: solicitar a la Dirección de Planificación que revise de conformidad con el informe una actualización de las funciones y de la distribución de trabajo y si </w:t>
      </w:r>
      <w:r w:rsidRPr="00990FB6">
        <w:rPr>
          <w:i/>
          <w:iCs/>
          <w:color w:val="000000"/>
          <w:sz w:val="22"/>
          <w:szCs w:val="22"/>
          <w:lang w:eastAsia="es-ES"/>
        </w:rPr>
        <w:lastRenderedPageBreak/>
        <w:t xml:space="preserve">se requiere dotar de recurso o no en ese despacho.”, aspecto que se incorpora en el presente estudio. </w:t>
      </w:r>
    </w:p>
    <w:p w14:paraId="73066BC5"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586169B6"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4.3. </w:t>
      </w:r>
      <w:r w:rsidRPr="00990FB6">
        <w:rPr>
          <w:i/>
          <w:iCs/>
          <w:color w:val="000000"/>
          <w:sz w:val="22"/>
          <w:szCs w:val="22"/>
          <w:lang w:eastAsia="es-ES"/>
        </w:rPr>
        <w:t xml:space="preserve">El Juzgado Contravencional de Acosta, cuenta con una estructura de apoyo conformada por una plaza de Coordinadora o Coordinador Judicial y dos plazas de Técnica o Técnico Judicial, con la particularidad de que una de ellas se dedica exclusivamente a la atención del público por una recomendación médico legal, razón por la que la tramitación de expedientes recae de manera exclusiva en el restante recurso técnico y la destacada propiamente en coordinación. </w:t>
      </w:r>
    </w:p>
    <w:p w14:paraId="2C2162C7"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17D74935"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4.4. </w:t>
      </w:r>
      <w:r w:rsidRPr="00990FB6">
        <w:rPr>
          <w:i/>
          <w:iCs/>
          <w:color w:val="000000"/>
          <w:sz w:val="22"/>
          <w:szCs w:val="22"/>
          <w:lang w:eastAsia="es-ES"/>
        </w:rPr>
        <w:t xml:space="preserve">Producto de la distribución de funciones en la actualidad, la plaza coordinadora (fuera de todas las funciones administrativas propias de su puesto) tiene a su cargo el 19,85% del circulante total del despacho (298 expedientes), mientras que el recurso técnico destacado en tramitación, el restante 80,15% (1203). Consecuentemente, la segunda plaza técnica no muestra registro en vista de su condición médica actual. </w:t>
      </w:r>
    </w:p>
    <w:p w14:paraId="392032B9"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2346AD17"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4.5. </w:t>
      </w:r>
      <w:r w:rsidRPr="00990FB6">
        <w:rPr>
          <w:i/>
          <w:iCs/>
          <w:color w:val="000000"/>
          <w:sz w:val="22"/>
          <w:szCs w:val="22"/>
          <w:lang w:eastAsia="es-ES"/>
        </w:rPr>
        <w:t xml:space="preserve">La plaza de Coordinadora Judicial posee un atraso bastante significativo particularmente en el tema de actualización de tarjetas de SDJ, que en sí es un control que el despacho lleva sobre los períodos que el demandado por Pensión Alimentaria va cancelando, donde vale la pena indicar que la actualización de una tarjeta de este tipo podría implicar el consumo de hasta veinte minutos, ya que datan de varios meses (abril para ser precisos), lo que conlleva a la actualización paralela del período completo a la fecha actual. </w:t>
      </w:r>
    </w:p>
    <w:p w14:paraId="696B0293"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494EBC96" w14:textId="77777777" w:rsidR="00B15F7D" w:rsidRPr="00990FB6" w:rsidRDefault="00B15F7D" w:rsidP="00B15F7D">
      <w:pPr>
        <w:ind w:left="851" w:right="851" w:firstLine="709"/>
        <w:jc w:val="both"/>
        <w:rPr>
          <w:i/>
          <w:iCs/>
          <w:sz w:val="22"/>
          <w:szCs w:val="22"/>
        </w:rPr>
      </w:pPr>
      <w:r w:rsidRPr="00990FB6">
        <w:rPr>
          <w:b/>
          <w:bCs/>
          <w:i/>
          <w:iCs/>
          <w:sz w:val="22"/>
          <w:szCs w:val="22"/>
        </w:rPr>
        <w:t xml:space="preserve">4.6. </w:t>
      </w:r>
      <w:r w:rsidRPr="00990FB6">
        <w:rPr>
          <w:i/>
          <w:iCs/>
          <w:sz w:val="22"/>
          <w:szCs w:val="22"/>
        </w:rPr>
        <w:t xml:space="preserve">En relación con el atraso indicado anteriormente, se requiere de aproximadamente un total de 28,3 días hábiles de trabajo, es decir, que una plaza dedicada exclusivamente a esa labor podría tardar aproximadamente un mes y quince días naturales para poner al día esa variable. </w:t>
      </w:r>
    </w:p>
    <w:p w14:paraId="6CA591A5" w14:textId="77777777" w:rsidR="00B15F7D" w:rsidRPr="00990FB6" w:rsidRDefault="00B15F7D" w:rsidP="00B15F7D">
      <w:pPr>
        <w:ind w:left="851" w:right="851" w:firstLine="709"/>
        <w:jc w:val="both"/>
        <w:rPr>
          <w:i/>
          <w:iCs/>
          <w:sz w:val="22"/>
          <w:szCs w:val="22"/>
        </w:rPr>
      </w:pPr>
    </w:p>
    <w:p w14:paraId="26D147E7"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4.7. </w:t>
      </w:r>
      <w:r w:rsidRPr="00990FB6">
        <w:rPr>
          <w:i/>
          <w:iCs/>
          <w:color w:val="000000"/>
          <w:sz w:val="22"/>
          <w:szCs w:val="22"/>
          <w:lang w:eastAsia="es-ES"/>
        </w:rPr>
        <w:t xml:space="preserve">La segunda plaza técnica no muestra atraso en la actualización de esa variable, toda vez que con base en el análisis de la herramienta denominada </w:t>
      </w:r>
      <w:r w:rsidRPr="00990FB6">
        <w:rPr>
          <w:b/>
          <w:bCs/>
          <w:i/>
          <w:iCs/>
          <w:color w:val="000000"/>
          <w:sz w:val="22"/>
          <w:szCs w:val="22"/>
          <w:lang w:eastAsia="es-ES"/>
        </w:rPr>
        <w:t>“Control de actividades efectuadas por el personal técnico del Juzgado Contravencional de Acosta fuera de jornada laboral”</w:t>
      </w:r>
      <w:r w:rsidRPr="00990FB6">
        <w:rPr>
          <w:i/>
          <w:iCs/>
          <w:color w:val="000000"/>
          <w:sz w:val="22"/>
          <w:szCs w:val="22"/>
          <w:lang w:eastAsia="es-ES"/>
        </w:rPr>
        <w:t xml:space="preserve">, que es un archivo en formato de Microsoft Excel, se pudo determinar que ese recurso utilizó 78,37 horas fuera de su jornada habitual de trabajo en actividades asociadas a trámites de expedientes de la oficina, lo que es equivalente a 9,8 días hábiles4, es decir, básicamente dos semanas completas de trabajo. </w:t>
      </w:r>
    </w:p>
    <w:p w14:paraId="45C01E31"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76531D42"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4.8. </w:t>
      </w:r>
      <w:r w:rsidRPr="00990FB6">
        <w:rPr>
          <w:i/>
          <w:iCs/>
          <w:color w:val="000000"/>
          <w:sz w:val="22"/>
          <w:szCs w:val="22"/>
          <w:lang w:eastAsia="es-ES"/>
        </w:rPr>
        <w:t xml:space="preserve">La dinámica más reciente respecto de la frecuencia de incapacidades del personal de apoyo que integra el Juzgado Contravencional de Acosta, indica que durante 2021 y a junio de 2022 (43 y 30 días de incapacidad respectivamente), presentan un rango que oscila de entre 4 y 6 días asociados a esa variable mensualmente, aspecto que para una oficina cuya naturaleza obedece al recibo y trámite de expedientes, que aunado a la falta de una plaza técnica en labores de tramitación, podría esperarse que al cabo del tiempo, presente un atraso en su gestión, así como inequidad en la distribución de cargas de trabajo tal y como se demostró en el desarrollo del informe. </w:t>
      </w:r>
    </w:p>
    <w:p w14:paraId="6D96568C"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3B833684"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4.9. </w:t>
      </w:r>
      <w:r w:rsidRPr="00990FB6">
        <w:rPr>
          <w:i/>
          <w:iCs/>
          <w:color w:val="000000"/>
          <w:sz w:val="22"/>
          <w:szCs w:val="22"/>
          <w:lang w:eastAsia="es-ES"/>
        </w:rPr>
        <w:t xml:space="preserve">Al efectuar una comparación en la distribución de funciones entre el Juzgado Contravencional de Acosta versus otras dependencias homólogas5 que cuentan con la misma cantidad de recurso humano (una plaza destacada en coordinación y dos técnicas o técnicos judiciales), se obtiene que: </w:t>
      </w:r>
    </w:p>
    <w:p w14:paraId="33CF30F5"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2E95FA07"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rFonts w:ascii="Segoe UI Symbol" w:hAnsi="Segoe UI Symbol" w:cs="Segoe UI Symbol"/>
          <w:i/>
          <w:iCs/>
          <w:color w:val="000000"/>
          <w:sz w:val="22"/>
          <w:szCs w:val="22"/>
          <w:lang w:eastAsia="es-ES"/>
        </w:rPr>
        <w:t>✓</w:t>
      </w:r>
      <w:r w:rsidRPr="00990FB6">
        <w:rPr>
          <w:i/>
          <w:iCs/>
          <w:color w:val="000000"/>
          <w:sz w:val="22"/>
          <w:szCs w:val="22"/>
          <w:lang w:eastAsia="es-ES"/>
        </w:rPr>
        <w:t xml:space="preserve">En relación con las demás, el Juzgado de Acosta, es el único despacho que de manera exclusiva destaca una plaza en labores de manifestación6, tarea que es atendida a través de un rol, tal y como lo informan los restantes despachos. </w:t>
      </w:r>
    </w:p>
    <w:p w14:paraId="4AA59BE9"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4E5B0A6B"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rFonts w:ascii="Segoe UI Symbol" w:hAnsi="Segoe UI Symbol" w:cs="Segoe UI Symbol"/>
          <w:i/>
          <w:iCs/>
          <w:color w:val="000000"/>
          <w:sz w:val="22"/>
          <w:szCs w:val="22"/>
          <w:lang w:eastAsia="es-ES"/>
        </w:rPr>
        <w:t>✓</w:t>
      </w:r>
      <w:r w:rsidRPr="00990FB6">
        <w:rPr>
          <w:i/>
          <w:iCs/>
          <w:color w:val="000000"/>
          <w:sz w:val="22"/>
          <w:szCs w:val="22"/>
          <w:lang w:eastAsia="es-ES"/>
        </w:rPr>
        <w:t xml:space="preserve">Ninguna plaza de coordinación se dedica exclusivamente a labores administrativas y prácticamente todas (excepto Jicaral) colabora en la tramitación de expedientes. </w:t>
      </w:r>
    </w:p>
    <w:p w14:paraId="15AB7D5F"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6EF55876"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rFonts w:ascii="Segoe UI Symbol" w:hAnsi="Segoe UI Symbol" w:cs="Segoe UI Symbol"/>
          <w:i/>
          <w:iCs/>
          <w:color w:val="000000"/>
          <w:sz w:val="22"/>
          <w:szCs w:val="22"/>
          <w:lang w:eastAsia="es-ES"/>
        </w:rPr>
        <w:t>✓</w:t>
      </w:r>
      <w:r w:rsidRPr="00990FB6">
        <w:rPr>
          <w:i/>
          <w:iCs/>
          <w:color w:val="000000"/>
          <w:sz w:val="22"/>
          <w:szCs w:val="22"/>
          <w:lang w:eastAsia="es-ES"/>
        </w:rPr>
        <w:t xml:space="preserve">Acosta es el único en que la atención telefónica es delegada de manera exclusiva a una plaza (Coordinadora o Coordinador Judicial). </w:t>
      </w:r>
    </w:p>
    <w:p w14:paraId="554F947C"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69004F5B"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4.10. </w:t>
      </w:r>
      <w:r w:rsidRPr="00990FB6">
        <w:rPr>
          <w:i/>
          <w:iCs/>
          <w:color w:val="000000"/>
          <w:sz w:val="22"/>
          <w:szCs w:val="22"/>
          <w:lang w:eastAsia="es-ES"/>
        </w:rPr>
        <w:t xml:space="preserve">Destacar una plaza técnica en labores de manifestación de manera exclusiva en el Juzgado Contravencional de Acosta, está afectando la carga de trabajo no solo de la restante plaza técnica, sino también, de la Coordinadora o Coordinador Judicial de esa oficina. Prueba de ello, es que el recurso técnico tiene a su haber, la atención de un circulante de 1203 asuntos, por 594 que en su orden relativo ostenta por plaza, el despacho que ocupa la segunda posición (Montes de Oro), lo que refleja una diferencia absoluta de 609 asuntos. </w:t>
      </w:r>
    </w:p>
    <w:p w14:paraId="4BF14EFE" w14:textId="77777777" w:rsidR="00B15F7D" w:rsidRPr="00990FB6" w:rsidRDefault="00B15F7D" w:rsidP="00B15F7D">
      <w:pPr>
        <w:autoSpaceDE w:val="0"/>
        <w:autoSpaceDN w:val="0"/>
        <w:adjustRightInd w:val="0"/>
        <w:ind w:left="851" w:right="851" w:firstLine="709"/>
        <w:jc w:val="both"/>
        <w:rPr>
          <w:b/>
          <w:bCs/>
          <w:i/>
          <w:iCs/>
          <w:color w:val="000000"/>
          <w:sz w:val="22"/>
          <w:szCs w:val="22"/>
          <w:lang w:eastAsia="es-ES"/>
        </w:rPr>
      </w:pPr>
    </w:p>
    <w:p w14:paraId="0370468F"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4.11. </w:t>
      </w:r>
      <w:r w:rsidRPr="00990FB6">
        <w:rPr>
          <w:i/>
          <w:iCs/>
          <w:color w:val="000000"/>
          <w:sz w:val="22"/>
          <w:szCs w:val="22"/>
          <w:lang w:eastAsia="es-ES"/>
        </w:rPr>
        <w:t xml:space="preserve">Lo anterior significa que, para equiparar esa carga de trabajo, se requiere de la segunda plaza técnica, para alcanzar un valor de 602 asuntos por recurso, que, aun así, mantiene al Juzgado Contravencional de Acosta como la oficina con mayor volumen de trabajo (en circulante) respecto del restante de despachos analizados. </w:t>
      </w:r>
    </w:p>
    <w:p w14:paraId="054F9F17"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5A96DF3D"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4.12. </w:t>
      </w:r>
      <w:r w:rsidRPr="00990FB6">
        <w:rPr>
          <w:i/>
          <w:iCs/>
          <w:color w:val="000000"/>
          <w:sz w:val="22"/>
          <w:szCs w:val="22"/>
          <w:lang w:eastAsia="es-ES"/>
        </w:rPr>
        <w:t xml:space="preserve">La carga de trabajo que en la actualidad presenta la plaza de Coordinadora o Coordinador Judicial en el Juzgado de Acosta (fuera de todos las actividades administrativas bajo su responsabilidad), se refleja en un total de 298 asuntos, superando en aproximadamente 213 expedientes a su más cercano despacho (Zarcero) que ostenta un volumen de 85 expedientes por parte de ese tipo de recurso, aspecto que conlleva a valorar la necesaria posibilidad de equilibrar su carga de trabajo respecto de sus oficinas homólogas, lo que podría significar que deje de tramitar la materia Contravencional o bien, que se extraiga de sus tareas la atención del 50% de los apremios corporales de Pensiones Alimentaria, que significaría pasar de la carga mostrada anteriormente (298 asuntos) a un total sea de 116 o 182 expedientes según la decisión que se recomiende y que al igual que el recurso técnico, lo mantendría con el volumen de trabajo más elevado respecto a los juzgados analizados con la misma cantidad de recurso humano. </w:t>
      </w:r>
    </w:p>
    <w:p w14:paraId="68FF159A"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1CECAB1C" w14:textId="77777777" w:rsidR="00B15F7D" w:rsidRPr="00990FB6" w:rsidRDefault="00B15F7D" w:rsidP="00B15F7D">
      <w:pPr>
        <w:ind w:left="851" w:right="851" w:firstLine="709"/>
        <w:jc w:val="both"/>
        <w:rPr>
          <w:i/>
          <w:iCs/>
          <w:sz w:val="22"/>
          <w:szCs w:val="22"/>
        </w:rPr>
      </w:pPr>
      <w:r w:rsidRPr="00990FB6">
        <w:rPr>
          <w:b/>
          <w:bCs/>
          <w:i/>
          <w:iCs/>
          <w:sz w:val="22"/>
          <w:szCs w:val="22"/>
        </w:rPr>
        <w:t xml:space="preserve">4.13. </w:t>
      </w:r>
      <w:r w:rsidRPr="00990FB6">
        <w:rPr>
          <w:i/>
          <w:iCs/>
          <w:sz w:val="22"/>
          <w:szCs w:val="22"/>
        </w:rPr>
        <w:t xml:space="preserve">Existe preocupación por parte de la Jueza Coordinadora del despacho en torno a la situación que viene presentando históricamente la oficina a su cargo, por lo que ha solicitado la intervención a través de diferentes </w:t>
      </w:r>
      <w:r w:rsidRPr="00990FB6">
        <w:rPr>
          <w:i/>
          <w:iCs/>
          <w:sz w:val="22"/>
          <w:szCs w:val="22"/>
        </w:rPr>
        <w:lastRenderedPageBreak/>
        <w:t xml:space="preserve">solicitudes ante el Consejo Superior, o bien, al algunas dependencias administrativas dentro de las que destaca la Dirección de Planificación y el Centro de Apoyo, Coordinación y Mejoramiento de la Función Jurisdiccional, para obtener colaboración y una solución a la problemática identificada por la inequidad de cargas de trabajo y mejora en la distribución de funciones en ese recinto judicial. </w:t>
      </w:r>
    </w:p>
    <w:p w14:paraId="3E6D15CE" w14:textId="77777777" w:rsidR="00B15F7D" w:rsidRPr="00990FB6" w:rsidRDefault="00B15F7D" w:rsidP="00B15F7D">
      <w:pPr>
        <w:ind w:left="851" w:right="851" w:firstLine="709"/>
        <w:jc w:val="both"/>
        <w:rPr>
          <w:i/>
          <w:iCs/>
          <w:sz w:val="22"/>
          <w:szCs w:val="22"/>
        </w:rPr>
      </w:pPr>
    </w:p>
    <w:p w14:paraId="79EA685C"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4.14. </w:t>
      </w:r>
      <w:r w:rsidRPr="00990FB6">
        <w:rPr>
          <w:i/>
          <w:iCs/>
          <w:color w:val="000000"/>
          <w:sz w:val="22"/>
          <w:szCs w:val="22"/>
          <w:lang w:eastAsia="es-ES"/>
        </w:rPr>
        <w:t xml:space="preserve">Existen antecedentes médicos que respaldan que la condición de salud de la plaza técnica judicial que se ha venido mencionado en el presente estudio, no puede integrarse a la tramitación de expediente judiciales y se identifican por los siguientes documentos (Informe Médico N°2021-0001971, en donde se incorpora el criterio vertido por el Médico Especialista en Psiquiatría, Informe Médico N°2021-0002363 (ampliación del indicado anteriormente), a lo que debe sumarse que esa colaboradora judicial fue incorporada al Programa de Adaptación al Puesto y Reubicación Laboral, puesto en conocimiento mediante oficio 055-PALAB-2022 de la Dirección de Gestión Humana. </w:t>
      </w:r>
    </w:p>
    <w:p w14:paraId="30B27A2C"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4A05C16D"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4.15. </w:t>
      </w:r>
      <w:r w:rsidRPr="00990FB6">
        <w:rPr>
          <w:i/>
          <w:iCs/>
          <w:color w:val="000000"/>
          <w:sz w:val="22"/>
          <w:szCs w:val="22"/>
          <w:lang w:eastAsia="es-ES"/>
        </w:rPr>
        <w:t xml:space="preserve">En virtud de los hallazgos mostrados en el presente estudio, donde se destaca la condición médica de una de las plazas técnicas del Juzgado Contravencional de Acosta, así como el análisis de otras variables estadísticas de interés, se consultó al licenciado Mariano Rodríguez Flores, Jefe del Área de Gestión y Apoyo del Centro de Apoyo, Coordinación y Mejoramiento de la Función Jurisdiccional, sobre la posibilidad de que el recurso supernumerario que actualmente destacan dos días a la semana en el Juzgado de Acosta, pueda sumarse más bien de manera permanente, hasta tanto mejore el tema de salud del recurso técnico indicado anteriormente. Al respecto, se autorizó la designación del recurso Supernumerario plaza Nº350170, ocupada en propiedad por Elías Álvarez Calderón, para que asuma labores de colaboración de lunes a viernes en el Juzgado Contravencional de Acosta. </w:t>
      </w:r>
    </w:p>
    <w:p w14:paraId="59DA4B76"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268DD80B"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b/>
          <w:bCs/>
          <w:i/>
          <w:iCs/>
          <w:color w:val="000000"/>
          <w:sz w:val="22"/>
          <w:szCs w:val="22"/>
          <w:lang w:eastAsia="es-ES"/>
        </w:rPr>
        <w:t xml:space="preserve">4.16. </w:t>
      </w:r>
      <w:r w:rsidRPr="00990FB6">
        <w:rPr>
          <w:i/>
          <w:iCs/>
          <w:color w:val="000000"/>
          <w:sz w:val="22"/>
          <w:szCs w:val="22"/>
          <w:lang w:eastAsia="es-ES"/>
        </w:rPr>
        <w:t xml:space="preserve">Respecto a la creación de recurso humano producto de estudios o diagnósticos, existes directrices jerárquicas a nivel institucional, tales como: </w:t>
      </w:r>
    </w:p>
    <w:p w14:paraId="2AA5E03C"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38982727"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i/>
          <w:iCs/>
          <w:color w:val="000000"/>
          <w:sz w:val="22"/>
          <w:szCs w:val="22"/>
          <w:lang w:eastAsia="es-ES"/>
        </w:rPr>
        <w:t xml:space="preserve">a. En lo que respecta a la creación de plazas, la Corte Plena aprobó en sesión N°54-2019 del 18 de diciembre de 2019, artículo único, no crear plazas nuevas y valorar únicamente la condición y continuidad de las plazas extraordinarias existentes. </w:t>
      </w:r>
    </w:p>
    <w:p w14:paraId="4022D657"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p>
    <w:p w14:paraId="138592E9" w14:textId="77777777" w:rsidR="00B15F7D" w:rsidRPr="00990FB6" w:rsidRDefault="00B15F7D" w:rsidP="00B15F7D">
      <w:pPr>
        <w:autoSpaceDE w:val="0"/>
        <w:autoSpaceDN w:val="0"/>
        <w:adjustRightInd w:val="0"/>
        <w:ind w:left="851" w:right="851" w:firstLine="709"/>
        <w:jc w:val="both"/>
        <w:rPr>
          <w:i/>
          <w:iCs/>
          <w:color w:val="000000"/>
          <w:sz w:val="22"/>
          <w:szCs w:val="22"/>
          <w:lang w:eastAsia="es-ES"/>
        </w:rPr>
      </w:pPr>
      <w:r w:rsidRPr="00990FB6">
        <w:rPr>
          <w:i/>
          <w:iCs/>
          <w:color w:val="000000"/>
          <w:sz w:val="22"/>
          <w:szCs w:val="22"/>
          <w:lang w:eastAsia="es-ES"/>
        </w:rPr>
        <w:t xml:space="preserve">b. La Dirección de Planificación estudiará las estructuras administrativas de los diferentes programas para determinar si desarrollan labores duplicadas o paralelas y redistribuir el recurso. </w:t>
      </w:r>
    </w:p>
    <w:p w14:paraId="0661BD2E" w14:textId="77777777" w:rsidR="00B15F7D" w:rsidRPr="00990FB6" w:rsidRDefault="00B15F7D" w:rsidP="00B15F7D">
      <w:pPr>
        <w:numPr>
          <w:ilvl w:val="0"/>
          <w:numId w:val="144"/>
        </w:numPr>
        <w:suppressAutoHyphens w:val="0"/>
        <w:autoSpaceDE w:val="0"/>
        <w:autoSpaceDN w:val="0"/>
        <w:adjustRightInd w:val="0"/>
        <w:ind w:left="851" w:right="851" w:firstLine="709"/>
        <w:jc w:val="both"/>
        <w:rPr>
          <w:i/>
          <w:iCs/>
          <w:color w:val="000000"/>
          <w:sz w:val="22"/>
          <w:szCs w:val="22"/>
          <w:lang w:eastAsia="es-ES"/>
        </w:rPr>
      </w:pPr>
    </w:p>
    <w:p w14:paraId="6EA33A97" w14:textId="77777777" w:rsidR="00B15F7D" w:rsidRPr="00990FB6" w:rsidRDefault="00B15F7D" w:rsidP="00B15F7D">
      <w:pPr>
        <w:numPr>
          <w:ilvl w:val="0"/>
          <w:numId w:val="151"/>
        </w:numPr>
        <w:suppressAutoHyphens w:val="0"/>
        <w:autoSpaceDE w:val="0"/>
        <w:autoSpaceDN w:val="0"/>
        <w:adjustRightInd w:val="0"/>
        <w:ind w:left="851" w:right="851" w:firstLine="709"/>
        <w:jc w:val="both"/>
        <w:rPr>
          <w:i/>
          <w:iCs/>
          <w:color w:val="000000"/>
          <w:sz w:val="22"/>
          <w:szCs w:val="22"/>
          <w:lang w:eastAsia="es-ES"/>
        </w:rPr>
      </w:pPr>
      <w:r w:rsidRPr="00990FB6">
        <w:rPr>
          <w:i/>
          <w:iCs/>
          <w:color w:val="000000"/>
          <w:sz w:val="22"/>
          <w:szCs w:val="22"/>
          <w:lang w:eastAsia="es-ES"/>
        </w:rPr>
        <w:t xml:space="preserve">La Dirección de Planificación se abocará a realizar estudios donde potenciará la reorganización y el rediseño de los procesos para estandarizarlos. En los estudios de reorganización, implementará modelos eficientes, que faciliten la toma de decisiones; lejos de contemplar la creación de nuevas plazas, se harán propuestas con las existentes y se identificarán los recursos ociosos para trasladarlos a áreas de trabajo donde se requieran. De igual manera, el personal </w:t>
      </w:r>
      <w:r w:rsidRPr="00990FB6">
        <w:rPr>
          <w:i/>
          <w:iCs/>
          <w:color w:val="000000"/>
          <w:sz w:val="22"/>
          <w:szCs w:val="22"/>
          <w:lang w:eastAsia="es-ES"/>
        </w:rPr>
        <w:lastRenderedPageBreak/>
        <w:t xml:space="preserve">de los despachos propiciará nuevas formas de organización y buenas prácticas de gestión. </w:t>
      </w:r>
    </w:p>
    <w:p w14:paraId="070BAB7E" w14:textId="77777777" w:rsidR="00B15F7D" w:rsidRPr="00990FB6" w:rsidRDefault="00B15F7D" w:rsidP="00B15F7D">
      <w:pPr>
        <w:suppressAutoHyphens w:val="0"/>
        <w:autoSpaceDE w:val="0"/>
        <w:autoSpaceDN w:val="0"/>
        <w:adjustRightInd w:val="0"/>
        <w:ind w:left="851" w:right="851" w:firstLine="565"/>
        <w:jc w:val="both"/>
        <w:rPr>
          <w:i/>
          <w:iCs/>
          <w:color w:val="000000"/>
          <w:sz w:val="22"/>
          <w:szCs w:val="22"/>
          <w:lang w:eastAsia="es-ES"/>
        </w:rPr>
      </w:pPr>
    </w:p>
    <w:p w14:paraId="65BEC555" w14:textId="77777777" w:rsidR="00B15F7D" w:rsidRPr="00990FB6" w:rsidRDefault="00B15F7D" w:rsidP="00B15F7D">
      <w:pPr>
        <w:suppressAutoHyphens w:val="0"/>
        <w:autoSpaceDE w:val="0"/>
        <w:autoSpaceDN w:val="0"/>
        <w:adjustRightInd w:val="0"/>
        <w:ind w:left="851" w:right="851" w:firstLine="565"/>
        <w:jc w:val="both"/>
        <w:rPr>
          <w:i/>
          <w:iCs/>
          <w:color w:val="000000"/>
          <w:sz w:val="22"/>
          <w:szCs w:val="22"/>
          <w:lang w:eastAsia="es-ES"/>
        </w:rPr>
      </w:pPr>
      <w:r w:rsidRPr="00990FB6">
        <w:rPr>
          <w:rFonts w:eastAsia="Calibri"/>
          <w:i/>
          <w:iCs/>
          <w:color w:val="000000"/>
          <w:sz w:val="22"/>
          <w:szCs w:val="22"/>
        </w:rPr>
        <w:t xml:space="preserve">d. Finalmente, mediante Circular Externa 11-2021 “Formulación del Anteproyecto de Presupuesto 2023”, se informaron la Directrices Técnicas para la Formulación del Anteproyecto de Presupuesto 2023 aprobadas por el Consejo Superior en la sesión 103-2021, artículo XXV, del 01 de diciembre del 2021, sobre la creación de plazas, se reiteró, no crear plazas nuevas y valorar únicamente la condición y continuidad de las plazas extraordinarias existentes. </w:t>
      </w:r>
    </w:p>
    <w:p w14:paraId="62A52F6F" w14:textId="77777777" w:rsidR="00B15F7D" w:rsidRPr="00990FB6" w:rsidRDefault="00B15F7D" w:rsidP="00B15F7D">
      <w:pPr>
        <w:numPr>
          <w:ilvl w:val="0"/>
          <w:numId w:val="145"/>
        </w:numPr>
        <w:suppressAutoHyphens w:val="0"/>
        <w:autoSpaceDE w:val="0"/>
        <w:autoSpaceDN w:val="0"/>
        <w:adjustRightInd w:val="0"/>
        <w:ind w:left="851" w:right="851" w:firstLine="709"/>
        <w:jc w:val="both"/>
        <w:rPr>
          <w:rFonts w:eastAsia="Calibri"/>
          <w:i/>
          <w:iCs/>
          <w:color w:val="000000"/>
          <w:sz w:val="22"/>
          <w:szCs w:val="22"/>
        </w:rPr>
      </w:pPr>
    </w:p>
    <w:p w14:paraId="7619A231" w14:textId="77777777" w:rsidR="00B15F7D" w:rsidRPr="00990FB6" w:rsidRDefault="00B15F7D" w:rsidP="00B15F7D">
      <w:pPr>
        <w:autoSpaceDE w:val="0"/>
        <w:autoSpaceDN w:val="0"/>
        <w:adjustRightInd w:val="0"/>
        <w:ind w:left="851" w:right="851" w:firstLine="709"/>
        <w:jc w:val="both"/>
        <w:rPr>
          <w:rFonts w:eastAsia="Calibri"/>
          <w:i/>
          <w:iCs/>
          <w:color w:val="000000"/>
          <w:sz w:val="22"/>
          <w:szCs w:val="22"/>
        </w:rPr>
      </w:pPr>
      <w:r w:rsidRPr="00990FB6">
        <w:rPr>
          <w:rFonts w:eastAsia="Calibri"/>
          <w:b/>
          <w:bCs/>
          <w:i/>
          <w:iCs/>
          <w:color w:val="000000"/>
          <w:sz w:val="22"/>
          <w:szCs w:val="22"/>
        </w:rPr>
        <w:t xml:space="preserve">4.17. </w:t>
      </w:r>
      <w:r w:rsidRPr="00990FB6">
        <w:rPr>
          <w:rFonts w:eastAsia="Calibri"/>
          <w:i/>
          <w:iCs/>
          <w:color w:val="000000"/>
          <w:sz w:val="22"/>
          <w:szCs w:val="22"/>
        </w:rPr>
        <w:t xml:space="preserve">En la actualidad, el despacho aplica la práctica de llamar anticipadamente a las partes que tengan audiencia programada, con miras a garantizar su participación en la diligencia y, por ende, mantener adecuados porcentajes de realización de esa diligencia en sí. </w:t>
      </w:r>
    </w:p>
    <w:p w14:paraId="50702F15" w14:textId="77777777" w:rsidR="00B15F7D" w:rsidRPr="00990FB6" w:rsidRDefault="00B15F7D" w:rsidP="00B15F7D">
      <w:pPr>
        <w:autoSpaceDE w:val="0"/>
        <w:autoSpaceDN w:val="0"/>
        <w:adjustRightInd w:val="0"/>
        <w:ind w:left="851" w:right="851" w:firstLine="709"/>
        <w:jc w:val="both"/>
        <w:rPr>
          <w:rFonts w:eastAsia="Calibri"/>
          <w:i/>
          <w:iCs/>
          <w:color w:val="000000"/>
          <w:sz w:val="22"/>
          <w:szCs w:val="22"/>
        </w:rPr>
      </w:pPr>
    </w:p>
    <w:p w14:paraId="7ACB0713" w14:textId="77777777" w:rsidR="00B15F7D" w:rsidRPr="00990FB6" w:rsidRDefault="00B15F7D" w:rsidP="00B15F7D">
      <w:pPr>
        <w:autoSpaceDE w:val="0"/>
        <w:autoSpaceDN w:val="0"/>
        <w:adjustRightInd w:val="0"/>
        <w:ind w:left="851" w:right="851" w:firstLine="709"/>
        <w:jc w:val="both"/>
        <w:rPr>
          <w:rFonts w:eastAsia="Calibri"/>
          <w:i/>
          <w:iCs/>
          <w:color w:val="000000"/>
          <w:sz w:val="22"/>
          <w:szCs w:val="22"/>
        </w:rPr>
      </w:pPr>
      <w:r w:rsidRPr="00990FB6">
        <w:rPr>
          <w:rFonts w:eastAsia="Calibri"/>
          <w:b/>
          <w:bCs/>
          <w:i/>
          <w:iCs/>
          <w:color w:val="000000"/>
          <w:sz w:val="22"/>
          <w:szCs w:val="22"/>
        </w:rPr>
        <w:t xml:space="preserve">4.18. </w:t>
      </w:r>
      <w:r w:rsidRPr="00990FB6">
        <w:rPr>
          <w:rFonts w:eastAsia="Calibri"/>
          <w:i/>
          <w:iCs/>
          <w:color w:val="000000"/>
          <w:sz w:val="22"/>
          <w:szCs w:val="22"/>
        </w:rPr>
        <w:t xml:space="preserve">De manera adicional, por un tema de acceso a la justicia, se puede sugerir la implementación de nuevas dinámicas para aumentar esa participación en las audiencias, por ejemplo, mediante un enlace virtual a través del programa Microsoft </w:t>
      </w:r>
      <w:proofErr w:type="spellStart"/>
      <w:r w:rsidRPr="00990FB6">
        <w:rPr>
          <w:rFonts w:eastAsia="Calibri"/>
          <w:i/>
          <w:iCs/>
          <w:color w:val="000000"/>
          <w:sz w:val="22"/>
          <w:szCs w:val="22"/>
        </w:rPr>
        <w:t>Teams</w:t>
      </w:r>
      <w:proofErr w:type="spellEnd"/>
      <w:r w:rsidRPr="00990FB6">
        <w:rPr>
          <w:rFonts w:eastAsia="Calibri"/>
          <w:i/>
          <w:iCs/>
          <w:color w:val="000000"/>
          <w:sz w:val="22"/>
          <w:szCs w:val="22"/>
        </w:rPr>
        <w:t xml:space="preserve">, que no requiere que el usuario tenga instalado ese programa, sino, basta con facilitar un correo electrónico para remitir el respectivo enlace a la audiencia programada. </w:t>
      </w:r>
    </w:p>
    <w:p w14:paraId="59DB6AEC" w14:textId="77777777" w:rsidR="00B15F7D" w:rsidRPr="00990FB6" w:rsidRDefault="00B15F7D" w:rsidP="00B15F7D">
      <w:pPr>
        <w:autoSpaceDE w:val="0"/>
        <w:autoSpaceDN w:val="0"/>
        <w:adjustRightInd w:val="0"/>
        <w:ind w:left="851" w:right="851" w:firstLine="709"/>
        <w:jc w:val="both"/>
        <w:rPr>
          <w:rFonts w:eastAsia="Calibri"/>
          <w:i/>
          <w:iCs/>
          <w:color w:val="000000"/>
          <w:sz w:val="22"/>
          <w:szCs w:val="22"/>
        </w:rPr>
      </w:pPr>
    </w:p>
    <w:p w14:paraId="51A1C5DC" w14:textId="77777777" w:rsidR="00B15F7D" w:rsidRPr="00990FB6" w:rsidRDefault="00B15F7D" w:rsidP="00B15F7D">
      <w:pPr>
        <w:autoSpaceDE w:val="0"/>
        <w:autoSpaceDN w:val="0"/>
        <w:adjustRightInd w:val="0"/>
        <w:ind w:left="851" w:right="851" w:firstLine="709"/>
        <w:jc w:val="both"/>
        <w:rPr>
          <w:rFonts w:eastAsia="Calibri"/>
          <w:i/>
          <w:iCs/>
          <w:color w:val="000000"/>
          <w:sz w:val="22"/>
          <w:szCs w:val="22"/>
        </w:rPr>
      </w:pPr>
      <w:r w:rsidRPr="00990FB6">
        <w:rPr>
          <w:rFonts w:eastAsia="Calibri"/>
          <w:b/>
          <w:bCs/>
          <w:i/>
          <w:iCs/>
          <w:color w:val="000000"/>
          <w:sz w:val="22"/>
          <w:szCs w:val="22"/>
        </w:rPr>
        <w:t xml:space="preserve">4.19. </w:t>
      </w:r>
      <w:r w:rsidRPr="00990FB6">
        <w:rPr>
          <w:rFonts w:eastAsia="Calibri"/>
          <w:i/>
          <w:iCs/>
          <w:color w:val="000000"/>
          <w:sz w:val="22"/>
          <w:szCs w:val="22"/>
        </w:rPr>
        <w:t xml:space="preserve">El presente estudio se relaciona con los ejes del Plan Estratégico Institucional denominados Gestión de Personal y Planificación Institucional. </w:t>
      </w:r>
    </w:p>
    <w:p w14:paraId="463078DD" w14:textId="77777777" w:rsidR="00B15F7D" w:rsidRPr="00990FB6" w:rsidRDefault="00B15F7D" w:rsidP="00B15F7D">
      <w:pPr>
        <w:autoSpaceDE w:val="0"/>
        <w:autoSpaceDN w:val="0"/>
        <w:adjustRightInd w:val="0"/>
        <w:ind w:left="851" w:right="851" w:firstLine="709"/>
        <w:jc w:val="both"/>
        <w:rPr>
          <w:b/>
          <w:bCs/>
          <w:i/>
          <w:iCs/>
          <w:color w:val="000000"/>
          <w:sz w:val="22"/>
          <w:szCs w:val="22"/>
          <w:lang w:eastAsia="es-ES"/>
        </w:rPr>
      </w:pPr>
    </w:p>
    <w:p w14:paraId="4C999E5C" w14:textId="77777777" w:rsidR="00B15F7D" w:rsidRPr="00990FB6" w:rsidRDefault="00B15F7D" w:rsidP="00B15F7D">
      <w:pPr>
        <w:autoSpaceDE w:val="0"/>
        <w:autoSpaceDN w:val="0"/>
        <w:adjustRightInd w:val="0"/>
        <w:ind w:left="851" w:right="851" w:firstLine="709"/>
        <w:jc w:val="both"/>
        <w:rPr>
          <w:rFonts w:eastAsia="Calibri"/>
          <w:i/>
          <w:iCs/>
          <w:color w:val="000000"/>
          <w:sz w:val="22"/>
          <w:szCs w:val="22"/>
        </w:rPr>
      </w:pPr>
      <w:r w:rsidRPr="00990FB6">
        <w:rPr>
          <w:b/>
          <w:bCs/>
          <w:i/>
          <w:iCs/>
          <w:color w:val="000000"/>
          <w:sz w:val="22"/>
          <w:szCs w:val="22"/>
          <w:lang w:eastAsia="es-ES"/>
        </w:rPr>
        <w:t xml:space="preserve">4.20. </w:t>
      </w:r>
      <w:r w:rsidRPr="00990FB6">
        <w:rPr>
          <w:i/>
          <w:iCs/>
          <w:color w:val="000000"/>
          <w:sz w:val="22"/>
          <w:szCs w:val="22"/>
          <w:lang w:eastAsia="es-ES"/>
        </w:rPr>
        <w:t>Mantener una de las dos plazas técnicas del Juzgado Contravencional de Acosta exclusivamente en labores de tramitación por recomendación médica, repercute en una inequidad de cargas de trabajo a lo interno de la oficina, criterio que se fortalece al efectuar un ejercicio comparativo de la asignación de expedientes entre las plazas que se dedican a la tramitación de esta oficina versus otros despachos homólogos que operan en condición idéntica a la cantidad de recurso humano de apoyo (dos plazas técnicas y una de coordinación).”.</w:t>
      </w:r>
    </w:p>
    <w:p w14:paraId="3C5D14BA" w14:textId="77777777" w:rsidR="00B15F7D" w:rsidRPr="00990FB6" w:rsidRDefault="00B15F7D" w:rsidP="00B15F7D">
      <w:pPr>
        <w:ind w:left="851" w:right="851" w:firstLine="709"/>
        <w:jc w:val="both"/>
        <w:rPr>
          <w:i/>
          <w:iCs/>
          <w:sz w:val="22"/>
          <w:szCs w:val="22"/>
        </w:rPr>
      </w:pPr>
    </w:p>
    <w:p w14:paraId="59F0ED39" w14:textId="77777777" w:rsidR="00B15F7D" w:rsidRPr="00990FB6" w:rsidRDefault="00B15F7D" w:rsidP="00B15F7D">
      <w:pPr>
        <w:ind w:left="851" w:right="851" w:firstLine="709"/>
        <w:jc w:val="both"/>
        <w:rPr>
          <w:sz w:val="22"/>
          <w:szCs w:val="22"/>
        </w:rPr>
      </w:pPr>
      <w:r w:rsidRPr="00990FB6">
        <w:rPr>
          <w:sz w:val="22"/>
          <w:szCs w:val="22"/>
        </w:rPr>
        <w:t>En razón de lo anterior, el Consejo Superior acogió las conclusiones y recomendaciones emitidas en el referido informe y procedió a solicitar a la Dirección de Planificación incluir en el ejercicio de formulación presupuestaria para el año 2024, el estudio para la eventual inclusión de una plaza de Técnica o Técnico Judicial 1 de manera extraordinaria para el Juzgado Contravencional de Acosta, por el periodo de un año.</w:t>
      </w:r>
    </w:p>
    <w:p w14:paraId="0AC992C1" w14:textId="77777777" w:rsidR="00B15F7D" w:rsidRPr="00990FB6" w:rsidRDefault="00B15F7D" w:rsidP="00B15F7D">
      <w:pPr>
        <w:ind w:left="851" w:right="851" w:firstLine="709"/>
        <w:jc w:val="both"/>
        <w:rPr>
          <w:sz w:val="22"/>
          <w:szCs w:val="22"/>
        </w:rPr>
      </w:pPr>
    </w:p>
    <w:p w14:paraId="720FB0EE" w14:textId="77777777" w:rsidR="00B15F7D" w:rsidRPr="00990FB6" w:rsidRDefault="00B15F7D" w:rsidP="00B15F7D">
      <w:pPr>
        <w:ind w:left="851" w:right="851" w:firstLine="709"/>
        <w:jc w:val="both"/>
        <w:rPr>
          <w:sz w:val="22"/>
          <w:szCs w:val="22"/>
        </w:rPr>
      </w:pPr>
      <w:r w:rsidRPr="00990FB6">
        <w:rPr>
          <w:sz w:val="22"/>
          <w:szCs w:val="22"/>
        </w:rPr>
        <w:t>El recurso se recomienda dada la necesidad de una segunda plaza técnica en la tramitación de expedientes hasta tanto mejoren las condiciones de salud de uno de los recursos técnicos de planta en la oficina (que se puede destacar de momento exclusivamente en labores de manifestación), y por otra parte, que la permanencia del recurso facilitado para asumir esas tareas, por su naturaleza y fines de su creación, no debería permanecer de manera permanente en ese despacho.</w:t>
      </w:r>
    </w:p>
    <w:p w14:paraId="5F038ADA" w14:textId="77777777" w:rsidR="00B15F7D" w:rsidRPr="00990FB6" w:rsidRDefault="00B15F7D" w:rsidP="00B15F7D">
      <w:pPr>
        <w:ind w:left="851" w:right="851" w:firstLine="709"/>
        <w:jc w:val="both"/>
        <w:rPr>
          <w:sz w:val="22"/>
          <w:szCs w:val="22"/>
        </w:rPr>
      </w:pPr>
    </w:p>
    <w:p w14:paraId="25F2B8B8" w14:textId="77777777" w:rsidR="00B15F7D" w:rsidRPr="00990FB6" w:rsidRDefault="00B15F7D" w:rsidP="00B15F7D">
      <w:pPr>
        <w:numPr>
          <w:ilvl w:val="0"/>
          <w:numId w:val="147"/>
        </w:numPr>
        <w:suppressAutoHyphens w:val="0"/>
        <w:ind w:left="851" w:right="851" w:firstLine="709"/>
        <w:jc w:val="both"/>
        <w:rPr>
          <w:b/>
          <w:bCs/>
          <w:sz w:val="22"/>
          <w:szCs w:val="22"/>
        </w:rPr>
      </w:pPr>
      <w:r w:rsidRPr="00990FB6">
        <w:rPr>
          <w:b/>
          <w:bCs/>
          <w:sz w:val="22"/>
          <w:szCs w:val="22"/>
        </w:rPr>
        <w:lastRenderedPageBreak/>
        <w:t xml:space="preserve">Impacto </w:t>
      </w:r>
      <w:proofErr w:type="gramStart"/>
      <w:r w:rsidRPr="00990FB6">
        <w:rPr>
          <w:b/>
          <w:bCs/>
          <w:sz w:val="22"/>
          <w:szCs w:val="22"/>
        </w:rPr>
        <w:t>presupuestario.-</w:t>
      </w:r>
      <w:proofErr w:type="gramEnd"/>
    </w:p>
    <w:p w14:paraId="6BA5376B" w14:textId="77777777" w:rsidR="00B15F7D" w:rsidRPr="00990FB6" w:rsidRDefault="00B15F7D" w:rsidP="00B15F7D">
      <w:pPr>
        <w:ind w:left="851" w:right="851" w:firstLine="709"/>
        <w:jc w:val="both"/>
        <w:rPr>
          <w:sz w:val="22"/>
          <w:szCs w:val="22"/>
        </w:rPr>
      </w:pPr>
    </w:p>
    <w:p w14:paraId="3C4BF623" w14:textId="77777777" w:rsidR="00B15F7D" w:rsidRPr="00990FB6" w:rsidRDefault="00B15F7D" w:rsidP="00B15F7D">
      <w:pPr>
        <w:ind w:left="851" w:right="851" w:firstLine="709"/>
        <w:jc w:val="both"/>
        <w:rPr>
          <w:sz w:val="22"/>
          <w:szCs w:val="22"/>
        </w:rPr>
      </w:pPr>
      <w:r w:rsidRPr="00990FB6">
        <w:rPr>
          <w:sz w:val="22"/>
          <w:szCs w:val="22"/>
        </w:rPr>
        <w:t>De acuerdo con lo expuesto y ante la eventualidad de la asignación del recurso mencionado, se tiene un costo institucional de:</w:t>
      </w:r>
    </w:p>
    <w:p w14:paraId="492E76B4" w14:textId="77777777" w:rsidR="00B15F7D" w:rsidRPr="00990FB6" w:rsidRDefault="00B15F7D" w:rsidP="00B15F7D">
      <w:pPr>
        <w:ind w:left="851" w:right="851" w:firstLine="709"/>
        <w:jc w:val="both"/>
        <w:rPr>
          <w:sz w:val="22"/>
          <w:szCs w:val="22"/>
        </w:rPr>
      </w:pPr>
    </w:p>
    <w:p w14:paraId="168CB701"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30E01A4A" wp14:editId="205D675F">
            <wp:extent cx="4248150" cy="1219200"/>
            <wp:effectExtent l="0" t="0" r="0" b="0"/>
            <wp:docPr id="1776647394" name="Imagen 177664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52116" cy="1220338"/>
                    </a:xfrm>
                    <a:prstGeom prst="rect">
                      <a:avLst/>
                    </a:prstGeom>
                    <a:noFill/>
                    <a:ln>
                      <a:noFill/>
                    </a:ln>
                  </pic:spPr>
                </pic:pic>
              </a:graphicData>
            </a:graphic>
          </wp:inline>
        </w:drawing>
      </w:r>
    </w:p>
    <w:p w14:paraId="2F554C26" w14:textId="77777777" w:rsidR="00B15F7D" w:rsidRPr="00990FB6" w:rsidRDefault="00B15F7D" w:rsidP="00B15F7D">
      <w:pPr>
        <w:ind w:left="851" w:right="851" w:firstLine="709"/>
        <w:jc w:val="both"/>
        <w:rPr>
          <w:sz w:val="22"/>
          <w:szCs w:val="22"/>
        </w:rPr>
      </w:pPr>
    </w:p>
    <w:p w14:paraId="76571CC7" w14:textId="77777777" w:rsidR="00B15F7D" w:rsidRPr="00990FB6" w:rsidRDefault="00B15F7D" w:rsidP="00B15F7D">
      <w:pPr>
        <w:tabs>
          <w:tab w:val="left" w:pos="2390"/>
        </w:tabs>
        <w:ind w:left="851" w:right="851" w:firstLine="709"/>
        <w:jc w:val="both"/>
        <w:rPr>
          <w:sz w:val="22"/>
          <w:szCs w:val="22"/>
        </w:rPr>
      </w:pPr>
      <w:r w:rsidRPr="00990FB6">
        <w:rPr>
          <w:sz w:val="22"/>
          <w:szCs w:val="22"/>
        </w:rPr>
        <w:t>Como podrá observarse, el costo de destacar la plaza de Técnico Judicial 1 por todo el 2024 asciende a ₡184.572.000,00. No se incluye estimación del costo de equipo y mobiliario en razón de que la oficina cuenta con los equipos, según lo indicado por parte del despacho al profesional.</w:t>
      </w:r>
    </w:p>
    <w:p w14:paraId="06F7E95F" w14:textId="77777777" w:rsidR="00B15F7D" w:rsidRPr="00990FB6" w:rsidRDefault="00B15F7D" w:rsidP="00B15F7D">
      <w:pPr>
        <w:ind w:left="851" w:right="851" w:firstLine="709"/>
        <w:jc w:val="both"/>
        <w:rPr>
          <w:sz w:val="22"/>
          <w:szCs w:val="22"/>
        </w:rPr>
      </w:pPr>
    </w:p>
    <w:p w14:paraId="6FC0845A" w14:textId="77777777" w:rsidR="00B15F7D" w:rsidRPr="00990FB6" w:rsidRDefault="00B15F7D" w:rsidP="00B15F7D">
      <w:pPr>
        <w:numPr>
          <w:ilvl w:val="0"/>
          <w:numId w:val="152"/>
        </w:numPr>
        <w:suppressAutoHyphens w:val="0"/>
        <w:ind w:left="851" w:right="851" w:firstLine="709"/>
        <w:jc w:val="both"/>
        <w:rPr>
          <w:b/>
          <w:bCs/>
          <w:sz w:val="22"/>
          <w:szCs w:val="22"/>
        </w:rPr>
      </w:pPr>
      <w:r w:rsidRPr="00990FB6">
        <w:rPr>
          <w:b/>
          <w:bCs/>
          <w:sz w:val="22"/>
          <w:szCs w:val="22"/>
        </w:rPr>
        <w:t>Recomendaciones.</w:t>
      </w:r>
    </w:p>
    <w:p w14:paraId="47A25C4B" w14:textId="77777777" w:rsidR="00B15F7D" w:rsidRPr="00990FB6" w:rsidRDefault="00B15F7D" w:rsidP="00B15F7D">
      <w:pPr>
        <w:ind w:left="851" w:right="851" w:firstLine="709"/>
        <w:jc w:val="both"/>
        <w:rPr>
          <w:sz w:val="22"/>
          <w:szCs w:val="22"/>
        </w:rPr>
      </w:pPr>
    </w:p>
    <w:p w14:paraId="3ABB7CCB" w14:textId="77777777" w:rsidR="00B15F7D" w:rsidRPr="00990FB6" w:rsidRDefault="00B15F7D" w:rsidP="00B15F7D">
      <w:pPr>
        <w:numPr>
          <w:ilvl w:val="1"/>
          <w:numId w:val="153"/>
        </w:numPr>
        <w:suppressAutoHyphens w:val="0"/>
        <w:ind w:left="851" w:right="851" w:firstLine="709"/>
        <w:jc w:val="both"/>
        <w:rPr>
          <w:sz w:val="22"/>
          <w:szCs w:val="22"/>
        </w:rPr>
      </w:pPr>
      <w:r w:rsidRPr="00990FB6">
        <w:rPr>
          <w:sz w:val="22"/>
          <w:szCs w:val="22"/>
        </w:rPr>
        <w:t xml:space="preserve">Acatar lo dispuesto por el Consejo Superior en la sesión 06-2023 del 24 de enero de 2023, artículo XXXV e incluir para el período de formulación presupuestaria 2024, una plaza técnica judicial categoría 1, para el Juzgado Contravencional de Acosta, el cual se solicitará bajo el programa 927 y quedará adscrito al Centro de Apoyo, Coordinación y Mejoramiento de la Función Jurisdiccional, quien otorgará el correspondiente seguimiento de actividades para garantizar la maximización en la utilización del recurso indicado. En el caso de que las limitaciones presupuestarias o permitan. </w:t>
      </w:r>
    </w:p>
    <w:p w14:paraId="45AF3F87" w14:textId="77777777" w:rsidR="00B15F7D" w:rsidRPr="00990FB6" w:rsidRDefault="00B15F7D" w:rsidP="00B15F7D">
      <w:pPr>
        <w:ind w:right="851"/>
        <w:jc w:val="both"/>
        <w:rPr>
          <w:sz w:val="22"/>
          <w:szCs w:val="22"/>
        </w:rPr>
      </w:pPr>
    </w:p>
    <w:p w14:paraId="6F24F854" w14:textId="77777777" w:rsidR="00B15F7D" w:rsidRPr="00990FB6" w:rsidRDefault="00B15F7D" w:rsidP="00B15F7D">
      <w:pPr>
        <w:ind w:left="851" w:right="851" w:firstLine="709"/>
        <w:jc w:val="both"/>
        <w:rPr>
          <w:sz w:val="22"/>
          <w:szCs w:val="22"/>
        </w:rPr>
      </w:pPr>
      <w:r w:rsidRPr="00990FB6">
        <w:rPr>
          <w:sz w:val="22"/>
          <w:szCs w:val="22"/>
        </w:rPr>
        <w:t>4.2. El Juzgado Contravencional de Acosta, acogerá las recomendaciones y disposiciones emitidas en el informe que se detalla en el anexo 1.</w:t>
      </w:r>
    </w:p>
    <w:p w14:paraId="7857A9FF" w14:textId="77777777" w:rsidR="00B15F7D" w:rsidRPr="00990FB6" w:rsidRDefault="00B15F7D" w:rsidP="00B15F7D">
      <w:pPr>
        <w:ind w:left="851" w:right="851" w:firstLine="709"/>
        <w:jc w:val="both"/>
        <w:rPr>
          <w:sz w:val="22"/>
          <w:szCs w:val="22"/>
        </w:rPr>
      </w:pPr>
    </w:p>
    <w:p w14:paraId="562182A9" w14:textId="77777777" w:rsidR="00B15F7D" w:rsidRPr="00990FB6" w:rsidRDefault="00B15F7D" w:rsidP="00B15F7D">
      <w:pPr>
        <w:ind w:left="851" w:right="851" w:firstLine="709"/>
        <w:jc w:val="center"/>
        <w:rPr>
          <w:sz w:val="22"/>
          <w:szCs w:val="22"/>
        </w:rPr>
      </w:pPr>
      <w:r w:rsidRPr="00990FB6">
        <w:rPr>
          <w:b/>
          <w:bCs/>
          <w:sz w:val="22"/>
          <w:szCs w:val="22"/>
        </w:rPr>
        <w:t>Anexos</w:t>
      </w:r>
    </w:p>
    <w:p w14:paraId="5E9E844E" w14:textId="77777777" w:rsidR="00B15F7D" w:rsidRPr="00990FB6" w:rsidRDefault="00B15F7D" w:rsidP="00B15F7D">
      <w:pPr>
        <w:ind w:left="851" w:right="851" w:firstLine="709"/>
        <w:rPr>
          <w:sz w:val="22"/>
          <w:szCs w:val="22"/>
        </w:rPr>
      </w:pPr>
    </w:p>
    <w:tbl>
      <w:tblPr>
        <w:tblStyle w:val="Tablaconcuadrcula"/>
        <w:tblpPr w:leftFromText="141" w:rightFromText="141" w:vertAnchor="text" w:horzAnchor="margin" w:tblpXSpec="center" w:tblpY="3"/>
        <w:tblW w:w="0" w:type="auto"/>
        <w:tblLook w:val="04A0" w:firstRow="1" w:lastRow="0" w:firstColumn="1" w:lastColumn="0" w:noHBand="0" w:noVBand="1"/>
      </w:tblPr>
      <w:tblGrid>
        <w:gridCol w:w="1720"/>
        <w:gridCol w:w="3795"/>
        <w:gridCol w:w="3269"/>
      </w:tblGrid>
      <w:tr w:rsidR="00B15F7D" w:rsidRPr="00990FB6" w14:paraId="4C763CDB" w14:textId="77777777" w:rsidTr="000A0C22">
        <w:tc>
          <w:tcPr>
            <w:tcW w:w="1720" w:type="dxa"/>
            <w:shd w:val="clear" w:color="auto" w:fill="B4C6E7"/>
            <w:vAlign w:val="center"/>
          </w:tcPr>
          <w:p w14:paraId="0246884B" w14:textId="77777777" w:rsidR="00B15F7D" w:rsidRPr="00990FB6" w:rsidRDefault="00B15F7D" w:rsidP="00B15F7D">
            <w:pPr>
              <w:jc w:val="center"/>
              <w:rPr>
                <w:sz w:val="22"/>
                <w:szCs w:val="22"/>
              </w:rPr>
            </w:pPr>
            <w:r w:rsidRPr="00990FB6">
              <w:rPr>
                <w:sz w:val="22"/>
                <w:szCs w:val="22"/>
              </w:rPr>
              <w:t>Anexo</w:t>
            </w:r>
          </w:p>
        </w:tc>
        <w:tc>
          <w:tcPr>
            <w:tcW w:w="3795" w:type="dxa"/>
            <w:shd w:val="clear" w:color="auto" w:fill="B4C6E7"/>
            <w:vAlign w:val="center"/>
          </w:tcPr>
          <w:p w14:paraId="66E7648F" w14:textId="77777777" w:rsidR="00B15F7D" w:rsidRPr="00990FB6" w:rsidRDefault="00B15F7D" w:rsidP="00B15F7D">
            <w:pPr>
              <w:jc w:val="center"/>
              <w:rPr>
                <w:sz w:val="22"/>
                <w:szCs w:val="22"/>
              </w:rPr>
            </w:pPr>
            <w:r w:rsidRPr="00990FB6">
              <w:rPr>
                <w:sz w:val="22"/>
                <w:szCs w:val="22"/>
              </w:rPr>
              <w:t>Nombre del Anexo</w:t>
            </w:r>
          </w:p>
        </w:tc>
        <w:tc>
          <w:tcPr>
            <w:tcW w:w="3269" w:type="dxa"/>
            <w:shd w:val="clear" w:color="auto" w:fill="B4C6E7"/>
            <w:vAlign w:val="center"/>
          </w:tcPr>
          <w:p w14:paraId="5609AE72" w14:textId="77777777" w:rsidR="00B15F7D" w:rsidRPr="00990FB6" w:rsidRDefault="00B15F7D" w:rsidP="00B15F7D">
            <w:pPr>
              <w:jc w:val="center"/>
              <w:rPr>
                <w:sz w:val="22"/>
                <w:szCs w:val="22"/>
              </w:rPr>
            </w:pPr>
            <w:r w:rsidRPr="00990FB6">
              <w:rPr>
                <w:sz w:val="22"/>
                <w:szCs w:val="22"/>
              </w:rPr>
              <w:t>Documento asociado</w:t>
            </w:r>
          </w:p>
        </w:tc>
      </w:tr>
      <w:tr w:rsidR="00B15F7D" w:rsidRPr="00990FB6" w14:paraId="1E4EE100" w14:textId="77777777" w:rsidTr="000A0C22">
        <w:tc>
          <w:tcPr>
            <w:tcW w:w="1720" w:type="dxa"/>
            <w:vAlign w:val="center"/>
          </w:tcPr>
          <w:p w14:paraId="6F09778C" w14:textId="77777777" w:rsidR="00B15F7D" w:rsidRPr="00990FB6" w:rsidRDefault="00B15F7D" w:rsidP="00B15F7D">
            <w:pPr>
              <w:jc w:val="center"/>
              <w:rPr>
                <w:sz w:val="22"/>
                <w:szCs w:val="22"/>
              </w:rPr>
            </w:pPr>
            <w:r w:rsidRPr="00990FB6">
              <w:rPr>
                <w:sz w:val="22"/>
                <w:szCs w:val="22"/>
              </w:rPr>
              <w:t>1</w:t>
            </w:r>
          </w:p>
        </w:tc>
        <w:tc>
          <w:tcPr>
            <w:tcW w:w="3795" w:type="dxa"/>
            <w:vAlign w:val="center"/>
          </w:tcPr>
          <w:p w14:paraId="593C1577" w14:textId="77777777" w:rsidR="00B15F7D" w:rsidRPr="00990FB6" w:rsidRDefault="00B15F7D" w:rsidP="00B15F7D">
            <w:pPr>
              <w:jc w:val="both"/>
              <w:rPr>
                <w:sz w:val="22"/>
                <w:szCs w:val="22"/>
              </w:rPr>
            </w:pPr>
            <w:r w:rsidRPr="00990FB6">
              <w:rPr>
                <w:sz w:val="22"/>
                <w:szCs w:val="22"/>
              </w:rPr>
              <w:t>Informe 1119-PLA-OI-2022</w:t>
            </w:r>
          </w:p>
        </w:tc>
        <w:tc>
          <w:tcPr>
            <w:tcW w:w="3269" w:type="dxa"/>
            <w:vAlign w:val="center"/>
          </w:tcPr>
          <w:p w14:paraId="71106DBD" w14:textId="77777777" w:rsidR="00B15F7D" w:rsidRPr="00990FB6" w:rsidRDefault="00B15F7D" w:rsidP="00B15F7D">
            <w:pPr>
              <w:jc w:val="center"/>
              <w:rPr>
                <w:sz w:val="22"/>
                <w:szCs w:val="22"/>
              </w:rPr>
            </w:pPr>
            <w:r w:rsidRPr="00990FB6">
              <w:rPr>
                <w:sz w:val="22"/>
                <w:szCs w:val="22"/>
                <w:lang w:eastAsia="en-US"/>
              </w:rPr>
              <w:object w:dxaOrig="1376" w:dyaOrig="899" w14:anchorId="14B202A3">
                <v:shape id="_x0000_i1043" type="#_x0000_t75" style="width:72.05pt;height:42.5pt" o:ole="">
                  <v:imagedata r:id="rId60" o:title=""/>
                </v:shape>
                <o:OLEObject Type="Embed" ProgID="Acrobat.Document.DC" ShapeID="_x0000_i1043" DrawAspect="Icon" ObjectID="_1748679171" r:id="rId61"/>
              </w:object>
            </w:r>
          </w:p>
        </w:tc>
      </w:tr>
    </w:tbl>
    <w:p w14:paraId="531A81DC" w14:textId="77777777" w:rsidR="00B15F7D" w:rsidRPr="00990FB6" w:rsidRDefault="00B15F7D" w:rsidP="00B15F7D">
      <w:pPr>
        <w:ind w:left="851" w:right="851" w:firstLine="709"/>
        <w:rPr>
          <w:b/>
          <w:bCs/>
          <w:sz w:val="22"/>
          <w:szCs w:val="22"/>
        </w:rPr>
      </w:pPr>
    </w:p>
    <w:p w14:paraId="3AF4ABFD" w14:textId="77777777" w:rsidR="00B15F7D" w:rsidRPr="00990FB6" w:rsidRDefault="00B15F7D" w:rsidP="00B15F7D">
      <w:pPr>
        <w:ind w:left="851" w:right="851" w:firstLine="709"/>
        <w:jc w:val="both"/>
        <w:rPr>
          <w:sz w:val="22"/>
          <w:szCs w:val="22"/>
        </w:rPr>
      </w:pPr>
      <w:r w:rsidRPr="00990FB6">
        <w:rPr>
          <w:i/>
          <w:iCs/>
          <w:sz w:val="22"/>
          <w:szCs w:val="22"/>
        </w:rPr>
        <w:t>Este informe cuenta con las revisiones y ajustes correspondientes de las jefaturas indicadas</w:t>
      </w:r>
      <w:r w:rsidRPr="00990FB6">
        <w:rPr>
          <w:sz w:val="22"/>
          <w:szCs w:val="22"/>
        </w:rPr>
        <w:t>.</w:t>
      </w:r>
    </w:p>
    <w:p w14:paraId="5776E54C" w14:textId="77777777" w:rsidR="00B15F7D" w:rsidRPr="00990FB6" w:rsidRDefault="00B15F7D" w:rsidP="00B15F7D">
      <w:pPr>
        <w:ind w:left="851" w:right="851" w:firstLine="709"/>
        <w:jc w:val="both"/>
        <w:rPr>
          <w:sz w:val="22"/>
          <w:szCs w:val="22"/>
        </w:rPr>
      </w:pPr>
    </w:p>
    <w:p w14:paraId="07476D07" w14:textId="77777777" w:rsidR="00B15F7D" w:rsidRPr="00990FB6" w:rsidRDefault="00B15F7D" w:rsidP="00B15F7D">
      <w:pPr>
        <w:ind w:left="851" w:right="851"/>
        <w:jc w:val="center"/>
        <w:rPr>
          <w:bCs/>
          <w:sz w:val="22"/>
          <w:szCs w:val="22"/>
          <w:lang w:val="es-MX"/>
        </w:rPr>
      </w:pPr>
      <w:r w:rsidRPr="00990FB6">
        <w:rPr>
          <w:bCs/>
          <w:sz w:val="22"/>
          <w:szCs w:val="22"/>
          <w:lang w:val="es-MX"/>
        </w:rPr>
        <w:t>- 0 -</w:t>
      </w:r>
    </w:p>
    <w:p w14:paraId="5A2E65E8" w14:textId="77777777" w:rsidR="00B15F7D" w:rsidRPr="00990FB6" w:rsidRDefault="00B15F7D" w:rsidP="00B15F7D">
      <w:pPr>
        <w:ind w:left="851" w:right="851" w:firstLine="709"/>
        <w:jc w:val="both"/>
        <w:rPr>
          <w:b/>
          <w:bCs/>
          <w:sz w:val="22"/>
          <w:szCs w:val="22"/>
          <w:lang w:val="es-MX"/>
        </w:rPr>
      </w:pPr>
    </w:p>
    <w:p w14:paraId="4108503F" w14:textId="77777777" w:rsidR="00B15F7D" w:rsidRPr="00990FB6" w:rsidRDefault="00B15F7D" w:rsidP="00B15F7D">
      <w:pPr>
        <w:ind w:left="851" w:right="851" w:firstLine="709"/>
        <w:jc w:val="both"/>
        <w:rPr>
          <w:rFonts w:eastAsia="Arial"/>
          <w:sz w:val="22"/>
          <w:szCs w:val="22"/>
        </w:rPr>
      </w:pPr>
      <w:r w:rsidRPr="00990FB6">
        <w:rPr>
          <w:b/>
          <w:bCs/>
          <w:sz w:val="22"/>
          <w:szCs w:val="22"/>
          <w:lang w:val="es-MX"/>
        </w:rPr>
        <w:t>Se acordó</w:t>
      </w:r>
      <w:r w:rsidRPr="00990FB6">
        <w:rPr>
          <w:b/>
          <w:bCs/>
          <w:sz w:val="22"/>
          <w:szCs w:val="22"/>
        </w:rPr>
        <w:t xml:space="preserve">: 1) </w:t>
      </w:r>
      <w:r w:rsidRPr="00990FB6">
        <w:rPr>
          <w:sz w:val="22"/>
          <w:szCs w:val="22"/>
          <w:lang w:val="es-MX"/>
        </w:rPr>
        <w:t xml:space="preserve">Tomar nota del informe 272-PLA-RH-OI-2023 y sus recomendaciones, Informe de requerimiento de recurso humano para el Juzgado Contravencional de Acosta.  No obstante, si bien se comprende la necesidad, no es posible aprobar los recursos dadas las limitaciones presupuestarias actuales. </w:t>
      </w:r>
      <w:r w:rsidRPr="00990FB6">
        <w:rPr>
          <w:rFonts w:eastAsia="Arial"/>
          <w:b/>
          <w:bCs/>
          <w:sz w:val="22"/>
          <w:szCs w:val="22"/>
        </w:rPr>
        <w:t>2)</w:t>
      </w:r>
      <w:r w:rsidRPr="00990FB6">
        <w:rPr>
          <w:sz w:val="22"/>
          <w:szCs w:val="22"/>
        </w:rPr>
        <w:t xml:space="preserve"> </w:t>
      </w:r>
      <w:r w:rsidRPr="00990FB6">
        <w:rPr>
          <w:sz w:val="22"/>
          <w:szCs w:val="22"/>
        </w:rPr>
        <w:lastRenderedPageBreak/>
        <w:t xml:space="preserve">Hacer del conocimiento de la Corte Plena para que valore remitir al Ministerio de Hacienda </w:t>
      </w:r>
      <w:r w:rsidRPr="00990FB6">
        <w:rPr>
          <w:rFonts w:eastAsia="Arial"/>
          <w:sz w:val="22"/>
          <w:szCs w:val="22"/>
        </w:rPr>
        <w:t xml:space="preserve">la necesidad.  </w:t>
      </w:r>
      <w:r w:rsidRPr="00990FB6">
        <w:rPr>
          <w:rFonts w:eastAsia="Arial"/>
          <w:b/>
          <w:bCs/>
          <w:sz w:val="22"/>
          <w:szCs w:val="22"/>
        </w:rPr>
        <w:t>Se declara acuerdo firme.</w:t>
      </w:r>
      <w:bookmarkEnd w:id="23"/>
      <w:r w:rsidRPr="00990FB6">
        <w:rPr>
          <w:color w:val="000000"/>
          <w:sz w:val="22"/>
          <w:szCs w:val="22"/>
        </w:rPr>
        <w:t>”</w:t>
      </w:r>
    </w:p>
    <w:p w14:paraId="76FB47FE" w14:textId="77777777" w:rsidR="00B15F7D" w:rsidRPr="00990FB6" w:rsidRDefault="00B15F7D" w:rsidP="00B15F7D">
      <w:pPr>
        <w:tabs>
          <w:tab w:val="left" w:pos="4295"/>
        </w:tabs>
        <w:ind w:right="851"/>
        <w:jc w:val="both"/>
        <w:rPr>
          <w:color w:val="000000"/>
          <w:sz w:val="22"/>
          <w:szCs w:val="22"/>
        </w:rPr>
      </w:pPr>
    </w:p>
    <w:p w14:paraId="2105C393" w14:textId="77777777" w:rsidR="00B15F7D" w:rsidRPr="00990FB6" w:rsidRDefault="00B15F7D" w:rsidP="00B15F7D">
      <w:pPr>
        <w:jc w:val="center"/>
        <w:rPr>
          <w:color w:val="000000"/>
          <w:sz w:val="22"/>
          <w:szCs w:val="22"/>
          <w:shd w:val="clear" w:color="auto" w:fill="FFFFFF"/>
          <w:lang w:val="es-CR"/>
        </w:rPr>
      </w:pPr>
      <w:r w:rsidRPr="00990FB6">
        <w:rPr>
          <w:color w:val="000000"/>
          <w:sz w:val="22"/>
          <w:szCs w:val="22"/>
          <w:shd w:val="clear" w:color="auto" w:fill="FFFFFF"/>
          <w:lang w:val="es-CR"/>
        </w:rPr>
        <w:t>- 0 -</w:t>
      </w:r>
    </w:p>
    <w:p w14:paraId="752CB23F" w14:textId="77777777" w:rsidR="00B15F7D" w:rsidRPr="00990FB6" w:rsidRDefault="00B15F7D" w:rsidP="00B15F7D">
      <w:pPr>
        <w:rPr>
          <w:b/>
          <w:bCs/>
          <w:sz w:val="22"/>
          <w:szCs w:val="22"/>
          <w:u w:val="single"/>
          <w:lang w:val="es-CR"/>
        </w:rPr>
      </w:pPr>
    </w:p>
    <w:p w14:paraId="4EBEFE8A" w14:textId="5B08D355" w:rsidR="00B15F7D" w:rsidRDefault="00B15F7D" w:rsidP="00B15F7D">
      <w:pPr>
        <w:suppressAutoHyphens w:val="0"/>
        <w:ind w:firstLine="709"/>
        <w:jc w:val="both"/>
        <w:rPr>
          <w:color w:val="000000"/>
          <w:sz w:val="22"/>
          <w:szCs w:val="22"/>
          <w:lang w:val="es-MX"/>
        </w:rPr>
      </w:pPr>
      <w:r w:rsidRPr="00990FB6">
        <w:rPr>
          <w:color w:val="000000"/>
          <w:sz w:val="22"/>
          <w:szCs w:val="22"/>
        </w:rPr>
        <w:t xml:space="preserve">El Consejo Superior, en sesión extraordinaria de presupuesto </w:t>
      </w:r>
      <w:proofErr w:type="spellStart"/>
      <w:r w:rsidRPr="00990FB6">
        <w:rPr>
          <w:color w:val="000000"/>
          <w:sz w:val="22"/>
          <w:szCs w:val="22"/>
        </w:rPr>
        <w:t>N°</w:t>
      </w:r>
      <w:proofErr w:type="spellEnd"/>
      <w:r w:rsidRPr="00990FB6">
        <w:rPr>
          <w:color w:val="000000"/>
          <w:sz w:val="22"/>
          <w:szCs w:val="22"/>
        </w:rPr>
        <w:t xml:space="preserve"> 32-2023 celebrada el 19 de abril del 2023, </w:t>
      </w:r>
      <w:r w:rsidRPr="00990FB6">
        <w:rPr>
          <w:color w:val="000000"/>
          <w:sz w:val="22"/>
          <w:szCs w:val="22"/>
          <w:lang w:val="es-MX"/>
        </w:rPr>
        <w:t xml:space="preserve">artículo XLIII, tomó el acuerdo que literalmente dice: </w:t>
      </w:r>
    </w:p>
    <w:p w14:paraId="7CA05145" w14:textId="77777777" w:rsidR="0045290B" w:rsidRPr="00990FB6" w:rsidRDefault="0045290B" w:rsidP="00B15F7D">
      <w:pPr>
        <w:suppressAutoHyphens w:val="0"/>
        <w:ind w:firstLine="709"/>
        <w:jc w:val="both"/>
        <w:rPr>
          <w:bCs/>
          <w:sz w:val="22"/>
          <w:szCs w:val="22"/>
          <w:lang w:eastAsia="es-ES"/>
        </w:rPr>
      </w:pPr>
    </w:p>
    <w:p w14:paraId="1037E474" w14:textId="77777777" w:rsidR="00B15F7D" w:rsidRPr="00990FB6" w:rsidRDefault="00B15F7D" w:rsidP="00B15F7D">
      <w:pPr>
        <w:keepNext/>
        <w:keepLines/>
        <w:ind w:left="851" w:right="851" w:firstLine="709"/>
        <w:jc w:val="both"/>
        <w:rPr>
          <w:bCs/>
          <w:color w:val="000000"/>
          <w:sz w:val="22"/>
          <w:szCs w:val="22"/>
          <w:lang w:val="es-MX"/>
        </w:rPr>
      </w:pPr>
      <w:bookmarkStart w:id="25" w:name="_Toc135990683"/>
      <w:r w:rsidRPr="00990FB6">
        <w:rPr>
          <w:bCs/>
          <w:sz w:val="22"/>
          <w:szCs w:val="22"/>
          <w:lang w:val="es-CR"/>
        </w:rPr>
        <w:t>“</w:t>
      </w:r>
      <w:r w:rsidRPr="00990FB6">
        <w:rPr>
          <w:color w:val="000000"/>
          <w:sz w:val="22"/>
          <w:szCs w:val="22"/>
          <w:lang w:val="es-MX"/>
        </w:rPr>
        <w:t>La licenciada Nacira Valverde Bermúdez, Directora de Planificación, presentó el informe 275-PLA-RH-MI(PL)-2023 relacionado Informe de presupuesto Impacto de Ley 9582 Justicia Restaurativa, que dice:</w:t>
      </w:r>
      <w:bookmarkEnd w:id="25"/>
      <w:r w:rsidRPr="00990FB6">
        <w:rPr>
          <w:color w:val="000000"/>
          <w:sz w:val="22"/>
          <w:szCs w:val="22"/>
          <w:lang w:val="es-MX"/>
        </w:rPr>
        <w:t xml:space="preserve"> </w:t>
      </w:r>
    </w:p>
    <w:p w14:paraId="4B43F455" w14:textId="77777777" w:rsidR="00B15F7D" w:rsidRPr="00990FB6" w:rsidRDefault="00B15F7D" w:rsidP="00B15F7D">
      <w:pPr>
        <w:ind w:left="851" w:right="851" w:firstLine="709"/>
        <w:jc w:val="both"/>
        <w:rPr>
          <w:rFonts w:eastAsia="Arial"/>
          <w:color w:val="000000"/>
          <w:sz w:val="22"/>
          <w:szCs w:val="22"/>
        </w:rPr>
      </w:pPr>
    </w:p>
    <w:p w14:paraId="09013195" w14:textId="77777777" w:rsidR="00B15F7D" w:rsidRPr="00990FB6" w:rsidRDefault="00B15F7D" w:rsidP="00B15F7D">
      <w:pPr>
        <w:numPr>
          <w:ilvl w:val="0"/>
          <w:numId w:val="161"/>
        </w:numPr>
        <w:suppressAutoHyphens w:val="0"/>
        <w:ind w:left="851" w:right="851" w:firstLine="709"/>
        <w:jc w:val="both"/>
        <w:rPr>
          <w:color w:val="000000"/>
          <w:sz w:val="22"/>
          <w:szCs w:val="22"/>
        </w:rPr>
      </w:pPr>
      <w:r w:rsidRPr="00990FB6">
        <w:rPr>
          <w:b/>
          <w:bCs/>
          <w:color w:val="000000"/>
          <w:sz w:val="22"/>
          <w:szCs w:val="22"/>
        </w:rPr>
        <w:t>“Oficios y referencias</w:t>
      </w:r>
    </w:p>
    <w:p w14:paraId="0DD7C64C" w14:textId="77777777" w:rsidR="00B15F7D" w:rsidRPr="00990FB6" w:rsidRDefault="00B15F7D" w:rsidP="00B15F7D">
      <w:pPr>
        <w:suppressAutoHyphens w:val="0"/>
        <w:ind w:left="851" w:right="851" w:firstLine="709"/>
        <w:jc w:val="both"/>
        <w:rPr>
          <w:color w:val="000000"/>
          <w:sz w:val="22"/>
          <w:szCs w:val="22"/>
        </w:rPr>
      </w:pPr>
    </w:p>
    <w:p w14:paraId="29DF08AF"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En el siguiente cuadro se detallan los números de oficios de la Secretaría General de la Corte que corresponden a las referencias internas de la Dirección de Planificación: </w:t>
      </w:r>
    </w:p>
    <w:p w14:paraId="6C5CE874" w14:textId="77777777" w:rsidR="00B15F7D" w:rsidRPr="00990FB6" w:rsidRDefault="00B15F7D" w:rsidP="00B15F7D">
      <w:pPr>
        <w:jc w:val="both"/>
        <w:rPr>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8"/>
        <w:gridCol w:w="1772"/>
        <w:gridCol w:w="5828"/>
      </w:tblGrid>
      <w:tr w:rsidR="00B15F7D" w:rsidRPr="00990FB6" w14:paraId="74F6C7C5" w14:textId="77777777" w:rsidTr="000A0C22">
        <w:trPr>
          <w:trHeight w:val="637"/>
          <w:jc w:val="center"/>
        </w:trPr>
        <w:tc>
          <w:tcPr>
            <w:tcW w:w="0" w:type="auto"/>
            <w:shd w:val="clear" w:color="auto" w:fill="1F3864"/>
            <w:vAlign w:val="center"/>
          </w:tcPr>
          <w:p w14:paraId="434EA3E6" w14:textId="77777777" w:rsidR="00B15F7D" w:rsidRPr="00990FB6" w:rsidRDefault="00B15F7D" w:rsidP="00B15F7D">
            <w:pPr>
              <w:jc w:val="center"/>
              <w:rPr>
                <w:b/>
                <w:color w:val="000000"/>
                <w:sz w:val="22"/>
                <w:szCs w:val="22"/>
                <w:lang w:eastAsia="es-CR"/>
              </w:rPr>
            </w:pPr>
            <w:r w:rsidRPr="00990FB6">
              <w:rPr>
                <w:b/>
                <w:color w:val="000000"/>
                <w:sz w:val="22"/>
                <w:szCs w:val="22"/>
                <w:lang w:eastAsia="es-CR"/>
              </w:rPr>
              <w:t>Oficio</w:t>
            </w:r>
          </w:p>
        </w:tc>
        <w:tc>
          <w:tcPr>
            <w:tcW w:w="0" w:type="auto"/>
            <w:shd w:val="clear" w:color="auto" w:fill="1F3864"/>
            <w:vAlign w:val="center"/>
          </w:tcPr>
          <w:p w14:paraId="3AF28ED7" w14:textId="77777777" w:rsidR="00B15F7D" w:rsidRPr="00990FB6" w:rsidRDefault="00B15F7D" w:rsidP="00B15F7D">
            <w:pPr>
              <w:jc w:val="center"/>
              <w:rPr>
                <w:b/>
                <w:color w:val="000000"/>
                <w:sz w:val="22"/>
                <w:szCs w:val="22"/>
                <w:lang w:eastAsia="es-CR"/>
              </w:rPr>
            </w:pPr>
            <w:r w:rsidRPr="00990FB6">
              <w:rPr>
                <w:b/>
                <w:color w:val="000000"/>
                <w:sz w:val="22"/>
                <w:szCs w:val="22"/>
                <w:lang w:eastAsia="es-CR"/>
              </w:rPr>
              <w:t>No. Referencia Interna</w:t>
            </w:r>
          </w:p>
        </w:tc>
        <w:tc>
          <w:tcPr>
            <w:tcW w:w="0" w:type="auto"/>
            <w:shd w:val="clear" w:color="auto" w:fill="1F3864"/>
            <w:vAlign w:val="center"/>
          </w:tcPr>
          <w:p w14:paraId="065E913F" w14:textId="77777777" w:rsidR="00B15F7D" w:rsidRPr="00990FB6" w:rsidRDefault="00B15F7D" w:rsidP="00B15F7D">
            <w:pPr>
              <w:jc w:val="center"/>
              <w:rPr>
                <w:b/>
                <w:color w:val="000000"/>
                <w:sz w:val="22"/>
                <w:szCs w:val="22"/>
                <w:lang w:eastAsia="es-CR"/>
              </w:rPr>
            </w:pPr>
            <w:r w:rsidRPr="00990FB6">
              <w:rPr>
                <w:b/>
                <w:color w:val="000000"/>
                <w:sz w:val="22"/>
                <w:szCs w:val="22"/>
                <w:lang w:eastAsia="es-CR"/>
              </w:rPr>
              <w:t>Descripción</w:t>
            </w:r>
          </w:p>
        </w:tc>
      </w:tr>
      <w:tr w:rsidR="00B15F7D" w:rsidRPr="00990FB6" w14:paraId="0A52CB2D" w14:textId="77777777" w:rsidTr="000A0C22">
        <w:trPr>
          <w:trHeight w:val="420"/>
          <w:jc w:val="center"/>
        </w:trPr>
        <w:tc>
          <w:tcPr>
            <w:tcW w:w="0" w:type="auto"/>
            <w:vAlign w:val="center"/>
          </w:tcPr>
          <w:p w14:paraId="3A5ABF03" w14:textId="77777777" w:rsidR="00B15F7D" w:rsidRPr="00990FB6" w:rsidRDefault="00B15F7D" w:rsidP="00B15F7D">
            <w:pPr>
              <w:jc w:val="center"/>
              <w:rPr>
                <w:color w:val="000000"/>
                <w:sz w:val="22"/>
                <w:szCs w:val="22"/>
              </w:rPr>
            </w:pPr>
            <w:r w:rsidRPr="00990FB6">
              <w:rPr>
                <w:color w:val="000000"/>
                <w:sz w:val="22"/>
                <w:szCs w:val="22"/>
              </w:rPr>
              <w:t>---</w:t>
            </w:r>
          </w:p>
        </w:tc>
        <w:tc>
          <w:tcPr>
            <w:tcW w:w="0" w:type="auto"/>
            <w:shd w:val="clear" w:color="auto" w:fill="auto"/>
            <w:vAlign w:val="center"/>
          </w:tcPr>
          <w:p w14:paraId="465EA60A" w14:textId="77777777" w:rsidR="00B15F7D" w:rsidRPr="00990FB6" w:rsidRDefault="00B15F7D" w:rsidP="00B15F7D">
            <w:pPr>
              <w:jc w:val="center"/>
              <w:rPr>
                <w:color w:val="000000"/>
                <w:sz w:val="22"/>
                <w:szCs w:val="22"/>
              </w:rPr>
            </w:pPr>
            <w:r w:rsidRPr="00990FB6">
              <w:rPr>
                <w:color w:val="000000"/>
                <w:sz w:val="22"/>
                <w:szCs w:val="22"/>
              </w:rPr>
              <w:t>73-2022</w:t>
            </w:r>
          </w:p>
        </w:tc>
        <w:tc>
          <w:tcPr>
            <w:tcW w:w="0" w:type="auto"/>
            <w:vAlign w:val="center"/>
          </w:tcPr>
          <w:p w14:paraId="3814A034" w14:textId="77777777" w:rsidR="00B15F7D" w:rsidRPr="00990FB6" w:rsidRDefault="00B15F7D" w:rsidP="00B15F7D">
            <w:pPr>
              <w:rPr>
                <w:color w:val="000000"/>
                <w:sz w:val="22"/>
                <w:szCs w:val="22"/>
              </w:rPr>
            </w:pPr>
            <w:r w:rsidRPr="00990FB6">
              <w:rPr>
                <w:color w:val="000000"/>
                <w:sz w:val="22"/>
                <w:szCs w:val="22"/>
              </w:rPr>
              <w:t>(Informe de presupuesto Impacto de Ley 9582 Justicia Restaurativa / Presupuesto 2023</w:t>
            </w:r>
          </w:p>
        </w:tc>
      </w:tr>
      <w:tr w:rsidR="00B15F7D" w:rsidRPr="00990FB6" w14:paraId="11F6821A" w14:textId="77777777" w:rsidTr="000A0C22">
        <w:trPr>
          <w:trHeight w:val="420"/>
          <w:jc w:val="center"/>
        </w:trPr>
        <w:tc>
          <w:tcPr>
            <w:tcW w:w="0" w:type="auto"/>
            <w:vAlign w:val="center"/>
          </w:tcPr>
          <w:p w14:paraId="2549407C" w14:textId="77777777" w:rsidR="00B15F7D" w:rsidRPr="00990FB6" w:rsidRDefault="00B15F7D" w:rsidP="00B15F7D">
            <w:pPr>
              <w:jc w:val="center"/>
              <w:rPr>
                <w:color w:val="000000"/>
                <w:sz w:val="22"/>
                <w:szCs w:val="22"/>
              </w:rPr>
            </w:pPr>
            <w:r w:rsidRPr="00990FB6">
              <w:rPr>
                <w:color w:val="000000"/>
                <w:sz w:val="22"/>
                <w:szCs w:val="22"/>
              </w:rPr>
              <w:t>538-2022</w:t>
            </w:r>
          </w:p>
        </w:tc>
        <w:tc>
          <w:tcPr>
            <w:tcW w:w="0" w:type="auto"/>
            <w:shd w:val="clear" w:color="auto" w:fill="auto"/>
            <w:vAlign w:val="center"/>
          </w:tcPr>
          <w:p w14:paraId="063BA54D" w14:textId="77777777" w:rsidR="00B15F7D" w:rsidRPr="00990FB6" w:rsidRDefault="00B15F7D" w:rsidP="00B15F7D">
            <w:pPr>
              <w:jc w:val="center"/>
              <w:rPr>
                <w:color w:val="000000"/>
                <w:sz w:val="22"/>
                <w:szCs w:val="22"/>
              </w:rPr>
            </w:pPr>
            <w:r w:rsidRPr="00990FB6">
              <w:rPr>
                <w:color w:val="000000"/>
                <w:sz w:val="22"/>
                <w:szCs w:val="22"/>
              </w:rPr>
              <w:t>148-2022</w:t>
            </w:r>
          </w:p>
        </w:tc>
        <w:tc>
          <w:tcPr>
            <w:tcW w:w="0" w:type="auto"/>
            <w:vAlign w:val="center"/>
          </w:tcPr>
          <w:p w14:paraId="39411CB1" w14:textId="77777777" w:rsidR="00B15F7D" w:rsidRPr="00990FB6" w:rsidRDefault="00B15F7D" w:rsidP="00B15F7D">
            <w:pPr>
              <w:rPr>
                <w:color w:val="000000"/>
                <w:sz w:val="22"/>
                <w:szCs w:val="22"/>
              </w:rPr>
            </w:pPr>
            <w:r w:rsidRPr="00990FB6">
              <w:rPr>
                <w:color w:val="000000"/>
                <w:sz w:val="22"/>
                <w:szCs w:val="22"/>
              </w:rPr>
              <w:t>Riesgo de Denegación del servicio de Justicia Restaurativa a nivel nacional que se materializará el 20 de enero del 2022</w:t>
            </w:r>
          </w:p>
        </w:tc>
      </w:tr>
      <w:tr w:rsidR="00B15F7D" w:rsidRPr="00990FB6" w14:paraId="7B4E78CA" w14:textId="77777777" w:rsidTr="000A0C22">
        <w:trPr>
          <w:trHeight w:val="420"/>
          <w:jc w:val="center"/>
        </w:trPr>
        <w:tc>
          <w:tcPr>
            <w:tcW w:w="0" w:type="auto"/>
            <w:vAlign w:val="center"/>
          </w:tcPr>
          <w:p w14:paraId="38E9E415" w14:textId="77777777" w:rsidR="00B15F7D" w:rsidRPr="00990FB6" w:rsidRDefault="00B15F7D" w:rsidP="00B15F7D">
            <w:pPr>
              <w:jc w:val="center"/>
              <w:rPr>
                <w:color w:val="000000"/>
                <w:sz w:val="22"/>
                <w:szCs w:val="22"/>
              </w:rPr>
            </w:pPr>
            <w:r w:rsidRPr="00990FB6">
              <w:rPr>
                <w:color w:val="000000"/>
                <w:sz w:val="22"/>
                <w:szCs w:val="22"/>
              </w:rPr>
              <w:t>42-ORJR-2022</w:t>
            </w:r>
          </w:p>
        </w:tc>
        <w:tc>
          <w:tcPr>
            <w:tcW w:w="0" w:type="auto"/>
            <w:shd w:val="clear" w:color="auto" w:fill="auto"/>
            <w:vAlign w:val="center"/>
          </w:tcPr>
          <w:p w14:paraId="7FDFBBC9" w14:textId="77777777" w:rsidR="00B15F7D" w:rsidRPr="00990FB6" w:rsidRDefault="00B15F7D" w:rsidP="00B15F7D">
            <w:pPr>
              <w:jc w:val="center"/>
              <w:rPr>
                <w:color w:val="000000"/>
                <w:sz w:val="22"/>
                <w:szCs w:val="22"/>
              </w:rPr>
            </w:pPr>
            <w:r w:rsidRPr="00990FB6">
              <w:rPr>
                <w:color w:val="000000"/>
                <w:sz w:val="22"/>
                <w:szCs w:val="22"/>
              </w:rPr>
              <w:t>456-2022</w:t>
            </w:r>
          </w:p>
        </w:tc>
        <w:tc>
          <w:tcPr>
            <w:tcW w:w="0" w:type="auto"/>
            <w:vAlign w:val="center"/>
          </w:tcPr>
          <w:p w14:paraId="45341D22" w14:textId="77777777" w:rsidR="00B15F7D" w:rsidRPr="00990FB6" w:rsidRDefault="00B15F7D" w:rsidP="00B15F7D">
            <w:pPr>
              <w:rPr>
                <w:color w:val="000000"/>
                <w:sz w:val="22"/>
                <w:szCs w:val="22"/>
              </w:rPr>
            </w:pPr>
            <w:r w:rsidRPr="00990FB6">
              <w:rPr>
                <w:color w:val="000000"/>
                <w:sz w:val="22"/>
                <w:szCs w:val="22"/>
              </w:rPr>
              <w:t>Solicitud de recursos de presupuestos para el 2023 por parte de la Oficina Rectora de Justicia Restaurativa</w:t>
            </w:r>
          </w:p>
        </w:tc>
      </w:tr>
      <w:tr w:rsidR="00B15F7D" w:rsidRPr="00990FB6" w14:paraId="7E0980AC" w14:textId="77777777" w:rsidTr="000A0C22">
        <w:trPr>
          <w:trHeight w:val="420"/>
          <w:jc w:val="center"/>
        </w:trPr>
        <w:tc>
          <w:tcPr>
            <w:tcW w:w="0" w:type="auto"/>
            <w:vAlign w:val="center"/>
          </w:tcPr>
          <w:p w14:paraId="0C7CDC9D" w14:textId="77777777" w:rsidR="00B15F7D" w:rsidRPr="00990FB6" w:rsidRDefault="00B15F7D" w:rsidP="00B15F7D">
            <w:pPr>
              <w:jc w:val="center"/>
              <w:rPr>
                <w:color w:val="000000"/>
                <w:sz w:val="22"/>
                <w:szCs w:val="22"/>
              </w:rPr>
            </w:pPr>
            <w:r w:rsidRPr="00990FB6">
              <w:rPr>
                <w:color w:val="000000"/>
                <w:sz w:val="22"/>
                <w:szCs w:val="22"/>
              </w:rPr>
              <w:t>038-ORJR-2023</w:t>
            </w:r>
          </w:p>
        </w:tc>
        <w:tc>
          <w:tcPr>
            <w:tcW w:w="0" w:type="auto"/>
            <w:shd w:val="clear" w:color="auto" w:fill="auto"/>
            <w:vAlign w:val="center"/>
          </w:tcPr>
          <w:p w14:paraId="2D2836FF" w14:textId="77777777" w:rsidR="00B15F7D" w:rsidRPr="00990FB6" w:rsidRDefault="00B15F7D" w:rsidP="00B15F7D">
            <w:pPr>
              <w:jc w:val="center"/>
              <w:rPr>
                <w:color w:val="000000"/>
                <w:sz w:val="22"/>
                <w:szCs w:val="22"/>
              </w:rPr>
            </w:pPr>
            <w:r w:rsidRPr="00990FB6">
              <w:rPr>
                <w:color w:val="000000"/>
                <w:sz w:val="22"/>
                <w:szCs w:val="22"/>
              </w:rPr>
              <w:t>291-2023</w:t>
            </w:r>
          </w:p>
        </w:tc>
        <w:tc>
          <w:tcPr>
            <w:tcW w:w="0" w:type="auto"/>
            <w:vAlign w:val="center"/>
          </w:tcPr>
          <w:p w14:paraId="7AD2A4CF" w14:textId="77777777" w:rsidR="00B15F7D" w:rsidRPr="00990FB6" w:rsidRDefault="00B15F7D" w:rsidP="00B15F7D">
            <w:pPr>
              <w:rPr>
                <w:color w:val="000000"/>
                <w:sz w:val="22"/>
                <w:szCs w:val="22"/>
              </w:rPr>
            </w:pPr>
            <w:r w:rsidRPr="00990FB6">
              <w:rPr>
                <w:color w:val="000000"/>
                <w:sz w:val="22"/>
                <w:szCs w:val="22"/>
              </w:rPr>
              <w:t>Solicitud de recursos de presupuestos para el 2024 por parte de la Oficina Rectora de Justicia Restaurativa</w:t>
            </w:r>
          </w:p>
        </w:tc>
      </w:tr>
    </w:tbl>
    <w:p w14:paraId="4D9A40D7" w14:textId="77777777" w:rsidR="00B15F7D" w:rsidRPr="00990FB6" w:rsidRDefault="00B15F7D" w:rsidP="00B15F7D">
      <w:pPr>
        <w:rPr>
          <w:rFonts w:eastAsia="Arial"/>
          <w:color w:val="000000"/>
          <w:sz w:val="22"/>
          <w:szCs w:val="22"/>
        </w:rPr>
      </w:pPr>
    </w:p>
    <w:p w14:paraId="31B669C6" w14:textId="77777777" w:rsidR="00B15F7D" w:rsidRPr="00990FB6" w:rsidRDefault="00B15F7D" w:rsidP="00B15F7D">
      <w:pPr>
        <w:numPr>
          <w:ilvl w:val="0"/>
          <w:numId w:val="161"/>
        </w:numPr>
        <w:suppressAutoHyphens w:val="0"/>
        <w:ind w:left="851" w:right="851" w:firstLine="709"/>
        <w:jc w:val="both"/>
        <w:rPr>
          <w:color w:val="000000"/>
          <w:sz w:val="22"/>
          <w:szCs w:val="22"/>
        </w:rPr>
      </w:pPr>
      <w:r w:rsidRPr="00990FB6">
        <w:rPr>
          <w:color w:val="000000"/>
          <w:sz w:val="22"/>
          <w:szCs w:val="22"/>
        </w:rPr>
        <w:t>Proyecto u oficinas analizadas</w:t>
      </w:r>
    </w:p>
    <w:p w14:paraId="3E049976" w14:textId="77777777" w:rsidR="00B15F7D" w:rsidRPr="00990FB6" w:rsidRDefault="00B15F7D" w:rsidP="00B15F7D">
      <w:pPr>
        <w:ind w:left="851" w:right="851" w:firstLine="709"/>
        <w:jc w:val="both"/>
        <w:rPr>
          <w:color w:val="000000"/>
          <w:sz w:val="22"/>
          <w:szCs w:val="22"/>
        </w:rPr>
      </w:pPr>
      <w:r w:rsidRPr="00990FB6">
        <w:rPr>
          <w:color w:val="000000"/>
          <w:sz w:val="22"/>
          <w:szCs w:val="22"/>
        </w:rPr>
        <w:t>Impacto organizacional y presupuestario en el Poder Judicial a partir de la promulgación de la Ley 9582 Justicia Restaurativa.</w:t>
      </w:r>
    </w:p>
    <w:p w14:paraId="5180171D" w14:textId="77777777" w:rsidR="00B15F7D" w:rsidRPr="00990FB6" w:rsidRDefault="00B15F7D" w:rsidP="00B15F7D">
      <w:pPr>
        <w:ind w:left="851" w:right="851" w:firstLine="709"/>
        <w:jc w:val="both"/>
        <w:rPr>
          <w:color w:val="000000"/>
          <w:sz w:val="22"/>
          <w:szCs w:val="22"/>
        </w:rPr>
      </w:pPr>
    </w:p>
    <w:p w14:paraId="3A0385CF" w14:textId="77777777" w:rsidR="00B15F7D" w:rsidRPr="00990FB6" w:rsidRDefault="00B15F7D" w:rsidP="00B15F7D">
      <w:pPr>
        <w:numPr>
          <w:ilvl w:val="0"/>
          <w:numId w:val="161"/>
        </w:numPr>
        <w:suppressAutoHyphens w:val="0"/>
        <w:ind w:left="851" w:right="851" w:firstLine="709"/>
        <w:jc w:val="both"/>
        <w:rPr>
          <w:color w:val="000000"/>
          <w:sz w:val="22"/>
          <w:szCs w:val="22"/>
        </w:rPr>
      </w:pPr>
      <w:r w:rsidRPr="00990FB6">
        <w:rPr>
          <w:color w:val="000000"/>
          <w:sz w:val="22"/>
          <w:szCs w:val="22"/>
        </w:rPr>
        <w:t>Antecedentes</w:t>
      </w:r>
    </w:p>
    <w:p w14:paraId="34311A9C" w14:textId="77777777" w:rsidR="00B15F7D" w:rsidRPr="00990FB6" w:rsidRDefault="00B15F7D" w:rsidP="00B15F7D">
      <w:pPr>
        <w:suppressAutoHyphens w:val="0"/>
        <w:ind w:left="851" w:right="851" w:firstLine="709"/>
        <w:jc w:val="both"/>
        <w:rPr>
          <w:color w:val="000000"/>
          <w:sz w:val="22"/>
          <w:szCs w:val="22"/>
        </w:rPr>
      </w:pPr>
    </w:p>
    <w:p w14:paraId="5AD6A64A" w14:textId="50E8B727" w:rsidR="00B15F7D" w:rsidRPr="00990FB6" w:rsidRDefault="00B15F7D" w:rsidP="00B15F7D">
      <w:pPr>
        <w:numPr>
          <w:ilvl w:val="1"/>
          <w:numId w:val="160"/>
        </w:numPr>
        <w:suppressAutoHyphens w:val="0"/>
        <w:ind w:left="851" w:right="851" w:firstLine="709"/>
        <w:jc w:val="both"/>
        <w:rPr>
          <w:rFonts w:eastAsia="Book Antiqua"/>
          <w:color w:val="000000"/>
          <w:sz w:val="22"/>
          <w:szCs w:val="22"/>
        </w:rPr>
      </w:pPr>
      <w:r w:rsidRPr="00990FB6">
        <w:rPr>
          <w:rFonts w:eastAsia="Book Antiqua"/>
          <w:color w:val="000000"/>
          <w:sz w:val="22"/>
          <w:szCs w:val="22"/>
        </w:rPr>
        <w:t xml:space="preserve">El 20 de enero de 2019 entró en vigencia la Ley de Justicia Restaurativa 9582, que conforme al artículo 1 establece su objetivo bajo el siguiente enunciado: </w:t>
      </w:r>
    </w:p>
    <w:p w14:paraId="0AC72824" w14:textId="77777777" w:rsidR="00F723CD" w:rsidRPr="00990FB6" w:rsidRDefault="00F723CD" w:rsidP="00F723CD">
      <w:pPr>
        <w:suppressAutoHyphens w:val="0"/>
        <w:ind w:left="1560" w:right="851"/>
        <w:jc w:val="both"/>
        <w:rPr>
          <w:rFonts w:eastAsia="Book Antiqua"/>
          <w:color w:val="000000"/>
          <w:sz w:val="22"/>
          <w:szCs w:val="22"/>
        </w:rPr>
      </w:pPr>
    </w:p>
    <w:p w14:paraId="77B659FE" w14:textId="77777777" w:rsidR="00B15F7D" w:rsidRPr="00990FB6" w:rsidRDefault="00B15F7D" w:rsidP="00B15F7D">
      <w:pPr>
        <w:ind w:left="851" w:right="851" w:firstLine="709"/>
        <w:jc w:val="both"/>
        <w:rPr>
          <w:rFonts w:eastAsia="Book Antiqua"/>
          <w:color w:val="000000"/>
          <w:sz w:val="22"/>
          <w:szCs w:val="22"/>
        </w:rPr>
      </w:pPr>
      <w:r w:rsidRPr="00990FB6">
        <w:rPr>
          <w:rFonts w:eastAsia="Book Antiqua"/>
          <w:i/>
          <w:iCs/>
          <w:color w:val="000000"/>
          <w:sz w:val="22"/>
          <w:szCs w:val="22"/>
        </w:rPr>
        <w:t>“… definir un marco conceptual y procedimental para instaurar la justicia restaurativa en el ordenamiento jurídico costarricense, como un instrumento que contribuya a resolver los conflictos jurídicos generados por los hechos delictivos, con la participación de las partes intervinientes, a fin de restaurar los daños a la víctima, procurar la inserción social de la persona ofensora, con soluciones integrales y promover la paz social.”.</w:t>
      </w:r>
    </w:p>
    <w:p w14:paraId="29A761CE" w14:textId="77777777" w:rsidR="00B15F7D" w:rsidRPr="00990FB6" w:rsidRDefault="00B15F7D" w:rsidP="00B15F7D">
      <w:pPr>
        <w:suppressAutoHyphens w:val="0"/>
        <w:ind w:left="851" w:right="851" w:firstLine="709"/>
        <w:jc w:val="both"/>
        <w:rPr>
          <w:rFonts w:eastAsia="Book Antiqua"/>
          <w:color w:val="000000"/>
          <w:sz w:val="22"/>
          <w:szCs w:val="22"/>
        </w:rPr>
      </w:pPr>
    </w:p>
    <w:p w14:paraId="155FF17B" w14:textId="77777777" w:rsidR="00B15F7D" w:rsidRPr="00990FB6" w:rsidRDefault="00B15F7D" w:rsidP="00B15F7D">
      <w:pPr>
        <w:numPr>
          <w:ilvl w:val="1"/>
          <w:numId w:val="160"/>
        </w:numPr>
        <w:suppressAutoHyphens w:val="0"/>
        <w:ind w:left="851" w:right="851" w:firstLine="709"/>
        <w:jc w:val="both"/>
        <w:rPr>
          <w:rFonts w:eastAsia="Book Antiqua"/>
          <w:color w:val="000000"/>
          <w:sz w:val="22"/>
          <w:szCs w:val="22"/>
        </w:rPr>
      </w:pPr>
      <w:r w:rsidRPr="00990FB6">
        <w:rPr>
          <w:rFonts w:eastAsia="Book Antiqua"/>
          <w:color w:val="000000"/>
          <w:sz w:val="22"/>
          <w:szCs w:val="22"/>
        </w:rPr>
        <w:t xml:space="preserve">Su ámbito de aplicación se extiende a la materia Penal, Penal Juvenil y Contravencional, en todas sus etapas, en atención al artículo 2, por </w:t>
      </w:r>
      <w:r w:rsidRPr="00990FB6">
        <w:rPr>
          <w:rFonts w:eastAsia="Book Antiqua"/>
          <w:color w:val="000000"/>
          <w:sz w:val="22"/>
          <w:szCs w:val="22"/>
        </w:rPr>
        <w:lastRenderedPageBreak/>
        <w:t xml:space="preserve">medio de un equipo interdisciplinario integrado por personal funcionario del Ministerio Público, Defensa Pública y el Equipo Psicosocial, este último conformado al menos por una plaza en trabajo social y otra en psicología. Las personas juzgadoras se integrarán en cada Circuito Judicial según su competencia (incisos i) y j) del artículo 3 de la Ley de Justicia Restaurativa. </w:t>
      </w:r>
    </w:p>
    <w:p w14:paraId="1CBFC6C4" w14:textId="77777777" w:rsidR="00B15F7D" w:rsidRPr="00990FB6" w:rsidRDefault="00B15F7D" w:rsidP="00B15F7D">
      <w:pPr>
        <w:ind w:left="851" w:right="851" w:firstLine="709"/>
        <w:jc w:val="both"/>
        <w:rPr>
          <w:rFonts w:eastAsia="Book Antiqua"/>
          <w:color w:val="000000"/>
          <w:sz w:val="22"/>
          <w:szCs w:val="22"/>
        </w:rPr>
      </w:pPr>
    </w:p>
    <w:p w14:paraId="043900D5" w14:textId="77777777" w:rsidR="00B15F7D" w:rsidRPr="00990FB6" w:rsidRDefault="00B15F7D" w:rsidP="00B15F7D">
      <w:pPr>
        <w:numPr>
          <w:ilvl w:val="1"/>
          <w:numId w:val="160"/>
        </w:numPr>
        <w:suppressAutoHyphens w:val="0"/>
        <w:ind w:left="851" w:right="851" w:firstLine="709"/>
        <w:jc w:val="both"/>
        <w:rPr>
          <w:rFonts w:eastAsia="Book Antiqua"/>
          <w:color w:val="000000"/>
          <w:sz w:val="22"/>
          <w:szCs w:val="22"/>
        </w:rPr>
      </w:pPr>
      <w:r w:rsidRPr="00990FB6">
        <w:rPr>
          <w:rFonts w:eastAsia="Book Antiqua"/>
          <w:color w:val="000000"/>
          <w:sz w:val="22"/>
          <w:szCs w:val="22"/>
        </w:rPr>
        <w:t>El artículo 14 de la Ley de referencia establece en Materia Penal de adultos, que el procedimiento de Justicia Restaurativa procederá a solicitud del Ministerio Público, Defensa Técnica, autoridades jurisdiccionales, víctima y persona ofensora entre otros, en cualquier etapa del proceso, conforme a los criterios establecidos. Asimismo, el artículo 29 establece la procedencia del procedimiento juvenil restaurativo.</w:t>
      </w:r>
    </w:p>
    <w:p w14:paraId="19E1A4A0" w14:textId="77777777" w:rsidR="00B15F7D" w:rsidRPr="00990FB6" w:rsidRDefault="00B15F7D" w:rsidP="00B15F7D">
      <w:pPr>
        <w:ind w:left="851" w:right="851" w:firstLine="709"/>
        <w:jc w:val="both"/>
        <w:rPr>
          <w:rFonts w:eastAsia="Book Antiqua"/>
          <w:color w:val="000000"/>
          <w:sz w:val="22"/>
          <w:szCs w:val="22"/>
        </w:rPr>
      </w:pPr>
    </w:p>
    <w:p w14:paraId="00755F47" w14:textId="77777777" w:rsidR="00B15F7D" w:rsidRPr="00990FB6" w:rsidRDefault="00B15F7D" w:rsidP="00B15F7D">
      <w:pPr>
        <w:numPr>
          <w:ilvl w:val="1"/>
          <w:numId w:val="160"/>
        </w:numPr>
        <w:suppressAutoHyphens w:val="0"/>
        <w:ind w:left="851" w:right="851" w:firstLine="709"/>
        <w:jc w:val="both"/>
        <w:rPr>
          <w:rFonts w:eastAsia="Book Antiqua"/>
          <w:color w:val="000000"/>
          <w:sz w:val="22"/>
          <w:szCs w:val="22"/>
        </w:rPr>
      </w:pPr>
      <w:r w:rsidRPr="00990FB6">
        <w:rPr>
          <w:rFonts w:eastAsia="Book Antiqua"/>
          <w:color w:val="000000"/>
          <w:sz w:val="22"/>
          <w:szCs w:val="22"/>
        </w:rPr>
        <w:t>A continuación, se describen informes relevantes que sustentan el presente informe.</w:t>
      </w:r>
    </w:p>
    <w:p w14:paraId="31D4CF68" w14:textId="77777777" w:rsidR="00B15F7D" w:rsidRPr="00990FB6" w:rsidRDefault="00B15F7D" w:rsidP="00B15F7D">
      <w:pPr>
        <w:suppressAutoHyphens w:val="0"/>
        <w:jc w:val="both"/>
        <w:rPr>
          <w:rFonts w:eastAsia="Book Antiqua"/>
          <w:color w:val="000000"/>
          <w:sz w:val="22"/>
          <w:szCs w:val="22"/>
        </w:rPr>
      </w:pPr>
    </w:p>
    <w:tbl>
      <w:tblPr>
        <w:tblStyle w:val="Tablaconcuadrcula"/>
        <w:tblW w:w="0" w:type="auto"/>
        <w:jc w:val="center"/>
        <w:tblLook w:val="04A0" w:firstRow="1" w:lastRow="0" w:firstColumn="1" w:lastColumn="0" w:noHBand="0" w:noVBand="1"/>
      </w:tblPr>
      <w:tblGrid>
        <w:gridCol w:w="4386"/>
        <w:gridCol w:w="4442"/>
      </w:tblGrid>
      <w:tr w:rsidR="00B15F7D" w:rsidRPr="00990FB6" w14:paraId="603A35A8" w14:textId="77777777" w:rsidTr="000A0C22">
        <w:trPr>
          <w:trHeight w:val="274"/>
          <w:jc w:val="center"/>
        </w:trPr>
        <w:tc>
          <w:tcPr>
            <w:tcW w:w="0" w:type="auto"/>
          </w:tcPr>
          <w:p w14:paraId="4C258D7E" w14:textId="77777777" w:rsidR="00B15F7D" w:rsidRPr="00990FB6" w:rsidRDefault="00B15F7D" w:rsidP="00B15F7D">
            <w:pPr>
              <w:jc w:val="center"/>
              <w:rPr>
                <w:b/>
                <w:color w:val="000000"/>
                <w:sz w:val="22"/>
                <w:szCs w:val="22"/>
              </w:rPr>
            </w:pPr>
            <w:r w:rsidRPr="00990FB6">
              <w:rPr>
                <w:b/>
                <w:color w:val="000000"/>
                <w:sz w:val="22"/>
                <w:szCs w:val="22"/>
              </w:rPr>
              <w:t>Antecedente</w:t>
            </w:r>
          </w:p>
        </w:tc>
        <w:tc>
          <w:tcPr>
            <w:tcW w:w="0" w:type="auto"/>
          </w:tcPr>
          <w:p w14:paraId="57B1EF67" w14:textId="77777777" w:rsidR="00B15F7D" w:rsidRPr="00990FB6" w:rsidRDefault="00B15F7D" w:rsidP="00B15F7D">
            <w:pPr>
              <w:jc w:val="center"/>
              <w:rPr>
                <w:b/>
                <w:color w:val="000000"/>
                <w:sz w:val="22"/>
                <w:szCs w:val="22"/>
              </w:rPr>
            </w:pPr>
            <w:r w:rsidRPr="00990FB6">
              <w:rPr>
                <w:b/>
                <w:color w:val="000000"/>
                <w:sz w:val="22"/>
                <w:szCs w:val="22"/>
              </w:rPr>
              <w:t>Se dispone:</w:t>
            </w:r>
          </w:p>
        </w:tc>
      </w:tr>
      <w:tr w:rsidR="00B15F7D" w:rsidRPr="00990FB6" w14:paraId="5DD78DA0" w14:textId="77777777" w:rsidTr="000A0C22">
        <w:trPr>
          <w:trHeight w:val="2887"/>
          <w:jc w:val="center"/>
        </w:trPr>
        <w:tc>
          <w:tcPr>
            <w:tcW w:w="0" w:type="auto"/>
          </w:tcPr>
          <w:p w14:paraId="342955CF"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Sesión del Consejo Superior 45-19 celebrada el 17 de mayo de 2019, artículo XLVI, se le solicitó a la Dirección de Planificación remitir el informe solicitado en sesión celebrada el 9 de octubre de 2018, artículo LXI, en donde se dispuso:</w:t>
            </w:r>
          </w:p>
        </w:tc>
        <w:tc>
          <w:tcPr>
            <w:tcW w:w="0" w:type="auto"/>
          </w:tcPr>
          <w:p w14:paraId="30CDAFA1"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 xml:space="preserve">“Trasladar a estudio de la Dirección de Planificación lo dispuesto por el Consejo Directivo de la Escuela Judicial, mediante sesión virtual </w:t>
            </w:r>
            <w:proofErr w:type="spellStart"/>
            <w:r w:rsidRPr="00990FB6">
              <w:rPr>
                <w:rFonts w:eastAsia="Book Antiqua"/>
                <w:i/>
                <w:iCs/>
                <w:color w:val="000000"/>
                <w:sz w:val="22"/>
                <w:szCs w:val="22"/>
              </w:rPr>
              <w:t>Nº</w:t>
            </w:r>
            <w:proofErr w:type="spellEnd"/>
            <w:r w:rsidRPr="00990FB6">
              <w:rPr>
                <w:rFonts w:eastAsia="Book Antiqua"/>
                <w:i/>
                <w:iCs/>
                <w:color w:val="000000"/>
                <w:sz w:val="22"/>
                <w:szCs w:val="22"/>
              </w:rPr>
              <w:t>. 022-2017, del 05 de diciembre del 2017, artículo II, a fin de que presente a este Consejo un análisis integral acerca de la viabilidad de la implementación de la Justicia Restaurativa en materia contravencional, así como del impacto presupuestario que esto conllevaría.”</w:t>
            </w:r>
          </w:p>
        </w:tc>
      </w:tr>
      <w:tr w:rsidR="00B15F7D" w:rsidRPr="00990FB6" w14:paraId="0B39DF0E" w14:textId="77777777" w:rsidTr="000A0C22">
        <w:trPr>
          <w:trHeight w:val="2887"/>
          <w:jc w:val="center"/>
        </w:trPr>
        <w:tc>
          <w:tcPr>
            <w:tcW w:w="0" w:type="auto"/>
          </w:tcPr>
          <w:p w14:paraId="316120AC"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Respecto al tema en concreto, de la aplicación de Justicia Restaurativa en materia de Contravenciones, en sesión del Consejo Superior 45-19 celebrada el 17 de mayo de 2019, artículo XLVI, se le solicitó a la Dirección de Planificación remitir el informe solicitado en sesión celebrada el 9 de octubre de 2018, artículo LXI, que dispuso:</w:t>
            </w:r>
          </w:p>
        </w:tc>
        <w:tc>
          <w:tcPr>
            <w:tcW w:w="0" w:type="auto"/>
          </w:tcPr>
          <w:p w14:paraId="762F2F63"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 xml:space="preserve">“Trasladar a estudio de la Dirección de Planificación lo dispuesto por el Consejo Directivo de la Escuela Judicial, mediante sesión virtual </w:t>
            </w:r>
            <w:proofErr w:type="spellStart"/>
            <w:r w:rsidRPr="00990FB6">
              <w:rPr>
                <w:rFonts w:eastAsia="Book Antiqua"/>
                <w:i/>
                <w:iCs/>
                <w:color w:val="000000"/>
                <w:sz w:val="22"/>
                <w:szCs w:val="22"/>
              </w:rPr>
              <w:t>Nº</w:t>
            </w:r>
            <w:proofErr w:type="spellEnd"/>
            <w:r w:rsidRPr="00990FB6">
              <w:rPr>
                <w:rFonts w:eastAsia="Book Antiqua"/>
                <w:i/>
                <w:iCs/>
                <w:color w:val="000000"/>
                <w:sz w:val="22"/>
                <w:szCs w:val="22"/>
              </w:rPr>
              <w:t>. 022-2017, del 05 de diciembre del 2017, artículo II, a fin de que presente a este Consejo un análisis integral acerca de la viabilidad de la implementación de la Justicia Restaurativa en materia contravencional, así como del impacto presupuestario que esto conllevaría.”</w:t>
            </w:r>
          </w:p>
        </w:tc>
      </w:tr>
      <w:tr w:rsidR="00B15F7D" w:rsidRPr="00990FB6" w14:paraId="41AB1611" w14:textId="77777777" w:rsidTr="000A0C22">
        <w:trPr>
          <w:trHeight w:val="841"/>
          <w:jc w:val="center"/>
        </w:trPr>
        <w:tc>
          <w:tcPr>
            <w:tcW w:w="0" w:type="auto"/>
          </w:tcPr>
          <w:p w14:paraId="462ED9C0" w14:textId="77777777" w:rsidR="00B15F7D" w:rsidRPr="00990FB6" w:rsidRDefault="00B15F7D" w:rsidP="00B15F7D">
            <w:pPr>
              <w:jc w:val="both"/>
              <w:rPr>
                <w:color w:val="000000"/>
                <w:sz w:val="22"/>
                <w:szCs w:val="22"/>
              </w:rPr>
            </w:pPr>
            <w:r w:rsidRPr="00990FB6">
              <w:rPr>
                <w:rFonts w:eastAsia="Book Antiqua"/>
                <w:color w:val="000000"/>
                <w:sz w:val="22"/>
                <w:szCs w:val="22"/>
              </w:rPr>
              <w:t>Posteriormente, en oficio 628-PLA-2019 de la Dirección de Planificación, del 7 de mayo de 2019.</w:t>
            </w:r>
          </w:p>
        </w:tc>
        <w:tc>
          <w:tcPr>
            <w:tcW w:w="0" w:type="auto"/>
          </w:tcPr>
          <w:p w14:paraId="0E648766"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Se le informó al Consejo Superior que el análisis solicitado en relación con la viabilidad de la implementación de la Justicia Restaurativa en materia Contravencional se atendió mediante oficio preliminar de presupuesto 596-PLA-RH-MI-2019, enviado en consulta el 2 de mayo del 2019 y que, una vez recibidas las observaciones, se enviaría al Consejo Superior para ser conocido en sesiones de presupuesto.</w:t>
            </w:r>
          </w:p>
        </w:tc>
      </w:tr>
      <w:tr w:rsidR="00B15F7D" w:rsidRPr="00990FB6" w14:paraId="51536898" w14:textId="77777777" w:rsidTr="000A0C22">
        <w:trPr>
          <w:trHeight w:val="841"/>
          <w:jc w:val="center"/>
        </w:trPr>
        <w:tc>
          <w:tcPr>
            <w:tcW w:w="0" w:type="auto"/>
          </w:tcPr>
          <w:p w14:paraId="5B7A64FD"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lastRenderedPageBreak/>
              <w:t>En sesión extraordinaria del Consejo Superior 47-19, del 23 de mayo de 2019, artículo I, se conoció el informe definitivo de presupuesto 726-PLA-RH-MI-2019 de la Dirección de Planificación, mismo que fue conocido y aprobado, en sesión de Corte Plena 22-19 (Presupuesto 2020) del 6 de junio de 2019, artículo III; en el cual se acordó, entre otros aspectos:</w:t>
            </w:r>
          </w:p>
        </w:tc>
        <w:tc>
          <w:tcPr>
            <w:tcW w:w="0" w:type="auto"/>
          </w:tcPr>
          <w:p w14:paraId="01811D73"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“1) Aprobar el informe de la Dirección de Planificación y sus recomendaciones, de ese informe acoger el escenario 1, a este se le deberá adicionar un equipo de trabajo para implementar el inicio de la ley en Justicia Restaurativa en Ejecución de la Pena y un equipo de trabajo para iniciar la implementación de la materia de contravenciones ambos equipos con competencia a nivel nacional, se deberá monitorear el comportamiento de la aplicación de la ley...”</w:t>
            </w:r>
          </w:p>
        </w:tc>
      </w:tr>
      <w:tr w:rsidR="00B15F7D" w:rsidRPr="00990FB6" w14:paraId="2EA36DC5" w14:textId="77777777" w:rsidTr="000A0C22">
        <w:trPr>
          <w:trHeight w:val="50"/>
          <w:jc w:val="center"/>
        </w:trPr>
        <w:tc>
          <w:tcPr>
            <w:tcW w:w="0" w:type="auto"/>
          </w:tcPr>
          <w:p w14:paraId="07E06252" w14:textId="77777777" w:rsidR="00B15F7D" w:rsidRPr="00990FB6" w:rsidRDefault="00B15F7D" w:rsidP="00B15F7D">
            <w:pPr>
              <w:jc w:val="both"/>
              <w:rPr>
                <w:color w:val="000000"/>
                <w:sz w:val="22"/>
                <w:szCs w:val="22"/>
              </w:rPr>
            </w:pPr>
            <w:r w:rsidRPr="00990FB6">
              <w:rPr>
                <w:rFonts w:eastAsia="Book Antiqua"/>
                <w:color w:val="000000"/>
                <w:sz w:val="22"/>
                <w:szCs w:val="22"/>
              </w:rPr>
              <w:t>Por otra parte, en sesión 98-19 del Consejo Superior, celebrada el 7 de noviembre de 2019, artículo XCVII se conoció el Protocolo del Programa de Justicia Restaurativa para el Bienestar Integral del Personal Judicial para Conductas Relacionadas con el Deterioro de las Finanzas Personales y de Faltas de Respeto, el cual inició en el año 2020.</w:t>
            </w:r>
          </w:p>
        </w:tc>
        <w:tc>
          <w:tcPr>
            <w:tcW w:w="0" w:type="auto"/>
          </w:tcPr>
          <w:p w14:paraId="46288D39"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Este programa atenderá durante los primeros tres años los siguientes casos a nivel del Gran Área Metropolitana:</w:t>
            </w:r>
          </w:p>
          <w:p w14:paraId="1CBEAEB5"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w:t>
            </w:r>
            <w:r w:rsidRPr="00990FB6">
              <w:rPr>
                <w:rFonts w:eastAsia="Book Antiqua"/>
                <w:color w:val="000000"/>
                <w:sz w:val="22"/>
                <w:szCs w:val="22"/>
              </w:rPr>
              <w:tab/>
              <w:t>Procesos por conductas relacionadas con el deterioro de las finanzas personales.</w:t>
            </w:r>
          </w:p>
          <w:p w14:paraId="5A4117EA" w14:textId="77777777" w:rsidR="00B15F7D" w:rsidRPr="00990FB6" w:rsidRDefault="00B15F7D" w:rsidP="00B15F7D">
            <w:pPr>
              <w:jc w:val="both"/>
              <w:rPr>
                <w:rFonts w:eastAsia="Book Antiqua"/>
                <w:i/>
                <w:iCs/>
                <w:color w:val="000000"/>
                <w:sz w:val="22"/>
                <w:szCs w:val="22"/>
              </w:rPr>
            </w:pPr>
            <w:r w:rsidRPr="00990FB6">
              <w:rPr>
                <w:rFonts w:eastAsia="Book Antiqua"/>
                <w:color w:val="000000"/>
                <w:sz w:val="22"/>
                <w:szCs w:val="22"/>
              </w:rPr>
              <w:t>•</w:t>
            </w:r>
            <w:r w:rsidRPr="00990FB6">
              <w:rPr>
                <w:rFonts w:eastAsia="Book Antiqua"/>
                <w:color w:val="000000"/>
                <w:sz w:val="22"/>
                <w:szCs w:val="22"/>
              </w:rPr>
              <w:tab/>
              <w:t xml:space="preserve">Procesos por diferencias interpersonales entre funcionarios y/o funcionarias del Organismo de Investigación Judicial, que encuadren en las faltas reguladas por los artículos 192 inciso 1) y 193 inciso 1) de la Ley Orgánica del Poder Judicial. </w:t>
            </w:r>
          </w:p>
          <w:p w14:paraId="0E3F54C3"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 xml:space="preserve">Sobre este particular, se debe aclarar que este programa no se contempla dentro de las disposiciones mencionadas en la Ley de Justicia Restaurativa. </w:t>
            </w:r>
          </w:p>
        </w:tc>
      </w:tr>
      <w:tr w:rsidR="00B15F7D" w:rsidRPr="00990FB6" w14:paraId="5DBE0E49" w14:textId="77777777" w:rsidTr="000A0C22">
        <w:trPr>
          <w:jc w:val="center"/>
        </w:trPr>
        <w:tc>
          <w:tcPr>
            <w:tcW w:w="0" w:type="auto"/>
          </w:tcPr>
          <w:p w14:paraId="4EB6E97E" w14:textId="77777777" w:rsidR="00B15F7D" w:rsidRPr="00990FB6" w:rsidRDefault="00B15F7D" w:rsidP="00B15F7D">
            <w:pPr>
              <w:jc w:val="both"/>
              <w:rPr>
                <w:color w:val="000000"/>
                <w:sz w:val="22"/>
                <w:szCs w:val="22"/>
              </w:rPr>
            </w:pPr>
            <w:r w:rsidRPr="00990FB6">
              <w:rPr>
                <w:rFonts w:eastAsia="Book Antiqua"/>
                <w:color w:val="000000"/>
                <w:sz w:val="22"/>
                <w:szCs w:val="22"/>
              </w:rPr>
              <w:t>En sesión del Consejo Superior 45-20 del 08 de mayo de 2020, artículo XX, acogió la propuesta de abordaje a nivel nacional descrita en el informe 586-PLA-RH-MI-2020, que contempla el cambio de la clase de puesto y por ende, del perfil profesional de las plazas extraordinarias existentes para la atención de Justicia Penal Juvenil Restaurativa.</w:t>
            </w:r>
          </w:p>
        </w:tc>
        <w:tc>
          <w:tcPr>
            <w:tcW w:w="0" w:type="auto"/>
          </w:tcPr>
          <w:p w14:paraId="5A287930"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Se detalla: dos plazas de Jueza o Juez 3 a una plaza de Fiscala o Fiscal y una de Defensora o Defensor Pública, además de la conversión del perfil competencial de las plazas de Técnica o Técnico Judicial  a Trabajadora o Trabajador Social y Psicóloga o Psicólogo, con el propósito de maximizar la función de estas plazas extraordinarias mediante la conformación dos equipos de trabajo  adicionales para extender la cobertura al I y II Circuito de Guanacaste y el II Circuito de la Zona Sur, con ello dar cumplimiento del Transitorio I de la Ley de Justicia Restaurativa.</w:t>
            </w:r>
          </w:p>
        </w:tc>
      </w:tr>
      <w:tr w:rsidR="00B15F7D" w:rsidRPr="00990FB6" w14:paraId="125E4AE8" w14:textId="77777777" w:rsidTr="000A0C22">
        <w:trPr>
          <w:jc w:val="center"/>
        </w:trPr>
        <w:tc>
          <w:tcPr>
            <w:tcW w:w="0" w:type="auto"/>
          </w:tcPr>
          <w:p w14:paraId="5F36FD47"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El informe 586-PLA-RH-MI-2020 fue conocido y aprobado en la Sesión número 31-20 de Corte Plena (Presupuesto 2021) celebrada el 02 de junio de 2020, Artículo II. El acuerdo se cita textualmente:</w:t>
            </w:r>
          </w:p>
        </w:tc>
        <w:tc>
          <w:tcPr>
            <w:tcW w:w="0" w:type="auto"/>
          </w:tcPr>
          <w:p w14:paraId="5B9F892C" w14:textId="77777777" w:rsidR="00B15F7D" w:rsidRPr="00990FB6" w:rsidRDefault="00B15F7D" w:rsidP="00B15F7D">
            <w:pPr>
              <w:jc w:val="both"/>
              <w:rPr>
                <w:i/>
                <w:iCs/>
                <w:color w:val="000000"/>
                <w:sz w:val="22"/>
                <w:szCs w:val="22"/>
              </w:rPr>
            </w:pPr>
            <w:r w:rsidRPr="00990FB6">
              <w:rPr>
                <w:rFonts w:eastAsia="Book Antiqua"/>
                <w:i/>
                <w:iCs/>
                <w:color w:val="000000"/>
                <w:sz w:val="22"/>
                <w:szCs w:val="22"/>
              </w:rPr>
              <w:t>“Aprobar por separado del Presupuesto ordinario del Poder Judicial, los requerimientos correspondientes a la Ley de Justicia Restaurativa, en la forma propuesta por el magistrado Alfaro…”.</w:t>
            </w:r>
          </w:p>
        </w:tc>
      </w:tr>
      <w:tr w:rsidR="00B15F7D" w:rsidRPr="00990FB6" w14:paraId="54A61C10" w14:textId="77777777" w:rsidTr="000A0C22">
        <w:trPr>
          <w:jc w:val="center"/>
        </w:trPr>
        <w:tc>
          <w:tcPr>
            <w:tcW w:w="0" w:type="auto"/>
          </w:tcPr>
          <w:p w14:paraId="466C6BAA"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 xml:space="preserve">En oficio 139-P-2020, de fecha 12 de junio de 2020 y dirigido al Ministro de Hacienda, el presidente de la Corte en alusión a la sesión de Corte Plena 31-20 celebrada el 02 de junio de </w:t>
            </w:r>
            <w:r w:rsidRPr="00990FB6">
              <w:rPr>
                <w:rFonts w:eastAsia="Book Antiqua"/>
                <w:color w:val="000000"/>
                <w:sz w:val="22"/>
                <w:szCs w:val="22"/>
              </w:rPr>
              <w:lastRenderedPageBreak/>
              <w:t>2020, artículo I, en la que se discutió y aprobó el Proyecto de Presupuesto del Poder Judicial para el año 2021, el cual se ajustó al límite presupuestario establecido por Ministerio de Hacienda, en el que se indicó:</w:t>
            </w:r>
          </w:p>
        </w:tc>
        <w:tc>
          <w:tcPr>
            <w:tcW w:w="0" w:type="auto"/>
          </w:tcPr>
          <w:p w14:paraId="486B3A3D"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lastRenderedPageBreak/>
              <w:t xml:space="preserve">“En razón de las limitaciones presupuestarias, la Corte Plena acordó hacer una instancia, tanto al Ministerio de Hacienda como a la Asamblea Legislativa, para que se valore la </w:t>
            </w:r>
            <w:r w:rsidRPr="00990FB6">
              <w:rPr>
                <w:rFonts w:eastAsia="Book Antiqua"/>
                <w:i/>
                <w:iCs/>
                <w:color w:val="000000"/>
                <w:sz w:val="22"/>
                <w:szCs w:val="22"/>
              </w:rPr>
              <w:lastRenderedPageBreak/>
              <w:t>posibilidad de contar con financiamiento adicional al gasto ordinario para atender las nuevas obligaciones encomendadas por la Asamblea Legislativa …”.</w:t>
            </w:r>
          </w:p>
        </w:tc>
      </w:tr>
      <w:tr w:rsidR="00B15F7D" w:rsidRPr="00990FB6" w14:paraId="377ED11B" w14:textId="77777777" w:rsidTr="000A0C22">
        <w:trPr>
          <w:jc w:val="center"/>
        </w:trPr>
        <w:tc>
          <w:tcPr>
            <w:tcW w:w="0" w:type="auto"/>
          </w:tcPr>
          <w:p w14:paraId="038F6CDB"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lastRenderedPageBreak/>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304FB546" w14:textId="77777777" w:rsidR="00B15F7D" w:rsidRPr="00990FB6" w:rsidRDefault="00B15F7D" w:rsidP="00B15F7D">
            <w:pPr>
              <w:jc w:val="both"/>
              <w:rPr>
                <w:rFonts w:eastAsia="Book Antiqua"/>
                <w:color w:val="000000"/>
                <w:sz w:val="22"/>
                <w:szCs w:val="22"/>
              </w:rPr>
            </w:pPr>
          </w:p>
        </w:tc>
        <w:tc>
          <w:tcPr>
            <w:tcW w:w="0" w:type="auto"/>
          </w:tcPr>
          <w:p w14:paraId="7CE9FC3E"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990FB6">
              <w:rPr>
                <w:rFonts w:eastAsia="Book Antiqua"/>
                <w:b/>
                <w:i/>
                <w:iCs/>
                <w:color w:val="000000"/>
                <w:sz w:val="22"/>
                <w:szCs w:val="22"/>
              </w:rPr>
              <w:t>no fueron incorporados por el Ministerio de Hacienda al presupuesto ordinario, ni tampoco se remitieron como requerimiento adicional a la Asamblea Legislativa</w:t>
            </w:r>
            <w:r w:rsidRPr="00990FB6">
              <w:rPr>
                <w:rFonts w:eastAsia="Book Antiqua"/>
                <w:i/>
                <w:iCs/>
                <w:color w:val="000000"/>
                <w:sz w:val="22"/>
                <w:szCs w:val="22"/>
              </w:rPr>
              <w:t>.”</w:t>
            </w:r>
          </w:p>
        </w:tc>
      </w:tr>
      <w:tr w:rsidR="00B15F7D" w:rsidRPr="00990FB6" w14:paraId="3F5B3E07" w14:textId="77777777" w:rsidTr="000A0C22">
        <w:trPr>
          <w:jc w:val="center"/>
        </w:trPr>
        <w:tc>
          <w:tcPr>
            <w:tcW w:w="0" w:type="auto"/>
          </w:tcPr>
          <w:p w14:paraId="1728D8F2"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Para el año 2021 se genera el informe 429-PLA-RH-MI-2021 sobre el Requerimiento Humano sobre el Informe de presupuesto del Impacto de Ley 9582 Justicia Restaurativa y el ejercicio de proyección presupuestaria para el año 2022 en el Programa Justicia Restaurativa, el cual fue aprobado en sesión 30-2021 del Consejo Superior celebrada el 16 de abril de 2021, artículo XXIII; y conocido sesión 21-21 de Corte Plena, celebrada el 01 de junio de 2021, art II; en el que se acuerda:</w:t>
            </w:r>
          </w:p>
        </w:tc>
        <w:tc>
          <w:tcPr>
            <w:tcW w:w="0" w:type="auto"/>
          </w:tcPr>
          <w:p w14:paraId="1517711E"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“1) Aprobar el escenario 3 del Informe 429-PLA-RH-MI-2021, estudio de Requerimiento Humano sobre el Informe de presupuesto del Impacto de Ley 9582 Justicia Restaurativa y el ejercicio de proyección presupuestaria para el año 2022 en el Programa Justicia Restaurativa. 2) El contenido económico requerido se remitirá de forma independiente al presupuesto ordinario ya que responde a una necesidad producto de una ley especial.”</w:t>
            </w:r>
          </w:p>
        </w:tc>
      </w:tr>
      <w:tr w:rsidR="00B15F7D" w:rsidRPr="00990FB6" w14:paraId="5D3AD4D3" w14:textId="77777777" w:rsidTr="000A0C22">
        <w:trPr>
          <w:jc w:val="center"/>
        </w:trPr>
        <w:tc>
          <w:tcPr>
            <w:tcW w:w="0" w:type="auto"/>
          </w:tcPr>
          <w:p w14:paraId="2A6759E0"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Sin embargo, estas necesidades no ha sido posible incluirlas en el presupuesto ordinario dadas las limitaciones impuestas por el Ministerio de Hacienda en la posibilidad de crear plazas de recurso humano nuevas, lo cual para este año 2021 se reitera según oficio DM-340-2021 del 15 de abril de 2021, en el que se señala textualmente en lo que interesa:</w:t>
            </w:r>
          </w:p>
        </w:tc>
        <w:tc>
          <w:tcPr>
            <w:tcW w:w="0" w:type="auto"/>
          </w:tcPr>
          <w:p w14:paraId="59EFBD37"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“Debido a la situación fiscal no será posible atender solicitudes de ampliación del monto de gasto presupuestario máximo comunicado, ni se autorizará la creación de plazas, por lo que estas opciones estarán deshabilitadas en el Sistema de Formulación Presupuestaria (SFP)”.</w:t>
            </w:r>
          </w:p>
        </w:tc>
      </w:tr>
      <w:tr w:rsidR="00B15F7D" w:rsidRPr="00990FB6" w14:paraId="7DE0D7A9" w14:textId="77777777" w:rsidTr="000A0C22">
        <w:trPr>
          <w:jc w:val="center"/>
        </w:trPr>
        <w:tc>
          <w:tcPr>
            <w:tcW w:w="0" w:type="auto"/>
          </w:tcPr>
          <w:p w14:paraId="3503876F"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En oficio 1062-PLA-PP-2021 con fecha 20 de setiembre de 2021, conocido por la Junta Administradora del Fondo de Jubilaciones del Poder Judicial en sesión 40-2021 celebrada el 04 de octubre de 2021, artículo XVI, con relación al presupuesto por proyectos de ley se indica:</w:t>
            </w:r>
          </w:p>
          <w:p w14:paraId="636F6C90" w14:textId="77777777" w:rsidR="00B15F7D" w:rsidRPr="00990FB6" w:rsidRDefault="00B15F7D" w:rsidP="00B15F7D">
            <w:pPr>
              <w:jc w:val="both"/>
              <w:rPr>
                <w:rFonts w:eastAsia="Book Antiqua"/>
                <w:color w:val="000000"/>
                <w:sz w:val="22"/>
                <w:szCs w:val="22"/>
              </w:rPr>
            </w:pPr>
          </w:p>
        </w:tc>
        <w:tc>
          <w:tcPr>
            <w:tcW w:w="0" w:type="auto"/>
          </w:tcPr>
          <w:p w14:paraId="44A4B5D7"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 xml:space="preserve">“El presupuesto solicitado para el financiamiento de las Leyes 9481 Creación de la Jurisdicción Especializada en Delincuencia Organizada, 9747 Código Procesal de Familia, 9609 Nuevo Código Procesal Agrario, 9458 Bienestar Animal y 9582 Justicia Restaurativa, </w:t>
            </w:r>
            <w:r w:rsidRPr="00990FB6">
              <w:rPr>
                <w:rFonts w:eastAsia="Book Antiqua"/>
                <w:b/>
                <w:bCs/>
                <w:i/>
                <w:iCs/>
                <w:color w:val="000000"/>
                <w:sz w:val="22"/>
                <w:szCs w:val="22"/>
              </w:rPr>
              <w:t>no fueron incorporados por el Ministerio de Hacienda al presupuesto ordinario, ni tampoco se remitieron como requerimiento adicional a la Asamblea Legislativa.”</w:t>
            </w:r>
          </w:p>
        </w:tc>
      </w:tr>
      <w:tr w:rsidR="00B15F7D" w:rsidRPr="00990FB6" w14:paraId="62A542EC" w14:textId="77777777" w:rsidTr="000A0C22">
        <w:trPr>
          <w:jc w:val="center"/>
        </w:trPr>
        <w:tc>
          <w:tcPr>
            <w:tcW w:w="0" w:type="auto"/>
          </w:tcPr>
          <w:p w14:paraId="35BE7770"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lastRenderedPageBreak/>
              <w:t>Mediante oficio 437-ORJR-21 del 30 de noviembre de 2021, el magistrado Gerardo Rubén Alfaro Vargas, en su condición de Rector del Programa de Justicia Restaurativa, comunicó lo siguiente:</w:t>
            </w:r>
          </w:p>
          <w:p w14:paraId="66F8E611" w14:textId="77777777" w:rsidR="00B15F7D" w:rsidRPr="00990FB6" w:rsidRDefault="00B15F7D" w:rsidP="00B15F7D">
            <w:pPr>
              <w:jc w:val="both"/>
              <w:rPr>
                <w:rFonts w:eastAsia="Book Antiqua"/>
                <w:color w:val="000000"/>
                <w:sz w:val="22"/>
                <w:szCs w:val="22"/>
              </w:rPr>
            </w:pPr>
          </w:p>
        </w:tc>
        <w:tc>
          <w:tcPr>
            <w:tcW w:w="0" w:type="auto"/>
          </w:tcPr>
          <w:p w14:paraId="759F06F8"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 xml:space="preserve">“Siendo la última gestión la aprobada por el Consejo Superior mediante acuerdo de la sesión </w:t>
            </w:r>
            <w:proofErr w:type="spellStart"/>
            <w:r w:rsidRPr="00990FB6">
              <w:rPr>
                <w:rFonts w:eastAsia="Book Antiqua"/>
                <w:b/>
                <w:bCs/>
                <w:i/>
                <w:iCs/>
                <w:color w:val="000000"/>
                <w:sz w:val="22"/>
                <w:szCs w:val="22"/>
              </w:rPr>
              <w:t>N°</w:t>
            </w:r>
            <w:proofErr w:type="spellEnd"/>
            <w:r w:rsidRPr="00990FB6">
              <w:rPr>
                <w:rFonts w:eastAsia="Book Antiqua"/>
                <w:b/>
                <w:bCs/>
                <w:i/>
                <w:iCs/>
                <w:color w:val="000000"/>
                <w:sz w:val="22"/>
                <w:szCs w:val="22"/>
              </w:rPr>
              <w:t xml:space="preserve"> 35-2021</w:t>
            </w:r>
            <w:r w:rsidRPr="00990FB6">
              <w:rPr>
                <w:rFonts w:eastAsia="Book Antiqua"/>
                <w:i/>
                <w:iCs/>
                <w:color w:val="000000"/>
                <w:sz w:val="22"/>
                <w:szCs w:val="22"/>
              </w:rPr>
              <w:t xml:space="preserve"> celebrada el </w:t>
            </w:r>
            <w:r w:rsidRPr="00990FB6">
              <w:rPr>
                <w:rFonts w:eastAsia="Book Antiqua"/>
                <w:b/>
                <w:bCs/>
                <w:i/>
                <w:iCs/>
                <w:color w:val="000000"/>
                <w:sz w:val="22"/>
                <w:szCs w:val="22"/>
              </w:rPr>
              <w:t>30 de abril de 2021</w:t>
            </w:r>
            <w:r w:rsidRPr="00990FB6">
              <w:rPr>
                <w:rFonts w:eastAsia="Book Antiqua"/>
                <w:i/>
                <w:iCs/>
                <w:color w:val="000000"/>
                <w:sz w:val="22"/>
                <w:szCs w:val="22"/>
              </w:rPr>
              <w:t xml:space="preserve">, Artículo XXIV., misma que Corte Plena aprobó mediante Artículo  II, de la Sesión No. 21-2021 del  01 de junio del 2021,  con la finalidad de que sea analizada como implementación de una Ley especial mediante un posible presupuesto extraordinario durante el año 2022.Sin dejar de lado la situación presupuestaria en la que se encuentra Costa Rica, pero en un ejercicio de transparencia, y responsable de administración del riesgo de la Oficina Rectora de Justicia Restaurativa, conforme la normas de control interno y bajo la asesoría de la Oficina de Control Interno del Poder Judicial, esta Rectoría hace de conocimiento del Consejo Superior que el riesgo de </w:t>
            </w:r>
            <w:r w:rsidRPr="00990FB6">
              <w:rPr>
                <w:rFonts w:eastAsia="Book Antiqua"/>
                <w:b/>
                <w:bCs/>
                <w:i/>
                <w:iCs/>
                <w:color w:val="000000"/>
                <w:sz w:val="22"/>
                <w:szCs w:val="22"/>
              </w:rPr>
              <w:t>Denegación del servicio de Justicia Restaurativa a nivel nacional</w:t>
            </w:r>
            <w:r w:rsidRPr="00990FB6">
              <w:rPr>
                <w:rFonts w:eastAsia="Book Antiqua"/>
                <w:i/>
                <w:iCs/>
                <w:color w:val="000000"/>
                <w:sz w:val="22"/>
                <w:szCs w:val="22"/>
              </w:rPr>
              <w:t xml:space="preserve">  se materializará el 20 de enero del 2022, traslado que se realiza, por ser el órgano superior administrativo del Poder Judicial.” </w:t>
            </w:r>
          </w:p>
          <w:p w14:paraId="70DB4E67"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 xml:space="preserve">Sobre lo anterior, se establece el siguiente acuerdo: </w:t>
            </w:r>
          </w:p>
          <w:p w14:paraId="285BBE6E"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 xml:space="preserve">“1.) Tener por conocido el oficio </w:t>
            </w:r>
            <w:proofErr w:type="spellStart"/>
            <w:r w:rsidRPr="00990FB6">
              <w:rPr>
                <w:rFonts w:eastAsia="Book Antiqua"/>
                <w:i/>
                <w:iCs/>
                <w:color w:val="000000"/>
                <w:sz w:val="22"/>
                <w:szCs w:val="22"/>
              </w:rPr>
              <w:t>N°</w:t>
            </w:r>
            <w:proofErr w:type="spellEnd"/>
            <w:r w:rsidRPr="00990FB6">
              <w:rPr>
                <w:rFonts w:eastAsia="Book Antiqua"/>
                <w:i/>
                <w:iCs/>
                <w:color w:val="000000"/>
                <w:sz w:val="22"/>
                <w:szCs w:val="22"/>
              </w:rPr>
              <w:t xml:space="preserve"> 437-ORJR-21 del 30 de noviembre de 2021, suscrito por el magistrado Gerardo Rubén Alfaro Vargas, en su condición de Rector del Programa de Justicia Restaurativa. 2.) Hacer este acuerdo de conocimiento de la Dirección de Planificación para que valore la inclusión de estos requerimientos de plazas para el año 2023.”</w:t>
            </w:r>
          </w:p>
        </w:tc>
      </w:tr>
      <w:tr w:rsidR="00B15F7D" w:rsidRPr="00990FB6" w14:paraId="721F2B5C" w14:textId="77777777" w:rsidTr="000A0C22">
        <w:trPr>
          <w:jc w:val="center"/>
        </w:trPr>
        <w:tc>
          <w:tcPr>
            <w:tcW w:w="0" w:type="auto"/>
          </w:tcPr>
          <w:p w14:paraId="79054414"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En fecha 03 de marzo de 2022 se remite a la Secretaría General de la Corte por parte de la Dirección de Planificación el informe 174-PLA-MI-2022.</w:t>
            </w:r>
          </w:p>
        </w:tc>
        <w:tc>
          <w:tcPr>
            <w:tcW w:w="0" w:type="auto"/>
          </w:tcPr>
          <w:p w14:paraId="5A11A621" w14:textId="77777777" w:rsidR="00B15F7D" w:rsidRPr="00990FB6" w:rsidRDefault="00B15F7D" w:rsidP="00B15F7D">
            <w:pPr>
              <w:jc w:val="both"/>
              <w:rPr>
                <w:rFonts w:eastAsia="Book Antiqua"/>
                <w:i/>
                <w:iCs/>
                <w:color w:val="000000"/>
                <w:sz w:val="22"/>
                <w:szCs w:val="22"/>
              </w:rPr>
            </w:pPr>
            <w:r w:rsidRPr="00990FB6">
              <w:rPr>
                <w:rFonts w:eastAsia="Book Antiqua"/>
                <w:i/>
                <w:iCs/>
                <w:color w:val="000000"/>
                <w:sz w:val="22"/>
                <w:szCs w:val="22"/>
              </w:rPr>
              <w:t>En dicho informe, se atiende lo comunicado por parte de la Oficina Rectora de Justicia Restaurativa en oficio 437-ORJR-21 y se informa que esta Dirección tomará en consideración esta información en el proceso de actualización del informe de presupuesto de la Ley de Justicia Restaurativa 9582 correspondiente al año 2023, para ser sometido a discusión del Consejo Superior y la Corte Plena.</w:t>
            </w:r>
          </w:p>
        </w:tc>
      </w:tr>
      <w:tr w:rsidR="00B15F7D" w:rsidRPr="00990FB6" w14:paraId="1A73AC31" w14:textId="77777777" w:rsidTr="000A0C22">
        <w:trPr>
          <w:jc w:val="center"/>
        </w:trPr>
        <w:tc>
          <w:tcPr>
            <w:tcW w:w="0" w:type="auto"/>
          </w:tcPr>
          <w:p w14:paraId="30CF4D6D"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Informe 201-PLA-RH-MI-2022, conocido por parte del Consejo Superior en sesión extraordinaria 29-2022 celebrada el 1 de abril de 2022, artículo XVIII. Y aprobado por Corte Plena en sesión 27-2022 del 01 de junio del 2022, artículo II. (Ver apéndice 12).</w:t>
            </w:r>
            <w:r w:rsidRPr="00990FB6">
              <w:rPr>
                <w:color w:val="000000"/>
                <w:sz w:val="22"/>
                <w:szCs w:val="22"/>
              </w:rPr>
              <w:t xml:space="preserve">   </w:t>
            </w:r>
          </w:p>
        </w:tc>
        <w:tc>
          <w:tcPr>
            <w:tcW w:w="0" w:type="auto"/>
          </w:tcPr>
          <w:p w14:paraId="1BDA22BF"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Relacionado con Impacto organizacional y presupuestario en el Poder Judicial, a partir de la promulgación de la Ley 9582 Justicia Restaurativa.</w:t>
            </w:r>
          </w:p>
        </w:tc>
      </w:tr>
      <w:tr w:rsidR="00B15F7D" w:rsidRPr="00990FB6" w14:paraId="71F47217" w14:textId="77777777" w:rsidTr="000A0C22">
        <w:trPr>
          <w:jc w:val="center"/>
        </w:trPr>
        <w:tc>
          <w:tcPr>
            <w:tcW w:w="0" w:type="auto"/>
          </w:tcPr>
          <w:p w14:paraId="62A18D1E"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lastRenderedPageBreak/>
              <w:t>Oficio por parte de la Oficina Rectora de Justicia Restaurativa en oficio 038-ORJR-2023, fecha 6 de febrero del 2023. (Ver apéndice 2).</w:t>
            </w:r>
            <w:r w:rsidRPr="00990FB6">
              <w:rPr>
                <w:color w:val="000000"/>
                <w:sz w:val="22"/>
                <w:szCs w:val="22"/>
              </w:rPr>
              <w:t xml:space="preserve"> </w:t>
            </w:r>
          </w:p>
        </w:tc>
        <w:tc>
          <w:tcPr>
            <w:tcW w:w="0" w:type="auto"/>
          </w:tcPr>
          <w:p w14:paraId="6AAFB660" w14:textId="77777777" w:rsidR="00B15F7D" w:rsidRPr="00990FB6" w:rsidRDefault="00B15F7D" w:rsidP="00B15F7D">
            <w:pPr>
              <w:jc w:val="both"/>
              <w:rPr>
                <w:rFonts w:eastAsia="Book Antiqua"/>
                <w:color w:val="000000"/>
                <w:sz w:val="22"/>
                <w:szCs w:val="22"/>
              </w:rPr>
            </w:pPr>
            <w:r w:rsidRPr="00990FB6">
              <w:rPr>
                <w:rFonts w:eastAsia="Book Antiqua"/>
                <w:color w:val="000000"/>
                <w:sz w:val="22"/>
                <w:szCs w:val="22"/>
              </w:rPr>
              <w:t xml:space="preserve">Solicitud de recurso humano para completar los equipos existentes que carecen de alguno de sus integrantes y conformar nuevos equipos de trabajo que permitan contar con recursos enfocados en la atención de la Materia Contravencional, en Ejecución de la Pena y un equipo itinerante para materia Penal Juvenil. </w:t>
            </w:r>
          </w:p>
        </w:tc>
      </w:tr>
    </w:tbl>
    <w:p w14:paraId="49C9C7CD" w14:textId="77777777" w:rsidR="00B15F7D" w:rsidRPr="00990FB6" w:rsidRDefault="00B15F7D" w:rsidP="00B15F7D">
      <w:pPr>
        <w:rPr>
          <w:rFonts w:eastAsia="Book Antiqua"/>
          <w:color w:val="000000"/>
          <w:sz w:val="22"/>
          <w:szCs w:val="22"/>
        </w:rPr>
      </w:pPr>
    </w:p>
    <w:p w14:paraId="5D02EF98" w14:textId="77777777" w:rsidR="00B15F7D" w:rsidRPr="00990FB6" w:rsidRDefault="00B15F7D" w:rsidP="00B15F7D">
      <w:pPr>
        <w:numPr>
          <w:ilvl w:val="0"/>
          <w:numId w:val="161"/>
        </w:numPr>
        <w:suppressAutoHyphens w:val="0"/>
        <w:ind w:left="851" w:right="851" w:firstLine="709"/>
        <w:jc w:val="both"/>
        <w:rPr>
          <w:color w:val="000000"/>
          <w:sz w:val="22"/>
          <w:szCs w:val="22"/>
        </w:rPr>
      </w:pPr>
      <w:r w:rsidRPr="00990FB6">
        <w:rPr>
          <w:color w:val="000000"/>
          <w:sz w:val="22"/>
          <w:szCs w:val="22"/>
        </w:rPr>
        <w:t>Justificación</w:t>
      </w:r>
    </w:p>
    <w:p w14:paraId="54AE782E"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El Transitorio 1 de la Ley de Justicia Restaurativa, dispuso de la creación de nuevas oficinas a nivel nacional, para que de forma gradual dentro de un plazo de tres años a partir de su vigencia (20 de enero de 2022), se mantenga una cobertura Nacional.  </w:t>
      </w:r>
    </w:p>
    <w:p w14:paraId="44454E02" w14:textId="77777777" w:rsidR="00B15F7D" w:rsidRPr="00990FB6" w:rsidRDefault="00B15F7D" w:rsidP="00B15F7D">
      <w:pPr>
        <w:ind w:left="851" w:right="851" w:firstLine="709"/>
        <w:jc w:val="both"/>
        <w:rPr>
          <w:color w:val="000000"/>
          <w:sz w:val="22"/>
          <w:szCs w:val="22"/>
        </w:rPr>
      </w:pPr>
    </w:p>
    <w:p w14:paraId="31CE7FA4" w14:textId="77777777" w:rsidR="00B15F7D" w:rsidRPr="00990FB6" w:rsidRDefault="00B15F7D" w:rsidP="00B15F7D">
      <w:pPr>
        <w:ind w:left="851" w:right="851" w:firstLine="709"/>
        <w:jc w:val="both"/>
        <w:rPr>
          <w:color w:val="000000"/>
          <w:sz w:val="22"/>
          <w:szCs w:val="22"/>
        </w:rPr>
      </w:pPr>
      <w:r w:rsidRPr="00990FB6">
        <w:rPr>
          <w:color w:val="000000"/>
          <w:sz w:val="22"/>
          <w:szCs w:val="22"/>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p w14:paraId="5A03730B" w14:textId="77777777" w:rsidR="00B15F7D" w:rsidRPr="00990FB6" w:rsidRDefault="00B15F7D" w:rsidP="00B15F7D">
      <w:pPr>
        <w:ind w:left="851" w:right="851" w:firstLine="709"/>
        <w:jc w:val="both"/>
        <w:rPr>
          <w:color w:val="000000"/>
          <w:sz w:val="22"/>
          <w:szCs w:val="22"/>
        </w:rPr>
      </w:pPr>
    </w:p>
    <w:p w14:paraId="51615D3D" w14:textId="77777777" w:rsidR="00B15F7D" w:rsidRPr="00990FB6" w:rsidRDefault="00B15F7D" w:rsidP="00B15F7D">
      <w:pPr>
        <w:ind w:left="851" w:right="851" w:firstLine="709"/>
        <w:jc w:val="both"/>
        <w:rPr>
          <w:color w:val="000000"/>
          <w:sz w:val="22"/>
          <w:szCs w:val="22"/>
        </w:rPr>
      </w:pPr>
      <w:r w:rsidRPr="00990FB6">
        <w:rPr>
          <w:color w:val="000000"/>
          <w:sz w:val="22"/>
          <w:szCs w:val="22"/>
        </w:rPr>
        <w:t>En lo especifico a Materia Penal de adultos, conforme al referido artículo 6 de la Ley de Justicia Restaurativa, se estableció de la apertura de oficinas según las necesidades del servicio, en los diferentes circuitos judiciales a nivel nacional. En materia Penal Juvenil, se dispuso que se conformarían en las diferentes jurisdicciones el Programa de Justicia Juvenil Restaurativa y que, para ese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14:paraId="1F42CABF" w14:textId="77777777" w:rsidR="00B15F7D" w:rsidRPr="00990FB6" w:rsidRDefault="00B15F7D" w:rsidP="00B15F7D">
      <w:pPr>
        <w:ind w:left="851" w:right="851" w:firstLine="709"/>
        <w:jc w:val="both"/>
        <w:rPr>
          <w:color w:val="000000"/>
          <w:sz w:val="22"/>
          <w:szCs w:val="22"/>
        </w:rPr>
      </w:pPr>
    </w:p>
    <w:p w14:paraId="6068D634" w14:textId="77777777" w:rsidR="00B15F7D" w:rsidRPr="00990FB6" w:rsidRDefault="00B15F7D" w:rsidP="00B15F7D">
      <w:pPr>
        <w:ind w:left="851" w:right="851" w:firstLine="709"/>
        <w:jc w:val="both"/>
        <w:rPr>
          <w:color w:val="000000"/>
          <w:sz w:val="22"/>
          <w:szCs w:val="22"/>
        </w:rPr>
      </w:pPr>
      <w:r w:rsidRPr="00990FB6">
        <w:rPr>
          <w:color w:val="000000"/>
          <w:sz w:val="22"/>
          <w:szCs w:val="22"/>
        </w:rPr>
        <w:t>En Materia Contravencional, básicamente se dispuso lo mismo que en Materia Penal Juvenil, respecto a que se conformará en las diferentes jurisdicciones el Programa de Justicia Contravencional Restaurativa y por lo que debe dotarse de equipos psicosociales, que, en conjunto con la persona juzgadora, desarrollarán la justicia restaurativa como parte de sus competencias legales.</w:t>
      </w:r>
    </w:p>
    <w:p w14:paraId="30EE7A69" w14:textId="77777777" w:rsidR="00B15F7D" w:rsidRPr="00990FB6" w:rsidRDefault="00B15F7D" w:rsidP="00B15F7D">
      <w:pPr>
        <w:ind w:left="851" w:right="851" w:firstLine="709"/>
        <w:jc w:val="both"/>
        <w:rPr>
          <w:color w:val="000000"/>
          <w:sz w:val="22"/>
          <w:szCs w:val="22"/>
        </w:rPr>
      </w:pPr>
    </w:p>
    <w:p w14:paraId="47DAC8BD"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Por otra parte, a raíz del ejercicio presupuestario para el año 2024 se coordinó la verificación de las asignaciones de los equipos de Justicia Restaurativa con la Licenciada Jovanna Calderón Altamirano, Profesional encargada de la Oficina Rectora de Justicia Restaurativa. </w:t>
      </w:r>
    </w:p>
    <w:p w14:paraId="2F53D626" w14:textId="77777777" w:rsidR="00B15F7D" w:rsidRPr="00990FB6" w:rsidRDefault="00B15F7D" w:rsidP="00B15F7D">
      <w:pPr>
        <w:ind w:left="851" w:right="851" w:firstLine="709"/>
        <w:jc w:val="both"/>
        <w:rPr>
          <w:color w:val="000000"/>
          <w:sz w:val="22"/>
          <w:szCs w:val="22"/>
        </w:rPr>
      </w:pPr>
    </w:p>
    <w:p w14:paraId="3E4B4154" w14:textId="155B9FCF" w:rsidR="00B15F7D" w:rsidRPr="00990FB6" w:rsidRDefault="00B15F7D" w:rsidP="00B15F7D">
      <w:pPr>
        <w:ind w:left="851" w:right="851" w:firstLine="709"/>
        <w:jc w:val="both"/>
        <w:rPr>
          <w:color w:val="000000"/>
          <w:sz w:val="22"/>
          <w:szCs w:val="22"/>
        </w:rPr>
      </w:pPr>
      <w:r w:rsidRPr="00990FB6">
        <w:rPr>
          <w:color w:val="000000"/>
          <w:sz w:val="22"/>
          <w:szCs w:val="22"/>
        </w:rPr>
        <w:t xml:space="preserve">Posteriormente se remite el oficio 038-ORJR-23, fecha 6 de febrero del 2023 (ver apéndice 2), por parte de la Oficina Rectora de Justicia Restaurativa en el que se detalla la solicitud de recursos para conformar nuevos equipos interdisciplinarios, con el propósito de abarcar la atención tanto respecto a materias como en la totalidad de los circuitos. En la solicitud de forma concreta se consideran un total de 57 plazas (7 Profesionales 2 de Trabajo Social, 7 Profesionales 2 de Psicología, 13 Defensoras o Defensores Públicos, 10 Fiscalas o Fiscales Auxiliares y 14 Técnicas o Técnicos Judiciales, 1 Profesional en </w:t>
      </w:r>
      <w:r w:rsidRPr="00990FB6">
        <w:rPr>
          <w:color w:val="000000"/>
          <w:sz w:val="22"/>
          <w:szCs w:val="22"/>
        </w:rPr>
        <w:lastRenderedPageBreak/>
        <w:t xml:space="preserve">Derecho 3B  y para el Procedimiento de Justicia Restaurativa para el Bienestar Integral del Personal Judicial se consideran 1 Profesional en Derecho 3B, 1 plaza de Profesional 2 de Trabajo Social, 1 plaza de Profesional 2 de Psicología y 1 plaza de Técnica o Técnico Judicial). </w:t>
      </w:r>
    </w:p>
    <w:p w14:paraId="770E7A8C" w14:textId="77777777" w:rsidR="00F723CD" w:rsidRPr="00990FB6" w:rsidRDefault="00F723CD" w:rsidP="00B15F7D">
      <w:pPr>
        <w:ind w:left="851" w:right="851" w:firstLine="709"/>
        <w:jc w:val="both"/>
        <w:rPr>
          <w:color w:val="000000"/>
          <w:sz w:val="22"/>
          <w:szCs w:val="22"/>
        </w:rPr>
      </w:pPr>
    </w:p>
    <w:p w14:paraId="6815FEF7" w14:textId="77777777" w:rsidR="00B15F7D" w:rsidRPr="00990FB6" w:rsidRDefault="00B15F7D" w:rsidP="00B15F7D">
      <w:pPr>
        <w:ind w:left="851" w:right="851" w:firstLine="709"/>
        <w:jc w:val="both"/>
        <w:rPr>
          <w:color w:val="000000"/>
          <w:sz w:val="22"/>
          <w:szCs w:val="22"/>
        </w:rPr>
      </w:pPr>
      <w:r w:rsidRPr="00990FB6">
        <w:rPr>
          <w:color w:val="000000"/>
          <w:sz w:val="22"/>
          <w:szCs w:val="22"/>
        </w:rPr>
        <w:t>Se indica que esta propuesta, tanto respecto a la ampliación de cobertura como la solicitud de recursos nuevos fue establecida en consenso con el Ministerio Público, la Defensa Pública y el Departamento de Trabajo Social y Psicología.</w:t>
      </w:r>
    </w:p>
    <w:p w14:paraId="2EE34690" w14:textId="77777777" w:rsidR="00B15F7D" w:rsidRPr="00990FB6" w:rsidRDefault="00B15F7D" w:rsidP="00B15F7D">
      <w:pPr>
        <w:ind w:left="851" w:right="851" w:firstLine="709"/>
        <w:jc w:val="both"/>
        <w:rPr>
          <w:color w:val="000000"/>
          <w:sz w:val="22"/>
          <w:szCs w:val="22"/>
        </w:rPr>
      </w:pPr>
    </w:p>
    <w:p w14:paraId="6016CD50" w14:textId="77777777" w:rsidR="00B15F7D" w:rsidRPr="00990FB6" w:rsidRDefault="00B15F7D" w:rsidP="00B15F7D">
      <w:pPr>
        <w:numPr>
          <w:ilvl w:val="0"/>
          <w:numId w:val="161"/>
        </w:numPr>
        <w:suppressAutoHyphens w:val="0"/>
        <w:ind w:left="851" w:right="851" w:firstLine="709"/>
        <w:jc w:val="both"/>
        <w:rPr>
          <w:color w:val="000000"/>
          <w:sz w:val="22"/>
          <w:szCs w:val="22"/>
        </w:rPr>
      </w:pPr>
      <w:r w:rsidRPr="00990FB6">
        <w:rPr>
          <w:color w:val="000000"/>
          <w:sz w:val="22"/>
          <w:szCs w:val="22"/>
        </w:rPr>
        <w:t>Información relevante</w:t>
      </w:r>
    </w:p>
    <w:p w14:paraId="65CF6F72" w14:textId="77777777" w:rsidR="00B15F7D" w:rsidRPr="00990FB6" w:rsidRDefault="00B15F7D" w:rsidP="00B15F7D">
      <w:pPr>
        <w:keepNext/>
        <w:numPr>
          <w:ilvl w:val="1"/>
          <w:numId w:val="154"/>
        </w:numPr>
        <w:suppressAutoHyphens w:val="0"/>
        <w:ind w:left="851" w:right="851" w:firstLine="709"/>
        <w:jc w:val="both"/>
        <w:rPr>
          <w:color w:val="000000"/>
          <w:sz w:val="22"/>
          <w:szCs w:val="22"/>
        </w:rPr>
      </w:pPr>
      <w:r w:rsidRPr="00990FB6">
        <w:rPr>
          <w:color w:val="000000"/>
          <w:sz w:val="22"/>
          <w:szCs w:val="22"/>
        </w:rPr>
        <w:t>Estructura de recurso humano y abordaje de Justicia Restaurativa.</w:t>
      </w:r>
    </w:p>
    <w:p w14:paraId="61F34C24"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La Ofician Rectora de Justicia Restaurativa, funciona bajo la coordinación del magistrado Gerardo Rubén Alfaro Vargas y cuenta con el siguiente recurso humano: </w:t>
      </w:r>
    </w:p>
    <w:p w14:paraId="4DBCF837" w14:textId="77777777" w:rsidR="00B15F7D" w:rsidRPr="00990FB6" w:rsidRDefault="00B15F7D" w:rsidP="00B15F7D">
      <w:pPr>
        <w:ind w:left="851" w:right="851" w:firstLine="709"/>
        <w:jc w:val="both"/>
        <w:rPr>
          <w:color w:val="000000"/>
          <w:sz w:val="22"/>
          <w:szCs w:val="22"/>
        </w:rPr>
      </w:pPr>
    </w:p>
    <w:p w14:paraId="658B2879" w14:textId="77777777" w:rsidR="00B15F7D" w:rsidRPr="00990FB6" w:rsidRDefault="00B15F7D" w:rsidP="00B15F7D">
      <w:pPr>
        <w:ind w:left="851" w:right="851" w:firstLine="709"/>
        <w:jc w:val="both"/>
        <w:rPr>
          <w:color w:val="000000"/>
          <w:sz w:val="22"/>
          <w:szCs w:val="22"/>
        </w:rPr>
      </w:pPr>
      <w:r w:rsidRPr="00990FB6">
        <w:rPr>
          <w:color w:val="000000"/>
          <w:sz w:val="22"/>
          <w:szCs w:val="22"/>
        </w:rPr>
        <w:t>•</w:t>
      </w:r>
      <w:r w:rsidRPr="00990FB6">
        <w:rPr>
          <w:color w:val="000000"/>
          <w:sz w:val="22"/>
          <w:szCs w:val="22"/>
        </w:rPr>
        <w:tab/>
        <w:t>3 plazas de Profesional en Derecho 3B</w:t>
      </w:r>
    </w:p>
    <w:p w14:paraId="269CA9A3" w14:textId="77777777" w:rsidR="00B15F7D" w:rsidRPr="00990FB6" w:rsidRDefault="00B15F7D" w:rsidP="00B15F7D">
      <w:pPr>
        <w:ind w:left="851" w:right="851" w:firstLine="709"/>
        <w:jc w:val="both"/>
        <w:rPr>
          <w:color w:val="000000"/>
          <w:sz w:val="22"/>
          <w:szCs w:val="22"/>
        </w:rPr>
      </w:pPr>
      <w:r w:rsidRPr="00990FB6">
        <w:rPr>
          <w:color w:val="000000"/>
          <w:sz w:val="22"/>
          <w:szCs w:val="22"/>
        </w:rPr>
        <w:t>•</w:t>
      </w:r>
      <w:r w:rsidRPr="00990FB6">
        <w:rPr>
          <w:color w:val="000000"/>
          <w:sz w:val="22"/>
          <w:szCs w:val="22"/>
        </w:rPr>
        <w:tab/>
        <w:t>1 plaza de Técnica o Técnico Judicial</w:t>
      </w:r>
    </w:p>
    <w:p w14:paraId="63249978" w14:textId="77777777" w:rsidR="00B15F7D" w:rsidRPr="00990FB6" w:rsidRDefault="00B15F7D" w:rsidP="00B15F7D">
      <w:pPr>
        <w:ind w:left="851" w:right="851" w:firstLine="709"/>
        <w:jc w:val="both"/>
        <w:rPr>
          <w:color w:val="000000"/>
          <w:sz w:val="22"/>
          <w:szCs w:val="22"/>
        </w:rPr>
      </w:pPr>
      <w:r w:rsidRPr="00990FB6">
        <w:rPr>
          <w:color w:val="000000"/>
          <w:sz w:val="22"/>
          <w:szCs w:val="22"/>
        </w:rPr>
        <w:t>•</w:t>
      </w:r>
      <w:r w:rsidRPr="00990FB6">
        <w:rPr>
          <w:color w:val="000000"/>
          <w:sz w:val="22"/>
          <w:szCs w:val="22"/>
        </w:rPr>
        <w:tab/>
        <w:t>1 plaza de Secretaria Ejecutiva</w:t>
      </w:r>
    </w:p>
    <w:p w14:paraId="0E2086D5" w14:textId="77777777" w:rsidR="00B15F7D" w:rsidRPr="00990FB6" w:rsidRDefault="00B15F7D" w:rsidP="00B15F7D">
      <w:pPr>
        <w:ind w:left="851" w:right="851" w:firstLine="709"/>
        <w:jc w:val="both"/>
        <w:rPr>
          <w:color w:val="000000"/>
          <w:sz w:val="22"/>
          <w:szCs w:val="22"/>
        </w:rPr>
      </w:pPr>
      <w:r w:rsidRPr="00990FB6">
        <w:rPr>
          <w:color w:val="000000"/>
          <w:sz w:val="22"/>
          <w:szCs w:val="22"/>
        </w:rPr>
        <w:t>•</w:t>
      </w:r>
      <w:r w:rsidRPr="00990FB6">
        <w:rPr>
          <w:color w:val="000000"/>
          <w:sz w:val="22"/>
          <w:szCs w:val="22"/>
        </w:rPr>
        <w:tab/>
        <w:t>1 plaza de Profesional 2</w:t>
      </w:r>
    </w:p>
    <w:p w14:paraId="10E164FC" w14:textId="77777777" w:rsidR="00B15F7D" w:rsidRPr="00990FB6" w:rsidRDefault="00B15F7D" w:rsidP="00B15F7D">
      <w:pPr>
        <w:ind w:left="851" w:right="851" w:firstLine="709"/>
        <w:jc w:val="both"/>
        <w:rPr>
          <w:color w:val="000000"/>
          <w:sz w:val="22"/>
          <w:szCs w:val="22"/>
        </w:rPr>
      </w:pPr>
    </w:p>
    <w:p w14:paraId="31EBD597"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personal profesional en las ramas de Psicología y Trabajo Social. </w:t>
      </w:r>
    </w:p>
    <w:p w14:paraId="3F6DC49E" w14:textId="77777777" w:rsidR="00B15F7D" w:rsidRPr="00990FB6" w:rsidRDefault="00B15F7D" w:rsidP="00B15F7D">
      <w:pPr>
        <w:ind w:left="851" w:right="851" w:firstLine="709"/>
        <w:jc w:val="both"/>
        <w:rPr>
          <w:color w:val="000000"/>
          <w:sz w:val="22"/>
          <w:szCs w:val="22"/>
        </w:rPr>
      </w:pPr>
    </w:p>
    <w:p w14:paraId="711CB52A" w14:textId="77777777" w:rsidR="00B15F7D" w:rsidRPr="00990FB6" w:rsidRDefault="00B15F7D" w:rsidP="00B15F7D">
      <w:pPr>
        <w:ind w:left="851" w:right="851" w:firstLine="709"/>
        <w:jc w:val="both"/>
        <w:rPr>
          <w:color w:val="000000"/>
          <w:sz w:val="22"/>
          <w:szCs w:val="22"/>
        </w:rPr>
      </w:pPr>
      <w:r w:rsidRPr="00990FB6">
        <w:rPr>
          <w:color w:val="000000"/>
          <w:sz w:val="22"/>
          <w:szCs w:val="22"/>
        </w:rPr>
        <w:t>Este recurso humano, forma parte de las correspondientes dependencias y jurisdicciones a nivel nacional (Departamento de Trabajo Social y Psicología, específicamente a cada oficina regional, Despachos jurisdiccionales, Ministerio Público y Defensa Pública).</w:t>
      </w:r>
    </w:p>
    <w:p w14:paraId="755F0F4E" w14:textId="77777777" w:rsidR="00B15F7D" w:rsidRPr="00990FB6" w:rsidRDefault="00B15F7D" w:rsidP="00B15F7D">
      <w:pPr>
        <w:ind w:left="851" w:right="851" w:firstLine="709"/>
        <w:jc w:val="both"/>
        <w:rPr>
          <w:color w:val="000000"/>
          <w:sz w:val="22"/>
          <w:szCs w:val="22"/>
        </w:rPr>
      </w:pPr>
    </w:p>
    <w:p w14:paraId="5ADB17B3"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Mediante correo electrónico, en fecha 31 de enero del 2023, es recibido por parte de la oficina de Justicia Restaurativa, el informe de labores correspondiente al año 2022 (ver apéndice 3). </w:t>
      </w:r>
    </w:p>
    <w:p w14:paraId="22290B51" w14:textId="77777777" w:rsidR="00B15F7D" w:rsidRPr="00990FB6" w:rsidRDefault="00B15F7D" w:rsidP="00B15F7D">
      <w:pPr>
        <w:ind w:left="851" w:right="851" w:firstLine="709"/>
        <w:jc w:val="both"/>
        <w:rPr>
          <w:color w:val="000000"/>
          <w:sz w:val="22"/>
          <w:szCs w:val="22"/>
        </w:rPr>
      </w:pPr>
    </w:p>
    <w:p w14:paraId="1BA3DB60" w14:textId="77777777" w:rsidR="00B15F7D" w:rsidRPr="00990FB6" w:rsidRDefault="00B15F7D" w:rsidP="00B15F7D">
      <w:pPr>
        <w:ind w:left="851" w:right="851" w:firstLine="709"/>
        <w:jc w:val="both"/>
        <w:rPr>
          <w:color w:val="000000"/>
          <w:sz w:val="22"/>
          <w:szCs w:val="22"/>
        </w:rPr>
      </w:pPr>
      <w:r w:rsidRPr="00990FB6">
        <w:rPr>
          <w:color w:val="000000"/>
          <w:sz w:val="22"/>
          <w:szCs w:val="22"/>
        </w:rPr>
        <w:t>Por parte del Departamento de Trabajo Social y Psicología se destinó una plaza de Profesional en Trabajo Social y Psicología para asumir labores de coordinación de los equipos psicosociales desde el 2021, sustentado en los siguientes puntos:</w:t>
      </w:r>
    </w:p>
    <w:p w14:paraId="7823A725" w14:textId="77777777" w:rsidR="00B15F7D" w:rsidRPr="00990FB6" w:rsidRDefault="00B15F7D" w:rsidP="00B15F7D">
      <w:pPr>
        <w:ind w:left="851" w:right="851" w:firstLine="709"/>
        <w:jc w:val="both"/>
        <w:rPr>
          <w:color w:val="000000"/>
          <w:sz w:val="22"/>
          <w:szCs w:val="22"/>
        </w:rPr>
      </w:pPr>
    </w:p>
    <w:p w14:paraId="0AD03C44" w14:textId="01804F77" w:rsidR="00B15F7D" w:rsidRPr="00990FB6" w:rsidRDefault="00B15F7D" w:rsidP="00B15F7D">
      <w:pPr>
        <w:numPr>
          <w:ilvl w:val="0"/>
          <w:numId w:val="157"/>
        </w:numPr>
        <w:suppressAutoHyphens w:val="0"/>
        <w:ind w:left="851" w:right="851" w:firstLine="709"/>
        <w:jc w:val="both"/>
        <w:rPr>
          <w:color w:val="000000"/>
          <w:sz w:val="22"/>
          <w:szCs w:val="22"/>
        </w:rPr>
      </w:pPr>
      <w:r w:rsidRPr="00990FB6">
        <w:rPr>
          <w:color w:val="000000"/>
          <w:sz w:val="22"/>
          <w:szCs w:val="22"/>
        </w:rPr>
        <w:t>En oficio PJ-DGH-SAP-36-2020, las licenciadas Waiman Hin Herrera, Subdirectora interina de Gestión Humana y la Licda. María Gabriela Mora Zamora, Jefa de Sección de Análisis de Puestos comunicaron:</w:t>
      </w:r>
    </w:p>
    <w:p w14:paraId="32752C6C" w14:textId="77777777" w:rsidR="00F723CD" w:rsidRPr="00990FB6" w:rsidRDefault="00F723CD" w:rsidP="00F723CD">
      <w:pPr>
        <w:suppressAutoHyphens w:val="0"/>
        <w:ind w:left="1560" w:right="851"/>
        <w:jc w:val="both"/>
        <w:rPr>
          <w:color w:val="000000"/>
          <w:sz w:val="22"/>
          <w:szCs w:val="22"/>
        </w:rPr>
      </w:pPr>
    </w:p>
    <w:p w14:paraId="71A4C010" w14:textId="77777777" w:rsidR="00B15F7D" w:rsidRPr="00990FB6" w:rsidRDefault="00B15F7D" w:rsidP="00B15F7D">
      <w:pPr>
        <w:ind w:left="851" w:right="851" w:firstLine="709"/>
        <w:jc w:val="both"/>
        <w:rPr>
          <w:i/>
          <w:iCs/>
          <w:color w:val="000000"/>
          <w:sz w:val="22"/>
          <w:szCs w:val="22"/>
        </w:rPr>
      </w:pPr>
      <w:r w:rsidRPr="00990FB6">
        <w:rPr>
          <w:i/>
          <w:iCs/>
          <w:color w:val="000000"/>
          <w:sz w:val="22"/>
          <w:szCs w:val="22"/>
        </w:rPr>
        <w:t xml:space="preserve">“La Secretaría General de la Corte, mediante el oficio </w:t>
      </w:r>
      <w:proofErr w:type="spellStart"/>
      <w:r w:rsidRPr="00990FB6">
        <w:rPr>
          <w:i/>
          <w:iCs/>
          <w:color w:val="000000"/>
          <w:sz w:val="22"/>
          <w:szCs w:val="22"/>
        </w:rPr>
        <w:t>N°</w:t>
      </w:r>
      <w:proofErr w:type="spellEnd"/>
      <w:r w:rsidRPr="00990FB6">
        <w:rPr>
          <w:i/>
          <w:iCs/>
          <w:color w:val="000000"/>
          <w:sz w:val="22"/>
          <w:szCs w:val="22"/>
        </w:rPr>
        <w:t xml:space="preserve"> 12794-19 de fecha 04 de noviembre del año en curso, pone en conocimiento de esta Dirección lo acordado por el Consejo Superior en sesión N.º 103-19 celebrada el 04 de diciembre de 2019, artículo XCV, según se cita a continuación:</w:t>
      </w:r>
    </w:p>
    <w:p w14:paraId="58690AF7" w14:textId="77777777" w:rsidR="00B15F7D" w:rsidRPr="00990FB6" w:rsidRDefault="00B15F7D" w:rsidP="00B15F7D">
      <w:pPr>
        <w:ind w:left="851" w:right="851" w:firstLine="709"/>
        <w:jc w:val="both"/>
        <w:rPr>
          <w:i/>
          <w:iCs/>
          <w:color w:val="000000"/>
          <w:sz w:val="22"/>
          <w:szCs w:val="22"/>
        </w:rPr>
      </w:pPr>
    </w:p>
    <w:p w14:paraId="50D687F6" w14:textId="77777777" w:rsidR="00B15F7D" w:rsidRPr="00990FB6" w:rsidRDefault="00B15F7D" w:rsidP="00B15F7D">
      <w:pPr>
        <w:ind w:left="851" w:right="851" w:firstLine="709"/>
        <w:jc w:val="both"/>
        <w:rPr>
          <w:i/>
          <w:iCs/>
          <w:color w:val="000000"/>
          <w:sz w:val="22"/>
          <w:szCs w:val="22"/>
        </w:rPr>
      </w:pPr>
      <w:r w:rsidRPr="00990FB6">
        <w:rPr>
          <w:i/>
          <w:iCs/>
          <w:color w:val="000000"/>
          <w:sz w:val="22"/>
          <w:szCs w:val="22"/>
        </w:rPr>
        <w:lastRenderedPageBreak/>
        <w:t xml:space="preserve">“Acoger la solicitud presentada en oficio </w:t>
      </w:r>
      <w:proofErr w:type="spellStart"/>
      <w:r w:rsidRPr="00990FB6">
        <w:rPr>
          <w:i/>
          <w:iCs/>
          <w:color w:val="000000"/>
          <w:sz w:val="22"/>
          <w:szCs w:val="22"/>
        </w:rPr>
        <w:t>N°</w:t>
      </w:r>
      <w:proofErr w:type="spellEnd"/>
      <w:r w:rsidRPr="00990FB6">
        <w:rPr>
          <w:i/>
          <w:iCs/>
          <w:color w:val="000000"/>
          <w:sz w:val="22"/>
          <w:szCs w:val="22"/>
        </w:rPr>
        <w:t xml:space="preserve"> 173–DNJR-19, del 14 de noviembre de 2019, por el máster Rafael Segura Bonilla, magistrado de la Sala Tercera y Rector de Justicia Restaurativa y la máster Alba Gutiérrez Villalobos, Jefa del Departamento de Trabajo Social y Psicología, en consecuencia: 1.) Trasladar el presenta acuerdo a la Dirección de Planificación para lo relativo al cambio de nomenclatura de profesional 2 de Justicia Restaurativa del Departamento de Trabajo Social y Psicología, a Coordinador de Unidad 3, para la “Unidad de Coordinación de Justicia Restaurativa del Departamento de Trabajo Social y Psicología”, conforme la Ley de Justicia Restaurativa N°9582.  2.) Autorizar que las plazas vacantes y las que en adelante se creen para el Programa de Justicia Restaurativa del Departamento de Trabajo Social y Psicología, estén adscritas a la sede central de este, lo anterior, con la finalidad que, en caso necesario para mejor servicio, movilizar el personal de los equipos psicosociales al circuito judicial donde sea requerido”.</w:t>
      </w:r>
    </w:p>
    <w:p w14:paraId="512AC73A" w14:textId="77777777" w:rsidR="00B15F7D" w:rsidRPr="00990FB6" w:rsidRDefault="00B15F7D" w:rsidP="00B15F7D">
      <w:pPr>
        <w:ind w:left="851" w:right="851" w:firstLine="709"/>
        <w:jc w:val="both"/>
        <w:rPr>
          <w:i/>
          <w:iCs/>
          <w:color w:val="000000"/>
          <w:sz w:val="22"/>
          <w:szCs w:val="22"/>
        </w:rPr>
      </w:pPr>
    </w:p>
    <w:p w14:paraId="7129D442" w14:textId="77777777" w:rsidR="00B15F7D" w:rsidRPr="00990FB6" w:rsidRDefault="00B15F7D" w:rsidP="00B15F7D">
      <w:pPr>
        <w:ind w:left="851" w:right="851" w:firstLine="709"/>
        <w:jc w:val="both"/>
        <w:rPr>
          <w:i/>
          <w:iCs/>
          <w:color w:val="000000"/>
          <w:sz w:val="22"/>
          <w:szCs w:val="22"/>
        </w:rPr>
      </w:pPr>
      <w:r w:rsidRPr="00990FB6">
        <w:rPr>
          <w:i/>
          <w:iCs/>
          <w:color w:val="000000"/>
          <w:sz w:val="22"/>
          <w:szCs w:val="22"/>
        </w:rPr>
        <w:t>Sobre lo anterior, lo que procede técnicamente es que en primera instancia la Dirección de Planificación defina la ubicación y la conveniencia de una “Unidad de Coordinación de Justicia Restaurativa” para los parámetros propios su competencia; dentro de la estructura orgánica funcional del Departamento de Trabajo Social y Psicología o fuera de éste, para el adecuado ejercicio de las funciones en esa materia; por cuanto es de conocimiento también de esa instancia superior que la Dirección de Planificación se encuentra en desarrollo de un informe relacionado precisamente estructura organizativa del “Programa de Justicia Restaurativa”.</w:t>
      </w:r>
    </w:p>
    <w:p w14:paraId="6CC0E029" w14:textId="77777777" w:rsidR="00B15F7D" w:rsidRPr="00990FB6" w:rsidRDefault="00B15F7D" w:rsidP="00B15F7D">
      <w:pPr>
        <w:ind w:left="851" w:right="851" w:firstLine="709"/>
        <w:jc w:val="both"/>
        <w:rPr>
          <w:i/>
          <w:iCs/>
          <w:color w:val="000000"/>
          <w:sz w:val="22"/>
          <w:szCs w:val="22"/>
        </w:rPr>
      </w:pPr>
    </w:p>
    <w:p w14:paraId="3E646C39" w14:textId="77777777" w:rsidR="00B15F7D" w:rsidRPr="00990FB6" w:rsidRDefault="00B15F7D" w:rsidP="00B15F7D">
      <w:pPr>
        <w:ind w:left="851" w:right="851" w:firstLine="709"/>
        <w:jc w:val="both"/>
        <w:rPr>
          <w:i/>
          <w:iCs/>
          <w:color w:val="000000"/>
          <w:sz w:val="22"/>
          <w:szCs w:val="22"/>
        </w:rPr>
      </w:pPr>
      <w:r w:rsidRPr="00990FB6">
        <w:rPr>
          <w:i/>
          <w:iCs/>
          <w:color w:val="000000"/>
          <w:sz w:val="22"/>
          <w:szCs w:val="22"/>
        </w:rPr>
        <w:t>Es así, que una vez que se tenga los resultados de esta investigación se procederá desde esta instancia técnica a revisar lo que corresponda.”</w:t>
      </w:r>
    </w:p>
    <w:p w14:paraId="2D988CC4" w14:textId="77777777" w:rsidR="00B15F7D" w:rsidRPr="00990FB6" w:rsidRDefault="00B15F7D" w:rsidP="00B15F7D">
      <w:pPr>
        <w:ind w:left="851" w:right="851" w:firstLine="709"/>
        <w:jc w:val="both"/>
        <w:rPr>
          <w:i/>
          <w:iCs/>
          <w:color w:val="000000"/>
          <w:sz w:val="22"/>
          <w:szCs w:val="22"/>
        </w:rPr>
      </w:pPr>
    </w:p>
    <w:p w14:paraId="505D0EAC" w14:textId="77777777" w:rsidR="00B15F7D" w:rsidRPr="00990FB6" w:rsidRDefault="00B15F7D" w:rsidP="00B15F7D">
      <w:pPr>
        <w:ind w:left="851" w:right="851" w:firstLine="709"/>
        <w:jc w:val="both"/>
        <w:rPr>
          <w:color w:val="000000"/>
          <w:sz w:val="22"/>
          <w:szCs w:val="22"/>
        </w:rPr>
      </w:pPr>
      <w:r w:rsidRPr="00990FB6">
        <w:rPr>
          <w:color w:val="000000"/>
          <w:sz w:val="22"/>
          <w:szCs w:val="22"/>
        </w:rPr>
        <w:t>Sobre lo anterior, se acordó en sesión 12-2020 del Consejo Superior, celebrada el 13 de febrero de 2020, artículo LI:</w:t>
      </w:r>
    </w:p>
    <w:p w14:paraId="1D08C3AA" w14:textId="77777777" w:rsidR="00B15F7D" w:rsidRPr="00990FB6" w:rsidRDefault="00B15F7D" w:rsidP="00B15F7D">
      <w:pPr>
        <w:ind w:left="851" w:right="851" w:firstLine="709"/>
        <w:jc w:val="both"/>
        <w:rPr>
          <w:color w:val="000000"/>
          <w:sz w:val="22"/>
          <w:szCs w:val="22"/>
        </w:rPr>
      </w:pPr>
    </w:p>
    <w:p w14:paraId="744708CD" w14:textId="77777777" w:rsidR="00B15F7D" w:rsidRPr="00990FB6" w:rsidRDefault="00B15F7D" w:rsidP="00B15F7D">
      <w:pPr>
        <w:ind w:left="851" w:right="851" w:firstLine="709"/>
        <w:jc w:val="both"/>
        <w:rPr>
          <w:i/>
          <w:iCs/>
          <w:color w:val="000000"/>
          <w:sz w:val="22"/>
          <w:szCs w:val="22"/>
        </w:rPr>
      </w:pPr>
      <w:r w:rsidRPr="00990FB6">
        <w:rPr>
          <w:i/>
          <w:iCs/>
          <w:color w:val="000000"/>
          <w:sz w:val="22"/>
          <w:szCs w:val="22"/>
        </w:rPr>
        <w:t xml:space="preserve">“Tomar nota de la comunicación realizada por las licenciadas Waiman Hin Herrera, Subdirectora interina de Gestión Humana y María Gabriela Mora Zamora, Jefa de Sección de Análisis de Puestos, en oficio </w:t>
      </w:r>
      <w:proofErr w:type="spellStart"/>
      <w:r w:rsidRPr="00990FB6">
        <w:rPr>
          <w:i/>
          <w:iCs/>
          <w:color w:val="000000"/>
          <w:sz w:val="22"/>
          <w:szCs w:val="22"/>
        </w:rPr>
        <w:t>N°</w:t>
      </w:r>
      <w:proofErr w:type="spellEnd"/>
      <w:r w:rsidRPr="00990FB6">
        <w:rPr>
          <w:i/>
          <w:iCs/>
          <w:color w:val="000000"/>
          <w:sz w:val="22"/>
          <w:szCs w:val="22"/>
        </w:rPr>
        <w:t xml:space="preserve"> PJ-DGH-SAP-36-2020 del 31 de enero de 2020. 2.) Hacer este acuerdo de conocimiento de la Dirección de Planificación, para que sea tomado en cuenta dentro del informe de la estructura organizativa del “Programa de Justicia Restaurativa”.”</w:t>
      </w:r>
    </w:p>
    <w:p w14:paraId="64299B94" w14:textId="77777777" w:rsidR="00B15F7D" w:rsidRPr="00990FB6" w:rsidRDefault="00B15F7D" w:rsidP="00B15F7D">
      <w:pPr>
        <w:ind w:left="851" w:right="851" w:firstLine="709"/>
        <w:jc w:val="both"/>
        <w:rPr>
          <w:color w:val="000000"/>
          <w:sz w:val="22"/>
          <w:szCs w:val="22"/>
        </w:rPr>
      </w:pPr>
    </w:p>
    <w:p w14:paraId="2B426764" w14:textId="77777777" w:rsidR="00B15F7D" w:rsidRPr="00990FB6" w:rsidRDefault="00B15F7D" w:rsidP="00B15F7D">
      <w:pPr>
        <w:numPr>
          <w:ilvl w:val="0"/>
          <w:numId w:val="157"/>
        </w:numPr>
        <w:suppressAutoHyphens w:val="0"/>
        <w:ind w:left="851" w:right="851" w:firstLine="709"/>
        <w:jc w:val="both"/>
        <w:rPr>
          <w:color w:val="000000"/>
          <w:sz w:val="22"/>
          <w:szCs w:val="22"/>
        </w:rPr>
      </w:pPr>
      <w:r w:rsidRPr="00990FB6">
        <w:rPr>
          <w:color w:val="000000"/>
          <w:sz w:val="22"/>
          <w:szCs w:val="22"/>
        </w:rPr>
        <w:t>En oficio 133-DNJR-20 remitido el 25 de junio del 2020 por el Magistrado Gerardo Rubén Alfaro Vargas, Rector de Justicia Restaurativa se realizó la siguiente comunicación:</w:t>
      </w:r>
    </w:p>
    <w:p w14:paraId="2D852D03" w14:textId="77777777" w:rsidR="00B15F7D" w:rsidRPr="00990FB6" w:rsidRDefault="00B15F7D" w:rsidP="00B15F7D">
      <w:pPr>
        <w:ind w:left="851" w:right="851" w:firstLine="709"/>
        <w:jc w:val="both"/>
        <w:rPr>
          <w:i/>
          <w:iCs/>
          <w:color w:val="000000"/>
          <w:sz w:val="22"/>
          <w:szCs w:val="22"/>
        </w:rPr>
      </w:pPr>
      <w:r w:rsidRPr="00990FB6">
        <w:rPr>
          <w:i/>
          <w:iCs/>
          <w:color w:val="000000"/>
          <w:sz w:val="22"/>
          <w:szCs w:val="22"/>
        </w:rPr>
        <w:t>“… no resulta necesario que sea considerado dentro de la estructura de la Dirección de Justicia Restaurativa, conforme el análisis que continua en la Dirección de Planificación. Por el contrario instamos para que pueda ejecutarse lo antes posible el acuerdo del Consejo Superior y se realice el cambio de nomenclatura de profesional 2 de Justicia Restaurativa del Departamento de Trabajo Social y Psicología, a Coordinador de Unidad 3 para la “Unidad de Coordinación de Justicia Restaurativa del Departamento de Trabajo Social y Psicología.”.</w:t>
      </w:r>
    </w:p>
    <w:p w14:paraId="691CA314" w14:textId="77777777" w:rsidR="00B15F7D" w:rsidRPr="00990FB6" w:rsidRDefault="00B15F7D" w:rsidP="00B15F7D">
      <w:pPr>
        <w:ind w:left="851" w:right="851" w:firstLine="709"/>
        <w:jc w:val="both"/>
        <w:rPr>
          <w:i/>
          <w:iCs/>
          <w:color w:val="000000"/>
          <w:sz w:val="22"/>
          <w:szCs w:val="22"/>
        </w:rPr>
      </w:pPr>
    </w:p>
    <w:p w14:paraId="0AA9320D"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Actualmente, la Oficina Rectora de Justicia Restaurativa está trabajando bajo esta línea, por lo que se cuenta con 22 plazas de profesionales del Departamento de Trabajo Social y Psicología que integran los equipos psicosociales y una plaza que se está empleando en labores de coordinación. </w:t>
      </w:r>
    </w:p>
    <w:p w14:paraId="17F1D2E6" w14:textId="77777777" w:rsidR="00B15F7D" w:rsidRPr="00990FB6" w:rsidRDefault="00B15F7D" w:rsidP="00B15F7D">
      <w:pPr>
        <w:ind w:left="851" w:right="851" w:firstLine="709"/>
        <w:jc w:val="both"/>
        <w:rPr>
          <w:color w:val="000000"/>
          <w:sz w:val="22"/>
          <w:szCs w:val="22"/>
        </w:rPr>
      </w:pPr>
    </w:p>
    <w:p w14:paraId="3334818B" w14:textId="77777777" w:rsidR="00B15F7D" w:rsidRPr="00990FB6" w:rsidRDefault="00B15F7D" w:rsidP="00B15F7D">
      <w:pPr>
        <w:ind w:left="851" w:right="851" w:firstLine="709"/>
        <w:jc w:val="both"/>
        <w:rPr>
          <w:color w:val="000000"/>
          <w:sz w:val="22"/>
          <w:szCs w:val="22"/>
        </w:rPr>
      </w:pPr>
      <w:r w:rsidRPr="00990FB6">
        <w:rPr>
          <w:color w:val="000000"/>
          <w:sz w:val="22"/>
          <w:szCs w:val="22"/>
        </w:rPr>
        <w:t>Relacionado con esta situación, se cuenta con el antecedente del informe 1585-PLA-2009 aprobado en sesión del Consejo Superior 103-2009, artículo LXII, celebrada el 12 de noviembre de 2009 en el que se acuerda:</w:t>
      </w:r>
    </w:p>
    <w:p w14:paraId="005A8FFC" w14:textId="77777777" w:rsidR="00B15F7D" w:rsidRPr="00990FB6" w:rsidRDefault="00B15F7D" w:rsidP="00B15F7D">
      <w:pPr>
        <w:ind w:left="851" w:right="851" w:firstLine="709"/>
        <w:jc w:val="both"/>
        <w:rPr>
          <w:color w:val="000000"/>
          <w:sz w:val="22"/>
          <w:szCs w:val="22"/>
        </w:rPr>
      </w:pPr>
    </w:p>
    <w:p w14:paraId="2D526BE6" w14:textId="77777777" w:rsidR="00B15F7D" w:rsidRPr="00990FB6" w:rsidRDefault="00B15F7D" w:rsidP="00B15F7D">
      <w:pPr>
        <w:ind w:left="851" w:right="851" w:firstLine="709"/>
        <w:jc w:val="both"/>
        <w:rPr>
          <w:i/>
          <w:iCs/>
          <w:color w:val="000000"/>
          <w:sz w:val="22"/>
          <w:szCs w:val="22"/>
        </w:rPr>
      </w:pPr>
      <w:r w:rsidRPr="00990FB6">
        <w:rPr>
          <w:color w:val="000000"/>
          <w:sz w:val="22"/>
          <w:szCs w:val="22"/>
        </w:rPr>
        <w:t>“</w:t>
      </w:r>
      <w:r w:rsidRPr="00990FB6">
        <w:rPr>
          <w:i/>
          <w:color w:val="000000"/>
          <w:sz w:val="22"/>
          <w:szCs w:val="22"/>
        </w:rPr>
        <w:t>1.) Tener por recibido el informe N°1585-PLA-2009 del Departamento de Planificación, relacionado con el "Estudio sobre la posibilidad de que los cargos de coordinación en la Defensa Pública no sean permanentes sino sujetos a plazo, como ocurre en el caso de los jueces". 2.) Disponer que a partir de la fecha de este acuerdo, el cargo de Defensor Público Coordinador no estará creado como tal sino que las plazas tendrán la categoría de Defensor 2 y el servidor que asume la coordinación por un periodo de dos años, conforme lo recomienda el informe del Departamento de Planificación y que este Consejo acoge, recibirá un plus que el Departamento de Personal deberá estudiar y recomendar a este Consejo para su aprobación.</w:t>
      </w:r>
      <w:r w:rsidRPr="00990FB6">
        <w:rPr>
          <w:i/>
          <w:iCs/>
          <w:color w:val="000000"/>
          <w:sz w:val="22"/>
          <w:szCs w:val="22"/>
        </w:rPr>
        <w:t>”</w:t>
      </w:r>
    </w:p>
    <w:p w14:paraId="4E02169F" w14:textId="77777777" w:rsidR="00B15F7D" w:rsidRPr="00990FB6" w:rsidRDefault="00B15F7D" w:rsidP="00B15F7D">
      <w:pPr>
        <w:ind w:left="851" w:right="851" w:firstLine="709"/>
        <w:jc w:val="both"/>
        <w:rPr>
          <w:i/>
          <w:iCs/>
          <w:color w:val="000000"/>
          <w:sz w:val="22"/>
          <w:szCs w:val="22"/>
        </w:rPr>
      </w:pPr>
    </w:p>
    <w:p w14:paraId="412A9F3D" w14:textId="77777777" w:rsidR="00B15F7D" w:rsidRPr="00990FB6" w:rsidRDefault="00B15F7D" w:rsidP="00B15F7D">
      <w:pPr>
        <w:ind w:left="851" w:right="851" w:firstLine="709"/>
        <w:jc w:val="both"/>
        <w:rPr>
          <w:color w:val="000000"/>
          <w:sz w:val="22"/>
          <w:szCs w:val="22"/>
        </w:rPr>
      </w:pPr>
      <w:r w:rsidRPr="00990FB6">
        <w:rPr>
          <w:color w:val="000000"/>
          <w:sz w:val="22"/>
          <w:szCs w:val="22"/>
        </w:rPr>
        <w:t>Según los lineamientos establecidos por Consejo Superior en sesión  13-19 del 15 de febrero de 2019, artículo XIX, se dispuso hacer de conocimiento a todas las personas servidoras judiciales que la Dirección de Gestión Humana atenderá únicamente aquellas solicitudes de análisis y revisión en materia de Clasificación y Valoración de puestos que obligatoriamente respondan:</w:t>
      </w:r>
      <w:r w:rsidRPr="00990FB6">
        <w:rPr>
          <w:color w:val="000000"/>
          <w:sz w:val="22"/>
          <w:szCs w:val="22"/>
          <w:bdr w:val="none" w:sz="0" w:space="0" w:color="auto" w:frame="1"/>
          <w:lang w:val="es-MX" w:eastAsia="es-CR"/>
        </w:rPr>
        <w:t xml:space="preserve"> </w:t>
      </w:r>
      <w:r w:rsidRPr="00990FB6">
        <w:rPr>
          <w:b/>
          <w:bCs/>
          <w:i/>
          <w:iCs/>
          <w:color w:val="000000"/>
          <w:sz w:val="22"/>
          <w:szCs w:val="22"/>
          <w:bdr w:val="none" w:sz="0" w:space="0" w:color="auto" w:frame="1"/>
          <w:lang w:val="es-MX" w:eastAsia="es-CR"/>
        </w:rPr>
        <w:t xml:space="preserve">“… como resultado de recomendaciones emitidas en los informes técnicos elaborados por la Dirección de Planificación y aprobados por los órganos superiores a saber Consejo Superior y Corte Plena…”  </w:t>
      </w:r>
      <w:r w:rsidRPr="00990FB6">
        <w:rPr>
          <w:bCs/>
          <w:snapToGrid w:val="0"/>
          <w:color w:val="000000"/>
          <w:sz w:val="22"/>
          <w:szCs w:val="22"/>
        </w:rPr>
        <w:t>y comunicado mediante la Circular No. 25-2019 sobre “</w:t>
      </w:r>
      <w:r w:rsidRPr="00990FB6">
        <w:rPr>
          <w:bCs/>
          <w:i/>
          <w:iCs/>
          <w:snapToGrid w:val="0"/>
          <w:color w:val="000000"/>
          <w:sz w:val="22"/>
          <w:szCs w:val="22"/>
        </w:rPr>
        <w:t>Lineamientos de restricción relacionados con</w:t>
      </w:r>
      <w:r w:rsidRPr="00990FB6">
        <w:rPr>
          <w:i/>
          <w:iCs/>
          <w:color w:val="000000"/>
          <w:sz w:val="22"/>
          <w:szCs w:val="22"/>
        </w:rPr>
        <w:t xml:space="preserve"> el Sistema de Clasificación y Valoración de Puestos”</w:t>
      </w:r>
      <w:r w:rsidRPr="00990FB6">
        <w:rPr>
          <w:color w:val="000000"/>
          <w:sz w:val="22"/>
          <w:szCs w:val="22"/>
        </w:rPr>
        <w:t>. En donde se indica:</w:t>
      </w:r>
    </w:p>
    <w:p w14:paraId="1B2BB9F5" w14:textId="77777777" w:rsidR="00B15F7D" w:rsidRPr="00990FB6" w:rsidRDefault="00B15F7D" w:rsidP="00B15F7D">
      <w:pPr>
        <w:ind w:left="851" w:right="851" w:firstLine="709"/>
        <w:jc w:val="both"/>
        <w:rPr>
          <w:color w:val="000000"/>
          <w:sz w:val="22"/>
          <w:szCs w:val="22"/>
        </w:rPr>
      </w:pPr>
    </w:p>
    <w:p w14:paraId="7789BAD3" w14:textId="77777777" w:rsidR="00B15F7D" w:rsidRPr="00990FB6" w:rsidRDefault="00B15F7D" w:rsidP="00B15F7D">
      <w:pPr>
        <w:ind w:left="851" w:right="851" w:firstLine="709"/>
        <w:jc w:val="both"/>
        <w:rPr>
          <w:i/>
          <w:color w:val="000000"/>
          <w:sz w:val="22"/>
          <w:szCs w:val="22"/>
        </w:rPr>
      </w:pPr>
      <w:r w:rsidRPr="00990FB6">
        <w:rPr>
          <w:i/>
          <w:color w:val="000000"/>
          <w:sz w:val="22"/>
          <w:szCs w:val="22"/>
        </w:rPr>
        <w:t xml:space="preserve">“4… C). Es indispensable considerar que de conformidad con el artículo 5º de la Ley de Salarios del Poder Judicial, las reasignaciones propuestas en los informes quedan sujetas a la disponibilidad presupuestaria de la institución; de igual manera y en apego al numeral 6º de la misma norma jurídica, debe condicionarse al período fiscal en que el cambio sea posible aplicarlo y el inciso f) del artículo 110 de la Ley de la Administración Financiera de la República y Presupuesto Públicos, claramente establece que son hechos generadores de responsabilidad administrativa“…la autorización o realización de compromisos o erogaciones sin que exista contenido económico suficiente, debidamente presupuestado…”. También lo establecido por la Corte Plena, en la sesión </w:t>
      </w:r>
      <w:proofErr w:type="spellStart"/>
      <w:r w:rsidRPr="00990FB6">
        <w:rPr>
          <w:i/>
          <w:color w:val="000000"/>
          <w:sz w:val="22"/>
          <w:szCs w:val="22"/>
        </w:rPr>
        <w:t>N°</w:t>
      </w:r>
      <w:proofErr w:type="spellEnd"/>
      <w:r w:rsidRPr="00990FB6">
        <w:rPr>
          <w:i/>
          <w:color w:val="000000"/>
          <w:sz w:val="22"/>
          <w:szCs w:val="22"/>
        </w:rPr>
        <w:t xml:space="preserve"> 09-12 celebrada el 5 de marzo del 2012, artículo XVII que indica: “… 1.11. Reconocer las reasignaciones en el salario a partir del momento en que se cuente con contenido presupuestario, conforme lo establece la legislación vigente…”.</w:t>
      </w:r>
    </w:p>
    <w:p w14:paraId="79D13426" w14:textId="77777777" w:rsidR="00B15F7D" w:rsidRPr="00990FB6" w:rsidRDefault="00B15F7D" w:rsidP="00B15F7D">
      <w:pPr>
        <w:ind w:left="851" w:right="851" w:firstLine="709"/>
        <w:jc w:val="both"/>
        <w:rPr>
          <w:i/>
          <w:color w:val="000000"/>
          <w:sz w:val="22"/>
          <w:szCs w:val="22"/>
        </w:rPr>
      </w:pPr>
      <w:r w:rsidRPr="00990FB6">
        <w:rPr>
          <w:i/>
          <w:color w:val="000000"/>
          <w:sz w:val="22"/>
          <w:szCs w:val="22"/>
        </w:rPr>
        <w:t xml:space="preserve"> </w:t>
      </w:r>
    </w:p>
    <w:p w14:paraId="69CA8D9D"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En línea con lo anterior, mediante oficio </w:t>
      </w:r>
      <w:r w:rsidRPr="00990FB6">
        <w:rPr>
          <w:color w:val="000000"/>
          <w:sz w:val="22"/>
          <w:szCs w:val="22"/>
          <w:lang w:eastAsia="es-ES"/>
        </w:rPr>
        <w:t xml:space="preserve">659-PLA-OI-PE-2022 </w:t>
      </w:r>
      <w:r w:rsidRPr="00990FB6">
        <w:rPr>
          <w:color w:val="000000"/>
          <w:sz w:val="22"/>
          <w:szCs w:val="22"/>
        </w:rPr>
        <w:t xml:space="preserve">de fecha 26 de julio de 2022, conocido por Consejo Superior en sesión 70-2022, celebrada el 18 de agosto de 2022, artículo XL de la Dirección de Planificación, referente al </w:t>
      </w:r>
      <w:r w:rsidRPr="00990FB6">
        <w:rPr>
          <w:color w:val="000000"/>
          <w:sz w:val="22"/>
          <w:szCs w:val="22"/>
          <w:lang w:eastAsia="es-ES"/>
        </w:rPr>
        <w:lastRenderedPageBreak/>
        <w:t>estudio efectuado sobre la necesidad de recalificar una plaza de Trabajador Social a Coordinador de Unidad 3, para la Unidad de Coordinación de Justicia Restaurativa en el Departamento de Trabajo Social y Psicología</w:t>
      </w:r>
      <w:r w:rsidRPr="00990FB6">
        <w:rPr>
          <w:color w:val="000000"/>
          <w:sz w:val="22"/>
          <w:szCs w:val="22"/>
        </w:rPr>
        <w:t>, en donde literalmente se indica:</w:t>
      </w:r>
    </w:p>
    <w:p w14:paraId="1AA7AAF6" w14:textId="77777777" w:rsidR="00B15F7D" w:rsidRPr="00990FB6" w:rsidRDefault="00B15F7D" w:rsidP="00B15F7D">
      <w:pPr>
        <w:ind w:left="851" w:right="851" w:firstLine="709"/>
        <w:jc w:val="both"/>
        <w:rPr>
          <w:color w:val="000000"/>
          <w:sz w:val="22"/>
          <w:szCs w:val="22"/>
        </w:rPr>
      </w:pPr>
    </w:p>
    <w:p w14:paraId="2D565A90" w14:textId="77777777" w:rsidR="00B15F7D" w:rsidRPr="00990FB6" w:rsidRDefault="00B15F7D" w:rsidP="00B15F7D">
      <w:pPr>
        <w:ind w:left="851" w:right="851" w:firstLine="709"/>
        <w:jc w:val="both"/>
        <w:rPr>
          <w:i/>
          <w:iCs/>
          <w:color w:val="000000"/>
          <w:sz w:val="22"/>
          <w:szCs w:val="22"/>
          <w:lang w:eastAsia="es-ES"/>
        </w:rPr>
      </w:pPr>
      <w:r w:rsidRPr="00990FB6">
        <w:rPr>
          <w:i/>
          <w:iCs/>
          <w:color w:val="000000"/>
          <w:sz w:val="22"/>
          <w:szCs w:val="22"/>
          <w:lang w:eastAsia="es-ES"/>
        </w:rPr>
        <w:t>“Se acordó: 1) Tener por rendido el informe N°659-PLA-OI-PE-2022 relacionado con el estudio efectuado sobre la necesidad de recalificar una plaza de Trabajador Social a Coordinador de Unidad 3, para la Unidad de Coordinación de Justicia Restaurativa en el Departamento de Trabajo Social y Psicología. 2) Aprobar todas las recomendaciones dirigidas a este Consejo Superior correspondientes a: a) Se crea formalmente dentro de la estructura organizacional del Departamento de Trabajo Social y Psicología la “Unidad de Coordinación de Justicia Restaurativa”, para que dependa jerárquicamente de las jefaturas del DTSP, tal como se visualiza en el Organigrama del punto 3.1. del presente informe. b) Se aprueba el escenario dos, el cual implica reconocer un plus salarial por las funciones de Coordinación, con el apoyo de la Subjefatura del Departamento de Trabajo Social y Psicología, manteniendo las tareas sustantivas del puesto de Perito Judicial 2 en menor porcentaje, y con la discrecionalidad de revisar cada dos años el desempeño de la persona que funge como Coordinadora (con la finalidad de definir si continúa o se sustituye por otra persona profesional de Justicia Restaurativa).”</w:t>
      </w:r>
    </w:p>
    <w:p w14:paraId="64DD0CD1" w14:textId="77777777" w:rsidR="00B15F7D" w:rsidRPr="00990FB6" w:rsidRDefault="00B15F7D" w:rsidP="00B15F7D">
      <w:pPr>
        <w:ind w:left="851" w:right="851" w:firstLine="709"/>
        <w:jc w:val="both"/>
        <w:rPr>
          <w:i/>
          <w:iCs/>
          <w:color w:val="000000"/>
          <w:sz w:val="22"/>
          <w:szCs w:val="22"/>
          <w:lang w:eastAsia="es-ES"/>
        </w:rPr>
      </w:pPr>
    </w:p>
    <w:p w14:paraId="0F41AB36"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Por otra parte, se actualiza a enero 2023 la cobertura por Circuito Judicial en las diferentes materias. El detalle correspondiente se muestra a continuación: </w:t>
      </w:r>
    </w:p>
    <w:p w14:paraId="6551DEB4" w14:textId="77777777" w:rsidR="00B15F7D" w:rsidRPr="00990FB6" w:rsidRDefault="00B15F7D" w:rsidP="00B15F7D">
      <w:pPr>
        <w:ind w:left="851" w:right="851" w:firstLine="709"/>
        <w:jc w:val="both"/>
        <w:rPr>
          <w:color w:val="000000"/>
          <w:sz w:val="22"/>
          <w:szCs w:val="22"/>
        </w:rPr>
      </w:pPr>
    </w:p>
    <w:p w14:paraId="10D9800D" w14:textId="77777777" w:rsidR="00B15F7D" w:rsidRPr="00990FB6" w:rsidRDefault="00B15F7D" w:rsidP="00B15F7D">
      <w:pPr>
        <w:tabs>
          <w:tab w:val="left" w:pos="0"/>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w:t>
      </w:r>
      <w:r w:rsidRPr="00990FB6">
        <w:rPr>
          <w:b/>
          <w:bCs/>
          <w:color w:val="000000"/>
          <w:sz w:val="22"/>
          <w:szCs w:val="22"/>
        </w:rPr>
        <w:fldChar w:fldCharType="end"/>
      </w:r>
      <w:r w:rsidRPr="00990FB6">
        <w:rPr>
          <w:b/>
          <w:bCs/>
          <w:color w:val="000000"/>
          <w:sz w:val="22"/>
          <w:szCs w:val="22"/>
        </w:rPr>
        <w:t>. Abordaje de Justicia Restaurativa según circuito y materia para el año 2024</w:t>
      </w:r>
    </w:p>
    <w:p w14:paraId="03123257" w14:textId="77777777" w:rsidR="00B15F7D" w:rsidRPr="00990FB6" w:rsidRDefault="00B15F7D" w:rsidP="00B15F7D">
      <w:pPr>
        <w:tabs>
          <w:tab w:val="left" w:pos="0"/>
        </w:tabs>
        <w:jc w:val="center"/>
        <w:rPr>
          <w:b/>
          <w:color w:val="000000"/>
          <w:sz w:val="22"/>
          <w:szCs w:val="22"/>
        </w:rPr>
      </w:pPr>
      <w:r w:rsidRPr="00990FB6">
        <w:rPr>
          <w:noProof/>
          <w:color w:val="000000"/>
          <w:sz w:val="22"/>
          <w:szCs w:val="22"/>
        </w:rPr>
        <w:drawing>
          <wp:inline distT="0" distB="0" distL="0" distR="0" wp14:anchorId="3A535CDD" wp14:editId="2B1E4A5A">
            <wp:extent cx="4038600" cy="26130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38600" cy="2613025"/>
                    </a:xfrm>
                    <a:prstGeom prst="rect">
                      <a:avLst/>
                    </a:prstGeom>
                    <a:noFill/>
                    <a:ln>
                      <a:noFill/>
                    </a:ln>
                  </pic:spPr>
                </pic:pic>
              </a:graphicData>
            </a:graphic>
          </wp:inline>
        </w:drawing>
      </w:r>
    </w:p>
    <w:p w14:paraId="6C21EF3F" w14:textId="77777777" w:rsidR="00B15F7D" w:rsidRPr="00990FB6" w:rsidRDefault="00B15F7D" w:rsidP="00B15F7D">
      <w:pPr>
        <w:tabs>
          <w:tab w:val="left" w:pos="0"/>
        </w:tabs>
        <w:ind w:left="851" w:right="851" w:firstLine="709"/>
        <w:jc w:val="both"/>
        <w:rPr>
          <w:bCs/>
          <w:color w:val="000000"/>
          <w:sz w:val="22"/>
          <w:szCs w:val="22"/>
        </w:rPr>
      </w:pPr>
      <w:r w:rsidRPr="00990FB6">
        <w:rPr>
          <w:b/>
          <w:color w:val="000000"/>
          <w:sz w:val="22"/>
          <w:szCs w:val="22"/>
        </w:rPr>
        <w:t>Fuente:</w:t>
      </w:r>
      <w:r w:rsidRPr="00990FB6">
        <w:rPr>
          <w:bCs/>
          <w:color w:val="000000"/>
          <w:sz w:val="22"/>
          <w:szCs w:val="22"/>
        </w:rPr>
        <w:t xml:space="preserve"> Modernización Institucional a partir de información suministrada por parte de la Oficina Rectora de Justicia Restaurativa.</w:t>
      </w:r>
    </w:p>
    <w:p w14:paraId="6CE43434" w14:textId="77777777" w:rsidR="00B15F7D" w:rsidRPr="00990FB6" w:rsidRDefault="00B15F7D" w:rsidP="00B15F7D">
      <w:pPr>
        <w:tabs>
          <w:tab w:val="left" w:pos="0"/>
        </w:tabs>
        <w:ind w:left="851" w:right="851" w:firstLine="709"/>
        <w:jc w:val="both"/>
        <w:rPr>
          <w:b/>
          <w:bCs/>
          <w:color w:val="000000"/>
          <w:sz w:val="22"/>
          <w:szCs w:val="22"/>
        </w:rPr>
      </w:pPr>
    </w:p>
    <w:p w14:paraId="09B3AA73"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lastRenderedPageBreak/>
        <w:t>A continuación, se presenta la simbología</w:t>
      </w:r>
      <w:r w:rsidRPr="00990FB6">
        <w:rPr>
          <w:color w:val="000000"/>
          <w:sz w:val="22"/>
          <w:szCs w:val="22"/>
          <w:vertAlign w:val="superscript"/>
        </w:rPr>
        <w:footnoteReference w:id="1"/>
      </w:r>
      <w:r w:rsidRPr="00990FB6">
        <w:rPr>
          <w:color w:val="000000"/>
          <w:sz w:val="22"/>
          <w:szCs w:val="22"/>
        </w:rPr>
        <w:t xml:space="preserve"> utilizada en el </w:t>
      </w:r>
      <w:r w:rsidRPr="00990FB6">
        <w:rPr>
          <w:color w:val="000000"/>
          <w:sz w:val="22"/>
          <w:szCs w:val="22"/>
        </w:rPr>
        <w:fldChar w:fldCharType="begin"/>
      </w:r>
      <w:r w:rsidRPr="00990FB6">
        <w:rPr>
          <w:color w:val="000000"/>
          <w:sz w:val="22"/>
          <w:szCs w:val="22"/>
        </w:rPr>
        <w:instrText xml:space="preserve"> REF _Ref30774968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1. Abordaje de Justicia Restaurativa según circuito y materia para el año 202</w:t>
      </w:r>
      <w:r w:rsidRPr="00990FB6">
        <w:rPr>
          <w:color w:val="000000"/>
          <w:sz w:val="22"/>
          <w:szCs w:val="22"/>
        </w:rPr>
        <w:fldChar w:fldCharType="end"/>
      </w:r>
      <w:r w:rsidRPr="00990FB6">
        <w:rPr>
          <w:color w:val="000000"/>
          <w:sz w:val="22"/>
          <w:szCs w:val="22"/>
        </w:rPr>
        <w:t>4.</w:t>
      </w:r>
    </w:p>
    <w:p w14:paraId="4C9EC57C" w14:textId="77777777" w:rsidR="00B15F7D" w:rsidRPr="00990FB6" w:rsidRDefault="00B15F7D" w:rsidP="00B15F7D">
      <w:pPr>
        <w:tabs>
          <w:tab w:val="left" w:pos="0"/>
        </w:tabs>
        <w:jc w:val="both"/>
        <w:rPr>
          <w:color w:val="000000"/>
          <w:sz w:val="22"/>
          <w:szCs w:val="22"/>
        </w:rPr>
      </w:pPr>
    </w:p>
    <w:p w14:paraId="020AF95F" w14:textId="77777777" w:rsidR="00B15F7D" w:rsidRPr="00990FB6" w:rsidRDefault="00B15F7D" w:rsidP="00B15F7D">
      <w:pPr>
        <w:tabs>
          <w:tab w:val="left" w:pos="0"/>
        </w:tabs>
        <w:jc w:val="center"/>
        <w:rPr>
          <w:color w:val="000000"/>
          <w:sz w:val="22"/>
          <w:szCs w:val="22"/>
        </w:rPr>
      </w:pPr>
      <w:r w:rsidRPr="00990FB6">
        <w:rPr>
          <w:noProof/>
          <w:color w:val="000000"/>
          <w:sz w:val="22"/>
          <w:szCs w:val="22"/>
        </w:rPr>
        <w:drawing>
          <wp:inline distT="0" distB="0" distL="0" distR="0" wp14:anchorId="44171DC9" wp14:editId="45DE7F9C">
            <wp:extent cx="2609557" cy="818468"/>
            <wp:effectExtent l="0" t="0" r="63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4691" cy="820078"/>
                    </a:xfrm>
                    <a:prstGeom prst="rect">
                      <a:avLst/>
                    </a:prstGeom>
                    <a:noFill/>
                    <a:ln>
                      <a:noFill/>
                    </a:ln>
                  </pic:spPr>
                </pic:pic>
              </a:graphicData>
            </a:graphic>
          </wp:inline>
        </w:drawing>
      </w:r>
    </w:p>
    <w:p w14:paraId="7A0D6463" w14:textId="77777777" w:rsidR="00B15F7D" w:rsidRPr="00990FB6" w:rsidRDefault="00B15F7D" w:rsidP="00B15F7D">
      <w:pPr>
        <w:jc w:val="center"/>
        <w:rPr>
          <w:color w:val="000000"/>
          <w:sz w:val="22"/>
          <w:szCs w:val="22"/>
        </w:rPr>
      </w:pPr>
      <w:r w:rsidRPr="00990FB6">
        <w:rPr>
          <w:noProof/>
          <w:color w:val="000000"/>
          <w:sz w:val="22"/>
          <w:szCs w:val="22"/>
        </w:rPr>
        <w:drawing>
          <wp:inline distT="0" distB="0" distL="0" distR="0" wp14:anchorId="03D26A7A" wp14:editId="3A4B85E4">
            <wp:extent cx="2289976" cy="266841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94152" cy="2673283"/>
                    </a:xfrm>
                    <a:prstGeom prst="rect">
                      <a:avLst/>
                    </a:prstGeom>
                    <a:noFill/>
                    <a:ln>
                      <a:noFill/>
                    </a:ln>
                  </pic:spPr>
                </pic:pic>
              </a:graphicData>
            </a:graphic>
          </wp:inline>
        </w:drawing>
      </w:r>
    </w:p>
    <w:p w14:paraId="6ED1109E" w14:textId="77777777" w:rsidR="00B15F7D" w:rsidRPr="00990FB6" w:rsidRDefault="00B15F7D" w:rsidP="00B15F7D">
      <w:pPr>
        <w:jc w:val="both"/>
        <w:rPr>
          <w:smallCaps/>
          <w:color w:val="000000"/>
          <w:sz w:val="22"/>
          <w:szCs w:val="22"/>
        </w:rPr>
      </w:pPr>
    </w:p>
    <w:p w14:paraId="65776878" w14:textId="77777777" w:rsidR="00B15F7D" w:rsidRPr="00990FB6" w:rsidRDefault="00B15F7D" w:rsidP="00B15F7D">
      <w:pPr>
        <w:ind w:left="851" w:right="851" w:firstLine="709"/>
        <w:jc w:val="both"/>
        <w:rPr>
          <w:smallCaps/>
          <w:color w:val="000000"/>
          <w:sz w:val="22"/>
          <w:szCs w:val="22"/>
        </w:rPr>
      </w:pPr>
      <w:r w:rsidRPr="00990FB6">
        <w:rPr>
          <w:smallCaps/>
          <w:color w:val="000000"/>
          <w:sz w:val="22"/>
          <w:szCs w:val="22"/>
        </w:rPr>
        <w:t xml:space="preserve">En el </w:t>
      </w:r>
      <w:r w:rsidRPr="00990FB6">
        <w:rPr>
          <w:smallCaps/>
          <w:color w:val="000000"/>
          <w:sz w:val="22"/>
          <w:szCs w:val="22"/>
        </w:rPr>
        <w:fldChar w:fldCharType="begin"/>
      </w:r>
      <w:r w:rsidRPr="00990FB6">
        <w:rPr>
          <w:smallCaps/>
          <w:color w:val="000000"/>
          <w:sz w:val="22"/>
          <w:szCs w:val="22"/>
        </w:rPr>
        <w:instrText xml:space="preserve"> REF _Ref31006745 \h  \* MERGEFORMAT </w:instrText>
      </w:r>
      <w:r w:rsidRPr="00990FB6">
        <w:rPr>
          <w:smallCaps/>
          <w:color w:val="000000"/>
          <w:sz w:val="22"/>
          <w:szCs w:val="22"/>
        </w:rPr>
      </w:r>
      <w:r w:rsidRPr="00990FB6">
        <w:rPr>
          <w:smallCaps/>
          <w:color w:val="000000"/>
          <w:sz w:val="22"/>
          <w:szCs w:val="22"/>
        </w:rPr>
        <w:fldChar w:fldCharType="separate"/>
      </w:r>
      <w:r w:rsidRPr="00990FB6">
        <w:rPr>
          <w:smallCaps/>
          <w:color w:val="000000"/>
          <w:sz w:val="22"/>
          <w:szCs w:val="22"/>
        </w:rPr>
        <w:t>Cuadro 1</w:t>
      </w:r>
      <w:r w:rsidRPr="00990FB6">
        <w:rPr>
          <w:smallCaps/>
          <w:color w:val="000000"/>
          <w:sz w:val="22"/>
          <w:szCs w:val="22"/>
        </w:rPr>
        <w:fldChar w:fldCharType="end"/>
      </w:r>
      <w:r w:rsidRPr="00990FB6">
        <w:rPr>
          <w:smallCaps/>
          <w:color w:val="000000"/>
          <w:sz w:val="22"/>
          <w:szCs w:val="22"/>
        </w:rPr>
        <w:t>, se muestra el detalle de los Circuitos Judiciales que tienen atención por parte de los nueve equipos de Justicia Restaurativa en la materia de Penal Adulto, los cuales se encuentran conformados por una plaza de Fiscala o Fiscal, una de Defensora o Defensor y adicionalmente con soporte Psicosocial ya sea por parte de una o dos plazas en el área; así como de una plaza técnica o técnico Judicial a cargo la Fiscala o Fiscal de Justicia Restaurativa.</w:t>
      </w:r>
    </w:p>
    <w:p w14:paraId="30EFB32A" w14:textId="77777777" w:rsidR="00B15F7D" w:rsidRPr="00990FB6" w:rsidRDefault="00B15F7D" w:rsidP="00B15F7D">
      <w:pPr>
        <w:ind w:left="851" w:right="851" w:firstLine="709"/>
        <w:jc w:val="both"/>
        <w:rPr>
          <w:smallCaps/>
          <w:color w:val="000000"/>
          <w:sz w:val="22"/>
          <w:szCs w:val="22"/>
        </w:rPr>
      </w:pPr>
    </w:p>
    <w:p w14:paraId="76B9177D" w14:textId="77777777" w:rsidR="00B15F7D" w:rsidRPr="00990FB6" w:rsidRDefault="00B15F7D" w:rsidP="00B15F7D">
      <w:pPr>
        <w:ind w:left="851" w:right="851" w:firstLine="709"/>
        <w:jc w:val="both"/>
        <w:rPr>
          <w:smallCaps/>
          <w:color w:val="000000"/>
          <w:sz w:val="22"/>
          <w:szCs w:val="22"/>
        </w:rPr>
      </w:pPr>
      <w:r w:rsidRPr="00990FB6">
        <w:rPr>
          <w:smallCaps/>
          <w:color w:val="000000"/>
          <w:sz w:val="22"/>
          <w:szCs w:val="22"/>
        </w:rPr>
        <w:t>En el caso de las personas Técnicas Judiciales, se indica que se cuenta con 5 plazas adscritas al Ministerio Público, las cuales están asignadas a los equipos de Heredia, Cartago, I Circuito de la Zona Sur, II Circuito de la Zona Atlántica y Puntarenas. En el caso de las</w:t>
      </w:r>
      <w:r w:rsidRPr="00990FB6" w:rsidDel="00337091">
        <w:rPr>
          <w:smallCaps/>
          <w:color w:val="000000"/>
          <w:sz w:val="22"/>
          <w:szCs w:val="22"/>
        </w:rPr>
        <w:t xml:space="preserve"> </w:t>
      </w:r>
      <w:r w:rsidRPr="00990FB6">
        <w:rPr>
          <w:smallCaps/>
          <w:color w:val="000000"/>
          <w:sz w:val="22"/>
          <w:szCs w:val="22"/>
        </w:rPr>
        <w:t xml:space="preserve">plazas del I Circuito Judicial de San José, II Circuito Judicial de la Zona Sur y I Circuito Judicial de Guanacaste corresponden a permisos con goce de salario, artículo 44. Por último, se tiene que la plaza del II Circuito Judicial de San José corresponde a un préstamo del Centro de Apoyo, Coordinación y Mejoramiento de la Función Jurisdiccional. </w:t>
      </w:r>
    </w:p>
    <w:p w14:paraId="35C71052" w14:textId="77777777" w:rsidR="00B15F7D" w:rsidRPr="00990FB6" w:rsidRDefault="00B15F7D" w:rsidP="00B15F7D">
      <w:pPr>
        <w:ind w:left="851" w:right="851" w:firstLine="709"/>
        <w:jc w:val="both"/>
        <w:rPr>
          <w:smallCaps/>
          <w:color w:val="000000"/>
          <w:sz w:val="22"/>
          <w:szCs w:val="22"/>
        </w:rPr>
      </w:pPr>
    </w:p>
    <w:p w14:paraId="30C9E1A6" w14:textId="77777777" w:rsidR="00B15F7D" w:rsidRPr="00990FB6" w:rsidRDefault="00B15F7D" w:rsidP="00B15F7D">
      <w:pPr>
        <w:ind w:left="851" w:right="851" w:firstLine="709"/>
        <w:jc w:val="both"/>
        <w:rPr>
          <w:smallCaps/>
          <w:color w:val="000000"/>
          <w:sz w:val="22"/>
          <w:szCs w:val="22"/>
        </w:rPr>
      </w:pPr>
      <w:r w:rsidRPr="00990FB6">
        <w:rPr>
          <w:smallCaps/>
          <w:color w:val="000000"/>
          <w:sz w:val="22"/>
          <w:szCs w:val="22"/>
        </w:rPr>
        <w:t>Para la materia de Penal Juvenil, se cuenta con atención por parte de los profesionales ordinarios destacados en las Fiscalía y Defensas Públicas en la materia Penal Juvenil, los cuales cuentan con acompañamiento de un equipo Psicosocial. Se indica que actualmente se cuenta con atención en los 15 Circuitos Judiciales a lo largo del país.</w:t>
      </w:r>
    </w:p>
    <w:p w14:paraId="4BE25833" w14:textId="77777777" w:rsidR="00B15F7D" w:rsidRPr="00990FB6" w:rsidRDefault="00B15F7D" w:rsidP="00B15F7D">
      <w:pPr>
        <w:ind w:left="851" w:right="851" w:firstLine="709"/>
        <w:jc w:val="both"/>
        <w:rPr>
          <w:b/>
          <w:bCs/>
          <w:smallCaps/>
          <w:color w:val="000000"/>
          <w:sz w:val="22"/>
          <w:szCs w:val="22"/>
        </w:rPr>
      </w:pPr>
    </w:p>
    <w:p w14:paraId="455E6D86"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Sobre la atención de Ejecución de la Pena, se indica que la persona Profesional en Psicología que atiende la materia Penal Juvenil en San José se encarga también de atender Ejecución de la Pena en Penal Adulto y Penal Juvenil. </w:t>
      </w:r>
    </w:p>
    <w:p w14:paraId="529C9514" w14:textId="77777777" w:rsidR="00B15F7D" w:rsidRPr="00990FB6" w:rsidRDefault="00B15F7D" w:rsidP="00B15F7D">
      <w:pPr>
        <w:ind w:left="851" w:right="851" w:firstLine="709"/>
        <w:jc w:val="both"/>
        <w:rPr>
          <w:color w:val="000000"/>
          <w:sz w:val="22"/>
          <w:szCs w:val="22"/>
        </w:rPr>
      </w:pPr>
    </w:p>
    <w:p w14:paraId="5C101394" w14:textId="77777777" w:rsidR="00B15F7D" w:rsidRPr="00990FB6" w:rsidRDefault="00B15F7D" w:rsidP="00B15F7D">
      <w:pPr>
        <w:ind w:left="851" w:right="851" w:firstLine="709"/>
        <w:jc w:val="both"/>
        <w:rPr>
          <w:color w:val="000000"/>
          <w:sz w:val="22"/>
          <w:szCs w:val="22"/>
        </w:rPr>
      </w:pPr>
      <w:r w:rsidRPr="00990FB6">
        <w:rPr>
          <w:color w:val="000000"/>
          <w:sz w:val="22"/>
          <w:szCs w:val="22"/>
        </w:rPr>
        <w:t>Respecto a la materia contravencional, esta es atendida por el equipo psicosocial en el III Circuito Judicial de San José, por la persona Trabajadora Social en el Circuito Judicial de Alajuela, por la persona Psicóloga en el I Circuito Judicial de la Zona Atlántica, por la persona Psicóloga en el Circuito Judicial de Puntarenas y por la persona Psicóloga en el I Circuito Judicial de Guanacaste.</w:t>
      </w:r>
    </w:p>
    <w:p w14:paraId="6FCC0382" w14:textId="77777777" w:rsidR="00B15F7D" w:rsidRPr="00990FB6" w:rsidRDefault="00B15F7D" w:rsidP="00B15F7D">
      <w:pPr>
        <w:ind w:left="851" w:right="851" w:firstLine="709"/>
        <w:jc w:val="both"/>
        <w:rPr>
          <w:color w:val="000000"/>
          <w:sz w:val="22"/>
          <w:szCs w:val="22"/>
        </w:rPr>
      </w:pPr>
    </w:p>
    <w:p w14:paraId="00AF7DE7"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 Adicionalmente, es importante indicar que se cuenta con atención en materia contravencional en las Casas de Justicia que son atendidas por el Ministerio de Justicia y Paz, por lo que no se requiere en estos casos de equipos del Poder Judicial </w:t>
      </w:r>
    </w:p>
    <w:p w14:paraId="677DBB24" w14:textId="77777777" w:rsidR="00B15F7D" w:rsidRPr="00990FB6" w:rsidRDefault="00B15F7D" w:rsidP="00B15F7D">
      <w:pPr>
        <w:ind w:left="851" w:right="851" w:firstLine="709"/>
        <w:jc w:val="both"/>
        <w:rPr>
          <w:color w:val="000000"/>
          <w:sz w:val="22"/>
          <w:szCs w:val="22"/>
        </w:rPr>
      </w:pPr>
    </w:p>
    <w:p w14:paraId="5D814512" w14:textId="77777777" w:rsidR="00B15F7D" w:rsidRPr="00990FB6" w:rsidRDefault="00B15F7D" w:rsidP="00B15F7D">
      <w:pPr>
        <w:ind w:left="851" w:right="851" w:firstLine="709"/>
        <w:jc w:val="both"/>
        <w:rPr>
          <w:color w:val="000000"/>
          <w:sz w:val="22"/>
          <w:szCs w:val="22"/>
        </w:rPr>
      </w:pPr>
      <w:r w:rsidRPr="00990FB6">
        <w:rPr>
          <w:color w:val="000000"/>
          <w:sz w:val="22"/>
          <w:szCs w:val="22"/>
        </w:rPr>
        <w:t>El programa de Casas de Justicia se inauguró en el año 2000, con la finalidad de descongestionar los procesos judiciales y a la vez brindarle a la población la posibilidad de resolver los conflictos de una forma muy pacífica, es decir a través del diálogo y con un enfoque basado en los intereses de las partes que llevan a cabo un proceso de mediación, en donde con ayuda de una tercera persona imparcial logran plantear soluciones a sus conflictos mejorando de esta forma la convivencia.</w:t>
      </w:r>
    </w:p>
    <w:p w14:paraId="4343A58C" w14:textId="77777777" w:rsidR="00B15F7D" w:rsidRPr="00990FB6" w:rsidRDefault="00B15F7D" w:rsidP="00B15F7D">
      <w:pPr>
        <w:ind w:left="851" w:right="851" w:firstLine="709"/>
        <w:jc w:val="both"/>
        <w:rPr>
          <w:color w:val="000000"/>
          <w:sz w:val="22"/>
          <w:szCs w:val="22"/>
        </w:rPr>
      </w:pPr>
    </w:p>
    <w:p w14:paraId="1532B5D1" w14:textId="77777777" w:rsidR="00B15F7D" w:rsidRPr="00990FB6" w:rsidRDefault="00B15F7D" w:rsidP="00B15F7D">
      <w:pPr>
        <w:ind w:left="851" w:right="851" w:firstLine="709"/>
        <w:jc w:val="both"/>
        <w:rPr>
          <w:color w:val="000000"/>
          <w:sz w:val="22"/>
          <w:szCs w:val="22"/>
        </w:rPr>
      </w:pPr>
      <w:r w:rsidRPr="00990FB6">
        <w:rPr>
          <w:color w:val="000000"/>
          <w:sz w:val="22"/>
          <w:szCs w:val="22"/>
        </w:rPr>
        <w:t>Las Casas de Justicia son Centros de Resolución Alterna de Conflictos vecinales, donde puede asistir la población para buscar una solución a sus problemas, con la ayuda de un mediador. En las Casas de Justicia el servicio es gratuito, los usuarios no tienen que pagar abogado ni incurrir en otros gastos.</w:t>
      </w:r>
    </w:p>
    <w:p w14:paraId="5575D11E" w14:textId="77777777" w:rsidR="00B15F7D" w:rsidRPr="00990FB6" w:rsidRDefault="00B15F7D" w:rsidP="00B15F7D">
      <w:pPr>
        <w:ind w:left="851" w:right="851" w:firstLine="709"/>
        <w:jc w:val="both"/>
        <w:rPr>
          <w:color w:val="000000"/>
          <w:sz w:val="22"/>
          <w:szCs w:val="22"/>
        </w:rPr>
      </w:pPr>
    </w:p>
    <w:p w14:paraId="23E43C99" w14:textId="77777777" w:rsidR="00B15F7D" w:rsidRPr="00990FB6" w:rsidRDefault="00B15F7D" w:rsidP="00B15F7D">
      <w:pPr>
        <w:ind w:left="851" w:right="851" w:firstLine="709"/>
        <w:jc w:val="both"/>
        <w:rPr>
          <w:color w:val="000000"/>
          <w:sz w:val="22"/>
          <w:szCs w:val="22"/>
        </w:rPr>
      </w:pPr>
      <w:r w:rsidRPr="00990FB6">
        <w:rPr>
          <w:color w:val="000000"/>
          <w:sz w:val="22"/>
          <w:szCs w:val="22"/>
        </w:rPr>
        <w:t>Trabajan y funcionan gracias a un “socio contraparte” quien da soporte a las actividades de las Casas pues cumplen con aspectos como: infraestructura, pago de director o directora de la Casa, así como los servicios básicos, por lo que son un eje de sostenibilidad del programa.</w:t>
      </w:r>
    </w:p>
    <w:p w14:paraId="05F5851D" w14:textId="77777777" w:rsidR="00B15F7D" w:rsidRPr="00990FB6" w:rsidRDefault="00B15F7D" w:rsidP="00B15F7D">
      <w:pPr>
        <w:ind w:left="851" w:right="851" w:firstLine="709"/>
        <w:jc w:val="both"/>
        <w:rPr>
          <w:color w:val="000000"/>
          <w:sz w:val="22"/>
          <w:szCs w:val="22"/>
        </w:rPr>
      </w:pPr>
    </w:p>
    <w:p w14:paraId="3700609C" w14:textId="77777777" w:rsidR="00B15F7D" w:rsidRPr="00990FB6" w:rsidRDefault="00B15F7D" w:rsidP="00B15F7D">
      <w:pPr>
        <w:ind w:left="851" w:right="851" w:firstLine="709"/>
        <w:jc w:val="both"/>
        <w:rPr>
          <w:color w:val="000000"/>
          <w:sz w:val="22"/>
          <w:szCs w:val="22"/>
        </w:rPr>
      </w:pPr>
      <w:r w:rsidRPr="00990FB6">
        <w:rPr>
          <w:color w:val="000000"/>
          <w:sz w:val="22"/>
          <w:szCs w:val="22"/>
        </w:rPr>
        <w:t>El objetivo primordial del Programa Casas de Justicia es acercar a las personas a la justicia, además, de permitirles resolver sus conflictos autogestionariamente, es decir, devolverles la responsabilidad de la solución de sus conflictos.</w:t>
      </w:r>
    </w:p>
    <w:p w14:paraId="2487078E" w14:textId="77777777" w:rsidR="00B15F7D" w:rsidRPr="00990FB6" w:rsidRDefault="00B15F7D" w:rsidP="00B15F7D">
      <w:pPr>
        <w:ind w:left="851" w:right="851" w:firstLine="709"/>
        <w:jc w:val="both"/>
        <w:rPr>
          <w:color w:val="000000"/>
          <w:sz w:val="22"/>
          <w:szCs w:val="22"/>
        </w:rPr>
      </w:pPr>
    </w:p>
    <w:p w14:paraId="6B39A5FB"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En el año 2020 entre las principales acciones de la Oficina Rectora de Justicia Restaurativa se logró una interacción con las Casas de Justicia a nivel </w:t>
      </w:r>
      <w:r w:rsidRPr="00990FB6">
        <w:rPr>
          <w:color w:val="000000"/>
          <w:sz w:val="22"/>
          <w:szCs w:val="22"/>
        </w:rPr>
        <w:lastRenderedPageBreak/>
        <w:t xml:space="preserve">nacional, para lograr la implementación del proceso de desjudicialización que señala la Ley de Justicia Restaurativa.   </w:t>
      </w:r>
    </w:p>
    <w:p w14:paraId="1DA16E65" w14:textId="77777777" w:rsidR="00B15F7D" w:rsidRPr="00990FB6" w:rsidRDefault="00B15F7D" w:rsidP="00B15F7D">
      <w:pPr>
        <w:ind w:left="851" w:right="851" w:firstLine="709"/>
        <w:jc w:val="both"/>
        <w:rPr>
          <w:color w:val="000000"/>
          <w:sz w:val="22"/>
          <w:szCs w:val="22"/>
        </w:rPr>
      </w:pPr>
    </w:p>
    <w:p w14:paraId="5514D4DC" w14:textId="77777777" w:rsidR="00B15F7D" w:rsidRPr="00990FB6" w:rsidRDefault="00B15F7D" w:rsidP="00B15F7D">
      <w:pPr>
        <w:ind w:left="851" w:right="851" w:firstLine="709"/>
        <w:jc w:val="both"/>
        <w:rPr>
          <w:color w:val="000000"/>
          <w:sz w:val="22"/>
          <w:szCs w:val="22"/>
        </w:rPr>
      </w:pPr>
      <w:r w:rsidRPr="00990FB6">
        <w:rPr>
          <w:color w:val="000000"/>
          <w:sz w:val="22"/>
          <w:szCs w:val="22"/>
        </w:rPr>
        <w:t>En resumen, se presenta a continuación el detalle del abordaje realizado por Justicia Restaurativa a nivel nacional:</w:t>
      </w:r>
    </w:p>
    <w:p w14:paraId="1B36D04B" w14:textId="77777777" w:rsidR="00B15F7D" w:rsidRPr="00990FB6" w:rsidRDefault="00B15F7D" w:rsidP="00B15F7D">
      <w:pPr>
        <w:ind w:left="851" w:right="851" w:firstLine="709"/>
        <w:jc w:val="both"/>
        <w:rPr>
          <w:color w:val="000000"/>
          <w:sz w:val="22"/>
          <w:szCs w:val="22"/>
        </w:rPr>
      </w:pPr>
    </w:p>
    <w:p w14:paraId="20E194F4" w14:textId="77777777" w:rsidR="00B15F7D" w:rsidRPr="00990FB6" w:rsidRDefault="00B15F7D" w:rsidP="00B15F7D">
      <w:pPr>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2</w:t>
      </w:r>
      <w:r w:rsidRPr="00990FB6">
        <w:rPr>
          <w:b/>
          <w:bCs/>
          <w:color w:val="000000"/>
          <w:sz w:val="22"/>
          <w:szCs w:val="22"/>
        </w:rPr>
        <w:fldChar w:fldCharType="end"/>
      </w:r>
      <w:r w:rsidRPr="00990FB6">
        <w:rPr>
          <w:b/>
          <w:bCs/>
          <w:color w:val="000000"/>
          <w:sz w:val="22"/>
          <w:szCs w:val="22"/>
        </w:rPr>
        <w:t>. Detalle del abordaje de Justicia Restaurativa por circuito y materia para el 2023.</w:t>
      </w:r>
    </w:p>
    <w:p w14:paraId="091C27F7" w14:textId="77777777" w:rsidR="00B15F7D" w:rsidRPr="00990FB6" w:rsidRDefault="00B15F7D" w:rsidP="00B15F7D">
      <w:pPr>
        <w:ind w:left="851" w:right="851" w:firstLine="709"/>
        <w:jc w:val="both"/>
        <w:rPr>
          <w:b/>
          <w:bC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2292"/>
        <w:gridCol w:w="2334"/>
        <w:gridCol w:w="1033"/>
        <w:gridCol w:w="1506"/>
        <w:gridCol w:w="1627"/>
      </w:tblGrid>
      <w:tr w:rsidR="00B15F7D" w:rsidRPr="00990FB6" w14:paraId="4B3134D2" w14:textId="77777777" w:rsidTr="000A0C22">
        <w:trPr>
          <w:trHeight w:val="630"/>
          <w:jc w:val="center"/>
        </w:trPr>
        <w:tc>
          <w:tcPr>
            <w:tcW w:w="0" w:type="auto"/>
            <w:tcBorders>
              <w:top w:val="double" w:sz="6" w:space="0" w:color="244062"/>
              <w:left w:val="double" w:sz="6" w:space="0" w:color="244062"/>
              <w:bottom w:val="double" w:sz="6" w:space="0" w:color="244062"/>
              <w:right w:val="double" w:sz="6" w:space="0" w:color="244062"/>
            </w:tcBorders>
            <w:shd w:val="clear" w:color="CCFFFF" w:fill="DEEBF7"/>
            <w:noWrap/>
            <w:vAlign w:val="center"/>
            <w:hideMark/>
          </w:tcPr>
          <w:p w14:paraId="1835E1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0" w:type="auto"/>
            <w:tcBorders>
              <w:top w:val="double" w:sz="6" w:space="0" w:color="244062"/>
              <w:left w:val="nil"/>
              <w:bottom w:val="double" w:sz="6" w:space="0" w:color="244062"/>
              <w:right w:val="double" w:sz="6" w:space="0" w:color="244062"/>
            </w:tcBorders>
            <w:shd w:val="clear" w:color="CCFFFF" w:fill="DEEBF7"/>
            <w:noWrap/>
            <w:vAlign w:val="center"/>
            <w:hideMark/>
          </w:tcPr>
          <w:p w14:paraId="661CDD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Recurso Humano Penal de Adultos</w:t>
            </w:r>
          </w:p>
        </w:tc>
        <w:tc>
          <w:tcPr>
            <w:tcW w:w="0" w:type="auto"/>
            <w:tcBorders>
              <w:top w:val="double" w:sz="6" w:space="0" w:color="244062"/>
              <w:left w:val="nil"/>
              <w:bottom w:val="double" w:sz="6" w:space="0" w:color="244062"/>
              <w:right w:val="double" w:sz="6" w:space="0" w:color="244062"/>
            </w:tcBorders>
            <w:shd w:val="clear" w:color="CCFFFF" w:fill="DEEBF7"/>
            <w:noWrap/>
            <w:vAlign w:val="center"/>
            <w:hideMark/>
          </w:tcPr>
          <w:p w14:paraId="7C7BFA5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Penal Juvenil</w:t>
            </w:r>
          </w:p>
        </w:tc>
        <w:tc>
          <w:tcPr>
            <w:tcW w:w="0" w:type="auto"/>
            <w:tcBorders>
              <w:top w:val="double" w:sz="6" w:space="0" w:color="244062"/>
              <w:left w:val="nil"/>
              <w:bottom w:val="double" w:sz="6" w:space="0" w:color="244062"/>
              <w:right w:val="double" w:sz="6" w:space="0" w:color="244062"/>
            </w:tcBorders>
            <w:shd w:val="clear" w:color="CCFFFF" w:fill="DEEBF7"/>
            <w:noWrap/>
            <w:vAlign w:val="center"/>
            <w:hideMark/>
          </w:tcPr>
          <w:p w14:paraId="3B408D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Ejecución de la Pena</w:t>
            </w:r>
          </w:p>
        </w:tc>
        <w:tc>
          <w:tcPr>
            <w:tcW w:w="0" w:type="auto"/>
            <w:tcBorders>
              <w:top w:val="double" w:sz="6" w:space="0" w:color="244062"/>
              <w:left w:val="nil"/>
              <w:bottom w:val="double" w:sz="6" w:space="0" w:color="244062"/>
              <w:right w:val="double" w:sz="6" w:space="0" w:color="244062"/>
            </w:tcBorders>
            <w:shd w:val="clear" w:color="CCFFFF" w:fill="DEEBF7"/>
            <w:noWrap/>
            <w:vAlign w:val="center"/>
            <w:hideMark/>
          </w:tcPr>
          <w:p w14:paraId="366E94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Contravenciones</w:t>
            </w:r>
          </w:p>
        </w:tc>
      </w:tr>
      <w:tr w:rsidR="00B15F7D" w:rsidRPr="00990FB6" w14:paraId="20DE5937" w14:textId="77777777" w:rsidTr="000A0C22">
        <w:trPr>
          <w:trHeight w:val="1822"/>
          <w:jc w:val="center"/>
        </w:trPr>
        <w:tc>
          <w:tcPr>
            <w:tcW w:w="0" w:type="auto"/>
            <w:tcBorders>
              <w:top w:val="nil"/>
              <w:left w:val="double" w:sz="6" w:space="0" w:color="244062"/>
              <w:bottom w:val="double" w:sz="6" w:space="0" w:color="244062"/>
              <w:right w:val="double" w:sz="6" w:space="0" w:color="244062"/>
            </w:tcBorders>
            <w:shd w:val="clear" w:color="auto" w:fill="auto"/>
            <w:vAlign w:val="center"/>
            <w:hideMark/>
          </w:tcPr>
          <w:p w14:paraId="39C42E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San José, y III: Pavas y Hatillo</w:t>
            </w:r>
          </w:p>
        </w:tc>
        <w:tc>
          <w:tcPr>
            <w:tcW w:w="0" w:type="auto"/>
            <w:tcBorders>
              <w:top w:val="double" w:sz="6" w:space="0" w:color="244062"/>
              <w:left w:val="nil"/>
              <w:bottom w:val="double" w:sz="6" w:space="0" w:color="244062"/>
              <w:right w:val="double" w:sz="6" w:space="0" w:color="244062"/>
            </w:tcBorders>
            <w:shd w:val="clear" w:color="auto" w:fill="auto"/>
            <w:vAlign w:val="center"/>
            <w:hideMark/>
          </w:tcPr>
          <w:p w14:paraId="362CAF5F" w14:textId="77777777" w:rsidR="00B15F7D" w:rsidRPr="00990FB6" w:rsidRDefault="00B15F7D" w:rsidP="00B15F7D">
            <w:pPr>
              <w:rPr>
                <w:color w:val="000000"/>
                <w:sz w:val="22"/>
                <w:szCs w:val="22"/>
                <w:lang w:eastAsia="es-CR"/>
              </w:rPr>
            </w:pPr>
            <w:r w:rsidRPr="00990FB6">
              <w:rPr>
                <w:color w:val="000000"/>
                <w:sz w:val="22"/>
                <w:szCs w:val="22"/>
                <w:lang w:eastAsia="es-CR"/>
              </w:rPr>
              <w:t>1 Defensor (a) Público de JR</w:t>
            </w:r>
            <w:r w:rsidRPr="00990FB6">
              <w:rPr>
                <w:color w:val="000000"/>
                <w:sz w:val="22"/>
                <w:szCs w:val="22"/>
                <w:lang w:eastAsia="es-CR"/>
              </w:rPr>
              <w:br/>
              <w:t>1 Fiscal (a) de JR</w:t>
            </w:r>
            <w:r w:rsidRPr="00990FB6">
              <w:rPr>
                <w:color w:val="000000"/>
                <w:sz w:val="22"/>
                <w:szCs w:val="22"/>
                <w:lang w:eastAsia="es-CR"/>
              </w:rPr>
              <w:br/>
              <w:t xml:space="preserve">1 Trabajador (a) Social </w:t>
            </w:r>
            <w:r w:rsidRPr="00990FB6">
              <w:rPr>
                <w:color w:val="000000"/>
                <w:sz w:val="22"/>
                <w:szCs w:val="22"/>
                <w:lang w:eastAsia="es-CR"/>
              </w:rPr>
              <w:br/>
              <w:t>1 Psicóloga (o)</w:t>
            </w:r>
            <w:r w:rsidRPr="00990FB6">
              <w:rPr>
                <w:color w:val="000000"/>
                <w:sz w:val="22"/>
                <w:szCs w:val="22"/>
                <w:lang w:eastAsia="es-CR"/>
              </w:rPr>
              <w:br/>
              <w:t>1 Técnico (a) Judicial por 44 LOPJ</w:t>
            </w:r>
          </w:p>
        </w:tc>
        <w:tc>
          <w:tcPr>
            <w:tcW w:w="0" w:type="auto"/>
            <w:vMerge w:val="restart"/>
            <w:tcBorders>
              <w:top w:val="double" w:sz="6" w:space="0" w:color="244062"/>
              <w:left w:val="double" w:sz="6" w:space="0" w:color="244062"/>
              <w:bottom w:val="double" w:sz="6" w:space="0" w:color="244062"/>
              <w:right w:val="double" w:sz="6" w:space="0" w:color="244062"/>
            </w:tcBorders>
            <w:shd w:val="clear" w:color="auto" w:fill="auto"/>
            <w:vAlign w:val="center"/>
            <w:hideMark/>
          </w:tcPr>
          <w:p w14:paraId="6B50915F" w14:textId="77777777" w:rsidR="00B15F7D" w:rsidRPr="00990FB6" w:rsidRDefault="00B15F7D" w:rsidP="00B15F7D">
            <w:pPr>
              <w:rPr>
                <w:color w:val="000000"/>
                <w:sz w:val="22"/>
                <w:szCs w:val="22"/>
                <w:lang w:eastAsia="es-CR"/>
              </w:rPr>
            </w:pPr>
            <w:r w:rsidRPr="00990FB6">
              <w:rPr>
                <w:color w:val="000000"/>
                <w:sz w:val="22"/>
                <w:szCs w:val="22"/>
                <w:lang w:eastAsia="es-CR"/>
              </w:rPr>
              <w:t>1 Psicóloga (o) Atención en el primer, Circuito Judicial y Puriscal</w:t>
            </w:r>
            <w:r w:rsidRPr="00990FB6">
              <w:rPr>
                <w:color w:val="000000"/>
                <w:sz w:val="22"/>
                <w:szCs w:val="22"/>
                <w:lang w:eastAsia="es-CR"/>
              </w:rPr>
              <w:br/>
              <w:t xml:space="preserve">Las plazas ordinarias de Fiscal (a) y Defensor (a) Público especializadas de Penal Juvenil. </w:t>
            </w:r>
            <w:r w:rsidRPr="00990FB6">
              <w:rPr>
                <w:color w:val="000000"/>
                <w:sz w:val="22"/>
                <w:szCs w:val="22"/>
                <w:lang w:eastAsia="es-CR"/>
              </w:rPr>
              <w:br/>
              <w:t xml:space="preserve"> </w:t>
            </w:r>
          </w:p>
        </w:tc>
        <w:tc>
          <w:tcPr>
            <w:tcW w:w="0" w:type="auto"/>
            <w:vMerge w:val="restart"/>
            <w:tcBorders>
              <w:top w:val="double" w:sz="6" w:space="0" w:color="244062"/>
              <w:left w:val="double" w:sz="6" w:space="0" w:color="244062"/>
              <w:bottom w:val="double" w:sz="6" w:space="0" w:color="244062"/>
              <w:right w:val="double" w:sz="6" w:space="0" w:color="244062"/>
            </w:tcBorders>
            <w:shd w:val="clear" w:color="auto" w:fill="auto"/>
            <w:vAlign w:val="center"/>
            <w:hideMark/>
          </w:tcPr>
          <w:p w14:paraId="0CE5DC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La profesional en Psicología de JJR atiende adicionalmente los casos de Ejecución de la Pena en Adultos y los de ejecución de las sanciones penales juveniles en San José y a nivel nacional</w:t>
            </w:r>
          </w:p>
        </w:tc>
        <w:tc>
          <w:tcPr>
            <w:tcW w:w="0" w:type="auto"/>
            <w:tcBorders>
              <w:top w:val="double" w:sz="6" w:space="0" w:color="244062"/>
              <w:left w:val="nil"/>
              <w:bottom w:val="double" w:sz="6" w:space="0" w:color="244062"/>
              <w:right w:val="double" w:sz="6" w:space="0" w:color="244062"/>
            </w:tcBorders>
            <w:shd w:val="clear" w:color="auto" w:fill="auto"/>
            <w:vAlign w:val="center"/>
            <w:hideMark/>
          </w:tcPr>
          <w:p w14:paraId="695299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El equipo psicosocial atiende la materia contravencional</w:t>
            </w:r>
          </w:p>
        </w:tc>
      </w:tr>
      <w:tr w:rsidR="00B15F7D" w:rsidRPr="00990FB6" w14:paraId="7F12A139" w14:textId="77777777" w:rsidTr="00F723CD">
        <w:trPr>
          <w:trHeight w:val="3082"/>
          <w:jc w:val="center"/>
        </w:trPr>
        <w:tc>
          <w:tcPr>
            <w:tcW w:w="0" w:type="auto"/>
            <w:tcBorders>
              <w:top w:val="nil"/>
              <w:left w:val="double" w:sz="6" w:space="0" w:color="244062"/>
              <w:bottom w:val="single" w:sz="4" w:space="0" w:color="auto"/>
              <w:right w:val="double" w:sz="6" w:space="0" w:color="244062"/>
            </w:tcBorders>
            <w:shd w:val="clear" w:color="auto" w:fill="auto"/>
            <w:vAlign w:val="center"/>
            <w:hideMark/>
          </w:tcPr>
          <w:p w14:paraId="0D1164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 y III: Desamparados</w:t>
            </w:r>
          </w:p>
        </w:tc>
        <w:tc>
          <w:tcPr>
            <w:tcW w:w="0" w:type="auto"/>
            <w:tcBorders>
              <w:top w:val="double" w:sz="6" w:space="0" w:color="244062"/>
              <w:left w:val="nil"/>
              <w:bottom w:val="single" w:sz="4" w:space="0" w:color="auto"/>
              <w:right w:val="double" w:sz="6" w:space="0" w:color="244062"/>
            </w:tcBorders>
            <w:shd w:val="clear" w:color="auto" w:fill="auto"/>
            <w:vAlign w:val="center"/>
            <w:hideMark/>
          </w:tcPr>
          <w:p w14:paraId="6F57D3AB" w14:textId="77777777" w:rsidR="00B15F7D" w:rsidRPr="00990FB6" w:rsidRDefault="00B15F7D" w:rsidP="00B15F7D">
            <w:pPr>
              <w:rPr>
                <w:color w:val="000000"/>
                <w:sz w:val="22"/>
                <w:szCs w:val="22"/>
                <w:lang w:eastAsia="es-CR"/>
              </w:rPr>
            </w:pPr>
            <w:r w:rsidRPr="00990FB6">
              <w:rPr>
                <w:color w:val="000000"/>
                <w:sz w:val="22"/>
                <w:szCs w:val="22"/>
                <w:lang w:eastAsia="es-CR"/>
              </w:rPr>
              <w:t>1 Defensor (a) Público de JR</w:t>
            </w:r>
            <w:r w:rsidRPr="00990FB6">
              <w:rPr>
                <w:color w:val="000000"/>
                <w:sz w:val="22"/>
                <w:szCs w:val="22"/>
                <w:lang w:eastAsia="es-CR"/>
              </w:rPr>
              <w:br/>
              <w:t>1 Fiscal (a) de JR</w:t>
            </w:r>
            <w:r w:rsidRPr="00990FB6">
              <w:rPr>
                <w:color w:val="000000"/>
                <w:sz w:val="22"/>
                <w:szCs w:val="22"/>
                <w:lang w:eastAsia="es-CR"/>
              </w:rPr>
              <w:br/>
              <w:t>1 Psicólogo (a)</w:t>
            </w:r>
            <w:r w:rsidRPr="00990FB6">
              <w:rPr>
                <w:color w:val="000000"/>
                <w:sz w:val="22"/>
                <w:szCs w:val="22"/>
                <w:lang w:eastAsia="es-CR"/>
              </w:rPr>
              <w:br/>
              <w:t>2 Trabajador (a) Social</w:t>
            </w:r>
            <w:r w:rsidRPr="00990FB6">
              <w:rPr>
                <w:color w:val="000000"/>
                <w:sz w:val="22"/>
                <w:szCs w:val="22"/>
                <w:lang w:eastAsia="es-CR"/>
              </w:rPr>
              <w:br/>
              <w:t>1 Técnico (a) Judicial adscrito al CACMFJ</w:t>
            </w:r>
            <w:r w:rsidRPr="00990FB6">
              <w:rPr>
                <w:color w:val="000000"/>
                <w:sz w:val="22"/>
                <w:szCs w:val="22"/>
                <w:lang w:eastAsia="es-CR"/>
              </w:rPr>
              <w:br/>
              <w:t>Atienden el Segundo y Tercer Circuito Judicial (Desamparados), así como flagrancia del I y II Circuito Judicial de SJ</w:t>
            </w:r>
          </w:p>
        </w:tc>
        <w:tc>
          <w:tcPr>
            <w:tcW w:w="0" w:type="auto"/>
            <w:vMerge/>
            <w:tcBorders>
              <w:top w:val="double" w:sz="6" w:space="0" w:color="244062"/>
              <w:left w:val="double" w:sz="6" w:space="0" w:color="244062"/>
              <w:bottom w:val="single" w:sz="4" w:space="0" w:color="auto"/>
              <w:right w:val="double" w:sz="6" w:space="0" w:color="244062"/>
            </w:tcBorders>
            <w:vAlign w:val="center"/>
            <w:hideMark/>
          </w:tcPr>
          <w:p w14:paraId="17602F59" w14:textId="77777777" w:rsidR="00B15F7D" w:rsidRPr="00990FB6" w:rsidRDefault="00B15F7D" w:rsidP="00B15F7D">
            <w:pPr>
              <w:rPr>
                <w:color w:val="000000"/>
                <w:sz w:val="22"/>
                <w:szCs w:val="22"/>
                <w:lang w:eastAsia="es-CR"/>
              </w:rPr>
            </w:pPr>
          </w:p>
        </w:tc>
        <w:tc>
          <w:tcPr>
            <w:tcW w:w="0" w:type="auto"/>
            <w:vMerge/>
            <w:tcBorders>
              <w:top w:val="double" w:sz="6" w:space="0" w:color="244062"/>
              <w:left w:val="double" w:sz="6" w:space="0" w:color="244062"/>
              <w:bottom w:val="single" w:sz="4" w:space="0" w:color="auto"/>
              <w:right w:val="double" w:sz="6" w:space="0" w:color="244062"/>
            </w:tcBorders>
            <w:vAlign w:val="center"/>
            <w:hideMark/>
          </w:tcPr>
          <w:p w14:paraId="60053648" w14:textId="77777777" w:rsidR="00B15F7D" w:rsidRPr="00990FB6" w:rsidRDefault="00B15F7D" w:rsidP="00B15F7D">
            <w:pPr>
              <w:rPr>
                <w:color w:val="000000"/>
                <w:sz w:val="22"/>
                <w:szCs w:val="22"/>
                <w:lang w:eastAsia="es-CR"/>
              </w:rPr>
            </w:pPr>
          </w:p>
        </w:tc>
        <w:tc>
          <w:tcPr>
            <w:tcW w:w="0" w:type="auto"/>
            <w:tcBorders>
              <w:top w:val="double" w:sz="6" w:space="0" w:color="244062"/>
              <w:left w:val="nil"/>
              <w:bottom w:val="single" w:sz="4" w:space="0" w:color="auto"/>
              <w:right w:val="double" w:sz="6" w:space="0" w:color="244062"/>
            </w:tcBorders>
            <w:shd w:val="clear" w:color="auto" w:fill="auto"/>
            <w:noWrap/>
            <w:vAlign w:val="bottom"/>
            <w:hideMark/>
          </w:tcPr>
          <w:p w14:paraId="430056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r>
      <w:tr w:rsidR="00B15F7D" w:rsidRPr="00990FB6" w14:paraId="11E8BDDF" w14:textId="77777777" w:rsidTr="00F723CD">
        <w:trPr>
          <w:trHeight w:val="30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00896"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 Circuito Judicial de Alajuela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162627" w14:textId="77777777" w:rsidR="00B15F7D" w:rsidRPr="00990FB6" w:rsidRDefault="00B15F7D" w:rsidP="00B15F7D">
            <w:pPr>
              <w:rPr>
                <w:color w:val="000000"/>
                <w:sz w:val="22"/>
                <w:szCs w:val="22"/>
                <w:lang w:eastAsia="es-CR"/>
              </w:rPr>
            </w:pPr>
            <w:r w:rsidRPr="00990FB6">
              <w:rPr>
                <w:color w:val="000000"/>
                <w:sz w:val="22"/>
                <w:szCs w:val="22"/>
                <w:lang w:eastAsia="es-CR"/>
              </w:rPr>
              <w:t>1 Trabajador (a) Social</w:t>
            </w:r>
            <w:r w:rsidRPr="00990FB6">
              <w:rPr>
                <w:color w:val="000000"/>
                <w:sz w:val="22"/>
                <w:szCs w:val="22"/>
                <w:lang w:eastAsia="es-CR"/>
              </w:rPr>
              <w:br/>
            </w:r>
            <w:r w:rsidRPr="00990FB6">
              <w:rPr>
                <w:color w:val="000000"/>
                <w:sz w:val="22"/>
                <w:szCs w:val="22"/>
                <w:lang w:eastAsia="es-CR"/>
              </w:rPr>
              <w:br/>
              <w:t>**El equipo legal (Defensor, Fiscal y Técnico Judicial del CJ de Heredia brindan soporte en la atención de la materia Penal en ICJ Alajuela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C280D5" w14:textId="77777777" w:rsidR="00B15F7D" w:rsidRPr="00990FB6" w:rsidRDefault="00B15F7D" w:rsidP="00B15F7D">
            <w:pPr>
              <w:rPr>
                <w:color w:val="000000"/>
                <w:sz w:val="22"/>
                <w:szCs w:val="22"/>
                <w:lang w:eastAsia="es-CR"/>
              </w:rPr>
            </w:pPr>
            <w:r w:rsidRPr="00990FB6">
              <w:rPr>
                <w:color w:val="000000"/>
                <w:sz w:val="22"/>
                <w:szCs w:val="22"/>
                <w:lang w:eastAsia="es-CR"/>
              </w:rPr>
              <w:t>La persona Trabajadora Social de adultos atiende la materia Penal Juvenil</w:t>
            </w:r>
            <w:r w:rsidRPr="00990FB6">
              <w:rPr>
                <w:color w:val="000000"/>
                <w:sz w:val="22"/>
                <w:szCs w:val="22"/>
                <w:lang w:eastAsia="es-CR"/>
              </w:rPr>
              <w:br/>
            </w:r>
            <w:r w:rsidRPr="00990FB6">
              <w:rPr>
                <w:color w:val="000000"/>
                <w:sz w:val="22"/>
                <w:szCs w:val="22"/>
                <w:lang w:eastAsia="es-CR"/>
              </w:rPr>
              <w:br/>
              <w:t xml:space="preserve">Las plazas ordinarias de Fiscal </w:t>
            </w:r>
            <w:r w:rsidRPr="00990FB6">
              <w:rPr>
                <w:color w:val="000000"/>
                <w:sz w:val="22"/>
                <w:szCs w:val="22"/>
                <w:lang w:eastAsia="es-CR"/>
              </w:rPr>
              <w:lastRenderedPageBreak/>
              <w:t xml:space="preserve">(a) y Defensor (a) Público especializadas de Penal Juvenil.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53C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9115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La persona Trabajadora Social atiende la materia contravencional</w:t>
            </w:r>
          </w:p>
        </w:tc>
      </w:tr>
      <w:tr w:rsidR="00B15F7D" w:rsidRPr="00990FB6" w14:paraId="1D1FCEE2" w14:textId="77777777" w:rsidTr="00F723CD">
        <w:trPr>
          <w:trHeight w:val="1831"/>
          <w:jc w:val="center"/>
        </w:trPr>
        <w:tc>
          <w:tcPr>
            <w:tcW w:w="0" w:type="auto"/>
            <w:tcBorders>
              <w:top w:val="single" w:sz="4" w:space="0" w:color="auto"/>
              <w:left w:val="double" w:sz="6" w:space="0" w:color="244062"/>
              <w:bottom w:val="single" w:sz="4" w:space="0" w:color="auto"/>
              <w:right w:val="double" w:sz="6" w:space="0" w:color="244062"/>
            </w:tcBorders>
            <w:shd w:val="clear" w:color="auto" w:fill="auto"/>
            <w:vAlign w:val="center"/>
            <w:hideMark/>
          </w:tcPr>
          <w:p w14:paraId="28C8DF64" w14:textId="77777777" w:rsidR="00B15F7D" w:rsidRPr="00990FB6" w:rsidRDefault="00B15F7D" w:rsidP="00B15F7D">
            <w:pPr>
              <w:rPr>
                <w:color w:val="000000"/>
                <w:sz w:val="22"/>
                <w:szCs w:val="22"/>
                <w:lang w:eastAsia="es-CR"/>
              </w:rPr>
            </w:pPr>
            <w:r w:rsidRPr="00990FB6">
              <w:rPr>
                <w:color w:val="000000"/>
                <w:sz w:val="22"/>
                <w:szCs w:val="22"/>
                <w:lang w:eastAsia="es-CR"/>
              </w:rPr>
              <w:t>II Circuito Judicial de Alajuela (San Carlos)</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3D2ECED4" w14:textId="77777777" w:rsidR="00B15F7D" w:rsidRPr="00990FB6" w:rsidRDefault="00B15F7D" w:rsidP="00B15F7D">
            <w:pP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47C16A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 Trabajador (a) Social</w:t>
            </w:r>
            <w:r w:rsidRPr="00990FB6">
              <w:rPr>
                <w:color w:val="000000"/>
                <w:sz w:val="22"/>
                <w:szCs w:val="22"/>
                <w:lang w:eastAsia="es-CR"/>
              </w:rPr>
              <w:br/>
              <w:t xml:space="preserve">Las plazas ordinarias de Fiscal (a) y Defensor (a) Público especializadas de Penal Juvenil. </w:t>
            </w:r>
          </w:p>
        </w:tc>
        <w:tc>
          <w:tcPr>
            <w:tcW w:w="0" w:type="auto"/>
            <w:tcBorders>
              <w:top w:val="single" w:sz="4" w:space="0" w:color="auto"/>
              <w:left w:val="nil"/>
              <w:bottom w:val="single" w:sz="4" w:space="0" w:color="auto"/>
              <w:right w:val="double" w:sz="6" w:space="0" w:color="244062"/>
            </w:tcBorders>
            <w:shd w:val="clear" w:color="auto" w:fill="auto"/>
            <w:noWrap/>
            <w:vAlign w:val="center"/>
            <w:hideMark/>
          </w:tcPr>
          <w:p w14:paraId="6211B9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5D0ED5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Casa de Justicia San Carlos</w:t>
            </w:r>
          </w:p>
        </w:tc>
      </w:tr>
      <w:tr w:rsidR="00B15F7D" w:rsidRPr="00990FB6" w14:paraId="56650769" w14:textId="77777777" w:rsidTr="00F723CD">
        <w:trPr>
          <w:trHeight w:val="269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5084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Alajuela (San Ramón)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009820" w14:textId="77777777" w:rsidR="00B15F7D" w:rsidRPr="00990FB6" w:rsidRDefault="00B15F7D" w:rsidP="00B15F7D">
            <w:pPr>
              <w:rPr>
                <w:color w:val="000000"/>
                <w:sz w:val="22"/>
                <w:szCs w:val="22"/>
                <w:lang w:eastAsia="es-CR"/>
              </w:rPr>
            </w:pPr>
            <w:r w:rsidRPr="00990FB6">
              <w:rPr>
                <w:color w:val="000000"/>
                <w:sz w:val="22"/>
                <w:szCs w:val="22"/>
                <w:lang w:eastAsia="es-CR"/>
              </w:rPr>
              <w:t>1 Trabajador (a) Social</w:t>
            </w:r>
            <w:r w:rsidRPr="00990FB6">
              <w:rPr>
                <w:color w:val="000000"/>
                <w:sz w:val="22"/>
                <w:szCs w:val="22"/>
                <w:lang w:eastAsia="es-CR"/>
              </w:rPr>
              <w:br/>
            </w:r>
            <w:r w:rsidRPr="00990FB6">
              <w:rPr>
                <w:color w:val="000000"/>
                <w:sz w:val="22"/>
                <w:szCs w:val="22"/>
                <w:lang w:eastAsia="es-CR"/>
              </w:rPr>
              <w:br/>
              <w:t>**El equipo legal (Defensor, Fiscal y Técnico Judicial del CJ de Puntarenas brindan soporte en la atención de la materia Penal en IIICJ Alajuela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D90B8B" w14:textId="77777777" w:rsidR="00B15F7D" w:rsidRPr="00990FB6" w:rsidRDefault="00B15F7D" w:rsidP="00B15F7D">
            <w:pPr>
              <w:rPr>
                <w:color w:val="000000"/>
                <w:sz w:val="22"/>
                <w:szCs w:val="22"/>
                <w:lang w:eastAsia="es-CR"/>
              </w:rPr>
            </w:pPr>
            <w:r w:rsidRPr="00990FB6">
              <w:rPr>
                <w:color w:val="000000"/>
                <w:sz w:val="22"/>
                <w:szCs w:val="22"/>
                <w:lang w:eastAsia="es-CR"/>
              </w:rPr>
              <w:t>La persona Trabajadora Social de adultos atiende la materia Penal Juvenil</w:t>
            </w:r>
            <w:r w:rsidRPr="00990FB6">
              <w:rPr>
                <w:color w:val="000000"/>
                <w:sz w:val="22"/>
                <w:szCs w:val="22"/>
                <w:lang w:eastAsia="es-CR"/>
              </w:rPr>
              <w:br/>
              <w:t xml:space="preserve">Las plazas ordinarias de Fiscal (a) y Defensor (a) Público especializadas de </w:t>
            </w:r>
            <w:r w:rsidRPr="00990FB6">
              <w:rPr>
                <w:color w:val="000000"/>
                <w:sz w:val="22"/>
                <w:szCs w:val="22"/>
                <w:lang w:eastAsia="es-CR"/>
              </w:rPr>
              <w:lastRenderedPageBreak/>
              <w:t xml:space="preserve">Penal Juvenil.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CC085"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926CC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Casa de Justicia San Ramón</w:t>
            </w:r>
          </w:p>
        </w:tc>
      </w:tr>
      <w:tr w:rsidR="00B15F7D" w:rsidRPr="00990FB6" w14:paraId="27DB0070" w14:textId="77777777" w:rsidTr="00F723CD">
        <w:trPr>
          <w:trHeight w:val="3285"/>
          <w:jc w:val="center"/>
        </w:trPr>
        <w:tc>
          <w:tcPr>
            <w:tcW w:w="0" w:type="auto"/>
            <w:tcBorders>
              <w:top w:val="single" w:sz="4" w:space="0" w:color="auto"/>
              <w:left w:val="double" w:sz="6" w:space="0" w:color="244062"/>
              <w:bottom w:val="single" w:sz="4" w:space="0" w:color="auto"/>
              <w:right w:val="double" w:sz="6" w:space="0" w:color="244062"/>
            </w:tcBorders>
            <w:shd w:val="clear" w:color="auto" w:fill="auto"/>
            <w:noWrap/>
            <w:vAlign w:val="center"/>
            <w:hideMark/>
          </w:tcPr>
          <w:p w14:paraId="7CDA1930"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560542AB"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1 Fiscal (a) </w:t>
            </w:r>
            <w:r w:rsidRPr="00990FB6">
              <w:rPr>
                <w:color w:val="000000"/>
                <w:sz w:val="22"/>
                <w:szCs w:val="22"/>
                <w:lang w:eastAsia="es-CR"/>
              </w:rPr>
              <w:br/>
              <w:t>1 Defensor (a) Público</w:t>
            </w:r>
            <w:r w:rsidRPr="00990FB6">
              <w:rPr>
                <w:color w:val="000000"/>
                <w:sz w:val="22"/>
                <w:szCs w:val="22"/>
                <w:lang w:eastAsia="es-CR"/>
              </w:rPr>
              <w:br/>
              <w:t>1 Psicólogo (a)</w:t>
            </w:r>
            <w:r w:rsidRPr="00990FB6">
              <w:rPr>
                <w:color w:val="000000"/>
                <w:sz w:val="22"/>
                <w:szCs w:val="22"/>
                <w:lang w:eastAsia="es-CR"/>
              </w:rPr>
              <w:br/>
              <w:t>1 Trabajador (a) Social</w:t>
            </w:r>
            <w:r w:rsidRPr="00990FB6">
              <w:rPr>
                <w:color w:val="000000"/>
                <w:sz w:val="22"/>
                <w:szCs w:val="22"/>
                <w:lang w:eastAsia="es-CR"/>
              </w:rPr>
              <w:br/>
              <w:t>1 Técnico (a) Judicial del MP</w:t>
            </w:r>
            <w:r w:rsidRPr="00990FB6">
              <w:rPr>
                <w:color w:val="000000"/>
                <w:sz w:val="22"/>
                <w:szCs w:val="22"/>
                <w:lang w:eastAsia="es-CR"/>
              </w:rPr>
              <w:br/>
            </w:r>
            <w:r w:rsidRPr="00990FB6">
              <w:rPr>
                <w:color w:val="000000"/>
                <w:sz w:val="22"/>
                <w:szCs w:val="22"/>
                <w:lang w:eastAsia="es-CR"/>
              </w:rPr>
              <w:br/>
              <w:t>Atienden Sarapiquí y el equipo legal brinda soporte al ICJ Alajuela en materia Penal</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22DB7A42" w14:textId="77777777" w:rsidR="00B15F7D" w:rsidRPr="00990FB6" w:rsidRDefault="00B15F7D" w:rsidP="00B15F7D">
            <w:pPr>
              <w:rPr>
                <w:color w:val="000000"/>
                <w:sz w:val="22"/>
                <w:szCs w:val="22"/>
                <w:lang w:eastAsia="es-CR"/>
              </w:rPr>
            </w:pPr>
            <w:r w:rsidRPr="00990FB6">
              <w:rPr>
                <w:color w:val="000000"/>
                <w:sz w:val="22"/>
                <w:szCs w:val="22"/>
                <w:lang w:eastAsia="es-CR"/>
              </w:rPr>
              <w:t>Atención por parte del equipo psicosocial de Penal de Adultos.</w:t>
            </w:r>
            <w:r w:rsidRPr="00990FB6">
              <w:rPr>
                <w:color w:val="000000"/>
                <w:sz w:val="22"/>
                <w:szCs w:val="22"/>
                <w:lang w:eastAsia="es-CR"/>
              </w:rPr>
              <w:br/>
              <w:t xml:space="preserve">Las plazas ordinarias de Fiscal (a) y Defensor (a) Público especializadas de Penal Juvenil. </w:t>
            </w:r>
          </w:p>
        </w:tc>
        <w:tc>
          <w:tcPr>
            <w:tcW w:w="0" w:type="auto"/>
            <w:tcBorders>
              <w:top w:val="single" w:sz="4" w:space="0" w:color="auto"/>
              <w:left w:val="nil"/>
              <w:bottom w:val="single" w:sz="4" w:space="0" w:color="auto"/>
              <w:right w:val="double" w:sz="6" w:space="0" w:color="244062"/>
            </w:tcBorders>
            <w:shd w:val="clear" w:color="auto" w:fill="auto"/>
            <w:noWrap/>
            <w:vAlign w:val="center"/>
            <w:hideMark/>
          </w:tcPr>
          <w:p w14:paraId="58EDEB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3A63F5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El equipo psicosocial atiende </w:t>
            </w:r>
            <w:r w:rsidRPr="00990FB6">
              <w:rPr>
                <w:color w:val="000000"/>
                <w:sz w:val="22"/>
                <w:szCs w:val="22"/>
                <w:lang w:eastAsia="es-CR"/>
              </w:rPr>
              <w:br/>
            </w:r>
            <w:r w:rsidRPr="00990FB6">
              <w:rPr>
                <w:color w:val="000000"/>
                <w:sz w:val="22"/>
                <w:szCs w:val="22"/>
                <w:lang w:eastAsia="es-CR"/>
              </w:rPr>
              <w:br/>
              <w:t>Casa de Justicia Heredia</w:t>
            </w:r>
          </w:p>
        </w:tc>
      </w:tr>
      <w:tr w:rsidR="00B15F7D" w:rsidRPr="00990FB6" w14:paraId="7E511BCD" w14:textId="77777777" w:rsidTr="00F723CD">
        <w:trPr>
          <w:trHeight w:val="239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C9F88" w14:textId="77777777" w:rsidR="00B15F7D" w:rsidRPr="00990FB6" w:rsidRDefault="00B15F7D" w:rsidP="00B15F7D">
            <w:pPr>
              <w:rPr>
                <w:color w:val="000000"/>
                <w:sz w:val="22"/>
                <w:szCs w:val="22"/>
                <w:lang w:eastAsia="es-CR"/>
              </w:rPr>
            </w:pPr>
            <w:r w:rsidRPr="00990FB6">
              <w:rPr>
                <w:color w:val="000000"/>
                <w:sz w:val="22"/>
                <w:szCs w:val="22"/>
                <w:lang w:eastAsia="es-CR"/>
              </w:rPr>
              <w:t>Cartago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470EBE3"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1 Fiscal (a) </w:t>
            </w:r>
            <w:r w:rsidRPr="00990FB6">
              <w:rPr>
                <w:color w:val="000000"/>
                <w:sz w:val="22"/>
                <w:szCs w:val="22"/>
                <w:lang w:eastAsia="es-CR"/>
              </w:rPr>
              <w:br/>
              <w:t>1 Defensor (a) Público</w:t>
            </w:r>
            <w:r w:rsidRPr="00990FB6">
              <w:rPr>
                <w:color w:val="000000"/>
                <w:sz w:val="22"/>
                <w:szCs w:val="22"/>
                <w:lang w:eastAsia="es-CR"/>
              </w:rPr>
              <w:br/>
              <w:t>1 Psicólogo (a)</w:t>
            </w:r>
            <w:r w:rsidRPr="00990FB6">
              <w:rPr>
                <w:color w:val="000000"/>
                <w:sz w:val="22"/>
                <w:szCs w:val="22"/>
                <w:lang w:eastAsia="es-CR"/>
              </w:rPr>
              <w:br/>
              <w:t>1 Trabajador (a) Social</w:t>
            </w:r>
            <w:r w:rsidRPr="00990FB6">
              <w:rPr>
                <w:color w:val="000000"/>
                <w:sz w:val="22"/>
                <w:szCs w:val="22"/>
                <w:lang w:eastAsia="es-CR"/>
              </w:rPr>
              <w:br/>
              <w:t>1 Técnico (a) Judicial del MP</w:t>
            </w:r>
            <w:r w:rsidRPr="00990FB6">
              <w:rPr>
                <w:color w:val="000000"/>
                <w:sz w:val="22"/>
                <w:szCs w:val="22"/>
                <w:lang w:eastAsia="es-CR"/>
              </w:rPr>
              <w:br/>
            </w:r>
            <w:r w:rsidRPr="00990FB6">
              <w:rPr>
                <w:color w:val="000000"/>
                <w:sz w:val="22"/>
                <w:szCs w:val="22"/>
                <w:lang w:eastAsia="es-CR"/>
              </w:rPr>
              <w:br/>
              <w:t>Atienden Turrialba, La Unión y La Zona de los Santos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16483F" w14:textId="77777777" w:rsidR="00B15F7D" w:rsidRPr="00990FB6" w:rsidRDefault="00B15F7D" w:rsidP="00B15F7D">
            <w:pPr>
              <w:rPr>
                <w:color w:val="000000"/>
                <w:sz w:val="22"/>
                <w:szCs w:val="22"/>
                <w:lang w:eastAsia="es-CR"/>
              </w:rPr>
            </w:pPr>
            <w:r w:rsidRPr="00990FB6">
              <w:rPr>
                <w:color w:val="000000"/>
                <w:sz w:val="22"/>
                <w:szCs w:val="22"/>
                <w:lang w:eastAsia="es-CR"/>
              </w:rPr>
              <w:t>Atención por parte del equipo psicosocial de Penal de Adultos.</w:t>
            </w:r>
            <w:r w:rsidRPr="00990FB6">
              <w:rPr>
                <w:color w:val="000000"/>
                <w:sz w:val="22"/>
                <w:szCs w:val="22"/>
                <w:lang w:eastAsia="es-CR"/>
              </w:rPr>
              <w:br/>
              <w:t xml:space="preserve">Las plazas ordinarias de Fiscal (a) y Defensor (a) Público especializadas de </w:t>
            </w:r>
            <w:r w:rsidRPr="00990FB6">
              <w:rPr>
                <w:color w:val="000000"/>
                <w:sz w:val="22"/>
                <w:szCs w:val="22"/>
                <w:lang w:eastAsia="es-CR"/>
              </w:rPr>
              <w:lastRenderedPageBreak/>
              <w:t xml:space="preserve">Penal Juvenil.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E58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CE7A9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Soporte por parte del equipo psicosocial. </w:t>
            </w:r>
            <w:r w:rsidRPr="00990FB6">
              <w:rPr>
                <w:color w:val="000000"/>
                <w:sz w:val="22"/>
                <w:szCs w:val="22"/>
                <w:lang w:eastAsia="es-CR"/>
              </w:rPr>
              <w:br/>
            </w:r>
            <w:r w:rsidRPr="00990FB6">
              <w:rPr>
                <w:color w:val="000000"/>
                <w:sz w:val="22"/>
                <w:szCs w:val="22"/>
                <w:lang w:eastAsia="es-CR"/>
              </w:rPr>
              <w:br/>
              <w:t>Casa de Justicia Cartago</w:t>
            </w:r>
          </w:p>
        </w:tc>
      </w:tr>
      <w:tr w:rsidR="00B15F7D" w:rsidRPr="00990FB6" w14:paraId="42EBA010" w14:textId="77777777" w:rsidTr="00F723CD">
        <w:trPr>
          <w:trHeight w:val="2115"/>
          <w:jc w:val="center"/>
        </w:trPr>
        <w:tc>
          <w:tcPr>
            <w:tcW w:w="0" w:type="auto"/>
            <w:tcBorders>
              <w:top w:val="single" w:sz="4" w:space="0" w:color="auto"/>
              <w:left w:val="double" w:sz="6" w:space="0" w:color="244062"/>
              <w:bottom w:val="single" w:sz="4" w:space="0" w:color="auto"/>
              <w:right w:val="double" w:sz="6" w:space="0" w:color="244062"/>
            </w:tcBorders>
            <w:shd w:val="clear" w:color="auto" w:fill="auto"/>
            <w:noWrap/>
            <w:vAlign w:val="center"/>
            <w:hideMark/>
          </w:tcPr>
          <w:p w14:paraId="08A47120"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 Circuito Judicial Zona Sur</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27949099" w14:textId="77777777" w:rsidR="00B15F7D" w:rsidRPr="00990FB6" w:rsidRDefault="00B15F7D" w:rsidP="00B15F7D">
            <w:pPr>
              <w:rPr>
                <w:color w:val="000000"/>
                <w:sz w:val="22"/>
                <w:szCs w:val="22"/>
                <w:lang w:eastAsia="es-CR"/>
              </w:rPr>
            </w:pPr>
            <w:r w:rsidRPr="00990FB6">
              <w:rPr>
                <w:color w:val="000000"/>
                <w:sz w:val="22"/>
                <w:szCs w:val="22"/>
                <w:lang w:eastAsia="es-CR"/>
              </w:rPr>
              <w:t>1 Fiscal (a)</w:t>
            </w:r>
            <w:r w:rsidRPr="00990FB6">
              <w:rPr>
                <w:color w:val="000000"/>
                <w:sz w:val="22"/>
                <w:szCs w:val="22"/>
                <w:lang w:eastAsia="es-CR"/>
              </w:rPr>
              <w:br/>
              <w:t>1 Defensor (a) Público</w:t>
            </w:r>
            <w:r w:rsidRPr="00990FB6">
              <w:rPr>
                <w:color w:val="000000"/>
                <w:sz w:val="22"/>
                <w:szCs w:val="22"/>
                <w:lang w:eastAsia="es-CR"/>
              </w:rPr>
              <w:br/>
              <w:t>1 Psicólogo (a)</w:t>
            </w:r>
            <w:r w:rsidRPr="00990FB6">
              <w:rPr>
                <w:color w:val="000000"/>
                <w:sz w:val="22"/>
                <w:szCs w:val="22"/>
                <w:lang w:eastAsia="es-CR"/>
              </w:rPr>
              <w:br/>
              <w:t>1 Trabajador (a) Social</w:t>
            </w:r>
            <w:r w:rsidRPr="00990FB6">
              <w:rPr>
                <w:color w:val="000000"/>
                <w:sz w:val="22"/>
                <w:szCs w:val="22"/>
                <w:lang w:eastAsia="es-CR"/>
              </w:rPr>
              <w:br/>
              <w:t>1 Técnico (a) Judicial del MP</w:t>
            </w:r>
            <w:r w:rsidRPr="00990FB6">
              <w:rPr>
                <w:color w:val="000000"/>
                <w:sz w:val="22"/>
                <w:szCs w:val="22"/>
                <w:lang w:eastAsia="es-CR"/>
              </w:rPr>
              <w:br/>
            </w:r>
            <w:r w:rsidRPr="00990FB6">
              <w:rPr>
                <w:color w:val="000000"/>
                <w:sz w:val="22"/>
                <w:szCs w:val="22"/>
                <w:lang w:eastAsia="es-CR"/>
              </w:rPr>
              <w:br/>
              <w:t>Atienden Buenos Aires</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097C0B5C" w14:textId="77777777" w:rsidR="00B15F7D" w:rsidRPr="00990FB6" w:rsidRDefault="00B15F7D" w:rsidP="00B15F7D">
            <w:pPr>
              <w:rPr>
                <w:color w:val="000000"/>
                <w:sz w:val="22"/>
                <w:szCs w:val="22"/>
                <w:lang w:eastAsia="es-CR"/>
              </w:rPr>
            </w:pPr>
            <w:r w:rsidRPr="00990FB6">
              <w:rPr>
                <w:color w:val="000000"/>
                <w:sz w:val="22"/>
                <w:szCs w:val="22"/>
                <w:lang w:eastAsia="es-CR"/>
              </w:rPr>
              <w:t>Atención por parte del equipo psicosocial de Penal de Adultos.</w:t>
            </w:r>
            <w:r w:rsidRPr="00990FB6">
              <w:rPr>
                <w:color w:val="000000"/>
                <w:sz w:val="22"/>
                <w:szCs w:val="22"/>
                <w:lang w:eastAsia="es-CR"/>
              </w:rPr>
              <w:br/>
              <w:t xml:space="preserve">Las plazas ordinarias de Fiscal (a) y Defensor (a) Público especializadas de Penal Juvenil. </w:t>
            </w:r>
            <w:r w:rsidRPr="00990FB6">
              <w:rPr>
                <w:color w:val="000000"/>
                <w:sz w:val="22"/>
                <w:szCs w:val="22"/>
                <w:lang w:eastAsia="es-CR"/>
              </w:rPr>
              <w:br/>
            </w:r>
            <w:r w:rsidRPr="00990FB6">
              <w:rPr>
                <w:color w:val="000000"/>
                <w:sz w:val="22"/>
                <w:szCs w:val="22"/>
                <w:lang w:eastAsia="es-CR"/>
              </w:rPr>
              <w:br/>
              <w:t>Atienden Buenos Aires</w:t>
            </w:r>
          </w:p>
        </w:tc>
        <w:tc>
          <w:tcPr>
            <w:tcW w:w="0" w:type="auto"/>
            <w:tcBorders>
              <w:top w:val="single" w:sz="4" w:space="0" w:color="auto"/>
              <w:left w:val="nil"/>
              <w:bottom w:val="single" w:sz="4" w:space="0" w:color="auto"/>
              <w:right w:val="double" w:sz="6" w:space="0" w:color="244062"/>
            </w:tcBorders>
            <w:shd w:val="clear" w:color="auto" w:fill="auto"/>
            <w:noWrap/>
            <w:vAlign w:val="center"/>
            <w:hideMark/>
          </w:tcPr>
          <w:p w14:paraId="76CC90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20D914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r>
      <w:tr w:rsidR="00B15F7D" w:rsidRPr="00990FB6" w14:paraId="0F064BDF" w14:textId="77777777" w:rsidTr="00F723CD">
        <w:trPr>
          <w:trHeight w:val="211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86F76" w14:textId="77777777" w:rsidR="00B15F7D" w:rsidRPr="00990FB6" w:rsidRDefault="00B15F7D" w:rsidP="00B15F7D">
            <w:pPr>
              <w:rPr>
                <w:color w:val="000000"/>
                <w:sz w:val="22"/>
                <w:szCs w:val="22"/>
                <w:lang w:eastAsia="es-CR"/>
              </w:rPr>
            </w:pPr>
            <w:r w:rsidRPr="00990FB6">
              <w:rPr>
                <w:color w:val="000000"/>
                <w:sz w:val="22"/>
                <w:szCs w:val="22"/>
                <w:lang w:eastAsia="es-CR"/>
              </w:rPr>
              <w:t>II Circuito Judicial Zona Sur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88E00E" w14:textId="77777777" w:rsidR="00B15F7D" w:rsidRPr="00990FB6" w:rsidRDefault="00B15F7D" w:rsidP="00B15F7D">
            <w:pPr>
              <w:rPr>
                <w:color w:val="000000"/>
                <w:sz w:val="22"/>
                <w:szCs w:val="22"/>
                <w:lang w:eastAsia="es-CR"/>
              </w:rPr>
            </w:pPr>
            <w:r w:rsidRPr="00990FB6">
              <w:rPr>
                <w:color w:val="000000"/>
                <w:sz w:val="22"/>
                <w:szCs w:val="22"/>
                <w:lang w:eastAsia="es-CR"/>
              </w:rPr>
              <w:t>1 Fiscal (a)</w:t>
            </w:r>
            <w:r w:rsidRPr="00990FB6">
              <w:rPr>
                <w:color w:val="000000"/>
                <w:sz w:val="22"/>
                <w:szCs w:val="22"/>
                <w:lang w:eastAsia="es-CR"/>
              </w:rPr>
              <w:br/>
              <w:t>1 Defensor (a) Público</w:t>
            </w:r>
            <w:r w:rsidRPr="00990FB6">
              <w:rPr>
                <w:color w:val="000000"/>
                <w:sz w:val="22"/>
                <w:szCs w:val="22"/>
                <w:lang w:eastAsia="es-CR"/>
              </w:rPr>
              <w:br/>
              <w:t>1 Trabajador(a) Social</w:t>
            </w:r>
            <w:r w:rsidRPr="00990FB6">
              <w:rPr>
                <w:color w:val="000000"/>
                <w:sz w:val="22"/>
                <w:szCs w:val="22"/>
                <w:lang w:eastAsia="es-CR"/>
              </w:rPr>
              <w:br/>
              <w:t>1 Técnico (a) Judicial por 44 LOPJ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F0838ED" w14:textId="77777777" w:rsidR="00B15F7D" w:rsidRPr="00990FB6" w:rsidRDefault="00B15F7D" w:rsidP="00B15F7D">
            <w:pPr>
              <w:rPr>
                <w:color w:val="000000"/>
                <w:sz w:val="22"/>
                <w:szCs w:val="22"/>
                <w:lang w:eastAsia="es-CR"/>
              </w:rPr>
            </w:pPr>
            <w:r w:rsidRPr="00990FB6">
              <w:rPr>
                <w:color w:val="000000"/>
                <w:sz w:val="22"/>
                <w:szCs w:val="22"/>
                <w:lang w:eastAsia="es-CR"/>
              </w:rPr>
              <w:t>La persona Trabajadora Social de adultos atiende la materia Penal Juvenil</w:t>
            </w:r>
            <w:r w:rsidRPr="00990FB6">
              <w:rPr>
                <w:color w:val="000000"/>
                <w:sz w:val="22"/>
                <w:szCs w:val="22"/>
                <w:lang w:eastAsia="es-CR"/>
              </w:rPr>
              <w:br/>
              <w:t xml:space="preserve">Las plazas ordinarias de Fiscal (a) y Defensor </w:t>
            </w:r>
            <w:r w:rsidRPr="00990FB6">
              <w:rPr>
                <w:color w:val="000000"/>
                <w:sz w:val="22"/>
                <w:szCs w:val="22"/>
                <w:lang w:eastAsia="es-CR"/>
              </w:rPr>
              <w:lastRenderedPageBreak/>
              <w:t xml:space="preserve">(a) Público especializadas de Penal Juvenil.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CAC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F819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r>
      <w:tr w:rsidR="00B15F7D" w:rsidRPr="00990FB6" w14:paraId="1AD2A457" w14:textId="77777777" w:rsidTr="00F723CD">
        <w:trPr>
          <w:trHeight w:val="17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97037"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 Circuito Judicial Zona Atlántica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72F5C0"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1 Psicólogo (a) </w:t>
            </w:r>
            <w:r w:rsidRPr="00990FB6">
              <w:rPr>
                <w:color w:val="000000"/>
                <w:sz w:val="22"/>
                <w:szCs w:val="22"/>
                <w:lang w:eastAsia="es-CR"/>
              </w:rPr>
              <w:br/>
            </w:r>
            <w:r w:rsidRPr="00990FB6">
              <w:rPr>
                <w:color w:val="000000"/>
                <w:sz w:val="22"/>
                <w:szCs w:val="22"/>
                <w:lang w:eastAsia="es-CR"/>
              </w:rPr>
              <w:br/>
              <w:t>** El equipo legal del II CJZA colabora en la atención de la materia Penal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4AA5B0" w14:textId="77777777" w:rsidR="00B15F7D" w:rsidRPr="00990FB6" w:rsidRDefault="00B15F7D" w:rsidP="00B15F7D">
            <w:pPr>
              <w:rPr>
                <w:color w:val="000000"/>
                <w:sz w:val="22"/>
                <w:szCs w:val="22"/>
                <w:lang w:eastAsia="es-CR"/>
              </w:rPr>
            </w:pPr>
            <w:r w:rsidRPr="00990FB6">
              <w:rPr>
                <w:color w:val="000000"/>
                <w:sz w:val="22"/>
                <w:szCs w:val="22"/>
                <w:lang w:eastAsia="es-CR"/>
              </w:rPr>
              <w:t>La persona de Psicología de adultos atiende la materia Penal Juvenil</w:t>
            </w:r>
            <w:r w:rsidRPr="00990FB6">
              <w:rPr>
                <w:color w:val="000000"/>
                <w:sz w:val="22"/>
                <w:szCs w:val="22"/>
                <w:lang w:eastAsia="es-CR"/>
              </w:rPr>
              <w:br/>
              <w:t>Las plazas ordinarias de Fiscal (a) y Defensor (a) Público especializadas de Penal Juvenil.</w:t>
            </w:r>
            <w:r w:rsidRPr="00990FB6">
              <w:rPr>
                <w:color w:val="000000"/>
                <w:sz w:val="22"/>
                <w:szCs w:val="22"/>
                <w:lang w:eastAsia="es-CR"/>
              </w:rPr>
              <w:br/>
            </w:r>
            <w:r w:rsidRPr="00990FB6">
              <w:rPr>
                <w:color w:val="000000"/>
                <w:sz w:val="22"/>
                <w:szCs w:val="22"/>
                <w:lang w:eastAsia="es-CR"/>
              </w:rPr>
              <w:br/>
              <w:t xml:space="preserve">Atienden Limón, Batán y Bribri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309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593F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Atención por parte del profesional en Psicología</w:t>
            </w:r>
          </w:p>
        </w:tc>
      </w:tr>
      <w:tr w:rsidR="00B15F7D" w:rsidRPr="00990FB6" w14:paraId="3C07CDBA" w14:textId="77777777" w:rsidTr="00F723CD">
        <w:trPr>
          <w:trHeight w:val="2775"/>
          <w:jc w:val="center"/>
        </w:trPr>
        <w:tc>
          <w:tcPr>
            <w:tcW w:w="0" w:type="auto"/>
            <w:tcBorders>
              <w:top w:val="single" w:sz="4" w:space="0" w:color="auto"/>
              <w:left w:val="double" w:sz="6" w:space="0" w:color="244062"/>
              <w:bottom w:val="single" w:sz="4" w:space="0" w:color="auto"/>
              <w:right w:val="double" w:sz="6" w:space="0" w:color="244062"/>
            </w:tcBorders>
            <w:shd w:val="clear" w:color="auto" w:fill="auto"/>
            <w:noWrap/>
            <w:vAlign w:val="center"/>
            <w:hideMark/>
          </w:tcPr>
          <w:p w14:paraId="1DF76012"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II Circuito Judicial Zona Atlántica</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362D4A70" w14:textId="77777777" w:rsidR="00B15F7D" w:rsidRPr="00990FB6" w:rsidRDefault="00B15F7D" w:rsidP="00B15F7D">
            <w:pPr>
              <w:rPr>
                <w:color w:val="000000"/>
                <w:sz w:val="22"/>
                <w:szCs w:val="22"/>
                <w:lang w:eastAsia="es-CR"/>
              </w:rPr>
            </w:pPr>
            <w:r w:rsidRPr="00990FB6">
              <w:rPr>
                <w:color w:val="000000"/>
                <w:sz w:val="22"/>
                <w:szCs w:val="22"/>
                <w:lang w:eastAsia="es-CR"/>
              </w:rPr>
              <w:t>1 Fiscal (a)</w:t>
            </w:r>
            <w:r w:rsidRPr="00990FB6">
              <w:rPr>
                <w:color w:val="000000"/>
                <w:sz w:val="22"/>
                <w:szCs w:val="22"/>
                <w:lang w:eastAsia="es-CR"/>
              </w:rPr>
              <w:br/>
              <w:t>1 Defensor (a) Público</w:t>
            </w:r>
            <w:r w:rsidRPr="00990FB6">
              <w:rPr>
                <w:color w:val="000000"/>
                <w:sz w:val="22"/>
                <w:szCs w:val="22"/>
                <w:lang w:eastAsia="es-CR"/>
              </w:rPr>
              <w:br/>
              <w:t>1 Psicólogo (a)</w:t>
            </w:r>
            <w:r w:rsidRPr="00990FB6">
              <w:rPr>
                <w:color w:val="000000"/>
                <w:sz w:val="22"/>
                <w:szCs w:val="22"/>
                <w:lang w:eastAsia="es-CR"/>
              </w:rPr>
              <w:br/>
              <w:t>1 Trabajador (a) Social</w:t>
            </w:r>
            <w:r w:rsidRPr="00990FB6">
              <w:rPr>
                <w:color w:val="000000"/>
                <w:sz w:val="22"/>
                <w:szCs w:val="22"/>
                <w:lang w:eastAsia="es-CR"/>
              </w:rPr>
              <w:br/>
              <w:t>1 Técnico (a) Judicial del MP</w:t>
            </w:r>
            <w:r w:rsidRPr="00990FB6">
              <w:rPr>
                <w:color w:val="000000"/>
                <w:sz w:val="22"/>
                <w:szCs w:val="22"/>
                <w:lang w:eastAsia="es-CR"/>
              </w:rPr>
              <w:br/>
            </w:r>
            <w:r w:rsidRPr="00990FB6">
              <w:rPr>
                <w:color w:val="000000"/>
                <w:sz w:val="22"/>
                <w:szCs w:val="22"/>
                <w:lang w:eastAsia="es-CR"/>
              </w:rPr>
              <w:br/>
              <w:t>Atienden Siquirres y Pococí, así como soporte legal al ICJZA</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028D7180" w14:textId="77777777" w:rsidR="00B15F7D" w:rsidRPr="00990FB6" w:rsidRDefault="00B15F7D" w:rsidP="00B15F7D">
            <w:pPr>
              <w:rPr>
                <w:color w:val="000000"/>
                <w:sz w:val="22"/>
                <w:szCs w:val="22"/>
                <w:lang w:eastAsia="es-CR"/>
              </w:rPr>
            </w:pPr>
            <w:r w:rsidRPr="00990FB6">
              <w:rPr>
                <w:color w:val="000000"/>
                <w:sz w:val="22"/>
                <w:szCs w:val="22"/>
                <w:lang w:eastAsia="es-CR"/>
              </w:rPr>
              <w:t>Atención por parte del equipo psicosocial de Penal de Adultos.</w:t>
            </w:r>
            <w:r w:rsidRPr="00990FB6">
              <w:rPr>
                <w:color w:val="000000"/>
                <w:sz w:val="22"/>
                <w:szCs w:val="22"/>
                <w:lang w:eastAsia="es-CR"/>
              </w:rPr>
              <w:br/>
              <w:t xml:space="preserve">Las plazas ordinarias de Fiscal (a) y Defensor </w:t>
            </w:r>
            <w:r w:rsidRPr="00990FB6">
              <w:rPr>
                <w:color w:val="000000"/>
                <w:sz w:val="22"/>
                <w:szCs w:val="22"/>
                <w:lang w:eastAsia="es-CR"/>
              </w:rPr>
              <w:lastRenderedPageBreak/>
              <w:t xml:space="preserve">(a) Público especializadas de Penal Juvenil. </w:t>
            </w:r>
          </w:p>
        </w:tc>
        <w:tc>
          <w:tcPr>
            <w:tcW w:w="0" w:type="auto"/>
            <w:tcBorders>
              <w:top w:val="single" w:sz="4" w:space="0" w:color="auto"/>
              <w:left w:val="nil"/>
              <w:bottom w:val="single" w:sz="4" w:space="0" w:color="auto"/>
              <w:right w:val="double" w:sz="6" w:space="0" w:color="244062"/>
            </w:tcBorders>
            <w:shd w:val="clear" w:color="auto" w:fill="auto"/>
            <w:noWrap/>
            <w:vAlign w:val="center"/>
            <w:hideMark/>
          </w:tcPr>
          <w:p w14:paraId="0747E191"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No cuenta con equipo</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6BA535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r>
      <w:tr w:rsidR="00B15F7D" w:rsidRPr="00990FB6" w14:paraId="1DA0130F" w14:textId="77777777" w:rsidTr="00F723CD">
        <w:trPr>
          <w:trHeight w:val="35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C3E8D" w14:textId="77777777" w:rsidR="00B15F7D" w:rsidRPr="00990FB6" w:rsidRDefault="00B15F7D" w:rsidP="00B15F7D">
            <w:pPr>
              <w:rPr>
                <w:color w:val="000000"/>
                <w:sz w:val="22"/>
                <w:szCs w:val="22"/>
                <w:lang w:eastAsia="es-CR"/>
              </w:rPr>
            </w:pPr>
            <w:r w:rsidRPr="00990FB6">
              <w:rPr>
                <w:color w:val="000000"/>
                <w:sz w:val="22"/>
                <w:szCs w:val="22"/>
                <w:lang w:eastAsia="es-CR"/>
              </w:rPr>
              <w:t>Puntarenas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A862DD" w14:textId="77777777" w:rsidR="00B15F7D" w:rsidRPr="00990FB6" w:rsidRDefault="00B15F7D" w:rsidP="00B15F7D">
            <w:pPr>
              <w:rPr>
                <w:color w:val="000000"/>
                <w:sz w:val="22"/>
                <w:szCs w:val="22"/>
                <w:lang w:eastAsia="es-CR"/>
              </w:rPr>
            </w:pPr>
            <w:r w:rsidRPr="00990FB6">
              <w:rPr>
                <w:color w:val="000000"/>
                <w:sz w:val="22"/>
                <w:szCs w:val="22"/>
                <w:lang w:eastAsia="es-CR"/>
              </w:rPr>
              <w:t>1 Fiscal (a)</w:t>
            </w:r>
            <w:r w:rsidRPr="00990FB6">
              <w:rPr>
                <w:color w:val="000000"/>
                <w:sz w:val="22"/>
                <w:szCs w:val="22"/>
                <w:lang w:eastAsia="es-CR"/>
              </w:rPr>
              <w:br/>
              <w:t>1 Defensor (a) Público</w:t>
            </w:r>
            <w:r w:rsidRPr="00990FB6">
              <w:rPr>
                <w:color w:val="000000"/>
                <w:sz w:val="22"/>
                <w:szCs w:val="22"/>
                <w:lang w:eastAsia="es-CR"/>
              </w:rPr>
              <w:br/>
              <w:t>1 Psicólogo (a)</w:t>
            </w:r>
            <w:r w:rsidRPr="00990FB6">
              <w:rPr>
                <w:color w:val="000000"/>
                <w:sz w:val="22"/>
                <w:szCs w:val="22"/>
                <w:lang w:eastAsia="es-CR"/>
              </w:rPr>
              <w:br/>
              <w:t>1 Trabajadora Social de JJR de San Carlos quien apoya</w:t>
            </w:r>
            <w:r w:rsidRPr="00990FB6">
              <w:rPr>
                <w:color w:val="000000"/>
                <w:sz w:val="22"/>
                <w:szCs w:val="22"/>
                <w:lang w:eastAsia="es-CR"/>
              </w:rPr>
              <w:br/>
              <w:t>1 Técnico del MP</w:t>
            </w:r>
            <w:r w:rsidRPr="00990FB6">
              <w:rPr>
                <w:color w:val="000000"/>
                <w:sz w:val="22"/>
                <w:szCs w:val="22"/>
                <w:lang w:eastAsia="es-CR"/>
              </w:rPr>
              <w:br/>
            </w:r>
            <w:r w:rsidRPr="00990FB6">
              <w:rPr>
                <w:color w:val="000000"/>
                <w:sz w:val="22"/>
                <w:szCs w:val="22"/>
                <w:lang w:eastAsia="es-CR"/>
              </w:rPr>
              <w:br/>
              <w:t>Atienden Quepos, Aguirre y Parrita; así como soporte legal al III Circuito Judicial de Alajuela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E5A89B" w14:textId="77777777" w:rsidR="00B15F7D" w:rsidRPr="00990FB6" w:rsidRDefault="00B15F7D" w:rsidP="00B15F7D">
            <w:pPr>
              <w:rPr>
                <w:color w:val="000000"/>
                <w:sz w:val="22"/>
                <w:szCs w:val="22"/>
                <w:lang w:eastAsia="es-CR"/>
              </w:rPr>
            </w:pPr>
            <w:r w:rsidRPr="00990FB6">
              <w:rPr>
                <w:color w:val="000000"/>
                <w:sz w:val="22"/>
                <w:szCs w:val="22"/>
                <w:lang w:eastAsia="es-CR"/>
              </w:rPr>
              <w:t>La persona de Psicología de adultos atiende la materia Penal Juvenil</w:t>
            </w:r>
            <w:r w:rsidRPr="00990FB6">
              <w:rPr>
                <w:color w:val="000000"/>
                <w:sz w:val="22"/>
                <w:szCs w:val="22"/>
                <w:lang w:eastAsia="es-CR"/>
              </w:rPr>
              <w:br/>
              <w:t xml:space="preserve">Las plazas ordinarias de Fiscal (a) y Defensor (a) Público especializadas de Penal Juvenil.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200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E59FF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br/>
              <w:t>La persona de Psicología de adultos atiende la materia contravencional</w:t>
            </w:r>
            <w:r w:rsidRPr="00990FB6">
              <w:rPr>
                <w:color w:val="000000"/>
                <w:sz w:val="22"/>
                <w:szCs w:val="22"/>
                <w:lang w:eastAsia="es-CR"/>
              </w:rPr>
              <w:br/>
              <w:t xml:space="preserve">1 Defensor (a)  </w:t>
            </w:r>
            <w:r w:rsidRPr="00990FB6">
              <w:rPr>
                <w:color w:val="000000"/>
                <w:sz w:val="22"/>
                <w:szCs w:val="22"/>
                <w:lang w:eastAsia="es-CR"/>
              </w:rPr>
              <w:br/>
              <w:t>Participación de juez conciliador</w:t>
            </w:r>
          </w:p>
        </w:tc>
      </w:tr>
      <w:tr w:rsidR="00B15F7D" w:rsidRPr="00990FB6" w14:paraId="14ED4D00" w14:textId="77777777" w:rsidTr="00F723CD">
        <w:trPr>
          <w:trHeight w:val="3030"/>
          <w:jc w:val="center"/>
        </w:trPr>
        <w:tc>
          <w:tcPr>
            <w:tcW w:w="0" w:type="auto"/>
            <w:tcBorders>
              <w:top w:val="single" w:sz="4" w:space="0" w:color="auto"/>
              <w:left w:val="double" w:sz="6" w:space="0" w:color="244062"/>
              <w:bottom w:val="single" w:sz="4" w:space="0" w:color="auto"/>
              <w:right w:val="double" w:sz="6" w:space="0" w:color="244062"/>
            </w:tcBorders>
            <w:shd w:val="clear" w:color="auto" w:fill="auto"/>
            <w:noWrap/>
            <w:vAlign w:val="center"/>
            <w:hideMark/>
          </w:tcPr>
          <w:p w14:paraId="2107DD86" w14:textId="77777777" w:rsidR="00B15F7D" w:rsidRPr="00990FB6" w:rsidRDefault="00B15F7D" w:rsidP="00B15F7D">
            <w:pPr>
              <w:rPr>
                <w:color w:val="000000"/>
                <w:sz w:val="22"/>
                <w:szCs w:val="22"/>
                <w:lang w:eastAsia="es-CR"/>
              </w:rPr>
            </w:pPr>
            <w:r w:rsidRPr="00990FB6">
              <w:rPr>
                <w:color w:val="000000"/>
                <w:sz w:val="22"/>
                <w:szCs w:val="22"/>
                <w:lang w:eastAsia="es-CR"/>
              </w:rPr>
              <w:t>I Circuito Judicial Guanacaste</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45CA2490" w14:textId="77777777" w:rsidR="00B15F7D" w:rsidRPr="00990FB6" w:rsidRDefault="00B15F7D" w:rsidP="00B15F7D">
            <w:pPr>
              <w:rPr>
                <w:color w:val="000000"/>
                <w:sz w:val="22"/>
                <w:szCs w:val="22"/>
                <w:lang w:eastAsia="es-CR"/>
              </w:rPr>
            </w:pPr>
            <w:r w:rsidRPr="00990FB6">
              <w:rPr>
                <w:color w:val="000000"/>
                <w:sz w:val="22"/>
                <w:szCs w:val="22"/>
                <w:lang w:eastAsia="es-CR"/>
              </w:rPr>
              <w:t>1 Fiscal (a)</w:t>
            </w:r>
            <w:r w:rsidRPr="00990FB6">
              <w:rPr>
                <w:color w:val="000000"/>
                <w:sz w:val="22"/>
                <w:szCs w:val="22"/>
                <w:lang w:eastAsia="es-CR"/>
              </w:rPr>
              <w:br/>
              <w:t>1 Defensor (a) Público</w:t>
            </w:r>
            <w:r w:rsidRPr="00990FB6">
              <w:rPr>
                <w:color w:val="000000"/>
                <w:sz w:val="22"/>
                <w:szCs w:val="22"/>
                <w:lang w:eastAsia="es-CR"/>
              </w:rPr>
              <w:br/>
              <w:t>1 Psicólogo (a)</w:t>
            </w:r>
            <w:r w:rsidRPr="00990FB6">
              <w:rPr>
                <w:color w:val="000000"/>
                <w:sz w:val="22"/>
                <w:szCs w:val="22"/>
                <w:lang w:eastAsia="es-CR"/>
              </w:rPr>
              <w:br/>
              <w:t>1 Técnico (a) Judicial por 44 LOPJ</w:t>
            </w:r>
            <w:r w:rsidRPr="00990FB6">
              <w:rPr>
                <w:color w:val="000000"/>
                <w:sz w:val="22"/>
                <w:szCs w:val="22"/>
                <w:lang w:eastAsia="es-CR"/>
              </w:rPr>
              <w:br/>
            </w:r>
            <w:r w:rsidRPr="00990FB6">
              <w:rPr>
                <w:color w:val="000000"/>
                <w:sz w:val="22"/>
                <w:szCs w:val="22"/>
                <w:lang w:eastAsia="es-CR"/>
              </w:rPr>
              <w:br/>
              <w:t xml:space="preserve">Atienden Cañas </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76E97B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La persona de Psicología de JJR de Nicoya atiende la materia Penal Juvenil </w:t>
            </w:r>
            <w:r w:rsidRPr="00990FB6">
              <w:rPr>
                <w:color w:val="000000"/>
                <w:sz w:val="22"/>
                <w:szCs w:val="22"/>
                <w:lang w:eastAsia="es-CR"/>
              </w:rPr>
              <w:br/>
              <w:t xml:space="preserve">Las plazas ordinarias de Fiscal (a) y </w:t>
            </w:r>
            <w:r w:rsidRPr="00990FB6">
              <w:rPr>
                <w:color w:val="000000"/>
                <w:sz w:val="22"/>
                <w:szCs w:val="22"/>
                <w:lang w:eastAsia="es-CR"/>
              </w:rPr>
              <w:lastRenderedPageBreak/>
              <w:t>Defensor (a) Público especializadas de Penal Juvenil.</w:t>
            </w:r>
            <w:r w:rsidRPr="00990FB6">
              <w:rPr>
                <w:color w:val="000000"/>
                <w:sz w:val="22"/>
                <w:szCs w:val="22"/>
                <w:lang w:eastAsia="es-CR"/>
              </w:rPr>
              <w:br/>
            </w:r>
            <w:r w:rsidRPr="00990FB6">
              <w:rPr>
                <w:color w:val="000000"/>
                <w:sz w:val="22"/>
                <w:szCs w:val="22"/>
                <w:lang w:eastAsia="es-CR"/>
              </w:rPr>
              <w:br/>
              <w:t>La plaza de Psicólogo (a) atiende durante una semana en Liberia y una semana en Cañas</w:t>
            </w:r>
          </w:p>
        </w:tc>
        <w:tc>
          <w:tcPr>
            <w:tcW w:w="0" w:type="auto"/>
            <w:tcBorders>
              <w:top w:val="single" w:sz="4" w:space="0" w:color="auto"/>
              <w:left w:val="nil"/>
              <w:bottom w:val="single" w:sz="4" w:space="0" w:color="auto"/>
              <w:right w:val="double" w:sz="6" w:space="0" w:color="244062"/>
            </w:tcBorders>
            <w:shd w:val="clear" w:color="auto" w:fill="auto"/>
            <w:noWrap/>
            <w:vAlign w:val="center"/>
            <w:hideMark/>
          </w:tcPr>
          <w:p w14:paraId="763BAE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No cuenta con equipo</w:t>
            </w:r>
          </w:p>
        </w:tc>
        <w:tc>
          <w:tcPr>
            <w:tcW w:w="0" w:type="auto"/>
            <w:tcBorders>
              <w:top w:val="single" w:sz="4" w:space="0" w:color="auto"/>
              <w:left w:val="nil"/>
              <w:bottom w:val="single" w:sz="4" w:space="0" w:color="auto"/>
              <w:right w:val="double" w:sz="6" w:space="0" w:color="244062"/>
            </w:tcBorders>
            <w:shd w:val="clear" w:color="auto" w:fill="auto"/>
            <w:vAlign w:val="center"/>
            <w:hideMark/>
          </w:tcPr>
          <w:p w14:paraId="6AB3F5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La persona de Psicología de adultos atiende la materia contravencional</w:t>
            </w:r>
          </w:p>
        </w:tc>
      </w:tr>
      <w:tr w:rsidR="00B15F7D" w:rsidRPr="00990FB6" w14:paraId="39E16931" w14:textId="77777777" w:rsidTr="00F723CD">
        <w:trPr>
          <w:trHeight w:val="17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FC7AC" w14:textId="77777777" w:rsidR="00B15F7D" w:rsidRPr="00990FB6" w:rsidRDefault="00B15F7D" w:rsidP="00B15F7D">
            <w:pPr>
              <w:rPr>
                <w:color w:val="000000"/>
                <w:sz w:val="22"/>
                <w:szCs w:val="22"/>
                <w:lang w:eastAsia="es-CR"/>
              </w:rPr>
            </w:pPr>
            <w:r w:rsidRPr="00990FB6">
              <w:rPr>
                <w:color w:val="000000"/>
                <w:sz w:val="22"/>
                <w:szCs w:val="22"/>
                <w:lang w:eastAsia="es-CR"/>
              </w:rPr>
              <w:t>II Circuito Judicial Guanacaste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8C070B" w14:textId="77777777" w:rsidR="00B15F7D" w:rsidRPr="00990FB6" w:rsidRDefault="00B15F7D" w:rsidP="00B15F7D">
            <w:pP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F7310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 Psicólogo (a)</w:t>
            </w:r>
            <w:r w:rsidRPr="00990FB6">
              <w:rPr>
                <w:color w:val="000000"/>
                <w:sz w:val="22"/>
                <w:szCs w:val="22"/>
                <w:lang w:eastAsia="es-CR"/>
              </w:rPr>
              <w:br/>
              <w:t>Las plazas ordinarias de Fiscal (a) y Defensor (a) Público especializadas de Penal Juvenil.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183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cuenta con equipo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D01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Casa de Justicia Nicoya</w:t>
            </w:r>
          </w:p>
        </w:tc>
      </w:tr>
    </w:tbl>
    <w:p w14:paraId="178D4F99" w14:textId="77777777" w:rsidR="00B15F7D" w:rsidRPr="00990FB6" w:rsidRDefault="00B15F7D" w:rsidP="00B15F7D">
      <w:pPr>
        <w:tabs>
          <w:tab w:val="left" w:pos="0"/>
        </w:tabs>
        <w:ind w:left="851" w:right="851" w:firstLine="709"/>
        <w:jc w:val="both"/>
        <w:rPr>
          <w:bCs/>
          <w:color w:val="000000"/>
          <w:sz w:val="22"/>
          <w:szCs w:val="22"/>
        </w:rPr>
      </w:pPr>
      <w:r w:rsidRPr="00990FB6">
        <w:rPr>
          <w:b/>
          <w:color w:val="000000"/>
          <w:sz w:val="22"/>
          <w:szCs w:val="22"/>
        </w:rPr>
        <w:t>Fuente:</w:t>
      </w:r>
      <w:r w:rsidRPr="00990FB6">
        <w:rPr>
          <w:bCs/>
          <w:color w:val="000000"/>
          <w:sz w:val="22"/>
          <w:szCs w:val="22"/>
        </w:rPr>
        <w:t xml:space="preserve"> Modernización Institucional a partir de información suministrada por parte de la Oficina Rectora de Justicia Restaurativa.</w:t>
      </w:r>
    </w:p>
    <w:p w14:paraId="23336F69" w14:textId="77777777" w:rsidR="00B15F7D" w:rsidRPr="00990FB6" w:rsidRDefault="00B15F7D" w:rsidP="00B15F7D">
      <w:pPr>
        <w:tabs>
          <w:tab w:val="left" w:pos="0"/>
        </w:tabs>
        <w:ind w:left="851" w:right="851" w:firstLine="709"/>
        <w:jc w:val="both"/>
        <w:rPr>
          <w:bCs/>
          <w:color w:val="000000"/>
          <w:sz w:val="22"/>
          <w:szCs w:val="22"/>
        </w:rPr>
      </w:pPr>
    </w:p>
    <w:p w14:paraId="0745C5EC" w14:textId="77777777" w:rsidR="00B15F7D" w:rsidRPr="00990FB6" w:rsidRDefault="00B15F7D" w:rsidP="00B15F7D">
      <w:pPr>
        <w:keepNext/>
        <w:numPr>
          <w:ilvl w:val="1"/>
          <w:numId w:val="154"/>
        </w:numPr>
        <w:suppressAutoHyphens w:val="0"/>
        <w:ind w:left="851" w:right="851" w:firstLine="709"/>
        <w:jc w:val="both"/>
        <w:rPr>
          <w:color w:val="000000"/>
          <w:sz w:val="22"/>
          <w:szCs w:val="22"/>
        </w:rPr>
      </w:pPr>
      <w:r w:rsidRPr="00990FB6">
        <w:rPr>
          <w:color w:val="000000"/>
          <w:sz w:val="22"/>
          <w:szCs w:val="22"/>
        </w:rPr>
        <w:t>Análisis del comportamiento estadístico</w:t>
      </w:r>
    </w:p>
    <w:p w14:paraId="1AC699BF" w14:textId="77777777" w:rsidR="00B15F7D" w:rsidRPr="00990FB6" w:rsidRDefault="00B15F7D" w:rsidP="00B15F7D">
      <w:pPr>
        <w:keepNext/>
        <w:numPr>
          <w:ilvl w:val="2"/>
          <w:numId w:val="154"/>
        </w:numPr>
        <w:suppressAutoHyphens w:val="0"/>
        <w:ind w:left="851" w:right="851" w:firstLine="709"/>
        <w:jc w:val="both"/>
        <w:rPr>
          <w:color w:val="000000"/>
          <w:sz w:val="22"/>
          <w:szCs w:val="22"/>
        </w:rPr>
      </w:pPr>
      <w:r w:rsidRPr="00990FB6">
        <w:rPr>
          <w:color w:val="000000"/>
          <w:sz w:val="22"/>
          <w:szCs w:val="22"/>
        </w:rPr>
        <w:t>Justicia Restaurativa Penal de Adultos</w:t>
      </w:r>
    </w:p>
    <w:p w14:paraId="5004F1E7"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En el cuadro siguiente, se presenta el detalle de las variables estadísticas, en Justicia Restaurativa Penal de Adultos, para el período 2019 a 2022.</w:t>
      </w:r>
    </w:p>
    <w:p w14:paraId="68C109A0" w14:textId="77777777" w:rsidR="00B15F7D" w:rsidRPr="00990FB6" w:rsidRDefault="00B15F7D" w:rsidP="00B15F7D">
      <w:pPr>
        <w:tabs>
          <w:tab w:val="left" w:pos="0"/>
        </w:tabs>
        <w:ind w:left="851" w:right="851" w:firstLine="709"/>
        <w:jc w:val="both"/>
        <w:rPr>
          <w:color w:val="000000"/>
          <w:sz w:val="22"/>
          <w:szCs w:val="22"/>
        </w:rPr>
      </w:pPr>
    </w:p>
    <w:p w14:paraId="509B2FBE" w14:textId="77777777" w:rsidR="00B15F7D" w:rsidRPr="00990FB6" w:rsidRDefault="00B15F7D" w:rsidP="00B15F7D">
      <w:pPr>
        <w:ind w:left="851" w:right="851" w:firstLine="709"/>
        <w:jc w:val="both"/>
        <w:rPr>
          <w:b/>
          <w:bCs/>
          <w:smallCaps/>
          <w:color w:val="000000"/>
          <w:sz w:val="22"/>
          <w:szCs w:val="22"/>
        </w:rPr>
      </w:pPr>
      <w:r w:rsidRPr="00990FB6">
        <w:rPr>
          <w:b/>
          <w:bCs/>
          <w:smallCaps/>
          <w:color w:val="000000"/>
          <w:sz w:val="22"/>
          <w:szCs w:val="22"/>
        </w:rPr>
        <w:t xml:space="preserve">Cuadro </w:t>
      </w:r>
      <w:r w:rsidRPr="00990FB6">
        <w:rPr>
          <w:b/>
          <w:bCs/>
          <w:smallCaps/>
          <w:color w:val="000000"/>
          <w:sz w:val="22"/>
          <w:szCs w:val="22"/>
        </w:rPr>
        <w:fldChar w:fldCharType="begin"/>
      </w:r>
      <w:r w:rsidRPr="00990FB6">
        <w:rPr>
          <w:b/>
          <w:bCs/>
          <w:smallCaps/>
          <w:color w:val="000000"/>
          <w:sz w:val="22"/>
          <w:szCs w:val="22"/>
        </w:rPr>
        <w:instrText>SEQ Cuadro \* ARABIC</w:instrText>
      </w:r>
      <w:r w:rsidRPr="00990FB6">
        <w:rPr>
          <w:b/>
          <w:bCs/>
          <w:smallCaps/>
          <w:color w:val="000000"/>
          <w:sz w:val="22"/>
          <w:szCs w:val="22"/>
        </w:rPr>
        <w:fldChar w:fldCharType="separate"/>
      </w:r>
      <w:r w:rsidRPr="00990FB6">
        <w:rPr>
          <w:b/>
          <w:bCs/>
          <w:smallCaps/>
          <w:noProof/>
          <w:color w:val="000000"/>
          <w:sz w:val="22"/>
          <w:szCs w:val="22"/>
        </w:rPr>
        <w:t>3</w:t>
      </w:r>
      <w:r w:rsidRPr="00990FB6">
        <w:rPr>
          <w:b/>
          <w:bCs/>
          <w:smallCaps/>
          <w:color w:val="000000"/>
          <w:sz w:val="22"/>
          <w:szCs w:val="22"/>
        </w:rPr>
        <w:fldChar w:fldCharType="end"/>
      </w:r>
      <w:r w:rsidRPr="00990FB6">
        <w:rPr>
          <w:b/>
          <w:bCs/>
          <w:smallCaps/>
          <w:color w:val="000000"/>
          <w:sz w:val="22"/>
          <w:szCs w:val="22"/>
        </w:rPr>
        <w:t xml:space="preserve">. Comportamiento de las variables estadísticas de Justicia Restaurativa Penal de Adultos periodo 2019 al 2022. </w:t>
      </w:r>
    </w:p>
    <w:p w14:paraId="6C836616" w14:textId="77777777" w:rsidR="00B15F7D" w:rsidRPr="00990FB6" w:rsidRDefault="00B15F7D" w:rsidP="00B15F7D">
      <w:pPr>
        <w:jc w:val="both"/>
        <w:rPr>
          <w:b/>
          <w:bCs/>
          <w:smallCap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1668"/>
        <w:gridCol w:w="580"/>
        <w:gridCol w:w="580"/>
        <w:gridCol w:w="580"/>
        <w:gridCol w:w="580"/>
        <w:gridCol w:w="580"/>
      </w:tblGrid>
      <w:tr w:rsidR="00B15F7D" w:rsidRPr="00990FB6" w14:paraId="7761B164" w14:textId="77777777" w:rsidTr="000A0C22">
        <w:trPr>
          <w:trHeight w:val="660"/>
          <w:jc w:val="center"/>
        </w:trPr>
        <w:tc>
          <w:tcPr>
            <w:tcW w:w="0" w:type="auto"/>
            <w:vMerge w:val="restart"/>
            <w:tcBorders>
              <w:top w:val="double" w:sz="6" w:space="0" w:color="305496"/>
              <w:left w:val="double" w:sz="6" w:space="0" w:color="305496"/>
              <w:bottom w:val="double" w:sz="6" w:space="0" w:color="305496"/>
              <w:right w:val="double" w:sz="6" w:space="0" w:color="305496"/>
            </w:tcBorders>
            <w:shd w:val="clear" w:color="000000" w:fill="B4C6E7"/>
            <w:noWrap/>
            <w:vAlign w:val="center"/>
            <w:hideMark/>
          </w:tcPr>
          <w:p w14:paraId="07F040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Variable</w:t>
            </w:r>
          </w:p>
        </w:tc>
        <w:tc>
          <w:tcPr>
            <w:tcW w:w="0" w:type="auto"/>
            <w:gridSpan w:val="5"/>
            <w:tcBorders>
              <w:top w:val="nil"/>
              <w:left w:val="nil"/>
              <w:bottom w:val="double" w:sz="6" w:space="0" w:color="305496"/>
              <w:right w:val="nil"/>
            </w:tcBorders>
            <w:shd w:val="clear" w:color="000000" w:fill="B4C6E7"/>
            <w:noWrap/>
            <w:vAlign w:val="center"/>
            <w:hideMark/>
          </w:tcPr>
          <w:p w14:paraId="26E9EE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Año</w:t>
            </w:r>
          </w:p>
        </w:tc>
      </w:tr>
      <w:tr w:rsidR="00B15F7D" w:rsidRPr="00990FB6" w14:paraId="6B6EE492" w14:textId="77777777" w:rsidTr="000A0C22">
        <w:trPr>
          <w:trHeight w:val="345"/>
          <w:jc w:val="center"/>
        </w:trPr>
        <w:tc>
          <w:tcPr>
            <w:tcW w:w="0" w:type="auto"/>
            <w:vMerge/>
            <w:tcBorders>
              <w:top w:val="double" w:sz="6" w:space="0" w:color="305496"/>
              <w:left w:val="double" w:sz="6" w:space="0" w:color="305496"/>
              <w:bottom w:val="double" w:sz="6" w:space="0" w:color="305496"/>
              <w:right w:val="double" w:sz="6" w:space="0" w:color="305496"/>
            </w:tcBorders>
            <w:vAlign w:val="center"/>
            <w:hideMark/>
          </w:tcPr>
          <w:p w14:paraId="79DF531E" w14:textId="77777777" w:rsidR="00B15F7D" w:rsidRPr="00990FB6" w:rsidRDefault="00B15F7D" w:rsidP="00B15F7D">
            <w:pPr>
              <w:rPr>
                <w:color w:val="000000"/>
                <w:sz w:val="22"/>
                <w:szCs w:val="22"/>
                <w:lang w:eastAsia="es-CR"/>
              </w:rPr>
            </w:pPr>
          </w:p>
        </w:tc>
        <w:tc>
          <w:tcPr>
            <w:tcW w:w="0" w:type="auto"/>
            <w:tcBorders>
              <w:top w:val="nil"/>
              <w:left w:val="nil"/>
              <w:bottom w:val="double" w:sz="6" w:space="0" w:color="305496"/>
              <w:right w:val="double" w:sz="6" w:space="0" w:color="305496"/>
            </w:tcBorders>
            <w:shd w:val="clear" w:color="000000" w:fill="B4C6E7"/>
            <w:noWrap/>
            <w:vAlign w:val="bottom"/>
            <w:hideMark/>
          </w:tcPr>
          <w:p w14:paraId="0784A79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2018</w:t>
            </w:r>
          </w:p>
        </w:tc>
        <w:tc>
          <w:tcPr>
            <w:tcW w:w="0" w:type="auto"/>
            <w:tcBorders>
              <w:top w:val="nil"/>
              <w:left w:val="nil"/>
              <w:bottom w:val="double" w:sz="6" w:space="0" w:color="305496"/>
              <w:right w:val="double" w:sz="6" w:space="0" w:color="305496"/>
            </w:tcBorders>
            <w:shd w:val="clear" w:color="000000" w:fill="B4C6E7"/>
            <w:noWrap/>
            <w:vAlign w:val="bottom"/>
            <w:hideMark/>
          </w:tcPr>
          <w:p w14:paraId="071E82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2019</w:t>
            </w:r>
          </w:p>
        </w:tc>
        <w:tc>
          <w:tcPr>
            <w:tcW w:w="0" w:type="auto"/>
            <w:tcBorders>
              <w:top w:val="nil"/>
              <w:left w:val="nil"/>
              <w:bottom w:val="double" w:sz="6" w:space="0" w:color="305496"/>
              <w:right w:val="double" w:sz="6" w:space="0" w:color="305496"/>
            </w:tcBorders>
            <w:shd w:val="clear" w:color="000000" w:fill="B4C6E7"/>
            <w:noWrap/>
            <w:vAlign w:val="bottom"/>
            <w:hideMark/>
          </w:tcPr>
          <w:p w14:paraId="38854E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2020</w:t>
            </w:r>
          </w:p>
        </w:tc>
        <w:tc>
          <w:tcPr>
            <w:tcW w:w="0" w:type="auto"/>
            <w:tcBorders>
              <w:top w:val="nil"/>
              <w:left w:val="nil"/>
              <w:bottom w:val="double" w:sz="6" w:space="0" w:color="305496"/>
              <w:right w:val="double" w:sz="6" w:space="0" w:color="305496"/>
            </w:tcBorders>
            <w:shd w:val="clear" w:color="000000" w:fill="B4C6E7"/>
            <w:noWrap/>
            <w:vAlign w:val="bottom"/>
            <w:hideMark/>
          </w:tcPr>
          <w:p w14:paraId="6D3378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c>
          <w:tcPr>
            <w:tcW w:w="0" w:type="auto"/>
            <w:tcBorders>
              <w:top w:val="nil"/>
              <w:left w:val="nil"/>
              <w:bottom w:val="double" w:sz="6" w:space="0" w:color="305496"/>
              <w:right w:val="double" w:sz="6" w:space="0" w:color="305496"/>
            </w:tcBorders>
            <w:shd w:val="clear" w:color="000000" w:fill="B4C6E7"/>
            <w:noWrap/>
            <w:vAlign w:val="bottom"/>
            <w:hideMark/>
          </w:tcPr>
          <w:p w14:paraId="6A91838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2022</w:t>
            </w:r>
          </w:p>
        </w:tc>
      </w:tr>
      <w:tr w:rsidR="00B15F7D" w:rsidRPr="00990FB6" w14:paraId="6BA863B5" w14:textId="77777777" w:rsidTr="000A0C22">
        <w:trPr>
          <w:trHeight w:val="390"/>
          <w:jc w:val="center"/>
        </w:trPr>
        <w:tc>
          <w:tcPr>
            <w:tcW w:w="0" w:type="auto"/>
            <w:tcBorders>
              <w:top w:val="nil"/>
              <w:left w:val="double" w:sz="6" w:space="0" w:color="305496"/>
              <w:bottom w:val="double" w:sz="6" w:space="0" w:color="305496"/>
              <w:right w:val="double" w:sz="6" w:space="0" w:color="305496"/>
            </w:tcBorders>
            <w:shd w:val="clear" w:color="auto" w:fill="auto"/>
            <w:noWrap/>
            <w:vAlign w:val="bottom"/>
            <w:hideMark/>
          </w:tcPr>
          <w:p w14:paraId="1843A6C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Entrados</w:t>
            </w:r>
          </w:p>
        </w:tc>
        <w:tc>
          <w:tcPr>
            <w:tcW w:w="0" w:type="auto"/>
            <w:tcBorders>
              <w:top w:val="nil"/>
              <w:left w:val="nil"/>
              <w:bottom w:val="double" w:sz="6" w:space="0" w:color="305496"/>
              <w:right w:val="double" w:sz="6" w:space="0" w:color="305496"/>
            </w:tcBorders>
            <w:shd w:val="clear" w:color="auto" w:fill="auto"/>
            <w:noWrap/>
            <w:vAlign w:val="bottom"/>
            <w:hideMark/>
          </w:tcPr>
          <w:p w14:paraId="766216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2411</w:t>
            </w:r>
          </w:p>
        </w:tc>
        <w:tc>
          <w:tcPr>
            <w:tcW w:w="0" w:type="auto"/>
            <w:tcBorders>
              <w:top w:val="nil"/>
              <w:left w:val="nil"/>
              <w:bottom w:val="double" w:sz="6" w:space="0" w:color="305496"/>
              <w:right w:val="double" w:sz="6" w:space="0" w:color="305496"/>
            </w:tcBorders>
            <w:shd w:val="clear" w:color="auto" w:fill="auto"/>
            <w:noWrap/>
            <w:vAlign w:val="bottom"/>
            <w:hideMark/>
          </w:tcPr>
          <w:p w14:paraId="2BFE8B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2729</w:t>
            </w:r>
          </w:p>
        </w:tc>
        <w:tc>
          <w:tcPr>
            <w:tcW w:w="0" w:type="auto"/>
            <w:tcBorders>
              <w:top w:val="nil"/>
              <w:left w:val="nil"/>
              <w:bottom w:val="double" w:sz="6" w:space="0" w:color="305496"/>
              <w:right w:val="double" w:sz="6" w:space="0" w:color="305496"/>
            </w:tcBorders>
            <w:shd w:val="clear" w:color="auto" w:fill="auto"/>
            <w:noWrap/>
            <w:vAlign w:val="bottom"/>
            <w:hideMark/>
          </w:tcPr>
          <w:p w14:paraId="5F3692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2428</w:t>
            </w:r>
          </w:p>
        </w:tc>
        <w:tc>
          <w:tcPr>
            <w:tcW w:w="0" w:type="auto"/>
            <w:tcBorders>
              <w:top w:val="nil"/>
              <w:left w:val="nil"/>
              <w:bottom w:val="double" w:sz="6" w:space="0" w:color="305496"/>
              <w:right w:val="double" w:sz="6" w:space="0" w:color="305496"/>
            </w:tcBorders>
            <w:shd w:val="clear" w:color="auto" w:fill="auto"/>
            <w:noWrap/>
            <w:vAlign w:val="bottom"/>
            <w:hideMark/>
          </w:tcPr>
          <w:p w14:paraId="4BA33A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3144</w:t>
            </w:r>
          </w:p>
        </w:tc>
        <w:tc>
          <w:tcPr>
            <w:tcW w:w="0" w:type="auto"/>
            <w:tcBorders>
              <w:top w:val="nil"/>
              <w:left w:val="nil"/>
              <w:bottom w:val="double" w:sz="6" w:space="0" w:color="305496"/>
              <w:right w:val="double" w:sz="6" w:space="0" w:color="305496"/>
            </w:tcBorders>
            <w:shd w:val="clear" w:color="auto" w:fill="auto"/>
            <w:noWrap/>
            <w:vAlign w:val="bottom"/>
            <w:hideMark/>
          </w:tcPr>
          <w:p w14:paraId="4FFE58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3726</w:t>
            </w:r>
          </w:p>
        </w:tc>
      </w:tr>
      <w:tr w:rsidR="00B15F7D" w:rsidRPr="00990FB6" w14:paraId="242B666B" w14:textId="77777777" w:rsidTr="000A0C22">
        <w:trPr>
          <w:trHeight w:val="390"/>
          <w:jc w:val="center"/>
        </w:trPr>
        <w:tc>
          <w:tcPr>
            <w:tcW w:w="0" w:type="auto"/>
            <w:tcBorders>
              <w:top w:val="nil"/>
              <w:left w:val="double" w:sz="6" w:space="0" w:color="305496"/>
              <w:bottom w:val="double" w:sz="6" w:space="0" w:color="305496"/>
              <w:right w:val="double" w:sz="6" w:space="0" w:color="305496"/>
            </w:tcBorders>
            <w:shd w:val="clear" w:color="auto" w:fill="auto"/>
            <w:noWrap/>
            <w:vAlign w:val="bottom"/>
            <w:hideMark/>
          </w:tcPr>
          <w:p w14:paraId="3605FE6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Reentrados</w:t>
            </w:r>
          </w:p>
        </w:tc>
        <w:tc>
          <w:tcPr>
            <w:tcW w:w="0" w:type="auto"/>
            <w:tcBorders>
              <w:top w:val="nil"/>
              <w:left w:val="nil"/>
              <w:bottom w:val="double" w:sz="6" w:space="0" w:color="305496"/>
              <w:right w:val="double" w:sz="6" w:space="0" w:color="305496"/>
            </w:tcBorders>
            <w:shd w:val="clear" w:color="auto" w:fill="auto"/>
            <w:noWrap/>
            <w:vAlign w:val="bottom"/>
            <w:hideMark/>
          </w:tcPr>
          <w:p w14:paraId="1EFCB1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49</w:t>
            </w:r>
          </w:p>
        </w:tc>
        <w:tc>
          <w:tcPr>
            <w:tcW w:w="0" w:type="auto"/>
            <w:tcBorders>
              <w:top w:val="nil"/>
              <w:left w:val="nil"/>
              <w:bottom w:val="double" w:sz="6" w:space="0" w:color="305496"/>
              <w:right w:val="double" w:sz="6" w:space="0" w:color="305496"/>
            </w:tcBorders>
            <w:shd w:val="clear" w:color="auto" w:fill="auto"/>
            <w:noWrap/>
            <w:vAlign w:val="bottom"/>
            <w:hideMark/>
          </w:tcPr>
          <w:p w14:paraId="5F25A7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100</w:t>
            </w:r>
          </w:p>
        </w:tc>
        <w:tc>
          <w:tcPr>
            <w:tcW w:w="0" w:type="auto"/>
            <w:tcBorders>
              <w:top w:val="nil"/>
              <w:left w:val="nil"/>
              <w:bottom w:val="double" w:sz="6" w:space="0" w:color="305496"/>
              <w:right w:val="double" w:sz="6" w:space="0" w:color="305496"/>
            </w:tcBorders>
            <w:shd w:val="clear" w:color="auto" w:fill="auto"/>
            <w:noWrap/>
            <w:vAlign w:val="bottom"/>
            <w:hideMark/>
          </w:tcPr>
          <w:p w14:paraId="42A9BDC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70</w:t>
            </w:r>
          </w:p>
        </w:tc>
        <w:tc>
          <w:tcPr>
            <w:tcW w:w="0" w:type="auto"/>
            <w:tcBorders>
              <w:top w:val="nil"/>
              <w:left w:val="nil"/>
              <w:bottom w:val="double" w:sz="6" w:space="0" w:color="305496"/>
              <w:right w:val="double" w:sz="6" w:space="0" w:color="305496"/>
            </w:tcBorders>
            <w:shd w:val="clear" w:color="auto" w:fill="auto"/>
            <w:noWrap/>
            <w:vAlign w:val="bottom"/>
            <w:hideMark/>
          </w:tcPr>
          <w:p w14:paraId="04E1FE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77</w:t>
            </w:r>
          </w:p>
        </w:tc>
        <w:tc>
          <w:tcPr>
            <w:tcW w:w="0" w:type="auto"/>
            <w:tcBorders>
              <w:top w:val="nil"/>
              <w:left w:val="nil"/>
              <w:bottom w:val="double" w:sz="6" w:space="0" w:color="305496"/>
              <w:right w:val="double" w:sz="6" w:space="0" w:color="305496"/>
            </w:tcBorders>
            <w:shd w:val="clear" w:color="auto" w:fill="auto"/>
            <w:noWrap/>
            <w:vAlign w:val="bottom"/>
            <w:hideMark/>
          </w:tcPr>
          <w:p w14:paraId="6CFC3FE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102</w:t>
            </w:r>
          </w:p>
        </w:tc>
      </w:tr>
      <w:tr w:rsidR="00B15F7D" w:rsidRPr="00990FB6" w14:paraId="44115664" w14:textId="77777777" w:rsidTr="000A0C22">
        <w:trPr>
          <w:trHeight w:val="390"/>
          <w:jc w:val="center"/>
        </w:trPr>
        <w:tc>
          <w:tcPr>
            <w:tcW w:w="0" w:type="auto"/>
            <w:tcBorders>
              <w:top w:val="nil"/>
              <w:left w:val="double" w:sz="6" w:space="0" w:color="305496"/>
              <w:bottom w:val="double" w:sz="6" w:space="0" w:color="305496"/>
              <w:right w:val="double" w:sz="6" w:space="0" w:color="305496"/>
            </w:tcBorders>
            <w:shd w:val="clear" w:color="auto" w:fill="auto"/>
            <w:noWrap/>
            <w:vAlign w:val="bottom"/>
            <w:hideMark/>
          </w:tcPr>
          <w:p w14:paraId="3004DC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Total de entrados</w:t>
            </w:r>
          </w:p>
        </w:tc>
        <w:tc>
          <w:tcPr>
            <w:tcW w:w="0" w:type="auto"/>
            <w:tcBorders>
              <w:top w:val="nil"/>
              <w:left w:val="nil"/>
              <w:bottom w:val="double" w:sz="6" w:space="0" w:color="305496"/>
              <w:right w:val="double" w:sz="6" w:space="0" w:color="305496"/>
            </w:tcBorders>
            <w:shd w:val="clear" w:color="auto" w:fill="auto"/>
            <w:noWrap/>
            <w:vAlign w:val="bottom"/>
            <w:hideMark/>
          </w:tcPr>
          <w:p w14:paraId="4579EB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2460</w:t>
            </w:r>
          </w:p>
        </w:tc>
        <w:tc>
          <w:tcPr>
            <w:tcW w:w="0" w:type="auto"/>
            <w:tcBorders>
              <w:top w:val="nil"/>
              <w:left w:val="nil"/>
              <w:bottom w:val="double" w:sz="6" w:space="0" w:color="305496"/>
              <w:right w:val="double" w:sz="6" w:space="0" w:color="305496"/>
            </w:tcBorders>
            <w:shd w:val="clear" w:color="auto" w:fill="auto"/>
            <w:noWrap/>
            <w:vAlign w:val="bottom"/>
            <w:hideMark/>
          </w:tcPr>
          <w:p w14:paraId="714BBF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2829</w:t>
            </w:r>
          </w:p>
        </w:tc>
        <w:tc>
          <w:tcPr>
            <w:tcW w:w="0" w:type="auto"/>
            <w:tcBorders>
              <w:top w:val="nil"/>
              <w:left w:val="nil"/>
              <w:bottom w:val="double" w:sz="6" w:space="0" w:color="305496"/>
              <w:right w:val="double" w:sz="6" w:space="0" w:color="305496"/>
            </w:tcBorders>
            <w:shd w:val="clear" w:color="auto" w:fill="auto"/>
            <w:noWrap/>
            <w:vAlign w:val="bottom"/>
            <w:hideMark/>
          </w:tcPr>
          <w:p w14:paraId="020FA7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2498</w:t>
            </w:r>
          </w:p>
        </w:tc>
        <w:tc>
          <w:tcPr>
            <w:tcW w:w="0" w:type="auto"/>
            <w:tcBorders>
              <w:top w:val="nil"/>
              <w:left w:val="nil"/>
              <w:bottom w:val="double" w:sz="6" w:space="0" w:color="305496"/>
              <w:right w:val="double" w:sz="6" w:space="0" w:color="305496"/>
            </w:tcBorders>
            <w:shd w:val="clear" w:color="auto" w:fill="auto"/>
            <w:noWrap/>
            <w:vAlign w:val="bottom"/>
            <w:hideMark/>
          </w:tcPr>
          <w:p w14:paraId="2D8DDB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3221</w:t>
            </w:r>
          </w:p>
        </w:tc>
        <w:tc>
          <w:tcPr>
            <w:tcW w:w="0" w:type="auto"/>
            <w:tcBorders>
              <w:top w:val="nil"/>
              <w:left w:val="nil"/>
              <w:bottom w:val="double" w:sz="6" w:space="0" w:color="305496"/>
              <w:right w:val="double" w:sz="6" w:space="0" w:color="305496"/>
            </w:tcBorders>
            <w:shd w:val="clear" w:color="auto" w:fill="auto"/>
            <w:noWrap/>
            <w:vAlign w:val="bottom"/>
            <w:hideMark/>
          </w:tcPr>
          <w:p w14:paraId="362853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3828</w:t>
            </w:r>
          </w:p>
        </w:tc>
      </w:tr>
      <w:tr w:rsidR="00B15F7D" w:rsidRPr="00990FB6" w14:paraId="6ACC58BE" w14:textId="77777777" w:rsidTr="000A0C22">
        <w:trPr>
          <w:trHeight w:val="390"/>
          <w:jc w:val="center"/>
        </w:trPr>
        <w:tc>
          <w:tcPr>
            <w:tcW w:w="0" w:type="auto"/>
            <w:tcBorders>
              <w:top w:val="nil"/>
              <w:left w:val="double" w:sz="6" w:space="0" w:color="305496"/>
              <w:bottom w:val="double" w:sz="6" w:space="0" w:color="305496"/>
              <w:right w:val="double" w:sz="6" w:space="0" w:color="305496"/>
            </w:tcBorders>
            <w:shd w:val="clear" w:color="auto" w:fill="auto"/>
            <w:noWrap/>
            <w:vAlign w:val="bottom"/>
            <w:hideMark/>
          </w:tcPr>
          <w:p w14:paraId="682C1F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Terminados</w:t>
            </w:r>
          </w:p>
        </w:tc>
        <w:tc>
          <w:tcPr>
            <w:tcW w:w="0" w:type="auto"/>
            <w:tcBorders>
              <w:top w:val="nil"/>
              <w:left w:val="nil"/>
              <w:bottom w:val="double" w:sz="6" w:space="0" w:color="305496"/>
              <w:right w:val="double" w:sz="6" w:space="0" w:color="305496"/>
            </w:tcBorders>
            <w:shd w:val="clear" w:color="auto" w:fill="auto"/>
            <w:noWrap/>
            <w:vAlign w:val="bottom"/>
            <w:hideMark/>
          </w:tcPr>
          <w:p w14:paraId="7FCEF3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2318</w:t>
            </w:r>
          </w:p>
        </w:tc>
        <w:tc>
          <w:tcPr>
            <w:tcW w:w="0" w:type="auto"/>
            <w:tcBorders>
              <w:top w:val="nil"/>
              <w:left w:val="nil"/>
              <w:bottom w:val="double" w:sz="6" w:space="0" w:color="305496"/>
              <w:right w:val="double" w:sz="6" w:space="0" w:color="305496"/>
            </w:tcBorders>
            <w:shd w:val="clear" w:color="auto" w:fill="auto"/>
            <w:noWrap/>
            <w:vAlign w:val="bottom"/>
            <w:hideMark/>
          </w:tcPr>
          <w:p w14:paraId="4151A8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2985</w:t>
            </w:r>
          </w:p>
        </w:tc>
        <w:tc>
          <w:tcPr>
            <w:tcW w:w="0" w:type="auto"/>
            <w:tcBorders>
              <w:top w:val="nil"/>
              <w:left w:val="nil"/>
              <w:bottom w:val="double" w:sz="6" w:space="0" w:color="305496"/>
              <w:right w:val="double" w:sz="6" w:space="0" w:color="305496"/>
            </w:tcBorders>
            <w:shd w:val="clear" w:color="auto" w:fill="auto"/>
            <w:noWrap/>
            <w:vAlign w:val="bottom"/>
            <w:hideMark/>
          </w:tcPr>
          <w:p w14:paraId="74BD18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2287</w:t>
            </w:r>
          </w:p>
        </w:tc>
        <w:tc>
          <w:tcPr>
            <w:tcW w:w="0" w:type="auto"/>
            <w:tcBorders>
              <w:top w:val="nil"/>
              <w:left w:val="nil"/>
              <w:bottom w:val="double" w:sz="6" w:space="0" w:color="305496"/>
              <w:right w:val="double" w:sz="6" w:space="0" w:color="305496"/>
            </w:tcBorders>
            <w:shd w:val="clear" w:color="auto" w:fill="auto"/>
            <w:noWrap/>
            <w:vAlign w:val="bottom"/>
            <w:hideMark/>
          </w:tcPr>
          <w:p w14:paraId="155430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3256</w:t>
            </w:r>
          </w:p>
        </w:tc>
        <w:tc>
          <w:tcPr>
            <w:tcW w:w="0" w:type="auto"/>
            <w:tcBorders>
              <w:top w:val="nil"/>
              <w:left w:val="nil"/>
              <w:bottom w:val="double" w:sz="6" w:space="0" w:color="305496"/>
              <w:right w:val="double" w:sz="6" w:space="0" w:color="305496"/>
            </w:tcBorders>
            <w:shd w:val="clear" w:color="auto" w:fill="auto"/>
            <w:noWrap/>
            <w:vAlign w:val="bottom"/>
            <w:hideMark/>
          </w:tcPr>
          <w:p w14:paraId="59CB641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3806</w:t>
            </w:r>
          </w:p>
        </w:tc>
      </w:tr>
      <w:tr w:rsidR="00B15F7D" w:rsidRPr="00990FB6" w14:paraId="024AB819" w14:textId="77777777" w:rsidTr="000A0C22">
        <w:trPr>
          <w:trHeight w:val="345"/>
          <w:jc w:val="center"/>
        </w:trPr>
        <w:tc>
          <w:tcPr>
            <w:tcW w:w="0" w:type="auto"/>
            <w:tcBorders>
              <w:top w:val="nil"/>
              <w:left w:val="double" w:sz="6" w:space="0" w:color="305496"/>
              <w:bottom w:val="double" w:sz="6" w:space="0" w:color="305496"/>
              <w:right w:val="double" w:sz="6" w:space="0" w:color="305496"/>
            </w:tcBorders>
            <w:shd w:val="clear" w:color="auto" w:fill="auto"/>
            <w:noWrap/>
            <w:vAlign w:val="bottom"/>
            <w:hideMark/>
          </w:tcPr>
          <w:p w14:paraId="3C7551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Circulante final</w:t>
            </w:r>
          </w:p>
        </w:tc>
        <w:tc>
          <w:tcPr>
            <w:tcW w:w="0" w:type="auto"/>
            <w:tcBorders>
              <w:top w:val="nil"/>
              <w:left w:val="nil"/>
              <w:bottom w:val="double" w:sz="6" w:space="0" w:color="305496"/>
              <w:right w:val="double" w:sz="6" w:space="0" w:color="305496"/>
            </w:tcBorders>
            <w:shd w:val="clear" w:color="auto" w:fill="auto"/>
            <w:noWrap/>
            <w:vAlign w:val="bottom"/>
            <w:hideMark/>
          </w:tcPr>
          <w:p w14:paraId="7BBD06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499</w:t>
            </w:r>
          </w:p>
        </w:tc>
        <w:tc>
          <w:tcPr>
            <w:tcW w:w="0" w:type="auto"/>
            <w:tcBorders>
              <w:top w:val="nil"/>
              <w:left w:val="nil"/>
              <w:bottom w:val="double" w:sz="6" w:space="0" w:color="305496"/>
              <w:right w:val="double" w:sz="6" w:space="0" w:color="305496"/>
            </w:tcBorders>
            <w:shd w:val="clear" w:color="auto" w:fill="auto"/>
            <w:noWrap/>
            <w:vAlign w:val="bottom"/>
            <w:hideMark/>
          </w:tcPr>
          <w:p w14:paraId="1DBEEF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329</w:t>
            </w:r>
          </w:p>
        </w:tc>
        <w:tc>
          <w:tcPr>
            <w:tcW w:w="0" w:type="auto"/>
            <w:tcBorders>
              <w:top w:val="nil"/>
              <w:left w:val="nil"/>
              <w:bottom w:val="double" w:sz="6" w:space="0" w:color="305496"/>
              <w:right w:val="double" w:sz="6" w:space="0" w:color="305496"/>
            </w:tcBorders>
            <w:shd w:val="clear" w:color="auto" w:fill="auto"/>
            <w:noWrap/>
            <w:vAlign w:val="bottom"/>
            <w:hideMark/>
          </w:tcPr>
          <w:p w14:paraId="4104B5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540</w:t>
            </w:r>
          </w:p>
        </w:tc>
        <w:tc>
          <w:tcPr>
            <w:tcW w:w="0" w:type="auto"/>
            <w:tcBorders>
              <w:top w:val="nil"/>
              <w:left w:val="nil"/>
              <w:bottom w:val="double" w:sz="6" w:space="0" w:color="305496"/>
              <w:right w:val="double" w:sz="6" w:space="0" w:color="305496"/>
            </w:tcBorders>
            <w:shd w:val="clear" w:color="auto" w:fill="auto"/>
            <w:noWrap/>
            <w:vAlign w:val="bottom"/>
            <w:hideMark/>
          </w:tcPr>
          <w:p w14:paraId="6CAA02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573</w:t>
            </w:r>
          </w:p>
        </w:tc>
        <w:tc>
          <w:tcPr>
            <w:tcW w:w="0" w:type="auto"/>
            <w:tcBorders>
              <w:top w:val="nil"/>
              <w:left w:val="nil"/>
              <w:bottom w:val="double" w:sz="6" w:space="0" w:color="305496"/>
              <w:right w:val="double" w:sz="6" w:space="0" w:color="305496"/>
            </w:tcBorders>
            <w:shd w:val="clear" w:color="auto" w:fill="auto"/>
            <w:noWrap/>
            <w:vAlign w:val="bottom"/>
            <w:hideMark/>
          </w:tcPr>
          <w:p w14:paraId="511DE0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590</w:t>
            </w:r>
          </w:p>
        </w:tc>
      </w:tr>
    </w:tbl>
    <w:p w14:paraId="07853BF3" w14:textId="77777777" w:rsidR="00B15F7D" w:rsidRPr="00990FB6" w:rsidRDefault="00B15F7D" w:rsidP="00B15F7D">
      <w:pPr>
        <w:rPr>
          <w:b/>
          <w:color w:val="000000"/>
          <w:sz w:val="22"/>
          <w:szCs w:val="22"/>
          <w:lang w:eastAsia="es-CR"/>
        </w:rPr>
      </w:pPr>
    </w:p>
    <w:p w14:paraId="1D599AD8"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 xml:space="preserve">Modernización Institucional a partir de la información extraída de la base de datos de SIGMA. </w:t>
      </w:r>
    </w:p>
    <w:p w14:paraId="11961878" w14:textId="77777777" w:rsidR="00B15F7D" w:rsidRPr="00990FB6" w:rsidRDefault="00B15F7D" w:rsidP="00B15F7D">
      <w:pPr>
        <w:ind w:left="851" w:right="851" w:firstLine="709"/>
        <w:jc w:val="both"/>
        <w:rPr>
          <w:bCs/>
          <w:color w:val="000000"/>
          <w:sz w:val="22"/>
          <w:szCs w:val="22"/>
          <w:lang w:eastAsia="es-CR"/>
        </w:rPr>
      </w:pPr>
    </w:p>
    <w:p w14:paraId="46356D2D"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A partir de la información mostrada en el </w:t>
      </w:r>
      <w:r w:rsidRPr="00990FB6">
        <w:rPr>
          <w:color w:val="000000"/>
          <w:sz w:val="22"/>
          <w:szCs w:val="22"/>
        </w:rPr>
        <w:fldChar w:fldCharType="begin"/>
      </w:r>
      <w:r w:rsidRPr="00990FB6">
        <w:rPr>
          <w:color w:val="000000"/>
          <w:sz w:val="22"/>
          <w:szCs w:val="22"/>
        </w:rPr>
        <w:instrText xml:space="preserve"> REF _Ref30424287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3</w:t>
      </w:r>
      <w:r w:rsidRPr="00990FB6">
        <w:rPr>
          <w:color w:val="000000"/>
          <w:sz w:val="22"/>
          <w:szCs w:val="22"/>
        </w:rPr>
        <w:fldChar w:fldCharType="end"/>
      </w:r>
      <w:r w:rsidRPr="00990FB6">
        <w:rPr>
          <w:color w:val="000000"/>
          <w:sz w:val="22"/>
          <w:szCs w:val="22"/>
        </w:rPr>
        <w:t xml:space="preserve"> se determina para el año 2022 la cantidad total de asuntos entrados difiere en 607 asuntos respecto a la totalidad de asuntos ingresados en 2021, por lo que se refleja un crecimiento en la entrada de asuntos, que corresponde al 19% respecto a la entrada obtenida en 2021. </w:t>
      </w:r>
    </w:p>
    <w:p w14:paraId="0AAA34AD" w14:textId="77777777" w:rsidR="00B15F7D" w:rsidRPr="00990FB6" w:rsidRDefault="00B15F7D" w:rsidP="00B15F7D">
      <w:pPr>
        <w:tabs>
          <w:tab w:val="left" w:pos="0"/>
        </w:tabs>
        <w:ind w:left="851" w:right="851" w:firstLine="709"/>
        <w:jc w:val="both"/>
        <w:rPr>
          <w:color w:val="000000"/>
          <w:sz w:val="22"/>
          <w:szCs w:val="22"/>
        </w:rPr>
      </w:pPr>
    </w:p>
    <w:p w14:paraId="3EB37A0F"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En este caso, es importante mencionar que para el año 2022 se continuo con la atención en Justicia Restaurativa en los siguientes Circuitos Judiciales: I y III Circuito Judicial de Alajuela, I Circuito Judicial de la Zona Atlántica, II Circuito Judicial de la Zona Sur y I Circuito Judicial de Guanacaste. Dicha ampliación se inició en el año 2021.</w:t>
      </w:r>
    </w:p>
    <w:p w14:paraId="065E678C" w14:textId="77777777" w:rsidR="00B15F7D" w:rsidRPr="00990FB6" w:rsidRDefault="00B15F7D" w:rsidP="00B15F7D">
      <w:pPr>
        <w:tabs>
          <w:tab w:val="left" w:pos="0"/>
        </w:tabs>
        <w:ind w:left="851" w:right="851" w:firstLine="709"/>
        <w:jc w:val="both"/>
        <w:rPr>
          <w:color w:val="000000"/>
          <w:sz w:val="22"/>
          <w:szCs w:val="22"/>
        </w:rPr>
      </w:pPr>
    </w:p>
    <w:p w14:paraId="6EB70E05"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Respecto a los asuntos terminados, en el 2022 se identifica un incremento de asuntos finalizados respecto a la totalidad de los asuntos terminados en 2021, siendo esta cantidad de 550;</w:t>
      </w:r>
      <w:r w:rsidRPr="00990FB6" w:rsidDel="00967252">
        <w:rPr>
          <w:color w:val="000000"/>
          <w:sz w:val="22"/>
          <w:szCs w:val="22"/>
        </w:rPr>
        <w:t xml:space="preserve"> que </w:t>
      </w:r>
      <w:r w:rsidRPr="00990FB6">
        <w:rPr>
          <w:color w:val="000000"/>
          <w:sz w:val="22"/>
          <w:szCs w:val="22"/>
        </w:rPr>
        <w:t>representa un 17% más respecto a la cantidad terminada en el 2021.</w:t>
      </w:r>
    </w:p>
    <w:p w14:paraId="7FA1BD70" w14:textId="77777777" w:rsidR="00B15F7D" w:rsidRPr="00990FB6" w:rsidRDefault="00B15F7D" w:rsidP="00B15F7D">
      <w:pPr>
        <w:tabs>
          <w:tab w:val="left" w:pos="0"/>
        </w:tabs>
        <w:ind w:left="851" w:right="851" w:firstLine="709"/>
        <w:jc w:val="both"/>
        <w:rPr>
          <w:color w:val="000000"/>
          <w:sz w:val="22"/>
          <w:szCs w:val="22"/>
        </w:rPr>
      </w:pPr>
    </w:p>
    <w:p w14:paraId="7AED79FB"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Por otra parte, en la </w:t>
      </w:r>
      <w:r w:rsidRPr="00990FB6">
        <w:rPr>
          <w:color w:val="000000"/>
          <w:sz w:val="22"/>
          <w:szCs w:val="22"/>
        </w:rPr>
        <w:fldChar w:fldCharType="begin"/>
      </w:r>
      <w:r w:rsidRPr="00990FB6">
        <w:rPr>
          <w:color w:val="000000"/>
          <w:sz w:val="22"/>
          <w:szCs w:val="22"/>
        </w:rPr>
        <w:instrText xml:space="preserve"> REF _Ref31184945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Figura 1</w:t>
      </w:r>
      <w:r w:rsidRPr="00990FB6">
        <w:rPr>
          <w:color w:val="000000"/>
          <w:sz w:val="22"/>
          <w:szCs w:val="22"/>
        </w:rPr>
        <w:fldChar w:fldCharType="end"/>
      </w:r>
      <w:r w:rsidRPr="00990FB6">
        <w:rPr>
          <w:color w:val="000000"/>
          <w:sz w:val="22"/>
          <w:szCs w:val="22"/>
        </w:rPr>
        <w:t>, se presenta el comportamiento de los casos entrados y terminados para el periodo comprendido entre el año 2019 el 2022.</w:t>
      </w:r>
    </w:p>
    <w:p w14:paraId="036D7B9D" w14:textId="77777777" w:rsidR="00B15F7D" w:rsidRPr="00990FB6" w:rsidRDefault="00B15F7D" w:rsidP="00B15F7D">
      <w:pPr>
        <w:tabs>
          <w:tab w:val="left" w:pos="0"/>
        </w:tabs>
        <w:ind w:left="851" w:right="851" w:firstLine="709"/>
        <w:jc w:val="both"/>
        <w:rPr>
          <w:color w:val="000000"/>
          <w:sz w:val="22"/>
          <w:szCs w:val="22"/>
        </w:rPr>
      </w:pPr>
    </w:p>
    <w:p w14:paraId="1A2BD908" w14:textId="77777777" w:rsidR="00B15F7D" w:rsidRPr="00990FB6" w:rsidRDefault="00B15F7D" w:rsidP="00B15F7D">
      <w:pPr>
        <w:ind w:left="851" w:right="851" w:firstLine="709"/>
        <w:jc w:val="both"/>
        <w:rPr>
          <w:b/>
          <w:bCs/>
          <w:smallCaps/>
          <w:color w:val="000000"/>
          <w:sz w:val="22"/>
          <w:szCs w:val="22"/>
        </w:rPr>
      </w:pPr>
      <w:r w:rsidRPr="00990FB6">
        <w:rPr>
          <w:b/>
          <w:bCs/>
          <w:smallCaps/>
          <w:color w:val="000000"/>
          <w:sz w:val="22"/>
          <w:szCs w:val="22"/>
        </w:rPr>
        <w:t xml:space="preserve">Figura </w:t>
      </w:r>
      <w:r w:rsidRPr="00990FB6">
        <w:rPr>
          <w:b/>
          <w:bCs/>
          <w:smallCaps/>
          <w:color w:val="000000"/>
          <w:sz w:val="22"/>
          <w:szCs w:val="22"/>
        </w:rPr>
        <w:fldChar w:fldCharType="begin"/>
      </w:r>
      <w:r w:rsidRPr="00990FB6">
        <w:rPr>
          <w:b/>
          <w:bCs/>
          <w:smallCaps/>
          <w:color w:val="000000"/>
          <w:sz w:val="22"/>
          <w:szCs w:val="22"/>
        </w:rPr>
        <w:instrText>SEQ Figura \* ARABIC</w:instrText>
      </w:r>
      <w:r w:rsidRPr="00990FB6">
        <w:rPr>
          <w:b/>
          <w:bCs/>
          <w:smallCaps/>
          <w:color w:val="000000"/>
          <w:sz w:val="22"/>
          <w:szCs w:val="22"/>
        </w:rPr>
        <w:fldChar w:fldCharType="separate"/>
      </w:r>
      <w:r w:rsidRPr="00990FB6">
        <w:rPr>
          <w:b/>
          <w:bCs/>
          <w:smallCaps/>
          <w:noProof/>
          <w:color w:val="000000"/>
          <w:sz w:val="22"/>
          <w:szCs w:val="22"/>
        </w:rPr>
        <w:t>1</w:t>
      </w:r>
      <w:r w:rsidRPr="00990FB6">
        <w:rPr>
          <w:b/>
          <w:bCs/>
          <w:smallCaps/>
          <w:color w:val="000000"/>
          <w:sz w:val="22"/>
          <w:szCs w:val="22"/>
        </w:rPr>
        <w:fldChar w:fldCharType="end"/>
      </w:r>
      <w:r w:rsidRPr="00990FB6">
        <w:rPr>
          <w:b/>
          <w:bCs/>
          <w:smallCaps/>
          <w:color w:val="000000"/>
          <w:sz w:val="22"/>
          <w:szCs w:val="22"/>
        </w:rPr>
        <w:t>. Comportamiento de los asuntos totales entrados y terminados de Justicia Restaurativa para el periodo 2019- 2022</w:t>
      </w:r>
    </w:p>
    <w:p w14:paraId="1F31B4B7" w14:textId="77777777" w:rsidR="00B15F7D" w:rsidRPr="00990FB6" w:rsidRDefault="00B15F7D" w:rsidP="00B15F7D">
      <w:pPr>
        <w:ind w:left="851" w:right="851" w:firstLine="709"/>
        <w:jc w:val="both"/>
        <w:rPr>
          <w:b/>
          <w:bCs/>
          <w:smallCaps/>
          <w:color w:val="000000"/>
          <w:sz w:val="22"/>
          <w:szCs w:val="22"/>
        </w:rPr>
      </w:pPr>
    </w:p>
    <w:p w14:paraId="50EE9BC8" w14:textId="77777777" w:rsidR="00B15F7D" w:rsidRPr="00990FB6" w:rsidRDefault="00B15F7D" w:rsidP="00B15F7D">
      <w:pPr>
        <w:jc w:val="center"/>
        <w:rPr>
          <w:color w:val="000000"/>
          <w:sz w:val="22"/>
          <w:szCs w:val="22"/>
        </w:rPr>
      </w:pPr>
      <w:r w:rsidRPr="00990FB6">
        <w:rPr>
          <w:noProof/>
          <w:color w:val="000000"/>
          <w:sz w:val="22"/>
          <w:szCs w:val="22"/>
        </w:rPr>
        <w:lastRenderedPageBreak/>
        <w:drawing>
          <wp:inline distT="0" distB="0" distL="0" distR="0" wp14:anchorId="7E5C3ECF" wp14:editId="33E29A3D">
            <wp:extent cx="4572000" cy="2743200"/>
            <wp:effectExtent l="0" t="0" r="0" b="0"/>
            <wp:docPr id="16" name="Gráfico 16">
              <a:extLst xmlns:a="http://schemas.openxmlformats.org/drawingml/2006/main">
                <a:ext uri="{FF2B5EF4-FFF2-40B4-BE49-F238E27FC236}">
                  <a16:creationId xmlns:a16="http://schemas.microsoft.com/office/drawing/2014/main" id="{FCC6AA79-616C-169E-3C97-C2B78AF156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CDB368C" w14:textId="77777777" w:rsidR="00B15F7D" w:rsidRPr="00990FB6" w:rsidRDefault="00B15F7D" w:rsidP="00B15F7D">
      <w:pPr>
        <w:ind w:left="851" w:right="851" w:firstLine="709"/>
        <w:jc w:val="both"/>
        <w:rPr>
          <w:color w:val="000000"/>
          <w:sz w:val="22"/>
          <w:szCs w:val="22"/>
        </w:rPr>
      </w:pPr>
      <w:r w:rsidRPr="00990FB6">
        <w:rPr>
          <w:b/>
          <w:color w:val="000000"/>
          <w:sz w:val="22"/>
          <w:szCs w:val="22"/>
          <w:lang w:eastAsia="es-CR"/>
        </w:rPr>
        <w:t xml:space="preserve"> Fuente: </w:t>
      </w:r>
      <w:r w:rsidRPr="00990FB6">
        <w:rPr>
          <w:bCs/>
          <w:color w:val="000000"/>
          <w:sz w:val="22"/>
          <w:szCs w:val="22"/>
          <w:lang w:eastAsia="es-CR"/>
        </w:rPr>
        <w:t xml:space="preserve">Modernización Institucional a partir de la información extraída de SIGMA. </w:t>
      </w:r>
    </w:p>
    <w:p w14:paraId="30C89278" w14:textId="77777777" w:rsidR="00B15F7D" w:rsidRPr="00990FB6" w:rsidRDefault="00B15F7D" w:rsidP="00B15F7D">
      <w:pPr>
        <w:tabs>
          <w:tab w:val="left" w:pos="0"/>
        </w:tabs>
        <w:ind w:left="851" w:right="851" w:firstLine="709"/>
        <w:jc w:val="both"/>
        <w:rPr>
          <w:color w:val="000000"/>
          <w:sz w:val="22"/>
          <w:szCs w:val="22"/>
        </w:rPr>
      </w:pPr>
    </w:p>
    <w:p w14:paraId="19A7D7F1"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w:t>
      </w:r>
      <w:r w:rsidRPr="00990FB6">
        <w:rPr>
          <w:color w:val="000000"/>
          <w:sz w:val="22"/>
          <w:szCs w:val="22"/>
        </w:rPr>
        <w:fldChar w:fldCharType="begin"/>
      </w:r>
      <w:r w:rsidRPr="00990FB6">
        <w:rPr>
          <w:color w:val="000000"/>
          <w:sz w:val="22"/>
          <w:szCs w:val="22"/>
        </w:rPr>
        <w:instrText xml:space="preserve"> REF _Ref31188259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4</w:t>
      </w:r>
      <w:r w:rsidRPr="00990FB6">
        <w:rPr>
          <w:color w:val="000000"/>
          <w:sz w:val="22"/>
          <w:szCs w:val="22"/>
        </w:rPr>
        <w:fldChar w:fldCharType="end"/>
      </w:r>
      <w:r w:rsidRPr="00990FB6">
        <w:rPr>
          <w:color w:val="000000"/>
          <w:sz w:val="22"/>
          <w:szCs w:val="22"/>
        </w:rPr>
        <w:t xml:space="preserve"> se muestra el promedio mensual de asuntos totales entrados, así como el promedio mensual de asuntos terminados.</w:t>
      </w:r>
    </w:p>
    <w:p w14:paraId="571403ED" w14:textId="77777777" w:rsidR="00B15F7D" w:rsidRPr="00990FB6" w:rsidRDefault="00B15F7D" w:rsidP="00B15F7D">
      <w:pPr>
        <w:tabs>
          <w:tab w:val="left" w:pos="0"/>
        </w:tabs>
        <w:ind w:left="851" w:right="851" w:firstLine="709"/>
        <w:jc w:val="both"/>
        <w:rPr>
          <w:color w:val="000000"/>
          <w:sz w:val="22"/>
          <w:szCs w:val="22"/>
        </w:rPr>
      </w:pPr>
    </w:p>
    <w:p w14:paraId="35E790F6" w14:textId="77777777" w:rsidR="00B15F7D" w:rsidRPr="00990FB6" w:rsidRDefault="00B15F7D" w:rsidP="00B15F7D">
      <w:pPr>
        <w:tabs>
          <w:tab w:val="left" w:pos="993"/>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4</w:t>
      </w:r>
      <w:r w:rsidRPr="00990FB6">
        <w:rPr>
          <w:b/>
          <w:bCs/>
          <w:color w:val="000000"/>
          <w:sz w:val="22"/>
          <w:szCs w:val="22"/>
        </w:rPr>
        <w:fldChar w:fldCharType="end"/>
      </w:r>
      <w:r w:rsidRPr="00990FB6">
        <w:rPr>
          <w:b/>
          <w:bCs/>
          <w:color w:val="000000"/>
          <w:sz w:val="22"/>
          <w:szCs w:val="22"/>
        </w:rPr>
        <w:t>. Promedio mensual de asuntos totales entrados y terminados para el periodo 2019-</w:t>
      </w:r>
      <w:r w:rsidRPr="00990FB6">
        <w:rPr>
          <w:color w:val="000000"/>
          <w:sz w:val="22"/>
          <w:szCs w:val="22"/>
        </w:rPr>
        <w:t xml:space="preserve"> </w:t>
      </w:r>
      <w:r w:rsidRPr="00990FB6">
        <w:rPr>
          <w:b/>
          <w:bCs/>
          <w:color w:val="000000"/>
          <w:sz w:val="22"/>
          <w:szCs w:val="22"/>
        </w:rPr>
        <w:t>2022</w:t>
      </w:r>
    </w:p>
    <w:p w14:paraId="0FB0FC7F" w14:textId="77777777" w:rsidR="00B15F7D" w:rsidRPr="00990FB6" w:rsidRDefault="00B15F7D" w:rsidP="00B15F7D">
      <w:pPr>
        <w:tabs>
          <w:tab w:val="left" w:pos="993"/>
        </w:tabs>
        <w:jc w:val="center"/>
        <w:rPr>
          <w:b/>
          <w:bC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1405"/>
        <w:gridCol w:w="580"/>
        <w:gridCol w:w="580"/>
        <w:gridCol w:w="580"/>
        <w:gridCol w:w="580"/>
      </w:tblGrid>
      <w:tr w:rsidR="00B15F7D" w:rsidRPr="00990FB6" w14:paraId="43E97669" w14:textId="77777777" w:rsidTr="000A0C22">
        <w:trPr>
          <w:trHeight w:val="390"/>
          <w:jc w:val="center"/>
        </w:trPr>
        <w:tc>
          <w:tcPr>
            <w:tcW w:w="0" w:type="auto"/>
            <w:tcBorders>
              <w:top w:val="double" w:sz="6" w:space="0" w:color="305496"/>
              <w:left w:val="double" w:sz="6" w:space="0" w:color="305496"/>
              <w:bottom w:val="double" w:sz="6" w:space="0" w:color="305496"/>
              <w:right w:val="double" w:sz="6" w:space="0" w:color="305496"/>
            </w:tcBorders>
            <w:shd w:val="clear" w:color="000000" w:fill="B4C6E7"/>
            <w:vAlign w:val="center"/>
          </w:tcPr>
          <w:p w14:paraId="13D340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Variable</w:t>
            </w:r>
          </w:p>
        </w:tc>
        <w:tc>
          <w:tcPr>
            <w:tcW w:w="0" w:type="auto"/>
            <w:tcBorders>
              <w:top w:val="double" w:sz="6" w:space="0" w:color="305496"/>
              <w:left w:val="nil"/>
              <w:bottom w:val="double" w:sz="6" w:space="0" w:color="305496"/>
              <w:right w:val="double" w:sz="6" w:space="0" w:color="305496"/>
            </w:tcBorders>
            <w:shd w:val="clear" w:color="000000" w:fill="B4C6E7"/>
            <w:noWrap/>
            <w:vAlign w:val="center"/>
            <w:hideMark/>
          </w:tcPr>
          <w:p w14:paraId="2A5B30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2019</w:t>
            </w:r>
          </w:p>
        </w:tc>
        <w:tc>
          <w:tcPr>
            <w:tcW w:w="0" w:type="auto"/>
            <w:tcBorders>
              <w:top w:val="double" w:sz="6" w:space="0" w:color="305496"/>
              <w:left w:val="nil"/>
              <w:bottom w:val="double" w:sz="6" w:space="0" w:color="305496"/>
              <w:right w:val="double" w:sz="6" w:space="0" w:color="305496"/>
            </w:tcBorders>
            <w:shd w:val="clear" w:color="000000" w:fill="B4C6E7"/>
            <w:noWrap/>
            <w:vAlign w:val="center"/>
            <w:hideMark/>
          </w:tcPr>
          <w:p w14:paraId="0751FA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2020</w:t>
            </w:r>
          </w:p>
        </w:tc>
        <w:tc>
          <w:tcPr>
            <w:tcW w:w="0" w:type="auto"/>
            <w:tcBorders>
              <w:top w:val="double" w:sz="6" w:space="0" w:color="305496"/>
              <w:left w:val="nil"/>
              <w:bottom w:val="double" w:sz="6" w:space="0" w:color="305496"/>
              <w:right w:val="double" w:sz="6" w:space="0" w:color="305496"/>
            </w:tcBorders>
            <w:shd w:val="clear" w:color="000000" w:fill="B4C6E7"/>
            <w:vAlign w:val="center"/>
          </w:tcPr>
          <w:p w14:paraId="6F0936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c>
          <w:tcPr>
            <w:tcW w:w="0" w:type="auto"/>
            <w:tcBorders>
              <w:top w:val="double" w:sz="6" w:space="0" w:color="305496"/>
              <w:left w:val="nil"/>
              <w:bottom w:val="double" w:sz="6" w:space="0" w:color="305496"/>
              <w:right w:val="double" w:sz="6" w:space="0" w:color="305496"/>
            </w:tcBorders>
            <w:shd w:val="clear" w:color="000000" w:fill="B4C6E7"/>
          </w:tcPr>
          <w:p w14:paraId="4F712D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2022</w:t>
            </w:r>
          </w:p>
        </w:tc>
      </w:tr>
      <w:tr w:rsidR="00B15F7D" w:rsidRPr="00990FB6" w14:paraId="5B4F95F1" w14:textId="77777777" w:rsidTr="000A0C22">
        <w:trPr>
          <w:trHeight w:val="390"/>
          <w:jc w:val="center"/>
        </w:trPr>
        <w:tc>
          <w:tcPr>
            <w:tcW w:w="0" w:type="auto"/>
            <w:tcBorders>
              <w:top w:val="nil"/>
              <w:left w:val="double" w:sz="6" w:space="0" w:color="305496"/>
              <w:bottom w:val="double" w:sz="6" w:space="0" w:color="305496"/>
              <w:right w:val="double" w:sz="6" w:space="0" w:color="305496"/>
            </w:tcBorders>
            <w:vAlign w:val="center"/>
          </w:tcPr>
          <w:p w14:paraId="6E7067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Total entrados</w:t>
            </w:r>
          </w:p>
        </w:tc>
        <w:tc>
          <w:tcPr>
            <w:tcW w:w="0" w:type="auto"/>
            <w:tcBorders>
              <w:top w:val="nil"/>
              <w:left w:val="nil"/>
              <w:bottom w:val="double" w:sz="6" w:space="0" w:color="305496"/>
              <w:right w:val="double" w:sz="6" w:space="0" w:color="305496"/>
            </w:tcBorders>
            <w:shd w:val="clear" w:color="auto" w:fill="auto"/>
            <w:noWrap/>
            <w:vAlign w:val="center"/>
            <w:hideMark/>
          </w:tcPr>
          <w:p w14:paraId="694411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251</w:t>
            </w:r>
          </w:p>
        </w:tc>
        <w:tc>
          <w:tcPr>
            <w:tcW w:w="0" w:type="auto"/>
            <w:tcBorders>
              <w:top w:val="nil"/>
              <w:left w:val="nil"/>
              <w:bottom w:val="double" w:sz="6" w:space="0" w:color="305496"/>
              <w:right w:val="double" w:sz="6" w:space="0" w:color="305496"/>
            </w:tcBorders>
            <w:shd w:val="clear" w:color="auto" w:fill="auto"/>
            <w:noWrap/>
            <w:vAlign w:val="center"/>
            <w:hideMark/>
          </w:tcPr>
          <w:p w14:paraId="736269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222</w:t>
            </w:r>
          </w:p>
        </w:tc>
        <w:tc>
          <w:tcPr>
            <w:tcW w:w="0" w:type="auto"/>
            <w:tcBorders>
              <w:top w:val="nil"/>
              <w:left w:val="nil"/>
              <w:bottom w:val="double" w:sz="6" w:space="0" w:color="305496"/>
              <w:right w:val="double" w:sz="6" w:space="0" w:color="305496"/>
            </w:tcBorders>
            <w:vAlign w:val="center"/>
          </w:tcPr>
          <w:p w14:paraId="21838D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286</w:t>
            </w:r>
          </w:p>
        </w:tc>
        <w:tc>
          <w:tcPr>
            <w:tcW w:w="0" w:type="auto"/>
            <w:tcBorders>
              <w:top w:val="nil"/>
              <w:left w:val="nil"/>
              <w:bottom w:val="double" w:sz="6" w:space="0" w:color="305496"/>
              <w:right w:val="double" w:sz="6" w:space="0" w:color="305496"/>
            </w:tcBorders>
          </w:tcPr>
          <w:p w14:paraId="4EE8FD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340</w:t>
            </w:r>
          </w:p>
        </w:tc>
      </w:tr>
      <w:tr w:rsidR="00B15F7D" w:rsidRPr="00990FB6" w14:paraId="1D5CADE7" w14:textId="77777777" w:rsidTr="000A0C22">
        <w:trPr>
          <w:trHeight w:val="390"/>
          <w:jc w:val="center"/>
        </w:trPr>
        <w:tc>
          <w:tcPr>
            <w:tcW w:w="0" w:type="auto"/>
            <w:tcBorders>
              <w:top w:val="nil"/>
              <w:left w:val="double" w:sz="6" w:space="0" w:color="305496"/>
              <w:bottom w:val="double" w:sz="6" w:space="0" w:color="305496"/>
              <w:right w:val="double" w:sz="6" w:space="0" w:color="305496"/>
            </w:tcBorders>
            <w:vAlign w:val="center"/>
          </w:tcPr>
          <w:p w14:paraId="173819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Terminados</w:t>
            </w:r>
          </w:p>
        </w:tc>
        <w:tc>
          <w:tcPr>
            <w:tcW w:w="0" w:type="auto"/>
            <w:tcBorders>
              <w:top w:val="nil"/>
              <w:left w:val="nil"/>
              <w:bottom w:val="double" w:sz="6" w:space="0" w:color="305496"/>
              <w:right w:val="double" w:sz="6" w:space="0" w:color="305496"/>
            </w:tcBorders>
            <w:shd w:val="clear" w:color="auto" w:fill="auto"/>
            <w:noWrap/>
            <w:vAlign w:val="center"/>
            <w:hideMark/>
          </w:tcPr>
          <w:p w14:paraId="5E4043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265</w:t>
            </w:r>
          </w:p>
        </w:tc>
        <w:tc>
          <w:tcPr>
            <w:tcW w:w="0" w:type="auto"/>
            <w:tcBorders>
              <w:top w:val="nil"/>
              <w:left w:val="nil"/>
              <w:bottom w:val="double" w:sz="6" w:space="0" w:color="305496"/>
              <w:right w:val="double" w:sz="6" w:space="0" w:color="305496"/>
            </w:tcBorders>
            <w:shd w:val="clear" w:color="auto" w:fill="auto"/>
            <w:noWrap/>
            <w:vAlign w:val="center"/>
            <w:hideMark/>
          </w:tcPr>
          <w:p w14:paraId="6270F9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203</w:t>
            </w:r>
          </w:p>
        </w:tc>
        <w:tc>
          <w:tcPr>
            <w:tcW w:w="0" w:type="auto"/>
            <w:tcBorders>
              <w:top w:val="nil"/>
              <w:left w:val="nil"/>
              <w:bottom w:val="double" w:sz="6" w:space="0" w:color="305496"/>
              <w:right w:val="double" w:sz="6" w:space="0" w:color="305496"/>
            </w:tcBorders>
            <w:vAlign w:val="center"/>
          </w:tcPr>
          <w:p w14:paraId="231D793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289</w:t>
            </w:r>
          </w:p>
        </w:tc>
        <w:tc>
          <w:tcPr>
            <w:tcW w:w="0" w:type="auto"/>
            <w:tcBorders>
              <w:top w:val="nil"/>
              <w:left w:val="nil"/>
              <w:bottom w:val="double" w:sz="6" w:space="0" w:color="305496"/>
              <w:right w:val="double" w:sz="6" w:space="0" w:color="305496"/>
            </w:tcBorders>
          </w:tcPr>
          <w:p w14:paraId="3CBF98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338</w:t>
            </w:r>
          </w:p>
        </w:tc>
      </w:tr>
    </w:tbl>
    <w:p w14:paraId="07882CCC" w14:textId="77777777" w:rsidR="00B15F7D" w:rsidRPr="00990FB6" w:rsidRDefault="00B15F7D" w:rsidP="00B15F7D">
      <w:pPr>
        <w:rPr>
          <w:b/>
          <w:color w:val="000000"/>
          <w:sz w:val="22"/>
          <w:szCs w:val="22"/>
          <w:lang w:eastAsia="es-CR"/>
        </w:rPr>
      </w:pPr>
    </w:p>
    <w:p w14:paraId="0E2B323A"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extraída de SIGMA</w:t>
      </w:r>
    </w:p>
    <w:p w14:paraId="2A32A3AD" w14:textId="77777777" w:rsidR="00B15F7D" w:rsidRPr="00990FB6" w:rsidRDefault="00B15F7D" w:rsidP="00B15F7D">
      <w:pPr>
        <w:ind w:left="851" w:right="851" w:firstLine="709"/>
        <w:jc w:val="both"/>
        <w:rPr>
          <w:color w:val="000000"/>
          <w:sz w:val="22"/>
          <w:szCs w:val="22"/>
        </w:rPr>
      </w:pPr>
    </w:p>
    <w:p w14:paraId="73BDFE0F"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A partir de la información mostrada en el </w:t>
      </w:r>
      <w:r w:rsidRPr="00990FB6">
        <w:rPr>
          <w:color w:val="000000"/>
          <w:sz w:val="22"/>
          <w:szCs w:val="22"/>
        </w:rPr>
        <w:fldChar w:fldCharType="begin"/>
      </w:r>
      <w:r w:rsidRPr="00990FB6">
        <w:rPr>
          <w:color w:val="000000"/>
          <w:sz w:val="22"/>
          <w:szCs w:val="22"/>
        </w:rPr>
        <w:instrText xml:space="preserve"> REF _Ref31188259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4</w:t>
      </w:r>
      <w:r w:rsidRPr="00990FB6">
        <w:rPr>
          <w:color w:val="000000"/>
          <w:sz w:val="22"/>
          <w:szCs w:val="22"/>
        </w:rPr>
        <w:fldChar w:fldCharType="end"/>
      </w:r>
      <w:r w:rsidRPr="00990FB6">
        <w:rPr>
          <w:color w:val="000000"/>
          <w:sz w:val="22"/>
          <w:szCs w:val="22"/>
        </w:rPr>
        <w:t xml:space="preserve"> se determina un incremento mensual de 54 asuntos entrados en el 2022 respecto a la cantidad mensual registrada para el 2021. En el caso de los asuntos terminados, en 2022 se presenta un incremento que corresponde a 49 asuntos más respecto al promedio mensual para el año 2021. Lo anterior evidencia un incremento en los casos terminados de 135 asuntos en tres años (2020 al 2022), pero la entrada de asuntos también aumento en 118 asuntos en el mismo periodo.</w:t>
      </w:r>
    </w:p>
    <w:p w14:paraId="5AC879F6" w14:textId="77777777" w:rsidR="00B15F7D" w:rsidRPr="00990FB6" w:rsidRDefault="00B15F7D" w:rsidP="00B15F7D">
      <w:pPr>
        <w:ind w:left="851" w:right="851" w:firstLine="709"/>
        <w:jc w:val="both"/>
        <w:rPr>
          <w:color w:val="000000"/>
          <w:sz w:val="22"/>
          <w:szCs w:val="22"/>
        </w:rPr>
      </w:pPr>
    </w:p>
    <w:p w14:paraId="57FBBD97" w14:textId="77777777" w:rsidR="00B15F7D" w:rsidRPr="00990FB6" w:rsidRDefault="00B15F7D" w:rsidP="00B15F7D">
      <w:pPr>
        <w:keepNext/>
        <w:numPr>
          <w:ilvl w:val="1"/>
          <w:numId w:val="155"/>
        </w:numPr>
        <w:suppressAutoHyphens w:val="0"/>
        <w:ind w:left="851" w:right="851" w:firstLine="709"/>
        <w:jc w:val="both"/>
        <w:rPr>
          <w:color w:val="000000"/>
          <w:sz w:val="22"/>
          <w:szCs w:val="22"/>
        </w:rPr>
      </w:pPr>
      <w:r w:rsidRPr="00990FB6">
        <w:rPr>
          <w:color w:val="000000"/>
          <w:sz w:val="22"/>
          <w:szCs w:val="22"/>
        </w:rPr>
        <w:t>Procedencia de las causas ingresadas Justicia Restaurativa Penal de Adultos.</w:t>
      </w:r>
    </w:p>
    <w:p w14:paraId="6FA520EB" w14:textId="77777777" w:rsidR="00B15F7D" w:rsidRPr="00990FB6" w:rsidRDefault="00B15F7D" w:rsidP="00B15F7D">
      <w:pPr>
        <w:keepNext/>
        <w:suppressAutoHyphens w:val="0"/>
        <w:ind w:left="851" w:right="851" w:firstLine="709"/>
        <w:jc w:val="both"/>
        <w:rPr>
          <w:color w:val="000000"/>
          <w:sz w:val="22"/>
          <w:szCs w:val="22"/>
        </w:rPr>
      </w:pPr>
    </w:p>
    <w:p w14:paraId="2CECDA1F"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 continuación, se presenta el detalle de la procedencia de las causas ingresada en materia Penal de Adultos, durante el año 2022.</w:t>
      </w:r>
    </w:p>
    <w:p w14:paraId="1578AFC1" w14:textId="77777777" w:rsidR="00B15F7D" w:rsidRPr="00990FB6" w:rsidRDefault="00B15F7D" w:rsidP="00B15F7D">
      <w:pPr>
        <w:tabs>
          <w:tab w:val="left" w:pos="0"/>
        </w:tabs>
        <w:ind w:left="851" w:right="851" w:firstLine="709"/>
        <w:jc w:val="both"/>
        <w:rPr>
          <w:color w:val="000000"/>
          <w:sz w:val="22"/>
          <w:szCs w:val="22"/>
        </w:rPr>
      </w:pPr>
    </w:p>
    <w:p w14:paraId="51FB4672" w14:textId="77777777" w:rsidR="00B15F7D" w:rsidRPr="00990FB6" w:rsidRDefault="00B15F7D" w:rsidP="00B15F7D">
      <w:pPr>
        <w:ind w:left="851" w:right="851" w:firstLine="709"/>
        <w:jc w:val="both"/>
        <w:rPr>
          <w:b/>
          <w:bCs/>
          <w:color w:val="000000"/>
          <w:sz w:val="22"/>
          <w:szCs w:val="22"/>
        </w:rPr>
      </w:pPr>
      <w:r w:rsidRPr="00990FB6">
        <w:rPr>
          <w:b/>
          <w:bCs/>
          <w:color w:val="000000"/>
          <w:sz w:val="22"/>
          <w:szCs w:val="22"/>
        </w:rPr>
        <w:lastRenderedPageBreak/>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5</w:t>
      </w:r>
      <w:r w:rsidRPr="00990FB6">
        <w:rPr>
          <w:b/>
          <w:bCs/>
          <w:color w:val="000000"/>
          <w:sz w:val="22"/>
          <w:szCs w:val="22"/>
        </w:rPr>
        <w:fldChar w:fldCharType="end"/>
      </w:r>
      <w:r w:rsidRPr="00990FB6">
        <w:rPr>
          <w:b/>
          <w:bCs/>
          <w:color w:val="000000"/>
          <w:sz w:val="22"/>
          <w:szCs w:val="22"/>
        </w:rPr>
        <w:t>. Procedencia de las causas ingresadas a Justicia Restaurativa Penal de Adultos para el año 2022</w:t>
      </w:r>
    </w:p>
    <w:p w14:paraId="2FCA5A42" w14:textId="77777777" w:rsidR="00B15F7D" w:rsidRPr="00990FB6" w:rsidRDefault="00B15F7D" w:rsidP="00B15F7D">
      <w:pPr>
        <w:jc w:val="both"/>
        <w:rPr>
          <w:b/>
          <w:bC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3886"/>
        <w:gridCol w:w="923"/>
        <w:gridCol w:w="1069"/>
      </w:tblGrid>
      <w:tr w:rsidR="00B15F7D" w:rsidRPr="00990FB6" w14:paraId="678DFC77" w14:textId="77777777" w:rsidTr="000A0C22">
        <w:trPr>
          <w:trHeight w:val="330"/>
          <w:jc w:val="center"/>
        </w:trPr>
        <w:tc>
          <w:tcPr>
            <w:tcW w:w="0" w:type="auto"/>
            <w:tcBorders>
              <w:top w:val="double" w:sz="6" w:space="0" w:color="002060"/>
              <w:left w:val="double" w:sz="6" w:space="0" w:color="002060"/>
              <w:bottom w:val="double" w:sz="6" w:space="0" w:color="002060"/>
              <w:right w:val="double" w:sz="6" w:space="0" w:color="002060"/>
            </w:tcBorders>
            <w:shd w:val="clear" w:color="000000" w:fill="365F91"/>
            <w:noWrap/>
            <w:vAlign w:val="center"/>
            <w:hideMark/>
          </w:tcPr>
          <w:p w14:paraId="00F55D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0" w:type="auto"/>
            <w:tcBorders>
              <w:top w:val="double" w:sz="6" w:space="0" w:color="002060"/>
              <w:left w:val="nil"/>
              <w:bottom w:val="double" w:sz="6" w:space="0" w:color="002060"/>
              <w:right w:val="double" w:sz="6" w:space="0" w:color="002060"/>
            </w:tcBorders>
            <w:shd w:val="clear" w:color="000000" w:fill="365F91"/>
            <w:noWrap/>
            <w:vAlign w:val="center"/>
            <w:hideMark/>
          </w:tcPr>
          <w:p w14:paraId="600F36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Entrados</w:t>
            </w:r>
          </w:p>
        </w:tc>
        <w:tc>
          <w:tcPr>
            <w:tcW w:w="0" w:type="auto"/>
            <w:tcBorders>
              <w:top w:val="double" w:sz="6" w:space="0" w:color="002060"/>
              <w:left w:val="nil"/>
              <w:bottom w:val="double" w:sz="6" w:space="0" w:color="002060"/>
              <w:right w:val="double" w:sz="6" w:space="0" w:color="002060"/>
            </w:tcBorders>
            <w:shd w:val="clear" w:color="000000" w:fill="365F91"/>
            <w:noWrap/>
            <w:vAlign w:val="center"/>
            <w:hideMark/>
          </w:tcPr>
          <w:p w14:paraId="42A24D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w:t>
            </w:r>
          </w:p>
        </w:tc>
      </w:tr>
      <w:tr w:rsidR="00B15F7D" w:rsidRPr="00990FB6" w14:paraId="2D3411D9" w14:textId="77777777" w:rsidTr="000A0C22">
        <w:trPr>
          <w:trHeight w:val="33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4D1B5E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2DF736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nil"/>
              <w:left w:val="nil"/>
              <w:bottom w:val="double" w:sz="6" w:space="0" w:color="002060"/>
              <w:right w:val="double" w:sz="6" w:space="0" w:color="002060"/>
            </w:tcBorders>
            <w:shd w:val="clear" w:color="auto" w:fill="auto"/>
            <w:noWrap/>
            <w:vAlign w:val="bottom"/>
            <w:hideMark/>
          </w:tcPr>
          <w:p w14:paraId="7FF9CCD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0,00%</w:t>
            </w:r>
          </w:p>
        </w:tc>
      </w:tr>
      <w:tr w:rsidR="00B15F7D" w:rsidRPr="00990FB6" w14:paraId="380EB3E5" w14:textId="77777777" w:rsidTr="000A0C22">
        <w:trPr>
          <w:trHeight w:val="33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419D7F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José-Flagrancia</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52212C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505</w:t>
            </w:r>
          </w:p>
        </w:tc>
        <w:tc>
          <w:tcPr>
            <w:tcW w:w="0" w:type="auto"/>
            <w:tcBorders>
              <w:top w:val="nil"/>
              <w:left w:val="nil"/>
              <w:bottom w:val="double" w:sz="6" w:space="0" w:color="002060"/>
              <w:right w:val="double" w:sz="6" w:space="0" w:color="002060"/>
            </w:tcBorders>
            <w:shd w:val="clear" w:color="auto" w:fill="auto"/>
            <w:noWrap/>
            <w:vAlign w:val="bottom"/>
            <w:hideMark/>
          </w:tcPr>
          <w:p w14:paraId="5DC3B5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13,55%</w:t>
            </w:r>
          </w:p>
        </w:tc>
      </w:tr>
      <w:tr w:rsidR="00B15F7D" w:rsidRPr="00990FB6" w14:paraId="79AD3B6E" w14:textId="77777777" w:rsidTr="000A0C22">
        <w:trPr>
          <w:trHeight w:val="33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271834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6694AA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348</w:t>
            </w:r>
          </w:p>
        </w:tc>
        <w:tc>
          <w:tcPr>
            <w:tcW w:w="0" w:type="auto"/>
            <w:tcBorders>
              <w:top w:val="nil"/>
              <w:left w:val="nil"/>
              <w:bottom w:val="double" w:sz="6" w:space="0" w:color="002060"/>
              <w:right w:val="double" w:sz="6" w:space="0" w:color="002060"/>
            </w:tcBorders>
            <w:shd w:val="clear" w:color="auto" w:fill="auto"/>
            <w:noWrap/>
            <w:vAlign w:val="bottom"/>
            <w:hideMark/>
          </w:tcPr>
          <w:p w14:paraId="706F52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9,34%</w:t>
            </w:r>
          </w:p>
        </w:tc>
      </w:tr>
      <w:tr w:rsidR="00B15F7D" w:rsidRPr="00990FB6" w14:paraId="765A13CC" w14:textId="77777777" w:rsidTr="000A0C22">
        <w:trPr>
          <w:trHeight w:val="33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05CDED9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481F77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432</w:t>
            </w:r>
          </w:p>
        </w:tc>
        <w:tc>
          <w:tcPr>
            <w:tcW w:w="0" w:type="auto"/>
            <w:tcBorders>
              <w:top w:val="nil"/>
              <w:left w:val="nil"/>
              <w:bottom w:val="double" w:sz="6" w:space="0" w:color="002060"/>
              <w:right w:val="double" w:sz="6" w:space="0" w:color="002060"/>
            </w:tcBorders>
            <w:shd w:val="clear" w:color="auto" w:fill="auto"/>
            <w:noWrap/>
            <w:vAlign w:val="bottom"/>
            <w:hideMark/>
          </w:tcPr>
          <w:p w14:paraId="7A464F3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11,59%</w:t>
            </w:r>
          </w:p>
        </w:tc>
      </w:tr>
      <w:tr w:rsidR="00B15F7D" w:rsidRPr="00990FB6" w14:paraId="7D066581" w14:textId="77777777" w:rsidTr="000A0C22">
        <w:trPr>
          <w:trHeight w:val="33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78B66E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09A997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181</w:t>
            </w:r>
          </w:p>
        </w:tc>
        <w:tc>
          <w:tcPr>
            <w:tcW w:w="0" w:type="auto"/>
            <w:tcBorders>
              <w:top w:val="nil"/>
              <w:left w:val="nil"/>
              <w:bottom w:val="double" w:sz="6" w:space="0" w:color="002060"/>
              <w:right w:val="double" w:sz="6" w:space="0" w:color="002060"/>
            </w:tcBorders>
            <w:shd w:val="clear" w:color="auto" w:fill="auto"/>
            <w:noWrap/>
            <w:vAlign w:val="bottom"/>
            <w:hideMark/>
          </w:tcPr>
          <w:p w14:paraId="4A1AB1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4,86%</w:t>
            </w:r>
          </w:p>
        </w:tc>
      </w:tr>
      <w:tr w:rsidR="00B15F7D" w:rsidRPr="00990FB6" w14:paraId="3EECCB54" w14:textId="77777777" w:rsidTr="000A0C22">
        <w:trPr>
          <w:trHeight w:val="330"/>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797111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01C2F7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147</w:t>
            </w:r>
          </w:p>
        </w:tc>
        <w:tc>
          <w:tcPr>
            <w:tcW w:w="0" w:type="auto"/>
            <w:tcBorders>
              <w:top w:val="nil"/>
              <w:left w:val="nil"/>
              <w:bottom w:val="double" w:sz="6" w:space="0" w:color="002060"/>
              <w:right w:val="double" w:sz="6" w:space="0" w:color="002060"/>
            </w:tcBorders>
            <w:shd w:val="clear" w:color="auto" w:fill="auto"/>
            <w:noWrap/>
            <w:vAlign w:val="bottom"/>
            <w:hideMark/>
          </w:tcPr>
          <w:p w14:paraId="2FA744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3,95%</w:t>
            </w:r>
          </w:p>
        </w:tc>
      </w:tr>
      <w:tr w:rsidR="00B15F7D" w:rsidRPr="00990FB6" w14:paraId="68217D1D" w14:textId="77777777" w:rsidTr="000A0C22">
        <w:trPr>
          <w:trHeight w:val="33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1D4128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67B174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342</w:t>
            </w:r>
          </w:p>
        </w:tc>
        <w:tc>
          <w:tcPr>
            <w:tcW w:w="0" w:type="auto"/>
            <w:tcBorders>
              <w:top w:val="nil"/>
              <w:left w:val="nil"/>
              <w:bottom w:val="double" w:sz="6" w:space="0" w:color="002060"/>
              <w:right w:val="double" w:sz="6" w:space="0" w:color="002060"/>
            </w:tcBorders>
            <w:shd w:val="clear" w:color="auto" w:fill="auto"/>
            <w:noWrap/>
            <w:vAlign w:val="bottom"/>
            <w:hideMark/>
          </w:tcPr>
          <w:p w14:paraId="1DBC9EB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9,18%</w:t>
            </w:r>
          </w:p>
        </w:tc>
      </w:tr>
      <w:tr w:rsidR="00B15F7D" w:rsidRPr="00990FB6" w14:paraId="4394F92D" w14:textId="77777777" w:rsidTr="000A0C22">
        <w:trPr>
          <w:trHeight w:val="33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67C9A8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3E62CC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320</w:t>
            </w:r>
          </w:p>
        </w:tc>
        <w:tc>
          <w:tcPr>
            <w:tcW w:w="0" w:type="auto"/>
            <w:tcBorders>
              <w:top w:val="nil"/>
              <w:left w:val="nil"/>
              <w:bottom w:val="double" w:sz="6" w:space="0" w:color="002060"/>
              <w:right w:val="double" w:sz="6" w:space="0" w:color="002060"/>
            </w:tcBorders>
            <w:shd w:val="clear" w:color="auto" w:fill="auto"/>
            <w:noWrap/>
            <w:vAlign w:val="bottom"/>
            <w:hideMark/>
          </w:tcPr>
          <w:p w14:paraId="6F3E49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8,59%</w:t>
            </w:r>
          </w:p>
        </w:tc>
      </w:tr>
      <w:tr w:rsidR="00B15F7D" w:rsidRPr="00990FB6" w14:paraId="39CE1F91" w14:textId="77777777" w:rsidTr="000A0C22">
        <w:trPr>
          <w:trHeight w:val="33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45280D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2CAB7A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372</w:t>
            </w:r>
          </w:p>
        </w:tc>
        <w:tc>
          <w:tcPr>
            <w:tcW w:w="0" w:type="auto"/>
            <w:tcBorders>
              <w:top w:val="nil"/>
              <w:left w:val="nil"/>
              <w:bottom w:val="double" w:sz="6" w:space="0" w:color="002060"/>
              <w:right w:val="double" w:sz="6" w:space="0" w:color="002060"/>
            </w:tcBorders>
            <w:shd w:val="clear" w:color="auto" w:fill="auto"/>
            <w:noWrap/>
            <w:vAlign w:val="bottom"/>
            <w:hideMark/>
          </w:tcPr>
          <w:p w14:paraId="49937A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9,98%</w:t>
            </w:r>
          </w:p>
        </w:tc>
      </w:tr>
      <w:tr w:rsidR="00B15F7D" w:rsidRPr="00990FB6" w14:paraId="18E7D394" w14:textId="77777777" w:rsidTr="000A0C22">
        <w:trPr>
          <w:trHeight w:val="33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339DCC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Sur</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47BE078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283</w:t>
            </w:r>
          </w:p>
        </w:tc>
        <w:tc>
          <w:tcPr>
            <w:tcW w:w="0" w:type="auto"/>
            <w:tcBorders>
              <w:top w:val="nil"/>
              <w:left w:val="nil"/>
              <w:bottom w:val="double" w:sz="6" w:space="0" w:color="002060"/>
              <w:right w:val="double" w:sz="6" w:space="0" w:color="002060"/>
            </w:tcBorders>
            <w:shd w:val="clear" w:color="auto" w:fill="auto"/>
            <w:noWrap/>
            <w:vAlign w:val="bottom"/>
            <w:hideMark/>
          </w:tcPr>
          <w:p w14:paraId="6032D3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7,60%</w:t>
            </w:r>
          </w:p>
        </w:tc>
      </w:tr>
      <w:tr w:rsidR="00B15F7D" w:rsidRPr="00990FB6" w14:paraId="6273F876" w14:textId="77777777" w:rsidTr="000A0C22">
        <w:trPr>
          <w:trHeight w:val="33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10AC89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462741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42</w:t>
            </w:r>
          </w:p>
        </w:tc>
        <w:tc>
          <w:tcPr>
            <w:tcW w:w="0" w:type="auto"/>
            <w:tcBorders>
              <w:top w:val="nil"/>
              <w:left w:val="nil"/>
              <w:bottom w:val="double" w:sz="6" w:space="0" w:color="002060"/>
              <w:right w:val="double" w:sz="6" w:space="0" w:color="002060"/>
            </w:tcBorders>
            <w:shd w:val="clear" w:color="auto" w:fill="auto"/>
            <w:noWrap/>
            <w:vAlign w:val="bottom"/>
            <w:hideMark/>
          </w:tcPr>
          <w:p w14:paraId="6B16BD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1,13%</w:t>
            </w:r>
          </w:p>
        </w:tc>
      </w:tr>
      <w:tr w:rsidR="00B15F7D" w:rsidRPr="00990FB6" w14:paraId="50D54596" w14:textId="77777777" w:rsidTr="000A0C22">
        <w:trPr>
          <w:trHeight w:val="33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160FA0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707E12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412</w:t>
            </w:r>
          </w:p>
        </w:tc>
        <w:tc>
          <w:tcPr>
            <w:tcW w:w="0" w:type="auto"/>
            <w:tcBorders>
              <w:top w:val="nil"/>
              <w:left w:val="nil"/>
              <w:bottom w:val="double" w:sz="6" w:space="0" w:color="002060"/>
              <w:right w:val="double" w:sz="6" w:space="0" w:color="002060"/>
            </w:tcBorders>
            <w:shd w:val="clear" w:color="auto" w:fill="auto"/>
            <w:noWrap/>
            <w:vAlign w:val="bottom"/>
            <w:hideMark/>
          </w:tcPr>
          <w:p w14:paraId="2F970C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11,06%</w:t>
            </w:r>
          </w:p>
        </w:tc>
      </w:tr>
      <w:tr w:rsidR="00B15F7D" w:rsidRPr="00990FB6" w14:paraId="0173A73E" w14:textId="77777777" w:rsidTr="000A0C22">
        <w:trPr>
          <w:trHeight w:val="33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20DB7A63"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t>I Circuito Judicial de Guanacaste</w:t>
            </w:r>
          </w:p>
        </w:tc>
        <w:tc>
          <w:tcPr>
            <w:tcW w:w="0" w:type="auto"/>
            <w:tcBorders>
              <w:top w:val="nil"/>
              <w:left w:val="double" w:sz="6" w:space="0" w:color="002060"/>
              <w:bottom w:val="double" w:sz="6" w:space="0" w:color="002060"/>
              <w:right w:val="double" w:sz="6" w:space="0" w:color="002060"/>
            </w:tcBorders>
            <w:shd w:val="clear" w:color="auto" w:fill="auto"/>
            <w:noWrap/>
            <w:vAlign w:val="bottom"/>
            <w:hideMark/>
          </w:tcPr>
          <w:p w14:paraId="1EF2FB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342</w:t>
            </w:r>
          </w:p>
        </w:tc>
        <w:tc>
          <w:tcPr>
            <w:tcW w:w="0" w:type="auto"/>
            <w:tcBorders>
              <w:top w:val="nil"/>
              <w:left w:val="nil"/>
              <w:bottom w:val="double" w:sz="6" w:space="0" w:color="002060"/>
              <w:right w:val="double" w:sz="6" w:space="0" w:color="002060"/>
            </w:tcBorders>
            <w:shd w:val="clear" w:color="auto" w:fill="auto"/>
            <w:noWrap/>
            <w:vAlign w:val="bottom"/>
            <w:hideMark/>
          </w:tcPr>
          <w:p w14:paraId="6A9C18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9,18%</w:t>
            </w:r>
          </w:p>
        </w:tc>
      </w:tr>
    </w:tbl>
    <w:p w14:paraId="4CE3A2C8" w14:textId="77777777" w:rsidR="00B15F7D" w:rsidRPr="00990FB6" w:rsidRDefault="00B15F7D" w:rsidP="00B15F7D">
      <w:pPr>
        <w:ind w:left="851" w:right="851" w:firstLine="709"/>
        <w:jc w:val="both"/>
        <w:rPr>
          <w:color w:val="000000"/>
          <w:sz w:val="22"/>
          <w:szCs w:val="22"/>
        </w:rPr>
      </w:pPr>
      <w:r w:rsidRPr="00990FB6">
        <w:rPr>
          <w:b/>
          <w:bCs/>
          <w:color w:val="000000"/>
          <w:sz w:val="22"/>
          <w:szCs w:val="22"/>
        </w:rPr>
        <w:t>Fuente:</w:t>
      </w:r>
      <w:r w:rsidRPr="00990FB6">
        <w:rPr>
          <w:color w:val="000000"/>
          <w:sz w:val="22"/>
          <w:szCs w:val="22"/>
        </w:rPr>
        <w:t xml:space="preserve"> Modernización Institucional a partir de la información extraída de SIGMA</w:t>
      </w:r>
    </w:p>
    <w:p w14:paraId="53E8A168" w14:textId="77777777" w:rsidR="00B15F7D" w:rsidRPr="00990FB6" w:rsidRDefault="00B15F7D" w:rsidP="00B15F7D">
      <w:pPr>
        <w:ind w:left="851" w:right="851" w:firstLine="709"/>
        <w:jc w:val="both"/>
        <w:rPr>
          <w:color w:val="000000"/>
          <w:sz w:val="22"/>
          <w:szCs w:val="22"/>
        </w:rPr>
      </w:pPr>
    </w:p>
    <w:p w14:paraId="1E84F46A"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Con base en lo mostrado en el </w:t>
      </w:r>
      <w:r w:rsidRPr="00990FB6">
        <w:rPr>
          <w:color w:val="000000"/>
          <w:sz w:val="22"/>
          <w:szCs w:val="22"/>
        </w:rPr>
        <w:fldChar w:fldCharType="begin"/>
      </w:r>
      <w:r w:rsidRPr="00990FB6">
        <w:rPr>
          <w:color w:val="000000"/>
          <w:sz w:val="22"/>
          <w:szCs w:val="22"/>
        </w:rPr>
        <w:instrText xml:space="preserve"> REF _Ref63946975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5</w:t>
      </w:r>
      <w:r w:rsidRPr="00990FB6">
        <w:rPr>
          <w:color w:val="000000"/>
          <w:sz w:val="22"/>
          <w:szCs w:val="22"/>
        </w:rPr>
        <w:fldChar w:fldCharType="end"/>
      </w:r>
      <w:r w:rsidRPr="00990FB6">
        <w:rPr>
          <w:color w:val="000000"/>
          <w:sz w:val="22"/>
          <w:szCs w:val="22"/>
        </w:rPr>
        <w:t xml:space="preserve"> es posible identificar que para el 2022 el II Circuito Judicial-Flagrancia de San José recibió la mayor cantidad de casos, los cuales corresponden a un 14% de la totalidad ingresada durante el 2022. En segundo lugar, se ubica Circuito Judicial de Cartago con 12% del total de las causas ingresadas, mientras en tercer lugar se ubica el II Circuito Judicial de la Zona Atlántica con el 11% de los casos ingresados.</w:t>
      </w:r>
    </w:p>
    <w:p w14:paraId="6DA153FB" w14:textId="77777777" w:rsidR="00B15F7D" w:rsidRPr="00990FB6" w:rsidRDefault="00B15F7D" w:rsidP="00B15F7D">
      <w:pPr>
        <w:tabs>
          <w:tab w:val="left" w:pos="0"/>
        </w:tabs>
        <w:ind w:left="851" w:right="851" w:firstLine="709"/>
        <w:jc w:val="both"/>
        <w:rPr>
          <w:color w:val="000000"/>
          <w:sz w:val="22"/>
          <w:szCs w:val="22"/>
        </w:rPr>
      </w:pPr>
    </w:p>
    <w:p w14:paraId="611FBD57"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la </w:t>
      </w:r>
      <w:r w:rsidRPr="00990FB6">
        <w:rPr>
          <w:color w:val="000000"/>
          <w:sz w:val="22"/>
          <w:szCs w:val="22"/>
        </w:rPr>
        <w:fldChar w:fldCharType="begin"/>
      </w:r>
      <w:r w:rsidRPr="00990FB6">
        <w:rPr>
          <w:color w:val="000000"/>
          <w:sz w:val="22"/>
          <w:szCs w:val="22"/>
        </w:rPr>
        <w:instrText xml:space="preserve"> REF _Ref31196218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Figura 2</w:t>
      </w:r>
      <w:r w:rsidRPr="00990FB6">
        <w:rPr>
          <w:color w:val="000000"/>
          <w:sz w:val="22"/>
          <w:szCs w:val="22"/>
        </w:rPr>
        <w:fldChar w:fldCharType="end"/>
      </w:r>
      <w:r w:rsidRPr="00990FB6">
        <w:rPr>
          <w:color w:val="000000"/>
          <w:sz w:val="22"/>
          <w:szCs w:val="22"/>
        </w:rPr>
        <w:t xml:space="preserve"> se muestra el comportamiento histórico de las causas ingresadas a Justicia Restaurativa durante el periodo comprendido entre 2019 y 2021.</w:t>
      </w:r>
    </w:p>
    <w:p w14:paraId="19AFA7DF" w14:textId="77777777" w:rsidR="00B15F7D" w:rsidRPr="00990FB6" w:rsidRDefault="00B15F7D" w:rsidP="00B15F7D">
      <w:pPr>
        <w:tabs>
          <w:tab w:val="left" w:pos="0"/>
        </w:tabs>
        <w:ind w:left="851" w:right="851" w:firstLine="709"/>
        <w:jc w:val="both"/>
        <w:rPr>
          <w:color w:val="000000"/>
          <w:sz w:val="22"/>
          <w:szCs w:val="22"/>
        </w:rPr>
      </w:pPr>
    </w:p>
    <w:p w14:paraId="02C7D3C2" w14:textId="77777777" w:rsidR="00B15F7D" w:rsidRPr="00990FB6" w:rsidRDefault="00B15F7D" w:rsidP="00B15F7D">
      <w:pPr>
        <w:tabs>
          <w:tab w:val="left" w:pos="0"/>
        </w:tabs>
        <w:ind w:left="851" w:right="851" w:firstLine="709"/>
        <w:jc w:val="both"/>
        <w:rPr>
          <w:b/>
          <w:bCs/>
          <w:color w:val="000000"/>
          <w:sz w:val="22"/>
          <w:szCs w:val="22"/>
        </w:rPr>
      </w:pPr>
      <w:r w:rsidRPr="00990FB6">
        <w:rPr>
          <w:b/>
          <w:bCs/>
          <w:color w:val="000000"/>
          <w:sz w:val="22"/>
          <w:szCs w:val="22"/>
        </w:rPr>
        <w:t xml:space="preserve">Figura </w:t>
      </w:r>
      <w:r w:rsidRPr="00990FB6">
        <w:rPr>
          <w:b/>
          <w:bCs/>
          <w:color w:val="000000"/>
          <w:sz w:val="22"/>
          <w:szCs w:val="22"/>
        </w:rPr>
        <w:fldChar w:fldCharType="begin"/>
      </w:r>
      <w:r w:rsidRPr="00990FB6">
        <w:rPr>
          <w:b/>
          <w:bCs/>
          <w:color w:val="000000"/>
          <w:sz w:val="22"/>
          <w:szCs w:val="22"/>
        </w:rPr>
        <w:instrText xml:space="preserve"> SEQ Figura \* ARABIC </w:instrText>
      </w:r>
      <w:r w:rsidRPr="00990FB6">
        <w:rPr>
          <w:b/>
          <w:bCs/>
          <w:color w:val="000000"/>
          <w:sz w:val="22"/>
          <w:szCs w:val="22"/>
        </w:rPr>
        <w:fldChar w:fldCharType="separate"/>
      </w:r>
      <w:r w:rsidRPr="00990FB6">
        <w:rPr>
          <w:b/>
          <w:bCs/>
          <w:noProof/>
          <w:color w:val="000000"/>
          <w:sz w:val="22"/>
          <w:szCs w:val="22"/>
        </w:rPr>
        <w:t>2</w:t>
      </w:r>
      <w:r w:rsidRPr="00990FB6">
        <w:rPr>
          <w:b/>
          <w:bCs/>
          <w:color w:val="000000"/>
          <w:sz w:val="22"/>
          <w:szCs w:val="22"/>
        </w:rPr>
        <w:fldChar w:fldCharType="end"/>
      </w:r>
      <w:r w:rsidRPr="00990FB6">
        <w:rPr>
          <w:b/>
          <w:bCs/>
          <w:color w:val="000000"/>
          <w:sz w:val="22"/>
          <w:szCs w:val="22"/>
        </w:rPr>
        <w:t>. Histórico de causas ingresadas a Justicia Restaurativa Penal de Adultos durante el periodo 2019- 2022</w:t>
      </w:r>
    </w:p>
    <w:p w14:paraId="4713605D" w14:textId="77777777" w:rsidR="00B15F7D" w:rsidRPr="00990FB6" w:rsidRDefault="00B15F7D" w:rsidP="00B15F7D">
      <w:pPr>
        <w:tabs>
          <w:tab w:val="left" w:pos="0"/>
        </w:tabs>
        <w:jc w:val="both"/>
        <w:rPr>
          <w:b/>
          <w:bCs/>
          <w:color w:val="000000"/>
          <w:sz w:val="22"/>
          <w:szCs w:val="22"/>
        </w:rPr>
      </w:pPr>
    </w:p>
    <w:p w14:paraId="4D64B40B" w14:textId="77777777" w:rsidR="00B15F7D" w:rsidRPr="00990FB6" w:rsidRDefault="00B15F7D" w:rsidP="00B15F7D">
      <w:pPr>
        <w:tabs>
          <w:tab w:val="left" w:pos="0"/>
        </w:tabs>
        <w:jc w:val="center"/>
        <w:rPr>
          <w:b/>
          <w:bCs/>
          <w:color w:val="000000"/>
          <w:sz w:val="22"/>
          <w:szCs w:val="22"/>
        </w:rPr>
      </w:pPr>
      <w:r w:rsidRPr="00990FB6">
        <w:rPr>
          <w:b/>
          <w:bCs/>
          <w:noProof/>
          <w:color w:val="000000"/>
          <w:sz w:val="22"/>
          <w:szCs w:val="22"/>
        </w:rPr>
        <w:lastRenderedPageBreak/>
        <w:drawing>
          <wp:inline distT="0" distB="0" distL="0" distR="0" wp14:anchorId="1743E690" wp14:editId="22F0D1F8">
            <wp:extent cx="6297101" cy="2238259"/>
            <wp:effectExtent l="0" t="0" r="0" b="0"/>
            <wp:docPr id="17" name="Imagen 17"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5972" name="Imagen 112345972" descr="Gráfico, Gráfico de barras&#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49029" cy="2256716"/>
                    </a:xfrm>
                    <a:prstGeom prst="rect">
                      <a:avLst/>
                    </a:prstGeom>
                    <a:noFill/>
                  </pic:spPr>
                </pic:pic>
              </a:graphicData>
            </a:graphic>
          </wp:inline>
        </w:drawing>
      </w: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extraída de SIGMA</w:t>
      </w:r>
    </w:p>
    <w:p w14:paraId="2B5BD5D3" w14:textId="77777777" w:rsidR="00B15F7D" w:rsidRPr="00990FB6" w:rsidRDefault="00B15F7D" w:rsidP="00B15F7D">
      <w:pPr>
        <w:tabs>
          <w:tab w:val="left" w:pos="0"/>
        </w:tabs>
        <w:ind w:left="851" w:right="851" w:firstLine="709"/>
        <w:jc w:val="both"/>
        <w:rPr>
          <w:color w:val="000000"/>
          <w:sz w:val="22"/>
          <w:szCs w:val="22"/>
        </w:rPr>
      </w:pPr>
    </w:p>
    <w:p w14:paraId="7D26D298"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caso del Segundo Circuito Judicial de San José se observa una disminución de 148 asuntos para el 2022, comparado con el año 2021.  </w:t>
      </w:r>
    </w:p>
    <w:p w14:paraId="556A1458"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 </w:t>
      </w:r>
    </w:p>
    <w:p w14:paraId="619B4903"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Respecto al Tercer Circuito Judicial de San José se experimentó un aumento de los casos ingresados en el 2021 tomando como base la cantidad entrada en 2020, no obstante, para el 2022 esta cifra disminuye a 348 asuntos. Es importante indicar que en este último Circuito Judicial se inició en el mes de octubre de 2019 con el plan piloto para la atención de casos en materia contravencional, los cuales aún no son registrados a nivel del sistema informático, esto de acuerdo con lo indicado por el Subproceso de Estadística, en consulta realizada a través de correo electrónico el 10 de febrero del 2021 (Ver apéndice 7).   </w:t>
      </w:r>
    </w:p>
    <w:p w14:paraId="1D4CD826" w14:textId="77777777" w:rsidR="00B15F7D" w:rsidRPr="00990FB6" w:rsidRDefault="00B15F7D" w:rsidP="00B15F7D">
      <w:pPr>
        <w:tabs>
          <w:tab w:val="left" w:pos="0"/>
        </w:tabs>
        <w:ind w:left="851" w:right="851" w:firstLine="709"/>
        <w:jc w:val="both"/>
        <w:rPr>
          <w:color w:val="000000"/>
          <w:sz w:val="22"/>
          <w:szCs w:val="22"/>
        </w:rPr>
      </w:pPr>
    </w:p>
    <w:p w14:paraId="280CFE67" w14:textId="77777777" w:rsidR="00B15F7D" w:rsidRPr="00990FB6" w:rsidRDefault="00B15F7D" w:rsidP="00B15F7D">
      <w:pPr>
        <w:ind w:left="851" w:right="851" w:firstLine="709"/>
        <w:jc w:val="both"/>
        <w:rPr>
          <w:color w:val="000000"/>
          <w:sz w:val="22"/>
          <w:szCs w:val="22"/>
        </w:rPr>
      </w:pPr>
      <w:r w:rsidRPr="00990FB6">
        <w:rPr>
          <w:color w:val="000000"/>
          <w:sz w:val="22"/>
          <w:szCs w:val="22"/>
        </w:rPr>
        <w:t>En el caso del Circuito Judicial de Cartago, se identifica un aumento en los casos ingresados en 2021 respecto al año 2020, situación que continua para el 2022, donde se observa un aumento en la entrada de 48 asuntos respecto al 2021.</w:t>
      </w:r>
    </w:p>
    <w:p w14:paraId="15886BAB" w14:textId="77777777" w:rsidR="00B15F7D" w:rsidRPr="00990FB6" w:rsidRDefault="00B15F7D" w:rsidP="00B15F7D">
      <w:pPr>
        <w:ind w:left="851" w:right="851" w:firstLine="709"/>
        <w:jc w:val="both"/>
        <w:rPr>
          <w:color w:val="000000"/>
          <w:sz w:val="22"/>
          <w:szCs w:val="22"/>
        </w:rPr>
      </w:pPr>
    </w:p>
    <w:p w14:paraId="2D974614"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Adicionalmente, para el 2021 se muestran los primeros registros para el I y III Circuito Judicial de Alajuela, en donde se da un aumento significativo para cada uno de estos despachos. En el caso de Alajuela se refleja un aumento de 156 asuntos respecto al año 2021 y para el caso de San Ramón, un aumento de 65 asuntos. </w:t>
      </w:r>
    </w:p>
    <w:p w14:paraId="1F6847A2" w14:textId="77777777" w:rsidR="00B15F7D" w:rsidRPr="00990FB6" w:rsidRDefault="00B15F7D" w:rsidP="00B15F7D">
      <w:pPr>
        <w:ind w:left="851" w:right="851" w:firstLine="709"/>
        <w:jc w:val="both"/>
        <w:rPr>
          <w:color w:val="000000"/>
          <w:sz w:val="22"/>
          <w:szCs w:val="22"/>
        </w:rPr>
      </w:pPr>
    </w:p>
    <w:p w14:paraId="7E90C792"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Para el Circuito Judicial de Heredia durante 2020, 2021 y 2022 la cantidad de asuntos ingresados es bastante similar, 326, 365 y 342 respectivamente, aunque para el 2022 la cantidad se evidencia una disminución de 23 asuntos, respecto al 2021. </w:t>
      </w:r>
    </w:p>
    <w:p w14:paraId="13453550" w14:textId="77777777" w:rsidR="00B15F7D" w:rsidRPr="00990FB6" w:rsidRDefault="00B15F7D" w:rsidP="00B15F7D">
      <w:pPr>
        <w:ind w:left="851" w:right="851" w:firstLine="709"/>
        <w:jc w:val="both"/>
        <w:rPr>
          <w:color w:val="000000"/>
          <w:sz w:val="22"/>
          <w:szCs w:val="22"/>
        </w:rPr>
      </w:pPr>
    </w:p>
    <w:p w14:paraId="611AE88C" w14:textId="77777777" w:rsidR="00B15F7D" w:rsidRPr="00990FB6" w:rsidRDefault="00B15F7D" w:rsidP="00B15F7D">
      <w:pPr>
        <w:ind w:left="851" w:right="851" w:firstLine="709"/>
        <w:jc w:val="both"/>
        <w:rPr>
          <w:color w:val="000000"/>
          <w:sz w:val="22"/>
          <w:szCs w:val="22"/>
        </w:rPr>
      </w:pPr>
      <w:r w:rsidRPr="00990FB6">
        <w:rPr>
          <w:color w:val="000000"/>
          <w:sz w:val="22"/>
          <w:szCs w:val="22"/>
        </w:rPr>
        <w:t>Se reporta una disminución de casos entrados en el Circuito Judicial de Puntarenas para el año 2021, ya que ingresaron 15 asuntos menos que en el 2020. Para el</w:t>
      </w:r>
      <w:r w:rsidRPr="00990FB6" w:rsidDel="00731430">
        <w:rPr>
          <w:color w:val="000000"/>
          <w:sz w:val="22"/>
          <w:szCs w:val="22"/>
        </w:rPr>
        <w:t xml:space="preserve"> </w:t>
      </w:r>
      <w:r w:rsidRPr="00990FB6">
        <w:rPr>
          <w:color w:val="000000"/>
          <w:sz w:val="22"/>
          <w:szCs w:val="22"/>
        </w:rPr>
        <w:t>2022 se reporta una disminución de 45 asuntos, para un total de 320 casos ingresados.</w:t>
      </w:r>
    </w:p>
    <w:p w14:paraId="60581C52" w14:textId="77777777" w:rsidR="00B15F7D" w:rsidRPr="00990FB6" w:rsidRDefault="00B15F7D" w:rsidP="00B15F7D">
      <w:pPr>
        <w:ind w:left="851" w:right="851" w:firstLine="709"/>
        <w:jc w:val="both"/>
        <w:rPr>
          <w:color w:val="000000"/>
          <w:sz w:val="22"/>
          <w:szCs w:val="22"/>
        </w:rPr>
      </w:pPr>
    </w:p>
    <w:p w14:paraId="2F437159" w14:textId="77777777" w:rsidR="00B15F7D" w:rsidRPr="00990FB6" w:rsidRDefault="00B15F7D" w:rsidP="00B15F7D">
      <w:pPr>
        <w:ind w:left="851" w:right="851" w:firstLine="709"/>
        <w:jc w:val="both"/>
        <w:rPr>
          <w:color w:val="000000"/>
          <w:sz w:val="22"/>
          <w:szCs w:val="22"/>
        </w:rPr>
      </w:pPr>
      <w:r w:rsidRPr="00990FB6">
        <w:rPr>
          <w:color w:val="000000"/>
          <w:sz w:val="22"/>
          <w:szCs w:val="22"/>
        </w:rPr>
        <w:lastRenderedPageBreak/>
        <w:t>Respecto al Primer Circuito Judicial de la Zona Sur, se evidencia una disminución de 51 asuntos para el 2021, respecto a la cantidad ingresada en el 2020. Para el</w:t>
      </w:r>
      <w:r w:rsidRPr="00990FB6" w:rsidDel="00084406">
        <w:rPr>
          <w:color w:val="000000"/>
          <w:sz w:val="22"/>
          <w:szCs w:val="22"/>
        </w:rPr>
        <w:t xml:space="preserve"> </w:t>
      </w:r>
      <w:r w:rsidRPr="00990FB6">
        <w:rPr>
          <w:color w:val="000000"/>
          <w:sz w:val="22"/>
          <w:szCs w:val="22"/>
        </w:rPr>
        <w:t>2022 aumenta 35 asuntos, se tiene un total de 372 asuntos ingresados.</w:t>
      </w:r>
    </w:p>
    <w:p w14:paraId="49602AF7" w14:textId="77777777" w:rsidR="00B15F7D" w:rsidRPr="00990FB6" w:rsidRDefault="00B15F7D" w:rsidP="00B15F7D">
      <w:pPr>
        <w:ind w:left="851" w:right="851" w:firstLine="709"/>
        <w:jc w:val="both"/>
        <w:rPr>
          <w:color w:val="000000"/>
          <w:sz w:val="22"/>
          <w:szCs w:val="22"/>
        </w:rPr>
      </w:pPr>
    </w:p>
    <w:p w14:paraId="095D1216" w14:textId="77777777" w:rsidR="00B15F7D" w:rsidRPr="00990FB6" w:rsidRDefault="00B15F7D" w:rsidP="00B15F7D">
      <w:pPr>
        <w:ind w:left="851" w:right="851" w:firstLine="709"/>
        <w:jc w:val="both"/>
        <w:rPr>
          <w:color w:val="000000"/>
          <w:sz w:val="22"/>
          <w:szCs w:val="22"/>
        </w:rPr>
      </w:pPr>
      <w:r w:rsidRPr="00990FB6">
        <w:rPr>
          <w:color w:val="000000"/>
          <w:sz w:val="22"/>
          <w:szCs w:val="22"/>
        </w:rPr>
        <w:t>Respecto al caso del I Circuito Judicial de la Zona Atlántica, disminuye en tres casos respecto al año 2021.</w:t>
      </w:r>
    </w:p>
    <w:p w14:paraId="528B8CFD" w14:textId="77777777" w:rsidR="00B15F7D" w:rsidRPr="00990FB6" w:rsidRDefault="00B15F7D" w:rsidP="00B15F7D">
      <w:pPr>
        <w:ind w:left="851" w:right="851" w:firstLine="709"/>
        <w:jc w:val="both"/>
        <w:rPr>
          <w:color w:val="000000"/>
          <w:sz w:val="22"/>
          <w:szCs w:val="22"/>
        </w:rPr>
      </w:pPr>
    </w:p>
    <w:p w14:paraId="4EACAC30" w14:textId="77777777" w:rsidR="00B15F7D" w:rsidRPr="00990FB6" w:rsidRDefault="00B15F7D" w:rsidP="00B15F7D">
      <w:pPr>
        <w:ind w:left="851" w:right="851" w:firstLine="709"/>
        <w:jc w:val="both"/>
        <w:rPr>
          <w:color w:val="000000"/>
          <w:sz w:val="22"/>
          <w:szCs w:val="22"/>
        </w:rPr>
      </w:pPr>
      <w:r w:rsidRPr="00990FB6">
        <w:rPr>
          <w:color w:val="000000"/>
          <w:sz w:val="22"/>
          <w:szCs w:val="22"/>
        </w:rPr>
        <w:t>En el II Circuito Judicial de la Zona Atlántica, el ingreso de asuntos aumenta en 50 asuntos en el 2021, con base en la cantidad registrada en 2020. En el</w:t>
      </w:r>
      <w:r w:rsidRPr="00990FB6" w:rsidDel="00D8534C">
        <w:rPr>
          <w:color w:val="000000"/>
          <w:sz w:val="22"/>
          <w:szCs w:val="22"/>
        </w:rPr>
        <w:t xml:space="preserve"> </w:t>
      </w:r>
      <w:r w:rsidRPr="00990FB6">
        <w:rPr>
          <w:color w:val="000000"/>
          <w:sz w:val="22"/>
          <w:szCs w:val="22"/>
        </w:rPr>
        <w:t>2022 se reporta un total de 412 asuntos ingresados, reflejando un aumento de 89 asuntos en periodo 2020 al 2022.</w:t>
      </w:r>
    </w:p>
    <w:p w14:paraId="515684F4" w14:textId="77777777" w:rsidR="00B15F7D" w:rsidRPr="00990FB6" w:rsidRDefault="00B15F7D" w:rsidP="00B15F7D">
      <w:pPr>
        <w:ind w:left="851" w:right="851" w:firstLine="709"/>
        <w:jc w:val="both"/>
        <w:rPr>
          <w:color w:val="000000"/>
          <w:sz w:val="22"/>
          <w:szCs w:val="22"/>
        </w:rPr>
      </w:pPr>
    </w:p>
    <w:p w14:paraId="7F376478" w14:textId="77777777" w:rsidR="00B15F7D" w:rsidRPr="00990FB6" w:rsidRDefault="00B15F7D" w:rsidP="00B15F7D">
      <w:pPr>
        <w:ind w:left="851" w:right="851" w:firstLine="709"/>
        <w:jc w:val="both"/>
        <w:rPr>
          <w:color w:val="000000"/>
          <w:sz w:val="22"/>
          <w:szCs w:val="22"/>
        </w:rPr>
      </w:pPr>
      <w:r w:rsidRPr="00990FB6">
        <w:rPr>
          <w:color w:val="000000"/>
          <w:sz w:val="22"/>
          <w:szCs w:val="22"/>
        </w:rPr>
        <w:t>Referente al I Circuito Judicial de Guanacaste se logra determinar un aumento significativo en el 2022, de 270 asuntos respecto el 2021.</w:t>
      </w:r>
    </w:p>
    <w:p w14:paraId="0B165C03" w14:textId="77777777" w:rsidR="00B15F7D" w:rsidRPr="00990FB6" w:rsidRDefault="00B15F7D" w:rsidP="00B15F7D">
      <w:pPr>
        <w:ind w:left="851" w:right="851" w:firstLine="709"/>
        <w:jc w:val="both"/>
        <w:rPr>
          <w:color w:val="000000"/>
          <w:sz w:val="22"/>
          <w:szCs w:val="22"/>
        </w:rPr>
      </w:pPr>
    </w:p>
    <w:p w14:paraId="73D4A1D9"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w:t>
      </w:r>
      <w:r w:rsidRPr="00990FB6">
        <w:rPr>
          <w:color w:val="000000"/>
          <w:sz w:val="22"/>
          <w:szCs w:val="22"/>
        </w:rPr>
        <w:fldChar w:fldCharType="begin"/>
      </w:r>
      <w:r w:rsidRPr="00990FB6">
        <w:rPr>
          <w:color w:val="000000"/>
          <w:sz w:val="22"/>
          <w:szCs w:val="22"/>
        </w:rPr>
        <w:instrText xml:space="preserve"> REF _Ref31264531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6</w:t>
      </w:r>
      <w:r w:rsidRPr="00990FB6">
        <w:rPr>
          <w:color w:val="000000"/>
          <w:sz w:val="22"/>
          <w:szCs w:val="22"/>
        </w:rPr>
        <w:fldChar w:fldCharType="end"/>
      </w:r>
      <w:r w:rsidRPr="00990FB6">
        <w:rPr>
          <w:color w:val="000000"/>
          <w:sz w:val="22"/>
          <w:szCs w:val="22"/>
        </w:rPr>
        <w:t xml:space="preserve"> se muestra el promedio mensual de causas ingresadas por Circuito Judicial. Para el año 2021 se observan los mayores ingresos en el II y el III Circuito Judicial de San José, Circuito Judicial de Cartago y II Circuito Judicial de la Zona Atlántica; mientras que en el 2022 la mayor cantidad de asuntos ingresaron en el II Circuito Judicial de San José, Circuito Judicial de Cartago y II Circuito Judicial de la Zona Atlántica, quedando en un orden similar al del año 2021.</w:t>
      </w:r>
    </w:p>
    <w:p w14:paraId="3F51FBF7" w14:textId="77777777" w:rsidR="00B15F7D" w:rsidRPr="00990FB6" w:rsidRDefault="00B15F7D" w:rsidP="00B15F7D">
      <w:pPr>
        <w:tabs>
          <w:tab w:val="left" w:pos="0"/>
        </w:tabs>
        <w:ind w:left="851" w:right="851" w:firstLine="709"/>
        <w:jc w:val="both"/>
        <w:rPr>
          <w:color w:val="000000"/>
          <w:sz w:val="22"/>
          <w:szCs w:val="22"/>
        </w:rPr>
      </w:pPr>
    </w:p>
    <w:p w14:paraId="473C0F91" w14:textId="77777777" w:rsidR="00B15F7D" w:rsidRPr="00990FB6" w:rsidRDefault="00B15F7D" w:rsidP="00B15F7D">
      <w:pPr>
        <w:tabs>
          <w:tab w:val="left" w:pos="851"/>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6</w:t>
      </w:r>
      <w:r w:rsidRPr="00990FB6">
        <w:rPr>
          <w:b/>
          <w:bCs/>
          <w:color w:val="000000"/>
          <w:sz w:val="22"/>
          <w:szCs w:val="22"/>
        </w:rPr>
        <w:fldChar w:fldCharType="end"/>
      </w:r>
      <w:r w:rsidRPr="00990FB6">
        <w:rPr>
          <w:b/>
          <w:bCs/>
          <w:color w:val="000000"/>
          <w:sz w:val="22"/>
          <w:szCs w:val="22"/>
        </w:rPr>
        <w:t>. Entrada promedio mensual de Justicia Restaurativa por Circuito Judicial para el periodo 2020- 2022.</w:t>
      </w:r>
    </w:p>
    <w:p w14:paraId="662E0989" w14:textId="77777777" w:rsidR="00B15F7D" w:rsidRPr="00990FB6" w:rsidRDefault="00B15F7D" w:rsidP="00B15F7D">
      <w:pPr>
        <w:tabs>
          <w:tab w:val="left" w:pos="851"/>
        </w:tabs>
        <w:jc w:val="both"/>
        <w:rPr>
          <w:b/>
          <w:bC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3647"/>
        <w:gridCol w:w="580"/>
        <w:gridCol w:w="580"/>
        <w:gridCol w:w="580"/>
      </w:tblGrid>
      <w:tr w:rsidR="00B15F7D" w:rsidRPr="00990FB6" w14:paraId="05CAF6A8" w14:textId="77777777" w:rsidTr="000A0C22">
        <w:trPr>
          <w:trHeight w:val="310"/>
          <w:jc w:val="center"/>
        </w:trPr>
        <w:tc>
          <w:tcPr>
            <w:tcW w:w="0" w:type="auto"/>
            <w:vMerge w:val="restart"/>
            <w:tcBorders>
              <w:top w:val="double" w:sz="6" w:space="0" w:color="1F4E78"/>
              <w:left w:val="double" w:sz="6" w:space="0" w:color="1F4E78"/>
              <w:bottom w:val="double" w:sz="6" w:space="0" w:color="1F4E78"/>
              <w:right w:val="double" w:sz="6" w:space="0" w:color="1F4E78"/>
            </w:tcBorders>
            <w:shd w:val="clear" w:color="000000" w:fill="365F91"/>
            <w:noWrap/>
            <w:vAlign w:val="center"/>
            <w:hideMark/>
          </w:tcPr>
          <w:p w14:paraId="0F30C1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0" w:type="auto"/>
            <w:gridSpan w:val="3"/>
            <w:tcBorders>
              <w:top w:val="double" w:sz="6" w:space="0" w:color="1F4E78"/>
              <w:left w:val="nil"/>
              <w:bottom w:val="double" w:sz="6" w:space="0" w:color="1F4E78"/>
              <w:right w:val="double" w:sz="6" w:space="0" w:color="1F4E78"/>
            </w:tcBorders>
            <w:shd w:val="clear" w:color="000000" w:fill="365F91"/>
            <w:noWrap/>
            <w:vAlign w:val="center"/>
            <w:hideMark/>
          </w:tcPr>
          <w:p w14:paraId="5C6E12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Entrada</w:t>
            </w:r>
          </w:p>
        </w:tc>
      </w:tr>
      <w:tr w:rsidR="00B15F7D" w:rsidRPr="00990FB6" w14:paraId="32051AFC" w14:textId="77777777" w:rsidTr="000A0C22">
        <w:trPr>
          <w:trHeight w:val="310"/>
          <w:jc w:val="center"/>
        </w:trPr>
        <w:tc>
          <w:tcPr>
            <w:tcW w:w="0" w:type="auto"/>
            <w:vMerge/>
            <w:tcBorders>
              <w:top w:val="double" w:sz="6" w:space="0" w:color="1F4E78"/>
              <w:left w:val="double" w:sz="6" w:space="0" w:color="1F4E78"/>
              <w:bottom w:val="double" w:sz="6" w:space="0" w:color="1F4E78"/>
              <w:right w:val="double" w:sz="6" w:space="0" w:color="1F4E78"/>
            </w:tcBorders>
            <w:vAlign w:val="center"/>
            <w:hideMark/>
          </w:tcPr>
          <w:p w14:paraId="5665446D" w14:textId="77777777" w:rsidR="00B15F7D" w:rsidRPr="00990FB6" w:rsidRDefault="00B15F7D" w:rsidP="00B15F7D">
            <w:pPr>
              <w:rPr>
                <w:color w:val="000000"/>
                <w:sz w:val="22"/>
                <w:szCs w:val="22"/>
                <w:lang w:eastAsia="es-CR"/>
              </w:rPr>
            </w:pPr>
          </w:p>
        </w:tc>
        <w:tc>
          <w:tcPr>
            <w:tcW w:w="0" w:type="auto"/>
            <w:tcBorders>
              <w:top w:val="nil"/>
              <w:left w:val="nil"/>
              <w:bottom w:val="double" w:sz="6" w:space="0" w:color="1F4E78"/>
              <w:right w:val="double" w:sz="6" w:space="0" w:color="1F4E78"/>
            </w:tcBorders>
            <w:shd w:val="clear" w:color="000000" w:fill="365F91"/>
            <w:noWrap/>
            <w:vAlign w:val="center"/>
            <w:hideMark/>
          </w:tcPr>
          <w:p w14:paraId="05FEE8A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2020</w:t>
            </w:r>
          </w:p>
        </w:tc>
        <w:tc>
          <w:tcPr>
            <w:tcW w:w="0" w:type="auto"/>
            <w:tcBorders>
              <w:top w:val="nil"/>
              <w:left w:val="nil"/>
              <w:bottom w:val="double" w:sz="6" w:space="0" w:color="1F4E78"/>
              <w:right w:val="double" w:sz="6" w:space="0" w:color="1F4E78"/>
            </w:tcBorders>
            <w:shd w:val="clear" w:color="000000" w:fill="365F91"/>
            <w:noWrap/>
            <w:vAlign w:val="center"/>
            <w:hideMark/>
          </w:tcPr>
          <w:p w14:paraId="1F3148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c>
          <w:tcPr>
            <w:tcW w:w="0" w:type="auto"/>
            <w:tcBorders>
              <w:top w:val="nil"/>
              <w:left w:val="nil"/>
              <w:bottom w:val="double" w:sz="6" w:space="0" w:color="1F4E78"/>
              <w:right w:val="double" w:sz="6" w:space="0" w:color="1F4E78"/>
            </w:tcBorders>
            <w:shd w:val="clear" w:color="000000" w:fill="365F91"/>
          </w:tcPr>
          <w:p w14:paraId="40AFC4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2022</w:t>
            </w:r>
          </w:p>
        </w:tc>
      </w:tr>
      <w:tr w:rsidR="00B15F7D" w:rsidRPr="00990FB6" w14:paraId="0E9803A9"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08E8F0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0" w:type="auto"/>
            <w:tcBorders>
              <w:top w:val="nil"/>
              <w:left w:val="nil"/>
              <w:bottom w:val="double" w:sz="6" w:space="0" w:color="1F4E78"/>
              <w:right w:val="double" w:sz="6" w:space="0" w:color="1F4E78"/>
            </w:tcBorders>
            <w:shd w:val="clear" w:color="000000" w:fill="FFFFFF"/>
            <w:noWrap/>
            <w:vAlign w:val="center"/>
            <w:hideMark/>
          </w:tcPr>
          <w:p w14:paraId="6B710F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0" w:type="auto"/>
            <w:tcBorders>
              <w:top w:val="nil"/>
              <w:left w:val="nil"/>
              <w:bottom w:val="double" w:sz="6" w:space="0" w:color="1F4E78"/>
              <w:right w:val="double" w:sz="6" w:space="0" w:color="1F4E78"/>
            </w:tcBorders>
            <w:shd w:val="clear" w:color="000000" w:fill="FFFFFF"/>
            <w:noWrap/>
            <w:vAlign w:val="center"/>
            <w:hideMark/>
          </w:tcPr>
          <w:p w14:paraId="6B5EC8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58</w:t>
            </w:r>
          </w:p>
        </w:tc>
        <w:tc>
          <w:tcPr>
            <w:tcW w:w="0" w:type="auto"/>
            <w:tcBorders>
              <w:top w:val="nil"/>
              <w:left w:val="nil"/>
              <w:bottom w:val="double" w:sz="6" w:space="0" w:color="1F4E78"/>
              <w:right w:val="double" w:sz="6" w:space="0" w:color="1F4E78"/>
            </w:tcBorders>
            <w:shd w:val="clear" w:color="000000" w:fill="FFFFFF"/>
          </w:tcPr>
          <w:p w14:paraId="2E51AE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45</w:t>
            </w:r>
          </w:p>
        </w:tc>
      </w:tr>
      <w:tr w:rsidR="00B15F7D" w:rsidRPr="00990FB6" w14:paraId="7AB9C3F3"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78D115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0" w:type="auto"/>
            <w:tcBorders>
              <w:top w:val="nil"/>
              <w:left w:val="nil"/>
              <w:bottom w:val="double" w:sz="6" w:space="0" w:color="1F4E78"/>
              <w:right w:val="double" w:sz="6" w:space="0" w:color="1F4E78"/>
            </w:tcBorders>
            <w:shd w:val="clear" w:color="000000" w:fill="FFFFFF"/>
            <w:noWrap/>
            <w:vAlign w:val="center"/>
            <w:hideMark/>
          </w:tcPr>
          <w:p w14:paraId="082EF4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c>
          <w:tcPr>
            <w:tcW w:w="0" w:type="auto"/>
            <w:tcBorders>
              <w:top w:val="nil"/>
              <w:left w:val="nil"/>
              <w:bottom w:val="double" w:sz="6" w:space="0" w:color="1F4E78"/>
              <w:right w:val="double" w:sz="6" w:space="0" w:color="1F4E78"/>
            </w:tcBorders>
            <w:shd w:val="clear" w:color="000000" w:fill="FFFFFF"/>
            <w:noWrap/>
            <w:vAlign w:val="center"/>
            <w:hideMark/>
          </w:tcPr>
          <w:p w14:paraId="0C5EE6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39</w:t>
            </w:r>
          </w:p>
        </w:tc>
        <w:tc>
          <w:tcPr>
            <w:tcW w:w="0" w:type="auto"/>
            <w:tcBorders>
              <w:top w:val="nil"/>
              <w:left w:val="nil"/>
              <w:bottom w:val="double" w:sz="6" w:space="0" w:color="1F4E78"/>
              <w:right w:val="double" w:sz="6" w:space="0" w:color="1F4E78"/>
            </w:tcBorders>
            <w:shd w:val="clear" w:color="000000" w:fill="FFFFFF"/>
          </w:tcPr>
          <w:p w14:paraId="2FB981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r>
      <w:tr w:rsidR="00B15F7D" w:rsidRPr="00990FB6" w14:paraId="2A6E5E2C"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439F28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0" w:type="auto"/>
            <w:tcBorders>
              <w:top w:val="nil"/>
              <w:left w:val="nil"/>
              <w:bottom w:val="double" w:sz="6" w:space="0" w:color="1F4E78"/>
              <w:right w:val="double" w:sz="6" w:space="0" w:color="1F4E78"/>
            </w:tcBorders>
            <w:shd w:val="clear" w:color="000000" w:fill="FFFFFF"/>
            <w:noWrap/>
            <w:vAlign w:val="center"/>
            <w:hideMark/>
          </w:tcPr>
          <w:p w14:paraId="4BD729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26</w:t>
            </w:r>
          </w:p>
        </w:tc>
        <w:tc>
          <w:tcPr>
            <w:tcW w:w="0" w:type="auto"/>
            <w:tcBorders>
              <w:top w:val="nil"/>
              <w:left w:val="nil"/>
              <w:bottom w:val="double" w:sz="6" w:space="0" w:color="1F4E78"/>
              <w:right w:val="double" w:sz="6" w:space="0" w:color="1F4E78"/>
            </w:tcBorders>
            <w:shd w:val="clear" w:color="000000" w:fill="FFFFFF"/>
            <w:noWrap/>
            <w:vAlign w:val="center"/>
            <w:hideMark/>
          </w:tcPr>
          <w:p w14:paraId="185020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w:t>
            </w:r>
          </w:p>
        </w:tc>
        <w:tc>
          <w:tcPr>
            <w:tcW w:w="0" w:type="auto"/>
            <w:tcBorders>
              <w:top w:val="nil"/>
              <w:left w:val="nil"/>
              <w:bottom w:val="double" w:sz="6" w:space="0" w:color="1F4E78"/>
              <w:right w:val="double" w:sz="6" w:space="0" w:color="1F4E78"/>
            </w:tcBorders>
            <w:shd w:val="clear" w:color="000000" w:fill="FFFFFF"/>
          </w:tcPr>
          <w:p w14:paraId="54E9DA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38</w:t>
            </w:r>
          </w:p>
        </w:tc>
      </w:tr>
      <w:tr w:rsidR="00B15F7D" w:rsidRPr="00990FB6" w14:paraId="0DACF51F" w14:textId="77777777" w:rsidTr="000A0C22">
        <w:trPr>
          <w:trHeight w:val="31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671F83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0" w:type="auto"/>
            <w:tcBorders>
              <w:top w:val="nil"/>
              <w:left w:val="nil"/>
              <w:bottom w:val="double" w:sz="6" w:space="0" w:color="1F4E78"/>
              <w:right w:val="double" w:sz="6" w:space="0" w:color="1F4E78"/>
            </w:tcBorders>
            <w:shd w:val="clear" w:color="000000" w:fill="FFFFFF"/>
            <w:noWrap/>
            <w:vAlign w:val="center"/>
            <w:hideMark/>
          </w:tcPr>
          <w:p w14:paraId="3EF6EF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0" w:type="auto"/>
            <w:tcBorders>
              <w:top w:val="nil"/>
              <w:left w:val="nil"/>
              <w:bottom w:val="double" w:sz="6" w:space="0" w:color="1F4E78"/>
              <w:right w:val="double" w:sz="6" w:space="0" w:color="1F4E78"/>
            </w:tcBorders>
            <w:shd w:val="clear" w:color="000000" w:fill="FFFFFF"/>
            <w:noWrap/>
            <w:vAlign w:val="center"/>
            <w:hideMark/>
          </w:tcPr>
          <w:p w14:paraId="223C5E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nil"/>
              <w:left w:val="nil"/>
              <w:bottom w:val="double" w:sz="6" w:space="0" w:color="1F4E78"/>
              <w:right w:val="double" w:sz="6" w:space="0" w:color="1F4E78"/>
            </w:tcBorders>
            <w:shd w:val="clear" w:color="000000" w:fill="FFFFFF"/>
          </w:tcPr>
          <w:p w14:paraId="010A92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r>
      <w:tr w:rsidR="00B15F7D" w:rsidRPr="00990FB6" w14:paraId="726E978F" w14:textId="77777777" w:rsidTr="000A0C22">
        <w:trPr>
          <w:trHeight w:val="310"/>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3F4455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0" w:type="auto"/>
            <w:tcBorders>
              <w:top w:val="nil"/>
              <w:left w:val="nil"/>
              <w:bottom w:val="double" w:sz="6" w:space="0" w:color="1F4E78"/>
              <w:right w:val="double" w:sz="6" w:space="0" w:color="1F4E78"/>
            </w:tcBorders>
            <w:shd w:val="clear" w:color="000000" w:fill="FFFFFF"/>
            <w:noWrap/>
            <w:vAlign w:val="center"/>
            <w:hideMark/>
          </w:tcPr>
          <w:p w14:paraId="3B842C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0" w:type="auto"/>
            <w:tcBorders>
              <w:top w:val="nil"/>
              <w:left w:val="nil"/>
              <w:bottom w:val="double" w:sz="6" w:space="0" w:color="1F4E78"/>
              <w:right w:val="double" w:sz="6" w:space="0" w:color="1F4E78"/>
            </w:tcBorders>
            <w:shd w:val="clear" w:color="000000" w:fill="FFFFFF"/>
            <w:noWrap/>
            <w:vAlign w:val="center"/>
            <w:hideMark/>
          </w:tcPr>
          <w:p w14:paraId="58B48C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0" w:type="auto"/>
            <w:tcBorders>
              <w:top w:val="nil"/>
              <w:left w:val="nil"/>
              <w:bottom w:val="double" w:sz="6" w:space="0" w:color="1F4E78"/>
              <w:right w:val="double" w:sz="6" w:space="0" w:color="1F4E78"/>
            </w:tcBorders>
            <w:shd w:val="clear" w:color="000000" w:fill="FFFFFF"/>
          </w:tcPr>
          <w:p w14:paraId="2170761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r>
      <w:tr w:rsidR="00B15F7D" w:rsidRPr="00990FB6" w14:paraId="5ECD9597" w14:textId="77777777" w:rsidTr="000A0C22">
        <w:trPr>
          <w:trHeight w:val="31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17B92EE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0" w:type="auto"/>
            <w:tcBorders>
              <w:top w:val="nil"/>
              <w:left w:val="nil"/>
              <w:bottom w:val="double" w:sz="6" w:space="0" w:color="1F4E78"/>
              <w:right w:val="double" w:sz="6" w:space="0" w:color="1F4E78"/>
            </w:tcBorders>
            <w:shd w:val="clear" w:color="000000" w:fill="FFFFFF"/>
            <w:noWrap/>
            <w:vAlign w:val="center"/>
            <w:hideMark/>
          </w:tcPr>
          <w:p w14:paraId="364A1C2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0" w:type="auto"/>
            <w:tcBorders>
              <w:top w:val="nil"/>
              <w:left w:val="nil"/>
              <w:bottom w:val="double" w:sz="6" w:space="0" w:color="1F4E78"/>
              <w:right w:val="double" w:sz="6" w:space="0" w:color="1F4E78"/>
            </w:tcBorders>
            <w:shd w:val="clear" w:color="000000" w:fill="FFFFFF"/>
            <w:noWrap/>
            <w:vAlign w:val="center"/>
            <w:hideMark/>
          </w:tcPr>
          <w:p w14:paraId="5427E1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w:t>
            </w:r>
          </w:p>
        </w:tc>
        <w:tc>
          <w:tcPr>
            <w:tcW w:w="0" w:type="auto"/>
            <w:tcBorders>
              <w:top w:val="nil"/>
              <w:left w:val="nil"/>
              <w:bottom w:val="double" w:sz="6" w:space="0" w:color="1F4E78"/>
              <w:right w:val="double" w:sz="6" w:space="0" w:color="1F4E78"/>
            </w:tcBorders>
            <w:shd w:val="clear" w:color="000000" w:fill="FFFFFF"/>
          </w:tcPr>
          <w:p w14:paraId="1907E4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r>
      <w:tr w:rsidR="00B15F7D" w:rsidRPr="00990FB6" w14:paraId="09CE8C20"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0FF0B0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0" w:type="auto"/>
            <w:tcBorders>
              <w:top w:val="nil"/>
              <w:left w:val="nil"/>
              <w:bottom w:val="double" w:sz="6" w:space="0" w:color="1F4E78"/>
              <w:right w:val="double" w:sz="6" w:space="0" w:color="1F4E78"/>
            </w:tcBorders>
            <w:shd w:val="clear" w:color="000000" w:fill="FFFFFF"/>
            <w:noWrap/>
            <w:vAlign w:val="center"/>
            <w:hideMark/>
          </w:tcPr>
          <w:p w14:paraId="1FA569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w:t>
            </w:r>
          </w:p>
        </w:tc>
        <w:tc>
          <w:tcPr>
            <w:tcW w:w="0" w:type="auto"/>
            <w:tcBorders>
              <w:top w:val="nil"/>
              <w:left w:val="nil"/>
              <w:bottom w:val="double" w:sz="6" w:space="0" w:color="1F4E78"/>
              <w:right w:val="double" w:sz="6" w:space="0" w:color="1F4E78"/>
            </w:tcBorders>
            <w:shd w:val="clear" w:color="000000" w:fill="FFFFFF"/>
            <w:noWrap/>
            <w:vAlign w:val="center"/>
            <w:hideMark/>
          </w:tcPr>
          <w:p w14:paraId="27DC8B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w:t>
            </w:r>
          </w:p>
        </w:tc>
        <w:tc>
          <w:tcPr>
            <w:tcW w:w="0" w:type="auto"/>
            <w:tcBorders>
              <w:top w:val="nil"/>
              <w:left w:val="nil"/>
              <w:bottom w:val="double" w:sz="6" w:space="0" w:color="1F4E78"/>
              <w:right w:val="double" w:sz="6" w:space="0" w:color="1F4E78"/>
            </w:tcBorders>
            <w:shd w:val="clear" w:color="000000" w:fill="FFFFFF"/>
          </w:tcPr>
          <w:p w14:paraId="52E72D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r>
      <w:tr w:rsidR="00B15F7D" w:rsidRPr="00990FB6" w14:paraId="4C72E4DA"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53E26D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0" w:type="auto"/>
            <w:tcBorders>
              <w:top w:val="nil"/>
              <w:left w:val="nil"/>
              <w:bottom w:val="double" w:sz="6" w:space="0" w:color="1F4E78"/>
              <w:right w:val="double" w:sz="6" w:space="0" w:color="1F4E78"/>
            </w:tcBorders>
            <w:shd w:val="clear" w:color="000000" w:fill="FFFFFF"/>
            <w:noWrap/>
            <w:vAlign w:val="center"/>
            <w:hideMark/>
          </w:tcPr>
          <w:p w14:paraId="308286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w:t>
            </w:r>
          </w:p>
        </w:tc>
        <w:tc>
          <w:tcPr>
            <w:tcW w:w="0" w:type="auto"/>
            <w:tcBorders>
              <w:top w:val="nil"/>
              <w:left w:val="nil"/>
              <w:bottom w:val="double" w:sz="6" w:space="0" w:color="1F4E78"/>
              <w:right w:val="double" w:sz="6" w:space="0" w:color="1F4E78"/>
            </w:tcBorders>
            <w:shd w:val="clear" w:color="000000" w:fill="FFFFFF"/>
            <w:noWrap/>
            <w:vAlign w:val="center"/>
            <w:hideMark/>
          </w:tcPr>
          <w:p w14:paraId="1A7FF5F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c>
          <w:tcPr>
            <w:tcW w:w="0" w:type="auto"/>
            <w:tcBorders>
              <w:top w:val="nil"/>
              <w:left w:val="nil"/>
              <w:bottom w:val="double" w:sz="6" w:space="0" w:color="1F4E78"/>
              <w:right w:val="double" w:sz="6" w:space="0" w:color="1F4E78"/>
            </w:tcBorders>
            <w:shd w:val="clear" w:color="000000" w:fill="FFFFFF"/>
          </w:tcPr>
          <w:p w14:paraId="3A0AD3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r>
      <w:tr w:rsidR="00B15F7D" w:rsidRPr="00990FB6" w14:paraId="2FD292E1" w14:textId="77777777" w:rsidTr="000A0C22">
        <w:trPr>
          <w:trHeight w:val="31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6EC260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0" w:type="auto"/>
            <w:tcBorders>
              <w:top w:val="nil"/>
              <w:left w:val="nil"/>
              <w:bottom w:val="double" w:sz="6" w:space="0" w:color="1F4E78"/>
              <w:right w:val="double" w:sz="6" w:space="0" w:color="1F4E78"/>
            </w:tcBorders>
            <w:shd w:val="clear" w:color="000000" w:fill="FFFFFF"/>
            <w:noWrap/>
            <w:vAlign w:val="center"/>
            <w:hideMark/>
          </w:tcPr>
          <w:p w14:paraId="31FDF3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0" w:type="auto"/>
            <w:tcBorders>
              <w:top w:val="nil"/>
              <w:left w:val="nil"/>
              <w:bottom w:val="double" w:sz="6" w:space="0" w:color="1F4E78"/>
              <w:right w:val="double" w:sz="6" w:space="0" w:color="1F4E78"/>
            </w:tcBorders>
            <w:shd w:val="clear" w:color="000000" w:fill="FFFFFF"/>
            <w:noWrap/>
            <w:vAlign w:val="center"/>
            <w:hideMark/>
          </w:tcPr>
          <w:p w14:paraId="766077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nil"/>
              <w:left w:val="nil"/>
              <w:bottom w:val="double" w:sz="6" w:space="0" w:color="1F4E78"/>
              <w:right w:val="double" w:sz="6" w:space="0" w:color="1F4E78"/>
            </w:tcBorders>
            <w:shd w:val="clear" w:color="000000" w:fill="FFFFFF"/>
          </w:tcPr>
          <w:p w14:paraId="6DC814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726CBCA3" w14:textId="77777777" w:rsidTr="000A0C22">
        <w:trPr>
          <w:trHeight w:val="31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3C5981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0" w:type="auto"/>
            <w:tcBorders>
              <w:top w:val="nil"/>
              <w:left w:val="nil"/>
              <w:bottom w:val="double" w:sz="6" w:space="0" w:color="1F4E78"/>
              <w:right w:val="double" w:sz="6" w:space="0" w:color="1F4E78"/>
            </w:tcBorders>
            <w:shd w:val="clear" w:color="000000" w:fill="FFFFFF"/>
            <w:noWrap/>
            <w:vAlign w:val="center"/>
            <w:hideMark/>
          </w:tcPr>
          <w:p w14:paraId="50BE7BF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0" w:type="auto"/>
            <w:tcBorders>
              <w:top w:val="nil"/>
              <w:left w:val="nil"/>
              <w:bottom w:val="double" w:sz="6" w:space="0" w:color="1F4E78"/>
              <w:right w:val="double" w:sz="6" w:space="0" w:color="1F4E78"/>
            </w:tcBorders>
            <w:shd w:val="clear" w:color="000000" w:fill="FFFFFF"/>
            <w:noWrap/>
            <w:vAlign w:val="center"/>
            <w:hideMark/>
          </w:tcPr>
          <w:p w14:paraId="36A65E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0" w:type="auto"/>
            <w:tcBorders>
              <w:top w:val="nil"/>
              <w:left w:val="nil"/>
              <w:bottom w:val="double" w:sz="6" w:space="0" w:color="1F4E78"/>
              <w:right w:val="double" w:sz="6" w:space="0" w:color="1F4E78"/>
            </w:tcBorders>
            <w:shd w:val="clear" w:color="000000" w:fill="FFFFFF"/>
          </w:tcPr>
          <w:p w14:paraId="27869E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r>
      <w:tr w:rsidR="00B15F7D" w:rsidRPr="00990FB6" w14:paraId="64FAA500"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508DAD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Promedio General</w:t>
            </w:r>
          </w:p>
        </w:tc>
        <w:tc>
          <w:tcPr>
            <w:tcW w:w="0" w:type="auto"/>
            <w:tcBorders>
              <w:top w:val="nil"/>
              <w:left w:val="nil"/>
              <w:bottom w:val="double" w:sz="6" w:space="0" w:color="1F4E78"/>
              <w:right w:val="double" w:sz="6" w:space="0" w:color="1F4E78"/>
            </w:tcBorders>
            <w:shd w:val="clear" w:color="auto" w:fill="auto"/>
            <w:noWrap/>
            <w:vAlign w:val="center"/>
            <w:hideMark/>
          </w:tcPr>
          <w:p w14:paraId="6657437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31</w:t>
            </w:r>
          </w:p>
        </w:tc>
        <w:tc>
          <w:tcPr>
            <w:tcW w:w="0" w:type="auto"/>
            <w:tcBorders>
              <w:top w:val="nil"/>
              <w:left w:val="nil"/>
              <w:bottom w:val="double" w:sz="6" w:space="0" w:color="1F4E78"/>
              <w:right w:val="double" w:sz="6" w:space="0" w:color="1F4E78"/>
            </w:tcBorders>
            <w:shd w:val="clear" w:color="auto" w:fill="auto"/>
            <w:noWrap/>
            <w:vAlign w:val="center"/>
            <w:hideMark/>
          </w:tcPr>
          <w:p w14:paraId="3CC4975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28</w:t>
            </w:r>
          </w:p>
        </w:tc>
        <w:tc>
          <w:tcPr>
            <w:tcW w:w="0" w:type="auto"/>
            <w:tcBorders>
              <w:top w:val="nil"/>
              <w:left w:val="nil"/>
              <w:bottom w:val="double" w:sz="6" w:space="0" w:color="1F4E78"/>
              <w:right w:val="double" w:sz="6" w:space="0" w:color="1F4E78"/>
            </w:tcBorders>
            <w:shd w:val="clear" w:color="auto" w:fill="auto"/>
          </w:tcPr>
          <w:p w14:paraId="5CEF577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28</w:t>
            </w:r>
          </w:p>
        </w:tc>
      </w:tr>
    </w:tbl>
    <w:p w14:paraId="7E98E31D"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 xml:space="preserve">Modernización Institucional a partir de la información extraída de SIGMA. </w:t>
      </w:r>
    </w:p>
    <w:p w14:paraId="4A4DC1E0" w14:textId="77777777" w:rsidR="00B15F7D" w:rsidRPr="00990FB6" w:rsidRDefault="00B15F7D" w:rsidP="00B15F7D">
      <w:pPr>
        <w:ind w:left="851" w:right="851" w:firstLine="709"/>
        <w:jc w:val="both"/>
        <w:rPr>
          <w:bCs/>
          <w:color w:val="000000"/>
          <w:sz w:val="22"/>
          <w:szCs w:val="22"/>
          <w:lang w:eastAsia="es-CR"/>
        </w:rPr>
      </w:pPr>
    </w:p>
    <w:p w14:paraId="24138F69"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lastRenderedPageBreak/>
        <w:t>Al comparar el promedio mensual de las entradas nuevas correspondiente al año 2021 (28 asuntos), con el promedio mensual de entradas obtenido para 2022 (28 asuntos) se obtiene que para el año 2022, se mantiene la cantidad de ingresos nuevos. Es importante considerar que para este 2021, se cuenta con el registro de entrada de 3 Circuitos Judiciales adicionales al 2020, mismos que reportan bajos ingresos de asuntos por lo que, al excluir estos Circuitos Judiciales del promedio (Alajuela, San Ramón y Limón), se obtiene que el dato de entrada es de 37 asuntos mensuales, siendo en este caso el número promedio entre los Circuitos Judiciales que contaban con equipo de Justicia Restaurativa en años anteriores al 2021.</w:t>
      </w:r>
    </w:p>
    <w:p w14:paraId="1D716B3D" w14:textId="77777777" w:rsidR="00B15F7D" w:rsidRPr="00990FB6" w:rsidRDefault="00B15F7D" w:rsidP="00B15F7D">
      <w:pPr>
        <w:tabs>
          <w:tab w:val="left" w:pos="0"/>
        </w:tabs>
        <w:ind w:left="851" w:right="851" w:firstLine="709"/>
        <w:jc w:val="both"/>
        <w:rPr>
          <w:color w:val="000000"/>
          <w:sz w:val="22"/>
          <w:szCs w:val="22"/>
        </w:rPr>
      </w:pPr>
    </w:p>
    <w:p w14:paraId="232BD090" w14:textId="77777777" w:rsidR="00B15F7D" w:rsidRPr="00990FB6" w:rsidRDefault="00B15F7D" w:rsidP="00B15F7D">
      <w:pPr>
        <w:keepNext/>
        <w:numPr>
          <w:ilvl w:val="1"/>
          <w:numId w:val="155"/>
        </w:numPr>
        <w:suppressAutoHyphens w:val="0"/>
        <w:ind w:left="851" w:right="851" w:firstLine="709"/>
        <w:jc w:val="both"/>
        <w:rPr>
          <w:color w:val="000000"/>
          <w:sz w:val="22"/>
          <w:szCs w:val="22"/>
        </w:rPr>
      </w:pPr>
      <w:r w:rsidRPr="00990FB6">
        <w:rPr>
          <w:color w:val="000000"/>
          <w:sz w:val="22"/>
          <w:szCs w:val="22"/>
        </w:rPr>
        <w:t>Causas terminadas por Circuito Judicial en Justicia Restaurativa Penal de Adultos.</w:t>
      </w:r>
    </w:p>
    <w:p w14:paraId="62ECF023" w14:textId="77777777" w:rsidR="00B15F7D" w:rsidRPr="00990FB6" w:rsidRDefault="00B15F7D" w:rsidP="00B15F7D">
      <w:pPr>
        <w:keepNext/>
        <w:suppressAutoHyphens w:val="0"/>
        <w:ind w:left="851" w:right="851" w:firstLine="709"/>
        <w:jc w:val="both"/>
        <w:rPr>
          <w:color w:val="000000"/>
          <w:sz w:val="22"/>
          <w:szCs w:val="22"/>
        </w:rPr>
      </w:pPr>
    </w:p>
    <w:p w14:paraId="36C56806"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Respecto a la cantidad de casos terminados en Justicia Restaurativa, se muestra en el </w:t>
      </w:r>
      <w:r w:rsidRPr="00990FB6">
        <w:rPr>
          <w:color w:val="000000"/>
          <w:sz w:val="22"/>
          <w:szCs w:val="22"/>
        </w:rPr>
        <w:fldChar w:fldCharType="begin"/>
      </w:r>
      <w:r w:rsidRPr="00990FB6">
        <w:rPr>
          <w:color w:val="000000"/>
          <w:sz w:val="22"/>
          <w:szCs w:val="22"/>
        </w:rPr>
        <w:instrText xml:space="preserve"> REF _Ref31286719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7</w:t>
      </w:r>
      <w:r w:rsidRPr="00990FB6">
        <w:rPr>
          <w:color w:val="000000"/>
          <w:sz w:val="22"/>
          <w:szCs w:val="22"/>
        </w:rPr>
        <w:fldChar w:fldCharType="end"/>
      </w:r>
      <w:r w:rsidRPr="00990FB6">
        <w:rPr>
          <w:color w:val="000000"/>
          <w:sz w:val="22"/>
          <w:szCs w:val="22"/>
        </w:rPr>
        <w:t xml:space="preserve"> el detalle del promedio mensual registrado en cada uno de los circuitos judiciales. </w:t>
      </w:r>
    </w:p>
    <w:p w14:paraId="4E348AF1" w14:textId="77777777" w:rsidR="00B15F7D" w:rsidRPr="00990FB6" w:rsidRDefault="00B15F7D" w:rsidP="00B15F7D">
      <w:pPr>
        <w:tabs>
          <w:tab w:val="left" w:pos="0"/>
        </w:tabs>
        <w:ind w:left="851" w:right="851" w:firstLine="709"/>
        <w:jc w:val="both"/>
        <w:rPr>
          <w:color w:val="000000"/>
          <w:sz w:val="22"/>
          <w:szCs w:val="22"/>
        </w:rPr>
      </w:pPr>
    </w:p>
    <w:p w14:paraId="50C31472" w14:textId="77777777" w:rsidR="00B15F7D" w:rsidRPr="00990FB6" w:rsidRDefault="00B15F7D" w:rsidP="00B15F7D">
      <w:pPr>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7</w:t>
      </w:r>
      <w:r w:rsidRPr="00990FB6">
        <w:rPr>
          <w:b/>
          <w:bCs/>
          <w:color w:val="000000"/>
          <w:sz w:val="22"/>
          <w:szCs w:val="22"/>
        </w:rPr>
        <w:fldChar w:fldCharType="end"/>
      </w:r>
      <w:r w:rsidRPr="00990FB6">
        <w:rPr>
          <w:b/>
          <w:bCs/>
          <w:color w:val="000000"/>
          <w:sz w:val="22"/>
          <w:szCs w:val="22"/>
        </w:rPr>
        <w:t>. Asuntos terminados en promedio por mes en Justicia Restaurativa por Circuito Judicial para el periodo 2021- 2022.</w:t>
      </w:r>
    </w:p>
    <w:p w14:paraId="66F42B89" w14:textId="77777777" w:rsidR="00B15F7D" w:rsidRPr="00990FB6" w:rsidRDefault="00B15F7D" w:rsidP="00B15F7D">
      <w:pPr>
        <w:jc w:val="both"/>
        <w:rPr>
          <w:b/>
          <w:bC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3647"/>
        <w:gridCol w:w="596"/>
        <w:gridCol w:w="596"/>
      </w:tblGrid>
      <w:tr w:rsidR="00B15F7D" w:rsidRPr="00990FB6" w14:paraId="17DBBEFD" w14:textId="77777777" w:rsidTr="000A0C22">
        <w:trPr>
          <w:trHeight w:val="310"/>
          <w:jc w:val="center"/>
        </w:trPr>
        <w:tc>
          <w:tcPr>
            <w:tcW w:w="0" w:type="auto"/>
            <w:vMerge w:val="restart"/>
            <w:tcBorders>
              <w:top w:val="double" w:sz="6" w:space="0" w:color="1F4E78"/>
              <w:left w:val="double" w:sz="6" w:space="0" w:color="1F4E78"/>
              <w:bottom w:val="double" w:sz="6" w:space="0" w:color="1F4E78"/>
              <w:right w:val="double" w:sz="6" w:space="0" w:color="1F4E78"/>
            </w:tcBorders>
            <w:shd w:val="clear" w:color="000000" w:fill="365F91"/>
            <w:noWrap/>
            <w:vAlign w:val="center"/>
            <w:hideMark/>
          </w:tcPr>
          <w:p w14:paraId="403703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0" w:type="auto"/>
            <w:gridSpan w:val="2"/>
            <w:tcBorders>
              <w:top w:val="double" w:sz="6" w:space="0" w:color="1F4E78"/>
              <w:left w:val="nil"/>
              <w:bottom w:val="nil"/>
              <w:right w:val="double" w:sz="6" w:space="0" w:color="1F4E78"/>
            </w:tcBorders>
            <w:shd w:val="clear" w:color="000000" w:fill="365F91"/>
            <w:noWrap/>
            <w:vAlign w:val="center"/>
            <w:hideMark/>
          </w:tcPr>
          <w:p w14:paraId="19922D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Terminados</w:t>
            </w:r>
          </w:p>
        </w:tc>
      </w:tr>
      <w:tr w:rsidR="00B15F7D" w:rsidRPr="00990FB6" w14:paraId="7DFADDA8" w14:textId="77777777" w:rsidTr="000A0C22">
        <w:trPr>
          <w:trHeight w:val="310"/>
          <w:jc w:val="center"/>
        </w:trPr>
        <w:tc>
          <w:tcPr>
            <w:tcW w:w="0" w:type="auto"/>
            <w:vMerge/>
            <w:tcBorders>
              <w:top w:val="double" w:sz="6" w:space="0" w:color="1F4E78"/>
              <w:left w:val="double" w:sz="6" w:space="0" w:color="1F4E78"/>
              <w:bottom w:val="double" w:sz="6" w:space="0" w:color="1F4E78"/>
              <w:right w:val="double" w:sz="6" w:space="0" w:color="1F4E78"/>
            </w:tcBorders>
            <w:vAlign w:val="center"/>
            <w:hideMark/>
          </w:tcPr>
          <w:p w14:paraId="643AA6C1" w14:textId="77777777" w:rsidR="00B15F7D" w:rsidRPr="00990FB6" w:rsidRDefault="00B15F7D" w:rsidP="00B15F7D">
            <w:pPr>
              <w:rPr>
                <w:color w:val="000000"/>
                <w:sz w:val="22"/>
                <w:szCs w:val="22"/>
                <w:lang w:eastAsia="es-CR"/>
              </w:rPr>
            </w:pPr>
          </w:p>
        </w:tc>
        <w:tc>
          <w:tcPr>
            <w:tcW w:w="0" w:type="auto"/>
            <w:tcBorders>
              <w:top w:val="double" w:sz="6" w:space="0" w:color="1F4E78"/>
              <w:left w:val="nil"/>
              <w:bottom w:val="double" w:sz="6" w:space="0" w:color="1F4E78"/>
              <w:right w:val="double" w:sz="6" w:space="0" w:color="1F4E78"/>
            </w:tcBorders>
            <w:shd w:val="clear" w:color="000000" w:fill="365F91"/>
            <w:noWrap/>
            <w:vAlign w:val="center"/>
            <w:hideMark/>
          </w:tcPr>
          <w:p w14:paraId="391C38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c>
          <w:tcPr>
            <w:tcW w:w="0" w:type="auto"/>
            <w:tcBorders>
              <w:top w:val="double" w:sz="6" w:space="0" w:color="1F4E78"/>
              <w:left w:val="nil"/>
              <w:bottom w:val="double" w:sz="6" w:space="0" w:color="1F4E78"/>
              <w:right w:val="double" w:sz="6" w:space="0" w:color="1F4E78"/>
            </w:tcBorders>
            <w:shd w:val="clear" w:color="000000" w:fill="365F91"/>
            <w:noWrap/>
            <w:vAlign w:val="center"/>
            <w:hideMark/>
          </w:tcPr>
          <w:p w14:paraId="0ABC89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2022</w:t>
            </w:r>
          </w:p>
        </w:tc>
      </w:tr>
      <w:tr w:rsidR="00B15F7D" w:rsidRPr="00990FB6" w14:paraId="696C8710"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1C1663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0" w:type="auto"/>
            <w:tcBorders>
              <w:top w:val="nil"/>
              <w:left w:val="nil"/>
              <w:bottom w:val="double" w:sz="6" w:space="0" w:color="1F4E78"/>
              <w:right w:val="double" w:sz="6" w:space="0" w:color="1F4E78"/>
            </w:tcBorders>
            <w:shd w:val="clear" w:color="000000" w:fill="FFFFFF"/>
            <w:noWrap/>
            <w:vAlign w:val="center"/>
          </w:tcPr>
          <w:p w14:paraId="21E5AE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54</w:t>
            </w:r>
          </w:p>
        </w:tc>
        <w:tc>
          <w:tcPr>
            <w:tcW w:w="0" w:type="auto"/>
            <w:tcBorders>
              <w:top w:val="nil"/>
              <w:left w:val="nil"/>
              <w:bottom w:val="double" w:sz="6" w:space="0" w:color="1F4E78"/>
              <w:right w:val="double" w:sz="6" w:space="0" w:color="1F4E78"/>
            </w:tcBorders>
            <w:shd w:val="clear" w:color="000000" w:fill="FFFFFF"/>
            <w:noWrap/>
          </w:tcPr>
          <w:p w14:paraId="036233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52</w:t>
            </w:r>
          </w:p>
        </w:tc>
      </w:tr>
      <w:tr w:rsidR="00B15F7D" w:rsidRPr="00990FB6" w14:paraId="0BA724F1"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038672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0" w:type="auto"/>
            <w:tcBorders>
              <w:top w:val="nil"/>
              <w:left w:val="nil"/>
              <w:bottom w:val="double" w:sz="6" w:space="0" w:color="1F4E78"/>
              <w:right w:val="double" w:sz="6" w:space="0" w:color="1F4E78"/>
            </w:tcBorders>
            <w:shd w:val="clear" w:color="000000" w:fill="FFFFFF"/>
            <w:noWrap/>
            <w:vAlign w:val="center"/>
          </w:tcPr>
          <w:p w14:paraId="57E6D5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44</w:t>
            </w:r>
          </w:p>
        </w:tc>
        <w:tc>
          <w:tcPr>
            <w:tcW w:w="0" w:type="auto"/>
            <w:tcBorders>
              <w:top w:val="nil"/>
              <w:left w:val="nil"/>
              <w:bottom w:val="double" w:sz="6" w:space="0" w:color="1F4E78"/>
              <w:right w:val="double" w:sz="6" w:space="0" w:color="1F4E78"/>
            </w:tcBorders>
            <w:shd w:val="clear" w:color="000000" w:fill="FFFFFF"/>
            <w:noWrap/>
          </w:tcPr>
          <w:p w14:paraId="4D95EC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r>
      <w:tr w:rsidR="00B15F7D" w:rsidRPr="00990FB6" w14:paraId="6F20DE1E"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2640D9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0" w:type="auto"/>
            <w:tcBorders>
              <w:top w:val="nil"/>
              <w:left w:val="nil"/>
              <w:bottom w:val="double" w:sz="6" w:space="0" w:color="1F4E78"/>
              <w:right w:val="double" w:sz="6" w:space="0" w:color="1F4E78"/>
            </w:tcBorders>
            <w:shd w:val="clear" w:color="000000" w:fill="FFFFFF"/>
            <w:noWrap/>
            <w:vAlign w:val="center"/>
          </w:tcPr>
          <w:p w14:paraId="20ED02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w:t>
            </w:r>
          </w:p>
        </w:tc>
        <w:tc>
          <w:tcPr>
            <w:tcW w:w="0" w:type="auto"/>
            <w:tcBorders>
              <w:top w:val="nil"/>
              <w:left w:val="nil"/>
              <w:bottom w:val="double" w:sz="6" w:space="0" w:color="1F4E78"/>
              <w:right w:val="double" w:sz="6" w:space="0" w:color="1F4E78"/>
            </w:tcBorders>
            <w:shd w:val="clear" w:color="000000" w:fill="FFFFFF"/>
            <w:noWrap/>
          </w:tcPr>
          <w:p w14:paraId="3F8F14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42</w:t>
            </w:r>
          </w:p>
        </w:tc>
      </w:tr>
      <w:tr w:rsidR="00B15F7D" w:rsidRPr="00990FB6" w14:paraId="60312097" w14:textId="77777777" w:rsidTr="000A0C22">
        <w:trPr>
          <w:trHeight w:val="31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5AF611B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0" w:type="auto"/>
            <w:tcBorders>
              <w:top w:val="nil"/>
              <w:left w:val="nil"/>
              <w:bottom w:val="double" w:sz="6" w:space="0" w:color="1F4E78"/>
              <w:right w:val="double" w:sz="6" w:space="0" w:color="1F4E78"/>
            </w:tcBorders>
            <w:shd w:val="clear" w:color="000000" w:fill="FFFFFF"/>
            <w:noWrap/>
            <w:vAlign w:val="center"/>
          </w:tcPr>
          <w:p w14:paraId="2D11A9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nil"/>
              <w:left w:val="nil"/>
              <w:bottom w:val="double" w:sz="6" w:space="0" w:color="1F4E78"/>
              <w:right w:val="double" w:sz="6" w:space="0" w:color="1F4E78"/>
            </w:tcBorders>
            <w:shd w:val="clear" w:color="000000" w:fill="FFFFFF"/>
            <w:noWrap/>
          </w:tcPr>
          <w:p w14:paraId="19A4BE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r>
      <w:tr w:rsidR="00B15F7D" w:rsidRPr="00990FB6" w14:paraId="0BB84B75" w14:textId="77777777" w:rsidTr="000A0C22">
        <w:trPr>
          <w:trHeight w:val="310"/>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57BC2A5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0" w:type="auto"/>
            <w:tcBorders>
              <w:top w:val="nil"/>
              <w:left w:val="nil"/>
              <w:bottom w:val="double" w:sz="6" w:space="0" w:color="1F4E78"/>
              <w:right w:val="double" w:sz="6" w:space="0" w:color="1F4E78"/>
            </w:tcBorders>
            <w:shd w:val="clear" w:color="000000" w:fill="FFFFFF"/>
            <w:noWrap/>
            <w:vAlign w:val="center"/>
          </w:tcPr>
          <w:p w14:paraId="68B1B54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0" w:type="auto"/>
            <w:tcBorders>
              <w:top w:val="nil"/>
              <w:left w:val="nil"/>
              <w:bottom w:val="double" w:sz="6" w:space="0" w:color="1F4E78"/>
              <w:right w:val="double" w:sz="6" w:space="0" w:color="1F4E78"/>
            </w:tcBorders>
            <w:shd w:val="clear" w:color="000000" w:fill="FFFFFF"/>
            <w:noWrap/>
          </w:tcPr>
          <w:p w14:paraId="04855F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r>
      <w:tr w:rsidR="00B15F7D" w:rsidRPr="00990FB6" w14:paraId="3B6778F0" w14:textId="77777777" w:rsidTr="000A0C22">
        <w:trPr>
          <w:trHeight w:val="31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38338C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0" w:type="auto"/>
            <w:tcBorders>
              <w:top w:val="nil"/>
              <w:left w:val="nil"/>
              <w:bottom w:val="double" w:sz="6" w:space="0" w:color="1F4E78"/>
              <w:right w:val="double" w:sz="6" w:space="0" w:color="1F4E78"/>
            </w:tcBorders>
            <w:shd w:val="clear" w:color="000000" w:fill="FFFFFF"/>
            <w:noWrap/>
            <w:vAlign w:val="center"/>
          </w:tcPr>
          <w:p w14:paraId="2C9403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0" w:type="auto"/>
            <w:tcBorders>
              <w:top w:val="nil"/>
              <w:left w:val="nil"/>
              <w:bottom w:val="double" w:sz="6" w:space="0" w:color="1F4E78"/>
              <w:right w:val="double" w:sz="6" w:space="0" w:color="1F4E78"/>
            </w:tcBorders>
            <w:shd w:val="clear" w:color="000000" w:fill="FFFFFF"/>
            <w:noWrap/>
          </w:tcPr>
          <w:p w14:paraId="454D23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r>
      <w:tr w:rsidR="00B15F7D" w:rsidRPr="00990FB6" w14:paraId="2EA26863"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0B975A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0" w:type="auto"/>
            <w:tcBorders>
              <w:top w:val="nil"/>
              <w:left w:val="nil"/>
              <w:bottom w:val="double" w:sz="6" w:space="0" w:color="1F4E78"/>
              <w:right w:val="double" w:sz="6" w:space="0" w:color="1F4E78"/>
            </w:tcBorders>
            <w:shd w:val="clear" w:color="000000" w:fill="FFFFFF"/>
            <w:noWrap/>
            <w:vAlign w:val="center"/>
          </w:tcPr>
          <w:p w14:paraId="4868FC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0" w:type="auto"/>
            <w:tcBorders>
              <w:top w:val="nil"/>
              <w:left w:val="nil"/>
              <w:bottom w:val="double" w:sz="6" w:space="0" w:color="1F4E78"/>
              <w:right w:val="double" w:sz="6" w:space="0" w:color="1F4E78"/>
            </w:tcBorders>
            <w:shd w:val="clear" w:color="000000" w:fill="FFFFFF"/>
            <w:noWrap/>
          </w:tcPr>
          <w:p w14:paraId="7EBCDE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w:t>
            </w:r>
          </w:p>
        </w:tc>
      </w:tr>
      <w:tr w:rsidR="00B15F7D" w:rsidRPr="00990FB6" w14:paraId="5361D87C"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278B74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0" w:type="auto"/>
            <w:tcBorders>
              <w:top w:val="nil"/>
              <w:left w:val="nil"/>
              <w:bottom w:val="double" w:sz="6" w:space="0" w:color="1F4E78"/>
              <w:right w:val="double" w:sz="6" w:space="0" w:color="1F4E78"/>
            </w:tcBorders>
            <w:shd w:val="clear" w:color="000000" w:fill="FFFFFF"/>
            <w:noWrap/>
            <w:vAlign w:val="center"/>
          </w:tcPr>
          <w:p w14:paraId="2BF031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c>
          <w:tcPr>
            <w:tcW w:w="0" w:type="auto"/>
            <w:tcBorders>
              <w:top w:val="nil"/>
              <w:left w:val="nil"/>
              <w:bottom w:val="double" w:sz="6" w:space="0" w:color="1F4E78"/>
              <w:right w:val="double" w:sz="6" w:space="0" w:color="1F4E78"/>
            </w:tcBorders>
            <w:shd w:val="clear" w:color="000000" w:fill="FFFFFF"/>
            <w:noWrap/>
          </w:tcPr>
          <w:p w14:paraId="38BA05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w:t>
            </w:r>
          </w:p>
        </w:tc>
      </w:tr>
      <w:tr w:rsidR="00B15F7D" w:rsidRPr="00990FB6" w14:paraId="5E49CD39" w14:textId="77777777" w:rsidTr="000A0C22">
        <w:trPr>
          <w:trHeight w:val="31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6BBAEF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0" w:type="auto"/>
            <w:tcBorders>
              <w:top w:val="nil"/>
              <w:left w:val="nil"/>
              <w:bottom w:val="double" w:sz="6" w:space="0" w:color="1F4E78"/>
              <w:right w:val="double" w:sz="6" w:space="0" w:color="1F4E78"/>
            </w:tcBorders>
            <w:shd w:val="clear" w:color="000000" w:fill="FFFFFF"/>
            <w:noWrap/>
            <w:vAlign w:val="center"/>
          </w:tcPr>
          <w:p w14:paraId="7D8015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nil"/>
              <w:left w:val="nil"/>
              <w:bottom w:val="double" w:sz="6" w:space="0" w:color="1F4E78"/>
              <w:right w:val="double" w:sz="6" w:space="0" w:color="1F4E78"/>
            </w:tcBorders>
            <w:shd w:val="clear" w:color="000000" w:fill="FFFFFF"/>
            <w:noWrap/>
          </w:tcPr>
          <w:p w14:paraId="35C193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r>
      <w:tr w:rsidR="00B15F7D" w:rsidRPr="00990FB6" w14:paraId="1DA103A2" w14:textId="77777777" w:rsidTr="000A0C22">
        <w:trPr>
          <w:trHeight w:val="31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5052EA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0" w:type="auto"/>
            <w:tcBorders>
              <w:top w:val="nil"/>
              <w:left w:val="nil"/>
              <w:bottom w:val="double" w:sz="6" w:space="0" w:color="1F4E78"/>
              <w:right w:val="double" w:sz="6" w:space="0" w:color="1F4E78"/>
            </w:tcBorders>
            <w:shd w:val="clear" w:color="000000" w:fill="FFFFFF"/>
            <w:noWrap/>
            <w:vAlign w:val="center"/>
          </w:tcPr>
          <w:p w14:paraId="180C9E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c>
          <w:tcPr>
            <w:tcW w:w="0" w:type="auto"/>
            <w:tcBorders>
              <w:top w:val="nil"/>
              <w:left w:val="nil"/>
              <w:bottom w:val="double" w:sz="6" w:space="0" w:color="1F4E78"/>
              <w:right w:val="double" w:sz="6" w:space="0" w:color="1F4E78"/>
            </w:tcBorders>
            <w:shd w:val="clear" w:color="000000" w:fill="FFFFFF"/>
            <w:noWrap/>
          </w:tcPr>
          <w:p w14:paraId="3724E6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35</w:t>
            </w:r>
          </w:p>
        </w:tc>
      </w:tr>
      <w:tr w:rsidR="00B15F7D" w:rsidRPr="00990FB6" w14:paraId="31107720" w14:textId="77777777" w:rsidTr="000A0C22">
        <w:trPr>
          <w:trHeight w:val="31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4515190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Promedio</w:t>
            </w:r>
          </w:p>
        </w:tc>
        <w:tc>
          <w:tcPr>
            <w:tcW w:w="0" w:type="auto"/>
            <w:tcBorders>
              <w:top w:val="nil"/>
              <w:left w:val="nil"/>
              <w:bottom w:val="double" w:sz="6" w:space="0" w:color="1F4E78"/>
              <w:right w:val="double" w:sz="6" w:space="0" w:color="1F4E78"/>
            </w:tcBorders>
            <w:shd w:val="clear" w:color="000000" w:fill="BFBFBF"/>
            <w:noWrap/>
            <w:vAlign w:val="center"/>
          </w:tcPr>
          <w:p w14:paraId="556EA7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0" w:type="auto"/>
            <w:tcBorders>
              <w:top w:val="nil"/>
              <w:left w:val="nil"/>
              <w:bottom w:val="double" w:sz="6" w:space="0" w:color="1F4E78"/>
              <w:right w:val="double" w:sz="6" w:space="0" w:color="1F4E78"/>
            </w:tcBorders>
            <w:shd w:val="clear" w:color="000000" w:fill="BFBFBF"/>
            <w:noWrap/>
          </w:tcPr>
          <w:p w14:paraId="112AC6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r>
    </w:tbl>
    <w:p w14:paraId="5FB6E748"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extraída de SIGMA.</w:t>
      </w:r>
    </w:p>
    <w:p w14:paraId="06D39B23" w14:textId="77777777" w:rsidR="00B15F7D" w:rsidRPr="00990FB6" w:rsidRDefault="00B15F7D" w:rsidP="00B15F7D">
      <w:pPr>
        <w:ind w:left="851" w:right="851" w:firstLine="709"/>
        <w:jc w:val="both"/>
        <w:rPr>
          <w:bCs/>
          <w:color w:val="000000"/>
          <w:sz w:val="22"/>
          <w:szCs w:val="22"/>
          <w:lang w:eastAsia="es-CR"/>
        </w:rPr>
      </w:pPr>
    </w:p>
    <w:p w14:paraId="7EF3495B"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Con base en la información anterior, para el año 2021 se reporta la mayor cantidad de causas terminadas en el Segundo y Tercer Circuito Judicial de San José con 54 y 44 casos en promedio por mes, respectivamente, mientras que en tercer lugar se ubica el Segundo Circuito Judicial de la Zona Atlántica con 37 casos. </w:t>
      </w:r>
    </w:p>
    <w:p w14:paraId="56521860" w14:textId="77777777" w:rsidR="00B15F7D" w:rsidRPr="00990FB6" w:rsidRDefault="00B15F7D" w:rsidP="00B15F7D">
      <w:pPr>
        <w:tabs>
          <w:tab w:val="left" w:pos="0"/>
        </w:tabs>
        <w:ind w:left="851" w:right="851" w:firstLine="709"/>
        <w:jc w:val="both"/>
        <w:rPr>
          <w:color w:val="000000"/>
          <w:sz w:val="22"/>
          <w:szCs w:val="22"/>
        </w:rPr>
      </w:pPr>
    </w:p>
    <w:p w14:paraId="267DFF81"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lastRenderedPageBreak/>
        <w:t>Para el</w:t>
      </w:r>
      <w:r w:rsidRPr="00990FB6" w:rsidDel="00FD4B19">
        <w:rPr>
          <w:color w:val="000000"/>
          <w:sz w:val="22"/>
          <w:szCs w:val="22"/>
        </w:rPr>
        <w:t xml:space="preserve"> </w:t>
      </w:r>
      <w:r w:rsidRPr="00990FB6">
        <w:rPr>
          <w:color w:val="000000"/>
          <w:sz w:val="22"/>
          <w:szCs w:val="22"/>
        </w:rPr>
        <w:t xml:space="preserve">2022 se registra la mayor cantidad de terminados en el II Circuito Judicial de San José (52 casos). El segundo lugar corresponde al Circuito Judicial de Cartago, con 42 asuntos terminados en promedio por mes.  </w:t>
      </w:r>
    </w:p>
    <w:p w14:paraId="4ABFCF87" w14:textId="77777777" w:rsidR="00B15F7D" w:rsidRPr="00990FB6" w:rsidRDefault="00B15F7D" w:rsidP="00B15F7D">
      <w:pPr>
        <w:tabs>
          <w:tab w:val="left" w:pos="0"/>
        </w:tabs>
        <w:ind w:left="851" w:right="851" w:firstLine="709"/>
        <w:jc w:val="both"/>
        <w:rPr>
          <w:color w:val="000000"/>
          <w:sz w:val="22"/>
          <w:szCs w:val="22"/>
        </w:rPr>
      </w:pPr>
    </w:p>
    <w:p w14:paraId="3B895BD0"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resumen, se cuenta con un promedio general de 29 causas finalizadas por mes para el año 2021, mientras que el promedio general para año 2022 corresponde a 30 asuntos por mes. </w:t>
      </w:r>
    </w:p>
    <w:p w14:paraId="1F941860" w14:textId="77777777" w:rsidR="00B15F7D" w:rsidRPr="00990FB6" w:rsidRDefault="00B15F7D" w:rsidP="00B15F7D">
      <w:pPr>
        <w:tabs>
          <w:tab w:val="left" w:pos="0"/>
        </w:tabs>
        <w:ind w:left="851" w:right="851" w:firstLine="709"/>
        <w:jc w:val="both"/>
        <w:rPr>
          <w:color w:val="000000"/>
          <w:sz w:val="22"/>
          <w:szCs w:val="22"/>
        </w:rPr>
      </w:pPr>
    </w:p>
    <w:p w14:paraId="0F77DE3D"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Adicionalmente, se debe analizar la cantidad de asuntos terminados por motivo de devolución, por lo que en las secciones siguientes se analizará la composición de los asuntos terminados.</w:t>
      </w:r>
    </w:p>
    <w:p w14:paraId="049588F4" w14:textId="77777777" w:rsidR="00B15F7D" w:rsidRPr="00990FB6" w:rsidRDefault="00B15F7D" w:rsidP="00B15F7D">
      <w:pPr>
        <w:tabs>
          <w:tab w:val="left" w:pos="0"/>
        </w:tabs>
        <w:ind w:left="851" w:right="851" w:firstLine="709"/>
        <w:jc w:val="both"/>
        <w:rPr>
          <w:color w:val="000000"/>
          <w:sz w:val="22"/>
          <w:szCs w:val="22"/>
        </w:rPr>
      </w:pPr>
    </w:p>
    <w:p w14:paraId="77B3B45B" w14:textId="77777777" w:rsidR="00B15F7D" w:rsidRPr="00990FB6" w:rsidRDefault="00B15F7D" w:rsidP="00B15F7D">
      <w:pPr>
        <w:keepNext/>
        <w:numPr>
          <w:ilvl w:val="1"/>
          <w:numId w:val="155"/>
        </w:numPr>
        <w:suppressAutoHyphens w:val="0"/>
        <w:ind w:left="851" w:right="851" w:firstLine="709"/>
        <w:jc w:val="both"/>
        <w:rPr>
          <w:color w:val="000000"/>
          <w:sz w:val="22"/>
          <w:szCs w:val="22"/>
        </w:rPr>
      </w:pPr>
      <w:r w:rsidRPr="00990FB6">
        <w:rPr>
          <w:color w:val="000000"/>
          <w:sz w:val="22"/>
          <w:szCs w:val="22"/>
        </w:rPr>
        <w:t>Motivo de Término de las causas de Justicia Restaurativa Penal de Adultos</w:t>
      </w:r>
    </w:p>
    <w:p w14:paraId="441AFE58"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w:t>
      </w:r>
      <w:r w:rsidRPr="00990FB6">
        <w:rPr>
          <w:color w:val="000000"/>
          <w:sz w:val="22"/>
          <w:szCs w:val="22"/>
        </w:rPr>
        <w:fldChar w:fldCharType="begin"/>
      </w:r>
      <w:r w:rsidRPr="00990FB6">
        <w:rPr>
          <w:color w:val="000000"/>
          <w:sz w:val="22"/>
          <w:szCs w:val="22"/>
        </w:rPr>
        <w:instrText xml:space="preserve"> REF _Ref63966934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8</w:t>
      </w:r>
      <w:r w:rsidRPr="00990FB6">
        <w:rPr>
          <w:color w:val="000000"/>
          <w:sz w:val="22"/>
          <w:szCs w:val="22"/>
        </w:rPr>
        <w:fldChar w:fldCharType="end"/>
      </w:r>
      <w:r w:rsidRPr="00990FB6">
        <w:rPr>
          <w:color w:val="000000"/>
          <w:sz w:val="22"/>
          <w:szCs w:val="22"/>
        </w:rPr>
        <w:t>, se presenta el detalle de los motivos de término de las causas ingresadas en Justicia Restaurativa Penal de Adultos para el periodo 2021 - 2022:</w:t>
      </w:r>
    </w:p>
    <w:p w14:paraId="5A9C5666" w14:textId="77777777" w:rsidR="00B15F7D" w:rsidRPr="00990FB6" w:rsidRDefault="00B15F7D" w:rsidP="00B15F7D">
      <w:pPr>
        <w:tabs>
          <w:tab w:val="left" w:pos="0"/>
        </w:tabs>
        <w:ind w:left="851" w:right="851" w:firstLine="709"/>
        <w:jc w:val="both"/>
        <w:rPr>
          <w:color w:val="000000"/>
          <w:sz w:val="22"/>
          <w:szCs w:val="22"/>
        </w:rPr>
      </w:pPr>
    </w:p>
    <w:p w14:paraId="3AAB7E7E" w14:textId="77777777" w:rsidR="00B15F7D" w:rsidRPr="00990FB6" w:rsidRDefault="00B15F7D" w:rsidP="00B15F7D">
      <w:pPr>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8</w:t>
      </w:r>
      <w:r w:rsidRPr="00990FB6">
        <w:rPr>
          <w:b/>
          <w:bCs/>
          <w:color w:val="000000"/>
          <w:sz w:val="22"/>
          <w:szCs w:val="22"/>
        </w:rPr>
        <w:fldChar w:fldCharType="end"/>
      </w:r>
      <w:r w:rsidRPr="00990FB6">
        <w:rPr>
          <w:b/>
          <w:bCs/>
          <w:color w:val="000000"/>
          <w:sz w:val="22"/>
          <w:szCs w:val="22"/>
        </w:rPr>
        <w:t>. Motivo de termino de las causas ingresadas a Justicia Restaurativa Penal de Adultos, periodo 2021-2022</w:t>
      </w:r>
    </w:p>
    <w:p w14:paraId="60206FC7" w14:textId="77777777" w:rsidR="00B15F7D" w:rsidRPr="00990FB6" w:rsidRDefault="00B15F7D" w:rsidP="00B15F7D">
      <w:pPr>
        <w:jc w:val="both"/>
        <w:rPr>
          <w:b/>
          <w:bC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2963"/>
        <w:gridCol w:w="580"/>
        <w:gridCol w:w="1069"/>
        <w:gridCol w:w="580"/>
        <w:gridCol w:w="1069"/>
      </w:tblGrid>
      <w:tr w:rsidR="00B15F7D" w:rsidRPr="00990FB6" w14:paraId="7D959BD0" w14:textId="77777777" w:rsidTr="000A0C22">
        <w:trPr>
          <w:trHeight w:val="239"/>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576D14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Motivo de termino</w:t>
            </w:r>
          </w:p>
        </w:tc>
        <w:tc>
          <w:tcPr>
            <w:tcW w:w="0" w:type="auto"/>
            <w:tcBorders>
              <w:top w:val="double" w:sz="6" w:space="0" w:color="203764"/>
              <w:left w:val="nil"/>
              <w:bottom w:val="double" w:sz="6" w:space="0" w:color="203764"/>
              <w:right w:val="double" w:sz="6" w:space="0" w:color="203764"/>
            </w:tcBorders>
            <w:shd w:val="clear" w:color="000000" w:fill="365F91"/>
            <w:noWrap/>
            <w:vAlign w:val="center"/>
            <w:hideMark/>
          </w:tcPr>
          <w:p w14:paraId="0EB7C8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c>
          <w:tcPr>
            <w:tcW w:w="0" w:type="auto"/>
            <w:tcBorders>
              <w:top w:val="double" w:sz="6" w:space="0" w:color="203764"/>
              <w:left w:val="nil"/>
              <w:bottom w:val="double" w:sz="6" w:space="0" w:color="203764"/>
              <w:right w:val="double" w:sz="6" w:space="0" w:color="203764"/>
            </w:tcBorders>
            <w:shd w:val="clear" w:color="000000" w:fill="365F91"/>
            <w:noWrap/>
            <w:vAlign w:val="center"/>
            <w:hideMark/>
          </w:tcPr>
          <w:p w14:paraId="3B86DB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w:t>
            </w:r>
          </w:p>
        </w:tc>
        <w:tc>
          <w:tcPr>
            <w:tcW w:w="0" w:type="auto"/>
            <w:tcBorders>
              <w:top w:val="double" w:sz="6" w:space="0" w:color="203764"/>
              <w:left w:val="nil"/>
              <w:bottom w:val="double" w:sz="6" w:space="0" w:color="203764"/>
              <w:right w:val="double" w:sz="6" w:space="0" w:color="203764"/>
            </w:tcBorders>
            <w:shd w:val="clear" w:color="000000" w:fill="365F91"/>
          </w:tcPr>
          <w:p w14:paraId="3F9C11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2022</w:t>
            </w:r>
          </w:p>
        </w:tc>
        <w:tc>
          <w:tcPr>
            <w:tcW w:w="0" w:type="auto"/>
            <w:tcBorders>
              <w:top w:val="double" w:sz="6" w:space="0" w:color="203764"/>
              <w:left w:val="nil"/>
              <w:bottom w:val="double" w:sz="6" w:space="0" w:color="203764"/>
              <w:right w:val="double" w:sz="6" w:space="0" w:color="203764"/>
            </w:tcBorders>
            <w:shd w:val="clear" w:color="000000" w:fill="365F91"/>
          </w:tcPr>
          <w:p w14:paraId="61470B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w:t>
            </w:r>
          </w:p>
        </w:tc>
      </w:tr>
      <w:tr w:rsidR="00B15F7D" w:rsidRPr="00990FB6" w14:paraId="4E15DFA0" w14:textId="77777777" w:rsidTr="000A0C22">
        <w:trPr>
          <w:trHeight w:val="239"/>
          <w:jc w:val="center"/>
        </w:trPr>
        <w:tc>
          <w:tcPr>
            <w:tcW w:w="0" w:type="auto"/>
            <w:tcBorders>
              <w:top w:val="nil"/>
              <w:left w:val="double" w:sz="6" w:space="0" w:color="203764"/>
              <w:bottom w:val="nil"/>
              <w:right w:val="double" w:sz="6" w:space="0" w:color="203764"/>
            </w:tcBorders>
            <w:shd w:val="clear" w:color="000000" w:fill="D9E1F2"/>
            <w:noWrap/>
            <w:vAlign w:val="center"/>
            <w:hideMark/>
          </w:tcPr>
          <w:p w14:paraId="6F877E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Acumulación</w:t>
            </w:r>
          </w:p>
        </w:tc>
        <w:tc>
          <w:tcPr>
            <w:tcW w:w="0" w:type="auto"/>
            <w:tcBorders>
              <w:top w:val="nil"/>
              <w:left w:val="nil"/>
              <w:bottom w:val="nil"/>
              <w:right w:val="nil"/>
            </w:tcBorders>
            <w:shd w:val="clear" w:color="auto" w:fill="auto"/>
            <w:noWrap/>
            <w:vAlign w:val="center"/>
            <w:hideMark/>
          </w:tcPr>
          <w:p w14:paraId="3C101C6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0" w:type="auto"/>
            <w:tcBorders>
              <w:top w:val="nil"/>
              <w:left w:val="double" w:sz="6" w:space="0" w:color="203764"/>
              <w:bottom w:val="nil"/>
              <w:right w:val="double" w:sz="6" w:space="0" w:color="203764"/>
            </w:tcBorders>
            <w:shd w:val="clear" w:color="auto" w:fill="auto"/>
            <w:noWrap/>
            <w:vAlign w:val="center"/>
            <w:hideMark/>
          </w:tcPr>
          <w:p w14:paraId="511F7D01" w14:textId="77777777" w:rsidR="00B15F7D" w:rsidRPr="00990FB6" w:rsidRDefault="00B15F7D" w:rsidP="00B15F7D">
            <w:pPr>
              <w:jc w:val="center"/>
              <w:rPr>
                <w:color w:val="000000"/>
                <w:sz w:val="22"/>
                <w:szCs w:val="22"/>
                <w:lang w:eastAsia="es-CR"/>
              </w:rPr>
            </w:pPr>
            <w:r w:rsidRPr="00990FB6">
              <w:rPr>
                <w:color w:val="000000"/>
                <w:sz w:val="22"/>
                <w:szCs w:val="22"/>
              </w:rPr>
              <w:t>0,4%</w:t>
            </w:r>
          </w:p>
        </w:tc>
        <w:tc>
          <w:tcPr>
            <w:tcW w:w="0" w:type="auto"/>
            <w:tcBorders>
              <w:top w:val="nil"/>
              <w:left w:val="double" w:sz="6" w:space="0" w:color="203764"/>
              <w:bottom w:val="nil"/>
              <w:right w:val="double" w:sz="6" w:space="0" w:color="203764"/>
            </w:tcBorders>
            <w:vAlign w:val="center"/>
          </w:tcPr>
          <w:p w14:paraId="400B6F6C" w14:textId="77777777" w:rsidR="00B15F7D" w:rsidRPr="00990FB6" w:rsidRDefault="00B15F7D" w:rsidP="00B15F7D">
            <w:pPr>
              <w:jc w:val="center"/>
              <w:rPr>
                <w:color w:val="000000"/>
                <w:sz w:val="22"/>
                <w:szCs w:val="22"/>
                <w:lang w:eastAsia="es-CR"/>
              </w:rPr>
            </w:pPr>
            <w:r w:rsidRPr="00990FB6">
              <w:rPr>
                <w:color w:val="000000"/>
                <w:sz w:val="22"/>
                <w:szCs w:val="22"/>
              </w:rPr>
              <w:t>11</w:t>
            </w:r>
          </w:p>
        </w:tc>
        <w:tc>
          <w:tcPr>
            <w:tcW w:w="0" w:type="auto"/>
            <w:tcBorders>
              <w:top w:val="nil"/>
              <w:left w:val="double" w:sz="6" w:space="0" w:color="203764"/>
              <w:bottom w:val="nil"/>
              <w:right w:val="double" w:sz="6" w:space="0" w:color="203764"/>
            </w:tcBorders>
            <w:vAlign w:val="center"/>
          </w:tcPr>
          <w:p w14:paraId="11BE56D5" w14:textId="77777777" w:rsidR="00B15F7D" w:rsidRPr="00990FB6" w:rsidRDefault="00B15F7D" w:rsidP="00B15F7D">
            <w:pPr>
              <w:jc w:val="center"/>
              <w:rPr>
                <w:color w:val="000000"/>
                <w:sz w:val="22"/>
                <w:szCs w:val="22"/>
                <w:lang w:eastAsia="es-CR"/>
              </w:rPr>
            </w:pPr>
            <w:r w:rsidRPr="00990FB6">
              <w:rPr>
                <w:color w:val="000000"/>
                <w:sz w:val="22"/>
                <w:szCs w:val="22"/>
              </w:rPr>
              <w:t>0,3%</w:t>
            </w:r>
          </w:p>
        </w:tc>
      </w:tr>
      <w:tr w:rsidR="00B15F7D" w:rsidRPr="00990FB6" w14:paraId="1B2E4F5A" w14:textId="77777777" w:rsidTr="000A0C22">
        <w:trPr>
          <w:trHeight w:val="239"/>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3830EA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Suspensión proceso a prueba</w:t>
            </w:r>
          </w:p>
        </w:tc>
        <w:tc>
          <w:tcPr>
            <w:tcW w:w="0" w:type="auto"/>
            <w:tcBorders>
              <w:top w:val="double" w:sz="6" w:space="0" w:color="203764"/>
              <w:left w:val="nil"/>
              <w:bottom w:val="double" w:sz="6" w:space="0" w:color="203764"/>
              <w:right w:val="double" w:sz="6" w:space="0" w:color="203764"/>
            </w:tcBorders>
            <w:shd w:val="clear" w:color="auto" w:fill="auto"/>
            <w:noWrap/>
            <w:vAlign w:val="center"/>
            <w:hideMark/>
          </w:tcPr>
          <w:p w14:paraId="479EF1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192</w:t>
            </w:r>
          </w:p>
        </w:tc>
        <w:tc>
          <w:tcPr>
            <w:tcW w:w="0" w:type="auto"/>
            <w:tcBorders>
              <w:top w:val="double" w:sz="6" w:space="0" w:color="203764"/>
              <w:left w:val="nil"/>
              <w:bottom w:val="nil"/>
              <w:right w:val="double" w:sz="6" w:space="0" w:color="203764"/>
            </w:tcBorders>
            <w:shd w:val="clear" w:color="auto" w:fill="auto"/>
            <w:noWrap/>
            <w:vAlign w:val="center"/>
            <w:hideMark/>
          </w:tcPr>
          <w:p w14:paraId="37AE3B61" w14:textId="77777777" w:rsidR="00B15F7D" w:rsidRPr="00990FB6" w:rsidRDefault="00B15F7D" w:rsidP="00B15F7D">
            <w:pPr>
              <w:jc w:val="center"/>
              <w:rPr>
                <w:color w:val="000000"/>
                <w:sz w:val="22"/>
                <w:szCs w:val="22"/>
                <w:lang w:eastAsia="es-CR"/>
              </w:rPr>
            </w:pPr>
            <w:r w:rsidRPr="00990FB6">
              <w:rPr>
                <w:color w:val="000000"/>
                <w:sz w:val="22"/>
                <w:szCs w:val="22"/>
              </w:rPr>
              <w:t>5,9%</w:t>
            </w:r>
          </w:p>
        </w:tc>
        <w:tc>
          <w:tcPr>
            <w:tcW w:w="0" w:type="auto"/>
            <w:tcBorders>
              <w:top w:val="double" w:sz="6" w:space="0" w:color="203764"/>
              <w:left w:val="nil"/>
              <w:bottom w:val="nil"/>
              <w:right w:val="double" w:sz="6" w:space="0" w:color="203764"/>
            </w:tcBorders>
            <w:vAlign w:val="center"/>
          </w:tcPr>
          <w:p w14:paraId="3228DB25" w14:textId="77777777" w:rsidR="00B15F7D" w:rsidRPr="00990FB6" w:rsidRDefault="00B15F7D" w:rsidP="00B15F7D">
            <w:pPr>
              <w:jc w:val="center"/>
              <w:rPr>
                <w:color w:val="000000"/>
                <w:sz w:val="22"/>
                <w:szCs w:val="22"/>
                <w:lang w:eastAsia="es-CR"/>
              </w:rPr>
            </w:pPr>
            <w:r w:rsidRPr="00990FB6">
              <w:rPr>
                <w:color w:val="000000"/>
                <w:sz w:val="22"/>
                <w:szCs w:val="22"/>
              </w:rPr>
              <w:t>3</w:t>
            </w:r>
          </w:p>
        </w:tc>
        <w:tc>
          <w:tcPr>
            <w:tcW w:w="0" w:type="auto"/>
            <w:tcBorders>
              <w:top w:val="double" w:sz="6" w:space="0" w:color="203764"/>
              <w:left w:val="nil"/>
              <w:bottom w:val="nil"/>
              <w:right w:val="double" w:sz="6" w:space="0" w:color="203764"/>
            </w:tcBorders>
            <w:vAlign w:val="center"/>
          </w:tcPr>
          <w:p w14:paraId="646BEB4A" w14:textId="77777777" w:rsidR="00B15F7D" w:rsidRPr="00990FB6" w:rsidRDefault="00B15F7D" w:rsidP="00B15F7D">
            <w:pPr>
              <w:jc w:val="center"/>
              <w:rPr>
                <w:color w:val="000000"/>
                <w:sz w:val="22"/>
                <w:szCs w:val="22"/>
                <w:lang w:eastAsia="es-CR"/>
              </w:rPr>
            </w:pPr>
            <w:r w:rsidRPr="00990FB6">
              <w:rPr>
                <w:color w:val="000000"/>
                <w:sz w:val="22"/>
                <w:szCs w:val="22"/>
              </w:rPr>
              <w:t>0,1%</w:t>
            </w:r>
          </w:p>
        </w:tc>
      </w:tr>
      <w:tr w:rsidR="00B15F7D" w:rsidRPr="00990FB6" w14:paraId="63D4609D" w14:textId="77777777" w:rsidTr="000A0C22">
        <w:trPr>
          <w:trHeight w:val="239"/>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5AA6DE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Reparación integral del daño</w:t>
            </w:r>
          </w:p>
        </w:tc>
        <w:tc>
          <w:tcPr>
            <w:tcW w:w="0" w:type="auto"/>
            <w:tcBorders>
              <w:top w:val="nil"/>
              <w:left w:val="nil"/>
              <w:bottom w:val="double" w:sz="6" w:space="0" w:color="203764"/>
              <w:right w:val="nil"/>
            </w:tcBorders>
            <w:shd w:val="clear" w:color="auto" w:fill="auto"/>
            <w:noWrap/>
            <w:vAlign w:val="center"/>
            <w:hideMark/>
          </w:tcPr>
          <w:p w14:paraId="4EB3A8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double" w:sz="6" w:space="0" w:color="203764"/>
              <w:left w:val="double" w:sz="6" w:space="0" w:color="203764"/>
              <w:bottom w:val="nil"/>
              <w:right w:val="double" w:sz="6" w:space="0" w:color="203764"/>
            </w:tcBorders>
            <w:shd w:val="clear" w:color="auto" w:fill="auto"/>
            <w:noWrap/>
            <w:vAlign w:val="center"/>
            <w:hideMark/>
          </w:tcPr>
          <w:p w14:paraId="5D5AC133" w14:textId="77777777" w:rsidR="00B15F7D" w:rsidRPr="00990FB6" w:rsidRDefault="00B15F7D" w:rsidP="00B15F7D">
            <w:pPr>
              <w:jc w:val="center"/>
              <w:rPr>
                <w:color w:val="000000"/>
                <w:sz w:val="22"/>
                <w:szCs w:val="22"/>
                <w:lang w:eastAsia="es-CR"/>
              </w:rPr>
            </w:pPr>
            <w:r w:rsidRPr="00990FB6">
              <w:rPr>
                <w:color w:val="000000"/>
                <w:sz w:val="22"/>
                <w:szCs w:val="22"/>
              </w:rPr>
              <w:t>0,1%</w:t>
            </w:r>
          </w:p>
        </w:tc>
        <w:tc>
          <w:tcPr>
            <w:tcW w:w="0" w:type="auto"/>
            <w:tcBorders>
              <w:top w:val="double" w:sz="6" w:space="0" w:color="203764"/>
              <w:left w:val="double" w:sz="6" w:space="0" w:color="203764"/>
              <w:bottom w:val="nil"/>
              <w:right w:val="double" w:sz="6" w:space="0" w:color="203764"/>
            </w:tcBorders>
            <w:vAlign w:val="center"/>
          </w:tcPr>
          <w:p w14:paraId="7DB29EE2" w14:textId="77777777" w:rsidR="00B15F7D" w:rsidRPr="00990FB6" w:rsidRDefault="00B15F7D" w:rsidP="00B15F7D">
            <w:pPr>
              <w:jc w:val="center"/>
              <w:rPr>
                <w:color w:val="000000"/>
                <w:sz w:val="22"/>
                <w:szCs w:val="22"/>
                <w:lang w:eastAsia="es-CR"/>
              </w:rPr>
            </w:pPr>
            <w:r w:rsidRPr="00990FB6">
              <w:rPr>
                <w:color w:val="000000"/>
                <w:sz w:val="22"/>
                <w:szCs w:val="22"/>
              </w:rPr>
              <w:t>3</w:t>
            </w:r>
          </w:p>
        </w:tc>
        <w:tc>
          <w:tcPr>
            <w:tcW w:w="0" w:type="auto"/>
            <w:tcBorders>
              <w:top w:val="double" w:sz="6" w:space="0" w:color="203764"/>
              <w:left w:val="double" w:sz="6" w:space="0" w:color="203764"/>
              <w:bottom w:val="nil"/>
              <w:right w:val="double" w:sz="6" w:space="0" w:color="203764"/>
            </w:tcBorders>
            <w:vAlign w:val="center"/>
          </w:tcPr>
          <w:p w14:paraId="488650BE" w14:textId="77777777" w:rsidR="00B15F7D" w:rsidRPr="00990FB6" w:rsidRDefault="00B15F7D" w:rsidP="00B15F7D">
            <w:pPr>
              <w:jc w:val="center"/>
              <w:rPr>
                <w:color w:val="000000"/>
                <w:sz w:val="22"/>
                <w:szCs w:val="22"/>
                <w:lang w:eastAsia="es-CR"/>
              </w:rPr>
            </w:pPr>
            <w:r w:rsidRPr="00990FB6">
              <w:rPr>
                <w:color w:val="000000"/>
                <w:sz w:val="22"/>
                <w:szCs w:val="22"/>
              </w:rPr>
              <w:t>0,1%</w:t>
            </w:r>
          </w:p>
        </w:tc>
      </w:tr>
      <w:tr w:rsidR="00B15F7D" w:rsidRPr="00990FB6" w14:paraId="0846BB33" w14:textId="77777777" w:rsidTr="000A0C22">
        <w:trPr>
          <w:trHeight w:val="239"/>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658B4DD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Con conciliación</w:t>
            </w:r>
          </w:p>
        </w:tc>
        <w:tc>
          <w:tcPr>
            <w:tcW w:w="0" w:type="auto"/>
            <w:tcBorders>
              <w:top w:val="nil"/>
              <w:left w:val="nil"/>
              <w:bottom w:val="double" w:sz="6" w:space="0" w:color="203764"/>
              <w:right w:val="nil"/>
            </w:tcBorders>
            <w:shd w:val="clear" w:color="auto" w:fill="auto"/>
            <w:noWrap/>
            <w:vAlign w:val="center"/>
            <w:hideMark/>
          </w:tcPr>
          <w:p w14:paraId="2C35EC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1397</w:t>
            </w:r>
          </w:p>
        </w:tc>
        <w:tc>
          <w:tcPr>
            <w:tcW w:w="0" w:type="auto"/>
            <w:tcBorders>
              <w:top w:val="double" w:sz="6" w:space="0" w:color="203764"/>
              <w:left w:val="double" w:sz="6" w:space="0" w:color="203764"/>
              <w:bottom w:val="nil"/>
              <w:right w:val="double" w:sz="6" w:space="0" w:color="203764"/>
            </w:tcBorders>
            <w:shd w:val="clear" w:color="auto" w:fill="auto"/>
            <w:noWrap/>
            <w:vAlign w:val="center"/>
            <w:hideMark/>
          </w:tcPr>
          <w:p w14:paraId="2BC56BD6" w14:textId="77777777" w:rsidR="00B15F7D" w:rsidRPr="00990FB6" w:rsidRDefault="00B15F7D" w:rsidP="00B15F7D">
            <w:pPr>
              <w:jc w:val="center"/>
              <w:rPr>
                <w:color w:val="000000"/>
                <w:sz w:val="22"/>
                <w:szCs w:val="22"/>
                <w:lang w:eastAsia="es-CR"/>
              </w:rPr>
            </w:pPr>
            <w:r w:rsidRPr="00990FB6">
              <w:rPr>
                <w:color w:val="000000"/>
                <w:sz w:val="22"/>
                <w:szCs w:val="22"/>
              </w:rPr>
              <w:t>42,9%</w:t>
            </w:r>
          </w:p>
        </w:tc>
        <w:tc>
          <w:tcPr>
            <w:tcW w:w="0" w:type="auto"/>
            <w:tcBorders>
              <w:top w:val="double" w:sz="6" w:space="0" w:color="203764"/>
              <w:left w:val="double" w:sz="6" w:space="0" w:color="203764"/>
              <w:bottom w:val="nil"/>
              <w:right w:val="double" w:sz="6" w:space="0" w:color="203764"/>
            </w:tcBorders>
            <w:vAlign w:val="center"/>
          </w:tcPr>
          <w:p w14:paraId="4FC6B30E" w14:textId="77777777" w:rsidR="00B15F7D" w:rsidRPr="00990FB6" w:rsidRDefault="00B15F7D" w:rsidP="00B15F7D">
            <w:pPr>
              <w:jc w:val="center"/>
              <w:rPr>
                <w:color w:val="000000"/>
                <w:sz w:val="22"/>
                <w:szCs w:val="22"/>
                <w:lang w:eastAsia="es-CR"/>
              </w:rPr>
            </w:pPr>
            <w:r w:rsidRPr="00990FB6">
              <w:rPr>
                <w:color w:val="000000"/>
                <w:sz w:val="22"/>
                <w:szCs w:val="22"/>
              </w:rPr>
              <w:t>1788</w:t>
            </w:r>
          </w:p>
        </w:tc>
        <w:tc>
          <w:tcPr>
            <w:tcW w:w="0" w:type="auto"/>
            <w:tcBorders>
              <w:top w:val="double" w:sz="6" w:space="0" w:color="203764"/>
              <w:left w:val="double" w:sz="6" w:space="0" w:color="203764"/>
              <w:bottom w:val="nil"/>
              <w:right w:val="double" w:sz="6" w:space="0" w:color="203764"/>
            </w:tcBorders>
            <w:vAlign w:val="center"/>
          </w:tcPr>
          <w:p w14:paraId="14CFF069" w14:textId="77777777" w:rsidR="00B15F7D" w:rsidRPr="00990FB6" w:rsidRDefault="00B15F7D" w:rsidP="00B15F7D">
            <w:pPr>
              <w:jc w:val="center"/>
              <w:rPr>
                <w:color w:val="000000"/>
                <w:sz w:val="22"/>
                <w:szCs w:val="22"/>
                <w:lang w:eastAsia="es-CR"/>
              </w:rPr>
            </w:pPr>
            <w:r w:rsidRPr="00990FB6">
              <w:rPr>
                <w:color w:val="000000"/>
                <w:sz w:val="22"/>
                <w:szCs w:val="22"/>
              </w:rPr>
              <w:t>47,0%</w:t>
            </w:r>
          </w:p>
        </w:tc>
      </w:tr>
      <w:tr w:rsidR="00B15F7D" w:rsidRPr="00990FB6" w14:paraId="6BDBE78E" w14:textId="77777777" w:rsidTr="000A0C22">
        <w:trPr>
          <w:trHeight w:val="239"/>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1C8838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hubo acuerdo</w:t>
            </w:r>
          </w:p>
        </w:tc>
        <w:tc>
          <w:tcPr>
            <w:tcW w:w="0" w:type="auto"/>
            <w:tcBorders>
              <w:top w:val="nil"/>
              <w:left w:val="nil"/>
              <w:bottom w:val="double" w:sz="6" w:space="0" w:color="203764"/>
              <w:right w:val="double" w:sz="6" w:space="0" w:color="203764"/>
            </w:tcBorders>
            <w:shd w:val="clear" w:color="auto" w:fill="auto"/>
            <w:noWrap/>
            <w:vAlign w:val="center"/>
            <w:hideMark/>
          </w:tcPr>
          <w:p w14:paraId="30F97B7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102</w:t>
            </w:r>
          </w:p>
        </w:tc>
        <w:tc>
          <w:tcPr>
            <w:tcW w:w="0" w:type="auto"/>
            <w:tcBorders>
              <w:top w:val="double" w:sz="6" w:space="0" w:color="203764"/>
              <w:left w:val="nil"/>
              <w:bottom w:val="nil"/>
              <w:right w:val="double" w:sz="6" w:space="0" w:color="203764"/>
            </w:tcBorders>
            <w:shd w:val="clear" w:color="auto" w:fill="auto"/>
            <w:noWrap/>
            <w:vAlign w:val="center"/>
            <w:hideMark/>
          </w:tcPr>
          <w:p w14:paraId="6E02DC52" w14:textId="77777777" w:rsidR="00B15F7D" w:rsidRPr="00990FB6" w:rsidRDefault="00B15F7D" w:rsidP="00B15F7D">
            <w:pPr>
              <w:jc w:val="center"/>
              <w:rPr>
                <w:color w:val="000000"/>
                <w:sz w:val="22"/>
                <w:szCs w:val="22"/>
                <w:lang w:eastAsia="es-CR"/>
              </w:rPr>
            </w:pPr>
            <w:r w:rsidRPr="00990FB6">
              <w:rPr>
                <w:color w:val="000000"/>
                <w:sz w:val="22"/>
                <w:szCs w:val="22"/>
              </w:rPr>
              <w:t>3,2%</w:t>
            </w:r>
          </w:p>
        </w:tc>
        <w:tc>
          <w:tcPr>
            <w:tcW w:w="0" w:type="auto"/>
            <w:tcBorders>
              <w:top w:val="double" w:sz="6" w:space="0" w:color="203764"/>
              <w:left w:val="nil"/>
              <w:bottom w:val="nil"/>
              <w:right w:val="double" w:sz="6" w:space="0" w:color="203764"/>
            </w:tcBorders>
            <w:vAlign w:val="center"/>
          </w:tcPr>
          <w:p w14:paraId="7ECB304B" w14:textId="77777777" w:rsidR="00B15F7D" w:rsidRPr="00990FB6" w:rsidRDefault="00B15F7D" w:rsidP="00B15F7D">
            <w:pPr>
              <w:jc w:val="center"/>
              <w:rPr>
                <w:color w:val="000000"/>
                <w:sz w:val="22"/>
                <w:szCs w:val="22"/>
                <w:lang w:eastAsia="es-CR"/>
              </w:rPr>
            </w:pPr>
            <w:r w:rsidRPr="00990FB6">
              <w:rPr>
                <w:color w:val="000000"/>
                <w:sz w:val="22"/>
                <w:szCs w:val="22"/>
              </w:rPr>
              <w:t>121</w:t>
            </w:r>
          </w:p>
        </w:tc>
        <w:tc>
          <w:tcPr>
            <w:tcW w:w="0" w:type="auto"/>
            <w:tcBorders>
              <w:top w:val="double" w:sz="6" w:space="0" w:color="203764"/>
              <w:left w:val="nil"/>
              <w:bottom w:val="nil"/>
              <w:right w:val="double" w:sz="6" w:space="0" w:color="203764"/>
            </w:tcBorders>
            <w:vAlign w:val="center"/>
          </w:tcPr>
          <w:p w14:paraId="5408ACD9" w14:textId="77777777" w:rsidR="00B15F7D" w:rsidRPr="00990FB6" w:rsidRDefault="00B15F7D" w:rsidP="00B15F7D">
            <w:pPr>
              <w:jc w:val="center"/>
              <w:rPr>
                <w:color w:val="000000"/>
                <w:sz w:val="22"/>
                <w:szCs w:val="22"/>
                <w:lang w:eastAsia="es-CR"/>
              </w:rPr>
            </w:pPr>
            <w:r w:rsidRPr="00990FB6">
              <w:rPr>
                <w:color w:val="000000"/>
                <w:sz w:val="22"/>
                <w:szCs w:val="22"/>
              </w:rPr>
              <w:t>3,2%</w:t>
            </w:r>
          </w:p>
        </w:tc>
      </w:tr>
      <w:tr w:rsidR="00B15F7D" w:rsidRPr="00990FB6" w14:paraId="3218A671" w14:textId="77777777" w:rsidTr="000A0C22">
        <w:trPr>
          <w:trHeight w:val="239"/>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6E4F33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se presentó una de las partes</w:t>
            </w:r>
          </w:p>
        </w:tc>
        <w:tc>
          <w:tcPr>
            <w:tcW w:w="0" w:type="auto"/>
            <w:tcBorders>
              <w:top w:val="nil"/>
              <w:left w:val="nil"/>
              <w:bottom w:val="double" w:sz="6" w:space="0" w:color="203764"/>
              <w:right w:val="nil"/>
            </w:tcBorders>
            <w:shd w:val="clear" w:color="auto" w:fill="auto"/>
            <w:noWrap/>
            <w:vAlign w:val="center"/>
            <w:hideMark/>
          </w:tcPr>
          <w:p w14:paraId="6F875F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c>
          <w:tcPr>
            <w:tcW w:w="0" w:type="auto"/>
            <w:tcBorders>
              <w:top w:val="double" w:sz="6" w:space="0" w:color="203764"/>
              <w:left w:val="double" w:sz="6" w:space="0" w:color="203764"/>
              <w:bottom w:val="nil"/>
              <w:right w:val="double" w:sz="6" w:space="0" w:color="203764"/>
            </w:tcBorders>
            <w:shd w:val="clear" w:color="auto" w:fill="auto"/>
            <w:noWrap/>
            <w:vAlign w:val="center"/>
            <w:hideMark/>
          </w:tcPr>
          <w:p w14:paraId="375E83A7" w14:textId="77777777" w:rsidR="00B15F7D" w:rsidRPr="00990FB6" w:rsidRDefault="00B15F7D" w:rsidP="00B15F7D">
            <w:pPr>
              <w:jc w:val="center"/>
              <w:rPr>
                <w:color w:val="000000"/>
                <w:sz w:val="22"/>
                <w:szCs w:val="22"/>
                <w:lang w:eastAsia="es-CR"/>
              </w:rPr>
            </w:pPr>
            <w:r w:rsidRPr="00990FB6">
              <w:rPr>
                <w:color w:val="000000"/>
                <w:sz w:val="22"/>
                <w:szCs w:val="22"/>
              </w:rPr>
              <w:t>0,6%</w:t>
            </w:r>
          </w:p>
        </w:tc>
        <w:tc>
          <w:tcPr>
            <w:tcW w:w="0" w:type="auto"/>
            <w:tcBorders>
              <w:top w:val="double" w:sz="6" w:space="0" w:color="203764"/>
              <w:left w:val="double" w:sz="6" w:space="0" w:color="203764"/>
              <w:bottom w:val="nil"/>
              <w:right w:val="double" w:sz="6" w:space="0" w:color="203764"/>
            </w:tcBorders>
            <w:vAlign w:val="center"/>
          </w:tcPr>
          <w:p w14:paraId="3FED7050" w14:textId="77777777" w:rsidR="00B15F7D" w:rsidRPr="00990FB6" w:rsidRDefault="00B15F7D" w:rsidP="00B15F7D">
            <w:pPr>
              <w:jc w:val="center"/>
              <w:rPr>
                <w:color w:val="000000"/>
                <w:sz w:val="22"/>
                <w:szCs w:val="22"/>
                <w:lang w:eastAsia="es-CR"/>
              </w:rPr>
            </w:pPr>
            <w:r w:rsidRPr="00990FB6">
              <w:rPr>
                <w:color w:val="000000"/>
                <w:sz w:val="22"/>
                <w:szCs w:val="22"/>
              </w:rPr>
              <w:t>37</w:t>
            </w:r>
          </w:p>
        </w:tc>
        <w:tc>
          <w:tcPr>
            <w:tcW w:w="0" w:type="auto"/>
            <w:tcBorders>
              <w:top w:val="double" w:sz="6" w:space="0" w:color="203764"/>
              <w:left w:val="double" w:sz="6" w:space="0" w:color="203764"/>
              <w:bottom w:val="nil"/>
              <w:right w:val="double" w:sz="6" w:space="0" w:color="203764"/>
            </w:tcBorders>
            <w:vAlign w:val="center"/>
          </w:tcPr>
          <w:p w14:paraId="12FA9451" w14:textId="77777777" w:rsidR="00B15F7D" w:rsidRPr="00990FB6" w:rsidRDefault="00B15F7D" w:rsidP="00B15F7D">
            <w:pPr>
              <w:jc w:val="center"/>
              <w:rPr>
                <w:color w:val="000000"/>
                <w:sz w:val="22"/>
                <w:szCs w:val="22"/>
                <w:lang w:eastAsia="es-CR"/>
              </w:rPr>
            </w:pPr>
            <w:r w:rsidRPr="00990FB6">
              <w:rPr>
                <w:color w:val="000000"/>
                <w:sz w:val="22"/>
                <w:szCs w:val="22"/>
              </w:rPr>
              <w:t>1,0%</w:t>
            </w:r>
          </w:p>
        </w:tc>
      </w:tr>
      <w:tr w:rsidR="00B15F7D" w:rsidRPr="00990FB6" w14:paraId="29E0C0CC" w14:textId="77777777" w:rsidTr="000A0C22">
        <w:trPr>
          <w:trHeight w:val="239"/>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76B60D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Devueltos</w:t>
            </w:r>
          </w:p>
        </w:tc>
        <w:tc>
          <w:tcPr>
            <w:tcW w:w="0" w:type="auto"/>
            <w:tcBorders>
              <w:top w:val="nil"/>
              <w:left w:val="nil"/>
              <w:bottom w:val="double" w:sz="6" w:space="0" w:color="203764"/>
              <w:right w:val="double" w:sz="6" w:space="0" w:color="203764"/>
            </w:tcBorders>
            <w:shd w:val="clear" w:color="auto" w:fill="auto"/>
            <w:noWrap/>
            <w:vAlign w:val="center"/>
            <w:hideMark/>
          </w:tcPr>
          <w:p w14:paraId="41376A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1369</w:t>
            </w:r>
          </w:p>
        </w:tc>
        <w:tc>
          <w:tcPr>
            <w:tcW w:w="0" w:type="auto"/>
            <w:tcBorders>
              <w:top w:val="double" w:sz="6" w:space="0" w:color="203764"/>
              <w:left w:val="nil"/>
              <w:bottom w:val="nil"/>
              <w:right w:val="double" w:sz="6" w:space="0" w:color="203764"/>
            </w:tcBorders>
            <w:shd w:val="clear" w:color="auto" w:fill="auto"/>
            <w:noWrap/>
            <w:vAlign w:val="center"/>
            <w:hideMark/>
          </w:tcPr>
          <w:p w14:paraId="05F9F96B" w14:textId="77777777" w:rsidR="00B15F7D" w:rsidRPr="00990FB6" w:rsidRDefault="00B15F7D" w:rsidP="00B15F7D">
            <w:pPr>
              <w:jc w:val="center"/>
              <w:rPr>
                <w:color w:val="000000"/>
                <w:sz w:val="22"/>
                <w:szCs w:val="22"/>
                <w:lang w:eastAsia="es-CR"/>
              </w:rPr>
            </w:pPr>
            <w:r w:rsidRPr="00990FB6">
              <w:rPr>
                <w:color w:val="000000"/>
                <w:sz w:val="22"/>
                <w:szCs w:val="22"/>
              </w:rPr>
              <w:t>42,0%</w:t>
            </w:r>
          </w:p>
        </w:tc>
        <w:tc>
          <w:tcPr>
            <w:tcW w:w="0" w:type="auto"/>
            <w:tcBorders>
              <w:top w:val="double" w:sz="6" w:space="0" w:color="203764"/>
              <w:left w:val="nil"/>
              <w:bottom w:val="nil"/>
              <w:right w:val="double" w:sz="6" w:space="0" w:color="203764"/>
            </w:tcBorders>
            <w:vAlign w:val="center"/>
          </w:tcPr>
          <w:p w14:paraId="61E224FB" w14:textId="77777777" w:rsidR="00B15F7D" w:rsidRPr="00990FB6" w:rsidRDefault="00B15F7D" w:rsidP="00B15F7D">
            <w:pPr>
              <w:jc w:val="center"/>
              <w:rPr>
                <w:color w:val="000000"/>
                <w:sz w:val="22"/>
                <w:szCs w:val="22"/>
                <w:lang w:eastAsia="es-CR"/>
              </w:rPr>
            </w:pPr>
            <w:r w:rsidRPr="00990FB6">
              <w:rPr>
                <w:color w:val="000000"/>
                <w:sz w:val="22"/>
                <w:szCs w:val="22"/>
              </w:rPr>
              <w:t>1534</w:t>
            </w:r>
          </w:p>
        </w:tc>
        <w:tc>
          <w:tcPr>
            <w:tcW w:w="0" w:type="auto"/>
            <w:tcBorders>
              <w:top w:val="double" w:sz="6" w:space="0" w:color="203764"/>
              <w:left w:val="nil"/>
              <w:bottom w:val="nil"/>
              <w:right w:val="double" w:sz="6" w:space="0" w:color="203764"/>
            </w:tcBorders>
            <w:vAlign w:val="center"/>
          </w:tcPr>
          <w:p w14:paraId="3BB1AA58" w14:textId="77777777" w:rsidR="00B15F7D" w:rsidRPr="00990FB6" w:rsidRDefault="00B15F7D" w:rsidP="00B15F7D">
            <w:pPr>
              <w:jc w:val="center"/>
              <w:rPr>
                <w:color w:val="000000"/>
                <w:sz w:val="22"/>
                <w:szCs w:val="22"/>
                <w:lang w:eastAsia="es-CR"/>
              </w:rPr>
            </w:pPr>
            <w:r w:rsidRPr="00990FB6">
              <w:rPr>
                <w:color w:val="000000"/>
                <w:sz w:val="22"/>
                <w:szCs w:val="22"/>
              </w:rPr>
              <w:t>40,3%</w:t>
            </w:r>
          </w:p>
        </w:tc>
      </w:tr>
      <w:tr w:rsidR="00B15F7D" w:rsidRPr="00990FB6" w14:paraId="004632A6" w14:textId="77777777" w:rsidTr="000A0C22">
        <w:trPr>
          <w:trHeight w:val="239"/>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2E5108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Otros</w:t>
            </w:r>
          </w:p>
        </w:tc>
        <w:tc>
          <w:tcPr>
            <w:tcW w:w="0" w:type="auto"/>
            <w:tcBorders>
              <w:top w:val="nil"/>
              <w:left w:val="nil"/>
              <w:bottom w:val="double" w:sz="6" w:space="0" w:color="203764"/>
              <w:right w:val="double" w:sz="6" w:space="0" w:color="203764"/>
            </w:tcBorders>
            <w:shd w:val="clear" w:color="auto" w:fill="auto"/>
            <w:noWrap/>
            <w:vAlign w:val="center"/>
            <w:hideMark/>
          </w:tcPr>
          <w:p w14:paraId="75CE97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157</w:t>
            </w:r>
          </w:p>
        </w:tc>
        <w:tc>
          <w:tcPr>
            <w:tcW w:w="0" w:type="auto"/>
            <w:tcBorders>
              <w:top w:val="double" w:sz="6" w:space="0" w:color="203764"/>
              <w:left w:val="nil"/>
              <w:bottom w:val="nil"/>
              <w:right w:val="double" w:sz="6" w:space="0" w:color="203764"/>
            </w:tcBorders>
            <w:shd w:val="clear" w:color="auto" w:fill="auto"/>
            <w:noWrap/>
            <w:vAlign w:val="center"/>
            <w:hideMark/>
          </w:tcPr>
          <w:p w14:paraId="1195E0D7" w14:textId="77777777" w:rsidR="00B15F7D" w:rsidRPr="00990FB6" w:rsidRDefault="00B15F7D" w:rsidP="00B15F7D">
            <w:pPr>
              <w:jc w:val="center"/>
              <w:rPr>
                <w:color w:val="000000"/>
                <w:sz w:val="22"/>
                <w:szCs w:val="22"/>
                <w:lang w:eastAsia="es-CR"/>
              </w:rPr>
            </w:pPr>
            <w:r w:rsidRPr="00990FB6">
              <w:rPr>
                <w:color w:val="000000"/>
                <w:sz w:val="22"/>
                <w:szCs w:val="22"/>
              </w:rPr>
              <w:t>4,8%</w:t>
            </w:r>
          </w:p>
        </w:tc>
        <w:tc>
          <w:tcPr>
            <w:tcW w:w="0" w:type="auto"/>
            <w:tcBorders>
              <w:top w:val="double" w:sz="6" w:space="0" w:color="203764"/>
              <w:left w:val="nil"/>
              <w:bottom w:val="nil"/>
              <w:right w:val="double" w:sz="6" w:space="0" w:color="203764"/>
            </w:tcBorders>
            <w:vAlign w:val="center"/>
          </w:tcPr>
          <w:p w14:paraId="3DDF5087" w14:textId="77777777" w:rsidR="00B15F7D" w:rsidRPr="00990FB6" w:rsidRDefault="00B15F7D" w:rsidP="00B15F7D">
            <w:pPr>
              <w:jc w:val="center"/>
              <w:rPr>
                <w:color w:val="000000"/>
                <w:sz w:val="22"/>
                <w:szCs w:val="22"/>
                <w:lang w:eastAsia="es-CR"/>
              </w:rPr>
            </w:pPr>
            <w:r w:rsidRPr="00990FB6">
              <w:rPr>
                <w:color w:val="000000"/>
                <w:sz w:val="22"/>
                <w:szCs w:val="22"/>
              </w:rPr>
              <w:t>309</w:t>
            </w:r>
          </w:p>
        </w:tc>
        <w:tc>
          <w:tcPr>
            <w:tcW w:w="0" w:type="auto"/>
            <w:tcBorders>
              <w:top w:val="double" w:sz="6" w:space="0" w:color="203764"/>
              <w:left w:val="nil"/>
              <w:bottom w:val="nil"/>
              <w:right w:val="double" w:sz="6" w:space="0" w:color="203764"/>
            </w:tcBorders>
            <w:vAlign w:val="center"/>
          </w:tcPr>
          <w:p w14:paraId="3B211C44" w14:textId="77777777" w:rsidR="00B15F7D" w:rsidRPr="00990FB6" w:rsidRDefault="00B15F7D" w:rsidP="00B15F7D">
            <w:pPr>
              <w:jc w:val="center"/>
              <w:rPr>
                <w:color w:val="000000"/>
                <w:sz w:val="22"/>
                <w:szCs w:val="22"/>
                <w:lang w:eastAsia="es-CR"/>
              </w:rPr>
            </w:pPr>
            <w:r w:rsidRPr="00990FB6">
              <w:rPr>
                <w:color w:val="000000"/>
                <w:sz w:val="22"/>
                <w:szCs w:val="22"/>
              </w:rPr>
              <w:t>8,1%</w:t>
            </w:r>
          </w:p>
        </w:tc>
      </w:tr>
      <w:tr w:rsidR="00B15F7D" w:rsidRPr="00990FB6" w14:paraId="523E4A97" w14:textId="77777777" w:rsidTr="000A0C22">
        <w:trPr>
          <w:trHeight w:val="239"/>
          <w:jc w:val="center"/>
        </w:trPr>
        <w:tc>
          <w:tcPr>
            <w:tcW w:w="0" w:type="auto"/>
            <w:tcBorders>
              <w:top w:val="nil"/>
              <w:left w:val="double" w:sz="6" w:space="0" w:color="203764"/>
              <w:bottom w:val="double" w:sz="6" w:space="0" w:color="203764"/>
              <w:right w:val="double" w:sz="6" w:space="0" w:color="203764"/>
            </w:tcBorders>
            <w:shd w:val="clear" w:color="000000" w:fill="D9D9D9"/>
            <w:noWrap/>
            <w:vAlign w:val="center"/>
            <w:hideMark/>
          </w:tcPr>
          <w:p w14:paraId="2011CAE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Totales</w:t>
            </w:r>
          </w:p>
        </w:tc>
        <w:tc>
          <w:tcPr>
            <w:tcW w:w="0" w:type="auto"/>
            <w:tcBorders>
              <w:top w:val="nil"/>
              <w:left w:val="nil"/>
              <w:bottom w:val="double" w:sz="6" w:space="0" w:color="203764"/>
              <w:right w:val="double" w:sz="6" w:space="0" w:color="203764"/>
            </w:tcBorders>
            <w:shd w:val="clear" w:color="000000" w:fill="D9D9D9"/>
            <w:noWrap/>
            <w:vAlign w:val="center"/>
            <w:hideMark/>
          </w:tcPr>
          <w:p w14:paraId="65A17CB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3256</w:t>
            </w:r>
          </w:p>
        </w:tc>
        <w:tc>
          <w:tcPr>
            <w:tcW w:w="0" w:type="auto"/>
            <w:tcBorders>
              <w:top w:val="double" w:sz="6" w:space="0" w:color="203764"/>
              <w:left w:val="nil"/>
              <w:bottom w:val="double" w:sz="6" w:space="0" w:color="203764"/>
              <w:right w:val="double" w:sz="6" w:space="0" w:color="203764"/>
            </w:tcBorders>
            <w:shd w:val="clear" w:color="000000" w:fill="D9D9D9"/>
            <w:noWrap/>
            <w:vAlign w:val="center"/>
            <w:hideMark/>
          </w:tcPr>
          <w:p w14:paraId="7F39A82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100%</w:t>
            </w:r>
          </w:p>
        </w:tc>
        <w:tc>
          <w:tcPr>
            <w:tcW w:w="0" w:type="auto"/>
            <w:tcBorders>
              <w:top w:val="double" w:sz="6" w:space="0" w:color="203764"/>
              <w:left w:val="nil"/>
              <w:bottom w:val="double" w:sz="6" w:space="0" w:color="203764"/>
              <w:right w:val="double" w:sz="6" w:space="0" w:color="203764"/>
            </w:tcBorders>
            <w:shd w:val="clear" w:color="000000" w:fill="D9D9D9"/>
            <w:vAlign w:val="center"/>
          </w:tcPr>
          <w:p w14:paraId="61F4EB29" w14:textId="77777777" w:rsidR="00B15F7D" w:rsidRPr="00990FB6" w:rsidRDefault="00B15F7D" w:rsidP="00B15F7D">
            <w:pPr>
              <w:jc w:val="center"/>
              <w:rPr>
                <w:b/>
                <w:bCs/>
                <w:color w:val="000000"/>
                <w:sz w:val="22"/>
                <w:szCs w:val="22"/>
                <w:lang w:eastAsia="es-CR"/>
              </w:rPr>
            </w:pPr>
            <w:r w:rsidRPr="00990FB6">
              <w:rPr>
                <w:b/>
                <w:bCs/>
                <w:color w:val="000000"/>
                <w:sz w:val="22"/>
                <w:szCs w:val="22"/>
              </w:rPr>
              <w:t>3806</w:t>
            </w:r>
          </w:p>
        </w:tc>
        <w:tc>
          <w:tcPr>
            <w:tcW w:w="0" w:type="auto"/>
            <w:tcBorders>
              <w:top w:val="double" w:sz="6" w:space="0" w:color="203764"/>
              <w:left w:val="nil"/>
              <w:bottom w:val="double" w:sz="6" w:space="0" w:color="203764"/>
              <w:right w:val="double" w:sz="6" w:space="0" w:color="203764"/>
            </w:tcBorders>
            <w:shd w:val="clear" w:color="000000" w:fill="D9D9D9"/>
            <w:vAlign w:val="center"/>
          </w:tcPr>
          <w:p w14:paraId="0BEE5BA4" w14:textId="77777777" w:rsidR="00B15F7D" w:rsidRPr="00990FB6" w:rsidRDefault="00B15F7D" w:rsidP="00B15F7D">
            <w:pPr>
              <w:jc w:val="center"/>
              <w:rPr>
                <w:b/>
                <w:bCs/>
                <w:color w:val="000000"/>
                <w:sz w:val="22"/>
                <w:szCs w:val="22"/>
                <w:lang w:eastAsia="es-CR"/>
              </w:rPr>
            </w:pPr>
            <w:r w:rsidRPr="00990FB6">
              <w:rPr>
                <w:b/>
                <w:bCs/>
                <w:color w:val="000000"/>
                <w:sz w:val="22"/>
                <w:szCs w:val="22"/>
              </w:rPr>
              <w:t>100%</w:t>
            </w:r>
          </w:p>
        </w:tc>
      </w:tr>
    </w:tbl>
    <w:p w14:paraId="3AC05C8C"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 xml:space="preserve">Modernización Institucional a partir de la información de los anuarios judiciales suministrada por el Subproceso de Estadística. </w:t>
      </w:r>
    </w:p>
    <w:p w14:paraId="00AB2A99" w14:textId="77777777" w:rsidR="00B15F7D" w:rsidRPr="00990FB6" w:rsidRDefault="00B15F7D" w:rsidP="00B15F7D">
      <w:pPr>
        <w:ind w:left="851" w:right="851" w:firstLine="709"/>
        <w:jc w:val="both"/>
        <w:rPr>
          <w:bCs/>
          <w:color w:val="000000"/>
          <w:sz w:val="22"/>
          <w:szCs w:val="22"/>
          <w:lang w:eastAsia="es-CR"/>
        </w:rPr>
      </w:pPr>
    </w:p>
    <w:p w14:paraId="418DEADA"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año 2021 el rubro con el mayor porcentaje es el de conciliación con un 43%; seguido del porcentaje de devueltos, con 42%, cantidad que presenta un valor significativo en el importe total de terminados. En el caso de la información que abarca el 2022, se tiene que la cantidad de asuntos finalizados por conciliación ocupa el primer lugar, con un 47%, lo que indica que se ha producido un mayor número de asuntos conciliados respecto a los datos registrados en 2021, otra parte, la segunda posición corresponde a los asuntos terminados por motivo de devolución, que en este caso disminuyen en 2 puntos porcentuales respecto a los datos reportados en 2021; por lo que es necesario continuar trabajando en la capacitación del personal encargado de realizar los tamizajes para asegurarse de que los casos que son remitidos a Justicia Restaurativa cumplen con todos los requisitos necesarios. </w:t>
      </w:r>
    </w:p>
    <w:p w14:paraId="7C777AAB" w14:textId="77777777" w:rsidR="00B15F7D" w:rsidRPr="00990FB6" w:rsidRDefault="00B15F7D" w:rsidP="00B15F7D">
      <w:pPr>
        <w:tabs>
          <w:tab w:val="left" w:pos="0"/>
        </w:tabs>
        <w:ind w:left="851" w:right="851" w:firstLine="709"/>
        <w:jc w:val="both"/>
        <w:rPr>
          <w:color w:val="000000"/>
          <w:sz w:val="22"/>
          <w:szCs w:val="22"/>
        </w:rPr>
      </w:pPr>
    </w:p>
    <w:p w14:paraId="0EA9F6BF"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lastRenderedPageBreak/>
        <w:t xml:space="preserve">Sobre el particular de las causas devueltas, a continuación, se presenta el detalle: </w:t>
      </w:r>
    </w:p>
    <w:p w14:paraId="296BC458" w14:textId="77777777" w:rsidR="00B15F7D" w:rsidRPr="00990FB6" w:rsidRDefault="00B15F7D" w:rsidP="00B15F7D">
      <w:pPr>
        <w:tabs>
          <w:tab w:val="left" w:pos="0"/>
        </w:tabs>
        <w:ind w:left="851" w:right="851" w:firstLine="709"/>
        <w:jc w:val="both"/>
        <w:rPr>
          <w:color w:val="000000"/>
          <w:sz w:val="22"/>
          <w:szCs w:val="22"/>
        </w:rPr>
      </w:pPr>
    </w:p>
    <w:p w14:paraId="26583E56" w14:textId="77777777" w:rsidR="00B15F7D" w:rsidRPr="00990FB6" w:rsidRDefault="00B15F7D" w:rsidP="00B15F7D">
      <w:pPr>
        <w:tabs>
          <w:tab w:val="left" w:pos="0"/>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9</w:t>
      </w:r>
      <w:r w:rsidRPr="00990FB6">
        <w:rPr>
          <w:b/>
          <w:bCs/>
          <w:color w:val="000000"/>
          <w:sz w:val="22"/>
          <w:szCs w:val="22"/>
        </w:rPr>
        <w:fldChar w:fldCharType="end"/>
      </w:r>
      <w:r w:rsidRPr="00990FB6">
        <w:rPr>
          <w:b/>
          <w:bCs/>
          <w:color w:val="000000"/>
          <w:sz w:val="22"/>
          <w:szCs w:val="22"/>
        </w:rPr>
        <w:t>. Motivo de las devoluciones de las causas terminadas en Justicia Restaurativa Penal de Adultos para el periodo 2021 al 2022.</w:t>
      </w:r>
    </w:p>
    <w:p w14:paraId="225C1EF8" w14:textId="77777777" w:rsidR="00B15F7D" w:rsidRPr="00990FB6" w:rsidRDefault="00B15F7D" w:rsidP="00B15F7D">
      <w:pPr>
        <w:tabs>
          <w:tab w:val="left" w:pos="0"/>
        </w:tabs>
        <w:jc w:val="both"/>
        <w:rPr>
          <w:b/>
          <w:bCs/>
          <w:color w:val="000000"/>
          <w:sz w:val="22"/>
          <w:szCs w:val="22"/>
        </w:rPr>
      </w:pPr>
    </w:p>
    <w:tbl>
      <w:tblPr>
        <w:tblW w:w="10075" w:type="dxa"/>
        <w:jc w:val="center"/>
        <w:tblCellMar>
          <w:left w:w="70" w:type="dxa"/>
          <w:right w:w="70" w:type="dxa"/>
        </w:tblCellMar>
        <w:tblLook w:val="04A0" w:firstRow="1" w:lastRow="0" w:firstColumn="1" w:lastColumn="0" w:noHBand="0" w:noVBand="1"/>
      </w:tblPr>
      <w:tblGrid>
        <w:gridCol w:w="1395"/>
        <w:gridCol w:w="3827"/>
        <w:gridCol w:w="1673"/>
        <w:gridCol w:w="1069"/>
        <w:gridCol w:w="1060"/>
        <w:gridCol w:w="1069"/>
      </w:tblGrid>
      <w:tr w:rsidR="00B15F7D" w:rsidRPr="00990FB6" w14:paraId="38319432" w14:textId="77777777" w:rsidTr="000A0C22">
        <w:trPr>
          <w:trHeight w:val="330"/>
          <w:jc w:val="center"/>
        </w:trPr>
        <w:tc>
          <w:tcPr>
            <w:tcW w:w="1395"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431CCCA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Instancia</w:t>
            </w:r>
          </w:p>
        </w:tc>
        <w:tc>
          <w:tcPr>
            <w:tcW w:w="3827" w:type="dxa"/>
            <w:tcBorders>
              <w:top w:val="double" w:sz="6" w:space="0" w:color="203764"/>
              <w:left w:val="nil"/>
              <w:bottom w:val="double" w:sz="6" w:space="0" w:color="203764"/>
              <w:right w:val="double" w:sz="6" w:space="0" w:color="203764"/>
            </w:tcBorders>
            <w:shd w:val="clear" w:color="000000" w:fill="365F91"/>
            <w:noWrap/>
            <w:vAlign w:val="center"/>
            <w:hideMark/>
          </w:tcPr>
          <w:p w14:paraId="42E35A1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Motivo de devolución</w:t>
            </w:r>
          </w:p>
        </w:tc>
        <w:tc>
          <w:tcPr>
            <w:tcW w:w="1673" w:type="dxa"/>
            <w:tcBorders>
              <w:top w:val="double" w:sz="6" w:space="0" w:color="203764"/>
              <w:left w:val="nil"/>
              <w:bottom w:val="double" w:sz="6" w:space="0" w:color="203764"/>
              <w:right w:val="double" w:sz="6" w:space="0" w:color="203764"/>
            </w:tcBorders>
            <w:shd w:val="clear" w:color="000000" w:fill="365F91"/>
            <w:noWrap/>
            <w:vAlign w:val="center"/>
            <w:hideMark/>
          </w:tcPr>
          <w:p w14:paraId="2702F1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c>
          <w:tcPr>
            <w:tcW w:w="1060" w:type="dxa"/>
            <w:tcBorders>
              <w:top w:val="double" w:sz="6" w:space="0" w:color="203764"/>
              <w:left w:val="nil"/>
              <w:bottom w:val="double" w:sz="6" w:space="0" w:color="203764"/>
              <w:right w:val="double" w:sz="6" w:space="0" w:color="203764"/>
            </w:tcBorders>
            <w:shd w:val="clear" w:color="000000" w:fill="365F91"/>
            <w:noWrap/>
            <w:vAlign w:val="center"/>
            <w:hideMark/>
          </w:tcPr>
          <w:p w14:paraId="36EF05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w:t>
            </w:r>
          </w:p>
        </w:tc>
        <w:tc>
          <w:tcPr>
            <w:tcW w:w="1060" w:type="dxa"/>
            <w:tcBorders>
              <w:top w:val="double" w:sz="6" w:space="0" w:color="203764"/>
              <w:left w:val="nil"/>
              <w:bottom w:val="double" w:sz="6" w:space="0" w:color="203764"/>
              <w:right w:val="double" w:sz="6" w:space="0" w:color="203764"/>
            </w:tcBorders>
            <w:shd w:val="clear" w:color="000000" w:fill="365F91"/>
            <w:noWrap/>
            <w:vAlign w:val="center"/>
            <w:hideMark/>
          </w:tcPr>
          <w:p w14:paraId="0AC582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2022</w:t>
            </w:r>
          </w:p>
        </w:tc>
        <w:tc>
          <w:tcPr>
            <w:tcW w:w="1060" w:type="dxa"/>
            <w:tcBorders>
              <w:top w:val="double" w:sz="6" w:space="0" w:color="203764"/>
              <w:left w:val="nil"/>
              <w:bottom w:val="double" w:sz="6" w:space="0" w:color="203764"/>
              <w:right w:val="double" w:sz="6" w:space="0" w:color="203764"/>
            </w:tcBorders>
            <w:shd w:val="clear" w:color="000000" w:fill="365F91"/>
            <w:noWrap/>
            <w:vAlign w:val="center"/>
            <w:hideMark/>
          </w:tcPr>
          <w:p w14:paraId="562DDA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w:t>
            </w:r>
          </w:p>
        </w:tc>
      </w:tr>
      <w:tr w:rsidR="00B15F7D" w:rsidRPr="00990FB6" w14:paraId="6B86DEE6" w14:textId="77777777" w:rsidTr="000A0C22">
        <w:trPr>
          <w:trHeight w:val="330"/>
          <w:jc w:val="center"/>
        </w:trPr>
        <w:tc>
          <w:tcPr>
            <w:tcW w:w="1395"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610F021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Ministerio Público</w:t>
            </w:r>
          </w:p>
        </w:tc>
        <w:tc>
          <w:tcPr>
            <w:tcW w:w="3827" w:type="dxa"/>
            <w:tcBorders>
              <w:top w:val="nil"/>
              <w:left w:val="nil"/>
              <w:bottom w:val="double" w:sz="6" w:space="0" w:color="203764"/>
              <w:right w:val="double" w:sz="6" w:space="0" w:color="203764"/>
            </w:tcBorders>
            <w:shd w:val="clear" w:color="auto" w:fill="auto"/>
            <w:noWrap/>
            <w:vAlign w:val="center"/>
            <w:hideMark/>
          </w:tcPr>
          <w:p w14:paraId="17CF90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Por estrategia de la defensa particular</w:t>
            </w:r>
          </w:p>
        </w:tc>
        <w:tc>
          <w:tcPr>
            <w:tcW w:w="1673" w:type="dxa"/>
            <w:tcBorders>
              <w:top w:val="nil"/>
              <w:left w:val="nil"/>
              <w:bottom w:val="double" w:sz="6" w:space="0" w:color="203764"/>
              <w:right w:val="double" w:sz="6" w:space="0" w:color="203764"/>
            </w:tcBorders>
            <w:shd w:val="clear" w:color="auto" w:fill="auto"/>
            <w:noWrap/>
            <w:vAlign w:val="center"/>
            <w:hideMark/>
          </w:tcPr>
          <w:p w14:paraId="10F228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c>
          <w:tcPr>
            <w:tcW w:w="1060" w:type="dxa"/>
            <w:tcBorders>
              <w:top w:val="nil"/>
              <w:left w:val="nil"/>
              <w:bottom w:val="double" w:sz="6" w:space="0" w:color="203764"/>
              <w:right w:val="double" w:sz="6" w:space="0" w:color="203764"/>
            </w:tcBorders>
            <w:shd w:val="clear" w:color="auto" w:fill="auto"/>
            <w:noWrap/>
            <w:vAlign w:val="center"/>
            <w:hideMark/>
          </w:tcPr>
          <w:p w14:paraId="3508297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w:t>
            </w:r>
          </w:p>
        </w:tc>
        <w:tc>
          <w:tcPr>
            <w:tcW w:w="1060" w:type="dxa"/>
            <w:tcBorders>
              <w:top w:val="nil"/>
              <w:left w:val="nil"/>
              <w:bottom w:val="double" w:sz="6" w:space="0" w:color="203764"/>
              <w:right w:val="double" w:sz="6" w:space="0" w:color="203764"/>
            </w:tcBorders>
            <w:shd w:val="clear" w:color="auto" w:fill="auto"/>
            <w:noWrap/>
            <w:vAlign w:val="center"/>
            <w:hideMark/>
          </w:tcPr>
          <w:p w14:paraId="152B7C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1060" w:type="dxa"/>
            <w:tcBorders>
              <w:top w:val="nil"/>
              <w:left w:val="nil"/>
              <w:bottom w:val="double" w:sz="6" w:space="0" w:color="203764"/>
              <w:right w:val="double" w:sz="6" w:space="0" w:color="203764"/>
            </w:tcBorders>
            <w:shd w:val="clear" w:color="auto" w:fill="auto"/>
            <w:noWrap/>
            <w:vAlign w:val="center"/>
            <w:hideMark/>
          </w:tcPr>
          <w:p w14:paraId="406130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r>
      <w:tr w:rsidR="00B15F7D" w:rsidRPr="00990FB6" w14:paraId="78ABB432"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30221118"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25F6A3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Falta viabilidad probatoria</w:t>
            </w:r>
          </w:p>
        </w:tc>
        <w:tc>
          <w:tcPr>
            <w:tcW w:w="1673" w:type="dxa"/>
            <w:tcBorders>
              <w:top w:val="nil"/>
              <w:left w:val="nil"/>
              <w:bottom w:val="double" w:sz="6" w:space="0" w:color="203764"/>
              <w:right w:val="double" w:sz="6" w:space="0" w:color="203764"/>
            </w:tcBorders>
            <w:shd w:val="clear" w:color="auto" w:fill="auto"/>
            <w:noWrap/>
            <w:vAlign w:val="center"/>
            <w:hideMark/>
          </w:tcPr>
          <w:p w14:paraId="01DDFC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1060" w:type="dxa"/>
            <w:tcBorders>
              <w:top w:val="nil"/>
              <w:left w:val="nil"/>
              <w:bottom w:val="double" w:sz="6" w:space="0" w:color="203764"/>
              <w:right w:val="double" w:sz="6" w:space="0" w:color="203764"/>
            </w:tcBorders>
            <w:shd w:val="clear" w:color="auto" w:fill="auto"/>
            <w:noWrap/>
            <w:vAlign w:val="center"/>
            <w:hideMark/>
          </w:tcPr>
          <w:p w14:paraId="3C2941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0,7%</w:t>
            </w:r>
          </w:p>
        </w:tc>
        <w:tc>
          <w:tcPr>
            <w:tcW w:w="1060" w:type="dxa"/>
            <w:tcBorders>
              <w:top w:val="nil"/>
              <w:left w:val="nil"/>
              <w:bottom w:val="double" w:sz="6" w:space="0" w:color="203764"/>
              <w:right w:val="double" w:sz="6" w:space="0" w:color="203764"/>
            </w:tcBorders>
            <w:shd w:val="clear" w:color="auto" w:fill="auto"/>
            <w:noWrap/>
            <w:vAlign w:val="center"/>
            <w:hideMark/>
          </w:tcPr>
          <w:p w14:paraId="15D21B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1060" w:type="dxa"/>
            <w:tcBorders>
              <w:top w:val="nil"/>
              <w:left w:val="nil"/>
              <w:bottom w:val="double" w:sz="6" w:space="0" w:color="203764"/>
              <w:right w:val="double" w:sz="6" w:space="0" w:color="203764"/>
            </w:tcBorders>
            <w:shd w:val="clear" w:color="auto" w:fill="auto"/>
            <w:noWrap/>
            <w:vAlign w:val="center"/>
            <w:hideMark/>
          </w:tcPr>
          <w:p w14:paraId="386794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0,5%</w:t>
            </w:r>
          </w:p>
        </w:tc>
      </w:tr>
      <w:tr w:rsidR="00B15F7D" w:rsidRPr="00990FB6" w14:paraId="5FDEF71D"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6E2CD10E"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485CFF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No se presenta a cita persona imputada</w:t>
            </w:r>
          </w:p>
        </w:tc>
        <w:tc>
          <w:tcPr>
            <w:tcW w:w="1673" w:type="dxa"/>
            <w:tcBorders>
              <w:top w:val="nil"/>
              <w:left w:val="nil"/>
              <w:bottom w:val="double" w:sz="6" w:space="0" w:color="203764"/>
              <w:right w:val="double" w:sz="6" w:space="0" w:color="203764"/>
            </w:tcBorders>
            <w:shd w:val="clear" w:color="auto" w:fill="auto"/>
            <w:noWrap/>
            <w:vAlign w:val="center"/>
            <w:hideMark/>
          </w:tcPr>
          <w:p w14:paraId="32CA22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26</w:t>
            </w:r>
          </w:p>
        </w:tc>
        <w:tc>
          <w:tcPr>
            <w:tcW w:w="1060" w:type="dxa"/>
            <w:tcBorders>
              <w:top w:val="nil"/>
              <w:left w:val="nil"/>
              <w:bottom w:val="double" w:sz="6" w:space="0" w:color="203764"/>
              <w:right w:val="double" w:sz="6" w:space="0" w:color="203764"/>
            </w:tcBorders>
            <w:shd w:val="clear" w:color="auto" w:fill="auto"/>
            <w:noWrap/>
            <w:vAlign w:val="center"/>
            <w:hideMark/>
          </w:tcPr>
          <w:p w14:paraId="0F8798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1060" w:type="dxa"/>
            <w:tcBorders>
              <w:top w:val="nil"/>
              <w:left w:val="nil"/>
              <w:bottom w:val="double" w:sz="6" w:space="0" w:color="203764"/>
              <w:right w:val="double" w:sz="6" w:space="0" w:color="203764"/>
            </w:tcBorders>
            <w:shd w:val="clear" w:color="auto" w:fill="auto"/>
            <w:noWrap/>
            <w:vAlign w:val="center"/>
            <w:hideMark/>
          </w:tcPr>
          <w:p w14:paraId="5FF103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49</w:t>
            </w:r>
          </w:p>
        </w:tc>
        <w:tc>
          <w:tcPr>
            <w:tcW w:w="1060" w:type="dxa"/>
            <w:tcBorders>
              <w:top w:val="nil"/>
              <w:left w:val="nil"/>
              <w:bottom w:val="double" w:sz="6" w:space="0" w:color="203764"/>
              <w:right w:val="double" w:sz="6" w:space="0" w:color="203764"/>
            </w:tcBorders>
            <w:shd w:val="clear" w:color="auto" w:fill="auto"/>
            <w:noWrap/>
            <w:vAlign w:val="center"/>
            <w:hideMark/>
          </w:tcPr>
          <w:p w14:paraId="3C107E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w:t>
            </w:r>
          </w:p>
        </w:tc>
      </w:tr>
      <w:tr w:rsidR="00B15F7D" w:rsidRPr="00990FB6" w14:paraId="1E9DDC08"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07BAFACA"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2B33D6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No acepta persona imputada</w:t>
            </w:r>
          </w:p>
        </w:tc>
        <w:tc>
          <w:tcPr>
            <w:tcW w:w="1673" w:type="dxa"/>
            <w:tcBorders>
              <w:top w:val="nil"/>
              <w:left w:val="nil"/>
              <w:bottom w:val="double" w:sz="6" w:space="0" w:color="203764"/>
              <w:right w:val="double" w:sz="6" w:space="0" w:color="203764"/>
            </w:tcBorders>
            <w:shd w:val="clear" w:color="auto" w:fill="auto"/>
            <w:noWrap/>
            <w:vAlign w:val="center"/>
            <w:hideMark/>
          </w:tcPr>
          <w:p w14:paraId="7EB4D7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49</w:t>
            </w:r>
          </w:p>
        </w:tc>
        <w:tc>
          <w:tcPr>
            <w:tcW w:w="1060" w:type="dxa"/>
            <w:tcBorders>
              <w:top w:val="nil"/>
              <w:left w:val="nil"/>
              <w:bottom w:val="double" w:sz="6" w:space="0" w:color="203764"/>
              <w:right w:val="double" w:sz="6" w:space="0" w:color="203764"/>
            </w:tcBorders>
            <w:shd w:val="clear" w:color="auto" w:fill="auto"/>
            <w:noWrap/>
            <w:vAlign w:val="center"/>
            <w:hideMark/>
          </w:tcPr>
          <w:p w14:paraId="7AC2F2C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1060" w:type="dxa"/>
            <w:tcBorders>
              <w:top w:val="nil"/>
              <w:left w:val="nil"/>
              <w:bottom w:val="double" w:sz="6" w:space="0" w:color="203764"/>
              <w:right w:val="double" w:sz="6" w:space="0" w:color="203764"/>
            </w:tcBorders>
            <w:shd w:val="clear" w:color="auto" w:fill="auto"/>
            <w:noWrap/>
            <w:vAlign w:val="center"/>
            <w:hideMark/>
          </w:tcPr>
          <w:p w14:paraId="23E851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85</w:t>
            </w:r>
          </w:p>
        </w:tc>
        <w:tc>
          <w:tcPr>
            <w:tcW w:w="1060" w:type="dxa"/>
            <w:tcBorders>
              <w:top w:val="nil"/>
              <w:left w:val="nil"/>
              <w:bottom w:val="double" w:sz="6" w:space="0" w:color="203764"/>
              <w:right w:val="double" w:sz="6" w:space="0" w:color="203764"/>
            </w:tcBorders>
            <w:shd w:val="clear" w:color="auto" w:fill="auto"/>
            <w:noWrap/>
            <w:vAlign w:val="center"/>
            <w:hideMark/>
          </w:tcPr>
          <w:p w14:paraId="227FDF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5,6%</w:t>
            </w:r>
          </w:p>
        </w:tc>
      </w:tr>
      <w:tr w:rsidR="00B15F7D" w:rsidRPr="00990FB6" w14:paraId="05CCB77C"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290EE99D"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3C24E3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No acepta victima</w:t>
            </w:r>
          </w:p>
        </w:tc>
        <w:tc>
          <w:tcPr>
            <w:tcW w:w="1673" w:type="dxa"/>
            <w:tcBorders>
              <w:top w:val="nil"/>
              <w:left w:val="nil"/>
              <w:bottom w:val="double" w:sz="6" w:space="0" w:color="203764"/>
              <w:right w:val="double" w:sz="6" w:space="0" w:color="203764"/>
            </w:tcBorders>
            <w:shd w:val="clear" w:color="auto" w:fill="auto"/>
            <w:noWrap/>
            <w:vAlign w:val="center"/>
            <w:hideMark/>
          </w:tcPr>
          <w:p w14:paraId="6E2C4FE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98</w:t>
            </w:r>
          </w:p>
        </w:tc>
        <w:tc>
          <w:tcPr>
            <w:tcW w:w="1060" w:type="dxa"/>
            <w:tcBorders>
              <w:top w:val="nil"/>
              <w:left w:val="nil"/>
              <w:bottom w:val="double" w:sz="6" w:space="0" w:color="203764"/>
              <w:right w:val="double" w:sz="6" w:space="0" w:color="203764"/>
            </w:tcBorders>
            <w:shd w:val="clear" w:color="auto" w:fill="auto"/>
            <w:noWrap/>
            <w:vAlign w:val="center"/>
            <w:hideMark/>
          </w:tcPr>
          <w:p w14:paraId="350306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7,2%</w:t>
            </w:r>
          </w:p>
        </w:tc>
        <w:tc>
          <w:tcPr>
            <w:tcW w:w="1060" w:type="dxa"/>
            <w:tcBorders>
              <w:top w:val="nil"/>
              <w:left w:val="nil"/>
              <w:bottom w:val="double" w:sz="6" w:space="0" w:color="203764"/>
              <w:right w:val="double" w:sz="6" w:space="0" w:color="203764"/>
            </w:tcBorders>
            <w:shd w:val="clear" w:color="auto" w:fill="auto"/>
            <w:noWrap/>
            <w:vAlign w:val="center"/>
            <w:hideMark/>
          </w:tcPr>
          <w:p w14:paraId="50184B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75</w:t>
            </w:r>
          </w:p>
        </w:tc>
        <w:tc>
          <w:tcPr>
            <w:tcW w:w="1060" w:type="dxa"/>
            <w:tcBorders>
              <w:top w:val="nil"/>
              <w:left w:val="nil"/>
              <w:bottom w:val="double" w:sz="6" w:space="0" w:color="203764"/>
              <w:right w:val="double" w:sz="6" w:space="0" w:color="203764"/>
            </w:tcBorders>
            <w:shd w:val="clear" w:color="auto" w:fill="auto"/>
            <w:noWrap/>
            <w:vAlign w:val="center"/>
            <w:hideMark/>
          </w:tcPr>
          <w:p w14:paraId="4F0B76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w:t>
            </w:r>
          </w:p>
        </w:tc>
      </w:tr>
      <w:tr w:rsidR="00B15F7D" w:rsidRPr="00990FB6" w14:paraId="52E8A06F"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19A7B404"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51B1B8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No se logró ubicar a imputado/a</w:t>
            </w:r>
          </w:p>
        </w:tc>
        <w:tc>
          <w:tcPr>
            <w:tcW w:w="1673" w:type="dxa"/>
            <w:tcBorders>
              <w:top w:val="nil"/>
              <w:left w:val="nil"/>
              <w:bottom w:val="double" w:sz="6" w:space="0" w:color="203764"/>
              <w:right w:val="double" w:sz="6" w:space="0" w:color="203764"/>
            </w:tcBorders>
            <w:shd w:val="clear" w:color="auto" w:fill="auto"/>
            <w:noWrap/>
            <w:vAlign w:val="center"/>
            <w:hideMark/>
          </w:tcPr>
          <w:p w14:paraId="29F15F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26</w:t>
            </w:r>
          </w:p>
        </w:tc>
        <w:tc>
          <w:tcPr>
            <w:tcW w:w="1060" w:type="dxa"/>
            <w:tcBorders>
              <w:top w:val="nil"/>
              <w:left w:val="nil"/>
              <w:bottom w:val="double" w:sz="6" w:space="0" w:color="203764"/>
              <w:right w:val="double" w:sz="6" w:space="0" w:color="203764"/>
            </w:tcBorders>
            <w:shd w:val="clear" w:color="auto" w:fill="auto"/>
            <w:noWrap/>
            <w:vAlign w:val="center"/>
            <w:hideMark/>
          </w:tcPr>
          <w:p w14:paraId="2BF1E3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1060" w:type="dxa"/>
            <w:tcBorders>
              <w:top w:val="nil"/>
              <w:left w:val="nil"/>
              <w:bottom w:val="double" w:sz="6" w:space="0" w:color="203764"/>
              <w:right w:val="double" w:sz="6" w:space="0" w:color="203764"/>
            </w:tcBorders>
            <w:shd w:val="clear" w:color="auto" w:fill="auto"/>
            <w:noWrap/>
            <w:vAlign w:val="center"/>
            <w:hideMark/>
          </w:tcPr>
          <w:p w14:paraId="79A7B3B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76</w:t>
            </w:r>
          </w:p>
        </w:tc>
        <w:tc>
          <w:tcPr>
            <w:tcW w:w="1060" w:type="dxa"/>
            <w:tcBorders>
              <w:top w:val="nil"/>
              <w:left w:val="nil"/>
              <w:bottom w:val="double" w:sz="6" w:space="0" w:color="203764"/>
              <w:right w:val="double" w:sz="6" w:space="0" w:color="203764"/>
            </w:tcBorders>
            <w:shd w:val="clear" w:color="auto" w:fill="auto"/>
            <w:noWrap/>
            <w:vAlign w:val="center"/>
            <w:hideMark/>
          </w:tcPr>
          <w:p w14:paraId="31A646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w:t>
            </w:r>
          </w:p>
        </w:tc>
      </w:tr>
      <w:tr w:rsidR="00B15F7D" w:rsidRPr="00990FB6" w14:paraId="520DAC84"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415F9E30"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0C4465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No se logró ubicar a ofendido/a</w:t>
            </w:r>
          </w:p>
        </w:tc>
        <w:tc>
          <w:tcPr>
            <w:tcW w:w="1673" w:type="dxa"/>
            <w:tcBorders>
              <w:top w:val="nil"/>
              <w:left w:val="nil"/>
              <w:bottom w:val="double" w:sz="6" w:space="0" w:color="203764"/>
              <w:right w:val="double" w:sz="6" w:space="0" w:color="203764"/>
            </w:tcBorders>
            <w:shd w:val="clear" w:color="auto" w:fill="auto"/>
            <w:noWrap/>
            <w:vAlign w:val="center"/>
            <w:hideMark/>
          </w:tcPr>
          <w:p w14:paraId="36F456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1060" w:type="dxa"/>
            <w:tcBorders>
              <w:top w:val="nil"/>
              <w:left w:val="nil"/>
              <w:bottom w:val="double" w:sz="6" w:space="0" w:color="203764"/>
              <w:right w:val="double" w:sz="6" w:space="0" w:color="203764"/>
            </w:tcBorders>
            <w:shd w:val="clear" w:color="auto" w:fill="auto"/>
            <w:noWrap/>
            <w:vAlign w:val="center"/>
            <w:hideMark/>
          </w:tcPr>
          <w:p w14:paraId="56B68D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c>
          <w:tcPr>
            <w:tcW w:w="1060" w:type="dxa"/>
            <w:tcBorders>
              <w:top w:val="nil"/>
              <w:left w:val="nil"/>
              <w:bottom w:val="double" w:sz="6" w:space="0" w:color="203764"/>
              <w:right w:val="double" w:sz="6" w:space="0" w:color="203764"/>
            </w:tcBorders>
            <w:shd w:val="clear" w:color="auto" w:fill="auto"/>
            <w:noWrap/>
            <w:vAlign w:val="center"/>
            <w:hideMark/>
          </w:tcPr>
          <w:p w14:paraId="346E69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35</w:t>
            </w:r>
          </w:p>
        </w:tc>
        <w:tc>
          <w:tcPr>
            <w:tcW w:w="1060" w:type="dxa"/>
            <w:tcBorders>
              <w:top w:val="nil"/>
              <w:left w:val="nil"/>
              <w:bottom w:val="double" w:sz="6" w:space="0" w:color="203764"/>
              <w:right w:val="double" w:sz="6" w:space="0" w:color="203764"/>
            </w:tcBorders>
            <w:shd w:val="clear" w:color="auto" w:fill="auto"/>
            <w:noWrap/>
            <w:vAlign w:val="center"/>
            <w:hideMark/>
          </w:tcPr>
          <w:p w14:paraId="0AE36E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w:t>
            </w:r>
          </w:p>
        </w:tc>
      </w:tr>
      <w:tr w:rsidR="00B15F7D" w:rsidRPr="00990FB6" w14:paraId="0BD7B4E2"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71A02FC6"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2955A7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No cumple con los requisitos de admisibilidad</w:t>
            </w:r>
          </w:p>
        </w:tc>
        <w:tc>
          <w:tcPr>
            <w:tcW w:w="1673" w:type="dxa"/>
            <w:tcBorders>
              <w:top w:val="nil"/>
              <w:left w:val="nil"/>
              <w:bottom w:val="double" w:sz="6" w:space="0" w:color="203764"/>
              <w:right w:val="double" w:sz="6" w:space="0" w:color="203764"/>
            </w:tcBorders>
            <w:shd w:val="clear" w:color="auto" w:fill="auto"/>
            <w:noWrap/>
            <w:vAlign w:val="center"/>
            <w:hideMark/>
          </w:tcPr>
          <w:p w14:paraId="560316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283</w:t>
            </w:r>
          </w:p>
        </w:tc>
        <w:tc>
          <w:tcPr>
            <w:tcW w:w="1060" w:type="dxa"/>
            <w:tcBorders>
              <w:top w:val="nil"/>
              <w:left w:val="nil"/>
              <w:bottom w:val="double" w:sz="6" w:space="0" w:color="203764"/>
              <w:right w:val="double" w:sz="6" w:space="0" w:color="203764"/>
            </w:tcBorders>
            <w:shd w:val="clear" w:color="auto" w:fill="auto"/>
            <w:noWrap/>
            <w:vAlign w:val="center"/>
            <w:hideMark/>
          </w:tcPr>
          <w:p w14:paraId="4F7658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20,7%</w:t>
            </w:r>
          </w:p>
        </w:tc>
        <w:tc>
          <w:tcPr>
            <w:tcW w:w="1060" w:type="dxa"/>
            <w:tcBorders>
              <w:top w:val="nil"/>
              <w:left w:val="nil"/>
              <w:bottom w:val="double" w:sz="6" w:space="0" w:color="203764"/>
              <w:right w:val="double" w:sz="6" w:space="0" w:color="203764"/>
            </w:tcBorders>
            <w:shd w:val="clear" w:color="auto" w:fill="auto"/>
            <w:noWrap/>
            <w:vAlign w:val="center"/>
            <w:hideMark/>
          </w:tcPr>
          <w:p w14:paraId="0A400A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286</w:t>
            </w:r>
          </w:p>
        </w:tc>
        <w:tc>
          <w:tcPr>
            <w:tcW w:w="1060" w:type="dxa"/>
            <w:tcBorders>
              <w:top w:val="nil"/>
              <w:left w:val="nil"/>
              <w:bottom w:val="double" w:sz="6" w:space="0" w:color="203764"/>
              <w:right w:val="double" w:sz="6" w:space="0" w:color="203764"/>
            </w:tcBorders>
            <w:shd w:val="clear" w:color="auto" w:fill="auto"/>
            <w:noWrap/>
            <w:vAlign w:val="center"/>
            <w:hideMark/>
          </w:tcPr>
          <w:p w14:paraId="55E9F7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18,9%</w:t>
            </w:r>
          </w:p>
        </w:tc>
      </w:tr>
      <w:tr w:rsidR="00B15F7D" w:rsidRPr="00990FB6" w14:paraId="6D183DDF" w14:textId="77777777" w:rsidTr="000A0C22">
        <w:trPr>
          <w:trHeight w:val="330"/>
          <w:jc w:val="center"/>
        </w:trPr>
        <w:tc>
          <w:tcPr>
            <w:tcW w:w="1395"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6D42E76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Defensa </w:t>
            </w:r>
          </w:p>
        </w:tc>
        <w:tc>
          <w:tcPr>
            <w:tcW w:w="3827" w:type="dxa"/>
            <w:tcBorders>
              <w:top w:val="nil"/>
              <w:left w:val="nil"/>
              <w:bottom w:val="double" w:sz="6" w:space="0" w:color="203764"/>
              <w:right w:val="double" w:sz="6" w:space="0" w:color="203764"/>
            </w:tcBorders>
            <w:shd w:val="clear" w:color="auto" w:fill="auto"/>
            <w:noWrap/>
            <w:vAlign w:val="center"/>
            <w:hideMark/>
          </w:tcPr>
          <w:p w14:paraId="3AB4B8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Ausencia de prueba determinante</w:t>
            </w:r>
          </w:p>
        </w:tc>
        <w:tc>
          <w:tcPr>
            <w:tcW w:w="1673" w:type="dxa"/>
            <w:tcBorders>
              <w:top w:val="nil"/>
              <w:left w:val="nil"/>
              <w:bottom w:val="double" w:sz="6" w:space="0" w:color="203764"/>
              <w:right w:val="double" w:sz="6" w:space="0" w:color="203764"/>
            </w:tcBorders>
            <w:shd w:val="clear" w:color="auto" w:fill="auto"/>
            <w:noWrap/>
            <w:vAlign w:val="center"/>
            <w:hideMark/>
          </w:tcPr>
          <w:p w14:paraId="422574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w:t>
            </w:r>
          </w:p>
        </w:tc>
        <w:tc>
          <w:tcPr>
            <w:tcW w:w="1060" w:type="dxa"/>
            <w:tcBorders>
              <w:top w:val="nil"/>
              <w:left w:val="nil"/>
              <w:bottom w:val="double" w:sz="6" w:space="0" w:color="203764"/>
              <w:right w:val="double" w:sz="6" w:space="0" w:color="203764"/>
            </w:tcBorders>
            <w:shd w:val="clear" w:color="auto" w:fill="auto"/>
            <w:noWrap/>
            <w:vAlign w:val="center"/>
            <w:hideMark/>
          </w:tcPr>
          <w:p w14:paraId="31FF51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w:t>
            </w:r>
          </w:p>
        </w:tc>
        <w:tc>
          <w:tcPr>
            <w:tcW w:w="1060" w:type="dxa"/>
            <w:tcBorders>
              <w:top w:val="nil"/>
              <w:left w:val="nil"/>
              <w:bottom w:val="double" w:sz="6" w:space="0" w:color="203764"/>
              <w:right w:val="double" w:sz="6" w:space="0" w:color="203764"/>
            </w:tcBorders>
            <w:shd w:val="clear" w:color="auto" w:fill="auto"/>
            <w:noWrap/>
            <w:vAlign w:val="center"/>
            <w:hideMark/>
          </w:tcPr>
          <w:p w14:paraId="2AD4C1A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1060" w:type="dxa"/>
            <w:tcBorders>
              <w:top w:val="nil"/>
              <w:left w:val="nil"/>
              <w:bottom w:val="double" w:sz="6" w:space="0" w:color="203764"/>
              <w:right w:val="double" w:sz="6" w:space="0" w:color="203764"/>
            </w:tcBorders>
            <w:shd w:val="clear" w:color="auto" w:fill="auto"/>
            <w:noWrap/>
            <w:vAlign w:val="center"/>
            <w:hideMark/>
          </w:tcPr>
          <w:p w14:paraId="3F16E9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0,4%</w:t>
            </w:r>
          </w:p>
        </w:tc>
      </w:tr>
      <w:tr w:rsidR="00B15F7D" w:rsidRPr="00990FB6" w14:paraId="5079577A"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560A96FC"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6F4F2E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No se logró ubicar imputado/a</w:t>
            </w:r>
          </w:p>
        </w:tc>
        <w:tc>
          <w:tcPr>
            <w:tcW w:w="1673" w:type="dxa"/>
            <w:tcBorders>
              <w:top w:val="nil"/>
              <w:left w:val="nil"/>
              <w:bottom w:val="double" w:sz="6" w:space="0" w:color="203764"/>
              <w:right w:val="double" w:sz="6" w:space="0" w:color="203764"/>
            </w:tcBorders>
            <w:shd w:val="clear" w:color="auto" w:fill="auto"/>
            <w:noWrap/>
            <w:vAlign w:val="center"/>
            <w:hideMark/>
          </w:tcPr>
          <w:p w14:paraId="4BC5D5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182</w:t>
            </w:r>
          </w:p>
        </w:tc>
        <w:tc>
          <w:tcPr>
            <w:tcW w:w="1060" w:type="dxa"/>
            <w:tcBorders>
              <w:top w:val="nil"/>
              <w:left w:val="nil"/>
              <w:bottom w:val="double" w:sz="6" w:space="0" w:color="203764"/>
              <w:right w:val="double" w:sz="6" w:space="0" w:color="203764"/>
            </w:tcBorders>
            <w:shd w:val="clear" w:color="auto" w:fill="auto"/>
            <w:noWrap/>
            <w:vAlign w:val="center"/>
            <w:hideMark/>
          </w:tcPr>
          <w:p w14:paraId="7F89B0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13,3%</w:t>
            </w:r>
          </w:p>
        </w:tc>
        <w:tc>
          <w:tcPr>
            <w:tcW w:w="1060" w:type="dxa"/>
            <w:tcBorders>
              <w:top w:val="nil"/>
              <w:left w:val="nil"/>
              <w:bottom w:val="double" w:sz="6" w:space="0" w:color="203764"/>
              <w:right w:val="double" w:sz="6" w:space="0" w:color="203764"/>
            </w:tcBorders>
            <w:shd w:val="clear" w:color="auto" w:fill="auto"/>
            <w:noWrap/>
            <w:vAlign w:val="center"/>
            <w:hideMark/>
          </w:tcPr>
          <w:p w14:paraId="603E50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164</w:t>
            </w:r>
          </w:p>
        </w:tc>
        <w:tc>
          <w:tcPr>
            <w:tcW w:w="1060" w:type="dxa"/>
            <w:tcBorders>
              <w:top w:val="nil"/>
              <w:left w:val="nil"/>
              <w:bottom w:val="double" w:sz="6" w:space="0" w:color="203764"/>
              <w:right w:val="double" w:sz="6" w:space="0" w:color="203764"/>
            </w:tcBorders>
            <w:shd w:val="clear" w:color="auto" w:fill="auto"/>
            <w:noWrap/>
            <w:vAlign w:val="center"/>
            <w:hideMark/>
          </w:tcPr>
          <w:p w14:paraId="51B60F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10,8%</w:t>
            </w:r>
          </w:p>
        </w:tc>
      </w:tr>
      <w:tr w:rsidR="00B15F7D" w:rsidRPr="00990FB6" w14:paraId="37364B07"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5A1DCF97"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44B1BF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Pers. imputada no se apersonó a la cita</w:t>
            </w:r>
          </w:p>
        </w:tc>
        <w:tc>
          <w:tcPr>
            <w:tcW w:w="1673" w:type="dxa"/>
            <w:tcBorders>
              <w:top w:val="nil"/>
              <w:left w:val="nil"/>
              <w:bottom w:val="double" w:sz="6" w:space="0" w:color="203764"/>
              <w:right w:val="double" w:sz="6" w:space="0" w:color="203764"/>
            </w:tcBorders>
            <w:shd w:val="clear" w:color="auto" w:fill="auto"/>
            <w:noWrap/>
            <w:vAlign w:val="center"/>
            <w:hideMark/>
          </w:tcPr>
          <w:p w14:paraId="7216182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78</w:t>
            </w:r>
          </w:p>
        </w:tc>
        <w:tc>
          <w:tcPr>
            <w:tcW w:w="1060" w:type="dxa"/>
            <w:tcBorders>
              <w:top w:val="nil"/>
              <w:left w:val="nil"/>
              <w:bottom w:val="double" w:sz="6" w:space="0" w:color="203764"/>
              <w:right w:val="double" w:sz="6" w:space="0" w:color="203764"/>
            </w:tcBorders>
            <w:shd w:val="clear" w:color="auto" w:fill="auto"/>
            <w:noWrap/>
            <w:vAlign w:val="center"/>
            <w:hideMark/>
          </w:tcPr>
          <w:p w14:paraId="54AA07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5,7%</w:t>
            </w:r>
          </w:p>
        </w:tc>
        <w:tc>
          <w:tcPr>
            <w:tcW w:w="1060" w:type="dxa"/>
            <w:tcBorders>
              <w:top w:val="nil"/>
              <w:left w:val="nil"/>
              <w:bottom w:val="double" w:sz="6" w:space="0" w:color="203764"/>
              <w:right w:val="double" w:sz="6" w:space="0" w:color="203764"/>
            </w:tcBorders>
            <w:shd w:val="clear" w:color="auto" w:fill="auto"/>
            <w:noWrap/>
            <w:vAlign w:val="center"/>
            <w:hideMark/>
          </w:tcPr>
          <w:p w14:paraId="19E6311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98</w:t>
            </w:r>
          </w:p>
        </w:tc>
        <w:tc>
          <w:tcPr>
            <w:tcW w:w="1060" w:type="dxa"/>
            <w:tcBorders>
              <w:top w:val="nil"/>
              <w:left w:val="nil"/>
              <w:bottom w:val="double" w:sz="6" w:space="0" w:color="203764"/>
              <w:right w:val="double" w:sz="6" w:space="0" w:color="203764"/>
            </w:tcBorders>
            <w:shd w:val="clear" w:color="auto" w:fill="auto"/>
            <w:noWrap/>
            <w:vAlign w:val="center"/>
            <w:hideMark/>
          </w:tcPr>
          <w:p w14:paraId="2EF63A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6,5%</w:t>
            </w:r>
          </w:p>
        </w:tc>
      </w:tr>
      <w:tr w:rsidR="00B15F7D" w:rsidRPr="00990FB6" w14:paraId="64F07663"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38E92442"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6320D4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Pers. imputada no se acoge al programa</w:t>
            </w:r>
          </w:p>
        </w:tc>
        <w:tc>
          <w:tcPr>
            <w:tcW w:w="1673" w:type="dxa"/>
            <w:tcBorders>
              <w:top w:val="nil"/>
              <w:left w:val="nil"/>
              <w:bottom w:val="double" w:sz="6" w:space="0" w:color="203764"/>
              <w:right w:val="double" w:sz="6" w:space="0" w:color="203764"/>
            </w:tcBorders>
            <w:shd w:val="clear" w:color="auto" w:fill="auto"/>
            <w:noWrap/>
            <w:vAlign w:val="center"/>
            <w:hideMark/>
          </w:tcPr>
          <w:p w14:paraId="7D7A0C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320</w:t>
            </w:r>
          </w:p>
        </w:tc>
        <w:tc>
          <w:tcPr>
            <w:tcW w:w="1060" w:type="dxa"/>
            <w:tcBorders>
              <w:top w:val="nil"/>
              <w:left w:val="nil"/>
              <w:bottom w:val="double" w:sz="6" w:space="0" w:color="203764"/>
              <w:right w:val="double" w:sz="6" w:space="0" w:color="203764"/>
            </w:tcBorders>
            <w:shd w:val="clear" w:color="auto" w:fill="auto"/>
            <w:noWrap/>
            <w:vAlign w:val="center"/>
            <w:hideMark/>
          </w:tcPr>
          <w:p w14:paraId="4E3CD3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23,4%</w:t>
            </w:r>
          </w:p>
        </w:tc>
        <w:tc>
          <w:tcPr>
            <w:tcW w:w="1060" w:type="dxa"/>
            <w:tcBorders>
              <w:top w:val="nil"/>
              <w:left w:val="nil"/>
              <w:bottom w:val="double" w:sz="6" w:space="0" w:color="203764"/>
              <w:right w:val="double" w:sz="6" w:space="0" w:color="203764"/>
            </w:tcBorders>
            <w:shd w:val="clear" w:color="auto" w:fill="auto"/>
            <w:noWrap/>
            <w:vAlign w:val="center"/>
            <w:hideMark/>
          </w:tcPr>
          <w:p w14:paraId="0E89A34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400</w:t>
            </w:r>
          </w:p>
        </w:tc>
        <w:tc>
          <w:tcPr>
            <w:tcW w:w="1060" w:type="dxa"/>
            <w:tcBorders>
              <w:top w:val="nil"/>
              <w:left w:val="nil"/>
              <w:bottom w:val="double" w:sz="6" w:space="0" w:color="203764"/>
              <w:right w:val="double" w:sz="6" w:space="0" w:color="203764"/>
            </w:tcBorders>
            <w:shd w:val="clear" w:color="auto" w:fill="auto"/>
            <w:noWrap/>
            <w:vAlign w:val="center"/>
            <w:hideMark/>
          </w:tcPr>
          <w:p w14:paraId="51487D0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26,4%</w:t>
            </w:r>
          </w:p>
        </w:tc>
      </w:tr>
      <w:tr w:rsidR="00B15F7D" w:rsidRPr="00990FB6" w14:paraId="618A7460" w14:textId="77777777" w:rsidTr="000A0C22">
        <w:trPr>
          <w:trHeight w:val="330"/>
          <w:jc w:val="center"/>
        </w:trPr>
        <w:tc>
          <w:tcPr>
            <w:tcW w:w="1395" w:type="dxa"/>
            <w:vMerge/>
            <w:tcBorders>
              <w:top w:val="nil"/>
              <w:left w:val="double" w:sz="6" w:space="0" w:color="203764"/>
              <w:bottom w:val="double" w:sz="6" w:space="0" w:color="203764"/>
              <w:right w:val="double" w:sz="6" w:space="0" w:color="203764"/>
            </w:tcBorders>
            <w:vAlign w:val="center"/>
            <w:hideMark/>
          </w:tcPr>
          <w:p w14:paraId="77FAAACC" w14:textId="77777777" w:rsidR="00B15F7D" w:rsidRPr="00990FB6" w:rsidRDefault="00B15F7D" w:rsidP="00B15F7D">
            <w:pPr>
              <w:rPr>
                <w:color w:val="000000"/>
                <w:sz w:val="22"/>
                <w:szCs w:val="22"/>
                <w:lang w:eastAsia="es-CR"/>
              </w:rPr>
            </w:pPr>
          </w:p>
        </w:tc>
        <w:tc>
          <w:tcPr>
            <w:tcW w:w="3827" w:type="dxa"/>
            <w:tcBorders>
              <w:top w:val="nil"/>
              <w:left w:val="nil"/>
              <w:bottom w:val="double" w:sz="6" w:space="0" w:color="203764"/>
              <w:right w:val="double" w:sz="6" w:space="0" w:color="203764"/>
            </w:tcBorders>
            <w:shd w:val="clear" w:color="auto" w:fill="auto"/>
            <w:noWrap/>
            <w:vAlign w:val="center"/>
            <w:hideMark/>
          </w:tcPr>
          <w:p w14:paraId="667757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Por estrategia de la defensa pública</w:t>
            </w:r>
          </w:p>
        </w:tc>
        <w:tc>
          <w:tcPr>
            <w:tcW w:w="1673" w:type="dxa"/>
            <w:tcBorders>
              <w:top w:val="nil"/>
              <w:left w:val="nil"/>
              <w:bottom w:val="double" w:sz="6" w:space="0" w:color="203764"/>
              <w:right w:val="double" w:sz="6" w:space="0" w:color="203764"/>
            </w:tcBorders>
            <w:shd w:val="clear" w:color="auto" w:fill="auto"/>
            <w:noWrap/>
            <w:vAlign w:val="center"/>
            <w:hideMark/>
          </w:tcPr>
          <w:p w14:paraId="0B630D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162</w:t>
            </w:r>
          </w:p>
        </w:tc>
        <w:tc>
          <w:tcPr>
            <w:tcW w:w="1060" w:type="dxa"/>
            <w:tcBorders>
              <w:top w:val="nil"/>
              <w:left w:val="nil"/>
              <w:bottom w:val="double" w:sz="6" w:space="0" w:color="203764"/>
              <w:right w:val="double" w:sz="6" w:space="0" w:color="203764"/>
            </w:tcBorders>
            <w:shd w:val="clear" w:color="auto" w:fill="auto"/>
            <w:noWrap/>
            <w:vAlign w:val="center"/>
            <w:hideMark/>
          </w:tcPr>
          <w:p w14:paraId="72050EF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11,9%</w:t>
            </w:r>
          </w:p>
        </w:tc>
        <w:tc>
          <w:tcPr>
            <w:tcW w:w="1060" w:type="dxa"/>
            <w:tcBorders>
              <w:top w:val="nil"/>
              <w:left w:val="nil"/>
              <w:bottom w:val="double" w:sz="6" w:space="0" w:color="203764"/>
              <w:right w:val="double" w:sz="6" w:space="0" w:color="203764"/>
            </w:tcBorders>
            <w:shd w:val="clear" w:color="auto" w:fill="auto"/>
            <w:noWrap/>
            <w:vAlign w:val="center"/>
            <w:hideMark/>
          </w:tcPr>
          <w:p w14:paraId="471BF3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93</w:t>
            </w:r>
          </w:p>
        </w:tc>
        <w:tc>
          <w:tcPr>
            <w:tcW w:w="1060" w:type="dxa"/>
            <w:tcBorders>
              <w:top w:val="nil"/>
              <w:left w:val="nil"/>
              <w:bottom w:val="double" w:sz="6" w:space="0" w:color="203764"/>
              <w:right w:val="double" w:sz="6" w:space="0" w:color="203764"/>
            </w:tcBorders>
            <w:shd w:val="clear" w:color="auto" w:fill="auto"/>
            <w:noWrap/>
            <w:vAlign w:val="center"/>
            <w:hideMark/>
          </w:tcPr>
          <w:p w14:paraId="165BF9C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6,1%</w:t>
            </w:r>
          </w:p>
        </w:tc>
      </w:tr>
      <w:tr w:rsidR="00B15F7D" w:rsidRPr="00990FB6" w14:paraId="3E88B8B5" w14:textId="77777777" w:rsidTr="000A0C22">
        <w:trPr>
          <w:trHeight w:val="1200"/>
          <w:jc w:val="center"/>
        </w:trPr>
        <w:tc>
          <w:tcPr>
            <w:tcW w:w="1395" w:type="dxa"/>
            <w:tcBorders>
              <w:top w:val="nil"/>
              <w:left w:val="double" w:sz="6" w:space="0" w:color="203764"/>
              <w:bottom w:val="double" w:sz="6" w:space="0" w:color="203764"/>
              <w:right w:val="double" w:sz="6" w:space="0" w:color="203764"/>
            </w:tcBorders>
            <w:shd w:val="clear" w:color="000000" w:fill="D9E1F2"/>
            <w:textDirection w:val="btLr"/>
            <w:vAlign w:val="center"/>
            <w:hideMark/>
          </w:tcPr>
          <w:p w14:paraId="179F775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Dupla </w:t>
            </w:r>
            <w:r w:rsidRPr="00990FB6">
              <w:rPr>
                <w:color w:val="000000"/>
                <w:sz w:val="22"/>
                <w:szCs w:val="22"/>
                <w:lang w:eastAsia="es-CR"/>
              </w:rPr>
              <w:br/>
              <w:t>Psicosocial</w:t>
            </w:r>
          </w:p>
        </w:tc>
        <w:tc>
          <w:tcPr>
            <w:tcW w:w="3827" w:type="dxa"/>
            <w:tcBorders>
              <w:top w:val="nil"/>
              <w:left w:val="nil"/>
              <w:bottom w:val="double" w:sz="6" w:space="0" w:color="203764"/>
              <w:right w:val="double" w:sz="6" w:space="0" w:color="203764"/>
            </w:tcBorders>
            <w:shd w:val="clear" w:color="auto" w:fill="auto"/>
            <w:noWrap/>
            <w:vAlign w:val="center"/>
            <w:hideMark/>
          </w:tcPr>
          <w:p w14:paraId="5BB237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Por criterio técnico-psicosocial</w:t>
            </w:r>
          </w:p>
        </w:tc>
        <w:tc>
          <w:tcPr>
            <w:tcW w:w="1673" w:type="dxa"/>
            <w:tcBorders>
              <w:top w:val="nil"/>
              <w:left w:val="nil"/>
              <w:bottom w:val="double" w:sz="6" w:space="0" w:color="203764"/>
              <w:right w:val="double" w:sz="6" w:space="0" w:color="203764"/>
            </w:tcBorders>
            <w:shd w:val="clear" w:color="auto" w:fill="auto"/>
            <w:noWrap/>
            <w:vAlign w:val="center"/>
            <w:hideMark/>
          </w:tcPr>
          <w:p w14:paraId="5EF882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53</w:t>
            </w:r>
          </w:p>
        </w:tc>
        <w:tc>
          <w:tcPr>
            <w:tcW w:w="1060" w:type="dxa"/>
            <w:tcBorders>
              <w:top w:val="nil"/>
              <w:left w:val="nil"/>
              <w:bottom w:val="double" w:sz="6" w:space="0" w:color="203764"/>
              <w:right w:val="double" w:sz="6" w:space="0" w:color="203764"/>
            </w:tcBorders>
            <w:shd w:val="clear" w:color="auto" w:fill="auto"/>
            <w:noWrap/>
            <w:vAlign w:val="center"/>
            <w:hideMark/>
          </w:tcPr>
          <w:p w14:paraId="7EB4B4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3,9%</w:t>
            </w:r>
          </w:p>
        </w:tc>
        <w:tc>
          <w:tcPr>
            <w:tcW w:w="1060" w:type="dxa"/>
            <w:tcBorders>
              <w:top w:val="nil"/>
              <w:left w:val="nil"/>
              <w:bottom w:val="double" w:sz="6" w:space="0" w:color="203764"/>
              <w:right w:val="double" w:sz="6" w:space="0" w:color="203764"/>
            </w:tcBorders>
            <w:shd w:val="clear" w:color="auto" w:fill="auto"/>
            <w:noWrap/>
            <w:vAlign w:val="center"/>
            <w:hideMark/>
          </w:tcPr>
          <w:p w14:paraId="7579F6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102</w:t>
            </w:r>
          </w:p>
        </w:tc>
        <w:tc>
          <w:tcPr>
            <w:tcW w:w="1060" w:type="dxa"/>
            <w:tcBorders>
              <w:top w:val="nil"/>
              <w:left w:val="nil"/>
              <w:bottom w:val="double" w:sz="6" w:space="0" w:color="203764"/>
              <w:right w:val="double" w:sz="6" w:space="0" w:color="203764"/>
            </w:tcBorders>
            <w:shd w:val="clear" w:color="auto" w:fill="auto"/>
            <w:noWrap/>
            <w:vAlign w:val="center"/>
            <w:hideMark/>
          </w:tcPr>
          <w:p w14:paraId="62F3D0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6,7%</w:t>
            </w:r>
          </w:p>
        </w:tc>
      </w:tr>
    </w:tbl>
    <w:p w14:paraId="1E22DDF5" w14:textId="77777777" w:rsidR="00B15F7D" w:rsidRPr="00990FB6" w:rsidRDefault="00B15F7D" w:rsidP="00B15F7D">
      <w:pPr>
        <w:ind w:left="851" w:right="851" w:firstLine="709"/>
        <w:rPr>
          <w:color w:val="000000"/>
          <w:sz w:val="22"/>
          <w:szCs w:val="22"/>
        </w:rPr>
      </w:pPr>
      <w:r w:rsidRPr="00990FB6">
        <w:rPr>
          <w:b/>
          <w:bCs/>
          <w:color w:val="000000"/>
          <w:sz w:val="22"/>
          <w:szCs w:val="22"/>
        </w:rPr>
        <w:t>Fuente:</w:t>
      </w:r>
      <w:r w:rsidRPr="00990FB6">
        <w:rPr>
          <w:color w:val="000000"/>
          <w:sz w:val="22"/>
          <w:szCs w:val="22"/>
        </w:rPr>
        <w:t xml:space="preserve"> </w:t>
      </w:r>
      <w:r w:rsidRPr="00990FB6">
        <w:rPr>
          <w:bCs/>
          <w:color w:val="000000"/>
          <w:sz w:val="22"/>
          <w:szCs w:val="22"/>
          <w:lang w:eastAsia="es-CR"/>
        </w:rPr>
        <w:t>Modernización Institucional a partir de la información de los anuarios judiciales suministrada por el Subproceso de Estadística.</w:t>
      </w:r>
    </w:p>
    <w:p w14:paraId="3AA9D08D" w14:textId="77777777" w:rsidR="00B15F7D" w:rsidRPr="00990FB6" w:rsidRDefault="00B15F7D" w:rsidP="00B15F7D">
      <w:pPr>
        <w:tabs>
          <w:tab w:val="left" w:pos="0"/>
        </w:tabs>
        <w:ind w:left="851" w:right="851" w:firstLine="709"/>
        <w:jc w:val="both"/>
        <w:rPr>
          <w:color w:val="000000"/>
          <w:sz w:val="22"/>
          <w:szCs w:val="22"/>
        </w:rPr>
      </w:pPr>
    </w:p>
    <w:p w14:paraId="1FB2952E"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Para el año 2022 el motivo de devolución con mayor porcentaje corresponde a “No cumple con los requisitos de admisibilidad”, asociado al Ministerio público el cual cuenta con un 18.9%, cantidad que disminuye en 1.8% respecto al dato obtenido en 2021, lo que evidencia una mejoría en la metodología de evaluación que se usa para remitir los casos a Justicia Restaurativa; sin embargo es importante continuar trabajando fuertemente en este tema para disminuir el ingreso de causas que no cuentan con las características para ser tramitadas a través de Justicia Restaurativa.</w:t>
      </w:r>
    </w:p>
    <w:p w14:paraId="2111C507" w14:textId="77777777" w:rsidR="00B15F7D" w:rsidRPr="00990FB6" w:rsidRDefault="00B15F7D" w:rsidP="00B15F7D">
      <w:pPr>
        <w:tabs>
          <w:tab w:val="left" w:pos="0"/>
        </w:tabs>
        <w:ind w:left="851" w:right="851" w:firstLine="709"/>
        <w:jc w:val="both"/>
        <w:rPr>
          <w:color w:val="000000"/>
          <w:sz w:val="22"/>
          <w:szCs w:val="22"/>
        </w:rPr>
      </w:pPr>
    </w:p>
    <w:p w14:paraId="41C063AD"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En el caso de del rubro “Persona imputada no se acoge al programa”, el porcentaje aumenta para el 2022, en este caso en 3% respecto al 2021, pero en este caso el rubro no depende directamente de las funciones propias de la oficina.</w:t>
      </w:r>
    </w:p>
    <w:p w14:paraId="0CBCBE4A" w14:textId="77777777" w:rsidR="00B15F7D" w:rsidRPr="00990FB6" w:rsidRDefault="00B15F7D" w:rsidP="00B15F7D">
      <w:pPr>
        <w:tabs>
          <w:tab w:val="left" w:pos="0"/>
        </w:tabs>
        <w:ind w:left="851" w:right="851" w:firstLine="709"/>
        <w:jc w:val="both"/>
        <w:rPr>
          <w:color w:val="000000"/>
          <w:sz w:val="22"/>
          <w:szCs w:val="22"/>
        </w:rPr>
      </w:pPr>
    </w:p>
    <w:p w14:paraId="3FDCD993"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lastRenderedPageBreak/>
        <w:t xml:space="preserve">Por otra parte, se presenta a continuación el detalle de la entrada por Circuito Judicial para Justicia Restaurativa considerando el 40% de devolución que fue identificado en el </w:t>
      </w:r>
      <w:r w:rsidRPr="00990FB6">
        <w:rPr>
          <w:color w:val="000000"/>
          <w:sz w:val="22"/>
          <w:szCs w:val="22"/>
        </w:rPr>
        <w:fldChar w:fldCharType="begin"/>
      </w:r>
      <w:r w:rsidRPr="00990FB6">
        <w:rPr>
          <w:color w:val="000000"/>
          <w:sz w:val="22"/>
          <w:szCs w:val="22"/>
        </w:rPr>
        <w:instrText xml:space="preserve"> REF _Ref63966934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8</w:t>
      </w:r>
      <w:r w:rsidRPr="00990FB6">
        <w:rPr>
          <w:color w:val="000000"/>
          <w:sz w:val="22"/>
          <w:szCs w:val="22"/>
        </w:rPr>
        <w:fldChar w:fldCharType="end"/>
      </w:r>
      <w:r w:rsidRPr="00990FB6">
        <w:rPr>
          <w:color w:val="000000"/>
          <w:sz w:val="22"/>
          <w:szCs w:val="22"/>
        </w:rPr>
        <w:t>, para esto se tomaron los datos estadísticos correspondientes al año 2022.</w:t>
      </w:r>
    </w:p>
    <w:p w14:paraId="1693BB31" w14:textId="77777777" w:rsidR="00B15F7D" w:rsidRPr="00990FB6" w:rsidRDefault="00B15F7D" w:rsidP="00B15F7D">
      <w:pPr>
        <w:tabs>
          <w:tab w:val="left" w:pos="0"/>
        </w:tabs>
        <w:ind w:left="851" w:right="851" w:firstLine="709"/>
        <w:jc w:val="both"/>
        <w:rPr>
          <w:color w:val="000000"/>
          <w:sz w:val="22"/>
          <w:szCs w:val="22"/>
        </w:rPr>
      </w:pPr>
    </w:p>
    <w:p w14:paraId="3C80F1A9" w14:textId="77777777" w:rsidR="00B15F7D" w:rsidRPr="00990FB6" w:rsidRDefault="00B15F7D" w:rsidP="00B15F7D">
      <w:pPr>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10</w:t>
      </w:r>
      <w:r w:rsidRPr="00990FB6">
        <w:rPr>
          <w:b/>
          <w:bCs/>
          <w:color w:val="000000"/>
          <w:sz w:val="22"/>
          <w:szCs w:val="22"/>
        </w:rPr>
        <w:fldChar w:fldCharType="end"/>
      </w:r>
      <w:r w:rsidRPr="00990FB6">
        <w:rPr>
          <w:b/>
          <w:bCs/>
          <w:color w:val="000000"/>
          <w:sz w:val="22"/>
          <w:szCs w:val="22"/>
        </w:rPr>
        <w:t>. Entrada promedio mensual de Justicia Restaurativa por Circuito Judicial considerando la reducción del 40% correspondiente al porcentaje de devolución de asuntos.</w:t>
      </w:r>
    </w:p>
    <w:p w14:paraId="39C3B657" w14:textId="77777777" w:rsidR="00B15F7D" w:rsidRPr="00990FB6" w:rsidRDefault="00B15F7D" w:rsidP="00B15F7D">
      <w:pPr>
        <w:jc w:val="both"/>
        <w:rPr>
          <w:b/>
          <w:bCs/>
          <w:color w:val="000000"/>
          <w:sz w:val="22"/>
          <w:szCs w:val="22"/>
        </w:rPr>
      </w:pPr>
    </w:p>
    <w:tbl>
      <w:tblPr>
        <w:tblW w:w="0" w:type="auto"/>
        <w:jc w:val="center"/>
        <w:tblCellMar>
          <w:left w:w="70" w:type="dxa"/>
          <w:right w:w="70" w:type="dxa"/>
        </w:tblCellMar>
        <w:tblLook w:val="04A0" w:firstRow="1" w:lastRow="0" w:firstColumn="1" w:lastColumn="0" w:noHBand="0" w:noVBand="1"/>
      </w:tblPr>
      <w:tblGrid>
        <w:gridCol w:w="3647"/>
        <w:gridCol w:w="1332"/>
        <w:gridCol w:w="1625"/>
        <w:gridCol w:w="1209"/>
      </w:tblGrid>
      <w:tr w:rsidR="00B15F7D" w:rsidRPr="00990FB6" w14:paraId="3055D76B" w14:textId="77777777" w:rsidTr="000A0C22">
        <w:trPr>
          <w:trHeight w:val="360"/>
          <w:jc w:val="center"/>
        </w:trPr>
        <w:tc>
          <w:tcPr>
            <w:tcW w:w="0" w:type="auto"/>
            <w:tcBorders>
              <w:top w:val="double" w:sz="6" w:space="0" w:color="1F4E78"/>
              <w:left w:val="double" w:sz="6" w:space="0" w:color="1F4E78"/>
              <w:bottom w:val="nil"/>
              <w:right w:val="double" w:sz="6" w:space="0" w:color="1F4E78"/>
            </w:tcBorders>
            <w:shd w:val="clear" w:color="000000" w:fill="365F91"/>
            <w:noWrap/>
            <w:vAlign w:val="center"/>
            <w:hideMark/>
          </w:tcPr>
          <w:p w14:paraId="2436E8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0" w:type="auto"/>
            <w:tcBorders>
              <w:top w:val="double" w:sz="6" w:space="0" w:color="305496"/>
              <w:left w:val="nil"/>
              <w:bottom w:val="nil"/>
              <w:right w:val="double" w:sz="6" w:space="0" w:color="305496"/>
            </w:tcBorders>
            <w:shd w:val="clear" w:color="000000" w:fill="365F91"/>
            <w:noWrap/>
            <w:vAlign w:val="center"/>
            <w:hideMark/>
          </w:tcPr>
          <w:p w14:paraId="69768F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Entrada bruta</w:t>
            </w:r>
          </w:p>
        </w:tc>
        <w:tc>
          <w:tcPr>
            <w:tcW w:w="0" w:type="auto"/>
            <w:tcBorders>
              <w:top w:val="double" w:sz="6" w:space="0" w:color="305496"/>
              <w:left w:val="nil"/>
              <w:bottom w:val="nil"/>
              <w:right w:val="double" w:sz="6" w:space="0" w:color="305496"/>
            </w:tcBorders>
            <w:shd w:val="clear" w:color="000000" w:fill="365F91"/>
            <w:noWrap/>
            <w:vAlign w:val="center"/>
            <w:hideMark/>
          </w:tcPr>
          <w:p w14:paraId="047274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Devolución 40%</w:t>
            </w:r>
          </w:p>
        </w:tc>
        <w:tc>
          <w:tcPr>
            <w:tcW w:w="0" w:type="auto"/>
            <w:tcBorders>
              <w:top w:val="double" w:sz="6" w:space="0" w:color="305496"/>
              <w:left w:val="nil"/>
              <w:bottom w:val="nil"/>
              <w:right w:val="double" w:sz="6" w:space="0" w:color="305496"/>
            </w:tcBorders>
            <w:shd w:val="clear" w:color="000000" w:fill="365F91"/>
            <w:noWrap/>
            <w:vAlign w:val="center"/>
            <w:hideMark/>
          </w:tcPr>
          <w:p w14:paraId="35E1BE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Entrada real</w:t>
            </w:r>
          </w:p>
        </w:tc>
      </w:tr>
      <w:tr w:rsidR="00B15F7D" w:rsidRPr="00990FB6" w14:paraId="58E66D12" w14:textId="77777777" w:rsidTr="000A0C22">
        <w:trPr>
          <w:trHeight w:val="36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6835F0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0" w:type="auto"/>
            <w:tcBorders>
              <w:top w:val="double" w:sz="6" w:space="0" w:color="1F4E78"/>
              <w:left w:val="nil"/>
              <w:bottom w:val="double" w:sz="6" w:space="0" w:color="1F4E78"/>
              <w:right w:val="double" w:sz="6" w:space="0" w:color="1F4E78"/>
            </w:tcBorders>
            <w:shd w:val="clear" w:color="000000" w:fill="FFFFFF"/>
            <w:noWrap/>
            <w:vAlign w:val="center"/>
            <w:hideMark/>
          </w:tcPr>
          <w:p w14:paraId="7847D8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45</w:t>
            </w:r>
          </w:p>
        </w:tc>
        <w:tc>
          <w:tcPr>
            <w:tcW w:w="0" w:type="auto"/>
            <w:tcBorders>
              <w:top w:val="double" w:sz="6" w:space="0" w:color="305496"/>
              <w:left w:val="nil"/>
              <w:bottom w:val="double" w:sz="6" w:space="0" w:color="305496"/>
              <w:right w:val="double" w:sz="6" w:space="0" w:color="305496"/>
            </w:tcBorders>
            <w:shd w:val="clear" w:color="000000" w:fill="FFFFFF"/>
            <w:noWrap/>
            <w:vAlign w:val="center"/>
            <w:hideMark/>
          </w:tcPr>
          <w:p w14:paraId="7742D6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18</w:t>
            </w:r>
          </w:p>
        </w:tc>
        <w:tc>
          <w:tcPr>
            <w:tcW w:w="0" w:type="auto"/>
            <w:tcBorders>
              <w:top w:val="double" w:sz="6" w:space="0" w:color="305496"/>
              <w:left w:val="nil"/>
              <w:bottom w:val="double" w:sz="6" w:space="0" w:color="305496"/>
              <w:right w:val="double" w:sz="6" w:space="0" w:color="305496"/>
            </w:tcBorders>
            <w:shd w:val="clear" w:color="000000" w:fill="FFFFFF"/>
            <w:noWrap/>
            <w:vAlign w:val="center"/>
            <w:hideMark/>
          </w:tcPr>
          <w:p w14:paraId="5A325B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w:t>
            </w:r>
          </w:p>
        </w:tc>
      </w:tr>
      <w:tr w:rsidR="00B15F7D" w:rsidRPr="00990FB6" w14:paraId="19A8EB15" w14:textId="77777777" w:rsidTr="000A0C22">
        <w:trPr>
          <w:trHeight w:val="36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1AF337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0" w:type="auto"/>
            <w:tcBorders>
              <w:top w:val="nil"/>
              <w:left w:val="nil"/>
              <w:bottom w:val="double" w:sz="6" w:space="0" w:color="1F4E78"/>
              <w:right w:val="double" w:sz="6" w:space="0" w:color="1F4E78"/>
            </w:tcBorders>
            <w:shd w:val="clear" w:color="000000" w:fill="FFFFFF"/>
            <w:noWrap/>
            <w:vAlign w:val="center"/>
            <w:hideMark/>
          </w:tcPr>
          <w:p w14:paraId="7F9CCCF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c>
          <w:tcPr>
            <w:tcW w:w="0" w:type="auto"/>
            <w:tcBorders>
              <w:top w:val="nil"/>
              <w:left w:val="nil"/>
              <w:bottom w:val="double" w:sz="6" w:space="0" w:color="305496"/>
              <w:right w:val="double" w:sz="6" w:space="0" w:color="305496"/>
            </w:tcBorders>
            <w:shd w:val="clear" w:color="000000" w:fill="FFFFFF"/>
            <w:noWrap/>
            <w:vAlign w:val="center"/>
            <w:hideMark/>
          </w:tcPr>
          <w:p w14:paraId="3D715E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0" w:type="auto"/>
            <w:tcBorders>
              <w:top w:val="nil"/>
              <w:left w:val="nil"/>
              <w:bottom w:val="double" w:sz="6" w:space="0" w:color="305496"/>
              <w:right w:val="double" w:sz="6" w:space="0" w:color="305496"/>
            </w:tcBorders>
            <w:shd w:val="clear" w:color="000000" w:fill="FFFFFF"/>
            <w:noWrap/>
            <w:vAlign w:val="center"/>
            <w:hideMark/>
          </w:tcPr>
          <w:p w14:paraId="41529E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r>
      <w:tr w:rsidR="00B15F7D" w:rsidRPr="00990FB6" w14:paraId="6E52D9B3" w14:textId="77777777" w:rsidTr="000A0C22">
        <w:trPr>
          <w:trHeight w:val="36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004F42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0" w:type="auto"/>
            <w:tcBorders>
              <w:top w:val="nil"/>
              <w:left w:val="nil"/>
              <w:bottom w:val="double" w:sz="6" w:space="0" w:color="1F4E78"/>
              <w:right w:val="double" w:sz="6" w:space="0" w:color="1F4E78"/>
            </w:tcBorders>
            <w:shd w:val="clear" w:color="000000" w:fill="FFFFFF"/>
            <w:noWrap/>
            <w:vAlign w:val="center"/>
            <w:hideMark/>
          </w:tcPr>
          <w:p w14:paraId="7BB4E3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38</w:t>
            </w:r>
          </w:p>
        </w:tc>
        <w:tc>
          <w:tcPr>
            <w:tcW w:w="0" w:type="auto"/>
            <w:tcBorders>
              <w:top w:val="nil"/>
              <w:left w:val="nil"/>
              <w:bottom w:val="double" w:sz="6" w:space="0" w:color="305496"/>
              <w:right w:val="double" w:sz="6" w:space="0" w:color="305496"/>
            </w:tcBorders>
            <w:shd w:val="clear" w:color="000000" w:fill="FFFFFF"/>
            <w:noWrap/>
            <w:vAlign w:val="center"/>
            <w:hideMark/>
          </w:tcPr>
          <w:p w14:paraId="658D9D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w:t>
            </w:r>
          </w:p>
        </w:tc>
        <w:tc>
          <w:tcPr>
            <w:tcW w:w="0" w:type="auto"/>
            <w:tcBorders>
              <w:top w:val="nil"/>
              <w:left w:val="nil"/>
              <w:bottom w:val="double" w:sz="6" w:space="0" w:color="305496"/>
              <w:right w:val="double" w:sz="6" w:space="0" w:color="305496"/>
            </w:tcBorders>
            <w:shd w:val="clear" w:color="000000" w:fill="FFFFFF"/>
            <w:noWrap/>
            <w:vAlign w:val="center"/>
            <w:hideMark/>
          </w:tcPr>
          <w:p w14:paraId="04F2B6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w:t>
            </w:r>
          </w:p>
        </w:tc>
      </w:tr>
      <w:tr w:rsidR="00B15F7D" w:rsidRPr="00990FB6" w14:paraId="6F39935E" w14:textId="77777777" w:rsidTr="000A0C22">
        <w:trPr>
          <w:trHeight w:val="36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7B769F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0" w:type="auto"/>
            <w:tcBorders>
              <w:top w:val="nil"/>
              <w:left w:val="double" w:sz="6" w:space="0" w:color="1F4E78"/>
              <w:bottom w:val="double" w:sz="6" w:space="0" w:color="1F4E78"/>
              <w:right w:val="double" w:sz="6" w:space="0" w:color="1F4E78"/>
            </w:tcBorders>
            <w:shd w:val="clear" w:color="000000" w:fill="FFFFFF"/>
            <w:noWrap/>
            <w:vAlign w:val="center"/>
            <w:hideMark/>
          </w:tcPr>
          <w:p w14:paraId="10E47F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0" w:type="auto"/>
            <w:tcBorders>
              <w:top w:val="nil"/>
              <w:left w:val="nil"/>
              <w:bottom w:val="double" w:sz="6" w:space="0" w:color="305496"/>
              <w:right w:val="double" w:sz="6" w:space="0" w:color="305496"/>
            </w:tcBorders>
            <w:shd w:val="clear" w:color="000000" w:fill="FFFFFF"/>
            <w:noWrap/>
            <w:vAlign w:val="center"/>
            <w:hideMark/>
          </w:tcPr>
          <w:p w14:paraId="28F892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0" w:type="auto"/>
            <w:tcBorders>
              <w:top w:val="nil"/>
              <w:left w:val="nil"/>
              <w:bottom w:val="double" w:sz="6" w:space="0" w:color="305496"/>
              <w:right w:val="double" w:sz="6" w:space="0" w:color="305496"/>
            </w:tcBorders>
            <w:shd w:val="clear" w:color="000000" w:fill="FFFFFF"/>
            <w:noWrap/>
            <w:vAlign w:val="center"/>
            <w:hideMark/>
          </w:tcPr>
          <w:p w14:paraId="630C703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r>
      <w:tr w:rsidR="00B15F7D" w:rsidRPr="00990FB6" w14:paraId="7653980E" w14:textId="77777777" w:rsidTr="000A0C22">
        <w:trPr>
          <w:trHeight w:val="360"/>
          <w:jc w:val="center"/>
        </w:trPr>
        <w:tc>
          <w:tcPr>
            <w:tcW w:w="0" w:type="auto"/>
            <w:tcBorders>
              <w:top w:val="nil"/>
              <w:left w:val="double" w:sz="6" w:space="0" w:color="203764"/>
              <w:bottom w:val="double" w:sz="6" w:space="0" w:color="203764"/>
              <w:right w:val="double" w:sz="6" w:space="0" w:color="203764"/>
            </w:tcBorders>
            <w:shd w:val="clear" w:color="000000" w:fill="D9E1F2"/>
            <w:noWrap/>
            <w:vAlign w:val="center"/>
            <w:hideMark/>
          </w:tcPr>
          <w:p w14:paraId="0ED76F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0" w:type="auto"/>
            <w:tcBorders>
              <w:top w:val="nil"/>
              <w:left w:val="double" w:sz="6" w:space="0" w:color="1F4E78"/>
              <w:bottom w:val="double" w:sz="6" w:space="0" w:color="1F4E78"/>
              <w:right w:val="double" w:sz="6" w:space="0" w:color="1F4E78"/>
            </w:tcBorders>
            <w:shd w:val="clear" w:color="000000" w:fill="FFFFFF"/>
            <w:noWrap/>
            <w:vAlign w:val="center"/>
            <w:hideMark/>
          </w:tcPr>
          <w:p w14:paraId="79DCEF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c>
          <w:tcPr>
            <w:tcW w:w="0" w:type="auto"/>
            <w:tcBorders>
              <w:top w:val="nil"/>
              <w:left w:val="nil"/>
              <w:bottom w:val="double" w:sz="6" w:space="0" w:color="305496"/>
              <w:right w:val="double" w:sz="6" w:space="0" w:color="305496"/>
            </w:tcBorders>
            <w:shd w:val="clear" w:color="000000" w:fill="FFFFFF"/>
            <w:noWrap/>
            <w:vAlign w:val="center"/>
            <w:hideMark/>
          </w:tcPr>
          <w:p w14:paraId="2BDAA48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nil"/>
              <w:left w:val="nil"/>
              <w:bottom w:val="double" w:sz="6" w:space="0" w:color="305496"/>
              <w:right w:val="double" w:sz="6" w:space="0" w:color="305496"/>
            </w:tcBorders>
            <w:shd w:val="clear" w:color="000000" w:fill="FFFFFF"/>
            <w:noWrap/>
            <w:vAlign w:val="center"/>
            <w:hideMark/>
          </w:tcPr>
          <w:p w14:paraId="7DE5DC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r>
      <w:tr w:rsidR="00B15F7D" w:rsidRPr="00990FB6" w14:paraId="0C02EA69" w14:textId="77777777" w:rsidTr="000A0C22">
        <w:trPr>
          <w:trHeight w:val="36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7FFD42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0" w:type="auto"/>
            <w:tcBorders>
              <w:top w:val="nil"/>
              <w:left w:val="nil"/>
              <w:bottom w:val="double" w:sz="6" w:space="0" w:color="1F4E78"/>
              <w:right w:val="double" w:sz="6" w:space="0" w:color="1F4E78"/>
            </w:tcBorders>
            <w:shd w:val="clear" w:color="000000" w:fill="FFFFFF"/>
            <w:noWrap/>
            <w:vAlign w:val="center"/>
            <w:hideMark/>
          </w:tcPr>
          <w:p w14:paraId="31E56F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c>
          <w:tcPr>
            <w:tcW w:w="0" w:type="auto"/>
            <w:tcBorders>
              <w:top w:val="nil"/>
              <w:left w:val="nil"/>
              <w:bottom w:val="double" w:sz="6" w:space="0" w:color="305496"/>
              <w:right w:val="double" w:sz="6" w:space="0" w:color="305496"/>
            </w:tcBorders>
            <w:shd w:val="clear" w:color="000000" w:fill="FFFFFF"/>
            <w:noWrap/>
            <w:vAlign w:val="center"/>
            <w:hideMark/>
          </w:tcPr>
          <w:p w14:paraId="49F327C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0" w:type="auto"/>
            <w:tcBorders>
              <w:top w:val="nil"/>
              <w:left w:val="nil"/>
              <w:bottom w:val="double" w:sz="6" w:space="0" w:color="305496"/>
              <w:right w:val="double" w:sz="6" w:space="0" w:color="305496"/>
            </w:tcBorders>
            <w:shd w:val="clear" w:color="000000" w:fill="FFFFFF"/>
            <w:noWrap/>
            <w:vAlign w:val="center"/>
            <w:hideMark/>
          </w:tcPr>
          <w:p w14:paraId="104A43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18</w:t>
            </w:r>
          </w:p>
        </w:tc>
      </w:tr>
      <w:tr w:rsidR="00B15F7D" w:rsidRPr="00990FB6" w14:paraId="6475C972" w14:textId="77777777" w:rsidTr="000A0C22">
        <w:trPr>
          <w:trHeight w:val="36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66E770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0" w:type="auto"/>
            <w:tcBorders>
              <w:top w:val="nil"/>
              <w:left w:val="nil"/>
              <w:bottom w:val="double" w:sz="6" w:space="0" w:color="1F4E78"/>
              <w:right w:val="double" w:sz="6" w:space="0" w:color="1F4E78"/>
            </w:tcBorders>
            <w:shd w:val="clear" w:color="000000" w:fill="FFFFFF"/>
            <w:noWrap/>
            <w:vAlign w:val="center"/>
            <w:hideMark/>
          </w:tcPr>
          <w:p w14:paraId="57DF13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c>
          <w:tcPr>
            <w:tcW w:w="0" w:type="auto"/>
            <w:tcBorders>
              <w:top w:val="nil"/>
              <w:left w:val="nil"/>
              <w:bottom w:val="double" w:sz="6" w:space="0" w:color="305496"/>
              <w:right w:val="double" w:sz="6" w:space="0" w:color="305496"/>
            </w:tcBorders>
            <w:shd w:val="clear" w:color="000000" w:fill="FFFFFF"/>
            <w:noWrap/>
            <w:vAlign w:val="center"/>
            <w:hideMark/>
          </w:tcPr>
          <w:p w14:paraId="240998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0" w:type="auto"/>
            <w:tcBorders>
              <w:top w:val="nil"/>
              <w:left w:val="nil"/>
              <w:bottom w:val="double" w:sz="6" w:space="0" w:color="305496"/>
              <w:right w:val="double" w:sz="6" w:space="0" w:color="305496"/>
            </w:tcBorders>
            <w:shd w:val="clear" w:color="000000" w:fill="FFFFFF"/>
            <w:noWrap/>
            <w:vAlign w:val="center"/>
            <w:hideMark/>
          </w:tcPr>
          <w:p w14:paraId="1F3C39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r>
      <w:tr w:rsidR="00B15F7D" w:rsidRPr="00990FB6" w14:paraId="4E3A6E15" w14:textId="77777777" w:rsidTr="000A0C22">
        <w:trPr>
          <w:trHeight w:val="360"/>
          <w:jc w:val="center"/>
        </w:trPr>
        <w:tc>
          <w:tcPr>
            <w:tcW w:w="0" w:type="auto"/>
            <w:tcBorders>
              <w:top w:val="nil"/>
              <w:left w:val="double" w:sz="6" w:space="0" w:color="1F4E78"/>
              <w:bottom w:val="double" w:sz="6" w:space="0" w:color="1F4E78"/>
              <w:right w:val="double" w:sz="6" w:space="0" w:color="1F4E78"/>
            </w:tcBorders>
            <w:shd w:val="clear" w:color="000000" w:fill="D9E1F2"/>
            <w:noWrap/>
            <w:vAlign w:val="center"/>
            <w:hideMark/>
          </w:tcPr>
          <w:p w14:paraId="15BE09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0" w:type="auto"/>
            <w:tcBorders>
              <w:top w:val="nil"/>
              <w:left w:val="nil"/>
              <w:bottom w:val="double" w:sz="6" w:space="0" w:color="1F4E78"/>
              <w:right w:val="double" w:sz="6" w:space="0" w:color="1F4E78"/>
            </w:tcBorders>
            <w:shd w:val="clear" w:color="000000" w:fill="FFFFFF"/>
            <w:noWrap/>
            <w:vAlign w:val="center"/>
            <w:hideMark/>
          </w:tcPr>
          <w:p w14:paraId="36750F1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0" w:type="auto"/>
            <w:tcBorders>
              <w:top w:val="nil"/>
              <w:left w:val="nil"/>
              <w:bottom w:val="double" w:sz="6" w:space="0" w:color="305496"/>
              <w:right w:val="double" w:sz="6" w:space="0" w:color="305496"/>
            </w:tcBorders>
            <w:shd w:val="clear" w:color="000000" w:fill="FFFFFF"/>
            <w:noWrap/>
            <w:vAlign w:val="center"/>
            <w:hideMark/>
          </w:tcPr>
          <w:p w14:paraId="43D022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c>
          <w:tcPr>
            <w:tcW w:w="0" w:type="auto"/>
            <w:tcBorders>
              <w:top w:val="nil"/>
              <w:left w:val="nil"/>
              <w:bottom w:val="double" w:sz="6" w:space="0" w:color="305496"/>
              <w:right w:val="double" w:sz="6" w:space="0" w:color="305496"/>
            </w:tcBorders>
            <w:shd w:val="clear" w:color="000000" w:fill="FFFFFF"/>
            <w:noWrap/>
            <w:vAlign w:val="center"/>
            <w:hideMark/>
          </w:tcPr>
          <w:p w14:paraId="22C081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w:t>
            </w:r>
          </w:p>
        </w:tc>
      </w:tr>
      <w:tr w:rsidR="00B15F7D" w:rsidRPr="00990FB6" w14:paraId="75D7D587" w14:textId="77777777" w:rsidTr="000A0C22">
        <w:trPr>
          <w:trHeight w:val="360"/>
          <w:jc w:val="center"/>
        </w:trPr>
        <w:tc>
          <w:tcPr>
            <w:tcW w:w="0" w:type="auto"/>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329DFE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0" w:type="auto"/>
            <w:tcBorders>
              <w:top w:val="nil"/>
              <w:left w:val="double" w:sz="6" w:space="0" w:color="1F4E78"/>
              <w:bottom w:val="double" w:sz="6" w:space="0" w:color="1F4E78"/>
              <w:right w:val="double" w:sz="6" w:space="0" w:color="1F4E78"/>
            </w:tcBorders>
            <w:shd w:val="clear" w:color="000000" w:fill="FFFFFF"/>
            <w:noWrap/>
            <w:vAlign w:val="center"/>
            <w:hideMark/>
          </w:tcPr>
          <w:p w14:paraId="724BDD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nil"/>
              <w:left w:val="nil"/>
              <w:bottom w:val="double" w:sz="6" w:space="0" w:color="305496"/>
              <w:right w:val="double" w:sz="6" w:space="0" w:color="305496"/>
            </w:tcBorders>
            <w:shd w:val="clear" w:color="000000" w:fill="FFFFFF"/>
            <w:noWrap/>
            <w:vAlign w:val="center"/>
            <w:hideMark/>
          </w:tcPr>
          <w:p w14:paraId="638A68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nil"/>
              <w:left w:val="nil"/>
              <w:bottom w:val="double" w:sz="6" w:space="0" w:color="305496"/>
              <w:right w:val="double" w:sz="6" w:space="0" w:color="305496"/>
            </w:tcBorders>
            <w:shd w:val="clear" w:color="000000" w:fill="FFFFFF"/>
            <w:noWrap/>
            <w:vAlign w:val="center"/>
            <w:hideMark/>
          </w:tcPr>
          <w:p w14:paraId="4FCC90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48C39ABD" w14:textId="77777777" w:rsidTr="000A0C22">
        <w:trPr>
          <w:trHeight w:val="360"/>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D9E1F2"/>
            <w:noWrap/>
            <w:vAlign w:val="center"/>
            <w:hideMark/>
          </w:tcPr>
          <w:p w14:paraId="742786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0" w:type="auto"/>
            <w:tcBorders>
              <w:top w:val="nil"/>
              <w:left w:val="nil"/>
              <w:bottom w:val="double" w:sz="6" w:space="0" w:color="1F4E78"/>
              <w:right w:val="double" w:sz="6" w:space="0" w:color="1F4E78"/>
            </w:tcBorders>
            <w:shd w:val="clear" w:color="000000" w:fill="FFFFFF"/>
            <w:noWrap/>
            <w:vAlign w:val="center"/>
            <w:hideMark/>
          </w:tcPr>
          <w:p w14:paraId="2B54D4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c>
          <w:tcPr>
            <w:tcW w:w="0" w:type="auto"/>
            <w:tcBorders>
              <w:top w:val="nil"/>
              <w:left w:val="nil"/>
              <w:bottom w:val="double" w:sz="6" w:space="0" w:color="305496"/>
              <w:right w:val="double" w:sz="6" w:space="0" w:color="305496"/>
            </w:tcBorders>
            <w:shd w:val="clear" w:color="000000" w:fill="FFFFFF"/>
            <w:noWrap/>
            <w:vAlign w:val="center"/>
            <w:hideMark/>
          </w:tcPr>
          <w:p w14:paraId="706F01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w:t>
            </w:r>
          </w:p>
        </w:tc>
        <w:tc>
          <w:tcPr>
            <w:tcW w:w="0" w:type="auto"/>
            <w:tcBorders>
              <w:top w:val="nil"/>
              <w:left w:val="nil"/>
              <w:bottom w:val="double" w:sz="6" w:space="0" w:color="305496"/>
              <w:right w:val="double" w:sz="6" w:space="0" w:color="305496"/>
            </w:tcBorders>
            <w:shd w:val="clear" w:color="000000" w:fill="FFFFFF"/>
            <w:noWrap/>
            <w:vAlign w:val="center"/>
            <w:hideMark/>
          </w:tcPr>
          <w:p w14:paraId="6D96AE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w:t>
            </w:r>
          </w:p>
        </w:tc>
      </w:tr>
      <w:tr w:rsidR="00B15F7D" w:rsidRPr="00990FB6" w14:paraId="4EA84522" w14:textId="77777777" w:rsidTr="000A0C22">
        <w:trPr>
          <w:trHeight w:val="360"/>
          <w:jc w:val="center"/>
        </w:trPr>
        <w:tc>
          <w:tcPr>
            <w:tcW w:w="0" w:type="auto"/>
            <w:gridSpan w:val="3"/>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131430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Promedio General</w:t>
            </w:r>
          </w:p>
        </w:tc>
        <w:tc>
          <w:tcPr>
            <w:tcW w:w="0" w:type="auto"/>
            <w:tcBorders>
              <w:top w:val="nil"/>
              <w:left w:val="nil"/>
              <w:bottom w:val="double" w:sz="6" w:space="0" w:color="305496"/>
              <w:right w:val="double" w:sz="6" w:space="0" w:color="305496"/>
            </w:tcBorders>
            <w:shd w:val="clear" w:color="000000" w:fill="D9D9D9"/>
            <w:noWrap/>
            <w:vAlign w:val="center"/>
            <w:hideMark/>
          </w:tcPr>
          <w:p w14:paraId="0894C7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r>
    </w:tbl>
    <w:p w14:paraId="287104C4"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rPr>
        <w:t xml:space="preserve">       </w:t>
      </w: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extraída de SIGMA.</w:t>
      </w:r>
    </w:p>
    <w:p w14:paraId="12D09DC3" w14:textId="77777777" w:rsidR="00B15F7D" w:rsidRPr="00990FB6" w:rsidRDefault="00B15F7D" w:rsidP="00B15F7D">
      <w:pPr>
        <w:ind w:left="851" w:right="851" w:firstLine="709"/>
        <w:jc w:val="both"/>
        <w:rPr>
          <w:bCs/>
          <w:color w:val="000000"/>
          <w:sz w:val="22"/>
          <w:szCs w:val="22"/>
          <w:lang w:eastAsia="es-CR"/>
        </w:rPr>
      </w:pPr>
    </w:p>
    <w:p w14:paraId="6840EB0C"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 partir de los resultados obtenidos en el cuadro anterior, es posible establecer la carga de trabajo real por Circuito Judicial que cumple con la ejecución de las diferentes etapas del proceso de Justicia Restaurativa, como lo es la realización de Reuniones Restaurativas y las audiencias de seguimiento. En este caso, se tiene en promedio una entrada real de 17 asuntos por circuito judicial.</w:t>
      </w:r>
    </w:p>
    <w:p w14:paraId="1D8627D1" w14:textId="77777777" w:rsidR="00B15F7D" w:rsidRPr="00990FB6" w:rsidRDefault="00B15F7D" w:rsidP="00B15F7D">
      <w:pPr>
        <w:tabs>
          <w:tab w:val="left" w:pos="0"/>
        </w:tabs>
        <w:ind w:left="851" w:right="851" w:firstLine="709"/>
        <w:jc w:val="both"/>
        <w:rPr>
          <w:color w:val="000000"/>
          <w:sz w:val="22"/>
          <w:szCs w:val="22"/>
        </w:rPr>
      </w:pPr>
    </w:p>
    <w:p w14:paraId="3EB24B73"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Adicionalmente, con base en el detalle del </w:t>
      </w:r>
      <w:r w:rsidRPr="00990FB6">
        <w:rPr>
          <w:color w:val="000000"/>
          <w:sz w:val="22"/>
          <w:szCs w:val="22"/>
        </w:rPr>
        <w:fldChar w:fldCharType="begin"/>
      </w:r>
      <w:r w:rsidRPr="00990FB6">
        <w:rPr>
          <w:color w:val="000000"/>
          <w:sz w:val="22"/>
          <w:szCs w:val="22"/>
        </w:rPr>
        <w:instrText xml:space="preserve"> REF _Ref31364377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9</w:t>
      </w:r>
      <w:r w:rsidRPr="00990FB6">
        <w:rPr>
          <w:color w:val="000000"/>
          <w:sz w:val="22"/>
          <w:szCs w:val="22"/>
        </w:rPr>
        <w:fldChar w:fldCharType="end"/>
      </w:r>
      <w:r w:rsidRPr="00990FB6">
        <w:rPr>
          <w:color w:val="000000"/>
          <w:sz w:val="22"/>
          <w:szCs w:val="22"/>
        </w:rPr>
        <w:t xml:space="preserve"> se identificó que al descomponer los expedientes devueltos, un 19% de estos obedece a que no se cumplen los requisitos de admisibilidad mientras que otros 26.4% se deben a que el imputado no se acoge al programa, por lo que el expediente no completó las diferentes etapas del proceso de Justicia Restaurativa y permite de esta forma que ese tiempo sea destinado a la atención de otros casos que si cumplen con los requisitos para completar la totalidad de las actividades requeridas.</w:t>
      </w:r>
    </w:p>
    <w:p w14:paraId="59056267" w14:textId="77777777" w:rsidR="00B15F7D" w:rsidRPr="00990FB6" w:rsidRDefault="00B15F7D" w:rsidP="00B15F7D">
      <w:pPr>
        <w:tabs>
          <w:tab w:val="left" w:pos="0"/>
        </w:tabs>
        <w:ind w:left="851" w:right="851" w:firstLine="709"/>
        <w:jc w:val="both"/>
        <w:rPr>
          <w:color w:val="000000"/>
          <w:sz w:val="22"/>
          <w:szCs w:val="22"/>
        </w:rPr>
      </w:pPr>
    </w:p>
    <w:p w14:paraId="3E9CEB46"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Es importante recalcar la importancia de establecer medidas de verificación con el propósito de comprobar los requisitos de admisibilidad de los casos, esto antes de direccionarlos a Justicia Restaurativa para evitar el mantener porcentajes considerables a raíz de este rubro. </w:t>
      </w:r>
    </w:p>
    <w:p w14:paraId="24FABED0" w14:textId="77777777" w:rsidR="00B15F7D" w:rsidRPr="00990FB6" w:rsidRDefault="00B15F7D" w:rsidP="00B15F7D">
      <w:pPr>
        <w:tabs>
          <w:tab w:val="left" w:pos="0"/>
        </w:tabs>
        <w:ind w:left="851" w:right="851" w:firstLine="709"/>
        <w:jc w:val="both"/>
        <w:rPr>
          <w:color w:val="000000"/>
          <w:sz w:val="22"/>
          <w:szCs w:val="22"/>
        </w:rPr>
      </w:pPr>
    </w:p>
    <w:p w14:paraId="4276F7FF" w14:textId="77777777" w:rsidR="00B15F7D" w:rsidRPr="00990FB6" w:rsidRDefault="00B15F7D" w:rsidP="00B15F7D">
      <w:pPr>
        <w:keepNext/>
        <w:numPr>
          <w:ilvl w:val="1"/>
          <w:numId w:val="155"/>
        </w:numPr>
        <w:suppressAutoHyphens w:val="0"/>
        <w:ind w:left="851" w:right="851" w:firstLine="709"/>
        <w:jc w:val="both"/>
        <w:rPr>
          <w:color w:val="000000"/>
          <w:sz w:val="22"/>
          <w:szCs w:val="22"/>
        </w:rPr>
      </w:pPr>
      <w:r w:rsidRPr="00990FB6">
        <w:rPr>
          <w:color w:val="000000"/>
          <w:sz w:val="22"/>
          <w:szCs w:val="22"/>
        </w:rPr>
        <w:t>Reuniones y audiencias programadas en Justicia Restaurativa Penal de Adultos según circuito.</w:t>
      </w:r>
    </w:p>
    <w:p w14:paraId="6914C195" w14:textId="77777777" w:rsidR="00B15F7D" w:rsidRPr="00990FB6" w:rsidRDefault="00B15F7D" w:rsidP="00B15F7D">
      <w:pPr>
        <w:keepNext/>
        <w:suppressAutoHyphens w:val="0"/>
        <w:ind w:left="851" w:right="851" w:firstLine="709"/>
        <w:jc w:val="both"/>
        <w:rPr>
          <w:color w:val="000000"/>
          <w:sz w:val="22"/>
          <w:szCs w:val="22"/>
        </w:rPr>
      </w:pPr>
    </w:p>
    <w:p w14:paraId="5C536A10"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Es importante indicar que la celebración de las reuniones restaurativas dependerá de si las partes al final del proceso están anuentes a realizarlas, mientras que las de verificación se programan según solicitud, ante un posible reporte de incumplimiento de la medida interpuesta a la parte ofensora.</w:t>
      </w:r>
    </w:p>
    <w:p w14:paraId="0718C819" w14:textId="77777777" w:rsidR="00B15F7D" w:rsidRPr="00990FB6" w:rsidRDefault="00B15F7D" w:rsidP="00B15F7D">
      <w:pPr>
        <w:tabs>
          <w:tab w:val="left" w:pos="0"/>
        </w:tabs>
        <w:ind w:left="851" w:right="851" w:firstLine="709"/>
        <w:jc w:val="both"/>
        <w:rPr>
          <w:color w:val="000000"/>
          <w:sz w:val="22"/>
          <w:szCs w:val="22"/>
        </w:rPr>
      </w:pPr>
    </w:p>
    <w:p w14:paraId="5CC12A37"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Por otra parte, el artículo 22 de la Ley 9582 de Justicia Restaurativa establece lo siguiente: </w:t>
      </w:r>
    </w:p>
    <w:p w14:paraId="797D7697" w14:textId="77777777" w:rsidR="00B15F7D" w:rsidRPr="00990FB6" w:rsidRDefault="00B15F7D" w:rsidP="00B15F7D">
      <w:pPr>
        <w:tabs>
          <w:tab w:val="left" w:pos="0"/>
        </w:tabs>
        <w:ind w:left="851" w:right="851" w:firstLine="709"/>
        <w:jc w:val="both"/>
        <w:rPr>
          <w:color w:val="000000"/>
          <w:sz w:val="22"/>
          <w:szCs w:val="22"/>
        </w:rPr>
      </w:pPr>
    </w:p>
    <w:p w14:paraId="5D3B6D4C" w14:textId="77777777" w:rsidR="00B15F7D" w:rsidRPr="00990FB6" w:rsidRDefault="00B15F7D" w:rsidP="00B15F7D">
      <w:pPr>
        <w:tabs>
          <w:tab w:val="left" w:pos="586"/>
        </w:tabs>
        <w:ind w:left="851" w:right="851" w:firstLine="709"/>
        <w:jc w:val="both"/>
        <w:rPr>
          <w:i/>
          <w:iCs/>
          <w:color w:val="000000"/>
          <w:sz w:val="22"/>
          <w:szCs w:val="22"/>
        </w:rPr>
      </w:pPr>
      <w:r w:rsidRPr="00990FB6">
        <w:rPr>
          <w:i/>
          <w:iCs/>
          <w:color w:val="000000"/>
          <w:sz w:val="22"/>
          <w:szCs w:val="22"/>
        </w:rPr>
        <w:t>“Entre el ingreso del caso a la Oficina de Justicia Restaurativa y la celebración de la reunión restaurativa no podrá exceder el plazo máximo de un mes y en los casos tramitados bajo el procedimiento de flagrancia no podrá exceder el plazo de diez días. En los protocolos de actuación o en el reglamento de esta ley se deberán elaborar los procedimientos para garantizar la celeridad de los plazos, según el mandato de esta ley. “</w:t>
      </w:r>
    </w:p>
    <w:p w14:paraId="4BDCF2EC" w14:textId="77777777" w:rsidR="00B15F7D" w:rsidRPr="00990FB6" w:rsidRDefault="00B15F7D" w:rsidP="00B15F7D">
      <w:pPr>
        <w:tabs>
          <w:tab w:val="left" w:pos="586"/>
        </w:tabs>
        <w:ind w:left="851" w:right="851" w:firstLine="709"/>
        <w:jc w:val="both"/>
        <w:rPr>
          <w:i/>
          <w:iCs/>
          <w:color w:val="000000"/>
          <w:sz w:val="22"/>
          <w:szCs w:val="22"/>
        </w:rPr>
      </w:pPr>
    </w:p>
    <w:p w14:paraId="76601A4D"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 xml:space="preserve">A partir de lo anterior, es necesario realizar el proceso de entrevistas de modo que la reunión restaurativa sea realizada dentro del plazo de ley, no obstante, de las Reuniones Restaurativas programadas se cuenta con un porcentaje de no realización debido a motivos como: </w:t>
      </w:r>
    </w:p>
    <w:p w14:paraId="5FDE029E" w14:textId="77777777" w:rsidR="00B15F7D" w:rsidRPr="00990FB6" w:rsidRDefault="00B15F7D" w:rsidP="00B15F7D">
      <w:pPr>
        <w:tabs>
          <w:tab w:val="left" w:pos="586"/>
        </w:tabs>
        <w:ind w:left="851" w:right="851" w:firstLine="709"/>
        <w:jc w:val="both"/>
        <w:rPr>
          <w:color w:val="000000"/>
          <w:sz w:val="22"/>
          <w:szCs w:val="22"/>
        </w:rPr>
      </w:pPr>
    </w:p>
    <w:p w14:paraId="631750F8"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w:t>
      </w:r>
      <w:r w:rsidRPr="00990FB6">
        <w:rPr>
          <w:color w:val="000000"/>
          <w:sz w:val="22"/>
          <w:szCs w:val="22"/>
        </w:rPr>
        <w:tab/>
        <w:t>La persona no se presentó</w:t>
      </w:r>
    </w:p>
    <w:p w14:paraId="108A37AD"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w:t>
      </w:r>
      <w:r w:rsidRPr="00990FB6">
        <w:rPr>
          <w:color w:val="000000"/>
          <w:sz w:val="22"/>
          <w:szCs w:val="22"/>
        </w:rPr>
        <w:tab/>
        <w:t>La víctima no se presentó</w:t>
      </w:r>
    </w:p>
    <w:p w14:paraId="2186ABCF"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w:t>
      </w:r>
      <w:r w:rsidRPr="00990FB6">
        <w:rPr>
          <w:color w:val="000000"/>
          <w:sz w:val="22"/>
          <w:szCs w:val="22"/>
        </w:rPr>
        <w:tab/>
        <w:t>No se presentó abogado particular</w:t>
      </w:r>
    </w:p>
    <w:p w14:paraId="4679F45F"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w:t>
      </w:r>
      <w:r w:rsidRPr="00990FB6">
        <w:rPr>
          <w:color w:val="000000"/>
          <w:sz w:val="22"/>
          <w:szCs w:val="22"/>
        </w:rPr>
        <w:tab/>
        <w:t>Otros motivos</w:t>
      </w:r>
    </w:p>
    <w:p w14:paraId="4FA0C7FD" w14:textId="77777777" w:rsidR="00B15F7D" w:rsidRPr="00990FB6" w:rsidRDefault="00B15F7D" w:rsidP="00B15F7D">
      <w:pPr>
        <w:tabs>
          <w:tab w:val="left" w:pos="586"/>
        </w:tabs>
        <w:ind w:left="851" w:right="851" w:firstLine="709"/>
        <w:jc w:val="both"/>
        <w:rPr>
          <w:color w:val="000000"/>
          <w:sz w:val="22"/>
          <w:szCs w:val="22"/>
        </w:rPr>
      </w:pPr>
    </w:p>
    <w:p w14:paraId="662508D4"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Los motivos anteriormente indicados se encuentran registrados en los anuarios judiciales elaborados por el Subproceso de Estadística de la Dirección de Planificación, así como unificados dentro del rubro de Reuniones No Realizadas.</w:t>
      </w:r>
    </w:p>
    <w:p w14:paraId="35D097A4" w14:textId="77777777" w:rsidR="00B15F7D" w:rsidRPr="00990FB6" w:rsidRDefault="00B15F7D" w:rsidP="00B15F7D">
      <w:pPr>
        <w:tabs>
          <w:tab w:val="left" w:pos="586"/>
        </w:tabs>
        <w:ind w:left="851" w:right="851" w:firstLine="709"/>
        <w:jc w:val="both"/>
        <w:rPr>
          <w:color w:val="000000"/>
          <w:sz w:val="22"/>
          <w:szCs w:val="22"/>
        </w:rPr>
      </w:pPr>
    </w:p>
    <w:p w14:paraId="1E563444"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A continuación, se presente el detalle de las reuniones restaurativas según equipo interdisciplinario para el año 2022:</w:t>
      </w:r>
    </w:p>
    <w:p w14:paraId="6C1FC554" w14:textId="77777777" w:rsidR="00B15F7D" w:rsidRPr="00990FB6" w:rsidRDefault="00B15F7D" w:rsidP="00B15F7D">
      <w:pPr>
        <w:tabs>
          <w:tab w:val="left" w:pos="586"/>
        </w:tabs>
        <w:ind w:left="851" w:right="851" w:firstLine="709"/>
        <w:jc w:val="both"/>
        <w:rPr>
          <w:color w:val="000000"/>
          <w:sz w:val="22"/>
          <w:szCs w:val="22"/>
        </w:rPr>
      </w:pPr>
    </w:p>
    <w:p w14:paraId="19E2234D" w14:textId="77777777" w:rsidR="00B15F7D" w:rsidRPr="00990FB6" w:rsidRDefault="00B15F7D" w:rsidP="00B15F7D">
      <w:pPr>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11</w:t>
      </w:r>
      <w:r w:rsidRPr="00990FB6">
        <w:rPr>
          <w:b/>
          <w:bCs/>
          <w:color w:val="000000"/>
          <w:sz w:val="22"/>
          <w:szCs w:val="22"/>
        </w:rPr>
        <w:fldChar w:fldCharType="end"/>
      </w:r>
      <w:r w:rsidRPr="00990FB6">
        <w:rPr>
          <w:b/>
          <w:bCs/>
          <w:color w:val="000000"/>
          <w:sz w:val="22"/>
          <w:szCs w:val="22"/>
        </w:rPr>
        <w:t>. Reuniones Restaurativas en materia Penal Adulto para el año 2022</w:t>
      </w:r>
    </w:p>
    <w:p w14:paraId="1370F726" w14:textId="77777777" w:rsidR="00B15F7D" w:rsidRPr="00990FB6" w:rsidRDefault="00B15F7D" w:rsidP="00B15F7D">
      <w:pPr>
        <w:rPr>
          <w:b/>
          <w:color w:val="000000"/>
          <w:sz w:val="22"/>
          <w:szCs w:val="22"/>
          <w:lang w:eastAsia="es-CR"/>
        </w:rPr>
      </w:pPr>
    </w:p>
    <w:tbl>
      <w:tblPr>
        <w:tblW w:w="10229" w:type="dxa"/>
        <w:tblInd w:w="-732" w:type="dxa"/>
        <w:tblCellMar>
          <w:left w:w="70" w:type="dxa"/>
          <w:right w:w="70" w:type="dxa"/>
        </w:tblCellMar>
        <w:tblLook w:val="04A0" w:firstRow="1" w:lastRow="0" w:firstColumn="1" w:lastColumn="0" w:noHBand="0" w:noVBand="1"/>
      </w:tblPr>
      <w:tblGrid>
        <w:gridCol w:w="1154"/>
        <w:gridCol w:w="1093"/>
        <w:gridCol w:w="654"/>
        <w:gridCol w:w="1008"/>
        <w:gridCol w:w="434"/>
        <w:gridCol w:w="1026"/>
        <w:gridCol w:w="434"/>
        <w:gridCol w:w="1020"/>
        <w:gridCol w:w="544"/>
        <w:gridCol w:w="1155"/>
        <w:gridCol w:w="834"/>
        <w:gridCol w:w="873"/>
      </w:tblGrid>
      <w:tr w:rsidR="00B15F7D" w:rsidRPr="00990FB6" w14:paraId="4BE02138" w14:textId="77777777" w:rsidTr="000A0C22">
        <w:trPr>
          <w:trHeight w:val="345"/>
        </w:trPr>
        <w:tc>
          <w:tcPr>
            <w:tcW w:w="1154" w:type="dxa"/>
            <w:vMerge w:val="restart"/>
            <w:tcBorders>
              <w:top w:val="double" w:sz="6" w:space="0" w:color="1F4E78"/>
              <w:left w:val="double" w:sz="6" w:space="0" w:color="1F4E78"/>
              <w:bottom w:val="double" w:sz="6" w:space="0" w:color="1F4E78"/>
              <w:right w:val="double" w:sz="6" w:space="0" w:color="1F4E78"/>
            </w:tcBorders>
            <w:shd w:val="clear" w:color="000000" w:fill="365F91"/>
            <w:vAlign w:val="center"/>
            <w:hideMark/>
          </w:tcPr>
          <w:p w14:paraId="6FC62C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Circuito Judicial</w:t>
            </w:r>
          </w:p>
        </w:tc>
        <w:tc>
          <w:tcPr>
            <w:tcW w:w="9075" w:type="dxa"/>
            <w:gridSpan w:val="11"/>
            <w:tcBorders>
              <w:top w:val="double" w:sz="6" w:space="0" w:color="1F4E78"/>
              <w:left w:val="nil"/>
              <w:bottom w:val="double" w:sz="6" w:space="0" w:color="1F4E78"/>
              <w:right w:val="double" w:sz="6" w:space="0" w:color="1F4E78"/>
            </w:tcBorders>
            <w:shd w:val="clear" w:color="000000" w:fill="365F91"/>
            <w:noWrap/>
            <w:vAlign w:val="center"/>
            <w:hideMark/>
          </w:tcPr>
          <w:p w14:paraId="20B1463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Reuniones programadas</w:t>
            </w:r>
          </w:p>
        </w:tc>
      </w:tr>
      <w:tr w:rsidR="00990FB6" w:rsidRPr="00990FB6" w14:paraId="724B88DC" w14:textId="77777777" w:rsidTr="000A0C22">
        <w:trPr>
          <w:trHeight w:val="975"/>
        </w:trPr>
        <w:tc>
          <w:tcPr>
            <w:tcW w:w="1154" w:type="dxa"/>
            <w:vMerge/>
            <w:tcBorders>
              <w:top w:val="double" w:sz="6" w:space="0" w:color="1F4E78"/>
              <w:left w:val="double" w:sz="6" w:space="0" w:color="1F4E78"/>
              <w:bottom w:val="double" w:sz="6" w:space="0" w:color="1F4E78"/>
              <w:right w:val="double" w:sz="6" w:space="0" w:color="1F4E78"/>
            </w:tcBorders>
            <w:vAlign w:val="center"/>
            <w:hideMark/>
          </w:tcPr>
          <w:p w14:paraId="70674EBD" w14:textId="77777777" w:rsidR="00B15F7D" w:rsidRPr="00990FB6" w:rsidRDefault="00B15F7D" w:rsidP="00B15F7D">
            <w:pPr>
              <w:suppressAutoHyphens w:val="0"/>
              <w:rPr>
                <w:color w:val="000000"/>
                <w:sz w:val="22"/>
                <w:szCs w:val="22"/>
                <w:lang w:val="es-CR" w:eastAsia="es-CR"/>
              </w:rPr>
            </w:pPr>
          </w:p>
        </w:tc>
        <w:tc>
          <w:tcPr>
            <w:tcW w:w="0" w:type="auto"/>
            <w:tcBorders>
              <w:top w:val="nil"/>
              <w:left w:val="nil"/>
              <w:bottom w:val="double" w:sz="6" w:space="0" w:color="1F4E78"/>
              <w:right w:val="double" w:sz="6" w:space="0" w:color="1F4E78"/>
            </w:tcBorders>
            <w:shd w:val="clear" w:color="000000" w:fill="365F91"/>
            <w:noWrap/>
            <w:vAlign w:val="center"/>
            <w:hideMark/>
          </w:tcPr>
          <w:p w14:paraId="464489F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Realizadas</w:t>
            </w:r>
          </w:p>
        </w:tc>
        <w:tc>
          <w:tcPr>
            <w:tcW w:w="0" w:type="auto"/>
            <w:tcBorders>
              <w:top w:val="nil"/>
              <w:left w:val="nil"/>
              <w:bottom w:val="double" w:sz="6" w:space="0" w:color="1F4E78"/>
              <w:right w:val="double" w:sz="6" w:space="0" w:color="1F4E78"/>
            </w:tcBorders>
            <w:shd w:val="clear" w:color="000000" w:fill="365F91"/>
            <w:noWrap/>
            <w:vAlign w:val="center"/>
            <w:hideMark/>
          </w:tcPr>
          <w:p w14:paraId="4E6EAD5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w:t>
            </w:r>
          </w:p>
        </w:tc>
        <w:tc>
          <w:tcPr>
            <w:tcW w:w="0" w:type="auto"/>
            <w:tcBorders>
              <w:top w:val="nil"/>
              <w:left w:val="nil"/>
              <w:bottom w:val="double" w:sz="6" w:space="0" w:color="1F4E78"/>
              <w:right w:val="double" w:sz="6" w:space="0" w:color="1F4E78"/>
            </w:tcBorders>
            <w:shd w:val="clear" w:color="000000" w:fill="365F91"/>
            <w:noWrap/>
            <w:vAlign w:val="center"/>
            <w:hideMark/>
          </w:tcPr>
          <w:p w14:paraId="06FBC0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Pendiente</w:t>
            </w:r>
          </w:p>
        </w:tc>
        <w:tc>
          <w:tcPr>
            <w:tcW w:w="0" w:type="auto"/>
            <w:tcBorders>
              <w:top w:val="nil"/>
              <w:left w:val="nil"/>
              <w:bottom w:val="double" w:sz="6" w:space="0" w:color="1F4E78"/>
              <w:right w:val="double" w:sz="6" w:space="0" w:color="1F4E78"/>
            </w:tcBorders>
            <w:shd w:val="clear" w:color="000000" w:fill="365F91"/>
            <w:noWrap/>
            <w:vAlign w:val="center"/>
            <w:hideMark/>
          </w:tcPr>
          <w:p w14:paraId="030D864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w:t>
            </w:r>
          </w:p>
        </w:tc>
        <w:tc>
          <w:tcPr>
            <w:tcW w:w="0" w:type="auto"/>
            <w:tcBorders>
              <w:top w:val="nil"/>
              <w:left w:val="nil"/>
              <w:bottom w:val="double" w:sz="6" w:space="0" w:color="1F4E78"/>
              <w:right w:val="double" w:sz="6" w:space="0" w:color="1F4E78"/>
            </w:tcBorders>
            <w:shd w:val="clear" w:color="000000" w:fill="365F91"/>
            <w:noWrap/>
            <w:vAlign w:val="center"/>
            <w:hideMark/>
          </w:tcPr>
          <w:p w14:paraId="38E4CA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Sin efecto</w:t>
            </w:r>
          </w:p>
        </w:tc>
        <w:tc>
          <w:tcPr>
            <w:tcW w:w="0" w:type="auto"/>
            <w:tcBorders>
              <w:top w:val="nil"/>
              <w:left w:val="nil"/>
              <w:bottom w:val="double" w:sz="6" w:space="0" w:color="1F4E78"/>
              <w:right w:val="double" w:sz="6" w:space="0" w:color="1F4E78"/>
            </w:tcBorders>
            <w:shd w:val="clear" w:color="000000" w:fill="365F91"/>
            <w:noWrap/>
            <w:vAlign w:val="center"/>
            <w:hideMark/>
          </w:tcPr>
          <w:p w14:paraId="3C31BF8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w:t>
            </w:r>
          </w:p>
        </w:tc>
        <w:tc>
          <w:tcPr>
            <w:tcW w:w="0" w:type="auto"/>
            <w:tcBorders>
              <w:top w:val="nil"/>
              <w:left w:val="nil"/>
              <w:bottom w:val="double" w:sz="6" w:space="0" w:color="1F4E78"/>
              <w:right w:val="double" w:sz="6" w:space="0" w:color="1F4E78"/>
            </w:tcBorders>
            <w:shd w:val="clear" w:color="000000" w:fill="365F91"/>
            <w:vAlign w:val="center"/>
            <w:hideMark/>
          </w:tcPr>
          <w:p w14:paraId="5B8D30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No realizadas</w:t>
            </w:r>
          </w:p>
        </w:tc>
        <w:tc>
          <w:tcPr>
            <w:tcW w:w="0" w:type="auto"/>
            <w:tcBorders>
              <w:top w:val="nil"/>
              <w:left w:val="nil"/>
              <w:bottom w:val="double" w:sz="6" w:space="0" w:color="1F4E78"/>
              <w:right w:val="double" w:sz="6" w:space="0" w:color="1F4E78"/>
            </w:tcBorders>
            <w:shd w:val="clear" w:color="000000" w:fill="365F91"/>
            <w:noWrap/>
            <w:vAlign w:val="center"/>
            <w:hideMark/>
          </w:tcPr>
          <w:p w14:paraId="527B26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w:t>
            </w:r>
          </w:p>
        </w:tc>
        <w:tc>
          <w:tcPr>
            <w:tcW w:w="0" w:type="auto"/>
            <w:tcBorders>
              <w:top w:val="nil"/>
              <w:left w:val="nil"/>
              <w:bottom w:val="double" w:sz="6" w:space="0" w:color="1F4E78"/>
              <w:right w:val="double" w:sz="6" w:space="0" w:color="1F4E78"/>
            </w:tcBorders>
            <w:shd w:val="clear" w:color="000000" w:fill="365F91"/>
            <w:noWrap/>
            <w:vAlign w:val="center"/>
            <w:hideMark/>
          </w:tcPr>
          <w:p w14:paraId="5987441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Suspendida</w:t>
            </w:r>
          </w:p>
        </w:tc>
        <w:tc>
          <w:tcPr>
            <w:tcW w:w="834" w:type="dxa"/>
            <w:tcBorders>
              <w:top w:val="nil"/>
              <w:left w:val="nil"/>
              <w:bottom w:val="double" w:sz="6" w:space="0" w:color="1F4E78"/>
              <w:right w:val="double" w:sz="6" w:space="0" w:color="1F4E78"/>
            </w:tcBorders>
            <w:shd w:val="clear" w:color="000000" w:fill="365F91"/>
            <w:noWrap/>
            <w:vAlign w:val="center"/>
            <w:hideMark/>
          </w:tcPr>
          <w:p w14:paraId="354B00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w:t>
            </w:r>
          </w:p>
        </w:tc>
        <w:tc>
          <w:tcPr>
            <w:tcW w:w="873" w:type="dxa"/>
            <w:tcBorders>
              <w:top w:val="nil"/>
              <w:left w:val="nil"/>
              <w:bottom w:val="double" w:sz="6" w:space="0" w:color="1F4E78"/>
              <w:right w:val="double" w:sz="6" w:space="0" w:color="1F4E78"/>
            </w:tcBorders>
            <w:shd w:val="clear" w:color="000000" w:fill="365F91"/>
            <w:noWrap/>
            <w:vAlign w:val="center"/>
            <w:hideMark/>
          </w:tcPr>
          <w:p w14:paraId="196928B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Total</w:t>
            </w:r>
          </w:p>
        </w:tc>
      </w:tr>
      <w:tr w:rsidR="00B15F7D" w:rsidRPr="00990FB6" w14:paraId="0DAD5C6B" w14:textId="77777777" w:rsidTr="000A0C22">
        <w:trPr>
          <w:trHeight w:val="660"/>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56CE495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II Circuito Judicial de San José</w:t>
            </w:r>
          </w:p>
        </w:tc>
        <w:tc>
          <w:tcPr>
            <w:tcW w:w="0" w:type="auto"/>
            <w:tcBorders>
              <w:top w:val="nil"/>
              <w:left w:val="nil"/>
              <w:bottom w:val="double" w:sz="6" w:space="0" w:color="1F4E78"/>
              <w:right w:val="double" w:sz="6" w:space="0" w:color="1F4E78"/>
            </w:tcBorders>
            <w:shd w:val="clear" w:color="auto" w:fill="auto"/>
            <w:noWrap/>
            <w:vAlign w:val="center"/>
            <w:hideMark/>
          </w:tcPr>
          <w:p w14:paraId="42E0A4B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351</w:t>
            </w:r>
          </w:p>
        </w:tc>
        <w:tc>
          <w:tcPr>
            <w:tcW w:w="0" w:type="auto"/>
            <w:tcBorders>
              <w:top w:val="nil"/>
              <w:left w:val="nil"/>
              <w:bottom w:val="double" w:sz="6" w:space="0" w:color="1F4E78"/>
              <w:right w:val="double" w:sz="6" w:space="0" w:color="1F4E78"/>
            </w:tcBorders>
            <w:shd w:val="clear" w:color="auto" w:fill="auto"/>
            <w:noWrap/>
            <w:vAlign w:val="center"/>
            <w:hideMark/>
          </w:tcPr>
          <w:p w14:paraId="3F1AC71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92%</w:t>
            </w:r>
          </w:p>
        </w:tc>
        <w:tc>
          <w:tcPr>
            <w:tcW w:w="0" w:type="auto"/>
            <w:tcBorders>
              <w:top w:val="nil"/>
              <w:left w:val="nil"/>
              <w:bottom w:val="double" w:sz="6" w:space="0" w:color="1F4E78"/>
              <w:right w:val="double" w:sz="6" w:space="0" w:color="1F4E78"/>
            </w:tcBorders>
            <w:shd w:val="clear" w:color="auto" w:fill="auto"/>
            <w:noWrap/>
            <w:vAlign w:val="center"/>
            <w:hideMark/>
          </w:tcPr>
          <w:p w14:paraId="015548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16</w:t>
            </w:r>
          </w:p>
        </w:tc>
        <w:tc>
          <w:tcPr>
            <w:tcW w:w="0" w:type="auto"/>
            <w:tcBorders>
              <w:top w:val="nil"/>
              <w:left w:val="nil"/>
              <w:bottom w:val="double" w:sz="6" w:space="0" w:color="1F4E78"/>
              <w:right w:val="double" w:sz="6" w:space="0" w:color="1F4E78"/>
            </w:tcBorders>
            <w:shd w:val="clear" w:color="auto" w:fill="auto"/>
            <w:noWrap/>
            <w:vAlign w:val="center"/>
            <w:hideMark/>
          </w:tcPr>
          <w:p w14:paraId="3FCA38D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0" w:type="auto"/>
            <w:tcBorders>
              <w:top w:val="nil"/>
              <w:left w:val="nil"/>
              <w:bottom w:val="double" w:sz="6" w:space="0" w:color="1F4E78"/>
              <w:right w:val="double" w:sz="6" w:space="0" w:color="1F4E78"/>
            </w:tcBorders>
            <w:shd w:val="clear" w:color="auto" w:fill="auto"/>
            <w:noWrap/>
            <w:vAlign w:val="center"/>
            <w:hideMark/>
          </w:tcPr>
          <w:p w14:paraId="4BF3D67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14:paraId="64768A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32B723C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w:t>
            </w:r>
          </w:p>
        </w:tc>
        <w:tc>
          <w:tcPr>
            <w:tcW w:w="0" w:type="auto"/>
            <w:tcBorders>
              <w:top w:val="nil"/>
              <w:left w:val="nil"/>
              <w:bottom w:val="double" w:sz="6" w:space="0" w:color="1F4E78"/>
              <w:right w:val="double" w:sz="6" w:space="0" w:color="1F4E78"/>
            </w:tcBorders>
            <w:shd w:val="clear" w:color="auto" w:fill="auto"/>
            <w:noWrap/>
            <w:vAlign w:val="center"/>
            <w:hideMark/>
          </w:tcPr>
          <w:p w14:paraId="36E44C3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0" w:type="auto"/>
            <w:tcBorders>
              <w:top w:val="nil"/>
              <w:left w:val="nil"/>
              <w:bottom w:val="double" w:sz="6" w:space="0" w:color="1F4E78"/>
              <w:right w:val="double" w:sz="6" w:space="0" w:color="1F4E78"/>
            </w:tcBorders>
            <w:shd w:val="clear" w:color="auto" w:fill="auto"/>
            <w:noWrap/>
            <w:vAlign w:val="center"/>
            <w:hideMark/>
          </w:tcPr>
          <w:p w14:paraId="6F4C489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834" w:type="dxa"/>
            <w:tcBorders>
              <w:top w:val="nil"/>
              <w:left w:val="nil"/>
              <w:bottom w:val="double" w:sz="6" w:space="0" w:color="1F4E78"/>
              <w:right w:val="double" w:sz="6" w:space="0" w:color="1F4E78"/>
            </w:tcBorders>
            <w:shd w:val="clear" w:color="auto" w:fill="auto"/>
            <w:noWrap/>
            <w:vAlign w:val="center"/>
            <w:hideMark/>
          </w:tcPr>
          <w:p w14:paraId="5C89EA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873" w:type="dxa"/>
            <w:tcBorders>
              <w:top w:val="nil"/>
              <w:left w:val="nil"/>
              <w:bottom w:val="double" w:sz="6" w:space="0" w:color="1F4E78"/>
              <w:right w:val="double" w:sz="6" w:space="0" w:color="1F4E78"/>
            </w:tcBorders>
            <w:shd w:val="clear" w:color="auto" w:fill="auto"/>
            <w:noWrap/>
            <w:vAlign w:val="center"/>
            <w:hideMark/>
          </w:tcPr>
          <w:p w14:paraId="31E3DD4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380</w:t>
            </w:r>
          </w:p>
        </w:tc>
      </w:tr>
      <w:tr w:rsidR="00B15F7D" w:rsidRPr="00990FB6" w14:paraId="7B2EF259" w14:textId="77777777" w:rsidTr="000A0C22">
        <w:trPr>
          <w:trHeight w:val="660"/>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4EBF240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lastRenderedPageBreak/>
              <w:t>III Circuito Judicial de San José</w:t>
            </w:r>
          </w:p>
        </w:tc>
        <w:tc>
          <w:tcPr>
            <w:tcW w:w="0" w:type="auto"/>
            <w:tcBorders>
              <w:top w:val="nil"/>
              <w:left w:val="nil"/>
              <w:bottom w:val="double" w:sz="6" w:space="0" w:color="1F4E78"/>
              <w:right w:val="double" w:sz="6" w:space="0" w:color="1F4E78"/>
            </w:tcBorders>
            <w:shd w:val="clear" w:color="auto" w:fill="auto"/>
            <w:noWrap/>
            <w:vAlign w:val="center"/>
            <w:hideMark/>
          </w:tcPr>
          <w:p w14:paraId="15D4F78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138</w:t>
            </w:r>
          </w:p>
        </w:tc>
        <w:tc>
          <w:tcPr>
            <w:tcW w:w="0" w:type="auto"/>
            <w:tcBorders>
              <w:top w:val="nil"/>
              <w:left w:val="nil"/>
              <w:bottom w:val="double" w:sz="6" w:space="0" w:color="1F4E78"/>
              <w:right w:val="double" w:sz="6" w:space="0" w:color="1F4E78"/>
            </w:tcBorders>
            <w:shd w:val="clear" w:color="auto" w:fill="auto"/>
            <w:noWrap/>
            <w:vAlign w:val="center"/>
            <w:hideMark/>
          </w:tcPr>
          <w:p w14:paraId="2627F2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67%</w:t>
            </w:r>
          </w:p>
        </w:tc>
        <w:tc>
          <w:tcPr>
            <w:tcW w:w="0" w:type="auto"/>
            <w:tcBorders>
              <w:top w:val="nil"/>
              <w:left w:val="nil"/>
              <w:bottom w:val="double" w:sz="6" w:space="0" w:color="1F4E78"/>
              <w:right w:val="double" w:sz="6" w:space="0" w:color="1F4E78"/>
            </w:tcBorders>
            <w:shd w:val="clear" w:color="auto" w:fill="auto"/>
            <w:noWrap/>
            <w:vAlign w:val="center"/>
            <w:hideMark/>
          </w:tcPr>
          <w:p w14:paraId="657F61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12</w:t>
            </w:r>
          </w:p>
        </w:tc>
        <w:tc>
          <w:tcPr>
            <w:tcW w:w="0" w:type="auto"/>
            <w:tcBorders>
              <w:top w:val="nil"/>
              <w:left w:val="nil"/>
              <w:bottom w:val="double" w:sz="6" w:space="0" w:color="1F4E78"/>
              <w:right w:val="double" w:sz="6" w:space="0" w:color="1F4E78"/>
            </w:tcBorders>
            <w:shd w:val="clear" w:color="auto" w:fill="auto"/>
            <w:noWrap/>
            <w:vAlign w:val="center"/>
            <w:hideMark/>
          </w:tcPr>
          <w:p w14:paraId="62CF42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6%</w:t>
            </w:r>
          </w:p>
        </w:tc>
        <w:tc>
          <w:tcPr>
            <w:tcW w:w="0" w:type="auto"/>
            <w:tcBorders>
              <w:top w:val="nil"/>
              <w:left w:val="nil"/>
              <w:bottom w:val="double" w:sz="6" w:space="0" w:color="1F4E78"/>
              <w:right w:val="double" w:sz="6" w:space="0" w:color="1F4E78"/>
            </w:tcBorders>
            <w:shd w:val="clear" w:color="auto" w:fill="auto"/>
            <w:noWrap/>
            <w:vAlign w:val="center"/>
            <w:hideMark/>
          </w:tcPr>
          <w:p w14:paraId="444882D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2CCFBF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3904C62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45</w:t>
            </w:r>
          </w:p>
        </w:tc>
        <w:tc>
          <w:tcPr>
            <w:tcW w:w="0" w:type="auto"/>
            <w:tcBorders>
              <w:top w:val="nil"/>
              <w:left w:val="nil"/>
              <w:bottom w:val="double" w:sz="6" w:space="0" w:color="1F4E78"/>
              <w:right w:val="double" w:sz="6" w:space="0" w:color="1F4E78"/>
            </w:tcBorders>
            <w:shd w:val="clear" w:color="auto" w:fill="auto"/>
            <w:noWrap/>
            <w:vAlign w:val="center"/>
            <w:hideMark/>
          </w:tcPr>
          <w:p w14:paraId="07332C2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22%</w:t>
            </w:r>
          </w:p>
        </w:tc>
        <w:tc>
          <w:tcPr>
            <w:tcW w:w="0" w:type="auto"/>
            <w:tcBorders>
              <w:top w:val="nil"/>
              <w:left w:val="nil"/>
              <w:bottom w:val="double" w:sz="6" w:space="0" w:color="1F4E78"/>
              <w:right w:val="double" w:sz="6" w:space="0" w:color="1F4E78"/>
            </w:tcBorders>
            <w:shd w:val="clear" w:color="auto" w:fill="auto"/>
            <w:noWrap/>
            <w:vAlign w:val="center"/>
            <w:hideMark/>
          </w:tcPr>
          <w:p w14:paraId="51308C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11</w:t>
            </w:r>
          </w:p>
        </w:tc>
        <w:tc>
          <w:tcPr>
            <w:tcW w:w="834" w:type="dxa"/>
            <w:tcBorders>
              <w:top w:val="nil"/>
              <w:left w:val="nil"/>
              <w:bottom w:val="double" w:sz="6" w:space="0" w:color="1F4E78"/>
              <w:right w:val="double" w:sz="6" w:space="0" w:color="1F4E78"/>
            </w:tcBorders>
            <w:shd w:val="clear" w:color="auto" w:fill="auto"/>
            <w:noWrap/>
            <w:vAlign w:val="center"/>
            <w:hideMark/>
          </w:tcPr>
          <w:p w14:paraId="4E8D27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873" w:type="dxa"/>
            <w:tcBorders>
              <w:top w:val="nil"/>
              <w:left w:val="nil"/>
              <w:bottom w:val="double" w:sz="6" w:space="0" w:color="1F4E78"/>
              <w:right w:val="double" w:sz="6" w:space="0" w:color="1F4E78"/>
            </w:tcBorders>
            <w:shd w:val="clear" w:color="auto" w:fill="auto"/>
            <w:noWrap/>
            <w:vAlign w:val="center"/>
            <w:hideMark/>
          </w:tcPr>
          <w:p w14:paraId="1843C6D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206</w:t>
            </w:r>
          </w:p>
        </w:tc>
      </w:tr>
      <w:tr w:rsidR="00B15F7D" w:rsidRPr="00990FB6" w14:paraId="55C7A1F4" w14:textId="77777777" w:rsidTr="000A0C22">
        <w:trPr>
          <w:trHeight w:val="345"/>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531449E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Cartago</w:t>
            </w:r>
          </w:p>
        </w:tc>
        <w:tc>
          <w:tcPr>
            <w:tcW w:w="0" w:type="auto"/>
            <w:tcBorders>
              <w:top w:val="nil"/>
              <w:left w:val="nil"/>
              <w:bottom w:val="double" w:sz="6" w:space="0" w:color="1F4E78"/>
              <w:right w:val="double" w:sz="6" w:space="0" w:color="1F4E78"/>
            </w:tcBorders>
            <w:shd w:val="clear" w:color="auto" w:fill="auto"/>
            <w:noWrap/>
            <w:vAlign w:val="center"/>
            <w:hideMark/>
          </w:tcPr>
          <w:p w14:paraId="4C63E94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223</w:t>
            </w:r>
          </w:p>
        </w:tc>
        <w:tc>
          <w:tcPr>
            <w:tcW w:w="0" w:type="auto"/>
            <w:tcBorders>
              <w:top w:val="nil"/>
              <w:left w:val="nil"/>
              <w:bottom w:val="double" w:sz="6" w:space="0" w:color="1F4E78"/>
              <w:right w:val="double" w:sz="6" w:space="0" w:color="1F4E78"/>
            </w:tcBorders>
            <w:shd w:val="clear" w:color="auto" w:fill="auto"/>
            <w:noWrap/>
            <w:vAlign w:val="center"/>
            <w:hideMark/>
          </w:tcPr>
          <w:p w14:paraId="2FF911C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83%</w:t>
            </w:r>
          </w:p>
        </w:tc>
        <w:tc>
          <w:tcPr>
            <w:tcW w:w="0" w:type="auto"/>
            <w:tcBorders>
              <w:top w:val="nil"/>
              <w:left w:val="nil"/>
              <w:bottom w:val="double" w:sz="6" w:space="0" w:color="1F4E78"/>
              <w:right w:val="double" w:sz="6" w:space="0" w:color="1F4E78"/>
            </w:tcBorders>
            <w:shd w:val="clear" w:color="auto" w:fill="auto"/>
            <w:noWrap/>
            <w:vAlign w:val="center"/>
            <w:hideMark/>
          </w:tcPr>
          <w:p w14:paraId="012BAFA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14:paraId="03FD46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268CFB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098B846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48643D2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34</w:t>
            </w:r>
          </w:p>
        </w:tc>
        <w:tc>
          <w:tcPr>
            <w:tcW w:w="0" w:type="auto"/>
            <w:tcBorders>
              <w:top w:val="nil"/>
              <w:left w:val="nil"/>
              <w:bottom w:val="double" w:sz="6" w:space="0" w:color="1F4E78"/>
              <w:right w:val="double" w:sz="6" w:space="0" w:color="1F4E78"/>
            </w:tcBorders>
            <w:shd w:val="clear" w:color="auto" w:fill="auto"/>
            <w:noWrap/>
            <w:vAlign w:val="center"/>
            <w:hideMark/>
          </w:tcPr>
          <w:p w14:paraId="488BB4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13%</w:t>
            </w:r>
          </w:p>
        </w:tc>
        <w:tc>
          <w:tcPr>
            <w:tcW w:w="0" w:type="auto"/>
            <w:tcBorders>
              <w:top w:val="nil"/>
              <w:left w:val="nil"/>
              <w:bottom w:val="double" w:sz="6" w:space="0" w:color="1F4E78"/>
              <w:right w:val="double" w:sz="6" w:space="0" w:color="1F4E78"/>
            </w:tcBorders>
            <w:shd w:val="clear" w:color="auto" w:fill="auto"/>
            <w:noWrap/>
            <w:vAlign w:val="center"/>
            <w:hideMark/>
          </w:tcPr>
          <w:p w14:paraId="32A9253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w:t>
            </w:r>
          </w:p>
        </w:tc>
        <w:tc>
          <w:tcPr>
            <w:tcW w:w="834" w:type="dxa"/>
            <w:tcBorders>
              <w:top w:val="nil"/>
              <w:left w:val="nil"/>
              <w:bottom w:val="double" w:sz="6" w:space="0" w:color="1F4E78"/>
              <w:right w:val="double" w:sz="6" w:space="0" w:color="1F4E78"/>
            </w:tcBorders>
            <w:shd w:val="clear" w:color="auto" w:fill="auto"/>
            <w:noWrap/>
            <w:vAlign w:val="center"/>
            <w:hideMark/>
          </w:tcPr>
          <w:p w14:paraId="1E059A8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873" w:type="dxa"/>
            <w:tcBorders>
              <w:top w:val="nil"/>
              <w:left w:val="nil"/>
              <w:bottom w:val="double" w:sz="6" w:space="0" w:color="1F4E78"/>
              <w:right w:val="double" w:sz="6" w:space="0" w:color="1F4E78"/>
            </w:tcBorders>
            <w:shd w:val="clear" w:color="auto" w:fill="auto"/>
            <w:noWrap/>
            <w:vAlign w:val="center"/>
            <w:hideMark/>
          </w:tcPr>
          <w:p w14:paraId="5805137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268</w:t>
            </w:r>
          </w:p>
        </w:tc>
      </w:tr>
      <w:tr w:rsidR="00B15F7D" w:rsidRPr="00990FB6" w14:paraId="0DE87E6B" w14:textId="77777777" w:rsidTr="000A0C22">
        <w:trPr>
          <w:trHeight w:val="345"/>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669CE7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Heredia</w:t>
            </w:r>
          </w:p>
        </w:tc>
        <w:tc>
          <w:tcPr>
            <w:tcW w:w="0" w:type="auto"/>
            <w:tcBorders>
              <w:top w:val="nil"/>
              <w:left w:val="nil"/>
              <w:bottom w:val="double" w:sz="6" w:space="0" w:color="1F4E78"/>
              <w:right w:val="double" w:sz="6" w:space="0" w:color="1F4E78"/>
            </w:tcBorders>
            <w:shd w:val="clear" w:color="auto" w:fill="auto"/>
            <w:noWrap/>
            <w:vAlign w:val="center"/>
            <w:hideMark/>
          </w:tcPr>
          <w:p w14:paraId="2C6C0B3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260</w:t>
            </w:r>
          </w:p>
        </w:tc>
        <w:tc>
          <w:tcPr>
            <w:tcW w:w="0" w:type="auto"/>
            <w:tcBorders>
              <w:top w:val="nil"/>
              <w:left w:val="nil"/>
              <w:bottom w:val="double" w:sz="6" w:space="0" w:color="1F4E78"/>
              <w:right w:val="double" w:sz="6" w:space="0" w:color="1F4E78"/>
            </w:tcBorders>
            <w:shd w:val="clear" w:color="auto" w:fill="auto"/>
            <w:noWrap/>
            <w:vAlign w:val="center"/>
            <w:hideMark/>
          </w:tcPr>
          <w:p w14:paraId="47F785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87%</w:t>
            </w:r>
          </w:p>
        </w:tc>
        <w:tc>
          <w:tcPr>
            <w:tcW w:w="0" w:type="auto"/>
            <w:tcBorders>
              <w:top w:val="nil"/>
              <w:left w:val="nil"/>
              <w:bottom w:val="double" w:sz="6" w:space="0" w:color="1F4E78"/>
              <w:right w:val="double" w:sz="6" w:space="0" w:color="1F4E78"/>
            </w:tcBorders>
            <w:shd w:val="clear" w:color="auto" w:fill="auto"/>
            <w:noWrap/>
            <w:vAlign w:val="center"/>
            <w:hideMark/>
          </w:tcPr>
          <w:p w14:paraId="7DC3293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0" w:type="auto"/>
            <w:tcBorders>
              <w:top w:val="nil"/>
              <w:left w:val="nil"/>
              <w:bottom w:val="double" w:sz="6" w:space="0" w:color="1F4E78"/>
              <w:right w:val="double" w:sz="6" w:space="0" w:color="1F4E78"/>
            </w:tcBorders>
            <w:shd w:val="clear" w:color="auto" w:fill="auto"/>
            <w:noWrap/>
            <w:vAlign w:val="center"/>
            <w:hideMark/>
          </w:tcPr>
          <w:p w14:paraId="43109E7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14:paraId="6F9CD8C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6F35536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6BCDCC9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30</w:t>
            </w:r>
          </w:p>
        </w:tc>
        <w:tc>
          <w:tcPr>
            <w:tcW w:w="0" w:type="auto"/>
            <w:tcBorders>
              <w:top w:val="nil"/>
              <w:left w:val="nil"/>
              <w:bottom w:val="double" w:sz="6" w:space="0" w:color="1F4E78"/>
              <w:right w:val="double" w:sz="6" w:space="0" w:color="1F4E78"/>
            </w:tcBorders>
            <w:shd w:val="clear" w:color="auto" w:fill="auto"/>
            <w:noWrap/>
            <w:vAlign w:val="center"/>
            <w:hideMark/>
          </w:tcPr>
          <w:p w14:paraId="512DC66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w:t>
            </w:r>
          </w:p>
        </w:tc>
        <w:tc>
          <w:tcPr>
            <w:tcW w:w="0" w:type="auto"/>
            <w:tcBorders>
              <w:top w:val="nil"/>
              <w:left w:val="nil"/>
              <w:bottom w:val="double" w:sz="6" w:space="0" w:color="1F4E78"/>
              <w:right w:val="double" w:sz="6" w:space="0" w:color="1F4E78"/>
            </w:tcBorders>
            <w:shd w:val="clear" w:color="auto" w:fill="auto"/>
            <w:noWrap/>
            <w:vAlign w:val="center"/>
            <w:hideMark/>
          </w:tcPr>
          <w:p w14:paraId="6420E3E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8</w:t>
            </w:r>
          </w:p>
        </w:tc>
        <w:tc>
          <w:tcPr>
            <w:tcW w:w="834" w:type="dxa"/>
            <w:tcBorders>
              <w:top w:val="nil"/>
              <w:left w:val="nil"/>
              <w:bottom w:val="double" w:sz="6" w:space="0" w:color="1F4E78"/>
              <w:right w:val="double" w:sz="6" w:space="0" w:color="1F4E78"/>
            </w:tcBorders>
            <w:shd w:val="clear" w:color="auto" w:fill="auto"/>
            <w:noWrap/>
            <w:vAlign w:val="center"/>
            <w:hideMark/>
          </w:tcPr>
          <w:p w14:paraId="5CD5407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873" w:type="dxa"/>
            <w:tcBorders>
              <w:top w:val="nil"/>
              <w:left w:val="nil"/>
              <w:bottom w:val="double" w:sz="6" w:space="0" w:color="1F4E78"/>
              <w:right w:val="double" w:sz="6" w:space="0" w:color="1F4E78"/>
            </w:tcBorders>
            <w:shd w:val="clear" w:color="auto" w:fill="auto"/>
            <w:noWrap/>
            <w:vAlign w:val="center"/>
            <w:hideMark/>
          </w:tcPr>
          <w:p w14:paraId="7C16B34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300</w:t>
            </w:r>
          </w:p>
        </w:tc>
      </w:tr>
      <w:tr w:rsidR="00B15F7D" w:rsidRPr="00990FB6" w14:paraId="735F18EF" w14:textId="77777777" w:rsidTr="000A0C22">
        <w:trPr>
          <w:trHeight w:val="345"/>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2B4677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Puntarenas</w:t>
            </w:r>
          </w:p>
        </w:tc>
        <w:tc>
          <w:tcPr>
            <w:tcW w:w="0" w:type="auto"/>
            <w:tcBorders>
              <w:top w:val="nil"/>
              <w:left w:val="nil"/>
              <w:bottom w:val="double" w:sz="6" w:space="0" w:color="1F4E78"/>
              <w:right w:val="double" w:sz="6" w:space="0" w:color="1F4E78"/>
            </w:tcBorders>
            <w:shd w:val="clear" w:color="auto" w:fill="auto"/>
            <w:noWrap/>
            <w:vAlign w:val="center"/>
            <w:hideMark/>
          </w:tcPr>
          <w:p w14:paraId="4959F5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180</w:t>
            </w:r>
          </w:p>
        </w:tc>
        <w:tc>
          <w:tcPr>
            <w:tcW w:w="0" w:type="auto"/>
            <w:tcBorders>
              <w:top w:val="nil"/>
              <w:left w:val="nil"/>
              <w:bottom w:val="double" w:sz="6" w:space="0" w:color="1F4E78"/>
              <w:right w:val="double" w:sz="6" w:space="0" w:color="1F4E78"/>
            </w:tcBorders>
            <w:shd w:val="clear" w:color="auto" w:fill="auto"/>
            <w:noWrap/>
            <w:vAlign w:val="center"/>
            <w:hideMark/>
          </w:tcPr>
          <w:p w14:paraId="1B1E61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71%</w:t>
            </w:r>
          </w:p>
        </w:tc>
        <w:tc>
          <w:tcPr>
            <w:tcW w:w="0" w:type="auto"/>
            <w:tcBorders>
              <w:top w:val="nil"/>
              <w:left w:val="nil"/>
              <w:bottom w:val="double" w:sz="6" w:space="0" w:color="1F4E78"/>
              <w:right w:val="double" w:sz="6" w:space="0" w:color="1F4E78"/>
            </w:tcBorders>
            <w:shd w:val="clear" w:color="auto" w:fill="auto"/>
            <w:noWrap/>
            <w:vAlign w:val="center"/>
            <w:hideMark/>
          </w:tcPr>
          <w:p w14:paraId="779FF15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14:paraId="4DFA05B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0BBB4F5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2BDEDB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1FA8C6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59</w:t>
            </w:r>
          </w:p>
        </w:tc>
        <w:tc>
          <w:tcPr>
            <w:tcW w:w="0" w:type="auto"/>
            <w:tcBorders>
              <w:top w:val="nil"/>
              <w:left w:val="nil"/>
              <w:bottom w:val="double" w:sz="6" w:space="0" w:color="1F4E78"/>
              <w:right w:val="double" w:sz="6" w:space="0" w:color="1F4E78"/>
            </w:tcBorders>
            <w:shd w:val="clear" w:color="auto" w:fill="auto"/>
            <w:noWrap/>
            <w:vAlign w:val="center"/>
            <w:hideMark/>
          </w:tcPr>
          <w:p w14:paraId="28E64C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23%</w:t>
            </w:r>
          </w:p>
        </w:tc>
        <w:tc>
          <w:tcPr>
            <w:tcW w:w="0" w:type="auto"/>
            <w:tcBorders>
              <w:top w:val="nil"/>
              <w:left w:val="nil"/>
              <w:bottom w:val="double" w:sz="6" w:space="0" w:color="1F4E78"/>
              <w:right w:val="double" w:sz="6" w:space="0" w:color="1F4E78"/>
            </w:tcBorders>
            <w:shd w:val="clear" w:color="auto" w:fill="auto"/>
            <w:noWrap/>
            <w:vAlign w:val="center"/>
            <w:hideMark/>
          </w:tcPr>
          <w:p w14:paraId="261273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14</w:t>
            </w:r>
          </w:p>
        </w:tc>
        <w:tc>
          <w:tcPr>
            <w:tcW w:w="834" w:type="dxa"/>
            <w:tcBorders>
              <w:top w:val="nil"/>
              <w:left w:val="nil"/>
              <w:bottom w:val="double" w:sz="6" w:space="0" w:color="1F4E78"/>
              <w:right w:val="double" w:sz="6" w:space="0" w:color="1F4E78"/>
            </w:tcBorders>
            <w:shd w:val="clear" w:color="auto" w:fill="auto"/>
            <w:noWrap/>
            <w:vAlign w:val="center"/>
            <w:hideMark/>
          </w:tcPr>
          <w:p w14:paraId="2CD80A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6%</w:t>
            </w:r>
          </w:p>
        </w:tc>
        <w:tc>
          <w:tcPr>
            <w:tcW w:w="873" w:type="dxa"/>
            <w:tcBorders>
              <w:top w:val="nil"/>
              <w:left w:val="nil"/>
              <w:bottom w:val="double" w:sz="6" w:space="0" w:color="1F4E78"/>
              <w:right w:val="double" w:sz="6" w:space="0" w:color="1F4E78"/>
            </w:tcBorders>
            <w:shd w:val="clear" w:color="auto" w:fill="auto"/>
            <w:noWrap/>
            <w:vAlign w:val="center"/>
            <w:hideMark/>
          </w:tcPr>
          <w:p w14:paraId="7711726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254</w:t>
            </w:r>
          </w:p>
        </w:tc>
      </w:tr>
      <w:tr w:rsidR="00B15F7D" w:rsidRPr="00990FB6" w14:paraId="3C94AE11" w14:textId="77777777" w:rsidTr="000A0C22">
        <w:trPr>
          <w:trHeight w:val="345"/>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224C6D2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 xml:space="preserve">Alajuela </w:t>
            </w:r>
          </w:p>
        </w:tc>
        <w:tc>
          <w:tcPr>
            <w:tcW w:w="0" w:type="auto"/>
            <w:tcBorders>
              <w:top w:val="nil"/>
              <w:left w:val="nil"/>
              <w:bottom w:val="double" w:sz="6" w:space="0" w:color="1F4E78"/>
              <w:right w:val="double" w:sz="6" w:space="0" w:color="1F4E78"/>
            </w:tcBorders>
            <w:shd w:val="clear" w:color="auto" w:fill="auto"/>
            <w:noWrap/>
            <w:vAlign w:val="center"/>
            <w:hideMark/>
          </w:tcPr>
          <w:p w14:paraId="690453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47</w:t>
            </w:r>
          </w:p>
        </w:tc>
        <w:tc>
          <w:tcPr>
            <w:tcW w:w="0" w:type="auto"/>
            <w:tcBorders>
              <w:top w:val="nil"/>
              <w:left w:val="nil"/>
              <w:bottom w:val="double" w:sz="6" w:space="0" w:color="1F4E78"/>
              <w:right w:val="double" w:sz="6" w:space="0" w:color="1F4E78"/>
            </w:tcBorders>
            <w:shd w:val="clear" w:color="auto" w:fill="auto"/>
            <w:noWrap/>
            <w:vAlign w:val="center"/>
            <w:hideMark/>
          </w:tcPr>
          <w:p w14:paraId="66004E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84%</w:t>
            </w:r>
          </w:p>
        </w:tc>
        <w:tc>
          <w:tcPr>
            <w:tcW w:w="0" w:type="auto"/>
            <w:tcBorders>
              <w:top w:val="nil"/>
              <w:left w:val="nil"/>
              <w:bottom w:val="double" w:sz="6" w:space="0" w:color="1F4E78"/>
              <w:right w:val="double" w:sz="6" w:space="0" w:color="1F4E78"/>
            </w:tcBorders>
            <w:shd w:val="clear" w:color="auto" w:fill="auto"/>
            <w:noWrap/>
            <w:vAlign w:val="center"/>
            <w:hideMark/>
          </w:tcPr>
          <w:p w14:paraId="34E03F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0" w:type="auto"/>
            <w:tcBorders>
              <w:top w:val="nil"/>
              <w:left w:val="nil"/>
              <w:bottom w:val="double" w:sz="6" w:space="0" w:color="1F4E78"/>
              <w:right w:val="double" w:sz="6" w:space="0" w:color="1F4E78"/>
            </w:tcBorders>
            <w:shd w:val="clear" w:color="auto" w:fill="auto"/>
            <w:noWrap/>
            <w:vAlign w:val="center"/>
            <w:hideMark/>
          </w:tcPr>
          <w:p w14:paraId="19E5595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0" w:type="auto"/>
            <w:tcBorders>
              <w:top w:val="nil"/>
              <w:left w:val="nil"/>
              <w:bottom w:val="double" w:sz="6" w:space="0" w:color="1F4E78"/>
              <w:right w:val="double" w:sz="6" w:space="0" w:color="1F4E78"/>
            </w:tcBorders>
            <w:shd w:val="clear" w:color="auto" w:fill="auto"/>
            <w:noWrap/>
            <w:vAlign w:val="center"/>
            <w:hideMark/>
          </w:tcPr>
          <w:p w14:paraId="0EA192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6784236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534E0C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0" w:type="auto"/>
            <w:tcBorders>
              <w:top w:val="nil"/>
              <w:left w:val="nil"/>
              <w:bottom w:val="double" w:sz="6" w:space="0" w:color="1F4E78"/>
              <w:right w:val="double" w:sz="6" w:space="0" w:color="1F4E78"/>
            </w:tcBorders>
            <w:shd w:val="clear" w:color="auto" w:fill="auto"/>
            <w:noWrap/>
            <w:vAlign w:val="center"/>
            <w:hideMark/>
          </w:tcPr>
          <w:p w14:paraId="744B99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7%</w:t>
            </w:r>
          </w:p>
        </w:tc>
        <w:tc>
          <w:tcPr>
            <w:tcW w:w="0" w:type="auto"/>
            <w:tcBorders>
              <w:top w:val="nil"/>
              <w:left w:val="nil"/>
              <w:bottom w:val="double" w:sz="6" w:space="0" w:color="1F4E78"/>
              <w:right w:val="double" w:sz="6" w:space="0" w:color="1F4E78"/>
            </w:tcBorders>
            <w:shd w:val="clear" w:color="auto" w:fill="auto"/>
            <w:noWrap/>
            <w:vAlign w:val="center"/>
            <w:hideMark/>
          </w:tcPr>
          <w:p w14:paraId="135E2A0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834" w:type="dxa"/>
            <w:tcBorders>
              <w:top w:val="nil"/>
              <w:left w:val="nil"/>
              <w:bottom w:val="double" w:sz="6" w:space="0" w:color="1F4E78"/>
              <w:right w:val="double" w:sz="6" w:space="0" w:color="1F4E78"/>
            </w:tcBorders>
            <w:shd w:val="clear" w:color="auto" w:fill="auto"/>
            <w:noWrap/>
            <w:vAlign w:val="center"/>
            <w:hideMark/>
          </w:tcPr>
          <w:p w14:paraId="1E7F99F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873" w:type="dxa"/>
            <w:tcBorders>
              <w:top w:val="nil"/>
              <w:left w:val="nil"/>
              <w:bottom w:val="double" w:sz="6" w:space="0" w:color="1F4E78"/>
              <w:right w:val="double" w:sz="6" w:space="0" w:color="1F4E78"/>
            </w:tcBorders>
            <w:shd w:val="clear" w:color="auto" w:fill="auto"/>
            <w:noWrap/>
            <w:vAlign w:val="center"/>
            <w:hideMark/>
          </w:tcPr>
          <w:p w14:paraId="2042C53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56</w:t>
            </w:r>
          </w:p>
        </w:tc>
      </w:tr>
      <w:tr w:rsidR="00B15F7D" w:rsidRPr="00990FB6" w14:paraId="78640F47" w14:textId="77777777" w:rsidTr="000A0C22">
        <w:trPr>
          <w:trHeight w:val="345"/>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2EE688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 xml:space="preserve">San Ramón </w:t>
            </w:r>
          </w:p>
        </w:tc>
        <w:tc>
          <w:tcPr>
            <w:tcW w:w="0" w:type="auto"/>
            <w:tcBorders>
              <w:top w:val="nil"/>
              <w:left w:val="nil"/>
              <w:bottom w:val="double" w:sz="6" w:space="0" w:color="1F4E78"/>
              <w:right w:val="double" w:sz="6" w:space="0" w:color="1F4E78"/>
            </w:tcBorders>
            <w:shd w:val="clear" w:color="auto" w:fill="auto"/>
            <w:noWrap/>
            <w:vAlign w:val="center"/>
            <w:hideMark/>
          </w:tcPr>
          <w:p w14:paraId="5D1F18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47</w:t>
            </w:r>
          </w:p>
        </w:tc>
        <w:tc>
          <w:tcPr>
            <w:tcW w:w="0" w:type="auto"/>
            <w:tcBorders>
              <w:top w:val="nil"/>
              <w:left w:val="nil"/>
              <w:bottom w:val="double" w:sz="6" w:space="0" w:color="1F4E78"/>
              <w:right w:val="double" w:sz="6" w:space="0" w:color="1F4E78"/>
            </w:tcBorders>
            <w:shd w:val="clear" w:color="auto" w:fill="auto"/>
            <w:noWrap/>
            <w:vAlign w:val="center"/>
            <w:hideMark/>
          </w:tcPr>
          <w:p w14:paraId="0CEC85E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77%</w:t>
            </w:r>
          </w:p>
        </w:tc>
        <w:tc>
          <w:tcPr>
            <w:tcW w:w="0" w:type="auto"/>
            <w:tcBorders>
              <w:top w:val="nil"/>
              <w:left w:val="nil"/>
              <w:bottom w:val="double" w:sz="6" w:space="0" w:color="1F4E78"/>
              <w:right w:val="double" w:sz="6" w:space="0" w:color="1F4E78"/>
            </w:tcBorders>
            <w:shd w:val="clear" w:color="auto" w:fill="auto"/>
            <w:noWrap/>
            <w:vAlign w:val="center"/>
            <w:hideMark/>
          </w:tcPr>
          <w:p w14:paraId="68D983F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7BA8C2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1448AF9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43841D5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3E65D63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9</w:t>
            </w:r>
          </w:p>
        </w:tc>
        <w:tc>
          <w:tcPr>
            <w:tcW w:w="0" w:type="auto"/>
            <w:tcBorders>
              <w:top w:val="nil"/>
              <w:left w:val="nil"/>
              <w:bottom w:val="double" w:sz="6" w:space="0" w:color="1F4E78"/>
              <w:right w:val="double" w:sz="6" w:space="0" w:color="1F4E78"/>
            </w:tcBorders>
            <w:shd w:val="clear" w:color="auto" w:fill="auto"/>
            <w:noWrap/>
            <w:vAlign w:val="center"/>
            <w:hideMark/>
          </w:tcPr>
          <w:p w14:paraId="63D7C66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15%</w:t>
            </w:r>
          </w:p>
        </w:tc>
        <w:tc>
          <w:tcPr>
            <w:tcW w:w="0" w:type="auto"/>
            <w:tcBorders>
              <w:top w:val="nil"/>
              <w:left w:val="nil"/>
              <w:bottom w:val="double" w:sz="6" w:space="0" w:color="1F4E78"/>
              <w:right w:val="double" w:sz="6" w:space="0" w:color="1F4E78"/>
            </w:tcBorders>
            <w:shd w:val="clear" w:color="auto" w:fill="auto"/>
            <w:noWrap/>
            <w:vAlign w:val="center"/>
            <w:hideMark/>
          </w:tcPr>
          <w:p w14:paraId="67E2859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834" w:type="dxa"/>
            <w:tcBorders>
              <w:top w:val="nil"/>
              <w:left w:val="nil"/>
              <w:bottom w:val="double" w:sz="6" w:space="0" w:color="1F4E78"/>
              <w:right w:val="double" w:sz="6" w:space="0" w:color="1F4E78"/>
            </w:tcBorders>
            <w:shd w:val="clear" w:color="auto" w:fill="auto"/>
            <w:noWrap/>
            <w:vAlign w:val="center"/>
            <w:hideMark/>
          </w:tcPr>
          <w:p w14:paraId="782C434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8%</w:t>
            </w:r>
          </w:p>
        </w:tc>
        <w:tc>
          <w:tcPr>
            <w:tcW w:w="873" w:type="dxa"/>
            <w:tcBorders>
              <w:top w:val="nil"/>
              <w:left w:val="nil"/>
              <w:bottom w:val="double" w:sz="6" w:space="0" w:color="1F4E78"/>
              <w:right w:val="double" w:sz="6" w:space="0" w:color="1F4E78"/>
            </w:tcBorders>
            <w:shd w:val="clear" w:color="auto" w:fill="auto"/>
            <w:noWrap/>
            <w:vAlign w:val="center"/>
            <w:hideMark/>
          </w:tcPr>
          <w:p w14:paraId="551DEEE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61</w:t>
            </w:r>
          </w:p>
        </w:tc>
      </w:tr>
      <w:tr w:rsidR="00B15F7D" w:rsidRPr="00990FB6" w14:paraId="38824276" w14:textId="77777777" w:rsidTr="000A0C22">
        <w:trPr>
          <w:trHeight w:val="660"/>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31AB096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I Circuito Judicial de la Zona Sur</w:t>
            </w:r>
          </w:p>
        </w:tc>
        <w:tc>
          <w:tcPr>
            <w:tcW w:w="0" w:type="auto"/>
            <w:tcBorders>
              <w:top w:val="nil"/>
              <w:left w:val="nil"/>
              <w:bottom w:val="double" w:sz="6" w:space="0" w:color="1F4E78"/>
              <w:right w:val="double" w:sz="6" w:space="0" w:color="1F4E78"/>
            </w:tcBorders>
            <w:shd w:val="clear" w:color="auto" w:fill="auto"/>
            <w:noWrap/>
            <w:vAlign w:val="center"/>
            <w:hideMark/>
          </w:tcPr>
          <w:p w14:paraId="0995BDD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310</w:t>
            </w:r>
          </w:p>
        </w:tc>
        <w:tc>
          <w:tcPr>
            <w:tcW w:w="0" w:type="auto"/>
            <w:tcBorders>
              <w:top w:val="nil"/>
              <w:left w:val="nil"/>
              <w:bottom w:val="double" w:sz="6" w:space="0" w:color="1F4E78"/>
              <w:right w:val="double" w:sz="6" w:space="0" w:color="1F4E78"/>
            </w:tcBorders>
            <w:shd w:val="clear" w:color="auto" w:fill="auto"/>
            <w:noWrap/>
            <w:vAlign w:val="center"/>
            <w:hideMark/>
          </w:tcPr>
          <w:p w14:paraId="50A1BF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83%</w:t>
            </w:r>
          </w:p>
        </w:tc>
        <w:tc>
          <w:tcPr>
            <w:tcW w:w="0" w:type="auto"/>
            <w:tcBorders>
              <w:top w:val="nil"/>
              <w:left w:val="nil"/>
              <w:bottom w:val="double" w:sz="6" w:space="0" w:color="1F4E78"/>
              <w:right w:val="double" w:sz="6" w:space="0" w:color="1F4E78"/>
            </w:tcBorders>
            <w:shd w:val="clear" w:color="auto" w:fill="auto"/>
            <w:noWrap/>
            <w:vAlign w:val="center"/>
            <w:hideMark/>
          </w:tcPr>
          <w:p w14:paraId="684105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9</w:t>
            </w:r>
          </w:p>
        </w:tc>
        <w:tc>
          <w:tcPr>
            <w:tcW w:w="0" w:type="auto"/>
            <w:tcBorders>
              <w:top w:val="nil"/>
              <w:left w:val="nil"/>
              <w:bottom w:val="double" w:sz="6" w:space="0" w:color="1F4E78"/>
              <w:right w:val="double" w:sz="6" w:space="0" w:color="1F4E78"/>
            </w:tcBorders>
            <w:shd w:val="clear" w:color="auto" w:fill="auto"/>
            <w:noWrap/>
            <w:vAlign w:val="center"/>
            <w:hideMark/>
          </w:tcPr>
          <w:p w14:paraId="2183088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0" w:type="auto"/>
            <w:tcBorders>
              <w:top w:val="nil"/>
              <w:left w:val="nil"/>
              <w:bottom w:val="double" w:sz="6" w:space="0" w:color="1F4E78"/>
              <w:right w:val="double" w:sz="6" w:space="0" w:color="1F4E78"/>
            </w:tcBorders>
            <w:shd w:val="clear" w:color="auto" w:fill="auto"/>
            <w:noWrap/>
            <w:vAlign w:val="center"/>
            <w:hideMark/>
          </w:tcPr>
          <w:p w14:paraId="3AE9E3C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14:paraId="39D321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73A5FE8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37</w:t>
            </w:r>
          </w:p>
        </w:tc>
        <w:tc>
          <w:tcPr>
            <w:tcW w:w="0" w:type="auto"/>
            <w:tcBorders>
              <w:top w:val="nil"/>
              <w:left w:val="nil"/>
              <w:bottom w:val="double" w:sz="6" w:space="0" w:color="1F4E78"/>
              <w:right w:val="double" w:sz="6" w:space="0" w:color="1F4E78"/>
            </w:tcBorders>
            <w:shd w:val="clear" w:color="auto" w:fill="auto"/>
            <w:noWrap/>
            <w:vAlign w:val="center"/>
            <w:hideMark/>
          </w:tcPr>
          <w:p w14:paraId="4223433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w:t>
            </w:r>
          </w:p>
        </w:tc>
        <w:tc>
          <w:tcPr>
            <w:tcW w:w="0" w:type="auto"/>
            <w:tcBorders>
              <w:top w:val="nil"/>
              <w:left w:val="nil"/>
              <w:bottom w:val="double" w:sz="6" w:space="0" w:color="1F4E78"/>
              <w:right w:val="double" w:sz="6" w:space="0" w:color="1F4E78"/>
            </w:tcBorders>
            <w:shd w:val="clear" w:color="auto" w:fill="auto"/>
            <w:noWrap/>
            <w:vAlign w:val="center"/>
            <w:hideMark/>
          </w:tcPr>
          <w:p w14:paraId="5DD730B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15</w:t>
            </w:r>
          </w:p>
        </w:tc>
        <w:tc>
          <w:tcPr>
            <w:tcW w:w="834" w:type="dxa"/>
            <w:tcBorders>
              <w:top w:val="nil"/>
              <w:left w:val="nil"/>
              <w:bottom w:val="double" w:sz="6" w:space="0" w:color="1F4E78"/>
              <w:right w:val="double" w:sz="6" w:space="0" w:color="1F4E78"/>
            </w:tcBorders>
            <w:shd w:val="clear" w:color="auto" w:fill="auto"/>
            <w:noWrap/>
            <w:vAlign w:val="center"/>
            <w:hideMark/>
          </w:tcPr>
          <w:p w14:paraId="2375714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873" w:type="dxa"/>
            <w:tcBorders>
              <w:top w:val="nil"/>
              <w:left w:val="nil"/>
              <w:bottom w:val="double" w:sz="6" w:space="0" w:color="1F4E78"/>
              <w:right w:val="double" w:sz="6" w:space="0" w:color="1F4E78"/>
            </w:tcBorders>
            <w:shd w:val="clear" w:color="auto" w:fill="auto"/>
            <w:noWrap/>
            <w:vAlign w:val="center"/>
            <w:hideMark/>
          </w:tcPr>
          <w:p w14:paraId="6B8716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372</w:t>
            </w:r>
          </w:p>
        </w:tc>
      </w:tr>
      <w:tr w:rsidR="00B15F7D" w:rsidRPr="00990FB6" w14:paraId="1D8FAC1D" w14:textId="77777777" w:rsidTr="000A0C22">
        <w:trPr>
          <w:trHeight w:val="660"/>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783C851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I Circuito Judicial de la Zona Atlántica</w:t>
            </w:r>
          </w:p>
        </w:tc>
        <w:tc>
          <w:tcPr>
            <w:tcW w:w="0" w:type="auto"/>
            <w:tcBorders>
              <w:top w:val="nil"/>
              <w:left w:val="nil"/>
              <w:bottom w:val="double" w:sz="6" w:space="0" w:color="1F4E78"/>
              <w:right w:val="double" w:sz="6" w:space="0" w:color="1F4E78"/>
            </w:tcBorders>
            <w:shd w:val="clear" w:color="auto" w:fill="auto"/>
            <w:noWrap/>
            <w:vAlign w:val="center"/>
            <w:hideMark/>
          </w:tcPr>
          <w:p w14:paraId="44CB274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w:t>
            </w:r>
          </w:p>
        </w:tc>
        <w:tc>
          <w:tcPr>
            <w:tcW w:w="0" w:type="auto"/>
            <w:tcBorders>
              <w:top w:val="nil"/>
              <w:left w:val="nil"/>
              <w:bottom w:val="double" w:sz="6" w:space="0" w:color="1F4E78"/>
              <w:right w:val="double" w:sz="6" w:space="0" w:color="1F4E78"/>
            </w:tcBorders>
            <w:shd w:val="clear" w:color="auto" w:fill="auto"/>
            <w:noWrap/>
            <w:vAlign w:val="center"/>
            <w:hideMark/>
          </w:tcPr>
          <w:p w14:paraId="40AF0AA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100%</w:t>
            </w:r>
          </w:p>
        </w:tc>
        <w:tc>
          <w:tcPr>
            <w:tcW w:w="0" w:type="auto"/>
            <w:tcBorders>
              <w:top w:val="nil"/>
              <w:left w:val="nil"/>
              <w:bottom w:val="double" w:sz="6" w:space="0" w:color="1F4E78"/>
              <w:right w:val="double" w:sz="6" w:space="0" w:color="1F4E78"/>
            </w:tcBorders>
            <w:shd w:val="clear" w:color="auto" w:fill="auto"/>
            <w:noWrap/>
            <w:vAlign w:val="center"/>
            <w:hideMark/>
          </w:tcPr>
          <w:p w14:paraId="1637F7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7C1997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7CC4DFF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27D18F9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2D7EE4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7817C9F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43ABF2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834" w:type="dxa"/>
            <w:tcBorders>
              <w:top w:val="nil"/>
              <w:left w:val="nil"/>
              <w:bottom w:val="double" w:sz="6" w:space="0" w:color="1F4E78"/>
              <w:right w:val="double" w:sz="6" w:space="0" w:color="1F4E78"/>
            </w:tcBorders>
            <w:shd w:val="clear" w:color="auto" w:fill="auto"/>
            <w:noWrap/>
            <w:vAlign w:val="center"/>
            <w:hideMark/>
          </w:tcPr>
          <w:p w14:paraId="366FF2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873" w:type="dxa"/>
            <w:tcBorders>
              <w:top w:val="nil"/>
              <w:left w:val="nil"/>
              <w:bottom w:val="double" w:sz="6" w:space="0" w:color="1F4E78"/>
              <w:right w:val="double" w:sz="6" w:space="0" w:color="1F4E78"/>
            </w:tcBorders>
            <w:shd w:val="clear" w:color="auto" w:fill="auto"/>
            <w:noWrap/>
            <w:vAlign w:val="center"/>
            <w:hideMark/>
          </w:tcPr>
          <w:p w14:paraId="7FA950D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w:t>
            </w:r>
          </w:p>
        </w:tc>
      </w:tr>
      <w:tr w:rsidR="00B15F7D" w:rsidRPr="00990FB6" w14:paraId="1711E34F" w14:textId="77777777" w:rsidTr="000A0C22">
        <w:trPr>
          <w:trHeight w:val="660"/>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2BCAA4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II Circuito Judicial de la Zona Atlántica</w:t>
            </w:r>
          </w:p>
        </w:tc>
        <w:tc>
          <w:tcPr>
            <w:tcW w:w="0" w:type="auto"/>
            <w:tcBorders>
              <w:top w:val="nil"/>
              <w:left w:val="nil"/>
              <w:bottom w:val="double" w:sz="6" w:space="0" w:color="1F4E78"/>
              <w:right w:val="double" w:sz="6" w:space="0" w:color="1F4E78"/>
            </w:tcBorders>
            <w:shd w:val="clear" w:color="auto" w:fill="auto"/>
            <w:noWrap/>
            <w:vAlign w:val="center"/>
            <w:hideMark/>
          </w:tcPr>
          <w:p w14:paraId="18097C2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208</w:t>
            </w:r>
          </w:p>
        </w:tc>
        <w:tc>
          <w:tcPr>
            <w:tcW w:w="0" w:type="auto"/>
            <w:tcBorders>
              <w:top w:val="nil"/>
              <w:left w:val="nil"/>
              <w:bottom w:val="double" w:sz="6" w:space="0" w:color="1F4E78"/>
              <w:right w:val="double" w:sz="6" w:space="0" w:color="1F4E78"/>
            </w:tcBorders>
            <w:shd w:val="clear" w:color="auto" w:fill="auto"/>
            <w:noWrap/>
            <w:vAlign w:val="center"/>
            <w:hideMark/>
          </w:tcPr>
          <w:p w14:paraId="3EEC151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83%</w:t>
            </w:r>
          </w:p>
        </w:tc>
        <w:tc>
          <w:tcPr>
            <w:tcW w:w="0" w:type="auto"/>
            <w:tcBorders>
              <w:top w:val="nil"/>
              <w:left w:val="nil"/>
              <w:bottom w:val="double" w:sz="6" w:space="0" w:color="1F4E78"/>
              <w:right w:val="double" w:sz="6" w:space="0" w:color="1F4E78"/>
            </w:tcBorders>
            <w:shd w:val="clear" w:color="auto" w:fill="auto"/>
            <w:noWrap/>
            <w:vAlign w:val="center"/>
            <w:hideMark/>
          </w:tcPr>
          <w:p w14:paraId="01F307E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0" w:type="auto"/>
            <w:tcBorders>
              <w:top w:val="nil"/>
              <w:left w:val="nil"/>
              <w:bottom w:val="double" w:sz="6" w:space="0" w:color="1F4E78"/>
              <w:right w:val="double" w:sz="6" w:space="0" w:color="1F4E78"/>
            </w:tcBorders>
            <w:shd w:val="clear" w:color="auto" w:fill="auto"/>
            <w:noWrap/>
            <w:vAlign w:val="center"/>
            <w:hideMark/>
          </w:tcPr>
          <w:p w14:paraId="6382E0E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0" w:type="auto"/>
            <w:tcBorders>
              <w:top w:val="nil"/>
              <w:left w:val="nil"/>
              <w:bottom w:val="double" w:sz="6" w:space="0" w:color="1F4E78"/>
              <w:right w:val="double" w:sz="6" w:space="0" w:color="1F4E78"/>
            </w:tcBorders>
            <w:shd w:val="clear" w:color="auto" w:fill="auto"/>
            <w:noWrap/>
            <w:vAlign w:val="center"/>
            <w:hideMark/>
          </w:tcPr>
          <w:p w14:paraId="2EFA589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5526119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307EB60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33</w:t>
            </w:r>
          </w:p>
        </w:tc>
        <w:tc>
          <w:tcPr>
            <w:tcW w:w="0" w:type="auto"/>
            <w:tcBorders>
              <w:top w:val="nil"/>
              <w:left w:val="nil"/>
              <w:bottom w:val="double" w:sz="6" w:space="0" w:color="1F4E78"/>
              <w:right w:val="double" w:sz="6" w:space="0" w:color="1F4E78"/>
            </w:tcBorders>
            <w:shd w:val="clear" w:color="auto" w:fill="auto"/>
            <w:noWrap/>
            <w:vAlign w:val="center"/>
            <w:hideMark/>
          </w:tcPr>
          <w:p w14:paraId="081A56B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13%</w:t>
            </w:r>
          </w:p>
        </w:tc>
        <w:tc>
          <w:tcPr>
            <w:tcW w:w="0" w:type="auto"/>
            <w:tcBorders>
              <w:top w:val="nil"/>
              <w:left w:val="nil"/>
              <w:bottom w:val="double" w:sz="6" w:space="0" w:color="1F4E78"/>
              <w:right w:val="double" w:sz="6" w:space="0" w:color="1F4E78"/>
            </w:tcBorders>
            <w:shd w:val="clear" w:color="auto" w:fill="auto"/>
            <w:noWrap/>
            <w:vAlign w:val="center"/>
            <w:hideMark/>
          </w:tcPr>
          <w:p w14:paraId="757E072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834" w:type="dxa"/>
            <w:tcBorders>
              <w:top w:val="nil"/>
              <w:left w:val="nil"/>
              <w:bottom w:val="double" w:sz="6" w:space="0" w:color="1F4E78"/>
              <w:right w:val="double" w:sz="6" w:space="0" w:color="1F4E78"/>
            </w:tcBorders>
            <w:shd w:val="clear" w:color="auto" w:fill="auto"/>
            <w:noWrap/>
            <w:vAlign w:val="center"/>
            <w:hideMark/>
          </w:tcPr>
          <w:p w14:paraId="7EE4ED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873" w:type="dxa"/>
            <w:tcBorders>
              <w:top w:val="nil"/>
              <w:left w:val="nil"/>
              <w:bottom w:val="double" w:sz="6" w:space="0" w:color="1F4E78"/>
              <w:right w:val="double" w:sz="6" w:space="0" w:color="1F4E78"/>
            </w:tcBorders>
            <w:shd w:val="clear" w:color="auto" w:fill="auto"/>
            <w:noWrap/>
            <w:vAlign w:val="center"/>
            <w:hideMark/>
          </w:tcPr>
          <w:p w14:paraId="2F7E305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250</w:t>
            </w:r>
          </w:p>
        </w:tc>
      </w:tr>
      <w:tr w:rsidR="00B15F7D" w:rsidRPr="00990FB6" w14:paraId="0D934B0B" w14:textId="77777777" w:rsidTr="000A0C22">
        <w:trPr>
          <w:trHeight w:val="660"/>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244A15C8" w14:textId="77777777" w:rsidR="00B15F7D" w:rsidRPr="00990FB6" w:rsidRDefault="00B15F7D" w:rsidP="00B15F7D">
            <w:pPr>
              <w:suppressAutoHyphens w:val="0"/>
              <w:jc w:val="center"/>
              <w:rPr>
                <w:color w:val="000000"/>
                <w:sz w:val="22"/>
                <w:szCs w:val="22"/>
                <w:lang w:val="pt-PT" w:eastAsia="es-CR"/>
              </w:rPr>
            </w:pPr>
            <w:r w:rsidRPr="00990FB6">
              <w:rPr>
                <w:color w:val="000000"/>
                <w:sz w:val="22"/>
                <w:szCs w:val="22"/>
                <w:lang w:val="pt-PT" w:eastAsia="es-CR"/>
              </w:rPr>
              <w:t>I Circuito Judicial de Guanacaste</w:t>
            </w:r>
          </w:p>
        </w:tc>
        <w:tc>
          <w:tcPr>
            <w:tcW w:w="0" w:type="auto"/>
            <w:tcBorders>
              <w:top w:val="nil"/>
              <w:left w:val="nil"/>
              <w:bottom w:val="double" w:sz="6" w:space="0" w:color="1F4E78"/>
              <w:right w:val="double" w:sz="6" w:space="0" w:color="1F4E78"/>
            </w:tcBorders>
            <w:shd w:val="clear" w:color="auto" w:fill="auto"/>
            <w:noWrap/>
            <w:vAlign w:val="center"/>
            <w:hideMark/>
          </w:tcPr>
          <w:p w14:paraId="493269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183</w:t>
            </w:r>
          </w:p>
        </w:tc>
        <w:tc>
          <w:tcPr>
            <w:tcW w:w="0" w:type="auto"/>
            <w:tcBorders>
              <w:top w:val="nil"/>
              <w:left w:val="nil"/>
              <w:bottom w:val="double" w:sz="6" w:space="0" w:color="1F4E78"/>
              <w:right w:val="double" w:sz="6" w:space="0" w:color="1F4E78"/>
            </w:tcBorders>
            <w:shd w:val="clear" w:color="auto" w:fill="auto"/>
            <w:noWrap/>
            <w:vAlign w:val="center"/>
            <w:hideMark/>
          </w:tcPr>
          <w:p w14:paraId="2E04722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77%</w:t>
            </w:r>
          </w:p>
        </w:tc>
        <w:tc>
          <w:tcPr>
            <w:tcW w:w="0" w:type="auto"/>
            <w:tcBorders>
              <w:top w:val="nil"/>
              <w:left w:val="nil"/>
              <w:bottom w:val="double" w:sz="6" w:space="0" w:color="1F4E78"/>
              <w:right w:val="double" w:sz="6" w:space="0" w:color="1F4E78"/>
            </w:tcBorders>
            <w:shd w:val="clear" w:color="auto" w:fill="auto"/>
            <w:noWrap/>
            <w:vAlign w:val="center"/>
            <w:hideMark/>
          </w:tcPr>
          <w:p w14:paraId="7B9B913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11</w:t>
            </w:r>
          </w:p>
        </w:tc>
        <w:tc>
          <w:tcPr>
            <w:tcW w:w="0" w:type="auto"/>
            <w:tcBorders>
              <w:top w:val="nil"/>
              <w:left w:val="nil"/>
              <w:bottom w:val="double" w:sz="6" w:space="0" w:color="1F4E78"/>
              <w:right w:val="double" w:sz="6" w:space="0" w:color="1F4E78"/>
            </w:tcBorders>
            <w:shd w:val="clear" w:color="auto" w:fill="auto"/>
            <w:noWrap/>
            <w:vAlign w:val="center"/>
            <w:hideMark/>
          </w:tcPr>
          <w:p w14:paraId="1A1FB9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0" w:type="auto"/>
            <w:tcBorders>
              <w:top w:val="nil"/>
              <w:left w:val="nil"/>
              <w:bottom w:val="double" w:sz="6" w:space="0" w:color="1F4E78"/>
              <w:right w:val="double" w:sz="6" w:space="0" w:color="1F4E78"/>
            </w:tcBorders>
            <w:shd w:val="clear" w:color="auto" w:fill="auto"/>
            <w:noWrap/>
            <w:vAlign w:val="center"/>
            <w:hideMark/>
          </w:tcPr>
          <w:p w14:paraId="4E2BF71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14:paraId="07B2DFD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7442BEB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27</w:t>
            </w:r>
          </w:p>
        </w:tc>
        <w:tc>
          <w:tcPr>
            <w:tcW w:w="0" w:type="auto"/>
            <w:tcBorders>
              <w:top w:val="nil"/>
              <w:left w:val="nil"/>
              <w:bottom w:val="double" w:sz="6" w:space="0" w:color="1F4E78"/>
              <w:right w:val="double" w:sz="6" w:space="0" w:color="1F4E78"/>
            </w:tcBorders>
            <w:shd w:val="clear" w:color="auto" w:fill="auto"/>
            <w:noWrap/>
            <w:vAlign w:val="center"/>
            <w:hideMark/>
          </w:tcPr>
          <w:p w14:paraId="3F9BF48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11%</w:t>
            </w:r>
          </w:p>
        </w:tc>
        <w:tc>
          <w:tcPr>
            <w:tcW w:w="0" w:type="auto"/>
            <w:tcBorders>
              <w:top w:val="nil"/>
              <w:left w:val="nil"/>
              <w:bottom w:val="double" w:sz="6" w:space="0" w:color="1F4E78"/>
              <w:right w:val="double" w:sz="6" w:space="0" w:color="1F4E78"/>
            </w:tcBorders>
            <w:shd w:val="clear" w:color="auto" w:fill="auto"/>
            <w:noWrap/>
            <w:vAlign w:val="center"/>
            <w:hideMark/>
          </w:tcPr>
          <w:p w14:paraId="5D00F51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16</w:t>
            </w:r>
          </w:p>
        </w:tc>
        <w:tc>
          <w:tcPr>
            <w:tcW w:w="834" w:type="dxa"/>
            <w:tcBorders>
              <w:top w:val="nil"/>
              <w:left w:val="nil"/>
              <w:bottom w:val="double" w:sz="6" w:space="0" w:color="1F4E78"/>
              <w:right w:val="double" w:sz="6" w:space="0" w:color="1F4E78"/>
            </w:tcBorders>
            <w:shd w:val="clear" w:color="auto" w:fill="auto"/>
            <w:noWrap/>
            <w:vAlign w:val="center"/>
            <w:hideMark/>
          </w:tcPr>
          <w:p w14:paraId="08C89F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7%</w:t>
            </w:r>
          </w:p>
        </w:tc>
        <w:tc>
          <w:tcPr>
            <w:tcW w:w="873" w:type="dxa"/>
            <w:tcBorders>
              <w:top w:val="nil"/>
              <w:left w:val="nil"/>
              <w:bottom w:val="double" w:sz="6" w:space="0" w:color="1F4E78"/>
              <w:right w:val="double" w:sz="6" w:space="0" w:color="1F4E78"/>
            </w:tcBorders>
            <w:shd w:val="clear" w:color="auto" w:fill="auto"/>
            <w:noWrap/>
            <w:vAlign w:val="center"/>
            <w:hideMark/>
          </w:tcPr>
          <w:p w14:paraId="13A7206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238</w:t>
            </w:r>
          </w:p>
        </w:tc>
      </w:tr>
      <w:tr w:rsidR="00B15F7D" w:rsidRPr="00990FB6" w14:paraId="51A497FC" w14:textId="77777777" w:rsidTr="000A0C22">
        <w:trPr>
          <w:trHeight w:val="345"/>
        </w:trPr>
        <w:tc>
          <w:tcPr>
            <w:tcW w:w="1154" w:type="dxa"/>
            <w:tcBorders>
              <w:top w:val="nil"/>
              <w:left w:val="double" w:sz="6" w:space="0" w:color="1F4E78"/>
              <w:bottom w:val="double" w:sz="6" w:space="0" w:color="1F4E78"/>
              <w:right w:val="double" w:sz="6" w:space="0" w:color="1F4E78"/>
            </w:tcBorders>
            <w:shd w:val="clear" w:color="auto" w:fill="auto"/>
            <w:vAlign w:val="center"/>
            <w:hideMark/>
          </w:tcPr>
          <w:p w14:paraId="66B291E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Corredores</w:t>
            </w:r>
          </w:p>
        </w:tc>
        <w:tc>
          <w:tcPr>
            <w:tcW w:w="0" w:type="auto"/>
            <w:tcBorders>
              <w:top w:val="nil"/>
              <w:left w:val="nil"/>
              <w:bottom w:val="double" w:sz="6" w:space="0" w:color="1F4E78"/>
              <w:right w:val="double" w:sz="6" w:space="0" w:color="1F4E78"/>
            </w:tcBorders>
            <w:shd w:val="clear" w:color="auto" w:fill="auto"/>
            <w:noWrap/>
            <w:vAlign w:val="center"/>
            <w:hideMark/>
          </w:tcPr>
          <w:p w14:paraId="6B93370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149</w:t>
            </w:r>
          </w:p>
        </w:tc>
        <w:tc>
          <w:tcPr>
            <w:tcW w:w="0" w:type="auto"/>
            <w:tcBorders>
              <w:top w:val="nil"/>
              <w:left w:val="nil"/>
              <w:bottom w:val="double" w:sz="6" w:space="0" w:color="1F4E78"/>
              <w:right w:val="double" w:sz="6" w:space="0" w:color="1F4E78"/>
            </w:tcBorders>
            <w:shd w:val="clear" w:color="auto" w:fill="auto"/>
            <w:noWrap/>
            <w:vAlign w:val="center"/>
            <w:hideMark/>
          </w:tcPr>
          <w:p w14:paraId="09B2328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100%</w:t>
            </w:r>
          </w:p>
        </w:tc>
        <w:tc>
          <w:tcPr>
            <w:tcW w:w="0" w:type="auto"/>
            <w:tcBorders>
              <w:top w:val="nil"/>
              <w:left w:val="nil"/>
              <w:bottom w:val="double" w:sz="6" w:space="0" w:color="1F4E78"/>
              <w:right w:val="double" w:sz="6" w:space="0" w:color="1F4E78"/>
            </w:tcBorders>
            <w:shd w:val="clear" w:color="auto" w:fill="auto"/>
            <w:noWrap/>
            <w:vAlign w:val="center"/>
            <w:hideMark/>
          </w:tcPr>
          <w:p w14:paraId="14482C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0" w:type="auto"/>
            <w:tcBorders>
              <w:top w:val="nil"/>
              <w:left w:val="nil"/>
              <w:bottom w:val="double" w:sz="6" w:space="0" w:color="1F4E78"/>
              <w:right w:val="double" w:sz="6" w:space="0" w:color="1F4E78"/>
            </w:tcBorders>
            <w:shd w:val="clear" w:color="auto" w:fill="auto"/>
            <w:noWrap/>
            <w:vAlign w:val="center"/>
            <w:hideMark/>
          </w:tcPr>
          <w:p w14:paraId="2FD44F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7F0963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14:paraId="262D7EA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3A616C9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57%</w:t>
            </w:r>
          </w:p>
        </w:tc>
        <w:tc>
          <w:tcPr>
            <w:tcW w:w="0" w:type="auto"/>
            <w:tcBorders>
              <w:top w:val="nil"/>
              <w:left w:val="nil"/>
              <w:bottom w:val="double" w:sz="6" w:space="0" w:color="1F4E78"/>
              <w:right w:val="double" w:sz="6" w:space="0" w:color="1F4E78"/>
            </w:tcBorders>
            <w:shd w:val="clear" w:color="auto" w:fill="auto"/>
            <w:noWrap/>
            <w:vAlign w:val="center"/>
            <w:hideMark/>
          </w:tcPr>
          <w:p w14:paraId="4690C4F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14:paraId="3AE0E9D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834" w:type="dxa"/>
            <w:tcBorders>
              <w:top w:val="nil"/>
              <w:left w:val="nil"/>
              <w:bottom w:val="double" w:sz="6" w:space="0" w:color="1F4E78"/>
              <w:right w:val="double" w:sz="6" w:space="0" w:color="1F4E78"/>
            </w:tcBorders>
            <w:shd w:val="clear" w:color="auto" w:fill="auto"/>
            <w:noWrap/>
            <w:vAlign w:val="center"/>
            <w:hideMark/>
          </w:tcPr>
          <w:p w14:paraId="617864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873" w:type="dxa"/>
            <w:tcBorders>
              <w:top w:val="nil"/>
              <w:left w:val="nil"/>
              <w:bottom w:val="double" w:sz="6" w:space="0" w:color="1F4E78"/>
              <w:right w:val="double" w:sz="6" w:space="0" w:color="1F4E78"/>
            </w:tcBorders>
            <w:shd w:val="clear" w:color="auto" w:fill="auto"/>
            <w:noWrap/>
            <w:vAlign w:val="center"/>
            <w:hideMark/>
          </w:tcPr>
          <w:p w14:paraId="62AAE8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149,63</w:t>
            </w:r>
          </w:p>
        </w:tc>
      </w:tr>
    </w:tbl>
    <w:p w14:paraId="32678354" w14:textId="77777777" w:rsidR="00B15F7D" w:rsidRPr="00990FB6" w:rsidRDefault="00B15F7D" w:rsidP="00B15F7D">
      <w:pPr>
        <w:rPr>
          <w:b/>
          <w:color w:val="000000"/>
          <w:sz w:val="22"/>
          <w:szCs w:val="22"/>
          <w:lang w:eastAsia="es-CR"/>
        </w:rPr>
      </w:pPr>
    </w:p>
    <w:p w14:paraId="4825ECC1"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de los anuarios judiciales suministrada por el Subproceso de Estadística. Nota: Los datos corresponden al año 2022.</w:t>
      </w:r>
    </w:p>
    <w:p w14:paraId="71F88DA3" w14:textId="77777777" w:rsidR="00B15F7D" w:rsidRPr="00990FB6" w:rsidRDefault="00B15F7D" w:rsidP="00B15F7D">
      <w:pPr>
        <w:ind w:left="851" w:right="851" w:firstLine="709"/>
        <w:jc w:val="both"/>
        <w:rPr>
          <w:color w:val="000000"/>
          <w:sz w:val="22"/>
          <w:szCs w:val="22"/>
        </w:rPr>
      </w:pPr>
    </w:p>
    <w:p w14:paraId="675EAB23" w14:textId="77777777" w:rsidR="00B15F7D" w:rsidRPr="00990FB6" w:rsidRDefault="00B15F7D" w:rsidP="00B15F7D">
      <w:pPr>
        <w:ind w:left="851" w:right="851" w:firstLine="709"/>
        <w:jc w:val="both"/>
        <w:rPr>
          <w:color w:val="000000"/>
          <w:sz w:val="22"/>
          <w:szCs w:val="22"/>
        </w:rPr>
      </w:pPr>
      <w:r w:rsidRPr="00990FB6">
        <w:rPr>
          <w:color w:val="000000"/>
          <w:sz w:val="22"/>
          <w:szCs w:val="22"/>
        </w:rPr>
        <w:t>A partir de la información anterior se determina un porcentaje promedio de realización de reuniones a nivel nacional de un 84%. Por encima de este valor se identifican cuatro Circuitos Judiciales, que corresponden al II Circuito Judicial de San José, Circuito Judicial de Heredia, el I Circuito de la Zona Atlántica y el Circuito de Corredores.</w:t>
      </w:r>
    </w:p>
    <w:p w14:paraId="35D8408C" w14:textId="77777777" w:rsidR="00B15F7D" w:rsidRPr="00990FB6" w:rsidRDefault="00B15F7D" w:rsidP="00B15F7D">
      <w:pPr>
        <w:ind w:left="851" w:right="851" w:firstLine="709"/>
        <w:jc w:val="both"/>
        <w:rPr>
          <w:color w:val="000000"/>
          <w:sz w:val="22"/>
          <w:szCs w:val="22"/>
        </w:rPr>
      </w:pPr>
    </w:p>
    <w:p w14:paraId="443104BD" w14:textId="77777777" w:rsidR="00B15F7D" w:rsidRPr="00990FB6" w:rsidRDefault="00B15F7D" w:rsidP="00B15F7D">
      <w:pPr>
        <w:ind w:left="851" w:right="851" w:firstLine="709"/>
        <w:jc w:val="both"/>
        <w:rPr>
          <w:color w:val="000000"/>
          <w:sz w:val="22"/>
          <w:szCs w:val="22"/>
        </w:rPr>
      </w:pPr>
      <w:r w:rsidRPr="00990FB6">
        <w:rPr>
          <w:color w:val="000000"/>
          <w:sz w:val="22"/>
          <w:szCs w:val="22"/>
        </w:rPr>
        <w:t>Por otra parte, se tiene el Circuito Judicial de Cartago y el I Circuito de la Zona Sur, con valores idéntico por debajo del promedio.</w:t>
      </w:r>
    </w:p>
    <w:p w14:paraId="278FA43F" w14:textId="77777777" w:rsidR="00B15F7D" w:rsidRPr="00990FB6" w:rsidRDefault="00B15F7D" w:rsidP="00B15F7D">
      <w:pPr>
        <w:ind w:left="851" w:right="851" w:firstLine="709"/>
        <w:jc w:val="both"/>
        <w:rPr>
          <w:color w:val="000000"/>
          <w:sz w:val="22"/>
          <w:szCs w:val="22"/>
        </w:rPr>
      </w:pPr>
    </w:p>
    <w:p w14:paraId="4C9CD9B5" w14:textId="77777777" w:rsidR="00B15F7D" w:rsidRPr="00990FB6" w:rsidRDefault="00B15F7D" w:rsidP="00B15F7D">
      <w:pPr>
        <w:ind w:left="851" w:right="851" w:firstLine="709"/>
        <w:jc w:val="both"/>
        <w:rPr>
          <w:color w:val="000000"/>
          <w:sz w:val="22"/>
          <w:szCs w:val="22"/>
        </w:rPr>
      </w:pPr>
      <w:r w:rsidRPr="00990FB6">
        <w:rPr>
          <w:color w:val="000000"/>
          <w:sz w:val="22"/>
          <w:szCs w:val="22"/>
        </w:rPr>
        <w:t>Por último, con un valor igual al promedio, corresponde al Circuito Judicial de Alajuela.</w:t>
      </w:r>
    </w:p>
    <w:p w14:paraId="3858BFE8" w14:textId="77777777" w:rsidR="00B15F7D" w:rsidRPr="00990FB6" w:rsidRDefault="00B15F7D" w:rsidP="00B15F7D">
      <w:pPr>
        <w:ind w:left="851" w:right="851" w:firstLine="709"/>
        <w:jc w:val="both"/>
        <w:rPr>
          <w:color w:val="000000"/>
          <w:sz w:val="22"/>
          <w:szCs w:val="22"/>
        </w:rPr>
      </w:pPr>
    </w:p>
    <w:p w14:paraId="3FC7083D"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En este caso, es importante mencionar que, la realización de reuniones restaurativas deberá contemplar la reprogramación de las reuniones no realizadas que sean justificadas, dentro del plazo establecido por ley; motivo por el cual dentro del rubro de reuniones realizadas se contabilizan las reprogramaciones.</w:t>
      </w:r>
    </w:p>
    <w:p w14:paraId="5193E7A6" w14:textId="77777777" w:rsidR="00B15F7D" w:rsidRPr="00990FB6" w:rsidRDefault="00B15F7D" w:rsidP="00B15F7D">
      <w:pPr>
        <w:tabs>
          <w:tab w:val="left" w:pos="0"/>
        </w:tabs>
        <w:ind w:left="851" w:right="851" w:firstLine="709"/>
        <w:jc w:val="both"/>
        <w:rPr>
          <w:color w:val="000000"/>
          <w:sz w:val="22"/>
          <w:szCs w:val="22"/>
        </w:rPr>
      </w:pPr>
    </w:p>
    <w:p w14:paraId="322A9CD4" w14:textId="2D5ACBC3"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Adicionalmente, se muestra un estado designado como “pendiente”, que en promedio representa el 2% de los apuntes. En este caso, se aclara que este estado pendiente no hace alusión a que la reunión restaurativa se encuentra pendiente de realizar, sino que a nivel del sistema no se realizó la actualización del estado del apunte, lo cual es una inconsistencia estadística</w:t>
      </w:r>
      <w:r w:rsidR="0045290B">
        <w:rPr>
          <w:color w:val="000000"/>
          <w:sz w:val="22"/>
          <w:szCs w:val="22"/>
        </w:rPr>
        <w:t>.</w:t>
      </w:r>
      <w:r w:rsidRPr="00990FB6">
        <w:rPr>
          <w:color w:val="000000"/>
          <w:sz w:val="22"/>
          <w:szCs w:val="22"/>
        </w:rPr>
        <w:t xml:space="preserve"> </w:t>
      </w:r>
    </w:p>
    <w:p w14:paraId="27CF3C78" w14:textId="77777777" w:rsidR="00B15F7D" w:rsidRPr="00990FB6" w:rsidRDefault="00B15F7D" w:rsidP="00B15F7D">
      <w:pPr>
        <w:tabs>
          <w:tab w:val="left" w:pos="0"/>
        </w:tabs>
        <w:ind w:left="851" w:right="851" w:firstLine="709"/>
        <w:jc w:val="both"/>
        <w:rPr>
          <w:color w:val="000000"/>
          <w:sz w:val="22"/>
          <w:szCs w:val="22"/>
        </w:rPr>
      </w:pPr>
    </w:p>
    <w:p w14:paraId="544F9E0F"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Respecto a las audiencias de verificación, se muestra en el siguiente cuadro el detalle de la información al año 2022:</w:t>
      </w:r>
    </w:p>
    <w:p w14:paraId="0D6F96D2" w14:textId="77777777" w:rsidR="00B15F7D" w:rsidRPr="00990FB6" w:rsidRDefault="00B15F7D" w:rsidP="00B15F7D">
      <w:pPr>
        <w:tabs>
          <w:tab w:val="left" w:pos="0"/>
        </w:tabs>
        <w:ind w:left="851" w:right="851" w:firstLine="709"/>
        <w:jc w:val="both"/>
        <w:rPr>
          <w:color w:val="000000"/>
          <w:sz w:val="22"/>
          <w:szCs w:val="22"/>
        </w:rPr>
      </w:pPr>
    </w:p>
    <w:p w14:paraId="0CF9A2F3" w14:textId="77777777" w:rsidR="00B15F7D" w:rsidRPr="00990FB6" w:rsidRDefault="00B15F7D" w:rsidP="00B15F7D">
      <w:pPr>
        <w:tabs>
          <w:tab w:val="left" w:pos="8505"/>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12</w:t>
      </w:r>
      <w:r w:rsidRPr="00990FB6">
        <w:rPr>
          <w:b/>
          <w:bCs/>
          <w:color w:val="000000"/>
          <w:sz w:val="22"/>
          <w:szCs w:val="22"/>
        </w:rPr>
        <w:fldChar w:fldCharType="end"/>
      </w:r>
      <w:r w:rsidRPr="00990FB6">
        <w:rPr>
          <w:b/>
          <w:bCs/>
          <w:color w:val="000000"/>
          <w:sz w:val="22"/>
          <w:szCs w:val="22"/>
        </w:rPr>
        <w:t>. Audiencias de Verificación en materia Penal Adulto para el año 2022</w:t>
      </w:r>
    </w:p>
    <w:p w14:paraId="5FED01A4" w14:textId="77777777" w:rsidR="00B15F7D" w:rsidRPr="00990FB6" w:rsidRDefault="00B15F7D" w:rsidP="00B15F7D">
      <w:pPr>
        <w:tabs>
          <w:tab w:val="left" w:pos="8505"/>
        </w:tabs>
        <w:rPr>
          <w:b/>
          <w:bCs/>
          <w:color w:val="000000"/>
          <w:sz w:val="22"/>
          <w:szCs w:val="22"/>
        </w:rPr>
      </w:pPr>
    </w:p>
    <w:tbl>
      <w:tblPr>
        <w:tblW w:w="10065" w:type="dxa"/>
        <w:tblInd w:w="-449" w:type="dxa"/>
        <w:tblLayout w:type="fixed"/>
        <w:tblCellMar>
          <w:left w:w="70" w:type="dxa"/>
          <w:right w:w="70" w:type="dxa"/>
        </w:tblCellMar>
        <w:tblLook w:val="04A0" w:firstRow="1" w:lastRow="0" w:firstColumn="1" w:lastColumn="0" w:noHBand="0" w:noVBand="1"/>
      </w:tblPr>
      <w:tblGrid>
        <w:gridCol w:w="1986"/>
        <w:gridCol w:w="1134"/>
        <w:gridCol w:w="708"/>
        <w:gridCol w:w="993"/>
        <w:gridCol w:w="567"/>
        <w:gridCol w:w="708"/>
        <w:gridCol w:w="426"/>
        <w:gridCol w:w="708"/>
        <w:gridCol w:w="567"/>
        <w:gridCol w:w="613"/>
        <w:gridCol w:w="663"/>
        <w:gridCol w:w="992"/>
      </w:tblGrid>
      <w:tr w:rsidR="00B15F7D" w:rsidRPr="00990FB6" w14:paraId="4AC93522" w14:textId="77777777" w:rsidTr="000A0C22">
        <w:trPr>
          <w:trHeight w:val="330"/>
        </w:trPr>
        <w:tc>
          <w:tcPr>
            <w:tcW w:w="1986" w:type="dxa"/>
            <w:vMerge w:val="restart"/>
            <w:tcBorders>
              <w:top w:val="double" w:sz="6" w:space="0" w:color="1F4E78"/>
              <w:left w:val="double" w:sz="6" w:space="0" w:color="1F4E78"/>
              <w:bottom w:val="double" w:sz="6" w:space="0" w:color="1F4E78"/>
              <w:right w:val="double" w:sz="6" w:space="0" w:color="1F4E78"/>
            </w:tcBorders>
            <w:shd w:val="clear" w:color="000000" w:fill="365F91"/>
            <w:noWrap/>
            <w:vAlign w:val="center"/>
            <w:hideMark/>
          </w:tcPr>
          <w:p w14:paraId="2264E7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8079" w:type="dxa"/>
            <w:gridSpan w:val="11"/>
            <w:tcBorders>
              <w:top w:val="double" w:sz="6" w:space="0" w:color="1F4E78"/>
              <w:left w:val="nil"/>
              <w:bottom w:val="double" w:sz="6" w:space="0" w:color="1F4E78"/>
              <w:right w:val="double" w:sz="6" w:space="0" w:color="1F4E78"/>
            </w:tcBorders>
            <w:shd w:val="clear" w:color="000000" w:fill="365F91"/>
            <w:noWrap/>
            <w:vAlign w:val="center"/>
            <w:hideMark/>
          </w:tcPr>
          <w:p w14:paraId="141A29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Audiencias de Verificación</w:t>
            </w:r>
          </w:p>
        </w:tc>
      </w:tr>
      <w:tr w:rsidR="00B15F7D" w:rsidRPr="00990FB6" w14:paraId="1064DF23" w14:textId="77777777" w:rsidTr="000A0C22">
        <w:trPr>
          <w:trHeight w:val="330"/>
        </w:trPr>
        <w:tc>
          <w:tcPr>
            <w:tcW w:w="1986" w:type="dxa"/>
            <w:vMerge/>
            <w:tcBorders>
              <w:top w:val="double" w:sz="6" w:space="0" w:color="1F4E78"/>
              <w:left w:val="double" w:sz="6" w:space="0" w:color="1F4E78"/>
              <w:bottom w:val="double" w:sz="6" w:space="0" w:color="1F4E78"/>
              <w:right w:val="double" w:sz="6" w:space="0" w:color="1F4E78"/>
            </w:tcBorders>
            <w:vAlign w:val="center"/>
            <w:hideMark/>
          </w:tcPr>
          <w:p w14:paraId="240846F9" w14:textId="77777777" w:rsidR="00B15F7D" w:rsidRPr="00990FB6" w:rsidRDefault="00B15F7D" w:rsidP="00B15F7D">
            <w:pPr>
              <w:rPr>
                <w:color w:val="000000"/>
                <w:sz w:val="22"/>
                <w:szCs w:val="22"/>
                <w:lang w:eastAsia="es-CR"/>
              </w:rPr>
            </w:pPr>
          </w:p>
        </w:tc>
        <w:tc>
          <w:tcPr>
            <w:tcW w:w="1134" w:type="dxa"/>
            <w:tcBorders>
              <w:top w:val="nil"/>
              <w:left w:val="nil"/>
              <w:bottom w:val="double" w:sz="6" w:space="0" w:color="1F4E78"/>
              <w:right w:val="double" w:sz="6" w:space="0" w:color="1F4E78"/>
            </w:tcBorders>
            <w:shd w:val="clear" w:color="000000" w:fill="365F91"/>
            <w:noWrap/>
            <w:vAlign w:val="center"/>
            <w:hideMark/>
          </w:tcPr>
          <w:p w14:paraId="6C978E5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Realizadas</w:t>
            </w:r>
          </w:p>
        </w:tc>
        <w:tc>
          <w:tcPr>
            <w:tcW w:w="708" w:type="dxa"/>
            <w:tcBorders>
              <w:top w:val="nil"/>
              <w:left w:val="nil"/>
              <w:bottom w:val="double" w:sz="6" w:space="0" w:color="1F4E78"/>
              <w:right w:val="double" w:sz="6" w:space="0" w:color="1F4E78"/>
            </w:tcBorders>
            <w:shd w:val="clear" w:color="000000" w:fill="365F91"/>
            <w:noWrap/>
            <w:vAlign w:val="center"/>
            <w:hideMark/>
          </w:tcPr>
          <w:p w14:paraId="0D3C1E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993" w:type="dxa"/>
            <w:tcBorders>
              <w:top w:val="nil"/>
              <w:left w:val="nil"/>
              <w:bottom w:val="double" w:sz="6" w:space="0" w:color="1F4E78"/>
              <w:right w:val="double" w:sz="6" w:space="0" w:color="1F4E78"/>
            </w:tcBorders>
            <w:shd w:val="clear" w:color="000000" w:fill="365F91"/>
            <w:noWrap/>
            <w:vAlign w:val="center"/>
            <w:hideMark/>
          </w:tcPr>
          <w:p w14:paraId="566A39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Pendiente</w:t>
            </w:r>
          </w:p>
        </w:tc>
        <w:tc>
          <w:tcPr>
            <w:tcW w:w="567" w:type="dxa"/>
            <w:tcBorders>
              <w:top w:val="nil"/>
              <w:left w:val="nil"/>
              <w:bottom w:val="double" w:sz="6" w:space="0" w:color="1F4E78"/>
              <w:right w:val="double" w:sz="6" w:space="0" w:color="1F4E78"/>
            </w:tcBorders>
            <w:shd w:val="clear" w:color="000000" w:fill="365F91"/>
            <w:noWrap/>
            <w:vAlign w:val="center"/>
            <w:hideMark/>
          </w:tcPr>
          <w:p w14:paraId="441FC9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708" w:type="dxa"/>
            <w:tcBorders>
              <w:top w:val="nil"/>
              <w:left w:val="nil"/>
              <w:bottom w:val="double" w:sz="6" w:space="0" w:color="1F4E78"/>
              <w:right w:val="double" w:sz="6" w:space="0" w:color="1F4E78"/>
            </w:tcBorders>
            <w:shd w:val="clear" w:color="000000" w:fill="365F91"/>
            <w:noWrap/>
            <w:vAlign w:val="center"/>
            <w:hideMark/>
          </w:tcPr>
          <w:p w14:paraId="1294BE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Sin efecto</w:t>
            </w:r>
          </w:p>
        </w:tc>
        <w:tc>
          <w:tcPr>
            <w:tcW w:w="426" w:type="dxa"/>
            <w:tcBorders>
              <w:top w:val="nil"/>
              <w:left w:val="nil"/>
              <w:bottom w:val="double" w:sz="6" w:space="0" w:color="1F4E78"/>
              <w:right w:val="double" w:sz="6" w:space="0" w:color="1F4E78"/>
            </w:tcBorders>
            <w:shd w:val="clear" w:color="000000" w:fill="365F91"/>
            <w:noWrap/>
            <w:vAlign w:val="center"/>
            <w:hideMark/>
          </w:tcPr>
          <w:p w14:paraId="6F5F510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708" w:type="dxa"/>
            <w:tcBorders>
              <w:top w:val="nil"/>
              <w:left w:val="nil"/>
              <w:bottom w:val="double" w:sz="6" w:space="0" w:color="1F4E78"/>
              <w:right w:val="double" w:sz="6" w:space="0" w:color="1F4E78"/>
            </w:tcBorders>
            <w:shd w:val="clear" w:color="000000" w:fill="365F91"/>
            <w:noWrap/>
            <w:vAlign w:val="center"/>
            <w:hideMark/>
          </w:tcPr>
          <w:p w14:paraId="36B3AA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realizadas</w:t>
            </w:r>
          </w:p>
        </w:tc>
        <w:tc>
          <w:tcPr>
            <w:tcW w:w="567" w:type="dxa"/>
            <w:tcBorders>
              <w:top w:val="nil"/>
              <w:left w:val="nil"/>
              <w:bottom w:val="double" w:sz="6" w:space="0" w:color="1F4E78"/>
              <w:right w:val="double" w:sz="6" w:space="0" w:color="1F4E78"/>
            </w:tcBorders>
            <w:shd w:val="clear" w:color="000000" w:fill="365F91"/>
            <w:noWrap/>
            <w:vAlign w:val="center"/>
            <w:hideMark/>
          </w:tcPr>
          <w:p w14:paraId="25A08BD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613" w:type="dxa"/>
            <w:tcBorders>
              <w:top w:val="nil"/>
              <w:left w:val="nil"/>
              <w:bottom w:val="double" w:sz="6" w:space="0" w:color="1F4E78"/>
              <w:right w:val="double" w:sz="6" w:space="0" w:color="1F4E78"/>
            </w:tcBorders>
            <w:shd w:val="clear" w:color="000000" w:fill="365F91"/>
            <w:noWrap/>
            <w:vAlign w:val="center"/>
            <w:hideMark/>
          </w:tcPr>
          <w:p w14:paraId="1B21E9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Suspendida</w:t>
            </w:r>
          </w:p>
        </w:tc>
        <w:tc>
          <w:tcPr>
            <w:tcW w:w="663" w:type="dxa"/>
            <w:tcBorders>
              <w:top w:val="nil"/>
              <w:left w:val="nil"/>
              <w:bottom w:val="double" w:sz="6" w:space="0" w:color="1F4E78"/>
              <w:right w:val="double" w:sz="6" w:space="0" w:color="1F4E78"/>
            </w:tcBorders>
            <w:shd w:val="clear" w:color="000000" w:fill="365F91"/>
            <w:noWrap/>
            <w:vAlign w:val="center"/>
            <w:hideMark/>
          </w:tcPr>
          <w:p w14:paraId="7EF9AD5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992" w:type="dxa"/>
            <w:tcBorders>
              <w:top w:val="nil"/>
              <w:left w:val="nil"/>
              <w:bottom w:val="double" w:sz="6" w:space="0" w:color="1F4E78"/>
              <w:right w:val="double" w:sz="6" w:space="0" w:color="1F4E78"/>
            </w:tcBorders>
            <w:shd w:val="clear" w:color="000000" w:fill="365F91"/>
            <w:noWrap/>
            <w:vAlign w:val="center"/>
            <w:hideMark/>
          </w:tcPr>
          <w:p w14:paraId="4B7CDE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Total</w:t>
            </w:r>
          </w:p>
        </w:tc>
      </w:tr>
      <w:tr w:rsidR="00B15F7D" w:rsidRPr="00990FB6" w14:paraId="7586BA9C"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08D0F3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1134" w:type="dxa"/>
            <w:tcBorders>
              <w:top w:val="nil"/>
              <w:left w:val="nil"/>
              <w:bottom w:val="double" w:sz="6" w:space="0" w:color="1F4E78"/>
              <w:right w:val="double" w:sz="6" w:space="0" w:color="1F4E78"/>
            </w:tcBorders>
            <w:shd w:val="clear" w:color="auto" w:fill="auto"/>
            <w:noWrap/>
            <w:vAlign w:val="bottom"/>
            <w:hideMark/>
          </w:tcPr>
          <w:p w14:paraId="53134D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127</w:t>
            </w:r>
          </w:p>
        </w:tc>
        <w:tc>
          <w:tcPr>
            <w:tcW w:w="708" w:type="dxa"/>
            <w:tcBorders>
              <w:top w:val="nil"/>
              <w:left w:val="nil"/>
              <w:bottom w:val="double" w:sz="6" w:space="0" w:color="1F4E78"/>
              <w:right w:val="double" w:sz="6" w:space="0" w:color="1F4E78"/>
            </w:tcBorders>
            <w:shd w:val="clear" w:color="auto" w:fill="auto"/>
            <w:noWrap/>
            <w:vAlign w:val="bottom"/>
            <w:hideMark/>
          </w:tcPr>
          <w:p w14:paraId="2698E6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66%</w:t>
            </w:r>
          </w:p>
        </w:tc>
        <w:tc>
          <w:tcPr>
            <w:tcW w:w="993" w:type="dxa"/>
            <w:tcBorders>
              <w:top w:val="nil"/>
              <w:left w:val="nil"/>
              <w:bottom w:val="double" w:sz="6" w:space="0" w:color="1F4E78"/>
              <w:right w:val="double" w:sz="6" w:space="0" w:color="1F4E78"/>
            </w:tcBorders>
            <w:shd w:val="clear" w:color="auto" w:fill="auto"/>
            <w:noWrap/>
            <w:vAlign w:val="bottom"/>
            <w:hideMark/>
          </w:tcPr>
          <w:p w14:paraId="52BF78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c>
          <w:tcPr>
            <w:tcW w:w="567" w:type="dxa"/>
            <w:tcBorders>
              <w:top w:val="nil"/>
              <w:left w:val="nil"/>
              <w:bottom w:val="double" w:sz="6" w:space="0" w:color="1F4E78"/>
              <w:right w:val="double" w:sz="6" w:space="0" w:color="1F4E78"/>
            </w:tcBorders>
            <w:shd w:val="clear" w:color="auto" w:fill="auto"/>
            <w:noWrap/>
            <w:vAlign w:val="bottom"/>
            <w:hideMark/>
          </w:tcPr>
          <w:p w14:paraId="167E2A7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708" w:type="dxa"/>
            <w:tcBorders>
              <w:top w:val="nil"/>
              <w:left w:val="nil"/>
              <w:bottom w:val="double" w:sz="6" w:space="0" w:color="1F4E78"/>
              <w:right w:val="double" w:sz="6" w:space="0" w:color="1F4E78"/>
            </w:tcBorders>
            <w:shd w:val="clear" w:color="auto" w:fill="auto"/>
            <w:noWrap/>
            <w:vAlign w:val="bottom"/>
            <w:hideMark/>
          </w:tcPr>
          <w:p w14:paraId="013066B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426" w:type="dxa"/>
            <w:tcBorders>
              <w:top w:val="nil"/>
              <w:left w:val="nil"/>
              <w:bottom w:val="double" w:sz="6" w:space="0" w:color="1F4E78"/>
              <w:right w:val="double" w:sz="6" w:space="0" w:color="1F4E78"/>
            </w:tcBorders>
            <w:shd w:val="clear" w:color="auto" w:fill="auto"/>
            <w:noWrap/>
            <w:vAlign w:val="bottom"/>
            <w:hideMark/>
          </w:tcPr>
          <w:p w14:paraId="38E106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8" w:type="dxa"/>
            <w:tcBorders>
              <w:top w:val="nil"/>
              <w:left w:val="nil"/>
              <w:bottom w:val="double" w:sz="6" w:space="0" w:color="1F4E78"/>
              <w:right w:val="double" w:sz="6" w:space="0" w:color="1F4E78"/>
            </w:tcBorders>
            <w:shd w:val="clear" w:color="auto" w:fill="auto"/>
            <w:noWrap/>
            <w:vAlign w:val="bottom"/>
            <w:hideMark/>
          </w:tcPr>
          <w:p w14:paraId="2BB6865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45</w:t>
            </w:r>
          </w:p>
        </w:tc>
        <w:tc>
          <w:tcPr>
            <w:tcW w:w="567" w:type="dxa"/>
            <w:tcBorders>
              <w:top w:val="nil"/>
              <w:left w:val="nil"/>
              <w:bottom w:val="double" w:sz="6" w:space="0" w:color="1F4E78"/>
              <w:right w:val="double" w:sz="6" w:space="0" w:color="1F4E78"/>
            </w:tcBorders>
            <w:shd w:val="clear" w:color="auto" w:fill="auto"/>
            <w:noWrap/>
            <w:vAlign w:val="bottom"/>
            <w:hideMark/>
          </w:tcPr>
          <w:p w14:paraId="144CEA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c>
          <w:tcPr>
            <w:tcW w:w="613" w:type="dxa"/>
            <w:tcBorders>
              <w:top w:val="nil"/>
              <w:left w:val="nil"/>
              <w:bottom w:val="double" w:sz="6" w:space="0" w:color="1F4E78"/>
              <w:right w:val="double" w:sz="6" w:space="0" w:color="1F4E78"/>
            </w:tcBorders>
            <w:shd w:val="clear" w:color="auto" w:fill="auto"/>
            <w:noWrap/>
            <w:vAlign w:val="bottom"/>
            <w:hideMark/>
          </w:tcPr>
          <w:p w14:paraId="65D6F9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63" w:type="dxa"/>
            <w:tcBorders>
              <w:top w:val="nil"/>
              <w:left w:val="nil"/>
              <w:bottom w:val="double" w:sz="6" w:space="0" w:color="1F4E78"/>
              <w:right w:val="double" w:sz="6" w:space="0" w:color="1F4E78"/>
            </w:tcBorders>
            <w:shd w:val="clear" w:color="auto" w:fill="auto"/>
            <w:noWrap/>
            <w:vAlign w:val="bottom"/>
            <w:hideMark/>
          </w:tcPr>
          <w:p w14:paraId="033EF7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992" w:type="dxa"/>
            <w:tcBorders>
              <w:top w:val="nil"/>
              <w:left w:val="nil"/>
              <w:bottom w:val="double" w:sz="6" w:space="0" w:color="1F4E78"/>
              <w:right w:val="double" w:sz="6" w:space="0" w:color="1F4E78"/>
            </w:tcBorders>
            <w:shd w:val="clear" w:color="auto" w:fill="auto"/>
            <w:noWrap/>
            <w:vAlign w:val="bottom"/>
            <w:hideMark/>
          </w:tcPr>
          <w:p w14:paraId="219894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191</w:t>
            </w:r>
          </w:p>
        </w:tc>
      </w:tr>
      <w:tr w:rsidR="00B15F7D" w:rsidRPr="00990FB6" w14:paraId="312586AB"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4CB1F30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1134" w:type="dxa"/>
            <w:tcBorders>
              <w:top w:val="nil"/>
              <w:left w:val="nil"/>
              <w:bottom w:val="double" w:sz="6" w:space="0" w:color="1F4E78"/>
              <w:right w:val="double" w:sz="6" w:space="0" w:color="1F4E78"/>
            </w:tcBorders>
            <w:shd w:val="clear" w:color="auto" w:fill="auto"/>
            <w:noWrap/>
            <w:vAlign w:val="bottom"/>
            <w:hideMark/>
          </w:tcPr>
          <w:p w14:paraId="61C50C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120</w:t>
            </w:r>
          </w:p>
        </w:tc>
        <w:tc>
          <w:tcPr>
            <w:tcW w:w="708" w:type="dxa"/>
            <w:tcBorders>
              <w:top w:val="nil"/>
              <w:left w:val="nil"/>
              <w:bottom w:val="double" w:sz="6" w:space="0" w:color="1F4E78"/>
              <w:right w:val="double" w:sz="6" w:space="0" w:color="1F4E78"/>
            </w:tcBorders>
            <w:shd w:val="clear" w:color="auto" w:fill="auto"/>
            <w:noWrap/>
            <w:vAlign w:val="bottom"/>
            <w:hideMark/>
          </w:tcPr>
          <w:p w14:paraId="5F8B52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89%</w:t>
            </w:r>
          </w:p>
        </w:tc>
        <w:tc>
          <w:tcPr>
            <w:tcW w:w="993" w:type="dxa"/>
            <w:tcBorders>
              <w:top w:val="nil"/>
              <w:left w:val="nil"/>
              <w:bottom w:val="double" w:sz="6" w:space="0" w:color="1F4E78"/>
              <w:right w:val="double" w:sz="6" w:space="0" w:color="1F4E78"/>
            </w:tcBorders>
            <w:shd w:val="clear" w:color="auto" w:fill="auto"/>
            <w:noWrap/>
            <w:vAlign w:val="bottom"/>
            <w:hideMark/>
          </w:tcPr>
          <w:p w14:paraId="7EE5044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567" w:type="dxa"/>
            <w:tcBorders>
              <w:top w:val="nil"/>
              <w:left w:val="nil"/>
              <w:bottom w:val="double" w:sz="6" w:space="0" w:color="1F4E78"/>
              <w:right w:val="double" w:sz="6" w:space="0" w:color="1F4E78"/>
            </w:tcBorders>
            <w:shd w:val="clear" w:color="auto" w:fill="auto"/>
            <w:noWrap/>
            <w:vAlign w:val="bottom"/>
            <w:hideMark/>
          </w:tcPr>
          <w:p w14:paraId="32E1B6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708" w:type="dxa"/>
            <w:tcBorders>
              <w:top w:val="nil"/>
              <w:left w:val="nil"/>
              <w:bottom w:val="double" w:sz="6" w:space="0" w:color="1F4E78"/>
              <w:right w:val="double" w:sz="6" w:space="0" w:color="1F4E78"/>
            </w:tcBorders>
            <w:shd w:val="clear" w:color="auto" w:fill="auto"/>
            <w:noWrap/>
            <w:vAlign w:val="bottom"/>
            <w:hideMark/>
          </w:tcPr>
          <w:p w14:paraId="1823AB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426" w:type="dxa"/>
            <w:tcBorders>
              <w:top w:val="nil"/>
              <w:left w:val="nil"/>
              <w:bottom w:val="double" w:sz="6" w:space="0" w:color="1F4E78"/>
              <w:right w:val="double" w:sz="6" w:space="0" w:color="1F4E78"/>
            </w:tcBorders>
            <w:shd w:val="clear" w:color="auto" w:fill="auto"/>
            <w:noWrap/>
            <w:vAlign w:val="bottom"/>
            <w:hideMark/>
          </w:tcPr>
          <w:p w14:paraId="2B7F431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8" w:type="dxa"/>
            <w:tcBorders>
              <w:top w:val="nil"/>
              <w:left w:val="nil"/>
              <w:bottom w:val="double" w:sz="6" w:space="0" w:color="1F4E78"/>
              <w:right w:val="double" w:sz="6" w:space="0" w:color="1F4E78"/>
            </w:tcBorders>
            <w:shd w:val="clear" w:color="auto" w:fill="auto"/>
            <w:noWrap/>
            <w:vAlign w:val="bottom"/>
            <w:hideMark/>
          </w:tcPr>
          <w:p w14:paraId="4C3D27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567" w:type="dxa"/>
            <w:tcBorders>
              <w:top w:val="nil"/>
              <w:left w:val="nil"/>
              <w:bottom w:val="double" w:sz="6" w:space="0" w:color="1F4E78"/>
              <w:right w:val="double" w:sz="6" w:space="0" w:color="1F4E78"/>
            </w:tcBorders>
            <w:shd w:val="clear" w:color="auto" w:fill="auto"/>
            <w:noWrap/>
            <w:vAlign w:val="bottom"/>
            <w:hideMark/>
          </w:tcPr>
          <w:p w14:paraId="61239C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613" w:type="dxa"/>
            <w:tcBorders>
              <w:top w:val="nil"/>
              <w:left w:val="nil"/>
              <w:bottom w:val="double" w:sz="6" w:space="0" w:color="1F4E78"/>
              <w:right w:val="double" w:sz="6" w:space="0" w:color="1F4E78"/>
            </w:tcBorders>
            <w:shd w:val="clear" w:color="auto" w:fill="auto"/>
            <w:noWrap/>
            <w:vAlign w:val="bottom"/>
            <w:hideMark/>
          </w:tcPr>
          <w:p w14:paraId="2E2D19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63" w:type="dxa"/>
            <w:tcBorders>
              <w:top w:val="nil"/>
              <w:left w:val="nil"/>
              <w:bottom w:val="double" w:sz="6" w:space="0" w:color="1F4E78"/>
              <w:right w:val="double" w:sz="6" w:space="0" w:color="1F4E78"/>
            </w:tcBorders>
            <w:shd w:val="clear" w:color="auto" w:fill="auto"/>
            <w:noWrap/>
            <w:vAlign w:val="bottom"/>
            <w:hideMark/>
          </w:tcPr>
          <w:p w14:paraId="13398D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992" w:type="dxa"/>
            <w:tcBorders>
              <w:top w:val="nil"/>
              <w:left w:val="nil"/>
              <w:bottom w:val="double" w:sz="6" w:space="0" w:color="1F4E78"/>
              <w:right w:val="double" w:sz="6" w:space="0" w:color="1F4E78"/>
            </w:tcBorders>
            <w:shd w:val="clear" w:color="auto" w:fill="auto"/>
            <w:noWrap/>
            <w:vAlign w:val="bottom"/>
            <w:hideMark/>
          </w:tcPr>
          <w:p w14:paraId="21E389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135</w:t>
            </w:r>
          </w:p>
        </w:tc>
      </w:tr>
      <w:tr w:rsidR="00B15F7D" w:rsidRPr="00990FB6" w14:paraId="12B801F1"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07AC19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1134" w:type="dxa"/>
            <w:tcBorders>
              <w:top w:val="nil"/>
              <w:left w:val="nil"/>
              <w:bottom w:val="double" w:sz="6" w:space="0" w:color="1F4E78"/>
              <w:right w:val="double" w:sz="6" w:space="0" w:color="1F4E78"/>
            </w:tcBorders>
            <w:shd w:val="clear" w:color="auto" w:fill="auto"/>
            <w:noWrap/>
            <w:vAlign w:val="bottom"/>
            <w:hideMark/>
          </w:tcPr>
          <w:p w14:paraId="705273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113</w:t>
            </w:r>
          </w:p>
        </w:tc>
        <w:tc>
          <w:tcPr>
            <w:tcW w:w="708" w:type="dxa"/>
            <w:tcBorders>
              <w:top w:val="nil"/>
              <w:left w:val="nil"/>
              <w:bottom w:val="double" w:sz="6" w:space="0" w:color="1F4E78"/>
              <w:right w:val="double" w:sz="6" w:space="0" w:color="1F4E78"/>
            </w:tcBorders>
            <w:shd w:val="clear" w:color="auto" w:fill="auto"/>
            <w:noWrap/>
            <w:vAlign w:val="bottom"/>
            <w:hideMark/>
          </w:tcPr>
          <w:p w14:paraId="262178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65%</w:t>
            </w:r>
          </w:p>
        </w:tc>
        <w:tc>
          <w:tcPr>
            <w:tcW w:w="993" w:type="dxa"/>
            <w:tcBorders>
              <w:top w:val="nil"/>
              <w:left w:val="nil"/>
              <w:bottom w:val="double" w:sz="6" w:space="0" w:color="1F4E78"/>
              <w:right w:val="double" w:sz="6" w:space="0" w:color="1F4E78"/>
            </w:tcBorders>
            <w:shd w:val="clear" w:color="auto" w:fill="auto"/>
            <w:noWrap/>
            <w:vAlign w:val="bottom"/>
            <w:hideMark/>
          </w:tcPr>
          <w:p w14:paraId="6D16CB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48</w:t>
            </w:r>
          </w:p>
        </w:tc>
        <w:tc>
          <w:tcPr>
            <w:tcW w:w="567" w:type="dxa"/>
            <w:tcBorders>
              <w:top w:val="nil"/>
              <w:left w:val="nil"/>
              <w:bottom w:val="double" w:sz="6" w:space="0" w:color="1F4E78"/>
              <w:right w:val="double" w:sz="6" w:space="0" w:color="1F4E78"/>
            </w:tcBorders>
            <w:shd w:val="clear" w:color="auto" w:fill="auto"/>
            <w:noWrap/>
            <w:vAlign w:val="bottom"/>
            <w:hideMark/>
          </w:tcPr>
          <w:p w14:paraId="1E92E4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c>
          <w:tcPr>
            <w:tcW w:w="708" w:type="dxa"/>
            <w:tcBorders>
              <w:top w:val="nil"/>
              <w:left w:val="nil"/>
              <w:bottom w:val="double" w:sz="6" w:space="0" w:color="1F4E78"/>
              <w:right w:val="double" w:sz="6" w:space="0" w:color="1F4E78"/>
            </w:tcBorders>
            <w:shd w:val="clear" w:color="auto" w:fill="auto"/>
            <w:noWrap/>
            <w:vAlign w:val="bottom"/>
            <w:hideMark/>
          </w:tcPr>
          <w:p w14:paraId="0444CB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5E5201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0B04D1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c>
          <w:tcPr>
            <w:tcW w:w="567" w:type="dxa"/>
            <w:tcBorders>
              <w:top w:val="nil"/>
              <w:left w:val="nil"/>
              <w:bottom w:val="double" w:sz="6" w:space="0" w:color="1F4E78"/>
              <w:right w:val="double" w:sz="6" w:space="0" w:color="1F4E78"/>
            </w:tcBorders>
            <w:shd w:val="clear" w:color="auto" w:fill="auto"/>
            <w:noWrap/>
            <w:vAlign w:val="bottom"/>
            <w:hideMark/>
          </w:tcPr>
          <w:p w14:paraId="52D3C8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613" w:type="dxa"/>
            <w:tcBorders>
              <w:top w:val="nil"/>
              <w:left w:val="nil"/>
              <w:bottom w:val="double" w:sz="6" w:space="0" w:color="1F4E78"/>
              <w:right w:val="double" w:sz="6" w:space="0" w:color="1F4E78"/>
            </w:tcBorders>
            <w:shd w:val="clear" w:color="auto" w:fill="auto"/>
            <w:noWrap/>
            <w:vAlign w:val="bottom"/>
            <w:hideMark/>
          </w:tcPr>
          <w:p w14:paraId="21C61AC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663" w:type="dxa"/>
            <w:tcBorders>
              <w:top w:val="nil"/>
              <w:left w:val="nil"/>
              <w:bottom w:val="double" w:sz="6" w:space="0" w:color="1F4E78"/>
              <w:right w:val="double" w:sz="6" w:space="0" w:color="1F4E78"/>
            </w:tcBorders>
            <w:shd w:val="clear" w:color="auto" w:fill="auto"/>
            <w:noWrap/>
            <w:vAlign w:val="bottom"/>
            <w:hideMark/>
          </w:tcPr>
          <w:p w14:paraId="47FDB8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6B9A1F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174</w:t>
            </w:r>
          </w:p>
        </w:tc>
      </w:tr>
      <w:tr w:rsidR="00B15F7D" w:rsidRPr="00990FB6" w14:paraId="61198C62"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382F3F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1134" w:type="dxa"/>
            <w:tcBorders>
              <w:top w:val="nil"/>
              <w:left w:val="nil"/>
              <w:bottom w:val="double" w:sz="6" w:space="0" w:color="1F4E78"/>
              <w:right w:val="double" w:sz="6" w:space="0" w:color="1F4E78"/>
            </w:tcBorders>
            <w:shd w:val="clear" w:color="auto" w:fill="auto"/>
            <w:noWrap/>
            <w:vAlign w:val="bottom"/>
            <w:hideMark/>
          </w:tcPr>
          <w:p w14:paraId="0794F6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141</w:t>
            </w:r>
          </w:p>
        </w:tc>
        <w:tc>
          <w:tcPr>
            <w:tcW w:w="708" w:type="dxa"/>
            <w:tcBorders>
              <w:top w:val="nil"/>
              <w:left w:val="nil"/>
              <w:bottom w:val="double" w:sz="6" w:space="0" w:color="1F4E78"/>
              <w:right w:val="double" w:sz="6" w:space="0" w:color="1F4E78"/>
            </w:tcBorders>
            <w:shd w:val="clear" w:color="auto" w:fill="auto"/>
            <w:noWrap/>
            <w:vAlign w:val="bottom"/>
            <w:hideMark/>
          </w:tcPr>
          <w:p w14:paraId="78CA2A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83%</w:t>
            </w:r>
          </w:p>
        </w:tc>
        <w:tc>
          <w:tcPr>
            <w:tcW w:w="993" w:type="dxa"/>
            <w:tcBorders>
              <w:top w:val="nil"/>
              <w:left w:val="nil"/>
              <w:bottom w:val="double" w:sz="6" w:space="0" w:color="1F4E78"/>
              <w:right w:val="double" w:sz="6" w:space="0" w:color="1F4E78"/>
            </w:tcBorders>
            <w:shd w:val="clear" w:color="auto" w:fill="auto"/>
            <w:noWrap/>
            <w:vAlign w:val="bottom"/>
            <w:hideMark/>
          </w:tcPr>
          <w:p w14:paraId="7ECB07F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567" w:type="dxa"/>
            <w:tcBorders>
              <w:top w:val="nil"/>
              <w:left w:val="nil"/>
              <w:bottom w:val="double" w:sz="6" w:space="0" w:color="1F4E78"/>
              <w:right w:val="double" w:sz="6" w:space="0" w:color="1F4E78"/>
            </w:tcBorders>
            <w:shd w:val="clear" w:color="auto" w:fill="auto"/>
            <w:noWrap/>
            <w:vAlign w:val="bottom"/>
            <w:hideMark/>
          </w:tcPr>
          <w:p w14:paraId="4DFD83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708" w:type="dxa"/>
            <w:tcBorders>
              <w:top w:val="nil"/>
              <w:left w:val="nil"/>
              <w:bottom w:val="double" w:sz="6" w:space="0" w:color="1F4E78"/>
              <w:right w:val="double" w:sz="6" w:space="0" w:color="1F4E78"/>
            </w:tcBorders>
            <w:shd w:val="clear" w:color="auto" w:fill="auto"/>
            <w:noWrap/>
            <w:vAlign w:val="bottom"/>
            <w:hideMark/>
          </w:tcPr>
          <w:p w14:paraId="11AC4C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19F53A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6FBF89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567" w:type="dxa"/>
            <w:tcBorders>
              <w:top w:val="nil"/>
              <w:left w:val="nil"/>
              <w:bottom w:val="double" w:sz="6" w:space="0" w:color="1F4E78"/>
              <w:right w:val="double" w:sz="6" w:space="0" w:color="1F4E78"/>
            </w:tcBorders>
            <w:shd w:val="clear" w:color="auto" w:fill="auto"/>
            <w:noWrap/>
            <w:vAlign w:val="bottom"/>
            <w:hideMark/>
          </w:tcPr>
          <w:p w14:paraId="220498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613" w:type="dxa"/>
            <w:tcBorders>
              <w:top w:val="nil"/>
              <w:left w:val="nil"/>
              <w:bottom w:val="double" w:sz="6" w:space="0" w:color="1F4E78"/>
              <w:right w:val="double" w:sz="6" w:space="0" w:color="1F4E78"/>
            </w:tcBorders>
            <w:shd w:val="clear" w:color="auto" w:fill="auto"/>
            <w:noWrap/>
            <w:vAlign w:val="bottom"/>
            <w:hideMark/>
          </w:tcPr>
          <w:p w14:paraId="256BE9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663" w:type="dxa"/>
            <w:tcBorders>
              <w:top w:val="nil"/>
              <w:left w:val="nil"/>
              <w:bottom w:val="double" w:sz="6" w:space="0" w:color="1F4E78"/>
              <w:right w:val="double" w:sz="6" w:space="0" w:color="1F4E78"/>
            </w:tcBorders>
            <w:shd w:val="clear" w:color="auto" w:fill="auto"/>
            <w:noWrap/>
            <w:vAlign w:val="bottom"/>
            <w:hideMark/>
          </w:tcPr>
          <w:p w14:paraId="37F759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992" w:type="dxa"/>
            <w:tcBorders>
              <w:top w:val="nil"/>
              <w:left w:val="nil"/>
              <w:bottom w:val="double" w:sz="6" w:space="0" w:color="1F4E78"/>
              <w:right w:val="double" w:sz="6" w:space="0" w:color="1F4E78"/>
            </w:tcBorders>
            <w:shd w:val="clear" w:color="auto" w:fill="auto"/>
            <w:noWrap/>
            <w:vAlign w:val="bottom"/>
            <w:hideMark/>
          </w:tcPr>
          <w:p w14:paraId="271EBB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169</w:t>
            </w:r>
          </w:p>
        </w:tc>
      </w:tr>
      <w:tr w:rsidR="00B15F7D" w:rsidRPr="00990FB6" w14:paraId="0B1978D0"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2C2B84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1134" w:type="dxa"/>
            <w:tcBorders>
              <w:top w:val="nil"/>
              <w:left w:val="nil"/>
              <w:bottom w:val="double" w:sz="6" w:space="0" w:color="1F4E78"/>
              <w:right w:val="double" w:sz="6" w:space="0" w:color="1F4E78"/>
            </w:tcBorders>
            <w:shd w:val="clear" w:color="auto" w:fill="auto"/>
            <w:noWrap/>
            <w:vAlign w:val="bottom"/>
            <w:hideMark/>
          </w:tcPr>
          <w:p w14:paraId="1C96BB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108</w:t>
            </w:r>
          </w:p>
        </w:tc>
        <w:tc>
          <w:tcPr>
            <w:tcW w:w="708" w:type="dxa"/>
            <w:tcBorders>
              <w:top w:val="nil"/>
              <w:left w:val="nil"/>
              <w:bottom w:val="double" w:sz="6" w:space="0" w:color="1F4E78"/>
              <w:right w:val="double" w:sz="6" w:space="0" w:color="1F4E78"/>
            </w:tcBorders>
            <w:shd w:val="clear" w:color="auto" w:fill="auto"/>
            <w:noWrap/>
            <w:vAlign w:val="bottom"/>
            <w:hideMark/>
          </w:tcPr>
          <w:p w14:paraId="5DA059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w:t>
            </w:r>
          </w:p>
        </w:tc>
        <w:tc>
          <w:tcPr>
            <w:tcW w:w="993" w:type="dxa"/>
            <w:tcBorders>
              <w:top w:val="nil"/>
              <w:left w:val="nil"/>
              <w:bottom w:val="double" w:sz="6" w:space="0" w:color="1F4E78"/>
              <w:right w:val="double" w:sz="6" w:space="0" w:color="1F4E78"/>
            </w:tcBorders>
            <w:shd w:val="clear" w:color="auto" w:fill="auto"/>
            <w:noWrap/>
            <w:vAlign w:val="bottom"/>
            <w:hideMark/>
          </w:tcPr>
          <w:p w14:paraId="6B9D13F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567" w:type="dxa"/>
            <w:tcBorders>
              <w:top w:val="nil"/>
              <w:left w:val="nil"/>
              <w:bottom w:val="double" w:sz="6" w:space="0" w:color="1F4E78"/>
              <w:right w:val="double" w:sz="6" w:space="0" w:color="1F4E78"/>
            </w:tcBorders>
            <w:shd w:val="clear" w:color="auto" w:fill="auto"/>
            <w:noWrap/>
            <w:vAlign w:val="bottom"/>
            <w:hideMark/>
          </w:tcPr>
          <w:p w14:paraId="0413ED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nil"/>
              <w:left w:val="nil"/>
              <w:bottom w:val="double" w:sz="6" w:space="0" w:color="1F4E78"/>
              <w:right w:val="double" w:sz="6" w:space="0" w:color="1F4E78"/>
            </w:tcBorders>
            <w:shd w:val="clear" w:color="auto" w:fill="auto"/>
            <w:noWrap/>
            <w:vAlign w:val="bottom"/>
            <w:hideMark/>
          </w:tcPr>
          <w:p w14:paraId="0B9B9F6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6C3EE1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434B7C4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41</w:t>
            </w:r>
          </w:p>
        </w:tc>
        <w:tc>
          <w:tcPr>
            <w:tcW w:w="567" w:type="dxa"/>
            <w:tcBorders>
              <w:top w:val="nil"/>
              <w:left w:val="nil"/>
              <w:bottom w:val="double" w:sz="6" w:space="0" w:color="1F4E78"/>
              <w:right w:val="double" w:sz="6" w:space="0" w:color="1F4E78"/>
            </w:tcBorders>
            <w:shd w:val="clear" w:color="auto" w:fill="auto"/>
            <w:noWrap/>
            <w:vAlign w:val="bottom"/>
            <w:hideMark/>
          </w:tcPr>
          <w:p w14:paraId="41EB3B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w:t>
            </w:r>
          </w:p>
        </w:tc>
        <w:tc>
          <w:tcPr>
            <w:tcW w:w="613" w:type="dxa"/>
            <w:tcBorders>
              <w:top w:val="nil"/>
              <w:left w:val="nil"/>
              <w:bottom w:val="double" w:sz="6" w:space="0" w:color="1F4E78"/>
              <w:right w:val="double" w:sz="6" w:space="0" w:color="1F4E78"/>
            </w:tcBorders>
            <w:shd w:val="clear" w:color="auto" w:fill="auto"/>
            <w:noWrap/>
            <w:vAlign w:val="bottom"/>
            <w:hideMark/>
          </w:tcPr>
          <w:p w14:paraId="786423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663" w:type="dxa"/>
            <w:tcBorders>
              <w:top w:val="nil"/>
              <w:left w:val="nil"/>
              <w:bottom w:val="double" w:sz="6" w:space="0" w:color="1F4E78"/>
              <w:right w:val="double" w:sz="6" w:space="0" w:color="1F4E78"/>
            </w:tcBorders>
            <w:shd w:val="clear" w:color="auto" w:fill="auto"/>
            <w:noWrap/>
            <w:vAlign w:val="bottom"/>
            <w:hideMark/>
          </w:tcPr>
          <w:p w14:paraId="34BCDC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4C66495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152</w:t>
            </w:r>
          </w:p>
        </w:tc>
      </w:tr>
      <w:tr w:rsidR="00B15F7D" w:rsidRPr="00990FB6" w14:paraId="5EEB6181"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6B3C78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Alajuela </w:t>
            </w:r>
          </w:p>
        </w:tc>
        <w:tc>
          <w:tcPr>
            <w:tcW w:w="1134" w:type="dxa"/>
            <w:tcBorders>
              <w:top w:val="nil"/>
              <w:left w:val="nil"/>
              <w:bottom w:val="double" w:sz="6" w:space="0" w:color="1F4E78"/>
              <w:right w:val="double" w:sz="6" w:space="0" w:color="1F4E78"/>
            </w:tcBorders>
            <w:shd w:val="clear" w:color="auto" w:fill="auto"/>
            <w:noWrap/>
            <w:vAlign w:val="bottom"/>
            <w:hideMark/>
          </w:tcPr>
          <w:p w14:paraId="09FA48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708" w:type="dxa"/>
            <w:tcBorders>
              <w:top w:val="nil"/>
              <w:left w:val="nil"/>
              <w:bottom w:val="double" w:sz="6" w:space="0" w:color="1F4E78"/>
              <w:right w:val="double" w:sz="6" w:space="0" w:color="1F4E78"/>
            </w:tcBorders>
            <w:shd w:val="clear" w:color="auto" w:fill="auto"/>
            <w:noWrap/>
            <w:vAlign w:val="bottom"/>
            <w:hideMark/>
          </w:tcPr>
          <w:p w14:paraId="61CD26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67%</w:t>
            </w:r>
          </w:p>
        </w:tc>
        <w:tc>
          <w:tcPr>
            <w:tcW w:w="993" w:type="dxa"/>
            <w:tcBorders>
              <w:top w:val="nil"/>
              <w:left w:val="nil"/>
              <w:bottom w:val="double" w:sz="6" w:space="0" w:color="1F4E78"/>
              <w:right w:val="double" w:sz="6" w:space="0" w:color="1F4E78"/>
            </w:tcBorders>
            <w:shd w:val="clear" w:color="auto" w:fill="auto"/>
            <w:noWrap/>
            <w:vAlign w:val="bottom"/>
            <w:hideMark/>
          </w:tcPr>
          <w:p w14:paraId="165984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567" w:type="dxa"/>
            <w:tcBorders>
              <w:top w:val="nil"/>
              <w:left w:val="nil"/>
              <w:bottom w:val="double" w:sz="6" w:space="0" w:color="1F4E78"/>
              <w:right w:val="double" w:sz="6" w:space="0" w:color="1F4E78"/>
            </w:tcBorders>
            <w:shd w:val="clear" w:color="auto" w:fill="auto"/>
            <w:noWrap/>
            <w:vAlign w:val="bottom"/>
            <w:hideMark/>
          </w:tcPr>
          <w:p w14:paraId="032C63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708" w:type="dxa"/>
            <w:tcBorders>
              <w:top w:val="nil"/>
              <w:left w:val="nil"/>
              <w:bottom w:val="double" w:sz="6" w:space="0" w:color="1F4E78"/>
              <w:right w:val="double" w:sz="6" w:space="0" w:color="1F4E78"/>
            </w:tcBorders>
            <w:shd w:val="clear" w:color="auto" w:fill="auto"/>
            <w:noWrap/>
            <w:vAlign w:val="bottom"/>
            <w:hideMark/>
          </w:tcPr>
          <w:p w14:paraId="58F04CD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15C04C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0D39AE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567" w:type="dxa"/>
            <w:tcBorders>
              <w:top w:val="nil"/>
              <w:left w:val="nil"/>
              <w:bottom w:val="double" w:sz="6" w:space="0" w:color="1F4E78"/>
              <w:right w:val="double" w:sz="6" w:space="0" w:color="1F4E78"/>
            </w:tcBorders>
            <w:shd w:val="clear" w:color="auto" w:fill="auto"/>
            <w:noWrap/>
            <w:vAlign w:val="bottom"/>
            <w:hideMark/>
          </w:tcPr>
          <w:p w14:paraId="78DDE0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613" w:type="dxa"/>
            <w:tcBorders>
              <w:top w:val="nil"/>
              <w:left w:val="nil"/>
              <w:bottom w:val="double" w:sz="6" w:space="0" w:color="1F4E78"/>
              <w:right w:val="double" w:sz="6" w:space="0" w:color="1F4E78"/>
            </w:tcBorders>
            <w:shd w:val="clear" w:color="auto" w:fill="auto"/>
            <w:noWrap/>
            <w:vAlign w:val="bottom"/>
            <w:hideMark/>
          </w:tcPr>
          <w:p w14:paraId="7304255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663" w:type="dxa"/>
            <w:tcBorders>
              <w:top w:val="nil"/>
              <w:left w:val="nil"/>
              <w:bottom w:val="double" w:sz="6" w:space="0" w:color="1F4E78"/>
              <w:right w:val="double" w:sz="6" w:space="0" w:color="1F4E78"/>
            </w:tcBorders>
            <w:shd w:val="clear" w:color="auto" w:fill="auto"/>
            <w:noWrap/>
            <w:vAlign w:val="bottom"/>
            <w:hideMark/>
          </w:tcPr>
          <w:p w14:paraId="0119D4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c>
          <w:tcPr>
            <w:tcW w:w="992" w:type="dxa"/>
            <w:tcBorders>
              <w:top w:val="nil"/>
              <w:left w:val="nil"/>
              <w:bottom w:val="double" w:sz="6" w:space="0" w:color="1F4E78"/>
              <w:right w:val="double" w:sz="6" w:space="0" w:color="1F4E78"/>
            </w:tcBorders>
            <w:shd w:val="clear" w:color="auto" w:fill="auto"/>
            <w:noWrap/>
            <w:vAlign w:val="bottom"/>
            <w:hideMark/>
          </w:tcPr>
          <w:p w14:paraId="56F70E4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r>
      <w:tr w:rsidR="00B15F7D" w:rsidRPr="00990FB6" w14:paraId="21525CB1"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070881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San Ramón </w:t>
            </w:r>
          </w:p>
        </w:tc>
        <w:tc>
          <w:tcPr>
            <w:tcW w:w="1134" w:type="dxa"/>
            <w:tcBorders>
              <w:top w:val="nil"/>
              <w:left w:val="nil"/>
              <w:bottom w:val="double" w:sz="6" w:space="0" w:color="1F4E78"/>
              <w:right w:val="double" w:sz="6" w:space="0" w:color="1F4E78"/>
            </w:tcBorders>
            <w:shd w:val="clear" w:color="auto" w:fill="auto"/>
            <w:noWrap/>
            <w:vAlign w:val="bottom"/>
            <w:hideMark/>
          </w:tcPr>
          <w:p w14:paraId="6C5D24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35</w:t>
            </w:r>
          </w:p>
        </w:tc>
        <w:tc>
          <w:tcPr>
            <w:tcW w:w="708" w:type="dxa"/>
            <w:tcBorders>
              <w:top w:val="nil"/>
              <w:left w:val="nil"/>
              <w:bottom w:val="double" w:sz="6" w:space="0" w:color="1F4E78"/>
              <w:right w:val="double" w:sz="6" w:space="0" w:color="1F4E78"/>
            </w:tcBorders>
            <w:shd w:val="clear" w:color="auto" w:fill="auto"/>
            <w:noWrap/>
            <w:vAlign w:val="bottom"/>
            <w:hideMark/>
          </w:tcPr>
          <w:p w14:paraId="4C4B5F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83%</w:t>
            </w:r>
          </w:p>
        </w:tc>
        <w:tc>
          <w:tcPr>
            <w:tcW w:w="993" w:type="dxa"/>
            <w:tcBorders>
              <w:top w:val="nil"/>
              <w:left w:val="nil"/>
              <w:bottom w:val="double" w:sz="6" w:space="0" w:color="1F4E78"/>
              <w:right w:val="double" w:sz="6" w:space="0" w:color="1F4E78"/>
            </w:tcBorders>
            <w:shd w:val="clear" w:color="auto" w:fill="auto"/>
            <w:noWrap/>
            <w:vAlign w:val="bottom"/>
            <w:hideMark/>
          </w:tcPr>
          <w:p w14:paraId="029721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567" w:type="dxa"/>
            <w:tcBorders>
              <w:top w:val="nil"/>
              <w:left w:val="nil"/>
              <w:bottom w:val="double" w:sz="6" w:space="0" w:color="1F4E78"/>
              <w:right w:val="double" w:sz="6" w:space="0" w:color="1F4E78"/>
            </w:tcBorders>
            <w:shd w:val="clear" w:color="auto" w:fill="auto"/>
            <w:noWrap/>
            <w:vAlign w:val="bottom"/>
            <w:hideMark/>
          </w:tcPr>
          <w:p w14:paraId="7ADE79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nil"/>
              <w:left w:val="nil"/>
              <w:bottom w:val="double" w:sz="6" w:space="0" w:color="1F4E78"/>
              <w:right w:val="double" w:sz="6" w:space="0" w:color="1F4E78"/>
            </w:tcBorders>
            <w:shd w:val="clear" w:color="auto" w:fill="auto"/>
            <w:noWrap/>
            <w:vAlign w:val="bottom"/>
            <w:hideMark/>
          </w:tcPr>
          <w:p w14:paraId="43D5E8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004250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0B2198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567" w:type="dxa"/>
            <w:tcBorders>
              <w:top w:val="nil"/>
              <w:left w:val="nil"/>
              <w:bottom w:val="double" w:sz="6" w:space="0" w:color="1F4E78"/>
              <w:right w:val="double" w:sz="6" w:space="0" w:color="1F4E78"/>
            </w:tcBorders>
            <w:shd w:val="clear" w:color="auto" w:fill="auto"/>
            <w:noWrap/>
            <w:vAlign w:val="bottom"/>
            <w:hideMark/>
          </w:tcPr>
          <w:p w14:paraId="22D494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613" w:type="dxa"/>
            <w:tcBorders>
              <w:top w:val="nil"/>
              <w:left w:val="nil"/>
              <w:bottom w:val="double" w:sz="6" w:space="0" w:color="1F4E78"/>
              <w:right w:val="double" w:sz="6" w:space="0" w:color="1F4E78"/>
            </w:tcBorders>
            <w:shd w:val="clear" w:color="auto" w:fill="auto"/>
            <w:noWrap/>
            <w:vAlign w:val="bottom"/>
            <w:hideMark/>
          </w:tcPr>
          <w:p w14:paraId="504776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63" w:type="dxa"/>
            <w:tcBorders>
              <w:top w:val="nil"/>
              <w:left w:val="nil"/>
              <w:bottom w:val="double" w:sz="6" w:space="0" w:color="1F4E78"/>
              <w:right w:val="double" w:sz="6" w:space="0" w:color="1F4E78"/>
            </w:tcBorders>
            <w:shd w:val="clear" w:color="auto" w:fill="auto"/>
            <w:noWrap/>
            <w:vAlign w:val="bottom"/>
            <w:hideMark/>
          </w:tcPr>
          <w:p w14:paraId="609B51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c>
          <w:tcPr>
            <w:tcW w:w="992" w:type="dxa"/>
            <w:tcBorders>
              <w:top w:val="nil"/>
              <w:left w:val="nil"/>
              <w:bottom w:val="double" w:sz="6" w:space="0" w:color="1F4E78"/>
              <w:right w:val="double" w:sz="6" w:space="0" w:color="1F4E78"/>
            </w:tcBorders>
            <w:shd w:val="clear" w:color="auto" w:fill="auto"/>
            <w:noWrap/>
            <w:vAlign w:val="bottom"/>
            <w:hideMark/>
          </w:tcPr>
          <w:p w14:paraId="41A2E5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42</w:t>
            </w:r>
          </w:p>
        </w:tc>
      </w:tr>
      <w:tr w:rsidR="00B15F7D" w:rsidRPr="00990FB6" w14:paraId="14A7ECE5"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6FBABE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1134" w:type="dxa"/>
            <w:tcBorders>
              <w:top w:val="nil"/>
              <w:left w:val="nil"/>
              <w:bottom w:val="double" w:sz="6" w:space="0" w:color="1F4E78"/>
              <w:right w:val="double" w:sz="6" w:space="0" w:color="1F4E78"/>
            </w:tcBorders>
            <w:shd w:val="clear" w:color="auto" w:fill="auto"/>
            <w:noWrap/>
            <w:vAlign w:val="bottom"/>
            <w:hideMark/>
          </w:tcPr>
          <w:p w14:paraId="6A228A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w:t>
            </w:r>
          </w:p>
        </w:tc>
        <w:tc>
          <w:tcPr>
            <w:tcW w:w="708" w:type="dxa"/>
            <w:tcBorders>
              <w:top w:val="nil"/>
              <w:left w:val="nil"/>
              <w:bottom w:val="double" w:sz="6" w:space="0" w:color="1F4E78"/>
              <w:right w:val="double" w:sz="6" w:space="0" w:color="1F4E78"/>
            </w:tcBorders>
            <w:shd w:val="clear" w:color="auto" w:fill="auto"/>
            <w:noWrap/>
            <w:vAlign w:val="bottom"/>
            <w:hideMark/>
          </w:tcPr>
          <w:p w14:paraId="4A2EE3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83%</w:t>
            </w:r>
          </w:p>
        </w:tc>
        <w:tc>
          <w:tcPr>
            <w:tcW w:w="993" w:type="dxa"/>
            <w:tcBorders>
              <w:top w:val="nil"/>
              <w:left w:val="nil"/>
              <w:bottom w:val="double" w:sz="6" w:space="0" w:color="1F4E78"/>
              <w:right w:val="double" w:sz="6" w:space="0" w:color="1F4E78"/>
            </w:tcBorders>
            <w:shd w:val="clear" w:color="auto" w:fill="auto"/>
            <w:noWrap/>
            <w:vAlign w:val="bottom"/>
            <w:hideMark/>
          </w:tcPr>
          <w:p w14:paraId="03D842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567" w:type="dxa"/>
            <w:tcBorders>
              <w:top w:val="nil"/>
              <w:left w:val="nil"/>
              <w:bottom w:val="double" w:sz="6" w:space="0" w:color="1F4E78"/>
              <w:right w:val="double" w:sz="6" w:space="0" w:color="1F4E78"/>
            </w:tcBorders>
            <w:shd w:val="clear" w:color="auto" w:fill="auto"/>
            <w:noWrap/>
            <w:vAlign w:val="bottom"/>
            <w:hideMark/>
          </w:tcPr>
          <w:p w14:paraId="1A823A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8" w:type="dxa"/>
            <w:tcBorders>
              <w:top w:val="nil"/>
              <w:left w:val="nil"/>
              <w:bottom w:val="double" w:sz="6" w:space="0" w:color="1F4E78"/>
              <w:right w:val="double" w:sz="6" w:space="0" w:color="1F4E78"/>
            </w:tcBorders>
            <w:shd w:val="clear" w:color="auto" w:fill="auto"/>
            <w:noWrap/>
            <w:vAlign w:val="bottom"/>
            <w:hideMark/>
          </w:tcPr>
          <w:p w14:paraId="111358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2E44328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095454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567" w:type="dxa"/>
            <w:tcBorders>
              <w:top w:val="nil"/>
              <w:left w:val="nil"/>
              <w:bottom w:val="double" w:sz="6" w:space="0" w:color="1F4E78"/>
              <w:right w:val="double" w:sz="6" w:space="0" w:color="1F4E78"/>
            </w:tcBorders>
            <w:shd w:val="clear" w:color="auto" w:fill="auto"/>
            <w:noWrap/>
            <w:vAlign w:val="bottom"/>
            <w:hideMark/>
          </w:tcPr>
          <w:p w14:paraId="033A36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613" w:type="dxa"/>
            <w:tcBorders>
              <w:top w:val="nil"/>
              <w:left w:val="nil"/>
              <w:bottom w:val="double" w:sz="6" w:space="0" w:color="1F4E78"/>
              <w:right w:val="double" w:sz="6" w:space="0" w:color="1F4E78"/>
            </w:tcBorders>
            <w:shd w:val="clear" w:color="auto" w:fill="auto"/>
            <w:noWrap/>
            <w:vAlign w:val="bottom"/>
            <w:hideMark/>
          </w:tcPr>
          <w:p w14:paraId="6B4E4B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663" w:type="dxa"/>
            <w:tcBorders>
              <w:top w:val="nil"/>
              <w:left w:val="nil"/>
              <w:bottom w:val="double" w:sz="6" w:space="0" w:color="1F4E78"/>
              <w:right w:val="double" w:sz="6" w:space="0" w:color="1F4E78"/>
            </w:tcBorders>
            <w:shd w:val="clear" w:color="auto" w:fill="auto"/>
            <w:noWrap/>
            <w:vAlign w:val="bottom"/>
            <w:hideMark/>
          </w:tcPr>
          <w:p w14:paraId="35A8C54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992" w:type="dxa"/>
            <w:tcBorders>
              <w:top w:val="nil"/>
              <w:left w:val="nil"/>
              <w:bottom w:val="double" w:sz="6" w:space="0" w:color="1F4E78"/>
              <w:right w:val="double" w:sz="6" w:space="0" w:color="1F4E78"/>
            </w:tcBorders>
            <w:shd w:val="clear" w:color="auto" w:fill="auto"/>
            <w:noWrap/>
            <w:vAlign w:val="bottom"/>
            <w:hideMark/>
          </w:tcPr>
          <w:p w14:paraId="26A4A0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132</w:t>
            </w:r>
          </w:p>
        </w:tc>
      </w:tr>
      <w:tr w:rsidR="00B15F7D" w:rsidRPr="00990FB6" w14:paraId="42E05A19"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0937C5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1134" w:type="dxa"/>
            <w:tcBorders>
              <w:top w:val="nil"/>
              <w:left w:val="nil"/>
              <w:bottom w:val="double" w:sz="6" w:space="0" w:color="1F4E78"/>
              <w:right w:val="double" w:sz="6" w:space="0" w:color="1F4E78"/>
            </w:tcBorders>
            <w:shd w:val="clear" w:color="auto" w:fill="auto"/>
            <w:noWrap/>
            <w:vAlign w:val="bottom"/>
            <w:hideMark/>
          </w:tcPr>
          <w:p w14:paraId="3B8DEA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708" w:type="dxa"/>
            <w:tcBorders>
              <w:top w:val="nil"/>
              <w:left w:val="nil"/>
              <w:bottom w:val="double" w:sz="6" w:space="0" w:color="1F4E78"/>
              <w:right w:val="double" w:sz="6" w:space="0" w:color="1F4E78"/>
            </w:tcBorders>
            <w:shd w:val="clear" w:color="auto" w:fill="auto"/>
            <w:noWrap/>
            <w:vAlign w:val="bottom"/>
            <w:hideMark/>
          </w:tcPr>
          <w:p w14:paraId="4E620F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79%</w:t>
            </w:r>
          </w:p>
        </w:tc>
        <w:tc>
          <w:tcPr>
            <w:tcW w:w="993" w:type="dxa"/>
            <w:tcBorders>
              <w:top w:val="nil"/>
              <w:left w:val="nil"/>
              <w:bottom w:val="double" w:sz="6" w:space="0" w:color="1F4E78"/>
              <w:right w:val="double" w:sz="6" w:space="0" w:color="1F4E78"/>
            </w:tcBorders>
            <w:shd w:val="clear" w:color="auto" w:fill="auto"/>
            <w:noWrap/>
            <w:vAlign w:val="bottom"/>
            <w:hideMark/>
          </w:tcPr>
          <w:p w14:paraId="2304C2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567" w:type="dxa"/>
            <w:tcBorders>
              <w:top w:val="nil"/>
              <w:left w:val="nil"/>
              <w:bottom w:val="double" w:sz="6" w:space="0" w:color="1F4E78"/>
              <w:right w:val="double" w:sz="6" w:space="0" w:color="1F4E78"/>
            </w:tcBorders>
            <w:shd w:val="clear" w:color="auto" w:fill="auto"/>
            <w:noWrap/>
            <w:vAlign w:val="bottom"/>
            <w:hideMark/>
          </w:tcPr>
          <w:p w14:paraId="08AE32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1DDC0F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1E5A51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0A04ED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567" w:type="dxa"/>
            <w:tcBorders>
              <w:top w:val="nil"/>
              <w:left w:val="nil"/>
              <w:bottom w:val="double" w:sz="6" w:space="0" w:color="1F4E78"/>
              <w:right w:val="double" w:sz="6" w:space="0" w:color="1F4E78"/>
            </w:tcBorders>
            <w:shd w:val="clear" w:color="auto" w:fill="auto"/>
            <w:noWrap/>
            <w:vAlign w:val="bottom"/>
            <w:hideMark/>
          </w:tcPr>
          <w:p w14:paraId="7A2A48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c>
          <w:tcPr>
            <w:tcW w:w="613" w:type="dxa"/>
            <w:tcBorders>
              <w:top w:val="nil"/>
              <w:left w:val="nil"/>
              <w:bottom w:val="double" w:sz="6" w:space="0" w:color="1F4E78"/>
              <w:right w:val="double" w:sz="6" w:space="0" w:color="1F4E78"/>
            </w:tcBorders>
            <w:shd w:val="clear" w:color="auto" w:fill="auto"/>
            <w:noWrap/>
            <w:vAlign w:val="bottom"/>
            <w:hideMark/>
          </w:tcPr>
          <w:p w14:paraId="432243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663" w:type="dxa"/>
            <w:tcBorders>
              <w:top w:val="nil"/>
              <w:left w:val="nil"/>
              <w:bottom w:val="double" w:sz="6" w:space="0" w:color="1F4E78"/>
              <w:right w:val="double" w:sz="6" w:space="0" w:color="1F4E78"/>
            </w:tcBorders>
            <w:shd w:val="clear" w:color="auto" w:fill="auto"/>
            <w:noWrap/>
            <w:vAlign w:val="bottom"/>
            <w:hideMark/>
          </w:tcPr>
          <w:p w14:paraId="148DCC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1EE499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w:t>
            </w:r>
          </w:p>
        </w:tc>
      </w:tr>
      <w:tr w:rsidR="00B15F7D" w:rsidRPr="00990FB6" w14:paraId="7C0690BD"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33ED52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1134" w:type="dxa"/>
            <w:tcBorders>
              <w:top w:val="nil"/>
              <w:left w:val="nil"/>
              <w:bottom w:val="double" w:sz="6" w:space="0" w:color="1F4E78"/>
              <w:right w:val="double" w:sz="6" w:space="0" w:color="1F4E78"/>
            </w:tcBorders>
            <w:shd w:val="clear" w:color="auto" w:fill="auto"/>
            <w:noWrap/>
            <w:vAlign w:val="bottom"/>
            <w:hideMark/>
          </w:tcPr>
          <w:p w14:paraId="3276E4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122</w:t>
            </w:r>
          </w:p>
        </w:tc>
        <w:tc>
          <w:tcPr>
            <w:tcW w:w="708" w:type="dxa"/>
            <w:tcBorders>
              <w:top w:val="nil"/>
              <w:left w:val="nil"/>
              <w:bottom w:val="double" w:sz="6" w:space="0" w:color="1F4E78"/>
              <w:right w:val="double" w:sz="6" w:space="0" w:color="1F4E78"/>
            </w:tcBorders>
            <w:shd w:val="clear" w:color="auto" w:fill="auto"/>
            <w:noWrap/>
            <w:vAlign w:val="bottom"/>
            <w:hideMark/>
          </w:tcPr>
          <w:p w14:paraId="1636BB9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85%</w:t>
            </w:r>
          </w:p>
        </w:tc>
        <w:tc>
          <w:tcPr>
            <w:tcW w:w="993" w:type="dxa"/>
            <w:tcBorders>
              <w:top w:val="nil"/>
              <w:left w:val="nil"/>
              <w:bottom w:val="double" w:sz="6" w:space="0" w:color="1F4E78"/>
              <w:right w:val="double" w:sz="6" w:space="0" w:color="1F4E78"/>
            </w:tcBorders>
            <w:shd w:val="clear" w:color="auto" w:fill="auto"/>
            <w:noWrap/>
            <w:vAlign w:val="bottom"/>
            <w:hideMark/>
          </w:tcPr>
          <w:p w14:paraId="4CC675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567" w:type="dxa"/>
            <w:tcBorders>
              <w:top w:val="nil"/>
              <w:left w:val="nil"/>
              <w:bottom w:val="double" w:sz="6" w:space="0" w:color="1F4E78"/>
              <w:right w:val="double" w:sz="6" w:space="0" w:color="1F4E78"/>
            </w:tcBorders>
            <w:shd w:val="clear" w:color="auto" w:fill="auto"/>
            <w:noWrap/>
            <w:vAlign w:val="bottom"/>
            <w:hideMark/>
          </w:tcPr>
          <w:p w14:paraId="74A508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708" w:type="dxa"/>
            <w:tcBorders>
              <w:top w:val="nil"/>
              <w:left w:val="nil"/>
              <w:bottom w:val="double" w:sz="6" w:space="0" w:color="1F4E78"/>
              <w:right w:val="double" w:sz="6" w:space="0" w:color="1F4E78"/>
            </w:tcBorders>
            <w:shd w:val="clear" w:color="auto" w:fill="auto"/>
            <w:noWrap/>
            <w:vAlign w:val="bottom"/>
            <w:hideMark/>
          </w:tcPr>
          <w:p w14:paraId="7A36FB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2A57E85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09798C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567" w:type="dxa"/>
            <w:tcBorders>
              <w:top w:val="nil"/>
              <w:left w:val="nil"/>
              <w:bottom w:val="double" w:sz="6" w:space="0" w:color="1F4E78"/>
              <w:right w:val="double" w:sz="6" w:space="0" w:color="1F4E78"/>
            </w:tcBorders>
            <w:shd w:val="clear" w:color="auto" w:fill="auto"/>
            <w:noWrap/>
            <w:vAlign w:val="bottom"/>
            <w:hideMark/>
          </w:tcPr>
          <w:p w14:paraId="17065F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613" w:type="dxa"/>
            <w:tcBorders>
              <w:top w:val="nil"/>
              <w:left w:val="nil"/>
              <w:bottom w:val="double" w:sz="6" w:space="0" w:color="1F4E78"/>
              <w:right w:val="double" w:sz="6" w:space="0" w:color="1F4E78"/>
            </w:tcBorders>
            <w:shd w:val="clear" w:color="auto" w:fill="auto"/>
            <w:noWrap/>
            <w:vAlign w:val="bottom"/>
            <w:hideMark/>
          </w:tcPr>
          <w:p w14:paraId="6A773E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663" w:type="dxa"/>
            <w:tcBorders>
              <w:top w:val="nil"/>
              <w:left w:val="nil"/>
              <w:bottom w:val="double" w:sz="6" w:space="0" w:color="1F4E78"/>
              <w:right w:val="double" w:sz="6" w:space="0" w:color="1F4E78"/>
            </w:tcBorders>
            <w:shd w:val="clear" w:color="auto" w:fill="auto"/>
            <w:noWrap/>
            <w:vAlign w:val="bottom"/>
            <w:hideMark/>
          </w:tcPr>
          <w:p w14:paraId="7B96EA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992" w:type="dxa"/>
            <w:tcBorders>
              <w:top w:val="nil"/>
              <w:left w:val="nil"/>
              <w:bottom w:val="double" w:sz="6" w:space="0" w:color="1F4E78"/>
              <w:right w:val="double" w:sz="6" w:space="0" w:color="1F4E78"/>
            </w:tcBorders>
            <w:shd w:val="clear" w:color="auto" w:fill="auto"/>
            <w:noWrap/>
            <w:vAlign w:val="bottom"/>
            <w:hideMark/>
          </w:tcPr>
          <w:p w14:paraId="67BA958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144</w:t>
            </w:r>
          </w:p>
        </w:tc>
      </w:tr>
      <w:tr w:rsidR="00B15F7D" w:rsidRPr="00990FB6" w14:paraId="5B82323C"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22EB8DCF"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t>I Circuito Judicial de Guanacaste</w:t>
            </w:r>
          </w:p>
        </w:tc>
        <w:tc>
          <w:tcPr>
            <w:tcW w:w="1134" w:type="dxa"/>
            <w:tcBorders>
              <w:top w:val="nil"/>
              <w:left w:val="nil"/>
              <w:bottom w:val="double" w:sz="6" w:space="0" w:color="1F4E78"/>
              <w:right w:val="double" w:sz="6" w:space="0" w:color="1F4E78"/>
            </w:tcBorders>
            <w:shd w:val="clear" w:color="auto" w:fill="auto"/>
            <w:noWrap/>
            <w:vAlign w:val="bottom"/>
            <w:hideMark/>
          </w:tcPr>
          <w:p w14:paraId="41AC0E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55</w:t>
            </w:r>
          </w:p>
        </w:tc>
        <w:tc>
          <w:tcPr>
            <w:tcW w:w="708" w:type="dxa"/>
            <w:tcBorders>
              <w:top w:val="nil"/>
              <w:left w:val="nil"/>
              <w:bottom w:val="double" w:sz="6" w:space="0" w:color="1F4E78"/>
              <w:right w:val="double" w:sz="6" w:space="0" w:color="1F4E78"/>
            </w:tcBorders>
            <w:shd w:val="clear" w:color="auto" w:fill="auto"/>
            <w:noWrap/>
            <w:vAlign w:val="bottom"/>
            <w:hideMark/>
          </w:tcPr>
          <w:p w14:paraId="00B319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83%</w:t>
            </w:r>
          </w:p>
        </w:tc>
        <w:tc>
          <w:tcPr>
            <w:tcW w:w="993" w:type="dxa"/>
            <w:tcBorders>
              <w:top w:val="nil"/>
              <w:left w:val="nil"/>
              <w:bottom w:val="double" w:sz="6" w:space="0" w:color="1F4E78"/>
              <w:right w:val="double" w:sz="6" w:space="0" w:color="1F4E78"/>
            </w:tcBorders>
            <w:shd w:val="clear" w:color="auto" w:fill="auto"/>
            <w:noWrap/>
            <w:vAlign w:val="bottom"/>
            <w:hideMark/>
          </w:tcPr>
          <w:p w14:paraId="71F3DC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567" w:type="dxa"/>
            <w:tcBorders>
              <w:top w:val="nil"/>
              <w:left w:val="nil"/>
              <w:bottom w:val="double" w:sz="6" w:space="0" w:color="1F4E78"/>
              <w:right w:val="double" w:sz="6" w:space="0" w:color="1F4E78"/>
            </w:tcBorders>
            <w:shd w:val="clear" w:color="auto" w:fill="auto"/>
            <w:noWrap/>
            <w:vAlign w:val="bottom"/>
            <w:hideMark/>
          </w:tcPr>
          <w:p w14:paraId="336769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nil"/>
              <w:left w:val="nil"/>
              <w:bottom w:val="double" w:sz="6" w:space="0" w:color="1F4E78"/>
              <w:right w:val="double" w:sz="6" w:space="0" w:color="1F4E78"/>
            </w:tcBorders>
            <w:shd w:val="clear" w:color="auto" w:fill="auto"/>
            <w:noWrap/>
            <w:vAlign w:val="bottom"/>
            <w:hideMark/>
          </w:tcPr>
          <w:p w14:paraId="215451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3ABAC6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2A5720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567" w:type="dxa"/>
            <w:tcBorders>
              <w:top w:val="nil"/>
              <w:left w:val="nil"/>
              <w:bottom w:val="double" w:sz="6" w:space="0" w:color="1F4E78"/>
              <w:right w:val="double" w:sz="6" w:space="0" w:color="1F4E78"/>
            </w:tcBorders>
            <w:shd w:val="clear" w:color="auto" w:fill="auto"/>
            <w:noWrap/>
            <w:vAlign w:val="bottom"/>
            <w:hideMark/>
          </w:tcPr>
          <w:p w14:paraId="6B8B05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613" w:type="dxa"/>
            <w:tcBorders>
              <w:top w:val="nil"/>
              <w:left w:val="nil"/>
              <w:bottom w:val="double" w:sz="6" w:space="0" w:color="1F4E78"/>
              <w:right w:val="double" w:sz="6" w:space="0" w:color="1F4E78"/>
            </w:tcBorders>
            <w:shd w:val="clear" w:color="auto" w:fill="auto"/>
            <w:noWrap/>
            <w:vAlign w:val="bottom"/>
            <w:hideMark/>
          </w:tcPr>
          <w:p w14:paraId="4F56FB6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663" w:type="dxa"/>
            <w:tcBorders>
              <w:top w:val="nil"/>
              <w:left w:val="nil"/>
              <w:bottom w:val="double" w:sz="6" w:space="0" w:color="1F4E78"/>
              <w:right w:val="double" w:sz="6" w:space="0" w:color="1F4E78"/>
            </w:tcBorders>
            <w:shd w:val="clear" w:color="auto" w:fill="auto"/>
            <w:noWrap/>
            <w:vAlign w:val="bottom"/>
            <w:hideMark/>
          </w:tcPr>
          <w:p w14:paraId="56F804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992" w:type="dxa"/>
            <w:tcBorders>
              <w:top w:val="nil"/>
              <w:left w:val="nil"/>
              <w:bottom w:val="double" w:sz="6" w:space="0" w:color="1F4E78"/>
              <w:right w:val="double" w:sz="6" w:space="0" w:color="1F4E78"/>
            </w:tcBorders>
            <w:shd w:val="clear" w:color="auto" w:fill="auto"/>
            <w:noWrap/>
            <w:vAlign w:val="bottom"/>
            <w:hideMark/>
          </w:tcPr>
          <w:p w14:paraId="03CC9B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66</w:t>
            </w:r>
          </w:p>
        </w:tc>
      </w:tr>
      <w:tr w:rsidR="00B15F7D" w:rsidRPr="00990FB6" w14:paraId="0254DDDF" w14:textId="77777777" w:rsidTr="000A0C22">
        <w:trPr>
          <w:trHeight w:val="360"/>
        </w:trPr>
        <w:tc>
          <w:tcPr>
            <w:tcW w:w="1986" w:type="dxa"/>
            <w:tcBorders>
              <w:top w:val="nil"/>
              <w:left w:val="double" w:sz="6" w:space="0" w:color="1F4E78"/>
              <w:bottom w:val="double" w:sz="6" w:space="0" w:color="1F4E78"/>
              <w:right w:val="double" w:sz="6" w:space="0" w:color="1F4E78"/>
            </w:tcBorders>
            <w:shd w:val="clear" w:color="auto" w:fill="auto"/>
            <w:noWrap/>
            <w:vAlign w:val="bottom"/>
            <w:hideMark/>
          </w:tcPr>
          <w:p w14:paraId="2CCE001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Corredores</w:t>
            </w:r>
          </w:p>
        </w:tc>
        <w:tc>
          <w:tcPr>
            <w:tcW w:w="1134" w:type="dxa"/>
            <w:tcBorders>
              <w:top w:val="nil"/>
              <w:left w:val="nil"/>
              <w:bottom w:val="double" w:sz="6" w:space="0" w:color="1F4E78"/>
              <w:right w:val="double" w:sz="6" w:space="0" w:color="1F4E78"/>
            </w:tcBorders>
            <w:shd w:val="clear" w:color="auto" w:fill="auto"/>
            <w:noWrap/>
            <w:vAlign w:val="bottom"/>
            <w:hideMark/>
          </w:tcPr>
          <w:p w14:paraId="75E53E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708" w:type="dxa"/>
            <w:tcBorders>
              <w:top w:val="nil"/>
              <w:left w:val="nil"/>
              <w:bottom w:val="double" w:sz="6" w:space="0" w:color="1F4E78"/>
              <w:right w:val="double" w:sz="6" w:space="0" w:color="1F4E78"/>
            </w:tcBorders>
            <w:shd w:val="clear" w:color="auto" w:fill="auto"/>
            <w:noWrap/>
            <w:vAlign w:val="bottom"/>
            <w:hideMark/>
          </w:tcPr>
          <w:p w14:paraId="769F7D2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52%</w:t>
            </w:r>
          </w:p>
        </w:tc>
        <w:tc>
          <w:tcPr>
            <w:tcW w:w="993" w:type="dxa"/>
            <w:tcBorders>
              <w:top w:val="nil"/>
              <w:left w:val="nil"/>
              <w:bottom w:val="double" w:sz="6" w:space="0" w:color="1F4E78"/>
              <w:right w:val="double" w:sz="6" w:space="0" w:color="1F4E78"/>
            </w:tcBorders>
            <w:shd w:val="clear" w:color="auto" w:fill="auto"/>
            <w:noWrap/>
            <w:vAlign w:val="bottom"/>
            <w:hideMark/>
          </w:tcPr>
          <w:p w14:paraId="5F9107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567" w:type="dxa"/>
            <w:tcBorders>
              <w:top w:val="nil"/>
              <w:left w:val="nil"/>
              <w:bottom w:val="double" w:sz="6" w:space="0" w:color="1F4E78"/>
              <w:right w:val="double" w:sz="6" w:space="0" w:color="1F4E78"/>
            </w:tcBorders>
            <w:shd w:val="clear" w:color="auto" w:fill="auto"/>
            <w:noWrap/>
            <w:vAlign w:val="bottom"/>
            <w:hideMark/>
          </w:tcPr>
          <w:p w14:paraId="59DA8F1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708" w:type="dxa"/>
            <w:tcBorders>
              <w:top w:val="nil"/>
              <w:left w:val="nil"/>
              <w:bottom w:val="double" w:sz="6" w:space="0" w:color="1F4E78"/>
              <w:right w:val="double" w:sz="6" w:space="0" w:color="1F4E78"/>
            </w:tcBorders>
            <w:shd w:val="clear" w:color="auto" w:fill="auto"/>
            <w:noWrap/>
            <w:vAlign w:val="bottom"/>
            <w:hideMark/>
          </w:tcPr>
          <w:p w14:paraId="30B08F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426" w:type="dxa"/>
            <w:tcBorders>
              <w:top w:val="nil"/>
              <w:left w:val="nil"/>
              <w:bottom w:val="double" w:sz="6" w:space="0" w:color="1F4E78"/>
              <w:right w:val="double" w:sz="6" w:space="0" w:color="1F4E78"/>
            </w:tcBorders>
            <w:shd w:val="clear" w:color="auto" w:fill="auto"/>
            <w:noWrap/>
            <w:vAlign w:val="bottom"/>
            <w:hideMark/>
          </w:tcPr>
          <w:p w14:paraId="008747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708" w:type="dxa"/>
            <w:tcBorders>
              <w:top w:val="nil"/>
              <w:left w:val="nil"/>
              <w:bottom w:val="double" w:sz="6" w:space="0" w:color="1F4E78"/>
              <w:right w:val="double" w:sz="6" w:space="0" w:color="1F4E78"/>
            </w:tcBorders>
            <w:shd w:val="clear" w:color="auto" w:fill="auto"/>
            <w:noWrap/>
            <w:vAlign w:val="bottom"/>
            <w:hideMark/>
          </w:tcPr>
          <w:p w14:paraId="60DABD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567" w:type="dxa"/>
            <w:tcBorders>
              <w:top w:val="nil"/>
              <w:left w:val="nil"/>
              <w:bottom w:val="double" w:sz="6" w:space="0" w:color="1F4E78"/>
              <w:right w:val="double" w:sz="6" w:space="0" w:color="1F4E78"/>
            </w:tcBorders>
            <w:shd w:val="clear" w:color="auto" w:fill="auto"/>
            <w:noWrap/>
            <w:vAlign w:val="bottom"/>
            <w:hideMark/>
          </w:tcPr>
          <w:p w14:paraId="42A851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613" w:type="dxa"/>
            <w:tcBorders>
              <w:top w:val="nil"/>
              <w:left w:val="nil"/>
              <w:bottom w:val="double" w:sz="6" w:space="0" w:color="1F4E78"/>
              <w:right w:val="double" w:sz="6" w:space="0" w:color="1F4E78"/>
            </w:tcBorders>
            <w:shd w:val="clear" w:color="auto" w:fill="auto"/>
            <w:noWrap/>
            <w:vAlign w:val="bottom"/>
            <w:hideMark/>
          </w:tcPr>
          <w:p w14:paraId="4E4D71A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663" w:type="dxa"/>
            <w:tcBorders>
              <w:top w:val="nil"/>
              <w:left w:val="nil"/>
              <w:bottom w:val="double" w:sz="6" w:space="0" w:color="1F4E78"/>
              <w:right w:val="double" w:sz="6" w:space="0" w:color="1F4E78"/>
            </w:tcBorders>
            <w:shd w:val="clear" w:color="auto" w:fill="auto"/>
            <w:noWrap/>
            <w:vAlign w:val="bottom"/>
            <w:hideMark/>
          </w:tcPr>
          <w:p w14:paraId="0C0DEE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0D9403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r>
    </w:tbl>
    <w:p w14:paraId="0CD062FF"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de los anuarios judiciales suministrada por el Subproceso de Estadística. Los datos corresponden al año 2022.</w:t>
      </w:r>
    </w:p>
    <w:p w14:paraId="31727FD8" w14:textId="77777777" w:rsidR="00B15F7D" w:rsidRPr="00990FB6" w:rsidRDefault="00B15F7D" w:rsidP="00B15F7D">
      <w:pPr>
        <w:tabs>
          <w:tab w:val="left" w:pos="0"/>
        </w:tabs>
        <w:ind w:left="851" w:right="851" w:firstLine="709"/>
        <w:jc w:val="both"/>
        <w:rPr>
          <w:color w:val="000000"/>
          <w:sz w:val="22"/>
          <w:szCs w:val="22"/>
        </w:rPr>
      </w:pPr>
    </w:p>
    <w:p w14:paraId="109F5C93"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lastRenderedPageBreak/>
        <w:t>Respecto a las audiencias de verificación, el porcentaje promedio de realización corresponde a un 76%.  Por encima de este porcentaje se ubican siete circuitos judiciales, lo que corresponden a un 58 % de los circuitos: I Circuito Judicial de la Zona Sur, I Circuito Judicial de la Zona Atlántica, II Circuito Judicial de la Zona Atlántica, I Circuito Judicial de Guanacaste, III Circuito Judicial de San José y los Circuitos de Heredia y San Ramón.</w:t>
      </w:r>
    </w:p>
    <w:p w14:paraId="4CAF3933" w14:textId="77777777" w:rsidR="00B15F7D" w:rsidRPr="00990FB6" w:rsidRDefault="00B15F7D" w:rsidP="00B15F7D">
      <w:pPr>
        <w:tabs>
          <w:tab w:val="left" w:pos="0"/>
        </w:tabs>
        <w:ind w:left="851" w:right="851" w:firstLine="709"/>
        <w:jc w:val="both"/>
        <w:rPr>
          <w:color w:val="000000"/>
          <w:sz w:val="22"/>
          <w:szCs w:val="22"/>
        </w:rPr>
      </w:pPr>
    </w:p>
    <w:p w14:paraId="793227C9"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Por su parte, se tienen cuatro circuitos judiciales que se encuentran por debajo del promedio. II Circuito Judicial de San José y los Circuitos de Puntarenas, Cartago y Alajuela.</w:t>
      </w:r>
    </w:p>
    <w:p w14:paraId="142D52D7" w14:textId="77777777" w:rsidR="00B15F7D" w:rsidRPr="00990FB6" w:rsidRDefault="00B15F7D" w:rsidP="00B15F7D">
      <w:pPr>
        <w:tabs>
          <w:tab w:val="left" w:pos="0"/>
        </w:tabs>
        <w:ind w:left="851" w:right="851" w:firstLine="709"/>
        <w:jc w:val="both"/>
        <w:rPr>
          <w:color w:val="000000"/>
          <w:sz w:val="22"/>
          <w:szCs w:val="22"/>
        </w:rPr>
      </w:pPr>
    </w:p>
    <w:p w14:paraId="29CFCFA8"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Sobre el estado “pendiente” se indica que, esto no hace alusión a que la audiencia de verificación está pendiente de realizar, sino que a nivel del sistema informático no se actualizó el resultado correcto. Para este caso particular, el porcentaje promedio de apuntes en estado pendiente es de un 9%, esto se convierte en una inconsistencia estadística porque el dato debería ser cero.</w:t>
      </w:r>
    </w:p>
    <w:p w14:paraId="245E39CC" w14:textId="77777777" w:rsidR="00B15F7D" w:rsidRPr="00990FB6" w:rsidRDefault="00B15F7D" w:rsidP="00B15F7D">
      <w:pPr>
        <w:tabs>
          <w:tab w:val="left" w:pos="586"/>
        </w:tabs>
        <w:ind w:left="851" w:right="851" w:firstLine="709"/>
        <w:jc w:val="both"/>
        <w:rPr>
          <w:color w:val="000000"/>
          <w:sz w:val="22"/>
          <w:szCs w:val="22"/>
        </w:rPr>
      </w:pPr>
    </w:p>
    <w:p w14:paraId="4DDC11D0"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Por último, se muestra en el siguiente cuadro los estados de las entrevistas realizadas por los equipos de Justicia Restaurativa en material Penal Adulto durante el año 2022:</w:t>
      </w:r>
    </w:p>
    <w:p w14:paraId="0EA43614" w14:textId="77777777" w:rsidR="00B15F7D" w:rsidRPr="00990FB6" w:rsidRDefault="00B15F7D" w:rsidP="00B15F7D">
      <w:pPr>
        <w:tabs>
          <w:tab w:val="left" w:pos="586"/>
        </w:tabs>
        <w:ind w:left="851" w:right="851" w:firstLine="709"/>
        <w:jc w:val="both"/>
        <w:rPr>
          <w:color w:val="000000"/>
          <w:sz w:val="22"/>
          <w:szCs w:val="22"/>
        </w:rPr>
      </w:pPr>
    </w:p>
    <w:p w14:paraId="4CBB44C1" w14:textId="77777777" w:rsidR="00B15F7D" w:rsidRPr="00990FB6" w:rsidRDefault="00B15F7D" w:rsidP="00B15F7D">
      <w:pPr>
        <w:tabs>
          <w:tab w:val="left" w:pos="8505"/>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13</w:t>
      </w:r>
      <w:r w:rsidRPr="00990FB6">
        <w:rPr>
          <w:b/>
          <w:bCs/>
          <w:color w:val="000000"/>
          <w:sz w:val="22"/>
          <w:szCs w:val="22"/>
        </w:rPr>
        <w:fldChar w:fldCharType="end"/>
      </w:r>
      <w:r w:rsidRPr="00990FB6">
        <w:rPr>
          <w:b/>
          <w:bCs/>
          <w:color w:val="000000"/>
          <w:sz w:val="22"/>
          <w:szCs w:val="22"/>
        </w:rPr>
        <w:t>. Entrevistas en materia Penal Adulto para el año 2022</w:t>
      </w:r>
    </w:p>
    <w:p w14:paraId="47496F63" w14:textId="77777777" w:rsidR="00B15F7D" w:rsidRPr="00990FB6" w:rsidRDefault="00B15F7D" w:rsidP="00B15F7D">
      <w:pPr>
        <w:tabs>
          <w:tab w:val="left" w:pos="8505"/>
        </w:tabs>
        <w:jc w:val="center"/>
        <w:rPr>
          <w:b/>
          <w:bCs/>
          <w:color w:val="000000"/>
          <w:sz w:val="22"/>
          <w:szCs w:val="22"/>
        </w:rPr>
      </w:pPr>
    </w:p>
    <w:tbl>
      <w:tblPr>
        <w:tblW w:w="9781" w:type="dxa"/>
        <w:jc w:val="center"/>
        <w:tblLayout w:type="fixed"/>
        <w:tblCellMar>
          <w:left w:w="70" w:type="dxa"/>
          <w:right w:w="70" w:type="dxa"/>
        </w:tblCellMar>
        <w:tblLook w:val="04A0" w:firstRow="1" w:lastRow="0" w:firstColumn="1" w:lastColumn="0" w:noHBand="0" w:noVBand="1"/>
      </w:tblPr>
      <w:tblGrid>
        <w:gridCol w:w="2269"/>
        <w:gridCol w:w="992"/>
        <w:gridCol w:w="567"/>
        <w:gridCol w:w="850"/>
        <w:gridCol w:w="426"/>
        <w:gridCol w:w="567"/>
        <w:gridCol w:w="425"/>
        <w:gridCol w:w="992"/>
        <w:gridCol w:w="567"/>
        <w:gridCol w:w="992"/>
        <w:gridCol w:w="426"/>
        <w:gridCol w:w="708"/>
      </w:tblGrid>
      <w:tr w:rsidR="00B15F7D" w:rsidRPr="00990FB6" w14:paraId="44F710C7" w14:textId="77777777" w:rsidTr="000A0C22">
        <w:trPr>
          <w:trHeight w:val="360"/>
          <w:jc w:val="center"/>
        </w:trPr>
        <w:tc>
          <w:tcPr>
            <w:tcW w:w="2269" w:type="dxa"/>
            <w:vMerge w:val="restart"/>
            <w:tcBorders>
              <w:top w:val="double" w:sz="6" w:space="0" w:color="1F4E78"/>
              <w:left w:val="double" w:sz="6" w:space="0" w:color="1F4E78"/>
              <w:bottom w:val="double" w:sz="6" w:space="0" w:color="1F4E78"/>
              <w:right w:val="double" w:sz="6" w:space="0" w:color="1F4E78"/>
            </w:tcBorders>
            <w:shd w:val="clear" w:color="000000" w:fill="365F91"/>
            <w:noWrap/>
            <w:vAlign w:val="center"/>
            <w:hideMark/>
          </w:tcPr>
          <w:p w14:paraId="674309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7512" w:type="dxa"/>
            <w:gridSpan w:val="11"/>
            <w:tcBorders>
              <w:top w:val="double" w:sz="6" w:space="0" w:color="1F4E78"/>
              <w:left w:val="nil"/>
              <w:bottom w:val="double" w:sz="6" w:space="0" w:color="1F4E78"/>
              <w:right w:val="double" w:sz="6" w:space="0" w:color="1F4E78"/>
            </w:tcBorders>
            <w:shd w:val="clear" w:color="000000" w:fill="365F91"/>
            <w:noWrap/>
            <w:vAlign w:val="center"/>
            <w:hideMark/>
          </w:tcPr>
          <w:p w14:paraId="11D21E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Entrevistas</w:t>
            </w:r>
          </w:p>
        </w:tc>
      </w:tr>
      <w:tr w:rsidR="00B15F7D" w:rsidRPr="00990FB6" w14:paraId="35FF6A24" w14:textId="77777777" w:rsidTr="000A0C22">
        <w:trPr>
          <w:trHeight w:val="360"/>
          <w:jc w:val="center"/>
        </w:trPr>
        <w:tc>
          <w:tcPr>
            <w:tcW w:w="2269" w:type="dxa"/>
            <w:vMerge/>
            <w:tcBorders>
              <w:top w:val="double" w:sz="6" w:space="0" w:color="1F4E78"/>
              <w:left w:val="double" w:sz="6" w:space="0" w:color="1F4E78"/>
              <w:bottom w:val="double" w:sz="6" w:space="0" w:color="1F4E78"/>
              <w:right w:val="double" w:sz="6" w:space="0" w:color="1F4E78"/>
            </w:tcBorders>
            <w:vAlign w:val="center"/>
            <w:hideMark/>
          </w:tcPr>
          <w:p w14:paraId="554B6BDF" w14:textId="77777777" w:rsidR="00B15F7D" w:rsidRPr="00990FB6" w:rsidRDefault="00B15F7D" w:rsidP="00B15F7D">
            <w:pPr>
              <w:rPr>
                <w:color w:val="000000"/>
                <w:sz w:val="22"/>
                <w:szCs w:val="22"/>
                <w:lang w:eastAsia="es-CR"/>
              </w:rPr>
            </w:pPr>
          </w:p>
        </w:tc>
        <w:tc>
          <w:tcPr>
            <w:tcW w:w="992" w:type="dxa"/>
            <w:tcBorders>
              <w:top w:val="nil"/>
              <w:left w:val="nil"/>
              <w:bottom w:val="double" w:sz="6" w:space="0" w:color="1F4E78"/>
              <w:right w:val="double" w:sz="6" w:space="0" w:color="1F4E78"/>
            </w:tcBorders>
            <w:shd w:val="clear" w:color="000000" w:fill="365F91"/>
            <w:noWrap/>
            <w:vAlign w:val="center"/>
            <w:hideMark/>
          </w:tcPr>
          <w:p w14:paraId="497632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Realizadas</w:t>
            </w:r>
          </w:p>
        </w:tc>
        <w:tc>
          <w:tcPr>
            <w:tcW w:w="567" w:type="dxa"/>
            <w:tcBorders>
              <w:top w:val="nil"/>
              <w:left w:val="nil"/>
              <w:bottom w:val="double" w:sz="6" w:space="0" w:color="1F4E78"/>
              <w:right w:val="double" w:sz="6" w:space="0" w:color="1F4E78"/>
            </w:tcBorders>
            <w:shd w:val="clear" w:color="000000" w:fill="365F91"/>
            <w:noWrap/>
            <w:vAlign w:val="center"/>
            <w:hideMark/>
          </w:tcPr>
          <w:p w14:paraId="566C5B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850" w:type="dxa"/>
            <w:tcBorders>
              <w:top w:val="nil"/>
              <w:left w:val="nil"/>
              <w:bottom w:val="double" w:sz="6" w:space="0" w:color="1F4E78"/>
              <w:right w:val="double" w:sz="6" w:space="0" w:color="1F4E78"/>
            </w:tcBorders>
            <w:shd w:val="clear" w:color="000000" w:fill="365F91"/>
            <w:noWrap/>
            <w:vAlign w:val="center"/>
            <w:hideMark/>
          </w:tcPr>
          <w:p w14:paraId="15F73C4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Pendiente</w:t>
            </w:r>
          </w:p>
        </w:tc>
        <w:tc>
          <w:tcPr>
            <w:tcW w:w="426" w:type="dxa"/>
            <w:tcBorders>
              <w:top w:val="nil"/>
              <w:left w:val="nil"/>
              <w:bottom w:val="double" w:sz="6" w:space="0" w:color="1F4E78"/>
              <w:right w:val="double" w:sz="6" w:space="0" w:color="1F4E78"/>
            </w:tcBorders>
            <w:shd w:val="clear" w:color="000000" w:fill="365F91"/>
            <w:noWrap/>
            <w:vAlign w:val="center"/>
            <w:hideMark/>
          </w:tcPr>
          <w:p w14:paraId="48CFC5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567" w:type="dxa"/>
            <w:tcBorders>
              <w:top w:val="nil"/>
              <w:left w:val="nil"/>
              <w:bottom w:val="double" w:sz="6" w:space="0" w:color="1F4E78"/>
              <w:right w:val="double" w:sz="6" w:space="0" w:color="1F4E78"/>
            </w:tcBorders>
            <w:shd w:val="clear" w:color="000000" w:fill="365F91"/>
            <w:noWrap/>
            <w:vAlign w:val="center"/>
            <w:hideMark/>
          </w:tcPr>
          <w:p w14:paraId="65D421C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Sin efecto</w:t>
            </w:r>
          </w:p>
        </w:tc>
        <w:tc>
          <w:tcPr>
            <w:tcW w:w="425" w:type="dxa"/>
            <w:tcBorders>
              <w:top w:val="nil"/>
              <w:left w:val="nil"/>
              <w:bottom w:val="double" w:sz="6" w:space="0" w:color="1F4E78"/>
              <w:right w:val="double" w:sz="6" w:space="0" w:color="1F4E78"/>
            </w:tcBorders>
            <w:shd w:val="clear" w:color="000000" w:fill="365F91"/>
            <w:noWrap/>
            <w:vAlign w:val="center"/>
            <w:hideMark/>
          </w:tcPr>
          <w:p w14:paraId="1620E6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992" w:type="dxa"/>
            <w:tcBorders>
              <w:top w:val="nil"/>
              <w:left w:val="nil"/>
              <w:bottom w:val="double" w:sz="6" w:space="0" w:color="1F4E78"/>
              <w:right w:val="double" w:sz="6" w:space="0" w:color="1F4E78"/>
            </w:tcBorders>
            <w:shd w:val="clear" w:color="000000" w:fill="365F91"/>
            <w:noWrap/>
            <w:vAlign w:val="center"/>
            <w:hideMark/>
          </w:tcPr>
          <w:p w14:paraId="072645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realizadas</w:t>
            </w:r>
          </w:p>
        </w:tc>
        <w:tc>
          <w:tcPr>
            <w:tcW w:w="567" w:type="dxa"/>
            <w:tcBorders>
              <w:top w:val="nil"/>
              <w:left w:val="nil"/>
              <w:bottom w:val="double" w:sz="6" w:space="0" w:color="1F4E78"/>
              <w:right w:val="double" w:sz="6" w:space="0" w:color="1F4E78"/>
            </w:tcBorders>
            <w:shd w:val="clear" w:color="000000" w:fill="365F91"/>
            <w:noWrap/>
            <w:vAlign w:val="center"/>
            <w:hideMark/>
          </w:tcPr>
          <w:p w14:paraId="6253BB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992" w:type="dxa"/>
            <w:tcBorders>
              <w:top w:val="nil"/>
              <w:left w:val="nil"/>
              <w:bottom w:val="double" w:sz="6" w:space="0" w:color="1F4E78"/>
              <w:right w:val="double" w:sz="6" w:space="0" w:color="1F4E78"/>
            </w:tcBorders>
            <w:shd w:val="clear" w:color="000000" w:fill="365F91"/>
            <w:noWrap/>
            <w:vAlign w:val="center"/>
            <w:hideMark/>
          </w:tcPr>
          <w:p w14:paraId="4153CE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Suspendida</w:t>
            </w:r>
          </w:p>
        </w:tc>
        <w:tc>
          <w:tcPr>
            <w:tcW w:w="426" w:type="dxa"/>
            <w:tcBorders>
              <w:top w:val="nil"/>
              <w:left w:val="nil"/>
              <w:bottom w:val="double" w:sz="6" w:space="0" w:color="1F4E78"/>
              <w:right w:val="double" w:sz="6" w:space="0" w:color="1F4E78"/>
            </w:tcBorders>
            <w:shd w:val="clear" w:color="000000" w:fill="365F91"/>
            <w:noWrap/>
            <w:vAlign w:val="center"/>
            <w:hideMark/>
          </w:tcPr>
          <w:p w14:paraId="471708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w:t>
            </w:r>
          </w:p>
        </w:tc>
        <w:tc>
          <w:tcPr>
            <w:tcW w:w="708" w:type="dxa"/>
            <w:tcBorders>
              <w:top w:val="nil"/>
              <w:left w:val="nil"/>
              <w:bottom w:val="double" w:sz="6" w:space="0" w:color="1F4E78"/>
              <w:right w:val="double" w:sz="6" w:space="0" w:color="1F4E78"/>
            </w:tcBorders>
            <w:shd w:val="clear" w:color="000000" w:fill="365F91"/>
            <w:noWrap/>
            <w:vAlign w:val="center"/>
            <w:hideMark/>
          </w:tcPr>
          <w:p w14:paraId="59ABFC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Total</w:t>
            </w:r>
          </w:p>
        </w:tc>
      </w:tr>
      <w:tr w:rsidR="00B15F7D" w:rsidRPr="00990FB6" w14:paraId="22C28845"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2297B5A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992" w:type="dxa"/>
            <w:tcBorders>
              <w:top w:val="nil"/>
              <w:left w:val="nil"/>
              <w:bottom w:val="double" w:sz="6" w:space="0" w:color="1F4E78"/>
              <w:right w:val="double" w:sz="6" w:space="0" w:color="1F4E78"/>
            </w:tcBorders>
            <w:shd w:val="clear" w:color="auto" w:fill="auto"/>
            <w:noWrap/>
            <w:vAlign w:val="bottom"/>
            <w:hideMark/>
          </w:tcPr>
          <w:p w14:paraId="31219C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3231</w:t>
            </w:r>
          </w:p>
        </w:tc>
        <w:tc>
          <w:tcPr>
            <w:tcW w:w="567" w:type="dxa"/>
            <w:tcBorders>
              <w:top w:val="nil"/>
              <w:left w:val="nil"/>
              <w:bottom w:val="double" w:sz="6" w:space="0" w:color="1F4E78"/>
              <w:right w:val="double" w:sz="6" w:space="0" w:color="1F4E78"/>
            </w:tcBorders>
            <w:shd w:val="clear" w:color="auto" w:fill="auto"/>
            <w:noWrap/>
            <w:vAlign w:val="bottom"/>
            <w:hideMark/>
          </w:tcPr>
          <w:p w14:paraId="717B78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90%</w:t>
            </w:r>
          </w:p>
        </w:tc>
        <w:tc>
          <w:tcPr>
            <w:tcW w:w="850" w:type="dxa"/>
            <w:tcBorders>
              <w:top w:val="nil"/>
              <w:left w:val="nil"/>
              <w:bottom w:val="double" w:sz="6" w:space="0" w:color="1F4E78"/>
              <w:right w:val="double" w:sz="6" w:space="0" w:color="1F4E78"/>
            </w:tcBorders>
            <w:shd w:val="clear" w:color="auto" w:fill="auto"/>
            <w:noWrap/>
            <w:vAlign w:val="bottom"/>
            <w:hideMark/>
          </w:tcPr>
          <w:p w14:paraId="28D599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55</w:t>
            </w:r>
          </w:p>
        </w:tc>
        <w:tc>
          <w:tcPr>
            <w:tcW w:w="426" w:type="dxa"/>
            <w:tcBorders>
              <w:top w:val="nil"/>
              <w:left w:val="nil"/>
              <w:bottom w:val="double" w:sz="6" w:space="0" w:color="1F4E78"/>
              <w:right w:val="double" w:sz="6" w:space="0" w:color="1F4E78"/>
            </w:tcBorders>
            <w:shd w:val="clear" w:color="auto" w:fill="auto"/>
            <w:noWrap/>
            <w:vAlign w:val="bottom"/>
            <w:hideMark/>
          </w:tcPr>
          <w:p w14:paraId="25792A5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567" w:type="dxa"/>
            <w:tcBorders>
              <w:top w:val="nil"/>
              <w:left w:val="nil"/>
              <w:bottom w:val="double" w:sz="6" w:space="0" w:color="1F4E78"/>
              <w:right w:val="double" w:sz="6" w:space="0" w:color="1F4E78"/>
            </w:tcBorders>
            <w:shd w:val="clear" w:color="auto" w:fill="auto"/>
            <w:noWrap/>
            <w:vAlign w:val="bottom"/>
            <w:hideMark/>
          </w:tcPr>
          <w:p w14:paraId="345AAE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5" w:type="dxa"/>
            <w:tcBorders>
              <w:top w:val="nil"/>
              <w:left w:val="nil"/>
              <w:bottom w:val="double" w:sz="6" w:space="0" w:color="1F4E78"/>
              <w:right w:val="double" w:sz="6" w:space="0" w:color="1F4E78"/>
            </w:tcBorders>
            <w:shd w:val="clear" w:color="auto" w:fill="auto"/>
            <w:noWrap/>
            <w:vAlign w:val="bottom"/>
            <w:hideMark/>
          </w:tcPr>
          <w:p w14:paraId="15DF0B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28D4D3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w:t>
            </w:r>
          </w:p>
        </w:tc>
        <w:tc>
          <w:tcPr>
            <w:tcW w:w="567" w:type="dxa"/>
            <w:tcBorders>
              <w:top w:val="nil"/>
              <w:left w:val="nil"/>
              <w:bottom w:val="double" w:sz="6" w:space="0" w:color="1F4E78"/>
              <w:right w:val="double" w:sz="6" w:space="0" w:color="1F4E78"/>
            </w:tcBorders>
            <w:shd w:val="clear" w:color="auto" w:fill="auto"/>
            <w:noWrap/>
            <w:vAlign w:val="bottom"/>
            <w:hideMark/>
          </w:tcPr>
          <w:p w14:paraId="07C769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992" w:type="dxa"/>
            <w:tcBorders>
              <w:top w:val="nil"/>
              <w:left w:val="nil"/>
              <w:bottom w:val="double" w:sz="6" w:space="0" w:color="1F4E78"/>
              <w:right w:val="double" w:sz="6" w:space="0" w:color="1F4E78"/>
            </w:tcBorders>
            <w:shd w:val="clear" w:color="auto" w:fill="auto"/>
            <w:noWrap/>
            <w:vAlign w:val="bottom"/>
            <w:hideMark/>
          </w:tcPr>
          <w:p w14:paraId="081EC5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97</w:t>
            </w:r>
          </w:p>
        </w:tc>
        <w:tc>
          <w:tcPr>
            <w:tcW w:w="426" w:type="dxa"/>
            <w:tcBorders>
              <w:top w:val="nil"/>
              <w:left w:val="nil"/>
              <w:bottom w:val="double" w:sz="6" w:space="0" w:color="1F4E78"/>
              <w:right w:val="double" w:sz="6" w:space="0" w:color="1F4E78"/>
            </w:tcBorders>
            <w:shd w:val="clear" w:color="auto" w:fill="auto"/>
            <w:noWrap/>
            <w:vAlign w:val="bottom"/>
            <w:hideMark/>
          </w:tcPr>
          <w:p w14:paraId="1F9BD5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708" w:type="dxa"/>
            <w:tcBorders>
              <w:top w:val="nil"/>
              <w:left w:val="nil"/>
              <w:bottom w:val="double" w:sz="6" w:space="0" w:color="1F4E78"/>
              <w:right w:val="double" w:sz="6" w:space="0" w:color="1F4E78"/>
            </w:tcBorders>
            <w:shd w:val="clear" w:color="auto" w:fill="auto"/>
            <w:noWrap/>
            <w:vAlign w:val="bottom"/>
            <w:hideMark/>
          </w:tcPr>
          <w:p w14:paraId="385EAA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3584</w:t>
            </w:r>
          </w:p>
        </w:tc>
      </w:tr>
      <w:tr w:rsidR="00B15F7D" w:rsidRPr="00990FB6" w14:paraId="1492777D"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1BF281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992" w:type="dxa"/>
            <w:tcBorders>
              <w:top w:val="nil"/>
              <w:left w:val="nil"/>
              <w:bottom w:val="double" w:sz="6" w:space="0" w:color="1F4E78"/>
              <w:right w:val="double" w:sz="6" w:space="0" w:color="1F4E78"/>
            </w:tcBorders>
            <w:shd w:val="clear" w:color="auto" w:fill="auto"/>
            <w:noWrap/>
            <w:vAlign w:val="bottom"/>
            <w:hideMark/>
          </w:tcPr>
          <w:p w14:paraId="416895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1128</w:t>
            </w:r>
          </w:p>
        </w:tc>
        <w:tc>
          <w:tcPr>
            <w:tcW w:w="567" w:type="dxa"/>
            <w:tcBorders>
              <w:top w:val="nil"/>
              <w:left w:val="nil"/>
              <w:bottom w:val="double" w:sz="6" w:space="0" w:color="1F4E78"/>
              <w:right w:val="double" w:sz="6" w:space="0" w:color="1F4E78"/>
            </w:tcBorders>
            <w:shd w:val="clear" w:color="auto" w:fill="auto"/>
            <w:noWrap/>
            <w:vAlign w:val="bottom"/>
            <w:hideMark/>
          </w:tcPr>
          <w:p w14:paraId="644C12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73%</w:t>
            </w:r>
          </w:p>
        </w:tc>
        <w:tc>
          <w:tcPr>
            <w:tcW w:w="850" w:type="dxa"/>
            <w:tcBorders>
              <w:top w:val="nil"/>
              <w:left w:val="nil"/>
              <w:bottom w:val="double" w:sz="6" w:space="0" w:color="1F4E78"/>
              <w:right w:val="double" w:sz="6" w:space="0" w:color="1F4E78"/>
            </w:tcBorders>
            <w:shd w:val="clear" w:color="auto" w:fill="auto"/>
            <w:noWrap/>
            <w:vAlign w:val="bottom"/>
            <w:hideMark/>
          </w:tcPr>
          <w:p w14:paraId="557AA9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81</w:t>
            </w:r>
          </w:p>
        </w:tc>
        <w:tc>
          <w:tcPr>
            <w:tcW w:w="426" w:type="dxa"/>
            <w:tcBorders>
              <w:top w:val="nil"/>
              <w:left w:val="nil"/>
              <w:bottom w:val="double" w:sz="6" w:space="0" w:color="1F4E78"/>
              <w:right w:val="double" w:sz="6" w:space="0" w:color="1F4E78"/>
            </w:tcBorders>
            <w:shd w:val="clear" w:color="auto" w:fill="auto"/>
            <w:noWrap/>
            <w:vAlign w:val="bottom"/>
            <w:hideMark/>
          </w:tcPr>
          <w:p w14:paraId="5DC487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567" w:type="dxa"/>
            <w:tcBorders>
              <w:top w:val="nil"/>
              <w:left w:val="nil"/>
              <w:bottom w:val="double" w:sz="6" w:space="0" w:color="1F4E78"/>
              <w:right w:val="double" w:sz="6" w:space="0" w:color="1F4E78"/>
            </w:tcBorders>
            <w:shd w:val="clear" w:color="auto" w:fill="auto"/>
            <w:noWrap/>
            <w:vAlign w:val="bottom"/>
            <w:hideMark/>
          </w:tcPr>
          <w:p w14:paraId="577F21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425" w:type="dxa"/>
            <w:tcBorders>
              <w:top w:val="nil"/>
              <w:left w:val="nil"/>
              <w:bottom w:val="double" w:sz="6" w:space="0" w:color="1F4E78"/>
              <w:right w:val="double" w:sz="6" w:space="0" w:color="1F4E78"/>
            </w:tcBorders>
            <w:shd w:val="clear" w:color="auto" w:fill="auto"/>
            <w:noWrap/>
            <w:vAlign w:val="bottom"/>
            <w:hideMark/>
          </w:tcPr>
          <w:p w14:paraId="433C87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041A97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327</w:t>
            </w:r>
          </w:p>
        </w:tc>
        <w:tc>
          <w:tcPr>
            <w:tcW w:w="567" w:type="dxa"/>
            <w:tcBorders>
              <w:top w:val="nil"/>
              <w:left w:val="nil"/>
              <w:bottom w:val="double" w:sz="6" w:space="0" w:color="1F4E78"/>
              <w:right w:val="double" w:sz="6" w:space="0" w:color="1F4E78"/>
            </w:tcBorders>
            <w:shd w:val="clear" w:color="auto" w:fill="auto"/>
            <w:noWrap/>
            <w:vAlign w:val="bottom"/>
            <w:hideMark/>
          </w:tcPr>
          <w:p w14:paraId="0B274EC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c>
          <w:tcPr>
            <w:tcW w:w="992" w:type="dxa"/>
            <w:tcBorders>
              <w:top w:val="nil"/>
              <w:left w:val="nil"/>
              <w:bottom w:val="double" w:sz="6" w:space="0" w:color="1F4E78"/>
              <w:right w:val="double" w:sz="6" w:space="0" w:color="1F4E78"/>
            </w:tcBorders>
            <w:shd w:val="clear" w:color="auto" w:fill="auto"/>
            <w:noWrap/>
            <w:vAlign w:val="bottom"/>
            <w:hideMark/>
          </w:tcPr>
          <w:p w14:paraId="7E06EF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426" w:type="dxa"/>
            <w:tcBorders>
              <w:top w:val="nil"/>
              <w:left w:val="nil"/>
              <w:bottom w:val="double" w:sz="6" w:space="0" w:color="1F4E78"/>
              <w:right w:val="double" w:sz="6" w:space="0" w:color="1F4E78"/>
            </w:tcBorders>
            <w:shd w:val="clear" w:color="auto" w:fill="auto"/>
            <w:noWrap/>
            <w:vAlign w:val="bottom"/>
            <w:hideMark/>
          </w:tcPr>
          <w:p w14:paraId="6B0DCB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0B353D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1544</w:t>
            </w:r>
          </w:p>
        </w:tc>
      </w:tr>
      <w:tr w:rsidR="00B15F7D" w:rsidRPr="00990FB6" w14:paraId="5838FD13"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51FEBF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992" w:type="dxa"/>
            <w:tcBorders>
              <w:top w:val="nil"/>
              <w:left w:val="nil"/>
              <w:bottom w:val="double" w:sz="6" w:space="0" w:color="1F4E78"/>
              <w:right w:val="double" w:sz="6" w:space="0" w:color="1F4E78"/>
            </w:tcBorders>
            <w:shd w:val="clear" w:color="auto" w:fill="auto"/>
            <w:noWrap/>
            <w:vAlign w:val="bottom"/>
            <w:hideMark/>
          </w:tcPr>
          <w:p w14:paraId="34F5B6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1596</w:t>
            </w:r>
          </w:p>
        </w:tc>
        <w:tc>
          <w:tcPr>
            <w:tcW w:w="567" w:type="dxa"/>
            <w:tcBorders>
              <w:top w:val="nil"/>
              <w:left w:val="nil"/>
              <w:bottom w:val="double" w:sz="6" w:space="0" w:color="1F4E78"/>
              <w:right w:val="double" w:sz="6" w:space="0" w:color="1F4E78"/>
            </w:tcBorders>
            <w:shd w:val="clear" w:color="auto" w:fill="auto"/>
            <w:noWrap/>
            <w:vAlign w:val="bottom"/>
            <w:hideMark/>
          </w:tcPr>
          <w:p w14:paraId="516896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96%</w:t>
            </w:r>
          </w:p>
        </w:tc>
        <w:tc>
          <w:tcPr>
            <w:tcW w:w="850" w:type="dxa"/>
            <w:tcBorders>
              <w:top w:val="nil"/>
              <w:left w:val="nil"/>
              <w:bottom w:val="double" w:sz="6" w:space="0" w:color="1F4E78"/>
              <w:right w:val="double" w:sz="6" w:space="0" w:color="1F4E78"/>
            </w:tcBorders>
            <w:shd w:val="clear" w:color="auto" w:fill="auto"/>
            <w:noWrap/>
            <w:vAlign w:val="bottom"/>
            <w:hideMark/>
          </w:tcPr>
          <w:p w14:paraId="34558E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w:t>
            </w:r>
          </w:p>
        </w:tc>
        <w:tc>
          <w:tcPr>
            <w:tcW w:w="426" w:type="dxa"/>
            <w:tcBorders>
              <w:top w:val="nil"/>
              <w:left w:val="nil"/>
              <w:bottom w:val="double" w:sz="6" w:space="0" w:color="1F4E78"/>
              <w:right w:val="double" w:sz="6" w:space="0" w:color="1F4E78"/>
            </w:tcBorders>
            <w:shd w:val="clear" w:color="auto" w:fill="auto"/>
            <w:noWrap/>
            <w:vAlign w:val="bottom"/>
            <w:hideMark/>
          </w:tcPr>
          <w:p w14:paraId="51456B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567" w:type="dxa"/>
            <w:tcBorders>
              <w:top w:val="nil"/>
              <w:left w:val="nil"/>
              <w:bottom w:val="double" w:sz="6" w:space="0" w:color="1F4E78"/>
              <w:right w:val="double" w:sz="6" w:space="0" w:color="1F4E78"/>
            </w:tcBorders>
            <w:shd w:val="clear" w:color="auto" w:fill="auto"/>
            <w:noWrap/>
            <w:vAlign w:val="bottom"/>
            <w:hideMark/>
          </w:tcPr>
          <w:p w14:paraId="6F37E6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425" w:type="dxa"/>
            <w:tcBorders>
              <w:top w:val="nil"/>
              <w:left w:val="nil"/>
              <w:bottom w:val="double" w:sz="6" w:space="0" w:color="1F4E78"/>
              <w:right w:val="double" w:sz="6" w:space="0" w:color="1F4E78"/>
            </w:tcBorders>
            <w:shd w:val="clear" w:color="auto" w:fill="auto"/>
            <w:noWrap/>
            <w:vAlign w:val="bottom"/>
            <w:hideMark/>
          </w:tcPr>
          <w:p w14:paraId="4E997B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711553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42</w:t>
            </w:r>
          </w:p>
        </w:tc>
        <w:tc>
          <w:tcPr>
            <w:tcW w:w="567" w:type="dxa"/>
            <w:tcBorders>
              <w:top w:val="nil"/>
              <w:left w:val="nil"/>
              <w:bottom w:val="double" w:sz="6" w:space="0" w:color="1F4E78"/>
              <w:right w:val="double" w:sz="6" w:space="0" w:color="1F4E78"/>
            </w:tcBorders>
            <w:shd w:val="clear" w:color="auto" w:fill="auto"/>
            <w:noWrap/>
            <w:vAlign w:val="bottom"/>
            <w:hideMark/>
          </w:tcPr>
          <w:p w14:paraId="5A282C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992" w:type="dxa"/>
            <w:tcBorders>
              <w:top w:val="nil"/>
              <w:left w:val="nil"/>
              <w:bottom w:val="double" w:sz="6" w:space="0" w:color="1F4E78"/>
              <w:right w:val="double" w:sz="6" w:space="0" w:color="1F4E78"/>
            </w:tcBorders>
            <w:shd w:val="clear" w:color="auto" w:fill="auto"/>
            <w:noWrap/>
            <w:vAlign w:val="bottom"/>
            <w:hideMark/>
          </w:tcPr>
          <w:p w14:paraId="52521B3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426" w:type="dxa"/>
            <w:tcBorders>
              <w:top w:val="nil"/>
              <w:left w:val="nil"/>
              <w:bottom w:val="double" w:sz="6" w:space="0" w:color="1F4E78"/>
              <w:right w:val="double" w:sz="6" w:space="0" w:color="1F4E78"/>
            </w:tcBorders>
            <w:shd w:val="clear" w:color="auto" w:fill="auto"/>
            <w:noWrap/>
            <w:vAlign w:val="bottom"/>
            <w:hideMark/>
          </w:tcPr>
          <w:p w14:paraId="32EA96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6C9982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1667</w:t>
            </w:r>
          </w:p>
        </w:tc>
      </w:tr>
      <w:tr w:rsidR="00B15F7D" w:rsidRPr="00990FB6" w14:paraId="267D41FE"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1D51A4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992" w:type="dxa"/>
            <w:tcBorders>
              <w:top w:val="nil"/>
              <w:left w:val="nil"/>
              <w:bottom w:val="double" w:sz="6" w:space="0" w:color="1F4E78"/>
              <w:right w:val="double" w:sz="6" w:space="0" w:color="1F4E78"/>
            </w:tcBorders>
            <w:shd w:val="clear" w:color="auto" w:fill="auto"/>
            <w:noWrap/>
            <w:vAlign w:val="bottom"/>
            <w:hideMark/>
          </w:tcPr>
          <w:p w14:paraId="60128B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1603</w:t>
            </w:r>
          </w:p>
        </w:tc>
        <w:tc>
          <w:tcPr>
            <w:tcW w:w="567" w:type="dxa"/>
            <w:tcBorders>
              <w:top w:val="nil"/>
              <w:left w:val="nil"/>
              <w:bottom w:val="double" w:sz="6" w:space="0" w:color="1F4E78"/>
              <w:right w:val="double" w:sz="6" w:space="0" w:color="1F4E78"/>
            </w:tcBorders>
            <w:shd w:val="clear" w:color="auto" w:fill="auto"/>
            <w:noWrap/>
            <w:vAlign w:val="bottom"/>
            <w:hideMark/>
          </w:tcPr>
          <w:p w14:paraId="42736E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91%</w:t>
            </w:r>
          </w:p>
        </w:tc>
        <w:tc>
          <w:tcPr>
            <w:tcW w:w="850" w:type="dxa"/>
            <w:tcBorders>
              <w:top w:val="nil"/>
              <w:left w:val="nil"/>
              <w:bottom w:val="double" w:sz="6" w:space="0" w:color="1F4E78"/>
              <w:right w:val="double" w:sz="6" w:space="0" w:color="1F4E78"/>
            </w:tcBorders>
            <w:shd w:val="clear" w:color="auto" w:fill="auto"/>
            <w:noWrap/>
            <w:vAlign w:val="bottom"/>
            <w:hideMark/>
          </w:tcPr>
          <w:p w14:paraId="616ECD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65</w:t>
            </w:r>
          </w:p>
        </w:tc>
        <w:tc>
          <w:tcPr>
            <w:tcW w:w="426" w:type="dxa"/>
            <w:tcBorders>
              <w:top w:val="nil"/>
              <w:left w:val="nil"/>
              <w:bottom w:val="double" w:sz="6" w:space="0" w:color="1F4E78"/>
              <w:right w:val="double" w:sz="6" w:space="0" w:color="1F4E78"/>
            </w:tcBorders>
            <w:shd w:val="clear" w:color="auto" w:fill="auto"/>
            <w:noWrap/>
            <w:vAlign w:val="bottom"/>
            <w:hideMark/>
          </w:tcPr>
          <w:p w14:paraId="72BC20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567" w:type="dxa"/>
            <w:tcBorders>
              <w:top w:val="nil"/>
              <w:left w:val="nil"/>
              <w:bottom w:val="double" w:sz="6" w:space="0" w:color="1F4E78"/>
              <w:right w:val="double" w:sz="6" w:space="0" w:color="1F4E78"/>
            </w:tcBorders>
            <w:shd w:val="clear" w:color="auto" w:fill="auto"/>
            <w:noWrap/>
            <w:vAlign w:val="bottom"/>
            <w:hideMark/>
          </w:tcPr>
          <w:p w14:paraId="3629F1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5" w:type="dxa"/>
            <w:tcBorders>
              <w:top w:val="nil"/>
              <w:left w:val="nil"/>
              <w:bottom w:val="double" w:sz="6" w:space="0" w:color="1F4E78"/>
              <w:right w:val="double" w:sz="6" w:space="0" w:color="1F4E78"/>
            </w:tcBorders>
            <w:shd w:val="clear" w:color="auto" w:fill="auto"/>
            <w:noWrap/>
            <w:vAlign w:val="bottom"/>
            <w:hideMark/>
          </w:tcPr>
          <w:p w14:paraId="021FAF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1492FD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99</w:t>
            </w:r>
          </w:p>
        </w:tc>
        <w:tc>
          <w:tcPr>
            <w:tcW w:w="567" w:type="dxa"/>
            <w:tcBorders>
              <w:top w:val="nil"/>
              <w:left w:val="nil"/>
              <w:bottom w:val="double" w:sz="6" w:space="0" w:color="1F4E78"/>
              <w:right w:val="double" w:sz="6" w:space="0" w:color="1F4E78"/>
            </w:tcBorders>
            <w:shd w:val="clear" w:color="auto" w:fill="auto"/>
            <w:noWrap/>
            <w:vAlign w:val="bottom"/>
            <w:hideMark/>
          </w:tcPr>
          <w:p w14:paraId="660564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992" w:type="dxa"/>
            <w:tcBorders>
              <w:top w:val="nil"/>
              <w:left w:val="nil"/>
              <w:bottom w:val="double" w:sz="6" w:space="0" w:color="1F4E78"/>
              <w:right w:val="double" w:sz="6" w:space="0" w:color="1F4E78"/>
            </w:tcBorders>
            <w:shd w:val="clear" w:color="auto" w:fill="auto"/>
            <w:noWrap/>
            <w:vAlign w:val="bottom"/>
            <w:hideMark/>
          </w:tcPr>
          <w:p w14:paraId="77DC5D1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5BEC9D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1F62A5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1767</w:t>
            </w:r>
          </w:p>
        </w:tc>
      </w:tr>
      <w:tr w:rsidR="00B15F7D" w:rsidRPr="00990FB6" w14:paraId="7614CCA0"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2E596A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992" w:type="dxa"/>
            <w:tcBorders>
              <w:top w:val="nil"/>
              <w:left w:val="nil"/>
              <w:bottom w:val="double" w:sz="6" w:space="0" w:color="1F4E78"/>
              <w:right w:val="double" w:sz="6" w:space="0" w:color="1F4E78"/>
            </w:tcBorders>
            <w:shd w:val="clear" w:color="auto" w:fill="auto"/>
            <w:noWrap/>
            <w:vAlign w:val="bottom"/>
            <w:hideMark/>
          </w:tcPr>
          <w:p w14:paraId="374BA7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1180</w:t>
            </w:r>
          </w:p>
        </w:tc>
        <w:tc>
          <w:tcPr>
            <w:tcW w:w="567" w:type="dxa"/>
            <w:tcBorders>
              <w:top w:val="nil"/>
              <w:left w:val="nil"/>
              <w:bottom w:val="double" w:sz="6" w:space="0" w:color="1F4E78"/>
              <w:right w:val="double" w:sz="6" w:space="0" w:color="1F4E78"/>
            </w:tcBorders>
            <w:shd w:val="clear" w:color="auto" w:fill="auto"/>
            <w:noWrap/>
            <w:vAlign w:val="bottom"/>
            <w:hideMark/>
          </w:tcPr>
          <w:p w14:paraId="6C5761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85%</w:t>
            </w:r>
          </w:p>
        </w:tc>
        <w:tc>
          <w:tcPr>
            <w:tcW w:w="850" w:type="dxa"/>
            <w:tcBorders>
              <w:top w:val="nil"/>
              <w:left w:val="nil"/>
              <w:bottom w:val="double" w:sz="6" w:space="0" w:color="1F4E78"/>
              <w:right w:val="double" w:sz="6" w:space="0" w:color="1F4E78"/>
            </w:tcBorders>
            <w:shd w:val="clear" w:color="auto" w:fill="auto"/>
            <w:noWrap/>
            <w:vAlign w:val="bottom"/>
            <w:hideMark/>
          </w:tcPr>
          <w:p w14:paraId="6F5198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c>
          <w:tcPr>
            <w:tcW w:w="426" w:type="dxa"/>
            <w:tcBorders>
              <w:top w:val="nil"/>
              <w:left w:val="nil"/>
              <w:bottom w:val="double" w:sz="6" w:space="0" w:color="1F4E78"/>
              <w:right w:val="double" w:sz="6" w:space="0" w:color="1F4E78"/>
            </w:tcBorders>
            <w:shd w:val="clear" w:color="auto" w:fill="auto"/>
            <w:noWrap/>
            <w:vAlign w:val="bottom"/>
            <w:hideMark/>
          </w:tcPr>
          <w:p w14:paraId="28638C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567" w:type="dxa"/>
            <w:tcBorders>
              <w:top w:val="nil"/>
              <w:left w:val="nil"/>
              <w:bottom w:val="double" w:sz="6" w:space="0" w:color="1F4E78"/>
              <w:right w:val="double" w:sz="6" w:space="0" w:color="1F4E78"/>
            </w:tcBorders>
            <w:shd w:val="clear" w:color="auto" w:fill="auto"/>
            <w:noWrap/>
            <w:vAlign w:val="bottom"/>
            <w:hideMark/>
          </w:tcPr>
          <w:p w14:paraId="0E0234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425" w:type="dxa"/>
            <w:tcBorders>
              <w:top w:val="nil"/>
              <w:left w:val="nil"/>
              <w:bottom w:val="double" w:sz="6" w:space="0" w:color="1F4E78"/>
              <w:right w:val="double" w:sz="6" w:space="0" w:color="1F4E78"/>
            </w:tcBorders>
            <w:shd w:val="clear" w:color="auto" w:fill="auto"/>
            <w:noWrap/>
            <w:vAlign w:val="bottom"/>
            <w:hideMark/>
          </w:tcPr>
          <w:p w14:paraId="05AFC2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992" w:type="dxa"/>
            <w:tcBorders>
              <w:top w:val="nil"/>
              <w:left w:val="nil"/>
              <w:bottom w:val="double" w:sz="6" w:space="0" w:color="1F4E78"/>
              <w:right w:val="double" w:sz="6" w:space="0" w:color="1F4E78"/>
            </w:tcBorders>
            <w:shd w:val="clear" w:color="auto" w:fill="auto"/>
            <w:noWrap/>
            <w:vAlign w:val="bottom"/>
            <w:hideMark/>
          </w:tcPr>
          <w:p w14:paraId="42B683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165</w:t>
            </w:r>
          </w:p>
        </w:tc>
        <w:tc>
          <w:tcPr>
            <w:tcW w:w="567" w:type="dxa"/>
            <w:tcBorders>
              <w:top w:val="nil"/>
              <w:left w:val="nil"/>
              <w:bottom w:val="double" w:sz="6" w:space="0" w:color="1F4E78"/>
              <w:right w:val="double" w:sz="6" w:space="0" w:color="1F4E78"/>
            </w:tcBorders>
            <w:shd w:val="clear" w:color="auto" w:fill="auto"/>
            <w:noWrap/>
            <w:vAlign w:val="bottom"/>
            <w:hideMark/>
          </w:tcPr>
          <w:p w14:paraId="6EE9B6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992" w:type="dxa"/>
            <w:tcBorders>
              <w:top w:val="nil"/>
              <w:left w:val="nil"/>
              <w:bottom w:val="double" w:sz="6" w:space="0" w:color="1F4E78"/>
              <w:right w:val="double" w:sz="6" w:space="0" w:color="1F4E78"/>
            </w:tcBorders>
            <w:shd w:val="clear" w:color="auto" w:fill="auto"/>
            <w:noWrap/>
            <w:vAlign w:val="bottom"/>
            <w:hideMark/>
          </w:tcPr>
          <w:p w14:paraId="171093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426" w:type="dxa"/>
            <w:tcBorders>
              <w:top w:val="nil"/>
              <w:left w:val="nil"/>
              <w:bottom w:val="double" w:sz="6" w:space="0" w:color="1F4E78"/>
              <w:right w:val="double" w:sz="6" w:space="0" w:color="1F4E78"/>
            </w:tcBorders>
            <w:shd w:val="clear" w:color="auto" w:fill="auto"/>
            <w:noWrap/>
            <w:vAlign w:val="bottom"/>
            <w:hideMark/>
          </w:tcPr>
          <w:p w14:paraId="71F7CB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4A4C8E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1392</w:t>
            </w:r>
          </w:p>
        </w:tc>
      </w:tr>
      <w:tr w:rsidR="00B15F7D" w:rsidRPr="00990FB6" w14:paraId="19E1ACD1"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16FB19D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Alajuela </w:t>
            </w:r>
          </w:p>
        </w:tc>
        <w:tc>
          <w:tcPr>
            <w:tcW w:w="992" w:type="dxa"/>
            <w:tcBorders>
              <w:top w:val="nil"/>
              <w:left w:val="nil"/>
              <w:bottom w:val="double" w:sz="6" w:space="0" w:color="1F4E78"/>
              <w:right w:val="double" w:sz="6" w:space="0" w:color="1F4E78"/>
            </w:tcBorders>
            <w:shd w:val="clear" w:color="auto" w:fill="auto"/>
            <w:noWrap/>
            <w:vAlign w:val="bottom"/>
            <w:hideMark/>
          </w:tcPr>
          <w:p w14:paraId="3A1B80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163</w:t>
            </w:r>
          </w:p>
        </w:tc>
        <w:tc>
          <w:tcPr>
            <w:tcW w:w="567" w:type="dxa"/>
            <w:tcBorders>
              <w:top w:val="nil"/>
              <w:left w:val="nil"/>
              <w:bottom w:val="double" w:sz="6" w:space="0" w:color="1F4E78"/>
              <w:right w:val="double" w:sz="6" w:space="0" w:color="1F4E78"/>
            </w:tcBorders>
            <w:shd w:val="clear" w:color="auto" w:fill="auto"/>
            <w:noWrap/>
            <w:vAlign w:val="bottom"/>
            <w:hideMark/>
          </w:tcPr>
          <w:p w14:paraId="4C14496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67%</w:t>
            </w:r>
          </w:p>
        </w:tc>
        <w:tc>
          <w:tcPr>
            <w:tcW w:w="850" w:type="dxa"/>
            <w:tcBorders>
              <w:top w:val="nil"/>
              <w:left w:val="nil"/>
              <w:bottom w:val="double" w:sz="6" w:space="0" w:color="1F4E78"/>
              <w:right w:val="double" w:sz="6" w:space="0" w:color="1F4E78"/>
            </w:tcBorders>
            <w:shd w:val="clear" w:color="auto" w:fill="auto"/>
            <w:noWrap/>
            <w:vAlign w:val="bottom"/>
            <w:hideMark/>
          </w:tcPr>
          <w:p w14:paraId="4151D8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c>
          <w:tcPr>
            <w:tcW w:w="426" w:type="dxa"/>
            <w:tcBorders>
              <w:top w:val="nil"/>
              <w:left w:val="nil"/>
              <w:bottom w:val="double" w:sz="6" w:space="0" w:color="1F4E78"/>
              <w:right w:val="double" w:sz="6" w:space="0" w:color="1F4E78"/>
            </w:tcBorders>
            <w:shd w:val="clear" w:color="auto" w:fill="auto"/>
            <w:noWrap/>
            <w:vAlign w:val="bottom"/>
            <w:hideMark/>
          </w:tcPr>
          <w:p w14:paraId="7BED80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567" w:type="dxa"/>
            <w:tcBorders>
              <w:top w:val="nil"/>
              <w:left w:val="nil"/>
              <w:bottom w:val="double" w:sz="6" w:space="0" w:color="1F4E78"/>
              <w:right w:val="double" w:sz="6" w:space="0" w:color="1F4E78"/>
            </w:tcBorders>
            <w:shd w:val="clear" w:color="auto" w:fill="auto"/>
            <w:noWrap/>
            <w:vAlign w:val="bottom"/>
            <w:hideMark/>
          </w:tcPr>
          <w:p w14:paraId="615548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5" w:type="dxa"/>
            <w:tcBorders>
              <w:top w:val="nil"/>
              <w:left w:val="nil"/>
              <w:bottom w:val="double" w:sz="6" w:space="0" w:color="1F4E78"/>
              <w:right w:val="double" w:sz="6" w:space="0" w:color="1F4E78"/>
            </w:tcBorders>
            <w:shd w:val="clear" w:color="auto" w:fill="auto"/>
            <w:noWrap/>
            <w:vAlign w:val="bottom"/>
            <w:hideMark/>
          </w:tcPr>
          <w:p w14:paraId="1FBC43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147A0D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66</w:t>
            </w:r>
          </w:p>
        </w:tc>
        <w:tc>
          <w:tcPr>
            <w:tcW w:w="567" w:type="dxa"/>
            <w:tcBorders>
              <w:top w:val="nil"/>
              <w:left w:val="nil"/>
              <w:bottom w:val="double" w:sz="6" w:space="0" w:color="1F4E78"/>
              <w:right w:val="double" w:sz="6" w:space="0" w:color="1F4E78"/>
            </w:tcBorders>
            <w:shd w:val="clear" w:color="auto" w:fill="auto"/>
            <w:noWrap/>
            <w:vAlign w:val="bottom"/>
            <w:hideMark/>
          </w:tcPr>
          <w:p w14:paraId="2972A3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w:t>
            </w:r>
          </w:p>
        </w:tc>
        <w:tc>
          <w:tcPr>
            <w:tcW w:w="992" w:type="dxa"/>
            <w:tcBorders>
              <w:top w:val="nil"/>
              <w:left w:val="nil"/>
              <w:bottom w:val="double" w:sz="6" w:space="0" w:color="1F4E78"/>
              <w:right w:val="double" w:sz="6" w:space="0" w:color="1F4E78"/>
            </w:tcBorders>
            <w:shd w:val="clear" w:color="auto" w:fill="auto"/>
            <w:noWrap/>
            <w:vAlign w:val="bottom"/>
            <w:hideMark/>
          </w:tcPr>
          <w:p w14:paraId="2DF6C1D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6E76F6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64EAAC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242</w:t>
            </w:r>
          </w:p>
        </w:tc>
      </w:tr>
      <w:tr w:rsidR="00B15F7D" w:rsidRPr="00990FB6" w14:paraId="5568D13E"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01AF9E6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San Ramón </w:t>
            </w:r>
          </w:p>
        </w:tc>
        <w:tc>
          <w:tcPr>
            <w:tcW w:w="992" w:type="dxa"/>
            <w:tcBorders>
              <w:top w:val="nil"/>
              <w:left w:val="nil"/>
              <w:bottom w:val="double" w:sz="6" w:space="0" w:color="1F4E78"/>
              <w:right w:val="double" w:sz="6" w:space="0" w:color="1F4E78"/>
            </w:tcBorders>
            <w:shd w:val="clear" w:color="auto" w:fill="auto"/>
            <w:noWrap/>
            <w:vAlign w:val="bottom"/>
            <w:hideMark/>
          </w:tcPr>
          <w:p w14:paraId="495C8C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405</w:t>
            </w:r>
          </w:p>
        </w:tc>
        <w:tc>
          <w:tcPr>
            <w:tcW w:w="567" w:type="dxa"/>
            <w:tcBorders>
              <w:top w:val="nil"/>
              <w:left w:val="nil"/>
              <w:bottom w:val="double" w:sz="6" w:space="0" w:color="1F4E78"/>
              <w:right w:val="double" w:sz="6" w:space="0" w:color="1F4E78"/>
            </w:tcBorders>
            <w:shd w:val="clear" w:color="auto" w:fill="auto"/>
            <w:noWrap/>
            <w:vAlign w:val="bottom"/>
            <w:hideMark/>
          </w:tcPr>
          <w:p w14:paraId="7E75456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80%</w:t>
            </w:r>
          </w:p>
        </w:tc>
        <w:tc>
          <w:tcPr>
            <w:tcW w:w="850" w:type="dxa"/>
            <w:tcBorders>
              <w:top w:val="nil"/>
              <w:left w:val="nil"/>
              <w:bottom w:val="double" w:sz="6" w:space="0" w:color="1F4E78"/>
              <w:right w:val="double" w:sz="6" w:space="0" w:color="1F4E78"/>
            </w:tcBorders>
            <w:shd w:val="clear" w:color="auto" w:fill="auto"/>
            <w:noWrap/>
            <w:vAlign w:val="bottom"/>
            <w:hideMark/>
          </w:tcPr>
          <w:p w14:paraId="73F590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426" w:type="dxa"/>
            <w:tcBorders>
              <w:top w:val="nil"/>
              <w:left w:val="nil"/>
              <w:bottom w:val="double" w:sz="6" w:space="0" w:color="1F4E78"/>
              <w:right w:val="double" w:sz="6" w:space="0" w:color="1F4E78"/>
            </w:tcBorders>
            <w:shd w:val="clear" w:color="auto" w:fill="auto"/>
            <w:noWrap/>
            <w:vAlign w:val="bottom"/>
            <w:hideMark/>
          </w:tcPr>
          <w:p w14:paraId="2EA571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567" w:type="dxa"/>
            <w:tcBorders>
              <w:top w:val="nil"/>
              <w:left w:val="nil"/>
              <w:bottom w:val="double" w:sz="6" w:space="0" w:color="1F4E78"/>
              <w:right w:val="double" w:sz="6" w:space="0" w:color="1F4E78"/>
            </w:tcBorders>
            <w:shd w:val="clear" w:color="auto" w:fill="auto"/>
            <w:noWrap/>
            <w:vAlign w:val="bottom"/>
            <w:hideMark/>
          </w:tcPr>
          <w:p w14:paraId="1BEE46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425" w:type="dxa"/>
            <w:tcBorders>
              <w:top w:val="nil"/>
              <w:left w:val="nil"/>
              <w:bottom w:val="double" w:sz="6" w:space="0" w:color="1F4E78"/>
              <w:right w:val="double" w:sz="6" w:space="0" w:color="1F4E78"/>
            </w:tcBorders>
            <w:shd w:val="clear" w:color="auto" w:fill="auto"/>
            <w:noWrap/>
            <w:vAlign w:val="bottom"/>
            <w:hideMark/>
          </w:tcPr>
          <w:p w14:paraId="1F0FB8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39384D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88</w:t>
            </w:r>
          </w:p>
        </w:tc>
        <w:tc>
          <w:tcPr>
            <w:tcW w:w="567" w:type="dxa"/>
            <w:tcBorders>
              <w:top w:val="nil"/>
              <w:left w:val="nil"/>
              <w:bottom w:val="double" w:sz="6" w:space="0" w:color="1F4E78"/>
              <w:right w:val="double" w:sz="6" w:space="0" w:color="1F4E78"/>
            </w:tcBorders>
            <w:shd w:val="clear" w:color="auto" w:fill="auto"/>
            <w:noWrap/>
            <w:vAlign w:val="bottom"/>
            <w:hideMark/>
          </w:tcPr>
          <w:p w14:paraId="4008AD2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c>
          <w:tcPr>
            <w:tcW w:w="992" w:type="dxa"/>
            <w:tcBorders>
              <w:top w:val="nil"/>
              <w:left w:val="nil"/>
              <w:bottom w:val="double" w:sz="6" w:space="0" w:color="1F4E78"/>
              <w:right w:val="double" w:sz="6" w:space="0" w:color="1F4E78"/>
            </w:tcBorders>
            <w:shd w:val="clear" w:color="auto" w:fill="auto"/>
            <w:noWrap/>
            <w:vAlign w:val="bottom"/>
            <w:hideMark/>
          </w:tcPr>
          <w:p w14:paraId="27E894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426" w:type="dxa"/>
            <w:tcBorders>
              <w:top w:val="nil"/>
              <w:left w:val="nil"/>
              <w:bottom w:val="double" w:sz="6" w:space="0" w:color="1F4E78"/>
              <w:right w:val="double" w:sz="6" w:space="0" w:color="1F4E78"/>
            </w:tcBorders>
            <w:shd w:val="clear" w:color="auto" w:fill="auto"/>
            <w:noWrap/>
            <w:vAlign w:val="bottom"/>
            <w:hideMark/>
          </w:tcPr>
          <w:p w14:paraId="2097D3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nil"/>
              <w:left w:val="nil"/>
              <w:bottom w:val="double" w:sz="6" w:space="0" w:color="1F4E78"/>
              <w:right w:val="double" w:sz="6" w:space="0" w:color="1F4E78"/>
            </w:tcBorders>
            <w:shd w:val="clear" w:color="auto" w:fill="auto"/>
            <w:noWrap/>
            <w:vAlign w:val="bottom"/>
            <w:hideMark/>
          </w:tcPr>
          <w:p w14:paraId="7B8917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504</w:t>
            </w:r>
          </w:p>
        </w:tc>
      </w:tr>
      <w:tr w:rsidR="00B15F7D" w:rsidRPr="00990FB6" w14:paraId="0E41A428"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31301D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992" w:type="dxa"/>
            <w:tcBorders>
              <w:top w:val="nil"/>
              <w:left w:val="nil"/>
              <w:bottom w:val="double" w:sz="6" w:space="0" w:color="1F4E78"/>
              <w:right w:val="double" w:sz="6" w:space="0" w:color="1F4E78"/>
            </w:tcBorders>
            <w:shd w:val="clear" w:color="auto" w:fill="auto"/>
            <w:noWrap/>
            <w:vAlign w:val="bottom"/>
            <w:hideMark/>
          </w:tcPr>
          <w:p w14:paraId="1DD75A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1223</w:t>
            </w:r>
          </w:p>
        </w:tc>
        <w:tc>
          <w:tcPr>
            <w:tcW w:w="567" w:type="dxa"/>
            <w:tcBorders>
              <w:top w:val="nil"/>
              <w:left w:val="nil"/>
              <w:bottom w:val="double" w:sz="6" w:space="0" w:color="1F4E78"/>
              <w:right w:val="double" w:sz="6" w:space="0" w:color="1F4E78"/>
            </w:tcBorders>
            <w:shd w:val="clear" w:color="auto" w:fill="auto"/>
            <w:noWrap/>
            <w:vAlign w:val="bottom"/>
            <w:hideMark/>
          </w:tcPr>
          <w:p w14:paraId="69AF5ED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94%</w:t>
            </w:r>
          </w:p>
        </w:tc>
        <w:tc>
          <w:tcPr>
            <w:tcW w:w="850" w:type="dxa"/>
            <w:tcBorders>
              <w:top w:val="nil"/>
              <w:left w:val="nil"/>
              <w:bottom w:val="double" w:sz="6" w:space="0" w:color="1F4E78"/>
              <w:right w:val="double" w:sz="6" w:space="0" w:color="1F4E78"/>
            </w:tcBorders>
            <w:shd w:val="clear" w:color="auto" w:fill="auto"/>
            <w:noWrap/>
            <w:vAlign w:val="bottom"/>
            <w:hideMark/>
          </w:tcPr>
          <w:p w14:paraId="07D61A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426" w:type="dxa"/>
            <w:tcBorders>
              <w:top w:val="nil"/>
              <w:left w:val="nil"/>
              <w:bottom w:val="double" w:sz="6" w:space="0" w:color="1F4E78"/>
              <w:right w:val="double" w:sz="6" w:space="0" w:color="1F4E78"/>
            </w:tcBorders>
            <w:shd w:val="clear" w:color="auto" w:fill="auto"/>
            <w:noWrap/>
            <w:vAlign w:val="bottom"/>
            <w:hideMark/>
          </w:tcPr>
          <w:p w14:paraId="3BB224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567" w:type="dxa"/>
            <w:tcBorders>
              <w:top w:val="nil"/>
              <w:left w:val="nil"/>
              <w:bottom w:val="double" w:sz="6" w:space="0" w:color="1F4E78"/>
              <w:right w:val="double" w:sz="6" w:space="0" w:color="1F4E78"/>
            </w:tcBorders>
            <w:shd w:val="clear" w:color="auto" w:fill="auto"/>
            <w:noWrap/>
            <w:vAlign w:val="bottom"/>
            <w:hideMark/>
          </w:tcPr>
          <w:p w14:paraId="3C23198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5" w:type="dxa"/>
            <w:tcBorders>
              <w:top w:val="nil"/>
              <w:left w:val="nil"/>
              <w:bottom w:val="double" w:sz="6" w:space="0" w:color="1F4E78"/>
              <w:right w:val="double" w:sz="6" w:space="0" w:color="1F4E78"/>
            </w:tcBorders>
            <w:shd w:val="clear" w:color="auto" w:fill="auto"/>
            <w:noWrap/>
            <w:vAlign w:val="bottom"/>
            <w:hideMark/>
          </w:tcPr>
          <w:p w14:paraId="299662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094AAD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68</w:t>
            </w:r>
          </w:p>
        </w:tc>
        <w:tc>
          <w:tcPr>
            <w:tcW w:w="567" w:type="dxa"/>
            <w:tcBorders>
              <w:top w:val="nil"/>
              <w:left w:val="nil"/>
              <w:bottom w:val="double" w:sz="6" w:space="0" w:color="1F4E78"/>
              <w:right w:val="double" w:sz="6" w:space="0" w:color="1F4E78"/>
            </w:tcBorders>
            <w:shd w:val="clear" w:color="auto" w:fill="auto"/>
            <w:noWrap/>
            <w:vAlign w:val="bottom"/>
            <w:hideMark/>
          </w:tcPr>
          <w:p w14:paraId="10DD306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992" w:type="dxa"/>
            <w:tcBorders>
              <w:top w:val="nil"/>
              <w:left w:val="nil"/>
              <w:bottom w:val="double" w:sz="6" w:space="0" w:color="1F4E78"/>
              <w:right w:val="double" w:sz="6" w:space="0" w:color="1F4E78"/>
            </w:tcBorders>
            <w:shd w:val="clear" w:color="auto" w:fill="auto"/>
            <w:noWrap/>
            <w:vAlign w:val="bottom"/>
            <w:hideMark/>
          </w:tcPr>
          <w:p w14:paraId="1095A1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426" w:type="dxa"/>
            <w:tcBorders>
              <w:top w:val="nil"/>
              <w:left w:val="nil"/>
              <w:bottom w:val="double" w:sz="6" w:space="0" w:color="1F4E78"/>
              <w:right w:val="double" w:sz="6" w:space="0" w:color="1F4E78"/>
            </w:tcBorders>
            <w:shd w:val="clear" w:color="auto" w:fill="auto"/>
            <w:noWrap/>
            <w:vAlign w:val="bottom"/>
            <w:hideMark/>
          </w:tcPr>
          <w:p w14:paraId="5757ED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634FFA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1304</w:t>
            </w:r>
          </w:p>
        </w:tc>
      </w:tr>
      <w:tr w:rsidR="00B15F7D" w:rsidRPr="00990FB6" w14:paraId="05175483"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074339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992" w:type="dxa"/>
            <w:tcBorders>
              <w:top w:val="nil"/>
              <w:left w:val="nil"/>
              <w:bottom w:val="double" w:sz="6" w:space="0" w:color="1F4E78"/>
              <w:right w:val="double" w:sz="6" w:space="0" w:color="1F4E78"/>
            </w:tcBorders>
            <w:shd w:val="clear" w:color="auto" w:fill="auto"/>
            <w:noWrap/>
            <w:vAlign w:val="bottom"/>
            <w:hideMark/>
          </w:tcPr>
          <w:p w14:paraId="390741B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c>
          <w:tcPr>
            <w:tcW w:w="567" w:type="dxa"/>
            <w:tcBorders>
              <w:top w:val="nil"/>
              <w:left w:val="nil"/>
              <w:bottom w:val="double" w:sz="6" w:space="0" w:color="1F4E78"/>
              <w:right w:val="double" w:sz="6" w:space="0" w:color="1F4E78"/>
            </w:tcBorders>
            <w:shd w:val="clear" w:color="auto" w:fill="auto"/>
            <w:noWrap/>
            <w:vAlign w:val="bottom"/>
            <w:hideMark/>
          </w:tcPr>
          <w:p w14:paraId="6671BE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67%</w:t>
            </w:r>
          </w:p>
        </w:tc>
        <w:tc>
          <w:tcPr>
            <w:tcW w:w="850" w:type="dxa"/>
            <w:tcBorders>
              <w:top w:val="nil"/>
              <w:left w:val="nil"/>
              <w:bottom w:val="double" w:sz="6" w:space="0" w:color="1F4E78"/>
              <w:right w:val="double" w:sz="6" w:space="0" w:color="1F4E78"/>
            </w:tcBorders>
            <w:shd w:val="clear" w:color="auto" w:fill="auto"/>
            <w:noWrap/>
            <w:vAlign w:val="bottom"/>
            <w:hideMark/>
          </w:tcPr>
          <w:p w14:paraId="34A578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426" w:type="dxa"/>
            <w:tcBorders>
              <w:top w:val="nil"/>
              <w:left w:val="nil"/>
              <w:bottom w:val="double" w:sz="6" w:space="0" w:color="1F4E78"/>
              <w:right w:val="double" w:sz="6" w:space="0" w:color="1F4E78"/>
            </w:tcBorders>
            <w:shd w:val="clear" w:color="auto" w:fill="auto"/>
            <w:noWrap/>
            <w:vAlign w:val="bottom"/>
            <w:hideMark/>
          </w:tcPr>
          <w:p w14:paraId="4B0074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567" w:type="dxa"/>
            <w:tcBorders>
              <w:top w:val="nil"/>
              <w:left w:val="nil"/>
              <w:bottom w:val="double" w:sz="6" w:space="0" w:color="1F4E78"/>
              <w:right w:val="double" w:sz="6" w:space="0" w:color="1F4E78"/>
            </w:tcBorders>
            <w:shd w:val="clear" w:color="auto" w:fill="auto"/>
            <w:noWrap/>
            <w:vAlign w:val="bottom"/>
            <w:hideMark/>
          </w:tcPr>
          <w:p w14:paraId="6B801D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5" w:type="dxa"/>
            <w:tcBorders>
              <w:top w:val="nil"/>
              <w:left w:val="nil"/>
              <w:bottom w:val="double" w:sz="6" w:space="0" w:color="1F4E78"/>
              <w:right w:val="double" w:sz="6" w:space="0" w:color="1F4E78"/>
            </w:tcBorders>
            <w:shd w:val="clear" w:color="auto" w:fill="auto"/>
            <w:noWrap/>
            <w:vAlign w:val="bottom"/>
            <w:hideMark/>
          </w:tcPr>
          <w:p w14:paraId="2CF0A4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26F515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567" w:type="dxa"/>
            <w:tcBorders>
              <w:top w:val="nil"/>
              <w:left w:val="nil"/>
              <w:bottom w:val="double" w:sz="6" w:space="0" w:color="1F4E78"/>
              <w:right w:val="double" w:sz="6" w:space="0" w:color="1F4E78"/>
            </w:tcBorders>
            <w:shd w:val="clear" w:color="auto" w:fill="auto"/>
            <w:noWrap/>
            <w:vAlign w:val="bottom"/>
            <w:hideMark/>
          </w:tcPr>
          <w:p w14:paraId="233D5F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c>
          <w:tcPr>
            <w:tcW w:w="992" w:type="dxa"/>
            <w:tcBorders>
              <w:top w:val="nil"/>
              <w:left w:val="nil"/>
              <w:bottom w:val="double" w:sz="6" w:space="0" w:color="1F4E78"/>
              <w:right w:val="double" w:sz="6" w:space="0" w:color="1F4E78"/>
            </w:tcBorders>
            <w:shd w:val="clear" w:color="auto" w:fill="auto"/>
            <w:noWrap/>
            <w:vAlign w:val="bottom"/>
            <w:hideMark/>
          </w:tcPr>
          <w:p w14:paraId="0473E9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426" w:type="dxa"/>
            <w:tcBorders>
              <w:top w:val="nil"/>
              <w:left w:val="nil"/>
              <w:bottom w:val="double" w:sz="6" w:space="0" w:color="1F4E78"/>
              <w:right w:val="double" w:sz="6" w:space="0" w:color="1F4E78"/>
            </w:tcBorders>
            <w:shd w:val="clear" w:color="auto" w:fill="auto"/>
            <w:noWrap/>
            <w:vAlign w:val="bottom"/>
            <w:hideMark/>
          </w:tcPr>
          <w:p w14:paraId="6DC689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nil"/>
              <w:left w:val="nil"/>
              <w:bottom w:val="double" w:sz="6" w:space="0" w:color="1F4E78"/>
              <w:right w:val="double" w:sz="6" w:space="0" w:color="1F4E78"/>
            </w:tcBorders>
            <w:shd w:val="clear" w:color="auto" w:fill="auto"/>
            <w:noWrap/>
            <w:vAlign w:val="bottom"/>
            <w:hideMark/>
          </w:tcPr>
          <w:p w14:paraId="749B4E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42</w:t>
            </w:r>
          </w:p>
        </w:tc>
      </w:tr>
      <w:tr w:rsidR="00B15F7D" w:rsidRPr="00990FB6" w14:paraId="1A513E10"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6B11E1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992" w:type="dxa"/>
            <w:tcBorders>
              <w:top w:val="nil"/>
              <w:left w:val="nil"/>
              <w:bottom w:val="double" w:sz="6" w:space="0" w:color="1F4E78"/>
              <w:right w:val="double" w:sz="6" w:space="0" w:color="1F4E78"/>
            </w:tcBorders>
            <w:shd w:val="clear" w:color="auto" w:fill="auto"/>
            <w:noWrap/>
            <w:vAlign w:val="bottom"/>
            <w:hideMark/>
          </w:tcPr>
          <w:p w14:paraId="27F7A4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1640</w:t>
            </w:r>
          </w:p>
        </w:tc>
        <w:tc>
          <w:tcPr>
            <w:tcW w:w="567" w:type="dxa"/>
            <w:tcBorders>
              <w:top w:val="nil"/>
              <w:left w:val="nil"/>
              <w:bottom w:val="double" w:sz="6" w:space="0" w:color="1F4E78"/>
              <w:right w:val="double" w:sz="6" w:space="0" w:color="1F4E78"/>
            </w:tcBorders>
            <w:shd w:val="clear" w:color="auto" w:fill="auto"/>
            <w:noWrap/>
            <w:vAlign w:val="bottom"/>
            <w:hideMark/>
          </w:tcPr>
          <w:p w14:paraId="627D34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91%</w:t>
            </w:r>
          </w:p>
        </w:tc>
        <w:tc>
          <w:tcPr>
            <w:tcW w:w="850" w:type="dxa"/>
            <w:tcBorders>
              <w:top w:val="nil"/>
              <w:left w:val="nil"/>
              <w:bottom w:val="double" w:sz="6" w:space="0" w:color="1F4E78"/>
              <w:right w:val="double" w:sz="6" w:space="0" w:color="1F4E78"/>
            </w:tcBorders>
            <w:shd w:val="clear" w:color="auto" w:fill="auto"/>
            <w:noWrap/>
            <w:vAlign w:val="bottom"/>
            <w:hideMark/>
          </w:tcPr>
          <w:p w14:paraId="785656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94</w:t>
            </w:r>
          </w:p>
        </w:tc>
        <w:tc>
          <w:tcPr>
            <w:tcW w:w="426" w:type="dxa"/>
            <w:tcBorders>
              <w:top w:val="nil"/>
              <w:left w:val="nil"/>
              <w:bottom w:val="double" w:sz="6" w:space="0" w:color="1F4E78"/>
              <w:right w:val="double" w:sz="6" w:space="0" w:color="1F4E78"/>
            </w:tcBorders>
            <w:shd w:val="clear" w:color="auto" w:fill="auto"/>
            <w:noWrap/>
            <w:vAlign w:val="bottom"/>
            <w:hideMark/>
          </w:tcPr>
          <w:p w14:paraId="23440C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567" w:type="dxa"/>
            <w:tcBorders>
              <w:top w:val="nil"/>
              <w:left w:val="nil"/>
              <w:bottom w:val="double" w:sz="6" w:space="0" w:color="1F4E78"/>
              <w:right w:val="double" w:sz="6" w:space="0" w:color="1F4E78"/>
            </w:tcBorders>
            <w:shd w:val="clear" w:color="auto" w:fill="auto"/>
            <w:noWrap/>
            <w:vAlign w:val="bottom"/>
            <w:hideMark/>
          </w:tcPr>
          <w:p w14:paraId="049540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425" w:type="dxa"/>
            <w:tcBorders>
              <w:top w:val="nil"/>
              <w:left w:val="nil"/>
              <w:bottom w:val="double" w:sz="6" w:space="0" w:color="1F4E78"/>
              <w:right w:val="double" w:sz="6" w:space="0" w:color="1F4E78"/>
            </w:tcBorders>
            <w:shd w:val="clear" w:color="auto" w:fill="auto"/>
            <w:noWrap/>
            <w:vAlign w:val="bottom"/>
            <w:hideMark/>
          </w:tcPr>
          <w:p w14:paraId="6CC9AA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0F931E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54</w:t>
            </w:r>
          </w:p>
        </w:tc>
        <w:tc>
          <w:tcPr>
            <w:tcW w:w="567" w:type="dxa"/>
            <w:tcBorders>
              <w:top w:val="nil"/>
              <w:left w:val="nil"/>
              <w:bottom w:val="double" w:sz="6" w:space="0" w:color="1F4E78"/>
              <w:right w:val="double" w:sz="6" w:space="0" w:color="1F4E78"/>
            </w:tcBorders>
            <w:shd w:val="clear" w:color="auto" w:fill="auto"/>
            <w:noWrap/>
            <w:vAlign w:val="bottom"/>
            <w:hideMark/>
          </w:tcPr>
          <w:p w14:paraId="19FA62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992" w:type="dxa"/>
            <w:tcBorders>
              <w:top w:val="nil"/>
              <w:left w:val="nil"/>
              <w:bottom w:val="double" w:sz="6" w:space="0" w:color="1F4E78"/>
              <w:right w:val="double" w:sz="6" w:space="0" w:color="1F4E78"/>
            </w:tcBorders>
            <w:shd w:val="clear" w:color="auto" w:fill="auto"/>
            <w:noWrap/>
            <w:vAlign w:val="bottom"/>
            <w:hideMark/>
          </w:tcPr>
          <w:p w14:paraId="35AFBE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426" w:type="dxa"/>
            <w:tcBorders>
              <w:top w:val="nil"/>
              <w:left w:val="nil"/>
              <w:bottom w:val="double" w:sz="6" w:space="0" w:color="1F4E78"/>
              <w:right w:val="double" w:sz="6" w:space="0" w:color="1F4E78"/>
            </w:tcBorders>
            <w:shd w:val="clear" w:color="auto" w:fill="auto"/>
            <w:noWrap/>
            <w:vAlign w:val="bottom"/>
            <w:hideMark/>
          </w:tcPr>
          <w:p w14:paraId="32287A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55FE5D6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1798</w:t>
            </w:r>
          </w:p>
        </w:tc>
      </w:tr>
      <w:tr w:rsidR="00B15F7D" w:rsidRPr="00990FB6" w14:paraId="796A4EA7"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39C6ADE6"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lastRenderedPageBreak/>
              <w:t>I Circuito Judicial de Guanacaste</w:t>
            </w:r>
          </w:p>
        </w:tc>
        <w:tc>
          <w:tcPr>
            <w:tcW w:w="992" w:type="dxa"/>
            <w:tcBorders>
              <w:top w:val="nil"/>
              <w:left w:val="nil"/>
              <w:bottom w:val="double" w:sz="6" w:space="0" w:color="1F4E78"/>
              <w:right w:val="double" w:sz="6" w:space="0" w:color="1F4E78"/>
            </w:tcBorders>
            <w:shd w:val="clear" w:color="auto" w:fill="auto"/>
            <w:noWrap/>
            <w:vAlign w:val="bottom"/>
            <w:hideMark/>
          </w:tcPr>
          <w:p w14:paraId="160A32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818</w:t>
            </w:r>
          </w:p>
        </w:tc>
        <w:tc>
          <w:tcPr>
            <w:tcW w:w="567" w:type="dxa"/>
            <w:tcBorders>
              <w:top w:val="nil"/>
              <w:left w:val="nil"/>
              <w:bottom w:val="double" w:sz="6" w:space="0" w:color="1F4E78"/>
              <w:right w:val="double" w:sz="6" w:space="0" w:color="1F4E78"/>
            </w:tcBorders>
            <w:shd w:val="clear" w:color="auto" w:fill="auto"/>
            <w:noWrap/>
            <w:vAlign w:val="bottom"/>
            <w:hideMark/>
          </w:tcPr>
          <w:p w14:paraId="2039E8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93%</w:t>
            </w:r>
          </w:p>
        </w:tc>
        <w:tc>
          <w:tcPr>
            <w:tcW w:w="850" w:type="dxa"/>
            <w:tcBorders>
              <w:top w:val="nil"/>
              <w:left w:val="nil"/>
              <w:bottom w:val="double" w:sz="6" w:space="0" w:color="1F4E78"/>
              <w:right w:val="double" w:sz="6" w:space="0" w:color="1F4E78"/>
            </w:tcBorders>
            <w:shd w:val="clear" w:color="auto" w:fill="auto"/>
            <w:noWrap/>
            <w:vAlign w:val="bottom"/>
            <w:hideMark/>
          </w:tcPr>
          <w:p w14:paraId="689F3F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w:t>
            </w:r>
          </w:p>
        </w:tc>
        <w:tc>
          <w:tcPr>
            <w:tcW w:w="426" w:type="dxa"/>
            <w:tcBorders>
              <w:top w:val="nil"/>
              <w:left w:val="nil"/>
              <w:bottom w:val="double" w:sz="6" w:space="0" w:color="1F4E78"/>
              <w:right w:val="double" w:sz="6" w:space="0" w:color="1F4E78"/>
            </w:tcBorders>
            <w:shd w:val="clear" w:color="auto" w:fill="auto"/>
            <w:noWrap/>
            <w:vAlign w:val="bottom"/>
            <w:hideMark/>
          </w:tcPr>
          <w:p w14:paraId="40572D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567" w:type="dxa"/>
            <w:tcBorders>
              <w:top w:val="nil"/>
              <w:left w:val="nil"/>
              <w:bottom w:val="double" w:sz="6" w:space="0" w:color="1F4E78"/>
              <w:right w:val="double" w:sz="6" w:space="0" w:color="1F4E78"/>
            </w:tcBorders>
            <w:shd w:val="clear" w:color="auto" w:fill="auto"/>
            <w:noWrap/>
            <w:vAlign w:val="bottom"/>
            <w:hideMark/>
          </w:tcPr>
          <w:p w14:paraId="6B68BB4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5" w:type="dxa"/>
            <w:tcBorders>
              <w:top w:val="nil"/>
              <w:left w:val="nil"/>
              <w:bottom w:val="double" w:sz="6" w:space="0" w:color="1F4E78"/>
              <w:right w:val="double" w:sz="6" w:space="0" w:color="1F4E78"/>
            </w:tcBorders>
            <w:shd w:val="clear" w:color="auto" w:fill="auto"/>
            <w:noWrap/>
            <w:vAlign w:val="bottom"/>
            <w:hideMark/>
          </w:tcPr>
          <w:p w14:paraId="2BE514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0E53CC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45</w:t>
            </w:r>
          </w:p>
        </w:tc>
        <w:tc>
          <w:tcPr>
            <w:tcW w:w="567" w:type="dxa"/>
            <w:tcBorders>
              <w:top w:val="nil"/>
              <w:left w:val="nil"/>
              <w:bottom w:val="double" w:sz="6" w:space="0" w:color="1F4E78"/>
              <w:right w:val="double" w:sz="6" w:space="0" w:color="1F4E78"/>
            </w:tcBorders>
            <w:shd w:val="clear" w:color="auto" w:fill="auto"/>
            <w:noWrap/>
            <w:vAlign w:val="bottom"/>
            <w:hideMark/>
          </w:tcPr>
          <w:p w14:paraId="3FD86C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992" w:type="dxa"/>
            <w:tcBorders>
              <w:top w:val="nil"/>
              <w:left w:val="nil"/>
              <w:bottom w:val="double" w:sz="6" w:space="0" w:color="1F4E78"/>
              <w:right w:val="double" w:sz="6" w:space="0" w:color="1F4E78"/>
            </w:tcBorders>
            <w:shd w:val="clear" w:color="auto" w:fill="auto"/>
            <w:noWrap/>
            <w:vAlign w:val="bottom"/>
            <w:hideMark/>
          </w:tcPr>
          <w:p w14:paraId="6CC8CC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426" w:type="dxa"/>
            <w:tcBorders>
              <w:top w:val="nil"/>
              <w:left w:val="nil"/>
              <w:bottom w:val="double" w:sz="6" w:space="0" w:color="1F4E78"/>
              <w:right w:val="double" w:sz="6" w:space="0" w:color="1F4E78"/>
            </w:tcBorders>
            <w:shd w:val="clear" w:color="auto" w:fill="auto"/>
            <w:noWrap/>
            <w:vAlign w:val="bottom"/>
            <w:hideMark/>
          </w:tcPr>
          <w:p w14:paraId="6E5AAA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274767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878</w:t>
            </w:r>
          </w:p>
        </w:tc>
      </w:tr>
      <w:tr w:rsidR="00B15F7D" w:rsidRPr="00990FB6" w14:paraId="6D7A3740" w14:textId="77777777" w:rsidTr="000A0C22">
        <w:trPr>
          <w:trHeight w:val="360"/>
          <w:jc w:val="center"/>
        </w:trPr>
        <w:tc>
          <w:tcPr>
            <w:tcW w:w="2269" w:type="dxa"/>
            <w:tcBorders>
              <w:top w:val="nil"/>
              <w:left w:val="double" w:sz="6" w:space="0" w:color="1F4E78"/>
              <w:bottom w:val="double" w:sz="6" w:space="0" w:color="1F4E78"/>
              <w:right w:val="double" w:sz="6" w:space="0" w:color="1F4E78"/>
            </w:tcBorders>
            <w:shd w:val="clear" w:color="auto" w:fill="auto"/>
            <w:noWrap/>
            <w:vAlign w:val="bottom"/>
            <w:hideMark/>
          </w:tcPr>
          <w:p w14:paraId="7E5843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Corredores</w:t>
            </w:r>
          </w:p>
        </w:tc>
        <w:tc>
          <w:tcPr>
            <w:tcW w:w="992" w:type="dxa"/>
            <w:tcBorders>
              <w:top w:val="nil"/>
              <w:left w:val="nil"/>
              <w:bottom w:val="double" w:sz="6" w:space="0" w:color="1F4E78"/>
              <w:right w:val="double" w:sz="6" w:space="0" w:color="1F4E78"/>
            </w:tcBorders>
            <w:shd w:val="clear" w:color="auto" w:fill="auto"/>
            <w:noWrap/>
            <w:vAlign w:val="bottom"/>
            <w:hideMark/>
          </w:tcPr>
          <w:p w14:paraId="1B3273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773</w:t>
            </w:r>
          </w:p>
        </w:tc>
        <w:tc>
          <w:tcPr>
            <w:tcW w:w="567" w:type="dxa"/>
            <w:tcBorders>
              <w:top w:val="nil"/>
              <w:left w:val="nil"/>
              <w:bottom w:val="double" w:sz="6" w:space="0" w:color="1F4E78"/>
              <w:right w:val="double" w:sz="6" w:space="0" w:color="1F4E78"/>
            </w:tcBorders>
            <w:shd w:val="clear" w:color="auto" w:fill="auto"/>
            <w:noWrap/>
            <w:vAlign w:val="bottom"/>
            <w:hideMark/>
          </w:tcPr>
          <w:p w14:paraId="79951D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81%</w:t>
            </w:r>
          </w:p>
        </w:tc>
        <w:tc>
          <w:tcPr>
            <w:tcW w:w="850" w:type="dxa"/>
            <w:tcBorders>
              <w:top w:val="nil"/>
              <w:left w:val="nil"/>
              <w:bottom w:val="double" w:sz="6" w:space="0" w:color="1F4E78"/>
              <w:right w:val="double" w:sz="6" w:space="0" w:color="1F4E78"/>
            </w:tcBorders>
            <w:shd w:val="clear" w:color="auto" w:fill="auto"/>
            <w:noWrap/>
            <w:vAlign w:val="bottom"/>
            <w:hideMark/>
          </w:tcPr>
          <w:p w14:paraId="688DA4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w:t>
            </w:r>
          </w:p>
        </w:tc>
        <w:tc>
          <w:tcPr>
            <w:tcW w:w="426" w:type="dxa"/>
            <w:tcBorders>
              <w:top w:val="nil"/>
              <w:left w:val="nil"/>
              <w:bottom w:val="double" w:sz="6" w:space="0" w:color="1F4E78"/>
              <w:right w:val="double" w:sz="6" w:space="0" w:color="1F4E78"/>
            </w:tcBorders>
            <w:shd w:val="clear" w:color="auto" w:fill="auto"/>
            <w:noWrap/>
            <w:vAlign w:val="bottom"/>
            <w:hideMark/>
          </w:tcPr>
          <w:p w14:paraId="1CDCBE5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567" w:type="dxa"/>
            <w:tcBorders>
              <w:top w:val="nil"/>
              <w:left w:val="nil"/>
              <w:bottom w:val="double" w:sz="6" w:space="0" w:color="1F4E78"/>
              <w:right w:val="double" w:sz="6" w:space="0" w:color="1F4E78"/>
            </w:tcBorders>
            <w:shd w:val="clear" w:color="auto" w:fill="auto"/>
            <w:noWrap/>
            <w:vAlign w:val="bottom"/>
            <w:hideMark/>
          </w:tcPr>
          <w:p w14:paraId="5B7E6A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425" w:type="dxa"/>
            <w:tcBorders>
              <w:top w:val="nil"/>
              <w:left w:val="nil"/>
              <w:bottom w:val="double" w:sz="6" w:space="0" w:color="1F4E78"/>
              <w:right w:val="double" w:sz="6" w:space="0" w:color="1F4E78"/>
            </w:tcBorders>
            <w:shd w:val="clear" w:color="auto" w:fill="auto"/>
            <w:noWrap/>
            <w:vAlign w:val="bottom"/>
            <w:hideMark/>
          </w:tcPr>
          <w:p w14:paraId="1BC087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992" w:type="dxa"/>
            <w:tcBorders>
              <w:top w:val="nil"/>
              <w:left w:val="nil"/>
              <w:bottom w:val="double" w:sz="6" w:space="0" w:color="1F4E78"/>
              <w:right w:val="double" w:sz="6" w:space="0" w:color="1F4E78"/>
            </w:tcBorders>
            <w:shd w:val="clear" w:color="auto" w:fill="auto"/>
            <w:noWrap/>
            <w:vAlign w:val="bottom"/>
            <w:hideMark/>
          </w:tcPr>
          <w:p w14:paraId="441D10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166</w:t>
            </w:r>
          </w:p>
        </w:tc>
        <w:tc>
          <w:tcPr>
            <w:tcW w:w="567" w:type="dxa"/>
            <w:tcBorders>
              <w:top w:val="nil"/>
              <w:left w:val="nil"/>
              <w:bottom w:val="double" w:sz="6" w:space="0" w:color="1F4E78"/>
              <w:right w:val="double" w:sz="6" w:space="0" w:color="1F4E78"/>
            </w:tcBorders>
            <w:shd w:val="clear" w:color="auto" w:fill="auto"/>
            <w:noWrap/>
            <w:vAlign w:val="bottom"/>
            <w:hideMark/>
          </w:tcPr>
          <w:p w14:paraId="2A1F32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c>
          <w:tcPr>
            <w:tcW w:w="992" w:type="dxa"/>
            <w:tcBorders>
              <w:top w:val="nil"/>
              <w:left w:val="nil"/>
              <w:bottom w:val="double" w:sz="6" w:space="0" w:color="1F4E78"/>
              <w:right w:val="double" w:sz="6" w:space="0" w:color="1F4E78"/>
            </w:tcBorders>
            <w:shd w:val="clear" w:color="auto" w:fill="auto"/>
            <w:noWrap/>
            <w:vAlign w:val="bottom"/>
            <w:hideMark/>
          </w:tcPr>
          <w:p w14:paraId="09EA199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426" w:type="dxa"/>
            <w:tcBorders>
              <w:top w:val="nil"/>
              <w:left w:val="nil"/>
              <w:bottom w:val="double" w:sz="6" w:space="0" w:color="1F4E78"/>
              <w:right w:val="double" w:sz="6" w:space="0" w:color="1F4E78"/>
            </w:tcBorders>
            <w:shd w:val="clear" w:color="auto" w:fill="auto"/>
            <w:noWrap/>
            <w:vAlign w:val="bottom"/>
            <w:hideMark/>
          </w:tcPr>
          <w:p w14:paraId="74E447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708" w:type="dxa"/>
            <w:tcBorders>
              <w:top w:val="nil"/>
              <w:left w:val="nil"/>
              <w:bottom w:val="double" w:sz="6" w:space="0" w:color="1F4E78"/>
              <w:right w:val="double" w:sz="6" w:space="0" w:color="1F4E78"/>
            </w:tcBorders>
            <w:shd w:val="clear" w:color="auto" w:fill="auto"/>
            <w:noWrap/>
            <w:vAlign w:val="bottom"/>
            <w:hideMark/>
          </w:tcPr>
          <w:p w14:paraId="7490AE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956</w:t>
            </w:r>
          </w:p>
        </w:tc>
      </w:tr>
    </w:tbl>
    <w:p w14:paraId="04A67649" w14:textId="77777777" w:rsidR="00B15F7D" w:rsidRPr="00990FB6" w:rsidRDefault="00B15F7D" w:rsidP="00B15F7D">
      <w:pPr>
        <w:rPr>
          <w:b/>
          <w:color w:val="000000"/>
          <w:sz w:val="22"/>
          <w:szCs w:val="22"/>
          <w:lang w:eastAsia="es-CR"/>
        </w:rPr>
      </w:pPr>
    </w:p>
    <w:p w14:paraId="01146E85"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de los anuarios judiciales suministrada por el Subproceso de Estadística, año 2022.</w:t>
      </w:r>
    </w:p>
    <w:p w14:paraId="07E086F0" w14:textId="77777777" w:rsidR="00B15F7D" w:rsidRPr="00990FB6" w:rsidRDefault="00B15F7D" w:rsidP="00B15F7D">
      <w:pPr>
        <w:ind w:left="851" w:right="851" w:firstLine="709"/>
        <w:jc w:val="both"/>
        <w:rPr>
          <w:bCs/>
          <w:color w:val="000000"/>
          <w:sz w:val="22"/>
          <w:szCs w:val="22"/>
          <w:lang w:eastAsia="es-CR"/>
        </w:rPr>
      </w:pPr>
    </w:p>
    <w:p w14:paraId="4BA55584" w14:textId="77777777" w:rsidR="00B15F7D" w:rsidRPr="00990FB6" w:rsidRDefault="00B15F7D" w:rsidP="00B15F7D">
      <w:pPr>
        <w:tabs>
          <w:tab w:val="left" w:pos="586"/>
        </w:tabs>
        <w:ind w:left="851" w:right="851" w:firstLine="709"/>
        <w:jc w:val="both"/>
        <w:rPr>
          <w:color w:val="000000"/>
          <w:sz w:val="22"/>
          <w:szCs w:val="22"/>
        </w:rPr>
      </w:pPr>
      <w:r w:rsidRPr="00990FB6">
        <w:rPr>
          <w:color w:val="000000"/>
          <w:sz w:val="22"/>
          <w:szCs w:val="22"/>
        </w:rPr>
        <w:t>En el caso de las entrevistas, se tiene un porcentaje promedio de realización del 84%; y en este caso se cuenta con cuatro Circuitos Judiciales por debajo de este valor promedio, siendo estos el III Circuito Judicial de San José, Alajuela y San Ramón. Por otra parte, se cuenta con siete (58%) Circuitos Judiciales que se mantienen por encima del valor promedio, que corresponden al II Circuito Judicial de San José, Heredia, Cartago, Puntarenas, I Circuito Judicial de la Zona Sur, II Circuito Judicial de la Zona Atlántica y I Circuito Judicial de Guanacaste.</w:t>
      </w:r>
    </w:p>
    <w:p w14:paraId="20CE945D" w14:textId="77777777" w:rsidR="00B15F7D" w:rsidRPr="00990FB6" w:rsidRDefault="00B15F7D" w:rsidP="00B15F7D">
      <w:pPr>
        <w:tabs>
          <w:tab w:val="left" w:pos="586"/>
        </w:tabs>
        <w:ind w:left="851" w:right="851" w:firstLine="709"/>
        <w:jc w:val="both"/>
        <w:rPr>
          <w:color w:val="000000"/>
          <w:sz w:val="22"/>
          <w:szCs w:val="22"/>
        </w:rPr>
      </w:pPr>
    </w:p>
    <w:p w14:paraId="301E890E" w14:textId="77777777" w:rsidR="00B15F7D" w:rsidRPr="00990FB6" w:rsidRDefault="00B15F7D" w:rsidP="00B15F7D">
      <w:pPr>
        <w:keepNext/>
        <w:numPr>
          <w:ilvl w:val="2"/>
          <w:numId w:val="154"/>
        </w:numPr>
        <w:suppressAutoHyphens w:val="0"/>
        <w:ind w:left="851" w:right="851" w:firstLine="709"/>
        <w:jc w:val="both"/>
        <w:rPr>
          <w:color w:val="000000"/>
          <w:sz w:val="22"/>
          <w:szCs w:val="22"/>
        </w:rPr>
      </w:pPr>
      <w:r w:rsidRPr="00990FB6">
        <w:rPr>
          <w:color w:val="000000"/>
          <w:sz w:val="22"/>
          <w:szCs w:val="22"/>
        </w:rPr>
        <w:t>Justicia Restaurativa Penal Juvenil</w:t>
      </w:r>
    </w:p>
    <w:p w14:paraId="1E7CACB0" w14:textId="77777777" w:rsidR="00B15F7D" w:rsidRPr="00990FB6" w:rsidRDefault="00B15F7D" w:rsidP="00B15F7D">
      <w:pPr>
        <w:keepNext/>
        <w:suppressAutoHyphens w:val="0"/>
        <w:ind w:left="851" w:right="851" w:firstLine="709"/>
        <w:jc w:val="both"/>
        <w:rPr>
          <w:color w:val="000000"/>
          <w:sz w:val="22"/>
          <w:szCs w:val="22"/>
        </w:rPr>
      </w:pPr>
    </w:p>
    <w:p w14:paraId="2FF9A42B"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En materia Penal Juvenil, a nivel nacional el Ministerio Público y Defensa Pública, ya tienen destacados, profesionales especializados para la atención de la materia y</w:t>
      </w:r>
      <w:r w:rsidRPr="00990FB6" w:rsidDel="00233B8D">
        <w:rPr>
          <w:color w:val="000000"/>
          <w:sz w:val="22"/>
          <w:szCs w:val="22"/>
        </w:rPr>
        <w:t xml:space="preserve"> en </w:t>
      </w:r>
      <w:r w:rsidRPr="00990FB6">
        <w:rPr>
          <w:color w:val="000000"/>
          <w:sz w:val="22"/>
          <w:szCs w:val="22"/>
        </w:rPr>
        <w:t xml:space="preserve">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 </w:t>
      </w:r>
    </w:p>
    <w:p w14:paraId="171BE35C" w14:textId="77777777" w:rsidR="00B15F7D" w:rsidRPr="00990FB6" w:rsidRDefault="00B15F7D" w:rsidP="00B15F7D">
      <w:pPr>
        <w:tabs>
          <w:tab w:val="left" w:pos="0"/>
        </w:tabs>
        <w:ind w:left="851" w:right="851" w:firstLine="709"/>
        <w:jc w:val="both"/>
        <w:rPr>
          <w:color w:val="000000"/>
          <w:sz w:val="22"/>
          <w:szCs w:val="22"/>
        </w:rPr>
      </w:pPr>
    </w:p>
    <w:p w14:paraId="23EDFCD1"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El procedimiento en materia Penal Juvenil, mantiene en esencia el proceso seguido en materia Penal de Adultos, con la excepción de que primero se obtiene el consentimiento informado por parte de la víctima y posteriormente el de la persona ofensora, además de que la Fiscalía por imperativo legal debe presentar la acusación ante el órgano jurisdiccional competente. </w:t>
      </w:r>
    </w:p>
    <w:p w14:paraId="7C08A0D5" w14:textId="77777777" w:rsidR="00B15F7D" w:rsidRPr="00990FB6" w:rsidRDefault="00B15F7D" w:rsidP="00B15F7D">
      <w:pPr>
        <w:tabs>
          <w:tab w:val="left" w:pos="0"/>
        </w:tabs>
        <w:ind w:left="851" w:right="851" w:firstLine="709"/>
        <w:jc w:val="both"/>
        <w:rPr>
          <w:color w:val="000000"/>
          <w:sz w:val="22"/>
          <w:szCs w:val="22"/>
        </w:rPr>
      </w:pPr>
    </w:p>
    <w:p w14:paraId="720F1372"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Las estadísticas que se generan en Justicia Restaurativa para la materia de Penal Juvenil básicamente recopilan la información de las reuniones restaurativas, audiencias, seguimientos y Red de apoyo, esto a raíz de que los casos son abordados por parte de las plazas de Fiscala o Fiscal y Defensora o Defensor especializados en la materia Penal Juvenil, por lo que el expediente únicamente recibe un proceso diferente al ser remitido a Justicia Restaurativa y tener la atención psicosocial correspondiente.</w:t>
      </w:r>
    </w:p>
    <w:p w14:paraId="4769F739" w14:textId="77777777" w:rsidR="00B15F7D" w:rsidRPr="00990FB6" w:rsidRDefault="00B15F7D" w:rsidP="00B15F7D">
      <w:pPr>
        <w:tabs>
          <w:tab w:val="left" w:pos="0"/>
        </w:tabs>
        <w:ind w:left="851" w:right="851" w:firstLine="709"/>
        <w:jc w:val="both"/>
        <w:rPr>
          <w:color w:val="000000"/>
          <w:sz w:val="22"/>
          <w:szCs w:val="22"/>
        </w:rPr>
      </w:pPr>
    </w:p>
    <w:p w14:paraId="473E1475" w14:textId="77777777" w:rsidR="00B15F7D" w:rsidRPr="00990FB6" w:rsidRDefault="00B15F7D" w:rsidP="00B15F7D">
      <w:pPr>
        <w:keepNext/>
        <w:numPr>
          <w:ilvl w:val="1"/>
          <w:numId w:val="156"/>
        </w:numPr>
        <w:suppressAutoHyphens w:val="0"/>
        <w:ind w:left="851" w:right="851" w:firstLine="709"/>
        <w:jc w:val="both"/>
        <w:rPr>
          <w:color w:val="000000"/>
          <w:sz w:val="22"/>
          <w:szCs w:val="22"/>
        </w:rPr>
      </w:pPr>
      <w:r w:rsidRPr="00990FB6">
        <w:rPr>
          <w:color w:val="000000"/>
          <w:sz w:val="22"/>
          <w:szCs w:val="22"/>
        </w:rPr>
        <w:t>Reuniones Restaurativas Justicia Penal Juvenil.</w:t>
      </w:r>
    </w:p>
    <w:p w14:paraId="33A3A2AC" w14:textId="77777777" w:rsidR="00B15F7D" w:rsidRPr="00990FB6" w:rsidRDefault="00B15F7D" w:rsidP="00B15F7D">
      <w:pPr>
        <w:keepNext/>
        <w:suppressAutoHyphens w:val="0"/>
        <w:ind w:left="851" w:right="851" w:firstLine="709"/>
        <w:jc w:val="both"/>
        <w:rPr>
          <w:color w:val="000000"/>
          <w:sz w:val="22"/>
          <w:szCs w:val="22"/>
        </w:rPr>
      </w:pPr>
    </w:p>
    <w:p w14:paraId="27A475FB" w14:textId="77777777" w:rsidR="00B15F7D" w:rsidRPr="00990FB6" w:rsidRDefault="00B15F7D" w:rsidP="00B15F7D">
      <w:pPr>
        <w:ind w:left="851" w:right="851" w:firstLine="709"/>
        <w:jc w:val="both"/>
        <w:rPr>
          <w:color w:val="000000"/>
          <w:sz w:val="22"/>
          <w:szCs w:val="22"/>
        </w:rPr>
      </w:pPr>
      <w:r w:rsidRPr="00990FB6">
        <w:rPr>
          <w:color w:val="000000"/>
          <w:sz w:val="22"/>
          <w:szCs w:val="22"/>
        </w:rPr>
        <w:t>A continuación, se presenta el detalle de las reuniones restaurativas, en materia de Justicia Penal Juvenil para el 2021. Es importante aclarar que debido a que a la fecha de realización de este informe el Subproceso de Estadística no contaba con la información del año 2022, dado que los cuadros se encuentran en proceso de construcción. (Ver apéndice 5):</w:t>
      </w:r>
    </w:p>
    <w:p w14:paraId="6B4EDB53" w14:textId="77777777" w:rsidR="00B15F7D" w:rsidRPr="00990FB6" w:rsidRDefault="00B15F7D" w:rsidP="00B15F7D">
      <w:pPr>
        <w:ind w:left="851" w:right="851" w:firstLine="709"/>
        <w:jc w:val="both"/>
        <w:rPr>
          <w:color w:val="000000"/>
          <w:sz w:val="22"/>
          <w:szCs w:val="22"/>
        </w:rPr>
      </w:pPr>
    </w:p>
    <w:p w14:paraId="4B40E162" w14:textId="77777777" w:rsidR="00B15F7D" w:rsidRPr="00990FB6" w:rsidRDefault="00B15F7D" w:rsidP="00B15F7D">
      <w:pPr>
        <w:tabs>
          <w:tab w:val="left" w:pos="0"/>
        </w:tabs>
        <w:ind w:left="851" w:right="851" w:firstLine="709"/>
        <w:jc w:val="both"/>
        <w:rPr>
          <w:b/>
          <w:bCs/>
          <w:color w:val="000000"/>
          <w:sz w:val="22"/>
          <w:szCs w:val="22"/>
        </w:rPr>
      </w:pPr>
      <w:r w:rsidRPr="00990FB6">
        <w:rPr>
          <w:b/>
          <w:bCs/>
          <w:color w:val="000000"/>
          <w:sz w:val="22"/>
          <w:szCs w:val="22"/>
        </w:rPr>
        <w:lastRenderedPageBreak/>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14</w:t>
      </w:r>
      <w:r w:rsidRPr="00990FB6">
        <w:rPr>
          <w:b/>
          <w:bCs/>
          <w:color w:val="000000"/>
          <w:sz w:val="22"/>
          <w:szCs w:val="22"/>
        </w:rPr>
        <w:fldChar w:fldCharType="end"/>
      </w:r>
      <w:r w:rsidRPr="00990FB6">
        <w:rPr>
          <w:b/>
          <w:bCs/>
          <w:color w:val="000000"/>
          <w:sz w:val="22"/>
          <w:szCs w:val="22"/>
        </w:rPr>
        <w:t>. Reuniones Restaurativas en materia Penal Juvenil durante el 2021.</w:t>
      </w:r>
    </w:p>
    <w:p w14:paraId="13134B8A" w14:textId="77777777" w:rsidR="00B15F7D" w:rsidRPr="00990FB6" w:rsidRDefault="00B15F7D" w:rsidP="00B15F7D">
      <w:pPr>
        <w:tabs>
          <w:tab w:val="left" w:pos="0"/>
        </w:tabs>
        <w:jc w:val="both"/>
        <w:rPr>
          <w:b/>
          <w:bCs/>
          <w:color w:val="000000"/>
          <w:sz w:val="22"/>
          <w:szCs w:val="22"/>
        </w:rPr>
      </w:pPr>
    </w:p>
    <w:tbl>
      <w:tblPr>
        <w:tblW w:w="5000" w:type="pct"/>
        <w:tblCellMar>
          <w:left w:w="70" w:type="dxa"/>
          <w:right w:w="70" w:type="dxa"/>
        </w:tblCellMar>
        <w:tblLook w:val="04A0" w:firstRow="1" w:lastRow="0" w:firstColumn="1" w:lastColumn="0" w:noHBand="0" w:noVBand="1"/>
      </w:tblPr>
      <w:tblGrid>
        <w:gridCol w:w="3641"/>
        <w:gridCol w:w="1092"/>
        <w:gridCol w:w="1068"/>
        <w:gridCol w:w="1342"/>
        <w:gridCol w:w="1068"/>
        <w:gridCol w:w="604"/>
      </w:tblGrid>
      <w:tr w:rsidR="00B15F7D" w:rsidRPr="00990FB6" w14:paraId="7FFE3197" w14:textId="77777777" w:rsidTr="000A0C22">
        <w:trPr>
          <w:trHeight w:val="330"/>
        </w:trPr>
        <w:tc>
          <w:tcPr>
            <w:tcW w:w="2044" w:type="pct"/>
            <w:vMerge w:val="restart"/>
            <w:tcBorders>
              <w:top w:val="double" w:sz="6" w:space="0" w:color="002060"/>
              <w:left w:val="double" w:sz="6" w:space="0" w:color="002060"/>
              <w:bottom w:val="double" w:sz="6" w:space="0" w:color="002060"/>
              <w:right w:val="double" w:sz="6" w:space="0" w:color="002060"/>
            </w:tcBorders>
            <w:shd w:val="clear" w:color="000000" w:fill="365F91"/>
            <w:noWrap/>
            <w:vAlign w:val="center"/>
            <w:hideMark/>
          </w:tcPr>
          <w:p w14:paraId="6645A5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2956" w:type="pct"/>
            <w:gridSpan w:val="5"/>
            <w:tcBorders>
              <w:top w:val="double" w:sz="6" w:space="0" w:color="002060"/>
              <w:left w:val="nil"/>
              <w:bottom w:val="double" w:sz="6" w:space="0" w:color="002060"/>
              <w:right w:val="nil"/>
            </w:tcBorders>
            <w:shd w:val="clear" w:color="000000" w:fill="365F91"/>
            <w:noWrap/>
            <w:vAlign w:val="center"/>
            <w:hideMark/>
          </w:tcPr>
          <w:p w14:paraId="18FB692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r>
      <w:tr w:rsidR="00B15F7D" w:rsidRPr="00990FB6" w14:paraId="4E22F9EA" w14:textId="77777777" w:rsidTr="000A0C22">
        <w:trPr>
          <w:trHeight w:val="330"/>
        </w:trPr>
        <w:tc>
          <w:tcPr>
            <w:tcW w:w="2044" w:type="pct"/>
            <w:vMerge/>
            <w:tcBorders>
              <w:top w:val="double" w:sz="6" w:space="0" w:color="002060"/>
              <w:left w:val="double" w:sz="6" w:space="0" w:color="002060"/>
              <w:bottom w:val="double" w:sz="6" w:space="0" w:color="002060"/>
              <w:right w:val="double" w:sz="6" w:space="0" w:color="002060"/>
            </w:tcBorders>
            <w:vAlign w:val="center"/>
            <w:hideMark/>
          </w:tcPr>
          <w:p w14:paraId="55C17D0B" w14:textId="77777777" w:rsidR="00B15F7D" w:rsidRPr="00990FB6" w:rsidRDefault="00B15F7D" w:rsidP="00B15F7D">
            <w:pPr>
              <w:rPr>
                <w:color w:val="000000"/>
                <w:sz w:val="22"/>
                <w:szCs w:val="22"/>
                <w:lang w:eastAsia="es-CR"/>
              </w:rPr>
            </w:pPr>
          </w:p>
        </w:tc>
        <w:tc>
          <w:tcPr>
            <w:tcW w:w="625" w:type="pct"/>
            <w:tcBorders>
              <w:top w:val="nil"/>
              <w:left w:val="nil"/>
              <w:bottom w:val="double" w:sz="6" w:space="0" w:color="002060"/>
              <w:right w:val="double" w:sz="6" w:space="0" w:color="002060"/>
            </w:tcBorders>
            <w:shd w:val="clear" w:color="000000" w:fill="365F91"/>
            <w:noWrap/>
            <w:vAlign w:val="center"/>
            <w:hideMark/>
          </w:tcPr>
          <w:p w14:paraId="7AE6ED5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Realizadas</w:t>
            </w:r>
          </w:p>
        </w:tc>
        <w:tc>
          <w:tcPr>
            <w:tcW w:w="605" w:type="pct"/>
            <w:tcBorders>
              <w:top w:val="nil"/>
              <w:left w:val="nil"/>
              <w:bottom w:val="double" w:sz="6" w:space="0" w:color="002060"/>
              <w:right w:val="double" w:sz="6" w:space="0" w:color="002060"/>
            </w:tcBorders>
            <w:shd w:val="clear" w:color="000000" w:fill="365F91"/>
            <w:noWrap/>
            <w:vAlign w:val="center"/>
            <w:hideMark/>
          </w:tcPr>
          <w:p w14:paraId="082BA3A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w:t>
            </w:r>
          </w:p>
        </w:tc>
        <w:tc>
          <w:tcPr>
            <w:tcW w:w="778" w:type="pct"/>
            <w:tcBorders>
              <w:top w:val="nil"/>
              <w:left w:val="nil"/>
              <w:bottom w:val="double" w:sz="6" w:space="0" w:color="002060"/>
              <w:right w:val="double" w:sz="6" w:space="0" w:color="002060"/>
            </w:tcBorders>
            <w:shd w:val="clear" w:color="000000" w:fill="365F91"/>
            <w:noWrap/>
            <w:vAlign w:val="center"/>
            <w:hideMark/>
          </w:tcPr>
          <w:p w14:paraId="0D322C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realizadas</w:t>
            </w:r>
          </w:p>
        </w:tc>
        <w:tc>
          <w:tcPr>
            <w:tcW w:w="605" w:type="pct"/>
            <w:tcBorders>
              <w:top w:val="nil"/>
              <w:left w:val="nil"/>
              <w:bottom w:val="double" w:sz="6" w:space="0" w:color="002060"/>
              <w:right w:val="double" w:sz="6" w:space="0" w:color="002060"/>
            </w:tcBorders>
            <w:shd w:val="clear" w:color="000000" w:fill="365F91"/>
            <w:noWrap/>
            <w:vAlign w:val="center"/>
            <w:hideMark/>
          </w:tcPr>
          <w:p w14:paraId="58E183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w:t>
            </w:r>
          </w:p>
        </w:tc>
        <w:tc>
          <w:tcPr>
            <w:tcW w:w="344" w:type="pct"/>
            <w:tcBorders>
              <w:top w:val="nil"/>
              <w:left w:val="nil"/>
              <w:bottom w:val="double" w:sz="6" w:space="0" w:color="002060"/>
              <w:right w:val="double" w:sz="6" w:space="0" w:color="002060"/>
            </w:tcBorders>
            <w:shd w:val="clear" w:color="000000" w:fill="365F91"/>
            <w:noWrap/>
            <w:vAlign w:val="center"/>
            <w:hideMark/>
          </w:tcPr>
          <w:p w14:paraId="5E85CD5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Total</w:t>
            </w:r>
          </w:p>
        </w:tc>
      </w:tr>
      <w:tr w:rsidR="00B15F7D" w:rsidRPr="00990FB6" w14:paraId="15D8AEE1"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2EDA5D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José</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0A345E2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83</w:t>
            </w:r>
          </w:p>
        </w:tc>
        <w:tc>
          <w:tcPr>
            <w:tcW w:w="605" w:type="pct"/>
            <w:tcBorders>
              <w:top w:val="nil"/>
              <w:left w:val="nil"/>
              <w:bottom w:val="double" w:sz="6" w:space="0" w:color="002060"/>
              <w:right w:val="double" w:sz="6" w:space="0" w:color="002060"/>
            </w:tcBorders>
            <w:shd w:val="clear" w:color="auto" w:fill="auto"/>
            <w:noWrap/>
            <w:vAlign w:val="bottom"/>
            <w:hideMark/>
          </w:tcPr>
          <w:p w14:paraId="160D1F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69%</w:t>
            </w:r>
          </w:p>
        </w:tc>
        <w:tc>
          <w:tcPr>
            <w:tcW w:w="778" w:type="pct"/>
            <w:tcBorders>
              <w:top w:val="nil"/>
              <w:left w:val="nil"/>
              <w:bottom w:val="double" w:sz="6" w:space="0" w:color="002060"/>
              <w:right w:val="double" w:sz="6" w:space="0" w:color="002060"/>
            </w:tcBorders>
            <w:shd w:val="clear" w:color="auto" w:fill="auto"/>
            <w:noWrap/>
            <w:vAlign w:val="bottom"/>
            <w:hideMark/>
          </w:tcPr>
          <w:p w14:paraId="10725B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c>
          <w:tcPr>
            <w:tcW w:w="605" w:type="pct"/>
            <w:tcBorders>
              <w:top w:val="nil"/>
              <w:left w:val="nil"/>
              <w:bottom w:val="double" w:sz="6" w:space="0" w:color="002060"/>
              <w:right w:val="double" w:sz="6" w:space="0" w:color="002060"/>
            </w:tcBorders>
            <w:shd w:val="clear" w:color="auto" w:fill="auto"/>
            <w:noWrap/>
            <w:vAlign w:val="bottom"/>
            <w:hideMark/>
          </w:tcPr>
          <w:p w14:paraId="0E2E94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c>
          <w:tcPr>
            <w:tcW w:w="344" w:type="pct"/>
            <w:tcBorders>
              <w:top w:val="nil"/>
              <w:left w:val="nil"/>
              <w:bottom w:val="double" w:sz="6" w:space="0" w:color="002060"/>
              <w:right w:val="double" w:sz="6" w:space="0" w:color="002060"/>
            </w:tcBorders>
            <w:shd w:val="clear" w:color="auto" w:fill="auto"/>
            <w:noWrap/>
            <w:vAlign w:val="bottom"/>
            <w:hideMark/>
          </w:tcPr>
          <w:p w14:paraId="2C06A44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120</w:t>
            </w:r>
          </w:p>
        </w:tc>
      </w:tr>
      <w:tr w:rsidR="00B15F7D" w:rsidRPr="00990FB6" w14:paraId="5FC1BEEF"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34B9AF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Puriscal</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52A0D3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05" w:type="pct"/>
            <w:tcBorders>
              <w:top w:val="nil"/>
              <w:left w:val="nil"/>
              <w:bottom w:val="double" w:sz="6" w:space="0" w:color="002060"/>
              <w:right w:val="double" w:sz="6" w:space="0" w:color="002060"/>
            </w:tcBorders>
            <w:shd w:val="clear" w:color="auto" w:fill="auto"/>
            <w:noWrap/>
            <w:vAlign w:val="bottom"/>
            <w:hideMark/>
          </w:tcPr>
          <w:p w14:paraId="7ED238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778" w:type="pct"/>
            <w:tcBorders>
              <w:top w:val="nil"/>
              <w:left w:val="nil"/>
              <w:bottom w:val="double" w:sz="6" w:space="0" w:color="002060"/>
              <w:right w:val="double" w:sz="6" w:space="0" w:color="002060"/>
            </w:tcBorders>
            <w:shd w:val="clear" w:color="auto" w:fill="auto"/>
            <w:noWrap/>
            <w:vAlign w:val="bottom"/>
            <w:hideMark/>
          </w:tcPr>
          <w:p w14:paraId="61CF11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605" w:type="pct"/>
            <w:tcBorders>
              <w:top w:val="nil"/>
              <w:left w:val="nil"/>
              <w:bottom w:val="double" w:sz="6" w:space="0" w:color="002060"/>
              <w:right w:val="double" w:sz="6" w:space="0" w:color="002060"/>
            </w:tcBorders>
            <w:shd w:val="clear" w:color="auto" w:fill="auto"/>
            <w:noWrap/>
            <w:vAlign w:val="bottom"/>
            <w:hideMark/>
          </w:tcPr>
          <w:p w14:paraId="5FE3C95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67%</w:t>
            </w:r>
          </w:p>
        </w:tc>
        <w:tc>
          <w:tcPr>
            <w:tcW w:w="344" w:type="pct"/>
            <w:tcBorders>
              <w:top w:val="nil"/>
              <w:left w:val="nil"/>
              <w:bottom w:val="double" w:sz="6" w:space="0" w:color="002060"/>
              <w:right w:val="double" w:sz="6" w:space="0" w:color="002060"/>
            </w:tcBorders>
            <w:shd w:val="clear" w:color="auto" w:fill="auto"/>
            <w:noWrap/>
            <w:vAlign w:val="bottom"/>
            <w:hideMark/>
          </w:tcPr>
          <w:p w14:paraId="40B0F5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r>
      <w:tr w:rsidR="00B15F7D" w:rsidRPr="00990FB6" w14:paraId="34CFCC87"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26C6C1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320C3D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42</w:t>
            </w:r>
          </w:p>
        </w:tc>
        <w:tc>
          <w:tcPr>
            <w:tcW w:w="605" w:type="pct"/>
            <w:tcBorders>
              <w:top w:val="nil"/>
              <w:left w:val="nil"/>
              <w:bottom w:val="double" w:sz="6" w:space="0" w:color="002060"/>
              <w:right w:val="double" w:sz="6" w:space="0" w:color="002060"/>
            </w:tcBorders>
            <w:shd w:val="clear" w:color="auto" w:fill="auto"/>
            <w:noWrap/>
            <w:vAlign w:val="bottom"/>
            <w:hideMark/>
          </w:tcPr>
          <w:p w14:paraId="1AA2511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84%</w:t>
            </w:r>
          </w:p>
        </w:tc>
        <w:tc>
          <w:tcPr>
            <w:tcW w:w="778" w:type="pct"/>
            <w:tcBorders>
              <w:top w:val="nil"/>
              <w:left w:val="nil"/>
              <w:bottom w:val="double" w:sz="6" w:space="0" w:color="002060"/>
              <w:right w:val="double" w:sz="6" w:space="0" w:color="002060"/>
            </w:tcBorders>
            <w:shd w:val="clear" w:color="auto" w:fill="auto"/>
            <w:noWrap/>
            <w:vAlign w:val="bottom"/>
            <w:hideMark/>
          </w:tcPr>
          <w:p w14:paraId="600DDD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605" w:type="pct"/>
            <w:tcBorders>
              <w:top w:val="nil"/>
              <w:left w:val="nil"/>
              <w:bottom w:val="double" w:sz="6" w:space="0" w:color="002060"/>
              <w:right w:val="double" w:sz="6" w:space="0" w:color="002060"/>
            </w:tcBorders>
            <w:shd w:val="clear" w:color="auto" w:fill="auto"/>
            <w:noWrap/>
            <w:vAlign w:val="bottom"/>
            <w:hideMark/>
          </w:tcPr>
          <w:p w14:paraId="0F0145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344" w:type="pct"/>
            <w:tcBorders>
              <w:top w:val="nil"/>
              <w:left w:val="nil"/>
              <w:bottom w:val="double" w:sz="6" w:space="0" w:color="002060"/>
              <w:right w:val="double" w:sz="6" w:space="0" w:color="002060"/>
            </w:tcBorders>
            <w:shd w:val="clear" w:color="auto" w:fill="auto"/>
            <w:noWrap/>
            <w:vAlign w:val="bottom"/>
            <w:hideMark/>
          </w:tcPr>
          <w:p w14:paraId="3EDCB9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w:t>
            </w:r>
          </w:p>
        </w:tc>
      </w:tr>
      <w:tr w:rsidR="00B15F7D" w:rsidRPr="00990FB6" w14:paraId="39ECB18C"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22E62A9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72FCAA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605" w:type="pct"/>
            <w:tcBorders>
              <w:top w:val="nil"/>
              <w:left w:val="nil"/>
              <w:bottom w:val="double" w:sz="6" w:space="0" w:color="002060"/>
              <w:right w:val="double" w:sz="6" w:space="0" w:color="002060"/>
            </w:tcBorders>
            <w:shd w:val="clear" w:color="auto" w:fill="auto"/>
            <w:noWrap/>
            <w:vAlign w:val="bottom"/>
            <w:hideMark/>
          </w:tcPr>
          <w:p w14:paraId="622B09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75%</w:t>
            </w:r>
          </w:p>
        </w:tc>
        <w:tc>
          <w:tcPr>
            <w:tcW w:w="778" w:type="pct"/>
            <w:tcBorders>
              <w:top w:val="nil"/>
              <w:left w:val="nil"/>
              <w:bottom w:val="double" w:sz="6" w:space="0" w:color="002060"/>
              <w:right w:val="double" w:sz="6" w:space="0" w:color="002060"/>
            </w:tcBorders>
            <w:shd w:val="clear" w:color="auto" w:fill="auto"/>
            <w:noWrap/>
            <w:vAlign w:val="bottom"/>
            <w:hideMark/>
          </w:tcPr>
          <w:p w14:paraId="28186F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605" w:type="pct"/>
            <w:tcBorders>
              <w:top w:val="nil"/>
              <w:left w:val="nil"/>
              <w:bottom w:val="double" w:sz="6" w:space="0" w:color="002060"/>
              <w:right w:val="double" w:sz="6" w:space="0" w:color="002060"/>
            </w:tcBorders>
            <w:shd w:val="clear" w:color="auto" w:fill="auto"/>
            <w:noWrap/>
            <w:vAlign w:val="bottom"/>
            <w:hideMark/>
          </w:tcPr>
          <w:p w14:paraId="4C695A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w:t>
            </w:r>
          </w:p>
        </w:tc>
        <w:tc>
          <w:tcPr>
            <w:tcW w:w="344" w:type="pct"/>
            <w:tcBorders>
              <w:top w:val="nil"/>
              <w:left w:val="nil"/>
              <w:bottom w:val="double" w:sz="6" w:space="0" w:color="002060"/>
              <w:right w:val="double" w:sz="6" w:space="0" w:color="002060"/>
            </w:tcBorders>
            <w:shd w:val="clear" w:color="auto" w:fill="auto"/>
            <w:noWrap/>
            <w:vAlign w:val="bottom"/>
            <w:hideMark/>
          </w:tcPr>
          <w:p w14:paraId="00B1A3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r>
      <w:tr w:rsidR="00B15F7D" w:rsidRPr="00990FB6" w14:paraId="2A0D09F9"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486407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Carlos</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408B19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605" w:type="pct"/>
            <w:tcBorders>
              <w:top w:val="nil"/>
              <w:left w:val="nil"/>
              <w:bottom w:val="double" w:sz="6" w:space="0" w:color="002060"/>
              <w:right w:val="double" w:sz="6" w:space="0" w:color="002060"/>
            </w:tcBorders>
            <w:shd w:val="clear" w:color="auto" w:fill="auto"/>
            <w:noWrap/>
            <w:vAlign w:val="bottom"/>
            <w:hideMark/>
          </w:tcPr>
          <w:p w14:paraId="336DD7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100%</w:t>
            </w:r>
          </w:p>
        </w:tc>
        <w:tc>
          <w:tcPr>
            <w:tcW w:w="778" w:type="pct"/>
            <w:tcBorders>
              <w:top w:val="nil"/>
              <w:left w:val="nil"/>
              <w:bottom w:val="double" w:sz="6" w:space="0" w:color="002060"/>
              <w:right w:val="double" w:sz="6" w:space="0" w:color="002060"/>
            </w:tcBorders>
            <w:shd w:val="clear" w:color="auto" w:fill="auto"/>
            <w:noWrap/>
            <w:vAlign w:val="bottom"/>
            <w:hideMark/>
          </w:tcPr>
          <w:p w14:paraId="17EF9F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605" w:type="pct"/>
            <w:tcBorders>
              <w:top w:val="nil"/>
              <w:left w:val="nil"/>
              <w:bottom w:val="double" w:sz="6" w:space="0" w:color="002060"/>
              <w:right w:val="double" w:sz="6" w:space="0" w:color="002060"/>
            </w:tcBorders>
            <w:shd w:val="clear" w:color="auto" w:fill="auto"/>
            <w:noWrap/>
            <w:vAlign w:val="bottom"/>
            <w:hideMark/>
          </w:tcPr>
          <w:p w14:paraId="5EBBB0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344" w:type="pct"/>
            <w:tcBorders>
              <w:top w:val="nil"/>
              <w:left w:val="nil"/>
              <w:bottom w:val="double" w:sz="6" w:space="0" w:color="002060"/>
              <w:right w:val="double" w:sz="6" w:space="0" w:color="002060"/>
            </w:tcBorders>
            <w:shd w:val="clear" w:color="auto" w:fill="auto"/>
            <w:noWrap/>
            <w:vAlign w:val="bottom"/>
            <w:hideMark/>
          </w:tcPr>
          <w:p w14:paraId="6162E5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r>
      <w:tr w:rsidR="00B15F7D" w:rsidRPr="00990FB6" w14:paraId="0CC162B6"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51444E5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447DC1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w:t>
            </w:r>
          </w:p>
        </w:tc>
        <w:tc>
          <w:tcPr>
            <w:tcW w:w="605" w:type="pct"/>
            <w:tcBorders>
              <w:top w:val="nil"/>
              <w:left w:val="nil"/>
              <w:bottom w:val="double" w:sz="6" w:space="0" w:color="002060"/>
              <w:right w:val="double" w:sz="6" w:space="0" w:color="002060"/>
            </w:tcBorders>
            <w:shd w:val="clear" w:color="auto" w:fill="auto"/>
            <w:noWrap/>
            <w:vAlign w:val="bottom"/>
            <w:hideMark/>
          </w:tcPr>
          <w:p w14:paraId="27690B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82%</w:t>
            </w:r>
          </w:p>
        </w:tc>
        <w:tc>
          <w:tcPr>
            <w:tcW w:w="778" w:type="pct"/>
            <w:tcBorders>
              <w:top w:val="nil"/>
              <w:left w:val="nil"/>
              <w:bottom w:val="double" w:sz="6" w:space="0" w:color="002060"/>
              <w:right w:val="double" w:sz="6" w:space="0" w:color="002060"/>
            </w:tcBorders>
            <w:shd w:val="clear" w:color="auto" w:fill="auto"/>
            <w:noWrap/>
            <w:vAlign w:val="bottom"/>
            <w:hideMark/>
          </w:tcPr>
          <w:p w14:paraId="03F0EE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605" w:type="pct"/>
            <w:tcBorders>
              <w:top w:val="nil"/>
              <w:left w:val="nil"/>
              <w:bottom w:val="double" w:sz="6" w:space="0" w:color="002060"/>
              <w:right w:val="double" w:sz="6" w:space="0" w:color="002060"/>
            </w:tcBorders>
            <w:shd w:val="clear" w:color="auto" w:fill="auto"/>
            <w:noWrap/>
            <w:vAlign w:val="bottom"/>
            <w:hideMark/>
          </w:tcPr>
          <w:p w14:paraId="4D08956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18%</w:t>
            </w:r>
          </w:p>
        </w:tc>
        <w:tc>
          <w:tcPr>
            <w:tcW w:w="344" w:type="pct"/>
            <w:tcBorders>
              <w:top w:val="nil"/>
              <w:left w:val="nil"/>
              <w:bottom w:val="double" w:sz="6" w:space="0" w:color="002060"/>
              <w:right w:val="double" w:sz="6" w:space="0" w:color="002060"/>
            </w:tcBorders>
            <w:shd w:val="clear" w:color="auto" w:fill="auto"/>
            <w:noWrap/>
            <w:vAlign w:val="bottom"/>
            <w:hideMark/>
          </w:tcPr>
          <w:p w14:paraId="5D57CF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r>
      <w:tr w:rsidR="00B15F7D" w:rsidRPr="00990FB6" w14:paraId="2C867AC9"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71F48C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Turrialba</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4DBDEC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605" w:type="pct"/>
            <w:tcBorders>
              <w:top w:val="nil"/>
              <w:left w:val="nil"/>
              <w:bottom w:val="double" w:sz="6" w:space="0" w:color="002060"/>
              <w:right w:val="double" w:sz="6" w:space="0" w:color="002060"/>
            </w:tcBorders>
            <w:shd w:val="clear" w:color="auto" w:fill="auto"/>
            <w:noWrap/>
            <w:vAlign w:val="bottom"/>
            <w:hideMark/>
          </w:tcPr>
          <w:p w14:paraId="0A1A5BA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83%</w:t>
            </w:r>
          </w:p>
        </w:tc>
        <w:tc>
          <w:tcPr>
            <w:tcW w:w="778" w:type="pct"/>
            <w:tcBorders>
              <w:top w:val="nil"/>
              <w:left w:val="nil"/>
              <w:bottom w:val="double" w:sz="6" w:space="0" w:color="002060"/>
              <w:right w:val="double" w:sz="6" w:space="0" w:color="002060"/>
            </w:tcBorders>
            <w:shd w:val="clear" w:color="auto" w:fill="auto"/>
            <w:noWrap/>
            <w:vAlign w:val="bottom"/>
            <w:hideMark/>
          </w:tcPr>
          <w:p w14:paraId="303BFA2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05" w:type="pct"/>
            <w:tcBorders>
              <w:top w:val="nil"/>
              <w:left w:val="nil"/>
              <w:bottom w:val="double" w:sz="6" w:space="0" w:color="002060"/>
              <w:right w:val="double" w:sz="6" w:space="0" w:color="002060"/>
            </w:tcBorders>
            <w:shd w:val="clear" w:color="auto" w:fill="auto"/>
            <w:noWrap/>
            <w:vAlign w:val="bottom"/>
            <w:hideMark/>
          </w:tcPr>
          <w:p w14:paraId="07F973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c>
          <w:tcPr>
            <w:tcW w:w="344" w:type="pct"/>
            <w:tcBorders>
              <w:top w:val="nil"/>
              <w:left w:val="nil"/>
              <w:bottom w:val="double" w:sz="6" w:space="0" w:color="002060"/>
              <w:right w:val="double" w:sz="6" w:space="0" w:color="002060"/>
            </w:tcBorders>
            <w:shd w:val="clear" w:color="auto" w:fill="auto"/>
            <w:noWrap/>
            <w:vAlign w:val="bottom"/>
            <w:hideMark/>
          </w:tcPr>
          <w:p w14:paraId="07D5B4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r>
      <w:tr w:rsidR="00B15F7D" w:rsidRPr="00990FB6" w14:paraId="34325204"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3E2148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1DD750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605" w:type="pct"/>
            <w:tcBorders>
              <w:top w:val="nil"/>
              <w:left w:val="nil"/>
              <w:bottom w:val="double" w:sz="6" w:space="0" w:color="002060"/>
              <w:right w:val="double" w:sz="6" w:space="0" w:color="002060"/>
            </w:tcBorders>
            <w:shd w:val="clear" w:color="auto" w:fill="auto"/>
            <w:noWrap/>
            <w:vAlign w:val="bottom"/>
            <w:hideMark/>
          </w:tcPr>
          <w:p w14:paraId="683371A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100%</w:t>
            </w:r>
          </w:p>
        </w:tc>
        <w:tc>
          <w:tcPr>
            <w:tcW w:w="778" w:type="pct"/>
            <w:tcBorders>
              <w:top w:val="nil"/>
              <w:left w:val="nil"/>
              <w:bottom w:val="double" w:sz="6" w:space="0" w:color="002060"/>
              <w:right w:val="double" w:sz="6" w:space="0" w:color="002060"/>
            </w:tcBorders>
            <w:shd w:val="clear" w:color="auto" w:fill="auto"/>
            <w:noWrap/>
            <w:vAlign w:val="bottom"/>
            <w:hideMark/>
          </w:tcPr>
          <w:p w14:paraId="189BFA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605" w:type="pct"/>
            <w:tcBorders>
              <w:top w:val="nil"/>
              <w:left w:val="nil"/>
              <w:bottom w:val="double" w:sz="6" w:space="0" w:color="002060"/>
              <w:right w:val="double" w:sz="6" w:space="0" w:color="002060"/>
            </w:tcBorders>
            <w:shd w:val="clear" w:color="auto" w:fill="auto"/>
            <w:noWrap/>
            <w:vAlign w:val="bottom"/>
            <w:hideMark/>
          </w:tcPr>
          <w:p w14:paraId="32E1CF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344" w:type="pct"/>
            <w:tcBorders>
              <w:top w:val="nil"/>
              <w:left w:val="nil"/>
              <w:bottom w:val="double" w:sz="6" w:space="0" w:color="002060"/>
              <w:right w:val="double" w:sz="6" w:space="0" w:color="002060"/>
            </w:tcBorders>
            <w:shd w:val="clear" w:color="auto" w:fill="auto"/>
            <w:noWrap/>
            <w:vAlign w:val="bottom"/>
            <w:hideMark/>
          </w:tcPr>
          <w:p w14:paraId="1BE827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r>
      <w:tr w:rsidR="00B15F7D" w:rsidRPr="00990FB6" w14:paraId="40BCC816"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098137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Sarapiquí</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3D33424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605" w:type="pct"/>
            <w:tcBorders>
              <w:top w:val="nil"/>
              <w:left w:val="nil"/>
              <w:bottom w:val="double" w:sz="6" w:space="0" w:color="002060"/>
              <w:right w:val="double" w:sz="6" w:space="0" w:color="002060"/>
            </w:tcBorders>
            <w:shd w:val="clear" w:color="auto" w:fill="auto"/>
            <w:noWrap/>
            <w:vAlign w:val="bottom"/>
            <w:hideMark/>
          </w:tcPr>
          <w:p w14:paraId="7281F48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60%</w:t>
            </w:r>
          </w:p>
        </w:tc>
        <w:tc>
          <w:tcPr>
            <w:tcW w:w="778" w:type="pct"/>
            <w:tcBorders>
              <w:top w:val="nil"/>
              <w:left w:val="nil"/>
              <w:bottom w:val="double" w:sz="6" w:space="0" w:color="002060"/>
              <w:right w:val="double" w:sz="6" w:space="0" w:color="002060"/>
            </w:tcBorders>
            <w:shd w:val="clear" w:color="auto" w:fill="auto"/>
            <w:noWrap/>
            <w:vAlign w:val="bottom"/>
            <w:hideMark/>
          </w:tcPr>
          <w:p w14:paraId="7E8DF5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605" w:type="pct"/>
            <w:tcBorders>
              <w:top w:val="nil"/>
              <w:left w:val="nil"/>
              <w:bottom w:val="double" w:sz="6" w:space="0" w:color="002060"/>
              <w:right w:val="double" w:sz="6" w:space="0" w:color="002060"/>
            </w:tcBorders>
            <w:shd w:val="clear" w:color="auto" w:fill="auto"/>
            <w:noWrap/>
            <w:vAlign w:val="bottom"/>
            <w:hideMark/>
          </w:tcPr>
          <w:p w14:paraId="271D38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344" w:type="pct"/>
            <w:tcBorders>
              <w:top w:val="nil"/>
              <w:left w:val="nil"/>
              <w:bottom w:val="double" w:sz="6" w:space="0" w:color="002060"/>
              <w:right w:val="double" w:sz="6" w:space="0" w:color="002060"/>
            </w:tcBorders>
            <w:shd w:val="clear" w:color="auto" w:fill="auto"/>
            <w:noWrap/>
            <w:vAlign w:val="bottom"/>
            <w:hideMark/>
          </w:tcPr>
          <w:p w14:paraId="2709DF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r>
      <w:tr w:rsidR="00B15F7D" w:rsidRPr="00990FB6" w14:paraId="14216837"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2554B99A"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t>I Circuito Judicial de Guanacaste</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3E6118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605" w:type="pct"/>
            <w:tcBorders>
              <w:top w:val="nil"/>
              <w:left w:val="nil"/>
              <w:bottom w:val="double" w:sz="6" w:space="0" w:color="002060"/>
              <w:right w:val="double" w:sz="6" w:space="0" w:color="002060"/>
            </w:tcBorders>
            <w:shd w:val="clear" w:color="auto" w:fill="auto"/>
            <w:noWrap/>
            <w:vAlign w:val="bottom"/>
            <w:hideMark/>
          </w:tcPr>
          <w:p w14:paraId="2E07BB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68%</w:t>
            </w:r>
          </w:p>
        </w:tc>
        <w:tc>
          <w:tcPr>
            <w:tcW w:w="778" w:type="pct"/>
            <w:tcBorders>
              <w:top w:val="nil"/>
              <w:left w:val="nil"/>
              <w:bottom w:val="double" w:sz="6" w:space="0" w:color="002060"/>
              <w:right w:val="double" w:sz="6" w:space="0" w:color="002060"/>
            </w:tcBorders>
            <w:shd w:val="clear" w:color="auto" w:fill="auto"/>
            <w:noWrap/>
            <w:vAlign w:val="bottom"/>
            <w:hideMark/>
          </w:tcPr>
          <w:p w14:paraId="79B612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605" w:type="pct"/>
            <w:tcBorders>
              <w:top w:val="nil"/>
              <w:left w:val="nil"/>
              <w:bottom w:val="double" w:sz="6" w:space="0" w:color="002060"/>
              <w:right w:val="double" w:sz="6" w:space="0" w:color="002060"/>
            </w:tcBorders>
            <w:shd w:val="clear" w:color="auto" w:fill="auto"/>
            <w:noWrap/>
            <w:vAlign w:val="bottom"/>
            <w:hideMark/>
          </w:tcPr>
          <w:p w14:paraId="58DDE6F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32%</w:t>
            </w:r>
          </w:p>
        </w:tc>
        <w:tc>
          <w:tcPr>
            <w:tcW w:w="344" w:type="pct"/>
            <w:tcBorders>
              <w:top w:val="nil"/>
              <w:left w:val="nil"/>
              <w:bottom w:val="double" w:sz="6" w:space="0" w:color="002060"/>
              <w:right w:val="double" w:sz="6" w:space="0" w:color="002060"/>
            </w:tcBorders>
            <w:shd w:val="clear" w:color="auto" w:fill="auto"/>
            <w:noWrap/>
            <w:vAlign w:val="bottom"/>
            <w:hideMark/>
          </w:tcPr>
          <w:p w14:paraId="53F25E8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r>
      <w:tr w:rsidR="00B15F7D" w:rsidRPr="00990FB6" w14:paraId="48E16A6C"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60A7D38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Nicoya</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216AE2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605" w:type="pct"/>
            <w:tcBorders>
              <w:top w:val="nil"/>
              <w:left w:val="nil"/>
              <w:bottom w:val="double" w:sz="6" w:space="0" w:color="002060"/>
              <w:right w:val="double" w:sz="6" w:space="0" w:color="002060"/>
            </w:tcBorders>
            <w:shd w:val="clear" w:color="auto" w:fill="auto"/>
            <w:noWrap/>
            <w:vAlign w:val="bottom"/>
            <w:hideMark/>
          </w:tcPr>
          <w:p w14:paraId="1C737CB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90%</w:t>
            </w:r>
          </w:p>
        </w:tc>
        <w:tc>
          <w:tcPr>
            <w:tcW w:w="778" w:type="pct"/>
            <w:tcBorders>
              <w:top w:val="nil"/>
              <w:left w:val="nil"/>
              <w:bottom w:val="double" w:sz="6" w:space="0" w:color="002060"/>
              <w:right w:val="double" w:sz="6" w:space="0" w:color="002060"/>
            </w:tcBorders>
            <w:shd w:val="clear" w:color="auto" w:fill="auto"/>
            <w:noWrap/>
            <w:vAlign w:val="bottom"/>
            <w:hideMark/>
          </w:tcPr>
          <w:p w14:paraId="158349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605" w:type="pct"/>
            <w:tcBorders>
              <w:top w:val="nil"/>
              <w:left w:val="nil"/>
              <w:bottom w:val="double" w:sz="6" w:space="0" w:color="002060"/>
              <w:right w:val="double" w:sz="6" w:space="0" w:color="002060"/>
            </w:tcBorders>
            <w:shd w:val="clear" w:color="auto" w:fill="auto"/>
            <w:noWrap/>
            <w:vAlign w:val="bottom"/>
            <w:hideMark/>
          </w:tcPr>
          <w:p w14:paraId="68A58E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344" w:type="pct"/>
            <w:tcBorders>
              <w:top w:val="nil"/>
              <w:left w:val="nil"/>
              <w:bottom w:val="double" w:sz="6" w:space="0" w:color="002060"/>
              <w:right w:val="double" w:sz="6" w:space="0" w:color="002060"/>
            </w:tcBorders>
            <w:shd w:val="clear" w:color="auto" w:fill="auto"/>
            <w:noWrap/>
            <w:vAlign w:val="bottom"/>
            <w:hideMark/>
          </w:tcPr>
          <w:p w14:paraId="325D85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r>
      <w:tr w:rsidR="00B15F7D" w:rsidRPr="00990FB6" w14:paraId="014B782B"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0ABC90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7EF680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605" w:type="pct"/>
            <w:tcBorders>
              <w:top w:val="nil"/>
              <w:left w:val="nil"/>
              <w:bottom w:val="double" w:sz="6" w:space="0" w:color="002060"/>
              <w:right w:val="double" w:sz="6" w:space="0" w:color="002060"/>
            </w:tcBorders>
            <w:shd w:val="clear" w:color="auto" w:fill="auto"/>
            <w:noWrap/>
            <w:vAlign w:val="bottom"/>
            <w:hideMark/>
          </w:tcPr>
          <w:p w14:paraId="51B250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90%</w:t>
            </w:r>
          </w:p>
        </w:tc>
        <w:tc>
          <w:tcPr>
            <w:tcW w:w="778" w:type="pct"/>
            <w:tcBorders>
              <w:top w:val="nil"/>
              <w:left w:val="nil"/>
              <w:bottom w:val="double" w:sz="6" w:space="0" w:color="002060"/>
              <w:right w:val="double" w:sz="6" w:space="0" w:color="002060"/>
            </w:tcBorders>
            <w:shd w:val="clear" w:color="auto" w:fill="auto"/>
            <w:noWrap/>
            <w:vAlign w:val="bottom"/>
            <w:hideMark/>
          </w:tcPr>
          <w:p w14:paraId="40BD69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05" w:type="pct"/>
            <w:tcBorders>
              <w:top w:val="nil"/>
              <w:left w:val="nil"/>
              <w:bottom w:val="double" w:sz="6" w:space="0" w:color="002060"/>
              <w:right w:val="double" w:sz="6" w:space="0" w:color="002060"/>
            </w:tcBorders>
            <w:shd w:val="clear" w:color="auto" w:fill="auto"/>
            <w:noWrap/>
            <w:vAlign w:val="bottom"/>
            <w:hideMark/>
          </w:tcPr>
          <w:p w14:paraId="3D764A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344" w:type="pct"/>
            <w:tcBorders>
              <w:top w:val="nil"/>
              <w:left w:val="nil"/>
              <w:bottom w:val="double" w:sz="6" w:space="0" w:color="002060"/>
              <w:right w:val="double" w:sz="6" w:space="0" w:color="002060"/>
            </w:tcBorders>
            <w:shd w:val="clear" w:color="auto" w:fill="auto"/>
            <w:noWrap/>
            <w:vAlign w:val="bottom"/>
            <w:hideMark/>
          </w:tcPr>
          <w:p w14:paraId="7E1185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r>
      <w:tr w:rsidR="00B15F7D" w:rsidRPr="00990FB6" w14:paraId="5BF1A415"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474DBD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Corredores</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0C67B9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605" w:type="pct"/>
            <w:tcBorders>
              <w:top w:val="nil"/>
              <w:left w:val="nil"/>
              <w:bottom w:val="double" w:sz="6" w:space="0" w:color="002060"/>
              <w:right w:val="double" w:sz="6" w:space="0" w:color="002060"/>
            </w:tcBorders>
            <w:shd w:val="clear" w:color="auto" w:fill="auto"/>
            <w:noWrap/>
            <w:vAlign w:val="bottom"/>
            <w:hideMark/>
          </w:tcPr>
          <w:p w14:paraId="023A2D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778" w:type="pct"/>
            <w:tcBorders>
              <w:top w:val="nil"/>
              <w:left w:val="nil"/>
              <w:bottom w:val="double" w:sz="6" w:space="0" w:color="002060"/>
              <w:right w:val="double" w:sz="6" w:space="0" w:color="002060"/>
            </w:tcBorders>
            <w:shd w:val="clear" w:color="auto" w:fill="auto"/>
            <w:noWrap/>
            <w:vAlign w:val="bottom"/>
            <w:hideMark/>
          </w:tcPr>
          <w:p w14:paraId="0CF182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605" w:type="pct"/>
            <w:tcBorders>
              <w:top w:val="nil"/>
              <w:left w:val="nil"/>
              <w:bottom w:val="double" w:sz="6" w:space="0" w:color="002060"/>
              <w:right w:val="double" w:sz="6" w:space="0" w:color="002060"/>
            </w:tcBorders>
            <w:shd w:val="clear" w:color="auto" w:fill="auto"/>
            <w:noWrap/>
            <w:vAlign w:val="bottom"/>
            <w:hideMark/>
          </w:tcPr>
          <w:p w14:paraId="281965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64%</w:t>
            </w:r>
          </w:p>
        </w:tc>
        <w:tc>
          <w:tcPr>
            <w:tcW w:w="344" w:type="pct"/>
            <w:tcBorders>
              <w:top w:val="nil"/>
              <w:left w:val="nil"/>
              <w:bottom w:val="double" w:sz="6" w:space="0" w:color="002060"/>
              <w:right w:val="double" w:sz="6" w:space="0" w:color="002060"/>
            </w:tcBorders>
            <w:shd w:val="clear" w:color="auto" w:fill="auto"/>
            <w:noWrap/>
            <w:vAlign w:val="bottom"/>
            <w:hideMark/>
          </w:tcPr>
          <w:p w14:paraId="716572C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w:t>
            </w:r>
          </w:p>
        </w:tc>
      </w:tr>
      <w:tr w:rsidR="00B15F7D" w:rsidRPr="00990FB6" w14:paraId="46970F18"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6030A3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Quepos</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44EC195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605" w:type="pct"/>
            <w:tcBorders>
              <w:top w:val="nil"/>
              <w:left w:val="nil"/>
              <w:bottom w:val="double" w:sz="6" w:space="0" w:color="002060"/>
              <w:right w:val="double" w:sz="6" w:space="0" w:color="002060"/>
            </w:tcBorders>
            <w:shd w:val="clear" w:color="auto" w:fill="auto"/>
            <w:noWrap/>
            <w:vAlign w:val="bottom"/>
            <w:hideMark/>
          </w:tcPr>
          <w:p w14:paraId="3095F75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w:t>
            </w:r>
          </w:p>
        </w:tc>
        <w:tc>
          <w:tcPr>
            <w:tcW w:w="778" w:type="pct"/>
            <w:tcBorders>
              <w:top w:val="nil"/>
              <w:left w:val="nil"/>
              <w:bottom w:val="double" w:sz="6" w:space="0" w:color="002060"/>
              <w:right w:val="double" w:sz="6" w:space="0" w:color="002060"/>
            </w:tcBorders>
            <w:shd w:val="clear" w:color="auto" w:fill="auto"/>
            <w:noWrap/>
            <w:vAlign w:val="bottom"/>
            <w:hideMark/>
          </w:tcPr>
          <w:p w14:paraId="043F07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605" w:type="pct"/>
            <w:tcBorders>
              <w:top w:val="nil"/>
              <w:left w:val="nil"/>
              <w:bottom w:val="double" w:sz="6" w:space="0" w:color="002060"/>
              <w:right w:val="double" w:sz="6" w:space="0" w:color="002060"/>
            </w:tcBorders>
            <w:shd w:val="clear" w:color="auto" w:fill="auto"/>
            <w:noWrap/>
            <w:vAlign w:val="bottom"/>
            <w:hideMark/>
          </w:tcPr>
          <w:p w14:paraId="0100F8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344" w:type="pct"/>
            <w:tcBorders>
              <w:top w:val="nil"/>
              <w:left w:val="nil"/>
              <w:bottom w:val="double" w:sz="6" w:space="0" w:color="002060"/>
              <w:right w:val="double" w:sz="6" w:space="0" w:color="002060"/>
            </w:tcBorders>
            <w:shd w:val="clear" w:color="auto" w:fill="auto"/>
            <w:noWrap/>
            <w:vAlign w:val="bottom"/>
            <w:hideMark/>
          </w:tcPr>
          <w:p w14:paraId="1D46F7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r>
      <w:tr w:rsidR="00B15F7D" w:rsidRPr="00990FB6" w14:paraId="6ECC45F0"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2C2AD9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Buenos Aires</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02F0B4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605" w:type="pct"/>
            <w:tcBorders>
              <w:top w:val="nil"/>
              <w:left w:val="nil"/>
              <w:bottom w:val="double" w:sz="6" w:space="0" w:color="002060"/>
              <w:right w:val="double" w:sz="6" w:space="0" w:color="002060"/>
            </w:tcBorders>
            <w:shd w:val="clear" w:color="auto" w:fill="auto"/>
            <w:noWrap/>
            <w:vAlign w:val="bottom"/>
            <w:hideMark/>
          </w:tcPr>
          <w:p w14:paraId="675AC76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80%</w:t>
            </w:r>
          </w:p>
        </w:tc>
        <w:tc>
          <w:tcPr>
            <w:tcW w:w="778" w:type="pct"/>
            <w:tcBorders>
              <w:top w:val="nil"/>
              <w:left w:val="nil"/>
              <w:bottom w:val="double" w:sz="6" w:space="0" w:color="002060"/>
              <w:right w:val="double" w:sz="6" w:space="0" w:color="002060"/>
            </w:tcBorders>
            <w:shd w:val="clear" w:color="auto" w:fill="auto"/>
            <w:noWrap/>
            <w:vAlign w:val="bottom"/>
            <w:hideMark/>
          </w:tcPr>
          <w:p w14:paraId="20A1E2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05" w:type="pct"/>
            <w:tcBorders>
              <w:top w:val="nil"/>
              <w:left w:val="nil"/>
              <w:bottom w:val="double" w:sz="6" w:space="0" w:color="002060"/>
              <w:right w:val="double" w:sz="6" w:space="0" w:color="002060"/>
            </w:tcBorders>
            <w:shd w:val="clear" w:color="auto" w:fill="auto"/>
            <w:noWrap/>
            <w:vAlign w:val="bottom"/>
            <w:hideMark/>
          </w:tcPr>
          <w:p w14:paraId="7D7BAF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w:t>
            </w:r>
          </w:p>
        </w:tc>
        <w:tc>
          <w:tcPr>
            <w:tcW w:w="344" w:type="pct"/>
            <w:tcBorders>
              <w:top w:val="nil"/>
              <w:left w:val="nil"/>
              <w:bottom w:val="double" w:sz="6" w:space="0" w:color="002060"/>
              <w:right w:val="double" w:sz="6" w:space="0" w:color="002060"/>
            </w:tcBorders>
            <w:shd w:val="clear" w:color="auto" w:fill="auto"/>
            <w:noWrap/>
            <w:vAlign w:val="bottom"/>
            <w:hideMark/>
          </w:tcPr>
          <w:p w14:paraId="0D1161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r>
      <w:tr w:rsidR="00B15F7D" w:rsidRPr="00990FB6" w14:paraId="45D6A32E"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2DA3ED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04E643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605" w:type="pct"/>
            <w:tcBorders>
              <w:top w:val="nil"/>
              <w:left w:val="nil"/>
              <w:bottom w:val="double" w:sz="6" w:space="0" w:color="002060"/>
              <w:right w:val="double" w:sz="6" w:space="0" w:color="002060"/>
            </w:tcBorders>
            <w:shd w:val="clear" w:color="auto" w:fill="auto"/>
            <w:noWrap/>
            <w:vAlign w:val="bottom"/>
            <w:hideMark/>
          </w:tcPr>
          <w:p w14:paraId="10C8203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70%</w:t>
            </w:r>
          </w:p>
        </w:tc>
        <w:tc>
          <w:tcPr>
            <w:tcW w:w="778" w:type="pct"/>
            <w:tcBorders>
              <w:top w:val="nil"/>
              <w:left w:val="nil"/>
              <w:bottom w:val="double" w:sz="6" w:space="0" w:color="002060"/>
              <w:right w:val="double" w:sz="6" w:space="0" w:color="002060"/>
            </w:tcBorders>
            <w:shd w:val="clear" w:color="auto" w:fill="auto"/>
            <w:noWrap/>
            <w:vAlign w:val="bottom"/>
            <w:hideMark/>
          </w:tcPr>
          <w:p w14:paraId="68884D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605" w:type="pct"/>
            <w:tcBorders>
              <w:top w:val="nil"/>
              <w:left w:val="nil"/>
              <w:bottom w:val="double" w:sz="6" w:space="0" w:color="002060"/>
              <w:right w:val="double" w:sz="6" w:space="0" w:color="002060"/>
            </w:tcBorders>
            <w:shd w:val="clear" w:color="auto" w:fill="auto"/>
            <w:noWrap/>
            <w:vAlign w:val="bottom"/>
            <w:hideMark/>
          </w:tcPr>
          <w:p w14:paraId="5014BC5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c>
          <w:tcPr>
            <w:tcW w:w="344" w:type="pct"/>
            <w:tcBorders>
              <w:top w:val="nil"/>
              <w:left w:val="nil"/>
              <w:bottom w:val="double" w:sz="6" w:space="0" w:color="002060"/>
              <w:right w:val="double" w:sz="6" w:space="0" w:color="002060"/>
            </w:tcBorders>
            <w:shd w:val="clear" w:color="auto" w:fill="auto"/>
            <w:noWrap/>
            <w:vAlign w:val="bottom"/>
            <w:hideMark/>
          </w:tcPr>
          <w:p w14:paraId="468A61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r>
      <w:tr w:rsidR="00B15F7D" w:rsidRPr="00990FB6" w14:paraId="23780343" w14:textId="77777777" w:rsidTr="000A0C22">
        <w:trPr>
          <w:trHeight w:val="330"/>
        </w:trPr>
        <w:tc>
          <w:tcPr>
            <w:tcW w:w="2044" w:type="pct"/>
            <w:tcBorders>
              <w:top w:val="nil"/>
              <w:left w:val="double" w:sz="6" w:space="0" w:color="002060"/>
              <w:bottom w:val="double" w:sz="6" w:space="0" w:color="002060"/>
              <w:right w:val="nil"/>
            </w:tcBorders>
            <w:shd w:val="clear" w:color="auto" w:fill="auto"/>
            <w:noWrap/>
            <w:vAlign w:val="bottom"/>
            <w:hideMark/>
          </w:tcPr>
          <w:p w14:paraId="563EED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625" w:type="pct"/>
            <w:tcBorders>
              <w:top w:val="nil"/>
              <w:left w:val="double" w:sz="6" w:space="0" w:color="002060"/>
              <w:bottom w:val="double" w:sz="6" w:space="0" w:color="002060"/>
              <w:right w:val="double" w:sz="6" w:space="0" w:color="002060"/>
            </w:tcBorders>
            <w:shd w:val="clear" w:color="auto" w:fill="auto"/>
            <w:noWrap/>
            <w:vAlign w:val="bottom"/>
            <w:hideMark/>
          </w:tcPr>
          <w:p w14:paraId="4739C1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605" w:type="pct"/>
            <w:tcBorders>
              <w:top w:val="nil"/>
              <w:left w:val="nil"/>
              <w:bottom w:val="double" w:sz="6" w:space="0" w:color="002060"/>
              <w:right w:val="double" w:sz="6" w:space="0" w:color="002060"/>
            </w:tcBorders>
            <w:shd w:val="clear" w:color="auto" w:fill="auto"/>
            <w:noWrap/>
            <w:vAlign w:val="bottom"/>
            <w:hideMark/>
          </w:tcPr>
          <w:p w14:paraId="0DB140B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89%</w:t>
            </w:r>
          </w:p>
        </w:tc>
        <w:tc>
          <w:tcPr>
            <w:tcW w:w="778" w:type="pct"/>
            <w:tcBorders>
              <w:top w:val="nil"/>
              <w:left w:val="nil"/>
              <w:bottom w:val="double" w:sz="6" w:space="0" w:color="002060"/>
              <w:right w:val="double" w:sz="6" w:space="0" w:color="002060"/>
            </w:tcBorders>
            <w:shd w:val="clear" w:color="auto" w:fill="auto"/>
            <w:noWrap/>
            <w:vAlign w:val="bottom"/>
            <w:hideMark/>
          </w:tcPr>
          <w:p w14:paraId="640D3A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605" w:type="pct"/>
            <w:tcBorders>
              <w:top w:val="nil"/>
              <w:left w:val="nil"/>
              <w:bottom w:val="double" w:sz="6" w:space="0" w:color="002060"/>
              <w:right w:val="double" w:sz="6" w:space="0" w:color="002060"/>
            </w:tcBorders>
            <w:shd w:val="clear" w:color="auto" w:fill="auto"/>
            <w:noWrap/>
            <w:vAlign w:val="bottom"/>
            <w:hideMark/>
          </w:tcPr>
          <w:p w14:paraId="6A90B2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344" w:type="pct"/>
            <w:tcBorders>
              <w:top w:val="nil"/>
              <w:left w:val="nil"/>
              <w:bottom w:val="double" w:sz="6" w:space="0" w:color="002060"/>
              <w:right w:val="double" w:sz="6" w:space="0" w:color="002060"/>
            </w:tcBorders>
            <w:shd w:val="clear" w:color="auto" w:fill="auto"/>
            <w:noWrap/>
            <w:vAlign w:val="bottom"/>
            <w:hideMark/>
          </w:tcPr>
          <w:p w14:paraId="4C102C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r>
      <w:tr w:rsidR="00B15F7D" w:rsidRPr="00990FB6" w14:paraId="2A096004" w14:textId="77777777" w:rsidTr="000A0C22">
        <w:trPr>
          <w:trHeight w:val="330"/>
        </w:trPr>
        <w:tc>
          <w:tcPr>
            <w:tcW w:w="2044" w:type="pct"/>
            <w:tcBorders>
              <w:top w:val="nil"/>
              <w:left w:val="double" w:sz="6" w:space="0" w:color="002060"/>
              <w:bottom w:val="single" w:sz="4" w:space="0" w:color="auto"/>
              <w:right w:val="nil"/>
            </w:tcBorders>
            <w:shd w:val="clear" w:color="auto" w:fill="auto"/>
            <w:noWrap/>
            <w:vAlign w:val="bottom"/>
            <w:hideMark/>
          </w:tcPr>
          <w:p w14:paraId="4E21EE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625" w:type="pct"/>
            <w:tcBorders>
              <w:top w:val="nil"/>
              <w:left w:val="double" w:sz="6" w:space="0" w:color="002060"/>
              <w:bottom w:val="single" w:sz="4" w:space="0" w:color="auto"/>
              <w:right w:val="double" w:sz="6" w:space="0" w:color="002060"/>
            </w:tcBorders>
            <w:shd w:val="clear" w:color="auto" w:fill="auto"/>
            <w:noWrap/>
            <w:vAlign w:val="bottom"/>
            <w:hideMark/>
          </w:tcPr>
          <w:p w14:paraId="06D39A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605" w:type="pct"/>
            <w:tcBorders>
              <w:top w:val="nil"/>
              <w:left w:val="nil"/>
              <w:bottom w:val="single" w:sz="4" w:space="0" w:color="auto"/>
              <w:right w:val="double" w:sz="6" w:space="0" w:color="002060"/>
            </w:tcBorders>
            <w:shd w:val="clear" w:color="auto" w:fill="auto"/>
            <w:noWrap/>
            <w:vAlign w:val="bottom"/>
            <w:hideMark/>
          </w:tcPr>
          <w:p w14:paraId="7EE37A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81%</w:t>
            </w:r>
          </w:p>
        </w:tc>
        <w:tc>
          <w:tcPr>
            <w:tcW w:w="778" w:type="pct"/>
            <w:tcBorders>
              <w:top w:val="nil"/>
              <w:left w:val="nil"/>
              <w:bottom w:val="single" w:sz="4" w:space="0" w:color="auto"/>
              <w:right w:val="double" w:sz="6" w:space="0" w:color="002060"/>
            </w:tcBorders>
            <w:shd w:val="clear" w:color="auto" w:fill="auto"/>
            <w:noWrap/>
            <w:vAlign w:val="bottom"/>
            <w:hideMark/>
          </w:tcPr>
          <w:p w14:paraId="77CD62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605" w:type="pct"/>
            <w:tcBorders>
              <w:top w:val="nil"/>
              <w:left w:val="nil"/>
              <w:bottom w:val="single" w:sz="4" w:space="0" w:color="auto"/>
              <w:right w:val="double" w:sz="6" w:space="0" w:color="002060"/>
            </w:tcBorders>
            <w:shd w:val="clear" w:color="auto" w:fill="auto"/>
            <w:noWrap/>
            <w:vAlign w:val="bottom"/>
            <w:hideMark/>
          </w:tcPr>
          <w:p w14:paraId="1D3711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344" w:type="pct"/>
            <w:tcBorders>
              <w:top w:val="nil"/>
              <w:left w:val="nil"/>
              <w:bottom w:val="single" w:sz="4" w:space="0" w:color="auto"/>
              <w:right w:val="double" w:sz="6" w:space="0" w:color="002060"/>
            </w:tcBorders>
            <w:shd w:val="clear" w:color="auto" w:fill="auto"/>
            <w:noWrap/>
            <w:vAlign w:val="bottom"/>
            <w:hideMark/>
          </w:tcPr>
          <w:p w14:paraId="64A506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r>
    </w:tbl>
    <w:p w14:paraId="44B53FF6"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 xml:space="preserve">Modernización Institucional a partir de la información de los anuarios judiciales suministrada por el Subproceso de Estadística. </w:t>
      </w:r>
    </w:p>
    <w:p w14:paraId="78639748" w14:textId="77777777" w:rsidR="00B15F7D" w:rsidRPr="00990FB6" w:rsidRDefault="00B15F7D" w:rsidP="00B15F7D">
      <w:pPr>
        <w:ind w:left="851" w:right="851" w:firstLine="709"/>
        <w:jc w:val="both"/>
        <w:rPr>
          <w:bCs/>
          <w:color w:val="000000"/>
          <w:sz w:val="22"/>
          <w:szCs w:val="22"/>
          <w:lang w:eastAsia="es-CR"/>
        </w:rPr>
      </w:pPr>
    </w:p>
    <w:p w14:paraId="1FAF99F9"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Respecto a los tres Circuitos Judiciales de San José, se cuenta con una plaza de Trabajadora o Trabajador Social para atender la materia Penal Juvenil. En el caso del Primero y Tercer Circuito Judicial de Alajuela se cuenta con una plaza de Trabajadora o Trabajador Social que atienden de forma conjunta la materia Penal Juvenil y Penal Adulto, mientras que en el II Circuito Judicial de Alajuela la plaza de Trabajadora o Trabajador Social solamente atiende la materia Penal Juvenil y adicionalmente brinda soporte al Circuito Judicial de Puntarenas.</w:t>
      </w:r>
    </w:p>
    <w:p w14:paraId="2EB29FD4" w14:textId="77777777" w:rsidR="00B15F7D" w:rsidRPr="00990FB6" w:rsidRDefault="00B15F7D" w:rsidP="00B15F7D">
      <w:pPr>
        <w:tabs>
          <w:tab w:val="left" w:pos="0"/>
        </w:tabs>
        <w:ind w:left="851" w:right="851" w:firstLine="709"/>
        <w:jc w:val="both"/>
        <w:rPr>
          <w:color w:val="000000"/>
          <w:sz w:val="22"/>
          <w:szCs w:val="22"/>
        </w:rPr>
      </w:pPr>
    </w:p>
    <w:p w14:paraId="15AA4E9A"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El recurso del equipo psicosocial se comparte con la materia Penal Adulta en el caso de Heredia, Cartago, I y II Circuito Judicial de la Zona Sur y II Circuito Judicial de la Zona Atlántica. </w:t>
      </w:r>
    </w:p>
    <w:p w14:paraId="41962178" w14:textId="77777777" w:rsidR="00B15F7D" w:rsidRPr="00990FB6" w:rsidRDefault="00B15F7D" w:rsidP="00B15F7D">
      <w:pPr>
        <w:tabs>
          <w:tab w:val="left" w:pos="0"/>
        </w:tabs>
        <w:ind w:left="851" w:right="851" w:firstLine="709"/>
        <w:jc w:val="both"/>
        <w:rPr>
          <w:color w:val="000000"/>
          <w:sz w:val="22"/>
          <w:szCs w:val="22"/>
        </w:rPr>
      </w:pPr>
    </w:p>
    <w:p w14:paraId="378EC2EC"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lastRenderedPageBreak/>
        <w:t>Para el I Circuito Judicial de la Zona Atlántica se cuenta con una plaza de Psicóloga o Psicólogo para la atención de la materia Penal Adulto y Penal Juvenil. En el caso del I y II Circuito Judicial de Guanacaste se cuenta con una plaza de Trabajadora o Trabajador Social que atiende la materia Penal Juvenil en ambos circuitos judiciales.</w:t>
      </w:r>
    </w:p>
    <w:p w14:paraId="7AD8B8C3" w14:textId="77777777" w:rsidR="00B15F7D" w:rsidRPr="00990FB6" w:rsidRDefault="00B15F7D" w:rsidP="00B15F7D">
      <w:pPr>
        <w:tabs>
          <w:tab w:val="left" w:pos="0"/>
        </w:tabs>
        <w:ind w:left="851" w:right="851" w:firstLine="709"/>
        <w:jc w:val="both"/>
        <w:rPr>
          <w:color w:val="000000"/>
          <w:sz w:val="22"/>
          <w:szCs w:val="22"/>
        </w:rPr>
      </w:pPr>
    </w:p>
    <w:p w14:paraId="673519A8"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 En el </w:t>
      </w:r>
      <w:r w:rsidRPr="00990FB6">
        <w:rPr>
          <w:color w:val="000000"/>
          <w:sz w:val="22"/>
          <w:szCs w:val="22"/>
        </w:rPr>
        <w:fldChar w:fldCharType="begin"/>
      </w:r>
      <w:r w:rsidRPr="00990FB6">
        <w:rPr>
          <w:color w:val="000000"/>
          <w:sz w:val="22"/>
          <w:szCs w:val="22"/>
        </w:rPr>
        <w:instrText xml:space="preserve"> REF _Ref31636350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14</w:t>
      </w:r>
      <w:r w:rsidRPr="00990FB6">
        <w:rPr>
          <w:color w:val="000000"/>
          <w:sz w:val="22"/>
          <w:szCs w:val="22"/>
        </w:rPr>
        <w:fldChar w:fldCharType="end"/>
      </w:r>
      <w:r w:rsidRPr="00990FB6">
        <w:rPr>
          <w:color w:val="000000"/>
          <w:sz w:val="22"/>
          <w:szCs w:val="22"/>
        </w:rPr>
        <w:t xml:space="preserve"> se muestra el comportamiento de las reuniones restaurativas programadas para la materia Penal Juvenil durante el año 2021, para las que se cuenta con un porcentaje de realización promedio de 76% y un porcentaje promedio de no realización equivalente a un 24%.</w:t>
      </w:r>
    </w:p>
    <w:p w14:paraId="7B2635F1" w14:textId="77777777" w:rsidR="00B15F7D" w:rsidRPr="00990FB6" w:rsidRDefault="00B15F7D" w:rsidP="00B15F7D">
      <w:pPr>
        <w:tabs>
          <w:tab w:val="left" w:pos="0"/>
        </w:tabs>
        <w:ind w:left="851" w:right="851" w:firstLine="709"/>
        <w:jc w:val="both"/>
        <w:rPr>
          <w:color w:val="000000"/>
          <w:sz w:val="22"/>
          <w:szCs w:val="22"/>
        </w:rPr>
      </w:pPr>
    </w:p>
    <w:p w14:paraId="03F05EAF"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Por otra parte, se identifica que la mayor cantidad de reuniones restaurativas fueron realizadas en San José, y que es importante indicar que en este caso se cuenta con una plaza de Trabajadora Social o Trabajador Social dedicada de forma exclusiva a la atención de los asuntos en Penal Juvenil y que su cobertura corresponde a los tres Circuitos Judiciales de San José.</w:t>
      </w:r>
    </w:p>
    <w:p w14:paraId="376D0411" w14:textId="77777777" w:rsidR="00B15F7D" w:rsidRPr="00990FB6" w:rsidRDefault="00B15F7D" w:rsidP="00B15F7D">
      <w:pPr>
        <w:tabs>
          <w:tab w:val="left" w:pos="0"/>
        </w:tabs>
        <w:ind w:left="851" w:right="851" w:firstLine="709"/>
        <w:jc w:val="both"/>
        <w:rPr>
          <w:color w:val="000000"/>
          <w:sz w:val="22"/>
          <w:szCs w:val="22"/>
        </w:rPr>
      </w:pPr>
    </w:p>
    <w:p w14:paraId="6C41C542"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segundo lugar, se ubican los Circuitos Judiciales de Alajuela, con 42 reuniones restaurativas realizadas, seguido del Primer Circuito Judicial de la Zona Atlántica con 29 reuniones restaurativas. </w:t>
      </w:r>
    </w:p>
    <w:p w14:paraId="323960F3" w14:textId="77777777" w:rsidR="00B15F7D" w:rsidRPr="00990FB6" w:rsidRDefault="00B15F7D" w:rsidP="00B15F7D">
      <w:pPr>
        <w:tabs>
          <w:tab w:val="left" w:pos="0"/>
        </w:tabs>
        <w:ind w:left="851" w:right="851" w:firstLine="709"/>
        <w:jc w:val="both"/>
        <w:rPr>
          <w:color w:val="000000"/>
          <w:sz w:val="22"/>
          <w:szCs w:val="22"/>
        </w:rPr>
      </w:pPr>
    </w:p>
    <w:p w14:paraId="5E491A60"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En el cuadro siguiente se muestra la cantidad de reuniones restaurativas realizadas de forma mensual por los equipos psicosociales que atienden la materia Penal Juvenil:</w:t>
      </w:r>
    </w:p>
    <w:p w14:paraId="3585B562" w14:textId="77777777" w:rsidR="00B15F7D" w:rsidRPr="00990FB6" w:rsidRDefault="00B15F7D" w:rsidP="00B15F7D">
      <w:pPr>
        <w:tabs>
          <w:tab w:val="left" w:pos="0"/>
        </w:tabs>
        <w:ind w:left="851" w:right="851" w:firstLine="709"/>
        <w:jc w:val="both"/>
        <w:rPr>
          <w:color w:val="000000"/>
          <w:sz w:val="22"/>
          <w:szCs w:val="22"/>
        </w:rPr>
      </w:pPr>
    </w:p>
    <w:p w14:paraId="658C48A4" w14:textId="77777777" w:rsidR="00B15F7D" w:rsidRPr="00990FB6" w:rsidRDefault="00B15F7D" w:rsidP="00B15F7D">
      <w:pPr>
        <w:tabs>
          <w:tab w:val="left" w:pos="0"/>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15</w:t>
      </w:r>
      <w:r w:rsidRPr="00990FB6">
        <w:rPr>
          <w:b/>
          <w:bCs/>
          <w:color w:val="000000"/>
          <w:sz w:val="22"/>
          <w:szCs w:val="22"/>
        </w:rPr>
        <w:fldChar w:fldCharType="end"/>
      </w:r>
      <w:r w:rsidRPr="00990FB6">
        <w:rPr>
          <w:b/>
          <w:bCs/>
          <w:color w:val="000000"/>
          <w:sz w:val="22"/>
          <w:szCs w:val="22"/>
        </w:rPr>
        <w:t>. Reuniones Restaurativas mensuales en materia Penal Juvenil durante el 2021.</w:t>
      </w:r>
    </w:p>
    <w:p w14:paraId="51CBA5D3" w14:textId="77777777" w:rsidR="00B15F7D" w:rsidRPr="00990FB6" w:rsidRDefault="00B15F7D" w:rsidP="00B15F7D">
      <w:pPr>
        <w:tabs>
          <w:tab w:val="left" w:pos="0"/>
        </w:tabs>
        <w:jc w:val="both"/>
        <w:rPr>
          <w:b/>
          <w:bCs/>
          <w:color w:val="000000"/>
          <w:sz w:val="22"/>
          <w:szCs w:val="22"/>
        </w:rPr>
      </w:pPr>
    </w:p>
    <w:tbl>
      <w:tblPr>
        <w:tblW w:w="8500" w:type="dxa"/>
        <w:tblCellMar>
          <w:left w:w="70" w:type="dxa"/>
          <w:right w:w="70" w:type="dxa"/>
        </w:tblCellMar>
        <w:tblLook w:val="04A0" w:firstRow="1" w:lastRow="0" w:firstColumn="1" w:lastColumn="0" w:noHBand="0" w:noVBand="1"/>
      </w:tblPr>
      <w:tblGrid>
        <w:gridCol w:w="3663"/>
        <w:gridCol w:w="2410"/>
        <w:gridCol w:w="2427"/>
      </w:tblGrid>
      <w:tr w:rsidR="00B15F7D" w:rsidRPr="00990FB6" w14:paraId="671F95DC" w14:textId="77777777" w:rsidTr="000A0C22">
        <w:trPr>
          <w:trHeight w:val="330"/>
        </w:trPr>
        <w:tc>
          <w:tcPr>
            <w:tcW w:w="3663" w:type="dxa"/>
            <w:tcBorders>
              <w:top w:val="double" w:sz="6" w:space="0" w:color="002060"/>
              <w:left w:val="double" w:sz="6" w:space="0" w:color="002060"/>
              <w:bottom w:val="double" w:sz="6" w:space="0" w:color="002060"/>
              <w:right w:val="double" w:sz="6" w:space="0" w:color="002060"/>
            </w:tcBorders>
            <w:shd w:val="clear" w:color="000000" w:fill="365F91"/>
            <w:vAlign w:val="center"/>
            <w:hideMark/>
          </w:tcPr>
          <w:p w14:paraId="0CA57F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2410" w:type="dxa"/>
            <w:tcBorders>
              <w:top w:val="double" w:sz="6" w:space="0" w:color="002060"/>
              <w:left w:val="nil"/>
              <w:bottom w:val="nil"/>
              <w:right w:val="double" w:sz="6" w:space="0" w:color="002060"/>
            </w:tcBorders>
            <w:shd w:val="clear" w:color="000000" w:fill="365F91"/>
            <w:noWrap/>
            <w:vAlign w:val="center"/>
            <w:hideMark/>
          </w:tcPr>
          <w:p w14:paraId="440E72F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Realizadas</w:t>
            </w:r>
          </w:p>
        </w:tc>
        <w:tc>
          <w:tcPr>
            <w:tcW w:w="2427" w:type="dxa"/>
            <w:tcBorders>
              <w:top w:val="double" w:sz="6" w:space="0" w:color="002060"/>
              <w:left w:val="nil"/>
              <w:bottom w:val="double" w:sz="6" w:space="0" w:color="002060"/>
              <w:right w:val="double" w:sz="6" w:space="0" w:color="002060"/>
            </w:tcBorders>
            <w:shd w:val="clear" w:color="000000" w:fill="365F91"/>
            <w:noWrap/>
            <w:vAlign w:val="center"/>
            <w:hideMark/>
          </w:tcPr>
          <w:p w14:paraId="795C5B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Realizadas por mes</w:t>
            </w:r>
          </w:p>
        </w:tc>
      </w:tr>
      <w:tr w:rsidR="00B15F7D" w:rsidRPr="00990FB6" w14:paraId="6A6A3AD8"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41C519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José</w:t>
            </w:r>
          </w:p>
        </w:tc>
        <w:tc>
          <w:tcPr>
            <w:tcW w:w="2410" w:type="dxa"/>
            <w:tcBorders>
              <w:top w:val="double" w:sz="6" w:space="0" w:color="002060"/>
              <w:left w:val="double" w:sz="6" w:space="0" w:color="002060"/>
              <w:bottom w:val="double" w:sz="6" w:space="0" w:color="002060"/>
              <w:right w:val="double" w:sz="6" w:space="0" w:color="002060"/>
            </w:tcBorders>
            <w:shd w:val="clear" w:color="auto" w:fill="auto"/>
            <w:noWrap/>
            <w:vAlign w:val="bottom"/>
            <w:hideMark/>
          </w:tcPr>
          <w:p w14:paraId="4178B1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83</w:t>
            </w:r>
          </w:p>
        </w:tc>
        <w:tc>
          <w:tcPr>
            <w:tcW w:w="2427" w:type="dxa"/>
            <w:tcBorders>
              <w:top w:val="nil"/>
              <w:left w:val="nil"/>
              <w:bottom w:val="double" w:sz="6" w:space="0" w:color="002060"/>
              <w:right w:val="double" w:sz="6" w:space="0" w:color="002060"/>
            </w:tcBorders>
            <w:shd w:val="clear" w:color="auto" w:fill="auto"/>
            <w:noWrap/>
            <w:vAlign w:val="bottom"/>
            <w:hideMark/>
          </w:tcPr>
          <w:p w14:paraId="4E3536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r>
      <w:tr w:rsidR="00B15F7D" w:rsidRPr="00990FB6" w14:paraId="1A59847E"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08606C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Puriscal</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7639CE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427" w:type="dxa"/>
            <w:tcBorders>
              <w:top w:val="nil"/>
              <w:left w:val="nil"/>
              <w:bottom w:val="double" w:sz="6" w:space="0" w:color="002060"/>
              <w:right w:val="double" w:sz="6" w:space="0" w:color="002060"/>
            </w:tcBorders>
            <w:shd w:val="clear" w:color="auto" w:fill="auto"/>
            <w:noWrap/>
            <w:vAlign w:val="bottom"/>
            <w:hideMark/>
          </w:tcPr>
          <w:p w14:paraId="22C27D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761316D3"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773C9FC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6BCB66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42</w:t>
            </w:r>
          </w:p>
        </w:tc>
        <w:tc>
          <w:tcPr>
            <w:tcW w:w="2427" w:type="dxa"/>
            <w:tcBorders>
              <w:top w:val="nil"/>
              <w:left w:val="nil"/>
              <w:bottom w:val="double" w:sz="6" w:space="0" w:color="002060"/>
              <w:right w:val="double" w:sz="6" w:space="0" w:color="002060"/>
            </w:tcBorders>
            <w:shd w:val="clear" w:color="auto" w:fill="auto"/>
            <w:noWrap/>
            <w:vAlign w:val="bottom"/>
            <w:hideMark/>
          </w:tcPr>
          <w:p w14:paraId="753B11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324A55E1"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555F9FD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50844A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2427" w:type="dxa"/>
            <w:tcBorders>
              <w:top w:val="nil"/>
              <w:left w:val="nil"/>
              <w:bottom w:val="double" w:sz="6" w:space="0" w:color="002060"/>
              <w:right w:val="double" w:sz="6" w:space="0" w:color="002060"/>
            </w:tcBorders>
            <w:shd w:val="clear" w:color="auto" w:fill="auto"/>
            <w:noWrap/>
            <w:vAlign w:val="bottom"/>
            <w:hideMark/>
          </w:tcPr>
          <w:p w14:paraId="7E1CCF5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1583B5A8"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68CD71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Carlos</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2C892B4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2427" w:type="dxa"/>
            <w:tcBorders>
              <w:top w:val="nil"/>
              <w:left w:val="nil"/>
              <w:bottom w:val="double" w:sz="6" w:space="0" w:color="002060"/>
              <w:right w:val="double" w:sz="6" w:space="0" w:color="002060"/>
            </w:tcBorders>
            <w:shd w:val="clear" w:color="auto" w:fill="auto"/>
            <w:noWrap/>
            <w:vAlign w:val="bottom"/>
            <w:hideMark/>
          </w:tcPr>
          <w:p w14:paraId="254CFC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3C4ACAA0"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78DC9E5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42B40F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w:t>
            </w:r>
          </w:p>
        </w:tc>
        <w:tc>
          <w:tcPr>
            <w:tcW w:w="2427" w:type="dxa"/>
            <w:tcBorders>
              <w:top w:val="nil"/>
              <w:left w:val="nil"/>
              <w:bottom w:val="double" w:sz="6" w:space="0" w:color="002060"/>
              <w:right w:val="double" w:sz="6" w:space="0" w:color="002060"/>
            </w:tcBorders>
            <w:shd w:val="clear" w:color="auto" w:fill="auto"/>
            <w:noWrap/>
            <w:vAlign w:val="bottom"/>
            <w:hideMark/>
          </w:tcPr>
          <w:p w14:paraId="10BCF6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1C4E2C4D"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1C4C22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Turrialba</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2FCDF8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2427" w:type="dxa"/>
            <w:tcBorders>
              <w:top w:val="nil"/>
              <w:left w:val="nil"/>
              <w:bottom w:val="double" w:sz="6" w:space="0" w:color="002060"/>
              <w:right w:val="double" w:sz="6" w:space="0" w:color="002060"/>
            </w:tcBorders>
            <w:shd w:val="clear" w:color="auto" w:fill="auto"/>
            <w:noWrap/>
            <w:vAlign w:val="bottom"/>
            <w:hideMark/>
          </w:tcPr>
          <w:p w14:paraId="0BBAE7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694CD9D0"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7E0653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53C4D5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2427" w:type="dxa"/>
            <w:tcBorders>
              <w:top w:val="nil"/>
              <w:left w:val="nil"/>
              <w:bottom w:val="double" w:sz="6" w:space="0" w:color="002060"/>
              <w:right w:val="double" w:sz="6" w:space="0" w:color="002060"/>
            </w:tcBorders>
            <w:shd w:val="clear" w:color="auto" w:fill="auto"/>
            <w:noWrap/>
            <w:vAlign w:val="bottom"/>
            <w:hideMark/>
          </w:tcPr>
          <w:p w14:paraId="413354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601BCBED"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444CED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Sarapiquí</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564911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2427" w:type="dxa"/>
            <w:tcBorders>
              <w:top w:val="nil"/>
              <w:left w:val="nil"/>
              <w:bottom w:val="double" w:sz="6" w:space="0" w:color="002060"/>
              <w:right w:val="double" w:sz="6" w:space="0" w:color="002060"/>
            </w:tcBorders>
            <w:shd w:val="clear" w:color="auto" w:fill="auto"/>
            <w:noWrap/>
            <w:vAlign w:val="bottom"/>
            <w:hideMark/>
          </w:tcPr>
          <w:p w14:paraId="4C39CA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03F02705"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256B1AFE"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t>I Circuito Judicial de Guanacaste</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18F738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2427" w:type="dxa"/>
            <w:tcBorders>
              <w:top w:val="nil"/>
              <w:left w:val="nil"/>
              <w:bottom w:val="double" w:sz="6" w:space="0" w:color="002060"/>
              <w:right w:val="double" w:sz="6" w:space="0" w:color="002060"/>
            </w:tcBorders>
            <w:shd w:val="clear" w:color="auto" w:fill="auto"/>
            <w:noWrap/>
            <w:vAlign w:val="bottom"/>
            <w:hideMark/>
          </w:tcPr>
          <w:p w14:paraId="5F34B4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42100D2B"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2F159F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Nicoya</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6B8333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2427" w:type="dxa"/>
            <w:tcBorders>
              <w:top w:val="nil"/>
              <w:left w:val="nil"/>
              <w:bottom w:val="double" w:sz="6" w:space="0" w:color="002060"/>
              <w:right w:val="double" w:sz="6" w:space="0" w:color="002060"/>
            </w:tcBorders>
            <w:shd w:val="clear" w:color="auto" w:fill="auto"/>
            <w:noWrap/>
            <w:vAlign w:val="bottom"/>
            <w:hideMark/>
          </w:tcPr>
          <w:p w14:paraId="236057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004FC708"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7CD600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38DD9B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2427" w:type="dxa"/>
            <w:tcBorders>
              <w:top w:val="nil"/>
              <w:left w:val="nil"/>
              <w:bottom w:val="double" w:sz="6" w:space="0" w:color="002060"/>
              <w:right w:val="double" w:sz="6" w:space="0" w:color="002060"/>
            </w:tcBorders>
            <w:shd w:val="clear" w:color="auto" w:fill="auto"/>
            <w:noWrap/>
            <w:vAlign w:val="bottom"/>
            <w:hideMark/>
          </w:tcPr>
          <w:p w14:paraId="289F3F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042D9A4B"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0F9340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Corredores</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1F1934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2427" w:type="dxa"/>
            <w:tcBorders>
              <w:top w:val="nil"/>
              <w:left w:val="nil"/>
              <w:bottom w:val="double" w:sz="6" w:space="0" w:color="002060"/>
              <w:right w:val="double" w:sz="6" w:space="0" w:color="002060"/>
            </w:tcBorders>
            <w:shd w:val="clear" w:color="auto" w:fill="auto"/>
            <w:noWrap/>
            <w:vAlign w:val="bottom"/>
            <w:hideMark/>
          </w:tcPr>
          <w:p w14:paraId="24FC75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50C06438"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6484D801"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Quepos</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575F97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2427" w:type="dxa"/>
            <w:tcBorders>
              <w:top w:val="nil"/>
              <w:left w:val="nil"/>
              <w:bottom w:val="double" w:sz="6" w:space="0" w:color="002060"/>
              <w:right w:val="double" w:sz="6" w:space="0" w:color="002060"/>
            </w:tcBorders>
            <w:shd w:val="clear" w:color="auto" w:fill="auto"/>
            <w:noWrap/>
            <w:vAlign w:val="bottom"/>
            <w:hideMark/>
          </w:tcPr>
          <w:p w14:paraId="093EFEC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2A8F2573"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7FD188F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Buenos Aires</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248056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2427" w:type="dxa"/>
            <w:tcBorders>
              <w:top w:val="nil"/>
              <w:left w:val="nil"/>
              <w:bottom w:val="double" w:sz="6" w:space="0" w:color="002060"/>
              <w:right w:val="double" w:sz="6" w:space="0" w:color="002060"/>
            </w:tcBorders>
            <w:shd w:val="clear" w:color="auto" w:fill="auto"/>
            <w:noWrap/>
            <w:vAlign w:val="bottom"/>
            <w:hideMark/>
          </w:tcPr>
          <w:p w14:paraId="6A8926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589BD9A0"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509C7F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1ED6F9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2427" w:type="dxa"/>
            <w:tcBorders>
              <w:top w:val="nil"/>
              <w:left w:val="nil"/>
              <w:bottom w:val="double" w:sz="6" w:space="0" w:color="002060"/>
              <w:right w:val="double" w:sz="6" w:space="0" w:color="002060"/>
            </w:tcBorders>
            <w:shd w:val="clear" w:color="auto" w:fill="auto"/>
            <w:noWrap/>
            <w:vAlign w:val="bottom"/>
            <w:hideMark/>
          </w:tcPr>
          <w:p w14:paraId="3824033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51907BAB"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6DF8B3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78F80C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2427" w:type="dxa"/>
            <w:tcBorders>
              <w:top w:val="nil"/>
              <w:left w:val="nil"/>
              <w:bottom w:val="double" w:sz="6" w:space="0" w:color="002060"/>
              <w:right w:val="double" w:sz="6" w:space="0" w:color="002060"/>
            </w:tcBorders>
            <w:shd w:val="clear" w:color="auto" w:fill="auto"/>
            <w:noWrap/>
            <w:vAlign w:val="bottom"/>
            <w:hideMark/>
          </w:tcPr>
          <w:p w14:paraId="5EF3FF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76CF9DBB" w14:textId="77777777" w:rsidTr="000A0C22">
        <w:trPr>
          <w:trHeight w:val="330"/>
        </w:trPr>
        <w:tc>
          <w:tcPr>
            <w:tcW w:w="3663" w:type="dxa"/>
            <w:tcBorders>
              <w:top w:val="nil"/>
              <w:left w:val="double" w:sz="6" w:space="0" w:color="002060"/>
              <w:bottom w:val="double" w:sz="6" w:space="0" w:color="002060"/>
              <w:right w:val="nil"/>
            </w:tcBorders>
            <w:shd w:val="clear" w:color="auto" w:fill="auto"/>
            <w:noWrap/>
            <w:vAlign w:val="bottom"/>
            <w:hideMark/>
          </w:tcPr>
          <w:p w14:paraId="2EE53C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2410" w:type="dxa"/>
            <w:tcBorders>
              <w:top w:val="nil"/>
              <w:left w:val="double" w:sz="6" w:space="0" w:color="002060"/>
              <w:bottom w:val="double" w:sz="6" w:space="0" w:color="002060"/>
              <w:right w:val="double" w:sz="6" w:space="0" w:color="002060"/>
            </w:tcBorders>
            <w:shd w:val="clear" w:color="auto" w:fill="auto"/>
            <w:noWrap/>
            <w:vAlign w:val="bottom"/>
            <w:hideMark/>
          </w:tcPr>
          <w:p w14:paraId="2B5535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2427" w:type="dxa"/>
            <w:tcBorders>
              <w:top w:val="nil"/>
              <w:left w:val="nil"/>
              <w:bottom w:val="double" w:sz="6" w:space="0" w:color="002060"/>
              <w:right w:val="double" w:sz="6" w:space="0" w:color="002060"/>
            </w:tcBorders>
            <w:shd w:val="clear" w:color="auto" w:fill="auto"/>
            <w:noWrap/>
            <w:vAlign w:val="bottom"/>
            <w:hideMark/>
          </w:tcPr>
          <w:p w14:paraId="7EE01D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r>
    </w:tbl>
    <w:p w14:paraId="15E2FBA8" w14:textId="77777777" w:rsidR="00B15F7D" w:rsidRPr="00990FB6" w:rsidRDefault="00B15F7D" w:rsidP="00B15F7D">
      <w:pPr>
        <w:rPr>
          <w:b/>
          <w:color w:val="000000"/>
          <w:sz w:val="22"/>
          <w:szCs w:val="22"/>
          <w:lang w:eastAsia="es-CR"/>
        </w:rPr>
      </w:pPr>
    </w:p>
    <w:p w14:paraId="3FDD2516"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de los anuarios judiciales suministrada por el Subproceso de Estadística.</w:t>
      </w:r>
    </w:p>
    <w:p w14:paraId="21E49AA8" w14:textId="77777777" w:rsidR="00B15F7D" w:rsidRPr="00990FB6" w:rsidRDefault="00B15F7D" w:rsidP="00B15F7D">
      <w:pPr>
        <w:tabs>
          <w:tab w:val="left" w:pos="0"/>
        </w:tabs>
        <w:ind w:left="851" w:right="851" w:firstLine="709"/>
        <w:jc w:val="both"/>
        <w:rPr>
          <w:color w:val="000000"/>
          <w:sz w:val="22"/>
          <w:szCs w:val="22"/>
        </w:rPr>
      </w:pPr>
    </w:p>
    <w:p w14:paraId="5A0DD474"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 partir de la información anterior se evidencia que, durante el 2021, los equipos psicosociales de Justicia Restaurativa que atienden Penal Juvenil atendieron en promedio una Reunión Restaurativa, con excepción de San José que atendió 7 reuniones por mes, así como Cartago que atendió 4 reuniones por mes.</w:t>
      </w:r>
    </w:p>
    <w:p w14:paraId="5F9C5389" w14:textId="77777777" w:rsidR="00B15F7D" w:rsidRPr="00990FB6" w:rsidRDefault="00B15F7D" w:rsidP="00B15F7D">
      <w:pPr>
        <w:tabs>
          <w:tab w:val="left" w:pos="0"/>
        </w:tabs>
        <w:ind w:left="851" w:right="851" w:firstLine="709"/>
        <w:jc w:val="both"/>
        <w:rPr>
          <w:color w:val="000000"/>
          <w:sz w:val="22"/>
          <w:szCs w:val="22"/>
        </w:rPr>
      </w:pPr>
    </w:p>
    <w:p w14:paraId="0B3D901B"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w:t>
      </w:r>
      <w:r w:rsidRPr="00990FB6">
        <w:rPr>
          <w:color w:val="000000"/>
          <w:sz w:val="22"/>
          <w:szCs w:val="22"/>
        </w:rPr>
        <w:fldChar w:fldCharType="begin"/>
      </w:r>
      <w:r w:rsidRPr="00990FB6">
        <w:rPr>
          <w:color w:val="000000"/>
          <w:sz w:val="22"/>
          <w:szCs w:val="22"/>
        </w:rPr>
        <w:instrText xml:space="preserve"> REF _Ref31707596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16</w:t>
      </w:r>
      <w:r w:rsidRPr="00990FB6">
        <w:rPr>
          <w:color w:val="000000"/>
          <w:sz w:val="22"/>
          <w:szCs w:val="22"/>
        </w:rPr>
        <w:fldChar w:fldCharType="end"/>
      </w:r>
      <w:r w:rsidRPr="00990FB6">
        <w:rPr>
          <w:color w:val="000000"/>
          <w:sz w:val="22"/>
          <w:szCs w:val="22"/>
        </w:rPr>
        <w:t xml:space="preserve"> se muestra la cantidad de reuniones y el porcentaje respectivo que tuvieron como resultado un acuerdo.</w:t>
      </w:r>
    </w:p>
    <w:p w14:paraId="53CE0D69" w14:textId="77777777" w:rsidR="00B15F7D" w:rsidRPr="00990FB6" w:rsidRDefault="00B15F7D" w:rsidP="00B15F7D">
      <w:pPr>
        <w:tabs>
          <w:tab w:val="left" w:pos="0"/>
        </w:tabs>
        <w:ind w:left="851" w:right="851" w:firstLine="709"/>
        <w:jc w:val="both"/>
        <w:rPr>
          <w:color w:val="000000"/>
          <w:sz w:val="22"/>
          <w:szCs w:val="22"/>
        </w:rPr>
      </w:pPr>
    </w:p>
    <w:p w14:paraId="22E5586D" w14:textId="77777777" w:rsidR="00B15F7D" w:rsidRPr="00990FB6" w:rsidRDefault="00B15F7D" w:rsidP="00B15F7D">
      <w:pPr>
        <w:tabs>
          <w:tab w:val="left" w:pos="0"/>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16</w:t>
      </w:r>
      <w:r w:rsidRPr="00990FB6">
        <w:rPr>
          <w:b/>
          <w:bCs/>
          <w:color w:val="000000"/>
          <w:sz w:val="22"/>
          <w:szCs w:val="22"/>
        </w:rPr>
        <w:fldChar w:fldCharType="end"/>
      </w:r>
      <w:r w:rsidRPr="00990FB6">
        <w:rPr>
          <w:b/>
          <w:bCs/>
          <w:color w:val="000000"/>
          <w:sz w:val="22"/>
          <w:szCs w:val="22"/>
        </w:rPr>
        <w:t>. Detalle de reuniones restaurativas en Penal Juvenil efectuadas durante el 2021</w:t>
      </w:r>
    </w:p>
    <w:p w14:paraId="537E1AEC" w14:textId="77777777" w:rsidR="00B15F7D" w:rsidRPr="00990FB6" w:rsidRDefault="00B15F7D" w:rsidP="00B15F7D">
      <w:pPr>
        <w:tabs>
          <w:tab w:val="left" w:pos="0"/>
        </w:tabs>
        <w:jc w:val="both"/>
        <w:rPr>
          <w:b/>
          <w:bCs/>
          <w:color w:val="000000"/>
          <w:sz w:val="22"/>
          <w:szCs w:val="22"/>
        </w:rPr>
      </w:pPr>
    </w:p>
    <w:tbl>
      <w:tblPr>
        <w:tblW w:w="7420" w:type="dxa"/>
        <w:jc w:val="center"/>
        <w:tblCellMar>
          <w:left w:w="70" w:type="dxa"/>
          <w:right w:w="70" w:type="dxa"/>
        </w:tblCellMar>
        <w:tblLook w:val="04A0" w:firstRow="1" w:lastRow="0" w:firstColumn="1" w:lastColumn="0" w:noHBand="0" w:noVBand="1"/>
      </w:tblPr>
      <w:tblGrid>
        <w:gridCol w:w="3520"/>
        <w:gridCol w:w="1220"/>
        <w:gridCol w:w="1360"/>
        <w:gridCol w:w="1320"/>
      </w:tblGrid>
      <w:tr w:rsidR="00B15F7D" w:rsidRPr="00990FB6" w14:paraId="51871251" w14:textId="77777777" w:rsidTr="000A0C22">
        <w:trPr>
          <w:trHeight w:val="600"/>
          <w:jc w:val="center"/>
        </w:trPr>
        <w:tc>
          <w:tcPr>
            <w:tcW w:w="3520" w:type="dxa"/>
            <w:tcBorders>
              <w:top w:val="double" w:sz="6" w:space="0" w:color="002060"/>
              <w:left w:val="double" w:sz="6" w:space="0" w:color="002060"/>
              <w:bottom w:val="nil"/>
              <w:right w:val="double" w:sz="6" w:space="0" w:color="002060"/>
            </w:tcBorders>
            <w:shd w:val="clear" w:color="000000" w:fill="365F91"/>
            <w:noWrap/>
            <w:vAlign w:val="center"/>
            <w:hideMark/>
          </w:tcPr>
          <w:p w14:paraId="27DBBA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1220" w:type="dxa"/>
            <w:tcBorders>
              <w:top w:val="double" w:sz="6" w:space="0" w:color="002060"/>
              <w:left w:val="nil"/>
              <w:bottom w:val="double" w:sz="6" w:space="0" w:color="203764"/>
              <w:right w:val="double" w:sz="6" w:space="0" w:color="002060"/>
            </w:tcBorders>
            <w:shd w:val="clear" w:color="000000" w:fill="365F91"/>
            <w:noWrap/>
            <w:vAlign w:val="center"/>
            <w:hideMark/>
          </w:tcPr>
          <w:p w14:paraId="33A020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Con acuerdo</w:t>
            </w:r>
          </w:p>
        </w:tc>
        <w:tc>
          <w:tcPr>
            <w:tcW w:w="1360" w:type="dxa"/>
            <w:tcBorders>
              <w:top w:val="double" w:sz="6" w:space="0" w:color="002060"/>
              <w:left w:val="nil"/>
              <w:bottom w:val="double" w:sz="6" w:space="0" w:color="203764"/>
              <w:right w:val="double" w:sz="6" w:space="0" w:color="002060"/>
            </w:tcBorders>
            <w:shd w:val="clear" w:color="000000" w:fill="365F91"/>
            <w:noWrap/>
            <w:vAlign w:val="center"/>
            <w:hideMark/>
          </w:tcPr>
          <w:p w14:paraId="20FB2EE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Sin acuerdo</w:t>
            </w:r>
          </w:p>
        </w:tc>
        <w:tc>
          <w:tcPr>
            <w:tcW w:w="1320" w:type="dxa"/>
            <w:tcBorders>
              <w:top w:val="double" w:sz="6" w:space="0" w:color="002060"/>
              <w:left w:val="nil"/>
              <w:bottom w:val="double" w:sz="6" w:space="0" w:color="203764"/>
              <w:right w:val="double" w:sz="6" w:space="0" w:color="002060"/>
            </w:tcBorders>
            <w:shd w:val="clear" w:color="000000" w:fill="365F91"/>
            <w:vAlign w:val="center"/>
            <w:hideMark/>
          </w:tcPr>
          <w:p w14:paraId="5F4412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Porcentaje sin acuerdo</w:t>
            </w:r>
          </w:p>
        </w:tc>
      </w:tr>
      <w:tr w:rsidR="00B15F7D" w:rsidRPr="00990FB6" w14:paraId="42D1B7C0" w14:textId="77777777" w:rsidTr="000A0C22">
        <w:trPr>
          <w:trHeight w:val="330"/>
          <w:jc w:val="center"/>
        </w:trPr>
        <w:tc>
          <w:tcPr>
            <w:tcW w:w="3520" w:type="dxa"/>
            <w:tcBorders>
              <w:top w:val="double" w:sz="6" w:space="0" w:color="002060"/>
              <w:left w:val="double" w:sz="6" w:space="0" w:color="002060"/>
              <w:bottom w:val="double" w:sz="6" w:space="0" w:color="002060"/>
              <w:right w:val="nil"/>
            </w:tcBorders>
            <w:shd w:val="clear" w:color="auto" w:fill="auto"/>
            <w:noWrap/>
            <w:vAlign w:val="bottom"/>
            <w:hideMark/>
          </w:tcPr>
          <w:p w14:paraId="45D688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José</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523B2B6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w:t>
            </w:r>
          </w:p>
        </w:tc>
        <w:tc>
          <w:tcPr>
            <w:tcW w:w="1360" w:type="dxa"/>
            <w:tcBorders>
              <w:top w:val="nil"/>
              <w:left w:val="nil"/>
              <w:bottom w:val="double" w:sz="6" w:space="0" w:color="002060"/>
              <w:right w:val="double" w:sz="6" w:space="0" w:color="002060"/>
            </w:tcBorders>
            <w:shd w:val="clear" w:color="auto" w:fill="auto"/>
            <w:noWrap/>
            <w:vAlign w:val="bottom"/>
            <w:hideMark/>
          </w:tcPr>
          <w:p w14:paraId="42FE29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1320" w:type="dxa"/>
            <w:tcBorders>
              <w:top w:val="nil"/>
              <w:left w:val="nil"/>
              <w:bottom w:val="double" w:sz="6" w:space="0" w:color="002060"/>
              <w:right w:val="double" w:sz="6" w:space="0" w:color="002060"/>
            </w:tcBorders>
            <w:shd w:val="clear" w:color="auto" w:fill="auto"/>
            <w:noWrap/>
            <w:vAlign w:val="bottom"/>
            <w:hideMark/>
          </w:tcPr>
          <w:p w14:paraId="2B8FB2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w:t>
            </w:r>
          </w:p>
        </w:tc>
      </w:tr>
      <w:tr w:rsidR="00B15F7D" w:rsidRPr="00990FB6" w14:paraId="2C6E344F"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02830A8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Puriscal</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7838C0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60" w:type="dxa"/>
            <w:tcBorders>
              <w:top w:val="nil"/>
              <w:left w:val="nil"/>
              <w:bottom w:val="double" w:sz="6" w:space="0" w:color="002060"/>
              <w:right w:val="double" w:sz="6" w:space="0" w:color="002060"/>
            </w:tcBorders>
            <w:shd w:val="clear" w:color="auto" w:fill="auto"/>
            <w:noWrap/>
            <w:vAlign w:val="bottom"/>
            <w:hideMark/>
          </w:tcPr>
          <w:p w14:paraId="343263D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0C2CC42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14CE7A17"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1AD985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5D9DE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39</w:t>
            </w:r>
          </w:p>
        </w:tc>
        <w:tc>
          <w:tcPr>
            <w:tcW w:w="1360" w:type="dxa"/>
            <w:tcBorders>
              <w:top w:val="nil"/>
              <w:left w:val="nil"/>
              <w:bottom w:val="double" w:sz="6" w:space="0" w:color="002060"/>
              <w:right w:val="double" w:sz="6" w:space="0" w:color="002060"/>
            </w:tcBorders>
            <w:shd w:val="clear" w:color="auto" w:fill="auto"/>
            <w:noWrap/>
            <w:vAlign w:val="bottom"/>
            <w:hideMark/>
          </w:tcPr>
          <w:p w14:paraId="322DAD8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1320" w:type="dxa"/>
            <w:tcBorders>
              <w:top w:val="nil"/>
              <w:left w:val="nil"/>
              <w:bottom w:val="double" w:sz="6" w:space="0" w:color="002060"/>
              <w:right w:val="double" w:sz="6" w:space="0" w:color="002060"/>
            </w:tcBorders>
            <w:shd w:val="clear" w:color="auto" w:fill="auto"/>
            <w:noWrap/>
            <w:vAlign w:val="bottom"/>
            <w:hideMark/>
          </w:tcPr>
          <w:p w14:paraId="1D6708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r>
      <w:tr w:rsidR="00B15F7D" w:rsidRPr="00990FB6" w14:paraId="6AD4DB13"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502E7F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2EB8A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1360" w:type="dxa"/>
            <w:tcBorders>
              <w:top w:val="nil"/>
              <w:left w:val="nil"/>
              <w:bottom w:val="double" w:sz="6" w:space="0" w:color="002060"/>
              <w:right w:val="double" w:sz="6" w:space="0" w:color="002060"/>
            </w:tcBorders>
            <w:shd w:val="clear" w:color="auto" w:fill="auto"/>
            <w:noWrap/>
            <w:vAlign w:val="bottom"/>
            <w:hideMark/>
          </w:tcPr>
          <w:p w14:paraId="4122266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562880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62798F0C"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02E548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Carlos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310F1C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1360" w:type="dxa"/>
            <w:tcBorders>
              <w:top w:val="nil"/>
              <w:left w:val="nil"/>
              <w:bottom w:val="double" w:sz="6" w:space="0" w:color="002060"/>
              <w:right w:val="double" w:sz="6" w:space="0" w:color="002060"/>
            </w:tcBorders>
            <w:shd w:val="clear" w:color="auto" w:fill="auto"/>
            <w:noWrap/>
            <w:vAlign w:val="bottom"/>
            <w:hideMark/>
          </w:tcPr>
          <w:p w14:paraId="2BCAE3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218766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531EAE71"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6C71A7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5F39D2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w:t>
            </w:r>
          </w:p>
        </w:tc>
        <w:tc>
          <w:tcPr>
            <w:tcW w:w="1360" w:type="dxa"/>
            <w:tcBorders>
              <w:top w:val="nil"/>
              <w:left w:val="nil"/>
              <w:bottom w:val="double" w:sz="6" w:space="0" w:color="002060"/>
              <w:right w:val="double" w:sz="6" w:space="0" w:color="002060"/>
            </w:tcBorders>
            <w:shd w:val="clear" w:color="auto" w:fill="auto"/>
            <w:noWrap/>
            <w:vAlign w:val="bottom"/>
            <w:hideMark/>
          </w:tcPr>
          <w:p w14:paraId="484351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1320" w:type="dxa"/>
            <w:tcBorders>
              <w:top w:val="nil"/>
              <w:left w:val="nil"/>
              <w:bottom w:val="double" w:sz="6" w:space="0" w:color="002060"/>
              <w:right w:val="double" w:sz="6" w:space="0" w:color="002060"/>
            </w:tcBorders>
            <w:shd w:val="clear" w:color="auto" w:fill="auto"/>
            <w:noWrap/>
            <w:vAlign w:val="bottom"/>
            <w:hideMark/>
          </w:tcPr>
          <w:p w14:paraId="59A968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r>
      <w:tr w:rsidR="00B15F7D" w:rsidRPr="00990FB6" w14:paraId="3EC23F55"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5B16FE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Turrialba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1C2923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1360" w:type="dxa"/>
            <w:tcBorders>
              <w:top w:val="nil"/>
              <w:left w:val="nil"/>
              <w:bottom w:val="double" w:sz="6" w:space="0" w:color="002060"/>
              <w:right w:val="double" w:sz="6" w:space="0" w:color="002060"/>
            </w:tcBorders>
            <w:shd w:val="clear" w:color="auto" w:fill="auto"/>
            <w:noWrap/>
            <w:vAlign w:val="bottom"/>
            <w:hideMark/>
          </w:tcPr>
          <w:p w14:paraId="71401CA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439824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7FE59552"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D0469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6D54555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1360" w:type="dxa"/>
            <w:tcBorders>
              <w:top w:val="nil"/>
              <w:left w:val="nil"/>
              <w:bottom w:val="double" w:sz="6" w:space="0" w:color="002060"/>
              <w:right w:val="double" w:sz="6" w:space="0" w:color="002060"/>
            </w:tcBorders>
            <w:shd w:val="clear" w:color="auto" w:fill="auto"/>
            <w:noWrap/>
            <w:vAlign w:val="bottom"/>
            <w:hideMark/>
          </w:tcPr>
          <w:p w14:paraId="575A07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20" w:type="dxa"/>
            <w:tcBorders>
              <w:top w:val="nil"/>
              <w:left w:val="nil"/>
              <w:bottom w:val="double" w:sz="6" w:space="0" w:color="002060"/>
              <w:right w:val="double" w:sz="6" w:space="0" w:color="002060"/>
            </w:tcBorders>
            <w:shd w:val="clear" w:color="auto" w:fill="auto"/>
            <w:noWrap/>
            <w:vAlign w:val="bottom"/>
            <w:hideMark/>
          </w:tcPr>
          <w:p w14:paraId="33EC00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r>
      <w:tr w:rsidR="00B15F7D" w:rsidRPr="00990FB6" w14:paraId="7A5819D1"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259E67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Sarapiquí</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48EBAA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1360" w:type="dxa"/>
            <w:tcBorders>
              <w:top w:val="nil"/>
              <w:left w:val="nil"/>
              <w:bottom w:val="double" w:sz="6" w:space="0" w:color="002060"/>
              <w:right w:val="double" w:sz="6" w:space="0" w:color="002060"/>
            </w:tcBorders>
            <w:shd w:val="clear" w:color="auto" w:fill="auto"/>
            <w:noWrap/>
            <w:vAlign w:val="bottom"/>
            <w:hideMark/>
          </w:tcPr>
          <w:p w14:paraId="13F845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369482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1C24A8EF"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20E35034"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t>I Circuito Judicial de Guanacaste</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4B8896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1360" w:type="dxa"/>
            <w:tcBorders>
              <w:top w:val="nil"/>
              <w:left w:val="nil"/>
              <w:bottom w:val="double" w:sz="6" w:space="0" w:color="002060"/>
              <w:right w:val="double" w:sz="6" w:space="0" w:color="002060"/>
            </w:tcBorders>
            <w:shd w:val="clear" w:color="auto" w:fill="auto"/>
            <w:noWrap/>
            <w:vAlign w:val="bottom"/>
            <w:hideMark/>
          </w:tcPr>
          <w:p w14:paraId="51FB30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2C7193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1E30C41D"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457188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Nicoya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F907E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c>
          <w:tcPr>
            <w:tcW w:w="1360" w:type="dxa"/>
            <w:tcBorders>
              <w:top w:val="nil"/>
              <w:left w:val="nil"/>
              <w:bottom w:val="double" w:sz="6" w:space="0" w:color="002060"/>
              <w:right w:val="double" w:sz="6" w:space="0" w:color="002060"/>
            </w:tcBorders>
            <w:shd w:val="clear" w:color="auto" w:fill="auto"/>
            <w:noWrap/>
            <w:vAlign w:val="bottom"/>
            <w:hideMark/>
          </w:tcPr>
          <w:p w14:paraId="5542DF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019076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5869AA50"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4FE052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6BDBCF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c>
          <w:tcPr>
            <w:tcW w:w="1360" w:type="dxa"/>
            <w:tcBorders>
              <w:top w:val="nil"/>
              <w:left w:val="nil"/>
              <w:bottom w:val="double" w:sz="6" w:space="0" w:color="002060"/>
              <w:right w:val="double" w:sz="6" w:space="0" w:color="002060"/>
            </w:tcBorders>
            <w:shd w:val="clear" w:color="auto" w:fill="auto"/>
            <w:noWrap/>
            <w:vAlign w:val="bottom"/>
            <w:hideMark/>
          </w:tcPr>
          <w:p w14:paraId="6AB5E8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5FAF05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299E9329"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68B7AA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Corredores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6906C9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1360" w:type="dxa"/>
            <w:tcBorders>
              <w:top w:val="nil"/>
              <w:left w:val="nil"/>
              <w:bottom w:val="double" w:sz="6" w:space="0" w:color="002060"/>
              <w:right w:val="double" w:sz="6" w:space="0" w:color="002060"/>
            </w:tcBorders>
            <w:shd w:val="clear" w:color="auto" w:fill="auto"/>
            <w:noWrap/>
            <w:vAlign w:val="bottom"/>
            <w:hideMark/>
          </w:tcPr>
          <w:p w14:paraId="447A481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20" w:type="dxa"/>
            <w:tcBorders>
              <w:top w:val="nil"/>
              <w:left w:val="nil"/>
              <w:bottom w:val="double" w:sz="6" w:space="0" w:color="002060"/>
              <w:right w:val="double" w:sz="6" w:space="0" w:color="002060"/>
            </w:tcBorders>
            <w:shd w:val="clear" w:color="auto" w:fill="auto"/>
            <w:noWrap/>
            <w:vAlign w:val="bottom"/>
            <w:hideMark/>
          </w:tcPr>
          <w:p w14:paraId="222CBE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r>
      <w:tr w:rsidR="00B15F7D" w:rsidRPr="00990FB6" w14:paraId="3833DAE4"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438043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Quepos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AA44A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1360" w:type="dxa"/>
            <w:tcBorders>
              <w:top w:val="nil"/>
              <w:left w:val="nil"/>
              <w:bottom w:val="double" w:sz="6" w:space="0" w:color="002060"/>
              <w:right w:val="double" w:sz="6" w:space="0" w:color="002060"/>
            </w:tcBorders>
            <w:shd w:val="clear" w:color="auto" w:fill="auto"/>
            <w:noWrap/>
            <w:vAlign w:val="bottom"/>
            <w:hideMark/>
          </w:tcPr>
          <w:p w14:paraId="7BC45DA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374A4B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659A51C7"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8611D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Buenos Aires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00C39A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1360" w:type="dxa"/>
            <w:tcBorders>
              <w:top w:val="nil"/>
              <w:left w:val="nil"/>
              <w:bottom w:val="double" w:sz="6" w:space="0" w:color="002060"/>
              <w:right w:val="double" w:sz="6" w:space="0" w:color="002060"/>
            </w:tcBorders>
            <w:shd w:val="clear" w:color="auto" w:fill="auto"/>
            <w:noWrap/>
            <w:vAlign w:val="bottom"/>
            <w:hideMark/>
          </w:tcPr>
          <w:p w14:paraId="6B0ECE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20" w:type="dxa"/>
            <w:tcBorders>
              <w:top w:val="nil"/>
              <w:left w:val="nil"/>
              <w:bottom w:val="double" w:sz="6" w:space="0" w:color="002060"/>
              <w:right w:val="double" w:sz="6" w:space="0" w:color="002060"/>
            </w:tcBorders>
            <w:shd w:val="clear" w:color="auto" w:fill="auto"/>
            <w:noWrap/>
            <w:vAlign w:val="bottom"/>
            <w:hideMark/>
          </w:tcPr>
          <w:p w14:paraId="320E31D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w:t>
            </w:r>
          </w:p>
        </w:tc>
      </w:tr>
      <w:tr w:rsidR="00B15F7D" w:rsidRPr="00990FB6" w14:paraId="41A6F912"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6C402F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7560F8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1360" w:type="dxa"/>
            <w:tcBorders>
              <w:top w:val="nil"/>
              <w:left w:val="nil"/>
              <w:bottom w:val="double" w:sz="6" w:space="0" w:color="002060"/>
              <w:right w:val="double" w:sz="6" w:space="0" w:color="002060"/>
            </w:tcBorders>
            <w:shd w:val="clear" w:color="auto" w:fill="auto"/>
            <w:noWrap/>
            <w:vAlign w:val="bottom"/>
            <w:hideMark/>
          </w:tcPr>
          <w:p w14:paraId="243868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230995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30B9D79A"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DAE04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II Circuito Judicial de la Zona Atlántica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5801B1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1360" w:type="dxa"/>
            <w:tcBorders>
              <w:top w:val="nil"/>
              <w:left w:val="nil"/>
              <w:bottom w:val="double" w:sz="6" w:space="0" w:color="002060"/>
              <w:right w:val="double" w:sz="6" w:space="0" w:color="002060"/>
            </w:tcBorders>
            <w:shd w:val="clear" w:color="auto" w:fill="auto"/>
            <w:noWrap/>
            <w:vAlign w:val="bottom"/>
            <w:hideMark/>
          </w:tcPr>
          <w:p w14:paraId="540B19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48E914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0707EFDD"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649103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A3902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w:t>
            </w:r>
          </w:p>
        </w:tc>
        <w:tc>
          <w:tcPr>
            <w:tcW w:w="1360" w:type="dxa"/>
            <w:tcBorders>
              <w:top w:val="nil"/>
              <w:left w:val="nil"/>
              <w:bottom w:val="double" w:sz="6" w:space="0" w:color="002060"/>
              <w:right w:val="double" w:sz="6" w:space="0" w:color="002060"/>
            </w:tcBorders>
            <w:shd w:val="clear" w:color="auto" w:fill="auto"/>
            <w:noWrap/>
            <w:vAlign w:val="bottom"/>
            <w:hideMark/>
          </w:tcPr>
          <w:p w14:paraId="6813A5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320" w:type="dxa"/>
            <w:tcBorders>
              <w:top w:val="nil"/>
              <w:left w:val="nil"/>
              <w:bottom w:val="double" w:sz="6" w:space="0" w:color="002060"/>
              <w:right w:val="double" w:sz="6" w:space="0" w:color="002060"/>
            </w:tcBorders>
            <w:shd w:val="clear" w:color="auto" w:fill="auto"/>
            <w:noWrap/>
            <w:vAlign w:val="bottom"/>
            <w:hideMark/>
          </w:tcPr>
          <w:p w14:paraId="54C790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64DF87FC"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56899E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Promedio Nacional</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78A268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w:t>
            </w:r>
          </w:p>
        </w:tc>
        <w:tc>
          <w:tcPr>
            <w:tcW w:w="1360" w:type="dxa"/>
            <w:tcBorders>
              <w:top w:val="nil"/>
              <w:left w:val="nil"/>
              <w:bottom w:val="double" w:sz="6" w:space="0" w:color="002060"/>
              <w:right w:val="double" w:sz="6" w:space="0" w:color="002060"/>
            </w:tcBorders>
            <w:shd w:val="clear" w:color="auto" w:fill="auto"/>
            <w:noWrap/>
            <w:vAlign w:val="bottom"/>
            <w:hideMark/>
          </w:tcPr>
          <w:p w14:paraId="09939D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20" w:type="dxa"/>
            <w:tcBorders>
              <w:top w:val="nil"/>
              <w:left w:val="nil"/>
              <w:bottom w:val="double" w:sz="6" w:space="0" w:color="002060"/>
              <w:right w:val="double" w:sz="6" w:space="0" w:color="002060"/>
            </w:tcBorders>
            <w:shd w:val="clear" w:color="auto" w:fill="auto"/>
            <w:noWrap/>
            <w:vAlign w:val="bottom"/>
            <w:hideMark/>
          </w:tcPr>
          <w:p w14:paraId="7F0E5BA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bl>
    <w:p w14:paraId="6E70B8DE" w14:textId="77777777" w:rsidR="00B15F7D" w:rsidRPr="00990FB6" w:rsidRDefault="00B15F7D" w:rsidP="00B15F7D">
      <w:pPr>
        <w:rPr>
          <w:b/>
          <w:color w:val="000000"/>
          <w:sz w:val="22"/>
          <w:szCs w:val="22"/>
          <w:lang w:eastAsia="es-CR"/>
        </w:rPr>
      </w:pPr>
    </w:p>
    <w:p w14:paraId="7571132F"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 xml:space="preserve">Modernización Institucional a partir de la información de los anuarios judiciales suministrada por el Subproceso de Estadística. </w:t>
      </w:r>
    </w:p>
    <w:p w14:paraId="0DF9D9B4" w14:textId="77777777" w:rsidR="00B15F7D" w:rsidRPr="00990FB6" w:rsidRDefault="00B15F7D" w:rsidP="00B15F7D">
      <w:pPr>
        <w:ind w:left="851" w:right="851" w:firstLine="709"/>
        <w:jc w:val="both"/>
        <w:rPr>
          <w:bCs/>
          <w:color w:val="000000"/>
          <w:sz w:val="22"/>
          <w:szCs w:val="22"/>
          <w:lang w:eastAsia="es-CR"/>
        </w:rPr>
      </w:pPr>
    </w:p>
    <w:p w14:paraId="452189F5"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 partir de la información anterior, se tiene que, del total de Reuniones Restaurativas realizadas durante el 2021, se presenta un promedio de 15 reuniones con acuerdo.</w:t>
      </w:r>
    </w:p>
    <w:p w14:paraId="32B6655B" w14:textId="77777777" w:rsidR="00B15F7D" w:rsidRPr="00990FB6" w:rsidRDefault="00B15F7D" w:rsidP="00B15F7D">
      <w:pPr>
        <w:tabs>
          <w:tab w:val="left" w:pos="0"/>
        </w:tabs>
        <w:ind w:left="851" w:right="851" w:firstLine="709"/>
        <w:jc w:val="both"/>
        <w:rPr>
          <w:color w:val="000000"/>
          <w:sz w:val="22"/>
          <w:szCs w:val="22"/>
        </w:rPr>
      </w:pPr>
    </w:p>
    <w:p w14:paraId="1A5B165F"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El establecimiento de este acuerdo en la Reunión Restaurativa implica que, al cumplirse las medidas acordadas (las cuales deben ser sujetas de verificación por parte del equipo psicosocial) se puede dar por terminado el proceso en materia Penal Juvenil.</w:t>
      </w:r>
    </w:p>
    <w:p w14:paraId="33760AD6" w14:textId="77777777" w:rsidR="00B15F7D" w:rsidRPr="00990FB6" w:rsidRDefault="00B15F7D" w:rsidP="00B15F7D">
      <w:pPr>
        <w:tabs>
          <w:tab w:val="left" w:pos="0"/>
        </w:tabs>
        <w:ind w:left="851" w:right="851" w:firstLine="709"/>
        <w:jc w:val="both"/>
        <w:rPr>
          <w:color w:val="000000"/>
          <w:sz w:val="22"/>
          <w:szCs w:val="22"/>
        </w:rPr>
      </w:pPr>
    </w:p>
    <w:p w14:paraId="528A82CA"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Respecto a las Audiencias de Verificación en el cuadro siguiente se muestra el desglose de la cantidad de audiencias realizadas y no realizadas en Penal Juvenil durante el año 2021:</w:t>
      </w:r>
    </w:p>
    <w:p w14:paraId="26C8716D" w14:textId="77777777" w:rsidR="00B15F7D" w:rsidRPr="00990FB6" w:rsidRDefault="00B15F7D" w:rsidP="00B15F7D">
      <w:pPr>
        <w:tabs>
          <w:tab w:val="left" w:pos="0"/>
        </w:tabs>
        <w:ind w:left="851" w:right="851" w:firstLine="709"/>
        <w:jc w:val="both"/>
        <w:rPr>
          <w:color w:val="000000"/>
          <w:sz w:val="22"/>
          <w:szCs w:val="22"/>
        </w:rPr>
      </w:pPr>
    </w:p>
    <w:p w14:paraId="72B4279B" w14:textId="77777777" w:rsidR="00B15F7D" w:rsidRPr="00990FB6" w:rsidRDefault="00B15F7D" w:rsidP="00B15F7D">
      <w:pPr>
        <w:tabs>
          <w:tab w:val="left" w:pos="1701"/>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17</w:t>
      </w:r>
      <w:r w:rsidRPr="00990FB6">
        <w:rPr>
          <w:b/>
          <w:bCs/>
          <w:color w:val="000000"/>
          <w:sz w:val="22"/>
          <w:szCs w:val="22"/>
        </w:rPr>
        <w:fldChar w:fldCharType="end"/>
      </w:r>
      <w:r w:rsidRPr="00990FB6">
        <w:rPr>
          <w:b/>
          <w:bCs/>
          <w:color w:val="000000"/>
          <w:sz w:val="22"/>
          <w:szCs w:val="22"/>
        </w:rPr>
        <w:t>. Detalle de audiencias de verificación en Penal Juvenil efectuadas durante el 2021.</w:t>
      </w:r>
    </w:p>
    <w:p w14:paraId="04604A51" w14:textId="77777777" w:rsidR="00B15F7D" w:rsidRPr="00990FB6" w:rsidRDefault="00B15F7D" w:rsidP="00B15F7D">
      <w:pPr>
        <w:tabs>
          <w:tab w:val="left" w:pos="1701"/>
        </w:tabs>
        <w:jc w:val="both"/>
        <w:rPr>
          <w:b/>
          <w:bCs/>
          <w:color w:val="000000"/>
          <w:sz w:val="22"/>
          <w:szCs w:val="22"/>
        </w:rPr>
      </w:pPr>
    </w:p>
    <w:tbl>
      <w:tblPr>
        <w:tblW w:w="6108" w:type="dxa"/>
        <w:jc w:val="center"/>
        <w:tblCellMar>
          <w:left w:w="70" w:type="dxa"/>
          <w:right w:w="70" w:type="dxa"/>
        </w:tblCellMar>
        <w:tblLook w:val="04A0" w:firstRow="1" w:lastRow="0" w:firstColumn="1" w:lastColumn="0" w:noHBand="0" w:noVBand="1"/>
      </w:tblPr>
      <w:tblGrid>
        <w:gridCol w:w="3520"/>
        <w:gridCol w:w="1139"/>
        <w:gridCol w:w="1449"/>
      </w:tblGrid>
      <w:tr w:rsidR="00B15F7D" w:rsidRPr="00990FB6" w14:paraId="5D20D5B4" w14:textId="77777777" w:rsidTr="000A0C22">
        <w:trPr>
          <w:trHeight w:val="330"/>
          <w:jc w:val="center"/>
        </w:trPr>
        <w:tc>
          <w:tcPr>
            <w:tcW w:w="3520" w:type="dxa"/>
            <w:vMerge w:val="restart"/>
            <w:tcBorders>
              <w:top w:val="double" w:sz="6" w:space="0" w:color="002060"/>
              <w:left w:val="double" w:sz="6" w:space="0" w:color="002060"/>
              <w:bottom w:val="double" w:sz="6" w:space="0" w:color="002060"/>
              <w:right w:val="double" w:sz="6" w:space="0" w:color="002060"/>
            </w:tcBorders>
            <w:shd w:val="clear" w:color="000000" w:fill="365F91"/>
            <w:noWrap/>
            <w:vAlign w:val="center"/>
            <w:hideMark/>
          </w:tcPr>
          <w:p w14:paraId="7D0FB3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2588" w:type="dxa"/>
            <w:gridSpan w:val="2"/>
            <w:tcBorders>
              <w:top w:val="double" w:sz="6" w:space="0" w:color="002060"/>
              <w:left w:val="nil"/>
              <w:bottom w:val="double" w:sz="6" w:space="0" w:color="002060"/>
              <w:right w:val="nil"/>
            </w:tcBorders>
            <w:shd w:val="clear" w:color="000000" w:fill="365F91"/>
            <w:noWrap/>
            <w:vAlign w:val="center"/>
            <w:hideMark/>
          </w:tcPr>
          <w:p w14:paraId="5E5AD1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2021</w:t>
            </w:r>
          </w:p>
        </w:tc>
      </w:tr>
      <w:tr w:rsidR="00B15F7D" w:rsidRPr="00990FB6" w14:paraId="4FB369CE" w14:textId="77777777" w:rsidTr="000A0C22">
        <w:trPr>
          <w:trHeight w:val="330"/>
          <w:jc w:val="center"/>
        </w:trPr>
        <w:tc>
          <w:tcPr>
            <w:tcW w:w="3520" w:type="dxa"/>
            <w:vMerge/>
            <w:tcBorders>
              <w:top w:val="double" w:sz="6" w:space="0" w:color="002060"/>
              <w:left w:val="double" w:sz="6" w:space="0" w:color="002060"/>
              <w:bottom w:val="double" w:sz="6" w:space="0" w:color="002060"/>
              <w:right w:val="double" w:sz="6" w:space="0" w:color="002060"/>
            </w:tcBorders>
            <w:vAlign w:val="center"/>
            <w:hideMark/>
          </w:tcPr>
          <w:p w14:paraId="4FB34071" w14:textId="77777777" w:rsidR="00B15F7D" w:rsidRPr="00990FB6" w:rsidRDefault="00B15F7D" w:rsidP="00B15F7D">
            <w:pPr>
              <w:rPr>
                <w:color w:val="000000"/>
                <w:sz w:val="22"/>
                <w:szCs w:val="22"/>
                <w:lang w:eastAsia="es-CR"/>
              </w:rPr>
            </w:pPr>
          </w:p>
        </w:tc>
        <w:tc>
          <w:tcPr>
            <w:tcW w:w="1139" w:type="dxa"/>
            <w:tcBorders>
              <w:top w:val="nil"/>
              <w:left w:val="nil"/>
              <w:bottom w:val="double" w:sz="6" w:space="0" w:color="002060"/>
              <w:right w:val="double" w:sz="6" w:space="0" w:color="002060"/>
            </w:tcBorders>
            <w:shd w:val="clear" w:color="000000" w:fill="365F91"/>
            <w:noWrap/>
            <w:vAlign w:val="center"/>
            <w:hideMark/>
          </w:tcPr>
          <w:p w14:paraId="2ABC18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Realizadas</w:t>
            </w:r>
          </w:p>
        </w:tc>
        <w:tc>
          <w:tcPr>
            <w:tcW w:w="1449" w:type="dxa"/>
            <w:tcBorders>
              <w:top w:val="nil"/>
              <w:left w:val="nil"/>
              <w:bottom w:val="double" w:sz="6" w:space="0" w:color="002060"/>
              <w:right w:val="double" w:sz="6" w:space="0" w:color="002060"/>
            </w:tcBorders>
            <w:shd w:val="clear" w:color="000000" w:fill="365F91"/>
            <w:noWrap/>
            <w:vAlign w:val="center"/>
            <w:hideMark/>
          </w:tcPr>
          <w:p w14:paraId="0CF28A6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No realizadas</w:t>
            </w:r>
          </w:p>
        </w:tc>
      </w:tr>
      <w:tr w:rsidR="00B15F7D" w:rsidRPr="00990FB6" w14:paraId="0C3CC5B7"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0EED1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José</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54D53D6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1449" w:type="dxa"/>
            <w:tcBorders>
              <w:top w:val="nil"/>
              <w:left w:val="nil"/>
              <w:bottom w:val="double" w:sz="6" w:space="0" w:color="002060"/>
              <w:right w:val="double" w:sz="6" w:space="0" w:color="002060"/>
            </w:tcBorders>
            <w:shd w:val="clear" w:color="auto" w:fill="auto"/>
            <w:noWrap/>
            <w:vAlign w:val="bottom"/>
            <w:hideMark/>
          </w:tcPr>
          <w:p w14:paraId="13A06B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r>
      <w:tr w:rsidR="00B15F7D" w:rsidRPr="00990FB6" w14:paraId="12179799"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1279B6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Puriscal</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625E0E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1449" w:type="dxa"/>
            <w:tcBorders>
              <w:top w:val="nil"/>
              <w:left w:val="nil"/>
              <w:bottom w:val="double" w:sz="6" w:space="0" w:color="002060"/>
              <w:right w:val="double" w:sz="6" w:space="0" w:color="002060"/>
            </w:tcBorders>
            <w:shd w:val="clear" w:color="auto" w:fill="auto"/>
            <w:noWrap/>
            <w:vAlign w:val="bottom"/>
            <w:hideMark/>
          </w:tcPr>
          <w:p w14:paraId="4D7164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r>
      <w:tr w:rsidR="00B15F7D" w:rsidRPr="00990FB6" w14:paraId="209EF5BD"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2E1F72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07744D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449" w:type="dxa"/>
            <w:tcBorders>
              <w:top w:val="nil"/>
              <w:left w:val="nil"/>
              <w:bottom w:val="double" w:sz="6" w:space="0" w:color="002060"/>
              <w:right w:val="double" w:sz="6" w:space="0" w:color="002060"/>
            </w:tcBorders>
            <w:shd w:val="clear" w:color="auto" w:fill="auto"/>
            <w:noWrap/>
            <w:vAlign w:val="bottom"/>
            <w:hideMark/>
          </w:tcPr>
          <w:p w14:paraId="13D9AB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7567D88E"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0D46195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55471BF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1449" w:type="dxa"/>
            <w:tcBorders>
              <w:top w:val="nil"/>
              <w:left w:val="nil"/>
              <w:bottom w:val="double" w:sz="6" w:space="0" w:color="002060"/>
              <w:right w:val="double" w:sz="6" w:space="0" w:color="002060"/>
            </w:tcBorders>
            <w:shd w:val="clear" w:color="auto" w:fill="auto"/>
            <w:noWrap/>
            <w:vAlign w:val="bottom"/>
            <w:hideMark/>
          </w:tcPr>
          <w:p w14:paraId="240881C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55D0885F"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2BEBA5F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0A49C6D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1449" w:type="dxa"/>
            <w:tcBorders>
              <w:top w:val="nil"/>
              <w:left w:val="nil"/>
              <w:bottom w:val="double" w:sz="6" w:space="0" w:color="002060"/>
              <w:right w:val="double" w:sz="6" w:space="0" w:color="002060"/>
            </w:tcBorders>
            <w:shd w:val="clear" w:color="auto" w:fill="auto"/>
            <w:noWrap/>
            <w:vAlign w:val="bottom"/>
            <w:hideMark/>
          </w:tcPr>
          <w:p w14:paraId="4B5D4F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417FB4D1"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C0C8A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48325F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1449" w:type="dxa"/>
            <w:tcBorders>
              <w:top w:val="nil"/>
              <w:left w:val="nil"/>
              <w:bottom w:val="double" w:sz="6" w:space="0" w:color="002060"/>
              <w:right w:val="double" w:sz="6" w:space="0" w:color="002060"/>
            </w:tcBorders>
            <w:shd w:val="clear" w:color="auto" w:fill="auto"/>
            <w:noWrap/>
            <w:vAlign w:val="bottom"/>
            <w:hideMark/>
          </w:tcPr>
          <w:p w14:paraId="4F7473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r>
      <w:tr w:rsidR="00B15F7D" w:rsidRPr="00990FB6" w14:paraId="1A0EC51A"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5B487C0F"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t>I Circuito Judicial de Guanacaste</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06CC25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1449" w:type="dxa"/>
            <w:tcBorders>
              <w:top w:val="nil"/>
              <w:left w:val="nil"/>
              <w:bottom w:val="double" w:sz="6" w:space="0" w:color="002060"/>
              <w:right w:val="double" w:sz="6" w:space="0" w:color="002060"/>
            </w:tcBorders>
            <w:shd w:val="clear" w:color="auto" w:fill="auto"/>
            <w:noWrap/>
            <w:vAlign w:val="bottom"/>
            <w:hideMark/>
          </w:tcPr>
          <w:p w14:paraId="60D6588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r>
      <w:tr w:rsidR="00B15F7D" w:rsidRPr="00990FB6" w14:paraId="6426CDB5"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43AC47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Corredores</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4346411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1449" w:type="dxa"/>
            <w:tcBorders>
              <w:top w:val="nil"/>
              <w:left w:val="nil"/>
              <w:bottom w:val="double" w:sz="6" w:space="0" w:color="002060"/>
              <w:right w:val="double" w:sz="6" w:space="0" w:color="002060"/>
            </w:tcBorders>
            <w:shd w:val="clear" w:color="auto" w:fill="auto"/>
            <w:noWrap/>
            <w:vAlign w:val="bottom"/>
            <w:hideMark/>
          </w:tcPr>
          <w:p w14:paraId="793AE9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349AEC71"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FAE79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2388B63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1449" w:type="dxa"/>
            <w:tcBorders>
              <w:top w:val="nil"/>
              <w:left w:val="nil"/>
              <w:bottom w:val="double" w:sz="6" w:space="0" w:color="002060"/>
              <w:right w:val="double" w:sz="6" w:space="0" w:color="002060"/>
            </w:tcBorders>
            <w:shd w:val="clear" w:color="auto" w:fill="auto"/>
            <w:noWrap/>
            <w:vAlign w:val="bottom"/>
            <w:hideMark/>
          </w:tcPr>
          <w:p w14:paraId="4EC3478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489CAE57"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66D76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2079488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1449" w:type="dxa"/>
            <w:tcBorders>
              <w:top w:val="nil"/>
              <w:left w:val="nil"/>
              <w:bottom w:val="double" w:sz="6" w:space="0" w:color="002060"/>
              <w:right w:val="double" w:sz="6" w:space="0" w:color="002060"/>
            </w:tcBorders>
            <w:shd w:val="clear" w:color="auto" w:fill="auto"/>
            <w:noWrap/>
            <w:vAlign w:val="bottom"/>
            <w:hideMark/>
          </w:tcPr>
          <w:p w14:paraId="67E148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098ACC6A" w14:textId="77777777" w:rsidTr="000A0C22">
        <w:trPr>
          <w:trHeight w:val="330"/>
          <w:jc w:val="center"/>
        </w:trPr>
        <w:tc>
          <w:tcPr>
            <w:tcW w:w="3520" w:type="dxa"/>
            <w:tcBorders>
              <w:top w:val="nil"/>
              <w:left w:val="double" w:sz="6" w:space="0" w:color="002060"/>
              <w:bottom w:val="double" w:sz="6" w:space="0" w:color="002060"/>
              <w:right w:val="nil"/>
            </w:tcBorders>
            <w:shd w:val="clear" w:color="auto" w:fill="auto"/>
            <w:noWrap/>
            <w:vAlign w:val="bottom"/>
            <w:hideMark/>
          </w:tcPr>
          <w:p w14:paraId="3DD90E3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1139" w:type="dxa"/>
            <w:tcBorders>
              <w:top w:val="nil"/>
              <w:left w:val="double" w:sz="6" w:space="0" w:color="002060"/>
              <w:bottom w:val="double" w:sz="6" w:space="0" w:color="002060"/>
              <w:right w:val="double" w:sz="6" w:space="0" w:color="002060"/>
            </w:tcBorders>
            <w:shd w:val="clear" w:color="auto" w:fill="auto"/>
            <w:noWrap/>
            <w:vAlign w:val="bottom"/>
            <w:hideMark/>
          </w:tcPr>
          <w:p w14:paraId="4B02CF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1449" w:type="dxa"/>
            <w:tcBorders>
              <w:top w:val="nil"/>
              <w:left w:val="nil"/>
              <w:bottom w:val="double" w:sz="6" w:space="0" w:color="002060"/>
              <w:right w:val="double" w:sz="6" w:space="0" w:color="002060"/>
            </w:tcBorders>
            <w:shd w:val="clear" w:color="auto" w:fill="auto"/>
            <w:noWrap/>
            <w:vAlign w:val="bottom"/>
            <w:hideMark/>
          </w:tcPr>
          <w:p w14:paraId="45DEA5C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bl>
    <w:p w14:paraId="2CD0C16C" w14:textId="77777777" w:rsidR="00B15F7D" w:rsidRPr="00990FB6" w:rsidRDefault="00B15F7D" w:rsidP="00B15F7D">
      <w:pPr>
        <w:rPr>
          <w:b/>
          <w:color w:val="000000"/>
          <w:sz w:val="22"/>
          <w:szCs w:val="22"/>
          <w:lang w:eastAsia="es-CR"/>
        </w:rPr>
      </w:pPr>
    </w:p>
    <w:p w14:paraId="5F990793"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 xml:space="preserve">Modernización Institucional a partir de la información de los anuarios judiciales suministrada por el Subproceso de Estadística. </w:t>
      </w:r>
    </w:p>
    <w:p w14:paraId="0CC48D37" w14:textId="77777777" w:rsidR="00B15F7D" w:rsidRPr="00990FB6" w:rsidRDefault="00B15F7D" w:rsidP="00B15F7D">
      <w:pPr>
        <w:ind w:left="851" w:right="851" w:firstLine="709"/>
        <w:jc w:val="both"/>
        <w:rPr>
          <w:bCs/>
          <w:color w:val="000000"/>
          <w:sz w:val="22"/>
          <w:szCs w:val="22"/>
          <w:lang w:eastAsia="es-CR"/>
        </w:rPr>
      </w:pPr>
    </w:p>
    <w:p w14:paraId="6B6A1F4A"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En total se realizaron 75 audiencias de verificación, siendo que el mayor número fue ejecutado por los equipos de San José.</w:t>
      </w:r>
    </w:p>
    <w:p w14:paraId="613F4F72" w14:textId="77777777" w:rsidR="00B15F7D" w:rsidRPr="00990FB6" w:rsidRDefault="00B15F7D" w:rsidP="00B15F7D">
      <w:pPr>
        <w:tabs>
          <w:tab w:val="left" w:pos="0"/>
        </w:tabs>
        <w:ind w:left="851" w:right="851" w:firstLine="709"/>
        <w:jc w:val="both"/>
        <w:rPr>
          <w:color w:val="000000"/>
          <w:sz w:val="22"/>
          <w:szCs w:val="22"/>
        </w:rPr>
      </w:pPr>
    </w:p>
    <w:p w14:paraId="54D7A21A"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 continuación, se muestra el detalle de las audiencias de seguimiento realizadas por los equipos psicosociales que atienden la materia Penal Juvenil en Justicia Restaurativa:</w:t>
      </w:r>
    </w:p>
    <w:p w14:paraId="6F72A98B" w14:textId="77777777" w:rsidR="00B15F7D" w:rsidRPr="00990FB6" w:rsidRDefault="00B15F7D" w:rsidP="00B15F7D">
      <w:pPr>
        <w:tabs>
          <w:tab w:val="left" w:pos="0"/>
        </w:tabs>
        <w:ind w:left="851" w:right="851" w:firstLine="709"/>
        <w:jc w:val="both"/>
        <w:rPr>
          <w:color w:val="000000"/>
          <w:sz w:val="22"/>
          <w:szCs w:val="22"/>
        </w:rPr>
      </w:pPr>
    </w:p>
    <w:p w14:paraId="1CDF1B21" w14:textId="77777777" w:rsidR="00B15F7D" w:rsidRPr="00990FB6" w:rsidRDefault="00B15F7D" w:rsidP="00B15F7D">
      <w:pPr>
        <w:tabs>
          <w:tab w:val="left" w:pos="1701"/>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18</w:t>
      </w:r>
      <w:r w:rsidRPr="00990FB6">
        <w:rPr>
          <w:b/>
          <w:bCs/>
          <w:color w:val="000000"/>
          <w:sz w:val="22"/>
          <w:szCs w:val="22"/>
        </w:rPr>
        <w:fldChar w:fldCharType="end"/>
      </w:r>
      <w:r w:rsidRPr="00990FB6">
        <w:rPr>
          <w:b/>
          <w:bCs/>
          <w:color w:val="000000"/>
          <w:sz w:val="22"/>
          <w:szCs w:val="22"/>
        </w:rPr>
        <w:t>. Detalle de audiencias de seguimiento en Penal Juvenil efectuadas durante el 2021.</w:t>
      </w:r>
    </w:p>
    <w:p w14:paraId="36208E8A" w14:textId="77777777" w:rsidR="00B15F7D" w:rsidRPr="00990FB6" w:rsidRDefault="00B15F7D" w:rsidP="00B15F7D">
      <w:pPr>
        <w:tabs>
          <w:tab w:val="left" w:pos="1701"/>
        </w:tabs>
        <w:jc w:val="both"/>
        <w:rPr>
          <w:b/>
          <w:bCs/>
          <w:color w:val="000000"/>
          <w:sz w:val="22"/>
          <w:szCs w:val="22"/>
        </w:rPr>
      </w:pPr>
    </w:p>
    <w:tbl>
      <w:tblPr>
        <w:tblW w:w="4740" w:type="dxa"/>
        <w:jc w:val="center"/>
        <w:tblCellMar>
          <w:left w:w="70" w:type="dxa"/>
          <w:right w:w="70" w:type="dxa"/>
        </w:tblCellMar>
        <w:tblLook w:val="04A0" w:firstRow="1" w:lastRow="0" w:firstColumn="1" w:lastColumn="0" w:noHBand="0" w:noVBand="1"/>
      </w:tblPr>
      <w:tblGrid>
        <w:gridCol w:w="3520"/>
        <w:gridCol w:w="1220"/>
      </w:tblGrid>
      <w:tr w:rsidR="00B15F7D" w:rsidRPr="00990FB6" w14:paraId="4D9E807D" w14:textId="77777777" w:rsidTr="000A0C22">
        <w:trPr>
          <w:trHeight w:val="330"/>
          <w:jc w:val="center"/>
        </w:trPr>
        <w:tc>
          <w:tcPr>
            <w:tcW w:w="3520" w:type="dxa"/>
            <w:tcBorders>
              <w:top w:val="double" w:sz="6" w:space="0" w:color="002060"/>
              <w:left w:val="double" w:sz="6" w:space="0" w:color="002060"/>
              <w:bottom w:val="double" w:sz="6" w:space="0" w:color="203764"/>
              <w:right w:val="double" w:sz="6" w:space="0" w:color="002060"/>
            </w:tcBorders>
            <w:shd w:val="clear" w:color="000000" w:fill="365F91"/>
            <w:noWrap/>
            <w:vAlign w:val="center"/>
            <w:hideMark/>
          </w:tcPr>
          <w:p w14:paraId="1A091D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 Judicial</w:t>
            </w:r>
          </w:p>
        </w:tc>
        <w:tc>
          <w:tcPr>
            <w:tcW w:w="1220" w:type="dxa"/>
            <w:tcBorders>
              <w:top w:val="double" w:sz="6" w:space="0" w:color="002060"/>
              <w:left w:val="nil"/>
              <w:bottom w:val="double" w:sz="6" w:space="0" w:color="203764"/>
              <w:right w:val="double" w:sz="6" w:space="0" w:color="002060"/>
            </w:tcBorders>
            <w:shd w:val="clear" w:color="000000" w:fill="365F91"/>
            <w:noWrap/>
            <w:vAlign w:val="center"/>
            <w:hideMark/>
          </w:tcPr>
          <w:p w14:paraId="6ACCCB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Realizadas</w:t>
            </w:r>
          </w:p>
        </w:tc>
      </w:tr>
      <w:tr w:rsidR="00B15F7D" w:rsidRPr="00990FB6" w14:paraId="79A74D9D" w14:textId="77777777" w:rsidTr="000A0C22">
        <w:trPr>
          <w:trHeight w:val="330"/>
          <w:jc w:val="center"/>
        </w:trPr>
        <w:tc>
          <w:tcPr>
            <w:tcW w:w="3520" w:type="dxa"/>
            <w:tcBorders>
              <w:top w:val="nil"/>
              <w:left w:val="double" w:sz="6" w:space="0" w:color="203764"/>
              <w:bottom w:val="double" w:sz="6" w:space="0" w:color="002060"/>
              <w:right w:val="nil"/>
            </w:tcBorders>
            <w:shd w:val="clear" w:color="auto" w:fill="auto"/>
            <w:noWrap/>
            <w:vAlign w:val="bottom"/>
            <w:hideMark/>
          </w:tcPr>
          <w:p w14:paraId="54B409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José</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19D41E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43</w:t>
            </w:r>
          </w:p>
        </w:tc>
      </w:tr>
      <w:tr w:rsidR="00B15F7D" w:rsidRPr="00990FB6" w14:paraId="7944D039" w14:textId="77777777" w:rsidTr="000A0C22">
        <w:trPr>
          <w:trHeight w:val="330"/>
          <w:jc w:val="center"/>
        </w:trPr>
        <w:tc>
          <w:tcPr>
            <w:tcW w:w="3520" w:type="dxa"/>
            <w:tcBorders>
              <w:top w:val="nil"/>
              <w:left w:val="double" w:sz="6" w:space="0" w:color="203764"/>
              <w:bottom w:val="double" w:sz="6" w:space="0" w:color="002060"/>
              <w:right w:val="nil"/>
            </w:tcBorders>
            <w:shd w:val="clear" w:color="auto" w:fill="auto"/>
            <w:noWrap/>
            <w:vAlign w:val="bottom"/>
            <w:hideMark/>
          </w:tcPr>
          <w:p w14:paraId="225985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Puriscal</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5F5FCC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0E6D61E5" w14:textId="77777777" w:rsidTr="000A0C22">
        <w:trPr>
          <w:trHeight w:val="330"/>
          <w:jc w:val="center"/>
        </w:trPr>
        <w:tc>
          <w:tcPr>
            <w:tcW w:w="3520" w:type="dxa"/>
            <w:tcBorders>
              <w:top w:val="nil"/>
              <w:left w:val="double" w:sz="6" w:space="0" w:color="203764"/>
              <w:bottom w:val="double" w:sz="6" w:space="0" w:color="002060"/>
              <w:right w:val="nil"/>
            </w:tcBorders>
            <w:shd w:val="clear" w:color="auto" w:fill="auto"/>
            <w:noWrap/>
            <w:vAlign w:val="bottom"/>
            <w:hideMark/>
          </w:tcPr>
          <w:p w14:paraId="5FF502C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557898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r>
      <w:tr w:rsidR="00B15F7D" w:rsidRPr="00990FB6" w14:paraId="1C67AA36" w14:textId="77777777" w:rsidTr="000A0C22">
        <w:trPr>
          <w:trHeight w:val="330"/>
          <w:jc w:val="center"/>
        </w:trPr>
        <w:tc>
          <w:tcPr>
            <w:tcW w:w="3520" w:type="dxa"/>
            <w:tcBorders>
              <w:top w:val="nil"/>
              <w:left w:val="double" w:sz="6" w:space="0" w:color="203764"/>
              <w:bottom w:val="nil"/>
              <w:right w:val="nil"/>
            </w:tcBorders>
            <w:shd w:val="clear" w:color="auto" w:fill="auto"/>
            <w:noWrap/>
            <w:vAlign w:val="bottom"/>
            <w:hideMark/>
          </w:tcPr>
          <w:p w14:paraId="155152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6BE0714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3C6354DF" w14:textId="77777777" w:rsidTr="000A0C22">
        <w:trPr>
          <w:trHeight w:val="330"/>
          <w:jc w:val="center"/>
        </w:trPr>
        <w:tc>
          <w:tcPr>
            <w:tcW w:w="3520" w:type="dxa"/>
            <w:tcBorders>
              <w:top w:val="double" w:sz="6" w:space="0" w:color="002060"/>
              <w:left w:val="double" w:sz="6" w:space="0" w:color="203764"/>
              <w:bottom w:val="double" w:sz="6" w:space="0" w:color="002060"/>
              <w:right w:val="nil"/>
            </w:tcBorders>
            <w:shd w:val="clear" w:color="auto" w:fill="auto"/>
            <w:noWrap/>
            <w:vAlign w:val="bottom"/>
            <w:hideMark/>
          </w:tcPr>
          <w:p w14:paraId="4FF98A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Carlos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3339684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6A2345C7" w14:textId="77777777" w:rsidTr="000A0C22">
        <w:trPr>
          <w:trHeight w:val="330"/>
          <w:jc w:val="center"/>
        </w:trPr>
        <w:tc>
          <w:tcPr>
            <w:tcW w:w="3520" w:type="dxa"/>
            <w:tcBorders>
              <w:top w:val="nil"/>
              <w:left w:val="double" w:sz="6" w:space="0" w:color="203764"/>
              <w:bottom w:val="double" w:sz="6" w:space="0" w:color="002060"/>
              <w:right w:val="nil"/>
            </w:tcBorders>
            <w:shd w:val="clear" w:color="auto" w:fill="auto"/>
            <w:noWrap/>
            <w:vAlign w:val="bottom"/>
            <w:hideMark/>
          </w:tcPr>
          <w:p w14:paraId="49BBD5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45F52F4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r>
      <w:tr w:rsidR="00B15F7D" w:rsidRPr="00990FB6" w14:paraId="2096A434" w14:textId="77777777" w:rsidTr="000A0C22">
        <w:trPr>
          <w:trHeight w:val="330"/>
          <w:jc w:val="center"/>
        </w:trPr>
        <w:tc>
          <w:tcPr>
            <w:tcW w:w="3520" w:type="dxa"/>
            <w:tcBorders>
              <w:top w:val="nil"/>
              <w:left w:val="double" w:sz="6" w:space="0" w:color="203764"/>
              <w:bottom w:val="double" w:sz="6" w:space="0" w:color="002060"/>
              <w:right w:val="nil"/>
            </w:tcBorders>
            <w:shd w:val="clear" w:color="auto" w:fill="auto"/>
            <w:noWrap/>
            <w:vAlign w:val="bottom"/>
            <w:hideMark/>
          </w:tcPr>
          <w:p w14:paraId="6638C9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Turrialba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B9F7D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5CFFEDC3" w14:textId="77777777" w:rsidTr="000A0C22">
        <w:trPr>
          <w:trHeight w:val="330"/>
          <w:jc w:val="center"/>
        </w:trPr>
        <w:tc>
          <w:tcPr>
            <w:tcW w:w="3520" w:type="dxa"/>
            <w:tcBorders>
              <w:top w:val="nil"/>
              <w:left w:val="double" w:sz="6" w:space="0" w:color="203764"/>
              <w:bottom w:val="double" w:sz="6" w:space="0" w:color="002060"/>
              <w:right w:val="nil"/>
            </w:tcBorders>
            <w:shd w:val="clear" w:color="auto" w:fill="auto"/>
            <w:noWrap/>
            <w:vAlign w:val="bottom"/>
            <w:hideMark/>
          </w:tcPr>
          <w:p w14:paraId="4E261F5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78CBB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731734D7"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61513A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Sarapiquí</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043EAA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6EF6AC4E"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5C530E25" w14:textId="77777777" w:rsidR="00B15F7D" w:rsidRPr="00990FB6" w:rsidRDefault="00B15F7D" w:rsidP="00B15F7D">
            <w:pPr>
              <w:jc w:val="center"/>
              <w:rPr>
                <w:color w:val="000000"/>
                <w:sz w:val="22"/>
                <w:szCs w:val="22"/>
                <w:lang w:val="pt-PT" w:eastAsia="es-CR"/>
              </w:rPr>
            </w:pPr>
            <w:r w:rsidRPr="00990FB6">
              <w:rPr>
                <w:color w:val="000000"/>
                <w:sz w:val="22"/>
                <w:szCs w:val="22"/>
                <w:lang w:val="pt-PT" w:eastAsia="es-CR"/>
              </w:rPr>
              <w:t>I Circuito Judicial de Guanacaste</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79528CF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r>
      <w:tr w:rsidR="00B15F7D" w:rsidRPr="00990FB6" w14:paraId="221B2B37"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083D1E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Nicoya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BD193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37A04959"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0755AE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7D22B5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22A3233B"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1B2AA8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Corredores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4E86C0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0C250AD6"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678B42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Quepos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648638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7EA56FDE"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041D5E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Buenos Aires</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75D16F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76CA2DE6"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2BC1897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3AC370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55372B07"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454FC5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2064C71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07B95FA3" w14:textId="77777777" w:rsidTr="000A0C22">
        <w:trPr>
          <w:trHeight w:val="330"/>
          <w:jc w:val="center"/>
        </w:trPr>
        <w:tc>
          <w:tcPr>
            <w:tcW w:w="3520" w:type="dxa"/>
            <w:tcBorders>
              <w:top w:val="nil"/>
              <w:left w:val="double" w:sz="6" w:space="0" w:color="203764"/>
              <w:bottom w:val="double" w:sz="6" w:space="0" w:color="203764"/>
              <w:right w:val="nil"/>
            </w:tcBorders>
            <w:shd w:val="clear" w:color="auto" w:fill="auto"/>
            <w:noWrap/>
            <w:vAlign w:val="bottom"/>
            <w:hideMark/>
          </w:tcPr>
          <w:p w14:paraId="407A8B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1220" w:type="dxa"/>
            <w:tcBorders>
              <w:top w:val="nil"/>
              <w:left w:val="double" w:sz="6" w:space="0" w:color="002060"/>
              <w:bottom w:val="double" w:sz="6" w:space="0" w:color="002060"/>
              <w:right w:val="double" w:sz="6" w:space="0" w:color="002060"/>
            </w:tcBorders>
            <w:shd w:val="clear" w:color="auto" w:fill="auto"/>
            <w:noWrap/>
            <w:vAlign w:val="bottom"/>
            <w:hideMark/>
          </w:tcPr>
          <w:p w14:paraId="384D47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r>
    </w:tbl>
    <w:p w14:paraId="6D96B78B" w14:textId="77777777" w:rsidR="00B15F7D" w:rsidRPr="00990FB6" w:rsidRDefault="00B15F7D" w:rsidP="00B15F7D">
      <w:pPr>
        <w:rPr>
          <w:b/>
          <w:color w:val="000000"/>
          <w:sz w:val="22"/>
          <w:szCs w:val="22"/>
          <w:lang w:eastAsia="es-CR"/>
        </w:rPr>
      </w:pPr>
    </w:p>
    <w:p w14:paraId="4A0C4CB3"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 xml:space="preserve">Modernización Institucional a partir de la información de los anuarios judiciales suministrada por el Subproceso de Estadística. </w:t>
      </w:r>
    </w:p>
    <w:p w14:paraId="54E75CF2" w14:textId="77777777" w:rsidR="00B15F7D" w:rsidRPr="00990FB6" w:rsidRDefault="00B15F7D" w:rsidP="00B15F7D">
      <w:pPr>
        <w:ind w:left="851" w:right="851" w:firstLine="709"/>
        <w:jc w:val="both"/>
        <w:rPr>
          <w:bCs/>
          <w:color w:val="000000"/>
          <w:sz w:val="22"/>
          <w:szCs w:val="22"/>
          <w:lang w:eastAsia="es-CR"/>
        </w:rPr>
      </w:pPr>
    </w:p>
    <w:p w14:paraId="4AE59BA9"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Durante el año 2021 se realizaron un total de 101 audiencias de seguimiento, siendo que la mayoría de estas audiencias fue efectuada por parte del equipo psicosocial que atienden Penal Juvenil en San José. </w:t>
      </w:r>
    </w:p>
    <w:p w14:paraId="659183E0"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 </w:t>
      </w:r>
    </w:p>
    <w:p w14:paraId="1A7D0E48" w14:textId="77777777" w:rsidR="00B15F7D" w:rsidRPr="00990FB6" w:rsidRDefault="00B15F7D" w:rsidP="00B15F7D">
      <w:pPr>
        <w:keepNext/>
        <w:numPr>
          <w:ilvl w:val="1"/>
          <w:numId w:val="154"/>
        </w:numPr>
        <w:suppressAutoHyphens w:val="0"/>
        <w:ind w:left="851" w:right="851" w:firstLine="709"/>
        <w:jc w:val="both"/>
        <w:rPr>
          <w:color w:val="000000"/>
          <w:sz w:val="22"/>
          <w:szCs w:val="22"/>
        </w:rPr>
      </w:pPr>
      <w:r w:rsidRPr="00990FB6">
        <w:rPr>
          <w:color w:val="000000"/>
          <w:sz w:val="22"/>
          <w:szCs w:val="22"/>
        </w:rPr>
        <w:lastRenderedPageBreak/>
        <w:t>Cumplimiento de las cuotas de trabajo establecidas en el informe 726-PLA-RH-MI-2019.</w:t>
      </w:r>
    </w:p>
    <w:p w14:paraId="4A9994D5" w14:textId="77777777" w:rsidR="00B15F7D" w:rsidRPr="00990FB6" w:rsidRDefault="00B15F7D" w:rsidP="00B15F7D">
      <w:pPr>
        <w:keepNext/>
        <w:suppressAutoHyphens w:val="0"/>
        <w:ind w:left="851" w:right="851" w:firstLine="709"/>
        <w:jc w:val="both"/>
        <w:rPr>
          <w:color w:val="000000"/>
          <w:sz w:val="22"/>
          <w:szCs w:val="22"/>
        </w:rPr>
      </w:pPr>
    </w:p>
    <w:p w14:paraId="00EF7D75"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siguiente cuadro se muestra el cumplimiento de los equipos interdisciplinarios con base en la cuota de entrados establecida en el informe 726-PLA-RH-MI-2019. </w:t>
      </w:r>
    </w:p>
    <w:p w14:paraId="7EACAF51" w14:textId="77777777" w:rsidR="00B15F7D" w:rsidRPr="00990FB6" w:rsidRDefault="00B15F7D" w:rsidP="00B15F7D">
      <w:pPr>
        <w:tabs>
          <w:tab w:val="left" w:pos="0"/>
        </w:tabs>
        <w:ind w:left="851" w:right="851" w:firstLine="709"/>
        <w:jc w:val="both"/>
        <w:rPr>
          <w:b/>
          <w:bCs/>
          <w:color w:val="000000"/>
          <w:sz w:val="22"/>
          <w:szCs w:val="22"/>
        </w:rPr>
      </w:pPr>
    </w:p>
    <w:p w14:paraId="41CEB103" w14:textId="77777777" w:rsidR="00B15F7D" w:rsidRPr="00990FB6" w:rsidRDefault="00B15F7D" w:rsidP="00B15F7D">
      <w:pPr>
        <w:tabs>
          <w:tab w:val="left" w:pos="8080"/>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20</w:t>
      </w:r>
      <w:r w:rsidRPr="00990FB6">
        <w:rPr>
          <w:b/>
          <w:bCs/>
          <w:color w:val="000000"/>
          <w:sz w:val="22"/>
          <w:szCs w:val="22"/>
        </w:rPr>
        <w:fldChar w:fldCharType="end"/>
      </w:r>
      <w:r w:rsidRPr="00990FB6">
        <w:rPr>
          <w:b/>
          <w:bCs/>
          <w:color w:val="000000"/>
          <w:sz w:val="22"/>
          <w:szCs w:val="22"/>
        </w:rPr>
        <w:t>. Evaluación del cumplimiento en la entrada de asuntos con base en la cuota de trabajo establecida en el informe 726-PLA-RH-MI-2019</w:t>
      </w:r>
    </w:p>
    <w:p w14:paraId="31698566" w14:textId="77777777" w:rsidR="00B15F7D" w:rsidRPr="00990FB6" w:rsidRDefault="00B15F7D" w:rsidP="00B15F7D">
      <w:pPr>
        <w:tabs>
          <w:tab w:val="left" w:pos="8080"/>
        </w:tabs>
        <w:jc w:val="both"/>
        <w:rPr>
          <w:b/>
          <w:bCs/>
          <w:color w:val="000000"/>
          <w:sz w:val="22"/>
          <w:szCs w:val="22"/>
        </w:rPr>
      </w:pPr>
    </w:p>
    <w:tbl>
      <w:tblPr>
        <w:tblW w:w="7513" w:type="dxa"/>
        <w:tblInd w:w="686" w:type="dxa"/>
        <w:tblCellMar>
          <w:left w:w="70" w:type="dxa"/>
          <w:right w:w="70" w:type="dxa"/>
        </w:tblCellMar>
        <w:tblLook w:val="04A0" w:firstRow="1" w:lastRow="0" w:firstColumn="1" w:lastColumn="0" w:noHBand="0" w:noVBand="1"/>
      </w:tblPr>
      <w:tblGrid>
        <w:gridCol w:w="3260"/>
        <w:gridCol w:w="1276"/>
        <w:gridCol w:w="1559"/>
        <w:gridCol w:w="1418"/>
      </w:tblGrid>
      <w:tr w:rsidR="00B15F7D" w:rsidRPr="00990FB6" w14:paraId="397AA1FA" w14:textId="77777777" w:rsidTr="000A0C22">
        <w:trPr>
          <w:trHeight w:val="600"/>
        </w:trPr>
        <w:tc>
          <w:tcPr>
            <w:tcW w:w="326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382F749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Circuito Judicial</w:t>
            </w:r>
          </w:p>
        </w:tc>
        <w:tc>
          <w:tcPr>
            <w:tcW w:w="1276" w:type="dxa"/>
            <w:tcBorders>
              <w:top w:val="double" w:sz="6" w:space="0" w:color="305496"/>
              <w:left w:val="nil"/>
              <w:bottom w:val="double" w:sz="6" w:space="0" w:color="305496"/>
              <w:right w:val="double" w:sz="6" w:space="0" w:color="305496"/>
            </w:tcBorders>
            <w:shd w:val="clear" w:color="000000" w:fill="B4C6E7"/>
            <w:vAlign w:val="center"/>
            <w:hideMark/>
          </w:tcPr>
          <w:p w14:paraId="0F97C8B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Capacidad entrada</w:t>
            </w:r>
          </w:p>
        </w:tc>
        <w:tc>
          <w:tcPr>
            <w:tcW w:w="1559" w:type="dxa"/>
            <w:tcBorders>
              <w:top w:val="double" w:sz="6" w:space="0" w:color="305496"/>
              <w:left w:val="nil"/>
              <w:bottom w:val="double" w:sz="6" w:space="0" w:color="305496"/>
              <w:right w:val="double" w:sz="6" w:space="0" w:color="305496"/>
            </w:tcBorders>
            <w:shd w:val="clear" w:color="000000" w:fill="B4C6E7"/>
            <w:vAlign w:val="center"/>
            <w:hideMark/>
          </w:tcPr>
          <w:p w14:paraId="4CFB55B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Entrada 2022</w:t>
            </w:r>
          </w:p>
        </w:tc>
        <w:tc>
          <w:tcPr>
            <w:tcW w:w="1418" w:type="dxa"/>
            <w:tcBorders>
              <w:top w:val="double" w:sz="6" w:space="0" w:color="305496"/>
              <w:left w:val="nil"/>
              <w:bottom w:val="double" w:sz="6" w:space="0" w:color="305496"/>
              <w:right w:val="double" w:sz="6" w:space="0" w:color="305496"/>
            </w:tcBorders>
            <w:shd w:val="clear" w:color="000000" w:fill="B4C6E7"/>
            <w:vAlign w:val="center"/>
            <w:hideMark/>
          </w:tcPr>
          <w:p w14:paraId="611338E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Capacidad disponible</w:t>
            </w:r>
          </w:p>
        </w:tc>
      </w:tr>
      <w:tr w:rsidR="00B15F7D" w:rsidRPr="00990FB6" w14:paraId="706B13C5" w14:textId="77777777" w:rsidTr="000A0C22">
        <w:trPr>
          <w:trHeight w:val="330"/>
        </w:trPr>
        <w:tc>
          <w:tcPr>
            <w:tcW w:w="3260" w:type="dxa"/>
            <w:tcBorders>
              <w:top w:val="nil"/>
              <w:left w:val="double" w:sz="6" w:space="0" w:color="305496"/>
              <w:bottom w:val="double" w:sz="6" w:space="0" w:color="305496"/>
              <w:right w:val="double" w:sz="6" w:space="0" w:color="305496"/>
            </w:tcBorders>
            <w:shd w:val="clear" w:color="000000" w:fill="B4C6E7"/>
            <w:vAlign w:val="center"/>
            <w:hideMark/>
          </w:tcPr>
          <w:p w14:paraId="30A4C6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1276" w:type="dxa"/>
            <w:tcBorders>
              <w:top w:val="nil"/>
              <w:left w:val="nil"/>
              <w:bottom w:val="double" w:sz="6" w:space="0" w:color="305496"/>
              <w:right w:val="double" w:sz="6" w:space="0" w:color="305496"/>
            </w:tcBorders>
            <w:shd w:val="clear" w:color="auto" w:fill="auto"/>
            <w:noWrap/>
            <w:vAlign w:val="center"/>
            <w:hideMark/>
          </w:tcPr>
          <w:p w14:paraId="3C532B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1559" w:type="dxa"/>
            <w:tcBorders>
              <w:top w:val="double" w:sz="6" w:space="0" w:color="1F4E78"/>
              <w:left w:val="double" w:sz="6" w:space="0" w:color="1F4E78"/>
              <w:bottom w:val="double" w:sz="6" w:space="0" w:color="1F4E78"/>
              <w:right w:val="double" w:sz="6" w:space="0" w:color="1F4E78"/>
            </w:tcBorders>
            <w:shd w:val="clear" w:color="000000" w:fill="FFFFFF"/>
            <w:noWrap/>
            <w:vAlign w:val="center"/>
            <w:hideMark/>
          </w:tcPr>
          <w:p w14:paraId="5DA56E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45</w:t>
            </w:r>
          </w:p>
        </w:tc>
        <w:tc>
          <w:tcPr>
            <w:tcW w:w="1418" w:type="dxa"/>
            <w:tcBorders>
              <w:top w:val="nil"/>
              <w:left w:val="nil"/>
              <w:bottom w:val="double" w:sz="6" w:space="0" w:color="305496"/>
              <w:right w:val="double" w:sz="6" w:space="0" w:color="305496"/>
            </w:tcBorders>
            <w:shd w:val="clear" w:color="auto" w:fill="auto"/>
            <w:noWrap/>
            <w:vAlign w:val="center"/>
            <w:hideMark/>
          </w:tcPr>
          <w:p w14:paraId="2E8CF3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r>
      <w:tr w:rsidR="00B15F7D" w:rsidRPr="00990FB6" w14:paraId="0372D910" w14:textId="77777777" w:rsidTr="000A0C22">
        <w:trPr>
          <w:trHeight w:val="330"/>
        </w:trPr>
        <w:tc>
          <w:tcPr>
            <w:tcW w:w="3260" w:type="dxa"/>
            <w:tcBorders>
              <w:top w:val="nil"/>
              <w:left w:val="double" w:sz="6" w:space="0" w:color="305496"/>
              <w:bottom w:val="double" w:sz="6" w:space="0" w:color="305496"/>
              <w:right w:val="double" w:sz="6" w:space="0" w:color="305496"/>
            </w:tcBorders>
            <w:shd w:val="clear" w:color="000000" w:fill="B4C6E7"/>
            <w:vAlign w:val="center"/>
            <w:hideMark/>
          </w:tcPr>
          <w:p w14:paraId="56E253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1276" w:type="dxa"/>
            <w:tcBorders>
              <w:top w:val="nil"/>
              <w:left w:val="nil"/>
              <w:bottom w:val="double" w:sz="6" w:space="0" w:color="305496"/>
              <w:right w:val="double" w:sz="6" w:space="0" w:color="305496"/>
            </w:tcBorders>
            <w:shd w:val="clear" w:color="auto" w:fill="auto"/>
            <w:noWrap/>
            <w:vAlign w:val="center"/>
            <w:hideMark/>
          </w:tcPr>
          <w:p w14:paraId="43B65E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1559" w:type="dxa"/>
            <w:tcBorders>
              <w:top w:val="nil"/>
              <w:left w:val="double" w:sz="6" w:space="0" w:color="1F4E78"/>
              <w:bottom w:val="double" w:sz="6" w:space="0" w:color="1F4E78"/>
              <w:right w:val="double" w:sz="6" w:space="0" w:color="1F4E78"/>
            </w:tcBorders>
            <w:shd w:val="clear" w:color="000000" w:fill="FFFFFF"/>
            <w:noWrap/>
            <w:vAlign w:val="center"/>
            <w:hideMark/>
          </w:tcPr>
          <w:p w14:paraId="465266B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c>
          <w:tcPr>
            <w:tcW w:w="1418" w:type="dxa"/>
            <w:tcBorders>
              <w:top w:val="nil"/>
              <w:left w:val="nil"/>
              <w:bottom w:val="double" w:sz="6" w:space="0" w:color="305496"/>
              <w:right w:val="double" w:sz="6" w:space="0" w:color="305496"/>
            </w:tcBorders>
            <w:shd w:val="clear" w:color="auto" w:fill="auto"/>
            <w:noWrap/>
            <w:vAlign w:val="center"/>
            <w:hideMark/>
          </w:tcPr>
          <w:p w14:paraId="623AC3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w:t>
            </w:r>
          </w:p>
        </w:tc>
      </w:tr>
      <w:tr w:rsidR="00B15F7D" w:rsidRPr="00990FB6" w14:paraId="344A3A27" w14:textId="77777777" w:rsidTr="000A0C22">
        <w:trPr>
          <w:trHeight w:val="330"/>
        </w:trPr>
        <w:tc>
          <w:tcPr>
            <w:tcW w:w="3260" w:type="dxa"/>
            <w:tcBorders>
              <w:top w:val="nil"/>
              <w:left w:val="double" w:sz="6" w:space="0" w:color="305496"/>
              <w:bottom w:val="double" w:sz="6" w:space="0" w:color="305496"/>
              <w:right w:val="double" w:sz="6" w:space="0" w:color="305496"/>
            </w:tcBorders>
            <w:shd w:val="clear" w:color="000000" w:fill="B4C6E7"/>
            <w:vAlign w:val="center"/>
            <w:hideMark/>
          </w:tcPr>
          <w:p w14:paraId="67FDFA4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1276" w:type="dxa"/>
            <w:tcBorders>
              <w:top w:val="nil"/>
              <w:left w:val="nil"/>
              <w:bottom w:val="double" w:sz="6" w:space="0" w:color="305496"/>
              <w:right w:val="double" w:sz="6" w:space="0" w:color="305496"/>
            </w:tcBorders>
            <w:shd w:val="clear" w:color="auto" w:fill="auto"/>
            <w:noWrap/>
            <w:vAlign w:val="center"/>
            <w:hideMark/>
          </w:tcPr>
          <w:p w14:paraId="157749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1559" w:type="dxa"/>
            <w:tcBorders>
              <w:top w:val="nil"/>
              <w:left w:val="double" w:sz="6" w:space="0" w:color="1F4E78"/>
              <w:bottom w:val="double" w:sz="6" w:space="0" w:color="1F4E78"/>
              <w:right w:val="double" w:sz="6" w:space="0" w:color="1F4E78"/>
            </w:tcBorders>
            <w:shd w:val="clear" w:color="000000" w:fill="FFFFFF"/>
            <w:noWrap/>
            <w:vAlign w:val="center"/>
            <w:hideMark/>
          </w:tcPr>
          <w:p w14:paraId="1C5975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38</w:t>
            </w:r>
          </w:p>
        </w:tc>
        <w:tc>
          <w:tcPr>
            <w:tcW w:w="1418" w:type="dxa"/>
            <w:tcBorders>
              <w:top w:val="nil"/>
              <w:left w:val="nil"/>
              <w:bottom w:val="double" w:sz="6" w:space="0" w:color="305496"/>
              <w:right w:val="double" w:sz="6" w:space="0" w:color="305496"/>
            </w:tcBorders>
            <w:shd w:val="clear" w:color="auto" w:fill="auto"/>
            <w:noWrap/>
            <w:vAlign w:val="center"/>
            <w:hideMark/>
          </w:tcPr>
          <w:p w14:paraId="2EFCD3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12A56AE1" w14:textId="77777777" w:rsidTr="000A0C22">
        <w:trPr>
          <w:trHeight w:val="330"/>
        </w:trPr>
        <w:tc>
          <w:tcPr>
            <w:tcW w:w="3260" w:type="dxa"/>
            <w:tcBorders>
              <w:top w:val="nil"/>
              <w:left w:val="double" w:sz="6" w:space="0" w:color="305496"/>
              <w:bottom w:val="double" w:sz="6" w:space="0" w:color="305496"/>
              <w:right w:val="double" w:sz="6" w:space="0" w:color="305496"/>
            </w:tcBorders>
            <w:shd w:val="clear" w:color="000000" w:fill="B4C6E7"/>
            <w:vAlign w:val="center"/>
            <w:hideMark/>
          </w:tcPr>
          <w:p w14:paraId="1EA5B8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1276" w:type="dxa"/>
            <w:vMerge w:val="restart"/>
            <w:tcBorders>
              <w:top w:val="nil"/>
              <w:left w:val="double" w:sz="6" w:space="0" w:color="305496"/>
              <w:bottom w:val="double" w:sz="6" w:space="0" w:color="305496"/>
              <w:right w:val="double" w:sz="6" w:space="0" w:color="1F4E78"/>
            </w:tcBorders>
            <w:shd w:val="clear" w:color="auto" w:fill="auto"/>
            <w:noWrap/>
            <w:vAlign w:val="center"/>
            <w:hideMark/>
          </w:tcPr>
          <w:p w14:paraId="56A586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1559" w:type="dxa"/>
            <w:tcBorders>
              <w:top w:val="nil"/>
              <w:left w:val="nil"/>
              <w:bottom w:val="double" w:sz="6" w:space="0" w:color="1F4E78"/>
              <w:right w:val="double" w:sz="6" w:space="0" w:color="1F4E78"/>
            </w:tcBorders>
            <w:shd w:val="clear" w:color="000000" w:fill="FFFFFF"/>
            <w:noWrap/>
            <w:vAlign w:val="center"/>
            <w:hideMark/>
          </w:tcPr>
          <w:p w14:paraId="2719A3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1418" w:type="dxa"/>
            <w:vMerge w:val="restart"/>
            <w:tcBorders>
              <w:top w:val="nil"/>
              <w:left w:val="double" w:sz="6" w:space="0" w:color="1F4E78"/>
              <w:bottom w:val="double" w:sz="6" w:space="0" w:color="305496"/>
              <w:right w:val="double" w:sz="6" w:space="0" w:color="305496"/>
            </w:tcBorders>
            <w:shd w:val="clear" w:color="auto" w:fill="auto"/>
            <w:noWrap/>
            <w:vAlign w:val="center"/>
            <w:hideMark/>
          </w:tcPr>
          <w:p w14:paraId="1D95B0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r>
      <w:tr w:rsidR="00B15F7D" w:rsidRPr="00990FB6" w14:paraId="02A90512" w14:textId="77777777" w:rsidTr="000A0C22">
        <w:trPr>
          <w:trHeight w:val="330"/>
        </w:trPr>
        <w:tc>
          <w:tcPr>
            <w:tcW w:w="3260" w:type="dxa"/>
            <w:tcBorders>
              <w:top w:val="nil"/>
              <w:left w:val="double" w:sz="6" w:space="0" w:color="305496"/>
              <w:bottom w:val="nil"/>
              <w:right w:val="double" w:sz="6" w:space="0" w:color="305496"/>
            </w:tcBorders>
            <w:shd w:val="clear" w:color="000000" w:fill="B4C6E7"/>
            <w:vAlign w:val="center"/>
            <w:hideMark/>
          </w:tcPr>
          <w:p w14:paraId="6F01E6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1276" w:type="dxa"/>
            <w:vMerge/>
            <w:tcBorders>
              <w:top w:val="nil"/>
              <w:left w:val="double" w:sz="6" w:space="0" w:color="305496"/>
              <w:bottom w:val="double" w:sz="6" w:space="0" w:color="305496"/>
              <w:right w:val="double" w:sz="6" w:space="0" w:color="1F4E78"/>
            </w:tcBorders>
            <w:vAlign w:val="center"/>
            <w:hideMark/>
          </w:tcPr>
          <w:p w14:paraId="36E7F4CF" w14:textId="77777777" w:rsidR="00B15F7D" w:rsidRPr="00990FB6" w:rsidRDefault="00B15F7D" w:rsidP="00B15F7D">
            <w:pPr>
              <w:rPr>
                <w:color w:val="000000"/>
                <w:sz w:val="22"/>
                <w:szCs w:val="22"/>
                <w:lang w:eastAsia="es-CR"/>
              </w:rPr>
            </w:pPr>
          </w:p>
        </w:tc>
        <w:tc>
          <w:tcPr>
            <w:tcW w:w="1559" w:type="dxa"/>
            <w:tcBorders>
              <w:top w:val="nil"/>
              <w:left w:val="nil"/>
              <w:bottom w:val="double" w:sz="6" w:space="0" w:color="1F4E78"/>
              <w:right w:val="double" w:sz="6" w:space="0" w:color="1F4E78"/>
            </w:tcBorders>
            <w:shd w:val="clear" w:color="000000" w:fill="FFFFFF"/>
            <w:noWrap/>
            <w:vAlign w:val="center"/>
            <w:hideMark/>
          </w:tcPr>
          <w:p w14:paraId="7BA786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c>
          <w:tcPr>
            <w:tcW w:w="1418" w:type="dxa"/>
            <w:vMerge/>
            <w:tcBorders>
              <w:top w:val="nil"/>
              <w:left w:val="double" w:sz="6" w:space="0" w:color="1F4E78"/>
              <w:bottom w:val="double" w:sz="6" w:space="0" w:color="305496"/>
              <w:right w:val="double" w:sz="6" w:space="0" w:color="305496"/>
            </w:tcBorders>
            <w:vAlign w:val="center"/>
            <w:hideMark/>
          </w:tcPr>
          <w:p w14:paraId="64D9629D" w14:textId="77777777" w:rsidR="00B15F7D" w:rsidRPr="00990FB6" w:rsidRDefault="00B15F7D" w:rsidP="00B15F7D">
            <w:pPr>
              <w:rPr>
                <w:color w:val="000000"/>
                <w:sz w:val="22"/>
                <w:szCs w:val="22"/>
                <w:lang w:eastAsia="es-CR"/>
              </w:rPr>
            </w:pPr>
          </w:p>
        </w:tc>
      </w:tr>
      <w:tr w:rsidR="00B15F7D" w:rsidRPr="00990FB6" w14:paraId="050D3E3E" w14:textId="77777777" w:rsidTr="000A0C22">
        <w:trPr>
          <w:trHeight w:val="330"/>
        </w:trPr>
        <w:tc>
          <w:tcPr>
            <w:tcW w:w="326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293423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1276" w:type="dxa"/>
            <w:vMerge w:val="restart"/>
            <w:tcBorders>
              <w:top w:val="nil"/>
              <w:left w:val="double" w:sz="6" w:space="0" w:color="305496"/>
              <w:bottom w:val="double" w:sz="6" w:space="0" w:color="305496"/>
              <w:right w:val="double" w:sz="6" w:space="0" w:color="1F4E78"/>
            </w:tcBorders>
            <w:shd w:val="clear" w:color="auto" w:fill="auto"/>
            <w:noWrap/>
            <w:vAlign w:val="center"/>
            <w:hideMark/>
          </w:tcPr>
          <w:p w14:paraId="504127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1559" w:type="dxa"/>
            <w:tcBorders>
              <w:top w:val="nil"/>
              <w:left w:val="nil"/>
              <w:bottom w:val="double" w:sz="6" w:space="0" w:color="1F4E78"/>
              <w:right w:val="double" w:sz="6" w:space="0" w:color="1F4E78"/>
            </w:tcBorders>
            <w:shd w:val="clear" w:color="000000" w:fill="FFFFFF"/>
            <w:noWrap/>
            <w:vAlign w:val="center"/>
            <w:hideMark/>
          </w:tcPr>
          <w:p w14:paraId="6EA3D4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c>
          <w:tcPr>
            <w:tcW w:w="1418" w:type="dxa"/>
            <w:vMerge w:val="restart"/>
            <w:tcBorders>
              <w:top w:val="nil"/>
              <w:left w:val="double" w:sz="6" w:space="0" w:color="1F4E78"/>
              <w:bottom w:val="double" w:sz="6" w:space="0" w:color="305496"/>
              <w:right w:val="double" w:sz="6" w:space="0" w:color="305496"/>
            </w:tcBorders>
            <w:shd w:val="clear" w:color="auto" w:fill="auto"/>
            <w:noWrap/>
            <w:vAlign w:val="center"/>
            <w:hideMark/>
          </w:tcPr>
          <w:p w14:paraId="1E1E22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w:t>
            </w:r>
          </w:p>
        </w:tc>
      </w:tr>
      <w:tr w:rsidR="00B15F7D" w:rsidRPr="00990FB6" w14:paraId="56F4FEC0" w14:textId="77777777" w:rsidTr="000A0C22">
        <w:trPr>
          <w:trHeight w:val="330"/>
        </w:trPr>
        <w:tc>
          <w:tcPr>
            <w:tcW w:w="3260" w:type="dxa"/>
            <w:tcBorders>
              <w:top w:val="nil"/>
              <w:left w:val="double" w:sz="6" w:space="0" w:color="305496"/>
              <w:bottom w:val="double" w:sz="6" w:space="0" w:color="305496"/>
              <w:right w:val="double" w:sz="6" w:space="0" w:color="305496"/>
            </w:tcBorders>
            <w:shd w:val="clear" w:color="000000" w:fill="B4C6E7"/>
            <w:vAlign w:val="center"/>
            <w:hideMark/>
          </w:tcPr>
          <w:p w14:paraId="68198B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1276" w:type="dxa"/>
            <w:vMerge/>
            <w:tcBorders>
              <w:top w:val="nil"/>
              <w:left w:val="double" w:sz="6" w:space="0" w:color="305496"/>
              <w:bottom w:val="double" w:sz="6" w:space="0" w:color="305496"/>
              <w:right w:val="double" w:sz="6" w:space="0" w:color="1F4E78"/>
            </w:tcBorders>
            <w:vAlign w:val="center"/>
            <w:hideMark/>
          </w:tcPr>
          <w:p w14:paraId="36FAD963" w14:textId="77777777" w:rsidR="00B15F7D" w:rsidRPr="00990FB6" w:rsidRDefault="00B15F7D" w:rsidP="00B15F7D">
            <w:pPr>
              <w:rPr>
                <w:color w:val="000000"/>
                <w:sz w:val="22"/>
                <w:szCs w:val="22"/>
                <w:lang w:eastAsia="es-CR"/>
              </w:rPr>
            </w:pPr>
          </w:p>
        </w:tc>
        <w:tc>
          <w:tcPr>
            <w:tcW w:w="1559" w:type="dxa"/>
            <w:tcBorders>
              <w:top w:val="nil"/>
              <w:left w:val="nil"/>
              <w:bottom w:val="double" w:sz="6" w:space="0" w:color="1F4E78"/>
              <w:right w:val="double" w:sz="6" w:space="0" w:color="1F4E78"/>
            </w:tcBorders>
            <w:shd w:val="clear" w:color="000000" w:fill="FFFFFF"/>
            <w:noWrap/>
            <w:vAlign w:val="center"/>
            <w:hideMark/>
          </w:tcPr>
          <w:p w14:paraId="50727C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c>
          <w:tcPr>
            <w:tcW w:w="1418" w:type="dxa"/>
            <w:vMerge/>
            <w:tcBorders>
              <w:top w:val="nil"/>
              <w:left w:val="double" w:sz="6" w:space="0" w:color="1F4E78"/>
              <w:bottom w:val="double" w:sz="6" w:space="0" w:color="305496"/>
              <w:right w:val="double" w:sz="6" w:space="0" w:color="305496"/>
            </w:tcBorders>
            <w:vAlign w:val="center"/>
            <w:hideMark/>
          </w:tcPr>
          <w:p w14:paraId="531E92DD" w14:textId="77777777" w:rsidR="00B15F7D" w:rsidRPr="00990FB6" w:rsidRDefault="00B15F7D" w:rsidP="00B15F7D">
            <w:pPr>
              <w:rPr>
                <w:color w:val="000000"/>
                <w:sz w:val="22"/>
                <w:szCs w:val="22"/>
                <w:lang w:eastAsia="es-CR"/>
              </w:rPr>
            </w:pPr>
          </w:p>
        </w:tc>
      </w:tr>
      <w:tr w:rsidR="00B15F7D" w:rsidRPr="00990FB6" w14:paraId="2384A9D8" w14:textId="77777777" w:rsidTr="000A0C22">
        <w:trPr>
          <w:trHeight w:val="330"/>
        </w:trPr>
        <w:tc>
          <w:tcPr>
            <w:tcW w:w="3260" w:type="dxa"/>
            <w:tcBorders>
              <w:top w:val="nil"/>
              <w:left w:val="double" w:sz="6" w:space="0" w:color="305496"/>
              <w:bottom w:val="double" w:sz="6" w:space="0" w:color="305496"/>
              <w:right w:val="double" w:sz="6" w:space="0" w:color="305496"/>
            </w:tcBorders>
            <w:shd w:val="clear" w:color="000000" w:fill="B4C6E7"/>
            <w:vAlign w:val="center"/>
            <w:hideMark/>
          </w:tcPr>
          <w:p w14:paraId="0FDDFD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1276" w:type="dxa"/>
            <w:tcBorders>
              <w:top w:val="nil"/>
              <w:left w:val="nil"/>
              <w:bottom w:val="double" w:sz="6" w:space="0" w:color="305496"/>
              <w:right w:val="double" w:sz="6" w:space="0" w:color="305496"/>
            </w:tcBorders>
            <w:shd w:val="clear" w:color="auto" w:fill="auto"/>
            <w:noWrap/>
            <w:vAlign w:val="center"/>
            <w:hideMark/>
          </w:tcPr>
          <w:p w14:paraId="52443A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1559" w:type="dxa"/>
            <w:tcBorders>
              <w:top w:val="nil"/>
              <w:left w:val="double" w:sz="6" w:space="0" w:color="1F4E78"/>
              <w:bottom w:val="double" w:sz="6" w:space="0" w:color="1F4E78"/>
              <w:right w:val="double" w:sz="6" w:space="0" w:color="1F4E78"/>
            </w:tcBorders>
            <w:shd w:val="clear" w:color="000000" w:fill="FFFFFF"/>
            <w:noWrap/>
            <w:vAlign w:val="center"/>
            <w:hideMark/>
          </w:tcPr>
          <w:p w14:paraId="1E952D1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1418" w:type="dxa"/>
            <w:tcBorders>
              <w:top w:val="nil"/>
              <w:left w:val="nil"/>
              <w:bottom w:val="double" w:sz="6" w:space="0" w:color="305496"/>
              <w:right w:val="double" w:sz="6" w:space="0" w:color="305496"/>
            </w:tcBorders>
            <w:shd w:val="clear" w:color="auto" w:fill="auto"/>
            <w:noWrap/>
            <w:vAlign w:val="center"/>
            <w:hideMark/>
          </w:tcPr>
          <w:p w14:paraId="5BF00F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r>
      <w:tr w:rsidR="00B15F7D" w:rsidRPr="00990FB6" w14:paraId="571EE4AF" w14:textId="77777777" w:rsidTr="000A0C22">
        <w:trPr>
          <w:trHeight w:val="570"/>
        </w:trPr>
        <w:tc>
          <w:tcPr>
            <w:tcW w:w="3260" w:type="dxa"/>
            <w:tcBorders>
              <w:top w:val="nil"/>
              <w:left w:val="double" w:sz="6" w:space="0" w:color="305496"/>
              <w:bottom w:val="nil"/>
              <w:right w:val="double" w:sz="6" w:space="0" w:color="305496"/>
            </w:tcBorders>
            <w:shd w:val="clear" w:color="000000" w:fill="B4C6E7"/>
            <w:vAlign w:val="center"/>
            <w:hideMark/>
          </w:tcPr>
          <w:p w14:paraId="337476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1276" w:type="dxa"/>
            <w:vMerge w:val="restart"/>
            <w:tcBorders>
              <w:top w:val="nil"/>
              <w:left w:val="double" w:sz="6" w:space="0" w:color="305496"/>
              <w:bottom w:val="double" w:sz="6" w:space="0" w:color="305496"/>
              <w:right w:val="double" w:sz="6" w:space="0" w:color="1F4E78"/>
            </w:tcBorders>
            <w:shd w:val="clear" w:color="auto" w:fill="auto"/>
            <w:noWrap/>
            <w:vAlign w:val="center"/>
            <w:hideMark/>
          </w:tcPr>
          <w:p w14:paraId="15EFD4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1559" w:type="dxa"/>
            <w:tcBorders>
              <w:top w:val="nil"/>
              <w:left w:val="nil"/>
              <w:bottom w:val="double" w:sz="6" w:space="0" w:color="1F4E78"/>
              <w:right w:val="double" w:sz="6" w:space="0" w:color="1F4E78"/>
            </w:tcBorders>
            <w:shd w:val="clear" w:color="000000" w:fill="FFFFFF"/>
            <w:noWrap/>
            <w:vAlign w:val="center"/>
            <w:hideMark/>
          </w:tcPr>
          <w:p w14:paraId="2CB7B5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1418" w:type="dxa"/>
            <w:vMerge w:val="restart"/>
            <w:tcBorders>
              <w:top w:val="nil"/>
              <w:left w:val="double" w:sz="6" w:space="0" w:color="1F4E78"/>
              <w:bottom w:val="double" w:sz="6" w:space="0" w:color="305496"/>
              <w:right w:val="double" w:sz="6" w:space="0" w:color="305496"/>
            </w:tcBorders>
            <w:shd w:val="clear" w:color="auto" w:fill="auto"/>
            <w:noWrap/>
            <w:vAlign w:val="center"/>
            <w:hideMark/>
          </w:tcPr>
          <w:p w14:paraId="1EC06C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2D7F8183" w14:textId="77777777" w:rsidTr="000A0C22">
        <w:trPr>
          <w:trHeight w:val="570"/>
        </w:trPr>
        <w:tc>
          <w:tcPr>
            <w:tcW w:w="326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5737F6B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c>
          <w:tcPr>
            <w:tcW w:w="1276" w:type="dxa"/>
            <w:vMerge/>
            <w:tcBorders>
              <w:top w:val="nil"/>
              <w:left w:val="double" w:sz="6" w:space="0" w:color="305496"/>
              <w:bottom w:val="double" w:sz="6" w:space="0" w:color="305496"/>
              <w:right w:val="double" w:sz="6" w:space="0" w:color="1F4E78"/>
            </w:tcBorders>
            <w:vAlign w:val="center"/>
            <w:hideMark/>
          </w:tcPr>
          <w:p w14:paraId="190004CD" w14:textId="77777777" w:rsidR="00B15F7D" w:rsidRPr="00990FB6" w:rsidRDefault="00B15F7D" w:rsidP="00B15F7D">
            <w:pPr>
              <w:rPr>
                <w:color w:val="000000"/>
                <w:sz w:val="22"/>
                <w:szCs w:val="22"/>
                <w:lang w:eastAsia="es-CR"/>
              </w:rPr>
            </w:pPr>
          </w:p>
        </w:tc>
        <w:tc>
          <w:tcPr>
            <w:tcW w:w="1559" w:type="dxa"/>
            <w:tcBorders>
              <w:top w:val="nil"/>
              <w:left w:val="nil"/>
              <w:bottom w:val="double" w:sz="6" w:space="0" w:color="1F4E78"/>
              <w:right w:val="double" w:sz="6" w:space="0" w:color="1F4E78"/>
            </w:tcBorders>
            <w:shd w:val="clear" w:color="000000" w:fill="FFFFFF"/>
            <w:noWrap/>
            <w:vAlign w:val="center"/>
            <w:hideMark/>
          </w:tcPr>
          <w:p w14:paraId="30C4E2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c>
          <w:tcPr>
            <w:tcW w:w="1418" w:type="dxa"/>
            <w:vMerge/>
            <w:tcBorders>
              <w:top w:val="nil"/>
              <w:left w:val="double" w:sz="6" w:space="0" w:color="1F4E78"/>
              <w:bottom w:val="double" w:sz="6" w:space="0" w:color="305496"/>
              <w:right w:val="double" w:sz="6" w:space="0" w:color="305496"/>
            </w:tcBorders>
            <w:vAlign w:val="center"/>
            <w:hideMark/>
          </w:tcPr>
          <w:p w14:paraId="0C3D7A0A" w14:textId="77777777" w:rsidR="00B15F7D" w:rsidRPr="00990FB6" w:rsidRDefault="00B15F7D" w:rsidP="00B15F7D">
            <w:pPr>
              <w:rPr>
                <w:color w:val="000000"/>
                <w:sz w:val="22"/>
                <w:szCs w:val="22"/>
                <w:lang w:eastAsia="es-CR"/>
              </w:rPr>
            </w:pPr>
          </w:p>
        </w:tc>
      </w:tr>
    </w:tbl>
    <w:p w14:paraId="0F985B0E" w14:textId="77777777" w:rsidR="00B15F7D" w:rsidRPr="00990FB6" w:rsidRDefault="00B15F7D" w:rsidP="00B15F7D">
      <w:pPr>
        <w:rPr>
          <w:b/>
          <w:color w:val="000000"/>
          <w:sz w:val="22"/>
          <w:szCs w:val="22"/>
          <w:lang w:eastAsia="es-CR"/>
        </w:rPr>
      </w:pPr>
    </w:p>
    <w:p w14:paraId="62E9E11B"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de los anuarios judiciales suministrada por el Subproceso de Estadística. Nota: Los datos son preliminares y corresponden al año 2022.</w:t>
      </w:r>
    </w:p>
    <w:p w14:paraId="416DAB6A" w14:textId="77777777" w:rsidR="00B15F7D" w:rsidRPr="00990FB6" w:rsidRDefault="00B15F7D" w:rsidP="00B15F7D">
      <w:pPr>
        <w:ind w:left="851" w:right="851" w:firstLine="709"/>
        <w:jc w:val="both"/>
        <w:rPr>
          <w:color w:val="000000"/>
          <w:sz w:val="22"/>
          <w:szCs w:val="22"/>
        </w:rPr>
      </w:pPr>
    </w:p>
    <w:p w14:paraId="2755DCD9"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Se identifica que la mayor capacidad disponible respecto a la entrada de asuntos se presenta en el equipo que atiende los Circuitos Judiciales de Alajuela y Heredia, seguido del III Circuito Judicial de San José y posteriormente del I Circuito Judicial de la Zona Sur. </w:t>
      </w:r>
    </w:p>
    <w:p w14:paraId="2406346B" w14:textId="77777777" w:rsidR="00B15F7D" w:rsidRPr="00990FB6" w:rsidRDefault="00B15F7D" w:rsidP="00B15F7D">
      <w:pPr>
        <w:ind w:left="851" w:right="851" w:firstLine="709"/>
        <w:jc w:val="both"/>
        <w:rPr>
          <w:color w:val="000000"/>
          <w:sz w:val="22"/>
          <w:szCs w:val="22"/>
        </w:rPr>
      </w:pPr>
    </w:p>
    <w:p w14:paraId="1D15C092" w14:textId="77777777" w:rsidR="00B15F7D" w:rsidRPr="00990FB6" w:rsidRDefault="00B15F7D" w:rsidP="00B15F7D">
      <w:pPr>
        <w:ind w:left="851" w:right="851" w:firstLine="709"/>
        <w:jc w:val="both"/>
        <w:rPr>
          <w:color w:val="000000"/>
          <w:sz w:val="22"/>
          <w:szCs w:val="22"/>
        </w:rPr>
      </w:pPr>
      <w:r w:rsidRPr="00990FB6">
        <w:rPr>
          <w:color w:val="000000"/>
          <w:sz w:val="22"/>
          <w:szCs w:val="22"/>
        </w:rPr>
        <w:t>Por otra parte, se identifica que los equipos que atienden San Ramón y Puntarenas, así como el II Circuito Judicial de San José, recibieron una cantidad de asuntos superior a la capacidad de entrada de 40 asuntos mensuales.</w:t>
      </w:r>
    </w:p>
    <w:p w14:paraId="66895064" w14:textId="77777777" w:rsidR="00B15F7D" w:rsidRPr="00990FB6" w:rsidRDefault="00B15F7D" w:rsidP="00B15F7D">
      <w:pPr>
        <w:ind w:left="851" w:right="851" w:firstLine="709"/>
        <w:jc w:val="both"/>
        <w:rPr>
          <w:color w:val="000000"/>
          <w:sz w:val="22"/>
          <w:szCs w:val="22"/>
        </w:rPr>
      </w:pPr>
    </w:p>
    <w:p w14:paraId="3CDE04BD" w14:textId="77777777" w:rsidR="00B15F7D" w:rsidRPr="00990FB6" w:rsidRDefault="00B15F7D" w:rsidP="00B15F7D">
      <w:pPr>
        <w:ind w:left="851" w:right="851" w:firstLine="709"/>
        <w:jc w:val="both"/>
        <w:rPr>
          <w:color w:val="000000"/>
          <w:sz w:val="22"/>
          <w:szCs w:val="22"/>
        </w:rPr>
      </w:pPr>
      <w:r w:rsidRPr="00990FB6">
        <w:rPr>
          <w:color w:val="000000"/>
          <w:sz w:val="22"/>
          <w:szCs w:val="22"/>
        </w:rPr>
        <w:t xml:space="preserve">Aunado a lo anterior, se hace la salvedad de que la entrada mostrada corresponde al ingreso bruto de asuntos, y que con base en lo determinado en el </w:t>
      </w:r>
      <w:r w:rsidRPr="00990FB6">
        <w:rPr>
          <w:color w:val="000000"/>
          <w:sz w:val="22"/>
          <w:szCs w:val="22"/>
        </w:rPr>
        <w:fldChar w:fldCharType="begin"/>
      </w:r>
      <w:r w:rsidRPr="00990FB6">
        <w:rPr>
          <w:color w:val="000000"/>
          <w:sz w:val="22"/>
          <w:szCs w:val="22"/>
        </w:rPr>
        <w:instrText xml:space="preserve"> REF _Ref63966934 \h  \* MERGEFORMAT </w:instrText>
      </w:r>
      <w:r w:rsidRPr="00990FB6">
        <w:rPr>
          <w:color w:val="000000"/>
          <w:sz w:val="22"/>
          <w:szCs w:val="22"/>
        </w:rPr>
      </w:r>
      <w:r w:rsidRPr="00990FB6">
        <w:rPr>
          <w:color w:val="000000"/>
          <w:sz w:val="22"/>
          <w:szCs w:val="22"/>
        </w:rPr>
        <w:fldChar w:fldCharType="separate"/>
      </w:r>
      <w:r w:rsidRPr="00990FB6">
        <w:rPr>
          <w:color w:val="000000"/>
          <w:sz w:val="22"/>
          <w:szCs w:val="22"/>
        </w:rPr>
        <w:t>Cuadro 8</w:t>
      </w:r>
      <w:r w:rsidRPr="00990FB6">
        <w:rPr>
          <w:color w:val="000000"/>
          <w:sz w:val="22"/>
          <w:szCs w:val="22"/>
        </w:rPr>
        <w:fldChar w:fldCharType="end"/>
      </w:r>
      <w:r w:rsidRPr="00990FB6">
        <w:rPr>
          <w:color w:val="000000"/>
          <w:sz w:val="22"/>
          <w:szCs w:val="22"/>
        </w:rPr>
        <w:t>, para el</w:t>
      </w:r>
      <w:r w:rsidRPr="00990FB6" w:rsidDel="000A64A3">
        <w:rPr>
          <w:color w:val="000000"/>
          <w:sz w:val="22"/>
          <w:szCs w:val="22"/>
        </w:rPr>
        <w:t xml:space="preserve"> </w:t>
      </w:r>
      <w:r w:rsidRPr="00990FB6">
        <w:rPr>
          <w:color w:val="000000"/>
          <w:sz w:val="22"/>
          <w:szCs w:val="22"/>
        </w:rPr>
        <w:t>año 2022 se contó con un 40% de devolución de los casos ingresados, aspecto que implica que un 40% de estos asuntos no atravesará todas las etapas del proceso, lo que permite la concentración del recurso humano en otras tareas.</w:t>
      </w:r>
    </w:p>
    <w:p w14:paraId="2C689C88" w14:textId="77777777" w:rsidR="00B15F7D" w:rsidRPr="00990FB6" w:rsidRDefault="00B15F7D" w:rsidP="00B15F7D">
      <w:pPr>
        <w:ind w:left="851" w:right="851" w:firstLine="709"/>
        <w:jc w:val="both"/>
        <w:rPr>
          <w:color w:val="000000"/>
          <w:sz w:val="22"/>
          <w:szCs w:val="22"/>
        </w:rPr>
      </w:pPr>
    </w:p>
    <w:p w14:paraId="4449C707"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 Sobre este particular, se reitera la necesidad de ampliar el abordaje de la materia Penal Adulta, incluida la Ejecución de la Pena y Etapa Intermedia, en el procedimiento especial Abreviado, además de las Contravenciones, con la capacidad instalada actual de los equipos de trabajo. </w:t>
      </w:r>
    </w:p>
    <w:p w14:paraId="5D65252B" w14:textId="77777777" w:rsidR="00B15F7D" w:rsidRPr="00990FB6" w:rsidRDefault="00B15F7D" w:rsidP="00B15F7D">
      <w:pPr>
        <w:tabs>
          <w:tab w:val="left" w:pos="0"/>
        </w:tabs>
        <w:ind w:left="851" w:right="851" w:firstLine="709"/>
        <w:jc w:val="both"/>
        <w:rPr>
          <w:color w:val="000000"/>
          <w:sz w:val="22"/>
          <w:szCs w:val="22"/>
        </w:rPr>
      </w:pPr>
    </w:p>
    <w:p w14:paraId="0C4FC35B"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Se muestra a continuación de forma resumida la evaluación de las cuotas definidas respecto al comportamiento estadístico para el año 2022:</w:t>
      </w:r>
    </w:p>
    <w:p w14:paraId="6B0640A4" w14:textId="77777777" w:rsidR="00B15F7D" w:rsidRPr="00990FB6" w:rsidRDefault="00B15F7D" w:rsidP="00B15F7D">
      <w:pPr>
        <w:tabs>
          <w:tab w:val="left" w:pos="0"/>
        </w:tabs>
        <w:ind w:left="851" w:right="851" w:firstLine="709"/>
        <w:jc w:val="both"/>
        <w:rPr>
          <w:b/>
          <w:bCs/>
          <w:color w:val="000000"/>
          <w:sz w:val="22"/>
          <w:szCs w:val="22"/>
        </w:rPr>
      </w:pPr>
      <w:r w:rsidRPr="00990FB6">
        <w:rPr>
          <w:b/>
          <w:bCs/>
          <w:color w:val="000000"/>
          <w:sz w:val="22"/>
          <w:szCs w:val="22"/>
        </w:rPr>
        <w:t xml:space="preserve">Cuadro </w:t>
      </w:r>
      <w:r w:rsidRPr="00990FB6">
        <w:rPr>
          <w:b/>
          <w:bCs/>
          <w:color w:val="000000"/>
          <w:sz w:val="22"/>
          <w:szCs w:val="22"/>
        </w:rPr>
        <w:fldChar w:fldCharType="begin"/>
      </w:r>
      <w:r w:rsidRPr="00990FB6">
        <w:rPr>
          <w:b/>
          <w:bCs/>
          <w:color w:val="000000"/>
          <w:sz w:val="22"/>
          <w:szCs w:val="22"/>
        </w:rPr>
        <w:instrText xml:space="preserve"> SEQ Cuadro \* ARABIC </w:instrText>
      </w:r>
      <w:r w:rsidRPr="00990FB6">
        <w:rPr>
          <w:b/>
          <w:bCs/>
          <w:color w:val="000000"/>
          <w:sz w:val="22"/>
          <w:szCs w:val="22"/>
        </w:rPr>
        <w:fldChar w:fldCharType="separate"/>
      </w:r>
      <w:r w:rsidRPr="00990FB6">
        <w:rPr>
          <w:b/>
          <w:bCs/>
          <w:noProof/>
          <w:color w:val="000000"/>
          <w:sz w:val="22"/>
          <w:szCs w:val="22"/>
        </w:rPr>
        <w:t>21</w:t>
      </w:r>
      <w:r w:rsidRPr="00990FB6">
        <w:rPr>
          <w:b/>
          <w:bCs/>
          <w:color w:val="000000"/>
          <w:sz w:val="22"/>
          <w:szCs w:val="22"/>
        </w:rPr>
        <w:fldChar w:fldCharType="end"/>
      </w:r>
      <w:r w:rsidRPr="00990FB6">
        <w:rPr>
          <w:b/>
          <w:bCs/>
          <w:color w:val="000000"/>
          <w:sz w:val="22"/>
          <w:szCs w:val="22"/>
        </w:rPr>
        <w:t>. Comportamiento estadístico mensual promedio para Justicia Restaurativa Penal Adulto respecto a las cuotas fijada en el informe 726-PLA-RH-MI-2019.</w:t>
      </w:r>
    </w:p>
    <w:p w14:paraId="69EAB176" w14:textId="77777777" w:rsidR="00B15F7D" w:rsidRPr="00990FB6" w:rsidRDefault="00B15F7D" w:rsidP="00B15F7D">
      <w:pPr>
        <w:tabs>
          <w:tab w:val="left" w:pos="0"/>
        </w:tabs>
        <w:jc w:val="both"/>
        <w:rPr>
          <w:b/>
          <w:color w:val="000000"/>
          <w:sz w:val="22"/>
          <w:szCs w:val="22"/>
        </w:rPr>
      </w:pPr>
    </w:p>
    <w:tbl>
      <w:tblPr>
        <w:tblW w:w="8908" w:type="dxa"/>
        <w:jc w:val="center"/>
        <w:tblCellMar>
          <w:left w:w="70" w:type="dxa"/>
          <w:right w:w="70" w:type="dxa"/>
        </w:tblCellMar>
        <w:tblLook w:val="04A0" w:firstRow="1" w:lastRow="0" w:firstColumn="1" w:lastColumn="0" w:noHBand="0" w:noVBand="1"/>
      </w:tblPr>
      <w:tblGrid>
        <w:gridCol w:w="1543"/>
        <w:gridCol w:w="146"/>
        <w:gridCol w:w="666"/>
        <w:gridCol w:w="862"/>
        <w:gridCol w:w="862"/>
        <w:gridCol w:w="837"/>
        <w:gridCol w:w="886"/>
        <w:gridCol w:w="776"/>
        <w:gridCol w:w="837"/>
        <w:gridCol w:w="1106"/>
        <w:gridCol w:w="862"/>
        <w:gridCol w:w="947"/>
        <w:gridCol w:w="947"/>
      </w:tblGrid>
      <w:tr w:rsidR="00990FB6" w:rsidRPr="00990FB6" w14:paraId="484CDAB2" w14:textId="77777777" w:rsidTr="000A0C22">
        <w:trPr>
          <w:trHeight w:val="1120"/>
          <w:jc w:val="center"/>
        </w:trPr>
        <w:tc>
          <w:tcPr>
            <w:tcW w:w="1543" w:type="dxa"/>
            <w:tcBorders>
              <w:top w:val="double" w:sz="6" w:space="0" w:color="305496"/>
              <w:left w:val="double" w:sz="6" w:space="0" w:color="305496"/>
              <w:bottom w:val="double" w:sz="6" w:space="0" w:color="305496"/>
              <w:right w:val="double" w:sz="6" w:space="0" w:color="305496"/>
            </w:tcBorders>
            <w:shd w:val="clear" w:color="000000" w:fill="B4C6E7"/>
            <w:noWrap/>
            <w:vAlign w:val="center"/>
            <w:hideMark/>
          </w:tcPr>
          <w:p w14:paraId="6BA6EC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Variable</w:t>
            </w:r>
          </w:p>
        </w:tc>
        <w:tc>
          <w:tcPr>
            <w:tcW w:w="0" w:type="auto"/>
            <w:tcBorders>
              <w:top w:val="double" w:sz="6" w:space="0" w:color="305496"/>
              <w:left w:val="nil"/>
              <w:bottom w:val="double" w:sz="6" w:space="0" w:color="305496"/>
              <w:right w:val="nil"/>
            </w:tcBorders>
            <w:shd w:val="clear" w:color="000000" w:fill="B4C6E7"/>
          </w:tcPr>
          <w:p w14:paraId="7DD0EAD9" w14:textId="77777777" w:rsidR="00B15F7D" w:rsidRPr="00990FB6" w:rsidRDefault="00B15F7D" w:rsidP="00B15F7D">
            <w:pPr>
              <w:jc w:val="center"/>
              <w:rPr>
                <w:color w:val="000000"/>
                <w:sz w:val="22"/>
                <w:szCs w:val="22"/>
                <w:lang w:eastAsia="es-CR"/>
              </w:rPr>
            </w:pPr>
          </w:p>
        </w:tc>
        <w:tc>
          <w:tcPr>
            <w:tcW w:w="0" w:type="auto"/>
            <w:tcBorders>
              <w:top w:val="double" w:sz="6" w:space="0" w:color="305496"/>
              <w:left w:val="nil"/>
              <w:bottom w:val="double" w:sz="6" w:space="0" w:color="305496"/>
              <w:right w:val="double" w:sz="6" w:space="0" w:color="305496"/>
            </w:tcBorders>
            <w:shd w:val="clear" w:color="000000" w:fill="B4C6E7"/>
            <w:noWrap/>
            <w:vAlign w:val="center"/>
            <w:hideMark/>
          </w:tcPr>
          <w:p w14:paraId="52CE8B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Cuota</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58CBAE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San José</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18E8E9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III Circuito Judicial de San José</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3A491CD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Cartago</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21E3F6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Alajuela</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41701A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San Ramón</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04A5D4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Heredia</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68CE4FA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Puntarenas</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4DD3D1E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Sur</w:t>
            </w:r>
          </w:p>
        </w:tc>
        <w:tc>
          <w:tcPr>
            <w:tcW w:w="0" w:type="auto"/>
            <w:tcBorders>
              <w:top w:val="double" w:sz="6" w:space="0" w:color="305496"/>
              <w:left w:val="nil"/>
              <w:bottom w:val="double" w:sz="6" w:space="0" w:color="305496"/>
              <w:right w:val="double" w:sz="6" w:space="0" w:color="305496"/>
            </w:tcBorders>
            <w:shd w:val="clear" w:color="000000" w:fill="B4C6E7"/>
            <w:vAlign w:val="center"/>
            <w:hideMark/>
          </w:tcPr>
          <w:p w14:paraId="52276E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 Circuito Judicial de la Zona Atlántica</w:t>
            </w:r>
          </w:p>
        </w:tc>
        <w:tc>
          <w:tcPr>
            <w:tcW w:w="814" w:type="dxa"/>
            <w:tcBorders>
              <w:top w:val="double" w:sz="6" w:space="0" w:color="305496"/>
              <w:left w:val="nil"/>
              <w:bottom w:val="double" w:sz="6" w:space="0" w:color="305496"/>
              <w:right w:val="double" w:sz="6" w:space="0" w:color="305496"/>
            </w:tcBorders>
            <w:shd w:val="clear" w:color="000000" w:fill="B4C6E7"/>
            <w:vAlign w:val="center"/>
            <w:hideMark/>
          </w:tcPr>
          <w:p w14:paraId="4DC2E1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II Circuito Judicial de la Zona Atlántica</w:t>
            </w:r>
          </w:p>
        </w:tc>
      </w:tr>
      <w:tr w:rsidR="00B15F7D" w:rsidRPr="00990FB6" w14:paraId="6630571B" w14:textId="77777777" w:rsidTr="000A0C22">
        <w:trPr>
          <w:trHeight w:val="345"/>
          <w:jc w:val="center"/>
        </w:trPr>
        <w:tc>
          <w:tcPr>
            <w:tcW w:w="1543" w:type="dxa"/>
            <w:tcBorders>
              <w:top w:val="nil"/>
              <w:left w:val="double" w:sz="6" w:space="0" w:color="305496"/>
              <w:bottom w:val="double" w:sz="6" w:space="0" w:color="305496"/>
              <w:right w:val="double" w:sz="6" w:space="0" w:color="305496"/>
            </w:tcBorders>
            <w:shd w:val="clear" w:color="000000" w:fill="D0CECE"/>
            <w:noWrap/>
            <w:vAlign w:val="bottom"/>
            <w:hideMark/>
          </w:tcPr>
          <w:p w14:paraId="476EA8B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Casos entrados</w:t>
            </w:r>
          </w:p>
        </w:tc>
        <w:tc>
          <w:tcPr>
            <w:tcW w:w="0" w:type="auto"/>
            <w:tcBorders>
              <w:top w:val="nil"/>
              <w:left w:val="nil"/>
              <w:bottom w:val="double" w:sz="6" w:space="0" w:color="305496"/>
              <w:right w:val="nil"/>
            </w:tcBorders>
            <w:shd w:val="clear" w:color="000000" w:fill="D0CECE"/>
          </w:tcPr>
          <w:p w14:paraId="7B4A79D2" w14:textId="77777777" w:rsidR="00B15F7D" w:rsidRPr="00990FB6" w:rsidRDefault="00B15F7D" w:rsidP="00B15F7D">
            <w:pPr>
              <w:jc w:val="center"/>
              <w:rPr>
                <w:color w:val="000000"/>
                <w:sz w:val="22"/>
                <w:szCs w:val="22"/>
                <w:lang w:eastAsia="es-CR"/>
              </w:rPr>
            </w:pPr>
          </w:p>
        </w:tc>
        <w:tc>
          <w:tcPr>
            <w:tcW w:w="0" w:type="auto"/>
            <w:tcBorders>
              <w:top w:val="nil"/>
              <w:left w:val="nil"/>
              <w:bottom w:val="double" w:sz="6" w:space="0" w:color="305496"/>
              <w:right w:val="double" w:sz="6" w:space="0" w:color="305496"/>
            </w:tcBorders>
            <w:shd w:val="clear" w:color="000000" w:fill="D0CECE"/>
            <w:noWrap/>
            <w:vAlign w:val="bottom"/>
            <w:hideMark/>
          </w:tcPr>
          <w:p w14:paraId="733060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0" w:type="auto"/>
            <w:tcBorders>
              <w:top w:val="nil"/>
              <w:left w:val="nil"/>
              <w:bottom w:val="double" w:sz="6" w:space="0" w:color="305496"/>
              <w:right w:val="double" w:sz="6" w:space="0" w:color="305496"/>
            </w:tcBorders>
            <w:shd w:val="clear" w:color="auto" w:fill="auto"/>
            <w:noWrap/>
            <w:vAlign w:val="center"/>
            <w:hideMark/>
          </w:tcPr>
          <w:p w14:paraId="21E883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45</w:t>
            </w:r>
          </w:p>
        </w:tc>
        <w:tc>
          <w:tcPr>
            <w:tcW w:w="0" w:type="auto"/>
            <w:tcBorders>
              <w:top w:val="nil"/>
              <w:left w:val="nil"/>
              <w:bottom w:val="double" w:sz="6" w:space="0" w:color="305496"/>
              <w:right w:val="double" w:sz="6" w:space="0" w:color="305496"/>
            </w:tcBorders>
            <w:shd w:val="clear" w:color="auto" w:fill="auto"/>
            <w:noWrap/>
            <w:vAlign w:val="center"/>
            <w:hideMark/>
          </w:tcPr>
          <w:p w14:paraId="700913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31</w:t>
            </w:r>
          </w:p>
        </w:tc>
        <w:tc>
          <w:tcPr>
            <w:tcW w:w="0" w:type="auto"/>
            <w:tcBorders>
              <w:top w:val="nil"/>
              <w:left w:val="nil"/>
              <w:bottom w:val="double" w:sz="6" w:space="0" w:color="305496"/>
              <w:right w:val="double" w:sz="6" w:space="0" w:color="305496"/>
            </w:tcBorders>
            <w:shd w:val="clear" w:color="auto" w:fill="auto"/>
            <w:noWrap/>
            <w:vAlign w:val="center"/>
            <w:hideMark/>
          </w:tcPr>
          <w:p w14:paraId="27500ED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38</w:t>
            </w:r>
          </w:p>
        </w:tc>
        <w:tc>
          <w:tcPr>
            <w:tcW w:w="0" w:type="auto"/>
            <w:tcBorders>
              <w:top w:val="nil"/>
              <w:left w:val="nil"/>
              <w:bottom w:val="double" w:sz="6" w:space="0" w:color="305496"/>
              <w:right w:val="double" w:sz="6" w:space="0" w:color="305496"/>
            </w:tcBorders>
            <w:shd w:val="clear" w:color="auto" w:fill="auto"/>
            <w:noWrap/>
            <w:vAlign w:val="center"/>
            <w:hideMark/>
          </w:tcPr>
          <w:p w14:paraId="455586B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0" w:type="auto"/>
            <w:tcBorders>
              <w:top w:val="nil"/>
              <w:left w:val="nil"/>
              <w:bottom w:val="double" w:sz="6" w:space="0" w:color="305496"/>
              <w:right w:val="double" w:sz="6" w:space="0" w:color="305496"/>
            </w:tcBorders>
            <w:shd w:val="clear" w:color="auto" w:fill="auto"/>
            <w:noWrap/>
            <w:vAlign w:val="center"/>
            <w:hideMark/>
          </w:tcPr>
          <w:p w14:paraId="7D1D56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c>
          <w:tcPr>
            <w:tcW w:w="0" w:type="auto"/>
            <w:tcBorders>
              <w:top w:val="nil"/>
              <w:left w:val="nil"/>
              <w:bottom w:val="double" w:sz="6" w:space="0" w:color="305496"/>
              <w:right w:val="double" w:sz="6" w:space="0" w:color="305496"/>
            </w:tcBorders>
            <w:shd w:val="clear" w:color="auto" w:fill="auto"/>
            <w:noWrap/>
            <w:vAlign w:val="center"/>
            <w:hideMark/>
          </w:tcPr>
          <w:p w14:paraId="699B6F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30</w:t>
            </w:r>
          </w:p>
        </w:tc>
        <w:tc>
          <w:tcPr>
            <w:tcW w:w="0" w:type="auto"/>
            <w:tcBorders>
              <w:top w:val="nil"/>
              <w:left w:val="nil"/>
              <w:bottom w:val="double" w:sz="6" w:space="0" w:color="305496"/>
              <w:right w:val="double" w:sz="6" w:space="0" w:color="305496"/>
            </w:tcBorders>
            <w:shd w:val="clear" w:color="auto" w:fill="auto"/>
            <w:noWrap/>
            <w:vAlign w:val="center"/>
            <w:hideMark/>
          </w:tcPr>
          <w:p w14:paraId="0B04DF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28</w:t>
            </w:r>
          </w:p>
        </w:tc>
        <w:tc>
          <w:tcPr>
            <w:tcW w:w="0" w:type="auto"/>
            <w:tcBorders>
              <w:top w:val="nil"/>
              <w:left w:val="nil"/>
              <w:bottom w:val="double" w:sz="6" w:space="0" w:color="305496"/>
              <w:right w:val="double" w:sz="6" w:space="0" w:color="305496"/>
            </w:tcBorders>
            <w:shd w:val="clear" w:color="auto" w:fill="auto"/>
            <w:noWrap/>
            <w:vAlign w:val="center"/>
            <w:hideMark/>
          </w:tcPr>
          <w:p w14:paraId="54EDB7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0" w:type="auto"/>
            <w:tcBorders>
              <w:top w:val="nil"/>
              <w:left w:val="nil"/>
              <w:bottom w:val="double" w:sz="6" w:space="0" w:color="305496"/>
              <w:right w:val="double" w:sz="6" w:space="0" w:color="305496"/>
            </w:tcBorders>
            <w:shd w:val="clear" w:color="auto" w:fill="auto"/>
            <w:noWrap/>
            <w:vAlign w:val="center"/>
            <w:hideMark/>
          </w:tcPr>
          <w:p w14:paraId="3E94A34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814" w:type="dxa"/>
            <w:tcBorders>
              <w:top w:val="nil"/>
              <w:left w:val="nil"/>
              <w:bottom w:val="double" w:sz="6" w:space="0" w:color="305496"/>
              <w:right w:val="double" w:sz="6" w:space="0" w:color="305496"/>
            </w:tcBorders>
            <w:shd w:val="clear" w:color="auto" w:fill="auto"/>
            <w:noWrap/>
            <w:vAlign w:val="center"/>
            <w:hideMark/>
          </w:tcPr>
          <w:p w14:paraId="674892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r>
      <w:tr w:rsidR="00B15F7D" w:rsidRPr="00990FB6" w14:paraId="56456269" w14:textId="77777777" w:rsidTr="000A0C22">
        <w:trPr>
          <w:trHeight w:val="345"/>
          <w:jc w:val="center"/>
        </w:trPr>
        <w:tc>
          <w:tcPr>
            <w:tcW w:w="1543" w:type="dxa"/>
            <w:tcBorders>
              <w:top w:val="nil"/>
              <w:left w:val="double" w:sz="6" w:space="0" w:color="305496"/>
              <w:bottom w:val="double" w:sz="6" w:space="0" w:color="305496"/>
              <w:right w:val="double" w:sz="6" w:space="0" w:color="305496"/>
            </w:tcBorders>
            <w:shd w:val="clear" w:color="000000" w:fill="D0CECE"/>
            <w:noWrap/>
            <w:vAlign w:val="bottom"/>
            <w:hideMark/>
          </w:tcPr>
          <w:p w14:paraId="678A99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RR programadas</w:t>
            </w:r>
          </w:p>
        </w:tc>
        <w:tc>
          <w:tcPr>
            <w:tcW w:w="0" w:type="auto"/>
            <w:tcBorders>
              <w:top w:val="nil"/>
              <w:left w:val="nil"/>
              <w:bottom w:val="double" w:sz="6" w:space="0" w:color="305496"/>
              <w:right w:val="nil"/>
            </w:tcBorders>
            <w:shd w:val="clear" w:color="000000" w:fill="D0CECE"/>
          </w:tcPr>
          <w:p w14:paraId="4B3366E9" w14:textId="77777777" w:rsidR="00B15F7D" w:rsidRPr="00990FB6" w:rsidRDefault="00B15F7D" w:rsidP="00B15F7D">
            <w:pPr>
              <w:jc w:val="center"/>
              <w:rPr>
                <w:color w:val="000000"/>
                <w:sz w:val="22"/>
                <w:szCs w:val="22"/>
                <w:lang w:eastAsia="es-CR"/>
              </w:rPr>
            </w:pPr>
          </w:p>
        </w:tc>
        <w:tc>
          <w:tcPr>
            <w:tcW w:w="0" w:type="auto"/>
            <w:tcBorders>
              <w:top w:val="nil"/>
              <w:left w:val="nil"/>
              <w:bottom w:val="double" w:sz="6" w:space="0" w:color="305496"/>
              <w:right w:val="double" w:sz="6" w:space="0" w:color="305496"/>
            </w:tcBorders>
            <w:shd w:val="clear" w:color="000000" w:fill="D0CECE"/>
            <w:noWrap/>
            <w:vAlign w:val="bottom"/>
            <w:hideMark/>
          </w:tcPr>
          <w:p w14:paraId="0DFFDAC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36</w:t>
            </w:r>
          </w:p>
        </w:tc>
        <w:tc>
          <w:tcPr>
            <w:tcW w:w="0" w:type="auto"/>
            <w:tcBorders>
              <w:top w:val="nil"/>
              <w:left w:val="nil"/>
              <w:bottom w:val="double" w:sz="6" w:space="0" w:color="305496"/>
              <w:right w:val="double" w:sz="6" w:space="0" w:color="305496"/>
            </w:tcBorders>
            <w:shd w:val="clear" w:color="auto" w:fill="auto"/>
            <w:noWrap/>
            <w:vAlign w:val="center"/>
            <w:hideMark/>
          </w:tcPr>
          <w:p w14:paraId="2B79C2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34</w:t>
            </w:r>
          </w:p>
        </w:tc>
        <w:tc>
          <w:tcPr>
            <w:tcW w:w="0" w:type="auto"/>
            <w:tcBorders>
              <w:top w:val="nil"/>
              <w:left w:val="nil"/>
              <w:bottom w:val="double" w:sz="6" w:space="0" w:color="305496"/>
              <w:right w:val="double" w:sz="6" w:space="0" w:color="305496"/>
            </w:tcBorders>
            <w:shd w:val="clear" w:color="auto" w:fill="auto"/>
            <w:noWrap/>
            <w:vAlign w:val="center"/>
            <w:hideMark/>
          </w:tcPr>
          <w:p w14:paraId="792246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18</w:t>
            </w:r>
          </w:p>
        </w:tc>
        <w:tc>
          <w:tcPr>
            <w:tcW w:w="0" w:type="auto"/>
            <w:tcBorders>
              <w:top w:val="nil"/>
              <w:left w:val="nil"/>
              <w:bottom w:val="double" w:sz="6" w:space="0" w:color="305496"/>
              <w:right w:val="double" w:sz="6" w:space="0" w:color="305496"/>
            </w:tcBorders>
            <w:shd w:val="clear" w:color="auto" w:fill="auto"/>
            <w:noWrap/>
            <w:vAlign w:val="center"/>
            <w:hideMark/>
          </w:tcPr>
          <w:p w14:paraId="32E7FE8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c>
          <w:tcPr>
            <w:tcW w:w="0" w:type="auto"/>
            <w:tcBorders>
              <w:top w:val="nil"/>
              <w:left w:val="nil"/>
              <w:bottom w:val="double" w:sz="6" w:space="0" w:color="305496"/>
              <w:right w:val="double" w:sz="6" w:space="0" w:color="305496"/>
            </w:tcBorders>
            <w:shd w:val="clear" w:color="auto" w:fill="auto"/>
            <w:noWrap/>
            <w:vAlign w:val="center"/>
            <w:hideMark/>
          </w:tcPr>
          <w:p w14:paraId="091C6B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nil"/>
              <w:left w:val="nil"/>
              <w:bottom w:val="double" w:sz="6" w:space="0" w:color="305496"/>
              <w:right w:val="double" w:sz="6" w:space="0" w:color="305496"/>
            </w:tcBorders>
            <w:shd w:val="clear" w:color="auto" w:fill="auto"/>
            <w:noWrap/>
            <w:vAlign w:val="center"/>
            <w:hideMark/>
          </w:tcPr>
          <w:p w14:paraId="2266C4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nil"/>
              <w:left w:val="nil"/>
              <w:bottom w:val="double" w:sz="6" w:space="0" w:color="305496"/>
              <w:right w:val="double" w:sz="6" w:space="0" w:color="305496"/>
            </w:tcBorders>
            <w:shd w:val="clear" w:color="auto" w:fill="auto"/>
            <w:noWrap/>
            <w:vAlign w:val="center"/>
            <w:hideMark/>
          </w:tcPr>
          <w:p w14:paraId="5B8511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w:t>
            </w:r>
          </w:p>
        </w:tc>
        <w:tc>
          <w:tcPr>
            <w:tcW w:w="0" w:type="auto"/>
            <w:tcBorders>
              <w:top w:val="nil"/>
              <w:left w:val="nil"/>
              <w:bottom w:val="double" w:sz="6" w:space="0" w:color="305496"/>
              <w:right w:val="double" w:sz="6" w:space="0" w:color="305496"/>
            </w:tcBorders>
            <w:shd w:val="clear" w:color="auto" w:fill="auto"/>
            <w:noWrap/>
            <w:vAlign w:val="center"/>
            <w:hideMark/>
          </w:tcPr>
          <w:p w14:paraId="1AF900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w:t>
            </w:r>
          </w:p>
        </w:tc>
        <w:tc>
          <w:tcPr>
            <w:tcW w:w="0" w:type="auto"/>
            <w:tcBorders>
              <w:top w:val="nil"/>
              <w:left w:val="nil"/>
              <w:bottom w:val="double" w:sz="6" w:space="0" w:color="305496"/>
              <w:right w:val="double" w:sz="6" w:space="0" w:color="305496"/>
            </w:tcBorders>
            <w:shd w:val="clear" w:color="auto" w:fill="auto"/>
            <w:noWrap/>
            <w:vAlign w:val="center"/>
            <w:hideMark/>
          </w:tcPr>
          <w:p w14:paraId="5D8B3F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33</w:t>
            </w:r>
          </w:p>
        </w:tc>
        <w:tc>
          <w:tcPr>
            <w:tcW w:w="0" w:type="auto"/>
            <w:tcBorders>
              <w:top w:val="nil"/>
              <w:left w:val="nil"/>
              <w:bottom w:val="double" w:sz="6" w:space="0" w:color="305496"/>
              <w:right w:val="double" w:sz="6" w:space="0" w:color="305496"/>
            </w:tcBorders>
            <w:shd w:val="clear" w:color="auto" w:fill="auto"/>
            <w:noWrap/>
            <w:vAlign w:val="center"/>
            <w:hideMark/>
          </w:tcPr>
          <w:p w14:paraId="4209A6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814" w:type="dxa"/>
            <w:tcBorders>
              <w:top w:val="nil"/>
              <w:left w:val="nil"/>
              <w:bottom w:val="double" w:sz="6" w:space="0" w:color="305496"/>
              <w:right w:val="double" w:sz="6" w:space="0" w:color="305496"/>
            </w:tcBorders>
            <w:shd w:val="clear" w:color="auto" w:fill="auto"/>
            <w:noWrap/>
            <w:vAlign w:val="center"/>
            <w:hideMark/>
          </w:tcPr>
          <w:p w14:paraId="0754AB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w:t>
            </w:r>
          </w:p>
        </w:tc>
      </w:tr>
      <w:tr w:rsidR="00990FB6" w:rsidRPr="00990FB6" w14:paraId="424A97C9" w14:textId="77777777" w:rsidTr="000A0C22">
        <w:trPr>
          <w:trHeight w:val="345"/>
          <w:jc w:val="center"/>
        </w:trPr>
        <w:tc>
          <w:tcPr>
            <w:tcW w:w="1543" w:type="dxa"/>
            <w:tcBorders>
              <w:top w:val="nil"/>
              <w:left w:val="double" w:sz="6" w:space="0" w:color="305496"/>
              <w:bottom w:val="double" w:sz="6" w:space="0" w:color="305496"/>
              <w:right w:val="double" w:sz="6" w:space="0" w:color="305496"/>
            </w:tcBorders>
            <w:shd w:val="clear" w:color="000000" w:fill="D0CECE"/>
            <w:vAlign w:val="bottom"/>
            <w:hideMark/>
          </w:tcPr>
          <w:p w14:paraId="3EDD46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Entrevistas programadas</w:t>
            </w:r>
          </w:p>
        </w:tc>
        <w:tc>
          <w:tcPr>
            <w:tcW w:w="0" w:type="auto"/>
            <w:tcBorders>
              <w:top w:val="nil"/>
              <w:left w:val="nil"/>
              <w:bottom w:val="double" w:sz="6" w:space="0" w:color="305496"/>
              <w:right w:val="nil"/>
            </w:tcBorders>
            <w:shd w:val="clear" w:color="000000" w:fill="D0CECE"/>
          </w:tcPr>
          <w:p w14:paraId="49E5016C" w14:textId="77777777" w:rsidR="00B15F7D" w:rsidRPr="00990FB6" w:rsidRDefault="00B15F7D" w:rsidP="00B15F7D">
            <w:pPr>
              <w:jc w:val="center"/>
              <w:rPr>
                <w:color w:val="000000"/>
                <w:sz w:val="22"/>
                <w:szCs w:val="22"/>
                <w:lang w:eastAsia="es-CR"/>
              </w:rPr>
            </w:pPr>
          </w:p>
        </w:tc>
        <w:tc>
          <w:tcPr>
            <w:tcW w:w="0" w:type="auto"/>
            <w:tcBorders>
              <w:top w:val="nil"/>
              <w:left w:val="nil"/>
              <w:bottom w:val="double" w:sz="6" w:space="0" w:color="305496"/>
              <w:right w:val="double" w:sz="6" w:space="0" w:color="305496"/>
            </w:tcBorders>
            <w:shd w:val="clear" w:color="000000" w:fill="D0CECE"/>
            <w:noWrap/>
            <w:vAlign w:val="bottom"/>
            <w:hideMark/>
          </w:tcPr>
          <w:p w14:paraId="71745CE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40</w:t>
            </w:r>
          </w:p>
        </w:tc>
        <w:tc>
          <w:tcPr>
            <w:tcW w:w="0" w:type="auto"/>
            <w:tcBorders>
              <w:top w:val="nil"/>
              <w:left w:val="nil"/>
              <w:bottom w:val="double" w:sz="6" w:space="0" w:color="305496"/>
              <w:right w:val="double" w:sz="6" w:space="0" w:color="305496"/>
            </w:tcBorders>
            <w:shd w:val="clear" w:color="000000" w:fill="A9D08E"/>
            <w:noWrap/>
            <w:vAlign w:val="center"/>
            <w:hideMark/>
          </w:tcPr>
          <w:p w14:paraId="181E085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69</w:t>
            </w:r>
          </w:p>
        </w:tc>
        <w:tc>
          <w:tcPr>
            <w:tcW w:w="0" w:type="auto"/>
            <w:tcBorders>
              <w:top w:val="nil"/>
              <w:left w:val="nil"/>
              <w:bottom w:val="double" w:sz="6" w:space="0" w:color="305496"/>
              <w:right w:val="double" w:sz="6" w:space="0" w:color="305496"/>
            </w:tcBorders>
            <w:shd w:val="clear" w:color="000000" w:fill="A9D08E"/>
            <w:noWrap/>
            <w:vAlign w:val="center"/>
            <w:hideMark/>
          </w:tcPr>
          <w:p w14:paraId="533342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69</w:t>
            </w:r>
          </w:p>
        </w:tc>
        <w:tc>
          <w:tcPr>
            <w:tcW w:w="0" w:type="auto"/>
            <w:tcBorders>
              <w:top w:val="nil"/>
              <w:left w:val="nil"/>
              <w:bottom w:val="double" w:sz="6" w:space="0" w:color="305496"/>
              <w:right w:val="double" w:sz="6" w:space="0" w:color="305496"/>
            </w:tcBorders>
            <w:shd w:val="clear" w:color="000000" w:fill="A9D08E"/>
            <w:noWrap/>
            <w:vAlign w:val="center"/>
            <w:hideMark/>
          </w:tcPr>
          <w:p w14:paraId="707CD9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58</w:t>
            </w:r>
          </w:p>
        </w:tc>
        <w:tc>
          <w:tcPr>
            <w:tcW w:w="0" w:type="auto"/>
            <w:tcBorders>
              <w:top w:val="nil"/>
              <w:left w:val="nil"/>
              <w:bottom w:val="double" w:sz="6" w:space="0" w:color="305496"/>
              <w:right w:val="double" w:sz="6" w:space="0" w:color="305496"/>
            </w:tcBorders>
            <w:shd w:val="clear" w:color="000000" w:fill="A9D08E"/>
            <w:noWrap/>
            <w:vAlign w:val="center"/>
            <w:hideMark/>
          </w:tcPr>
          <w:p w14:paraId="00A6A6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80</w:t>
            </w:r>
          </w:p>
        </w:tc>
        <w:tc>
          <w:tcPr>
            <w:tcW w:w="0" w:type="auto"/>
            <w:tcBorders>
              <w:top w:val="nil"/>
              <w:left w:val="nil"/>
              <w:bottom w:val="double" w:sz="6" w:space="0" w:color="305496"/>
              <w:right w:val="double" w:sz="6" w:space="0" w:color="305496"/>
            </w:tcBorders>
            <w:shd w:val="clear" w:color="000000" w:fill="A9D08E"/>
            <w:noWrap/>
            <w:vAlign w:val="center"/>
            <w:hideMark/>
          </w:tcPr>
          <w:p w14:paraId="144286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69</w:t>
            </w:r>
          </w:p>
        </w:tc>
        <w:tc>
          <w:tcPr>
            <w:tcW w:w="0" w:type="auto"/>
            <w:tcBorders>
              <w:top w:val="nil"/>
              <w:left w:val="nil"/>
              <w:bottom w:val="double" w:sz="6" w:space="0" w:color="305496"/>
              <w:right w:val="double" w:sz="6" w:space="0" w:color="305496"/>
            </w:tcBorders>
            <w:shd w:val="clear" w:color="000000" w:fill="A9D08E"/>
            <w:noWrap/>
            <w:vAlign w:val="center"/>
            <w:hideMark/>
          </w:tcPr>
          <w:p w14:paraId="571EBD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79</w:t>
            </w:r>
          </w:p>
        </w:tc>
        <w:tc>
          <w:tcPr>
            <w:tcW w:w="0" w:type="auto"/>
            <w:tcBorders>
              <w:top w:val="nil"/>
              <w:left w:val="nil"/>
              <w:bottom w:val="double" w:sz="6" w:space="0" w:color="305496"/>
              <w:right w:val="double" w:sz="6" w:space="0" w:color="305496"/>
            </w:tcBorders>
            <w:shd w:val="clear" w:color="000000" w:fill="A9D08E"/>
            <w:noWrap/>
            <w:vAlign w:val="center"/>
            <w:hideMark/>
          </w:tcPr>
          <w:p w14:paraId="514A76B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79</w:t>
            </w:r>
          </w:p>
        </w:tc>
        <w:tc>
          <w:tcPr>
            <w:tcW w:w="0" w:type="auto"/>
            <w:tcBorders>
              <w:top w:val="nil"/>
              <w:left w:val="nil"/>
              <w:bottom w:val="double" w:sz="6" w:space="0" w:color="305496"/>
              <w:right w:val="double" w:sz="6" w:space="0" w:color="305496"/>
            </w:tcBorders>
            <w:shd w:val="clear" w:color="000000" w:fill="A9D08E"/>
            <w:noWrap/>
            <w:vAlign w:val="center"/>
            <w:hideMark/>
          </w:tcPr>
          <w:p w14:paraId="30BA076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58</w:t>
            </w:r>
          </w:p>
        </w:tc>
        <w:tc>
          <w:tcPr>
            <w:tcW w:w="0" w:type="auto"/>
            <w:tcBorders>
              <w:top w:val="nil"/>
              <w:left w:val="nil"/>
              <w:bottom w:val="double" w:sz="6" w:space="0" w:color="305496"/>
              <w:right w:val="double" w:sz="6" w:space="0" w:color="305496"/>
            </w:tcBorders>
            <w:shd w:val="clear" w:color="000000" w:fill="A9D08E"/>
            <w:noWrap/>
            <w:vAlign w:val="center"/>
            <w:hideMark/>
          </w:tcPr>
          <w:p w14:paraId="6BBBC7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79</w:t>
            </w:r>
          </w:p>
        </w:tc>
        <w:tc>
          <w:tcPr>
            <w:tcW w:w="814" w:type="dxa"/>
            <w:tcBorders>
              <w:top w:val="nil"/>
              <w:left w:val="nil"/>
              <w:bottom w:val="double" w:sz="6" w:space="0" w:color="305496"/>
              <w:right w:val="double" w:sz="6" w:space="0" w:color="305496"/>
            </w:tcBorders>
            <w:shd w:val="clear" w:color="000000" w:fill="A9D08E"/>
            <w:noWrap/>
            <w:vAlign w:val="center"/>
            <w:hideMark/>
          </w:tcPr>
          <w:p w14:paraId="1DE055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80</w:t>
            </w:r>
          </w:p>
        </w:tc>
      </w:tr>
      <w:tr w:rsidR="00990FB6" w:rsidRPr="00990FB6" w14:paraId="1470ACF1" w14:textId="77777777" w:rsidTr="000A0C22">
        <w:trPr>
          <w:trHeight w:val="345"/>
          <w:jc w:val="center"/>
        </w:trPr>
        <w:tc>
          <w:tcPr>
            <w:tcW w:w="1543" w:type="dxa"/>
            <w:tcBorders>
              <w:top w:val="nil"/>
              <w:left w:val="double" w:sz="6" w:space="0" w:color="305496"/>
              <w:bottom w:val="double" w:sz="6" w:space="0" w:color="305496"/>
              <w:right w:val="double" w:sz="6" w:space="0" w:color="305496"/>
            </w:tcBorders>
            <w:shd w:val="clear" w:color="000000" w:fill="D0CECE"/>
            <w:noWrap/>
            <w:vAlign w:val="bottom"/>
            <w:hideMark/>
          </w:tcPr>
          <w:p w14:paraId="42ADE3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Audiencias de verificación</w:t>
            </w:r>
          </w:p>
        </w:tc>
        <w:tc>
          <w:tcPr>
            <w:tcW w:w="0" w:type="auto"/>
            <w:tcBorders>
              <w:top w:val="nil"/>
              <w:left w:val="nil"/>
              <w:bottom w:val="double" w:sz="6" w:space="0" w:color="305496"/>
              <w:right w:val="nil"/>
            </w:tcBorders>
            <w:shd w:val="clear" w:color="000000" w:fill="D0CECE"/>
          </w:tcPr>
          <w:p w14:paraId="23ECF658" w14:textId="77777777" w:rsidR="00B15F7D" w:rsidRPr="00990FB6" w:rsidRDefault="00B15F7D" w:rsidP="00B15F7D">
            <w:pPr>
              <w:jc w:val="center"/>
              <w:rPr>
                <w:color w:val="000000"/>
                <w:sz w:val="22"/>
                <w:szCs w:val="22"/>
                <w:lang w:eastAsia="es-CR"/>
              </w:rPr>
            </w:pPr>
          </w:p>
        </w:tc>
        <w:tc>
          <w:tcPr>
            <w:tcW w:w="0" w:type="auto"/>
            <w:tcBorders>
              <w:top w:val="nil"/>
              <w:left w:val="nil"/>
              <w:bottom w:val="double" w:sz="6" w:space="0" w:color="305496"/>
              <w:right w:val="double" w:sz="6" w:space="0" w:color="305496"/>
            </w:tcBorders>
            <w:shd w:val="clear" w:color="000000" w:fill="D0CECE"/>
            <w:noWrap/>
            <w:vAlign w:val="bottom"/>
            <w:hideMark/>
          </w:tcPr>
          <w:p w14:paraId="54B348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w:t>
            </w:r>
          </w:p>
        </w:tc>
        <w:tc>
          <w:tcPr>
            <w:tcW w:w="0" w:type="auto"/>
            <w:tcBorders>
              <w:top w:val="nil"/>
              <w:left w:val="nil"/>
              <w:bottom w:val="double" w:sz="6" w:space="0" w:color="305496"/>
              <w:right w:val="double" w:sz="6" w:space="0" w:color="305496"/>
            </w:tcBorders>
            <w:shd w:val="clear" w:color="000000" w:fill="A9D08E"/>
            <w:noWrap/>
            <w:vAlign w:val="center"/>
            <w:hideMark/>
          </w:tcPr>
          <w:p w14:paraId="7CEDD8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17</w:t>
            </w:r>
          </w:p>
        </w:tc>
        <w:tc>
          <w:tcPr>
            <w:tcW w:w="0" w:type="auto"/>
            <w:tcBorders>
              <w:top w:val="nil"/>
              <w:left w:val="nil"/>
              <w:bottom w:val="double" w:sz="6" w:space="0" w:color="305496"/>
              <w:right w:val="double" w:sz="6" w:space="0" w:color="305496"/>
            </w:tcBorders>
            <w:shd w:val="clear" w:color="000000" w:fill="A9D08E"/>
            <w:noWrap/>
            <w:vAlign w:val="center"/>
            <w:hideMark/>
          </w:tcPr>
          <w:p w14:paraId="4B8691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0" w:type="auto"/>
            <w:tcBorders>
              <w:top w:val="nil"/>
              <w:left w:val="nil"/>
              <w:bottom w:val="double" w:sz="6" w:space="0" w:color="305496"/>
              <w:right w:val="double" w:sz="6" w:space="0" w:color="305496"/>
            </w:tcBorders>
            <w:shd w:val="clear" w:color="000000" w:fill="A9D08E"/>
            <w:noWrap/>
            <w:vAlign w:val="center"/>
            <w:hideMark/>
          </w:tcPr>
          <w:p w14:paraId="047DB5D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w:t>
            </w:r>
          </w:p>
        </w:tc>
        <w:tc>
          <w:tcPr>
            <w:tcW w:w="0" w:type="auto"/>
            <w:tcBorders>
              <w:top w:val="nil"/>
              <w:left w:val="nil"/>
              <w:bottom w:val="double" w:sz="6" w:space="0" w:color="305496"/>
              <w:right w:val="double" w:sz="6" w:space="0" w:color="305496"/>
            </w:tcBorders>
            <w:shd w:val="clear" w:color="auto" w:fill="auto"/>
            <w:noWrap/>
            <w:vAlign w:val="center"/>
            <w:hideMark/>
          </w:tcPr>
          <w:p w14:paraId="65B597D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nil"/>
              <w:left w:val="nil"/>
              <w:bottom w:val="double" w:sz="6" w:space="0" w:color="305496"/>
              <w:right w:val="double" w:sz="6" w:space="0" w:color="305496"/>
            </w:tcBorders>
            <w:shd w:val="clear" w:color="auto" w:fill="auto"/>
            <w:noWrap/>
            <w:vAlign w:val="center"/>
            <w:hideMark/>
          </w:tcPr>
          <w:p w14:paraId="028E65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nil"/>
              <w:left w:val="nil"/>
              <w:bottom w:val="double" w:sz="6" w:space="0" w:color="305496"/>
              <w:right w:val="double" w:sz="6" w:space="0" w:color="305496"/>
            </w:tcBorders>
            <w:shd w:val="clear" w:color="000000" w:fill="A9D08E"/>
            <w:noWrap/>
            <w:vAlign w:val="center"/>
            <w:hideMark/>
          </w:tcPr>
          <w:p w14:paraId="2BDD7B2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w:t>
            </w:r>
          </w:p>
        </w:tc>
        <w:tc>
          <w:tcPr>
            <w:tcW w:w="0" w:type="auto"/>
            <w:tcBorders>
              <w:top w:val="nil"/>
              <w:left w:val="nil"/>
              <w:bottom w:val="double" w:sz="6" w:space="0" w:color="305496"/>
              <w:right w:val="double" w:sz="6" w:space="0" w:color="305496"/>
            </w:tcBorders>
            <w:shd w:val="clear" w:color="000000" w:fill="A9D08E"/>
            <w:noWrap/>
            <w:vAlign w:val="center"/>
            <w:hideMark/>
          </w:tcPr>
          <w:p w14:paraId="6ACA3A5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w:t>
            </w:r>
          </w:p>
        </w:tc>
        <w:tc>
          <w:tcPr>
            <w:tcW w:w="0" w:type="auto"/>
            <w:tcBorders>
              <w:top w:val="nil"/>
              <w:left w:val="nil"/>
              <w:bottom w:val="double" w:sz="6" w:space="0" w:color="305496"/>
              <w:right w:val="double" w:sz="6" w:space="0" w:color="305496"/>
            </w:tcBorders>
            <w:shd w:val="clear" w:color="000000" w:fill="A9D08E"/>
            <w:noWrap/>
            <w:vAlign w:val="center"/>
            <w:hideMark/>
          </w:tcPr>
          <w:p w14:paraId="6B2D35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0" w:type="auto"/>
            <w:tcBorders>
              <w:top w:val="nil"/>
              <w:left w:val="nil"/>
              <w:bottom w:val="double" w:sz="6" w:space="0" w:color="305496"/>
              <w:right w:val="double" w:sz="6" w:space="0" w:color="305496"/>
            </w:tcBorders>
            <w:shd w:val="clear" w:color="auto" w:fill="auto"/>
            <w:noWrap/>
            <w:vAlign w:val="center"/>
            <w:hideMark/>
          </w:tcPr>
          <w:p w14:paraId="405C3A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814" w:type="dxa"/>
            <w:tcBorders>
              <w:top w:val="nil"/>
              <w:left w:val="nil"/>
              <w:bottom w:val="double" w:sz="6" w:space="0" w:color="305496"/>
              <w:right w:val="double" w:sz="6" w:space="0" w:color="305496"/>
            </w:tcBorders>
            <w:shd w:val="clear" w:color="000000" w:fill="A9D08E"/>
            <w:noWrap/>
            <w:vAlign w:val="center"/>
            <w:hideMark/>
          </w:tcPr>
          <w:p w14:paraId="2D32E4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13</w:t>
            </w:r>
          </w:p>
        </w:tc>
      </w:tr>
    </w:tbl>
    <w:p w14:paraId="41A76082" w14:textId="77777777" w:rsidR="00B15F7D" w:rsidRPr="00990FB6" w:rsidRDefault="00B15F7D" w:rsidP="00B15F7D">
      <w:pPr>
        <w:rPr>
          <w:b/>
          <w:color w:val="000000"/>
          <w:sz w:val="22"/>
          <w:szCs w:val="22"/>
          <w:lang w:eastAsia="es-CR"/>
        </w:rPr>
      </w:pPr>
    </w:p>
    <w:p w14:paraId="4D2E3597"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extraída de SIGMA.</w:t>
      </w:r>
    </w:p>
    <w:p w14:paraId="00CABDF2" w14:textId="77777777" w:rsidR="00B15F7D" w:rsidRPr="00990FB6" w:rsidRDefault="00B15F7D" w:rsidP="00B15F7D">
      <w:pPr>
        <w:tabs>
          <w:tab w:val="left" w:pos="0"/>
        </w:tabs>
        <w:ind w:left="851" w:right="851" w:firstLine="709"/>
        <w:jc w:val="both"/>
        <w:rPr>
          <w:color w:val="000000"/>
          <w:sz w:val="22"/>
          <w:szCs w:val="22"/>
        </w:rPr>
      </w:pPr>
    </w:p>
    <w:p w14:paraId="7CE5A974"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Con base en cuadro anterior se puede observar cumplimiento de las cuotas de trabajo en los equipos de trabajo interdisciplinarios. Respecto a los asuntos entrados se tiene que se cumple con el ingreso de al menos 40 causas en el equipo del II Circuito Judicial de San José; mientras que en el caso de las Reuniones Restaurativas programadas no se presenta cumplimiento en ninguno de los equipos de trabajo. Respecto a las entrevistas programadas, todos los equipos logran cumplir la cuota asignada de al menos 40 entrevistas por mes y en el caso de las audiencias de verificación se observa cumplimiento en la mayoría de los equipos, con excepción del equipo de Alajuela, San Ramón y el equipo del I Circuito Judicial de la Zona Atlántica.</w:t>
      </w:r>
    </w:p>
    <w:p w14:paraId="11A2BE5B" w14:textId="77777777" w:rsidR="00B15F7D" w:rsidRPr="00990FB6" w:rsidRDefault="00B15F7D" w:rsidP="00B15F7D">
      <w:pPr>
        <w:tabs>
          <w:tab w:val="left" w:pos="0"/>
        </w:tabs>
        <w:ind w:left="851" w:right="851" w:firstLine="709"/>
        <w:jc w:val="both"/>
        <w:rPr>
          <w:color w:val="000000"/>
          <w:sz w:val="22"/>
          <w:szCs w:val="22"/>
        </w:rPr>
      </w:pPr>
    </w:p>
    <w:p w14:paraId="2B6D67C6" w14:textId="77777777" w:rsidR="00B15F7D" w:rsidRPr="00990FB6" w:rsidRDefault="00B15F7D" w:rsidP="00B15F7D">
      <w:pPr>
        <w:keepNext/>
        <w:numPr>
          <w:ilvl w:val="1"/>
          <w:numId w:val="154"/>
        </w:numPr>
        <w:suppressAutoHyphens w:val="0"/>
        <w:ind w:left="851" w:right="851" w:firstLine="709"/>
        <w:jc w:val="both"/>
        <w:rPr>
          <w:color w:val="000000"/>
          <w:sz w:val="22"/>
          <w:szCs w:val="22"/>
        </w:rPr>
      </w:pPr>
      <w:r w:rsidRPr="00990FB6">
        <w:rPr>
          <w:color w:val="000000"/>
          <w:sz w:val="22"/>
          <w:szCs w:val="22"/>
        </w:rPr>
        <w:t>Análisis del costo de la Justicia Penal respecto a Justicia Restaurativa</w:t>
      </w:r>
    </w:p>
    <w:p w14:paraId="1F32F20B" w14:textId="77777777" w:rsidR="00B15F7D" w:rsidRPr="00990FB6" w:rsidRDefault="00B15F7D" w:rsidP="00B15F7D">
      <w:pPr>
        <w:keepNext/>
        <w:suppressAutoHyphens w:val="0"/>
        <w:ind w:left="851" w:right="851" w:firstLine="709"/>
        <w:jc w:val="both"/>
        <w:rPr>
          <w:color w:val="000000"/>
          <w:sz w:val="22"/>
          <w:szCs w:val="22"/>
        </w:rPr>
      </w:pPr>
    </w:p>
    <w:p w14:paraId="007C650B"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Es importante destacar, obviando aspectos de índole social resueltos en los procesos jurisdiccionales, por la vía de la solución alterna de conflictos, conciliación y Justicia Restaurativa, que la institución incurre en menos costos, respecto a los procesos resueltos por la vía ordinaria. En ese sentido y conforme a valor económico estimado para el proceso de Justicia Restaurativa (¢343,122) y </w:t>
      </w:r>
      <w:r w:rsidRPr="00990FB6">
        <w:rPr>
          <w:color w:val="000000"/>
          <w:sz w:val="22"/>
          <w:szCs w:val="22"/>
        </w:rPr>
        <w:lastRenderedPageBreak/>
        <w:t xml:space="preserve">resolución de la causa mediante el proceso ordinario (¢2.505.403), según informe 2052-PLA-PP-2020 de la Dirección de Planificación, aprobado en sesión del Consejo Superior 03-2021 celebrada el 12 de enero de 2021, artículo XL. Con base en esta información cada asunto terminado en Justicia Restaurativa le genera a la Institución un ahorro aproximado de ¢2.162.281, sea un 86% menos del monto en que se incurre, tramitando la causa por la vía ordinaria ((¢2.505.403).  </w:t>
      </w:r>
    </w:p>
    <w:p w14:paraId="3F3D10B1" w14:textId="77777777" w:rsidR="00B15F7D" w:rsidRPr="00990FB6" w:rsidRDefault="00B15F7D" w:rsidP="00B15F7D">
      <w:pPr>
        <w:tabs>
          <w:tab w:val="left" w:pos="0"/>
        </w:tabs>
        <w:ind w:left="851" w:right="851" w:firstLine="709"/>
        <w:jc w:val="both"/>
        <w:rPr>
          <w:color w:val="000000"/>
          <w:sz w:val="22"/>
          <w:szCs w:val="22"/>
        </w:rPr>
      </w:pPr>
    </w:p>
    <w:p w14:paraId="24B62AE6"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la práctica y desde un punto de vista aritmético, un proceso en materia Penal que se concluya en la etapa intermedia inherentemente es menos oneroso que otro que agote la vía recursiva hasta ser conocido por la Sala Tercera, toda vez que este último en principio va a requerir de una mayor inversión de recursos en el transcurso del Juicio y confirmación de la sentencia por parte de los órganos jerárquicos, entre otros. </w:t>
      </w:r>
    </w:p>
    <w:p w14:paraId="7B987B43" w14:textId="77777777" w:rsidR="00B15F7D" w:rsidRPr="00990FB6" w:rsidRDefault="00B15F7D" w:rsidP="00B15F7D">
      <w:pPr>
        <w:tabs>
          <w:tab w:val="left" w:pos="0"/>
        </w:tabs>
        <w:ind w:left="851" w:right="851" w:firstLine="709"/>
        <w:jc w:val="both"/>
        <w:rPr>
          <w:color w:val="000000"/>
          <w:sz w:val="22"/>
          <w:szCs w:val="22"/>
        </w:rPr>
      </w:pPr>
    </w:p>
    <w:p w14:paraId="23BDC502" w14:textId="77777777" w:rsidR="00B15F7D" w:rsidRPr="00990FB6" w:rsidRDefault="00B15F7D" w:rsidP="00B15F7D">
      <w:pPr>
        <w:keepNext/>
        <w:numPr>
          <w:ilvl w:val="0"/>
          <w:numId w:val="154"/>
        </w:numPr>
        <w:suppressAutoHyphens w:val="0"/>
        <w:ind w:left="851" w:right="851" w:firstLine="709"/>
        <w:jc w:val="both"/>
        <w:rPr>
          <w:color w:val="000000"/>
          <w:sz w:val="22"/>
          <w:szCs w:val="22"/>
        </w:rPr>
      </w:pPr>
      <w:r w:rsidRPr="00990FB6">
        <w:rPr>
          <w:color w:val="000000"/>
          <w:sz w:val="22"/>
          <w:szCs w:val="22"/>
        </w:rPr>
        <w:t>Limitantes del estudio</w:t>
      </w:r>
    </w:p>
    <w:p w14:paraId="423BA762" w14:textId="77777777" w:rsidR="00B15F7D" w:rsidRPr="00990FB6" w:rsidRDefault="00B15F7D" w:rsidP="00B15F7D">
      <w:pPr>
        <w:keepNext/>
        <w:suppressAutoHyphens w:val="0"/>
        <w:ind w:left="851" w:right="851" w:firstLine="709"/>
        <w:jc w:val="both"/>
        <w:rPr>
          <w:color w:val="000000"/>
          <w:sz w:val="22"/>
          <w:szCs w:val="22"/>
        </w:rPr>
      </w:pPr>
    </w:p>
    <w:p w14:paraId="05912349" w14:textId="77777777" w:rsidR="00B15F7D" w:rsidRPr="00990FB6" w:rsidRDefault="00B15F7D" w:rsidP="00B15F7D">
      <w:pPr>
        <w:tabs>
          <w:tab w:val="left" w:pos="851"/>
          <w:tab w:val="left" w:pos="1276"/>
        </w:tabs>
        <w:ind w:left="851" w:right="851" w:firstLine="709"/>
        <w:jc w:val="both"/>
        <w:rPr>
          <w:color w:val="000000"/>
          <w:sz w:val="22"/>
          <w:szCs w:val="22"/>
        </w:rPr>
      </w:pPr>
      <w:r w:rsidRPr="00990FB6">
        <w:rPr>
          <w:color w:val="000000"/>
          <w:sz w:val="22"/>
          <w:szCs w:val="22"/>
        </w:rPr>
        <w:t xml:space="preserve">El Subproceso de Estadística para la materia de Penal Adulto en Justicia Restaurativa cuenta a la fecha de realización de este informe con la versión preliminar del anuario judicial. (Ver apéndice 4) </w:t>
      </w:r>
    </w:p>
    <w:p w14:paraId="2C036257" w14:textId="77777777" w:rsidR="00B15F7D" w:rsidRPr="00990FB6" w:rsidRDefault="00B15F7D" w:rsidP="00B15F7D">
      <w:pPr>
        <w:tabs>
          <w:tab w:val="left" w:pos="851"/>
          <w:tab w:val="left" w:pos="1276"/>
        </w:tabs>
        <w:ind w:left="851" w:right="851" w:firstLine="709"/>
        <w:jc w:val="both"/>
        <w:rPr>
          <w:color w:val="000000"/>
          <w:sz w:val="22"/>
          <w:szCs w:val="22"/>
        </w:rPr>
      </w:pPr>
    </w:p>
    <w:p w14:paraId="18E06DA3" w14:textId="77777777" w:rsidR="00B15F7D" w:rsidRPr="00990FB6" w:rsidRDefault="00B15F7D" w:rsidP="00B15F7D">
      <w:pPr>
        <w:ind w:left="851" w:right="851" w:firstLine="709"/>
        <w:jc w:val="both"/>
        <w:rPr>
          <w:color w:val="000000"/>
          <w:sz w:val="22"/>
          <w:szCs w:val="22"/>
          <w:lang w:eastAsia="es-ES"/>
        </w:rPr>
      </w:pPr>
      <w:r w:rsidRPr="00990FB6">
        <w:rPr>
          <w:color w:val="000000"/>
          <w:sz w:val="22"/>
          <w:szCs w:val="22"/>
        </w:rPr>
        <w:t xml:space="preserve">Para la materia Penal Juvenil atendida en Justicia Restaurativa, no se cuenta con información preliminar para el año 2022, por lo que se utiliza en este informe los </w:t>
      </w:r>
      <w:r w:rsidRPr="00990FB6">
        <w:rPr>
          <w:color w:val="000000"/>
          <w:sz w:val="22"/>
          <w:szCs w:val="22"/>
          <w:lang w:eastAsia="es-ES"/>
        </w:rPr>
        <w:t xml:space="preserve">datos del año 2021. (Ver apéndice 5) </w:t>
      </w:r>
    </w:p>
    <w:p w14:paraId="74DACB5F" w14:textId="77777777" w:rsidR="00B15F7D" w:rsidRPr="00990FB6" w:rsidRDefault="00B15F7D" w:rsidP="00B15F7D">
      <w:pPr>
        <w:ind w:left="851" w:right="851" w:firstLine="709"/>
        <w:jc w:val="both"/>
        <w:rPr>
          <w:color w:val="000000"/>
          <w:sz w:val="22"/>
          <w:szCs w:val="22"/>
        </w:rPr>
      </w:pPr>
    </w:p>
    <w:p w14:paraId="08B8EE75" w14:textId="77777777" w:rsidR="00B15F7D" w:rsidRPr="00990FB6" w:rsidRDefault="00B15F7D" w:rsidP="00B15F7D">
      <w:pPr>
        <w:ind w:left="851" w:right="851" w:firstLine="709"/>
        <w:jc w:val="both"/>
        <w:rPr>
          <w:color w:val="000000"/>
          <w:sz w:val="22"/>
          <w:szCs w:val="22"/>
          <w:lang w:eastAsia="es-ES"/>
        </w:rPr>
      </w:pPr>
      <w:r w:rsidRPr="00990FB6">
        <w:rPr>
          <w:color w:val="000000"/>
          <w:sz w:val="22"/>
          <w:szCs w:val="22"/>
          <w:lang w:eastAsia="es-ES"/>
        </w:rPr>
        <w:t xml:space="preserve">El Subproceso de Estadística no cuenta actualmente con anuarios judiciales para la atención de la materia de Contravenciones por parte de los equipos de Justicia Restaurativa. (Ver apéndice 7) A la fecha la nueva fórmula que se implantará si contiene estas variables. </w:t>
      </w:r>
    </w:p>
    <w:p w14:paraId="39A0A432" w14:textId="77777777" w:rsidR="00B15F7D" w:rsidRPr="00990FB6" w:rsidRDefault="00B15F7D" w:rsidP="00B15F7D">
      <w:pPr>
        <w:ind w:left="851" w:right="851" w:firstLine="709"/>
        <w:jc w:val="both"/>
        <w:rPr>
          <w:color w:val="000000"/>
          <w:sz w:val="22"/>
          <w:szCs w:val="22"/>
        </w:rPr>
      </w:pPr>
    </w:p>
    <w:p w14:paraId="62C7D3A6" w14:textId="77777777" w:rsidR="00B15F7D" w:rsidRPr="00990FB6" w:rsidRDefault="00B15F7D" w:rsidP="00B15F7D">
      <w:pPr>
        <w:ind w:left="851" w:right="851" w:firstLine="709"/>
        <w:jc w:val="both"/>
        <w:rPr>
          <w:color w:val="000000"/>
          <w:sz w:val="22"/>
          <w:szCs w:val="22"/>
          <w:lang w:eastAsia="es-ES"/>
        </w:rPr>
      </w:pPr>
      <w:r w:rsidRPr="00990FB6">
        <w:rPr>
          <w:color w:val="000000"/>
          <w:sz w:val="22"/>
          <w:szCs w:val="22"/>
          <w:lang w:eastAsia="es-ES"/>
        </w:rPr>
        <w:t>En el año 2021 se inicia con la atención por parte de dos equipos interdisciplinarios nuevos. Se considera que los equipos se deben encargar de la conformación de las redes de apoyo en las localidades.</w:t>
      </w:r>
    </w:p>
    <w:p w14:paraId="270F7E11" w14:textId="77777777" w:rsidR="00B15F7D" w:rsidRPr="00990FB6" w:rsidRDefault="00B15F7D" w:rsidP="00B15F7D">
      <w:pPr>
        <w:ind w:left="851" w:right="851" w:firstLine="709"/>
        <w:jc w:val="both"/>
        <w:rPr>
          <w:color w:val="000000"/>
          <w:sz w:val="22"/>
          <w:szCs w:val="22"/>
        </w:rPr>
      </w:pPr>
    </w:p>
    <w:p w14:paraId="18642832" w14:textId="77777777" w:rsidR="00B15F7D" w:rsidRPr="00990FB6" w:rsidRDefault="00B15F7D" w:rsidP="00B15F7D">
      <w:pPr>
        <w:keepNext/>
        <w:numPr>
          <w:ilvl w:val="0"/>
          <w:numId w:val="154"/>
        </w:numPr>
        <w:suppressAutoHyphens w:val="0"/>
        <w:ind w:left="851" w:right="851" w:firstLine="709"/>
        <w:jc w:val="both"/>
        <w:rPr>
          <w:color w:val="000000"/>
          <w:sz w:val="22"/>
          <w:szCs w:val="22"/>
        </w:rPr>
      </w:pPr>
      <w:r w:rsidRPr="00990FB6">
        <w:rPr>
          <w:color w:val="000000"/>
          <w:sz w:val="22"/>
          <w:szCs w:val="22"/>
        </w:rPr>
        <w:t>Elementos conclusivos</w:t>
      </w:r>
    </w:p>
    <w:p w14:paraId="5566CDB8" w14:textId="77777777" w:rsidR="00B15F7D" w:rsidRPr="00990FB6" w:rsidRDefault="00B15F7D" w:rsidP="00B15F7D">
      <w:pPr>
        <w:keepNext/>
        <w:suppressAutoHyphens w:val="0"/>
        <w:ind w:left="851" w:right="851" w:firstLine="709"/>
        <w:jc w:val="both"/>
        <w:rPr>
          <w:color w:val="000000"/>
          <w:sz w:val="22"/>
          <w:szCs w:val="22"/>
        </w:rPr>
      </w:pPr>
    </w:p>
    <w:p w14:paraId="63EEF797" w14:textId="77777777" w:rsidR="00B15F7D" w:rsidRPr="00990FB6" w:rsidRDefault="00B15F7D" w:rsidP="00B15F7D">
      <w:pPr>
        <w:numPr>
          <w:ilvl w:val="1"/>
          <w:numId w:val="158"/>
        </w:numPr>
        <w:suppressAutoHyphens w:val="0"/>
        <w:ind w:left="851" w:right="851" w:firstLine="709"/>
        <w:jc w:val="both"/>
        <w:rPr>
          <w:color w:val="000000"/>
          <w:sz w:val="22"/>
          <w:szCs w:val="22"/>
        </w:rPr>
      </w:pPr>
      <w:r w:rsidRPr="00990FB6">
        <w:rPr>
          <w:color w:val="000000"/>
          <w:sz w:val="22"/>
          <w:szCs w:val="22"/>
        </w:rPr>
        <w:t>La ley de Justicia Restaurativa 9582 entró en vigencia el 20 de enero de 2019 con un ámbito de aplicación que se extiende a la materia Penal, Penal Juvenil y Contravencional en todas sus etapas; con participación de un equipo interdisciplinario conformado por un equipo legal, un equipo psicosocial y personas juzgadoras y a la fecha no ha contenido económico.</w:t>
      </w:r>
    </w:p>
    <w:p w14:paraId="619D3D56" w14:textId="77777777" w:rsidR="00B15F7D" w:rsidRPr="00990FB6" w:rsidRDefault="00B15F7D" w:rsidP="00B15F7D">
      <w:pPr>
        <w:ind w:left="851" w:right="851" w:firstLine="709"/>
        <w:jc w:val="both"/>
        <w:rPr>
          <w:color w:val="000000"/>
          <w:sz w:val="22"/>
          <w:szCs w:val="22"/>
        </w:rPr>
      </w:pPr>
    </w:p>
    <w:p w14:paraId="6846F224"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A pesar de que han existido diversos estudios presupuestarios a la fecha no se han incorporado los recursos solicitados para completar los equipos de Justicia Restaurativa, según las solicitudes expuestas por la oficina durante estos últimos años. La Oficina Rectora de Justicia Restaurativa, funciona bajo la coordinación del magistrado Gerardo Rubén Alfaro Vargas y cuenta con tres plazas de Profesional en Derecho 3B, una plaza de Técnica o Técnico Judicial, una plaza de Secretaria Ejecutiva y una plaza de Profesional 2. </w:t>
      </w:r>
    </w:p>
    <w:p w14:paraId="04C4507C"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lastRenderedPageBreak/>
        <w:t>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w:t>
      </w:r>
    </w:p>
    <w:p w14:paraId="7A504CC1"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759D92A7"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En materia Penal de adultos, se encuentran conformados nueve equipos Interdisciplinarios a nivel nacional, con una plaza de Fiscala o Fiscal, una de Defensora o Defensor, 2 en el área Psicosocial y una plaza técnica o técnico Judicial. Para el caso de Penal Juvenil se cuenta con atención en los 15 circuitos judiciales, y con la colaboración de las plazas de Fiscala o Fiscal y Defensora o Defensor Público en algunos de los cuales se comparte la atención del equipo psicosocial entre penal juvenil y penal adulto, o inclusive con contravenciones.</w:t>
      </w:r>
    </w:p>
    <w:p w14:paraId="39100B54"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378F5654"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En la actualidad no se cuenta con atención de la materia Penal Adulto en el II Circuito Judicial de Alajuela y II Circuito Judicial de Guanacaste. En el caso de la materia Penal Juvenil se cuenta con atención en 15 Circuitos Judiciales.</w:t>
      </w:r>
    </w:p>
    <w:p w14:paraId="10EFB2EE"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56B002D7"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La atención en materia contravencional por parte de un equipo del Poder Judicial comprende: III Circuito Judicial de San José, I Circuito Judicial de Alajuela, I Circuito Judicial de la Zona Atlántica, Circuito Judicial de Puntarenas y I Circuito Judicial de Guanacaste.</w:t>
      </w:r>
    </w:p>
    <w:p w14:paraId="3969DCA7"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2D42D7BF"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Se cuenta con apoyo en la atención de la materia contravencional por parte de las Casas de Justicia en: II y III Circuito Judicial de Alajuela, Circuito Judicial de Heredia, Circuito Judicial de Cartago, Circuito Judicial de Puntarenas y II Circuito Judicial de Guanacaste.</w:t>
      </w:r>
    </w:p>
    <w:p w14:paraId="785B957F"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6C83248B"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Para el año 2022, se identificó una diferencia de 607 asuntos menos respecto a la cantidad total de ingreso en el año 2021, por lo que se refleja un crecimiento en la entrada de asuntos, que corresponde al 19% respecto a la entrada obtenida en 2021.</w:t>
      </w:r>
    </w:p>
    <w:p w14:paraId="7E1DC8A0"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57A6A420"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En el caso de los asuntos terminados, en 2022 se presenta un incremento que corresponde a 49 asuntos más respecto al promedio mensual para el año 2021. Lo anterior evidencia un incremento en los casos terminados de 135 asuntos en tres años (2020 al 2022), pero la entrada de asuntos también aumento en 118 asuntos en el mismo periodo.</w:t>
      </w:r>
    </w:p>
    <w:p w14:paraId="2EF33F29"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44CAD213"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Al analizar la procedencia de los casos, se identifica que durante el 2022 la mayor cantidad ingresó en el Segundo Circuito Judicial de San José con 505 causas los cuales corresponden a un 14% de la totalidad ingresada durante el 2022. En segundo lugar, se ubica Circuito Judicial de Cartago con 12% del total de las causas ingresadas, mientras en tercer lugar se ubica el II Circuito Judicial de la Zona Atlántica con el 11% de los casos ingresados.</w:t>
      </w:r>
    </w:p>
    <w:p w14:paraId="33E9F600"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318F2256"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En el caso del Segundo Circuito Judicial de San José se observa una disminución de 148 asuntos para el 2022, comparado con el año 2021.  </w:t>
      </w:r>
    </w:p>
    <w:p w14:paraId="5B2509E4"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lastRenderedPageBreak/>
        <w:t xml:space="preserve"> Respecto al Tercer Circuito Judicial de San José se experimentó un aumento de los casos ingresados en el 2021 tomando como base la cantidad entrada en 2020, no obstante, para el 2022 esta cifra disminuye a 348 asuntos. </w:t>
      </w:r>
    </w:p>
    <w:p w14:paraId="36F96910"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1940609C"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En el caso del Circuito Judicial de Cartago, se identifica un aumento en los casos ingresados en 2021 respecto al año 2020, situación que continua para el 2022, donde se observa un aumento en la entrada de 48 asuntos respecto al 2021.</w:t>
      </w:r>
    </w:p>
    <w:p w14:paraId="55C6F353"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4C7188E6"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Adicionalmente, para el 2021 se muestran los primeros registros para el I y III Circuito Judicial de Alajuela, en donde se da un aumento significativo para cada uno de estos despachos. En el caso de Alajuela se refleja un aumento de 156 asuntos respecto al año 2021 y para el caso de San Ramón, un aumento de 65 asuntos. </w:t>
      </w:r>
    </w:p>
    <w:p w14:paraId="3A9DBFEA"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50D83E1C"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Para el Circuito Judicial de Heredia durante 2020, 2021 y 2022 la cantidad de asuntos ingresados es bastante similar, 326, 365 y 342 respectivamente, aunque para el 2022 la cantidad se evidencia una disminución de 23 asuntos, respecto al 2021. </w:t>
      </w:r>
    </w:p>
    <w:p w14:paraId="12D3AAAA"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5D470436"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Se reporta una disminución de casos entrados en el Circuito Judicial de Puntarenas para el año 2021, ya que ingresaron 15 asuntos menos que en el 2020. Para el</w:t>
      </w:r>
      <w:r w:rsidRPr="00990FB6" w:rsidDel="00731430">
        <w:rPr>
          <w:color w:val="000000"/>
          <w:sz w:val="22"/>
          <w:szCs w:val="22"/>
        </w:rPr>
        <w:t xml:space="preserve"> </w:t>
      </w:r>
      <w:r w:rsidRPr="00990FB6">
        <w:rPr>
          <w:color w:val="000000"/>
          <w:sz w:val="22"/>
          <w:szCs w:val="22"/>
        </w:rPr>
        <w:t>2022 se reporta una disminución de 45 asuntos, para un total de 320 casos ingresados.</w:t>
      </w:r>
    </w:p>
    <w:p w14:paraId="08797E43"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37ED805F"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Respecto al Primer Circuito Judicial de la Zona Sur, se evidencia una disminución de 51 asuntos para el 2021, respecto a la cantidad ingresada en el 2020. Para el</w:t>
      </w:r>
      <w:r w:rsidRPr="00990FB6" w:rsidDel="00084406">
        <w:rPr>
          <w:color w:val="000000"/>
          <w:sz w:val="22"/>
          <w:szCs w:val="22"/>
        </w:rPr>
        <w:t xml:space="preserve"> </w:t>
      </w:r>
      <w:r w:rsidRPr="00990FB6">
        <w:rPr>
          <w:color w:val="000000"/>
          <w:sz w:val="22"/>
          <w:szCs w:val="22"/>
        </w:rPr>
        <w:t>2022 aumenta 35 asuntos, se tiene un total de 372 asuntos ingresados.</w:t>
      </w:r>
    </w:p>
    <w:p w14:paraId="2D62808C"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36EA5200"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Respecto al caso del I Circuito Judicial de la Zona Atlántica, disminuye durante el 2022 en tres casos respecto al año 2021.</w:t>
      </w:r>
    </w:p>
    <w:p w14:paraId="5658AD5B"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22FF505B"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En el II Circuito Judicial de la Zona Atlántica, el ingreso de asuntos aumenta en 50 asuntos en el 2021, con base en la cantidad registrada en 2020. En el</w:t>
      </w:r>
      <w:r w:rsidRPr="00990FB6" w:rsidDel="00D8534C">
        <w:rPr>
          <w:color w:val="000000"/>
          <w:sz w:val="22"/>
          <w:szCs w:val="22"/>
        </w:rPr>
        <w:t xml:space="preserve"> </w:t>
      </w:r>
      <w:r w:rsidRPr="00990FB6">
        <w:rPr>
          <w:color w:val="000000"/>
          <w:sz w:val="22"/>
          <w:szCs w:val="22"/>
        </w:rPr>
        <w:t>2022 se reporta un total de 412 asuntos ingresados, reflejando un aumento de 89 asuntos en periodo 2020 al 2022.</w:t>
      </w:r>
    </w:p>
    <w:p w14:paraId="37BA73CC"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06F9308E"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Referente al I Circuito Judicial de Guanacaste se logra determinar un aumento significativo en el 2022, de 270 asuntos respecto el 2021.</w:t>
      </w:r>
    </w:p>
    <w:p w14:paraId="20C86A17"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439AB82A"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Al comparar el promedio mensual de las entradas nuevas correspondiente al año 2021 (28 asuntos), con el promedio mensual de entradas obtenido para 2022 (28 asuntos) se obtiene que para el año 2022, se mantiene la cantidad de ingresos nuevos. </w:t>
      </w:r>
    </w:p>
    <w:p w14:paraId="21980BDC"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610BC046" w14:textId="6B895E20"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Para el año 2022 se registra la mayor cantidad de terminados en el II Circuito Judicial de San José (52 casos). El segundo lugar corresponde al Circuito Judicial de Cartago, con 42 asuntos terminados en promedio por mes.  Se </w:t>
      </w:r>
      <w:r w:rsidRPr="00990FB6">
        <w:rPr>
          <w:color w:val="000000"/>
          <w:sz w:val="22"/>
          <w:szCs w:val="22"/>
        </w:rPr>
        <w:lastRenderedPageBreak/>
        <w:t>cuenta con un promedio general de 29 causas finalizadas por mes para En el caso de del rubro “Persona imputada no se acoge al programa”, el porcentaje aumenta para el 2022, en este caso en 3% respecto al 2021, pero en este caso el rubro no depende directamente de las funciones propias de la oficina.</w:t>
      </w:r>
    </w:p>
    <w:p w14:paraId="0BEFD2D7" w14:textId="77777777" w:rsidR="00EA7B4C" w:rsidRPr="00990FB6" w:rsidRDefault="00EA7B4C" w:rsidP="00EA7B4C">
      <w:pPr>
        <w:pStyle w:val="Prrafodelista"/>
        <w:rPr>
          <w:color w:val="000000"/>
          <w:sz w:val="22"/>
          <w:szCs w:val="22"/>
        </w:rPr>
      </w:pPr>
    </w:p>
    <w:p w14:paraId="0FECD68F" w14:textId="77777777" w:rsidR="00EA7B4C" w:rsidRPr="00990FB6" w:rsidRDefault="00EA7B4C" w:rsidP="00B15F7D">
      <w:pPr>
        <w:numPr>
          <w:ilvl w:val="1"/>
          <w:numId w:val="158"/>
        </w:numPr>
        <w:tabs>
          <w:tab w:val="left" w:pos="851"/>
          <w:tab w:val="left" w:pos="1276"/>
        </w:tabs>
        <w:suppressAutoHyphens w:val="0"/>
        <w:ind w:left="851" w:right="851" w:firstLine="709"/>
        <w:jc w:val="both"/>
        <w:rPr>
          <w:color w:val="000000"/>
          <w:sz w:val="22"/>
          <w:szCs w:val="22"/>
        </w:rPr>
      </w:pPr>
    </w:p>
    <w:p w14:paraId="1ADC36F7"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En el caso de del rubro “Persona imputada no se acoge al programa”, el porcentaje aumenta para el 2022, en este caso en 3% respecto al 2021, pero en este caso el rubro no depende directamente de las funciones propias de la oficina. Por otra parte, las causas devueltas en virtud de que la persona imputada no se acogió al programa, ocurre una vez que la Defensa Pública, consulta al imputado su interés de participar en el proceso de Justicia Restaurativa, situación que únicamente se puede verificar, una vez iniciado el proceso de Justicia Restaurativa y se debe a la falta de interés de la persona ofensora.</w:t>
      </w:r>
    </w:p>
    <w:p w14:paraId="0D356D09"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55A4BACD"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Se realiza el cálculo de la carga de trabajo real ingresada por Circuito Judicial, considerando la disminución del 40% registrado por concepto de devoluciones. Esta carga real corresponde a 17 asuntos en promedio por Circuito Judicial. </w:t>
      </w:r>
    </w:p>
    <w:p w14:paraId="2B9F1DB8"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1243EE1E"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Conforme a valor económico estimado para el proceso de Justicia Restaurativa (¢343,122) y resolución de la causa mediante el proceso ordinario (¢2.505.403), según informe 2052-PLA-PP-2020 de la Dirección de Planificación, cada asunto terminado en Justicia Restaurativa le genera a la Institución un ahorro aproximado de ¢2.162.281, sea un 86% menos del monto en que se incurre, tramitando la causa por la vía ordinaria ((¢2.505.403), por lo tanto es más económico para el país incrementar la entrada de casos al Programa de Justicia Restaurativa</w:t>
      </w:r>
    </w:p>
    <w:p w14:paraId="5312B94F"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105BDF53"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 itinerantes para justicia restaurativa en ejecución de la pena, penal juvenil y del procedimiento de bienestar animal a aplicar la entrada en vigencia de la Ley de Justicia Restaurativa.</w:t>
      </w:r>
    </w:p>
    <w:p w14:paraId="2F931B8A"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3994534D" w14:textId="0A784000"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En San José, II Circuito Judicial de Alajuela y II Circuito Judicial de Guanacaste se cuenta con profesionales en el ámbito Psicosocial que se dedican de manera exclusiva a la materia Penal Juvenil.</w:t>
      </w:r>
    </w:p>
    <w:p w14:paraId="423BF4D3" w14:textId="77777777" w:rsidR="00EA7B4C" w:rsidRPr="00990FB6" w:rsidRDefault="00EA7B4C" w:rsidP="00EA7B4C">
      <w:pPr>
        <w:tabs>
          <w:tab w:val="left" w:pos="851"/>
          <w:tab w:val="left" w:pos="1276"/>
        </w:tabs>
        <w:suppressAutoHyphens w:val="0"/>
        <w:ind w:right="851"/>
        <w:jc w:val="both"/>
        <w:rPr>
          <w:color w:val="000000"/>
          <w:sz w:val="22"/>
          <w:szCs w:val="22"/>
        </w:rPr>
      </w:pPr>
    </w:p>
    <w:p w14:paraId="0A4C8678"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Las reuniones restaurativas programadas para la materia Penal Juvenil para el año 2021, contaron con un porcentaje de realización general promedio de 76% y un porcentaje promedio de no realización equivalente a un 24%. Por otra parte, se identifica que la mayor cantidad de reuniones restaurativas fueron realizadas en San José, y que es importante indicar que en este caso se cuenta con una plaza de Trabajadora Social o Trabajador Social dedicada de forma </w:t>
      </w:r>
      <w:r w:rsidRPr="00990FB6">
        <w:rPr>
          <w:color w:val="000000"/>
          <w:sz w:val="22"/>
          <w:szCs w:val="22"/>
        </w:rPr>
        <w:lastRenderedPageBreak/>
        <w:t>exclusiva a la atención de los asuntos en Penal Juvenil y que su cobertura corresponde a los tres Circuitos Judiciales de San José.</w:t>
      </w:r>
    </w:p>
    <w:p w14:paraId="34CF66BC"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13A51C88"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 xml:space="preserve"> Del total de Reuniones Restaurativas realizadas durante el 2021, se presenta un promedio de 15 reuniones con acuerdo. El establecimiento de este acuerdo en la Reunión Restaurativa implica que, al cumplirse las medidas acordadas (las cuales deben ser sujetas de verificación por parte del equipo psicosocial) se puede dar por terminado el proceso en materia Penal Juvenil.</w:t>
      </w:r>
    </w:p>
    <w:p w14:paraId="404445E7"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163A871D"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Respecto a las Audiencias de Verificación se realizaron 75 audiencias de verificación, siendo que el mayor número fue ejecutado por los equipos de San José.</w:t>
      </w:r>
    </w:p>
    <w:p w14:paraId="5E5E0EFE" w14:textId="77777777" w:rsidR="00B15F7D" w:rsidRPr="00990FB6" w:rsidRDefault="00B15F7D" w:rsidP="00B15F7D">
      <w:pPr>
        <w:tabs>
          <w:tab w:val="left" w:pos="851"/>
          <w:tab w:val="left" w:pos="1276"/>
        </w:tabs>
        <w:suppressAutoHyphens w:val="0"/>
        <w:ind w:left="851" w:right="851" w:firstLine="709"/>
        <w:jc w:val="both"/>
        <w:rPr>
          <w:color w:val="000000"/>
          <w:sz w:val="22"/>
          <w:szCs w:val="22"/>
        </w:rPr>
      </w:pPr>
    </w:p>
    <w:p w14:paraId="59720D99" w14:textId="77777777" w:rsidR="00B15F7D" w:rsidRPr="00990FB6" w:rsidRDefault="00B15F7D" w:rsidP="00B15F7D">
      <w:pPr>
        <w:numPr>
          <w:ilvl w:val="1"/>
          <w:numId w:val="158"/>
        </w:numPr>
        <w:tabs>
          <w:tab w:val="left" w:pos="851"/>
          <w:tab w:val="left" w:pos="1276"/>
        </w:tabs>
        <w:suppressAutoHyphens w:val="0"/>
        <w:ind w:left="851" w:right="851" w:firstLine="709"/>
        <w:jc w:val="both"/>
        <w:rPr>
          <w:color w:val="000000"/>
          <w:sz w:val="22"/>
          <w:szCs w:val="22"/>
        </w:rPr>
      </w:pPr>
      <w:r w:rsidRPr="00990FB6">
        <w:rPr>
          <w:color w:val="000000"/>
          <w:sz w:val="22"/>
          <w:szCs w:val="22"/>
        </w:rPr>
        <w:t>Según los datos de carga de trabajo comparativa del 2021 y 2022, el Programa de Justicia Restaurativa tiene la capacidad de poder seguir extendiéndose a nivel nacional con los recursos existentes mientras se logra obtener un recurso presupuestario adicional más robusto para un mejor servicio público.</w:t>
      </w:r>
    </w:p>
    <w:p w14:paraId="078092EF" w14:textId="77777777" w:rsidR="00B15F7D" w:rsidRPr="00990FB6" w:rsidRDefault="00B15F7D" w:rsidP="00B15F7D">
      <w:pPr>
        <w:tabs>
          <w:tab w:val="left" w:pos="851"/>
          <w:tab w:val="left" w:pos="1276"/>
        </w:tabs>
        <w:ind w:left="851" w:right="851" w:firstLine="709"/>
        <w:jc w:val="both"/>
        <w:rPr>
          <w:color w:val="000000"/>
          <w:sz w:val="22"/>
          <w:szCs w:val="22"/>
        </w:rPr>
      </w:pPr>
    </w:p>
    <w:p w14:paraId="6A9180F6" w14:textId="77777777" w:rsidR="00B15F7D" w:rsidRPr="00990FB6" w:rsidRDefault="00B15F7D" w:rsidP="00B15F7D">
      <w:pPr>
        <w:keepNext/>
        <w:numPr>
          <w:ilvl w:val="0"/>
          <w:numId w:val="154"/>
        </w:numPr>
        <w:suppressAutoHyphens w:val="0"/>
        <w:ind w:left="851" w:right="851" w:firstLine="709"/>
        <w:jc w:val="both"/>
        <w:rPr>
          <w:color w:val="000000"/>
          <w:sz w:val="22"/>
          <w:szCs w:val="22"/>
        </w:rPr>
      </w:pPr>
      <w:r w:rsidRPr="00990FB6">
        <w:rPr>
          <w:color w:val="000000"/>
          <w:sz w:val="22"/>
          <w:szCs w:val="22"/>
        </w:rPr>
        <w:t>Recomendaciones</w:t>
      </w:r>
    </w:p>
    <w:p w14:paraId="6B0D48AA" w14:textId="77777777" w:rsidR="00B15F7D" w:rsidRPr="00990FB6" w:rsidRDefault="00B15F7D" w:rsidP="00B15F7D">
      <w:pPr>
        <w:keepNext/>
        <w:suppressAutoHyphens w:val="0"/>
        <w:ind w:right="851"/>
        <w:jc w:val="both"/>
        <w:rPr>
          <w:color w:val="000000"/>
          <w:sz w:val="22"/>
          <w:szCs w:val="22"/>
        </w:rPr>
      </w:pPr>
    </w:p>
    <w:p w14:paraId="77A97FCA" w14:textId="77777777" w:rsidR="00B15F7D" w:rsidRPr="00990FB6" w:rsidRDefault="00B15F7D" w:rsidP="00B15F7D">
      <w:pPr>
        <w:ind w:left="851" w:right="851" w:firstLine="709"/>
        <w:jc w:val="both"/>
        <w:rPr>
          <w:b/>
          <w:bCs/>
          <w:color w:val="000000"/>
          <w:sz w:val="22"/>
          <w:szCs w:val="22"/>
          <w:lang w:eastAsia="es-ES"/>
        </w:rPr>
      </w:pPr>
      <w:r w:rsidRPr="00990FB6">
        <w:rPr>
          <w:b/>
          <w:bCs/>
          <w:color w:val="000000"/>
          <w:sz w:val="22"/>
          <w:szCs w:val="22"/>
          <w:lang w:eastAsia="es-ES"/>
        </w:rPr>
        <w:t>A Corte Plena:</w:t>
      </w:r>
    </w:p>
    <w:p w14:paraId="3C986716" w14:textId="77777777" w:rsidR="00B15F7D" w:rsidRPr="00990FB6" w:rsidRDefault="00B15F7D" w:rsidP="00B15F7D">
      <w:pPr>
        <w:ind w:left="851" w:right="851" w:firstLine="709"/>
        <w:jc w:val="both"/>
        <w:rPr>
          <w:b/>
          <w:bCs/>
          <w:color w:val="000000"/>
          <w:sz w:val="22"/>
          <w:szCs w:val="22"/>
          <w:lang w:eastAsia="es-ES"/>
        </w:rPr>
      </w:pPr>
    </w:p>
    <w:p w14:paraId="3DB796D3"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8.1 Mantener lo dispuesto en informe 201-PLA-RH-MI-2022, conocido por parte del Consejo Superior en sesión extraordinaria 29-2022 celebrada el 1 de abril de 2022, artículo XVIII y aprobado por Corte Plena en sesión 27-2022 del 01 de junio del 2022, artículo II (Ver apéndice 12), relacionado con Impacto organizacional y presupuestario en el Poder Judicial, a partir de la promulgación de la Ley 9582 Justicia Restaurativa.  En donde literalmente se indica: </w:t>
      </w:r>
    </w:p>
    <w:p w14:paraId="472202B4" w14:textId="77777777" w:rsidR="00B15F7D" w:rsidRPr="00990FB6" w:rsidRDefault="00B15F7D" w:rsidP="00B15F7D">
      <w:pPr>
        <w:tabs>
          <w:tab w:val="left" w:pos="0"/>
        </w:tabs>
        <w:ind w:left="851" w:right="851" w:firstLine="709"/>
        <w:jc w:val="both"/>
        <w:rPr>
          <w:color w:val="000000"/>
          <w:sz w:val="22"/>
          <w:szCs w:val="22"/>
        </w:rPr>
      </w:pPr>
    </w:p>
    <w:p w14:paraId="7ECE9C5D" w14:textId="77777777" w:rsidR="00B15F7D" w:rsidRPr="00990FB6" w:rsidRDefault="00B15F7D" w:rsidP="00B15F7D">
      <w:pPr>
        <w:tabs>
          <w:tab w:val="left" w:pos="0"/>
        </w:tabs>
        <w:ind w:left="851" w:right="851" w:firstLine="709"/>
        <w:jc w:val="both"/>
        <w:rPr>
          <w:i/>
          <w:iCs/>
          <w:color w:val="000000"/>
          <w:sz w:val="22"/>
          <w:szCs w:val="22"/>
        </w:rPr>
      </w:pPr>
      <w:r w:rsidRPr="00990FB6">
        <w:rPr>
          <w:b/>
          <w:bCs/>
          <w:i/>
          <w:iCs/>
          <w:color w:val="000000"/>
          <w:sz w:val="22"/>
          <w:szCs w:val="22"/>
        </w:rPr>
        <w:t>“Se acordó: 1)</w:t>
      </w:r>
      <w:r w:rsidRPr="00990FB6">
        <w:rPr>
          <w:i/>
          <w:iCs/>
          <w:color w:val="000000"/>
          <w:sz w:val="22"/>
          <w:szCs w:val="22"/>
        </w:rPr>
        <w:t xml:space="preserve"> Aprobar el escenario 1 propuesto</w:t>
      </w:r>
      <w:r w:rsidRPr="00990FB6">
        <w:rPr>
          <w:b/>
          <w:bCs/>
          <w:i/>
          <w:iCs/>
          <w:color w:val="000000"/>
          <w:sz w:val="22"/>
          <w:szCs w:val="22"/>
        </w:rPr>
        <w:t xml:space="preserve"> </w:t>
      </w:r>
      <w:r w:rsidRPr="00990FB6">
        <w:rPr>
          <w:i/>
          <w:iCs/>
          <w:color w:val="000000"/>
          <w:sz w:val="22"/>
          <w:szCs w:val="22"/>
        </w:rPr>
        <w:t xml:space="preserve">en el informe </w:t>
      </w:r>
      <w:r w:rsidRPr="00990FB6">
        <w:rPr>
          <w:i/>
          <w:iCs/>
          <w:color w:val="000000"/>
          <w:sz w:val="22"/>
          <w:szCs w:val="22"/>
          <w:shd w:val="clear" w:color="auto" w:fill="FFFFFF"/>
        </w:rPr>
        <w:t xml:space="preserve">201-PLA-MI-RH-2022, </w:t>
      </w:r>
      <w:r w:rsidRPr="00990FB6">
        <w:rPr>
          <w:i/>
          <w:iCs/>
          <w:color w:val="000000"/>
          <w:sz w:val="22"/>
          <w:szCs w:val="22"/>
        </w:rPr>
        <w:t>relacionado con el impacto organizacional y presupuestario en el Poder Judicial a partir de la promulgación de la Ley 9582 Justicia Restaurativa, con la finalidad de con los recursos internos, seguir impulsando el Programa.</w:t>
      </w:r>
      <w:r w:rsidRPr="00990FB6">
        <w:rPr>
          <w:i/>
          <w:color w:val="000000"/>
          <w:sz w:val="22"/>
          <w:szCs w:val="22"/>
        </w:rPr>
        <w:t xml:space="preserve"> </w:t>
      </w:r>
      <w:r w:rsidRPr="00990FB6">
        <w:rPr>
          <w:i/>
          <w:iCs/>
          <w:color w:val="000000"/>
          <w:sz w:val="22"/>
          <w:szCs w:val="22"/>
        </w:rPr>
        <w:t>2) Comunicar a Corte Plena este informe para hacer de su conocimiento las necesidades en materia de Justicia Restaurativa y solicitarle su valoración del escenario 4 propuesto para remitir estos requerimientos al Ministerio de Hacienda, tal y como se ha realizado en procesos presupuestarios anteriores.)”</w:t>
      </w:r>
    </w:p>
    <w:p w14:paraId="575187FB" w14:textId="77777777" w:rsidR="00B15F7D" w:rsidRPr="00990FB6" w:rsidRDefault="00B15F7D" w:rsidP="00B15F7D">
      <w:pPr>
        <w:tabs>
          <w:tab w:val="left" w:pos="0"/>
        </w:tabs>
        <w:ind w:left="851" w:right="851" w:firstLine="709"/>
        <w:jc w:val="both"/>
        <w:rPr>
          <w:i/>
          <w:iCs/>
          <w:color w:val="000000"/>
          <w:sz w:val="22"/>
          <w:szCs w:val="22"/>
        </w:rPr>
      </w:pPr>
    </w:p>
    <w:p w14:paraId="6DDA8D1C"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 continuación, se muestra el listado de los recursos destinados para completar equipos existentes y conformar equipos en los Circuitos Judiciales donde no se cuenta con un equipo interdisciplinario:</w:t>
      </w:r>
    </w:p>
    <w:p w14:paraId="74645EB5" w14:textId="77777777" w:rsidR="00B15F7D" w:rsidRPr="00990FB6" w:rsidRDefault="00B15F7D" w:rsidP="00B15F7D">
      <w:pPr>
        <w:tabs>
          <w:tab w:val="left" w:pos="0"/>
        </w:tabs>
        <w:ind w:left="851" w:right="851" w:firstLine="709"/>
        <w:jc w:val="both"/>
        <w:rPr>
          <w:color w:val="000000"/>
          <w:sz w:val="22"/>
          <w:szCs w:val="22"/>
        </w:rPr>
      </w:pPr>
    </w:p>
    <w:p w14:paraId="4992498D" w14:textId="77777777" w:rsidR="00B15F7D" w:rsidRPr="00990FB6" w:rsidRDefault="00B15F7D" w:rsidP="00B15F7D">
      <w:pPr>
        <w:ind w:left="851" w:right="851" w:firstLine="709"/>
        <w:jc w:val="both"/>
        <w:rPr>
          <w:b/>
          <w:bCs/>
          <w:color w:val="000000"/>
          <w:sz w:val="22"/>
          <w:szCs w:val="22"/>
          <w:lang w:eastAsia="es-ES"/>
        </w:rPr>
      </w:pPr>
      <w:r w:rsidRPr="00990FB6">
        <w:rPr>
          <w:b/>
          <w:bCs/>
          <w:color w:val="000000"/>
          <w:sz w:val="22"/>
          <w:szCs w:val="22"/>
          <w:lang w:eastAsia="es-ES"/>
        </w:rPr>
        <w:t>Cuadro 22. Requerimiento Humano con base en la propuesta enviada por la Oficina Rectora de Justicia Restaurativa para el año 2024 al excluir los equipos especializados en Materia Contravencional, Ejecución de la Pena y Penal Juvenil.</w:t>
      </w:r>
    </w:p>
    <w:p w14:paraId="0C1C938C" w14:textId="77777777" w:rsidR="00B15F7D" w:rsidRPr="00990FB6" w:rsidRDefault="00B15F7D" w:rsidP="00B15F7D">
      <w:pPr>
        <w:jc w:val="both"/>
        <w:rPr>
          <w:b/>
          <w:bCs/>
          <w:color w:val="000000"/>
          <w:sz w:val="22"/>
          <w:szCs w:val="22"/>
          <w:lang w:eastAsia="es-ES"/>
        </w:rPr>
      </w:pPr>
    </w:p>
    <w:tbl>
      <w:tblPr>
        <w:tblW w:w="6923" w:type="dxa"/>
        <w:jc w:val="center"/>
        <w:tblCellMar>
          <w:left w:w="70" w:type="dxa"/>
          <w:right w:w="70" w:type="dxa"/>
        </w:tblCellMar>
        <w:tblLook w:val="04A0" w:firstRow="1" w:lastRow="0" w:firstColumn="1" w:lastColumn="0" w:noHBand="0" w:noVBand="1"/>
      </w:tblPr>
      <w:tblGrid>
        <w:gridCol w:w="2160"/>
        <w:gridCol w:w="1720"/>
        <w:gridCol w:w="3043"/>
      </w:tblGrid>
      <w:tr w:rsidR="00B15F7D" w:rsidRPr="00990FB6" w14:paraId="407A07B3" w14:textId="77777777" w:rsidTr="000A0C22">
        <w:trPr>
          <w:trHeight w:val="295"/>
          <w:jc w:val="center"/>
        </w:trPr>
        <w:tc>
          <w:tcPr>
            <w:tcW w:w="2160" w:type="dxa"/>
            <w:tcBorders>
              <w:top w:val="double" w:sz="6" w:space="0" w:color="1F4E78"/>
              <w:left w:val="double" w:sz="6" w:space="0" w:color="1F4E78"/>
              <w:bottom w:val="double" w:sz="6" w:space="0" w:color="1F4E78"/>
              <w:right w:val="nil"/>
            </w:tcBorders>
            <w:shd w:val="clear" w:color="000000" w:fill="B4C6E7"/>
            <w:vAlign w:val="center"/>
            <w:hideMark/>
          </w:tcPr>
          <w:p w14:paraId="3F5515DC"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Oficina</w:t>
            </w:r>
          </w:p>
        </w:tc>
        <w:tc>
          <w:tcPr>
            <w:tcW w:w="1720" w:type="dxa"/>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3E34750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Cantidad</w:t>
            </w:r>
          </w:p>
        </w:tc>
        <w:tc>
          <w:tcPr>
            <w:tcW w:w="3043" w:type="dxa"/>
            <w:tcBorders>
              <w:top w:val="double" w:sz="6" w:space="0" w:color="1F4E78"/>
              <w:left w:val="nil"/>
              <w:bottom w:val="double" w:sz="6" w:space="0" w:color="1F4E78"/>
              <w:right w:val="double" w:sz="6" w:space="0" w:color="1F4E78"/>
            </w:tcBorders>
            <w:shd w:val="clear" w:color="000000" w:fill="B4C6E7"/>
            <w:vAlign w:val="center"/>
            <w:hideMark/>
          </w:tcPr>
          <w:p w14:paraId="7D79B0A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Tipo de plaza</w:t>
            </w:r>
          </w:p>
        </w:tc>
      </w:tr>
      <w:tr w:rsidR="00B15F7D" w:rsidRPr="00990FB6" w14:paraId="4F3A8220" w14:textId="77777777" w:rsidTr="000A0C22">
        <w:trPr>
          <w:trHeight w:val="320"/>
          <w:jc w:val="center"/>
        </w:trPr>
        <w:tc>
          <w:tcPr>
            <w:tcW w:w="2160" w:type="dxa"/>
            <w:vMerge w:val="restart"/>
            <w:tcBorders>
              <w:top w:val="nil"/>
              <w:left w:val="double" w:sz="6" w:space="0" w:color="1F4E78"/>
              <w:bottom w:val="nil"/>
              <w:right w:val="double" w:sz="6" w:space="0" w:color="1F4E78"/>
            </w:tcBorders>
            <w:shd w:val="clear" w:color="auto" w:fill="auto"/>
            <w:vAlign w:val="center"/>
            <w:hideMark/>
          </w:tcPr>
          <w:p w14:paraId="2486379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lastRenderedPageBreak/>
              <w:t>I, II y III Circuito Judicial de San José</w:t>
            </w:r>
          </w:p>
        </w:tc>
        <w:tc>
          <w:tcPr>
            <w:tcW w:w="1720" w:type="dxa"/>
            <w:tcBorders>
              <w:top w:val="nil"/>
              <w:left w:val="nil"/>
              <w:bottom w:val="single" w:sz="4" w:space="0" w:color="1F4E78"/>
              <w:right w:val="double" w:sz="6" w:space="0" w:color="1F4E78"/>
            </w:tcBorders>
            <w:shd w:val="clear" w:color="auto" w:fill="auto"/>
            <w:vAlign w:val="center"/>
            <w:hideMark/>
          </w:tcPr>
          <w:p w14:paraId="4C0E91D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single" w:sz="4" w:space="0" w:color="1F4E78"/>
              <w:left w:val="nil"/>
              <w:bottom w:val="single" w:sz="4" w:space="0" w:color="1F4E78"/>
              <w:right w:val="double" w:sz="6" w:space="0" w:color="1F4E78"/>
            </w:tcBorders>
            <w:shd w:val="clear" w:color="auto" w:fill="auto"/>
            <w:vAlign w:val="center"/>
            <w:hideMark/>
          </w:tcPr>
          <w:p w14:paraId="65FDA8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(Trabajador Social)</w:t>
            </w:r>
          </w:p>
        </w:tc>
      </w:tr>
      <w:tr w:rsidR="00B15F7D" w:rsidRPr="00990FB6" w14:paraId="14F19101" w14:textId="77777777" w:rsidTr="000A0C22">
        <w:trPr>
          <w:trHeight w:val="310"/>
          <w:jc w:val="center"/>
        </w:trPr>
        <w:tc>
          <w:tcPr>
            <w:tcW w:w="2160" w:type="dxa"/>
            <w:vMerge/>
            <w:tcBorders>
              <w:top w:val="nil"/>
              <w:left w:val="double" w:sz="6" w:space="0" w:color="1F4E78"/>
              <w:bottom w:val="nil"/>
              <w:right w:val="double" w:sz="6" w:space="0" w:color="1F4E78"/>
            </w:tcBorders>
            <w:vAlign w:val="center"/>
            <w:hideMark/>
          </w:tcPr>
          <w:p w14:paraId="129EDF78"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203764"/>
              <w:right w:val="double" w:sz="6" w:space="0" w:color="1F4E78"/>
            </w:tcBorders>
            <w:shd w:val="clear" w:color="auto" w:fill="auto"/>
            <w:vAlign w:val="center"/>
            <w:hideMark/>
          </w:tcPr>
          <w:p w14:paraId="73EFA9E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w:t>
            </w:r>
          </w:p>
        </w:tc>
        <w:tc>
          <w:tcPr>
            <w:tcW w:w="3043" w:type="dxa"/>
            <w:tcBorders>
              <w:top w:val="nil"/>
              <w:left w:val="nil"/>
              <w:bottom w:val="double" w:sz="6" w:space="0" w:color="1F4E78"/>
              <w:right w:val="double" w:sz="6" w:space="0" w:color="1F4E78"/>
            </w:tcBorders>
            <w:shd w:val="clear" w:color="auto" w:fill="auto"/>
            <w:vAlign w:val="center"/>
            <w:hideMark/>
          </w:tcPr>
          <w:p w14:paraId="4C55DC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390F128A" w14:textId="77777777" w:rsidTr="000A0C22">
        <w:trPr>
          <w:trHeight w:val="230"/>
          <w:jc w:val="center"/>
        </w:trPr>
        <w:tc>
          <w:tcPr>
            <w:tcW w:w="2160" w:type="dxa"/>
            <w:vMerge w:val="restart"/>
            <w:tcBorders>
              <w:top w:val="double" w:sz="6" w:space="0" w:color="203764"/>
              <w:left w:val="double" w:sz="6" w:space="0" w:color="1F4E78"/>
              <w:bottom w:val="double" w:sz="6" w:space="0" w:color="1F4E78"/>
              <w:right w:val="double" w:sz="6" w:space="0" w:color="1F4E78"/>
            </w:tcBorders>
            <w:shd w:val="clear" w:color="auto" w:fill="auto"/>
            <w:vAlign w:val="center"/>
            <w:hideMark/>
          </w:tcPr>
          <w:p w14:paraId="12547FB9" w14:textId="77777777" w:rsidR="00B15F7D" w:rsidRPr="00990FB6" w:rsidRDefault="00B15F7D" w:rsidP="00B15F7D">
            <w:pPr>
              <w:jc w:val="center"/>
              <w:rPr>
                <w:b/>
                <w:bCs/>
                <w:color w:val="000000"/>
                <w:sz w:val="22"/>
                <w:szCs w:val="22"/>
                <w:lang w:val="pt-PT" w:eastAsia="es-CR"/>
              </w:rPr>
            </w:pPr>
            <w:r w:rsidRPr="00990FB6">
              <w:rPr>
                <w:b/>
                <w:bCs/>
                <w:color w:val="000000"/>
                <w:sz w:val="22"/>
                <w:szCs w:val="22"/>
                <w:lang w:val="pt-PT" w:eastAsia="es-CR"/>
              </w:rPr>
              <w:t>I Circuito Judicial de Alajuela</w:t>
            </w:r>
          </w:p>
        </w:tc>
        <w:tc>
          <w:tcPr>
            <w:tcW w:w="1720" w:type="dxa"/>
            <w:tcBorders>
              <w:top w:val="nil"/>
              <w:left w:val="nil"/>
              <w:bottom w:val="single" w:sz="4" w:space="0" w:color="1F4E78"/>
              <w:right w:val="double" w:sz="6" w:space="0" w:color="1F4E78"/>
            </w:tcBorders>
            <w:shd w:val="clear" w:color="auto" w:fill="auto"/>
            <w:vAlign w:val="center"/>
            <w:hideMark/>
          </w:tcPr>
          <w:p w14:paraId="4EB4A41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single" w:sz="4" w:space="0" w:color="1F4E78"/>
              <w:left w:val="nil"/>
              <w:bottom w:val="single" w:sz="4" w:space="0" w:color="1F4E78"/>
              <w:right w:val="double" w:sz="6" w:space="0" w:color="1F4E78"/>
            </w:tcBorders>
            <w:shd w:val="clear" w:color="auto" w:fill="auto"/>
            <w:vAlign w:val="center"/>
            <w:hideMark/>
          </w:tcPr>
          <w:p w14:paraId="0306DB1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(Psicólogo)</w:t>
            </w:r>
          </w:p>
        </w:tc>
      </w:tr>
      <w:tr w:rsidR="00B15F7D" w:rsidRPr="00990FB6" w14:paraId="2E9B66C8" w14:textId="77777777" w:rsidTr="000A0C22">
        <w:trPr>
          <w:trHeight w:val="220"/>
          <w:jc w:val="center"/>
        </w:trPr>
        <w:tc>
          <w:tcPr>
            <w:tcW w:w="2160" w:type="dxa"/>
            <w:vMerge/>
            <w:tcBorders>
              <w:top w:val="double" w:sz="6" w:space="0" w:color="203764"/>
              <w:left w:val="double" w:sz="6" w:space="0" w:color="1F4E78"/>
              <w:bottom w:val="double" w:sz="6" w:space="0" w:color="1F4E78"/>
              <w:right w:val="double" w:sz="6" w:space="0" w:color="1F4E78"/>
            </w:tcBorders>
            <w:vAlign w:val="center"/>
            <w:hideMark/>
          </w:tcPr>
          <w:p w14:paraId="1246F92D"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47D1F0F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5C150C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Fiscala o Fiscal Auxiliar</w:t>
            </w:r>
          </w:p>
        </w:tc>
      </w:tr>
      <w:tr w:rsidR="00B15F7D" w:rsidRPr="00990FB6" w14:paraId="326E57B4" w14:textId="77777777" w:rsidTr="000A0C22">
        <w:trPr>
          <w:trHeight w:val="220"/>
          <w:jc w:val="center"/>
        </w:trPr>
        <w:tc>
          <w:tcPr>
            <w:tcW w:w="2160" w:type="dxa"/>
            <w:vMerge/>
            <w:tcBorders>
              <w:top w:val="double" w:sz="6" w:space="0" w:color="203764"/>
              <w:left w:val="double" w:sz="6" w:space="0" w:color="1F4E78"/>
              <w:bottom w:val="double" w:sz="6" w:space="0" w:color="1F4E78"/>
              <w:right w:val="double" w:sz="6" w:space="0" w:color="1F4E78"/>
            </w:tcBorders>
            <w:vAlign w:val="center"/>
            <w:hideMark/>
          </w:tcPr>
          <w:p w14:paraId="1AC2E119"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414238C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2488E2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Defensora o Defensor Público</w:t>
            </w:r>
          </w:p>
        </w:tc>
      </w:tr>
      <w:tr w:rsidR="00B15F7D" w:rsidRPr="00990FB6" w14:paraId="1E313036" w14:textId="77777777" w:rsidTr="000A0C22">
        <w:trPr>
          <w:trHeight w:val="230"/>
          <w:jc w:val="center"/>
        </w:trPr>
        <w:tc>
          <w:tcPr>
            <w:tcW w:w="2160" w:type="dxa"/>
            <w:vMerge/>
            <w:tcBorders>
              <w:top w:val="double" w:sz="6" w:space="0" w:color="203764"/>
              <w:left w:val="double" w:sz="6" w:space="0" w:color="1F4E78"/>
              <w:bottom w:val="double" w:sz="6" w:space="0" w:color="1F4E78"/>
              <w:right w:val="double" w:sz="6" w:space="0" w:color="1F4E78"/>
            </w:tcBorders>
            <w:vAlign w:val="center"/>
            <w:hideMark/>
          </w:tcPr>
          <w:p w14:paraId="4E276A55"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592725D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4DE325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3F814D3F" w14:textId="77777777" w:rsidTr="000A0C22">
        <w:trPr>
          <w:trHeight w:val="23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60134AAD" w14:textId="77777777" w:rsidR="00B15F7D" w:rsidRPr="00990FB6" w:rsidRDefault="00B15F7D" w:rsidP="00B15F7D">
            <w:pPr>
              <w:jc w:val="center"/>
              <w:rPr>
                <w:b/>
                <w:bCs/>
                <w:color w:val="000000"/>
                <w:sz w:val="22"/>
                <w:szCs w:val="22"/>
                <w:lang w:val="pt-PT" w:eastAsia="es-CR"/>
              </w:rPr>
            </w:pPr>
            <w:r w:rsidRPr="00990FB6">
              <w:rPr>
                <w:b/>
                <w:bCs/>
                <w:color w:val="000000"/>
                <w:sz w:val="22"/>
                <w:szCs w:val="22"/>
                <w:lang w:val="pt-PT" w:eastAsia="es-CR"/>
              </w:rPr>
              <w:t>II Circuito Judicial de Alajuela</w:t>
            </w:r>
          </w:p>
        </w:tc>
        <w:tc>
          <w:tcPr>
            <w:tcW w:w="1720" w:type="dxa"/>
            <w:tcBorders>
              <w:top w:val="nil"/>
              <w:left w:val="nil"/>
              <w:bottom w:val="single" w:sz="4" w:space="0" w:color="1F4E78"/>
              <w:right w:val="double" w:sz="6" w:space="0" w:color="1F4E78"/>
            </w:tcBorders>
            <w:shd w:val="clear" w:color="auto" w:fill="auto"/>
            <w:vAlign w:val="center"/>
            <w:hideMark/>
          </w:tcPr>
          <w:p w14:paraId="5F24BE7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single" w:sz="4" w:space="0" w:color="1F4E78"/>
              <w:left w:val="nil"/>
              <w:bottom w:val="single" w:sz="4" w:space="0" w:color="1F4E78"/>
              <w:right w:val="double" w:sz="6" w:space="0" w:color="1F4E78"/>
            </w:tcBorders>
            <w:shd w:val="clear" w:color="auto" w:fill="auto"/>
            <w:vAlign w:val="center"/>
            <w:hideMark/>
          </w:tcPr>
          <w:p w14:paraId="1FACB3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(Psicólogo)</w:t>
            </w:r>
          </w:p>
        </w:tc>
      </w:tr>
      <w:tr w:rsidR="00B15F7D" w:rsidRPr="00990FB6" w14:paraId="0B7CEE62" w14:textId="77777777" w:rsidTr="000A0C22">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5E7D320B"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03F5A6C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020B6D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Defensora o Defensor Público</w:t>
            </w:r>
          </w:p>
        </w:tc>
      </w:tr>
      <w:tr w:rsidR="00B15F7D" w:rsidRPr="00990FB6" w14:paraId="6750D30E" w14:textId="77777777" w:rsidTr="000A0C22">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52D1E478"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5936A94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2108BD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Fiscala o Fiscal Auxiliar</w:t>
            </w:r>
          </w:p>
        </w:tc>
      </w:tr>
      <w:tr w:rsidR="00B15F7D" w:rsidRPr="00990FB6" w14:paraId="05CC52AC" w14:textId="77777777" w:rsidTr="000A0C22">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22BDB0A1"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622DE39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1580B5D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790B9C8B" w14:textId="77777777" w:rsidTr="000A0C22">
        <w:trPr>
          <w:trHeight w:val="30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0A8C3CFF" w14:textId="77777777" w:rsidR="00B15F7D" w:rsidRPr="00990FB6" w:rsidRDefault="00B15F7D" w:rsidP="00B15F7D">
            <w:pPr>
              <w:jc w:val="center"/>
              <w:rPr>
                <w:b/>
                <w:bCs/>
                <w:color w:val="000000"/>
                <w:sz w:val="22"/>
                <w:szCs w:val="22"/>
                <w:lang w:val="pt-PT" w:eastAsia="es-CR"/>
              </w:rPr>
            </w:pPr>
            <w:r w:rsidRPr="00990FB6">
              <w:rPr>
                <w:b/>
                <w:bCs/>
                <w:color w:val="000000"/>
                <w:sz w:val="22"/>
                <w:szCs w:val="22"/>
                <w:lang w:val="pt-PT" w:eastAsia="es-CR"/>
              </w:rPr>
              <w:t>III Circuito Judicial de Alajuela</w:t>
            </w:r>
          </w:p>
        </w:tc>
        <w:tc>
          <w:tcPr>
            <w:tcW w:w="1720" w:type="dxa"/>
            <w:tcBorders>
              <w:top w:val="nil"/>
              <w:left w:val="nil"/>
              <w:bottom w:val="single" w:sz="4" w:space="0" w:color="1F4E78"/>
              <w:right w:val="double" w:sz="6" w:space="0" w:color="1F4E78"/>
            </w:tcBorders>
            <w:shd w:val="clear" w:color="auto" w:fill="auto"/>
            <w:vAlign w:val="center"/>
            <w:hideMark/>
          </w:tcPr>
          <w:p w14:paraId="410CB21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single" w:sz="4" w:space="0" w:color="1F4E78"/>
              <w:left w:val="nil"/>
              <w:bottom w:val="single" w:sz="4" w:space="0" w:color="1F4E78"/>
              <w:right w:val="double" w:sz="6" w:space="0" w:color="1F4E78"/>
            </w:tcBorders>
            <w:shd w:val="clear" w:color="auto" w:fill="auto"/>
            <w:vAlign w:val="center"/>
            <w:hideMark/>
          </w:tcPr>
          <w:p w14:paraId="1F180F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(Psicólogo)</w:t>
            </w:r>
          </w:p>
        </w:tc>
      </w:tr>
      <w:tr w:rsidR="00B15F7D" w:rsidRPr="00990FB6" w14:paraId="7945ACAA" w14:textId="77777777" w:rsidTr="000A0C22">
        <w:trPr>
          <w:trHeight w:val="300"/>
          <w:jc w:val="center"/>
        </w:trPr>
        <w:tc>
          <w:tcPr>
            <w:tcW w:w="2160" w:type="dxa"/>
            <w:vMerge/>
            <w:tcBorders>
              <w:top w:val="nil"/>
              <w:left w:val="double" w:sz="6" w:space="0" w:color="1F4E78"/>
              <w:bottom w:val="double" w:sz="6" w:space="0" w:color="1F4E78"/>
              <w:right w:val="double" w:sz="6" w:space="0" w:color="1F4E78"/>
            </w:tcBorders>
            <w:vAlign w:val="center"/>
            <w:hideMark/>
          </w:tcPr>
          <w:p w14:paraId="4D818737"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7D2D3998"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4B077C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Defensora o Defensor Público</w:t>
            </w:r>
          </w:p>
        </w:tc>
      </w:tr>
      <w:tr w:rsidR="00B15F7D" w:rsidRPr="00990FB6" w14:paraId="1312CBBB" w14:textId="77777777" w:rsidTr="000A0C22">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00FDF717"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29FCCE4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62813D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Fiscala o Fiscal Auxiliar</w:t>
            </w:r>
          </w:p>
        </w:tc>
      </w:tr>
      <w:tr w:rsidR="00B15F7D" w:rsidRPr="00990FB6" w14:paraId="45D831FC" w14:textId="77777777" w:rsidTr="000A0C22">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531E91A9"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56C6DA3C"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25AF01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67BB1841" w14:textId="77777777" w:rsidTr="000A0C22">
        <w:trPr>
          <w:trHeight w:val="28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12025EC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Cartago</w:t>
            </w:r>
          </w:p>
        </w:tc>
        <w:tc>
          <w:tcPr>
            <w:tcW w:w="1720" w:type="dxa"/>
            <w:tcBorders>
              <w:top w:val="nil"/>
              <w:left w:val="nil"/>
              <w:bottom w:val="single" w:sz="4" w:space="0" w:color="1F4E78"/>
              <w:right w:val="double" w:sz="6" w:space="0" w:color="1F4E78"/>
            </w:tcBorders>
            <w:shd w:val="clear" w:color="auto" w:fill="auto"/>
            <w:vAlign w:val="center"/>
            <w:hideMark/>
          </w:tcPr>
          <w:p w14:paraId="7FFA9DA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4C800E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(Trabajador Social)</w:t>
            </w:r>
          </w:p>
        </w:tc>
      </w:tr>
      <w:tr w:rsidR="00B15F7D" w:rsidRPr="00990FB6" w14:paraId="3A3B702F" w14:textId="77777777" w:rsidTr="000A0C22">
        <w:trPr>
          <w:trHeight w:val="280"/>
          <w:jc w:val="center"/>
        </w:trPr>
        <w:tc>
          <w:tcPr>
            <w:tcW w:w="2160" w:type="dxa"/>
            <w:vMerge/>
            <w:tcBorders>
              <w:top w:val="nil"/>
              <w:left w:val="double" w:sz="6" w:space="0" w:color="1F4E78"/>
              <w:bottom w:val="double" w:sz="6" w:space="0" w:color="1F4E78"/>
              <w:right w:val="double" w:sz="6" w:space="0" w:color="1F4E78"/>
            </w:tcBorders>
            <w:vAlign w:val="center"/>
            <w:hideMark/>
          </w:tcPr>
          <w:p w14:paraId="0F9E5813"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48A577F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0EF724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027C2C15" w14:textId="77777777" w:rsidTr="000A0C22">
        <w:trPr>
          <w:trHeight w:val="23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154B97D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Heredia</w:t>
            </w:r>
          </w:p>
        </w:tc>
        <w:tc>
          <w:tcPr>
            <w:tcW w:w="1720" w:type="dxa"/>
            <w:tcBorders>
              <w:top w:val="nil"/>
              <w:left w:val="nil"/>
              <w:bottom w:val="single" w:sz="4" w:space="0" w:color="1F4E78"/>
              <w:right w:val="double" w:sz="6" w:space="0" w:color="1F4E78"/>
            </w:tcBorders>
            <w:shd w:val="clear" w:color="auto" w:fill="auto"/>
            <w:vAlign w:val="center"/>
            <w:hideMark/>
          </w:tcPr>
          <w:p w14:paraId="100CC1A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546D5C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(Psicólogo)</w:t>
            </w:r>
          </w:p>
        </w:tc>
      </w:tr>
      <w:tr w:rsidR="00B15F7D" w:rsidRPr="00990FB6" w14:paraId="4DED6AE6" w14:textId="77777777" w:rsidTr="000A0C22">
        <w:trPr>
          <w:trHeight w:val="230"/>
          <w:jc w:val="center"/>
        </w:trPr>
        <w:tc>
          <w:tcPr>
            <w:tcW w:w="2160" w:type="dxa"/>
            <w:vMerge/>
            <w:tcBorders>
              <w:top w:val="nil"/>
              <w:left w:val="double" w:sz="6" w:space="0" w:color="1F4E78"/>
              <w:bottom w:val="double" w:sz="6" w:space="0" w:color="1F4E78"/>
              <w:right w:val="double" w:sz="6" w:space="0" w:color="1F4E78"/>
            </w:tcBorders>
            <w:vAlign w:val="center"/>
            <w:hideMark/>
          </w:tcPr>
          <w:p w14:paraId="70B3D720"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3E50DAF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3EEE10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353D76D3" w14:textId="77777777" w:rsidTr="000A0C22">
        <w:trPr>
          <w:trHeight w:val="31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282ADA24" w14:textId="77777777" w:rsidR="00B15F7D" w:rsidRPr="00990FB6" w:rsidRDefault="00B15F7D" w:rsidP="00B15F7D">
            <w:pPr>
              <w:jc w:val="center"/>
              <w:rPr>
                <w:b/>
                <w:bCs/>
                <w:color w:val="000000"/>
                <w:sz w:val="22"/>
                <w:szCs w:val="22"/>
                <w:lang w:val="pt-PT" w:eastAsia="es-CR"/>
              </w:rPr>
            </w:pPr>
            <w:r w:rsidRPr="00990FB6">
              <w:rPr>
                <w:b/>
                <w:bCs/>
                <w:color w:val="000000"/>
                <w:sz w:val="22"/>
                <w:szCs w:val="22"/>
                <w:lang w:val="pt-PT" w:eastAsia="es-CR"/>
              </w:rPr>
              <w:t>I Circuito Judicial Zona Sur</w:t>
            </w:r>
          </w:p>
        </w:tc>
        <w:tc>
          <w:tcPr>
            <w:tcW w:w="1720" w:type="dxa"/>
            <w:tcBorders>
              <w:top w:val="nil"/>
              <w:left w:val="nil"/>
              <w:bottom w:val="single" w:sz="4" w:space="0" w:color="1F4E78"/>
              <w:right w:val="double" w:sz="6" w:space="0" w:color="1F4E78"/>
            </w:tcBorders>
            <w:shd w:val="clear" w:color="auto" w:fill="auto"/>
            <w:vAlign w:val="center"/>
            <w:hideMark/>
          </w:tcPr>
          <w:p w14:paraId="0EFF4FB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73A252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(Psicólogo)</w:t>
            </w:r>
          </w:p>
        </w:tc>
      </w:tr>
      <w:tr w:rsidR="00B15F7D" w:rsidRPr="00990FB6" w14:paraId="264B1B2D"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12043E84"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47DF1AD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55151EC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Defensora o Defensor Público</w:t>
            </w:r>
          </w:p>
        </w:tc>
      </w:tr>
      <w:tr w:rsidR="00B15F7D" w:rsidRPr="00990FB6" w14:paraId="4464005A" w14:textId="77777777" w:rsidTr="000A0C22">
        <w:trPr>
          <w:trHeight w:val="460"/>
          <w:jc w:val="center"/>
        </w:trPr>
        <w:tc>
          <w:tcPr>
            <w:tcW w:w="2160" w:type="dxa"/>
            <w:vMerge/>
            <w:tcBorders>
              <w:top w:val="nil"/>
              <w:left w:val="double" w:sz="6" w:space="0" w:color="1F4E78"/>
              <w:bottom w:val="double" w:sz="6" w:space="0" w:color="203764"/>
              <w:right w:val="double" w:sz="6" w:space="0" w:color="1F4E78"/>
            </w:tcBorders>
            <w:vAlign w:val="center"/>
            <w:hideMark/>
          </w:tcPr>
          <w:p w14:paraId="2A5E677D"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02B4ED9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720BA9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6195A67C" w14:textId="77777777" w:rsidTr="000A0C22">
        <w:trPr>
          <w:trHeight w:val="46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4B6E517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II Circuito Judicial Zona Sur</w:t>
            </w:r>
          </w:p>
        </w:tc>
        <w:tc>
          <w:tcPr>
            <w:tcW w:w="1720" w:type="dxa"/>
            <w:tcBorders>
              <w:top w:val="nil"/>
              <w:left w:val="nil"/>
              <w:bottom w:val="single" w:sz="4" w:space="0" w:color="1F4E78"/>
              <w:right w:val="double" w:sz="6" w:space="0" w:color="1F4E78"/>
            </w:tcBorders>
            <w:shd w:val="clear" w:color="auto" w:fill="auto"/>
            <w:vAlign w:val="center"/>
            <w:hideMark/>
          </w:tcPr>
          <w:p w14:paraId="6237203C"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77DC82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(Psicólogo)</w:t>
            </w:r>
          </w:p>
        </w:tc>
      </w:tr>
      <w:tr w:rsidR="00B15F7D" w:rsidRPr="00990FB6" w14:paraId="5C079EDF" w14:textId="77777777" w:rsidTr="000A0C22">
        <w:trPr>
          <w:trHeight w:val="500"/>
          <w:jc w:val="center"/>
        </w:trPr>
        <w:tc>
          <w:tcPr>
            <w:tcW w:w="2160" w:type="dxa"/>
            <w:vMerge/>
            <w:tcBorders>
              <w:top w:val="nil"/>
              <w:left w:val="double" w:sz="6" w:space="0" w:color="1F4E78"/>
              <w:bottom w:val="double" w:sz="6" w:space="0" w:color="203764"/>
              <w:right w:val="double" w:sz="6" w:space="0" w:color="1F4E78"/>
            </w:tcBorders>
            <w:vAlign w:val="center"/>
            <w:hideMark/>
          </w:tcPr>
          <w:p w14:paraId="4520DE74"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1902E83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1F92C1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47D85694" w14:textId="77777777" w:rsidTr="000A0C22">
        <w:trPr>
          <w:trHeight w:val="46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2B66BE55" w14:textId="77777777" w:rsidR="00B15F7D" w:rsidRPr="00990FB6" w:rsidRDefault="00B15F7D" w:rsidP="00B15F7D">
            <w:pPr>
              <w:jc w:val="center"/>
              <w:rPr>
                <w:b/>
                <w:bCs/>
                <w:color w:val="000000"/>
                <w:sz w:val="22"/>
                <w:szCs w:val="22"/>
                <w:lang w:val="pt-PT" w:eastAsia="es-CR"/>
              </w:rPr>
            </w:pPr>
            <w:r w:rsidRPr="00990FB6">
              <w:rPr>
                <w:b/>
                <w:bCs/>
                <w:color w:val="000000"/>
                <w:sz w:val="22"/>
                <w:szCs w:val="22"/>
                <w:lang w:val="pt-PT" w:eastAsia="es-CR"/>
              </w:rPr>
              <w:t>I Circuito Judicial de Guanacaste</w:t>
            </w:r>
          </w:p>
        </w:tc>
        <w:tc>
          <w:tcPr>
            <w:tcW w:w="1720" w:type="dxa"/>
            <w:tcBorders>
              <w:top w:val="nil"/>
              <w:left w:val="nil"/>
              <w:bottom w:val="single" w:sz="4" w:space="0" w:color="1F4E78"/>
              <w:right w:val="double" w:sz="6" w:space="0" w:color="1F4E78"/>
            </w:tcBorders>
            <w:shd w:val="clear" w:color="auto" w:fill="auto"/>
            <w:vAlign w:val="center"/>
            <w:hideMark/>
          </w:tcPr>
          <w:p w14:paraId="1FA09D3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single" w:sz="4" w:space="0" w:color="1F4E78"/>
              <w:left w:val="nil"/>
              <w:bottom w:val="single" w:sz="4" w:space="0" w:color="1F4E78"/>
              <w:right w:val="double" w:sz="6" w:space="0" w:color="1F4E78"/>
            </w:tcBorders>
            <w:shd w:val="clear" w:color="auto" w:fill="auto"/>
            <w:vAlign w:val="center"/>
            <w:hideMark/>
          </w:tcPr>
          <w:p w14:paraId="6FBD2F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(Trabajador Social)</w:t>
            </w:r>
          </w:p>
        </w:tc>
      </w:tr>
      <w:tr w:rsidR="00B15F7D" w:rsidRPr="00990FB6" w14:paraId="2B01175F" w14:textId="77777777" w:rsidTr="000A0C22">
        <w:trPr>
          <w:trHeight w:val="380"/>
          <w:jc w:val="center"/>
        </w:trPr>
        <w:tc>
          <w:tcPr>
            <w:tcW w:w="2160" w:type="dxa"/>
            <w:vMerge/>
            <w:tcBorders>
              <w:top w:val="nil"/>
              <w:left w:val="double" w:sz="6" w:space="0" w:color="1F4E78"/>
              <w:bottom w:val="double" w:sz="6" w:space="0" w:color="203764"/>
              <w:right w:val="double" w:sz="6" w:space="0" w:color="1F4E78"/>
            </w:tcBorders>
            <w:vAlign w:val="center"/>
            <w:hideMark/>
          </w:tcPr>
          <w:p w14:paraId="517E3C9D"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72E82C7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4FFFFFB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Defensora o Defensor Público</w:t>
            </w:r>
          </w:p>
        </w:tc>
      </w:tr>
      <w:tr w:rsidR="00B15F7D" w:rsidRPr="00990FB6" w14:paraId="788E80B7"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63EA6AD5"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1F4E78"/>
              <w:right w:val="double" w:sz="6" w:space="0" w:color="1F4E78"/>
            </w:tcBorders>
            <w:shd w:val="clear" w:color="auto" w:fill="auto"/>
            <w:vAlign w:val="center"/>
            <w:hideMark/>
          </w:tcPr>
          <w:p w14:paraId="3311469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1F4E78"/>
              <w:right w:val="double" w:sz="6" w:space="0" w:color="1F4E78"/>
            </w:tcBorders>
            <w:shd w:val="clear" w:color="auto" w:fill="auto"/>
            <w:vAlign w:val="center"/>
            <w:hideMark/>
          </w:tcPr>
          <w:p w14:paraId="38CF02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79D27B7A" w14:textId="77777777" w:rsidTr="000A0C22">
        <w:trPr>
          <w:trHeight w:val="46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0DECDE13" w14:textId="77777777" w:rsidR="00B15F7D" w:rsidRPr="00990FB6" w:rsidRDefault="00B15F7D" w:rsidP="00B15F7D">
            <w:pPr>
              <w:jc w:val="center"/>
              <w:rPr>
                <w:b/>
                <w:bCs/>
                <w:color w:val="000000"/>
                <w:sz w:val="22"/>
                <w:szCs w:val="22"/>
                <w:lang w:val="pt-PT" w:eastAsia="es-CR"/>
              </w:rPr>
            </w:pPr>
            <w:r w:rsidRPr="00990FB6">
              <w:rPr>
                <w:b/>
                <w:bCs/>
                <w:color w:val="000000"/>
                <w:sz w:val="22"/>
                <w:szCs w:val="22"/>
                <w:lang w:val="pt-PT" w:eastAsia="es-CR"/>
              </w:rPr>
              <w:t>II Circuito Judicial de Guanacaste</w:t>
            </w:r>
          </w:p>
        </w:tc>
        <w:tc>
          <w:tcPr>
            <w:tcW w:w="1720" w:type="dxa"/>
            <w:tcBorders>
              <w:top w:val="nil"/>
              <w:left w:val="nil"/>
              <w:bottom w:val="single" w:sz="4" w:space="0" w:color="1F4E78"/>
              <w:right w:val="double" w:sz="6" w:space="0" w:color="1F4E78"/>
            </w:tcBorders>
            <w:shd w:val="clear" w:color="auto" w:fill="auto"/>
            <w:vAlign w:val="center"/>
            <w:hideMark/>
          </w:tcPr>
          <w:p w14:paraId="5310407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double" w:sz="6" w:space="0" w:color="203764"/>
              <w:left w:val="nil"/>
              <w:bottom w:val="single" w:sz="4" w:space="0" w:color="1F4E78"/>
              <w:right w:val="double" w:sz="6" w:space="0" w:color="1F4E78"/>
            </w:tcBorders>
            <w:shd w:val="clear" w:color="auto" w:fill="auto"/>
            <w:vAlign w:val="center"/>
            <w:hideMark/>
          </w:tcPr>
          <w:p w14:paraId="3185EC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(Trabajador Social)</w:t>
            </w:r>
          </w:p>
        </w:tc>
      </w:tr>
      <w:tr w:rsidR="00B15F7D" w:rsidRPr="00990FB6" w14:paraId="4CF8E0C1"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1AD7E59E"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6790A04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3260F73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Defensora o Defensor Público</w:t>
            </w:r>
          </w:p>
        </w:tc>
      </w:tr>
      <w:tr w:rsidR="00B15F7D" w:rsidRPr="00990FB6" w14:paraId="58677BDA"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02D33BE9"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7CAE0D6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3C45AF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Fiscala o Fiscal Auxiliar</w:t>
            </w:r>
          </w:p>
        </w:tc>
      </w:tr>
      <w:tr w:rsidR="00B15F7D" w:rsidRPr="00990FB6" w14:paraId="2E6C9E8B"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15074E30"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203764"/>
              <w:right w:val="double" w:sz="6" w:space="0" w:color="1F4E78"/>
            </w:tcBorders>
            <w:shd w:val="clear" w:color="auto" w:fill="auto"/>
            <w:vAlign w:val="center"/>
            <w:hideMark/>
          </w:tcPr>
          <w:p w14:paraId="544F41C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203764"/>
              <w:right w:val="double" w:sz="6" w:space="0" w:color="1F4E78"/>
            </w:tcBorders>
            <w:shd w:val="clear" w:color="auto" w:fill="auto"/>
            <w:vAlign w:val="center"/>
            <w:hideMark/>
          </w:tcPr>
          <w:p w14:paraId="7F9C68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19C14796" w14:textId="77777777" w:rsidTr="000A0C22">
        <w:trPr>
          <w:trHeight w:val="36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180B04E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I Circuito Judicial de la Zona Atlántica</w:t>
            </w:r>
          </w:p>
        </w:tc>
        <w:tc>
          <w:tcPr>
            <w:tcW w:w="1720" w:type="dxa"/>
            <w:tcBorders>
              <w:top w:val="nil"/>
              <w:left w:val="nil"/>
              <w:bottom w:val="single" w:sz="4" w:space="0" w:color="1F4E78"/>
              <w:right w:val="double" w:sz="6" w:space="0" w:color="1F4E78"/>
            </w:tcBorders>
            <w:shd w:val="clear" w:color="auto" w:fill="auto"/>
            <w:vAlign w:val="center"/>
            <w:hideMark/>
          </w:tcPr>
          <w:p w14:paraId="79C7D38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020BCC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(Trabajador Social)</w:t>
            </w:r>
          </w:p>
        </w:tc>
      </w:tr>
      <w:tr w:rsidR="00B15F7D" w:rsidRPr="00990FB6" w14:paraId="0D94101B"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26E414C5"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16FD9AC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1A280D5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Defensora o Defensor Público</w:t>
            </w:r>
          </w:p>
        </w:tc>
      </w:tr>
      <w:tr w:rsidR="00B15F7D" w:rsidRPr="00990FB6" w14:paraId="7A122BA3"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043AA551" w14:textId="77777777" w:rsidR="00B15F7D" w:rsidRPr="00990FB6" w:rsidRDefault="00B15F7D" w:rsidP="00B15F7D">
            <w:pPr>
              <w:rPr>
                <w:b/>
                <w:bCs/>
                <w:color w:val="000000"/>
                <w:sz w:val="22"/>
                <w:szCs w:val="22"/>
                <w:lang w:eastAsia="es-CR"/>
              </w:rPr>
            </w:pPr>
          </w:p>
        </w:tc>
        <w:tc>
          <w:tcPr>
            <w:tcW w:w="1720" w:type="dxa"/>
            <w:tcBorders>
              <w:top w:val="nil"/>
              <w:left w:val="nil"/>
              <w:bottom w:val="single" w:sz="4" w:space="0" w:color="1F4E78"/>
              <w:right w:val="double" w:sz="6" w:space="0" w:color="1F4E78"/>
            </w:tcBorders>
            <w:shd w:val="clear" w:color="auto" w:fill="auto"/>
            <w:vAlign w:val="center"/>
            <w:hideMark/>
          </w:tcPr>
          <w:p w14:paraId="58E4CF2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5CEC8E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Fiscala o Fiscal Auxiliar</w:t>
            </w:r>
          </w:p>
        </w:tc>
      </w:tr>
      <w:tr w:rsidR="00B15F7D" w:rsidRPr="00990FB6" w14:paraId="3CBC76AD"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2620FEC8"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203764"/>
              <w:right w:val="double" w:sz="6" w:space="0" w:color="1F4E78"/>
            </w:tcBorders>
            <w:shd w:val="clear" w:color="auto" w:fill="auto"/>
            <w:vAlign w:val="center"/>
            <w:hideMark/>
          </w:tcPr>
          <w:p w14:paraId="5ADB0E2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203764"/>
              <w:right w:val="double" w:sz="6" w:space="0" w:color="1F4E78"/>
            </w:tcBorders>
            <w:shd w:val="clear" w:color="auto" w:fill="auto"/>
            <w:vAlign w:val="center"/>
            <w:hideMark/>
          </w:tcPr>
          <w:p w14:paraId="20BAE3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23EB0756" w14:textId="77777777" w:rsidTr="000A0C22">
        <w:trPr>
          <w:trHeight w:val="31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2521B21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II Circuito Judicial de la Zona Atlántica</w:t>
            </w:r>
          </w:p>
        </w:tc>
        <w:tc>
          <w:tcPr>
            <w:tcW w:w="1720" w:type="dxa"/>
            <w:tcBorders>
              <w:top w:val="nil"/>
              <w:left w:val="nil"/>
              <w:bottom w:val="single" w:sz="4" w:space="0" w:color="1F4E78"/>
              <w:right w:val="double" w:sz="6" w:space="0" w:color="1F4E78"/>
            </w:tcBorders>
            <w:shd w:val="clear" w:color="auto" w:fill="auto"/>
            <w:vAlign w:val="center"/>
            <w:hideMark/>
          </w:tcPr>
          <w:p w14:paraId="18BA4E7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3E60D5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(Psicólogo)</w:t>
            </w:r>
          </w:p>
        </w:tc>
      </w:tr>
      <w:tr w:rsidR="00B15F7D" w:rsidRPr="00990FB6" w14:paraId="4B7AE914"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0A852970"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203764"/>
              <w:right w:val="double" w:sz="6" w:space="0" w:color="1F4E78"/>
            </w:tcBorders>
            <w:shd w:val="clear" w:color="auto" w:fill="auto"/>
            <w:vAlign w:val="center"/>
            <w:hideMark/>
          </w:tcPr>
          <w:p w14:paraId="3193743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203764"/>
              <w:right w:val="double" w:sz="6" w:space="0" w:color="1F4E78"/>
            </w:tcBorders>
            <w:shd w:val="clear" w:color="auto" w:fill="auto"/>
            <w:vAlign w:val="center"/>
            <w:hideMark/>
          </w:tcPr>
          <w:p w14:paraId="00DD79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r w:rsidR="00B15F7D" w:rsidRPr="00990FB6" w14:paraId="3BA795DA" w14:textId="77777777" w:rsidTr="000A0C22">
        <w:trPr>
          <w:trHeight w:val="31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454C84E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Puntarenas</w:t>
            </w:r>
          </w:p>
        </w:tc>
        <w:tc>
          <w:tcPr>
            <w:tcW w:w="1720" w:type="dxa"/>
            <w:tcBorders>
              <w:top w:val="nil"/>
              <w:left w:val="nil"/>
              <w:bottom w:val="single" w:sz="4" w:space="0" w:color="1F4E78"/>
              <w:right w:val="double" w:sz="6" w:space="0" w:color="1F4E78"/>
            </w:tcBorders>
            <w:shd w:val="clear" w:color="auto" w:fill="auto"/>
            <w:vAlign w:val="center"/>
            <w:hideMark/>
          </w:tcPr>
          <w:p w14:paraId="2394432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single" w:sz="4" w:space="0" w:color="1F4E78"/>
              <w:right w:val="double" w:sz="6" w:space="0" w:color="1F4E78"/>
            </w:tcBorders>
            <w:shd w:val="clear" w:color="auto" w:fill="auto"/>
            <w:vAlign w:val="center"/>
            <w:hideMark/>
          </w:tcPr>
          <w:p w14:paraId="09E1EF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Profesional 2 (Trabajador Social)</w:t>
            </w:r>
          </w:p>
        </w:tc>
      </w:tr>
      <w:tr w:rsidR="00B15F7D" w:rsidRPr="00990FB6" w14:paraId="429A2A55" w14:textId="77777777" w:rsidTr="000A0C22">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272C9D58" w14:textId="77777777" w:rsidR="00B15F7D" w:rsidRPr="00990FB6" w:rsidRDefault="00B15F7D" w:rsidP="00B15F7D">
            <w:pPr>
              <w:rPr>
                <w:b/>
                <w:bCs/>
                <w:color w:val="000000"/>
                <w:sz w:val="22"/>
                <w:szCs w:val="22"/>
                <w:lang w:eastAsia="es-CR"/>
              </w:rPr>
            </w:pPr>
          </w:p>
        </w:tc>
        <w:tc>
          <w:tcPr>
            <w:tcW w:w="1720" w:type="dxa"/>
            <w:tcBorders>
              <w:top w:val="nil"/>
              <w:left w:val="nil"/>
              <w:bottom w:val="double" w:sz="6" w:space="0" w:color="203764"/>
              <w:right w:val="double" w:sz="6" w:space="0" w:color="1F4E78"/>
            </w:tcBorders>
            <w:shd w:val="clear" w:color="auto" w:fill="auto"/>
            <w:vAlign w:val="center"/>
            <w:hideMark/>
          </w:tcPr>
          <w:p w14:paraId="759D07F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3043" w:type="dxa"/>
            <w:tcBorders>
              <w:top w:val="nil"/>
              <w:left w:val="nil"/>
              <w:bottom w:val="double" w:sz="6" w:space="0" w:color="203764"/>
              <w:right w:val="double" w:sz="6" w:space="0" w:color="1F4E78"/>
            </w:tcBorders>
            <w:shd w:val="clear" w:color="auto" w:fill="auto"/>
            <w:vAlign w:val="center"/>
            <w:hideMark/>
          </w:tcPr>
          <w:p w14:paraId="244693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Técnico o Técnica Judicial 2</w:t>
            </w:r>
          </w:p>
        </w:tc>
      </w:tr>
    </w:tbl>
    <w:p w14:paraId="2F56C41D" w14:textId="77777777" w:rsidR="00B15F7D" w:rsidRPr="00990FB6" w:rsidRDefault="00B15F7D" w:rsidP="00B15F7D">
      <w:pPr>
        <w:tabs>
          <w:tab w:val="left" w:pos="1985"/>
        </w:tabs>
        <w:ind w:left="851" w:right="851" w:firstLine="709"/>
        <w:jc w:val="both"/>
        <w:rPr>
          <w:color w:val="000000"/>
          <w:sz w:val="22"/>
          <w:szCs w:val="22"/>
          <w:lang w:eastAsia="es-ES"/>
        </w:rPr>
      </w:pPr>
      <w:r w:rsidRPr="00990FB6">
        <w:rPr>
          <w:b/>
          <w:bCs/>
          <w:color w:val="000000"/>
          <w:sz w:val="22"/>
          <w:szCs w:val="22"/>
          <w:lang w:eastAsia="es-ES"/>
        </w:rPr>
        <w:t xml:space="preserve">Fuente: </w:t>
      </w:r>
      <w:r w:rsidRPr="00990FB6">
        <w:rPr>
          <w:color w:val="000000"/>
          <w:sz w:val="22"/>
          <w:szCs w:val="22"/>
          <w:lang w:eastAsia="es-ES"/>
        </w:rPr>
        <w:t>Subproceso de Modernización Institucional a partir de la información suministrada por la Dirección de Justicia Restaurativa.</w:t>
      </w:r>
    </w:p>
    <w:p w14:paraId="2EAE6015" w14:textId="77777777" w:rsidR="00B15F7D" w:rsidRPr="00990FB6" w:rsidRDefault="00B15F7D" w:rsidP="00B15F7D">
      <w:pPr>
        <w:tabs>
          <w:tab w:val="left" w:pos="1985"/>
        </w:tabs>
        <w:ind w:left="851" w:right="851" w:firstLine="709"/>
        <w:jc w:val="both"/>
        <w:rPr>
          <w:color w:val="000000"/>
          <w:sz w:val="22"/>
          <w:szCs w:val="22"/>
          <w:lang w:eastAsia="es-ES"/>
        </w:rPr>
      </w:pPr>
    </w:p>
    <w:p w14:paraId="72A8CD68"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A continuación, se muestra la asignación de costos del recurso humano, mobiliario y equipo solicitado:</w:t>
      </w:r>
    </w:p>
    <w:p w14:paraId="50DD0F6F" w14:textId="77777777" w:rsidR="00B15F7D" w:rsidRPr="00990FB6" w:rsidRDefault="00B15F7D" w:rsidP="00B15F7D">
      <w:pPr>
        <w:tabs>
          <w:tab w:val="left" w:pos="0"/>
        </w:tabs>
        <w:ind w:left="851" w:right="851" w:firstLine="709"/>
        <w:jc w:val="both"/>
        <w:rPr>
          <w:color w:val="000000"/>
          <w:sz w:val="22"/>
          <w:szCs w:val="22"/>
        </w:rPr>
      </w:pPr>
    </w:p>
    <w:p w14:paraId="4BA5EA84" w14:textId="77777777" w:rsidR="00B15F7D" w:rsidRPr="00990FB6" w:rsidRDefault="00B15F7D" w:rsidP="00B15F7D">
      <w:pPr>
        <w:ind w:left="851" w:right="851" w:firstLine="709"/>
        <w:jc w:val="both"/>
        <w:rPr>
          <w:b/>
          <w:bCs/>
          <w:color w:val="000000"/>
          <w:sz w:val="22"/>
          <w:szCs w:val="22"/>
          <w:lang w:eastAsia="es-ES"/>
        </w:rPr>
      </w:pPr>
      <w:r w:rsidRPr="00990FB6">
        <w:rPr>
          <w:b/>
          <w:bCs/>
          <w:color w:val="000000"/>
          <w:sz w:val="22"/>
          <w:szCs w:val="22"/>
        </w:rPr>
        <w:t xml:space="preserve">Cuadro 23. Estimación de costos del requerimiento humano, equipo y mobiliario enviado como propuesta de la Oficina Rectora de Justicia Restaurativa para el presupuesto del 2024 </w:t>
      </w:r>
      <w:r w:rsidRPr="00990FB6">
        <w:rPr>
          <w:b/>
          <w:bCs/>
          <w:color w:val="000000"/>
          <w:sz w:val="22"/>
          <w:szCs w:val="22"/>
          <w:lang w:eastAsia="es-ES"/>
        </w:rPr>
        <w:t>al excluir los equipos especializados en Materia Contravencional, Ejecución de la Pena y Penal Juvenil.</w:t>
      </w:r>
    </w:p>
    <w:p w14:paraId="3722B7F3" w14:textId="77777777" w:rsidR="00B15F7D" w:rsidRPr="00990FB6" w:rsidRDefault="00B15F7D" w:rsidP="00B15F7D">
      <w:pPr>
        <w:jc w:val="both"/>
        <w:rPr>
          <w:b/>
          <w:bCs/>
          <w:color w:val="000000"/>
          <w:sz w:val="22"/>
          <w:szCs w:val="22"/>
          <w:lang w:eastAsia="es-ES"/>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8"/>
        <w:gridCol w:w="2000"/>
        <w:gridCol w:w="1763"/>
        <w:gridCol w:w="1985"/>
      </w:tblGrid>
      <w:tr w:rsidR="00B15F7D" w:rsidRPr="00990FB6" w14:paraId="4B24F9C5" w14:textId="77777777" w:rsidTr="000A0C22">
        <w:trPr>
          <w:trHeight w:val="315"/>
        </w:trPr>
        <w:tc>
          <w:tcPr>
            <w:tcW w:w="3178" w:type="dxa"/>
            <w:noWrap/>
            <w:hideMark/>
          </w:tcPr>
          <w:p w14:paraId="49F7B1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Circuito</w:t>
            </w:r>
          </w:p>
        </w:tc>
        <w:tc>
          <w:tcPr>
            <w:tcW w:w="2000" w:type="dxa"/>
            <w:noWrap/>
            <w:hideMark/>
          </w:tcPr>
          <w:p w14:paraId="3E664AD9" w14:textId="77777777" w:rsidR="00B15F7D" w:rsidRPr="00990FB6" w:rsidRDefault="00B15F7D" w:rsidP="00B15F7D">
            <w:pPr>
              <w:jc w:val="center"/>
              <w:rPr>
                <w:color w:val="000000"/>
                <w:sz w:val="22"/>
                <w:szCs w:val="22"/>
                <w:lang w:eastAsia="es-CR"/>
              </w:rPr>
            </w:pPr>
            <w:proofErr w:type="spellStart"/>
            <w:r w:rsidRPr="00990FB6">
              <w:rPr>
                <w:color w:val="000000"/>
                <w:sz w:val="22"/>
                <w:szCs w:val="22"/>
                <w:lang w:eastAsia="es-CR"/>
              </w:rPr>
              <w:t>Requ</w:t>
            </w:r>
            <w:proofErr w:type="spellEnd"/>
            <w:r w:rsidRPr="00990FB6">
              <w:rPr>
                <w:color w:val="000000"/>
                <w:sz w:val="22"/>
                <w:szCs w:val="22"/>
                <w:lang w:eastAsia="es-CR"/>
              </w:rPr>
              <w:t>. Humano</w:t>
            </w:r>
          </w:p>
        </w:tc>
        <w:tc>
          <w:tcPr>
            <w:tcW w:w="1763" w:type="dxa"/>
            <w:noWrap/>
            <w:hideMark/>
          </w:tcPr>
          <w:p w14:paraId="75524D1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Equipo y </w:t>
            </w:r>
            <w:proofErr w:type="spellStart"/>
            <w:r w:rsidRPr="00990FB6">
              <w:rPr>
                <w:color w:val="000000"/>
                <w:sz w:val="22"/>
                <w:szCs w:val="22"/>
                <w:lang w:eastAsia="es-CR"/>
              </w:rPr>
              <w:t>Mob</w:t>
            </w:r>
            <w:proofErr w:type="spellEnd"/>
          </w:p>
        </w:tc>
        <w:tc>
          <w:tcPr>
            <w:tcW w:w="1985" w:type="dxa"/>
            <w:noWrap/>
            <w:hideMark/>
          </w:tcPr>
          <w:p w14:paraId="716502A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Total</w:t>
            </w:r>
          </w:p>
        </w:tc>
      </w:tr>
      <w:tr w:rsidR="00B15F7D" w:rsidRPr="00990FB6" w14:paraId="706F881E" w14:textId="77777777" w:rsidTr="000A0C22">
        <w:trPr>
          <w:trHeight w:val="300"/>
        </w:trPr>
        <w:tc>
          <w:tcPr>
            <w:tcW w:w="3178" w:type="dxa"/>
            <w:noWrap/>
            <w:hideMark/>
          </w:tcPr>
          <w:p w14:paraId="648EE0B1" w14:textId="77777777" w:rsidR="00B15F7D" w:rsidRPr="00990FB6" w:rsidRDefault="00B15F7D" w:rsidP="00B15F7D">
            <w:pPr>
              <w:rPr>
                <w:color w:val="000000"/>
                <w:sz w:val="22"/>
                <w:szCs w:val="22"/>
                <w:lang w:eastAsia="es-CR"/>
              </w:rPr>
            </w:pPr>
            <w:r w:rsidRPr="00990FB6">
              <w:rPr>
                <w:color w:val="000000"/>
                <w:sz w:val="22"/>
                <w:szCs w:val="22"/>
                <w:lang w:eastAsia="es-CR"/>
              </w:rPr>
              <w:t>I, II y III Circuito de San José</w:t>
            </w:r>
          </w:p>
        </w:tc>
        <w:tc>
          <w:tcPr>
            <w:tcW w:w="2000" w:type="dxa"/>
            <w:noWrap/>
            <w:hideMark/>
          </w:tcPr>
          <w:p w14:paraId="584ED6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₡68 685 000,00</w:t>
            </w:r>
          </w:p>
        </w:tc>
        <w:tc>
          <w:tcPr>
            <w:tcW w:w="1763" w:type="dxa"/>
            <w:noWrap/>
            <w:hideMark/>
          </w:tcPr>
          <w:p w14:paraId="637DF0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₡3 670 521,55</w:t>
            </w:r>
          </w:p>
        </w:tc>
        <w:tc>
          <w:tcPr>
            <w:tcW w:w="1985" w:type="dxa"/>
            <w:noWrap/>
            <w:hideMark/>
          </w:tcPr>
          <w:p w14:paraId="718402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₡72 355 521,55</w:t>
            </w:r>
          </w:p>
        </w:tc>
      </w:tr>
      <w:tr w:rsidR="00B15F7D" w:rsidRPr="00990FB6" w14:paraId="32A0694B" w14:textId="77777777" w:rsidTr="000A0C22">
        <w:trPr>
          <w:trHeight w:val="300"/>
        </w:trPr>
        <w:tc>
          <w:tcPr>
            <w:tcW w:w="3178" w:type="dxa"/>
            <w:noWrap/>
            <w:hideMark/>
          </w:tcPr>
          <w:p w14:paraId="01C5D605"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 Circuito Judicial de Alajuela</w:t>
            </w:r>
          </w:p>
        </w:tc>
        <w:tc>
          <w:tcPr>
            <w:tcW w:w="2000" w:type="dxa"/>
            <w:noWrap/>
            <w:hideMark/>
          </w:tcPr>
          <w:p w14:paraId="1DB03FA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₡163 085 000,00</w:t>
            </w:r>
          </w:p>
        </w:tc>
        <w:tc>
          <w:tcPr>
            <w:tcW w:w="1763" w:type="dxa"/>
            <w:noWrap/>
            <w:hideMark/>
          </w:tcPr>
          <w:p w14:paraId="0D87C3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₡5 716 966,30</w:t>
            </w:r>
          </w:p>
        </w:tc>
        <w:tc>
          <w:tcPr>
            <w:tcW w:w="1985" w:type="dxa"/>
            <w:noWrap/>
            <w:hideMark/>
          </w:tcPr>
          <w:p w14:paraId="2C5421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₡168 801 966,30</w:t>
            </w:r>
          </w:p>
        </w:tc>
      </w:tr>
      <w:tr w:rsidR="00B15F7D" w:rsidRPr="00990FB6" w14:paraId="5B12D531" w14:textId="77777777" w:rsidTr="000A0C22">
        <w:trPr>
          <w:trHeight w:val="300"/>
        </w:trPr>
        <w:tc>
          <w:tcPr>
            <w:tcW w:w="3178" w:type="dxa"/>
            <w:noWrap/>
            <w:hideMark/>
          </w:tcPr>
          <w:p w14:paraId="4EF43D35"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II Circuito Judicial de Alajuela</w:t>
            </w:r>
          </w:p>
        </w:tc>
        <w:tc>
          <w:tcPr>
            <w:tcW w:w="2000" w:type="dxa"/>
            <w:noWrap/>
            <w:hideMark/>
          </w:tcPr>
          <w:p w14:paraId="0ADD07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₡163 085 000,00</w:t>
            </w:r>
          </w:p>
        </w:tc>
        <w:tc>
          <w:tcPr>
            <w:tcW w:w="1763" w:type="dxa"/>
            <w:noWrap/>
            <w:hideMark/>
          </w:tcPr>
          <w:p w14:paraId="5C7E2C8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₡5 716 966,30</w:t>
            </w:r>
          </w:p>
        </w:tc>
        <w:tc>
          <w:tcPr>
            <w:tcW w:w="1985" w:type="dxa"/>
            <w:noWrap/>
            <w:hideMark/>
          </w:tcPr>
          <w:p w14:paraId="6F7E4B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₡168 801 966,30</w:t>
            </w:r>
          </w:p>
        </w:tc>
      </w:tr>
      <w:tr w:rsidR="00B15F7D" w:rsidRPr="00990FB6" w14:paraId="4E2E3911" w14:textId="77777777" w:rsidTr="000A0C22">
        <w:trPr>
          <w:trHeight w:val="300"/>
        </w:trPr>
        <w:tc>
          <w:tcPr>
            <w:tcW w:w="3178" w:type="dxa"/>
            <w:noWrap/>
            <w:hideMark/>
          </w:tcPr>
          <w:p w14:paraId="7C89A91D"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III Circuito Judicial de Alajuela</w:t>
            </w:r>
          </w:p>
        </w:tc>
        <w:tc>
          <w:tcPr>
            <w:tcW w:w="2000" w:type="dxa"/>
            <w:noWrap/>
            <w:hideMark/>
          </w:tcPr>
          <w:p w14:paraId="4829C8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₡163 085 000,00</w:t>
            </w:r>
          </w:p>
        </w:tc>
        <w:tc>
          <w:tcPr>
            <w:tcW w:w="1763" w:type="dxa"/>
            <w:noWrap/>
            <w:hideMark/>
          </w:tcPr>
          <w:p w14:paraId="05FBDA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₡5 716 966,30</w:t>
            </w:r>
          </w:p>
        </w:tc>
        <w:tc>
          <w:tcPr>
            <w:tcW w:w="1985" w:type="dxa"/>
            <w:noWrap/>
            <w:hideMark/>
          </w:tcPr>
          <w:p w14:paraId="2A0CF56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₡168 801 966,30</w:t>
            </w:r>
          </w:p>
        </w:tc>
      </w:tr>
      <w:tr w:rsidR="00B15F7D" w:rsidRPr="00990FB6" w14:paraId="141B473A" w14:textId="77777777" w:rsidTr="000A0C22">
        <w:trPr>
          <w:trHeight w:val="300"/>
        </w:trPr>
        <w:tc>
          <w:tcPr>
            <w:tcW w:w="3178" w:type="dxa"/>
            <w:noWrap/>
            <w:hideMark/>
          </w:tcPr>
          <w:p w14:paraId="5E502F2B" w14:textId="77777777" w:rsidR="00B15F7D" w:rsidRPr="00990FB6" w:rsidRDefault="00B15F7D" w:rsidP="00B15F7D">
            <w:pPr>
              <w:rPr>
                <w:color w:val="000000"/>
                <w:sz w:val="22"/>
                <w:szCs w:val="22"/>
                <w:lang w:eastAsia="es-CR"/>
              </w:rPr>
            </w:pPr>
            <w:r w:rsidRPr="00990FB6">
              <w:rPr>
                <w:color w:val="000000"/>
                <w:sz w:val="22"/>
                <w:szCs w:val="22"/>
                <w:lang w:eastAsia="es-CR"/>
              </w:rPr>
              <w:t>Cartago</w:t>
            </w:r>
          </w:p>
        </w:tc>
        <w:tc>
          <w:tcPr>
            <w:tcW w:w="2000" w:type="dxa"/>
            <w:noWrap/>
            <w:hideMark/>
          </w:tcPr>
          <w:p w14:paraId="452E77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₡52 740 000,00</w:t>
            </w:r>
          </w:p>
        </w:tc>
        <w:tc>
          <w:tcPr>
            <w:tcW w:w="1763" w:type="dxa"/>
            <w:noWrap/>
            <w:hideMark/>
          </w:tcPr>
          <w:p w14:paraId="22A4FB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₡2 611 601,88</w:t>
            </w:r>
          </w:p>
        </w:tc>
        <w:tc>
          <w:tcPr>
            <w:tcW w:w="1985" w:type="dxa"/>
            <w:noWrap/>
            <w:hideMark/>
          </w:tcPr>
          <w:p w14:paraId="2E5529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₡55 351 601,88</w:t>
            </w:r>
          </w:p>
        </w:tc>
      </w:tr>
      <w:tr w:rsidR="00B15F7D" w:rsidRPr="00990FB6" w14:paraId="25F4954C" w14:textId="77777777" w:rsidTr="000A0C22">
        <w:trPr>
          <w:trHeight w:val="300"/>
        </w:trPr>
        <w:tc>
          <w:tcPr>
            <w:tcW w:w="3178" w:type="dxa"/>
            <w:noWrap/>
            <w:hideMark/>
          </w:tcPr>
          <w:p w14:paraId="7588358A"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c>
          <w:tcPr>
            <w:tcW w:w="2000" w:type="dxa"/>
            <w:noWrap/>
            <w:hideMark/>
          </w:tcPr>
          <w:p w14:paraId="057AD5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₡52 740 000,00</w:t>
            </w:r>
          </w:p>
        </w:tc>
        <w:tc>
          <w:tcPr>
            <w:tcW w:w="1763" w:type="dxa"/>
            <w:noWrap/>
            <w:hideMark/>
          </w:tcPr>
          <w:p w14:paraId="545155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₡2 611 601,88</w:t>
            </w:r>
          </w:p>
        </w:tc>
        <w:tc>
          <w:tcPr>
            <w:tcW w:w="1985" w:type="dxa"/>
            <w:noWrap/>
            <w:hideMark/>
          </w:tcPr>
          <w:p w14:paraId="4F3E59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₡55 351 601,88</w:t>
            </w:r>
          </w:p>
        </w:tc>
      </w:tr>
      <w:tr w:rsidR="00B15F7D" w:rsidRPr="00990FB6" w14:paraId="18ABEBEB" w14:textId="77777777" w:rsidTr="000A0C22">
        <w:trPr>
          <w:trHeight w:val="300"/>
        </w:trPr>
        <w:tc>
          <w:tcPr>
            <w:tcW w:w="3178" w:type="dxa"/>
            <w:noWrap/>
            <w:hideMark/>
          </w:tcPr>
          <w:p w14:paraId="33105289"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 Circuito Judicial Zona Sur</w:t>
            </w:r>
          </w:p>
        </w:tc>
        <w:tc>
          <w:tcPr>
            <w:tcW w:w="2000" w:type="dxa"/>
            <w:noWrap/>
            <w:hideMark/>
          </w:tcPr>
          <w:p w14:paraId="143B28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₡106 020 000,00</w:t>
            </w:r>
          </w:p>
        </w:tc>
        <w:tc>
          <w:tcPr>
            <w:tcW w:w="1763" w:type="dxa"/>
            <w:noWrap/>
            <w:hideMark/>
          </w:tcPr>
          <w:p w14:paraId="3C7AD7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₡4 164 284,09</w:t>
            </w:r>
          </w:p>
        </w:tc>
        <w:tc>
          <w:tcPr>
            <w:tcW w:w="1985" w:type="dxa"/>
            <w:noWrap/>
            <w:hideMark/>
          </w:tcPr>
          <w:p w14:paraId="4FAC1B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₡110 184 284,09</w:t>
            </w:r>
          </w:p>
        </w:tc>
      </w:tr>
      <w:tr w:rsidR="00B15F7D" w:rsidRPr="00990FB6" w14:paraId="0FDDBB3E" w14:textId="77777777" w:rsidTr="000A0C22">
        <w:trPr>
          <w:trHeight w:val="300"/>
        </w:trPr>
        <w:tc>
          <w:tcPr>
            <w:tcW w:w="3178" w:type="dxa"/>
            <w:noWrap/>
            <w:hideMark/>
          </w:tcPr>
          <w:p w14:paraId="16864B59" w14:textId="77777777" w:rsidR="00B15F7D" w:rsidRPr="00990FB6" w:rsidRDefault="00B15F7D" w:rsidP="00B15F7D">
            <w:pPr>
              <w:rPr>
                <w:color w:val="000000"/>
                <w:sz w:val="22"/>
                <w:szCs w:val="22"/>
                <w:lang w:eastAsia="es-CR"/>
              </w:rPr>
            </w:pPr>
            <w:r w:rsidRPr="00990FB6">
              <w:rPr>
                <w:color w:val="000000"/>
                <w:sz w:val="22"/>
                <w:szCs w:val="22"/>
                <w:lang w:eastAsia="es-CR"/>
              </w:rPr>
              <w:t>II Circuito Judicial Zona Sur</w:t>
            </w:r>
          </w:p>
        </w:tc>
        <w:tc>
          <w:tcPr>
            <w:tcW w:w="2000" w:type="dxa"/>
            <w:noWrap/>
            <w:hideMark/>
          </w:tcPr>
          <w:p w14:paraId="390558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₡52 740 000,00</w:t>
            </w:r>
          </w:p>
        </w:tc>
        <w:tc>
          <w:tcPr>
            <w:tcW w:w="1763" w:type="dxa"/>
            <w:noWrap/>
            <w:hideMark/>
          </w:tcPr>
          <w:p w14:paraId="1D3103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₡2 611 601,88</w:t>
            </w:r>
          </w:p>
        </w:tc>
        <w:tc>
          <w:tcPr>
            <w:tcW w:w="1985" w:type="dxa"/>
            <w:noWrap/>
            <w:hideMark/>
          </w:tcPr>
          <w:p w14:paraId="7C4F78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₡55 351 601,88</w:t>
            </w:r>
          </w:p>
        </w:tc>
      </w:tr>
      <w:tr w:rsidR="00B15F7D" w:rsidRPr="00990FB6" w14:paraId="1D690C83" w14:textId="77777777" w:rsidTr="000A0C22">
        <w:trPr>
          <w:trHeight w:val="300"/>
        </w:trPr>
        <w:tc>
          <w:tcPr>
            <w:tcW w:w="3178" w:type="dxa"/>
            <w:noWrap/>
            <w:hideMark/>
          </w:tcPr>
          <w:p w14:paraId="4864E91A"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 Circuito Judicial de Guanacaste</w:t>
            </w:r>
          </w:p>
        </w:tc>
        <w:tc>
          <w:tcPr>
            <w:tcW w:w="2000" w:type="dxa"/>
            <w:noWrap/>
            <w:hideMark/>
          </w:tcPr>
          <w:p w14:paraId="624F71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₡106 020 000,00</w:t>
            </w:r>
          </w:p>
        </w:tc>
        <w:tc>
          <w:tcPr>
            <w:tcW w:w="1763" w:type="dxa"/>
            <w:noWrap/>
            <w:hideMark/>
          </w:tcPr>
          <w:p w14:paraId="1CBE1F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₡4 164 284,09</w:t>
            </w:r>
          </w:p>
        </w:tc>
        <w:tc>
          <w:tcPr>
            <w:tcW w:w="1985" w:type="dxa"/>
            <w:noWrap/>
            <w:hideMark/>
          </w:tcPr>
          <w:p w14:paraId="44CD92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₡110 184 284,09</w:t>
            </w:r>
          </w:p>
        </w:tc>
      </w:tr>
      <w:tr w:rsidR="00B15F7D" w:rsidRPr="00990FB6" w14:paraId="1A7884F5" w14:textId="77777777" w:rsidTr="000A0C22">
        <w:trPr>
          <w:trHeight w:val="300"/>
        </w:trPr>
        <w:tc>
          <w:tcPr>
            <w:tcW w:w="3178" w:type="dxa"/>
            <w:noWrap/>
            <w:hideMark/>
          </w:tcPr>
          <w:p w14:paraId="6211C6DE" w14:textId="77777777" w:rsidR="00B15F7D" w:rsidRPr="00990FB6" w:rsidRDefault="00B15F7D" w:rsidP="00B15F7D">
            <w:pPr>
              <w:rPr>
                <w:color w:val="000000"/>
                <w:sz w:val="22"/>
                <w:szCs w:val="22"/>
                <w:lang w:val="pt-PT" w:eastAsia="es-CR"/>
              </w:rPr>
            </w:pPr>
            <w:r w:rsidRPr="00990FB6">
              <w:rPr>
                <w:color w:val="000000"/>
                <w:sz w:val="22"/>
                <w:szCs w:val="22"/>
                <w:lang w:val="pt-PT" w:eastAsia="es-CR"/>
              </w:rPr>
              <w:t>II Circuito Judicial de Guanacaste</w:t>
            </w:r>
          </w:p>
        </w:tc>
        <w:tc>
          <w:tcPr>
            <w:tcW w:w="2000" w:type="dxa"/>
            <w:noWrap/>
            <w:hideMark/>
          </w:tcPr>
          <w:p w14:paraId="5F0725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₡163 085 000,00</w:t>
            </w:r>
          </w:p>
        </w:tc>
        <w:tc>
          <w:tcPr>
            <w:tcW w:w="1763" w:type="dxa"/>
            <w:noWrap/>
            <w:hideMark/>
          </w:tcPr>
          <w:p w14:paraId="302B7E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₡5 716 966,30</w:t>
            </w:r>
          </w:p>
        </w:tc>
        <w:tc>
          <w:tcPr>
            <w:tcW w:w="1985" w:type="dxa"/>
            <w:noWrap/>
            <w:hideMark/>
          </w:tcPr>
          <w:p w14:paraId="0F9D23F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₡168 801 966,30</w:t>
            </w:r>
          </w:p>
        </w:tc>
      </w:tr>
      <w:tr w:rsidR="00B15F7D" w:rsidRPr="00990FB6" w14:paraId="0638507A" w14:textId="77777777" w:rsidTr="000A0C22">
        <w:trPr>
          <w:trHeight w:val="300"/>
        </w:trPr>
        <w:tc>
          <w:tcPr>
            <w:tcW w:w="3178" w:type="dxa"/>
            <w:noWrap/>
            <w:hideMark/>
          </w:tcPr>
          <w:p w14:paraId="1C916B85" w14:textId="77777777" w:rsidR="00B15F7D" w:rsidRPr="00990FB6" w:rsidRDefault="00B15F7D" w:rsidP="00B15F7D">
            <w:pPr>
              <w:rPr>
                <w:color w:val="000000"/>
                <w:sz w:val="22"/>
                <w:szCs w:val="22"/>
                <w:lang w:eastAsia="es-CR"/>
              </w:rPr>
            </w:pPr>
            <w:r w:rsidRPr="00990FB6">
              <w:rPr>
                <w:color w:val="000000"/>
                <w:sz w:val="22"/>
                <w:szCs w:val="22"/>
                <w:lang w:eastAsia="es-CR"/>
              </w:rPr>
              <w:t>I Circuito Judicial de la Zona Atlántica</w:t>
            </w:r>
          </w:p>
        </w:tc>
        <w:tc>
          <w:tcPr>
            <w:tcW w:w="2000" w:type="dxa"/>
            <w:noWrap/>
            <w:hideMark/>
          </w:tcPr>
          <w:p w14:paraId="11D68F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₡163 085 000,00</w:t>
            </w:r>
          </w:p>
        </w:tc>
        <w:tc>
          <w:tcPr>
            <w:tcW w:w="1763" w:type="dxa"/>
            <w:noWrap/>
            <w:hideMark/>
          </w:tcPr>
          <w:p w14:paraId="6F5983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₡5 716 966,30</w:t>
            </w:r>
          </w:p>
        </w:tc>
        <w:tc>
          <w:tcPr>
            <w:tcW w:w="1985" w:type="dxa"/>
            <w:noWrap/>
            <w:hideMark/>
          </w:tcPr>
          <w:p w14:paraId="5813AF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₡168 801 966,30</w:t>
            </w:r>
          </w:p>
        </w:tc>
      </w:tr>
      <w:tr w:rsidR="00B15F7D" w:rsidRPr="00990FB6" w14:paraId="2FECFF45" w14:textId="77777777" w:rsidTr="000A0C22">
        <w:trPr>
          <w:trHeight w:val="300"/>
        </w:trPr>
        <w:tc>
          <w:tcPr>
            <w:tcW w:w="3178" w:type="dxa"/>
            <w:noWrap/>
            <w:hideMark/>
          </w:tcPr>
          <w:p w14:paraId="3973FA57" w14:textId="77777777" w:rsidR="00B15F7D" w:rsidRPr="00990FB6" w:rsidRDefault="00B15F7D" w:rsidP="00B15F7D">
            <w:pPr>
              <w:rPr>
                <w:color w:val="000000"/>
                <w:sz w:val="22"/>
                <w:szCs w:val="22"/>
                <w:lang w:eastAsia="es-CR"/>
              </w:rPr>
            </w:pPr>
            <w:r w:rsidRPr="00990FB6">
              <w:rPr>
                <w:color w:val="000000"/>
                <w:sz w:val="22"/>
                <w:szCs w:val="22"/>
                <w:lang w:eastAsia="es-CR"/>
              </w:rPr>
              <w:t>II Circuito Judicial de la Zona Atlántica</w:t>
            </w:r>
          </w:p>
        </w:tc>
        <w:tc>
          <w:tcPr>
            <w:tcW w:w="2000" w:type="dxa"/>
            <w:noWrap/>
            <w:hideMark/>
          </w:tcPr>
          <w:p w14:paraId="3157A0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₡52 740 000,00</w:t>
            </w:r>
          </w:p>
        </w:tc>
        <w:tc>
          <w:tcPr>
            <w:tcW w:w="1763" w:type="dxa"/>
            <w:noWrap/>
            <w:hideMark/>
          </w:tcPr>
          <w:p w14:paraId="09C50B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₡2 611 601,88</w:t>
            </w:r>
          </w:p>
        </w:tc>
        <w:tc>
          <w:tcPr>
            <w:tcW w:w="1985" w:type="dxa"/>
            <w:noWrap/>
            <w:hideMark/>
          </w:tcPr>
          <w:p w14:paraId="6757D7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₡55 351 601,88</w:t>
            </w:r>
          </w:p>
        </w:tc>
      </w:tr>
      <w:tr w:rsidR="00B15F7D" w:rsidRPr="00990FB6" w14:paraId="46801C84" w14:textId="77777777" w:rsidTr="000A0C22">
        <w:trPr>
          <w:trHeight w:val="300"/>
        </w:trPr>
        <w:tc>
          <w:tcPr>
            <w:tcW w:w="3178" w:type="dxa"/>
            <w:noWrap/>
            <w:hideMark/>
          </w:tcPr>
          <w:p w14:paraId="3209CBAA" w14:textId="77777777" w:rsidR="00B15F7D" w:rsidRPr="00990FB6" w:rsidRDefault="00B15F7D" w:rsidP="00B15F7D">
            <w:pPr>
              <w:rPr>
                <w:color w:val="000000"/>
                <w:sz w:val="22"/>
                <w:szCs w:val="22"/>
                <w:lang w:eastAsia="es-CR"/>
              </w:rPr>
            </w:pPr>
            <w:r w:rsidRPr="00990FB6">
              <w:rPr>
                <w:color w:val="000000"/>
                <w:sz w:val="22"/>
                <w:szCs w:val="22"/>
                <w:lang w:eastAsia="es-CR"/>
              </w:rPr>
              <w:t>Puntarenas</w:t>
            </w:r>
          </w:p>
        </w:tc>
        <w:tc>
          <w:tcPr>
            <w:tcW w:w="2000" w:type="dxa"/>
            <w:noWrap/>
            <w:hideMark/>
          </w:tcPr>
          <w:p w14:paraId="3CD70B2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₡52 740 000,00</w:t>
            </w:r>
          </w:p>
        </w:tc>
        <w:tc>
          <w:tcPr>
            <w:tcW w:w="1763" w:type="dxa"/>
            <w:noWrap/>
            <w:hideMark/>
          </w:tcPr>
          <w:p w14:paraId="20D4B6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₡2 611 601,88</w:t>
            </w:r>
          </w:p>
        </w:tc>
        <w:tc>
          <w:tcPr>
            <w:tcW w:w="1985" w:type="dxa"/>
            <w:noWrap/>
            <w:hideMark/>
          </w:tcPr>
          <w:p w14:paraId="1B5928D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₡55 351 601,88</w:t>
            </w:r>
          </w:p>
        </w:tc>
      </w:tr>
      <w:tr w:rsidR="00B15F7D" w:rsidRPr="00990FB6" w14:paraId="3B42B0AA" w14:textId="77777777" w:rsidTr="000A0C22">
        <w:trPr>
          <w:trHeight w:val="330"/>
        </w:trPr>
        <w:tc>
          <w:tcPr>
            <w:tcW w:w="3178" w:type="dxa"/>
            <w:noWrap/>
            <w:hideMark/>
          </w:tcPr>
          <w:p w14:paraId="3BD2C314" w14:textId="77777777" w:rsidR="00B15F7D" w:rsidRPr="00990FB6" w:rsidRDefault="00B15F7D" w:rsidP="00B15F7D">
            <w:pPr>
              <w:rPr>
                <w:color w:val="000000"/>
                <w:sz w:val="22"/>
                <w:szCs w:val="22"/>
                <w:lang w:eastAsia="es-CR"/>
              </w:rPr>
            </w:pPr>
            <w:r w:rsidRPr="00990FB6">
              <w:rPr>
                <w:color w:val="000000"/>
                <w:sz w:val="22"/>
                <w:szCs w:val="22"/>
                <w:lang w:eastAsia="es-CR"/>
              </w:rPr>
              <w:t>Total</w:t>
            </w:r>
          </w:p>
        </w:tc>
        <w:tc>
          <w:tcPr>
            <w:tcW w:w="2000" w:type="dxa"/>
            <w:noWrap/>
            <w:hideMark/>
          </w:tcPr>
          <w:p w14:paraId="1F92A8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₡1 359 850 000,00</w:t>
            </w:r>
          </w:p>
        </w:tc>
        <w:tc>
          <w:tcPr>
            <w:tcW w:w="1763" w:type="dxa"/>
            <w:noWrap/>
            <w:hideMark/>
          </w:tcPr>
          <w:p w14:paraId="5866D9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₡53 641 930,63</w:t>
            </w:r>
          </w:p>
        </w:tc>
        <w:tc>
          <w:tcPr>
            <w:tcW w:w="1985" w:type="dxa"/>
            <w:noWrap/>
            <w:hideMark/>
          </w:tcPr>
          <w:p w14:paraId="7CC20B9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₡1 413 491 930,63</w:t>
            </w:r>
          </w:p>
        </w:tc>
      </w:tr>
    </w:tbl>
    <w:p w14:paraId="08802E52" w14:textId="77777777" w:rsidR="00B15F7D" w:rsidRPr="00990FB6" w:rsidRDefault="00B15F7D" w:rsidP="00B15F7D">
      <w:pPr>
        <w:ind w:left="851" w:right="851" w:firstLine="709"/>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suministrada por el Subproceso de Formulación Presupuestaria. Nota: En apéndice 9 se presenta el detalle de cada rubro.</w:t>
      </w:r>
    </w:p>
    <w:p w14:paraId="387DBAFC" w14:textId="77777777" w:rsidR="00B15F7D" w:rsidRPr="00990FB6" w:rsidRDefault="00B15F7D" w:rsidP="00B15F7D">
      <w:pPr>
        <w:ind w:left="851" w:right="851" w:firstLine="709"/>
        <w:jc w:val="both"/>
        <w:rPr>
          <w:bCs/>
          <w:color w:val="000000"/>
          <w:sz w:val="22"/>
          <w:szCs w:val="22"/>
          <w:lang w:eastAsia="es-CR"/>
        </w:rPr>
      </w:pPr>
    </w:p>
    <w:p w14:paraId="4A7B1C0E" w14:textId="77777777" w:rsidR="00B15F7D" w:rsidRPr="00990FB6" w:rsidRDefault="00B15F7D" w:rsidP="00B15F7D">
      <w:pPr>
        <w:tabs>
          <w:tab w:val="left" w:pos="0"/>
        </w:tabs>
        <w:ind w:left="851" w:right="851" w:firstLine="709"/>
        <w:jc w:val="both"/>
        <w:rPr>
          <w:color w:val="000000"/>
          <w:sz w:val="22"/>
          <w:szCs w:val="22"/>
        </w:rPr>
      </w:pPr>
      <w:r w:rsidRPr="00990FB6">
        <w:rPr>
          <w:color w:val="000000"/>
          <w:sz w:val="22"/>
          <w:szCs w:val="22"/>
        </w:rPr>
        <w:t xml:space="preserve">En el cuadro siguiente se muestra el resumen por programa del presupuesto requerido para atender la solicitud de recurso humano por parte de la </w:t>
      </w:r>
      <w:r w:rsidRPr="00990FB6">
        <w:rPr>
          <w:color w:val="000000"/>
          <w:sz w:val="22"/>
          <w:szCs w:val="22"/>
        </w:rPr>
        <w:lastRenderedPageBreak/>
        <w:t>Oficina Rectora de Justicia Restaurativa al excluir los equipos especializados en materia contravencional, ejecución de la pena y penal juvenil.</w:t>
      </w:r>
    </w:p>
    <w:p w14:paraId="6FF01C00" w14:textId="77777777" w:rsidR="00B15F7D" w:rsidRPr="00990FB6" w:rsidRDefault="00B15F7D" w:rsidP="00B15F7D">
      <w:pPr>
        <w:tabs>
          <w:tab w:val="left" w:pos="0"/>
        </w:tabs>
        <w:ind w:left="851" w:right="851" w:firstLine="709"/>
        <w:jc w:val="both"/>
        <w:rPr>
          <w:color w:val="000000"/>
          <w:sz w:val="22"/>
          <w:szCs w:val="22"/>
        </w:rPr>
      </w:pPr>
    </w:p>
    <w:p w14:paraId="696F20D0" w14:textId="77777777" w:rsidR="00B15F7D" w:rsidRPr="00990FB6" w:rsidRDefault="00B15F7D" w:rsidP="00B15F7D">
      <w:pPr>
        <w:tabs>
          <w:tab w:val="left" w:pos="426"/>
        </w:tabs>
        <w:ind w:left="851" w:right="851" w:firstLine="709"/>
        <w:jc w:val="both"/>
        <w:rPr>
          <w:b/>
          <w:bCs/>
          <w:color w:val="000000"/>
          <w:sz w:val="22"/>
          <w:szCs w:val="22"/>
        </w:rPr>
      </w:pPr>
      <w:r w:rsidRPr="00990FB6">
        <w:rPr>
          <w:b/>
          <w:bCs/>
          <w:color w:val="000000"/>
          <w:sz w:val="22"/>
          <w:szCs w:val="22"/>
        </w:rPr>
        <w:t>Cuadro 24. Presupuesto por programa para la cantidad de Recurso Humano solicitado por la Oficina Rectora de Justicia Restaurativa al excluir los equipos especializados en materia contravencional, ejecución de la pena y penal juvenil.</w:t>
      </w:r>
    </w:p>
    <w:p w14:paraId="674AAC4B" w14:textId="77777777" w:rsidR="00B15F7D" w:rsidRPr="00990FB6" w:rsidRDefault="00B15F7D" w:rsidP="00B15F7D">
      <w:pPr>
        <w:tabs>
          <w:tab w:val="left" w:pos="426"/>
        </w:tabs>
        <w:jc w:val="both"/>
        <w:rPr>
          <w:b/>
          <w:bCs/>
          <w:color w:val="000000"/>
          <w:sz w:val="22"/>
          <w:szCs w:val="22"/>
        </w:rPr>
      </w:pPr>
    </w:p>
    <w:tbl>
      <w:tblPr>
        <w:tblW w:w="9240" w:type="dxa"/>
        <w:jc w:val="center"/>
        <w:tblCellMar>
          <w:left w:w="70" w:type="dxa"/>
          <w:right w:w="70" w:type="dxa"/>
        </w:tblCellMar>
        <w:tblLook w:val="04A0" w:firstRow="1" w:lastRow="0" w:firstColumn="1" w:lastColumn="0" w:noHBand="0" w:noVBand="1"/>
      </w:tblPr>
      <w:tblGrid>
        <w:gridCol w:w="2060"/>
        <w:gridCol w:w="1640"/>
        <w:gridCol w:w="2560"/>
        <w:gridCol w:w="1420"/>
        <w:gridCol w:w="1560"/>
      </w:tblGrid>
      <w:tr w:rsidR="00B15F7D" w:rsidRPr="00990FB6" w14:paraId="66FF2EBC" w14:textId="77777777" w:rsidTr="000A0C22">
        <w:trPr>
          <w:trHeight w:val="312"/>
          <w:jc w:val="center"/>
        </w:trPr>
        <w:tc>
          <w:tcPr>
            <w:tcW w:w="2060"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36C0A63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Concepto del gasto</w:t>
            </w:r>
          </w:p>
        </w:tc>
        <w:tc>
          <w:tcPr>
            <w:tcW w:w="5620" w:type="dxa"/>
            <w:gridSpan w:val="3"/>
            <w:tcBorders>
              <w:top w:val="double" w:sz="6" w:space="0" w:color="203764"/>
              <w:left w:val="double" w:sz="6" w:space="0" w:color="203764"/>
              <w:bottom w:val="double" w:sz="6" w:space="0" w:color="203764"/>
              <w:right w:val="double" w:sz="6" w:space="0" w:color="203764"/>
            </w:tcBorders>
            <w:shd w:val="clear" w:color="000000" w:fill="B4C6E7"/>
            <w:vAlign w:val="center"/>
            <w:hideMark/>
          </w:tcPr>
          <w:p w14:paraId="17B483B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xml:space="preserve"> Oficina / Programa </w:t>
            </w:r>
          </w:p>
        </w:tc>
        <w:tc>
          <w:tcPr>
            <w:tcW w:w="1560" w:type="dxa"/>
            <w:vMerge w:val="restart"/>
            <w:tcBorders>
              <w:top w:val="double" w:sz="6" w:space="0" w:color="1F4E78"/>
              <w:left w:val="nil"/>
              <w:bottom w:val="double" w:sz="6" w:space="0" w:color="1F4E78"/>
              <w:right w:val="double" w:sz="6" w:space="0" w:color="1F4E78"/>
            </w:tcBorders>
            <w:shd w:val="clear" w:color="000000" w:fill="B4C6E7"/>
            <w:vAlign w:val="center"/>
            <w:hideMark/>
          </w:tcPr>
          <w:p w14:paraId="032CC14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Costo total</w:t>
            </w:r>
          </w:p>
        </w:tc>
      </w:tr>
      <w:tr w:rsidR="00B15F7D" w:rsidRPr="00990FB6" w14:paraId="74C029ED" w14:textId="77777777" w:rsidTr="000A0C22">
        <w:trPr>
          <w:trHeight w:val="840"/>
          <w:jc w:val="center"/>
        </w:trPr>
        <w:tc>
          <w:tcPr>
            <w:tcW w:w="2060" w:type="dxa"/>
            <w:vMerge/>
            <w:tcBorders>
              <w:top w:val="double" w:sz="6" w:space="0" w:color="1F4E78"/>
              <w:left w:val="double" w:sz="6" w:space="0" w:color="1F4E78"/>
              <w:bottom w:val="double" w:sz="6" w:space="0" w:color="1F4E78"/>
              <w:right w:val="double" w:sz="6" w:space="0" w:color="1F4E78"/>
            </w:tcBorders>
            <w:vAlign w:val="center"/>
            <w:hideMark/>
          </w:tcPr>
          <w:p w14:paraId="66B0C4C1" w14:textId="77777777" w:rsidR="00B15F7D" w:rsidRPr="00990FB6" w:rsidRDefault="00B15F7D" w:rsidP="00B15F7D">
            <w:pPr>
              <w:rPr>
                <w:b/>
                <w:bCs/>
                <w:color w:val="000000"/>
                <w:sz w:val="22"/>
                <w:szCs w:val="22"/>
                <w:lang w:eastAsia="es-CR"/>
              </w:rPr>
            </w:pPr>
          </w:p>
        </w:tc>
        <w:tc>
          <w:tcPr>
            <w:tcW w:w="1640" w:type="dxa"/>
            <w:tcBorders>
              <w:top w:val="nil"/>
              <w:left w:val="nil"/>
              <w:bottom w:val="double" w:sz="6" w:space="0" w:color="1F4E78"/>
              <w:right w:val="double" w:sz="6" w:space="0" w:color="1F4E78"/>
            </w:tcBorders>
            <w:shd w:val="clear" w:color="000000" w:fill="B4C6E7"/>
            <w:vAlign w:val="center"/>
            <w:hideMark/>
          </w:tcPr>
          <w:p w14:paraId="2679048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Departamento de Trabajo Social y Psicología</w:t>
            </w:r>
          </w:p>
        </w:tc>
        <w:tc>
          <w:tcPr>
            <w:tcW w:w="2560" w:type="dxa"/>
            <w:tcBorders>
              <w:top w:val="nil"/>
              <w:left w:val="nil"/>
              <w:bottom w:val="double" w:sz="6" w:space="0" w:color="1F4E78"/>
              <w:right w:val="double" w:sz="6" w:space="0" w:color="1F4E78"/>
            </w:tcBorders>
            <w:shd w:val="clear" w:color="000000" w:fill="B4C6E7"/>
            <w:vAlign w:val="center"/>
            <w:hideMark/>
          </w:tcPr>
          <w:p w14:paraId="0BAF251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Defensa Pública</w:t>
            </w:r>
          </w:p>
        </w:tc>
        <w:tc>
          <w:tcPr>
            <w:tcW w:w="1420" w:type="dxa"/>
            <w:tcBorders>
              <w:top w:val="nil"/>
              <w:left w:val="nil"/>
              <w:bottom w:val="double" w:sz="6" w:space="0" w:color="1F4E78"/>
              <w:right w:val="double" w:sz="6" w:space="0" w:color="1F4E78"/>
            </w:tcBorders>
            <w:shd w:val="clear" w:color="000000" w:fill="B4C6E7"/>
            <w:vAlign w:val="center"/>
            <w:hideMark/>
          </w:tcPr>
          <w:p w14:paraId="592E440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Ministerio Publico</w:t>
            </w:r>
          </w:p>
        </w:tc>
        <w:tc>
          <w:tcPr>
            <w:tcW w:w="1560" w:type="dxa"/>
            <w:vMerge/>
            <w:tcBorders>
              <w:top w:val="double" w:sz="6" w:space="0" w:color="1F4E78"/>
              <w:left w:val="nil"/>
              <w:bottom w:val="double" w:sz="6" w:space="0" w:color="1F4E78"/>
              <w:right w:val="double" w:sz="6" w:space="0" w:color="1F4E78"/>
            </w:tcBorders>
            <w:vAlign w:val="center"/>
            <w:hideMark/>
          </w:tcPr>
          <w:p w14:paraId="5EF4E9F4" w14:textId="77777777" w:rsidR="00B15F7D" w:rsidRPr="00990FB6" w:rsidRDefault="00B15F7D" w:rsidP="00B15F7D">
            <w:pPr>
              <w:rPr>
                <w:b/>
                <w:bCs/>
                <w:color w:val="000000"/>
                <w:sz w:val="22"/>
                <w:szCs w:val="22"/>
                <w:lang w:eastAsia="es-CR"/>
              </w:rPr>
            </w:pPr>
          </w:p>
        </w:tc>
      </w:tr>
      <w:tr w:rsidR="00B15F7D" w:rsidRPr="00990FB6" w14:paraId="6C4D4926" w14:textId="77777777" w:rsidTr="000A0C22">
        <w:trPr>
          <w:trHeight w:val="300"/>
          <w:jc w:val="center"/>
        </w:trPr>
        <w:tc>
          <w:tcPr>
            <w:tcW w:w="2060" w:type="dxa"/>
            <w:vMerge/>
            <w:tcBorders>
              <w:top w:val="double" w:sz="6" w:space="0" w:color="1F4E78"/>
              <w:left w:val="double" w:sz="6" w:space="0" w:color="1F4E78"/>
              <w:bottom w:val="double" w:sz="6" w:space="0" w:color="1F4E78"/>
              <w:right w:val="double" w:sz="6" w:space="0" w:color="1F4E78"/>
            </w:tcBorders>
            <w:vAlign w:val="center"/>
            <w:hideMark/>
          </w:tcPr>
          <w:p w14:paraId="0B1565B5" w14:textId="77777777" w:rsidR="00B15F7D" w:rsidRPr="00990FB6" w:rsidRDefault="00B15F7D" w:rsidP="00B15F7D">
            <w:pPr>
              <w:rPr>
                <w:b/>
                <w:bCs/>
                <w:color w:val="000000"/>
                <w:sz w:val="22"/>
                <w:szCs w:val="22"/>
                <w:lang w:eastAsia="es-CR"/>
              </w:rPr>
            </w:pPr>
          </w:p>
        </w:tc>
        <w:tc>
          <w:tcPr>
            <w:tcW w:w="1640" w:type="dxa"/>
            <w:tcBorders>
              <w:top w:val="nil"/>
              <w:left w:val="nil"/>
              <w:bottom w:val="double" w:sz="6" w:space="0" w:color="1F4E78"/>
              <w:right w:val="double" w:sz="6" w:space="0" w:color="1F4E78"/>
            </w:tcBorders>
            <w:shd w:val="clear" w:color="000000" w:fill="B4C6E7"/>
            <w:vAlign w:val="center"/>
            <w:hideMark/>
          </w:tcPr>
          <w:p w14:paraId="4EEB86E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926</w:t>
            </w:r>
          </w:p>
        </w:tc>
        <w:tc>
          <w:tcPr>
            <w:tcW w:w="2560" w:type="dxa"/>
            <w:tcBorders>
              <w:top w:val="nil"/>
              <w:left w:val="nil"/>
              <w:bottom w:val="double" w:sz="6" w:space="0" w:color="1F4E78"/>
              <w:right w:val="double" w:sz="6" w:space="0" w:color="1F4E78"/>
            </w:tcBorders>
            <w:shd w:val="clear" w:color="000000" w:fill="B4C6E7"/>
            <w:vAlign w:val="center"/>
            <w:hideMark/>
          </w:tcPr>
          <w:p w14:paraId="3CA4187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930</w:t>
            </w:r>
          </w:p>
        </w:tc>
        <w:tc>
          <w:tcPr>
            <w:tcW w:w="1420" w:type="dxa"/>
            <w:tcBorders>
              <w:top w:val="nil"/>
              <w:left w:val="nil"/>
              <w:bottom w:val="double" w:sz="6" w:space="0" w:color="1F4E78"/>
              <w:right w:val="double" w:sz="6" w:space="0" w:color="1F4E78"/>
            </w:tcBorders>
            <w:shd w:val="clear" w:color="000000" w:fill="B4C6E7"/>
            <w:vAlign w:val="center"/>
            <w:hideMark/>
          </w:tcPr>
          <w:p w14:paraId="7E4AD24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929</w:t>
            </w:r>
          </w:p>
        </w:tc>
        <w:tc>
          <w:tcPr>
            <w:tcW w:w="1560" w:type="dxa"/>
            <w:vMerge/>
            <w:tcBorders>
              <w:top w:val="double" w:sz="6" w:space="0" w:color="1F4E78"/>
              <w:left w:val="nil"/>
              <w:bottom w:val="double" w:sz="6" w:space="0" w:color="1F4E78"/>
              <w:right w:val="double" w:sz="6" w:space="0" w:color="1F4E78"/>
            </w:tcBorders>
            <w:vAlign w:val="center"/>
            <w:hideMark/>
          </w:tcPr>
          <w:p w14:paraId="1771300E" w14:textId="77777777" w:rsidR="00B15F7D" w:rsidRPr="00990FB6" w:rsidRDefault="00B15F7D" w:rsidP="00B15F7D">
            <w:pPr>
              <w:rPr>
                <w:b/>
                <w:bCs/>
                <w:color w:val="000000"/>
                <w:sz w:val="22"/>
                <w:szCs w:val="22"/>
                <w:lang w:eastAsia="es-CR"/>
              </w:rPr>
            </w:pPr>
          </w:p>
        </w:tc>
      </w:tr>
      <w:tr w:rsidR="00B15F7D" w:rsidRPr="00990FB6" w14:paraId="0D8F0B33" w14:textId="77777777" w:rsidTr="000A0C22">
        <w:trPr>
          <w:trHeight w:val="285"/>
          <w:jc w:val="center"/>
        </w:trPr>
        <w:tc>
          <w:tcPr>
            <w:tcW w:w="2060" w:type="dxa"/>
            <w:tcBorders>
              <w:top w:val="nil"/>
              <w:left w:val="double" w:sz="6" w:space="0" w:color="1F4E78"/>
              <w:bottom w:val="double" w:sz="6" w:space="0" w:color="1F4E78"/>
              <w:right w:val="double" w:sz="6" w:space="0" w:color="1F4E78"/>
            </w:tcBorders>
            <w:shd w:val="clear" w:color="auto" w:fill="auto"/>
            <w:noWrap/>
            <w:vAlign w:val="bottom"/>
            <w:hideMark/>
          </w:tcPr>
          <w:p w14:paraId="6BFC1C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Recurso Humano</w:t>
            </w:r>
          </w:p>
        </w:tc>
        <w:tc>
          <w:tcPr>
            <w:tcW w:w="1640" w:type="dxa"/>
            <w:tcBorders>
              <w:top w:val="nil"/>
              <w:left w:val="nil"/>
              <w:bottom w:val="double" w:sz="6" w:space="0" w:color="1F4E78"/>
              <w:right w:val="double" w:sz="6" w:space="0" w:color="1F4E78"/>
            </w:tcBorders>
            <w:shd w:val="clear" w:color="auto" w:fill="auto"/>
            <w:vAlign w:val="center"/>
            <w:hideMark/>
          </w:tcPr>
          <w:p w14:paraId="41D4E7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₡478 335 000,00</w:t>
            </w:r>
          </w:p>
        </w:tc>
        <w:tc>
          <w:tcPr>
            <w:tcW w:w="2560" w:type="dxa"/>
            <w:tcBorders>
              <w:top w:val="nil"/>
              <w:left w:val="nil"/>
              <w:bottom w:val="double" w:sz="6" w:space="0" w:color="1F4E78"/>
              <w:right w:val="double" w:sz="6" w:space="0" w:color="1F4E78"/>
            </w:tcBorders>
            <w:shd w:val="clear" w:color="auto" w:fill="auto"/>
            <w:vAlign w:val="center"/>
            <w:hideMark/>
          </w:tcPr>
          <w:p w14:paraId="1FCA4C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₡372 960 000,00</w:t>
            </w:r>
          </w:p>
        </w:tc>
        <w:tc>
          <w:tcPr>
            <w:tcW w:w="1420" w:type="dxa"/>
            <w:tcBorders>
              <w:top w:val="nil"/>
              <w:left w:val="nil"/>
              <w:bottom w:val="double" w:sz="6" w:space="0" w:color="1F4E78"/>
              <w:right w:val="double" w:sz="6" w:space="0" w:color="1F4E78"/>
            </w:tcBorders>
            <w:shd w:val="clear" w:color="auto" w:fill="auto"/>
            <w:vAlign w:val="center"/>
            <w:hideMark/>
          </w:tcPr>
          <w:p w14:paraId="2EDDB9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₡508 555 000,00</w:t>
            </w:r>
          </w:p>
        </w:tc>
        <w:tc>
          <w:tcPr>
            <w:tcW w:w="1560" w:type="dxa"/>
            <w:tcBorders>
              <w:top w:val="nil"/>
              <w:left w:val="nil"/>
              <w:bottom w:val="double" w:sz="6" w:space="0" w:color="1F4E78"/>
              <w:right w:val="double" w:sz="6" w:space="0" w:color="1F4E78"/>
            </w:tcBorders>
            <w:shd w:val="clear" w:color="auto" w:fill="auto"/>
            <w:noWrap/>
            <w:vAlign w:val="bottom"/>
            <w:hideMark/>
          </w:tcPr>
          <w:p w14:paraId="0B31B8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₡1 359 850 000,00</w:t>
            </w:r>
          </w:p>
        </w:tc>
      </w:tr>
      <w:tr w:rsidR="00B15F7D" w:rsidRPr="00990FB6" w14:paraId="7A850EC0" w14:textId="77777777" w:rsidTr="000A0C22">
        <w:trPr>
          <w:trHeight w:val="285"/>
          <w:jc w:val="center"/>
        </w:trPr>
        <w:tc>
          <w:tcPr>
            <w:tcW w:w="2060" w:type="dxa"/>
            <w:tcBorders>
              <w:top w:val="nil"/>
              <w:left w:val="double" w:sz="6" w:space="0" w:color="1F4E78"/>
              <w:bottom w:val="nil"/>
              <w:right w:val="double" w:sz="6" w:space="0" w:color="1F4E78"/>
            </w:tcBorders>
            <w:shd w:val="clear" w:color="auto" w:fill="auto"/>
            <w:noWrap/>
            <w:vAlign w:val="bottom"/>
            <w:hideMark/>
          </w:tcPr>
          <w:p w14:paraId="43AD6D7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Equipo y mobiliario</w:t>
            </w:r>
          </w:p>
        </w:tc>
        <w:tc>
          <w:tcPr>
            <w:tcW w:w="1640" w:type="dxa"/>
            <w:tcBorders>
              <w:top w:val="nil"/>
              <w:left w:val="nil"/>
              <w:bottom w:val="nil"/>
              <w:right w:val="double" w:sz="6" w:space="0" w:color="1F4E78"/>
            </w:tcBorders>
            <w:shd w:val="clear" w:color="auto" w:fill="auto"/>
            <w:vAlign w:val="center"/>
            <w:hideMark/>
          </w:tcPr>
          <w:p w14:paraId="6F4DEC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₡20 184 868,73</w:t>
            </w:r>
          </w:p>
        </w:tc>
        <w:tc>
          <w:tcPr>
            <w:tcW w:w="2560" w:type="dxa"/>
            <w:tcBorders>
              <w:top w:val="nil"/>
              <w:left w:val="nil"/>
              <w:bottom w:val="nil"/>
              <w:right w:val="double" w:sz="6" w:space="0" w:color="1F4E78"/>
            </w:tcBorders>
            <w:shd w:val="clear" w:color="auto" w:fill="auto"/>
            <w:vAlign w:val="center"/>
            <w:hideMark/>
          </w:tcPr>
          <w:p w14:paraId="1B6CB0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₡10 868 775,47</w:t>
            </w:r>
          </w:p>
        </w:tc>
        <w:tc>
          <w:tcPr>
            <w:tcW w:w="1420" w:type="dxa"/>
            <w:tcBorders>
              <w:top w:val="nil"/>
              <w:left w:val="nil"/>
              <w:bottom w:val="nil"/>
              <w:right w:val="double" w:sz="6" w:space="0" w:color="1F4E78"/>
            </w:tcBorders>
            <w:shd w:val="clear" w:color="auto" w:fill="auto"/>
            <w:vAlign w:val="center"/>
            <w:hideMark/>
          </w:tcPr>
          <w:p w14:paraId="33C9B3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₡22 588 286,43</w:t>
            </w:r>
          </w:p>
        </w:tc>
        <w:tc>
          <w:tcPr>
            <w:tcW w:w="1560" w:type="dxa"/>
            <w:tcBorders>
              <w:top w:val="nil"/>
              <w:left w:val="nil"/>
              <w:bottom w:val="double" w:sz="6" w:space="0" w:color="1F4E78"/>
              <w:right w:val="double" w:sz="6" w:space="0" w:color="1F4E78"/>
            </w:tcBorders>
            <w:shd w:val="clear" w:color="auto" w:fill="auto"/>
            <w:noWrap/>
            <w:vAlign w:val="center"/>
            <w:hideMark/>
          </w:tcPr>
          <w:p w14:paraId="5BF900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₡53 641 930,63</w:t>
            </w:r>
          </w:p>
        </w:tc>
      </w:tr>
      <w:tr w:rsidR="00B15F7D" w:rsidRPr="00990FB6" w14:paraId="7319A20C" w14:textId="77777777" w:rsidTr="000A0C22">
        <w:trPr>
          <w:trHeight w:val="312"/>
          <w:jc w:val="center"/>
        </w:trPr>
        <w:tc>
          <w:tcPr>
            <w:tcW w:w="7680" w:type="dxa"/>
            <w:gridSpan w:val="4"/>
            <w:tcBorders>
              <w:top w:val="double" w:sz="6" w:space="0" w:color="203764"/>
              <w:left w:val="double" w:sz="6" w:space="0" w:color="203764"/>
              <w:bottom w:val="double" w:sz="6" w:space="0" w:color="203764"/>
              <w:right w:val="double" w:sz="6" w:space="0" w:color="203764"/>
            </w:tcBorders>
            <w:shd w:val="clear" w:color="auto" w:fill="auto"/>
            <w:noWrap/>
            <w:vAlign w:val="bottom"/>
            <w:hideMark/>
          </w:tcPr>
          <w:p w14:paraId="5D93D5E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Total General</w:t>
            </w:r>
          </w:p>
        </w:tc>
        <w:tc>
          <w:tcPr>
            <w:tcW w:w="1560" w:type="dxa"/>
            <w:tcBorders>
              <w:top w:val="nil"/>
              <w:left w:val="nil"/>
              <w:bottom w:val="double" w:sz="6" w:space="0" w:color="1F4E78"/>
              <w:right w:val="double" w:sz="6" w:space="0" w:color="1F4E78"/>
            </w:tcBorders>
            <w:shd w:val="clear" w:color="auto" w:fill="auto"/>
            <w:noWrap/>
            <w:vAlign w:val="bottom"/>
            <w:hideMark/>
          </w:tcPr>
          <w:p w14:paraId="0B811BF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₡1 413 491 930,63</w:t>
            </w:r>
          </w:p>
        </w:tc>
      </w:tr>
    </w:tbl>
    <w:p w14:paraId="396A9AB9" w14:textId="77777777" w:rsidR="00B15F7D" w:rsidRPr="00990FB6" w:rsidRDefault="00B15F7D" w:rsidP="00B15F7D">
      <w:pPr>
        <w:tabs>
          <w:tab w:val="left" w:pos="284"/>
        </w:tabs>
        <w:rPr>
          <w:b/>
          <w:color w:val="000000"/>
          <w:sz w:val="22"/>
          <w:szCs w:val="22"/>
          <w:lang w:eastAsia="es-CR"/>
        </w:rPr>
      </w:pPr>
    </w:p>
    <w:p w14:paraId="49BE887E" w14:textId="77777777" w:rsidR="00B15F7D" w:rsidRPr="00990FB6" w:rsidRDefault="00B15F7D" w:rsidP="00B15F7D">
      <w:pPr>
        <w:tabs>
          <w:tab w:val="left" w:pos="284"/>
        </w:tabs>
        <w:ind w:left="851" w:right="851" w:firstLine="851"/>
        <w:jc w:val="both"/>
        <w:rPr>
          <w:bCs/>
          <w:color w:val="000000"/>
          <w:sz w:val="22"/>
          <w:szCs w:val="22"/>
          <w:lang w:eastAsia="es-CR"/>
        </w:rPr>
      </w:pPr>
      <w:r w:rsidRPr="00990FB6">
        <w:rPr>
          <w:b/>
          <w:color w:val="000000"/>
          <w:sz w:val="22"/>
          <w:szCs w:val="22"/>
          <w:lang w:eastAsia="es-CR"/>
        </w:rPr>
        <w:t xml:space="preserve">Fuente: </w:t>
      </w:r>
      <w:r w:rsidRPr="00990FB6">
        <w:rPr>
          <w:bCs/>
          <w:color w:val="000000"/>
          <w:sz w:val="22"/>
          <w:szCs w:val="22"/>
          <w:lang w:eastAsia="es-CR"/>
        </w:rPr>
        <w:t>Modernización Institucional a partir de la información suministrada por el Subproceso de Formulación de Presupuestaria. Nota: En apéndice 9 se presenta el detalle de cada rubro.</w:t>
      </w:r>
    </w:p>
    <w:p w14:paraId="2D872915" w14:textId="77777777" w:rsidR="00B15F7D" w:rsidRPr="00990FB6" w:rsidRDefault="00B15F7D" w:rsidP="00B15F7D">
      <w:pPr>
        <w:tabs>
          <w:tab w:val="left" w:pos="284"/>
        </w:tabs>
        <w:ind w:left="851" w:right="851" w:firstLine="851"/>
        <w:jc w:val="both"/>
        <w:rPr>
          <w:bCs/>
          <w:color w:val="000000"/>
          <w:sz w:val="22"/>
          <w:szCs w:val="22"/>
          <w:lang w:eastAsia="es-CR"/>
        </w:rPr>
      </w:pPr>
    </w:p>
    <w:p w14:paraId="353FE644" w14:textId="77777777" w:rsidR="00B15F7D" w:rsidRPr="00990FB6" w:rsidRDefault="00B15F7D" w:rsidP="00B15F7D">
      <w:pPr>
        <w:tabs>
          <w:tab w:val="left" w:pos="0"/>
        </w:tabs>
        <w:ind w:left="851" w:right="851" w:firstLine="851"/>
        <w:jc w:val="both"/>
        <w:rPr>
          <w:color w:val="000000"/>
          <w:sz w:val="22"/>
          <w:szCs w:val="22"/>
        </w:rPr>
      </w:pPr>
      <w:r w:rsidRPr="00990FB6">
        <w:rPr>
          <w:color w:val="000000"/>
          <w:sz w:val="22"/>
          <w:szCs w:val="22"/>
        </w:rPr>
        <w:t>Conforme a los requerimientos solicitados al excluir los equipos especializados itinerantes para justicia restaurativa en ejecución de la pena, penal juvenil y del procedimiento de bienestar animal, se estima un costo total de ₡1 413 491 930.63; distribuido en ₡1 359 850 000.00 correspondientes al costo del recurso humano, ₡53 641 930.63 necesario para cubrir las necesidades de equipo y mobiliario del recurso humano.</w:t>
      </w:r>
    </w:p>
    <w:p w14:paraId="6F719E29" w14:textId="77777777" w:rsidR="00B15F7D" w:rsidRPr="00990FB6" w:rsidRDefault="00B15F7D" w:rsidP="00B15F7D">
      <w:pPr>
        <w:tabs>
          <w:tab w:val="left" w:pos="0"/>
        </w:tabs>
        <w:ind w:left="851" w:right="851" w:firstLine="851"/>
        <w:jc w:val="both"/>
        <w:rPr>
          <w:color w:val="000000"/>
          <w:sz w:val="22"/>
          <w:szCs w:val="22"/>
        </w:rPr>
      </w:pPr>
    </w:p>
    <w:p w14:paraId="74CD7477" w14:textId="65CB4FF0" w:rsidR="00B15F7D" w:rsidRPr="00990FB6" w:rsidRDefault="00B15F7D" w:rsidP="00B15F7D">
      <w:pPr>
        <w:numPr>
          <w:ilvl w:val="1"/>
          <w:numId w:val="159"/>
        </w:numPr>
        <w:tabs>
          <w:tab w:val="left" w:pos="0"/>
        </w:tabs>
        <w:suppressAutoHyphens w:val="0"/>
        <w:ind w:left="851" w:right="851" w:firstLine="851"/>
        <w:jc w:val="both"/>
        <w:rPr>
          <w:color w:val="000000"/>
          <w:sz w:val="22"/>
          <w:szCs w:val="22"/>
        </w:rPr>
      </w:pPr>
      <w:r w:rsidRPr="00990FB6">
        <w:rPr>
          <w:color w:val="000000"/>
          <w:sz w:val="22"/>
          <w:szCs w:val="22"/>
        </w:rPr>
        <w:t xml:space="preserve">Desde que se aprobó la legislación para la aplicación de Justicia Restaurativa en los diferentes procesos el Poder Judicial con los mismos recursos internos a maximizado los recursos y extendiendo los servicios hasta donde ha sido posible a la fecha, monitoreando las diferentes zonas del país para dar acceso a este servicio. Debido a las limitaciones presupuestarias impuestas al Poder Judicial y en el tanto, se logran obtener los recursos económicos adicionales sugeridos en la propuesta de fortalecimiento de justicia restaurativa, se considera que el programa siga impulsando la mejora continua y con su capacidad instalada actual pueda continuar extendiéndose y maximizando la prestación de su servicio con el recurso interno. </w:t>
      </w:r>
    </w:p>
    <w:p w14:paraId="43C6A944" w14:textId="77777777" w:rsidR="00EA7B4C" w:rsidRPr="00990FB6" w:rsidRDefault="00EA7B4C" w:rsidP="00EA7B4C">
      <w:pPr>
        <w:tabs>
          <w:tab w:val="left" w:pos="0"/>
        </w:tabs>
        <w:suppressAutoHyphens w:val="0"/>
        <w:ind w:left="1702" w:right="851"/>
        <w:jc w:val="both"/>
        <w:rPr>
          <w:color w:val="000000"/>
          <w:sz w:val="22"/>
          <w:szCs w:val="22"/>
        </w:rPr>
      </w:pPr>
    </w:p>
    <w:p w14:paraId="08F9F6E4" w14:textId="77777777" w:rsidR="00B15F7D" w:rsidRPr="00990FB6" w:rsidRDefault="00B15F7D" w:rsidP="00B15F7D">
      <w:pPr>
        <w:numPr>
          <w:ilvl w:val="1"/>
          <w:numId w:val="159"/>
        </w:numPr>
        <w:tabs>
          <w:tab w:val="left" w:pos="0"/>
        </w:tabs>
        <w:suppressAutoHyphens w:val="0"/>
        <w:ind w:left="851" w:right="851" w:firstLine="851"/>
        <w:jc w:val="both"/>
        <w:rPr>
          <w:color w:val="000000"/>
          <w:sz w:val="22"/>
          <w:szCs w:val="22"/>
        </w:rPr>
      </w:pPr>
      <w:r w:rsidRPr="00990FB6">
        <w:rPr>
          <w:color w:val="000000"/>
          <w:sz w:val="22"/>
          <w:szCs w:val="22"/>
        </w:rPr>
        <w:t xml:space="preserve">Las plazas nuevas solicitadas con respecto al escenario aprobado por la Corte Plena en la sesión 27-2022 del 01 de junio del 2022, artículo II (Ver apéndice 12), relacionado con Impacto organizacional y presupuestario en el Poder Judicial, partir de la promulgación de la Ley 9582 Justicia Restaurativa, se considera no incluir en esta formulación presupuestaria, en su defecto se propone </w:t>
      </w:r>
      <w:r w:rsidRPr="00990FB6">
        <w:rPr>
          <w:color w:val="000000"/>
          <w:sz w:val="22"/>
          <w:szCs w:val="22"/>
        </w:rPr>
        <w:lastRenderedPageBreak/>
        <w:t xml:space="preserve">que la Dirección del Programa de Justicia Restaurativa coordine con las Jefaturas de la Defensa Pública y Ministerio Público de tal forma que en la materia Ejecución de la Pena se implemente el procedimiento de Justicia Restaurativa como parte de una forma alternativa de resolver el conflicto, sin duplicar las estructuras, ya que por las limitaciones económicas informadas por el Ministerio de Hacienda no hay posibilidad de crear recursos ordinarios nuevos.  Los recursos adicionales fueron solicitados para incluir en esta formulación se realizaron mediante el oficio 038-ORJR-2023, del 6 de febrero de 2023. </w:t>
      </w:r>
    </w:p>
    <w:p w14:paraId="78812D77" w14:textId="77777777" w:rsidR="00B15F7D" w:rsidRPr="00990FB6" w:rsidRDefault="00B15F7D" w:rsidP="00B15F7D">
      <w:pPr>
        <w:tabs>
          <w:tab w:val="left" w:pos="0"/>
        </w:tabs>
        <w:suppressAutoHyphens w:val="0"/>
        <w:ind w:left="1702" w:right="851"/>
        <w:jc w:val="both"/>
        <w:rPr>
          <w:color w:val="000000"/>
          <w:sz w:val="22"/>
          <w:szCs w:val="22"/>
        </w:rPr>
      </w:pPr>
    </w:p>
    <w:p w14:paraId="0EBA279E" w14:textId="77777777" w:rsidR="00B15F7D" w:rsidRPr="00990FB6" w:rsidRDefault="00B15F7D" w:rsidP="00B15F7D">
      <w:pPr>
        <w:tabs>
          <w:tab w:val="left" w:pos="0"/>
        </w:tabs>
        <w:rPr>
          <w:color w:val="000000"/>
          <w:sz w:val="22"/>
          <w:szCs w:val="22"/>
        </w:rPr>
      </w:pPr>
      <w:r w:rsidRPr="00990FB6">
        <w:rPr>
          <w:noProof/>
          <w:color w:val="000000"/>
          <w:sz w:val="22"/>
          <w:szCs w:val="22"/>
        </w:rPr>
        <w:lastRenderedPageBreak/>
        <w:drawing>
          <wp:anchor distT="0" distB="0" distL="114300" distR="114300" simplePos="0" relativeHeight="251648512" behindDoc="0" locked="0" layoutInCell="1" allowOverlap="1" wp14:anchorId="0BB3DEA7" wp14:editId="72DC46EA">
            <wp:simplePos x="0" y="0"/>
            <wp:positionH relativeFrom="margin">
              <wp:posOffset>1053465</wp:posOffset>
            </wp:positionH>
            <wp:positionV relativeFrom="paragraph">
              <wp:posOffset>33655</wp:posOffset>
            </wp:positionV>
            <wp:extent cx="3679825" cy="6943725"/>
            <wp:effectExtent l="0" t="0" r="0" b="9525"/>
            <wp:wrapThrough wrapText="bothSides">
              <wp:wrapPolygon edited="0">
                <wp:start x="0" y="0"/>
                <wp:lineTo x="0" y="21570"/>
                <wp:lineTo x="21470" y="21570"/>
                <wp:lineTo x="21470" y="0"/>
                <wp:lineTo x="0" y="0"/>
              </wp:wrapPolygon>
            </wp:wrapThrough>
            <wp:docPr id="18" name="Imagen 18"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 Word&#10;&#10;Descripción generada automáticamente"/>
                    <pic:cNvPicPr/>
                  </pic:nvPicPr>
                  <pic:blipFill>
                    <a:blip r:embed="rId67">
                      <a:extLst>
                        <a:ext uri="{28A0092B-C50C-407E-A947-70E740481C1C}">
                          <a14:useLocalDpi xmlns:a14="http://schemas.microsoft.com/office/drawing/2010/main" val="0"/>
                        </a:ext>
                      </a:extLst>
                    </a:blip>
                    <a:stretch>
                      <a:fillRect/>
                    </a:stretch>
                  </pic:blipFill>
                  <pic:spPr>
                    <a:xfrm>
                      <a:off x="0" y="0"/>
                      <a:ext cx="3679825" cy="6943725"/>
                    </a:xfrm>
                    <a:prstGeom prst="rect">
                      <a:avLst/>
                    </a:prstGeom>
                  </pic:spPr>
                </pic:pic>
              </a:graphicData>
            </a:graphic>
            <wp14:sizeRelH relativeFrom="page">
              <wp14:pctWidth>0</wp14:pctWidth>
            </wp14:sizeRelH>
            <wp14:sizeRelV relativeFrom="page">
              <wp14:pctHeight>0</wp14:pctHeight>
            </wp14:sizeRelV>
          </wp:anchor>
        </w:drawing>
      </w:r>
    </w:p>
    <w:p w14:paraId="168E95C4" w14:textId="77777777" w:rsidR="00B15F7D" w:rsidRPr="00990FB6" w:rsidRDefault="00B15F7D" w:rsidP="00B15F7D">
      <w:pPr>
        <w:tabs>
          <w:tab w:val="left" w:pos="0"/>
        </w:tabs>
        <w:rPr>
          <w:color w:val="000000"/>
          <w:sz w:val="22"/>
          <w:szCs w:val="22"/>
        </w:rPr>
        <w:sectPr w:rsidR="00B15F7D" w:rsidRPr="00990FB6" w:rsidSect="008E0DFA">
          <w:headerReference w:type="default" r:id="rId68"/>
          <w:footerReference w:type="default" r:id="rId69"/>
          <w:pgSz w:w="12240" w:h="15840"/>
          <w:pgMar w:top="1417" w:right="1701" w:bottom="1417" w:left="1701" w:header="709" w:footer="709" w:gutter="0"/>
          <w:cols w:space="708"/>
          <w:docGrid w:linePitch="360"/>
        </w:sectPr>
      </w:pPr>
    </w:p>
    <w:p w14:paraId="771450F9" w14:textId="77777777" w:rsidR="00B15F7D" w:rsidRPr="00990FB6" w:rsidRDefault="00B15F7D" w:rsidP="00B15F7D">
      <w:pPr>
        <w:tabs>
          <w:tab w:val="left" w:pos="0"/>
        </w:tabs>
        <w:jc w:val="both"/>
        <w:rPr>
          <w:b/>
          <w:bCs/>
          <w:color w:val="000000"/>
          <w:sz w:val="22"/>
          <w:szCs w:val="22"/>
        </w:rPr>
      </w:pPr>
    </w:p>
    <w:p w14:paraId="61735951" w14:textId="77777777" w:rsidR="00B15F7D" w:rsidRPr="00990FB6" w:rsidRDefault="00B15F7D" w:rsidP="00B15F7D">
      <w:pPr>
        <w:keepNext/>
        <w:numPr>
          <w:ilvl w:val="0"/>
          <w:numId w:val="154"/>
        </w:numPr>
        <w:suppressAutoHyphens w:val="0"/>
        <w:ind w:left="851" w:right="851" w:firstLine="709"/>
        <w:jc w:val="both"/>
        <w:rPr>
          <w:color w:val="000000"/>
          <w:sz w:val="22"/>
          <w:szCs w:val="22"/>
        </w:rPr>
      </w:pPr>
      <w:r w:rsidRPr="00990FB6">
        <w:rPr>
          <w:color w:val="000000"/>
          <w:sz w:val="22"/>
          <w:szCs w:val="22"/>
        </w:rPr>
        <w:t>Apéndices</w:t>
      </w:r>
    </w:p>
    <w:p w14:paraId="213651D1" w14:textId="77777777" w:rsidR="00B15F7D" w:rsidRPr="00990FB6" w:rsidRDefault="00B15F7D" w:rsidP="00B15F7D">
      <w:pPr>
        <w:keepNext/>
        <w:suppressAutoHyphens w:val="0"/>
        <w:ind w:left="1560" w:right="851"/>
        <w:jc w:val="both"/>
        <w:rPr>
          <w:color w:val="000000"/>
          <w:sz w:val="22"/>
          <w:szCs w:val="22"/>
        </w:rPr>
      </w:pPr>
    </w:p>
    <w:tbl>
      <w:tblPr>
        <w:tblW w:w="0" w:type="auto"/>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151"/>
        <w:gridCol w:w="5874"/>
        <w:gridCol w:w="1797"/>
      </w:tblGrid>
      <w:tr w:rsidR="00B15F7D" w:rsidRPr="00990FB6" w14:paraId="3B81C800" w14:textId="77777777" w:rsidTr="000A0C22">
        <w:trPr>
          <w:tblCellSpacing w:w="1440" w:type="nil"/>
        </w:trPr>
        <w:tc>
          <w:tcPr>
            <w:tcW w:w="0" w:type="auto"/>
            <w:shd w:val="clear" w:color="auto" w:fill="1F3864"/>
            <w:vAlign w:val="center"/>
          </w:tcPr>
          <w:p w14:paraId="3BED8D27" w14:textId="77777777" w:rsidR="00B15F7D" w:rsidRPr="00990FB6" w:rsidRDefault="00B15F7D" w:rsidP="00B15F7D">
            <w:pPr>
              <w:jc w:val="center"/>
              <w:rPr>
                <w:b/>
                <w:color w:val="000000"/>
                <w:sz w:val="22"/>
                <w:szCs w:val="22"/>
              </w:rPr>
            </w:pPr>
            <w:r w:rsidRPr="00990FB6">
              <w:rPr>
                <w:b/>
                <w:color w:val="000000"/>
                <w:sz w:val="22"/>
                <w:szCs w:val="22"/>
              </w:rPr>
              <w:t>Apéndice</w:t>
            </w:r>
          </w:p>
        </w:tc>
        <w:tc>
          <w:tcPr>
            <w:tcW w:w="0" w:type="auto"/>
            <w:shd w:val="clear" w:color="auto" w:fill="1F3864"/>
            <w:vAlign w:val="center"/>
          </w:tcPr>
          <w:p w14:paraId="234CDCEC" w14:textId="77777777" w:rsidR="00B15F7D" w:rsidRPr="00990FB6" w:rsidRDefault="00B15F7D" w:rsidP="00B15F7D">
            <w:pPr>
              <w:jc w:val="center"/>
              <w:rPr>
                <w:b/>
                <w:color w:val="000000"/>
                <w:sz w:val="22"/>
                <w:szCs w:val="22"/>
              </w:rPr>
            </w:pPr>
            <w:r w:rsidRPr="00990FB6">
              <w:rPr>
                <w:b/>
                <w:color w:val="000000"/>
                <w:sz w:val="22"/>
                <w:szCs w:val="22"/>
              </w:rPr>
              <w:t>Nombre</w:t>
            </w:r>
          </w:p>
        </w:tc>
        <w:tc>
          <w:tcPr>
            <w:tcW w:w="0" w:type="auto"/>
            <w:shd w:val="clear" w:color="auto" w:fill="1F3864"/>
            <w:vAlign w:val="center"/>
          </w:tcPr>
          <w:p w14:paraId="56C415B6" w14:textId="77777777" w:rsidR="00B15F7D" w:rsidRPr="00990FB6" w:rsidRDefault="00B15F7D" w:rsidP="00B15F7D">
            <w:pPr>
              <w:jc w:val="center"/>
              <w:rPr>
                <w:b/>
                <w:color w:val="000000"/>
                <w:sz w:val="22"/>
                <w:szCs w:val="22"/>
              </w:rPr>
            </w:pPr>
            <w:r w:rsidRPr="00990FB6">
              <w:rPr>
                <w:b/>
                <w:color w:val="000000"/>
                <w:sz w:val="22"/>
                <w:szCs w:val="22"/>
              </w:rPr>
              <w:t>Documento</w:t>
            </w:r>
          </w:p>
        </w:tc>
      </w:tr>
      <w:tr w:rsidR="00B15F7D" w:rsidRPr="00990FB6" w14:paraId="6A175E45" w14:textId="77777777" w:rsidTr="000A0C22">
        <w:trPr>
          <w:tblCellSpacing w:w="1440" w:type="nil"/>
        </w:trPr>
        <w:tc>
          <w:tcPr>
            <w:tcW w:w="0" w:type="auto"/>
            <w:shd w:val="clear" w:color="auto" w:fill="auto"/>
            <w:vAlign w:val="center"/>
          </w:tcPr>
          <w:p w14:paraId="7CE27C84" w14:textId="77777777" w:rsidR="00B15F7D" w:rsidRPr="00990FB6" w:rsidRDefault="00B15F7D" w:rsidP="00B15F7D">
            <w:pPr>
              <w:jc w:val="center"/>
              <w:rPr>
                <w:b/>
                <w:i/>
                <w:color w:val="000000"/>
                <w:sz w:val="22"/>
                <w:szCs w:val="22"/>
              </w:rPr>
            </w:pPr>
            <w:r w:rsidRPr="00990FB6">
              <w:rPr>
                <w:b/>
                <w:i/>
                <w:color w:val="000000"/>
                <w:sz w:val="22"/>
                <w:szCs w:val="22"/>
              </w:rPr>
              <w:t>Apéndice 1</w:t>
            </w:r>
          </w:p>
        </w:tc>
        <w:tc>
          <w:tcPr>
            <w:tcW w:w="0" w:type="auto"/>
            <w:shd w:val="clear" w:color="auto" w:fill="auto"/>
            <w:vAlign w:val="center"/>
          </w:tcPr>
          <w:p w14:paraId="17CFCFF6" w14:textId="77777777" w:rsidR="00B15F7D" w:rsidRPr="00990FB6" w:rsidRDefault="00B15F7D" w:rsidP="00B15F7D">
            <w:pPr>
              <w:jc w:val="center"/>
              <w:rPr>
                <w:color w:val="000000"/>
                <w:sz w:val="22"/>
                <w:szCs w:val="22"/>
              </w:rPr>
            </w:pPr>
            <w:r w:rsidRPr="00990FB6">
              <w:rPr>
                <w:color w:val="000000"/>
                <w:sz w:val="22"/>
                <w:szCs w:val="22"/>
              </w:rPr>
              <w:t>Oficio 538-22 de la Secretaria General de la Corte</w:t>
            </w:r>
          </w:p>
        </w:tc>
        <w:tc>
          <w:tcPr>
            <w:tcW w:w="0" w:type="auto"/>
            <w:shd w:val="clear" w:color="auto" w:fill="auto"/>
            <w:vAlign w:val="center"/>
          </w:tcPr>
          <w:p w14:paraId="1A69DB86" w14:textId="77777777" w:rsidR="00B15F7D" w:rsidRPr="00990FB6" w:rsidRDefault="00B15F7D" w:rsidP="00B15F7D">
            <w:pPr>
              <w:jc w:val="center"/>
              <w:rPr>
                <w:color w:val="000000"/>
                <w:sz w:val="22"/>
                <w:szCs w:val="22"/>
              </w:rPr>
            </w:pPr>
            <w:r w:rsidRPr="00990FB6">
              <w:rPr>
                <w:color w:val="000000"/>
                <w:sz w:val="22"/>
                <w:szCs w:val="22"/>
              </w:rPr>
              <w:object w:dxaOrig="1508" w:dyaOrig="983" w14:anchorId="0C1BDAB2">
                <v:shape id="_x0000_i1044" type="#_x0000_t75" style="width:78.5pt;height:50pt" o:ole="">
                  <v:imagedata r:id="rId70" o:title=""/>
                </v:shape>
                <o:OLEObject Type="Embed" ProgID="Word.Document.12" ShapeID="_x0000_i1044" DrawAspect="Icon" ObjectID="_1748679172" r:id="rId71">
                  <o:FieldCodes>\s</o:FieldCodes>
                </o:OLEObject>
              </w:object>
            </w:r>
          </w:p>
        </w:tc>
      </w:tr>
      <w:tr w:rsidR="00B15F7D" w:rsidRPr="00990FB6" w14:paraId="50237A68" w14:textId="77777777" w:rsidTr="000A0C22">
        <w:trPr>
          <w:tblCellSpacing w:w="1440" w:type="nil"/>
        </w:trPr>
        <w:tc>
          <w:tcPr>
            <w:tcW w:w="0" w:type="auto"/>
            <w:shd w:val="clear" w:color="auto" w:fill="auto"/>
            <w:vAlign w:val="center"/>
          </w:tcPr>
          <w:p w14:paraId="1D887EEB" w14:textId="77777777" w:rsidR="00B15F7D" w:rsidRPr="00990FB6" w:rsidRDefault="00B15F7D" w:rsidP="00B15F7D">
            <w:pPr>
              <w:jc w:val="center"/>
              <w:rPr>
                <w:b/>
                <w:i/>
                <w:color w:val="000000"/>
                <w:sz w:val="22"/>
                <w:szCs w:val="22"/>
              </w:rPr>
            </w:pPr>
            <w:r w:rsidRPr="00990FB6">
              <w:rPr>
                <w:b/>
                <w:i/>
                <w:color w:val="000000"/>
                <w:sz w:val="22"/>
                <w:szCs w:val="22"/>
              </w:rPr>
              <w:t>Apéndice 2</w:t>
            </w:r>
          </w:p>
        </w:tc>
        <w:tc>
          <w:tcPr>
            <w:tcW w:w="0" w:type="auto"/>
            <w:shd w:val="clear" w:color="auto" w:fill="auto"/>
            <w:vAlign w:val="center"/>
          </w:tcPr>
          <w:p w14:paraId="1879CEE5" w14:textId="77777777" w:rsidR="00B15F7D" w:rsidRPr="00990FB6" w:rsidRDefault="00B15F7D" w:rsidP="00B15F7D">
            <w:pPr>
              <w:jc w:val="center"/>
              <w:rPr>
                <w:color w:val="000000"/>
                <w:sz w:val="22"/>
                <w:szCs w:val="22"/>
              </w:rPr>
            </w:pPr>
            <w:r w:rsidRPr="00990FB6">
              <w:rPr>
                <w:color w:val="000000"/>
                <w:sz w:val="22"/>
                <w:szCs w:val="22"/>
              </w:rPr>
              <w:t>Oficio 038-ORJR-2023 Requerimientos Presupuestario Justicia Restaurativa 2024</w:t>
            </w:r>
          </w:p>
        </w:tc>
        <w:tc>
          <w:tcPr>
            <w:tcW w:w="0" w:type="auto"/>
            <w:shd w:val="clear" w:color="auto" w:fill="auto"/>
            <w:vAlign w:val="center"/>
          </w:tcPr>
          <w:p w14:paraId="1402F2A6" w14:textId="77777777" w:rsidR="00B15F7D" w:rsidRPr="00990FB6" w:rsidRDefault="00B15F7D" w:rsidP="00B15F7D">
            <w:pPr>
              <w:jc w:val="center"/>
              <w:rPr>
                <w:color w:val="000000"/>
                <w:sz w:val="22"/>
                <w:szCs w:val="22"/>
              </w:rPr>
            </w:pPr>
            <w:r w:rsidRPr="00990FB6">
              <w:rPr>
                <w:color w:val="000000"/>
                <w:sz w:val="22"/>
                <w:szCs w:val="22"/>
              </w:rPr>
              <w:object w:dxaOrig="1537" w:dyaOrig="997" w14:anchorId="23A189FA">
                <v:shape id="_x0000_i1045" type="#_x0000_t75" style="width:79pt;height:50pt" o:ole="">
                  <v:imagedata r:id="rId72" o:title=""/>
                </v:shape>
                <o:OLEObject Type="Embed" ProgID="Acrobat.Document.DC" ShapeID="_x0000_i1045" DrawAspect="Icon" ObjectID="_1748679173" r:id="rId73"/>
              </w:object>
            </w:r>
          </w:p>
        </w:tc>
      </w:tr>
      <w:tr w:rsidR="00B15F7D" w:rsidRPr="00990FB6" w14:paraId="07A39B61" w14:textId="77777777" w:rsidTr="000A0C22">
        <w:trPr>
          <w:tblCellSpacing w:w="1440" w:type="nil"/>
        </w:trPr>
        <w:tc>
          <w:tcPr>
            <w:tcW w:w="0" w:type="auto"/>
            <w:shd w:val="clear" w:color="auto" w:fill="auto"/>
            <w:vAlign w:val="center"/>
          </w:tcPr>
          <w:p w14:paraId="7C1BD925" w14:textId="77777777" w:rsidR="00B15F7D" w:rsidRPr="00990FB6" w:rsidRDefault="00B15F7D" w:rsidP="00B15F7D">
            <w:pPr>
              <w:jc w:val="center"/>
              <w:rPr>
                <w:b/>
                <w:i/>
                <w:color w:val="000000"/>
                <w:sz w:val="22"/>
                <w:szCs w:val="22"/>
              </w:rPr>
            </w:pPr>
            <w:r w:rsidRPr="00990FB6">
              <w:rPr>
                <w:b/>
                <w:i/>
                <w:color w:val="000000"/>
                <w:sz w:val="22"/>
                <w:szCs w:val="22"/>
              </w:rPr>
              <w:t>Apéndice 3</w:t>
            </w:r>
          </w:p>
        </w:tc>
        <w:tc>
          <w:tcPr>
            <w:tcW w:w="0" w:type="auto"/>
            <w:shd w:val="clear" w:color="auto" w:fill="auto"/>
            <w:vAlign w:val="center"/>
          </w:tcPr>
          <w:p w14:paraId="536659D3" w14:textId="77777777" w:rsidR="00B15F7D" w:rsidRPr="00990FB6" w:rsidRDefault="00B15F7D" w:rsidP="00B15F7D">
            <w:pPr>
              <w:jc w:val="center"/>
              <w:rPr>
                <w:color w:val="000000"/>
                <w:sz w:val="22"/>
                <w:szCs w:val="22"/>
              </w:rPr>
            </w:pPr>
            <w:r w:rsidRPr="00990FB6">
              <w:rPr>
                <w:color w:val="000000"/>
                <w:sz w:val="22"/>
                <w:szCs w:val="22"/>
              </w:rPr>
              <w:t>Informe de labores de la Oficina Rectora de Justicia Restaurativa año 2022</w:t>
            </w:r>
          </w:p>
        </w:tc>
        <w:tc>
          <w:tcPr>
            <w:tcW w:w="0" w:type="auto"/>
            <w:shd w:val="clear" w:color="auto" w:fill="auto"/>
            <w:vAlign w:val="center"/>
          </w:tcPr>
          <w:p w14:paraId="1890D762" w14:textId="77777777" w:rsidR="00B15F7D" w:rsidRPr="00990FB6" w:rsidRDefault="00B15F7D" w:rsidP="00B15F7D">
            <w:pPr>
              <w:jc w:val="center"/>
              <w:rPr>
                <w:color w:val="000000"/>
                <w:sz w:val="22"/>
                <w:szCs w:val="22"/>
              </w:rPr>
            </w:pPr>
            <w:r w:rsidRPr="00990FB6">
              <w:rPr>
                <w:color w:val="000000"/>
                <w:sz w:val="22"/>
                <w:szCs w:val="22"/>
              </w:rPr>
              <w:object w:dxaOrig="1537" w:dyaOrig="997" w14:anchorId="0736EEDA">
                <v:shape id="_x0000_i1046" type="#_x0000_t75" style="width:79pt;height:50pt" o:ole="">
                  <v:imagedata r:id="rId74" o:title=""/>
                </v:shape>
                <o:OLEObject Type="Embed" ProgID="Acrobat.Document.DC" ShapeID="_x0000_i1046" DrawAspect="Icon" ObjectID="_1748679174" r:id="rId75"/>
              </w:object>
            </w:r>
          </w:p>
        </w:tc>
      </w:tr>
      <w:tr w:rsidR="00B15F7D" w:rsidRPr="00990FB6" w14:paraId="70B13A60" w14:textId="77777777" w:rsidTr="000A0C22">
        <w:trPr>
          <w:tblCellSpacing w:w="1440" w:type="nil"/>
        </w:trPr>
        <w:tc>
          <w:tcPr>
            <w:tcW w:w="0" w:type="auto"/>
            <w:shd w:val="clear" w:color="auto" w:fill="auto"/>
            <w:vAlign w:val="center"/>
          </w:tcPr>
          <w:p w14:paraId="2A8C845F" w14:textId="77777777" w:rsidR="00B15F7D" w:rsidRPr="00990FB6" w:rsidRDefault="00B15F7D" w:rsidP="00B15F7D">
            <w:pPr>
              <w:jc w:val="center"/>
              <w:rPr>
                <w:b/>
                <w:i/>
                <w:color w:val="000000"/>
                <w:sz w:val="22"/>
                <w:szCs w:val="22"/>
              </w:rPr>
            </w:pPr>
            <w:r w:rsidRPr="00990FB6">
              <w:rPr>
                <w:b/>
                <w:i/>
                <w:color w:val="000000"/>
                <w:sz w:val="22"/>
                <w:szCs w:val="22"/>
              </w:rPr>
              <w:t>Apéndice 4</w:t>
            </w:r>
          </w:p>
        </w:tc>
        <w:tc>
          <w:tcPr>
            <w:tcW w:w="0" w:type="auto"/>
            <w:shd w:val="clear" w:color="auto" w:fill="auto"/>
            <w:vAlign w:val="center"/>
          </w:tcPr>
          <w:p w14:paraId="6BBF09D3" w14:textId="77777777" w:rsidR="00B15F7D" w:rsidRPr="00990FB6" w:rsidRDefault="00B15F7D" w:rsidP="00B15F7D">
            <w:pPr>
              <w:jc w:val="center"/>
              <w:rPr>
                <w:color w:val="000000"/>
                <w:sz w:val="22"/>
                <w:szCs w:val="22"/>
              </w:rPr>
            </w:pPr>
            <w:r w:rsidRPr="00990FB6">
              <w:rPr>
                <w:color w:val="000000"/>
                <w:sz w:val="22"/>
                <w:szCs w:val="22"/>
              </w:rPr>
              <w:t>Anuarios Judiciales Justicia Restaurativa Penal Adulto 2022</w:t>
            </w:r>
          </w:p>
        </w:tc>
        <w:tc>
          <w:tcPr>
            <w:tcW w:w="0" w:type="auto"/>
            <w:shd w:val="clear" w:color="auto" w:fill="auto"/>
            <w:vAlign w:val="center"/>
          </w:tcPr>
          <w:p w14:paraId="1AE8D146" w14:textId="77777777" w:rsidR="00B15F7D" w:rsidRPr="00990FB6" w:rsidRDefault="00B15F7D" w:rsidP="00B15F7D">
            <w:pPr>
              <w:jc w:val="center"/>
              <w:rPr>
                <w:color w:val="000000"/>
                <w:sz w:val="22"/>
                <w:szCs w:val="22"/>
              </w:rPr>
            </w:pPr>
            <w:r w:rsidRPr="00990FB6">
              <w:rPr>
                <w:color w:val="000000"/>
                <w:sz w:val="22"/>
                <w:szCs w:val="22"/>
              </w:rPr>
              <w:object w:dxaOrig="1537" w:dyaOrig="997" w14:anchorId="6175C90E">
                <v:shape id="_x0000_i1047" type="#_x0000_t75" style="width:79pt;height:50pt" o:ole="">
                  <v:imagedata r:id="rId76" o:title=""/>
                </v:shape>
                <o:OLEObject Type="Embed" ProgID="Excel.Sheet.12" ShapeID="_x0000_i1047" DrawAspect="Icon" ObjectID="_1748679175" r:id="rId77"/>
              </w:object>
            </w:r>
          </w:p>
        </w:tc>
      </w:tr>
      <w:tr w:rsidR="00B15F7D" w:rsidRPr="00990FB6" w14:paraId="0842951C" w14:textId="77777777" w:rsidTr="000A0C22">
        <w:trPr>
          <w:tblCellSpacing w:w="1440" w:type="nil"/>
        </w:trPr>
        <w:tc>
          <w:tcPr>
            <w:tcW w:w="0" w:type="auto"/>
            <w:shd w:val="clear" w:color="auto" w:fill="auto"/>
            <w:vAlign w:val="center"/>
          </w:tcPr>
          <w:p w14:paraId="5A196DCF" w14:textId="77777777" w:rsidR="00B15F7D" w:rsidRPr="00990FB6" w:rsidRDefault="00B15F7D" w:rsidP="00B15F7D">
            <w:pPr>
              <w:jc w:val="center"/>
              <w:rPr>
                <w:b/>
                <w:i/>
                <w:color w:val="000000"/>
                <w:sz w:val="22"/>
                <w:szCs w:val="22"/>
              </w:rPr>
            </w:pPr>
            <w:r w:rsidRPr="00990FB6">
              <w:rPr>
                <w:b/>
                <w:i/>
                <w:color w:val="000000"/>
                <w:sz w:val="22"/>
                <w:szCs w:val="22"/>
              </w:rPr>
              <w:t>Apéndice 7</w:t>
            </w:r>
          </w:p>
        </w:tc>
        <w:tc>
          <w:tcPr>
            <w:tcW w:w="0" w:type="auto"/>
            <w:shd w:val="clear" w:color="auto" w:fill="auto"/>
            <w:vAlign w:val="center"/>
          </w:tcPr>
          <w:p w14:paraId="1C967EA2" w14:textId="77777777" w:rsidR="00B15F7D" w:rsidRPr="00990FB6" w:rsidRDefault="00B15F7D" w:rsidP="00B15F7D">
            <w:pPr>
              <w:jc w:val="center"/>
              <w:rPr>
                <w:color w:val="000000"/>
                <w:sz w:val="22"/>
                <w:szCs w:val="22"/>
              </w:rPr>
            </w:pPr>
            <w:r w:rsidRPr="00990FB6">
              <w:rPr>
                <w:color w:val="000000"/>
                <w:sz w:val="22"/>
                <w:szCs w:val="22"/>
              </w:rPr>
              <w:t>Anuarios Judiciales Justicia Restaurativa 2020</w:t>
            </w:r>
          </w:p>
        </w:tc>
        <w:tc>
          <w:tcPr>
            <w:tcW w:w="0" w:type="auto"/>
            <w:shd w:val="clear" w:color="auto" w:fill="auto"/>
            <w:vAlign w:val="center"/>
          </w:tcPr>
          <w:p w14:paraId="5484DDEC" w14:textId="77777777" w:rsidR="00B15F7D" w:rsidRPr="00990FB6" w:rsidRDefault="00B15F7D" w:rsidP="00B15F7D">
            <w:pPr>
              <w:jc w:val="center"/>
              <w:rPr>
                <w:color w:val="000000"/>
                <w:sz w:val="22"/>
                <w:szCs w:val="22"/>
              </w:rPr>
            </w:pPr>
            <w:r w:rsidRPr="00990FB6">
              <w:rPr>
                <w:color w:val="000000"/>
                <w:sz w:val="22"/>
                <w:szCs w:val="22"/>
              </w:rPr>
              <w:object w:dxaOrig="1508" w:dyaOrig="983" w14:anchorId="7EAF1033">
                <v:shape id="_x0000_i1048" type="#_x0000_t75" style="width:78.5pt;height:50pt" o:ole="">
                  <v:imagedata r:id="rId78" o:title=""/>
                </v:shape>
                <o:OLEObject Type="Embed" ProgID="Package" ShapeID="_x0000_i1048" DrawAspect="Icon" ObjectID="_1748679176" r:id="rId79"/>
              </w:object>
            </w:r>
          </w:p>
        </w:tc>
      </w:tr>
      <w:tr w:rsidR="00B15F7D" w:rsidRPr="00990FB6" w14:paraId="5C63CEAF" w14:textId="77777777" w:rsidTr="000A0C22">
        <w:trPr>
          <w:trHeight w:val="928"/>
          <w:tblCellSpacing w:w="1440" w:type="nil"/>
        </w:trPr>
        <w:tc>
          <w:tcPr>
            <w:tcW w:w="0" w:type="auto"/>
            <w:shd w:val="clear" w:color="auto" w:fill="auto"/>
            <w:vAlign w:val="center"/>
          </w:tcPr>
          <w:p w14:paraId="7D5EF5A3" w14:textId="77777777" w:rsidR="00B15F7D" w:rsidRPr="00990FB6" w:rsidRDefault="00B15F7D" w:rsidP="00B15F7D">
            <w:pPr>
              <w:jc w:val="center"/>
              <w:rPr>
                <w:b/>
                <w:i/>
                <w:color w:val="000000"/>
                <w:sz w:val="22"/>
                <w:szCs w:val="22"/>
              </w:rPr>
            </w:pPr>
            <w:r w:rsidRPr="00990FB6">
              <w:rPr>
                <w:b/>
                <w:i/>
                <w:color w:val="000000"/>
                <w:sz w:val="22"/>
                <w:szCs w:val="22"/>
              </w:rPr>
              <w:t>Apéndice 9</w:t>
            </w:r>
          </w:p>
        </w:tc>
        <w:tc>
          <w:tcPr>
            <w:tcW w:w="0" w:type="auto"/>
            <w:shd w:val="clear" w:color="auto" w:fill="auto"/>
            <w:vAlign w:val="center"/>
          </w:tcPr>
          <w:p w14:paraId="3F025D55" w14:textId="77777777" w:rsidR="00B15F7D" w:rsidRPr="00990FB6" w:rsidRDefault="00B15F7D" w:rsidP="00B15F7D">
            <w:pPr>
              <w:jc w:val="center"/>
              <w:rPr>
                <w:color w:val="000000"/>
                <w:sz w:val="22"/>
                <w:szCs w:val="22"/>
              </w:rPr>
            </w:pPr>
            <w:r w:rsidRPr="00990FB6">
              <w:rPr>
                <w:color w:val="000000"/>
                <w:sz w:val="22"/>
                <w:szCs w:val="22"/>
              </w:rPr>
              <w:t xml:space="preserve">Estimación costos Recurso Humano y Mobiliario Equipo solicitud para el 2024. </w:t>
            </w:r>
          </w:p>
        </w:tc>
        <w:tc>
          <w:tcPr>
            <w:tcW w:w="0" w:type="auto"/>
            <w:shd w:val="clear" w:color="auto" w:fill="auto"/>
            <w:vAlign w:val="center"/>
          </w:tcPr>
          <w:p w14:paraId="58C36E1A" w14:textId="77777777" w:rsidR="00B15F7D" w:rsidRPr="00990FB6" w:rsidRDefault="00B15F7D" w:rsidP="00B15F7D">
            <w:pPr>
              <w:jc w:val="center"/>
              <w:rPr>
                <w:color w:val="000000"/>
                <w:sz w:val="22"/>
                <w:szCs w:val="22"/>
              </w:rPr>
            </w:pPr>
            <w:r w:rsidRPr="00990FB6">
              <w:rPr>
                <w:color w:val="000000"/>
                <w:sz w:val="22"/>
                <w:szCs w:val="22"/>
              </w:rPr>
              <w:object w:dxaOrig="1537" w:dyaOrig="997" w14:anchorId="1D0D66DF">
                <v:shape id="_x0000_i1049" type="#_x0000_t75" style="width:79pt;height:50pt" o:ole="">
                  <v:imagedata r:id="rId80" o:title=""/>
                </v:shape>
                <o:OLEObject Type="Embed" ProgID="Excel.Sheet.8" ShapeID="_x0000_i1049" DrawAspect="Icon" ObjectID="_1748679177" r:id="rId81"/>
              </w:object>
            </w:r>
          </w:p>
        </w:tc>
      </w:tr>
      <w:tr w:rsidR="00B15F7D" w:rsidRPr="00990FB6" w14:paraId="1848E063" w14:textId="77777777" w:rsidTr="000A0C22">
        <w:trPr>
          <w:trHeight w:val="928"/>
          <w:tblCellSpacing w:w="1440" w:type="nil"/>
        </w:trPr>
        <w:tc>
          <w:tcPr>
            <w:tcW w:w="0" w:type="auto"/>
            <w:shd w:val="clear" w:color="auto" w:fill="auto"/>
            <w:vAlign w:val="center"/>
          </w:tcPr>
          <w:p w14:paraId="7BFCF759" w14:textId="77777777" w:rsidR="00B15F7D" w:rsidRPr="00990FB6" w:rsidRDefault="00B15F7D" w:rsidP="00B15F7D">
            <w:pPr>
              <w:jc w:val="center"/>
              <w:rPr>
                <w:b/>
                <w:i/>
                <w:color w:val="000000"/>
                <w:sz w:val="22"/>
                <w:szCs w:val="22"/>
              </w:rPr>
            </w:pPr>
            <w:r w:rsidRPr="00990FB6">
              <w:rPr>
                <w:b/>
                <w:i/>
                <w:color w:val="000000"/>
                <w:sz w:val="22"/>
                <w:szCs w:val="22"/>
              </w:rPr>
              <w:t>Apéndice 10</w:t>
            </w:r>
          </w:p>
        </w:tc>
        <w:tc>
          <w:tcPr>
            <w:tcW w:w="0" w:type="auto"/>
            <w:shd w:val="clear" w:color="auto" w:fill="auto"/>
            <w:vAlign w:val="center"/>
          </w:tcPr>
          <w:p w14:paraId="32AA0120" w14:textId="77777777" w:rsidR="00B15F7D" w:rsidRPr="00990FB6" w:rsidRDefault="00B15F7D" w:rsidP="00B15F7D">
            <w:pPr>
              <w:jc w:val="center"/>
              <w:rPr>
                <w:color w:val="000000"/>
                <w:sz w:val="22"/>
                <w:szCs w:val="22"/>
              </w:rPr>
            </w:pPr>
            <w:r w:rsidRPr="00990FB6">
              <w:rPr>
                <w:color w:val="000000"/>
                <w:sz w:val="22"/>
                <w:szCs w:val="22"/>
              </w:rPr>
              <w:t>Minuta Reunión de Jerarcas con Planificación:  humanización de indicadores</w:t>
            </w:r>
          </w:p>
        </w:tc>
        <w:tc>
          <w:tcPr>
            <w:tcW w:w="0" w:type="auto"/>
            <w:shd w:val="clear" w:color="auto" w:fill="auto"/>
            <w:vAlign w:val="center"/>
          </w:tcPr>
          <w:p w14:paraId="3EFA02C4" w14:textId="77777777" w:rsidR="00B15F7D" w:rsidRPr="00990FB6" w:rsidRDefault="00B15F7D" w:rsidP="00B15F7D">
            <w:pPr>
              <w:jc w:val="center"/>
              <w:rPr>
                <w:color w:val="000000"/>
                <w:sz w:val="22"/>
                <w:szCs w:val="22"/>
              </w:rPr>
            </w:pPr>
            <w:r w:rsidRPr="00990FB6">
              <w:rPr>
                <w:color w:val="000000"/>
                <w:sz w:val="22"/>
                <w:szCs w:val="22"/>
              </w:rPr>
              <w:object w:dxaOrig="1508" w:dyaOrig="983" w14:anchorId="263033AF">
                <v:shape id="_x0000_i1050" type="#_x0000_t75" style="width:78.5pt;height:50pt" o:ole="">
                  <v:imagedata r:id="rId82" o:title=""/>
                </v:shape>
                <o:OLEObject Type="Embed" ProgID="Word.Document.12" ShapeID="_x0000_i1050" DrawAspect="Icon" ObjectID="_1748679178" r:id="rId83">
                  <o:FieldCodes>\s</o:FieldCodes>
                </o:OLEObject>
              </w:object>
            </w:r>
          </w:p>
        </w:tc>
      </w:tr>
      <w:tr w:rsidR="00B15F7D" w:rsidRPr="00990FB6" w14:paraId="4A1AACCC" w14:textId="77777777" w:rsidTr="000A0C22">
        <w:trPr>
          <w:trHeight w:val="928"/>
          <w:tblCellSpacing w:w="1440" w:type="nil"/>
        </w:trPr>
        <w:tc>
          <w:tcPr>
            <w:tcW w:w="0" w:type="auto"/>
            <w:shd w:val="clear" w:color="auto" w:fill="auto"/>
            <w:vAlign w:val="center"/>
          </w:tcPr>
          <w:p w14:paraId="3ED4FEDF" w14:textId="77777777" w:rsidR="00B15F7D" w:rsidRPr="00990FB6" w:rsidRDefault="00B15F7D" w:rsidP="00B15F7D">
            <w:pPr>
              <w:jc w:val="center"/>
              <w:rPr>
                <w:b/>
                <w:i/>
                <w:color w:val="000000"/>
                <w:sz w:val="22"/>
                <w:szCs w:val="22"/>
              </w:rPr>
            </w:pPr>
            <w:r w:rsidRPr="00990FB6">
              <w:rPr>
                <w:b/>
                <w:i/>
                <w:color w:val="000000"/>
                <w:sz w:val="22"/>
                <w:szCs w:val="22"/>
              </w:rPr>
              <w:t>Apéndice 11</w:t>
            </w:r>
          </w:p>
        </w:tc>
        <w:tc>
          <w:tcPr>
            <w:tcW w:w="0" w:type="auto"/>
            <w:shd w:val="clear" w:color="auto" w:fill="auto"/>
            <w:vAlign w:val="center"/>
          </w:tcPr>
          <w:p w14:paraId="0C4280BD" w14:textId="77777777" w:rsidR="00B15F7D" w:rsidRPr="00990FB6" w:rsidRDefault="00B15F7D" w:rsidP="00B15F7D">
            <w:pPr>
              <w:jc w:val="center"/>
              <w:rPr>
                <w:color w:val="000000"/>
                <w:sz w:val="22"/>
                <w:szCs w:val="22"/>
              </w:rPr>
            </w:pPr>
            <w:r w:rsidRPr="00990FB6">
              <w:rPr>
                <w:color w:val="000000"/>
                <w:sz w:val="22"/>
                <w:szCs w:val="22"/>
              </w:rPr>
              <w:t>Anuarios Judiciales Justicia Restaurativa Penal Juvenil 2022</w:t>
            </w:r>
          </w:p>
        </w:tc>
        <w:tc>
          <w:tcPr>
            <w:tcW w:w="0" w:type="auto"/>
            <w:shd w:val="clear" w:color="auto" w:fill="auto"/>
            <w:vAlign w:val="center"/>
          </w:tcPr>
          <w:p w14:paraId="6E519053" w14:textId="77777777" w:rsidR="00B15F7D" w:rsidRPr="00990FB6" w:rsidRDefault="00B15F7D" w:rsidP="00B15F7D">
            <w:pPr>
              <w:jc w:val="center"/>
              <w:rPr>
                <w:color w:val="000000"/>
                <w:sz w:val="22"/>
                <w:szCs w:val="22"/>
              </w:rPr>
            </w:pPr>
            <w:r w:rsidRPr="00990FB6">
              <w:rPr>
                <w:color w:val="000000"/>
                <w:sz w:val="22"/>
                <w:szCs w:val="22"/>
              </w:rPr>
              <w:object w:dxaOrig="1537" w:dyaOrig="997" w14:anchorId="223B7CAB">
                <v:shape id="_x0000_i1051" type="#_x0000_t75" style="width:79pt;height:50pt" o:ole="">
                  <v:imagedata r:id="rId84" o:title=""/>
                </v:shape>
                <o:OLEObject Type="Embed" ProgID="Excel.Sheet.12" ShapeID="_x0000_i1051" DrawAspect="Icon" ObjectID="_1748679179" r:id="rId85"/>
              </w:object>
            </w:r>
          </w:p>
        </w:tc>
      </w:tr>
      <w:tr w:rsidR="00B15F7D" w:rsidRPr="00990FB6" w14:paraId="6912C2D4" w14:textId="77777777" w:rsidTr="000A0C22">
        <w:trPr>
          <w:trHeight w:val="928"/>
          <w:tblCellSpacing w:w="1440" w:type="nil"/>
        </w:trPr>
        <w:tc>
          <w:tcPr>
            <w:tcW w:w="0" w:type="auto"/>
            <w:shd w:val="clear" w:color="auto" w:fill="auto"/>
            <w:vAlign w:val="center"/>
          </w:tcPr>
          <w:p w14:paraId="7C63F6A2" w14:textId="77777777" w:rsidR="00B15F7D" w:rsidRPr="00990FB6" w:rsidRDefault="00B15F7D" w:rsidP="00B15F7D">
            <w:pPr>
              <w:jc w:val="center"/>
              <w:rPr>
                <w:b/>
                <w:i/>
                <w:color w:val="000000"/>
                <w:sz w:val="22"/>
                <w:szCs w:val="22"/>
              </w:rPr>
            </w:pPr>
            <w:r w:rsidRPr="00990FB6">
              <w:rPr>
                <w:b/>
                <w:i/>
                <w:color w:val="000000"/>
                <w:sz w:val="22"/>
                <w:szCs w:val="22"/>
              </w:rPr>
              <w:t>Apéndice 12</w:t>
            </w:r>
          </w:p>
        </w:tc>
        <w:tc>
          <w:tcPr>
            <w:tcW w:w="0" w:type="auto"/>
            <w:shd w:val="clear" w:color="auto" w:fill="auto"/>
            <w:vAlign w:val="center"/>
          </w:tcPr>
          <w:p w14:paraId="21F98D9A" w14:textId="77777777" w:rsidR="00B15F7D" w:rsidRPr="00990FB6" w:rsidRDefault="00B15F7D" w:rsidP="00B15F7D">
            <w:pPr>
              <w:jc w:val="center"/>
              <w:rPr>
                <w:color w:val="000000"/>
                <w:sz w:val="22"/>
                <w:szCs w:val="22"/>
              </w:rPr>
            </w:pPr>
            <w:r w:rsidRPr="00990FB6">
              <w:rPr>
                <w:color w:val="000000"/>
                <w:sz w:val="22"/>
                <w:szCs w:val="22"/>
              </w:rPr>
              <w:t xml:space="preserve"> Acuerdo de Corte Plena en sesión 27-2022 del 01 de junio del 2022, artículo II. Relacionado con Impacto organizacional y presupuestario en el Poder Judicial, a partir de la promulgación de la Ley 9582 Justicia Restaurativa.</w:t>
            </w:r>
            <w:r w:rsidRPr="00990FB6">
              <w:rPr>
                <w:rFonts w:eastAsia="Book Antiqua"/>
                <w:color w:val="000000"/>
                <w:sz w:val="22"/>
                <w:szCs w:val="22"/>
              </w:rPr>
              <w:t xml:space="preserve"> </w:t>
            </w:r>
          </w:p>
        </w:tc>
        <w:tc>
          <w:tcPr>
            <w:tcW w:w="0" w:type="auto"/>
            <w:shd w:val="clear" w:color="auto" w:fill="auto"/>
            <w:vAlign w:val="center"/>
          </w:tcPr>
          <w:p w14:paraId="7DBA2462" w14:textId="77777777" w:rsidR="00B15F7D" w:rsidRPr="00990FB6" w:rsidRDefault="00B15F7D" w:rsidP="00B15F7D">
            <w:pPr>
              <w:jc w:val="center"/>
              <w:rPr>
                <w:color w:val="000000"/>
                <w:sz w:val="22"/>
                <w:szCs w:val="22"/>
              </w:rPr>
            </w:pPr>
            <w:r w:rsidRPr="00990FB6">
              <w:rPr>
                <w:color w:val="000000"/>
                <w:sz w:val="22"/>
                <w:szCs w:val="22"/>
              </w:rPr>
              <w:object w:dxaOrig="1537" w:dyaOrig="997" w14:anchorId="5F2A7985">
                <v:shape id="_x0000_i1052" type="#_x0000_t75" style="width:79pt;height:50pt" o:ole="">
                  <v:imagedata r:id="rId86" o:title=""/>
                </v:shape>
                <o:OLEObject Type="Embed" ProgID="Acrobat.Document.DC" ShapeID="_x0000_i1052" DrawAspect="Icon" ObjectID="_1748679180" r:id="rId87"/>
              </w:object>
            </w:r>
          </w:p>
        </w:tc>
      </w:tr>
    </w:tbl>
    <w:p w14:paraId="0FC92958" w14:textId="77777777" w:rsidR="00B15F7D" w:rsidRPr="00990FB6" w:rsidRDefault="00B15F7D" w:rsidP="00B15F7D">
      <w:pPr>
        <w:jc w:val="center"/>
        <w:rPr>
          <w:color w:val="000000"/>
          <w:sz w:val="22"/>
          <w:szCs w:val="22"/>
        </w:rPr>
      </w:pPr>
    </w:p>
    <w:p w14:paraId="3343BEC8" w14:textId="77777777" w:rsidR="00B15F7D" w:rsidRPr="00990FB6" w:rsidRDefault="00B15F7D" w:rsidP="00B15F7D">
      <w:pPr>
        <w:jc w:val="center"/>
        <w:rPr>
          <w:color w:val="000000"/>
          <w:sz w:val="22"/>
          <w:szCs w:val="22"/>
        </w:rPr>
      </w:pPr>
      <w:r w:rsidRPr="00990FB6">
        <w:rPr>
          <w:color w:val="000000"/>
          <w:sz w:val="22"/>
          <w:szCs w:val="22"/>
        </w:rPr>
        <w:t>- 0 -</w:t>
      </w:r>
    </w:p>
    <w:p w14:paraId="48FABFC5" w14:textId="77777777" w:rsidR="00B15F7D" w:rsidRPr="00990FB6" w:rsidRDefault="00B15F7D" w:rsidP="00B15F7D">
      <w:pPr>
        <w:ind w:firstLine="709"/>
        <w:jc w:val="both"/>
        <w:rPr>
          <w:b/>
          <w:bCs/>
          <w:color w:val="000000"/>
          <w:sz w:val="22"/>
          <w:szCs w:val="22"/>
        </w:rPr>
      </w:pPr>
    </w:p>
    <w:p w14:paraId="569BBC7C" w14:textId="07997D7E" w:rsidR="00B15F7D" w:rsidRPr="00990FB6" w:rsidRDefault="00B15F7D" w:rsidP="00B15F7D">
      <w:pPr>
        <w:ind w:left="851" w:right="851" w:firstLine="709"/>
        <w:jc w:val="both"/>
        <w:rPr>
          <w:color w:val="000000"/>
          <w:sz w:val="22"/>
          <w:szCs w:val="22"/>
        </w:rPr>
      </w:pPr>
      <w:r w:rsidRPr="00990FB6">
        <w:rPr>
          <w:b/>
          <w:bCs/>
          <w:color w:val="000000"/>
          <w:sz w:val="22"/>
          <w:szCs w:val="22"/>
        </w:rPr>
        <w:t xml:space="preserve">Se acordó: 1) </w:t>
      </w:r>
      <w:r w:rsidRPr="00990FB6">
        <w:rPr>
          <w:color w:val="000000"/>
          <w:sz w:val="22"/>
          <w:szCs w:val="22"/>
        </w:rPr>
        <w:t xml:space="preserve">Aprobar el escenario 1 propuesto en el informe </w:t>
      </w:r>
      <w:r w:rsidRPr="00990FB6">
        <w:rPr>
          <w:color w:val="000000"/>
          <w:sz w:val="22"/>
          <w:szCs w:val="22"/>
          <w:lang w:val="es-MX"/>
        </w:rPr>
        <w:t>275-PLA-RH-MI(PL)-2023</w:t>
      </w:r>
      <w:r w:rsidRPr="00990FB6">
        <w:rPr>
          <w:color w:val="000000"/>
          <w:sz w:val="22"/>
          <w:szCs w:val="22"/>
        </w:rPr>
        <w:t xml:space="preserve">, relacionado con el impacto organizacional y presupuestario en el Poder Judicial a partir de la promulgación de la Ley 9582 Justicia Restaurativa, con la finalidad de con los recursos internos, seguir impulsando el Programa. </w:t>
      </w:r>
      <w:r w:rsidRPr="00990FB6">
        <w:rPr>
          <w:b/>
          <w:bCs/>
          <w:color w:val="000000"/>
          <w:sz w:val="22"/>
          <w:szCs w:val="22"/>
        </w:rPr>
        <w:t>2)</w:t>
      </w:r>
      <w:r w:rsidRPr="00990FB6">
        <w:rPr>
          <w:color w:val="000000"/>
          <w:sz w:val="22"/>
          <w:szCs w:val="22"/>
        </w:rPr>
        <w:t xml:space="preserve"> Comunicar a Corte Plena este informe para hacer de su conocimiento las necesidades en materia de Justicia Restaurativa y solicitarle su valoración del </w:t>
      </w:r>
      <w:r w:rsidRPr="00990FB6">
        <w:rPr>
          <w:color w:val="000000"/>
          <w:sz w:val="22"/>
          <w:szCs w:val="22"/>
        </w:rPr>
        <w:lastRenderedPageBreak/>
        <w:t xml:space="preserve">escenario 4 propuesto para remitir estos requerimientos al Ministerio de Hacienda, tal y como se ha realizado en procesos presupuestarios anteriores. </w:t>
      </w:r>
      <w:r w:rsidRPr="00990FB6">
        <w:rPr>
          <w:b/>
          <w:bCs/>
          <w:color w:val="000000"/>
          <w:sz w:val="22"/>
          <w:szCs w:val="22"/>
        </w:rPr>
        <w:t>Se declara este acuerdo firme</w:t>
      </w:r>
      <w:r w:rsidRPr="00990FB6">
        <w:rPr>
          <w:b/>
          <w:bCs/>
          <w:color w:val="000000"/>
          <w:sz w:val="22"/>
          <w:szCs w:val="22"/>
          <w:lang w:val="es-MX"/>
        </w:rPr>
        <w:t>.</w:t>
      </w:r>
      <w:r w:rsidRPr="00990FB6">
        <w:rPr>
          <w:color w:val="000000"/>
          <w:sz w:val="22"/>
          <w:szCs w:val="22"/>
        </w:rPr>
        <w:t>”</w:t>
      </w:r>
    </w:p>
    <w:p w14:paraId="266FEF44" w14:textId="77777777" w:rsidR="00EA7B4C" w:rsidRPr="00990FB6" w:rsidRDefault="00EA7B4C" w:rsidP="00B15F7D">
      <w:pPr>
        <w:ind w:left="851" w:right="851" w:firstLine="709"/>
        <w:jc w:val="both"/>
        <w:rPr>
          <w:bCs/>
          <w:sz w:val="22"/>
          <w:szCs w:val="22"/>
          <w:lang w:val="es-CR"/>
        </w:rPr>
      </w:pPr>
    </w:p>
    <w:p w14:paraId="2F9ACBAC" w14:textId="5F2707CD" w:rsidR="00B15F7D" w:rsidRPr="00990FB6" w:rsidRDefault="00B15F7D" w:rsidP="00B15F7D">
      <w:pPr>
        <w:jc w:val="center"/>
        <w:rPr>
          <w:bCs/>
          <w:sz w:val="22"/>
          <w:szCs w:val="22"/>
          <w:lang w:val="es-CR"/>
        </w:rPr>
      </w:pPr>
      <w:r w:rsidRPr="00990FB6">
        <w:rPr>
          <w:bCs/>
          <w:sz w:val="22"/>
          <w:szCs w:val="22"/>
          <w:lang w:val="es-CR"/>
        </w:rPr>
        <w:t xml:space="preserve">- 0 </w:t>
      </w:r>
      <w:r w:rsidR="00EA7B4C" w:rsidRPr="00990FB6">
        <w:rPr>
          <w:bCs/>
          <w:sz w:val="22"/>
          <w:szCs w:val="22"/>
          <w:lang w:val="es-CR"/>
        </w:rPr>
        <w:t>–</w:t>
      </w:r>
    </w:p>
    <w:p w14:paraId="5717F507" w14:textId="77777777" w:rsidR="00EA7B4C" w:rsidRPr="00990FB6" w:rsidRDefault="00EA7B4C" w:rsidP="00B15F7D">
      <w:pPr>
        <w:jc w:val="center"/>
        <w:rPr>
          <w:bCs/>
          <w:sz w:val="22"/>
          <w:szCs w:val="22"/>
          <w:lang w:val="es-CR"/>
        </w:rPr>
      </w:pPr>
    </w:p>
    <w:p w14:paraId="60844B2B" w14:textId="776337FC" w:rsidR="00B15F7D" w:rsidRPr="00990FB6" w:rsidRDefault="00B15F7D" w:rsidP="00B15F7D">
      <w:pPr>
        <w:widowControl w:val="0"/>
        <w:shd w:val="clear" w:color="auto" w:fill="FFFFFF"/>
        <w:suppressAutoHyphens w:val="0"/>
        <w:ind w:firstLine="709"/>
        <w:jc w:val="both"/>
        <w:rPr>
          <w:bCs/>
          <w:sz w:val="22"/>
          <w:szCs w:val="22"/>
          <w:lang w:eastAsia="es-ES"/>
        </w:rPr>
      </w:pPr>
      <w:r w:rsidRPr="00990FB6">
        <w:rPr>
          <w:bCs/>
          <w:sz w:val="22"/>
          <w:szCs w:val="22"/>
        </w:rPr>
        <w:t>E</w:t>
      </w:r>
      <w:r w:rsidRPr="00990FB6">
        <w:rPr>
          <w:bCs/>
          <w:sz w:val="22"/>
          <w:szCs w:val="22"/>
          <w:lang w:eastAsia="es-ES"/>
        </w:rPr>
        <w:t xml:space="preserve">n sesión de Consejo Superior </w:t>
      </w:r>
      <w:proofErr w:type="spellStart"/>
      <w:r w:rsidRPr="00990FB6">
        <w:rPr>
          <w:bCs/>
          <w:sz w:val="22"/>
          <w:szCs w:val="22"/>
          <w:lang w:eastAsia="es-ES"/>
        </w:rPr>
        <w:t>N°</w:t>
      </w:r>
      <w:proofErr w:type="spellEnd"/>
      <w:r w:rsidRPr="00990FB6">
        <w:rPr>
          <w:bCs/>
          <w:sz w:val="22"/>
          <w:szCs w:val="22"/>
        </w:rPr>
        <w:t xml:space="preserve"> 34-2023 </w:t>
      </w:r>
      <w:r w:rsidRPr="00990FB6">
        <w:rPr>
          <w:bCs/>
          <w:sz w:val="22"/>
          <w:szCs w:val="22"/>
          <w:lang w:eastAsia="es-ES"/>
        </w:rPr>
        <w:t>celebrada el 25 de abril de 2023, artículo XLIV, tomó el acuerdo que literalmente dice:</w:t>
      </w:r>
    </w:p>
    <w:p w14:paraId="3467A9B2" w14:textId="77777777" w:rsidR="00EA7B4C" w:rsidRPr="00990FB6" w:rsidRDefault="00EA7B4C" w:rsidP="00B15F7D">
      <w:pPr>
        <w:widowControl w:val="0"/>
        <w:shd w:val="clear" w:color="auto" w:fill="FFFFFF"/>
        <w:suppressAutoHyphens w:val="0"/>
        <w:ind w:firstLine="709"/>
        <w:jc w:val="both"/>
        <w:rPr>
          <w:bCs/>
          <w:sz w:val="22"/>
          <w:szCs w:val="22"/>
          <w:lang w:eastAsia="es-ES"/>
        </w:rPr>
      </w:pPr>
    </w:p>
    <w:p w14:paraId="4E44879D" w14:textId="77777777" w:rsidR="00B15F7D" w:rsidRPr="00990FB6" w:rsidRDefault="00B15F7D" w:rsidP="00B15F7D">
      <w:pPr>
        <w:ind w:left="851" w:right="900" w:firstLine="708"/>
        <w:jc w:val="both"/>
        <w:rPr>
          <w:sz w:val="22"/>
          <w:szCs w:val="22"/>
          <w:lang w:val="es-CR"/>
        </w:rPr>
      </w:pPr>
      <w:r w:rsidRPr="00990FB6">
        <w:rPr>
          <w:sz w:val="22"/>
          <w:szCs w:val="22"/>
          <w:lang w:val="es-MX"/>
        </w:rPr>
        <w:t xml:space="preserve">“La licenciada Nacira Valverde Bermúdez, Directora de Planificación, en oficio </w:t>
      </w:r>
      <w:proofErr w:type="spellStart"/>
      <w:r w:rsidRPr="00990FB6">
        <w:rPr>
          <w:sz w:val="22"/>
          <w:szCs w:val="22"/>
          <w:lang w:val="es-MX"/>
        </w:rPr>
        <w:t>N°</w:t>
      </w:r>
      <w:proofErr w:type="spellEnd"/>
      <w:r w:rsidRPr="00990FB6">
        <w:rPr>
          <w:sz w:val="22"/>
          <w:szCs w:val="22"/>
          <w:lang w:val="es-MX"/>
        </w:rPr>
        <w:t xml:space="preserve"> </w:t>
      </w:r>
      <w:r w:rsidRPr="00990FB6">
        <w:rPr>
          <w:sz w:val="22"/>
          <w:szCs w:val="22"/>
          <w:lang w:val="es-CR"/>
        </w:rPr>
        <w:t>281-PLA-RH-MI(NPL)- 2023 del 18 de abril de 2023, remitió lo siguiente:</w:t>
      </w:r>
    </w:p>
    <w:p w14:paraId="36136774" w14:textId="77777777" w:rsidR="00B15F7D" w:rsidRPr="00990FB6" w:rsidRDefault="00B15F7D" w:rsidP="00B15F7D">
      <w:pPr>
        <w:ind w:left="851" w:right="900" w:firstLine="708"/>
        <w:jc w:val="both"/>
        <w:rPr>
          <w:sz w:val="22"/>
          <w:szCs w:val="22"/>
          <w:lang w:val="es-CR"/>
        </w:rPr>
      </w:pPr>
    </w:p>
    <w:p w14:paraId="2174A9AE" w14:textId="0F47CFE2" w:rsidR="00B15F7D" w:rsidRDefault="00B15F7D" w:rsidP="00B15F7D">
      <w:pPr>
        <w:ind w:left="851" w:right="900" w:firstLine="709"/>
        <w:jc w:val="both"/>
        <w:rPr>
          <w:sz w:val="22"/>
          <w:szCs w:val="22"/>
          <w:lang w:val="es-CR"/>
        </w:rPr>
      </w:pPr>
      <w:r w:rsidRPr="00990FB6">
        <w:rPr>
          <w:sz w:val="22"/>
          <w:szCs w:val="22"/>
          <w:lang w:val="es-CR"/>
        </w:rPr>
        <w:t>“</w:t>
      </w:r>
      <w:r w:rsidRPr="00990FB6">
        <w:rPr>
          <w:rFonts w:eastAsia="Arial Unicode MS"/>
          <w:sz w:val="22"/>
          <w:szCs w:val="22"/>
        </w:rPr>
        <w:t>Les remito el informe suscrito por el Subproceso de Modernización Institucional-No Penal, relacionado con el Impacto organizacional y presupuestario en el Poder Judicial a partir de la promulgación del Nuevo Código Procesal Agrario para el 2023 (Ley 2024)</w:t>
      </w:r>
      <w:r w:rsidRPr="00990FB6">
        <w:rPr>
          <w:sz w:val="22"/>
          <w:szCs w:val="22"/>
          <w:lang w:val="es-CR"/>
        </w:rPr>
        <w:t>”.</w:t>
      </w:r>
    </w:p>
    <w:p w14:paraId="50FED4FC" w14:textId="77777777" w:rsidR="0045290B" w:rsidRPr="00990FB6" w:rsidRDefault="0045290B" w:rsidP="00B15F7D">
      <w:pPr>
        <w:ind w:left="851" w:right="900" w:firstLine="709"/>
        <w:jc w:val="both"/>
        <w:rPr>
          <w:sz w:val="22"/>
          <w:szCs w:val="22"/>
          <w:lang w:val="es-CR"/>
        </w:rPr>
      </w:pPr>
    </w:p>
    <w:p w14:paraId="139E3834" w14:textId="77777777" w:rsidR="00B15F7D" w:rsidRPr="00990FB6" w:rsidRDefault="00B15F7D" w:rsidP="00B15F7D">
      <w:pPr>
        <w:ind w:left="851" w:right="851"/>
        <w:jc w:val="center"/>
        <w:rPr>
          <w:sz w:val="22"/>
          <w:szCs w:val="22"/>
        </w:rPr>
      </w:pPr>
      <w:r w:rsidRPr="00990FB6">
        <w:rPr>
          <w:sz w:val="22"/>
          <w:szCs w:val="22"/>
        </w:rPr>
        <w:t>- 0 -</w:t>
      </w:r>
    </w:p>
    <w:p w14:paraId="37DEDB03" w14:textId="77777777" w:rsidR="00B15F7D" w:rsidRPr="00990FB6" w:rsidRDefault="00B15F7D" w:rsidP="00B15F7D">
      <w:pPr>
        <w:ind w:left="851" w:right="900" w:firstLine="709"/>
        <w:jc w:val="both"/>
        <w:rPr>
          <w:rFonts w:eastAsia="Arial Unicode MS"/>
          <w:sz w:val="22"/>
          <w:szCs w:val="22"/>
        </w:rPr>
      </w:pPr>
    </w:p>
    <w:p w14:paraId="7B84DDCC" w14:textId="77777777" w:rsidR="00B15F7D" w:rsidRPr="00990FB6" w:rsidRDefault="00B15F7D" w:rsidP="00B15F7D">
      <w:pPr>
        <w:ind w:left="851" w:right="900" w:firstLine="708"/>
        <w:jc w:val="both"/>
        <w:rPr>
          <w:sz w:val="22"/>
          <w:szCs w:val="22"/>
          <w:lang w:val="es-CR"/>
        </w:rPr>
      </w:pPr>
      <w:r w:rsidRPr="00990FB6">
        <w:rPr>
          <w:sz w:val="22"/>
          <w:szCs w:val="22"/>
          <w:lang w:val="es-CR"/>
        </w:rPr>
        <w:t>Seguidamente, se transcriben los elementos resolutivos y recomendaciones del informe de cita:</w:t>
      </w:r>
    </w:p>
    <w:p w14:paraId="333DE7E7" w14:textId="77777777" w:rsidR="00B15F7D" w:rsidRPr="00990FB6" w:rsidRDefault="00B15F7D" w:rsidP="00B15F7D">
      <w:pPr>
        <w:keepNext/>
        <w:keepLines/>
        <w:ind w:left="851" w:right="900" w:firstLine="709"/>
        <w:rPr>
          <w:b/>
          <w:bCs/>
          <w:sz w:val="22"/>
          <w:szCs w:val="22"/>
          <w:u w:val="single"/>
        </w:rPr>
      </w:pPr>
      <w:bookmarkStart w:id="26" w:name="_Toc132639576"/>
      <w:bookmarkStart w:id="27" w:name="_Toc132639577"/>
    </w:p>
    <w:p w14:paraId="68F64815" w14:textId="77777777" w:rsidR="00B15F7D" w:rsidRPr="00990FB6" w:rsidRDefault="00B15F7D" w:rsidP="00B15F7D">
      <w:pPr>
        <w:keepNext/>
        <w:keepLines/>
        <w:ind w:left="851" w:right="900" w:firstLine="709"/>
        <w:rPr>
          <w:b/>
          <w:bCs/>
          <w:sz w:val="22"/>
          <w:szCs w:val="22"/>
          <w:u w:val="single"/>
        </w:rPr>
      </w:pPr>
      <w:r w:rsidRPr="00990FB6">
        <w:rPr>
          <w:b/>
          <w:bCs/>
          <w:sz w:val="22"/>
          <w:szCs w:val="22"/>
          <w:u w:val="single"/>
        </w:rPr>
        <w:t>19. Elementos Resolutivos</w:t>
      </w:r>
      <w:bookmarkEnd w:id="26"/>
      <w:r w:rsidRPr="00990FB6">
        <w:rPr>
          <w:b/>
          <w:bCs/>
          <w:sz w:val="22"/>
          <w:szCs w:val="22"/>
          <w:u w:val="single"/>
        </w:rPr>
        <w:t xml:space="preserve"> </w:t>
      </w:r>
    </w:p>
    <w:p w14:paraId="4B382C30" w14:textId="77777777" w:rsidR="00B15F7D" w:rsidRPr="00990FB6" w:rsidRDefault="00B15F7D" w:rsidP="00B15F7D">
      <w:pPr>
        <w:keepNext/>
        <w:keepLines/>
        <w:ind w:left="851" w:right="900" w:firstLine="709"/>
        <w:rPr>
          <w:sz w:val="22"/>
          <w:szCs w:val="22"/>
        </w:rPr>
      </w:pPr>
    </w:p>
    <w:p w14:paraId="4504101E"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La Creación del “Código Procesal Agrario”, el cual fue aprobado bajo Decreto Legislativo 9609 el 27 de febrero del 2019, el cual entra en vigencia 48 meses después de su publicación en el Diario Oficial La Gaceta, de acuerdo con la ampliación de la vacancia por parte de la Asamblea Legislativa de la República de Costa Rica, que entrará en vigencia el 28 de febrero del 2025, provoca la necesidad de analizar los posibles cambios que implicaría a nivel de estructura organizativa de los despachos y oficinas del Poder Judicial, así como los costos presupuestarios en el 2024 para su debida implementación.</w:t>
      </w:r>
    </w:p>
    <w:p w14:paraId="47EB3134" w14:textId="77777777" w:rsidR="00B15F7D" w:rsidRPr="00990FB6" w:rsidRDefault="00B15F7D" w:rsidP="00B15F7D">
      <w:pPr>
        <w:suppressAutoHyphens w:val="0"/>
        <w:ind w:left="851" w:right="900"/>
        <w:contextualSpacing/>
        <w:jc w:val="both"/>
        <w:rPr>
          <w:sz w:val="22"/>
          <w:szCs w:val="22"/>
        </w:rPr>
      </w:pPr>
    </w:p>
    <w:p w14:paraId="24CB7DB8"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La Jurisdicción Agraria está conformada por una cantidad de Despachos jurisdiccionales, inferior a otras materias, para un total de 13 especializados y tres (3) mixtos. Además, la mayor proporción de ellos están especializados (81%),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2DA2CFEA" w14:textId="77777777" w:rsidR="00B15F7D" w:rsidRPr="00990FB6" w:rsidRDefault="00B15F7D" w:rsidP="00B15F7D">
      <w:pPr>
        <w:suppressAutoHyphens w:val="0"/>
        <w:ind w:left="851" w:right="900"/>
        <w:contextualSpacing/>
        <w:jc w:val="both"/>
        <w:rPr>
          <w:sz w:val="22"/>
          <w:szCs w:val="22"/>
        </w:rPr>
      </w:pPr>
    </w:p>
    <w:p w14:paraId="5A0F1634"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0FD3ACB3" w14:textId="77777777" w:rsidR="00B15F7D" w:rsidRPr="00990FB6" w:rsidRDefault="00B15F7D" w:rsidP="00B15F7D">
      <w:pPr>
        <w:ind w:left="851" w:right="900"/>
        <w:rPr>
          <w:sz w:val="22"/>
          <w:szCs w:val="22"/>
        </w:rPr>
      </w:pPr>
    </w:p>
    <w:p w14:paraId="46950068"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lastRenderedPageBreak/>
        <w:t>La Defensa Pública cuenta con 17 plazas de Defensor Público en materia Agraria, distribuidas en 16 Circuitos Judiciales del país. Los cuáles son los necesarios para cubrir la carga de trabajo.</w:t>
      </w:r>
    </w:p>
    <w:p w14:paraId="5D3D6428" w14:textId="77777777" w:rsidR="00B15F7D" w:rsidRPr="00990FB6" w:rsidRDefault="00B15F7D" w:rsidP="00B15F7D">
      <w:pPr>
        <w:suppressAutoHyphens w:val="0"/>
        <w:ind w:left="851" w:right="900"/>
        <w:contextualSpacing/>
        <w:jc w:val="both"/>
        <w:rPr>
          <w:sz w:val="22"/>
          <w:szCs w:val="22"/>
        </w:rPr>
      </w:pPr>
    </w:p>
    <w:p w14:paraId="17382C39"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61054A71" w14:textId="77777777" w:rsidR="00B15F7D" w:rsidRPr="00990FB6" w:rsidRDefault="00B15F7D" w:rsidP="00B15F7D">
      <w:pPr>
        <w:suppressAutoHyphens w:val="0"/>
        <w:ind w:left="851" w:right="900"/>
        <w:contextualSpacing/>
        <w:jc w:val="both"/>
        <w:rPr>
          <w:sz w:val="22"/>
          <w:szCs w:val="22"/>
        </w:rPr>
      </w:pPr>
    </w:p>
    <w:p w14:paraId="2305B2AF"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 </w:t>
      </w:r>
    </w:p>
    <w:p w14:paraId="2CA4B10D" w14:textId="77777777" w:rsidR="00B15F7D" w:rsidRPr="00990FB6" w:rsidRDefault="00B15F7D" w:rsidP="00B15F7D">
      <w:pPr>
        <w:suppressAutoHyphens w:val="0"/>
        <w:ind w:left="851" w:right="900"/>
        <w:contextualSpacing/>
        <w:jc w:val="both"/>
        <w:rPr>
          <w:sz w:val="22"/>
          <w:szCs w:val="22"/>
        </w:rPr>
      </w:pPr>
    </w:p>
    <w:p w14:paraId="45291285"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Para el </w:t>
      </w:r>
      <w:proofErr w:type="spellStart"/>
      <w:r w:rsidRPr="00990FB6">
        <w:rPr>
          <w:sz w:val="22"/>
          <w:szCs w:val="22"/>
        </w:rPr>
        <w:t>el</w:t>
      </w:r>
      <w:proofErr w:type="spellEnd"/>
      <w:r w:rsidRPr="00990FB6">
        <w:rPr>
          <w:sz w:val="22"/>
          <w:szCs w:val="22"/>
        </w:rPr>
        <w:t xml:space="preserve"> manejo, registro, control contable, presupuestario y ejecución de los recursos que genere el Código Procesal Agrario, se propone la creación de una plaza de Profesional 1, de la misma forma que se había realizado con la reforma laboral, lo anterior debido a que como parte del estudio realizado en la Administración de la Defensa Pública, a cargo de la Dirección de Planificación, se identificó que con los recursos actuales no se tendría capacidad para atender la captación de costas que genere el nuevo código, debido a que con el recurso actual no se ha podido atender la totalidad de la carga actual, por lo cual es necesario el reforzamiento de esta área.  </w:t>
      </w:r>
    </w:p>
    <w:p w14:paraId="53B84724" w14:textId="77777777" w:rsidR="00B15F7D" w:rsidRPr="00990FB6" w:rsidRDefault="00B15F7D" w:rsidP="00B15F7D">
      <w:pPr>
        <w:suppressAutoHyphens w:val="0"/>
        <w:ind w:left="851" w:right="900"/>
        <w:contextualSpacing/>
        <w:jc w:val="both"/>
        <w:rPr>
          <w:sz w:val="22"/>
          <w:szCs w:val="22"/>
        </w:rPr>
      </w:pPr>
    </w:p>
    <w:p w14:paraId="5F8E0D36"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la limitante de conocer la posible carga de trabajo producto del conocimiento de los procesos civiles, cobratorios, contenciosos. </w:t>
      </w:r>
    </w:p>
    <w:p w14:paraId="679DC85A" w14:textId="77777777" w:rsidR="00B15F7D" w:rsidRPr="00990FB6" w:rsidRDefault="00B15F7D" w:rsidP="00B15F7D">
      <w:pPr>
        <w:suppressAutoHyphens w:val="0"/>
        <w:ind w:left="851" w:right="900"/>
        <w:contextualSpacing/>
        <w:jc w:val="both"/>
        <w:rPr>
          <w:sz w:val="22"/>
          <w:szCs w:val="22"/>
        </w:rPr>
      </w:pPr>
    </w:p>
    <w:p w14:paraId="2B1C0894"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6D81CE1C" w14:textId="77777777" w:rsidR="00B15F7D" w:rsidRPr="00990FB6" w:rsidRDefault="00B15F7D" w:rsidP="00B15F7D">
      <w:pPr>
        <w:ind w:left="851" w:right="900"/>
        <w:rPr>
          <w:sz w:val="22"/>
          <w:szCs w:val="22"/>
        </w:rPr>
      </w:pPr>
    </w:p>
    <w:p w14:paraId="27CCF8CA"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El Transitorio II establece un plazo de seis meses, a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w:t>
      </w:r>
      <w:r w:rsidRPr="00990FB6">
        <w:rPr>
          <w:sz w:val="22"/>
          <w:szCs w:val="22"/>
        </w:rPr>
        <w:lastRenderedPageBreak/>
        <w:t xml:space="preserve">Conciliación del Poder Judicial colaboración para apoyar a los Juzgados Agrarios en la realización de conciliaciones que se señalan, según acuerdo tomado por dicha Comisión en sesión ordinaria celebrada el 29 de junio del 2018, artículo XVIII. El Código Procesal Agrario entra en vigencia el 28 de febrero del 2025.   </w:t>
      </w:r>
    </w:p>
    <w:p w14:paraId="7D713785" w14:textId="77777777" w:rsidR="00B15F7D" w:rsidRPr="00990FB6" w:rsidRDefault="00B15F7D" w:rsidP="00B15F7D">
      <w:pPr>
        <w:suppressAutoHyphens w:val="0"/>
        <w:ind w:left="851" w:right="900"/>
        <w:contextualSpacing/>
        <w:jc w:val="both"/>
        <w:rPr>
          <w:sz w:val="22"/>
          <w:szCs w:val="22"/>
        </w:rPr>
      </w:pPr>
    </w:p>
    <w:p w14:paraId="7B6BD6DC"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731EA556" w14:textId="77777777" w:rsidR="00B15F7D" w:rsidRPr="00990FB6" w:rsidRDefault="00B15F7D" w:rsidP="00B15F7D">
      <w:pPr>
        <w:suppressAutoHyphens w:val="0"/>
        <w:ind w:left="851" w:right="900"/>
        <w:contextualSpacing/>
        <w:jc w:val="both"/>
        <w:rPr>
          <w:sz w:val="22"/>
          <w:szCs w:val="22"/>
        </w:rPr>
      </w:pPr>
    </w:p>
    <w:p w14:paraId="79B9D856"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69AD646F" w14:textId="77777777" w:rsidR="00B15F7D" w:rsidRPr="00990FB6" w:rsidRDefault="00B15F7D" w:rsidP="00B15F7D">
      <w:pPr>
        <w:suppressAutoHyphens w:val="0"/>
        <w:ind w:left="851" w:right="900"/>
        <w:contextualSpacing/>
        <w:jc w:val="both"/>
        <w:rPr>
          <w:sz w:val="22"/>
          <w:szCs w:val="22"/>
        </w:rPr>
      </w:pPr>
    </w:p>
    <w:p w14:paraId="3BF2E6A4" w14:textId="77777777" w:rsidR="00B15F7D" w:rsidRPr="00990FB6" w:rsidRDefault="00B15F7D" w:rsidP="00B15F7D">
      <w:pPr>
        <w:numPr>
          <w:ilvl w:val="0"/>
          <w:numId w:val="162"/>
        </w:numPr>
        <w:suppressAutoHyphens w:val="0"/>
        <w:ind w:left="851" w:right="900" w:firstLine="709"/>
        <w:contextualSpacing/>
        <w:jc w:val="both"/>
        <w:rPr>
          <w:sz w:val="22"/>
          <w:szCs w:val="22"/>
          <w:lang w:eastAsia="es-ES"/>
        </w:rPr>
      </w:pPr>
      <w:r w:rsidRPr="00990FB6">
        <w:rPr>
          <w:sz w:val="22"/>
          <w:szCs w:val="22"/>
        </w:rPr>
        <w:t xml:space="preserve">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 las nuevas contrataciones de personas juzgadoras en esta materia deben considerar en su perfil el que las personas juzgadoras manejen el vehículo institucional para maximizar los recursos y la facilidad en la operatividad de la materia </w:t>
      </w:r>
    </w:p>
    <w:p w14:paraId="70870621" w14:textId="77777777" w:rsidR="00B15F7D" w:rsidRPr="00990FB6" w:rsidRDefault="00B15F7D" w:rsidP="00B15F7D">
      <w:pPr>
        <w:suppressAutoHyphens w:val="0"/>
        <w:ind w:left="851" w:right="900"/>
        <w:contextualSpacing/>
        <w:jc w:val="both"/>
        <w:rPr>
          <w:sz w:val="22"/>
          <w:szCs w:val="22"/>
          <w:lang w:eastAsia="es-ES"/>
        </w:rPr>
      </w:pPr>
    </w:p>
    <w:p w14:paraId="0703170E"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1C981954" w14:textId="77777777" w:rsidR="00B15F7D" w:rsidRPr="00990FB6" w:rsidRDefault="00B15F7D" w:rsidP="00B15F7D">
      <w:pPr>
        <w:suppressAutoHyphens w:val="0"/>
        <w:ind w:left="851" w:right="900"/>
        <w:contextualSpacing/>
        <w:jc w:val="both"/>
        <w:rPr>
          <w:sz w:val="22"/>
          <w:szCs w:val="22"/>
        </w:rPr>
      </w:pPr>
    </w:p>
    <w:p w14:paraId="1210698F"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Ante ello, se propone reforzar con vehículos con sus respectivos choferes, a las Administraciones Regionales de Cartago, Limón, San Ramón, Turrialba, Santa Cruz, </w:t>
      </w:r>
      <w:proofErr w:type="gramStart"/>
      <w:r w:rsidRPr="00990FB6">
        <w:rPr>
          <w:sz w:val="22"/>
          <w:szCs w:val="22"/>
        </w:rPr>
        <w:t>Alajuela,  Pococí</w:t>
      </w:r>
      <w:proofErr w:type="gramEnd"/>
      <w:r w:rsidRPr="00990FB6">
        <w:rPr>
          <w:sz w:val="22"/>
          <w:szCs w:val="22"/>
        </w:rPr>
        <w:t xml:space="preserve">, Goicoechea, Liberia, y un chofer para la Administración Regional del Juzgado Agrario del Segundo Circuito Judicial de la Zona Sur, sede Corredores. </w:t>
      </w:r>
    </w:p>
    <w:p w14:paraId="1AAE55B7" w14:textId="77777777" w:rsidR="00B15F7D" w:rsidRPr="00990FB6" w:rsidRDefault="00B15F7D" w:rsidP="00B15F7D">
      <w:pPr>
        <w:suppressAutoHyphens w:val="0"/>
        <w:ind w:left="851" w:right="900"/>
        <w:contextualSpacing/>
        <w:jc w:val="both"/>
        <w:rPr>
          <w:sz w:val="22"/>
          <w:szCs w:val="22"/>
        </w:rPr>
      </w:pPr>
    </w:p>
    <w:p w14:paraId="2D1AFAE3"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7F17B326" w14:textId="77777777" w:rsidR="00B15F7D" w:rsidRPr="00990FB6" w:rsidRDefault="00B15F7D" w:rsidP="00B15F7D">
      <w:pPr>
        <w:suppressAutoHyphens w:val="0"/>
        <w:ind w:left="851" w:right="900"/>
        <w:contextualSpacing/>
        <w:jc w:val="both"/>
        <w:rPr>
          <w:sz w:val="22"/>
          <w:szCs w:val="22"/>
        </w:rPr>
      </w:pPr>
    </w:p>
    <w:p w14:paraId="4B40AD18"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lastRenderedPageBreak/>
        <w:t xml:space="preserve"> El Código Procesal Agrario, plantea dos (2) opciones de financiamiento, como se detallan a continuación:</w:t>
      </w:r>
    </w:p>
    <w:p w14:paraId="0B3D47F7" w14:textId="77777777" w:rsidR="00B15F7D" w:rsidRPr="00990FB6" w:rsidRDefault="00B15F7D" w:rsidP="00B15F7D">
      <w:pPr>
        <w:suppressAutoHyphens w:val="0"/>
        <w:ind w:left="851" w:right="900"/>
        <w:contextualSpacing/>
        <w:jc w:val="both"/>
        <w:rPr>
          <w:sz w:val="22"/>
          <w:szCs w:val="22"/>
        </w:rPr>
      </w:pPr>
    </w:p>
    <w:p w14:paraId="48FE84D4" w14:textId="77777777" w:rsidR="00B15F7D" w:rsidRPr="00990FB6" w:rsidRDefault="00B15F7D" w:rsidP="00B15F7D">
      <w:pPr>
        <w:numPr>
          <w:ilvl w:val="0"/>
          <w:numId w:val="166"/>
        </w:numPr>
        <w:suppressAutoHyphens w:val="0"/>
        <w:ind w:left="851" w:right="900" w:firstLine="709"/>
        <w:contextualSpacing/>
        <w:jc w:val="both"/>
        <w:rPr>
          <w:sz w:val="22"/>
          <w:szCs w:val="22"/>
        </w:rPr>
      </w:pPr>
      <w:r w:rsidRPr="00990FB6">
        <w:rPr>
          <w:sz w:val="22"/>
          <w:szCs w:val="22"/>
        </w:rPr>
        <w:t>Los montos de las multas impuestas a las personas usuarias por su no asistencia de manera injustificada a las audiencias de prueba pasan a formar un fondo de financiamiento de la Jurisdicción Agraria.</w:t>
      </w:r>
    </w:p>
    <w:p w14:paraId="673A9866" w14:textId="77777777" w:rsidR="00B15F7D" w:rsidRPr="00990FB6" w:rsidRDefault="00B15F7D" w:rsidP="00B15F7D">
      <w:pPr>
        <w:suppressAutoHyphens w:val="0"/>
        <w:ind w:left="851" w:right="900"/>
        <w:contextualSpacing/>
        <w:jc w:val="both"/>
        <w:rPr>
          <w:sz w:val="22"/>
          <w:szCs w:val="22"/>
        </w:rPr>
      </w:pPr>
    </w:p>
    <w:p w14:paraId="4DF563A9" w14:textId="77777777" w:rsidR="00B15F7D" w:rsidRPr="00990FB6" w:rsidRDefault="00B15F7D" w:rsidP="00B15F7D">
      <w:pPr>
        <w:numPr>
          <w:ilvl w:val="0"/>
          <w:numId w:val="166"/>
        </w:numPr>
        <w:suppressAutoHyphens w:val="0"/>
        <w:ind w:left="851" w:right="900" w:firstLine="709"/>
        <w:contextualSpacing/>
        <w:jc w:val="both"/>
        <w:rPr>
          <w:sz w:val="22"/>
          <w:szCs w:val="22"/>
        </w:rPr>
      </w:pPr>
      <w:r w:rsidRPr="00990FB6">
        <w:rPr>
          <w:sz w:val="22"/>
          <w:szCs w:val="22"/>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59FD25BB" w14:textId="77777777" w:rsidR="00B15F7D" w:rsidRPr="00990FB6" w:rsidRDefault="00B15F7D" w:rsidP="00B15F7D">
      <w:pPr>
        <w:suppressAutoHyphens w:val="0"/>
        <w:ind w:left="851" w:right="900"/>
        <w:contextualSpacing/>
        <w:jc w:val="both"/>
        <w:rPr>
          <w:sz w:val="22"/>
          <w:szCs w:val="22"/>
        </w:rPr>
      </w:pPr>
    </w:p>
    <w:p w14:paraId="5F9D60E1"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39A91CC" w14:textId="77777777" w:rsidR="00B15F7D" w:rsidRPr="00990FB6" w:rsidRDefault="00B15F7D" w:rsidP="00B15F7D">
      <w:pPr>
        <w:suppressAutoHyphens w:val="0"/>
        <w:ind w:left="851" w:right="900"/>
        <w:contextualSpacing/>
        <w:jc w:val="both"/>
        <w:rPr>
          <w:sz w:val="22"/>
          <w:szCs w:val="22"/>
        </w:rPr>
      </w:pPr>
    </w:p>
    <w:p w14:paraId="4BD814D4" w14:textId="77777777" w:rsidR="00B15F7D" w:rsidRPr="00990FB6" w:rsidRDefault="00B15F7D" w:rsidP="00B15F7D">
      <w:pPr>
        <w:numPr>
          <w:ilvl w:val="0"/>
          <w:numId w:val="162"/>
        </w:numPr>
        <w:suppressAutoHyphens w:val="0"/>
        <w:ind w:left="851" w:right="900" w:firstLine="709"/>
        <w:contextualSpacing/>
        <w:jc w:val="both"/>
        <w:rPr>
          <w:sz w:val="22"/>
          <w:szCs w:val="22"/>
          <w:lang w:eastAsia="es-ES"/>
        </w:rPr>
      </w:pPr>
      <w:r w:rsidRPr="00990FB6">
        <w:rPr>
          <w:sz w:val="22"/>
          <w:szCs w:val="22"/>
        </w:rPr>
        <w:t>Con la implementación del Código Procesal Agrario surgen una serie de ajustes que viene a reducir los tiempos de proceso y agilización de los trámites, a continuación, se detallan algunos de los principales cambios:</w:t>
      </w:r>
    </w:p>
    <w:p w14:paraId="3BA3DB10" w14:textId="77777777" w:rsidR="00B15F7D" w:rsidRPr="00990FB6" w:rsidRDefault="00B15F7D" w:rsidP="00B15F7D">
      <w:pPr>
        <w:suppressAutoHyphens w:val="0"/>
        <w:ind w:left="851" w:right="900"/>
        <w:contextualSpacing/>
        <w:jc w:val="both"/>
        <w:rPr>
          <w:sz w:val="22"/>
          <w:szCs w:val="22"/>
          <w:lang w:eastAsia="es-ES"/>
        </w:rPr>
      </w:pPr>
    </w:p>
    <w:p w14:paraId="1817CAAF" w14:textId="77777777" w:rsidR="00B15F7D" w:rsidRPr="00990FB6" w:rsidRDefault="00B15F7D" w:rsidP="00B15F7D">
      <w:pPr>
        <w:numPr>
          <w:ilvl w:val="1"/>
          <w:numId w:val="162"/>
        </w:numPr>
        <w:suppressAutoHyphens w:val="0"/>
        <w:ind w:left="851" w:right="900" w:firstLine="709"/>
        <w:contextualSpacing/>
        <w:jc w:val="both"/>
        <w:rPr>
          <w:sz w:val="22"/>
          <w:szCs w:val="22"/>
        </w:rPr>
      </w:pPr>
      <w:r w:rsidRPr="00990FB6">
        <w:rPr>
          <w:sz w:val="22"/>
          <w:szCs w:val="22"/>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63C75531" w14:textId="77777777" w:rsidR="00B15F7D" w:rsidRPr="00990FB6" w:rsidRDefault="00B15F7D" w:rsidP="00B15F7D">
      <w:pPr>
        <w:suppressAutoHyphens w:val="0"/>
        <w:ind w:left="851" w:right="900"/>
        <w:contextualSpacing/>
        <w:jc w:val="both"/>
        <w:rPr>
          <w:sz w:val="22"/>
          <w:szCs w:val="22"/>
        </w:rPr>
      </w:pPr>
    </w:p>
    <w:p w14:paraId="711C2CC9" w14:textId="77777777" w:rsidR="00B15F7D" w:rsidRPr="00990FB6" w:rsidRDefault="00B15F7D" w:rsidP="00B15F7D">
      <w:pPr>
        <w:numPr>
          <w:ilvl w:val="1"/>
          <w:numId w:val="162"/>
        </w:numPr>
        <w:suppressAutoHyphens w:val="0"/>
        <w:ind w:left="851" w:right="900" w:firstLine="709"/>
        <w:contextualSpacing/>
        <w:jc w:val="both"/>
        <w:rPr>
          <w:sz w:val="22"/>
          <w:szCs w:val="22"/>
        </w:rPr>
      </w:pPr>
      <w:r w:rsidRPr="00990FB6">
        <w:rPr>
          <w:sz w:val="22"/>
          <w:szCs w:val="22"/>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0EF221D" w14:textId="77777777" w:rsidR="00B15F7D" w:rsidRPr="00990FB6" w:rsidRDefault="00B15F7D" w:rsidP="00B15F7D">
      <w:pPr>
        <w:suppressAutoHyphens w:val="0"/>
        <w:ind w:left="851" w:right="900"/>
        <w:contextualSpacing/>
        <w:jc w:val="both"/>
        <w:rPr>
          <w:sz w:val="22"/>
          <w:szCs w:val="22"/>
        </w:rPr>
      </w:pPr>
    </w:p>
    <w:p w14:paraId="50FC9F8E" w14:textId="77777777" w:rsidR="00B15F7D" w:rsidRPr="00990FB6" w:rsidRDefault="00B15F7D" w:rsidP="00B15F7D">
      <w:pPr>
        <w:numPr>
          <w:ilvl w:val="1"/>
          <w:numId w:val="162"/>
        </w:numPr>
        <w:suppressAutoHyphens w:val="0"/>
        <w:ind w:left="851" w:right="900" w:firstLine="709"/>
        <w:contextualSpacing/>
        <w:jc w:val="both"/>
        <w:rPr>
          <w:sz w:val="22"/>
          <w:szCs w:val="22"/>
        </w:rPr>
      </w:pPr>
      <w:r w:rsidRPr="00990FB6">
        <w:rPr>
          <w:sz w:val="22"/>
          <w:szCs w:val="22"/>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0681EF71" w14:textId="77777777" w:rsidR="00B15F7D" w:rsidRPr="00990FB6" w:rsidRDefault="00B15F7D" w:rsidP="00B15F7D">
      <w:pPr>
        <w:suppressAutoHyphens w:val="0"/>
        <w:ind w:left="851" w:right="900"/>
        <w:contextualSpacing/>
        <w:jc w:val="both"/>
        <w:rPr>
          <w:sz w:val="22"/>
          <w:szCs w:val="22"/>
        </w:rPr>
      </w:pPr>
    </w:p>
    <w:p w14:paraId="41CB8842"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En cuanto el análisis de Indicadores de Gestión de los Juzgados Agrarios especializados, para el 2022 hubo una leve disminución en el ingreso de cargas de trabajo, para el 2021 es de un promedio anual 35 asuntos y para el 2022 de 24 asuntos. El comportamiento de los casos terminados disminuyó, en promedio mensual en el 2021 fue de 30 asuntos y para el 2022 fue de 24 casos. </w:t>
      </w:r>
    </w:p>
    <w:p w14:paraId="38372D62" w14:textId="77777777" w:rsidR="00B15F7D" w:rsidRPr="00990FB6" w:rsidRDefault="00B15F7D" w:rsidP="00B15F7D">
      <w:pPr>
        <w:suppressAutoHyphens w:val="0"/>
        <w:ind w:left="851" w:right="900"/>
        <w:contextualSpacing/>
        <w:jc w:val="both"/>
        <w:rPr>
          <w:sz w:val="22"/>
          <w:szCs w:val="22"/>
        </w:rPr>
      </w:pPr>
    </w:p>
    <w:p w14:paraId="37D4E789"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lastRenderedPageBreak/>
        <w:t>Los Juzgados Agrarios de Santa Cruz, Pérez Zeledón y Limón actualmente son considerados como los de mayor ingreso por plaza de Jueza o Juez, ya que, muestran porcentajes entre el 37% y el 26% respectivamente, más que la media nacional (20).</w:t>
      </w:r>
    </w:p>
    <w:p w14:paraId="7DC351ED" w14:textId="77777777" w:rsidR="00B15F7D" w:rsidRPr="00990FB6" w:rsidRDefault="00B15F7D" w:rsidP="00B15F7D">
      <w:pPr>
        <w:suppressAutoHyphens w:val="0"/>
        <w:ind w:left="851" w:right="900"/>
        <w:contextualSpacing/>
        <w:jc w:val="both"/>
        <w:rPr>
          <w:sz w:val="22"/>
          <w:szCs w:val="22"/>
        </w:rPr>
      </w:pPr>
    </w:p>
    <w:p w14:paraId="492AE529"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El circulante a nivel de los Juzgados Agrarios especializados, experimentó un aumento de 339 expedientes en 2022, en relación con el año que le antecede. </w:t>
      </w:r>
    </w:p>
    <w:p w14:paraId="0DA63DAC" w14:textId="77777777" w:rsidR="00B15F7D" w:rsidRPr="00990FB6" w:rsidRDefault="00B15F7D" w:rsidP="00B15F7D">
      <w:pPr>
        <w:suppressAutoHyphens w:val="0"/>
        <w:ind w:left="851" w:right="900"/>
        <w:contextualSpacing/>
        <w:jc w:val="both"/>
        <w:rPr>
          <w:sz w:val="22"/>
          <w:szCs w:val="22"/>
        </w:rPr>
      </w:pPr>
    </w:p>
    <w:p w14:paraId="3D98B8EA"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Algunos despachos han logrado disminuir el plazo de espera para el dictado de sentencia, con la excepción del Juzgado Agrario de Liberia, Goicoechea que corresponden a despachos donde ese plazo aumentó considerablemente con respecto al 2021. </w:t>
      </w:r>
    </w:p>
    <w:p w14:paraId="26FAC326" w14:textId="77777777" w:rsidR="00B15F7D" w:rsidRPr="00990FB6" w:rsidRDefault="00B15F7D" w:rsidP="00B15F7D">
      <w:pPr>
        <w:suppressAutoHyphens w:val="0"/>
        <w:ind w:left="851" w:right="900"/>
        <w:contextualSpacing/>
        <w:jc w:val="both"/>
        <w:rPr>
          <w:sz w:val="22"/>
          <w:szCs w:val="22"/>
        </w:rPr>
      </w:pPr>
    </w:p>
    <w:p w14:paraId="7D1D4FFC"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El 42% de los Juzgados Agrarios especializados disminuyeron el plazo para la atención de demandas nuevas para el 2022, tal como se mencionó líneas atrás, incluso, sus promedios indica que se encuentran dentro de los parámetros establecidos (5 a 7 días), con excepción del Juzgado Agrario de Liberia, Pérez Zeledón y Santa Cruz</w:t>
      </w:r>
    </w:p>
    <w:p w14:paraId="689265D0" w14:textId="77777777" w:rsidR="00B15F7D" w:rsidRPr="00990FB6" w:rsidRDefault="00B15F7D" w:rsidP="00B15F7D">
      <w:pPr>
        <w:ind w:left="851" w:right="900"/>
        <w:rPr>
          <w:sz w:val="22"/>
          <w:szCs w:val="22"/>
        </w:rPr>
      </w:pPr>
    </w:p>
    <w:p w14:paraId="5358D2B9"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Se observa que para el 2022, este indicador sufrió un aumento considerable en varias oficinas, ya que se puede evidenciar plazos promedios de hasta 1182 días, como es en el caso de San Ramón, 1113 días en San Carlos, 832 días en Santa Cruz, 630 días en Limón y 532 días en Cartago.  </w:t>
      </w:r>
    </w:p>
    <w:p w14:paraId="1198EE35" w14:textId="77777777" w:rsidR="00B15F7D" w:rsidRPr="00990FB6" w:rsidRDefault="00B15F7D" w:rsidP="00B15F7D">
      <w:pPr>
        <w:suppressAutoHyphens w:val="0"/>
        <w:ind w:left="851" w:right="900"/>
        <w:contextualSpacing/>
        <w:jc w:val="both"/>
        <w:rPr>
          <w:sz w:val="22"/>
          <w:szCs w:val="22"/>
        </w:rPr>
      </w:pPr>
    </w:p>
    <w:p w14:paraId="32F7296B"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El Juzgado de Limón tuvo un aumento considerable en la cantidad de audiencias pendientes de realizar, ya que para el 2021, se obtuvo un promedio mensual de 364 señalamientos pendientes y para 2022 aumentó a 598 casos en promedio, es decir una elevación del 64%. Cartago y Pérez Zeledón tuvieron aumentos de este plazo entre los 22 y 20 días respectivamente. Se destaca la disminución lograda en el Juzgado de Pococí el cuál logró bajar la cantidad de este indicador 213 asuntos para el 2022 con respecto al 2021, es decir un 83%.</w:t>
      </w:r>
    </w:p>
    <w:p w14:paraId="4EFCB042" w14:textId="77777777" w:rsidR="00B15F7D" w:rsidRPr="00990FB6" w:rsidRDefault="00B15F7D" w:rsidP="00B15F7D">
      <w:pPr>
        <w:ind w:left="851" w:right="900" w:firstLine="709"/>
        <w:contextualSpacing/>
        <w:rPr>
          <w:sz w:val="22"/>
          <w:szCs w:val="22"/>
        </w:rPr>
      </w:pPr>
    </w:p>
    <w:p w14:paraId="4F02AB44"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Para el final del periodo 2022, los Juzgados Agrarios especializados contó con un pendiente de fallo de 470 expedientes en total.</w:t>
      </w:r>
    </w:p>
    <w:p w14:paraId="347140FF" w14:textId="77777777" w:rsidR="00B15F7D" w:rsidRPr="00990FB6" w:rsidRDefault="00B15F7D" w:rsidP="00B15F7D">
      <w:pPr>
        <w:suppressAutoHyphens w:val="0"/>
        <w:ind w:left="851" w:right="900"/>
        <w:contextualSpacing/>
        <w:jc w:val="both"/>
        <w:rPr>
          <w:sz w:val="22"/>
          <w:szCs w:val="22"/>
        </w:rPr>
      </w:pPr>
    </w:p>
    <w:p w14:paraId="77D742B0"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La cantidad de escritos pendientes de resolver para el 2022, aumentó con relación al 2021 ya que pasó de 1.739 escritos pendientes entre todos los despachos especializados a 1.906, tuvo un aumento de 167 escritos. </w:t>
      </w:r>
    </w:p>
    <w:p w14:paraId="182641CA" w14:textId="77777777" w:rsidR="00B15F7D" w:rsidRPr="00990FB6" w:rsidRDefault="00B15F7D" w:rsidP="00B15F7D">
      <w:pPr>
        <w:suppressAutoHyphens w:val="0"/>
        <w:ind w:left="851" w:right="900"/>
        <w:contextualSpacing/>
        <w:jc w:val="both"/>
        <w:rPr>
          <w:sz w:val="22"/>
          <w:szCs w:val="22"/>
        </w:rPr>
      </w:pPr>
    </w:p>
    <w:p w14:paraId="0EB6B2EF"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Los 12 Juzgados Agrarios mantienen para el 2022 una cantidad aceptable de demandas nuevas pendientes, los cuales no sobrepasan la cantidad de 6, lo cual es aspecto positivo.</w:t>
      </w:r>
    </w:p>
    <w:p w14:paraId="11FB386B" w14:textId="77777777" w:rsidR="00B15F7D" w:rsidRPr="00990FB6" w:rsidRDefault="00B15F7D" w:rsidP="00B15F7D">
      <w:pPr>
        <w:suppressAutoHyphens w:val="0"/>
        <w:ind w:left="851" w:right="900"/>
        <w:contextualSpacing/>
        <w:jc w:val="both"/>
        <w:rPr>
          <w:sz w:val="22"/>
          <w:szCs w:val="22"/>
        </w:rPr>
      </w:pPr>
    </w:p>
    <w:p w14:paraId="6DB0202F"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Para el 2022 se obtuvo un promedio de 11 casos terminados por persona juzgadora, de los cuales el 39% equivalen a Sentencias Dictadas y 61% a otros motivos de término.</w:t>
      </w:r>
    </w:p>
    <w:p w14:paraId="18CF9793" w14:textId="77777777" w:rsidR="00B15F7D" w:rsidRPr="00990FB6" w:rsidRDefault="00B15F7D" w:rsidP="00B15F7D">
      <w:pPr>
        <w:suppressAutoHyphens w:val="0"/>
        <w:ind w:left="851" w:right="900"/>
        <w:contextualSpacing/>
        <w:jc w:val="both"/>
        <w:rPr>
          <w:sz w:val="22"/>
          <w:szCs w:val="22"/>
        </w:rPr>
      </w:pPr>
    </w:p>
    <w:p w14:paraId="6EF6967A"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lastRenderedPageBreak/>
        <w:t>En el caso de los Indicadores de Gestión de los Juzgados de naturaleza mixta (Buenos Aires, Upala y Turrialba), el Juzgado de Upala predomina con números mayores en cada uno de los indicadores en comparación con su homólogo de Buenos Aires.</w:t>
      </w:r>
    </w:p>
    <w:p w14:paraId="04F7A961" w14:textId="77777777" w:rsidR="00B15F7D" w:rsidRPr="00990FB6" w:rsidRDefault="00B15F7D" w:rsidP="00B15F7D">
      <w:pPr>
        <w:suppressAutoHyphens w:val="0"/>
        <w:ind w:left="851" w:right="900"/>
        <w:contextualSpacing/>
        <w:jc w:val="both"/>
        <w:rPr>
          <w:sz w:val="22"/>
          <w:szCs w:val="22"/>
        </w:rPr>
      </w:pPr>
    </w:p>
    <w:p w14:paraId="2C29A6D0"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En el caso de Upala, en el informe 656-PLA-RH-MI-2020 “Impacto Organizacional y Presupuestario en el Poder Judicial en caso de aprobarse el proyecto de Ley denominado Código Procesal de Familia” para el 2021, se recomienda a la persona juzgadora que atiende las materias de Agrario y Penal Juvenil atienda sólo la materia de Agrario, la persona juzgadora que atiende la materia de Violencia Doméstica atienda las materias de Violencia Doméstica y Penal Juvenil, aprobado por el Consejo Superior en sesión 45-2020 celebrada el 8 de mayo de 2020, artículo XIX.</w:t>
      </w:r>
    </w:p>
    <w:p w14:paraId="54F1325B" w14:textId="77777777" w:rsidR="00B15F7D" w:rsidRPr="00990FB6" w:rsidRDefault="00B15F7D" w:rsidP="00B15F7D">
      <w:pPr>
        <w:ind w:left="851" w:right="900" w:firstLine="709"/>
        <w:contextualSpacing/>
        <w:rPr>
          <w:sz w:val="22"/>
          <w:szCs w:val="22"/>
        </w:rPr>
      </w:pPr>
    </w:p>
    <w:p w14:paraId="4425C11F"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La especialización de la materia agraria en el Cantón de Upala con una estructura mínima reforzada en el Juzgado Mixto conformada por dos (2) plazas de Jueza o Juez (una (1) de esta ya se tiene con materia Agraria y la otra sería plaza nueva ordinaria para materia Agraria). Realizando un análisis de competencia territorial se determina que por un tema de acceso es mejor conservar la actual competencia de dicho despacho.</w:t>
      </w:r>
    </w:p>
    <w:p w14:paraId="776EA9F6" w14:textId="77777777" w:rsidR="00B15F7D" w:rsidRPr="00990FB6" w:rsidRDefault="00B15F7D" w:rsidP="00B15F7D">
      <w:pPr>
        <w:suppressAutoHyphens w:val="0"/>
        <w:ind w:left="851" w:right="900"/>
        <w:contextualSpacing/>
        <w:jc w:val="both"/>
        <w:rPr>
          <w:sz w:val="22"/>
          <w:szCs w:val="22"/>
        </w:rPr>
      </w:pPr>
    </w:p>
    <w:p w14:paraId="6B7B2B31"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La necesidad de creación de una plaza adicional de Técnico Judicial 2, para completar la estructura de trabajo del Juzgado Civil, Trabajo y Familia de Buenos Aires será trasladada del Tribunal Colegiado de Primera Instancia Civil de Pérez Zeledón, debido a un análisis de cargas de trabajo que realiza la Dirección de Planificación en la materia Civil.</w:t>
      </w:r>
    </w:p>
    <w:p w14:paraId="6F34D522" w14:textId="77777777" w:rsidR="00B15F7D" w:rsidRPr="00990FB6" w:rsidRDefault="00B15F7D" w:rsidP="00B15F7D">
      <w:pPr>
        <w:suppressAutoHyphens w:val="0"/>
        <w:ind w:left="851" w:right="900"/>
        <w:contextualSpacing/>
        <w:jc w:val="both"/>
        <w:rPr>
          <w:sz w:val="22"/>
          <w:szCs w:val="22"/>
        </w:rPr>
      </w:pPr>
    </w:p>
    <w:p w14:paraId="58E16D90"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El Tribunal Agrario ha sido irregular desde la implementación de los Indicadores de Gestión, con entradas de carga de trabajo que oscilan entre los 70 y 136 casos al mes. En cuanto a los casos terminados, lograron terminar un promedio de 109 asuntos al mes. El circulante para finales del 2022, se contó con un circulante de 171 expedientes.</w:t>
      </w:r>
    </w:p>
    <w:p w14:paraId="5B352306" w14:textId="77777777" w:rsidR="00B15F7D" w:rsidRPr="00990FB6" w:rsidRDefault="00B15F7D" w:rsidP="00B15F7D">
      <w:pPr>
        <w:suppressAutoHyphens w:val="0"/>
        <w:ind w:left="851" w:right="900"/>
        <w:contextualSpacing/>
        <w:jc w:val="both"/>
        <w:rPr>
          <w:sz w:val="22"/>
          <w:szCs w:val="22"/>
        </w:rPr>
      </w:pPr>
    </w:p>
    <w:p w14:paraId="208D84BC"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Los indicadores de plazos en el Tribunal han experimentado aumentos en determinados períodos. El plazo para la atención de escritos presentó un aumento, ya que pasó de 12 días de espera en enero a 25 días de espera en diciembre 2022. El plazo para dictado de sentencia pasó de 279 días de espera en enero a 364 días en diciembre 2022 y el Plazo de espera de expediente votado más antiguo pendiente de firmar la sentencia, esta oficina posee excelentes números, al mantener en cero (0) días plazo.</w:t>
      </w:r>
    </w:p>
    <w:p w14:paraId="7029D4D2" w14:textId="77777777" w:rsidR="00B15F7D" w:rsidRPr="00990FB6" w:rsidRDefault="00B15F7D" w:rsidP="00B15F7D">
      <w:pPr>
        <w:suppressAutoHyphens w:val="0"/>
        <w:ind w:left="851" w:right="900"/>
        <w:contextualSpacing/>
        <w:jc w:val="both"/>
        <w:rPr>
          <w:sz w:val="22"/>
          <w:szCs w:val="22"/>
        </w:rPr>
      </w:pPr>
    </w:p>
    <w:p w14:paraId="0FD662CB"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El Tribunal Agrario para el 2022 tuvo un promedio mensual de 161 expedientes pendientes de fallo.</w:t>
      </w:r>
    </w:p>
    <w:p w14:paraId="2E98CBCE" w14:textId="77777777" w:rsidR="00B15F7D" w:rsidRPr="00990FB6" w:rsidRDefault="00B15F7D" w:rsidP="00B15F7D">
      <w:pPr>
        <w:suppressAutoHyphens w:val="0"/>
        <w:ind w:left="851" w:right="900"/>
        <w:contextualSpacing/>
        <w:jc w:val="both"/>
        <w:rPr>
          <w:sz w:val="22"/>
          <w:szCs w:val="22"/>
        </w:rPr>
      </w:pPr>
    </w:p>
    <w:p w14:paraId="36CF714F"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 xml:space="preserve">La cantidad de expedientes enviados a estudio por Técnica o Técnico Judicial al personal juzgador tiene un promedio de 106 casos mensuales, lo cual refleja un promedio de 35 casos por persona técnica judicial al mes. </w:t>
      </w:r>
    </w:p>
    <w:p w14:paraId="4F3AA483" w14:textId="77777777" w:rsidR="00B15F7D" w:rsidRPr="00990FB6" w:rsidRDefault="00B15F7D" w:rsidP="00B15F7D">
      <w:pPr>
        <w:suppressAutoHyphens w:val="0"/>
        <w:ind w:left="851" w:right="900"/>
        <w:contextualSpacing/>
        <w:jc w:val="both"/>
        <w:rPr>
          <w:sz w:val="22"/>
          <w:szCs w:val="22"/>
        </w:rPr>
      </w:pPr>
    </w:p>
    <w:p w14:paraId="17C61401"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lastRenderedPageBreak/>
        <w:t xml:space="preserve">El nuevo Juzgado Agrario de Puntarenas, sede Jicaral, según acuerdo del Consejo Superior en sesión </w:t>
      </w:r>
      <w:proofErr w:type="spellStart"/>
      <w:r w:rsidRPr="00990FB6">
        <w:rPr>
          <w:sz w:val="22"/>
          <w:szCs w:val="22"/>
        </w:rPr>
        <w:t>N°</w:t>
      </w:r>
      <w:proofErr w:type="spellEnd"/>
      <w:r w:rsidRPr="00990FB6">
        <w:rPr>
          <w:sz w:val="22"/>
          <w:szCs w:val="22"/>
        </w:rPr>
        <w:t xml:space="preserve"> 15-2021 celebrada el 23 de febrero de 2021, se acordó que el despacho iniciaba su funcionamiento el 03 de mayo del 2021, a competencia territorial de este nuevo Juzgado, se definió en la circular N°238-2020. El nuevo Juzgado conforme al Modelo de Sostenibilidad Institucional, fue capacitada, tiene conformada el equipo de mejora y cuenta con la matriz de indicadores de gestión, además, actualmente está bajo el seguimiento de la Administración Regional de Nicoya y el Centro de Apoyo, Coordinación y Mejoramiento de la Función Jurisdiccional.</w:t>
      </w:r>
    </w:p>
    <w:p w14:paraId="24FA18BF" w14:textId="77777777" w:rsidR="00B15F7D" w:rsidRPr="00990FB6" w:rsidRDefault="00B15F7D" w:rsidP="00B15F7D">
      <w:pPr>
        <w:ind w:left="851" w:right="900" w:firstLine="709"/>
        <w:contextualSpacing/>
        <w:rPr>
          <w:sz w:val="22"/>
          <w:szCs w:val="22"/>
        </w:rPr>
      </w:pPr>
    </w:p>
    <w:p w14:paraId="29941B93"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No es posible proyectar la carga de trabajo que tendrán los Juzgados Agrarios una vez entrada en vigencia el Código Procesal Agrario, ya que adquirirán competencia sobre los procesos Sucesorios de naturaleza agrícola en materia Civil y los Cobratorios con garantías Agrarias. No se cuenta con la mejora a nivel de los sistemas para determinar las cargas de trabajo, no se podrá realizar el muestreo para definir una posible proyección de los posibles asuntos que puedan ingresar a la jurisdicción agraria producto de la entrada en vigencia del nuevo código procesal agrario.</w:t>
      </w:r>
    </w:p>
    <w:p w14:paraId="31F2951E" w14:textId="77777777" w:rsidR="00B15F7D" w:rsidRPr="00990FB6" w:rsidRDefault="00B15F7D" w:rsidP="00B15F7D">
      <w:pPr>
        <w:suppressAutoHyphens w:val="0"/>
        <w:ind w:left="851" w:right="900"/>
        <w:contextualSpacing/>
        <w:jc w:val="both"/>
        <w:rPr>
          <w:sz w:val="22"/>
          <w:szCs w:val="22"/>
        </w:rPr>
      </w:pPr>
    </w:p>
    <w:p w14:paraId="424F7B03"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El circulante por clase de asunto a nivel nacional entre los Juzgados Agrarios, está mayormente compuesto por casos ordinarios con un 37% seguidamente de Informaciones Posesorias con un 32%, otros 14%, interdictos de amparo con un 10%, y Monitorios 3%; en otros se encuentran los asuntos no contenciosos de Localización de Derechos, Sumario de Derribo, Ejecución Hipotecaria, entre otros.</w:t>
      </w:r>
    </w:p>
    <w:p w14:paraId="7E2EF721" w14:textId="77777777" w:rsidR="00B15F7D" w:rsidRPr="00990FB6" w:rsidRDefault="00B15F7D" w:rsidP="00B15F7D">
      <w:pPr>
        <w:suppressAutoHyphens w:val="0"/>
        <w:ind w:left="851" w:right="900"/>
        <w:contextualSpacing/>
        <w:jc w:val="both"/>
        <w:rPr>
          <w:sz w:val="22"/>
          <w:szCs w:val="22"/>
        </w:rPr>
      </w:pPr>
    </w:p>
    <w:p w14:paraId="6ACBB368" w14:textId="77777777" w:rsidR="00B15F7D" w:rsidRPr="00990FB6" w:rsidRDefault="00B15F7D" w:rsidP="00B15F7D">
      <w:pPr>
        <w:numPr>
          <w:ilvl w:val="0"/>
          <w:numId w:val="162"/>
        </w:numPr>
        <w:suppressAutoHyphens w:val="0"/>
        <w:ind w:left="851" w:right="900" w:firstLine="709"/>
        <w:contextualSpacing/>
        <w:jc w:val="both"/>
        <w:rPr>
          <w:sz w:val="22"/>
          <w:szCs w:val="22"/>
        </w:rPr>
      </w:pPr>
      <w:r w:rsidRPr="00990FB6">
        <w:rPr>
          <w:sz w:val="22"/>
          <w:szCs w:val="22"/>
        </w:rPr>
        <w:t>El circulante a nivel nacional se encuentra en un 53% en fase de Demanda, seguido de un 29% en fase Demostrativa, un 13% en Conclusiva, en Ejecución con un 5% y 0,30% en fase de sin fase asignada.</w:t>
      </w:r>
    </w:p>
    <w:p w14:paraId="23AE97E4" w14:textId="77777777" w:rsidR="00B15F7D" w:rsidRPr="00990FB6" w:rsidRDefault="00B15F7D" w:rsidP="00B15F7D">
      <w:pPr>
        <w:keepNext/>
        <w:keepLines/>
        <w:ind w:left="851" w:right="900"/>
        <w:rPr>
          <w:b/>
          <w:bCs/>
          <w:sz w:val="22"/>
          <w:szCs w:val="22"/>
          <w:u w:val="single"/>
          <w:lang w:val="es-CR"/>
        </w:rPr>
      </w:pPr>
    </w:p>
    <w:p w14:paraId="7C05CA16" w14:textId="77777777" w:rsidR="00B15F7D" w:rsidRPr="00990FB6" w:rsidRDefault="00B15F7D" w:rsidP="00B15F7D">
      <w:pPr>
        <w:keepNext/>
        <w:keepLines/>
        <w:ind w:left="851" w:right="900" w:firstLine="709"/>
        <w:rPr>
          <w:b/>
          <w:bCs/>
          <w:sz w:val="22"/>
          <w:szCs w:val="22"/>
          <w:u w:val="single"/>
        </w:rPr>
      </w:pPr>
      <w:r w:rsidRPr="00990FB6">
        <w:rPr>
          <w:b/>
          <w:bCs/>
          <w:sz w:val="22"/>
          <w:szCs w:val="22"/>
          <w:u w:val="single"/>
        </w:rPr>
        <w:t>20. Recomendaciones</w:t>
      </w:r>
      <w:bookmarkEnd w:id="27"/>
      <w:r w:rsidRPr="00990FB6">
        <w:rPr>
          <w:b/>
          <w:bCs/>
          <w:sz w:val="22"/>
          <w:szCs w:val="22"/>
          <w:u w:val="single"/>
        </w:rPr>
        <w:t xml:space="preserve"> </w:t>
      </w:r>
    </w:p>
    <w:p w14:paraId="05269A0B" w14:textId="77777777" w:rsidR="00B15F7D" w:rsidRPr="00990FB6" w:rsidRDefault="00B15F7D" w:rsidP="00B15F7D">
      <w:pPr>
        <w:keepNext/>
        <w:keepLines/>
        <w:ind w:left="851" w:right="900" w:firstLine="709"/>
        <w:rPr>
          <w:sz w:val="22"/>
          <w:szCs w:val="22"/>
        </w:rPr>
      </w:pPr>
    </w:p>
    <w:p w14:paraId="34F048C7" w14:textId="77777777" w:rsidR="00B15F7D" w:rsidRPr="00990FB6" w:rsidRDefault="00B15F7D" w:rsidP="00B15F7D">
      <w:pPr>
        <w:ind w:left="851" w:right="900" w:firstLine="709"/>
        <w:jc w:val="both"/>
        <w:rPr>
          <w:sz w:val="22"/>
          <w:szCs w:val="22"/>
        </w:rPr>
      </w:pPr>
      <w:r w:rsidRPr="00990FB6">
        <w:rPr>
          <w:sz w:val="22"/>
          <w:szCs w:val="22"/>
        </w:rPr>
        <w:t>A continuación, se presenta la propuesta por parte de la Dirección de Planificación en relación con los costos de implementación de la Ley 9609 “Código Procesal Agrario”</w:t>
      </w:r>
    </w:p>
    <w:p w14:paraId="0124B74A" w14:textId="77777777" w:rsidR="00B15F7D" w:rsidRPr="00990FB6" w:rsidRDefault="00B15F7D" w:rsidP="00B15F7D">
      <w:pPr>
        <w:ind w:left="851" w:right="900" w:firstLine="709"/>
        <w:rPr>
          <w:sz w:val="22"/>
          <w:szCs w:val="22"/>
        </w:rPr>
      </w:pPr>
    </w:p>
    <w:p w14:paraId="78983FD0" w14:textId="77777777" w:rsidR="00B15F7D" w:rsidRPr="00990FB6" w:rsidRDefault="00B15F7D" w:rsidP="00B15F7D">
      <w:pPr>
        <w:keepNext/>
        <w:keepLines/>
        <w:ind w:left="851" w:right="900" w:firstLine="709"/>
        <w:rPr>
          <w:sz w:val="22"/>
          <w:szCs w:val="22"/>
        </w:rPr>
      </w:pPr>
      <w:bookmarkStart w:id="28" w:name="_Toc132639578"/>
      <w:r w:rsidRPr="00990FB6">
        <w:rPr>
          <w:sz w:val="22"/>
          <w:szCs w:val="22"/>
        </w:rPr>
        <w:t>A Corte Plena</w:t>
      </w:r>
      <w:bookmarkEnd w:id="28"/>
    </w:p>
    <w:p w14:paraId="03D4F5AB" w14:textId="77777777" w:rsidR="00B15F7D" w:rsidRPr="00990FB6" w:rsidRDefault="00B15F7D" w:rsidP="00B15F7D">
      <w:pPr>
        <w:keepNext/>
        <w:keepLines/>
        <w:ind w:left="851" w:right="900" w:firstLine="709"/>
        <w:rPr>
          <w:sz w:val="22"/>
          <w:szCs w:val="22"/>
        </w:rPr>
      </w:pPr>
    </w:p>
    <w:p w14:paraId="1BE15DBE" w14:textId="77777777" w:rsidR="00B15F7D" w:rsidRPr="00990FB6" w:rsidRDefault="00B15F7D" w:rsidP="00B15F7D">
      <w:pPr>
        <w:keepNext/>
        <w:keepLines/>
        <w:ind w:left="851" w:right="900" w:firstLine="709"/>
        <w:rPr>
          <w:sz w:val="22"/>
          <w:szCs w:val="22"/>
        </w:rPr>
      </w:pPr>
      <w:bookmarkStart w:id="29" w:name="_Toc132639579"/>
      <w:r w:rsidRPr="00990FB6">
        <w:rPr>
          <w:sz w:val="22"/>
          <w:szCs w:val="22"/>
        </w:rPr>
        <w:t>20.1 Propuesta</w:t>
      </w:r>
      <w:bookmarkEnd w:id="29"/>
    </w:p>
    <w:p w14:paraId="2FD5F37A" w14:textId="77777777" w:rsidR="00B15F7D" w:rsidRPr="00990FB6" w:rsidRDefault="00B15F7D" w:rsidP="00B15F7D">
      <w:pPr>
        <w:keepNext/>
        <w:keepLines/>
        <w:ind w:left="851" w:right="900" w:firstLine="709"/>
        <w:rPr>
          <w:sz w:val="22"/>
          <w:szCs w:val="22"/>
        </w:rPr>
      </w:pPr>
    </w:p>
    <w:p w14:paraId="3DEA64AA" w14:textId="77777777" w:rsidR="00B15F7D" w:rsidRPr="00990FB6" w:rsidRDefault="00B15F7D" w:rsidP="00B15F7D">
      <w:pPr>
        <w:ind w:left="851" w:right="900" w:firstLine="709"/>
        <w:jc w:val="both"/>
        <w:rPr>
          <w:sz w:val="22"/>
          <w:szCs w:val="22"/>
        </w:rPr>
      </w:pPr>
      <w:r w:rsidRPr="00990FB6">
        <w:rPr>
          <w:sz w:val="22"/>
          <w:szCs w:val="22"/>
        </w:rPr>
        <w:t xml:space="preserve">En virtud de que recientemente se aprobó la vacancia de la entrada  en vigencia del Nuevo Código Procesal Agrario, Ley 9609 para febrero 2025,  dadas las condiciones presupuestarias actuales, se estima que no era el momento oportuno para su puesta en marcha, dado que la eventual implicación de necesidades asociadas a recurso humano, tecnológico y otros, incluidos en el presente informe,  a la fecha no ha podido ser cubiertas por las limitaciones presupuestarias, lo cual se ha identificado institucionalmente con las medidas de contención del gasto. Adicional a la recomendación anterior y reforzando la valoración que debe realizar la Corte Plena, se debe tomar en consideración que </w:t>
      </w:r>
      <w:r w:rsidRPr="00990FB6">
        <w:rPr>
          <w:sz w:val="22"/>
          <w:szCs w:val="22"/>
        </w:rPr>
        <w:lastRenderedPageBreak/>
        <w:t>todavía no existe claridad en el impacto que va tener en la entrada de asuntos en los Juzgados Agrarios, ni en la Sala Primera, y no se cuenta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 Igualmente, los despachos que hoy día atienden la materia agraria, según se ha demostrado, no han logrado impulsar la terminación de los expedientes judiciales, lo que se transforma en tener circulantes sumamente antiguos, por lo que, llevar a impulsar aumentar la entrada a estos despachos, solo se traduciría en seguir desmejorando la espera de la resolución de los expedientes judiciales. Aspecto que también se debe considerar para la Sala Primera, ya que la reforma procesal también propone aumentar la entrada de asuntos a la Sala, sin embargo, sus plazos de respuesta son sumamente altos, en comparación con asuntos que hoy atiende el Tribunal, por lo que también se prevé una desmejora en el servicio, al no tener la Sala Primera la capacidad operativa para atender este incremento, por lo que en este plazo de vacancia se deberá trabajar en todos los aspectos mencionados.</w:t>
      </w:r>
    </w:p>
    <w:p w14:paraId="6424A353" w14:textId="77777777" w:rsidR="00B15F7D" w:rsidRPr="00990FB6" w:rsidRDefault="00B15F7D" w:rsidP="00B15F7D">
      <w:pPr>
        <w:ind w:left="851" w:right="900" w:firstLine="709"/>
        <w:rPr>
          <w:sz w:val="22"/>
          <w:szCs w:val="22"/>
        </w:rPr>
      </w:pPr>
    </w:p>
    <w:p w14:paraId="6C9A91A0" w14:textId="77777777" w:rsidR="00B15F7D" w:rsidRPr="00990FB6" w:rsidRDefault="00B15F7D" w:rsidP="00B15F7D">
      <w:pPr>
        <w:keepNext/>
        <w:widowControl w:val="0"/>
        <w:ind w:left="851" w:right="900" w:firstLine="709"/>
        <w:jc w:val="both"/>
        <w:rPr>
          <w:b/>
          <w:sz w:val="22"/>
          <w:szCs w:val="22"/>
          <w:lang w:val="es-MX" w:eastAsia="es-ES"/>
        </w:rPr>
      </w:pPr>
      <w:bookmarkStart w:id="30" w:name="_Toc132639580"/>
      <w:r w:rsidRPr="00990FB6">
        <w:rPr>
          <w:b/>
          <w:sz w:val="22"/>
          <w:szCs w:val="22"/>
          <w:lang w:val="es-MX" w:eastAsia="es-ES"/>
        </w:rPr>
        <w:t>20.1.1 Recurso Humano</w:t>
      </w:r>
      <w:bookmarkEnd w:id="30"/>
    </w:p>
    <w:p w14:paraId="00D1853D" w14:textId="77777777" w:rsidR="00B15F7D" w:rsidRPr="00990FB6" w:rsidRDefault="00B15F7D" w:rsidP="00B15F7D">
      <w:pPr>
        <w:keepNext/>
        <w:widowControl w:val="0"/>
        <w:ind w:left="851" w:right="900" w:firstLine="709"/>
        <w:jc w:val="both"/>
        <w:rPr>
          <w:b/>
          <w:sz w:val="22"/>
          <w:szCs w:val="22"/>
          <w:lang w:val="es-MX" w:eastAsia="es-ES"/>
        </w:rPr>
      </w:pPr>
    </w:p>
    <w:p w14:paraId="00F12E09" w14:textId="77777777" w:rsidR="00B15F7D" w:rsidRPr="00990FB6" w:rsidRDefault="00B15F7D" w:rsidP="00B15F7D">
      <w:pPr>
        <w:ind w:left="851" w:right="900" w:firstLine="709"/>
        <w:jc w:val="both"/>
        <w:rPr>
          <w:sz w:val="22"/>
          <w:szCs w:val="22"/>
        </w:rPr>
      </w:pPr>
      <w:r w:rsidRPr="00990FB6">
        <w:rPr>
          <w:sz w:val="22"/>
          <w:szCs w:val="22"/>
        </w:rPr>
        <w:t xml:space="preserve">De acuerdo con el análisis de las cargas de trabajo de los despachos abordados, los antecedentes de los informes de presupuesto de los períodos anteriores y demás gestiones presentadas para esta materia, se determina la siguiente necesidad de recurso humano al momento: </w:t>
      </w:r>
    </w:p>
    <w:p w14:paraId="3F7FBD94" w14:textId="77777777" w:rsidR="00B15F7D" w:rsidRPr="00990FB6" w:rsidRDefault="00B15F7D" w:rsidP="00B15F7D">
      <w:pPr>
        <w:ind w:left="851" w:right="900" w:firstLine="709"/>
        <w:jc w:val="both"/>
        <w:rPr>
          <w:sz w:val="22"/>
          <w:szCs w:val="22"/>
        </w:rPr>
      </w:pPr>
    </w:p>
    <w:p w14:paraId="22989F7C" w14:textId="77777777" w:rsidR="00B15F7D" w:rsidRPr="00990FB6" w:rsidRDefault="00B15F7D" w:rsidP="00B15F7D">
      <w:pPr>
        <w:numPr>
          <w:ilvl w:val="0"/>
          <w:numId w:val="164"/>
        </w:numPr>
        <w:suppressAutoHyphens w:val="0"/>
        <w:ind w:left="851" w:right="900" w:firstLine="709"/>
        <w:contextualSpacing/>
        <w:jc w:val="both"/>
        <w:rPr>
          <w:sz w:val="22"/>
          <w:szCs w:val="22"/>
        </w:rPr>
      </w:pPr>
      <w:r w:rsidRPr="00990FB6">
        <w:rPr>
          <w:sz w:val="22"/>
          <w:szCs w:val="22"/>
        </w:rPr>
        <w:t xml:space="preserve">Especialización de la materia agraria en el Cantón de Upala con una estructura mínima reforzada en el Juzgado Mixto conformada por dos (2) plazas de Jueza o Juez (una (1) de esta ya se tiene con materia Agraria y la otra sería plaza nueva ordinaria para materia Agraria).  </w:t>
      </w:r>
    </w:p>
    <w:p w14:paraId="542B1291" w14:textId="77777777" w:rsidR="00B15F7D" w:rsidRPr="00990FB6" w:rsidRDefault="00B15F7D" w:rsidP="00B15F7D">
      <w:pPr>
        <w:ind w:left="851" w:right="900" w:firstLine="709"/>
        <w:contextualSpacing/>
        <w:rPr>
          <w:sz w:val="22"/>
          <w:szCs w:val="22"/>
        </w:rPr>
      </w:pPr>
    </w:p>
    <w:p w14:paraId="13741933" w14:textId="77777777" w:rsidR="00B15F7D" w:rsidRPr="00990FB6" w:rsidRDefault="00B15F7D" w:rsidP="00B15F7D">
      <w:pPr>
        <w:numPr>
          <w:ilvl w:val="0"/>
          <w:numId w:val="164"/>
        </w:numPr>
        <w:suppressAutoHyphens w:val="0"/>
        <w:ind w:left="851" w:right="900" w:firstLine="709"/>
        <w:contextualSpacing/>
        <w:jc w:val="both"/>
        <w:rPr>
          <w:sz w:val="22"/>
          <w:szCs w:val="22"/>
        </w:rPr>
      </w:pPr>
      <w:r w:rsidRPr="00990FB6">
        <w:rPr>
          <w:sz w:val="22"/>
          <w:szCs w:val="22"/>
        </w:rPr>
        <w:t xml:space="preserve">La reasignación de cambio de categoría de las siete plazas del Tribunal Agrario, categoría de Juez 4 a Juez 5, lo cual tendría un impacto económico de </w:t>
      </w:r>
      <w:r w:rsidRPr="00990FB6">
        <w:rPr>
          <w:sz w:val="22"/>
          <w:szCs w:val="22"/>
          <w:lang w:eastAsia="es-CR"/>
        </w:rPr>
        <w:t>₡</w:t>
      </w:r>
      <w:r w:rsidRPr="00990FB6">
        <w:rPr>
          <w:sz w:val="22"/>
          <w:szCs w:val="22"/>
        </w:rPr>
        <w:t xml:space="preserve">49.287.000.Tomando nota oficio del N°0021-TA-2022 del 09 de marzo de presente año, el Dr. Enrique Ulate Chacón, Coordinador del Tribunal Agrario, en el cual solicita las recalificaciones las plazas de los jueces y juezas del Tribunal Agrario, pasando de categoría 4 a categoría 5, en acuerdo del Consejo Superior del Poder Judicial, tomado en sesión </w:t>
      </w:r>
      <w:proofErr w:type="spellStart"/>
      <w:r w:rsidRPr="00990FB6">
        <w:rPr>
          <w:sz w:val="22"/>
          <w:szCs w:val="22"/>
        </w:rPr>
        <w:t>N°</w:t>
      </w:r>
      <w:proofErr w:type="spellEnd"/>
      <w:r w:rsidRPr="00990FB6">
        <w:rPr>
          <w:sz w:val="22"/>
          <w:szCs w:val="22"/>
        </w:rPr>
        <w:t xml:space="preserve"> 93-2021 celebrada el 28 de octubre del 2021, artículo XXIIII que dice: “Acoger en todos sus extremos el acuerdo tomado por el Consejo de Personal en sesión ordinaria </w:t>
      </w:r>
      <w:proofErr w:type="spellStart"/>
      <w:r w:rsidRPr="00990FB6">
        <w:rPr>
          <w:sz w:val="22"/>
          <w:szCs w:val="22"/>
        </w:rPr>
        <w:t>N°</w:t>
      </w:r>
      <w:proofErr w:type="spellEnd"/>
      <w:r w:rsidRPr="00990FB6">
        <w:rPr>
          <w:sz w:val="22"/>
          <w:szCs w:val="22"/>
        </w:rPr>
        <w:t xml:space="preserve"> 16-2021 celebrada el 19 de octubre de 2021, artículo VII, comunicado por la máster Roxana Arrieta Meléndez, Directora interina de Gestión Humana, mediante oficio </w:t>
      </w:r>
      <w:proofErr w:type="spellStart"/>
      <w:r w:rsidRPr="00990FB6">
        <w:rPr>
          <w:sz w:val="22"/>
          <w:szCs w:val="22"/>
        </w:rPr>
        <w:t>N°</w:t>
      </w:r>
      <w:proofErr w:type="spellEnd"/>
      <w:r w:rsidRPr="00990FB6">
        <w:rPr>
          <w:sz w:val="22"/>
          <w:szCs w:val="22"/>
        </w:rPr>
        <w:t xml:space="preserve">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2023.</w:t>
      </w:r>
    </w:p>
    <w:p w14:paraId="67F768CE" w14:textId="77777777" w:rsidR="00B15F7D" w:rsidRPr="00990FB6" w:rsidRDefault="00B15F7D" w:rsidP="00B15F7D">
      <w:pPr>
        <w:ind w:left="851" w:right="900" w:firstLine="709"/>
        <w:contextualSpacing/>
        <w:rPr>
          <w:sz w:val="22"/>
          <w:szCs w:val="22"/>
        </w:rPr>
      </w:pPr>
    </w:p>
    <w:p w14:paraId="197C9848" w14:textId="77777777" w:rsidR="00B15F7D" w:rsidRPr="00990FB6" w:rsidRDefault="00B15F7D" w:rsidP="00B15F7D">
      <w:pPr>
        <w:numPr>
          <w:ilvl w:val="0"/>
          <w:numId w:val="164"/>
        </w:numPr>
        <w:suppressAutoHyphens w:val="0"/>
        <w:ind w:left="851" w:right="900" w:firstLine="709"/>
        <w:contextualSpacing/>
        <w:jc w:val="both"/>
        <w:rPr>
          <w:sz w:val="22"/>
          <w:szCs w:val="22"/>
        </w:rPr>
      </w:pPr>
      <w:r w:rsidRPr="00990FB6">
        <w:rPr>
          <w:sz w:val="22"/>
          <w:szCs w:val="22"/>
        </w:rPr>
        <w:lastRenderedPageBreak/>
        <w:t>La asignación de cuatro plazas extraordinarias de Jueza o Juez 3 para ejecutar los planes de trabajo en los despachos que atienden materia Agraria, plazas que estarán a cargo del Centro de Apoyo, Coordinación y Mejoramiento de la Función Jurisdiccional.</w:t>
      </w:r>
    </w:p>
    <w:p w14:paraId="5BEAB5C8" w14:textId="77777777" w:rsidR="00B15F7D" w:rsidRPr="00990FB6" w:rsidRDefault="00B15F7D" w:rsidP="00B15F7D">
      <w:pPr>
        <w:ind w:left="851" w:right="900" w:firstLine="709"/>
        <w:rPr>
          <w:sz w:val="22"/>
          <w:szCs w:val="22"/>
        </w:rPr>
      </w:pPr>
    </w:p>
    <w:p w14:paraId="564C9944" w14:textId="77777777" w:rsidR="00B15F7D" w:rsidRPr="00990FB6" w:rsidRDefault="00B15F7D" w:rsidP="00B15F7D">
      <w:pPr>
        <w:numPr>
          <w:ilvl w:val="0"/>
          <w:numId w:val="164"/>
        </w:numPr>
        <w:suppressAutoHyphens w:val="0"/>
        <w:ind w:left="851" w:right="900" w:firstLine="709"/>
        <w:contextualSpacing/>
        <w:jc w:val="both"/>
        <w:rPr>
          <w:sz w:val="22"/>
          <w:szCs w:val="22"/>
        </w:rPr>
      </w:pPr>
      <w:r w:rsidRPr="00990FB6">
        <w:rPr>
          <w:sz w:val="22"/>
          <w:szCs w:val="22"/>
        </w:rPr>
        <w:t xml:space="preserve">Reforzamiento con choferes en las Administraciones de Puntarenas, Goicoechea, Alajuela, San Ramón, Cartago y Corredores, las cuales contarán este año con un vehículo nuevo, en atención a la recomendación del informe 428-PLA-RH-MI-2021. Mediante el oficio </w:t>
      </w:r>
      <w:proofErr w:type="spellStart"/>
      <w:r w:rsidRPr="00990FB6">
        <w:rPr>
          <w:sz w:val="22"/>
          <w:szCs w:val="22"/>
        </w:rPr>
        <w:t>N°</w:t>
      </w:r>
      <w:proofErr w:type="spellEnd"/>
      <w:r w:rsidRPr="00990FB6">
        <w:rPr>
          <w:sz w:val="22"/>
          <w:szCs w:val="22"/>
        </w:rPr>
        <w:t xml:space="preserve"> 616-DE-2022 del 15 de febrero de 2022, de la Dirección Ejecutiva, entre otra información, solicitan choferes para las zonas de Puntarenas, Goicoechea, Alajuela, San Ramón, Cartago y Corredores, las cuales cuentan desde el 2022 con un vehículo nuevo, en atención a la recomendación del informe 428-PLA-RH-MI-2021.</w:t>
      </w:r>
    </w:p>
    <w:p w14:paraId="53A096D9" w14:textId="77777777" w:rsidR="00B15F7D" w:rsidRPr="00990FB6" w:rsidRDefault="00B15F7D" w:rsidP="00B15F7D">
      <w:pPr>
        <w:ind w:left="851" w:right="900" w:firstLine="709"/>
        <w:contextualSpacing/>
        <w:rPr>
          <w:sz w:val="22"/>
          <w:szCs w:val="22"/>
        </w:rPr>
      </w:pPr>
    </w:p>
    <w:p w14:paraId="52C7F82B" w14:textId="77777777" w:rsidR="00B15F7D" w:rsidRPr="00990FB6" w:rsidRDefault="00B15F7D" w:rsidP="00B15F7D">
      <w:pPr>
        <w:numPr>
          <w:ilvl w:val="0"/>
          <w:numId w:val="164"/>
        </w:numPr>
        <w:suppressAutoHyphens w:val="0"/>
        <w:ind w:left="851" w:right="900" w:firstLine="709"/>
        <w:contextualSpacing/>
        <w:jc w:val="both"/>
        <w:rPr>
          <w:sz w:val="22"/>
          <w:szCs w:val="22"/>
        </w:rPr>
      </w:pPr>
      <w:r w:rsidRPr="00990FB6">
        <w:rPr>
          <w:sz w:val="22"/>
          <w:szCs w:val="22"/>
        </w:rPr>
        <w:t xml:space="preserve">Defensa Pública: en cuanto a la labor de manejo, registro, control contable, presupuestario y ejecución de los recursos que genere el Código Procesal Agrario, según lo establecido en el artículo 47, y según lo identificado en el estudio que realiza la Dirección de Planificación en la Administración de la Defensa Pública se ha evidenciado que a la fecha dicha oficina carece del personal necesario para realizar las funciones que le corresponden, como parte de este análisis es que se evidencia la necesidad de fortalecer esta área con un recurso adicional, considerando que con el nuevo código procesal deberá asumir las labores señaladas previamente ahora en la materia agraria. En virtud de lo anterior se tendría la siguiente necesidad: </w:t>
      </w:r>
    </w:p>
    <w:p w14:paraId="5C8874B1" w14:textId="77777777" w:rsidR="00B15F7D" w:rsidRPr="00990FB6" w:rsidRDefault="00B15F7D" w:rsidP="00B15F7D">
      <w:pPr>
        <w:ind w:right="261"/>
        <w:rPr>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2"/>
        <w:gridCol w:w="1021"/>
        <w:gridCol w:w="1067"/>
        <w:gridCol w:w="1387"/>
        <w:gridCol w:w="1171"/>
        <w:gridCol w:w="2550"/>
      </w:tblGrid>
      <w:tr w:rsidR="00B15F7D" w:rsidRPr="00990FB6" w14:paraId="1F87F3C5" w14:textId="77777777" w:rsidTr="000A0C22">
        <w:trPr>
          <w:trHeight w:val="658"/>
          <w:jc w:val="center"/>
        </w:trPr>
        <w:tc>
          <w:tcPr>
            <w:tcW w:w="877"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9F199CA" w14:textId="77777777" w:rsidR="00B15F7D" w:rsidRPr="00990FB6" w:rsidRDefault="00B15F7D" w:rsidP="00B15F7D">
            <w:pPr>
              <w:jc w:val="center"/>
              <w:rPr>
                <w:b/>
                <w:bCs/>
                <w:sz w:val="22"/>
                <w:szCs w:val="22"/>
                <w:lang w:eastAsia="es-CR"/>
              </w:rPr>
            </w:pPr>
            <w:r w:rsidRPr="00990FB6">
              <w:rPr>
                <w:b/>
                <w:bCs/>
                <w:sz w:val="22"/>
                <w:szCs w:val="22"/>
                <w:lang w:eastAsia="es-CR"/>
              </w:rPr>
              <w:t>Puesto</w:t>
            </w:r>
          </w:p>
        </w:tc>
        <w:tc>
          <w:tcPr>
            <w:tcW w:w="577"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4A5E560" w14:textId="77777777" w:rsidR="00B15F7D" w:rsidRPr="00990FB6" w:rsidRDefault="00B15F7D" w:rsidP="00B15F7D">
            <w:pPr>
              <w:jc w:val="center"/>
              <w:rPr>
                <w:b/>
                <w:bCs/>
                <w:sz w:val="22"/>
                <w:szCs w:val="22"/>
                <w:lang w:eastAsia="es-CR"/>
              </w:rPr>
            </w:pPr>
            <w:r w:rsidRPr="00990FB6">
              <w:rPr>
                <w:b/>
                <w:bCs/>
                <w:sz w:val="22"/>
                <w:szCs w:val="22"/>
                <w:lang w:eastAsia="es-CR"/>
              </w:rPr>
              <w:t>Cantidad</w:t>
            </w:r>
          </w:p>
        </w:tc>
        <w:tc>
          <w:tcPr>
            <w:tcW w:w="617"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5D6B9E" w14:textId="77777777" w:rsidR="00B15F7D" w:rsidRPr="00990FB6" w:rsidRDefault="00B15F7D" w:rsidP="00B15F7D">
            <w:pPr>
              <w:jc w:val="center"/>
              <w:rPr>
                <w:b/>
                <w:bCs/>
                <w:sz w:val="22"/>
                <w:szCs w:val="22"/>
                <w:lang w:eastAsia="es-CR"/>
              </w:rPr>
            </w:pPr>
            <w:r w:rsidRPr="00990FB6">
              <w:rPr>
                <w:b/>
                <w:bCs/>
                <w:sz w:val="22"/>
                <w:szCs w:val="22"/>
                <w:lang w:eastAsia="es-CR"/>
              </w:rPr>
              <w:t>Tiempo</w:t>
            </w:r>
          </w:p>
        </w:tc>
        <w:tc>
          <w:tcPr>
            <w:tcW w:w="79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9F65AC6" w14:textId="77777777" w:rsidR="00B15F7D" w:rsidRPr="00990FB6" w:rsidRDefault="00B15F7D" w:rsidP="00B15F7D">
            <w:pPr>
              <w:jc w:val="center"/>
              <w:rPr>
                <w:b/>
                <w:bCs/>
                <w:sz w:val="22"/>
                <w:szCs w:val="22"/>
                <w:lang w:eastAsia="es-CR"/>
              </w:rPr>
            </w:pPr>
            <w:r w:rsidRPr="00990FB6">
              <w:rPr>
                <w:b/>
                <w:bCs/>
                <w:sz w:val="22"/>
                <w:szCs w:val="22"/>
                <w:lang w:eastAsia="es-CR"/>
              </w:rPr>
              <w:t>Condición de la plaza</w:t>
            </w:r>
          </w:p>
        </w:tc>
        <w:tc>
          <w:tcPr>
            <w:tcW w:w="6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B05379F" w14:textId="77777777" w:rsidR="00B15F7D" w:rsidRPr="00990FB6" w:rsidRDefault="00B15F7D" w:rsidP="00B15F7D">
            <w:pPr>
              <w:jc w:val="center"/>
              <w:rPr>
                <w:b/>
                <w:bCs/>
                <w:sz w:val="22"/>
                <w:szCs w:val="22"/>
                <w:lang w:eastAsia="es-CR"/>
              </w:rPr>
            </w:pPr>
            <w:r w:rsidRPr="00990FB6">
              <w:rPr>
                <w:b/>
                <w:bCs/>
                <w:sz w:val="22"/>
                <w:szCs w:val="22"/>
                <w:lang w:eastAsia="es-CR"/>
              </w:rPr>
              <w:t>Costo anual</w:t>
            </w:r>
          </w:p>
        </w:tc>
        <w:tc>
          <w:tcPr>
            <w:tcW w:w="145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233927F" w14:textId="77777777" w:rsidR="00B15F7D" w:rsidRPr="00990FB6" w:rsidRDefault="00B15F7D" w:rsidP="00B15F7D">
            <w:pPr>
              <w:jc w:val="center"/>
              <w:rPr>
                <w:b/>
                <w:bCs/>
                <w:sz w:val="22"/>
                <w:szCs w:val="22"/>
                <w:lang w:eastAsia="es-CR"/>
              </w:rPr>
            </w:pPr>
            <w:r w:rsidRPr="00990FB6">
              <w:rPr>
                <w:b/>
                <w:bCs/>
                <w:sz w:val="22"/>
                <w:szCs w:val="22"/>
                <w:lang w:eastAsia="es-CR"/>
              </w:rPr>
              <w:t>Observaciones</w:t>
            </w:r>
          </w:p>
        </w:tc>
      </w:tr>
      <w:tr w:rsidR="00B15F7D" w:rsidRPr="00990FB6" w14:paraId="6746EEEA" w14:textId="77777777" w:rsidTr="000A0C22">
        <w:trPr>
          <w:trHeight w:val="658"/>
          <w:jc w:val="center"/>
        </w:trPr>
        <w:tc>
          <w:tcPr>
            <w:tcW w:w="877" w:type="pct"/>
            <w:tcBorders>
              <w:top w:val="single" w:sz="4" w:space="0" w:color="auto"/>
              <w:left w:val="single" w:sz="4" w:space="0" w:color="auto"/>
              <w:bottom w:val="single" w:sz="4" w:space="0" w:color="auto"/>
              <w:right w:val="single" w:sz="4" w:space="0" w:color="auto"/>
            </w:tcBorders>
            <w:vAlign w:val="center"/>
            <w:hideMark/>
          </w:tcPr>
          <w:p w14:paraId="3D9F9A0B" w14:textId="77777777" w:rsidR="00B15F7D" w:rsidRPr="00990FB6" w:rsidRDefault="00B15F7D" w:rsidP="00B15F7D">
            <w:pPr>
              <w:rPr>
                <w:sz w:val="22"/>
                <w:szCs w:val="22"/>
                <w:lang w:eastAsia="es-CR"/>
              </w:rPr>
            </w:pPr>
            <w:r w:rsidRPr="00990FB6">
              <w:rPr>
                <w:sz w:val="22"/>
                <w:szCs w:val="22"/>
                <w:lang w:eastAsia="es-CR"/>
              </w:rPr>
              <w:t xml:space="preserve">PROFESIONAL 1 </w:t>
            </w:r>
          </w:p>
        </w:tc>
        <w:tc>
          <w:tcPr>
            <w:tcW w:w="577" w:type="pct"/>
            <w:tcBorders>
              <w:top w:val="single" w:sz="4" w:space="0" w:color="auto"/>
              <w:left w:val="single" w:sz="4" w:space="0" w:color="auto"/>
              <w:bottom w:val="single" w:sz="4" w:space="0" w:color="auto"/>
              <w:right w:val="single" w:sz="4" w:space="0" w:color="auto"/>
            </w:tcBorders>
            <w:vAlign w:val="center"/>
            <w:hideMark/>
          </w:tcPr>
          <w:p w14:paraId="2EE56ACB" w14:textId="77777777" w:rsidR="00B15F7D" w:rsidRPr="00990FB6" w:rsidRDefault="00B15F7D" w:rsidP="00B15F7D">
            <w:pPr>
              <w:jc w:val="center"/>
              <w:rPr>
                <w:sz w:val="22"/>
                <w:szCs w:val="22"/>
                <w:lang w:eastAsia="es-CR"/>
              </w:rPr>
            </w:pPr>
            <w:r w:rsidRPr="00990FB6">
              <w:rPr>
                <w:sz w:val="22"/>
                <w:szCs w:val="22"/>
                <w:lang w:eastAsia="es-CR"/>
              </w:rPr>
              <w:t>1</w:t>
            </w:r>
          </w:p>
        </w:tc>
        <w:tc>
          <w:tcPr>
            <w:tcW w:w="617" w:type="pct"/>
            <w:tcBorders>
              <w:top w:val="single" w:sz="4" w:space="0" w:color="auto"/>
              <w:left w:val="single" w:sz="4" w:space="0" w:color="auto"/>
              <w:bottom w:val="single" w:sz="4" w:space="0" w:color="auto"/>
              <w:right w:val="single" w:sz="4" w:space="0" w:color="auto"/>
            </w:tcBorders>
            <w:vAlign w:val="center"/>
            <w:hideMark/>
          </w:tcPr>
          <w:p w14:paraId="323EBC92" w14:textId="77777777" w:rsidR="00B15F7D" w:rsidRPr="00990FB6" w:rsidRDefault="00B15F7D" w:rsidP="00B15F7D">
            <w:pPr>
              <w:jc w:val="center"/>
              <w:rPr>
                <w:sz w:val="22"/>
                <w:szCs w:val="22"/>
                <w:lang w:eastAsia="es-CR"/>
              </w:rPr>
            </w:pPr>
            <w:r w:rsidRPr="00990FB6">
              <w:rPr>
                <w:sz w:val="22"/>
                <w:szCs w:val="22"/>
                <w:lang w:eastAsia="es-CR"/>
              </w:rPr>
              <w:t>12 meses</w:t>
            </w:r>
          </w:p>
        </w:tc>
        <w:tc>
          <w:tcPr>
            <w:tcW w:w="798" w:type="pct"/>
            <w:tcBorders>
              <w:top w:val="single" w:sz="4" w:space="0" w:color="auto"/>
              <w:left w:val="single" w:sz="4" w:space="0" w:color="auto"/>
              <w:bottom w:val="single" w:sz="4" w:space="0" w:color="auto"/>
              <w:right w:val="single" w:sz="4" w:space="0" w:color="auto"/>
            </w:tcBorders>
            <w:vAlign w:val="center"/>
            <w:hideMark/>
          </w:tcPr>
          <w:p w14:paraId="2BD50A2D" w14:textId="77777777" w:rsidR="00B15F7D" w:rsidRPr="00990FB6" w:rsidRDefault="00B15F7D" w:rsidP="00B15F7D">
            <w:pPr>
              <w:jc w:val="center"/>
              <w:rPr>
                <w:sz w:val="22"/>
                <w:szCs w:val="22"/>
                <w:lang w:eastAsia="es-CR"/>
              </w:rPr>
            </w:pPr>
            <w:r w:rsidRPr="00990FB6">
              <w:rPr>
                <w:sz w:val="22"/>
                <w:szCs w:val="22"/>
                <w:lang w:eastAsia="es-CR"/>
              </w:rPr>
              <w:t>Ordinaria</w:t>
            </w:r>
          </w:p>
        </w:tc>
        <w:tc>
          <w:tcPr>
            <w:tcW w:w="675" w:type="pct"/>
            <w:tcBorders>
              <w:top w:val="single" w:sz="4" w:space="0" w:color="auto"/>
              <w:left w:val="single" w:sz="4" w:space="0" w:color="auto"/>
              <w:bottom w:val="single" w:sz="4" w:space="0" w:color="auto"/>
              <w:right w:val="single" w:sz="4" w:space="0" w:color="auto"/>
            </w:tcBorders>
            <w:vAlign w:val="center"/>
            <w:hideMark/>
          </w:tcPr>
          <w:p w14:paraId="26F431B9" w14:textId="77777777" w:rsidR="00B15F7D" w:rsidRPr="00990FB6" w:rsidRDefault="00B15F7D" w:rsidP="00B15F7D">
            <w:pPr>
              <w:jc w:val="right"/>
              <w:rPr>
                <w:sz w:val="22"/>
                <w:szCs w:val="22"/>
                <w:lang w:eastAsia="es-CR"/>
              </w:rPr>
            </w:pPr>
            <w:r w:rsidRPr="00990FB6">
              <w:rPr>
                <w:sz w:val="22"/>
                <w:szCs w:val="22"/>
                <w:lang w:eastAsia="es-CR"/>
              </w:rPr>
              <w:t>25 913 000</w:t>
            </w:r>
          </w:p>
        </w:tc>
        <w:tc>
          <w:tcPr>
            <w:tcW w:w="1456" w:type="pct"/>
            <w:tcBorders>
              <w:top w:val="single" w:sz="4" w:space="0" w:color="auto"/>
              <w:left w:val="single" w:sz="4" w:space="0" w:color="auto"/>
              <w:bottom w:val="single" w:sz="4" w:space="0" w:color="auto"/>
              <w:right w:val="single" w:sz="4" w:space="0" w:color="auto"/>
            </w:tcBorders>
            <w:hideMark/>
          </w:tcPr>
          <w:p w14:paraId="012443BA" w14:textId="77777777" w:rsidR="00B15F7D" w:rsidRPr="00990FB6" w:rsidRDefault="00B15F7D" w:rsidP="00B15F7D">
            <w:pPr>
              <w:rPr>
                <w:sz w:val="22"/>
                <w:szCs w:val="22"/>
                <w:lang w:eastAsia="es-CR"/>
              </w:rPr>
            </w:pPr>
            <w:r w:rsidRPr="00990FB6">
              <w:rPr>
                <w:sz w:val="22"/>
                <w:szCs w:val="22"/>
                <w:lang w:eastAsia="es-CR"/>
              </w:rPr>
              <w:t>Profesional administrativo 1 Contador para manejo de fondos de la Defensa Pública por concepto de costas (</w:t>
            </w:r>
            <w:r w:rsidRPr="00990FB6">
              <w:rPr>
                <w:sz w:val="22"/>
                <w:szCs w:val="22"/>
              </w:rPr>
              <w:t>Artículo 47 del Código Procesal Agrario)</w:t>
            </w:r>
          </w:p>
        </w:tc>
      </w:tr>
    </w:tbl>
    <w:p w14:paraId="274877A1" w14:textId="77777777" w:rsidR="00B15F7D" w:rsidRPr="00990FB6" w:rsidRDefault="00B15F7D" w:rsidP="00B15F7D">
      <w:pPr>
        <w:rPr>
          <w:sz w:val="22"/>
          <w:szCs w:val="22"/>
          <w:lang w:eastAsia="es-ES"/>
        </w:rPr>
      </w:pPr>
    </w:p>
    <w:p w14:paraId="22221AA8" w14:textId="77777777" w:rsidR="00B15F7D" w:rsidRPr="00990FB6" w:rsidRDefault="00B15F7D" w:rsidP="00B15F7D">
      <w:pPr>
        <w:keepNext/>
        <w:widowControl w:val="0"/>
        <w:ind w:left="851" w:right="851" w:firstLine="709"/>
        <w:jc w:val="both"/>
        <w:rPr>
          <w:b/>
          <w:sz w:val="22"/>
          <w:szCs w:val="22"/>
          <w:lang w:val="es-MX" w:eastAsia="es-ES"/>
        </w:rPr>
      </w:pPr>
      <w:bookmarkStart w:id="31" w:name="_Toc132639581"/>
      <w:r w:rsidRPr="00990FB6">
        <w:rPr>
          <w:b/>
          <w:sz w:val="22"/>
          <w:szCs w:val="22"/>
          <w:lang w:val="es-MX" w:eastAsia="es-ES"/>
        </w:rPr>
        <w:t>20.1.2 Gasto Variable</w:t>
      </w:r>
      <w:bookmarkEnd w:id="31"/>
    </w:p>
    <w:p w14:paraId="1165573B" w14:textId="77777777" w:rsidR="00B15F7D" w:rsidRPr="00990FB6" w:rsidRDefault="00B15F7D" w:rsidP="00B15F7D">
      <w:pPr>
        <w:keepNext/>
        <w:widowControl w:val="0"/>
        <w:ind w:left="851" w:right="851" w:firstLine="709"/>
        <w:jc w:val="both"/>
        <w:rPr>
          <w:b/>
          <w:sz w:val="22"/>
          <w:szCs w:val="22"/>
          <w:lang w:val="es-MX" w:eastAsia="es-ES"/>
        </w:rPr>
      </w:pPr>
    </w:p>
    <w:p w14:paraId="77D02EBF" w14:textId="77777777" w:rsidR="00B15F7D" w:rsidRPr="00990FB6" w:rsidRDefault="00B15F7D" w:rsidP="00EA7B4C">
      <w:pPr>
        <w:ind w:left="851" w:right="851" w:firstLine="709"/>
        <w:jc w:val="both"/>
        <w:rPr>
          <w:sz w:val="22"/>
          <w:szCs w:val="22"/>
        </w:rPr>
      </w:pPr>
      <w:r w:rsidRPr="00990FB6">
        <w:rPr>
          <w:sz w:val="22"/>
          <w:szCs w:val="22"/>
        </w:rPr>
        <w:t xml:space="preserve">Con respecto al gasto variable se detecta como necesidad en el presente informe y como antecedente de los informes de presupuesto de períodos anteriores, se definen los siguientes:  </w:t>
      </w:r>
    </w:p>
    <w:p w14:paraId="089E5E0F" w14:textId="77777777" w:rsidR="00B15F7D" w:rsidRPr="00990FB6" w:rsidRDefault="00B15F7D" w:rsidP="00B15F7D">
      <w:pPr>
        <w:ind w:left="851" w:right="851" w:firstLine="709"/>
        <w:rPr>
          <w:sz w:val="22"/>
          <w:szCs w:val="22"/>
        </w:rPr>
      </w:pPr>
    </w:p>
    <w:p w14:paraId="3E8B24EA" w14:textId="77777777" w:rsidR="00B15F7D" w:rsidRPr="00990FB6" w:rsidRDefault="00B15F7D" w:rsidP="00B15F7D">
      <w:pPr>
        <w:numPr>
          <w:ilvl w:val="0"/>
          <w:numId w:val="165"/>
        </w:numPr>
        <w:suppressAutoHyphens w:val="0"/>
        <w:ind w:left="851" w:right="851" w:firstLine="709"/>
        <w:contextualSpacing/>
        <w:jc w:val="both"/>
        <w:rPr>
          <w:sz w:val="22"/>
          <w:szCs w:val="22"/>
        </w:rPr>
      </w:pPr>
      <w:r w:rsidRPr="00990FB6">
        <w:rPr>
          <w:sz w:val="22"/>
          <w:szCs w:val="22"/>
        </w:rPr>
        <w:t xml:space="preserve">Reforzar con un vehículo, a las Administraciones Regionales de Limón, Turrialba, Pérez Zeledón, Pococí y San Carlos, asimismo con sus accesorios necesarios tales como lona, </w:t>
      </w:r>
      <w:proofErr w:type="spellStart"/>
      <w:r w:rsidRPr="00990FB6">
        <w:rPr>
          <w:sz w:val="22"/>
          <w:szCs w:val="22"/>
        </w:rPr>
        <w:t>winch</w:t>
      </w:r>
      <w:proofErr w:type="spellEnd"/>
      <w:r w:rsidRPr="00990FB6">
        <w:rPr>
          <w:sz w:val="22"/>
          <w:szCs w:val="22"/>
        </w:rPr>
        <w:t xml:space="preserve">, instalación de </w:t>
      </w:r>
      <w:proofErr w:type="spellStart"/>
      <w:r w:rsidRPr="00990FB6">
        <w:rPr>
          <w:sz w:val="22"/>
          <w:szCs w:val="22"/>
        </w:rPr>
        <w:t>winch</w:t>
      </w:r>
      <w:proofErr w:type="spellEnd"/>
      <w:r w:rsidRPr="00990FB6">
        <w:rPr>
          <w:sz w:val="22"/>
          <w:szCs w:val="22"/>
        </w:rPr>
        <w:t>, cadenas para llantas del vehículo, combustible, linga, servicio GPS, dispositivo de Peaje electrónico, mantenimiento de dispositivo de peaje, transporte dentro del país y cubre asientos.</w:t>
      </w:r>
    </w:p>
    <w:p w14:paraId="7B13F913" w14:textId="77777777" w:rsidR="00B15F7D" w:rsidRPr="00990FB6" w:rsidRDefault="00B15F7D" w:rsidP="00B15F7D">
      <w:pPr>
        <w:suppressAutoHyphens w:val="0"/>
        <w:ind w:left="1560" w:right="851"/>
        <w:contextualSpacing/>
        <w:jc w:val="both"/>
        <w:rPr>
          <w:sz w:val="22"/>
          <w:szCs w:val="22"/>
        </w:rPr>
      </w:pPr>
    </w:p>
    <w:p w14:paraId="48474676" w14:textId="77777777" w:rsidR="00B15F7D" w:rsidRPr="00990FB6" w:rsidRDefault="00B15F7D" w:rsidP="00B15F7D">
      <w:pPr>
        <w:numPr>
          <w:ilvl w:val="0"/>
          <w:numId w:val="165"/>
        </w:numPr>
        <w:suppressAutoHyphens w:val="0"/>
        <w:ind w:left="851" w:right="851" w:firstLine="709"/>
        <w:contextualSpacing/>
        <w:jc w:val="both"/>
        <w:rPr>
          <w:sz w:val="22"/>
          <w:szCs w:val="22"/>
        </w:rPr>
      </w:pPr>
      <w:r w:rsidRPr="00990FB6">
        <w:rPr>
          <w:sz w:val="22"/>
          <w:szCs w:val="22"/>
        </w:rPr>
        <w:t>Equipo de cómputo para ser utilizado por el personal adicional que se destaca en el punto anterior.</w:t>
      </w:r>
    </w:p>
    <w:p w14:paraId="716700BE" w14:textId="77777777" w:rsidR="00B15F7D" w:rsidRPr="00990FB6" w:rsidRDefault="00B15F7D" w:rsidP="00B15F7D">
      <w:pPr>
        <w:suppressAutoHyphens w:val="0"/>
        <w:ind w:right="851"/>
        <w:contextualSpacing/>
        <w:jc w:val="both"/>
        <w:rPr>
          <w:sz w:val="22"/>
          <w:szCs w:val="22"/>
        </w:rPr>
      </w:pPr>
    </w:p>
    <w:p w14:paraId="17947E19" w14:textId="77777777" w:rsidR="00B15F7D" w:rsidRPr="00990FB6" w:rsidRDefault="00B15F7D" w:rsidP="00B15F7D">
      <w:pPr>
        <w:numPr>
          <w:ilvl w:val="0"/>
          <w:numId w:val="165"/>
        </w:numPr>
        <w:suppressAutoHyphens w:val="0"/>
        <w:ind w:left="851" w:right="851" w:firstLine="709"/>
        <w:contextualSpacing/>
        <w:jc w:val="both"/>
        <w:rPr>
          <w:sz w:val="22"/>
          <w:szCs w:val="22"/>
        </w:rPr>
      </w:pPr>
      <w:r w:rsidRPr="00990FB6">
        <w:rPr>
          <w:sz w:val="22"/>
          <w:szCs w:val="22"/>
        </w:rPr>
        <w:t>Mobiliario para ser utilizado por el personal adicional que se destaca en el punto anterior.</w:t>
      </w:r>
    </w:p>
    <w:p w14:paraId="36B64F56" w14:textId="77777777" w:rsidR="00B15F7D" w:rsidRPr="00990FB6" w:rsidRDefault="00B15F7D" w:rsidP="00B15F7D">
      <w:pPr>
        <w:suppressAutoHyphens w:val="0"/>
        <w:ind w:left="851" w:right="851"/>
        <w:contextualSpacing/>
        <w:jc w:val="both"/>
        <w:rPr>
          <w:sz w:val="22"/>
          <w:szCs w:val="22"/>
        </w:rPr>
      </w:pPr>
    </w:p>
    <w:p w14:paraId="0B0E704F" w14:textId="77777777" w:rsidR="00B15F7D" w:rsidRPr="00990FB6" w:rsidRDefault="00B15F7D" w:rsidP="00B15F7D">
      <w:pPr>
        <w:numPr>
          <w:ilvl w:val="0"/>
          <w:numId w:val="165"/>
        </w:numPr>
        <w:suppressAutoHyphens w:val="0"/>
        <w:ind w:left="851" w:right="851" w:firstLine="709"/>
        <w:contextualSpacing/>
        <w:jc w:val="both"/>
        <w:rPr>
          <w:sz w:val="22"/>
          <w:szCs w:val="22"/>
        </w:rPr>
      </w:pPr>
      <w:r w:rsidRPr="00990FB6">
        <w:rPr>
          <w:sz w:val="22"/>
          <w:szCs w:val="22"/>
        </w:rPr>
        <w:t>Uniformes, capas, bloqueador solar, repelente, mangas protectoras y botas de hule para los choferes destacados en el punto anterior.</w:t>
      </w:r>
    </w:p>
    <w:p w14:paraId="43F746EA" w14:textId="77777777" w:rsidR="00B15F7D" w:rsidRPr="00990FB6" w:rsidRDefault="00B15F7D" w:rsidP="00B15F7D">
      <w:pPr>
        <w:suppressAutoHyphens w:val="0"/>
        <w:ind w:right="851"/>
        <w:contextualSpacing/>
        <w:jc w:val="both"/>
        <w:rPr>
          <w:sz w:val="22"/>
          <w:szCs w:val="22"/>
        </w:rPr>
      </w:pPr>
    </w:p>
    <w:p w14:paraId="00684C0A" w14:textId="77777777" w:rsidR="00B15F7D" w:rsidRPr="00990FB6" w:rsidRDefault="00B15F7D" w:rsidP="00B15F7D">
      <w:pPr>
        <w:numPr>
          <w:ilvl w:val="0"/>
          <w:numId w:val="165"/>
        </w:numPr>
        <w:suppressAutoHyphens w:val="0"/>
        <w:ind w:left="851" w:right="851" w:firstLine="709"/>
        <w:contextualSpacing/>
        <w:jc w:val="both"/>
        <w:rPr>
          <w:sz w:val="22"/>
          <w:szCs w:val="22"/>
        </w:rPr>
      </w:pPr>
      <w:r w:rsidRPr="00990FB6">
        <w:rPr>
          <w:sz w:val="22"/>
          <w:szCs w:val="22"/>
        </w:rPr>
        <w:t>Viáticos para los choferes.</w:t>
      </w:r>
    </w:p>
    <w:p w14:paraId="3C39C49F" w14:textId="77777777" w:rsidR="00B15F7D" w:rsidRPr="00990FB6" w:rsidRDefault="00B15F7D" w:rsidP="00B15F7D">
      <w:pPr>
        <w:suppressAutoHyphens w:val="0"/>
        <w:ind w:right="851"/>
        <w:contextualSpacing/>
        <w:jc w:val="both"/>
        <w:rPr>
          <w:sz w:val="22"/>
          <w:szCs w:val="22"/>
        </w:rPr>
      </w:pPr>
    </w:p>
    <w:p w14:paraId="0F38C8F4" w14:textId="77777777" w:rsidR="00B15F7D" w:rsidRPr="00990FB6" w:rsidRDefault="00B15F7D" w:rsidP="00B15F7D">
      <w:pPr>
        <w:numPr>
          <w:ilvl w:val="0"/>
          <w:numId w:val="165"/>
        </w:numPr>
        <w:suppressAutoHyphens w:val="0"/>
        <w:ind w:left="851" w:right="851" w:firstLine="709"/>
        <w:contextualSpacing/>
        <w:jc w:val="both"/>
        <w:rPr>
          <w:sz w:val="22"/>
          <w:szCs w:val="22"/>
        </w:rPr>
      </w:pPr>
      <w:r w:rsidRPr="00990FB6">
        <w:rPr>
          <w:sz w:val="22"/>
          <w:szCs w:val="22"/>
        </w:rPr>
        <w:t>Aspectos relacionados al mantenimiento de vehículos tales como, llantas, repuestos, mantenimiento correctivo, baterías para carros, lavado de carros y reparación de llantas.</w:t>
      </w:r>
    </w:p>
    <w:p w14:paraId="1081FB8E" w14:textId="77777777" w:rsidR="00B15F7D" w:rsidRPr="00990FB6" w:rsidRDefault="00B15F7D" w:rsidP="00B15F7D">
      <w:pPr>
        <w:suppressAutoHyphens w:val="0"/>
        <w:ind w:right="851"/>
        <w:contextualSpacing/>
        <w:jc w:val="both"/>
        <w:rPr>
          <w:sz w:val="22"/>
          <w:szCs w:val="22"/>
        </w:rPr>
      </w:pPr>
    </w:p>
    <w:p w14:paraId="659C31ED" w14:textId="77777777" w:rsidR="00B15F7D" w:rsidRPr="00990FB6" w:rsidRDefault="00B15F7D" w:rsidP="00B15F7D">
      <w:pPr>
        <w:numPr>
          <w:ilvl w:val="0"/>
          <w:numId w:val="165"/>
        </w:numPr>
        <w:suppressAutoHyphens w:val="0"/>
        <w:ind w:left="851" w:right="851" w:firstLine="709"/>
        <w:contextualSpacing/>
        <w:jc w:val="both"/>
        <w:rPr>
          <w:sz w:val="22"/>
          <w:szCs w:val="22"/>
        </w:rPr>
      </w:pPr>
      <w:r w:rsidRPr="00990FB6">
        <w:rPr>
          <w:sz w:val="22"/>
          <w:szCs w:val="22"/>
        </w:rPr>
        <w:t>Debido a la propuesta de creación de la plaza de profesional 1 a destacarse en la Administración de la Defensa Pública, se adicionan los gastos variables asociados a este recurso:</w:t>
      </w:r>
    </w:p>
    <w:p w14:paraId="34344BE8" w14:textId="77777777" w:rsidR="00B15F7D" w:rsidRPr="00990FB6" w:rsidRDefault="00B15F7D" w:rsidP="00B15F7D">
      <w:pPr>
        <w:rPr>
          <w:sz w:val="22"/>
          <w:szCs w:val="22"/>
        </w:rPr>
      </w:pPr>
    </w:p>
    <w:tbl>
      <w:tblPr>
        <w:tblW w:w="5000" w:type="pct"/>
        <w:jc w:val="center"/>
        <w:tblCellMar>
          <w:left w:w="70" w:type="dxa"/>
          <w:right w:w="70" w:type="dxa"/>
        </w:tblCellMar>
        <w:tblLook w:val="04A0" w:firstRow="1" w:lastRow="0" w:firstColumn="1" w:lastColumn="0" w:noHBand="0" w:noVBand="1"/>
      </w:tblPr>
      <w:tblGrid>
        <w:gridCol w:w="1048"/>
        <w:gridCol w:w="706"/>
        <w:gridCol w:w="3926"/>
        <w:gridCol w:w="888"/>
        <w:gridCol w:w="978"/>
        <w:gridCol w:w="140"/>
        <w:gridCol w:w="862"/>
        <w:gridCol w:w="140"/>
        <w:gridCol w:w="140"/>
      </w:tblGrid>
      <w:tr w:rsidR="00B15F7D" w:rsidRPr="00990FB6" w14:paraId="14B24306" w14:textId="77777777" w:rsidTr="000A0C22">
        <w:trPr>
          <w:gridAfter w:val="1"/>
          <w:wAfter w:w="79" w:type="pct"/>
          <w:trHeight w:val="458"/>
          <w:jc w:val="center"/>
        </w:trPr>
        <w:tc>
          <w:tcPr>
            <w:tcW w:w="686" w:type="pct"/>
            <w:vMerge w:val="restart"/>
            <w:tcBorders>
              <w:top w:val="single" w:sz="4" w:space="0" w:color="auto"/>
              <w:left w:val="single" w:sz="4" w:space="0" w:color="auto"/>
              <w:bottom w:val="single" w:sz="4" w:space="0" w:color="auto"/>
              <w:right w:val="single" w:sz="4" w:space="0" w:color="auto"/>
            </w:tcBorders>
            <w:vAlign w:val="center"/>
            <w:hideMark/>
          </w:tcPr>
          <w:p w14:paraId="5550D1F4" w14:textId="77777777" w:rsidR="00B15F7D" w:rsidRPr="00990FB6" w:rsidRDefault="00B15F7D" w:rsidP="00B15F7D">
            <w:pPr>
              <w:jc w:val="center"/>
              <w:rPr>
                <w:b/>
                <w:bCs/>
                <w:sz w:val="22"/>
                <w:szCs w:val="22"/>
                <w:lang w:eastAsia="es-CR"/>
              </w:rPr>
            </w:pPr>
            <w:r w:rsidRPr="00990FB6">
              <w:rPr>
                <w:b/>
                <w:bCs/>
                <w:sz w:val="22"/>
                <w:szCs w:val="22"/>
                <w:lang w:eastAsia="es-CR"/>
              </w:rPr>
              <w:t>Subpartida</w:t>
            </w:r>
          </w:p>
        </w:tc>
        <w:tc>
          <w:tcPr>
            <w:tcW w:w="474" w:type="pct"/>
            <w:vMerge w:val="restart"/>
            <w:tcBorders>
              <w:top w:val="single" w:sz="4" w:space="0" w:color="auto"/>
              <w:left w:val="single" w:sz="4" w:space="0" w:color="auto"/>
              <w:bottom w:val="single" w:sz="4" w:space="0" w:color="auto"/>
              <w:right w:val="single" w:sz="4" w:space="0" w:color="auto"/>
            </w:tcBorders>
            <w:vAlign w:val="center"/>
            <w:hideMark/>
          </w:tcPr>
          <w:p w14:paraId="18937335" w14:textId="77777777" w:rsidR="00B15F7D" w:rsidRPr="00990FB6" w:rsidRDefault="00B15F7D" w:rsidP="00B15F7D">
            <w:pPr>
              <w:jc w:val="center"/>
              <w:rPr>
                <w:b/>
                <w:bCs/>
                <w:sz w:val="22"/>
                <w:szCs w:val="22"/>
                <w:lang w:eastAsia="es-CR"/>
              </w:rPr>
            </w:pPr>
            <w:r w:rsidRPr="00990FB6">
              <w:rPr>
                <w:b/>
                <w:bCs/>
                <w:sz w:val="22"/>
                <w:szCs w:val="22"/>
                <w:lang w:eastAsia="es-CR"/>
              </w:rPr>
              <w:t>Código</w:t>
            </w:r>
          </w:p>
        </w:tc>
        <w:tc>
          <w:tcPr>
            <w:tcW w:w="1755" w:type="pct"/>
            <w:vMerge w:val="restart"/>
            <w:tcBorders>
              <w:top w:val="single" w:sz="4" w:space="0" w:color="auto"/>
              <w:left w:val="single" w:sz="4" w:space="0" w:color="auto"/>
              <w:bottom w:val="single" w:sz="4" w:space="0" w:color="auto"/>
              <w:right w:val="single" w:sz="4" w:space="0" w:color="auto"/>
            </w:tcBorders>
            <w:vAlign w:val="center"/>
            <w:hideMark/>
          </w:tcPr>
          <w:p w14:paraId="6BB76B81" w14:textId="77777777" w:rsidR="00B15F7D" w:rsidRPr="00990FB6" w:rsidRDefault="00B15F7D" w:rsidP="00B15F7D">
            <w:pPr>
              <w:jc w:val="center"/>
              <w:rPr>
                <w:b/>
                <w:bCs/>
                <w:sz w:val="22"/>
                <w:szCs w:val="22"/>
                <w:lang w:eastAsia="es-CR"/>
              </w:rPr>
            </w:pPr>
            <w:r w:rsidRPr="00990FB6">
              <w:rPr>
                <w:b/>
                <w:bCs/>
                <w:sz w:val="22"/>
                <w:szCs w:val="22"/>
                <w:lang w:eastAsia="es-CR"/>
              </w:rPr>
              <w:t>Descripción</w:t>
            </w:r>
          </w:p>
        </w:tc>
        <w:tc>
          <w:tcPr>
            <w:tcW w:w="580" w:type="pct"/>
            <w:vMerge w:val="restart"/>
            <w:tcBorders>
              <w:top w:val="single" w:sz="4" w:space="0" w:color="auto"/>
              <w:left w:val="single" w:sz="4" w:space="0" w:color="auto"/>
              <w:bottom w:val="single" w:sz="4" w:space="0" w:color="auto"/>
              <w:right w:val="single" w:sz="4" w:space="0" w:color="auto"/>
            </w:tcBorders>
            <w:vAlign w:val="center"/>
            <w:hideMark/>
          </w:tcPr>
          <w:p w14:paraId="76A416FE" w14:textId="77777777" w:rsidR="00B15F7D" w:rsidRPr="00990FB6" w:rsidRDefault="00B15F7D" w:rsidP="00B15F7D">
            <w:pPr>
              <w:jc w:val="center"/>
              <w:rPr>
                <w:b/>
                <w:bCs/>
                <w:sz w:val="22"/>
                <w:szCs w:val="22"/>
                <w:lang w:eastAsia="es-CR"/>
              </w:rPr>
            </w:pPr>
            <w:r w:rsidRPr="00990FB6">
              <w:rPr>
                <w:b/>
                <w:bCs/>
                <w:sz w:val="22"/>
                <w:szCs w:val="22"/>
                <w:lang w:eastAsia="es-CR"/>
              </w:rPr>
              <w:t>Cantidad</w:t>
            </w:r>
          </w:p>
        </w:tc>
        <w:tc>
          <w:tcPr>
            <w:tcW w:w="746"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1012F41B" w14:textId="77777777" w:rsidR="00B15F7D" w:rsidRPr="00990FB6" w:rsidRDefault="00B15F7D" w:rsidP="00B15F7D">
            <w:pPr>
              <w:jc w:val="center"/>
              <w:rPr>
                <w:b/>
                <w:bCs/>
                <w:sz w:val="22"/>
                <w:szCs w:val="22"/>
                <w:lang w:eastAsia="es-CR"/>
              </w:rPr>
            </w:pPr>
            <w:r w:rsidRPr="00990FB6">
              <w:rPr>
                <w:b/>
                <w:bCs/>
                <w:sz w:val="22"/>
                <w:szCs w:val="22"/>
                <w:lang w:eastAsia="es-CR"/>
              </w:rPr>
              <w:t>Precio Unitario</w:t>
            </w:r>
          </w:p>
        </w:tc>
        <w:tc>
          <w:tcPr>
            <w:tcW w:w="680"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422B5D97"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r>
      <w:tr w:rsidR="00B15F7D" w:rsidRPr="00990FB6" w14:paraId="1A55EB7D" w14:textId="77777777" w:rsidTr="000A0C22">
        <w:trPr>
          <w:trHeight w:val="290"/>
          <w:jc w:val="center"/>
        </w:trPr>
        <w:tc>
          <w:tcPr>
            <w:tcW w:w="686" w:type="pct"/>
            <w:vMerge/>
            <w:tcBorders>
              <w:top w:val="single" w:sz="4" w:space="0" w:color="auto"/>
              <w:left w:val="single" w:sz="4" w:space="0" w:color="auto"/>
              <w:bottom w:val="single" w:sz="4" w:space="0" w:color="auto"/>
              <w:right w:val="single" w:sz="4" w:space="0" w:color="auto"/>
            </w:tcBorders>
            <w:vAlign w:val="center"/>
            <w:hideMark/>
          </w:tcPr>
          <w:p w14:paraId="15C1F681" w14:textId="77777777" w:rsidR="00B15F7D" w:rsidRPr="00990FB6" w:rsidRDefault="00B15F7D" w:rsidP="00B15F7D">
            <w:pPr>
              <w:rPr>
                <w:b/>
                <w:bCs/>
                <w:sz w:val="22"/>
                <w:szCs w:val="22"/>
                <w:lang w:eastAsia="es-CR"/>
              </w:rPr>
            </w:pPr>
          </w:p>
        </w:tc>
        <w:tc>
          <w:tcPr>
            <w:tcW w:w="474" w:type="pct"/>
            <w:vMerge/>
            <w:tcBorders>
              <w:top w:val="single" w:sz="4" w:space="0" w:color="auto"/>
              <w:left w:val="single" w:sz="4" w:space="0" w:color="auto"/>
              <w:bottom w:val="single" w:sz="4" w:space="0" w:color="auto"/>
              <w:right w:val="single" w:sz="4" w:space="0" w:color="auto"/>
            </w:tcBorders>
            <w:vAlign w:val="center"/>
            <w:hideMark/>
          </w:tcPr>
          <w:p w14:paraId="4D1A649D" w14:textId="77777777" w:rsidR="00B15F7D" w:rsidRPr="00990FB6" w:rsidRDefault="00B15F7D" w:rsidP="00B15F7D">
            <w:pPr>
              <w:rPr>
                <w:b/>
                <w:bCs/>
                <w:sz w:val="22"/>
                <w:szCs w:val="22"/>
                <w:lang w:eastAsia="es-CR"/>
              </w:rPr>
            </w:pPr>
          </w:p>
        </w:tc>
        <w:tc>
          <w:tcPr>
            <w:tcW w:w="1755" w:type="pct"/>
            <w:vMerge/>
            <w:tcBorders>
              <w:top w:val="single" w:sz="4" w:space="0" w:color="auto"/>
              <w:left w:val="single" w:sz="4" w:space="0" w:color="auto"/>
              <w:bottom w:val="single" w:sz="4" w:space="0" w:color="auto"/>
              <w:right w:val="single" w:sz="4" w:space="0" w:color="auto"/>
            </w:tcBorders>
            <w:vAlign w:val="center"/>
            <w:hideMark/>
          </w:tcPr>
          <w:p w14:paraId="0892CC41" w14:textId="77777777" w:rsidR="00B15F7D" w:rsidRPr="00990FB6" w:rsidRDefault="00B15F7D" w:rsidP="00B15F7D">
            <w:pPr>
              <w:rPr>
                <w:b/>
                <w:bCs/>
                <w:sz w:val="22"/>
                <w:szCs w:val="22"/>
                <w:lang w:eastAsia="es-CR"/>
              </w:rPr>
            </w:pPr>
          </w:p>
        </w:tc>
        <w:tc>
          <w:tcPr>
            <w:tcW w:w="580" w:type="pct"/>
            <w:vMerge/>
            <w:tcBorders>
              <w:top w:val="single" w:sz="4" w:space="0" w:color="auto"/>
              <w:left w:val="single" w:sz="4" w:space="0" w:color="auto"/>
              <w:bottom w:val="single" w:sz="4" w:space="0" w:color="auto"/>
              <w:right w:val="single" w:sz="4" w:space="0" w:color="auto"/>
            </w:tcBorders>
            <w:vAlign w:val="center"/>
            <w:hideMark/>
          </w:tcPr>
          <w:p w14:paraId="02B29EB4" w14:textId="77777777" w:rsidR="00B15F7D" w:rsidRPr="00990FB6" w:rsidRDefault="00B15F7D" w:rsidP="00B15F7D">
            <w:pPr>
              <w:rPr>
                <w:b/>
                <w:bCs/>
                <w:sz w:val="22"/>
                <w:szCs w:val="22"/>
                <w:lang w:eastAsia="es-CR"/>
              </w:rPr>
            </w:pPr>
          </w:p>
        </w:tc>
        <w:tc>
          <w:tcPr>
            <w:tcW w:w="746" w:type="pct"/>
            <w:gridSpan w:val="2"/>
            <w:vMerge/>
            <w:tcBorders>
              <w:top w:val="single" w:sz="4" w:space="0" w:color="auto"/>
              <w:left w:val="single" w:sz="4" w:space="0" w:color="auto"/>
              <w:bottom w:val="single" w:sz="4" w:space="0" w:color="auto"/>
              <w:right w:val="single" w:sz="4" w:space="0" w:color="auto"/>
            </w:tcBorders>
            <w:vAlign w:val="center"/>
            <w:hideMark/>
          </w:tcPr>
          <w:p w14:paraId="197EFEA3" w14:textId="77777777" w:rsidR="00B15F7D" w:rsidRPr="00990FB6" w:rsidRDefault="00B15F7D" w:rsidP="00B15F7D">
            <w:pPr>
              <w:rPr>
                <w:b/>
                <w:bCs/>
                <w:sz w:val="22"/>
                <w:szCs w:val="22"/>
                <w:lang w:eastAsia="es-CR"/>
              </w:rPr>
            </w:pPr>
          </w:p>
        </w:tc>
        <w:tc>
          <w:tcPr>
            <w:tcW w:w="680" w:type="pct"/>
            <w:gridSpan w:val="2"/>
            <w:vMerge/>
            <w:tcBorders>
              <w:top w:val="single" w:sz="4" w:space="0" w:color="auto"/>
              <w:left w:val="single" w:sz="4" w:space="0" w:color="auto"/>
              <w:bottom w:val="single" w:sz="4" w:space="0" w:color="auto"/>
              <w:right w:val="single" w:sz="4" w:space="0" w:color="auto"/>
            </w:tcBorders>
            <w:vAlign w:val="center"/>
            <w:hideMark/>
          </w:tcPr>
          <w:p w14:paraId="37FB833E" w14:textId="77777777" w:rsidR="00B15F7D" w:rsidRPr="00990FB6" w:rsidRDefault="00B15F7D" w:rsidP="00B15F7D">
            <w:pPr>
              <w:rPr>
                <w:b/>
                <w:bCs/>
                <w:sz w:val="22"/>
                <w:szCs w:val="22"/>
                <w:lang w:eastAsia="es-CR"/>
              </w:rPr>
            </w:pPr>
          </w:p>
        </w:tc>
        <w:tc>
          <w:tcPr>
            <w:tcW w:w="79" w:type="pct"/>
            <w:noWrap/>
            <w:vAlign w:val="bottom"/>
            <w:hideMark/>
          </w:tcPr>
          <w:p w14:paraId="46E6ABB4" w14:textId="77777777" w:rsidR="00B15F7D" w:rsidRPr="00990FB6" w:rsidRDefault="00B15F7D" w:rsidP="00B15F7D">
            <w:pPr>
              <w:rPr>
                <w:sz w:val="22"/>
                <w:szCs w:val="22"/>
              </w:rPr>
            </w:pPr>
          </w:p>
        </w:tc>
      </w:tr>
      <w:tr w:rsidR="00B15F7D" w:rsidRPr="00990FB6" w14:paraId="15BA5CA2" w14:textId="77777777" w:rsidTr="000A0C22">
        <w:trPr>
          <w:trHeight w:val="330"/>
          <w:jc w:val="center"/>
        </w:trPr>
        <w:tc>
          <w:tcPr>
            <w:tcW w:w="686" w:type="pct"/>
            <w:tcBorders>
              <w:top w:val="single" w:sz="4" w:space="0" w:color="auto"/>
              <w:left w:val="single" w:sz="4" w:space="0" w:color="auto"/>
              <w:bottom w:val="single" w:sz="4" w:space="0" w:color="auto"/>
              <w:right w:val="single" w:sz="4" w:space="0" w:color="auto"/>
            </w:tcBorders>
            <w:noWrap/>
            <w:vAlign w:val="bottom"/>
            <w:hideMark/>
          </w:tcPr>
          <w:p w14:paraId="6D37DEBE" w14:textId="77777777" w:rsidR="00B15F7D" w:rsidRPr="00990FB6" w:rsidRDefault="00B15F7D" w:rsidP="00B15F7D">
            <w:pPr>
              <w:jc w:val="center"/>
              <w:rPr>
                <w:sz w:val="22"/>
                <w:szCs w:val="22"/>
                <w:lang w:eastAsia="es-CR"/>
              </w:rPr>
            </w:pPr>
            <w:r w:rsidRPr="00990FB6">
              <w:rPr>
                <w:sz w:val="22"/>
                <w:szCs w:val="22"/>
                <w:lang w:eastAsia="es-CR"/>
              </w:rPr>
              <w:t>50105</w:t>
            </w:r>
          </w:p>
        </w:tc>
        <w:tc>
          <w:tcPr>
            <w:tcW w:w="474" w:type="pct"/>
            <w:tcBorders>
              <w:top w:val="single" w:sz="4" w:space="0" w:color="auto"/>
              <w:left w:val="single" w:sz="4" w:space="0" w:color="auto"/>
              <w:bottom w:val="single" w:sz="4" w:space="0" w:color="auto"/>
              <w:right w:val="single" w:sz="4" w:space="0" w:color="auto"/>
            </w:tcBorders>
            <w:noWrap/>
            <w:vAlign w:val="bottom"/>
            <w:hideMark/>
          </w:tcPr>
          <w:p w14:paraId="1369120B" w14:textId="77777777" w:rsidR="00B15F7D" w:rsidRPr="00990FB6" w:rsidRDefault="00B15F7D" w:rsidP="00B15F7D">
            <w:pPr>
              <w:jc w:val="center"/>
              <w:rPr>
                <w:sz w:val="22"/>
                <w:szCs w:val="22"/>
                <w:lang w:eastAsia="es-CR"/>
              </w:rPr>
            </w:pPr>
            <w:r w:rsidRPr="00990FB6">
              <w:rPr>
                <w:sz w:val="22"/>
                <w:szCs w:val="22"/>
                <w:lang w:eastAsia="es-CR"/>
              </w:rPr>
              <w:t>19604</w:t>
            </w:r>
          </w:p>
        </w:tc>
        <w:tc>
          <w:tcPr>
            <w:tcW w:w="1755" w:type="pct"/>
            <w:tcBorders>
              <w:top w:val="single" w:sz="4" w:space="0" w:color="auto"/>
              <w:left w:val="single" w:sz="4" w:space="0" w:color="auto"/>
              <w:bottom w:val="single" w:sz="4" w:space="0" w:color="auto"/>
              <w:right w:val="single" w:sz="4" w:space="0" w:color="auto"/>
            </w:tcBorders>
            <w:noWrap/>
            <w:vAlign w:val="bottom"/>
            <w:hideMark/>
          </w:tcPr>
          <w:p w14:paraId="40E5DC94" w14:textId="77777777" w:rsidR="00B15F7D" w:rsidRPr="00990FB6" w:rsidRDefault="00B15F7D" w:rsidP="00B15F7D">
            <w:pPr>
              <w:rPr>
                <w:sz w:val="22"/>
                <w:szCs w:val="22"/>
                <w:lang w:eastAsia="es-CR"/>
              </w:rPr>
            </w:pPr>
            <w:r w:rsidRPr="00990FB6">
              <w:rPr>
                <w:sz w:val="22"/>
                <w:szCs w:val="22"/>
                <w:lang w:eastAsia="es-CR"/>
              </w:rPr>
              <w:t>Computadora</w:t>
            </w:r>
          </w:p>
        </w:tc>
        <w:tc>
          <w:tcPr>
            <w:tcW w:w="580" w:type="pct"/>
            <w:tcBorders>
              <w:top w:val="single" w:sz="4" w:space="0" w:color="auto"/>
              <w:left w:val="single" w:sz="4" w:space="0" w:color="auto"/>
              <w:bottom w:val="single" w:sz="4" w:space="0" w:color="auto"/>
              <w:right w:val="single" w:sz="4" w:space="0" w:color="auto"/>
            </w:tcBorders>
            <w:noWrap/>
            <w:vAlign w:val="center"/>
            <w:hideMark/>
          </w:tcPr>
          <w:p w14:paraId="4D4BF687" w14:textId="77777777" w:rsidR="00B15F7D" w:rsidRPr="00990FB6" w:rsidRDefault="00B15F7D" w:rsidP="00B15F7D">
            <w:pPr>
              <w:jc w:val="center"/>
              <w:rPr>
                <w:sz w:val="22"/>
                <w:szCs w:val="22"/>
                <w:lang w:eastAsia="es-CR"/>
              </w:rPr>
            </w:pPr>
            <w:r w:rsidRPr="00990FB6">
              <w:rPr>
                <w:sz w:val="22"/>
                <w:szCs w:val="22"/>
                <w:lang w:eastAsia="es-CR"/>
              </w:rPr>
              <w:t>1</w:t>
            </w:r>
          </w:p>
        </w:tc>
        <w:tc>
          <w:tcPr>
            <w:tcW w:w="746" w:type="pct"/>
            <w:gridSpan w:val="2"/>
            <w:tcBorders>
              <w:top w:val="single" w:sz="4" w:space="0" w:color="auto"/>
              <w:left w:val="single" w:sz="4" w:space="0" w:color="auto"/>
              <w:bottom w:val="single" w:sz="4" w:space="0" w:color="auto"/>
              <w:right w:val="single" w:sz="4" w:space="0" w:color="auto"/>
            </w:tcBorders>
            <w:noWrap/>
            <w:vAlign w:val="center"/>
            <w:hideMark/>
          </w:tcPr>
          <w:p w14:paraId="763D6DEF" w14:textId="77777777" w:rsidR="00B15F7D" w:rsidRPr="00990FB6" w:rsidRDefault="00B15F7D" w:rsidP="00B15F7D">
            <w:pPr>
              <w:jc w:val="right"/>
              <w:rPr>
                <w:sz w:val="22"/>
                <w:szCs w:val="22"/>
                <w:lang w:eastAsia="es-CR"/>
              </w:rPr>
            </w:pPr>
            <w:r w:rsidRPr="00990FB6">
              <w:rPr>
                <w:sz w:val="22"/>
                <w:szCs w:val="22"/>
                <w:lang w:eastAsia="es-CR"/>
              </w:rPr>
              <w:t>823 609,60</w:t>
            </w:r>
          </w:p>
        </w:tc>
        <w:tc>
          <w:tcPr>
            <w:tcW w:w="680" w:type="pct"/>
            <w:gridSpan w:val="2"/>
            <w:tcBorders>
              <w:top w:val="single" w:sz="4" w:space="0" w:color="auto"/>
              <w:left w:val="single" w:sz="4" w:space="0" w:color="auto"/>
              <w:bottom w:val="single" w:sz="4" w:space="0" w:color="auto"/>
              <w:right w:val="single" w:sz="4" w:space="0" w:color="auto"/>
            </w:tcBorders>
            <w:noWrap/>
            <w:vAlign w:val="center"/>
            <w:hideMark/>
          </w:tcPr>
          <w:p w14:paraId="2DAF624F" w14:textId="77777777" w:rsidR="00B15F7D" w:rsidRPr="00990FB6" w:rsidRDefault="00B15F7D" w:rsidP="00B15F7D">
            <w:pPr>
              <w:jc w:val="right"/>
              <w:rPr>
                <w:b/>
                <w:bCs/>
                <w:sz w:val="22"/>
                <w:szCs w:val="22"/>
                <w:lang w:eastAsia="es-CR"/>
              </w:rPr>
            </w:pPr>
            <w:r w:rsidRPr="00990FB6">
              <w:rPr>
                <w:b/>
                <w:bCs/>
                <w:sz w:val="22"/>
                <w:szCs w:val="22"/>
                <w:lang w:eastAsia="es-CR"/>
              </w:rPr>
              <w:t>823 610</w:t>
            </w:r>
          </w:p>
        </w:tc>
        <w:tc>
          <w:tcPr>
            <w:tcW w:w="79" w:type="pct"/>
            <w:tcBorders>
              <w:top w:val="nil"/>
              <w:left w:val="single" w:sz="4" w:space="0" w:color="auto"/>
              <w:bottom w:val="nil"/>
              <w:right w:val="nil"/>
            </w:tcBorders>
            <w:vAlign w:val="center"/>
            <w:hideMark/>
          </w:tcPr>
          <w:p w14:paraId="3C5B4D89" w14:textId="77777777" w:rsidR="00B15F7D" w:rsidRPr="00990FB6" w:rsidRDefault="00B15F7D" w:rsidP="00B15F7D">
            <w:pPr>
              <w:rPr>
                <w:b/>
                <w:bCs/>
                <w:sz w:val="22"/>
                <w:szCs w:val="22"/>
                <w:lang w:eastAsia="es-CR"/>
              </w:rPr>
            </w:pPr>
          </w:p>
        </w:tc>
      </w:tr>
      <w:tr w:rsidR="00B15F7D" w:rsidRPr="00990FB6" w14:paraId="4AB99D13" w14:textId="77777777" w:rsidTr="000A0C22">
        <w:trPr>
          <w:trHeight w:val="330"/>
          <w:jc w:val="center"/>
        </w:trPr>
        <w:tc>
          <w:tcPr>
            <w:tcW w:w="686" w:type="pct"/>
            <w:tcBorders>
              <w:top w:val="single" w:sz="4" w:space="0" w:color="auto"/>
              <w:left w:val="single" w:sz="4" w:space="0" w:color="auto"/>
              <w:bottom w:val="single" w:sz="4" w:space="0" w:color="auto"/>
              <w:right w:val="single" w:sz="4" w:space="0" w:color="auto"/>
            </w:tcBorders>
            <w:noWrap/>
            <w:vAlign w:val="bottom"/>
            <w:hideMark/>
          </w:tcPr>
          <w:p w14:paraId="298080DB" w14:textId="77777777" w:rsidR="00B15F7D" w:rsidRPr="00990FB6" w:rsidRDefault="00B15F7D" w:rsidP="00B15F7D">
            <w:pPr>
              <w:jc w:val="center"/>
              <w:rPr>
                <w:sz w:val="22"/>
                <w:szCs w:val="22"/>
                <w:lang w:eastAsia="es-CR"/>
              </w:rPr>
            </w:pPr>
            <w:r w:rsidRPr="00990FB6">
              <w:rPr>
                <w:sz w:val="22"/>
                <w:szCs w:val="22"/>
                <w:lang w:eastAsia="es-CR"/>
              </w:rPr>
              <w:t>50104</w:t>
            </w:r>
          </w:p>
        </w:tc>
        <w:tc>
          <w:tcPr>
            <w:tcW w:w="474" w:type="pct"/>
            <w:tcBorders>
              <w:top w:val="single" w:sz="4" w:space="0" w:color="auto"/>
              <w:left w:val="single" w:sz="4" w:space="0" w:color="auto"/>
              <w:bottom w:val="single" w:sz="4" w:space="0" w:color="auto"/>
              <w:right w:val="single" w:sz="4" w:space="0" w:color="auto"/>
            </w:tcBorders>
            <w:noWrap/>
            <w:vAlign w:val="bottom"/>
            <w:hideMark/>
          </w:tcPr>
          <w:p w14:paraId="41DC0868" w14:textId="77777777" w:rsidR="00B15F7D" w:rsidRPr="00990FB6" w:rsidRDefault="00B15F7D" w:rsidP="00B15F7D">
            <w:pPr>
              <w:jc w:val="center"/>
              <w:rPr>
                <w:sz w:val="22"/>
                <w:szCs w:val="22"/>
                <w:lang w:eastAsia="es-CR"/>
              </w:rPr>
            </w:pPr>
            <w:r w:rsidRPr="00990FB6">
              <w:rPr>
                <w:sz w:val="22"/>
                <w:szCs w:val="22"/>
                <w:lang w:eastAsia="es-CR"/>
              </w:rPr>
              <w:t>21018</w:t>
            </w:r>
          </w:p>
        </w:tc>
        <w:tc>
          <w:tcPr>
            <w:tcW w:w="1755" w:type="pct"/>
            <w:tcBorders>
              <w:top w:val="single" w:sz="4" w:space="0" w:color="auto"/>
              <w:left w:val="single" w:sz="4" w:space="0" w:color="auto"/>
              <w:bottom w:val="single" w:sz="4" w:space="0" w:color="auto"/>
              <w:right w:val="single" w:sz="4" w:space="0" w:color="auto"/>
            </w:tcBorders>
            <w:noWrap/>
            <w:vAlign w:val="bottom"/>
            <w:hideMark/>
          </w:tcPr>
          <w:p w14:paraId="313B561F" w14:textId="77777777" w:rsidR="00B15F7D" w:rsidRPr="00990FB6" w:rsidRDefault="00B15F7D" w:rsidP="00B15F7D">
            <w:pPr>
              <w:rPr>
                <w:sz w:val="22"/>
                <w:szCs w:val="22"/>
                <w:lang w:eastAsia="es-CR"/>
              </w:rPr>
            </w:pPr>
            <w:r w:rsidRPr="00990FB6">
              <w:rPr>
                <w:sz w:val="22"/>
                <w:szCs w:val="22"/>
                <w:lang w:eastAsia="es-CR"/>
              </w:rPr>
              <w:t xml:space="preserve">Estación de servicio con </w:t>
            </w:r>
            <w:proofErr w:type="spellStart"/>
            <w:r w:rsidRPr="00990FB6">
              <w:rPr>
                <w:sz w:val="22"/>
                <w:szCs w:val="22"/>
                <w:lang w:eastAsia="es-CR"/>
              </w:rPr>
              <w:t>aditamiento</w:t>
            </w:r>
            <w:proofErr w:type="spellEnd"/>
            <w:r w:rsidRPr="00990FB6">
              <w:rPr>
                <w:sz w:val="22"/>
                <w:szCs w:val="22"/>
                <w:lang w:eastAsia="es-CR"/>
              </w:rPr>
              <w:t xml:space="preserve"> para mouse</w:t>
            </w:r>
          </w:p>
        </w:tc>
        <w:tc>
          <w:tcPr>
            <w:tcW w:w="580" w:type="pct"/>
            <w:tcBorders>
              <w:top w:val="single" w:sz="4" w:space="0" w:color="auto"/>
              <w:left w:val="single" w:sz="4" w:space="0" w:color="auto"/>
              <w:bottom w:val="single" w:sz="4" w:space="0" w:color="auto"/>
              <w:right w:val="single" w:sz="4" w:space="0" w:color="auto"/>
            </w:tcBorders>
            <w:noWrap/>
            <w:vAlign w:val="center"/>
            <w:hideMark/>
          </w:tcPr>
          <w:p w14:paraId="4C63C305" w14:textId="77777777" w:rsidR="00B15F7D" w:rsidRPr="00990FB6" w:rsidRDefault="00B15F7D" w:rsidP="00B15F7D">
            <w:pPr>
              <w:jc w:val="center"/>
              <w:rPr>
                <w:sz w:val="22"/>
                <w:szCs w:val="22"/>
                <w:lang w:eastAsia="es-CR"/>
              </w:rPr>
            </w:pPr>
            <w:r w:rsidRPr="00990FB6">
              <w:rPr>
                <w:sz w:val="22"/>
                <w:szCs w:val="22"/>
                <w:lang w:eastAsia="es-CR"/>
              </w:rPr>
              <w:t>1</w:t>
            </w:r>
          </w:p>
        </w:tc>
        <w:tc>
          <w:tcPr>
            <w:tcW w:w="746" w:type="pct"/>
            <w:gridSpan w:val="2"/>
            <w:tcBorders>
              <w:top w:val="single" w:sz="4" w:space="0" w:color="auto"/>
              <w:left w:val="single" w:sz="4" w:space="0" w:color="auto"/>
              <w:bottom w:val="single" w:sz="4" w:space="0" w:color="auto"/>
              <w:right w:val="single" w:sz="4" w:space="0" w:color="auto"/>
            </w:tcBorders>
            <w:noWrap/>
            <w:vAlign w:val="center"/>
            <w:hideMark/>
          </w:tcPr>
          <w:p w14:paraId="2A3D75E7" w14:textId="77777777" w:rsidR="00B15F7D" w:rsidRPr="00990FB6" w:rsidRDefault="00B15F7D" w:rsidP="00B15F7D">
            <w:pPr>
              <w:jc w:val="right"/>
              <w:rPr>
                <w:sz w:val="22"/>
                <w:szCs w:val="22"/>
                <w:lang w:eastAsia="es-CR"/>
              </w:rPr>
            </w:pPr>
            <w:r w:rsidRPr="00990FB6">
              <w:rPr>
                <w:sz w:val="22"/>
                <w:szCs w:val="22"/>
                <w:lang w:eastAsia="es-CR"/>
              </w:rPr>
              <w:t>153 950,07</w:t>
            </w:r>
          </w:p>
        </w:tc>
        <w:tc>
          <w:tcPr>
            <w:tcW w:w="680" w:type="pct"/>
            <w:gridSpan w:val="2"/>
            <w:tcBorders>
              <w:top w:val="single" w:sz="4" w:space="0" w:color="auto"/>
              <w:left w:val="single" w:sz="4" w:space="0" w:color="auto"/>
              <w:bottom w:val="single" w:sz="4" w:space="0" w:color="auto"/>
              <w:right w:val="single" w:sz="4" w:space="0" w:color="auto"/>
            </w:tcBorders>
            <w:noWrap/>
            <w:vAlign w:val="center"/>
            <w:hideMark/>
          </w:tcPr>
          <w:p w14:paraId="12E0E5A7" w14:textId="77777777" w:rsidR="00B15F7D" w:rsidRPr="00990FB6" w:rsidRDefault="00B15F7D" w:rsidP="00B15F7D">
            <w:pPr>
              <w:jc w:val="right"/>
              <w:rPr>
                <w:b/>
                <w:bCs/>
                <w:sz w:val="22"/>
                <w:szCs w:val="22"/>
                <w:lang w:eastAsia="es-CR"/>
              </w:rPr>
            </w:pPr>
            <w:r w:rsidRPr="00990FB6">
              <w:rPr>
                <w:b/>
                <w:bCs/>
                <w:sz w:val="22"/>
                <w:szCs w:val="22"/>
                <w:lang w:eastAsia="es-CR"/>
              </w:rPr>
              <w:t>153 950</w:t>
            </w:r>
          </w:p>
        </w:tc>
        <w:tc>
          <w:tcPr>
            <w:tcW w:w="79" w:type="pct"/>
            <w:tcBorders>
              <w:top w:val="nil"/>
              <w:left w:val="single" w:sz="4" w:space="0" w:color="auto"/>
              <w:bottom w:val="nil"/>
              <w:right w:val="nil"/>
            </w:tcBorders>
            <w:vAlign w:val="center"/>
            <w:hideMark/>
          </w:tcPr>
          <w:p w14:paraId="58D6FD20" w14:textId="77777777" w:rsidR="00B15F7D" w:rsidRPr="00990FB6" w:rsidRDefault="00B15F7D" w:rsidP="00B15F7D">
            <w:pPr>
              <w:rPr>
                <w:b/>
                <w:bCs/>
                <w:sz w:val="22"/>
                <w:szCs w:val="22"/>
                <w:lang w:eastAsia="es-CR"/>
              </w:rPr>
            </w:pPr>
          </w:p>
        </w:tc>
      </w:tr>
      <w:tr w:rsidR="00B15F7D" w:rsidRPr="00990FB6" w14:paraId="7C13DB4D" w14:textId="77777777" w:rsidTr="000A0C22">
        <w:trPr>
          <w:trHeight w:val="330"/>
          <w:jc w:val="center"/>
        </w:trPr>
        <w:tc>
          <w:tcPr>
            <w:tcW w:w="686" w:type="pct"/>
            <w:tcBorders>
              <w:top w:val="single" w:sz="4" w:space="0" w:color="auto"/>
              <w:left w:val="single" w:sz="4" w:space="0" w:color="auto"/>
              <w:bottom w:val="single" w:sz="4" w:space="0" w:color="auto"/>
              <w:right w:val="single" w:sz="4" w:space="0" w:color="auto"/>
            </w:tcBorders>
            <w:noWrap/>
            <w:vAlign w:val="bottom"/>
            <w:hideMark/>
          </w:tcPr>
          <w:p w14:paraId="4DCBC3AF" w14:textId="77777777" w:rsidR="00B15F7D" w:rsidRPr="00990FB6" w:rsidRDefault="00B15F7D" w:rsidP="00B15F7D">
            <w:pPr>
              <w:jc w:val="center"/>
              <w:rPr>
                <w:sz w:val="22"/>
                <w:szCs w:val="22"/>
                <w:lang w:eastAsia="es-CR"/>
              </w:rPr>
            </w:pPr>
            <w:r w:rsidRPr="00990FB6">
              <w:rPr>
                <w:sz w:val="22"/>
                <w:szCs w:val="22"/>
                <w:lang w:eastAsia="es-CR"/>
              </w:rPr>
              <w:t>50104</w:t>
            </w:r>
          </w:p>
        </w:tc>
        <w:tc>
          <w:tcPr>
            <w:tcW w:w="474" w:type="pct"/>
            <w:tcBorders>
              <w:top w:val="single" w:sz="4" w:space="0" w:color="auto"/>
              <w:left w:val="single" w:sz="4" w:space="0" w:color="auto"/>
              <w:bottom w:val="single" w:sz="4" w:space="0" w:color="auto"/>
              <w:right w:val="single" w:sz="4" w:space="0" w:color="auto"/>
            </w:tcBorders>
            <w:noWrap/>
            <w:vAlign w:val="bottom"/>
            <w:hideMark/>
          </w:tcPr>
          <w:p w14:paraId="1D1EEBFD" w14:textId="77777777" w:rsidR="00B15F7D" w:rsidRPr="00990FB6" w:rsidRDefault="00B15F7D" w:rsidP="00B15F7D">
            <w:pPr>
              <w:jc w:val="center"/>
              <w:rPr>
                <w:sz w:val="22"/>
                <w:szCs w:val="22"/>
                <w:lang w:eastAsia="es-CR"/>
              </w:rPr>
            </w:pPr>
            <w:r w:rsidRPr="00990FB6">
              <w:rPr>
                <w:sz w:val="22"/>
                <w:szCs w:val="22"/>
                <w:lang w:eastAsia="es-CR"/>
              </w:rPr>
              <w:t>16753</w:t>
            </w:r>
          </w:p>
        </w:tc>
        <w:tc>
          <w:tcPr>
            <w:tcW w:w="1755" w:type="pct"/>
            <w:tcBorders>
              <w:top w:val="single" w:sz="4" w:space="0" w:color="auto"/>
              <w:left w:val="single" w:sz="4" w:space="0" w:color="auto"/>
              <w:bottom w:val="single" w:sz="4" w:space="0" w:color="auto"/>
              <w:right w:val="single" w:sz="4" w:space="0" w:color="auto"/>
            </w:tcBorders>
            <w:noWrap/>
            <w:vAlign w:val="bottom"/>
            <w:hideMark/>
          </w:tcPr>
          <w:p w14:paraId="46501377" w14:textId="77777777" w:rsidR="00B15F7D" w:rsidRPr="00990FB6" w:rsidRDefault="00B15F7D" w:rsidP="00B15F7D">
            <w:pPr>
              <w:rPr>
                <w:sz w:val="22"/>
                <w:szCs w:val="22"/>
                <w:lang w:eastAsia="es-CR"/>
              </w:rPr>
            </w:pPr>
            <w:r w:rsidRPr="00990FB6">
              <w:rPr>
                <w:sz w:val="22"/>
                <w:szCs w:val="22"/>
                <w:lang w:eastAsia="es-CR"/>
              </w:rPr>
              <w:t>Silla giratoria secretarial (ergonómica)</w:t>
            </w:r>
          </w:p>
        </w:tc>
        <w:tc>
          <w:tcPr>
            <w:tcW w:w="580" w:type="pct"/>
            <w:tcBorders>
              <w:top w:val="single" w:sz="4" w:space="0" w:color="auto"/>
              <w:left w:val="single" w:sz="4" w:space="0" w:color="auto"/>
              <w:bottom w:val="single" w:sz="4" w:space="0" w:color="auto"/>
              <w:right w:val="single" w:sz="4" w:space="0" w:color="auto"/>
            </w:tcBorders>
            <w:noWrap/>
            <w:vAlign w:val="center"/>
            <w:hideMark/>
          </w:tcPr>
          <w:p w14:paraId="09078BCF" w14:textId="77777777" w:rsidR="00B15F7D" w:rsidRPr="00990FB6" w:rsidRDefault="00B15F7D" w:rsidP="00B15F7D">
            <w:pPr>
              <w:jc w:val="center"/>
              <w:rPr>
                <w:sz w:val="22"/>
                <w:szCs w:val="22"/>
                <w:lang w:eastAsia="es-CR"/>
              </w:rPr>
            </w:pPr>
            <w:r w:rsidRPr="00990FB6">
              <w:rPr>
                <w:sz w:val="22"/>
                <w:szCs w:val="22"/>
                <w:lang w:eastAsia="es-CR"/>
              </w:rPr>
              <w:t>1</w:t>
            </w:r>
          </w:p>
        </w:tc>
        <w:tc>
          <w:tcPr>
            <w:tcW w:w="746" w:type="pct"/>
            <w:gridSpan w:val="2"/>
            <w:tcBorders>
              <w:top w:val="single" w:sz="4" w:space="0" w:color="auto"/>
              <w:left w:val="single" w:sz="4" w:space="0" w:color="auto"/>
              <w:bottom w:val="single" w:sz="4" w:space="0" w:color="auto"/>
              <w:right w:val="single" w:sz="4" w:space="0" w:color="auto"/>
            </w:tcBorders>
            <w:noWrap/>
            <w:vAlign w:val="center"/>
            <w:hideMark/>
          </w:tcPr>
          <w:p w14:paraId="018B33EF" w14:textId="77777777" w:rsidR="00B15F7D" w:rsidRPr="00990FB6" w:rsidRDefault="00B15F7D" w:rsidP="00B15F7D">
            <w:pPr>
              <w:jc w:val="right"/>
              <w:rPr>
                <w:sz w:val="22"/>
                <w:szCs w:val="22"/>
                <w:lang w:eastAsia="es-CR"/>
              </w:rPr>
            </w:pPr>
            <w:r w:rsidRPr="00990FB6">
              <w:rPr>
                <w:sz w:val="22"/>
                <w:szCs w:val="22"/>
                <w:lang w:eastAsia="es-CR"/>
              </w:rPr>
              <w:t>81 360,00</w:t>
            </w:r>
          </w:p>
        </w:tc>
        <w:tc>
          <w:tcPr>
            <w:tcW w:w="680" w:type="pct"/>
            <w:gridSpan w:val="2"/>
            <w:tcBorders>
              <w:top w:val="single" w:sz="4" w:space="0" w:color="auto"/>
              <w:left w:val="single" w:sz="4" w:space="0" w:color="auto"/>
              <w:bottom w:val="single" w:sz="4" w:space="0" w:color="auto"/>
              <w:right w:val="single" w:sz="4" w:space="0" w:color="auto"/>
            </w:tcBorders>
            <w:noWrap/>
            <w:vAlign w:val="center"/>
            <w:hideMark/>
          </w:tcPr>
          <w:p w14:paraId="5453FFFC" w14:textId="77777777" w:rsidR="00B15F7D" w:rsidRPr="00990FB6" w:rsidRDefault="00B15F7D" w:rsidP="00B15F7D">
            <w:pPr>
              <w:jc w:val="right"/>
              <w:rPr>
                <w:b/>
                <w:bCs/>
                <w:sz w:val="22"/>
                <w:szCs w:val="22"/>
                <w:lang w:eastAsia="es-CR"/>
              </w:rPr>
            </w:pPr>
            <w:r w:rsidRPr="00990FB6">
              <w:rPr>
                <w:b/>
                <w:bCs/>
                <w:sz w:val="22"/>
                <w:szCs w:val="22"/>
                <w:lang w:eastAsia="es-CR"/>
              </w:rPr>
              <w:t>81 360</w:t>
            </w:r>
          </w:p>
        </w:tc>
        <w:tc>
          <w:tcPr>
            <w:tcW w:w="79" w:type="pct"/>
            <w:tcBorders>
              <w:top w:val="nil"/>
              <w:left w:val="single" w:sz="4" w:space="0" w:color="auto"/>
              <w:bottom w:val="nil"/>
              <w:right w:val="nil"/>
            </w:tcBorders>
            <w:vAlign w:val="center"/>
            <w:hideMark/>
          </w:tcPr>
          <w:p w14:paraId="35904E2D" w14:textId="77777777" w:rsidR="00B15F7D" w:rsidRPr="00990FB6" w:rsidRDefault="00B15F7D" w:rsidP="00B15F7D">
            <w:pPr>
              <w:rPr>
                <w:b/>
                <w:bCs/>
                <w:sz w:val="22"/>
                <w:szCs w:val="22"/>
                <w:lang w:eastAsia="es-CR"/>
              </w:rPr>
            </w:pPr>
          </w:p>
        </w:tc>
      </w:tr>
      <w:tr w:rsidR="00B15F7D" w:rsidRPr="00990FB6" w14:paraId="60F35BDE" w14:textId="77777777" w:rsidTr="000A0C22">
        <w:trPr>
          <w:trHeight w:val="330"/>
          <w:jc w:val="center"/>
        </w:trPr>
        <w:tc>
          <w:tcPr>
            <w:tcW w:w="686" w:type="pct"/>
            <w:tcBorders>
              <w:top w:val="single" w:sz="4" w:space="0" w:color="auto"/>
              <w:left w:val="single" w:sz="4" w:space="0" w:color="auto"/>
              <w:bottom w:val="single" w:sz="4" w:space="0" w:color="auto"/>
              <w:right w:val="single" w:sz="4" w:space="0" w:color="auto"/>
            </w:tcBorders>
            <w:noWrap/>
            <w:vAlign w:val="bottom"/>
            <w:hideMark/>
          </w:tcPr>
          <w:p w14:paraId="20D119B4" w14:textId="77777777" w:rsidR="00B15F7D" w:rsidRPr="00990FB6" w:rsidRDefault="00B15F7D" w:rsidP="00B15F7D">
            <w:pPr>
              <w:jc w:val="center"/>
              <w:rPr>
                <w:sz w:val="22"/>
                <w:szCs w:val="22"/>
                <w:lang w:eastAsia="es-CR"/>
              </w:rPr>
            </w:pPr>
            <w:r w:rsidRPr="00990FB6">
              <w:rPr>
                <w:sz w:val="22"/>
                <w:szCs w:val="22"/>
                <w:lang w:eastAsia="es-CR"/>
              </w:rPr>
              <w:t>59903</w:t>
            </w:r>
          </w:p>
        </w:tc>
        <w:tc>
          <w:tcPr>
            <w:tcW w:w="474" w:type="pct"/>
            <w:tcBorders>
              <w:top w:val="single" w:sz="4" w:space="0" w:color="auto"/>
              <w:left w:val="single" w:sz="4" w:space="0" w:color="auto"/>
              <w:bottom w:val="single" w:sz="4" w:space="0" w:color="auto"/>
              <w:right w:val="single" w:sz="4" w:space="0" w:color="auto"/>
            </w:tcBorders>
            <w:noWrap/>
            <w:vAlign w:val="center"/>
            <w:hideMark/>
          </w:tcPr>
          <w:p w14:paraId="10D3C444" w14:textId="77777777" w:rsidR="00B15F7D" w:rsidRPr="00990FB6" w:rsidRDefault="00B15F7D" w:rsidP="00B15F7D">
            <w:pPr>
              <w:jc w:val="center"/>
              <w:rPr>
                <w:sz w:val="22"/>
                <w:szCs w:val="22"/>
                <w:lang w:eastAsia="es-CR"/>
              </w:rPr>
            </w:pPr>
            <w:r w:rsidRPr="00990FB6">
              <w:rPr>
                <w:sz w:val="22"/>
                <w:szCs w:val="22"/>
              </w:rPr>
              <w:t>23409</w:t>
            </w:r>
          </w:p>
        </w:tc>
        <w:tc>
          <w:tcPr>
            <w:tcW w:w="1755" w:type="pct"/>
            <w:tcBorders>
              <w:top w:val="single" w:sz="4" w:space="0" w:color="auto"/>
              <w:left w:val="single" w:sz="4" w:space="0" w:color="auto"/>
              <w:bottom w:val="single" w:sz="4" w:space="0" w:color="auto"/>
              <w:right w:val="single" w:sz="4" w:space="0" w:color="auto"/>
            </w:tcBorders>
            <w:noWrap/>
            <w:vAlign w:val="center"/>
            <w:hideMark/>
          </w:tcPr>
          <w:p w14:paraId="271D2F2F" w14:textId="77777777" w:rsidR="00B15F7D" w:rsidRPr="00990FB6" w:rsidRDefault="00B15F7D" w:rsidP="00B15F7D">
            <w:pPr>
              <w:rPr>
                <w:sz w:val="22"/>
                <w:szCs w:val="22"/>
                <w:lang w:eastAsia="es-CR"/>
              </w:rPr>
            </w:pPr>
            <w:r w:rsidRPr="00990FB6">
              <w:rPr>
                <w:sz w:val="22"/>
                <w:szCs w:val="22"/>
              </w:rPr>
              <w:t>Licencias de software o renovación (Licencia E3)</w:t>
            </w:r>
          </w:p>
        </w:tc>
        <w:tc>
          <w:tcPr>
            <w:tcW w:w="580" w:type="pct"/>
            <w:tcBorders>
              <w:top w:val="single" w:sz="4" w:space="0" w:color="auto"/>
              <w:left w:val="single" w:sz="4" w:space="0" w:color="auto"/>
              <w:bottom w:val="single" w:sz="4" w:space="0" w:color="auto"/>
              <w:right w:val="single" w:sz="4" w:space="0" w:color="auto"/>
            </w:tcBorders>
            <w:noWrap/>
            <w:vAlign w:val="center"/>
            <w:hideMark/>
          </w:tcPr>
          <w:p w14:paraId="25A7E6AF" w14:textId="77777777" w:rsidR="00B15F7D" w:rsidRPr="00990FB6" w:rsidRDefault="00B15F7D" w:rsidP="00B15F7D">
            <w:pPr>
              <w:jc w:val="center"/>
              <w:rPr>
                <w:sz w:val="22"/>
                <w:szCs w:val="22"/>
                <w:lang w:eastAsia="es-CR"/>
              </w:rPr>
            </w:pPr>
            <w:r w:rsidRPr="00990FB6">
              <w:rPr>
                <w:sz w:val="22"/>
                <w:szCs w:val="22"/>
                <w:lang w:eastAsia="es-CR"/>
              </w:rPr>
              <w:t>1</w:t>
            </w:r>
          </w:p>
        </w:tc>
        <w:tc>
          <w:tcPr>
            <w:tcW w:w="746" w:type="pct"/>
            <w:gridSpan w:val="2"/>
            <w:tcBorders>
              <w:top w:val="single" w:sz="4" w:space="0" w:color="auto"/>
              <w:left w:val="single" w:sz="4" w:space="0" w:color="auto"/>
              <w:bottom w:val="single" w:sz="4" w:space="0" w:color="auto"/>
              <w:right w:val="single" w:sz="4" w:space="0" w:color="auto"/>
            </w:tcBorders>
            <w:noWrap/>
            <w:vAlign w:val="center"/>
            <w:hideMark/>
          </w:tcPr>
          <w:p w14:paraId="35497B6D" w14:textId="77777777" w:rsidR="00B15F7D" w:rsidRPr="00990FB6" w:rsidRDefault="00B15F7D" w:rsidP="00B15F7D">
            <w:pPr>
              <w:jc w:val="right"/>
              <w:rPr>
                <w:sz w:val="22"/>
                <w:szCs w:val="22"/>
                <w:lang w:eastAsia="es-CR"/>
              </w:rPr>
            </w:pPr>
            <w:r w:rsidRPr="00990FB6">
              <w:rPr>
                <w:sz w:val="22"/>
                <w:szCs w:val="22"/>
                <w:lang w:eastAsia="es-CR"/>
              </w:rPr>
              <w:t>114 337,92</w:t>
            </w:r>
          </w:p>
        </w:tc>
        <w:tc>
          <w:tcPr>
            <w:tcW w:w="680" w:type="pct"/>
            <w:gridSpan w:val="2"/>
            <w:tcBorders>
              <w:top w:val="single" w:sz="4" w:space="0" w:color="auto"/>
              <w:left w:val="single" w:sz="4" w:space="0" w:color="auto"/>
              <w:bottom w:val="single" w:sz="4" w:space="0" w:color="auto"/>
              <w:right w:val="single" w:sz="4" w:space="0" w:color="auto"/>
            </w:tcBorders>
            <w:noWrap/>
            <w:vAlign w:val="center"/>
            <w:hideMark/>
          </w:tcPr>
          <w:p w14:paraId="5F10D2BF" w14:textId="77777777" w:rsidR="00B15F7D" w:rsidRPr="00990FB6" w:rsidRDefault="00B15F7D" w:rsidP="00B15F7D">
            <w:pPr>
              <w:jc w:val="right"/>
              <w:rPr>
                <w:b/>
                <w:bCs/>
                <w:sz w:val="22"/>
                <w:szCs w:val="22"/>
                <w:lang w:eastAsia="es-CR"/>
              </w:rPr>
            </w:pPr>
            <w:r w:rsidRPr="00990FB6">
              <w:rPr>
                <w:sz w:val="22"/>
                <w:szCs w:val="22"/>
                <w:lang w:eastAsia="es-CR"/>
              </w:rPr>
              <w:t>114 337,92</w:t>
            </w:r>
          </w:p>
        </w:tc>
        <w:tc>
          <w:tcPr>
            <w:tcW w:w="79" w:type="pct"/>
            <w:tcBorders>
              <w:top w:val="nil"/>
              <w:left w:val="single" w:sz="4" w:space="0" w:color="auto"/>
              <w:bottom w:val="nil"/>
              <w:right w:val="nil"/>
            </w:tcBorders>
            <w:vAlign w:val="center"/>
          </w:tcPr>
          <w:p w14:paraId="2371D489" w14:textId="77777777" w:rsidR="00B15F7D" w:rsidRPr="00990FB6" w:rsidRDefault="00B15F7D" w:rsidP="00B15F7D">
            <w:pPr>
              <w:rPr>
                <w:sz w:val="22"/>
                <w:szCs w:val="22"/>
                <w:lang w:eastAsia="es-CR"/>
              </w:rPr>
            </w:pPr>
          </w:p>
        </w:tc>
      </w:tr>
      <w:tr w:rsidR="00B15F7D" w:rsidRPr="00990FB6" w14:paraId="78C188F5" w14:textId="77777777" w:rsidTr="000A0C22">
        <w:trPr>
          <w:trHeight w:val="280"/>
          <w:jc w:val="center"/>
        </w:trPr>
        <w:tc>
          <w:tcPr>
            <w:tcW w:w="4237" w:type="pct"/>
            <w:gridSpan w:val="5"/>
            <w:shd w:val="clear" w:color="auto" w:fill="92CDDC"/>
            <w:noWrap/>
            <w:vAlign w:val="bottom"/>
            <w:hideMark/>
          </w:tcPr>
          <w:p w14:paraId="73183427" w14:textId="77777777" w:rsidR="00B15F7D" w:rsidRPr="00990FB6" w:rsidRDefault="00B15F7D" w:rsidP="00B15F7D">
            <w:pPr>
              <w:jc w:val="center"/>
              <w:rPr>
                <w:b/>
                <w:bCs/>
                <w:sz w:val="22"/>
                <w:szCs w:val="22"/>
                <w:lang w:eastAsia="es-CR"/>
              </w:rPr>
            </w:pPr>
            <w:r w:rsidRPr="00990FB6">
              <w:rPr>
                <w:b/>
                <w:bCs/>
                <w:sz w:val="22"/>
                <w:szCs w:val="22"/>
                <w:lang w:eastAsia="es-CR"/>
              </w:rPr>
              <w:t xml:space="preserve">TOTAL GASTO VARIABLE </w:t>
            </w:r>
          </w:p>
        </w:tc>
        <w:tc>
          <w:tcPr>
            <w:tcW w:w="680" w:type="pct"/>
            <w:gridSpan w:val="2"/>
            <w:shd w:val="clear" w:color="auto" w:fill="92CDDC"/>
            <w:noWrap/>
            <w:vAlign w:val="bottom"/>
            <w:hideMark/>
          </w:tcPr>
          <w:p w14:paraId="0295BA93" w14:textId="77777777" w:rsidR="00B15F7D" w:rsidRPr="00990FB6" w:rsidRDefault="00B15F7D" w:rsidP="00B15F7D">
            <w:pPr>
              <w:jc w:val="right"/>
              <w:rPr>
                <w:b/>
                <w:bCs/>
                <w:sz w:val="22"/>
                <w:szCs w:val="22"/>
                <w:lang w:eastAsia="es-CR"/>
              </w:rPr>
            </w:pPr>
            <w:r w:rsidRPr="00990FB6">
              <w:rPr>
                <w:b/>
                <w:bCs/>
                <w:sz w:val="22"/>
                <w:szCs w:val="22"/>
                <w:lang w:eastAsia="es-CR"/>
              </w:rPr>
              <w:t>1 173 258</w:t>
            </w:r>
          </w:p>
        </w:tc>
        <w:tc>
          <w:tcPr>
            <w:tcW w:w="79" w:type="pct"/>
            <w:gridSpan w:val="2"/>
            <w:vAlign w:val="center"/>
            <w:hideMark/>
          </w:tcPr>
          <w:p w14:paraId="45235D5D" w14:textId="77777777" w:rsidR="00B15F7D" w:rsidRPr="00990FB6" w:rsidRDefault="00B15F7D" w:rsidP="00B15F7D">
            <w:pPr>
              <w:rPr>
                <w:b/>
                <w:bCs/>
                <w:sz w:val="22"/>
                <w:szCs w:val="22"/>
                <w:lang w:eastAsia="es-CR"/>
              </w:rPr>
            </w:pPr>
          </w:p>
        </w:tc>
      </w:tr>
    </w:tbl>
    <w:p w14:paraId="33B01D7C" w14:textId="77777777" w:rsidR="00B15F7D" w:rsidRPr="00990FB6" w:rsidRDefault="00B15F7D" w:rsidP="00B15F7D">
      <w:pPr>
        <w:keepNext/>
        <w:widowControl w:val="0"/>
        <w:ind w:left="851" w:right="851" w:firstLine="709"/>
        <w:jc w:val="both"/>
        <w:rPr>
          <w:b/>
          <w:sz w:val="22"/>
          <w:szCs w:val="22"/>
          <w:lang w:val="es-MX" w:eastAsia="es-ES"/>
        </w:rPr>
      </w:pPr>
      <w:bookmarkStart w:id="32" w:name="_Toc132639582"/>
      <w:r w:rsidRPr="00990FB6">
        <w:rPr>
          <w:b/>
          <w:sz w:val="22"/>
          <w:szCs w:val="22"/>
          <w:lang w:val="es-MX" w:eastAsia="es-ES"/>
        </w:rPr>
        <w:t>20.1.3 Costo Estimado de la Propuesta</w:t>
      </w:r>
      <w:bookmarkEnd w:id="32"/>
      <w:r w:rsidRPr="00990FB6">
        <w:rPr>
          <w:b/>
          <w:sz w:val="22"/>
          <w:szCs w:val="22"/>
          <w:lang w:val="es-MX" w:eastAsia="es-ES"/>
        </w:rPr>
        <w:t xml:space="preserve"> </w:t>
      </w:r>
    </w:p>
    <w:p w14:paraId="0667E8E7" w14:textId="77777777" w:rsidR="00B15F7D" w:rsidRPr="00990FB6" w:rsidRDefault="00B15F7D" w:rsidP="00B15F7D">
      <w:pPr>
        <w:keepNext/>
        <w:widowControl w:val="0"/>
        <w:ind w:left="851" w:right="851" w:firstLine="709"/>
        <w:jc w:val="both"/>
        <w:rPr>
          <w:b/>
          <w:sz w:val="22"/>
          <w:szCs w:val="22"/>
          <w:lang w:val="es-MX" w:eastAsia="es-ES"/>
        </w:rPr>
      </w:pPr>
    </w:p>
    <w:p w14:paraId="5B5EAB00" w14:textId="77777777" w:rsidR="00B15F7D" w:rsidRPr="00990FB6" w:rsidRDefault="00B15F7D" w:rsidP="00B15F7D">
      <w:pPr>
        <w:ind w:left="851" w:right="851" w:firstLine="709"/>
        <w:jc w:val="both"/>
        <w:rPr>
          <w:sz w:val="22"/>
          <w:szCs w:val="22"/>
        </w:rPr>
      </w:pPr>
      <w:r w:rsidRPr="00990FB6">
        <w:rPr>
          <w:sz w:val="22"/>
          <w:szCs w:val="22"/>
        </w:rPr>
        <w:t>Los cálculos para cuantificar el impacto del Código Procesal Agrario se realizaron en función de la actual carga de trabajo y requerimiento de estructura, sin embrago se hace la observación de que existen datos que no han podido ser cuantificables por las limitaciones actuales de la información cargada en los sistemas informáticos. Por lo tanto, es imposible realizar estimaciones a futuro, sino existen los datos, para analizarlo.</w:t>
      </w:r>
    </w:p>
    <w:p w14:paraId="59D30AF8" w14:textId="77777777" w:rsidR="00B15F7D" w:rsidRPr="00990FB6" w:rsidRDefault="00B15F7D" w:rsidP="00B15F7D">
      <w:pPr>
        <w:ind w:left="851" w:right="851" w:firstLine="709"/>
        <w:jc w:val="both"/>
        <w:rPr>
          <w:sz w:val="22"/>
          <w:szCs w:val="22"/>
        </w:rPr>
      </w:pPr>
    </w:p>
    <w:p w14:paraId="1058C27C" w14:textId="77777777" w:rsidR="00B15F7D" w:rsidRPr="00990FB6" w:rsidRDefault="00B15F7D" w:rsidP="00B15F7D">
      <w:pPr>
        <w:ind w:left="851" w:right="851" w:firstLine="709"/>
        <w:jc w:val="both"/>
        <w:rPr>
          <w:sz w:val="22"/>
          <w:szCs w:val="22"/>
        </w:rPr>
      </w:pPr>
      <w:r w:rsidRPr="00990FB6">
        <w:rPr>
          <w:sz w:val="22"/>
          <w:szCs w:val="22"/>
        </w:rPr>
        <w:t>Se debe valorar por parte de la Dirección de Gestión Humana, en los concursos que se generen que la asignación de nuevas plazas o nombramientos futuros en propiedad para el personal juzgador, tendrán como requisito asumir como parte de sus funciones, la conducción del vehículo asignado al despacho, para las diligencias que deba realizar fuera de la oficina.</w:t>
      </w:r>
    </w:p>
    <w:p w14:paraId="3829C239" w14:textId="77777777" w:rsidR="00B15F7D" w:rsidRPr="00990FB6" w:rsidRDefault="00B15F7D" w:rsidP="00B15F7D">
      <w:pPr>
        <w:rPr>
          <w:sz w:val="22"/>
          <w:szCs w:val="22"/>
        </w:rPr>
      </w:pPr>
    </w:p>
    <w:p w14:paraId="350CE0DF" w14:textId="77777777" w:rsidR="00B15F7D" w:rsidRPr="00990FB6" w:rsidRDefault="00B15F7D" w:rsidP="00B15F7D">
      <w:pPr>
        <w:ind w:left="720"/>
        <w:contextualSpacing/>
        <w:jc w:val="center"/>
        <w:rPr>
          <w:iCs/>
          <w:caps/>
          <w:sz w:val="22"/>
          <w:szCs w:val="22"/>
          <w:lang w:eastAsia="es-ES"/>
        </w:rPr>
      </w:pPr>
      <w:r w:rsidRPr="00990FB6">
        <w:rPr>
          <w:iCs/>
          <w:caps/>
          <w:sz w:val="22"/>
          <w:szCs w:val="22"/>
          <w:lang w:eastAsia="es-ES"/>
        </w:rPr>
        <w:t>Cuadro 32</w:t>
      </w:r>
    </w:p>
    <w:p w14:paraId="4A1B8E86" w14:textId="77777777" w:rsidR="00B15F7D" w:rsidRPr="00990FB6" w:rsidRDefault="00B15F7D" w:rsidP="00B15F7D">
      <w:pPr>
        <w:ind w:left="720"/>
        <w:contextualSpacing/>
        <w:jc w:val="center"/>
        <w:rPr>
          <w:iCs/>
          <w:caps/>
          <w:sz w:val="22"/>
          <w:szCs w:val="22"/>
          <w:lang w:eastAsia="es-ES"/>
        </w:rPr>
      </w:pPr>
      <w:r w:rsidRPr="00990FB6">
        <w:rPr>
          <w:iCs/>
          <w:caps/>
          <w:sz w:val="22"/>
          <w:szCs w:val="22"/>
          <w:lang w:eastAsia="es-ES"/>
        </w:rPr>
        <w:t>Costo estimado de recurso humano Requerido para presupuesto 2024</w:t>
      </w:r>
    </w:p>
    <w:p w14:paraId="1E377769" w14:textId="77777777" w:rsidR="00B15F7D" w:rsidRPr="00990FB6" w:rsidRDefault="00B15F7D" w:rsidP="00B15F7D">
      <w:pPr>
        <w:ind w:left="720"/>
        <w:contextualSpacing/>
        <w:jc w:val="center"/>
        <w:rPr>
          <w:iCs/>
          <w:caps/>
          <w:sz w:val="22"/>
          <w:szCs w:val="22"/>
          <w:lang w:eastAsia="es-ES"/>
        </w:rPr>
      </w:pPr>
    </w:p>
    <w:tbl>
      <w:tblPr>
        <w:tblW w:w="5000" w:type="pct"/>
        <w:jc w:val="center"/>
        <w:tblCellMar>
          <w:left w:w="70" w:type="dxa"/>
          <w:right w:w="70" w:type="dxa"/>
        </w:tblCellMar>
        <w:tblLook w:val="04A0" w:firstRow="1" w:lastRow="0" w:firstColumn="1" w:lastColumn="0" w:noHBand="0" w:noVBand="1"/>
      </w:tblPr>
      <w:tblGrid>
        <w:gridCol w:w="1322"/>
        <w:gridCol w:w="956"/>
        <w:gridCol w:w="1238"/>
        <w:gridCol w:w="1397"/>
        <w:gridCol w:w="820"/>
        <w:gridCol w:w="1651"/>
        <w:gridCol w:w="1408"/>
      </w:tblGrid>
      <w:tr w:rsidR="00B15F7D" w:rsidRPr="00990FB6" w14:paraId="349966AB" w14:textId="77777777" w:rsidTr="000A0C22">
        <w:trPr>
          <w:trHeight w:val="600"/>
          <w:tblHeader/>
          <w:jc w:val="center"/>
        </w:trPr>
        <w:tc>
          <w:tcPr>
            <w:tcW w:w="998" w:type="pct"/>
            <w:tcBorders>
              <w:top w:val="double" w:sz="6" w:space="0" w:color="366092"/>
              <w:left w:val="double" w:sz="6" w:space="0" w:color="366092"/>
              <w:bottom w:val="double" w:sz="6" w:space="0" w:color="366092"/>
              <w:right w:val="double" w:sz="6" w:space="0" w:color="366092"/>
            </w:tcBorders>
            <w:shd w:val="clear" w:color="auto" w:fill="0673A5"/>
            <w:vAlign w:val="center"/>
            <w:hideMark/>
          </w:tcPr>
          <w:p w14:paraId="50ECAA9F" w14:textId="77777777" w:rsidR="00B15F7D" w:rsidRPr="00990FB6" w:rsidRDefault="00B15F7D" w:rsidP="00B15F7D">
            <w:pPr>
              <w:jc w:val="center"/>
              <w:rPr>
                <w:b/>
                <w:bCs/>
                <w:sz w:val="22"/>
                <w:szCs w:val="22"/>
                <w:lang w:eastAsia="es-CR"/>
              </w:rPr>
            </w:pPr>
            <w:r w:rsidRPr="00990FB6">
              <w:rPr>
                <w:b/>
                <w:bCs/>
                <w:sz w:val="22"/>
                <w:szCs w:val="22"/>
                <w:lang w:eastAsia="es-CR"/>
              </w:rPr>
              <w:lastRenderedPageBreak/>
              <w:t>Despacho</w:t>
            </w:r>
          </w:p>
        </w:tc>
        <w:tc>
          <w:tcPr>
            <w:tcW w:w="509" w:type="pct"/>
            <w:tcBorders>
              <w:top w:val="double" w:sz="6" w:space="0" w:color="366092"/>
              <w:left w:val="nil"/>
              <w:bottom w:val="double" w:sz="6" w:space="0" w:color="366092"/>
              <w:right w:val="double" w:sz="6" w:space="0" w:color="366092"/>
            </w:tcBorders>
            <w:shd w:val="clear" w:color="auto" w:fill="0673A5"/>
            <w:vAlign w:val="center"/>
            <w:hideMark/>
          </w:tcPr>
          <w:p w14:paraId="225A6770" w14:textId="77777777" w:rsidR="00B15F7D" w:rsidRPr="00990FB6" w:rsidRDefault="00B15F7D" w:rsidP="00B15F7D">
            <w:pPr>
              <w:jc w:val="center"/>
              <w:rPr>
                <w:b/>
                <w:bCs/>
                <w:sz w:val="22"/>
                <w:szCs w:val="22"/>
                <w:lang w:eastAsia="es-CR"/>
              </w:rPr>
            </w:pPr>
            <w:r w:rsidRPr="00990FB6">
              <w:rPr>
                <w:b/>
                <w:bCs/>
                <w:sz w:val="22"/>
                <w:szCs w:val="22"/>
                <w:lang w:eastAsia="es-CR"/>
              </w:rPr>
              <w:t>Cantidad</w:t>
            </w:r>
          </w:p>
        </w:tc>
        <w:tc>
          <w:tcPr>
            <w:tcW w:w="681" w:type="pct"/>
            <w:tcBorders>
              <w:top w:val="double" w:sz="6" w:space="0" w:color="366092"/>
              <w:left w:val="nil"/>
              <w:bottom w:val="double" w:sz="6" w:space="0" w:color="366092"/>
              <w:right w:val="double" w:sz="6" w:space="0" w:color="366092"/>
            </w:tcBorders>
            <w:shd w:val="clear" w:color="auto" w:fill="0673A5"/>
            <w:vAlign w:val="center"/>
            <w:hideMark/>
          </w:tcPr>
          <w:p w14:paraId="013EE6B8" w14:textId="77777777" w:rsidR="00B15F7D" w:rsidRPr="00990FB6" w:rsidRDefault="00B15F7D" w:rsidP="00B15F7D">
            <w:pPr>
              <w:jc w:val="center"/>
              <w:rPr>
                <w:b/>
                <w:bCs/>
                <w:sz w:val="22"/>
                <w:szCs w:val="22"/>
                <w:lang w:eastAsia="es-CR"/>
              </w:rPr>
            </w:pPr>
            <w:r w:rsidRPr="00990FB6">
              <w:rPr>
                <w:b/>
                <w:bCs/>
                <w:sz w:val="22"/>
                <w:szCs w:val="22"/>
                <w:lang w:eastAsia="es-CR"/>
              </w:rPr>
              <w:t>Tipo de plaza</w:t>
            </w:r>
          </w:p>
        </w:tc>
        <w:tc>
          <w:tcPr>
            <w:tcW w:w="788" w:type="pct"/>
            <w:tcBorders>
              <w:top w:val="double" w:sz="6" w:space="0" w:color="366092"/>
              <w:left w:val="nil"/>
              <w:bottom w:val="double" w:sz="6" w:space="0" w:color="366092"/>
              <w:right w:val="double" w:sz="6" w:space="0" w:color="366092"/>
            </w:tcBorders>
            <w:shd w:val="clear" w:color="auto" w:fill="0673A5"/>
            <w:vAlign w:val="center"/>
            <w:hideMark/>
          </w:tcPr>
          <w:p w14:paraId="6525C8B4" w14:textId="77777777" w:rsidR="00B15F7D" w:rsidRPr="00990FB6" w:rsidRDefault="00B15F7D" w:rsidP="00B15F7D">
            <w:pPr>
              <w:jc w:val="center"/>
              <w:rPr>
                <w:b/>
                <w:bCs/>
                <w:sz w:val="22"/>
                <w:szCs w:val="22"/>
                <w:lang w:eastAsia="es-CR"/>
              </w:rPr>
            </w:pPr>
            <w:r w:rsidRPr="00990FB6">
              <w:rPr>
                <w:b/>
                <w:bCs/>
                <w:sz w:val="22"/>
                <w:szCs w:val="22"/>
                <w:lang w:eastAsia="es-CR"/>
              </w:rPr>
              <w:t>Condición</w:t>
            </w:r>
          </w:p>
        </w:tc>
        <w:tc>
          <w:tcPr>
            <w:tcW w:w="440" w:type="pct"/>
            <w:tcBorders>
              <w:top w:val="double" w:sz="6" w:space="0" w:color="366092"/>
              <w:left w:val="nil"/>
              <w:bottom w:val="double" w:sz="6" w:space="0" w:color="366092"/>
              <w:right w:val="double" w:sz="6" w:space="0" w:color="366092"/>
            </w:tcBorders>
            <w:shd w:val="clear" w:color="auto" w:fill="0673A5"/>
            <w:vAlign w:val="center"/>
            <w:hideMark/>
          </w:tcPr>
          <w:p w14:paraId="75919381" w14:textId="77777777" w:rsidR="00B15F7D" w:rsidRPr="00990FB6" w:rsidRDefault="00B15F7D" w:rsidP="00B15F7D">
            <w:pPr>
              <w:jc w:val="center"/>
              <w:rPr>
                <w:b/>
                <w:bCs/>
                <w:sz w:val="22"/>
                <w:szCs w:val="22"/>
                <w:lang w:eastAsia="es-CR"/>
              </w:rPr>
            </w:pPr>
            <w:r w:rsidRPr="00990FB6">
              <w:rPr>
                <w:b/>
                <w:bCs/>
                <w:sz w:val="22"/>
                <w:szCs w:val="22"/>
                <w:lang w:eastAsia="es-CR"/>
              </w:rPr>
              <w:t>Período</w:t>
            </w:r>
          </w:p>
        </w:tc>
        <w:tc>
          <w:tcPr>
            <w:tcW w:w="791" w:type="pct"/>
            <w:tcBorders>
              <w:top w:val="double" w:sz="6" w:space="0" w:color="366092"/>
              <w:left w:val="nil"/>
              <w:bottom w:val="double" w:sz="6" w:space="0" w:color="366092"/>
              <w:right w:val="double" w:sz="6" w:space="0" w:color="366092"/>
            </w:tcBorders>
            <w:shd w:val="clear" w:color="auto" w:fill="0673A5"/>
            <w:vAlign w:val="center"/>
            <w:hideMark/>
          </w:tcPr>
          <w:p w14:paraId="6CD4B9AA"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c>
          <w:tcPr>
            <w:tcW w:w="793" w:type="pct"/>
            <w:tcBorders>
              <w:top w:val="double" w:sz="6" w:space="0" w:color="366092"/>
              <w:left w:val="nil"/>
              <w:bottom w:val="double" w:sz="6" w:space="0" w:color="366092"/>
              <w:right w:val="double" w:sz="6" w:space="0" w:color="366092"/>
            </w:tcBorders>
            <w:shd w:val="clear" w:color="auto" w:fill="0673A5"/>
            <w:vAlign w:val="center"/>
            <w:hideMark/>
          </w:tcPr>
          <w:p w14:paraId="37E3AE10" w14:textId="77777777" w:rsidR="00B15F7D" w:rsidRPr="00990FB6" w:rsidRDefault="00B15F7D" w:rsidP="00B15F7D">
            <w:pPr>
              <w:jc w:val="center"/>
              <w:rPr>
                <w:b/>
                <w:bCs/>
                <w:sz w:val="22"/>
                <w:szCs w:val="22"/>
                <w:lang w:eastAsia="es-CR"/>
              </w:rPr>
            </w:pPr>
            <w:r w:rsidRPr="00990FB6">
              <w:rPr>
                <w:b/>
                <w:bCs/>
                <w:sz w:val="22"/>
                <w:szCs w:val="22"/>
                <w:lang w:eastAsia="es-CR"/>
              </w:rPr>
              <w:t>Detalle</w:t>
            </w:r>
          </w:p>
        </w:tc>
      </w:tr>
      <w:tr w:rsidR="00B15F7D" w:rsidRPr="00990FB6" w14:paraId="5DBA2588" w14:textId="77777777" w:rsidTr="000A0C22">
        <w:trPr>
          <w:trHeight w:val="2630"/>
          <w:jc w:val="center"/>
        </w:trPr>
        <w:tc>
          <w:tcPr>
            <w:tcW w:w="998" w:type="pct"/>
            <w:tcBorders>
              <w:top w:val="nil"/>
              <w:left w:val="double" w:sz="6" w:space="0" w:color="1F497D"/>
              <w:bottom w:val="double" w:sz="6" w:space="0" w:color="1F497D"/>
              <w:right w:val="double" w:sz="6" w:space="0" w:color="1F497D"/>
            </w:tcBorders>
            <w:vAlign w:val="center"/>
            <w:hideMark/>
          </w:tcPr>
          <w:p w14:paraId="7C047334" w14:textId="77777777" w:rsidR="00B15F7D" w:rsidRPr="00990FB6" w:rsidRDefault="00B15F7D" w:rsidP="00B15F7D">
            <w:pPr>
              <w:rPr>
                <w:sz w:val="22"/>
                <w:szCs w:val="22"/>
                <w:lang w:eastAsia="es-CR"/>
              </w:rPr>
            </w:pPr>
            <w:r w:rsidRPr="00990FB6">
              <w:rPr>
                <w:sz w:val="22"/>
                <w:szCs w:val="22"/>
                <w:lang w:eastAsia="es-CR"/>
              </w:rPr>
              <w:t>Juzgado Civil, Trabajo, Agrario, Familia, Penal Juvenil, Contra la Violencia Doméstica y Protección Cautelar II Circuito Judicial de Alajuela, sede Upala</w:t>
            </w:r>
          </w:p>
        </w:tc>
        <w:tc>
          <w:tcPr>
            <w:tcW w:w="509" w:type="pct"/>
            <w:tcBorders>
              <w:top w:val="nil"/>
              <w:left w:val="nil"/>
              <w:bottom w:val="double" w:sz="6" w:space="0" w:color="1F497D"/>
              <w:right w:val="double" w:sz="6" w:space="0" w:color="1F497D"/>
            </w:tcBorders>
            <w:vAlign w:val="center"/>
            <w:hideMark/>
          </w:tcPr>
          <w:p w14:paraId="51C47DDD" w14:textId="77777777" w:rsidR="00B15F7D" w:rsidRPr="00990FB6" w:rsidRDefault="00B15F7D" w:rsidP="00B15F7D">
            <w:pPr>
              <w:jc w:val="center"/>
              <w:rPr>
                <w:sz w:val="22"/>
                <w:szCs w:val="22"/>
                <w:lang w:eastAsia="es-CR"/>
              </w:rPr>
            </w:pPr>
            <w:r w:rsidRPr="00990FB6">
              <w:rPr>
                <w:sz w:val="22"/>
                <w:szCs w:val="22"/>
                <w:lang w:eastAsia="es-CR"/>
              </w:rPr>
              <w:t>1</w:t>
            </w:r>
          </w:p>
        </w:tc>
        <w:tc>
          <w:tcPr>
            <w:tcW w:w="681" w:type="pct"/>
            <w:tcBorders>
              <w:top w:val="nil"/>
              <w:left w:val="nil"/>
              <w:bottom w:val="double" w:sz="6" w:space="0" w:color="1F497D"/>
              <w:right w:val="double" w:sz="6" w:space="0" w:color="1F497D"/>
            </w:tcBorders>
            <w:vAlign w:val="center"/>
            <w:hideMark/>
          </w:tcPr>
          <w:p w14:paraId="7A1D5761" w14:textId="77777777" w:rsidR="00B15F7D" w:rsidRPr="00990FB6" w:rsidRDefault="00B15F7D" w:rsidP="00B15F7D">
            <w:pPr>
              <w:jc w:val="center"/>
              <w:rPr>
                <w:sz w:val="22"/>
                <w:szCs w:val="22"/>
                <w:lang w:eastAsia="es-CR"/>
              </w:rPr>
            </w:pPr>
            <w:r w:rsidRPr="00990FB6">
              <w:rPr>
                <w:sz w:val="22"/>
                <w:szCs w:val="22"/>
                <w:lang w:eastAsia="es-CR"/>
              </w:rPr>
              <w:t>Jueza o Juez 3</w:t>
            </w:r>
          </w:p>
        </w:tc>
        <w:tc>
          <w:tcPr>
            <w:tcW w:w="788" w:type="pct"/>
            <w:tcBorders>
              <w:top w:val="nil"/>
              <w:left w:val="nil"/>
              <w:bottom w:val="double" w:sz="6" w:space="0" w:color="1F497D"/>
              <w:right w:val="double" w:sz="6" w:space="0" w:color="1F497D"/>
            </w:tcBorders>
            <w:vAlign w:val="center"/>
            <w:hideMark/>
          </w:tcPr>
          <w:p w14:paraId="52AE2B1C" w14:textId="77777777" w:rsidR="00B15F7D" w:rsidRPr="00990FB6" w:rsidRDefault="00B15F7D" w:rsidP="00B15F7D">
            <w:pPr>
              <w:jc w:val="center"/>
              <w:rPr>
                <w:sz w:val="22"/>
                <w:szCs w:val="22"/>
                <w:lang w:eastAsia="es-CR"/>
              </w:rPr>
            </w:pPr>
            <w:r w:rsidRPr="00990FB6">
              <w:rPr>
                <w:sz w:val="22"/>
                <w:szCs w:val="22"/>
                <w:lang w:eastAsia="es-CR"/>
              </w:rPr>
              <w:t>Ordinaria</w:t>
            </w:r>
          </w:p>
        </w:tc>
        <w:tc>
          <w:tcPr>
            <w:tcW w:w="440" w:type="pct"/>
            <w:tcBorders>
              <w:top w:val="nil"/>
              <w:left w:val="nil"/>
              <w:bottom w:val="double" w:sz="6" w:space="0" w:color="1F497D"/>
              <w:right w:val="double" w:sz="6" w:space="0" w:color="1F497D"/>
            </w:tcBorders>
            <w:vAlign w:val="center"/>
            <w:hideMark/>
          </w:tcPr>
          <w:p w14:paraId="7EB8A936" w14:textId="77777777" w:rsidR="00B15F7D" w:rsidRPr="00990FB6" w:rsidRDefault="00B15F7D" w:rsidP="00B15F7D">
            <w:pPr>
              <w:jc w:val="center"/>
              <w:rPr>
                <w:sz w:val="22"/>
                <w:szCs w:val="22"/>
                <w:lang w:eastAsia="es-CR"/>
              </w:rPr>
            </w:pPr>
            <w:r w:rsidRPr="00990FB6">
              <w:rPr>
                <w:sz w:val="22"/>
                <w:szCs w:val="22"/>
                <w:lang w:eastAsia="es-CR"/>
              </w:rPr>
              <w:t>12 meses</w:t>
            </w:r>
          </w:p>
        </w:tc>
        <w:tc>
          <w:tcPr>
            <w:tcW w:w="791" w:type="pct"/>
            <w:tcBorders>
              <w:top w:val="nil"/>
              <w:left w:val="nil"/>
              <w:bottom w:val="double" w:sz="6" w:space="0" w:color="1F497D"/>
              <w:right w:val="double" w:sz="6" w:space="0" w:color="1F497D"/>
            </w:tcBorders>
            <w:vAlign w:val="center"/>
            <w:hideMark/>
          </w:tcPr>
          <w:p w14:paraId="0D4066DE" w14:textId="77777777" w:rsidR="00B15F7D" w:rsidRPr="00990FB6" w:rsidRDefault="00B15F7D" w:rsidP="00B15F7D">
            <w:pPr>
              <w:jc w:val="center"/>
              <w:rPr>
                <w:sz w:val="22"/>
                <w:szCs w:val="22"/>
                <w:lang w:eastAsia="es-CR"/>
              </w:rPr>
            </w:pPr>
            <w:r w:rsidRPr="00990FB6">
              <w:rPr>
                <w:sz w:val="22"/>
                <w:szCs w:val="22"/>
                <w:lang w:eastAsia="es-CR"/>
              </w:rPr>
              <w:t xml:space="preserve">₡54.293.000,00 </w:t>
            </w:r>
          </w:p>
        </w:tc>
        <w:tc>
          <w:tcPr>
            <w:tcW w:w="793" w:type="pct"/>
            <w:tcBorders>
              <w:top w:val="nil"/>
              <w:left w:val="nil"/>
              <w:bottom w:val="double" w:sz="6" w:space="0" w:color="1F497D"/>
              <w:right w:val="double" w:sz="6" w:space="0" w:color="1F497D"/>
            </w:tcBorders>
            <w:vAlign w:val="center"/>
            <w:hideMark/>
          </w:tcPr>
          <w:p w14:paraId="7AB71C00" w14:textId="77777777" w:rsidR="00B15F7D" w:rsidRPr="00990FB6" w:rsidRDefault="00B15F7D" w:rsidP="00B15F7D">
            <w:pPr>
              <w:rPr>
                <w:sz w:val="22"/>
                <w:szCs w:val="22"/>
                <w:lang w:eastAsia="es-CR"/>
              </w:rPr>
            </w:pPr>
            <w:r w:rsidRPr="00990FB6">
              <w:rPr>
                <w:sz w:val="22"/>
                <w:szCs w:val="22"/>
                <w:lang w:eastAsia="es-CR"/>
              </w:rPr>
              <w:t xml:space="preserve">Jueza o Juez 3 Agrario adscrita a la Jurisdicción Agraria  </w:t>
            </w:r>
          </w:p>
        </w:tc>
      </w:tr>
      <w:tr w:rsidR="00B15F7D" w:rsidRPr="00990FB6" w14:paraId="3D59A6B5" w14:textId="77777777" w:rsidTr="000A0C22">
        <w:trPr>
          <w:trHeight w:val="1180"/>
          <w:jc w:val="center"/>
        </w:trPr>
        <w:tc>
          <w:tcPr>
            <w:tcW w:w="998" w:type="pct"/>
            <w:tcBorders>
              <w:top w:val="nil"/>
              <w:left w:val="double" w:sz="6" w:space="0" w:color="1F497D"/>
              <w:bottom w:val="double" w:sz="6" w:space="0" w:color="1F497D"/>
              <w:right w:val="double" w:sz="6" w:space="0" w:color="1F497D"/>
            </w:tcBorders>
            <w:vAlign w:val="center"/>
            <w:hideMark/>
          </w:tcPr>
          <w:p w14:paraId="493EC439" w14:textId="77777777" w:rsidR="00B15F7D" w:rsidRPr="00990FB6" w:rsidRDefault="00B15F7D" w:rsidP="00B15F7D">
            <w:pPr>
              <w:rPr>
                <w:sz w:val="22"/>
                <w:szCs w:val="22"/>
                <w:lang w:eastAsia="es-CR"/>
              </w:rPr>
            </w:pPr>
            <w:r w:rsidRPr="00990FB6">
              <w:rPr>
                <w:sz w:val="22"/>
                <w:szCs w:val="22"/>
                <w:lang w:eastAsia="es-CR"/>
              </w:rPr>
              <w:t xml:space="preserve">Tribunal Agrario </w:t>
            </w:r>
          </w:p>
        </w:tc>
        <w:tc>
          <w:tcPr>
            <w:tcW w:w="509" w:type="pct"/>
            <w:tcBorders>
              <w:top w:val="nil"/>
              <w:left w:val="nil"/>
              <w:bottom w:val="double" w:sz="6" w:space="0" w:color="1F497D"/>
              <w:right w:val="double" w:sz="6" w:space="0" w:color="1F497D"/>
            </w:tcBorders>
            <w:vAlign w:val="center"/>
            <w:hideMark/>
          </w:tcPr>
          <w:p w14:paraId="07FA952E" w14:textId="77777777" w:rsidR="00B15F7D" w:rsidRPr="00990FB6" w:rsidRDefault="00B15F7D" w:rsidP="00B15F7D">
            <w:pPr>
              <w:jc w:val="center"/>
              <w:rPr>
                <w:sz w:val="22"/>
                <w:szCs w:val="22"/>
                <w:lang w:eastAsia="es-CR"/>
              </w:rPr>
            </w:pPr>
            <w:r w:rsidRPr="00990FB6">
              <w:rPr>
                <w:sz w:val="22"/>
                <w:szCs w:val="22"/>
                <w:lang w:eastAsia="es-CR"/>
              </w:rPr>
              <w:t>7</w:t>
            </w:r>
          </w:p>
        </w:tc>
        <w:tc>
          <w:tcPr>
            <w:tcW w:w="681" w:type="pct"/>
            <w:tcBorders>
              <w:top w:val="nil"/>
              <w:left w:val="nil"/>
              <w:bottom w:val="double" w:sz="6" w:space="0" w:color="1F497D"/>
              <w:right w:val="double" w:sz="6" w:space="0" w:color="1F497D"/>
            </w:tcBorders>
            <w:vAlign w:val="center"/>
            <w:hideMark/>
          </w:tcPr>
          <w:p w14:paraId="3339AA5A" w14:textId="77777777" w:rsidR="00B15F7D" w:rsidRPr="00990FB6" w:rsidRDefault="00B15F7D" w:rsidP="00B15F7D">
            <w:pPr>
              <w:jc w:val="center"/>
              <w:rPr>
                <w:sz w:val="22"/>
                <w:szCs w:val="22"/>
                <w:lang w:eastAsia="es-CR"/>
              </w:rPr>
            </w:pPr>
            <w:r w:rsidRPr="00990FB6">
              <w:rPr>
                <w:sz w:val="22"/>
                <w:szCs w:val="22"/>
                <w:lang w:eastAsia="es-CR"/>
              </w:rPr>
              <w:t>Reasignación de Juez 4 a Juez 5</w:t>
            </w:r>
          </w:p>
        </w:tc>
        <w:tc>
          <w:tcPr>
            <w:tcW w:w="788" w:type="pct"/>
            <w:tcBorders>
              <w:top w:val="nil"/>
              <w:left w:val="nil"/>
              <w:bottom w:val="double" w:sz="6" w:space="0" w:color="1F497D"/>
              <w:right w:val="double" w:sz="6" w:space="0" w:color="1F497D"/>
            </w:tcBorders>
            <w:vAlign w:val="center"/>
            <w:hideMark/>
          </w:tcPr>
          <w:p w14:paraId="464911B7" w14:textId="77777777" w:rsidR="00B15F7D" w:rsidRPr="00990FB6" w:rsidRDefault="00B15F7D" w:rsidP="00B15F7D">
            <w:pPr>
              <w:jc w:val="center"/>
              <w:rPr>
                <w:sz w:val="22"/>
                <w:szCs w:val="22"/>
                <w:lang w:eastAsia="es-CR"/>
              </w:rPr>
            </w:pPr>
            <w:r w:rsidRPr="00990FB6">
              <w:rPr>
                <w:sz w:val="22"/>
                <w:szCs w:val="22"/>
                <w:lang w:eastAsia="es-CR"/>
              </w:rPr>
              <w:t>Ordinaria</w:t>
            </w:r>
          </w:p>
        </w:tc>
        <w:tc>
          <w:tcPr>
            <w:tcW w:w="440" w:type="pct"/>
            <w:tcBorders>
              <w:top w:val="nil"/>
              <w:left w:val="nil"/>
              <w:bottom w:val="double" w:sz="6" w:space="0" w:color="1F497D"/>
              <w:right w:val="double" w:sz="6" w:space="0" w:color="1F497D"/>
            </w:tcBorders>
            <w:vAlign w:val="center"/>
            <w:hideMark/>
          </w:tcPr>
          <w:p w14:paraId="7C397D35" w14:textId="77777777" w:rsidR="00B15F7D" w:rsidRPr="00990FB6" w:rsidRDefault="00B15F7D" w:rsidP="00B15F7D">
            <w:pPr>
              <w:jc w:val="center"/>
              <w:rPr>
                <w:sz w:val="22"/>
                <w:szCs w:val="22"/>
                <w:lang w:eastAsia="es-CR"/>
              </w:rPr>
            </w:pPr>
            <w:r w:rsidRPr="00990FB6">
              <w:rPr>
                <w:sz w:val="22"/>
                <w:szCs w:val="22"/>
                <w:lang w:eastAsia="es-CR"/>
              </w:rPr>
              <w:t xml:space="preserve">12 meses </w:t>
            </w:r>
          </w:p>
        </w:tc>
        <w:tc>
          <w:tcPr>
            <w:tcW w:w="791" w:type="pct"/>
            <w:tcBorders>
              <w:top w:val="nil"/>
              <w:left w:val="nil"/>
              <w:bottom w:val="double" w:sz="6" w:space="0" w:color="1F497D"/>
              <w:right w:val="double" w:sz="6" w:space="0" w:color="1F497D"/>
            </w:tcBorders>
            <w:vAlign w:val="center"/>
            <w:hideMark/>
          </w:tcPr>
          <w:p w14:paraId="44855164" w14:textId="77777777" w:rsidR="00B15F7D" w:rsidRPr="00990FB6" w:rsidRDefault="00B15F7D" w:rsidP="00B15F7D">
            <w:pPr>
              <w:jc w:val="center"/>
              <w:rPr>
                <w:sz w:val="22"/>
                <w:szCs w:val="22"/>
                <w:lang w:eastAsia="es-CR"/>
              </w:rPr>
            </w:pPr>
            <w:r w:rsidRPr="00990FB6">
              <w:rPr>
                <w:sz w:val="22"/>
                <w:szCs w:val="22"/>
                <w:lang w:eastAsia="es-CR"/>
              </w:rPr>
              <w:t>₡49.287.000,00</w:t>
            </w:r>
          </w:p>
        </w:tc>
        <w:tc>
          <w:tcPr>
            <w:tcW w:w="793" w:type="pct"/>
            <w:tcBorders>
              <w:top w:val="nil"/>
              <w:left w:val="nil"/>
              <w:bottom w:val="double" w:sz="6" w:space="0" w:color="1F497D"/>
              <w:right w:val="double" w:sz="6" w:space="0" w:color="1F497D"/>
            </w:tcBorders>
            <w:vAlign w:val="center"/>
            <w:hideMark/>
          </w:tcPr>
          <w:p w14:paraId="49903BF9" w14:textId="77777777" w:rsidR="00B15F7D" w:rsidRPr="00990FB6" w:rsidRDefault="00B15F7D" w:rsidP="00B15F7D">
            <w:pPr>
              <w:rPr>
                <w:sz w:val="22"/>
                <w:szCs w:val="22"/>
                <w:lang w:eastAsia="es-CR"/>
              </w:rPr>
            </w:pPr>
            <w:r w:rsidRPr="00990FB6">
              <w:rPr>
                <w:sz w:val="22"/>
                <w:szCs w:val="22"/>
                <w:lang w:eastAsia="es-CR"/>
              </w:rPr>
              <w:t>Siete plazas del Tribunal Agrario</w:t>
            </w:r>
          </w:p>
        </w:tc>
      </w:tr>
      <w:tr w:rsidR="00B15F7D" w:rsidRPr="00990FB6" w14:paraId="251CFB09" w14:textId="77777777" w:rsidTr="000A0C22">
        <w:trPr>
          <w:trHeight w:val="600"/>
          <w:jc w:val="center"/>
        </w:trPr>
        <w:tc>
          <w:tcPr>
            <w:tcW w:w="998" w:type="pct"/>
            <w:tcBorders>
              <w:top w:val="nil"/>
              <w:left w:val="double" w:sz="6" w:space="0" w:color="1F497D"/>
              <w:bottom w:val="double" w:sz="6" w:space="0" w:color="1F497D"/>
              <w:right w:val="double" w:sz="6" w:space="0" w:color="1F497D"/>
            </w:tcBorders>
            <w:vAlign w:val="center"/>
            <w:hideMark/>
          </w:tcPr>
          <w:p w14:paraId="335D5322" w14:textId="77777777" w:rsidR="00B15F7D" w:rsidRPr="00990FB6" w:rsidRDefault="00B15F7D" w:rsidP="00B15F7D">
            <w:pPr>
              <w:rPr>
                <w:sz w:val="22"/>
                <w:szCs w:val="22"/>
                <w:lang w:eastAsia="es-CR"/>
              </w:rPr>
            </w:pPr>
            <w:r w:rsidRPr="00990FB6">
              <w:rPr>
                <w:sz w:val="22"/>
                <w:szCs w:val="22"/>
                <w:shd w:val="clear" w:color="auto" w:fill="FFFFFF"/>
              </w:rPr>
              <w:t>Centro de Apoyo Coordinación y Mejoramiento de la Función Jurisdiccional </w:t>
            </w:r>
          </w:p>
        </w:tc>
        <w:tc>
          <w:tcPr>
            <w:tcW w:w="509" w:type="pct"/>
            <w:tcBorders>
              <w:top w:val="nil"/>
              <w:left w:val="nil"/>
              <w:bottom w:val="double" w:sz="6" w:space="0" w:color="1F497D"/>
              <w:right w:val="double" w:sz="6" w:space="0" w:color="1F497D"/>
            </w:tcBorders>
            <w:vAlign w:val="center"/>
            <w:hideMark/>
          </w:tcPr>
          <w:p w14:paraId="1E4B0FFA" w14:textId="77777777" w:rsidR="00B15F7D" w:rsidRPr="00990FB6" w:rsidRDefault="00B15F7D" w:rsidP="00B15F7D">
            <w:pPr>
              <w:jc w:val="center"/>
              <w:rPr>
                <w:sz w:val="22"/>
                <w:szCs w:val="22"/>
                <w:lang w:eastAsia="es-CR"/>
              </w:rPr>
            </w:pPr>
            <w:r w:rsidRPr="00990FB6">
              <w:rPr>
                <w:sz w:val="22"/>
                <w:szCs w:val="22"/>
                <w:lang w:eastAsia="es-CR"/>
              </w:rPr>
              <w:t>4</w:t>
            </w:r>
          </w:p>
        </w:tc>
        <w:tc>
          <w:tcPr>
            <w:tcW w:w="681" w:type="pct"/>
            <w:tcBorders>
              <w:top w:val="nil"/>
              <w:left w:val="nil"/>
              <w:bottom w:val="double" w:sz="6" w:space="0" w:color="1F497D"/>
              <w:right w:val="double" w:sz="6" w:space="0" w:color="1F497D"/>
            </w:tcBorders>
            <w:vAlign w:val="center"/>
            <w:hideMark/>
          </w:tcPr>
          <w:p w14:paraId="40B0AE61" w14:textId="77777777" w:rsidR="00B15F7D" w:rsidRPr="00990FB6" w:rsidRDefault="00B15F7D" w:rsidP="00B15F7D">
            <w:pPr>
              <w:jc w:val="center"/>
              <w:rPr>
                <w:sz w:val="22"/>
                <w:szCs w:val="22"/>
                <w:lang w:eastAsia="es-CR"/>
              </w:rPr>
            </w:pPr>
            <w:r w:rsidRPr="00990FB6">
              <w:rPr>
                <w:sz w:val="22"/>
                <w:szCs w:val="22"/>
                <w:shd w:val="clear" w:color="auto" w:fill="FFFFFF"/>
              </w:rPr>
              <w:t>Jueza o Juez 3 </w:t>
            </w:r>
          </w:p>
        </w:tc>
        <w:tc>
          <w:tcPr>
            <w:tcW w:w="788" w:type="pct"/>
            <w:tcBorders>
              <w:top w:val="nil"/>
              <w:left w:val="nil"/>
              <w:bottom w:val="double" w:sz="6" w:space="0" w:color="1F497D"/>
              <w:right w:val="double" w:sz="6" w:space="0" w:color="1F497D"/>
            </w:tcBorders>
            <w:vAlign w:val="center"/>
            <w:hideMark/>
          </w:tcPr>
          <w:p w14:paraId="551EA0CB" w14:textId="77777777" w:rsidR="00B15F7D" w:rsidRPr="00990FB6" w:rsidRDefault="00B15F7D" w:rsidP="00B15F7D">
            <w:pPr>
              <w:jc w:val="center"/>
              <w:rPr>
                <w:sz w:val="22"/>
                <w:szCs w:val="22"/>
                <w:lang w:eastAsia="es-CR"/>
              </w:rPr>
            </w:pPr>
            <w:r w:rsidRPr="00990FB6">
              <w:rPr>
                <w:sz w:val="22"/>
                <w:szCs w:val="22"/>
                <w:shd w:val="clear" w:color="auto" w:fill="FFFFFF"/>
              </w:rPr>
              <w:t>Extraordinaria </w:t>
            </w:r>
          </w:p>
        </w:tc>
        <w:tc>
          <w:tcPr>
            <w:tcW w:w="440" w:type="pct"/>
            <w:tcBorders>
              <w:top w:val="nil"/>
              <w:left w:val="nil"/>
              <w:bottom w:val="double" w:sz="6" w:space="0" w:color="1F497D"/>
              <w:right w:val="double" w:sz="6" w:space="0" w:color="1F497D"/>
            </w:tcBorders>
            <w:vAlign w:val="center"/>
            <w:hideMark/>
          </w:tcPr>
          <w:p w14:paraId="130B789F" w14:textId="77777777" w:rsidR="00B15F7D" w:rsidRPr="00990FB6" w:rsidRDefault="00B15F7D" w:rsidP="00B15F7D">
            <w:pPr>
              <w:jc w:val="center"/>
              <w:rPr>
                <w:sz w:val="22"/>
                <w:szCs w:val="22"/>
                <w:lang w:eastAsia="es-CR"/>
              </w:rPr>
            </w:pPr>
            <w:r w:rsidRPr="00990FB6">
              <w:rPr>
                <w:sz w:val="22"/>
                <w:szCs w:val="22"/>
                <w:shd w:val="clear" w:color="auto" w:fill="FFFFFF"/>
              </w:rPr>
              <w:t>12 meses </w:t>
            </w:r>
          </w:p>
        </w:tc>
        <w:tc>
          <w:tcPr>
            <w:tcW w:w="791" w:type="pct"/>
            <w:tcBorders>
              <w:top w:val="nil"/>
              <w:left w:val="nil"/>
              <w:bottom w:val="double" w:sz="6" w:space="0" w:color="1F497D"/>
              <w:right w:val="double" w:sz="6" w:space="0" w:color="1F497D"/>
            </w:tcBorders>
            <w:vAlign w:val="center"/>
            <w:hideMark/>
          </w:tcPr>
          <w:p w14:paraId="3A1F1C51" w14:textId="77777777" w:rsidR="00B15F7D" w:rsidRPr="00990FB6" w:rsidRDefault="00B15F7D" w:rsidP="00B15F7D">
            <w:pPr>
              <w:jc w:val="center"/>
              <w:rPr>
                <w:sz w:val="22"/>
                <w:szCs w:val="22"/>
                <w:lang w:eastAsia="es-CR"/>
              </w:rPr>
            </w:pPr>
            <w:r w:rsidRPr="00990FB6">
              <w:rPr>
                <w:sz w:val="22"/>
                <w:szCs w:val="22"/>
                <w:shd w:val="clear" w:color="auto" w:fill="FFFFFF"/>
              </w:rPr>
              <w:t>₡217.172.000,00  </w:t>
            </w:r>
          </w:p>
        </w:tc>
        <w:tc>
          <w:tcPr>
            <w:tcW w:w="793" w:type="pct"/>
            <w:tcBorders>
              <w:top w:val="nil"/>
              <w:left w:val="nil"/>
              <w:bottom w:val="double" w:sz="6" w:space="0" w:color="1F497D"/>
              <w:right w:val="double" w:sz="6" w:space="0" w:color="1F497D"/>
            </w:tcBorders>
            <w:vAlign w:val="center"/>
            <w:hideMark/>
          </w:tcPr>
          <w:p w14:paraId="568E1DE0" w14:textId="77777777" w:rsidR="00B15F7D" w:rsidRPr="00990FB6" w:rsidRDefault="00B15F7D" w:rsidP="00B15F7D">
            <w:pPr>
              <w:rPr>
                <w:sz w:val="22"/>
                <w:szCs w:val="22"/>
                <w:lang w:eastAsia="es-CR"/>
              </w:rPr>
            </w:pPr>
            <w:r w:rsidRPr="00990FB6">
              <w:rPr>
                <w:sz w:val="22"/>
                <w:szCs w:val="22"/>
                <w:shd w:val="clear" w:color="auto" w:fill="FFFFFF"/>
              </w:rPr>
              <w:t>Jueza o Juez 3 Agrario adscrita al CACMFJ </w:t>
            </w:r>
          </w:p>
        </w:tc>
      </w:tr>
      <w:tr w:rsidR="00B15F7D" w:rsidRPr="00990FB6" w14:paraId="6C73729D" w14:textId="77777777" w:rsidTr="000A0C22">
        <w:trPr>
          <w:trHeight w:val="600"/>
          <w:jc w:val="center"/>
        </w:trPr>
        <w:tc>
          <w:tcPr>
            <w:tcW w:w="998" w:type="pct"/>
            <w:tcBorders>
              <w:top w:val="nil"/>
              <w:left w:val="double" w:sz="6" w:space="0" w:color="1F497D"/>
              <w:bottom w:val="double" w:sz="6" w:space="0" w:color="1F497D"/>
              <w:right w:val="double" w:sz="6" w:space="0" w:color="1F497D"/>
            </w:tcBorders>
            <w:vAlign w:val="center"/>
            <w:hideMark/>
          </w:tcPr>
          <w:p w14:paraId="63D747E2" w14:textId="77777777" w:rsidR="00B15F7D" w:rsidRPr="00990FB6" w:rsidRDefault="00B15F7D" w:rsidP="00B15F7D">
            <w:pPr>
              <w:rPr>
                <w:sz w:val="22"/>
                <w:szCs w:val="22"/>
                <w:lang w:eastAsia="es-CR"/>
              </w:rPr>
            </w:pPr>
            <w:r w:rsidRPr="00990FB6">
              <w:rPr>
                <w:sz w:val="22"/>
                <w:szCs w:val="22"/>
                <w:lang w:eastAsia="es-CR"/>
              </w:rPr>
              <w:t>Dirección Ejecutiva</w:t>
            </w:r>
          </w:p>
        </w:tc>
        <w:tc>
          <w:tcPr>
            <w:tcW w:w="509" w:type="pct"/>
            <w:tcBorders>
              <w:top w:val="nil"/>
              <w:left w:val="nil"/>
              <w:bottom w:val="double" w:sz="6" w:space="0" w:color="1F497D"/>
              <w:right w:val="double" w:sz="6" w:space="0" w:color="1F497D"/>
            </w:tcBorders>
            <w:vAlign w:val="center"/>
            <w:hideMark/>
          </w:tcPr>
          <w:p w14:paraId="54ED8B1B" w14:textId="77777777" w:rsidR="00B15F7D" w:rsidRPr="00990FB6" w:rsidRDefault="00B15F7D" w:rsidP="00B15F7D">
            <w:pPr>
              <w:jc w:val="center"/>
              <w:rPr>
                <w:sz w:val="22"/>
                <w:szCs w:val="22"/>
                <w:lang w:eastAsia="es-CR"/>
              </w:rPr>
            </w:pPr>
            <w:r w:rsidRPr="00990FB6">
              <w:rPr>
                <w:sz w:val="22"/>
                <w:szCs w:val="22"/>
                <w:lang w:eastAsia="es-CR"/>
              </w:rPr>
              <w:t>12</w:t>
            </w:r>
          </w:p>
        </w:tc>
        <w:tc>
          <w:tcPr>
            <w:tcW w:w="681" w:type="pct"/>
            <w:tcBorders>
              <w:top w:val="nil"/>
              <w:left w:val="nil"/>
              <w:bottom w:val="double" w:sz="6" w:space="0" w:color="1F497D"/>
              <w:right w:val="double" w:sz="6" w:space="0" w:color="1F497D"/>
            </w:tcBorders>
            <w:vAlign w:val="center"/>
            <w:hideMark/>
          </w:tcPr>
          <w:p w14:paraId="37FE7B20" w14:textId="77777777" w:rsidR="00B15F7D" w:rsidRPr="00990FB6" w:rsidRDefault="00B15F7D" w:rsidP="00B15F7D">
            <w:pPr>
              <w:jc w:val="center"/>
              <w:rPr>
                <w:sz w:val="22"/>
                <w:szCs w:val="22"/>
                <w:lang w:eastAsia="es-CR"/>
              </w:rPr>
            </w:pPr>
            <w:r w:rsidRPr="00990FB6">
              <w:rPr>
                <w:sz w:val="22"/>
                <w:szCs w:val="22"/>
                <w:lang w:eastAsia="es-CR"/>
              </w:rPr>
              <w:t>Chofer</w:t>
            </w:r>
          </w:p>
        </w:tc>
        <w:tc>
          <w:tcPr>
            <w:tcW w:w="788" w:type="pct"/>
            <w:tcBorders>
              <w:top w:val="nil"/>
              <w:left w:val="nil"/>
              <w:bottom w:val="double" w:sz="6" w:space="0" w:color="1F497D"/>
              <w:right w:val="double" w:sz="6" w:space="0" w:color="1F497D"/>
            </w:tcBorders>
            <w:vAlign w:val="center"/>
            <w:hideMark/>
          </w:tcPr>
          <w:p w14:paraId="38C65F2E" w14:textId="77777777" w:rsidR="00B15F7D" w:rsidRPr="00990FB6" w:rsidRDefault="00B15F7D" w:rsidP="00B15F7D">
            <w:pPr>
              <w:jc w:val="center"/>
              <w:rPr>
                <w:sz w:val="22"/>
                <w:szCs w:val="22"/>
                <w:lang w:eastAsia="es-CR"/>
              </w:rPr>
            </w:pPr>
            <w:r w:rsidRPr="00990FB6">
              <w:rPr>
                <w:sz w:val="22"/>
                <w:szCs w:val="22"/>
                <w:lang w:eastAsia="es-CR"/>
              </w:rPr>
              <w:t>Extraordinarias</w:t>
            </w:r>
          </w:p>
        </w:tc>
        <w:tc>
          <w:tcPr>
            <w:tcW w:w="440" w:type="pct"/>
            <w:tcBorders>
              <w:top w:val="nil"/>
              <w:left w:val="nil"/>
              <w:bottom w:val="double" w:sz="6" w:space="0" w:color="1F497D"/>
              <w:right w:val="double" w:sz="6" w:space="0" w:color="1F497D"/>
            </w:tcBorders>
            <w:vAlign w:val="center"/>
            <w:hideMark/>
          </w:tcPr>
          <w:p w14:paraId="2D3E3869" w14:textId="77777777" w:rsidR="00B15F7D" w:rsidRPr="00990FB6" w:rsidRDefault="00B15F7D" w:rsidP="00B15F7D">
            <w:pPr>
              <w:jc w:val="center"/>
              <w:rPr>
                <w:sz w:val="22"/>
                <w:szCs w:val="22"/>
                <w:lang w:eastAsia="es-CR"/>
              </w:rPr>
            </w:pPr>
            <w:r w:rsidRPr="00990FB6">
              <w:rPr>
                <w:sz w:val="22"/>
                <w:szCs w:val="22"/>
                <w:lang w:eastAsia="es-CR"/>
              </w:rPr>
              <w:t>12 meses</w:t>
            </w:r>
          </w:p>
        </w:tc>
        <w:tc>
          <w:tcPr>
            <w:tcW w:w="791" w:type="pct"/>
            <w:tcBorders>
              <w:top w:val="nil"/>
              <w:left w:val="nil"/>
              <w:bottom w:val="double" w:sz="6" w:space="0" w:color="1F497D"/>
              <w:right w:val="double" w:sz="6" w:space="0" w:color="1F497D"/>
            </w:tcBorders>
            <w:vAlign w:val="center"/>
            <w:hideMark/>
          </w:tcPr>
          <w:p w14:paraId="4706DFAC" w14:textId="77777777" w:rsidR="00B15F7D" w:rsidRPr="00990FB6" w:rsidRDefault="00B15F7D" w:rsidP="00B15F7D">
            <w:pPr>
              <w:jc w:val="center"/>
              <w:rPr>
                <w:sz w:val="22"/>
                <w:szCs w:val="22"/>
                <w:lang w:eastAsia="es-CR"/>
              </w:rPr>
            </w:pPr>
            <w:r w:rsidRPr="00990FB6">
              <w:rPr>
                <w:sz w:val="22"/>
                <w:szCs w:val="22"/>
                <w:lang w:eastAsia="es-CR"/>
              </w:rPr>
              <w:t xml:space="preserve">₡162.564.000,00 </w:t>
            </w:r>
          </w:p>
        </w:tc>
        <w:tc>
          <w:tcPr>
            <w:tcW w:w="793" w:type="pct"/>
            <w:tcBorders>
              <w:top w:val="nil"/>
              <w:left w:val="nil"/>
              <w:bottom w:val="double" w:sz="6" w:space="0" w:color="1F497D"/>
              <w:right w:val="double" w:sz="6" w:space="0" w:color="1F497D"/>
            </w:tcBorders>
            <w:vAlign w:val="center"/>
            <w:hideMark/>
          </w:tcPr>
          <w:p w14:paraId="6DBFA6EB" w14:textId="77777777" w:rsidR="00B15F7D" w:rsidRPr="00990FB6" w:rsidRDefault="00B15F7D" w:rsidP="00B15F7D">
            <w:pPr>
              <w:rPr>
                <w:sz w:val="22"/>
                <w:szCs w:val="22"/>
                <w:lang w:eastAsia="es-CR"/>
              </w:rPr>
            </w:pPr>
            <w:r w:rsidRPr="00990FB6">
              <w:rPr>
                <w:sz w:val="22"/>
                <w:szCs w:val="22"/>
                <w:lang w:eastAsia="es-CR"/>
              </w:rPr>
              <w:t xml:space="preserve">Choferes adscritos a la Administración </w:t>
            </w:r>
          </w:p>
        </w:tc>
      </w:tr>
      <w:tr w:rsidR="00B15F7D" w:rsidRPr="00990FB6" w14:paraId="55E5CD06" w14:textId="77777777" w:rsidTr="000A0C22">
        <w:trPr>
          <w:trHeight w:val="600"/>
          <w:jc w:val="center"/>
        </w:trPr>
        <w:tc>
          <w:tcPr>
            <w:tcW w:w="998" w:type="pct"/>
            <w:tcBorders>
              <w:top w:val="nil"/>
              <w:left w:val="double" w:sz="6" w:space="0" w:color="1F497D"/>
              <w:bottom w:val="double" w:sz="6" w:space="0" w:color="1F497D"/>
              <w:right w:val="double" w:sz="6" w:space="0" w:color="1F497D"/>
            </w:tcBorders>
            <w:vAlign w:val="center"/>
            <w:hideMark/>
          </w:tcPr>
          <w:p w14:paraId="2400EAF2" w14:textId="77777777" w:rsidR="00B15F7D" w:rsidRPr="00990FB6" w:rsidRDefault="00B15F7D" w:rsidP="00B15F7D">
            <w:pPr>
              <w:rPr>
                <w:sz w:val="22"/>
                <w:szCs w:val="22"/>
                <w:lang w:eastAsia="es-CR"/>
              </w:rPr>
            </w:pPr>
            <w:r w:rsidRPr="00990FB6">
              <w:rPr>
                <w:sz w:val="22"/>
                <w:szCs w:val="22"/>
                <w:lang w:eastAsia="es-CR"/>
              </w:rPr>
              <w:t>Defensa Pública</w:t>
            </w:r>
          </w:p>
        </w:tc>
        <w:tc>
          <w:tcPr>
            <w:tcW w:w="509" w:type="pct"/>
            <w:tcBorders>
              <w:top w:val="nil"/>
              <w:left w:val="nil"/>
              <w:bottom w:val="double" w:sz="6" w:space="0" w:color="1F497D"/>
              <w:right w:val="double" w:sz="6" w:space="0" w:color="1F497D"/>
            </w:tcBorders>
            <w:vAlign w:val="center"/>
            <w:hideMark/>
          </w:tcPr>
          <w:p w14:paraId="52420DC5" w14:textId="77777777" w:rsidR="00B15F7D" w:rsidRPr="00990FB6" w:rsidRDefault="00B15F7D" w:rsidP="00B15F7D">
            <w:pPr>
              <w:jc w:val="center"/>
              <w:rPr>
                <w:sz w:val="22"/>
                <w:szCs w:val="22"/>
                <w:lang w:eastAsia="es-CR"/>
              </w:rPr>
            </w:pPr>
            <w:r w:rsidRPr="00990FB6">
              <w:rPr>
                <w:sz w:val="22"/>
                <w:szCs w:val="22"/>
                <w:lang w:eastAsia="es-CR"/>
              </w:rPr>
              <w:t>1</w:t>
            </w:r>
          </w:p>
        </w:tc>
        <w:tc>
          <w:tcPr>
            <w:tcW w:w="681" w:type="pct"/>
            <w:tcBorders>
              <w:top w:val="nil"/>
              <w:left w:val="nil"/>
              <w:bottom w:val="double" w:sz="6" w:space="0" w:color="1F497D"/>
              <w:right w:val="double" w:sz="6" w:space="0" w:color="1F497D"/>
            </w:tcBorders>
            <w:vAlign w:val="center"/>
            <w:hideMark/>
          </w:tcPr>
          <w:p w14:paraId="4B171FD3" w14:textId="77777777" w:rsidR="00B15F7D" w:rsidRPr="00990FB6" w:rsidRDefault="00B15F7D" w:rsidP="00B15F7D">
            <w:pPr>
              <w:jc w:val="center"/>
              <w:rPr>
                <w:sz w:val="22"/>
                <w:szCs w:val="22"/>
                <w:lang w:eastAsia="es-CR"/>
              </w:rPr>
            </w:pPr>
            <w:r w:rsidRPr="00990FB6">
              <w:rPr>
                <w:sz w:val="22"/>
                <w:szCs w:val="22"/>
                <w:lang w:eastAsia="es-CR"/>
              </w:rPr>
              <w:t>Profesional 1</w:t>
            </w:r>
          </w:p>
        </w:tc>
        <w:tc>
          <w:tcPr>
            <w:tcW w:w="788" w:type="pct"/>
            <w:tcBorders>
              <w:top w:val="nil"/>
              <w:left w:val="nil"/>
              <w:bottom w:val="double" w:sz="6" w:space="0" w:color="1F497D"/>
              <w:right w:val="double" w:sz="6" w:space="0" w:color="1F497D"/>
            </w:tcBorders>
            <w:vAlign w:val="center"/>
            <w:hideMark/>
          </w:tcPr>
          <w:p w14:paraId="512CB2A6" w14:textId="77777777" w:rsidR="00B15F7D" w:rsidRPr="00990FB6" w:rsidRDefault="00B15F7D" w:rsidP="00B15F7D">
            <w:pPr>
              <w:jc w:val="center"/>
              <w:rPr>
                <w:sz w:val="22"/>
                <w:szCs w:val="22"/>
                <w:lang w:eastAsia="es-CR"/>
              </w:rPr>
            </w:pPr>
            <w:r w:rsidRPr="00990FB6">
              <w:rPr>
                <w:sz w:val="22"/>
                <w:szCs w:val="22"/>
                <w:lang w:eastAsia="es-CR"/>
              </w:rPr>
              <w:t>Ordinaria</w:t>
            </w:r>
          </w:p>
        </w:tc>
        <w:tc>
          <w:tcPr>
            <w:tcW w:w="440" w:type="pct"/>
            <w:tcBorders>
              <w:top w:val="nil"/>
              <w:left w:val="nil"/>
              <w:bottom w:val="double" w:sz="6" w:space="0" w:color="1F497D"/>
              <w:right w:val="double" w:sz="6" w:space="0" w:color="1F497D"/>
            </w:tcBorders>
            <w:vAlign w:val="center"/>
            <w:hideMark/>
          </w:tcPr>
          <w:p w14:paraId="3ACE71B5" w14:textId="77777777" w:rsidR="00B15F7D" w:rsidRPr="00990FB6" w:rsidRDefault="00B15F7D" w:rsidP="00B15F7D">
            <w:pPr>
              <w:jc w:val="center"/>
              <w:rPr>
                <w:sz w:val="22"/>
                <w:szCs w:val="22"/>
                <w:lang w:eastAsia="es-CR"/>
              </w:rPr>
            </w:pPr>
            <w:r w:rsidRPr="00990FB6">
              <w:rPr>
                <w:sz w:val="22"/>
                <w:szCs w:val="22"/>
                <w:lang w:eastAsia="es-CR"/>
              </w:rPr>
              <w:t>12 meses</w:t>
            </w:r>
          </w:p>
        </w:tc>
        <w:tc>
          <w:tcPr>
            <w:tcW w:w="791" w:type="pct"/>
            <w:tcBorders>
              <w:top w:val="nil"/>
              <w:left w:val="nil"/>
              <w:bottom w:val="double" w:sz="6" w:space="0" w:color="1F497D"/>
              <w:right w:val="double" w:sz="6" w:space="0" w:color="1F497D"/>
            </w:tcBorders>
            <w:vAlign w:val="center"/>
            <w:hideMark/>
          </w:tcPr>
          <w:p w14:paraId="1CECF9B5" w14:textId="77777777" w:rsidR="00B15F7D" w:rsidRPr="00990FB6" w:rsidRDefault="00B15F7D" w:rsidP="00B15F7D">
            <w:pPr>
              <w:jc w:val="center"/>
              <w:rPr>
                <w:sz w:val="22"/>
                <w:szCs w:val="22"/>
                <w:lang w:eastAsia="es-CR"/>
              </w:rPr>
            </w:pPr>
            <w:r w:rsidRPr="00990FB6">
              <w:rPr>
                <w:sz w:val="22"/>
                <w:szCs w:val="22"/>
                <w:lang w:eastAsia="es-CR"/>
              </w:rPr>
              <w:t>¢25 913 000</w:t>
            </w:r>
          </w:p>
        </w:tc>
        <w:tc>
          <w:tcPr>
            <w:tcW w:w="793" w:type="pct"/>
            <w:tcBorders>
              <w:top w:val="nil"/>
              <w:left w:val="nil"/>
              <w:bottom w:val="double" w:sz="6" w:space="0" w:color="1F497D"/>
              <w:right w:val="double" w:sz="6" w:space="0" w:color="1F497D"/>
            </w:tcBorders>
            <w:vAlign w:val="center"/>
            <w:hideMark/>
          </w:tcPr>
          <w:p w14:paraId="4A345D22" w14:textId="77777777" w:rsidR="00B15F7D" w:rsidRPr="00990FB6" w:rsidRDefault="00B15F7D" w:rsidP="00B15F7D">
            <w:pPr>
              <w:rPr>
                <w:sz w:val="22"/>
                <w:szCs w:val="22"/>
                <w:lang w:eastAsia="es-CR"/>
              </w:rPr>
            </w:pPr>
            <w:r w:rsidRPr="00990FB6">
              <w:rPr>
                <w:sz w:val="22"/>
                <w:szCs w:val="22"/>
                <w:lang w:eastAsia="es-CR"/>
              </w:rPr>
              <w:t>Plaza requerida para la Administración de la Defensa Pública</w:t>
            </w:r>
          </w:p>
        </w:tc>
      </w:tr>
      <w:tr w:rsidR="00B15F7D" w:rsidRPr="00990FB6" w14:paraId="066D2554" w14:textId="77777777" w:rsidTr="000A0C22">
        <w:trPr>
          <w:trHeight w:val="310"/>
          <w:jc w:val="center"/>
        </w:trPr>
        <w:tc>
          <w:tcPr>
            <w:tcW w:w="5000" w:type="pct"/>
            <w:gridSpan w:val="7"/>
            <w:tcBorders>
              <w:top w:val="double" w:sz="6" w:space="0" w:color="1F497D"/>
              <w:left w:val="double" w:sz="6" w:space="0" w:color="0673A5"/>
              <w:bottom w:val="nil"/>
              <w:right w:val="double" w:sz="6" w:space="0" w:color="0673A5"/>
            </w:tcBorders>
            <w:shd w:val="clear" w:color="auto" w:fill="DCE6F1"/>
            <w:vAlign w:val="center"/>
            <w:hideMark/>
          </w:tcPr>
          <w:p w14:paraId="6BF739B1" w14:textId="77777777" w:rsidR="00B15F7D" w:rsidRPr="00990FB6" w:rsidRDefault="00B15F7D" w:rsidP="00B15F7D">
            <w:pPr>
              <w:jc w:val="center"/>
              <w:rPr>
                <w:b/>
                <w:bCs/>
                <w:sz w:val="22"/>
                <w:szCs w:val="22"/>
                <w:lang w:eastAsia="es-CR"/>
              </w:rPr>
            </w:pPr>
            <w:r w:rsidRPr="00990FB6">
              <w:rPr>
                <w:b/>
                <w:bCs/>
                <w:sz w:val="22"/>
                <w:szCs w:val="22"/>
                <w:lang w:eastAsia="es-CR"/>
              </w:rPr>
              <w:t>Existe un dato inestimable al no poder contar con la carga de todos los asuntos.</w:t>
            </w:r>
          </w:p>
        </w:tc>
      </w:tr>
      <w:tr w:rsidR="00B15F7D" w:rsidRPr="00990FB6" w14:paraId="0B43225F" w14:textId="77777777" w:rsidTr="000A0C22">
        <w:trPr>
          <w:trHeight w:val="310"/>
          <w:jc w:val="center"/>
        </w:trPr>
        <w:tc>
          <w:tcPr>
            <w:tcW w:w="998" w:type="pct"/>
            <w:tcBorders>
              <w:top w:val="double" w:sz="6" w:space="0" w:color="0673A5"/>
              <w:left w:val="double" w:sz="6" w:space="0" w:color="0673A5"/>
              <w:bottom w:val="double" w:sz="6" w:space="0" w:color="0673A5"/>
              <w:right w:val="double" w:sz="6" w:space="0" w:color="0673A5"/>
            </w:tcBorders>
            <w:shd w:val="clear" w:color="auto" w:fill="DCE6F1"/>
            <w:vAlign w:val="center"/>
            <w:hideMark/>
          </w:tcPr>
          <w:p w14:paraId="243DBBE4" w14:textId="77777777" w:rsidR="00B15F7D" w:rsidRPr="00990FB6" w:rsidRDefault="00B15F7D" w:rsidP="00B15F7D">
            <w:pPr>
              <w:jc w:val="right"/>
              <w:rPr>
                <w:b/>
                <w:bCs/>
                <w:sz w:val="22"/>
                <w:szCs w:val="22"/>
                <w:lang w:eastAsia="es-CR"/>
              </w:rPr>
            </w:pPr>
            <w:r w:rsidRPr="00990FB6">
              <w:rPr>
                <w:b/>
                <w:bCs/>
                <w:sz w:val="22"/>
                <w:szCs w:val="22"/>
                <w:lang w:eastAsia="es-CR"/>
              </w:rPr>
              <w:t>Total</w:t>
            </w:r>
          </w:p>
        </w:tc>
        <w:tc>
          <w:tcPr>
            <w:tcW w:w="509" w:type="pct"/>
            <w:tcBorders>
              <w:top w:val="double" w:sz="6" w:space="0" w:color="0673A5"/>
              <w:left w:val="nil"/>
              <w:bottom w:val="double" w:sz="6" w:space="0" w:color="0673A5"/>
              <w:right w:val="double" w:sz="6" w:space="0" w:color="0673A5"/>
            </w:tcBorders>
            <w:shd w:val="clear" w:color="auto" w:fill="DCE6F1"/>
            <w:vAlign w:val="center"/>
            <w:hideMark/>
          </w:tcPr>
          <w:p w14:paraId="6F5DF264" w14:textId="77777777" w:rsidR="00B15F7D" w:rsidRPr="00990FB6" w:rsidRDefault="00B15F7D" w:rsidP="00B15F7D">
            <w:pPr>
              <w:jc w:val="center"/>
              <w:rPr>
                <w:b/>
                <w:bCs/>
                <w:sz w:val="22"/>
                <w:szCs w:val="22"/>
                <w:lang w:eastAsia="es-CR"/>
              </w:rPr>
            </w:pPr>
            <w:r w:rsidRPr="00990FB6">
              <w:rPr>
                <w:b/>
                <w:bCs/>
                <w:sz w:val="22"/>
                <w:szCs w:val="22"/>
                <w:lang w:eastAsia="es-CR"/>
              </w:rPr>
              <w:t>24</w:t>
            </w:r>
          </w:p>
        </w:tc>
        <w:tc>
          <w:tcPr>
            <w:tcW w:w="1909" w:type="pct"/>
            <w:gridSpan w:val="3"/>
            <w:tcBorders>
              <w:top w:val="double" w:sz="6" w:space="0" w:color="1F497D"/>
              <w:left w:val="nil"/>
              <w:bottom w:val="double" w:sz="6" w:space="0" w:color="1F497D"/>
              <w:right w:val="double" w:sz="6" w:space="0" w:color="1F497D"/>
            </w:tcBorders>
            <w:shd w:val="clear" w:color="auto" w:fill="DCE6F1"/>
            <w:vAlign w:val="center"/>
            <w:hideMark/>
          </w:tcPr>
          <w:p w14:paraId="0228DAFF" w14:textId="77777777" w:rsidR="00B15F7D" w:rsidRPr="00990FB6" w:rsidRDefault="00B15F7D" w:rsidP="00B15F7D">
            <w:pPr>
              <w:jc w:val="center"/>
              <w:rPr>
                <w:sz w:val="22"/>
                <w:szCs w:val="22"/>
                <w:lang w:eastAsia="es-CR"/>
              </w:rPr>
            </w:pPr>
            <w:r w:rsidRPr="00990FB6">
              <w:rPr>
                <w:sz w:val="22"/>
                <w:szCs w:val="22"/>
                <w:lang w:eastAsia="es-CR"/>
              </w:rPr>
              <w:t> </w:t>
            </w:r>
          </w:p>
        </w:tc>
        <w:tc>
          <w:tcPr>
            <w:tcW w:w="1584" w:type="pct"/>
            <w:gridSpan w:val="2"/>
            <w:tcBorders>
              <w:top w:val="double" w:sz="6" w:space="0" w:color="1F497D"/>
              <w:left w:val="nil"/>
              <w:bottom w:val="double" w:sz="6" w:space="0" w:color="1F497D"/>
              <w:right w:val="double" w:sz="6" w:space="0" w:color="1F497D"/>
            </w:tcBorders>
            <w:shd w:val="clear" w:color="auto" w:fill="DCE6F1"/>
            <w:vAlign w:val="center"/>
            <w:hideMark/>
          </w:tcPr>
          <w:p w14:paraId="74661511" w14:textId="77777777" w:rsidR="00B15F7D" w:rsidRPr="00990FB6" w:rsidRDefault="00B15F7D" w:rsidP="00B15F7D">
            <w:pPr>
              <w:jc w:val="center"/>
              <w:rPr>
                <w:b/>
                <w:bCs/>
                <w:sz w:val="22"/>
                <w:szCs w:val="22"/>
                <w:lang w:eastAsia="es-CR"/>
              </w:rPr>
            </w:pPr>
            <w:r w:rsidRPr="00990FB6">
              <w:rPr>
                <w:b/>
                <w:bCs/>
                <w:sz w:val="22"/>
                <w:szCs w:val="22"/>
                <w:lang w:eastAsia="es-CR"/>
              </w:rPr>
              <w:t xml:space="preserve">₡509 229 000,00 </w:t>
            </w:r>
          </w:p>
        </w:tc>
      </w:tr>
    </w:tbl>
    <w:p w14:paraId="298A3E00" w14:textId="77777777" w:rsidR="00B15F7D" w:rsidRPr="00990FB6" w:rsidRDefault="00B15F7D" w:rsidP="00B15F7D">
      <w:pPr>
        <w:rPr>
          <w:bCs/>
          <w:i/>
          <w:sz w:val="22"/>
          <w:szCs w:val="22"/>
          <w:lang w:eastAsia="es-ES"/>
        </w:rPr>
      </w:pPr>
      <w:r w:rsidRPr="00990FB6">
        <w:rPr>
          <w:bCs/>
          <w:i/>
          <w:sz w:val="22"/>
          <w:szCs w:val="22"/>
        </w:rPr>
        <w:t>Fuente: Subproceso de Modernización Institucional, área No Penal.</w:t>
      </w:r>
    </w:p>
    <w:p w14:paraId="37795546" w14:textId="77777777" w:rsidR="00B15F7D" w:rsidRPr="00990FB6" w:rsidRDefault="00B15F7D" w:rsidP="00B15F7D">
      <w:pPr>
        <w:ind w:left="-567"/>
        <w:rPr>
          <w:bCs/>
          <w:i/>
          <w:sz w:val="22"/>
          <w:szCs w:val="22"/>
        </w:rPr>
      </w:pPr>
    </w:p>
    <w:p w14:paraId="44C93F03" w14:textId="77777777" w:rsidR="00B15F7D" w:rsidRPr="00990FB6" w:rsidRDefault="00B15F7D" w:rsidP="00B15F7D">
      <w:pPr>
        <w:ind w:left="851" w:right="851" w:firstLine="709"/>
        <w:contextualSpacing/>
        <w:jc w:val="both"/>
        <w:rPr>
          <w:bCs/>
          <w:caps/>
          <w:sz w:val="22"/>
          <w:szCs w:val="22"/>
          <w:lang w:eastAsia="es-ES"/>
        </w:rPr>
      </w:pPr>
      <w:r w:rsidRPr="00990FB6">
        <w:rPr>
          <w:b/>
          <w:caps/>
          <w:sz w:val="22"/>
          <w:szCs w:val="22"/>
          <w:lang w:eastAsia="es-ES"/>
        </w:rPr>
        <w:lastRenderedPageBreak/>
        <w:t xml:space="preserve">La propuesta de recurso humano necesario para la implementación del Nuevo Código Procesal Agrario tiene un monto total de </w:t>
      </w:r>
      <w:r w:rsidRPr="00990FB6">
        <w:rPr>
          <w:bCs/>
          <w:caps/>
          <w:sz w:val="22"/>
          <w:szCs w:val="22"/>
          <w:lang w:eastAsia="es-ES"/>
        </w:rPr>
        <w:t xml:space="preserve">₡483.316.000,00 </w:t>
      </w:r>
    </w:p>
    <w:p w14:paraId="77833519" w14:textId="77777777" w:rsidR="00B15F7D" w:rsidRPr="00990FB6" w:rsidRDefault="00B15F7D" w:rsidP="00B15F7D">
      <w:pPr>
        <w:ind w:left="851" w:right="851" w:firstLine="709"/>
        <w:contextualSpacing/>
        <w:jc w:val="both"/>
        <w:rPr>
          <w:bCs/>
          <w:caps/>
          <w:sz w:val="22"/>
          <w:szCs w:val="22"/>
          <w:lang w:eastAsia="es-ES"/>
        </w:rPr>
      </w:pPr>
    </w:p>
    <w:p w14:paraId="7F98E635" w14:textId="77777777" w:rsidR="00B15F7D" w:rsidRPr="00990FB6" w:rsidRDefault="00B15F7D" w:rsidP="00B15F7D">
      <w:pPr>
        <w:ind w:left="851" w:right="851" w:firstLine="709"/>
        <w:contextualSpacing/>
        <w:jc w:val="both"/>
        <w:rPr>
          <w:caps/>
          <w:sz w:val="22"/>
          <w:szCs w:val="22"/>
          <w:lang w:eastAsia="es-ES"/>
        </w:rPr>
      </w:pPr>
      <w:r w:rsidRPr="00990FB6">
        <w:rPr>
          <w:b/>
          <w:caps/>
          <w:sz w:val="22"/>
          <w:szCs w:val="22"/>
          <w:lang w:eastAsia="es-ES"/>
        </w:rPr>
        <w:t>Los siguientes montos están asociados gastos variables a los costos de equipo y mobiliario, como en la adquisición de vehículos con sus respectivos mantenimientos y demás.</w:t>
      </w:r>
    </w:p>
    <w:p w14:paraId="27C46F46" w14:textId="77777777" w:rsidR="00B15F7D" w:rsidRPr="00990FB6" w:rsidRDefault="00B15F7D" w:rsidP="00B15F7D">
      <w:pPr>
        <w:contextualSpacing/>
        <w:jc w:val="both"/>
        <w:rPr>
          <w:b/>
          <w:caps/>
          <w:sz w:val="22"/>
          <w:szCs w:val="22"/>
          <w:lang w:eastAsia="es-ES"/>
        </w:rPr>
      </w:pPr>
    </w:p>
    <w:p w14:paraId="35ED9930" w14:textId="77777777" w:rsidR="00B15F7D" w:rsidRPr="00990FB6" w:rsidRDefault="00B15F7D" w:rsidP="00B15F7D">
      <w:pPr>
        <w:ind w:left="1080"/>
        <w:contextualSpacing/>
        <w:jc w:val="center"/>
        <w:rPr>
          <w:b/>
          <w:iCs/>
          <w:caps/>
          <w:sz w:val="22"/>
          <w:szCs w:val="22"/>
          <w:lang w:eastAsia="es-ES"/>
        </w:rPr>
      </w:pPr>
      <w:r w:rsidRPr="00990FB6">
        <w:rPr>
          <w:iCs/>
          <w:caps/>
          <w:sz w:val="22"/>
          <w:szCs w:val="22"/>
          <w:lang w:eastAsia="es-ES"/>
        </w:rPr>
        <w:t>Cuadro 33</w:t>
      </w:r>
    </w:p>
    <w:p w14:paraId="771A8839" w14:textId="77777777" w:rsidR="00B15F7D" w:rsidRPr="00990FB6" w:rsidRDefault="00B15F7D" w:rsidP="00B15F7D">
      <w:pPr>
        <w:ind w:left="1080"/>
        <w:contextualSpacing/>
        <w:jc w:val="center"/>
        <w:rPr>
          <w:iCs/>
          <w:caps/>
          <w:sz w:val="22"/>
          <w:szCs w:val="22"/>
          <w:lang w:eastAsia="es-ES"/>
        </w:rPr>
      </w:pPr>
      <w:r w:rsidRPr="00990FB6">
        <w:rPr>
          <w:iCs/>
          <w:caps/>
          <w:sz w:val="22"/>
          <w:szCs w:val="22"/>
          <w:lang w:eastAsia="es-ES"/>
        </w:rPr>
        <w:t>Costo total estimado de gasto variable para presupuesto 2024</w:t>
      </w:r>
    </w:p>
    <w:p w14:paraId="4FE8DEFA" w14:textId="77777777" w:rsidR="00B15F7D" w:rsidRPr="00990FB6" w:rsidRDefault="00B15F7D" w:rsidP="00B15F7D">
      <w:pPr>
        <w:ind w:left="1080"/>
        <w:contextualSpacing/>
        <w:jc w:val="center"/>
        <w:rPr>
          <w:iCs/>
          <w:caps/>
          <w:sz w:val="22"/>
          <w:szCs w:val="22"/>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98"/>
        <w:gridCol w:w="966"/>
        <w:gridCol w:w="1628"/>
        <w:gridCol w:w="1585"/>
        <w:gridCol w:w="1121"/>
        <w:gridCol w:w="1585"/>
        <w:gridCol w:w="145"/>
      </w:tblGrid>
      <w:tr w:rsidR="00B15F7D" w:rsidRPr="00990FB6" w14:paraId="0686161C" w14:textId="77777777" w:rsidTr="000A0C22">
        <w:trPr>
          <w:gridAfter w:val="1"/>
          <w:wAfter w:w="82" w:type="pct"/>
          <w:trHeight w:val="678"/>
          <w:tblHeader/>
          <w:jc w:val="center"/>
        </w:trPr>
        <w:tc>
          <w:tcPr>
            <w:tcW w:w="1022"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tcPr>
          <w:p w14:paraId="33BF08CB" w14:textId="77777777" w:rsidR="00B15F7D" w:rsidRPr="00990FB6" w:rsidRDefault="00B15F7D" w:rsidP="00B15F7D">
            <w:pPr>
              <w:jc w:val="center"/>
              <w:rPr>
                <w:b/>
                <w:bCs/>
                <w:sz w:val="22"/>
                <w:szCs w:val="22"/>
                <w:lang w:eastAsia="es-CR"/>
              </w:rPr>
            </w:pPr>
          </w:p>
        </w:tc>
        <w:tc>
          <w:tcPr>
            <w:tcW w:w="3896" w:type="pct"/>
            <w:gridSpan w:val="5"/>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42C123C5" w14:textId="77777777" w:rsidR="00B15F7D" w:rsidRPr="00990FB6" w:rsidRDefault="00B15F7D" w:rsidP="00B15F7D">
            <w:pPr>
              <w:jc w:val="center"/>
              <w:rPr>
                <w:b/>
                <w:bCs/>
                <w:sz w:val="22"/>
                <w:szCs w:val="22"/>
                <w:lang w:eastAsia="es-CR"/>
              </w:rPr>
            </w:pPr>
            <w:r w:rsidRPr="00990FB6">
              <w:rPr>
                <w:b/>
                <w:bCs/>
                <w:sz w:val="22"/>
                <w:szCs w:val="22"/>
                <w:lang w:eastAsia="es-CR"/>
              </w:rPr>
              <w:t>Estimación de costos para la implementación de la reforma con cargo al presupuesto del periodo 2024, según programa presupuestario</w:t>
            </w:r>
          </w:p>
        </w:tc>
      </w:tr>
      <w:tr w:rsidR="00B15F7D" w:rsidRPr="00990FB6" w14:paraId="0D4D1422" w14:textId="77777777" w:rsidTr="000A0C22">
        <w:trPr>
          <w:gridAfter w:val="1"/>
          <w:wAfter w:w="82" w:type="pct"/>
          <w:trHeight w:val="334"/>
          <w:tblHeader/>
          <w:jc w:val="center"/>
        </w:trPr>
        <w:tc>
          <w:tcPr>
            <w:tcW w:w="1562" w:type="pct"/>
            <w:gridSpan w:val="2"/>
            <w:vMerge w:val="restar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610AE5F8" w14:textId="77777777" w:rsidR="00B15F7D" w:rsidRPr="00990FB6" w:rsidRDefault="00B15F7D" w:rsidP="00B15F7D">
            <w:pPr>
              <w:jc w:val="center"/>
              <w:rPr>
                <w:b/>
                <w:bCs/>
                <w:sz w:val="22"/>
                <w:szCs w:val="22"/>
                <w:lang w:eastAsia="es-CR"/>
              </w:rPr>
            </w:pPr>
            <w:r w:rsidRPr="00990FB6">
              <w:rPr>
                <w:b/>
                <w:bCs/>
                <w:sz w:val="22"/>
                <w:szCs w:val="22"/>
                <w:lang w:eastAsia="es-CR"/>
              </w:rPr>
              <w:t>REQUERIMIENTO</w:t>
            </w:r>
          </w:p>
        </w:tc>
        <w:tc>
          <w:tcPr>
            <w:tcW w:w="923"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tcPr>
          <w:p w14:paraId="7A2544F7" w14:textId="77777777" w:rsidR="00B15F7D" w:rsidRPr="00990FB6" w:rsidRDefault="00B15F7D" w:rsidP="00B15F7D">
            <w:pPr>
              <w:jc w:val="center"/>
              <w:rPr>
                <w:b/>
                <w:bCs/>
                <w:sz w:val="22"/>
                <w:szCs w:val="22"/>
                <w:lang w:eastAsia="es-CR"/>
              </w:rPr>
            </w:pPr>
          </w:p>
        </w:tc>
        <w:tc>
          <w:tcPr>
            <w:tcW w:w="2433" w:type="pct"/>
            <w:gridSpan w:val="3"/>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02D3AAD3" w14:textId="77777777" w:rsidR="00B15F7D" w:rsidRPr="00990FB6" w:rsidRDefault="00B15F7D" w:rsidP="00B15F7D">
            <w:pPr>
              <w:jc w:val="center"/>
              <w:rPr>
                <w:b/>
                <w:bCs/>
                <w:sz w:val="22"/>
                <w:szCs w:val="22"/>
                <w:lang w:eastAsia="es-CR"/>
              </w:rPr>
            </w:pPr>
            <w:r w:rsidRPr="00990FB6">
              <w:rPr>
                <w:b/>
                <w:bCs/>
                <w:sz w:val="22"/>
                <w:szCs w:val="22"/>
                <w:lang w:eastAsia="es-CR"/>
              </w:rPr>
              <w:t>PROGRAMA</w:t>
            </w:r>
          </w:p>
        </w:tc>
      </w:tr>
      <w:tr w:rsidR="00B15F7D" w:rsidRPr="00990FB6" w14:paraId="7AB11C7E" w14:textId="77777777" w:rsidTr="000A0C22">
        <w:trPr>
          <w:gridAfter w:val="1"/>
          <w:wAfter w:w="82" w:type="pct"/>
          <w:trHeight w:val="229"/>
          <w:tblHeader/>
          <w:jc w:val="center"/>
        </w:trPr>
        <w:tc>
          <w:tcPr>
            <w:tcW w:w="1562" w:type="pct"/>
            <w:gridSpan w:val="2"/>
            <w:vMerge/>
            <w:tcBorders>
              <w:top w:val="single" w:sz="4" w:space="0" w:color="auto"/>
              <w:left w:val="single" w:sz="4" w:space="0" w:color="auto"/>
              <w:bottom w:val="single" w:sz="4" w:space="0" w:color="auto"/>
              <w:right w:val="single" w:sz="4" w:space="0" w:color="auto"/>
            </w:tcBorders>
            <w:vAlign w:val="center"/>
            <w:hideMark/>
          </w:tcPr>
          <w:p w14:paraId="610A07A9" w14:textId="77777777" w:rsidR="00B15F7D" w:rsidRPr="00990FB6" w:rsidRDefault="00B15F7D" w:rsidP="00B15F7D">
            <w:pPr>
              <w:rPr>
                <w:b/>
                <w:bCs/>
                <w:sz w:val="22"/>
                <w:szCs w:val="22"/>
                <w:lang w:eastAsia="es-CR"/>
              </w:rPr>
            </w:pPr>
          </w:p>
        </w:tc>
        <w:tc>
          <w:tcPr>
            <w:tcW w:w="923"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58D4CEC7" w14:textId="77777777" w:rsidR="00B15F7D" w:rsidRPr="00990FB6" w:rsidRDefault="00B15F7D" w:rsidP="00B15F7D">
            <w:pPr>
              <w:jc w:val="center"/>
              <w:rPr>
                <w:b/>
                <w:bCs/>
                <w:sz w:val="22"/>
                <w:szCs w:val="22"/>
                <w:lang w:eastAsia="es-CR"/>
              </w:rPr>
            </w:pPr>
            <w:r w:rsidRPr="00990FB6">
              <w:rPr>
                <w:b/>
                <w:bCs/>
                <w:sz w:val="22"/>
                <w:szCs w:val="22"/>
                <w:lang w:eastAsia="es-CR"/>
              </w:rPr>
              <w:t>926</w:t>
            </w:r>
          </w:p>
        </w:tc>
        <w:tc>
          <w:tcPr>
            <w:tcW w:w="899"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770D8487" w14:textId="77777777" w:rsidR="00B15F7D" w:rsidRPr="00990FB6" w:rsidRDefault="00B15F7D" w:rsidP="00B15F7D">
            <w:pPr>
              <w:jc w:val="center"/>
              <w:rPr>
                <w:b/>
                <w:bCs/>
                <w:sz w:val="22"/>
                <w:szCs w:val="22"/>
                <w:lang w:eastAsia="es-CR"/>
              </w:rPr>
            </w:pPr>
            <w:r w:rsidRPr="00990FB6">
              <w:rPr>
                <w:b/>
                <w:bCs/>
                <w:sz w:val="22"/>
                <w:szCs w:val="22"/>
                <w:lang w:eastAsia="es-CR"/>
              </w:rPr>
              <w:t>927</w:t>
            </w:r>
          </w:p>
        </w:tc>
        <w:tc>
          <w:tcPr>
            <w:tcW w:w="635"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hideMark/>
          </w:tcPr>
          <w:p w14:paraId="5CA21FE2" w14:textId="77777777" w:rsidR="00B15F7D" w:rsidRPr="00990FB6" w:rsidRDefault="00B15F7D" w:rsidP="00B15F7D">
            <w:pPr>
              <w:jc w:val="center"/>
              <w:rPr>
                <w:b/>
                <w:bCs/>
                <w:sz w:val="22"/>
                <w:szCs w:val="22"/>
                <w:lang w:eastAsia="es-CR"/>
              </w:rPr>
            </w:pPr>
            <w:r w:rsidRPr="00990FB6">
              <w:rPr>
                <w:b/>
                <w:bCs/>
                <w:sz w:val="22"/>
                <w:szCs w:val="22"/>
                <w:lang w:eastAsia="es-CR"/>
              </w:rPr>
              <w:t>930</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52AE1038"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r>
      <w:tr w:rsidR="00B15F7D" w:rsidRPr="00990FB6" w14:paraId="33771FE9" w14:textId="77777777" w:rsidTr="000A0C22">
        <w:trPr>
          <w:gridAfter w:val="1"/>
          <w:wAfter w:w="82" w:type="pct"/>
          <w:trHeight w:val="286"/>
          <w:tblHeader/>
          <w:jc w:val="center"/>
        </w:trPr>
        <w:tc>
          <w:tcPr>
            <w:tcW w:w="1562" w:type="pct"/>
            <w:gridSpan w:val="2"/>
            <w:vMerge/>
            <w:tcBorders>
              <w:top w:val="single" w:sz="4" w:space="0" w:color="auto"/>
              <w:left w:val="single" w:sz="4" w:space="0" w:color="auto"/>
              <w:bottom w:val="single" w:sz="4" w:space="0" w:color="auto"/>
              <w:right w:val="single" w:sz="4" w:space="0" w:color="auto"/>
            </w:tcBorders>
            <w:vAlign w:val="center"/>
            <w:hideMark/>
          </w:tcPr>
          <w:p w14:paraId="779EFA0B" w14:textId="77777777" w:rsidR="00B15F7D" w:rsidRPr="00990FB6" w:rsidRDefault="00B15F7D" w:rsidP="00B15F7D">
            <w:pPr>
              <w:rPr>
                <w:b/>
                <w:bCs/>
                <w:sz w:val="22"/>
                <w:szCs w:val="22"/>
                <w:lang w:eastAsia="es-CR"/>
              </w:rPr>
            </w:pPr>
          </w:p>
        </w:tc>
        <w:tc>
          <w:tcPr>
            <w:tcW w:w="923"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28EB63F8" w14:textId="77777777" w:rsidR="00B15F7D" w:rsidRPr="00990FB6" w:rsidRDefault="00B15F7D" w:rsidP="00B15F7D">
            <w:pPr>
              <w:jc w:val="center"/>
              <w:rPr>
                <w:b/>
                <w:bCs/>
                <w:sz w:val="22"/>
                <w:szCs w:val="22"/>
                <w:lang w:eastAsia="es-CR"/>
              </w:rPr>
            </w:pPr>
            <w:r w:rsidRPr="00990FB6">
              <w:rPr>
                <w:b/>
                <w:bCs/>
                <w:sz w:val="22"/>
                <w:szCs w:val="22"/>
                <w:lang w:eastAsia="es-CR"/>
              </w:rPr>
              <w:t>Administrativo</w:t>
            </w:r>
          </w:p>
        </w:tc>
        <w:tc>
          <w:tcPr>
            <w:tcW w:w="899"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6966F131" w14:textId="77777777" w:rsidR="00B15F7D" w:rsidRPr="00990FB6" w:rsidRDefault="00B15F7D" w:rsidP="00B15F7D">
            <w:pPr>
              <w:jc w:val="center"/>
              <w:rPr>
                <w:b/>
                <w:bCs/>
                <w:sz w:val="22"/>
                <w:szCs w:val="22"/>
                <w:lang w:eastAsia="es-CR"/>
              </w:rPr>
            </w:pPr>
            <w:r w:rsidRPr="00990FB6">
              <w:rPr>
                <w:b/>
                <w:bCs/>
                <w:sz w:val="22"/>
                <w:szCs w:val="22"/>
                <w:lang w:eastAsia="es-CR"/>
              </w:rPr>
              <w:t xml:space="preserve">Jurisdiccional </w:t>
            </w:r>
          </w:p>
        </w:tc>
        <w:tc>
          <w:tcPr>
            <w:tcW w:w="635" w:type="pct"/>
            <w:tcBorders>
              <w:top w:val="single" w:sz="4" w:space="0" w:color="auto"/>
              <w:left w:val="single" w:sz="4" w:space="0" w:color="auto"/>
              <w:bottom w:val="single" w:sz="4" w:space="0" w:color="auto"/>
              <w:right w:val="single" w:sz="4" w:space="0" w:color="auto"/>
            </w:tcBorders>
            <w:shd w:val="clear" w:color="auto" w:fill="0673A5"/>
            <w:tcMar>
              <w:top w:w="15" w:type="dxa"/>
              <w:left w:w="70" w:type="dxa"/>
              <w:bottom w:w="0" w:type="dxa"/>
              <w:right w:w="70" w:type="dxa"/>
            </w:tcMar>
            <w:vAlign w:val="center"/>
            <w:hideMark/>
          </w:tcPr>
          <w:p w14:paraId="2D3FC54F" w14:textId="77777777" w:rsidR="00B15F7D" w:rsidRPr="00990FB6" w:rsidRDefault="00B15F7D" w:rsidP="00B15F7D">
            <w:pPr>
              <w:jc w:val="center"/>
              <w:rPr>
                <w:b/>
                <w:bCs/>
                <w:sz w:val="22"/>
                <w:szCs w:val="22"/>
                <w:lang w:eastAsia="es-CR"/>
              </w:rPr>
            </w:pPr>
            <w:r w:rsidRPr="00990FB6">
              <w:rPr>
                <w:b/>
                <w:bCs/>
                <w:sz w:val="22"/>
                <w:szCs w:val="22"/>
                <w:lang w:eastAsia="es-CR"/>
              </w:rPr>
              <w:t>Defensa Pública</w:t>
            </w:r>
          </w:p>
        </w:tc>
        <w:tc>
          <w:tcPr>
            <w:tcW w:w="899" w:type="pct"/>
            <w:vMerge/>
            <w:tcBorders>
              <w:top w:val="single" w:sz="4" w:space="0" w:color="auto"/>
              <w:left w:val="single" w:sz="4" w:space="0" w:color="auto"/>
              <w:bottom w:val="single" w:sz="4" w:space="0" w:color="auto"/>
              <w:right w:val="single" w:sz="4" w:space="0" w:color="auto"/>
            </w:tcBorders>
            <w:vAlign w:val="center"/>
            <w:hideMark/>
          </w:tcPr>
          <w:p w14:paraId="02813FBE" w14:textId="77777777" w:rsidR="00B15F7D" w:rsidRPr="00990FB6" w:rsidRDefault="00B15F7D" w:rsidP="00B15F7D">
            <w:pPr>
              <w:rPr>
                <w:b/>
                <w:bCs/>
                <w:sz w:val="22"/>
                <w:szCs w:val="22"/>
                <w:lang w:eastAsia="es-CR"/>
              </w:rPr>
            </w:pPr>
          </w:p>
        </w:tc>
      </w:tr>
      <w:tr w:rsidR="00B15F7D" w:rsidRPr="00990FB6" w14:paraId="3D8043CC"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7C0FF6D9" w14:textId="77777777" w:rsidR="00B15F7D" w:rsidRPr="00990FB6" w:rsidRDefault="00B15F7D" w:rsidP="00B15F7D">
            <w:pPr>
              <w:rPr>
                <w:b/>
                <w:bCs/>
                <w:sz w:val="22"/>
                <w:szCs w:val="22"/>
                <w:lang w:eastAsia="es-CR"/>
              </w:rPr>
            </w:pPr>
            <w:r w:rsidRPr="00990FB6">
              <w:rPr>
                <w:b/>
                <w:bCs/>
                <w:sz w:val="22"/>
                <w:szCs w:val="22"/>
                <w:lang w:eastAsia="es-CR"/>
              </w:rPr>
              <w:t>Recurso humano</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0B7DE570" w14:textId="77777777" w:rsidR="00B15F7D" w:rsidRPr="00990FB6" w:rsidRDefault="00B15F7D" w:rsidP="00B15F7D">
            <w:pPr>
              <w:jc w:val="center"/>
              <w:rPr>
                <w:sz w:val="22"/>
                <w:szCs w:val="22"/>
                <w:lang w:eastAsia="es-CR"/>
              </w:rPr>
            </w:pPr>
            <w:r w:rsidRPr="00990FB6">
              <w:rPr>
                <w:sz w:val="22"/>
                <w:szCs w:val="22"/>
                <w:lang w:eastAsia="es-CR"/>
              </w:rPr>
              <w:t xml:space="preserve"> ₡      162 564 000,00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77D79DE0" w14:textId="77777777" w:rsidR="00B15F7D" w:rsidRPr="00990FB6" w:rsidRDefault="00B15F7D" w:rsidP="00B15F7D">
            <w:pPr>
              <w:jc w:val="center"/>
              <w:rPr>
                <w:sz w:val="22"/>
                <w:szCs w:val="22"/>
                <w:lang w:eastAsia="es-CR"/>
              </w:rPr>
            </w:pPr>
            <w:r w:rsidRPr="00990FB6">
              <w:rPr>
                <w:sz w:val="22"/>
                <w:szCs w:val="22"/>
                <w:lang w:eastAsia="es-CR"/>
              </w:rPr>
              <w:t xml:space="preserve"> ₡     320 752 000,00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hideMark/>
          </w:tcPr>
          <w:p w14:paraId="25D09050" w14:textId="77777777" w:rsidR="00B15F7D" w:rsidRPr="00990FB6" w:rsidRDefault="00B15F7D" w:rsidP="00B15F7D">
            <w:pPr>
              <w:jc w:val="center"/>
              <w:rPr>
                <w:b/>
                <w:bCs/>
                <w:sz w:val="22"/>
                <w:szCs w:val="22"/>
                <w:lang w:eastAsia="es-CR"/>
              </w:rPr>
            </w:pPr>
            <w:r w:rsidRPr="00990FB6">
              <w:rPr>
                <w:sz w:val="22"/>
                <w:szCs w:val="22"/>
                <w:lang w:eastAsia="es-CR"/>
              </w:rPr>
              <w:t>¢25 913 000</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4D3D234E" w14:textId="77777777" w:rsidR="00B15F7D" w:rsidRPr="00990FB6" w:rsidRDefault="00B15F7D" w:rsidP="00B15F7D">
            <w:pPr>
              <w:jc w:val="center"/>
              <w:rPr>
                <w:b/>
                <w:bCs/>
                <w:sz w:val="22"/>
                <w:szCs w:val="22"/>
                <w:lang w:eastAsia="es-CR"/>
              </w:rPr>
            </w:pPr>
            <w:r w:rsidRPr="00990FB6">
              <w:rPr>
                <w:b/>
                <w:bCs/>
                <w:sz w:val="22"/>
                <w:szCs w:val="22"/>
                <w:lang w:eastAsia="es-CR"/>
              </w:rPr>
              <w:t>509 229 000,00</w:t>
            </w:r>
          </w:p>
        </w:tc>
      </w:tr>
      <w:tr w:rsidR="00B15F7D" w:rsidRPr="00990FB6" w14:paraId="6E853B0B"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7CB5C87D" w14:textId="77777777" w:rsidR="00B15F7D" w:rsidRPr="00990FB6" w:rsidRDefault="00B15F7D" w:rsidP="00B15F7D">
            <w:pPr>
              <w:rPr>
                <w:sz w:val="22"/>
                <w:szCs w:val="22"/>
                <w:lang w:eastAsia="es-CR"/>
              </w:rPr>
            </w:pPr>
            <w:r w:rsidRPr="00990FB6">
              <w:rPr>
                <w:sz w:val="22"/>
                <w:szCs w:val="22"/>
                <w:lang w:eastAsia="es-CR"/>
              </w:rPr>
              <w:t xml:space="preserve">Equipo de cómputo </w:t>
            </w:r>
          </w:p>
        </w:tc>
        <w:tc>
          <w:tcPr>
            <w:tcW w:w="923"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64D96C61" w14:textId="77777777" w:rsidR="00B15F7D" w:rsidRPr="00990FB6" w:rsidRDefault="00B15F7D" w:rsidP="00B15F7D">
            <w:pPr>
              <w:rPr>
                <w:sz w:val="22"/>
                <w:szCs w:val="22"/>
                <w:lang w:eastAsia="es-CR"/>
              </w:rPr>
            </w:pPr>
            <w:r w:rsidRPr="00990FB6">
              <w:rPr>
                <w:sz w:val="22"/>
                <w:szCs w:val="22"/>
                <w:lang w:eastAsia="es-CR"/>
              </w:rPr>
              <w:t xml:space="preserve">  ₡                          -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041FA094" w14:textId="77777777" w:rsidR="00B15F7D" w:rsidRPr="00990FB6" w:rsidRDefault="00B15F7D" w:rsidP="00B15F7D">
            <w:pPr>
              <w:jc w:val="center"/>
              <w:rPr>
                <w:sz w:val="22"/>
                <w:szCs w:val="22"/>
                <w:lang w:eastAsia="es-CR"/>
              </w:rPr>
            </w:pPr>
            <w:r w:rsidRPr="00990FB6">
              <w:rPr>
                <w:sz w:val="22"/>
                <w:szCs w:val="22"/>
                <w:lang w:eastAsia="es-CR"/>
              </w:rPr>
              <w:t xml:space="preserve"> ₡         6 590 541,38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4C60115A"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1C867D65" w14:textId="77777777" w:rsidR="00B15F7D" w:rsidRPr="00990FB6" w:rsidRDefault="00B15F7D" w:rsidP="00B15F7D">
            <w:pPr>
              <w:jc w:val="center"/>
              <w:rPr>
                <w:b/>
                <w:bCs/>
                <w:sz w:val="22"/>
                <w:szCs w:val="22"/>
                <w:lang w:eastAsia="es-CR"/>
              </w:rPr>
            </w:pPr>
            <w:r w:rsidRPr="00990FB6">
              <w:rPr>
                <w:b/>
                <w:bCs/>
                <w:sz w:val="22"/>
                <w:szCs w:val="22"/>
                <w:lang w:eastAsia="es-CR"/>
              </w:rPr>
              <w:t xml:space="preserve"> ₡         6 590 541,38 </w:t>
            </w:r>
          </w:p>
        </w:tc>
      </w:tr>
      <w:tr w:rsidR="00B15F7D" w:rsidRPr="00990FB6" w14:paraId="64AE9243"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08370D69" w14:textId="77777777" w:rsidR="00B15F7D" w:rsidRPr="00990FB6" w:rsidRDefault="00B15F7D" w:rsidP="00B15F7D">
            <w:pPr>
              <w:rPr>
                <w:sz w:val="22"/>
                <w:szCs w:val="22"/>
                <w:lang w:eastAsia="es-CR"/>
              </w:rPr>
            </w:pPr>
            <w:r w:rsidRPr="00990FB6">
              <w:rPr>
                <w:sz w:val="22"/>
                <w:szCs w:val="22"/>
                <w:lang w:eastAsia="es-CR"/>
              </w:rPr>
              <w:t>Mobiliario de plazas nuevas.</w:t>
            </w:r>
          </w:p>
        </w:tc>
        <w:tc>
          <w:tcPr>
            <w:tcW w:w="923"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430A24B9" w14:textId="77777777" w:rsidR="00B15F7D" w:rsidRPr="00990FB6" w:rsidRDefault="00B15F7D" w:rsidP="00B15F7D">
            <w:pPr>
              <w:rPr>
                <w:sz w:val="22"/>
                <w:szCs w:val="22"/>
                <w:lang w:eastAsia="es-CR"/>
              </w:rPr>
            </w:pPr>
            <w:r w:rsidRPr="00990FB6">
              <w:rPr>
                <w:sz w:val="22"/>
                <w:szCs w:val="22"/>
                <w:lang w:eastAsia="es-CR"/>
              </w:rPr>
              <w:t xml:space="preserve">  ₡                          -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772FB428" w14:textId="77777777" w:rsidR="00B15F7D" w:rsidRPr="00990FB6" w:rsidRDefault="00B15F7D" w:rsidP="00B15F7D">
            <w:pPr>
              <w:jc w:val="center"/>
              <w:rPr>
                <w:sz w:val="22"/>
                <w:szCs w:val="22"/>
                <w:lang w:eastAsia="es-CR"/>
              </w:rPr>
            </w:pPr>
            <w:r w:rsidRPr="00990FB6">
              <w:rPr>
                <w:sz w:val="22"/>
                <w:szCs w:val="22"/>
                <w:lang w:eastAsia="es-CR"/>
              </w:rPr>
              <w:t xml:space="preserve"> ₡         1 302 171,34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7C1F5265"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58A8F43C" w14:textId="77777777" w:rsidR="00B15F7D" w:rsidRPr="00990FB6" w:rsidRDefault="00B15F7D" w:rsidP="00B15F7D">
            <w:pPr>
              <w:jc w:val="center"/>
              <w:rPr>
                <w:b/>
                <w:bCs/>
                <w:sz w:val="22"/>
                <w:szCs w:val="22"/>
                <w:lang w:eastAsia="es-CR"/>
              </w:rPr>
            </w:pPr>
            <w:r w:rsidRPr="00990FB6">
              <w:rPr>
                <w:b/>
                <w:bCs/>
                <w:sz w:val="22"/>
                <w:szCs w:val="22"/>
                <w:lang w:eastAsia="es-CR"/>
              </w:rPr>
              <w:t xml:space="preserve"> ₡         1 302 171,34 </w:t>
            </w:r>
          </w:p>
        </w:tc>
      </w:tr>
      <w:tr w:rsidR="00B15F7D" w:rsidRPr="00990FB6" w14:paraId="177B39D0"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182E06D5" w14:textId="77777777" w:rsidR="00B15F7D" w:rsidRPr="00990FB6" w:rsidRDefault="00B15F7D" w:rsidP="00B15F7D">
            <w:pPr>
              <w:rPr>
                <w:sz w:val="22"/>
                <w:szCs w:val="22"/>
                <w:lang w:eastAsia="es-CR"/>
              </w:rPr>
            </w:pPr>
            <w:r w:rsidRPr="00990FB6">
              <w:rPr>
                <w:sz w:val="22"/>
                <w:szCs w:val="22"/>
                <w:lang w:eastAsia="es-CR"/>
              </w:rPr>
              <w:t>Uniformes (2 pantalones y 3 camisas)</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38C8E1D6" w14:textId="77777777" w:rsidR="00B15F7D" w:rsidRPr="00990FB6" w:rsidRDefault="00B15F7D" w:rsidP="00B15F7D">
            <w:pPr>
              <w:jc w:val="center"/>
              <w:rPr>
                <w:sz w:val="22"/>
                <w:szCs w:val="22"/>
                <w:lang w:eastAsia="es-CR"/>
              </w:rPr>
            </w:pPr>
            <w:r w:rsidRPr="00990FB6">
              <w:rPr>
                <w:sz w:val="22"/>
                <w:szCs w:val="22"/>
                <w:lang w:eastAsia="es-CR"/>
              </w:rPr>
              <w:t xml:space="preserve"> ₡             377 708,40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0D8C9B06"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6623E535"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0A1D0CA8" w14:textId="77777777" w:rsidR="00B15F7D" w:rsidRPr="00990FB6" w:rsidRDefault="00B15F7D" w:rsidP="00B15F7D">
            <w:pPr>
              <w:jc w:val="center"/>
              <w:rPr>
                <w:b/>
                <w:bCs/>
                <w:sz w:val="22"/>
                <w:szCs w:val="22"/>
                <w:lang w:eastAsia="es-CR"/>
              </w:rPr>
            </w:pPr>
            <w:r w:rsidRPr="00990FB6">
              <w:rPr>
                <w:b/>
                <w:bCs/>
                <w:sz w:val="22"/>
                <w:szCs w:val="22"/>
                <w:lang w:eastAsia="es-CR"/>
              </w:rPr>
              <w:t xml:space="preserve"> ₡           377 708,40 </w:t>
            </w:r>
          </w:p>
        </w:tc>
      </w:tr>
      <w:tr w:rsidR="00B15F7D" w:rsidRPr="00990FB6" w14:paraId="42374579"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6D659D8D" w14:textId="77777777" w:rsidR="00B15F7D" w:rsidRPr="00990FB6" w:rsidRDefault="00B15F7D" w:rsidP="00B15F7D">
            <w:pPr>
              <w:rPr>
                <w:sz w:val="22"/>
                <w:szCs w:val="22"/>
                <w:lang w:eastAsia="es-CR"/>
              </w:rPr>
            </w:pPr>
            <w:r w:rsidRPr="00990FB6">
              <w:rPr>
                <w:sz w:val="22"/>
                <w:szCs w:val="22"/>
                <w:lang w:eastAsia="es-CR"/>
              </w:rPr>
              <w:t>Capa</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6E5A24E1" w14:textId="77777777" w:rsidR="00B15F7D" w:rsidRPr="00990FB6" w:rsidRDefault="00B15F7D" w:rsidP="00B15F7D">
            <w:pPr>
              <w:jc w:val="center"/>
              <w:rPr>
                <w:sz w:val="22"/>
                <w:szCs w:val="22"/>
                <w:lang w:eastAsia="es-CR"/>
              </w:rPr>
            </w:pPr>
            <w:r w:rsidRPr="00990FB6">
              <w:rPr>
                <w:sz w:val="22"/>
                <w:szCs w:val="22"/>
                <w:lang w:eastAsia="es-CR"/>
              </w:rPr>
              <w:t xml:space="preserve"> ₡             168 000,00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1345B2EB"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73ED997D"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7D26527B" w14:textId="77777777" w:rsidR="00B15F7D" w:rsidRPr="00990FB6" w:rsidRDefault="00B15F7D" w:rsidP="00B15F7D">
            <w:pPr>
              <w:jc w:val="center"/>
              <w:rPr>
                <w:b/>
                <w:bCs/>
                <w:sz w:val="22"/>
                <w:szCs w:val="22"/>
                <w:lang w:eastAsia="es-CR"/>
              </w:rPr>
            </w:pPr>
            <w:r w:rsidRPr="00990FB6">
              <w:rPr>
                <w:b/>
                <w:bCs/>
                <w:sz w:val="22"/>
                <w:szCs w:val="22"/>
                <w:lang w:eastAsia="es-CR"/>
              </w:rPr>
              <w:t xml:space="preserve"> ₡           168 000,00 </w:t>
            </w:r>
          </w:p>
        </w:tc>
      </w:tr>
      <w:tr w:rsidR="00B15F7D" w:rsidRPr="00990FB6" w14:paraId="01636346"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5D71187C" w14:textId="77777777" w:rsidR="00B15F7D" w:rsidRPr="00990FB6" w:rsidRDefault="00B15F7D" w:rsidP="00B15F7D">
            <w:pPr>
              <w:rPr>
                <w:sz w:val="22"/>
                <w:szCs w:val="22"/>
                <w:lang w:eastAsia="es-CR"/>
              </w:rPr>
            </w:pPr>
            <w:r w:rsidRPr="00990FB6">
              <w:rPr>
                <w:sz w:val="22"/>
                <w:szCs w:val="22"/>
                <w:lang w:eastAsia="es-CR"/>
              </w:rPr>
              <w:t>Bota de hule</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56C52B9B" w14:textId="77777777" w:rsidR="00B15F7D" w:rsidRPr="00990FB6" w:rsidRDefault="00B15F7D" w:rsidP="00B15F7D">
            <w:pPr>
              <w:jc w:val="center"/>
              <w:rPr>
                <w:sz w:val="22"/>
                <w:szCs w:val="22"/>
                <w:lang w:eastAsia="es-CR"/>
              </w:rPr>
            </w:pPr>
            <w:r w:rsidRPr="00990FB6">
              <w:rPr>
                <w:sz w:val="22"/>
                <w:szCs w:val="22"/>
                <w:lang w:eastAsia="es-CR"/>
              </w:rPr>
              <w:t xml:space="preserve"> ₡               72 000,00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6526BBFD"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1A06BB38"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0F4912D0" w14:textId="77777777" w:rsidR="00B15F7D" w:rsidRPr="00990FB6" w:rsidRDefault="00B15F7D" w:rsidP="00B15F7D">
            <w:pPr>
              <w:jc w:val="center"/>
              <w:rPr>
                <w:b/>
                <w:bCs/>
                <w:sz w:val="22"/>
                <w:szCs w:val="22"/>
                <w:lang w:eastAsia="es-CR"/>
              </w:rPr>
            </w:pPr>
            <w:r w:rsidRPr="00990FB6">
              <w:rPr>
                <w:b/>
                <w:bCs/>
                <w:sz w:val="22"/>
                <w:szCs w:val="22"/>
                <w:lang w:eastAsia="es-CR"/>
              </w:rPr>
              <w:t xml:space="preserve"> ₡             72 000,00 </w:t>
            </w:r>
          </w:p>
        </w:tc>
      </w:tr>
      <w:tr w:rsidR="00B15F7D" w:rsidRPr="00990FB6" w14:paraId="11708D5B"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5CE42043" w14:textId="77777777" w:rsidR="00B15F7D" w:rsidRPr="00990FB6" w:rsidRDefault="00B15F7D" w:rsidP="00B15F7D">
            <w:pPr>
              <w:rPr>
                <w:sz w:val="22"/>
                <w:szCs w:val="22"/>
                <w:lang w:eastAsia="es-CR"/>
              </w:rPr>
            </w:pPr>
            <w:r w:rsidRPr="00990FB6">
              <w:rPr>
                <w:sz w:val="22"/>
                <w:szCs w:val="22"/>
                <w:lang w:eastAsia="es-CR"/>
              </w:rPr>
              <w:t>Viáticos (solo chofer)</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36B68E25" w14:textId="77777777" w:rsidR="00B15F7D" w:rsidRPr="00990FB6" w:rsidRDefault="00B15F7D" w:rsidP="00B15F7D">
            <w:pPr>
              <w:jc w:val="center"/>
              <w:rPr>
                <w:sz w:val="22"/>
                <w:szCs w:val="22"/>
                <w:lang w:eastAsia="es-CR"/>
              </w:rPr>
            </w:pPr>
            <w:r w:rsidRPr="00990FB6">
              <w:rPr>
                <w:sz w:val="22"/>
                <w:szCs w:val="22"/>
                <w:lang w:eastAsia="es-CR"/>
              </w:rPr>
              <w:t xml:space="preserve"> ₡          6 104 750,00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147804A6"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5B571AA9"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37A6B4BD" w14:textId="77777777" w:rsidR="00B15F7D" w:rsidRPr="00990FB6" w:rsidRDefault="00B15F7D" w:rsidP="00B15F7D">
            <w:pPr>
              <w:jc w:val="center"/>
              <w:rPr>
                <w:b/>
                <w:bCs/>
                <w:sz w:val="22"/>
                <w:szCs w:val="22"/>
                <w:lang w:eastAsia="es-CR"/>
              </w:rPr>
            </w:pPr>
            <w:r w:rsidRPr="00990FB6">
              <w:rPr>
                <w:b/>
                <w:bCs/>
                <w:sz w:val="22"/>
                <w:szCs w:val="22"/>
                <w:lang w:eastAsia="es-CR"/>
              </w:rPr>
              <w:t xml:space="preserve"> ₡         6 104 750,00 </w:t>
            </w:r>
          </w:p>
        </w:tc>
      </w:tr>
      <w:tr w:rsidR="00B15F7D" w:rsidRPr="00990FB6" w14:paraId="36519E42" w14:textId="77777777" w:rsidTr="000A0C22">
        <w:trPr>
          <w:gridAfter w:val="1"/>
          <w:wAfter w:w="82" w:type="pct"/>
          <w:trHeight w:val="458"/>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25EB959B" w14:textId="77777777" w:rsidR="00B15F7D" w:rsidRPr="00990FB6" w:rsidRDefault="00B15F7D" w:rsidP="00B15F7D">
            <w:pPr>
              <w:rPr>
                <w:sz w:val="22"/>
                <w:szCs w:val="22"/>
                <w:lang w:eastAsia="es-CR"/>
              </w:rPr>
            </w:pPr>
            <w:r w:rsidRPr="00990FB6">
              <w:rPr>
                <w:sz w:val="22"/>
                <w:szCs w:val="22"/>
                <w:lang w:eastAsia="es-CR"/>
              </w:rPr>
              <w:t>Mantenimiento preventivo de vehículo (incluyen los cambios de aceite)</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59D721F7" w14:textId="77777777" w:rsidR="00B15F7D" w:rsidRPr="00990FB6" w:rsidRDefault="00B15F7D" w:rsidP="00B15F7D">
            <w:pPr>
              <w:jc w:val="center"/>
              <w:rPr>
                <w:sz w:val="22"/>
                <w:szCs w:val="22"/>
                <w:lang w:eastAsia="es-CR"/>
              </w:rPr>
            </w:pPr>
            <w:r w:rsidRPr="00990FB6">
              <w:rPr>
                <w:sz w:val="22"/>
                <w:szCs w:val="22"/>
                <w:lang w:eastAsia="es-CR"/>
              </w:rPr>
              <w:t xml:space="preserve"> ₡          3 390 000,00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2D3EE596"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60FA71B3"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02E8C170" w14:textId="77777777" w:rsidR="00B15F7D" w:rsidRPr="00990FB6" w:rsidRDefault="00B15F7D" w:rsidP="00B15F7D">
            <w:pPr>
              <w:jc w:val="center"/>
              <w:rPr>
                <w:b/>
                <w:bCs/>
                <w:sz w:val="22"/>
                <w:szCs w:val="22"/>
                <w:lang w:eastAsia="es-CR"/>
              </w:rPr>
            </w:pPr>
            <w:r w:rsidRPr="00990FB6">
              <w:rPr>
                <w:b/>
                <w:bCs/>
                <w:sz w:val="22"/>
                <w:szCs w:val="22"/>
                <w:lang w:eastAsia="es-CR"/>
              </w:rPr>
              <w:t xml:space="preserve"> ₡         3 390 000,00 </w:t>
            </w:r>
          </w:p>
        </w:tc>
      </w:tr>
      <w:tr w:rsidR="00B15F7D" w:rsidRPr="00990FB6" w14:paraId="75746E34"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74312923" w14:textId="77777777" w:rsidR="00B15F7D" w:rsidRPr="00990FB6" w:rsidRDefault="00B15F7D" w:rsidP="00B15F7D">
            <w:pPr>
              <w:rPr>
                <w:sz w:val="22"/>
                <w:szCs w:val="22"/>
                <w:lang w:eastAsia="es-CR"/>
              </w:rPr>
            </w:pPr>
            <w:r w:rsidRPr="00990FB6">
              <w:rPr>
                <w:sz w:val="22"/>
                <w:szCs w:val="22"/>
                <w:lang w:eastAsia="es-CR"/>
              </w:rPr>
              <w:t>Llantas</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1D04086C" w14:textId="77777777" w:rsidR="00B15F7D" w:rsidRPr="00990FB6" w:rsidRDefault="00B15F7D" w:rsidP="00B15F7D">
            <w:pPr>
              <w:jc w:val="center"/>
              <w:rPr>
                <w:sz w:val="22"/>
                <w:szCs w:val="22"/>
                <w:lang w:eastAsia="es-CR"/>
              </w:rPr>
            </w:pPr>
            <w:r w:rsidRPr="00990FB6">
              <w:rPr>
                <w:sz w:val="22"/>
                <w:szCs w:val="22"/>
                <w:lang w:eastAsia="es-CR"/>
              </w:rPr>
              <w:t xml:space="preserve"> ₡          2 300 485,27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3EC3CF82"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78FC7182"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079B8CC7" w14:textId="77777777" w:rsidR="00B15F7D" w:rsidRPr="00990FB6" w:rsidRDefault="00B15F7D" w:rsidP="00B15F7D">
            <w:pPr>
              <w:jc w:val="center"/>
              <w:rPr>
                <w:b/>
                <w:bCs/>
                <w:sz w:val="22"/>
                <w:szCs w:val="22"/>
                <w:lang w:eastAsia="es-CR"/>
              </w:rPr>
            </w:pPr>
            <w:r w:rsidRPr="00990FB6">
              <w:rPr>
                <w:b/>
                <w:bCs/>
                <w:sz w:val="22"/>
                <w:szCs w:val="22"/>
                <w:lang w:eastAsia="es-CR"/>
              </w:rPr>
              <w:t xml:space="preserve"> ₡         2 300 485,27 </w:t>
            </w:r>
          </w:p>
        </w:tc>
      </w:tr>
      <w:tr w:rsidR="00B15F7D" w:rsidRPr="00990FB6" w14:paraId="4A6E5520"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0EB4BEC6" w14:textId="77777777" w:rsidR="00B15F7D" w:rsidRPr="00990FB6" w:rsidRDefault="00B15F7D" w:rsidP="00B15F7D">
            <w:pPr>
              <w:rPr>
                <w:sz w:val="22"/>
                <w:szCs w:val="22"/>
                <w:lang w:eastAsia="es-CR"/>
              </w:rPr>
            </w:pPr>
            <w:r w:rsidRPr="00990FB6">
              <w:rPr>
                <w:sz w:val="22"/>
                <w:szCs w:val="22"/>
                <w:lang w:eastAsia="es-CR"/>
              </w:rPr>
              <w:t>Repuestos</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47076B66" w14:textId="77777777" w:rsidR="00B15F7D" w:rsidRPr="00990FB6" w:rsidRDefault="00B15F7D" w:rsidP="00B15F7D">
            <w:pPr>
              <w:jc w:val="center"/>
              <w:rPr>
                <w:sz w:val="22"/>
                <w:szCs w:val="22"/>
                <w:lang w:eastAsia="es-CR"/>
              </w:rPr>
            </w:pPr>
            <w:r w:rsidRPr="00990FB6">
              <w:rPr>
                <w:sz w:val="22"/>
                <w:szCs w:val="22"/>
                <w:lang w:eastAsia="es-CR"/>
              </w:rPr>
              <w:t xml:space="preserve"> ₡          3 390 000,00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02B00E1C"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371A0AC9"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7D1C86DA" w14:textId="77777777" w:rsidR="00B15F7D" w:rsidRPr="00990FB6" w:rsidRDefault="00B15F7D" w:rsidP="00B15F7D">
            <w:pPr>
              <w:jc w:val="center"/>
              <w:rPr>
                <w:b/>
                <w:bCs/>
                <w:sz w:val="22"/>
                <w:szCs w:val="22"/>
                <w:lang w:eastAsia="es-CR"/>
              </w:rPr>
            </w:pPr>
            <w:r w:rsidRPr="00990FB6">
              <w:rPr>
                <w:b/>
                <w:bCs/>
                <w:sz w:val="22"/>
                <w:szCs w:val="22"/>
                <w:lang w:eastAsia="es-CR"/>
              </w:rPr>
              <w:t xml:space="preserve"> ₡         3 390 000,00 </w:t>
            </w:r>
          </w:p>
        </w:tc>
      </w:tr>
      <w:tr w:rsidR="00B15F7D" w:rsidRPr="00990FB6" w14:paraId="7C686036"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05C49740" w14:textId="77777777" w:rsidR="00B15F7D" w:rsidRPr="00990FB6" w:rsidRDefault="00B15F7D" w:rsidP="00B15F7D">
            <w:pPr>
              <w:rPr>
                <w:sz w:val="22"/>
                <w:szCs w:val="22"/>
                <w:lang w:eastAsia="es-CR"/>
              </w:rPr>
            </w:pPr>
            <w:r w:rsidRPr="00990FB6">
              <w:rPr>
                <w:sz w:val="22"/>
                <w:szCs w:val="22"/>
                <w:lang w:eastAsia="es-CR"/>
              </w:rPr>
              <w:t>Mantenimiento Correctivo</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61EB37EE" w14:textId="77777777" w:rsidR="00B15F7D" w:rsidRPr="00990FB6" w:rsidRDefault="00B15F7D" w:rsidP="00B15F7D">
            <w:pPr>
              <w:jc w:val="center"/>
              <w:rPr>
                <w:sz w:val="22"/>
                <w:szCs w:val="22"/>
                <w:lang w:eastAsia="es-CR"/>
              </w:rPr>
            </w:pPr>
            <w:r w:rsidRPr="00990FB6">
              <w:rPr>
                <w:sz w:val="22"/>
                <w:szCs w:val="22"/>
                <w:lang w:eastAsia="es-CR"/>
              </w:rPr>
              <w:t xml:space="preserve"> ₡          2 034 000,00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17CDA2D2"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46EC0158"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66FC6981" w14:textId="77777777" w:rsidR="00B15F7D" w:rsidRPr="00990FB6" w:rsidRDefault="00B15F7D" w:rsidP="00B15F7D">
            <w:pPr>
              <w:jc w:val="center"/>
              <w:rPr>
                <w:b/>
                <w:bCs/>
                <w:sz w:val="22"/>
                <w:szCs w:val="22"/>
                <w:lang w:eastAsia="es-CR"/>
              </w:rPr>
            </w:pPr>
            <w:r w:rsidRPr="00990FB6">
              <w:rPr>
                <w:b/>
                <w:bCs/>
                <w:sz w:val="22"/>
                <w:szCs w:val="22"/>
                <w:lang w:eastAsia="es-CR"/>
              </w:rPr>
              <w:t xml:space="preserve"> ₡         2 034 000,00 </w:t>
            </w:r>
          </w:p>
        </w:tc>
      </w:tr>
      <w:tr w:rsidR="00B15F7D" w:rsidRPr="00990FB6" w14:paraId="53B3A5FC"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4B3FFC77" w14:textId="77777777" w:rsidR="00B15F7D" w:rsidRPr="00990FB6" w:rsidRDefault="00B15F7D" w:rsidP="00B15F7D">
            <w:pPr>
              <w:rPr>
                <w:sz w:val="22"/>
                <w:szCs w:val="22"/>
                <w:lang w:eastAsia="es-CR"/>
              </w:rPr>
            </w:pPr>
            <w:r w:rsidRPr="00990FB6">
              <w:rPr>
                <w:sz w:val="22"/>
                <w:szCs w:val="22"/>
                <w:lang w:eastAsia="es-CR"/>
              </w:rPr>
              <w:t>Batería para carro</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70C53D04" w14:textId="77777777" w:rsidR="00B15F7D" w:rsidRPr="00990FB6" w:rsidRDefault="00B15F7D" w:rsidP="00B15F7D">
            <w:pPr>
              <w:jc w:val="center"/>
              <w:rPr>
                <w:sz w:val="22"/>
                <w:szCs w:val="22"/>
                <w:lang w:eastAsia="es-CR"/>
              </w:rPr>
            </w:pPr>
            <w:r w:rsidRPr="00990FB6">
              <w:rPr>
                <w:sz w:val="22"/>
                <w:szCs w:val="22"/>
                <w:lang w:eastAsia="es-CR"/>
              </w:rPr>
              <w:t xml:space="preserve"> ₡             406 800,00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59C2AFD9"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1CE0F92B"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7DC39838" w14:textId="77777777" w:rsidR="00B15F7D" w:rsidRPr="00990FB6" w:rsidRDefault="00B15F7D" w:rsidP="00B15F7D">
            <w:pPr>
              <w:jc w:val="center"/>
              <w:rPr>
                <w:b/>
                <w:bCs/>
                <w:sz w:val="22"/>
                <w:szCs w:val="22"/>
                <w:lang w:eastAsia="es-CR"/>
              </w:rPr>
            </w:pPr>
            <w:r w:rsidRPr="00990FB6">
              <w:rPr>
                <w:b/>
                <w:bCs/>
                <w:sz w:val="22"/>
                <w:szCs w:val="22"/>
                <w:lang w:eastAsia="es-CR"/>
              </w:rPr>
              <w:t xml:space="preserve"> ₡           406 800,00 </w:t>
            </w:r>
          </w:p>
        </w:tc>
      </w:tr>
      <w:tr w:rsidR="00B15F7D" w:rsidRPr="00990FB6" w14:paraId="7731321E"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2DF3A850" w14:textId="77777777" w:rsidR="00B15F7D" w:rsidRPr="00990FB6" w:rsidRDefault="00B15F7D" w:rsidP="00B15F7D">
            <w:pPr>
              <w:rPr>
                <w:sz w:val="22"/>
                <w:szCs w:val="22"/>
                <w:lang w:eastAsia="es-CR"/>
              </w:rPr>
            </w:pPr>
            <w:r w:rsidRPr="00990FB6">
              <w:rPr>
                <w:sz w:val="22"/>
                <w:szCs w:val="22"/>
                <w:lang w:eastAsia="es-CR"/>
              </w:rPr>
              <w:t>Lavado</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778CD0E3" w14:textId="77777777" w:rsidR="00B15F7D" w:rsidRPr="00990FB6" w:rsidRDefault="00B15F7D" w:rsidP="00B15F7D">
            <w:pPr>
              <w:jc w:val="center"/>
              <w:rPr>
                <w:sz w:val="22"/>
                <w:szCs w:val="22"/>
                <w:lang w:eastAsia="es-CR"/>
              </w:rPr>
            </w:pPr>
            <w:r w:rsidRPr="00990FB6">
              <w:rPr>
                <w:sz w:val="22"/>
                <w:szCs w:val="22"/>
                <w:lang w:eastAsia="es-CR"/>
              </w:rPr>
              <w:t xml:space="preserve"> ₡             813 600,00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70368DC5"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77E9C1C3"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5DBB5823" w14:textId="77777777" w:rsidR="00B15F7D" w:rsidRPr="00990FB6" w:rsidRDefault="00B15F7D" w:rsidP="00B15F7D">
            <w:pPr>
              <w:jc w:val="center"/>
              <w:rPr>
                <w:b/>
                <w:bCs/>
                <w:sz w:val="22"/>
                <w:szCs w:val="22"/>
                <w:lang w:eastAsia="es-CR"/>
              </w:rPr>
            </w:pPr>
            <w:r w:rsidRPr="00990FB6">
              <w:rPr>
                <w:b/>
                <w:bCs/>
                <w:sz w:val="22"/>
                <w:szCs w:val="22"/>
                <w:lang w:eastAsia="es-CR"/>
              </w:rPr>
              <w:t xml:space="preserve"> ₡           813 600,00 </w:t>
            </w:r>
          </w:p>
        </w:tc>
      </w:tr>
      <w:tr w:rsidR="00B15F7D" w:rsidRPr="00990FB6" w14:paraId="6068FA0C"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355CAF52" w14:textId="77777777" w:rsidR="00B15F7D" w:rsidRPr="00990FB6" w:rsidRDefault="00B15F7D" w:rsidP="00B15F7D">
            <w:pPr>
              <w:rPr>
                <w:sz w:val="22"/>
                <w:szCs w:val="22"/>
                <w:lang w:eastAsia="es-CR"/>
              </w:rPr>
            </w:pPr>
            <w:r w:rsidRPr="00990FB6">
              <w:rPr>
                <w:sz w:val="22"/>
                <w:szCs w:val="22"/>
                <w:lang w:eastAsia="es-CR"/>
              </w:rPr>
              <w:t>Reparación de llantas</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3FBEB189" w14:textId="77777777" w:rsidR="00B15F7D" w:rsidRPr="00990FB6" w:rsidRDefault="00B15F7D" w:rsidP="00B15F7D">
            <w:pPr>
              <w:jc w:val="center"/>
              <w:rPr>
                <w:sz w:val="22"/>
                <w:szCs w:val="22"/>
                <w:lang w:eastAsia="es-CR"/>
              </w:rPr>
            </w:pPr>
            <w:r w:rsidRPr="00990FB6">
              <w:rPr>
                <w:sz w:val="22"/>
                <w:szCs w:val="22"/>
                <w:lang w:eastAsia="es-CR"/>
              </w:rPr>
              <w:t xml:space="preserve"> ₡             203 400,00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11AD98F5"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4BD1ADB8"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460246F5" w14:textId="77777777" w:rsidR="00B15F7D" w:rsidRPr="00990FB6" w:rsidRDefault="00B15F7D" w:rsidP="00B15F7D">
            <w:pPr>
              <w:jc w:val="center"/>
              <w:rPr>
                <w:b/>
                <w:bCs/>
                <w:sz w:val="22"/>
                <w:szCs w:val="22"/>
                <w:lang w:eastAsia="es-CR"/>
              </w:rPr>
            </w:pPr>
            <w:r w:rsidRPr="00990FB6">
              <w:rPr>
                <w:b/>
                <w:bCs/>
                <w:sz w:val="22"/>
                <w:szCs w:val="22"/>
                <w:lang w:eastAsia="es-CR"/>
              </w:rPr>
              <w:t xml:space="preserve"> ₡           203 400,00 </w:t>
            </w:r>
          </w:p>
        </w:tc>
      </w:tr>
      <w:tr w:rsidR="00B15F7D" w:rsidRPr="00990FB6" w14:paraId="262B619B"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364D7E6B" w14:textId="77777777" w:rsidR="00B15F7D" w:rsidRPr="00990FB6" w:rsidRDefault="00B15F7D" w:rsidP="00B15F7D">
            <w:pPr>
              <w:rPr>
                <w:sz w:val="22"/>
                <w:szCs w:val="22"/>
                <w:lang w:eastAsia="es-CR"/>
              </w:rPr>
            </w:pPr>
            <w:r w:rsidRPr="00990FB6">
              <w:rPr>
                <w:sz w:val="22"/>
                <w:szCs w:val="22"/>
                <w:lang w:eastAsia="es-CR"/>
              </w:rPr>
              <w:lastRenderedPageBreak/>
              <w:t>Bloqueador solar</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55F7A377" w14:textId="77777777" w:rsidR="00B15F7D" w:rsidRPr="00990FB6" w:rsidRDefault="00B15F7D" w:rsidP="00B15F7D">
            <w:pPr>
              <w:jc w:val="center"/>
              <w:rPr>
                <w:sz w:val="22"/>
                <w:szCs w:val="22"/>
                <w:lang w:eastAsia="es-CR"/>
              </w:rPr>
            </w:pPr>
            <w:r w:rsidRPr="00990FB6">
              <w:rPr>
                <w:sz w:val="22"/>
                <w:szCs w:val="22"/>
                <w:lang w:eastAsia="es-CR"/>
              </w:rPr>
              <w:t xml:space="preserve"> ₡               90 000,00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1846E8D8"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735F6D6C"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2EF5C8F6" w14:textId="77777777" w:rsidR="00B15F7D" w:rsidRPr="00990FB6" w:rsidRDefault="00B15F7D" w:rsidP="00B15F7D">
            <w:pPr>
              <w:jc w:val="center"/>
              <w:rPr>
                <w:b/>
                <w:bCs/>
                <w:sz w:val="22"/>
                <w:szCs w:val="22"/>
                <w:lang w:eastAsia="es-CR"/>
              </w:rPr>
            </w:pPr>
            <w:r w:rsidRPr="00990FB6">
              <w:rPr>
                <w:b/>
                <w:bCs/>
                <w:sz w:val="22"/>
                <w:szCs w:val="22"/>
                <w:lang w:eastAsia="es-CR"/>
              </w:rPr>
              <w:t xml:space="preserve"> ₡             90 000,00 </w:t>
            </w:r>
          </w:p>
        </w:tc>
      </w:tr>
      <w:tr w:rsidR="00B15F7D" w:rsidRPr="00990FB6" w14:paraId="388B695D"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694C41C9" w14:textId="77777777" w:rsidR="00B15F7D" w:rsidRPr="00990FB6" w:rsidRDefault="00B15F7D" w:rsidP="00B15F7D">
            <w:pPr>
              <w:rPr>
                <w:sz w:val="22"/>
                <w:szCs w:val="22"/>
                <w:lang w:eastAsia="es-CR"/>
              </w:rPr>
            </w:pPr>
            <w:r w:rsidRPr="00990FB6">
              <w:rPr>
                <w:sz w:val="22"/>
                <w:szCs w:val="22"/>
                <w:lang w:eastAsia="es-CR"/>
              </w:rPr>
              <w:t>Mangas protectoras</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2D84AAFD" w14:textId="77777777" w:rsidR="00B15F7D" w:rsidRPr="00990FB6" w:rsidRDefault="00B15F7D" w:rsidP="00B15F7D">
            <w:pPr>
              <w:jc w:val="center"/>
              <w:rPr>
                <w:sz w:val="22"/>
                <w:szCs w:val="22"/>
                <w:lang w:eastAsia="es-CR"/>
              </w:rPr>
            </w:pPr>
            <w:r w:rsidRPr="00990FB6">
              <w:rPr>
                <w:sz w:val="22"/>
                <w:szCs w:val="22"/>
                <w:lang w:eastAsia="es-CR"/>
              </w:rPr>
              <w:t xml:space="preserve"> ₡               36 000,00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55A0861F"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0A4647C7"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453C6214" w14:textId="77777777" w:rsidR="00B15F7D" w:rsidRPr="00990FB6" w:rsidRDefault="00B15F7D" w:rsidP="00B15F7D">
            <w:pPr>
              <w:jc w:val="center"/>
              <w:rPr>
                <w:b/>
                <w:bCs/>
                <w:sz w:val="22"/>
                <w:szCs w:val="22"/>
                <w:lang w:eastAsia="es-CR"/>
              </w:rPr>
            </w:pPr>
            <w:r w:rsidRPr="00990FB6">
              <w:rPr>
                <w:b/>
                <w:bCs/>
                <w:sz w:val="22"/>
                <w:szCs w:val="22"/>
                <w:lang w:eastAsia="es-CR"/>
              </w:rPr>
              <w:t xml:space="preserve"> ₡             36 000,00 </w:t>
            </w:r>
          </w:p>
        </w:tc>
      </w:tr>
      <w:tr w:rsidR="00B15F7D" w:rsidRPr="00990FB6" w14:paraId="4F74A1CE"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5755F54B" w14:textId="77777777" w:rsidR="00B15F7D" w:rsidRPr="00990FB6" w:rsidRDefault="00B15F7D" w:rsidP="00B15F7D">
            <w:pPr>
              <w:rPr>
                <w:sz w:val="22"/>
                <w:szCs w:val="22"/>
                <w:lang w:eastAsia="es-CR"/>
              </w:rPr>
            </w:pPr>
            <w:r w:rsidRPr="00990FB6">
              <w:rPr>
                <w:sz w:val="22"/>
                <w:szCs w:val="22"/>
                <w:lang w:eastAsia="es-CR"/>
              </w:rPr>
              <w:t>Repelente</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17B0164A" w14:textId="77777777" w:rsidR="00B15F7D" w:rsidRPr="00990FB6" w:rsidRDefault="00B15F7D" w:rsidP="00B15F7D">
            <w:pPr>
              <w:jc w:val="center"/>
              <w:rPr>
                <w:sz w:val="22"/>
                <w:szCs w:val="22"/>
                <w:lang w:eastAsia="es-CR"/>
              </w:rPr>
            </w:pPr>
            <w:r w:rsidRPr="00990FB6">
              <w:rPr>
                <w:sz w:val="22"/>
                <w:szCs w:val="22"/>
                <w:lang w:eastAsia="es-CR"/>
              </w:rPr>
              <w:t xml:space="preserve"> ₡               36 000,00 </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5953D8C4" w14:textId="77777777" w:rsidR="00B15F7D" w:rsidRPr="00990FB6" w:rsidRDefault="00B15F7D" w:rsidP="00B15F7D">
            <w:pPr>
              <w:rPr>
                <w:sz w:val="22"/>
                <w:szCs w:val="22"/>
                <w:lang w:eastAsia="es-CR"/>
              </w:rPr>
            </w:pPr>
            <w:r w:rsidRPr="00990FB6">
              <w:rPr>
                <w:sz w:val="22"/>
                <w:szCs w:val="22"/>
                <w:lang w:eastAsia="es-CR"/>
              </w:rPr>
              <w:t xml:space="preserve"> ₡                         -    </w:t>
            </w: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tcPr>
          <w:p w14:paraId="00AFC6C7" w14:textId="77777777" w:rsidR="00B15F7D" w:rsidRPr="00990FB6" w:rsidRDefault="00B15F7D" w:rsidP="00B15F7D">
            <w:pPr>
              <w:jc w:val="center"/>
              <w:rPr>
                <w:b/>
                <w:bCs/>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hideMark/>
          </w:tcPr>
          <w:p w14:paraId="72695F29" w14:textId="77777777" w:rsidR="00B15F7D" w:rsidRPr="00990FB6" w:rsidRDefault="00B15F7D" w:rsidP="00B15F7D">
            <w:pPr>
              <w:jc w:val="center"/>
              <w:rPr>
                <w:b/>
                <w:bCs/>
                <w:sz w:val="22"/>
                <w:szCs w:val="22"/>
                <w:lang w:eastAsia="es-CR"/>
              </w:rPr>
            </w:pPr>
            <w:r w:rsidRPr="00990FB6">
              <w:rPr>
                <w:b/>
                <w:bCs/>
                <w:sz w:val="22"/>
                <w:szCs w:val="22"/>
                <w:lang w:eastAsia="es-CR"/>
              </w:rPr>
              <w:t xml:space="preserve"> ₡             36 000,00 </w:t>
            </w:r>
          </w:p>
        </w:tc>
      </w:tr>
      <w:tr w:rsidR="00B15F7D" w:rsidRPr="00990FB6" w14:paraId="6AE9F7F3"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bottom"/>
            <w:hideMark/>
          </w:tcPr>
          <w:p w14:paraId="48702F3B" w14:textId="77777777" w:rsidR="00B15F7D" w:rsidRPr="00990FB6" w:rsidRDefault="00B15F7D" w:rsidP="00B15F7D">
            <w:pPr>
              <w:rPr>
                <w:sz w:val="22"/>
                <w:szCs w:val="22"/>
                <w:lang w:eastAsia="es-CR"/>
              </w:rPr>
            </w:pPr>
            <w:r w:rsidRPr="00990FB6">
              <w:rPr>
                <w:sz w:val="22"/>
                <w:szCs w:val="22"/>
                <w:lang w:eastAsia="es-CR"/>
              </w:rPr>
              <w:t>Computadora</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tcPr>
          <w:p w14:paraId="12D0CAA5" w14:textId="77777777" w:rsidR="00B15F7D" w:rsidRPr="00990FB6" w:rsidRDefault="00B15F7D" w:rsidP="00B15F7D">
            <w:pPr>
              <w:jc w:val="center"/>
              <w:rPr>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6EFAD81B" w14:textId="77777777" w:rsidR="00B15F7D" w:rsidRPr="00990FB6" w:rsidRDefault="00B15F7D" w:rsidP="00B15F7D">
            <w:pPr>
              <w:rPr>
                <w:sz w:val="22"/>
                <w:szCs w:val="22"/>
                <w:lang w:eastAsia="es-CR"/>
              </w:rPr>
            </w:pP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28417E8B" w14:textId="77777777" w:rsidR="00B15F7D" w:rsidRPr="00990FB6" w:rsidRDefault="00B15F7D" w:rsidP="00B15F7D">
            <w:pPr>
              <w:jc w:val="center"/>
              <w:rPr>
                <w:b/>
                <w:bCs/>
                <w:sz w:val="22"/>
                <w:szCs w:val="22"/>
                <w:lang w:eastAsia="es-CR"/>
              </w:rPr>
            </w:pPr>
            <w:r w:rsidRPr="00990FB6">
              <w:rPr>
                <w:b/>
                <w:bCs/>
                <w:sz w:val="22"/>
                <w:szCs w:val="22"/>
                <w:lang w:eastAsia="es-CR"/>
              </w:rPr>
              <w:t>823 610</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73A06259" w14:textId="77777777" w:rsidR="00B15F7D" w:rsidRPr="00990FB6" w:rsidRDefault="00B15F7D" w:rsidP="00B15F7D">
            <w:pPr>
              <w:jc w:val="center"/>
              <w:rPr>
                <w:b/>
                <w:bCs/>
                <w:sz w:val="22"/>
                <w:szCs w:val="22"/>
                <w:lang w:eastAsia="es-CR"/>
              </w:rPr>
            </w:pPr>
          </w:p>
        </w:tc>
      </w:tr>
      <w:tr w:rsidR="00B15F7D" w:rsidRPr="00990FB6" w14:paraId="03BB8D91"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bottom"/>
            <w:hideMark/>
          </w:tcPr>
          <w:p w14:paraId="2CDA1CCA" w14:textId="77777777" w:rsidR="00B15F7D" w:rsidRPr="00990FB6" w:rsidRDefault="00B15F7D" w:rsidP="00B15F7D">
            <w:pPr>
              <w:rPr>
                <w:sz w:val="22"/>
                <w:szCs w:val="22"/>
                <w:lang w:eastAsia="es-CR"/>
              </w:rPr>
            </w:pPr>
            <w:r w:rsidRPr="00990FB6">
              <w:rPr>
                <w:sz w:val="22"/>
                <w:szCs w:val="22"/>
                <w:lang w:eastAsia="es-CR"/>
              </w:rPr>
              <w:t xml:space="preserve">Estación de servicio con </w:t>
            </w:r>
            <w:proofErr w:type="spellStart"/>
            <w:r w:rsidRPr="00990FB6">
              <w:rPr>
                <w:sz w:val="22"/>
                <w:szCs w:val="22"/>
                <w:lang w:eastAsia="es-CR"/>
              </w:rPr>
              <w:t>aditamiento</w:t>
            </w:r>
            <w:proofErr w:type="spellEnd"/>
            <w:r w:rsidRPr="00990FB6">
              <w:rPr>
                <w:sz w:val="22"/>
                <w:szCs w:val="22"/>
                <w:lang w:eastAsia="es-CR"/>
              </w:rPr>
              <w:t xml:space="preserve"> para mouse</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tcPr>
          <w:p w14:paraId="468F406F" w14:textId="77777777" w:rsidR="00B15F7D" w:rsidRPr="00990FB6" w:rsidRDefault="00B15F7D" w:rsidP="00B15F7D">
            <w:pPr>
              <w:jc w:val="center"/>
              <w:rPr>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00A7AE02" w14:textId="77777777" w:rsidR="00B15F7D" w:rsidRPr="00990FB6" w:rsidRDefault="00B15F7D" w:rsidP="00B15F7D">
            <w:pPr>
              <w:rPr>
                <w:sz w:val="22"/>
                <w:szCs w:val="22"/>
                <w:lang w:eastAsia="es-CR"/>
              </w:rPr>
            </w:pP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3BCB215F" w14:textId="77777777" w:rsidR="00B15F7D" w:rsidRPr="00990FB6" w:rsidRDefault="00B15F7D" w:rsidP="00B15F7D">
            <w:pPr>
              <w:jc w:val="center"/>
              <w:rPr>
                <w:b/>
                <w:bCs/>
                <w:sz w:val="22"/>
                <w:szCs w:val="22"/>
                <w:lang w:eastAsia="es-CR"/>
              </w:rPr>
            </w:pPr>
            <w:r w:rsidRPr="00990FB6">
              <w:rPr>
                <w:b/>
                <w:bCs/>
                <w:sz w:val="22"/>
                <w:szCs w:val="22"/>
                <w:lang w:eastAsia="es-CR"/>
              </w:rPr>
              <w:t>153 950</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7ACC1E83" w14:textId="77777777" w:rsidR="00B15F7D" w:rsidRPr="00990FB6" w:rsidRDefault="00B15F7D" w:rsidP="00B15F7D">
            <w:pPr>
              <w:jc w:val="center"/>
              <w:rPr>
                <w:b/>
                <w:bCs/>
                <w:sz w:val="22"/>
                <w:szCs w:val="22"/>
                <w:lang w:eastAsia="es-CR"/>
              </w:rPr>
            </w:pPr>
          </w:p>
        </w:tc>
      </w:tr>
      <w:tr w:rsidR="00B15F7D" w:rsidRPr="00990FB6" w14:paraId="3D2D06F7"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bottom"/>
            <w:hideMark/>
          </w:tcPr>
          <w:p w14:paraId="4D329E76" w14:textId="77777777" w:rsidR="00B15F7D" w:rsidRPr="00990FB6" w:rsidRDefault="00B15F7D" w:rsidP="00B15F7D">
            <w:pPr>
              <w:rPr>
                <w:sz w:val="22"/>
                <w:szCs w:val="22"/>
                <w:lang w:eastAsia="es-CR"/>
              </w:rPr>
            </w:pPr>
            <w:r w:rsidRPr="00990FB6">
              <w:rPr>
                <w:sz w:val="22"/>
                <w:szCs w:val="22"/>
                <w:lang w:eastAsia="es-CR"/>
              </w:rPr>
              <w:t>Silla giratoria secretarial (ergonómica)</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tcPr>
          <w:p w14:paraId="29F5E3D8" w14:textId="77777777" w:rsidR="00B15F7D" w:rsidRPr="00990FB6" w:rsidRDefault="00B15F7D" w:rsidP="00B15F7D">
            <w:pPr>
              <w:jc w:val="center"/>
              <w:rPr>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59329A2D" w14:textId="77777777" w:rsidR="00B15F7D" w:rsidRPr="00990FB6" w:rsidRDefault="00B15F7D" w:rsidP="00B15F7D">
            <w:pPr>
              <w:rPr>
                <w:sz w:val="22"/>
                <w:szCs w:val="22"/>
                <w:lang w:eastAsia="es-CR"/>
              </w:rPr>
            </w:pP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05519FD8" w14:textId="77777777" w:rsidR="00B15F7D" w:rsidRPr="00990FB6" w:rsidRDefault="00B15F7D" w:rsidP="00B15F7D">
            <w:pPr>
              <w:jc w:val="center"/>
              <w:rPr>
                <w:b/>
                <w:bCs/>
                <w:sz w:val="22"/>
                <w:szCs w:val="22"/>
                <w:lang w:eastAsia="es-CR"/>
              </w:rPr>
            </w:pPr>
            <w:r w:rsidRPr="00990FB6">
              <w:rPr>
                <w:b/>
                <w:bCs/>
                <w:sz w:val="22"/>
                <w:szCs w:val="22"/>
                <w:lang w:eastAsia="es-CR"/>
              </w:rPr>
              <w:t>81 360</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276DDFBC" w14:textId="77777777" w:rsidR="00B15F7D" w:rsidRPr="00990FB6" w:rsidRDefault="00B15F7D" w:rsidP="00B15F7D">
            <w:pPr>
              <w:jc w:val="center"/>
              <w:rPr>
                <w:b/>
                <w:bCs/>
                <w:sz w:val="22"/>
                <w:szCs w:val="22"/>
                <w:lang w:eastAsia="es-CR"/>
              </w:rPr>
            </w:pPr>
          </w:p>
        </w:tc>
      </w:tr>
      <w:tr w:rsidR="00B15F7D" w:rsidRPr="00990FB6" w14:paraId="6E7A9842" w14:textId="77777777" w:rsidTr="000A0C22">
        <w:trPr>
          <w:gridAfter w:val="1"/>
          <w:wAfter w:w="82" w:type="pct"/>
          <w:trHeight w:val="334"/>
          <w:jc w:val="center"/>
        </w:trPr>
        <w:tc>
          <w:tcPr>
            <w:tcW w:w="1562" w:type="pct"/>
            <w:gridSpan w:val="2"/>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0370F924" w14:textId="77777777" w:rsidR="00B15F7D" w:rsidRPr="00990FB6" w:rsidRDefault="00B15F7D" w:rsidP="00B15F7D">
            <w:pPr>
              <w:rPr>
                <w:sz w:val="22"/>
                <w:szCs w:val="22"/>
                <w:lang w:eastAsia="es-CR"/>
              </w:rPr>
            </w:pPr>
            <w:r w:rsidRPr="00990FB6">
              <w:rPr>
                <w:sz w:val="22"/>
                <w:szCs w:val="22"/>
              </w:rPr>
              <w:t>Licencias de software o renovación (Licencia E3)</w:t>
            </w:r>
          </w:p>
        </w:tc>
        <w:tc>
          <w:tcPr>
            <w:tcW w:w="923"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tcPr>
          <w:p w14:paraId="20129187" w14:textId="77777777" w:rsidR="00B15F7D" w:rsidRPr="00990FB6" w:rsidRDefault="00B15F7D" w:rsidP="00B15F7D">
            <w:pPr>
              <w:jc w:val="center"/>
              <w:rPr>
                <w:sz w:val="22"/>
                <w:szCs w:val="22"/>
                <w:lang w:eastAsia="es-CR"/>
              </w:rPr>
            </w:pP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0365AB68" w14:textId="77777777" w:rsidR="00B15F7D" w:rsidRPr="00990FB6" w:rsidRDefault="00B15F7D" w:rsidP="00B15F7D">
            <w:pPr>
              <w:rPr>
                <w:sz w:val="22"/>
                <w:szCs w:val="22"/>
                <w:lang w:eastAsia="es-CR"/>
              </w:rPr>
            </w:pPr>
          </w:p>
        </w:tc>
        <w:tc>
          <w:tcPr>
            <w:tcW w:w="635" w:type="pct"/>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center"/>
            <w:hideMark/>
          </w:tcPr>
          <w:p w14:paraId="6E6D7392" w14:textId="77777777" w:rsidR="00B15F7D" w:rsidRPr="00990FB6" w:rsidRDefault="00B15F7D" w:rsidP="00B15F7D">
            <w:pPr>
              <w:jc w:val="center"/>
              <w:rPr>
                <w:b/>
                <w:bCs/>
                <w:sz w:val="22"/>
                <w:szCs w:val="22"/>
                <w:lang w:eastAsia="es-CR"/>
              </w:rPr>
            </w:pPr>
            <w:r w:rsidRPr="00990FB6">
              <w:rPr>
                <w:sz w:val="22"/>
                <w:szCs w:val="22"/>
                <w:lang w:eastAsia="es-CR"/>
              </w:rPr>
              <w:t>114 337,92</w:t>
            </w:r>
          </w:p>
        </w:tc>
        <w:tc>
          <w:tcPr>
            <w:tcW w:w="899" w:type="pct"/>
            <w:tcBorders>
              <w:top w:val="single" w:sz="4" w:space="0" w:color="auto"/>
              <w:left w:val="single" w:sz="4" w:space="0" w:color="auto"/>
              <w:bottom w:val="single" w:sz="4" w:space="0" w:color="auto"/>
              <w:right w:val="single" w:sz="4" w:space="0" w:color="auto"/>
            </w:tcBorders>
            <w:noWrap/>
            <w:tcMar>
              <w:top w:w="15" w:type="dxa"/>
              <w:left w:w="70" w:type="dxa"/>
              <w:bottom w:w="0" w:type="dxa"/>
              <w:right w:w="70" w:type="dxa"/>
            </w:tcMar>
            <w:vAlign w:val="center"/>
          </w:tcPr>
          <w:p w14:paraId="77F78A1E" w14:textId="77777777" w:rsidR="00B15F7D" w:rsidRPr="00990FB6" w:rsidRDefault="00B15F7D" w:rsidP="00B15F7D">
            <w:pPr>
              <w:jc w:val="center"/>
              <w:rPr>
                <w:b/>
                <w:bCs/>
                <w:sz w:val="22"/>
                <w:szCs w:val="22"/>
                <w:lang w:eastAsia="es-CR"/>
              </w:rPr>
            </w:pPr>
          </w:p>
        </w:tc>
      </w:tr>
      <w:tr w:rsidR="00B15F7D" w:rsidRPr="00990FB6" w14:paraId="083D25EE" w14:textId="77777777" w:rsidTr="000A0C22">
        <w:trPr>
          <w:gridAfter w:val="1"/>
          <w:wAfter w:w="82" w:type="pct"/>
          <w:trHeight w:val="458"/>
          <w:jc w:val="center"/>
        </w:trPr>
        <w:tc>
          <w:tcPr>
            <w:tcW w:w="1562" w:type="pct"/>
            <w:gridSpan w:val="2"/>
            <w:vMerge w:val="restart"/>
            <w:tcBorders>
              <w:top w:val="single" w:sz="4" w:space="0" w:color="auto"/>
              <w:left w:val="single" w:sz="4" w:space="0" w:color="auto"/>
              <w:bottom w:val="single" w:sz="4" w:space="0" w:color="auto"/>
              <w:right w:val="single" w:sz="4" w:space="0" w:color="auto"/>
            </w:tcBorders>
            <w:shd w:val="clear" w:color="auto" w:fill="DCE6F1"/>
            <w:noWrap/>
            <w:tcMar>
              <w:top w:w="15" w:type="dxa"/>
              <w:left w:w="70" w:type="dxa"/>
              <w:bottom w:w="0" w:type="dxa"/>
              <w:right w:w="70" w:type="dxa"/>
            </w:tcMar>
            <w:vAlign w:val="center"/>
            <w:hideMark/>
          </w:tcPr>
          <w:p w14:paraId="70300373" w14:textId="77777777" w:rsidR="00B15F7D" w:rsidRPr="00990FB6" w:rsidRDefault="00B15F7D" w:rsidP="00B15F7D">
            <w:pPr>
              <w:jc w:val="right"/>
              <w:rPr>
                <w:b/>
                <w:bCs/>
                <w:sz w:val="22"/>
                <w:szCs w:val="22"/>
                <w:lang w:eastAsia="es-CR"/>
              </w:rPr>
            </w:pPr>
            <w:r w:rsidRPr="00990FB6">
              <w:rPr>
                <w:b/>
                <w:bCs/>
                <w:sz w:val="22"/>
                <w:szCs w:val="22"/>
                <w:lang w:eastAsia="es-CR"/>
              </w:rPr>
              <w:t>Total por programa presupuestario</w:t>
            </w:r>
          </w:p>
        </w:tc>
        <w:tc>
          <w:tcPr>
            <w:tcW w:w="923" w:type="pct"/>
            <w:vMerge w:val="restart"/>
            <w:tcBorders>
              <w:top w:val="single" w:sz="4" w:space="0" w:color="auto"/>
              <w:left w:val="single" w:sz="4" w:space="0" w:color="auto"/>
              <w:bottom w:val="single" w:sz="4" w:space="0" w:color="auto"/>
              <w:right w:val="single" w:sz="4" w:space="0" w:color="auto"/>
            </w:tcBorders>
            <w:shd w:val="clear" w:color="auto" w:fill="DCE6F1"/>
            <w:noWrap/>
            <w:tcMar>
              <w:top w:w="15" w:type="dxa"/>
              <w:left w:w="70" w:type="dxa"/>
              <w:bottom w:w="0" w:type="dxa"/>
              <w:right w:w="70" w:type="dxa"/>
            </w:tcMar>
            <w:vAlign w:val="center"/>
            <w:hideMark/>
          </w:tcPr>
          <w:p w14:paraId="7D014D22" w14:textId="77777777" w:rsidR="00B15F7D" w:rsidRPr="00990FB6" w:rsidRDefault="00B15F7D" w:rsidP="00B15F7D">
            <w:pPr>
              <w:jc w:val="center"/>
              <w:rPr>
                <w:b/>
                <w:bCs/>
                <w:sz w:val="22"/>
                <w:szCs w:val="22"/>
                <w:lang w:eastAsia="es-CR"/>
              </w:rPr>
            </w:pPr>
            <w:r w:rsidRPr="00990FB6">
              <w:rPr>
                <w:b/>
                <w:bCs/>
                <w:sz w:val="22"/>
                <w:szCs w:val="22"/>
                <w:lang w:eastAsia="es-CR"/>
              </w:rPr>
              <w:t xml:space="preserve"> ₡      181 986 743,67 </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DCE6F1"/>
            <w:noWrap/>
            <w:tcMar>
              <w:top w:w="15" w:type="dxa"/>
              <w:left w:w="70" w:type="dxa"/>
              <w:bottom w:w="0" w:type="dxa"/>
              <w:right w:w="70" w:type="dxa"/>
            </w:tcMar>
            <w:vAlign w:val="center"/>
            <w:hideMark/>
          </w:tcPr>
          <w:p w14:paraId="35F90305" w14:textId="77777777" w:rsidR="00B15F7D" w:rsidRPr="00990FB6" w:rsidRDefault="00B15F7D" w:rsidP="00B15F7D">
            <w:pPr>
              <w:jc w:val="center"/>
              <w:rPr>
                <w:b/>
                <w:bCs/>
                <w:sz w:val="22"/>
                <w:szCs w:val="22"/>
                <w:lang w:eastAsia="es-CR"/>
              </w:rPr>
            </w:pPr>
            <w:r w:rsidRPr="00990FB6">
              <w:rPr>
                <w:b/>
                <w:bCs/>
                <w:sz w:val="22"/>
                <w:szCs w:val="22"/>
                <w:lang w:eastAsia="es-CR"/>
              </w:rPr>
              <w:t xml:space="preserve"> ₡     328 644 712,72 </w:t>
            </w:r>
          </w:p>
        </w:tc>
        <w:tc>
          <w:tcPr>
            <w:tcW w:w="635" w:type="pct"/>
            <w:vMerge w:val="restart"/>
            <w:tcBorders>
              <w:top w:val="single" w:sz="4" w:space="0" w:color="auto"/>
              <w:left w:val="single" w:sz="4" w:space="0" w:color="auto"/>
              <w:bottom w:val="single" w:sz="4" w:space="0" w:color="auto"/>
              <w:right w:val="single" w:sz="4" w:space="0" w:color="auto"/>
            </w:tcBorders>
            <w:shd w:val="clear" w:color="auto" w:fill="DCE6F1"/>
            <w:tcMar>
              <w:top w:w="15" w:type="dxa"/>
              <w:left w:w="70" w:type="dxa"/>
              <w:bottom w:w="0" w:type="dxa"/>
              <w:right w:w="70" w:type="dxa"/>
            </w:tcMar>
            <w:vAlign w:val="center"/>
            <w:hideMark/>
          </w:tcPr>
          <w:p w14:paraId="2CF59F6C" w14:textId="77777777" w:rsidR="00B15F7D" w:rsidRPr="00990FB6" w:rsidRDefault="00B15F7D" w:rsidP="00B15F7D">
            <w:pPr>
              <w:jc w:val="center"/>
              <w:rPr>
                <w:b/>
                <w:bCs/>
                <w:sz w:val="22"/>
                <w:szCs w:val="22"/>
                <w:lang w:eastAsia="es-CR"/>
              </w:rPr>
            </w:pPr>
            <w:r w:rsidRPr="00990FB6">
              <w:rPr>
                <w:b/>
                <w:bCs/>
                <w:sz w:val="22"/>
                <w:szCs w:val="22"/>
                <w:lang w:eastAsia="es-CR"/>
              </w:rPr>
              <w:t>27 086 257,92</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DCE6F1"/>
            <w:noWrap/>
            <w:tcMar>
              <w:top w:w="15" w:type="dxa"/>
              <w:left w:w="70" w:type="dxa"/>
              <w:bottom w:w="0" w:type="dxa"/>
              <w:right w:w="70" w:type="dxa"/>
            </w:tcMar>
            <w:vAlign w:val="center"/>
            <w:hideMark/>
          </w:tcPr>
          <w:p w14:paraId="65F1CC72" w14:textId="77777777" w:rsidR="00B15F7D" w:rsidRPr="00990FB6" w:rsidRDefault="00B15F7D" w:rsidP="00B15F7D">
            <w:pPr>
              <w:jc w:val="center"/>
              <w:rPr>
                <w:b/>
                <w:bCs/>
                <w:sz w:val="22"/>
                <w:szCs w:val="22"/>
                <w:lang w:eastAsia="es-CR"/>
              </w:rPr>
            </w:pPr>
            <w:r w:rsidRPr="00990FB6">
              <w:rPr>
                <w:b/>
                <w:bCs/>
                <w:sz w:val="22"/>
                <w:szCs w:val="22"/>
                <w:lang w:eastAsia="es-CR"/>
              </w:rPr>
              <w:t xml:space="preserve"> ₡     537 717 715,31</w:t>
            </w:r>
          </w:p>
        </w:tc>
      </w:tr>
      <w:tr w:rsidR="00B15F7D" w:rsidRPr="00990FB6" w14:paraId="48B7A15D" w14:textId="77777777" w:rsidTr="000A0C22">
        <w:trPr>
          <w:trHeight w:val="455"/>
          <w:jc w:val="center"/>
        </w:trPr>
        <w:tc>
          <w:tcPr>
            <w:tcW w:w="1562" w:type="pct"/>
            <w:gridSpan w:val="2"/>
            <w:vMerge/>
            <w:tcBorders>
              <w:top w:val="single" w:sz="4" w:space="0" w:color="auto"/>
              <w:left w:val="single" w:sz="4" w:space="0" w:color="auto"/>
              <w:bottom w:val="single" w:sz="4" w:space="0" w:color="auto"/>
              <w:right w:val="single" w:sz="4" w:space="0" w:color="auto"/>
            </w:tcBorders>
            <w:vAlign w:val="center"/>
            <w:hideMark/>
          </w:tcPr>
          <w:p w14:paraId="2CE4E03F" w14:textId="77777777" w:rsidR="00B15F7D" w:rsidRPr="00990FB6" w:rsidRDefault="00B15F7D" w:rsidP="00B15F7D">
            <w:pPr>
              <w:rPr>
                <w:b/>
                <w:bCs/>
                <w:sz w:val="22"/>
                <w:szCs w:val="22"/>
                <w:lang w:eastAsia="es-CR"/>
              </w:rPr>
            </w:pPr>
          </w:p>
        </w:tc>
        <w:tc>
          <w:tcPr>
            <w:tcW w:w="923" w:type="pct"/>
            <w:vMerge/>
            <w:tcBorders>
              <w:top w:val="single" w:sz="4" w:space="0" w:color="auto"/>
              <w:left w:val="single" w:sz="4" w:space="0" w:color="auto"/>
              <w:bottom w:val="single" w:sz="4" w:space="0" w:color="auto"/>
              <w:right w:val="single" w:sz="4" w:space="0" w:color="auto"/>
            </w:tcBorders>
            <w:vAlign w:val="center"/>
            <w:hideMark/>
          </w:tcPr>
          <w:p w14:paraId="637BA0FC" w14:textId="77777777" w:rsidR="00B15F7D" w:rsidRPr="00990FB6" w:rsidRDefault="00B15F7D" w:rsidP="00B15F7D">
            <w:pPr>
              <w:rPr>
                <w:b/>
                <w:bCs/>
                <w:sz w:val="22"/>
                <w:szCs w:val="22"/>
                <w:lang w:eastAsia="es-CR"/>
              </w:rPr>
            </w:pPr>
          </w:p>
        </w:tc>
        <w:tc>
          <w:tcPr>
            <w:tcW w:w="899" w:type="pct"/>
            <w:vMerge/>
            <w:tcBorders>
              <w:top w:val="single" w:sz="4" w:space="0" w:color="auto"/>
              <w:left w:val="single" w:sz="4" w:space="0" w:color="auto"/>
              <w:bottom w:val="single" w:sz="4" w:space="0" w:color="auto"/>
              <w:right w:val="single" w:sz="4" w:space="0" w:color="auto"/>
            </w:tcBorders>
            <w:vAlign w:val="center"/>
            <w:hideMark/>
          </w:tcPr>
          <w:p w14:paraId="18DBC40F" w14:textId="77777777" w:rsidR="00B15F7D" w:rsidRPr="00990FB6" w:rsidRDefault="00B15F7D" w:rsidP="00B15F7D">
            <w:pPr>
              <w:rPr>
                <w:b/>
                <w:bCs/>
                <w:sz w:val="22"/>
                <w:szCs w:val="22"/>
                <w:lang w:eastAsia="es-CR"/>
              </w:rPr>
            </w:pPr>
          </w:p>
        </w:tc>
        <w:tc>
          <w:tcPr>
            <w:tcW w:w="635" w:type="pct"/>
            <w:vMerge/>
            <w:tcBorders>
              <w:top w:val="single" w:sz="4" w:space="0" w:color="auto"/>
              <w:left w:val="single" w:sz="4" w:space="0" w:color="auto"/>
              <w:bottom w:val="single" w:sz="4" w:space="0" w:color="auto"/>
              <w:right w:val="single" w:sz="4" w:space="0" w:color="auto"/>
            </w:tcBorders>
            <w:vAlign w:val="center"/>
            <w:hideMark/>
          </w:tcPr>
          <w:p w14:paraId="41FD2520" w14:textId="77777777" w:rsidR="00B15F7D" w:rsidRPr="00990FB6" w:rsidRDefault="00B15F7D" w:rsidP="00B15F7D">
            <w:pPr>
              <w:rPr>
                <w:b/>
                <w:bCs/>
                <w:sz w:val="22"/>
                <w:szCs w:val="22"/>
                <w:lang w:eastAsia="es-CR"/>
              </w:rPr>
            </w:pPr>
          </w:p>
        </w:tc>
        <w:tc>
          <w:tcPr>
            <w:tcW w:w="899" w:type="pct"/>
            <w:vMerge/>
            <w:tcBorders>
              <w:top w:val="single" w:sz="4" w:space="0" w:color="auto"/>
              <w:left w:val="single" w:sz="4" w:space="0" w:color="auto"/>
              <w:bottom w:val="single" w:sz="4" w:space="0" w:color="auto"/>
              <w:right w:val="single" w:sz="4" w:space="0" w:color="auto"/>
            </w:tcBorders>
            <w:vAlign w:val="center"/>
            <w:hideMark/>
          </w:tcPr>
          <w:p w14:paraId="278626E0" w14:textId="77777777" w:rsidR="00B15F7D" w:rsidRPr="00990FB6" w:rsidRDefault="00B15F7D" w:rsidP="00B15F7D">
            <w:pPr>
              <w:rPr>
                <w:b/>
                <w:bCs/>
                <w:sz w:val="22"/>
                <w:szCs w:val="22"/>
                <w:lang w:eastAsia="es-CR"/>
              </w:rPr>
            </w:pPr>
          </w:p>
        </w:tc>
        <w:tc>
          <w:tcPr>
            <w:tcW w:w="82" w:type="pct"/>
            <w:tcBorders>
              <w:top w:val="outset" w:sz="6" w:space="0" w:color="auto"/>
              <w:left w:val="outset" w:sz="6" w:space="0" w:color="auto"/>
              <w:bottom w:val="outset" w:sz="6" w:space="0" w:color="auto"/>
              <w:right w:val="outset" w:sz="6" w:space="0" w:color="auto"/>
            </w:tcBorders>
            <w:vAlign w:val="center"/>
            <w:hideMark/>
          </w:tcPr>
          <w:p w14:paraId="608E2894" w14:textId="77777777" w:rsidR="00B15F7D" w:rsidRPr="00990FB6" w:rsidRDefault="00B15F7D" w:rsidP="00B15F7D">
            <w:pPr>
              <w:rPr>
                <w:b/>
                <w:bCs/>
                <w:sz w:val="22"/>
                <w:szCs w:val="22"/>
                <w:lang w:eastAsia="es-CR"/>
              </w:rPr>
            </w:pPr>
          </w:p>
        </w:tc>
      </w:tr>
    </w:tbl>
    <w:p w14:paraId="47B64054" w14:textId="77777777" w:rsidR="00B15F7D" w:rsidRPr="00990FB6" w:rsidRDefault="00B15F7D" w:rsidP="00B15F7D">
      <w:pPr>
        <w:ind w:left="851" w:right="851" w:firstLine="709"/>
        <w:contextualSpacing/>
        <w:jc w:val="both"/>
        <w:rPr>
          <w:iCs/>
          <w:caps/>
          <w:sz w:val="22"/>
          <w:szCs w:val="22"/>
          <w:lang w:eastAsia="es-ES"/>
        </w:rPr>
      </w:pPr>
    </w:p>
    <w:p w14:paraId="35CEC4A9" w14:textId="77777777" w:rsidR="00B15F7D" w:rsidRPr="00990FB6" w:rsidRDefault="00B15F7D" w:rsidP="00B15F7D">
      <w:pPr>
        <w:ind w:left="851" w:right="851" w:firstLine="709"/>
        <w:jc w:val="both"/>
        <w:rPr>
          <w:b/>
          <w:i/>
          <w:sz w:val="22"/>
          <w:szCs w:val="22"/>
          <w:lang w:eastAsia="es-ES"/>
        </w:rPr>
      </w:pPr>
      <w:r w:rsidRPr="00990FB6">
        <w:rPr>
          <w:b/>
          <w:i/>
          <w:sz w:val="22"/>
          <w:szCs w:val="22"/>
        </w:rPr>
        <w:t xml:space="preserve">Fuente: Subproceso de Modernización Institucional, área No Penal según actualización de costos de la reforma agraria presupuesto 2024. Nota: Para el presupuesto del año 2024 se utiliza un tipo de cambio de 695,66 por US$1,00.          </w:t>
      </w:r>
    </w:p>
    <w:p w14:paraId="585B61AF" w14:textId="77777777" w:rsidR="00B15F7D" w:rsidRPr="00990FB6" w:rsidRDefault="00B15F7D" w:rsidP="00B15F7D">
      <w:pPr>
        <w:ind w:left="851" w:right="851" w:firstLine="709"/>
        <w:jc w:val="both"/>
        <w:rPr>
          <w:b/>
          <w:i/>
          <w:sz w:val="22"/>
          <w:szCs w:val="22"/>
        </w:rPr>
      </w:pPr>
    </w:p>
    <w:p w14:paraId="44BF4BB1" w14:textId="77777777" w:rsidR="00B15F7D" w:rsidRPr="00990FB6" w:rsidRDefault="00B15F7D" w:rsidP="00B15F7D">
      <w:pPr>
        <w:ind w:left="851" w:right="851" w:firstLine="709"/>
        <w:contextualSpacing/>
        <w:jc w:val="both"/>
        <w:rPr>
          <w:b/>
          <w:bCs/>
          <w:i/>
          <w:iCs/>
          <w:caps/>
          <w:spacing w:val="-15"/>
          <w:sz w:val="22"/>
          <w:szCs w:val="22"/>
        </w:rPr>
      </w:pPr>
      <w:r w:rsidRPr="00990FB6">
        <w:rPr>
          <w:bCs/>
          <w:i/>
          <w:iCs/>
          <w:caps/>
          <w:sz w:val="22"/>
          <w:szCs w:val="22"/>
          <w:lang w:eastAsia="es-ES"/>
        </w:rPr>
        <w:t>Adicionalmente se tendrían los costos de vehículos asociados a necesidad:</w:t>
      </w:r>
    </w:p>
    <w:p w14:paraId="79C7AC53" w14:textId="77777777" w:rsidR="00B15F7D" w:rsidRPr="00990FB6" w:rsidRDefault="00B15F7D" w:rsidP="00B15F7D">
      <w:pPr>
        <w:ind w:left="851" w:right="851" w:firstLine="709"/>
        <w:jc w:val="both"/>
        <w:rPr>
          <w:b/>
          <w:i/>
          <w:sz w:val="22"/>
          <w:szCs w:val="22"/>
        </w:rPr>
      </w:pPr>
    </w:p>
    <w:p w14:paraId="7C2AE2FC" w14:textId="77777777" w:rsidR="00B15F7D" w:rsidRPr="00990FB6" w:rsidRDefault="00B15F7D" w:rsidP="00B15F7D">
      <w:pPr>
        <w:ind w:left="851" w:right="851" w:firstLine="709"/>
        <w:contextualSpacing/>
        <w:jc w:val="center"/>
        <w:rPr>
          <w:b/>
          <w:iCs/>
          <w:caps/>
          <w:sz w:val="22"/>
          <w:szCs w:val="22"/>
          <w:lang w:eastAsia="es-ES"/>
        </w:rPr>
      </w:pPr>
      <w:r w:rsidRPr="00990FB6">
        <w:rPr>
          <w:iCs/>
          <w:caps/>
          <w:sz w:val="22"/>
          <w:szCs w:val="22"/>
          <w:lang w:eastAsia="es-ES"/>
        </w:rPr>
        <w:t>Cuadro 34</w:t>
      </w:r>
    </w:p>
    <w:p w14:paraId="1452E10D" w14:textId="77777777" w:rsidR="00B15F7D" w:rsidRPr="00990FB6" w:rsidRDefault="00B15F7D" w:rsidP="00B15F7D">
      <w:pPr>
        <w:ind w:left="851" w:right="851" w:firstLine="709"/>
        <w:contextualSpacing/>
        <w:jc w:val="center"/>
        <w:rPr>
          <w:caps/>
          <w:spacing w:val="10"/>
          <w:sz w:val="22"/>
          <w:szCs w:val="22"/>
          <w:lang w:eastAsia="ja-JP"/>
        </w:rPr>
      </w:pPr>
      <w:r w:rsidRPr="00990FB6">
        <w:rPr>
          <w:iCs/>
          <w:caps/>
          <w:sz w:val="22"/>
          <w:szCs w:val="22"/>
          <w:lang w:eastAsia="es-ES"/>
        </w:rPr>
        <w:t>Costo total para la Compra de Vehículos y Costos Asociados</w:t>
      </w:r>
    </w:p>
    <w:tbl>
      <w:tblPr>
        <w:tblpPr w:leftFromText="141" w:rightFromText="141" w:bottomFromText="160" w:vertAnchor="text" w:horzAnchor="margin" w:tblpXSpec="center" w:tblpY="301"/>
        <w:tblW w:w="5000" w:type="pct"/>
        <w:tblCellMar>
          <w:left w:w="70" w:type="dxa"/>
          <w:right w:w="70" w:type="dxa"/>
        </w:tblCellMar>
        <w:tblLook w:val="04A0" w:firstRow="1" w:lastRow="0" w:firstColumn="1" w:lastColumn="0" w:noHBand="0" w:noVBand="1"/>
      </w:tblPr>
      <w:tblGrid>
        <w:gridCol w:w="1052"/>
        <w:gridCol w:w="1099"/>
        <w:gridCol w:w="1099"/>
        <w:gridCol w:w="1099"/>
        <w:gridCol w:w="1099"/>
        <w:gridCol w:w="1091"/>
        <w:gridCol w:w="1091"/>
        <w:gridCol w:w="1162"/>
      </w:tblGrid>
      <w:tr w:rsidR="00B15F7D" w:rsidRPr="00990FB6" w14:paraId="042F79ED" w14:textId="77777777" w:rsidTr="000A0C22">
        <w:trPr>
          <w:trHeight w:val="851"/>
          <w:tblHeader/>
        </w:trPr>
        <w:tc>
          <w:tcPr>
            <w:tcW w:w="671" w:type="pct"/>
            <w:tcBorders>
              <w:top w:val="double" w:sz="6" w:space="0" w:color="366092"/>
              <w:left w:val="double" w:sz="6" w:space="0" w:color="366092"/>
              <w:bottom w:val="double" w:sz="6" w:space="0" w:color="366092"/>
              <w:right w:val="double" w:sz="6" w:space="0" w:color="366092"/>
            </w:tcBorders>
            <w:shd w:val="clear" w:color="auto" w:fill="0673A5"/>
            <w:vAlign w:val="center"/>
            <w:hideMark/>
          </w:tcPr>
          <w:p w14:paraId="4A905ACE" w14:textId="77777777" w:rsidR="00B15F7D" w:rsidRPr="00990FB6" w:rsidRDefault="00B15F7D" w:rsidP="00B15F7D">
            <w:pPr>
              <w:jc w:val="center"/>
              <w:rPr>
                <w:b/>
                <w:bCs/>
                <w:sz w:val="22"/>
                <w:szCs w:val="22"/>
                <w:lang w:eastAsia="es-CR"/>
              </w:rPr>
            </w:pPr>
            <w:r w:rsidRPr="00990FB6">
              <w:rPr>
                <w:b/>
                <w:bCs/>
                <w:sz w:val="22"/>
                <w:szCs w:val="22"/>
                <w:lang w:eastAsia="es-CR"/>
              </w:rPr>
              <w:t>Requerimiento</w:t>
            </w:r>
          </w:p>
        </w:tc>
        <w:tc>
          <w:tcPr>
            <w:tcW w:w="614" w:type="pct"/>
            <w:tcBorders>
              <w:top w:val="double" w:sz="6" w:space="0" w:color="366092"/>
              <w:left w:val="nil"/>
              <w:bottom w:val="double" w:sz="6" w:space="0" w:color="366092"/>
              <w:right w:val="double" w:sz="6" w:space="0" w:color="366092"/>
            </w:tcBorders>
            <w:shd w:val="clear" w:color="auto" w:fill="0673A5"/>
            <w:vAlign w:val="center"/>
            <w:hideMark/>
          </w:tcPr>
          <w:p w14:paraId="1EF87BB0" w14:textId="77777777" w:rsidR="00B15F7D" w:rsidRPr="00990FB6" w:rsidRDefault="00B15F7D" w:rsidP="00B15F7D">
            <w:pPr>
              <w:jc w:val="center"/>
              <w:rPr>
                <w:b/>
                <w:bCs/>
                <w:sz w:val="22"/>
                <w:szCs w:val="22"/>
                <w:lang w:eastAsia="es-CR"/>
              </w:rPr>
            </w:pPr>
            <w:r w:rsidRPr="00990FB6">
              <w:rPr>
                <w:b/>
                <w:bCs/>
                <w:sz w:val="22"/>
                <w:szCs w:val="22"/>
                <w:lang w:eastAsia="es-CR"/>
              </w:rPr>
              <w:t>Código 793 Limón</w:t>
            </w:r>
          </w:p>
        </w:tc>
        <w:tc>
          <w:tcPr>
            <w:tcW w:w="615" w:type="pct"/>
            <w:tcBorders>
              <w:top w:val="double" w:sz="6" w:space="0" w:color="366092"/>
              <w:left w:val="nil"/>
              <w:bottom w:val="double" w:sz="6" w:space="0" w:color="366092"/>
              <w:right w:val="double" w:sz="6" w:space="0" w:color="366092"/>
            </w:tcBorders>
            <w:shd w:val="clear" w:color="auto" w:fill="0673A5"/>
            <w:vAlign w:val="center"/>
            <w:hideMark/>
          </w:tcPr>
          <w:p w14:paraId="3DADC32A" w14:textId="77777777" w:rsidR="00B15F7D" w:rsidRPr="00990FB6" w:rsidRDefault="00B15F7D" w:rsidP="00B15F7D">
            <w:pPr>
              <w:jc w:val="center"/>
              <w:rPr>
                <w:b/>
                <w:bCs/>
                <w:sz w:val="22"/>
                <w:szCs w:val="22"/>
                <w:lang w:eastAsia="es-CR"/>
              </w:rPr>
            </w:pPr>
            <w:r w:rsidRPr="00990FB6">
              <w:rPr>
                <w:b/>
                <w:bCs/>
                <w:sz w:val="22"/>
                <w:szCs w:val="22"/>
                <w:lang w:eastAsia="es-CR"/>
              </w:rPr>
              <w:t>Código 987 Turrialba</w:t>
            </w:r>
          </w:p>
        </w:tc>
        <w:tc>
          <w:tcPr>
            <w:tcW w:w="596" w:type="pct"/>
            <w:tcBorders>
              <w:top w:val="double" w:sz="6" w:space="0" w:color="366092"/>
              <w:left w:val="nil"/>
              <w:bottom w:val="double" w:sz="6" w:space="0" w:color="366092"/>
              <w:right w:val="double" w:sz="6" w:space="0" w:color="366092"/>
            </w:tcBorders>
            <w:shd w:val="clear" w:color="auto" w:fill="0673A5"/>
            <w:vAlign w:val="center"/>
            <w:hideMark/>
          </w:tcPr>
          <w:p w14:paraId="4E24ECE3" w14:textId="77777777" w:rsidR="00B15F7D" w:rsidRPr="00990FB6" w:rsidRDefault="00B15F7D" w:rsidP="00B15F7D">
            <w:pPr>
              <w:jc w:val="center"/>
              <w:rPr>
                <w:b/>
                <w:bCs/>
                <w:sz w:val="22"/>
                <w:szCs w:val="22"/>
                <w:lang w:eastAsia="es-CR"/>
              </w:rPr>
            </w:pPr>
            <w:r w:rsidRPr="00990FB6">
              <w:rPr>
                <w:b/>
                <w:bCs/>
                <w:sz w:val="22"/>
                <w:szCs w:val="22"/>
                <w:lang w:eastAsia="es-CR"/>
              </w:rPr>
              <w:t>Código 861 Pérez Zeledón</w:t>
            </w:r>
          </w:p>
        </w:tc>
        <w:tc>
          <w:tcPr>
            <w:tcW w:w="626" w:type="pct"/>
            <w:tcBorders>
              <w:top w:val="double" w:sz="6" w:space="0" w:color="366092"/>
              <w:left w:val="nil"/>
              <w:bottom w:val="double" w:sz="6" w:space="0" w:color="366092"/>
              <w:right w:val="double" w:sz="6" w:space="0" w:color="366092"/>
            </w:tcBorders>
            <w:shd w:val="clear" w:color="auto" w:fill="0673A5"/>
            <w:vAlign w:val="center"/>
            <w:hideMark/>
          </w:tcPr>
          <w:p w14:paraId="79A09701" w14:textId="77777777" w:rsidR="00B15F7D" w:rsidRPr="00990FB6" w:rsidRDefault="00B15F7D" w:rsidP="00B15F7D">
            <w:pPr>
              <w:jc w:val="center"/>
              <w:rPr>
                <w:b/>
                <w:bCs/>
                <w:sz w:val="22"/>
                <w:szCs w:val="22"/>
                <w:lang w:eastAsia="es-CR"/>
              </w:rPr>
            </w:pPr>
            <w:r w:rsidRPr="00990FB6">
              <w:rPr>
                <w:b/>
                <w:bCs/>
                <w:sz w:val="22"/>
                <w:szCs w:val="22"/>
                <w:lang w:eastAsia="es-CR"/>
              </w:rPr>
              <w:t>Código 863 San Carlos</w:t>
            </w:r>
          </w:p>
        </w:tc>
        <w:tc>
          <w:tcPr>
            <w:tcW w:w="626" w:type="pct"/>
            <w:tcBorders>
              <w:top w:val="double" w:sz="6" w:space="0" w:color="366092"/>
              <w:left w:val="nil"/>
              <w:bottom w:val="double" w:sz="6" w:space="0" w:color="366092"/>
              <w:right w:val="double" w:sz="6" w:space="0" w:color="366092"/>
            </w:tcBorders>
            <w:shd w:val="clear" w:color="auto" w:fill="0673A5"/>
            <w:vAlign w:val="center"/>
            <w:hideMark/>
          </w:tcPr>
          <w:p w14:paraId="20CDF9B3" w14:textId="77777777" w:rsidR="00B15F7D" w:rsidRPr="00990FB6" w:rsidRDefault="00B15F7D" w:rsidP="00B15F7D">
            <w:pPr>
              <w:jc w:val="center"/>
              <w:rPr>
                <w:b/>
                <w:bCs/>
                <w:sz w:val="22"/>
                <w:szCs w:val="22"/>
                <w:lang w:eastAsia="es-CR"/>
              </w:rPr>
            </w:pPr>
            <w:r w:rsidRPr="00990FB6">
              <w:rPr>
                <w:b/>
                <w:bCs/>
                <w:sz w:val="22"/>
                <w:szCs w:val="22"/>
                <w:lang w:eastAsia="es-CR"/>
              </w:rPr>
              <w:t>Código 908 Pococí</w:t>
            </w:r>
          </w:p>
        </w:tc>
        <w:tc>
          <w:tcPr>
            <w:tcW w:w="605" w:type="pct"/>
            <w:tcBorders>
              <w:top w:val="double" w:sz="6" w:space="0" w:color="366092"/>
              <w:left w:val="nil"/>
              <w:bottom w:val="double" w:sz="6" w:space="0" w:color="366092"/>
              <w:right w:val="double" w:sz="6" w:space="0" w:color="366092"/>
            </w:tcBorders>
            <w:shd w:val="clear" w:color="auto" w:fill="0673A5"/>
            <w:vAlign w:val="center"/>
            <w:hideMark/>
          </w:tcPr>
          <w:p w14:paraId="18F11714" w14:textId="77777777" w:rsidR="00B15F7D" w:rsidRPr="00990FB6" w:rsidRDefault="00B15F7D" w:rsidP="00B15F7D">
            <w:pPr>
              <w:jc w:val="center"/>
              <w:rPr>
                <w:b/>
                <w:bCs/>
                <w:sz w:val="22"/>
                <w:szCs w:val="22"/>
                <w:lang w:eastAsia="es-CR"/>
              </w:rPr>
            </w:pPr>
            <w:r w:rsidRPr="00990FB6">
              <w:rPr>
                <w:b/>
                <w:bCs/>
                <w:sz w:val="22"/>
                <w:szCs w:val="22"/>
                <w:lang w:eastAsia="es-CR"/>
              </w:rPr>
              <w:t>Código 907 Santa Cruz</w:t>
            </w:r>
          </w:p>
        </w:tc>
        <w:tc>
          <w:tcPr>
            <w:tcW w:w="647" w:type="pct"/>
            <w:tcBorders>
              <w:top w:val="double" w:sz="6" w:space="0" w:color="366092"/>
              <w:left w:val="nil"/>
              <w:bottom w:val="double" w:sz="6" w:space="0" w:color="366092"/>
              <w:right w:val="double" w:sz="6" w:space="0" w:color="366092"/>
            </w:tcBorders>
            <w:shd w:val="clear" w:color="auto" w:fill="0673A5"/>
            <w:vAlign w:val="center"/>
            <w:hideMark/>
          </w:tcPr>
          <w:p w14:paraId="740F25F1" w14:textId="77777777" w:rsidR="00B15F7D" w:rsidRPr="00990FB6" w:rsidRDefault="00B15F7D" w:rsidP="00B15F7D">
            <w:pPr>
              <w:jc w:val="center"/>
              <w:rPr>
                <w:b/>
                <w:bCs/>
                <w:sz w:val="22"/>
                <w:szCs w:val="22"/>
                <w:lang w:eastAsia="es-CR"/>
              </w:rPr>
            </w:pPr>
            <w:r w:rsidRPr="00990FB6">
              <w:rPr>
                <w:b/>
                <w:bCs/>
                <w:sz w:val="22"/>
                <w:szCs w:val="22"/>
                <w:lang w:eastAsia="es-CR"/>
              </w:rPr>
              <w:t>Total</w:t>
            </w:r>
          </w:p>
        </w:tc>
      </w:tr>
      <w:tr w:rsidR="00B15F7D" w:rsidRPr="00990FB6" w14:paraId="49D17A8C" w14:textId="77777777" w:rsidTr="000A0C22">
        <w:trPr>
          <w:trHeight w:val="652"/>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2C6537D0" w14:textId="77777777" w:rsidR="00B15F7D" w:rsidRPr="00990FB6" w:rsidRDefault="00B15F7D" w:rsidP="00B15F7D">
            <w:pPr>
              <w:rPr>
                <w:sz w:val="22"/>
                <w:szCs w:val="22"/>
                <w:lang w:eastAsia="es-CR"/>
              </w:rPr>
            </w:pPr>
            <w:r w:rsidRPr="00990FB6">
              <w:rPr>
                <w:sz w:val="22"/>
                <w:szCs w:val="22"/>
                <w:lang w:eastAsia="es-CR"/>
              </w:rPr>
              <w:t xml:space="preserve">El costo del vehículo incluye </w:t>
            </w:r>
            <w:proofErr w:type="spellStart"/>
            <w:r w:rsidRPr="00990FB6">
              <w:rPr>
                <w:sz w:val="22"/>
                <w:szCs w:val="22"/>
                <w:lang w:eastAsia="es-CR"/>
              </w:rPr>
              <w:t>kid</w:t>
            </w:r>
            <w:proofErr w:type="spellEnd"/>
            <w:r w:rsidRPr="00990FB6">
              <w:rPr>
                <w:sz w:val="22"/>
                <w:szCs w:val="22"/>
                <w:lang w:eastAsia="es-CR"/>
              </w:rPr>
              <w:t xml:space="preserve"> de seguridad, herramien</w:t>
            </w:r>
            <w:r w:rsidRPr="00990FB6">
              <w:rPr>
                <w:sz w:val="22"/>
                <w:szCs w:val="22"/>
                <w:lang w:eastAsia="es-CR"/>
              </w:rPr>
              <w:lastRenderedPageBreak/>
              <w:t>tas y tapicería oscura</w:t>
            </w:r>
          </w:p>
        </w:tc>
        <w:tc>
          <w:tcPr>
            <w:tcW w:w="614" w:type="pct"/>
            <w:tcBorders>
              <w:top w:val="nil"/>
              <w:left w:val="nil"/>
              <w:bottom w:val="double" w:sz="6" w:space="0" w:color="1F497D"/>
              <w:right w:val="double" w:sz="6" w:space="0" w:color="1F497D"/>
            </w:tcBorders>
            <w:noWrap/>
            <w:vAlign w:val="center"/>
            <w:hideMark/>
          </w:tcPr>
          <w:p w14:paraId="421B01AD" w14:textId="77777777" w:rsidR="00B15F7D" w:rsidRPr="00990FB6" w:rsidRDefault="00B15F7D" w:rsidP="00B15F7D">
            <w:pPr>
              <w:jc w:val="center"/>
              <w:rPr>
                <w:sz w:val="22"/>
                <w:szCs w:val="22"/>
                <w:lang w:eastAsia="es-CR"/>
              </w:rPr>
            </w:pPr>
            <w:r w:rsidRPr="00990FB6">
              <w:rPr>
                <w:sz w:val="22"/>
                <w:szCs w:val="22"/>
                <w:lang w:eastAsia="es-CR"/>
              </w:rPr>
              <w:lastRenderedPageBreak/>
              <w:t>₡23 652 440, 00</w:t>
            </w:r>
          </w:p>
        </w:tc>
        <w:tc>
          <w:tcPr>
            <w:tcW w:w="615" w:type="pct"/>
            <w:tcBorders>
              <w:top w:val="nil"/>
              <w:left w:val="nil"/>
              <w:bottom w:val="double" w:sz="6" w:space="0" w:color="1F497D"/>
              <w:right w:val="double" w:sz="6" w:space="0" w:color="1F497D"/>
            </w:tcBorders>
            <w:noWrap/>
            <w:vAlign w:val="center"/>
            <w:hideMark/>
          </w:tcPr>
          <w:p w14:paraId="211C1EE5" w14:textId="77777777" w:rsidR="00B15F7D" w:rsidRPr="00990FB6" w:rsidRDefault="00B15F7D" w:rsidP="00B15F7D">
            <w:pPr>
              <w:jc w:val="center"/>
              <w:rPr>
                <w:sz w:val="22"/>
                <w:szCs w:val="22"/>
                <w:lang w:eastAsia="es-CR"/>
              </w:rPr>
            </w:pPr>
            <w:r w:rsidRPr="00990FB6">
              <w:rPr>
                <w:sz w:val="22"/>
                <w:szCs w:val="22"/>
                <w:lang w:eastAsia="es-CR"/>
              </w:rPr>
              <w:t>₡23 652 440, 00</w:t>
            </w:r>
          </w:p>
        </w:tc>
        <w:tc>
          <w:tcPr>
            <w:tcW w:w="596" w:type="pct"/>
            <w:tcBorders>
              <w:top w:val="nil"/>
              <w:left w:val="nil"/>
              <w:bottom w:val="double" w:sz="6" w:space="0" w:color="1F497D"/>
              <w:right w:val="double" w:sz="6" w:space="0" w:color="1F497D"/>
            </w:tcBorders>
            <w:noWrap/>
            <w:vAlign w:val="center"/>
            <w:hideMark/>
          </w:tcPr>
          <w:p w14:paraId="4ED9F0E3" w14:textId="77777777" w:rsidR="00B15F7D" w:rsidRPr="00990FB6" w:rsidRDefault="00B15F7D" w:rsidP="00B15F7D">
            <w:pPr>
              <w:jc w:val="center"/>
              <w:rPr>
                <w:sz w:val="22"/>
                <w:szCs w:val="22"/>
                <w:lang w:eastAsia="es-CR"/>
              </w:rPr>
            </w:pPr>
            <w:r w:rsidRPr="00990FB6">
              <w:rPr>
                <w:sz w:val="22"/>
                <w:szCs w:val="22"/>
                <w:lang w:eastAsia="es-CR"/>
              </w:rPr>
              <w:t>₡23 652 440, 00</w:t>
            </w:r>
          </w:p>
        </w:tc>
        <w:tc>
          <w:tcPr>
            <w:tcW w:w="626" w:type="pct"/>
            <w:tcBorders>
              <w:top w:val="nil"/>
              <w:left w:val="nil"/>
              <w:bottom w:val="double" w:sz="6" w:space="0" w:color="1F497D"/>
              <w:right w:val="double" w:sz="6" w:space="0" w:color="1F497D"/>
            </w:tcBorders>
            <w:noWrap/>
            <w:vAlign w:val="center"/>
            <w:hideMark/>
          </w:tcPr>
          <w:p w14:paraId="19FB0910" w14:textId="77777777" w:rsidR="00B15F7D" w:rsidRPr="00990FB6" w:rsidRDefault="00B15F7D" w:rsidP="00B15F7D">
            <w:pPr>
              <w:jc w:val="center"/>
              <w:rPr>
                <w:sz w:val="22"/>
                <w:szCs w:val="22"/>
                <w:lang w:eastAsia="es-CR"/>
              </w:rPr>
            </w:pPr>
            <w:r w:rsidRPr="00990FB6">
              <w:rPr>
                <w:sz w:val="22"/>
                <w:szCs w:val="22"/>
                <w:lang w:eastAsia="es-CR"/>
              </w:rPr>
              <w:t>₡23 652 440, 00</w:t>
            </w:r>
          </w:p>
        </w:tc>
        <w:tc>
          <w:tcPr>
            <w:tcW w:w="626" w:type="pct"/>
            <w:tcBorders>
              <w:top w:val="nil"/>
              <w:left w:val="nil"/>
              <w:bottom w:val="double" w:sz="6" w:space="0" w:color="1F497D"/>
              <w:right w:val="double" w:sz="6" w:space="0" w:color="1F497D"/>
            </w:tcBorders>
            <w:noWrap/>
            <w:vAlign w:val="center"/>
            <w:hideMark/>
          </w:tcPr>
          <w:p w14:paraId="4E97610F" w14:textId="77777777" w:rsidR="00B15F7D" w:rsidRPr="00990FB6" w:rsidRDefault="00B15F7D" w:rsidP="00B15F7D">
            <w:pPr>
              <w:jc w:val="center"/>
              <w:rPr>
                <w:sz w:val="22"/>
                <w:szCs w:val="22"/>
                <w:lang w:eastAsia="es-CR"/>
              </w:rPr>
            </w:pPr>
            <w:r w:rsidRPr="00990FB6">
              <w:rPr>
                <w:sz w:val="22"/>
                <w:szCs w:val="22"/>
                <w:lang w:eastAsia="es-CR"/>
              </w:rPr>
              <w:t>₡23 652 440, 00</w:t>
            </w:r>
          </w:p>
        </w:tc>
        <w:tc>
          <w:tcPr>
            <w:tcW w:w="605" w:type="pct"/>
            <w:tcBorders>
              <w:top w:val="nil"/>
              <w:left w:val="nil"/>
              <w:bottom w:val="double" w:sz="6" w:space="0" w:color="1F497D"/>
              <w:right w:val="double" w:sz="6" w:space="0" w:color="1F497D"/>
            </w:tcBorders>
            <w:noWrap/>
            <w:vAlign w:val="center"/>
            <w:hideMark/>
          </w:tcPr>
          <w:p w14:paraId="207369C6" w14:textId="77777777" w:rsidR="00B15F7D" w:rsidRPr="00990FB6" w:rsidRDefault="00B15F7D" w:rsidP="00B15F7D">
            <w:pPr>
              <w:jc w:val="center"/>
              <w:rPr>
                <w:sz w:val="22"/>
                <w:szCs w:val="22"/>
                <w:lang w:eastAsia="es-CR"/>
              </w:rPr>
            </w:pPr>
            <w:r w:rsidRPr="00990FB6">
              <w:rPr>
                <w:sz w:val="22"/>
                <w:szCs w:val="22"/>
                <w:lang w:eastAsia="es-CR"/>
              </w:rPr>
              <w:t>₡23 652 440, 00</w:t>
            </w:r>
          </w:p>
        </w:tc>
        <w:tc>
          <w:tcPr>
            <w:tcW w:w="647" w:type="pct"/>
            <w:tcBorders>
              <w:top w:val="nil"/>
              <w:left w:val="nil"/>
              <w:bottom w:val="double" w:sz="6" w:space="0" w:color="1F497D"/>
              <w:right w:val="double" w:sz="6" w:space="0" w:color="1F497D"/>
            </w:tcBorders>
            <w:noWrap/>
            <w:vAlign w:val="center"/>
            <w:hideMark/>
          </w:tcPr>
          <w:p w14:paraId="06AD84EF" w14:textId="77777777" w:rsidR="00B15F7D" w:rsidRPr="00990FB6" w:rsidRDefault="00B15F7D" w:rsidP="00B15F7D">
            <w:pPr>
              <w:jc w:val="center"/>
              <w:rPr>
                <w:sz w:val="22"/>
                <w:szCs w:val="22"/>
                <w:lang w:eastAsia="es-CR"/>
              </w:rPr>
            </w:pPr>
            <w:r w:rsidRPr="00990FB6">
              <w:rPr>
                <w:sz w:val="22"/>
                <w:szCs w:val="22"/>
                <w:lang w:eastAsia="es-CR"/>
              </w:rPr>
              <w:t>₡141 914 640, 00</w:t>
            </w:r>
          </w:p>
        </w:tc>
      </w:tr>
      <w:tr w:rsidR="00B15F7D" w:rsidRPr="00990FB6" w14:paraId="56A4C089"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04572FC5" w14:textId="77777777" w:rsidR="00B15F7D" w:rsidRPr="00990FB6" w:rsidRDefault="00B15F7D" w:rsidP="00B15F7D">
            <w:pPr>
              <w:rPr>
                <w:sz w:val="22"/>
                <w:szCs w:val="22"/>
                <w:lang w:eastAsia="es-CR"/>
              </w:rPr>
            </w:pPr>
            <w:r w:rsidRPr="00990FB6">
              <w:rPr>
                <w:sz w:val="22"/>
                <w:szCs w:val="22"/>
                <w:lang w:eastAsia="es-CR"/>
              </w:rPr>
              <w:t>Lona</w:t>
            </w:r>
          </w:p>
        </w:tc>
        <w:tc>
          <w:tcPr>
            <w:tcW w:w="614" w:type="pct"/>
            <w:tcBorders>
              <w:top w:val="nil"/>
              <w:left w:val="nil"/>
              <w:bottom w:val="double" w:sz="6" w:space="0" w:color="1F497D"/>
              <w:right w:val="double" w:sz="6" w:space="0" w:color="1F497D"/>
            </w:tcBorders>
            <w:noWrap/>
            <w:vAlign w:val="center"/>
            <w:hideMark/>
          </w:tcPr>
          <w:p w14:paraId="1FD0430E" w14:textId="77777777" w:rsidR="00B15F7D" w:rsidRPr="00990FB6" w:rsidRDefault="00B15F7D" w:rsidP="00B15F7D">
            <w:pPr>
              <w:jc w:val="center"/>
              <w:rPr>
                <w:sz w:val="22"/>
                <w:szCs w:val="22"/>
                <w:lang w:eastAsia="es-CR"/>
              </w:rPr>
            </w:pPr>
            <w:r w:rsidRPr="00990FB6">
              <w:rPr>
                <w:sz w:val="22"/>
                <w:szCs w:val="22"/>
                <w:lang w:eastAsia="es-CR"/>
              </w:rPr>
              <w:t>₡113 000, 00</w:t>
            </w:r>
          </w:p>
        </w:tc>
        <w:tc>
          <w:tcPr>
            <w:tcW w:w="615" w:type="pct"/>
            <w:tcBorders>
              <w:top w:val="nil"/>
              <w:left w:val="nil"/>
              <w:bottom w:val="double" w:sz="6" w:space="0" w:color="1F497D"/>
              <w:right w:val="double" w:sz="6" w:space="0" w:color="1F497D"/>
            </w:tcBorders>
            <w:noWrap/>
            <w:vAlign w:val="center"/>
            <w:hideMark/>
          </w:tcPr>
          <w:p w14:paraId="13A92331" w14:textId="77777777" w:rsidR="00B15F7D" w:rsidRPr="00990FB6" w:rsidRDefault="00B15F7D" w:rsidP="00B15F7D">
            <w:pPr>
              <w:jc w:val="center"/>
              <w:rPr>
                <w:sz w:val="22"/>
                <w:szCs w:val="22"/>
                <w:lang w:eastAsia="es-CR"/>
              </w:rPr>
            </w:pPr>
            <w:r w:rsidRPr="00990FB6">
              <w:rPr>
                <w:sz w:val="22"/>
                <w:szCs w:val="22"/>
                <w:lang w:eastAsia="es-CR"/>
              </w:rPr>
              <w:t>₡113 000, 00</w:t>
            </w:r>
          </w:p>
        </w:tc>
        <w:tc>
          <w:tcPr>
            <w:tcW w:w="596" w:type="pct"/>
            <w:tcBorders>
              <w:top w:val="nil"/>
              <w:left w:val="nil"/>
              <w:bottom w:val="double" w:sz="6" w:space="0" w:color="1F497D"/>
              <w:right w:val="double" w:sz="6" w:space="0" w:color="1F497D"/>
            </w:tcBorders>
            <w:noWrap/>
            <w:vAlign w:val="center"/>
            <w:hideMark/>
          </w:tcPr>
          <w:p w14:paraId="5AB7BDA1" w14:textId="77777777" w:rsidR="00B15F7D" w:rsidRPr="00990FB6" w:rsidRDefault="00B15F7D" w:rsidP="00B15F7D">
            <w:pPr>
              <w:jc w:val="center"/>
              <w:rPr>
                <w:sz w:val="22"/>
                <w:szCs w:val="22"/>
                <w:lang w:eastAsia="es-CR"/>
              </w:rPr>
            </w:pPr>
            <w:r w:rsidRPr="00990FB6">
              <w:rPr>
                <w:sz w:val="22"/>
                <w:szCs w:val="22"/>
                <w:lang w:eastAsia="es-CR"/>
              </w:rPr>
              <w:t>₡113 000, 00</w:t>
            </w:r>
          </w:p>
        </w:tc>
        <w:tc>
          <w:tcPr>
            <w:tcW w:w="626" w:type="pct"/>
            <w:tcBorders>
              <w:top w:val="nil"/>
              <w:left w:val="nil"/>
              <w:bottom w:val="double" w:sz="6" w:space="0" w:color="1F497D"/>
              <w:right w:val="double" w:sz="6" w:space="0" w:color="1F497D"/>
            </w:tcBorders>
            <w:noWrap/>
            <w:vAlign w:val="center"/>
            <w:hideMark/>
          </w:tcPr>
          <w:p w14:paraId="55F2B77B" w14:textId="77777777" w:rsidR="00B15F7D" w:rsidRPr="00990FB6" w:rsidRDefault="00B15F7D" w:rsidP="00B15F7D">
            <w:pPr>
              <w:jc w:val="center"/>
              <w:rPr>
                <w:sz w:val="22"/>
                <w:szCs w:val="22"/>
                <w:lang w:eastAsia="es-CR"/>
              </w:rPr>
            </w:pPr>
            <w:r w:rsidRPr="00990FB6">
              <w:rPr>
                <w:sz w:val="22"/>
                <w:szCs w:val="22"/>
                <w:lang w:eastAsia="es-CR"/>
              </w:rPr>
              <w:t>₡113 000, 00</w:t>
            </w:r>
          </w:p>
        </w:tc>
        <w:tc>
          <w:tcPr>
            <w:tcW w:w="626" w:type="pct"/>
            <w:tcBorders>
              <w:top w:val="nil"/>
              <w:left w:val="nil"/>
              <w:bottom w:val="double" w:sz="6" w:space="0" w:color="1F497D"/>
              <w:right w:val="double" w:sz="6" w:space="0" w:color="1F497D"/>
            </w:tcBorders>
            <w:noWrap/>
            <w:vAlign w:val="center"/>
            <w:hideMark/>
          </w:tcPr>
          <w:p w14:paraId="5B75DC66" w14:textId="77777777" w:rsidR="00B15F7D" w:rsidRPr="00990FB6" w:rsidRDefault="00B15F7D" w:rsidP="00B15F7D">
            <w:pPr>
              <w:jc w:val="center"/>
              <w:rPr>
                <w:sz w:val="22"/>
                <w:szCs w:val="22"/>
                <w:lang w:eastAsia="es-CR"/>
              </w:rPr>
            </w:pPr>
            <w:r w:rsidRPr="00990FB6">
              <w:rPr>
                <w:sz w:val="22"/>
                <w:szCs w:val="22"/>
                <w:lang w:eastAsia="es-CR"/>
              </w:rPr>
              <w:t>₡113 000, 00</w:t>
            </w:r>
          </w:p>
        </w:tc>
        <w:tc>
          <w:tcPr>
            <w:tcW w:w="605" w:type="pct"/>
            <w:tcBorders>
              <w:top w:val="nil"/>
              <w:left w:val="nil"/>
              <w:bottom w:val="double" w:sz="6" w:space="0" w:color="1F497D"/>
              <w:right w:val="double" w:sz="6" w:space="0" w:color="1F497D"/>
            </w:tcBorders>
            <w:noWrap/>
            <w:vAlign w:val="center"/>
            <w:hideMark/>
          </w:tcPr>
          <w:p w14:paraId="5395126A" w14:textId="77777777" w:rsidR="00B15F7D" w:rsidRPr="00990FB6" w:rsidRDefault="00B15F7D" w:rsidP="00B15F7D">
            <w:pPr>
              <w:jc w:val="center"/>
              <w:rPr>
                <w:sz w:val="22"/>
                <w:szCs w:val="22"/>
                <w:lang w:eastAsia="es-CR"/>
              </w:rPr>
            </w:pPr>
            <w:r w:rsidRPr="00990FB6">
              <w:rPr>
                <w:sz w:val="22"/>
                <w:szCs w:val="22"/>
                <w:lang w:eastAsia="es-CR"/>
              </w:rPr>
              <w:t>₡113 000, 00</w:t>
            </w:r>
          </w:p>
        </w:tc>
        <w:tc>
          <w:tcPr>
            <w:tcW w:w="647" w:type="pct"/>
            <w:tcBorders>
              <w:top w:val="nil"/>
              <w:left w:val="nil"/>
              <w:bottom w:val="double" w:sz="6" w:space="0" w:color="1F497D"/>
              <w:right w:val="double" w:sz="6" w:space="0" w:color="1F497D"/>
            </w:tcBorders>
            <w:noWrap/>
            <w:vAlign w:val="center"/>
            <w:hideMark/>
          </w:tcPr>
          <w:p w14:paraId="18F052CA" w14:textId="77777777" w:rsidR="00B15F7D" w:rsidRPr="00990FB6" w:rsidRDefault="00B15F7D" w:rsidP="00B15F7D">
            <w:pPr>
              <w:jc w:val="center"/>
              <w:rPr>
                <w:sz w:val="22"/>
                <w:szCs w:val="22"/>
                <w:lang w:eastAsia="es-CR"/>
              </w:rPr>
            </w:pPr>
            <w:r w:rsidRPr="00990FB6">
              <w:rPr>
                <w:sz w:val="22"/>
                <w:szCs w:val="22"/>
                <w:lang w:eastAsia="es-CR"/>
              </w:rPr>
              <w:t>₡ 678 000,00</w:t>
            </w:r>
          </w:p>
        </w:tc>
      </w:tr>
      <w:tr w:rsidR="00B15F7D" w:rsidRPr="00990FB6" w14:paraId="791A575B"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097B279B" w14:textId="77777777" w:rsidR="00B15F7D" w:rsidRPr="00990FB6" w:rsidRDefault="00B15F7D" w:rsidP="00B15F7D">
            <w:pPr>
              <w:rPr>
                <w:sz w:val="22"/>
                <w:szCs w:val="22"/>
                <w:lang w:eastAsia="es-CR"/>
              </w:rPr>
            </w:pPr>
            <w:proofErr w:type="spellStart"/>
            <w:r w:rsidRPr="00990FB6">
              <w:rPr>
                <w:sz w:val="22"/>
                <w:szCs w:val="22"/>
                <w:lang w:eastAsia="es-CR"/>
              </w:rPr>
              <w:t>Winch</w:t>
            </w:r>
            <w:proofErr w:type="spellEnd"/>
          </w:p>
        </w:tc>
        <w:tc>
          <w:tcPr>
            <w:tcW w:w="614" w:type="pct"/>
            <w:tcBorders>
              <w:top w:val="nil"/>
              <w:left w:val="nil"/>
              <w:bottom w:val="double" w:sz="6" w:space="0" w:color="1F497D"/>
              <w:right w:val="double" w:sz="6" w:space="0" w:color="1F497D"/>
            </w:tcBorders>
            <w:noWrap/>
            <w:vAlign w:val="center"/>
            <w:hideMark/>
          </w:tcPr>
          <w:p w14:paraId="54AB24FF" w14:textId="77777777" w:rsidR="00B15F7D" w:rsidRPr="00990FB6" w:rsidRDefault="00B15F7D" w:rsidP="00B15F7D">
            <w:pPr>
              <w:jc w:val="center"/>
              <w:rPr>
                <w:sz w:val="22"/>
                <w:szCs w:val="22"/>
                <w:lang w:eastAsia="es-CR"/>
              </w:rPr>
            </w:pPr>
            <w:r w:rsidRPr="00990FB6">
              <w:rPr>
                <w:sz w:val="22"/>
                <w:szCs w:val="22"/>
                <w:lang w:eastAsia="es-CR"/>
              </w:rPr>
              <w:t>₡500 000, 00</w:t>
            </w:r>
          </w:p>
        </w:tc>
        <w:tc>
          <w:tcPr>
            <w:tcW w:w="615" w:type="pct"/>
            <w:tcBorders>
              <w:top w:val="nil"/>
              <w:left w:val="nil"/>
              <w:bottom w:val="double" w:sz="6" w:space="0" w:color="1F497D"/>
              <w:right w:val="double" w:sz="6" w:space="0" w:color="1F497D"/>
            </w:tcBorders>
            <w:noWrap/>
            <w:vAlign w:val="center"/>
            <w:hideMark/>
          </w:tcPr>
          <w:p w14:paraId="44B7339C" w14:textId="77777777" w:rsidR="00B15F7D" w:rsidRPr="00990FB6" w:rsidRDefault="00B15F7D" w:rsidP="00B15F7D">
            <w:pPr>
              <w:jc w:val="center"/>
              <w:rPr>
                <w:sz w:val="22"/>
                <w:szCs w:val="22"/>
                <w:lang w:eastAsia="es-CR"/>
              </w:rPr>
            </w:pPr>
            <w:r w:rsidRPr="00990FB6">
              <w:rPr>
                <w:sz w:val="22"/>
                <w:szCs w:val="22"/>
                <w:lang w:eastAsia="es-CR"/>
              </w:rPr>
              <w:t>₡500 000, 00</w:t>
            </w:r>
          </w:p>
        </w:tc>
        <w:tc>
          <w:tcPr>
            <w:tcW w:w="596" w:type="pct"/>
            <w:tcBorders>
              <w:top w:val="nil"/>
              <w:left w:val="nil"/>
              <w:bottom w:val="double" w:sz="6" w:space="0" w:color="1F497D"/>
              <w:right w:val="double" w:sz="6" w:space="0" w:color="1F497D"/>
            </w:tcBorders>
            <w:noWrap/>
            <w:vAlign w:val="center"/>
            <w:hideMark/>
          </w:tcPr>
          <w:p w14:paraId="4343D3DE" w14:textId="77777777" w:rsidR="00B15F7D" w:rsidRPr="00990FB6" w:rsidRDefault="00B15F7D" w:rsidP="00B15F7D">
            <w:pPr>
              <w:jc w:val="center"/>
              <w:rPr>
                <w:sz w:val="22"/>
                <w:szCs w:val="22"/>
                <w:lang w:eastAsia="es-CR"/>
              </w:rPr>
            </w:pPr>
            <w:r w:rsidRPr="00990FB6">
              <w:rPr>
                <w:sz w:val="22"/>
                <w:szCs w:val="22"/>
                <w:lang w:eastAsia="es-CR"/>
              </w:rPr>
              <w:t>₡500 000, 00</w:t>
            </w:r>
          </w:p>
        </w:tc>
        <w:tc>
          <w:tcPr>
            <w:tcW w:w="626" w:type="pct"/>
            <w:tcBorders>
              <w:top w:val="nil"/>
              <w:left w:val="nil"/>
              <w:bottom w:val="double" w:sz="6" w:space="0" w:color="1F497D"/>
              <w:right w:val="double" w:sz="6" w:space="0" w:color="1F497D"/>
            </w:tcBorders>
            <w:noWrap/>
            <w:vAlign w:val="center"/>
            <w:hideMark/>
          </w:tcPr>
          <w:p w14:paraId="1C23D094" w14:textId="77777777" w:rsidR="00B15F7D" w:rsidRPr="00990FB6" w:rsidRDefault="00B15F7D" w:rsidP="00B15F7D">
            <w:pPr>
              <w:jc w:val="center"/>
              <w:rPr>
                <w:sz w:val="22"/>
                <w:szCs w:val="22"/>
                <w:lang w:eastAsia="es-CR"/>
              </w:rPr>
            </w:pPr>
            <w:r w:rsidRPr="00990FB6">
              <w:rPr>
                <w:sz w:val="22"/>
                <w:szCs w:val="22"/>
                <w:lang w:eastAsia="es-CR"/>
              </w:rPr>
              <w:t>₡500 000, 00</w:t>
            </w:r>
          </w:p>
        </w:tc>
        <w:tc>
          <w:tcPr>
            <w:tcW w:w="626" w:type="pct"/>
            <w:tcBorders>
              <w:top w:val="nil"/>
              <w:left w:val="nil"/>
              <w:bottom w:val="double" w:sz="6" w:space="0" w:color="1F497D"/>
              <w:right w:val="double" w:sz="6" w:space="0" w:color="1F497D"/>
            </w:tcBorders>
            <w:noWrap/>
            <w:vAlign w:val="center"/>
            <w:hideMark/>
          </w:tcPr>
          <w:p w14:paraId="25058AF2" w14:textId="77777777" w:rsidR="00B15F7D" w:rsidRPr="00990FB6" w:rsidRDefault="00B15F7D" w:rsidP="00B15F7D">
            <w:pPr>
              <w:jc w:val="center"/>
              <w:rPr>
                <w:sz w:val="22"/>
                <w:szCs w:val="22"/>
                <w:lang w:eastAsia="es-CR"/>
              </w:rPr>
            </w:pPr>
            <w:r w:rsidRPr="00990FB6">
              <w:rPr>
                <w:sz w:val="22"/>
                <w:szCs w:val="22"/>
                <w:lang w:eastAsia="es-CR"/>
              </w:rPr>
              <w:t>₡500 000, 00</w:t>
            </w:r>
          </w:p>
        </w:tc>
        <w:tc>
          <w:tcPr>
            <w:tcW w:w="605" w:type="pct"/>
            <w:tcBorders>
              <w:top w:val="nil"/>
              <w:left w:val="nil"/>
              <w:bottom w:val="double" w:sz="6" w:space="0" w:color="1F497D"/>
              <w:right w:val="double" w:sz="6" w:space="0" w:color="1F497D"/>
            </w:tcBorders>
            <w:noWrap/>
            <w:vAlign w:val="center"/>
            <w:hideMark/>
          </w:tcPr>
          <w:p w14:paraId="60B01CD6" w14:textId="77777777" w:rsidR="00B15F7D" w:rsidRPr="00990FB6" w:rsidRDefault="00B15F7D" w:rsidP="00B15F7D">
            <w:pPr>
              <w:jc w:val="center"/>
              <w:rPr>
                <w:sz w:val="22"/>
                <w:szCs w:val="22"/>
                <w:lang w:eastAsia="es-CR"/>
              </w:rPr>
            </w:pPr>
            <w:r w:rsidRPr="00990FB6">
              <w:rPr>
                <w:sz w:val="22"/>
                <w:szCs w:val="22"/>
                <w:lang w:eastAsia="es-CR"/>
              </w:rPr>
              <w:t>₡500 000, 00</w:t>
            </w:r>
          </w:p>
        </w:tc>
        <w:tc>
          <w:tcPr>
            <w:tcW w:w="647" w:type="pct"/>
            <w:tcBorders>
              <w:top w:val="nil"/>
              <w:left w:val="nil"/>
              <w:bottom w:val="double" w:sz="6" w:space="0" w:color="1F497D"/>
              <w:right w:val="double" w:sz="6" w:space="0" w:color="1F497D"/>
            </w:tcBorders>
            <w:noWrap/>
            <w:vAlign w:val="center"/>
            <w:hideMark/>
          </w:tcPr>
          <w:p w14:paraId="5F4F1D0D" w14:textId="77777777" w:rsidR="00B15F7D" w:rsidRPr="00990FB6" w:rsidRDefault="00B15F7D" w:rsidP="00B15F7D">
            <w:pPr>
              <w:jc w:val="center"/>
              <w:rPr>
                <w:sz w:val="22"/>
                <w:szCs w:val="22"/>
                <w:lang w:eastAsia="es-CR"/>
              </w:rPr>
            </w:pPr>
            <w:r w:rsidRPr="00990FB6">
              <w:rPr>
                <w:sz w:val="22"/>
                <w:szCs w:val="22"/>
                <w:lang w:eastAsia="es-CR"/>
              </w:rPr>
              <w:t>₡ 3 000 000,00</w:t>
            </w:r>
          </w:p>
        </w:tc>
      </w:tr>
      <w:tr w:rsidR="00B15F7D" w:rsidRPr="00990FB6" w14:paraId="21573D65"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029643E2" w14:textId="77777777" w:rsidR="00B15F7D" w:rsidRPr="00990FB6" w:rsidRDefault="00B15F7D" w:rsidP="00B15F7D">
            <w:pPr>
              <w:rPr>
                <w:sz w:val="22"/>
                <w:szCs w:val="22"/>
                <w:lang w:eastAsia="es-CR"/>
              </w:rPr>
            </w:pPr>
            <w:r w:rsidRPr="00990FB6">
              <w:rPr>
                <w:sz w:val="22"/>
                <w:szCs w:val="22"/>
                <w:lang w:eastAsia="es-CR"/>
              </w:rPr>
              <w:t xml:space="preserve">Instalación del </w:t>
            </w:r>
            <w:proofErr w:type="spellStart"/>
            <w:r w:rsidRPr="00990FB6">
              <w:rPr>
                <w:sz w:val="22"/>
                <w:szCs w:val="22"/>
                <w:lang w:eastAsia="es-CR"/>
              </w:rPr>
              <w:t>winch</w:t>
            </w:r>
            <w:proofErr w:type="spellEnd"/>
          </w:p>
        </w:tc>
        <w:tc>
          <w:tcPr>
            <w:tcW w:w="614" w:type="pct"/>
            <w:tcBorders>
              <w:top w:val="nil"/>
              <w:left w:val="nil"/>
              <w:bottom w:val="double" w:sz="6" w:space="0" w:color="1F497D"/>
              <w:right w:val="double" w:sz="6" w:space="0" w:color="1F497D"/>
            </w:tcBorders>
            <w:noWrap/>
            <w:vAlign w:val="center"/>
            <w:hideMark/>
          </w:tcPr>
          <w:p w14:paraId="59B6F876" w14:textId="77777777" w:rsidR="00B15F7D" w:rsidRPr="00990FB6" w:rsidRDefault="00B15F7D" w:rsidP="00B15F7D">
            <w:pPr>
              <w:jc w:val="center"/>
              <w:rPr>
                <w:sz w:val="22"/>
                <w:szCs w:val="22"/>
                <w:lang w:eastAsia="es-CR"/>
              </w:rPr>
            </w:pPr>
            <w:r w:rsidRPr="00990FB6">
              <w:rPr>
                <w:sz w:val="22"/>
                <w:szCs w:val="22"/>
                <w:lang w:eastAsia="es-CR"/>
              </w:rPr>
              <w:t>₡339 000, 00</w:t>
            </w:r>
          </w:p>
        </w:tc>
        <w:tc>
          <w:tcPr>
            <w:tcW w:w="615" w:type="pct"/>
            <w:tcBorders>
              <w:top w:val="nil"/>
              <w:left w:val="nil"/>
              <w:bottom w:val="double" w:sz="6" w:space="0" w:color="1F497D"/>
              <w:right w:val="double" w:sz="6" w:space="0" w:color="1F497D"/>
            </w:tcBorders>
            <w:noWrap/>
            <w:vAlign w:val="center"/>
            <w:hideMark/>
          </w:tcPr>
          <w:p w14:paraId="5B66AC05" w14:textId="77777777" w:rsidR="00B15F7D" w:rsidRPr="00990FB6" w:rsidRDefault="00B15F7D" w:rsidP="00B15F7D">
            <w:pPr>
              <w:jc w:val="center"/>
              <w:rPr>
                <w:sz w:val="22"/>
                <w:szCs w:val="22"/>
                <w:lang w:eastAsia="es-CR"/>
              </w:rPr>
            </w:pPr>
            <w:r w:rsidRPr="00990FB6">
              <w:rPr>
                <w:sz w:val="22"/>
                <w:szCs w:val="22"/>
                <w:lang w:eastAsia="es-CR"/>
              </w:rPr>
              <w:t>₡339 000, 00</w:t>
            </w:r>
          </w:p>
        </w:tc>
        <w:tc>
          <w:tcPr>
            <w:tcW w:w="596" w:type="pct"/>
            <w:tcBorders>
              <w:top w:val="nil"/>
              <w:left w:val="nil"/>
              <w:bottom w:val="double" w:sz="6" w:space="0" w:color="1F497D"/>
              <w:right w:val="double" w:sz="6" w:space="0" w:color="1F497D"/>
            </w:tcBorders>
            <w:noWrap/>
            <w:vAlign w:val="center"/>
            <w:hideMark/>
          </w:tcPr>
          <w:p w14:paraId="0CE234E7" w14:textId="77777777" w:rsidR="00B15F7D" w:rsidRPr="00990FB6" w:rsidRDefault="00B15F7D" w:rsidP="00B15F7D">
            <w:pPr>
              <w:jc w:val="center"/>
              <w:rPr>
                <w:sz w:val="22"/>
                <w:szCs w:val="22"/>
                <w:lang w:eastAsia="es-CR"/>
              </w:rPr>
            </w:pPr>
            <w:r w:rsidRPr="00990FB6">
              <w:rPr>
                <w:sz w:val="22"/>
                <w:szCs w:val="22"/>
                <w:lang w:eastAsia="es-CR"/>
              </w:rPr>
              <w:t>₡339 000, 00</w:t>
            </w:r>
          </w:p>
        </w:tc>
        <w:tc>
          <w:tcPr>
            <w:tcW w:w="626" w:type="pct"/>
            <w:tcBorders>
              <w:top w:val="nil"/>
              <w:left w:val="nil"/>
              <w:bottom w:val="double" w:sz="6" w:space="0" w:color="1F497D"/>
              <w:right w:val="double" w:sz="6" w:space="0" w:color="1F497D"/>
            </w:tcBorders>
            <w:noWrap/>
            <w:vAlign w:val="center"/>
            <w:hideMark/>
          </w:tcPr>
          <w:p w14:paraId="5D1449C6" w14:textId="77777777" w:rsidR="00B15F7D" w:rsidRPr="00990FB6" w:rsidRDefault="00B15F7D" w:rsidP="00B15F7D">
            <w:pPr>
              <w:jc w:val="center"/>
              <w:rPr>
                <w:sz w:val="22"/>
                <w:szCs w:val="22"/>
                <w:lang w:eastAsia="es-CR"/>
              </w:rPr>
            </w:pPr>
            <w:r w:rsidRPr="00990FB6">
              <w:rPr>
                <w:sz w:val="22"/>
                <w:szCs w:val="22"/>
                <w:lang w:eastAsia="es-CR"/>
              </w:rPr>
              <w:t>₡339 000, 00</w:t>
            </w:r>
          </w:p>
        </w:tc>
        <w:tc>
          <w:tcPr>
            <w:tcW w:w="626" w:type="pct"/>
            <w:tcBorders>
              <w:top w:val="nil"/>
              <w:left w:val="nil"/>
              <w:bottom w:val="double" w:sz="6" w:space="0" w:color="1F497D"/>
              <w:right w:val="double" w:sz="6" w:space="0" w:color="1F497D"/>
            </w:tcBorders>
            <w:noWrap/>
            <w:vAlign w:val="center"/>
            <w:hideMark/>
          </w:tcPr>
          <w:p w14:paraId="6E5F122F" w14:textId="77777777" w:rsidR="00B15F7D" w:rsidRPr="00990FB6" w:rsidRDefault="00B15F7D" w:rsidP="00B15F7D">
            <w:pPr>
              <w:jc w:val="center"/>
              <w:rPr>
                <w:sz w:val="22"/>
                <w:szCs w:val="22"/>
                <w:lang w:eastAsia="es-CR"/>
              </w:rPr>
            </w:pPr>
            <w:r w:rsidRPr="00990FB6">
              <w:rPr>
                <w:sz w:val="22"/>
                <w:szCs w:val="22"/>
                <w:lang w:eastAsia="es-CR"/>
              </w:rPr>
              <w:t>₡339 000, 00</w:t>
            </w:r>
          </w:p>
        </w:tc>
        <w:tc>
          <w:tcPr>
            <w:tcW w:w="605" w:type="pct"/>
            <w:tcBorders>
              <w:top w:val="nil"/>
              <w:left w:val="nil"/>
              <w:bottom w:val="double" w:sz="6" w:space="0" w:color="1F497D"/>
              <w:right w:val="double" w:sz="6" w:space="0" w:color="1F497D"/>
            </w:tcBorders>
            <w:noWrap/>
            <w:vAlign w:val="center"/>
            <w:hideMark/>
          </w:tcPr>
          <w:p w14:paraId="50498C6F" w14:textId="77777777" w:rsidR="00B15F7D" w:rsidRPr="00990FB6" w:rsidRDefault="00B15F7D" w:rsidP="00B15F7D">
            <w:pPr>
              <w:jc w:val="center"/>
              <w:rPr>
                <w:sz w:val="22"/>
                <w:szCs w:val="22"/>
                <w:lang w:eastAsia="es-CR"/>
              </w:rPr>
            </w:pPr>
            <w:r w:rsidRPr="00990FB6">
              <w:rPr>
                <w:sz w:val="22"/>
                <w:szCs w:val="22"/>
                <w:lang w:eastAsia="es-CR"/>
              </w:rPr>
              <w:t>₡339 000, 00</w:t>
            </w:r>
          </w:p>
        </w:tc>
        <w:tc>
          <w:tcPr>
            <w:tcW w:w="647" w:type="pct"/>
            <w:tcBorders>
              <w:top w:val="nil"/>
              <w:left w:val="nil"/>
              <w:bottom w:val="double" w:sz="6" w:space="0" w:color="1F497D"/>
              <w:right w:val="double" w:sz="6" w:space="0" w:color="1F497D"/>
            </w:tcBorders>
            <w:noWrap/>
            <w:vAlign w:val="center"/>
            <w:hideMark/>
          </w:tcPr>
          <w:p w14:paraId="309D65CD" w14:textId="77777777" w:rsidR="00B15F7D" w:rsidRPr="00990FB6" w:rsidRDefault="00B15F7D" w:rsidP="00B15F7D">
            <w:pPr>
              <w:jc w:val="center"/>
              <w:rPr>
                <w:sz w:val="22"/>
                <w:szCs w:val="22"/>
                <w:lang w:eastAsia="es-CR"/>
              </w:rPr>
            </w:pPr>
            <w:r w:rsidRPr="00990FB6">
              <w:rPr>
                <w:sz w:val="22"/>
                <w:szCs w:val="22"/>
                <w:lang w:eastAsia="es-CR"/>
              </w:rPr>
              <w:t>₡2 034 000,00</w:t>
            </w:r>
          </w:p>
        </w:tc>
      </w:tr>
      <w:tr w:rsidR="00B15F7D" w:rsidRPr="00990FB6" w14:paraId="6899E962"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2ADB0FF4" w14:textId="77777777" w:rsidR="00B15F7D" w:rsidRPr="00990FB6" w:rsidRDefault="00B15F7D" w:rsidP="00B15F7D">
            <w:pPr>
              <w:rPr>
                <w:sz w:val="22"/>
                <w:szCs w:val="22"/>
                <w:lang w:eastAsia="es-CR"/>
              </w:rPr>
            </w:pPr>
            <w:r w:rsidRPr="00990FB6">
              <w:rPr>
                <w:sz w:val="22"/>
                <w:szCs w:val="22"/>
                <w:lang w:eastAsia="es-CR"/>
              </w:rPr>
              <w:t>Cadenas para las llantas de vehículos</w:t>
            </w:r>
          </w:p>
        </w:tc>
        <w:tc>
          <w:tcPr>
            <w:tcW w:w="614" w:type="pct"/>
            <w:tcBorders>
              <w:top w:val="nil"/>
              <w:left w:val="nil"/>
              <w:bottom w:val="double" w:sz="6" w:space="0" w:color="1F497D"/>
              <w:right w:val="double" w:sz="6" w:space="0" w:color="1F497D"/>
            </w:tcBorders>
            <w:noWrap/>
            <w:vAlign w:val="center"/>
            <w:hideMark/>
          </w:tcPr>
          <w:p w14:paraId="30FFC953" w14:textId="77777777" w:rsidR="00B15F7D" w:rsidRPr="00990FB6" w:rsidRDefault="00B15F7D" w:rsidP="00B15F7D">
            <w:pPr>
              <w:jc w:val="center"/>
              <w:rPr>
                <w:sz w:val="22"/>
                <w:szCs w:val="22"/>
                <w:lang w:eastAsia="es-CR"/>
              </w:rPr>
            </w:pPr>
            <w:r w:rsidRPr="00990FB6">
              <w:rPr>
                <w:sz w:val="22"/>
                <w:szCs w:val="22"/>
                <w:lang w:eastAsia="es-CR"/>
              </w:rPr>
              <w:t>₡287 924, 00</w:t>
            </w:r>
          </w:p>
        </w:tc>
        <w:tc>
          <w:tcPr>
            <w:tcW w:w="615" w:type="pct"/>
            <w:tcBorders>
              <w:top w:val="nil"/>
              <w:left w:val="nil"/>
              <w:bottom w:val="double" w:sz="6" w:space="0" w:color="1F497D"/>
              <w:right w:val="double" w:sz="6" w:space="0" w:color="1F497D"/>
            </w:tcBorders>
            <w:noWrap/>
            <w:vAlign w:val="center"/>
            <w:hideMark/>
          </w:tcPr>
          <w:p w14:paraId="5FDB4C24" w14:textId="77777777" w:rsidR="00B15F7D" w:rsidRPr="00990FB6" w:rsidRDefault="00B15F7D" w:rsidP="00B15F7D">
            <w:pPr>
              <w:jc w:val="center"/>
              <w:rPr>
                <w:sz w:val="22"/>
                <w:szCs w:val="22"/>
                <w:lang w:eastAsia="es-CR"/>
              </w:rPr>
            </w:pPr>
            <w:r w:rsidRPr="00990FB6">
              <w:rPr>
                <w:sz w:val="22"/>
                <w:szCs w:val="22"/>
                <w:lang w:eastAsia="es-CR"/>
              </w:rPr>
              <w:t>₡287 924, 00</w:t>
            </w:r>
          </w:p>
        </w:tc>
        <w:tc>
          <w:tcPr>
            <w:tcW w:w="596" w:type="pct"/>
            <w:tcBorders>
              <w:top w:val="nil"/>
              <w:left w:val="nil"/>
              <w:bottom w:val="double" w:sz="6" w:space="0" w:color="1F497D"/>
              <w:right w:val="double" w:sz="6" w:space="0" w:color="1F497D"/>
            </w:tcBorders>
            <w:noWrap/>
            <w:vAlign w:val="center"/>
            <w:hideMark/>
          </w:tcPr>
          <w:p w14:paraId="7B04FCDB" w14:textId="77777777" w:rsidR="00B15F7D" w:rsidRPr="00990FB6" w:rsidRDefault="00B15F7D" w:rsidP="00B15F7D">
            <w:pPr>
              <w:jc w:val="center"/>
              <w:rPr>
                <w:sz w:val="22"/>
                <w:szCs w:val="22"/>
                <w:lang w:eastAsia="es-CR"/>
              </w:rPr>
            </w:pPr>
            <w:r w:rsidRPr="00990FB6">
              <w:rPr>
                <w:sz w:val="22"/>
                <w:szCs w:val="22"/>
                <w:lang w:eastAsia="es-CR"/>
              </w:rPr>
              <w:t>₡             -</w:t>
            </w:r>
          </w:p>
        </w:tc>
        <w:tc>
          <w:tcPr>
            <w:tcW w:w="626" w:type="pct"/>
            <w:tcBorders>
              <w:top w:val="nil"/>
              <w:left w:val="nil"/>
              <w:bottom w:val="double" w:sz="6" w:space="0" w:color="1F497D"/>
              <w:right w:val="double" w:sz="6" w:space="0" w:color="1F497D"/>
            </w:tcBorders>
            <w:noWrap/>
            <w:vAlign w:val="center"/>
            <w:hideMark/>
          </w:tcPr>
          <w:p w14:paraId="09656076" w14:textId="77777777" w:rsidR="00B15F7D" w:rsidRPr="00990FB6" w:rsidRDefault="00B15F7D" w:rsidP="00B15F7D">
            <w:pPr>
              <w:jc w:val="center"/>
              <w:rPr>
                <w:sz w:val="22"/>
                <w:szCs w:val="22"/>
                <w:lang w:eastAsia="es-CR"/>
              </w:rPr>
            </w:pPr>
            <w:r w:rsidRPr="00990FB6">
              <w:rPr>
                <w:sz w:val="22"/>
                <w:szCs w:val="22"/>
                <w:lang w:eastAsia="es-CR"/>
              </w:rPr>
              <w:t>₡             -</w:t>
            </w:r>
          </w:p>
        </w:tc>
        <w:tc>
          <w:tcPr>
            <w:tcW w:w="626" w:type="pct"/>
            <w:tcBorders>
              <w:top w:val="nil"/>
              <w:left w:val="nil"/>
              <w:bottom w:val="double" w:sz="6" w:space="0" w:color="1F497D"/>
              <w:right w:val="double" w:sz="6" w:space="0" w:color="1F497D"/>
            </w:tcBorders>
            <w:noWrap/>
            <w:vAlign w:val="center"/>
            <w:hideMark/>
          </w:tcPr>
          <w:p w14:paraId="11324EEF" w14:textId="77777777" w:rsidR="00B15F7D" w:rsidRPr="00990FB6" w:rsidRDefault="00B15F7D" w:rsidP="00B15F7D">
            <w:pPr>
              <w:jc w:val="center"/>
              <w:rPr>
                <w:sz w:val="22"/>
                <w:szCs w:val="22"/>
                <w:lang w:eastAsia="es-CR"/>
              </w:rPr>
            </w:pPr>
            <w:r w:rsidRPr="00990FB6">
              <w:rPr>
                <w:sz w:val="22"/>
                <w:szCs w:val="22"/>
                <w:lang w:eastAsia="es-CR"/>
              </w:rPr>
              <w:t>₡287 924, 00</w:t>
            </w:r>
          </w:p>
        </w:tc>
        <w:tc>
          <w:tcPr>
            <w:tcW w:w="605" w:type="pct"/>
            <w:tcBorders>
              <w:top w:val="nil"/>
              <w:left w:val="nil"/>
              <w:bottom w:val="double" w:sz="6" w:space="0" w:color="1F497D"/>
              <w:right w:val="double" w:sz="6" w:space="0" w:color="1F497D"/>
            </w:tcBorders>
            <w:noWrap/>
            <w:vAlign w:val="center"/>
            <w:hideMark/>
          </w:tcPr>
          <w:p w14:paraId="520AE5EA" w14:textId="77777777" w:rsidR="00B15F7D" w:rsidRPr="00990FB6" w:rsidRDefault="00B15F7D" w:rsidP="00B15F7D">
            <w:pPr>
              <w:jc w:val="center"/>
              <w:rPr>
                <w:sz w:val="22"/>
                <w:szCs w:val="22"/>
                <w:lang w:eastAsia="es-CR"/>
              </w:rPr>
            </w:pPr>
            <w:r w:rsidRPr="00990FB6">
              <w:rPr>
                <w:sz w:val="22"/>
                <w:szCs w:val="22"/>
                <w:lang w:eastAsia="es-CR"/>
              </w:rPr>
              <w:t>₡287 924, 00</w:t>
            </w:r>
          </w:p>
        </w:tc>
        <w:tc>
          <w:tcPr>
            <w:tcW w:w="647" w:type="pct"/>
            <w:tcBorders>
              <w:top w:val="nil"/>
              <w:left w:val="nil"/>
              <w:bottom w:val="double" w:sz="6" w:space="0" w:color="1F497D"/>
              <w:right w:val="double" w:sz="6" w:space="0" w:color="1F497D"/>
            </w:tcBorders>
            <w:noWrap/>
            <w:vAlign w:val="center"/>
            <w:hideMark/>
          </w:tcPr>
          <w:p w14:paraId="0723199A" w14:textId="77777777" w:rsidR="00B15F7D" w:rsidRPr="00990FB6" w:rsidRDefault="00B15F7D" w:rsidP="00B15F7D">
            <w:pPr>
              <w:jc w:val="center"/>
              <w:rPr>
                <w:sz w:val="22"/>
                <w:szCs w:val="22"/>
                <w:lang w:eastAsia="es-CR"/>
              </w:rPr>
            </w:pPr>
            <w:r w:rsidRPr="00990FB6">
              <w:rPr>
                <w:sz w:val="22"/>
                <w:szCs w:val="22"/>
                <w:lang w:eastAsia="es-CR"/>
              </w:rPr>
              <w:t>₡1 151 696,00</w:t>
            </w:r>
          </w:p>
        </w:tc>
      </w:tr>
      <w:tr w:rsidR="00B15F7D" w:rsidRPr="00990FB6" w14:paraId="2375C3F8"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739B3688" w14:textId="77777777" w:rsidR="00B15F7D" w:rsidRPr="00990FB6" w:rsidRDefault="00B15F7D" w:rsidP="00B15F7D">
            <w:pPr>
              <w:rPr>
                <w:sz w:val="22"/>
                <w:szCs w:val="22"/>
                <w:lang w:eastAsia="es-CR"/>
              </w:rPr>
            </w:pPr>
            <w:r w:rsidRPr="00990FB6">
              <w:rPr>
                <w:sz w:val="22"/>
                <w:szCs w:val="22"/>
                <w:lang w:eastAsia="es-CR"/>
              </w:rPr>
              <w:t>Combustible (Diesel Flota 2.0) (a)</w:t>
            </w:r>
          </w:p>
        </w:tc>
        <w:tc>
          <w:tcPr>
            <w:tcW w:w="614" w:type="pct"/>
            <w:tcBorders>
              <w:top w:val="nil"/>
              <w:left w:val="nil"/>
              <w:bottom w:val="double" w:sz="6" w:space="0" w:color="1F497D"/>
              <w:right w:val="double" w:sz="6" w:space="0" w:color="1F497D"/>
            </w:tcBorders>
            <w:noWrap/>
            <w:vAlign w:val="center"/>
            <w:hideMark/>
          </w:tcPr>
          <w:p w14:paraId="2487E8C2" w14:textId="77777777" w:rsidR="00B15F7D" w:rsidRPr="00990FB6" w:rsidRDefault="00B15F7D" w:rsidP="00B15F7D">
            <w:pPr>
              <w:jc w:val="center"/>
              <w:rPr>
                <w:sz w:val="22"/>
                <w:szCs w:val="22"/>
                <w:lang w:eastAsia="es-CR"/>
              </w:rPr>
            </w:pPr>
            <w:r w:rsidRPr="00990FB6">
              <w:rPr>
                <w:sz w:val="22"/>
                <w:szCs w:val="22"/>
                <w:lang w:eastAsia="es-CR"/>
              </w:rPr>
              <w:t>₡2 608 333, 80</w:t>
            </w:r>
          </w:p>
        </w:tc>
        <w:tc>
          <w:tcPr>
            <w:tcW w:w="615" w:type="pct"/>
            <w:tcBorders>
              <w:top w:val="nil"/>
              <w:left w:val="nil"/>
              <w:bottom w:val="double" w:sz="6" w:space="0" w:color="1F497D"/>
              <w:right w:val="double" w:sz="6" w:space="0" w:color="1F497D"/>
            </w:tcBorders>
            <w:noWrap/>
            <w:vAlign w:val="center"/>
            <w:hideMark/>
          </w:tcPr>
          <w:p w14:paraId="0CF91CF1" w14:textId="77777777" w:rsidR="00B15F7D" w:rsidRPr="00990FB6" w:rsidRDefault="00B15F7D" w:rsidP="00B15F7D">
            <w:pPr>
              <w:jc w:val="center"/>
              <w:rPr>
                <w:sz w:val="22"/>
                <w:szCs w:val="22"/>
                <w:lang w:eastAsia="es-CR"/>
              </w:rPr>
            </w:pPr>
            <w:r w:rsidRPr="00990FB6">
              <w:rPr>
                <w:sz w:val="22"/>
                <w:szCs w:val="22"/>
                <w:lang w:eastAsia="es-CR"/>
              </w:rPr>
              <w:t>₡2 847 600, 00</w:t>
            </w:r>
          </w:p>
        </w:tc>
        <w:tc>
          <w:tcPr>
            <w:tcW w:w="596" w:type="pct"/>
            <w:tcBorders>
              <w:top w:val="nil"/>
              <w:left w:val="nil"/>
              <w:bottom w:val="double" w:sz="6" w:space="0" w:color="1F497D"/>
              <w:right w:val="double" w:sz="6" w:space="0" w:color="1F497D"/>
            </w:tcBorders>
            <w:noWrap/>
            <w:vAlign w:val="center"/>
            <w:hideMark/>
          </w:tcPr>
          <w:p w14:paraId="4BD80172" w14:textId="77777777" w:rsidR="00B15F7D" w:rsidRPr="00990FB6" w:rsidRDefault="00B15F7D" w:rsidP="00B15F7D">
            <w:pPr>
              <w:jc w:val="center"/>
              <w:rPr>
                <w:sz w:val="22"/>
                <w:szCs w:val="22"/>
                <w:lang w:eastAsia="es-CR"/>
              </w:rPr>
            </w:pPr>
            <w:r w:rsidRPr="00990FB6">
              <w:rPr>
                <w:sz w:val="22"/>
                <w:szCs w:val="22"/>
                <w:lang w:eastAsia="es-CR"/>
              </w:rPr>
              <w:t>₡1 356 000, 00</w:t>
            </w:r>
          </w:p>
        </w:tc>
        <w:tc>
          <w:tcPr>
            <w:tcW w:w="626" w:type="pct"/>
            <w:tcBorders>
              <w:top w:val="nil"/>
              <w:left w:val="nil"/>
              <w:bottom w:val="double" w:sz="6" w:space="0" w:color="1F497D"/>
              <w:right w:val="double" w:sz="6" w:space="0" w:color="1F497D"/>
            </w:tcBorders>
            <w:noWrap/>
            <w:vAlign w:val="center"/>
            <w:hideMark/>
          </w:tcPr>
          <w:p w14:paraId="38BC5F96" w14:textId="77777777" w:rsidR="00B15F7D" w:rsidRPr="00990FB6" w:rsidRDefault="00B15F7D" w:rsidP="00B15F7D">
            <w:pPr>
              <w:jc w:val="center"/>
              <w:rPr>
                <w:sz w:val="22"/>
                <w:szCs w:val="22"/>
                <w:lang w:eastAsia="es-CR"/>
              </w:rPr>
            </w:pPr>
            <w:r w:rsidRPr="00990FB6">
              <w:rPr>
                <w:sz w:val="22"/>
                <w:szCs w:val="22"/>
                <w:lang w:eastAsia="es-CR"/>
              </w:rPr>
              <w:t>₡1 485 950, 00</w:t>
            </w:r>
          </w:p>
        </w:tc>
        <w:tc>
          <w:tcPr>
            <w:tcW w:w="626" w:type="pct"/>
            <w:tcBorders>
              <w:top w:val="nil"/>
              <w:left w:val="nil"/>
              <w:bottom w:val="double" w:sz="6" w:space="0" w:color="1F497D"/>
              <w:right w:val="double" w:sz="6" w:space="0" w:color="1F497D"/>
            </w:tcBorders>
            <w:noWrap/>
            <w:vAlign w:val="center"/>
            <w:hideMark/>
          </w:tcPr>
          <w:p w14:paraId="2DABC9EC" w14:textId="77777777" w:rsidR="00B15F7D" w:rsidRPr="00990FB6" w:rsidRDefault="00B15F7D" w:rsidP="00B15F7D">
            <w:pPr>
              <w:jc w:val="center"/>
              <w:rPr>
                <w:sz w:val="22"/>
                <w:szCs w:val="22"/>
                <w:lang w:eastAsia="es-CR"/>
              </w:rPr>
            </w:pPr>
            <w:r w:rsidRPr="00990FB6">
              <w:rPr>
                <w:sz w:val="22"/>
                <w:szCs w:val="22"/>
                <w:lang w:eastAsia="es-CR"/>
              </w:rPr>
              <w:t>₡1 485 950,00</w:t>
            </w:r>
          </w:p>
        </w:tc>
        <w:tc>
          <w:tcPr>
            <w:tcW w:w="605" w:type="pct"/>
            <w:tcBorders>
              <w:top w:val="nil"/>
              <w:left w:val="nil"/>
              <w:bottom w:val="double" w:sz="6" w:space="0" w:color="1F497D"/>
              <w:right w:val="double" w:sz="6" w:space="0" w:color="1F497D"/>
            </w:tcBorders>
            <w:noWrap/>
            <w:vAlign w:val="center"/>
            <w:hideMark/>
          </w:tcPr>
          <w:p w14:paraId="326E20B4" w14:textId="77777777" w:rsidR="00B15F7D" w:rsidRPr="00990FB6" w:rsidRDefault="00B15F7D" w:rsidP="00B15F7D">
            <w:pPr>
              <w:jc w:val="center"/>
              <w:rPr>
                <w:sz w:val="22"/>
                <w:szCs w:val="22"/>
                <w:lang w:eastAsia="es-CR"/>
              </w:rPr>
            </w:pPr>
            <w:r w:rsidRPr="00990FB6">
              <w:rPr>
                <w:sz w:val="22"/>
                <w:szCs w:val="22"/>
                <w:lang w:eastAsia="es-CR"/>
              </w:rPr>
              <w:t>₡1 485 950,00</w:t>
            </w:r>
          </w:p>
        </w:tc>
        <w:tc>
          <w:tcPr>
            <w:tcW w:w="647" w:type="pct"/>
            <w:tcBorders>
              <w:top w:val="nil"/>
              <w:left w:val="nil"/>
              <w:bottom w:val="double" w:sz="6" w:space="0" w:color="1F497D"/>
              <w:right w:val="double" w:sz="6" w:space="0" w:color="1F497D"/>
            </w:tcBorders>
            <w:noWrap/>
            <w:vAlign w:val="center"/>
            <w:hideMark/>
          </w:tcPr>
          <w:p w14:paraId="45E9552F" w14:textId="77777777" w:rsidR="00B15F7D" w:rsidRPr="00990FB6" w:rsidRDefault="00B15F7D" w:rsidP="00B15F7D">
            <w:pPr>
              <w:jc w:val="center"/>
              <w:rPr>
                <w:sz w:val="22"/>
                <w:szCs w:val="22"/>
                <w:lang w:eastAsia="es-CR"/>
              </w:rPr>
            </w:pPr>
            <w:r w:rsidRPr="00990FB6">
              <w:rPr>
                <w:sz w:val="22"/>
                <w:szCs w:val="22"/>
                <w:lang w:eastAsia="es-CR"/>
              </w:rPr>
              <w:t>₡11 269 783,80</w:t>
            </w:r>
          </w:p>
        </w:tc>
      </w:tr>
      <w:tr w:rsidR="00B15F7D" w:rsidRPr="00990FB6" w14:paraId="50BF3401"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77EBB70A" w14:textId="77777777" w:rsidR="00B15F7D" w:rsidRPr="00990FB6" w:rsidRDefault="00B15F7D" w:rsidP="00B15F7D">
            <w:pPr>
              <w:rPr>
                <w:sz w:val="22"/>
                <w:szCs w:val="22"/>
                <w:lang w:eastAsia="es-CR"/>
              </w:rPr>
            </w:pPr>
            <w:r w:rsidRPr="00990FB6">
              <w:rPr>
                <w:sz w:val="22"/>
                <w:szCs w:val="22"/>
                <w:lang w:eastAsia="es-CR"/>
              </w:rPr>
              <w:t>Linga</w:t>
            </w:r>
          </w:p>
        </w:tc>
        <w:tc>
          <w:tcPr>
            <w:tcW w:w="614" w:type="pct"/>
            <w:tcBorders>
              <w:top w:val="nil"/>
              <w:left w:val="nil"/>
              <w:bottom w:val="double" w:sz="6" w:space="0" w:color="1F497D"/>
              <w:right w:val="double" w:sz="6" w:space="0" w:color="1F497D"/>
            </w:tcBorders>
            <w:noWrap/>
            <w:vAlign w:val="center"/>
            <w:hideMark/>
          </w:tcPr>
          <w:p w14:paraId="28D9F272" w14:textId="77777777" w:rsidR="00B15F7D" w:rsidRPr="00990FB6" w:rsidRDefault="00B15F7D" w:rsidP="00B15F7D">
            <w:pPr>
              <w:jc w:val="center"/>
              <w:rPr>
                <w:sz w:val="22"/>
                <w:szCs w:val="22"/>
                <w:lang w:eastAsia="es-CR"/>
              </w:rPr>
            </w:pPr>
            <w:r w:rsidRPr="00990FB6">
              <w:rPr>
                <w:sz w:val="22"/>
                <w:szCs w:val="22"/>
                <w:lang w:eastAsia="es-CR"/>
              </w:rPr>
              <w:t>₡17 000, 00</w:t>
            </w:r>
          </w:p>
        </w:tc>
        <w:tc>
          <w:tcPr>
            <w:tcW w:w="615" w:type="pct"/>
            <w:tcBorders>
              <w:top w:val="nil"/>
              <w:left w:val="nil"/>
              <w:bottom w:val="double" w:sz="6" w:space="0" w:color="1F497D"/>
              <w:right w:val="double" w:sz="6" w:space="0" w:color="1F497D"/>
            </w:tcBorders>
            <w:noWrap/>
            <w:vAlign w:val="center"/>
            <w:hideMark/>
          </w:tcPr>
          <w:p w14:paraId="4C36C3F9" w14:textId="77777777" w:rsidR="00B15F7D" w:rsidRPr="00990FB6" w:rsidRDefault="00B15F7D" w:rsidP="00B15F7D">
            <w:pPr>
              <w:jc w:val="center"/>
              <w:rPr>
                <w:sz w:val="22"/>
                <w:szCs w:val="22"/>
                <w:lang w:eastAsia="es-CR"/>
              </w:rPr>
            </w:pPr>
            <w:r w:rsidRPr="00990FB6">
              <w:rPr>
                <w:sz w:val="22"/>
                <w:szCs w:val="22"/>
                <w:lang w:eastAsia="es-CR"/>
              </w:rPr>
              <w:t>₡17 000, 00</w:t>
            </w:r>
          </w:p>
        </w:tc>
        <w:tc>
          <w:tcPr>
            <w:tcW w:w="596" w:type="pct"/>
            <w:tcBorders>
              <w:top w:val="nil"/>
              <w:left w:val="nil"/>
              <w:bottom w:val="double" w:sz="6" w:space="0" w:color="1F497D"/>
              <w:right w:val="double" w:sz="6" w:space="0" w:color="1F497D"/>
            </w:tcBorders>
            <w:noWrap/>
            <w:vAlign w:val="center"/>
            <w:hideMark/>
          </w:tcPr>
          <w:p w14:paraId="6C090903" w14:textId="77777777" w:rsidR="00B15F7D" w:rsidRPr="00990FB6" w:rsidRDefault="00B15F7D" w:rsidP="00B15F7D">
            <w:pPr>
              <w:jc w:val="center"/>
              <w:rPr>
                <w:sz w:val="22"/>
                <w:szCs w:val="22"/>
                <w:lang w:eastAsia="es-CR"/>
              </w:rPr>
            </w:pPr>
            <w:r w:rsidRPr="00990FB6">
              <w:rPr>
                <w:sz w:val="22"/>
                <w:szCs w:val="22"/>
                <w:lang w:eastAsia="es-CR"/>
              </w:rPr>
              <w:t>₡17 000, 00</w:t>
            </w:r>
          </w:p>
        </w:tc>
        <w:tc>
          <w:tcPr>
            <w:tcW w:w="626" w:type="pct"/>
            <w:tcBorders>
              <w:top w:val="nil"/>
              <w:left w:val="nil"/>
              <w:bottom w:val="double" w:sz="6" w:space="0" w:color="1F497D"/>
              <w:right w:val="double" w:sz="6" w:space="0" w:color="1F497D"/>
            </w:tcBorders>
            <w:noWrap/>
            <w:vAlign w:val="center"/>
            <w:hideMark/>
          </w:tcPr>
          <w:p w14:paraId="31ABA4F6" w14:textId="77777777" w:rsidR="00B15F7D" w:rsidRPr="00990FB6" w:rsidRDefault="00B15F7D" w:rsidP="00B15F7D">
            <w:pPr>
              <w:jc w:val="center"/>
              <w:rPr>
                <w:sz w:val="22"/>
                <w:szCs w:val="22"/>
                <w:lang w:eastAsia="es-CR"/>
              </w:rPr>
            </w:pPr>
            <w:r w:rsidRPr="00990FB6">
              <w:rPr>
                <w:sz w:val="22"/>
                <w:szCs w:val="22"/>
                <w:lang w:eastAsia="es-CR"/>
              </w:rPr>
              <w:t>₡17 000, 00</w:t>
            </w:r>
          </w:p>
        </w:tc>
        <w:tc>
          <w:tcPr>
            <w:tcW w:w="626" w:type="pct"/>
            <w:tcBorders>
              <w:top w:val="nil"/>
              <w:left w:val="nil"/>
              <w:bottom w:val="double" w:sz="6" w:space="0" w:color="1F497D"/>
              <w:right w:val="double" w:sz="6" w:space="0" w:color="1F497D"/>
            </w:tcBorders>
            <w:noWrap/>
            <w:vAlign w:val="center"/>
            <w:hideMark/>
          </w:tcPr>
          <w:p w14:paraId="20E4485C" w14:textId="77777777" w:rsidR="00B15F7D" w:rsidRPr="00990FB6" w:rsidRDefault="00B15F7D" w:rsidP="00B15F7D">
            <w:pPr>
              <w:jc w:val="center"/>
              <w:rPr>
                <w:sz w:val="22"/>
                <w:szCs w:val="22"/>
                <w:lang w:eastAsia="es-CR"/>
              </w:rPr>
            </w:pPr>
            <w:r w:rsidRPr="00990FB6">
              <w:rPr>
                <w:sz w:val="22"/>
                <w:szCs w:val="22"/>
                <w:lang w:eastAsia="es-CR"/>
              </w:rPr>
              <w:t>₡17 000, 00</w:t>
            </w:r>
          </w:p>
        </w:tc>
        <w:tc>
          <w:tcPr>
            <w:tcW w:w="605" w:type="pct"/>
            <w:tcBorders>
              <w:top w:val="nil"/>
              <w:left w:val="nil"/>
              <w:bottom w:val="double" w:sz="6" w:space="0" w:color="1F497D"/>
              <w:right w:val="double" w:sz="6" w:space="0" w:color="1F497D"/>
            </w:tcBorders>
            <w:noWrap/>
            <w:vAlign w:val="center"/>
            <w:hideMark/>
          </w:tcPr>
          <w:p w14:paraId="70B8C6D6" w14:textId="77777777" w:rsidR="00B15F7D" w:rsidRPr="00990FB6" w:rsidRDefault="00B15F7D" w:rsidP="00B15F7D">
            <w:pPr>
              <w:jc w:val="center"/>
              <w:rPr>
                <w:sz w:val="22"/>
                <w:szCs w:val="22"/>
                <w:lang w:eastAsia="es-CR"/>
              </w:rPr>
            </w:pPr>
            <w:r w:rsidRPr="00990FB6">
              <w:rPr>
                <w:sz w:val="22"/>
                <w:szCs w:val="22"/>
                <w:lang w:eastAsia="es-CR"/>
              </w:rPr>
              <w:t>₡17 000, 00</w:t>
            </w:r>
          </w:p>
        </w:tc>
        <w:tc>
          <w:tcPr>
            <w:tcW w:w="647" w:type="pct"/>
            <w:tcBorders>
              <w:top w:val="nil"/>
              <w:left w:val="nil"/>
              <w:bottom w:val="double" w:sz="6" w:space="0" w:color="1F497D"/>
              <w:right w:val="double" w:sz="6" w:space="0" w:color="1F497D"/>
            </w:tcBorders>
            <w:noWrap/>
            <w:vAlign w:val="center"/>
            <w:hideMark/>
          </w:tcPr>
          <w:p w14:paraId="7BB102A3" w14:textId="77777777" w:rsidR="00B15F7D" w:rsidRPr="00990FB6" w:rsidRDefault="00B15F7D" w:rsidP="00B15F7D">
            <w:pPr>
              <w:jc w:val="center"/>
              <w:rPr>
                <w:sz w:val="22"/>
                <w:szCs w:val="22"/>
                <w:lang w:eastAsia="es-CR"/>
              </w:rPr>
            </w:pPr>
            <w:r w:rsidRPr="00990FB6">
              <w:rPr>
                <w:sz w:val="22"/>
                <w:szCs w:val="22"/>
                <w:lang w:eastAsia="es-CR"/>
              </w:rPr>
              <w:t>₡102 000,00</w:t>
            </w:r>
          </w:p>
        </w:tc>
      </w:tr>
      <w:tr w:rsidR="00B15F7D" w:rsidRPr="00990FB6" w14:paraId="41E2EBAF"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523AEFE4" w14:textId="77777777" w:rsidR="00B15F7D" w:rsidRPr="00990FB6" w:rsidRDefault="00B15F7D" w:rsidP="00B15F7D">
            <w:pPr>
              <w:rPr>
                <w:sz w:val="22"/>
                <w:szCs w:val="22"/>
                <w:lang w:eastAsia="es-CR"/>
              </w:rPr>
            </w:pPr>
            <w:r w:rsidRPr="00990FB6">
              <w:rPr>
                <w:sz w:val="22"/>
                <w:szCs w:val="22"/>
                <w:lang w:eastAsia="es-CR"/>
              </w:rPr>
              <w:t>Servicio de Monitoreo por GPS</w:t>
            </w:r>
          </w:p>
        </w:tc>
        <w:tc>
          <w:tcPr>
            <w:tcW w:w="614" w:type="pct"/>
            <w:tcBorders>
              <w:top w:val="nil"/>
              <w:left w:val="nil"/>
              <w:bottom w:val="double" w:sz="6" w:space="0" w:color="1F497D"/>
              <w:right w:val="double" w:sz="6" w:space="0" w:color="1F497D"/>
            </w:tcBorders>
            <w:noWrap/>
            <w:vAlign w:val="center"/>
            <w:hideMark/>
          </w:tcPr>
          <w:p w14:paraId="3A11DC63" w14:textId="77777777" w:rsidR="00B15F7D" w:rsidRPr="00990FB6" w:rsidRDefault="00B15F7D" w:rsidP="00B15F7D">
            <w:pPr>
              <w:jc w:val="center"/>
              <w:rPr>
                <w:sz w:val="22"/>
                <w:szCs w:val="22"/>
                <w:lang w:eastAsia="es-CR"/>
              </w:rPr>
            </w:pPr>
            <w:r w:rsidRPr="00990FB6">
              <w:rPr>
                <w:sz w:val="22"/>
                <w:szCs w:val="22"/>
                <w:lang w:eastAsia="es-CR"/>
              </w:rPr>
              <w:t>₡164 474, 79</w:t>
            </w:r>
          </w:p>
        </w:tc>
        <w:tc>
          <w:tcPr>
            <w:tcW w:w="615" w:type="pct"/>
            <w:tcBorders>
              <w:top w:val="nil"/>
              <w:left w:val="nil"/>
              <w:bottom w:val="double" w:sz="6" w:space="0" w:color="1F497D"/>
              <w:right w:val="double" w:sz="6" w:space="0" w:color="1F497D"/>
            </w:tcBorders>
            <w:noWrap/>
            <w:vAlign w:val="center"/>
            <w:hideMark/>
          </w:tcPr>
          <w:p w14:paraId="5A40A4A5" w14:textId="77777777" w:rsidR="00B15F7D" w:rsidRPr="00990FB6" w:rsidRDefault="00B15F7D" w:rsidP="00B15F7D">
            <w:pPr>
              <w:jc w:val="center"/>
              <w:rPr>
                <w:sz w:val="22"/>
                <w:szCs w:val="22"/>
                <w:lang w:eastAsia="es-CR"/>
              </w:rPr>
            </w:pPr>
            <w:r w:rsidRPr="00990FB6">
              <w:rPr>
                <w:sz w:val="22"/>
                <w:szCs w:val="22"/>
                <w:lang w:eastAsia="es-CR"/>
              </w:rPr>
              <w:t>₡164 474, 79</w:t>
            </w:r>
          </w:p>
        </w:tc>
        <w:tc>
          <w:tcPr>
            <w:tcW w:w="596" w:type="pct"/>
            <w:tcBorders>
              <w:top w:val="nil"/>
              <w:left w:val="nil"/>
              <w:bottom w:val="double" w:sz="6" w:space="0" w:color="1F497D"/>
              <w:right w:val="double" w:sz="6" w:space="0" w:color="1F497D"/>
            </w:tcBorders>
            <w:noWrap/>
            <w:vAlign w:val="center"/>
            <w:hideMark/>
          </w:tcPr>
          <w:p w14:paraId="7CF9303E" w14:textId="77777777" w:rsidR="00B15F7D" w:rsidRPr="00990FB6" w:rsidRDefault="00B15F7D" w:rsidP="00B15F7D">
            <w:pPr>
              <w:jc w:val="center"/>
              <w:rPr>
                <w:sz w:val="22"/>
                <w:szCs w:val="22"/>
                <w:lang w:eastAsia="es-CR"/>
              </w:rPr>
            </w:pPr>
            <w:r w:rsidRPr="00990FB6">
              <w:rPr>
                <w:sz w:val="22"/>
                <w:szCs w:val="22"/>
                <w:lang w:eastAsia="es-CR"/>
              </w:rPr>
              <w:t>₡164 474, 79</w:t>
            </w:r>
          </w:p>
        </w:tc>
        <w:tc>
          <w:tcPr>
            <w:tcW w:w="626" w:type="pct"/>
            <w:tcBorders>
              <w:top w:val="nil"/>
              <w:left w:val="nil"/>
              <w:bottom w:val="double" w:sz="6" w:space="0" w:color="1F497D"/>
              <w:right w:val="double" w:sz="6" w:space="0" w:color="1F497D"/>
            </w:tcBorders>
            <w:noWrap/>
            <w:vAlign w:val="center"/>
            <w:hideMark/>
          </w:tcPr>
          <w:p w14:paraId="7EBCC6B6" w14:textId="77777777" w:rsidR="00B15F7D" w:rsidRPr="00990FB6" w:rsidRDefault="00B15F7D" w:rsidP="00B15F7D">
            <w:pPr>
              <w:jc w:val="center"/>
              <w:rPr>
                <w:sz w:val="22"/>
                <w:szCs w:val="22"/>
                <w:lang w:eastAsia="es-CR"/>
              </w:rPr>
            </w:pPr>
            <w:r w:rsidRPr="00990FB6">
              <w:rPr>
                <w:sz w:val="22"/>
                <w:szCs w:val="22"/>
                <w:lang w:eastAsia="es-CR"/>
              </w:rPr>
              <w:t>₡164 474, 79</w:t>
            </w:r>
          </w:p>
        </w:tc>
        <w:tc>
          <w:tcPr>
            <w:tcW w:w="626" w:type="pct"/>
            <w:tcBorders>
              <w:top w:val="nil"/>
              <w:left w:val="nil"/>
              <w:bottom w:val="double" w:sz="6" w:space="0" w:color="1F497D"/>
              <w:right w:val="double" w:sz="6" w:space="0" w:color="1F497D"/>
            </w:tcBorders>
            <w:noWrap/>
            <w:vAlign w:val="center"/>
            <w:hideMark/>
          </w:tcPr>
          <w:p w14:paraId="2B202EA0" w14:textId="77777777" w:rsidR="00B15F7D" w:rsidRPr="00990FB6" w:rsidRDefault="00B15F7D" w:rsidP="00B15F7D">
            <w:pPr>
              <w:jc w:val="center"/>
              <w:rPr>
                <w:sz w:val="22"/>
                <w:szCs w:val="22"/>
                <w:lang w:eastAsia="es-CR"/>
              </w:rPr>
            </w:pPr>
            <w:r w:rsidRPr="00990FB6">
              <w:rPr>
                <w:sz w:val="22"/>
                <w:szCs w:val="22"/>
                <w:lang w:eastAsia="es-CR"/>
              </w:rPr>
              <w:t>₡164 474, 79</w:t>
            </w:r>
          </w:p>
        </w:tc>
        <w:tc>
          <w:tcPr>
            <w:tcW w:w="605" w:type="pct"/>
            <w:tcBorders>
              <w:top w:val="nil"/>
              <w:left w:val="nil"/>
              <w:bottom w:val="double" w:sz="6" w:space="0" w:color="1F497D"/>
              <w:right w:val="double" w:sz="6" w:space="0" w:color="1F497D"/>
            </w:tcBorders>
            <w:noWrap/>
            <w:vAlign w:val="center"/>
            <w:hideMark/>
          </w:tcPr>
          <w:p w14:paraId="0CA9895E" w14:textId="77777777" w:rsidR="00B15F7D" w:rsidRPr="00990FB6" w:rsidRDefault="00B15F7D" w:rsidP="00B15F7D">
            <w:pPr>
              <w:jc w:val="center"/>
              <w:rPr>
                <w:sz w:val="22"/>
                <w:szCs w:val="22"/>
                <w:lang w:eastAsia="es-CR"/>
              </w:rPr>
            </w:pPr>
            <w:r w:rsidRPr="00990FB6">
              <w:rPr>
                <w:sz w:val="22"/>
                <w:szCs w:val="22"/>
                <w:lang w:eastAsia="es-CR"/>
              </w:rPr>
              <w:t>₡164 474, 79</w:t>
            </w:r>
          </w:p>
        </w:tc>
        <w:tc>
          <w:tcPr>
            <w:tcW w:w="647" w:type="pct"/>
            <w:tcBorders>
              <w:top w:val="nil"/>
              <w:left w:val="nil"/>
              <w:bottom w:val="double" w:sz="6" w:space="0" w:color="1F497D"/>
              <w:right w:val="double" w:sz="6" w:space="0" w:color="1F497D"/>
            </w:tcBorders>
            <w:noWrap/>
            <w:vAlign w:val="center"/>
            <w:hideMark/>
          </w:tcPr>
          <w:p w14:paraId="5F079B6F" w14:textId="77777777" w:rsidR="00B15F7D" w:rsidRPr="00990FB6" w:rsidRDefault="00B15F7D" w:rsidP="00B15F7D">
            <w:pPr>
              <w:jc w:val="center"/>
              <w:rPr>
                <w:sz w:val="22"/>
                <w:szCs w:val="22"/>
                <w:lang w:eastAsia="es-CR"/>
              </w:rPr>
            </w:pPr>
            <w:r w:rsidRPr="00990FB6">
              <w:rPr>
                <w:sz w:val="22"/>
                <w:szCs w:val="22"/>
                <w:lang w:eastAsia="es-CR"/>
              </w:rPr>
              <w:t>₡986 848,74</w:t>
            </w:r>
          </w:p>
        </w:tc>
      </w:tr>
      <w:tr w:rsidR="00B15F7D" w:rsidRPr="00990FB6" w14:paraId="416B1E83"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397863CE" w14:textId="77777777" w:rsidR="00B15F7D" w:rsidRPr="00990FB6" w:rsidRDefault="00B15F7D" w:rsidP="00B15F7D">
            <w:pPr>
              <w:rPr>
                <w:sz w:val="22"/>
                <w:szCs w:val="22"/>
                <w:lang w:eastAsia="es-CR"/>
              </w:rPr>
            </w:pPr>
            <w:r w:rsidRPr="00990FB6">
              <w:rPr>
                <w:sz w:val="22"/>
                <w:szCs w:val="22"/>
                <w:lang w:eastAsia="es-CR"/>
              </w:rPr>
              <w:t xml:space="preserve">Dispositivo de Peaje Electrónico (Quick </w:t>
            </w:r>
            <w:proofErr w:type="spellStart"/>
            <w:r w:rsidRPr="00990FB6">
              <w:rPr>
                <w:sz w:val="22"/>
                <w:szCs w:val="22"/>
                <w:lang w:eastAsia="es-CR"/>
              </w:rPr>
              <w:t>pass</w:t>
            </w:r>
            <w:proofErr w:type="spellEnd"/>
            <w:r w:rsidRPr="00990FB6">
              <w:rPr>
                <w:sz w:val="22"/>
                <w:szCs w:val="22"/>
                <w:lang w:eastAsia="es-CR"/>
              </w:rPr>
              <w:t>)</w:t>
            </w:r>
          </w:p>
        </w:tc>
        <w:tc>
          <w:tcPr>
            <w:tcW w:w="614" w:type="pct"/>
            <w:tcBorders>
              <w:top w:val="nil"/>
              <w:left w:val="nil"/>
              <w:bottom w:val="double" w:sz="6" w:space="0" w:color="1F497D"/>
              <w:right w:val="double" w:sz="6" w:space="0" w:color="1F497D"/>
            </w:tcBorders>
            <w:noWrap/>
            <w:vAlign w:val="center"/>
            <w:hideMark/>
          </w:tcPr>
          <w:p w14:paraId="5A999766" w14:textId="77777777" w:rsidR="00B15F7D" w:rsidRPr="00990FB6" w:rsidRDefault="00B15F7D" w:rsidP="00B15F7D">
            <w:pPr>
              <w:jc w:val="center"/>
              <w:rPr>
                <w:sz w:val="22"/>
                <w:szCs w:val="22"/>
                <w:lang w:eastAsia="es-CR"/>
              </w:rPr>
            </w:pPr>
            <w:r w:rsidRPr="00990FB6">
              <w:rPr>
                <w:sz w:val="22"/>
                <w:szCs w:val="22"/>
                <w:lang w:eastAsia="es-CR"/>
              </w:rPr>
              <w:t>₡28 250, 00</w:t>
            </w:r>
          </w:p>
        </w:tc>
        <w:tc>
          <w:tcPr>
            <w:tcW w:w="615" w:type="pct"/>
            <w:tcBorders>
              <w:top w:val="nil"/>
              <w:left w:val="nil"/>
              <w:bottom w:val="double" w:sz="6" w:space="0" w:color="1F497D"/>
              <w:right w:val="double" w:sz="6" w:space="0" w:color="1F497D"/>
            </w:tcBorders>
            <w:noWrap/>
            <w:vAlign w:val="center"/>
            <w:hideMark/>
          </w:tcPr>
          <w:p w14:paraId="5151FB6C" w14:textId="77777777" w:rsidR="00B15F7D" w:rsidRPr="00990FB6" w:rsidRDefault="00B15F7D" w:rsidP="00B15F7D">
            <w:pPr>
              <w:jc w:val="center"/>
              <w:rPr>
                <w:sz w:val="22"/>
                <w:szCs w:val="22"/>
                <w:lang w:eastAsia="es-CR"/>
              </w:rPr>
            </w:pPr>
            <w:r w:rsidRPr="00990FB6">
              <w:rPr>
                <w:sz w:val="22"/>
                <w:szCs w:val="22"/>
                <w:lang w:eastAsia="es-CR"/>
              </w:rPr>
              <w:t>₡             -</w:t>
            </w:r>
          </w:p>
        </w:tc>
        <w:tc>
          <w:tcPr>
            <w:tcW w:w="596" w:type="pct"/>
            <w:tcBorders>
              <w:top w:val="nil"/>
              <w:left w:val="nil"/>
              <w:bottom w:val="double" w:sz="6" w:space="0" w:color="1F497D"/>
              <w:right w:val="double" w:sz="6" w:space="0" w:color="1F497D"/>
            </w:tcBorders>
            <w:noWrap/>
            <w:vAlign w:val="center"/>
            <w:hideMark/>
          </w:tcPr>
          <w:p w14:paraId="51273021" w14:textId="77777777" w:rsidR="00B15F7D" w:rsidRPr="00990FB6" w:rsidRDefault="00B15F7D" w:rsidP="00B15F7D">
            <w:pPr>
              <w:jc w:val="center"/>
              <w:rPr>
                <w:sz w:val="22"/>
                <w:szCs w:val="22"/>
                <w:lang w:eastAsia="es-CR"/>
              </w:rPr>
            </w:pPr>
            <w:r w:rsidRPr="00990FB6">
              <w:rPr>
                <w:sz w:val="22"/>
                <w:szCs w:val="22"/>
                <w:lang w:eastAsia="es-CR"/>
              </w:rPr>
              <w:t>₡28 250, 00</w:t>
            </w:r>
          </w:p>
        </w:tc>
        <w:tc>
          <w:tcPr>
            <w:tcW w:w="626" w:type="pct"/>
            <w:tcBorders>
              <w:top w:val="nil"/>
              <w:left w:val="nil"/>
              <w:bottom w:val="double" w:sz="6" w:space="0" w:color="1F497D"/>
              <w:right w:val="double" w:sz="6" w:space="0" w:color="1F497D"/>
            </w:tcBorders>
            <w:noWrap/>
            <w:vAlign w:val="center"/>
            <w:hideMark/>
          </w:tcPr>
          <w:p w14:paraId="676E5048" w14:textId="77777777" w:rsidR="00B15F7D" w:rsidRPr="00990FB6" w:rsidRDefault="00B15F7D" w:rsidP="00B15F7D">
            <w:pPr>
              <w:jc w:val="center"/>
              <w:rPr>
                <w:sz w:val="22"/>
                <w:szCs w:val="22"/>
                <w:lang w:eastAsia="es-CR"/>
              </w:rPr>
            </w:pPr>
            <w:r w:rsidRPr="00990FB6">
              <w:rPr>
                <w:sz w:val="22"/>
                <w:szCs w:val="22"/>
                <w:lang w:eastAsia="es-CR"/>
              </w:rPr>
              <w:t>₡             -</w:t>
            </w:r>
          </w:p>
        </w:tc>
        <w:tc>
          <w:tcPr>
            <w:tcW w:w="626" w:type="pct"/>
            <w:tcBorders>
              <w:top w:val="nil"/>
              <w:left w:val="nil"/>
              <w:bottom w:val="double" w:sz="6" w:space="0" w:color="1F497D"/>
              <w:right w:val="double" w:sz="6" w:space="0" w:color="1F497D"/>
            </w:tcBorders>
            <w:noWrap/>
            <w:vAlign w:val="center"/>
            <w:hideMark/>
          </w:tcPr>
          <w:p w14:paraId="0E0AC263" w14:textId="77777777" w:rsidR="00B15F7D" w:rsidRPr="00990FB6" w:rsidRDefault="00B15F7D" w:rsidP="00B15F7D">
            <w:pPr>
              <w:jc w:val="center"/>
              <w:rPr>
                <w:sz w:val="22"/>
                <w:szCs w:val="22"/>
                <w:lang w:eastAsia="es-CR"/>
              </w:rPr>
            </w:pPr>
            <w:r w:rsidRPr="00990FB6">
              <w:rPr>
                <w:sz w:val="22"/>
                <w:szCs w:val="22"/>
                <w:lang w:eastAsia="es-CR"/>
              </w:rPr>
              <w:t>₡             -</w:t>
            </w:r>
          </w:p>
        </w:tc>
        <w:tc>
          <w:tcPr>
            <w:tcW w:w="605" w:type="pct"/>
            <w:tcBorders>
              <w:top w:val="nil"/>
              <w:left w:val="nil"/>
              <w:bottom w:val="double" w:sz="6" w:space="0" w:color="1F497D"/>
              <w:right w:val="double" w:sz="6" w:space="0" w:color="1F497D"/>
            </w:tcBorders>
            <w:noWrap/>
            <w:vAlign w:val="center"/>
            <w:hideMark/>
          </w:tcPr>
          <w:p w14:paraId="4DCFF67A" w14:textId="77777777" w:rsidR="00B15F7D" w:rsidRPr="00990FB6" w:rsidRDefault="00B15F7D" w:rsidP="00B15F7D">
            <w:pPr>
              <w:jc w:val="center"/>
              <w:rPr>
                <w:sz w:val="22"/>
                <w:szCs w:val="22"/>
                <w:lang w:eastAsia="es-CR"/>
              </w:rPr>
            </w:pPr>
            <w:r w:rsidRPr="00990FB6">
              <w:rPr>
                <w:sz w:val="22"/>
                <w:szCs w:val="22"/>
                <w:lang w:eastAsia="es-CR"/>
              </w:rPr>
              <w:t>₡             -</w:t>
            </w:r>
          </w:p>
        </w:tc>
        <w:tc>
          <w:tcPr>
            <w:tcW w:w="647" w:type="pct"/>
            <w:tcBorders>
              <w:top w:val="nil"/>
              <w:left w:val="nil"/>
              <w:bottom w:val="double" w:sz="6" w:space="0" w:color="1F497D"/>
              <w:right w:val="double" w:sz="6" w:space="0" w:color="1F497D"/>
            </w:tcBorders>
            <w:noWrap/>
            <w:vAlign w:val="center"/>
            <w:hideMark/>
          </w:tcPr>
          <w:p w14:paraId="3E2F8E19" w14:textId="77777777" w:rsidR="00B15F7D" w:rsidRPr="00990FB6" w:rsidRDefault="00B15F7D" w:rsidP="00B15F7D">
            <w:pPr>
              <w:jc w:val="center"/>
              <w:rPr>
                <w:sz w:val="22"/>
                <w:szCs w:val="22"/>
                <w:lang w:eastAsia="es-CR"/>
              </w:rPr>
            </w:pPr>
            <w:r w:rsidRPr="00990FB6">
              <w:rPr>
                <w:sz w:val="22"/>
                <w:szCs w:val="22"/>
                <w:lang w:eastAsia="es-CR"/>
              </w:rPr>
              <w:t>₡56 500,00</w:t>
            </w:r>
          </w:p>
        </w:tc>
      </w:tr>
      <w:tr w:rsidR="00B15F7D" w:rsidRPr="00990FB6" w14:paraId="5AB8C1FF"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457E61BB" w14:textId="77777777" w:rsidR="00B15F7D" w:rsidRPr="00990FB6" w:rsidRDefault="00B15F7D" w:rsidP="00B15F7D">
            <w:pPr>
              <w:rPr>
                <w:sz w:val="22"/>
                <w:szCs w:val="22"/>
                <w:lang w:eastAsia="es-CR"/>
              </w:rPr>
            </w:pPr>
            <w:r w:rsidRPr="00990FB6">
              <w:rPr>
                <w:sz w:val="22"/>
                <w:szCs w:val="22"/>
                <w:lang w:eastAsia="es-CR"/>
              </w:rPr>
              <w:t>Mantenimiento Dispositivo para Peaje Automático (Quick Pass) (b)</w:t>
            </w:r>
          </w:p>
        </w:tc>
        <w:tc>
          <w:tcPr>
            <w:tcW w:w="614" w:type="pct"/>
            <w:tcBorders>
              <w:top w:val="nil"/>
              <w:left w:val="nil"/>
              <w:bottom w:val="double" w:sz="6" w:space="0" w:color="1F497D"/>
              <w:right w:val="double" w:sz="6" w:space="0" w:color="1F497D"/>
            </w:tcBorders>
            <w:noWrap/>
            <w:vAlign w:val="center"/>
            <w:hideMark/>
          </w:tcPr>
          <w:p w14:paraId="1C780A1E" w14:textId="77777777" w:rsidR="00B15F7D" w:rsidRPr="00990FB6" w:rsidRDefault="00B15F7D" w:rsidP="00B15F7D">
            <w:pPr>
              <w:jc w:val="center"/>
              <w:rPr>
                <w:sz w:val="22"/>
                <w:szCs w:val="22"/>
                <w:lang w:eastAsia="es-CR"/>
              </w:rPr>
            </w:pPr>
            <w:r w:rsidRPr="00990FB6">
              <w:rPr>
                <w:sz w:val="22"/>
                <w:szCs w:val="22"/>
                <w:lang w:eastAsia="es-CR"/>
              </w:rPr>
              <w:t>₡113 000, 00</w:t>
            </w:r>
          </w:p>
        </w:tc>
        <w:tc>
          <w:tcPr>
            <w:tcW w:w="615" w:type="pct"/>
            <w:tcBorders>
              <w:top w:val="nil"/>
              <w:left w:val="nil"/>
              <w:bottom w:val="double" w:sz="6" w:space="0" w:color="1F497D"/>
              <w:right w:val="double" w:sz="6" w:space="0" w:color="1F497D"/>
            </w:tcBorders>
            <w:noWrap/>
            <w:vAlign w:val="center"/>
            <w:hideMark/>
          </w:tcPr>
          <w:p w14:paraId="4428E9CE" w14:textId="77777777" w:rsidR="00B15F7D" w:rsidRPr="00990FB6" w:rsidRDefault="00B15F7D" w:rsidP="00B15F7D">
            <w:pPr>
              <w:jc w:val="center"/>
              <w:rPr>
                <w:sz w:val="22"/>
                <w:szCs w:val="22"/>
                <w:lang w:eastAsia="es-CR"/>
              </w:rPr>
            </w:pPr>
            <w:r w:rsidRPr="00990FB6">
              <w:rPr>
                <w:sz w:val="22"/>
                <w:szCs w:val="22"/>
                <w:lang w:eastAsia="es-CR"/>
              </w:rPr>
              <w:t>₡             -</w:t>
            </w:r>
          </w:p>
        </w:tc>
        <w:tc>
          <w:tcPr>
            <w:tcW w:w="596" w:type="pct"/>
            <w:tcBorders>
              <w:top w:val="nil"/>
              <w:left w:val="nil"/>
              <w:bottom w:val="double" w:sz="6" w:space="0" w:color="1F497D"/>
              <w:right w:val="double" w:sz="6" w:space="0" w:color="1F497D"/>
            </w:tcBorders>
            <w:noWrap/>
            <w:vAlign w:val="center"/>
            <w:hideMark/>
          </w:tcPr>
          <w:p w14:paraId="709E538F" w14:textId="77777777" w:rsidR="00B15F7D" w:rsidRPr="00990FB6" w:rsidRDefault="00B15F7D" w:rsidP="00B15F7D">
            <w:pPr>
              <w:jc w:val="center"/>
              <w:rPr>
                <w:sz w:val="22"/>
                <w:szCs w:val="22"/>
                <w:lang w:eastAsia="es-CR"/>
              </w:rPr>
            </w:pPr>
            <w:r w:rsidRPr="00990FB6">
              <w:rPr>
                <w:sz w:val="22"/>
                <w:szCs w:val="22"/>
                <w:lang w:eastAsia="es-CR"/>
              </w:rPr>
              <w:t>₡56 500, 00</w:t>
            </w:r>
          </w:p>
        </w:tc>
        <w:tc>
          <w:tcPr>
            <w:tcW w:w="626" w:type="pct"/>
            <w:tcBorders>
              <w:top w:val="nil"/>
              <w:left w:val="nil"/>
              <w:bottom w:val="double" w:sz="6" w:space="0" w:color="1F497D"/>
              <w:right w:val="double" w:sz="6" w:space="0" w:color="1F497D"/>
            </w:tcBorders>
            <w:noWrap/>
            <w:vAlign w:val="center"/>
            <w:hideMark/>
          </w:tcPr>
          <w:p w14:paraId="04F878FC" w14:textId="77777777" w:rsidR="00B15F7D" w:rsidRPr="00990FB6" w:rsidRDefault="00B15F7D" w:rsidP="00B15F7D">
            <w:pPr>
              <w:jc w:val="center"/>
              <w:rPr>
                <w:sz w:val="22"/>
                <w:szCs w:val="22"/>
                <w:lang w:eastAsia="es-CR"/>
              </w:rPr>
            </w:pPr>
            <w:r w:rsidRPr="00990FB6">
              <w:rPr>
                <w:sz w:val="22"/>
                <w:szCs w:val="22"/>
                <w:lang w:eastAsia="es-CR"/>
              </w:rPr>
              <w:t>₡             -</w:t>
            </w:r>
          </w:p>
        </w:tc>
        <w:tc>
          <w:tcPr>
            <w:tcW w:w="626" w:type="pct"/>
            <w:tcBorders>
              <w:top w:val="nil"/>
              <w:left w:val="nil"/>
              <w:bottom w:val="double" w:sz="6" w:space="0" w:color="1F497D"/>
              <w:right w:val="double" w:sz="6" w:space="0" w:color="1F497D"/>
            </w:tcBorders>
            <w:noWrap/>
            <w:vAlign w:val="center"/>
            <w:hideMark/>
          </w:tcPr>
          <w:p w14:paraId="4B45FB8A" w14:textId="77777777" w:rsidR="00B15F7D" w:rsidRPr="00990FB6" w:rsidRDefault="00B15F7D" w:rsidP="00B15F7D">
            <w:pPr>
              <w:jc w:val="center"/>
              <w:rPr>
                <w:sz w:val="22"/>
                <w:szCs w:val="22"/>
                <w:lang w:eastAsia="es-CR"/>
              </w:rPr>
            </w:pPr>
            <w:r w:rsidRPr="00990FB6">
              <w:rPr>
                <w:sz w:val="22"/>
                <w:szCs w:val="22"/>
                <w:lang w:eastAsia="es-CR"/>
              </w:rPr>
              <w:t>₡             -</w:t>
            </w:r>
          </w:p>
        </w:tc>
        <w:tc>
          <w:tcPr>
            <w:tcW w:w="605" w:type="pct"/>
            <w:tcBorders>
              <w:top w:val="nil"/>
              <w:left w:val="nil"/>
              <w:bottom w:val="double" w:sz="6" w:space="0" w:color="1F497D"/>
              <w:right w:val="double" w:sz="6" w:space="0" w:color="1F497D"/>
            </w:tcBorders>
            <w:noWrap/>
            <w:vAlign w:val="center"/>
            <w:hideMark/>
          </w:tcPr>
          <w:p w14:paraId="56CFCC7A" w14:textId="77777777" w:rsidR="00B15F7D" w:rsidRPr="00990FB6" w:rsidRDefault="00B15F7D" w:rsidP="00B15F7D">
            <w:pPr>
              <w:jc w:val="center"/>
              <w:rPr>
                <w:sz w:val="22"/>
                <w:szCs w:val="22"/>
                <w:lang w:eastAsia="es-CR"/>
              </w:rPr>
            </w:pPr>
            <w:r w:rsidRPr="00990FB6">
              <w:rPr>
                <w:sz w:val="22"/>
                <w:szCs w:val="22"/>
                <w:lang w:eastAsia="es-CR"/>
              </w:rPr>
              <w:t>₡             -</w:t>
            </w:r>
          </w:p>
        </w:tc>
        <w:tc>
          <w:tcPr>
            <w:tcW w:w="647" w:type="pct"/>
            <w:tcBorders>
              <w:top w:val="nil"/>
              <w:left w:val="nil"/>
              <w:bottom w:val="double" w:sz="6" w:space="0" w:color="1F497D"/>
              <w:right w:val="double" w:sz="6" w:space="0" w:color="1F497D"/>
            </w:tcBorders>
            <w:noWrap/>
            <w:vAlign w:val="center"/>
            <w:hideMark/>
          </w:tcPr>
          <w:p w14:paraId="7CE43B02" w14:textId="77777777" w:rsidR="00B15F7D" w:rsidRPr="00990FB6" w:rsidRDefault="00B15F7D" w:rsidP="00B15F7D">
            <w:pPr>
              <w:jc w:val="center"/>
              <w:rPr>
                <w:sz w:val="22"/>
                <w:szCs w:val="22"/>
                <w:lang w:eastAsia="es-CR"/>
              </w:rPr>
            </w:pPr>
            <w:r w:rsidRPr="00990FB6">
              <w:rPr>
                <w:sz w:val="22"/>
                <w:szCs w:val="22"/>
                <w:lang w:eastAsia="es-CR"/>
              </w:rPr>
              <w:t>₡169 500,00</w:t>
            </w:r>
          </w:p>
        </w:tc>
      </w:tr>
      <w:tr w:rsidR="00B15F7D" w:rsidRPr="00990FB6" w14:paraId="7C569AB3"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7CF740A7" w14:textId="77777777" w:rsidR="00B15F7D" w:rsidRPr="00990FB6" w:rsidRDefault="00B15F7D" w:rsidP="00B15F7D">
            <w:pPr>
              <w:rPr>
                <w:sz w:val="22"/>
                <w:szCs w:val="22"/>
                <w:lang w:eastAsia="es-CR"/>
              </w:rPr>
            </w:pPr>
            <w:r w:rsidRPr="00990FB6">
              <w:rPr>
                <w:sz w:val="22"/>
                <w:szCs w:val="22"/>
                <w:lang w:eastAsia="es-CR"/>
              </w:rPr>
              <w:t>Transporte Dentro del País</w:t>
            </w:r>
          </w:p>
        </w:tc>
        <w:tc>
          <w:tcPr>
            <w:tcW w:w="614" w:type="pct"/>
            <w:tcBorders>
              <w:top w:val="nil"/>
              <w:left w:val="nil"/>
              <w:bottom w:val="double" w:sz="6" w:space="0" w:color="1F497D"/>
              <w:right w:val="double" w:sz="6" w:space="0" w:color="1F497D"/>
            </w:tcBorders>
            <w:noWrap/>
            <w:vAlign w:val="center"/>
            <w:hideMark/>
          </w:tcPr>
          <w:p w14:paraId="347851E3" w14:textId="77777777" w:rsidR="00B15F7D" w:rsidRPr="00990FB6" w:rsidRDefault="00B15F7D" w:rsidP="00B15F7D">
            <w:pPr>
              <w:jc w:val="center"/>
              <w:rPr>
                <w:sz w:val="22"/>
                <w:szCs w:val="22"/>
                <w:lang w:eastAsia="es-CR"/>
              </w:rPr>
            </w:pPr>
            <w:r w:rsidRPr="00990FB6">
              <w:rPr>
                <w:sz w:val="22"/>
                <w:szCs w:val="22"/>
                <w:lang w:eastAsia="es-CR"/>
              </w:rPr>
              <w:t>₡28 250, 00</w:t>
            </w:r>
          </w:p>
        </w:tc>
        <w:tc>
          <w:tcPr>
            <w:tcW w:w="615" w:type="pct"/>
            <w:tcBorders>
              <w:top w:val="nil"/>
              <w:left w:val="nil"/>
              <w:bottom w:val="double" w:sz="6" w:space="0" w:color="1F497D"/>
              <w:right w:val="double" w:sz="6" w:space="0" w:color="1F497D"/>
            </w:tcBorders>
            <w:noWrap/>
            <w:vAlign w:val="center"/>
            <w:hideMark/>
          </w:tcPr>
          <w:p w14:paraId="06EA37D4" w14:textId="77777777" w:rsidR="00B15F7D" w:rsidRPr="00990FB6" w:rsidRDefault="00B15F7D" w:rsidP="00B15F7D">
            <w:pPr>
              <w:jc w:val="center"/>
              <w:rPr>
                <w:sz w:val="22"/>
                <w:szCs w:val="22"/>
                <w:lang w:eastAsia="es-CR"/>
              </w:rPr>
            </w:pPr>
            <w:r w:rsidRPr="00990FB6">
              <w:rPr>
                <w:sz w:val="22"/>
                <w:szCs w:val="22"/>
                <w:lang w:eastAsia="es-CR"/>
              </w:rPr>
              <w:t>₡             -</w:t>
            </w:r>
          </w:p>
        </w:tc>
        <w:tc>
          <w:tcPr>
            <w:tcW w:w="596" w:type="pct"/>
            <w:tcBorders>
              <w:top w:val="nil"/>
              <w:left w:val="nil"/>
              <w:bottom w:val="double" w:sz="6" w:space="0" w:color="1F497D"/>
              <w:right w:val="double" w:sz="6" w:space="0" w:color="1F497D"/>
            </w:tcBorders>
            <w:noWrap/>
            <w:vAlign w:val="center"/>
            <w:hideMark/>
          </w:tcPr>
          <w:p w14:paraId="626C62A1" w14:textId="77777777" w:rsidR="00B15F7D" w:rsidRPr="00990FB6" w:rsidRDefault="00B15F7D" w:rsidP="00B15F7D">
            <w:pPr>
              <w:jc w:val="center"/>
              <w:rPr>
                <w:sz w:val="22"/>
                <w:szCs w:val="22"/>
                <w:lang w:eastAsia="es-CR"/>
              </w:rPr>
            </w:pPr>
            <w:r w:rsidRPr="00990FB6">
              <w:rPr>
                <w:sz w:val="22"/>
                <w:szCs w:val="22"/>
                <w:lang w:eastAsia="es-CR"/>
              </w:rPr>
              <w:t>₡28 250, 00</w:t>
            </w:r>
          </w:p>
        </w:tc>
        <w:tc>
          <w:tcPr>
            <w:tcW w:w="626" w:type="pct"/>
            <w:tcBorders>
              <w:top w:val="nil"/>
              <w:left w:val="nil"/>
              <w:bottom w:val="double" w:sz="6" w:space="0" w:color="1F497D"/>
              <w:right w:val="double" w:sz="6" w:space="0" w:color="1F497D"/>
            </w:tcBorders>
            <w:noWrap/>
            <w:vAlign w:val="center"/>
            <w:hideMark/>
          </w:tcPr>
          <w:p w14:paraId="7310B78A" w14:textId="77777777" w:rsidR="00B15F7D" w:rsidRPr="00990FB6" w:rsidRDefault="00B15F7D" w:rsidP="00B15F7D">
            <w:pPr>
              <w:jc w:val="center"/>
              <w:rPr>
                <w:sz w:val="22"/>
                <w:szCs w:val="22"/>
                <w:lang w:eastAsia="es-CR"/>
              </w:rPr>
            </w:pPr>
            <w:r w:rsidRPr="00990FB6">
              <w:rPr>
                <w:sz w:val="22"/>
                <w:szCs w:val="22"/>
                <w:lang w:eastAsia="es-CR"/>
              </w:rPr>
              <w:t>₡             -</w:t>
            </w:r>
          </w:p>
        </w:tc>
        <w:tc>
          <w:tcPr>
            <w:tcW w:w="626" w:type="pct"/>
            <w:tcBorders>
              <w:top w:val="nil"/>
              <w:left w:val="nil"/>
              <w:bottom w:val="double" w:sz="6" w:space="0" w:color="1F497D"/>
              <w:right w:val="double" w:sz="6" w:space="0" w:color="1F497D"/>
            </w:tcBorders>
            <w:noWrap/>
            <w:vAlign w:val="center"/>
            <w:hideMark/>
          </w:tcPr>
          <w:p w14:paraId="635E2F67" w14:textId="77777777" w:rsidR="00B15F7D" w:rsidRPr="00990FB6" w:rsidRDefault="00B15F7D" w:rsidP="00B15F7D">
            <w:pPr>
              <w:jc w:val="center"/>
              <w:rPr>
                <w:sz w:val="22"/>
                <w:szCs w:val="22"/>
                <w:lang w:eastAsia="es-CR"/>
              </w:rPr>
            </w:pPr>
            <w:r w:rsidRPr="00990FB6">
              <w:rPr>
                <w:sz w:val="22"/>
                <w:szCs w:val="22"/>
                <w:lang w:eastAsia="es-CR"/>
              </w:rPr>
              <w:t>₡             -</w:t>
            </w:r>
          </w:p>
        </w:tc>
        <w:tc>
          <w:tcPr>
            <w:tcW w:w="605" w:type="pct"/>
            <w:tcBorders>
              <w:top w:val="nil"/>
              <w:left w:val="nil"/>
              <w:bottom w:val="double" w:sz="6" w:space="0" w:color="1F497D"/>
              <w:right w:val="double" w:sz="6" w:space="0" w:color="1F497D"/>
            </w:tcBorders>
            <w:noWrap/>
            <w:vAlign w:val="center"/>
            <w:hideMark/>
          </w:tcPr>
          <w:p w14:paraId="2F4D6F71" w14:textId="77777777" w:rsidR="00B15F7D" w:rsidRPr="00990FB6" w:rsidRDefault="00B15F7D" w:rsidP="00B15F7D">
            <w:pPr>
              <w:jc w:val="center"/>
              <w:rPr>
                <w:sz w:val="22"/>
                <w:szCs w:val="22"/>
                <w:lang w:eastAsia="es-CR"/>
              </w:rPr>
            </w:pPr>
            <w:r w:rsidRPr="00990FB6">
              <w:rPr>
                <w:sz w:val="22"/>
                <w:szCs w:val="22"/>
                <w:lang w:eastAsia="es-CR"/>
              </w:rPr>
              <w:t>₡             -</w:t>
            </w:r>
          </w:p>
        </w:tc>
        <w:tc>
          <w:tcPr>
            <w:tcW w:w="647" w:type="pct"/>
            <w:tcBorders>
              <w:top w:val="nil"/>
              <w:left w:val="nil"/>
              <w:bottom w:val="double" w:sz="6" w:space="0" w:color="1F497D"/>
              <w:right w:val="double" w:sz="6" w:space="0" w:color="1F497D"/>
            </w:tcBorders>
            <w:noWrap/>
            <w:vAlign w:val="center"/>
            <w:hideMark/>
          </w:tcPr>
          <w:p w14:paraId="48B9008A" w14:textId="77777777" w:rsidR="00B15F7D" w:rsidRPr="00990FB6" w:rsidRDefault="00B15F7D" w:rsidP="00B15F7D">
            <w:pPr>
              <w:jc w:val="center"/>
              <w:rPr>
                <w:sz w:val="22"/>
                <w:szCs w:val="22"/>
                <w:lang w:eastAsia="es-CR"/>
              </w:rPr>
            </w:pPr>
            <w:r w:rsidRPr="00990FB6">
              <w:rPr>
                <w:sz w:val="22"/>
                <w:szCs w:val="22"/>
                <w:lang w:eastAsia="es-CR"/>
              </w:rPr>
              <w:t>₡56 500,00</w:t>
            </w:r>
          </w:p>
        </w:tc>
      </w:tr>
      <w:tr w:rsidR="00B15F7D" w:rsidRPr="00990FB6" w14:paraId="0D334030"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2179CCCD" w14:textId="77777777" w:rsidR="00B15F7D" w:rsidRPr="00990FB6" w:rsidRDefault="00B15F7D" w:rsidP="00B15F7D">
            <w:pPr>
              <w:rPr>
                <w:sz w:val="22"/>
                <w:szCs w:val="22"/>
                <w:lang w:eastAsia="es-CR"/>
              </w:rPr>
            </w:pPr>
            <w:r w:rsidRPr="00990FB6">
              <w:rPr>
                <w:sz w:val="22"/>
                <w:szCs w:val="22"/>
                <w:lang w:eastAsia="es-CR"/>
              </w:rPr>
              <w:t xml:space="preserve">Cubre asientos </w:t>
            </w:r>
            <w:r w:rsidRPr="00990FB6">
              <w:rPr>
                <w:sz w:val="22"/>
                <w:szCs w:val="22"/>
                <w:lang w:eastAsia="es-CR"/>
              </w:rPr>
              <w:lastRenderedPageBreak/>
              <w:t>para automóvil</w:t>
            </w:r>
          </w:p>
        </w:tc>
        <w:tc>
          <w:tcPr>
            <w:tcW w:w="614" w:type="pct"/>
            <w:tcBorders>
              <w:top w:val="nil"/>
              <w:left w:val="nil"/>
              <w:bottom w:val="double" w:sz="6" w:space="0" w:color="1F497D"/>
              <w:right w:val="double" w:sz="6" w:space="0" w:color="1F497D"/>
            </w:tcBorders>
            <w:noWrap/>
            <w:vAlign w:val="center"/>
            <w:hideMark/>
          </w:tcPr>
          <w:p w14:paraId="58B28D0B" w14:textId="77777777" w:rsidR="00B15F7D" w:rsidRPr="00990FB6" w:rsidRDefault="00B15F7D" w:rsidP="00B15F7D">
            <w:pPr>
              <w:jc w:val="center"/>
              <w:rPr>
                <w:sz w:val="22"/>
                <w:szCs w:val="22"/>
                <w:lang w:eastAsia="es-CR"/>
              </w:rPr>
            </w:pPr>
            <w:r w:rsidRPr="00990FB6">
              <w:rPr>
                <w:sz w:val="22"/>
                <w:szCs w:val="22"/>
                <w:lang w:eastAsia="es-CR"/>
              </w:rPr>
              <w:lastRenderedPageBreak/>
              <w:t>₡100 000, 00</w:t>
            </w:r>
          </w:p>
        </w:tc>
        <w:tc>
          <w:tcPr>
            <w:tcW w:w="615" w:type="pct"/>
            <w:tcBorders>
              <w:top w:val="nil"/>
              <w:left w:val="nil"/>
              <w:bottom w:val="double" w:sz="6" w:space="0" w:color="1F497D"/>
              <w:right w:val="double" w:sz="6" w:space="0" w:color="1F497D"/>
            </w:tcBorders>
            <w:noWrap/>
            <w:vAlign w:val="center"/>
            <w:hideMark/>
          </w:tcPr>
          <w:p w14:paraId="54D9BE27" w14:textId="77777777" w:rsidR="00B15F7D" w:rsidRPr="00990FB6" w:rsidRDefault="00B15F7D" w:rsidP="00B15F7D">
            <w:pPr>
              <w:jc w:val="center"/>
              <w:rPr>
                <w:sz w:val="22"/>
                <w:szCs w:val="22"/>
                <w:lang w:eastAsia="es-CR"/>
              </w:rPr>
            </w:pPr>
            <w:r w:rsidRPr="00990FB6">
              <w:rPr>
                <w:sz w:val="22"/>
                <w:szCs w:val="22"/>
                <w:lang w:eastAsia="es-CR"/>
              </w:rPr>
              <w:t>₡100 000, 00</w:t>
            </w:r>
          </w:p>
        </w:tc>
        <w:tc>
          <w:tcPr>
            <w:tcW w:w="596" w:type="pct"/>
            <w:tcBorders>
              <w:top w:val="nil"/>
              <w:left w:val="nil"/>
              <w:bottom w:val="double" w:sz="6" w:space="0" w:color="1F497D"/>
              <w:right w:val="double" w:sz="6" w:space="0" w:color="1F497D"/>
            </w:tcBorders>
            <w:noWrap/>
            <w:vAlign w:val="center"/>
            <w:hideMark/>
          </w:tcPr>
          <w:p w14:paraId="4060D23B" w14:textId="77777777" w:rsidR="00B15F7D" w:rsidRPr="00990FB6" w:rsidRDefault="00B15F7D" w:rsidP="00B15F7D">
            <w:pPr>
              <w:jc w:val="center"/>
              <w:rPr>
                <w:sz w:val="22"/>
                <w:szCs w:val="22"/>
                <w:lang w:eastAsia="es-CR"/>
              </w:rPr>
            </w:pPr>
            <w:r w:rsidRPr="00990FB6">
              <w:rPr>
                <w:sz w:val="22"/>
                <w:szCs w:val="22"/>
                <w:lang w:eastAsia="es-CR"/>
              </w:rPr>
              <w:t>₡100 000, 00</w:t>
            </w:r>
          </w:p>
        </w:tc>
        <w:tc>
          <w:tcPr>
            <w:tcW w:w="626" w:type="pct"/>
            <w:tcBorders>
              <w:top w:val="nil"/>
              <w:left w:val="nil"/>
              <w:bottom w:val="double" w:sz="6" w:space="0" w:color="1F497D"/>
              <w:right w:val="double" w:sz="6" w:space="0" w:color="1F497D"/>
            </w:tcBorders>
            <w:noWrap/>
            <w:vAlign w:val="center"/>
            <w:hideMark/>
          </w:tcPr>
          <w:p w14:paraId="5D6E0922" w14:textId="77777777" w:rsidR="00B15F7D" w:rsidRPr="00990FB6" w:rsidRDefault="00B15F7D" w:rsidP="00B15F7D">
            <w:pPr>
              <w:jc w:val="center"/>
              <w:rPr>
                <w:sz w:val="22"/>
                <w:szCs w:val="22"/>
                <w:lang w:eastAsia="es-CR"/>
              </w:rPr>
            </w:pPr>
            <w:r w:rsidRPr="00990FB6">
              <w:rPr>
                <w:sz w:val="22"/>
                <w:szCs w:val="22"/>
                <w:lang w:eastAsia="es-CR"/>
              </w:rPr>
              <w:t>₡100 000, 00</w:t>
            </w:r>
          </w:p>
        </w:tc>
        <w:tc>
          <w:tcPr>
            <w:tcW w:w="626" w:type="pct"/>
            <w:tcBorders>
              <w:top w:val="nil"/>
              <w:left w:val="nil"/>
              <w:bottom w:val="double" w:sz="6" w:space="0" w:color="1F497D"/>
              <w:right w:val="double" w:sz="6" w:space="0" w:color="1F497D"/>
            </w:tcBorders>
            <w:noWrap/>
            <w:vAlign w:val="center"/>
            <w:hideMark/>
          </w:tcPr>
          <w:p w14:paraId="6161462D" w14:textId="77777777" w:rsidR="00B15F7D" w:rsidRPr="00990FB6" w:rsidRDefault="00B15F7D" w:rsidP="00B15F7D">
            <w:pPr>
              <w:jc w:val="center"/>
              <w:rPr>
                <w:sz w:val="22"/>
                <w:szCs w:val="22"/>
                <w:lang w:eastAsia="es-CR"/>
              </w:rPr>
            </w:pPr>
            <w:r w:rsidRPr="00990FB6">
              <w:rPr>
                <w:sz w:val="22"/>
                <w:szCs w:val="22"/>
                <w:lang w:eastAsia="es-CR"/>
              </w:rPr>
              <w:t>₡100 000, 00</w:t>
            </w:r>
          </w:p>
        </w:tc>
        <w:tc>
          <w:tcPr>
            <w:tcW w:w="605" w:type="pct"/>
            <w:tcBorders>
              <w:top w:val="nil"/>
              <w:left w:val="nil"/>
              <w:bottom w:val="double" w:sz="6" w:space="0" w:color="1F497D"/>
              <w:right w:val="double" w:sz="6" w:space="0" w:color="1F497D"/>
            </w:tcBorders>
            <w:noWrap/>
            <w:vAlign w:val="center"/>
            <w:hideMark/>
          </w:tcPr>
          <w:p w14:paraId="6BCE0A9B" w14:textId="77777777" w:rsidR="00B15F7D" w:rsidRPr="00990FB6" w:rsidRDefault="00B15F7D" w:rsidP="00B15F7D">
            <w:pPr>
              <w:jc w:val="center"/>
              <w:rPr>
                <w:sz w:val="22"/>
                <w:szCs w:val="22"/>
                <w:lang w:eastAsia="es-CR"/>
              </w:rPr>
            </w:pPr>
            <w:r w:rsidRPr="00990FB6">
              <w:rPr>
                <w:sz w:val="22"/>
                <w:szCs w:val="22"/>
                <w:lang w:eastAsia="es-CR"/>
              </w:rPr>
              <w:t>₡100 000, 00</w:t>
            </w:r>
          </w:p>
        </w:tc>
        <w:tc>
          <w:tcPr>
            <w:tcW w:w="647" w:type="pct"/>
            <w:tcBorders>
              <w:top w:val="nil"/>
              <w:left w:val="nil"/>
              <w:bottom w:val="double" w:sz="6" w:space="0" w:color="1F497D"/>
              <w:right w:val="double" w:sz="6" w:space="0" w:color="1F497D"/>
            </w:tcBorders>
            <w:noWrap/>
            <w:vAlign w:val="center"/>
            <w:hideMark/>
          </w:tcPr>
          <w:p w14:paraId="5A79C97A" w14:textId="77777777" w:rsidR="00B15F7D" w:rsidRPr="00990FB6" w:rsidRDefault="00B15F7D" w:rsidP="00B15F7D">
            <w:pPr>
              <w:jc w:val="center"/>
              <w:rPr>
                <w:sz w:val="22"/>
                <w:szCs w:val="22"/>
                <w:lang w:eastAsia="es-CR"/>
              </w:rPr>
            </w:pPr>
            <w:r w:rsidRPr="00990FB6">
              <w:rPr>
                <w:sz w:val="22"/>
                <w:szCs w:val="22"/>
                <w:lang w:eastAsia="es-CR"/>
              </w:rPr>
              <w:t>₡600 000,00</w:t>
            </w:r>
          </w:p>
        </w:tc>
      </w:tr>
      <w:tr w:rsidR="00B15F7D" w:rsidRPr="00990FB6" w14:paraId="4C8F1EF6" w14:textId="77777777" w:rsidTr="000A0C22">
        <w:trPr>
          <w:trHeight w:val="441"/>
        </w:trPr>
        <w:tc>
          <w:tcPr>
            <w:tcW w:w="671" w:type="pct"/>
            <w:tcBorders>
              <w:top w:val="nil"/>
              <w:left w:val="double" w:sz="6" w:space="0" w:color="1F497D"/>
              <w:bottom w:val="double" w:sz="6" w:space="0" w:color="1F497D"/>
              <w:right w:val="double" w:sz="6" w:space="0" w:color="1F497D"/>
            </w:tcBorders>
            <w:shd w:val="clear" w:color="auto" w:fill="FFFFFF"/>
            <w:vAlign w:val="center"/>
            <w:hideMark/>
          </w:tcPr>
          <w:p w14:paraId="02323660" w14:textId="77777777" w:rsidR="00B15F7D" w:rsidRPr="00990FB6" w:rsidRDefault="00B15F7D" w:rsidP="00B15F7D">
            <w:pPr>
              <w:rPr>
                <w:sz w:val="22"/>
                <w:szCs w:val="22"/>
                <w:lang w:eastAsia="es-CR"/>
              </w:rPr>
            </w:pPr>
            <w:r w:rsidRPr="00990FB6">
              <w:rPr>
                <w:sz w:val="22"/>
                <w:szCs w:val="22"/>
                <w:lang w:eastAsia="es-CR"/>
              </w:rPr>
              <w:t>Servicio de parqueo</w:t>
            </w:r>
          </w:p>
        </w:tc>
        <w:tc>
          <w:tcPr>
            <w:tcW w:w="614" w:type="pct"/>
            <w:tcBorders>
              <w:top w:val="nil"/>
              <w:left w:val="nil"/>
              <w:bottom w:val="double" w:sz="6" w:space="0" w:color="1F497D"/>
              <w:right w:val="double" w:sz="6" w:space="0" w:color="1F497D"/>
            </w:tcBorders>
            <w:noWrap/>
            <w:vAlign w:val="center"/>
            <w:hideMark/>
          </w:tcPr>
          <w:p w14:paraId="5B5CB88C" w14:textId="77777777" w:rsidR="00B15F7D" w:rsidRPr="00990FB6" w:rsidRDefault="00B15F7D" w:rsidP="00B15F7D">
            <w:pPr>
              <w:jc w:val="center"/>
              <w:rPr>
                <w:sz w:val="22"/>
                <w:szCs w:val="22"/>
                <w:lang w:eastAsia="es-CR"/>
              </w:rPr>
            </w:pPr>
            <w:r w:rsidRPr="00990FB6">
              <w:rPr>
                <w:sz w:val="22"/>
                <w:szCs w:val="22"/>
                <w:lang w:eastAsia="es-CR"/>
              </w:rPr>
              <w:t>₡             -</w:t>
            </w:r>
          </w:p>
        </w:tc>
        <w:tc>
          <w:tcPr>
            <w:tcW w:w="615" w:type="pct"/>
            <w:tcBorders>
              <w:top w:val="nil"/>
              <w:left w:val="nil"/>
              <w:bottom w:val="double" w:sz="6" w:space="0" w:color="1F497D"/>
              <w:right w:val="double" w:sz="6" w:space="0" w:color="1F497D"/>
            </w:tcBorders>
            <w:noWrap/>
            <w:vAlign w:val="center"/>
            <w:hideMark/>
          </w:tcPr>
          <w:p w14:paraId="0F20AB21" w14:textId="77777777" w:rsidR="00B15F7D" w:rsidRPr="00990FB6" w:rsidRDefault="00B15F7D" w:rsidP="00B15F7D">
            <w:pPr>
              <w:jc w:val="center"/>
              <w:rPr>
                <w:sz w:val="22"/>
                <w:szCs w:val="22"/>
                <w:lang w:eastAsia="es-CR"/>
              </w:rPr>
            </w:pPr>
            <w:r w:rsidRPr="00990FB6">
              <w:rPr>
                <w:sz w:val="22"/>
                <w:szCs w:val="22"/>
                <w:lang w:eastAsia="es-CR"/>
              </w:rPr>
              <w:t>₡             -</w:t>
            </w:r>
          </w:p>
        </w:tc>
        <w:tc>
          <w:tcPr>
            <w:tcW w:w="596" w:type="pct"/>
            <w:tcBorders>
              <w:top w:val="nil"/>
              <w:left w:val="nil"/>
              <w:bottom w:val="double" w:sz="6" w:space="0" w:color="1F497D"/>
              <w:right w:val="double" w:sz="6" w:space="0" w:color="1F497D"/>
            </w:tcBorders>
            <w:noWrap/>
            <w:vAlign w:val="center"/>
            <w:hideMark/>
          </w:tcPr>
          <w:p w14:paraId="7351DA6A" w14:textId="77777777" w:rsidR="00B15F7D" w:rsidRPr="00990FB6" w:rsidRDefault="00B15F7D" w:rsidP="00B15F7D">
            <w:pPr>
              <w:jc w:val="center"/>
              <w:rPr>
                <w:sz w:val="22"/>
                <w:szCs w:val="22"/>
                <w:lang w:eastAsia="es-CR"/>
              </w:rPr>
            </w:pPr>
            <w:r w:rsidRPr="00990FB6">
              <w:rPr>
                <w:sz w:val="22"/>
                <w:szCs w:val="22"/>
                <w:lang w:eastAsia="es-CR"/>
              </w:rPr>
              <w:t>₡             -</w:t>
            </w:r>
          </w:p>
        </w:tc>
        <w:tc>
          <w:tcPr>
            <w:tcW w:w="626" w:type="pct"/>
            <w:tcBorders>
              <w:top w:val="nil"/>
              <w:left w:val="nil"/>
              <w:bottom w:val="double" w:sz="6" w:space="0" w:color="1F497D"/>
              <w:right w:val="double" w:sz="6" w:space="0" w:color="1F497D"/>
            </w:tcBorders>
            <w:noWrap/>
            <w:vAlign w:val="center"/>
            <w:hideMark/>
          </w:tcPr>
          <w:p w14:paraId="26351503" w14:textId="77777777" w:rsidR="00B15F7D" w:rsidRPr="00990FB6" w:rsidRDefault="00B15F7D" w:rsidP="00B15F7D">
            <w:pPr>
              <w:jc w:val="center"/>
              <w:rPr>
                <w:sz w:val="22"/>
                <w:szCs w:val="22"/>
                <w:lang w:eastAsia="es-CR"/>
              </w:rPr>
            </w:pPr>
            <w:r w:rsidRPr="00990FB6">
              <w:rPr>
                <w:sz w:val="22"/>
                <w:szCs w:val="22"/>
                <w:lang w:eastAsia="es-CR"/>
              </w:rPr>
              <w:t>₡             -</w:t>
            </w:r>
          </w:p>
        </w:tc>
        <w:tc>
          <w:tcPr>
            <w:tcW w:w="626" w:type="pct"/>
            <w:tcBorders>
              <w:top w:val="nil"/>
              <w:left w:val="nil"/>
              <w:bottom w:val="double" w:sz="6" w:space="0" w:color="1F497D"/>
              <w:right w:val="double" w:sz="6" w:space="0" w:color="1F497D"/>
            </w:tcBorders>
            <w:noWrap/>
            <w:vAlign w:val="center"/>
            <w:hideMark/>
          </w:tcPr>
          <w:p w14:paraId="5D73DB58" w14:textId="77777777" w:rsidR="00B15F7D" w:rsidRPr="00990FB6" w:rsidRDefault="00B15F7D" w:rsidP="00B15F7D">
            <w:pPr>
              <w:jc w:val="center"/>
              <w:rPr>
                <w:sz w:val="22"/>
                <w:szCs w:val="22"/>
                <w:lang w:eastAsia="es-CR"/>
              </w:rPr>
            </w:pPr>
            <w:r w:rsidRPr="00990FB6">
              <w:rPr>
                <w:sz w:val="22"/>
                <w:szCs w:val="22"/>
                <w:lang w:eastAsia="es-CR"/>
              </w:rPr>
              <w:t>₡             -</w:t>
            </w:r>
          </w:p>
        </w:tc>
        <w:tc>
          <w:tcPr>
            <w:tcW w:w="605" w:type="pct"/>
            <w:tcBorders>
              <w:top w:val="nil"/>
              <w:left w:val="nil"/>
              <w:bottom w:val="double" w:sz="6" w:space="0" w:color="1F497D"/>
              <w:right w:val="double" w:sz="6" w:space="0" w:color="1F497D"/>
            </w:tcBorders>
            <w:noWrap/>
            <w:vAlign w:val="center"/>
            <w:hideMark/>
          </w:tcPr>
          <w:p w14:paraId="40B2B535" w14:textId="77777777" w:rsidR="00B15F7D" w:rsidRPr="00990FB6" w:rsidRDefault="00B15F7D" w:rsidP="00B15F7D">
            <w:pPr>
              <w:jc w:val="center"/>
              <w:rPr>
                <w:sz w:val="22"/>
                <w:szCs w:val="22"/>
                <w:lang w:eastAsia="es-CR"/>
              </w:rPr>
            </w:pPr>
            <w:r w:rsidRPr="00990FB6">
              <w:rPr>
                <w:sz w:val="22"/>
                <w:szCs w:val="22"/>
                <w:lang w:eastAsia="es-CR"/>
              </w:rPr>
              <w:t>₡             -</w:t>
            </w:r>
          </w:p>
        </w:tc>
        <w:tc>
          <w:tcPr>
            <w:tcW w:w="647" w:type="pct"/>
            <w:tcBorders>
              <w:top w:val="nil"/>
              <w:left w:val="nil"/>
              <w:bottom w:val="double" w:sz="6" w:space="0" w:color="1F497D"/>
              <w:right w:val="double" w:sz="6" w:space="0" w:color="1F497D"/>
            </w:tcBorders>
            <w:noWrap/>
            <w:vAlign w:val="center"/>
            <w:hideMark/>
          </w:tcPr>
          <w:p w14:paraId="22DE7DDC" w14:textId="77777777" w:rsidR="00B15F7D" w:rsidRPr="00990FB6" w:rsidRDefault="00B15F7D" w:rsidP="00B15F7D">
            <w:pPr>
              <w:jc w:val="center"/>
              <w:rPr>
                <w:sz w:val="22"/>
                <w:szCs w:val="22"/>
                <w:lang w:eastAsia="es-CR"/>
              </w:rPr>
            </w:pPr>
            <w:r w:rsidRPr="00990FB6">
              <w:rPr>
                <w:sz w:val="22"/>
                <w:szCs w:val="22"/>
                <w:lang w:eastAsia="es-CR"/>
              </w:rPr>
              <w:t>₡             -</w:t>
            </w:r>
          </w:p>
        </w:tc>
      </w:tr>
      <w:tr w:rsidR="00B15F7D" w:rsidRPr="00990FB6" w14:paraId="03964D4C" w14:textId="77777777" w:rsidTr="000A0C22">
        <w:trPr>
          <w:trHeight w:val="441"/>
        </w:trPr>
        <w:tc>
          <w:tcPr>
            <w:tcW w:w="671" w:type="pct"/>
            <w:tcBorders>
              <w:top w:val="nil"/>
              <w:left w:val="double" w:sz="6" w:space="0" w:color="0673A5"/>
              <w:bottom w:val="double" w:sz="6" w:space="0" w:color="0673A5"/>
              <w:right w:val="double" w:sz="6" w:space="0" w:color="0673A5"/>
            </w:tcBorders>
            <w:shd w:val="clear" w:color="auto" w:fill="DCE6F1"/>
            <w:noWrap/>
            <w:vAlign w:val="center"/>
            <w:hideMark/>
          </w:tcPr>
          <w:p w14:paraId="29A3AC7E" w14:textId="77777777" w:rsidR="00B15F7D" w:rsidRPr="00990FB6" w:rsidRDefault="00B15F7D" w:rsidP="00B15F7D">
            <w:pPr>
              <w:jc w:val="center"/>
              <w:rPr>
                <w:b/>
                <w:bCs/>
                <w:sz w:val="22"/>
                <w:szCs w:val="22"/>
                <w:lang w:eastAsia="es-CR"/>
              </w:rPr>
            </w:pPr>
            <w:proofErr w:type="spellStart"/>
            <w:r w:rsidRPr="00990FB6">
              <w:rPr>
                <w:b/>
                <w:bCs/>
                <w:sz w:val="22"/>
                <w:szCs w:val="22"/>
                <w:lang w:eastAsia="es-CR"/>
              </w:rPr>
              <w:t>Sub-total</w:t>
            </w:r>
            <w:proofErr w:type="spellEnd"/>
          </w:p>
        </w:tc>
        <w:tc>
          <w:tcPr>
            <w:tcW w:w="614" w:type="pct"/>
            <w:tcBorders>
              <w:top w:val="nil"/>
              <w:left w:val="nil"/>
              <w:bottom w:val="double" w:sz="6" w:space="0" w:color="1F497D"/>
              <w:right w:val="double" w:sz="6" w:space="0" w:color="1F497D"/>
            </w:tcBorders>
            <w:noWrap/>
            <w:vAlign w:val="center"/>
            <w:hideMark/>
          </w:tcPr>
          <w:p w14:paraId="071D318C" w14:textId="77777777" w:rsidR="00B15F7D" w:rsidRPr="00990FB6" w:rsidRDefault="00B15F7D" w:rsidP="00B15F7D">
            <w:pPr>
              <w:jc w:val="center"/>
              <w:rPr>
                <w:b/>
                <w:bCs/>
                <w:sz w:val="22"/>
                <w:szCs w:val="22"/>
                <w:lang w:eastAsia="es-CR"/>
              </w:rPr>
            </w:pPr>
            <w:r w:rsidRPr="00990FB6">
              <w:rPr>
                <w:b/>
                <w:bCs/>
                <w:sz w:val="22"/>
                <w:szCs w:val="22"/>
                <w:lang w:eastAsia="es-CR"/>
              </w:rPr>
              <w:t>₡27 951 672, 59</w:t>
            </w:r>
          </w:p>
        </w:tc>
        <w:tc>
          <w:tcPr>
            <w:tcW w:w="615" w:type="pct"/>
            <w:tcBorders>
              <w:top w:val="nil"/>
              <w:left w:val="nil"/>
              <w:bottom w:val="double" w:sz="6" w:space="0" w:color="1F497D"/>
              <w:right w:val="double" w:sz="6" w:space="0" w:color="1F497D"/>
            </w:tcBorders>
            <w:noWrap/>
            <w:vAlign w:val="center"/>
            <w:hideMark/>
          </w:tcPr>
          <w:p w14:paraId="06027E30" w14:textId="77777777" w:rsidR="00B15F7D" w:rsidRPr="00990FB6" w:rsidRDefault="00B15F7D" w:rsidP="00B15F7D">
            <w:pPr>
              <w:jc w:val="center"/>
              <w:rPr>
                <w:b/>
                <w:bCs/>
                <w:sz w:val="22"/>
                <w:szCs w:val="22"/>
                <w:lang w:eastAsia="es-CR"/>
              </w:rPr>
            </w:pPr>
            <w:r w:rsidRPr="00990FB6">
              <w:rPr>
                <w:b/>
                <w:bCs/>
                <w:sz w:val="22"/>
                <w:szCs w:val="22"/>
                <w:lang w:eastAsia="es-CR"/>
              </w:rPr>
              <w:t>₡28 021 438, 79</w:t>
            </w:r>
          </w:p>
        </w:tc>
        <w:tc>
          <w:tcPr>
            <w:tcW w:w="596" w:type="pct"/>
            <w:tcBorders>
              <w:top w:val="nil"/>
              <w:left w:val="nil"/>
              <w:bottom w:val="double" w:sz="6" w:space="0" w:color="1F497D"/>
              <w:right w:val="double" w:sz="6" w:space="0" w:color="1F497D"/>
            </w:tcBorders>
            <w:noWrap/>
            <w:vAlign w:val="center"/>
            <w:hideMark/>
          </w:tcPr>
          <w:p w14:paraId="28AF9F00" w14:textId="77777777" w:rsidR="00B15F7D" w:rsidRPr="00990FB6" w:rsidRDefault="00B15F7D" w:rsidP="00B15F7D">
            <w:pPr>
              <w:jc w:val="center"/>
              <w:rPr>
                <w:b/>
                <w:bCs/>
                <w:sz w:val="22"/>
                <w:szCs w:val="22"/>
                <w:lang w:eastAsia="es-CR"/>
              </w:rPr>
            </w:pPr>
            <w:r w:rsidRPr="00990FB6">
              <w:rPr>
                <w:b/>
                <w:bCs/>
                <w:sz w:val="22"/>
                <w:szCs w:val="22"/>
                <w:lang w:eastAsia="es-CR"/>
              </w:rPr>
              <w:t>₡26 354 914, 79</w:t>
            </w:r>
          </w:p>
        </w:tc>
        <w:tc>
          <w:tcPr>
            <w:tcW w:w="626" w:type="pct"/>
            <w:tcBorders>
              <w:top w:val="nil"/>
              <w:left w:val="nil"/>
              <w:bottom w:val="double" w:sz="6" w:space="0" w:color="1F497D"/>
              <w:right w:val="double" w:sz="6" w:space="0" w:color="1F497D"/>
            </w:tcBorders>
            <w:noWrap/>
            <w:vAlign w:val="center"/>
            <w:hideMark/>
          </w:tcPr>
          <w:p w14:paraId="7473993D" w14:textId="77777777" w:rsidR="00B15F7D" w:rsidRPr="00990FB6" w:rsidRDefault="00B15F7D" w:rsidP="00B15F7D">
            <w:pPr>
              <w:jc w:val="center"/>
              <w:rPr>
                <w:b/>
                <w:bCs/>
                <w:sz w:val="22"/>
                <w:szCs w:val="22"/>
                <w:lang w:eastAsia="es-CR"/>
              </w:rPr>
            </w:pPr>
            <w:r w:rsidRPr="00990FB6">
              <w:rPr>
                <w:b/>
                <w:bCs/>
                <w:sz w:val="22"/>
                <w:szCs w:val="22"/>
                <w:lang w:eastAsia="es-CR"/>
              </w:rPr>
              <w:t>₡26 371 864, 79</w:t>
            </w:r>
          </w:p>
        </w:tc>
        <w:tc>
          <w:tcPr>
            <w:tcW w:w="626" w:type="pct"/>
            <w:tcBorders>
              <w:top w:val="nil"/>
              <w:left w:val="nil"/>
              <w:bottom w:val="double" w:sz="6" w:space="0" w:color="1F497D"/>
              <w:right w:val="double" w:sz="6" w:space="0" w:color="1F497D"/>
            </w:tcBorders>
            <w:noWrap/>
            <w:vAlign w:val="center"/>
            <w:hideMark/>
          </w:tcPr>
          <w:p w14:paraId="11CABBFD" w14:textId="77777777" w:rsidR="00B15F7D" w:rsidRPr="00990FB6" w:rsidRDefault="00B15F7D" w:rsidP="00B15F7D">
            <w:pPr>
              <w:jc w:val="center"/>
              <w:rPr>
                <w:b/>
                <w:bCs/>
                <w:sz w:val="22"/>
                <w:szCs w:val="22"/>
                <w:lang w:eastAsia="es-CR"/>
              </w:rPr>
            </w:pPr>
            <w:r w:rsidRPr="00990FB6">
              <w:rPr>
                <w:b/>
                <w:bCs/>
                <w:sz w:val="22"/>
                <w:szCs w:val="22"/>
                <w:lang w:eastAsia="es-CR"/>
              </w:rPr>
              <w:t>₡26 659 788,79</w:t>
            </w:r>
          </w:p>
        </w:tc>
        <w:tc>
          <w:tcPr>
            <w:tcW w:w="605" w:type="pct"/>
            <w:tcBorders>
              <w:top w:val="nil"/>
              <w:left w:val="nil"/>
              <w:bottom w:val="double" w:sz="6" w:space="0" w:color="1F497D"/>
              <w:right w:val="double" w:sz="6" w:space="0" w:color="1F497D"/>
            </w:tcBorders>
            <w:noWrap/>
            <w:vAlign w:val="center"/>
            <w:hideMark/>
          </w:tcPr>
          <w:p w14:paraId="299A9215" w14:textId="77777777" w:rsidR="00B15F7D" w:rsidRPr="00990FB6" w:rsidRDefault="00B15F7D" w:rsidP="00B15F7D">
            <w:pPr>
              <w:jc w:val="center"/>
              <w:rPr>
                <w:b/>
                <w:bCs/>
                <w:sz w:val="22"/>
                <w:szCs w:val="22"/>
                <w:lang w:eastAsia="es-CR"/>
              </w:rPr>
            </w:pPr>
            <w:r w:rsidRPr="00990FB6">
              <w:rPr>
                <w:b/>
                <w:bCs/>
                <w:sz w:val="22"/>
                <w:szCs w:val="22"/>
                <w:lang w:eastAsia="es-CR"/>
              </w:rPr>
              <w:t>₡26 659 788,79</w:t>
            </w:r>
          </w:p>
        </w:tc>
        <w:tc>
          <w:tcPr>
            <w:tcW w:w="647" w:type="pct"/>
            <w:tcBorders>
              <w:top w:val="nil"/>
              <w:left w:val="nil"/>
              <w:bottom w:val="double" w:sz="6" w:space="0" w:color="1F497D"/>
              <w:right w:val="double" w:sz="6" w:space="0" w:color="1F497D"/>
            </w:tcBorders>
            <w:noWrap/>
            <w:vAlign w:val="center"/>
            <w:hideMark/>
          </w:tcPr>
          <w:p w14:paraId="29E2F9CF" w14:textId="77777777" w:rsidR="00B15F7D" w:rsidRPr="00990FB6" w:rsidRDefault="00B15F7D" w:rsidP="00B15F7D">
            <w:pPr>
              <w:jc w:val="center"/>
              <w:rPr>
                <w:b/>
                <w:bCs/>
                <w:sz w:val="22"/>
                <w:szCs w:val="22"/>
                <w:lang w:eastAsia="es-CR"/>
              </w:rPr>
            </w:pPr>
            <w:r w:rsidRPr="00990FB6">
              <w:rPr>
                <w:b/>
                <w:bCs/>
                <w:sz w:val="22"/>
                <w:szCs w:val="22"/>
                <w:lang w:eastAsia="es-CR"/>
              </w:rPr>
              <w:t>₡162 019 468,54</w:t>
            </w:r>
          </w:p>
        </w:tc>
      </w:tr>
    </w:tbl>
    <w:p w14:paraId="382020F2" w14:textId="77777777" w:rsidR="00B15F7D" w:rsidRPr="00990FB6" w:rsidRDefault="00B15F7D" w:rsidP="00B15F7D">
      <w:pPr>
        <w:ind w:left="851" w:right="851" w:firstLine="709"/>
        <w:contextualSpacing/>
        <w:jc w:val="both"/>
        <w:rPr>
          <w:bCs/>
          <w:i/>
          <w:iCs/>
          <w:caps/>
          <w:sz w:val="22"/>
          <w:szCs w:val="22"/>
          <w:lang w:eastAsia="es-ES"/>
        </w:rPr>
      </w:pPr>
      <w:r w:rsidRPr="00990FB6">
        <w:rPr>
          <w:b/>
          <w:bCs/>
          <w:i/>
          <w:iCs/>
          <w:caps/>
          <w:sz w:val="22"/>
          <w:szCs w:val="22"/>
          <w:lang w:eastAsia="es-ES"/>
        </w:rPr>
        <w:t xml:space="preserve">Fuente: Costos por Administración Regional según datos suministrados por la Dirección Ejecutiva, según actualización de costos de la reforma agraria presupuesto 2024. </w:t>
      </w:r>
    </w:p>
    <w:p w14:paraId="439CB091" w14:textId="77777777" w:rsidR="00B15F7D" w:rsidRPr="00990FB6" w:rsidRDefault="00B15F7D" w:rsidP="00B15F7D">
      <w:pPr>
        <w:ind w:left="851" w:right="851" w:firstLine="709"/>
        <w:contextualSpacing/>
        <w:jc w:val="both"/>
        <w:rPr>
          <w:b/>
          <w:bCs/>
          <w:i/>
          <w:iCs/>
          <w:caps/>
          <w:sz w:val="22"/>
          <w:szCs w:val="22"/>
          <w:lang w:eastAsia="es-ES"/>
        </w:rPr>
      </w:pPr>
    </w:p>
    <w:p w14:paraId="6D2E7D8B" w14:textId="77777777" w:rsidR="00B15F7D" w:rsidRPr="00990FB6" w:rsidRDefault="00B15F7D" w:rsidP="00B15F7D">
      <w:pPr>
        <w:ind w:left="851" w:right="851" w:firstLine="709"/>
        <w:jc w:val="both"/>
        <w:rPr>
          <w:sz w:val="22"/>
          <w:szCs w:val="22"/>
          <w:lang w:eastAsia="es-ES"/>
        </w:rPr>
      </w:pPr>
      <w:r w:rsidRPr="00990FB6">
        <w:rPr>
          <w:sz w:val="22"/>
          <w:szCs w:val="22"/>
        </w:rPr>
        <w:t>20.2 Valorar el riesgo de las situaciones de los Juzgados Agrarios, en los cuales, a diciembre del 2022, con base a las matrices de indicadores, nueve despachos obtuvieron calificación D, siete con nota E, es decir todos los despachos registran calificaciones críticas. Adicionalmente es importante indicar el crecimiento del circulante para el 2022 en comparación al 2020. Según informe 1360-PLA-MI-2021, la Jurisdicción Agraria es la que tiene el porcentaje más bajo en la efectividad de las audiencias, obteniendo un 42%, el cual se considera crítico y podría atentar contra la implementación del Código Procesal Agrario. La situación de las audiencias fue nuevamente analizada con datos a diciembre 2022, y los valores de efectividad se mantienen.</w:t>
      </w:r>
    </w:p>
    <w:p w14:paraId="2B9339A7" w14:textId="77777777" w:rsidR="00B15F7D" w:rsidRPr="00990FB6" w:rsidRDefault="00B15F7D" w:rsidP="00B15F7D">
      <w:pPr>
        <w:rPr>
          <w:bCs/>
          <w:sz w:val="22"/>
          <w:szCs w:val="22"/>
        </w:rPr>
      </w:pPr>
    </w:p>
    <w:tbl>
      <w:tblPr>
        <w:tblW w:w="5000" w:type="pct"/>
        <w:jc w:val="center"/>
        <w:tblCellMar>
          <w:left w:w="70" w:type="dxa"/>
          <w:right w:w="70" w:type="dxa"/>
        </w:tblCellMar>
        <w:tblLook w:val="04A0" w:firstRow="1" w:lastRow="0" w:firstColumn="1" w:lastColumn="0" w:noHBand="0" w:noVBand="1"/>
      </w:tblPr>
      <w:tblGrid>
        <w:gridCol w:w="1436"/>
        <w:gridCol w:w="1265"/>
        <w:gridCol w:w="1116"/>
        <w:gridCol w:w="1179"/>
        <w:gridCol w:w="3842"/>
      </w:tblGrid>
      <w:tr w:rsidR="00B15F7D" w:rsidRPr="00990FB6" w14:paraId="05B2AF32" w14:textId="77777777" w:rsidTr="000A0C22">
        <w:trPr>
          <w:trHeight w:val="405"/>
          <w:jc w:val="center"/>
        </w:trPr>
        <w:tc>
          <w:tcPr>
            <w:tcW w:w="5000" w:type="pct"/>
            <w:gridSpan w:val="5"/>
            <w:noWrap/>
            <w:vAlign w:val="center"/>
            <w:hideMark/>
          </w:tcPr>
          <w:p w14:paraId="4A1794C2" w14:textId="77777777" w:rsidR="00B15F7D" w:rsidRPr="00990FB6" w:rsidRDefault="00B15F7D" w:rsidP="00B15F7D">
            <w:pPr>
              <w:jc w:val="center"/>
              <w:rPr>
                <w:b/>
                <w:bCs/>
                <w:sz w:val="22"/>
                <w:szCs w:val="22"/>
                <w:lang w:eastAsia="es-CR"/>
              </w:rPr>
            </w:pPr>
            <w:r w:rsidRPr="00990FB6">
              <w:rPr>
                <w:b/>
                <w:bCs/>
                <w:sz w:val="22"/>
                <w:szCs w:val="22"/>
                <w:lang w:eastAsia="es-CR"/>
              </w:rPr>
              <w:t>Modelo de Análisis Integral del Circuito Judicial</w:t>
            </w:r>
          </w:p>
        </w:tc>
      </w:tr>
      <w:tr w:rsidR="00B15F7D" w:rsidRPr="00990FB6" w14:paraId="669B951C" w14:textId="77777777" w:rsidTr="000A0C22">
        <w:trPr>
          <w:trHeight w:val="405"/>
          <w:jc w:val="center"/>
        </w:trPr>
        <w:tc>
          <w:tcPr>
            <w:tcW w:w="5000" w:type="pct"/>
            <w:gridSpan w:val="5"/>
            <w:tcBorders>
              <w:top w:val="nil"/>
              <w:left w:val="nil"/>
              <w:bottom w:val="single" w:sz="4" w:space="0" w:color="auto"/>
              <w:right w:val="nil"/>
            </w:tcBorders>
            <w:noWrap/>
            <w:vAlign w:val="center"/>
            <w:hideMark/>
          </w:tcPr>
          <w:p w14:paraId="32F7C70A" w14:textId="77777777" w:rsidR="00B15F7D" w:rsidRPr="00990FB6" w:rsidRDefault="00B15F7D" w:rsidP="00B15F7D">
            <w:pPr>
              <w:jc w:val="center"/>
              <w:rPr>
                <w:b/>
                <w:bCs/>
                <w:sz w:val="22"/>
                <w:szCs w:val="22"/>
                <w:lang w:eastAsia="es-CR"/>
              </w:rPr>
            </w:pPr>
            <w:r w:rsidRPr="00990FB6">
              <w:rPr>
                <w:b/>
                <w:bCs/>
                <w:sz w:val="22"/>
                <w:szCs w:val="22"/>
                <w:lang w:eastAsia="es-CR"/>
              </w:rPr>
              <w:t>Herramienta para evaluar los resultados integralmente</w:t>
            </w:r>
          </w:p>
        </w:tc>
      </w:tr>
      <w:tr w:rsidR="00B15F7D" w:rsidRPr="00990FB6" w14:paraId="75E78865" w14:textId="77777777" w:rsidTr="000A0C22">
        <w:trPr>
          <w:trHeight w:val="840"/>
          <w:jc w:val="center"/>
        </w:trPr>
        <w:tc>
          <w:tcPr>
            <w:tcW w:w="821" w:type="pct"/>
            <w:tcBorders>
              <w:top w:val="nil"/>
              <w:left w:val="single" w:sz="4" w:space="0" w:color="auto"/>
              <w:bottom w:val="single" w:sz="4" w:space="0" w:color="auto"/>
              <w:right w:val="single" w:sz="4" w:space="0" w:color="auto"/>
            </w:tcBorders>
            <w:shd w:val="clear" w:color="auto" w:fill="D9D9D9"/>
            <w:vAlign w:val="center"/>
            <w:hideMark/>
          </w:tcPr>
          <w:p w14:paraId="79B44223" w14:textId="77777777" w:rsidR="00B15F7D" w:rsidRPr="00990FB6" w:rsidRDefault="00B15F7D" w:rsidP="00B15F7D">
            <w:pPr>
              <w:jc w:val="center"/>
              <w:rPr>
                <w:b/>
                <w:bCs/>
                <w:sz w:val="22"/>
                <w:szCs w:val="22"/>
                <w:lang w:eastAsia="es-CR"/>
              </w:rPr>
            </w:pPr>
            <w:r w:rsidRPr="00990FB6">
              <w:rPr>
                <w:b/>
                <w:bCs/>
                <w:sz w:val="22"/>
                <w:szCs w:val="22"/>
                <w:lang w:eastAsia="es-CR"/>
              </w:rPr>
              <w:t>Definición Breve</w:t>
            </w:r>
          </w:p>
        </w:tc>
        <w:tc>
          <w:tcPr>
            <w:tcW w:w="658" w:type="pct"/>
            <w:tcBorders>
              <w:top w:val="nil"/>
              <w:left w:val="nil"/>
              <w:bottom w:val="single" w:sz="4" w:space="0" w:color="auto"/>
              <w:right w:val="single" w:sz="4" w:space="0" w:color="auto"/>
            </w:tcBorders>
            <w:shd w:val="clear" w:color="auto" w:fill="D9D9D9"/>
            <w:vAlign w:val="center"/>
            <w:hideMark/>
          </w:tcPr>
          <w:p w14:paraId="135A394B" w14:textId="77777777" w:rsidR="00B15F7D" w:rsidRPr="00990FB6" w:rsidRDefault="00B15F7D" w:rsidP="00B15F7D">
            <w:pPr>
              <w:jc w:val="center"/>
              <w:rPr>
                <w:b/>
                <w:bCs/>
                <w:sz w:val="22"/>
                <w:szCs w:val="22"/>
                <w:lang w:eastAsia="es-CR"/>
              </w:rPr>
            </w:pPr>
            <w:r w:rsidRPr="00990FB6">
              <w:rPr>
                <w:b/>
                <w:bCs/>
                <w:sz w:val="22"/>
                <w:szCs w:val="22"/>
                <w:lang w:eastAsia="es-CR"/>
              </w:rPr>
              <w:t>Calificación</w:t>
            </w:r>
          </w:p>
        </w:tc>
        <w:tc>
          <w:tcPr>
            <w:tcW w:w="676" w:type="pct"/>
            <w:tcBorders>
              <w:top w:val="nil"/>
              <w:left w:val="nil"/>
              <w:bottom w:val="single" w:sz="4" w:space="0" w:color="auto"/>
              <w:right w:val="single" w:sz="4" w:space="0" w:color="auto"/>
            </w:tcBorders>
            <w:shd w:val="clear" w:color="auto" w:fill="D9D9D9"/>
            <w:vAlign w:val="center"/>
            <w:hideMark/>
          </w:tcPr>
          <w:p w14:paraId="0754C066" w14:textId="77777777" w:rsidR="00B15F7D" w:rsidRPr="00990FB6" w:rsidRDefault="00B15F7D" w:rsidP="00B15F7D">
            <w:pPr>
              <w:jc w:val="center"/>
              <w:rPr>
                <w:b/>
                <w:bCs/>
                <w:sz w:val="22"/>
                <w:szCs w:val="22"/>
                <w:lang w:eastAsia="es-CR"/>
              </w:rPr>
            </w:pPr>
            <w:proofErr w:type="spellStart"/>
            <w:r w:rsidRPr="00990FB6">
              <w:rPr>
                <w:b/>
                <w:bCs/>
                <w:sz w:val="22"/>
                <w:szCs w:val="22"/>
                <w:lang w:eastAsia="es-CR"/>
              </w:rPr>
              <w:t>Cant</w:t>
            </w:r>
            <w:proofErr w:type="spellEnd"/>
            <w:r w:rsidRPr="00990FB6">
              <w:rPr>
                <w:b/>
                <w:bCs/>
                <w:sz w:val="22"/>
                <w:szCs w:val="22"/>
                <w:lang w:eastAsia="es-CR"/>
              </w:rPr>
              <w:t xml:space="preserve">. </w:t>
            </w:r>
            <w:proofErr w:type="spellStart"/>
            <w:r w:rsidRPr="00990FB6">
              <w:rPr>
                <w:b/>
                <w:bCs/>
                <w:sz w:val="22"/>
                <w:szCs w:val="22"/>
                <w:lang w:eastAsia="es-CR"/>
              </w:rPr>
              <w:t>indic</w:t>
            </w:r>
            <w:proofErr w:type="spellEnd"/>
            <w:r w:rsidRPr="00990FB6">
              <w:rPr>
                <w:b/>
                <w:bCs/>
                <w:sz w:val="22"/>
                <w:szCs w:val="22"/>
                <w:lang w:eastAsia="es-CR"/>
              </w:rPr>
              <w:t xml:space="preserve">. en color rojo </w:t>
            </w:r>
            <w:r w:rsidRPr="00990FB6">
              <w:rPr>
                <w:b/>
                <w:bCs/>
                <w:sz w:val="22"/>
                <w:szCs w:val="22"/>
                <w:lang w:eastAsia="es-CR"/>
              </w:rPr>
              <w:br/>
              <w:t>(</w:t>
            </w:r>
            <w:proofErr w:type="spellStart"/>
            <w:r w:rsidRPr="00990FB6">
              <w:rPr>
                <w:b/>
                <w:bCs/>
                <w:sz w:val="22"/>
                <w:szCs w:val="22"/>
                <w:lang w:eastAsia="es-CR"/>
              </w:rPr>
              <w:t>oport</w:t>
            </w:r>
            <w:proofErr w:type="spellEnd"/>
            <w:r w:rsidRPr="00990FB6">
              <w:rPr>
                <w:b/>
                <w:bCs/>
                <w:sz w:val="22"/>
                <w:szCs w:val="22"/>
                <w:lang w:eastAsia="es-CR"/>
              </w:rPr>
              <w:t>. de mejora)</w:t>
            </w:r>
          </w:p>
        </w:tc>
        <w:tc>
          <w:tcPr>
            <w:tcW w:w="645" w:type="pct"/>
            <w:tcBorders>
              <w:top w:val="nil"/>
              <w:left w:val="nil"/>
              <w:bottom w:val="single" w:sz="4" w:space="0" w:color="auto"/>
              <w:right w:val="single" w:sz="4" w:space="0" w:color="auto"/>
            </w:tcBorders>
            <w:shd w:val="clear" w:color="auto" w:fill="D9D9D9"/>
            <w:vAlign w:val="center"/>
            <w:hideMark/>
          </w:tcPr>
          <w:p w14:paraId="5965CDD6" w14:textId="77777777" w:rsidR="00B15F7D" w:rsidRPr="00990FB6" w:rsidRDefault="00B15F7D" w:rsidP="00B15F7D">
            <w:pPr>
              <w:jc w:val="center"/>
              <w:rPr>
                <w:b/>
                <w:bCs/>
                <w:sz w:val="22"/>
                <w:szCs w:val="22"/>
                <w:lang w:eastAsia="es-CR"/>
              </w:rPr>
            </w:pPr>
            <w:r w:rsidRPr="00990FB6">
              <w:rPr>
                <w:b/>
                <w:bCs/>
                <w:sz w:val="22"/>
                <w:szCs w:val="22"/>
                <w:lang w:eastAsia="es-CR"/>
              </w:rPr>
              <w:t>Diferencia de rango establecido</w:t>
            </w:r>
          </w:p>
        </w:tc>
        <w:tc>
          <w:tcPr>
            <w:tcW w:w="2200" w:type="pct"/>
            <w:tcBorders>
              <w:top w:val="nil"/>
              <w:left w:val="nil"/>
              <w:bottom w:val="single" w:sz="4" w:space="0" w:color="auto"/>
              <w:right w:val="single" w:sz="4" w:space="0" w:color="auto"/>
            </w:tcBorders>
            <w:shd w:val="clear" w:color="auto" w:fill="D9D9D9"/>
            <w:vAlign w:val="center"/>
            <w:hideMark/>
          </w:tcPr>
          <w:p w14:paraId="31968134" w14:textId="77777777" w:rsidR="00B15F7D" w:rsidRPr="00990FB6" w:rsidRDefault="00B15F7D" w:rsidP="00B15F7D">
            <w:pPr>
              <w:jc w:val="center"/>
              <w:rPr>
                <w:b/>
                <w:bCs/>
                <w:sz w:val="22"/>
                <w:szCs w:val="22"/>
                <w:lang w:eastAsia="es-CR"/>
              </w:rPr>
            </w:pPr>
            <w:r w:rsidRPr="00990FB6">
              <w:rPr>
                <w:b/>
                <w:bCs/>
                <w:sz w:val="22"/>
                <w:szCs w:val="22"/>
                <w:lang w:eastAsia="es-CR"/>
              </w:rPr>
              <w:t>Observaciones</w:t>
            </w:r>
          </w:p>
        </w:tc>
      </w:tr>
      <w:tr w:rsidR="00B15F7D" w:rsidRPr="00990FB6" w14:paraId="03D548A1" w14:textId="77777777" w:rsidTr="000A0C22">
        <w:trPr>
          <w:trHeight w:val="1260"/>
          <w:jc w:val="center"/>
        </w:trPr>
        <w:tc>
          <w:tcPr>
            <w:tcW w:w="821" w:type="pct"/>
            <w:tcBorders>
              <w:top w:val="nil"/>
              <w:left w:val="single" w:sz="4" w:space="0" w:color="auto"/>
              <w:bottom w:val="single" w:sz="4" w:space="0" w:color="auto"/>
              <w:right w:val="single" w:sz="4" w:space="0" w:color="auto"/>
            </w:tcBorders>
            <w:vAlign w:val="center"/>
            <w:hideMark/>
          </w:tcPr>
          <w:p w14:paraId="4E688918" w14:textId="77777777" w:rsidR="00B15F7D" w:rsidRPr="00990FB6" w:rsidRDefault="00B15F7D" w:rsidP="00B15F7D">
            <w:pPr>
              <w:jc w:val="right"/>
              <w:rPr>
                <w:b/>
                <w:bCs/>
                <w:i/>
                <w:iCs/>
                <w:sz w:val="22"/>
                <w:szCs w:val="22"/>
                <w:lang w:eastAsia="es-CR"/>
              </w:rPr>
            </w:pPr>
            <w:r w:rsidRPr="00990FB6">
              <w:rPr>
                <w:b/>
                <w:bCs/>
                <w:i/>
                <w:iCs/>
                <w:sz w:val="22"/>
                <w:szCs w:val="22"/>
                <w:lang w:eastAsia="es-CR"/>
              </w:rPr>
              <w:t>Crítico con rendimiento del personal aceptable</w:t>
            </w:r>
          </w:p>
        </w:tc>
        <w:tc>
          <w:tcPr>
            <w:tcW w:w="658" w:type="pct"/>
            <w:tcBorders>
              <w:top w:val="nil"/>
              <w:left w:val="nil"/>
              <w:bottom w:val="single" w:sz="4" w:space="0" w:color="auto"/>
              <w:right w:val="single" w:sz="4" w:space="0" w:color="auto"/>
            </w:tcBorders>
            <w:shd w:val="clear" w:color="auto" w:fill="FF9933"/>
            <w:vAlign w:val="center"/>
            <w:hideMark/>
          </w:tcPr>
          <w:p w14:paraId="1B60480B" w14:textId="77777777" w:rsidR="00B15F7D" w:rsidRPr="00990FB6" w:rsidRDefault="00B15F7D" w:rsidP="00B15F7D">
            <w:pPr>
              <w:jc w:val="center"/>
              <w:rPr>
                <w:b/>
                <w:bCs/>
                <w:sz w:val="22"/>
                <w:szCs w:val="22"/>
                <w:lang w:eastAsia="es-CR"/>
              </w:rPr>
            </w:pPr>
            <w:r w:rsidRPr="00990FB6">
              <w:rPr>
                <w:b/>
                <w:bCs/>
                <w:sz w:val="22"/>
                <w:szCs w:val="22"/>
                <w:lang w:eastAsia="es-CR"/>
              </w:rPr>
              <w:t>E</w:t>
            </w:r>
          </w:p>
        </w:tc>
        <w:tc>
          <w:tcPr>
            <w:tcW w:w="676" w:type="pct"/>
            <w:tcBorders>
              <w:top w:val="nil"/>
              <w:left w:val="nil"/>
              <w:bottom w:val="single" w:sz="4" w:space="0" w:color="auto"/>
              <w:right w:val="single" w:sz="4" w:space="0" w:color="auto"/>
            </w:tcBorders>
            <w:vAlign w:val="center"/>
            <w:hideMark/>
          </w:tcPr>
          <w:p w14:paraId="57B89E2B" w14:textId="77777777" w:rsidR="00B15F7D" w:rsidRPr="00990FB6" w:rsidRDefault="00B15F7D" w:rsidP="00B15F7D">
            <w:pPr>
              <w:jc w:val="center"/>
              <w:rPr>
                <w:sz w:val="22"/>
                <w:szCs w:val="22"/>
                <w:lang w:eastAsia="es-CR"/>
              </w:rPr>
            </w:pPr>
            <w:r w:rsidRPr="00990FB6">
              <w:rPr>
                <w:sz w:val="22"/>
                <w:szCs w:val="22"/>
                <w:lang w:eastAsia="es-CR"/>
              </w:rPr>
              <w:t>De uno hasta su totalidad</w:t>
            </w:r>
          </w:p>
        </w:tc>
        <w:tc>
          <w:tcPr>
            <w:tcW w:w="645" w:type="pct"/>
            <w:tcBorders>
              <w:top w:val="nil"/>
              <w:left w:val="nil"/>
              <w:bottom w:val="single" w:sz="4" w:space="0" w:color="auto"/>
              <w:right w:val="single" w:sz="4" w:space="0" w:color="auto"/>
            </w:tcBorders>
            <w:vAlign w:val="center"/>
            <w:hideMark/>
          </w:tcPr>
          <w:p w14:paraId="6098BF18" w14:textId="77777777" w:rsidR="00B15F7D" w:rsidRPr="00990FB6" w:rsidRDefault="00B15F7D" w:rsidP="00B15F7D">
            <w:pPr>
              <w:jc w:val="center"/>
              <w:rPr>
                <w:b/>
                <w:bCs/>
                <w:sz w:val="22"/>
                <w:szCs w:val="22"/>
                <w:lang w:eastAsia="es-CR"/>
              </w:rPr>
            </w:pPr>
            <w:r w:rsidRPr="00990FB6">
              <w:rPr>
                <w:b/>
                <w:bCs/>
                <w:sz w:val="22"/>
                <w:szCs w:val="22"/>
                <w:lang w:eastAsia="es-CR"/>
              </w:rPr>
              <w:t>100% en adelante</w:t>
            </w:r>
          </w:p>
        </w:tc>
        <w:tc>
          <w:tcPr>
            <w:tcW w:w="2200" w:type="pct"/>
            <w:tcBorders>
              <w:top w:val="nil"/>
              <w:left w:val="nil"/>
              <w:bottom w:val="single" w:sz="4" w:space="0" w:color="auto"/>
              <w:right w:val="single" w:sz="4" w:space="0" w:color="auto"/>
            </w:tcBorders>
            <w:vAlign w:val="center"/>
            <w:hideMark/>
          </w:tcPr>
          <w:p w14:paraId="5EE7F600" w14:textId="77777777" w:rsidR="00B15F7D" w:rsidRPr="00990FB6" w:rsidRDefault="00B15F7D" w:rsidP="00B15F7D">
            <w:pPr>
              <w:jc w:val="center"/>
              <w:rPr>
                <w:sz w:val="22"/>
                <w:szCs w:val="22"/>
                <w:lang w:eastAsia="es-CR"/>
              </w:rPr>
            </w:pPr>
            <w:r w:rsidRPr="00990FB6">
              <w:rPr>
                <w:sz w:val="22"/>
                <w:szCs w:val="22"/>
                <w:lang w:eastAsia="es-CR"/>
              </w:rPr>
              <w:t xml:space="preserve">Si en la matriz de detecta al menos un indicador que su resultado se aleja negativamente un 100% o más del rango establecido </w:t>
            </w:r>
            <w:r w:rsidRPr="00990FB6">
              <w:rPr>
                <w:b/>
                <w:bCs/>
                <w:sz w:val="22"/>
                <w:szCs w:val="22"/>
                <w:lang w:eastAsia="es-CR"/>
              </w:rPr>
              <w:t xml:space="preserve">pero el rendimiento de al menos el 80% del personal se encuentra en el rango "estándar" o "medio" </w:t>
            </w:r>
            <w:r w:rsidRPr="00990FB6">
              <w:rPr>
                <w:sz w:val="22"/>
                <w:szCs w:val="22"/>
                <w:lang w:eastAsia="es-CR"/>
              </w:rPr>
              <w:t>se debe ubicar en esta categoría</w:t>
            </w:r>
          </w:p>
        </w:tc>
      </w:tr>
      <w:tr w:rsidR="00B15F7D" w:rsidRPr="00990FB6" w14:paraId="51E22EB6" w14:textId="77777777" w:rsidTr="000A0C22">
        <w:trPr>
          <w:trHeight w:val="1260"/>
          <w:jc w:val="center"/>
        </w:trPr>
        <w:tc>
          <w:tcPr>
            <w:tcW w:w="821" w:type="pct"/>
            <w:tcBorders>
              <w:top w:val="nil"/>
              <w:left w:val="single" w:sz="4" w:space="0" w:color="auto"/>
              <w:bottom w:val="single" w:sz="4" w:space="0" w:color="auto"/>
              <w:right w:val="single" w:sz="4" w:space="0" w:color="auto"/>
            </w:tcBorders>
            <w:noWrap/>
            <w:vAlign w:val="center"/>
            <w:hideMark/>
          </w:tcPr>
          <w:p w14:paraId="284FE7CF" w14:textId="77777777" w:rsidR="00B15F7D" w:rsidRPr="00990FB6" w:rsidRDefault="00B15F7D" w:rsidP="00B15F7D">
            <w:pPr>
              <w:jc w:val="right"/>
              <w:rPr>
                <w:b/>
                <w:bCs/>
                <w:i/>
                <w:iCs/>
                <w:sz w:val="22"/>
                <w:szCs w:val="22"/>
                <w:lang w:eastAsia="es-CR"/>
              </w:rPr>
            </w:pPr>
            <w:r w:rsidRPr="00990FB6">
              <w:rPr>
                <w:b/>
                <w:bCs/>
                <w:i/>
                <w:iCs/>
                <w:sz w:val="22"/>
                <w:szCs w:val="22"/>
                <w:lang w:eastAsia="es-CR"/>
              </w:rPr>
              <w:t>Crítico</w:t>
            </w:r>
          </w:p>
        </w:tc>
        <w:tc>
          <w:tcPr>
            <w:tcW w:w="658" w:type="pct"/>
            <w:tcBorders>
              <w:top w:val="nil"/>
              <w:left w:val="nil"/>
              <w:bottom w:val="single" w:sz="4" w:space="0" w:color="auto"/>
              <w:right w:val="single" w:sz="4" w:space="0" w:color="auto"/>
            </w:tcBorders>
            <w:shd w:val="clear" w:color="auto" w:fill="FF0000"/>
            <w:vAlign w:val="center"/>
            <w:hideMark/>
          </w:tcPr>
          <w:p w14:paraId="1C7CC732" w14:textId="77777777" w:rsidR="00B15F7D" w:rsidRPr="00990FB6" w:rsidRDefault="00B15F7D" w:rsidP="00B15F7D">
            <w:pPr>
              <w:jc w:val="center"/>
              <w:rPr>
                <w:b/>
                <w:bCs/>
                <w:sz w:val="22"/>
                <w:szCs w:val="22"/>
                <w:lang w:eastAsia="es-CR"/>
              </w:rPr>
            </w:pPr>
            <w:r w:rsidRPr="00990FB6">
              <w:rPr>
                <w:b/>
                <w:bCs/>
                <w:sz w:val="22"/>
                <w:szCs w:val="22"/>
                <w:lang w:eastAsia="es-CR"/>
              </w:rPr>
              <w:t>D</w:t>
            </w:r>
          </w:p>
        </w:tc>
        <w:tc>
          <w:tcPr>
            <w:tcW w:w="676" w:type="pct"/>
            <w:tcBorders>
              <w:top w:val="nil"/>
              <w:left w:val="nil"/>
              <w:bottom w:val="single" w:sz="4" w:space="0" w:color="auto"/>
              <w:right w:val="single" w:sz="4" w:space="0" w:color="auto"/>
            </w:tcBorders>
            <w:vAlign w:val="center"/>
            <w:hideMark/>
          </w:tcPr>
          <w:p w14:paraId="79F27837" w14:textId="77777777" w:rsidR="00B15F7D" w:rsidRPr="00990FB6" w:rsidRDefault="00B15F7D" w:rsidP="00B15F7D">
            <w:pPr>
              <w:jc w:val="center"/>
              <w:rPr>
                <w:sz w:val="22"/>
                <w:szCs w:val="22"/>
                <w:lang w:eastAsia="es-CR"/>
              </w:rPr>
            </w:pPr>
            <w:r w:rsidRPr="00990FB6">
              <w:rPr>
                <w:sz w:val="22"/>
                <w:szCs w:val="22"/>
                <w:lang w:eastAsia="es-CR"/>
              </w:rPr>
              <w:t>De uno hasta su totalidad</w:t>
            </w:r>
          </w:p>
        </w:tc>
        <w:tc>
          <w:tcPr>
            <w:tcW w:w="645" w:type="pct"/>
            <w:tcBorders>
              <w:top w:val="nil"/>
              <w:left w:val="nil"/>
              <w:bottom w:val="single" w:sz="4" w:space="0" w:color="auto"/>
              <w:right w:val="single" w:sz="4" w:space="0" w:color="auto"/>
            </w:tcBorders>
            <w:vAlign w:val="center"/>
            <w:hideMark/>
          </w:tcPr>
          <w:p w14:paraId="65FAD8E1" w14:textId="77777777" w:rsidR="00B15F7D" w:rsidRPr="00990FB6" w:rsidRDefault="00B15F7D" w:rsidP="00B15F7D">
            <w:pPr>
              <w:jc w:val="center"/>
              <w:rPr>
                <w:b/>
                <w:bCs/>
                <w:sz w:val="22"/>
                <w:szCs w:val="22"/>
                <w:lang w:eastAsia="es-CR"/>
              </w:rPr>
            </w:pPr>
            <w:r w:rsidRPr="00990FB6">
              <w:rPr>
                <w:b/>
                <w:bCs/>
                <w:sz w:val="22"/>
                <w:szCs w:val="22"/>
                <w:lang w:eastAsia="es-CR"/>
              </w:rPr>
              <w:t>100% en adelante</w:t>
            </w:r>
          </w:p>
        </w:tc>
        <w:tc>
          <w:tcPr>
            <w:tcW w:w="2200" w:type="pct"/>
            <w:tcBorders>
              <w:top w:val="nil"/>
              <w:left w:val="nil"/>
              <w:bottom w:val="single" w:sz="4" w:space="0" w:color="auto"/>
              <w:right w:val="single" w:sz="4" w:space="0" w:color="auto"/>
            </w:tcBorders>
            <w:vAlign w:val="center"/>
            <w:hideMark/>
          </w:tcPr>
          <w:p w14:paraId="635F162A" w14:textId="77777777" w:rsidR="00B15F7D" w:rsidRPr="00990FB6" w:rsidRDefault="00B15F7D" w:rsidP="00B15F7D">
            <w:pPr>
              <w:jc w:val="center"/>
              <w:rPr>
                <w:sz w:val="22"/>
                <w:szCs w:val="22"/>
                <w:lang w:eastAsia="es-CR"/>
              </w:rPr>
            </w:pPr>
            <w:r w:rsidRPr="00990FB6">
              <w:rPr>
                <w:sz w:val="22"/>
                <w:szCs w:val="22"/>
                <w:lang w:eastAsia="es-CR"/>
              </w:rPr>
              <w:t xml:space="preserve">Si en la matriz se detecta al menos un indicador que su resultado se aleja negativamente un </w:t>
            </w:r>
            <w:r w:rsidRPr="00990FB6">
              <w:rPr>
                <w:b/>
                <w:bCs/>
                <w:sz w:val="22"/>
                <w:szCs w:val="22"/>
                <w:lang w:eastAsia="es-CR"/>
              </w:rPr>
              <w:t>100%</w:t>
            </w:r>
            <w:r w:rsidRPr="00990FB6">
              <w:rPr>
                <w:sz w:val="22"/>
                <w:szCs w:val="22"/>
                <w:lang w:eastAsia="es-CR"/>
              </w:rPr>
              <w:t xml:space="preserve"> o más del rango establecido se debe ubicar en esta categoría.</w:t>
            </w:r>
          </w:p>
        </w:tc>
      </w:tr>
      <w:tr w:rsidR="00B15F7D" w:rsidRPr="00990FB6" w14:paraId="14FA1DA1" w14:textId="77777777" w:rsidTr="000A0C22">
        <w:trPr>
          <w:trHeight w:val="885"/>
          <w:jc w:val="center"/>
        </w:trPr>
        <w:tc>
          <w:tcPr>
            <w:tcW w:w="821" w:type="pct"/>
            <w:tcBorders>
              <w:top w:val="nil"/>
              <w:left w:val="single" w:sz="4" w:space="0" w:color="auto"/>
              <w:bottom w:val="single" w:sz="4" w:space="0" w:color="auto"/>
              <w:right w:val="single" w:sz="4" w:space="0" w:color="auto"/>
            </w:tcBorders>
            <w:vAlign w:val="center"/>
            <w:hideMark/>
          </w:tcPr>
          <w:p w14:paraId="6D26D3B5" w14:textId="77777777" w:rsidR="00B15F7D" w:rsidRPr="00990FB6" w:rsidRDefault="00B15F7D" w:rsidP="00B15F7D">
            <w:pPr>
              <w:jc w:val="right"/>
              <w:rPr>
                <w:b/>
                <w:bCs/>
                <w:i/>
                <w:iCs/>
                <w:sz w:val="22"/>
                <w:szCs w:val="22"/>
                <w:lang w:eastAsia="es-CR"/>
              </w:rPr>
            </w:pPr>
            <w:r w:rsidRPr="00990FB6">
              <w:rPr>
                <w:b/>
                <w:bCs/>
                <w:i/>
                <w:iCs/>
                <w:sz w:val="22"/>
                <w:szCs w:val="22"/>
                <w:lang w:eastAsia="es-CR"/>
              </w:rPr>
              <w:lastRenderedPageBreak/>
              <w:t>Con oportunidades de mejora manejables</w:t>
            </w:r>
          </w:p>
        </w:tc>
        <w:tc>
          <w:tcPr>
            <w:tcW w:w="658" w:type="pct"/>
            <w:tcBorders>
              <w:top w:val="nil"/>
              <w:left w:val="nil"/>
              <w:bottom w:val="single" w:sz="4" w:space="0" w:color="auto"/>
              <w:right w:val="single" w:sz="4" w:space="0" w:color="auto"/>
            </w:tcBorders>
            <w:shd w:val="clear" w:color="auto" w:fill="FFFF00"/>
            <w:vAlign w:val="center"/>
            <w:hideMark/>
          </w:tcPr>
          <w:p w14:paraId="0594AD8F" w14:textId="77777777" w:rsidR="00B15F7D" w:rsidRPr="00990FB6" w:rsidRDefault="00B15F7D" w:rsidP="00B15F7D">
            <w:pPr>
              <w:jc w:val="center"/>
              <w:rPr>
                <w:b/>
                <w:bCs/>
                <w:sz w:val="22"/>
                <w:szCs w:val="22"/>
                <w:lang w:eastAsia="es-CR"/>
              </w:rPr>
            </w:pPr>
            <w:r w:rsidRPr="00990FB6">
              <w:rPr>
                <w:b/>
                <w:bCs/>
                <w:sz w:val="22"/>
                <w:szCs w:val="22"/>
                <w:lang w:eastAsia="es-CR"/>
              </w:rPr>
              <w:t>C</w:t>
            </w:r>
          </w:p>
        </w:tc>
        <w:tc>
          <w:tcPr>
            <w:tcW w:w="676" w:type="pct"/>
            <w:tcBorders>
              <w:top w:val="nil"/>
              <w:left w:val="nil"/>
              <w:bottom w:val="single" w:sz="4" w:space="0" w:color="auto"/>
              <w:right w:val="single" w:sz="4" w:space="0" w:color="auto"/>
            </w:tcBorders>
            <w:vAlign w:val="center"/>
            <w:hideMark/>
          </w:tcPr>
          <w:p w14:paraId="33D30285" w14:textId="77777777" w:rsidR="00B15F7D" w:rsidRPr="00990FB6" w:rsidRDefault="00B15F7D" w:rsidP="00B15F7D">
            <w:pPr>
              <w:jc w:val="center"/>
              <w:rPr>
                <w:sz w:val="22"/>
                <w:szCs w:val="22"/>
                <w:lang w:eastAsia="es-CR"/>
              </w:rPr>
            </w:pPr>
            <w:r w:rsidRPr="00990FB6">
              <w:rPr>
                <w:sz w:val="22"/>
                <w:szCs w:val="22"/>
                <w:lang w:eastAsia="es-CR"/>
              </w:rPr>
              <w:t>De uno hasta su totalidad</w:t>
            </w:r>
          </w:p>
        </w:tc>
        <w:tc>
          <w:tcPr>
            <w:tcW w:w="645" w:type="pct"/>
            <w:tcBorders>
              <w:top w:val="nil"/>
              <w:left w:val="nil"/>
              <w:bottom w:val="single" w:sz="4" w:space="0" w:color="auto"/>
              <w:right w:val="single" w:sz="4" w:space="0" w:color="auto"/>
            </w:tcBorders>
            <w:vAlign w:val="center"/>
            <w:hideMark/>
          </w:tcPr>
          <w:p w14:paraId="41146B4D" w14:textId="77777777" w:rsidR="00B15F7D" w:rsidRPr="00990FB6" w:rsidRDefault="00B15F7D" w:rsidP="00B15F7D">
            <w:pPr>
              <w:jc w:val="center"/>
              <w:rPr>
                <w:b/>
                <w:bCs/>
                <w:sz w:val="22"/>
                <w:szCs w:val="22"/>
                <w:lang w:eastAsia="es-CR"/>
              </w:rPr>
            </w:pPr>
            <w:r w:rsidRPr="00990FB6">
              <w:rPr>
                <w:b/>
                <w:bCs/>
                <w:sz w:val="22"/>
                <w:szCs w:val="22"/>
                <w:lang w:eastAsia="es-CR"/>
              </w:rPr>
              <w:t>50% a 99%</w:t>
            </w:r>
          </w:p>
        </w:tc>
        <w:tc>
          <w:tcPr>
            <w:tcW w:w="2200" w:type="pct"/>
            <w:tcBorders>
              <w:top w:val="nil"/>
              <w:left w:val="nil"/>
              <w:bottom w:val="single" w:sz="4" w:space="0" w:color="auto"/>
              <w:right w:val="single" w:sz="4" w:space="0" w:color="auto"/>
            </w:tcBorders>
            <w:vAlign w:val="center"/>
            <w:hideMark/>
          </w:tcPr>
          <w:p w14:paraId="476551A6" w14:textId="77777777" w:rsidR="00B15F7D" w:rsidRPr="00990FB6" w:rsidRDefault="00B15F7D" w:rsidP="00B15F7D">
            <w:pPr>
              <w:jc w:val="center"/>
              <w:rPr>
                <w:sz w:val="22"/>
                <w:szCs w:val="22"/>
                <w:lang w:eastAsia="es-CR"/>
              </w:rPr>
            </w:pPr>
            <w:r w:rsidRPr="00990FB6">
              <w:rPr>
                <w:sz w:val="22"/>
                <w:szCs w:val="22"/>
                <w:lang w:eastAsia="es-CR"/>
              </w:rPr>
              <w:t xml:space="preserve">Si en la matriz se detecta al menos un indicador que su resultado se aleja negativamente de un </w:t>
            </w:r>
            <w:r w:rsidRPr="00990FB6">
              <w:rPr>
                <w:b/>
                <w:bCs/>
                <w:sz w:val="22"/>
                <w:szCs w:val="22"/>
                <w:lang w:eastAsia="es-CR"/>
              </w:rPr>
              <w:t>50</w:t>
            </w:r>
            <w:proofErr w:type="gramStart"/>
            <w:r w:rsidRPr="00990FB6">
              <w:rPr>
                <w:b/>
                <w:bCs/>
                <w:sz w:val="22"/>
                <w:szCs w:val="22"/>
                <w:lang w:eastAsia="es-CR"/>
              </w:rPr>
              <w:t>%  a</w:t>
            </w:r>
            <w:proofErr w:type="gramEnd"/>
            <w:r w:rsidRPr="00990FB6">
              <w:rPr>
                <w:b/>
                <w:bCs/>
                <w:sz w:val="22"/>
                <w:szCs w:val="22"/>
                <w:lang w:eastAsia="es-CR"/>
              </w:rPr>
              <w:t xml:space="preserve"> un 99%</w:t>
            </w:r>
            <w:r w:rsidRPr="00990FB6">
              <w:rPr>
                <w:sz w:val="22"/>
                <w:szCs w:val="22"/>
                <w:lang w:eastAsia="es-CR"/>
              </w:rPr>
              <w:t xml:space="preserve"> del rango establecido se debe ubicar en esta categoría.</w:t>
            </w:r>
          </w:p>
        </w:tc>
      </w:tr>
      <w:tr w:rsidR="00B15F7D" w:rsidRPr="00990FB6" w14:paraId="3AFC973E" w14:textId="77777777" w:rsidTr="000A0C22">
        <w:trPr>
          <w:trHeight w:val="885"/>
          <w:jc w:val="center"/>
        </w:trPr>
        <w:tc>
          <w:tcPr>
            <w:tcW w:w="821" w:type="pct"/>
            <w:tcBorders>
              <w:top w:val="nil"/>
              <w:left w:val="single" w:sz="4" w:space="0" w:color="auto"/>
              <w:bottom w:val="single" w:sz="4" w:space="0" w:color="auto"/>
              <w:right w:val="single" w:sz="4" w:space="0" w:color="auto"/>
            </w:tcBorders>
            <w:noWrap/>
            <w:vAlign w:val="center"/>
            <w:hideMark/>
          </w:tcPr>
          <w:p w14:paraId="5A4F7889" w14:textId="77777777" w:rsidR="00B15F7D" w:rsidRPr="00990FB6" w:rsidRDefault="00B15F7D" w:rsidP="00B15F7D">
            <w:pPr>
              <w:jc w:val="right"/>
              <w:rPr>
                <w:b/>
                <w:bCs/>
                <w:i/>
                <w:iCs/>
                <w:sz w:val="22"/>
                <w:szCs w:val="22"/>
                <w:lang w:eastAsia="es-CR"/>
              </w:rPr>
            </w:pPr>
            <w:r w:rsidRPr="00990FB6">
              <w:rPr>
                <w:b/>
                <w:bCs/>
                <w:i/>
                <w:iCs/>
                <w:sz w:val="22"/>
                <w:szCs w:val="22"/>
                <w:lang w:eastAsia="es-CR"/>
              </w:rPr>
              <w:t>Bien</w:t>
            </w:r>
          </w:p>
        </w:tc>
        <w:tc>
          <w:tcPr>
            <w:tcW w:w="658" w:type="pct"/>
            <w:tcBorders>
              <w:top w:val="nil"/>
              <w:left w:val="nil"/>
              <w:bottom w:val="single" w:sz="4" w:space="0" w:color="auto"/>
              <w:right w:val="single" w:sz="4" w:space="0" w:color="auto"/>
            </w:tcBorders>
            <w:shd w:val="clear" w:color="auto" w:fill="00B050"/>
            <w:vAlign w:val="center"/>
            <w:hideMark/>
          </w:tcPr>
          <w:p w14:paraId="35D011D0" w14:textId="77777777" w:rsidR="00B15F7D" w:rsidRPr="00990FB6" w:rsidRDefault="00B15F7D" w:rsidP="00B15F7D">
            <w:pPr>
              <w:jc w:val="center"/>
              <w:rPr>
                <w:b/>
                <w:bCs/>
                <w:sz w:val="22"/>
                <w:szCs w:val="22"/>
                <w:lang w:eastAsia="es-CR"/>
              </w:rPr>
            </w:pPr>
            <w:r w:rsidRPr="00990FB6">
              <w:rPr>
                <w:b/>
                <w:bCs/>
                <w:sz w:val="22"/>
                <w:szCs w:val="22"/>
                <w:lang w:eastAsia="es-CR"/>
              </w:rPr>
              <w:t>B</w:t>
            </w:r>
          </w:p>
        </w:tc>
        <w:tc>
          <w:tcPr>
            <w:tcW w:w="676" w:type="pct"/>
            <w:tcBorders>
              <w:top w:val="nil"/>
              <w:left w:val="nil"/>
              <w:bottom w:val="single" w:sz="4" w:space="0" w:color="auto"/>
              <w:right w:val="single" w:sz="4" w:space="0" w:color="auto"/>
            </w:tcBorders>
            <w:vAlign w:val="center"/>
            <w:hideMark/>
          </w:tcPr>
          <w:p w14:paraId="0A481D93" w14:textId="77777777" w:rsidR="00B15F7D" w:rsidRPr="00990FB6" w:rsidRDefault="00B15F7D" w:rsidP="00B15F7D">
            <w:pPr>
              <w:jc w:val="center"/>
              <w:rPr>
                <w:sz w:val="22"/>
                <w:szCs w:val="22"/>
                <w:lang w:eastAsia="es-CR"/>
              </w:rPr>
            </w:pPr>
            <w:r w:rsidRPr="00990FB6">
              <w:rPr>
                <w:sz w:val="22"/>
                <w:szCs w:val="22"/>
                <w:lang w:eastAsia="es-CR"/>
              </w:rPr>
              <w:t>De uno hasta su totalidad</w:t>
            </w:r>
          </w:p>
        </w:tc>
        <w:tc>
          <w:tcPr>
            <w:tcW w:w="645" w:type="pct"/>
            <w:tcBorders>
              <w:top w:val="nil"/>
              <w:left w:val="nil"/>
              <w:bottom w:val="single" w:sz="4" w:space="0" w:color="auto"/>
              <w:right w:val="single" w:sz="4" w:space="0" w:color="auto"/>
            </w:tcBorders>
            <w:vAlign w:val="center"/>
            <w:hideMark/>
          </w:tcPr>
          <w:p w14:paraId="0BA34F0C" w14:textId="77777777" w:rsidR="00B15F7D" w:rsidRPr="00990FB6" w:rsidRDefault="00B15F7D" w:rsidP="00B15F7D">
            <w:pPr>
              <w:jc w:val="center"/>
              <w:rPr>
                <w:b/>
                <w:bCs/>
                <w:sz w:val="22"/>
                <w:szCs w:val="22"/>
                <w:lang w:eastAsia="es-CR"/>
              </w:rPr>
            </w:pPr>
            <w:r w:rsidRPr="00990FB6">
              <w:rPr>
                <w:b/>
                <w:bCs/>
                <w:sz w:val="22"/>
                <w:szCs w:val="22"/>
                <w:lang w:eastAsia="es-CR"/>
              </w:rPr>
              <w:t>De 11% a 49%</w:t>
            </w:r>
          </w:p>
        </w:tc>
        <w:tc>
          <w:tcPr>
            <w:tcW w:w="2200" w:type="pct"/>
            <w:tcBorders>
              <w:top w:val="nil"/>
              <w:left w:val="nil"/>
              <w:bottom w:val="single" w:sz="4" w:space="0" w:color="auto"/>
              <w:right w:val="single" w:sz="4" w:space="0" w:color="auto"/>
            </w:tcBorders>
            <w:vAlign w:val="center"/>
            <w:hideMark/>
          </w:tcPr>
          <w:p w14:paraId="131C2D25" w14:textId="77777777" w:rsidR="00B15F7D" w:rsidRPr="00990FB6" w:rsidRDefault="00B15F7D" w:rsidP="00B15F7D">
            <w:pPr>
              <w:jc w:val="center"/>
              <w:rPr>
                <w:sz w:val="22"/>
                <w:szCs w:val="22"/>
                <w:lang w:eastAsia="es-CR"/>
              </w:rPr>
            </w:pPr>
            <w:r w:rsidRPr="00990FB6">
              <w:rPr>
                <w:sz w:val="22"/>
                <w:szCs w:val="22"/>
                <w:lang w:eastAsia="es-CR"/>
              </w:rPr>
              <w:t xml:space="preserve">Si en la matriz se detecta al menos un indicador que su resultado se aleja negativamente de un </w:t>
            </w:r>
            <w:r w:rsidRPr="00990FB6">
              <w:rPr>
                <w:b/>
                <w:bCs/>
                <w:sz w:val="22"/>
                <w:szCs w:val="22"/>
                <w:lang w:eastAsia="es-CR"/>
              </w:rPr>
              <w:t>11% a un 49%</w:t>
            </w:r>
            <w:r w:rsidRPr="00990FB6">
              <w:rPr>
                <w:sz w:val="22"/>
                <w:szCs w:val="22"/>
                <w:lang w:eastAsia="es-CR"/>
              </w:rPr>
              <w:t xml:space="preserve"> del rango establecido se debe ubicar en esta categoría.</w:t>
            </w:r>
          </w:p>
        </w:tc>
      </w:tr>
      <w:tr w:rsidR="00B15F7D" w:rsidRPr="00990FB6" w14:paraId="074ECC8D" w14:textId="77777777" w:rsidTr="000A0C22">
        <w:trPr>
          <w:trHeight w:val="885"/>
          <w:jc w:val="center"/>
        </w:trPr>
        <w:tc>
          <w:tcPr>
            <w:tcW w:w="821" w:type="pct"/>
            <w:tcBorders>
              <w:top w:val="nil"/>
              <w:left w:val="single" w:sz="4" w:space="0" w:color="auto"/>
              <w:bottom w:val="single" w:sz="4" w:space="0" w:color="auto"/>
              <w:right w:val="single" w:sz="4" w:space="0" w:color="auto"/>
            </w:tcBorders>
            <w:noWrap/>
            <w:vAlign w:val="center"/>
            <w:hideMark/>
          </w:tcPr>
          <w:p w14:paraId="07430536" w14:textId="77777777" w:rsidR="00B15F7D" w:rsidRPr="00990FB6" w:rsidRDefault="00B15F7D" w:rsidP="00B15F7D">
            <w:pPr>
              <w:jc w:val="right"/>
              <w:rPr>
                <w:b/>
                <w:bCs/>
                <w:i/>
                <w:iCs/>
                <w:sz w:val="22"/>
                <w:szCs w:val="22"/>
                <w:lang w:eastAsia="es-CR"/>
              </w:rPr>
            </w:pPr>
            <w:r w:rsidRPr="00990FB6">
              <w:rPr>
                <w:b/>
                <w:bCs/>
                <w:i/>
                <w:iCs/>
                <w:sz w:val="22"/>
                <w:szCs w:val="22"/>
                <w:lang w:eastAsia="es-CR"/>
              </w:rPr>
              <w:t>Excelente</w:t>
            </w:r>
          </w:p>
        </w:tc>
        <w:tc>
          <w:tcPr>
            <w:tcW w:w="658" w:type="pct"/>
            <w:tcBorders>
              <w:top w:val="nil"/>
              <w:left w:val="nil"/>
              <w:bottom w:val="single" w:sz="4" w:space="0" w:color="auto"/>
              <w:right w:val="single" w:sz="4" w:space="0" w:color="auto"/>
            </w:tcBorders>
            <w:shd w:val="clear" w:color="auto" w:fill="0000FF"/>
            <w:vAlign w:val="center"/>
            <w:hideMark/>
          </w:tcPr>
          <w:p w14:paraId="312B9A5F" w14:textId="77777777" w:rsidR="00B15F7D" w:rsidRPr="00990FB6" w:rsidRDefault="00B15F7D" w:rsidP="00B15F7D">
            <w:pPr>
              <w:jc w:val="center"/>
              <w:rPr>
                <w:b/>
                <w:bCs/>
                <w:sz w:val="22"/>
                <w:szCs w:val="22"/>
                <w:lang w:eastAsia="es-CR"/>
              </w:rPr>
            </w:pPr>
            <w:r w:rsidRPr="00990FB6">
              <w:rPr>
                <w:b/>
                <w:bCs/>
                <w:sz w:val="22"/>
                <w:szCs w:val="22"/>
                <w:lang w:eastAsia="es-CR"/>
              </w:rPr>
              <w:t>A</w:t>
            </w:r>
          </w:p>
        </w:tc>
        <w:tc>
          <w:tcPr>
            <w:tcW w:w="676" w:type="pct"/>
            <w:tcBorders>
              <w:top w:val="nil"/>
              <w:left w:val="nil"/>
              <w:bottom w:val="single" w:sz="4" w:space="0" w:color="auto"/>
              <w:right w:val="single" w:sz="4" w:space="0" w:color="auto"/>
            </w:tcBorders>
            <w:vAlign w:val="center"/>
            <w:hideMark/>
          </w:tcPr>
          <w:p w14:paraId="70CDF95D" w14:textId="77777777" w:rsidR="00B15F7D" w:rsidRPr="00990FB6" w:rsidRDefault="00B15F7D" w:rsidP="00B15F7D">
            <w:pPr>
              <w:jc w:val="center"/>
              <w:rPr>
                <w:sz w:val="22"/>
                <w:szCs w:val="22"/>
                <w:lang w:eastAsia="es-CR"/>
              </w:rPr>
            </w:pPr>
            <w:r w:rsidRPr="00990FB6">
              <w:rPr>
                <w:sz w:val="22"/>
                <w:szCs w:val="22"/>
                <w:lang w:eastAsia="es-CR"/>
              </w:rPr>
              <w:t>Cero o bien de uno hasta su totalidad</w:t>
            </w:r>
          </w:p>
        </w:tc>
        <w:tc>
          <w:tcPr>
            <w:tcW w:w="645" w:type="pct"/>
            <w:tcBorders>
              <w:top w:val="nil"/>
              <w:left w:val="nil"/>
              <w:bottom w:val="single" w:sz="4" w:space="0" w:color="auto"/>
              <w:right w:val="single" w:sz="4" w:space="0" w:color="auto"/>
            </w:tcBorders>
            <w:vAlign w:val="center"/>
            <w:hideMark/>
          </w:tcPr>
          <w:p w14:paraId="28E4503C" w14:textId="77777777" w:rsidR="00B15F7D" w:rsidRPr="00990FB6" w:rsidRDefault="00B15F7D" w:rsidP="00B15F7D">
            <w:pPr>
              <w:jc w:val="center"/>
              <w:rPr>
                <w:b/>
                <w:bCs/>
                <w:sz w:val="22"/>
                <w:szCs w:val="22"/>
                <w:lang w:eastAsia="es-CR"/>
              </w:rPr>
            </w:pPr>
            <w:r w:rsidRPr="00990FB6">
              <w:rPr>
                <w:b/>
                <w:bCs/>
                <w:sz w:val="22"/>
                <w:szCs w:val="22"/>
                <w:lang w:eastAsia="es-CR"/>
              </w:rPr>
              <w:t>De 0% a 10%</w:t>
            </w:r>
          </w:p>
        </w:tc>
        <w:tc>
          <w:tcPr>
            <w:tcW w:w="2200" w:type="pct"/>
            <w:tcBorders>
              <w:top w:val="nil"/>
              <w:left w:val="nil"/>
              <w:bottom w:val="single" w:sz="4" w:space="0" w:color="auto"/>
              <w:right w:val="single" w:sz="4" w:space="0" w:color="auto"/>
            </w:tcBorders>
            <w:vAlign w:val="center"/>
            <w:hideMark/>
          </w:tcPr>
          <w:p w14:paraId="59E6D38E" w14:textId="77777777" w:rsidR="00B15F7D" w:rsidRPr="00990FB6" w:rsidRDefault="00B15F7D" w:rsidP="00B15F7D">
            <w:pPr>
              <w:jc w:val="center"/>
              <w:rPr>
                <w:sz w:val="22"/>
                <w:szCs w:val="22"/>
                <w:lang w:eastAsia="es-CR"/>
              </w:rPr>
            </w:pPr>
            <w:r w:rsidRPr="00990FB6">
              <w:rPr>
                <w:sz w:val="22"/>
                <w:szCs w:val="22"/>
                <w:lang w:eastAsia="es-CR"/>
              </w:rPr>
              <w:t xml:space="preserve">Si en la matriz se detecta que el indicador con mayor oportunidad de mejora se aleja negativamente máximo un </w:t>
            </w:r>
            <w:r w:rsidRPr="00990FB6">
              <w:rPr>
                <w:b/>
                <w:bCs/>
                <w:sz w:val="22"/>
                <w:szCs w:val="22"/>
                <w:lang w:eastAsia="es-CR"/>
              </w:rPr>
              <w:t>10</w:t>
            </w:r>
            <w:proofErr w:type="gramStart"/>
            <w:r w:rsidRPr="00990FB6">
              <w:rPr>
                <w:b/>
                <w:bCs/>
                <w:sz w:val="22"/>
                <w:szCs w:val="22"/>
                <w:lang w:eastAsia="es-CR"/>
              </w:rPr>
              <w:t>%</w:t>
            </w:r>
            <w:r w:rsidRPr="00990FB6">
              <w:rPr>
                <w:sz w:val="22"/>
                <w:szCs w:val="22"/>
                <w:lang w:eastAsia="es-CR"/>
              </w:rPr>
              <w:t xml:space="preserve">  del</w:t>
            </w:r>
            <w:proofErr w:type="gramEnd"/>
            <w:r w:rsidRPr="00990FB6">
              <w:rPr>
                <w:sz w:val="22"/>
                <w:szCs w:val="22"/>
                <w:lang w:eastAsia="es-CR"/>
              </w:rPr>
              <w:t xml:space="preserve"> rango establecido, se debe ubicar en esta categoría.</w:t>
            </w:r>
          </w:p>
        </w:tc>
      </w:tr>
    </w:tbl>
    <w:p w14:paraId="7509E827" w14:textId="77777777" w:rsidR="00B15F7D" w:rsidRPr="00990FB6" w:rsidRDefault="00B15F7D" w:rsidP="00B15F7D">
      <w:pPr>
        <w:ind w:left="851" w:right="851" w:firstLine="709"/>
        <w:rPr>
          <w:i/>
          <w:iCs/>
          <w:sz w:val="22"/>
          <w:szCs w:val="22"/>
          <w:lang w:eastAsia="es-ES"/>
        </w:rPr>
      </w:pPr>
      <w:r w:rsidRPr="00990FB6">
        <w:rPr>
          <w:i/>
          <w:iCs/>
          <w:sz w:val="22"/>
          <w:szCs w:val="22"/>
        </w:rPr>
        <w:t>Fuente: Dirección de Planificación.</w:t>
      </w:r>
    </w:p>
    <w:p w14:paraId="181C2372" w14:textId="77777777" w:rsidR="00B15F7D" w:rsidRPr="00990FB6" w:rsidRDefault="00B15F7D" w:rsidP="00B15F7D">
      <w:pPr>
        <w:ind w:left="851" w:right="851" w:firstLine="709"/>
        <w:rPr>
          <w:sz w:val="22"/>
          <w:szCs w:val="22"/>
        </w:rPr>
      </w:pPr>
    </w:p>
    <w:p w14:paraId="0A8888E3" w14:textId="77777777" w:rsidR="00B15F7D" w:rsidRPr="00990FB6" w:rsidRDefault="00B15F7D" w:rsidP="00B15F7D">
      <w:pPr>
        <w:keepNext/>
        <w:widowControl w:val="0"/>
        <w:ind w:left="851" w:right="851" w:firstLine="709"/>
        <w:jc w:val="both"/>
        <w:rPr>
          <w:bCs/>
          <w:sz w:val="22"/>
          <w:szCs w:val="22"/>
          <w:lang w:val="es-MX" w:eastAsia="es-ES"/>
        </w:rPr>
      </w:pPr>
      <w:bookmarkStart w:id="33" w:name="_Toc132639583"/>
      <w:r w:rsidRPr="00990FB6">
        <w:rPr>
          <w:bCs/>
          <w:sz w:val="22"/>
          <w:szCs w:val="22"/>
          <w:lang w:val="es-MX" w:eastAsia="es-ES"/>
        </w:rPr>
        <w:t>20.2.1 Solicitar a la Comisión Alterna de Conflictos, coordinar con la Comisión Agraria y que de forma conjunta se puedan promover acciones para que los Centros de Conciliación den soporte a la materia agraria, y con ello lograr incrementar el porcentaje de conciliación, que pueda beneficiar en la celeridad de los asuntos.</w:t>
      </w:r>
      <w:bookmarkEnd w:id="33"/>
    </w:p>
    <w:p w14:paraId="32F80FFB" w14:textId="77777777" w:rsidR="00B15F7D" w:rsidRPr="00990FB6" w:rsidRDefault="00B15F7D" w:rsidP="00B15F7D">
      <w:pPr>
        <w:keepNext/>
        <w:widowControl w:val="0"/>
        <w:ind w:left="851" w:right="851" w:firstLine="709"/>
        <w:jc w:val="both"/>
        <w:rPr>
          <w:bCs/>
          <w:sz w:val="22"/>
          <w:szCs w:val="22"/>
          <w:lang w:val="es-MX" w:eastAsia="es-ES"/>
        </w:rPr>
      </w:pPr>
    </w:p>
    <w:p w14:paraId="7189EDC4" w14:textId="77777777" w:rsidR="00B15F7D" w:rsidRPr="00990FB6" w:rsidRDefault="00B15F7D" w:rsidP="00B15F7D">
      <w:pPr>
        <w:keepNext/>
        <w:widowControl w:val="0"/>
        <w:ind w:left="851" w:right="851" w:firstLine="709"/>
        <w:jc w:val="both"/>
        <w:rPr>
          <w:bCs/>
          <w:sz w:val="22"/>
          <w:szCs w:val="22"/>
          <w:lang w:val="es-MX" w:eastAsia="es-ES"/>
        </w:rPr>
      </w:pPr>
      <w:bookmarkStart w:id="34" w:name="_Toc132639584"/>
      <w:r w:rsidRPr="00990FB6">
        <w:rPr>
          <w:bCs/>
          <w:sz w:val="22"/>
          <w:szCs w:val="22"/>
          <w:lang w:val="es-MX" w:eastAsia="es-ES"/>
        </w:rPr>
        <w:t>20.2.2 Solicitar a la Defensa Pública, realizar un análisis del impacto de los servicios prestados a partir de la creación de las plazas de las personas defensoras públicas en la materia, e informe al Consejo Superior, los beneficios obtenidos, así como el impacto en el servicio brindado. Considerando, las acciones realizadas en impulsar la celeridad de los procesos judiciales.</w:t>
      </w:r>
      <w:bookmarkEnd w:id="34"/>
    </w:p>
    <w:p w14:paraId="53737362" w14:textId="77777777" w:rsidR="00B15F7D" w:rsidRPr="00990FB6" w:rsidRDefault="00B15F7D" w:rsidP="00B15F7D">
      <w:pPr>
        <w:keepNext/>
        <w:widowControl w:val="0"/>
        <w:ind w:left="851" w:right="851" w:firstLine="709"/>
        <w:jc w:val="both"/>
        <w:rPr>
          <w:bCs/>
          <w:sz w:val="22"/>
          <w:szCs w:val="22"/>
          <w:lang w:val="es-MX" w:eastAsia="es-ES"/>
        </w:rPr>
      </w:pPr>
    </w:p>
    <w:p w14:paraId="0F1E681F" w14:textId="77777777" w:rsidR="00B15F7D" w:rsidRPr="00990FB6" w:rsidRDefault="00B15F7D" w:rsidP="00B15F7D">
      <w:pPr>
        <w:keepNext/>
        <w:widowControl w:val="0"/>
        <w:ind w:left="851" w:right="851" w:firstLine="709"/>
        <w:jc w:val="both"/>
        <w:rPr>
          <w:bCs/>
          <w:sz w:val="22"/>
          <w:szCs w:val="22"/>
          <w:lang w:val="es-MX" w:eastAsia="es-ES"/>
        </w:rPr>
      </w:pPr>
      <w:bookmarkStart w:id="35" w:name="_Toc132639585"/>
      <w:r w:rsidRPr="00990FB6">
        <w:rPr>
          <w:bCs/>
          <w:sz w:val="22"/>
          <w:szCs w:val="22"/>
          <w:lang w:val="es-MX" w:eastAsia="es-ES"/>
        </w:rPr>
        <w:t>20.2.3 Solicitar al Centro de Apoyo y Mejoramiento de la Función Jurisdiccional un seguimiento más cercano a los despachos agrarios, de tal forma, que puedan revisar el impacto de los planes de trabajo propuestos por cada oficina y que visualicen en el fondo la mejora de los tiempos de respuesta a lo interno de los Juzgados, ya que las clasificaciones descritas demuestran como los asuntos se mantienen mucho tiempo sin impulso procesal.</w:t>
      </w:r>
      <w:bookmarkEnd w:id="35"/>
      <w:r w:rsidRPr="00990FB6">
        <w:rPr>
          <w:bCs/>
          <w:sz w:val="22"/>
          <w:szCs w:val="22"/>
          <w:lang w:val="es-MX" w:eastAsia="es-ES"/>
        </w:rPr>
        <w:t xml:space="preserve"> </w:t>
      </w:r>
    </w:p>
    <w:p w14:paraId="1C8D27DC" w14:textId="77777777" w:rsidR="00B15F7D" w:rsidRPr="00990FB6" w:rsidRDefault="00B15F7D" w:rsidP="00B15F7D">
      <w:pPr>
        <w:ind w:left="851" w:right="851" w:firstLine="709"/>
        <w:rPr>
          <w:b/>
          <w:i/>
          <w:sz w:val="22"/>
          <w:szCs w:val="22"/>
        </w:rPr>
      </w:pPr>
    </w:p>
    <w:p w14:paraId="6E3ED80B" w14:textId="77777777" w:rsidR="00B15F7D" w:rsidRPr="00990FB6" w:rsidRDefault="00B15F7D" w:rsidP="00B15F7D">
      <w:pPr>
        <w:keepNext/>
        <w:keepLines/>
        <w:ind w:left="851" w:right="851" w:firstLine="709"/>
        <w:rPr>
          <w:sz w:val="22"/>
          <w:szCs w:val="22"/>
        </w:rPr>
      </w:pPr>
      <w:bookmarkStart w:id="36" w:name="_Toc132639586"/>
      <w:r w:rsidRPr="00990FB6">
        <w:rPr>
          <w:sz w:val="22"/>
          <w:szCs w:val="22"/>
        </w:rPr>
        <w:t>21. Otras Recomendaciones</w:t>
      </w:r>
      <w:bookmarkEnd w:id="36"/>
      <w:r w:rsidRPr="00990FB6">
        <w:rPr>
          <w:sz w:val="22"/>
          <w:szCs w:val="22"/>
        </w:rPr>
        <w:t xml:space="preserve"> </w:t>
      </w:r>
    </w:p>
    <w:p w14:paraId="7BF315E1" w14:textId="77777777" w:rsidR="00B15F7D" w:rsidRPr="00990FB6" w:rsidRDefault="00B15F7D" w:rsidP="00B15F7D">
      <w:pPr>
        <w:keepNext/>
        <w:keepLines/>
        <w:ind w:left="851" w:right="851" w:firstLine="709"/>
        <w:rPr>
          <w:b/>
          <w:sz w:val="22"/>
          <w:szCs w:val="22"/>
        </w:rPr>
      </w:pPr>
    </w:p>
    <w:p w14:paraId="379B4A8E" w14:textId="77777777" w:rsidR="00B15F7D" w:rsidRPr="00990FB6" w:rsidRDefault="00B15F7D" w:rsidP="00B15F7D">
      <w:pPr>
        <w:autoSpaceDE w:val="0"/>
        <w:autoSpaceDN w:val="0"/>
        <w:adjustRightInd w:val="0"/>
        <w:ind w:left="851" w:right="851" w:firstLine="709"/>
        <w:jc w:val="both"/>
        <w:rPr>
          <w:rFonts w:eastAsia="Calibri"/>
          <w:sz w:val="22"/>
          <w:szCs w:val="22"/>
        </w:rPr>
      </w:pPr>
      <w:r w:rsidRPr="00990FB6">
        <w:rPr>
          <w:sz w:val="22"/>
          <w:szCs w:val="22"/>
        </w:rPr>
        <w:t xml:space="preserve">Según lo consignado en el informe </w:t>
      </w:r>
      <w:r w:rsidRPr="00990FB6">
        <w:rPr>
          <w:rFonts w:eastAsia="Calibri"/>
          <w:sz w:val="22"/>
          <w:szCs w:val="22"/>
        </w:rPr>
        <w:t xml:space="preserve">316-PLA-MI-RH-2022, para la formulación de presupuesto del 2023, se mantienen las siguientes recomendaciones y se dirigen al Consejo Superior con la finalidad de que se atiendan a la brevedad, debido a que el informe fue aprobado por el Consejo Superior en sesión </w:t>
      </w:r>
      <w:proofErr w:type="spellStart"/>
      <w:r w:rsidRPr="00990FB6">
        <w:rPr>
          <w:rFonts w:eastAsia="Calibri"/>
          <w:sz w:val="22"/>
          <w:szCs w:val="22"/>
        </w:rPr>
        <w:t>N°</w:t>
      </w:r>
      <w:proofErr w:type="spellEnd"/>
      <w:r w:rsidRPr="00990FB6">
        <w:rPr>
          <w:rFonts w:eastAsia="Calibri"/>
          <w:sz w:val="22"/>
          <w:szCs w:val="22"/>
        </w:rPr>
        <w:t xml:space="preserve"> 36-2022 celebrada el 29 de abril de 2022, artículo XXII, pero no se tiene pronunciamiento concreto y conocimiento de que las mismas se estén atendiendo ´por los encargados, por tanto,  se mantienen pendientes algunos de los elementos y  se reiteran nuevamente: </w:t>
      </w:r>
    </w:p>
    <w:p w14:paraId="5B880020" w14:textId="77777777" w:rsidR="00B15F7D" w:rsidRPr="00990FB6" w:rsidRDefault="00B15F7D" w:rsidP="00B15F7D">
      <w:pPr>
        <w:autoSpaceDE w:val="0"/>
        <w:autoSpaceDN w:val="0"/>
        <w:adjustRightInd w:val="0"/>
        <w:ind w:left="851" w:right="851" w:firstLine="709"/>
        <w:rPr>
          <w:sz w:val="22"/>
          <w:szCs w:val="22"/>
          <w:lang w:eastAsia="es-ES"/>
        </w:rPr>
      </w:pPr>
    </w:p>
    <w:p w14:paraId="0B79C3F7" w14:textId="77777777" w:rsidR="00B15F7D" w:rsidRPr="00990FB6" w:rsidRDefault="00B15F7D" w:rsidP="00B15F7D">
      <w:pPr>
        <w:numPr>
          <w:ilvl w:val="0"/>
          <w:numId w:val="163"/>
        </w:numPr>
        <w:suppressAutoHyphens w:val="0"/>
        <w:ind w:left="851" w:right="851" w:firstLine="709"/>
        <w:contextualSpacing/>
        <w:jc w:val="both"/>
        <w:rPr>
          <w:sz w:val="22"/>
          <w:szCs w:val="22"/>
        </w:rPr>
      </w:pPr>
      <w:bookmarkStart w:id="37" w:name="_Hlk132883032"/>
      <w:r w:rsidRPr="00990FB6">
        <w:rPr>
          <w:sz w:val="22"/>
          <w:szCs w:val="22"/>
        </w:rPr>
        <w:t xml:space="preserve">Se recomienda a la Comisión de la Jurisdicción Agraria, redactar el Reglamento para el Fondo de Financiamiento de la Jurisdicción Agraria, el cual </w:t>
      </w:r>
      <w:r w:rsidRPr="00990FB6">
        <w:rPr>
          <w:sz w:val="22"/>
          <w:szCs w:val="22"/>
        </w:rPr>
        <w:lastRenderedPageBreak/>
        <w:t>debe remitirlo en aprobación a Corte Plena, cuando se implemente la ley</w:t>
      </w:r>
      <w:bookmarkEnd w:id="37"/>
      <w:r w:rsidRPr="00990FB6">
        <w:rPr>
          <w:sz w:val="22"/>
          <w:szCs w:val="22"/>
        </w:rPr>
        <w:t xml:space="preserve">, según el apartado 3.3.7. </w:t>
      </w:r>
    </w:p>
    <w:p w14:paraId="595F8344" w14:textId="77777777" w:rsidR="00B15F7D" w:rsidRPr="00990FB6" w:rsidRDefault="00B15F7D" w:rsidP="00B15F7D">
      <w:pPr>
        <w:suppressAutoHyphens w:val="0"/>
        <w:ind w:left="1560" w:right="851"/>
        <w:contextualSpacing/>
        <w:jc w:val="both"/>
        <w:rPr>
          <w:sz w:val="22"/>
          <w:szCs w:val="22"/>
        </w:rPr>
      </w:pPr>
    </w:p>
    <w:p w14:paraId="403BABCF" w14:textId="77777777" w:rsidR="00B15F7D" w:rsidRPr="00990FB6" w:rsidRDefault="00B15F7D" w:rsidP="00B15F7D">
      <w:pPr>
        <w:numPr>
          <w:ilvl w:val="0"/>
          <w:numId w:val="163"/>
        </w:numPr>
        <w:suppressAutoHyphens w:val="0"/>
        <w:ind w:left="851" w:right="851" w:firstLine="709"/>
        <w:contextualSpacing/>
        <w:jc w:val="both"/>
        <w:rPr>
          <w:sz w:val="22"/>
          <w:szCs w:val="22"/>
        </w:rPr>
      </w:pPr>
      <w:r w:rsidRPr="00990FB6">
        <w:rPr>
          <w:sz w:val="22"/>
          <w:szCs w:val="22"/>
        </w:rPr>
        <w:t>Se recomienda a la Defensa Pública, redactar el Reglamento para el Fondo de fortalecimiento de la Defensa Pública, el cual debe remitirlo en aprobación a Corte Plena.</w:t>
      </w:r>
    </w:p>
    <w:p w14:paraId="4C3AF173" w14:textId="77777777" w:rsidR="00B15F7D" w:rsidRPr="00990FB6" w:rsidRDefault="00B15F7D" w:rsidP="00B15F7D">
      <w:pPr>
        <w:suppressAutoHyphens w:val="0"/>
        <w:ind w:right="851"/>
        <w:contextualSpacing/>
        <w:jc w:val="both"/>
        <w:rPr>
          <w:sz w:val="22"/>
          <w:szCs w:val="22"/>
        </w:rPr>
      </w:pPr>
    </w:p>
    <w:p w14:paraId="0C4DAD09" w14:textId="77777777" w:rsidR="00B15F7D" w:rsidRPr="00990FB6" w:rsidRDefault="00B15F7D" w:rsidP="00B15F7D">
      <w:pPr>
        <w:numPr>
          <w:ilvl w:val="0"/>
          <w:numId w:val="163"/>
        </w:numPr>
        <w:suppressAutoHyphens w:val="0"/>
        <w:ind w:left="851" w:right="851" w:firstLine="709"/>
        <w:contextualSpacing/>
        <w:jc w:val="both"/>
        <w:rPr>
          <w:sz w:val="22"/>
          <w:szCs w:val="22"/>
        </w:rPr>
      </w:pPr>
      <w:r w:rsidRPr="00990FB6">
        <w:rPr>
          <w:sz w:val="22"/>
          <w:szCs w:val="22"/>
        </w:rPr>
        <w:t>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w:t>
      </w:r>
      <w:r w:rsidRPr="00990FB6">
        <w:rPr>
          <w:sz w:val="22"/>
          <w:szCs w:val="22"/>
          <w:lang w:val="es-CR"/>
        </w:rPr>
        <w:t>”.</w:t>
      </w:r>
    </w:p>
    <w:p w14:paraId="1AF3E719" w14:textId="77777777" w:rsidR="00B15F7D" w:rsidRPr="00990FB6" w:rsidRDefault="00B15F7D" w:rsidP="00B15F7D">
      <w:pPr>
        <w:rPr>
          <w:b/>
          <w:bCs/>
          <w:sz w:val="22"/>
          <w:szCs w:val="22"/>
          <w:lang w:val="es-MX"/>
        </w:rPr>
      </w:pPr>
    </w:p>
    <w:p w14:paraId="19F55FBC" w14:textId="77777777" w:rsidR="00B15F7D" w:rsidRPr="00990FB6" w:rsidRDefault="00B15F7D" w:rsidP="00B15F7D">
      <w:pPr>
        <w:ind w:left="851"/>
        <w:jc w:val="center"/>
        <w:rPr>
          <w:sz w:val="22"/>
          <w:szCs w:val="22"/>
        </w:rPr>
      </w:pPr>
      <w:r w:rsidRPr="00990FB6">
        <w:rPr>
          <w:sz w:val="22"/>
          <w:szCs w:val="22"/>
        </w:rPr>
        <w:t>-0-</w:t>
      </w:r>
    </w:p>
    <w:p w14:paraId="756664DE" w14:textId="77777777" w:rsidR="00B15F7D" w:rsidRPr="00990FB6" w:rsidRDefault="00B15F7D" w:rsidP="00B15F7D">
      <w:pPr>
        <w:rPr>
          <w:b/>
          <w:bCs/>
          <w:sz w:val="22"/>
          <w:szCs w:val="22"/>
        </w:rPr>
      </w:pPr>
    </w:p>
    <w:p w14:paraId="743893FA" w14:textId="77777777" w:rsidR="00B15F7D" w:rsidRPr="00990FB6" w:rsidRDefault="00B15F7D" w:rsidP="00B15F7D">
      <w:pPr>
        <w:ind w:firstLine="708"/>
        <w:rPr>
          <w:b/>
          <w:bCs/>
          <w:sz w:val="22"/>
          <w:szCs w:val="22"/>
        </w:rPr>
      </w:pPr>
      <w:r w:rsidRPr="00990FB6">
        <w:rPr>
          <w:b/>
          <w:bCs/>
          <w:sz w:val="22"/>
          <w:szCs w:val="22"/>
        </w:rPr>
        <w:tab/>
        <w:t>Se adjunta el presente informe de forma completa:</w:t>
      </w:r>
    </w:p>
    <w:p w14:paraId="3991DD6D" w14:textId="77777777" w:rsidR="00B15F7D" w:rsidRPr="00990FB6" w:rsidRDefault="00B15F7D" w:rsidP="00B15F7D">
      <w:pPr>
        <w:ind w:firstLine="708"/>
        <w:rPr>
          <w:b/>
          <w:bCs/>
          <w:sz w:val="22"/>
          <w:szCs w:val="22"/>
        </w:rPr>
      </w:pPr>
    </w:p>
    <w:p w14:paraId="2BE85EF6" w14:textId="77777777" w:rsidR="00B15F7D" w:rsidRPr="00990FB6" w:rsidRDefault="00B15F7D" w:rsidP="00B15F7D">
      <w:pPr>
        <w:ind w:firstLine="708"/>
        <w:jc w:val="center"/>
        <w:rPr>
          <w:b/>
          <w:bCs/>
          <w:color w:val="000000"/>
          <w:sz w:val="22"/>
          <w:szCs w:val="22"/>
        </w:rPr>
      </w:pPr>
      <w:r w:rsidRPr="00990FB6">
        <w:rPr>
          <w:b/>
          <w:bCs/>
          <w:color w:val="000000"/>
          <w:sz w:val="22"/>
          <w:szCs w:val="22"/>
        </w:rPr>
        <w:object w:dxaOrig="1543" w:dyaOrig="996" w14:anchorId="7B84D581">
          <v:shape id="_x0000_i1053" type="#_x0000_t75" style="width:77pt;height:50pt" o:ole="">
            <v:imagedata r:id="rId88" o:title=""/>
          </v:shape>
          <o:OLEObject Type="Embed" ProgID="Acrobat.Document.DC" ShapeID="_x0000_i1053" DrawAspect="Icon" ObjectID="_1748679181" r:id="rId89"/>
        </w:object>
      </w:r>
    </w:p>
    <w:p w14:paraId="0C8FDE55" w14:textId="77777777" w:rsidR="00B15F7D" w:rsidRPr="00990FB6" w:rsidRDefault="00B15F7D" w:rsidP="00B15F7D">
      <w:pPr>
        <w:jc w:val="center"/>
        <w:rPr>
          <w:color w:val="000000"/>
          <w:sz w:val="22"/>
          <w:szCs w:val="22"/>
        </w:rPr>
      </w:pPr>
      <w:r w:rsidRPr="00990FB6">
        <w:rPr>
          <w:color w:val="000000"/>
          <w:sz w:val="22"/>
          <w:szCs w:val="22"/>
        </w:rPr>
        <w:t>- 0 -</w:t>
      </w:r>
    </w:p>
    <w:p w14:paraId="065129FD" w14:textId="77777777" w:rsidR="00B15F7D" w:rsidRPr="00990FB6" w:rsidRDefault="00B15F7D" w:rsidP="00B15F7D">
      <w:pPr>
        <w:ind w:firstLine="708"/>
        <w:rPr>
          <w:b/>
          <w:bCs/>
          <w:color w:val="000000"/>
          <w:sz w:val="22"/>
          <w:szCs w:val="22"/>
        </w:rPr>
      </w:pPr>
    </w:p>
    <w:p w14:paraId="72C490D8" w14:textId="77777777" w:rsidR="00B15F7D" w:rsidRPr="00990FB6" w:rsidRDefault="00B15F7D" w:rsidP="00B15F7D">
      <w:pPr>
        <w:ind w:left="851" w:right="900" w:firstLine="708"/>
        <w:jc w:val="both"/>
        <w:rPr>
          <w:color w:val="000000"/>
          <w:sz w:val="22"/>
          <w:szCs w:val="22"/>
        </w:rPr>
      </w:pPr>
      <w:r w:rsidRPr="00990FB6">
        <w:rPr>
          <w:b/>
          <w:bCs/>
          <w:color w:val="000000"/>
          <w:sz w:val="22"/>
          <w:szCs w:val="22"/>
        </w:rPr>
        <w:t xml:space="preserve">Se acordó: 1.) </w:t>
      </w:r>
      <w:r w:rsidRPr="00990FB6">
        <w:rPr>
          <w:color w:val="000000"/>
          <w:sz w:val="22"/>
          <w:szCs w:val="22"/>
        </w:rPr>
        <w:t xml:space="preserve">Tener por conocido el oficio </w:t>
      </w:r>
      <w:proofErr w:type="spellStart"/>
      <w:r w:rsidRPr="00990FB6">
        <w:rPr>
          <w:color w:val="000000"/>
          <w:sz w:val="22"/>
          <w:szCs w:val="22"/>
          <w:lang w:val="es-MX"/>
        </w:rPr>
        <w:t>N°</w:t>
      </w:r>
      <w:proofErr w:type="spellEnd"/>
      <w:r w:rsidRPr="00990FB6">
        <w:rPr>
          <w:color w:val="000000"/>
          <w:sz w:val="22"/>
          <w:szCs w:val="22"/>
          <w:lang w:val="es-MX"/>
        </w:rPr>
        <w:t xml:space="preserve"> </w:t>
      </w:r>
      <w:r w:rsidRPr="00990FB6">
        <w:rPr>
          <w:color w:val="000000"/>
          <w:sz w:val="22"/>
          <w:szCs w:val="22"/>
          <w:lang w:val="es-CR"/>
        </w:rPr>
        <w:t xml:space="preserve">281-PLA-RH-MI(NPL)- 2023 del 18 de abril de 2023, suscrito por la </w:t>
      </w:r>
      <w:r w:rsidRPr="00990FB6">
        <w:rPr>
          <w:color w:val="000000"/>
          <w:sz w:val="22"/>
          <w:szCs w:val="22"/>
          <w:lang w:val="es-MX"/>
        </w:rPr>
        <w:t xml:space="preserve">licenciada Nacira Valverde Bermúdez Directora de Planificación, en que remite el informe relacionado </w:t>
      </w:r>
      <w:r w:rsidRPr="00990FB6">
        <w:rPr>
          <w:color w:val="000000"/>
          <w:sz w:val="22"/>
          <w:szCs w:val="22"/>
        </w:rPr>
        <w:t xml:space="preserve">con el Impacto organizacional y presupuestario en el Poder Judicial a partir de la promulgación del Nuevo Código Procesal Agrario para el 2023 (Ley 2024). </w:t>
      </w:r>
      <w:r w:rsidRPr="00990FB6">
        <w:rPr>
          <w:b/>
          <w:bCs/>
          <w:color w:val="000000"/>
          <w:sz w:val="22"/>
          <w:szCs w:val="22"/>
        </w:rPr>
        <w:t xml:space="preserve">2.) </w:t>
      </w:r>
      <w:r w:rsidRPr="00990FB6">
        <w:rPr>
          <w:color w:val="000000"/>
          <w:sz w:val="22"/>
          <w:szCs w:val="22"/>
        </w:rPr>
        <w:t xml:space="preserve">Acoger las recomendaciones dadas en el informe supra, dirigidas a las siguientes instancias:  </w:t>
      </w:r>
      <w:r w:rsidRPr="00990FB6">
        <w:rPr>
          <w:b/>
          <w:bCs/>
          <w:color w:val="000000"/>
          <w:sz w:val="22"/>
          <w:szCs w:val="22"/>
        </w:rPr>
        <w:t>2.1)</w:t>
      </w:r>
      <w:r w:rsidRPr="00990FB6">
        <w:rPr>
          <w:color w:val="000000"/>
          <w:sz w:val="22"/>
          <w:szCs w:val="22"/>
        </w:rPr>
        <w:t xml:space="preserve"> </w:t>
      </w:r>
      <w:r w:rsidRPr="00990FB6">
        <w:rPr>
          <w:b/>
          <w:bCs/>
          <w:color w:val="000000"/>
          <w:sz w:val="22"/>
          <w:szCs w:val="22"/>
        </w:rPr>
        <w:t xml:space="preserve">A la Comisión de la Jurisdicción Agraria: </w:t>
      </w:r>
      <w:r w:rsidRPr="00990FB6">
        <w:rPr>
          <w:color w:val="000000"/>
          <w:sz w:val="22"/>
          <w:szCs w:val="22"/>
        </w:rPr>
        <w:t xml:space="preserve">Redactar el Reglamento para el Fondo de Financiamiento de la Jurisdicción Agraria, el cual deberá remitirlo en aprobación a Corte Plena, cuando se implemente la ley. </w:t>
      </w:r>
      <w:r w:rsidRPr="00990FB6">
        <w:rPr>
          <w:b/>
          <w:bCs/>
          <w:color w:val="000000"/>
          <w:sz w:val="22"/>
          <w:szCs w:val="22"/>
        </w:rPr>
        <w:t>2.2)</w:t>
      </w:r>
      <w:r w:rsidRPr="00990FB6">
        <w:rPr>
          <w:color w:val="000000"/>
          <w:sz w:val="22"/>
          <w:szCs w:val="22"/>
        </w:rPr>
        <w:t xml:space="preserve"> </w:t>
      </w:r>
      <w:r w:rsidRPr="00990FB6">
        <w:rPr>
          <w:b/>
          <w:bCs/>
          <w:color w:val="000000"/>
          <w:sz w:val="22"/>
          <w:szCs w:val="22"/>
        </w:rPr>
        <w:t xml:space="preserve">A la Defensa Pública: </w:t>
      </w:r>
      <w:r w:rsidRPr="00990FB6">
        <w:rPr>
          <w:color w:val="000000"/>
          <w:sz w:val="22"/>
          <w:szCs w:val="22"/>
        </w:rPr>
        <w:t xml:space="preserve">Redactar el Reglamento para el Fondo de fortalecimiento de la Defensa Pública, el cual debe remitirlo en aprobación a Corte Plena. </w:t>
      </w:r>
      <w:r w:rsidRPr="00990FB6">
        <w:rPr>
          <w:b/>
          <w:bCs/>
          <w:color w:val="000000"/>
          <w:sz w:val="22"/>
          <w:szCs w:val="22"/>
        </w:rPr>
        <w:t>2.3)</w:t>
      </w:r>
      <w:r w:rsidRPr="00990FB6">
        <w:rPr>
          <w:color w:val="000000"/>
          <w:sz w:val="22"/>
          <w:szCs w:val="22"/>
        </w:rPr>
        <w:t xml:space="preserve"> </w:t>
      </w:r>
      <w:r w:rsidRPr="00990FB6">
        <w:rPr>
          <w:b/>
          <w:bCs/>
          <w:color w:val="000000"/>
          <w:sz w:val="22"/>
          <w:szCs w:val="22"/>
        </w:rPr>
        <w:t>Al</w:t>
      </w:r>
      <w:r w:rsidRPr="00990FB6">
        <w:rPr>
          <w:color w:val="000000"/>
          <w:sz w:val="22"/>
          <w:szCs w:val="22"/>
        </w:rPr>
        <w:t xml:space="preserve"> </w:t>
      </w:r>
      <w:r w:rsidRPr="00990FB6">
        <w:rPr>
          <w:b/>
          <w:bCs/>
          <w:color w:val="000000"/>
          <w:sz w:val="22"/>
          <w:szCs w:val="22"/>
        </w:rPr>
        <w:t xml:space="preserve">Centro de Apoyo, Coordinación y Mejoramiento a la Función Jurisdiccional: </w:t>
      </w:r>
      <w:r w:rsidRPr="00990FB6">
        <w:rPr>
          <w:color w:val="000000"/>
          <w:sz w:val="22"/>
          <w:szCs w:val="22"/>
        </w:rPr>
        <w:t xml:space="preserve">Velar porque en los planes de descongestionamiento con plazas de </w:t>
      </w:r>
      <w:proofErr w:type="spellStart"/>
      <w:r w:rsidRPr="00990FB6">
        <w:rPr>
          <w:color w:val="000000"/>
          <w:sz w:val="22"/>
          <w:szCs w:val="22"/>
        </w:rPr>
        <w:t>Epersonal</w:t>
      </w:r>
      <w:proofErr w:type="spellEnd"/>
      <w:r w:rsidRPr="00990FB6">
        <w:rPr>
          <w:color w:val="000000"/>
          <w:sz w:val="22"/>
          <w:szCs w:val="22"/>
        </w:rPr>
        <w:t xml:space="preserve">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w:t>
      </w:r>
      <w:r w:rsidRPr="00990FB6">
        <w:rPr>
          <w:b/>
          <w:bCs/>
          <w:color w:val="000000"/>
          <w:sz w:val="22"/>
          <w:szCs w:val="22"/>
        </w:rPr>
        <w:t xml:space="preserve">3.) </w:t>
      </w:r>
      <w:r w:rsidRPr="00990FB6">
        <w:rPr>
          <w:color w:val="000000"/>
          <w:sz w:val="22"/>
          <w:szCs w:val="22"/>
        </w:rPr>
        <w:t>Hacer este acuerdo de conocimiento de las Direcciones de Gestión Humana, Ejecutiva, del Departamento de Financiero Contable, de la Comisión de la Jurisdicción Agraria, de la Defensa Pública, del Centro de Apoyo, Coordinación y Mejoramiento a la Función Jurisdiccional, así como de la Corte Plena.</w:t>
      </w:r>
    </w:p>
    <w:p w14:paraId="79F5A8AC" w14:textId="77777777" w:rsidR="00B15F7D" w:rsidRPr="00990FB6" w:rsidRDefault="00B15F7D" w:rsidP="00B15F7D">
      <w:pPr>
        <w:ind w:left="851" w:right="900" w:firstLine="708"/>
        <w:jc w:val="both"/>
        <w:rPr>
          <w:color w:val="000000"/>
          <w:sz w:val="22"/>
          <w:szCs w:val="22"/>
        </w:rPr>
      </w:pPr>
    </w:p>
    <w:p w14:paraId="6054D893" w14:textId="77777777" w:rsidR="00B15F7D" w:rsidRPr="00990FB6" w:rsidRDefault="00B15F7D" w:rsidP="00B15F7D">
      <w:pPr>
        <w:keepNext/>
        <w:tabs>
          <w:tab w:val="num" w:pos="0"/>
        </w:tabs>
        <w:ind w:left="851" w:right="902"/>
        <w:jc w:val="both"/>
        <w:rPr>
          <w:b/>
          <w:i/>
          <w:color w:val="000000"/>
          <w:sz w:val="22"/>
          <w:szCs w:val="22"/>
        </w:rPr>
      </w:pPr>
      <w:r w:rsidRPr="00990FB6">
        <w:rPr>
          <w:color w:val="000000"/>
          <w:sz w:val="22"/>
          <w:szCs w:val="22"/>
        </w:rPr>
        <w:lastRenderedPageBreak/>
        <w:tab/>
      </w:r>
      <w:bookmarkStart w:id="38" w:name="_Toc135990686"/>
      <w:r w:rsidRPr="00990FB6">
        <w:rPr>
          <w:color w:val="000000"/>
          <w:sz w:val="22"/>
          <w:szCs w:val="22"/>
        </w:rPr>
        <w:t xml:space="preserve">La Dirección de Planificación, tomará nota para lo que corresponda. </w:t>
      </w:r>
      <w:r w:rsidRPr="00990FB6">
        <w:rPr>
          <w:b/>
          <w:bCs/>
          <w:color w:val="000000"/>
          <w:sz w:val="22"/>
          <w:szCs w:val="22"/>
          <w:lang w:val="es-CR" w:eastAsia="es-ES_tradnl"/>
        </w:rPr>
        <w:t>Se declara acuerdo firme</w:t>
      </w:r>
      <w:r w:rsidRPr="00990FB6">
        <w:rPr>
          <w:color w:val="000000"/>
          <w:sz w:val="22"/>
          <w:szCs w:val="22"/>
        </w:rPr>
        <w:t>.</w:t>
      </w:r>
      <w:r w:rsidRPr="00990FB6">
        <w:rPr>
          <w:b/>
          <w:i/>
          <w:color w:val="000000"/>
          <w:sz w:val="22"/>
          <w:szCs w:val="22"/>
        </w:rPr>
        <w:t>”</w:t>
      </w:r>
      <w:bookmarkEnd w:id="38"/>
    </w:p>
    <w:p w14:paraId="3205769D" w14:textId="77777777" w:rsidR="00B15F7D" w:rsidRPr="00990FB6" w:rsidRDefault="00B15F7D" w:rsidP="00B15F7D">
      <w:pPr>
        <w:keepNext/>
        <w:tabs>
          <w:tab w:val="num" w:pos="0"/>
        </w:tabs>
        <w:ind w:left="851" w:right="902"/>
        <w:jc w:val="both"/>
        <w:rPr>
          <w:color w:val="000000"/>
          <w:sz w:val="22"/>
          <w:szCs w:val="22"/>
        </w:rPr>
      </w:pPr>
    </w:p>
    <w:p w14:paraId="16A43E81" w14:textId="4B665F26" w:rsidR="00B15F7D" w:rsidRPr="00990FB6" w:rsidRDefault="00B15F7D" w:rsidP="00B15F7D">
      <w:pPr>
        <w:suppressAutoHyphens w:val="0"/>
        <w:ind w:firstLine="709"/>
        <w:jc w:val="center"/>
        <w:rPr>
          <w:bCs/>
          <w:sz w:val="22"/>
          <w:szCs w:val="22"/>
          <w:lang w:eastAsia="es-ES"/>
        </w:rPr>
      </w:pPr>
      <w:r w:rsidRPr="00990FB6">
        <w:rPr>
          <w:bCs/>
          <w:sz w:val="22"/>
          <w:szCs w:val="22"/>
          <w:lang w:eastAsia="es-ES"/>
        </w:rPr>
        <w:t xml:space="preserve">- 0 </w:t>
      </w:r>
      <w:r w:rsidR="00EA7B4C" w:rsidRPr="00990FB6">
        <w:rPr>
          <w:bCs/>
          <w:sz w:val="22"/>
          <w:szCs w:val="22"/>
          <w:lang w:eastAsia="es-ES"/>
        </w:rPr>
        <w:t>–</w:t>
      </w:r>
    </w:p>
    <w:p w14:paraId="7D35B2FD" w14:textId="77777777" w:rsidR="00EA7B4C" w:rsidRPr="00990FB6" w:rsidRDefault="00EA7B4C" w:rsidP="00B15F7D">
      <w:pPr>
        <w:suppressAutoHyphens w:val="0"/>
        <w:ind w:firstLine="709"/>
        <w:jc w:val="center"/>
        <w:rPr>
          <w:bCs/>
          <w:sz w:val="22"/>
          <w:szCs w:val="22"/>
          <w:lang w:eastAsia="es-ES"/>
        </w:rPr>
      </w:pPr>
    </w:p>
    <w:p w14:paraId="35FE89B2" w14:textId="315D10F8" w:rsidR="00B15F7D" w:rsidRPr="00990FB6" w:rsidRDefault="00B15F7D" w:rsidP="00B15F7D">
      <w:pPr>
        <w:suppressAutoHyphens w:val="0"/>
        <w:ind w:firstLine="709"/>
        <w:jc w:val="both"/>
        <w:rPr>
          <w:bCs/>
          <w:sz w:val="22"/>
          <w:szCs w:val="22"/>
        </w:rPr>
      </w:pPr>
      <w:r w:rsidRPr="00990FB6">
        <w:rPr>
          <w:bCs/>
          <w:sz w:val="22"/>
          <w:szCs w:val="22"/>
        </w:rPr>
        <w:t xml:space="preserve">El Consejo Superior, en sesión extraordinaria de presupuesto </w:t>
      </w:r>
      <w:proofErr w:type="spellStart"/>
      <w:r w:rsidRPr="00990FB6">
        <w:rPr>
          <w:bCs/>
          <w:sz w:val="22"/>
          <w:szCs w:val="22"/>
        </w:rPr>
        <w:t>N°</w:t>
      </w:r>
      <w:proofErr w:type="spellEnd"/>
      <w:r w:rsidRPr="00990FB6">
        <w:rPr>
          <w:bCs/>
          <w:sz w:val="22"/>
          <w:szCs w:val="22"/>
        </w:rPr>
        <w:t xml:space="preserve"> 32-2023 celebrada el 19 de abril de 2023, artículo XXI, tomó el acuerdo que literalmente dice:</w:t>
      </w:r>
    </w:p>
    <w:p w14:paraId="5A60BD9A" w14:textId="77777777" w:rsidR="00EA7B4C" w:rsidRPr="00990FB6" w:rsidRDefault="00EA7B4C" w:rsidP="00B15F7D">
      <w:pPr>
        <w:suppressAutoHyphens w:val="0"/>
        <w:ind w:firstLine="709"/>
        <w:jc w:val="both"/>
        <w:rPr>
          <w:bCs/>
          <w:sz w:val="22"/>
          <w:szCs w:val="22"/>
        </w:rPr>
      </w:pPr>
    </w:p>
    <w:p w14:paraId="00F5394D" w14:textId="77777777" w:rsidR="00B15F7D" w:rsidRPr="00990FB6" w:rsidRDefault="00B15F7D" w:rsidP="00B15F7D">
      <w:pPr>
        <w:keepNext/>
        <w:keepLines/>
        <w:ind w:left="851" w:right="851" w:firstLine="709"/>
        <w:jc w:val="both"/>
        <w:rPr>
          <w:bCs/>
          <w:sz w:val="22"/>
          <w:szCs w:val="22"/>
        </w:rPr>
      </w:pPr>
      <w:bookmarkStart w:id="39" w:name="_Toc135990689"/>
      <w:r w:rsidRPr="00990FB6">
        <w:rPr>
          <w:bCs/>
          <w:sz w:val="22"/>
          <w:szCs w:val="22"/>
        </w:rPr>
        <w:t>“(…)</w:t>
      </w:r>
      <w:bookmarkEnd w:id="39"/>
    </w:p>
    <w:p w14:paraId="5AA3E4F6" w14:textId="77777777" w:rsidR="00B15F7D" w:rsidRPr="00990FB6" w:rsidRDefault="00B15F7D" w:rsidP="00B15F7D">
      <w:pPr>
        <w:keepNext/>
        <w:keepLines/>
        <w:ind w:left="851" w:right="851" w:firstLine="709"/>
        <w:jc w:val="both"/>
        <w:rPr>
          <w:b/>
          <w:bCs/>
          <w:sz w:val="22"/>
          <w:szCs w:val="22"/>
          <w:u w:val="single"/>
          <w:lang w:val="es-MX"/>
        </w:rPr>
      </w:pPr>
    </w:p>
    <w:p w14:paraId="5C938EBA" w14:textId="77777777" w:rsidR="00B15F7D" w:rsidRPr="00990FB6" w:rsidRDefault="00B15F7D" w:rsidP="00B15F7D">
      <w:pPr>
        <w:ind w:left="851" w:right="851" w:firstLine="709"/>
        <w:jc w:val="both"/>
        <w:rPr>
          <w:sz w:val="22"/>
          <w:szCs w:val="22"/>
        </w:rPr>
      </w:pPr>
      <w:r w:rsidRPr="00990FB6">
        <w:rPr>
          <w:sz w:val="22"/>
          <w:szCs w:val="22"/>
        </w:rPr>
        <w:t xml:space="preserve">La licenciada Nacira Valverde Bermúdez, Directora de Planificación, expuso el oficio 1420-PLA-PP-TR-2023 que para el 2023 el Poder Judicial dentro de las plazas aprobadas por Corte Plena para la atención de nuevas obligaciones se incluyeron las plazas para la atención y acceso a la justicia de personas con asuntos relacionados a Pensiones Alimentarias, que dice: </w:t>
      </w:r>
    </w:p>
    <w:p w14:paraId="23D76750" w14:textId="77777777" w:rsidR="00B15F7D" w:rsidRPr="00990FB6" w:rsidRDefault="00B15F7D" w:rsidP="00B15F7D">
      <w:pPr>
        <w:ind w:left="851" w:right="851" w:firstLine="709"/>
        <w:jc w:val="both"/>
        <w:rPr>
          <w:sz w:val="22"/>
          <w:szCs w:val="22"/>
        </w:rPr>
      </w:pPr>
    </w:p>
    <w:p w14:paraId="19A33790" w14:textId="77777777" w:rsidR="00B15F7D" w:rsidRPr="00990FB6" w:rsidRDefault="00B15F7D" w:rsidP="00B15F7D">
      <w:pPr>
        <w:ind w:left="851" w:right="851" w:firstLine="709"/>
        <w:jc w:val="both"/>
        <w:rPr>
          <w:sz w:val="22"/>
          <w:szCs w:val="22"/>
        </w:rPr>
      </w:pPr>
      <w:r w:rsidRPr="00990FB6">
        <w:rPr>
          <w:sz w:val="22"/>
          <w:szCs w:val="22"/>
        </w:rPr>
        <w:t xml:space="preserve">“Lo anterior se sustentó en el oficio 892-PLA-PP-2021 del 09 de agosto del año 2021, conocido por Corte Plena.  Específicamente se solicitaron 33 plazas de Defensor Público, pero que, por temas de límites presupuestarios al igual que en períodos anteriores se presentaron por separado al Ministerio de Hacienda. </w:t>
      </w:r>
    </w:p>
    <w:p w14:paraId="25975E70" w14:textId="77777777" w:rsidR="00B15F7D" w:rsidRPr="00990FB6" w:rsidRDefault="00B15F7D" w:rsidP="00B15F7D">
      <w:pPr>
        <w:ind w:left="851" w:right="851" w:firstLine="709"/>
        <w:jc w:val="both"/>
        <w:rPr>
          <w:sz w:val="22"/>
          <w:szCs w:val="22"/>
        </w:rPr>
      </w:pPr>
    </w:p>
    <w:p w14:paraId="3B0EC156" w14:textId="77777777" w:rsidR="00B15F7D" w:rsidRPr="00990FB6" w:rsidRDefault="00B15F7D" w:rsidP="00B15F7D">
      <w:pPr>
        <w:ind w:left="851" w:right="851" w:firstLine="709"/>
        <w:jc w:val="both"/>
        <w:rPr>
          <w:sz w:val="22"/>
          <w:szCs w:val="22"/>
        </w:rPr>
      </w:pPr>
      <w:r w:rsidRPr="00990FB6">
        <w:rPr>
          <w:sz w:val="22"/>
          <w:szCs w:val="22"/>
        </w:rPr>
        <w:t>En dicho informe se indicó lo siguiente:</w:t>
      </w:r>
    </w:p>
    <w:p w14:paraId="401BC121" w14:textId="77777777" w:rsidR="00B15F7D" w:rsidRPr="00990FB6" w:rsidRDefault="00B15F7D" w:rsidP="00B15F7D">
      <w:pPr>
        <w:ind w:left="851" w:right="851" w:firstLine="709"/>
        <w:jc w:val="both"/>
        <w:rPr>
          <w:sz w:val="22"/>
          <w:szCs w:val="22"/>
        </w:rPr>
      </w:pPr>
    </w:p>
    <w:p w14:paraId="03CCF45F" w14:textId="77777777" w:rsidR="00B15F7D" w:rsidRPr="00990FB6" w:rsidRDefault="00B15F7D" w:rsidP="00B15F7D">
      <w:pPr>
        <w:ind w:left="851" w:right="851" w:firstLine="709"/>
        <w:jc w:val="both"/>
        <w:rPr>
          <w:i/>
          <w:iCs/>
          <w:sz w:val="22"/>
          <w:szCs w:val="22"/>
        </w:rPr>
      </w:pPr>
      <w:r w:rsidRPr="00990FB6">
        <w:rPr>
          <w:i/>
          <w:iCs/>
          <w:sz w:val="22"/>
          <w:szCs w:val="22"/>
        </w:rPr>
        <w:t>“Al respecto mediante correo electrónico del 30 de julio de 2021, la Licda. Fanny Morales Mendoza, Coordinadora de Análisis Presupuestario de Poderes de la Dirección General de Presupuesto Nacional, comunicó que se aprobaba la suma de ¢764.985.000 para la incorporación de 15 de las plazas solicitadas, por lo que se solicitaba la coordinación para la inclusión tanto de las plazas como el detalle del gasto correspondiente a estos puestos, solicitud que fue respondida por parte de la Presidencia de la Corte mediante oficio 169-P-2021, de fecha 6 de agosto de 2021. Finalmente, las plazas fueron incorporadas como plazas ordinarias por ese Ministerio y aprobadas por la Asamblea Legislativa como parte de la Ley de Presupuesto 2022.</w:t>
      </w:r>
    </w:p>
    <w:p w14:paraId="68C78AC5" w14:textId="77777777" w:rsidR="00B15F7D" w:rsidRPr="00990FB6" w:rsidRDefault="00B15F7D" w:rsidP="00B15F7D">
      <w:pPr>
        <w:ind w:left="851" w:right="851" w:firstLine="709"/>
        <w:jc w:val="both"/>
        <w:rPr>
          <w:i/>
          <w:iCs/>
          <w:sz w:val="22"/>
          <w:szCs w:val="22"/>
        </w:rPr>
      </w:pPr>
    </w:p>
    <w:p w14:paraId="4A23927D" w14:textId="77777777" w:rsidR="00B15F7D" w:rsidRPr="00990FB6" w:rsidRDefault="00B15F7D" w:rsidP="00B15F7D">
      <w:pPr>
        <w:ind w:left="851" w:right="851" w:firstLine="709"/>
        <w:jc w:val="both"/>
        <w:rPr>
          <w:i/>
          <w:iCs/>
          <w:sz w:val="22"/>
          <w:szCs w:val="22"/>
        </w:rPr>
      </w:pPr>
      <w:r w:rsidRPr="00990FB6">
        <w:rPr>
          <w:i/>
          <w:iCs/>
          <w:sz w:val="22"/>
          <w:szCs w:val="22"/>
        </w:rPr>
        <w:t>Al respecto cabe señalar que, de este grupo de plazas, 18 plazas de Defensor Público están pendientes de ser solicitadas para su incorporación fuera del límite presupuestario como se han solicitado los años anteriores.</w:t>
      </w:r>
    </w:p>
    <w:p w14:paraId="51B7A6F7" w14:textId="77777777" w:rsidR="00B15F7D" w:rsidRPr="00990FB6" w:rsidRDefault="00B15F7D" w:rsidP="00B15F7D">
      <w:pPr>
        <w:ind w:left="851" w:right="851" w:firstLine="709"/>
        <w:jc w:val="both"/>
        <w:rPr>
          <w:i/>
          <w:iCs/>
          <w:sz w:val="22"/>
          <w:szCs w:val="22"/>
        </w:rPr>
      </w:pPr>
    </w:p>
    <w:p w14:paraId="0D8D3E9B" w14:textId="77777777" w:rsidR="00B15F7D" w:rsidRPr="00990FB6" w:rsidRDefault="00B15F7D" w:rsidP="00B15F7D">
      <w:pPr>
        <w:ind w:left="851" w:right="851" w:firstLine="709"/>
        <w:jc w:val="both"/>
        <w:rPr>
          <w:i/>
          <w:iCs/>
          <w:sz w:val="22"/>
          <w:szCs w:val="22"/>
        </w:rPr>
      </w:pPr>
      <w:r w:rsidRPr="00990FB6">
        <w:rPr>
          <w:i/>
          <w:iCs/>
          <w:sz w:val="22"/>
          <w:szCs w:val="22"/>
        </w:rPr>
        <w:t>Es importante acotar que en el trámite de la solicitud de estos recursos en el Ministerio de Hacienda se ha determinado necesario establecer que las plazas aprobadas sean de carácter ordinario dado que responden a situaciones de cargas de trabajo permanentes, según se ha verificado en los estudios técnicos correspondientes.</w:t>
      </w:r>
    </w:p>
    <w:p w14:paraId="7EA770DC" w14:textId="77777777" w:rsidR="00B15F7D" w:rsidRPr="00990FB6" w:rsidRDefault="00B15F7D" w:rsidP="00B15F7D">
      <w:pPr>
        <w:ind w:left="851" w:right="851" w:firstLine="709"/>
        <w:jc w:val="both"/>
        <w:rPr>
          <w:i/>
          <w:iCs/>
          <w:sz w:val="22"/>
          <w:szCs w:val="22"/>
        </w:rPr>
      </w:pPr>
    </w:p>
    <w:p w14:paraId="78A19CBB" w14:textId="77777777" w:rsidR="00B15F7D" w:rsidRPr="00990FB6" w:rsidRDefault="00B15F7D" w:rsidP="00B15F7D">
      <w:pPr>
        <w:ind w:left="851" w:right="851" w:firstLine="709"/>
        <w:jc w:val="both"/>
        <w:rPr>
          <w:i/>
          <w:iCs/>
          <w:sz w:val="22"/>
          <w:szCs w:val="22"/>
        </w:rPr>
      </w:pPr>
      <w:r w:rsidRPr="00990FB6">
        <w:rPr>
          <w:i/>
          <w:iCs/>
          <w:sz w:val="22"/>
          <w:szCs w:val="22"/>
        </w:rPr>
        <w:t xml:space="preserve">En este sentido, es oportuno reiterar que mediante informe 34-PLA-EV-2017 se determinó que Defensa Pública da el servicio de acompañamiento en los procesos de alimentos a la parte actora, conforme se han ido generando recursos para esta dependencia por medio de los proyectos de pensiones alimentarias orales-electrónicos. En menor medida también asumen casos propiamente de </w:t>
      </w:r>
      <w:r w:rsidRPr="00990FB6">
        <w:rPr>
          <w:i/>
          <w:iCs/>
          <w:sz w:val="22"/>
          <w:szCs w:val="22"/>
        </w:rPr>
        <w:lastRenderedPageBreak/>
        <w:t>Familia, pero siempre limitándose a dar el servicio a la parte actora, por cuanto en la mayoría de las ocasiones figura como la parte más vulnerable del proceso.</w:t>
      </w:r>
    </w:p>
    <w:p w14:paraId="6B06B907" w14:textId="77777777" w:rsidR="00B15F7D" w:rsidRPr="00990FB6" w:rsidRDefault="00B15F7D" w:rsidP="00B15F7D">
      <w:pPr>
        <w:ind w:left="851" w:right="851" w:firstLine="709"/>
        <w:jc w:val="both"/>
        <w:rPr>
          <w:i/>
          <w:iCs/>
          <w:sz w:val="22"/>
          <w:szCs w:val="22"/>
        </w:rPr>
      </w:pPr>
    </w:p>
    <w:p w14:paraId="7BF52E8F" w14:textId="77777777" w:rsidR="00B15F7D" w:rsidRPr="00990FB6" w:rsidRDefault="00B15F7D" w:rsidP="00B15F7D">
      <w:pPr>
        <w:ind w:left="851" w:right="851" w:firstLine="709"/>
        <w:jc w:val="both"/>
        <w:rPr>
          <w:i/>
          <w:iCs/>
          <w:sz w:val="22"/>
          <w:szCs w:val="22"/>
        </w:rPr>
      </w:pPr>
      <w:r w:rsidRPr="00990FB6">
        <w:rPr>
          <w:i/>
          <w:iCs/>
          <w:sz w:val="22"/>
          <w:szCs w:val="22"/>
        </w:rPr>
        <w:t>Para el desarrollo de ejercicio de la estimación de la cantidad de recurso humano necesaria, la Defensa Pública efectuó un análisis de requerimientos basados en la carga de trabajo de procesos de pensiones alimentarias, el comportamiento histórico de los asuntos ingresados, la cuota diaria de atención de las demandas nuevas por cada plaza de Defensora o Defensor y  partiendo de estas premisas se realizó un análisis pormenorizado por circuito judicial, valorando en primera instancia la carga de trabajo existente para determinar la cantidad requerida de recurso humano, pero también se ponderaron otras variables cualitativas como la complejidad de las causas y las distancias. Hay que indicar que la solicitud original de plazas para atender la carga de trabajo en esta materia era de 33 plazas de Defensor o Defensora Pública.”</w:t>
      </w:r>
    </w:p>
    <w:p w14:paraId="08082F3F" w14:textId="77777777" w:rsidR="00B15F7D" w:rsidRPr="00990FB6" w:rsidRDefault="00B15F7D" w:rsidP="00B15F7D">
      <w:pPr>
        <w:ind w:left="851" w:right="851" w:firstLine="709"/>
        <w:jc w:val="both"/>
        <w:rPr>
          <w:i/>
          <w:iCs/>
          <w:sz w:val="22"/>
          <w:szCs w:val="22"/>
        </w:rPr>
      </w:pPr>
    </w:p>
    <w:p w14:paraId="3D092AC6" w14:textId="77777777" w:rsidR="00B15F7D" w:rsidRPr="00990FB6" w:rsidRDefault="00B15F7D" w:rsidP="00B15F7D">
      <w:pPr>
        <w:ind w:left="851" w:right="851"/>
        <w:jc w:val="center"/>
        <w:rPr>
          <w:sz w:val="22"/>
          <w:szCs w:val="22"/>
        </w:rPr>
      </w:pPr>
      <w:r w:rsidRPr="00990FB6">
        <w:rPr>
          <w:sz w:val="22"/>
          <w:szCs w:val="22"/>
        </w:rPr>
        <w:t>- 0 -</w:t>
      </w:r>
    </w:p>
    <w:p w14:paraId="23BAD230" w14:textId="77777777" w:rsidR="00B15F7D" w:rsidRPr="00990FB6" w:rsidRDefault="00B15F7D" w:rsidP="00B15F7D">
      <w:pPr>
        <w:ind w:left="851" w:right="851" w:firstLine="709"/>
        <w:jc w:val="both"/>
        <w:rPr>
          <w:sz w:val="22"/>
          <w:szCs w:val="22"/>
        </w:rPr>
      </w:pPr>
    </w:p>
    <w:p w14:paraId="511E3043" w14:textId="77777777" w:rsidR="00B15F7D" w:rsidRPr="00990FB6" w:rsidRDefault="00B15F7D" w:rsidP="00B15F7D">
      <w:pPr>
        <w:ind w:left="851" w:right="851" w:firstLine="709"/>
        <w:jc w:val="both"/>
        <w:rPr>
          <w:sz w:val="22"/>
          <w:szCs w:val="22"/>
        </w:rPr>
      </w:pPr>
      <w:r w:rsidRPr="00990FB6">
        <w:rPr>
          <w:sz w:val="22"/>
          <w:szCs w:val="22"/>
        </w:rPr>
        <w:t xml:space="preserve">La Licenciada Nacira Valverde Bermúdez directora de Planificación, expone: </w:t>
      </w:r>
    </w:p>
    <w:p w14:paraId="0E2E565B" w14:textId="77777777" w:rsidR="00B15F7D" w:rsidRPr="00990FB6" w:rsidRDefault="00B15F7D" w:rsidP="00B15F7D">
      <w:pPr>
        <w:ind w:left="851" w:right="851" w:firstLine="709"/>
        <w:jc w:val="both"/>
        <w:rPr>
          <w:sz w:val="22"/>
          <w:szCs w:val="22"/>
        </w:rPr>
      </w:pPr>
    </w:p>
    <w:p w14:paraId="22B396A2" w14:textId="77777777" w:rsidR="00B15F7D" w:rsidRPr="00990FB6" w:rsidRDefault="00B15F7D" w:rsidP="00B15F7D">
      <w:pPr>
        <w:ind w:left="851" w:right="851" w:firstLine="709"/>
        <w:jc w:val="both"/>
        <w:rPr>
          <w:sz w:val="22"/>
          <w:szCs w:val="22"/>
        </w:rPr>
      </w:pPr>
      <w:r w:rsidRPr="00990FB6">
        <w:rPr>
          <w:sz w:val="22"/>
          <w:szCs w:val="22"/>
        </w:rPr>
        <w:t xml:space="preserve">“Esto es una solicitud que realiza desde hace años atrás, la Defensa Pública, </w:t>
      </w:r>
      <w:proofErr w:type="gramStart"/>
      <w:r w:rsidRPr="00990FB6">
        <w:rPr>
          <w:sz w:val="22"/>
          <w:szCs w:val="22"/>
        </w:rPr>
        <w:t>en relación a</w:t>
      </w:r>
      <w:proofErr w:type="gramEnd"/>
      <w:r w:rsidRPr="00990FB6">
        <w:rPr>
          <w:sz w:val="22"/>
          <w:szCs w:val="22"/>
        </w:rPr>
        <w:t xml:space="preserve"> las necesidades para completar las estructuras de la Defensa Pública en atención de las necesidades en pensiones alimentarias, hay que recordar que hace dos años el Poder Ejecutivo dio la posibilidad de que se pudiese dar un crecimiento de 17 defensores públicos, que era la mitad de lo que se requería y sin embargo, sigue pendiente la siguiente mitad. Entonces nosotros ahí contemplamos la necesidad vigente desde años anteriores, de poder este tener esos recursos, sin embargo, aquí sabemos que esto tendrá que ser contemplado como un recurso adicional, como otros años se ha planteado que no hay la posibilidad de tener un crecimiento presupuestario a partir del límite vigente, entonces lo dejamos plasmado de esa forma.”</w:t>
      </w:r>
    </w:p>
    <w:p w14:paraId="5EA699D2" w14:textId="77777777" w:rsidR="00B15F7D" w:rsidRPr="00990FB6" w:rsidRDefault="00B15F7D" w:rsidP="00B15F7D">
      <w:pPr>
        <w:ind w:left="851" w:right="851" w:firstLine="709"/>
        <w:jc w:val="both"/>
        <w:rPr>
          <w:sz w:val="22"/>
          <w:szCs w:val="22"/>
        </w:rPr>
      </w:pPr>
    </w:p>
    <w:p w14:paraId="3867E661" w14:textId="77777777" w:rsidR="00B15F7D" w:rsidRPr="00990FB6" w:rsidRDefault="00B15F7D" w:rsidP="00B15F7D">
      <w:pPr>
        <w:ind w:left="851" w:right="851" w:firstLine="709"/>
        <w:jc w:val="both"/>
        <w:rPr>
          <w:i/>
          <w:iCs/>
          <w:sz w:val="22"/>
          <w:szCs w:val="22"/>
        </w:rPr>
      </w:pPr>
      <w:r w:rsidRPr="00990FB6">
        <w:rPr>
          <w:sz w:val="22"/>
          <w:szCs w:val="22"/>
        </w:rPr>
        <w:t xml:space="preserve">Por su parte el Presidente, magistrado Aguirre, procede con la lectura del, por tanto, que dice: </w:t>
      </w:r>
      <w:r w:rsidRPr="00990FB6">
        <w:rPr>
          <w:i/>
          <w:iCs/>
          <w:sz w:val="22"/>
          <w:szCs w:val="22"/>
        </w:rPr>
        <w:t>“</w:t>
      </w:r>
      <w:r w:rsidRPr="00990FB6">
        <w:rPr>
          <w:b/>
          <w:i/>
          <w:iCs/>
          <w:sz w:val="22"/>
          <w:szCs w:val="22"/>
        </w:rPr>
        <w:t xml:space="preserve">Se acordó:1) </w:t>
      </w:r>
      <w:r w:rsidRPr="00990FB6">
        <w:rPr>
          <w:i/>
          <w:iCs/>
          <w:sz w:val="22"/>
          <w:szCs w:val="22"/>
        </w:rPr>
        <w:t>Tomar nota y remitir a Corte Plena para que se valore la propuesta de solicitar las 18 plazas restantes de personas defensoras en pensiones alimentarias fundamentadas en el oficio N°892-PLA-PP-2021, para cubrir y cumplir con las obligaciones legales vigentes, considerando los requerimientos para cumplir a partir del 2024 y se remita al Ministerio de Hacienda como requerimiento adicional al presupuesto ordinario.”</w:t>
      </w:r>
    </w:p>
    <w:p w14:paraId="04FDEFF5" w14:textId="77777777" w:rsidR="00B15F7D" w:rsidRPr="00990FB6" w:rsidRDefault="00B15F7D" w:rsidP="00B15F7D">
      <w:pPr>
        <w:ind w:left="851" w:right="851" w:firstLine="709"/>
        <w:jc w:val="both"/>
        <w:rPr>
          <w:i/>
          <w:iCs/>
          <w:sz w:val="22"/>
          <w:szCs w:val="22"/>
        </w:rPr>
      </w:pPr>
    </w:p>
    <w:p w14:paraId="1CEB3FE1" w14:textId="77777777" w:rsidR="00B15F7D" w:rsidRPr="00990FB6" w:rsidRDefault="00B15F7D" w:rsidP="00B15F7D">
      <w:pPr>
        <w:ind w:left="851" w:right="851" w:firstLine="709"/>
        <w:jc w:val="both"/>
        <w:rPr>
          <w:sz w:val="22"/>
          <w:szCs w:val="22"/>
        </w:rPr>
      </w:pPr>
      <w:r w:rsidRPr="00990FB6">
        <w:rPr>
          <w:sz w:val="22"/>
          <w:szCs w:val="22"/>
        </w:rPr>
        <w:t xml:space="preserve">Agrega la licenciada Nacira Valverde Bermúdez: “Tal vez nada más para clarificar aquí que en la redacción del acuerdo se debe omitir el mandato del artículo 42 y 56 del Código Procesal de Familia. Porque esto no es en amparo al Código Procesal de Familia, si no es al requerimiento ordinario que tienen la Defensa Pública, entonces tal vez para omitir eso en </w:t>
      </w:r>
      <w:proofErr w:type="spellStart"/>
      <w:r w:rsidRPr="00990FB6">
        <w:rPr>
          <w:sz w:val="22"/>
          <w:szCs w:val="22"/>
        </w:rPr>
        <w:t>el</w:t>
      </w:r>
      <w:proofErr w:type="spellEnd"/>
      <w:r w:rsidRPr="00990FB6">
        <w:rPr>
          <w:sz w:val="22"/>
          <w:szCs w:val="22"/>
        </w:rPr>
        <w:t xml:space="preserve">, por tanto. </w:t>
      </w:r>
    </w:p>
    <w:p w14:paraId="07FE6539" w14:textId="77777777" w:rsidR="00B15F7D" w:rsidRPr="00990FB6" w:rsidRDefault="00B15F7D" w:rsidP="00B15F7D">
      <w:pPr>
        <w:ind w:left="851" w:right="851" w:firstLine="709"/>
        <w:jc w:val="both"/>
        <w:rPr>
          <w:sz w:val="22"/>
          <w:szCs w:val="22"/>
        </w:rPr>
      </w:pPr>
    </w:p>
    <w:p w14:paraId="457DDDF3" w14:textId="77777777" w:rsidR="00B15F7D" w:rsidRPr="00990FB6" w:rsidRDefault="00B15F7D" w:rsidP="00B15F7D">
      <w:pPr>
        <w:suppressAutoHyphens w:val="0"/>
        <w:ind w:left="851" w:right="851" w:firstLine="709"/>
        <w:jc w:val="both"/>
        <w:rPr>
          <w:bCs/>
          <w:sz w:val="22"/>
          <w:szCs w:val="22"/>
        </w:rPr>
      </w:pPr>
      <w:r w:rsidRPr="00990FB6">
        <w:rPr>
          <w:b/>
          <w:sz w:val="22"/>
          <w:szCs w:val="22"/>
        </w:rPr>
        <w:t xml:space="preserve">Se acordó:1) </w:t>
      </w:r>
      <w:r w:rsidRPr="00990FB6">
        <w:rPr>
          <w:sz w:val="22"/>
          <w:szCs w:val="22"/>
        </w:rPr>
        <w:t xml:space="preserve">Tomar nota y remitir a Corte Plena para que se valore la propuesta de solicitar las 18 plazas restantes de personas defensoras en pensiones alimentarias fundamentadas en el oficio N°892-PLA-PP-2021, para cubrir y </w:t>
      </w:r>
      <w:r w:rsidRPr="00990FB6">
        <w:rPr>
          <w:sz w:val="22"/>
          <w:szCs w:val="22"/>
        </w:rPr>
        <w:lastRenderedPageBreak/>
        <w:t xml:space="preserve">cumplir con las obligaciones legales vigentes, considerando los requerimientos para cumplir a partir del 2024 y se remita al Ministerio de Hacienda como requerimiento adicional al presupuesto ordinario. </w:t>
      </w:r>
      <w:r w:rsidRPr="00990FB6">
        <w:rPr>
          <w:b/>
          <w:bCs/>
          <w:sz w:val="22"/>
          <w:szCs w:val="22"/>
        </w:rPr>
        <w:t>Se declara este acuerdo firme.</w:t>
      </w:r>
      <w:r w:rsidRPr="00990FB6">
        <w:rPr>
          <w:bCs/>
          <w:sz w:val="22"/>
          <w:szCs w:val="22"/>
        </w:rPr>
        <w:t>”</w:t>
      </w:r>
    </w:p>
    <w:p w14:paraId="08B88D7F" w14:textId="77777777" w:rsidR="00B15F7D" w:rsidRPr="00990FB6" w:rsidRDefault="00B15F7D" w:rsidP="00B15F7D">
      <w:pPr>
        <w:suppressAutoHyphens w:val="0"/>
        <w:ind w:right="851"/>
        <w:jc w:val="both"/>
        <w:rPr>
          <w:b/>
          <w:sz w:val="22"/>
          <w:szCs w:val="22"/>
        </w:rPr>
      </w:pPr>
    </w:p>
    <w:p w14:paraId="2B18E8ED" w14:textId="747D3C8E" w:rsidR="00B15F7D" w:rsidRPr="00990FB6" w:rsidRDefault="00B15F7D" w:rsidP="00B15F7D">
      <w:pPr>
        <w:suppressAutoHyphens w:val="0"/>
        <w:jc w:val="center"/>
        <w:rPr>
          <w:bCs/>
          <w:sz w:val="22"/>
          <w:szCs w:val="22"/>
        </w:rPr>
      </w:pPr>
      <w:r w:rsidRPr="00990FB6">
        <w:rPr>
          <w:bCs/>
          <w:sz w:val="22"/>
          <w:szCs w:val="22"/>
        </w:rPr>
        <w:t xml:space="preserve">- 0 </w:t>
      </w:r>
      <w:r w:rsidR="00EA7B4C" w:rsidRPr="00990FB6">
        <w:rPr>
          <w:bCs/>
          <w:sz w:val="22"/>
          <w:szCs w:val="22"/>
        </w:rPr>
        <w:t>–</w:t>
      </w:r>
    </w:p>
    <w:p w14:paraId="34AC231C" w14:textId="77777777" w:rsidR="00EA7B4C" w:rsidRPr="00990FB6" w:rsidRDefault="00EA7B4C" w:rsidP="00B15F7D">
      <w:pPr>
        <w:suppressAutoHyphens w:val="0"/>
        <w:jc w:val="center"/>
        <w:rPr>
          <w:bCs/>
          <w:sz w:val="22"/>
          <w:szCs w:val="22"/>
        </w:rPr>
      </w:pPr>
    </w:p>
    <w:p w14:paraId="75AC90E1" w14:textId="038905EE" w:rsidR="00B15F7D" w:rsidRPr="00990FB6" w:rsidRDefault="00B15F7D" w:rsidP="00B15F7D">
      <w:pPr>
        <w:widowControl w:val="0"/>
        <w:shd w:val="clear" w:color="auto" w:fill="FFFFFF"/>
        <w:suppressAutoHyphens w:val="0"/>
        <w:ind w:firstLine="709"/>
        <w:jc w:val="both"/>
        <w:rPr>
          <w:bCs/>
          <w:sz w:val="22"/>
          <w:szCs w:val="22"/>
          <w:lang w:eastAsia="es-ES"/>
        </w:rPr>
      </w:pPr>
      <w:r w:rsidRPr="00990FB6">
        <w:rPr>
          <w:bCs/>
          <w:sz w:val="22"/>
          <w:szCs w:val="22"/>
        </w:rPr>
        <w:t>E</w:t>
      </w:r>
      <w:r w:rsidRPr="00990FB6">
        <w:rPr>
          <w:bCs/>
          <w:sz w:val="22"/>
          <w:szCs w:val="22"/>
          <w:lang w:eastAsia="es-ES"/>
        </w:rPr>
        <w:t xml:space="preserve">n sesión de Consejo Superior </w:t>
      </w:r>
      <w:proofErr w:type="spellStart"/>
      <w:r w:rsidRPr="00990FB6">
        <w:rPr>
          <w:bCs/>
          <w:sz w:val="22"/>
          <w:szCs w:val="22"/>
          <w:lang w:eastAsia="es-ES"/>
        </w:rPr>
        <w:t>N°</w:t>
      </w:r>
      <w:proofErr w:type="spellEnd"/>
      <w:r w:rsidRPr="00990FB6">
        <w:rPr>
          <w:bCs/>
          <w:sz w:val="22"/>
          <w:szCs w:val="22"/>
          <w:lang w:eastAsia="es-ES"/>
        </w:rPr>
        <w:t xml:space="preserve"> 34-2023, celebrada el 25 de abril de 2023, artículo XLV, se tomó el acuerdo que literalmente dice:</w:t>
      </w:r>
    </w:p>
    <w:p w14:paraId="3AB53621" w14:textId="77777777" w:rsidR="00EA7B4C" w:rsidRPr="00990FB6" w:rsidRDefault="00EA7B4C" w:rsidP="00B15F7D">
      <w:pPr>
        <w:widowControl w:val="0"/>
        <w:shd w:val="clear" w:color="auto" w:fill="FFFFFF"/>
        <w:suppressAutoHyphens w:val="0"/>
        <w:ind w:firstLine="709"/>
        <w:jc w:val="both"/>
        <w:rPr>
          <w:bCs/>
          <w:sz w:val="22"/>
          <w:szCs w:val="22"/>
          <w:lang w:eastAsia="es-ES"/>
        </w:rPr>
      </w:pPr>
    </w:p>
    <w:p w14:paraId="783EFE32" w14:textId="54EA7271" w:rsidR="00B15F7D" w:rsidRPr="00990FB6" w:rsidRDefault="00B15F7D" w:rsidP="00B15F7D">
      <w:pPr>
        <w:suppressAutoHyphens w:val="0"/>
        <w:autoSpaceDE w:val="0"/>
        <w:autoSpaceDN w:val="0"/>
        <w:adjustRightInd w:val="0"/>
        <w:ind w:left="851" w:right="900" w:firstLine="708"/>
        <w:jc w:val="both"/>
        <w:rPr>
          <w:sz w:val="22"/>
          <w:szCs w:val="22"/>
          <w:lang w:val="es-MX" w:eastAsia="en-US"/>
        </w:rPr>
      </w:pPr>
      <w:r w:rsidRPr="00990FB6">
        <w:rPr>
          <w:sz w:val="22"/>
          <w:szCs w:val="22"/>
          <w:lang w:val="es-MX" w:eastAsia="en-US"/>
        </w:rPr>
        <w:t>“La licenciada Nacira Valverde Bermúdez Directora de Planificación presenta el informe 280-PLA-RH-MI(PL)-2023 relacionado con la posibilidad de establecer una Jurisdicción Especializada en materia Indígena.</w:t>
      </w:r>
    </w:p>
    <w:p w14:paraId="41354CD1" w14:textId="77777777" w:rsidR="00EA7B4C" w:rsidRPr="00990FB6" w:rsidRDefault="00EA7B4C" w:rsidP="00B15F7D">
      <w:pPr>
        <w:suppressAutoHyphens w:val="0"/>
        <w:autoSpaceDE w:val="0"/>
        <w:autoSpaceDN w:val="0"/>
        <w:adjustRightInd w:val="0"/>
        <w:ind w:left="851" w:right="900" w:firstLine="708"/>
        <w:jc w:val="both"/>
        <w:rPr>
          <w:rFonts w:eastAsia="Calibri"/>
          <w:b/>
          <w:bCs/>
          <w:sz w:val="22"/>
          <w:szCs w:val="22"/>
          <w:lang w:val="es-CR" w:eastAsia="en-US"/>
        </w:rPr>
      </w:pPr>
    </w:p>
    <w:p w14:paraId="23AACB1D" w14:textId="77777777" w:rsidR="00B15F7D" w:rsidRPr="00990FB6" w:rsidRDefault="00B15F7D" w:rsidP="00B15F7D">
      <w:p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w:t>
      </w:r>
    </w:p>
    <w:p w14:paraId="6A3ED041" w14:textId="77777777" w:rsidR="00B15F7D" w:rsidRPr="00990FB6" w:rsidRDefault="00B15F7D" w:rsidP="00B15F7D">
      <w:pPr>
        <w:keepNext/>
        <w:keepLines/>
        <w:suppressAutoHyphens w:val="0"/>
        <w:ind w:left="1560" w:right="851"/>
        <w:contextualSpacing/>
        <w:jc w:val="both"/>
        <w:rPr>
          <w:sz w:val="22"/>
          <w:szCs w:val="22"/>
          <w:lang w:val="es-CR" w:eastAsia="en-US"/>
        </w:rPr>
      </w:pPr>
    </w:p>
    <w:p w14:paraId="06C83AB6" w14:textId="77777777" w:rsidR="00B15F7D" w:rsidRPr="00990FB6" w:rsidRDefault="00B15F7D" w:rsidP="00B15F7D">
      <w:pPr>
        <w:keepNext/>
        <w:keepLines/>
        <w:numPr>
          <w:ilvl w:val="0"/>
          <w:numId w:val="170"/>
        </w:numPr>
        <w:suppressAutoHyphens w:val="0"/>
        <w:ind w:left="851" w:right="851" w:firstLine="709"/>
        <w:contextualSpacing/>
        <w:jc w:val="both"/>
        <w:rPr>
          <w:sz w:val="22"/>
          <w:szCs w:val="22"/>
          <w:lang w:val="es-CR" w:eastAsia="en-US"/>
        </w:rPr>
      </w:pPr>
      <w:r w:rsidRPr="00990FB6">
        <w:rPr>
          <w:sz w:val="22"/>
          <w:szCs w:val="22"/>
          <w:lang w:val="es-CR" w:eastAsia="en-US"/>
        </w:rPr>
        <w:t xml:space="preserve">Recomendaciones </w:t>
      </w:r>
    </w:p>
    <w:p w14:paraId="4A811D93" w14:textId="77777777" w:rsidR="00B15F7D" w:rsidRPr="00990FB6" w:rsidRDefault="00B15F7D" w:rsidP="00B15F7D">
      <w:pPr>
        <w:keepNext/>
        <w:keepLines/>
        <w:suppressAutoHyphens w:val="0"/>
        <w:ind w:left="851" w:right="851" w:firstLine="709"/>
        <w:jc w:val="both"/>
        <w:rPr>
          <w:sz w:val="22"/>
          <w:szCs w:val="22"/>
          <w:lang w:eastAsia="en-US"/>
        </w:rPr>
      </w:pPr>
    </w:p>
    <w:p w14:paraId="565878DA" w14:textId="77777777" w:rsidR="00B15F7D" w:rsidRPr="00990FB6" w:rsidRDefault="00B15F7D" w:rsidP="00B15F7D">
      <w:pPr>
        <w:keepNext/>
        <w:keepLines/>
        <w:suppressAutoHyphens w:val="0"/>
        <w:ind w:left="851" w:right="851" w:firstLine="709"/>
        <w:jc w:val="both"/>
        <w:rPr>
          <w:sz w:val="22"/>
          <w:szCs w:val="22"/>
          <w:lang w:eastAsia="en-US"/>
        </w:rPr>
      </w:pPr>
      <w:r w:rsidRPr="00990FB6">
        <w:rPr>
          <w:sz w:val="22"/>
          <w:szCs w:val="22"/>
          <w:lang w:eastAsia="en-US"/>
        </w:rPr>
        <w:t xml:space="preserve">Con la aclaración previamente indicada en el sentido de que no se cuenta con código procesal o política institucional vigente para la creación de este estudio se presentan las siguientes recomendaciones: </w:t>
      </w:r>
    </w:p>
    <w:p w14:paraId="1B2124FB" w14:textId="77777777" w:rsidR="00B15F7D" w:rsidRPr="00990FB6" w:rsidRDefault="00B15F7D" w:rsidP="00B15F7D">
      <w:pPr>
        <w:keepNext/>
        <w:keepLines/>
        <w:suppressAutoHyphens w:val="0"/>
        <w:ind w:left="851" w:right="851" w:firstLine="709"/>
        <w:jc w:val="both"/>
        <w:rPr>
          <w:sz w:val="22"/>
          <w:szCs w:val="22"/>
          <w:lang w:val="es-CR" w:eastAsia="en-US"/>
        </w:rPr>
      </w:pPr>
    </w:p>
    <w:p w14:paraId="6194663B"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 Corte Plena</w:t>
      </w:r>
    </w:p>
    <w:p w14:paraId="1522D65A" w14:textId="77777777" w:rsidR="00B15F7D" w:rsidRPr="00990FB6" w:rsidRDefault="00B15F7D" w:rsidP="00B15F7D">
      <w:pPr>
        <w:keepNext/>
        <w:keepLines/>
        <w:suppressAutoHyphens w:val="0"/>
        <w:ind w:left="851" w:right="851" w:firstLine="709"/>
        <w:jc w:val="both"/>
        <w:rPr>
          <w:sz w:val="22"/>
          <w:szCs w:val="22"/>
          <w:lang w:val="es-CR" w:eastAsia="en-US"/>
        </w:rPr>
      </w:pPr>
    </w:p>
    <w:p w14:paraId="74860A44"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 xml:space="preserve">Valorar los dos escenarios diseñados en este informe sobre la atención de casos de poblaciones indígenas, en uno de ellos con la creación de una jurisdicción especializada con plazas nuevas, y un segundo escenario que implica el fortalecimiento de las condiciones y servicio de los actuales Juzgados que concentran la mayor cantidad de casos </w:t>
      </w:r>
    </w:p>
    <w:p w14:paraId="5544CF28" w14:textId="77777777" w:rsidR="00B15F7D" w:rsidRPr="00990FB6" w:rsidRDefault="00B15F7D" w:rsidP="00B15F7D">
      <w:pPr>
        <w:suppressAutoHyphens w:val="0"/>
        <w:ind w:left="851" w:right="851" w:firstLine="709"/>
        <w:contextualSpacing/>
        <w:jc w:val="both"/>
        <w:rPr>
          <w:sz w:val="22"/>
          <w:szCs w:val="22"/>
          <w:lang w:val="es-CR" w:eastAsia="en-US"/>
        </w:rPr>
      </w:pPr>
    </w:p>
    <w:p w14:paraId="4BCC267E"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Escenario 1: Creación de plazas y sedes nuevas,</w:t>
      </w:r>
    </w:p>
    <w:p w14:paraId="71ED9E5D" w14:textId="77777777" w:rsidR="00B15F7D" w:rsidRPr="00990FB6" w:rsidRDefault="00B15F7D" w:rsidP="00B15F7D">
      <w:pPr>
        <w:suppressAutoHyphens w:val="0"/>
        <w:ind w:left="851" w:right="851" w:firstLine="709"/>
        <w:contextualSpacing/>
        <w:jc w:val="both"/>
        <w:rPr>
          <w:sz w:val="22"/>
          <w:szCs w:val="22"/>
          <w:lang w:val="es-CR" w:eastAsia="en-US"/>
        </w:rPr>
      </w:pPr>
    </w:p>
    <w:p w14:paraId="43E159E2" w14:textId="77777777" w:rsidR="00B15F7D" w:rsidRPr="00990FB6" w:rsidRDefault="00B15F7D" w:rsidP="00B15F7D">
      <w:pPr>
        <w:suppressAutoHyphens w:val="0"/>
        <w:ind w:left="851" w:right="851" w:firstLine="709"/>
        <w:contextualSpacing/>
        <w:jc w:val="both"/>
        <w:rPr>
          <w:sz w:val="22"/>
          <w:szCs w:val="22"/>
          <w:lang w:val="es-CR" w:eastAsia="en-US"/>
        </w:rPr>
        <w:sectPr w:rsidR="00B15F7D" w:rsidRPr="00990FB6" w:rsidSect="00726626">
          <w:pgSz w:w="12240" w:h="15840"/>
          <w:pgMar w:top="1418" w:right="1701" w:bottom="1418" w:left="1701" w:header="709" w:footer="709" w:gutter="0"/>
          <w:cols w:space="708"/>
          <w:docGrid w:linePitch="360"/>
        </w:sectPr>
      </w:pPr>
      <w:r w:rsidRPr="00990FB6">
        <w:rPr>
          <w:sz w:val="22"/>
          <w:szCs w:val="22"/>
          <w:lang w:val="es-CR" w:eastAsia="en-US"/>
        </w:rPr>
        <w:t xml:space="preserve">Incluir dentro de la próxima formulación presupuestaria, la creación de 19 plazas de personas juzgadoras, 10 de estas plazas para la atención de procesos penales y 9 plazas de personas juzgadoras genéricas, es decir para la atención de las materias no penales (19 plazas nuevas más 1 plaza de persona juzgadora proveniente del Juzgado Contravencional de Buenos Aires); 24 plazas de persona técnica judicial (23 más 1 plaza de persona técnica judicial proveniente del Juzgado Contravencional de Buenos Aires), 5 plazas de personas coordinadoras judiciales, 7 de Fiscales o Fiscalas, 8 de personas técnicas judiciales para las Fiscalías (una de ellas para encargarse del proceso de Justicia Restaurativa), 7 de Defensores o Defensoras para la atención de las materias penal y penal juvenil, más 3 de Defensores o Defensoras para las materias de familia y pensiones alimentarias (una de estas plazas para encargarse del proceso de Justicia Restaurativa), 9 personas Investigadoras del OIJ, 20 de personas Custodias de personas detenidas del OIJ, 3 de personas Auxiliares Administrativas del OIJ, 3 de personas técnicas en comunicaciones judiciales, 1 plaza de Profesional en Derecho como coordinador o coordinadora en Justicia Restaurativa, 10 plazas de profesionales en Trabajo y Psicología (dos de estas plazas para trabajar en el </w:t>
      </w:r>
      <w:r w:rsidRPr="00990FB6">
        <w:rPr>
          <w:sz w:val="22"/>
          <w:szCs w:val="22"/>
          <w:lang w:val="es-CR" w:eastAsia="en-US"/>
        </w:rPr>
        <w:lastRenderedPageBreak/>
        <w:t xml:space="preserve">procedimiento de Justicia Restaurativa), 4 plazas de personas intérpretes en lenguas indígenas (con la propuesta de creación de estas 4 plazas, se estaría cumpliendo lo ordenado por el Consejo Superior en sesión </w:t>
      </w:r>
      <w:proofErr w:type="spellStart"/>
      <w:r w:rsidRPr="00990FB6">
        <w:rPr>
          <w:sz w:val="22"/>
          <w:szCs w:val="22"/>
          <w:lang w:val="es-CR" w:eastAsia="en-US"/>
        </w:rPr>
        <w:t>N°</w:t>
      </w:r>
      <w:proofErr w:type="spellEnd"/>
      <w:r w:rsidRPr="00990FB6">
        <w:rPr>
          <w:sz w:val="22"/>
          <w:szCs w:val="22"/>
          <w:lang w:val="es-CR" w:eastAsia="en-US"/>
        </w:rPr>
        <w:t xml:space="preserve"> 70-2022 celebrada el 18 de agosto de 2022, artículo XXIII, relacionado con la factibilidad de replicar el modelo de traducción del Circuito Judicial de Turrialba en los demás circuitos judiciales del país; acuerdo ratificado por el Consejo Superior en sesión </w:t>
      </w:r>
      <w:proofErr w:type="spellStart"/>
      <w:r w:rsidRPr="00990FB6">
        <w:rPr>
          <w:sz w:val="22"/>
          <w:szCs w:val="22"/>
          <w:lang w:val="es-CR" w:eastAsia="en-US"/>
        </w:rPr>
        <w:t>N°</w:t>
      </w:r>
      <w:proofErr w:type="spellEnd"/>
      <w:r w:rsidRPr="00990FB6">
        <w:rPr>
          <w:sz w:val="22"/>
          <w:szCs w:val="22"/>
          <w:lang w:val="es-CR" w:eastAsia="en-US"/>
        </w:rPr>
        <w:t xml:space="preserve"> 4-2023 celebrada el 19 de enero de 2023, artículo XLIV, relacionado con el informe 1182-PLA-MI-(NPL)-2022), , y por último 3 de Profesionales en Derecho 3B (Letrados) exclusivas de la Sala Constitucional, 3 Médicos 1, 3 Secretarias 1 y 3 Profesionales 1 (Enfermería) para las Unidades de Medicina Legal en Buenos Aires, Bribri y Turrialba respectivamente (1 médico, una secretaria y una enfermera para cada sede) para un total de 134 plazas; ubicadas de forma estratégica en las zonas más representativas en cuanto a cargo de trabajo se refiere por zona geográfica, más la compra o adquisición de dos vehículos especializados en el acceso a terrenos complicados, estilo 4x4 marca Mitsubishi estilo L200 pick up para la realización de las diferentes giras a zonas indígenas correspondientes a las zonas competenciales de los Juzgados Especializados para Pueblos Indígenas de Buenos Aires y Talamanca; el costo total calculado de las plazas nuevas con su respectivo equipo y mobiliario, de las tres sedes regionales, el reforzamiento de recurso humano en despachos indicados y oficinas del ámbito auxiliar de justicia, más los vehículos nuevos es de </w:t>
      </w:r>
      <w:r w:rsidRPr="00990FB6">
        <w:rPr>
          <w:b/>
          <w:bCs/>
          <w:sz w:val="22"/>
          <w:szCs w:val="22"/>
          <w:u w:val="single"/>
          <w:lang w:val="es-CR" w:eastAsia="en-US"/>
        </w:rPr>
        <w:t xml:space="preserve">cuatro mil ochocientos ochenta y seis millones, ciento </w:t>
      </w:r>
      <w:proofErr w:type="spellStart"/>
      <w:r w:rsidRPr="00990FB6">
        <w:rPr>
          <w:b/>
          <w:bCs/>
          <w:sz w:val="22"/>
          <w:szCs w:val="22"/>
          <w:u w:val="single"/>
          <w:lang w:val="es-CR" w:eastAsia="en-US"/>
        </w:rPr>
        <w:t>ciento</w:t>
      </w:r>
      <w:proofErr w:type="spellEnd"/>
      <w:r w:rsidRPr="00990FB6">
        <w:rPr>
          <w:b/>
          <w:bCs/>
          <w:sz w:val="22"/>
          <w:szCs w:val="22"/>
          <w:u w:val="single"/>
          <w:lang w:val="es-CR" w:eastAsia="en-US"/>
        </w:rPr>
        <w:t xml:space="preserve"> ochenta y un mil ochocientos diecisiete colones con ochenta y nueve céntimos</w:t>
      </w:r>
      <w:r w:rsidRPr="00990FB6">
        <w:rPr>
          <w:b/>
          <w:bCs/>
          <w:sz w:val="22"/>
          <w:szCs w:val="22"/>
          <w:lang w:val="es-CR" w:eastAsia="en-US"/>
        </w:rPr>
        <w:t xml:space="preserve"> (¢4.886.181.817,89)</w:t>
      </w:r>
      <w:r w:rsidRPr="00990FB6">
        <w:rPr>
          <w:sz w:val="22"/>
          <w:szCs w:val="22"/>
          <w:lang w:val="es-CR" w:eastAsia="en-US"/>
        </w:rPr>
        <w:t xml:space="preserve">; además, se debe tomar en consideración eventuales gastos de las diferentes giras que se realicen como por ejemplo el alquiler de caballos, mulas y otros por parte del personal a cargo. Por otro lado, si se toma en consideración el informe 201-PLA-MI-RH-2022, relacionado con el impacto organizacional y presupuestario en el Poder Judicial a partir de la promulgación de la Ley 9582 Justicia Restaurativa, donde se aprobó que </w:t>
      </w:r>
      <w:r w:rsidRPr="00990FB6">
        <w:rPr>
          <w:i/>
          <w:iCs/>
          <w:sz w:val="22"/>
          <w:szCs w:val="22"/>
          <w:lang w:val="es-CR" w:eastAsia="en-US"/>
        </w:rPr>
        <w:t>la oficina de Justicia Restaurativa siga impulsando el programa con sus recursos internos</w:t>
      </w:r>
      <w:r w:rsidRPr="00990FB6">
        <w:rPr>
          <w:sz w:val="22"/>
          <w:szCs w:val="22"/>
          <w:lang w:val="es-CR" w:eastAsia="en-US"/>
        </w:rPr>
        <w:t xml:space="preserve">; es decir que, ante la posibilidad de que esa misma línea de pensamiento se desee considerar en el presente informe, se aclara que, el costo total de la Jurisdicción Especializada para Pueblos Indígenas, sin tomar en cuenta los creación de puestos relacionados a la función de la oficina de Justicia Restaurativa sería de </w:t>
      </w:r>
      <w:r w:rsidRPr="00990FB6">
        <w:rPr>
          <w:b/>
          <w:bCs/>
          <w:sz w:val="22"/>
          <w:szCs w:val="22"/>
          <w:lang w:val="es-CR" w:eastAsia="en-US"/>
        </w:rPr>
        <w:t>¢3.919.442.145,89 (tres mil novecientos diecinueve millones, cuatrocientos cuarenta y dos mil ciento cuarenta y cinco colones con ochenta y nueve céntimos)</w:t>
      </w:r>
      <w:r w:rsidRPr="00990FB6">
        <w:rPr>
          <w:sz w:val="22"/>
          <w:szCs w:val="22"/>
          <w:lang w:val="es-CR" w:eastAsia="en-US"/>
        </w:rPr>
        <w:t xml:space="preserve">, es decir una reducción de </w:t>
      </w:r>
      <w:r w:rsidRPr="00990FB6">
        <w:rPr>
          <w:b/>
          <w:bCs/>
          <w:sz w:val="22"/>
          <w:szCs w:val="22"/>
          <w:lang w:val="es-CR" w:eastAsia="en-US"/>
        </w:rPr>
        <w:t>¢395.126.820,73 (trescientos diecinueve millones, ciento veintiséis mil ochocientos veinte colones con cero céntimos)</w:t>
      </w:r>
      <w:r w:rsidRPr="00990FB6">
        <w:rPr>
          <w:sz w:val="22"/>
          <w:szCs w:val="22"/>
          <w:lang w:val="es-CR" w:eastAsia="en-US"/>
        </w:rPr>
        <w:t xml:space="preserve">. Para la estimación de los costos de las plazas, se realizó el cálculo con base a los puestos actuales de cada juzgado u oficina según la relación de puestos, sin embargo, en caso de aprobarse este escenario, se recomienda que sea la Dirección de Gestión Humana la encargada de clasificar las categorías de cada puesto. Esta jurisdicción se divide y distribuye según se aprecia en el siguiente cuadro por zona geográfica:    </w:t>
      </w:r>
    </w:p>
    <w:p w14:paraId="374215EF" w14:textId="77777777" w:rsidR="00B15F7D" w:rsidRPr="00990FB6" w:rsidRDefault="00B15F7D" w:rsidP="00B15F7D">
      <w:pPr>
        <w:suppressAutoHyphens w:val="0"/>
        <w:ind w:left="-851" w:right="-746"/>
        <w:jc w:val="both"/>
        <w:rPr>
          <w:sz w:val="22"/>
          <w:szCs w:val="22"/>
          <w:lang w:val="es-CR" w:eastAsia="en-US"/>
        </w:rPr>
        <w:sectPr w:rsidR="00B15F7D" w:rsidRPr="00990FB6" w:rsidSect="00B15D87">
          <w:type w:val="continuous"/>
          <w:pgSz w:w="15840" w:h="12240" w:orient="landscape" w:code="1"/>
          <w:pgMar w:top="1418" w:right="1701" w:bottom="1418" w:left="1701" w:header="709" w:footer="709" w:gutter="0"/>
          <w:cols w:space="708"/>
          <w:docGrid w:linePitch="360"/>
        </w:sectPr>
      </w:pPr>
      <w:r w:rsidRPr="00990FB6">
        <w:rPr>
          <w:noProof/>
          <w:sz w:val="22"/>
          <w:szCs w:val="22"/>
          <w:lang w:val="es-CR" w:eastAsia="en-US"/>
        </w:rPr>
        <w:lastRenderedPageBreak/>
        <w:drawing>
          <wp:inline distT="0" distB="0" distL="0" distR="0" wp14:anchorId="31313E35" wp14:editId="492C36CB">
            <wp:extent cx="9281160" cy="5079412"/>
            <wp:effectExtent l="0" t="0" r="0" b="6985"/>
            <wp:docPr id="10287538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295637" cy="5087335"/>
                    </a:xfrm>
                    <a:prstGeom prst="rect">
                      <a:avLst/>
                    </a:prstGeom>
                    <a:noFill/>
                    <a:ln>
                      <a:noFill/>
                    </a:ln>
                  </pic:spPr>
                </pic:pic>
              </a:graphicData>
            </a:graphic>
          </wp:inline>
        </w:drawing>
      </w:r>
    </w:p>
    <w:p w14:paraId="7D503BB3" w14:textId="77777777" w:rsidR="00B15F7D" w:rsidRPr="00990FB6" w:rsidRDefault="00B15F7D" w:rsidP="00B15F7D">
      <w:pPr>
        <w:suppressAutoHyphens w:val="0"/>
        <w:ind w:left="851" w:right="851" w:firstLine="709"/>
        <w:jc w:val="both"/>
        <w:rPr>
          <w:sz w:val="22"/>
          <w:szCs w:val="22"/>
          <w:lang w:val="es-CR" w:eastAsia="en-US"/>
        </w:rPr>
      </w:pPr>
      <w:r w:rsidRPr="00990FB6">
        <w:rPr>
          <w:b/>
          <w:bCs/>
          <w:sz w:val="22"/>
          <w:szCs w:val="22"/>
          <w:lang w:val="es-CR" w:eastAsia="en-US"/>
        </w:rPr>
        <w:lastRenderedPageBreak/>
        <w:t>Escenario 2. Desarrollo y fortalecimiento de las habilidades y conocimientos del personal de los despachos con actual competencia en casos con intervención de personas usuarias indígenas.</w:t>
      </w:r>
    </w:p>
    <w:p w14:paraId="0A0F45FB" w14:textId="77777777" w:rsidR="00B15F7D" w:rsidRPr="00990FB6" w:rsidRDefault="00B15F7D" w:rsidP="00B15F7D">
      <w:pPr>
        <w:suppressAutoHyphens w:val="0"/>
        <w:ind w:left="851" w:right="851" w:firstLine="709"/>
        <w:jc w:val="both"/>
        <w:rPr>
          <w:sz w:val="22"/>
          <w:szCs w:val="22"/>
          <w:lang w:val="es-CR" w:eastAsia="en-US"/>
        </w:rPr>
      </w:pPr>
    </w:p>
    <w:p w14:paraId="06FC5CB8"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En el caso de que no sea factible la asignación de recursos financieros para la creación de esta jurisdicción especializada, se recomienda mantener y fortalecer los cursos de formación actual dirigidos a toda la población judicial, en especial a los despachos con mayor concentración de personas usuarias indígenas; además de desarrollar campañas de comunicación masiva a lo interno de la institución a fin de fomentar un espíritu que permita brindar una adecuada atención especializada y dirigida a la población indígena, los cuales se deberán financiar con recursos propios de la institución..</w:t>
      </w:r>
    </w:p>
    <w:p w14:paraId="1A7DAA9B" w14:textId="77777777" w:rsidR="00B15F7D" w:rsidRPr="00990FB6" w:rsidRDefault="00B15F7D" w:rsidP="00B15F7D">
      <w:pPr>
        <w:keepNext/>
        <w:keepLines/>
        <w:suppressAutoHyphens w:val="0"/>
        <w:ind w:left="851" w:right="851" w:firstLine="709"/>
        <w:jc w:val="both"/>
        <w:rPr>
          <w:sz w:val="22"/>
          <w:szCs w:val="22"/>
          <w:lang w:val="es-CR" w:eastAsia="en-US"/>
        </w:rPr>
      </w:pPr>
    </w:p>
    <w:p w14:paraId="6206B2C8"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Al Consejo Superior</w:t>
      </w:r>
    </w:p>
    <w:p w14:paraId="36057E85" w14:textId="77777777" w:rsidR="00B15F7D" w:rsidRPr="00990FB6" w:rsidRDefault="00B15F7D" w:rsidP="00B15F7D">
      <w:pPr>
        <w:keepNext/>
        <w:keepLines/>
        <w:suppressAutoHyphens w:val="0"/>
        <w:ind w:left="851" w:right="851" w:firstLine="709"/>
        <w:jc w:val="both"/>
        <w:rPr>
          <w:sz w:val="22"/>
          <w:szCs w:val="22"/>
          <w:lang w:val="es-CR" w:eastAsia="en-US"/>
        </w:rPr>
      </w:pPr>
    </w:p>
    <w:p w14:paraId="0BD38252"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Valorar la posibilidad de declarar obligatoria la participación de todas las personas servidoras judiciales de todo el país, en las capacitaciones sobre Derecho Indígena y su debida atención especializada (cursos y capacitaciones actuales y futuras), ampliar a sensibilización, atención y acceso a la justicia de pueblos indígenas en cumplimiento de la Ley de Acceso a la Justicia de Pueblos Indígenas, especialmente quienes tengan competencia material y territorial para conocer de procesos judiciales vinculados con el pueblo indígena Teribe y Bribri de Salitre y la Circular 188-19 de Corte Plena, incluso mediante campañas informativas.</w:t>
      </w:r>
    </w:p>
    <w:p w14:paraId="4C3B3AA3" w14:textId="77777777" w:rsidR="00B15F7D" w:rsidRPr="00990FB6" w:rsidRDefault="00B15F7D" w:rsidP="00B15F7D">
      <w:pPr>
        <w:suppressAutoHyphens w:val="0"/>
        <w:ind w:left="1560" w:right="851"/>
        <w:jc w:val="both"/>
        <w:rPr>
          <w:rFonts w:eastAsia="Calibri"/>
          <w:sz w:val="22"/>
          <w:szCs w:val="22"/>
          <w:lang w:val="es-CR" w:eastAsia="en-US"/>
        </w:rPr>
      </w:pPr>
    </w:p>
    <w:p w14:paraId="1745578F"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Según recomendación de la Comisión de Acceso a la Justicia, reiterar la Circular 188-19 de la Secretaría de la Corte del 17 de octubre de 2019 denominada: “</w:t>
      </w:r>
      <w:r w:rsidRPr="00990FB6">
        <w:rPr>
          <w:rFonts w:eastAsia="Calibri"/>
          <w:i/>
          <w:iCs/>
          <w:sz w:val="22"/>
          <w:szCs w:val="22"/>
          <w:lang w:val="es-CR" w:eastAsia="en-US"/>
        </w:rPr>
        <w:t xml:space="preserve">Sobre los 21 ejes de acción, recomendados por la Comisión de Acceso a la Justicia, con ocasión del cumplimiento de las Medidas Cautelares </w:t>
      </w:r>
      <w:proofErr w:type="spellStart"/>
      <w:r w:rsidRPr="00990FB6">
        <w:rPr>
          <w:rFonts w:eastAsia="Calibri"/>
          <w:i/>
          <w:iCs/>
          <w:sz w:val="22"/>
          <w:szCs w:val="22"/>
          <w:lang w:val="es-CR" w:eastAsia="en-US"/>
        </w:rPr>
        <w:t>N°</w:t>
      </w:r>
      <w:proofErr w:type="spellEnd"/>
      <w:r w:rsidRPr="00990FB6">
        <w:rPr>
          <w:rFonts w:eastAsia="Calibri"/>
          <w:i/>
          <w:iCs/>
          <w:sz w:val="22"/>
          <w:szCs w:val="22"/>
          <w:lang w:val="es-CR" w:eastAsia="en-US"/>
        </w:rPr>
        <w:t xml:space="preserve"> 321-12 del 30 de abril de 2015, establecidas por la Comisión Interamericana de Derechos Humanos (CIDH) contra Costa Rica</w:t>
      </w:r>
      <w:r w:rsidRPr="00990FB6">
        <w:rPr>
          <w:rFonts w:eastAsia="Calibri"/>
          <w:sz w:val="22"/>
          <w:szCs w:val="22"/>
          <w:lang w:val="es-CR" w:eastAsia="en-US"/>
        </w:rPr>
        <w:t>.”.</w:t>
      </w:r>
    </w:p>
    <w:p w14:paraId="5A3CC258" w14:textId="77777777" w:rsidR="00B15F7D" w:rsidRPr="00990FB6" w:rsidRDefault="00B15F7D" w:rsidP="00B15F7D">
      <w:pPr>
        <w:ind w:left="708"/>
        <w:rPr>
          <w:rFonts w:eastAsia="Calibri"/>
          <w:sz w:val="22"/>
          <w:szCs w:val="22"/>
          <w:lang w:val="es-CR" w:eastAsia="en-US"/>
        </w:rPr>
      </w:pPr>
    </w:p>
    <w:p w14:paraId="67F8890D"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rFonts w:eastAsia="Calibri"/>
          <w:sz w:val="22"/>
          <w:szCs w:val="22"/>
          <w:lang w:val="es-CR" w:eastAsia="en-US"/>
        </w:rPr>
        <w:t xml:space="preserve">A raíz de las manifestaciones emitidas por la Dirección de Tecnología de Información en el oficio </w:t>
      </w:r>
      <w:r w:rsidRPr="00990FB6">
        <w:rPr>
          <w:rFonts w:eastAsia="Book Antiqua"/>
          <w:sz w:val="22"/>
          <w:szCs w:val="22"/>
          <w:lang w:val="es-CR" w:eastAsia="en-US"/>
        </w:rPr>
        <w:t>779-DTI-2020 del 29 de abril de 2020 (ver Apéndice 6 “</w:t>
      </w:r>
      <w:r w:rsidRPr="00990FB6">
        <w:rPr>
          <w:rFonts w:eastAsia="Book Antiqua"/>
          <w:i/>
          <w:iCs/>
          <w:sz w:val="22"/>
          <w:szCs w:val="22"/>
          <w:lang w:val="es-CR" w:eastAsia="en-US"/>
        </w:rPr>
        <w:t>779-DTI-2020</w:t>
      </w:r>
      <w:r w:rsidRPr="00990FB6">
        <w:rPr>
          <w:rFonts w:eastAsia="Book Antiqua"/>
          <w:sz w:val="22"/>
          <w:szCs w:val="22"/>
          <w:lang w:val="es-CR" w:eastAsia="en-US"/>
        </w:rPr>
        <w:t>”), se solicita</w:t>
      </w:r>
      <w:r w:rsidRPr="00990FB6">
        <w:rPr>
          <w:rFonts w:eastAsia="Calibri"/>
          <w:sz w:val="22"/>
          <w:szCs w:val="22"/>
          <w:lang w:val="es-CR" w:eastAsia="en-US"/>
        </w:rPr>
        <w:t xml:space="preserve"> emitir una circular reiterando a todo el personal judicial la importancia de la adecuada utilización de los sistemas judiciales (entiéndase Gestión, Escritorio Virtual, Seguimiento de Casos, entre otros) y el registro correcto de las variables de poblaciones vulnerables (en especial la población usuaria indígena por ser la que en teoría contaría con una Jurisdicción Especializada), de tal forma que la información pueda ser utilizada para consulta e insumo para la toma decisiones institucionales, o bien reiterar la circular 188-19 de la Corte Plena (ver Apéndice 13) sobre los 20 ejes de acción.</w:t>
      </w:r>
    </w:p>
    <w:p w14:paraId="44AEA4D1" w14:textId="77777777" w:rsidR="00B15F7D" w:rsidRPr="00990FB6" w:rsidRDefault="00B15F7D" w:rsidP="00B15F7D">
      <w:pPr>
        <w:ind w:left="708"/>
        <w:rPr>
          <w:rFonts w:eastAsia="Book Antiqua"/>
          <w:sz w:val="22"/>
          <w:szCs w:val="22"/>
          <w:lang w:val="es-CR" w:eastAsia="en-US"/>
        </w:rPr>
      </w:pPr>
    </w:p>
    <w:p w14:paraId="7AF5D1BF"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Valorar la posibilidad de brindar el apoyo necesario a la Escuela Judicial para la efectiva conformación y realización de los cursos básicos necesarios para la efectiva capacitación y concientización de la población judicial, en aras de la debida y especializada atención que se le debe brindar a las personas usuarias indígenas del Poder Judicial.</w:t>
      </w:r>
    </w:p>
    <w:p w14:paraId="437C74D6" w14:textId="77777777" w:rsidR="00B15F7D" w:rsidRPr="00990FB6" w:rsidRDefault="00B15F7D" w:rsidP="00B15F7D">
      <w:pPr>
        <w:ind w:left="708"/>
        <w:rPr>
          <w:rFonts w:eastAsia="Calibri"/>
          <w:sz w:val="22"/>
          <w:szCs w:val="22"/>
          <w:lang w:val="es-CR" w:eastAsia="en-US"/>
        </w:rPr>
      </w:pPr>
    </w:p>
    <w:p w14:paraId="189B17AD"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rFonts w:eastAsia="Calibri"/>
          <w:sz w:val="22"/>
          <w:szCs w:val="22"/>
          <w:lang w:val="es-CR" w:eastAsia="en-US"/>
        </w:rPr>
        <w:t xml:space="preserve">Valorar la reserva presupuestaria con ocasión de las sesiones de presupuesto para la eventual creación de rótulos informativos en todas las sedes judiciales, con los idiomas indígenas de los pueblos con mayor representación dentro de la población usuaria indígena del Poder Judicial, a fin de garantizar a esta población el acceso a la justicia mediante la comprensión del contenido de los rótulos institucionales. </w:t>
      </w:r>
    </w:p>
    <w:p w14:paraId="10E80AD6" w14:textId="77777777" w:rsidR="00B15F7D" w:rsidRPr="00990FB6" w:rsidRDefault="00B15F7D" w:rsidP="00B15F7D">
      <w:pPr>
        <w:suppressAutoHyphens w:val="0"/>
        <w:ind w:left="851" w:right="851" w:firstLine="709"/>
        <w:contextualSpacing/>
        <w:jc w:val="both"/>
        <w:rPr>
          <w:rFonts w:eastAsia="Book Antiqua"/>
          <w:sz w:val="22"/>
          <w:szCs w:val="22"/>
          <w:lang w:val="es-CR" w:eastAsia="en-US"/>
        </w:rPr>
      </w:pPr>
    </w:p>
    <w:p w14:paraId="30F4760E"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 xml:space="preserve">A la Dirección de Gestión Humana en conjunto con el Consejo de Personal y con el Consejo de la Judicatura. </w:t>
      </w:r>
    </w:p>
    <w:p w14:paraId="2D61C769" w14:textId="77777777" w:rsidR="00B15F7D" w:rsidRPr="00990FB6" w:rsidRDefault="00B15F7D" w:rsidP="00B15F7D">
      <w:pPr>
        <w:keepNext/>
        <w:keepLines/>
        <w:suppressAutoHyphens w:val="0"/>
        <w:ind w:left="851" w:right="851" w:firstLine="709"/>
        <w:jc w:val="both"/>
        <w:rPr>
          <w:sz w:val="22"/>
          <w:szCs w:val="22"/>
          <w:lang w:val="es-CR" w:eastAsia="en-US"/>
        </w:rPr>
      </w:pPr>
    </w:p>
    <w:p w14:paraId="1B2BD632"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rFonts w:eastAsia="Arial"/>
          <w:sz w:val="22"/>
          <w:szCs w:val="22"/>
          <w:lang w:val="es-CR" w:eastAsia="en-US"/>
        </w:rPr>
        <w:t>Analizar y valorar la necesidad de crear perfiles competenciales tanto para el personal juzgador, como para el personal técnico judicial, enfocados en las necesidades de atención especializada para las personas usuarias indígenas del Poder Judicial.</w:t>
      </w:r>
    </w:p>
    <w:p w14:paraId="7BC507D7" w14:textId="77777777" w:rsidR="00B15F7D" w:rsidRPr="00990FB6" w:rsidRDefault="00B15F7D" w:rsidP="00B15F7D">
      <w:pPr>
        <w:suppressAutoHyphens w:val="0"/>
        <w:ind w:left="1560" w:right="851"/>
        <w:jc w:val="both"/>
        <w:rPr>
          <w:sz w:val="22"/>
          <w:szCs w:val="22"/>
          <w:lang w:val="es-CR" w:eastAsia="en-US"/>
        </w:rPr>
      </w:pPr>
    </w:p>
    <w:p w14:paraId="50CAAE7A" w14:textId="77777777" w:rsidR="00B15F7D" w:rsidRPr="00990FB6" w:rsidRDefault="00B15F7D" w:rsidP="00B15F7D">
      <w:pPr>
        <w:numPr>
          <w:ilvl w:val="0"/>
          <w:numId w:val="168"/>
        </w:numPr>
        <w:suppressAutoHyphens w:val="0"/>
        <w:ind w:left="851" w:right="851" w:firstLine="709"/>
        <w:jc w:val="both"/>
        <w:rPr>
          <w:rFonts w:eastAsia="Arial"/>
          <w:sz w:val="22"/>
          <w:szCs w:val="22"/>
          <w:lang w:val="es-CR" w:eastAsia="en-US"/>
        </w:rPr>
      </w:pPr>
      <w:r w:rsidRPr="00990FB6">
        <w:rPr>
          <w:rFonts w:eastAsia="Arial"/>
          <w:sz w:val="22"/>
          <w:szCs w:val="22"/>
          <w:lang w:val="es-CR" w:eastAsia="en-US"/>
        </w:rPr>
        <w:t>Considerar en las condiciones para contratar al nuevo personal las disposiciones de la nueva ley aprobada en su artículo 7 que indica: “</w:t>
      </w:r>
      <w:r w:rsidRPr="00990FB6">
        <w:rPr>
          <w:rFonts w:eastAsia="Arial"/>
          <w:i/>
          <w:iCs/>
          <w:sz w:val="22"/>
          <w:szCs w:val="22"/>
          <w:lang w:val="es-CR" w:eastAsia="en-US"/>
        </w:rPr>
        <w:t>(…)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w:t>
      </w:r>
      <w:r w:rsidRPr="00990FB6">
        <w:rPr>
          <w:rFonts w:eastAsia="Arial"/>
          <w:sz w:val="22"/>
          <w:szCs w:val="22"/>
          <w:lang w:val="es-CR" w:eastAsia="en-US"/>
        </w:rPr>
        <w:t xml:space="preserve">”. Adicionalmente, proponer en los concursos de estas nuevas plazas, que las personas contratadas dispongan del conocimiento de los diferentes idiomas indígenas de tal forma que se pueda brindar un acceso real y más directo a las personas asistidas en estas zonas. Analizar también incluir como requisitos esenciales en los nuevos concursos habilidades blandas como: </w:t>
      </w:r>
    </w:p>
    <w:p w14:paraId="0A946367" w14:textId="77777777" w:rsidR="00B15F7D" w:rsidRPr="00990FB6" w:rsidRDefault="00B15F7D" w:rsidP="00B15F7D">
      <w:pPr>
        <w:numPr>
          <w:ilvl w:val="0"/>
          <w:numId w:val="167"/>
        </w:numPr>
        <w:suppressAutoHyphens w:val="0"/>
        <w:ind w:left="851" w:right="851" w:firstLine="709"/>
        <w:jc w:val="both"/>
        <w:rPr>
          <w:rFonts w:eastAsia="Arial"/>
          <w:sz w:val="22"/>
          <w:szCs w:val="22"/>
          <w:lang w:val="es-CR" w:eastAsia="en-US"/>
        </w:rPr>
      </w:pPr>
      <w:r w:rsidRPr="00990FB6">
        <w:rPr>
          <w:sz w:val="22"/>
          <w:szCs w:val="22"/>
          <w:lang w:val="es-CR" w:eastAsia="en-US"/>
        </w:rPr>
        <w:t>Disposición y anuencia para realizar las diligencias in situ.</w:t>
      </w:r>
    </w:p>
    <w:p w14:paraId="79B61B2A" w14:textId="77777777" w:rsidR="00B15F7D" w:rsidRPr="00990FB6" w:rsidRDefault="00B15F7D" w:rsidP="00B15F7D">
      <w:pPr>
        <w:suppressAutoHyphens w:val="0"/>
        <w:ind w:left="1560" w:right="851"/>
        <w:jc w:val="both"/>
        <w:rPr>
          <w:rFonts w:eastAsia="Arial"/>
          <w:sz w:val="22"/>
          <w:szCs w:val="22"/>
          <w:lang w:val="es-CR" w:eastAsia="en-US"/>
        </w:rPr>
      </w:pPr>
    </w:p>
    <w:p w14:paraId="5A3D15AA" w14:textId="77777777" w:rsidR="00B15F7D" w:rsidRPr="00990FB6" w:rsidRDefault="00B15F7D" w:rsidP="00B15F7D">
      <w:pPr>
        <w:numPr>
          <w:ilvl w:val="0"/>
          <w:numId w:val="167"/>
        </w:numPr>
        <w:suppressAutoHyphens w:val="0"/>
        <w:ind w:left="851" w:right="851" w:firstLine="709"/>
        <w:jc w:val="both"/>
        <w:rPr>
          <w:rFonts w:eastAsia="Arial"/>
          <w:sz w:val="22"/>
          <w:szCs w:val="22"/>
          <w:lang w:val="es-CR" w:eastAsia="en-US"/>
        </w:rPr>
      </w:pPr>
      <w:r w:rsidRPr="00990FB6">
        <w:rPr>
          <w:sz w:val="22"/>
          <w:szCs w:val="22"/>
          <w:lang w:val="es-CR" w:eastAsia="en-US"/>
        </w:rPr>
        <w:t>Disposición de utilizar diferentes medios de transporte no convencionales (caballo, mula, camión, bote, panga, etc.) para los traslados a las zonas de vivienda o en conflicto de la población usuaria indígena. Contar con licencia de conducir tipo B-1 para el caso del personal profesional (Juezas o Jueces, Fiscalas o Fiscales, Defensoras o Defensores), lo anterior ante el eventual escenario de deber utilizar y desplazarse por sí mismos en los vehículos oficiales de la institución hasta las zonas de población indígena. Importante aclarar, que la licencia B-1 según el MOPT y el COSEVI sirve tanto para vehículos livianos de tracción manual y automática, por ende, al aceptar el puesto las personas interesadas deben entender que, en el caso de deber manejar un vehículo institucional, no se pueden atender preferencias entre vehículos manuales o automáticos, puesto que su licencia les facultaría para automóviles de ambos tipos de tracción.</w:t>
      </w:r>
    </w:p>
    <w:p w14:paraId="7474FAE3" w14:textId="77777777" w:rsidR="00B15F7D" w:rsidRPr="00990FB6" w:rsidRDefault="00B15F7D" w:rsidP="00B15F7D">
      <w:pPr>
        <w:ind w:left="708"/>
        <w:rPr>
          <w:rFonts w:eastAsia="Arial"/>
          <w:sz w:val="22"/>
          <w:szCs w:val="22"/>
          <w:lang w:val="es-CR" w:eastAsia="en-US"/>
        </w:rPr>
      </w:pPr>
    </w:p>
    <w:p w14:paraId="46C9D864" w14:textId="77777777" w:rsidR="00B15F7D" w:rsidRPr="00990FB6" w:rsidRDefault="00B15F7D" w:rsidP="00B15F7D">
      <w:pPr>
        <w:numPr>
          <w:ilvl w:val="0"/>
          <w:numId w:val="167"/>
        </w:numPr>
        <w:suppressAutoHyphens w:val="0"/>
        <w:ind w:left="851" w:right="851" w:firstLine="709"/>
        <w:jc w:val="both"/>
        <w:rPr>
          <w:rFonts w:eastAsia="Arial"/>
          <w:sz w:val="22"/>
          <w:szCs w:val="22"/>
          <w:lang w:val="es-CR" w:eastAsia="en-US"/>
        </w:rPr>
      </w:pPr>
      <w:r w:rsidRPr="00990FB6">
        <w:rPr>
          <w:sz w:val="22"/>
          <w:szCs w:val="22"/>
          <w:lang w:val="es-CR" w:eastAsia="en-US"/>
        </w:rPr>
        <w:t xml:space="preserve">Valorar solicitar y dejar claro a las personas interesadas de formar parte de la Jurisdicción Especializada para Pueblos Indígenas, que deben contar al momento de la participación en el concurso con las condiciones físicas y personales idóneas para realizar largas y constantes giras a territorios indígenas, en ocasiones de muy difícil </w:t>
      </w:r>
      <w:r w:rsidRPr="00990FB6">
        <w:rPr>
          <w:sz w:val="22"/>
          <w:szCs w:val="22"/>
          <w:lang w:val="es-CR" w:eastAsia="en-US"/>
        </w:rPr>
        <w:lastRenderedPageBreak/>
        <w:t>acceso, ya que deben caminar largas distancias, exposición a altas temperaturas, caminatas en montañas y otro tipo de circunstancias.</w:t>
      </w:r>
    </w:p>
    <w:p w14:paraId="487F4CF8" w14:textId="77777777" w:rsidR="00B15F7D" w:rsidRPr="00990FB6" w:rsidRDefault="00B15F7D" w:rsidP="00B15F7D">
      <w:pPr>
        <w:ind w:left="708"/>
        <w:rPr>
          <w:rFonts w:eastAsia="Arial"/>
          <w:sz w:val="22"/>
          <w:szCs w:val="22"/>
          <w:lang w:val="es-CR" w:eastAsia="en-US"/>
        </w:rPr>
      </w:pPr>
    </w:p>
    <w:p w14:paraId="56B89B5C" w14:textId="77777777" w:rsidR="00B15F7D" w:rsidRPr="00990FB6" w:rsidRDefault="00B15F7D" w:rsidP="00B15F7D">
      <w:pPr>
        <w:numPr>
          <w:ilvl w:val="0"/>
          <w:numId w:val="167"/>
        </w:numPr>
        <w:suppressAutoHyphens w:val="0"/>
        <w:ind w:left="851" w:right="851" w:firstLine="709"/>
        <w:jc w:val="both"/>
        <w:rPr>
          <w:rFonts w:eastAsia="Arial"/>
          <w:sz w:val="22"/>
          <w:szCs w:val="22"/>
          <w:lang w:val="es-CR" w:eastAsia="en-US"/>
        </w:rPr>
      </w:pPr>
      <w:r w:rsidRPr="00990FB6">
        <w:rPr>
          <w:sz w:val="22"/>
          <w:szCs w:val="22"/>
          <w:lang w:val="es-CR" w:eastAsia="en-US"/>
        </w:rPr>
        <w:t>Empatía para comprender que la condición social y cultural implica mayor inversión de tiempo para la tramitación de los procesos, pues los canales de comunicación son diversos en los diferentes procesos y según el género.</w:t>
      </w:r>
    </w:p>
    <w:p w14:paraId="032D0D64" w14:textId="77777777" w:rsidR="00B15F7D" w:rsidRPr="00990FB6" w:rsidRDefault="00B15F7D" w:rsidP="00B15F7D">
      <w:pPr>
        <w:ind w:left="708"/>
        <w:rPr>
          <w:rFonts w:eastAsia="Arial"/>
          <w:sz w:val="22"/>
          <w:szCs w:val="22"/>
          <w:lang w:val="es-CR" w:eastAsia="en-US"/>
        </w:rPr>
      </w:pPr>
    </w:p>
    <w:p w14:paraId="72675731" w14:textId="77777777" w:rsidR="00B15F7D" w:rsidRPr="00990FB6" w:rsidRDefault="00B15F7D" w:rsidP="00B15F7D">
      <w:pPr>
        <w:numPr>
          <w:ilvl w:val="0"/>
          <w:numId w:val="167"/>
        </w:numPr>
        <w:suppressAutoHyphens w:val="0"/>
        <w:ind w:left="851" w:right="851" w:firstLine="709"/>
        <w:jc w:val="both"/>
        <w:rPr>
          <w:rFonts w:eastAsia="Arial"/>
          <w:sz w:val="22"/>
          <w:szCs w:val="22"/>
          <w:lang w:val="es-CR" w:eastAsia="en-US"/>
        </w:rPr>
      </w:pPr>
      <w:r w:rsidRPr="00990FB6">
        <w:rPr>
          <w:sz w:val="22"/>
          <w:szCs w:val="22"/>
          <w:lang w:val="es-CR" w:eastAsia="en-US"/>
        </w:rPr>
        <w:t>Disponibilidad para aprender el o los principales idiomas indígenas de cada zona competencial por parte del personal del despacho; esto por cuanto la barrera del idioma ha sido uno de los puntos medulares resaltados durante las diferentes visitas a territorios indígenas. En varias ocasiones las personas usuarias indígenas indicaron que, les es muy difícil comprender el lenguaje técnico con que se habla en el Poder Judicial, también que no todas las personas dominan el idioma español y además, indican querer sentirse acompañados durante sus visitas al Poder Judicial de una persona intérprete que más allá de traducir el idioma, les explique sobre la situación presente.</w:t>
      </w:r>
    </w:p>
    <w:p w14:paraId="0188F6E8"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Realizar trabajos o acercamientos en conjunto con la Subcomisión de Acceso a la Justicia para las personas indígenas, con el fin de construir con base a las necesidades detectadas por la Subcomisión, programas de capacitación dirigidos a la atención especializada de las personas indígenas, a corto y mediano plazo.</w:t>
      </w:r>
    </w:p>
    <w:p w14:paraId="7E74CF4F" w14:textId="77777777" w:rsidR="00B15F7D" w:rsidRPr="00990FB6" w:rsidRDefault="00B15F7D" w:rsidP="00B15F7D">
      <w:pPr>
        <w:suppressAutoHyphens w:val="0"/>
        <w:ind w:left="851" w:right="851" w:firstLine="709"/>
        <w:contextualSpacing/>
        <w:jc w:val="both"/>
        <w:rPr>
          <w:rFonts w:eastAsia="Book Antiqua"/>
          <w:sz w:val="22"/>
          <w:szCs w:val="22"/>
          <w:lang w:val="es-CR" w:eastAsia="en-US"/>
        </w:rPr>
      </w:pPr>
    </w:p>
    <w:p w14:paraId="62421045"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 xml:space="preserve">Como parte de los acercamientos y reuniones mantenidas entre esta Dirección y la Subcomisión de Acceso a la justicia para las personas indígenas para el desarrollo del presente informe, se detectó la similitud que tienen hoy en día el personal juzgador y técnico judicial que se desempeña en la jurisdicción agraria, con la características que se identificaron, deberían tener como mínimo el personal que eventualmente se desempeñe en la jurisdicción especializada para pueblos indígenas; lo anterior porque se debe realizar trabajo de campo o </w:t>
      </w:r>
      <w:r w:rsidRPr="00990FB6">
        <w:rPr>
          <w:i/>
          <w:iCs/>
          <w:sz w:val="22"/>
          <w:szCs w:val="22"/>
          <w:lang w:val="es-CR" w:eastAsia="en-US"/>
        </w:rPr>
        <w:t>in situ</w:t>
      </w:r>
      <w:r w:rsidRPr="00990FB6">
        <w:rPr>
          <w:sz w:val="22"/>
          <w:szCs w:val="22"/>
          <w:lang w:val="es-CR" w:eastAsia="en-US"/>
        </w:rPr>
        <w:t xml:space="preserve"> en su mayoría. Debido a esto, se recomienda valorar que, para la eventual creación de perfiles competenciales o puestos pertenecientes a la Jurisdicción Especializada para Pueblos Indígenas, se tome como base para su desarrollo los perfiles competenciales actuales de los puestos que se desempeñan en la jurisdicción agraria.</w:t>
      </w:r>
    </w:p>
    <w:p w14:paraId="1B771523" w14:textId="77777777" w:rsidR="00B15F7D" w:rsidRPr="00990FB6" w:rsidRDefault="00B15F7D" w:rsidP="00B15F7D">
      <w:pPr>
        <w:suppressAutoHyphens w:val="0"/>
        <w:ind w:left="851" w:right="851" w:firstLine="709"/>
        <w:contextualSpacing/>
        <w:jc w:val="both"/>
        <w:rPr>
          <w:sz w:val="22"/>
          <w:szCs w:val="22"/>
          <w:lang w:val="es-CR" w:eastAsia="en-US"/>
        </w:rPr>
      </w:pPr>
    </w:p>
    <w:p w14:paraId="4272B309"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Para el cálculo y determinación de la cantidad de personal que se requieren en el área jurisdiccional, para la jurisdicción especializada para pueblos indígenas, se tomó como base las categorías de jueces o juezas penales, Fiscalías, Defensa Pública y Juzgados Agrarios; sin embargo, se recomienda que ante el eventual escenario de que se apruebe la creación de las plazas que se proponen, sea la Dirección de Gestión Humana la encargada de definir la categoría de todos los puestos.</w:t>
      </w:r>
    </w:p>
    <w:p w14:paraId="454B3982" w14:textId="77777777" w:rsidR="00B15F7D" w:rsidRPr="00990FB6" w:rsidRDefault="00B15F7D" w:rsidP="00B15F7D">
      <w:pPr>
        <w:suppressAutoHyphens w:val="0"/>
        <w:ind w:left="851" w:right="851" w:firstLine="709"/>
        <w:contextualSpacing/>
        <w:jc w:val="both"/>
        <w:rPr>
          <w:sz w:val="22"/>
          <w:szCs w:val="22"/>
          <w:lang w:val="es-CR" w:eastAsia="en-US"/>
        </w:rPr>
      </w:pPr>
    </w:p>
    <w:p w14:paraId="71EA16E0"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rFonts w:eastAsia="Book Antiqua"/>
          <w:sz w:val="22"/>
          <w:szCs w:val="22"/>
          <w:lang w:val="es-CR" w:eastAsia="en-US"/>
        </w:rPr>
        <w:t>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p>
    <w:p w14:paraId="3C7C89BC" w14:textId="77777777" w:rsidR="00B15F7D" w:rsidRPr="00990FB6" w:rsidRDefault="00B15F7D" w:rsidP="00B15F7D">
      <w:pPr>
        <w:suppressAutoHyphens w:val="0"/>
        <w:ind w:left="851" w:right="851" w:firstLine="709"/>
        <w:contextualSpacing/>
        <w:jc w:val="both"/>
        <w:rPr>
          <w:sz w:val="22"/>
          <w:szCs w:val="22"/>
          <w:lang w:val="es-CR" w:eastAsia="en-US"/>
        </w:rPr>
      </w:pPr>
    </w:p>
    <w:p w14:paraId="10BCBC9A"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rFonts w:eastAsia="Book Antiqua"/>
          <w:sz w:val="22"/>
          <w:szCs w:val="22"/>
          <w:lang w:val="es-CR" w:eastAsia="en-US"/>
        </w:rPr>
        <w:lastRenderedPageBreak/>
        <w:t>A raíz de las observaciones emitidas en el oficio CACC-116-2020 de la Comisión de Acceso a la Justicia, se solicita valorar la posibilidad de promover dentro de los concursos de la judicatura las capacitaciones referentes a la atención y acceso a la justicia de los pueblos indígenas.</w:t>
      </w:r>
    </w:p>
    <w:p w14:paraId="339C287A" w14:textId="77777777" w:rsidR="00B15F7D" w:rsidRPr="00990FB6" w:rsidRDefault="00B15F7D" w:rsidP="00B15F7D">
      <w:pPr>
        <w:suppressAutoHyphens w:val="0"/>
        <w:ind w:left="851" w:right="851" w:firstLine="709"/>
        <w:contextualSpacing/>
        <w:jc w:val="both"/>
        <w:rPr>
          <w:sz w:val="22"/>
          <w:szCs w:val="22"/>
          <w:lang w:val="es-CR" w:eastAsia="en-US"/>
        </w:rPr>
      </w:pPr>
    </w:p>
    <w:p w14:paraId="08C9A392"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rFonts w:eastAsia="Book Antiqua"/>
          <w:sz w:val="22"/>
          <w:szCs w:val="22"/>
          <w:lang w:val="es-CR" w:eastAsia="en-US"/>
        </w:rPr>
        <w:t>Como resultado de las observaciones emitidas en el oficio CACC-116-2020 de la Comisión de Acceso a la Justicia, se solicita analizar la posibilidad de incluir la variable de capacitación en Derecho Indígena en los indicadores de evaluación de desempeño y los procesos de reclutamiento, ya sea para nombramientos o ascensos en puestos vinculados con el conocimiento de procesos asociados a personas indígenas.</w:t>
      </w:r>
    </w:p>
    <w:p w14:paraId="3A94C3F3" w14:textId="77777777" w:rsidR="00B15F7D" w:rsidRPr="00990FB6" w:rsidRDefault="00B15F7D" w:rsidP="00B15F7D">
      <w:pPr>
        <w:suppressAutoHyphens w:val="0"/>
        <w:ind w:left="851" w:right="851" w:firstLine="709"/>
        <w:contextualSpacing/>
        <w:jc w:val="both"/>
        <w:rPr>
          <w:sz w:val="22"/>
          <w:szCs w:val="22"/>
          <w:lang w:val="es-CR" w:eastAsia="en-US"/>
        </w:rPr>
      </w:pPr>
    </w:p>
    <w:p w14:paraId="782E05AF"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Para el caso de la contratación de personas técnicas judiciales dedicadas a la atención del público en el área de manifestación, se recomienda realizar los esfuerzos pertinentes en conjunto con la Escuela Judicial, a fin de capacitar a este sector del personal para hablar y comprender las principales lenguas indígenas del país, o bien en la lengua de la población indígena proliferante de su zona competencial. Este requisito se considera sumamente importante ya que las personas que eventualmente se desempeñen en estos puestos, son las que estarán en la primera línea de atención de las personas usuarias indígenas que se acerquen a la institución, de ahí la importancia que puedan hablar y comprender al menos los lenguajes de las poblaciones indígenas con mayor representación en número de personas, sea Bribri y Cabécar.</w:t>
      </w:r>
    </w:p>
    <w:p w14:paraId="189D048F" w14:textId="77777777" w:rsidR="00B15F7D" w:rsidRPr="00990FB6" w:rsidRDefault="00B15F7D" w:rsidP="00B15F7D">
      <w:pPr>
        <w:suppressAutoHyphens w:val="0"/>
        <w:ind w:left="851" w:right="851" w:firstLine="709"/>
        <w:contextualSpacing/>
        <w:jc w:val="both"/>
        <w:rPr>
          <w:sz w:val="22"/>
          <w:szCs w:val="22"/>
          <w:lang w:val="es-CR" w:eastAsia="en-US"/>
        </w:rPr>
      </w:pPr>
    </w:p>
    <w:p w14:paraId="5AC4B0B3"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 xml:space="preserve">Valorar ante el escenario de que se apruebe el presente informe que, en los casos o concursos para nombrar las plazas de personas Técnicas Supernumerarias (intérpretes), hacer de conocimiento de que, para este caso, se requieren personas intérpretes en lenguas </w:t>
      </w:r>
      <w:r w:rsidRPr="00990FB6">
        <w:rPr>
          <w:b/>
          <w:bCs/>
          <w:sz w:val="22"/>
          <w:szCs w:val="22"/>
          <w:lang w:val="es-CR" w:eastAsia="en-US"/>
        </w:rPr>
        <w:t>indígenas</w:t>
      </w:r>
      <w:r w:rsidRPr="00990FB6">
        <w:rPr>
          <w:sz w:val="22"/>
          <w:szCs w:val="22"/>
          <w:lang w:val="es-CR" w:eastAsia="en-US"/>
        </w:rPr>
        <w:t xml:space="preserve"> y no lenguas extranjeras.</w:t>
      </w:r>
    </w:p>
    <w:p w14:paraId="46BB9932" w14:textId="77777777" w:rsidR="00B15F7D" w:rsidRPr="00990FB6" w:rsidRDefault="00B15F7D" w:rsidP="00B15F7D">
      <w:pPr>
        <w:suppressAutoHyphens w:val="0"/>
        <w:ind w:left="851" w:right="851" w:firstLine="709"/>
        <w:contextualSpacing/>
        <w:jc w:val="both"/>
        <w:rPr>
          <w:sz w:val="22"/>
          <w:szCs w:val="22"/>
          <w:lang w:val="es-CR" w:eastAsia="en-US"/>
        </w:rPr>
      </w:pPr>
    </w:p>
    <w:p w14:paraId="25F0E8A9"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Realizar acercamientos con la OCRI y la Escuela Judicial del Poder Judicial para que, en los eventuales casos de recepción de ayudas o cooperación nacional o internacional para capacitaciones, sistemas de consulta internacionales y/o asesoramientos en temas de población usuaria indígena, sean destinados de forma correcta y en busca de la maximización de los recursos de las personas interesadas en trabajar dentro de la Jurisdicción Especializada para Pueblos Indígenas.</w:t>
      </w:r>
    </w:p>
    <w:p w14:paraId="261A588A" w14:textId="77777777" w:rsidR="00B15F7D" w:rsidRPr="00990FB6" w:rsidRDefault="00B15F7D" w:rsidP="00B15F7D">
      <w:pPr>
        <w:suppressAutoHyphens w:val="0"/>
        <w:ind w:left="851" w:right="851" w:firstLine="709"/>
        <w:contextualSpacing/>
        <w:jc w:val="both"/>
        <w:rPr>
          <w:sz w:val="22"/>
          <w:szCs w:val="22"/>
          <w:lang w:val="es-CR" w:eastAsia="en-US"/>
        </w:rPr>
      </w:pPr>
    </w:p>
    <w:p w14:paraId="5BC36200"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Valorar que en el caso de que se apruebe la creación de la Jurisdicción Especializada para Pueblos Indígenas, se brinde al personal que se nombre en la Jurisdicción del equipo necesario personal para realizar giras al campo, se citan artículos como botas de hule, camisas y sombreros de tela que proteja la piel contra los rayos ultra violeta o generados por la luz solar, bloqueadores solares entre otros.</w:t>
      </w:r>
    </w:p>
    <w:p w14:paraId="719378DB" w14:textId="77777777" w:rsidR="00B15F7D" w:rsidRPr="00990FB6" w:rsidRDefault="00B15F7D" w:rsidP="00B15F7D">
      <w:pPr>
        <w:suppressAutoHyphens w:val="0"/>
        <w:ind w:left="851" w:right="851" w:firstLine="709"/>
        <w:contextualSpacing/>
        <w:jc w:val="both"/>
        <w:rPr>
          <w:sz w:val="22"/>
          <w:szCs w:val="22"/>
          <w:lang w:val="es-CR" w:eastAsia="en-US"/>
        </w:rPr>
      </w:pPr>
      <w:r w:rsidRPr="00990FB6">
        <w:rPr>
          <w:sz w:val="22"/>
          <w:szCs w:val="22"/>
          <w:lang w:val="es-CR" w:eastAsia="en-US"/>
        </w:rPr>
        <w:t xml:space="preserve">  </w:t>
      </w:r>
    </w:p>
    <w:p w14:paraId="4190681D"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 la Dirección de Tecnología de la Información</w:t>
      </w:r>
    </w:p>
    <w:p w14:paraId="5BF6F26E" w14:textId="77777777" w:rsidR="00B15F7D" w:rsidRPr="00990FB6" w:rsidRDefault="00B15F7D" w:rsidP="00B15F7D">
      <w:pPr>
        <w:suppressAutoHyphens w:val="0"/>
        <w:ind w:left="1560" w:right="851"/>
        <w:jc w:val="both"/>
        <w:rPr>
          <w:rFonts w:eastAsia="Book Antiqua"/>
          <w:sz w:val="22"/>
          <w:szCs w:val="22"/>
          <w:lang w:val="es-CR" w:eastAsia="en-US"/>
        </w:rPr>
      </w:pPr>
    </w:p>
    <w:p w14:paraId="2BBF5442"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sz w:val="22"/>
          <w:szCs w:val="22"/>
          <w:lang w:val="es-CR" w:eastAsia="en-US"/>
        </w:rPr>
        <w:t>Programar y realizar de forma completa la migración de datos y expedientes de los despachos de origen, a la Jurisdicción Especializada para Pueblos Indígenas</w:t>
      </w:r>
      <w:r w:rsidRPr="00990FB6">
        <w:rPr>
          <w:rFonts w:eastAsia="Book Antiqua"/>
          <w:sz w:val="22"/>
          <w:szCs w:val="22"/>
          <w:lang w:val="es-CR" w:eastAsia="en-US"/>
        </w:rPr>
        <w:t>.</w:t>
      </w:r>
    </w:p>
    <w:p w14:paraId="661029D6" w14:textId="77777777" w:rsidR="00B15F7D" w:rsidRPr="00990FB6" w:rsidRDefault="00B15F7D" w:rsidP="00B15F7D">
      <w:pPr>
        <w:suppressAutoHyphens w:val="0"/>
        <w:ind w:left="1560" w:right="851"/>
        <w:jc w:val="both"/>
        <w:rPr>
          <w:rFonts w:eastAsia="Book Antiqua"/>
          <w:sz w:val="22"/>
          <w:szCs w:val="22"/>
          <w:lang w:val="es-CR" w:eastAsia="en-US"/>
        </w:rPr>
      </w:pPr>
    </w:p>
    <w:p w14:paraId="1521E9FC"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sz w:val="22"/>
          <w:szCs w:val="22"/>
          <w:lang w:val="es-CR" w:eastAsia="en-US"/>
        </w:rPr>
        <w:t>Buscar la solución en conjunto con el Subproceso de Estadística de la Dirección de Planificación para que, en el futuro, dentro del sistema de Gestión y por ende en SIGMA, los despachos puedan consignar cuando se tenga el dato, si una persona jurídica se encuentra dentro de un litigio como parte, en representación de una o varias personas indígenas y así poder robustecer la base de datos actual con datos reales posibles.</w:t>
      </w:r>
    </w:p>
    <w:p w14:paraId="511A29F5" w14:textId="77777777" w:rsidR="00B15F7D" w:rsidRPr="00990FB6" w:rsidRDefault="00B15F7D" w:rsidP="00B15F7D">
      <w:pPr>
        <w:ind w:left="708"/>
        <w:rPr>
          <w:rFonts w:eastAsia="Book Antiqua"/>
          <w:sz w:val="22"/>
          <w:szCs w:val="22"/>
          <w:lang w:val="es-CR" w:eastAsia="en-US"/>
        </w:rPr>
      </w:pPr>
    </w:p>
    <w:p w14:paraId="73C88BCB"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sz w:val="22"/>
          <w:szCs w:val="22"/>
          <w:lang w:val="es-CR" w:eastAsia="en-US"/>
        </w:rPr>
        <w:t>Desarrollar e implementar programas informáticos para que en los despachos que eventualmente formen parte de la Jurisdicción Especializada para Pueblos Indígenas, las resoluciones se logren traducir de forma automáticas en las principales lenguas indígenas según sea el caso de la persona usuaria indígena y su pueblo indígena al que se identifica; es decir que, las resoluciones se generen en español y la lengua indígena correspondiente.</w:t>
      </w:r>
    </w:p>
    <w:p w14:paraId="6FA7EB3F" w14:textId="77777777" w:rsidR="00B15F7D" w:rsidRPr="00990FB6" w:rsidRDefault="00B15F7D" w:rsidP="00B15F7D">
      <w:pPr>
        <w:suppressAutoHyphens w:val="0"/>
        <w:ind w:left="851" w:right="851" w:firstLine="709"/>
        <w:contextualSpacing/>
        <w:jc w:val="both"/>
        <w:rPr>
          <w:rFonts w:eastAsia="Book Antiqua"/>
          <w:sz w:val="22"/>
          <w:szCs w:val="22"/>
          <w:lang w:val="es-CR" w:eastAsia="en-US"/>
        </w:rPr>
      </w:pPr>
    </w:p>
    <w:p w14:paraId="17F8BD82"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 la Escuela Judicial</w:t>
      </w:r>
    </w:p>
    <w:p w14:paraId="3C8AF42D" w14:textId="77777777" w:rsidR="00B15F7D" w:rsidRPr="00990FB6" w:rsidRDefault="00B15F7D" w:rsidP="00B15F7D">
      <w:pPr>
        <w:keepNext/>
        <w:keepLines/>
        <w:suppressAutoHyphens w:val="0"/>
        <w:ind w:left="851" w:right="851" w:firstLine="709"/>
        <w:jc w:val="both"/>
        <w:rPr>
          <w:sz w:val="22"/>
          <w:szCs w:val="22"/>
          <w:lang w:val="es-CR" w:eastAsia="en-US"/>
        </w:rPr>
      </w:pPr>
    </w:p>
    <w:p w14:paraId="39C634EB"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Priorizar el fortalecimiento de las competencias de los equipos de trabajo que están a cargo de todos los procesos vinculados en las poblaciones indígenas.</w:t>
      </w:r>
    </w:p>
    <w:p w14:paraId="03E8FBA8" w14:textId="77777777" w:rsidR="00B15F7D" w:rsidRPr="00990FB6" w:rsidRDefault="00B15F7D" w:rsidP="00B15F7D">
      <w:pPr>
        <w:suppressAutoHyphens w:val="0"/>
        <w:ind w:left="1560" w:right="851"/>
        <w:jc w:val="both"/>
        <w:rPr>
          <w:rFonts w:eastAsia="Calibri"/>
          <w:sz w:val="22"/>
          <w:szCs w:val="22"/>
          <w:lang w:val="es-CR" w:eastAsia="en-US"/>
        </w:rPr>
      </w:pPr>
    </w:p>
    <w:p w14:paraId="1C0B1F2B"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Fomentar la capacitación virtual ante el panorama actual de afectación a la salud, por la enfermedad conocida como Covid-19, compartiendo espacios virtuales y presenciales, maximizando tiempos de desplazamientos, recursos económicos, y viáticos, entre otros.</w:t>
      </w:r>
    </w:p>
    <w:p w14:paraId="71B784DE" w14:textId="77777777" w:rsidR="00B15F7D" w:rsidRPr="00990FB6" w:rsidRDefault="00B15F7D" w:rsidP="00B15F7D">
      <w:pPr>
        <w:ind w:left="708"/>
        <w:rPr>
          <w:rFonts w:eastAsia="Calibri"/>
          <w:sz w:val="22"/>
          <w:szCs w:val="22"/>
          <w:lang w:val="es-CR" w:eastAsia="en-US"/>
        </w:rPr>
      </w:pPr>
    </w:p>
    <w:p w14:paraId="28712718"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sz w:val="22"/>
          <w:szCs w:val="22"/>
          <w:lang w:val="es-CR" w:eastAsia="en-US"/>
        </w:rPr>
        <w:t>Para el caso de la contratación de personas técnicas judiciales dedicadas a la atención del público en el área de manifestación, se recomienda realizar los esfuerzos pertinentes en conjunto con la Dirección de Gestión Humana, a fin de capacitar a este sector del personal para hablar y comprender las principales lenguas indígenas del país, o bien en la lengua de la población indígena proliferante de su zona competencial. Este requisito se considera sumamente importante ya que las personas que eventualmente se desempeñen en estos puestos, son las que estarán en la primera línea de atención de las personas usuarias indígenas que se acerquen a la institución, de ahí la importancia que puedan hablar y comprender al menos los lenguajes de las poblaciones indígenas con mayor representación en número de personas, sea Bribri y Cabécar.</w:t>
      </w:r>
    </w:p>
    <w:p w14:paraId="17F593AC" w14:textId="77777777" w:rsidR="00B15F7D" w:rsidRPr="00990FB6" w:rsidRDefault="00B15F7D" w:rsidP="00B15F7D">
      <w:pPr>
        <w:ind w:left="708"/>
        <w:rPr>
          <w:rFonts w:eastAsia="Calibri"/>
          <w:sz w:val="22"/>
          <w:szCs w:val="22"/>
          <w:lang w:val="es-CR" w:eastAsia="en-US"/>
        </w:rPr>
      </w:pPr>
    </w:p>
    <w:p w14:paraId="432ED9B1"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 xml:space="preserve">Verificar que los contenidos de los diseños de las capacitaciones en Derecho Indígena, se incluya al menos: </w:t>
      </w:r>
    </w:p>
    <w:p w14:paraId="77623B95" w14:textId="77777777" w:rsidR="00B15F7D" w:rsidRPr="00990FB6" w:rsidRDefault="00B15F7D" w:rsidP="00B15F7D">
      <w:pPr>
        <w:ind w:left="708"/>
        <w:rPr>
          <w:rFonts w:eastAsia="Calibri"/>
          <w:sz w:val="22"/>
          <w:szCs w:val="22"/>
          <w:lang w:val="es-CR" w:eastAsia="en-US"/>
        </w:rPr>
      </w:pPr>
    </w:p>
    <w:p w14:paraId="0E94ACA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 xml:space="preserve">a) Normativa internacional referida a los derechos de las personas indígenas, entre ellos, el Convenio relativo a la protección e integración de las poblaciones indígenas y de otras poblaciones tribales y </w:t>
      </w:r>
      <w:proofErr w:type="spellStart"/>
      <w:r w:rsidRPr="00990FB6">
        <w:rPr>
          <w:rFonts w:eastAsia="Calibri"/>
          <w:sz w:val="22"/>
          <w:szCs w:val="22"/>
          <w:lang w:val="es-CR" w:eastAsia="en-US"/>
        </w:rPr>
        <w:t>semitribales</w:t>
      </w:r>
      <w:proofErr w:type="spellEnd"/>
      <w:r w:rsidRPr="00990FB6">
        <w:rPr>
          <w:rFonts w:eastAsia="Calibri"/>
          <w:sz w:val="22"/>
          <w:szCs w:val="22"/>
          <w:lang w:val="es-CR" w:eastAsia="en-US"/>
        </w:rPr>
        <w:t xml:space="preserve"> en los países 1957 (Convenio 107 OIT), Convenio sobre Pueblos Indígenas y Tribales 1989 (Convenio 169 OIT), Declaración de las Naciones Unidas sobre los derechos de los Pueblos Indígenas 2007, Declaración Americana sobre Derechos de los Pueblos Indígenas OEA 2016.</w:t>
      </w:r>
    </w:p>
    <w:p w14:paraId="78AF6CBC"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CEB56BD"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b) Jurisprudencia de la Corte Interamericana de Derechos Humanos vinculada con pueblos Indígenas incluyendo la Opinión Consultiva 23-2017.</w:t>
      </w:r>
    </w:p>
    <w:p w14:paraId="6B6B86F8"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1725D11B"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c) Constitución Política, Ley Indígena, Ley de Acceso a la Justicia de los Pueblos Indígenas, entre otras.</w:t>
      </w:r>
    </w:p>
    <w:p w14:paraId="20D3B9C6"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758AA6E9"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d) Jurisprudencia de las Salas de Casación y de la Sala Constitucional de la Corte Suprema de Justicia; d) Lineamientos y circulares de Corte Plena y del Consejo Superior vinculados con las reglas para los procesos en los que estén involucradas personas indígenas.</w:t>
      </w:r>
    </w:p>
    <w:p w14:paraId="63322B8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16BC059A"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r w:rsidRPr="00990FB6">
        <w:rPr>
          <w:rFonts w:eastAsia="Calibri"/>
          <w:sz w:val="22"/>
          <w:szCs w:val="22"/>
          <w:lang w:val="es-CR" w:eastAsia="en-US"/>
        </w:rPr>
        <w:t>Además, los alcances y distinción entre el sistema monista y el pluralismo jurídico. Incluyendo, el establecimiento de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w:t>
      </w:r>
    </w:p>
    <w:p w14:paraId="462FA396" w14:textId="77777777" w:rsidR="00B15F7D" w:rsidRPr="00990FB6" w:rsidRDefault="00B15F7D" w:rsidP="00B15F7D">
      <w:pPr>
        <w:suppressAutoHyphens w:val="0"/>
        <w:ind w:left="851" w:right="851" w:firstLine="709"/>
        <w:contextualSpacing/>
        <w:jc w:val="both"/>
        <w:rPr>
          <w:sz w:val="22"/>
          <w:szCs w:val="22"/>
          <w:lang w:val="es-CR" w:eastAsia="en-US"/>
        </w:rPr>
      </w:pPr>
    </w:p>
    <w:p w14:paraId="2CA385A3" w14:textId="77777777" w:rsidR="00B15F7D" w:rsidRPr="00990FB6" w:rsidRDefault="00B15F7D" w:rsidP="00B15F7D">
      <w:pPr>
        <w:suppressAutoHyphens w:val="0"/>
        <w:ind w:left="851" w:right="851" w:firstLine="709"/>
        <w:contextualSpacing/>
        <w:jc w:val="both"/>
        <w:rPr>
          <w:sz w:val="22"/>
          <w:szCs w:val="22"/>
          <w:lang w:val="es-CR" w:eastAsia="en-US"/>
        </w:rPr>
      </w:pPr>
      <w:r w:rsidRPr="00990FB6">
        <w:rPr>
          <w:sz w:val="22"/>
          <w:szCs w:val="22"/>
          <w:lang w:val="es-CR" w:eastAsia="en-US"/>
        </w:rPr>
        <w:t>Realizar acercamientos con la OCRI y la Dirección de Gestión Humana del Poder Judicial para que, en los eventuales casos de recepción de ayudas o cooperación nacional o internacional para capacitaciones, sistemas de consulta internacionales y/o asesoramientos en temas de población usuaria indígena, sean destinados de forma correcta y en busca de la maximización de los recursos de las personas interesadas en trabajar dentro de la Jurisdicción Especializada para Pueblos Indígenas.</w:t>
      </w:r>
    </w:p>
    <w:p w14:paraId="184A9762"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009E43ED"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 la Dirección Ejecutiva</w:t>
      </w:r>
    </w:p>
    <w:p w14:paraId="52A08CD9" w14:textId="77777777" w:rsidR="00B15F7D" w:rsidRPr="00990FB6" w:rsidRDefault="00B15F7D" w:rsidP="00B15F7D">
      <w:pPr>
        <w:keepNext/>
        <w:keepLines/>
        <w:suppressAutoHyphens w:val="0"/>
        <w:ind w:left="851" w:right="851" w:firstLine="709"/>
        <w:jc w:val="both"/>
        <w:rPr>
          <w:sz w:val="22"/>
          <w:szCs w:val="22"/>
          <w:lang w:val="es-CR" w:eastAsia="en-US"/>
        </w:rPr>
      </w:pPr>
    </w:p>
    <w:p w14:paraId="7448520C"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rFonts w:eastAsia="Calibri"/>
          <w:sz w:val="22"/>
          <w:szCs w:val="22"/>
          <w:lang w:val="es-CR" w:eastAsia="en-US"/>
        </w:rPr>
        <w:t>Seguir incentivando la búsqueda de nuevas prácticas que motiven a la incorporación de más personas indígenas en las listas de personas traductoras, para ello podrá elaborar compañas en coordinación con el Departamento de Prensa y Comunicación; o bien, otros métodos que considere procedentes y de alto impacto.</w:t>
      </w:r>
    </w:p>
    <w:p w14:paraId="15808D46" w14:textId="77777777" w:rsidR="00B15F7D" w:rsidRPr="00990FB6" w:rsidRDefault="00B15F7D" w:rsidP="00B15F7D">
      <w:pPr>
        <w:suppressAutoHyphens w:val="0"/>
        <w:ind w:left="1560" w:right="851"/>
        <w:jc w:val="both"/>
        <w:rPr>
          <w:rFonts w:eastAsia="Book Antiqua"/>
          <w:sz w:val="22"/>
          <w:szCs w:val="22"/>
          <w:lang w:val="es-CR" w:eastAsia="en-US"/>
        </w:rPr>
      </w:pPr>
    </w:p>
    <w:p w14:paraId="7FB87418"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Solicitar y reiterar a todas las Administraciones Regionales del país tomar las medidas necesarias para que el pago a las personas traductoras e intérpretes (principalmente indígenas) se realice de manera oportuna y cumpliendo con todos los requerimientos legales y políticas institucionales, para poder seguir contando con este apoyo.</w:t>
      </w:r>
    </w:p>
    <w:p w14:paraId="624AA95D" w14:textId="77777777" w:rsidR="00B15F7D" w:rsidRPr="00990FB6" w:rsidRDefault="00B15F7D" w:rsidP="00B15F7D">
      <w:pPr>
        <w:ind w:left="708"/>
        <w:rPr>
          <w:rFonts w:eastAsia="Calibri"/>
          <w:sz w:val="22"/>
          <w:szCs w:val="22"/>
          <w:lang w:val="es-CR" w:eastAsia="en-US"/>
        </w:rPr>
      </w:pPr>
    </w:p>
    <w:p w14:paraId="65503D4F"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t>Desarrollar un plan de acción para que, en todos los edificios del Poder Judicial del país, cuenten con la debida rotulación en idiomas indígenas de edificios, aprovechando el talento humano institucional para las traducciones respectivas, así como la experticia en este tema de parte del Departamento de Artes Gráficas del Poder Judicial.</w:t>
      </w:r>
    </w:p>
    <w:p w14:paraId="524CE873" w14:textId="77777777" w:rsidR="00B15F7D" w:rsidRPr="00990FB6" w:rsidRDefault="00B15F7D" w:rsidP="00B15F7D">
      <w:pPr>
        <w:ind w:left="708"/>
        <w:rPr>
          <w:rFonts w:eastAsia="Calibri"/>
          <w:sz w:val="22"/>
          <w:szCs w:val="22"/>
          <w:lang w:val="es-CR" w:eastAsia="en-US"/>
        </w:rPr>
      </w:pPr>
    </w:p>
    <w:p w14:paraId="6B7E5B11" w14:textId="77777777" w:rsidR="00B15F7D" w:rsidRPr="00990FB6" w:rsidRDefault="00B15F7D" w:rsidP="00B15F7D">
      <w:pPr>
        <w:numPr>
          <w:ilvl w:val="0"/>
          <w:numId w:val="168"/>
        </w:numPr>
        <w:suppressAutoHyphens w:val="0"/>
        <w:ind w:left="851" w:right="851" w:firstLine="709"/>
        <w:jc w:val="both"/>
        <w:rPr>
          <w:rFonts w:eastAsia="Calibri"/>
          <w:sz w:val="22"/>
          <w:szCs w:val="22"/>
          <w:lang w:val="es-CR" w:eastAsia="en-US"/>
        </w:rPr>
      </w:pPr>
      <w:r w:rsidRPr="00990FB6">
        <w:rPr>
          <w:rFonts w:eastAsia="Calibri"/>
          <w:sz w:val="22"/>
          <w:szCs w:val="22"/>
          <w:lang w:val="es-CR" w:eastAsia="en-US"/>
        </w:rPr>
        <w:lastRenderedPageBreak/>
        <w:t xml:space="preserve">Determinar un espacio necesario en la sede regional del nuevo edificio de Buenos Aires, para la ubicación física y adecuada de cuatro personas Agentes de Protección a Víctimas y Testigos del OIJ, más un espacio de parqueo de vehículo; de ser posible continuo a la sede del nuevo Juzgado Especializado en Atención de Personas Indígenas de Buenos Aires. Con esta propuesta se brinda respuesta a la solicitud planteada dentro del oficio </w:t>
      </w:r>
      <w:proofErr w:type="spellStart"/>
      <w:r w:rsidRPr="00990FB6">
        <w:rPr>
          <w:rFonts w:eastAsia="Calibri"/>
          <w:sz w:val="22"/>
          <w:szCs w:val="22"/>
          <w:lang w:val="es-CR" w:eastAsia="en-US"/>
        </w:rPr>
        <w:t>N°</w:t>
      </w:r>
      <w:proofErr w:type="spellEnd"/>
      <w:r w:rsidRPr="00990FB6">
        <w:rPr>
          <w:rFonts w:eastAsia="Calibri"/>
          <w:sz w:val="22"/>
          <w:szCs w:val="22"/>
          <w:lang w:val="es-CR" w:eastAsia="en-US"/>
        </w:rPr>
        <w:t xml:space="preserve"> CACC-296-2021, del 19 de abril de 2021, de la Comisión de Acceso a la Justicia a Poblaciones en Condición de Vulnerabilidad del Poder Judicial (ver Apéndice 26). Aunado a lo anterior, valorar también la creación de espacios determinados en cada sede de los restantes Juzgados Especializados en Atención de Personas Indígenas, para las diferentes oficinas de Protección a Víctimas y Testigos del OIJ, debido a su estrecha labor relacionada con la población usuaria indígena del país.</w:t>
      </w:r>
    </w:p>
    <w:p w14:paraId="69788C77" w14:textId="77777777" w:rsidR="00B15F7D" w:rsidRPr="00990FB6" w:rsidRDefault="00B15F7D" w:rsidP="00B15F7D">
      <w:pPr>
        <w:suppressAutoHyphens w:val="0"/>
        <w:ind w:left="851" w:right="851" w:firstLine="709"/>
        <w:contextualSpacing/>
        <w:jc w:val="both"/>
        <w:rPr>
          <w:rFonts w:eastAsia="Calibri"/>
          <w:sz w:val="22"/>
          <w:szCs w:val="22"/>
          <w:lang w:val="es-CR" w:eastAsia="en-US"/>
        </w:rPr>
      </w:pPr>
    </w:p>
    <w:p w14:paraId="50B1A3A5"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Al Despacho de la Presidencia, la Comisión de Acceso a la Justicia a Poblaciones en Condición de Vulnerabilidad, y la Dirección Ejecutiva</w:t>
      </w:r>
    </w:p>
    <w:p w14:paraId="49DFD8CB" w14:textId="77777777" w:rsidR="00B15F7D" w:rsidRPr="00990FB6" w:rsidRDefault="00B15F7D" w:rsidP="00B15F7D">
      <w:pPr>
        <w:keepNext/>
        <w:keepLines/>
        <w:suppressAutoHyphens w:val="0"/>
        <w:ind w:left="851" w:right="851" w:firstLine="709"/>
        <w:jc w:val="both"/>
        <w:rPr>
          <w:sz w:val="22"/>
          <w:szCs w:val="22"/>
          <w:lang w:val="es-CR" w:eastAsia="en-US"/>
        </w:rPr>
      </w:pPr>
    </w:p>
    <w:p w14:paraId="2B8CB425"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rFonts w:eastAsia="Calibri"/>
          <w:sz w:val="22"/>
          <w:szCs w:val="22"/>
          <w:lang w:val="es-CR" w:eastAsia="en-US"/>
        </w:rPr>
        <w:t>Continuar uniendo esfuerzos para el establecimiento de un convenio interinstitucional con la Escuela de Antropología de la Universidad de Costa Rica y demás universidades estatales, en cumplimiento de la Ley de Acceso a la Justicia de Pueblos Indígenas de Costa Rica (Artículo 7), para que coadyuven con los peritajes culturales especializados necesarios para la atención de los procesos judiciales.</w:t>
      </w:r>
    </w:p>
    <w:p w14:paraId="4FE7C575" w14:textId="77777777" w:rsidR="00B15F7D" w:rsidRPr="00990FB6" w:rsidRDefault="00B15F7D" w:rsidP="00B15F7D">
      <w:pPr>
        <w:suppressAutoHyphens w:val="0"/>
        <w:ind w:left="1560" w:right="851"/>
        <w:jc w:val="both"/>
        <w:rPr>
          <w:rFonts w:eastAsia="Book Antiqua"/>
          <w:sz w:val="22"/>
          <w:szCs w:val="22"/>
          <w:lang w:val="es-CR" w:eastAsia="en-US"/>
        </w:rPr>
      </w:pPr>
    </w:p>
    <w:p w14:paraId="098F076D"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rFonts w:eastAsia="Calibri"/>
          <w:sz w:val="22"/>
          <w:szCs w:val="22"/>
          <w:lang w:val="es-CR" w:eastAsia="en-US"/>
        </w:rPr>
        <w:t xml:space="preserve">Realizar esfuerzos y acercamiento con el Colegio de Abogados y Abogadas de Costa Rica a fin de fomentar y fiscalizar la enseñanza en las universidades del país que brindan la carrera de Derecho a fin de que, en la medida de lo posible, se capacite a la comunidad actual de profesionales en derecho y a las futuras generaciones en la enseñanza de la Ley </w:t>
      </w:r>
      <w:proofErr w:type="spellStart"/>
      <w:r w:rsidRPr="00990FB6">
        <w:rPr>
          <w:rFonts w:eastAsia="Calibri"/>
          <w:sz w:val="22"/>
          <w:szCs w:val="22"/>
          <w:lang w:val="es-CR" w:eastAsia="en-US"/>
        </w:rPr>
        <w:t>N°</w:t>
      </w:r>
      <w:proofErr w:type="spellEnd"/>
      <w:r w:rsidRPr="00990FB6">
        <w:rPr>
          <w:rFonts w:eastAsia="Calibri"/>
          <w:sz w:val="22"/>
          <w:szCs w:val="22"/>
          <w:lang w:val="es-CR" w:eastAsia="en-US"/>
        </w:rPr>
        <w:t xml:space="preserve"> 9593 sobre el Acceso a la Justicia para Pueblos Indígenas.</w:t>
      </w:r>
    </w:p>
    <w:p w14:paraId="4F1CA5FB" w14:textId="77777777" w:rsidR="00B15F7D" w:rsidRPr="00990FB6" w:rsidRDefault="00B15F7D" w:rsidP="00B15F7D">
      <w:pPr>
        <w:suppressAutoHyphens w:val="0"/>
        <w:ind w:left="851" w:right="851" w:firstLine="709"/>
        <w:contextualSpacing/>
        <w:jc w:val="both"/>
        <w:rPr>
          <w:sz w:val="22"/>
          <w:szCs w:val="22"/>
          <w:lang w:val="es-CR" w:eastAsia="en-US"/>
        </w:rPr>
      </w:pPr>
    </w:p>
    <w:p w14:paraId="19186FAB"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 las Administraciones Regionales del Primer y Segundo Circuito Judicial de la Zona Sur, Circuito Judicial de Turrialba, Primer Circuito Judicial de la Zona Atlántica, y Primer Circuito Judicial de San José</w:t>
      </w:r>
    </w:p>
    <w:p w14:paraId="5980B2A9" w14:textId="77777777" w:rsidR="00B15F7D" w:rsidRPr="00990FB6" w:rsidRDefault="00B15F7D" w:rsidP="00B15F7D">
      <w:pPr>
        <w:keepNext/>
        <w:keepLines/>
        <w:suppressAutoHyphens w:val="0"/>
        <w:ind w:left="851" w:right="851" w:firstLine="709"/>
        <w:jc w:val="both"/>
        <w:rPr>
          <w:sz w:val="22"/>
          <w:szCs w:val="22"/>
          <w:lang w:val="es-CR" w:eastAsia="en-US"/>
        </w:rPr>
      </w:pPr>
    </w:p>
    <w:p w14:paraId="3952D86F"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Brindar colaboración y seguimiento, para la creación de las sedes regionales de la Jurisdicción Especializada para Pueblos Indígenas, a fin de otorgar espacios físicos y equipo adecuado tanto para el personal que ocupe las sedes, como las personas usuarias que se presenten a las instalaciones, así como encargarse de la debida rotulación de las diferentes sedes judiciales, en las escrituras indígenas de los pueblos con mayor representación usuaria indígena dentro del Poder Judicial.</w:t>
      </w:r>
    </w:p>
    <w:p w14:paraId="3A45E866" w14:textId="77777777" w:rsidR="00B15F7D" w:rsidRPr="00990FB6" w:rsidRDefault="00B15F7D" w:rsidP="00B15F7D">
      <w:pPr>
        <w:suppressAutoHyphens w:val="0"/>
        <w:ind w:left="1560" w:right="851"/>
        <w:jc w:val="both"/>
        <w:rPr>
          <w:sz w:val="22"/>
          <w:szCs w:val="22"/>
          <w:lang w:val="es-CR" w:eastAsia="en-US"/>
        </w:rPr>
      </w:pPr>
    </w:p>
    <w:p w14:paraId="26F1753C"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Colaborar con el costo de los viáticos de las personas que conformen y brinden atención especializada a las personas usuarias indígenas in situ, como por ejemplo el alquiler de caballos, mulas u otros para la realización de giras.</w:t>
      </w:r>
    </w:p>
    <w:p w14:paraId="182B5305" w14:textId="77777777" w:rsidR="00B15F7D" w:rsidRPr="00990FB6" w:rsidRDefault="00B15F7D" w:rsidP="00B15F7D">
      <w:pPr>
        <w:suppressAutoHyphens w:val="0"/>
        <w:ind w:left="851" w:right="851" w:firstLine="709"/>
        <w:contextualSpacing/>
        <w:jc w:val="both"/>
        <w:rPr>
          <w:sz w:val="22"/>
          <w:szCs w:val="22"/>
          <w:lang w:val="es-CR" w:eastAsia="en-US"/>
        </w:rPr>
      </w:pPr>
    </w:p>
    <w:p w14:paraId="511CA096"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lastRenderedPageBreak/>
        <w:t xml:space="preserve">A la Dirección Jurídica </w:t>
      </w:r>
    </w:p>
    <w:p w14:paraId="5249760E" w14:textId="77777777" w:rsidR="00B15F7D" w:rsidRPr="00990FB6" w:rsidRDefault="00B15F7D" w:rsidP="00B15F7D">
      <w:pPr>
        <w:keepNext/>
        <w:keepLines/>
        <w:suppressAutoHyphens w:val="0"/>
        <w:ind w:left="851" w:right="851" w:firstLine="709"/>
        <w:jc w:val="both"/>
        <w:rPr>
          <w:sz w:val="22"/>
          <w:szCs w:val="22"/>
          <w:lang w:val="es-CR" w:eastAsia="en-US"/>
        </w:rPr>
      </w:pPr>
    </w:p>
    <w:p w14:paraId="6742CF93" w14:textId="77777777" w:rsidR="00B15F7D" w:rsidRPr="00990FB6" w:rsidRDefault="00B15F7D" w:rsidP="00B15F7D">
      <w:pPr>
        <w:numPr>
          <w:ilvl w:val="0"/>
          <w:numId w:val="168"/>
        </w:numPr>
        <w:suppressAutoHyphens w:val="0"/>
        <w:ind w:left="851" w:right="851" w:firstLine="709"/>
        <w:jc w:val="both"/>
        <w:rPr>
          <w:rFonts w:eastAsia="Book Antiqua"/>
          <w:sz w:val="22"/>
          <w:szCs w:val="22"/>
          <w:lang w:val="es-CR" w:eastAsia="en-US"/>
        </w:rPr>
      </w:pPr>
      <w:r w:rsidRPr="00990FB6">
        <w:rPr>
          <w:rFonts w:eastAsia="Book Antiqua"/>
          <w:sz w:val="22"/>
          <w:szCs w:val="22"/>
          <w:lang w:val="es-CR" w:eastAsia="en-US"/>
        </w:rPr>
        <w:t xml:space="preserve">Valorar emitir un criterio jurídico sobre lo manifestado en el oficio JEFDP-365-2020 de la Jefatura de la Defensa Pública, sobre la posibilidad de que una Defensora o Defensor Público pueda conocer materia penal adicional de la materia alimentaria, que indica: </w:t>
      </w:r>
    </w:p>
    <w:p w14:paraId="0922281A" w14:textId="77777777" w:rsidR="00B15F7D" w:rsidRPr="00990FB6" w:rsidRDefault="00B15F7D" w:rsidP="00B15F7D">
      <w:pPr>
        <w:suppressAutoHyphens w:val="0"/>
        <w:ind w:left="851" w:right="851" w:firstLine="709"/>
        <w:jc w:val="both"/>
        <w:rPr>
          <w:rFonts w:eastAsia="Book Antiqua"/>
          <w:i/>
          <w:iCs/>
          <w:sz w:val="22"/>
          <w:szCs w:val="22"/>
          <w:lang w:val="es-CR" w:eastAsia="en-US"/>
        </w:rPr>
      </w:pPr>
    </w:p>
    <w:p w14:paraId="7E691DEC" w14:textId="77777777" w:rsidR="00B15F7D" w:rsidRPr="00990FB6" w:rsidRDefault="00B15F7D" w:rsidP="00B15F7D">
      <w:pPr>
        <w:suppressAutoHyphens w:val="0"/>
        <w:ind w:left="851" w:right="851" w:firstLine="709"/>
        <w:jc w:val="both"/>
        <w:rPr>
          <w:rFonts w:eastAsia="Book Antiqua"/>
          <w:i/>
          <w:iCs/>
          <w:sz w:val="22"/>
          <w:szCs w:val="22"/>
          <w:lang w:val="es-CR" w:eastAsia="en-US"/>
        </w:rPr>
      </w:pPr>
      <w:r w:rsidRPr="00990FB6">
        <w:rPr>
          <w:rFonts w:eastAsia="Book Antiqua"/>
          <w:i/>
          <w:iCs/>
          <w:sz w:val="22"/>
          <w:szCs w:val="22"/>
          <w:lang w:val="es-CR" w:eastAsia="en-US"/>
        </w:rPr>
        <w:t xml:space="preserve">(...)"se establece por Principio de Legalidad que quien brinda la asistencia letrada debe cumplir dos requisitos: </w:t>
      </w:r>
    </w:p>
    <w:p w14:paraId="21ADD495" w14:textId="77777777" w:rsidR="00B15F7D" w:rsidRPr="00990FB6" w:rsidRDefault="00B15F7D" w:rsidP="00B15F7D">
      <w:pPr>
        <w:suppressAutoHyphens w:val="0"/>
        <w:ind w:left="851" w:right="851" w:firstLine="709"/>
        <w:jc w:val="both"/>
        <w:rPr>
          <w:rFonts w:eastAsia="Book Antiqua"/>
          <w:i/>
          <w:iCs/>
          <w:sz w:val="22"/>
          <w:szCs w:val="22"/>
          <w:lang w:val="es-CR" w:eastAsia="en-US"/>
        </w:rPr>
      </w:pPr>
    </w:p>
    <w:p w14:paraId="24C116B2" w14:textId="77777777" w:rsidR="00B15F7D" w:rsidRPr="00990FB6" w:rsidRDefault="00B15F7D" w:rsidP="00B15F7D">
      <w:pPr>
        <w:suppressAutoHyphens w:val="0"/>
        <w:ind w:left="851" w:right="851" w:firstLine="709"/>
        <w:jc w:val="both"/>
        <w:rPr>
          <w:rFonts w:eastAsia="Book Antiqua"/>
          <w:i/>
          <w:iCs/>
          <w:sz w:val="22"/>
          <w:szCs w:val="22"/>
          <w:lang w:val="es-CR" w:eastAsia="en-US"/>
        </w:rPr>
      </w:pPr>
      <w:r w:rsidRPr="00990FB6">
        <w:rPr>
          <w:rFonts w:eastAsia="Book Antiqua"/>
          <w:i/>
          <w:iCs/>
          <w:sz w:val="22"/>
          <w:szCs w:val="22"/>
          <w:lang w:val="es-CR" w:eastAsia="en-US"/>
        </w:rPr>
        <w:t xml:space="preserve">1) especializada en derecho indígena. </w:t>
      </w:r>
    </w:p>
    <w:p w14:paraId="1E9077D8" w14:textId="77777777" w:rsidR="00B15F7D" w:rsidRPr="00990FB6" w:rsidRDefault="00B15F7D" w:rsidP="00B15F7D">
      <w:pPr>
        <w:suppressAutoHyphens w:val="0"/>
        <w:ind w:left="851" w:right="851" w:firstLine="709"/>
        <w:jc w:val="both"/>
        <w:rPr>
          <w:rFonts w:eastAsia="Book Antiqua"/>
          <w:i/>
          <w:iCs/>
          <w:sz w:val="22"/>
          <w:szCs w:val="22"/>
          <w:lang w:val="es-CR" w:eastAsia="en-US"/>
        </w:rPr>
      </w:pPr>
    </w:p>
    <w:p w14:paraId="27525065" w14:textId="77777777" w:rsidR="00B15F7D" w:rsidRPr="00990FB6" w:rsidRDefault="00B15F7D" w:rsidP="00B15F7D">
      <w:pPr>
        <w:suppressAutoHyphens w:val="0"/>
        <w:ind w:left="851" w:right="851" w:firstLine="709"/>
        <w:jc w:val="both"/>
        <w:rPr>
          <w:rFonts w:eastAsia="Book Antiqua"/>
          <w:i/>
          <w:iCs/>
          <w:sz w:val="22"/>
          <w:szCs w:val="22"/>
          <w:lang w:val="es-CR" w:eastAsia="en-US"/>
        </w:rPr>
      </w:pPr>
      <w:r w:rsidRPr="00990FB6">
        <w:rPr>
          <w:rFonts w:eastAsia="Book Antiqua"/>
          <w:i/>
          <w:iCs/>
          <w:sz w:val="22"/>
          <w:szCs w:val="22"/>
          <w:lang w:val="es-CR" w:eastAsia="en-US"/>
        </w:rPr>
        <w:t xml:space="preserve">2) especializada en la materia de competencia. </w:t>
      </w:r>
    </w:p>
    <w:p w14:paraId="1BE2EBA4" w14:textId="77777777" w:rsidR="00B15F7D" w:rsidRPr="00990FB6" w:rsidRDefault="00B15F7D" w:rsidP="00B15F7D">
      <w:pPr>
        <w:suppressAutoHyphens w:val="0"/>
        <w:ind w:left="851" w:right="851" w:firstLine="709"/>
        <w:jc w:val="both"/>
        <w:rPr>
          <w:rFonts w:eastAsia="Book Antiqua"/>
          <w:i/>
          <w:iCs/>
          <w:sz w:val="22"/>
          <w:szCs w:val="22"/>
          <w:lang w:val="es-CR" w:eastAsia="en-US"/>
        </w:rPr>
      </w:pPr>
    </w:p>
    <w:p w14:paraId="6B76A7DA" w14:textId="77777777" w:rsidR="00B15F7D" w:rsidRPr="00990FB6" w:rsidRDefault="00B15F7D" w:rsidP="00B15F7D">
      <w:pPr>
        <w:suppressAutoHyphens w:val="0"/>
        <w:ind w:left="851" w:right="851" w:firstLine="709"/>
        <w:jc w:val="both"/>
        <w:rPr>
          <w:rFonts w:eastAsia="Book Antiqua"/>
          <w:i/>
          <w:iCs/>
          <w:sz w:val="22"/>
          <w:szCs w:val="22"/>
          <w:lang w:val="es-CR" w:eastAsia="en-US"/>
        </w:rPr>
      </w:pPr>
      <w:r w:rsidRPr="00990FB6">
        <w:rPr>
          <w:rFonts w:eastAsia="Book Antiqua"/>
          <w:i/>
          <w:iCs/>
          <w:sz w:val="22"/>
          <w:szCs w:val="22"/>
          <w:lang w:val="es-CR" w:eastAsia="en-US"/>
        </w:rPr>
        <w:t>Situación que a la fecha no opera, pues las personas defensoras públicas no tienen una especialidad en derecho indígena, aún y cuando se trata de generar capacitaciones; además se plantea la necesidad de la especialidad en la materia de atención a la persona indígena. Eso nos lleva a considerar que las personas defensoras públicas no deberían de asesorar materias por recargo, que implica otras especialidades, ni que pensiones deba atender penal, o violencia doméstica, ya que justamente por el Principio de Legalidad se requiere la especialización a partir de la condición de la persona usuaria y del tipo de proceso judicial que se asesore."</w:t>
      </w:r>
    </w:p>
    <w:p w14:paraId="421235A7" w14:textId="77777777" w:rsidR="00B15F7D" w:rsidRPr="00990FB6" w:rsidRDefault="00B15F7D" w:rsidP="00B15F7D">
      <w:pPr>
        <w:suppressAutoHyphens w:val="0"/>
        <w:ind w:left="851" w:right="851" w:firstLine="709"/>
        <w:contextualSpacing/>
        <w:jc w:val="both"/>
        <w:rPr>
          <w:rFonts w:eastAsia="Book Antiqua"/>
          <w:sz w:val="22"/>
          <w:szCs w:val="22"/>
          <w:lang w:val="es-CR" w:eastAsia="en-US"/>
        </w:rPr>
      </w:pPr>
    </w:p>
    <w:p w14:paraId="4FA13164" w14:textId="77777777" w:rsidR="00B15F7D" w:rsidRPr="00990FB6" w:rsidRDefault="00B15F7D" w:rsidP="00B15F7D">
      <w:pPr>
        <w:suppressAutoHyphens w:val="0"/>
        <w:ind w:left="851" w:right="851" w:firstLine="709"/>
        <w:contextualSpacing/>
        <w:jc w:val="both"/>
        <w:rPr>
          <w:rFonts w:eastAsia="Book Antiqua"/>
          <w:sz w:val="22"/>
          <w:szCs w:val="22"/>
          <w:lang w:val="es-CR" w:eastAsia="en-US"/>
        </w:rPr>
      </w:pPr>
      <w:r w:rsidRPr="00990FB6">
        <w:rPr>
          <w:rFonts w:eastAsia="Book Antiqua"/>
          <w:sz w:val="22"/>
          <w:szCs w:val="22"/>
          <w:lang w:val="es-CR" w:eastAsia="en-US"/>
        </w:rPr>
        <w:t>Lo anterior debido a las recomendaciones emitidas por la Dirección de Planificación en el presente informe y en el “informe de Impacto organizacional y presupuestario en el Poder Judicial (Defensa Pública) a partir de la promulgación de la Ley 9593 de Acceso a la Justicia de los Pueblos Indígenas“ (presupuesto 2022), para la optimización de recursos de la Defensa Pública, tomando en consideración la equidad de las cargas de trabajo entre las personas defensoras y las limitaciones presupuestarias de la institución.</w:t>
      </w:r>
    </w:p>
    <w:p w14:paraId="75F0AE7A" w14:textId="77777777" w:rsidR="00B15F7D" w:rsidRPr="00990FB6" w:rsidRDefault="00B15F7D" w:rsidP="00B15F7D">
      <w:pPr>
        <w:suppressAutoHyphens w:val="0"/>
        <w:ind w:left="851" w:right="851" w:firstLine="709"/>
        <w:contextualSpacing/>
        <w:jc w:val="both"/>
        <w:rPr>
          <w:rFonts w:eastAsia="Book Antiqua"/>
          <w:sz w:val="22"/>
          <w:szCs w:val="22"/>
          <w:lang w:val="es-CR" w:eastAsia="en-US"/>
        </w:rPr>
      </w:pPr>
    </w:p>
    <w:p w14:paraId="2D6286C4"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Al Ministerio Público</w:t>
      </w:r>
    </w:p>
    <w:p w14:paraId="37D8DE34" w14:textId="77777777" w:rsidR="00B15F7D" w:rsidRPr="00990FB6" w:rsidRDefault="00B15F7D" w:rsidP="00B15F7D">
      <w:pPr>
        <w:keepNext/>
        <w:keepLines/>
        <w:suppressAutoHyphens w:val="0"/>
        <w:ind w:left="851" w:right="851" w:firstLine="709"/>
        <w:jc w:val="both"/>
        <w:rPr>
          <w:sz w:val="22"/>
          <w:szCs w:val="22"/>
          <w:lang w:val="es-CR" w:eastAsia="en-US"/>
        </w:rPr>
      </w:pPr>
    </w:p>
    <w:p w14:paraId="15D131EE"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rFonts w:eastAsia="Book Antiqua"/>
          <w:sz w:val="22"/>
          <w:szCs w:val="22"/>
          <w:lang w:val="es-CR" w:eastAsia="en-US"/>
        </w:rPr>
        <w:t>Según recomendación de la Comisión de Acceso a la Justicia en el oficio CACC-116-2020 del 14 abril, valorar la solicitud de establecer un protocolo diferenciado para la atención de personas indígenas en la Oficina de Protección de Víctimas y Testigos, en el entendido que se deberá garantizar la vida y la integridad de las personas; respetando la pertenencia cultural de esas personas en las medidas que se planteen.</w:t>
      </w:r>
    </w:p>
    <w:p w14:paraId="1575446A" w14:textId="77777777" w:rsidR="00B15F7D" w:rsidRPr="00990FB6" w:rsidRDefault="00B15F7D" w:rsidP="00B15F7D">
      <w:pPr>
        <w:suppressAutoHyphens w:val="0"/>
        <w:ind w:left="851" w:right="851" w:firstLine="709"/>
        <w:contextualSpacing/>
        <w:jc w:val="both"/>
        <w:rPr>
          <w:rFonts w:eastAsia="Book Antiqua"/>
          <w:sz w:val="22"/>
          <w:szCs w:val="22"/>
          <w:lang w:val="es-CR" w:eastAsia="en-US"/>
        </w:rPr>
      </w:pPr>
    </w:p>
    <w:p w14:paraId="4ECE5EE3"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 la Contraloría de Servicios del Poder Judicial</w:t>
      </w:r>
    </w:p>
    <w:p w14:paraId="5E1B1623" w14:textId="77777777" w:rsidR="00B15F7D" w:rsidRPr="00990FB6" w:rsidRDefault="00B15F7D" w:rsidP="00B15F7D">
      <w:pPr>
        <w:keepNext/>
        <w:keepLines/>
        <w:suppressAutoHyphens w:val="0"/>
        <w:ind w:left="851" w:right="851" w:firstLine="709"/>
        <w:jc w:val="both"/>
        <w:rPr>
          <w:sz w:val="22"/>
          <w:szCs w:val="22"/>
          <w:lang w:val="es-CR" w:eastAsia="en-US"/>
        </w:rPr>
      </w:pPr>
    </w:p>
    <w:p w14:paraId="502D173A"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rFonts w:eastAsia="Book Antiqua"/>
          <w:sz w:val="22"/>
          <w:szCs w:val="22"/>
          <w:lang w:val="es-CR" w:eastAsia="en-US"/>
        </w:rPr>
        <w:t xml:space="preserve">Realizar como mínimo, una vista anual a cada uno de los 24 territorios indígenas del país, a fin de brindar un acercamiento con las poblaciones y personas usuarias indígenas, captar o recibir por medio de las experiencias que se reciban oportunidades de mejora y conocer el resultado del servicio que se esté brindando a las diferentes poblaciones como resultado de la implementación de la Jurisdicción </w:t>
      </w:r>
      <w:r w:rsidRPr="00990FB6">
        <w:rPr>
          <w:rFonts w:eastAsia="Book Antiqua"/>
          <w:sz w:val="22"/>
          <w:szCs w:val="22"/>
          <w:lang w:val="es-CR" w:eastAsia="en-US"/>
        </w:rPr>
        <w:lastRenderedPageBreak/>
        <w:t xml:space="preserve">Especializada para Pueblos Indígenas. De las indicadas visitas deberán generar un informe a fin de ponerlo en conocimiento de las autoridades correspondientes y que se tomen las medidas correspondientes. Para el caso de esta recomendación, de forma paralela se recomienda que a las indicadas visitas asista, documente y haga pública la información, el </w:t>
      </w:r>
      <w:r w:rsidRPr="00990FB6">
        <w:rPr>
          <w:rFonts w:eastAsia="Book Antiqua"/>
          <w:b/>
          <w:bCs/>
          <w:i/>
          <w:iCs/>
          <w:sz w:val="22"/>
          <w:szCs w:val="22"/>
          <w:lang w:val="es-CR" w:eastAsia="en-US"/>
        </w:rPr>
        <w:t>Departamento de Prensa y Comunicación Organizacional del Poder Judicial</w:t>
      </w:r>
      <w:r w:rsidRPr="00990FB6">
        <w:rPr>
          <w:rFonts w:eastAsia="Book Antiqua"/>
          <w:sz w:val="22"/>
          <w:szCs w:val="22"/>
          <w:lang w:val="es-CR" w:eastAsia="en-US"/>
        </w:rPr>
        <w:t>.</w:t>
      </w:r>
    </w:p>
    <w:p w14:paraId="6CE0F617" w14:textId="77777777" w:rsidR="00B15F7D" w:rsidRPr="00990FB6" w:rsidRDefault="00B15F7D" w:rsidP="00B15F7D">
      <w:pPr>
        <w:suppressAutoHyphens w:val="0"/>
        <w:ind w:left="851" w:right="851" w:firstLine="709"/>
        <w:contextualSpacing/>
        <w:jc w:val="both"/>
        <w:rPr>
          <w:sz w:val="22"/>
          <w:szCs w:val="22"/>
          <w:lang w:val="es-CR" w:eastAsia="en-US"/>
        </w:rPr>
      </w:pPr>
    </w:p>
    <w:p w14:paraId="0D4DD163" w14:textId="77777777" w:rsidR="00B15F7D" w:rsidRPr="00990FB6" w:rsidRDefault="00B15F7D" w:rsidP="00B15F7D">
      <w:pPr>
        <w:keepNext/>
        <w:keepLines/>
        <w:suppressAutoHyphens w:val="0"/>
        <w:ind w:left="851" w:right="851" w:firstLine="709"/>
        <w:jc w:val="both"/>
        <w:rPr>
          <w:sz w:val="22"/>
          <w:szCs w:val="22"/>
          <w:lang w:val="es-CR" w:eastAsia="en-US"/>
        </w:rPr>
      </w:pPr>
      <w:r w:rsidRPr="00990FB6">
        <w:rPr>
          <w:sz w:val="22"/>
          <w:szCs w:val="22"/>
          <w:lang w:val="es-CR" w:eastAsia="en-US"/>
        </w:rPr>
        <w:t>Al CONAMAJ</w:t>
      </w:r>
    </w:p>
    <w:p w14:paraId="7D666E58" w14:textId="77777777" w:rsidR="00B15F7D" w:rsidRPr="00990FB6" w:rsidRDefault="00B15F7D" w:rsidP="00B15F7D">
      <w:pPr>
        <w:keepNext/>
        <w:keepLines/>
        <w:suppressAutoHyphens w:val="0"/>
        <w:ind w:left="851" w:right="851" w:firstLine="709"/>
        <w:jc w:val="both"/>
        <w:rPr>
          <w:sz w:val="22"/>
          <w:szCs w:val="22"/>
          <w:lang w:val="es-CR" w:eastAsia="en-US"/>
        </w:rPr>
      </w:pPr>
    </w:p>
    <w:p w14:paraId="5DA42CB0"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rFonts w:eastAsia="Book Antiqua"/>
          <w:sz w:val="22"/>
          <w:szCs w:val="22"/>
          <w:lang w:val="es-CR" w:eastAsia="en-US"/>
        </w:rPr>
        <w:t>Realizar los esfuerzos pertinentes para que se nombre la mayor cantidad posible de personas Facilitadoras Judiciales en los principales territorios indígenas del país, con la finalidad de que puedan colaborar en las labores de traducción, interpretación y acompañamiento de las personas usuarias indígenas.</w:t>
      </w:r>
    </w:p>
    <w:p w14:paraId="7E534C8D" w14:textId="77777777" w:rsidR="00B15F7D" w:rsidRPr="00990FB6" w:rsidRDefault="00B15F7D" w:rsidP="00B15F7D">
      <w:pPr>
        <w:suppressAutoHyphens w:val="0"/>
        <w:ind w:left="851" w:right="851" w:firstLine="709"/>
        <w:contextualSpacing/>
        <w:jc w:val="both"/>
        <w:rPr>
          <w:i/>
          <w:iCs/>
          <w:sz w:val="22"/>
          <w:szCs w:val="22"/>
          <w:lang w:val="es-CR" w:eastAsia="en-US"/>
        </w:rPr>
      </w:pPr>
    </w:p>
    <w:p w14:paraId="5CACBDA6" w14:textId="77777777" w:rsidR="00B15F7D" w:rsidRPr="00990FB6" w:rsidRDefault="00B15F7D" w:rsidP="00B15F7D">
      <w:pPr>
        <w:suppressAutoHyphens w:val="0"/>
        <w:ind w:left="851" w:right="851" w:firstLine="709"/>
        <w:contextualSpacing/>
        <w:jc w:val="both"/>
        <w:rPr>
          <w:i/>
          <w:iCs/>
          <w:sz w:val="22"/>
          <w:szCs w:val="22"/>
          <w:lang w:val="es-CR" w:eastAsia="en-US"/>
        </w:rPr>
      </w:pPr>
      <w:r w:rsidRPr="00990FB6">
        <w:rPr>
          <w:i/>
          <w:iCs/>
          <w:sz w:val="22"/>
          <w:szCs w:val="22"/>
          <w:lang w:val="es-CR" w:eastAsia="en-US"/>
        </w:rPr>
        <w:t>A la Sala Constitucional</w:t>
      </w:r>
    </w:p>
    <w:p w14:paraId="69F47007" w14:textId="77777777" w:rsidR="00B15F7D" w:rsidRPr="00990FB6" w:rsidRDefault="00B15F7D" w:rsidP="00B15F7D">
      <w:pPr>
        <w:suppressAutoHyphens w:val="0"/>
        <w:ind w:left="851" w:right="851" w:firstLine="709"/>
        <w:contextualSpacing/>
        <w:jc w:val="both"/>
        <w:rPr>
          <w:i/>
          <w:iCs/>
          <w:sz w:val="22"/>
          <w:szCs w:val="22"/>
          <w:lang w:val="es-CR" w:eastAsia="en-US"/>
        </w:rPr>
      </w:pPr>
    </w:p>
    <w:p w14:paraId="617ABDDE" w14:textId="77777777" w:rsidR="00B15F7D" w:rsidRPr="00990FB6" w:rsidRDefault="00B15F7D" w:rsidP="00B15F7D">
      <w:pPr>
        <w:numPr>
          <w:ilvl w:val="0"/>
          <w:numId w:val="168"/>
        </w:numPr>
        <w:suppressAutoHyphens w:val="0"/>
        <w:ind w:left="851" w:right="851" w:firstLine="709"/>
        <w:jc w:val="both"/>
        <w:rPr>
          <w:sz w:val="22"/>
          <w:szCs w:val="22"/>
          <w:lang w:val="es-CR" w:eastAsia="en-US"/>
        </w:rPr>
      </w:pPr>
      <w:r w:rsidRPr="00990FB6">
        <w:rPr>
          <w:sz w:val="22"/>
          <w:szCs w:val="22"/>
          <w:lang w:val="es-CR" w:eastAsia="en-US"/>
        </w:rPr>
        <w:t>En caso de aprobarse la propuesta de dotación de recursos para esta oficina, se recomienda la aplicación de la estructura de trabajo de las nuevas 3 plazas de personas Letradas (Profesionales en Derechos 3B) dedicadas exclusivamente a la atención de expedientes donde exista presencia de personas indígenas.</w:t>
      </w:r>
    </w:p>
    <w:p w14:paraId="3CD2DB1F" w14:textId="77777777" w:rsidR="00B15F7D" w:rsidRPr="00990FB6" w:rsidRDefault="00B15F7D" w:rsidP="00B15F7D">
      <w:pPr>
        <w:suppressAutoHyphens w:val="0"/>
        <w:ind w:left="1560" w:right="851"/>
        <w:jc w:val="both"/>
        <w:rPr>
          <w:sz w:val="22"/>
          <w:szCs w:val="22"/>
          <w:lang w:val="es-CR" w:eastAsia="en-US"/>
        </w:rPr>
      </w:pPr>
    </w:p>
    <w:p w14:paraId="002CF634"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C.C</w:t>
      </w:r>
    </w:p>
    <w:p w14:paraId="57EDD65F" w14:textId="77777777" w:rsidR="00B15F7D" w:rsidRPr="00990FB6" w:rsidRDefault="00B15F7D" w:rsidP="00B15F7D">
      <w:pPr>
        <w:suppressAutoHyphens w:val="0"/>
        <w:ind w:left="851" w:right="851" w:firstLine="709"/>
        <w:jc w:val="both"/>
        <w:rPr>
          <w:sz w:val="22"/>
          <w:szCs w:val="22"/>
          <w:lang w:val="es-CR" w:eastAsia="en-US"/>
        </w:rPr>
      </w:pPr>
    </w:p>
    <w:p w14:paraId="5A45DE2B"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pt-BR" w:eastAsia="en-US"/>
        </w:rPr>
        <w:t xml:space="preserve">Orlando Aguirre Gómez, </w:t>
      </w:r>
      <w:r w:rsidRPr="00990FB6">
        <w:rPr>
          <w:sz w:val="22"/>
          <w:szCs w:val="22"/>
          <w:lang w:val="es-CR" w:eastAsia="en-US"/>
        </w:rPr>
        <w:t>Presidente de la Corte Suprema de Justicia</w:t>
      </w:r>
    </w:p>
    <w:p w14:paraId="4568EFD0"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Damaris Vargas Vázquez, Subcomisión de Acceso a la Justicia para Pueblos Indígenas</w:t>
      </w:r>
    </w:p>
    <w:p w14:paraId="65C4D062"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 xml:space="preserve">Jorge Olaso Álvarez, Comisión de Acceso a la Justicia </w:t>
      </w:r>
    </w:p>
    <w:p w14:paraId="4A7B26ED"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Randall Zúñiga López, Director del OIJ</w:t>
      </w:r>
    </w:p>
    <w:p w14:paraId="71913E71"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Carlo Díaz Sánchez, Ministerio Público</w:t>
      </w:r>
    </w:p>
    <w:p w14:paraId="6C1567EA"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Juan Carlos Pérez Murillo, Defensa Pública</w:t>
      </w:r>
    </w:p>
    <w:p w14:paraId="0C406762"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Comisión de la Jurisdicción Penal</w:t>
      </w:r>
    </w:p>
    <w:p w14:paraId="1DCAD952"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Dirección de Gestión Humana</w:t>
      </w:r>
    </w:p>
    <w:p w14:paraId="09FFD38B"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Dirección Ejecutiva</w:t>
      </w:r>
    </w:p>
    <w:p w14:paraId="36632A2D"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Dirección de Tecnología y la Información</w:t>
      </w:r>
    </w:p>
    <w:p w14:paraId="1555E069"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 xml:space="preserve">Despacho de la Presidencia </w:t>
      </w:r>
    </w:p>
    <w:p w14:paraId="1A8ECA61"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 xml:space="preserve">Centro de Apoyo, Coordinación y Mejoramiento de la Función Jurisdiccional </w:t>
      </w:r>
    </w:p>
    <w:p w14:paraId="72F6A17C" w14:textId="77777777"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 xml:space="preserve">Trabajo Social y Psicología </w:t>
      </w:r>
    </w:p>
    <w:p w14:paraId="7A9DFF5D" w14:textId="4450B294" w:rsidR="00B15F7D" w:rsidRPr="00990FB6" w:rsidRDefault="00B15F7D" w:rsidP="00B15F7D">
      <w:pPr>
        <w:numPr>
          <w:ilvl w:val="0"/>
          <w:numId w:val="169"/>
        </w:numPr>
        <w:suppressAutoHyphens w:val="0"/>
        <w:ind w:left="851" w:right="851" w:firstLine="709"/>
        <w:jc w:val="both"/>
        <w:rPr>
          <w:sz w:val="22"/>
          <w:szCs w:val="22"/>
          <w:lang w:val="es-CR" w:eastAsia="en-US"/>
        </w:rPr>
      </w:pPr>
      <w:r w:rsidRPr="00990FB6">
        <w:rPr>
          <w:sz w:val="22"/>
          <w:szCs w:val="22"/>
          <w:lang w:val="es-CR" w:eastAsia="en-US"/>
        </w:rPr>
        <w:t>Contraloría de Servicios</w:t>
      </w:r>
    </w:p>
    <w:p w14:paraId="66DFBFEA" w14:textId="77777777" w:rsidR="004A5681" w:rsidRPr="00990FB6" w:rsidRDefault="004A5681" w:rsidP="004A5681">
      <w:pPr>
        <w:suppressAutoHyphens w:val="0"/>
        <w:ind w:left="1560" w:right="851"/>
        <w:jc w:val="both"/>
        <w:rPr>
          <w:sz w:val="22"/>
          <w:szCs w:val="22"/>
          <w:lang w:val="es-CR" w:eastAsia="en-US"/>
        </w:rPr>
      </w:pPr>
    </w:p>
    <w:p w14:paraId="1A5A9397" w14:textId="77777777" w:rsidR="00B15F7D" w:rsidRPr="00990FB6" w:rsidRDefault="00B15F7D" w:rsidP="00B15F7D">
      <w:pPr>
        <w:suppressAutoHyphens w:val="0"/>
        <w:ind w:left="851" w:right="851"/>
        <w:jc w:val="center"/>
        <w:rPr>
          <w:rFonts w:eastAsia="Calibri"/>
          <w:sz w:val="22"/>
          <w:szCs w:val="22"/>
          <w:lang w:val="es-CR" w:eastAsia="en-US"/>
        </w:rPr>
      </w:pPr>
      <w:r w:rsidRPr="00990FB6">
        <w:rPr>
          <w:rFonts w:eastAsia="Calibri"/>
          <w:sz w:val="22"/>
          <w:szCs w:val="22"/>
          <w:lang w:val="es-CR" w:eastAsia="en-US"/>
        </w:rPr>
        <w:t>- 0 -</w:t>
      </w:r>
    </w:p>
    <w:p w14:paraId="1FDCC4A0" w14:textId="77777777" w:rsidR="00B15F7D" w:rsidRPr="00990FB6" w:rsidRDefault="00B15F7D" w:rsidP="00B15F7D">
      <w:pPr>
        <w:suppressAutoHyphens w:val="0"/>
        <w:ind w:left="851" w:right="851" w:firstLine="709"/>
        <w:jc w:val="center"/>
        <w:rPr>
          <w:rFonts w:eastAsia="Calibri"/>
          <w:sz w:val="22"/>
          <w:szCs w:val="22"/>
          <w:lang w:val="es-CR" w:eastAsia="en-US"/>
        </w:rPr>
      </w:pPr>
    </w:p>
    <w:p w14:paraId="736FED83" w14:textId="77777777" w:rsidR="00B15F7D" w:rsidRPr="00990FB6" w:rsidRDefault="00B15F7D" w:rsidP="00B15F7D">
      <w:pPr>
        <w:suppressAutoHyphens w:val="0"/>
        <w:ind w:left="851" w:right="851"/>
        <w:jc w:val="center"/>
        <w:rPr>
          <w:rFonts w:eastAsia="Calibri"/>
          <w:color w:val="000099"/>
          <w:sz w:val="22"/>
          <w:szCs w:val="22"/>
          <w:lang w:val="es-CR" w:eastAsia="en-US"/>
        </w:rPr>
      </w:pPr>
      <w:r w:rsidRPr="00990FB6">
        <w:rPr>
          <w:rFonts w:eastAsia="Calibri"/>
          <w:color w:val="000099"/>
          <w:sz w:val="22"/>
          <w:szCs w:val="22"/>
          <w:lang w:val="es-CR" w:eastAsia="en-US"/>
        </w:rPr>
        <w:object w:dxaOrig="1543" w:dyaOrig="996" w14:anchorId="31FFAF2C">
          <v:shape id="_x0000_i1054" type="#_x0000_t75" style="width:77pt;height:50pt" o:ole="">
            <v:imagedata r:id="rId91" o:title=""/>
          </v:shape>
          <o:OLEObject Type="Embed" ProgID="Acrobat.Document.DC" ShapeID="_x0000_i1054" DrawAspect="Icon" ObjectID="_1748679182" r:id="rId92"/>
        </w:object>
      </w:r>
    </w:p>
    <w:p w14:paraId="27F7AE0E" w14:textId="77777777" w:rsidR="00B15F7D" w:rsidRPr="00990FB6" w:rsidRDefault="00B15F7D" w:rsidP="00B15F7D">
      <w:pPr>
        <w:jc w:val="center"/>
        <w:rPr>
          <w:sz w:val="22"/>
          <w:szCs w:val="22"/>
          <w:lang w:eastAsia="es-ES"/>
        </w:rPr>
      </w:pPr>
      <w:r w:rsidRPr="00990FB6">
        <w:rPr>
          <w:sz w:val="22"/>
          <w:szCs w:val="22"/>
          <w:lang w:eastAsia="es-ES"/>
        </w:rPr>
        <w:lastRenderedPageBreak/>
        <w:t>- 0 -</w:t>
      </w:r>
    </w:p>
    <w:p w14:paraId="63DD257A" w14:textId="77777777" w:rsidR="00B15F7D" w:rsidRPr="00990FB6" w:rsidRDefault="00B15F7D" w:rsidP="00B15F7D">
      <w:pPr>
        <w:ind w:left="851" w:right="900" w:firstLine="709"/>
        <w:jc w:val="both"/>
        <w:rPr>
          <w:sz w:val="22"/>
          <w:szCs w:val="22"/>
          <w:lang w:eastAsia="es-ES"/>
        </w:rPr>
      </w:pPr>
    </w:p>
    <w:p w14:paraId="35F3A3B8" w14:textId="77777777" w:rsidR="00B15F7D" w:rsidRPr="00990FB6" w:rsidRDefault="00B15F7D" w:rsidP="00B15F7D">
      <w:pPr>
        <w:ind w:left="851" w:right="900" w:firstLine="709"/>
        <w:jc w:val="both"/>
        <w:rPr>
          <w:sz w:val="22"/>
          <w:szCs w:val="22"/>
          <w:lang w:eastAsia="es-ES"/>
        </w:rPr>
      </w:pPr>
      <w:r w:rsidRPr="00990FB6">
        <w:rPr>
          <w:sz w:val="22"/>
          <w:szCs w:val="22"/>
          <w:lang w:eastAsia="es-ES"/>
        </w:rPr>
        <w:t>Manifiesta el Subsecretario General Mora Rodríguez: “Tengo una duda, si el honorable Consejo tendría que aprobar o acoger; ya que se presentan dos escenarios de recomendaciones.”</w:t>
      </w:r>
    </w:p>
    <w:p w14:paraId="5EDCA0FC" w14:textId="77777777" w:rsidR="00B15F7D" w:rsidRPr="00990FB6" w:rsidRDefault="00B15F7D" w:rsidP="00B15F7D">
      <w:pPr>
        <w:ind w:left="851" w:right="900" w:firstLine="709"/>
        <w:jc w:val="both"/>
        <w:rPr>
          <w:sz w:val="22"/>
          <w:szCs w:val="22"/>
          <w:lang w:eastAsia="es-ES"/>
        </w:rPr>
      </w:pPr>
    </w:p>
    <w:p w14:paraId="5118C6E7" w14:textId="77777777" w:rsidR="00B15F7D" w:rsidRPr="00990FB6" w:rsidRDefault="00B15F7D" w:rsidP="00B15F7D">
      <w:pPr>
        <w:ind w:left="851" w:right="900" w:firstLine="709"/>
        <w:jc w:val="both"/>
        <w:rPr>
          <w:sz w:val="22"/>
          <w:szCs w:val="22"/>
          <w:lang w:eastAsia="es-ES"/>
        </w:rPr>
      </w:pPr>
      <w:r w:rsidRPr="00990FB6">
        <w:rPr>
          <w:sz w:val="22"/>
          <w:szCs w:val="22"/>
          <w:lang w:eastAsia="es-ES"/>
        </w:rPr>
        <w:t>Manifiesta la integrante Álvarez Acosta: “Un escenario con jurisdicción especializada, y creación de plazas que implica un costo muy elevado, parece como cinco mil millones de colones aproximadamente, hay que revisar bien el detalle del presupuesto y otro escenario es fortalecer y preparar a las personas de los mismos despachos, esos dos escenarios si los proponen aquí, pero yo entendí que para esto no hay dinero, entonces no se iba a presupuestar para el dos mil veinticuatro, en ese sentido fue que yo lo sentí como un tomar nota, pero si vienen dos escenarios.</w:t>
      </w:r>
    </w:p>
    <w:p w14:paraId="3E936036" w14:textId="77777777" w:rsidR="00B15F7D" w:rsidRPr="00990FB6" w:rsidRDefault="00B15F7D" w:rsidP="00B15F7D">
      <w:pPr>
        <w:ind w:left="851" w:right="900" w:firstLine="709"/>
        <w:jc w:val="both"/>
        <w:rPr>
          <w:sz w:val="22"/>
          <w:szCs w:val="22"/>
          <w:lang w:eastAsia="es-ES"/>
        </w:rPr>
      </w:pPr>
    </w:p>
    <w:p w14:paraId="36DEDEB8" w14:textId="77777777" w:rsidR="00B15F7D" w:rsidRPr="00990FB6" w:rsidRDefault="00B15F7D" w:rsidP="00B15F7D">
      <w:pPr>
        <w:ind w:left="851" w:right="900" w:firstLine="709"/>
        <w:jc w:val="both"/>
        <w:rPr>
          <w:sz w:val="22"/>
          <w:szCs w:val="22"/>
          <w:lang w:eastAsia="es-ES"/>
        </w:rPr>
      </w:pPr>
      <w:r w:rsidRPr="00990FB6">
        <w:rPr>
          <w:sz w:val="22"/>
          <w:szCs w:val="22"/>
          <w:lang w:eastAsia="es-ES"/>
        </w:rPr>
        <w:t>No lo podemos incluir en el presupuesto dos mil veinticuatro ya que no hay dinero.”</w:t>
      </w:r>
    </w:p>
    <w:p w14:paraId="1F13104A" w14:textId="77777777" w:rsidR="00B15F7D" w:rsidRPr="00990FB6" w:rsidRDefault="00B15F7D" w:rsidP="00B15F7D">
      <w:pPr>
        <w:ind w:left="851" w:right="900" w:firstLine="709"/>
        <w:jc w:val="both"/>
        <w:rPr>
          <w:sz w:val="22"/>
          <w:szCs w:val="22"/>
          <w:lang w:eastAsia="es-ES"/>
        </w:rPr>
      </w:pPr>
    </w:p>
    <w:p w14:paraId="39649963" w14:textId="77777777" w:rsidR="00B15F7D" w:rsidRPr="00990FB6" w:rsidRDefault="00B15F7D" w:rsidP="00B15F7D">
      <w:pPr>
        <w:ind w:left="851" w:right="900" w:firstLine="709"/>
        <w:jc w:val="both"/>
        <w:rPr>
          <w:sz w:val="22"/>
          <w:szCs w:val="22"/>
          <w:lang w:eastAsia="es-ES"/>
        </w:rPr>
      </w:pPr>
      <w:r w:rsidRPr="00990FB6">
        <w:rPr>
          <w:sz w:val="22"/>
          <w:szCs w:val="22"/>
          <w:lang w:eastAsia="es-ES"/>
        </w:rPr>
        <w:t>Indica la magistrada Vicepresidenta Vargas Vásquez: “Porque no lo trasladamos a conocimiento de las oficinas que ahí vienen mencionadas y les damos un plazo para que emitan pronunciamiento y lo dirijan a la Dirección de Planificación.”</w:t>
      </w:r>
    </w:p>
    <w:p w14:paraId="635D2EC6" w14:textId="77777777" w:rsidR="00B15F7D" w:rsidRPr="00990FB6" w:rsidRDefault="00B15F7D" w:rsidP="00B15F7D">
      <w:pPr>
        <w:ind w:left="851" w:right="900" w:firstLine="709"/>
        <w:jc w:val="both"/>
        <w:rPr>
          <w:sz w:val="22"/>
          <w:szCs w:val="22"/>
          <w:lang w:eastAsia="es-ES"/>
        </w:rPr>
      </w:pPr>
    </w:p>
    <w:p w14:paraId="08D84A89" w14:textId="77777777" w:rsidR="00B15F7D" w:rsidRPr="00990FB6" w:rsidRDefault="00B15F7D" w:rsidP="00B15F7D">
      <w:pPr>
        <w:ind w:left="851" w:right="900" w:firstLine="709"/>
        <w:jc w:val="both"/>
        <w:rPr>
          <w:sz w:val="22"/>
          <w:szCs w:val="22"/>
          <w:lang w:eastAsia="es-ES"/>
        </w:rPr>
      </w:pPr>
      <w:r w:rsidRPr="00990FB6">
        <w:rPr>
          <w:sz w:val="22"/>
          <w:szCs w:val="22"/>
          <w:lang w:eastAsia="es-ES"/>
        </w:rPr>
        <w:t xml:space="preserve">Agrega la integrante Álvarez Acosta: “No sé si también de la Corte, es la Corte quien decide en última instancia, si recuerdo que el primer escenario que es con jurisdicción especializada que es bastante oneroso y lo que aclaró doña Damaris, no hay una ley y el otro es fortaleciendo a los despachos, que era menos oneroso, y no se podría incluir en el presupuesto del año 2024  definitivamente no hay dinero, sería como aparte si la Corte lo estima </w:t>
      </w:r>
      <w:r w:rsidRPr="00990FB6">
        <w:rPr>
          <w:strike/>
          <w:sz w:val="22"/>
          <w:szCs w:val="22"/>
          <w:lang w:eastAsia="es-ES"/>
        </w:rPr>
        <w:t xml:space="preserve"> </w:t>
      </w:r>
      <w:r w:rsidRPr="00990FB6">
        <w:rPr>
          <w:sz w:val="22"/>
          <w:szCs w:val="22"/>
          <w:lang w:eastAsia="es-ES"/>
        </w:rPr>
        <w:t>llevar, pero a sabiendas de que si escoge el primer escenario no hay ley.”</w:t>
      </w:r>
    </w:p>
    <w:p w14:paraId="6CB00CC2" w14:textId="77777777" w:rsidR="00B15F7D" w:rsidRPr="00990FB6" w:rsidRDefault="00B15F7D" w:rsidP="00B15F7D">
      <w:pPr>
        <w:ind w:left="851" w:right="900" w:firstLine="709"/>
        <w:jc w:val="both"/>
        <w:rPr>
          <w:sz w:val="22"/>
          <w:szCs w:val="22"/>
          <w:lang w:eastAsia="es-ES"/>
        </w:rPr>
      </w:pPr>
    </w:p>
    <w:p w14:paraId="38E66803" w14:textId="77777777" w:rsidR="00B15F7D" w:rsidRPr="00990FB6" w:rsidRDefault="00B15F7D" w:rsidP="00B15F7D">
      <w:pPr>
        <w:ind w:left="851" w:right="900" w:firstLine="709"/>
        <w:jc w:val="both"/>
        <w:rPr>
          <w:sz w:val="22"/>
          <w:szCs w:val="22"/>
          <w:lang w:eastAsia="es-ES"/>
        </w:rPr>
      </w:pPr>
      <w:r w:rsidRPr="00990FB6">
        <w:rPr>
          <w:sz w:val="22"/>
          <w:szCs w:val="22"/>
          <w:lang w:eastAsia="es-ES"/>
        </w:rPr>
        <w:t>Agrega la magistrada Vicepresidenta Vargas Vásquez: “Lo que se dijo es que ya estaba el proyecto, se informó sobre esos antecedentes que les mencionaba, que ya estaba terminado y listo, pero no había contenido presupuestario, me imagino que es un presupuesto separado.</w:t>
      </w:r>
    </w:p>
    <w:p w14:paraId="7A31068A" w14:textId="77777777" w:rsidR="00B15F7D" w:rsidRPr="00990FB6" w:rsidRDefault="00B15F7D" w:rsidP="00B15F7D">
      <w:pPr>
        <w:ind w:left="851" w:right="900" w:firstLine="709"/>
        <w:jc w:val="both"/>
        <w:rPr>
          <w:sz w:val="22"/>
          <w:szCs w:val="22"/>
          <w:lang w:eastAsia="es-ES"/>
        </w:rPr>
      </w:pPr>
    </w:p>
    <w:p w14:paraId="45D4D8F7" w14:textId="77777777" w:rsidR="00B15F7D" w:rsidRPr="00990FB6" w:rsidRDefault="00B15F7D" w:rsidP="00B15F7D">
      <w:pPr>
        <w:ind w:left="851" w:right="900" w:firstLine="709"/>
        <w:jc w:val="both"/>
        <w:rPr>
          <w:sz w:val="22"/>
          <w:szCs w:val="22"/>
          <w:lang w:eastAsia="es-ES"/>
        </w:rPr>
      </w:pPr>
      <w:r w:rsidRPr="00990FB6">
        <w:rPr>
          <w:sz w:val="22"/>
          <w:szCs w:val="22"/>
          <w:lang w:eastAsia="es-ES"/>
        </w:rPr>
        <w:t>Institucionalmente tiene que decidirse por donde vamos, si crear una jurisdicción y pedir un presupuesto separado que no cabría en el ordinario, o bien el plan B, que es fortalecer competencias de los despachos, es lo más viable me parece a mí en vista de la situación presupuestaria en la que se encuentra la institución”</w:t>
      </w:r>
    </w:p>
    <w:p w14:paraId="119446E3" w14:textId="77777777" w:rsidR="00B15F7D" w:rsidRPr="00990FB6" w:rsidRDefault="00B15F7D" w:rsidP="00B15F7D">
      <w:pPr>
        <w:suppressAutoHyphens w:val="0"/>
        <w:ind w:left="851" w:right="900" w:firstLine="709"/>
        <w:jc w:val="both"/>
        <w:rPr>
          <w:b/>
          <w:bCs/>
          <w:sz w:val="22"/>
          <w:szCs w:val="22"/>
          <w:lang w:val="es-CR" w:eastAsia="en-US"/>
        </w:rPr>
      </w:pPr>
    </w:p>
    <w:p w14:paraId="00702D10" w14:textId="77777777" w:rsidR="00B15F7D" w:rsidRPr="00990FB6" w:rsidRDefault="00B15F7D" w:rsidP="00B15F7D">
      <w:pPr>
        <w:suppressAutoHyphens w:val="0"/>
        <w:ind w:left="851" w:right="900" w:firstLine="709"/>
        <w:jc w:val="both"/>
        <w:rPr>
          <w:b/>
          <w:bCs/>
          <w:sz w:val="22"/>
          <w:szCs w:val="22"/>
          <w:lang w:val="es-CR" w:eastAsia="en-US"/>
        </w:rPr>
      </w:pPr>
      <w:r w:rsidRPr="00990FB6">
        <w:rPr>
          <w:b/>
          <w:bCs/>
          <w:sz w:val="22"/>
          <w:szCs w:val="22"/>
          <w:lang w:val="es-CR" w:eastAsia="en-US"/>
        </w:rPr>
        <w:t>Se acordó</w:t>
      </w:r>
      <w:r w:rsidRPr="00990FB6">
        <w:rPr>
          <w:sz w:val="22"/>
          <w:szCs w:val="22"/>
          <w:lang w:val="es-CR" w:eastAsia="en-US"/>
        </w:rPr>
        <w:t xml:space="preserve">: </w:t>
      </w:r>
      <w:r w:rsidRPr="00990FB6">
        <w:rPr>
          <w:b/>
          <w:bCs/>
          <w:sz w:val="22"/>
          <w:szCs w:val="22"/>
          <w:lang w:val="es-CR" w:eastAsia="en-US"/>
        </w:rPr>
        <w:t>1.)</w:t>
      </w:r>
      <w:r w:rsidRPr="00990FB6">
        <w:rPr>
          <w:sz w:val="22"/>
          <w:szCs w:val="22"/>
          <w:lang w:val="es-CR" w:eastAsia="en-US"/>
        </w:rPr>
        <w:t xml:space="preserve"> Tomar nota del </w:t>
      </w:r>
      <w:r w:rsidRPr="00990FB6">
        <w:rPr>
          <w:sz w:val="22"/>
          <w:szCs w:val="22"/>
          <w:lang w:val="es-MX" w:eastAsia="en-US"/>
        </w:rPr>
        <w:t xml:space="preserve">informe 280-PLA-RH-MI(PL)-2023 relacionado con la posibilidad de establecer una Jurisdicción Especializada en materia indígena. En consecuencia, trasladar el presente acuerdo a conocimiento de la Corte Plena, para lo que estimen pertinente en las sesiones de presupuesto. </w:t>
      </w:r>
      <w:r w:rsidRPr="00990FB6">
        <w:rPr>
          <w:b/>
          <w:bCs/>
          <w:sz w:val="22"/>
          <w:szCs w:val="22"/>
          <w:lang w:val="es-MX" w:eastAsia="en-US"/>
        </w:rPr>
        <w:t>2.)</w:t>
      </w:r>
      <w:r w:rsidRPr="00990FB6">
        <w:rPr>
          <w:sz w:val="22"/>
          <w:szCs w:val="22"/>
          <w:lang w:val="es-MX" w:eastAsia="en-US"/>
        </w:rPr>
        <w:t xml:space="preserve"> Hacer este acuerdo de conocimiento de la Comisión de Acceso, Subcomisión de Acceso a la Justicia de Pueblos Indígenas, así como a la Dirección de Planificación. </w:t>
      </w:r>
      <w:r w:rsidRPr="00990FB6">
        <w:rPr>
          <w:b/>
          <w:bCs/>
          <w:sz w:val="22"/>
          <w:szCs w:val="22"/>
          <w:lang w:val="es-CR" w:eastAsia="en-US"/>
        </w:rPr>
        <w:t>Se declara acuerdo firme.”</w:t>
      </w:r>
    </w:p>
    <w:p w14:paraId="6A7D73EF" w14:textId="77777777" w:rsidR="00B15F7D" w:rsidRPr="00990FB6" w:rsidRDefault="00B15F7D" w:rsidP="00B15F7D">
      <w:pPr>
        <w:suppressAutoHyphens w:val="0"/>
        <w:ind w:left="851" w:right="900" w:firstLine="709"/>
        <w:jc w:val="both"/>
        <w:rPr>
          <w:bCs/>
          <w:sz w:val="22"/>
          <w:szCs w:val="22"/>
          <w:lang w:eastAsia="es-ES"/>
        </w:rPr>
      </w:pPr>
    </w:p>
    <w:p w14:paraId="69D58FB5" w14:textId="184A5AB9" w:rsidR="00B15F7D" w:rsidRPr="00990FB6" w:rsidRDefault="00B15F7D" w:rsidP="00B15F7D">
      <w:pPr>
        <w:suppressAutoHyphens w:val="0"/>
        <w:jc w:val="center"/>
        <w:rPr>
          <w:bCs/>
          <w:sz w:val="22"/>
          <w:szCs w:val="22"/>
          <w:lang w:eastAsia="es-ES"/>
        </w:rPr>
      </w:pPr>
      <w:r w:rsidRPr="00990FB6">
        <w:rPr>
          <w:bCs/>
          <w:sz w:val="22"/>
          <w:szCs w:val="22"/>
          <w:lang w:eastAsia="es-ES"/>
        </w:rPr>
        <w:t xml:space="preserve">- 0 </w:t>
      </w:r>
      <w:r w:rsidR="004A5681" w:rsidRPr="00990FB6">
        <w:rPr>
          <w:bCs/>
          <w:sz w:val="22"/>
          <w:szCs w:val="22"/>
          <w:lang w:eastAsia="es-ES"/>
        </w:rPr>
        <w:t>–</w:t>
      </w:r>
    </w:p>
    <w:p w14:paraId="11C46FB1" w14:textId="77777777" w:rsidR="004A5681" w:rsidRPr="00990FB6" w:rsidRDefault="004A5681" w:rsidP="00B15F7D">
      <w:pPr>
        <w:suppressAutoHyphens w:val="0"/>
        <w:jc w:val="center"/>
        <w:rPr>
          <w:bCs/>
          <w:sz w:val="22"/>
          <w:szCs w:val="22"/>
          <w:lang w:eastAsia="es-ES"/>
        </w:rPr>
      </w:pPr>
    </w:p>
    <w:p w14:paraId="40F71009" w14:textId="778720A1" w:rsidR="00B15F7D" w:rsidRPr="00990FB6" w:rsidRDefault="00B15F7D" w:rsidP="00B15F7D">
      <w:pPr>
        <w:widowControl w:val="0"/>
        <w:shd w:val="clear" w:color="auto" w:fill="FFFFFF"/>
        <w:suppressAutoHyphens w:val="0"/>
        <w:ind w:firstLine="709"/>
        <w:jc w:val="both"/>
        <w:rPr>
          <w:bCs/>
          <w:sz w:val="22"/>
          <w:szCs w:val="22"/>
          <w:lang w:eastAsia="es-ES"/>
        </w:rPr>
      </w:pPr>
      <w:r w:rsidRPr="00990FB6">
        <w:rPr>
          <w:bCs/>
          <w:sz w:val="22"/>
          <w:szCs w:val="22"/>
        </w:rPr>
        <w:t>E</w:t>
      </w:r>
      <w:r w:rsidRPr="00990FB6">
        <w:rPr>
          <w:bCs/>
          <w:sz w:val="22"/>
          <w:szCs w:val="22"/>
          <w:lang w:eastAsia="es-ES"/>
        </w:rPr>
        <w:t xml:space="preserve">n sesión de Consejo Superior </w:t>
      </w:r>
      <w:proofErr w:type="spellStart"/>
      <w:r w:rsidRPr="00990FB6">
        <w:rPr>
          <w:bCs/>
          <w:sz w:val="22"/>
          <w:szCs w:val="22"/>
          <w:lang w:eastAsia="es-ES"/>
        </w:rPr>
        <w:t>N°</w:t>
      </w:r>
      <w:proofErr w:type="spellEnd"/>
      <w:r w:rsidRPr="00990FB6">
        <w:rPr>
          <w:bCs/>
          <w:sz w:val="22"/>
          <w:szCs w:val="22"/>
          <w:lang w:eastAsia="es-ES"/>
        </w:rPr>
        <w:t xml:space="preserve"> 39-2023</w:t>
      </w:r>
      <w:r w:rsidRPr="00990FB6">
        <w:rPr>
          <w:bCs/>
          <w:sz w:val="22"/>
          <w:szCs w:val="22"/>
        </w:rPr>
        <w:t xml:space="preserve"> </w:t>
      </w:r>
      <w:r w:rsidRPr="00990FB6">
        <w:rPr>
          <w:bCs/>
          <w:sz w:val="22"/>
          <w:szCs w:val="22"/>
          <w:lang w:eastAsia="es-ES"/>
        </w:rPr>
        <w:t xml:space="preserve">celebrada el 10 de mayo de 2023, artículo III, tomó el acuerdo que literalmente dice: </w:t>
      </w:r>
    </w:p>
    <w:p w14:paraId="15FBADE3" w14:textId="77777777" w:rsidR="004A5681" w:rsidRPr="00990FB6" w:rsidRDefault="004A5681" w:rsidP="00B15F7D">
      <w:pPr>
        <w:widowControl w:val="0"/>
        <w:shd w:val="clear" w:color="auto" w:fill="FFFFFF"/>
        <w:suppressAutoHyphens w:val="0"/>
        <w:ind w:firstLine="709"/>
        <w:jc w:val="both"/>
        <w:rPr>
          <w:bCs/>
          <w:sz w:val="22"/>
          <w:szCs w:val="22"/>
          <w:lang w:eastAsia="es-ES"/>
        </w:rPr>
      </w:pPr>
    </w:p>
    <w:p w14:paraId="612EF7B8" w14:textId="734A986E" w:rsidR="00B15F7D" w:rsidRPr="00990FB6" w:rsidRDefault="00B15F7D" w:rsidP="00B15F7D">
      <w:pPr>
        <w:ind w:left="851" w:right="900" w:firstLine="708"/>
        <w:jc w:val="both"/>
        <w:rPr>
          <w:bCs/>
          <w:sz w:val="22"/>
          <w:szCs w:val="22"/>
          <w:lang w:eastAsia="es-CR"/>
        </w:rPr>
      </w:pPr>
      <w:r w:rsidRPr="00990FB6">
        <w:rPr>
          <w:bCs/>
          <w:sz w:val="22"/>
          <w:szCs w:val="22"/>
          <w:lang w:eastAsia="es-CR"/>
        </w:rPr>
        <w:t xml:space="preserve">“La licenciada Nacira Valverde Bermúdez, Directora de Planificación expone lo informado en el oficio </w:t>
      </w:r>
      <w:proofErr w:type="spellStart"/>
      <w:r w:rsidRPr="00990FB6">
        <w:rPr>
          <w:bCs/>
          <w:sz w:val="22"/>
          <w:szCs w:val="22"/>
          <w:lang w:eastAsia="es-CR"/>
        </w:rPr>
        <w:t>N°</w:t>
      </w:r>
      <w:proofErr w:type="spellEnd"/>
      <w:r w:rsidRPr="00990FB6">
        <w:rPr>
          <w:bCs/>
          <w:sz w:val="22"/>
          <w:szCs w:val="22"/>
          <w:lang w:eastAsia="es-CR"/>
        </w:rPr>
        <w:t xml:space="preserve"> 1185-DE-2023 del 24 de abril del 2023 suscrito por la Máster Ana Eugenia Romero Jenkins, Directora Ejecutiva, donde señala lo manifestado por la diputada Sonia Rojas Méndez en reunión con la Presidencia de la Corte el pasado martes 18 de abril y relativo a la negativa del Ministerio de Hacienda para financiar el proyecto “Complejo Judicial en Buenos Aires de Puntarenas”.</w:t>
      </w:r>
    </w:p>
    <w:p w14:paraId="0FC6B24B" w14:textId="77777777" w:rsidR="004A5681" w:rsidRPr="00990FB6" w:rsidRDefault="004A5681" w:rsidP="00B15F7D">
      <w:pPr>
        <w:ind w:left="851" w:right="900" w:firstLine="708"/>
        <w:jc w:val="both"/>
        <w:rPr>
          <w:bCs/>
          <w:sz w:val="22"/>
          <w:szCs w:val="22"/>
          <w:lang w:eastAsia="es-CR"/>
        </w:rPr>
      </w:pPr>
    </w:p>
    <w:p w14:paraId="61E22E80" w14:textId="77777777" w:rsidR="00B15F7D" w:rsidRPr="00990FB6" w:rsidRDefault="00B15F7D" w:rsidP="00B15F7D">
      <w:pPr>
        <w:ind w:left="851" w:right="900" w:firstLine="720"/>
        <w:jc w:val="center"/>
        <w:rPr>
          <w:i/>
          <w:iCs/>
          <w:sz w:val="22"/>
          <w:szCs w:val="22"/>
        </w:rPr>
      </w:pPr>
      <w:r w:rsidRPr="00990FB6">
        <w:rPr>
          <w:i/>
          <w:iCs/>
          <w:sz w:val="22"/>
          <w:szCs w:val="22"/>
        </w:rPr>
        <w:object w:dxaOrig="1508" w:dyaOrig="984" w14:anchorId="38F007D2">
          <v:shape id="_x0000_i1055" type="#_x0000_t75" style="width:76pt;height:49pt" o:ole="">
            <v:imagedata r:id="rId93" o:title=""/>
          </v:shape>
          <o:OLEObject Type="Embed" ProgID="Package" ShapeID="_x0000_i1055" DrawAspect="Icon" ObjectID="_1748679183" r:id="rId94"/>
        </w:object>
      </w:r>
    </w:p>
    <w:p w14:paraId="3D1ECA7A" w14:textId="77777777" w:rsidR="00B15F7D" w:rsidRPr="00990FB6" w:rsidRDefault="00B15F7D" w:rsidP="00B15F7D">
      <w:pPr>
        <w:ind w:left="851" w:right="900" w:firstLine="709"/>
        <w:jc w:val="both"/>
        <w:rPr>
          <w:sz w:val="22"/>
          <w:szCs w:val="22"/>
        </w:rPr>
      </w:pPr>
      <w:r w:rsidRPr="00990FB6">
        <w:rPr>
          <w:sz w:val="22"/>
          <w:szCs w:val="22"/>
        </w:rPr>
        <w:t>“(…)</w:t>
      </w:r>
    </w:p>
    <w:p w14:paraId="614A8C53" w14:textId="77777777" w:rsidR="00B15F7D" w:rsidRPr="00990FB6" w:rsidRDefault="00B15F7D" w:rsidP="00B15F7D">
      <w:pPr>
        <w:ind w:left="851" w:right="900" w:firstLine="709"/>
        <w:jc w:val="both"/>
        <w:rPr>
          <w:sz w:val="22"/>
          <w:szCs w:val="22"/>
        </w:rPr>
      </w:pPr>
    </w:p>
    <w:p w14:paraId="03F63C79" w14:textId="77777777" w:rsidR="00B15F7D" w:rsidRPr="00990FB6" w:rsidRDefault="00B15F7D" w:rsidP="00B15F7D">
      <w:pPr>
        <w:ind w:left="851" w:right="900" w:firstLine="709"/>
        <w:jc w:val="both"/>
        <w:rPr>
          <w:sz w:val="22"/>
          <w:szCs w:val="22"/>
        </w:rPr>
      </w:pPr>
      <w:r w:rsidRPr="00990FB6">
        <w:rPr>
          <w:sz w:val="22"/>
          <w:szCs w:val="22"/>
        </w:rPr>
        <w:t>En atención a lo informado por la diputada Sonia Rojas Méndez en reunión que sostuviera con la Presidencia de la Corte el pasado martes 18 del mes en curso, en el sentido de que la señora Natalia Díaz Quintana, Ministra de la Presidencia le indicó que, ante la negativa del Ministerio de Hacienda para financiar el proyecto “Complejo Judicial en Buenos Aires de Puntarenas” mediante un empréstito soberano, se incluyera en la formulación presupuestaria 2024; me permito informarle lo siguiente:</w:t>
      </w:r>
    </w:p>
    <w:p w14:paraId="187AAC26" w14:textId="77777777" w:rsidR="00B15F7D" w:rsidRPr="00990FB6" w:rsidRDefault="00B15F7D" w:rsidP="00B15F7D">
      <w:pPr>
        <w:ind w:left="851" w:right="900"/>
        <w:jc w:val="both"/>
        <w:rPr>
          <w:sz w:val="22"/>
          <w:szCs w:val="22"/>
        </w:rPr>
      </w:pPr>
    </w:p>
    <w:p w14:paraId="352AFE81" w14:textId="77777777" w:rsidR="00B15F7D" w:rsidRPr="00990FB6" w:rsidRDefault="00B15F7D" w:rsidP="00B15F7D">
      <w:pPr>
        <w:widowControl w:val="0"/>
        <w:numPr>
          <w:ilvl w:val="0"/>
          <w:numId w:val="171"/>
        </w:numPr>
        <w:autoSpaceDE w:val="0"/>
        <w:autoSpaceDN w:val="0"/>
        <w:adjustRightInd w:val="0"/>
        <w:ind w:left="851" w:right="900" w:firstLine="709"/>
        <w:jc w:val="both"/>
        <w:rPr>
          <w:i/>
          <w:iCs/>
          <w:color w:val="000000"/>
          <w:sz w:val="22"/>
          <w:szCs w:val="22"/>
        </w:rPr>
      </w:pPr>
      <w:r w:rsidRPr="00990FB6">
        <w:rPr>
          <w:i/>
          <w:iCs/>
          <w:color w:val="000000"/>
          <w:sz w:val="22"/>
          <w:szCs w:val="22"/>
        </w:rPr>
        <w:t>Se indicó claramente a la diputada Rojas Méndez, que los recursos a incluir para el proyecto no podrían considerarse como parte del límite presupuestario del Poder Judicial, debido a las restricciones impuestas por el Ministerio de Hacienda.</w:t>
      </w:r>
    </w:p>
    <w:p w14:paraId="4D726664" w14:textId="77777777" w:rsidR="00B15F7D" w:rsidRPr="00990FB6" w:rsidRDefault="00B15F7D" w:rsidP="00B15F7D">
      <w:pPr>
        <w:widowControl w:val="0"/>
        <w:autoSpaceDE w:val="0"/>
        <w:autoSpaceDN w:val="0"/>
        <w:adjustRightInd w:val="0"/>
        <w:ind w:left="851" w:right="900"/>
        <w:jc w:val="both"/>
        <w:rPr>
          <w:i/>
          <w:iCs/>
          <w:color w:val="000000"/>
          <w:sz w:val="22"/>
          <w:szCs w:val="22"/>
        </w:rPr>
      </w:pPr>
    </w:p>
    <w:p w14:paraId="38CEE7C4" w14:textId="77777777" w:rsidR="00B15F7D" w:rsidRPr="00990FB6" w:rsidRDefault="00B15F7D" w:rsidP="00B15F7D">
      <w:pPr>
        <w:widowControl w:val="0"/>
        <w:numPr>
          <w:ilvl w:val="0"/>
          <w:numId w:val="171"/>
        </w:numPr>
        <w:autoSpaceDE w:val="0"/>
        <w:autoSpaceDN w:val="0"/>
        <w:adjustRightInd w:val="0"/>
        <w:ind w:left="851" w:right="900" w:firstLine="709"/>
        <w:jc w:val="both"/>
        <w:rPr>
          <w:i/>
          <w:iCs/>
          <w:color w:val="000000"/>
          <w:sz w:val="22"/>
          <w:szCs w:val="22"/>
        </w:rPr>
      </w:pPr>
      <w:r w:rsidRPr="00990FB6">
        <w:rPr>
          <w:i/>
          <w:iCs/>
          <w:color w:val="000000"/>
          <w:sz w:val="22"/>
          <w:szCs w:val="22"/>
        </w:rPr>
        <w:t>Dada la complejidad y costos asociados al proyecto, debe desarrollarse bajo la metodología plurianual, lo que resulta indispensable el compromiso de dotar recursos tanto en el 2024 como en el 2025 para poder concluirlo.</w:t>
      </w:r>
    </w:p>
    <w:p w14:paraId="749E1115" w14:textId="77777777" w:rsidR="00B15F7D" w:rsidRPr="00990FB6" w:rsidRDefault="00B15F7D" w:rsidP="00B15F7D">
      <w:pPr>
        <w:widowControl w:val="0"/>
        <w:autoSpaceDE w:val="0"/>
        <w:autoSpaceDN w:val="0"/>
        <w:adjustRightInd w:val="0"/>
        <w:ind w:left="851" w:right="900"/>
        <w:jc w:val="both"/>
        <w:rPr>
          <w:i/>
          <w:iCs/>
          <w:color w:val="000000"/>
          <w:sz w:val="22"/>
          <w:szCs w:val="22"/>
        </w:rPr>
      </w:pPr>
    </w:p>
    <w:p w14:paraId="6F024C63" w14:textId="77777777" w:rsidR="00B15F7D" w:rsidRPr="00990FB6" w:rsidRDefault="00B15F7D" w:rsidP="00B15F7D">
      <w:pPr>
        <w:widowControl w:val="0"/>
        <w:numPr>
          <w:ilvl w:val="0"/>
          <w:numId w:val="171"/>
        </w:numPr>
        <w:autoSpaceDE w:val="0"/>
        <w:autoSpaceDN w:val="0"/>
        <w:adjustRightInd w:val="0"/>
        <w:ind w:left="851" w:right="900" w:firstLine="709"/>
        <w:jc w:val="both"/>
        <w:rPr>
          <w:i/>
          <w:iCs/>
          <w:color w:val="000000"/>
          <w:sz w:val="22"/>
          <w:szCs w:val="22"/>
        </w:rPr>
      </w:pPr>
      <w:r w:rsidRPr="00990FB6">
        <w:rPr>
          <w:i/>
          <w:iCs/>
          <w:color w:val="000000"/>
          <w:sz w:val="22"/>
          <w:szCs w:val="22"/>
        </w:rPr>
        <w:t xml:space="preserve">En la siguiente tabla se presentan los costos desagregados por período presupuestario, conforme el cronograma de ejecución del proyecto.  Cabe aclarar que si bien la etapa de diseño está en desarrollo al amparo del convenio </w:t>
      </w:r>
      <w:proofErr w:type="spellStart"/>
      <w:r w:rsidRPr="00990FB6">
        <w:rPr>
          <w:i/>
          <w:iCs/>
          <w:color w:val="000000"/>
          <w:sz w:val="22"/>
          <w:szCs w:val="22"/>
        </w:rPr>
        <w:t>N°</w:t>
      </w:r>
      <w:proofErr w:type="spellEnd"/>
      <w:r w:rsidRPr="00990FB6">
        <w:rPr>
          <w:i/>
          <w:iCs/>
          <w:color w:val="000000"/>
          <w:sz w:val="22"/>
          <w:szCs w:val="22"/>
        </w:rPr>
        <w:t xml:space="preserve"> </w:t>
      </w:r>
      <w:r w:rsidRPr="00990FB6">
        <w:rPr>
          <w:b/>
          <w:bCs/>
          <w:i/>
          <w:iCs/>
          <w:color w:val="000000"/>
          <w:sz w:val="22"/>
          <w:szCs w:val="22"/>
        </w:rPr>
        <w:t>4-2021 “Cooperación técnica bajo la modalidad de recuperación contingente para el sector público entre el Banco Centroamericano de Integración Económica y el Poder Judicial de la República de Costa Rica”</w:t>
      </w:r>
      <w:r w:rsidRPr="00990FB6">
        <w:rPr>
          <w:i/>
          <w:iCs/>
          <w:color w:val="000000"/>
          <w:sz w:val="22"/>
          <w:szCs w:val="22"/>
        </w:rPr>
        <w:t xml:space="preserve"> firmado el 27 de abril del 2021, de no optarse por el financiamiento se debe reconocer al BCIE el costo de los servicios de consultoría, de ahí que se están incluyendo en el 2024 los recursos necesarios para su pago.</w:t>
      </w:r>
    </w:p>
    <w:p w14:paraId="4639523F" w14:textId="77777777" w:rsidR="00B15F7D" w:rsidRPr="00990FB6" w:rsidRDefault="00B15F7D" w:rsidP="00B15F7D">
      <w:pPr>
        <w:widowControl w:val="0"/>
        <w:numPr>
          <w:ilvl w:val="0"/>
          <w:numId w:val="171"/>
        </w:numPr>
        <w:autoSpaceDE w:val="0"/>
        <w:autoSpaceDN w:val="0"/>
        <w:adjustRightInd w:val="0"/>
        <w:ind w:left="851" w:right="851" w:firstLine="709"/>
        <w:jc w:val="both"/>
        <w:rPr>
          <w:i/>
          <w:iCs/>
          <w:color w:val="000000"/>
          <w:sz w:val="22"/>
          <w:szCs w:val="22"/>
        </w:rPr>
      </w:pPr>
    </w:p>
    <w:p w14:paraId="20152477" w14:textId="77777777" w:rsidR="00B15F7D" w:rsidRPr="00990FB6" w:rsidRDefault="00B15F7D" w:rsidP="00B15F7D">
      <w:pPr>
        <w:autoSpaceDE w:val="0"/>
        <w:autoSpaceDN w:val="0"/>
        <w:adjustRightInd w:val="0"/>
        <w:ind w:left="851" w:right="851"/>
        <w:jc w:val="center"/>
        <w:rPr>
          <w:b/>
          <w:bCs/>
          <w:i/>
          <w:iCs/>
          <w:sz w:val="22"/>
          <w:szCs w:val="22"/>
        </w:rPr>
      </w:pPr>
      <w:r w:rsidRPr="00990FB6">
        <w:rPr>
          <w:b/>
          <w:bCs/>
          <w:i/>
          <w:iCs/>
          <w:sz w:val="22"/>
          <w:szCs w:val="22"/>
        </w:rPr>
        <w:lastRenderedPageBreak/>
        <w:t>Tabla N°1</w:t>
      </w:r>
    </w:p>
    <w:p w14:paraId="66249A15" w14:textId="77777777" w:rsidR="00B15F7D" w:rsidRPr="00990FB6" w:rsidRDefault="00B15F7D" w:rsidP="00B15F7D">
      <w:pPr>
        <w:autoSpaceDE w:val="0"/>
        <w:autoSpaceDN w:val="0"/>
        <w:adjustRightInd w:val="0"/>
        <w:ind w:left="851" w:right="851"/>
        <w:jc w:val="center"/>
        <w:rPr>
          <w:b/>
          <w:bCs/>
          <w:i/>
          <w:iCs/>
          <w:sz w:val="22"/>
          <w:szCs w:val="22"/>
        </w:rPr>
      </w:pPr>
      <w:r w:rsidRPr="00990FB6">
        <w:rPr>
          <w:b/>
          <w:bCs/>
          <w:i/>
          <w:iCs/>
          <w:sz w:val="22"/>
          <w:szCs w:val="22"/>
        </w:rPr>
        <w:t>Complejo Judicial en Buenos Aires de Puntarenas</w:t>
      </w:r>
    </w:p>
    <w:p w14:paraId="253801F4" w14:textId="77777777" w:rsidR="00B15F7D" w:rsidRPr="00990FB6" w:rsidRDefault="00B15F7D" w:rsidP="00B15F7D">
      <w:pPr>
        <w:autoSpaceDE w:val="0"/>
        <w:autoSpaceDN w:val="0"/>
        <w:adjustRightInd w:val="0"/>
        <w:ind w:left="851" w:right="851"/>
        <w:jc w:val="center"/>
        <w:rPr>
          <w:b/>
          <w:bCs/>
          <w:i/>
          <w:iCs/>
          <w:sz w:val="22"/>
          <w:szCs w:val="22"/>
        </w:rPr>
      </w:pPr>
      <w:r w:rsidRPr="00990FB6">
        <w:rPr>
          <w:b/>
          <w:bCs/>
          <w:i/>
          <w:iCs/>
          <w:sz w:val="22"/>
          <w:szCs w:val="22"/>
        </w:rPr>
        <w:t>Proyección de costos por periodo 2024-2025</w:t>
      </w:r>
    </w:p>
    <w:p w14:paraId="70AFBDD0" w14:textId="77777777" w:rsidR="00B15F7D" w:rsidRPr="00990FB6" w:rsidRDefault="00B15F7D" w:rsidP="00B15F7D">
      <w:pPr>
        <w:autoSpaceDE w:val="0"/>
        <w:autoSpaceDN w:val="0"/>
        <w:adjustRightInd w:val="0"/>
        <w:ind w:left="851" w:right="851"/>
        <w:jc w:val="center"/>
        <w:rPr>
          <w:b/>
          <w:bCs/>
          <w:i/>
          <w:iCs/>
          <w:sz w:val="22"/>
          <w:szCs w:val="22"/>
        </w:rPr>
      </w:pPr>
      <w:r w:rsidRPr="00990FB6">
        <w:rPr>
          <w:b/>
          <w:bCs/>
          <w:i/>
          <w:iCs/>
          <w:sz w:val="22"/>
          <w:szCs w:val="22"/>
        </w:rPr>
        <w:t>Ejecución con recursos presupuestarios</w:t>
      </w:r>
    </w:p>
    <w:p w14:paraId="2111BC0A" w14:textId="77777777" w:rsidR="00B15F7D" w:rsidRPr="00990FB6" w:rsidRDefault="00B15F7D" w:rsidP="00B15F7D">
      <w:pPr>
        <w:autoSpaceDE w:val="0"/>
        <w:autoSpaceDN w:val="0"/>
        <w:adjustRightInd w:val="0"/>
        <w:ind w:left="851" w:right="851"/>
        <w:jc w:val="center"/>
        <w:rPr>
          <w:b/>
          <w:bCs/>
          <w:i/>
          <w:iCs/>
          <w:sz w:val="22"/>
          <w:szCs w:val="22"/>
        </w:rPr>
      </w:pPr>
    </w:p>
    <w:tbl>
      <w:tblPr>
        <w:tblW w:w="8637" w:type="dxa"/>
        <w:jc w:val="center"/>
        <w:tblCellMar>
          <w:left w:w="70" w:type="dxa"/>
          <w:right w:w="70" w:type="dxa"/>
        </w:tblCellMar>
        <w:tblLook w:val="04A0" w:firstRow="1" w:lastRow="0" w:firstColumn="1" w:lastColumn="0" w:noHBand="0" w:noVBand="1"/>
      </w:tblPr>
      <w:tblGrid>
        <w:gridCol w:w="2440"/>
        <w:gridCol w:w="2086"/>
        <w:gridCol w:w="1985"/>
        <w:gridCol w:w="2126"/>
      </w:tblGrid>
      <w:tr w:rsidR="00B15F7D" w:rsidRPr="00990FB6" w14:paraId="1EF48F26" w14:textId="77777777" w:rsidTr="000A0C22">
        <w:trPr>
          <w:trHeight w:val="510"/>
          <w:jc w:val="center"/>
        </w:trPr>
        <w:tc>
          <w:tcPr>
            <w:tcW w:w="2440" w:type="dxa"/>
            <w:vMerge w:val="restart"/>
            <w:tcBorders>
              <w:top w:val="single" w:sz="8" w:space="0" w:color="auto"/>
              <w:left w:val="single" w:sz="8" w:space="0" w:color="auto"/>
              <w:bottom w:val="single" w:sz="8" w:space="0" w:color="000000"/>
              <w:right w:val="single" w:sz="8" w:space="0" w:color="auto"/>
            </w:tcBorders>
            <w:shd w:val="clear" w:color="000000" w:fill="5B9BD5"/>
            <w:noWrap/>
            <w:vAlign w:val="center"/>
            <w:hideMark/>
          </w:tcPr>
          <w:p w14:paraId="40679FA1" w14:textId="77777777" w:rsidR="00B15F7D" w:rsidRPr="00990FB6" w:rsidRDefault="00B15F7D" w:rsidP="00B15F7D">
            <w:pPr>
              <w:jc w:val="center"/>
              <w:rPr>
                <w:b/>
                <w:bCs/>
                <w:i/>
                <w:iCs/>
                <w:sz w:val="22"/>
                <w:szCs w:val="22"/>
                <w:lang w:eastAsia="es-CR"/>
              </w:rPr>
            </w:pPr>
            <w:r w:rsidRPr="00990FB6">
              <w:rPr>
                <w:b/>
                <w:bCs/>
                <w:i/>
                <w:iCs/>
                <w:sz w:val="22"/>
                <w:szCs w:val="22"/>
                <w:lang w:eastAsia="es-CR"/>
              </w:rPr>
              <w:t>Rubro</w:t>
            </w:r>
          </w:p>
        </w:tc>
        <w:tc>
          <w:tcPr>
            <w:tcW w:w="4071" w:type="dxa"/>
            <w:gridSpan w:val="2"/>
            <w:tcBorders>
              <w:top w:val="single" w:sz="8" w:space="0" w:color="auto"/>
              <w:left w:val="nil"/>
              <w:bottom w:val="single" w:sz="8" w:space="0" w:color="auto"/>
              <w:right w:val="single" w:sz="8" w:space="0" w:color="000000"/>
            </w:tcBorders>
            <w:shd w:val="clear" w:color="000000" w:fill="5B9BD5"/>
            <w:vAlign w:val="center"/>
            <w:hideMark/>
          </w:tcPr>
          <w:p w14:paraId="6263AEB7" w14:textId="77777777" w:rsidR="00B15F7D" w:rsidRPr="00990FB6" w:rsidRDefault="00B15F7D" w:rsidP="00B15F7D">
            <w:pPr>
              <w:jc w:val="center"/>
              <w:rPr>
                <w:b/>
                <w:bCs/>
                <w:i/>
                <w:iCs/>
                <w:sz w:val="22"/>
                <w:szCs w:val="22"/>
                <w:lang w:eastAsia="es-CR"/>
              </w:rPr>
            </w:pPr>
            <w:r w:rsidRPr="00990FB6">
              <w:rPr>
                <w:b/>
                <w:bCs/>
                <w:i/>
                <w:iCs/>
                <w:sz w:val="22"/>
                <w:szCs w:val="22"/>
                <w:lang w:eastAsia="es-CR"/>
              </w:rPr>
              <w:t>Monto estimado por periodo</w:t>
            </w:r>
          </w:p>
        </w:tc>
        <w:tc>
          <w:tcPr>
            <w:tcW w:w="2126" w:type="dxa"/>
            <w:vMerge w:val="restart"/>
            <w:tcBorders>
              <w:top w:val="single" w:sz="8" w:space="0" w:color="auto"/>
              <w:left w:val="single" w:sz="8" w:space="0" w:color="auto"/>
              <w:bottom w:val="single" w:sz="8" w:space="0" w:color="000000"/>
              <w:right w:val="single" w:sz="8" w:space="0" w:color="auto"/>
            </w:tcBorders>
            <w:shd w:val="clear" w:color="000000" w:fill="9BC2E6"/>
            <w:noWrap/>
            <w:vAlign w:val="center"/>
            <w:hideMark/>
          </w:tcPr>
          <w:p w14:paraId="25328A68" w14:textId="77777777" w:rsidR="00B15F7D" w:rsidRPr="00990FB6" w:rsidRDefault="00B15F7D" w:rsidP="00B15F7D">
            <w:pPr>
              <w:jc w:val="center"/>
              <w:rPr>
                <w:b/>
                <w:bCs/>
                <w:i/>
                <w:iCs/>
                <w:sz w:val="22"/>
                <w:szCs w:val="22"/>
                <w:lang w:eastAsia="es-CR"/>
              </w:rPr>
            </w:pPr>
            <w:r w:rsidRPr="00990FB6">
              <w:rPr>
                <w:b/>
                <w:bCs/>
                <w:i/>
                <w:iCs/>
                <w:sz w:val="22"/>
                <w:szCs w:val="22"/>
                <w:lang w:eastAsia="es-CR"/>
              </w:rPr>
              <w:t>Totales</w:t>
            </w:r>
          </w:p>
        </w:tc>
      </w:tr>
      <w:tr w:rsidR="00B15F7D" w:rsidRPr="00990FB6" w14:paraId="249AE94B" w14:textId="77777777" w:rsidTr="000A0C22">
        <w:trPr>
          <w:trHeight w:val="315"/>
          <w:jc w:val="center"/>
        </w:trPr>
        <w:tc>
          <w:tcPr>
            <w:tcW w:w="2440" w:type="dxa"/>
            <w:vMerge/>
            <w:tcBorders>
              <w:top w:val="single" w:sz="8" w:space="0" w:color="auto"/>
              <w:left w:val="single" w:sz="8" w:space="0" w:color="auto"/>
              <w:bottom w:val="single" w:sz="8" w:space="0" w:color="000000"/>
              <w:right w:val="single" w:sz="8" w:space="0" w:color="auto"/>
            </w:tcBorders>
            <w:vAlign w:val="center"/>
            <w:hideMark/>
          </w:tcPr>
          <w:p w14:paraId="272476B4" w14:textId="77777777" w:rsidR="00B15F7D" w:rsidRPr="00990FB6" w:rsidRDefault="00B15F7D" w:rsidP="00B15F7D">
            <w:pPr>
              <w:rPr>
                <w:b/>
                <w:bCs/>
                <w:i/>
                <w:iCs/>
                <w:sz w:val="22"/>
                <w:szCs w:val="22"/>
                <w:lang w:eastAsia="es-CR"/>
              </w:rPr>
            </w:pPr>
          </w:p>
        </w:tc>
        <w:tc>
          <w:tcPr>
            <w:tcW w:w="2086" w:type="dxa"/>
            <w:tcBorders>
              <w:top w:val="nil"/>
              <w:left w:val="nil"/>
              <w:bottom w:val="single" w:sz="8" w:space="0" w:color="auto"/>
              <w:right w:val="single" w:sz="8" w:space="0" w:color="auto"/>
            </w:tcBorders>
            <w:shd w:val="clear" w:color="000000" w:fill="DEEAF6"/>
            <w:vAlign w:val="center"/>
            <w:hideMark/>
          </w:tcPr>
          <w:p w14:paraId="3CEA9F53" w14:textId="77777777" w:rsidR="00B15F7D" w:rsidRPr="00990FB6" w:rsidRDefault="00B15F7D" w:rsidP="00B15F7D">
            <w:pPr>
              <w:jc w:val="center"/>
              <w:rPr>
                <w:b/>
                <w:bCs/>
                <w:i/>
                <w:iCs/>
                <w:sz w:val="22"/>
                <w:szCs w:val="22"/>
                <w:lang w:eastAsia="es-CR"/>
              </w:rPr>
            </w:pPr>
            <w:r w:rsidRPr="00990FB6">
              <w:rPr>
                <w:b/>
                <w:bCs/>
                <w:i/>
                <w:iCs/>
                <w:sz w:val="22"/>
                <w:szCs w:val="22"/>
                <w:lang w:eastAsia="es-CR"/>
              </w:rPr>
              <w:t>2024</w:t>
            </w:r>
          </w:p>
        </w:tc>
        <w:tc>
          <w:tcPr>
            <w:tcW w:w="1985" w:type="dxa"/>
            <w:tcBorders>
              <w:top w:val="nil"/>
              <w:left w:val="nil"/>
              <w:bottom w:val="single" w:sz="8" w:space="0" w:color="auto"/>
              <w:right w:val="single" w:sz="8" w:space="0" w:color="auto"/>
            </w:tcBorders>
            <w:shd w:val="clear" w:color="000000" w:fill="DEEAF6"/>
            <w:vAlign w:val="center"/>
            <w:hideMark/>
          </w:tcPr>
          <w:p w14:paraId="0FEEF504" w14:textId="77777777" w:rsidR="00B15F7D" w:rsidRPr="00990FB6" w:rsidRDefault="00B15F7D" w:rsidP="00B15F7D">
            <w:pPr>
              <w:jc w:val="center"/>
              <w:rPr>
                <w:b/>
                <w:bCs/>
                <w:i/>
                <w:iCs/>
                <w:sz w:val="22"/>
                <w:szCs w:val="22"/>
                <w:lang w:eastAsia="es-CR"/>
              </w:rPr>
            </w:pPr>
            <w:r w:rsidRPr="00990FB6">
              <w:rPr>
                <w:b/>
                <w:bCs/>
                <w:i/>
                <w:iCs/>
                <w:sz w:val="22"/>
                <w:szCs w:val="22"/>
                <w:lang w:eastAsia="es-CR"/>
              </w:rPr>
              <w:t>2025</w:t>
            </w:r>
          </w:p>
        </w:tc>
        <w:tc>
          <w:tcPr>
            <w:tcW w:w="2126" w:type="dxa"/>
            <w:vMerge/>
            <w:tcBorders>
              <w:top w:val="single" w:sz="8" w:space="0" w:color="auto"/>
              <w:left w:val="single" w:sz="8" w:space="0" w:color="auto"/>
              <w:bottom w:val="single" w:sz="8" w:space="0" w:color="000000"/>
              <w:right w:val="single" w:sz="8" w:space="0" w:color="auto"/>
            </w:tcBorders>
            <w:vAlign w:val="center"/>
            <w:hideMark/>
          </w:tcPr>
          <w:p w14:paraId="5D3A6754" w14:textId="77777777" w:rsidR="00B15F7D" w:rsidRPr="00990FB6" w:rsidRDefault="00B15F7D" w:rsidP="00B15F7D">
            <w:pPr>
              <w:rPr>
                <w:b/>
                <w:bCs/>
                <w:i/>
                <w:iCs/>
                <w:sz w:val="22"/>
                <w:szCs w:val="22"/>
                <w:lang w:eastAsia="es-CR"/>
              </w:rPr>
            </w:pPr>
          </w:p>
        </w:tc>
      </w:tr>
      <w:tr w:rsidR="00B15F7D" w:rsidRPr="00990FB6" w14:paraId="46FC38AA" w14:textId="77777777" w:rsidTr="000A0C22">
        <w:trPr>
          <w:trHeight w:val="315"/>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14:paraId="65F4ABAD" w14:textId="77777777" w:rsidR="00B15F7D" w:rsidRPr="00990FB6" w:rsidRDefault="00B15F7D" w:rsidP="00B15F7D">
            <w:pPr>
              <w:rPr>
                <w:i/>
                <w:iCs/>
                <w:sz w:val="22"/>
                <w:szCs w:val="22"/>
                <w:lang w:eastAsia="es-CR"/>
              </w:rPr>
            </w:pPr>
            <w:r w:rsidRPr="00990FB6">
              <w:rPr>
                <w:i/>
                <w:iCs/>
                <w:sz w:val="22"/>
                <w:szCs w:val="22"/>
                <w:lang w:eastAsia="es-CR"/>
              </w:rPr>
              <w:t xml:space="preserve">Pago consultoría BCIE </w:t>
            </w:r>
          </w:p>
        </w:tc>
        <w:tc>
          <w:tcPr>
            <w:tcW w:w="2086" w:type="dxa"/>
            <w:tcBorders>
              <w:top w:val="nil"/>
              <w:left w:val="nil"/>
              <w:bottom w:val="single" w:sz="8" w:space="0" w:color="auto"/>
              <w:right w:val="single" w:sz="8" w:space="0" w:color="auto"/>
            </w:tcBorders>
            <w:shd w:val="clear" w:color="auto" w:fill="auto"/>
            <w:noWrap/>
            <w:vAlign w:val="center"/>
            <w:hideMark/>
          </w:tcPr>
          <w:p w14:paraId="766AE5FC" w14:textId="77777777" w:rsidR="00B15F7D" w:rsidRPr="00990FB6" w:rsidRDefault="00B15F7D" w:rsidP="00B15F7D">
            <w:pPr>
              <w:jc w:val="center"/>
              <w:rPr>
                <w:i/>
                <w:iCs/>
                <w:sz w:val="22"/>
                <w:szCs w:val="22"/>
                <w:lang w:eastAsia="es-CR"/>
              </w:rPr>
            </w:pPr>
            <w:r w:rsidRPr="00990FB6">
              <w:rPr>
                <w:i/>
                <w:iCs/>
                <w:sz w:val="22"/>
                <w:szCs w:val="22"/>
                <w:lang w:eastAsia="es-CR"/>
              </w:rPr>
              <w:t>₡325 967 936,85</w:t>
            </w:r>
          </w:p>
        </w:tc>
        <w:tc>
          <w:tcPr>
            <w:tcW w:w="1985" w:type="dxa"/>
            <w:tcBorders>
              <w:top w:val="nil"/>
              <w:left w:val="nil"/>
              <w:bottom w:val="single" w:sz="8" w:space="0" w:color="auto"/>
              <w:right w:val="single" w:sz="8" w:space="0" w:color="auto"/>
            </w:tcBorders>
            <w:shd w:val="clear" w:color="auto" w:fill="auto"/>
            <w:noWrap/>
            <w:vAlign w:val="center"/>
            <w:hideMark/>
          </w:tcPr>
          <w:p w14:paraId="7E05E217" w14:textId="77777777" w:rsidR="00B15F7D" w:rsidRPr="00990FB6" w:rsidRDefault="00B15F7D" w:rsidP="00B15F7D">
            <w:pPr>
              <w:jc w:val="center"/>
              <w:rPr>
                <w:i/>
                <w:iCs/>
                <w:sz w:val="22"/>
                <w:szCs w:val="22"/>
                <w:lang w:eastAsia="es-CR"/>
              </w:rPr>
            </w:pPr>
            <w:r w:rsidRPr="00990FB6">
              <w:rPr>
                <w:i/>
                <w:iCs/>
                <w:sz w:val="22"/>
                <w:szCs w:val="22"/>
                <w:lang w:eastAsia="es-CR"/>
              </w:rPr>
              <w:t>₡0,00</w:t>
            </w:r>
          </w:p>
        </w:tc>
        <w:tc>
          <w:tcPr>
            <w:tcW w:w="2126" w:type="dxa"/>
            <w:tcBorders>
              <w:top w:val="nil"/>
              <w:left w:val="nil"/>
              <w:bottom w:val="single" w:sz="8" w:space="0" w:color="auto"/>
              <w:right w:val="single" w:sz="8" w:space="0" w:color="auto"/>
            </w:tcBorders>
            <w:shd w:val="clear" w:color="auto" w:fill="auto"/>
            <w:noWrap/>
            <w:vAlign w:val="center"/>
            <w:hideMark/>
          </w:tcPr>
          <w:p w14:paraId="42BF7BC6" w14:textId="77777777" w:rsidR="00B15F7D" w:rsidRPr="00990FB6" w:rsidRDefault="00B15F7D" w:rsidP="00B15F7D">
            <w:pPr>
              <w:jc w:val="center"/>
              <w:rPr>
                <w:i/>
                <w:iCs/>
                <w:sz w:val="22"/>
                <w:szCs w:val="22"/>
                <w:lang w:eastAsia="es-CR"/>
              </w:rPr>
            </w:pPr>
            <w:r w:rsidRPr="00990FB6">
              <w:rPr>
                <w:i/>
                <w:iCs/>
                <w:sz w:val="22"/>
                <w:szCs w:val="22"/>
                <w:lang w:eastAsia="es-CR"/>
              </w:rPr>
              <w:t>₡325 967 936,85</w:t>
            </w:r>
          </w:p>
        </w:tc>
      </w:tr>
      <w:tr w:rsidR="00B15F7D" w:rsidRPr="00990FB6" w14:paraId="63451284" w14:textId="77777777" w:rsidTr="000A0C22">
        <w:trPr>
          <w:trHeight w:val="315"/>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14:paraId="5516B483" w14:textId="77777777" w:rsidR="00B15F7D" w:rsidRPr="00990FB6" w:rsidRDefault="00B15F7D" w:rsidP="00B15F7D">
            <w:pPr>
              <w:rPr>
                <w:i/>
                <w:iCs/>
                <w:sz w:val="22"/>
                <w:szCs w:val="22"/>
                <w:lang w:eastAsia="es-CR"/>
              </w:rPr>
            </w:pPr>
            <w:r w:rsidRPr="00990FB6">
              <w:rPr>
                <w:i/>
                <w:iCs/>
                <w:sz w:val="22"/>
                <w:szCs w:val="22"/>
                <w:lang w:eastAsia="es-CR"/>
              </w:rPr>
              <w:t xml:space="preserve">Otros rubros de consultoría </w:t>
            </w:r>
          </w:p>
        </w:tc>
        <w:tc>
          <w:tcPr>
            <w:tcW w:w="2086" w:type="dxa"/>
            <w:tcBorders>
              <w:top w:val="nil"/>
              <w:left w:val="nil"/>
              <w:bottom w:val="single" w:sz="8" w:space="0" w:color="auto"/>
              <w:right w:val="single" w:sz="8" w:space="0" w:color="auto"/>
            </w:tcBorders>
            <w:shd w:val="clear" w:color="auto" w:fill="auto"/>
            <w:noWrap/>
            <w:vAlign w:val="center"/>
            <w:hideMark/>
          </w:tcPr>
          <w:p w14:paraId="6317EEDD" w14:textId="77777777" w:rsidR="00B15F7D" w:rsidRPr="00990FB6" w:rsidRDefault="00B15F7D" w:rsidP="00B15F7D">
            <w:pPr>
              <w:jc w:val="center"/>
              <w:rPr>
                <w:i/>
                <w:iCs/>
                <w:sz w:val="22"/>
                <w:szCs w:val="22"/>
                <w:lang w:eastAsia="es-CR"/>
              </w:rPr>
            </w:pPr>
            <w:r w:rsidRPr="00990FB6">
              <w:rPr>
                <w:i/>
                <w:iCs/>
                <w:sz w:val="22"/>
                <w:szCs w:val="22"/>
                <w:lang w:eastAsia="es-CR"/>
              </w:rPr>
              <w:t>₡758 155 756,72</w:t>
            </w:r>
          </w:p>
        </w:tc>
        <w:tc>
          <w:tcPr>
            <w:tcW w:w="1985" w:type="dxa"/>
            <w:tcBorders>
              <w:top w:val="nil"/>
              <w:left w:val="nil"/>
              <w:bottom w:val="single" w:sz="8" w:space="0" w:color="auto"/>
              <w:right w:val="single" w:sz="8" w:space="0" w:color="auto"/>
            </w:tcBorders>
            <w:shd w:val="clear" w:color="auto" w:fill="auto"/>
            <w:noWrap/>
            <w:vAlign w:val="center"/>
            <w:hideMark/>
          </w:tcPr>
          <w:p w14:paraId="283375FE" w14:textId="77777777" w:rsidR="00B15F7D" w:rsidRPr="00990FB6" w:rsidRDefault="00B15F7D" w:rsidP="00B15F7D">
            <w:pPr>
              <w:jc w:val="center"/>
              <w:rPr>
                <w:i/>
                <w:iCs/>
                <w:sz w:val="22"/>
                <w:szCs w:val="22"/>
                <w:lang w:eastAsia="es-CR"/>
              </w:rPr>
            </w:pPr>
            <w:r w:rsidRPr="00990FB6">
              <w:rPr>
                <w:i/>
                <w:iCs/>
                <w:sz w:val="22"/>
                <w:szCs w:val="22"/>
                <w:lang w:eastAsia="es-CR"/>
              </w:rPr>
              <w:t>₡46 794 582,93</w:t>
            </w:r>
          </w:p>
        </w:tc>
        <w:tc>
          <w:tcPr>
            <w:tcW w:w="2126" w:type="dxa"/>
            <w:tcBorders>
              <w:top w:val="nil"/>
              <w:left w:val="nil"/>
              <w:bottom w:val="single" w:sz="8" w:space="0" w:color="auto"/>
              <w:right w:val="single" w:sz="8" w:space="0" w:color="auto"/>
            </w:tcBorders>
            <w:shd w:val="clear" w:color="auto" w:fill="auto"/>
            <w:noWrap/>
            <w:vAlign w:val="center"/>
            <w:hideMark/>
          </w:tcPr>
          <w:p w14:paraId="594265B7" w14:textId="77777777" w:rsidR="00B15F7D" w:rsidRPr="00990FB6" w:rsidRDefault="00B15F7D" w:rsidP="00B15F7D">
            <w:pPr>
              <w:jc w:val="center"/>
              <w:rPr>
                <w:i/>
                <w:iCs/>
                <w:sz w:val="22"/>
                <w:szCs w:val="22"/>
                <w:lang w:eastAsia="es-CR"/>
              </w:rPr>
            </w:pPr>
            <w:r w:rsidRPr="00990FB6">
              <w:rPr>
                <w:i/>
                <w:iCs/>
                <w:sz w:val="22"/>
                <w:szCs w:val="22"/>
                <w:lang w:eastAsia="es-CR"/>
              </w:rPr>
              <w:t>₡804 950 339,65</w:t>
            </w:r>
          </w:p>
        </w:tc>
      </w:tr>
      <w:tr w:rsidR="00B15F7D" w:rsidRPr="00990FB6" w14:paraId="7E9202F4" w14:textId="77777777" w:rsidTr="000A0C22">
        <w:trPr>
          <w:trHeight w:val="315"/>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14:paraId="6BE44783" w14:textId="77777777" w:rsidR="00B15F7D" w:rsidRPr="00990FB6" w:rsidRDefault="00B15F7D" w:rsidP="00B15F7D">
            <w:pPr>
              <w:rPr>
                <w:i/>
                <w:iCs/>
                <w:sz w:val="22"/>
                <w:szCs w:val="22"/>
                <w:lang w:eastAsia="es-CR"/>
              </w:rPr>
            </w:pPr>
            <w:r w:rsidRPr="00990FB6">
              <w:rPr>
                <w:i/>
                <w:iCs/>
                <w:sz w:val="22"/>
                <w:szCs w:val="22"/>
                <w:lang w:eastAsia="es-CR"/>
              </w:rPr>
              <w:t xml:space="preserve">Construcción </w:t>
            </w:r>
          </w:p>
        </w:tc>
        <w:tc>
          <w:tcPr>
            <w:tcW w:w="2086" w:type="dxa"/>
            <w:tcBorders>
              <w:top w:val="nil"/>
              <w:left w:val="nil"/>
              <w:bottom w:val="single" w:sz="8" w:space="0" w:color="auto"/>
              <w:right w:val="single" w:sz="8" w:space="0" w:color="auto"/>
            </w:tcBorders>
            <w:shd w:val="clear" w:color="auto" w:fill="auto"/>
            <w:noWrap/>
            <w:vAlign w:val="center"/>
            <w:hideMark/>
          </w:tcPr>
          <w:p w14:paraId="2F986C92" w14:textId="77777777" w:rsidR="00B15F7D" w:rsidRPr="00990FB6" w:rsidRDefault="00B15F7D" w:rsidP="00B15F7D">
            <w:pPr>
              <w:jc w:val="center"/>
              <w:rPr>
                <w:i/>
                <w:iCs/>
                <w:sz w:val="22"/>
                <w:szCs w:val="22"/>
                <w:lang w:eastAsia="es-CR"/>
              </w:rPr>
            </w:pPr>
            <w:r w:rsidRPr="00990FB6">
              <w:rPr>
                <w:i/>
                <w:iCs/>
                <w:sz w:val="22"/>
                <w:szCs w:val="22"/>
                <w:lang w:eastAsia="es-CR"/>
              </w:rPr>
              <w:t>₡4 047 740 575,53</w:t>
            </w:r>
          </w:p>
        </w:tc>
        <w:tc>
          <w:tcPr>
            <w:tcW w:w="1985" w:type="dxa"/>
            <w:tcBorders>
              <w:top w:val="nil"/>
              <w:left w:val="nil"/>
              <w:bottom w:val="single" w:sz="8" w:space="0" w:color="auto"/>
              <w:right w:val="single" w:sz="8" w:space="0" w:color="auto"/>
            </w:tcBorders>
            <w:shd w:val="clear" w:color="auto" w:fill="auto"/>
            <w:noWrap/>
            <w:vAlign w:val="center"/>
            <w:hideMark/>
          </w:tcPr>
          <w:p w14:paraId="0589D9CF" w14:textId="77777777" w:rsidR="00B15F7D" w:rsidRPr="00990FB6" w:rsidRDefault="00B15F7D" w:rsidP="00B15F7D">
            <w:pPr>
              <w:jc w:val="center"/>
              <w:rPr>
                <w:i/>
                <w:iCs/>
                <w:sz w:val="22"/>
                <w:szCs w:val="22"/>
                <w:lang w:eastAsia="es-CR"/>
              </w:rPr>
            </w:pPr>
            <w:r w:rsidRPr="00990FB6">
              <w:rPr>
                <w:i/>
                <w:iCs/>
                <w:sz w:val="22"/>
                <w:szCs w:val="22"/>
                <w:lang w:eastAsia="es-CR"/>
              </w:rPr>
              <w:t>₡18 349 107 852,39</w:t>
            </w:r>
          </w:p>
        </w:tc>
        <w:tc>
          <w:tcPr>
            <w:tcW w:w="2126" w:type="dxa"/>
            <w:tcBorders>
              <w:top w:val="nil"/>
              <w:left w:val="nil"/>
              <w:bottom w:val="single" w:sz="8" w:space="0" w:color="auto"/>
              <w:right w:val="single" w:sz="8" w:space="0" w:color="auto"/>
            </w:tcBorders>
            <w:shd w:val="clear" w:color="auto" w:fill="auto"/>
            <w:noWrap/>
            <w:vAlign w:val="center"/>
            <w:hideMark/>
          </w:tcPr>
          <w:p w14:paraId="14759997" w14:textId="77777777" w:rsidR="00B15F7D" w:rsidRPr="00990FB6" w:rsidRDefault="00B15F7D" w:rsidP="00B15F7D">
            <w:pPr>
              <w:jc w:val="center"/>
              <w:rPr>
                <w:i/>
                <w:iCs/>
                <w:sz w:val="22"/>
                <w:szCs w:val="22"/>
                <w:lang w:eastAsia="es-CR"/>
              </w:rPr>
            </w:pPr>
            <w:r w:rsidRPr="00990FB6">
              <w:rPr>
                <w:i/>
                <w:iCs/>
                <w:sz w:val="22"/>
                <w:szCs w:val="22"/>
                <w:lang w:eastAsia="es-CR"/>
              </w:rPr>
              <w:t>₡22 396 848 428</w:t>
            </w:r>
          </w:p>
        </w:tc>
      </w:tr>
      <w:tr w:rsidR="00B15F7D" w:rsidRPr="00990FB6" w14:paraId="172ED233" w14:textId="77777777" w:rsidTr="000A0C22">
        <w:trPr>
          <w:trHeight w:val="315"/>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14:paraId="42884752" w14:textId="77777777" w:rsidR="00B15F7D" w:rsidRPr="00990FB6" w:rsidRDefault="00B15F7D" w:rsidP="00B15F7D">
            <w:pPr>
              <w:rPr>
                <w:i/>
                <w:iCs/>
                <w:sz w:val="22"/>
                <w:szCs w:val="22"/>
                <w:lang w:eastAsia="es-CR"/>
              </w:rPr>
            </w:pPr>
            <w:r w:rsidRPr="00990FB6">
              <w:rPr>
                <w:i/>
                <w:iCs/>
                <w:sz w:val="22"/>
                <w:szCs w:val="22"/>
                <w:lang w:eastAsia="es-CR"/>
              </w:rPr>
              <w:t>Equipamiento</w:t>
            </w:r>
          </w:p>
        </w:tc>
        <w:tc>
          <w:tcPr>
            <w:tcW w:w="2086" w:type="dxa"/>
            <w:tcBorders>
              <w:top w:val="nil"/>
              <w:left w:val="nil"/>
              <w:bottom w:val="single" w:sz="8" w:space="0" w:color="auto"/>
              <w:right w:val="single" w:sz="8" w:space="0" w:color="auto"/>
            </w:tcBorders>
            <w:shd w:val="clear" w:color="auto" w:fill="auto"/>
            <w:noWrap/>
            <w:vAlign w:val="center"/>
            <w:hideMark/>
          </w:tcPr>
          <w:p w14:paraId="0124F839" w14:textId="77777777" w:rsidR="00B15F7D" w:rsidRPr="00990FB6" w:rsidRDefault="00B15F7D" w:rsidP="00B15F7D">
            <w:pPr>
              <w:jc w:val="center"/>
              <w:rPr>
                <w:i/>
                <w:iCs/>
                <w:sz w:val="22"/>
                <w:szCs w:val="22"/>
                <w:lang w:eastAsia="es-CR"/>
              </w:rPr>
            </w:pPr>
            <w:r w:rsidRPr="00990FB6">
              <w:rPr>
                <w:i/>
                <w:iCs/>
                <w:sz w:val="22"/>
                <w:szCs w:val="22"/>
                <w:lang w:eastAsia="es-CR"/>
              </w:rPr>
              <w:t>₡0,00</w:t>
            </w:r>
          </w:p>
        </w:tc>
        <w:tc>
          <w:tcPr>
            <w:tcW w:w="1985" w:type="dxa"/>
            <w:tcBorders>
              <w:top w:val="nil"/>
              <w:left w:val="nil"/>
              <w:bottom w:val="single" w:sz="8" w:space="0" w:color="auto"/>
              <w:right w:val="single" w:sz="8" w:space="0" w:color="auto"/>
            </w:tcBorders>
            <w:shd w:val="clear" w:color="auto" w:fill="auto"/>
            <w:noWrap/>
            <w:vAlign w:val="center"/>
            <w:hideMark/>
          </w:tcPr>
          <w:p w14:paraId="0253579C" w14:textId="77777777" w:rsidR="00B15F7D" w:rsidRPr="00990FB6" w:rsidRDefault="00B15F7D" w:rsidP="00B15F7D">
            <w:pPr>
              <w:jc w:val="center"/>
              <w:rPr>
                <w:i/>
                <w:iCs/>
                <w:sz w:val="22"/>
                <w:szCs w:val="22"/>
                <w:lang w:eastAsia="es-CR"/>
              </w:rPr>
            </w:pPr>
            <w:r w:rsidRPr="00990FB6">
              <w:rPr>
                <w:i/>
                <w:iCs/>
                <w:sz w:val="22"/>
                <w:szCs w:val="22"/>
                <w:lang w:eastAsia="es-CR"/>
              </w:rPr>
              <w:t>₡517 017 842,77</w:t>
            </w:r>
          </w:p>
        </w:tc>
        <w:tc>
          <w:tcPr>
            <w:tcW w:w="2126" w:type="dxa"/>
            <w:tcBorders>
              <w:top w:val="nil"/>
              <w:left w:val="nil"/>
              <w:bottom w:val="single" w:sz="8" w:space="0" w:color="auto"/>
              <w:right w:val="single" w:sz="8" w:space="0" w:color="auto"/>
            </w:tcBorders>
            <w:shd w:val="clear" w:color="auto" w:fill="auto"/>
            <w:noWrap/>
            <w:vAlign w:val="center"/>
            <w:hideMark/>
          </w:tcPr>
          <w:p w14:paraId="5254B84A" w14:textId="77777777" w:rsidR="00B15F7D" w:rsidRPr="00990FB6" w:rsidRDefault="00B15F7D" w:rsidP="00B15F7D">
            <w:pPr>
              <w:jc w:val="center"/>
              <w:rPr>
                <w:i/>
                <w:iCs/>
                <w:sz w:val="22"/>
                <w:szCs w:val="22"/>
                <w:lang w:eastAsia="es-CR"/>
              </w:rPr>
            </w:pPr>
            <w:r w:rsidRPr="00990FB6">
              <w:rPr>
                <w:i/>
                <w:iCs/>
                <w:sz w:val="22"/>
                <w:szCs w:val="22"/>
                <w:lang w:eastAsia="es-CR"/>
              </w:rPr>
              <w:t>₡517 017 842,77</w:t>
            </w:r>
          </w:p>
        </w:tc>
      </w:tr>
      <w:tr w:rsidR="00B15F7D" w:rsidRPr="00990FB6" w14:paraId="5B11231A" w14:textId="77777777" w:rsidTr="000A0C22">
        <w:trPr>
          <w:trHeight w:val="315"/>
          <w:jc w:val="center"/>
        </w:trPr>
        <w:tc>
          <w:tcPr>
            <w:tcW w:w="2440" w:type="dxa"/>
            <w:tcBorders>
              <w:top w:val="nil"/>
              <w:left w:val="single" w:sz="8" w:space="0" w:color="auto"/>
              <w:bottom w:val="single" w:sz="8" w:space="0" w:color="auto"/>
              <w:right w:val="single" w:sz="8" w:space="0" w:color="auto"/>
            </w:tcBorders>
            <w:shd w:val="clear" w:color="auto" w:fill="auto"/>
            <w:noWrap/>
            <w:vAlign w:val="center"/>
            <w:hideMark/>
          </w:tcPr>
          <w:p w14:paraId="7A42BB8D" w14:textId="77777777" w:rsidR="00B15F7D" w:rsidRPr="00990FB6" w:rsidRDefault="00B15F7D" w:rsidP="00B15F7D">
            <w:pPr>
              <w:rPr>
                <w:b/>
                <w:bCs/>
                <w:i/>
                <w:iCs/>
                <w:sz w:val="22"/>
                <w:szCs w:val="22"/>
                <w:lang w:eastAsia="es-CR"/>
              </w:rPr>
            </w:pPr>
            <w:r w:rsidRPr="00990FB6">
              <w:rPr>
                <w:b/>
                <w:bCs/>
                <w:i/>
                <w:iCs/>
                <w:sz w:val="22"/>
                <w:szCs w:val="22"/>
                <w:lang w:eastAsia="es-CR"/>
              </w:rPr>
              <w:t>Total</w:t>
            </w:r>
          </w:p>
        </w:tc>
        <w:tc>
          <w:tcPr>
            <w:tcW w:w="2086" w:type="dxa"/>
            <w:tcBorders>
              <w:top w:val="nil"/>
              <w:left w:val="nil"/>
              <w:bottom w:val="single" w:sz="8" w:space="0" w:color="auto"/>
              <w:right w:val="single" w:sz="8" w:space="0" w:color="auto"/>
            </w:tcBorders>
            <w:shd w:val="clear" w:color="auto" w:fill="auto"/>
            <w:noWrap/>
            <w:vAlign w:val="center"/>
            <w:hideMark/>
          </w:tcPr>
          <w:p w14:paraId="6D2205EF" w14:textId="77777777" w:rsidR="00B15F7D" w:rsidRPr="00990FB6" w:rsidRDefault="00B15F7D" w:rsidP="00B15F7D">
            <w:pPr>
              <w:jc w:val="center"/>
              <w:rPr>
                <w:b/>
                <w:bCs/>
                <w:i/>
                <w:iCs/>
                <w:sz w:val="22"/>
                <w:szCs w:val="22"/>
                <w:lang w:eastAsia="es-CR"/>
              </w:rPr>
            </w:pPr>
            <w:r w:rsidRPr="00990FB6">
              <w:rPr>
                <w:b/>
                <w:bCs/>
                <w:i/>
                <w:iCs/>
                <w:sz w:val="22"/>
                <w:szCs w:val="22"/>
                <w:lang w:eastAsia="es-CR"/>
              </w:rPr>
              <w:t>₡5 131 864 269,09</w:t>
            </w:r>
          </w:p>
        </w:tc>
        <w:tc>
          <w:tcPr>
            <w:tcW w:w="1985" w:type="dxa"/>
            <w:tcBorders>
              <w:top w:val="nil"/>
              <w:left w:val="nil"/>
              <w:bottom w:val="single" w:sz="8" w:space="0" w:color="auto"/>
              <w:right w:val="single" w:sz="8" w:space="0" w:color="auto"/>
            </w:tcBorders>
            <w:shd w:val="clear" w:color="auto" w:fill="auto"/>
            <w:noWrap/>
            <w:vAlign w:val="center"/>
            <w:hideMark/>
          </w:tcPr>
          <w:p w14:paraId="4D4A8973" w14:textId="77777777" w:rsidR="00B15F7D" w:rsidRPr="00990FB6" w:rsidRDefault="00B15F7D" w:rsidP="00B15F7D">
            <w:pPr>
              <w:jc w:val="center"/>
              <w:rPr>
                <w:b/>
                <w:bCs/>
                <w:i/>
                <w:iCs/>
                <w:sz w:val="22"/>
                <w:szCs w:val="22"/>
                <w:lang w:eastAsia="es-CR"/>
              </w:rPr>
            </w:pPr>
            <w:r w:rsidRPr="00990FB6">
              <w:rPr>
                <w:b/>
                <w:bCs/>
                <w:i/>
                <w:iCs/>
                <w:sz w:val="22"/>
                <w:szCs w:val="22"/>
                <w:lang w:eastAsia="es-CR"/>
              </w:rPr>
              <w:t>₡18 912 920 278,09</w:t>
            </w:r>
          </w:p>
        </w:tc>
        <w:tc>
          <w:tcPr>
            <w:tcW w:w="2126" w:type="dxa"/>
            <w:tcBorders>
              <w:top w:val="nil"/>
              <w:left w:val="nil"/>
              <w:bottom w:val="single" w:sz="8" w:space="0" w:color="auto"/>
              <w:right w:val="single" w:sz="8" w:space="0" w:color="auto"/>
            </w:tcBorders>
            <w:shd w:val="clear" w:color="auto" w:fill="auto"/>
            <w:noWrap/>
            <w:vAlign w:val="center"/>
            <w:hideMark/>
          </w:tcPr>
          <w:p w14:paraId="3F87E2B5" w14:textId="77777777" w:rsidR="00B15F7D" w:rsidRPr="00990FB6" w:rsidRDefault="00B15F7D" w:rsidP="00B15F7D">
            <w:pPr>
              <w:jc w:val="center"/>
              <w:rPr>
                <w:b/>
                <w:bCs/>
                <w:i/>
                <w:iCs/>
                <w:sz w:val="22"/>
                <w:szCs w:val="22"/>
                <w:lang w:eastAsia="es-CR"/>
              </w:rPr>
            </w:pPr>
            <w:r w:rsidRPr="00990FB6">
              <w:rPr>
                <w:b/>
                <w:bCs/>
                <w:i/>
                <w:iCs/>
                <w:sz w:val="22"/>
                <w:szCs w:val="22"/>
                <w:lang w:eastAsia="es-CR"/>
              </w:rPr>
              <w:t>₡24 044 784 547,27</w:t>
            </w:r>
          </w:p>
        </w:tc>
      </w:tr>
    </w:tbl>
    <w:p w14:paraId="3B7C851F" w14:textId="77777777" w:rsidR="00B15F7D" w:rsidRPr="00990FB6" w:rsidRDefault="00B15F7D" w:rsidP="00B15F7D">
      <w:pPr>
        <w:widowControl w:val="0"/>
        <w:autoSpaceDE w:val="0"/>
        <w:autoSpaceDN w:val="0"/>
        <w:adjustRightInd w:val="0"/>
        <w:ind w:left="1554" w:right="851"/>
        <w:jc w:val="both"/>
        <w:rPr>
          <w:i/>
          <w:iCs/>
          <w:color w:val="000000"/>
          <w:sz w:val="22"/>
          <w:szCs w:val="22"/>
        </w:rPr>
      </w:pPr>
    </w:p>
    <w:p w14:paraId="330BC696" w14:textId="77777777" w:rsidR="00B15F7D" w:rsidRPr="00990FB6" w:rsidRDefault="00B15F7D" w:rsidP="00B15F7D">
      <w:pPr>
        <w:widowControl w:val="0"/>
        <w:numPr>
          <w:ilvl w:val="0"/>
          <w:numId w:val="171"/>
        </w:numPr>
        <w:autoSpaceDE w:val="0"/>
        <w:autoSpaceDN w:val="0"/>
        <w:adjustRightInd w:val="0"/>
        <w:ind w:left="851" w:right="851" w:firstLine="703"/>
        <w:jc w:val="both"/>
        <w:rPr>
          <w:i/>
          <w:iCs/>
          <w:color w:val="000000"/>
          <w:sz w:val="22"/>
          <w:szCs w:val="22"/>
        </w:rPr>
      </w:pPr>
      <w:r w:rsidRPr="00990FB6">
        <w:rPr>
          <w:i/>
          <w:iCs/>
          <w:color w:val="000000"/>
          <w:sz w:val="22"/>
          <w:szCs w:val="22"/>
        </w:rPr>
        <w:t>De igual forma, a partir del 2026 se deberán cubrir los siguientes costos relativos a las plazas nuevas que se hacen necesarias para el funcionamiento de la Morgue (Patología Forense y Clínica Forense) y los Tribunales de justicia. Se detalla:</w:t>
      </w:r>
    </w:p>
    <w:p w14:paraId="65CE378A" w14:textId="77777777" w:rsidR="00B15F7D" w:rsidRPr="00990FB6" w:rsidRDefault="00B15F7D" w:rsidP="00B15F7D">
      <w:pPr>
        <w:widowControl w:val="0"/>
        <w:autoSpaceDE w:val="0"/>
        <w:autoSpaceDN w:val="0"/>
        <w:adjustRightInd w:val="0"/>
        <w:ind w:left="851" w:right="851"/>
        <w:jc w:val="both"/>
        <w:rPr>
          <w:i/>
          <w:iCs/>
          <w:color w:val="000000"/>
          <w:sz w:val="22"/>
          <w:szCs w:val="22"/>
        </w:rPr>
      </w:pP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2"/>
        <w:gridCol w:w="2513"/>
        <w:gridCol w:w="2263"/>
      </w:tblGrid>
      <w:tr w:rsidR="00B15F7D" w:rsidRPr="00990FB6" w14:paraId="4428D210" w14:textId="77777777" w:rsidTr="000A0C22">
        <w:trPr>
          <w:trHeight w:val="680"/>
          <w:jc w:val="center"/>
        </w:trPr>
        <w:tc>
          <w:tcPr>
            <w:tcW w:w="4395" w:type="dxa"/>
            <w:gridSpan w:val="2"/>
            <w:shd w:val="clear" w:color="000000" w:fill="8EA9DB"/>
            <w:vAlign w:val="center"/>
            <w:hideMark/>
          </w:tcPr>
          <w:p w14:paraId="33359B2D" w14:textId="77777777" w:rsidR="00B15F7D" w:rsidRPr="00990FB6" w:rsidRDefault="00B15F7D" w:rsidP="00B15F7D">
            <w:pPr>
              <w:jc w:val="center"/>
              <w:rPr>
                <w:b/>
                <w:bCs/>
                <w:i/>
                <w:iCs/>
                <w:sz w:val="22"/>
                <w:szCs w:val="22"/>
                <w:lang w:eastAsia="es-CR"/>
              </w:rPr>
            </w:pPr>
            <w:r w:rsidRPr="00990FB6">
              <w:rPr>
                <w:b/>
                <w:bCs/>
                <w:i/>
                <w:iCs/>
                <w:sz w:val="22"/>
                <w:szCs w:val="22"/>
                <w:lang w:eastAsia="es-CR"/>
              </w:rPr>
              <w:t>Recurso Humano Nuevo Complejo Judicial</w:t>
            </w:r>
          </w:p>
        </w:tc>
        <w:tc>
          <w:tcPr>
            <w:tcW w:w="2263" w:type="dxa"/>
            <w:vMerge w:val="restart"/>
            <w:shd w:val="clear" w:color="000000" w:fill="8EA9DB"/>
            <w:vAlign w:val="center"/>
            <w:hideMark/>
          </w:tcPr>
          <w:p w14:paraId="2A8ED25C" w14:textId="77777777" w:rsidR="00B15F7D" w:rsidRPr="00990FB6" w:rsidRDefault="00B15F7D" w:rsidP="00B15F7D">
            <w:pPr>
              <w:jc w:val="center"/>
              <w:rPr>
                <w:b/>
                <w:bCs/>
                <w:i/>
                <w:iCs/>
                <w:sz w:val="22"/>
                <w:szCs w:val="22"/>
                <w:lang w:eastAsia="es-CR"/>
              </w:rPr>
            </w:pPr>
            <w:r w:rsidRPr="00990FB6">
              <w:rPr>
                <w:b/>
                <w:bCs/>
                <w:i/>
                <w:iCs/>
                <w:sz w:val="22"/>
                <w:szCs w:val="22"/>
                <w:lang w:eastAsia="es-CR"/>
              </w:rPr>
              <w:t>Documento</w:t>
            </w:r>
          </w:p>
        </w:tc>
      </w:tr>
      <w:tr w:rsidR="00B15F7D" w:rsidRPr="00990FB6" w14:paraId="69085431" w14:textId="77777777" w:rsidTr="000A0C22">
        <w:trPr>
          <w:trHeight w:val="390"/>
          <w:jc w:val="center"/>
        </w:trPr>
        <w:tc>
          <w:tcPr>
            <w:tcW w:w="1882" w:type="dxa"/>
            <w:shd w:val="clear" w:color="000000" w:fill="D9E1F2"/>
            <w:noWrap/>
            <w:vAlign w:val="center"/>
            <w:hideMark/>
          </w:tcPr>
          <w:p w14:paraId="6D0F83F4" w14:textId="77777777" w:rsidR="00B15F7D" w:rsidRPr="00990FB6" w:rsidRDefault="00B15F7D" w:rsidP="00B15F7D">
            <w:pPr>
              <w:jc w:val="center"/>
              <w:rPr>
                <w:b/>
                <w:bCs/>
                <w:i/>
                <w:iCs/>
                <w:sz w:val="22"/>
                <w:szCs w:val="22"/>
                <w:lang w:eastAsia="es-CR"/>
              </w:rPr>
            </w:pPr>
            <w:r w:rsidRPr="00990FB6">
              <w:rPr>
                <w:b/>
                <w:bCs/>
                <w:i/>
                <w:iCs/>
                <w:sz w:val="22"/>
                <w:szCs w:val="22"/>
                <w:lang w:eastAsia="es-CR"/>
              </w:rPr>
              <w:t>Edificio</w:t>
            </w:r>
          </w:p>
        </w:tc>
        <w:tc>
          <w:tcPr>
            <w:tcW w:w="2513" w:type="dxa"/>
            <w:shd w:val="clear" w:color="000000" w:fill="D9E1F2"/>
            <w:noWrap/>
            <w:vAlign w:val="center"/>
            <w:hideMark/>
          </w:tcPr>
          <w:p w14:paraId="0746272C" w14:textId="77777777" w:rsidR="00B15F7D" w:rsidRPr="00990FB6" w:rsidRDefault="00B15F7D" w:rsidP="00B15F7D">
            <w:pPr>
              <w:jc w:val="center"/>
              <w:rPr>
                <w:b/>
                <w:bCs/>
                <w:i/>
                <w:iCs/>
                <w:sz w:val="22"/>
                <w:szCs w:val="22"/>
                <w:lang w:eastAsia="es-CR"/>
              </w:rPr>
            </w:pPr>
            <w:r w:rsidRPr="00990FB6">
              <w:rPr>
                <w:b/>
                <w:bCs/>
                <w:i/>
                <w:iCs/>
                <w:sz w:val="22"/>
                <w:szCs w:val="22"/>
                <w:lang w:eastAsia="es-CR"/>
              </w:rPr>
              <w:t>Monto anual</w:t>
            </w:r>
          </w:p>
        </w:tc>
        <w:tc>
          <w:tcPr>
            <w:tcW w:w="2263" w:type="dxa"/>
            <w:vMerge/>
            <w:vAlign w:val="center"/>
            <w:hideMark/>
          </w:tcPr>
          <w:p w14:paraId="29597C75" w14:textId="77777777" w:rsidR="00B15F7D" w:rsidRPr="00990FB6" w:rsidRDefault="00B15F7D" w:rsidP="00B15F7D">
            <w:pPr>
              <w:rPr>
                <w:b/>
                <w:bCs/>
                <w:i/>
                <w:iCs/>
                <w:sz w:val="22"/>
                <w:szCs w:val="22"/>
                <w:lang w:eastAsia="es-CR"/>
              </w:rPr>
            </w:pPr>
          </w:p>
        </w:tc>
      </w:tr>
      <w:tr w:rsidR="00B15F7D" w:rsidRPr="00990FB6" w14:paraId="725630C2" w14:textId="77777777" w:rsidTr="000A0C22">
        <w:trPr>
          <w:trHeight w:val="548"/>
          <w:jc w:val="center"/>
        </w:trPr>
        <w:tc>
          <w:tcPr>
            <w:tcW w:w="1882" w:type="dxa"/>
            <w:shd w:val="clear" w:color="000000" w:fill="FFFFFF"/>
            <w:noWrap/>
            <w:vAlign w:val="center"/>
            <w:hideMark/>
          </w:tcPr>
          <w:p w14:paraId="7F92C4C6" w14:textId="77777777" w:rsidR="00B15F7D" w:rsidRPr="00990FB6" w:rsidRDefault="00B15F7D" w:rsidP="00B15F7D">
            <w:pPr>
              <w:rPr>
                <w:i/>
                <w:iCs/>
                <w:sz w:val="22"/>
                <w:szCs w:val="22"/>
                <w:lang w:eastAsia="es-CR"/>
              </w:rPr>
            </w:pPr>
            <w:r w:rsidRPr="00990FB6">
              <w:rPr>
                <w:i/>
                <w:iCs/>
                <w:sz w:val="22"/>
                <w:szCs w:val="22"/>
                <w:lang w:eastAsia="es-CR"/>
              </w:rPr>
              <w:t>Morgue</w:t>
            </w:r>
          </w:p>
        </w:tc>
        <w:tc>
          <w:tcPr>
            <w:tcW w:w="2513" w:type="dxa"/>
            <w:shd w:val="clear" w:color="000000" w:fill="FFFFFF"/>
            <w:noWrap/>
            <w:vAlign w:val="center"/>
            <w:hideMark/>
          </w:tcPr>
          <w:p w14:paraId="3C93CC20" w14:textId="77777777" w:rsidR="00B15F7D" w:rsidRPr="00990FB6" w:rsidRDefault="00B15F7D" w:rsidP="00B15F7D">
            <w:pPr>
              <w:jc w:val="center"/>
              <w:rPr>
                <w:i/>
                <w:iCs/>
                <w:sz w:val="22"/>
                <w:szCs w:val="22"/>
                <w:lang w:eastAsia="es-CR"/>
              </w:rPr>
            </w:pPr>
            <w:r w:rsidRPr="00990FB6">
              <w:rPr>
                <w:i/>
                <w:iCs/>
                <w:sz w:val="22"/>
                <w:szCs w:val="22"/>
                <w:lang w:eastAsia="es-CR"/>
              </w:rPr>
              <w:t>₡288 415 000,00</w:t>
            </w:r>
          </w:p>
        </w:tc>
        <w:tc>
          <w:tcPr>
            <w:tcW w:w="2263" w:type="dxa"/>
            <w:vMerge w:val="restart"/>
            <w:shd w:val="clear" w:color="000000" w:fill="FFFFFF"/>
            <w:noWrap/>
            <w:vAlign w:val="center"/>
            <w:hideMark/>
          </w:tcPr>
          <w:p w14:paraId="0D0ACC8F" w14:textId="77777777" w:rsidR="00B15F7D" w:rsidRPr="00990FB6" w:rsidRDefault="00B15F7D" w:rsidP="00B15F7D">
            <w:pPr>
              <w:jc w:val="center"/>
              <w:rPr>
                <w:i/>
                <w:iCs/>
                <w:sz w:val="22"/>
                <w:szCs w:val="22"/>
                <w:lang w:eastAsia="es-CR"/>
              </w:rPr>
            </w:pPr>
            <w:r w:rsidRPr="00990FB6">
              <w:rPr>
                <w:i/>
                <w:iCs/>
                <w:sz w:val="22"/>
                <w:szCs w:val="22"/>
                <w:lang w:eastAsia="es-CR"/>
              </w:rPr>
              <w:object w:dxaOrig="1508" w:dyaOrig="984" w14:anchorId="6B68DF26">
                <v:shape id="_x0000_i1056" type="#_x0000_t75" style="width:76pt;height:49pt" o:ole="">
                  <v:imagedata r:id="rId95" o:title=""/>
                </v:shape>
                <o:OLEObject Type="Embed" ProgID="Excel.Sheet.12" ShapeID="_x0000_i1056" DrawAspect="Icon" ObjectID="_1748679184" r:id="rId96"/>
              </w:object>
            </w:r>
            <w:r w:rsidRPr="00990FB6">
              <w:rPr>
                <w:i/>
                <w:iCs/>
                <w:sz w:val="22"/>
                <w:szCs w:val="22"/>
                <w:lang w:eastAsia="es-CR"/>
              </w:rPr>
              <w:t> </w:t>
            </w:r>
          </w:p>
        </w:tc>
      </w:tr>
      <w:tr w:rsidR="00B15F7D" w:rsidRPr="00990FB6" w14:paraId="55AE6C29" w14:textId="77777777" w:rsidTr="000A0C22">
        <w:trPr>
          <w:trHeight w:val="280"/>
          <w:jc w:val="center"/>
        </w:trPr>
        <w:tc>
          <w:tcPr>
            <w:tcW w:w="1882" w:type="dxa"/>
            <w:shd w:val="clear" w:color="000000" w:fill="FFFFFF"/>
            <w:noWrap/>
            <w:vAlign w:val="center"/>
            <w:hideMark/>
          </w:tcPr>
          <w:p w14:paraId="6F99861F" w14:textId="77777777" w:rsidR="00B15F7D" w:rsidRPr="00990FB6" w:rsidRDefault="00B15F7D" w:rsidP="00B15F7D">
            <w:pPr>
              <w:rPr>
                <w:i/>
                <w:iCs/>
                <w:sz w:val="22"/>
                <w:szCs w:val="22"/>
                <w:lang w:eastAsia="es-CR"/>
              </w:rPr>
            </w:pPr>
            <w:r w:rsidRPr="00990FB6">
              <w:rPr>
                <w:i/>
                <w:iCs/>
                <w:sz w:val="22"/>
                <w:szCs w:val="22"/>
                <w:lang w:eastAsia="es-CR"/>
              </w:rPr>
              <w:t>Tribunales</w:t>
            </w:r>
          </w:p>
        </w:tc>
        <w:tc>
          <w:tcPr>
            <w:tcW w:w="2513" w:type="dxa"/>
            <w:shd w:val="clear" w:color="000000" w:fill="FFFFFF"/>
            <w:noWrap/>
            <w:vAlign w:val="center"/>
            <w:hideMark/>
          </w:tcPr>
          <w:p w14:paraId="6FBB5902" w14:textId="77777777" w:rsidR="00B15F7D" w:rsidRPr="00990FB6" w:rsidRDefault="00B15F7D" w:rsidP="00B15F7D">
            <w:pPr>
              <w:jc w:val="center"/>
              <w:rPr>
                <w:i/>
                <w:iCs/>
                <w:sz w:val="22"/>
                <w:szCs w:val="22"/>
                <w:lang w:eastAsia="es-CR"/>
              </w:rPr>
            </w:pPr>
            <w:r w:rsidRPr="00990FB6">
              <w:rPr>
                <w:i/>
                <w:iCs/>
                <w:sz w:val="22"/>
                <w:szCs w:val="22"/>
                <w:lang w:eastAsia="es-CR"/>
              </w:rPr>
              <w:t>₡330 535 000,00</w:t>
            </w:r>
          </w:p>
        </w:tc>
        <w:tc>
          <w:tcPr>
            <w:tcW w:w="2263" w:type="dxa"/>
            <w:vMerge/>
            <w:vAlign w:val="center"/>
            <w:hideMark/>
          </w:tcPr>
          <w:p w14:paraId="01528469" w14:textId="77777777" w:rsidR="00B15F7D" w:rsidRPr="00990FB6" w:rsidRDefault="00B15F7D" w:rsidP="00B15F7D">
            <w:pPr>
              <w:rPr>
                <w:i/>
                <w:iCs/>
                <w:sz w:val="22"/>
                <w:szCs w:val="22"/>
                <w:lang w:eastAsia="es-CR"/>
              </w:rPr>
            </w:pPr>
          </w:p>
        </w:tc>
      </w:tr>
      <w:tr w:rsidR="00B15F7D" w:rsidRPr="00990FB6" w14:paraId="44DDCDD8" w14:textId="77777777" w:rsidTr="000A0C22">
        <w:trPr>
          <w:trHeight w:val="280"/>
          <w:jc w:val="center"/>
        </w:trPr>
        <w:tc>
          <w:tcPr>
            <w:tcW w:w="1882" w:type="dxa"/>
            <w:shd w:val="clear" w:color="000000" w:fill="A6A6A6"/>
            <w:noWrap/>
            <w:vAlign w:val="center"/>
            <w:hideMark/>
          </w:tcPr>
          <w:p w14:paraId="1F784DB2" w14:textId="77777777" w:rsidR="00B15F7D" w:rsidRPr="00990FB6" w:rsidRDefault="00B15F7D" w:rsidP="00B15F7D">
            <w:pPr>
              <w:rPr>
                <w:b/>
                <w:bCs/>
                <w:i/>
                <w:iCs/>
                <w:sz w:val="22"/>
                <w:szCs w:val="22"/>
                <w:lang w:eastAsia="es-CR"/>
              </w:rPr>
            </w:pPr>
            <w:r w:rsidRPr="00990FB6">
              <w:rPr>
                <w:b/>
                <w:bCs/>
                <w:i/>
                <w:iCs/>
                <w:sz w:val="22"/>
                <w:szCs w:val="22"/>
                <w:lang w:eastAsia="es-CR"/>
              </w:rPr>
              <w:t>Total</w:t>
            </w:r>
          </w:p>
        </w:tc>
        <w:tc>
          <w:tcPr>
            <w:tcW w:w="2513" w:type="dxa"/>
            <w:shd w:val="clear" w:color="000000" w:fill="A6A6A6"/>
            <w:noWrap/>
            <w:vAlign w:val="center"/>
            <w:hideMark/>
          </w:tcPr>
          <w:p w14:paraId="65495AB6" w14:textId="77777777" w:rsidR="00B15F7D" w:rsidRPr="00990FB6" w:rsidRDefault="00B15F7D" w:rsidP="00B15F7D">
            <w:pPr>
              <w:jc w:val="center"/>
              <w:rPr>
                <w:b/>
                <w:bCs/>
                <w:i/>
                <w:iCs/>
                <w:sz w:val="22"/>
                <w:szCs w:val="22"/>
                <w:lang w:eastAsia="es-CR"/>
              </w:rPr>
            </w:pPr>
            <w:r w:rsidRPr="00990FB6">
              <w:rPr>
                <w:b/>
                <w:bCs/>
                <w:i/>
                <w:iCs/>
                <w:sz w:val="22"/>
                <w:szCs w:val="22"/>
                <w:lang w:eastAsia="es-CR"/>
              </w:rPr>
              <w:t>₡618 950 000,00</w:t>
            </w:r>
          </w:p>
        </w:tc>
        <w:tc>
          <w:tcPr>
            <w:tcW w:w="2263" w:type="dxa"/>
            <w:shd w:val="clear" w:color="000000" w:fill="E7E6E6"/>
            <w:noWrap/>
            <w:vAlign w:val="center"/>
            <w:hideMark/>
          </w:tcPr>
          <w:p w14:paraId="4A29E909" w14:textId="77777777" w:rsidR="00B15F7D" w:rsidRPr="00990FB6" w:rsidRDefault="00B15F7D" w:rsidP="00B15F7D">
            <w:pPr>
              <w:rPr>
                <w:i/>
                <w:iCs/>
                <w:sz w:val="22"/>
                <w:szCs w:val="22"/>
                <w:lang w:eastAsia="es-CR"/>
              </w:rPr>
            </w:pPr>
            <w:r w:rsidRPr="00990FB6">
              <w:rPr>
                <w:i/>
                <w:iCs/>
                <w:sz w:val="22"/>
                <w:szCs w:val="22"/>
                <w:lang w:eastAsia="es-CR"/>
              </w:rPr>
              <w:t> </w:t>
            </w:r>
          </w:p>
        </w:tc>
      </w:tr>
    </w:tbl>
    <w:p w14:paraId="0C2EAD91" w14:textId="77777777" w:rsidR="00B15F7D" w:rsidRPr="00990FB6" w:rsidRDefault="00B15F7D" w:rsidP="00B15F7D">
      <w:pPr>
        <w:widowControl w:val="0"/>
        <w:autoSpaceDE w:val="0"/>
        <w:autoSpaceDN w:val="0"/>
        <w:adjustRightInd w:val="0"/>
        <w:ind w:left="1554" w:right="851"/>
        <w:jc w:val="both"/>
        <w:rPr>
          <w:i/>
          <w:iCs/>
          <w:color w:val="000000"/>
          <w:sz w:val="22"/>
          <w:szCs w:val="22"/>
        </w:rPr>
      </w:pPr>
    </w:p>
    <w:p w14:paraId="75C53BD6" w14:textId="77777777" w:rsidR="00B15F7D" w:rsidRPr="00990FB6" w:rsidRDefault="00B15F7D" w:rsidP="00B15F7D">
      <w:pPr>
        <w:widowControl w:val="0"/>
        <w:numPr>
          <w:ilvl w:val="0"/>
          <w:numId w:val="171"/>
        </w:numPr>
        <w:autoSpaceDE w:val="0"/>
        <w:autoSpaceDN w:val="0"/>
        <w:adjustRightInd w:val="0"/>
        <w:ind w:left="851" w:right="851" w:firstLine="703"/>
        <w:jc w:val="both"/>
        <w:rPr>
          <w:i/>
          <w:iCs/>
          <w:color w:val="000000"/>
          <w:sz w:val="22"/>
          <w:szCs w:val="22"/>
        </w:rPr>
      </w:pPr>
      <w:r w:rsidRPr="00990FB6">
        <w:rPr>
          <w:i/>
          <w:iCs/>
          <w:color w:val="000000"/>
          <w:sz w:val="22"/>
          <w:szCs w:val="22"/>
        </w:rPr>
        <w:t xml:space="preserve">En </w:t>
      </w:r>
      <w:proofErr w:type="spellStart"/>
      <w:r w:rsidRPr="00990FB6">
        <w:rPr>
          <w:i/>
          <w:iCs/>
          <w:color w:val="000000"/>
          <w:sz w:val="22"/>
          <w:szCs w:val="22"/>
        </w:rPr>
        <w:t>uanto</w:t>
      </w:r>
      <w:proofErr w:type="spellEnd"/>
      <w:r w:rsidRPr="00990FB6">
        <w:rPr>
          <w:i/>
          <w:iCs/>
          <w:color w:val="000000"/>
          <w:sz w:val="22"/>
          <w:szCs w:val="22"/>
        </w:rPr>
        <w:t xml:space="preserve"> al detalle especifico de la estimación de plazos de ejecución, costos y subpartidas, se adjuntan los siguientes documentos:</w:t>
      </w:r>
    </w:p>
    <w:p w14:paraId="2A95685F" w14:textId="77777777" w:rsidR="00B15F7D" w:rsidRPr="00990FB6" w:rsidRDefault="00B15F7D" w:rsidP="00B15F7D">
      <w:pPr>
        <w:widowControl w:val="0"/>
        <w:autoSpaceDE w:val="0"/>
        <w:autoSpaceDN w:val="0"/>
        <w:adjustRightInd w:val="0"/>
        <w:ind w:right="851"/>
        <w:jc w:val="both"/>
        <w:rPr>
          <w:i/>
          <w:iCs/>
          <w:color w:val="000000"/>
          <w:sz w:val="22"/>
          <w:szCs w:val="22"/>
        </w:rPr>
      </w:pPr>
    </w:p>
    <w:tbl>
      <w:tblPr>
        <w:tblW w:w="0" w:type="auto"/>
        <w:jc w:val="center"/>
        <w:tblLook w:val="04A0" w:firstRow="1" w:lastRow="0" w:firstColumn="1" w:lastColumn="0" w:noHBand="0" w:noVBand="1"/>
      </w:tblPr>
      <w:tblGrid>
        <w:gridCol w:w="2694"/>
        <w:gridCol w:w="2263"/>
      </w:tblGrid>
      <w:tr w:rsidR="00B15F7D" w:rsidRPr="00990FB6" w14:paraId="4BCB77B6" w14:textId="77777777" w:rsidTr="000A0C22">
        <w:trPr>
          <w:trHeight w:val="607"/>
          <w:jc w:val="center"/>
        </w:trPr>
        <w:tc>
          <w:tcPr>
            <w:tcW w:w="2694" w:type="dxa"/>
          </w:tcPr>
          <w:p w14:paraId="40D1C014" w14:textId="77777777" w:rsidR="00B15F7D" w:rsidRPr="00990FB6" w:rsidRDefault="00B15F7D" w:rsidP="00B15F7D">
            <w:pPr>
              <w:autoSpaceDE w:val="0"/>
              <w:autoSpaceDN w:val="0"/>
              <w:adjustRightInd w:val="0"/>
              <w:jc w:val="center"/>
              <w:rPr>
                <w:i/>
                <w:iCs/>
                <w:sz w:val="22"/>
                <w:szCs w:val="22"/>
              </w:rPr>
            </w:pPr>
            <w:r w:rsidRPr="00990FB6">
              <w:rPr>
                <w:i/>
                <w:iCs/>
                <w:sz w:val="22"/>
                <w:szCs w:val="22"/>
              </w:rPr>
              <w:t>Cronograma de ejecución del proyecto</w:t>
            </w:r>
          </w:p>
        </w:tc>
        <w:tc>
          <w:tcPr>
            <w:tcW w:w="2263" w:type="dxa"/>
          </w:tcPr>
          <w:p w14:paraId="49C2A89D" w14:textId="77777777" w:rsidR="00B15F7D" w:rsidRPr="00990FB6" w:rsidRDefault="00B15F7D" w:rsidP="00B15F7D">
            <w:pPr>
              <w:autoSpaceDE w:val="0"/>
              <w:autoSpaceDN w:val="0"/>
              <w:adjustRightInd w:val="0"/>
              <w:jc w:val="center"/>
              <w:rPr>
                <w:i/>
                <w:iCs/>
                <w:sz w:val="22"/>
                <w:szCs w:val="22"/>
              </w:rPr>
            </w:pPr>
            <w:r w:rsidRPr="00990FB6">
              <w:rPr>
                <w:i/>
                <w:iCs/>
                <w:sz w:val="22"/>
                <w:szCs w:val="22"/>
              </w:rPr>
              <w:t>Proyección de costos del proyecto</w:t>
            </w:r>
          </w:p>
        </w:tc>
      </w:tr>
      <w:tr w:rsidR="00B15F7D" w:rsidRPr="00990FB6" w14:paraId="38BB5020" w14:textId="77777777" w:rsidTr="000A0C22">
        <w:trPr>
          <w:trHeight w:val="628"/>
          <w:jc w:val="center"/>
        </w:trPr>
        <w:tc>
          <w:tcPr>
            <w:tcW w:w="2694" w:type="dxa"/>
          </w:tcPr>
          <w:p w14:paraId="57BC5170" w14:textId="77777777" w:rsidR="00B15F7D" w:rsidRPr="00990FB6" w:rsidRDefault="00B15F7D" w:rsidP="00B15F7D">
            <w:pPr>
              <w:autoSpaceDE w:val="0"/>
              <w:autoSpaceDN w:val="0"/>
              <w:adjustRightInd w:val="0"/>
              <w:jc w:val="center"/>
              <w:rPr>
                <w:i/>
                <w:iCs/>
                <w:sz w:val="22"/>
                <w:szCs w:val="22"/>
              </w:rPr>
            </w:pPr>
            <w:r w:rsidRPr="00990FB6">
              <w:rPr>
                <w:rFonts w:eastAsia="Calibri"/>
                <w:i/>
                <w:iCs/>
                <w:sz w:val="22"/>
                <w:szCs w:val="22"/>
                <w:lang w:eastAsia="en-US"/>
              </w:rPr>
              <w:object w:dxaOrig="1543" w:dyaOrig="1000" w14:anchorId="3145A92B">
                <v:shape id="_x0000_i1057" type="#_x0000_t75" style="width:77pt;height:50.5pt" o:ole="">
                  <v:imagedata r:id="rId97" o:title=""/>
                </v:shape>
                <o:OLEObject Type="Embed" ProgID="Excel.Sheet.12" ShapeID="_x0000_i1057" DrawAspect="Icon" ObjectID="_1748679185" r:id="rId98"/>
              </w:object>
            </w:r>
          </w:p>
        </w:tc>
        <w:tc>
          <w:tcPr>
            <w:tcW w:w="2263" w:type="dxa"/>
          </w:tcPr>
          <w:p w14:paraId="6E8D2B19" w14:textId="77777777" w:rsidR="00B15F7D" w:rsidRPr="00990FB6" w:rsidRDefault="00B15F7D" w:rsidP="00B15F7D">
            <w:pPr>
              <w:autoSpaceDE w:val="0"/>
              <w:autoSpaceDN w:val="0"/>
              <w:adjustRightInd w:val="0"/>
              <w:jc w:val="center"/>
              <w:rPr>
                <w:i/>
                <w:iCs/>
                <w:sz w:val="22"/>
                <w:szCs w:val="22"/>
              </w:rPr>
            </w:pPr>
            <w:r w:rsidRPr="00990FB6">
              <w:rPr>
                <w:rFonts w:eastAsia="Calibri"/>
                <w:i/>
                <w:iCs/>
                <w:sz w:val="22"/>
                <w:szCs w:val="22"/>
                <w:lang w:eastAsia="en-US"/>
              </w:rPr>
              <w:object w:dxaOrig="1543" w:dyaOrig="1000" w14:anchorId="5877B3E8">
                <v:shape id="_x0000_i1058" type="#_x0000_t75" style="width:77pt;height:50.5pt" o:ole="">
                  <v:imagedata r:id="rId99" o:title=""/>
                </v:shape>
                <o:OLEObject Type="Embed" ProgID="Excel.Sheet.12" ShapeID="_x0000_i1058" DrawAspect="Icon" ObjectID="_1748679186" r:id="rId100"/>
              </w:object>
            </w:r>
          </w:p>
        </w:tc>
      </w:tr>
    </w:tbl>
    <w:p w14:paraId="04FDA0CA" w14:textId="77777777" w:rsidR="00B15F7D" w:rsidRPr="00990FB6" w:rsidRDefault="00B15F7D" w:rsidP="00B15F7D">
      <w:pPr>
        <w:tabs>
          <w:tab w:val="left" w:pos="0"/>
          <w:tab w:val="left" w:pos="705"/>
          <w:tab w:val="left" w:pos="1410"/>
          <w:tab w:val="left" w:pos="2115"/>
          <w:tab w:val="left" w:pos="2820"/>
          <w:tab w:val="left" w:pos="3540"/>
          <w:tab w:val="left" w:pos="4245"/>
          <w:tab w:val="left" w:pos="4950"/>
          <w:tab w:val="left" w:pos="5655"/>
          <w:tab w:val="left" w:pos="6360"/>
          <w:tab w:val="left" w:pos="7080"/>
          <w:tab w:val="left" w:pos="7785"/>
          <w:tab w:val="left" w:pos="8490"/>
        </w:tabs>
        <w:autoSpaceDE w:val="0"/>
        <w:autoSpaceDN w:val="0"/>
        <w:adjustRightInd w:val="0"/>
        <w:ind w:left="851" w:right="851" w:firstLine="703"/>
        <w:rPr>
          <w:sz w:val="22"/>
          <w:szCs w:val="22"/>
        </w:rPr>
      </w:pPr>
    </w:p>
    <w:p w14:paraId="110E0B99" w14:textId="77777777" w:rsidR="00B15F7D" w:rsidRPr="00990FB6" w:rsidRDefault="00B15F7D" w:rsidP="00B15F7D">
      <w:pPr>
        <w:tabs>
          <w:tab w:val="left" w:pos="0"/>
          <w:tab w:val="left" w:pos="705"/>
          <w:tab w:val="left" w:pos="1410"/>
          <w:tab w:val="left" w:pos="2115"/>
          <w:tab w:val="left" w:pos="2820"/>
          <w:tab w:val="left" w:pos="3540"/>
          <w:tab w:val="left" w:pos="4245"/>
          <w:tab w:val="left" w:pos="4950"/>
          <w:tab w:val="left" w:pos="5655"/>
          <w:tab w:val="left" w:pos="6360"/>
          <w:tab w:val="left" w:pos="7080"/>
          <w:tab w:val="left" w:pos="7785"/>
          <w:tab w:val="left" w:pos="8490"/>
        </w:tabs>
        <w:autoSpaceDE w:val="0"/>
        <w:autoSpaceDN w:val="0"/>
        <w:adjustRightInd w:val="0"/>
        <w:ind w:left="851" w:right="851" w:firstLine="703"/>
        <w:rPr>
          <w:sz w:val="22"/>
          <w:szCs w:val="22"/>
        </w:rPr>
      </w:pPr>
      <w:r w:rsidRPr="00990FB6">
        <w:rPr>
          <w:sz w:val="22"/>
          <w:szCs w:val="22"/>
        </w:rPr>
        <w:t>(…)”</w:t>
      </w:r>
    </w:p>
    <w:p w14:paraId="62DFB87C" w14:textId="77777777" w:rsidR="00B15F7D" w:rsidRPr="00990FB6" w:rsidRDefault="00B15F7D" w:rsidP="00B15F7D">
      <w:pPr>
        <w:ind w:left="851" w:right="900"/>
        <w:jc w:val="center"/>
        <w:rPr>
          <w:color w:val="000000"/>
          <w:sz w:val="22"/>
          <w:szCs w:val="22"/>
        </w:rPr>
      </w:pPr>
      <w:r w:rsidRPr="00990FB6">
        <w:rPr>
          <w:color w:val="000000"/>
          <w:sz w:val="22"/>
          <w:szCs w:val="22"/>
        </w:rPr>
        <w:t>- 0 -</w:t>
      </w:r>
    </w:p>
    <w:p w14:paraId="3BB546F6" w14:textId="77777777" w:rsidR="00B15F7D" w:rsidRPr="00990FB6" w:rsidRDefault="00B15F7D" w:rsidP="00B15F7D">
      <w:pPr>
        <w:ind w:left="851" w:right="900"/>
        <w:jc w:val="center"/>
        <w:rPr>
          <w:color w:val="000000"/>
          <w:sz w:val="22"/>
          <w:szCs w:val="22"/>
        </w:rPr>
      </w:pPr>
    </w:p>
    <w:p w14:paraId="34702402" w14:textId="77777777" w:rsidR="00B15F7D" w:rsidRPr="00990FB6" w:rsidRDefault="00B15F7D" w:rsidP="00B15F7D">
      <w:pPr>
        <w:ind w:left="851" w:right="900" w:firstLine="708"/>
        <w:jc w:val="both"/>
        <w:rPr>
          <w:bCs/>
          <w:sz w:val="22"/>
          <w:szCs w:val="22"/>
          <w:shd w:val="clear" w:color="auto" w:fill="FFFFFF"/>
          <w:lang w:eastAsia="es-CR"/>
        </w:rPr>
      </w:pPr>
      <w:r w:rsidRPr="00990FB6">
        <w:rPr>
          <w:bCs/>
          <w:sz w:val="22"/>
          <w:szCs w:val="22"/>
          <w:shd w:val="clear" w:color="auto" w:fill="FFFFFF"/>
          <w:lang w:eastAsia="es-CR"/>
        </w:rPr>
        <w:lastRenderedPageBreak/>
        <w:t xml:space="preserve">Informa la máster Ana Eugenia Romero Jenkins, Directora Ejecutiva: “El lunes sostuvimos una reunión en la Asamblea Legislativa, con la participación del señor Presidente, el señor Ministro de Hacienda y la Diputada Sonia Rojas Méndez, que ha sido una patrocinadora importante para este proyecto </w:t>
      </w:r>
      <w:proofErr w:type="gramStart"/>
      <w:r w:rsidRPr="00990FB6">
        <w:rPr>
          <w:bCs/>
          <w:sz w:val="22"/>
          <w:szCs w:val="22"/>
          <w:shd w:val="clear" w:color="auto" w:fill="FFFFFF"/>
          <w:lang w:eastAsia="es-CR"/>
        </w:rPr>
        <w:t>dada  también</w:t>
      </w:r>
      <w:proofErr w:type="gramEnd"/>
      <w:r w:rsidRPr="00990FB6">
        <w:rPr>
          <w:bCs/>
          <w:sz w:val="22"/>
          <w:szCs w:val="22"/>
          <w:shd w:val="clear" w:color="auto" w:fill="FFFFFF"/>
          <w:lang w:eastAsia="es-CR"/>
        </w:rPr>
        <w:t xml:space="preserve"> la connotación indígena que tiene y que ella representa a las diferentes etnias en la Asamblea Legislativa. En ese sentido se llevó la propuesta conforme le había indicado la señora Ministra de la Presidencia Natalia Díaz Quintana a la señora diputada; la señora Natalia Díaz Quintana también estuvo en la reunión y se llevaron las dos alternativas de continuar con la iniciativa del empréstito; un crédito soberano, o sea que lo estaría asumiendo el Gobierno, o la alternativa de incluir el proyecto de presupuesto ordinario  siempre con la clara advertencia de que no podría afectar el límite presupuestario al Poder Judicial, o sea serían recursos extra límite por la situación que, por todos es conocida, de faltante del Poder Judicial con respecto al límite que nos impuso el Ministerio de Hacienda. En ese sentido fue clara la exposición que hizo el señor Ministro </w:t>
      </w:r>
      <w:proofErr w:type="spellStart"/>
      <w:r w:rsidRPr="00990FB6">
        <w:rPr>
          <w:bCs/>
          <w:sz w:val="22"/>
          <w:szCs w:val="22"/>
          <w:shd w:val="clear" w:color="auto" w:fill="FFFFFF"/>
          <w:lang w:eastAsia="es-CR"/>
        </w:rPr>
        <w:t>Nogui</w:t>
      </w:r>
      <w:proofErr w:type="spellEnd"/>
      <w:r w:rsidRPr="00990FB6">
        <w:rPr>
          <w:bCs/>
          <w:sz w:val="22"/>
          <w:szCs w:val="22"/>
          <w:shd w:val="clear" w:color="auto" w:fill="FFFFFF"/>
          <w:lang w:eastAsia="es-CR"/>
        </w:rPr>
        <w:t xml:space="preserve"> Acosta Jaén en cuanto a que para el 2024 no habría viabilidad para el financiamiento de este proyecto por los límites que impone la regla fiscal, y dejó plasmada alguna esperanza de que para el 2025 ya podría estar el País en una condición presupuestaria fiscal distinta y que podría tener alguna viabilidad el proyecto, pero eso de momento fue lo que ahí se indicó y no quedaría más que tomar nota del informe, pero no podríamos incluirlo en el presupuesto, ni siquiera informarlo fuera del presupuesto porque ya se determinó que hay una inviabilidad".</w:t>
      </w:r>
    </w:p>
    <w:p w14:paraId="4D2235FF" w14:textId="77777777" w:rsidR="00B15F7D" w:rsidRPr="00990FB6" w:rsidRDefault="00B15F7D" w:rsidP="00B15F7D">
      <w:pPr>
        <w:ind w:left="851" w:right="900" w:firstLine="708"/>
        <w:jc w:val="both"/>
        <w:rPr>
          <w:bCs/>
          <w:sz w:val="22"/>
          <w:szCs w:val="22"/>
          <w:shd w:val="clear" w:color="auto" w:fill="FFFFFF"/>
          <w:lang w:eastAsia="es-CR"/>
        </w:rPr>
      </w:pPr>
    </w:p>
    <w:p w14:paraId="347E463D" w14:textId="77777777" w:rsidR="00B15F7D" w:rsidRPr="00990FB6" w:rsidRDefault="00B15F7D" w:rsidP="00B15F7D">
      <w:pPr>
        <w:ind w:left="851" w:right="900" w:firstLine="708"/>
        <w:jc w:val="both"/>
        <w:rPr>
          <w:bCs/>
          <w:sz w:val="22"/>
          <w:szCs w:val="22"/>
          <w:shd w:val="clear" w:color="auto" w:fill="FFFFFF"/>
          <w:lang w:eastAsia="es-CR"/>
        </w:rPr>
      </w:pPr>
      <w:r w:rsidRPr="00990FB6">
        <w:rPr>
          <w:bCs/>
          <w:sz w:val="22"/>
          <w:szCs w:val="22"/>
          <w:shd w:val="clear" w:color="auto" w:fill="FFFFFF"/>
          <w:lang w:eastAsia="es-CR"/>
        </w:rPr>
        <w:t xml:space="preserve">Indica el Presidente, Magistrado Aguirre: "Hay que agregar que cómo estos son proyectos que se ejecutan en varias etapas, para iniciar esto habría que poner una suma no tan alta; unos cinco mil millones, pero eso sí implica que el año entrante tendríamos que poner creo que dieciocho mil millones y eso hay que verlo no solo con lo de ahora sino la proyección que tiene, porque dieciocho mil millones es imposible. Lo que sí dijo el señor Ministro </w:t>
      </w:r>
      <w:proofErr w:type="spellStart"/>
      <w:r w:rsidRPr="00990FB6">
        <w:rPr>
          <w:bCs/>
          <w:sz w:val="22"/>
          <w:szCs w:val="22"/>
          <w:shd w:val="clear" w:color="auto" w:fill="FFFFFF"/>
          <w:lang w:eastAsia="es-CR"/>
        </w:rPr>
        <w:t>Nogui</w:t>
      </w:r>
      <w:proofErr w:type="spellEnd"/>
      <w:r w:rsidRPr="00990FB6">
        <w:rPr>
          <w:bCs/>
          <w:sz w:val="22"/>
          <w:szCs w:val="22"/>
          <w:shd w:val="clear" w:color="auto" w:fill="FFFFFF"/>
          <w:lang w:eastAsia="es-CR"/>
        </w:rPr>
        <w:t xml:space="preserve"> Acosta </w:t>
      </w:r>
      <w:proofErr w:type="gramStart"/>
      <w:r w:rsidRPr="00990FB6">
        <w:rPr>
          <w:bCs/>
          <w:sz w:val="22"/>
          <w:szCs w:val="22"/>
          <w:shd w:val="clear" w:color="auto" w:fill="FFFFFF"/>
          <w:lang w:eastAsia="es-CR"/>
        </w:rPr>
        <w:t>Jaén  es</w:t>
      </w:r>
      <w:proofErr w:type="gramEnd"/>
      <w:r w:rsidRPr="00990FB6">
        <w:rPr>
          <w:bCs/>
          <w:sz w:val="22"/>
          <w:szCs w:val="22"/>
          <w:shd w:val="clear" w:color="auto" w:fill="FFFFFF"/>
          <w:lang w:eastAsia="es-CR"/>
        </w:rPr>
        <w:t xml:space="preserve"> que el año entrante, dependiendo del comportamiento de los intereses de la deuda podría haber posibilidad de incluirlo, pero también si lo vamos a incluir el año entrante tenemos que tener en cuenta la proyección que  eso significa".</w:t>
      </w:r>
    </w:p>
    <w:p w14:paraId="6B595A64" w14:textId="77777777" w:rsidR="00B15F7D" w:rsidRPr="00990FB6" w:rsidRDefault="00B15F7D" w:rsidP="00B15F7D">
      <w:pPr>
        <w:ind w:left="851" w:right="900" w:firstLine="708"/>
        <w:jc w:val="both"/>
        <w:rPr>
          <w:bCs/>
          <w:sz w:val="22"/>
          <w:szCs w:val="22"/>
          <w:shd w:val="clear" w:color="auto" w:fill="FFFFFF"/>
          <w:lang w:eastAsia="es-CR"/>
        </w:rPr>
      </w:pPr>
    </w:p>
    <w:p w14:paraId="5DED8C10" w14:textId="77777777" w:rsidR="00B15F7D" w:rsidRPr="00990FB6" w:rsidRDefault="00B15F7D" w:rsidP="00B15F7D">
      <w:pPr>
        <w:ind w:left="851" w:right="900" w:firstLine="708"/>
        <w:jc w:val="both"/>
        <w:rPr>
          <w:bCs/>
          <w:sz w:val="22"/>
          <w:szCs w:val="22"/>
          <w:shd w:val="clear" w:color="auto" w:fill="FFFFFF"/>
          <w:lang w:eastAsia="es-CR"/>
        </w:rPr>
      </w:pPr>
      <w:r w:rsidRPr="00990FB6">
        <w:rPr>
          <w:bCs/>
          <w:sz w:val="22"/>
          <w:szCs w:val="22"/>
          <w:shd w:val="clear" w:color="auto" w:fill="FFFFFF"/>
          <w:lang w:eastAsia="es-CR"/>
        </w:rPr>
        <w:t xml:space="preserve">Indica la licenciada Nacira Valverde Bermúdez, Directora de Planificación: "En el escenario de la reunión que indica la máster Ana Eugenia Romero Jenkins, Directora Ejecutiva, lo que se había considerado, en la propuesta de acuerdo era remitirlo a la Corte Plena para que valorara la incorporación de los recursos económicos de forma adicional al presupuesto del Poder Judicial, sin embargo, con lo que está indicando la máster Ana Eugenia Romero Jenkins, que ya el Ministerio de Hacienda, en la persona del señor Ministro </w:t>
      </w:r>
      <w:proofErr w:type="spellStart"/>
      <w:r w:rsidRPr="00990FB6">
        <w:rPr>
          <w:bCs/>
          <w:sz w:val="22"/>
          <w:szCs w:val="22"/>
          <w:shd w:val="clear" w:color="auto" w:fill="FFFFFF"/>
          <w:lang w:eastAsia="es-CR"/>
        </w:rPr>
        <w:t>Nogui</w:t>
      </w:r>
      <w:proofErr w:type="spellEnd"/>
      <w:r w:rsidRPr="00990FB6">
        <w:rPr>
          <w:bCs/>
          <w:sz w:val="22"/>
          <w:szCs w:val="22"/>
          <w:shd w:val="clear" w:color="auto" w:fill="FFFFFF"/>
          <w:lang w:eastAsia="es-CR"/>
        </w:rPr>
        <w:t xml:space="preserve"> Acosta Jaén , en reunión, indicó la inviabilidad de generar recursos adicionales, no tendría sentido remitir a la Corte Plena bajo un principio de que ya tenemos una respuesta en donde no habrán los recursos, por lo menos para el 2024, no sé qué piensan ustedes en la valoración de propuesta de acuerdo, me parece que tendría que cambiarse en relación a esto".</w:t>
      </w:r>
    </w:p>
    <w:p w14:paraId="7D2324A4" w14:textId="77777777" w:rsidR="00B15F7D" w:rsidRPr="00990FB6" w:rsidRDefault="00B15F7D" w:rsidP="00B15F7D">
      <w:pPr>
        <w:ind w:left="851" w:right="900" w:firstLine="708"/>
        <w:jc w:val="both"/>
        <w:rPr>
          <w:bCs/>
          <w:sz w:val="22"/>
          <w:szCs w:val="22"/>
          <w:shd w:val="clear" w:color="auto" w:fill="FFFFFF"/>
          <w:lang w:eastAsia="es-CR"/>
        </w:rPr>
      </w:pPr>
    </w:p>
    <w:p w14:paraId="484197D2" w14:textId="77777777" w:rsidR="00B15F7D" w:rsidRPr="00990FB6" w:rsidRDefault="00B15F7D" w:rsidP="00B15F7D">
      <w:pPr>
        <w:ind w:left="851" w:right="900" w:firstLine="708"/>
        <w:jc w:val="both"/>
        <w:rPr>
          <w:bCs/>
          <w:sz w:val="22"/>
          <w:szCs w:val="22"/>
          <w:shd w:val="clear" w:color="auto" w:fill="FFFFFF"/>
          <w:lang w:eastAsia="es-CR"/>
        </w:rPr>
      </w:pPr>
      <w:r w:rsidRPr="00990FB6">
        <w:rPr>
          <w:bCs/>
          <w:sz w:val="22"/>
          <w:szCs w:val="22"/>
          <w:shd w:val="clear" w:color="auto" w:fill="FFFFFF"/>
          <w:lang w:eastAsia="es-CR"/>
        </w:rPr>
        <w:t xml:space="preserve">La máster Ana Eugenia Romero Jenkins, Directora Ejecutiva manifiesta: "Más bien sería tomar nota y, sí comunicarlo a la Corte Plena, en el sentido de que se </w:t>
      </w:r>
      <w:r w:rsidRPr="00990FB6">
        <w:rPr>
          <w:bCs/>
          <w:sz w:val="22"/>
          <w:szCs w:val="22"/>
          <w:shd w:val="clear" w:color="auto" w:fill="FFFFFF"/>
          <w:lang w:eastAsia="es-CR"/>
        </w:rPr>
        <w:lastRenderedPageBreak/>
        <w:t xml:space="preserve">ha hecho este proceso  y de que como institución hemos tenido y mantenemos un interés y un compromiso por llevar a cabo el proyecto, incluso actualmente nosotros estamos trabajando en los planos, ustedes lo conocen, a través de fondos contingentes del BCIE que ellos nos suministraron, que tiene algunas condiciones a futuro; si el proyecto se desarrolla hay que pagárselos, y si no se desarrolla no se paga nada pero son propiedad del Banco, entonces en ese sentido nosotros vamos a avanzar, pero me parece que sí sería informarlo a la Corte, pero de que nos estaría incluyendo ni siquiera fuera del límite, ante la inviabilidad que señaló el señor Ministro </w:t>
      </w:r>
      <w:proofErr w:type="spellStart"/>
      <w:r w:rsidRPr="00990FB6">
        <w:rPr>
          <w:bCs/>
          <w:sz w:val="22"/>
          <w:szCs w:val="22"/>
          <w:shd w:val="clear" w:color="auto" w:fill="FFFFFF"/>
          <w:lang w:eastAsia="es-CR"/>
        </w:rPr>
        <w:t>Nogui</w:t>
      </w:r>
      <w:proofErr w:type="spellEnd"/>
      <w:r w:rsidRPr="00990FB6">
        <w:rPr>
          <w:bCs/>
          <w:sz w:val="22"/>
          <w:szCs w:val="22"/>
          <w:shd w:val="clear" w:color="auto" w:fill="FFFFFF"/>
          <w:lang w:eastAsia="es-CR"/>
        </w:rPr>
        <w:t xml:space="preserve"> Acosta Jaén".</w:t>
      </w:r>
    </w:p>
    <w:p w14:paraId="176A3107" w14:textId="77777777" w:rsidR="00B15F7D" w:rsidRPr="00990FB6" w:rsidRDefault="00B15F7D" w:rsidP="00B15F7D">
      <w:pPr>
        <w:shd w:val="clear" w:color="auto" w:fill="FFFFFF"/>
        <w:ind w:left="851" w:right="900"/>
        <w:jc w:val="center"/>
        <w:rPr>
          <w:sz w:val="22"/>
          <w:szCs w:val="22"/>
          <w:lang w:val="es-CR"/>
        </w:rPr>
      </w:pPr>
    </w:p>
    <w:p w14:paraId="5FE795EF" w14:textId="77777777" w:rsidR="00B15F7D" w:rsidRPr="00990FB6" w:rsidRDefault="00B15F7D" w:rsidP="00B15F7D">
      <w:pPr>
        <w:shd w:val="clear" w:color="auto" w:fill="FFFFFF"/>
        <w:ind w:left="851" w:right="900"/>
        <w:jc w:val="center"/>
        <w:rPr>
          <w:sz w:val="22"/>
          <w:szCs w:val="22"/>
          <w:lang w:val="es-CR"/>
        </w:rPr>
      </w:pPr>
      <w:r w:rsidRPr="00990FB6">
        <w:rPr>
          <w:sz w:val="22"/>
          <w:szCs w:val="22"/>
          <w:lang w:val="es-CR"/>
        </w:rPr>
        <w:t>- 0 -</w:t>
      </w:r>
    </w:p>
    <w:p w14:paraId="526FDB19" w14:textId="77777777" w:rsidR="00B15F7D" w:rsidRPr="00990FB6" w:rsidRDefault="00B15F7D" w:rsidP="00B15F7D">
      <w:pPr>
        <w:shd w:val="clear" w:color="auto" w:fill="FFFFFF"/>
        <w:ind w:left="851" w:right="900"/>
        <w:jc w:val="center"/>
        <w:rPr>
          <w:sz w:val="22"/>
          <w:szCs w:val="22"/>
          <w:lang w:val="es-CR"/>
        </w:rPr>
      </w:pPr>
    </w:p>
    <w:p w14:paraId="28352FCA" w14:textId="77777777" w:rsidR="00B15F7D" w:rsidRPr="00990FB6" w:rsidRDefault="00B15F7D" w:rsidP="00B15F7D">
      <w:pPr>
        <w:ind w:left="851" w:right="900" w:firstLine="708"/>
        <w:jc w:val="both"/>
        <w:rPr>
          <w:color w:val="000000"/>
          <w:sz w:val="22"/>
          <w:szCs w:val="22"/>
          <w:shd w:val="clear" w:color="auto" w:fill="FFFFFF"/>
          <w:lang w:eastAsia="es-ES"/>
        </w:rPr>
      </w:pPr>
      <w:r w:rsidRPr="00990FB6">
        <w:rPr>
          <w:b/>
          <w:sz w:val="22"/>
          <w:szCs w:val="22"/>
        </w:rPr>
        <w:t xml:space="preserve">Se acordó: 1.) </w:t>
      </w:r>
      <w:r w:rsidRPr="00990FB6">
        <w:rPr>
          <w:color w:val="000000"/>
          <w:sz w:val="22"/>
          <w:szCs w:val="22"/>
        </w:rPr>
        <w:t>Tomar nota de lo comunicado por l</w:t>
      </w:r>
      <w:r w:rsidRPr="00990FB6">
        <w:rPr>
          <w:bCs/>
          <w:sz w:val="22"/>
          <w:szCs w:val="22"/>
          <w:lang w:eastAsia="es-CR"/>
        </w:rPr>
        <w:t xml:space="preserve">a licenciada Nacira Valverde Bermúdez, Directora de Planificación, en que expone lo informado en el oficio </w:t>
      </w:r>
      <w:proofErr w:type="spellStart"/>
      <w:r w:rsidRPr="00990FB6">
        <w:rPr>
          <w:bCs/>
          <w:sz w:val="22"/>
          <w:szCs w:val="22"/>
          <w:lang w:eastAsia="es-CR"/>
        </w:rPr>
        <w:t>N°</w:t>
      </w:r>
      <w:proofErr w:type="spellEnd"/>
      <w:r w:rsidRPr="00990FB6">
        <w:rPr>
          <w:bCs/>
          <w:sz w:val="22"/>
          <w:szCs w:val="22"/>
          <w:lang w:eastAsia="es-CR"/>
        </w:rPr>
        <w:t xml:space="preserve"> 1185-DE-2023 del 24 de abril del 2023 suscrito por la Máster Ana Eugenia Romero Jenkins, Directora Ejecutiva, donde señala lo manifestado por la diputada Sonia Rojas Méndez en reunión con la Presidencia de la Corte el pasado martes 18 de abril de 2023 y relativo a la negativa del Ministerio de Hacienda para financiar el proyecto “Complejo Judicial en Buenos Aires de Puntarenas”. </w:t>
      </w:r>
      <w:r w:rsidRPr="00990FB6">
        <w:rPr>
          <w:b/>
          <w:sz w:val="22"/>
          <w:szCs w:val="22"/>
          <w:lang w:eastAsia="es-CR"/>
        </w:rPr>
        <w:t>2.)</w:t>
      </w:r>
      <w:r w:rsidRPr="00990FB6">
        <w:rPr>
          <w:bCs/>
          <w:sz w:val="22"/>
          <w:szCs w:val="22"/>
          <w:lang w:eastAsia="es-CR"/>
        </w:rPr>
        <w:t xml:space="preserve"> Comunicar a la </w:t>
      </w:r>
      <w:r w:rsidRPr="00990FB6">
        <w:rPr>
          <w:color w:val="000000"/>
          <w:sz w:val="22"/>
          <w:szCs w:val="22"/>
        </w:rPr>
        <w:t xml:space="preserve">Corte Plena que de conformidad con lo indicado no se va a tomar en cuenta la incorporación de los recursos económicos necesarios para desarrollar el Complejo Judicial en Buenos Aires de Puntarenas en una solicitud adicional al presupuesto ordinario del Poder Judicial, ya que no es posible cubrirlo con el presupuesto del Poder Judicial asignado a la fecha. Lo anterior en el entendido que </w:t>
      </w:r>
      <w:r w:rsidRPr="00990FB6">
        <w:rPr>
          <w:color w:val="000000"/>
          <w:sz w:val="22"/>
          <w:szCs w:val="22"/>
          <w:shd w:val="clear" w:color="auto" w:fill="FFFFFF"/>
          <w:lang w:eastAsia="es-ES"/>
        </w:rPr>
        <w:t>como institución el Poder Judicial ha tenido y mantiene un interés y un compromiso por llevar a cabo el citado proyecto.</w:t>
      </w:r>
    </w:p>
    <w:p w14:paraId="1B772CD4" w14:textId="77777777" w:rsidR="00B15F7D" w:rsidRPr="00990FB6" w:rsidRDefault="00B15F7D" w:rsidP="00B15F7D">
      <w:pPr>
        <w:ind w:left="851" w:right="900" w:firstLine="708"/>
        <w:jc w:val="both"/>
        <w:rPr>
          <w:color w:val="000000"/>
          <w:sz w:val="22"/>
          <w:szCs w:val="22"/>
        </w:rPr>
      </w:pPr>
    </w:p>
    <w:p w14:paraId="45FF8FB1" w14:textId="77777777" w:rsidR="00B15F7D" w:rsidRPr="00990FB6" w:rsidRDefault="00B15F7D" w:rsidP="00B15F7D">
      <w:pPr>
        <w:ind w:left="851" w:right="900" w:firstLine="708"/>
        <w:jc w:val="both"/>
        <w:rPr>
          <w:b/>
          <w:bCs/>
          <w:color w:val="FF0000"/>
          <w:sz w:val="22"/>
          <w:szCs w:val="22"/>
        </w:rPr>
      </w:pPr>
      <w:r w:rsidRPr="00990FB6">
        <w:rPr>
          <w:color w:val="000000"/>
          <w:sz w:val="22"/>
          <w:szCs w:val="22"/>
        </w:rPr>
        <w:t xml:space="preserve">La Dirección de Planificación tomará nota para lo que corresponda. </w:t>
      </w:r>
      <w:r w:rsidRPr="00990FB6">
        <w:rPr>
          <w:b/>
          <w:bCs/>
          <w:color w:val="000000"/>
          <w:sz w:val="22"/>
          <w:szCs w:val="22"/>
        </w:rPr>
        <w:t>Se declara acuerdo firme</w:t>
      </w:r>
      <w:r w:rsidRPr="00990FB6">
        <w:rPr>
          <w:rFonts w:eastAsia="Calibri"/>
          <w:b/>
          <w:bCs/>
          <w:iCs/>
          <w:sz w:val="22"/>
          <w:szCs w:val="22"/>
        </w:rPr>
        <w:t>.</w:t>
      </w:r>
      <w:r w:rsidRPr="00990FB6">
        <w:rPr>
          <w:b/>
          <w:bCs/>
          <w:sz w:val="22"/>
          <w:szCs w:val="22"/>
        </w:rPr>
        <w:t>”</w:t>
      </w:r>
    </w:p>
    <w:p w14:paraId="7838487F" w14:textId="77777777" w:rsidR="00B15F7D" w:rsidRPr="00990FB6" w:rsidRDefault="00B15F7D" w:rsidP="00B15F7D">
      <w:pPr>
        <w:widowControl w:val="0"/>
        <w:autoSpaceDE w:val="0"/>
        <w:autoSpaceDN w:val="0"/>
        <w:adjustRightInd w:val="0"/>
        <w:ind w:right="851"/>
        <w:jc w:val="both"/>
        <w:rPr>
          <w:sz w:val="22"/>
          <w:szCs w:val="22"/>
        </w:rPr>
      </w:pPr>
    </w:p>
    <w:p w14:paraId="2242301E" w14:textId="5F2DE32A" w:rsidR="00B15F7D" w:rsidRPr="00990FB6" w:rsidRDefault="00B15F7D" w:rsidP="00B15F7D">
      <w:pPr>
        <w:jc w:val="center"/>
        <w:rPr>
          <w:bCs/>
          <w:sz w:val="22"/>
          <w:szCs w:val="22"/>
          <w:lang w:val="es-CR"/>
        </w:rPr>
      </w:pPr>
      <w:r w:rsidRPr="00990FB6">
        <w:rPr>
          <w:bCs/>
          <w:sz w:val="22"/>
          <w:szCs w:val="22"/>
          <w:lang w:val="es-CR"/>
        </w:rPr>
        <w:t xml:space="preserve">- 0 </w:t>
      </w:r>
      <w:r w:rsidR="004A5681" w:rsidRPr="00990FB6">
        <w:rPr>
          <w:bCs/>
          <w:sz w:val="22"/>
          <w:szCs w:val="22"/>
          <w:lang w:val="es-CR"/>
        </w:rPr>
        <w:t>–</w:t>
      </w:r>
    </w:p>
    <w:p w14:paraId="64566C53" w14:textId="77777777" w:rsidR="004A5681" w:rsidRPr="00990FB6" w:rsidRDefault="004A5681" w:rsidP="00B15F7D">
      <w:pPr>
        <w:jc w:val="center"/>
        <w:rPr>
          <w:bCs/>
          <w:sz w:val="22"/>
          <w:szCs w:val="22"/>
          <w:lang w:val="es-CR"/>
        </w:rPr>
      </w:pPr>
    </w:p>
    <w:p w14:paraId="603CABAA" w14:textId="7E70BDF6" w:rsidR="00B15F7D" w:rsidRPr="00990FB6" w:rsidRDefault="00B15F7D" w:rsidP="00B15F7D">
      <w:pPr>
        <w:suppressAutoHyphens w:val="0"/>
        <w:ind w:firstLine="709"/>
        <w:jc w:val="both"/>
        <w:rPr>
          <w:bCs/>
          <w:sz w:val="22"/>
          <w:szCs w:val="22"/>
        </w:rPr>
      </w:pPr>
      <w:r w:rsidRPr="00990FB6">
        <w:rPr>
          <w:bCs/>
          <w:sz w:val="22"/>
          <w:szCs w:val="22"/>
        </w:rPr>
        <w:t xml:space="preserve">El Consejo Superior, remite el acuerdo tomado en sesión extraordinaria </w:t>
      </w:r>
      <w:proofErr w:type="spellStart"/>
      <w:r w:rsidRPr="00990FB6">
        <w:rPr>
          <w:bCs/>
          <w:sz w:val="22"/>
          <w:szCs w:val="22"/>
        </w:rPr>
        <w:t>N°</w:t>
      </w:r>
      <w:proofErr w:type="spellEnd"/>
      <w:r w:rsidRPr="00990FB6">
        <w:rPr>
          <w:bCs/>
          <w:sz w:val="22"/>
          <w:szCs w:val="22"/>
        </w:rPr>
        <w:t xml:space="preserve"> 32-2023 celebrada el 19 de abril de 2023, artículo I, que literalmente dice:</w:t>
      </w:r>
    </w:p>
    <w:p w14:paraId="4634824C" w14:textId="77777777" w:rsidR="004A5681" w:rsidRPr="00990FB6" w:rsidRDefault="004A5681" w:rsidP="00B15F7D">
      <w:pPr>
        <w:suppressAutoHyphens w:val="0"/>
        <w:ind w:firstLine="709"/>
        <w:jc w:val="both"/>
        <w:rPr>
          <w:bCs/>
          <w:sz w:val="22"/>
          <w:szCs w:val="22"/>
        </w:rPr>
      </w:pPr>
    </w:p>
    <w:p w14:paraId="12927E83" w14:textId="77777777" w:rsidR="00B15F7D" w:rsidRPr="00990FB6" w:rsidRDefault="00B15F7D" w:rsidP="00B15F7D">
      <w:pPr>
        <w:ind w:left="851" w:right="851" w:firstLine="709"/>
        <w:jc w:val="both"/>
        <w:rPr>
          <w:b/>
          <w:color w:val="FF0000"/>
          <w:sz w:val="22"/>
          <w:szCs w:val="22"/>
          <w:u w:val="single"/>
          <w:lang w:val="es-CR"/>
        </w:rPr>
      </w:pPr>
      <w:r w:rsidRPr="00990FB6">
        <w:rPr>
          <w:bCs/>
          <w:sz w:val="22"/>
          <w:szCs w:val="22"/>
        </w:rPr>
        <w:t>“</w:t>
      </w:r>
      <w:r w:rsidRPr="00990FB6">
        <w:rPr>
          <w:b/>
          <w:sz w:val="22"/>
          <w:szCs w:val="22"/>
          <w:lang w:val="es-CR"/>
        </w:rPr>
        <w:t>(…)</w:t>
      </w:r>
    </w:p>
    <w:p w14:paraId="190C34B2" w14:textId="77777777" w:rsidR="00B15F7D" w:rsidRPr="00990FB6" w:rsidRDefault="00B15F7D" w:rsidP="00B15F7D">
      <w:pPr>
        <w:ind w:left="851" w:right="851" w:firstLine="709"/>
        <w:jc w:val="both"/>
        <w:rPr>
          <w:b/>
          <w:bCs/>
          <w:color w:val="FF0000"/>
          <w:sz w:val="22"/>
          <w:szCs w:val="22"/>
        </w:rPr>
      </w:pPr>
    </w:p>
    <w:p w14:paraId="044E409F" w14:textId="77777777" w:rsidR="00B15F7D" w:rsidRPr="00990FB6" w:rsidRDefault="00B15F7D" w:rsidP="00B15F7D">
      <w:pPr>
        <w:ind w:left="851" w:right="851" w:firstLine="709"/>
        <w:jc w:val="both"/>
        <w:rPr>
          <w:b/>
          <w:bCs/>
          <w:sz w:val="22"/>
          <w:szCs w:val="22"/>
        </w:rPr>
      </w:pPr>
      <w:r w:rsidRPr="00990FB6">
        <w:rPr>
          <w:b/>
          <w:bCs/>
          <w:sz w:val="22"/>
          <w:szCs w:val="22"/>
        </w:rPr>
        <w:t xml:space="preserve">DOCUMENTO </w:t>
      </w:r>
      <w:proofErr w:type="spellStart"/>
      <w:r w:rsidRPr="00990FB6">
        <w:rPr>
          <w:b/>
          <w:bCs/>
          <w:sz w:val="22"/>
          <w:szCs w:val="22"/>
        </w:rPr>
        <w:t>N°</w:t>
      </w:r>
      <w:proofErr w:type="spellEnd"/>
      <w:r w:rsidRPr="00990FB6">
        <w:rPr>
          <w:b/>
          <w:bCs/>
          <w:sz w:val="22"/>
          <w:szCs w:val="22"/>
        </w:rPr>
        <w:t xml:space="preserve"> 3911-2023</w:t>
      </w:r>
    </w:p>
    <w:p w14:paraId="4911D0D4" w14:textId="77777777" w:rsidR="00B15F7D" w:rsidRPr="00990FB6" w:rsidRDefault="00B15F7D" w:rsidP="00B15F7D">
      <w:pPr>
        <w:ind w:left="851" w:right="851" w:firstLine="709"/>
        <w:jc w:val="both"/>
        <w:rPr>
          <w:sz w:val="22"/>
          <w:szCs w:val="22"/>
        </w:rPr>
      </w:pPr>
    </w:p>
    <w:p w14:paraId="4B853047" w14:textId="77777777" w:rsidR="00B15F7D" w:rsidRPr="00990FB6" w:rsidRDefault="00B15F7D" w:rsidP="00B15F7D">
      <w:pPr>
        <w:ind w:left="851" w:right="851" w:firstLine="709"/>
        <w:jc w:val="both"/>
        <w:rPr>
          <w:sz w:val="22"/>
          <w:szCs w:val="22"/>
        </w:rPr>
      </w:pPr>
      <w:r w:rsidRPr="00990FB6">
        <w:rPr>
          <w:sz w:val="22"/>
          <w:szCs w:val="22"/>
          <w:shd w:val="clear" w:color="auto" w:fill="FFFFFF"/>
        </w:rPr>
        <w:t>La licenciada Nacira Valverde Bermúdez, Directora de Planificación, presentó</w:t>
      </w:r>
      <w:r w:rsidRPr="00990FB6">
        <w:rPr>
          <w:sz w:val="22"/>
          <w:szCs w:val="22"/>
          <w:u w:color="000000"/>
        </w:rPr>
        <w:t xml:space="preserve"> el Anteproyecto de Presupuesto y el Plan Anual Operativo 2023 correspondiente al Área de Informática. </w:t>
      </w:r>
      <w:r w:rsidRPr="00990FB6">
        <w:rPr>
          <w:sz w:val="22"/>
          <w:szCs w:val="22"/>
        </w:rPr>
        <w:t>informe 702-PLA-PP-TR-2023, que dice:</w:t>
      </w:r>
    </w:p>
    <w:p w14:paraId="4F99F6C6" w14:textId="77777777" w:rsidR="00B15F7D" w:rsidRPr="00990FB6" w:rsidRDefault="00B15F7D" w:rsidP="00B15F7D">
      <w:pPr>
        <w:ind w:left="851" w:right="851" w:firstLine="709"/>
        <w:jc w:val="both"/>
        <w:rPr>
          <w:sz w:val="22"/>
          <w:szCs w:val="22"/>
        </w:rPr>
      </w:pPr>
    </w:p>
    <w:p w14:paraId="609CE1BE" w14:textId="77777777" w:rsidR="00B15F7D" w:rsidRPr="00990FB6" w:rsidRDefault="00B15F7D" w:rsidP="00B15F7D">
      <w:pPr>
        <w:numPr>
          <w:ilvl w:val="0"/>
          <w:numId w:val="178"/>
        </w:numPr>
        <w:tabs>
          <w:tab w:val="center" w:pos="2268"/>
          <w:tab w:val="right" w:pos="8504"/>
        </w:tabs>
        <w:suppressAutoHyphens w:val="0"/>
        <w:ind w:left="851" w:right="851" w:firstLine="709"/>
        <w:jc w:val="both"/>
        <w:rPr>
          <w:b/>
          <w:bCs/>
          <w:sz w:val="22"/>
          <w:szCs w:val="22"/>
        </w:rPr>
      </w:pPr>
      <w:r w:rsidRPr="00990FB6">
        <w:rPr>
          <w:b/>
          <w:bCs/>
          <w:sz w:val="22"/>
          <w:szCs w:val="22"/>
        </w:rPr>
        <w:t>“Histórico del Presupuesto del Área de Informática</w:t>
      </w:r>
    </w:p>
    <w:p w14:paraId="7D8D31BA" w14:textId="77777777" w:rsidR="00B15F7D" w:rsidRPr="00990FB6" w:rsidRDefault="00B15F7D" w:rsidP="00B15F7D">
      <w:pPr>
        <w:tabs>
          <w:tab w:val="center" w:pos="2268"/>
          <w:tab w:val="right" w:pos="8504"/>
        </w:tabs>
        <w:suppressAutoHyphens w:val="0"/>
        <w:ind w:left="851" w:right="851" w:firstLine="709"/>
        <w:jc w:val="both"/>
        <w:rPr>
          <w:b/>
          <w:bCs/>
          <w:sz w:val="22"/>
          <w:szCs w:val="22"/>
        </w:rPr>
      </w:pPr>
    </w:p>
    <w:p w14:paraId="2CB9A881" w14:textId="77777777" w:rsidR="00B15F7D" w:rsidRPr="00990FB6" w:rsidRDefault="00B15F7D" w:rsidP="00B15F7D">
      <w:pPr>
        <w:ind w:left="851" w:right="851" w:firstLine="709"/>
        <w:jc w:val="both"/>
        <w:rPr>
          <w:sz w:val="22"/>
          <w:szCs w:val="22"/>
        </w:rPr>
      </w:pPr>
      <w:r w:rsidRPr="00990FB6">
        <w:rPr>
          <w:sz w:val="22"/>
          <w:szCs w:val="22"/>
        </w:rPr>
        <w:t xml:space="preserve">Mediante los oficios N°3010-DTIC-2022 y N°3016-DTIC-2022 ambos con fecha 22 de noviembre del 2022, la Máster Kattia Morales Navarro detalla la propuesta del anteproyecto de presupuesto 2024. </w:t>
      </w:r>
    </w:p>
    <w:p w14:paraId="6982211F" w14:textId="77777777" w:rsidR="00B15F7D" w:rsidRPr="00990FB6" w:rsidRDefault="00B15F7D" w:rsidP="00B15F7D">
      <w:pPr>
        <w:ind w:left="851" w:right="851" w:firstLine="709"/>
        <w:jc w:val="both"/>
        <w:rPr>
          <w:sz w:val="22"/>
          <w:szCs w:val="22"/>
        </w:rPr>
      </w:pPr>
    </w:p>
    <w:p w14:paraId="403D8E4F" w14:textId="77777777" w:rsidR="00B15F7D" w:rsidRPr="00990FB6" w:rsidRDefault="00B15F7D" w:rsidP="00B15F7D">
      <w:pPr>
        <w:ind w:left="851" w:right="851" w:firstLine="709"/>
        <w:jc w:val="both"/>
        <w:rPr>
          <w:sz w:val="22"/>
          <w:szCs w:val="22"/>
        </w:rPr>
      </w:pPr>
      <w:r w:rsidRPr="00990FB6">
        <w:rPr>
          <w:sz w:val="22"/>
          <w:szCs w:val="22"/>
        </w:rPr>
        <w:t xml:space="preserve">En el siguiente cuadro se observa el comportamiento histórico del presupuesto del Área de Informática, en el 2020, 2022 y 2023 los rubros son muy similares, en el año 2021 se muestra una disminución esto como parte de las medidas de contención del gasto aplicadas por el Ministerio de Hacienda. </w:t>
      </w:r>
    </w:p>
    <w:p w14:paraId="148943B2" w14:textId="77777777" w:rsidR="00B15F7D" w:rsidRPr="00990FB6" w:rsidRDefault="00B15F7D" w:rsidP="00B15F7D">
      <w:pPr>
        <w:ind w:left="851" w:right="851" w:firstLine="709"/>
        <w:jc w:val="both"/>
        <w:rPr>
          <w:sz w:val="22"/>
          <w:szCs w:val="22"/>
        </w:rPr>
      </w:pPr>
    </w:p>
    <w:p w14:paraId="70F6B2B7" w14:textId="77777777" w:rsidR="00B15F7D" w:rsidRPr="00990FB6" w:rsidRDefault="00B15F7D" w:rsidP="00B15F7D">
      <w:pPr>
        <w:ind w:left="851" w:right="851" w:firstLine="709"/>
        <w:jc w:val="both"/>
        <w:rPr>
          <w:b/>
          <w:bCs/>
          <w:sz w:val="22"/>
          <w:szCs w:val="22"/>
        </w:rPr>
      </w:pPr>
      <w:r w:rsidRPr="00990FB6">
        <w:rPr>
          <w:sz w:val="22"/>
          <w:szCs w:val="22"/>
        </w:rPr>
        <w:t>Para el período 2024 el monto solicitado asciende a ₡14.770.278.525</w:t>
      </w:r>
      <w:r w:rsidRPr="00990FB6">
        <w:rPr>
          <w:b/>
          <w:bCs/>
          <w:sz w:val="22"/>
          <w:szCs w:val="22"/>
        </w:rPr>
        <w:t xml:space="preserve">, lo cual representa un incremento del 54,03% con respecto al del 2023, esto es un aumento </w:t>
      </w:r>
      <w:proofErr w:type="gramStart"/>
      <w:r w:rsidRPr="00990FB6">
        <w:rPr>
          <w:b/>
          <w:bCs/>
          <w:sz w:val="22"/>
          <w:szCs w:val="22"/>
        </w:rPr>
        <w:t>de  ₡</w:t>
      </w:r>
      <w:proofErr w:type="gramEnd"/>
      <w:r w:rsidRPr="00990FB6">
        <w:rPr>
          <w:b/>
          <w:bCs/>
          <w:sz w:val="22"/>
          <w:szCs w:val="22"/>
        </w:rPr>
        <w:t>5.181.092.218.</w:t>
      </w:r>
    </w:p>
    <w:p w14:paraId="43331961" w14:textId="77777777" w:rsidR="00B15F7D" w:rsidRPr="00990FB6" w:rsidRDefault="00B15F7D" w:rsidP="00B15F7D">
      <w:pPr>
        <w:ind w:left="851" w:right="851" w:firstLine="709"/>
        <w:jc w:val="both"/>
        <w:rPr>
          <w:sz w:val="22"/>
          <w:szCs w:val="22"/>
        </w:rPr>
      </w:pPr>
    </w:p>
    <w:p w14:paraId="1A6184AB"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403EE4C9" wp14:editId="47DBC118">
            <wp:extent cx="4305300" cy="847090"/>
            <wp:effectExtent l="0" t="0" r="0" b="0"/>
            <wp:docPr id="544029912" name="Imagen 5440299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101"/>
                    <a:stretch>
                      <a:fillRect/>
                    </a:stretch>
                  </pic:blipFill>
                  <pic:spPr>
                    <a:xfrm>
                      <a:off x="0" y="0"/>
                      <a:ext cx="4363504" cy="858542"/>
                    </a:xfrm>
                    <a:prstGeom prst="rect">
                      <a:avLst/>
                    </a:prstGeom>
                  </pic:spPr>
                </pic:pic>
              </a:graphicData>
            </a:graphic>
          </wp:inline>
        </w:drawing>
      </w:r>
    </w:p>
    <w:p w14:paraId="2A2B5336" w14:textId="77777777" w:rsidR="00B15F7D" w:rsidRPr="00990FB6" w:rsidRDefault="00B15F7D" w:rsidP="00B15F7D">
      <w:pPr>
        <w:ind w:left="851" w:right="851" w:firstLine="709"/>
        <w:rPr>
          <w:sz w:val="22"/>
          <w:szCs w:val="22"/>
        </w:rPr>
      </w:pPr>
    </w:p>
    <w:p w14:paraId="5B241635" w14:textId="77777777" w:rsidR="00B15F7D" w:rsidRPr="00990FB6" w:rsidRDefault="00B15F7D" w:rsidP="00B15F7D">
      <w:pPr>
        <w:ind w:left="851" w:right="851" w:firstLine="709"/>
        <w:jc w:val="both"/>
        <w:rPr>
          <w:sz w:val="22"/>
          <w:szCs w:val="22"/>
        </w:rPr>
      </w:pPr>
      <w:r w:rsidRPr="00990FB6">
        <w:rPr>
          <w:sz w:val="22"/>
          <w:szCs w:val="22"/>
        </w:rPr>
        <w:t>Adicionalmente, también se debe considerar que como parte de este presupuesto por parte del Programa 951 Administración del Fondo de Jubilaciones y Pensiones se están incluyendo ₡10.293.286, monto que se financia con recursos propios de la JUNAFO.</w:t>
      </w:r>
    </w:p>
    <w:p w14:paraId="1274D60F" w14:textId="77777777" w:rsidR="00B15F7D" w:rsidRPr="00990FB6" w:rsidRDefault="00B15F7D" w:rsidP="00B15F7D">
      <w:pPr>
        <w:ind w:left="851" w:right="851" w:firstLine="709"/>
        <w:jc w:val="both"/>
        <w:rPr>
          <w:sz w:val="22"/>
          <w:szCs w:val="22"/>
        </w:rPr>
      </w:pPr>
    </w:p>
    <w:p w14:paraId="2744B905"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Información General</w:t>
      </w:r>
    </w:p>
    <w:p w14:paraId="127AB7CE" w14:textId="77777777" w:rsidR="00B15F7D" w:rsidRPr="00990FB6" w:rsidRDefault="00B15F7D" w:rsidP="00B15F7D">
      <w:pPr>
        <w:ind w:left="851" w:right="851" w:firstLine="709"/>
        <w:jc w:val="both"/>
        <w:rPr>
          <w:sz w:val="22"/>
          <w:szCs w:val="22"/>
        </w:rPr>
      </w:pPr>
    </w:p>
    <w:p w14:paraId="08EA1C27" w14:textId="77777777" w:rsidR="00B15F7D" w:rsidRPr="00990FB6" w:rsidRDefault="00B15F7D" w:rsidP="00B15F7D">
      <w:pPr>
        <w:ind w:left="851" w:right="851" w:firstLine="709"/>
        <w:jc w:val="both"/>
        <w:rPr>
          <w:sz w:val="22"/>
          <w:szCs w:val="22"/>
        </w:rPr>
      </w:pPr>
      <w:r w:rsidRPr="00990FB6">
        <w:rPr>
          <w:sz w:val="22"/>
          <w:szCs w:val="22"/>
        </w:rPr>
        <w:t xml:space="preserve">En primer lugar, es importante traer a colación el acuerdo del Consejo Superior, en el que se conoció el informe 1079-PLA-PP-2022 en el que se comunicó lo siguiente: </w:t>
      </w:r>
    </w:p>
    <w:p w14:paraId="1846AE21" w14:textId="77777777" w:rsidR="00B15F7D" w:rsidRPr="00990FB6" w:rsidRDefault="00B15F7D" w:rsidP="00B15F7D">
      <w:pPr>
        <w:tabs>
          <w:tab w:val="left" w:pos="1134"/>
        </w:tabs>
        <w:ind w:left="851" w:right="851" w:firstLine="709"/>
        <w:jc w:val="both"/>
        <w:rPr>
          <w:sz w:val="22"/>
          <w:szCs w:val="22"/>
        </w:rPr>
      </w:pPr>
    </w:p>
    <w:p w14:paraId="6A92F709" w14:textId="77777777" w:rsidR="00B15F7D" w:rsidRPr="00990FB6" w:rsidRDefault="00B15F7D" w:rsidP="00B15F7D">
      <w:pPr>
        <w:ind w:left="851" w:right="851" w:firstLine="709"/>
        <w:jc w:val="both"/>
        <w:rPr>
          <w:i/>
          <w:iCs/>
          <w:sz w:val="22"/>
          <w:szCs w:val="22"/>
        </w:rPr>
      </w:pPr>
      <w:r w:rsidRPr="00990FB6">
        <w:rPr>
          <w:i/>
          <w:iCs/>
          <w:sz w:val="22"/>
          <w:szCs w:val="22"/>
        </w:rPr>
        <w:t xml:space="preserve">“(…) </w:t>
      </w:r>
    </w:p>
    <w:p w14:paraId="231C0650" w14:textId="77777777" w:rsidR="00B15F7D" w:rsidRPr="00990FB6" w:rsidRDefault="00B15F7D" w:rsidP="00B15F7D">
      <w:pPr>
        <w:ind w:left="851" w:right="851" w:firstLine="709"/>
        <w:jc w:val="both"/>
        <w:rPr>
          <w:i/>
          <w:iCs/>
          <w:sz w:val="22"/>
          <w:szCs w:val="22"/>
        </w:rPr>
      </w:pPr>
    </w:p>
    <w:p w14:paraId="052AF013" w14:textId="77777777" w:rsidR="00B15F7D" w:rsidRPr="00990FB6" w:rsidRDefault="00B15F7D" w:rsidP="00B15F7D">
      <w:pPr>
        <w:ind w:left="851" w:right="851" w:firstLine="709"/>
        <w:jc w:val="both"/>
        <w:rPr>
          <w:i/>
          <w:iCs/>
          <w:sz w:val="22"/>
          <w:szCs w:val="22"/>
        </w:rPr>
      </w:pPr>
      <w:r w:rsidRPr="00990FB6">
        <w:rPr>
          <w:i/>
          <w:iCs/>
          <w:sz w:val="22"/>
          <w:szCs w:val="22"/>
        </w:rPr>
        <w:t>“Para efectos del proceso de formulación presupuestaria 2024, se presenta este informe para elevar a conocimiento del Consejo Superior, en el cual se analizan las expectativas inflacionarias para el período a formular, tomando como base de análisis la revisión del Informe de Política Monetaria 2022 aprobado en enero de este año por el Banco Central de Costa Rica y su correspondiente revisión o actualización del mes de julio.</w:t>
      </w:r>
    </w:p>
    <w:p w14:paraId="5B48C78B" w14:textId="77777777" w:rsidR="00B15F7D" w:rsidRPr="00990FB6" w:rsidRDefault="00B15F7D" w:rsidP="00B15F7D">
      <w:pPr>
        <w:ind w:left="851" w:right="851" w:firstLine="709"/>
        <w:jc w:val="both"/>
        <w:rPr>
          <w:i/>
          <w:iCs/>
          <w:sz w:val="22"/>
          <w:szCs w:val="22"/>
        </w:rPr>
      </w:pPr>
    </w:p>
    <w:p w14:paraId="121BF3A5" w14:textId="77777777" w:rsidR="00B15F7D" w:rsidRPr="00990FB6" w:rsidRDefault="00B15F7D" w:rsidP="00B15F7D">
      <w:pPr>
        <w:ind w:left="851" w:right="851" w:firstLine="709"/>
        <w:jc w:val="both"/>
        <w:rPr>
          <w:i/>
          <w:iCs/>
          <w:sz w:val="22"/>
          <w:szCs w:val="22"/>
        </w:rPr>
      </w:pPr>
      <w:r w:rsidRPr="00990FB6">
        <w:rPr>
          <w:i/>
          <w:iCs/>
          <w:sz w:val="22"/>
          <w:szCs w:val="22"/>
        </w:rPr>
        <w:t xml:space="preserve">La estimación de la inflación se realiza con el fin de aplicarla a los precios de los artículos del Catálogo de Bienes y Servicios, que sirven de base para realizar la formulación presupuestaria, en este caso la del 2024. </w:t>
      </w:r>
    </w:p>
    <w:p w14:paraId="555EB3BE" w14:textId="77777777" w:rsidR="00B15F7D" w:rsidRPr="00990FB6" w:rsidRDefault="00B15F7D" w:rsidP="00B15F7D">
      <w:pPr>
        <w:tabs>
          <w:tab w:val="left" w:pos="720"/>
          <w:tab w:val="left" w:pos="1080"/>
        </w:tabs>
        <w:autoSpaceDE w:val="0"/>
        <w:autoSpaceDN w:val="0"/>
        <w:adjustRightInd w:val="0"/>
        <w:ind w:left="851" w:right="851" w:firstLine="709"/>
        <w:jc w:val="both"/>
        <w:rPr>
          <w:i/>
          <w:iCs/>
          <w:sz w:val="22"/>
          <w:szCs w:val="22"/>
        </w:rPr>
      </w:pPr>
    </w:p>
    <w:p w14:paraId="2D225FB5" w14:textId="77777777" w:rsidR="00B15F7D" w:rsidRPr="00990FB6" w:rsidRDefault="00B15F7D" w:rsidP="00B15F7D">
      <w:pPr>
        <w:ind w:left="851" w:right="851" w:firstLine="709"/>
        <w:jc w:val="both"/>
        <w:rPr>
          <w:i/>
          <w:iCs/>
          <w:sz w:val="22"/>
          <w:szCs w:val="22"/>
        </w:rPr>
      </w:pPr>
      <w:r w:rsidRPr="00990FB6">
        <w:rPr>
          <w:i/>
          <w:iCs/>
          <w:sz w:val="22"/>
          <w:szCs w:val="22"/>
        </w:rPr>
        <w:t xml:space="preserve">En esta ocasión se tiene que nuevamente el panorama para el 2024 continua siendo complejo, dado que según estimaciones realizadas por el Banco Central, las que se incluyen en el Informe de Política Monetaria publicado en enero 2022, en lo que se refiere a la deuda del Gobierno Central, para el 2022 se proyecta que esta pueda ser del 70,3% del Producto Interno Bruto (PIB), lo que implicaría que de acuerdo a lo establecido en el Artículo 11 de la Ley 9635 de Fortalecimiento de las </w:t>
      </w:r>
      <w:r w:rsidRPr="00990FB6">
        <w:rPr>
          <w:i/>
          <w:iCs/>
          <w:sz w:val="22"/>
          <w:szCs w:val="22"/>
        </w:rPr>
        <w:lastRenderedPageBreak/>
        <w:t xml:space="preserve">Finanzas Públicas, para el cálculo del crecimiento del gasto total, por tercer año consecutivo se aplicaría el inciso “D”, que establece un crecimiento máximo en el gasto total del 65% del promedio del crecimiento del PIB. </w:t>
      </w:r>
    </w:p>
    <w:p w14:paraId="1ABE7ADF" w14:textId="77777777" w:rsidR="00B15F7D" w:rsidRPr="00990FB6" w:rsidRDefault="00B15F7D" w:rsidP="00B15F7D">
      <w:pPr>
        <w:ind w:left="851" w:right="851" w:firstLine="709"/>
        <w:jc w:val="both"/>
        <w:rPr>
          <w:i/>
          <w:iCs/>
          <w:sz w:val="22"/>
          <w:szCs w:val="22"/>
        </w:rPr>
      </w:pPr>
    </w:p>
    <w:p w14:paraId="187C87DE" w14:textId="77777777" w:rsidR="00B15F7D" w:rsidRPr="00990FB6" w:rsidRDefault="00B15F7D" w:rsidP="00B15F7D">
      <w:pPr>
        <w:ind w:left="851" w:right="851" w:firstLine="709"/>
        <w:jc w:val="both"/>
        <w:rPr>
          <w:i/>
          <w:iCs/>
          <w:sz w:val="22"/>
          <w:szCs w:val="22"/>
        </w:rPr>
      </w:pPr>
      <w:r w:rsidRPr="00990FB6">
        <w:rPr>
          <w:i/>
          <w:iCs/>
          <w:sz w:val="22"/>
          <w:szCs w:val="22"/>
        </w:rPr>
        <w:t>En este sentido y para más claridad sobre el tema, se tiene que para el ejercicio presupuestario 2020 que fue el primero en que se aplicó la Regla Fiscal, el Ministerio de Hacienda estableció un crecimiento máximo del gasto corriente del 4,67% y para el 2021 del 4,13%, mientras que a partir del 2022 el límite de crecimiento se estableció sobre el gasto total, siendo en ese año del 1,96% y para 2023 del 2,56%, en todos los períodos este incremento aplicó de forma agregada al presupuesto total del Gobierno Central, y no de forma individual por Institución.</w:t>
      </w:r>
    </w:p>
    <w:p w14:paraId="7C7514BB" w14:textId="77777777" w:rsidR="00B15F7D" w:rsidRPr="00990FB6" w:rsidRDefault="00B15F7D" w:rsidP="00B15F7D">
      <w:pPr>
        <w:ind w:left="851" w:right="851" w:firstLine="709"/>
        <w:jc w:val="both"/>
        <w:rPr>
          <w:i/>
          <w:iCs/>
          <w:sz w:val="22"/>
          <w:szCs w:val="22"/>
        </w:rPr>
      </w:pPr>
    </w:p>
    <w:p w14:paraId="32A935E8" w14:textId="77777777" w:rsidR="00B15F7D" w:rsidRPr="00990FB6" w:rsidRDefault="00B15F7D" w:rsidP="00B15F7D">
      <w:pPr>
        <w:ind w:left="851" w:right="851" w:firstLine="709"/>
        <w:jc w:val="both"/>
        <w:rPr>
          <w:i/>
          <w:iCs/>
          <w:sz w:val="22"/>
          <w:szCs w:val="22"/>
        </w:rPr>
      </w:pPr>
      <w:r w:rsidRPr="00990FB6">
        <w:rPr>
          <w:i/>
          <w:iCs/>
          <w:sz w:val="22"/>
          <w:szCs w:val="22"/>
        </w:rPr>
        <w:t>Para el 2024 y de acuerdo con el PIB estimado por el Banco Central para el 2022, el crecimiento promedio de este durante los últimos cuatro períodos (que es el que utiliza la Regla Fiscal) sería de 2,39%, por lo que si se le aplica el porcentaje máximo de incremento establecido en el inciso “D” del artículo 11 de la Ley 9635, que es de un 65%, el crecimiento máximo agregado del gasto corriente del Gobierno Central se podría estimar de forma preliminar en un 1,55%.</w:t>
      </w:r>
    </w:p>
    <w:p w14:paraId="2085D562" w14:textId="77777777" w:rsidR="00B15F7D" w:rsidRPr="00990FB6" w:rsidRDefault="00B15F7D" w:rsidP="00B15F7D">
      <w:pPr>
        <w:ind w:left="851" w:right="851" w:firstLine="709"/>
        <w:jc w:val="both"/>
        <w:rPr>
          <w:sz w:val="22"/>
          <w:szCs w:val="22"/>
        </w:rPr>
      </w:pPr>
    </w:p>
    <w:p w14:paraId="4957CABF" w14:textId="77777777" w:rsidR="00B15F7D" w:rsidRPr="00990FB6" w:rsidRDefault="00B15F7D" w:rsidP="00B15F7D">
      <w:pPr>
        <w:ind w:left="851" w:right="851" w:firstLine="709"/>
        <w:jc w:val="both"/>
        <w:rPr>
          <w:i/>
          <w:iCs/>
          <w:sz w:val="22"/>
          <w:szCs w:val="22"/>
        </w:rPr>
      </w:pPr>
      <w:r w:rsidRPr="00990FB6">
        <w:rPr>
          <w:rFonts w:eastAsia="Calibri"/>
          <w:i/>
          <w:iCs/>
          <w:noProof/>
          <w:sz w:val="22"/>
          <w:szCs w:val="22"/>
          <w:lang w:eastAsia="es-ES"/>
        </w:rPr>
        <w:drawing>
          <wp:anchor distT="0" distB="0" distL="114300" distR="114300" simplePos="0" relativeHeight="251671040" behindDoc="0" locked="0" layoutInCell="1" allowOverlap="1" wp14:anchorId="548B99E6" wp14:editId="0A9BE0C7">
            <wp:simplePos x="0" y="0"/>
            <wp:positionH relativeFrom="margin">
              <wp:align>center</wp:align>
            </wp:positionH>
            <wp:positionV relativeFrom="paragraph">
              <wp:posOffset>892175</wp:posOffset>
            </wp:positionV>
            <wp:extent cx="4220210" cy="1641475"/>
            <wp:effectExtent l="0" t="0" r="8890" b="0"/>
            <wp:wrapSquare wrapText="left"/>
            <wp:docPr id="1100526579" name="Imagen 11005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20210" cy="1641475"/>
                    </a:xfrm>
                    <a:prstGeom prst="rect">
                      <a:avLst/>
                    </a:prstGeom>
                    <a:noFill/>
                  </pic:spPr>
                </pic:pic>
              </a:graphicData>
            </a:graphic>
            <wp14:sizeRelH relativeFrom="page">
              <wp14:pctWidth>0</wp14:pctWidth>
            </wp14:sizeRelH>
            <wp14:sizeRelV relativeFrom="page">
              <wp14:pctHeight>0</wp14:pctHeight>
            </wp14:sizeRelV>
          </wp:anchor>
        </w:drawing>
      </w:r>
      <w:r w:rsidRPr="00990FB6">
        <w:rPr>
          <w:i/>
          <w:iCs/>
          <w:sz w:val="22"/>
          <w:szCs w:val="22"/>
        </w:rPr>
        <w:t>A partir de este cálculo habría que estar a la espera del presupuesto límite que comunique el Ministerio de Hacienda. Seguidamente se presentan los datos del PIB y los porcentajes que aplicarían para el 2024.</w:t>
      </w:r>
    </w:p>
    <w:p w14:paraId="4809D96D" w14:textId="77777777" w:rsidR="00B15F7D" w:rsidRPr="00990FB6" w:rsidRDefault="00B15F7D" w:rsidP="00B15F7D">
      <w:pPr>
        <w:ind w:left="851" w:right="851" w:firstLine="709"/>
        <w:jc w:val="both"/>
        <w:rPr>
          <w:i/>
          <w:iCs/>
          <w:sz w:val="22"/>
          <w:szCs w:val="22"/>
        </w:rPr>
      </w:pPr>
    </w:p>
    <w:p w14:paraId="3CE714D9" w14:textId="77777777" w:rsidR="00B15F7D" w:rsidRPr="00990FB6" w:rsidRDefault="00B15F7D" w:rsidP="00B15F7D">
      <w:pPr>
        <w:ind w:left="851" w:right="851" w:firstLine="709"/>
        <w:jc w:val="both"/>
        <w:rPr>
          <w:i/>
          <w:iCs/>
          <w:sz w:val="22"/>
          <w:szCs w:val="22"/>
        </w:rPr>
      </w:pPr>
      <w:r w:rsidRPr="00990FB6">
        <w:rPr>
          <w:i/>
          <w:iCs/>
          <w:sz w:val="22"/>
          <w:szCs w:val="22"/>
        </w:rPr>
        <w:t>A continuación, se presenta el panorama actual del presupuesto 2023 pendiente de aprobación definitiva en la Asamblea Legislativa, respecto al asignado en 2022, tanto a nivel general como también desagregado en gasto corriente y gasto de capital. Para el presupuesto 2023, se considera el remitido al Plenario Legislativo por la Comisión de Asuntos Hacendarios el día 19 de octubre de 2022.</w:t>
      </w:r>
    </w:p>
    <w:p w14:paraId="0817920A" w14:textId="77777777" w:rsidR="00B15F7D" w:rsidRPr="00990FB6" w:rsidRDefault="00B15F7D" w:rsidP="00B15F7D">
      <w:pPr>
        <w:ind w:left="851" w:right="851" w:firstLine="709"/>
        <w:jc w:val="both"/>
        <w:rPr>
          <w:i/>
          <w:iCs/>
          <w:sz w:val="22"/>
          <w:szCs w:val="22"/>
        </w:rPr>
      </w:pPr>
    </w:p>
    <w:p w14:paraId="0B4A4EDF" w14:textId="77777777" w:rsidR="00B15F7D" w:rsidRPr="00990FB6" w:rsidRDefault="00B15F7D" w:rsidP="00B15F7D">
      <w:pPr>
        <w:keepNext/>
        <w:ind w:left="851" w:right="851" w:firstLine="709"/>
        <w:jc w:val="center"/>
        <w:rPr>
          <w:rFonts w:eastAsia="Calibri"/>
          <w:i/>
          <w:iCs/>
          <w:sz w:val="22"/>
          <w:szCs w:val="22"/>
          <w:lang w:eastAsia="es-CR"/>
        </w:rPr>
      </w:pPr>
      <w:r w:rsidRPr="00990FB6">
        <w:rPr>
          <w:i/>
          <w:iCs/>
          <w:noProof/>
          <w:sz w:val="22"/>
          <w:szCs w:val="22"/>
          <w:lang w:eastAsia="es-ES"/>
        </w:rPr>
        <w:lastRenderedPageBreak/>
        <w:drawing>
          <wp:inline distT="0" distB="0" distL="0" distR="0" wp14:anchorId="190AEC11" wp14:editId="530EFD60">
            <wp:extent cx="3981450" cy="1219835"/>
            <wp:effectExtent l="0" t="0" r="0" b="0"/>
            <wp:docPr id="774929793" name="Imagen 774929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14834" cy="1230063"/>
                    </a:xfrm>
                    <a:prstGeom prst="rect">
                      <a:avLst/>
                    </a:prstGeom>
                    <a:noFill/>
                    <a:ln>
                      <a:noFill/>
                    </a:ln>
                  </pic:spPr>
                </pic:pic>
              </a:graphicData>
            </a:graphic>
          </wp:inline>
        </w:drawing>
      </w:r>
    </w:p>
    <w:p w14:paraId="3CC06E32" w14:textId="77777777" w:rsidR="00B15F7D" w:rsidRPr="00990FB6" w:rsidRDefault="00B15F7D" w:rsidP="00B15F7D">
      <w:pPr>
        <w:keepNext/>
        <w:tabs>
          <w:tab w:val="num" w:pos="0"/>
        </w:tabs>
        <w:ind w:left="851" w:right="851" w:firstLine="709"/>
        <w:jc w:val="both"/>
        <w:rPr>
          <w:rFonts w:eastAsia="Calibri"/>
          <w:i/>
          <w:iCs/>
          <w:sz w:val="22"/>
          <w:szCs w:val="22"/>
          <w:lang w:eastAsia="es-CR"/>
        </w:rPr>
      </w:pPr>
    </w:p>
    <w:p w14:paraId="3D503BF2" w14:textId="77777777" w:rsidR="00B15F7D" w:rsidRPr="00990FB6" w:rsidRDefault="00B15F7D" w:rsidP="00B15F7D">
      <w:pPr>
        <w:ind w:left="851" w:right="851" w:firstLine="709"/>
        <w:jc w:val="both"/>
        <w:rPr>
          <w:i/>
          <w:iCs/>
          <w:sz w:val="22"/>
          <w:szCs w:val="22"/>
        </w:rPr>
      </w:pPr>
      <w:r w:rsidRPr="00990FB6">
        <w:rPr>
          <w:i/>
          <w:iCs/>
          <w:sz w:val="22"/>
          <w:szCs w:val="22"/>
        </w:rPr>
        <w:t>De acuerdo con lo expuesto anteriormente y como conclusión general, es que se considera prudente recomendar que para el 2024 al igual que en los dos períodos anteriores, tampoco se aplique inflación a los precios de los artículos del Catálogo de Bienes y Servicios; además, de que es importante recordar que este Catálogo se encuentra en constante actualización y los precios que refleja para cada uno de sus artículos son los de la última compra realizada.</w:t>
      </w:r>
    </w:p>
    <w:p w14:paraId="4A188D34" w14:textId="77777777" w:rsidR="00B15F7D" w:rsidRPr="00990FB6" w:rsidRDefault="00B15F7D" w:rsidP="00B15F7D">
      <w:pPr>
        <w:ind w:left="851" w:right="851" w:firstLine="709"/>
        <w:jc w:val="both"/>
        <w:rPr>
          <w:i/>
          <w:iCs/>
          <w:sz w:val="22"/>
          <w:szCs w:val="22"/>
        </w:rPr>
      </w:pPr>
    </w:p>
    <w:p w14:paraId="2AEDD903" w14:textId="77777777" w:rsidR="00B15F7D" w:rsidRPr="00990FB6" w:rsidRDefault="00B15F7D" w:rsidP="00B15F7D">
      <w:pPr>
        <w:ind w:left="851" w:right="851" w:firstLine="709"/>
        <w:jc w:val="both"/>
        <w:rPr>
          <w:i/>
          <w:iCs/>
          <w:sz w:val="22"/>
          <w:szCs w:val="22"/>
        </w:rPr>
      </w:pPr>
      <w:r w:rsidRPr="00990FB6">
        <w:rPr>
          <w:i/>
          <w:iCs/>
          <w:sz w:val="22"/>
          <w:szCs w:val="22"/>
        </w:rPr>
        <w:t>De esta forma, para presupuesto 2024, la Dirección de Planificación solicita a la Dirección de Tecnología de la Información que se active en el Sistema SIGA-PJ el proceso de actualización de precios en la formulación presupuestaria, proceso que se desactiva en la fecha límite que tienen los Centros de Responsabilidad para hacer entrega del presupuesto vía Sistema a la Dirección de Planificación, que para esta ocasión estaría prevista para el viernes 13 de enero de 2023.</w:t>
      </w:r>
    </w:p>
    <w:p w14:paraId="01AB08C2" w14:textId="77777777" w:rsidR="00B15F7D" w:rsidRPr="00990FB6" w:rsidRDefault="00B15F7D" w:rsidP="00B15F7D">
      <w:pPr>
        <w:ind w:left="851" w:right="851" w:firstLine="709"/>
        <w:jc w:val="both"/>
        <w:rPr>
          <w:i/>
          <w:iCs/>
          <w:sz w:val="22"/>
          <w:szCs w:val="22"/>
        </w:rPr>
      </w:pPr>
    </w:p>
    <w:p w14:paraId="197BA497" w14:textId="77777777" w:rsidR="00B15F7D" w:rsidRPr="00990FB6" w:rsidRDefault="00B15F7D" w:rsidP="00B15F7D">
      <w:pPr>
        <w:tabs>
          <w:tab w:val="left" w:pos="1134"/>
        </w:tabs>
        <w:ind w:left="851" w:right="851" w:firstLine="709"/>
        <w:jc w:val="both"/>
        <w:rPr>
          <w:b/>
          <w:bCs/>
          <w:i/>
          <w:iCs/>
          <w:sz w:val="22"/>
          <w:szCs w:val="22"/>
        </w:rPr>
      </w:pPr>
      <w:r w:rsidRPr="00990FB6">
        <w:rPr>
          <w:b/>
          <w:bCs/>
          <w:i/>
          <w:iCs/>
          <w:sz w:val="22"/>
          <w:szCs w:val="22"/>
        </w:rPr>
        <w:t>Considerando la difícil situación fiscal que se vislumbra continúe para 2024, y la experiencia que se ha tenido en el proceso de formulación 2023, para establecer el límite a formular por parte de cada uno de los Centros de Responsabilidad, se propone que el presupuesto máximo autorizado sea igual al que finalmente quedó aprobado para el 2023, o sea con cero crecimiento.</w:t>
      </w:r>
    </w:p>
    <w:p w14:paraId="3765EB7B" w14:textId="77777777" w:rsidR="00B15F7D" w:rsidRPr="00990FB6" w:rsidRDefault="00B15F7D" w:rsidP="00B15F7D">
      <w:pPr>
        <w:tabs>
          <w:tab w:val="left" w:pos="1134"/>
        </w:tabs>
        <w:ind w:left="851" w:right="851" w:firstLine="709"/>
        <w:jc w:val="both"/>
        <w:rPr>
          <w:b/>
          <w:bCs/>
          <w:i/>
          <w:iCs/>
          <w:sz w:val="22"/>
          <w:szCs w:val="22"/>
        </w:rPr>
      </w:pPr>
    </w:p>
    <w:p w14:paraId="5C07A81F" w14:textId="77777777" w:rsidR="00B15F7D" w:rsidRPr="00990FB6" w:rsidRDefault="00B15F7D" w:rsidP="00B15F7D">
      <w:pPr>
        <w:tabs>
          <w:tab w:val="left" w:pos="1134"/>
        </w:tabs>
        <w:ind w:left="851" w:right="851" w:firstLine="709"/>
        <w:jc w:val="both"/>
        <w:rPr>
          <w:b/>
          <w:bCs/>
          <w:i/>
          <w:iCs/>
          <w:sz w:val="22"/>
          <w:szCs w:val="22"/>
        </w:rPr>
      </w:pPr>
      <w:r w:rsidRPr="00990FB6">
        <w:rPr>
          <w:b/>
          <w:bCs/>
          <w:i/>
          <w:iCs/>
          <w:sz w:val="22"/>
          <w:szCs w:val="22"/>
        </w:rPr>
        <w:t>Este monto será el equivalente al gasto variable total aprobado para el 2023 (</w:t>
      </w:r>
      <w:r w:rsidRPr="00990FB6">
        <w:rPr>
          <w:b/>
          <w:bCs/>
          <w:i/>
          <w:iCs/>
          <w:sz w:val="22"/>
          <w:szCs w:val="22"/>
          <w:u w:val="single"/>
        </w:rPr>
        <w:t>excluyendo</w:t>
      </w:r>
      <w:r w:rsidRPr="00990FB6">
        <w:rPr>
          <w:b/>
          <w:bCs/>
          <w:i/>
          <w:iCs/>
          <w:sz w:val="22"/>
          <w:szCs w:val="22"/>
        </w:rPr>
        <w:t xml:space="preserve"> lo correspondiente a los recursos del Programa 951 Administración Fondo de Jubilaciones y Pensiones que se financian con ingresos propios del Fondo). </w:t>
      </w:r>
    </w:p>
    <w:p w14:paraId="2CC99052" w14:textId="77777777" w:rsidR="00B15F7D" w:rsidRPr="00990FB6" w:rsidRDefault="00B15F7D" w:rsidP="00B15F7D">
      <w:pPr>
        <w:tabs>
          <w:tab w:val="left" w:pos="1134"/>
        </w:tabs>
        <w:ind w:left="851" w:right="851" w:firstLine="709"/>
        <w:jc w:val="both"/>
        <w:rPr>
          <w:i/>
          <w:iCs/>
          <w:sz w:val="22"/>
          <w:szCs w:val="22"/>
        </w:rPr>
      </w:pPr>
    </w:p>
    <w:p w14:paraId="4BB25236" w14:textId="77777777" w:rsidR="00B15F7D" w:rsidRPr="00990FB6" w:rsidRDefault="00B15F7D" w:rsidP="00B15F7D">
      <w:pPr>
        <w:tabs>
          <w:tab w:val="left" w:pos="1134"/>
        </w:tabs>
        <w:ind w:left="851" w:right="851" w:firstLine="709"/>
        <w:jc w:val="both"/>
        <w:rPr>
          <w:i/>
          <w:iCs/>
          <w:sz w:val="22"/>
          <w:szCs w:val="22"/>
        </w:rPr>
      </w:pPr>
      <w:r w:rsidRPr="00990FB6">
        <w:rPr>
          <w:i/>
          <w:iCs/>
          <w:sz w:val="22"/>
          <w:szCs w:val="22"/>
        </w:rPr>
        <w:t>Posteriormente al establecer el límite de cada Centro de Responsabilidad, al igual que se hizo en los dos años anteriores, se deberá revisar que con el presupuesto disponible se puedan cubrir como mínimo los gastos ineludibles.</w:t>
      </w:r>
      <w:r w:rsidRPr="00990FB6">
        <w:rPr>
          <w:bCs/>
          <w:i/>
          <w:iCs/>
          <w:sz w:val="22"/>
          <w:szCs w:val="22"/>
        </w:rPr>
        <w:t>”</w:t>
      </w:r>
    </w:p>
    <w:p w14:paraId="1308B2D8" w14:textId="77777777" w:rsidR="00B15F7D" w:rsidRPr="00990FB6" w:rsidRDefault="00B15F7D" w:rsidP="00B15F7D">
      <w:pPr>
        <w:ind w:left="851" w:right="851" w:firstLine="709"/>
        <w:jc w:val="both"/>
        <w:rPr>
          <w:bCs/>
          <w:i/>
          <w:iCs/>
          <w:sz w:val="22"/>
          <w:szCs w:val="22"/>
        </w:rPr>
      </w:pPr>
    </w:p>
    <w:p w14:paraId="4FC1B80C" w14:textId="77777777" w:rsidR="00B15F7D" w:rsidRPr="00990FB6" w:rsidRDefault="00B15F7D" w:rsidP="00B15F7D">
      <w:pPr>
        <w:ind w:left="851" w:right="851" w:firstLine="709"/>
        <w:jc w:val="both"/>
        <w:rPr>
          <w:b/>
          <w:bCs/>
          <w:sz w:val="22"/>
          <w:szCs w:val="22"/>
        </w:rPr>
      </w:pPr>
      <w:r w:rsidRPr="00990FB6">
        <w:rPr>
          <w:b/>
          <w:bCs/>
          <w:sz w:val="22"/>
          <w:szCs w:val="22"/>
        </w:rPr>
        <w:t>Al respecto, el Consejo Superior, dispuso:</w:t>
      </w:r>
    </w:p>
    <w:p w14:paraId="55BE8B4F" w14:textId="77777777" w:rsidR="00B15F7D" w:rsidRPr="00990FB6" w:rsidRDefault="00B15F7D" w:rsidP="00B15F7D">
      <w:pPr>
        <w:ind w:left="851" w:right="851" w:firstLine="709"/>
        <w:jc w:val="both"/>
        <w:rPr>
          <w:sz w:val="22"/>
          <w:szCs w:val="22"/>
        </w:rPr>
      </w:pPr>
    </w:p>
    <w:p w14:paraId="09F34592" w14:textId="77777777" w:rsidR="00B15F7D" w:rsidRPr="00990FB6" w:rsidRDefault="00B15F7D" w:rsidP="00B15F7D">
      <w:pPr>
        <w:ind w:left="851" w:right="851" w:firstLine="709"/>
        <w:jc w:val="both"/>
        <w:rPr>
          <w:b/>
          <w:i/>
          <w:iCs/>
          <w:sz w:val="22"/>
          <w:szCs w:val="22"/>
        </w:rPr>
      </w:pPr>
      <w:r w:rsidRPr="00990FB6">
        <w:rPr>
          <w:b/>
          <w:i/>
          <w:iCs/>
          <w:sz w:val="22"/>
          <w:szCs w:val="22"/>
        </w:rPr>
        <w:t xml:space="preserve">Se acordó: 1.) </w:t>
      </w:r>
      <w:r w:rsidRPr="00990FB6">
        <w:rPr>
          <w:bCs/>
          <w:i/>
          <w:iCs/>
          <w:sz w:val="22"/>
          <w:szCs w:val="22"/>
        </w:rPr>
        <w:t xml:space="preserve">Tener por conocido el oficio N°1079-PLA-PP-2022 del 11 de noviembre de 2022, suscrito por el licenciado Minor Alvarado Chaves, Jefe del Subproceso Formulación de Presupuesto y Portafolio de Proyectos Institucionales y el máster Erick Antonio Mora Leiva, Jefe del Proceso de Planeación y Evaluación, ambos de la Dirección de Planificación. </w:t>
      </w:r>
      <w:r w:rsidRPr="00990FB6">
        <w:rPr>
          <w:b/>
          <w:i/>
          <w:iCs/>
          <w:sz w:val="22"/>
          <w:szCs w:val="22"/>
        </w:rPr>
        <w:t>2.)</w:t>
      </w:r>
      <w:r w:rsidRPr="00990FB6">
        <w:rPr>
          <w:bCs/>
          <w:i/>
          <w:iCs/>
          <w:sz w:val="22"/>
          <w:szCs w:val="22"/>
        </w:rPr>
        <w:t xml:space="preserve"> Indicar a los Centros de Responsabilidad del Poder Judicial, que para la formulación presupuestaria del 2024, el presupuesto </w:t>
      </w:r>
      <w:r w:rsidRPr="00990FB6">
        <w:rPr>
          <w:bCs/>
          <w:i/>
          <w:iCs/>
          <w:sz w:val="22"/>
          <w:szCs w:val="22"/>
        </w:rPr>
        <w:lastRenderedPageBreak/>
        <w:t xml:space="preserve">máximo autorizado deberá ser igual al que finalmente quedó aprobado para el 2023, es decir, con cero crecimiento. </w:t>
      </w:r>
      <w:r w:rsidRPr="00990FB6">
        <w:rPr>
          <w:b/>
          <w:i/>
          <w:iCs/>
          <w:sz w:val="22"/>
          <w:szCs w:val="22"/>
        </w:rPr>
        <w:t>Se declara este acuerdo firme”.</w:t>
      </w:r>
    </w:p>
    <w:p w14:paraId="54C0ACC8" w14:textId="77777777" w:rsidR="00B15F7D" w:rsidRPr="00990FB6" w:rsidRDefault="00B15F7D" w:rsidP="00B15F7D">
      <w:pPr>
        <w:ind w:left="851" w:right="851" w:firstLine="709"/>
        <w:jc w:val="both"/>
        <w:rPr>
          <w:b/>
          <w:i/>
          <w:iCs/>
          <w:sz w:val="22"/>
          <w:szCs w:val="22"/>
        </w:rPr>
      </w:pPr>
    </w:p>
    <w:p w14:paraId="7EB15E14" w14:textId="77777777" w:rsidR="00B15F7D" w:rsidRPr="00990FB6" w:rsidRDefault="00B15F7D" w:rsidP="00B15F7D">
      <w:pPr>
        <w:ind w:left="851" w:right="851" w:firstLine="709"/>
        <w:jc w:val="both"/>
        <w:rPr>
          <w:sz w:val="22"/>
          <w:szCs w:val="22"/>
        </w:rPr>
      </w:pPr>
      <w:r w:rsidRPr="00990FB6">
        <w:rPr>
          <w:sz w:val="22"/>
          <w:szCs w:val="22"/>
        </w:rPr>
        <w:t>No obstante lo anterior, la máster Kattia Morales Navarro, en su condición de secretaria de la Comisión Gerencial de Tecnologías de la Información, en oficio N°CGTI-36-2022 del 1 de diciembre del 2022; comunicó a Corte Plena (conocido en la sesión N°63-2022 del 12 de diciembre de 2022) lo siguiente:</w:t>
      </w:r>
    </w:p>
    <w:p w14:paraId="757314E8" w14:textId="77777777" w:rsidR="00B15F7D" w:rsidRPr="00990FB6" w:rsidRDefault="00B15F7D" w:rsidP="00B15F7D">
      <w:pPr>
        <w:ind w:left="851" w:right="851" w:firstLine="709"/>
        <w:jc w:val="both"/>
        <w:rPr>
          <w:sz w:val="22"/>
          <w:szCs w:val="22"/>
        </w:rPr>
      </w:pPr>
    </w:p>
    <w:p w14:paraId="5AF5FAFF" w14:textId="77777777" w:rsidR="00B15F7D" w:rsidRPr="00990FB6" w:rsidRDefault="00B15F7D" w:rsidP="00B15F7D">
      <w:pPr>
        <w:ind w:left="851" w:right="851" w:firstLine="709"/>
        <w:jc w:val="both"/>
        <w:rPr>
          <w:i/>
          <w:iCs/>
          <w:sz w:val="22"/>
          <w:szCs w:val="22"/>
        </w:rPr>
      </w:pPr>
      <w:r w:rsidRPr="00990FB6">
        <w:rPr>
          <w:i/>
          <w:iCs/>
          <w:sz w:val="22"/>
          <w:szCs w:val="22"/>
        </w:rPr>
        <w:t>“(…)</w:t>
      </w:r>
    </w:p>
    <w:p w14:paraId="29AAE613" w14:textId="77777777" w:rsidR="00B15F7D" w:rsidRPr="00990FB6" w:rsidRDefault="00B15F7D" w:rsidP="00B15F7D">
      <w:pPr>
        <w:ind w:left="851" w:right="851" w:firstLine="709"/>
        <w:jc w:val="both"/>
        <w:rPr>
          <w:i/>
          <w:iCs/>
          <w:sz w:val="22"/>
          <w:szCs w:val="22"/>
        </w:rPr>
      </w:pPr>
    </w:p>
    <w:p w14:paraId="1C492DC9" w14:textId="77777777" w:rsidR="00B15F7D" w:rsidRPr="00990FB6" w:rsidRDefault="00B15F7D" w:rsidP="00B15F7D">
      <w:pPr>
        <w:ind w:left="851" w:right="851" w:firstLine="709"/>
        <w:jc w:val="both"/>
        <w:rPr>
          <w:i/>
          <w:iCs/>
          <w:sz w:val="22"/>
          <w:szCs w:val="22"/>
        </w:rPr>
      </w:pPr>
      <w:r w:rsidRPr="00990FB6">
        <w:rPr>
          <w:i/>
          <w:iCs/>
          <w:sz w:val="22"/>
          <w:szCs w:val="22"/>
        </w:rPr>
        <w:t xml:space="preserve">“Para que por su medio se haga del Conocimiento de Corte </w:t>
      </w:r>
      <w:proofErr w:type="gramStart"/>
      <w:r w:rsidRPr="00990FB6">
        <w:rPr>
          <w:i/>
          <w:iCs/>
          <w:sz w:val="22"/>
          <w:szCs w:val="22"/>
        </w:rPr>
        <w:t>Plena,  se</w:t>
      </w:r>
      <w:proofErr w:type="gramEnd"/>
      <w:r w:rsidRPr="00990FB6">
        <w:rPr>
          <w:i/>
          <w:iCs/>
          <w:sz w:val="22"/>
          <w:szCs w:val="22"/>
        </w:rPr>
        <w:t xml:space="preserve"> transcribe el acuerdo tomado por la Comisión Gerencial de Tecnologías de la Información, en la sesión N°11-2022, celebrada el 25 de noviembre 2022, el cual literalmente indica:</w:t>
      </w:r>
    </w:p>
    <w:p w14:paraId="3E6E4B6A" w14:textId="77777777" w:rsidR="00B15F7D" w:rsidRPr="00990FB6" w:rsidRDefault="00B15F7D" w:rsidP="00B15F7D">
      <w:pPr>
        <w:ind w:left="851" w:right="851" w:firstLine="709"/>
        <w:jc w:val="both"/>
        <w:rPr>
          <w:i/>
          <w:iCs/>
          <w:sz w:val="22"/>
          <w:szCs w:val="22"/>
        </w:rPr>
      </w:pPr>
    </w:p>
    <w:p w14:paraId="285001B8" w14:textId="77777777" w:rsidR="00B15F7D" w:rsidRPr="00990FB6" w:rsidRDefault="00B15F7D" w:rsidP="00B15F7D">
      <w:pPr>
        <w:ind w:left="851" w:right="851" w:firstLine="709"/>
        <w:jc w:val="both"/>
        <w:rPr>
          <w:i/>
          <w:iCs/>
          <w:sz w:val="22"/>
          <w:szCs w:val="22"/>
        </w:rPr>
      </w:pPr>
      <w:r w:rsidRPr="00990FB6">
        <w:rPr>
          <w:i/>
          <w:iCs/>
          <w:sz w:val="22"/>
          <w:szCs w:val="22"/>
        </w:rPr>
        <w:t>ARTÍCULO II</w:t>
      </w:r>
    </w:p>
    <w:p w14:paraId="205EAC03" w14:textId="77777777" w:rsidR="00B15F7D" w:rsidRPr="00990FB6" w:rsidRDefault="00B15F7D" w:rsidP="00B15F7D">
      <w:pPr>
        <w:ind w:left="851" w:right="851" w:firstLine="709"/>
        <w:rPr>
          <w:i/>
          <w:iCs/>
          <w:sz w:val="22"/>
          <w:szCs w:val="22"/>
        </w:rPr>
      </w:pPr>
    </w:p>
    <w:p w14:paraId="6AF9C375" w14:textId="77777777" w:rsidR="00B15F7D" w:rsidRPr="00990FB6" w:rsidRDefault="00B15F7D" w:rsidP="00B15F7D">
      <w:pPr>
        <w:ind w:left="851" w:right="851" w:firstLine="709"/>
        <w:jc w:val="both"/>
        <w:rPr>
          <w:i/>
          <w:iCs/>
          <w:sz w:val="22"/>
          <w:szCs w:val="22"/>
        </w:rPr>
      </w:pPr>
      <w:r w:rsidRPr="00990FB6">
        <w:rPr>
          <w:i/>
          <w:iCs/>
          <w:sz w:val="22"/>
          <w:szCs w:val="22"/>
        </w:rPr>
        <w:t>La Máster Kattia Morales Navarro, Directora de Tecnología de Información y Comunicaciones, eleva para conocimiento de la Comisión el oficio 3016-DTI-2022, mediante el que remite propuesta de presupuesto 2024.</w:t>
      </w:r>
    </w:p>
    <w:p w14:paraId="0ACC4D94" w14:textId="77777777" w:rsidR="00B15F7D" w:rsidRPr="00990FB6" w:rsidRDefault="00B15F7D" w:rsidP="00B15F7D">
      <w:pPr>
        <w:ind w:left="851" w:right="851" w:firstLine="709"/>
        <w:jc w:val="both"/>
        <w:rPr>
          <w:i/>
          <w:iCs/>
          <w:sz w:val="22"/>
          <w:szCs w:val="22"/>
        </w:rPr>
      </w:pPr>
    </w:p>
    <w:p w14:paraId="5AC8D3CC" w14:textId="77777777" w:rsidR="00B15F7D" w:rsidRPr="00990FB6" w:rsidRDefault="00B15F7D" w:rsidP="00B15F7D">
      <w:pPr>
        <w:ind w:left="851" w:right="851" w:firstLine="709"/>
        <w:jc w:val="both"/>
        <w:rPr>
          <w:i/>
          <w:iCs/>
          <w:sz w:val="22"/>
          <w:szCs w:val="22"/>
        </w:rPr>
      </w:pPr>
      <w:r w:rsidRPr="00990FB6">
        <w:rPr>
          <w:i/>
          <w:iCs/>
          <w:sz w:val="22"/>
          <w:szCs w:val="22"/>
        </w:rPr>
        <w:t> Luego de realizada la presentación, el Máster Erick Mora de la Dirección de Planificación expresa a título de esa dependencia, el panorama económico nacional sigue siendo negativo de cara a la formulación presupuestaria del 2024, en el sentido de las limitaciones presupuestarias que emanan como directrices nacionales y que imposibilitan el crecimiento del presupuesto institucional.  Explicó que incluso ya se envió al Consejo Superior el oficio en el que se recomienda que, para la formulación presupuestaria del 2024, los Centros de Responsabilidad no pueden incrementar sus presupuestos en comparación con lo aprobado para el 2023 y que para los efectos, el Área de Informática es un centro más. Esto, según manifiesta, provoca que en caso de permitir un aumento en un área como la de tecnología, debe hacerse con la consciencia de que requerirá recortes en otras áreas del Poder Judicial, con necesidades también importantes y sensibles, por lo que deberá hacerse un ejercicio de priorización institucional.  </w:t>
      </w:r>
    </w:p>
    <w:p w14:paraId="65721951" w14:textId="77777777" w:rsidR="00B15F7D" w:rsidRPr="00990FB6" w:rsidRDefault="00B15F7D" w:rsidP="00B15F7D">
      <w:pPr>
        <w:ind w:left="851" w:right="851" w:firstLine="709"/>
        <w:jc w:val="both"/>
        <w:rPr>
          <w:i/>
          <w:iCs/>
          <w:sz w:val="22"/>
          <w:szCs w:val="22"/>
        </w:rPr>
      </w:pPr>
    </w:p>
    <w:p w14:paraId="65421AF4" w14:textId="77777777" w:rsidR="00B15F7D" w:rsidRPr="00990FB6" w:rsidRDefault="00B15F7D" w:rsidP="00B15F7D">
      <w:pPr>
        <w:ind w:left="851" w:right="851" w:firstLine="709"/>
        <w:jc w:val="both"/>
        <w:rPr>
          <w:i/>
          <w:iCs/>
          <w:sz w:val="22"/>
          <w:szCs w:val="22"/>
        </w:rPr>
      </w:pPr>
      <w:r w:rsidRPr="00990FB6">
        <w:rPr>
          <w:i/>
          <w:iCs/>
          <w:sz w:val="22"/>
          <w:szCs w:val="22"/>
        </w:rPr>
        <w:t>Debido a lo anteriormente expresado, el Máster Erick Mora Leiva, se abstiene de votar por la aprobación de cualquiera de los escenarios propuestos. </w:t>
      </w:r>
    </w:p>
    <w:p w14:paraId="3410FD60" w14:textId="77777777" w:rsidR="00B15F7D" w:rsidRPr="00990FB6" w:rsidRDefault="00B15F7D" w:rsidP="00B15F7D">
      <w:pPr>
        <w:ind w:left="851" w:right="851" w:firstLine="709"/>
        <w:jc w:val="both"/>
        <w:rPr>
          <w:i/>
          <w:iCs/>
          <w:sz w:val="22"/>
          <w:szCs w:val="22"/>
        </w:rPr>
      </w:pPr>
    </w:p>
    <w:p w14:paraId="0AD51396" w14:textId="77777777" w:rsidR="00B15F7D" w:rsidRPr="00990FB6" w:rsidRDefault="00B15F7D" w:rsidP="00B15F7D">
      <w:pPr>
        <w:ind w:left="851" w:right="851"/>
        <w:jc w:val="center"/>
        <w:rPr>
          <w:i/>
          <w:iCs/>
          <w:noProof/>
          <w:sz w:val="22"/>
          <w:szCs w:val="22"/>
        </w:rPr>
      </w:pPr>
      <w:r w:rsidRPr="00990FB6">
        <w:rPr>
          <w:i/>
          <w:sz w:val="22"/>
          <w:szCs w:val="22"/>
        </w:rPr>
        <w:object w:dxaOrig="1376" w:dyaOrig="893" w14:anchorId="033DAA98">
          <v:shape id="_x0000_i1059" type="#_x0000_t75" style="width:66pt;height:47pt" o:ole="">
            <v:imagedata r:id="rId104" o:title=""/>
          </v:shape>
          <o:OLEObject Type="Embed" ProgID="Package" ShapeID="_x0000_i1059" DrawAspect="Icon" ObjectID="_1748679187" r:id="rId105"/>
        </w:object>
      </w:r>
    </w:p>
    <w:p w14:paraId="2B5D0E73" w14:textId="77777777" w:rsidR="00B15F7D" w:rsidRPr="00990FB6" w:rsidRDefault="00B15F7D" w:rsidP="00B15F7D">
      <w:pPr>
        <w:ind w:left="851" w:right="851" w:firstLine="709"/>
        <w:jc w:val="center"/>
        <w:rPr>
          <w:i/>
          <w:iCs/>
          <w:noProof/>
          <w:sz w:val="22"/>
          <w:szCs w:val="22"/>
        </w:rPr>
      </w:pPr>
    </w:p>
    <w:p w14:paraId="2C002B05" w14:textId="77777777" w:rsidR="00B15F7D" w:rsidRPr="00990FB6" w:rsidRDefault="00B15F7D" w:rsidP="00B15F7D">
      <w:pPr>
        <w:ind w:left="851" w:right="851" w:firstLine="709"/>
        <w:jc w:val="both"/>
        <w:rPr>
          <w:i/>
          <w:iCs/>
          <w:sz w:val="22"/>
          <w:szCs w:val="22"/>
          <w:lang w:eastAsia="es-ES"/>
        </w:rPr>
      </w:pPr>
      <w:r w:rsidRPr="00990FB6">
        <w:rPr>
          <w:b/>
          <w:bCs/>
          <w:i/>
          <w:iCs/>
          <w:sz w:val="22"/>
          <w:szCs w:val="22"/>
          <w:lang w:eastAsia="es-ES"/>
        </w:rPr>
        <w:t>Se acordó:  1.) </w:t>
      </w:r>
      <w:r w:rsidRPr="00990FB6">
        <w:rPr>
          <w:i/>
          <w:iCs/>
          <w:sz w:val="22"/>
          <w:szCs w:val="22"/>
          <w:lang w:eastAsia="es-ES"/>
        </w:rPr>
        <w:t>Aprobar el tercer escenario de presupuesto presentado por la Dirección de Tecnología de Información y Comunicaciones.</w:t>
      </w:r>
      <w:r w:rsidRPr="00990FB6">
        <w:rPr>
          <w:b/>
          <w:bCs/>
          <w:i/>
          <w:iCs/>
          <w:sz w:val="22"/>
          <w:szCs w:val="22"/>
          <w:lang w:eastAsia="es-ES"/>
        </w:rPr>
        <w:t> 2.) </w:t>
      </w:r>
      <w:r w:rsidRPr="00990FB6">
        <w:rPr>
          <w:i/>
          <w:iCs/>
          <w:sz w:val="22"/>
          <w:szCs w:val="22"/>
          <w:lang w:eastAsia="es-ES"/>
        </w:rPr>
        <w:t>Trasladar el informe conteniendo la propuesta de presupuesto tecnológico a la Corte Plena para que se analice de forma conjunta con</w:t>
      </w:r>
      <w:r w:rsidRPr="00990FB6">
        <w:rPr>
          <w:b/>
          <w:bCs/>
          <w:i/>
          <w:iCs/>
          <w:sz w:val="22"/>
          <w:szCs w:val="22"/>
          <w:lang w:eastAsia="es-ES"/>
        </w:rPr>
        <w:t> </w:t>
      </w:r>
      <w:r w:rsidRPr="00990FB6">
        <w:rPr>
          <w:i/>
          <w:iCs/>
          <w:sz w:val="22"/>
          <w:szCs w:val="22"/>
          <w:lang w:eastAsia="es-ES"/>
        </w:rPr>
        <w:t xml:space="preserve">el oficio conteniendo los límites presupuestarios a </w:t>
      </w:r>
      <w:r w:rsidRPr="00990FB6">
        <w:rPr>
          <w:i/>
          <w:iCs/>
          <w:sz w:val="22"/>
          <w:szCs w:val="22"/>
          <w:lang w:eastAsia="es-ES"/>
        </w:rPr>
        <w:lastRenderedPageBreak/>
        <w:t>presentar por la Dirección de Planificación.</w:t>
      </w:r>
      <w:r w:rsidRPr="00990FB6">
        <w:rPr>
          <w:b/>
          <w:bCs/>
          <w:i/>
          <w:iCs/>
          <w:sz w:val="22"/>
          <w:szCs w:val="22"/>
          <w:lang w:eastAsia="es-ES"/>
        </w:rPr>
        <w:t> 3.) </w:t>
      </w:r>
      <w:r w:rsidRPr="00990FB6">
        <w:rPr>
          <w:i/>
          <w:iCs/>
          <w:sz w:val="22"/>
          <w:szCs w:val="22"/>
          <w:lang w:eastAsia="es-ES"/>
        </w:rPr>
        <w:t>Solicitar a la Secretaría de la Corte que traslade de forma conjunta los oficios de la Dirección de Planificación y de la Dirección de Tecnología para que la Corte Plena pueda determinar las prioridades de asignación de recursos presupuestarios para el ejercicio del año 2024.</w:t>
      </w:r>
    </w:p>
    <w:p w14:paraId="1D7F1F1B" w14:textId="77777777" w:rsidR="00B15F7D" w:rsidRPr="00990FB6" w:rsidRDefault="00B15F7D" w:rsidP="00B15F7D">
      <w:pPr>
        <w:ind w:left="851" w:right="851" w:firstLine="709"/>
        <w:rPr>
          <w:b/>
          <w:bCs/>
          <w:i/>
          <w:iCs/>
          <w:sz w:val="22"/>
          <w:szCs w:val="22"/>
          <w:lang w:eastAsia="es-ES"/>
        </w:rPr>
      </w:pPr>
    </w:p>
    <w:p w14:paraId="30D922CE" w14:textId="77777777" w:rsidR="00B15F7D" w:rsidRPr="00990FB6" w:rsidRDefault="00B15F7D" w:rsidP="00B15F7D">
      <w:pPr>
        <w:ind w:left="851" w:right="851" w:firstLine="709"/>
        <w:rPr>
          <w:b/>
          <w:bCs/>
          <w:i/>
          <w:iCs/>
          <w:sz w:val="22"/>
          <w:szCs w:val="22"/>
          <w:lang w:eastAsia="es-ES"/>
        </w:rPr>
      </w:pPr>
      <w:r w:rsidRPr="00990FB6">
        <w:rPr>
          <w:b/>
          <w:bCs/>
          <w:i/>
          <w:iCs/>
          <w:sz w:val="22"/>
          <w:szCs w:val="22"/>
          <w:lang w:eastAsia="es-ES"/>
        </w:rPr>
        <w:t>Se declara acuerdo firme”.</w:t>
      </w:r>
    </w:p>
    <w:p w14:paraId="15190411" w14:textId="77777777" w:rsidR="00B15F7D" w:rsidRPr="00990FB6" w:rsidRDefault="00B15F7D" w:rsidP="00B15F7D">
      <w:pPr>
        <w:ind w:left="851" w:right="851" w:firstLine="709"/>
        <w:jc w:val="both"/>
        <w:rPr>
          <w:sz w:val="22"/>
          <w:szCs w:val="22"/>
        </w:rPr>
      </w:pPr>
    </w:p>
    <w:p w14:paraId="7BBDC1BC" w14:textId="77777777" w:rsidR="00B15F7D" w:rsidRPr="00990FB6" w:rsidRDefault="00B15F7D" w:rsidP="00B15F7D">
      <w:pPr>
        <w:ind w:left="851" w:right="851" w:firstLine="709"/>
        <w:jc w:val="both"/>
        <w:rPr>
          <w:sz w:val="22"/>
          <w:szCs w:val="22"/>
        </w:rPr>
      </w:pPr>
      <w:r w:rsidRPr="00990FB6">
        <w:rPr>
          <w:sz w:val="22"/>
          <w:szCs w:val="22"/>
        </w:rPr>
        <w:t>En la sesión de Corte Plena por recomendación de la Máster Kattia Morales Navarro, considerando que en su exposición se iban a tocar temas sensibles de seguridad, sobre todo ante las situaciones que se han presentado en cuanto a ciberataques en los sistemas de instituciones públicas, esta parte de la sesión fue declarada privada.</w:t>
      </w:r>
    </w:p>
    <w:p w14:paraId="39BE4707" w14:textId="77777777" w:rsidR="00B15F7D" w:rsidRPr="00990FB6" w:rsidRDefault="00B15F7D" w:rsidP="00B15F7D">
      <w:pPr>
        <w:ind w:left="851" w:right="851" w:firstLine="709"/>
        <w:jc w:val="both"/>
        <w:rPr>
          <w:sz w:val="22"/>
          <w:szCs w:val="22"/>
        </w:rPr>
      </w:pPr>
    </w:p>
    <w:p w14:paraId="53B7A997" w14:textId="77777777" w:rsidR="00B15F7D" w:rsidRPr="00990FB6" w:rsidRDefault="00B15F7D" w:rsidP="00B15F7D">
      <w:pPr>
        <w:ind w:left="851" w:right="851" w:firstLine="709"/>
        <w:rPr>
          <w:sz w:val="22"/>
          <w:szCs w:val="22"/>
        </w:rPr>
      </w:pPr>
      <w:r w:rsidRPr="00990FB6">
        <w:rPr>
          <w:sz w:val="22"/>
          <w:szCs w:val="22"/>
        </w:rPr>
        <w:t xml:space="preserve">Finalmente, sin objeción alguna se acordó: </w:t>
      </w:r>
    </w:p>
    <w:p w14:paraId="47F1DBB9" w14:textId="77777777" w:rsidR="00B15F7D" w:rsidRPr="00990FB6" w:rsidRDefault="00B15F7D" w:rsidP="00B15F7D">
      <w:pPr>
        <w:ind w:left="851" w:right="851" w:firstLine="709"/>
        <w:rPr>
          <w:sz w:val="22"/>
          <w:szCs w:val="22"/>
        </w:rPr>
      </w:pPr>
    </w:p>
    <w:p w14:paraId="24872831" w14:textId="77777777" w:rsidR="00B15F7D" w:rsidRPr="00990FB6" w:rsidRDefault="00B15F7D" w:rsidP="00B15F7D">
      <w:pPr>
        <w:ind w:left="851" w:right="851" w:firstLine="709"/>
        <w:jc w:val="both"/>
        <w:rPr>
          <w:i/>
          <w:iCs/>
          <w:sz w:val="22"/>
          <w:szCs w:val="22"/>
        </w:rPr>
      </w:pPr>
      <w:r w:rsidRPr="00990FB6">
        <w:rPr>
          <w:i/>
          <w:iCs/>
          <w:sz w:val="22"/>
          <w:szCs w:val="22"/>
        </w:rPr>
        <w:t xml:space="preserve">“Aprobar el tercer escenario de presupuesto presentado por la Dirección de Tecnología de Información y Comunicaciones, para el 2024, conforme a lo dispuesto por la Comisión Gerencial de Tecnologías de la Información, en sesión N°11-2022, celebrada el 25 de noviembre 2022, artículo II. El escenario es el siguiente: </w:t>
      </w:r>
    </w:p>
    <w:p w14:paraId="701DAD6D" w14:textId="77777777" w:rsidR="00B15F7D" w:rsidRPr="00990FB6" w:rsidRDefault="00B15F7D" w:rsidP="00B15F7D">
      <w:pPr>
        <w:ind w:left="851" w:right="851" w:firstLine="709"/>
        <w:jc w:val="both"/>
        <w:rPr>
          <w:b/>
          <w:bCs/>
          <w:sz w:val="22"/>
          <w:szCs w:val="22"/>
        </w:rPr>
      </w:pPr>
    </w:p>
    <w:p w14:paraId="3D930F55"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011B245F" wp14:editId="094EF17C">
            <wp:extent cx="3235311" cy="1447800"/>
            <wp:effectExtent l="0" t="0" r="3810" b="0"/>
            <wp:docPr id="1412981523" name="Imagen 141298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18627" cy="1485084"/>
                    </a:xfrm>
                    <a:prstGeom prst="rect">
                      <a:avLst/>
                    </a:prstGeom>
                    <a:noFill/>
                    <a:ln>
                      <a:noFill/>
                    </a:ln>
                  </pic:spPr>
                </pic:pic>
              </a:graphicData>
            </a:graphic>
          </wp:inline>
        </w:drawing>
      </w:r>
    </w:p>
    <w:p w14:paraId="4DBFF689" w14:textId="77777777" w:rsidR="00B15F7D" w:rsidRPr="00990FB6" w:rsidRDefault="00B15F7D" w:rsidP="00B15F7D">
      <w:pPr>
        <w:ind w:left="851" w:right="851" w:firstLine="709"/>
        <w:rPr>
          <w:sz w:val="22"/>
          <w:szCs w:val="22"/>
          <w:lang w:eastAsia="es-ES"/>
        </w:rPr>
      </w:pPr>
    </w:p>
    <w:p w14:paraId="5861CA9F" w14:textId="77777777" w:rsidR="00B15F7D" w:rsidRPr="00990FB6" w:rsidRDefault="00B15F7D" w:rsidP="00B15F7D">
      <w:pPr>
        <w:ind w:left="851" w:right="851" w:firstLine="709"/>
        <w:rPr>
          <w:i/>
          <w:iCs/>
          <w:sz w:val="22"/>
          <w:szCs w:val="22"/>
          <w:lang w:eastAsia="es-ES"/>
        </w:rPr>
      </w:pPr>
      <w:r w:rsidRPr="00990FB6">
        <w:rPr>
          <w:i/>
          <w:iCs/>
          <w:sz w:val="22"/>
          <w:szCs w:val="22"/>
          <w:lang w:eastAsia="es-ES"/>
        </w:rPr>
        <w:t>La Dirección de Planificación tomará nota para lo que corresponda.”</w:t>
      </w:r>
      <w:r w:rsidRPr="00990FB6">
        <w:rPr>
          <w:sz w:val="22"/>
          <w:szCs w:val="22"/>
          <w:lang w:eastAsia="es-ES"/>
        </w:rPr>
        <w:t>.</w:t>
      </w:r>
    </w:p>
    <w:p w14:paraId="3AA72255" w14:textId="77777777" w:rsidR="00B15F7D" w:rsidRPr="00990FB6" w:rsidRDefault="00B15F7D" w:rsidP="00B15F7D">
      <w:pPr>
        <w:ind w:left="851" w:right="851" w:firstLine="709"/>
        <w:jc w:val="both"/>
        <w:rPr>
          <w:sz w:val="22"/>
          <w:szCs w:val="22"/>
        </w:rPr>
      </w:pPr>
    </w:p>
    <w:p w14:paraId="38DCF849" w14:textId="77777777" w:rsidR="00B15F7D" w:rsidRPr="00990FB6" w:rsidRDefault="00B15F7D" w:rsidP="00B15F7D">
      <w:pPr>
        <w:ind w:left="851" w:right="851" w:firstLine="709"/>
        <w:jc w:val="both"/>
        <w:rPr>
          <w:b/>
          <w:bCs/>
          <w:sz w:val="22"/>
          <w:szCs w:val="22"/>
        </w:rPr>
      </w:pPr>
      <w:r w:rsidRPr="00990FB6">
        <w:rPr>
          <w:b/>
          <w:bCs/>
          <w:sz w:val="22"/>
          <w:szCs w:val="22"/>
        </w:rPr>
        <w:t>Según criterio de la Dirección de Tecnología de la Información y Comunicaciones, este escenario propone que el crecimiento que se tiene en este presupuesto será cubierto una parte por el Fondo de Emergencias, otra por el ahorro institucional que se va a presentar por no alquilar más computadoras y finalmente, con la proyección de ahorro de la subpartida 10204 Servicio de Telecomunicaciones por nuevos contratos de enlaces de fibra óptica, conforme el siguiente detalle:</w:t>
      </w:r>
    </w:p>
    <w:p w14:paraId="102DE775" w14:textId="77777777" w:rsidR="00B15F7D" w:rsidRPr="00990FB6" w:rsidRDefault="00B15F7D" w:rsidP="00B15F7D">
      <w:pPr>
        <w:ind w:left="851" w:right="851" w:firstLine="709"/>
        <w:jc w:val="both"/>
        <w:rPr>
          <w:b/>
          <w:bCs/>
          <w:sz w:val="22"/>
          <w:szCs w:val="22"/>
        </w:rPr>
      </w:pPr>
    </w:p>
    <w:p w14:paraId="4C152C4D" w14:textId="77777777" w:rsidR="00B15F7D" w:rsidRPr="00990FB6" w:rsidRDefault="00B15F7D" w:rsidP="00B15F7D">
      <w:pPr>
        <w:numPr>
          <w:ilvl w:val="0"/>
          <w:numId w:val="176"/>
        </w:numPr>
        <w:suppressAutoHyphens w:val="0"/>
        <w:ind w:left="851" w:right="851" w:firstLine="709"/>
        <w:contextualSpacing/>
        <w:jc w:val="both"/>
        <w:rPr>
          <w:i/>
          <w:iCs/>
          <w:sz w:val="22"/>
          <w:szCs w:val="22"/>
        </w:rPr>
      </w:pPr>
      <w:r w:rsidRPr="00990FB6">
        <w:rPr>
          <w:i/>
          <w:iCs/>
          <w:sz w:val="22"/>
          <w:szCs w:val="22"/>
        </w:rPr>
        <w:t xml:space="preserve">Recursos Fondo de Emergencia, se valora que ¢480 millones en requerimientos, puedan ser </w:t>
      </w:r>
      <w:proofErr w:type="gramStart"/>
      <w:r w:rsidRPr="00990FB6">
        <w:rPr>
          <w:i/>
          <w:iCs/>
          <w:sz w:val="22"/>
          <w:szCs w:val="22"/>
        </w:rPr>
        <w:t>adquiridos  con</w:t>
      </w:r>
      <w:proofErr w:type="gramEnd"/>
      <w:r w:rsidRPr="00990FB6">
        <w:rPr>
          <w:i/>
          <w:iCs/>
          <w:sz w:val="22"/>
          <w:szCs w:val="22"/>
        </w:rPr>
        <w:t xml:space="preserve"> estos recursos, debido a que  sus características cumplen con los requisitos de uso del Fondo.</w:t>
      </w:r>
    </w:p>
    <w:p w14:paraId="635153AC" w14:textId="77777777" w:rsidR="00B15F7D" w:rsidRPr="00990FB6" w:rsidRDefault="00B15F7D" w:rsidP="00B15F7D">
      <w:pPr>
        <w:numPr>
          <w:ilvl w:val="0"/>
          <w:numId w:val="176"/>
        </w:numPr>
        <w:suppressAutoHyphens w:val="0"/>
        <w:ind w:left="851" w:right="851" w:firstLine="709"/>
        <w:contextualSpacing/>
        <w:jc w:val="both"/>
        <w:rPr>
          <w:i/>
          <w:iCs/>
          <w:sz w:val="22"/>
          <w:szCs w:val="22"/>
        </w:rPr>
      </w:pPr>
      <w:r w:rsidRPr="00990FB6">
        <w:rPr>
          <w:i/>
          <w:iCs/>
          <w:sz w:val="22"/>
          <w:szCs w:val="22"/>
        </w:rPr>
        <w:t>Subpartida 10204 Servicio de Telecomunicaciones ¢556.243.</w:t>
      </w:r>
      <w:proofErr w:type="gramStart"/>
      <w:r w:rsidRPr="00990FB6">
        <w:rPr>
          <w:i/>
          <w:iCs/>
          <w:sz w:val="22"/>
          <w:szCs w:val="22"/>
        </w:rPr>
        <w:t>600  Enlace</w:t>
      </w:r>
      <w:proofErr w:type="gramEnd"/>
      <w:r w:rsidRPr="00990FB6">
        <w:rPr>
          <w:i/>
          <w:iCs/>
          <w:sz w:val="22"/>
          <w:szCs w:val="22"/>
        </w:rPr>
        <w:t xml:space="preserve"> de fibra óptica, se estima que se generaría el ahorro al pasarse la facturación que hace el ICE a contratos.</w:t>
      </w:r>
    </w:p>
    <w:p w14:paraId="4203D52F" w14:textId="77777777" w:rsidR="00B15F7D" w:rsidRPr="00990FB6" w:rsidRDefault="00B15F7D" w:rsidP="00B15F7D">
      <w:pPr>
        <w:ind w:left="851" w:right="851" w:firstLine="709"/>
        <w:jc w:val="both"/>
        <w:rPr>
          <w:b/>
          <w:bCs/>
          <w:sz w:val="22"/>
          <w:szCs w:val="22"/>
        </w:rPr>
      </w:pPr>
    </w:p>
    <w:p w14:paraId="281654E7" w14:textId="77777777" w:rsidR="00B15F7D" w:rsidRPr="00990FB6" w:rsidRDefault="00B15F7D" w:rsidP="00B15F7D">
      <w:pPr>
        <w:ind w:left="851" w:right="851" w:firstLine="709"/>
        <w:jc w:val="both"/>
        <w:rPr>
          <w:b/>
          <w:bCs/>
          <w:sz w:val="22"/>
          <w:szCs w:val="22"/>
        </w:rPr>
      </w:pPr>
      <w:r w:rsidRPr="00990FB6">
        <w:rPr>
          <w:b/>
          <w:bCs/>
          <w:sz w:val="22"/>
          <w:szCs w:val="22"/>
        </w:rPr>
        <w:lastRenderedPageBreak/>
        <w:t>Cabe señalar que desde el punto de vista de la Dirección de Planificación, los dos rubros anteriores constituyen una expectativa de ahorro y se está gestionando su implementación.</w:t>
      </w:r>
    </w:p>
    <w:p w14:paraId="7BC3D9D0" w14:textId="77777777" w:rsidR="00B15F7D" w:rsidRPr="00990FB6" w:rsidRDefault="00B15F7D" w:rsidP="00B15F7D">
      <w:pPr>
        <w:ind w:left="851" w:right="851" w:firstLine="709"/>
        <w:jc w:val="both"/>
        <w:rPr>
          <w:b/>
          <w:bCs/>
          <w:sz w:val="22"/>
          <w:szCs w:val="22"/>
        </w:rPr>
      </w:pPr>
    </w:p>
    <w:p w14:paraId="2387EDBC" w14:textId="77777777" w:rsidR="00B15F7D" w:rsidRPr="00990FB6" w:rsidRDefault="00B15F7D" w:rsidP="00B15F7D">
      <w:pPr>
        <w:ind w:left="851" w:right="851" w:firstLine="709"/>
        <w:jc w:val="both"/>
        <w:rPr>
          <w:b/>
          <w:bCs/>
          <w:sz w:val="22"/>
          <w:szCs w:val="22"/>
        </w:rPr>
      </w:pPr>
      <w:r w:rsidRPr="00990FB6">
        <w:rPr>
          <w:b/>
          <w:bCs/>
          <w:sz w:val="22"/>
          <w:szCs w:val="22"/>
        </w:rPr>
        <w:t>Finalmente, en cuanto a lo que se indica como “</w:t>
      </w:r>
      <w:r w:rsidRPr="00990FB6">
        <w:rPr>
          <w:b/>
          <w:bCs/>
          <w:i/>
          <w:iCs/>
          <w:sz w:val="22"/>
          <w:szCs w:val="22"/>
        </w:rPr>
        <w:t>ahorro institucional 10103</w:t>
      </w:r>
      <w:r w:rsidRPr="00990FB6">
        <w:rPr>
          <w:b/>
          <w:bCs/>
          <w:sz w:val="22"/>
          <w:szCs w:val="22"/>
        </w:rPr>
        <w:t>” y “</w:t>
      </w:r>
      <w:r w:rsidRPr="00990FB6">
        <w:rPr>
          <w:b/>
          <w:bCs/>
          <w:i/>
          <w:iCs/>
          <w:sz w:val="22"/>
          <w:szCs w:val="22"/>
        </w:rPr>
        <w:t>ahorro institucional adicional</w:t>
      </w:r>
      <w:r w:rsidRPr="00990FB6">
        <w:rPr>
          <w:b/>
          <w:bCs/>
          <w:sz w:val="22"/>
          <w:szCs w:val="22"/>
        </w:rPr>
        <w:t xml:space="preserve">”, que totalizan entre ambos ₡1.786.073.170, son recursos que corresponden al alquiler de equipo de cómputo, que en la formulación del 2024 se trasladarían a la compra de computadoras. </w:t>
      </w:r>
    </w:p>
    <w:p w14:paraId="30B811CD" w14:textId="77777777" w:rsidR="00B15F7D" w:rsidRPr="00990FB6" w:rsidRDefault="00B15F7D" w:rsidP="00B15F7D">
      <w:pPr>
        <w:ind w:left="851" w:right="851" w:firstLine="709"/>
        <w:rPr>
          <w:b/>
          <w:iCs/>
          <w:sz w:val="22"/>
          <w:szCs w:val="22"/>
        </w:rPr>
      </w:pPr>
    </w:p>
    <w:p w14:paraId="208FAA69"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Ajustes Aplicados</w:t>
      </w:r>
    </w:p>
    <w:p w14:paraId="428935D1" w14:textId="77777777" w:rsidR="00B15F7D" w:rsidRPr="00990FB6" w:rsidRDefault="00B15F7D" w:rsidP="00B15F7D">
      <w:pPr>
        <w:ind w:left="851" w:right="851" w:firstLine="709"/>
        <w:rPr>
          <w:b/>
          <w:iCs/>
          <w:sz w:val="22"/>
          <w:szCs w:val="22"/>
        </w:rPr>
      </w:pPr>
    </w:p>
    <w:p w14:paraId="24E26B31" w14:textId="77777777" w:rsidR="00B15F7D" w:rsidRPr="00990FB6" w:rsidRDefault="00B15F7D" w:rsidP="00B15F7D">
      <w:pPr>
        <w:ind w:left="851" w:right="851" w:firstLine="709"/>
        <w:jc w:val="both"/>
        <w:rPr>
          <w:sz w:val="22"/>
          <w:szCs w:val="22"/>
        </w:rPr>
      </w:pPr>
      <w:r w:rsidRPr="00990FB6">
        <w:rPr>
          <w:sz w:val="22"/>
          <w:szCs w:val="22"/>
        </w:rPr>
        <w:t>El monto total del anteproyecto de presupuesto 2024 del Área de Informática remitido originalmente era ₡16.042.375.348, pero se eliminaron las siguientes líneas que en total suman ₡1.272.096.823.</w:t>
      </w:r>
    </w:p>
    <w:p w14:paraId="1D370F98" w14:textId="77777777" w:rsidR="00B15F7D" w:rsidRPr="00990FB6" w:rsidRDefault="00B15F7D" w:rsidP="00B15F7D">
      <w:pPr>
        <w:ind w:left="851" w:right="851" w:firstLine="709"/>
        <w:jc w:val="both"/>
        <w:rPr>
          <w:sz w:val="22"/>
          <w:szCs w:val="22"/>
        </w:rPr>
      </w:pPr>
    </w:p>
    <w:p w14:paraId="645DF70F" w14:textId="77777777" w:rsidR="00B15F7D" w:rsidRPr="00990FB6" w:rsidRDefault="00B15F7D" w:rsidP="00B15F7D">
      <w:pPr>
        <w:numPr>
          <w:ilvl w:val="0"/>
          <w:numId w:val="174"/>
        </w:numPr>
        <w:suppressAutoHyphens w:val="0"/>
        <w:ind w:left="851" w:right="851" w:firstLine="709"/>
        <w:contextualSpacing/>
        <w:jc w:val="both"/>
        <w:rPr>
          <w:sz w:val="22"/>
          <w:szCs w:val="22"/>
        </w:rPr>
      </w:pPr>
      <w:r w:rsidRPr="00990FB6">
        <w:rPr>
          <w:b/>
          <w:bCs/>
          <w:sz w:val="22"/>
          <w:szCs w:val="22"/>
        </w:rPr>
        <w:t>Subpartida 10204 Servicio de Telecomunicaciones.</w:t>
      </w:r>
      <w:r w:rsidRPr="00990FB6">
        <w:rPr>
          <w:sz w:val="22"/>
          <w:szCs w:val="22"/>
        </w:rPr>
        <w:t xml:space="preserve"> Se aplicó un rebajo de ₡346.083.600 con el visto bueno de Ericka Monge Quesada, jefa del Subproceso de Telemática.</w:t>
      </w:r>
    </w:p>
    <w:p w14:paraId="03DBE72D" w14:textId="77777777" w:rsidR="00B15F7D" w:rsidRPr="00990FB6" w:rsidRDefault="00B15F7D" w:rsidP="00B15F7D">
      <w:pPr>
        <w:suppressAutoHyphens w:val="0"/>
        <w:ind w:right="851"/>
        <w:contextualSpacing/>
        <w:jc w:val="both"/>
        <w:rPr>
          <w:sz w:val="22"/>
          <w:szCs w:val="22"/>
        </w:rPr>
      </w:pPr>
    </w:p>
    <w:p w14:paraId="26404BF7" w14:textId="77777777" w:rsidR="00B15F7D" w:rsidRPr="00990FB6" w:rsidRDefault="00B15F7D" w:rsidP="00B15F7D">
      <w:pPr>
        <w:numPr>
          <w:ilvl w:val="0"/>
          <w:numId w:val="174"/>
        </w:numPr>
        <w:suppressAutoHyphens w:val="0"/>
        <w:ind w:left="851" w:right="851" w:firstLine="709"/>
        <w:contextualSpacing/>
        <w:jc w:val="both"/>
        <w:rPr>
          <w:sz w:val="22"/>
          <w:szCs w:val="22"/>
        </w:rPr>
      </w:pPr>
      <w:r w:rsidRPr="00990FB6">
        <w:rPr>
          <w:b/>
          <w:bCs/>
          <w:sz w:val="22"/>
          <w:szCs w:val="22"/>
        </w:rPr>
        <w:t>Subpartida 50105 Equipo de Cómputo.</w:t>
      </w:r>
      <w:r w:rsidRPr="00990FB6">
        <w:rPr>
          <w:sz w:val="22"/>
          <w:szCs w:val="22"/>
        </w:rPr>
        <w:t xml:space="preserve"> Se aplica rebajo de ₡479.164.070 debido a la compra en el 2023 de computadoras por medio del Fondo de Emergencias.</w:t>
      </w:r>
    </w:p>
    <w:p w14:paraId="0BAF196D" w14:textId="77777777" w:rsidR="00B15F7D" w:rsidRPr="00990FB6" w:rsidRDefault="00B15F7D" w:rsidP="00B15F7D">
      <w:pPr>
        <w:suppressAutoHyphens w:val="0"/>
        <w:ind w:left="1560" w:right="851"/>
        <w:contextualSpacing/>
        <w:jc w:val="both"/>
        <w:rPr>
          <w:sz w:val="22"/>
          <w:szCs w:val="22"/>
        </w:rPr>
      </w:pPr>
    </w:p>
    <w:p w14:paraId="576F2424" w14:textId="77777777" w:rsidR="00B15F7D" w:rsidRPr="00990FB6" w:rsidRDefault="00B15F7D" w:rsidP="00B15F7D">
      <w:pPr>
        <w:numPr>
          <w:ilvl w:val="0"/>
          <w:numId w:val="174"/>
        </w:numPr>
        <w:suppressAutoHyphens w:val="0"/>
        <w:ind w:left="851" w:right="851" w:firstLine="709"/>
        <w:contextualSpacing/>
        <w:jc w:val="both"/>
        <w:rPr>
          <w:sz w:val="22"/>
          <w:szCs w:val="22"/>
        </w:rPr>
      </w:pPr>
      <w:r w:rsidRPr="00990FB6">
        <w:rPr>
          <w:b/>
          <w:bCs/>
          <w:sz w:val="22"/>
          <w:szCs w:val="22"/>
        </w:rPr>
        <w:t>Subpartida 50201 Edificios.</w:t>
      </w:r>
      <w:r w:rsidRPr="00990FB6">
        <w:rPr>
          <w:sz w:val="22"/>
          <w:szCs w:val="22"/>
        </w:rPr>
        <w:t xml:space="preserve"> Se aplica rebajo del ¢150.000.000 del proyecto “Recableado estructurado en Edificios Judiciales”, solicitado por la Máster Kattia Morales Navarro en la reunión del 30 de marzo del 2023.</w:t>
      </w:r>
    </w:p>
    <w:p w14:paraId="5DCA6619" w14:textId="77777777" w:rsidR="00B15F7D" w:rsidRPr="00990FB6" w:rsidRDefault="00B15F7D" w:rsidP="00B15F7D">
      <w:pPr>
        <w:suppressAutoHyphens w:val="0"/>
        <w:ind w:right="851"/>
        <w:contextualSpacing/>
        <w:jc w:val="both"/>
        <w:rPr>
          <w:sz w:val="22"/>
          <w:szCs w:val="22"/>
        </w:rPr>
      </w:pPr>
    </w:p>
    <w:p w14:paraId="38BBB1F0" w14:textId="77777777" w:rsidR="00B15F7D" w:rsidRPr="00990FB6" w:rsidRDefault="00B15F7D" w:rsidP="00B15F7D">
      <w:pPr>
        <w:numPr>
          <w:ilvl w:val="0"/>
          <w:numId w:val="174"/>
        </w:numPr>
        <w:suppressAutoHyphens w:val="0"/>
        <w:ind w:left="851" w:right="851" w:firstLine="709"/>
        <w:contextualSpacing/>
        <w:jc w:val="both"/>
        <w:rPr>
          <w:sz w:val="22"/>
          <w:szCs w:val="22"/>
        </w:rPr>
      </w:pPr>
      <w:r w:rsidRPr="00990FB6">
        <w:rPr>
          <w:b/>
          <w:bCs/>
          <w:sz w:val="22"/>
          <w:szCs w:val="22"/>
        </w:rPr>
        <w:t>Subpartida 59903 Bienes Intangibles.</w:t>
      </w:r>
      <w:r w:rsidRPr="00990FB6">
        <w:rPr>
          <w:sz w:val="22"/>
          <w:szCs w:val="22"/>
        </w:rPr>
        <w:t xml:space="preserve"> En coordinación con Carolina Castillo del OIJ se rebajaron ₡247.457.293 formulados por el Archivo Criminal, esto por cuanto también se encontraban formulados los recursos en el Sistema SIGA-PJ, generados por medio del contrato N°025122 Renovación del Soporte y Garantía del Sistema Automatizado de Identificación Dactilar AFIS.</w:t>
      </w:r>
    </w:p>
    <w:p w14:paraId="13A60A66" w14:textId="77777777" w:rsidR="00B15F7D" w:rsidRPr="00990FB6" w:rsidRDefault="00B15F7D" w:rsidP="00B15F7D">
      <w:pPr>
        <w:suppressAutoHyphens w:val="0"/>
        <w:ind w:right="851"/>
        <w:contextualSpacing/>
        <w:jc w:val="both"/>
        <w:rPr>
          <w:sz w:val="22"/>
          <w:szCs w:val="22"/>
        </w:rPr>
      </w:pPr>
    </w:p>
    <w:p w14:paraId="63E9A619" w14:textId="77777777" w:rsidR="00B15F7D" w:rsidRPr="00990FB6" w:rsidRDefault="00B15F7D" w:rsidP="00B15F7D">
      <w:pPr>
        <w:numPr>
          <w:ilvl w:val="0"/>
          <w:numId w:val="174"/>
        </w:numPr>
        <w:suppressAutoHyphens w:val="0"/>
        <w:ind w:left="851" w:right="851" w:firstLine="709"/>
        <w:contextualSpacing/>
        <w:jc w:val="both"/>
        <w:rPr>
          <w:sz w:val="22"/>
          <w:szCs w:val="22"/>
        </w:rPr>
      </w:pPr>
      <w:r w:rsidRPr="00990FB6">
        <w:rPr>
          <w:b/>
          <w:bCs/>
          <w:sz w:val="22"/>
          <w:szCs w:val="22"/>
        </w:rPr>
        <w:t>Subpartida 59903 Bienes Intangibles.</w:t>
      </w:r>
      <w:r w:rsidRPr="00990FB6">
        <w:rPr>
          <w:sz w:val="22"/>
          <w:szCs w:val="22"/>
        </w:rPr>
        <w:t xml:space="preserve"> En coordinación con la Auditoría Judicial se rebajaron ₡49.391.860 para el </w:t>
      </w:r>
      <w:proofErr w:type="spellStart"/>
      <w:r w:rsidRPr="00990FB6">
        <w:rPr>
          <w:sz w:val="22"/>
          <w:szCs w:val="22"/>
        </w:rPr>
        <w:t>Team</w:t>
      </w:r>
      <w:proofErr w:type="spellEnd"/>
      <w:r w:rsidRPr="00990FB6">
        <w:rPr>
          <w:sz w:val="22"/>
          <w:szCs w:val="22"/>
        </w:rPr>
        <w:t xml:space="preserve"> Mate, esto por cuanto también se encontraban formulados los recursos en el Sistema SIGA-PJ.</w:t>
      </w:r>
    </w:p>
    <w:p w14:paraId="1595EC05" w14:textId="77777777" w:rsidR="00B15F7D" w:rsidRPr="00990FB6" w:rsidRDefault="00B15F7D" w:rsidP="00B15F7D">
      <w:pPr>
        <w:ind w:left="851" w:right="851" w:firstLine="709"/>
        <w:jc w:val="both"/>
        <w:rPr>
          <w:sz w:val="22"/>
          <w:szCs w:val="22"/>
        </w:rPr>
      </w:pPr>
    </w:p>
    <w:p w14:paraId="338C349D" w14:textId="77777777" w:rsidR="00B15F7D" w:rsidRPr="00990FB6" w:rsidRDefault="00B15F7D" w:rsidP="00B15F7D">
      <w:pPr>
        <w:ind w:left="851" w:right="851" w:firstLine="709"/>
        <w:jc w:val="both"/>
        <w:rPr>
          <w:sz w:val="22"/>
          <w:szCs w:val="22"/>
        </w:rPr>
      </w:pPr>
      <w:r w:rsidRPr="00990FB6">
        <w:rPr>
          <w:sz w:val="22"/>
          <w:szCs w:val="22"/>
        </w:rPr>
        <w:t>Las consultas y rebajos que se realizaron en este anteproyecto de presupuesto se coordinaron con Maryam Zamora Salazar, Oscar Pérez Alvarado, Ericka Monge Quesada y Jorge Adrian Arce Víquez de la Dirección de Tecnología de la Información y Comunicaciones, Carolina Castillo Obando de la Administración del Organismo de Investigación Judicial y Jeremy Eduarte Alemán de la Auditoría Judicial.</w:t>
      </w:r>
    </w:p>
    <w:p w14:paraId="24CB38BD" w14:textId="77777777" w:rsidR="00B15F7D" w:rsidRPr="00990FB6" w:rsidRDefault="00B15F7D" w:rsidP="00B15F7D">
      <w:pPr>
        <w:ind w:left="851" w:right="851" w:firstLine="709"/>
        <w:jc w:val="both"/>
        <w:rPr>
          <w:sz w:val="22"/>
          <w:szCs w:val="22"/>
        </w:rPr>
      </w:pPr>
    </w:p>
    <w:p w14:paraId="234C6C00"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Aplicación de la Regla Fiscal</w:t>
      </w:r>
    </w:p>
    <w:p w14:paraId="45D7FE76" w14:textId="77777777" w:rsidR="00B15F7D" w:rsidRPr="00990FB6" w:rsidRDefault="00B15F7D" w:rsidP="00B15F7D">
      <w:pPr>
        <w:ind w:left="851" w:right="851" w:firstLine="709"/>
        <w:rPr>
          <w:sz w:val="22"/>
          <w:szCs w:val="22"/>
        </w:rPr>
      </w:pPr>
    </w:p>
    <w:p w14:paraId="0A49D321" w14:textId="77777777" w:rsidR="00B15F7D" w:rsidRPr="00990FB6" w:rsidRDefault="00B15F7D" w:rsidP="00B15F7D">
      <w:pPr>
        <w:ind w:left="851" w:right="851" w:firstLine="709"/>
        <w:jc w:val="both"/>
        <w:rPr>
          <w:sz w:val="22"/>
          <w:szCs w:val="22"/>
        </w:rPr>
      </w:pPr>
      <w:r w:rsidRPr="00990FB6">
        <w:rPr>
          <w:sz w:val="22"/>
          <w:szCs w:val="22"/>
        </w:rPr>
        <w:lastRenderedPageBreak/>
        <w:t>En las Directrices Técnicas para la Formulación del Anteproyecto de Presupuesto 2024, aprobadas por Consejo Superior en la sesión N°106-22, artículo LII, la directriz N°138, señala lo siguiente:</w:t>
      </w:r>
    </w:p>
    <w:p w14:paraId="4D355FCC" w14:textId="77777777" w:rsidR="00B15F7D" w:rsidRPr="00990FB6" w:rsidRDefault="00B15F7D" w:rsidP="00B15F7D">
      <w:pPr>
        <w:ind w:left="851" w:right="851" w:firstLine="709"/>
        <w:jc w:val="both"/>
        <w:rPr>
          <w:sz w:val="22"/>
          <w:szCs w:val="22"/>
        </w:rPr>
      </w:pPr>
    </w:p>
    <w:p w14:paraId="13A8E18A" w14:textId="77777777" w:rsidR="00B15F7D" w:rsidRPr="00990FB6" w:rsidRDefault="00B15F7D" w:rsidP="00B15F7D">
      <w:pPr>
        <w:ind w:left="851" w:right="851" w:firstLine="709"/>
        <w:jc w:val="both"/>
        <w:rPr>
          <w:i/>
          <w:iCs/>
          <w:sz w:val="22"/>
          <w:szCs w:val="22"/>
        </w:rPr>
      </w:pPr>
      <w:r w:rsidRPr="00990FB6">
        <w:rPr>
          <w:i/>
          <w:iCs/>
          <w:sz w:val="22"/>
          <w:szCs w:val="22"/>
        </w:rPr>
        <w:t>“El Consejo Superior como la Corte Plena, en razón de la situación fiscal del país con el agravante que ha ocasionado la pandemia, deben mantener una política restrictiva para la formulación y ejecución de los presupuestos institucionales, especialmente en cuanto al proceso de formulación de la partida de remuneraciones que por su peso  representa más del 85% de los recursos asignados, lo que hace vital el control de sus componentes para evitar el desequilibrio, principalmente porque la regla fiscal impone límites al gasto corriente, al que pertenece este rubro.”.</w:t>
      </w:r>
    </w:p>
    <w:p w14:paraId="50E12919" w14:textId="77777777" w:rsidR="00B15F7D" w:rsidRPr="00990FB6" w:rsidRDefault="00B15F7D" w:rsidP="00B15F7D">
      <w:pPr>
        <w:ind w:left="851" w:right="851" w:firstLine="709"/>
        <w:jc w:val="both"/>
        <w:rPr>
          <w:sz w:val="22"/>
          <w:szCs w:val="22"/>
        </w:rPr>
      </w:pPr>
    </w:p>
    <w:p w14:paraId="68F2863C" w14:textId="77777777" w:rsidR="00B15F7D" w:rsidRPr="00990FB6" w:rsidRDefault="00B15F7D" w:rsidP="00B15F7D">
      <w:pPr>
        <w:ind w:left="851" w:right="851" w:firstLine="709"/>
        <w:jc w:val="both"/>
        <w:rPr>
          <w:sz w:val="22"/>
          <w:szCs w:val="22"/>
        </w:rPr>
      </w:pPr>
      <w:r w:rsidRPr="00990FB6">
        <w:rPr>
          <w:sz w:val="22"/>
          <w:szCs w:val="22"/>
        </w:rPr>
        <w:t xml:space="preserve">Con respecto al límite presupuestario 2024 comunicado por la Dirección de Planificación mediante el oficio N°3429-PLA-PP-TR-2022, estimado conforme al porcentaje del crecimiento del 0% aprobado por el Consejo Superior en la sesión Nº103-2022 del 24 de noviembre, artículo XIII, </w:t>
      </w:r>
      <w:r w:rsidRPr="00990FB6">
        <w:rPr>
          <w:b/>
          <w:bCs/>
          <w:sz w:val="22"/>
          <w:szCs w:val="22"/>
        </w:rPr>
        <w:t>se tiene que el anteproyecto de presupuesto del Área de Informática muestra un crecimiento en el gasto corriente de ₡110.503.199 y en el gasto de capital de ₡5.070.589.019</w:t>
      </w:r>
      <w:r w:rsidRPr="00990FB6">
        <w:rPr>
          <w:sz w:val="22"/>
          <w:szCs w:val="22"/>
        </w:rPr>
        <w:t xml:space="preserve"> En la siguiente tabla se presenta el comportamiento del 2023 y 2024 del gasto corriente y gasto de capital. </w:t>
      </w:r>
    </w:p>
    <w:p w14:paraId="3B14AA0D" w14:textId="77777777" w:rsidR="00B15F7D" w:rsidRPr="00990FB6" w:rsidRDefault="00B15F7D" w:rsidP="00B15F7D">
      <w:pPr>
        <w:ind w:left="851" w:right="851" w:firstLine="709"/>
        <w:jc w:val="both"/>
        <w:rPr>
          <w:sz w:val="22"/>
          <w:szCs w:val="22"/>
        </w:rPr>
      </w:pPr>
    </w:p>
    <w:p w14:paraId="22CC9109"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3492D287" wp14:editId="7FA35806">
            <wp:extent cx="4171950" cy="1253490"/>
            <wp:effectExtent l="0" t="0" r="0" b="3810"/>
            <wp:docPr id="1477147097" name="Imagen 147714709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exto&#10;&#10;Descripción generada automáticamente"/>
                    <pic:cNvPicPr/>
                  </pic:nvPicPr>
                  <pic:blipFill>
                    <a:blip r:embed="rId107"/>
                    <a:stretch>
                      <a:fillRect/>
                    </a:stretch>
                  </pic:blipFill>
                  <pic:spPr>
                    <a:xfrm>
                      <a:off x="0" y="0"/>
                      <a:ext cx="4232645" cy="1271726"/>
                    </a:xfrm>
                    <a:prstGeom prst="rect">
                      <a:avLst/>
                    </a:prstGeom>
                  </pic:spPr>
                </pic:pic>
              </a:graphicData>
            </a:graphic>
          </wp:inline>
        </w:drawing>
      </w:r>
    </w:p>
    <w:p w14:paraId="1CE4D7B8" w14:textId="77777777" w:rsidR="00B15F7D" w:rsidRPr="00990FB6" w:rsidRDefault="00B15F7D" w:rsidP="00B15F7D">
      <w:pPr>
        <w:ind w:left="851" w:right="851" w:firstLine="709"/>
        <w:jc w:val="both"/>
        <w:rPr>
          <w:sz w:val="22"/>
          <w:szCs w:val="22"/>
        </w:rPr>
      </w:pPr>
    </w:p>
    <w:p w14:paraId="12347255" w14:textId="77777777" w:rsidR="00B15F7D" w:rsidRPr="00990FB6" w:rsidRDefault="00B15F7D" w:rsidP="00B15F7D">
      <w:pPr>
        <w:ind w:left="851" w:right="851" w:firstLine="709"/>
        <w:jc w:val="both"/>
        <w:rPr>
          <w:b/>
          <w:bCs/>
          <w:sz w:val="22"/>
          <w:szCs w:val="22"/>
          <w:lang w:eastAsia="es-ES"/>
        </w:rPr>
      </w:pPr>
      <w:r w:rsidRPr="00990FB6">
        <w:rPr>
          <w:b/>
          <w:bCs/>
          <w:sz w:val="22"/>
          <w:szCs w:val="22"/>
        </w:rPr>
        <w:t xml:space="preserve">Compra o Adquisición de Computadoras en Sustitución del Alquiler de Equipo de Cómputo </w:t>
      </w:r>
    </w:p>
    <w:p w14:paraId="0112DB1C" w14:textId="77777777" w:rsidR="00B15F7D" w:rsidRPr="00990FB6" w:rsidRDefault="00B15F7D" w:rsidP="00B15F7D">
      <w:pPr>
        <w:ind w:left="851" w:right="851" w:firstLine="709"/>
        <w:jc w:val="both"/>
        <w:rPr>
          <w:sz w:val="22"/>
          <w:szCs w:val="22"/>
        </w:rPr>
      </w:pPr>
    </w:p>
    <w:p w14:paraId="4B6C6570" w14:textId="77777777" w:rsidR="00B15F7D" w:rsidRPr="00990FB6" w:rsidRDefault="00B15F7D" w:rsidP="00B15F7D">
      <w:pPr>
        <w:ind w:left="851" w:right="851" w:firstLine="709"/>
        <w:jc w:val="both"/>
        <w:rPr>
          <w:sz w:val="22"/>
          <w:szCs w:val="22"/>
        </w:rPr>
      </w:pPr>
      <w:r w:rsidRPr="00990FB6">
        <w:rPr>
          <w:sz w:val="22"/>
          <w:szCs w:val="22"/>
        </w:rPr>
        <w:t xml:space="preserve">El Consejo Superior en la sesión N°47-2022 del 02 de junio, artículo LXIII, conoce el oficio N°CGTI-14-2022 del 01 de junio, suscrito por la Máster Kattia Morales Navarro, Secretaria de Comisión Gerencial de Tecnología de la Información, en donde comunica el acuerdo tomado en la sesión extraordinaria celebrada el 01 de junio del 2022, artículo único, en el que se aprueba la propuesta presentada por la Dirección de Tecnología de la Información y Comunicaciones de iniciar con las acciones necesarias para adquirir equipo de cómputo en lugar de continuar alquilando. </w:t>
      </w:r>
    </w:p>
    <w:p w14:paraId="187C503C" w14:textId="77777777" w:rsidR="00B15F7D" w:rsidRPr="00990FB6" w:rsidRDefault="00B15F7D" w:rsidP="00B15F7D">
      <w:pPr>
        <w:ind w:left="851" w:right="851" w:firstLine="709"/>
        <w:jc w:val="both"/>
        <w:rPr>
          <w:sz w:val="22"/>
          <w:szCs w:val="22"/>
        </w:rPr>
      </w:pPr>
    </w:p>
    <w:p w14:paraId="741EC4DE" w14:textId="77777777" w:rsidR="00B15F7D" w:rsidRPr="00990FB6" w:rsidRDefault="00B15F7D" w:rsidP="00B15F7D">
      <w:pPr>
        <w:ind w:left="851" w:right="851" w:firstLine="709"/>
        <w:jc w:val="both"/>
        <w:rPr>
          <w:b/>
          <w:bCs/>
          <w:sz w:val="22"/>
          <w:szCs w:val="22"/>
        </w:rPr>
      </w:pPr>
      <w:r w:rsidRPr="00990FB6">
        <w:rPr>
          <w:b/>
          <w:bCs/>
          <w:sz w:val="22"/>
          <w:szCs w:val="22"/>
        </w:rPr>
        <w:t xml:space="preserve">Como parte de estas acciones, en la subpartida 10103 Alquiler de Equipo de Cómputo se ve reflejado en la formulación 2024 una disminución de ₡1.786.073.170, los cuales la Dirección de Tecnología de Información y Comunicaciones considera como “ahorro institucional”. </w:t>
      </w:r>
    </w:p>
    <w:p w14:paraId="5B7365E4" w14:textId="77777777" w:rsidR="00B15F7D" w:rsidRPr="00990FB6" w:rsidRDefault="00B15F7D" w:rsidP="00B15F7D">
      <w:pPr>
        <w:ind w:left="851" w:right="851" w:firstLine="709"/>
        <w:jc w:val="both"/>
        <w:rPr>
          <w:sz w:val="22"/>
          <w:szCs w:val="22"/>
        </w:rPr>
      </w:pPr>
    </w:p>
    <w:p w14:paraId="7518D5BC"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Subpartidas que Experimentan Crecimiento</w:t>
      </w:r>
    </w:p>
    <w:p w14:paraId="54CC7B71" w14:textId="77777777" w:rsidR="00B15F7D" w:rsidRPr="00990FB6" w:rsidRDefault="00B15F7D" w:rsidP="00B15F7D">
      <w:pPr>
        <w:ind w:left="851" w:right="851" w:firstLine="709"/>
        <w:jc w:val="both"/>
        <w:rPr>
          <w:sz w:val="22"/>
          <w:szCs w:val="22"/>
        </w:rPr>
      </w:pPr>
    </w:p>
    <w:p w14:paraId="43A8787D" w14:textId="77777777" w:rsidR="00B15F7D" w:rsidRPr="00990FB6" w:rsidRDefault="00B15F7D" w:rsidP="00B15F7D">
      <w:pPr>
        <w:ind w:left="851" w:right="851" w:firstLine="709"/>
        <w:jc w:val="both"/>
        <w:rPr>
          <w:sz w:val="22"/>
          <w:szCs w:val="22"/>
        </w:rPr>
      </w:pPr>
      <w:r w:rsidRPr="00990FB6">
        <w:rPr>
          <w:sz w:val="22"/>
          <w:szCs w:val="22"/>
        </w:rPr>
        <w:t>Mediante los oficios N°3010-DTIC-2022 y N°3016-DTIC-2022 ambos con fecha 22 de noviembre del 2022, la Máster Kattia Morales Navarro detalla la propuesta del anteproyecto de presupuesto 2024 del área tecnológica, señala que el incremento con respecto al 2023 se muestra en las siguientes subpartidas.</w:t>
      </w:r>
    </w:p>
    <w:p w14:paraId="31233677" w14:textId="77777777" w:rsidR="00B15F7D" w:rsidRPr="00990FB6" w:rsidRDefault="00B15F7D" w:rsidP="00B15F7D">
      <w:pPr>
        <w:ind w:left="851" w:right="851" w:firstLine="709"/>
        <w:jc w:val="both"/>
        <w:rPr>
          <w:sz w:val="22"/>
          <w:szCs w:val="22"/>
        </w:rPr>
      </w:pPr>
    </w:p>
    <w:p w14:paraId="2EED5204"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Subpartida 10204 Servicio de Telecomunicaciones. </w:t>
      </w:r>
      <w:r w:rsidRPr="00990FB6">
        <w:rPr>
          <w:sz w:val="22"/>
          <w:szCs w:val="22"/>
        </w:rPr>
        <w:t>Incrementa en ₡214.360.000, para atender temas de enlace de fibra óptica.</w:t>
      </w:r>
    </w:p>
    <w:p w14:paraId="617034AC" w14:textId="77777777" w:rsidR="00B15F7D" w:rsidRPr="00990FB6" w:rsidRDefault="00B15F7D" w:rsidP="00B15F7D">
      <w:pPr>
        <w:suppressAutoHyphens w:val="0"/>
        <w:ind w:left="1560" w:right="851"/>
        <w:contextualSpacing/>
        <w:jc w:val="both"/>
        <w:rPr>
          <w:sz w:val="22"/>
          <w:szCs w:val="22"/>
        </w:rPr>
      </w:pPr>
    </w:p>
    <w:p w14:paraId="28A1A6CB"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Subpartida 10405 Servicios Informáticos. </w:t>
      </w:r>
      <w:r w:rsidRPr="00990FB6">
        <w:rPr>
          <w:sz w:val="22"/>
          <w:szCs w:val="22"/>
        </w:rPr>
        <w:t xml:space="preserve">Incrementa en ₡159.750.000. Los recursos formulados en esta subpartida son incluidos por la Dirección de Tecnología de la Información y Comunicaciones para el desarrollo de páginas Web, para seguridad informática, para monitoreo de infraestructura crítica 24/7 </w:t>
      </w:r>
      <w:proofErr w:type="gramStart"/>
      <w:r w:rsidRPr="00990FB6">
        <w:rPr>
          <w:sz w:val="22"/>
          <w:szCs w:val="22"/>
        </w:rPr>
        <w:t>y  para</w:t>
      </w:r>
      <w:proofErr w:type="gramEnd"/>
      <w:r w:rsidRPr="00990FB6">
        <w:rPr>
          <w:sz w:val="22"/>
          <w:szCs w:val="22"/>
        </w:rPr>
        <w:t xml:space="preserve"> arquitectura de sistemas.</w:t>
      </w:r>
    </w:p>
    <w:p w14:paraId="5C887A55" w14:textId="77777777" w:rsidR="00B15F7D" w:rsidRPr="00990FB6" w:rsidRDefault="00B15F7D" w:rsidP="00B15F7D">
      <w:pPr>
        <w:suppressAutoHyphens w:val="0"/>
        <w:ind w:left="1560" w:right="851"/>
        <w:contextualSpacing/>
        <w:jc w:val="both"/>
        <w:rPr>
          <w:sz w:val="22"/>
          <w:szCs w:val="22"/>
        </w:rPr>
      </w:pPr>
    </w:p>
    <w:p w14:paraId="7AC9FEBE" w14:textId="77777777" w:rsidR="00B15F7D" w:rsidRPr="00990FB6" w:rsidRDefault="00B15F7D" w:rsidP="00B15F7D">
      <w:pPr>
        <w:numPr>
          <w:ilvl w:val="0"/>
          <w:numId w:val="173"/>
        </w:numPr>
        <w:suppressAutoHyphens w:val="0"/>
        <w:ind w:left="851" w:right="851" w:firstLine="709"/>
        <w:contextualSpacing/>
        <w:jc w:val="both"/>
        <w:rPr>
          <w:sz w:val="22"/>
          <w:szCs w:val="22"/>
        </w:rPr>
      </w:pPr>
      <w:r w:rsidRPr="00990FB6">
        <w:rPr>
          <w:b/>
          <w:bCs/>
          <w:sz w:val="22"/>
          <w:szCs w:val="22"/>
        </w:rPr>
        <w:t>Subpartida 50105 Equipo de Cómputo.</w:t>
      </w:r>
      <w:r w:rsidRPr="00990FB6">
        <w:rPr>
          <w:sz w:val="22"/>
          <w:szCs w:val="22"/>
        </w:rPr>
        <w:t xml:space="preserve"> Incrementa en ₡3.539.760.979 para la adquisición de servidores de cómputo obsoletos, la compra de equipo de cómputo que sustituye al alquiler, switches que se deben cambiar por estar obsoletos, dispositivos de seguridad debido a que los actuales estarán sin soporte por parte del fabricante a finales del 2023.</w:t>
      </w:r>
    </w:p>
    <w:p w14:paraId="323EC67F" w14:textId="77777777" w:rsidR="00B15F7D" w:rsidRPr="00990FB6" w:rsidRDefault="00B15F7D" w:rsidP="00B15F7D">
      <w:pPr>
        <w:suppressAutoHyphens w:val="0"/>
        <w:ind w:left="1560" w:right="851"/>
        <w:contextualSpacing/>
        <w:jc w:val="both"/>
        <w:rPr>
          <w:sz w:val="22"/>
          <w:szCs w:val="22"/>
        </w:rPr>
      </w:pPr>
    </w:p>
    <w:p w14:paraId="2D51B933" w14:textId="77777777" w:rsidR="00B15F7D" w:rsidRPr="00990FB6" w:rsidRDefault="00B15F7D" w:rsidP="00B15F7D">
      <w:pPr>
        <w:numPr>
          <w:ilvl w:val="0"/>
          <w:numId w:val="173"/>
        </w:numPr>
        <w:suppressAutoHyphens w:val="0"/>
        <w:ind w:left="851" w:right="851" w:firstLine="709"/>
        <w:contextualSpacing/>
        <w:jc w:val="both"/>
        <w:rPr>
          <w:sz w:val="22"/>
          <w:szCs w:val="22"/>
        </w:rPr>
      </w:pPr>
      <w:r w:rsidRPr="00990FB6">
        <w:rPr>
          <w:b/>
          <w:bCs/>
          <w:sz w:val="22"/>
          <w:szCs w:val="22"/>
        </w:rPr>
        <w:t>Subpartida 59903 Bienes Intangibles.</w:t>
      </w:r>
      <w:r w:rsidRPr="00990FB6">
        <w:rPr>
          <w:sz w:val="22"/>
          <w:szCs w:val="22"/>
        </w:rPr>
        <w:t xml:space="preserve"> Incrementa en ₡1.432.673.820 se da principalmente por renovaciones y compras de licencias. El crecimiento de compras de equipo de cómputo hace necesario ampliar la cantidad de licencias de antivirus. Inteligencia artificial para nuevas formas de mejorar la efectividad implica renovación de licencias. Seguridad Informática para protección avanzada de seguridad. Telemática para la renovación de VPN, seguridad por Internet, renovación de solución de seguridad para redes entre circuitos regionales y renovaciones de licenciamientos de equipamiento en telecomunicaciones. Sistemas Administrativos para migración y rediseño SIGA-PJ, PEI-PAO, Nexus, etc.</w:t>
      </w:r>
    </w:p>
    <w:p w14:paraId="333AA2CF" w14:textId="77777777" w:rsidR="00B15F7D" w:rsidRPr="00990FB6" w:rsidRDefault="00B15F7D" w:rsidP="00B15F7D">
      <w:pPr>
        <w:ind w:left="851" w:right="851" w:firstLine="709"/>
        <w:rPr>
          <w:sz w:val="22"/>
          <w:szCs w:val="22"/>
        </w:rPr>
      </w:pPr>
    </w:p>
    <w:p w14:paraId="6B84AB66" w14:textId="77777777" w:rsidR="00B15F7D" w:rsidRPr="00990FB6" w:rsidRDefault="00B15F7D" w:rsidP="00B15F7D">
      <w:pPr>
        <w:ind w:left="851" w:right="851" w:firstLine="709"/>
        <w:jc w:val="both"/>
        <w:rPr>
          <w:sz w:val="22"/>
          <w:szCs w:val="22"/>
        </w:rPr>
      </w:pPr>
      <w:r w:rsidRPr="00990FB6">
        <w:rPr>
          <w:sz w:val="22"/>
          <w:szCs w:val="22"/>
        </w:rPr>
        <w:t>En el siguiente cuadro se hace un resumen de los montos que se detallaron anteriormente.</w:t>
      </w:r>
    </w:p>
    <w:p w14:paraId="5BB05DD7" w14:textId="77777777" w:rsidR="00B15F7D" w:rsidRPr="00990FB6" w:rsidRDefault="00B15F7D" w:rsidP="00B15F7D">
      <w:pPr>
        <w:ind w:left="851" w:right="851" w:firstLine="709"/>
        <w:jc w:val="both"/>
        <w:rPr>
          <w:sz w:val="22"/>
          <w:szCs w:val="22"/>
        </w:rPr>
      </w:pPr>
    </w:p>
    <w:p w14:paraId="180CEFA1"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3874D19C" wp14:editId="749A0D6F">
            <wp:extent cx="4105275" cy="1733550"/>
            <wp:effectExtent l="0" t="0" r="9525" b="0"/>
            <wp:docPr id="1871822102" name="Imagen 187182210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10;&#10;Descripción generada automáticamente"/>
                    <pic:cNvPicPr/>
                  </pic:nvPicPr>
                  <pic:blipFill>
                    <a:blip r:embed="rId108"/>
                    <a:stretch>
                      <a:fillRect/>
                    </a:stretch>
                  </pic:blipFill>
                  <pic:spPr>
                    <a:xfrm>
                      <a:off x="0" y="0"/>
                      <a:ext cx="4127588" cy="1742972"/>
                    </a:xfrm>
                    <a:prstGeom prst="rect">
                      <a:avLst/>
                    </a:prstGeom>
                  </pic:spPr>
                </pic:pic>
              </a:graphicData>
            </a:graphic>
          </wp:inline>
        </w:drawing>
      </w:r>
    </w:p>
    <w:p w14:paraId="4351A3E4" w14:textId="77777777" w:rsidR="00B15F7D" w:rsidRPr="00990FB6" w:rsidRDefault="00B15F7D" w:rsidP="00B15F7D">
      <w:pPr>
        <w:ind w:left="851" w:right="851" w:firstLine="709"/>
        <w:jc w:val="both"/>
        <w:rPr>
          <w:sz w:val="22"/>
          <w:szCs w:val="22"/>
        </w:rPr>
      </w:pPr>
    </w:p>
    <w:p w14:paraId="2E0948B5" w14:textId="77777777" w:rsidR="00B15F7D" w:rsidRPr="00990FB6" w:rsidRDefault="00B15F7D" w:rsidP="00B15F7D">
      <w:pPr>
        <w:ind w:left="851" w:right="851" w:firstLine="709"/>
        <w:jc w:val="both"/>
        <w:rPr>
          <w:sz w:val="22"/>
          <w:szCs w:val="22"/>
        </w:rPr>
      </w:pPr>
      <w:r w:rsidRPr="00990FB6">
        <w:rPr>
          <w:sz w:val="22"/>
          <w:szCs w:val="22"/>
        </w:rPr>
        <w:lastRenderedPageBreak/>
        <w:t>Adicionalmente, otras subpartidas con incrementos significativos son las siguientes:</w:t>
      </w:r>
    </w:p>
    <w:p w14:paraId="35370A4B" w14:textId="77777777" w:rsidR="00B15F7D" w:rsidRPr="00990FB6" w:rsidRDefault="00B15F7D" w:rsidP="00B15F7D">
      <w:pPr>
        <w:ind w:left="851" w:right="851" w:firstLine="709"/>
        <w:rPr>
          <w:sz w:val="22"/>
          <w:szCs w:val="22"/>
        </w:rPr>
      </w:pPr>
    </w:p>
    <w:p w14:paraId="1B929E1D"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Subpartida 10199 Otros Alquileres. </w:t>
      </w:r>
      <w:r w:rsidRPr="00990FB6">
        <w:rPr>
          <w:sz w:val="22"/>
          <w:szCs w:val="22"/>
        </w:rPr>
        <w:t>Se formulan</w:t>
      </w:r>
      <w:r w:rsidRPr="00990FB6">
        <w:rPr>
          <w:b/>
          <w:bCs/>
          <w:sz w:val="22"/>
          <w:szCs w:val="22"/>
        </w:rPr>
        <w:t xml:space="preserve"> </w:t>
      </w:r>
      <w:r w:rsidRPr="00990FB6">
        <w:rPr>
          <w:sz w:val="22"/>
          <w:szCs w:val="22"/>
        </w:rPr>
        <w:t>₡221.000.000, para dar sostenibilidad al alquiler del Centro de Datos principal (INS). Se visualizan por primera vez en el presupuesto del Área, dado que en el 2023 los recursos se generaron en el presupuesto de la Dirección de Tecnología de Información y Comunicaciones.</w:t>
      </w:r>
    </w:p>
    <w:p w14:paraId="62C88138" w14:textId="77777777" w:rsidR="00B15F7D" w:rsidRPr="00990FB6" w:rsidRDefault="00B15F7D" w:rsidP="00B15F7D">
      <w:pPr>
        <w:suppressAutoHyphens w:val="0"/>
        <w:ind w:left="1560" w:right="851"/>
        <w:contextualSpacing/>
        <w:jc w:val="both"/>
        <w:rPr>
          <w:sz w:val="22"/>
          <w:szCs w:val="22"/>
        </w:rPr>
      </w:pPr>
    </w:p>
    <w:p w14:paraId="41123482"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Subpartida 29901 Útiles y Materiales de Oficina y Cómputo. </w:t>
      </w:r>
      <w:r w:rsidRPr="00990FB6">
        <w:rPr>
          <w:sz w:val="22"/>
          <w:szCs w:val="22"/>
        </w:rPr>
        <w:t>Se incluyen ₡18.170.044 para la adquisición de auriculares para habilitar extensiones IP y para facilitar la realización de audiencias virtuales. Además de ₡38.842.868 para audífonos para ser utilizados en reuniones virtuales, capacitaciones, audiencias, entre otros. Finalmente, destacan ₡40.000.000 para la compra de cartuchos de cintas magnéticas LTO7 para todos los circuitos del país.</w:t>
      </w:r>
    </w:p>
    <w:p w14:paraId="72754008" w14:textId="77777777" w:rsidR="00B15F7D" w:rsidRPr="00990FB6" w:rsidRDefault="00B15F7D" w:rsidP="00B15F7D">
      <w:pPr>
        <w:suppressAutoHyphens w:val="0"/>
        <w:ind w:left="1560" w:right="851"/>
        <w:contextualSpacing/>
        <w:jc w:val="both"/>
        <w:rPr>
          <w:sz w:val="22"/>
          <w:szCs w:val="22"/>
        </w:rPr>
      </w:pPr>
    </w:p>
    <w:p w14:paraId="172666D3"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Subpartida 50103 Equipo de Comunicación. </w:t>
      </w:r>
      <w:r w:rsidRPr="00990FB6">
        <w:rPr>
          <w:sz w:val="22"/>
          <w:szCs w:val="22"/>
        </w:rPr>
        <w:t xml:space="preserve">Se incluyen los recursos para la adquisición de amplificador mezcladora de sonido, cámaras de documentos, cámaras de video, cámaras web, convertidores, equipo voz y sonido, grabador de audio digital, modulo supervivencia local central telefónica IP, pantalla led, pantalla o pizarra interactiva, parlante para auditorio, </w:t>
      </w:r>
      <w:proofErr w:type="spellStart"/>
      <w:r w:rsidRPr="00990FB6">
        <w:rPr>
          <w:sz w:val="22"/>
          <w:szCs w:val="22"/>
        </w:rPr>
        <w:t>patch</w:t>
      </w:r>
      <w:proofErr w:type="spellEnd"/>
      <w:r w:rsidRPr="00990FB6">
        <w:rPr>
          <w:sz w:val="22"/>
          <w:szCs w:val="22"/>
        </w:rPr>
        <w:t xml:space="preserve"> panel, sistema de grabación, sistema de microfonía inalámbrica, sistema de videoconferencia, sistema grabación para salas de juicio y teléfonos IP.</w:t>
      </w:r>
    </w:p>
    <w:p w14:paraId="37436021" w14:textId="77777777" w:rsidR="00B15F7D" w:rsidRPr="00990FB6" w:rsidRDefault="00B15F7D" w:rsidP="00B15F7D">
      <w:pPr>
        <w:suppressAutoHyphens w:val="0"/>
        <w:ind w:left="1560" w:right="851"/>
        <w:contextualSpacing/>
        <w:jc w:val="both"/>
        <w:rPr>
          <w:sz w:val="22"/>
          <w:szCs w:val="22"/>
        </w:rPr>
      </w:pPr>
    </w:p>
    <w:p w14:paraId="2ECBA3A9" w14:textId="77777777" w:rsidR="00B15F7D" w:rsidRPr="00990FB6" w:rsidRDefault="00B15F7D" w:rsidP="00B15F7D">
      <w:pPr>
        <w:ind w:left="851" w:right="851" w:firstLine="709"/>
        <w:jc w:val="both"/>
        <w:rPr>
          <w:sz w:val="22"/>
          <w:szCs w:val="22"/>
        </w:rPr>
      </w:pPr>
      <w:r w:rsidRPr="00990FB6">
        <w:rPr>
          <w:sz w:val="22"/>
          <w:szCs w:val="22"/>
        </w:rPr>
        <w:t xml:space="preserve">Entre los rubros destacados se tienen: para sistemas de grabación para salas de juicio se incluyen ₡316.918.360, para sistemas de videoconferencia se incluyen ₡113.941.422, se incluyen ₡89.186.380 para la compra de Teléfonos IP, se incluyen ₡28.758.257 en Convertidores para fibra óptica requeridos para mejoras en los enlaces internos de fibra óptica en los edificios y entre zonas de la red interna, entre otros. Para Módulo supervivencia local central telefónica ₡27.000.000.  Se incluyen ₡24.220.526 para la compra de Cámaras web para varias oficinas. Se incluyen ₡20.238.300 Cámaras de video para el salón de Corte Plena para integrar a la solución de </w:t>
      </w:r>
      <w:proofErr w:type="spellStart"/>
      <w:r w:rsidRPr="00990FB6">
        <w:rPr>
          <w:sz w:val="22"/>
          <w:szCs w:val="22"/>
        </w:rPr>
        <w:t>streaming</w:t>
      </w:r>
      <w:proofErr w:type="spellEnd"/>
      <w:r w:rsidRPr="00990FB6">
        <w:rPr>
          <w:sz w:val="22"/>
          <w:szCs w:val="22"/>
        </w:rPr>
        <w:t xml:space="preserve"> y unidades de stock para atender emergencias en sustitución de cámaras en salas de juicio. Se incluyen ₡16.547.381 para Amplificador mezcladora de sonido para sustitución del sistema de audio del Auditorio del OIJ y de los salones del Edificio de la Corte, tercer piso.  Para Sistema de imagen y sonido para cámara </w:t>
      </w:r>
      <w:proofErr w:type="spellStart"/>
      <w:r w:rsidRPr="00990FB6">
        <w:rPr>
          <w:sz w:val="22"/>
          <w:szCs w:val="22"/>
        </w:rPr>
        <w:t>Gessel</w:t>
      </w:r>
      <w:proofErr w:type="spellEnd"/>
      <w:r w:rsidRPr="00990FB6">
        <w:rPr>
          <w:sz w:val="22"/>
          <w:szCs w:val="22"/>
        </w:rPr>
        <w:t xml:space="preserve"> ₡15.818.025 solicitados por Turrialba, Golfito, Liberia, Limón y San José. Se incluyen ₡10.562.460 para Sistema de microfonía inalámbrica para sustituir el sistema del Auditorio del OIJ y de los salones del Edificio de Corte en el tercer piso.</w:t>
      </w:r>
    </w:p>
    <w:p w14:paraId="555263C8" w14:textId="77777777" w:rsidR="00B15F7D" w:rsidRPr="00990FB6" w:rsidRDefault="00B15F7D" w:rsidP="00B15F7D">
      <w:pPr>
        <w:ind w:left="851" w:right="851" w:firstLine="709"/>
        <w:jc w:val="both"/>
        <w:rPr>
          <w:sz w:val="22"/>
          <w:szCs w:val="22"/>
        </w:rPr>
      </w:pPr>
    </w:p>
    <w:p w14:paraId="54CAE43E"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Subpartida 50201 Edificios. </w:t>
      </w:r>
      <w:r w:rsidRPr="00990FB6">
        <w:rPr>
          <w:sz w:val="22"/>
          <w:szCs w:val="22"/>
        </w:rPr>
        <w:t xml:space="preserve">Para recableados estructurados en edificios judiciales los cuales se atenderán de acuerdo a los recursos disponibles y según el orden de prioridad: Edificio Anexo A de Tribunales del II Circuito Judicial de San </w:t>
      </w:r>
      <w:proofErr w:type="gramStart"/>
      <w:r w:rsidRPr="00990FB6">
        <w:rPr>
          <w:sz w:val="22"/>
          <w:szCs w:val="22"/>
        </w:rPr>
        <w:t>Jose,  Tribunales</w:t>
      </w:r>
      <w:proofErr w:type="gramEnd"/>
      <w:r w:rsidRPr="00990FB6">
        <w:rPr>
          <w:sz w:val="22"/>
          <w:szCs w:val="22"/>
        </w:rPr>
        <w:t xml:space="preserve"> de Santa Cruz,  Tribunales de Golfito,  Edificio de Tribunales de Atenas.</w:t>
      </w:r>
    </w:p>
    <w:p w14:paraId="06A310A5" w14:textId="77777777" w:rsidR="00B15F7D" w:rsidRPr="00990FB6" w:rsidRDefault="00B15F7D" w:rsidP="00B15F7D">
      <w:pPr>
        <w:ind w:left="851" w:right="851" w:firstLine="709"/>
        <w:contextualSpacing/>
        <w:jc w:val="both"/>
        <w:rPr>
          <w:sz w:val="22"/>
          <w:szCs w:val="22"/>
        </w:rPr>
      </w:pPr>
    </w:p>
    <w:p w14:paraId="38C22F8E" w14:textId="77777777" w:rsidR="00B15F7D" w:rsidRPr="00990FB6" w:rsidRDefault="00B15F7D" w:rsidP="00B15F7D">
      <w:pPr>
        <w:ind w:left="851" w:right="851" w:firstLine="709"/>
        <w:jc w:val="both"/>
        <w:rPr>
          <w:sz w:val="22"/>
          <w:szCs w:val="22"/>
        </w:rPr>
      </w:pPr>
      <w:r w:rsidRPr="00990FB6">
        <w:rPr>
          <w:sz w:val="22"/>
          <w:szCs w:val="22"/>
        </w:rPr>
        <w:t>La Dirección de Tecnología de la Información y Comunicaciones señala en el oficio N°3016-DTIC-2022 que:</w:t>
      </w:r>
    </w:p>
    <w:p w14:paraId="0CA73B79" w14:textId="77777777" w:rsidR="00B15F7D" w:rsidRPr="00990FB6" w:rsidRDefault="00B15F7D" w:rsidP="00B15F7D">
      <w:pPr>
        <w:ind w:left="851" w:right="851" w:firstLine="709"/>
        <w:jc w:val="both"/>
        <w:rPr>
          <w:sz w:val="22"/>
          <w:szCs w:val="22"/>
        </w:rPr>
      </w:pPr>
    </w:p>
    <w:p w14:paraId="06A13F1E" w14:textId="77777777" w:rsidR="00B15F7D" w:rsidRPr="00990FB6" w:rsidRDefault="00B15F7D" w:rsidP="00B15F7D">
      <w:pPr>
        <w:ind w:left="851" w:right="851" w:firstLine="709"/>
        <w:jc w:val="both"/>
        <w:rPr>
          <w:sz w:val="22"/>
          <w:szCs w:val="22"/>
        </w:rPr>
      </w:pPr>
      <w:r w:rsidRPr="00990FB6">
        <w:rPr>
          <w:sz w:val="22"/>
          <w:szCs w:val="22"/>
        </w:rPr>
        <w:t xml:space="preserve"> </w:t>
      </w:r>
      <w:r w:rsidRPr="00990FB6">
        <w:rPr>
          <w:i/>
          <w:iCs/>
          <w:sz w:val="22"/>
          <w:szCs w:val="22"/>
        </w:rPr>
        <w:t>“Durante varios años, esta Dirección ha sido consciente de la importancia de reducir los costos sin dejar de lado la calidad de los servicios y por este motivo, se logró por varios períodos, sostener las plataformas y el servicio que brinda la oficina con presupuestos reducidos y conforme a los límites presupuestarios establecidos, no obstante, para el período 2024 a pesar del compromiso que se tiene con el tema económico y la reducción de gastos, se vuelve materialmente imposible soportar una vez más el límite presupuestario, considerando que 2 están en un alto riesgo de obsolescencia muchos de los equipos que son los que sostienen la tecnología de la institución. Asimismo, el tema de Seguridad se ve impactado con el equilibrio que se exige usualmente con los límites previamente establecidos. Este año ha quedado aún más en evidencia la necesidad de invertir en este rubro de seguridad, dado que la ciberdelincuencia va en aumento y son cada día más frecuentes y más agresivos los ataques cibernéticos, con graves implicaciones para las instituciones del estado, no obstante, este es un rubro de muy altos costos a nivel mundial.”</w:t>
      </w:r>
      <w:r w:rsidRPr="00990FB6">
        <w:rPr>
          <w:sz w:val="22"/>
          <w:szCs w:val="22"/>
        </w:rPr>
        <w:t>.</w:t>
      </w:r>
    </w:p>
    <w:p w14:paraId="72FF112D" w14:textId="77777777" w:rsidR="00B15F7D" w:rsidRPr="00990FB6" w:rsidRDefault="00B15F7D" w:rsidP="00B15F7D">
      <w:pPr>
        <w:ind w:left="851" w:right="851" w:firstLine="709"/>
        <w:jc w:val="both"/>
        <w:rPr>
          <w:sz w:val="22"/>
          <w:szCs w:val="22"/>
        </w:rPr>
      </w:pPr>
    </w:p>
    <w:p w14:paraId="3E42DCCA" w14:textId="77777777" w:rsidR="00B15F7D" w:rsidRPr="00990FB6" w:rsidRDefault="00B15F7D" w:rsidP="00B15F7D">
      <w:pPr>
        <w:ind w:left="851" w:right="851" w:firstLine="709"/>
        <w:jc w:val="both"/>
        <w:rPr>
          <w:sz w:val="22"/>
          <w:szCs w:val="22"/>
        </w:rPr>
      </w:pPr>
      <w:r w:rsidRPr="00990FB6">
        <w:rPr>
          <w:sz w:val="22"/>
          <w:szCs w:val="22"/>
        </w:rPr>
        <w:t>Señalan que la Dirección ha realizado esfuerzos extraordinarios para depurar al máximo el requerimiento general 2024, pero es imposible mantener el presupuesto al límite presupuestario establecido y que de no realizar las inversiones mínimas requeridas que se presentan en esta formulación se estarían asumiendo los riesgos asociados a la obsolescencia tecnológica, limitaciones en las capacidades de almacenamiento y respaldo de la información, así como los riesgos en materia de seguridad tecnológica. Con estas justificaciones finalmente solicitaron a Corte Plena establecer como prioridad institucional en materia tecnológica este presupuesto y permitir el extra límite señalado para cubrir las necesidades institucionales.</w:t>
      </w:r>
    </w:p>
    <w:p w14:paraId="261D0B86" w14:textId="77777777" w:rsidR="00B15F7D" w:rsidRPr="00990FB6" w:rsidRDefault="00B15F7D" w:rsidP="00B15F7D">
      <w:pPr>
        <w:ind w:left="851" w:right="851" w:firstLine="709"/>
        <w:jc w:val="both"/>
        <w:rPr>
          <w:b/>
          <w:iCs/>
          <w:sz w:val="22"/>
          <w:szCs w:val="22"/>
        </w:rPr>
      </w:pPr>
    </w:p>
    <w:p w14:paraId="434FDADD"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Detalle del Gasto del Anteproyecto de Presupuesto 2024 del Área de Informática</w:t>
      </w:r>
    </w:p>
    <w:p w14:paraId="698C1930" w14:textId="77777777" w:rsidR="00B15F7D" w:rsidRPr="00990FB6" w:rsidRDefault="00B15F7D" w:rsidP="00B15F7D">
      <w:pPr>
        <w:ind w:left="851" w:right="851" w:firstLine="709"/>
        <w:jc w:val="both"/>
        <w:rPr>
          <w:sz w:val="22"/>
          <w:szCs w:val="22"/>
        </w:rPr>
      </w:pPr>
    </w:p>
    <w:p w14:paraId="3EAF3C86" w14:textId="77777777" w:rsidR="00B15F7D" w:rsidRPr="00990FB6" w:rsidRDefault="00B15F7D" w:rsidP="00B15F7D">
      <w:pPr>
        <w:ind w:left="851" w:right="851" w:firstLine="709"/>
        <w:jc w:val="both"/>
        <w:rPr>
          <w:sz w:val="22"/>
          <w:szCs w:val="22"/>
        </w:rPr>
      </w:pPr>
      <w:r w:rsidRPr="00990FB6">
        <w:rPr>
          <w:sz w:val="22"/>
          <w:szCs w:val="22"/>
        </w:rPr>
        <w:t xml:space="preserve">A continuación se incluye el archivo que contiene el análisis comparativo 2023-2024 del Área de Informática, también </w:t>
      </w:r>
      <w:proofErr w:type="gramStart"/>
      <w:r w:rsidRPr="00990FB6">
        <w:rPr>
          <w:sz w:val="22"/>
          <w:szCs w:val="22"/>
        </w:rPr>
        <w:t>se  presenta</w:t>
      </w:r>
      <w:proofErr w:type="gramEnd"/>
      <w:r w:rsidRPr="00990FB6">
        <w:rPr>
          <w:sz w:val="22"/>
          <w:szCs w:val="22"/>
        </w:rPr>
        <w:t xml:space="preserve"> el detalle del gasto del Sistema Integrado de Gestión Administrativa (SIGA-PJ) y del Sistema de Preformulación (SPREF).</w:t>
      </w:r>
    </w:p>
    <w:p w14:paraId="63B1C4B5" w14:textId="77777777" w:rsidR="00B15F7D" w:rsidRPr="00990FB6" w:rsidRDefault="00B15F7D" w:rsidP="00B15F7D">
      <w:pPr>
        <w:ind w:left="851" w:right="851" w:firstLine="709"/>
        <w:jc w:val="both"/>
        <w:rPr>
          <w:sz w:val="22"/>
          <w:szCs w:val="22"/>
        </w:rPr>
      </w:pPr>
    </w:p>
    <w:p w14:paraId="35D44067" w14:textId="77777777" w:rsidR="00B15F7D" w:rsidRPr="00990FB6" w:rsidRDefault="00B15F7D" w:rsidP="00B15F7D">
      <w:pPr>
        <w:ind w:left="851" w:right="851"/>
        <w:jc w:val="center"/>
        <w:rPr>
          <w:sz w:val="22"/>
          <w:szCs w:val="22"/>
        </w:rPr>
      </w:pPr>
      <w:r w:rsidRPr="00990FB6">
        <w:rPr>
          <w:sz w:val="22"/>
          <w:szCs w:val="22"/>
        </w:rPr>
        <w:object w:dxaOrig="1508" w:dyaOrig="983" w14:anchorId="6FC63E7D">
          <v:shape id="_x0000_i1060" type="#_x0000_t75" style="width:77.5pt;height:49pt" o:ole="">
            <v:imagedata r:id="rId109" o:title=""/>
          </v:shape>
          <o:OLEObject Type="Embed" ProgID="Excel.Sheet.12" ShapeID="_x0000_i1060" DrawAspect="Icon" ObjectID="_1748679188" r:id="rId110"/>
        </w:object>
      </w:r>
    </w:p>
    <w:p w14:paraId="2AB7716E" w14:textId="77777777" w:rsidR="00B15F7D" w:rsidRPr="00990FB6" w:rsidRDefault="00B15F7D" w:rsidP="00B15F7D">
      <w:pPr>
        <w:tabs>
          <w:tab w:val="center" w:pos="4252"/>
          <w:tab w:val="right" w:pos="8504"/>
        </w:tabs>
        <w:ind w:right="851"/>
        <w:jc w:val="both"/>
        <w:rPr>
          <w:b/>
          <w:bCs/>
          <w:sz w:val="22"/>
          <w:szCs w:val="22"/>
        </w:rPr>
      </w:pPr>
    </w:p>
    <w:p w14:paraId="5A8763C6"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Distribución de los Recursos del Área de Informática Asociados a Gastos de Operación y Proyectos Institucionales</w:t>
      </w:r>
    </w:p>
    <w:p w14:paraId="170B8277" w14:textId="77777777" w:rsidR="00B15F7D" w:rsidRPr="00990FB6" w:rsidRDefault="00B15F7D" w:rsidP="00B15F7D">
      <w:pPr>
        <w:ind w:left="851" w:right="851" w:firstLine="709"/>
        <w:jc w:val="both"/>
        <w:rPr>
          <w:sz w:val="22"/>
          <w:szCs w:val="22"/>
        </w:rPr>
      </w:pPr>
    </w:p>
    <w:p w14:paraId="2F98D969" w14:textId="77777777" w:rsidR="00B15F7D" w:rsidRPr="00990FB6" w:rsidRDefault="00B15F7D" w:rsidP="00B15F7D">
      <w:pPr>
        <w:ind w:left="851" w:right="851" w:firstLine="709"/>
        <w:jc w:val="both"/>
        <w:rPr>
          <w:sz w:val="22"/>
          <w:szCs w:val="22"/>
        </w:rPr>
      </w:pPr>
      <w:r w:rsidRPr="00990FB6">
        <w:rPr>
          <w:sz w:val="22"/>
          <w:szCs w:val="22"/>
        </w:rPr>
        <w:t>En el siguiente cuadro se muestra el comportamiento de los últimos tres años en cuanto a la distribución de los recursos formulados en el Área de Informática, asociados a gastos de operación y proyectos.</w:t>
      </w:r>
    </w:p>
    <w:p w14:paraId="15D9643E" w14:textId="77777777" w:rsidR="00B15F7D" w:rsidRPr="00990FB6" w:rsidRDefault="00B15F7D" w:rsidP="00B15F7D">
      <w:pPr>
        <w:ind w:left="851" w:right="851" w:firstLine="709"/>
        <w:jc w:val="both"/>
        <w:rPr>
          <w:sz w:val="22"/>
          <w:szCs w:val="22"/>
        </w:rPr>
      </w:pPr>
    </w:p>
    <w:p w14:paraId="4FE762DB" w14:textId="77777777" w:rsidR="00B15F7D" w:rsidRPr="00990FB6" w:rsidRDefault="00B15F7D" w:rsidP="00B15F7D">
      <w:pPr>
        <w:ind w:left="851" w:right="851" w:firstLine="709"/>
        <w:jc w:val="center"/>
        <w:rPr>
          <w:sz w:val="22"/>
          <w:szCs w:val="22"/>
        </w:rPr>
      </w:pPr>
      <w:r w:rsidRPr="00990FB6">
        <w:rPr>
          <w:noProof/>
          <w:sz w:val="22"/>
          <w:szCs w:val="22"/>
          <w:lang w:eastAsia="es-ES"/>
        </w:rPr>
        <w:lastRenderedPageBreak/>
        <w:drawing>
          <wp:inline distT="0" distB="0" distL="0" distR="0" wp14:anchorId="55024B44" wp14:editId="540E57ED">
            <wp:extent cx="4114800" cy="1278890"/>
            <wp:effectExtent l="0" t="0" r="0" b="0"/>
            <wp:docPr id="845474615" name="Imagen 8454746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exto&#10;&#10;Descripción generada automáticamente"/>
                    <pic:cNvPicPr/>
                  </pic:nvPicPr>
                  <pic:blipFill>
                    <a:blip r:embed="rId111"/>
                    <a:stretch>
                      <a:fillRect/>
                    </a:stretch>
                  </pic:blipFill>
                  <pic:spPr>
                    <a:xfrm>
                      <a:off x="0" y="0"/>
                      <a:ext cx="4140617" cy="1286914"/>
                    </a:xfrm>
                    <a:prstGeom prst="rect">
                      <a:avLst/>
                    </a:prstGeom>
                  </pic:spPr>
                </pic:pic>
              </a:graphicData>
            </a:graphic>
          </wp:inline>
        </w:drawing>
      </w:r>
    </w:p>
    <w:p w14:paraId="7AC85E92" w14:textId="77777777" w:rsidR="00B15F7D" w:rsidRPr="00990FB6" w:rsidRDefault="00B15F7D" w:rsidP="00B15F7D">
      <w:pPr>
        <w:ind w:left="851" w:right="851" w:firstLine="709"/>
        <w:jc w:val="both"/>
        <w:rPr>
          <w:sz w:val="22"/>
          <w:szCs w:val="22"/>
        </w:rPr>
      </w:pPr>
    </w:p>
    <w:p w14:paraId="73E10045" w14:textId="77777777" w:rsidR="00B15F7D" w:rsidRPr="00990FB6" w:rsidRDefault="00B15F7D" w:rsidP="00B15F7D">
      <w:pPr>
        <w:ind w:left="851" w:right="851" w:firstLine="709"/>
        <w:jc w:val="both"/>
        <w:rPr>
          <w:sz w:val="22"/>
          <w:szCs w:val="22"/>
        </w:rPr>
      </w:pPr>
      <w:r w:rsidRPr="00990FB6">
        <w:rPr>
          <w:sz w:val="22"/>
          <w:szCs w:val="22"/>
        </w:rPr>
        <w:t>Se observa que al igual que en años anteriores, la categoría que representa la mayor cantidad de recursos en el Área de Informática responde a Operación, pero se viene incrementando lo correspondiente a Proyectos como se muestra en la línea de tendencia en el siguiente gráfico, siendo que, a diferencia de los años anteriores, para el 2024 se observa un monto significativo.</w:t>
      </w:r>
    </w:p>
    <w:p w14:paraId="19D45360" w14:textId="77777777" w:rsidR="00B15F7D" w:rsidRPr="00990FB6" w:rsidRDefault="00B15F7D" w:rsidP="00B15F7D">
      <w:pPr>
        <w:ind w:left="851" w:right="851" w:firstLine="709"/>
        <w:jc w:val="both"/>
        <w:rPr>
          <w:sz w:val="22"/>
          <w:szCs w:val="22"/>
        </w:rPr>
      </w:pPr>
    </w:p>
    <w:p w14:paraId="018F4A8B" w14:textId="77777777" w:rsidR="00B15F7D" w:rsidRPr="00990FB6" w:rsidRDefault="00B15F7D" w:rsidP="00B15F7D">
      <w:pPr>
        <w:ind w:left="851" w:right="851" w:firstLine="709"/>
        <w:rPr>
          <w:sz w:val="22"/>
          <w:szCs w:val="22"/>
        </w:rPr>
      </w:pPr>
      <w:r w:rsidRPr="00990FB6">
        <w:rPr>
          <w:noProof/>
          <w:sz w:val="22"/>
          <w:szCs w:val="22"/>
          <w:lang w:eastAsia="es-ES"/>
        </w:rPr>
        <w:drawing>
          <wp:inline distT="0" distB="0" distL="0" distR="0" wp14:anchorId="45501256" wp14:editId="2BDC5505">
            <wp:extent cx="3962400" cy="2743200"/>
            <wp:effectExtent l="0" t="0" r="0" b="0"/>
            <wp:docPr id="21" name="Gráfico 21">
              <a:extLst xmlns:a="http://schemas.openxmlformats.org/drawingml/2006/main">
                <a:ext uri="{FF2B5EF4-FFF2-40B4-BE49-F238E27FC236}">
                  <a16:creationId xmlns:a16="http://schemas.microsoft.com/office/drawing/2014/main" id="{17B0D31E-B4C6-4171-9BE8-C1CE4F957E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12B609A" w14:textId="77777777" w:rsidR="00B15F7D" w:rsidRPr="00990FB6" w:rsidRDefault="00B15F7D" w:rsidP="00B15F7D">
      <w:pPr>
        <w:ind w:left="851" w:right="851" w:firstLine="709"/>
        <w:jc w:val="both"/>
        <w:rPr>
          <w:sz w:val="22"/>
          <w:szCs w:val="22"/>
        </w:rPr>
      </w:pPr>
    </w:p>
    <w:p w14:paraId="2825F74C" w14:textId="77777777" w:rsidR="00B15F7D" w:rsidRPr="00990FB6" w:rsidRDefault="00B15F7D" w:rsidP="00B15F7D">
      <w:pPr>
        <w:ind w:left="851" w:right="851" w:firstLine="709"/>
        <w:jc w:val="both"/>
        <w:rPr>
          <w:sz w:val="22"/>
          <w:szCs w:val="22"/>
        </w:rPr>
      </w:pPr>
      <w:r w:rsidRPr="00990FB6">
        <w:rPr>
          <w:sz w:val="22"/>
          <w:szCs w:val="22"/>
        </w:rPr>
        <w:t xml:space="preserve">En cuanto a la distribución porcentual de los recursos formulados en el Área de Informática para 2024, asociados a gastos de operación y proyectos, se determina que un 62% están asociados a Operación y un 38% a Proyectos. </w:t>
      </w:r>
    </w:p>
    <w:p w14:paraId="538CEDA8" w14:textId="77777777" w:rsidR="00B15F7D" w:rsidRPr="00990FB6" w:rsidRDefault="00B15F7D" w:rsidP="00B15F7D">
      <w:pPr>
        <w:ind w:left="851" w:right="851" w:firstLine="709"/>
        <w:jc w:val="both"/>
        <w:rPr>
          <w:sz w:val="22"/>
          <w:szCs w:val="22"/>
        </w:rPr>
      </w:pPr>
    </w:p>
    <w:p w14:paraId="60863812" w14:textId="77777777" w:rsidR="00B15F7D" w:rsidRPr="00990FB6" w:rsidRDefault="00B15F7D" w:rsidP="00B15F7D">
      <w:pPr>
        <w:ind w:left="851" w:right="851" w:firstLine="709"/>
        <w:jc w:val="center"/>
        <w:rPr>
          <w:b/>
          <w:iCs/>
          <w:sz w:val="22"/>
          <w:szCs w:val="22"/>
        </w:rPr>
      </w:pPr>
      <w:r w:rsidRPr="00990FB6">
        <w:rPr>
          <w:noProof/>
          <w:sz w:val="22"/>
          <w:szCs w:val="22"/>
          <w:lang w:eastAsia="es-ES"/>
        </w:rPr>
        <w:lastRenderedPageBreak/>
        <w:drawing>
          <wp:inline distT="0" distB="0" distL="0" distR="0" wp14:anchorId="3EB66A3F" wp14:editId="7716CD06">
            <wp:extent cx="3848100" cy="3041650"/>
            <wp:effectExtent l="0" t="0" r="0" b="6350"/>
            <wp:docPr id="25" name="Gráfico 25">
              <a:extLst xmlns:a="http://schemas.openxmlformats.org/drawingml/2006/main">
                <a:ext uri="{FF2B5EF4-FFF2-40B4-BE49-F238E27FC236}">
                  <a16:creationId xmlns:a16="http://schemas.microsoft.com/office/drawing/2014/main" id="{372AC5F4-C253-414D-9985-26971E1F49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821F5EA" w14:textId="77777777" w:rsidR="00B15F7D" w:rsidRPr="00990FB6" w:rsidRDefault="00B15F7D" w:rsidP="00B15F7D">
      <w:pPr>
        <w:ind w:left="851" w:right="851" w:firstLine="709"/>
        <w:jc w:val="center"/>
        <w:rPr>
          <w:b/>
          <w:iCs/>
          <w:sz w:val="22"/>
          <w:szCs w:val="22"/>
        </w:rPr>
      </w:pPr>
    </w:p>
    <w:p w14:paraId="69E3D0A5" w14:textId="77777777" w:rsidR="00B15F7D" w:rsidRPr="00990FB6" w:rsidRDefault="00B15F7D" w:rsidP="00B15F7D">
      <w:pPr>
        <w:ind w:left="851" w:right="851" w:firstLine="709"/>
        <w:jc w:val="center"/>
        <w:rPr>
          <w:b/>
          <w:iCs/>
          <w:sz w:val="22"/>
          <w:szCs w:val="22"/>
        </w:rPr>
      </w:pPr>
    </w:p>
    <w:p w14:paraId="63C84473"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Distribución del Anteproyecto de Presupuesto 2024 del Área de Informática por Programa Presupuestario</w:t>
      </w:r>
    </w:p>
    <w:p w14:paraId="14F6C8F2" w14:textId="77777777" w:rsidR="00B15F7D" w:rsidRPr="00990FB6" w:rsidRDefault="00B15F7D" w:rsidP="00B15F7D">
      <w:pPr>
        <w:ind w:left="851" w:right="851" w:firstLine="709"/>
        <w:jc w:val="both"/>
        <w:rPr>
          <w:sz w:val="22"/>
          <w:szCs w:val="22"/>
        </w:rPr>
      </w:pPr>
    </w:p>
    <w:p w14:paraId="5A87A53C" w14:textId="77777777" w:rsidR="00B15F7D" w:rsidRPr="00990FB6" w:rsidRDefault="00B15F7D" w:rsidP="00B15F7D">
      <w:pPr>
        <w:ind w:left="851" w:right="851" w:firstLine="709"/>
        <w:jc w:val="both"/>
        <w:rPr>
          <w:sz w:val="22"/>
          <w:szCs w:val="22"/>
        </w:rPr>
      </w:pPr>
      <w:r w:rsidRPr="00990FB6">
        <w:rPr>
          <w:sz w:val="22"/>
          <w:szCs w:val="22"/>
        </w:rPr>
        <w:t>En el gráfico que se presenta a continuación se muestra la distribución de los recursos solicitados en el anteproyecto de presupuesto 2024 del Área de Informática por programa presupuestario. El programa 926 Dirección y Administración agrupa el 87,10% de los recursos solicitados, seguido por el Organismo de Investigación Judicial con un 5,86%. Se debe resaltar que es la primera vez que se muestra en el anteproyecto de presupuesto del Área de Informática, recursos formulados para el programa 951 Administración Fondo de Jubilaciones y Pensiones.</w:t>
      </w:r>
    </w:p>
    <w:p w14:paraId="20DAC6EA" w14:textId="77777777" w:rsidR="00B15F7D" w:rsidRPr="00990FB6" w:rsidRDefault="00B15F7D" w:rsidP="00B15F7D">
      <w:pPr>
        <w:ind w:left="851" w:right="851" w:firstLine="709"/>
        <w:jc w:val="both"/>
        <w:rPr>
          <w:b/>
          <w:iCs/>
          <w:sz w:val="22"/>
          <w:szCs w:val="22"/>
        </w:rPr>
      </w:pPr>
    </w:p>
    <w:p w14:paraId="040DC9DD" w14:textId="77777777" w:rsidR="00B15F7D" w:rsidRPr="00990FB6" w:rsidRDefault="00B15F7D" w:rsidP="00B15F7D">
      <w:pPr>
        <w:ind w:left="851" w:right="851" w:firstLine="709"/>
        <w:jc w:val="center"/>
        <w:rPr>
          <w:b/>
          <w:iCs/>
          <w:sz w:val="22"/>
          <w:szCs w:val="22"/>
        </w:rPr>
      </w:pPr>
      <w:r w:rsidRPr="00990FB6">
        <w:rPr>
          <w:noProof/>
          <w:sz w:val="22"/>
          <w:szCs w:val="22"/>
          <w:lang w:eastAsia="es-ES"/>
        </w:rPr>
        <w:lastRenderedPageBreak/>
        <w:drawing>
          <wp:inline distT="0" distB="0" distL="0" distR="0" wp14:anchorId="40C44CBA" wp14:editId="45C044A0">
            <wp:extent cx="3819525" cy="3206750"/>
            <wp:effectExtent l="0" t="0" r="9525" b="12700"/>
            <wp:docPr id="103" name="Gráfico 103">
              <a:extLst xmlns:a="http://schemas.openxmlformats.org/drawingml/2006/main">
                <a:ext uri="{FF2B5EF4-FFF2-40B4-BE49-F238E27FC236}">
                  <a16:creationId xmlns:a16="http://schemas.microsoft.com/office/drawing/2014/main" id="{3850C2DD-CBDC-46C2-AA92-8BD7F46E4E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005E85F" w14:textId="77777777" w:rsidR="00B15F7D" w:rsidRPr="00990FB6" w:rsidRDefault="00B15F7D" w:rsidP="00B15F7D">
      <w:pPr>
        <w:ind w:left="851" w:right="851" w:firstLine="709"/>
        <w:jc w:val="both"/>
        <w:rPr>
          <w:sz w:val="22"/>
          <w:szCs w:val="22"/>
        </w:rPr>
      </w:pPr>
    </w:p>
    <w:p w14:paraId="1DB04A1F" w14:textId="77777777" w:rsidR="00B15F7D" w:rsidRPr="00990FB6" w:rsidRDefault="00B15F7D" w:rsidP="00B15F7D">
      <w:pPr>
        <w:ind w:left="851" w:right="851" w:firstLine="709"/>
        <w:jc w:val="both"/>
        <w:rPr>
          <w:sz w:val="22"/>
          <w:szCs w:val="22"/>
        </w:rPr>
      </w:pPr>
      <w:r w:rsidRPr="00990FB6">
        <w:rPr>
          <w:sz w:val="22"/>
          <w:szCs w:val="22"/>
        </w:rPr>
        <w:t xml:space="preserve">En lo que corresponde a la distribución por programa presupuestario, en la siguiente tabla se presenta un comparativo 2023-2024 del Área de Informática que muestra el total y la variación absoluta para cada uno de estos. </w:t>
      </w:r>
    </w:p>
    <w:p w14:paraId="0F18574A" w14:textId="77777777" w:rsidR="00B15F7D" w:rsidRPr="00990FB6" w:rsidRDefault="00B15F7D" w:rsidP="00B15F7D">
      <w:pPr>
        <w:ind w:left="851" w:right="851" w:firstLine="709"/>
        <w:jc w:val="both"/>
        <w:rPr>
          <w:sz w:val="22"/>
          <w:szCs w:val="22"/>
        </w:rPr>
      </w:pPr>
    </w:p>
    <w:p w14:paraId="33D9650F"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7C158BC8" wp14:editId="61A079CE">
            <wp:extent cx="4152900" cy="2056130"/>
            <wp:effectExtent l="0" t="0" r="0" b="1270"/>
            <wp:docPr id="705172312" name="Imagen 7051723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0" descr="Tabla&#10;&#10;Descripción generada automáticamente"/>
                    <pic:cNvPicPr/>
                  </pic:nvPicPr>
                  <pic:blipFill>
                    <a:blip r:embed="rId115"/>
                    <a:stretch>
                      <a:fillRect/>
                    </a:stretch>
                  </pic:blipFill>
                  <pic:spPr>
                    <a:xfrm>
                      <a:off x="0" y="0"/>
                      <a:ext cx="4152900" cy="2056130"/>
                    </a:xfrm>
                    <a:prstGeom prst="rect">
                      <a:avLst/>
                    </a:prstGeom>
                  </pic:spPr>
                </pic:pic>
              </a:graphicData>
            </a:graphic>
          </wp:inline>
        </w:drawing>
      </w:r>
    </w:p>
    <w:p w14:paraId="3606CC9D" w14:textId="77777777" w:rsidR="00B15F7D" w:rsidRPr="00990FB6" w:rsidRDefault="00B15F7D" w:rsidP="00B15F7D">
      <w:pPr>
        <w:ind w:left="851" w:right="851" w:firstLine="709"/>
        <w:jc w:val="center"/>
        <w:rPr>
          <w:sz w:val="22"/>
          <w:szCs w:val="22"/>
        </w:rPr>
      </w:pPr>
    </w:p>
    <w:p w14:paraId="3DE4668C" w14:textId="77777777" w:rsidR="00B15F7D" w:rsidRPr="00990FB6" w:rsidRDefault="00B15F7D" w:rsidP="00B15F7D">
      <w:pPr>
        <w:ind w:left="851" w:right="851" w:firstLine="709"/>
        <w:jc w:val="both"/>
        <w:rPr>
          <w:sz w:val="22"/>
          <w:szCs w:val="22"/>
        </w:rPr>
      </w:pPr>
      <w:r w:rsidRPr="00990FB6">
        <w:rPr>
          <w:sz w:val="22"/>
          <w:szCs w:val="22"/>
        </w:rPr>
        <w:t>De manera general se indican las justificaciones por el crecimiento a nivel de programa presupuestario.</w:t>
      </w:r>
    </w:p>
    <w:p w14:paraId="7E3ED595" w14:textId="77777777" w:rsidR="00B15F7D" w:rsidRPr="00990FB6" w:rsidRDefault="00B15F7D" w:rsidP="00B15F7D">
      <w:pPr>
        <w:ind w:left="851" w:right="851" w:firstLine="709"/>
        <w:jc w:val="both"/>
        <w:rPr>
          <w:sz w:val="22"/>
          <w:szCs w:val="22"/>
        </w:rPr>
      </w:pPr>
    </w:p>
    <w:p w14:paraId="4B94B555"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Programa 926 Dirección y Administración. </w:t>
      </w:r>
      <w:r w:rsidRPr="00990FB6">
        <w:rPr>
          <w:sz w:val="22"/>
          <w:szCs w:val="22"/>
        </w:rPr>
        <w:t xml:space="preserve">En la subpartida 10204 Servicio de Telecomunicaciones para enlaces de fibra óptica. Subpartida 10405 Servicios Informáticos para </w:t>
      </w:r>
      <w:proofErr w:type="gramStart"/>
      <w:r w:rsidRPr="00990FB6">
        <w:rPr>
          <w:sz w:val="22"/>
          <w:szCs w:val="22"/>
        </w:rPr>
        <w:t>consultorías  para</w:t>
      </w:r>
      <w:proofErr w:type="gramEnd"/>
      <w:r w:rsidRPr="00990FB6">
        <w:rPr>
          <w:sz w:val="22"/>
          <w:szCs w:val="22"/>
        </w:rPr>
        <w:t xml:space="preserve"> arquitectura tecnológica, monitoreo 24/7, seguridad que es de interés institucional. Subpartida 50105 Equipo de Cómputo para la compra de servidores y compra de equipo de cómputo, switches, dispositivos </w:t>
      </w:r>
      <w:r w:rsidRPr="00990FB6">
        <w:rPr>
          <w:sz w:val="22"/>
          <w:szCs w:val="22"/>
        </w:rPr>
        <w:lastRenderedPageBreak/>
        <w:t xml:space="preserve">de seguridad. Subpartida 59903 Bienes Intangibles para la compra de licencias del antivirus, inteligencia artificial, seguridad informática, renovación de VPN, seguridad por Internet, renovación de solución de seguridad para redes entre circuitos regionales y renovaciones de licenciamientos de equipamiento en telecomunicaciones. </w:t>
      </w:r>
    </w:p>
    <w:p w14:paraId="22FD4FA1" w14:textId="77777777" w:rsidR="00B15F7D" w:rsidRPr="00990FB6" w:rsidRDefault="00B15F7D" w:rsidP="00B15F7D">
      <w:pPr>
        <w:suppressAutoHyphens w:val="0"/>
        <w:ind w:right="851"/>
        <w:contextualSpacing/>
        <w:jc w:val="both"/>
        <w:rPr>
          <w:sz w:val="22"/>
          <w:szCs w:val="22"/>
        </w:rPr>
      </w:pPr>
    </w:p>
    <w:p w14:paraId="6AE48D7B"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Programa 927 Servicio Jurisdiccional. </w:t>
      </w:r>
      <w:r w:rsidRPr="00990FB6">
        <w:rPr>
          <w:sz w:val="22"/>
          <w:szCs w:val="22"/>
        </w:rPr>
        <w:t xml:space="preserve">Para la compra de sistemas de grabación para las salas de juicio. </w:t>
      </w:r>
    </w:p>
    <w:p w14:paraId="5D149826" w14:textId="77777777" w:rsidR="00B15F7D" w:rsidRPr="00990FB6" w:rsidRDefault="00B15F7D" w:rsidP="00B15F7D">
      <w:pPr>
        <w:suppressAutoHyphens w:val="0"/>
        <w:ind w:right="851"/>
        <w:contextualSpacing/>
        <w:jc w:val="both"/>
        <w:rPr>
          <w:sz w:val="22"/>
          <w:szCs w:val="22"/>
        </w:rPr>
      </w:pPr>
    </w:p>
    <w:p w14:paraId="7A1DDC5E" w14:textId="77777777" w:rsidR="00B15F7D" w:rsidRPr="00990FB6" w:rsidRDefault="00B15F7D" w:rsidP="00B15F7D">
      <w:pPr>
        <w:numPr>
          <w:ilvl w:val="0"/>
          <w:numId w:val="172"/>
        </w:numPr>
        <w:suppressAutoHyphens w:val="0"/>
        <w:ind w:left="851" w:right="851" w:firstLine="709"/>
        <w:contextualSpacing/>
        <w:jc w:val="both"/>
        <w:rPr>
          <w:b/>
          <w:bCs/>
          <w:sz w:val="22"/>
          <w:szCs w:val="22"/>
        </w:rPr>
      </w:pPr>
      <w:r w:rsidRPr="00990FB6">
        <w:rPr>
          <w:b/>
          <w:bCs/>
          <w:sz w:val="22"/>
          <w:szCs w:val="22"/>
        </w:rPr>
        <w:t xml:space="preserve">Programa 929 Ministerio Público. </w:t>
      </w:r>
      <w:r w:rsidRPr="00990FB6">
        <w:rPr>
          <w:sz w:val="22"/>
          <w:szCs w:val="22"/>
        </w:rPr>
        <w:t>Para la compra de equipo de cómputo.</w:t>
      </w:r>
    </w:p>
    <w:p w14:paraId="669BF7EF" w14:textId="77777777" w:rsidR="00B15F7D" w:rsidRPr="00990FB6" w:rsidRDefault="00B15F7D" w:rsidP="00B15F7D">
      <w:pPr>
        <w:suppressAutoHyphens w:val="0"/>
        <w:ind w:right="851"/>
        <w:contextualSpacing/>
        <w:jc w:val="both"/>
        <w:rPr>
          <w:b/>
          <w:bCs/>
          <w:sz w:val="22"/>
          <w:szCs w:val="22"/>
        </w:rPr>
      </w:pPr>
    </w:p>
    <w:p w14:paraId="08837A59" w14:textId="77777777" w:rsidR="00B15F7D" w:rsidRPr="00990FB6" w:rsidRDefault="00B15F7D" w:rsidP="00B15F7D">
      <w:pPr>
        <w:numPr>
          <w:ilvl w:val="0"/>
          <w:numId w:val="172"/>
        </w:numPr>
        <w:suppressAutoHyphens w:val="0"/>
        <w:ind w:left="851" w:right="851" w:firstLine="709"/>
        <w:contextualSpacing/>
        <w:jc w:val="both"/>
        <w:rPr>
          <w:sz w:val="22"/>
          <w:szCs w:val="22"/>
        </w:rPr>
      </w:pPr>
      <w:r w:rsidRPr="00990FB6">
        <w:rPr>
          <w:b/>
          <w:bCs/>
          <w:sz w:val="22"/>
          <w:szCs w:val="22"/>
        </w:rPr>
        <w:t xml:space="preserve">Programa 930 Defensa Pública. </w:t>
      </w:r>
      <w:r w:rsidRPr="00990FB6">
        <w:rPr>
          <w:sz w:val="22"/>
          <w:szCs w:val="22"/>
        </w:rPr>
        <w:t>Para la compra de equipo de cómputo.</w:t>
      </w:r>
    </w:p>
    <w:p w14:paraId="36F958BD" w14:textId="77777777" w:rsidR="00B15F7D" w:rsidRPr="00990FB6" w:rsidRDefault="00B15F7D" w:rsidP="00B15F7D">
      <w:pPr>
        <w:suppressAutoHyphens w:val="0"/>
        <w:ind w:right="851"/>
        <w:contextualSpacing/>
        <w:jc w:val="both"/>
        <w:rPr>
          <w:sz w:val="22"/>
          <w:szCs w:val="22"/>
        </w:rPr>
      </w:pPr>
    </w:p>
    <w:p w14:paraId="16CE0B2D" w14:textId="77777777" w:rsidR="00B15F7D" w:rsidRPr="00990FB6" w:rsidRDefault="00B15F7D" w:rsidP="00B15F7D">
      <w:pPr>
        <w:numPr>
          <w:ilvl w:val="0"/>
          <w:numId w:val="172"/>
        </w:numPr>
        <w:suppressAutoHyphens w:val="0"/>
        <w:ind w:left="851" w:right="851" w:firstLine="709"/>
        <w:contextualSpacing/>
        <w:jc w:val="both"/>
        <w:rPr>
          <w:b/>
          <w:iCs/>
          <w:sz w:val="22"/>
          <w:szCs w:val="22"/>
        </w:rPr>
      </w:pPr>
      <w:r w:rsidRPr="00990FB6">
        <w:rPr>
          <w:b/>
          <w:bCs/>
          <w:sz w:val="22"/>
          <w:szCs w:val="22"/>
        </w:rPr>
        <w:t xml:space="preserve">Programa 951 Administración del Fondo de Jubilaciones y Pensiones. </w:t>
      </w:r>
      <w:r w:rsidRPr="00990FB6">
        <w:rPr>
          <w:sz w:val="22"/>
          <w:szCs w:val="22"/>
        </w:rPr>
        <w:t xml:space="preserve">Se incluyen por primera vez recursos en el Área de Informática para este programa presupuestario, para la adquisición artículos como auriculares, escáner, UPS, impresoras, licencias, entre otros. </w:t>
      </w:r>
    </w:p>
    <w:p w14:paraId="798F7FE1" w14:textId="77777777" w:rsidR="00B15F7D" w:rsidRPr="00990FB6" w:rsidRDefault="00B15F7D" w:rsidP="00B15F7D">
      <w:pPr>
        <w:suppressAutoHyphens w:val="0"/>
        <w:ind w:right="851"/>
        <w:contextualSpacing/>
        <w:jc w:val="both"/>
        <w:rPr>
          <w:b/>
          <w:iCs/>
          <w:sz w:val="22"/>
          <w:szCs w:val="22"/>
        </w:rPr>
      </w:pPr>
    </w:p>
    <w:p w14:paraId="1129E655"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Distribución del Anteproyecto de Presupuesto 2024 del Área de Informática por Centro de Responsabilidad</w:t>
      </w:r>
    </w:p>
    <w:p w14:paraId="0F760DA5" w14:textId="77777777" w:rsidR="00B15F7D" w:rsidRPr="00990FB6" w:rsidRDefault="00B15F7D" w:rsidP="00B15F7D">
      <w:pPr>
        <w:ind w:left="851" w:right="851" w:firstLine="709"/>
        <w:jc w:val="both"/>
        <w:rPr>
          <w:sz w:val="22"/>
          <w:szCs w:val="22"/>
        </w:rPr>
      </w:pPr>
    </w:p>
    <w:p w14:paraId="3EF62059" w14:textId="77777777" w:rsidR="00B15F7D" w:rsidRPr="00990FB6" w:rsidRDefault="00B15F7D" w:rsidP="00B15F7D">
      <w:pPr>
        <w:ind w:left="851" w:right="851" w:firstLine="709"/>
        <w:jc w:val="both"/>
        <w:rPr>
          <w:sz w:val="22"/>
          <w:szCs w:val="22"/>
        </w:rPr>
      </w:pPr>
      <w:r w:rsidRPr="00990FB6">
        <w:rPr>
          <w:sz w:val="22"/>
          <w:szCs w:val="22"/>
        </w:rPr>
        <w:t>En lo que corresponde a la distribución de recursos 2024 del Área de Informática por centro de responsabilidad, en el siguiente gráfico se muestran los 14 centros con la mayor cantidad de recursos solicitados.</w:t>
      </w:r>
    </w:p>
    <w:p w14:paraId="0343D306" w14:textId="77777777" w:rsidR="00B15F7D" w:rsidRPr="00990FB6" w:rsidRDefault="00B15F7D" w:rsidP="00B15F7D">
      <w:pPr>
        <w:ind w:left="851" w:right="851" w:firstLine="709"/>
        <w:jc w:val="both"/>
        <w:rPr>
          <w:sz w:val="22"/>
          <w:szCs w:val="22"/>
        </w:rPr>
      </w:pPr>
    </w:p>
    <w:p w14:paraId="5C0334BE" w14:textId="77777777" w:rsidR="00B15F7D" w:rsidRPr="00990FB6" w:rsidRDefault="00B15F7D" w:rsidP="00B15F7D">
      <w:pPr>
        <w:ind w:left="851" w:right="851" w:firstLine="709"/>
        <w:jc w:val="center"/>
        <w:rPr>
          <w:sz w:val="22"/>
          <w:szCs w:val="22"/>
        </w:rPr>
      </w:pPr>
      <w:r w:rsidRPr="00990FB6">
        <w:rPr>
          <w:noProof/>
          <w:sz w:val="22"/>
          <w:szCs w:val="22"/>
          <w:lang w:eastAsia="es-ES"/>
        </w:rPr>
        <w:lastRenderedPageBreak/>
        <w:drawing>
          <wp:inline distT="0" distB="0" distL="0" distR="0" wp14:anchorId="646DC14E" wp14:editId="619DB5A2">
            <wp:extent cx="3838575" cy="3780790"/>
            <wp:effectExtent l="0" t="0" r="9525" b="10160"/>
            <wp:docPr id="105" name="Gráfico 105">
              <a:extLst xmlns:a="http://schemas.openxmlformats.org/drawingml/2006/main">
                <a:ext uri="{FF2B5EF4-FFF2-40B4-BE49-F238E27FC236}">
                  <a16:creationId xmlns:a16="http://schemas.microsoft.com/office/drawing/2014/main" id="{F8F1CD86-6B72-4F85-51F3-39B002989C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20B3346" w14:textId="77777777" w:rsidR="00B15F7D" w:rsidRPr="00990FB6" w:rsidRDefault="00B15F7D" w:rsidP="00B15F7D">
      <w:pPr>
        <w:ind w:left="851" w:right="851" w:firstLine="709"/>
        <w:jc w:val="center"/>
        <w:rPr>
          <w:sz w:val="22"/>
          <w:szCs w:val="22"/>
        </w:rPr>
      </w:pPr>
    </w:p>
    <w:p w14:paraId="02BAAB2C" w14:textId="77777777" w:rsidR="00B15F7D" w:rsidRPr="00990FB6" w:rsidRDefault="00B15F7D" w:rsidP="00B15F7D">
      <w:pPr>
        <w:ind w:left="851" w:right="851" w:firstLine="709"/>
        <w:jc w:val="both"/>
        <w:rPr>
          <w:sz w:val="22"/>
          <w:szCs w:val="22"/>
        </w:rPr>
      </w:pPr>
      <w:r w:rsidRPr="00990FB6">
        <w:rPr>
          <w:sz w:val="22"/>
          <w:szCs w:val="22"/>
        </w:rPr>
        <w:t>En cuanto al presupuesto de la Dirección de Tecnología de la Información y Comunicaciones y la Dirección Ejecutiva, es importante indicar que formulan recursos para atender necesidades de todas las oficinas a nivel institucional. En el Organismo de Investigación Judicial, Ministerio Público y la Defensa Pública, se formulan recursos para atender necesidades de las oficinas de sus programas a nivel nacional.</w:t>
      </w:r>
      <w:r w:rsidRPr="00990FB6">
        <w:rPr>
          <w:b/>
          <w:bCs/>
          <w:sz w:val="22"/>
          <w:szCs w:val="22"/>
        </w:rPr>
        <w:t xml:space="preserve"> </w:t>
      </w:r>
    </w:p>
    <w:p w14:paraId="4E4566F1" w14:textId="77777777" w:rsidR="00B15F7D" w:rsidRPr="00990FB6" w:rsidRDefault="00B15F7D" w:rsidP="00B15F7D">
      <w:pPr>
        <w:ind w:left="851" w:right="851" w:firstLine="709"/>
        <w:jc w:val="both"/>
        <w:rPr>
          <w:sz w:val="22"/>
          <w:szCs w:val="22"/>
        </w:rPr>
      </w:pPr>
    </w:p>
    <w:p w14:paraId="578AFF9D" w14:textId="77777777" w:rsidR="00B15F7D" w:rsidRPr="00990FB6" w:rsidRDefault="00B15F7D" w:rsidP="00B15F7D">
      <w:pPr>
        <w:ind w:left="851" w:right="851" w:firstLine="709"/>
        <w:jc w:val="both"/>
        <w:rPr>
          <w:sz w:val="22"/>
          <w:szCs w:val="22"/>
        </w:rPr>
      </w:pPr>
      <w:r w:rsidRPr="00990FB6">
        <w:rPr>
          <w:sz w:val="22"/>
          <w:szCs w:val="22"/>
        </w:rPr>
        <w:t>Para los demás centros de responsabilidad se hacen las siguientes observaciones en cuanto a los rubros más representativos:</w:t>
      </w:r>
    </w:p>
    <w:p w14:paraId="0A7D1AF5" w14:textId="77777777" w:rsidR="00B15F7D" w:rsidRPr="00990FB6" w:rsidRDefault="00B15F7D" w:rsidP="00B15F7D">
      <w:pPr>
        <w:ind w:left="851" w:right="851" w:firstLine="709"/>
        <w:jc w:val="both"/>
        <w:rPr>
          <w:sz w:val="22"/>
          <w:szCs w:val="22"/>
        </w:rPr>
      </w:pPr>
    </w:p>
    <w:p w14:paraId="7C7FD236"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Dirección de Gestión Humana.</w:t>
      </w:r>
      <w:r w:rsidRPr="00990FB6">
        <w:rPr>
          <w:sz w:val="22"/>
          <w:szCs w:val="22"/>
        </w:rPr>
        <w:t xml:space="preserve"> Se formulan ₡55.054.839 para la compra de 151 tabletas para evaluaciones de la judicatura judicial y aplicar pruebas de ingreso, ₡16.843.015 para la compra de computadoras portátiles y ₡25.425.672 para licencias de software.</w:t>
      </w:r>
    </w:p>
    <w:p w14:paraId="4EB05E13" w14:textId="77777777" w:rsidR="00B15F7D" w:rsidRPr="00990FB6" w:rsidRDefault="00B15F7D" w:rsidP="00B15F7D">
      <w:pPr>
        <w:suppressAutoHyphens w:val="0"/>
        <w:ind w:right="851"/>
        <w:contextualSpacing/>
        <w:jc w:val="both"/>
        <w:rPr>
          <w:sz w:val="22"/>
          <w:szCs w:val="22"/>
        </w:rPr>
      </w:pPr>
    </w:p>
    <w:p w14:paraId="5F15CD80"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Departamento de Trabajo Social y Psicología.</w:t>
      </w:r>
      <w:r w:rsidRPr="00990FB6">
        <w:rPr>
          <w:sz w:val="22"/>
          <w:szCs w:val="22"/>
        </w:rPr>
        <w:t xml:space="preserve"> Se incluyen ₡21.275.841 para la compra de equipo de cómputo, ₡6.595.091 para escáneres y ₡7.151.896 para </w:t>
      </w:r>
      <w:proofErr w:type="spellStart"/>
      <w:r w:rsidRPr="00990FB6">
        <w:rPr>
          <w:sz w:val="22"/>
          <w:szCs w:val="22"/>
        </w:rPr>
        <w:t>pad</w:t>
      </w:r>
      <w:proofErr w:type="spellEnd"/>
      <w:r w:rsidRPr="00990FB6">
        <w:rPr>
          <w:sz w:val="22"/>
          <w:szCs w:val="22"/>
        </w:rPr>
        <w:t xml:space="preserve"> para captura de firmas.</w:t>
      </w:r>
    </w:p>
    <w:p w14:paraId="62799618"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Escuela Judicial.</w:t>
      </w:r>
      <w:r w:rsidRPr="00990FB6">
        <w:rPr>
          <w:sz w:val="22"/>
          <w:szCs w:val="22"/>
        </w:rPr>
        <w:t xml:space="preserve"> Se formulan recursos para la compra de computadoras para sustitución ₡20.712.889 y ₡11.321.980 para licencias de software.</w:t>
      </w:r>
    </w:p>
    <w:p w14:paraId="6D7FF474" w14:textId="77777777" w:rsidR="00B15F7D" w:rsidRPr="00990FB6" w:rsidRDefault="00B15F7D" w:rsidP="00B15F7D">
      <w:pPr>
        <w:suppressAutoHyphens w:val="0"/>
        <w:ind w:right="851"/>
        <w:contextualSpacing/>
        <w:jc w:val="both"/>
        <w:rPr>
          <w:sz w:val="22"/>
          <w:szCs w:val="22"/>
        </w:rPr>
      </w:pPr>
    </w:p>
    <w:p w14:paraId="60D1E8E5"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Primer Circuito Judicial de San José</w:t>
      </w:r>
      <w:r w:rsidRPr="00990FB6">
        <w:rPr>
          <w:sz w:val="22"/>
          <w:szCs w:val="22"/>
        </w:rPr>
        <w:t xml:space="preserve">.  Lo que se formula en la Administración del Primer Circuito de San José (Supernumerarios) programa 927 es </w:t>
      </w:r>
      <w:r w:rsidRPr="00990FB6">
        <w:rPr>
          <w:sz w:val="22"/>
          <w:szCs w:val="22"/>
        </w:rPr>
        <w:lastRenderedPageBreak/>
        <w:t xml:space="preserve">para mantener en stock de la Dirección Ejecutiva según indica para atender urgencias que se presentan por parte de las Administraciones Regionales, el detalle es el siguiente;  Audífonos, cámaras web, computadoras, escáneres, impresoras, monitores, sistemas de grabación de audio, tabletas para notificaciones, UPS, </w:t>
      </w:r>
      <w:proofErr w:type="spellStart"/>
      <w:r w:rsidRPr="00990FB6">
        <w:rPr>
          <w:sz w:val="22"/>
          <w:szCs w:val="22"/>
        </w:rPr>
        <w:t>Pad</w:t>
      </w:r>
      <w:proofErr w:type="spellEnd"/>
      <w:r w:rsidRPr="00990FB6">
        <w:rPr>
          <w:sz w:val="22"/>
          <w:szCs w:val="22"/>
        </w:rPr>
        <w:t xml:space="preserve"> para capturas de firmas, Teléfonos IP, sistemas de videoconferencia y sistemas de imagen y sonido para cámara </w:t>
      </w:r>
      <w:proofErr w:type="spellStart"/>
      <w:r w:rsidRPr="00990FB6">
        <w:rPr>
          <w:sz w:val="22"/>
          <w:szCs w:val="22"/>
        </w:rPr>
        <w:t>Gessel</w:t>
      </w:r>
      <w:proofErr w:type="spellEnd"/>
      <w:r w:rsidRPr="00990FB6">
        <w:rPr>
          <w:sz w:val="22"/>
          <w:szCs w:val="22"/>
        </w:rPr>
        <w:t>.</w:t>
      </w:r>
    </w:p>
    <w:p w14:paraId="6FE0829D" w14:textId="77777777" w:rsidR="00B15F7D" w:rsidRPr="00990FB6" w:rsidRDefault="00B15F7D" w:rsidP="00B15F7D">
      <w:pPr>
        <w:suppressAutoHyphens w:val="0"/>
        <w:ind w:right="851"/>
        <w:contextualSpacing/>
        <w:jc w:val="both"/>
        <w:rPr>
          <w:sz w:val="22"/>
          <w:szCs w:val="22"/>
        </w:rPr>
      </w:pPr>
    </w:p>
    <w:p w14:paraId="12FFB0AE"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sz w:val="22"/>
          <w:szCs w:val="22"/>
          <w:lang w:val="pt-PT"/>
        </w:rPr>
        <w:t>Tercer Circuito Judicial de Alajuela.</w:t>
      </w:r>
      <w:r w:rsidRPr="00990FB6">
        <w:rPr>
          <w:sz w:val="22"/>
          <w:szCs w:val="22"/>
          <w:lang w:val="pt-PT"/>
        </w:rPr>
        <w:t xml:space="preserve"> </w:t>
      </w:r>
      <w:r w:rsidRPr="00990FB6">
        <w:rPr>
          <w:sz w:val="22"/>
          <w:szCs w:val="22"/>
        </w:rPr>
        <w:t>Se incluyen ₡36.429.035 para sistema de videoconferencia y sistema de grabación para sustituir equipos obsoletos.</w:t>
      </w:r>
    </w:p>
    <w:p w14:paraId="7629CF8F" w14:textId="77777777" w:rsidR="00B15F7D" w:rsidRPr="00990FB6" w:rsidRDefault="00B15F7D" w:rsidP="00B15F7D">
      <w:pPr>
        <w:suppressAutoHyphens w:val="0"/>
        <w:ind w:right="851"/>
        <w:contextualSpacing/>
        <w:jc w:val="both"/>
        <w:rPr>
          <w:sz w:val="22"/>
          <w:szCs w:val="22"/>
        </w:rPr>
      </w:pPr>
    </w:p>
    <w:p w14:paraId="3D0CA4AC"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Circuito Judicial de Heredia.</w:t>
      </w:r>
      <w:r w:rsidRPr="00990FB6">
        <w:rPr>
          <w:sz w:val="22"/>
          <w:szCs w:val="22"/>
        </w:rPr>
        <w:t xml:space="preserve"> Se incluyen ₡31.691.836 para sistema de grabación para salas de juicio para sustituir equipos obsoletos.</w:t>
      </w:r>
    </w:p>
    <w:p w14:paraId="291640EA" w14:textId="77777777" w:rsidR="00B15F7D" w:rsidRPr="00990FB6" w:rsidRDefault="00B15F7D" w:rsidP="00B15F7D">
      <w:pPr>
        <w:suppressAutoHyphens w:val="0"/>
        <w:ind w:right="851"/>
        <w:contextualSpacing/>
        <w:jc w:val="both"/>
        <w:rPr>
          <w:sz w:val="22"/>
          <w:szCs w:val="22"/>
        </w:rPr>
      </w:pPr>
    </w:p>
    <w:p w14:paraId="55C51019"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Circuito Judicial de Cartago.</w:t>
      </w:r>
      <w:r w:rsidRPr="00990FB6">
        <w:rPr>
          <w:sz w:val="22"/>
          <w:szCs w:val="22"/>
        </w:rPr>
        <w:t xml:space="preserve"> Se incluyen ₡33.839.320 para sistema de grabación y computadoras para salas de juicio para sustituir equipos obsoletos.</w:t>
      </w:r>
    </w:p>
    <w:p w14:paraId="040766AD" w14:textId="77777777" w:rsidR="00B15F7D" w:rsidRPr="00990FB6" w:rsidRDefault="00B15F7D" w:rsidP="00B15F7D">
      <w:pPr>
        <w:suppressAutoHyphens w:val="0"/>
        <w:ind w:right="851"/>
        <w:contextualSpacing/>
        <w:jc w:val="both"/>
        <w:rPr>
          <w:sz w:val="22"/>
          <w:szCs w:val="22"/>
        </w:rPr>
      </w:pPr>
    </w:p>
    <w:p w14:paraId="2AFABB4A"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Primer Circuito Judicial de la Zona Atlántica.</w:t>
      </w:r>
      <w:r w:rsidRPr="00990FB6">
        <w:rPr>
          <w:sz w:val="22"/>
          <w:szCs w:val="22"/>
        </w:rPr>
        <w:t xml:space="preserve"> Se incluyen ₡33.262.251 para sistema de grabación para salas de juicio de </w:t>
      </w:r>
      <w:proofErr w:type="spellStart"/>
      <w:r w:rsidRPr="00990FB6">
        <w:rPr>
          <w:sz w:val="22"/>
          <w:szCs w:val="22"/>
        </w:rPr>
        <w:t>Bribrí</w:t>
      </w:r>
      <w:proofErr w:type="spellEnd"/>
      <w:r w:rsidRPr="00990FB6">
        <w:rPr>
          <w:sz w:val="22"/>
          <w:szCs w:val="22"/>
        </w:rPr>
        <w:t xml:space="preserve">, sistema de videoconferencia y sistema de imagen y sonido para cámara </w:t>
      </w:r>
      <w:proofErr w:type="spellStart"/>
      <w:r w:rsidRPr="00990FB6">
        <w:rPr>
          <w:sz w:val="22"/>
          <w:szCs w:val="22"/>
        </w:rPr>
        <w:t>Gessel</w:t>
      </w:r>
      <w:proofErr w:type="spellEnd"/>
      <w:r w:rsidRPr="00990FB6">
        <w:rPr>
          <w:sz w:val="22"/>
          <w:szCs w:val="22"/>
        </w:rPr>
        <w:t>.</w:t>
      </w:r>
    </w:p>
    <w:p w14:paraId="6FEFC173" w14:textId="77777777" w:rsidR="00B15F7D" w:rsidRPr="00990FB6" w:rsidRDefault="00B15F7D" w:rsidP="00B15F7D">
      <w:pPr>
        <w:suppressAutoHyphens w:val="0"/>
        <w:ind w:right="851"/>
        <w:contextualSpacing/>
        <w:jc w:val="both"/>
        <w:rPr>
          <w:sz w:val="22"/>
          <w:szCs w:val="22"/>
        </w:rPr>
      </w:pPr>
    </w:p>
    <w:p w14:paraId="5BDD4220" w14:textId="77777777" w:rsidR="00B15F7D" w:rsidRPr="00990FB6" w:rsidRDefault="00B15F7D" w:rsidP="00B15F7D">
      <w:pPr>
        <w:numPr>
          <w:ilvl w:val="0"/>
          <w:numId w:val="177"/>
        </w:numPr>
        <w:suppressAutoHyphens w:val="0"/>
        <w:ind w:left="851" w:right="851" w:firstLine="709"/>
        <w:contextualSpacing/>
        <w:jc w:val="both"/>
        <w:rPr>
          <w:sz w:val="22"/>
          <w:szCs w:val="22"/>
        </w:rPr>
      </w:pPr>
      <w:r w:rsidRPr="00990FB6">
        <w:rPr>
          <w:b/>
          <w:bCs/>
          <w:sz w:val="22"/>
          <w:szCs w:val="22"/>
        </w:rPr>
        <w:t>Segundo Circuito Judicial de la Zona Sur.</w:t>
      </w:r>
      <w:r w:rsidRPr="00990FB6">
        <w:rPr>
          <w:sz w:val="22"/>
          <w:szCs w:val="22"/>
        </w:rPr>
        <w:t xml:space="preserve"> Se incluyen ₡31.691.836 para sistema de grabación para salas de juicio.</w:t>
      </w:r>
    </w:p>
    <w:p w14:paraId="523EAE73" w14:textId="77777777" w:rsidR="00B15F7D" w:rsidRPr="00990FB6" w:rsidRDefault="00B15F7D" w:rsidP="00B15F7D">
      <w:pPr>
        <w:ind w:left="851" w:right="851" w:firstLine="709"/>
        <w:rPr>
          <w:b/>
          <w:iCs/>
          <w:sz w:val="22"/>
          <w:szCs w:val="22"/>
        </w:rPr>
      </w:pPr>
    </w:p>
    <w:p w14:paraId="49B75009"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Distribución del Anteproyecto de Presupuesto 2024 del Área de Informática por Subpartida Presupuestaria</w:t>
      </w:r>
    </w:p>
    <w:p w14:paraId="18865671" w14:textId="77777777" w:rsidR="00B15F7D" w:rsidRPr="00990FB6" w:rsidRDefault="00B15F7D" w:rsidP="00B15F7D">
      <w:pPr>
        <w:ind w:left="851" w:right="851" w:firstLine="709"/>
        <w:rPr>
          <w:b/>
          <w:iCs/>
          <w:sz w:val="22"/>
          <w:szCs w:val="22"/>
        </w:rPr>
      </w:pPr>
    </w:p>
    <w:p w14:paraId="74AEF97A" w14:textId="77777777" w:rsidR="00B15F7D" w:rsidRPr="00990FB6" w:rsidRDefault="00B15F7D" w:rsidP="00B15F7D">
      <w:pPr>
        <w:ind w:left="851" w:right="851" w:firstLine="709"/>
        <w:jc w:val="both"/>
        <w:rPr>
          <w:sz w:val="22"/>
          <w:szCs w:val="22"/>
        </w:rPr>
      </w:pPr>
      <w:r w:rsidRPr="00990FB6">
        <w:rPr>
          <w:sz w:val="22"/>
          <w:szCs w:val="22"/>
        </w:rPr>
        <w:t xml:space="preserve">A continuación, se presenta la desagregación por subpartida presupuestaria del anteproyecto de presupuesto 2024 del Área de Informática, mostrando de mayor a menor según lo formulado para el 2024, haciendo una comparación con respecto a lo aprobado para el 2023 y mostrando la diferencia porcentual y absoluta. </w:t>
      </w:r>
    </w:p>
    <w:p w14:paraId="77A5A1A5" w14:textId="77777777" w:rsidR="00B15F7D" w:rsidRPr="00990FB6" w:rsidRDefault="00B15F7D" w:rsidP="00B15F7D">
      <w:pPr>
        <w:ind w:left="851" w:right="851" w:firstLine="709"/>
        <w:jc w:val="both"/>
        <w:rPr>
          <w:sz w:val="22"/>
          <w:szCs w:val="22"/>
        </w:rPr>
      </w:pPr>
    </w:p>
    <w:p w14:paraId="28373F8A" w14:textId="77777777" w:rsidR="00B15F7D" w:rsidRPr="00990FB6" w:rsidRDefault="00B15F7D" w:rsidP="00B15F7D">
      <w:pPr>
        <w:ind w:left="851" w:right="851" w:firstLine="709"/>
        <w:jc w:val="center"/>
        <w:rPr>
          <w:sz w:val="22"/>
          <w:szCs w:val="22"/>
        </w:rPr>
      </w:pPr>
      <w:r w:rsidRPr="00990FB6">
        <w:rPr>
          <w:noProof/>
          <w:sz w:val="22"/>
          <w:szCs w:val="22"/>
          <w:lang w:eastAsia="es-ES"/>
        </w:rPr>
        <w:lastRenderedPageBreak/>
        <w:drawing>
          <wp:inline distT="0" distB="0" distL="0" distR="0" wp14:anchorId="7A4E020E" wp14:editId="1DB1DD1B">
            <wp:extent cx="3962400" cy="3272790"/>
            <wp:effectExtent l="0" t="0" r="0" b="3810"/>
            <wp:docPr id="958978256" name="Imagen 958978256" descr="Interfaz de usuario gráfica, Texto, Aplicación, Tabla,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Texto, Aplicación, Tabla, Correo electrónico&#10;&#10;Descripción generada automáticamente"/>
                    <pic:cNvPicPr/>
                  </pic:nvPicPr>
                  <pic:blipFill>
                    <a:blip r:embed="rId117"/>
                    <a:stretch>
                      <a:fillRect/>
                    </a:stretch>
                  </pic:blipFill>
                  <pic:spPr>
                    <a:xfrm>
                      <a:off x="0" y="0"/>
                      <a:ext cx="3962400" cy="3272790"/>
                    </a:xfrm>
                    <a:prstGeom prst="rect">
                      <a:avLst/>
                    </a:prstGeom>
                  </pic:spPr>
                </pic:pic>
              </a:graphicData>
            </a:graphic>
          </wp:inline>
        </w:drawing>
      </w:r>
    </w:p>
    <w:p w14:paraId="6A8D49B4" w14:textId="77777777" w:rsidR="00B15F7D" w:rsidRPr="00990FB6" w:rsidRDefault="00B15F7D" w:rsidP="00B15F7D">
      <w:pPr>
        <w:ind w:left="851" w:right="851" w:firstLine="709"/>
        <w:rPr>
          <w:sz w:val="22"/>
          <w:szCs w:val="22"/>
        </w:rPr>
      </w:pPr>
    </w:p>
    <w:p w14:paraId="49515D8D" w14:textId="77777777" w:rsidR="00B15F7D" w:rsidRPr="00990FB6" w:rsidRDefault="00B15F7D" w:rsidP="00B15F7D">
      <w:pPr>
        <w:ind w:left="851" w:right="851" w:firstLine="709"/>
        <w:jc w:val="both"/>
        <w:rPr>
          <w:sz w:val="22"/>
          <w:szCs w:val="22"/>
        </w:rPr>
      </w:pPr>
      <w:r w:rsidRPr="00990FB6">
        <w:rPr>
          <w:sz w:val="22"/>
          <w:szCs w:val="22"/>
        </w:rPr>
        <w:t>En el siguiente gráfico se muestran las 7 subpartidas del anteproyecto de presupuesto 2024 del Área de Informática que cuentan con la mayor cantidad de recursos.</w:t>
      </w:r>
    </w:p>
    <w:p w14:paraId="517EB7EC" w14:textId="77777777" w:rsidR="00B15F7D" w:rsidRPr="00990FB6" w:rsidRDefault="00B15F7D" w:rsidP="00B15F7D">
      <w:pPr>
        <w:ind w:left="851" w:right="851" w:firstLine="709"/>
        <w:jc w:val="both"/>
        <w:rPr>
          <w:sz w:val="22"/>
          <w:szCs w:val="22"/>
        </w:rPr>
      </w:pPr>
    </w:p>
    <w:p w14:paraId="0562C070"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4B7C1EC3" wp14:editId="3545039D">
            <wp:extent cx="3971925" cy="3152775"/>
            <wp:effectExtent l="0" t="0" r="9525" b="9525"/>
            <wp:docPr id="107" name="Gráfico 107">
              <a:extLst xmlns:a="http://schemas.openxmlformats.org/drawingml/2006/main">
                <a:ext uri="{FF2B5EF4-FFF2-40B4-BE49-F238E27FC236}">
                  <a16:creationId xmlns:a16="http://schemas.microsoft.com/office/drawing/2014/main" id="{23C564EC-3E07-6B5E-C078-63853C1D26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387D4B26" w14:textId="77777777" w:rsidR="00B15F7D" w:rsidRPr="00990FB6" w:rsidRDefault="00B15F7D" w:rsidP="00B15F7D">
      <w:pPr>
        <w:ind w:left="851" w:right="851" w:firstLine="709"/>
        <w:jc w:val="both"/>
        <w:rPr>
          <w:sz w:val="22"/>
          <w:szCs w:val="22"/>
        </w:rPr>
      </w:pPr>
    </w:p>
    <w:p w14:paraId="39B8CF11" w14:textId="77777777" w:rsidR="00B15F7D" w:rsidRPr="00990FB6" w:rsidRDefault="00B15F7D" w:rsidP="00B15F7D">
      <w:pPr>
        <w:ind w:left="851" w:right="851" w:firstLine="709"/>
        <w:jc w:val="both"/>
        <w:rPr>
          <w:sz w:val="22"/>
          <w:szCs w:val="22"/>
        </w:rPr>
      </w:pPr>
      <w:r w:rsidRPr="00990FB6">
        <w:rPr>
          <w:sz w:val="22"/>
          <w:szCs w:val="22"/>
        </w:rPr>
        <w:lastRenderedPageBreak/>
        <w:t xml:space="preserve">Con respecto al comportamiento de estas subpartidas presupuestarias en el apartado 6 se incluyó el análisis de las que presentan mayor incremento con respecto al presupuesto aprobado para el 2023. </w:t>
      </w:r>
    </w:p>
    <w:p w14:paraId="01EC85FD" w14:textId="77777777" w:rsidR="00B15F7D" w:rsidRPr="00990FB6" w:rsidRDefault="00B15F7D" w:rsidP="00B15F7D">
      <w:pPr>
        <w:ind w:left="851" w:right="851" w:firstLine="709"/>
        <w:jc w:val="both"/>
        <w:rPr>
          <w:b/>
          <w:bCs/>
          <w:sz w:val="22"/>
          <w:szCs w:val="22"/>
        </w:rPr>
      </w:pPr>
    </w:p>
    <w:p w14:paraId="69DCE0F9" w14:textId="77777777" w:rsidR="00B15F7D" w:rsidRPr="00990FB6" w:rsidRDefault="00B15F7D" w:rsidP="00B15F7D">
      <w:pPr>
        <w:numPr>
          <w:ilvl w:val="0"/>
          <w:numId w:val="178"/>
        </w:numPr>
        <w:suppressAutoHyphens w:val="0"/>
        <w:ind w:left="851" w:right="851" w:firstLine="709"/>
        <w:jc w:val="both"/>
        <w:rPr>
          <w:sz w:val="22"/>
          <w:szCs w:val="22"/>
        </w:rPr>
      </w:pPr>
      <w:r w:rsidRPr="00990FB6">
        <w:rPr>
          <w:b/>
          <w:bCs/>
          <w:sz w:val="22"/>
          <w:szCs w:val="22"/>
        </w:rPr>
        <w:t>Artículos con Mayor Representación en el Anteproyecto de Presupuesto 2024 del Área de Informática</w:t>
      </w:r>
    </w:p>
    <w:p w14:paraId="59AF94CA" w14:textId="77777777" w:rsidR="00B15F7D" w:rsidRPr="00990FB6" w:rsidRDefault="00B15F7D" w:rsidP="00B15F7D">
      <w:pPr>
        <w:ind w:left="851" w:right="851" w:firstLine="709"/>
        <w:jc w:val="both"/>
        <w:rPr>
          <w:sz w:val="22"/>
          <w:szCs w:val="22"/>
        </w:rPr>
      </w:pPr>
    </w:p>
    <w:p w14:paraId="3FEBDC2E" w14:textId="77777777" w:rsidR="00B15F7D" w:rsidRPr="00990FB6" w:rsidRDefault="00B15F7D" w:rsidP="00B15F7D">
      <w:pPr>
        <w:ind w:left="851" w:right="851" w:firstLine="709"/>
        <w:jc w:val="both"/>
        <w:rPr>
          <w:sz w:val="22"/>
          <w:szCs w:val="22"/>
        </w:rPr>
      </w:pPr>
      <w:r w:rsidRPr="00990FB6">
        <w:rPr>
          <w:sz w:val="22"/>
          <w:szCs w:val="22"/>
        </w:rPr>
        <w:t xml:space="preserve">En la siguiente tabla se muestran los artículos con mayor representación en el anteproyecto de presupuesto 2024 del Área de Informática, la suman total de estos artículos es ₡13.804.115.481 lo que representan el 93,46% del presupuesto. Al igual que en años anteriores, destacan las licencias de software con un 30,78%. </w:t>
      </w:r>
    </w:p>
    <w:p w14:paraId="566A9F89" w14:textId="77777777" w:rsidR="00B15F7D" w:rsidRPr="00990FB6" w:rsidRDefault="00B15F7D" w:rsidP="00B15F7D">
      <w:pPr>
        <w:ind w:left="851" w:right="851" w:firstLine="709"/>
        <w:jc w:val="both"/>
        <w:rPr>
          <w:sz w:val="22"/>
          <w:szCs w:val="22"/>
        </w:rPr>
      </w:pPr>
    </w:p>
    <w:p w14:paraId="537727E8" w14:textId="77777777" w:rsidR="00B15F7D" w:rsidRPr="00990FB6" w:rsidRDefault="00B15F7D" w:rsidP="00B15F7D">
      <w:pPr>
        <w:ind w:left="851" w:right="851"/>
        <w:jc w:val="center"/>
        <w:rPr>
          <w:sz w:val="22"/>
          <w:szCs w:val="22"/>
        </w:rPr>
      </w:pPr>
      <w:r w:rsidRPr="00990FB6">
        <w:rPr>
          <w:noProof/>
          <w:sz w:val="22"/>
          <w:szCs w:val="22"/>
          <w:lang w:eastAsia="es-ES"/>
        </w:rPr>
        <w:drawing>
          <wp:inline distT="0" distB="0" distL="0" distR="0" wp14:anchorId="02500A65" wp14:editId="53AB69EE">
            <wp:extent cx="4648835" cy="4324350"/>
            <wp:effectExtent l="0" t="0" r="0" b="0"/>
            <wp:docPr id="1287015131" name="Imagen 128701513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15131" name="Imagen 1287015131" descr="Tabla&#10;&#10;Descripción generada automáticamente"/>
                    <pic:cNvPicPr/>
                  </pic:nvPicPr>
                  <pic:blipFill>
                    <a:blip r:embed="rId119"/>
                    <a:stretch>
                      <a:fillRect/>
                    </a:stretch>
                  </pic:blipFill>
                  <pic:spPr>
                    <a:xfrm>
                      <a:off x="0" y="0"/>
                      <a:ext cx="4648835" cy="4324350"/>
                    </a:xfrm>
                    <a:prstGeom prst="rect">
                      <a:avLst/>
                    </a:prstGeom>
                  </pic:spPr>
                </pic:pic>
              </a:graphicData>
            </a:graphic>
          </wp:inline>
        </w:drawing>
      </w:r>
    </w:p>
    <w:p w14:paraId="1D42C0A8" w14:textId="77777777" w:rsidR="00B15F7D" w:rsidRPr="00990FB6" w:rsidRDefault="00B15F7D" w:rsidP="00B15F7D">
      <w:pPr>
        <w:ind w:left="851" w:right="851" w:firstLine="709"/>
        <w:jc w:val="center"/>
        <w:rPr>
          <w:sz w:val="22"/>
          <w:szCs w:val="22"/>
        </w:rPr>
      </w:pPr>
    </w:p>
    <w:p w14:paraId="24E5AA8D"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Análisis Relacionado con la Gestión de los Proyectos Estratégicos</w:t>
      </w:r>
    </w:p>
    <w:p w14:paraId="19CC9B92" w14:textId="77777777" w:rsidR="00B15F7D" w:rsidRPr="00990FB6" w:rsidRDefault="00B15F7D" w:rsidP="00B15F7D">
      <w:pPr>
        <w:ind w:left="851" w:right="851" w:firstLine="709"/>
        <w:jc w:val="both"/>
        <w:rPr>
          <w:sz w:val="22"/>
          <w:szCs w:val="22"/>
        </w:rPr>
      </w:pPr>
    </w:p>
    <w:p w14:paraId="5978FA4B" w14:textId="77777777" w:rsidR="00B15F7D" w:rsidRPr="00990FB6" w:rsidRDefault="00B15F7D" w:rsidP="00B15F7D">
      <w:pPr>
        <w:ind w:left="851" w:right="851" w:firstLine="709"/>
        <w:jc w:val="both"/>
        <w:rPr>
          <w:sz w:val="22"/>
          <w:szCs w:val="22"/>
        </w:rPr>
      </w:pPr>
      <w:r w:rsidRPr="00990FB6">
        <w:rPr>
          <w:sz w:val="22"/>
          <w:szCs w:val="22"/>
        </w:rPr>
        <w:t>Con respecto a la clasificación por proyectos del Área de Informática 2024, en la siguiente tabla se presenta un comparativo del período 2022-2024 en donde se muestran los recursos clasificados en operación y proyectos.</w:t>
      </w:r>
    </w:p>
    <w:p w14:paraId="1126E950" w14:textId="77777777" w:rsidR="00B15F7D" w:rsidRPr="00990FB6" w:rsidRDefault="00B15F7D" w:rsidP="00B15F7D">
      <w:pPr>
        <w:ind w:left="851" w:right="851" w:firstLine="709"/>
        <w:jc w:val="both"/>
        <w:rPr>
          <w:sz w:val="22"/>
          <w:szCs w:val="22"/>
        </w:rPr>
      </w:pPr>
    </w:p>
    <w:p w14:paraId="1CD16247" w14:textId="77777777" w:rsidR="00B15F7D" w:rsidRPr="00990FB6" w:rsidRDefault="00B15F7D" w:rsidP="00B15F7D">
      <w:pPr>
        <w:ind w:left="851" w:right="851" w:firstLine="709"/>
        <w:jc w:val="center"/>
        <w:rPr>
          <w:sz w:val="22"/>
          <w:szCs w:val="22"/>
        </w:rPr>
      </w:pPr>
      <w:r w:rsidRPr="00990FB6">
        <w:rPr>
          <w:noProof/>
          <w:sz w:val="22"/>
          <w:szCs w:val="22"/>
          <w:lang w:eastAsia="es-ES"/>
        </w:rPr>
        <w:lastRenderedPageBreak/>
        <w:drawing>
          <wp:inline distT="0" distB="0" distL="0" distR="0" wp14:anchorId="720BB3DD" wp14:editId="4600256A">
            <wp:extent cx="4420235" cy="1351915"/>
            <wp:effectExtent l="0" t="0" r="0" b="635"/>
            <wp:docPr id="1172766118" name="Imagen 117276611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Texto&#10;&#10;Descripción generada automáticamente"/>
                    <pic:cNvPicPr/>
                  </pic:nvPicPr>
                  <pic:blipFill>
                    <a:blip r:embed="rId120"/>
                    <a:stretch>
                      <a:fillRect/>
                    </a:stretch>
                  </pic:blipFill>
                  <pic:spPr>
                    <a:xfrm>
                      <a:off x="0" y="0"/>
                      <a:ext cx="4420235" cy="1351915"/>
                    </a:xfrm>
                    <a:prstGeom prst="rect">
                      <a:avLst/>
                    </a:prstGeom>
                  </pic:spPr>
                </pic:pic>
              </a:graphicData>
            </a:graphic>
          </wp:inline>
        </w:drawing>
      </w:r>
    </w:p>
    <w:p w14:paraId="27B40AD2" w14:textId="77777777" w:rsidR="00B15F7D" w:rsidRPr="00990FB6" w:rsidRDefault="00B15F7D" w:rsidP="00B15F7D">
      <w:pPr>
        <w:ind w:left="851" w:right="851" w:firstLine="709"/>
        <w:jc w:val="both"/>
        <w:rPr>
          <w:sz w:val="22"/>
          <w:szCs w:val="22"/>
        </w:rPr>
      </w:pPr>
    </w:p>
    <w:p w14:paraId="410FE9A3" w14:textId="77777777" w:rsidR="00B15F7D" w:rsidRPr="00990FB6" w:rsidRDefault="00B15F7D" w:rsidP="00B15F7D">
      <w:pPr>
        <w:ind w:left="851" w:right="851" w:firstLine="709"/>
        <w:jc w:val="both"/>
        <w:rPr>
          <w:sz w:val="22"/>
          <w:szCs w:val="22"/>
        </w:rPr>
      </w:pPr>
      <w:r w:rsidRPr="00990FB6">
        <w:rPr>
          <w:sz w:val="22"/>
          <w:szCs w:val="22"/>
        </w:rPr>
        <w:t>Con respecto a la clasificación por proyectos del Área de Informática 2024, es importante considerar que en la sesión N°22-2022 del 11 de marzo del 2022, artículo XVI, el Consejo Superior acordó lo siguiente:</w:t>
      </w:r>
    </w:p>
    <w:p w14:paraId="1A82F9C5" w14:textId="77777777" w:rsidR="00B15F7D" w:rsidRPr="00990FB6" w:rsidRDefault="00B15F7D" w:rsidP="00B15F7D">
      <w:pPr>
        <w:ind w:left="851" w:right="851" w:firstLine="709"/>
        <w:jc w:val="both"/>
        <w:rPr>
          <w:sz w:val="22"/>
          <w:szCs w:val="22"/>
        </w:rPr>
      </w:pPr>
    </w:p>
    <w:p w14:paraId="2DB4AF18" w14:textId="77777777" w:rsidR="00B15F7D" w:rsidRPr="00990FB6" w:rsidRDefault="00B15F7D" w:rsidP="00B15F7D">
      <w:pPr>
        <w:ind w:left="851" w:right="851" w:firstLine="709"/>
        <w:jc w:val="both"/>
        <w:rPr>
          <w:i/>
          <w:iCs/>
          <w:sz w:val="22"/>
          <w:szCs w:val="22"/>
        </w:rPr>
      </w:pPr>
      <w:r w:rsidRPr="00990FB6">
        <w:rPr>
          <w:b/>
          <w:bCs/>
          <w:i/>
          <w:iCs/>
          <w:sz w:val="22"/>
          <w:szCs w:val="22"/>
        </w:rPr>
        <w:t>“3.)</w:t>
      </w:r>
      <w:r w:rsidRPr="00990FB6">
        <w:rPr>
          <w:i/>
          <w:iCs/>
          <w:sz w:val="22"/>
          <w:szCs w:val="22"/>
        </w:rPr>
        <w:t xml:space="preserve"> Que la Dirección de Tecnología de Información y Comunicaciones revise el catálogo y la forma en que se alimenta en el Sistema de Preformulación el campo de “Proyecto”, esto por cuanto solamente debería mostrar los proyectos que se encuentran dentro del Portafolio de Proyectos Institucional. </w:t>
      </w:r>
      <w:r w:rsidRPr="00990FB6">
        <w:rPr>
          <w:b/>
          <w:bCs/>
          <w:i/>
          <w:iCs/>
          <w:sz w:val="22"/>
          <w:szCs w:val="22"/>
        </w:rPr>
        <w:t>4.)</w:t>
      </w:r>
      <w:r w:rsidRPr="00990FB6">
        <w:rPr>
          <w:i/>
          <w:iCs/>
          <w:sz w:val="22"/>
          <w:szCs w:val="22"/>
        </w:rPr>
        <w:t xml:space="preserve"> La Dirección de Tecnología de la Información y Comunicaciones debe asociar todos los recursos formulados en la Partida 5 “Bienes duraderos” a proyectos, en concordancia con lo requerido por el Proyecto de Hacienda Digital y los requerimientos contenidos en las normas de ejecución del 2021 y 2022.”.</w:t>
      </w:r>
    </w:p>
    <w:p w14:paraId="07ADEBDC" w14:textId="77777777" w:rsidR="00B15F7D" w:rsidRPr="00990FB6" w:rsidRDefault="00B15F7D" w:rsidP="00B15F7D">
      <w:pPr>
        <w:ind w:left="851" w:right="851" w:firstLine="709"/>
        <w:jc w:val="both"/>
        <w:rPr>
          <w:sz w:val="22"/>
          <w:szCs w:val="22"/>
        </w:rPr>
      </w:pPr>
    </w:p>
    <w:p w14:paraId="363E1CFB" w14:textId="77777777" w:rsidR="00B15F7D" w:rsidRPr="00990FB6" w:rsidRDefault="00B15F7D" w:rsidP="00B15F7D">
      <w:pPr>
        <w:ind w:left="851" w:right="851" w:firstLine="709"/>
        <w:jc w:val="both"/>
        <w:rPr>
          <w:sz w:val="22"/>
          <w:szCs w:val="22"/>
        </w:rPr>
      </w:pPr>
      <w:r w:rsidRPr="00990FB6">
        <w:rPr>
          <w:sz w:val="22"/>
          <w:szCs w:val="22"/>
        </w:rPr>
        <w:t>En este sentido se podría indicar que hay un avance para el 2024 en cuanto a que los recursos del anteproyecto de presupuesto del Área de Informática vienen asociados a los proyectos del Portafolio de Proyectos Institucional. En el siguiente gráfico se presenta la información del 2022 al 2024 en donde se observa la línea de tendencia ascendente, lo que pareciera un avance para el último año en cuanto a asociar los recursos a proyectos que se encuentran dentro del Portafolio de Proyectos Institucional.</w:t>
      </w:r>
    </w:p>
    <w:p w14:paraId="07EA9CA8" w14:textId="77777777" w:rsidR="00B15F7D" w:rsidRPr="00990FB6" w:rsidRDefault="00B15F7D" w:rsidP="00B15F7D">
      <w:pPr>
        <w:ind w:left="851" w:right="851" w:firstLine="709"/>
        <w:jc w:val="both"/>
        <w:rPr>
          <w:sz w:val="22"/>
          <w:szCs w:val="22"/>
        </w:rPr>
      </w:pPr>
    </w:p>
    <w:p w14:paraId="4E8899D8" w14:textId="77777777" w:rsidR="00B15F7D" w:rsidRPr="00990FB6" w:rsidRDefault="00B15F7D" w:rsidP="00B15F7D">
      <w:pPr>
        <w:ind w:left="851" w:right="851" w:firstLine="709"/>
        <w:jc w:val="center"/>
        <w:rPr>
          <w:sz w:val="22"/>
          <w:szCs w:val="22"/>
        </w:rPr>
      </w:pPr>
      <w:r w:rsidRPr="00990FB6">
        <w:rPr>
          <w:noProof/>
          <w:sz w:val="22"/>
          <w:szCs w:val="22"/>
          <w:lang w:eastAsia="es-ES"/>
        </w:rPr>
        <w:lastRenderedPageBreak/>
        <w:drawing>
          <wp:inline distT="0" distB="0" distL="0" distR="0" wp14:anchorId="0EA81E5D" wp14:editId="62A19ADE">
            <wp:extent cx="4514850" cy="2743200"/>
            <wp:effectExtent l="0" t="0" r="0" b="0"/>
            <wp:docPr id="110" name="Gráfico 110">
              <a:extLst xmlns:a="http://schemas.openxmlformats.org/drawingml/2006/main">
                <a:ext uri="{FF2B5EF4-FFF2-40B4-BE49-F238E27FC236}">
                  <a16:creationId xmlns:a16="http://schemas.microsoft.com/office/drawing/2014/main" id="{17B0D31E-B4C6-4171-9BE8-C1CE4F957E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982D1E0" w14:textId="77777777" w:rsidR="00B15F7D" w:rsidRPr="00990FB6" w:rsidRDefault="00B15F7D" w:rsidP="00B15F7D">
      <w:pPr>
        <w:ind w:left="851" w:right="851" w:firstLine="709"/>
        <w:jc w:val="center"/>
        <w:rPr>
          <w:sz w:val="22"/>
          <w:szCs w:val="22"/>
        </w:rPr>
      </w:pPr>
    </w:p>
    <w:p w14:paraId="5ABA797B" w14:textId="77777777" w:rsidR="00B15F7D" w:rsidRPr="00990FB6" w:rsidRDefault="00B15F7D" w:rsidP="00B15F7D">
      <w:pPr>
        <w:ind w:left="851" w:right="851" w:firstLine="709"/>
        <w:jc w:val="both"/>
        <w:rPr>
          <w:sz w:val="22"/>
          <w:szCs w:val="22"/>
        </w:rPr>
      </w:pPr>
      <w:r w:rsidRPr="00990FB6">
        <w:rPr>
          <w:sz w:val="22"/>
          <w:szCs w:val="22"/>
        </w:rPr>
        <w:t>De manera que para el anteproyecto de presupuesto 2024 del Área de Informática, se tiene que un 41% de los recursos están asociados a proyectos del Portafolio de Proyectos Institucional y el 59% corresponden a gastos de “Operación”.</w:t>
      </w:r>
    </w:p>
    <w:p w14:paraId="3ED34E3B" w14:textId="77777777" w:rsidR="00B15F7D" w:rsidRPr="00990FB6" w:rsidRDefault="00B15F7D" w:rsidP="00B15F7D">
      <w:pPr>
        <w:ind w:left="851" w:right="851" w:firstLine="709"/>
        <w:jc w:val="both"/>
        <w:rPr>
          <w:sz w:val="22"/>
          <w:szCs w:val="22"/>
        </w:rPr>
      </w:pPr>
    </w:p>
    <w:p w14:paraId="4B6D1283"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6CBF229E" wp14:editId="7B9FFDC8">
            <wp:extent cx="4667250" cy="3041650"/>
            <wp:effectExtent l="0" t="0" r="0" b="6350"/>
            <wp:docPr id="111" name="Gráfico 111">
              <a:extLst xmlns:a="http://schemas.openxmlformats.org/drawingml/2006/main">
                <a:ext uri="{FF2B5EF4-FFF2-40B4-BE49-F238E27FC236}">
                  <a16:creationId xmlns:a16="http://schemas.microsoft.com/office/drawing/2014/main" id="{372AC5F4-C253-414D-9985-26971E1F49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326C06B4" w14:textId="77777777" w:rsidR="00B15F7D" w:rsidRPr="00990FB6" w:rsidRDefault="00B15F7D" w:rsidP="00B15F7D">
      <w:pPr>
        <w:ind w:left="851" w:right="851" w:firstLine="709"/>
        <w:jc w:val="center"/>
        <w:rPr>
          <w:sz w:val="22"/>
          <w:szCs w:val="22"/>
        </w:rPr>
      </w:pPr>
    </w:p>
    <w:p w14:paraId="7549FC6E" w14:textId="77777777" w:rsidR="00B15F7D" w:rsidRPr="00990FB6" w:rsidRDefault="00B15F7D" w:rsidP="00B15F7D">
      <w:pPr>
        <w:ind w:left="851" w:right="851" w:firstLine="709"/>
        <w:jc w:val="both"/>
        <w:rPr>
          <w:sz w:val="22"/>
          <w:szCs w:val="22"/>
        </w:rPr>
      </w:pPr>
      <w:r w:rsidRPr="00990FB6">
        <w:rPr>
          <w:sz w:val="22"/>
          <w:szCs w:val="22"/>
        </w:rPr>
        <w:t xml:space="preserve">A continuación, se enumeran los proyectos que tienen asociados recursos en el 2024 del Área de Informática, indicando el Tipo, Estado, Avance y Finalización, esta información fue proporcionada por la Unidad Estratégica de Portafolio de </w:t>
      </w:r>
      <w:r w:rsidRPr="00990FB6">
        <w:rPr>
          <w:sz w:val="22"/>
          <w:szCs w:val="22"/>
        </w:rPr>
        <w:lastRenderedPageBreak/>
        <w:t>Proyectos Institucionales con base en los datos cargados en el repositorio del MS Project Online, con corte al 31 de diciembre del 2022.</w:t>
      </w:r>
    </w:p>
    <w:p w14:paraId="32660E62" w14:textId="77777777" w:rsidR="00B15F7D" w:rsidRPr="00990FB6" w:rsidRDefault="00B15F7D" w:rsidP="00B15F7D">
      <w:pPr>
        <w:ind w:left="851" w:right="851" w:firstLine="709"/>
        <w:jc w:val="both"/>
        <w:rPr>
          <w:sz w:val="22"/>
          <w:szCs w:val="22"/>
        </w:rPr>
      </w:pPr>
    </w:p>
    <w:p w14:paraId="10429A59"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43D7E18F" wp14:editId="4BF5072F">
            <wp:extent cx="4597400" cy="3898852"/>
            <wp:effectExtent l="0" t="0" r="0" b="6985"/>
            <wp:docPr id="692357277" name="Imagen 69235727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Texto, Aplicación&#10;&#10;Descripción generada automáticamente"/>
                    <pic:cNvPicPr/>
                  </pic:nvPicPr>
                  <pic:blipFill>
                    <a:blip r:embed="rId123"/>
                    <a:stretch>
                      <a:fillRect/>
                    </a:stretch>
                  </pic:blipFill>
                  <pic:spPr>
                    <a:xfrm>
                      <a:off x="0" y="0"/>
                      <a:ext cx="4617980" cy="3916305"/>
                    </a:xfrm>
                    <a:prstGeom prst="rect">
                      <a:avLst/>
                    </a:prstGeom>
                  </pic:spPr>
                </pic:pic>
              </a:graphicData>
            </a:graphic>
          </wp:inline>
        </w:drawing>
      </w:r>
    </w:p>
    <w:p w14:paraId="66280C84" w14:textId="77777777" w:rsidR="00B15F7D" w:rsidRPr="00990FB6" w:rsidRDefault="00B15F7D" w:rsidP="00B15F7D">
      <w:pPr>
        <w:ind w:left="851" w:right="851" w:firstLine="709"/>
        <w:jc w:val="both"/>
        <w:rPr>
          <w:sz w:val="22"/>
          <w:szCs w:val="22"/>
        </w:rPr>
      </w:pPr>
    </w:p>
    <w:p w14:paraId="29750908" w14:textId="77777777" w:rsidR="00B15F7D" w:rsidRPr="00990FB6" w:rsidRDefault="00B15F7D" w:rsidP="00B15F7D">
      <w:pPr>
        <w:ind w:left="851" w:right="851" w:firstLine="709"/>
        <w:jc w:val="both"/>
        <w:rPr>
          <w:sz w:val="22"/>
          <w:szCs w:val="22"/>
        </w:rPr>
      </w:pPr>
      <w:r w:rsidRPr="00990FB6">
        <w:rPr>
          <w:sz w:val="22"/>
          <w:szCs w:val="22"/>
        </w:rPr>
        <w:t>En cuanto a la categoría “Tipo” a continuación se describen las clasificaciones:</w:t>
      </w:r>
    </w:p>
    <w:p w14:paraId="09E85306" w14:textId="77777777" w:rsidR="00B15F7D" w:rsidRPr="00990FB6" w:rsidRDefault="00B15F7D" w:rsidP="00B15F7D">
      <w:pPr>
        <w:ind w:left="851" w:right="851" w:firstLine="709"/>
        <w:jc w:val="both"/>
        <w:rPr>
          <w:sz w:val="22"/>
          <w:szCs w:val="22"/>
        </w:rPr>
      </w:pPr>
    </w:p>
    <w:p w14:paraId="30C5BBDC" w14:textId="77777777" w:rsidR="00B15F7D" w:rsidRPr="00990FB6" w:rsidRDefault="00B15F7D" w:rsidP="00B15F7D">
      <w:pPr>
        <w:numPr>
          <w:ilvl w:val="0"/>
          <w:numId w:val="175"/>
        </w:numPr>
        <w:suppressAutoHyphens w:val="0"/>
        <w:ind w:left="851" w:right="851" w:firstLine="709"/>
        <w:contextualSpacing/>
        <w:jc w:val="both"/>
        <w:rPr>
          <w:sz w:val="22"/>
          <w:szCs w:val="22"/>
        </w:rPr>
      </w:pPr>
      <w:r w:rsidRPr="00990FB6">
        <w:rPr>
          <w:b/>
          <w:bCs/>
          <w:sz w:val="22"/>
          <w:szCs w:val="22"/>
        </w:rPr>
        <w:t xml:space="preserve">Estratégico: </w:t>
      </w:r>
      <w:r w:rsidRPr="00990FB6">
        <w:rPr>
          <w:sz w:val="22"/>
          <w:szCs w:val="22"/>
        </w:rPr>
        <w:t>toda iniciativa que presente un inicio y fin claramente definido, con el objetivo de crear un producto único, proponer un cambio, y /o innovar a la hora de realizar las tareas.</w:t>
      </w:r>
    </w:p>
    <w:p w14:paraId="2CC4C6FB" w14:textId="77777777" w:rsidR="00B15F7D" w:rsidRPr="00990FB6" w:rsidRDefault="00B15F7D" w:rsidP="00B15F7D">
      <w:pPr>
        <w:suppressAutoHyphens w:val="0"/>
        <w:ind w:right="851"/>
        <w:contextualSpacing/>
        <w:jc w:val="both"/>
        <w:rPr>
          <w:sz w:val="22"/>
          <w:szCs w:val="22"/>
        </w:rPr>
      </w:pPr>
    </w:p>
    <w:p w14:paraId="14125FC8" w14:textId="77777777" w:rsidR="00B15F7D" w:rsidRPr="00990FB6" w:rsidRDefault="00B15F7D" w:rsidP="00B15F7D">
      <w:pPr>
        <w:numPr>
          <w:ilvl w:val="0"/>
          <w:numId w:val="175"/>
        </w:numPr>
        <w:suppressAutoHyphens w:val="0"/>
        <w:ind w:left="851" w:right="851" w:firstLine="709"/>
        <w:contextualSpacing/>
        <w:jc w:val="both"/>
        <w:rPr>
          <w:sz w:val="22"/>
          <w:szCs w:val="22"/>
        </w:rPr>
      </w:pPr>
      <w:r w:rsidRPr="00990FB6">
        <w:rPr>
          <w:b/>
          <w:bCs/>
          <w:sz w:val="22"/>
          <w:szCs w:val="22"/>
        </w:rPr>
        <w:t xml:space="preserve">Operativo tipo 1: </w:t>
      </w:r>
      <w:r w:rsidRPr="00990FB6">
        <w:rPr>
          <w:sz w:val="22"/>
          <w:szCs w:val="22"/>
        </w:rPr>
        <w:t>labor operativa que se gestiona como proyecto porque posee permisos con goce de salario según el artículo 44 de la Ley Orgánica del Poder Judicial.</w:t>
      </w:r>
    </w:p>
    <w:p w14:paraId="1FF131E8" w14:textId="77777777" w:rsidR="00B15F7D" w:rsidRPr="00990FB6" w:rsidRDefault="00B15F7D" w:rsidP="00B15F7D">
      <w:pPr>
        <w:suppressAutoHyphens w:val="0"/>
        <w:ind w:right="851"/>
        <w:contextualSpacing/>
        <w:jc w:val="both"/>
        <w:rPr>
          <w:sz w:val="22"/>
          <w:szCs w:val="22"/>
        </w:rPr>
      </w:pPr>
    </w:p>
    <w:p w14:paraId="0314583E" w14:textId="77777777" w:rsidR="00B15F7D" w:rsidRPr="00990FB6" w:rsidRDefault="00B15F7D" w:rsidP="00B15F7D">
      <w:pPr>
        <w:numPr>
          <w:ilvl w:val="0"/>
          <w:numId w:val="175"/>
        </w:numPr>
        <w:suppressAutoHyphens w:val="0"/>
        <w:ind w:left="851" w:right="851" w:firstLine="709"/>
        <w:contextualSpacing/>
        <w:jc w:val="both"/>
        <w:rPr>
          <w:sz w:val="22"/>
          <w:szCs w:val="22"/>
        </w:rPr>
      </w:pPr>
      <w:r w:rsidRPr="00990FB6">
        <w:rPr>
          <w:b/>
          <w:bCs/>
          <w:sz w:val="22"/>
          <w:szCs w:val="22"/>
        </w:rPr>
        <w:t xml:space="preserve">Operativo tipo 2: </w:t>
      </w:r>
      <w:r w:rsidRPr="00990FB6">
        <w:rPr>
          <w:sz w:val="22"/>
          <w:szCs w:val="22"/>
        </w:rPr>
        <w:t>labor operativa que se gestiona como proyecto debido a que posee recursos de las partidas presupuestarias 5 o 7.</w:t>
      </w:r>
    </w:p>
    <w:p w14:paraId="3E89F686" w14:textId="77777777" w:rsidR="00B15F7D" w:rsidRPr="00990FB6" w:rsidRDefault="00B15F7D" w:rsidP="00B15F7D">
      <w:pPr>
        <w:ind w:left="851" w:right="851" w:firstLine="709"/>
        <w:jc w:val="both"/>
        <w:rPr>
          <w:sz w:val="22"/>
          <w:szCs w:val="22"/>
        </w:rPr>
      </w:pPr>
    </w:p>
    <w:p w14:paraId="4DC34EC5" w14:textId="77777777" w:rsidR="00B15F7D" w:rsidRPr="00990FB6" w:rsidRDefault="00B15F7D" w:rsidP="00B15F7D">
      <w:pPr>
        <w:ind w:left="851" w:right="851" w:firstLine="709"/>
        <w:jc w:val="both"/>
        <w:rPr>
          <w:sz w:val="22"/>
          <w:szCs w:val="22"/>
        </w:rPr>
      </w:pPr>
      <w:r w:rsidRPr="00990FB6">
        <w:rPr>
          <w:sz w:val="22"/>
          <w:szCs w:val="22"/>
        </w:rPr>
        <w:t xml:space="preserve">En el anteproyecto de presupuesto adicionalmente se muestra una línea </w:t>
      </w:r>
      <w:r w:rsidRPr="00990FB6">
        <w:rPr>
          <w:i/>
          <w:iCs/>
          <w:sz w:val="22"/>
          <w:szCs w:val="22"/>
        </w:rPr>
        <w:t>“Sin proyecto”</w:t>
      </w:r>
      <w:r w:rsidRPr="00990FB6">
        <w:rPr>
          <w:sz w:val="22"/>
          <w:szCs w:val="22"/>
        </w:rPr>
        <w:t xml:space="preserve"> con ₡346.048.398, línea que corresponde a recursos que la Dirección de Tecnología de la Información y Comunicaciones no asocia a ningún proyecto institucional, solicitada por el Subproceso de Sistemas Operativos y como </w:t>
      </w:r>
      <w:r w:rsidRPr="00990FB6">
        <w:rPr>
          <w:sz w:val="22"/>
          <w:szCs w:val="22"/>
        </w:rPr>
        <w:lastRenderedPageBreak/>
        <w:t xml:space="preserve">justificación indican que serán recursos para utilizarlos en labores afines a migración y rediseño del Sistema SIGA-PJ, PEI-PAO, Nexus PJ, sostenibilidad de sistemas varios y calidad, proyectos nuevos SIGA-GH Ley Empleo Público, entre otros.  </w:t>
      </w:r>
    </w:p>
    <w:p w14:paraId="58B1AF1C" w14:textId="77777777" w:rsidR="00B15F7D" w:rsidRPr="00990FB6" w:rsidRDefault="00B15F7D" w:rsidP="00B15F7D">
      <w:pPr>
        <w:ind w:left="851" w:right="851" w:firstLine="709"/>
        <w:jc w:val="both"/>
        <w:rPr>
          <w:sz w:val="22"/>
          <w:szCs w:val="22"/>
        </w:rPr>
      </w:pPr>
    </w:p>
    <w:p w14:paraId="3397B351" w14:textId="77777777" w:rsidR="00B15F7D" w:rsidRPr="00990FB6" w:rsidRDefault="00B15F7D" w:rsidP="00B15F7D">
      <w:pPr>
        <w:ind w:left="851" w:right="851" w:firstLine="709"/>
        <w:jc w:val="both"/>
        <w:rPr>
          <w:b/>
          <w:bCs/>
          <w:sz w:val="22"/>
          <w:szCs w:val="22"/>
        </w:rPr>
      </w:pPr>
      <w:r w:rsidRPr="00990FB6">
        <w:rPr>
          <w:b/>
          <w:bCs/>
          <w:sz w:val="22"/>
          <w:szCs w:val="22"/>
        </w:rPr>
        <w:t>En este sentido se debe reiterar a la Dirección de Tecnología de la Información y Comunicaciones revisar el catálogo de Proyectos del Sistema de Preformulación (SPREF) y la forma en que se alimenta el campo de “Proyecto”, de manera tal que todos los recursos formulados se asocien a algún proyecto incluido dentro del Portafolio de Proyectos Institucional.</w:t>
      </w:r>
    </w:p>
    <w:p w14:paraId="5DC704B6" w14:textId="77777777" w:rsidR="00B15F7D" w:rsidRPr="00990FB6" w:rsidRDefault="00B15F7D" w:rsidP="00B15F7D">
      <w:pPr>
        <w:ind w:left="851" w:right="851" w:firstLine="709"/>
        <w:jc w:val="both"/>
        <w:rPr>
          <w:sz w:val="22"/>
          <w:szCs w:val="22"/>
        </w:rPr>
      </w:pPr>
    </w:p>
    <w:p w14:paraId="370CB59A" w14:textId="77777777" w:rsidR="00B15F7D" w:rsidRPr="00990FB6" w:rsidRDefault="00B15F7D" w:rsidP="00B15F7D">
      <w:pPr>
        <w:ind w:left="851" w:right="851" w:firstLine="709"/>
        <w:jc w:val="center"/>
        <w:rPr>
          <w:sz w:val="22"/>
          <w:szCs w:val="22"/>
        </w:rPr>
      </w:pPr>
      <w:r w:rsidRPr="00990FB6">
        <w:rPr>
          <w:noProof/>
          <w:sz w:val="22"/>
          <w:szCs w:val="22"/>
          <w:lang w:eastAsia="es-ES"/>
        </w:rPr>
        <w:drawing>
          <wp:inline distT="0" distB="0" distL="0" distR="0" wp14:anchorId="122186EB" wp14:editId="2B41ADFA">
            <wp:extent cx="4191000" cy="1629410"/>
            <wp:effectExtent l="0" t="0" r="0" b="8890"/>
            <wp:docPr id="424066381" name="Imagen 424066381"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Texto, Tabla&#10;&#10;Descripción generada automáticamente"/>
                    <pic:cNvPicPr/>
                  </pic:nvPicPr>
                  <pic:blipFill>
                    <a:blip r:embed="rId124"/>
                    <a:stretch>
                      <a:fillRect/>
                    </a:stretch>
                  </pic:blipFill>
                  <pic:spPr>
                    <a:xfrm>
                      <a:off x="0" y="0"/>
                      <a:ext cx="4237031" cy="1647306"/>
                    </a:xfrm>
                    <a:prstGeom prst="rect">
                      <a:avLst/>
                    </a:prstGeom>
                  </pic:spPr>
                </pic:pic>
              </a:graphicData>
            </a:graphic>
          </wp:inline>
        </w:drawing>
      </w:r>
    </w:p>
    <w:p w14:paraId="7D9F959B" w14:textId="77777777" w:rsidR="00B15F7D" w:rsidRPr="00990FB6" w:rsidRDefault="00B15F7D" w:rsidP="00B15F7D">
      <w:pPr>
        <w:ind w:left="851" w:right="851" w:firstLine="709"/>
        <w:jc w:val="center"/>
        <w:rPr>
          <w:sz w:val="22"/>
          <w:szCs w:val="22"/>
        </w:rPr>
      </w:pPr>
    </w:p>
    <w:p w14:paraId="6E3B5224" w14:textId="77777777" w:rsidR="00B15F7D" w:rsidRPr="00990FB6" w:rsidRDefault="00B15F7D" w:rsidP="00B15F7D">
      <w:pPr>
        <w:ind w:left="851" w:right="851" w:firstLine="709"/>
        <w:jc w:val="both"/>
        <w:rPr>
          <w:sz w:val="22"/>
          <w:szCs w:val="22"/>
        </w:rPr>
      </w:pPr>
      <w:r w:rsidRPr="00990FB6">
        <w:rPr>
          <w:sz w:val="22"/>
          <w:szCs w:val="22"/>
        </w:rPr>
        <w:t xml:space="preserve">Entonces de los ₡6.029.692.240 que se muestran en el 2024 asociados a proyectos, un 85,93% corresponden a la categoría </w:t>
      </w:r>
      <w:r w:rsidRPr="00990FB6">
        <w:rPr>
          <w:i/>
          <w:iCs/>
          <w:sz w:val="22"/>
          <w:szCs w:val="22"/>
        </w:rPr>
        <w:t>“Operativo tipo 2”</w:t>
      </w:r>
      <w:r w:rsidRPr="00990FB6">
        <w:rPr>
          <w:sz w:val="22"/>
          <w:szCs w:val="22"/>
        </w:rPr>
        <w:t xml:space="preserve"> que por definición se refiere a recursos en gastos de capital (partida 5) y que según acordó el Consejo Superior en la sesión N°22-2022, artículo XVI, tenían que asociarse a proyectos para dar cumplimiento a lo establecido en las Normas de Ejecución Presupuestaria incluidas en la ley de presupuesto, que para el 2023 corresponde a la norma N°20. </w:t>
      </w:r>
    </w:p>
    <w:p w14:paraId="74CB3293" w14:textId="77777777" w:rsidR="00B15F7D" w:rsidRPr="00990FB6" w:rsidRDefault="00B15F7D" w:rsidP="00B15F7D">
      <w:pPr>
        <w:ind w:left="851" w:right="851" w:firstLine="709"/>
        <w:jc w:val="both"/>
        <w:rPr>
          <w:sz w:val="22"/>
          <w:szCs w:val="22"/>
        </w:rPr>
      </w:pPr>
    </w:p>
    <w:p w14:paraId="606205AD" w14:textId="77777777" w:rsidR="00FD1E73" w:rsidRPr="00990FB6" w:rsidRDefault="00B15F7D" w:rsidP="00B15F7D">
      <w:pPr>
        <w:ind w:left="851" w:right="851" w:firstLine="709"/>
        <w:jc w:val="both"/>
        <w:rPr>
          <w:sz w:val="22"/>
          <w:szCs w:val="22"/>
        </w:rPr>
      </w:pPr>
      <w:r w:rsidRPr="00990FB6">
        <w:rPr>
          <w:sz w:val="22"/>
          <w:szCs w:val="22"/>
        </w:rPr>
        <w:t xml:space="preserve">En cuanto a </w:t>
      </w:r>
      <w:r w:rsidRPr="00990FB6">
        <w:rPr>
          <w:i/>
          <w:iCs/>
          <w:sz w:val="22"/>
          <w:szCs w:val="22"/>
        </w:rPr>
        <w:t>“Estratégico”</w:t>
      </w:r>
      <w:r w:rsidRPr="00990FB6">
        <w:rPr>
          <w:sz w:val="22"/>
          <w:szCs w:val="22"/>
        </w:rPr>
        <w:t xml:space="preserve"> que son proyectos incluidos en el Portafolio de Proyectos Institucional se muestra un 6,51% de los recursos, seguido con un 5,74% de recursos </w:t>
      </w:r>
      <w:r w:rsidRPr="00990FB6">
        <w:rPr>
          <w:i/>
          <w:iCs/>
          <w:sz w:val="22"/>
          <w:szCs w:val="22"/>
        </w:rPr>
        <w:t>“Sin proyecto”</w:t>
      </w:r>
      <w:r w:rsidRPr="00990FB6">
        <w:rPr>
          <w:sz w:val="22"/>
          <w:szCs w:val="22"/>
        </w:rPr>
        <w:t xml:space="preserve"> y finalmente un 1,82% en </w:t>
      </w:r>
      <w:r w:rsidRPr="00990FB6">
        <w:rPr>
          <w:i/>
          <w:iCs/>
          <w:sz w:val="22"/>
          <w:szCs w:val="22"/>
        </w:rPr>
        <w:t>“Operativo tipo 1”</w:t>
      </w:r>
      <w:r w:rsidRPr="00990FB6">
        <w:rPr>
          <w:sz w:val="22"/>
          <w:szCs w:val="22"/>
        </w:rPr>
        <w:t xml:space="preserve"> los cuales cuentan con permisos con goce de salario según el artículo 44.</w:t>
      </w:r>
    </w:p>
    <w:p w14:paraId="32602937" w14:textId="33A87374" w:rsidR="00B15F7D" w:rsidRPr="00990FB6" w:rsidRDefault="00B15F7D" w:rsidP="00B15F7D">
      <w:pPr>
        <w:ind w:left="851" w:right="851" w:firstLine="709"/>
        <w:jc w:val="both"/>
        <w:rPr>
          <w:sz w:val="22"/>
          <w:szCs w:val="22"/>
        </w:rPr>
      </w:pPr>
      <w:r w:rsidRPr="00990FB6">
        <w:rPr>
          <w:sz w:val="22"/>
          <w:szCs w:val="22"/>
        </w:rPr>
        <w:t xml:space="preserve"> </w:t>
      </w:r>
    </w:p>
    <w:p w14:paraId="2E19E78B" w14:textId="77777777" w:rsidR="00B15F7D" w:rsidRPr="00990FB6" w:rsidRDefault="00B15F7D" w:rsidP="00B15F7D">
      <w:pPr>
        <w:ind w:left="851" w:right="851" w:firstLine="709"/>
        <w:jc w:val="center"/>
        <w:rPr>
          <w:b/>
          <w:sz w:val="22"/>
          <w:szCs w:val="22"/>
        </w:rPr>
      </w:pPr>
      <w:r w:rsidRPr="00990FB6">
        <w:rPr>
          <w:noProof/>
          <w:sz w:val="22"/>
          <w:szCs w:val="22"/>
          <w:lang w:eastAsia="es-ES"/>
        </w:rPr>
        <w:lastRenderedPageBreak/>
        <w:drawing>
          <wp:inline distT="0" distB="0" distL="0" distR="0" wp14:anchorId="11BC2A0A" wp14:editId="7AA5696B">
            <wp:extent cx="3629025" cy="3568065"/>
            <wp:effectExtent l="0" t="0" r="9525" b="13335"/>
            <wp:docPr id="114" name="Gráfico 114">
              <a:extLst xmlns:a="http://schemas.openxmlformats.org/drawingml/2006/main">
                <a:ext uri="{FF2B5EF4-FFF2-40B4-BE49-F238E27FC236}">
                  <a16:creationId xmlns:a16="http://schemas.microsoft.com/office/drawing/2014/main" id="{30968894-58F9-6CFA-C564-83580938EA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2D47AB1" w14:textId="77777777" w:rsidR="00B15F7D" w:rsidRPr="00990FB6" w:rsidRDefault="00B15F7D" w:rsidP="00B15F7D">
      <w:pPr>
        <w:ind w:left="851" w:right="851" w:firstLine="709"/>
        <w:rPr>
          <w:b/>
          <w:sz w:val="22"/>
          <w:szCs w:val="22"/>
        </w:rPr>
      </w:pPr>
    </w:p>
    <w:p w14:paraId="1C739ED0"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Ejecución Presupuestaria 2022</w:t>
      </w:r>
    </w:p>
    <w:p w14:paraId="1AA0421E" w14:textId="77777777" w:rsidR="00B15F7D" w:rsidRPr="00990FB6" w:rsidRDefault="00B15F7D" w:rsidP="00B15F7D">
      <w:pPr>
        <w:ind w:left="851" w:right="851" w:firstLine="709"/>
        <w:jc w:val="both"/>
        <w:rPr>
          <w:sz w:val="22"/>
          <w:szCs w:val="22"/>
        </w:rPr>
      </w:pPr>
    </w:p>
    <w:p w14:paraId="1115475A" w14:textId="77777777" w:rsidR="00B15F7D" w:rsidRPr="00990FB6" w:rsidRDefault="00B15F7D" w:rsidP="00B15F7D">
      <w:pPr>
        <w:ind w:left="851" w:right="851" w:firstLine="709"/>
        <w:jc w:val="both"/>
        <w:rPr>
          <w:sz w:val="22"/>
          <w:szCs w:val="22"/>
        </w:rPr>
      </w:pPr>
      <w:r w:rsidRPr="00990FB6">
        <w:rPr>
          <w:sz w:val="22"/>
          <w:szCs w:val="22"/>
        </w:rPr>
        <w:t xml:space="preserve">Para realizar el análisis de la ejecución presupuestaria del 2022 del Área de Informática, se consideró la ejecución de los rubros: recurso tecnológico menor y recurso tecnológico estratégico. A nivel general se presenta un porcentaje de ejecución presupuestaria de 90,26%, el cual es superior al del 2021 que fue 87,72%. </w:t>
      </w:r>
    </w:p>
    <w:p w14:paraId="785F01FD" w14:textId="77777777" w:rsidR="00B15F7D" w:rsidRPr="00990FB6" w:rsidRDefault="00B15F7D" w:rsidP="00B15F7D">
      <w:pPr>
        <w:ind w:left="851" w:right="851" w:firstLine="709"/>
        <w:jc w:val="both"/>
        <w:rPr>
          <w:noProof/>
          <w:sz w:val="22"/>
          <w:szCs w:val="22"/>
        </w:rPr>
      </w:pPr>
    </w:p>
    <w:p w14:paraId="6FDC2CE3" w14:textId="77777777" w:rsidR="00B15F7D" w:rsidRPr="00990FB6" w:rsidRDefault="00B15F7D" w:rsidP="00B15F7D">
      <w:pPr>
        <w:ind w:left="851" w:right="851" w:firstLine="709"/>
        <w:jc w:val="center"/>
        <w:rPr>
          <w:b/>
          <w:sz w:val="22"/>
          <w:szCs w:val="22"/>
        </w:rPr>
      </w:pPr>
      <w:r w:rsidRPr="00990FB6">
        <w:rPr>
          <w:noProof/>
          <w:sz w:val="22"/>
          <w:szCs w:val="22"/>
          <w:lang w:eastAsia="es-ES"/>
        </w:rPr>
        <w:drawing>
          <wp:inline distT="0" distB="0" distL="0" distR="0" wp14:anchorId="36CA1905" wp14:editId="022EA512">
            <wp:extent cx="4124325" cy="1441450"/>
            <wp:effectExtent l="0" t="0" r="9525" b="6350"/>
            <wp:docPr id="864343747" name="Imagen 86434374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Aplicación&#10;&#10;Descripción generada automáticamente"/>
                    <pic:cNvPicPr/>
                  </pic:nvPicPr>
                  <pic:blipFill>
                    <a:blip r:embed="rId126"/>
                    <a:stretch>
                      <a:fillRect/>
                    </a:stretch>
                  </pic:blipFill>
                  <pic:spPr>
                    <a:xfrm>
                      <a:off x="0" y="0"/>
                      <a:ext cx="4124325" cy="1441450"/>
                    </a:xfrm>
                    <a:prstGeom prst="rect">
                      <a:avLst/>
                    </a:prstGeom>
                  </pic:spPr>
                </pic:pic>
              </a:graphicData>
            </a:graphic>
          </wp:inline>
        </w:drawing>
      </w:r>
    </w:p>
    <w:p w14:paraId="6CB2E28B" w14:textId="77777777" w:rsidR="00B15F7D" w:rsidRPr="00990FB6" w:rsidRDefault="00B15F7D" w:rsidP="00B15F7D">
      <w:pPr>
        <w:ind w:right="851"/>
        <w:jc w:val="both"/>
        <w:rPr>
          <w:sz w:val="22"/>
          <w:szCs w:val="22"/>
        </w:rPr>
      </w:pPr>
    </w:p>
    <w:p w14:paraId="25A9E5DC" w14:textId="77777777" w:rsidR="00B15F7D" w:rsidRPr="00990FB6" w:rsidRDefault="00B15F7D" w:rsidP="00B15F7D">
      <w:pPr>
        <w:ind w:left="851" w:right="851" w:firstLine="709"/>
        <w:jc w:val="both"/>
        <w:rPr>
          <w:sz w:val="22"/>
          <w:szCs w:val="22"/>
        </w:rPr>
      </w:pPr>
      <w:r w:rsidRPr="00990FB6">
        <w:rPr>
          <w:sz w:val="22"/>
          <w:szCs w:val="22"/>
        </w:rPr>
        <w:t>En relación con las subpartidas que tuvieron recursos pendientes de ejecutar que más afectaron el porcentaje de ejecución, a continuación, se presentan las respectivas justificaciones brindadas por la Dirección de Tecnología de la Información y Comunicaciones.</w:t>
      </w:r>
    </w:p>
    <w:p w14:paraId="01E3EA0A" w14:textId="77777777" w:rsidR="00B15F7D" w:rsidRPr="00990FB6" w:rsidRDefault="00B15F7D" w:rsidP="00B15F7D">
      <w:pPr>
        <w:ind w:left="851" w:right="851" w:firstLine="709"/>
        <w:jc w:val="both"/>
        <w:rPr>
          <w:sz w:val="22"/>
          <w:szCs w:val="22"/>
        </w:rPr>
      </w:pPr>
    </w:p>
    <w:tbl>
      <w:tblPr>
        <w:tblW w:w="9600" w:type="dxa"/>
        <w:jc w:val="center"/>
        <w:tblCellMar>
          <w:left w:w="70" w:type="dxa"/>
          <w:right w:w="70" w:type="dxa"/>
        </w:tblCellMar>
        <w:tblLook w:val="04A0" w:firstRow="1" w:lastRow="0" w:firstColumn="1" w:lastColumn="0" w:noHBand="0" w:noVBand="1"/>
      </w:tblPr>
      <w:tblGrid>
        <w:gridCol w:w="2348"/>
        <w:gridCol w:w="1506"/>
        <w:gridCol w:w="5746"/>
      </w:tblGrid>
      <w:tr w:rsidR="00B15F7D" w:rsidRPr="00990FB6" w14:paraId="6293DD6C" w14:textId="77777777" w:rsidTr="000A0C22">
        <w:trPr>
          <w:trHeight w:val="520"/>
          <w:jc w:val="center"/>
        </w:trPr>
        <w:tc>
          <w:tcPr>
            <w:tcW w:w="2348"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1F962F31" w14:textId="77777777" w:rsidR="00B15F7D" w:rsidRPr="00990FB6" w:rsidRDefault="00B15F7D" w:rsidP="00B15F7D">
            <w:pPr>
              <w:jc w:val="center"/>
              <w:rPr>
                <w:b/>
                <w:bCs/>
                <w:sz w:val="22"/>
                <w:szCs w:val="22"/>
                <w:lang w:eastAsia="es-CR"/>
              </w:rPr>
            </w:pPr>
            <w:r w:rsidRPr="00990FB6">
              <w:rPr>
                <w:b/>
                <w:bCs/>
                <w:sz w:val="22"/>
                <w:szCs w:val="22"/>
                <w:lang w:eastAsia="es-CR"/>
              </w:rPr>
              <w:lastRenderedPageBreak/>
              <w:t xml:space="preserve">Subpartida </w:t>
            </w:r>
          </w:p>
        </w:tc>
        <w:tc>
          <w:tcPr>
            <w:tcW w:w="1506" w:type="dxa"/>
            <w:tcBorders>
              <w:top w:val="single" w:sz="4" w:space="0" w:color="auto"/>
              <w:left w:val="nil"/>
              <w:bottom w:val="single" w:sz="4" w:space="0" w:color="auto"/>
              <w:right w:val="single" w:sz="4" w:space="0" w:color="auto"/>
            </w:tcBorders>
            <w:shd w:val="clear" w:color="000000" w:fill="B4C6E7"/>
            <w:vAlign w:val="center"/>
            <w:hideMark/>
          </w:tcPr>
          <w:p w14:paraId="5F9D2F10" w14:textId="77777777" w:rsidR="00B15F7D" w:rsidRPr="00990FB6" w:rsidRDefault="00B15F7D" w:rsidP="00B15F7D">
            <w:pPr>
              <w:jc w:val="center"/>
              <w:rPr>
                <w:b/>
                <w:bCs/>
                <w:sz w:val="22"/>
                <w:szCs w:val="22"/>
                <w:lang w:eastAsia="es-CR"/>
              </w:rPr>
            </w:pPr>
            <w:r w:rsidRPr="00990FB6">
              <w:rPr>
                <w:b/>
                <w:bCs/>
                <w:sz w:val="22"/>
                <w:szCs w:val="22"/>
                <w:lang w:eastAsia="es-CR"/>
              </w:rPr>
              <w:t xml:space="preserve"> Porcentaje Ejecución </w:t>
            </w:r>
          </w:p>
        </w:tc>
        <w:tc>
          <w:tcPr>
            <w:tcW w:w="5746" w:type="dxa"/>
            <w:tcBorders>
              <w:top w:val="single" w:sz="4" w:space="0" w:color="auto"/>
              <w:left w:val="nil"/>
              <w:bottom w:val="single" w:sz="4" w:space="0" w:color="auto"/>
              <w:right w:val="single" w:sz="4" w:space="0" w:color="auto"/>
            </w:tcBorders>
            <w:shd w:val="clear" w:color="000000" w:fill="B4C6E7"/>
            <w:vAlign w:val="center"/>
            <w:hideMark/>
          </w:tcPr>
          <w:p w14:paraId="2C235580" w14:textId="77777777" w:rsidR="00B15F7D" w:rsidRPr="00990FB6" w:rsidRDefault="00B15F7D" w:rsidP="00B15F7D">
            <w:pPr>
              <w:jc w:val="center"/>
              <w:rPr>
                <w:b/>
                <w:bCs/>
                <w:sz w:val="22"/>
                <w:szCs w:val="22"/>
                <w:lang w:eastAsia="es-CR"/>
              </w:rPr>
            </w:pPr>
            <w:r w:rsidRPr="00990FB6">
              <w:rPr>
                <w:b/>
                <w:bCs/>
                <w:sz w:val="22"/>
                <w:szCs w:val="22"/>
                <w:lang w:eastAsia="es-CR"/>
              </w:rPr>
              <w:t xml:space="preserve"> Justificaciones </w:t>
            </w:r>
          </w:p>
        </w:tc>
      </w:tr>
      <w:tr w:rsidR="00B15F7D" w:rsidRPr="00990FB6" w14:paraId="7E720C0D" w14:textId="77777777" w:rsidTr="000A0C22">
        <w:trPr>
          <w:trHeight w:val="1586"/>
          <w:jc w:val="center"/>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5DA274D7" w14:textId="77777777" w:rsidR="00B15F7D" w:rsidRPr="00990FB6" w:rsidRDefault="00B15F7D" w:rsidP="00B15F7D">
            <w:pPr>
              <w:rPr>
                <w:sz w:val="22"/>
                <w:szCs w:val="22"/>
                <w:lang w:eastAsia="es-CR"/>
              </w:rPr>
            </w:pPr>
            <w:r w:rsidRPr="00990FB6">
              <w:rPr>
                <w:sz w:val="22"/>
                <w:szCs w:val="22"/>
                <w:lang w:eastAsia="es-CR"/>
              </w:rPr>
              <w:t>10204 Servicio de telecomunicaciones</w:t>
            </w:r>
          </w:p>
        </w:tc>
        <w:tc>
          <w:tcPr>
            <w:tcW w:w="1506" w:type="dxa"/>
            <w:tcBorders>
              <w:top w:val="nil"/>
              <w:left w:val="nil"/>
              <w:bottom w:val="single" w:sz="4" w:space="0" w:color="auto"/>
              <w:right w:val="single" w:sz="4" w:space="0" w:color="auto"/>
            </w:tcBorders>
            <w:shd w:val="clear" w:color="auto" w:fill="auto"/>
            <w:noWrap/>
            <w:vAlign w:val="center"/>
            <w:hideMark/>
          </w:tcPr>
          <w:p w14:paraId="3C69389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58,43%</w:t>
            </w:r>
          </w:p>
        </w:tc>
        <w:tc>
          <w:tcPr>
            <w:tcW w:w="5746" w:type="dxa"/>
            <w:tcBorders>
              <w:top w:val="nil"/>
              <w:left w:val="nil"/>
              <w:bottom w:val="single" w:sz="4" w:space="0" w:color="auto"/>
              <w:right w:val="single" w:sz="4" w:space="0" w:color="auto"/>
            </w:tcBorders>
            <w:shd w:val="clear" w:color="auto" w:fill="auto"/>
            <w:vAlign w:val="center"/>
            <w:hideMark/>
          </w:tcPr>
          <w:p w14:paraId="2BABF210" w14:textId="77777777" w:rsidR="00B15F7D" w:rsidRPr="00990FB6" w:rsidRDefault="00B15F7D" w:rsidP="00B15F7D">
            <w:pPr>
              <w:jc w:val="both"/>
              <w:rPr>
                <w:sz w:val="22"/>
                <w:szCs w:val="22"/>
                <w:lang w:eastAsia="es-CR"/>
              </w:rPr>
            </w:pPr>
            <w:r w:rsidRPr="00990FB6">
              <w:rPr>
                <w:sz w:val="22"/>
                <w:szCs w:val="22"/>
              </w:rPr>
              <w:t>En esta subpartida quedaron sin ejecutar ₡24.568.627. Señalan que se liberó una certificación de contenido que se tenía para los enlaces de fibra óptica de Cañas. El monto remanente se solicitó al Departamento Financiero Contable a finales de octubre que fuera utilizado para otras necesidades quienes indicaron que de tener faltantes en las proyecciones solicitarían el traslado de recursos.</w:t>
            </w:r>
          </w:p>
        </w:tc>
      </w:tr>
      <w:tr w:rsidR="00B15F7D" w:rsidRPr="00990FB6" w14:paraId="2EC77C0C" w14:textId="77777777" w:rsidTr="000A0C22">
        <w:trPr>
          <w:trHeight w:val="592"/>
          <w:jc w:val="center"/>
        </w:trPr>
        <w:tc>
          <w:tcPr>
            <w:tcW w:w="2348" w:type="dxa"/>
            <w:tcBorders>
              <w:top w:val="nil"/>
              <w:left w:val="single" w:sz="4" w:space="0" w:color="auto"/>
              <w:bottom w:val="single" w:sz="4" w:space="0" w:color="auto"/>
              <w:right w:val="single" w:sz="4" w:space="0" w:color="auto"/>
            </w:tcBorders>
            <w:shd w:val="clear" w:color="auto" w:fill="auto"/>
            <w:vAlign w:val="center"/>
          </w:tcPr>
          <w:p w14:paraId="7845506C" w14:textId="77777777" w:rsidR="00B15F7D" w:rsidRPr="00990FB6" w:rsidRDefault="00B15F7D" w:rsidP="00B15F7D">
            <w:pPr>
              <w:rPr>
                <w:sz w:val="22"/>
                <w:szCs w:val="22"/>
                <w:lang w:eastAsia="es-CR"/>
              </w:rPr>
            </w:pPr>
            <w:r w:rsidRPr="00990FB6">
              <w:rPr>
                <w:sz w:val="22"/>
                <w:szCs w:val="22"/>
                <w:lang w:eastAsia="es-CR"/>
              </w:rPr>
              <w:t>50103 Equipo de Comunicación</w:t>
            </w:r>
          </w:p>
        </w:tc>
        <w:tc>
          <w:tcPr>
            <w:tcW w:w="1506" w:type="dxa"/>
            <w:tcBorders>
              <w:top w:val="nil"/>
              <w:left w:val="nil"/>
              <w:bottom w:val="single" w:sz="4" w:space="0" w:color="auto"/>
              <w:right w:val="single" w:sz="4" w:space="0" w:color="auto"/>
            </w:tcBorders>
            <w:shd w:val="clear" w:color="auto" w:fill="auto"/>
            <w:noWrap/>
            <w:vAlign w:val="center"/>
          </w:tcPr>
          <w:p w14:paraId="162B29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93,45%</w:t>
            </w:r>
          </w:p>
        </w:tc>
        <w:tc>
          <w:tcPr>
            <w:tcW w:w="5746" w:type="dxa"/>
            <w:tcBorders>
              <w:top w:val="nil"/>
              <w:left w:val="nil"/>
              <w:bottom w:val="single" w:sz="4" w:space="0" w:color="auto"/>
              <w:right w:val="single" w:sz="4" w:space="0" w:color="auto"/>
            </w:tcBorders>
            <w:shd w:val="clear" w:color="auto" w:fill="auto"/>
            <w:vAlign w:val="center"/>
          </w:tcPr>
          <w:p w14:paraId="10DAA3B8" w14:textId="77777777" w:rsidR="00B15F7D" w:rsidRPr="00990FB6" w:rsidRDefault="00B15F7D" w:rsidP="00B15F7D">
            <w:pPr>
              <w:jc w:val="both"/>
              <w:rPr>
                <w:sz w:val="22"/>
                <w:szCs w:val="22"/>
              </w:rPr>
            </w:pPr>
            <w:r w:rsidRPr="00990FB6">
              <w:rPr>
                <w:sz w:val="22"/>
                <w:szCs w:val="22"/>
              </w:rPr>
              <w:t>En esta subpartida quedaron sin ejecutar ₡38.331.035. Se caducó una solicitud de pedido de la contratación 2022LA-000079-PROV para la compra de pantalla modular, por no permitirse la confección de pedidos provisionales. También se tuvo remanente por concepto de diferencial cambiario a la hora de crear los pedidos para la compra de equipos de comunicación, tales como convertidores de medios, salas de juicio, teléfonos, cámaras de video mini digitales.</w:t>
            </w:r>
          </w:p>
        </w:tc>
      </w:tr>
      <w:tr w:rsidR="00B15F7D" w:rsidRPr="00990FB6" w14:paraId="272F4F5F" w14:textId="77777777" w:rsidTr="000A0C22">
        <w:trPr>
          <w:trHeight w:val="592"/>
          <w:jc w:val="center"/>
        </w:trPr>
        <w:tc>
          <w:tcPr>
            <w:tcW w:w="2348" w:type="dxa"/>
            <w:tcBorders>
              <w:top w:val="nil"/>
              <w:left w:val="single" w:sz="4" w:space="0" w:color="auto"/>
              <w:bottom w:val="single" w:sz="4" w:space="0" w:color="auto"/>
              <w:right w:val="single" w:sz="4" w:space="0" w:color="auto"/>
            </w:tcBorders>
            <w:shd w:val="clear" w:color="auto" w:fill="auto"/>
            <w:vAlign w:val="center"/>
          </w:tcPr>
          <w:p w14:paraId="35EEA6A9" w14:textId="77777777" w:rsidR="00B15F7D" w:rsidRPr="00990FB6" w:rsidRDefault="00B15F7D" w:rsidP="00B15F7D">
            <w:pPr>
              <w:rPr>
                <w:sz w:val="22"/>
                <w:szCs w:val="22"/>
                <w:lang w:eastAsia="es-CR"/>
              </w:rPr>
            </w:pPr>
            <w:r w:rsidRPr="00990FB6">
              <w:rPr>
                <w:sz w:val="22"/>
                <w:szCs w:val="22"/>
                <w:lang w:eastAsia="es-CR"/>
              </w:rPr>
              <w:t>50105 Equipo de Cómputo</w:t>
            </w:r>
          </w:p>
        </w:tc>
        <w:tc>
          <w:tcPr>
            <w:tcW w:w="1506" w:type="dxa"/>
            <w:tcBorders>
              <w:top w:val="nil"/>
              <w:left w:val="nil"/>
              <w:bottom w:val="single" w:sz="4" w:space="0" w:color="auto"/>
              <w:right w:val="single" w:sz="4" w:space="0" w:color="auto"/>
            </w:tcBorders>
            <w:shd w:val="clear" w:color="auto" w:fill="auto"/>
            <w:noWrap/>
            <w:vAlign w:val="center"/>
          </w:tcPr>
          <w:p w14:paraId="1F7C74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90,68%</w:t>
            </w:r>
          </w:p>
        </w:tc>
        <w:tc>
          <w:tcPr>
            <w:tcW w:w="5746" w:type="dxa"/>
            <w:tcBorders>
              <w:top w:val="nil"/>
              <w:left w:val="nil"/>
              <w:bottom w:val="single" w:sz="4" w:space="0" w:color="auto"/>
              <w:right w:val="single" w:sz="4" w:space="0" w:color="auto"/>
            </w:tcBorders>
            <w:shd w:val="clear" w:color="auto" w:fill="auto"/>
            <w:vAlign w:val="center"/>
          </w:tcPr>
          <w:p w14:paraId="047F6AC2" w14:textId="77777777" w:rsidR="00B15F7D" w:rsidRPr="00990FB6" w:rsidRDefault="00B15F7D" w:rsidP="00B15F7D">
            <w:pPr>
              <w:jc w:val="both"/>
              <w:rPr>
                <w:sz w:val="22"/>
                <w:szCs w:val="22"/>
              </w:rPr>
            </w:pPr>
            <w:r w:rsidRPr="00990FB6">
              <w:rPr>
                <w:sz w:val="22"/>
                <w:szCs w:val="22"/>
              </w:rPr>
              <w:t xml:space="preserve">En esta subpartida quedaron sin ejecutar ₡428.258.658. Señalan que caducaron una solicitud de pedido para la compra de </w:t>
            </w:r>
            <w:proofErr w:type="spellStart"/>
            <w:r w:rsidRPr="00990FB6">
              <w:rPr>
                <w:sz w:val="22"/>
                <w:szCs w:val="22"/>
              </w:rPr>
              <w:t>docking</w:t>
            </w:r>
            <w:proofErr w:type="spellEnd"/>
            <w:r w:rsidRPr="00990FB6">
              <w:rPr>
                <w:sz w:val="22"/>
                <w:szCs w:val="22"/>
              </w:rPr>
              <w:t xml:space="preserve"> (procedimiento 2022LA-000102-PROV) y almacenamiento SAN (2022LA-000070-PROV), por no lograrse la confección de pedidos en los procedimientos de compra. También se tuvo un remanente por concepto de diferencial cambiario al momento de la compra de equipos de cómputo. No se omite indicar, que previamente se analizó todo el presupuesto para utilizar el contenido en la compra de equipos de cómputo según demanda. </w:t>
            </w:r>
          </w:p>
        </w:tc>
      </w:tr>
      <w:tr w:rsidR="00B15F7D" w:rsidRPr="00990FB6" w14:paraId="0C94826F" w14:textId="77777777" w:rsidTr="000A0C22">
        <w:trPr>
          <w:trHeight w:val="600"/>
          <w:jc w:val="center"/>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5D04C082" w14:textId="77777777" w:rsidR="00B15F7D" w:rsidRPr="00990FB6" w:rsidRDefault="00B15F7D" w:rsidP="00B15F7D">
            <w:pPr>
              <w:rPr>
                <w:sz w:val="22"/>
                <w:szCs w:val="22"/>
                <w:lang w:eastAsia="es-CR"/>
              </w:rPr>
            </w:pPr>
            <w:r w:rsidRPr="00990FB6">
              <w:rPr>
                <w:sz w:val="22"/>
                <w:szCs w:val="22"/>
                <w:lang w:eastAsia="es-CR"/>
              </w:rPr>
              <w:t>59903 Bienes Intangibles</w:t>
            </w:r>
          </w:p>
        </w:tc>
        <w:tc>
          <w:tcPr>
            <w:tcW w:w="1506" w:type="dxa"/>
            <w:tcBorders>
              <w:top w:val="nil"/>
              <w:left w:val="nil"/>
              <w:bottom w:val="single" w:sz="4" w:space="0" w:color="auto"/>
              <w:right w:val="single" w:sz="4" w:space="0" w:color="auto"/>
            </w:tcBorders>
            <w:shd w:val="clear" w:color="auto" w:fill="auto"/>
            <w:noWrap/>
            <w:vAlign w:val="center"/>
            <w:hideMark/>
          </w:tcPr>
          <w:p w14:paraId="1A5A22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89,48%</w:t>
            </w:r>
          </w:p>
        </w:tc>
        <w:tc>
          <w:tcPr>
            <w:tcW w:w="5746" w:type="dxa"/>
            <w:tcBorders>
              <w:top w:val="nil"/>
              <w:left w:val="nil"/>
              <w:bottom w:val="single" w:sz="4" w:space="0" w:color="auto"/>
              <w:right w:val="single" w:sz="4" w:space="0" w:color="auto"/>
            </w:tcBorders>
            <w:shd w:val="clear" w:color="auto" w:fill="auto"/>
            <w:vAlign w:val="center"/>
            <w:hideMark/>
          </w:tcPr>
          <w:p w14:paraId="0EEF4771" w14:textId="77777777" w:rsidR="00B15F7D" w:rsidRPr="00990FB6" w:rsidRDefault="00B15F7D" w:rsidP="00B15F7D">
            <w:pPr>
              <w:jc w:val="both"/>
              <w:rPr>
                <w:sz w:val="22"/>
                <w:szCs w:val="22"/>
                <w:lang w:eastAsia="es-CR"/>
              </w:rPr>
            </w:pPr>
            <w:r w:rsidRPr="00990FB6">
              <w:rPr>
                <w:sz w:val="22"/>
                <w:szCs w:val="22"/>
              </w:rPr>
              <w:t xml:space="preserve">En esta subpartida quedaron sin ejecutar ₡299.115.675. El remanente corresponde a licenciamiento Veeam (procedimiento 2022LA-000080-PROV) y licenciamiento </w:t>
            </w:r>
            <w:proofErr w:type="spellStart"/>
            <w:r w:rsidRPr="00990FB6">
              <w:rPr>
                <w:sz w:val="22"/>
                <w:szCs w:val="22"/>
              </w:rPr>
              <w:t>Smarnet</w:t>
            </w:r>
            <w:proofErr w:type="spellEnd"/>
            <w:r w:rsidRPr="00990FB6">
              <w:rPr>
                <w:sz w:val="22"/>
                <w:szCs w:val="22"/>
              </w:rPr>
              <w:t xml:space="preserve"> para enrutadores (procedimiento 2022LA-000093-PROV). También se tienen varios remanentes por variación en el tipo de cambio en adjudicaciones en firme de contrataciones como Barracuda, IPS, pedidos de Office, herramienta Global Suite.</w:t>
            </w:r>
          </w:p>
        </w:tc>
      </w:tr>
    </w:tbl>
    <w:p w14:paraId="385CA1A2" w14:textId="77777777" w:rsidR="00B15F7D" w:rsidRPr="00990FB6" w:rsidRDefault="00B15F7D" w:rsidP="00B15F7D">
      <w:pPr>
        <w:ind w:left="851" w:right="851" w:firstLine="709"/>
        <w:jc w:val="both"/>
        <w:rPr>
          <w:b/>
          <w:sz w:val="22"/>
          <w:szCs w:val="22"/>
        </w:rPr>
      </w:pPr>
    </w:p>
    <w:p w14:paraId="54B19E5D" w14:textId="77777777" w:rsidR="00B15F7D" w:rsidRPr="00990FB6" w:rsidRDefault="00B15F7D" w:rsidP="00B15F7D">
      <w:pPr>
        <w:numPr>
          <w:ilvl w:val="0"/>
          <w:numId w:val="178"/>
        </w:numPr>
        <w:suppressAutoHyphens w:val="0"/>
        <w:ind w:left="851" w:right="851" w:firstLine="709"/>
        <w:jc w:val="both"/>
        <w:rPr>
          <w:b/>
          <w:bCs/>
          <w:sz w:val="22"/>
          <w:szCs w:val="22"/>
          <w:lang w:eastAsia="es-ES"/>
        </w:rPr>
      </w:pPr>
      <w:r w:rsidRPr="00990FB6">
        <w:rPr>
          <w:b/>
          <w:bCs/>
          <w:sz w:val="22"/>
          <w:szCs w:val="22"/>
        </w:rPr>
        <w:t>Conclusiones</w:t>
      </w:r>
    </w:p>
    <w:p w14:paraId="3D153FCF" w14:textId="77777777" w:rsidR="00B15F7D" w:rsidRPr="00990FB6" w:rsidRDefault="00B15F7D" w:rsidP="00B15F7D">
      <w:pPr>
        <w:ind w:left="851" w:right="851" w:firstLine="709"/>
        <w:jc w:val="both"/>
        <w:rPr>
          <w:b/>
          <w:sz w:val="22"/>
          <w:szCs w:val="22"/>
        </w:rPr>
      </w:pPr>
    </w:p>
    <w:p w14:paraId="733DC2DC" w14:textId="77777777" w:rsidR="00B15F7D" w:rsidRPr="00990FB6" w:rsidRDefault="00B15F7D" w:rsidP="00B15F7D">
      <w:pPr>
        <w:numPr>
          <w:ilvl w:val="1"/>
          <w:numId w:val="178"/>
        </w:numPr>
        <w:tabs>
          <w:tab w:val="center" w:pos="2127"/>
          <w:tab w:val="right" w:pos="8504"/>
        </w:tabs>
        <w:suppressAutoHyphens w:val="0"/>
        <w:ind w:left="851" w:right="851" w:firstLine="709"/>
        <w:jc w:val="both"/>
        <w:rPr>
          <w:sz w:val="22"/>
          <w:szCs w:val="22"/>
        </w:rPr>
      </w:pPr>
      <w:r w:rsidRPr="00990FB6">
        <w:rPr>
          <w:sz w:val="22"/>
          <w:szCs w:val="22"/>
        </w:rPr>
        <w:t xml:space="preserve">El total del anteproyecto de presupuesto del Área de Informática para el 2024 es de </w:t>
      </w:r>
      <w:r w:rsidRPr="00990FB6">
        <w:rPr>
          <w:b/>
          <w:bCs/>
          <w:sz w:val="22"/>
          <w:szCs w:val="22"/>
        </w:rPr>
        <w:t>₡14.770.278.525</w:t>
      </w:r>
      <w:r w:rsidRPr="00990FB6">
        <w:rPr>
          <w:sz w:val="22"/>
          <w:szCs w:val="22"/>
        </w:rPr>
        <w:t xml:space="preserve">, lo cual representa un incremento del 54,03% con respecto al 2023, es decir a nivel general este presupuesto está por encima del límite presupuestario 2024 comunicado por la Dirección de Planificación mediante el oficio N°3429-PLA-PP-TR-2022 en ₡5.181.092.218, límite que fue estimado conforme al porcentaje del crecimiento del 0% aprobado por el Consejo Superior, en la sesión Nº103-2022 del 24 de noviembre, artículo XIII. </w:t>
      </w:r>
    </w:p>
    <w:p w14:paraId="236969E2" w14:textId="77777777" w:rsidR="00B15F7D" w:rsidRPr="00990FB6" w:rsidRDefault="00B15F7D" w:rsidP="00B15F7D">
      <w:pPr>
        <w:ind w:left="851" w:right="851" w:firstLine="709"/>
        <w:contextualSpacing/>
        <w:jc w:val="both"/>
        <w:rPr>
          <w:sz w:val="22"/>
          <w:szCs w:val="22"/>
        </w:rPr>
      </w:pPr>
    </w:p>
    <w:p w14:paraId="1E0FD59A"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lastRenderedPageBreak/>
        <w:t xml:space="preserve">Con respecto a la aplicación de la regla fiscal se indica que el anteproyecto de presupuesto del Área de Informática muestra un crecimiento en el gasto corriente de ₡110.503.199 y en el gasto de capital de ₡5.070.589.019. </w:t>
      </w:r>
    </w:p>
    <w:p w14:paraId="608227E5" w14:textId="77777777" w:rsidR="00B15F7D" w:rsidRPr="00990FB6" w:rsidRDefault="00B15F7D" w:rsidP="00B15F7D">
      <w:pPr>
        <w:ind w:left="851" w:right="851" w:firstLine="709"/>
        <w:contextualSpacing/>
        <w:jc w:val="both"/>
        <w:rPr>
          <w:sz w:val="22"/>
          <w:szCs w:val="22"/>
        </w:rPr>
      </w:pPr>
    </w:p>
    <w:p w14:paraId="7C4169CF"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El monto total del anteproyecto de presupuesto 2024 del Área de Informática remitido originalmente era ₡16.042.375.348, pero se eliminaron algunas líneas en las subpartidas 10204 Servicio de Telecomunicaciones ₡346.083.600, 50105 Equipo de Cómputo ₡479.164.070, 50201 Edificios ₡150.000.000 y 59903 Bienes Intangibles ₡296.849.153, para un total de ₡1.272.096.823. Estos ajustes fueron coordinados con la Dirección de Tecnología de Información y Comunicaciones y oficinas responsables.</w:t>
      </w:r>
    </w:p>
    <w:p w14:paraId="7485206F" w14:textId="77777777" w:rsidR="00B15F7D" w:rsidRPr="00990FB6" w:rsidRDefault="00B15F7D" w:rsidP="00B15F7D">
      <w:pPr>
        <w:ind w:left="851" w:right="851" w:firstLine="709"/>
        <w:contextualSpacing/>
        <w:jc w:val="both"/>
        <w:rPr>
          <w:sz w:val="22"/>
          <w:szCs w:val="22"/>
        </w:rPr>
      </w:pPr>
    </w:p>
    <w:p w14:paraId="323A3471"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 xml:space="preserve">Es importante considerar que por parte del programa 951 Administración del Fondo de Jubilaciones y Pensiones en este anteproyecto se están incluyendo ₡10.293.286 que se financian con recursos propios de JUNAFO. </w:t>
      </w:r>
    </w:p>
    <w:p w14:paraId="7DFA9F19" w14:textId="77777777" w:rsidR="00B15F7D" w:rsidRPr="00990FB6" w:rsidRDefault="00B15F7D" w:rsidP="00B15F7D">
      <w:pPr>
        <w:ind w:left="851" w:right="851" w:firstLine="709"/>
        <w:jc w:val="both"/>
        <w:rPr>
          <w:sz w:val="22"/>
          <w:szCs w:val="22"/>
        </w:rPr>
      </w:pPr>
    </w:p>
    <w:p w14:paraId="12B6904D"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 xml:space="preserve">El anteproyecto de presupuesto 2024 del área tecnológica que fue aprobado por la Comisión Gerencial de Tecnologías de la Información el 22 de noviembre de 2022, fue remitido a Corte Plena para conocimiento y aprobación, misma que se realizó en la sesión N°63-2022 del 12 de diciembre del 2022, artículo XIII. Específicamente se aprueba el tercer escenario que según lo indicado por la Dirección de </w:t>
      </w:r>
      <w:proofErr w:type="gramStart"/>
      <w:r w:rsidRPr="00990FB6">
        <w:rPr>
          <w:sz w:val="22"/>
          <w:szCs w:val="22"/>
        </w:rPr>
        <w:t>Tecnología,  parte</w:t>
      </w:r>
      <w:proofErr w:type="gramEnd"/>
      <w:r w:rsidRPr="00990FB6">
        <w:rPr>
          <w:sz w:val="22"/>
          <w:szCs w:val="22"/>
        </w:rPr>
        <w:t xml:space="preserve"> del aumento será cubierto una parte por el Fondo de Emergencias, otra por el ahorro institucional que se va a presentar por no alquilar más computadoras y finalmente, con la proyección de ahorro de la subpartida 10204 Servicio de Telecomunicaciones por nuevos contratos de enlaces de fibra óptica.</w:t>
      </w:r>
    </w:p>
    <w:p w14:paraId="00CA8429" w14:textId="77777777" w:rsidR="00B15F7D" w:rsidRPr="00990FB6" w:rsidRDefault="00B15F7D" w:rsidP="00B15F7D">
      <w:pPr>
        <w:ind w:left="851" w:right="851" w:firstLine="709"/>
        <w:jc w:val="both"/>
        <w:rPr>
          <w:sz w:val="22"/>
          <w:szCs w:val="22"/>
        </w:rPr>
      </w:pPr>
    </w:p>
    <w:p w14:paraId="743CD67C"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Mediante los oficios N°3010-DTIC-2022 y N°3016-DTIC-2022 ambos con fecha 22 de noviembre del 2022, la Máster Kattia Morales Navarro detalla la propuesta del anteproyecto de presupuesto 2024 del área tecnológica y señala que el incremento con respecto al 2023 se muestra en las subpartidas 10204 Servicio de Telecomunicaciones, 10405 Servicios Informáticos, 50105 Equipo de Cómputo y 59903 Bienes Intangibles.</w:t>
      </w:r>
    </w:p>
    <w:p w14:paraId="5CFD38B9" w14:textId="77777777" w:rsidR="00B15F7D" w:rsidRPr="00990FB6" w:rsidRDefault="00B15F7D" w:rsidP="00B15F7D">
      <w:pPr>
        <w:ind w:left="851" w:right="851" w:firstLine="709"/>
        <w:jc w:val="both"/>
        <w:rPr>
          <w:sz w:val="22"/>
          <w:szCs w:val="22"/>
        </w:rPr>
      </w:pPr>
    </w:p>
    <w:p w14:paraId="79760950"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La Máster Kattia Morales Navarro indica que sea han realizado esfuerzos extraordinarios para depurar al máximo el requerimiento general 2024, pero es imposible mantener el presupuesto al límite presupuestarios establecido y que de no realizar las inversiones mínimas requeridas que se presentan en esta formulación se estarían asumiendo los riesgos asociados a la obsolescencia tecnológica, limitaciones en las capacidades de almacenamiento y respaldo de la información, así como los riesgos en materia de seguridad tecnológica.</w:t>
      </w:r>
    </w:p>
    <w:p w14:paraId="405048C9" w14:textId="77777777" w:rsidR="00B15F7D" w:rsidRPr="00990FB6" w:rsidRDefault="00B15F7D" w:rsidP="00B15F7D">
      <w:pPr>
        <w:ind w:left="851" w:right="851" w:firstLine="709"/>
        <w:contextualSpacing/>
        <w:jc w:val="both"/>
        <w:rPr>
          <w:sz w:val="22"/>
          <w:szCs w:val="22"/>
        </w:rPr>
      </w:pPr>
    </w:p>
    <w:p w14:paraId="63051146"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En cuanto a la gestión de los proyectos estratégicos en el anteproyecto de presupuesto 2024 del Área de Informática, se determina que del total solicitado un 59% están asociados a “Operación” y un 41% a proyectos. Cabe resaltar el avance que se tiene para el 2024 en cuanto a que los recursos vengan asociados a los proyectos estratégicos del Portafolio de Proyectos Institucional, ya que se observa una línea de tendencia ascendente en este período.</w:t>
      </w:r>
    </w:p>
    <w:p w14:paraId="5474847E" w14:textId="77777777" w:rsidR="00B15F7D" w:rsidRPr="00990FB6" w:rsidRDefault="00B15F7D" w:rsidP="00B15F7D">
      <w:pPr>
        <w:ind w:left="851" w:right="851" w:firstLine="709"/>
        <w:contextualSpacing/>
        <w:jc w:val="both"/>
        <w:rPr>
          <w:sz w:val="22"/>
          <w:szCs w:val="22"/>
        </w:rPr>
      </w:pPr>
    </w:p>
    <w:p w14:paraId="150BBC5A"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De los ₡6.029.692.240 que se muestran en el 2024 asociados a proyectos, un 85,93% corresponden a la categoría “Operativo tipo 2” que por definición se refiere a recursos en gastos de capital (partida 5) y que según acordó el Consejo Superior en la sesión N°22-2022, artículo XVI, tenían que asociarse a proyectos para dar cumplimiento a lo establecido en las Normas de Ejecución Presupuestaria incluidas en la ley de presupuesto, que para el 2023 corresponde a la norma N°20. En cuanto a “Estratégico” que son proyectos incluidos en el Portafolio de Proyectos Institucional se muestra un 6,51% de los recursos, seguido con un 5,74% de recursos “Sin proyecto” y finalmente un 1,82% en “Operativo tipo 1” los cuales cuentan con permisos con goce de salario según el artículo 44.</w:t>
      </w:r>
    </w:p>
    <w:p w14:paraId="7E4595B8" w14:textId="77777777" w:rsidR="00B15F7D" w:rsidRPr="00990FB6" w:rsidRDefault="00B15F7D" w:rsidP="00B15F7D">
      <w:pPr>
        <w:ind w:left="851" w:right="851" w:firstLine="709"/>
        <w:contextualSpacing/>
        <w:jc w:val="both"/>
        <w:rPr>
          <w:sz w:val="22"/>
          <w:szCs w:val="22"/>
        </w:rPr>
      </w:pPr>
    </w:p>
    <w:p w14:paraId="4E8DA98E"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Existe una línea “Sin proyecto” con ₡346.048.398 solicitada por el Subproceso de Sistemas Operativos para migración y rediseño del Sistema SIGA-PJ, PEI-PAO, Nexus PJ, sostenibilidad de sistemas varios y calidad, proyectos nuevos SIGA-GH Ley Empleo Público, entre otros.  En este sentido se debe reiterar a la Dirección de Tecnología de la Información y Comunicaciones revisar el catálogo y la forma en que se alimenta en el Sistema de Preformulación (SPREF) el campo de “Proyecto”, esto por cuanto solamente debería mostrar los proyectos que se encuentran dentro del Portafolio de Proyectos Institucional.  En este sentido se debe reiterar a la Dirección de Tecnología de la Información y Comunicaciones revisar el catálogo de Proyectos del Sistema de Preformulación (SPREF) y la forma en que se alimenta el campo de “Proyecto”, de manera tal que todos los recursos formulados se asocien a algún proyecto incluido dentro del Portafolio de Proyectos Institucional.</w:t>
      </w:r>
    </w:p>
    <w:p w14:paraId="2BAE9437" w14:textId="77777777" w:rsidR="00B15F7D" w:rsidRPr="00990FB6" w:rsidRDefault="00B15F7D" w:rsidP="00B15F7D">
      <w:pPr>
        <w:ind w:left="851" w:right="851" w:firstLine="709"/>
        <w:contextualSpacing/>
        <w:jc w:val="both"/>
        <w:rPr>
          <w:sz w:val="22"/>
          <w:szCs w:val="22"/>
        </w:rPr>
      </w:pPr>
    </w:p>
    <w:p w14:paraId="6378BD79"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El programa 926 Dirección y Administración agrupa el 87,10% de los recursos solicitados, seguido por el Organismo de Investigación Judicial con un 5,86% y con montos menores los demás programas. Se debe resaltar que es la primera vez que se muestra en el anteproyecto de presupuesto del Área de Informática, recursos formulados para el programa 951 Administración Fondo de Jubilaciones y Pensiones.</w:t>
      </w:r>
    </w:p>
    <w:p w14:paraId="2A09AD57" w14:textId="77777777" w:rsidR="00B15F7D" w:rsidRPr="00990FB6" w:rsidRDefault="00B15F7D" w:rsidP="00B15F7D">
      <w:pPr>
        <w:ind w:left="851" w:right="851" w:firstLine="709"/>
        <w:contextualSpacing/>
        <w:jc w:val="both"/>
        <w:rPr>
          <w:sz w:val="22"/>
          <w:szCs w:val="22"/>
        </w:rPr>
      </w:pPr>
    </w:p>
    <w:p w14:paraId="504BA90A"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En lo que corresponde a la distribución de recursos 2024 del Área de Informática por centro de responsabilidad es importante indicar que la Dirección de Tecnología de la Información y Comunicaciones y la Dirección Ejecutiva tienen la mayor cantidad de recursos porque los formulan para atender necesidades de todas las oficinas a nivel institucional. En el Primer Circuito Judicial de San José también se formulan recursos para necesidades de todas las oficinas del programa 927 Servicio Jurisdiccional. En cuanto al Organismo de Investigación Judicial, Ministerio Público y la Defensa Pública, se formulan recursos para atender necesidades de las oficinas de sus programas.</w:t>
      </w:r>
    </w:p>
    <w:p w14:paraId="01A0B496" w14:textId="77777777" w:rsidR="00B15F7D" w:rsidRPr="00990FB6" w:rsidRDefault="00B15F7D" w:rsidP="00B15F7D">
      <w:pPr>
        <w:ind w:left="851" w:right="851" w:firstLine="709"/>
        <w:contextualSpacing/>
        <w:jc w:val="both"/>
        <w:rPr>
          <w:sz w:val="22"/>
          <w:szCs w:val="22"/>
        </w:rPr>
      </w:pPr>
    </w:p>
    <w:p w14:paraId="0D3C8AB4"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 xml:space="preserve">La subpartida 50105 Equipo de Cómputo muestra la mayor cantidad de recursos solicitados con un monto de ₡6.600.838.470, mostrando un incremento del 115,64% con respecto al 2023, lo que representa ₡3.539.760.979 más que el año anterior, justificado en la compra de equipo de cómputo como parte del cambio para no alquilarlo. En la subpartida 59903 Bienes Intangibles se formularon ₡5.840.059.281 con un incremento del 32,51% y que representa ₡1.432.673.820 más, </w:t>
      </w:r>
      <w:r w:rsidRPr="00990FB6">
        <w:rPr>
          <w:sz w:val="22"/>
          <w:szCs w:val="22"/>
        </w:rPr>
        <w:lastRenderedPageBreak/>
        <w:t>se debe considerar que el crecimiento de compras de equipo de cómputo hace necesario ampliar la cantidad de licencias de antivirus.</w:t>
      </w:r>
    </w:p>
    <w:p w14:paraId="66A1D54F" w14:textId="77777777" w:rsidR="00B15F7D" w:rsidRPr="00990FB6" w:rsidRDefault="00B15F7D" w:rsidP="00B15F7D">
      <w:pPr>
        <w:ind w:left="851" w:right="851" w:firstLine="709"/>
        <w:contextualSpacing/>
        <w:jc w:val="both"/>
        <w:rPr>
          <w:sz w:val="22"/>
          <w:szCs w:val="22"/>
        </w:rPr>
      </w:pPr>
    </w:p>
    <w:p w14:paraId="69812CB3" w14:textId="77777777" w:rsidR="00B15F7D" w:rsidRPr="00990FB6" w:rsidRDefault="00B15F7D" w:rsidP="00B15F7D">
      <w:pPr>
        <w:numPr>
          <w:ilvl w:val="1"/>
          <w:numId w:val="178"/>
        </w:numPr>
        <w:suppressAutoHyphens w:val="0"/>
        <w:ind w:left="851" w:right="851" w:firstLine="709"/>
        <w:jc w:val="both"/>
        <w:rPr>
          <w:sz w:val="22"/>
          <w:szCs w:val="22"/>
          <w:lang w:eastAsia="es-ES"/>
        </w:rPr>
      </w:pPr>
      <w:r w:rsidRPr="00990FB6">
        <w:rPr>
          <w:sz w:val="22"/>
          <w:szCs w:val="22"/>
        </w:rPr>
        <w:t xml:space="preserve">Para realizar el análisis de la ejecución presupuestaria del 2022 del Área de Informática, se consideró la ejecución de los rubros recurso tecnológico menor y recurso tecnológico estratégico. A nivel general se presenta un porcentaje de ejecución presupuestaria de 90,26%, más alto al del 2021 que fue de 87,72%. </w:t>
      </w:r>
    </w:p>
    <w:p w14:paraId="1B9CADE4" w14:textId="77777777" w:rsidR="00B15F7D" w:rsidRPr="00990FB6" w:rsidRDefault="00B15F7D" w:rsidP="00B15F7D">
      <w:pPr>
        <w:ind w:left="851" w:right="851" w:firstLine="709"/>
        <w:jc w:val="both"/>
        <w:rPr>
          <w:sz w:val="22"/>
          <w:szCs w:val="22"/>
        </w:rPr>
      </w:pPr>
    </w:p>
    <w:p w14:paraId="64C7B5A7" w14:textId="77777777" w:rsidR="00B15F7D" w:rsidRPr="00990FB6" w:rsidRDefault="00B15F7D" w:rsidP="00B15F7D">
      <w:pPr>
        <w:suppressAutoHyphens w:val="0"/>
        <w:contextualSpacing/>
        <w:jc w:val="center"/>
        <w:rPr>
          <w:sz w:val="22"/>
          <w:szCs w:val="22"/>
        </w:rPr>
      </w:pPr>
      <w:r w:rsidRPr="00990FB6">
        <w:rPr>
          <w:sz w:val="22"/>
          <w:szCs w:val="22"/>
        </w:rPr>
        <w:t>- 0 -</w:t>
      </w:r>
    </w:p>
    <w:p w14:paraId="5C90BFDA" w14:textId="77777777" w:rsidR="00B15F7D" w:rsidRPr="00990FB6" w:rsidRDefault="00B15F7D" w:rsidP="00B15F7D">
      <w:pPr>
        <w:ind w:left="851" w:right="851" w:firstLine="709"/>
        <w:jc w:val="both"/>
        <w:rPr>
          <w:sz w:val="22"/>
          <w:szCs w:val="22"/>
        </w:rPr>
      </w:pPr>
    </w:p>
    <w:p w14:paraId="381CF586" w14:textId="77777777" w:rsidR="00B15F7D" w:rsidRPr="00990FB6" w:rsidRDefault="00B15F7D" w:rsidP="00B15F7D">
      <w:pPr>
        <w:ind w:left="851" w:right="851" w:firstLine="709"/>
        <w:jc w:val="both"/>
        <w:rPr>
          <w:sz w:val="22"/>
          <w:szCs w:val="22"/>
        </w:rPr>
      </w:pPr>
      <w:r w:rsidRPr="00990FB6">
        <w:rPr>
          <w:sz w:val="22"/>
          <w:szCs w:val="22"/>
        </w:rPr>
        <w:t>En reunión de trabajo del Consejo Superior de este 12 de abril, se</w:t>
      </w:r>
      <w:r w:rsidRPr="00990FB6">
        <w:rPr>
          <w:sz w:val="22"/>
          <w:szCs w:val="22"/>
          <w:lang w:eastAsia="es-ES"/>
        </w:rPr>
        <w:t xml:space="preserve"> conversó sobre el estado del proceso de formulación presupuestaria 2024 realizado hasta la fecha, las reuniones efectuadas con las Direcciones Administrativas y se comunica que a la fecha no ha sido posible ajustar el presupuesto al mismo monto aprobado para el 2023</w:t>
      </w:r>
      <w:r w:rsidRPr="00990FB6">
        <w:rPr>
          <w:sz w:val="22"/>
          <w:szCs w:val="22"/>
        </w:rPr>
        <w:t xml:space="preserve">. </w:t>
      </w:r>
    </w:p>
    <w:p w14:paraId="4A03DBAA" w14:textId="77777777" w:rsidR="00B15F7D" w:rsidRPr="00990FB6" w:rsidRDefault="00B15F7D" w:rsidP="00B15F7D">
      <w:pPr>
        <w:ind w:left="851" w:right="851" w:firstLine="709"/>
        <w:jc w:val="both"/>
        <w:rPr>
          <w:sz w:val="22"/>
          <w:szCs w:val="22"/>
        </w:rPr>
      </w:pPr>
    </w:p>
    <w:p w14:paraId="110ED543" w14:textId="77777777" w:rsidR="00B15F7D" w:rsidRPr="00990FB6" w:rsidRDefault="00B15F7D" w:rsidP="00B15F7D">
      <w:pPr>
        <w:ind w:left="851" w:right="851" w:firstLine="709"/>
        <w:jc w:val="both"/>
        <w:rPr>
          <w:sz w:val="22"/>
          <w:szCs w:val="22"/>
        </w:rPr>
      </w:pPr>
      <w:r w:rsidRPr="00990FB6">
        <w:rPr>
          <w:sz w:val="22"/>
          <w:szCs w:val="22"/>
        </w:rPr>
        <w:t xml:space="preserve">En relación con lo anterior, al analizar el presupuesto del Área de Informática y observar el crecimiento que experimenta, se dispuso solicitar a la Licda. Kattia Morales Navarro, Directora de TI, el efectuar una revisión  del presupuesto formulado para el 2024 y proponer un ajuste de 1.500 millones de colones, ya que se logró cubrir hasta la suma de 3.000 millones de colones internamente con los otros rubros, sin posibilidad de financiar los 4.500 millones solicitados de forma adicional, ellos sin considerar las limitaciones en cuanto a financiamiento por clasificación de ingresos de recursos .  </w:t>
      </w:r>
    </w:p>
    <w:p w14:paraId="01183047" w14:textId="77777777" w:rsidR="00B15F7D" w:rsidRPr="00990FB6" w:rsidRDefault="00B15F7D" w:rsidP="00B15F7D">
      <w:pPr>
        <w:ind w:left="851" w:right="851" w:firstLine="709"/>
        <w:jc w:val="both"/>
        <w:rPr>
          <w:sz w:val="22"/>
          <w:szCs w:val="22"/>
        </w:rPr>
      </w:pPr>
    </w:p>
    <w:p w14:paraId="1800CB78" w14:textId="77777777" w:rsidR="00B15F7D" w:rsidRPr="00990FB6" w:rsidRDefault="00B15F7D" w:rsidP="00B15F7D">
      <w:pPr>
        <w:ind w:left="851" w:right="851" w:firstLine="709"/>
        <w:jc w:val="both"/>
        <w:rPr>
          <w:sz w:val="22"/>
          <w:szCs w:val="22"/>
        </w:rPr>
      </w:pPr>
      <w:r w:rsidRPr="00990FB6">
        <w:rPr>
          <w:sz w:val="22"/>
          <w:szCs w:val="22"/>
        </w:rPr>
        <w:t xml:space="preserve">Al respecto en reunión de trabajo de este 18 de abril, atendiendo la solicitud del Consejo Superior, dadas las limitaciones presupuestarias, la Dirección de Tecnología de la Información indica la imposibilidad de rebajar recursos del presupuesto presentado, debido a que fue aprobado previamente por Corte Plena y el mismo se ajusta a los requerimientos básicos para dar sostenibilidad a la plataforma tecnológica del Poder Judicial. </w:t>
      </w:r>
    </w:p>
    <w:p w14:paraId="718A6C7F" w14:textId="77777777" w:rsidR="00B15F7D" w:rsidRPr="00990FB6" w:rsidRDefault="00B15F7D" w:rsidP="00B15F7D">
      <w:pPr>
        <w:ind w:left="851" w:right="851" w:firstLine="709"/>
        <w:jc w:val="both"/>
        <w:rPr>
          <w:sz w:val="22"/>
          <w:szCs w:val="22"/>
        </w:rPr>
      </w:pPr>
    </w:p>
    <w:p w14:paraId="6671286D" w14:textId="77777777" w:rsidR="00B15F7D" w:rsidRPr="00990FB6" w:rsidRDefault="00B15F7D" w:rsidP="00B15F7D">
      <w:pPr>
        <w:ind w:left="851" w:right="851" w:firstLine="709"/>
        <w:jc w:val="both"/>
        <w:rPr>
          <w:sz w:val="22"/>
          <w:szCs w:val="22"/>
        </w:rPr>
      </w:pPr>
      <w:r w:rsidRPr="00990FB6">
        <w:rPr>
          <w:sz w:val="22"/>
          <w:szCs w:val="22"/>
        </w:rPr>
        <w:t xml:space="preserve">No obstante, a partir de una revisión efectuada a las líneas de presupuesto mediante correo electrónico de este 18 de abril, remitido por la Dirección de Tecnología de la Información, a partir del alcance de la reunión de trabajo sostenida por el Consejo Superior, remite al Consejo Superior la propuesta siguiente que permite administrar los menores riesgos para la Institución, ante la imperiosa necesidad de ajustar el contenido presupuestario a las limitaciones presupuestarias impuestas al Poder Judicial:  </w:t>
      </w:r>
    </w:p>
    <w:p w14:paraId="1E28CF91" w14:textId="77777777" w:rsidR="00B15F7D" w:rsidRPr="00990FB6" w:rsidRDefault="00B15F7D" w:rsidP="00B15F7D">
      <w:pPr>
        <w:ind w:left="851" w:right="851" w:firstLine="709"/>
        <w:jc w:val="both"/>
        <w:rPr>
          <w:sz w:val="22"/>
          <w:szCs w:val="22"/>
        </w:rPr>
      </w:pPr>
    </w:p>
    <w:p w14:paraId="1EAFABB8" w14:textId="77777777" w:rsidR="00B15F7D" w:rsidRPr="00990FB6" w:rsidRDefault="00B15F7D" w:rsidP="00B15F7D">
      <w:pPr>
        <w:ind w:left="851" w:right="851"/>
        <w:jc w:val="center"/>
        <w:rPr>
          <w:rFonts w:eastAsia="Calibri"/>
          <w:sz w:val="22"/>
          <w:szCs w:val="22"/>
        </w:rPr>
      </w:pPr>
      <w:r w:rsidRPr="00990FB6">
        <w:rPr>
          <w:rFonts w:eastAsia="Calibri"/>
          <w:i/>
          <w:iCs/>
          <w:sz w:val="22"/>
          <w:szCs w:val="22"/>
        </w:rPr>
        <w:object w:dxaOrig="1508" w:dyaOrig="984" w14:anchorId="2358473D">
          <v:shape id="_x0000_i1061" type="#_x0000_t75" style="width:75pt;height:49pt" o:ole="">
            <v:imagedata r:id="rId127" o:title=""/>
          </v:shape>
          <o:OLEObject Type="Embed" ProgID="Package" ShapeID="_x0000_i1061" DrawAspect="Icon" ObjectID="_1748679189" r:id="rId128"/>
        </w:object>
      </w:r>
    </w:p>
    <w:p w14:paraId="545B749B" w14:textId="77777777" w:rsidR="00B15F7D" w:rsidRPr="00990FB6" w:rsidRDefault="00B15F7D" w:rsidP="00B15F7D">
      <w:pPr>
        <w:ind w:left="851" w:right="851" w:firstLine="709"/>
        <w:jc w:val="both"/>
        <w:rPr>
          <w:sz w:val="22"/>
          <w:szCs w:val="22"/>
        </w:rPr>
      </w:pPr>
    </w:p>
    <w:p w14:paraId="53953214" w14:textId="77777777" w:rsidR="00B15F7D" w:rsidRPr="00990FB6" w:rsidRDefault="00B15F7D" w:rsidP="00B15F7D">
      <w:pPr>
        <w:ind w:left="851" w:right="851" w:firstLine="709"/>
        <w:jc w:val="both"/>
        <w:rPr>
          <w:sz w:val="22"/>
          <w:szCs w:val="22"/>
        </w:rPr>
      </w:pPr>
      <w:r w:rsidRPr="00990FB6">
        <w:rPr>
          <w:sz w:val="22"/>
          <w:szCs w:val="22"/>
        </w:rPr>
        <w:t xml:space="preserve">“(…) En relación con lo dispuesto en la sesión del Consejo Superior celebrada el día de hoy, se considera oportuno aclarar que tal como se señaló en esa reunión, esta </w:t>
      </w:r>
      <w:r w:rsidRPr="00990FB6">
        <w:rPr>
          <w:sz w:val="22"/>
          <w:szCs w:val="22"/>
        </w:rPr>
        <w:lastRenderedPageBreak/>
        <w:t>Dirección no propone ningún rebajo a nivel del presupuesto en materia tecnológica, considerando que se ha postergado por años la actualización de equipos que podrían considerarse en obsolescencia y según lo que se ha observado en los últimos tiempos, la tecnología actualizada y robusta es fundamental para el correcto desempeño de las funciones que brinda una institución.  Del mismo modo, en temas de Ciberseguridad es de vital importancia fortalecer las plataformas y mantenerlas actualizadas para actuar de forma preventiva y no reactiva ante un eventual evento. En atención a lo señalado sobre la situación actual presupuestaria que afronta el Poder Judicial, según lo indicado en la sesión de esta tarde, se pueden valorar algunas opciones viables para mitigar el impacto que conlleva el recorte que sugiere el Ministerio de Hacienda.</w:t>
      </w:r>
    </w:p>
    <w:p w14:paraId="1DAF05F4" w14:textId="77777777" w:rsidR="00B15F7D" w:rsidRPr="00990FB6" w:rsidRDefault="00B15F7D" w:rsidP="00B15F7D">
      <w:pPr>
        <w:ind w:left="851" w:right="851" w:firstLine="709"/>
        <w:jc w:val="both"/>
        <w:rPr>
          <w:sz w:val="22"/>
          <w:szCs w:val="22"/>
        </w:rPr>
      </w:pPr>
    </w:p>
    <w:p w14:paraId="5E842F91" w14:textId="77777777" w:rsidR="00B15F7D" w:rsidRPr="00990FB6" w:rsidRDefault="00B15F7D" w:rsidP="00B15F7D">
      <w:pPr>
        <w:numPr>
          <w:ilvl w:val="0"/>
          <w:numId w:val="179"/>
        </w:numPr>
        <w:suppressAutoHyphens w:val="0"/>
        <w:ind w:left="851" w:right="851" w:firstLine="709"/>
        <w:jc w:val="both"/>
        <w:rPr>
          <w:sz w:val="22"/>
          <w:szCs w:val="22"/>
        </w:rPr>
      </w:pPr>
      <w:r w:rsidRPr="00990FB6">
        <w:rPr>
          <w:sz w:val="22"/>
          <w:szCs w:val="22"/>
        </w:rPr>
        <w:t xml:space="preserve">Se podría valorar la opción de un rebajo del 50% del monto total de la línea correspondiente a Desarrollo de Sistemas, sin obviar el impacto que esto representaría para las solicitudes de mejoras y otras gestiones solicitadas por las diferentes oficinas del Poder Judicial.  Este rebajo sería de </w:t>
      </w:r>
      <w:r w:rsidRPr="00990FB6">
        <w:rPr>
          <w:sz w:val="22"/>
          <w:szCs w:val="22"/>
          <w:u w:val="single"/>
        </w:rPr>
        <w:t>173.024.199,00</w:t>
      </w:r>
      <w:r w:rsidRPr="00990FB6">
        <w:rPr>
          <w:sz w:val="22"/>
          <w:szCs w:val="22"/>
        </w:rPr>
        <w:t xml:space="preserve">.  Del mismo modo y tal como se aclaró en la sesión de cita, se puede reducir el monto presupuestado para páginas Web en la institución y el monto a rebajar en este rubro sería de </w:t>
      </w:r>
      <w:r w:rsidRPr="00990FB6">
        <w:rPr>
          <w:sz w:val="22"/>
          <w:szCs w:val="22"/>
          <w:u w:val="single"/>
        </w:rPr>
        <w:t>60.000.000,00</w:t>
      </w:r>
      <w:r w:rsidRPr="00990FB6">
        <w:rPr>
          <w:sz w:val="22"/>
          <w:szCs w:val="22"/>
        </w:rPr>
        <w:t xml:space="preserve">.  En ambos casos, implicaría que la Dirección de Tecnología podría satisfacer únicamente los requerimientos que se puedan con el personal ordinario viéndose afectados los proyectos, razón por la cual se deberán replantear los cronogramas de esos proyectos.  Algunos de los proyectos que se podrían ver afectados son la Migración y rediseño del SIGAPJ, </w:t>
      </w:r>
      <w:proofErr w:type="spellStart"/>
      <w:r w:rsidRPr="00990FB6">
        <w:rPr>
          <w:sz w:val="22"/>
          <w:szCs w:val="22"/>
        </w:rPr>
        <w:t>Nexus.PJ</w:t>
      </w:r>
      <w:proofErr w:type="spellEnd"/>
      <w:r w:rsidRPr="00990FB6">
        <w:rPr>
          <w:sz w:val="22"/>
          <w:szCs w:val="22"/>
        </w:rPr>
        <w:t>, proyectos nuevos SIGAGH y Ley de Empleo Público.</w:t>
      </w:r>
    </w:p>
    <w:p w14:paraId="1021A3EC" w14:textId="77777777" w:rsidR="00B15F7D" w:rsidRPr="00990FB6" w:rsidRDefault="00B15F7D" w:rsidP="00B15F7D">
      <w:pPr>
        <w:suppressAutoHyphens w:val="0"/>
        <w:ind w:left="1560" w:right="851"/>
        <w:jc w:val="both"/>
        <w:rPr>
          <w:sz w:val="22"/>
          <w:szCs w:val="22"/>
        </w:rPr>
      </w:pPr>
    </w:p>
    <w:p w14:paraId="759A4AD4" w14:textId="77777777" w:rsidR="00B15F7D" w:rsidRPr="00990FB6" w:rsidRDefault="00B15F7D" w:rsidP="00B15F7D">
      <w:pPr>
        <w:numPr>
          <w:ilvl w:val="0"/>
          <w:numId w:val="179"/>
        </w:numPr>
        <w:suppressAutoHyphens w:val="0"/>
        <w:ind w:left="851" w:right="851" w:firstLine="709"/>
        <w:jc w:val="both"/>
        <w:rPr>
          <w:sz w:val="22"/>
          <w:szCs w:val="22"/>
        </w:rPr>
      </w:pPr>
      <w:r w:rsidRPr="00990FB6">
        <w:rPr>
          <w:sz w:val="22"/>
          <w:szCs w:val="22"/>
        </w:rPr>
        <w:t xml:space="preserve">Se estaría rebajando en su totalidad el monto que se propone para el recableado de diferentes zonas del país.  El monto a rebajar sería de </w:t>
      </w:r>
      <w:r w:rsidRPr="00990FB6">
        <w:rPr>
          <w:sz w:val="22"/>
          <w:szCs w:val="22"/>
          <w:u w:val="single"/>
        </w:rPr>
        <w:t>150.000.000,00</w:t>
      </w:r>
      <w:r w:rsidRPr="00990FB6">
        <w:rPr>
          <w:sz w:val="22"/>
          <w:szCs w:val="22"/>
        </w:rPr>
        <w:t xml:space="preserve"> y se dejaría de gestionar lo correspondiente al recableado para el Anexo de Contencioso, Liberia y Golfito, razón por la cual la obsolescencia en el cableado para estas zonas se mantendría.</w:t>
      </w:r>
    </w:p>
    <w:p w14:paraId="3B35ACC3" w14:textId="77777777" w:rsidR="00B15F7D" w:rsidRPr="00990FB6" w:rsidRDefault="00B15F7D" w:rsidP="00B15F7D">
      <w:pPr>
        <w:suppressAutoHyphens w:val="0"/>
        <w:ind w:left="1560" w:right="851"/>
        <w:jc w:val="both"/>
        <w:rPr>
          <w:sz w:val="22"/>
          <w:szCs w:val="22"/>
        </w:rPr>
      </w:pPr>
    </w:p>
    <w:p w14:paraId="15319786" w14:textId="77777777" w:rsidR="00B15F7D" w:rsidRPr="00990FB6" w:rsidRDefault="00B15F7D" w:rsidP="00B15F7D">
      <w:pPr>
        <w:numPr>
          <w:ilvl w:val="0"/>
          <w:numId w:val="179"/>
        </w:numPr>
        <w:suppressAutoHyphens w:val="0"/>
        <w:ind w:left="851" w:right="851" w:firstLine="709"/>
        <w:jc w:val="both"/>
        <w:rPr>
          <w:sz w:val="22"/>
          <w:szCs w:val="22"/>
        </w:rPr>
      </w:pPr>
      <w:r w:rsidRPr="00990FB6">
        <w:rPr>
          <w:sz w:val="22"/>
          <w:szCs w:val="22"/>
        </w:rPr>
        <w:t xml:space="preserve">Según la explicación brindada en la reunión, se cuenta con un monto que corresponde a licenciamiento para fortalecer la parte de Seguridad Informática y por ser tema sensible para la institución, se podría trasladar al Fondo de Emergencias del Poder Judicial.  En este punto es preciso indicar que, en el escenario #1 propuesto a la Corte Plena en sesión </w:t>
      </w:r>
      <w:proofErr w:type="spellStart"/>
      <w:r w:rsidRPr="00990FB6">
        <w:rPr>
          <w:sz w:val="22"/>
          <w:szCs w:val="22"/>
        </w:rPr>
        <w:t>N°</w:t>
      </w:r>
      <w:proofErr w:type="spellEnd"/>
      <w:r w:rsidRPr="00990FB6">
        <w:rPr>
          <w:sz w:val="22"/>
          <w:szCs w:val="22"/>
        </w:rPr>
        <w:t xml:space="preserve"> 63-2022, artículo XIII, se contempló esta parte del licenciamiento por medio del Fondo, no obstante, ese Órgano Superior aprobó el escenario #3 en el que se incluía la compra por este medio únicamente del equipo, no obstante, ante el cambio de la situación presentada en ese momento y considerando el panorama actual, se considera oportuno revalorar esa opción y que se apruebe el monto de </w:t>
      </w:r>
      <w:r w:rsidRPr="00990FB6">
        <w:rPr>
          <w:sz w:val="22"/>
          <w:szCs w:val="22"/>
          <w:u w:val="single"/>
        </w:rPr>
        <w:t>693.224.749,00</w:t>
      </w:r>
      <w:r w:rsidRPr="00990FB6">
        <w:rPr>
          <w:sz w:val="22"/>
          <w:szCs w:val="22"/>
        </w:rPr>
        <w:t xml:space="preserve"> por medio del Fondo de Emergencias.</w:t>
      </w:r>
    </w:p>
    <w:p w14:paraId="2A8EABA0" w14:textId="77777777" w:rsidR="00B15F7D" w:rsidRPr="00990FB6" w:rsidRDefault="00B15F7D" w:rsidP="00B15F7D">
      <w:pPr>
        <w:suppressAutoHyphens w:val="0"/>
        <w:ind w:left="1560" w:right="851"/>
        <w:jc w:val="both"/>
        <w:rPr>
          <w:sz w:val="22"/>
          <w:szCs w:val="22"/>
        </w:rPr>
      </w:pPr>
    </w:p>
    <w:p w14:paraId="3E5AD897" w14:textId="77777777" w:rsidR="00B15F7D" w:rsidRPr="00990FB6" w:rsidRDefault="00B15F7D" w:rsidP="00B15F7D">
      <w:pPr>
        <w:numPr>
          <w:ilvl w:val="0"/>
          <w:numId w:val="179"/>
        </w:numPr>
        <w:suppressAutoHyphens w:val="0"/>
        <w:ind w:left="851" w:right="851" w:firstLine="709"/>
        <w:jc w:val="both"/>
        <w:rPr>
          <w:sz w:val="22"/>
          <w:szCs w:val="22"/>
        </w:rPr>
      </w:pPr>
      <w:r w:rsidRPr="00990FB6">
        <w:rPr>
          <w:sz w:val="22"/>
          <w:szCs w:val="22"/>
        </w:rPr>
        <w:t xml:space="preserve">Adicionalmente, se estaría aplicando un rebajo aproximado del 50% en general a los artículos que tienen que ver con uso de oficina y esto impacta el aumento de obsolescencia tecnológica y el equipamiento de diferentes oficinas.  El stock general sería administrado por la Dirección Ejecutiva y la distribución se llevaría a cabo según necesidades urgentes.   El monto sugerido es de </w:t>
      </w:r>
      <w:r w:rsidRPr="00990FB6">
        <w:rPr>
          <w:sz w:val="22"/>
          <w:szCs w:val="22"/>
          <w:u w:val="single"/>
        </w:rPr>
        <w:t>137.434.805,00</w:t>
      </w:r>
      <w:r w:rsidRPr="00990FB6">
        <w:rPr>
          <w:sz w:val="22"/>
          <w:szCs w:val="22"/>
        </w:rPr>
        <w:t xml:space="preserve"> </w:t>
      </w:r>
    </w:p>
    <w:p w14:paraId="3E33ECED" w14:textId="77777777" w:rsidR="00B15F7D" w:rsidRPr="00990FB6" w:rsidRDefault="00B15F7D" w:rsidP="00B15F7D">
      <w:pPr>
        <w:ind w:left="851" w:right="851" w:firstLine="709"/>
        <w:jc w:val="both"/>
        <w:rPr>
          <w:rFonts w:eastAsia="Calibri"/>
          <w:sz w:val="22"/>
          <w:szCs w:val="22"/>
        </w:rPr>
      </w:pPr>
    </w:p>
    <w:p w14:paraId="6915124B" w14:textId="77777777" w:rsidR="00B15F7D" w:rsidRPr="00990FB6" w:rsidRDefault="00B15F7D" w:rsidP="00B15F7D">
      <w:pPr>
        <w:ind w:left="851" w:right="851" w:firstLine="709"/>
        <w:jc w:val="both"/>
        <w:rPr>
          <w:sz w:val="22"/>
          <w:szCs w:val="22"/>
        </w:rPr>
      </w:pPr>
      <w:r w:rsidRPr="00990FB6">
        <w:rPr>
          <w:sz w:val="22"/>
          <w:szCs w:val="22"/>
        </w:rPr>
        <w:t xml:space="preserve">De conformidad con los puntos anteriores, el total que se podría valorar como recorte sería de </w:t>
      </w:r>
      <w:r w:rsidRPr="00990FB6">
        <w:rPr>
          <w:b/>
          <w:bCs/>
          <w:sz w:val="22"/>
          <w:szCs w:val="22"/>
        </w:rPr>
        <w:t>1.213.683.753,00,00</w:t>
      </w:r>
      <w:r w:rsidRPr="00990FB6">
        <w:rPr>
          <w:sz w:val="22"/>
          <w:szCs w:val="22"/>
        </w:rPr>
        <w:t>.</w:t>
      </w:r>
    </w:p>
    <w:p w14:paraId="686BAB0C" w14:textId="77777777" w:rsidR="00B15F7D" w:rsidRPr="00990FB6" w:rsidRDefault="00B15F7D" w:rsidP="00B15F7D">
      <w:pPr>
        <w:ind w:left="851" w:right="851" w:firstLine="709"/>
        <w:jc w:val="both"/>
        <w:rPr>
          <w:sz w:val="22"/>
          <w:szCs w:val="22"/>
        </w:rPr>
      </w:pPr>
    </w:p>
    <w:p w14:paraId="058DE978" w14:textId="77777777" w:rsidR="00B15F7D" w:rsidRPr="00990FB6" w:rsidRDefault="00B15F7D" w:rsidP="00B15F7D">
      <w:pPr>
        <w:ind w:left="851" w:right="851" w:firstLine="709"/>
        <w:jc w:val="both"/>
        <w:rPr>
          <w:sz w:val="22"/>
          <w:szCs w:val="22"/>
        </w:rPr>
      </w:pPr>
      <w:r w:rsidRPr="00990FB6">
        <w:rPr>
          <w:sz w:val="22"/>
          <w:szCs w:val="22"/>
        </w:rPr>
        <w:t>Se adjunta el documento que contiene las líneas señaladas con los montos que se podrían ajustar y del mismo modo, los montos luego de lo que se estaría cediendo según lo expuesto.</w:t>
      </w:r>
    </w:p>
    <w:p w14:paraId="3042489B" w14:textId="77777777" w:rsidR="00B15F7D" w:rsidRPr="00990FB6" w:rsidRDefault="00B15F7D" w:rsidP="00B15F7D">
      <w:pPr>
        <w:ind w:left="851" w:right="851" w:firstLine="709"/>
        <w:jc w:val="both"/>
        <w:rPr>
          <w:sz w:val="22"/>
          <w:szCs w:val="22"/>
        </w:rPr>
      </w:pPr>
    </w:p>
    <w:p w14:paraId="79E83BFF" w14:textId="77777777" w:rsidR="00B15F7D" w:rsidRPr="00990FB6" w:rsidRDefault="00B15F7D" w:rsidP="00B15F7D">
      <w:pPr>
        <w:jc w:val="center"/>
        <w:rPr>
          <w:bCs/>
          <w:sz w:val="22"/>
          <w:szCs w:val="22"/>
        </w:rPr>
      </w:pPr>
      <w:r w:rsidRPr="00990FB6">
        <w:rPr>
          <w:bCs/>
          <w:sz w:val="22"/>
          <w:szCs w:val="22"/>
        </w:rPr>
        <w:t>- 0 -</w:t>
      </w:r>
    </w:p>
    <w:p w14:paraId="5D528FBC" w14:textId="77777777" w:rsidR="00B15F7D" w:rsidRPr="00990FB6" w:rsidRDefault="00B15F7D" w:rsidP="00B15F7D">
      <w:pPr>
        <w:ind w:right="299"/>
        <w:jc w:val="center"/>
        <w:rPr>
          <w:bCs/>
          <w:sz w:val="22"/>
          <w:szCs w:val="22"/>
        </w:rPr>
      </w:pPr>
    </w:p>
    <w:p w14:paraId="436100EE" w14:textId="77777777" w:rsidR="00B15F7D" w:rsidRPr="00990FB6" w:rsidRDefault="00B15F7D" w:rsidP="00B15F7D">
      <w:pPr>
        <w:suppressAutoHyphens w:val="0"/>
        <w:ind w:left="851" w:right="851" w:firstLine="709"/>
        <w:jc w:val="both"/>
        <w:rPr>
          <w:rFonts w:eastAsia="MS Mincho"/>
          <w:sz w:val="22"/>
          <w:szCs w:val="22"/>
          <w:lang w:val="es-CR" w:eastAsia="en-US"/>
        </w:rPr>
      </w:pPr>
      <w:bookmarkStart w:id="40" w:name="_Hlk132897578"/>
      <w:bookmarkStart w:id="41" w:name="_Hlk132898102"/>
      <w:bookmarkStart w:id="42" w:name="_Hlk135388474"/>
      <w:r w:rsidRPr="00990FB6">
        <w:rPr>
          <w:rFonts w:eastAsia="MS Mincho"/>
          <w:sz w:val="22"/>
          <w:szCs w:val="22"/>
          <w:lang w:val="es-CR" w:eastAsia="en-US"/>
        </w:rPr>
        <w:t>La Licenciada Nacira Valverde Bermúdez directora de Planificación expone</w:t>
      </w:r>
      <w:bookmarkEnd w:id="40"/>
      <w:r w:rsidRPr="00990FB6">
        <w:rPr>
          <w:rFonts w:eastAsia="MS Mincho"/>
          <w:sz w:val="22"/>
          <w:szCs w:val="22"/>
          <w:lang w:val="es-CR" w:eastAsia="en-US"/>
        </w:rPr>
        <w:t xml:space="preserve"> </w:t>
      </w:r>
    </w:p>
    <w:bookmarkEnd w:id="41"/>
    <w:p w14:paraId="7B6D77EF"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319F04FC" w14:textId="77777777" w:rsidR="00B15F7D" w:rsidRPr="00990FB6" w:rsidRDefault="00B15F7D" w:rsidP="00B15F7D">
      <w:pPr>
        <w:suppressAutoHyphens w:val="0"/>
        <w:ind w:left="851" w:right="851" w:firstLine="709"/>
        <w:jc w:val="both"/>
        <w:rPr>
          <w:rFonts w:eastAsia="MS Mincho"/>
          <w:b/>
          <w:bCs/>
          <w:sz w:val="22"/>
          <w:szCs w:val="22"/>
          <w:lang w:val="es-CR" w:eastAsia="en-US"/>
        </w:rPr>
      </w:pPr>
      <w:r w:rsidRPr="00990FB6">
        <w:rPr>
          <w:rFonts w:eastAsia="MS Mincho"/>
          <w:sz w:val="22"/>
          <w:szCs w:val="22"/>
          <w:lang w:val="es-CR" w:eastAsia="en-US"/>
        </w:rPr>
        <w:t xml:space="preserve">“Buenos días, este artículo de informática se sustenta en todo el análisis de discusión que ayer se realizó en la sesión de trabajo con la directora la master Kattia Morales partir de todo el análisis  que ella le indicó a este Consejo Superior en cuanto a lo limitado del presupuesto de la Dirección de Tecnología de Informática y Comunicaciones, y partiendo de que lo presentado a este Consejo Superior de alguna forma ya, tenía las limitaciones presupuestarias y todas las necesidades para sostener lo que hoy la institución requiere. Sin embargo, a partir también de toda la problemática que hoy se gesta para el Poder Judicial en poderle dar contenido a todas sus necesidades con el riesgo administrado </w:t>
      </w:r>
      <w:r w:rsidRPr="00990FB6">
        <w:rPr>
          <w:rFonts w:eastAsia="MS Mincho"/>
          <w:b/>
          <w:bCs/>
          <w:sz w:val="22"/>
          <w:szCs w:val="22"/>
          <w:u w:val="single"/>
          <w:lang w:val="es-CR" w:eastAsia="en-US"/>
        </w:rPr>
        <w:t>es que se remiten las líneas para el rebajo</w:t>
      </w:r>
      <w:r w:rsidRPr="00990FB6">
        <w:rPr>
          <w:rFonts w:eastAsia="MS Mincho"/>
          <w:b/>
          <w:bCs/>
          <w:sz w:val="22"/>
          <w:szCs w:val="22"/>
          <w:lang w:val="es-CR" w:eastAsia="en-US"/>
        </w:rPr>
        <w:t>.</w:t>
      </w:r>
      <w:r w:rsidRPr="00990FB6">
        <w:rPr>
          <w:rFonts w:eastAsia="MS Mincho"/>
          <w:sz w:val="22"/>
          <w:szCs w:val="22"/>
          <w:lang w:val="es-CR" w:eastAsia="en-US"/>
        </w:rPr>
        <w:t xml:space="preserve"> Para </w:t>
      </w:r>
      <w:r w:rsidRPr="00990FB6">
        <w:rPr>
          <w:rFonts w:eastAsia="MS Mincho"/>
          <w:b/>
          <w:bCs/>
          <w:sz w:val="22"/>
          <w:szCs w:val="22"/>
          <w:u w:val="single"/>
          <w:lang w:val="es-CR" w:eastAsia="en-US"/>
        </w:rPr>
        <w:t>ser conocido por</w:t>
      </w:r>
      <w:r w:rsidRPr="00990FB6">
        <w:rPr>
          <w:rFonts w:eastAsia="MS Mincho"/>
          <w:sz w:val="22"/>
          <w:szCs w:val="22"/>
          <w:lang w:val="es-CR" w:eastAsia="en-US"/>
        </w:rPr>
        <w:t xml:space="preserve"> este Consejo Superior, ella remite una propuesta en horas de la noche del día de ayer, entonces bajo esa propuesta nos indica, algunos proyectos que se pueden rebajar administrando el riesgo, entonces nos indica la opción de rebajar el 50% del monto total de la línea correspondiente al desarrollo de sistemas sin obviar el impacto que esto representa para las solicitudes de mejoras y otras gestiones solicitadas por las diferentes oficinas del Poder Judicial, este trabajo sería de ¢ 173.024.199.00. Del mismo modo, tal y como está claro en la sesión de cita, se puede reducir el monto presupuestado para las páginas web de la institución y el monto </w:t>
      </w:r>
      <w:proofErr w:type="gramStart"/>
      <w:r w:rsidRPr="00990FB6">
        <w:rPr>
          <w:rFonts w:eastAsia="MS Mincho"/>
          <w:sz w:val="22"/>
          <w:szCs w:val="22"/>
          <w:lang w:val="es-CR" w:eastAsia="en-US"/>
        </w:rPr>
        <w:t>rebajar  sería</w:t>
      </w:r>
      <w:proofErr w:type="gramEnd"/>
      <w:r w:rsidRPr="00990FB6">
        <w:rPr>
          <w:rFonts w:eastAsia="MS Mincho"/>
          <w:sz w:val="22"/>
          <w:szCs w:val="22"/>
          <w:lang w:val="es-CR" w:eastAsia="en-US"/>
        </w:rPr>
        <w:t xml:space="preserve"> de ¢60.000.000, en ambos casos implicaría que la Dirección de Tecnología podría satisfacer únicamente los requerimientos que se puedan con el personal ordinario, viéndose afectado  los proyectos, razón por la cual serán replantear los cronogramas de sus proyectos. Algunos de los proyectos que se podrían ver afectados son la migración y rediseño del SIGAPJ, Nexus PJ, proyectos nuevos del SIGAGH, la Ley de Empleo Público se estaría </w:t>
      </w:r>
      <w:proofErr w:type="gramStart"/>
      <w:r w:rsidRPr="00990FB6">
        <w:rPr>
          <w:rFonts w:eastAsia="MS Mincho"/>
          <w:b/>
          <w:bCs/>
          <w:sz w:val="22"/>
          <w:szCs w:val="22"/>
          <w:u w:val="single"/>
          <w:lang w:val="es-CR" w:eastAsia="en-US"/>
        </w:rPr>
        <w:t>afectando</w:t>
      </w:r>
      <w:r w:rsidRPr="00990FB6">
        <w:rPr>
          <w:rFonts w:eastAsia="MS Mincho"/>
          <w:sz w:val="22"/>
          <w:szCs w:val="22"/>
          <w:lang w:val="es-CR" w:eastAsia="en-US"/>
        </w:rPr>
        <w:t xml:space="preserve">  en</w:t>
      </w:r>
      <w:proofErr w:type="gramEnd"/>
      <w:r w:rsidRPr="00990FB6">
        <w:rPr>
          <w:rFonts w:eastAsia="MS Mincho"/>
          <w:sz w:val="22"/>
          <w:szCs w:val="22"/>
          <w:lang w:val="es-CR" w:eastAsia="en-US"/>
        </w:rPr>
        <w:t xml:space="preserve"> su totalidad. El monto que se propone </w:t>
      </w:r>
      <w:r w:rsidRPr="00990FB6">
        <w:rPr>
          <w:rFonts w:eastAsia="MS Mincho"/>
          <w:b/>
          <w:bCs/>
          <w:sz w:val="22"/>
          <w:szCs w:val="22"/>
          <w:u w:val="single"/>
          <w:lang w:val="es-CR" w:eastAsia="en-US"/>
        </w:rPr>
        <w:t>rebajar</w:t>
      </w:r>
      <w:r w:rsidRPr="00990FB6">
        <w:rPr>
          <w:rFonts w:eastAsia="MS Mincho"/>
          <w:sz w:val="22"/>
          <w:szCs w:val="22"/>
          <w:lang w:val="es-CR" w:eastAsia="en-US"/>
        </w:rPr>
        <w:t xml:space="preserve"> para el recableado de diferentes zonas del país, sería de ¢150.000.000 y se dejaría de gestionar lo correspondiente al re cableado para el anexo del Contencioso,  en Liberia y Golfito, razón por lo cual la obsolescencia en el cableado para esa zona se mantendría, según la explicación </w:t>
      </w:r>
      <w:r w:rsidRPr="00990FB6">
        <w:rPr>
          <w:rFonts w:eastAsia="MS Mincho"/>
          <w:b/>
          <w:bCs/>
          <w:sz w:val="22"/>
          <w:szCs w:val="22"/>
          <w:u w:val="single"/>
          <w:lang w:val="es-CR" w:eastAsia="en-US"/>
        </w:rPr>
        <w:t>brindada por TI</w:t>
      </w:r>
      <w:r w:rsidRPr="00990FB6">
        <w:rPr>
          <w:rFonts w:eastAsia="MS Mincho"/>
          <w:sz w:val="22"/>
          <w:szCs w:val="22"/>
          <w:lang w:val="es-CR" w:eastAsia="en-US"/>
        </w:rPr>
        <w:t xml:space="preserve">, en reunión se </w:t>
      </w:r>
      <w:r w:rsidRPr="00990FB6">
        <w:rPr>
          <w:rFonts w:eastAsia="MS Mincho"/>
          <w:b/>
          <w:bCs/>
          <w:sz w:val="22"/>
          <w:szCs w:val="22"/>
          <w:u w:val="single"/>
          <w:lang w:val="es-CR" w:eastAsia="en-US"/>
        </w:rPr>
        <w:t>visualiza</w:t>
      </w:r>
      <w:r w:rsidRPr="00990FB6">
        <w:rPr>
          <w:rFonts w:eastAsia="MS Mincho"/>
          <w:sz w:val="22"/>
          <w:szCs w:val="22"/>
          <w:lang w:val="es-CR" w:eastAsia="en-US"/>
        </w:rPr>
        <w:t xml:space="preserve"> con un monto que corresponde al licenciamiento para fortalecer la seguridad informática y por ser tema sensible para la institución, se podría trasladar </w:t>
      </w:r>
      <w:r w:rsidRPr="00990FB6">
        <w:rPr>
          <w:rFonts w:eastAsia="MS Mincho"/>
          <w:b/>
          <w:bCs/>
          <w:sz w:val="22"/>
          <w:szCs w:val="22"/>
          <w:u w:val="single"/>
          <w:lang w:val="es-CR" w:eastAsia="en-US"/>
        </w:rPr>
        <w:t>su compra</w:t>
      </w:r>
      <w:r w:rsidRPr="00990FB6">
        <w:rPr>
          <w:rFonts w:eastAsia="MS Mincho"/>
          <w:sz w:val="22"/>
          <w:szCs w:val="22"/>
          <w:lang w:val="es-CR" w:eastAsia="en-US"/>
        </w:rPr>
        <w:t xml:space="preserve"> al fondo de emergencias del Poder Judicial, en este punto es preciso indicar que en el escenario número uno propuesto a la Corte Plena en sesión número 63-2022 Artículo 13, se contempló esta parte del licenciamiento por medio del fondo </w:t>
      </w:r>
      <w:r w:rsidRPr="00990FB6">
        <w:rPr>
          <w:rFonts w:eastAsia="MS Mincho"/>
          <w:b/>
          <w:bCs/>
          <w:sz w:val="22"/>
          <w:szCs w:val="22"/>
          <w:u w:val="single"/>
          <w:lang w:val="es-CR" w:eastAsia="en-US"/>
        </w:rPr>
        <w:t>de emergencias</w:t>
      </w:r>
      <w:r w:rsidRPr="00990FB6">
        <w:rPr>
          <w:rFonts w:eastAsia="MS Mincho"/>
          <w:sz w:val="22"/>
          <w:szCs w:val="22"/>
          <w:u w:val="single"/>
          <w:lang w:val="es-CR" w:eastAsia="en-US"/>
        </w:rPr>
        <w:t>.</w:t>
      </w:r>
      <w:r w:rsidRPr="00990FB6">
        <w:rPr>
          <w:rFonts w:eastAsia="MS Mincho"/>
          <w:sz w:val="22"/>
          <w:szCs w:val="22"/>
          <w:lang w:val="es-CR" w:eastAsia="en-US"/>
        </w:rPr>
        <w:t xml:space="preserve">  No obstante, ese órgano superior </w:t>
      </w:r>
      <w:r w:rsidRPr="00990FB6">
        <w:rPr>
          <w:rFonts w:eastAsia="MS Mincho"/>
          <w:b/>
          <w:bCs/>
          <w:sz w:val="22"/>
          <w:szCs w:val="22"/>
          <w:u w:val="single"/>
          <w:lang w:val="es-CR" w:eastAsia="en-US"/>
        </w:rPr>
        <w:t>en su momento</w:t>
      </w:r>
      <w:r w:rsidRPr="00990FB6">
        <w:rPr>
          <w:rFonts w:eastAsia="MS Mincho"/>
          <w:sz w:val="22"/>
          <w:szCs w:val="22"/>
          <w:lang w:val="es-CR" w:eastAsia="en-US"/>
        </w:rPr>
        <w:t xml:space="preserve"> aprobó el escenario 3, en el cual se incluía la compra por este medio únicamente el equipo. No obstante, ante el cambio de la situación presentada en ese </w:t>
      </w:r>
      <w:proofErr w:type="gramStart"/>
      <w:r w:rsidRPr="00990FB6">
        <w:rPr>
          <w:rFonts w:eastAsia="MS Mincho"/>
          <w:sz w:val="22"/>
          <w:szCs w:val="22"/>
          <w:lang w:val="es-CR" w:eastAsia="en-US"/>
        </w:rPr>
        <w:t>momento,  considerando</w:t>
      </w:r>
      <w:proofErr w:type="gramEnd"/>
      <w:r w:rsidRPr="00990FB6">
        <w:rPr>
          <w:rFonts w:eastAsia="MS Mincho"/>
          <w:sz w:val="22"/>
          <w:szCs w:val="22"/>
          <w:lang w:val="es-CR" w:eastAsia="en-US"/>
        </w:rPr>
        <w:t xml:space="preserve"> el panorama </w:t>
      </w:r>
      <w:r w:rsidRPr="00990FB6">
        <w:rPr>
          <w:rFonts w:eastAsia="MS Mincho"/>
          <w:sz w:val="22"/>
          <w:szCs w:val="22"/>
          <w:lang w:val="es-CR" w:eastAsia="en-US"/>
        </w:rPr>
        <w:lastRenderedPageBreak/>
        <w:t xml:space="preserve">actual, se considera oportuno revalorar esta opción y que se apruebe el monto de ¢ 693.224.749.00 por medio del Fondo de emergencias, </w:t>
      </w:r>
      <w:r w:rsidRPr="00990FB6">
        <w:rPr>
          <w:rFonts w:eastAsia="MS Mincho"/>
          <w:b/>
          <w:bCs/>
          <w:sz w:val="22"/>
          <w:szCs w:val="22"/>
          <w:u w:val="single"/>
          <w:lang w:val="es-CR" w:eastAsia="en-US"/>
        </w:rPr>
        <w:t>con fundamento en el decreto de emergencias vigente a la fecha</w:t>
      </w:r>
      <w:r w:rsidRPr="00990FB6">
        <w:rPr>
          <w:rFonts w:eastAsia="MS Mincho"/>
          <w:b/>
          <w:bCs/>
          <w:sz w:val="22"/>
          <w:szCs w:val="22"/>
          <w:lang w:val="es-CR" w:eastAsia="en-US"/>
        </w:rPr>
        <w:t>.</w:t>
      </w:r>
    </w:p>
    <w:p w14:paraId="3C8F0672" w14:textId="77777777" w:rsidR="00B15F7D" w:rsidRPr="00990FB6" w:rsidRDefault="00B15F7D" w:rsidP="00B15F7D">
      <w:pPr>
        <w:suppressAutoHyphens w:val="0"/>
        <w:ind w:left="851" w:right="851" w:firstLine="709"/>
        <w:jc w:val="both"/>
        <w:rPr>
          <w:rFonts w:eastAsia="MS Mincho"/>
          <w:b/>
          <w:bCs/>
          <w:sz w:val="22"/>
          <w:szCs w:val="22"/>
          <w:lang w:val="es-CR" w:eastAsia="en-US"/>
        </w:rPr>
      </w:pPr>
    </w:p>
    <w:p w14:paraId="55F72784" w14:textId="77777777" w:rsidR="00B15F7D" w:rsidRPr="00990FB6" w:rsidRDefault="00B15F7D" w:rsidP="00B15F7D">
      <w:pPr>
        <w:suppressAutoHyphens w:val="0"/>
        <w:ind w:left="851" w:right="851" w:firstLine="709"/>
        <w:jc w:val="both"/>
        <w:rPr>
          <w:rFonts w:eastAsia="MS Mincho"/>
          <w:sz w:val="22"/>
          <w:szCs w:val="22"/>
          <w:lang w:val="es-CR" w:eastAsia="en-US"/>
        </w:rPr>
      </w:pPr>
      <w:proofErr w:type="gramStart"/>
      <w:r w:rsidRPr="00990FB6">
        <w:rPr>
          <w:rFonts w:eastAsia="MS Mincho"/>
          <w:b/>
          <w:bCs/>
          <w:sz w:val="22"/>
          <w:szCs w:val="22"/>
          <w:lang w:val="es-CR" w:eastAsia="en-US"/>
        </w:rPr>
        <w:t>También  en</w:t>
      </w:r>
      <w:proofErr w:type="gramEnd"/>
      <w:r w:rsidRPr="00990FB6">
        <w:rPr>
          <w:rFonts w:eastAsia="MS Mincho"/>
          <w:b/>
          <w:bCs/>
          <w:sz w:val="22"/>
          <w:szCs w:val="22"/>
          <w:lang w:val="es-CR" w:eastAsia="en-US"/>
        </w:rPr>
        <w:t xml:space="preserve"> este</w:t>
      </w:r>
      <w:r w:rsidRPr="00990FB6">
        <w:rPr>
          <w:rFonts w:eastAsia="MS Mincho"/>
          <w:sz w:val="22"/>
          <w:szCs w:val="22"/>
          <w:lang w:val="es-CR" w:eastAsia="en-US"/>
        </w:rPr>
        <w:t xml:space="preserve">  momento se estaría aplicando un rebajo aproximado del 50% en general a los artículos que tienen que ver con el uso de oficinas y esto impacta el aumento de obsolescencia tecnológica y el equipamiento de diferentes oficinas, </w:t>
      </w:r>
      <w:r w:rsidRPr="00990FB6">
        <w:rPr>
          <w:rFonts w:eastAsia="MS Mincho"/>
          <w:b/>
          <w:bCs/>
          <w:sz w:val="22"/>
          <w:szCs w:val="22"/>
          <w:u w:val="single"/>
          <w:lang w:val="es-CR" w:eastAsia="en-US"/>
        </w:rPr>
        <w:t>por lo que con el recurso formulado, se propone que</w:t>
      </w:r>
      <w:r w:rsidRPr="00990FB6">
        <w:rPr>
          <w:rFonts w:eastAsia="MS Mincho"/>
          <w:sz w:val="22"/>
          <w:szCs w:val="22"/>
          <w:u w:val="single"/>
          <w:lang w:val="es-CR" w:eastAsia="en-US"/>
        </w:rPr>
        <w:t xml:space="preserve"> </w:t>
      </w:r>
      <w:r w:rsidRPr="00990FB6">
        <w:rPr>
          <w:rFonts w:eastAsia="MS Mincho"/>
          <w:sz w:val="22"/>
          <w:szCs w:val="22"/>
          <w:lang w:val="es-CR" w:eastAsia="en-US"/>
        </w:rPr>
        <w:t xml:space="preserve">el stock sería administrado por la Dirección Ejecutiva y la distribución se llevaría a cabo según necesidades urgentes </w:t>
      </w:r>
      <w:r w:rsidRPr="00990FB6">
        <w:rPr>
          <w:rFonts w:eastAsia="MS Mincho"/>
          <w:b/>
          <w:bCs/>
          <w:sz w:val="22"/>
          <w:szCs w:val="22"/>
          <w:u w:val="single"/>
          <w:lang w:val="es-CR" w:eastAsia="en-US"/>
        </w:rPr>
        <w:t>que soliciten las oficinas</w:t>
      </w:r>
      <w:r w:rsidRPr="00990FB6">
        <w:rPr>
          <w:rFonts w:eastAsia="MS Mincho"/>
          <w:b/>
          <w:bCs/>
          <w:sz w:val="22"/>
          <w:szCs w:val="22"/>
          <w:lang w:val="es-CR" w:eastAsia="en-US"/>
        </w:rPr>
        <w:t>.</w:t>
      </w:r>
      <w:r w:rsidRPr="00990FB6">
        <w:rPr>
          <w:rFonts w:eastAsia="MS Mincho"/>
          <w:sz w:val="22"/>
          <w:szCs w:val="22"/>
          <w:lang w:val="es-CR" w:eastAsia="en-US"/>
        </w:rPr>
        <w:t xml:space="preserve"> El monto sugerido es de ¢ 137.434.805,00 siendo así entonces, a partir de las propuestas de rebajo de conformidad con los puntos anteriores, el total de que se podría valorar como recorte sería de ¢1.213.683.753.00 </w:t>
      </w:r>
      <w:proofErr w:type="gramStart"/>
      <w:r w:rsidRPr="00990FB6">
        <w:rPr>
          <w:rFonts w:eastAsia="MS Mincho"/>
          <w:sz w:val="22"/>
          <w:szCs w:val="22"/>
          <w:lang w:val="es-CR" w:eastAsia="en-US"/>
        </w:rPr>
        <w:t>colones,  se</w:t>
      </w:r>
      <w:proofErr w:type="gramEnd"/>
      <w:r w:rsidRPr="00990FB6">
        <w:rPr>
          <w:rFonts w:eastAsia="MS Mincho"/>
          <w:sz w:val="22"/>
          <w:szCs w:val="22"/>
          <w:lang w:val="es-CR" w:eastAsia="en-US"/>
        </w:rPr>
        <w:t xml:space="preserve"> adjunta el documento </w:t>
      </w:r>
      <w:r w:rsidRPr="00990FB6">
        <w:rPr>
          <w:rFonts w:eastAsia="MS Mincho"/>
          <w:b/>
          <w:bCs/>
          <w:sz w:val="22"/>
          <w:szCs w:val="22"/>
          <w:u w:val="single"/>
          <w:lang w:val="es-CR" w:eastAsia="en-US"/>
        </w:rPr>
        <w:t>de</w:t>
      </w:r>
      <w:r w:rsidRPr="00990FB6">
        <w:rPr>
          <w:rFonts w:eastAsia="MS Mincho"/>
          <w:sz w:val="22"/>
          <w:szCs w:val="22"/>
          <w:lang w:val="es-CR" w:eastAsia="en-US"/>
        </w:rPr>
        <w:t xml:space="preserve"> la master Kattia Morales directora de Tecnología de Información y Comunicaciones, documento </w:t>
      </w:r>
      <w:r w:rsidRPr="00990FB6">
        <w:rPr>
          <w:rFonts w:eastAsia="MS Mincho"/>
          <w:b/>
          <w:bCs/>
          <w:sz w:val="22"/>
          <w:szCs w:val="22"/>
          <w:u w:val="single"/>
          <w:lang w:val="es-CR" w:eastAsia="en-US"/>
        </w:rPr>
        <w:t>que detalla  cada</w:t>
      </w:r>
      <w:r w:rsidRPr="00990FB6">
        <w:rPr>
          <w:rFonts w:eastAsia="MS Mincho"/>
          <w:sz w:val="22"/>
          <w:szCs w:val="22"/>
          <w:lang w:val="es-CR" w:eastAsia="en-US"/>
        </w:rPr>
        <w:t xml:space="preserve"> una de las líneas que se podría ajustar, </w:t>
      </w:r>
      <w:r w:rsidRPr="00990FB6">
        <w:rPr>
          <w:rFonts w:eastAsia="MS Mincho"/>
          <w:b/>
          <w:bCs/>
          <w:sz w:val="22"/>
          <w:szCs w:val="22"/>
          <w:u w:val="single"/>
          <w:lang w:val="es-CR" w:eastAsia="en-US"/>
        </w:rPr>
        <w:t>detalle, que posteriormente</w:t>
      </w:r>
      <w:r w:rsidRPr="00990FB6">
        <w:rPr>
          <w:rFonts w:eastAsia="MS Mincho"/>
          <w:sz w:val="22"/>
          <w:szCs w:val="22"/>
          <w:lang w:val="es-CR" w:eastAsia="en-US"/>
        </w:rPr>
        <w:t xml:space="preserve">  le corresponde aplicarlo a la dirección de planificación. En caso de que ustedes lo aprueben. Bajo ese entendido. Entonces, </w:t>
      </w:r>
      <w:r w:rsidRPr="00990FB6">
        <w:rPr>
          <w:rFonts w:eastAsia="MS Mincho"/>
          <w:b/>
          <w:bCs/>
          <w:sz w:val="22"/>
          <w:szCs w:val="22"/>
          <w:lang w:val="es-CR" w:eastAsia="en-US"/>
        </w:rPr>
        <w:t>estas serían</w:t>
      </w:r>
      <w:r w:rsidRPr="00990FB6">
        <w:rPr>
          <w:rFonts w:eastAsia="MS Mincho"/>
          <w:sz w:val="22"/>
          <w:szCs w:val="22"/>
          <w:lang w:val="es-CR" w:eastAsia="en-US"/>
        </w:rPr>
        <w:t xml:space="preserve"> las propuestas del acuerdo. Si hay alguna observación, nos indica.”</w:t>
      </w:r>
    </w:p>
    <w:p w14:paraId="05B3E692"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61A12CEE"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sz w:val="22"/>
          <w:szCs w:val="22"/>
          <w:lang w:val="es-CR" w:eastAsia="en-US"/>
        </w:rPr>
        <w:t xml:space="preserve">Indica el magistrado Aguirre Gómez: “El acuerdo es 1, se da por conducir el presupuesto presentado por la Dirección de Tecnologías de la Información y Comunicación correspondiente al área de informática para el 2024, sin embargo, su aprobación definitiva quedará sujeta al análisis integral del presupuesto 2024. 2 aprobar la propuesta de ajuste de presupuesto formulado para el 2024, conforme el detalle presentado por la máster Katia Morales. </w:t>
      </w:r>
    </w:p>
    <w:p w14:paraId="7F4581A5"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288B9952"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sz w:val="22"/>
          <w:szCs w:val="22"/>
          <w:lang w:val="es-CR" w:eastAsia="en-US"/>
        </w:rPr>
        <w:t>Lo dejamos hasta Katia Morales.</w:t>
      </w:r>
    </w:p>
    <w:p w14:paraId="0E85945E"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359988C1"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sz w:val="22"/>
          <w:szCs w:val="22"/>
          <w:lang w:val="es-CR" w:eastAsia="en-US"/>
        </w:rPr>
        <w:t>Manifiesta la licenciada Valverde Bermúdez: “Sí, señor”.</w:t>
      </w:r>
    </w:p>
    <w:p w14:paraId="5E202D34"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1372FC9C"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sz w:val="22"/>
          <w:szCs w:val="22"/>
          <w:lang w:val="es-CR" w:eastAsia="en-US"/>
        </w:rPr>
        <w:t xml:space="preserve">Retoma la lectura de la parte dispositiva el presidente magistrado Aguirre: “3 solicitar a la Dirección de Tecnología Información y Comunicaciones de usar el catálogo de proyectos de sistemas de </w:t>
      </w:r>
      <w:proofErr w:type="spellStart"/>
      <w:r w:rsidRPr="00990FB6">
        <w:rPr>
          <w:rFonts w:eastAsia="MS Mincho"/>
          <w:sz w:val="22"/>
          <w:szCs w:val="22"/>
          <w:lang w:val="es-CR" w:eastAsia="en-US"/>
        </w:rPr>
        <w:t>preformulación</w:t>
      </w:r>
      <w:proofErr w:type="spellEnd"/>
      <w:r w:rsidRPr="00990FB6">
        <w:rPr>
          <w:rFonts w:eastAsia="MS Mincho"/>
          <w:sz w:val="22"/>
          <w:szCs w:val="22"/>
          <w:lang w:val="es-CR" w:eastAsia="en-US"/>
        </w:rPr>
        <w:t xml:space="preserve"> (SPREF), y la forma en que se alimenta el campo de proyecto, de manera que todos los recursos formulados se asocien a algún proyecto, incluso dentro del portafolio de proyecto institucional. 4 se solicita la Dirección de Tecnología de Información y Comunicaciones distribuir programa presupuestario, los recursos solicitados para la compra de computadoras portátiles que vienen a sustituir los equipos alquilados. Un detalle que debe ser remitido a la Dirección de Planificación para que sea juzgado en el anteproyecto de 2024. Está recomendación viene desde subpartida sensibles. 5 comunicar a la Corte Plena de en relación con el acuerdo tomado en la sesión 63-2022 12/12/1022, donde se aprobó el tercer escenario de presupuesto presentado por la dirección de tecnología e información y comunicaciones para el 2024, conforme a lo dispuesto por la comisión judicial de tecnologías de la información en sesión 11 2022 celebrada el 25/11/2022, artículo II. En virtud de la situación presupuestaria, se lo logró a lo interno de la institución un ajuste económico distribuido en los siguientes proyectos:</w:t>
      </w:r>
    </w:p>
    <w:p w14:paraId="3D51A28C"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7FD59F56" w14:textId="77777777" w:rsidR="00B15F7D" w:rsidRPr="00990FB6" w:rsidRDefault="00B15F7D" w:rsidP="00B15F7D">
      <w:pPr>
        <w:suppressAutoHyphens w:val="0"/>
        <w:ind w:left="851" w:right="851" w:firstLine="709"/>
        <w:jc w:val="both"/>
        <w:rPr>
          <w:sz w:val="22"/>
          <w:szCs w:val="22"/>
          <w:lang w:val="es-CR" w:eastAsia="en-US"/>
        </w:rPr>
      </w:pPr>
      <w:r w:rsidRPr="00990FB6">
        <w:rPr>
          <w:rFonts w:eastAsia="MS Mincho"/>
          <w:sz w:val="22"/>
          <w:szCs w:val="22"/>
          <w:lang w:val="es-CR" w:eastAsia="en-US"/>
        </w:rPr>
        <w:lastRenderedPageBreak/>
        <w:t>La licenciada Valverde Bermúdez indica: “</w:t>
      </w:r>
      <w:r w:rsidRPr="00990FB6">
        <w:rPr>
          <w:sz w:val="22"/>
          <w:szCs w:val="22"/>
          <w:lang w:val="es-CR" w:eastAsia="en-US"/>
        </w:rPr>
        <w:t xml:space="preserve">Rebajar del 50% del monto total de la línea correspondiente a Desarrollo de Sistemas, sin obviar el impacto que esto representaría para las solicitudes de mejoras y otras gestiones solicitadas por las diferentes oficinas del Poder Judicial.  Este rebajo sería de </w:t>
      </w:r>
      <w:r w:rsidRPr="00990FB6">
        <w:rPr>
          <w:sz w:val="22"/>
          <w:szCs w:val="22"/>
          <w:u w:val="single"/>
          <w:lang w:val="es-CR" w:eastAsia="en-US"/>
        </w:rPr>
        <w:t>173.024.199,00</w:t>
      </w:r>
      <w:r w:rsidRPr="00990FB6">
        <w:rPr>
          <w:sz w:val="22"/>
          <w:szCs w:val="22"/>
          <w:lang w:val="es-CR" w:eastAsia="en-US"/>
        </w:rPr>
        <w:t xml:space="preserve">.  Del mismo modo y tal como se aclaró en la sesión de cita, se puede reducir el monto presupuestado para páginas Web en la institución y el monto a rebajar en este rubro sería de </w:t>
      </w:r>
      <w:r w:rsidRPr="00990FB6">
        <w:rPr>
          <w:sz w:val="22"/>
          <w:szCs w:val="22"/>
          <w:u w:val="single"/>
          <w:lang w:val="es-CR" w:eastAsia="en-US"/>
        </w:rPr>
        <w:t>60.000.000,00</w:t>
      </w:r>
      <w:r w:rsidRPr="00990FB6">
        <w:rPr>
          <w:sz w:val="22"/>
          <w:szCs w:val="22"/>
          <w:lang w:val="es-CR" w:eastAsia="en-US"/>
        </w:rPr>
        <w:t xml:space="preserve">.  En ambos casos, implicaría que la Dirección de Tecnología podría satisfacer únicamente los requerimientos que se puedan con el personal ordinario viéndose afectados los proyectos, razón por la cual se deberán replantear los cronogramas de esos proyectos.  Algunos de los proyectos que se podrían ver afectados son la Migración y rediseño del SIGAPJ, </w:t>
      </w:r>
      <w:proofErr w:type="spellStart"/>
      <w:r w:rsidRPr="00990FB6">
        <w:rPr>
          <w:sz w:val="22"/>
          <w:szCs w:val="22"/>
          <w:lang w:val="es-CR" w:eastAsia="en-US"/>
        </w:rPr>
        <w:t>Nexus.PJ</w:t>
      </w:r>
      <w:proofErr w:type="spellEnd"/>
      <w:r w:rsidRPr="00990FB6">
        <w:rPr>
          <w:sz w:val="22"/>
          <w:szCs w:val="22"/>
          <w:lang w:val="es-CR" w:eastAsia="en-US"/>
        </w:rPr>
        <w:t xml:space="preserve">, proyectos nuevos SIGAGH y Ley de Empleo Público. </w:t>
      </w:r>
    </w:p>
    <w:p w14:paraId="414E9536" w14:textId="77777777" w:rsidR="00B15F7D" w:rsidRPr="00990FB6" w:rsidRDefault="00B15F7D" w:rsidP="00B15F7D">
      <w:pPr>
        <w:suppressAutoHyphens w:val="0"/>
        <w:ind w:left="851" w:right="851" w:firstLine="709"/>
        <w:jc w:val="both"/>
        <w:rPr>
          <w:sz w:val="22"/>
          <w:szCs w:val="22"/>
          <w:lang w:val="es-CR" w:eastAsia="en-US"/>
        </w:rPr>
      </w:pPr>
    </w:p>
    <w:p w14:paraId="7EBF12E7"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 xml:space="preserve">Se estaría rebajando en su totalidad el monto que se propone para el recableado de diferentes zonas del país.  El monto a rebajar sería de </w:t>
      </w:r>
      <w:r w:rsidRPr="00990FB6">
        <w:rPr>
          <w:sz w:val="22"/>
          <w:szCs w:val="22"/>
          <w:u w:val="single"/>
          <w:lang w:val="es-CR" w:eastAsia="en-US"/>
        </w:rPr>
        <w:t>150.000.000,00</w:t>
      </w:r>
      <w:r w:rsidRPr="00990FB6">
        <w:rPr>
          <w:sz w:val="22"/>
          <w:szCs w:val="22"/>
          <w:lang w:val="es-CR" w:eastAsia="en-US"/>
        </w:rPr>
        <w:t xml:space="preserve"> y se dejaría de gestionar lo correspondiente al recableado para el Anexo de Contencioso, Liberia y Golfito, razón por la cual la obsolescencia en el cableado para estas zonas se mantendría. </w:t>
      </w:r>
    </w:p>
    <w:p w14:paraId="03452367" w14:textId="77777777" w:rsidR="00B15F7D" w:rsidRPr="00990FB6" w:rsidRDefault="00B15F7D" w:rsidP="00B15F7D">
      <w:pPr>
        <w:suppressAutoHyphens w:val="0"/>
        <w:ind w:left="851" w:right="851" w:firstLine="709"/>
        <w:jc w:val="both"/>
        <w:rPr>
          <w:sz w:val="22"/>
          <w:szCs w:val="22"/>
          <w:lang w:val="es-CR" w:eastAsia="en-US"/>
        </w:rPr>
      </w:pPr>
    </w:p>
    <w:p w14:paraId="0E6BE716"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 xml:space="preserve">Según la explicación brindada en la reunión, se cuenta con un monto que corresponde a licenciamiento para fortalecer la parte de Seguridad Informática y por ser tema sensible para la institución, se podría trasladar al Fondo de Emergencias del Poder Judicial.  En este punto es preciso indicar que, en el escenario #1 propuesto a la Corte Plena en sesión </w:t>
      </w:r>
      <w:proofErr w:type="spellStart"/>
      <w:r w:rsidRPr="00990FB6">
        <w:rPr>
          <w:sz w:val="22"/>
          <w:szCs w:val="22"/>
          <w:lang w:val="es-CR" w:eastAsia="en-US"/>
        </w:rPr>
        <w:t>N°</w:t>
      </w:r>
      <w:proofErr w:type="spellEnd"/>
      <w:r w:rsidRPr="00990FB6">
        <w:rPr>
          <w:sz w:val="22"/>
          <w:szCs w:val="22"/>
          <w:lang w:val="es-CR" w:eastAsia="en-US"/>
        </w:rPr>
        <w:t xml:space="preserve"> 63-2022, artículo XIII, se contempló esta parte del licenciamiento por medio del Fondo, no obstante, ese Órgano Superior aprobó el escenario #3 en el que se incluía la compra por este medio únicamente del equipo, no obstante, ante el cambio de la situación presentada en ese momento y considerando el panorama actual, se considera oportuno revalorar esa opción y que se apruebe el monto de </w:t>
      </w:r>
      <w:r w:rsidRPr="00990FB6">
        <w:rPr>
          <w:sz w:val="22"/>
          <w:szCs w:val="22"/>
          <w:u w:val="single"/>
          <w:lang w:val="es-CR" w:eastAsia="en-US"/>
        </w:rPr>
        <w:t>693.224.749,00</w:t>
      </w:r>
      <w:r w:rsidRPr="00990FB6">
        <w:rPr>
          <w:sz w:val="22"/>
          <w:szCs w:val="22"/>
          <w:lang w:val="es-CR" w:eastAsia="en-US"/>
        </w:rPr>
        <w:t xml:space="preserve"> por medio del Fondo de Emergencias. </w:t>
      </w:r>
    </w:p>
    <w:p w14:paraId="5C8CE11A" w14:textId="77777777" w:rsidR="00B15F7D" w:rsidRPr="00990FB6" w:rsidRDefault="00B15F7D" w:rsidP="00B15F7D">
      <w:pPr>
        <w:suppressAutoHyphens w:val="0"/>
        <w:ind w:left="851" w:right="851" w:firstLine="709"/>
        <w:jc w:val="both"/>
        <w:rPr>
          <w:sz w:val="22"/>
          <w:szCs w:val="22"/>
          <w:lang w:val="es-CR" w:eastAsia="en-US"/>
        </w:rPr>
      </w:pPr>
    </w:p>
    <w:p w14:paraId="23A49670" w14:textId="77777777" w:rsidR="00B15F7D" w:rsidRPr="00990FB6" w:rsidRDefault="00B15F7D" w:rsidP="00B15F7D">
      <w:pPr>
        <w:suppressAutoHyphens w:val="0"/>
        <w:ind w:left="851" w:right="851" w:firstLine="709"/>
        <w:jc w:val="both"/>
        <w:rPr>
          <w:sz w:val="22"/>
          <w:szCs w:val="22"/>
          <w:lang w:val="es-CR" w:eastAsia="en-US"/>
        </w:rPr>
      </w:pPr>
      <w:r w:rsidRPr="00990FB6">
        <w:rPr>
          <w:sz w:val="22"/>
          <w:szCs w:val="22"/>
          <w:lang w:val="es-CR" w:eastAsia="en-US"/>
        </w:rPr>
        <w:t xml:space="preserve">Adicionalmente, se estaría aplicando un rebajo aproximado del 50% en general a los artículos que tienen que ver con uso de oficina y esto impacta el aumento de obsolescencia tecnológica y el equipamiento de diferentes oficinas.  El stock general sería administrado por la Dirección Ejecutiva y la distribución se llevaría a cabo según necesidades urgentes.   El monto sugerido es de </w:t>
      </w:r>
      <w:r w:rsidRPr="00990FB6">
        <w:rPr>
          <w:sz w:val="22"/>
          <w:szCs w:val="22"/>
          <w:u w:val="single"/>
          <w:lang w:val="es-CR" w:eastAsia="en-US"/>
        </w:rPr>
        <w:t>137.434.805,00</w:t>
      </w:r>
      <w:r w:rsidRPr="00990FB6">
        <w:rPr>
          <w:sz w:val="22"/>
          <w:szCs w:val="22"/>
          <w:lang w:val="es-CR" w:eastAsia="en-US"/>
        </w:rPr>
        <w:t xml:space="preserve"> </w:t>
      </w:r>
    </w:p>
    <w:p w14:paraId="7C2C010E" w14:textId="77777777" w:rsidR="00B15F7D" w:rsidRPr="00990FB6" w:rsidRDefault="00B15F7D" w:rsidP="00B15F7D">
      <w:pPr>
        <w:suppressAutoHyphens w:val="0"/>
        <w:ind w:left="851" w:right="851" w:firstLine="709"/>
        <w:jc w:val="both"/>
        <w:rPr>
          <w:sz w:val="22"/>
          <w:szCs w:val="22"/>
          <w:lang w:val="es-CR" w:eastAsia="en-US"/>
        </w:rPr>
      </w:pPr>
    </w:p>
    <w:p w14:paraId="3F316308"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sz w:val="22"/>
          <w:szCs w:val="22"/>
          <w:lang w:val="es-CR" w:eastAsia="en-US"/>
        </w:rPr>
        <w:t>El recorte con estos proyectos suma un total de ¢1.213. 683.753.00.00. Aquí ayer tal vez agregar don Orlando ustedes también indicaron que conforme se diera la ejecución presupuestaria del 2024, se fuera en valorando los recursos para ir reponiendo en la medida que se pusiera estos recortes realizados, entonces sería adicionar de eso también al acuerdo. Y perdón hay punto 6 don Orlando, que también se agregó.</w:t>
      </w:r>
    </w:p>
    <w:p w14:paraId="64B107F0"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768A80D0"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sz w:val="22"/>
          <w:szCs w:val="22"/>
          <w:lang w:val="es-CR" w:eastAsia="en-US"/>
        </w:rPr>
        <w:t>El magistrado Aguirre Gómez, indica: “Solicitar a la Dirección de Tecnología de la Información y Comunicaciones, coordinar las acciones institucionales correspondientes para impulsar el cumplimiento de la Ley de Gestión Integral de Residuos.</w:t>
      </w:r>
    </w:p>
    <w:p w14:paraId="3A7CAAB7"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5BAE11C2"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sz w:val="22"/>
          <w:szCs w:val="22"/>
          <w:lang w:val="es-CR" w:eastAsia="en-US"/>
        </w:rPr>
        <w:t xml:space="preserve">Doña Nacira, indicó: “Sí, esto porque cómo la institución está cambiando de alquiler de equipamiento a la compra, entonces ahora hay que reforzar todavía más, como va a ser el manejo de residuos </w:t>
      </w:r>
      <w:r w:rsidRPr="00990FB6">
        <w:rPr>
          <w:rFonts w:eastAsia="MS Mincho"/>
          <w:b/>
          <w:bCs/>
          <w:sz w:val="22"/>
          <w:szCs w:val="22"/>
          <w:u w:val="single"/>
          <w:lang w:val="es-CR" w:eastAsia="en-US"/>
        </w:rPr>
        <w:t>sólidos</w:t>
      </w:r>
      <w:r w:rsidRPr="00990FB6">
        <w:rPr>
          <w:rFonts w:eastAsia="MS Mincho"/>
          <w:sz w:val="22"/>
          <w:szCs w:val="22"/>
          <w:lang w:val="es-CR" w:eastAsia="en-US"/>
        </w:rPr>
        <w:t xml:space="preserve"> a nivel institucional, para que se siga reforzando todavía más </w:t>
      </w:r>
      <w:r w:rsidRPr="00990FB6">
        <w:rPr>
          <w:rFonts w:eastAsia="MS Mincho"/>
          <w:b/>
          <w:bCs/>
          <w:sz w:val="22"/>
          <w:szCs w:val="22"/>
          <w:u w:val="single"/>
          <w:lang w:val="es-CR" w:eastAsia="en-US"/>
        </w:rPr>
        <w:t>la aplicación de esta</w:t>
      </w:r>
      <w:r w:rsidRPr="00990FB6">
        <w:rPr>
          <w:rFonts w:eastAsia="MS Mincho"/>
          <w:sz w:val="22"/>
          <w:szCs w:val="22"/>
          <w:lang w:val="es-CR" w:eastAsia="en-US"/>
        </w:rPr>
        <w:t xml:space="preserve"> ley, sabemos que hoy el Poder Judicial tiene sus lineamientos, pero, al </w:t>
      </w:r>
      <w:r w:rsidRPr="00990FB6">
        <w:rPr>
          <w:rFonts w:eastAsia="MS Mincho"/>
          <w:b/>
          <w:bCs/>
          <w:sz w:val="22"/>
          <w:szCs w:val="22"/>
          <w:u w:val="single"/>
          <w:lang w:val="es-CR" w:eastAsia="en-US"/>
        </w:rPr>
        <w:t>cambiar</w:t>
      </w:r>
      <w:r w:rsidRPr="00990FB6">
        <w:rPr>
          <w:rFonts w:eastAsia="MS Mincho"/>
          <w:b/>
          <w:bCs/>
          <w:sz w:val="22"/>
          <w:szCs w:val="22"/>
          <w:lang w:val="es-CR" w:eastAsia="en-US"/>
        </w:rPr>
        <w:t xml:space="preserve"> </w:t>
      </w:r>
      <w:r w:rsidRPr="00990FB6">
        <w:rPr>
          <w:rFonts w:eastAsia="MS Mincho"/>
          <w:b/>
          <w:bCs/>
          <w:sz w:val="22"/>
          <w:szCs w:val="22"/>
          <w:u w:val="single"/>
          <w:lang w:val="es-CR" w:eastAsia="en-US"/>
        </w:rPr>
        <w:t>a</w:t>
      </w:r>
      <w:r w:rsidRPr="00990FB6">
        <w:rPr>
          <w:rFonts w:eastAsia="MS Mincho"/>
          <w:sz w:val="22"/>
          <w:szCs w:val="22"/>
          <w:lang w:val="es-CR" w:eastAsia="en-US"/>
        </w:rPr>
        <w:t xml:space="preserve"> esta nueva modalidad de compra, tendremos que reforzar todavía más este tipo de procedimientos a lo interno.</w:t>
      </w:r>
    </w:p>
    <w:p w14:paraId="3FEC332B"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6373BD7A" w14:textId="77777777" w:rsidR="00B15F7D" w:rsidRPr="00990FB6" w:rsidRDefault="00B15F7D" w:rsidP="00B15F7D">
      <w:pPr>
        <w:suppressAutoHyphens w:val="0"/>
        <w:ind w:left="851" w:right="851" w:firstLine="709"/>
        <w:jc w:val="both"/>
        <w:rPr>
          <w:rFonts w:eastAsia="MS Mincho"/>
          <w:sz w:val="22"/>
          <w:szCs w:val="22"/>
          <w:lang w:val="es-CR" w:eastAsia="en-US"/>
        </w:rPr>
      </w:pPr>
      <w:r w:rsidRPr="00990FB6">
        <w:rPr>
          <w:rFonts w:eastAsia="MS Mincho"/>
          <w:b/>
          <w:bCs/>
          <w:sz w:val="22"/>
          <w:szCs w:val="22"/>
          <w:lang w:val="es-CR" w:eastAsia="en-US"/>
        </w:rPr>
        <w:t>Se acordó:</w:t>
      </w:r>
      <w:r w:rsidRPr="00990FB6">
        <w:rPr>
          <w:rFonts w:eastAsia="MS Mincho"/>
          <w:sz w:val="22"/>
          <w:szCs w:val="22"/>
          <w:lang w:val="es-CR" w:eastAsia="en-US"/>
        </w:rPr>
        <w:t xml:space="preserve"> </w:t>
      </w:r>
      <w:r w:rsidRPr="00990FB6">
        <w:rPr>
          <w:rFonts w:eastAsia="MS Mincho"/>
          <w:b/>
          <w:bCs/>
          <w:sz w:val="22"/>
          <w:szCs w:val="22"/>
          <w:lang w:val="es-CR" w:eastAsia="en-US"/>
        </w:rPr>
        <w:t>1)</w:t>
      </w:r>
      <w:r w:rsidRPr="00990FB6">
        <w:rPr>
          <w:rFonts w:eastAsia="MS Mincho"/>
          <w:sz w:val="22"/>
          <w:szCs w:val="22"/>
          <w:lang w:val="es-CR" w:eastAsia="en-US"/>
        </w:rPr>
        <w:t xml:space="preserve"> Tener por conocido el presupuesto presentado por la Dirección de Tecnología de la Información y Comunicaciones correspondiente al Área de Informática para 2024, sin embargo, su aprobación definitiva quedará sujeta al análisis integral del presupuesto 2024.</w:t>
      </w:r>
      <w:r w:rsidRPr="00990FB6">
        <w:rPr>
          <w:sz w:val="22"/>
          <w:szCs w:val="22"/>
          <w:lang w:val="es-CR" w:eastAsia="en-US"/>
        </w:rPr>
        <w:t xml:space="preserve"> </w:t>
      </w:r>
      <w:r w:rsidRPr="00990FB6">
        <w:rPr>
          <w:b/>
          <w:bCs/>
          <w:sz w:val="22"/>
          <w:szCs w:val="22"/>
          <w:lang w:val="es-CR" w:eastAsia="en-US"/>
        </w:rPr>
        <w:t>2)</w:t>
      </w:r>
      <w:r w:rsidRPr="00990FB6">
        <w:rPr>
          <w:sz w:val="22"/>
          <w:szCs w:val="22"/>
          <w:lang w:val="es-CR" w:eastAsia="en-US"/>
        </w:rPr>
        <w:t xml:space="preserve"> </w:t>
      </w:r>
      <w:r w:rsidRPr="00990FB6">
        <w:rPr>
          <w:rFonts w:eastAsia="MS Mincho"/>
          <w:sz w:val="22"/>
          <w:szCs w:val="22"/>
          <w:lang w:val="es-CR" w:eastAsia="en-US"/>
        </w:rPr>
        <w:t xml:space="preserve">Ante la imperiosa necesidad de ajustar el contenido presupuestario a las limitaciones presupuestarias impuestas al Poder Judicial, se aprueba la propuesta de ajuste del presupuesto formulado para el 2024 por un total de </w:t>
      </w:r>
      <w:r w:rsidRPr="00990FB6">
        <w:rPr>
          <w:rFonts w:eastAsia="MS Mincho"/>
          <w:b/>
          <w:bCs/>
          <w:sz w:val="22"/>
          <w:szCs w:val="22"/>
          <w:lang w:val="es-CR" w:eastAsia="en-US"/>
        </w:rPr>
        <w:t>1.213.683.753,00,00</w:t>
      </w:r>
      <w:r w:rsidRPr="00990FB6">
        <w:rPr>
          <w:rFonts w:eastAsia="MS Mincho"/>
          <w:sz w:val="22"/>
          <w:szCs w:val="22"/>
          <w:lang w:val="es-CR" w:eastAsia="en-US"/>
        </w:rPr>
        <w:t>, conforme el detalle presentado por la Dirección de Tecnología de la Información mediante correo electrónico de este 18 de abril, concretamente:</w:t>
      </w:r>
    </w:p>
    <w:p w14:paraId="6A38EEBF" w14:textId="77777777" w:rsidR="00B15F7D" w:rsidRPr="00990FB6" w:rsidRDefault="00B15F7D" w:rsidP="00B15F7D">
      <w:pPr>
        <w:suppressAutoHyphens w:val="0"/>
        <w:ind w:left="851" w:right="851" w:firstLine="709"/>
        <w:jc w:val="both"/>
        <w:rPr>
          <w:rFonts w:eastAsia="MS Mincho"/>
          <w:sz w:val="22"/>
          <w:szCs w:val="22"/>
          <w:lang w:val="es-CR" w:eastAsia="en-US"/>
        </w:rPr>
      </w:pPr>
    </w:p>
    <w:p w14:paraId="252C1823" w14:textId="77777777" w:rsidR="00B15F7D" w:rsidRPr="00990FB6" w:rsidRDefault="00B15F7D" w:rsidP="00B15F7D">
      <w:pPr>
        <w:numPr>
          <w:ilvl w:val="1"/>
          <w:numId w:val="197"/>
        </w:numPr>
        <w:suppressAutoHyphens w:val="0"/>
        <w:ind w:left="851" w:right="851" w:firstLine="709"/>
        <w:jc w:val="both"/>
        <w:rPr>
          <w:sz w:val="22"/>
          <w:szCs w:val="22"/>
          <w:lang w:eastAsia="es-ES"/>
        </w:rPr>
      </w:pPr>
      <w:r w:rsidRPr="00990FB6">
        <w:rPr>
          <w:sz w:val="22"/>
          <w:szCs w:val="22"/>
          <w:lang w:eastAsia="es-ES"/>
        </w:rPr>
        <w:t xml:space="preserve">Rebajar el 50% del monto total de la línea correspondiente a Desarrollo de Sistemas, rebajo de </w:t>
      </w:r>
      <w:r w:rsidRPr="00990FB6">
        <w:rPr>
          <w:sz w:val="22"/>
          <w:szCs w:val="22"/>
          <w:u w:val="single"/>
          <w:lang w:eastAsia="es-ES"/>
        </w:rPr>
        <w:t>173.024.199,00</w:t>
      </w:r>
      <w:r w:rsidRPr="00990FB6">
        <w:rPr>
          <w:sz w:val="22"/>
          <w:szCs w:val="22"/>
          <w:lang w:eastAsia="es-ES"/>
        </w:rPr>
        <w:t xml:space="preserve">.  </w:t>
      </w:r>
    </w:p>
    <w:p w14:paraId="27A6CF22" w14:textId="77777777" w:rsidR="00B15F7D" w:rsidRPr="00990FB6" w:rsidRDefault="00B15F7D" w:rsidP="00B15F7D">
      <w:pPr>
        <w:suppressAutoHyphens w:val="0"/>
        <w:ind w:right="851"/>
        <w:jc w:val="both"/>
        <w:rPr>
          <w:sz w:val="22"/>
          <w:szCs w:val="22"/>
          <w:lang w:eastAsia="es-ES"/>
        </w:rPr>
      </w:pPr>
    </w:p>
    <w:p w14:paraId="45650BB7" w14:textId="77777777" w:rsidR="00B15F7D" w:rsidRPr="00990FB6" w:rsidRDefault="00B15F7D" w:rsidP="00B15F7D">
      <w:pPr>
        <w:numPr>
          <w:ilvl w:val="1"/>
          <w:numId w:val="197"/>
        </w:numPr>
        <w:suppressAutoHyphens w:val="0"/>
        <w:ind w:left="851" w:right="851" w:firstLine="709"/>
        <w:jc w:val="both"/>
        <w:rPr>
          <w:sz w:val="22"/>
          <w:szCs w:val="22"/>
          <w:lang w:eastAsia="es-ES"/>
        </w:rPr>
      </w:pPr>
      <w:r w:rsidRPr="00990FB6">
        <w:rPr>
          <w:sz w:val="22"/>
          <w:szCs w:val="22"/>
          <w:lang w:eastAsia="es-ES"/>
        </w:rPr>
        <w:t xml:space="preserve">Rebajar el monto presupuestado para páginas Web en la institución de </w:t>
      </w:r>
      <w:r w:rsidRPr="00990FB6">
        <w:rPr>
          <w:sz w:val="22"/>
          <w:szCs w:val="22"/>
          <w:u w:val="single"/>
          <w:lang w:eastAsia="es-ES"/>
        </w:rPr>
        <w:t>60.000.000,00</w:t>
      </w:r>
      <w:r w:rsidRPr="00990FB6">
        <w:rPr>
          <w:sz w:val="22"/>
          <w:szCs w:val="22"/>
          <w:lang w:eastAsia="es-ES"/>
        </w:rPr>
        <w:t xml:space="preserve">.  </w:t>
      </w:r>
    </w:p>
    <w:p w14:paraId="507F4671" w14:textId="77777777" w:rsidR="00B15F7D" w:rsidRPr="00990FB6" w:rsidRDefault="00B15F7D" w:rsidP="00B15F7D">
      <w:pPr>
        <w:suppressAutoHyphens w:val="0"/>
        <w:ind w:right="851"/>
        <w:jc w:val="both"/>
        <w:rPr>
          <w:sz w:val="22"/>
          <w:szCs w:val="22"/>
          <w:lang w:eastAsia="es-ES"/>
        </w:rPr>
      </w:pPr>
    </w:p>
    <w:p w14:paraId="3DBE4A85" w14:textId="77777777" w:rsidR="00B15F7D" w:rsidRPr="00990FB6" w:rsidRDefault="00B15F7D" w:rsidP="00B15F7D">
      <w:pPr>
        <w:numPr>
          <w:ilvl w:val="1"/>
          <w:numId w:val="197"/>
        </w:numPr>
        <w:suppressAutoHyphens w:val="0"/>
        <w:ind w:left="851" w:right="851" w:firstLine="709"/>
        <w:jc w:val="both"/>
        <w:rPr>
          <w:sz w:val="22"/>
          <w:szCs w:val="22"/>
          <w:lang w:eastAsia="es-ES"/>
        </w:rPr>
      </w:pPr>
      <w:r w:rsidRPr="00990FB6">
        <w:rPr>
          <w:sz w:val="22"/>
          <w:szCs w:val="22"/>
          <w:lang w:eastAsia="es-ES"/>
        </w:rPr>
        <w:t xml:space="preserve">Rebajar la totalidad del monto que se propone para el recableado de diferentes zonas del país, por </w:t>
      </w:r>
      <w:r w:rsidRPr="00990FB6">
        <w:rPr>
          <w:sz w:val="22"/>
          <w:szCs w:val="22"/>
          <w:u w:val="single"/>
          <w:lang w:eastAsia="es-ES"/>
        </w:rPr>
        <w:t xml:space="preserve">150.000.000,00. </w:t>
      </w:r>
    </w:p>
    <w:p w14:paraId="483DB89E" w14:textId="77777777" w:rsidR="00B15F7D" w:rsidRPr="00990FB6" w:rsidRDefault="00B15F7D" w:rsidP="00B15F7D">
      <w:pPr>
        <w:suppressAutoHyphens w:val="0"/>
        <w:ind w:right="851"/>
        <w:jc w:val="both"/>
        <w:rPr>
          <w:sz w:val="22"/>
          <w:szCs w:val="22"/>
          <w:lang w:eastAsia="es-ES"/>
        </w:rPr>
      </w:pPr>
    </w:p>
    <w:p w14:paraId="02E0593F" w14:textId="77777777" w:rsidR="00B15F7D" w:rsidRPr="00990FB6" w:rsidRDefault="00B15F7D" w:rsidP="00B15F7D">
      <w:pPr>
        <w:numPr>
          <w:ilvl w:val="1"/>
          <w:numId w:val="197"/>
        </w:numPr>
        <w:suppressAutoHyphens w:val="0"/>
        <w:ind w:left="851" w:right="851" w:firstLine="709"/>
        <w:jc w:val="both"/>
        <w:rPr>
          <w:b/>
          <w:bCs/>
          <w:sz w:val="22"/>
          <w:szCs w:val="22"/>
          <w:lang w:eastAsia="es-ES"/>
        </w:rPr>
      </w:pPr>
      <w:r w:rsidRPr="00990FB6">
        <w:rPr>
          <w:sz w:val="22"/>
          <w:szCs w:val="22"/>
          <w:lang w:eastAsia="es-ES"/>
        </w:rPr>
        <w:t xml:space="preserve">Rebajar lo correspondiente a licenciamiento para fortalecer la parte de Seguridad Informática por un monto de </w:t>
      </w:r>
      <w:r w:rsidRPr="00990FB6">
        <w:rPr>
          <w:sz w:val="22"/>
          <w:szCs w:val="22"/>
          <w:u w:val="single"/>
          <w:lang w:eastAsia="es-ES"/>
        </w:rPr>
        <w:t>693.224.749,00</w:t>
      </w:r>
      <w:r w:rsidRPr="00990FB6">
        <w:rPr>
          <w:sz w:val="22"/>
          <w:szCs w:val="22"/>
          <w:lang w:eastAsia="es-ES"/>
        </w:rPr>
        <w:t xml:space="preserve">, en el entendido que por ser un tema sensible para la institución, se podría trasladar al Fondo de Emergencias del Poder Judicial.  En este punto es preciso indicar que, en el escenario #1 propuesto a la Corte Plena en sesión </w:t>
      </w:r>
      <w:proofErr w:type="spellStart"/>
      <w:r w:rsidRPr="00990FB6">
        <w:rPr>
          <w:sz w:val="22"/>
          <w:szCs w:val="22"/>
          <w:lang w:eastAsia="es-ES"/>
        </w:rPr>
        <w:t>N°</w:t>
      </w:r>
      <w:proofErr w:type="spellEnd"/>
      <w:r w:rsidRPr="00990FB6">
        <w:rPr>
          <w:sz w:val="22"/>
          <w:szCs w:val="22"/>
          <w:lang w:eastAsia="es-ES"/>
        </w:rPr>
        <w:t xml:space="preserve"> 63-2022, artículo XIII, se contempló esta parte del licenciamiento por medio del Fondo, no obstante, ese Órgano Superior aprobó el escenario #3 en el que se incluía la compra por este medio únicamente del equipo, ante el cambio de la situación presentada en ese momento y considerando el panorama actual, se considera oportuno revalorar esa opción y que se apruebe </w:t>
      </w:r>
      <w:r w:rsidRPr="00990FB6">
        <w:rPr>
          <w:b/>
          <w:bCs/>
          <w:sz w:val="22"/>
          <w:szCs w:val="22"/>
          <w:u w:val="single"/>
          <w:lang w:eastAsia="es-ES"/>
        </w:rPr>
        <w:t>su compra por medio del Fondo de Emergencias en amparo al Decreto Ejecutivo vigente, por la imperiosa necesidad de fortalecer la seguridad informática en el Poder Judicial</w:t>
      </w:r>
      <w:r w:rsidRPr="00990FB6">
        <w:rPr>
          <w:b/>
          <w:bCs/>
          <w:sz w:val="22"/>
          <w:szCs w:val="22"/>
          <w:lang w:eastAsia="es-ES"/>
        </w:rPr>
        <w:t>.</w:t>
      </w:r>
    </w:p>
    <w:p w14:paraId="73CC832D" w14:textId="77777777" w:rsidR="00B15F7D" w:rsidRPr="00990FB6" w:rsidRDefault="00B15F7D" w:rsidP="00B15F7D">
      <w:pPr>
        <w:suppressAutoHyphens w:val="0"/>
        <w:ind w:right="851"/>
        <w:jc w:val="both"/>
        <w:rPr>
          <w:b/>
          <w:bCs/>
          <w:sz w:val="22"/>
          <w:szCs w:val="22"/>
          <w:lang w:eastAsia="es-ES"/>
        </w:rPr>
      </w:pPr>
    </w:p>
    <w:p w14:paraId="07D14585" w14:textId="77777777" w:rsidR="00B15F7D" w:rsidRPr="00990FB6" w:rsidRDefault="00B15F7D" w:rsidP="00B15F7D">
      <w:pPr>
        <w:numPr>
          <w:ilvl w:val="1"/>
          <w:numId w:val="197"/>
        </w:numPr>
        <w:suppressAutoHyphens w:val="0"/>
        <w:ind w:left="851" w:right="851" w:firstLine="709"/>
        <w:jc w:val="both"/>
        <w:rPr>
          <w:sz w:val="22"/>
          <w:szCs w:val="22"/>
          <w:lang w:eastAsia="es-ES"/>
        </w:rPr>
      </w:pPr>
      <w:r w:rsidRPr="00990FB6">
        <w:rPr>
          <w:sz w:val="22"/>
          <w:szCs w:val="22"/>
          <w:lang w:eastAsia="es-ES"/>
        </w:rPr>
        <w:t xml:space="preserve">Rebajar un aproximado del 50% en general a los artículos que tienen que ver con uso de oficina y esto impacta el aumento de obsolescencia tecnológica y el equipamiento de diferentes oficinas, por un total de </w:t>
      </w:r>
      <w:r w:rsidRPr="00990FB6">
        <w:rPr>
          <w:sz w:val="22"/>
          <w:szCs w:val="22"/>
          <w:u w:val="single"/>
          <w:lang w:eastAsia="es-ES"/>
        </w:rPr>
        <w:t>137.434.805,00</w:t>
      </w:r>
      <w:r w:rsidRPr="00990FB6">
        <w:rPr>
          <w:sz w:val="22"/>
          <w:szCs w:val="22"/>
          <w:lang w:eastAsia="es-ES"/>
        </w:rPr>
        <w:t>.  El stock general sería administrado por la Dirección Ejecutiva y la distribución se llevaría a cabo según necesidades urgentes.</w:t>
      </w:r>
    </w:p>
    <w:p w14:paraId="0264C694" w14:textId="77777777" w:rsidR="00B15F7D" w:rsidRPr="00990FB6" w:rsidRDefault="00B15F7D" w:rsidP="00B15F7D">
      <w:pPr>
        <w:suppressAutoHyphens w:val="0"/>
        <w:ind w:left="851" w:right="851" w:firstLine="709"/>
        <w:jc w:val="both"/>
        <w:rPr>
          <w:sz w:val="22"/>
          <w:szCs w:val="22"/>
          <w:lang w:eastAsia="es-ES"/>
        </w:rPr>
      </w:pPr>
    </w:p>
    <w:p w14:paraId="6F22C546" w14:textId="77777777" w:rsidR="00B15F7D" w:rsidRPr="00990FB6" w:rsidRDefault="00B15F7D" w:rsidP="00B15F7D">
      <w:pPr>
        <w:suppressAutoHyphens w:val="0"/>
        <w:ind w:left="851" w:right="851" w:firstLine="709"/>
        <w:jc w:val="both"/>
        <w:rPr>
          <w:bCs/>
          <w:sz w:val="22"/>
          <w:szCs w:val="22"/>
        </w:rPr>
      </w:pPr>
      <w:r w:rsidRPr="00990FB6">
        <w:rPr>
          <w:rFonts w:eastAsia="MS Mincho"/>
          <w:b/>
          <w:bCs/>
          <w:sz w:val="22"/>
          <w:szCs w:val="22"/>
          <w:lang w:val="es-CR" w:eastAsia="en-US"/>
        </w:rPr>
        <w:t>3)</w:t>
      </w:r>
      <w:r w:rsidRPr="00990FB6">
        <w:rPr>
          <w:rFonts w:eastAsia="MS Mincho"/>
          <w:sz w:val="22"/>
          <w:szCs w:val="22"/>
          <w:lang w:val="es-CR" w:eastAsia="en-US"/>
        </w:rPr>
        <w:t xml:space="preserve"> Solicitar a la Dirección de Tecnología de la Información y Comunicaciones revisar el catálogo de Proyectos del Sistema de Preformulación (SPREF) y la forma en que se alimenta el campo de “Proyecto”, de manera tal que todos los recursos </w:t>
      </w:r>
      <w:r w:rsidRPr="00990FB6">
        <w:rPr>
          <w:rFonts w:eastAsia="MS Mincho"/>
          <w:sz w:val="22"/>
          <w:szCs w:val="22"/>
          <w:lang w:val="es-CR" w:eastAsia="en-US"/>
        </w:rPr>
        <w:lastRenderedPageBreak/>
        <w:t xml:space="preserve">formulados se asocien a algún proyecto incluido dentro del Portafolio de Proyectos Institucional. </w:t>
      </w:r>
      <w:r w:rsidRPr="00990FB6">
        <w:rPr>
          <w:rFonts w:eastAsia="MS Mincho"/>
          <w:b/>
          <w:bCs/>
          <w:sz w:val="22"/>
          <w:szCs w:val="22"/>
          <w:lang w:val="es-CR" w:eastAsia="en-US"/>
        </w:rPr>
        <w:t>4)</w:t>
      </w:r>
      <w:r w:rsidRPr="00990FB6">
        <w:rPr>
          <w:rFonts w:eastAsia="MS Mincho"/>
          <w:sz w:val="22"/>
          <w:szCs w:val="22"/>
          <w:lang w:val="es-CR" w:eastAsia="en-US"/>
        </w:rPr>
        <w:t xml:space="preserve"> Solicitar a la Dirección de Tecnología de Información y Comunicaciones distribuir por programa presupuestario, los recursos solicitados para la compra de computadoras portátiles que vienen a sustituir los equipos alquilados, detalle que debe ser remitido a la Dirección de Planificación para que sea ajustado en el anteproyecto 2024. </w:t>
      </w:r>
      <w:r w:rsidRPr="00990FB6">
        <w:rPr>
          <w:rFonts w:eastAsia="MS Mincho"/>
          <w:b/>
          <w:bCs/>
          <w:sz w:val="22"/>
          <w:szCs w:val="22"/>
          <w:lang w:val="es-CR" w:eastAsia="en-US"/>
        </w:rPr>
        <w:t>5</w:t>
      </w:r>
      <w:r w:rsidRPr="00990FB6">
        <w:rPr>
          <w:rFonts w:eastAsia="MS Mincho"/>
          <w:sz w:val="22"/>
          <w:szCs w:val="22"/>
          <w:lang w:val="es-CR" w:eastAsia="en-US"/>
        </w:rPr>
        <w:t xml:space="preserve">) Conforme lo dispuesto en el punto 2 de este acuerdo, comunicar a la Corte Plena que en relación con el acuerdo tomado en sesión  N°63-2022 del 12 de diciembre de 2022 donde se aprobó el tercer escenario de presupuesto presentado por la Dirección de Tecnología de Información y Comunicaciones para el 2024, conforme a lo dispuesto por la Comisión Gerencial de Tecnologías de la Información, en sesión N°11-2022, celebrada el 25 de noviembre 2022, artículo II, en virtud de la situación presupuestaria, durante el proceso de discusión y análisis se tuvo que realizar con el criterio técnico de la Dirección de Tecnología de la Información, </w:t>
      </w:r>
      <w:r w:rsidRPr="00990FB6">
        <w:rPr>
          <w:rFonts w:eastAsia="MS Mincho"/>
          <w:b/>
          <w:bCs/>
          <w:sz w:val="22"/>
          <w:szCs w:val="22"/>
          <w:u w:val="single"/>
          <w:lang w:val="es-CR" w:eastAsia="en-US"/>
        </w:rPr>
        <w:t>(bajo el escenario con menor riesgo posible)</w:t>
      </w:r>
      <w:r w:rsidRPr="00990FB6">
        <w:rPr>
          <w:rFonts w:eastAsia="MS Mincho"/>
          <w:b/>
          <w:bCs/>
          <w:sz w:val="22"/>
          <w:szCs w:val="22"/>
          <w:lang w:val="es-CR" w:eastAsia="en-US"/>
        </w:rPr>
        <w:t xml:space="preserve"> </w:t>
      </w:r>
      <w:r w:rsidRPr="00990FB6">
        <w:rPr>
          <w:rFonts w:eastAsia="MS Mincho"/>
          <w:sz w:val="22"/>
          <w:szCs w:val="22"/>
          <w:lang w:val="es-CR" w:eastAsia="en-US"/>
        </w:rPr>
        <w:t xml:space="preserve">un ajuste económico en el presupuesto inicialmente solicitado, de tal forma que en cuanto al escenario aprobado inicialmente por Corte Plena, fue necesario ajustarlo como parte de ese proceso integral de análisis y consolidación de todas las necesidades institucionales y de los recursos económicos requeridos para hacer frente a las diversas funciones de todos los ámbitos del Poder Judicial y que se incorporan en el proyecto de presupuesto del 2024 para remitir al Ministerio de Hacienda. </w:t>
      </w:r>
      <w:r w:rsidRPr="00990FB6">
        <w:rPr>
          <w:rFonts w:eastAsia="MS Mincho"/>
          <w:b/>
          <w:bCs/>
          <w:sz w:val="22"/>
          <w:szCs w:val="22"/>
          <w:lang w:val="es-CR" w:eastAsia="en-US"/>
        </w:rPr>
        <w:t>6</w:t>
      </w:r>
      <w:r w:rsidRPr="00990FB6">
        <w:rPr>
          <w:rFonts w:eastAsia="MS Mincho"/>
          <w:sz w:val="22"/>
          <w:szCs w:val="22"/>
          <w:lang w:val="es-CR" w:eastAsia="en-US"/>
        </w:rPr>
        <w:t xml:space="preserve">) En relación con el escenario No.3 aprobado inicialmente por Corte Plena, en virtud de que aún se encuentra vigente el decreto ejecutivo relacionado con el tema de ciberseguridad, el Consejo Superior dispone que la Dirección de Tecnología de la Información en coordinación con la Dirección Ejecutiva realicen las gestiones correspondientes para atender la necesidad de licenciamiento para fortalecer la Seguridad Informática Institucional, de forma prioritaria y urgente, con los recursos del Fondo de Emergencias del Poder Judicial durante el año 2023.  Esta propuesta de solución estaba consignada en el escenario 1 propuesto por la Dirección de Tecnología de la Información y Comunicaciones a la Corte Plena en sesión </w:t>
      </w:r>
      <w:proofErr w:type="spellStart"/>
      <w:r w:rsidRPr="00990FB6">
        <w:rPr>
          <w:rFonts w:eastAsia="MS Mincho"/>
          <w:sz w:val="22"/>
          <w:szCs w:val="22"/>
          <w:lang w:val="es-CR" w:eastAsia="en-US"/>
        </w:rPr>
        <w:t>N°</w:t>
      </w:r>
      <w:proofErr w:type="spellEnd"/>
      <w:r w:rsidRPr="00990FB6">
        <w:rPr>
          <w:rFonts w:eastAsia="MS Mincho"/>
          <w:sz w:val="22"/>
          <w:szCs w:val="22"/>
          <w:lang w:val="es-CR" w:eastAsia="en-US"/>
        </w:rPr>
        <w:t xml:space="preserve"> 63-2022, artículo XIII, por lo que se informa a la Corte Plena la solución planteada de forma prioritaria, para su conocimiento y lo que a bien estime resolver. </w:t>
      </w:r>
      <w:r w:rsidRPr="00990FB6">
        <w:rPr>
          <w:rFonts w:eastAsia="MS Mincho"/>
          <w:b/>
          <w:bCs/>
          <w:sz w:val="22"/>
          <w:szCs w:val="22"/>
          <w:lang w:val="es-CR" w:eastAsia="en-US"/>
        </w:rPr>
        <w:t>7)</w:t>
      </w:r>
      <w:r w:rsidRPr="00990FB6">
        <w:rPr>
          <w:rFonts w:eastAsia="MS Mincho"/>
          <w:sz w:val="22"/>
          <w:szCs w:val="22"/>
          <w:lang w:val="es-CR" w:eastAsia="en-US"/>
        </w:rPr>
        <w:t xml:space="preserve"> Para mitigar los riesgos asociados a los recortes efectuados en materia tecnológica para el Poder Judicial, dado lo sensible y prioritario que resultan ser estas necesidades, se propone que la Dirección de Tecnología de la Información y las Comunicaciones en coordinación con la Dirección Ejecutiva durante la ejecución presupuestaria del 2024 realicen las gestiones pertinentes para reponer en la medida de las posibilidades institucionales, los recortes realizados, dando prioridad a aquellos temas de mayor impacto. </w:t>
      </w:r>
      <w:r w:rsidRPr="00990FB6">
        <w:rPr>
          <w:rFonts w:eastAsia="MS Mincho"/>
          <w:b/>
          <w:bCs/>
          <w:sz w:val="22"/>
          <w:szCs w:val="22"/>
          <w:lang w:val="es-CR" w:eastAsia="en-US"/>
        </w:rPr>
        <w:t>8)</w:t>
      </w:r>
      <w:r w:rsidRPr="00990FB6">
        <w:rPr>
          <w:rFonts w:eastAsia="MS Mincho"/>
          <w:sz w:val="22"/>
          <w:szCs w:val="22"/>
          <w:lang w:val="es-CR" w:eastAsia="en-US"/>
        </w:rPr>
        <w:t xml:space="preserve">  Solicitar a la Dirección de Tecnología de la Información y Comunicaciones coordinar las acciones institucionales correspondientes para impulsar el cumplimiento de la Ley de Gestión Integral de Residuos, lo anterior en virtud de la sustitución </w:t>
      </w:r>
      <w:r w:rsidRPr="00990FB6">
        <w:rPr>
          <w:rFonts w:eastAsia="MS Mincho"/>
          <w:b/>
          <w:bCs/>
          <w:sz w:val="22"/>
          <w:szCs w:val="22"/>
          <w:u w:val="single"/>
          <w:lang w:val="es-CR" w:eastAsia="en-US"/>
        </w:rPr>
        <w:t>en la modalidad de contratación pasando</w:t>
      </w:r>
      <w:r w:rsidRPr="00990FB6">
        <w:rPr>
          <w:rFonts w:eastAsia="MS Mincho"/>
          <w:sz w:val="22"/>
          <w:szCs w:val="22"/>
          <w:lang w:val="es-CR" w:eastAsia="en-US"/>
        </w:rPr>
        <w:t xml:space="preserve"> de alquiler de equipo de cómputo por la adquisición de computadoras. </w:t>
      </w:r>
      <w:r w:rsidRPr="00990FB6">
        <w:rPr>
          <w:rFonts w:eastAsia="MS Mincho"/>
          <w:b/>
          <w:bCs/>
          <w:sz w:val="22"/>
          <w:szCs w:val="22"/>
          <w:lang w:val="es-CR" w:eastAsia="en-US"/>
        </w:rPr>
        <w:t>Se declara este acuerdo firme.</w:t>
      </w:r>
      <w:bookmarkEnd w:id="42"/>
      <w:r w:rsidRPr="00990FB6">
        <w:rPr>
          <w:bCs/>
          <w:sz w:val="22"/>
          <w:szCs w:val="22"/>
        </w:rPr>
        <w:t>”</w:t>
      </w:r>
    </w:p>
    <w:p w14:paraId="23F70066" w14:textId="77777777" w:rsidR="00B15F7D" w:rsidRPr="00990FB6" w:rsidRDefault="00B15F7D" w:rsidP="00B15F7D">
      <w:pPr>
        <w:suppressAutoHyphens w:val="0"/>
        <w:ind w:right="851"/>
        <w:jc w:val="both"/>
        <w:rPr>
          <w:bCs/>
          <w:sz w:val="22"/>
          <w:szCs w:val="22"/>
          <w:lang w:val="es-CR"/>
        </w:rPr>
      </w:pPr>
    </w:p>
    <w:p w14:paraId="55D71E19" w14:textId="77777777" w:rsidR="00B15F7D" w:rsidRPr="00990FB6" w:rsidRDefault="00B15F7D" w:rsidP="00B15F7D">
      <w:pPr>
        <w:suppressAutoHyphens w:val="0"/>
        <w:jc w:val="center"/>
        <w:rPr>
          <w:bCs/>
          <w:sz w:val="22"/>
          <w:szCs w:val="22"/>
          <w:lang w:val="es-CR"/>
        </w:rPr>
      </w:pPr>
      <w:r w:rsidRPr="00990FB6">
        <w:rPr>
          <w:bCs/>
          <w:sz w:val="22"/>
          <w:szCs w:val="22"/>
          <w:lang w:val="es-CR"/>
        </w:rPr>
        <w:t>- 0 -</w:t>
      </w:r>
    </w:p>
    <w:p w14:paraId="38AA8524" w14:textId="77777777" w:rsidR="00B15F7D" w:rsidRPr="00990FB6" w:rsidRDefault="00B15F7D" w:rsidP="00B15F7D">
      <w:pPr>
        <w:suppressAutoHyphens w:val="0"/>
        <w:ind w:right="851"/>
        <w:jc w:val="center"/>
        <w:rPr>
          <w:bCs/>
          <w:sz w:val="22"/>
          <w:szCs w:val="22"/>
        </w:rPr>
      </w:pPr>
    </w:p>
    <w:p w14:paraId="00C28AAD" w14:textId="77777777" w:rsidR="00B15F7D" w:rsidRPr="00990FB6" w:rsidRDefault="00B15F7D" w:rsidP="00B15F7D">
      <w:pPr>
        <w:suppressAutoHyphens w:val="0"/>
        <w:ind w:firstLine="709"/>
        <w:jc w:val="both"/>
        <w:rPr>
          <w:bCs/>
          <w:sz w:val="22"/>
          <w:szCs w:val="22"/>
        </w:rPr>
      </w:pPr>
      <w:r w:rsidRPr="00990FB6">
        <w:rPr>
          <w:bCs/>
          <w:sz w:val="22"/>
          <w:szCs w:val="22"/>
        </w:rPr>
        <w:t xml:space="preserve">El Consejo Superior, en sesión extraordinaria de presupuesto </w:t>
      </w:r>
      <w:proofErr w:type="spellStart"/>
      <w:r w:rsidRPr="00990FB6">
        <w:rPr>
          <w:bCs/>
          <w:sz w:val="22"/>
          <w:szCs w:val="22"/>
        </w:rPr>
        <w:t>N°</w:t>
      </w:r>
      <w:proofErr w:type="spellEnd"/>
      <w:r w:rsidRPr="00990FB6">
        <w:rPr>
          <w:bCs/>
          <w:sz w:val="22"/>
          <w:szCs w:val="22"/>
        </w:rPr>
        <w:t xml:space="preserve"> 32-2023 celebrada el 19 de abril de 2023, artículo XXXIX, tomó el acuerdo que literalmente dice:</w:t>
      </w:r>
    </w:p>
    <w:p w14:paraId="424EC519" w14:textId="77777777" w:rsidR="00B15F7D" w:rsidRPr="00990FB6" w:rsidRDefault="00B15F7D" w:rsidP="00B15F7D">
      <w:pPr>
        <w:keepNext/>
        <w:keepLines/>
        <w:ind w:left="851" w:right="851" w:firstLine="709"/>
        <w:jc w:val="both"/>
        <w:rPr>
          <w:b/>
          <w:bCs/>
          <w:sz w:val="22"/>
          <w:szCs w:val="22"/>
          <w:u w:val="single"/>
          <w:lang w:val="es-MX"/>
        </w:rPr>
      </w:pPr>
      <w:bookmarkStart w:id="43" w:name="_Toc135990698"/>
      <w:r w:rsidRPr="00990FB6">
        <w:rPr>
          <w:bCs/>
          <w:sz w:val="22"/>
          <w:szCs w:val="22"/>
        </w:rPr>
        <w:lastRenderedPageBreak/>
        <w:t>“</w:t>
      </w:r>
      <w:r w:rsidRPr="00990FB6">
        <w:rPr>
          <w:sz w:val="22"/>
          <w:szCs w:val="22"/>
          <w:lang w:val="es-MX"/>
        </w:rPr>
        <w:t>La licenciada Nacira Valverde Bermúdez, Directora de Planificación, presentó el informe 271- PLA-RH-MI(PL)-2023 Informe de presupuesto personal Fiscal, Fiscal Auxiliar y Técnico Judicial, que dice:</w:t>
      </w:r>
      <w:bookmarkEnd w:id="43"/>
    </w:p>
    <w:p w14:paraId="62EC170A" w14:textId="77777777" w:rsidR="00B15F7D" w:rsidRPr="00990FB6" w:rsidRDefault="00B15F7D" w:rsidP="00B15F7D">
      <w:pPr>
        <w:ind w:left="851" w:right="851" w:firstLine="709"/>
        <w:jc w:val="both"/>
        <w:rPr>
          <w:sz w:val="22"/>
          <w:szCs w:val="22"/>
          <w:lang w:val="es-MX"/>
        </w:rPr>
      </w:pPr>
    </w:p>
    <w:p w14:paraId="163CC077" w14:textId="77777777" w:rsidR="00B15F7D" w:rsidRPr="00990FB6" w:rsidRDefault="00B15F7D" w:rsidP="00B15F7D">
      <w:pPr>
        <w:ind w:left="851" w:right="851" w:firstLine="709"/>
        <w:jc w:val="both"/>
        <w:rPr>
          <w:sz w:val="22"/>
          <w:szCs w:val="22"/>
        </w:rPr>
      </w:pPr>
      <w:r w:rsidRPr="00990FB6">
        <w:rPr>
          <w:sz w:val="22"/>
          <w:szCs w:val="22"/>
        </w:rPr>
        <w:t>“Este informe consiste en realizar un diagnóstico de las fiscalías en función de la cantidad del personal fiscal que se debería tener a partir de la estructura y demanda del Ámbito Jurisdiccional, con el objetivo de no afectar la etapa preparatoria e intermedia, ya que actualmente se suple esa necesidad consumiendo el tiempo y el talento humano de las plazas de personas fiscales auxiliares, lo cual atenta contra la calidad de la investigación y el planteamiento del requerimiento de personal, por lo que se detectaron que en tres Fiscalías donde se cuenta con un estudio técnico realizado por parte de la Dirección de Planificación se tenía esa debilidad.</w:t>
      </w:r>
    </w:p>
    <w:p w14:paraId="33B042F0" w14:textId="77777777" w:rsidR="00B15F7D" w:rsidRPr="00990FB6" w:rsidRDefault="00B15F7D" w:rsidP="00B15F7D">
      <w:pPr>
        <w:ind w:left="851" w:right="851" w:firstLine="709"/>
        <w:jc w:val="both"/>
        <w:rPr>
          <w:sz w:val="22"/>
          <w:szCs w:val="22"/>
        </w:rPr>
      </w:pPr>
    </w:p>
    <w:p w14:paraId="0C04C363" w14:textId="77777777" w:rsidR="00B15F7D" w:rsidRPr="00990FB6" w:rsidRDefault="00B15F7D" w:rsidP="00B15F7D">
      <w:pPr>
        <w:ind w:left="851" w:right="851" w:firstLine="709"/>
        <w:jc w:val="both"/>
        <w:rPr>
          <w:sz w:val="22"/>
          <w:szCs w:val="22"/>
        </w:rPr>
      </w:pPr>
      <w:r w:rsidRPr="00990FB6">
        <w:rPr>
          <w:sz w:val="22"/>
          <w:szCs w:val="22"/>
        </w:rPr>
        <w:t>Adicional a lo anterior se determinó que el ejercicio se extendiera a nivel nacional y se abarcara no solo el personal fiscal, sino que además se incluyera la necesidad del personal fiscal auxiliar y del personal técnico judicial, situación que provocó se identificarán 18 fiscalías más en las cuales se tiene una carencia de personal, para propiciar el fortalecimiento de 21 fiscalías, en total se revisaron 42 fiscalías, por lo que en un 50% de ellas, se encontró que se tenía alguna limitación. También se hace la observación que el estudio consideró los lugares en los cuales actualmente se tiene una plaza de persona Fiscal Auxiliar realizando funciones de persona de Fiscal para suplir dicha falencia.</w:t>
      </w:r>
    </w:p>
    <w:p w14:paraId="2DC86A68" w14:textId="77777777" w:rsidR="00B15F7D" w:rsidRPr="00990FB6" w:rsidRDefault="00B15F7D" w:rsidP="00B15F7D">
      <w:pPr>
        <w:ind w:left="851" w:right="851" w:firstLine="709"/>
        <w:jc w:val="both"/>
        <w:rPr>
          <w:sz w:val="22"/>
          <w:szCs w:val="22"/>
        </w:rPr>
      </w:pPr>
    </w:p>
    <w:p w14:paraId="7CA6EF85" w14:textId="77777777" w:rsidR="00B15F7D" w:rsidRPr="00990FB6" w:rsidRDefault="00B15F7D" w:rsidP="00B15F7D">
      <w:pPr>
        <w:ind w:left="851" w:right="851" w:firstLine="709"/>
        <w:jc w:val="both"/>
        <w:rPr>
          <w:sz w:val="22"/>
          <w:szCs w:val="22"/>
        </w:rPr>
      </w:pPr>
      <w:r w:rsidRPr="00990FB6">
        <w:rPr>
          <w:sz w:val="22"/>
          <w:szCs w:val="22"/>
        </w:rPr>
        <w:t>En ese contexto, 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w:t>
      </w:r>
    </w:p>
    <w:p w14:paraId="2B3FB60E" w14:textId="77777777" w:rsidR="00B15F7D" w:rsidRPr="00990FB6" w:rsidRDefault="00B15F7D" w:rsidP="00B15F7D">
      <w:pPr>
        <w:ind w:left="851" w:right="851" w:firstLine="709"/>
        <w:jc w:val="both"/>
        <w:rPr>
          <w:sz w:val="22"/>
          <w:szCs w:val="22"/>
        </w:rPr>
      </w:pPr>
    </w:p>
    <w:p w14:paraId="463810ED" w14:textId="77777777" w:rsidR="00B15F7D" w:rsidRPr="00990FB6" w:rsidRDefault="00B15F7D" w:rsidP="00B15F7D">
      <w:pPr>
        <w:ind w:left="851" w:right="851" w:firstLine="709"/>
        <w:jc w:val="both"/>
        <w:rPr>
          <w:sz w:val="22"/>
          <w:szCs w:val="22"/>
        </w:rPr>
      </w:pPr>
      <w:r w:rsidRPr="00990FB6">
        <w:rPr>
          <w:sz w:val="22"/>
          <w:szCs w:val="22"/>
        </w:rPr>
        <w:t>Consecuentemente, la Corte Plena en sesión 15-16, artículo XVII, aprobó el estudio operativo en los Tribunales Penales del país y con base a esto, el Despacho de la Presidencia diseña en conjunto con la Dirección de Planificación el Proyecto de Mejora Integral del Proceso Penal, este proyecto a su vez fue aprobado por el Consejo Superior en sesión 71-17 del 1 de agosto del 2017, artículo CXI, en el mismo se realiza una visita a todos los Tribunales de Juicio, Secciones de Flagrancia y Juzgados Penales del país, con el fin de obtener un diagnóstico general de la situación actual en estas oficinas, así como la estandarización de agendas de señalamiento.</w:t>
      </w:r>
    </w:p>
    <w:p w14:paraId="6FEE25C4" w14:textId="77777777" w:rsidR="00B15F7D" w:rsidRPr="00990FB6" w:rsidRDefault="00B15F7D" w:rsidP="00B15F7D">
      <w:pPr>
        <w:ind w:left="851" w:right="851" w:firstLine="709"/>
        <w:jc w:val="both"/>
        <w:rPr>
          <w:sz w:val="22"/>
          <w:szCs w:val="22"/>
        </w:rPr>
      </w:pPr>
    </w:p>
    <w:p w14:paraId="1E2BCFF5" w14:textId="77777777" w:rsidR="00B15F7D" w:rsidRPr="00990FB6" w:rsidRDefault="00B15F7D" w:rsidP="00B15F7D">
      <w:pPr>
        <w:ind w:left="851" w:right="851" w:firstLine="709"/>
        <w:jc w:val="both"/>
        <w:rPr>
          <w:sz w:val="22"/>
          <w:szCs w:val="22"/>
        </w:rPr>
      </w:pPr>
      <w:r w:rsidRPr="00990FB6">
        <w:rPr>
          <w:sz w:val="22"/>
          <w:szCs w:val="22"/>
        </w:rPr>
        <w:t>Por último, 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que se realizará para cada una de las oficinas de la Fiscalía General.</w:t>
      </w:r>
    </w:p>
    <w:p w14:paraId="11D5B84F" w14:textId="77777777" w:rsidR="00B15F7D" w:rsidRPr="00990FB6" w:rsidRDefault="00B15F7D" w:rsidP="00B15F7D">
      <w:pPr>
        <w:ind w:left="851" w:right="851" w:firstLine="709"/>
        <w:jc w:val="both"/>
        <w:rPr>
          <w:sz w:val="22"/>
          <w:szCs w:val="22"/>
        </w:rPr>
      </w:pPr>
    </w:p>
    <w:p w14:paraId="4F0C5B0E" w14:textId="77777777" w:rsidR="00B15F7D" w:rsidRPr="00990FB6" w:rsidRDefault="00B15F7D" w:rsidP="00B15F7D">
      <w:pPr>
        <w:ind w:left="851" w:right="851" w:firstLine="709"/>
        <w:jc w:val="both"/>
        <w:rPr>
          <w:sz w:val="22"/>
          <w:szCs w:val="22"/>
        </w:rPr>
      </w:pPr>
      <w:r w:rsidRPr="00990FB6">
        <w:rPr>
          <w:sz w:val="22"/>
          <w:szCs w:val="22"/>
        </w:rPr>
        <w:lastRenderedPageBreak/>
        <w:t>A raíz de lo anterior, y considerando lo indicado por el Ministerio de Hacienda, mediante oficio DM-0340-2020 del 15 de abril del 2021, en el cual se señala el Título IV de la Ley 9635 “Fortalecimiento de las Finanzas Públicas” donde se establecen la regla fiscal y los criterios que deben considerarse para la formulación del presupuesto 2022 y conociendo las limitaciones presupuestarias institucionales; se muestra la necesidad de presupuestar para el 2024 el recurso identificado en este estudio, el cual fue solicitado bajo la iniciativa de la Dirección de Planificación y elaborado por el Ing. Giovanni Gómez Cedeño, Profesional 2, en Coordinación con el Ing. Nelson Arce Hidalgo, Coordinador de Unidad 3, ambos profesionales del Subproceso a mi cargo.</w:t>
      </w:r>
    </w:p>
    <w:p w14:paraId="280E164F" w14:textId="77777777" w:rsidR="00B15F7D" w:rsidRPr="00990FB6" w:rsidRDefault="00B15F7D" w:rsidP="00B15F7D">
      <w:pPr>
        <w:ind w:left="851" w:right="851" w:firstLine="709"/>
        <w:jc w:val="both"/>
        <w:rPr>
          <w:sz w:val="22"/>
          <w:szCs w:val="22"/>
        </w:rPr>
      </w:pPr>
    </w:p>
    <w:p w14:paraId="3F7A8F98" w14:textId="77777777" w:rsidR="00B15F7D" w:rsidRPr="00990FB6" w:rsidRDefault="00B15F7D" w:rsidP="00B15F7D">
      <w:pPr>
        <w:ind w:left="851" w:right="851" w:firstLine="709"/>
        <w:jc w:val="both"/>
        <w:rPr>
          <w:sz w:val="22"/>
          <w:szCs w:val="22"/>
          <w:lang w:val="es-MX"/>
        </w:rPr>
      </w:pPr>
      <w:r w:rsidRPr="00990FB6">
        <w:rPr>
          <w:sz w:val="22"/>
          <w:szCs w:val="22"/>
        </w:rPr>
        <w:t xml:space="preserve">A continuación, se realiza un análisis de las estructuras actuales establecidas para los diferentes Tribunales Penales y Fiscalías del estado, considerando como base las estructuras de tramitación aprobadas y mencionadas con anterioridad para esas oficinas, así como </w:t>
      </w:r>
      <w:r w:rsidRPr="00990FB6">
        <w:rPr>
          <w:sz w:val="22"/>
          <w:szCs w:val="22"/>
          <w:lang w:val="es-MX"/>
        </w:rPr>
        <w:t>algunos criterios que se deben contemplar a la hora de realizar dichas comparaciones, como lo son:</w:t>
      </w:r>
    </w:p>
    <w:p w14:paraId="5BE38B37" w14:textId="77777777" w:rsidR="00B15F7D" w:rsidRPr="00990FB6" w:rsidRDefault="00B15F7D" w:rsidP="00B15F7D">
      <w:pPr>
        <w:ind w:left="851" w:right="851" w:firstLine="709"/>
        <w:jc w:val="both"/>
        <w:rPr>
          <w:sz w:val="22"/>
          <w:szCs w:val="22"/>
          <w:lang w:val="es-MX"/>
        </w:rPr>
      </w:pPr>
    </w:p>
    <w:p w14:paraId="4360A462" w14:textId="77777777" w:rsidR="00B15F7D" w:rsidRPr="00990FB6" w:rsidRDefault="00B15F7D" w:rsidP="00B15F7D">
      <w:pPr>
        <w:numPr>
          <w:ilvl w:val="0"/>
          <w:numId w:val="183"/>
        </w:numPr>
        <w:suppressAutoHyphens w:val="0"/>
        <w:ind w:left="851" w:right="851" w:firstLine="709"/>
        <w:jc w:val="both"/>
        <w:rPr>
          <w:sz w:val="22"/>
          <w:szCs w:val="22"/>
        </w:rPr>
      </w:pPr>
      <w:r w:rsidRPr="00990FB6">
        <w:rPr>
          <w:sz w:val="22"/>
          <w:szCs w:val="22"/>
        </w:rPr>
        <w:t>De acuerdo con las estructuras de las oficinas existente en las diferentes localidades, se requiere que, donde existen al menos dos personas fiscales auxiliares, también debe existir al menos una persona fiscal, recordando que estas últimas además de tener las funciones pertinentes a la atención de juicios, deben además realizar labores de coordinación de la oficina, así como tareas administrativas, por ejemplo, la elaboración de PAO, SEVRI, PEI, control de vacaciones y permisos, autorización de transacciones, autorización de solicitudes ante otras instituciones, como apertura de cuentas bancarias, allanamientos, levantamiento de cadáveres, entre otras actividades relacionadas con el cargo, de ahí que también se conozcan como persona fiscal de juicio o persona fiscal coordinadora.</w:t>
      </w:r>
    </w:p>
    <w:p w14:paraId="6D8F108D" w14:textId="77777777" w:rsidR="00B15F7D" w:rsidRPr="00990FB6" w:rsidRDefault="00B15F7D" w:rsidP="00B15F7D">
      <w:pPr>
        <w:ind w:left="851" w:right="851" w:firstLine="709"/>
        <w:jc w:val="both"/>
        <w:rPr>
          <w:sz w:val="22"/>
          <w:szCs w:val="22"/>
        </w:rPr>
      </w:pPr>
    </w:p>
    <w:p w14:paraId="247ADFF8" w14:textId="77777777" w:rsidR="00B15F7D" w:rsidRPr="00990FB6" w:rsidRDefault="00B15F7D" w:rsidP="00B15F7D">
      <w:pPr>
        <w:numPr>
          <w:ilvl w:val="0"/>
          <w:numId w:val="183"/>
        </w:numPr>
        <w:suppressAutoHyphens w:val="0"/>
        <w:ind w:left="851" w:right="851" w:firstLine="709"/>
        <w:jc w:val="both"/>
        <w:rPr>
          <w:sz w:val="22"/>
          <w:szCs w:val="22"/>
        </w:rPr>
      </w:pPr>
      <w:r w:rsidRPr="00990FB6">
        <w:rPr>
          <w:sz w:val="22"/>
          <w:szCs w:val="22"/>
        </w:rPr>
        <w:t>Por otra parte, y de acuerdo con el Modelo de Tramitación del Ministerio Público aprobado por el Consejo Superior, se tiene que, por cada 3 o 4 personas fiscales auxiliares debe existir una persona fiscal.</w:t>
      </w:r>
    </w:p>
    <w:p w14:paraId="18EEF28E" w14:textId="77777777" w:rsidR="00B15F7D" w:rsidRPr="00990FB6" w:rsidRDefault="00B15F7D" w:rsidP="00B15F7D">
      <w:pPr>
        <w:ind w:left="851" w:right="851" w:firstLine="709"/>
        <w:jc w:val="both"/>
        <w:rPr>
          <w:sz w:val="22"/>
          <w:szCs w:val="22"/>
        </w:rPr>
      </w:pPr>
    </w:p>
    <w:p w14:paraId="21DBF3AD" w14:textId="77777777" w:rsidR="00B15F7D" w:rsidRPr="00990FB6" w:rsidRDefault="00B15F7D" w:rsidP="00B15F7D">
      <w:pPr>
        <w:numPr>
          <w:ilvl w:val="0"/>
          <w:numId w:val="183"/>
        </w:numPr>
        <w:suppressAutoHyphens w:val="0"/>
        <w:ind w:left="851" w:right="851" w:firstLine="709"/>
        <w:jc w:val="both"/>
        <w:rPr>
          <w:sz w:val="22"/>
          <w:szCs w:val="22"/>
        </w:rPr>
      </w:pPr>
      <w:r w:rsidRPr="00990FB6">
        <w:rPr>
          <w:sz w:val="22"/>
          <w:szCs w:val="22"/>
        </w:rPr>
        <w:t>En línea con lo anterior, si se consideran las estructuras de los diferentes Tribunales Penales instaladas en cada localidad, es necesario que, por cada sección mixta (sección Colegiada, compuesta por tres personas juzgadoras, que se puede desintegrar para conformar dos secciones Unipersonales, de una persona juzgadora por cada sección y que pueden señalar de manera simultánea, o sea, dos juicios en vez de uno a la vez), debe existir al menos dos plazas de persona fiscal que puedan brindar la cobertura posible para atender ambos requerimientos de esa oficina en forma paralela y se evite afectar a la persona usuaria final, lo cual facilitaría que se puedan hacer de manera sincronizada las dos audiencias.</w:t>
      </w:r>
    </w:p>
    <w:p w14:paraId="0E1FEF45" w14:textId="77777777" w:rsidR="00B15F7D" w:rsidRPr="00990FB6" w:rsidRDefault="00B15F7D" w:rsidP="00B15F7D">
      <w:pPr>
        <w:ind w:left="851" w:right="851" w:firstLine="709"/>
        <w:jc w:val="both"/>
        <w:rPr>
          <w:sz w:val="22"/>
          <w:szCs w:val="22"/>
        </w:rPr>
      </w:pPr>
    </w:p>
    <w:p w14:paraId="7A2ADF1D" w14:textId="77777777" w:rsidR="00B15F7D" w:rsidRPr="00990FB6" w:rsidRDefault="00B15F7D" w:rsidP="00B15F7D">
      <w:pPr>
        <w:numPr>
          <w:ilvl w:val="0"/>
          <w:numId w:val="183"/>
        </w:numPr>
        <w:suppressAutoHyphens w:val="0"/>
        <w:ind w:left="851" w:right="851" w:firstLine="709"/>
        <w:jc w:val="both"/>
        <w:rPr>
          <w:sz w:val="22"/>
          <w:szCs w:val="22"/>
        </w:rPr>
      </w:pPr>
      <w:r w:rsidRPr="00990FB6">
        <w:rPr>
          <w:sz w:val="22"/>
          <w:szCs w:val="22"/>
        </w:rPr>
        <w:t xml:space="preserve">Por último, en el caso donde exista en la Fiscalía una sola persona fiscal auxiliar, se debe analizar la posibilidad de que se recalifique a persona fiscal debido a que por sí sola, esa persona además de asumir las labores administrativas mencionadas en párrafos anteriores, debe también asistir a juicios que se le señalen de la zona, </w:t>
      </w:r>
      <w:r w:rsidRPr="00990FB6">
        <w:rPr>
          <w:sz w:val="22"/>
          <w:szCs w:val="22"/>
        </w:rPr>
        <w:lastRenderedPageBreak/>
        <w:t>situación que podría traer a colación una potencial apelación en el resultado que se desprenda para cada debate, por un tema en la materia Contenciosa, ya que al no estar esta persona en un cargo que comprenda la resolución de asuntos en investigación y por ende su participación en los debates, se podría fallar en contra de lo acordado durante el juicio llevado a cabo en la materia Penal.</w:t>
      </w:r>
    </w:p>
    <w:p w14:paraId="59BE4C73" w14:textId="77777777" w:rsidR="00B15F7D" w:rsidRPr="00990FB6" w:rsidRDefault="00B15F7D" w:rsidP="00B15F7D">
      <w:pPr>
        <w:ind w:left="851" w:right="851" w:firstLine="709"/>
        <w:jc w:val="both"/>
        <w:rPr>
          <w:sz w:val="22"/>
          <w:szCs w:val="22"/>
        </w:rPr>
      </w:pPr>
    </w:p>
    <w:p w14:paraId="7487CDC9" w14:textId="77777777" w:rsidR="00B15F7D" w:rsidRPr="00990FB6" w:rsidRDefault="00B15F7D" w:rsidP="00B15F7D">
      <w:pPr>
        <w:ind w:left="851" w:right="851" w:firstLine="709"/>
        <w:jc w:val="both"/>
        <w:rPr>
          <w:sz w:val="22"/>
          <w:szCs w:val="22"/>
        </w:rPr>
      </w:pPr>
      <w:r w:rsidRPr="00990FB6">
        <w:rPr>
          <w:sz w:val="22"/>
          <w:szCs w:val="22"/>
        </w:rPr>
        <w:t>Por lo que con el análisis y los criterios antes mencionados sobre las estructuras revisadas en las diferentes Fiscalías del país y considerando las estructuras instaladas en los diferentes Tribunales Penales de cada localidad, producto del Proyecto de Mejora Integral del Proceso Penal, se visualiza la necesidad de dotar dentro de sus estructuras de trabajo:</w:t>
      </w:r>
    </w:p>
    <w:p w14:paraId="18EE9B72" w14:textId="77777777" w:rsidR="00B15F7D" w:rsidRPr="00990FB6" w:rsidRDefault="00B15F7D" w:rsidP="00B15F7D">
      <w:pPr>
        <w:ind w:left="851" w:right="851" w:firstLine="709"/>
        <w:jc w:val="both"/>
        <w:rPr>
          <w:sz w:val="22"/>
          <w:szCs w:val="22"/>
        </w:rPr>
      </w:pPr>
    </w:p>
    <w:p w14:paraId="14CE2EF8" w14:textId="77777777" w:rsidR="00B15F7D" w:rsidRPr="00990FB6" w:rsidRDefault="00B15F7D" w:rsidP="00B15F7D">
      <w:pPr>
        <w:ind w:left="851" w:right="851" w:firstLine="709"/>
        <w:jc w:val="both"/>
        <w:rPr>
          <w:b/>
          <w:bCs/>
          <w:sz w:val="22"/>
          <w:szCs w:val="22"/>
          <w:u w:val="single"/>
        </w:rPr>
      </w:pPr>
      <w:r w:rsidRPr="00990FB6">
        <w:rPr>
          <w:b/>
          <w:bCs/>
          <w:sz w:val="22"/>
          <w:szCs w:val="22"/>
          <w:u w:val="single"/>
        </w:rPr>
        <w:t>Personal fiscal nuevo</w:t>
      </w:r>
    </w:p>
    <w:p w14:paraId="44ECAFAB" w14:textId="77777777" w:rsidR="00B15F7D" w:rsidRPr="00990FB6" w:rsidRDefault="00B15F7D" w:rsidP="00B15F7D">
      <w:pPr>
        <w:rPr>
          <w:sz w:val="22"/>
          <w:szCs w:val="22"/>
        </w:rPr>
      </w:pPr>
    </w:p>
    <w:tbl>
      <w:tblPr>
        <w:tblStyle w:val="Tablaconcuadrcula"/>
        <w:tblW w:w="0" w:type="auto"/>
        <w:jc w:val="center"/>
        <w:tblLook w:val="04A0" w:firstRow="1" w:lastRow="0" w:firstColumn="1" w:lastColumn="0" w:noHBand="0" w:noVBand="1"/>
      </w:tblPr>
      <w:tblGrid>
        <w:gridCol w:w="7124"/>
        <w:gridCol w:w="2079"/>
      </w:tblGrid>
      <w:tr w:rsidR="00B15F7D" w:rsidRPr="00990FB6" w14:paraId="5035A97D" w14:textId="77777777" w:rsidTr="000A0C22">
        <w:trPr>
          <w:jc w:val="center"/>
        </w:trPr>
        <w:tc>
          <w:tcPr>
            <w:tcW w:w="0" w:type="auto"/>
          </w:tcPr>
          <w:p w14:paraId="471C0937" w14:textId="77777777" w:rsidR="00B15F7D" w:rsidRPr="00990FB6" w:rsidRDefault="00B15F7D" w:rsidP="00B15F7D">
            <w:pPr>
              <w:jc w:val="center"/>
              <w:rPr>
                <w:b/>
                <w:bCs/>
                <w:sz w:val="22"/>
                <w:szCs w:val="22"/>
              </w:rPr>
            </w:pPr>
            <w:bookmarkStart w:id="44" w:name="_Hlk126849257"/>
            <w:r w:rsidRPr="00990FB6">
              <w:rPr>
                <w:b/>
                <w:bCs/>
                <w:sz w:val="22"/>
                <w:szCs w:val="22"/>
              </w:rPr>
              <w:t>Oficina</w:t>
            </w:r>
          </w:p>
        </w:tc>
        <w:tc>
          <w:tcPr>
            <w:tcW w:w="0" w:type="auto"/>
          </w:tcPr>
          <w:p w14:paraId="199A5182" w14:textId="77777777" w:rsidR="00B15F7D" w:rsidRPr="00990FB6" w:rsidRDefault="00B15F7D" w:rsidP="00B15F7D">
            <w:pPr>
              <w:jc w:val="center"/>
              <w:rPr>
                <w:b/>
                <w:bCs/>
                <w:sz w:val="22"/>
                <w:szCs w:val="22"/>
              </w:rPr>
            </w:pPr>
            <w:r w:rsidRPr="00990FB6">
              <w:rPr>
                <w:b/>
                <w:bCs/>
                <w:sz w:val="22"/>
                <w:szCs w:val="22"/>
              </w:rPr>
              <w:t>Cantidad requerida</w:t>
            </w:r>
          </w:p>
        </w:tc>
      </w:tr>
      <w:tr w:rsidR="00B15F7D" w:rsidRPr="00990FB6" w14:paraId="6D138B6C" w14:textId="77777777" w:rsidTr="000A0C22">
        <w:trPr>
          <w:jc w:val="center"/>
        </w:trPr>
        <w:tc>
          <w:tcPr>
            <w:tcW w:w="0" w:type="auto"/>
          </w:tcPr>
          <w:p w14:paraId="35B40244" w14:textId="77777777" w:rsidR="00B15F7D" w:rsidRPr="00990FB6" w:rsidRDefault="00B15F7D" w:rsidP="00B15F7D">
            <w:pPr>
              <w:rPr>
                <w:sz w:val="22"/>
                <w:szCs w:val="22"/>
              </w:rPr>
            </w:pPr>
            <w:r w:rsidRPr="00990FB6">
              <w:rPr>
                <w:sz w:val="22"/>
                <w:szCs w:val="22"/>
              </w:rPr>
              <w:t>Fiscalía Adjunta del Segundo Circuito Judicial de San José (Goicoechea)</w:t>
            </w:r>
          </w:p>
        </w:tc>
        <w:tc>
          <w:tcPr>
            <w:tcW w:w="0" w:type="auto"/>
          </w:tcPr>
          <w:p w14:paraId="55C7CD15" w14:textId="77777777" w:rsidR="00B15F7D" w:rsidRPr="00990FB6" w:rsidRDefault="00B15F7D" w:rsidP="00B15F7D">
            <w:pPr>
              <w:jc w:val="center"/>
              <w:rPr>
                <w:sz w:val="22"/>
                <w:szCs w:val="22"/>
              </w:rPr>
            </w:pPr>
            <w:r w:rsidRPr="00990FB6">
              <w:rPr>
                <w:sz w:val="22"/>
                <w:szCs w:val="22"/>
              </w:rPr>
              <w:t>1</w:t>
            </w:r>
          </w:p>
        </w:tc>
      </w:tr>
      <w:tr w:rsidR="00B15F7D" w:rsidRPr="00990FB6" w14:paraId="5B02791D" w14:textId="77777777" w:rsidTr="000A0C22">
        <w:trPr>
          <w:jc w:val="center"/>
        </w:trPr>
        <w:tc>
          <w:tcPr>
            <w:tcW w:w="0" w:type="auto"/>
          </w:tcPr>
          <w:p w14:paraId="21D8A48C" w14:textId="77777777" w:rsidR="00B15F7D" w:rsidRPr="00990FB6" w:rsidRDefault="00B15F7D" w:rsidP="00B15F7D">
            <w:pPr>
              <w:rPr>
                <w:sz w:val="22"/>
                <w:szCs w:val="22"/>
              </w:rPr>
            </w:pPr>
            <w:r w:rsidRPr="00990FB6">
              <w:rPr>
                <w:sz w:val="22"/>
                <w:szCs w:val="22"/>
              </w:rPr>
              <w:t>Fiscalía Adjunta de Cartago</w:t>
            </w:r>
          </w:p>
        </w:tc>
        <w:tc>
          <w:tcPr>
            <w:tcW w:w="0" w:type="auto"/>
          </w:tcPr>
          <w:p w14:paraId="0F2D6182" w14:textId="77777777" w:rsidR="00B15F7D" w:rsidRPr="00990FB6" w:rsidRDefault="00B15F7D" w:rsidP="00B15F7D">
            <w:pPr>
              <w:jc w:val="center"/>
              <w:rPr>
                <w:sz w:val="22"/>
                <w:szCs w:val="22"/>
              </w:rPr>
            </w:pPr>
            <w:r w:rsidRPr="00990FB6">
              <w:rPr>
                <w:sz w:val="22"/>
                <w:szCs w:val="22"/>
              </w:rPr>
              <w:t>1</w:t>
            </w:r>
          </w:p>
        </w:tc>
      </w:tr>
      <w:tr w:rsidR="00B15F7D" w:rsidRPr="00990FB6" w14:paraId="05160A6A" w14:textId="77777777" w:rsidTr="000A0C22">
        <w:trPr>
          <w:jc w:val="center"/>
        </w:trPr>
        <w:tc>
          <w:tcPr>
            <w:tcW w:w="0" w:type="auto"/>
          </w:tcPr>
          <w:p w14:paraId="08ED32EB" w14:textId="77777777" w:rsidR="00B15F7D" w:rsidRPr="00990FB6" w:rsidRDefault="00B15F7D" w:rsidP="00B15F7D">
            <w:pPr>
              <w:rPr>
                <w:sz w:val="22"/>
                <w:szCs w:val="22"/>
              </w:rPr>
            </w:pPr>
            <w:r w:rsidRPr="00990FB6">
              <w:rPr>
                <w:sz w:val="22"/>
                <w:szCs w:val="22"/>
              </w:rPr>
              <w:t>Fiscalía de Hatillo</w:t>
            </w:r>
          </w:p>
        </w:tc>
        <w:tc>
          <w:tcPr>
            <w:tcW w:w="0" w:type="auto"/>
          </w:tcPr>
          <w:p w14:paraId="0EC70BA2" w14:textId="77777777" w:rsidR="00B15F7D" w:rsidRPr="00990FB6" w:rsidRDefault="00B15F7D" w:rsidP="00B15F7D">
            <w:pPr>
              <w:jc w:val="center"/>
              <w:rPr>
                <w:sz w:val="22"/>
                <w:szCs w:val="22"/>
              </w:rPr>
            </w:pPr>
            <w:r w:rsidRPr="00990FB6">
              <w:rPr>
                <w:sz w:val="22"/>
                <w:szCs w:val="22"/>
              </w:rPr>
              <w:t>1</w:t>
            </w:r>
          </w:p>
        </w:tc>
      </w:tr>
      <w:tr w:rsidR="00B15F7D" w:rsidRPr="00990FB6" w14:paraId="7A982878" w14:textId="77777777" w:rsidTr="000A0C22">
        <w:trPr>
          <w:jc w:val="center"/>
        </w:trPr>
        <w:tc>
          <w:tcPr>
            <w:tcW w:w="0" w:type="auto"/>
          </w:tcPr>
          <w:p w14:paraId="399A3FB4" w14:textId="77777777" w:rsidR="00B15F7D" w:rsidRPr="00990FB6" w:rsidRDefault="00B15F7D" w:rsidP="00B15F7D">
            <w:pPr>
              <w:rPr>
                <w:sz w:val="22"/>
                <w:szCs w:val="22"/>
              </w:rPr>
            </w:pPr>
            <w:r w:rsidRPr="00990FB6">
              <w:rPr>
                <w:sz w:val="22"/>
                <w:szCs w:val="22"/>
              </w:rPr>
              <w:t>Fiscalía Adjunta del Primer Circuito Judicial de la Zona Sur (Pérez Zeledón)</w:t>
            </w:r>
          </w:p>
        </w:tc>
        <w:tc>
          <w:tcPr>
            <w:tcW w:w="0" w:type="auto"/>
          </w:tcPr>
          <w:p w14:paraId="6D8AA2E5" w14:textId="77777777" w:rsidR="00B15F7D" w:rsidRPr="00990FB6" w:rsidRDefault="00B15F7D" w:rsidP="00B15F7D">
            <w:pPr>
              <w:jc w:val="center"/>
              <w:rPr>
                <w:sz w:val="22"/>
                <w:szCs w:val="22"/>
              </w:rPr>
            </w:pPr>
            <w:r w:rsidRPr="00990FB6">
              <w:rPr>
                <w:sz w:val="22"/>
                <w:szCs w:val="22"/>
              </w:rPr>
              <w:t>1</w:t>
            </w:r>
          </w:p>
        </w:tc>
      </w:tr>
      <w:tr w:rsidR="00B15F7D" w:rsidRPr="00990FB6" w14:paraId="1CAEA48A" w14:textId="77777777" w:rsidTr="000A0C22">
        <w:trPr>
          <w:jc w:val="center"/>
        </w:trPr>
        <w:tc>
          <w:tcPr>
            <w:tcW w:w="0" w:type="auto"/>
          </w:tcPr>
          <w:p w14:paraId="3A557868" w14:textId="77777777" w:rsidR="00B15F7D" w:rsidRPr="00990FB6" w:rsidRDefault="00B15F7D" w:rsidP="00B15F7D">
            <w:pPr>
              <w:rPr>
                <w:sz w:val="22"/>
                <w:szCs w:val="22"/>
              </w:rPr>
            </w:pPr>
            <w:r w:rsidRPr="00990FB6">
              <w:rPr>
                <w:sz w:val="22"/>
                <w:szCs w:val="22"/>
              </w:rPr>
              <w:t>Fiscalía Adjunta del Segundo Circuito Judicial de Alajuela (San Carlos)</w:t>
            </w:r>
          </w:p>
        </w:tc>
        <w:tc>
          <w:tcPr>
            <w:tcW w:w="0" w:type="auto"/>
          </w:tcPr>
          <w:p w14:paraId="7BF90E83" w14:textId="77777777" w:rsidR="00B15F7D" w:rsidRPr="00990FB6" w:rsidRDefault="00B15F7D" w:rsidP="00B15F7D">
            <w:pPr>
              <w:jc w:val="center"/>
              <w:rPr>
                <w:sz w:val="22"/>
                <w:szCs w:val="22"/>
              </w:rPr>
            </w:pPr>
            <w:r w:rsidRPr="00990FB6">
              <w:rPr>
                <w:sz w:val="22"/>
                <w:szCs w:val="22"/>
              </w:rPr>
              <w:t>3</w:t>
            </w:r>
          </w:p>
        </w:tc>
      </w:tr>
      <w:tr w:rsidR="00B15F7D" w:rsidRPr="00990FB6" w14:paraId="726EBA62" w14:textId="77777777" w:rsidTr="000A0C22">
        <w:trPr>
          <w:jc w:val="center"/>
        </w:trPr>
        <w:tc>
          <w:tcPr>
            <w:tcW w:w="0" w:type="auto"/>
          </w:tcPr>
          <w:p w14:paraId="72EAF9CD" w14:textId="77777777" w:rsidR="00B15F7D" w:rsidRPr="00990FB6" w:rsidRDefault="00B15F7D" w:rsidP="00B15F7D">
            <w:pPr>
              <w:rPr>
                <w:sz w:val="22"/>
                <w:szCs w:val="22"/>
              </w:rPr>
            </w:pPr>
            <w:r w:rsidRPr="00990FB6">
              <w:rPr>
                <w:sz w:val="22"/>
                <w:szCs w:val="22"/>
              </w:rPr>
              <w:t>Fiscalía de Santa Cruz</w:t>
            </w:r>
          </w:p>
        </w:tc>
        <w:tc>
          <w:tcPr>
            <w:tcW w:w="0" w:type="auto"/>
          </w:tcPr>
          <w:p w14:paraId="3B7E2C1A" w14:textId="77777777" w:rsidR="00B15F7D" w:rsidRPr="00990FB6" w:rsidRDefault="00B15F7D" w:rsidP="00B15F7D">
            <w:pPr>
              <w:jc w:val="center"/>
              <w:rPr>
                <w:sz w:val="22"/>
                <w:szCs w:val="22"/>
              </w:rPr>
            </w:pPr>
            <w:r w:rsidRPr="00990FB6">
              <w:rPr>
                <w:sz w:val="22"/>
                <w:szCs w:val="22"/>
              </w:rPr>
              <w:t>1</w:t>
            </w:r>
          </w:p>
        </w:tc>
      </w:tr>
      <w:tr w:rsidR="00B15F7D" w:rsidRPr="00990FB6" w14:paraId="3644E956" w14:textId="77777777" w:rsidTr="000A0C22">
        <w:trPr>
          <w:jc w:val="center"/>
        </w:trPr>
        <w:tc>
          <w:tcPr>
            <w:tcW w:w="0" w:type="auto"/>
          </w:tcPr>
          <w:p w14:paraId="1CF132BF" w14:textId="77777777" w:rsidR="00B15F7D" w:rsidRPr="00990FB6" w:rsidRDefault="00B15F7D" w:rsidP="00B15F7D">
            <w:pPr>
              <w:numPr>
                <w:ilvl w:val="0"/>
                <w:numId w:val="180"/>
              </w:numPr>
              <w:jc w:val="both"/>
              <w:rPr>
                <w:sz w:val="22"/>
                <w:szCs w:val="22"/>
              </w:rPr>
            </w:pPr>
            <w:r w:rsidRPr="00990FB6">
              <w:rPr>
                <w:sz w:val="22"/>
                <w:szCs w:val="22"/>
              </w:rPr>
              <w:t>Fiscalía Adjunta del Primer Circuito Judicial de San José</w:t>
            </w:r>
          </w:p>
        </w:tc>
        <w:tc>
          <w:tcPr>
            <w:tcW w:w="0" w:type="auto"/>
          </w:tcPr>
          <w:p w14:paraId="6C3487A6" w14:textId="77777777" w:rsidR="00B15F7D" w:rsidRPr="00990FB6" w:rsidRDefault="00B15F7D" w:rsidP="00B15F7D">
            <w:pPr>
              <w:jc w:val="center"/>
              <w:rPr>
                <w:sz w:val="22"/>
                <w:szCs w:val="22"/>
              </w:rPr>
            </w:pPr>
            <w:r w:rsidRPr="00990FB6">
              <w:rPr>
                <w:sz w:val="22"/>
                <w:szCs w:val="22"/>
              </w:rPr>
              <w:t>2</w:t>
            </w:r>
          </w:p>
        </w:tc>
      </w:tr>
      <w:tr w:rsidR="00B15F7D" w:rsidRPr="00990FB6" w14:paraId="6E91230A" w14:textId="77777777" w:rsidTr="000A0C22">
        <w:trPr>
          <w:jc w:val="center"/>
        </w:trPr>
        <w:tc>
          <w:tcPr>
            <w:tcW w:w="0" w:type="auto"/>
          </w:tcPr>
          <w:p w14:paraId="0CB84FCD" w14:textId="77777777" w:rsidR="00B15F7D" w:rsidRPr="00990FB6" w:rsidRDefault="00B15F7D" w:rsidP="00B15F7D">
            <w:pPr>
              <w:numPr>
                <w:ilvl w:val="0"/>
                <w:numId w:val="180"/>
              </w:numPr>
              <w:jc w:val="both"/>
              <w:rPr>
                <w:sz w:val="22"/>
                <w:szCs w:val="22"/>
              </w:rPr>
            </w:pPr>
            <w:r w:rsidRPr="00990FB6">
              <w:rPr>
                <w:sz w:val="22"/>
                <w:szCs w:val="22"/>
              </w:rPr>
              <w:t>Fiscalía Adjunta del Tercer Circuito Judicial de Alajuela (San Ramón)</w:t>
            </w:r>
          </w:p>
        </w:tc>
        <w:tc>
          <w:tcPr>
            <w:tcW w:w="0" w:type="auto"/>
          </w:tcPr>
          <w:p w14:paraId="15DA30DC" w14:textId="77777777" w:rsidR="00B15F7D" w:rsidRPr="00990FB6" w:rsidRDefault="00B15F7D" w:rsidP="00B15F7D">
            <w:pPr>
              <w:jc w:val="center"/>
              <w:rPr>
                <w:sz w:val="22"/>
                <w:szCs w:val="22"/>
              </w:rPr>
            </w:pPr>
            <w:r w:rsidRPr="00990FB6">
              <w:rPr>
                <w:sz w:val="22"/>
                <w:szCs w:val="22"/>
              </w:rPr>
              <w:t>1</w:t>
            </w:r>
          </w:p>
        </w:tc>
      </w:tr>
      <w:tr w:rsidR="00B15F7D" w:rsidRPr="00990FB6" w14:paraId="09E46947" w14:textId="77777777" w:rsidTr="000A0C22">
        <w:trPr>
          <w:jc w:val="center"/>
        </w:trPr>
        <w:tc>
          <w:tcPr>
            <w:tcW w:w="0" w:type="auto"/>
          </w:tcPr>
          <w:p w14:paraId="50FA1C89" w14:textId="77777777" w:rsidR="00B15F7D" w:rsidRPr="00990FB6" w:rsidRDefault="00B15F7D" w:rsidP="00B15F7D">
            <w:pPr>
              <w:numPr>
                <w:ilvl w:val="0"/>
                <w:numId w:val="180"/>
              </w:numPr>
              <w:jc w:val="both"/>
              <w:rPr>
                <w:sz w:val="22"/>
                <w:szCs w:val="22"/>
              </w:rPr>
            </w:pPr>
            <w:r w:rsidRPr="00990FB6">
              <w:rPr>
                <w:sz w:val="22"/>
                <w:szCs w:val="22"/>
              </w:rPr>
              <w:t>Fiscalía de Turrialba</w:t>
            </w:r>
          </w:p>
        </w:tc>
        <w:tc>
          <w:tcPr>
            <w:tcW w:w="0" w:type="auto"/>
          </w:tcPr>
          <w:p w14:paraId="26258ECF" w14:textId="77777777" w:rsidR="00B15F7D" w:rsidRPr="00990FB6" w:rsidRDefault="00B15F7D" w:rsidP="00B15F7D">
            <w:pPr>
              <w:jc w:val="center"/>
              <w:rPr>
                <w:sz w:val="22"/>
                <w:szCs w:val="22"/>
              </w:rPr>
            </w:pPr>
            <w:r w:rsidRPr="00990FB6">
              <w:rPr>
                <w:sz w:val="22"/>
                <w:szCs w:val="22"/>
              </w:rPr>
              <w:t>1</w:t>
            </w:r>
          </w:p>
        </w:tc>
      </w:tr>
      <w:tr w:rsidR="00B15F7D" w:rsidRPr="00990FB6" w14:paraId="6C8424F5" w14:textId="77777777" w:rsidTr="000A0C22">
        <w:trPr>
          <w:jc w:val="center"/>
        </w:trPr>
        <w:tc>
          <w:tcPr>
            <w:tcW w:w="0" w:type="auto"/>
          </w:tcPr>
          <w:p w14:paraId="1AA7869D" w14:textId="77777777" w:rsidR="00B15F7D" w:rsidRPr="00990FB6" w:rsidRDefault="00B15F7D" w:rsidP="00B15F7D">
            <w:pPr>
              <w:numPr>
                <w:ilvl w:val="0"/>
                <w:numId w:val="180"/>
              </w:numPr>
              <w:jc w:val="both"/>
              <w:rPr>
                <w:sz w:val="22"/>
                <w:szCs w:val="22"/>
              </w:rPr>
            </w:pPr>
            <w:r w:rsidRPr="00990FB6">
              <w:rPr>
                <w:sz w:val="22"/>
                <w:szCs w:val="22"/>
              </w:rPr>
              <w:t>Fiscalía de Grecia</w:t>
            </w:r>
          </w:p>
        </w:tc>
        <w:tc>
          <w:tcPr>
            <w:tcW w:w="0" w:type="auto"/>
          </w:tcPr>
          <w:p w14:paraId="27E3E2E5" w14:textId="77777777" w:rsidR="00B15F7D" w:rsidRPr="00990FB6" w:rsidRDefault="00B15F7D" w:rsidP="00B15F7D">
            <w:pPr>
              <w:jc w:val="center"/>
              <w:rPr>
                <w:sz w:val="22"/>
                <w:szCs w:val="22"/>
              </w:rPr>
            </w:pPr>
            <w:r w:rsidRPr="00990FB6">
              <w:rPr>
                <w:sz w:val="22"/>
                <w:szCs w:val="22"/>
              </w:rPr>
              <w:t>1</w:t>
            </w:r>
          </w:p>
        </w:tc>
      </w:tr>
      <w:tr w:rsidR="00B15F7D" w:rsidRPr="00990FB6" w14:paraId="0CB87DB8" w14:textId="77777777" w:rsidTr="000A0C22">
        <w:trPr>
          <w:jc w:val="center"/>
        </w:trPr>
        <w:tc>
          <w:tcPr>
            <w:tcW w:w="0" w:type="auto"/>
          </w:tcPr>
          <w:p w14:paraId="248ACCEE" w14:textId="77777777" w:rsidR="00B15F7D" w:rsidRPr="00990FB6" w:rsidRDefault="00B15F7D" w:rsidP="00B15F7D">
            <w:pPr>
              <w:numPr>
                <w:ilvl w:val="0"/>
                <w:numId w:val="180"/>
              </w:numPr>
              <w:jc w:val="both"/>
              <w:rPr>
                <w:sz w:val="22"/>
                <w:szCs w:val="22"/>
              </w:rPr>
            </w:pPr>
            <w:r w:rsidRPr="00990FB6">
              <w:rPr>
                <w:sz w:val="22"/>
                <w:szCs w:val="22"/>
              </w:rPr>
              <w:t>Fiscalía de Cañas</w:t>
            </w:r>
          </w:p>
        </w:tc>
        <w:tc>
          <w:tcPr>
            <w:tcW w:w="0" w:type="auto"/>
          </w:tcPr>
          <w:p w14:paraId="7BE49F19" w14:textId="77777777" w:rsidR="00B15F7D" w:rsidRPr="00990FB6" w:rsidRDefault="00B15F7D" w:rsidP="00B15F7D">
            <w:pPr>
              <w:jc w:val="center"/>
              <w:rPr>
                <w:sz w:val="22"/>
                <w:szCs w:val="22"/>
              </w:rPr>
            </w:pPr>
            <w:r w:rsidRPr="00990FB6">
              <w:rPr>
                <w:sz w:val="22"/>
                <w:szCs w:val="22"/>
              </w:rPr>
              <w:t>1</w:t>
            </w:r>
          </w:p>
        </w:tc>
      </w:tr>
      <w:tr w:rsidR="00B15F7D" w:rsidRPr="00990FB6" w14:paraId="1D198671" w14:textId="77777777" w:rsidTr="000A0C22">
        <w:trPr>
          <w:jc w:val="center"/>
        </w:trPr>
        <w:tc>
          <w:tcPr>
            <w:tcW w:w="0" w:type="auto"/>
          </w:tcPr>
          <w:p w14:paraId="1CBBA43C" w14:textId="77777777" w:rsidR="00B15F7D" w:rsidRPr="00990FB6" w:rsidRDefault="00B15F7D" w:rsidP="00B15F7D">
            <w:pPr>
              <w:numPr>
                <w:ilvl w:val="0"/>
                <w:numId w:val="180"/>
              </w:numPr>
              <w:jc w:val="both"/>
              <w:rPr>
                <w:sz w:val="22"/>
                <w:szCs w:val="22"/>
              </w:rPr>
            </w:pPr>
            <w:r w:rsidRPr="00990FB6">
              <w:rPr>
                <w:sz w:val="22"/>
                <w:szCs w:val="22"/>
              </w:rPr>
              <w:t>Fiscalía de Quepos</w:t>
            </w:r>
          </w:p>
        </w:tc>
        <w:tc>
          <w:tcPr>
            <w:tcW w:w="0" w:type="auto"/>
          </w:tcPr>
          <w:p w14:paraId="65984199" w14:textId="77777777" w:rsidR="00B15F7D" w:rsidRPr="00990FB6" w:rsidRDefault="00B15F7D" w:rsidP="00B15F7D">
            <w:pPr>
              <w:jc w:val="center"/>
              <w:rPr>
                <w:sz w:val="22"/>
                <w:szCs w:val="22"/>
              </w:rPr>
            </w:pPr>
            <w:r w:rsidRPr="00990FB6">
              <w:rPr>
                <w:sz w:val="22"/>
                <w:szCs w:val="22"/>
              </w:rPr>
              <w:t>1</w:t>
            </w:r>
          </w:p>
        </w:tc>
      </w:tr>
      <w:tr w:rsidR="00B15F7D" w:rsidRPr="00990FB6" w14:paraId="6C7ACDD7" w14:textId="77777777" w:rsidTr="000A0C22">
        <w:trPr>
          <w:jc w:val="center"/>
        </w:trPr>
        <w:tc>
          <w:tcPr>
            <w:tcW w:w="0" w:type="auto"/>
          </w:tcPr>
          <w:p w14:paraId="77475A30" w14:textId="77777777" w:rsidR="00B15F7D" w:rsidRPr="00990FB6" w:rsidRDefault="00B15F7D" w:rsidP="00B15F7D">
            <w:pPr>
              <w:numPr>
                <w:ilvl w:val="0"/>
                <w:numId w:val="180"/>
              </w:numPr>
              <w:jc w:val="both"/>
              <w:rPr>
                <w:sz w:val="22"/>
                <w:szCs w:val="22"/>
              </w:rPr>
            </w:pPr>
            <w:r w:rsidRPr="00990FB6">
              <w:rPr>
                <w:sz w:val="22"/>
                <w:szCs w:val="22"/>
              </w:rPr>
              <w:t>Fiscalía de Sarapiquí</w:t>
            </w:r>
          </w:p>
        </w:tc>
        <w:tc>
          <w:tcPr>
            <w:tcW w:w="0" w:type="auto"/>
          </w:tcPr>
          <w:p w14:paraId="075BEC09" w14:textId="77777777" w:rsidR="00B15F7D" w:rsidRPr="00990FB6" w:rsidRDefault="00B15F7D" w:rsidP="00B15F7D">
            <w:pPr>
              <w:jc w:val="center"/>
              <w:rPr>
                <w:sz w:val="22"/>
                <w:szCs w:val="22"/>
              </w:rPr>
            </w:pPr>
            <w:r w:rsidRPr="00990FB6">
              <w:rPr>
                <w:sz w:val="22"/>
                <w:szCs w:val="22"/>
              </w:rPr>
              <w:t>1</w:t>
            </w:r>
          </w:p>
        </w:tc>
      </w:tr>
      <w:tr w:rsidR="00B15F7D" w:rsidRPr="00990FB6" w14:paraId="2B206CDD" w14:textId="77777777" w:rsidTr="000A0C22">
        <w:trPr>
          <w:jc w:val="center"/>
        </w:trPr>
        <w:tc>
          <w:tcPr>
            <w:tcW w:w="0" w:type="auto"/>
          </w:tcPr>
          <w:p w14:paraId="3E379044" w14:textId="77777777" w:rsidR="00B15F7D" w:rsidRPr="00990FB6" w:rsidRDefault="00B15F7D" w:rsidP="00B15F7D">
            <w:pPr>
              <w:numPr>
                <w:ilvl w:val="0"/>
                <w:numId w:val="180"/>
              </w:numPr>
              <w:jc w:val="both"/>
              <w:rPr>
                <w:sz w:val="22"/>
                <w:szCs w:val="22"/>
              </w:rPr>
            </w:pPr>
            <w:r w:rsidRPr="00990FB6">
              <w:rPr>
                <w:sz w:val="22"/>
                <w:szCs w:val="22"/>
              </w:rPr>
              <w:t>Fiscalía de Siquirres</w:t>
            </w:r>
          </w:p>
        </w:tc>
        <w:tc>
          <w:tcPr>
            <w:tcW w:w="0" w:type="auto"/>
          </w:tcPr>
          <w:p w14:paraId="74A64E8D" w14:textId="77777777" w:rsidR="00B15F7D" w:rsidRPr="00990FB6" w:rsidRDefault="00B15F7D" w:rsidP="00B15F7D">
            <w:pPr>
              <w:jc w:val="center"/>
              <w:rPr>
                <w:sz w:val="22"/>
                <w:szCs w:val="22"/>
              </w:rPr>
            </w:pPr>
            <w:r w:rsidRPr="00990FB6">
              <w:rPr>
                <w:sz w:val="22"/>
                <w:szCs w:val="22"/>
              </w:rPr>
              <w:t>1</w:t>
            </w:r>
          </w:p>
        </w:tc>
      </w:tr>
      <w:tr w:rsidR="00B15F7D" w:rsidRPr="00990FB6" w14:paraId="21785FEC" w14:textId="77777777" w:rsidTr="000A0C22">
        <w:trPr>
          <w:jc w:val="center"/>
        </w:trPr>
        <w:tc>
          <w:tcPr>
            <w:tcW w:w="0" w:type="auto"/>
          </w:tcPr>
          <w:p w14:paraId="15FD14A8" w14:textId="77777777" w:rsidR="00B15F7D" w:rsidRPr="00990FB6" w:rsidRDefault="00B15F7D" w:rsidP="00B15F7D">
            <w:pPr>
              <w:numPr>
                <w:ilvl w:val="0"/>
                <w:numId w:val="180"/>
              </w:numPr>
              <w:jc w:val="both"/>
              <w:rPr>
                <w:sz w:val="22"/>
                <w:szCs w:val="22"/>
              </w:rPr>
            </w:pPr>
            <w:r w:rsidRPr="00990FB6">
              <w:rPr>
                <w:sz w:val="22"/>
                <w:szCs w:val="22"/>
              </w:rPr>
              <w:t>Fiscalía de Osa</w:t>
            </w:r>
          </w:p>
        </w:tc>
        <w:tc>
          <w:tcPr>
            <w:tcW w:w="0" w:type="auto"/>
          </w:tcPr>
          <w:p w14:paraId="290E379E" w14:textId="77777777" w:rsidR="00B15F7D" w:rsidRPr="00990FB6" w:rsidRDefault="00B15F7D" w:rsidP="00B15F7D">
            <w:pPr>
              <w:jc w:val="center"/>
              <w:rPr>
                <w:sz w:val="22"/>
                <w:szCs w:val="22"/>
              </w:rPr>
            </w:pPr>
            <w:r w:rsidRPr="00990FB6">
              <w:rPr>
                <w:sz w:val="22"/>
                <w:szCs w:val="22"/>
              </w:rPr>
              <w:t>1</w:t>
            </w:r>
          </w:p>
        </w:tc>
      </w:tr>
      <w:tr w:rsidR="00B15F7D" w:rsidRPr="00990FB6" w14:paraId="7106F1EC" w14:textId="77777777" w:rsidTr="000A0C22">
        <w:trPr>
          <w:jc w:val="center"/>
        </w:trPr>
        <w:tc>
          <w:tcPr>
            <w:tcW w:w="0" w:type="auto"/>
          </w:tcPr>
          <w:p w14:paraId="2204AB11" w14:textId="77777777" w:rsidR="00B15F7D" w:rsidRPr="00990FB6" w:rsidRDefault="00B15F7D" w:rsidP="00B15F7D">
            <w:pPr>
              <w:numPr>
                <w:ilvl w:val="0"/>
                <w:numId w:val="180"/>
              </w:numPr>
              <w:jc w:val="both"/>
              <w:rPr>
                <w:sz w:val="22"/>
                <w:szCs w:val="22"/>
              </w:rPr>
            </w:pPr>
            <w:r w:rsidRPr="00990FB6">
              <w:rPr>
                <w:sz w:val="22"/>
                <w:szCs w:val="22"/>
              </w:rPr>
              <w:t>Fiscalía de La Fortuna</w:t>
            </w:r>
          </w:p>
        </w:tc>
        <w:tc>
          <w:tcPr>
            <w:tcW w:w="0" w:type="auto"/>
          </w:tcPr>
          <w:p w14:paraId="282365D9" w14:textId="77777777" w:rsidR="00B15F7D" w:rsidRPr="00990FB6" w:rsidRDefault="00B15F7D" w:rsidP="00B15F7D">
            <w:pPr>
              <w:jc w:val="center"/>
              <w:rPr>
                <w:sz w:val="22"/>
                <w:szCs w:val="22"/>
              </w:rPr>
            </w:pPr>
            <w:r w:rsidRPr="00990FB6">
              <w:rPr>
                <w:sz w:val="22"/>
                <w:szCs w:val="22"/>
              </w:rPr>
              <w:t>1</w:t>
            </w:r>
          </w:p>
        </w:tc>
      </w:tr>
      <w:tr w:rsidR="00B15F7D" w:rsidRPr="00990FB6" w14:paraId="6CFD6954" w14:textId="77777777" w:rsidTr="000A0C22">
        <w:trPr>
          <w:jc w:val="center"/>
        </w:trPr>
        <w:tc>
          <w:tcPr>
            <w:tcW w:w="0" w:type="auto"/>
          </w:tcPr>
          <w:p w14:paraId="327BDE80" w14:textId="77777777" w:rsidR="00B15F7D" w:rsidRPr="00990FB6" w:rsidRDefault="00B15F7D" w:rsidP="00B15F7D">
            <w:pPr>
              <w:numPr>
                <w:ilvl w:val="0"/>
                <w:numId w:val="180"/>
              </w:numPr>
              <w:jc w:val="both"/>
              <w:rPr>
                <w:sz w:val="22"/>
                <w:szCs w:val="22"/>
              </w:rPr>
            </w:pPr>
            <w:r w:rsidRPr="00990FB6">
              <w:rPr>
                <w:sz w:val="22"/>
                <w:szCs w:val="22"/>
              </w:rPr>
              <w:t xml:space="preserve">Fiscalía de </w:t>
            </w:r>
            <w:proofErr w:type="spellStart"/>
            <w:r w:rsidRPr="00990FB6">
              <w:rPr>
                <w:sz w:val="22"/>
                <w:szCs w:val="22"/>
              </w:rPr>
              <w:t>Bribrí</w:t>
            </w:r>
            <w:proofErr w:type="spellEnd"/>
          </w:p>
        </w:tc>
        <w:tc>
          <w:tcPr>
            <w:tcW w:w="0" w:type="auto"/>
          </w:tcPr>
          <w:p w14:paraId="5513A067" w14:textId="77777777" w:rsidR="00B15F7D" w:rsidRPr="00990FB6" w:rsidRDefault="00B15F7D" w:rsidP="00B15F7D">
            <w:pPr>
              <w:jc w:val="center"/>
              <w:rPr>
                <w:sz w:val="22"/>
                <w:szCs w:val="22"/>
              </w:rPr>
            </w:pPr>
            <w:r w:rsidRPr="00990FB6">
              <w:rPr>
                <w:sz w:val="22"/>
                <w:szCs w:val="22"/>
              </w:rPr>
              <w:t>1</w:t>
            </w:r>
          </w:p>
        </w:tc>
      </w:tr>
      <w:tr w:rsidR="00B15F7D" w:rsidRPr="00990FB6" w14:paraId="4E1109F6" w14:textId="77777777" w:rsidTr="000A0C22">
        <w:trPr>
          <w:jc w:val="center"/>
        </w:trPr>
        <w:tc>
          <w:tcPr>
            <w:tcW w:w="0" w:type="auto"/>
          </w:tcPr>
          <w:p w14:paraId="50BEBA85" w14:textId="77777777" w:rsidR="00B15F7D" w:rsidRPr="00990FB6" w:rsidRDefault="00B15F7D" w:rsidP="00B15F7D">
            <w:pPr>
              <w:numPr>
                <w:ilvl w:val="0"/>
                <w:numId w:val="180"/>
              </w:numPr>
              <w:jc w:val="both"/>
              <w:rPr>
                <w:sz w:val="22"/>
                <w:szCs w:val="22"/>
              </w:rPr>
            </w:pPr>
            <w:r w:rsidRPr="00990FB6">
              <w:rPr>
                <w:sz w:val="22"/>
                <w:szCs w:val="22"/>
              </w:rPr>
              <w:t>Fiscalía de Los Chiles</w:t>
            </w:r>
          </w:p>
        </w:tc>
        <w:tc>
          <w:tcPr>
            <w:tcW w:w="0" w:type="auto"/>
          </w:tcPr>
          <w:p w14:paraId="400655A9" w14:textId="77777777" w:rsidR="00B15F7D" w:rsidRPr="00990FB6" w:rsidRDefault="00B15F7D" w:rsidP="00B15F7D">
            <w:pPr>
              <w:jc w:val="center"/>
              <w:rPr>
                <w:sz w:val="22"/>
                <w:szCs w:val="22"/>
              </w:rPr>
            </w:pPr>
            <w:r w:rsidRPr="00990FB6">
              <w:rPr>
                <w:sz w:val="22"/>
                <w:szCs w:val="22"/>
              </w:rPr>
              <w:t>1</w:t>
            </w:r>
          </w:p>
        </w:tc>
      </w:tr>
      <w:tr w:rsidR="00B15F7D" w:rsidRPr="00990FB6" w14:paraId="7F178736" w14:textId="77777777" w:rsidTr="000A0C22">
        <w:trPr>
          <w:jc w:val="center"/>
        </w:trPr>
        <w:tc>
          <w:tcPr>
            <w:tcW w:w="0" w:type="auto"/>
          </w:tcPr>
          <w:p w14:paraId="7EB80CD6" w14:textId="77777777" w:rsidR="00B15F7D" w:rsidRPr="00990FB6" w:rsidRDefault="00B15F7D" w:rsidP="00B15F7D">
            <w:pPr>
              <w:numPr>
                <w:ilvl w:val="0"/>
                <w:numId w:val="180"/>
              </w:numPr>
              <w:jc w:val="both"/>
              <w:rPr>
                <w:sz w:val="22"/>
                <w:szCs w:val="22"/>
              </w:rPr>
            </w:pPr>
            <w:r w:rsidRPr="00990FB6">
              <w:rPr>
                <w:sz w:val="22"/>
                <w:szCs w:val="22"/>
              </w:rPr>
              <w:t>Fiscalía de Guatuso</w:t>
            </w:r>
          </w:p>
        </w:tc>
        <w:tc>
          <w:tcPr>
            <w:tcW w:w="0" w:type="auto"/>
          </w:tcPr>
          <w:p w14:paraId="75D17236" w14:textId="77777777" w:rsidR="00B15F7D" w:rsidRPr="00990FB6" w:rsidRDefault="00B15F7D" w:rsidP="00B15F7D">
            <w:pPr>
              <w:jc w:val="center"/>
              <w:rPr>
                <w:sz w:val="22"/>
                <w:szCs w:val="22"/>
              </w:rPr>
            </w:pPr>
            <w:r w:rsidRPr="00990FB6">
              <w:rPr>
                <w:sz w:val="22"/>
                <w:szCs w:val="22"/>
              </w:rPr>
              <w:t>1</w:t>
            </w:r>
          </w:p>
        </w:tc>
      </w:tr>
      <w:tr w:rsidR="00B15F7D" w:rsidRPr="00990FB6" w14:paraId="62E4AD0F" w14:textId="77777777" w:rsidTr="000A0C22">
        <w:trPr>
          <w:jc w:val="center"/>
        </w:trPr>
        <w:tc>
          <w:tcPr>
            <w:tcW w:w="0" w:type="auto"/>
          </w:tcPr>
          <w:p w14:paraId="44AB1DB9" w14:textId="77777777" w:rsidR="00B15F7D" w:rsidRPr="00990FB6" w:rsidRDefault="00B15F7D" w:rsidP="00B15F7D">
            <w:pPr>
              <w:ind w:left="720"/>
              <w:contextualSpacing/>
              <w:jc w:val="center"/>
              <w:rPr>
                <w:b/>
                <w:bCs/>
                <w:sz w:val="22"/>
                <w:szCs w:val="22"/>
              </w:rPr>
            </w:pPr>
            <w:r w:rsidRPr="00990FB6">
              <w:rPr>
                <w:b/>
                <w:bCs/>
                <w:sz w:val="22"/>
                <w:szCs w:val="22"/>
              </w:rPr>
              <w:t>Total</w:t>
            </w:r>
          </w:p>
        </w:tc>
        <w:tc>
          <w:tcPr>
            <w:tcW w:w="0" w:type="auto"/>
          </w:tcPr>
          <w:p w14:paraId="73A02CD4" w14:textId="77777777" w:rsidR="00B15F7D" w:rsidRPr="00990FB6" w:rsidRDefault="00B15F7D" w:rsidP="00B15F7D">
            <w:pPr>
              <w:jc w:val="center"/>
              <w:rPr>
                <w:b/>
                <w:bCs/>
                <w:sz w:val="22"/>
                <w:szCs w:val="22"/>
              </w:rPr>
            </w:pPr>
            <w:r w:rsidRPr="00990FB6">
              <w:rPr>
                <w:b/>
                <w:bCs/>
                <w:sz w:val="22"/>
                <w:szCs w:val="22"/>
              </w:rPr>
              <w:t>22</w:t>
            </w:r>
          </w:p>
        </w:tc>
      </w:tr>
    </w:tbl>
    <w:bookmarkEnd w:id="44"/>
    <w:p w14:paraId="79D015F3" w14:textId="77777777" w:rsidR="00B15F7D" w:rsidRPr="00990FB6" w:rsidRDefault="00B15F7D" w:rsidP="00B15F7D">
      <w:pPr>
        <w:ind w:left="851" w:right="851" w:firstLine="709"/>
        <w:jc w:val="both"/>
        <w:rPr>
          <w:b/>
          <w:bCs/>
          <w:sz w:val="22"/>
          <w:szCs w:val="22"/>
        </w:rPr>
      </w:pPr>
      <w:r w:rsidRPr="00990FB6">
        <w:rPr>
          <w:b/>
          <w:bCs/>
          <w:sz w:val="22"/>
          <w:szCs w:val="22"/>
        </w:rPr>
        <w:t>Fuente: Elaborado por el Subproceso de Modernización Institucional Área Penal.</w:t>
      </w:r>
    </w:p>
    <w:p w14:paraId="3EE714FF" w14:textId="77777777" w:rsidR="00B15F7D" w:rsidRPr="00990FB6" w:rsidRDefault="00B15F7D" w:rsidP="00B15F7D">
      <w:pPr>
        <w:ind w:left="851" w:right="851" w:firstLine="709"/>
        <w:jc w:val="both"/>
        <w:rPr>
          <w:sz w:val="22"/>
          <w:szCs w:val="22"/>
        </w:rPr>
      </w:pPr>
    </w:p>
    <w:p w14:paraId="421D4F15" w14:textId="77777777" w:rsidR="00B15F7D" w:rsidRPr="00990FB6" w:rsidRDefault="00B15F7D" w:rsidP="00B15F7D">
      <w:pPr>
        <w:ind w:left="851" w:right="851" w:firstLine="709"/>
        <w:jc w:val="both"/>
        <w:rPr>
          <w:b/>
          <w:bCs/>
          <w:sz w:val="22"/>
          <w:szCs w:val="22"/>
          <w:u w:val="single"/>
        </w:rPr>
      </w:pPr>
      <w:r w:rsidRPr="00990FB6">
        <w:rPr>
          <w:b/>
          <w:bCs/>
          <w:sz w:val="22"/>
          <w:szCs w:val="22"/>
          <w:u w:val="single"/>
        </w:rPr>
        <w:t>Personal fiscal auxiliar requerido con estudio técnico de la Dirección de Planificación</w:t>
      </w:r>
    </w:p>
    <w:p w14:paraId="796FA74D" w14:textId="77777777" w:rsidR="00B15F7D" w:rsidRPr="00990FB6" w:rsidRDefault="00B15F7D" w:rsidP="00B15F7D">
      <w:pPr>
        <w:ind w:left="851" w:right="851" w:firstLine="709"/>
        <w:jc w:val="both"/>
        <w:rPr>
          <w:sz w:val="22"/>
          <w:szCs w:val="22"/>
        </w:rPr>
      </w:pPr>
    </w:p>
    <w:tbl>
      <w:tblPr>
        <w:tblStyle w:val="Tablaconcuadrcula"/>
        <w:tblW w:w="0" w:type="auto"/>
        <w:jc w:val="center"/>
        <w:tblLook w:val="04A0" w:firstRow="1" w:lastRow="0" w:firstColumn="1" w:lastColumn="0" w:noHBand="0" w:noVBand="1"/>
      </w:tblPr>
      <w:tblGrid>
        <w:gridCol w:w="2190"/>
        <w:gridCol w:w="2081"/>
      </w:tblGrid>
      <w:tr w:rsidR="00B15F7D" w:rsidRPr="00990FB6" w14:paraId="4649A99A" w14:textId="77777777" w:rsidTr="000A0C22">
        <w:trPr>
          <w:jc w:val="center"/>
        </w:trPr>
        <w:tc>
          <w:tcPr>
            <w:tcW w:w="0" w:type="auto"/>
          </w:tcPr>
          <w:p w14:paraId="4B722A89" w14:textId="77777777" w:rsidR="00B15F7D" w:rsidRPr="00990FB6" w:rsidRDefault="00B15F7D" w:rsidP="00B15F7D">
            <w:pPr>
              <w:jc w:val="center"/>
              <w:rPr>
                <w:sz w:val="22"/>
                <w:szCs w:val="22"/>
              </w:rPr>
            </w:pPr>
            <w:r w:rsidRPr="00990FB6">
              <w:rPr>
                <w:b/>
                <w:bCs/>
                <w:sz w:val="22"/>
                <w:szCs w:val="22"/>
              </w:rPr>
              <w:t>Oficina</w:t>
            </w:r>
          </w:p>
        </w:tc>
        <w:tc>
          <w:tcPr>
            <w:tcW w:w="0" w:type="auto"/>
          </w:tcPr>
          <w:p w14:paraId="75D6A375" w14:textId="77777777" w:rsidR="00B15F7D" w:rsidRPr="00990FB6" w:rsidRDefault="00B15F7D" w:rsidP="00B15F7D">
            <w:pPr>
              <w:jc w:val="center"/>
              <w:rPr>
                <w:sz w:val="22"/>
                <w:szCs w:val="22"/>
              </w:rPr>
            </w:pPr>
            <w:r w:rsidRPr="00990FB6">
              <w:rPr>
                <w:b/>
                <w:bCs/>
                <w:sz w:val="22"/>
                <w:szCs w:val="22"/>
              </w:rPr>
              <w:t>Cantidad requerida</w:t>
            </w:r>
          </w:p>
        </w:tc>
      </w:tr>
      <w:tr w:rsidR="00B15F7D" w:rsidRPr="00990FB6" w14:paraId="04A1F653" w14:textId="77777777" w:rsidTr="000A0C22">
        <w:trPr>
          <w:jc w:val="center"/>
        </w:trPr>
        <w:tc>
          <w:tcPr>
            <w:tcW w:w="0" w:type="auto"/>
          </w:tcPr>
          <w:p w14:paraId="12FC5A94" w14:textId="77777777" w:rsidR="00B15F7D" w:rsidRPr="00990FB6" w:rsidRDefault="00B15F7D" w:rsidP="00B15F7D">
            <w:pPr>
              <w:rPr>
                <w:sz w:val="22"/>
                <w:szCs w:val="22"/>
              </w:rPr>
            </w:pPr>
            <w:r w:rsidRPr="00990FB6">
              <w:rPr>
                <w:sz w:val="22"/>
                <w:szCs w:val="22"/>
              </w:rPr>
              <w:t>Fiscalía de Santa Cruz</w:t>
            </w:r>
          </w:p>
        </w:tc>
        <w:tc>
          <w:tcPr>
            <w:tcW w:w="0" w:type="auto"/>
          </w:tcPr>
          <w:p w14:paraId="762BAD3D" w14:textId="77777777" w:rsidR="00B15F7D" w:rsidRPr="00990FB6" w:rsidRDefault="00B15F7D" w:rsidP="00B15F7D">
            <w:pPr>
              <w:jc w:val="center"/>
              <w:rPr>
                <w:sz w:val="22"/>
                <w:szCs w:val="22"/>
              </w:rPr>
            </w:pPr>
            <w:r w:rsidRPr="00990FB6">
              <w:rPr>
                <w:sz w:val="22"/>
                <w:szCs w:val="22"/>
              </w:rPr>
              <w:t>3</w:t>
            </w:r>
          </w:p>
        </w:tc>
      </w:tr>
      <w:tr w:rsidR="00B15F7D" w:rsidRPr="00990FB6" w14:paraId="632FCD3F" w14:textId="77777777" w:rsidTr="000A0C22">
        <w:trPr>
          <w:jc w:val="center"/>
        </w:trPr>
        <w:tc>
          <w:tcPr>
            <w:tcW w:w="0" w:type="auto"/>
          </w:tcPr>
          <w:p w14:paraId="547376B0" w14:textId="77777777" w:rsidR="00B15F7D" w:rsidRPr="00990FB6" w:rsidRDefault="00B15F7D" w:rsidP="00B15F7D">
            <w:pPr>
              <w:jc w:val="center"/>
              <w:rPr>
                <w:sz w:val="22"/>
                <w:szCs w:val="22"/>
              </w:rPr>
            </w:pPr>
            <w:r w:rsidRPr="00990FB6">
              <w:rPr>
                <w:b/>
                <w:bCs/>
                <w:sz w:val="22"/>
                <w:szCs w:val="22"/>
              </w:rPr>
              <w:t>Total</w:t>
            </w:r>
          </w:p>
        </w:tc>
        <w:tc>
          <w:tcPr>
            <w:tcW w:w="0" w:type="auto"/>
          </w:tcPr>
          <w:p w14:paraId="6C9D220A" w14:textId="77777777" w:rsidR="00B15F7D" w:rsidRPr="00990FB6" w:rsidRDefault="00B15F7D" w:rsidP="00B15F7D">
            <w:pPr>
              <w:jc w:val="center"/>
              <w:rPr>
                <w:sz w:val="22"/>
                <w:szCs w:val="22"/>
              </w:rPr>
            </w:pPr>
            <w:r w:rsidRPr="00990FB6">
              <w:rPr>
                <w:sz w:val="22"/>
                <w:szCs w:val="22"/>
              </w:rPr>
              <w:t>3</w:t>
            </w:r>
          </w:p>
        </w:tc>
      </w:tr>
    </w:tbl>
    <w:p w14:paraId="3BE1CE37" w14:textId="77777777" w:rsidR="00B15F7D" w:rsidRPr="00990FB6" w:rsidRDefault="00B15F7D" w:rsidP="00B15F7D">
      <w:pPr>
        <w:ind w:left="851" w:right="851" w:firstLine="709"/>
        <w:jc w:val="both"/>
        <w:rPr>
          <w:b/>
          <w:bCs/>
          <w:sz w:val="22"/>
          <w:szCs w:val="22"/>
        </w:rPr>
      </w:pPr>
      <w:r w:rsidRPr="00990FB6">
        <w:rPr>
          <w:b/>
          <w:bCs/>
          <w:sz w:val="22"/>
          <w:szCs w:val="22"/>
        </w:rPr>
        <w:lastRenderedPageBreak/>
        <w:t>Fuente: Elaborado por el Subproceso de Modernización Institucional Área Penal.</w:t>
      </w:r>
    </w:p>
    <w:p w14:paraId="60B0F623" w14:textId="77777777" w:rsidR="00B15F7D" w:rsidRPr="00990FB6" w:rsidRDefault="00B15F7D" w:rsidP="00B15F7D">
      <w:pPr>
        <w:ind w:left="851" w:right="851" w:firstLine="709"/>
        <w:jc w:val="both"/>
        <w:rPr>
          <w:b/>
          <w:bCs/>
          <w:sz w:val="22"/>
          <w:szCs w:val="22"/>
        </w:rPr>
      </w:pPr>
    </w:p>
    <w:p w14:paraId="7FDF749A" w14:textId="77777777" w:rsidR="00B15F7D" w:rsidRPr="00990FB6" w:rsidRDefault="00B15F7D" w:rsidP="00B15F7D">
      <w:pPr>
        <w:ind w:left="851" w:right="851" w:firstLine="709"/>
        <w:jc w:val="both"/>
        <w:rPr>
          <w:b/>
          <w:bCs/>
          <w:sz w:val="22"/>
          <w:szCs w:val="22"/>
        </w:rPr>
      </w:pPr>
      <w:r w:rsidRPr="00990FB6">
        <w:rPr>
          <w:b/>
          <w:bCs/>
          <w:sz w:val="22"/>
          <w:szCs w:val="22"/>
        </w:rPr>
        <w:t>Personal técnico judicial requerido con estudio de la Dirección de Planificación</w:t>
      </w:r>
    </w:p>
    <w:p w14:paraId="3A893A9F" w14:textId="77777777" w:rsidR="00B15F7D" w:rsidRPr="00990FB6" w:rsidRDefault="00B15F7D" w:rsidP="00B15F7D">
      <w:pPr>
        <w:ind w:left="851" w:right="851" w:firstLine="709"/>
        <w:jc w:val="both"/>
        <w:rPr>
          <w:b/>
          <w:bCs/>
          <w:sz w:val="22"/>
          <w:szCs w:val="22"/>
        </w:rPr>
      </w:pPr>
    </w:p>
    <w:tbl>
      <w:tblPr>
        <w:tblStyle w:val="Tablaconcuadrcula"/>
        <w:tblW w:w="0" w:type="auto"/>
        <w:jc w:val="center"/>
        <w:tblLook w:val="04A0" w:firstRow="1" w:lastRow="0" w:firstColumn="1" w:lastColumn="0" w:noHBand="0" w:noVBand="1"/>
      </w:tblPr>
      <w:tblGrid>
        <w:gridCol w:w="6711"/>
        <w:gridCol w:w="2081"/>
      </w:tblGrid>
      <w:tr w:rsidR="00B15F7D" w:rsidRPr="00990FB6" w14:paraId="2AE15B09" w14:textId="77777777" w:rsidTr="000A0C22">
        <w:trPr>
          <w:jc w:val="center"/>
        </w:trPr>
        <w:tc>
          <w:tcPr>
            <w:tcW w:w="0" w:type="auto"/>
          </w:tcPr>
          <w:p w14:paraId="3D9AB736" w14:textId="77777777" w:rsidR="00B15F7D" w:rsidRPr="00990FB6" w:rsidRDefault="00B15F7D" w:rsidP="00B15F7D">
            <w:pPr>
              <w:jc w:val="center"/>
              <w:rPr>
                <w:sz w:val="22"/>
                <w:szCs w:val="22"/>
              </w:rPr>
            </w:pPr>
            <w:r w:rsidRPr="00990FB6">
              <w:rPr>
                <w:b/>
                <w:bCs/>
                <w:sz w:val="22"/>
                <w:szCs w:val="22"/>
              </w:rPr>
              <w:t>Oficina</w:t>
            </w:r>
          </w:p>
        </w:tc>
        <w:tc>
          <w:tcPr>
            <w:tcW w:w="0" w:type="auto"/>
          </w:tcPr>
          <w:p w14:paraId="73735719" w14:textId="77777777" w:rsidR="00B15F7D" w:rsidRPr="00990FB6" w:rsidRDefault="00B15F7D" w:rsidP="00B15F7D">
            <w:pPr>
              <w:jc w:val="center"/>
              <w:rPr>
                <w:sz w:val="22"/>
                <w:szCs w:val="22"/>
              </w:rPr>
            </w:pPr>
            <w:r w:rsidRPr="00990FB6">
              <w:rPr>
                <w:b/>
                <w:bCs/>
                <w:sz w:val="22"/>
                <w:szCs w:val="22"/>
              </w:rPr>
              <w:t>Cantidad requerida</w:t>
            </w:r>
          </w:p>
        </w:tc>
      </w:tr>
      <w:tr w:rsidR="00B15F7D" w:rsidRPr="00990FB6" w14:paraId="208992F2" w14:textId="77777777" w:rsidTr="000A0C22">
        <w:trPr>
          <w:jc w:val="center"/>
        </w:trPr>
        <w:tc>
          <w:tcPr>
            <w:tcW w:w="0" w:type="auto"/>
          </w:tcPr>
          <w:p w14:paraId="226E32FA" w14:textId="77777777" w:rsidR="00B15F7D" w:rsidRPr="00990FB6" w:rsidRDefault="00B15F7D" w:rsidP="00B15F7D">
            <w:pPr>
              <w:rPr>
                <w:sz w:val="22"/>
                <w:szCs w:val="22"/>
              </w:rPr>
            </w:pPr>
            <w:r w:rsidRPr="00990FB6">
              <w:rPr>
                <w:sz w:val="22"/>
                <w:szCs w:val="22"/>
              </w:rPr>
              <w:t>Fiscalía Adjunta de Heredia</w:t>
            </w:r>
          </w:p>
        </w:tc>
        <w:tc>
          <w:tcPr>
            <w:tcW w:w="0" w:type="auto"/>
          </w:tcPr>
          <w:p w14:paraId="78A657F7" w14:textId="77777777" w:rsidR="00B15F7D" w:rsidRPr="00990FB6" w:rsidRDefault="00B15F7D" w:rsidP="00B15F7D">
            <w:pPr>
              <w:jc w:val="center"/>
              <w:rPr>
                <w:sz w:val="22"/>
                <w:szCs w:val="22"/>
              </w:rPr>
            </w:pPr>
            <w:r w:rsidRPr="00990FB6">
              <w:rPr>
                <w:sz w:val="22"/>
                <w:szCs w:val="22"/>
              </w:rPr>
              <w:t>1</w:t>
            </w:r>
          </w:p>
        </w:tc>
      </w:tr>
      <w:tr w:rsidR="00B15F7D" w:rsidRPr="00990FB6" w14:paraId="0E9957B8" w14:textId="77777777" w:rsidTr="000A0C22">
        <w:trPr>
          <w:jc w:val="center"/>
        </w:trPr>
        <w:tc>
          <w:tcPr>
            <w:tcW w:w="0" w:type="auto"/>
          </w:tcPr>
          <w:p w14:paraId="58D71D43" w14:textId="77777777" w:rsidR="00B15F7D" w:rsidRPr="00990FB6" w:rsidRDefault="00B15F7D" w:rsidP="00B15F7D">
            <w:pPr>
              <w:rPr>
                <w:sz w:val="22"/>
                <w:szCs w:val="22"/>
              </w:rPr>
            </w:pPr>
            <w:r w:rsidRPr="00990FB6">
              <w:rPr>
                <w:sz w:val="22"/>
                <w:szCs w:val="22"/>
              </w:rPr>
              <w:t>Fiscalía de Hatillo</w:t>
            </w:r>
          </w:p>
        </w:tc>
        <w:tc>
          <w:tcPr>
            <w:tcW w:w="0" w:type="auto"/>
          </w:tcPr>
          <w:p w14:paraId="4F8A7AE4" w14:textId="77777777" w:rsidR="00B15F7D" w:rsidRPr="00990FB6" w:rsidRDefault="00B15F7D" w:rsidP="00B15F7D">
            <w:pPr>
              <w:jc w:val="center"/>
              <w:rPr>
                <w:sz w:val="22"/>
                <w:szCs w:val="22"/>
              </w:rPr>
            </w:pPr>
            <w:r w:rsidRPr="00990FB6">
              <w:rPr>
                <w:sz w:val="22"/>
                <w:szCs w:val="22"/>
              </w:rPr>
              <w:t>4</w:t>
            </w:r>
          </w:p>
        </w:tc>
      </w:tr>
      <w:tr w:rsidR="00B15F7D" w:rsidRPr="00990FB6" w14:paraId="0BFEE7C8" w14:textId="77777777" w:rsidTr="000A0C22">
        <w:trPr>
          <w:jc w:val="center"/>
        </w:trPr>
        <w:tc>
          <w:tcPr>
            <w:tcW w:w="0" w:type="auto"/>
          </w:tcPr>
          <w:p w14:paraId="2BC6EDFC" w14:textId="77777777" w:rsidR="00B15F7D" w:rsidRPr="00990FB6" w:rsidRDefault="00B15F7D" w:rsidP="00B15F7D">
            <w:pPr>
              <w:rPr>
                <w:sz w:val="22"/>
                <w:szCs w:val="22"/>
              </w:rPr>
            </w:pPr>
            <w:r w:rsidRPr="00990FB6">
              <w:rPr>
                <w:sz w:val="22"/>
                <w:szCs w:val="22"/>
              </w:rPr>
              <w:t>Fiscalía Adjunta del Tercer Circuito Judicial de San José (Desamparados)</w:t>
            </w:r>
          </w:p>
        </w:tc>
        <w:tc>
          <w:tcPr>
            <w:tcW w:w="0" w:type="auto"/>
          </w:tcPr>
          <w:p w14:paraId="09A4A29C" w14:textId="77777777" w:rsidR="00B15F7D" w:rsidRPr="00990FB6" w:rsidRDefault="00B15F7D" w:rsidP="00B15F7D">
            <w:pPr>
              <w:jc w:val="center"/>
              <w:rPr>
                <w:sz w:val="22"/>
                <w:szCs w:val="22"/>
              </w:rPr>
            </w:pPr>
            <w:r w:rsidRPr="00990FB6">
              <w:rPr>
                <w:sz w:val="22"/>
                <w:szCs w:val="22"/>
              </w:rPr>
              <w:t>1</w:t>
            </w:r>
          </w:p>
        </w:tc>
      </w:tr>
      <w:tr w:rsidR="00B15F7D" w:rsidRPr="00990FB6" w14:paraId="3530F11C" w14:textId="77777777" w:rsidTr="000A0C22">
        <w:trPr>
          <w:jc w:val="center"/>
        </w:trPr>
        <w:tc>
          <w:tcPr>
            <w:tcW w:w="0" w:type="auto"/>
          </w:tcPr>
          <w:p w14:paraId="4D0EA478" w14:textId="77777777" w:rsidR="00B15F7D" w:rsidRPr="00990FB6" w:rsidRDefault="00B15F7D" w:rsidP="00B15F7D">
            <w:pPr>
              <w:rPr>
                <w:sz w:val="22"/>
                <w:szCs w:val="22"/>
              </w:rPr>
            </w:pPr>
            <w:r w:rsidRPr="00990FB6">
              <w:rPr>
                <w:sz w:val="22"/>
                <w:szCs w:val="22"/>
              </w:rPr>
              <w:t>Fiscalía de Santa Cruz</w:t>
            </w:r>
          </w:p>
        </w:tc>
        <w:tc>
          <w:tcPr>
            <w:tcW w:w="0" w:type="auto"/>
          </w:tcPr>
          <w:p w14:paraId="45C86E01" w14:textId="77777777" w:rsidR="00B15F7D" w:rsidRPr="00990FB6" w:rsidRDefault="00B15F7D" w:rsidP="00B15F7D">
            <w:pPr>
              <w:jc w:val="center"/>
              <w:rPr>
                <w:sz w:val="22"/>
                <w:szCs w:val="22"/>
              </w:rPr>
            </w:pPr>
            <w:r w:rsidRPr="00990FB6">
              <w:rPr>
                <w:sz w:val="22"/>
                <w:szCs w:val="22"/>
              </w:rPr>
              <w:t>2</w:t>
            </w:r>
          </w:p>
        </w:tc>
      </w:tr>
      <w:tr w:rsidR="00B15F7D" w:rsidRPr="00990FB6" w14:paraId="1D115CD5" w14:textId="77777777" w:rsidTr="000A0C22">
        <w:trPr>
          <w:jc w:val="center"/>
        </w:trPr>
        <w:tc>
          <w:tcPr>
            <w:tcW w:w="0" w:type="auto"/>
          </w:tcPr>
          <w:p w14:paraId="319E835C" w14:textId="77777777" w:rsidR="00B15F7D" w:rsidRPr="00990FB6" w:rsidRDefault="00B15F7D" w:rsidP="00B15F7D">
            <w:pPr>
              <w:jc w:val="center"/>
              <w:rPr>
                <w:sz w:val="22"/>
                <w:szCs w:val="22"/>
              </w:rPr>
            </w:pPr>
            <w:r w:rsidRPr="00990FB6">
              <w:rPr>
                <w:b/>
                <w:bCs/>
                <w:sz w:val="22"/>
                <w:szCs w:val="22"/>
              </w:rPr>
              <w:t>Total</w:t>
            </w:r>
          </w:p>
        </w:tc>
        <w:tc>
          <w:tcPr>
            <w:tcW w:w="0" w:type="auto"/>
          </w:tcPr>
          <w:p w14:paraId="29221F23" w14:textId="77777777" w:rsidR="00B15F7D" w:rsidRPr="00990FB6" w:rsidRDefault="00B15F7D" w:rsidP="00B15F7D">
            <w:pPr>
              <w:jc w:val="center"/>
              <w:rPr>
                <w:sz w:val="22"/>
                <w:szCs w:val="22"/>
              </w:rPr>
            </w:pPr>
            <w:r w:rsidRPr="00990FB6">
              <w:rPr>
                <w:sz w:val="22"/>
                <w:szCs w:val="22"/>
              </w:rPr>
              <w:t>8</w:t>
            </w:r>
          </w:p>
        </w:tc>
      </w:tr>
    </w:tbl>
    <w:p w14:paraId="3E23060F" w14:textId="77777777" w:rsidR="00B15F7D" w:rsidRPr="00990FB6" w:rsidRDefault="00B15F7D" w:rsidP="00B15F7D">
      <w:pPr>
        <w:ind w:left="851" w:right="851" w:firstLine="709"/>
        <w:jc w:val="both"/>
        <w:rPr>
          <w:b/>
          <w:bCs/>
          <w:sz w:val="22"/>
          <w:szCs w:val="22"/>
        </w:rPr>
      </w:pPr>
      <w:r w:rsidRPr="00990FB6">
        <w:rPr>
          <w:b/>
          <w:bCs/>
          <w:sz w:val="22"/>
          <w:szCs w:val="22"/>
        </w:rPr>
        <w:t>Fuente: Elaborado por el Subproceso de Modernización Institucional Área Penal.</w:t>
      </w:r>
    </w:p>
    <w:p w14:paraId="60AC4D81" w14:textId="77777777" w:rsidR="00B15F7D" w:rsidRPr="00990FB6" w:rsidRDefault="00B15F7D" w:rsidP="00B15F7D">
      <w:pPr>
        <w:ind w:left="851" w:right="851" w:firstLine="709"/>
        <w:jc w:val="both"/>
        <w:rPr>
          <w:sz w:val="22"/>
          <w:szCs w:val="22"/>
        </w:rPr>
      </w:pPr>
    </w:p>
    <w:p w14:paraId="4D2648D2" w14:textId="77777777" w:rsidR="00B15F7D" w:rsidRPr="00990FB6" w:rsidRDefault="00B15F7D" w:rsidP="00B15F7D">
      <w:pPr>
        <w:ind w:left="851" w:right="851" w:firstLine="709"/>
        <w:jc w:val="both"/>
        <w:rPr>
          <w:sz w:val="22"/>
          <w:szCs w:val="22"/>
        </w:rPr>
      </w:pPr>
      <w:r w:rsidRPr="00990FB6">
        <w:rPr>
          <w:sz w:val="22"/>
          <w:szCs w:val="22"/>
        </w:rPr>
        <w:t>El análisis involucra revisar si deben crearse plazas nuevas o recalificaciones, estas últimas aplicarán en aquellos lugares en los cuales exista una plaza vacante y se cuente con el personal suficiente para soportar la estructura jurisdiccional establecida en el lugar, lo cual quiere decir que con esa recomendación no se está afectando la atención de la etapa preparatoria e intermedia, ni la etapa de juicio.</w:t>
      </w:r>
    </w:p>
    <w:p w14:paraId="50C47CE6" w14:textId="77777777" w:rsidR="00B15F7D" w:rsidRPr="00990FB6" w:rsidRDefault="00B15F7D" w:rsidP="00B15F7D">
      <w:pPr>
        <w:ind w:left="851" w:right="851" w:firstLine="709"/>
        <w:jc w:val="both"/>
        <w:rPr>
          <w:sz w:val="22"/>
          <w:szCs w:val="22"/>
        </w:rPr>
      </w:pPr>
    </w:p>
    <w:p w14:paraId="1CF870E1" w14:textId="77777777" w:rsidR="00B15F7D" w:rsidRPr="00990FB6" w:rsidRDefault="00B15F7D" w:rsidP="00B15F7D">
      <w:pPr>
        <w:ind w:left="851" w:right="851" w:firstLine="709"/>
        <w:jc w:val="both"/>
        <w:rPr>
          <w:sz w:val="22"/>
          <w:szCs w:val="22"/>
        </w:rPr>
      </w:pPr>
      <w:r w:rsidRPr="00990FB6">
        <w:rPr>
          <w:sz w:val="22"/>
          <w:szCs w:val="22"/>
        </w:rPr>
        <w:t>Por otra parte, se contempla también los lugares donde actualmente la estructura se cubre con un permiso con goce de salario para cubrir el faltante en la estructura, con el fin de tener la capacidad para la atención y realización de audiencias y juicios del Ámbito Jurisdiccional o por definir una estructura mínima para mejorar la dirección funcional y atención de casos.</w:t>
      </w:r>
    </w:p>
    <w:p w14:paraId="020F1BBE" w14:textId="77777777" w:rsidR="00B15F7D" w:rsidRPr="00990FB6" w:rsidRDefault="00B15F7D" w:rsidP="00B15F7D">
      <w:pPr>
        <w:ind w:left="851" w:right="851" w:firstLine="709"/>
        <w:jc w:val="both"/>
        <w:rPr>
          <w:sz w:val="22"/>
          <w:szCs w:val="22"/>
        </w:rPr>
      </w:pPr>
    </w:p>
    <w:p w14:paraId="18A7FDC0" w14:textId="77777777" w:rsidR="00B15F7D" w:rsidRPr="00990FB6" w:rsidRDefault="00B15F7D" w:rsidP="00B15F7D">
      <w:pPr>
        <w:ind w:left="851" w:right="851" w:firstLine="709"/>
        <w:jc w:val="both"/>
        <w:rPr>
          <w:sz w:val="22"/>
          <w:szCs w:val="22"/>
        </w:rPr>
      </w:pPr>
      <w:r w:rsidRPr="00990FB6">
        <w:rPr>
          <w:sz w:val="22"/>
          <w:szCs w:val="22"/>
        </w:rPr>
        <w:t>Se hace la observación que la propuesta de fortalecer a las Fiscalías con personal fiscal para la realización de juicios lo que pretende es mejorar la tramitación de dichos despachos, los cuales en muchos casos sacrifican la etapa investigativa por cubrir juicios con su recurso de personal Fiscal Auxiliar, todo eso en procura de presentaciones de requerimiento fiscal de mayor calidad y que exista la correcta dirección funcional de cada causa en pro de una mejor administración de justicia.</w:t>
      </w:r>
    </w:p>
    <w:p w14:paraId="7FBE6B4A" w14:textId="77777777" w:rsidR="00B15F7D" w:rsidRPr="00990FB6" w:rsidRDefault="00B15F7D" w:rsidP="00B15F7D">
      <w:pPr>
        <w:ind w:left="851" w:right="851" w:firstLine="709"/>
        <w:jc w:val="both"/>
        <w:rPr>
          <w:sz w:val="22"/>
          <w:szCs w:val="22"/>
        </w:rPr>
      </w:pPr>
    </w:p>
    <w:p w14:paraId="47270419" w14:textId="77777777" w:rsidR="00B15F7D" w:rsidRPr="00990FB6" w:rsidRDefault="00B15F7D" w:rsidP="00B15F7D">
      <w:pPr>
        <w:ind w:left="851" w:right="851" w:firstLine="709"/>
        <w:jc w:val="both"/>
        <w:rPr>
          <w:sz w:val="22"/>
          <w:szCs w:val="22"/>
        </w:rPr>
      </w:pPr>
      <w:r w:rsidRPr="00990FB6">
        <w:rPr>
          <w:sz w:val="22"/>
          <w:szCs w:val="22"/>
        </w:rPr>
        <w:t>Aunado a lo anterior, también es importante que para tener la cantidad de insumo necesario para alimentar los respectivos tribunales penales del país para la ejecución de juicios, se debe contar con la estructura suficiente en la etapa investigativa que permita el suficiente ingreso de las causas a las instancias posteriores, es por ello que se realiza adicionalmente la valoración sobre la necesidad del personal Fiscal Auxiliar y Técnico Judicial con el fin de robustecer las fiscalías y se asegure la generación de los elementos precisos para la adecuada funcionabilidad según la capacidad operativa instalada en los diferentes tribunales.</w:t>
      </w:r>
    </w:p>
    <w:p w14:paraId="3ED503A1" w14:textId="77777777" w:rsidR="00B15F7D" w:rsidRPr="00990FB6" w:rsidRDefault="00B15F7D" w:rsidP="00B15F7D">
      <w:pPr>
        <w:ind w:left="851" w:right="851" w:firstLine="709"/>
        <w:jc w:val="both"/>
        <w:rPr>
          <w:sz w:val="22"/>
          <w:szCs w:val="22"/>
        </w:rPr>
      </w:pPr>
    </w:p>
    <w:p w14:paraId="0CF91B72" w14:textId="77777777" w:rsidR="00B15F7D" w:rsidRPr="00990FB6" w:rsidRDefault="00B15F7D" w:rsidP="00B15F7D">
      <w:pPr>
        <w:ind w:left="851" w:right="851" w:firstLine="709"/>
        <w:jc w:val="both"/>
        <w:rPr>
          <w:sz w:val="22"/>
          <w:szCs w:val="22"/>
        </w:rPr>
      </w:pPr>
      <w:r w:rsidRPr="00990FB6">
        <w:rPr>
          <w:sz w:val="22"/>
          <w:szCs w:val="22"/>
        </w:rPr>
        <w:t xml:space="preserve">Para concluir con la fundamentación anteriormente descrita, se procedió a realizar la estimación de costos asociados a los requerimientos de personal fiscal del Ministerio Público, por lo que a continuación se muestra dicha estimación de costos </w:t>
      </w:r>
      <w:r w:rsidRPr="00990FB6">
        <w:rPr>
          <w:sz w:val="22"/>
          <w:szCs w:val="22"/>
        </w:rPr>
        <w:lastRenderedPageBreak/>
        <w:t>respecto al recurso humano sugerido y a la dotación de implementos necesarios para desempeñar su función.</w:t>
      </w:r>
    </w:p>
    <w:p w14:paraId="4B9EA3BA" w14:textId="77777777" w:rsidR="00B15F7D" w:rsidRPr="00990FB6" w:rsidRDefault="00B15F7D" w:rsidP="00B15F7D">
      <w:pPr>
        <w:ind w:left="851" w:right="851" w:firstLine="709"/>
        <w:jc w:val="both"/>
        <w:rPr>
          <w:sz w:val="22"/>
          <w:szCs w:val="22"/>
        </w:rPr>
      </w:pPr>
    </w:p>
    <w:p w14:paraId="1FFC0312" w14:textId="77777777" w:rsidR="00B15F7D" w:rsidRPr="00990FB6" w:rsidRDefault="00B15F7D" w:rsidP="00B15F7D">
      <w:pPr>
        <w:ind w:left="851" w:right="851" w:firstLine="709"/>
        <w:jc w:val="both"/>
        <w:rPr>
          <w:b/>
          <w:i/>
          <w:sz w:val="22"/>
          <w:szCs w:val="22"/>
        </w:rPr>
      </w:pPr>
      <w:r w:rsidRPr="00990FB6">
        <w:rPr>
          <w:b/>
          <w:sz w:val="22"/>
          <w:szCs w:val="22"/>
        </w:rPr>
        <w:t xml:space="preserve">Cuadro </w:t>
      </w:r>
      <w:r w:rsidRPr="00990FB6">
        <w:rPr>
          <w:b/>
          <w:i/>
          <w:sz w:val="22"/>
          <w:szCs w:val="22"/>
        </w:rPr>
        <w:fldChar w:fldCharType="begin"/>
      </w:r>
      <w:r w:rsidRPr="00990FB6">
        <w:rPr>
          <w:b/>
          <w:sz w:val="22"/>
          <w:szCs w:val="22"/>
        </w:rPr>
        <w:instrText xml:space="preserve"> SEQ Escenario \* ARABIC </w:instrText>
      </w:r>
      <w:r w:rsidRPr="00990FB6">
        <w:rPr>
          <w:b/>
          <w:i/>
          <w:sz w:val="22"/>
          <w:szCs w:val="22"/>
        </w:rPr>
        <w:fldChar w:fldCharType="separate"/>
      </w:r>
      <w:r w:rsidRPr="00990FB6">
        <w:rPr>
          <w:b/>
          <w:sz w:val="22"/>
          <w:szCs w:val="22"/>
        </w:rPr>
        <w:t>1</w:t>
      </w:r>
      <w:r w:rsidRPr="00990FB6">
        <w:rPr>
          <w:b/>
          <w:i/>
          <w:sz w:val="22"/>
          <w:szCs w:val="22"/>
        </w:rPr>
        <w:fldChar w:fldCharType="end"/>
      </w:r>
    </w:p>
    <w:p w14:paraId="220E7D9E" w14:textId="77777777" w:rsidR="00B15F7D" w:rsidRPr="00990FB6" w:rsidRDefault="00B15F7D" w:rsidP="00B15F7D">
      <w:pPr>
        <w:ind w:left="851" w:right="851" w:firstLine="709"/>
        <w:jc w:val="both"/>
        <w:rPr>
          <w:b/>
          <w:i/>
          <w:sz w:val="22"/>
          <w:szCs w:val="22"/>
        </w:rPr>
      </w:pPr>
    </w:p>
    <w:p w14:paraId="20F5D318" w14:textId="77777777" w:rsidR="00B15F7D" w:rsidRPr="00990FB6" w:rsidRDefault="00B15F7D" w:rsidP="00B15F7D">
      <w:pPr>
        <w:ind w:left="851" w:right="851" w:firstLine="709"/>
        <w:jc w:val="both"/>
        <w:rPr>
          <w:b/>
          <w:sz w:val="22"/>
          <w:szCs w:val="22"/>
        </w:rPr>
      </w:pPr>
      <w:r w:rsidRPr="00990FB6">
        <w:rPr>
          <w:b/>
          <w:sz w:val="22"/>
          <w:szCs w:val="22"/>
        </w:rPr>
        <w:t>Fiscalías del Ministerio Público que ya han sido abordadas y donde se identificó faltante de personal, pero tienen un informe pendiente de enviar o conocer por el Consejo Superior.</w:t>
      </w:r>
    </w:p>
    <w:p w14:paraId="11AFF825" w14:textId="77777777" w:rsidR="00B15F7D" w:rsidRPr="00990FB6" w:rsidRDefault="00B15F7D" w:rsidP="00B15F7D">
      <w:pPr>
        <w:rPr>
          <w:sz w:val="22"/>
          <w:szCs w:val="22"/>
        </w:rPr>
      </w:pPr>
    </w:p>
    <w:p w14:paraId="26CF4E4D" w14:textId="77777777" w:rsidR="00B15F7D" w:rsidRPr="00990FB6" w:rsidRDefault="00B15F7D" w:rsidP="00B15F7D">
      <w:pPr>
        <w:jc w:val="center"/>
        <w:rPr>
          <w:b/>
          <w:bCs/>
          <w:sz w:val="22"/>
          <w:szCs w:val="22"/>
          <w:lang w:eastAsia="es-CR"/>
        </w:rPr>
        <w:sectPr w:rsidR="00B15F7D" w:rsidRPr="00990FB6" w:rsidSect="00FD1E73">
          <w:headerReference w:type="default" r:id="rId129"/>
          <w:pgSz w:w="12242" w:h="15842" w:code="1"/>
          <w:pgMar w:top="719" w:right="1469" w:bottom="2127" w:left="1560" w:header="709" w:footer="747" w:gutter="0"/>
          <w:pgBorders w:offsetFrom="page">
            <w:bottom w:val="single" w:sz="12" w:space="24" w:color="auto"/>
          </w:pgBorders>
          <w:cols w:space="708"/>
          <w:docGrid w:linePitch="360"/>
        </w:sectPr>
      </w:pP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7"/>
        <w:gridCol w:w="926"/>
        <w:gridCol w:w="1055"/>
        <w:gridCol w:w="1165"/>
        <w:gridCol w:w="925"/>
        <w:gridCol w:w="925"/>
        <w:gridCol w:w="1507"/>
        <w:gridCol w:w="952"/>
        <w:gridCol w:w="1311"/>
        <w:gridCol w:w="1164"/>
        <w:gridCol w:w="1507"/>
        <w:gridCol w:w="1038"/>
      </w:tblGrid>
      <w:tr w:rsidR="00B15F7D" w:rsidRPr="00990FB6" w14:paraId="3FCDEBFD" w14:textId="77777777" w:rsidTr="000A0C22">
        <w:trPr>
          <w:trHeight w:val="918"/>
        </w:trPr>
        <w:tc>
          <w:tcPr>
            <w:tcW w:w="666" w:type="pct"/>
            <w:shd w:val="clear" w:color="FFFFFF" w:fill="0B64A0"/>
            <w:noWrap/>
            <w:vAlign w:val="center"/>
            <w:hideMark/>
          </w:tcPr>
          <w:p w14:paraId="79FBB5EA" w14:textId="77777777" w:rsidR="00B15F7D" w:rsidRPr="00990FB6" w:rsidRDefault="00B15F7D" w:rsidP="00B15F7D">
            <w:pPr>
              <w:jc w:val="center"/>
              <w:rPr>
                <w:b/>
                <w:bCs/>
                <w:sz w:val="22"/>
                <w:szCs w:val="22"/>
                <w:lang w:eastAsia="es-CR"/>
              </w:rPr>
            </w:pPr>
            <w:r w:rsidRPr="00990FB6">
              <w:rPr>
                <w:b/>
                <w:bCs/>
                <w:sz w:val="22"/>
                <w:szCs w:val="22"/>
                <w:lang w:eastAsia="es-CR"/>
              </w:rPr>
              <w:lastRenderedPageBreak/>
              <w:t>Despacho Datos 2023</w:t>
            </w:r>
          </w:p>
        </w:tc>
        <w:tc>
          <w:tcPr>
            <w:tcW w:w="321" w:type="pct"/>
            <w:shd w:val="clear" w:color="FFFFFF" w:fill="0B64A0"/>
            <w:vAlign w:val="center"/>
            <w:hideMark/>
          </w:tcPr>
          <w:p w14:paraId="487EB8F6" w14:textId="77777777" w:rsidR="00B15F7D" w:rsidRPr="00990FB6" w:rsidRDefault="00B15F7D" w:rsidP="00B15F7D">
            <w:pPr>
              <w:jc w:val="center"/>
              <w:rPr>
                <w:b/>
                <w:bCs/>
                <w:sz w:val="22"/>
                <w:szCs w:val="22"/>
                <w:lang w:eastAsia="es-CR"/>
              </w:rPr>
            </w:pPr>
            <w:r w:rsidRPr="00990FB6">
              <w:rPr>
                <w:b/>
                <w:bCs/>
                <w:sz w:val="22"/>
                <w:szCs w:val="22"/>
                <w:lang w:eastAsia="es-CR"/>
              </w:rPr>
              <w:t>Cantidad actual de personal fiscal</w:t>
            </w:r>
          </w:p>
        </w:tc>
        <w:tc>
          <w:tcPr>
            <w:tcW w:w="366" w:type="pct"/>
            <w:shd w:val="clear" w:color="FFFFFF" w:fill="0B64A0"/>
            <w:vAlign w:val="center"/>
            <w:hideMark/>
          </w:tcPr>
          <w:p w14:paraId="408A7F06" w14:textId="77777777" w:rsidR="00B15F7D" w:rsidRPr="00990FB6" w:rsidRDefault="00B15F7D" w:rsidP="00B15F7D">
            <w:pPr>
              <w:jc w:val="center"/>
              <w:rPr>
                <w:b/>
                <w:bCs/>
                <w:sz w:val="22"/>
                <w:szCs w:val="22"/>
                <w:lang w:eastAsia="es-CR"/>
              </w:rPr>
            </w:pPr>
            <w:r w:rsidRPr="00990FB6">
              <w:rPr>
                <w:b/>
                <w:bCs/>
                <w:sz w:val="22"/>
                <w:szCs w:val="22"/>
                <w:lang w:eastAsia="es-CR"/>
              </w:rPr>
              <w:t>Secciones Colegiadas actuales</w:t>
            </w:r>
          </w:p>
        </w:tc>
        <w:tc>
          <w:tcPr>
            <w:tcW w:w="404" w:type="pct"/>
            <w:shd w:val="clear" w:color="FFFFFF" w:fill="0B64A0"/>
            <w:vAlign w:val="center"/>
            <w:hideMark/>
          </w:tcPr>
          <w:p w14:paraId="1C37D1DD" w14:textId="77777777" w:rsidR="00B15F7D" w:rsidRPr="00990FB6" w:rsidRDefault="00B15F7D" w:rsidP="00B15F7D">
            <w:pPr>
              <w:jc w:val="center"/>
              <w:rPr>
                <w:b/>
                <w:bCs/>
                <w:sz w:val="22"/>
                <w:szCs w:val="22"/>
                <w:lang w:eastAsia="es-CR"/>
              </w:rPr>
            </w:pPr>
            <w:r w:rsidRPr="00990FB6">
              <w:rPr>
                <w:b/>
                <w:bCs/>
                <w:sz w:val="22"/>
                <w:szCs w:val="22"/>
                <w:lang w:eastAsia="es-CR"/>
              </w:rPr>
              <w:t>Secciones Unipersonal actuales</w:t>
            </w:r>
          </w:p>
        </w:tc>
        <w:tc>
          <w:tcPr>
            <w:tcW w:w="321" w:type="pct"/>
            <w:shd w:val="clear" w:color="FFFFFF" w:fill="0B64A0"/>
            <w:vAlign w:val="center"/>
            <w:hideMark/>
          </w:tcPr>
          <w:p w14:paraId="247AC61B" w14:textId="77777777" w:rsidR="00B15F7D" w:rsidRPr="00990FB6" w:rsidRDefault="00B15F7D" w:rsidP="00B15F7D">
            <w:pPr>
              <w:jc w:val="center"/>
              <w:rPr>
                <w:b/>
                <w:bCs/>
                <w:sz w:val="22"/>
                <w:szCs w:val="22"/>
                <w:lang w:eastAsia="es-CR"/>
              </w:rPr>
            </w:pPr>
            <w:r w:rsidRPr="00990FB6">
              <w:rPr>
                <w:b/>
                <w:bCs/>
                <w:sz w:val="22"/>
                <w:szCs w:val="22"/>
                <w:lang w:eastAsia="es-CR"/>
              </w:rPr>
              <w:t>Cantidad de personal fiscal nuevo</w:t>
            </w:r>
          </w:p>
        </w:tc>
        <w:tc>
          <w:tcPr>
            <w:tcW w:w="321" w:type="pct"/>
            <w:shd w:val="clear" w:color="FFFFFF" w:fill="0B64A0"/>
            <w:vAlign w:val="center"/>
          </w:tcPr>
          <w:p w14:paraId="150EC3D7" w14:textId="77777777" w:rsidR="00B15F7D" w:rsidRPr="00990FB6" w:rsidRDefault="00B15F7D" w:rsidP="00B15F7D">
            <w:pPr>
              <w:jc w:val="center"/>
              <w:rPr>
                <w:b/>
                <w:bCs/>
                <w:sz w:val="22"/>
                <w:szCs w:val="22"/>
                <w:lang w:eastAsia="es-CR"/>
              </w:rPr>
            </w:pPr>
            <w:r w:rsidRPr="00990FB6">
              <w:rPr>
                <w:b/>
                <w:bCs/>
                <w:sz w:val="22"/>
                <w:szCs w:val="22"/>
                <w:lang w:eastAsia="es-CR"/>
              </w:rPr>
              <w:t>Cantidad de personal técnico judicial nuevo</w:t>
            </w:r>
          </w:p>
        </w:tc>
        <w:tc>
          <w:tcPr>
            <w:tcW w:w="524" w:type="pct"/>
            <w:shd w:val="clear" w:color="FFFFFF" w:fill="0B64A0"/>
            <w:vAlign w:val="center"/>
            <w:hideMark/>
          </w:tcPr>
          <w:p w14:paraId="727BD443" w14:textId="77777777" w:rsidR="00B15F7D" w:rsidRPr="00990FB6" w:rsidRDefault="00B15F7D" w:rsidP="00B15F7D">
            <w:pPr>
              <w:jc w:val="center"/>
              <w:rPr>
                <w:b/>
                <w:bCs/>
                <w:sz w:val="22"/>
                <w:szCs w:val="22"/>
                <w:lang w:eastAsia="es-CR"/>
              </w:rPr>
            </w:pPr>
            <w:r w:rsidRPr="00990FB6">
              <w:rPr>
                <w:b/>
                <w:bCs/>
                <w:sz w:val="22"/>
                <w:szCs w:val="22"/>
                <w:lang w:eastAsia="es-CR"/>
              </w:rPr>
              <w:t>Costo anual por persona fiscal</w:t>
            </w:r>
          </w:p>
        </w:tc>
        <w:tc>
          <w:tcPr>
            <w:tcW w:w="331" w:type="pct"/>
            <w:shd w:val="clear" w:color="FFFFFF" w:fill="0B64A0"/>
            <w:vAlign w:val="center"/>
          </w:tcPr>
          <w:p w14:paraId="138B0148" w14:textId="77777777" w:rsidR="00B15F7D" w:rsidRPr="00990FB6" w:rsidRDefault="00B15F7D" w:rsidP="00B15F7D">
            <w:pPr>
              <w:jc w:val="center"/>
              <w:rPr>
                <w:b/>
                <w:bCs/>
                <w:sz w:val="22"/>
                <w:szCs w:val="22"/>
                <w:lang w:eastAsia="es-CR"/>
              </w:rPr>
            </w:pPr>
            <w:r w:rsidRPr="00990FB6">
              <w:rPr>
                <w:b/>
                <w:bCs/>
                <w:sz w:val="22"/>
                <w:szCs w:val="22"/>
                <w:lang w:eastAsia="es-CR"/>
              </w:rPr>
              <w:t>Costo anual por persona técnica judicial</w:t>
            </w:r>
          </w:p>
        </w:tc>
        <w:tc>
          <w:tcPr>
            <w:tcW w:w="455" w:type="pct"/>
            <w:shd w:val="clear" w:color="FFFFFF" w:fill="0B64A0"/>
            <w:vAlign w:val="center"/>
            <w:hideMark/>
          </w:tcPr>
          <w:p w14:paraId="56BCF335" w14:textId="77777777" w:rsidR="00B15F7D" w:rsidRPr="00990FB6" w:rsidRDefault="00B15F7D" w:rsidP="00B15F7D">
            <w:pPr>
              <w:jc w:val="center"/>
              <w:rPr>
                <w:b/>
                <w:bCs/>
                <w:sz w:val="22"/>
                <w:szCs w:val="22"/>
                <w:lang w:eastAsia="es-CR"/>
              </w:rPr>
            </w:pPr>
            <w:r w:rsidRPr="00990FB6">
              <w:rPr>
                <w:b/>
                <w:bCs/>
                <w:sz w:val="22"/>
                <w:szCs w:val="22"/>
                <w:lang w:eastAsia="es-CR"/>
              </w:rPr>
              <w:t>Costo por Mobiliario y Equipo</w:t>
            </w:r>
          </w:p>
        </w:tc>
        <w:tc>
          <w:tcPr>
            <w:tcW w:w="404" w:type="pct"/>
            <w:shd w:val="clear" w:color="FFFFFF" w:fill="0B64A0"/>
            <w:vAlign w:val="center"/>
            <w:hideMark/>
          </w:tcPr>
          <w:p w14:paraId="29CB201B" w14:textId="77777777" w:rsidR="00B15F7D" w:rsidRPr="00990FB6" w:rsidRDefault="00B15F7D" w:rsidP="00B15F7D">
            <w:pPr>
              <w:jc w:val="center"/>
              <w:rPr>
                <w:b/>
                <w:bCs/>
                <w:sz w:val="22"/>
                <w:szCs w:val="22"/>
                <w:lang w:eastAsia="es-CR"/>
              </w:rPr>
            </w:pPr>
            <w:r w:rsidRPr="00990FB6">
              <w:rPr>
                <w:b/>
                <w:bCs/>
                <w:sz w:val="22"/>
                <w:szCs w:val="22"/>
                <w:lang w:eastAsia="es-CR"/>
              </w:rPr>
              <w:t>Costo por licencias</w:t>
            </w:r>
          </w:p>
        </w:tc>
        <w:tc>
          <w:tcPr>
            <w:tcW w:w="524" w:type="pct"/>
            <w:shd w:val="clear" w:color="FFFFFF" w:fill="0B64A0"/>
            <w:vAlign w:val="center"/>
            <w:hideMark/>
          </w:tcPr>
          <w:p w14:paraId="709B7C34"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c>
          <w:tcPr>
            <w:tcW w:w="362" w:type="pct"/>
            <w:shd w:val="clear" w:color="FFFFFF" w:fill="0B64A0"/>
            <w:vAlign w:val="center"/>
          </w:tcPr>
          <w:p w14:paraId="17F8D346" w14:textId="77777777" w:rsidR="00B15F7D" w:rsidRPr="00990FB6" w:rsidRDefault="00B15F7D" w:rsidP="00B15F7D">
            <w:pPr>
              <w:jc w:val="center"/>
              <w:rPr>
                <w:b/>
                <w:bCs/>
                <w:sz w:val="22"/>
                <w:szCs w:val="22"/>
                <w:lang w:eastAsia="es-CR"/>
              </w:rPr>
            </w:pPr>
            <w:r w:rsidRPr="00990FB6">
              <w:rPr>
                <w:b/>
                <w:bCs/>
                <w:sz w:val="22"/>
                <w:szCs w:val="22"/>
                <w:lang w:eastAsia="es-CR"/>
              </w:rPr>
              <w:t>Informe Técnico</w:t>
            </w:r>
          </w:p>
        </w:tc>
      </w:tr>
      <w:tr w:rsidR="00B15F7D" w:rsidRPr="00990FB6" w14:paraId="2A2DC9A8" w14:textId="77777777" w:rsidTr="000A0C22">
        <w:trPr>
          <w:trHeight w:val="264"/>
        </w:trPr>
        <w:tc>
          <w:tcPr>
            <w:tcW w:w="666" w:type="pct"/>
            <w:shd w:val="clear" w:color="auto" w:fill="D9E2F3"/>
            <w:vAlign w:val="center"/>
            <w:hideMark/>
          </w:tcPr>
          <w:p w14:paraId="59E30E4B" w14:textId="77777777" w:rsidR="00B15F7D" w:rsidRPr="00990FB6" w:rsidRDefault="00B15F7D" w:rsidP="00B15F7D">
            <w:pPr>
              <w:rPr>
                <w:sz w:val="22"/>
                <w:szCs w:val="22"/>
                <w:lang w:eastAsia="es-CR"/>
              </w:rPr>
            </w:pPr>
            <w:r w:rsidRPr="00990FB6">
              <w:rPr>
                <w:sz w:val="22"/>
                <w:szCs w:val="22"/>
                <w:lang w:eastAsia="es-CR"/>
              </w:rPr>
              <w:t>Fiscalía de Hatillo</w:t>
            </w:r>
          </w:p>
        </w:tc>
        <w:tc>
          <w:tcPr>
            <w:tcW w:w="321" w:type="pct"/>
            <w:shd w:val="clear" w:color="auto" w:fill="auto"/>
            <w:noWrap/>
            <w:vAlign w:val="center"/>
            <w:hideMark/>
          </w:tcPr>
          <w:p w14:paraId="76A834BA" w14:textId="77777777" w:rsidR="00B15F7D" w:rsidRPr="00990FB6" w:rsidRDefault="00B15F7D" w:rsidP="00B15F7D">
            <w:pPr>
              <w:jc w:val="center"/>
              <w:rPr>
                <w:sz w:val="22"/>
                <w:szCs w:val="22"/>
                <w:lang w:eastAsia="es-CR"/>
              </w:rPr>
            </w:pPr>
            <w:r w:rsidRPr="00990FB6">
              <w:rPr>
                <w:sz w:val="22"/>
                <w:szCs w:val="22"/>
                <w:lang w:eastAsia="es-CR"/>
              </w:rPr>
              <w:t>2</w:t>
            </w:r>
          </w:p>
        </w:tc>
        <w:tc>
          <w:tcPr>
            <w:tcW w:w="366" w:type="pct"/>
            <w:shd w:val="clear" w:color="auto" w:fill="auto"/>
            <w:noWrap/>
            <w:vAlign w:val="center"/>
            <w:hideMark/>
          </w:tcPr>
          <w:p w14:paraId="2DFBA979" w14:textId="77777777" w:rsidR="00B15F7D" w:rsidRPr="00990FB6" w:rsidRDefault="00B15F7D" w:rsidP="00B15F7D">
            <w:pPr>
              <w:jc w:val="center"/>
              <w:rPr>
                <w:sz w:val="22"/>
                <w:szCs w:val="22"/>
                <w:lang w:eastAsia="es-CR"/>
              </w:rPr>
            </w:pPr>
            <w:r w:rsidRPr="00990FB6">
              <w:rPr>
                <w:sz w:val="22"/>
                <w:szCs w:val="22"/>
                <w:lang w:eastAsia="es-CR"/>
              </w:rPr>
              <w:t>2</w:t>
            </w:r>
          </w:p>
        </w:tc>
        <w:tc>
          <w:tcPr>
            <w:tcW w:w="404" w:type="pct"/>
            <w:shd w:val="clear" w:color="auto" w:fill="auto"/>
            <w:noWrap/>
            <w:vAlign w:val="center"/>
            <w:hideMark/>
          </w:tcPr>
          <w:p w14:paraId="2AA161FF" w14:textId="77777777" w:rsidR="00B15F7D" w:rsidRPr="00990FB6" w:rsidRDefault="00B15F7D" w:rsidP="00B15F7D">
            <w:pPr>
              <w:jc w:val="center"/>
              <w:rPr>
                <w:sz w:val="22"/>
                <w:szCs w:val="22"/>
                <w:lang w:eastAsia="es-CR"/>
              </w:rPr>
            </w:pPr>
            <w:r w:rsidRPr="00990FB6">
              <w:rPr>
                <w:sz w:val="22"/>
                <w:szCs w:val="22"/>
                <w:lang w:eastAsia="es-CR"/>
              </w:rPr>
              <w:t>2</w:t>
            </w:r>
          </w:p>
        </w:tc>
        <w:tc>
          <w:tcPr>
            <w:tcW w:w="321" w:type="pct"/>
            <w:shd w:val="clear" w:color="auto" w:fill="auto"/>
            <w:noWrap/>
            <w:vAlign w:val="bottom"/>
            <w:hideMark/>
          </w:tcPr>
          <w:p w14:paraId="0C3941B7" w14:textId="77777777" w:rsidR="00B15F7D" w:rsidRPr="00990FB6" w:rsidRDefault="00B15F7D" w:rsidP="00B15F7D">
            <w:pPr>
              <w:jc w:val="center"/>
              <w:rPr>
                <w:sz w:val="22"/>
                <w:szCs w:val="22"/>
                <w:lang w:eastAsia="es-CR"/>
              </w:rPr>
            </w:pPr>
            <w:r w:rsidRPr="00990FB6">
              <w:rPr>
                <w:sz w:val="22"/>
                <w:szCs w:val="22"/>
                <w:lang w:eastAsia="es-CR"/>
              </w:rPr>
              <w:t>1</w:t>
            </w:r>
          </w:p>
        </w:tc>
        <w:tc>
          <w:tcPr>
            <w:tcW w:w="321" w:type="pct"/>
            <w:vAlign w:val="bottom"/>
          </w:tcPr>
          <w:p w14:paraId="0B9AC74D" w14:textId="77777777" w:rsidR="00B15F7D" w:rsidRPr="00990FB6" w:rsidRDefault="00B15F7D" w:rsidP="00B15F7D">
            <w:pPr>
              <w:jc w:val="center"/>
              <w:rPr>
                <w:sz w:val="22"/>
                <w:szCs w:val="22"/>
                <w:lang w:eastAsia="es-CR"/>
              </w:rPr>
            </w:pPr>
            <w:r w:rsidRPr="00990FB6">
              <w:rPr>
                <w:sz w:val="22"/>
                <w:szCs w:val="22"/>
                <w:lang w:eastAsia="es-CR"/>
              </w:rPr>
              <w:t>4</w:t>
            </w:r>
          </w:p>
        </w:tc>
        <w:tc>
          <w:tcPr>
            <w:tcW w:w="524" w:type="pct"/>
            <w:shd w:val="clear" w:color="auto" w:fill="auto"/>
            <w:noWrap/>
            <w:vAlign w:val="bottom"/>
            <w:hideMark/>
          </w:tcPr>
          <w:p w14:paraId="4BDC82D4"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331" w:type="pct"/>
            <w:vAlign w:val="bottom"/>
          </w:tcPr>
          <w:p w14:paraId="6593DF26" w14:textId="77777777" w:rsidR="00B15F7D" w:rsidRPr="00990FB6" w:rsidRDefault="00B15F7D" w:rsidP="00B15F7D">
            <w:pPr>
              <w:jc w:val="center"/>
              <w:rPr>
                <w:b/>
                <w:bCs/>
                <w:sz w:val="22"/>
                <w:szCs w:val="22"/>
                <w:lang w:eastAsia="es-CR"/>
              </w:rPr>
            </w:pPr>
            <w:r w:rsidRPr="00990FB6">
              <w:rPr>
                <w:sz w:val="22"/>
                <w:szCs w:val="22"/>
                <w:lang w:eastAsia="es-CR"/>
              </w:rPr>
              <w:t>₡63 780 000,00</w:t>
            </w:r>
          </w:p>
        </w:tc>
        <w:tc>
          <w:tcPr>
            <w:tcW w:w="455" w:type="pct"/>
            <w:shd w:val="clear" w:color="auto" w:fill="auto"/>
            <w:noWrap/>
            <w:vAlign w:val="bottom"/>
            <w:hideMark/>
          </w:tcPr>
          <w:p w14:paraId="74E4905D" w14:textId="77777777" w:rsidR="00B15F7D" w:rsidRPr="00990FB6" w:rsidRDefault="00B15F7D" w:rsidP="00B15F7D">
            <w:pPr>
              <w:jc w:val="center"/>
              <w:rPr>
                <w:sz w:val="22"/>
                <w:szCs w:val="22"/>
                <w:lang w:eastAsia="es-CR"/>
              </w:rPr>
            </w:pPr>
            <w:r w:rsidRPr="00990FB6">
              <w:rPr>
                <w:sz w:val="22"/>
                <w:szCs w:val="22"/>
                <w:lang w:eastAsia="es-CR"/>
              </w:rPr>
              <w:t>₡5 788 361,00</w:t>
            </w:r>
          </w:p>
        </w:tc>
        <w:tc>
          <w:tcPr>
            <w:tcW w:w="404" w:type="pct"/>
            <w:shd w:val="clear" w:color="auto" w:fill="auto"/>
            <w:noWrap/>
            <w:vAlign w:val="bottom"/>
            <w:hideMark/>
          </w:tcPr>
          <w:p w14:paraId="7F833EA3"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524" w:type="pct"/>
            <w:shd w:val="clear" w:color="auto" w:fill="auto"/>
            <w:noWrap/>
            <w:vAlign w:val="bottom"/>
            <w:hideMark/>
          </w:tcPr>
          <w:p w14:paraId="6906E0FC" w14:textId="77777777" w:rsidR="00B15F7D" w:rsidRPr="00990FB6" w:rsidRDefault="00B15F7D" w:rsidP="00B15F7D">
            <w:pPr>
              <w:jc w:val="center"/>
              <w:rPr>
                <w:sz w:val="22"/>
                <w:szCs w:val="22"/>
                <w:lang w:eastAsia="es-CR"/>
              </w:rPr>
            </w:pPr>
            <w:r w:rsidRPr="00990FB6">
              <w:rPr>
                <w:sz w:val="22"/>
                <w:szCs w:val="22"/>
                <w:lang w:eastAsia="es-CR"/>
              </w:rPr>
              <w:t>₡126 770 501,00</w:t>
            </w:r>
          </w:p>
        </w:tc>
        <w:tc>
          <w:tcPr>
            <w:tcW w:w="362" w:type="pct"/>
            <w:vAlign w:val="bottom"/>
          </w:tcPr>
          <w:p w14:paraId="47F2016F" w14:textId="77777777" w:rsidR="00B15F7D" w:rsidRPr="00990FB6" w:rsidRDefault="00B15F7D" w:rsidP="00B15F7D">
            <w:pPr>
              <w:ind w:left="-69"/>
              <w:jc w:val="center"/>
              <w:rPr>
                <w:sz w:val="22"/>
                <w:szCs w:val="22"/>
                <w:lang w:eastAsia="es-CR"/>
              </w:rPr>
            </w:pPr>
            <w:r w:rsidRPr="00990FB6">
              <w:rPr>
                <w:sz w:val="22"/>
                <w:szCs w:val="22"/>
                <w:lang w:eastAsia="es-CR"/>
              </w:rPr>
              <w:t>866-PLA-MI(PL)-2022 (Preliminar)</w:t>
            </w:r>
          </w:p>
        </w:tc>
      </w:tr>
      <w:tr w:rsidR="00B15F7D" w:rsidRPr="00990FB6" w14:paraId="1B106924" w14:textId="77777777" w:rsidTr="000A0C22">
        <w:trPr>
          <w:trHeight w:val="264"/>
        </w:trPr>
        <w:tc>
          <w:tcPr>
            <w:tcW w:w="666" w:type="pct"/>
            <w:shd w:val="clear" w:color="auto" w:fill="D9E2F3"/>
            <w:vAlign w:val="center"/>
            <w:hideMark/>
          </w:tcPr>
          <w:p w14:paraId="399DECB3" w14:textId="77777777" w:rsidR="00B15F7D" w:rsidRPr="00990FB6" w:rsidRDefault="00B15F7D" w:rsidP="00B15F7D">
            <w:pPr>
              <w:rPr>
                <w:sz w:val="22"/>
                <w:szCs w:val="22"/>
                <w:lang w:eastAsia="es-CR"/>
              </w:rPr>
            </w:pPr>
            <w:r w:rsidRPr="00990FB6">
              <w:rPr>
                <w:sz w:val="22"/>
                <w:szCs w:val="22"/>
                <w:lang w:eastAsia="es-CR"/>
              </w:rPr>
              <w:t>Fiscalía Adjunta del Segundo Circuito Judicial de San José-Goicoechea</w:t>
            </w:r>
          </w:p>
        </w:tc>
        <w:tc>
          <w:tcPr>
            <w:tcW w:w="321" w:type="pct"/>
            <w:shd w:val="clear" w:color="auto" w:fill="auto"/>
            <w:noWrap/>
            <w:vAlign w:val="center"/>
            <w:hideMark/>
          </w:tcPr>
          <w:p w14:paraId="7A8E717B" w14:textId="77777777" w:rsidR="00B15F7D" w:rsidRPr="00990FB6" w:rsidRDefault="00B15F7D" w:rsidP="00B15F7D">
            <w:pPr>
              <w:jc w:val="center"/>
              <w:rPr>
                <w:sz w:val="22"/>
                <w:szCs w:val="22"/>
                <w:lang w:eastAsia="es-CR"/>
              </w:rPr>
            </w:pPr>
            <w:r w:rsidRPr="00990FB6">
              <w:rPr>
                <w:sz w:val="22"/>
                <w:szCs w:val="22"/>
                <w:lang w:eastAsia="es-CR"/>
              </w:rPr>
              <w:t>4</w:t>
            </w:r>
          </w:p>
        </w:tc>
        <w:tc>
          <w:tcPr>
            <w:tcW w:w="366" w:type="pct"/>
            <w:shd w:val="clear" w:color="auto" w:fill="auto"/>
            <w:noWrap/>
            <w:vAlign w:val="center"/>
            <w:hideMark/>
          </w:tcPr>
          <w:p w14:paraId="45A46F73" w14:textId="77777777" w:rsidR="00B15F7D" w:rsidRPr="00990FB6" w:rsidRDefault="00B15F7D" w:rsidP="00B15F7D">
            <w:pPr>
              <w:jc w:val="center"/>
              <w:rPr>
                <w:sz w:val="22"/>
                <w:szCs w:val="22"/>
                <w:lang w:eastAsia="es-CR"/>
              </w:rPr>
            </w:pPr>
            <w:r w:rsidRPr="00990FB6">
              <w:rPr>
                <w:sz w:val="22"/>
                <w:szCs w:val="22"/>
                <w:lang w:eastAsia="es-CR"/>
              </w:rPr>
              <w:t>6</w:t>
            </w:r>
          </w:p>
        </w:tc>
        <w:tc>
          <w:tcPr>
            <w:tcW w:w="404" w:type="pct"/>
            <w:shd w:val="clear" w:color="auto" w:fill="auto"/>
            <w:noWrap/>
            <w:vAlign w:val="center"/>
            <w:hideMark/>
          </w:tcPr>
          <w:p w14:paraId="50545AAE" w14:textId="77777777" w:rsidR="00B15F7D" w:rsidRPr="00990FB6" w:rsidRDefault="00B15F7D" w:rsidP="00B15F7D">
            <w:pPr>
              <w:jc w:val="center"/>
              <w:rPr>
                <w:sz w:val="22"/>
                <w:szCs w:val="22"/>
                <w:lang w:eastAsia="es-CR"/>
              </w:rPr>
            </w:pPr>
            <w:r w:rsidRPr="00990FB6">
              <w:rPr>
                <w:sz w:val="22"/>
                <w:szCs w:val="22"/>
                <w:lang w:eastAsia="es-CR"/>
              </w:rPr>
              <w:t>1</w:t>
            </w:r>
          </w:p>
        </w:tc>
        <w:tc>
          <w:tcPr>
            <w:tcW w:w="321" w:type="pct"/>
            <w:shd w:val="clear" w:color="auto" w:fill="auto"/>
            <w:noWrap/>
            <w:vAlign w:val="bottom"/>
            <w:hideMark/>
          </w:tcPr>
          <w:p w14:paraId="4F279F20" w14:textId="77777777" w:rsidR="00B15F7D" w:rsidRPr="00990FB6" w:rsidRDefault="00B15F7D" w:rsidP="00B15F7D">
            <w:pPr>
              <w:jc w:val="center"/>
              <w:rPr>
                <w:sz w:val="22"/>
                <w:szCs w:val="22"/>
                <w:lang w:eastAsia="es-CR"/>
              </w:rPr>
            </w:pPr>
            <w:r w:rsidRPr="00990FB6">
              <w:rPr>
                <w:sz w:val="22"/>
                <w:szCs w:val="22"/>
                <w:lang w:eastAsia="es-CR"/>
              </w:rPr>
              <w:t>1</w:t>
            </w:r>
          </w:p>
        </w:tc>
        <w:tc>
          <w:tcPr>
            <w:tcW w:w="321" w:type="pct"/>
            <w:vAlign w:val="bottom"/>
          </w:tcPr>
          <w:p w14:paraId="3E106744" w14:textId="77777777" w:rsidR="00B15F7D" w:rsidRPr="00990FB6" w:rsidRDefault="00B15F7D" w:rsidP="00B15F7D">
            <w:pPr>
              <w:jc w:val="center"/>
              <w:rPr>
                <w:sz w:val="22"/>
                <w:szCs w:val="22"/>
                <w:lang w:eastAsia="es-CR"/>
              </w:rPr>
            </w:pPr>
            <w:r w:rsidRPr="00990FB6">
              <w:rPr>
                <w:sz w:val="22"/>
                <w:szCs w:val="22"/>
                <w:lang w:eastAsia="es-CR"/>
              </w:rPr>
              <w:t>0</w:t>
            </w:r>
          </w:p>
        </w:tc>
        <w:tc>
          <w:tcPr>
            <w:tcW w:w="524" w:type="pct"/>
            <w:shd w:val="clear" w:color="auto" w:fill="auto"/>
            <w:noWrap/>
            <w:vAlign w:val="bottom"/>
            <w:hideMark/>
          </w:tcPr>
          <w:p w14:paraId="165670F9"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331" w:type="pct"/>
            <w:vAlign w:val="bottom"/>
          </w:tcPr>
          <w:p w14:paraId="0D38CF0F" w14:textId="77777777" w:rsidR="00B15F7D" w:rsidRPr="00990FB6" w:rsidRDefault="00B15F7D" w:rsidP="00B15F7D">
            <w:pPr>
              <w:jc w:val="center"/>
              <w:rPr>
                <w:b/>
                <w:bCs/>
                <w:sz w:val="22"/>
                <w:szCs w:val="22"/>
                <w:lang w:eastAsia="es-CR"/>
              </w:rPr>
            </w:pPr>
            <w:r w:rsidRPr="00990FB6">
              <w:rPr>
                <w:b/>
                <w:bCs/>
                <w:sz w:val="22"/>
                <w:szCs w:val="22"/>
                <w:lang w:eastAsia="es-CR"/>
              </w:rPr>
              <w:t>₡5</w:t>
            </w:r>
            <w:r w:rsidRPr="00990FB6">
              <w:rPr>
                <w:sz w:val="22"/>
                <w:szCs w:val="22"/>
                <w:lang w:eastAsia="es-CR"/>
              </w:rPr>
              <w:t>₡0,00</w:t>
            </w:r>
            <w:r w:rsidRPr="00990FB6">
              <w:rPr>
                <w:b/>
                <w:bCs/>
                <w:sz w:val="22"/>
                <w:szCs w:val="22"/>
                <w:lang w:eastAsia="es-CR"/>
              </w:rPr>
              <w:t>7 065 000,00</w:t>
            </w:r>
          </w:p>
        </w:tc>
        <w:tc>
          <w:tcPr>
            <w:tcW w:w="455" w:type="pct"/>
            <w:shd w:val="clear" w:color="auto" w:fill="auto"/>
            <w:noWrap/>
            <w:vAlign w:val="bottom"/>
            <w:hideMark/>
          </w:tcPr>
          <w:p w14:paraId="576C3AAE"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04" w:type="pct"/>
            <w:shd w:val="clear" w:color="auto" w:fill="auto"/>
            <w:noWrap/>
            <w:vAlign w:val="bottom"/>
            <w:hideMark/>
          </w:tcPr>
          <w:p w14:paraId="6E1402F2"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524" w:type="pct"/>
            <w:shd w:val="clear" w:color="auto" w:fill="auto"/>
            <w:noWrap/>
            <w:vAlign w:val="bottom"/>
            <w:hideMark/>
          </w:tcPr>
          <w:p w14:paraId="10C1E0AC" w14:textId="77777777" w:rsidR="00B15F7D" w:rsidRPr="00990FB6" w:rsidRDefault="00B15F7D" w:rsidP="00B15F7D">
            <w:pPr>
              <w:jc w:val="center"/>
              <w:rPr>
                <w:sz w:val="22"/>
                <w:szCs w:val="22"/>
                <w:lang w:eastAsia="es-CR"/>
              </w:rPr>
            </w:pPr>
            <w:r w:rsidRPr="00990FB6">
              <w:rPr>
                <w:sz w:val="22"/>
                <w:szCs w:val="22"/>
                <w:lang w:eastAsia="es-CR"/>
              </w:rPr>
              <w:t>₡58 754 822,00</w:t>
            </w:r>
          </w:p>
        </w:tc>
        <w:tc>
          <w:tcPr>
            <w:tcW w:w="362" w:type="pct"/>
            <w:vAlign w:val="bottom"/>
          </w:tcPr>
          <w:p w14:paraId="78D4E98B" w14:textId="77777777" w:rsidR="00B15F7D" w:rsidRPr="00990FB6" w:rsidRDefault="00B15F7D" w:rsidP="00B15F7D">
            <w:pPr>
              <w:ind w:left="-69"/>
              <w:jc w:val="center"/>
              <w:rPr>
                <w:sz w:val="22"/>
                <w:szCs w:val="22"/>
                <w:lang w:eastAsia="es-CR"/>
              </w:rPr>
            </w:pPr>
            <w:r w:rsidRPr="00990FB6">
              <w:rPr>
                <w:sz w:val="22"/>
                <w:szCs w:val="22"/>
                <w:lang w:eastAsia="es-CR"/>
              </w:rPr>
              <w:t>63-PLA-MI(PL)-2023</w:t>
            </w:r>
          </w:p>
        </w:tc>
      </w:tr>
      <w:tr w:rsidR="00B15F7D" w:rsidRPr="00990FB6" w14:paraId="4450F1E4" w14:textId="77777777" w:rsidTr="000A0C22">
        <w:trPr>
          <w:trHeight w:val="264"/>
        </w:trPr>
        <w:tc>
          <w:tcPr>
            <w:tcW w:w="666" w:type="pct"/>
            <w:shd w:val="clear" w:color="auto" w:fill="D9E2F3"/>
            <w:vAlign w:val="center"/>
          </w:tcPr>
          <w:p w14:paraId="5F9E566E" w14:textId="77777777" w:rsidR="00B15F7D" w:rsidRPr="00990FB6" w:rsidRDefault="00B15F7D" w:rsidP="00B15F7D">
            <w:pPr>
              <w:rPr>
                <w:sz w:val="22"/>
                <w:szCs w:val="22"/>
                <w:lang w:eastAsia="es-CR"/>
              </w:rPr>
            </w:pPr>
            <w:r w:rsidRPr="00990FB6">
              <w:rPr>
                <w:sz w:val="22"/>
                <w:szCs w:val="22"/>
                <w:lang w:eastAsia="es-CR"/>
              </w:rPr>
              <w:t>Fiscalía Adjunta del Tercer Circuito Judicial de San José-Desamparados</w:t>
            </w:r>
          </w:p>
        </w:tc>
        <w:tc>
          <w:tcPr>
            <w:tcW w:w="321" w:type="pct"/>
            <w:shd w:val="clear" w:color="auto" w:fill="auto"/>
            <w:noWrap/>
            <w:vAlign w:val="center"/>
          </w:tcPr>
          <w:p w14:paraId="58669752" w14:textId="77777777" w:rsidR="00B15F7D" w:rsidRPr="00990FB6" w:rsidRDefault="00B15F7D" w:rsidP="00B15F7D">
            <w:pPr>
              <w:jc w:val="center"/>
              <w:rPr>
                <w:sz w:val="22"/>
                <w:szCs w:val="22"/>
                <w:lang w:eastAsia="es-CR"/>
              </w:rPr>
            </w:pPr>
            <w:r w:rsidRPr="00990FB6">
              <w:rPr>
                <w:sz w:val="22"/>
                <w:szCs w:val="22"/>
                <w:lang w:eastAsia="es-CR"/>
              </w:rPr>
              <w:t>2</w:t>
            </w:r>
          </w:p>
        </w:tc>
        <w:tc>
          <w:tcPr>
            <w:tcW w:w="366" w:type="pct"/>
            <w:shd w:val="clear" w:color="auto" w:fill="auto"/>
            <w:noWrap/>
            <w:vAlign w:val="center"/>
          </w:tcPr>
          <w:p w14:paraId="72C80B10" w14:textId="77777777" w:rsidR="00B15F7D" w:rsidRPr="00990FB6" w:rsidRDefault="00B15F7D" w:rsidP="00B15F7D">
            <w:pPr>
              <w:jc w:val="center"/>
              <w:rPr>
                <w:sz w:val="22"/>
                <w:szCs w:val="22"/>
                <w:lang w:eastAsia="es-CR"/>
              </w:rPr>
            </w:pPr>
            <w:r w:rsidRPr="00990FB6">
              <w:rPr>
                <w:sz w:val="22"/>
                <w:szCs w:val="22"/>
                <w:lang w:eastAsia="es-CR"/>
              </w:rPr>
              <w:t>2</w:t>
            </w:r>
          </w:p>
        </w:tc>
        <w:tc>
          <w:tcPr>
            <w:tcW w:w="404" w:type="pct"/>
            <w:shd w:val="clear" w:color="auto" w:fill="auto"/>
            <w:noWrap/>
            <w:vAlign w:val="center"/>
          </w:tcPr>
          <w:p w14:paraId="7F5D62B0" w14:textId="77777777" w:rsidR="00B15F7D" w:rsidRPr="00990FB6" w:rsidRDefault="00B15F7D" w:rsidP="00B15F7D">
            <w:pPr>
              <w:jc w:val="center"/>
              <w:rPr>
                <w:sz w:val="22"/>
                <w:szCs w:val="22"/>
                <w:lang w:eastAsia="es-CR"/>
              </w:rPr>
            </w:pPr>
            <w:r w:rsidRPr="00990FB6">
              <w:rPr>
                <w:sz w:val="22"/>
                <w:szCs w:val="22"/>
                <w:lang w:eastAsia="es-CR"/>
              </w:rPr>
              <w:t>1</w:t>
            </w:r>
          </w:p>
        </w:tc>
        <w:tc>
          <w:tcPr>
            <w:tcW w:w="321" w:type="pct"/>
            <w:shd w:val="clear" w:color="auto" w:fill="auto"/>
            <w:noWrap/>
            <w:vAlign w:val="bottom"/>
          </w:tcPr>
          <w:p w14:paraId="3CA00022" w14:textId="77777777" w:rsidR="00B15F7D" w:rsidRPr="00990FB6" w:rsidRDefault="00B15F7D" w:rsidP="00B15F7D">
            <w:pPr>
              <w:jc w:val="center"/>
              <w:rPr>
                <w:sz w:val="22"/>
                <w:szCs w:val="22"/>
                <w:lang w:eastAsia="es-CR"/>
              </w:rPr>
            </w:pPr>
            <w:r w:rsidRPr="00990FB6">
              <w:rPr>
                <w:sz w:val="22"/>
                <w:szCs w:val="22"/>
                <w:lang w:eastAsia="es-CR"/>
              </w:rPr>
              <w:t>0</w:t>
            </w:r>
          </w:p>
        </w:tc>
        <w:tc>
          <w:tcPr>
            <w:tcW w:w="321" w:type="pct"/>
            <w:vAlign w:val="bottom"/>
          </w:tcPr>
          <w:p w14:paraId="6131FE7A" w14:textId="77777777" w:rsidR="00B15F7D" w:rsidRPr="00990FB6" w:rsidRDefault="00B15F7D" w:rsidP="00B15F7D">
            <w:pPr>
              <w:jc w:val="center"/>
              <w:rPr>
                <w:sz w:val="22"/>
                <w:szCs w:val="22"/>
                <w:lang w:eastAsia="es-CR"/>
              </w:rPr>
            </w:pPr>
            <w:r w:rsidRPr="00990FB6">
              <w:rPr>
                <w:sz w:val="22"/>
                <w:szCs w:val="22"/>
                <w:lang w:eastAsia="es-CR"/>
              </w:rPr>
              <w:t>1</w:t>
            </w:r>
          </w:p>
        </w:tc>
        <w:tc>
          <w:tcPr>
            <w:tcW w:w="524" w:type="pct"/>
            <w:shd w:val="clear" w:color="auto" w:fill="auto"/>
            <w:noWrap/>
            <w:vAlign w:val="bottom"/>
          </w:tcPr>
          <w:p w14:paraId="55FC7E43" w14:textId="77777777" w:rsidR="00B15F7D" w:rsidRPr="00990FB6" w:rsidRDefault="00B15F7D" w:rsidP="00B15F7D">
            <w:pPr>
              <w:jc w:val="center"/>
              <w:rPr>
                <w:sz w:val="22"/>
                <w:szCs w:val="22"/>
                <w:lang w:eastAsia="es-CR"/>
              </w:rPr>
            </w:pPr>
            <w:r w:rsidRPr="00990FB6">
              <w:rPr>
                <w:sz w:val="22"/>
                <w:szCs w:val="22"/>
                <w:lang w:eastAsia="es-CR"/>
              </w:rPr>
              <w:t>₡0,00</w:t>
            </w:r>
          </w:p>
        </w:tc>
        <w:tc>
          <w:tcPr>
            <w:tcW w:w="331" w:type="pct"/>
            <w:vAlign w:val="bottom"/>
          </w:tcPr>
          <w:p w14:paraId="5284B86A" w14:textId="77777777" w:rsidR="00B15F7D" w:rsidRPr="00990FB6" w:rsidRDefault="00B15F7D" w:rsidP="00B15F7D">
            <w:pPr>
              <w:jc w:val="center"/>
              <w:rPr>
                <w:b/>
                <w:bCs/>
                <w:sz w:val="22"/>
                <w:szCs w:val="22"/>
                <w:lang w:eastAsia="es-CR"/>
              </w:rPr>
            </w:pPr>
            <w:r w:rsidRPr="00990FB6">
              <w:rPr>
                <w:sz w:val="22"/>
                <w:szCs w:val="22"/>
                <w:lang w:eastAsia="es-CR"/>
              </w:rPr>
              <w:t>₡15 945 000,00</w:t>
            </w:r>
          </w:p>
        </w:tc>
        <w:tc>
          <w:tcPr>
            <w:tcW w:w="455" w:type="pct"/>
            <w:shd w:val="clear" w:color="auto" w:fill="auto"/>
            <w:noWrap/>
            <w:vAlign w:val="bottom"/>
          </w:tcPr>
          <w:p w14:paraId="48A39FD0" w14:textId="77777777" w:rsidR="00B15F7D" w:rsidRPr="00990FB6" w:rsidRDefault="00B15F7D" w:rsidP="00B15F7D">
            <w:pPr>
              <w:jc w:val="center"/>
              <w:rPr>
                <w:sz w:val="22"/>
                <w:szCs w:val="22"/>
                <w:lang w:eastAsia="es-CR"/>
              </w:rPr>
            </w:pPr>
            <w:r w:rsidRPr="00990FB6">
              <w:rPr>
                <w:sz w:val="22"/>
                <w:szCs w:val="22"/>
                <w:lang w:eastAsia="es-CR"/>
              </w:rPr>
              <w:t>₡1 058 920,00</w:t>
            </w:r>
          </w:p>
        </w:tc>
        <w:tc>
          <w:tcPr>
            <w:tcW w:w="404" w:type="pct"/>
            <w:shd w:val="clear" w:color="auto" w:fill="auto"/>
            <w:noWrap/>
            <w:vAlign w:val="bottom"/>
          </w:tcPr>
          <w:p w14:paraId="4836B838" w14:textId="77777777" w:rsidR="00B15F7D" w:rsidRPr="00990FB6" w:rsidRDefault="00B15F7D" w:rsidP="00B15F7D">
            <w:pPr>
              <w:jc w:val="center"/>
              <w:rPr>
                <w:sz w:val="22"/>
                <w:szCs w:val="22"/>
                <w:lang w:eastAsia="es-CR"/>
              </w:rPr>
            </w:pPr>
            <w:r w:rsidRPr="00990FB6">
              <w:rPr>
                <w:sz w:val="22"/>
                <w:szCs w:val="22"/>
                <w:lang w:eastAsia="es-CR"/>
              </w:rPr>
              <w:t>₡0,00</w:t>
            </w:r>
          </w:p>
        </w:tc>
        <w:tc>
          <w:tcPr>
            <w:tcW w:w="524" w:type="pct"/>
            <w:shd w:val="clear" w:color="auto" w:fill="auto"/>
            <w:noWrap/>
            <w:vAlign w:val="bottom"/>
          </w:tcPr>
          <w:p w14:paraId="76460505" w14:textId="77777777" w:rsidR="00B15F7D" w:rsidRPr="00990FB6" w:rsidRDefault="00B15F7D" w:rsidP="00B15F7D">
            <w:pPr>
              <w:jc w:val="center"/>
              <w:rPr>
                <w:sz w:val="22"/>
                <w:szCs w:val="22"/>
                <w:lang w:eastAsia="es-CR"/>
              </w:rPr>
            </w:pPr>
            <w:r w:rsidRPr="00990FB6">
              <w:rPr>
                <w:sz w:val="22"/>
                <w:szCs w:val="22"/>
                <w:lang w:eastAsia="es-CR"/>
              </w:rPr>
              <w:t>₡17 003 920,00</w:t>
            </w:r>
          </w:p>
        </w:tc>
        <w:tc>
          <w:tcPr>
            <w:tcW w:w="362" w:type="pct"/>
            <w:vAlign w:val="bottom"/>
          </w:tcPr>
          <w:p w14:paraId="773B985C" w14:textId="77777777" w:rsidR="00B15F7D" w:rsidRPr="00990FB6" w:rsidRDefault="00B15F7D" w:rsidP="00B15F7D">
            <w:pPr>
              <w:ind w:left="-68"/>
              <w:jc w:val="center"/>
              <w:rPr>
                <w:sz w:val="22"/>
                <w:szCs w:val="22"/>
                <w:lang w:eastAsia="es-CR"/>
              </w:rPr>
            </w:pPr>
            <w:r w:rsidRPr="00990FB6">
              <w:rPr>
                <w:sz w:val="22"/>
                <w:szCs w:val="22"/>
                <w:lang w:eastAsia="es-CR"/>
              </w:rPr>
              <w:t>61-PLA-MI(PL)-2023</w:t>
            </w:r>
          </w:p>
        </w:tc>
      </w:tr>
      <w:tr w:rsidR="00B15F7D" w:rsidRPr="00990FB6" w14:paraId="4CD3950F" w14:textId="77777777" w:rsidTr="000A0C22">
        <w:trPr>
          <w:trHeight w:val="264"/>
        </w:trPr>
        <w:tc>
          <w:tcPr>
            <w:tcW w:w="666" w:type="pct"/>
            <w:shd w:val="clear" w:color="auto" w:fill="D9E2F3"/>
            <w:vAlign w:val="center"/>
          </w:tcPr>
          <w:p w14:paraId="705C8407"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321" w:type="pct"/>
            <w:shd w:val="clear" w:color="auto" w:fill="auto"/>
            <w:noWrap/>
            <w:vAlign w:val="center"/>
          </w:tcPr>
          <w:p w14:paraId="2841F655" w14:textId="77777777" w:rsidR="00B15F7D" w:rsidRPr="00990FB6" w:rsidRDefault="00B15F7D" w:rsidP="00B15F7D">
            <w:pPr>
              <w:jc w:val="center"/>
              <w:rPr>
                <w:b/>
                <w:bCs/>
                <w:sz w:val="22"/>
                <w:szCs w:val="22"/>
                <w:lang w:eastAsia="es-CR"/>
              </w:rPr>
            </w:pPr>
            <w:r w:rsidRPr="00990FB6">
              <w:rPr>
                <w:b/>
                <w:bCs/>
                <w:sz w:val="22"/>
                <w:szCs w:val="22"/>
                <w:lang w:eastAsia="es-CR"/>
              </w:rPr>
              <w:t>6</w:t>
            </w:r>
          </w:p>
        </w:tc>
        <w:tc>
          <w:tcPr>
            <w:tcW w:w="366" w:type="pct"/>
            <w:shd w:val="clear" w:color="auto" w:fill="auto"/>
            <w:noWrap/>
            <w:vAlign w:val="center"/>
          </w:tcPr>
          <w:p w14:paraId="0593E30A" w14:textId="77777777" w:rsidR="00B15F7D" w:rsidRPr="00990FB6" w:rsidRDefault="00B15F7D" w:rsidP="00B15F7D">
            <w:pPr>
              <w:jc w:val="center"/>
              <w:rPr>
                <w:b/>
                <w:bCs/>
                <w:sz w:val="22"/>
                <w:szCs w:val="22"/>
                <w:lang w:eastAsia="es-CR"/>
              </w:rPr>
            </w:pPr>
            <w:r w:rsidRPr="00990FB6">
              <w:rPr>
                <w:b/>
                <w:bCs/>
                <w:sz w:val="22"/>
                <w:szCs w:val="22"/>
                <w:lang w:eastAsia="es-CR"/>
              </w:rPr>
              <w:t>8</w:t>
            </w:r>
          </w:p>
        </w:tc>
        <w:tc>
          <w:tcPr>
            <w:tcW w:w="404" w:type="pct"/>
            <w:shd w:val="clear" w:color="auto" w:fill="auto"/>
            <w:noWrap/>
            <w:vAlign w:val="center"/>
          </w:tcPr>
          <w:p w14:paraId="1579A70A" w14:textId="77777777" w:rsidR="00B15F7D" w:rsidRPr="00990FB6" w:rsidRDefault="00B15F7D" w:rsidP="00B15F7D">
            <w:pPr>
              <w:jc w:val="center"/>
              <w:rPr>
                <w:b/>
                <w:bCs/>
                <w:sz w:val="22"/>
                <w:szCs w:val="22"/>
                <w:lang w:eastAsia="es-CR"/>
              </w:rPr>
            </w:pPr>
            <w:r w:rsidRPr="00990FB6">
              <w:rPr>
                <w:b/>
                <w:bCs/>
                <w:sz w:val="22"/>
                <w:szCs w:val="22"/>
                <w:lang w:eastAsia="es-CR"/>
              </w:rPr>
              <w:t>3</w:t>
            </w:r>
          </w:p>
        </w:tc>
        <w:tc>
          <w:tcPr>
            <w:tcW w:w="321" w:type="pct"/>
            <w:shd w:val="clear" w:color="auto" w:fill="auto"/>
            <w:noWrap/>
            <w:vAlign w:val="bottom"/>
          </w:tcPr>
          <w:p w14:paraId="7709EB25"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321" w:type="pct"/>
            <w:vAlign w:val="bottom"/>
          </w:tcPr>
          <w:p w14:paraId="528ED357" w14:textId="77777777" w:rsidR="00B15F7D" w:rsidRPr="00990FB6" w:rsidRDefault="00B15F7D" w:rsidP="00B15F7D">
            <w:pPr>
              <w:jc w:val="center"/>
              <w:rPr>
                <w:b/>
                <w:bCs/>
                <w:sz w:val="22"/>
                <w:szCs w:val="22"/>
                <w:lang w:eastAsia="es-CR"/>
              </w:rPr>
            </w:pPr>
            <w:r w:rsidRPr="00990FB6">
              <w:rPr>
                <w:b/>
                <w:bCs/>
                <w:sz w:val="22"/>
                <w:szCs w:val="22"/>
                <w:lang w:eastAsia="es-CR"/>
              </w:rPr>
              <w:t>5</w:t>
            </w:r>
          </w:p>
        </w:tc>
        <w:tc>
          <w:tcPr>
            <w:tcW w:w="524" w:type="pct"/>
            <w:shd w:val="clear" w:color="auto" w:fill="auto"/>
            <w:noWrap/>
            <w:vAlign w:val="bottom"/>
          </w:tcPr>
          <w:p w14:paraId="4C4E95D5" w14:textId="77777777" w:rsidR="00B15F7D" w:rsidRPr="00990FB6" w:rsidRDefault="00B15F7D" w:rsidP="00B15F7D">
            <w:pPr>
              <w:jc w:val="center"/>
              <w:rPr>
                <w:b/>
                <w:bCs/>
                <w:sz w:val="22"/>
                <w:szCs w:val="22"/>
                <w:lang w:eastAsia="es-CR"/>
              </w:rPr>
            </w:pPr>
            <w:r w:rsidRPr="00990FB6">
              <w:rPr>
                <w:b/>
                <w:bCs/>
                <w:sz w:val="22"/>
                <w:szCs w:val="22"/>
                <w:lang w:eastAsia="es-CR"/>
              </w:rPr>
              <w:t>₡114 130 000,00</w:t>
            </w:r>
          </w:p>
        </w:tc>
        <w:tc>
          <w:tcPr>
            <w:tcW w:w="331" w:type="pct"/>
            <w:vAlign w:val="bottom"/>
          </w:tcPr>
          <w:p w14:paraId="7DD6F56D" w14:textId="77777777" w:rsidR="00B15F7D" w:rsidRPr="00990FB6" w:rsidRDefault="00B15F7D" w:rsidP="00B15F7D">
            <w:pPr>
              <w:ind w:left="-66"/>
              <w:jc w:val="center"/>
              <w:rPr>
                <w:b/>
                <w:bCs/>
                <w:sz w:val="22"/>
                <w:szCs w:val="22"/>
                <w:lang w:eastAsia="es-CR"/>
              </w:rPr>
            </w:pPr>
            <w:r w:rsidRPr="00990FB6">
              <w:rPr>
                <w:b/>
                <w:bCs/>
                <w:sz w:val="22"/>
                <w:szCs w:val="22"/>
                <w:lang w:eastAsia="es-CR"/>
              </w:rPr>
              <w:t>₡79 725 000,00</w:t>
            </w:r>
          </w:p>
        </w:tc>
        <w:tc>
          <w:tcPr>
            <w:tcW w:w="455" w:type="pct"/>
            <w:shd w:val="clear" w:color="auto" w:fill="auto"/>
            <w:noWrap/>
            <w:vAlign w:val="bottom"/>
          </w:tcPr>
          <w:p w14:paraId="3A9249C3" w14:textId="77777777" w:rsidR="00B15F7D" w:rsidRPr="00990FB6" w:rsidRDefault="00B15F7D" w:rsidP="00B15F7D">
            <w:pPr>
              <w:jc w:val="center"/>
              <w:rPr>
                <w:b/>
                <w:bCs/>
                <w:sz w:val="22"/>
                <w:szCs w:val="22"/>
                <w:lang w:eastAsia="es-CR"/>
              </w:rPr>
            </w:pPr>
            <w:r w:rsidRPr="00990FB6">
              <w:rPr>
                <w:b/>
                <w:bCs/>
                <w:sz w:val="22"/>
                <w:szCs w:val="22"/>
                <w:lang w:eastAsia="es-CR"/>
              </w:rPr>
              <w:t>₡</w:t>
            </w:r>
            <w:bookmarkStart w:id="45" w:name="_Hlk126931822"/>
            <w:r w:rsidRPr="00990FB6">
              <w:rPr>
                <w:b/>
                <w:bCs/>
                <w:sz w:val="22"/>
                <w:szCs w:val="22"/>
                <w:lang w:eastAsia="es-CR"/>
              </w:rPr>
              <w:t>8 399 963</w:t>
            </w:r>
            <w:bookmarkEnd w:id="45"/>
            <w:r w:rsidRPr="00990FB6">
              <w:rPr>
                <w:b/>
                <w:bCs/>
                <w:sz w:val="22"/>
                <w:szCs w:val="22"/>
                <w:lang w:eastAsia="es-CR"/>
              </w:rPr>
              <w:t>,00</w:t>
            </w:r>
          </w:p>
        </w:tc>
        <w:tc>
          <w:tcPr>
            <w:tcW w:w="404" w:type="pct"/>
            <w:shd w:val="clear" w:color="auto" w:fill="auto"/>
            <w:noWrap/>
            <w:vAlign w:val="bottom"/>
          </w:tcPr>
          <w:p w14:paraId="19249EBA" w14:textId="77777777" w:rsidR="00B15F7D" w:rsidRPr="00990FB6" w:rsidRDefault="00B15F7D" w:rsidP="00B15F7D">
            <w:pPr>
              <w:jc w:val="center"/>
              <w:rPr>
                <w:b/>
                <w:bCs/>
                <w:sz w:val="22"/>
                <w:szCs w:val="22"/>
                <w:lang w:eastAsia="es-CR"/>
              </w:rPr>
            </w:pPr>
            <w:r w:rsidRPr="00990FB6">
              <w:rPr>
                <w:b/>
                <w:bCs/>
                <w:sz w:val="22"/>
                <w:szCs w:val="22"/>
                <w:lang w:eastAsia="es-CR"/>
              </w:rPr>
              <w:t>₡274 280,00</w:t>
            </w:r>
          </w:p>
        </w:tc>
        <w:tc>
          <w:tcPr>
            <w:tcW w:w="524" w:type="pct"/>
            <w:shd w:val="clear" w:color="auto" w:fill="auto"/>
            <w:noWrap/>
            <w:vAlign w:val="bottom"/>
          </w:tcPr>
          <w:p w14:paraId="2CE9F3BA" w14:textId="77777777" w:rsidR="00B15F7D" w:rsidRPr="00990FB6" w:rsidRDefault="00B15F7D" w:rsidP="00B15F7D">
            <w:pPr>
              <w:jc w:val="center"/>
              <w:rPr>
                <w:b/>
                <w:bCs/>
                <w:sz w:val="22"/>
                <w:szCs w:val="22"/>
                <w:lang w:eastAsia="es-CR"/>
              </w:rPr>
            </w:pPr>
            <w:r w:rsidRPr="00990FB6">
              <w:rPr>
                <w:b/>
                <w:bCs/>
                <w:sz w:val="22"/>
                <w:szCs w:val="22"/>
                <w:lang w:eastAsia="es-CR"/>
              </w:rPr>
              <w:t>₡</w:t>
            </w:r>
            <w:bookmarkStart w:id="46" w:name="_Hlk126931678"/>
            <w:r w:rsidRPr="00990FB6">
              <w:rPr>
                <w:b/>
                <w:bCs/>
                <w:sz w:val="22"/>
                <w:szCs w:val="22"/>
                <w:lang w:eastAsia="es-CR"/>
              </w:rPr>
              <w:t>202 529 2</w:t>
            </w:r>
            <w:bookmarkEnd w:id="46"/>
            <w:r w:rsidRPr="00990FB6">
              <w:rPr>
                <w:b/>
                <w:bCs/>
                <w:sz w:val="22"/>
                <w:szCs w:val="22"/>
                <w:lang w:eastAsia="es-CR"/>
              </w:rPr>
              <w:t>43,00</w:t>
            </w:r>
          </w:p>
        </w:tc>
        <w:tc>
          <w:tcPr>
            <w:tcW w:w="362" w:type="pct"/>
            <w:vAlign w:val="bottom"/>
          </w:tcPr>
          <w:p w14:paraId="2637FC37" w14:textId="77777777" w:rsidR="00B15F7D" w:rsidRPr="00990FB6" w:rsidRDefault="00B15F7D" w:rsidP="00B15F7D">
            <w:pPr>
              <w:jc w:val="center"/>
              <w:rPr>
                <w:sz w:val="22"/>
                <w:szCs w:val="22"/>
                <w:lang w:eastAsia="es-CR"/>
              </w:rPr>
            </w:pPr>
          </w:p>
        </w:tc>
      </w:tr>
    </w:tbl>
    <w:p w14:paraId="6C0A3A70" w14:textId="77777777" w:rsidR="00B15F7D" w:rsidRPr="00990FB6" w:rsidRDefault="00B15F7D" w:rsidP="00B15F7D">
      <w:pPr>
        <w:ind w:left="851" w:right="851" w:firstLine="709"/>
        <w:jc w:val="both"/>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5F70BA4B" w14:textId="77777777" w:rsidR="00B15F7D" w:rsidRPr="00990FB6" w:rsidRDefault="00B15F7D" w:rsidP="00B15F7D">
      <w:pPr>
        <w:rPr>
          <w:sz w:val="22"/>
          <w:szCs w:val="22"/>
        </w:rPr>
      </w:pPr>
    </w:p>
    <w:p w14:paraId="02A7C6C3" w14:textId="77777777" w:rsidR="00B15F7D" w:rsidRPr="00990FB6" w:rsidRDefault="00B15F7D" w:rsidP="00B15F7D">
      <w:pPr>
        <w:rPr>
          <w:sz w:val="22"/>
          <w:szCs w:val="22"/>
        </w:rPr>
        <w:sectPr w:rsidR="00B15F7D" w:rsidRPr="00990FB6" w:rsidSect="00F61898">
          <w:pgSz w:w="15842" w:h="12242" w:orient="landscape" w:code="1"/>
          <w:pgMar w:top="1559" w:right="720" w:bottom="1469" w:left="720" w:header="709" w:footer="709" w:gutter="0"/>
          <w:pgBorders w:offsetFrom="page">
            <w:bottom w:val="single" w:sz="12" w:space="24" w:color="auto"/>
          </w:pgBorders>
          <w:cols w:space="708"/>
          <w:docGrid w:linePitch="360"/>
        </w:sectPr>
      </w:pPr>
    </w:p>
    <w:p w14:paraId="7980CF73" w14:textId="77777777" w:rsidR="00B15F7D" w:rsidRPr="00990FB6" w:rsidRDefault="00B15F7D" w:rsidP="00B15F7D">
      <w:pPr>
        <w:ind w:left="851" w:right="851" w:firstLine="709"/>
        <w:jc w:val="both"/>
        <w:rPr>
          <w:sz w:val="22"/>
          <w:szCs w:val="22"/>
        </w:rPr>
      </w:pPr>
    </w:p>
    <w:p w14:paraId="5DA359DA" w14:textId="77777777" w:rsidR="00B15F7D" w:rsidRPr="00990FB6" w:rsidRDefault="00B15F7D" w:rsidP="00B15F7D">
      <w:pPr>
        <w:ind w:left="851" w:right="851" w:firstLine="709"/>
        <w:jc w:val="both"/>
        <w:rPr>
          <w:sz w:val="22"/>
          <w:szCs w:val="22"/>
        </w:rPr>
      </w:pPr>
      <w:r w:rsidRPr="00990FB6">
        <w:rPr>
          <w:sz w:val="22"/>
          <w:szCs w:val="22"/>
        </w:rPr>
        <w:t>En el cuadro anterior se tiene que, se ha identificado la necesidad de personal para esas tres Fiscalías del Ministerio Público, las cuales ya han sido abordadas por parte de la Dirección de Planificación, durante la ejecución del proyecto de Mejora Integral del Proceso Penal; no obstante, sus respectivos informes se encuentran en proceso de remisión al Consejo Superior o en revisión por parte de esa entidad.</w:t>
      </w:r>
    </w:p>
    <w:p w14:paraId="5EBAE054" w14:textId="77777777" w:rsidR="00B15F7D" w:rsidRPr="00990FB6" w:rsidRDefault="00B15F7D" w:rsidP="00B15F7D">
      <w:pPr>
        <w:ind w:left="851" w:right="851" w:firstLine="709"/>
        <w:jc w:val="both"/>
        <w:rPr>
          <w:sz w:val="22"/>
          <w:szCs w:val="22"/>
        </w:rPr>
      </w:pPr>
    </w:p>
    <w:p w14:paraId="423CD214" w14:textId="77777777" w:rsidR="00B15F7D" w:rsidRPr="00990FB6" w:rsidRDefault="00B15F7D" w:rsidP="00B15F7D">
      <w:pPr>
        <w:ind w:left="851" w:right="851" w:firstLine="709"/>
        <w:jc w:val="both"/>
        <w:rPr>
          <w:sz w:val="22"/>
          <w:szCs w:val="22"/>
        </w:rPr>
      </w:pPr>
      <w:r w:rsidRPr="00990FB6">
        <w:rPr>
          <w:sz w:val="22"/>
          <w:szCs w:val="22"/>
        </w:rPr>
        <w:t>Es importante aclarar que, dentro de la cantidad total de plazas faltantes se incrementa en una plaza de persona fiscal para cada localidad a excepción de la Fiscalía Adjunta del Tercer Circuito Judicial de San José-Desamparados, de acuerdo con lo identificado en los respectivos diagnósticos realizados a esas oficinas, así como la necesidad de talento humano en el área de apoyo para la tramitología de los casos, por lo que el incremento anual significaría un aproximado de ₡193 855 000,00 en el presupuesto anual del Ministerio Público.</w:t>
      </w:r>
    </w:p>
    <w:p w14:paraId="325421C2" w14:textId="77777777" w:rsidR="00B15F7D" w:rsidRPr="00990FB6" w:rsidRDefault="00B15F7D" w:rsidP="00B15F7D">
      <w:pPr>
        <w:ind w:left="851" w:right="851" w:firstLine="709"/>
        <w:jc w:val="both"/>
        <w:rPr>
          <w:sz w:val="22"/>
          <w:szCs w:val="22"/>
        </w:rPr>
      </w:pPr>
    </w:p>
    <w:p w14:paraId="609FD6CE" w14:textId="77777777" w:rsidR="00B15F7D" w:rsidRPr="00990FB6" w:rsidRDefault="00B15F7D" w:rsidP="00B15F7D">
      <w:pPr>
        <w:ind w:left="851" w:right="851" w:firstLine="709"/>
        <w:jc w:val="both"/>
        <w:rPr>
          <w:sz w:val="22"/>
          <w:szCs w:val="22"/>
        </w:rPr>
      </w:pPr>
      <w:r w:rsidRPr="00990FB6">
        <w:rPr>
          <w:sz w:val="22"/>
          <w:szCs w:val="22"/>
        </w:rPr>
        <w:t>Lo expuesto anteriormente provocaría con que se pueda contar con estructuras ordinarias formales para disminuir los tiempos de traslado de los tribunales, como en el caso de Hatillo, así como en el desarrollo de juicios unipersonales o colegiados simultáneos en la zona, mejorar el servicio hacia la persona usuaria y descongestionar a las oficinas, ya que se implicaría un aumento en la cantidad de señalamientos a juicio que se puedan realizar, pues se va a contar con más talento humano disponible.</w:t>
      </w:r>
    </w:p>
    <w:p w14:paraId="6F009A0A" w14:textId="77777777" w:rsidR="00B15F7D" w:rsidRPr="00990FB6" w:rsidRDefault="00B15F7D" w:rsidP="00B15F7D">
      <w:pPr>
        <w:ind w:left="851" w:right="851" w:firstLine="709"/>
        <w:jc w:val="both"/>
        <w:rPr>
          <w:sz w:val="22"/>
          <w:szCs w:val="22"/>
        </w:rPr>
      </w:pPr>
    </w:p>
    <w:p w14:paraId="05225F7B" w14:textId="77777777" w:rsidR="00B15F7D" w:rsidRPr="00990FB6" w:rsidRDefault="00B15F7D" w:rsidP="00B15F7D">
      <w:pPr>
        <w:ind w:left="851" w:right="851" w:firstLine="709"/>
        <w:jc w:val="both"/>
        <w:rPr>
          <w:sz w:val="22"/>
          <w:szCs w:val="22"/>
        </w:rPr>
      </w:pPr>
      <w:r w:rsidRPr="00990FB6">
        <w:rPr>
          <w:sz w:val="22"/>
          <w:szCs w:val="22"/>
        </w:rPr>
        <w:t>Cabe mencionar que en total se tendría un costo total de ₡202 529 243,00 aproximadamente, si se agrega el costo por equipo, licencias y mobiliario con el que deberían contar las dos plazas nuevas, el cuál sería de ₡8 674 243,00, así como que el monto correspondiente a la compra de equipo y mobiliario (₡8 399 963,00) sería solo para el primer año.</w:t>
      </w:r>
    </w:p>
    <w:p w14:paraId="12B5B040" w14:textId="77777777" w:rsidR="00B15F7D" w:rsidRPr="00990FB6" w:rsidRDefault="00B15F7D" w:rsidP="00B15F7D">
      <w:pPr>
        <w:ind w:right="851"/>
        <w:jc w:val="both"/>
        <w:rPr>
          <w:sz w:val="22"/>
          <w:szCs w:val="22"/>
        </w:rPr>
      </w:pPr>
    </w:p>
    <w:p w14:paraId="5F37546D" w14:textId="77777777" w:rsidR="00B15F7D" w:rsidRPr="00990FB6" w:rsidRDefault="00B15F7D" w:rsidP="00B15F7D">
      <w:pPr>
        <w:ind w:left="851" w:right="851" w:firstLine="709"/>
        <w:jc w:val="both"/>
        <w:rPr>
          <w:b/>
          <w:i/>
          <w:sz w:val="22"/>
          <w:szCs w:val="22"/>
        </w:rPr>
      </w:pPr>
      <w:r w:rsidRPr="00990FB6">
        <w:rPr>
          <w:b/>
          <w:sz w:val="22"/>
          <w:szCs w:val="22"/>
        </w:rPr>
        <w:t xml:space="preserve">Cuadro </w:t>
      </w:r>
      <w:r w:rsidRPr="00990FB6">
        <w:rPr>
          <w:b/>
          <w:i/>
          <w:sz w:val="22"/>
          <w:szCs w:val="22"/>
        </w:rPr>
        <w:fldChar w:fldCharType="begin"/>
      </w:r>
      <w:r w:rsidRPr="00990FB6">
        <w:rPr>
          <w:b/>
          <w:sz w:val="22"/>
          <w:szCs w:val="22"/>
        </w:rPr>
        <w:instrText xml:space="preserve"> SEQ Escenario \* ARABIC </w:instrText>
      </w:r>
      <w:r w:rsidRPr="00990FB6">
        <w:rPr>
          <w:b/>
          <w:i/>
          <w:sz w:val="22"/>
          <w:szCs w:val="22"/>
        </w:rPr>
        <w:fldChar w:fldCharType="separate"/>
      </w:r>
      <w:r w:rsidRPr="00990FB6">
        <w:rPr>
          <w:b/>
          <w:noProof/>
          <w:sz w:val="22"/>
          <w:szCs w:val="22"/>
        </w:rPr>
        <w:t>2</w:t>
      </w:r>
      <w:r w:rsidRPr="00990FB6">
        <w:rPr>
          <w:b/>
          <w:i/>
          <w:sz w:val="22"/>
          <w:szCs w:val="22"/>
        </w:rPr>
        <w:fldChar w:fldCharType="end"/>
      </w:r>
    </w:p>
    <w:p w14:paraId="68AEB6E2" w14:textId="77777777" w:rsidR="00B15F7D" w:rsidRPr="00990FB6" w:rsidRDefault="00B15F7D" w:rsidP="00B15F7D">
      <w:pPr>
        <w:ind w:left="851" w:right="851" w:firstLine="709"/>
        <w:jc w:val="both"/>
        <w:rPr>
          <w:b/>
          <w:i/>
          <w:sz w:val="22"/>
          <w:szCs w:val="22"/>
        </w:rPr>
      </w:pPr>
    </w:p>
    <w:p w14:paraId="11AADB6A" w14:textId="77777777" w:rsidR="00B15F7D" w:rsidRPr="00990FB6" w:rsidRDefault="00B15F7D" w:rsidP="00B15F7D">
      <w:pPr>
        <w:ind w:left="851" w:right="851" w:firstLine="709"/>
        <w:jc w:val="both"/>
        <w:rPr>
          <w:b/>
          <w:sz w:val="22"/>
          <w:szCs w:val="22"/>
        </w:rPr>
      </w:pPr>
      <w:r w:rsidRPr="00990FB6">
        <w:rPr>
          <w:b/>
          <w:sz w:val="22"/>
          <w:szCs w:val="22"/>
        </w:rPr>
        <w:t>Fiscalías del Ministerio Público que han sido abordadas donde se cuenta con personal del Proyecto de Descongestionamiento y donde se hace indispensable la permanencia de ese talento humano en el lugar.</w:t>
      </w:r>
    </w:p>
    <w:p w14:paraId="62B026C8" w14:textId="77777777" w:rsidR="00B15F7D" w:rsidRPr="00990FB6" w:rsidRDefault="00B15F7D" w:rsidP="00B15F7D">
      <w:pPr>
        <w:rPr>
          <w:sz w:val="22"/>
          <w:szCs w:val="22"/>
        </w:rPr>
      </w:pPr>
    </w:p>
    <w:p w14:paraId="1ACCA61E" w14:textId="77777777" w:rsidR="00B15F7D" w:rsidRPr="00990FB6" w:rsidRDefault="00B15F7D" w:rsidP="00B15F7D">
      <w:pPr>
        <w:jc w:val="center"/>
        <w:rPr>
          <w:b/>
          <w:bCs/>
          <w:sz w:val="22"/>
          <w:szCs w:val="22"/>
          <w:lang w:eastAsia="es-CR"/>
        </w:rPr>
        <w:sectPr w:rsidR="00B15F7D" w:rsidRPr="00990FB6" w:rsidSect="00827D58">
          <w:pgSz w:w="12242" w:h="15842" w:code="1"/>
          <w:pgMar w:top="719" w:right="1469" w:bottom="719" w:left="1560" w:header="709" w:footer="709" w:gutter="0"/>
          <w:pgBorders w:offsetFrom="page">
            <w:bottom w:val="single" w:sz="12" w:space="24" w:color="auto"/>
          </w:pgBorders>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3"/>
        <w:gridCol w:w="1207"/>
        <w:gridCol w:w="1233"/>
        <w:gridCol w:w="1290"/>
        <w:gridCol w:w="1269"/>
        <w:gridCol w:w="1157"/>
        <w:gridCol w:w="1674"/>
        <w:gridCol w:w="1454"/>
        <w:gridCol w:w="1301"/>
        <w:gridCol w:w="1674"/>
      </w:tblGrid>
      <w:tr w:rsidR="00B15F7D" w:rsidRPr="00990FB6" w14:paraId="41529CDB" w14:textId="77777777" w:rsidTr="000A0C22">
        <w:trPr>
          <w:trHeight w:val="862"/>
          <w:jc w:val="center"/>
        </w:trPr>
        <w:tc>
          <w:tcPr>
            <w:tcW w:w="552" w:type="pct"/>
            <w:shd w:val="clear" w:color="auto" w:fill="0B64A0"/>
            <w:noWrap/>
            <w:vAlign w:val="center"/>
            <w:hideMark/>
          </w:tcPr>
          <w:p w14:paraId="380D901C" w14:textId="77777777" w:rsidR="00B15F7D" w:rsidRPr="00990FB6" w:rsidRDefault="00B15F7D" w:rsidP="00B15F7D">
            <w:pPr>
              <w:jc w:val="center"/>
              <w:rPr>
                <w:b/>
                <w:bCs/>
                <w:sz w:val="22"/>
                <w:szCs w:val="22"/>
                <w:lang w:eastAsia="es-CR"/>
              </w:rPr>
            </w:pPr>
            <w:r w:rsidRPr="00990FB6">
              <w:rPr>
                <w:b/>
                <w:bCs/>
                <w:sz w:val="22"/>
                <w:szCs w:val="22"/>
                <w:lang w:eastAsia="es-CR"/>
              </w:rPr>
              <w:lastRenderedPageBreak/>
              <w:t>Despacho Datos 2023</w:t>
            </w:r>
          </w:p>
        </w:tc>
        <w:tc>
          <w:tcPr>
            <w:tcW w:w="448" w:type="pct"/>
            <w:shd w:val="clear" w:color="auto" w:fill="0B64A0"/>
            <w:vAlign w:val="center"/>
            <w:hideMark/>
          </w:tcPr>
          <w:p w14:paraId="7B5E5963" w14:textId="77777777" w:rsidR="00B15F7D" w:rsidRPr="00990FB6" w:rsidRDefault="00B15F7D" w:rsidP="00B15F7D">
            <w:pPr>
              <w:jc w:val="center"/>
              <w:rPr>
                <w:b/>
                <w:bCs/>
                <w:sz w:val="22"/>
                <w:szCs w:val="22"/>
                <w:lang w:eastAsia="es-CR"/>
              </w:rPr>
            </w:pPr>
            <w:r w:rsidRPr="00990FB6">
              <w:rPr>
                <w:b/>
                <w:bCs/>
                <w:sz w:val="22"/>
                <w:szCs w:val="22"/>
                <w:lang w:eastAsia="es-CR"/>
              </w:rPr>
              <w:t>Cantidad actual de personal fiscal</w:t>
            </w:r>
          </w:p>
        </w:tc>
        <w:tc>
          <w:tcPr>
            <w:tcW w:w="457" w:type="pct"/>
            <w:shd w:val="clear" w:color="auto" w:fill="0B64A0"/>
            <w:vAlign w:val="center"/>
            <w:hideMark/>
          </w:tcPr>
          <w:p w14:paraId="6D981549" w14:textId="77777777" w:rsidR="00B15F7D" w:rsidRPr="00990FB6" w:rsidRDefault="00B15F7D" w:rsidP="00B15F7D">
            <w:pPr>
              <w:jc w:val="center"/>
              <w:rPr>
                <w:b/>
                <w:bCs/>
                <w:sz w:val="22"/>
                <w:szCs w:val="22"/>
                <w:lang w:eastAsia="es-CR"/>
              </w:rPr>
            </w:pPr>
            <w:r w:rsidRPr="00990FB6">
              <w:rPr>
                <w:b/>
                <w:bCs/>
                <w:sz w:val="22"/>
                <w:szCs w:val="22"/>
                <w:lang w:eastAsia="es-CR"/>
              </w:rPr>
              <w:t>Secciones Colegiadas actuales</w:t>
            </w:r>
          </w:p>
        </w:tc>
        <w:tc>
          <w:tcPr>
            <w:tcW w:w="419" w:type="pct"/>
            <w:shd w:val="clear" w:color="auto" w:fill="0B64A0"/>
            <w:vAlign w:val="center"/>
            <w:hideMark/>
          </w:tcPr>
          <w:p w14:paraId="7E758821" w14:textId="77777777" w:rsidR="00B15F7D" w:rsidRPr="00990FB6" w:rsidRDefault="00B15F7D" w:rsidP="00B15F7D">
            <w:pPr>
              <w:jc w:val="center"/>
              <w:rPr>
                <w:b/>
                <w:bCs/>
                <w:sz w:val="22"/>
                <w:szCs w:val="22"/>
                <w:lang w:eastAsia="es-CR"/>
              </w:rPr>
            </w:pPr>
            <w:r w:rsidRPr="00990FB6">
              <w:rPr>
                <w:b/>
                <w:bCs/>
                <w:sz w:val="22"/>
                <w:szCs w:val="22"/>
                <w:lang w:eastAsia="es-CR"/>
              </w:rPr>
              <w:t>Secciones Unipersonal actuales</w:t>
            </w:r>
          </w:p>
        </w:tc>
        <w:tc>
          <w:tcPr>
            <w:tcW w:w="469" w:type="pct"/>
            <w:shd w:val="clear" w:color="auto" w:fill="0B64A0"/>
            <w:vAlign w:val="center"/>
            <w:hideMark/>
          </w:tcPr>
          <w:p w14:paraId="7DF44881" w14:textId="77777777" w:rsidR="00B15F7D" w:rsidRPr="00990FB6" w:rsidRDefault="00B15F7D" w:rsidP="00B15F7D">
            <w:pPr>
              <w:jc w:val="center"/>
              <w:rPr>
                <w:b/>
                <w:bCs/>
                <w:sz w:val="22"/>
                <w:szCs w:val="22"/>
                <w:lang w:eastAsia="es-CR"/>
              </w:rPr>
            </w:pPr>
            <w:r w:rsidRPr="00990FB6">
              <w:rPr>
                <w:b/>
                <w:bCs/>
                <w:sz w:val="22"/>
                <w:szCs w:val="22"/>
                <w:lang w:eastAsia="es-CR"/>
              </w:rPr>
              <w:t>Secciones Mixtas actuales</w:t>
            </w:r>
          </w:p>
        </w:tc>
        <w:tc>
          <w:tcPr>
            <w:tcW w:w="430" w:type="pct"/>
            <w:shd w:val="clear" w:color="auto" w:fill="0B64A0"/>
            <w:vAlign w:val="center"/>
            <w:hideMark/>
          </w:tcPr>
          <w:p w14:paraId="1F8E7A12" w14:textId="77777777" w:rsidR="00B15F7D" w:rsidRPr="00990FB6" w:rsidRDefault="00B15F7D" w:rsidP="00B15F7D">
            <w:pPr>
              <w:jc w:val="center"/>
              <w:rPr>
                <w:b/>
                <w:bCs/>
                <w:sz w:val="22"/>
                <w:szCs w:val="22"/>
                <w:lang w:eastAsia="es-CR"/>
              </w:rPr>
            </w:pPr>
            <w:r w:rsidRPr="00990FB6">
              <w:rPr>
                <w:b/>
                <w:bCs/>
                <w:sz w:val="22"/>
                <w:szCs w:val="22"/>
                <w:lang w:eastAsia="es-CR"/>
              </w:rPr>
              <w:t>Cantidad de personal fiscal nuevo</w:t>
            </w:r>
          </w:p>
        </w:tc>
        <w:tc>
          <w:tcPr>
            <w:tcW w:w="601" w:type="pct"/>
            <w:shd w:val="clear" w:color="auto" w:fill="0B64A0"/>
            <w:vAlign w:val="center"/>
            <w:hideMark/>
          </w:tcPr>
          <w:p w14:paraId="37EDCC19" w14:textId="77777777" w:rsidR="00B15F7D" w:rsidRPr="00990FB6" w:rsidRDefault="00B15F7D" w:rsidP="00B15F7D">
            <w:pPr>
              <w:jc w:val="center"/>
              <w:rPr>
                <w:b/>
                <w:bCs/>
                <w:sz w:val="22"/>
                <w:szCs w:val="22"/>
                <w:lang w:eastAsia="es-CR"/>
              </w:rPr>
            </w:pPr>
            <w:r w:rsidRPr="00990FB6">
              <w:rPr>
                <w:b/>
                <w:bCs/>
                <w:sz w:val="22"/>
                <w:szCs w:val="22"/>
                <w:lang w:eastAsia="es-CR"/>
              </w:rPr>
              <w:t>Costo anual por persona fiscal</w:t>
            </w:r>
          </w:p>
        </w:tc>
        <w:tc>
          <w:tcPr>
            <w:tcW w:w="541" w:type="pct"/>
            <w:shd w:val="clear" w:color="auto" w:fill="0B64A0"/>
            <w:vAlign w:val="center"/>
            <w:hideMark/>
          </w:tcPr>
          <w:p w14:paraId="38BBA077" w14:textId="77777777" w:rsidR="00B15F7D" w:rsidRPr="00990FB6" w:rsidRDefault="00B15F7D" w:rsidP="00B15F7D">
            <w:pPr>
              <w:jc w:val="center"/>
              <w:rPr>
                <w:b/>
                <w:bCs/>
                <w:sz w:val="22"/>
                <w:szCs w:val="22"/>
                <w:lang w:eastAsia="es-CR"/>
              </w:rPr>
            </w:pPr>
            <w:r w:rsidRPr="00990FB6">
              <w:rPr>
                <w:b/>
                <w:bCs/>
                <w:sz w:val="22"/>
                <w:szCs w:val="22"/>
                <w:lang w:eastAsia="es-CR"/>
              </w:rPr>
              <w:t>Costo por Mobiliario y Equipo</w:t>
            </w:r>
          </w:p>
        </w:tc>
        <w:tc>
          <w:tcPr>
            <w:tcW w:w="480" w:type="pct"/>
            <w:shd w:val="clear" w:color="auto" w:fill="0B64A0"/>
            <w:vAlign w:val="center"/>
            <w:hideMark/>
          </w:tcPr>
          <w:p w14:paraId="1107D6B7" w14:textId="77777777" w:rsidR="00B15F7D" w:rsidRPr="00990FB6" w:rsidRDefault="00B15F7D" w:rsidP="00B15F7D">
            <w:pPr>
              <w:jc w:val="center"/>
              <w:rPr>
                <w:b/>
                <w:bCs/>
                <w:sz w:val="22"/>
                <w:szCs w:val="22"/>
                <w:lang w:eastAsia="es-CR"/>
              </w:rPr>
            </w:pPr>
            <w:r w:rsidRPr="00990FB6">
              <w:rPr>
                <w:b/>
                <w:bCs/>
                <w:sz w:val="22"/>
                <w:szCs w:val="22"/>
                <w:lang w:eastAsia="es-CR"/>
              </w:rPr>
              <w:t>Costo por licencias</w:t>
            </w:r>
          </w:p>
        </w:tc>
        <w:tc>
          <w:tcPr>
            <w:tcW w:w="602" w:type="pct"/>
            <w:shd w:val="clear" w:color="auto" w:fill="0B64A0"/>
            <w:vAlign w:val="center"/>
            <w:hideMark/>
          </w:tcPr>
          <w:p w14:paraId="74C4EA04"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r>
      <w:tr w:rsidR="00B15F7D" w:rsidRPr="00990FB6" w14:paraId="42C3540B" w14:textId="77777777" w:rsidTr="000A0C22">
        <w:trPr>
          <w:trHeight w:val="310"/>
          <w:jc w:val="center"/>
        </w:trPr>
        <w:tc>
          <w:tcPr>
            <w:tcW w:w="552" w:type="pct"/>
            <w:shd w:val="clear" w:color="auto" w:fill="D9E2F3"/>
            <w:vAlign w:val="center"/>
            <w:hideMark/>
          </w:tcPr>
          <w:p w14:paraId="19584BB6" w14:textId="77777777" w:rsidR="00B15F7D" w:rsidRPr="00990FB6" w:rsidRDefault="00B15F7D" w:rsidP="00B15F7D">
            <w:pPr>
              <w:rPr>
                <w:sz w:val="22"/>
                <w:szCs w:val="22"/>
                <w:lang w:eastAsia="es-CR"/>
              </w:rPr>
            </w:pPr>
            <w:r w:rsidRPr="00990FB6">
              <w:rPr>
                <w:sz w:val="22"/>
                <w:szCs w:val="22"/>
                <w:lang w:eastAsia="es-CR"/>
              </w:rPr>
              <w:t>Fiscalía de Santa Cruz</w:t>
            </w:r>
          </w:p>
        </w:tc>
        <w:tc>
          <w:tcPr>
            <w:tcW w:w="448" w:type="pct"/>
            <w:shd w:val="clear" w:color="auto" w:fill="auto"/>
            <w:noWrap/>
            <w:vAlign w:val="center"/>
            <w:hideMark/>
          </w:tcPr>
          <w:p w14:paraId="6B5D49E6" w14:textId="77777777" w:rsidR="00B15F7D" w:rsidRPr="00990FB6" w:rsidRDefault="00B15F7D" w:rsidP="00B15F7D">
            <w:pPr>
              <w:jc w:val="center"/>
              <w:rPr>
                <w:sz w:val="22"/>
                <w:szCs w:val="22"/>
                <w:lang w:eastAsia="es-CR"/>
              </w:rPr>
            </w:pPr>
            <w:r w:rsidRPr="00990FB6">
              <w:rPr>
                <w:sz w:val="22"/>
                <w:szCs w:val="22"/>
                <w:lang w:eastAsia="es-CR"/>
              </w:rPr>
              <w:t>2</w:t>
            </w:r>
          </w:p>
        </w:tc>
        <w:tc>
          <w:tcPr>
            <w:tcW w:w="457" w:type="pct"/>
            <w:shd w:val="clear" w:color="auto" w:fill="auto"/>
            <w:noWrap/>
            <w:vAlign w:val="center"/>
            <w:hideMark/>
          </w:tcPr>
          <w:p w14:paraId="74E8F303" w14:textId="77777777" w:rsidR="00B15F7D" w:rsidRPr="00990FB6" w:rsidRDefault="00B15F7D" w:rsidP="00B15F7D">
            <w:pPr>
              <w:jc w:val="center"/>
              <w:rPr>
                <w:sz w:val="22"/>
                <w:szCs w:val="22"/>
                <w:lang w:eastAsia="es-CR"/>
              </w:rPr>
            </w:pPr>
            <w:r w:rsidRPr="00990FB6">
              <w:rPr>
                <w:sz w:val="22"/>
                <w:szCs w:val="22"/>
                <w:lang w:eastAsia="es-CR"/>
              </w:rPr>
              <w:t>1</w:t>
            </w:r>
          </w:p>
        </w:tc>
        <w:tc>
          <w:tcPr>
            <w:tcW w:w="419" w:type="pct"/>
            <w:shd w:val="clear" w:color="auto" w:fill="auto"/>
            <w:noWrap/>
            <w:vAlign w:val="center"/>
            <w:hideMark/>
          </w:tcPr>
          <w:p w14:paraId="27BFC10A" w14:textId="77777777" w:rsidR="00B15F7D" w:rsidRPr="00990FB6" w:rsidRDefault="00B15F7D" w:rsidP="00B15F7D">
            <w:pPr>
              <w:jc w:val="center"/>
              <w:rPr>
                <w:sz w:val="22"/>
                <w:szCs w:val="22"/>
                <w:lang w:eastAsia="es-CR"/>
              </w:rPr>
            </w:pPr>
            <w:r w:rsidRPr="00990FB6">
              <w:rPr>
                <w:sz w:val="22"/>
                <w:szCs w:val="22"/>
                <w:lang w:eastAsia="es-CR"/>
              </w:rPr>
              <w:t>2</w:t>
            </w:r>
          </w:p>
        </w:tc>
        <w:tc>
          <w:tcPr>
            <w:tcW w:w="469" w:type="pct"/>
            <w:shd w:val="clear" w:color="auto" w:fill="auto"/>
            <w:noWrap/>
            <w:vAlign w:val="center"/>
            <w:hideMark/>
          </w:tcPr>
          <w:p w14:paraId="025D555C" w14:textId="77777777" w:rsidR="00B15F7D" w:rsidRPr="00990FB6" w:rsidRDefault="00B15F7D" w:rsidP="00B15F7D">
            <w:pPr>
              <w:jc w:val="center"/>
              <w:rPr>
                <w:sz w:val="22"/>
                <w:szCs w:val="22"/>
                <w:lang w:eastAsia="es-CR"/>
              </w:rPr>
            </w:pPr>
            <w:r w:rsidRPr="00990FB6">
              <w:rPr>
                <w:sz w:val="22"/>
                <w:szCs w:val="22"/>
                <w:lang w:eastAsia="es-CR"/>
              </w:rPr>
              <w:t>0</w:t>
            </w:r>
          </w:p>
        </w:tc>
        <w:tc>
          <w:tcPr>
            <w:tcW w:w="430" w:type="pct"/>
            <w:shd w:val="clear" w:color="auto" w:fill="auto"/>
            <w:noWrap/>
            <w:vAlign w:val="bottom"/>
            <w:hideMark/>
          </w:tcPr>
          <w:p w14:paraId="51A04ACA" w14:textId="77777777" w:rsidR="00B15F7D" w:rsidRPr="00990FB6" w:rsidRDefault="00B15F7D" w:rsidP="00B15F7D">
            <w:pPr>
              <w:jc w:val="center"/>
              <w:rPr>
                <w:sz w:val="22"/>
                <w:szCs w:val="22"/>
                <w:lang w:eastAsia="es-CR"/>
              </w:rPr>
            </w:pPr>
            <w:r w:rsidRPr="00990FB6">
              <w:rPr>
                <w:sz w:val="22"/>
                <w:szCs w:val="22"/>
                <w:lang w:eastAsia="es-CR"/>
              </w:rPr>
              <w:t>1</w:t>
            </w:r>
          </w:p>
        </w:tc>
        <w:tc>
          <w:tcPr>
            <w:tcW w:w="601" w:type="pct"/>
            <w:shd w:val="clear" w:color="auto" w:fill="auto"/>
            <w:noWrap/>
            <w:vAlign w:val="bottom"/>
            <w:hideMark/>
          </w:tcPr>
          <w:p w14:paraId="0D621336"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1" w:type="pct"/>
            <w:shd w:val="clear" w:color="auto" w:fill="auto"/>
            <w:noWrap/>
            <w:hideMark/>
          </w:tcPr>
          <w:p w14:paraId="0687B159" w14:textId="77777777" w:rsidR="00B15F7D" w:rsidRPr="00990FB6" w:rsidRDefault="00B15F7D" w:rsidP="00B15F7D">
            <w:pPr>
              <w:jc w:val="center"/>
              <w:rPr>
                <w:sz w:val="22"/>
                <w:szCs w:val="22"/>
                <w:lang w:eastAsia="es-CR"/>
              </w:rPr>
            </w:pPr>
            <w:r w:rsidRPr="00990FB6">
              <w:rPr>
                <w:sz w:val="22"/>
                <w:szCs w:val="22"/>
                <w:lang w:eastAsia="es-CR"/>
              </w:rPr>
              <w:t>₡0,00</w:t>
            </w:r>
          </w:p>
        </w:tc>
        <w:tc>
          <w:tcPr>
            <w:tcW w:w="480" w:type="pct"/>
            <w:shd w:val="clear" w:color="auto" w:fill="auto"/>
            <w:noWrap/>
            <w:hideMark/>
          </w:tcPr>
          <w:p w14:paraId="1EAB55B0"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02" w:type="pct"/>
            <w:shd w:val="clear" w:color="auto" w:fill="auto"/>
            <w:noWrap/>
            <w:vAlign w:val="bottom"/>
            <w:hideMark/>
          </w:tcPr>
          <w:p w14:paraId="2E02F6D0" w14:textId="77777777" w:rsidR="00B15F7D" w:rsidRPr="00990FB6" w:rsidRDefault="00B15F7D" w:rsidP="00B15F7D">
            <w:pPr>
              <w:jc w:val="center"/>
              <w:rPr>
                <w:sz w:val="22"/>
                <w:szCs w:val="22"/>
                <w:lang w:eastAsia="es-CR"/>
              </w:rPr>
            </w:pPr>
            <w:r w:rsidRPr="00990FB6">
              <w:rPr>
                <w:sz w:val="22"/>
                <w:szCs w:val="22"/>
                <w:lang w:eastAsia="es-CR"/>
              </w:rPr>
              <w:t>₡57 202 140,00</w:t>
            </w:r>
          </w:p>
        </w:tc>
      </w:tr>
      <w:tr w:rsidR="00B15F7D" w:rsidRPr="00990FB6" w14:paraId="3A130833" w14:textId="77777777" w:rsidTr="000A0C22">
        <w:trPr>
          <w:trHeight w:val="310"/>
          <w:jc w:val="center"/>
        </w:trPr>
        <w:tc>
          <w:tcPr>
            <w:tcW w:w="552" w:type="pct"/>
            <w:shd w:val="clear" w:color="auto" w:fill="D9E2F3"/>
            <w:vAlign w:val="center"/>
            <w:hideMark/>
          </w:tcPr>
          <w:p w14:paraId="5A7BF29A" w14:textId="77777777" w:rsidR="00B15F7D" w:rsidRPr="00990FB6" w:rsidRDefault="00B15F7D" w:rsidP="00B15F7D">
            <w:pPr>
              <w:rPr>
                <w:sz w:val="22"/>
                <w:szCs w:val="22"/>
                <w:lang w:eastAsia="es-CR"/>
              </w:rPr>
            </w:pPr>
            <w:r w:rsidRPr="00990FB6">
              <w:rPr>
                <w:sz w:val="22"/>
                <w:szCs w:val="22"/>
                <w:lang w:eastAsia="es-CR"/>
              </w:rPr>
              <w:t>Fiscalía de Turrialba</w:t>
            </w:r>
          </w:p>
        </w:tc>
        <w:tc>
          <w:tcPr>
            <w:tcW w:w="448" w:type="pct"/>
            <w:shd w:val="clear" w:color="auto" w:fill="auto"/>
            <w:noWrap/>
            <w:vAlign w:val="center"/>
            <w:hideMark/>
          </w:tcPr>
          <w:p w14:paraId="6016D828" w14:textId="77777777" w:rsidR="00B15F7D" w:rsidRPr="00990FB6" w:rsidRDefault="00B15F7D" w:rsidP="00B15F7D">
            <w:pPr>
              <w:jc w:val="center"/>
              <w:rPr>
                <w:sz w:val="22"/>
                <w:szCs w:val="22"/>
                <w:lang w:eastAsia="es-CR"/>
              </w:rPr>
            </w:pPr>
            <w:r w:rsidRPr="00990FB6">
              <w:rPr>
                <w:sz w:val="22"/>
                <w:szCs w:val="22"/>
                <w:lang w:eastAsia="es-CR"/>
              </w:rPr>
              <w:t>1</w:t>
            </w:r>
          </w:p>
        </w:tc>
        <w:tc>
          <w:tcPr>
            <w:tcW w:w="457" w:type="pct"/>
            <w:shd w:val="clear" w:color="auto" w:fill="auto"/>
            <w:noWrap/>
            <w:vAlign w:val="center"/>
            <w:hideMark/>
          </w:tcPr>
          <w:p w14:paraId="676F6B0B" w14:textId="77777777" w:rsidR="00B15F7D" w:rsidRPr="00990FB6" w:rsidRDefault="00B15F7D" w:rsidP="00B15F7D">
            <w:pPr>
              <w:jc w:val="center"/>
              <w:rPr>
                <w:sz w:val="22"/>
                <w:szCs w:val="22"/>
                <w:lang w:eastAsia="es-CR"/>
              </w:rPr>
            </w:pPr>
            <w:r w:rsidRPr="00990FB6">
              <w:rPr>
                <w:sz w:val="22"/>
                <w:szCs w:val="22"/>
                <w:lang w:eastAsia="es-CR"/>
              </w:rPr>
              <w:t>0</w:t>
            </w:r>
          </w:p>
        </w:tc>
        <w:tc>
          <w:tcPr>
            <w:tcW w:w="419" w:type="pct"/>
            <w:shd w:val="clear" w:color="auto" w:fill="auto"/>
            <w:noWrap/>
            <w:vAlign w:val="center"/>
            <w:hideMark/>
          </w:tcPr>
          <w:p w14:paraId="386A7025" w14:textId="77777777" w:rsidR="00B15F7D" w:rsidRPr="00990FB6" w:rsidRDefault="00B15F7D" w:rsidP="00B15F7D">
            <w:pPr>
              <w:jc w:val="center"/>
              <w:rPr>
                <w:sz w:val="22"/>
                <w:szCs w:val="22"/>
                <w:lang w:eastAsia="es-CR"/>
              </w:rPr>
            </w:pPr>
            <w:r w:rsidRPr="00990FB6">
              <w:rPr>
                <w:sz w:val="22"/>
                <w:szCs w:val="22"/>
                <w:lang w:eastAsia="es-CR"/>
              </w:rPr>
              <w:t>0</w:t>
            </w:r>
          </w:p>
        </w:tc>
        <w:tc>
          <w:tcPr>
            <w:tcW w:w="469" w:type="pct"/>
            <w:shd w:val="clear" w:color="auto" w:fill="auto"/>
            <w:noWrap/>
            <w:vAlign w:val="center"/>
            <w:hideMark/>
          </w:tcPr>
          <w:p w14:paraId="665D0B8A" w14:textId="77777777" w:rsidR="00B15F7D" w:rsidRPr="00990FB6" w:rsidRDefault="00B15F7D" w:rsidP="00B15F7D">
            <w:pPr>
              <w:jc w:val="center"/>
              <w:rPr>
                <w:sz w:val="22"/>
                <w:szCs w:val="22"/>
                <w:lang w:eastAsia="es-CR"/>
              </w:rPr>
            </w:pPr>
            <w:r w:rsidRPr="00990FB6">
              <w:rPr>
                <w:sz w:val="22"/>
                <w:szCs w:val="22"/>
                <w:lang w:eastAsia="es-CR"/>
              </w:rPr>
              <w:t>1</w:t>
            </w:r>
          </w:p>
        </w:tc>
        <w:tc>
          <w:tcPr>
            <w:tcW w:w="430" w:type="pct"/>
            <w:shd w:val="clear" w:color="auto" w:fill="auto"/>
            <w:noWrap/>
            <w:vAlign w:val="bottom"/>
            <w:hideMark/>
          </w:tcPr>
          <w:p w14:paraId="1A908DA5" w14:textId="77777777" w:rsidR="00B15F7D" w:rsidRPr="00990FB6" w:rsidRDefault="00B15F7D" w:rsidP="00B15F7D">
            <w:pPr>
              <w:jc w:val="center"/>
              <w:rPr>
                <w:sz w:val="22"/>
                <w:szCs w:val="22"/>
                <w:lang w:eastAsia="es-CR"/>
              </w:rPr>
            </w:pPr>
            <w:r w:rsidRPr="00990FB6">
              <w:rPr>
                <w:sz w:val="22"/>
                <w:szCs w:val="22"/>
                <w:lang w:eastAsia="es-CR"/>
              </w:rPr>
              <w:t>1</w:t>
            </w:r>
          </w:p>
        </w:tc>
        <w:tc>
          <w:tcPr>
            <w:tcW w:w="601" w:type="pct"/>
            <w:shd w:val="clear" w:color="auto" w:fill="auto"/>
            <w:noWrap/>
            <w:vAlign w:val="bottom"/>
            <w:hideMark/>
          </w:tcPr>
          <w:p w14:paraId="3696A49F"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1" w:type="pct"/>
            <w:shd w:val="clear" w:color="auto" w:fill="auto"/>
            <w:noWrap/>
            <w:hideMark/>
          </w:tcPr>
          <w:p w14:paraId="4C362BA5" w14:textId="77777777" w:rsidR="00B15F7D" w:rsidRPr="00990FB6" w:rsidRDefault="00B15F7D" w:rsidP="00B15F7D">
            <w:pPr>
              <w:jc w:val="center"/>
              <w:rPr>
                <w:sz w:val="22"/>
                <w:szCs w:val="22"/>
                <w:lang w:eastAsia="es-CR"/>
              </w:rPr>
            </w:pPr>
            <w:r w:rsidRPr="00990FB6">
              <w:rPr>
                <w:sz w:val="22"/>
                <w:szCs w:val="22"/>
                <w:lang w:eastAsia="es-CR"/>
              </w:rPr>
              <w:t>₡0,00</w:t>
            </w:r>
          </w:p>
        </w:tc>
        <w:tc>
          <w:tcPr>
            <w:tcW w:w="480" w:type="pct"/>
            <w:shd w:val="clear" w:color="auto" w:fill="auto"/>
            <w:noWrap/>
            <w:hideMark/>
          </w:tcPr>
          <w:p w14:paraId="55354882"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02" w:type="pct"/>
            <w:shd w:val="clear" w:color="auto" w:fill="auto"/>
            <w:noWrap/>
            <w:hideMark/>
          </w:tcPr>
          <w:p w14:paraId="782B8ED2" w14:textId="77777777" w:rsidR="00B15F7D" w:rsidRPr="00990FB6" w:rsidRDefault="00B15F7D" w:rsidP="00B15F7D">
            <w:pPr>
              <w:jc w:val="center"/>
              <w:rPr>
                <w:sz w:val="22"/>
                <w:szCs w:val="22"/>
                <w:lang w:eastAsia="es-CR"/>
              </w:rPr>
            </w:pPr>
            <w:r w:rsidRPr="00990FB6">
              <w:rPr>
                <w:sz w:val="22"/>
                <w:szCs w:val="22"/>
                <w:lang w:eastAsia="es-CR"/>
              </w:rPr>
              <w:t>₡57 202 140,00</w:t>
            </w:r>
          </w:p>
        </w:tc>
      </w:tr>
      <w:tr w:rsidR="00B15F7D" w:rsidRPr="00990FB6" w14:paraId="13830FEC" w14:textId="77777777" w:rsidTr="000A0C22">
        <w:trPr>
          <w:trHeight w:val="310"/>
          <w:jc w:val="center"/>
        </w:trPr>
        <w:tc>
          <w:tcPr>
            <w:tcW w:w="552" w:type="pct"/>
            <w:shd w:val="clear" w:color="auto" w:fill="D9E2F3"/>
            <w:vAlign w:val="center"/>
            <w:hideMark/>
          </w:tcPr>
          <w:p w14:paraId="072E5463" w14:textId="77777777" w:rsidR="00B15F7D" w:rsidRPr="00990FB6" w:rsidRDefault="00B15F7D" w:rsidP="00B15F7D">
            <w:pPr>
              <w:rPr>
                <w:sz w:val="22"/>
                <w:szCs w:val="22"/>
                <w:lang w:eastAsia="es-CR"/>
              </w:rPr>
            </w:pPr>
            <w:r w:rsidRPr="00990FB6">
              <w:rPr>
                <w:sz w:val="22"/>
                <w:szCs w:val="22"/>
                <w:lang w:eastAsia="es-CR"/>
              </w:rPr>
              <w:t>Fiscalía de Cañas</w:t>
            </w:r>
          </w:p>
        </w:tc>
        <w:tc>
          <w:tcPr>
            <w:tcW w:w="448" w:type="pct"/>
            <w:shd w:val="clear" w:color="auto" w:fill="auto"/>
            <w:noWrap/>
            <w:vAlign w:val="center"/>
            <w:hideMark/>
          </w:tcPr>
          <w:p w14:paraId="176814DC" w14:textId="77777777" w:rsidR="00B15F7D" w:rsidRPr="00990FB6" w:rsidRDefault="00B15F7D" w:rsidP="00B15F7D">
            <w:pPr>
              <w:jc w:val="center"/>
              <w:rPr>
                <w:sz w:val="22"/>
                <w:szCs w:val="22"/>
                <w:lang w:eastAsia="es-CR"/>
              </w:rPr>
            </w:pPr>
            <w:r w:rsidRPr="00990FB6">
              <w:rPr>
                <w:sz w:val="22"/>
                <w:szCs w:val="22"/>
                <w:lang w:eastAsia="es-CR"/>
              </w:rPr>
              <w:t>1</w:t>
            </w:r>
          </w:p>
        </w:tc>
        <w:tc>
          <w:tcPr>
            <w:tcW w:w="457" w:type="pct"/>
            <w:shd w:val="clear" w:color="auto" w:fill="auto"/>
            <w:noWrap/>
            <w:vAlign w:val="center"/>
            <w:hideMark/>
          </w:tcPr>
          <w:p w14:paraId="0EF50CEC" w14:textId="77777777" w:rsidR="00B15F7D" w:rsidRPr="00990FB6" w:rsidRDefault="00B15F7D" w:rsidP="00B15F7D">
            <w:pPr>
              <w:jc w:val="center"/>
              <w:rPr>
                <w:sz w:val="22"/>
                <w:szCs w:val="22"/>
                <w:lang w:eastAsia="es-CR"/>
              </w:rPr>
            </w:pPr>
            <w:r w:rsidRPr="00990FB6">
              <w:rPr>
                <w:sz w:val="22"/>
                <w:szCs w:val="22"/>
                <w:lang w:eastAsia="es-CR"/>
              </w:rPr>
              <w:t>0</w:t>
            </w:r>
          </w:p>
        </w:tc>
        <w:tc>
          <w:tcPr>
            <w:tcW w:w="419" w:type="pct"/>
            <w:shd w:val="clear" w:color="auto" w:fill="auto"/>
            <w:noWrap/>
            <w:vAlign w:val="center"/>
            <w:hideMark/>
          </w:tcPr>
          <w:p w14:paraId="69FD7AC5" w14:textId="77777777" w:rsidR="00B15F7D" w:rsidRPr="00990FB6" w:rsidRDefault="00B15F7D" w:rsidP="00B15F7D">
            <w:pPr>
              <w:jc w:val="center"/>
              <w:rPr>
                <w:sz w:val="22"/>
                <w:szCs w:val="22"/>
                <w:lang w:eastAsia="es-CR"/>
              </w:rPr>
            </w:pPr>
            <w:r w:rsidRPr="00990FB6">
              <w:rPr>
                <w:sz w:val="22"/>
                <w:szCs w:val="22"/>
                <w:lang w:eastAsia="es-CR"/>
              </w:rPr>
              <w:t>0</w:t>
            </w:r>
          </w:p>
        </w:tc>
        <w:tc>
          <w:tcPr>
            <w:tcW w:w="469" w:type="pct"/>
            <w:shd w:val="clear" w:color="auto" w:fill="auto"/>
            <w:noWrap/>
            <w:vAlign w:val="center"/>
            <w:hideMark/>
          </w:tcPr>
          <w:p w14:paraId="3C5BCAE2" w14:textId="77777777" w:rsidR="00B15F7D" w:rsidRPr="00990FB6" w:rsidRDefault="00B15F7D" w:rsidP="00B15F7D">
            <w:pPr>
              <w:jc w:val="center"/>
              <w:rPr>
                <w:sz w:val="22"/>
                <w:szCs w:val="22"/>
                <w:lang w:eastAsia="es-CR"/>
              </w:rPr>
            </w:pPr>
            <w:r w:rsidRPr="00990FB6">
              <w:rPr>
                <w:sz w:val="22"/>
                <w:szCs w:val="22"/>
                <w:lang w:eastAsia="es-CR"/>
              </w:rPr>
              <w:t>1</w:t>
            </w:r>
          </w:p>
        </w:tc>
        <w:tc>
          <w:tcPr>
            <w:tcW w:w="430" w:type="pct"/>
            <w:shd w:val="clear" w:color="auto" w:fill="auto"/>
            <w:noWrap/>
            <w:vAlign w:val="bottom"/>
            <w:hideMark/>
          </w:tcPr>
          <w:p w14:paraId="2883087C" w14:textId="77777777" w:rsidR="00B15F7D" w:rsidRPr="00990FB6" w:rsidRDefault="00B15F7D" w:rsidP="00B15F7D">
            <w:pPr>
              <w:jc w:val="center"/>
              <w:rPr>
                <w:sz w:val="22"/>
                <w:szCs w:val="22"/>
                <w:lang w:eastAsia="es-CR"/>
              </w:rPr>
            </w:pPr>
            <w:r w:rsidRPr="00990FB6">
              <w:rPr>
                <w:sz w:val="22"/>
                <w:szCs w:val="22"/>
                <w:lang w:eastAsia="es-CR"/>
              </w:rPr>
              <w:t>1</w:t>
            </w:r>
          </w:p>
        </w:tc>
        <w:tc>
          <w:tcPr>
            <w:tcW w:w="601" w:type="pct"/>
            <w:shd w:val="clear" w:color="auto" w:fill="auto"/>
            <w:noWrap/>
            <w:vAlign w:val="bottom"/>
            <w:hideMark/>
          </w:tcPr>
          <w:p w14:paraId="45E9425B"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1" w:type="pct"/>
            <w:shd w:val="clear" w:color="auto" w:fill="auto"/>
            <w:noWrap/>
            <w:hideMark/>
          </w:tcPr>
          <w:p w14:paraId="20A37793" w14:textId="77777777" w:rsidR="00B15F7D" w:rsidRPr="00990FB6" w:rsidRDefault="00B15F7D" w:rsidP="00B15F7D">
            <w:pPr>
              <w:jc w:val="center"/>
              <w:rPr>
                <w:sz w:val="22"/>
                <w:szCs w:val="22"/>
                <w:lang w:eastAsia="es-CR"/>
              </w:rPr>
            </w:pPr>
            <w:r w:rsidRPr="00990FB6">
              <w:rPr>
                <w:sz w:val="22"/>
                <w:szCs w:val="22"/>
                <w:lang w:eastAsia="es-CR"/>
              </w:rPr>
              <w:t>₡0,00</w:t>
            </w:r>
          </w:p>
        </w:tc>
        <w:tc>
          <w:tcPr>
            <w:tcW w:w="480" w:type="pct"/>
            <w:shd w:val="clear" w:color="auto" w:fill="auto"/>
            <w:noWrap/>
            <w:hideMark/>
          </w:tcPr>
          <w:p w14:paraId="3A2F0610"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02" w:type="pct"/>
            <w:shd w:val="clear" w:color="auto" w:fill="auto"/>
            <w:noWrap/>
            <w:hideMark/>
          </w:tcPr>
          <w:p w14:paraId="39086E7A" w14:textId="77777777" w:rsidR="00B15F7D" w:rsidRPr="00990FB6" w:rsidRDefault="00B15F7D" w:rsidP="00B15F7D">
            <w:pPr>
              <w:jc w:val="center"/>
              <w:rPr>
                <w:sz w:val="22"/>
                <w:szCs w:val="22"/>
                <w:lang w:eastAsia="es-CR"/>
              </w:rPr>
            </w:pPr>
            <w:r w:rsidRPr="00990FB6">
              <w:rPr>
                <w:sz w:val="22"/>
                <w:szCs w:val="22"/>
                <w:lang w:eastAsia="es-CR"/>
              </w:rPr>
              <w:t>₡57 202 140,00</w:t>
            </w:r>
          </w:p>
        </w:tc>
      </w:tr>
      <w:tr w:rsidR="00B15F7D" w:rsidRPr="00990FB6" w14:paraId="1FF082F3" w14:textId="77777777" w:rsidTr="000A0C22">
        <w:trPr>
          <w:trHeight w:val="310"/>
          <w:jc w:val="center"/>
        </w:trPr>
        <w:tc>
          <w:tcPr>
            <w:tcW w:w="552" w:type="pct"/>
            <w:shd w:val="clear" w:color="auto" w:fill="D9E2F3"/>
            <w:vAlign w:val="center"/>
            <w:hideMark/>
          </w:tcPr>
          <w:p w14:paraId="26067CCB" w14:textId="77777777" w:rsidR="00B15F7D" w:rsidRPr="00990FB6" w:rsidRDefault="00B15F7D" w:rsidP="00B15F7D">
            <w:pPr>
              <w:rPr>
                <w:sz w:val="22"/>
                <w:szCs w:val="22"/>
                <w:lang w:eastAsia="es-CR"/>
              </w:rPr>
            </w:pPr>
            <w:r w:rsidRPr="00990FB6">
              <w:rPr>
                <w:sz w:val="22"/>
                <w:szCs w:val="22"/>
                <w:lang w:eastAsia="es-CR"/>
              </w:rPr>
              <w:t>Fiscalía de Quepos</w:t>
            </w:r>
          </w:p>
        </w:tc>
        <w:tc>
          <w:tcPr>
            <w:tcW w:w="448" w:type="pct"/>
            <w:shd w:val="clear" w:color="auto" w:fill="auto"/>
            <w:noWrap/>
            <w:vAlign w:val="center"/>
            <w:hideMark/>
          </w:tcPr>
          <w:p w14:paraId="61EE4A17" w14:textId="77777777" w:rsidR="00B15F7D" w:rsidRPr="00990FB6" w:rsidRDefault="00B15F7D" w:rsidP="00B15F7D">
            <w:pPr>
              <w:jc w:val="center"/>
              <w:rPr>
                <w:sz w:val="22"/>
                <w:szCs w:val="22"/>
                <w:lang w:eastAsia="es-CR"/>
              </w:rPr>
            </w:pPr>
            <w:r w:rsidRPr="00990FB6">
              <w:rPr>
                <w:sz w:val="22"/>
                <w:szCs w:val="22"/>
                <w:lang w:eastAsia="es-CR"/>
              </w:rPr>
              <w:t>1</w:t>
            </w:r>
          </w:p>
        </w:tc>
        <w:tc>
          <w:tcPr>
            <w:tcW w:w="457" w:type="pct"/>
            <w:shd w:val="clear" w:color="auto" w:fill="auto"/>
            <w:noWrap/>
            <w:vAlign w:val="center"/>
            <w:hideMark/>
          </w:tcPr>
          <w:p w14:paraId="0D9D461A" w14:textId="77777777" w:rsidR="00B15F7D" w:rsidRPr="00990FB6" w:rsidRDefault="00B15F7D" w:rsidP="00B15F7D">
            <w:pPr>
              <w:jc w:val="center"/>
              <w:rPr>
                <w:sz w:val="22"/>
                <w:szCs w:val="22"/>
                <w:lang w:eastAsia="es-CR"/>
              </w:rPr>
            </w:pPr>
            <w:r w:rsidRPr="00990FB6">
              <w:rPr>
                <w:sz w:val="22"/>
                <w:szCs w:val="22"/>
                <w:lang w:eastAsia="es-CR"/>
              </w:rPr>
              <w:t>0</w:t>
            </w:r>
          </w:p>
        </w:tc>
        <w:tc>
          <w:tcPr>
            <w:tcW w:w="419" w:type="pct"/>
            <w:shd w:val="clear" w:color="auto" w:fill="auto"/>
            <w:noWrap/>
            <w:vAlign w:val="center"/>
            <w:hideMark/>
          </w:tcPr>
          <w:p w14:paraId="6596FC94" w14:textId="77777777" w:rsidR="00B15F7D" w:rsidRPr="00990FB6" w:rsidRDefault="00B15F7D" w:rsidP="00B15F7D">
            <w:pPr>
              <w:jc w:val="center"/>
              <w:rPr>
                <w:sz w:val="22"/>
                <w:szCs w:val="22"/>
                <w:lang w:eastAsia="es-CR"/>
              </w:rPr>
            </w:pPr>
            <w:r w:rsidRPr="00990FB6">
              <w:rPr>
                <w:sz w:val="22"/>
                <w:szCs w:val="22"/>
                <w:lang w:eastAsia="es-CR"/>
              </w:rPr>
              <w:t>0</w:t>
            </w:r>
          </w:p>
        </w:tc>
        <w:tc>
          <w:tcPr>
            <w:tcW w:w="469" w:type="pct"/>
            <w:shd w:val="clear" w:color="auto" w:fill="auto"/>
            <w:noWrap/>
            <w:vAlign w:val="center"/>
            <w:hideMark/>
          </w:tcPr>
          <w:p w14:paraId="6C64AF40" w14:textId="77777777" w:rsidR="00B15F7D" w:rsidRPr="00990FB6" w:rsidRDefault="00B15F7D" w:rsidP="00B15F7D">
            <w:pPr>
              <w:jc w:val="center"/>
              <w:rPr>
                <w:sz w:val="22"/>
                <w:szCs w:val="22"/>
                <w:lang w:eastAsia="es-CR"/>
              </w:rPr>
            </w:pPr>
            <w:r w:rsidRPr="00990FB6">
              <w:rPr>
                <w:sz w:val="22"/>
                <w:szCs w:val="22"/>
                <w:lang w:eastAsia="es-CR"/>
              </w:rPr>
              <w:t>1</w:t>
            </w:r>
          </w:p>
        </w:tc>
        <w:tc>
          <w:tcPr>
            <w:tcW w:w="430" w:type="pct"/>
            <w:shd w:val="clear" w:color="auto" w:fill="auto"/>
            <w:noWrap/>
            <w:vAlign w:val="bottom"/>
            <w:hideMark/>
          </w:tcPr>
          <w:p w14:paraId="6DA42342" w14:textId="77777777" w:rsidR="00B15F7D" w:rsidRPr="00990FB6" w:rsidRDefault="00B15F7D" w:rsidP="00B15F7D">
            <w:pPr>
              <w:jc w:val="center"/>
              <w:rPr>
                <w:sz w:val="22"/>
                <w:szCs w:val="22"/>
                <w:lang w:eastAsia="es-CR"/>
              </w:rPr>
            </w:pPr>
            <w:r w:rsidRPr="00990FB6">
              <w:rPr>
                <w:sz w:val="22"/>
                <w:szCs w:val="22"/>
                <w:lang w:eastAsia="es-CR"/>
              </w:rPr>
              <w:t>1</w:t>
            </w:r>
          </w:p>
        </w:tc>
        <w:tc>
          <w:tcPr>
            <w:tcW w:w="601" w:type="pct"/>
            <w:shd w:val="clear" w:color="auto" w:fill="auto"/>
            <w:noWrap/>
            <w:vAlign w:val="bottom"/>
            <w:hideMark/>
          </w:tcPr>
          <w:p w14:paraId="4CE9824D"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1" w:type="pct"/>
            <w:shd w:val="clear" w:color="auto" w:fill="auto"/>
            <w:noWrap/>
            <w:hideMark/>
          </w:tcPr>
          <w:p w14:paraId="3538B065" w14:textId="77777777" w:rsidR="00B15F7D" w:rsidRPr="00990FB6" w:rsidRDefault="00B15F7D" w:rsidP="00B15F7D">
            <w:pPr>
              <w:jc w:val="center"/>
              <w:rPr>
                <w:sz w:val="22"/>
                <w:szCs w:val="22"/>
                <w:lang w:eastAsia="es-CR"/>
              </w:rPr>
            </w:pPr>
            <w:r w:rsidRPr="00990FB6">
              <w:rPr>
                <w:sz w:val="22"/>
                <w:szCs w:val="22"/>
                <w:lang w:eastAsia="es-CR"/>
              </w:rPr>
              <w:t>₡0,00</w:t>
            </w:r>
          </w:p>
        </w:tc>
        <w:tc>
          <w:tcPr>
            <w:tcW w:w="480" w:type="pct"/>
            <w:shd w:val="clear" w:color="auto" w:fill="auto"/>
            <w:noWrap/>
            <w:hideMark/>
          </w:tcPr>
          <w:p w14:paraId="5AD3E629"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02" w:type="pct"/>
            <w:shd w:val="clear" w:color="auto" w:fill="auto"/>
            <w:noWrap/>
            <w:hideMark/>
          </w:tcPr>
          <w:p w14:paraId="0E319A13" w14:textId="77777777" w:rsidR="00B15F7D" w:rsidRPr="00990FB6" w:rsidRDefault="00B15F7D" w:rsidP="00B15F7D">
            <w:pPr>
              <w:jc w:val="center"/>
              <w:rPr>
                <w:sz w:val="22"/>
                <w:szCs w:val="22"/>
                <w:lang w:eastAsia="es-CR"/>
              </w:rPr>
            </w:pPr>
            <w:r w:rsidRPr="00990FB6">
              <w:rPr>
                <w:sz w:val="22"/>
                <w:szCs w:val="22"/>
                <w:lang w:eastAsia="es-CR"/>
              </w:rPr>
              <w:t>₡57 202 140,00</w:t>
            </w:r>
          </w:p>
        </w:tc>
      </w:tr>
      <w:tr w:rsidR="00B15F7D" w:rsidRPr="00990FB6" w14:paraId="600587A5" w14:textId="77777777" w:rsidTr="000A0C22">
        <w:trPr>
          <w:trHeight w:val="310"/>
          <w:jc w:val="center"/>
        </w:trPr>
        <w:tc>
          <w:tcPr>
            <w:tcW w:w="552" w:type="pct"/>
            <w:shd w:val="clear" w:color="auto" w:fill="D9E2F3"/>
            <w:vAlign w:val="center"/>
            <w:hideMark/>
          </w:tcPr>
          <w:p w14:paraId="68DC7905" w14:textId="77777777" w:rsidR="00B15F7D" w:rsidRPr="00990FB6" w:rsidRDefault="00B15F7D" w:rsidP="00B15F7D">
            <w:pPr>
              <w:rPr>
                <w:sz w:val="22"/>
                <w:szCs w:val="22"/>
                <w:lang w:eastAsia="es-CR"/>
              </w:rPr>
            </w:pPr>
            <w:r w:rsidRPr="00990FB6">
              <w:rPr>
                <w:sz w:val="22"/>
                <w:szCs w:val="22"/>
                <w:lang w:eastAsia="es-CR"/>
              </w:rPr>
              <w:t>Fiscalía de Sarapiquí</w:t>
            </w:r>
          </w:p>
        </w:tc>
        <w:tc>
          <w:tcPr>
            <w:tcW w:w="448" w:type="pct"/>
            <w:shd w:val="clear" w:color="auto" w:fill="auto"/>
            <w:noWrap/>
            <w:vAlign w:val="center"/>
            <w:hideMark/>
          </w:tcPr>
          <w:p w14:paraId="6D1B9F5D" w14:textId="77777777" w:rsidR="00B15F7D" w:rsidRPr="00990FB6" w:rsidRDefault="00B15F7D" w:rsidP="00B15F7D">
            <w:pPr>
              <w:jc w:val="center"/>
              <w:rPr>
                <w:sz w:val="22"/>
                <w:szCs w:val="22"/>
                <w:lang w:eastAsia="es-CR"/>
              </w:rPr>
            </w:pPr>
            <w:r w:rsidRPr="00990FB6">
              <w:rPr>
                <w:sz w:val="22"/>
                <w:szCs w:val="22"/>
                <w:lang w:eastAsia="es-CR"/>
              </w:rPr>
              <w:t>1</w:t>
            </w:r>
          </w:p>
        </w:tc>
        <w:tc>
          <w:tcPr>
            <w:tcW w:w="457" w:type="pct"/>
            <w:shd w:val="clear" w:color="auto" w:fill="auto"/>
            <w:noWrap/>
            <w:vAlign w:val="center"/>
            <w:hideMark/>
          </w:tcPr>
          <w:p w14:paraId="57BD97DD" w14:textId="77777777" w:rsidR="00B15F7D" w:rsidRPr="00990FB6" w:rsidRDefault="00B15F7D" w:rsidP="00B15F7D">
            <w:pPr>
              <w:jc w:val="center"/>
              <w:rPr>
                <w:sz w:val="22"/>
                <w:szCs w:val="22"/>
                <w:lang w:eastAsia="es-CR"/>
              </w:rPr>
            </w:pPr>
            <w:r w:rsidRPr="00990FB6">
              <w:rPr>
                <w:sz w:val="22"/>
                <w:szCs w:val="22"/>
                <w:lang w:eastAsia="es-CR"/>
              </w:rPr>
              <w:t>0</w:t>
            </w:r>
          </w:p>
        </w:tc>
        <w:tc>
          <w:tcPr>
            <w:tcW w:w="419" w:type="pct"/>
            <w:shd w:val="clear" w:color="auto" w:fill="auto"/>
            <w:noWrap/>
            <w:vAlign w:val="center"/>
            <w:hideMark/>
          </w:tcPr>
          <w:p w14:paraId="1F77D47A" w14:textId="77777777" w:rsidR="00B15F7D" w:rsidRPr="00990FB6" w:rsidRDefault="00B15F7D" w:rsidP="00B15F7D">
            <w:pPr>
              <w:jc w:val="center"/>
              <w:rPr>
                <w:sz w:val="22"/>
                <w:szCs w:val="22"/>
                <w:lang w:eastAsia="es-CR"/>
              </w:rPr>
            </w:pPr>
            <w:r w:rsidRPr="00990FB6">
              <w:rPr>
                <w:sz w:val="22"/>
                <w:szCs w:val="22"/>
                <w:lang w:eastAsia="es-CR"/>
              </w:rPr>
              <w:t>0</w:t>
            </w:r>
          </w:p>
        </w:tc>
        <w:tc>
          <w:tcPr>
            <w:tcW w:w="469" w:type="pct"/>
            <w:shd w:val="clear" w:color="auto" w:fill="auto"/>
            <w:noWrap/>
            <w:vAlign w:val="center"/>
            <w:hideMark/>
          </w:tcPr>
          <w:p w14:paraId="531F01F8" w14:textId="77777777" w:rsidR="00B15F7D" w:rsidRPr="00990FB6" w:rsidRDefault="00B15F7D" w:rsidP="00B15F7D">
            <w:pPr>
              <w:jc w:val="center"/>
              <w:rPr>
                <w:sz w:val="22"/>
                <w:szCs w:val="22"/>
                <w:lang w:eastAsia="es-CR"/>
              </w:rPr>
            </w:pPr>
            <w:r w:rsidRPr="00990FB6">
              <w:rPr>
                <w:sz w:val="22"/>
                <w:szCs w:val="22"/>
                <w:lang w:eastAsia="es-CR"/>
              </w:rPr>
              <w:t>1</w:t>
            </w:r>
          </w:p>
        </w:tc>
        <w:tc>
          <w:tcPr>
            <w:tcW w:w="430" w:type="pct"/>
            <w:shd w:val="clear" w:color="auto" w:fill="auto"/>
            <w:noWrap/>
            <w:vAlign w:val="bottom"/>
            <w:hideMark/>
          </w:tcPr>
          <w:p w14:paraId="679B6307" w14:textId="77777777" w:rsidR="00B15F7D" w:rsidRPr="00990FB6" w:rsidRDefault="00B15F7D" w:rsidP="00B15F7D">
            <w:pPr>
              <w:jc w:val="center"/>
              <w:rPr>
                <w:sz w:val="22"/>
                <w:szCs w:val="22"/>
                <w:lang w:eastAsia="es-CR"/>
              </w:rPr>
            </w:pPr>
            <w:r w:rsidRPr="00990FB6">
              <w:rPr>
                <w:sz w:val="22"/>
                <w:szCs w:val="22"/>
                <w:lang w:eastAsia="es-CR"/>
              </w:rPr>
              <w:t>1</w:t>
            </w:r>
          </w:p>
        </w:tc>
        <w:tc>
          <w:tcPr>
            <w:tcW w:w="601" w:type="pct"/>
            <w:shd w:val="clear" w:color="auto" w:fill="auto"/>
            <w:noWrap/>
            <w:vAlign w:val="bottom"/>
            <w:hideMark/>
          </w:tcPr>
          <w:p w14:paraId="4F32FEE0"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1" w:type="pct"/>
            <w:shd w:val="clear" w:color="auto" w:fill="auto"/>
            <w:noWrap/>
            <w:hideMark/>
          </w:tcPr>
          <w:p w14:paraId="7268B076" w14:textId="77777777" w:rsidR="00B15F7D" w:rsidRPr="00990FB6" w:rsidRDefault="00B15F7D" w:rsidP="00B15F7D">
            <w:pPr>
              <w:jc w:val="center"/>
              <w:rPr>
                <w:sz w:val="22"/>
                <w:szCs w:val="22"/>
                <w:lang w:eastAsia="es-CR"/>
              </w:rPr>
            </w:pPr>
            <w:r w:rsidRPr="00990FB6">
              <w:rPr>
                <w:sz w:val="22"/>
                <w:szCs w:val="22"/>
                <w:lang w:eastAsia="es-CR"/>
              </w:rPr>
              <w:t>₡0,00</w:t>
            </w:r>
          </w:p>
        </w:tc>
        <w:tc>
          <w:tcPr>
            <w:tcW w:w="480" w:type="pct"/>
            <w:shd w:val="clear" w:color="auto" w:fill="auto"/>
            <w:noWrap/>
            <w:hideMark/>
          </w:tcPr>
          <w:p w14:paraId="35469DF2"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02" w:type="pct"/>
            <w:shd w:val="clear" w:color="auto" w:fill="auto"/>
            <w:noWrap/>
            <w:hideMark/>
          </w:tcPr>
          <w:p w14:paraId="71262926" w14:textId="77777777" w:rsidR="00B15F7D" w:rsidRPr="00990FB6" w:rsidRDefault="00B15F7D" w:rsidP="00B15F7D">
            <w:pPr>
              <w:jc w:val="center"/>
              <w:rPr>
                <w:sz w:val="22"/>
                <w:szCs w:val="22"/>
                <w:lang w:eastAsia="es-CR"/>
              </w:rPr>
            </w:pPr>
            <w:r w:rsidRPr="00990FB6">
              <w:rPr>
                <w:sz w:val="22"/>
                <w:szCs w:val="22"/>
                <w:lang w:eastAsia="es-CR"/>
              </w:rPr>
              <w:t>₡57 202 140,00</w:t>
            </w:r>
          </w:p>
        </w:tc>
      </w:tr>
      <w:tr w:rsidR="00B15F7D" w:rsidRPr="00990FB6" w14:paraId="2D6C009D" w14:textId="77777777" w:rsidTr="000A0C22">
        <w:trPr>
          <w:trHeight w:val="310"/>
          <w:jc w:val="center"/>
        </w:trPr>
        <w:tc>
          <w:tcPr>
            <w:tcW w:w="552" w:type="pct"/>
            <w:shd w:val="clear" w:color="auto" w:fill="D9E2F3"/>
            <w:vAlign w:val="center"/>
            <w:hideMark/>
          </w:tcPr>
          <w:p w14:paraId="4F31B40F" w14:textId="77777777" w:rsidR="00B15F7D" w:rsidRPr="00990FB6" w:rsidRDefault="00B15F7D" w:rsidP="00B15F7D">
            <w:pPr>
              <w:rPr>
                <w:sz w:val="22"/>
                <w:szCs w:val="22"/>
                <w:lang w:eastAsia="es-CR"/>
              </w:rPr>
            </w:pPr>
            <w:r w:rsidRPr="00990FB6">
              <w:rPr>
                <w:sz w:val="22"/>
                <w:szCs w:val="22"/>
                <w:lang w:eastAsia="es-CR"/>
              </w:rPr>
              <w:t>Fiscalía de Siquirres</w:t>
            </w:r>
          </w:p>
        </w:tc>
        <w:tc>
          <w:tcPr>
            <w:tcW w:w="448" w:type="pct"/>
            <w:shd w:val="clear" w:color="auto" w:fill="auto"/>
            <w:noWrap/>
            <w:vAlign w:val="center"/>
            <w:hideMark/>
          </w:tcPr>
          <w:p w14:paraId="40D58B9A" w14:textId="77777777" w:rsidR="00B15F7D" w:rsidRPr="00990FB6" w:rsidRDefault="00B15F7D" w:rsidP="00B15F7D">
            <w:pPr>
              <w:jc w:val="center"/>
              <w:rPr>
                <w:sz w:val="22"/>
                <w:szCs w:val="22"/>
                <w:lang w:eastAsia="es-CR"/>
              </w:rPr>
            </w:pPr>
            <w:r w:rsidRPr="00990FB6">
              <w:rPr>
                <w:sz w:val="22"/>
                <w:szCs w:val="22"/>
                <w:lang w:eastAsia="es-CR"/>
              </w:rPr>
              <w:t>1</w:t>
            </w:r>
          </w:p>
        </w:tc>
        <w:tc>
          <w:tcPr>
            <w:tcW w:w="457" w:type="pct"/>
            <w:shd w:val="clear" w:color="auto" w:fill="auto"/>
            <w:noWrap/>
            <w:vAlign w:val="center"/>
            <w:hideMark/>
          </w:tcPr>
          <w:p w14:paraId="5B5958DA" w14:textId="77777777" w:rsidR="00B15F7D" w:rsidRPr="00990FB6" w:rsidRDefault="00B15F7D" w:rsidP="00B15F7D">
            <w:pPr>
              <w:jc w:val="center"/>
              <w:rPr>
                <w:sz w:val="22"/>
                <w:szCs w:val="22"/>
                <w:lang w:eastAsia="es-CR"/>
              </w:rPr>
            </w:pPr>
            <w:r w:rsidRPr="00990FB6">
              <w:rPr>
                <w:sz w:val="22"/>
                <w:szCs w:val="22"/>
                <w:lang w:eastAsia="es-CR"/>
              </w:rPr>
              <w:t>0</w:t>
            </w:r>
          </w:p>
        </w:tc>
        <w:tc>
          <w:tcPr>
            <w:tcW w:w="419" w:type="pct"/>
            <w:shd w:val="clear" w:color="auto" w:fill="auto"/>
            <w:noWrap/>
            <w:vAlign w:val="center"/>
            <w:hideMark/>
          </w:tcPr>
          <w:p w14:paraId="0DB28F18" w14:textId="77777777" w:rsidR="00B15F7D" w:rsidRPr="00990FB6" w:rsidRDefault="00B15F7D" w:rsidP="00B15F7D">
            <w:pPr>
              <w:jc w:val="center"/>
              <w:rPr>
                <w:sz w:val="22"/>
                <w:szCs w:val="22"/>
                <w:lang w:eastAsia="es-CR"/>
              </w:rPr>
            </w:pPr>
            <w:r w:rsidRPr="00990FB6">
              <w:rPr>
                <w:sz w:val="22"/>
                <w:szCs w:val="22"/>
                <w:lang w:eastAsia="es-CR"/>
              </w:rPr>
              <w:t>0</w:t>
            </w:r>
          </w:p>
        </w:tc>
        <w:tc>
          <w:tcPr>
            <w:tcW w:w="469" w:type="pct"/>
            <w:shd w:val="clear" w:color="auto" w:fill="auto"/>
            <w:noWrap/>
            <w:vAlign w:val="center"/>
            <w:hideMark/>
          </w:tcPr>
          <w:p w14:paraId="162854C7" w14:textId="77777777" w:rsidR="00B15F7D" w:rsidRPr="00990FB6" w:rsidRDefault="00B15F7D" w:rsidP="00B15F7D">
            <w:pPr>
              <w:jc w:val="center"/>
              <w:rPr>
                <w:sz w:val="22"/>
                <w:szCs w:val="22"/>
                <w:lang w:eastAsia="es-CR"/>
              </w:rPr>
            </w:pPr>
            <w:r w:rsidRPr="00990FB6">
              <w:rPr>
                <w:sz w:val="22"/>
                <w:szCs w:val="22"/>
                <w:lang w:eastAsia="es-CR"/>
              </w:rPr>
              <w:t>1</w:t>
            </w:r>
          </w:p>
        </w:tc>
        <w:tc>
          <w:tcPr>
            <w:tcW w:w="430" w:type="pct"/>
            <w:shd w:val="clear" w:color="auto" w:fill="auto"/>
            <w:noWrap/>
            <w:vAlign w:val="bottom"/>
            <w:hideMark/>
          </w:tcPr>
          <w:p w14:paraId="24490D98" w14:textId="77777777" w:rsidR="00B15F7D" w:rsidRPr="00990FB6" w:rsidRDefault="00B15F7D" w:rsidP="00B15F7D">
            <w:pPr>
              <w:jc w:val="center"/>
              <w:rPr>
                <w:sz w:val="22"/>
                <w:szCs w:val="22"/>
                <w:lang w:eastAsia="es-CR"/>
              </w:rPr>
            </w:pPr>
            <w:r w:rsidRPr="00990FB6">
              <w:rPr>
                <w:sz w:val="22"/>
                <w:szCs w:val="22"/>
                <w:lang w:eastAsia="es-CR"/>
              </w:rPr>
              <w:t>1</w:t>
            </w:r>
          </w:p>
        </w:tc>
        <w:tc>
          <w:tcPr>
            <w:tcW w:w="601" w:type="pct"/>
            <w:shd w:val="clear" w:color="auto" w:fill="auto"/>
            <w:noWrap/>
            <w:vAlign w:val="bottom"/>
            <w:hideMark/>
          </w:tcPr>
          <w:p w14:paraId="219B35A5"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1" w:type="pct"/>
            <w:shd w:val="clear" w:color="auto" w:fill="auto"/>
            <w:noWrap/>
            <w:hideMark/>
          </w:tcPr>
          <w:p w14:paraId="5A65C1F9" w14:textId="77777777" w:rsidR="00B15F7D" w:rsidRPr="00990FB6" w:rsidRDefault="00B15F7D" w:rsidP="00B15F7D">
            <w:pPr>
              <w:jc w:val="center"/>
              <w:rPr>
                <w:sz w:val="22"/>
                <w:szCs w:val="22"/>
                <w:lang w:eastAsia="es-CR"/>
              </w:rPr>
            </w:pPr>
            <w:r w:rsidRPr="00990FB6">
              <w:rPr>
                <w:sz w:val="22"/>
                <w:szCs w:val="22"/>
                <w:lang w:eastAsia="es-CR"/>
              </w:rPr>
              <w:t>₡0,00</w:t>
            </w:r>
          </w:p>
        </w:tc>
        <w:tc>
          <w:tcPr>
            <w:tcW w:w="480" w:type="pct"/>
            <w:shd w:val="clear" w:color="auto" w:fill="auto"/>
            <w:noWrap/>
            <w:hideMark/>
          </w:tcPr>
          <w:p w14:paraId="0CCF4ECB"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02" w:type="pct"/>
            <w:shd w:val="clear" w:color="auto" w:fill="auto"/>
            <w:noWrap/>
            <w:hideMark/>
          </w:tcPr>
          <w:p w14:paraId="080E735A" w14:textId="77777777" w:rsidR="00B15F7D" w:rsidRPr="00990FB6" w:rsidRDefault="00B15F7D" w:rsidP="00B15F7D">
            <w:pPr>
              <w:jc w:val="center"/>
              <w:rPr>
                <w:sz w:val="22"/>
                <w:szCs w:val="22"/>
                <w:lang w:eastAsia="es-CR"/>
              </w:rPr>
            </w:pPr>
            <w:r w:rsidRPr="00990FB6">
              <w:rPr>
                <w:sz w:val="22"/>
                <w:szCs w:val="22"/>
                <w:lang w:eastAsia="es-CR"/>
              </w:rPr>
              <w:t>₡57 202 140,00</w:t>
            </w:r>
          </w:p>
        </w:tc>
      </w:tr>
      <w:tr w:rsidR="00B15F7D" w:rsidRPr="00990FB6" w14:paraId="5D39852A" w14:textId="77777777" w:rsidTr="000A0C22">
        <w:trPr>
          <w:trHeight w:val="310"/>
          <w:jc w:val="center"/>
        </w:trPr>
        <w:tc>
          <w:tcPr>
            <w:tcW w:w="552" w:type="pct"/>
            <w:shd w:val="clear" w:color="auto" w:fill="D9E2F3"/>
            <w:vAlign w:val="center"/>
            <w:hideMark/>
          </w:tcPr>
          <w:p w14:paraId="2360545D" w14:textId="77777777" w:rsidR="00B15F7D" w:rsidRPr="00990FB6" w:rsidRDefault="00B15F7D" w:rsidP="00B15F7D">
            <w:pPr>
              <w:rPr>
                <w:sz w:val="22"/>
                <w:szCs w:val="22"/>
                <w:lang w:eastAsia="es-CR"/>
              </w:rPr>
            </w:pPr>
            <w:r w:rsidRPr="00990FB6">
              <w:rPr>
                <w:sz w:val="22"/>
                <w:szCs w:val="22"/>
                <w:lang w:eastAsia="es-CR"/>
              </w:rPr>
              <w:t xml:space="preserve">Fiscalía de </w:t>
            </w:r>
            <w:proofErr w:type="spellStart"/>
            <w:r w:rsidRPr="00990FB6">
              <w:rPr>
                <w:sz w:val="22"/>
                <w:szCs w:val="22"/>
                <w:lang w:eastAsia="es-CR"/>
              </w:rPr>
              <w:t>Bribrí</w:t>
            </w:r>
            <w:proofErr w:type="spellEnd"/>
          </w:p>
        </w:tc>
        <w:tc>
          <w:tcPr>
            <w:tcW w:w="448" w:type="pct"/>
            <w:shd w:val="clear" w:color="auto" w:fill="auto"/>
            <w:noWrap/>
            <w:vAlign w:val="center"/>
            <w:hideMark/>
          </w:tcPr>
          <w:p w14:paraId="419138A5" w14:textId="77777777" w:rsidR="00B15F7D" w:rsidRPr="00990FB6" w:rsidRDefault="00B15F7D" w:rsidP="00B15F7D">
            <w:pPr>
              <w:jc w:val="center"/>
              <w:rPr>
                <w:sz w:val="22"/>
                <w:szCs w:val="22"/>
                <w:lang w:eastAsia="es-CR"/>
              </w:rPr>
            </w:pPr>
            <w:r w:rsidRPr="00990FB6">
              <w:rPr>
                <w:sz w:val="22"/>
                <w:szCs w:val="22"/>
                <w:lang w:eastAsia="es-CR"/>
              </w:rPr>
              <w:t>1</w:t>
            </w:r>
          </w:p>
        </w:tc>
        <w:tc>
          <w:tcPr>
            <w:tcW w:w="457" w:type="pct"/>
            <w:shd w:val="clear" w:color="auto" w:fill="auto"/>
            <w:noWrap/>
            <w:vAlign w:val="center"/>
            <w:hideMark/>
          </w:tcPr>
          <w:p w14:paraId="7B36E901" w14:textId="77777777" w:rsidR="00B15F7D" w:rsidRPr="00990FB6" w:rsidRDefault="00B15F7D" w:rsidP="00B15F7D">
            <w:pPr>
              <w:jc w:val="center"/>
              <w:rPr>
                <w:sz w:val="22"/>
                <w:szCs w:val="22"/>
                <w:lang w:eastAsia="es-CR"/>
              </w:rPr>
            </w:pPr>
            <w:r w:rsidRPr="00990FB6">
              <w:rPr>
                <w:sz w:val="22"/>
                <w:szCs w:val="22"/>
                <w:lang w:eastAsia="es-CR"/>
              </w:rPr>
              <w:t>0</w:t>
            </w:r>
          </w:p>
        </w:tc>
        <w:tc>
          <w:tcPr>
            <w:tcW w:w="419" w:type="pct"/>
            <w:shd w:val="clear" w:color="auto" w:fill="auto"/>
            <w:noWrap/>
            <w:vAlign w:val="center"/>
            <w:hideMark/>
          </w:tcPr>
          <w:p w14:paraId="0495CE1E" w14:textId="77777777" w:rsidR="00B15F7D" w:rsidRPr="00990FB6" w:rsidRDefault="00B15F7D" w:rsidP="00B15F7D">
            <w:pPr>
              <w:jc w:val="center"/>
              <w:rPr>
                <w:sz w:val="22"/>
                <w:szCs w:val="22"/>
                <w:lang w:eastAsia="es-CR"/>
              </w:rPr>
            </w:pPr>
            <w:r w:rsidRPr="00990FB6">
              <w:rPr>
                <w:sz w:val="22"/>
                <w:szCs w:val="22"/>
                <w:lang w:eastAsia="es-CR"/>
              </w:rPr>
              <w:t>0</w:t>
            </w:r>
          </w:p>
        </w:tc>
        <w:tc>
          <w:tcPr>
            <w:tcW w:w="469" w:type="pct"/>
            <w:shd w:val="clear" w:color="auto" w:fill="auto"/>
            <w:noWrap/>
            <w:vAlign w:val="center"/>
            <w:hideMark/>
          </w:tcPr>
          <w:p w14:paraId="02110708" w14:textId="77777777" w:rsidR="00B15F7D" w:rsidRPr="00990FB6" w:rsidRDefault="00B15F7D" w:rsidP="00B15F7D">
            <w:pPr>
              <w:jc w:val="center"/>
              <w:rPr>
                <w:sz w:val="22"/>
                <w:szCs w:val="22"/>
                <w:lang w:eastAsia="es-CR"/>
              </w:rPr>
            </w:pPr>
            <w:r w:rsidRPr="00990FB6">
              <w:rPr>
                <w:sz w:val="22"/>
                <w:szCs w:val="22"/>
                <w:lang w:eastAsia="es-CR"/>
              </w:rPr>
              <w:t>1</w:t>
            </w:r>
          </w:p>
        </w:tc>
        <w:tc>
          <w:tcPr>
            <w:tcW w:w="430" w:type="pct"/>
            <w:shd w:val="clear" w:color="auto" w:fill="auto"/>
            <w:noWrap/>
            <w:vAlign w:val="bottom"/>
            <w:hideMark/>
          </w:tcPr>
          <w:p w14:paraId="62475EDF" w14:textId="77777777" w:rsidR="00B15F7D" w:rsidRPr="00990FB6" w:rsidRDefault="00B15F7D" w:rsidP="00B15F7D">
            <w:pPr>
              <w:jc w:val="center"/>
              <w:rPr>
                <w:sz w:val="22"/>
                <w:szCs w:val="22"/>
                <w:lang w:eastAsia="es-CR"/>
              </w:rPr>
            </w:pPr>
            <w:r w:rsidRPr="00990FB6">
              <w:rPr>
                <w:sz w:val="22"/>
                <w:szCs w:val="22"/>
                <w:lang w:eastAsia="es-CR"/>
              </w:rPr>
              <w:t>1</w:t>
            </w:r>
          </w:p>
        </w:tc>
        <w:tc>
          <w:tcPr>
            <w:tcW w:w="601" w:type="pct"/>
            <w:shd w:val="clear" w:color="auto" w:fill="auto"/>
            <w:noWrap/>
            <w:vAlign w:val="bottom"/>
            <w:hideMark/>
          </w:tcPr>
          <w:p w14:paraId="670F8E38"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1" w:type="pct"/>
            <w:shd w:val="clear" w:color="auto" w:fill="auto"/>
            <w:noWrap/>
            <w:hideMark/>
          </w:tcPr>
          <w:p w14:paraId="5ACFD8D4" w14:textId="77777777" w:rsidR="00B15F7D" w:rsidRPr="00990FB6" w:rsidRDefault="00B15F7D" w:rsidP="00B15F7D">
            <w:pPr>
              <w:jc w:val="center"/>
              <w:rPr>
                <w:sz w:val="22"/>
                <w:szCs w:val="22"/>
                <w:lang w:eastAsia="es-CR"/>
              </w:rPr>
            </w:pPr>
            <w:r w:rsidRPr="00990FB6">
              <w:rPr>
                <w:sz w:val="22"/>
                <w:szCs w:val="22"/>
                <w:lang w:eastAsia="es-CR"/>
              </w:rPr>
              <w:t>₡0,00</w:t>
            </w:r>
          </w:p>
        </w:tc>
        <w:tc>
          <w:tcPr>
            <w:tcW w:w="480" w:type="pct"/>
            <w:shd w:val="clear" w:color="auto" w:fill="auto"/>
            <w:noWrap/>
            <w:hideMark/>
          </w:tcPr>
          <w:p w14:paraId="72BE18BA"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02" w:type="pct"/>
            <w:shd w:val="clear" w:color="auto" w:fill="auto"/>
            <w:noWrap/>
            <w:hideMark/>
          </w:tcPr>
          <w:p w14:paraId="01C77E00" w14:textId="77777777" w:rsidR="00B15F7D" w:rsidRPr="00990FB6" w:rsidRDefault="00B15F7D" w:rsidP="00B15F7D">
            <w:pPr>
              <w:jc w:val="center"/>
              <w:rPr>
                <w:sz w:val="22"/>
                <w:szCs w:val="22"/>
                <w:lang w:eastAsia="es-CR"/>
              </w:rPr>
            </w:pPr>
            <w:r w:rsidRPr="00990FB6">
              <w:rPr>
                <w:sz w:val="22"/>
                <w:szCs w:val="22"/>
                <w:lang w:eastAsia="es-CR"/>
              </w:rPr>
              <w:t>₡57 202 140,00</w:t>
            </w:r>
          </w:p>
        </w:tc>
      </w:tr>
      <w:tr w:rsidR="00B15F7D" w:rsidRPr="00990FB6" w14:paraId="036219BC" w14:textId="77777777" w:rsidTr="000A0C22">
        <w:trPr>
          <w:trHeight w:val="310"/>
          <w:jc w:val="center"/>
        </w:trPr>
        <w:tc>
          <w:tcPr>
            <w:tcW w:w="552" w:type="pct"/>
            <w:shd w:val="clear" w:color="auto" w:fill="D9E2F3"/>
            <w:vAlign w:val="center"/>
          </w:tcPr>
          <w:p w14:paraId="02B67AD3" w14:textId="77777777" w:rsidR="00B15F7D" w:rsidRPr="00990FB6" w:rsidRDefault="00B15F7D" w:rsidP="00B15F7D">
            <w:pPr>
              <w:rPr>
                <w:b/>
                <w:bCs/>
                <w:sz w:val="22"/>
                <w:szCs w:val="22"/>
                <w:lang w:eastAsia="es-CR"/>
              </w:rPr>
            </w:pPr>
            <w:r w:rsidRPr="00990FB6">
              <w:rPr>
                <w:b/>
                <w:bCs/>
                <w:sz w:val="22"/>
                <w:szCs w:val="22"/>
                <w:lang w:eastAsia="es-CR"/>
              </w:rPr>
              <w:t>Total</w:t>
            </w:r>
          </w:p>
        </w:tc>
        <w:tc>
          <w:tcPr>
            <w:tcW w:w="448" w:type="pct"/>
            <w:shd w:val="clear" w:color="auto" w:fill="auto"/>
            <w:noWrap/>
            <w:vAlign w:val="center"/>
          </w:tcPr>
          <w:p w14:paraId="2D929D9C" w14:textId="77777777" w:rsidR="00B15F7D" w:rsidRPr="00990FB6" w:rsidRDefault="00B15F7D" w:rsidP="00B15F7D">
            <w:pPr>
              <w:jc w:val="center"/>
              <w:rPr>
                <w:b/>
                <w:bCs/>
                <w:sz w:val="22"/>
                <w:szCs w:val="22"/>
                <w:lang w:eastAsia="es-CR"/>
              </w:rPr>
            </w:pPr>
            <w:r w:rsidRPr="00990FB6">
              <w:rPr>
                <w:b/>
                <w:bCs/>
                <w:sz w:val="22"/>
                <w:szCs w:val="22"/>
                <w:lang w:eastAsia="es-CR"/>
              </w:rPr>
              <w:t>8</w:t>
            </w:r>
          </w:p>
        </w:tc>
        <w:tc>
          <w:tcPr>
            <w:tcW w:w="457" w:type="pct"/>
            <w:shd w:val="clear" w:color="auto" w:fill="auto"/>
            <w:noWrap/>
            <w:vAlign w:val="center"/>
          </w:tcPr>
          <w:p w14:paraId="6CB542E9"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419" w:type="pct"/>
            <w:shd w:val="clear" w:color="auto" w:fill="auto"/>
            <w:noWrap/>
            <w:vAlign w:val="center"/>
          </w:tcPr>
          <w:p w14:paraId="00D4E24E"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469" w:type="pct"/>
            <w:shd w:val="clear" w:color="auto" w:fill="auto"/>
            <w:noWrap/>
            <w:vAlign w:val="center"/>
          </w:tcPr>
          <w:p w14:paraId="01FA6EFB" w14:textId="77777777" w:rsidR="00B15F7D" w:rsidRPr="00990FB6" w:rsidRDefault="00B15F7D" w:rsidP="00B15F7D">
            <w:pPr>
              <w:jc w:val="center"/>
              <w:rPr>
                <w:b/>
                <w:bCs/>
                <w:sz w:val="22"/>
                <w:szCs w:val="22"/>
                <w:lang w:eastAsia="es-CR"/>
              </w:rPr>
            </w:pPr>
            <w:r w:rsidRPr="00990FB6">
              <w:rPr>
                <w:b/>
                <w:bCs/>
                <w:sz w:val="22"/>
                <w:szCs w:val="22"/>
                <w:lang w:eastAsia="es-CR"/>
              </w:rPr>
              <w:t>6</w:t>
            </w:r>
          </w:p>
        </w:tc>
        <w:tc>
          <w:tcPr>
            <w:tcW w:w="430" w:type="pct"/>
            <w:shd w:val="clear" w:color="auto" w:fill="auto"/>
            <w:noWrap/>
            <w:vAlign w:val="bottom"/>
          </w:tcPr>
          <w:p w14:paraId="7F803FD7" w14:textId="77777777" w:rsidR="00B15F7D" w:rsidRPr="00990FB6" w:rsidRDefault="00B15F7D" w:rsidP="00B15F7D">
            <w:pPr>
              <w:jc w:val="center"/>
              <w:rPr>
                <w:b/>
                <w:bCs/>
                <w:sz w:val="22"/>
                <w:szCs w:val="22"/>
                <w:lang w:eastAsia="es-CR"/>
              </w:rPr>
            </w:pPr>
            <w:r w:rsidRPr="00990FB6">
              <w:rPr>
                <w:b/>
                <w:bCs/>
                <w:sz w:val="22"/>
                <w:szCs w:val="22"/>
                <w:lang w:eastAsia="es-CR"/>
              </w:rPr>
              <w:t>7</w:t>
            </w:r>
          </w:p>
        </w:tc>
        <w:tc>
          <w:tcPr>
            <w:tcW w:w="601" w:type="pct"/>
            <w:shd w:val="clear" w:color="auto" w:fill="auto"/>
            <w:noWrap/>
            <w:vAlign w:val="bottom"/>
          </w:tcPr>
          <w:p w14:paraId="761E0A55" w14:textId="77777777" w:rsidR="00B15F7D" w:rsidRPr="00990FB6" w:rsidRDefault="00B15F7D" w:rsidP="00B15F7D">
            <w:pPr>
              <w:jc w:val="center"/>
              <w:rPr>
                <w:b/>
                <w:bCs/>
                <w:sz w:val="22"/>
                <w:szCs w:val="22"/>
                <w:lang w:eastAsia="es-CR"/>
              </w:rPr>
            </w:pPr>
            <w:r w:rsidRPr="00990FB6">
              <w:rPr>
                <w:b/>
                <w:bCs/>
                <w:sz w:val="22"/>
                <w:szCs w:val="22"/>
                <w:lang w:eastAsia="es-CR"/>
              </w:rPr>
              <w:t>₡</w:t>
            </w:r>
            <w:bookmarkStart w:id="47" w:name="_Hlk126916183"/>
            <w:r w:rsidRPr="00990FB6">
              <w:rPr>
                <w:b/>
                <w:bCs/>
                <w:sz w:val="22"/>
                <w:szCs w:val="22"/>
                <w:lang w:eastAsia="es-CR"/>
              </w:rPr>
              <w:t>399 455 000</w:t>
            </w:r>
            <w:bookmarkEnd w:id="47"/>
            <w:r w:rsidRPr="00990FB6">
              <w:rPr>
                <w:b/>
                <w:bCs/>
                <w:sz w:val="22"/>
                <w:szCs w:val="22"/>
                <w:lang w:eastAsia="es-CR"/>
              </w:rPr>
              <w:t>,00</w:t>
            </w:r>
          </w:p>
        </w:tc>
        <w:tc>
          <w:tcPr>
            <w:tcW w:w="541" w:type="pct"/>
            <w:shd w:val="clear" w:color="auto" w:fill="auto"/>
            <w:noWrap/>
            <w:vAlign w:val="bottom"/>
          </w:tcPr>
          <w:p w14:paraId="797F4DB2" w14:textId="77777777" w:rsidR="00B15F7D" w:rsidRPr="00990FB6" w:rsidRDefault="00B15F7D" w:rsidP="00B15F7D">
            <w:pPr>
              <w:jc w:val="center"/>
              <w:rPr>
                <w:b/>
                <w:bCs/>
                <w:sz w:val="22"/>
                <w:szCs w:val="22"/>
                <w:lang w:eastAsia="es-CR"/>
              </w:rPr>
            </w:pPr>
            <w:r w:rsidRPr="00990FB6">
              <w:rPr>
                <w:b/>
                <w:bCs/>
                <w:sz w:val="22"/>
                <w:szCs w:val="22"/>
                <w:lang w:eastAsia="es-CR"/>
              </w:rPr>
              <w:t>₡0,00</w:t>
            </w:r>
          </w:p>
        </w:tc>
        <w:tc>
          <w:tcPr>
            <w:tcW w:w="480" w:type="pct"/>
            <w:shd w:val="clear" w:color="auto" w:fill="auto"/>
            <w:noWrap/>
            <w:vAlign w:val="bottom"/>
          </w:tcPr>
          <w:p w14:paraId="23D49862" w14:textId="77777777" w:rsidR="00B15F7D" w:rsidRPr="00990FB6" w:rsidRDefault="00B15F7D" w:rsidP="00B15F7D">
            <w:pPr>
              <w:jc w:val="center"/>
              <w:rPr>
                <w:b/>
                <w:bCs/>
                <w:sz w:val="22"/>
                <w:szCs w:val="22"/>
                <w:lang w:eastAsia="es-CR"/>
              </w:rPr>
            </w:pPr>
            <w:r w:rsidRPr="00990FB6">
              <w:rPr>
                <w:b/>
                <w:bCs/>
                <w:sz w:val="22"/>
                <w:szCs w:val="22"/>
                <w:lang w:eastAsia="es-CR"/>
              </w:rPr>
              <w:t>₡959 980,00</w:t>
            </w:r>
          </w:p>
        </w:tc>
        <w:tc>
          <w:tcPr>
            <w:tcW w:w="602" w:type="pct"/>
            <w:shd w:val="clear" w:color="auto" w:fill="auto"/>
            <w:noWrap/>
            <w:vAlign w:val="bottom"/>
          </w:tcPr>
          <w:p w14:paraId="2DE69EAD" w14:textId="77777777" w:rsidR="00B15F7D" w:rsidRPr="00990FB6" w:rsidRDefault="00B15F7D" w:rsidP="00B15F7D">
            <w:pPr>
              <w:jc w:val="center"/>
              <w:rPr>
                <w:b/>
                <w:bCs/>
                <w:sz w:val="22"/>
                <w:szCs w:val="22"/>
                <w:lang w:eastAsia="es-CR"/>
              </w:rPr>
            </w:pPr>
            <w:r w:rsidRPr="00990FB6">
              <w:rPr>
                <w:b/>
                <w:bCs/>
                <w:sz w:val="22"/>
                <w:szCs w:val="22"/>
                <w:lang w:eastAsia="es-CR"/>
              </w:rPr>
              <w:t>₡400 414 980,00</w:t>
            </w:r>
          </w:p>
        </w:tc>
      </w:tr>
    </w:tbl>
    <w:p w14:paraId="6581EE54" w14:textId="77777777" w:rsidR="00B15F7D" w:rsidRPr="00990FB6" w:rsidRDefault="00B15F7D" w:rsidP="00B15F7D">
      <w:pPr>
        <w:ind w:left="851" w:right="851" w:firstLine="709"/>
        <w:jc w:val="both"/>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44A0ECB9" w14:textId="77777777" w:rsidR="00B15F7D" w:rsidRPr="00990FB6" w:rsidRDefault="00B15F7D" w:rsidP="00B15F7D">
      <w:pPr>
        <w:rPr>
          <w:sz w:val="22"/>
          <w:szCs w:val="22"/>
        </w:rPr>
      </w:pPr>
    </w:p>
    <w:p w14:paraId="6CA657BC" w14:textId="77777777" w:rsidR="00B15F7D" w:rsidRPr="00990FB6" w:rsidRDefault="00B15F7D" w:rsidP="00B15F7D">
      <w:pPr>
        <w:rPr>
          <w:sz w:val="22"/>
          <w:szCs w:val="22"/>
        </w:rPr>
      </w:pPr>
    </w:p>
    <w:p w14:paraId="4480C208" w14:textId="77777777" w:rsidR="00B15F7D" w:rsidRPr="00990FB6" w:rsidRDefault="00B15F7D" w:rsidP="00B15F7D">
      <w:pPr>
        <w:rPr>
          <w:sz w:val="22"/>
          <w:szCs w:val="22"/>
        </w:rPr>
        <w:sectPr w:rsidR="00B15F7D" w:rsidRPr="00990FB6" w:rsidSect="00E55098">
          <w:pgSz w:w="15842" w:h="12242" w:orient="landscape" w:code="1"/>
          <w:pgMar w:top="1559" w:right="720" w:bottom="1469" w:left="720" w:header="709" w:footer="709" w:gutter="0"/>
          <w:pgBorders w:offsetFrom="page">
            <w:bottom w:val="single" w:sz="12" w:space="24" w:color="auto"/>
          </w:pgBorders>
          <w:cols w:space="708"/>
          <w:docGrid w:linePitch="360"/>
        </w:sectPr>
      </w:pPr>
    </w:p>
    <w:p w14:paraId="1AA074C4" w14:textId="77777777" w:rsidR="00B15F7D" w:rsidRPr="00990FB6" w:rsidRDefault="00B15F7D" w:rsidP="00B15F7D">
      <w:pPr>
        <w:ind w:left="851" w:right="851" w:firstLine="709"/>
        <w:jc w:val="both"/>
        <w:rPr>
          <w:sz w:val="22"/>
          <w:szCs w:val="22"/>
        </w:rPr>
      </w:pPr>
      <w:r w:rsidRPr="00990FB6">
        <w:rPr>
          <w:sz w:val="22"/>
          <w:szCs w:val="22"/>
        </w:rPr>
        <w:lastRenderedPageBreak/>
        <w:t>Como se puede apreciar en el cuadro anterior, se tiene la necesidad de incrementar en al menos una persona fiscal para esas Fiscalías con el fin de cumplir con la estructura mínima requerida para el correcto funcionamiento del Tribunal Penal en cada una de esas zonas, por lo que, para esos casos en específico se considera indispensable ese apoyo de forma permanente, como respuesta a la situación expuesta y a la capacidad instalada de esas localidades, lo cual provocaría un costo total anual aproximado de ₡400 414 980,00 para esas oficinas, sin embargo, es una situación que se viene presentando de manera temporal, pero continua, a través de los permisos con goce de salario bajo el artículo 44 de la Ley Orgánica del Poder Judicial, desde el 2019 aproximadamente, por lo que el incremento en el costo de la oficina debería ser mínimo a la hora de realizarse el cambio de forma temporal a permanente, en comparación con crear una plaza ordinaria completamente nueva.</w:t>
      </w:r>
    </w:p>
    <w:p w14:paraId="18AC3E19" w14:textId="77777777" w:rsidR="00B15F7D" w:rsidRPr="00990FB6" w:rsidRDefault="00B15F7D" w:rsidP="00B15F7D">
      <w:pPr>
        <w:ind w:left="851" w:right="851" w:firstLine="709"/>
        <w:jc w:val="both"/>
        <w:rPr>
          <w:sz w:val="22"/>
          <w:szCs w:val="22"/>
        </w:rPr>
      </w:pPr>
    </w:p>
    <w:p w14:paraId="22D71615" w14:textId="77777777" w:rsidR="00B15F7D" w:rsidRPr="00990FB6" w:rsidRDefault="00B15F7D" w:rsidP="00B15F7D">
      <w:pPr>
        <w:ind w:left="851" w:right="851" w:firstLine="709"/>
        <w:jc w:val="both"/>
        <w:rPr>
          <w:sz w:val="22"/>
          <w:szCs w:val="22"/>
        </w:rPr>
      </w:pPr>
      <w:r w:rsidRPr="00990FB6">
        <w:rPr>
          <w:sz w:val="22"/>
          <w:szCs w:val="22"/>
        </w:rPr>
        <w:t>En cuanto al monto correspondiente por mobiliario, equipo y licencias, no se debe incluir puesto que ya estás plazas como se mencionó con anterioridad, se encuentran laborando bajo permisos con goce de salario y por ende ya la institución y el Ministerio Público cuenta con esos recursos.</w:t>
      </w:r>
    </w:p>
    <w:p w14:paraId="3076E4AB" w14:textId="77777777" w:rsidR="00B15F7D" w:rsidRPr="00990FB6" w:rsidRDefault="00B15F7D" w:rsidP="00B15F7D">
      <w:pPr>
        <w:ind w:left="851" w:right="851" w:firstLine="709"/>
        <w:jc w:val="both"/>
        <w:rPr>
          <w:sz w:val="22"/>
          <w:szCs w:val="22"/>
        </w:rPr>
      </w:pPr>
    </w:p>
    <w:p w14:paraId="5C2F4112" w14:textId="77777777" w:rsidR="00B15F7D" w:rsidRPr="00990FB6" w:rsidRDefault="00B15F7D" w:rsidP="00B15F7D">
      <w:pPr>
        <w:ind w:left="851" w:right="851" w:firstLine="709"/>
        <w:jc w:val="both"/>
        <w:rPr>
          <w:bCs/>
          <w:i/>
          <w:smallCaps/>
          <w:sz w:val="22"/>
          <w:szCs w:val="22"/>
        </w:rPr>
      </w:pPr>
      <w:r w:rsidRPr="00990FB6">
        <w:rPr>
          <w:b/>
          <w:bCs/>
          <w:smallCaps/>
          <w:sz w:val="22"/>
          <w:szCs w:val="22"/>
        </w:rPr>
        <w:t xml:space="preserve">Cuadro </w:t>
      </w:r>
      <w:r w:rsidRPr="00990FB6">
        <w:rPr>
          <w:bCs/>
          <w:i/>
          <w:smallCaps/>
          <w:sz w:val="22"/>
          <w:szCs w:val="22"/>
        </w:rPr>
        <w:fldChar w:fldCharType="begin"/>
      </w:r>
      <w:r w:rsidRPr="00990FB6">
        <w:rPr>
          <w:b/>
          <w:bCs/>
          <w:smallCaps/>
          <w:sz w:val="22"/>
          <w:szCs w:val="22"/>
        </w:rPr>
        <w:instrText xml:space="preserve"> SEQ Escenario \* ARABIC </w:instrText>
      </w:r>
      <w:r w:rsidRPr="00990FB6">
        <w:rPr>
          <w:bCs/>
          <w:i/>
          <w:smallCaps/>
          <w:sz w:val="22"/>
          <w:szCs w:val="22"/>
        </w:rPr>
        <w:fldChar w:fldCharType="separate"/>
      </w:r>
      <w:r w:rsidRPr="00990FB6">
        <w:rPr>
          <w:b/>
          <w:bCs/>
          <w:smallCaps/>
          <w:noProof/>
          <w:sz w:val="22"/>
          <w:szCs w:val="22"/>
        </w:rPr>
        <w:t>3</w:t>
      </w:r>
      <w:r w:rsidRPr="00990FB6">
        <w:rPr>
          <w:bCs/>
          <w:i/>
          <w:smallCaps/>
          <w:sz w:val="22"/>
          <w:szCs w:val="22"/>
        </w:rPr>
        <w:fldChar w:fldCharType="end"/>
      </w:r>
    </w:p>
    <w:p w14:paraId="1BE03E49" w14:textId="77777777" w:rsidR="00B15F7D" w:rsidRPr="00990FB6" w:rsidRDefault="00B15F7D" w:rsidP="00B15F7D">
      <w:pPr>
        <w:ind w:left="851" w:right="851" w:firstLine="709"/>
        <w:jc w:val="both"/>
        <w:rPr>
          <w:bCs/>
          <w:i/>
          <w:smallCaps/>
          <w:sz w:val="22"/>
          <w:szCs w:val="22"/>
        </w:rPr>
      </w:pPr>
    </w:p>
    <w:p w14:paraId="04C23BD5" w14:textId="77777777" w:rsidR="00B15F7D" w:rsidRPr="00990FB6" w:rsidRDefault="00B15F7D" w:rsidP="00B15F7D">
      <w:pPr>
        <w:ind w:left="851" w:right="851" w:firstLine="709"/>
        <w:jc w:val="both"/>
        <w:rPr>
          <w:b/>
          <w:sz w:val="22"/>
          <w:szCs w:val="22"/>
        </w:rPr>
      </w:pPr>
      <w:r w:rsidRPr="00990FB6">
        <w:rPr>
          <w:b/>
          <w:sz w:val="22"/>
          <w:szCs w:val="22"/>
        </w:rPr>
        <w:t>Fiscalías del Ministerio Público que aún no han sido abordadas, pero donde se identificó faltante de personal por la estructura instalada en el Tribunal Penal de la localidad o por la operatividad de la Fiscalía del lugar.</w:t>
      </w:r>
    </w:p>
    <w:p w14:paraId="2A7E0E88" w14:textId="77777777" w:rsidR="00B15F7D" w:rsidRPr="00990FB6" w:rsidRDefault="00B15F7D" w:rsidP="00B15F7D">
      <w:pPr>
        <w:rPr>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7"/>
        <w:gridCol w:w="625"/>
        <w:gridCol w:w="705"/>
        <w:gridCol w:w="773"/>
        <w:gridCol w:w="632"/>
        <w:gridCol w:w="625"/>
        <w:gridCol w:w="985"/>
        <w:gridCol w:w="924"/>
        <w:gridCol w:w="863"/>
        <w:gridCol w:w="985"/>
      </w:tblGrid>
      <w:tr w:rsidR="00B15F7D" w:rsidRPr="00990FB6" w14:paraId="0E52C3C5" w14:textId="77777777" w:rsidTr="000A0C22">
        <w:trPr>
          <w:trHeight w:val="1074"/>
          <w:jc w:val="center"/>
        </w:trPr>
        <w:tc>
          <w:tcPr>
            <w:tcW w:w="488" w:type="pct"/>
            <w:shd w:val="clear" w:color="FFFFFF" w:fill="0B64A0"/>
            <w:noWrap/>
            <w:vAlign w:val="center"/>
            <w:hideMark/>
          </w:tcPr>
          <w:p w14:paraId="41003B11" w14:textId="77777777" w:rsidR="00B15F7D" w:rsidRPr="00990FB6" w:rsidRDefault="00B15F7D" w:rsidP="00B15F7D">
            <w:pPr>
              <w:jc w:val="center"/>
              <w:rPr>
                <w:b/>
                <w:bCs/>
                <w:sz w:val="22"/>
                <w:szCs w:val="22"/>
                <w:lang w:eastAsia="es-CR"/>
              </w:rPr>
            </w:pPr>
            <w:r w:rsidRPr="00990FB6">
              <w:rPr>
                <w:b/>
                <w:bCs/>
                <w:sz w:val="22"/>
                <w:szCs w:val="22"/>
                <w:lang w:eastAsia="es-CR"/>
              </w:rPr>
              <w:t>Despacho Datos 2023</w:t>
            </w:r>
          </w:p>
        </w:tc>
        <w:tc>
          <w:tcPr>
            <w:tcW w:w="427" w:type="pct"/>
            <w:shd w:val="clear" w:color="FFFFFF" w:fill="0B64A0"/>
            <w:vAlign w:val="center"/>
            <w:hideMark/>
          </w:tcPr>
          <w:p w14:paraId="40E6D5D7" w14:textId="77777777" w:rsidR="00B15F7D" w:rsidRPr="00990FB6" w:rsidRDefault="00B15F7D" w:rsidP="00B15F7D">
            <w:pPr>
              <w:jc w:val="center"/>
              <w:rPr>
                <w:b/>
                <w:bCs/>
                <w:sz w:val="22"/>
                <w:szCs w:val="22"/>
                <w:lang w:eastAsia="es-CR"/>
              </w:rPr>
            </w:pPr>
            <w:r w:rsidRPr="00990FB6">
              <w:rPr>
                <w:b/>
                <w:bCs/>
                <w:sz w:val="22"/>
                <w:szCs w:val="22"/>
                <w:lang w:eastAsia="es-CR"/>
              </w:rPr>
              <w:t>Cantidad actual de personal fiscal</w:t>
            </w:r>
          </w:p>
        </w:tc>
        <w:tc>
          <w:tcPr>
            <w:tcW w:w="488" w:type="pct"/>
            <w:shd w:val="clear" w:color="FFFFFF" w:fill="0B64A0"/>
            <w:vAlign w:val="center"/>
            <w:hideMark/>
          </w:tcPr>
          <w:p w14:paraId="72A66AB3" w14:textId="77777777" w:rsidR="00B15F7D" w:rsidRPr="00990FB6" w:rsidRDefault="00B15F7D" w:rsidP="00B15F7D">
            <w:pPr>
              <w:jc w:val="center"/>
              <w:rPr>
                <w:b/>
                <w:bCs/>
                <w:sz w:val="22"/>
                <w:szCs w:val="22"/>
                <w:lang w:eastAsia="es-CR"/>
              </w:rPr>
            </w:pPr>
            <w:r w:rsidRPr="00990FB6">
              <w:rPr>
                <w:b/>
                <w:bCs/>
                <w:sz w:val="22"/>
                <w:szCs w:val="22"/>
                <w:lang w:eastAsia="es-CR"/>
              </w:rPr>
              <w:t>Secciones Colegiadas actuales</w:t>
            </w:r>
          </w:p>
        </w:tc>
        <w:tc>
          <w:tcPr>
            <w:tcW w:w="450" w:type="pct"/>
            <w:shd w:val="clear" w:color="FFFFFF" w:fill="0B64A0"/>
            <w:vAlign w:val="center"/>
            <w:hideMark/>
          </w:tcPr>
          <w:p w14:paraId="75584DCF" w14:textId="77777777" w:rsidR="00B15F7D" w:rsidRPr="00990FB6" w:rsidRDefault="00B15F7D" w:rsidP="00B15F7D">
            <w:pPr>
              <w:jc w:val="center"/>
              <w:rPr>
                <w:b/>
                <w:bCs/>
                <w:sz w:val="22"/>
                <w:szCs w:val="22"/>
                <w:lang w:eastAsia="es-CR"/>
              </w:rPr>
            </w:pPr>
            <w:r w:rsidRPr="00990FB6">
              <w:rPr>
                <w:b/>
                <w:bCs/>
                <w:sz w:val="22"/>
                <w:szCs w:val="22"/>
                <w:lang w:eastAsia="es-CR"/>
              </w:rPr>
              <w:t>Secciones Unipersonal actuales</w:t>
            </w:r>
          </w:p>
        </w:tc>
        <w:tc>
          <w:tcPr>
            <w:tcW w:w="464" w:type="pct"/>
            <w:shd w:val="clear" w:color="FFFFFF" w:fill="0B64A0"/>
            <w:vAlign w:val="center"/>
            <w:hideMark/>
          </w:tcPr>
          <w:p w14:paraId="57ADF6E8" w14:textId="77777777" w:rsidR="00B15F7D" w:rsidRPr="00990FB6" w:rsidRDefault="00B15F7D" w:rsidP="00B15F7D">
            <w:pPr>
              <w:jc w:val="center"/>
              <w:rPr>
                <w:b/>
                <w:bCs/>
                <w:sz w:val="22"/>
                <w:szCs w:val="22"/>
                <w:lang w:eastAsia="es-CR"/>
              </w:rPr>
            </w:pPr>
            <w:r w:rsidRPr="00990FB6">
              <w:rPr>
                <w:b/>
                <w:bCs/>
                <w:sz w:val="22"/>
                <w:szCs w:val="22"/>
                <w:lang w:eastAsia="es-CR"/>
              </w:rPr>
              <w:t>Secciones Mixtas actuales</w:t>
            </w:r>
          </w:p>
        </w:tc>
        <w:tc>
          <w:tcPr>
            <w:tcW w:w="427" w:type="pct"/>
            <w:shd w:val="clear" w:color="FFFFFF" w:fill="0B64A0"/>
            <w:vAlign w:val="center"/>
            <w:hideMark/>
          </w:tcPr>
          <w:p w14:paraId="47E61419" w14:textId="77777777" w:rsidR="00B15F7D" w:rsidRPr="00990FB6" w:rsidRDefault="00B15F7D" w:rsidP="00B15F7D">
            <w:pPr>
              <w:jc w:val="center"/>
              <w:rPr>
                <w:b/>
                <w:bCs/>
                <w:sz w:val="22"/>
                <w:szCs w:val="22"/>
                <w:lang w:eastAsia="es-CR"/>
              </w:rPr>
            </w:pPr>
            <w:r w:rsidRPr="00990FB6">
              <w:rPr>
                <w:b/>
                <w:bCs/>
                <w:sz w:val="22"/>
                <w:szCs w:val="22"/>
                <w:lang w:eastAsia="es-CR"/>
              </w:rPr>
              <w:t>Cantidad de personal fiscal nuevo</w:t>
            </w:r>
          </w:p>
        </w:tc>
        <w:tc>
          <w:tcPr>
            <w:tcW w:w="610" w:type="pct"/>
            <w:shd w:val="clear" w:color="FFFFFF" w:fill="0B64A0"/>
            <w:vAlign w:val="center"/>
            <w:hideMark/>
          </w:tcPr>
          <w:p w14:paraId="609DD98C" w14:textId="77777777" w:rsidR="00B15F7D" w:rsidRPr="00990FB6" w:rsidRDefault="00B15F7D" w:rsidP="00B15F7D">
            <w:pPr>
              <w:jc w:val="center"/>
              <w:rPr>
                <w:b/>
                <w:bCs/>
                <w:sz w:val="22"/>
                <w:szCs w:val="22"/>
                <w:lang w:eastAsia="es-CR"/>
              </w:rPr>
            </w:pPr>
            <w:r w:rsidRPr="00990FB6">
              <w:rPr>
                <w:b/>
                <w:bCs/>
                <w:sz w:val="22"/>
                <w:szCs w:val="22"/>
                <w:lang w:eastAsia="es-CR"/>
              </w:rPr>
              <w:t>Costo anual por persona fiscal</w:t>
            </w:r>
          </w:p>
        </w:tc>
        <w:tc>
          <w:tcPr>
            <w:tcW w:w="549" w:type="pct"/>
            <w:shd w:val="clear" w:color="FFFFFF" w:fill="0B64A0"/>
            <w:vAlign w:val="center"/>
            <w:hideMark/>
          </w:tcPr>
          <w:p w14:paraId="22AFC13A" w14:textId="77777777" w:rsidR="00B15F7D" w:rsidRPr="00990FB6" w:rsidRDefault="00B15F7D" w:rsidP="00B15F7D">
            <w:pPr>
              <w:jc w:val="center"/>
              <w:rPr>
                <w:b/>
                <w:bCs/>
                <w:sz w:val="22"/>
                <w:szCs w:val="22"/>
                <w:lang w:eastAsia="es-CR"/>
              </w:rPr>
            </w:pPr>
            <w:r w:rsidRPr="00990FB6">
              <w:rPr>
                <w:b/>
                <w:bCs/>
                <w:sz w:val="22"/>
                <w:szCs w:val="22"/>
                <w:lang w:eastAsia="es-CR"/>
              </w:rPr>
              <w:t>Costo por Mobiliario y Equipo</w:t>
            </w:r>
          </w:p>
        </w:tc>
        <w:tc>
          <w:tcPr>
            <w:tcW w:w="488" w:type="pct"/>
            <w:shd w:val="clear" w:color="FFFFFF" w:fill="0B64A0"/>
            <w:vAlign w:val="center"/>
            <w:hideMark/>
          </w:tcPr>
          <w:p w14:paraId="4B94A117" w14:textId="77777777" w:rsidR="00B15F7D" w:rsidRPr="00990FB6" w:rsidRDefault="00B15F7D" w:rsidP="00B15F7D">
            <w:pPr>
              <w:jc w:val="center"/>
              <w:rPr>
                <w:b/>
                <w:bCs/>
                <w:sz w:val="22"/>
                <w:szCs w:val="22"/>
                <w:lang w:eastAsia="es-CR"/>
              </w:rPr>
            </w:pPr>
            <w:r w:rsidRPr="00990FB6">
              <w:rPr>
                <w:b/>
                <w:bCs/>
                <w:sz w:val="22"/>
                <w:szCs w:val="22"/>
                <w:lang w:eastAsia="es-CR"/>
              </w:rPr>
              <w:t>Costo por licencias</w:t>
            </w:r>
          </w:p>
        </w:tc>
        <w:tc>
          <w:tcPr>
            <w:tcW w:w="610" w:type="pct"/>
            <w:shd w:val="clear" w:color="FFFFFF" w:fill="0B64A0"/>
            <w:vAlign w:val="center"/>
            <w:hideMark/>
          </w:tcPr>
          <w:p w14:paraId="1FF4D316"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r>
      <w:tr w:rsidR="00B15F7D" w:rsidRPr="00990FB6" w14:paraId="379F80A7" w14:textId="77777777" w:rsidTr="000A0C22">
        <w:trPr>
          <w:trHeight w:val="310"/>
          <w:jc w:val="center"/>
        </w:trPr>
        <w:tc>
          <w:tcPr>
            <w:tcW w:w="488" w:type="pct"/>
            <w:shd w:val="clear" w:color="auto" w:fill="D9E2F3"/>
            <w:vAlign w:val="center"/>
            <w:hideMark/>
          </w:tcPr>
          <w:p w14:paraId="182D08B4" w14:textId="77777777" w:rsidR="00B15F7D" w:rsidRPr="00990FB6" w:rsidRDefault="00B15F7D" w:rsidP="00B15F7D">
            <w:pPr>
              <w:rPr>
                <w:sz w:val="22"/>
                <w:szCs w:val="22"/>
                <w:lang w:eastAsia="es-CR"/>
              </w:rPr>
            </w:pPr>
            <w:r w:rsidRPr="00990FB6">
              <w:rPr>
                <w:sz w:val="22"/>
                <w:szCs w:val="22"/>
                <w:lang w:eastAsia="es-CR"/>
              </w:rPr>
              <w:t>Fiscalía Adjunta de Cartago</w:t>
            </w:r>
          </w:p>
        </w:tc>
        <w:tc>
          <w:tcPr>
            <w:tcW w:w="427" w:type="pct"/>
            <w:shd w:val="clear" w:color="auto" w:fill="auto"/>
            <w:noWrap/>
            <w:vAlign w:val="center"/>
            <w:hideMark/>
          </w:tcPr>
          <w:p w14:paraId="12B39458" w14:textId="77777777" w:rsidR="00B15F7D" w:rsidRPr="00990FB6" w:rsidRDefault="00B15F7D" w:rsidP="00B15F7D">
            <w:pPr>
              <w:jc w:val="center"/>
              <w:rPr>
                <w:sz w:val="22"/>
                <w:szCs w:val="22"/>
                <w:lang w:eastAsia="es-CR"/>
              </w:rPr>
            </w:pPr>
            <w:r w:rsidRPr="00990FB6">
              <w:rPr>
                <w:sz w:val="22"/>
                <w:szCs w:val="22"/>
                <w:lang w:eastAsia="es-CR"/>
              </w:rPr>
              <w:t>4</w:t>
            </w:r>
          </w:p>
        </w:tc>
        <w:tc>
          <w:tcPr>
            <w:tcW w:w="488" w:type="pct"/>
            <w:shd w:val="clear" w:color="auto" w:fill="auto"/>
            <w:noWrap/>
            <w:vAlign w:val="center"/>
            <w:hideMark/>
          </w:tcPr>
          <w:p w14:paraId="0E4EBB3B" w14:textId="77777777" w:rsidR="00B15F7D" w:rsidRPr="00990FB6" w:rsidRDefault="00B15F7D" w:rsidP="00B15F7D">
            <w:pPr>
              <w:jc w:val="center"/>
              <w:rPr>
                <w:sz w:val="22"/>
                <w:szCs w:val="22"/>
                <w:lang w:eastAsia="es-CR"/>
              </w:rPr>
            </w:pPr>
            <w:r w:rsidRPr="00990FB6">
              <w:rPr>
                <w:sz w:val="22"/>
                <w:szCs w:val="22"/>
                <w:lang w:eastAsia="es-CR"/>
              </w:rPr>
              <w:t>2</w:t>
            </w:r>
          </w:p>
        </w:tc>
        <w:tc>
          <w:tcPr>
            <w:tcW w:w="450" w:type="pct"/>
            <w:shd w:val="clear" w:color="auto" w:fill="auto"/>
            <w:noWrap/>
            <w:vAlign w:val="center"/>
            <w:hideMark/>
          </w:tcPr>
          <w:p w14:paraId="7D716FF1" w14:textId="77777777" w:rsidR="00B15F7D" w:rsidRPr="00990FB6" w:rsidRDefault="00B15F7D" w:rsidP="00B15F7D">
            <w:pPr>
              <w:jc w:val="center"/>
              <w:rPr>
                <w:sz w:val="22"/>
                <w:szCs w:val="22"/>
                <w:lang w:eastAsia="es-CR"/>
              </w:rPr>
            </w:pPr>
            <w:r w:rsidRPr="00990FB6">
              <w:rPr>
                <w:sz w:val="22"/>
                <w:szCs w:val="22"/>
                <w:lang w:eastAsia="es-CR"/>
              </w:rPr>
              <w:t>3</w:t>
            </w:r>
          </w:p>
        </w:tc>
        <w:tc>
          <w:tcPr>
            <w:tcW w:w="464" w:type="pct"/>
            <w:shd w:val="clear" w:color="auto" w:fill="auto"/>
            <w:noWrap/>
            <w:vAlign w:val="center"/>
            <w:hideMark/>
          </w:tcPr>
          <w:p w14:paraId="03E06285"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5230466E"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210ADA0E"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385C1ABC"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407A7B5C"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35DB42D4"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43A38932" w14:textId="77777777" w:rsidTr="000A0C22">
        <w:trPr>
          <w:trHeight w:val="310"/>
          <w:jc w:val="center"/>
        </w:trPr>
        <w:tc>
          <w:tcPr>
            <w:tcW w:w="488" w:type="pct"/>
            <w:shd w:val="clear" w:color="auto" w:fill="D9E2F3"/>
            <w:vAlign w:val="center"/>
            <w:hideMark/>
          </w:tcPr>
          <w:p w14:paraId="7D176500" w14:textId="77777777" w:rsidR="00B15F7D" w:rsidRPr="00990FB6" w:rsidRDefault="00B15F7D" w:rsidP="00B15F7D">
            <w:pPr>
              <w:rPr>
                <w:sz w:val="22"/>
                <w:szCs w:val="22"/>
                <w:lang w:eastAsia="es-CR"/>
              </w:rPr>
            </w:pPr>
            <w:r w:rsidRPr="00990FB6">
              <w:rPr>
                <w:sz w:val="22"/>
                <w:szCs w:val="22"/>
                <w:lang w:eastAsia="es-CR"/>
              </w:rPr>
              <w:t>Fiscalía Adjunta del Primer Circuito Judicial de la Zona Sur-Pérez Zeledón</w:t>
            </w:r>
          </w:p>
        </w:tc>
        <w:tc>
          <w:tcPr>
            <w:tcW w:w="427" w:type="pct"/>
            <w:shd w:val="clear" w:color="auto" w:fill="auto"/>
            <w:noWrap/>
            <w:vAlign w:val="center"/>
            <w:hideMark/>
          </w:tcPr>
          <w:p w14:paraId="058AA525" w14:textId="77777777" w:rsidR="00B15F7D" w:rsidRPr="00990FB6" w:rsidRDefault="00B15F7D" w:rsidP="00B15F7D">
            <w:pPr>
              <w:jc w:val="center"/>
              <w:rPr>
                <w:sz w:val="22"/>
                <w:szCs w:val="22"/>
                <w:lang w:eastAsia="es-CR"/>
              </w:rPr>
            </w:pPr>
            <w:r w:rsidRPr="00990FB6">
              <w:rPr>
                <w:sz w:val="22"/>
                <w:szCs w:val="22"/>
                <w:lang w:eastAsia="es-CR"/>
              </w:rPr>
              <w:t>2</w:t>
            </w:r>
          </w:p>
        </w:tc>
        <w:tc>
          <w:tcPr>
            <w:tcW w:w="488" w:type="pct"/>
            <w:shd w:val="clear" w:color="auto" w:fill="auto"/>
            <w:noWrap/>
            <w:vAlign w:val="center"/>
            <w:hideMark/>
          </w:tcPr>
          <w:p w14:paraId="32EE1E89" w14:textId="77777777" w:rsidR="00B15F7D" w:rsidRPr="00990FB6" w:rsidRDefault="00B15F7D" w:rsidP="00B15F7D">
            <w:pPr>
              <w:jc w:val="center"/>
              <w:rPr>
                <w:sz w:val="22"/>
                <w:szCs w:val="22"/>
                <w:lang w:eastAsia="es-CR"/>
              </w:rPr>
            </w:pPr>
            <w:r w:rsidRPr="00990FB6">
              <w:rPr>
                <w:sz w:val="22"/>
                <w:szCs w:val="22"/>
                <w:lang w:eastAsia="es-CR"/>
              </w:rPr>
              <w:t>2</w:t>
            </w:r>
          </w:p>
        </w:tc>
        <w:tc>
          <w:tcPr>
            <w:tcW w:w="450" w:type="pct"/>
            <w:shd w:val="clear" w:color="auto" w:fill="auto"/>
            <w:noWrap/>
            <w:vAlign w:val="center"/>
            <w:hideMark/>
          </w:tcPr>
          <w:p w14:paraId="74163A0B" w14:textId="77777777" w:rsidR="00B15F7D" w:rsidRPr="00990FB6" w:rsidRDefault="00B15F7D" w:rsidP="00B15F7D">
            <w:pPr>
              <w:jc w:val="center"/>
              <w:rPr>
                <w:sz w:val="22"/>
                <w:szCs w:val="22"/>
                <w:lang w:eastAsia="es-CR"/>
              </w:rPr>
            </w:pPr>
            <w:r w:rsidRPr="00990FB6">
              <w:rPr>
                <w:sz w:val="22"/>
                <w:szCs w:val="22"/>
                <w:lang w:eastAsia="es-CR"/>
              </w:rPr>
              <w:t>1</w:t>
            </w:r>
          </w:p>
        </w:tc>
        <w:tc>
          <w:tcPr>
            <w:tcW w:w="464" w:type="pct"/>
            <w:shd w:val="clear" w:color="auto" w:fill="auto"/>
            <w:noWrap/>
            <w:vAlign w:val="center"/>
            <w:hideMark/>
          </w:tcPr>
          <w:p w14:paraId="13BDB4C1"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6FCC1438"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0330ACD2"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7D62AD28"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4D99D291"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212FD8F9"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4F4B0AFF" w14:textId="77777777" w:rsidTr="000A0C22">
        <w:trPr>
          <w:trHeight w:val="648"/>
          <w:jc w:val="center"/>
        </w:trPr>
        <w:tc>
          <w:tcPr>
            <w:tcW w:w="488" w:type="pct"/>
            <w:shd w:val="clear" w:color="auto" w:fill="D9E2F3"/>
            <w:vAlign w:val="center"/>
            <w:hideMark/>
          </w:tcPr>
          <w:p w14:paraId="73D31A9A" w14:textId="77777777" w:rsidR="00B15F7D" w:rsidRPr="00990FB6" w:rsidRDefault="00B15F7D" w:rsidP="00B15F7D">
            <w:pPr>
              <w:rPr>
                <w:sz w:val="22"/>
                <w:szCs w:val="22"/>
                <w:lang w:eastAsia="es-CR"/>
              </w:rPr>
            </w:pPr>
            <w:r w:rsidRPr="00990FB6">
              <w:rPr>
                <w:sz w:val="22"/>
                <w:szCs w:val="22"/>
                <w:lang w:eastAsia="es-CR"/>
              </w:rPr>
              <w:lastRenderedPageBreak/>
              <w:t>Fiscalía Adjunta del Segundo Circuito Judicial de Alajuela-San Carlos</w:t>
            </w:r>
          </w:p>
        </w:tc>
        <w:tc>
          <w:tcPr>
            <w:tcW w:w="427" w:type="pct"/>
            <w:shd w:val="clear" w:color="auto" w:fill="auto"/>
            <w:noWrap/>
            <w:vAlign w:val="center"/>
            <w:hideMark/>
          </w:tcPr>
          <w:p w14:paraId="04B0852D" w14:textId="77777777" w:rsidR="00B15F7D" w:rsidRPr="00990FB6" w:rsidRDefault="00B15F7D" w:rsidP="00B15F7D">
            <w:pPr>
              <w:jc w:val="center"/>
              <w:rPr>
                <w:sz w:val="22"/>
                <w:szCs w:val="22"/>
                <w:lang w:eastAsia="es-CR"/>
              </w:rPr>
            </w:pPr>
            <w:r w:rsidRPr="00990FB6">
              <w:rPr>
                <w:sz w:val="22"/>
                <w:szCs w:val="22"/>
                <w:lang w:eastAsia="es-CR"/>
              </w:rPr>
              <w:t>2</w:t>
            </w:r>
          </w:p>
        </w:tc>
        <w:tc>
          <w:tcPr>
            <w:tcW w:w="488" w:type="pct"/>
            <w:shd w:val="clear" w:color="auto" w:fill="auto"/>
            <w:noWrap/>
            <w:vAlign w:val="center"/>
            <w:hideMark/>
          </w:tcPr>
          <w:p w14:paraId="02F1D350" w14:textId="77777777" w:rsidR="00B15F7D" w:rsidRPr="00990FB6" w:rsidRDefault="00B15F7D" w:rsidP="00B15F7D">
            <w:pPr>
              <w:jc w:val="center"/>
              <w:rPr>
                <w:sz w:val="22"/>
                <w:szCs w:val="22"/>
                <w:lang w:eastAsia="es-CR"/>
              </w:rPr>
            </w:pPr>
            <w:r w:rsidRPr="00990FB6">
              <w:rPr>
                <w:sz w:val="22"/>
                <w:szCs w:val="22"/>
                <w:lang w:eastAsia="es-CR"/>
              </w:rPr>
              <w:t>2</w:t>
            </w:r>
          </w:p>
        </w:tc>
        <w:tc>
          <w:tcPr>
            <w:tcW w:w="450" w:type="pct"/>
            <w:shd w:val="clear" w:color="auto" w:fill="auto"/>
            <w:noWrap/>
            <w:vAlign w:val="center"/>
            <w:hideMark/>
          </w:tcPr>
          <w:p w14:paraId="12444DE0" w14:textId="77777777" w:rsidR="00B15F7D" w:rsidRPr="00990FB6" w:rsidRDefault="00B15F7D" w:rsidP="00B15F7D">
            <w:pPr>
              <w:jc w:val="center"/>
              <w:rPr>
                <w:sz w:val="22"/>
                <w:szCs w:val="22"/>
                <w:lang w:eastAsia="es-CR"/>
              </w:rPr>
            </w:pPr>
            <w:r w:rsidRPr="00990FB6">
              <w:rPr>
                <w:sz w:val="22"/>
                <w:szCs w:val="22"/>
                <w:lang w:eastAsia="es-CR"/>
              </w:rPr>
              <w:t>3</w:t>
            </w:r>
          </w:p>
        </w:tc>
        <w:tc>
          <w:tcPr>
            <w:tcW w:w="464" w:type="pct"/>
            <w:shd w:val="clear" w:color="auto" w:fill="auto"/>
            <w:noWrap/>
            <w:vAlign w:val="center"/>
            <w:hideMark/>
          </w:tcPr>
          <w:p w14:paraId="616C4B7D"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1298E556" w14:textId="77777777" w:rsidR="00B15F7D" w:rsidRPr="00990FB6" w:rsidRDefault="00B15F7D" w:rsidP="00B15F7D">
            <w:pPr>
              <w:jc w:val="center"/>
              <w:rPr>
                <w:sz w:val="22"/>
                <w:szCs w:val="22"/>
                <w:lang w:eastAsia="es-CR"/>
              </w:rPr>
            </w:pPr>
            <w:r w:rsidRPr="00990FB6">
              <w:rPr>
                <w:sz w:val="22"/>
                <w:szCs w:val="22"/>
                <w:lang w:eastAsia="es-CR"/>
              </w:rPr>
              <w:t>3</w:t>
            </w:r>
          </w:p>
        </w:tc>
        <w:tc>
          <w:tcPr>
            <w:tcW w:w="610" w:type="pct"/>
            <w:shd w:val="clear" w:color="auto" w:fill="auto"/>
            <w:noWrap/>
            <w:vAlign w:val="bottom"/>
            <w:hideMark/>
          </w:tcPr>
          <w:p w14:paraId="0EA2CF70" w14:textId="77777777" w:rsidR="00B15F7D" w:rsidRPr="00990FB6" w:rsidRDefault="00B15F7D" w:rsidP="00B15F7D">
            <w:pPr>
              <w:jc w:val="center"/>
              <w:rPr>
                <w:sz w:val="22"/>
                <w:szCs w:val="22"/>
                <w:lang w:eastAsia="es-CR"/>
              </w:rPr>
            </w:pPr>
            <w:r w:rsidRPr="00990FB6">
              <w:rPr>
                <w:sz w:val="22"/>
                <w:szCs w:val="22"/>
                <w:lang w:eastAsia="es-CR"/>
              </w:rPr>
              <w:t>₡171 195 000,00</w:t>
            </w:r>
          </w:p>
        </w:tc>
        <w:tc>
          <w:tcPr>
            <w:tcW w:w="549" w:type="pct"/>
            <w:shd w:val="clear" w:color="auto" w:fill="auto"/>
            <w:noWrap/>
            <w:vAlign w:val="bottom"/>
            <w:hideMark/>
          </w:tcPr>
          <w:p w14:paraId="16FCC233" w14:textId="77777777" w:rsidR="00B15F7D" w:rsidRPr="00990FB6" w:rsidRDefault="00B15F7D" w:rsidP="00B15F7D">
            <w:pPr>
              <w:jc w:val="center"/>
              <w:rPr>
                <w:sz w:val="22"/>
                <w:szCs w:val="22"/>
                <w:lang w:eastAsia="es-CR"/>
              </w:rPr>
            </w:pPr>
            <w:r w:rsidRPr="00990FB6">
              <w:rPr>
                <w:sz w:val="22"/>
                <w:szCs w:val="22"/>
                <w:lang w:eastAsia="es-CR"/>
              </w:rPr>
              <w:t>₡4 658 046,00</w:t>
            </w:r>
          </w:p>
        </w:tc>
        <w:tc>
          <w:tcPr>
            <w:tcW w:w="488" w:type="pct"/>
            <w:shd w:val="clear" w:color="auto" w:fill="auto"/>
            <w:noWrap/>
            <w:vAlign w:val="bottom"/>
            <w:hideMark/>
          </w:tcPr>
          <w:p w14:paraId="79B2CF14" w14:textId="77777777" w:rsidR="00B15F7D" w:rsidRPr="00990FB6" w:rsidRDefault="00B15F7D" w:rsidP="00B15F7D">
            <w:pPr>
              <w:jc w:val="center"/>
              <w:rPr>
                <w:sz w:val="22"/>
                <w:szCs w:val="22"/>
                <w:lang w:eastAsia="es-CR"/>
              </w:rPr>
            </w:pPr>
            <w:r w:rsidRPr="00990FB6">
              <w:rPr>
                <w:sz w:val="22"/>
                <w:szCs w:val="22"/>
                <w:lang w:eastAsia="es-CR"/>
              </w:rPr>
              <w:t>₡411 420,00</w:t>
            </w:r>
          </w:p>
        </w:tc>
        <w:tc>
          <w:tcPr>
            <w:tcW w:w="610" w:type="pct"/>
            <w:shd w:val="clear" w:color="auto" w:fill="auto"/>
            <w:noWrap/>
            <w:vAlign w:val="bottom"/>
            <w:hideMark/>
          </w:tcPr>
          <w:p w14:paraId="5BBF2714" w14:textId="77777777" w:rsidR="00B15F7D" w:rsidRPr="00990FB6" w:rsidRDefault="00B15F7D" w:rsidP="00B15F7D">
            <w:pPr>
              <w:jc w:val="center"/>
              <w:rPr>
                <w:sz w:val="22"/>
                <w:szCs w:val="22"/>
                <w:lang w:eastAsia="es-CR"/>
              </w:rPr>
            </w:pPr>
            <w:r w:rsidRPr="00990FB6">
              <w:rPr>
                <w:sz w:val="22"/>
                <w:szCs w:val="22"/>
                <w:lang w:eastAsia="es-CR"/>
              </w:rPr>
              <w:t>₡176 264 467,00</w:t>
            </w:r>
          </w:p>
        </w:tc>
      </w:tr>
      <w:tr w:rsidR="00B15F7D" w:rsidRPr="00990FB6" w14:paraId="52C4F571" w14:textId="77777777" w:rsidTr="000A0C22">
        <w:trPr>
          <w:trHeight w:val="310"/>
          <w:jc w:val="center"/>
        </w:trPr>
        <w:tc>
          <w:tcPr>
            <w:tcW w:w="488" w:type="pct"/>
            <w:shd w:val="clear" w:color="auto" w:fill="D9E2F3"/>
            <w:vAlign w:val="center"/>
            <w:hideMark/>
          </w:tcPr>
          <w:p w14:paraId="0CF1C596" w14:textId="77777777" w:rsidR="00B15F7D" w:rsidRPr="00990FB6" w:rsidRDefault="00B15F7D" w:rsidP="00B15F7D">
            <w:pPr>
              <w:rPr>
                <w:sz w:val="22"/>
                <w:szCs w:val="22"/>
                <w:lang w:eastAsia="es-CR"/>
              </w:rPr>
            </w:pPr>
            <w:r w:rsidRPr="00990FB6">
              <w:rPr>
                <w:sz w:val="22"/>
                <w:szCs w:val="22"/>
                <w:lang w:eastAsia="es-CR"/>
              </w:rPr>
              <w:t>Fiscalía Adjunta del Primer Circuito Judicial de San José</w:t>
            </w:r>
          </w:p>
        </w:tc>
        <w:tc>
          <w:tcPr>
            <w:tcW w:w="427" w:type="pct"/>
            <w:shd w:val="clear" w:color="auto" w:fill="auto"/>
            <w:noWrap/>
            <w:vAlign w:val="center"/>
            <w:hideMark/>
          </w:tcPr>
          <w:p w14:paraId="3235C304" w14:textId="77777777" w:rsidR="00B15F7D" w:rsidRPr="00990FB6" w:rsidRDefault="00B15F7D" w:rsidP="00B15F7D">
            <w:pPr>
              <w:jc w:val="center"/>
              <w:rPr>
                <w:sz w:val="22"/>
                <w:szCs w:val="22"/>
                <w:lang w:eastAsia="es-CR"/>
              </w:rPr>
            </w:pPr>
            <w:r w:rsidRPr="00990FB6">
              <w:rPr>
                <w:sz w:val="22"/>
                <w:szCs w:val="22"/>
                <w:lang w:eastAsia="es-CR"/>
              </w:rPr>
              <w:t>3</w:t>
            </w:r>
          </w:p>
        </w:tc>
        <w:tc>
          <w:tcPr>
            <w:tcW w:w="488" w:type="pct"/>
            <w:shd w:val="clear" w:color="auto" w:fill="auto"/>
            <w:noWrap/>
            <w:vAlign w:val="center"/>
            <w:hideMark/>
          </w:tcPr>
          <w:p w14:paraId="53873AC8" w14:textId="77777777" w:rsidR="00B15F7D" w:rsidRPr="00990FB6" w:rsidRDefault="00B15F7D" w:rsidP="00B15F7D">
            <w:pPr>
              <w:jc w:val="center"/>
              <w:rPr>
                <w:sz w:val="22"/>
                <w:szCs w:val="22"/>
                <w:lang w:eastAsia="es-CR"/>
              </w:rPr>
            </w:pPr>
            <w:r w:rsidRPr="00990FB6">
              <w:rPr>
                <w:sz w:val="22"/>
                <w:szCs w:val="22"/>
                <w:lang w:eastAsia="es-CR"/>
              </w:rPr>
              <w:t>6</w:t>
            </w:r>
          </w:p>
        </w:tc>
        <w:tc>
          <w:tcPr>
            <w:tcW w:w="450" w:type="pct"/>
            <w:shd w:val="clear" w:color="auto" w:fill="auto"/>
            <w:noWrap/>
            <w:vAlign w:val="center"/>
            <w:hideMark/>
          </w:tcPr>
          <w:p w14:paraId="05E6EBB1" w14:textId="77777777" w:rsidR="00B15F7D" w:rsidRPr="00990FB6" w:rsidRDefault="00B15F7D" w:rsidP="00B15F7D">
            <w:pPr>
              <w:jc w:val="center"/>
              <w:rPr>
                <w:sz w:val="22"/>
                <w:szCs w:val="22"/>
                <w:lang w:eastAsia="es-CR"/>
              </w:rPr>
            </w:pPr>
            <w:r w:rsidRPr="00990FB6">
              <w:rPr>
                <w:sz w:val="22"/>
                <w:szCs w:val="22"/>
                <w:lang w:eastAsia="es-CR"/>
              </w:rPr>
              <w:t>3</w:t>
            </w:r>
          </w:p>
        </w:tc>
        <w:tc>
          <w:tcPr>
            <w:tcW w:w="464" w:type="pct"/>
            <w:shd w:val="clear" w:color="auto" w:fill="auto"/>
            <w:noWrap/>
            <w:vAlign w:val="center"/>
            <w:hideMark/>
          </w:tcPr>
          <w:p w14:paraId="06ECA166"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3EF86D18" w14:textId="77777777" w:rsidR="00B15F7D" w:rsidRPr="00990FB6" w:rsidRDefault="00B15F7D" w:rsidP="00B15F7D">
            <w:pPr>
              <w:jc w:val="center"/>
              <w:rPr>
                <w:sz w:val="22"/>
                <w:szCs w:val="22"/>
                <w:lang w:eastAsia="es-CR"/>
              </w:rPr>
            </w:pPr>
            <w:r w:rsidRPr="00990FB6">
              <w:rPr>
                <w:sz w:val="22"/>
                <w:szCs w:val="22"/>
                <w:lang w:eastAsia="es-CR"/>
              </w:rPr>
              <w:t>2</w:t>
            </w:r>
          </w:p>
        </w:tc>
        <w:tc>
          <w:tcPr>
            <w:tcW w:w="610" w:type="pct"/>
            <w:shd w:val="clear" w:color="auto" w:fill="auto"/>
            <w:noWrap/>
            <w:vAlign w:val="bottom"/>
            <w:hideMark/>
          </w:tcPr>
          <w:p w14:paraId="5B7DFD8B" w14:textId="77777777" w:rsidR="00B15F7D" w:rsidRPr="00990FB6" w:rsidRDefault="00B15F7D" w:rsidP="00B15F7D">
            <w:pPr>
              <w:jc w:val="center"/>
              <w:rPr>
                <w:sz w:val="22"/>
                <w:szCs w:val="22"/>
                <w:lang w:eastAsia="es-CR"/>
              </w:rPr>
            </w:pPr>
            <w:r w:rsidRPr="00990FB6">
              <w:rPr>
                <w:sz w:val="22"/>
                <w:szCs w:val="22"/>
                <w:lang w:eastAsia="es-CR"/>
              </w:rPr>
              <w:t>₡114 130 000,00</w:t>
            </w:r>
          </w:p>
        </w:tc>
        <w:tc>
          <w:tcPr>
            <w:tcW w:w="549" w:type="pct"/>
            <w:shd w:val="clear" w:color="auto" w:fill="auto"/>
            <w:noWrap/>
            <w:vAlign w:val="bottom"/>
            <w:hideMark/>
          </w:tcPr>
          <w:p w14:paraId="0B74B6CF" w14:textId="77777777" w:rsidR="00B15F7D" w:rsidRPr="00990FB6" w:rsidRDefault="00B15F7D" w:rsidP="00B15F7D">
            <w:pPr>
              <w:jc w:val="center"/>
              <w:rPr>
                <w:sz w:val="22"/>
                <w:szCs w:val="22"/>
                <w:lang w:eastAsia="es-CR"/>
              </w:rPr>
            </w:pPr>
            <w:r w:rsidRPr="00990FB6">
              <w:rPr>
                <w:sz w:val="22"/>
                <w:szCs w:val="22"/>
                <w:lang w:eastAsia="es-CR"/>
              </w:rPr>
              <w:t>₡3 105 364,00</w:t>
            </w:r>
          </w:p>
        </w:tc>
        <w:tc>
          <w:tcPr>
            <w:tcW w:w="488" w:type="pct"/>
            <w:shd w:val="clear" w:color="auto" w:fill="auto"/>
            <w:noWrap/>
            <w:vAlign w:val="bottom"/>
            <w:hideMark/>
          </w:tcPr>
          <w:p w14:paraId="1795D99A" w14:textId="77777777" w:rsidR="00B15F7D" w:rsidRPr="00990FB6" w:rsidRDefault="00B15F7D" w:rsidP="00B15F7D">
            <w:pPr>
              <w:jc w:val="center"/>
              <w:rPr>
                <w:sz w:val="22"/>
                <w:szCs w:val="22"/>
                <w:lang w:eastAsia="es-CR"/>
              </w:rPr>
            </w:pPr>
            <w:r w:rsidRPr="00990FB6">
              <w:rPr>
                <w:sz w:val="22"/>
                <w:szCs w:val="22"/>
                <w:lang w:eastAsia="es-CR"/>
              </w:rPr>
              <w:t>₡274 280,00</w:t>
            </w:r>
          </w:p>
        </w:tc>
        <w:tc>
          <w:tcPr>
            <w:tcW w:w="610" w:type="pct"/>
            <w:shd w:val="clear" w:color="auto" w:fill="auto"/>
            <w:noWrap/>
            <w:vAlign w:val="bottom"/>
            <w:hideMark/>
          </w:tcPr>
          <w:p w14:paraId="6AC99779" w14:textId="77777777" w:rsidR="00B15F7D" w:rsidRPr="00990FB6" w:rsidRDefault="00B15F7D" w:rsidP="00B15F7D">
            <w:pPr>
              <w:jc w:val="center"/>
              <w:rPr>
                <w:sz w:val="22"/>
                <w:szCs w:val="22"/>
                <w:lang w:eastAsia="es-CR"/>
              </w:rPr>
            </w:pPr>
            <w:r w:rsidRPr="00990FB6">
              <w:rPr>
                <w:sz w:val="22"/>
                <w:szCs w:val="22"/>
                <w:lang w:eastAsia="es-CR"/>
              </w:rPr>
              <w:t>₡117 509 644,00</w:t>
            </w:r>
          </w:p>
        </w:tc>
      </w:tr>
      <w:tr w:rsidR="00B15F7D" w:rsidRPr="00990FB6" w14:paraId="437BFD07" w14:textId="77777777" w:rsidTr="000A0C22">
        <w:trPr>
          <w:trHeight w:val="310"/>
          <w:jc w:val="center"/>
        </w:trPr>
        <w:tc>
          <w:tcPr>
            <w:tcW w:w="488" w:type="pct"/>
            <w:shd w:val="clear" w:color="auto" w:fill="D9E2F3"/>
            <w:vAlign w:val="center"/>
            <w:hideMark/>
          </w:tcPr>
          <w:p w14:paraId="6908CCE2" w14:textId="77777777" w:rsidR="00B15F7D" w:rsidRPr="00990FB6" w:rsidRDefault="00B15F7D" w:rsidP="00B15F7D">
            <w:pPr>
              <w:rPr>
                <w:sz w:val="22"/>
                <w:szCs w:val="22"/>
                <w:lang w:eastAsia="es-CR"/>
              </w:rPr>
            </w:pPr>
            <w:r w:rsidRPr="00990FB6">
              <w:rPr>
                <w:sz w:val="22"/>
                <w:szCs w:val="22"/>
                <w:lang w:eastAsia="es-CR"/>
              </w:rPr>
              <w:t>Fiscalía Adjunta del Tercer Circuito Judicial de Alajuela-San Ramón</w:t>
            </w:r>
          </w:p>
        </w:tc>
        <w:tc>
          <w:tcPr>
            <w:tcW w:w="427" w:type="pct"/>
            <w:shd w:val="clear" w:color="auto" w:fill="auto"/>
            <w:noWrap/>
            <w:vAlign w:val="center"/>
            <w:hideMark/>
          </w:tcPr>
          <w:p w14:paraId="11A8FC55" w14:textId="77777777" w:rsidR="00B15F7D" w:rsidRPr="00990FB6" w:rsidRDefault="00B15F7D" w:rsidP="00B15F7D">
            <w:pPr>
              <w:jc w:val="center"/>
              <w:rPr>
                <w:sz w:val="22"/>
                <w:szCs w:val="22"/>
                <w:lang w:eastAsia="es-CR"/>
              </w:rPr>
            </w:pPr>
            <w:r w:rsidRPr="00990FB6">
              <w:rPr>
                <w:sz w:val="22"/>
                <w:szCs w:val="22"/>
                <w:lang w:eastAsia="es-CR"/>
              </w:rPr>
              <w:t>1</w:t>
            </w:r>
          </w:p>
        </w:tc>
        <w:tc>
          <w:tcPr>
            <w:tcW w:w="488" w:type="pct"/>
            <w:shd w:val="clear" w:color="auto" w:fill="auto"/>
            <w:noWrap/>
            <w:vAlign w:val="center"/>
            <w:hideMark/>
          </w:tcPr>
          <w:p w14:paraId="1AE4F085" w14:textId="77777777" w:rsidR="00B15F7D" w:rsidRPr="00990FB6" w:rsidRDefault="00B15F7D" w:rsidP="00B15F7D">
            <w:pPr>
              <w:jc w:val="center"/>
              <w:rPr>
                <w:sz w:val="22"/>
                <w:szCs w:val="22"/>
                <w:lang w:eastAsia="es-CR"/>
              </w:rPr>
            </w:pPr>
            <w:r w:rsidRPr="00990FB6">
              <w:rPr>
                <w:sz w:val="22"/>
                <w:szCs w:val="22"/>
                <w:lang w:eastAsia="es-CR"/>
              </w:rPr>
              <w:t>1</w:t>
            </w:r>
          </w:p>
        </w:tc>
        <w:tc>
          <w:tcPr>
            <w:tcW w:w="450" w:type="pct"/>
            <w:shd w:val="clear" w:color="auto" w:fill="auto"/>
            <w:noWrap/>
            <w:vAlign w:val="center"/>
            <w:hideMark/>
          </w:tcPr>
          <w:p w14:paraId="5BEBD52A" w14:textId="77777777" w:rsidR="00B15F7D" w:rsidRPr="00990FB6" w:rsidRDefault="00B15F7D" w:rsidP="00B15F7D">
            <w:pPr>
              <w:jc w:val="center"/>
              <w:rPr>
                <w:sz w:val="22"/>
                <w:szCs w:val="22"/>
                <w:lang w:eastAsia="es-CR"/>
              </w:rPr>
            </w:pPr>
            <w:r w:rsidRPr="00990FB6">
              <w:rPr>
                <w:sz w:val="22"/>
                <w:szCs w:val="22"/>
                <w:lang w:eastAsia="es-CR"/>
              </w:rPr>
              <w:t>1</w:t>
            </w:r>
          </w:p>
        </w:tc>
        <w:tc>
          <w:tcPr>
            <w:tcW w:w="464" w:type="pct"/>
            <w:shd w:val="clear" w:color="auto" w:fill="auto"/>
            <w:noWrap/>
            <w:vAlign w:val="center"/>
            <w:hideMark/>
          </w:tcPr>
          <w:p w14:paraId="015D849A"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7BB4C156"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606A05B0"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5E6929A5"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036F90B0"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6A0E5912"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7818AE2D" w14:textId="77777777" w:rsidTr="000A0C22">
        <w:trPr>
          <w:trHeight w:val="310"/>
          <w:jc w:val="center"/>
        </w:trPr>
        <w:tc>
          <w:tcPr>
            <w:tcW w:w="488" w:type="pct"/>
            <w:shd w:val="clear" w:color="auto" w:fill="D9E2F3"/>
            <w:vAlign w:val="center"/>
            <w:hideMark/>
          </w:tcPr>
          <w:p w14:paraId="06A6C831" w14:textId="77777777" w:rsidR="00B15F7D" w:rsidRPr="00990FB6" w:rsidRDefault="00B15F7D" w:rsidP="00B15F7D">
            <w:pPr>
              <w:rPr>
                <w:sz w:val="22"/>
                <w:szCs w:val="22"/>
                <w:lang w:eastAsia="es-CR"/>
              </w:rPr>
            </w:pPr>
            <w:r w:rsidRPr="00990FB6">
              <w:rPr>
                <w:sz w:val="22"/>
                <w:szCs w:val="22"/>
                <w:lang w:eastAsia="es-CR"/>
              </w:rPr>
              <w:t>Fiscalía de Grecia</w:t>
            </w:r>
          </w:p>
        </w:tc>
        <w:tc>
          <w:tcPr>
            <w:tcW w:w="427" w:type="pct"/>
            <w:shd w:val="clear" w:color="auto" w:fill="auto"/>
            <w:noWrap/>
            <w:vAlign w:val="center"/>
            <w:hideMark/>
          </w:tcPr>
          <w:p w14:paraId="475AC0B0" w14:textId="77777777" w:rsidR="00B15F7D" w:rsidRPr="00990FB6" w:rsidRDefault="00B15F7D" w:rsidP="00B15F7D">
            <w:pPr>
              <w:jc w:val="center"/>
              <w:rPr>
                <w:sz w:val="22"/>
                <w:szCs w:val="22"/>
                <w:lang w:eastAsia="es-CR"/>
              </w:rPr>
            </w:pPr>
            <w:r w:rsidRPr="00990FB6">
              <w:rPr>
                <w:sz w:val="22"/>
                <w:szCs w:val="22"/>
                <w:lang w:eastAsia="es-CR"/>
              </w:rPr>
              <w:t>1</w:t>
            </w:r>
          </w:p>
        </w:tc>
        <w:tc>
          <w:tcPr>
            <w:tcW w:w="488" w:type="pct"/>
            <w:shd w:val="clear" w:color="auto" w:fill="auto"/>
            <w:noWrap/>
            <w:vAlign w:val="center"/>
            <w:hideMark/>
          </w:tcPr>
          <w:p w14:paraId="7F9F0550" w14:textId="77777777" w:rsidR="00B15F7D" w:rsidRPr="00990FB6" w:rsidRDefault="00B15F7D" w:rsidP="00B15F7D">
            <w:pPr>
              <w:jc w:val="center"/>
              <w:rPr>
                <w:sz w:val="22"/>
                <w:szCs w:val="22"/>
                <w:lang w:eastAsia="es-CR"/>
              </w:rPr>
            </w:pPr>
            <w:r w:rsidRPr="00990FB6">
              <w:rPr>
                <w:sz w:val="22"/>
                <w:szCs w:val="22"/>
                <w:lang w:eastAsia="es-CR"/>
              </w:rPr>
              <w:t>0</w:t>
            </w:r>
          </w:p>
        </w:tc>
        <w:tc>
          <w:tcPr>
            <w:tcW w:w="450" w:type="pct"/>
            <w:shd w:val="clear" w:color="auto" w:fill="auto"/>
            <w:noWrap/>
            <w:vAlign w:val="center"/>
            <w:hideMark/>
          </w:tcPr>
          <w:p w14:paraId="129BC50D" w14:textId="77777777" w:rsidR="00B15F7D" w:rsidRPr="00990FB6" w:rsidRDefault="00B15F7D" w:rsidP="00B15F7D">
            <w:pPr>
              <w:jc w:val="center"/>
              <w:rPr>
                <w:sz w:val="22"/>
                <w:szCs w:val="22"/>
                <w:lang w:eastAsia="es-CR"/>
              </w:rPr>
            </w:pPr>
            <w:r w:rsidRPr="00990FB6">
              <w:rPr>
                <w:sz w:val="22"/>
                <w:szCs w:val="22"/>
                <w:lang w:eastAsia="es-CR"/>
              </w:rPr>
              <w:t>0</w:t>
            </w:r>
          </w:p>
        </w:tc>
        <w:tc>
          <w:tcPr>
            <w:tcW w:w="464" w:type="pct"/>
            <w:shd w:val="clear" w:color="auto" w:fill="auto"/>
            <w:noWrap/>
            <w:vAlign w:val="center"/>
            <w:hideMark/>
          </w:tcPr>
          <w:p w14:paraId="7CE34847" w14:textId="77777777" w:rsidR="00B15F7D" w:rsidRPr="00990FB6" w:rsidRDefault="00B15F7D" w:rsidP="00B15F7D">
            <w:pPr>
              <w:jc w:val="center"/>
              <w:rPr>
                <w:sz w:val="22"/>
                <w:szCs w:val="22"/>
                <w:lang w:eastAsia="es-CR"/>
              </w:rPr>
            </w:pPr>
            <w:r w:rsidRPr="00990FB6">
              <w:rPr>
                <w:sz w:val="22"/>
                <w:szCs w:val="22"/>
                <w:lang w:eastAsia="es-CR"/>
              </w:rPr>
              <w:t>1</w:t>
            </w:r>
          </w:p>
        </w:tc>
        <w:tc>
          <w:tcPr>
            <w:tcW w:w="427" w:type="pct"/>
            <w:shd w:val="clear" w:color="auto" w:fill="auto"/>
            <w:noWrap/>
            <w:vAlign w:val="bottom"/>
            <w:hideMark/>
          </w:tcPr>
          <w:p w14:paraId="3658D3B7"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08BEDA24"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1CC35592"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0CB68840"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5195BA4B"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73858F6C" w14:textId="77777777" w:rsidTr="000A0C22">
        <w:trPr>
          <w:trHeight w:val="310"/>
          <w:jc w:val="center"/>
        </w:trPr>
        <w:tc>
          <w:tcPr>
            <w:tcW w:w="488" w:type="pct"/>
            <w:shd w:val="clear" w:color="auto" w:fill="D9E2F3"/>
            <w:vAlign w:val="center"/>
            <w:hideMark/>
          </w:tcPr>
          <w:p w14:paraId="65DEF9DE" w14:textId="77777777" w:rsidR="00B15F7D" w:rsidRPr="00990FB6" w:rsidRDefault="00B15F7D" w:rsidP="00B15F7D">
            <w:pPr>
              <w:rPr>
                <w:sz w:val="22"/>
                <w:szCs w:val="22"/>
                <w:lang w:eastAsia="es-CR"/>
              </w:rPr>
            </w:pPr>
            <w:r w:rsidRPr="00990FB6">
              <w:rPr>
                <w:sz w:val="22"/>
                <w:szCs w:val="22"/>
                <w:lang w:eastAsia="es-CR"/>
              </w:rPr>
              <w:t>Fiscalía de Osa</w:t>
            </w:r>
          </w:p>
        </w:tc>
        <w:tc>
          <w:tcPr>
            <w:tcW w:w="427" w:type="pct"/>
            <w:shd w:val="clear" w:color="auto" w:fill="auto"/>
            <w:noWrap/>
            <w:vAlign w:val="center"/>
            <w:hideMark/>
          </w:tcPr>
          <w:p w14:paraId="3624ADDD" w14:textId="77777777" w:rsidR="00B15F7D" w:rsidRPr="00990FB6" w:rsidRDefault="00B15F7D" w:rsidP="00B15F7D">
            <w:pPr>
              <w:jc w:val="center"/>
              <w:rPr>
                <w:sz w:val="22"/>
                <w:szCs w:val="22"/>
                <w:lang w:eastAsia="es-CR"/>
              </w:rPr>
            </w:pPr>
            <w:r w:rsidRPr="00990FB6">
              <w:rPr>
                <w:sz w:val="22"/>
                <w:szCs w:val="22"/>
                <w:lang w:eastAsia="es-CR"/>
              </w:rPr>
              <w:t>1</w:t>
            </w:r>
          </w:p>
        </w:tc>
        <w:tc>
          <w:tcPr>
            <w:tcW w:w="488" w:type="pct"/>
            <w:shd w:val="clear" w:color="auto" w:fill="auto"/>
            <w:noWrap/>
            <w:vAlign w:val="center"/>
            <w:hideMark/>
          </w:tcPr>
          <w:p w14:paraId="382EC68F" w14:textId="77777777" w:rsidR="00B15F7D" w:rsidRPr="00990FB6" w:rsidRDefault="00B15F7D" w:rsidP="00B15F7D">
            <w:pPr>
              <w:jc w:val="center"/>
              <w:rPr>
                <w:sz w:val="22"/>
                <w:szCs w:val="22"/>
                <w:lang w:eastAsia="es-CR"/>
              </w:rPr>
            </w:pPr>
            <w:r w:rsidRPr="00990FB6">
              <w:rPr>
                <w:sz w:val="22"/>
                <w:szCs w:val="22"/>
                <w:lang w:eastAsia="es-CR"/>
              </w:rPr>
              <w:t>0</w:t>
            </w:r>
          </w:p>
        </w:tc>
        <w:tc>
          <w:tcPr>
            <w:tcW w:w="450" w:type="pct"/>
            <w:shd w:val="clear" w:color="auto" w:fill="auto"/>
            <w:noWrap/>
            <w:vAlign w:val="center"/>
            <w:hideMark/>
          </w:tcPr>
          <w:p w14:paraId="75843C87" w14:textId="77777777" w:rsidR="00B15F7D" w:rsidRPr="00990FB6" w:rsidRDefault="00B15F7D" w:rsidP="00B15F7D">
            <w:pPr>
              <w:jc w:val="center"/>
              <w:rPr>
                <w:sz w:val="22"/>
                <w:szCs w:val="22"/>
                <w:lang w:eastAsia="es-CR"/>
              </w:rPr>
            </w:pPr>
            <w:r w:rsidRPr="00990FB6">
              <w:rPr>
                <w:sz w:val="22"/>
                <w:szCs w:val="22"/>
                <w:lang w:eastAsia="es-CR"/>
              </w:rPr>
              <w:t>0</w:t>
            </w:r>
          </w:p>
        </w:tc>
        <w:tc>
          <w:tcPr>
            <w:tcW w:w="464" w:type="pct"/>
            <w:shd w:val="clear" w:color="auto" w:fill="auto"/>
            <w:noWrap/>
            <w:vAlign w:val="center"/>
            <w:hideMark/>
          </w:tcPr>
          <w:p w14:paraId="6D130C6A" w14:textId="77777777" w:rsidR="00B15F7D" w:rsidRPr="00990FB6" w:rsidRDefault="00B15F7D" w:rsidP="00B15F7D">
            <w:pPr>
              <w:jc w:val="center"/>
              <w:rPr>
                <w:sz w:val="22"/>
                <w:szCs w:val="22"/>
                <w:lang w:eastAsia="es-CR"/>
              </w:rPr>
            </w:pPr>
            <w:r w:rsidRPr="00990FB6">
              <w:rPr>
                <w:sz w:val="22"/>
                <w:szCs w:val="22"/>
                <w:lang w:eastAsia="es-CR"/>
              </w:rPr>
              <w:t>1</w:t>
            </w:r>
          </w:p>
        </w:tc>
        <w:tc>
          <w:tcPr>
            <w:tcW w:w="427" w:type="pct"/>
            <w:shd w:val="clear" w:color="auto" w:fill="auto"/>
            <w:noWrap/>
            <w:vAlign w:val="bottom"/>
            <w:hideMark/>
          </w:tcPr>
          <w:p w14:paraId="0ED024A3"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621A4ADE"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25B715B2"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7BC8087B"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43FA4713"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436989CB" w14:textId="77777777" w:rsidTr="000A0C22">
        <w:trPr>
          <w:trHeight w:val="310"/>
          <w:jc w:val="center"/>
        </w:trPr>
        <w:tc>
          <w:tcPr>
            <w:tcW w:w="488" w:type="pct"/>
            <w:shd w:val="clear" w:color="auto" w:fill="D9E2F3"/>
            <w:vAlign w:val="center"/>
            <w:hideMark/>
          </w:tcPr>
          <w:p w14:paraId="65DC152C" w14:textId="77777777" w:rsidR="00B15F7D" w:rsidRPr="00990FB6" w:rsidRDefault="00B15F7D" w:rsidP="00B15F7D">
            <w:pPr>
              <w:rPr>
                <w:sz w:val="22"/>
                <w:szCs w:val="22"/>
                <w:lang w:eastAsia="es-CR"/>
              </w:rPr>
            </w:pPr>
            <w:r w:rsidRPr="00990FB6">
              <w:rPr>
                <w:sz w:val="22"/>
                <w:szCs w:val="22"/>
                <w:lang w:eastAsia="es-CR"/>
              </w:rPr>
              <w:t>Fiscalía de La Fortuna</w:t>
            </w:r>
          </w:p>
        </w:tc>
        <w:tc>
          <w:tcPr>
            <w:tcW w:w="427" w:type="pct"/>
            <w:shd w:val="clear" w:color="auto" w:fill="auto"/>
            <w:noWrap/>
            <w:vAlign w:val="center"/>
            <w:hideMark/>
          </w:tcPr>
          <w:p w14:paraId="47252B66" w14:textId="77777777" w:rsidR="00B15F7D" w:rsidRPr="00990FB6" w:rsidRDefault="00B15F7D" w:rsidP="00B15F7D">
            <w:pPr>
              <w:jc w:val="center"/>
              <w:rPr>
                <w:sz w:val="22"/>
                <w:szCs w:val="22"/>
                <w:lang w:eastAsia="es-CR"/>
              </w:rPr>
            </w:pPr>
            <w:r w:rsidRPr="00990FB6">
              <w:rPr>
                <w:sz w:val="22"/>
                <w:szCs w:val="22"/>
                <w:lang w:eastAsia="es-CR"/>
              </w:rPr>
              <w:t>0</w:t>
            </w:r>
          </w:p>
        </w:tc>
        <w:tc>
          <w:tcPr>
            <w:tcW w:w="488" w:type="pct"/>
            <w:shd w:val="clear" w:color="auto" w:fill="auto"/>
            <w:noWrap/>
            <w:vAlign w:val="center"/>
            <w:hideMark/>
          </w:tcPr>
          <w:p w14:paraId="77FECFE7" w14:textId="77777777" w:rsidR="00B15F7D" w:rsidRPr="00990FB6" w:rsidRDefault="00B15F7D" w:rsidP="00B15F7D">
            <w:pPr>
              <w:jc w:val="center"/>
              <w:rPr>
                <w:sz w:val="22"/>
                <w:szCs w:val="22"/>
                <w:lang w:eastAsia="es-CR"/>
              </w:rPr>
            </w:pPr>
            <w:r w:rsidRPr="00990FB6">
              <w:rPr>
                <w:sz w:val="22"/>
                <w:szCs w:val="22"/>
                <w:lang w:eastAsia="es-CR"/>
              </w:rPr>
              <w:t>0</w:t>
            </w:r>
          </w:p>
        </w:tc>
        <w:tc>
          <w:tcPr>
            <w:tcW w:w="450" w:type="pct"/>
            <w:shd w:val="clear" w:color="auto" w:fill="auto"/>
            <w:noWrap/>
            <w:vAlign w:val="center"/>
            <w:hideMark/>
          </w:tcPr>
          <w:p w14:paraId="057AC7AF" w14:textId="77777777" w:rsidR="00B15F7D" w:rsidRPr="00990FB6" w:rsidRDefault="00B15F7D" w:rsidP="00B15F7D">
            <w:pPr>
              <w:jc w:val="center"/>
              <w:rPr>
                <w:sz w:val="22"/>
                <w:szCs w:val="22"/>
                <w:lang w:eastAsia="es-CR"/>
              </w:rPr>
            </w:pPr>
            <w:r w:rsidRPr="00990FB6">
              <w:rPr>
                <w:sz w:val="22"/>
                <w:szCs w:val="22"/>
                <w:lang w:eastAsia="es-CR"/>
              </w:rPr>
              <w:t>0</w:t>
            </w:r>
          </w:p>
        </w:tc>
        <w:tc>
          <w:tcPr>
            <w:tcW w:w="464" w:type="pct"/>
            <w:shd w:val="clear" w:color="auto" w:fill="auto"/>
            <w:noWrap/>
            <w:vAlign w:val="center"/>
            <w:hideMark/>
          </w:tcPr>
          <w:p w14:paraId="524B344E"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2A2262DD"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0437798D"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5F3ED1B7"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08003BDD"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0C0553B9"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12B3D095" w14:textId="77777777" w:rsidTr="000A0C22">
        <w:trPr>
          <w:trHeight w:val="310"/>
          <w:jc w:val="center"/>
        </w:trPr>
        <w:tc>
          <w:tcPr>
            <w:tcW w:w="488" w:type="pct"/>
            <w:shd w:val="clear" w:color="auto" w:fill="D9E2F3"/>
            <w:vAlign w:val="center"/>
            <w:hideMark/>
          </w:tcPr>
          <w:p w14:paraId="42D80351" w14:textId="77777777" w:rsidR="00B15F7D" w:rsidRPr="00990FB6" w:rsidRDefault="00B15F7D" w:rsidP="00B15F7D">
            <w:pPr>
              <w:rPr>
                <w:sz w:val="22"/>
                <w:szCs w:val="22"/>
                <w:lang w:eastAsia="es-CR"/>
              </w:rPr>
            </w:pPr>
            <w:r w:rsidRPr="00990FB6">
              <w:rPr>
                <w:sz w:val="22"/>
                <w:szCs w:val="22"/>
                <w:lang w:eastAsia="es-CR"/>
              </w:rPr>
              <w:t>Fiscalía de Los Chiles</w:t>
            </w:r>
          </w:p>
        </w:tc>
        <w:tc>
          <w:tcPr>
            <w:tcW w:w="427" w:type="pct"/>
            <w:shd w:val="clear" w:color="auto" w:fill="auto"/>
            <w:noWrap/>
            <w:vAlign w:val="center"/>
            <w:hideMark/>
          </w:tcPr>
          <w:p w14:paraId="74041AB5" w14:textId="77777777" w:rsidR="00B15F7D" w:rsidRPr="00990FB6" w:rsidRDefault="00B15F7D" w:rsidP="00B15F7D">
            <w:pPr>
              <w:jc w:val="center"/>
              <w:rPr>
                <w:sz w:val="22"/>
                <w:szCs w:val="22"/>
                <w:lang w:eastAsia="es-CR"/>
              </w:rPr>
            </w:pPr>
            <w:r w:rsidRPr="00990FB6">
              <w:rPr>
                <w:sz w:val="22"/>
                <w:szCs w:val="22"/>
                <w:lang w:eastAsia="es-CR"/>
              </w:rPr>
              <w:t>0</w:t>
            </w:r>
          </w:p>
        </w:tc>
        <w:tc>
          <w:tcPr>
            <w:tcW w:w="488" w:type="pct"/>
            <w:shd w:val="clear" w:color="auto" w:fill="auto"/>
            <w:noWrap/>
            <w:vAlign w:val="center"/>
            <w:hideMark/>
          </w:tcPr>
          <w:p w14:paraId="5C817B40" w14:textId="77777777" w:rsidR="00B15F7D" w:rsidRPr="00990FB6" w:rsidRDefault="00B15F7D" w:rsidP="00B15F7D">
            <w:pPr>
              <w:jc w:val="center"/>
              <w:rPr>
                <w:sz w:val="22"/>
                <w:szCs w:val="22"/>
                <w:lang w:eastAsia="es-CR"/>
              </w:rPr>
            </w:pPr>
            <w:r w:rsidRPr="00990FB6">
              <w:rPr>
                <w:sz w:val="22"/>
                <w:szCs w:val="22"/>
                <w:lang w:eastAsia="es-CR"/>
              </w:rPr>
              <w:t>0</w:t>
            </w:r>
          </w:p>
        </w:tc>
        <w:tc>
          <w:tcPr>
            <w:tcW w:w="450" w:type="pct"/>
            <w:shd w:val="clear" w:color="auto" w:fill="auto"/>
            <w:noWrap/>
            <w:vAlign w:val="center"/>
            <w:hideMark/>
          </w:tcPr>
          <w:p w14:paraId="6E623CDC" w14:textId="77777777" w:rsidR="00B15F7D" w:rsidRPr="00990FB6" w:rsidRDefault="00B15F7D" w:rsidP="00B15F7D">
            <w:pPr>
              <w:jc w:val="center"/>
              <w:rPr>
                <w:sz w:val="22"/>
                <w:szCs w:val="22"/>
                <w:lang w:eastAsia="es-CR"/>
              </w:rPr>
            </w:pPr>
            <w:r w:rsidRPr="00990FB6">
              <w:rPr>
                <w:sz w:val="22"/>
                <w:szCs w:val="22"/>
                <w:lang w:eastAsia="es-CR"/>
              </w:rPr>
              <w:t>0</w:t>
            </w:r>
          </w:p>
        </w:tc>
        <w:tc>
          <w:tcPr>
            <w:tcW w:w="464" w:type="pct"/>
            <w:shd w:val="clear" w:color="auto" w:fill="auto"/>
            <w:noWrap/>
            <w:vAlign w:val="center"/>
            <w:hideMark/>
          </w:tcPr>
          <w:p w14:paraId="49C5B25E"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40589019"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209CE1A8"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3D89A3F4"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64638AC6"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59CFC48A"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79CE0396" w14:textId="77777777" w:rsidTr="000A0C22">
        <w:trPr>
          <w:trHeight w:val="310"/>
          <w:jc w:val="center"/>
        </w:trPr>
        <w:tc>
          <w:tcPr>
            <w:tcW w:w="488" w:type="pct"/>
            <w:shd w:val="clear" w:color="auto" w:fill="D9E2F3"/>
            <w:vAlign w:val="center"/>
            <w:hideMark/>
          </w:tcPr>
          <w:p w14:paraId="17558D91" w14:textId="77777777" w:rsidR="00B15F7D" w:rsidRPr="00990FB6" w:rsidRDefault="00B15F7D" w:rsidP="00B15F7D">
            <w:pPr>
              <w:rPr>
                <w:sz w:val="22"/>
                <w:szCs w:val="22"/>
                <w:lang w:eastAsia="es-CR"/>
              </w:rPr>
            </w:pPr>
            <w:r w:rsidRPr="00990FB6">
              <w:rPr>
                <w:sz w:val="22"/>
                <w:szCs w:val="22"/>
                <w:lang w:eastAsia="es-CR"/>
              </w:rPr>
              <w:t>Fiscalía de Guatuso</w:t>
            </w:r>
          </w:p>
        </w:tc>
        <w:tc>
          <w:tcPr>
            <w:tcW w:w="427" w:type="pct"/>
            <w:shd w:val="clear" w:color="auto" w:fill="auto"/>
            <w:noWrap/>
            <w:vAlign w:val="center"/>
            <w:hideMark/>
          </w:tcPr>
          <w:p w14:paraId="4824B84F" w14:textId="77777777" w:rsidR="00B15F7D" w:rsidRPr="00990FB6" w:rsidRDefault="00B15F7D" w:rsidP="00B15F7D">
            <w:pPr>
              <w:jc w:val="center"/>
              <w:rPr>
                <w:sz w:val="22"/>
                <w:szCs w:val="22"/>
                <w:lang w:eastAsia="es-CR"/>
              </w:rPr>
            </w:pPr>
            <w:r w:rsidRPr="00990FB6">
              <w:rPr>
                <w:sz w:val="22"/>
                <w:szCs w:val="22"/>
                <w:lang w:eastAsia="es-CR"/>
              </w:rPr>
              <w:t>0</w:t>
            </w:r>
          </w:p>
        </w:tc>
        <w:tc>
          <w:tcPr>
            <w:tcW w:w="488" w:type="pct"/>
            <w:shd w:val="clear" w:color="auto" w:fill="auto"/>
            <w:noWrap/>
            <w:vAlign w:val="center"/>
            <w:hideMark/>
          </w:tcPr>
          <w:p w14:paraId="43BF9739" w14:textId="77777777" w:rsidR="00B15F7D" w:rsidRPr="00990FB6" w:rsidRDefault="00B15F7D" w:rsidP="00B15F7D">
            <w:pPr>
              <w:jc w:val="center"/>
              <w:rPr>
                <w:sz w:val="22"/>
                <w:szCs w:val="22"/>
                <w:lang w:eastAsia="es-CR"/>
              </w:rPr>
            </w:pPr>
            <w:r w:rsidRPr="00990FB6">
              <w:rPr>
                <w:sz w:val="22"/>
                <w:szCs w:val="22"/>
                <w:lang w:eastAsia="es-CR"/>
              </w:rPr>
              <w:t>0</w:t>
            </w:r>
          </w:p>
        </w:tc>
        <w:tc>
          <w:tcPr>
            <w:tcW w:w="450" w:type="pct"/>
            <w:shd w:val="clear" w:color="auto" w:fill="auto"/>
            <w:noWrap/>
            <w:vAlign w:val="center"/>
            <w:hideMark/>
          </w:tcPr>
          <w:p w14:paraId="28194E75" w14:textId="77777777" w:rsidR="00B15F7D" w:rsidRPr="00990FB6" w:rsidRDefault="00B15F7D" w:rsidP="00B15F7D">
            <w:pPr>
              <w:jc w:val="center"/>
              <w:rPr>
                <w:sz w:val="22"/>
                <w:szCs w:val="22"/>
                <w:lang w:eastAsia="es-CR"/>
              </w:rPr>
            </w:pPr>
            <w:r w:rsidRPr="00990FB6">
              <w:rPr>
                <w:sz w:val="22"/>
                <w:szCs w:val="22"/>
                <w:lang w:eastAsia="es-CR"/>
              </w:rPr>
              <w:t>0</w:t>
            </w:r>
          </w:p>
        </w:tc>
        <w:tc>
          <w:tcPr>
            <w:tcW w:w="464" w:type="pct"/>
            <w:shd w:val="clear" w:color="auto" w:fill="auto"/>
            <w:noWrap/>
            <w:vAlign w:val="center"/>
            <w:hideMark/>
          </w:tcPr>
          <w:p w14:paraId="6DE3B5CB" w14:textId="77777777" w:rsidR="00B15F7D" w:rsidRPr="00990FB6" w:rsidRDefault="00B15F7D" w:rsidP="00B15F7D">
            <w:pPr>
              <w:jc w:val="center"/>
              <w:rPr>
                <w:sz w:val="22"/>
                <w:szCs w:val="22"/>
                <w:lang w:eastAsia="es-CR"/>
              </w:rPr>
            </w:pPr>
            <w:r w:rsidRPr="00990FB6">
              <w:rPr>
                <w:sz w:val="22"/>
                <w:szCs w:val="22"/>
                <w:lang w:eastAsia="es-CR"/>
              </w:rPr>
              <w:t>0</w:t>
            </w:r>
          </w:p>
        </w:tc>
        <w:tc>
          <w:tcPr>
            <w:tcW w:w="427" w:type="pct"/>
            <w:shd w:val="clear" w:color="auto" w:fill="auto"/>
            <w:noWrap/>
            <w:vAlign w:val="bottom"/>
            <w:hideMark/>
          </w:tcPr>
          <w:p w14:paraId="53C21E09" w14:textId="77777777" w:rsidR="00B15F7D" w:rsidRPr="00990FB6" w:rsidRDefault="00B15F7D" w:rsidP="00B15F7D">
            <w:pPr>
              <w:jc w:val="center"/>
              <w:rPr>
                <w:sz w:val="22"/>
                <w:szCs w:val="22"/>
                <w:lang w:eastAsia="es-CR"/>
              </w:rPr>
            </w:pPr>
            <w:r w:rsidRPr="00990FB6">
              <w:rPr>
                <w:sz w:val="22"/>
                <w:szCs w:val="22"/>
                <w:lang w:eastAsia="es-CR"/>
              </w:rPr>
              <w:t>1</w:t>
            </w:r>
          </w:p>
        </w:tc>
        <w:tc>
          <w:tcPr>
            <w:tcW w:w="610" w:type="pct"/>
            <w:shd w:val="clear" w:color="auto" w:fill="auto"/>
            <w:noWrap/>
            <w:vAlign w:val="bottom"/>
            <w:hideMark/>
          </w:tcPr>
          <w:p w14:paraId="590731AF" w14:textId="77777777" w:rsidR="00B15F7D" w:rsidRPr="00990FB6" w:rsidRDefault="00B15F7D" w:rsidP="00B15F7D">
            <w:pPr>
              <w:jc w:val="center"/>
              <w:rPr>
                <w:sz w:val="22"/>
                <w:szCs w:val="22"/>
                <w:lang w:eastAsia="es-CR"/>
              </w:rPr>
            </w:pPr>
            <w:r w:rsidRPr="00990FB6">
              <w:rPr>
                <w:sz w:val="22"/>
                <w:szCs w:val="22"/>
                <w:lang w:eastAsia="es-CR"/>
              </w:rPr>
              <w:t>₡57 065 000,00</w:t>
            </w:r>
          </w:p>
        </w:tc>
        <w:tc>
          <w:tcPr>
            <w:tcW w:w="549" w:type="pct"/>
            <w:shd w:val="clear" w:color="auto" w:fill="auto"/>
            <w:noWrap/>
            <w:vAlign w:val="bottom"/>
            <w:hideMark/>
          </w:tcPr>
          <w:p w14:paraId="0409EE6E" w14:textId="77777777" w:rsidR="00B15F7D" w:rsidRPr="00990FB6" w:rsidRDefault="00B15F7D" w:rsidP="00B15F7D">
            <w:pPr>
              <w:jc w:val="center"/>
              <w:rPr>
                <w:sz w:val="22"/>
                <w:szCs w:val="22"/>
                <w:lang w:eastAsia="es-CR"/>
              </w:rPr>
            </w:pPr>
            <w:r w:rsidRPr="00990FB6">
              <w:rPr>
                <w:sz w:val="22"/>
                <w:szCs w:val="22"/>
                <w:lang w:eastAsia="es-CR"/>
              </w:rPr>
              <w:t>₡1 552 682,00</w:t>
            </w:r>
          </w:p>
        </w:tc>
        <w:tc>
          <w:tcPr>
            <w:tcW w:w="488" w:type="pct"/>
            <w:shd w:val="clear" w:color="auto" w:fill="auto"/>
            <w:noWrap/>
            <w:vAlign w:val="bottom"/>
            <w:hideMark/>
          </w:tcPr>
          <w:p w14:paraId="0C0C9C00" w14:textId="77777777" w:rsidR="00B15F7D" w:rsidRPr="00990FB6" w:rsidRDefault="00B15F7D" w:rsidP="00B15F7D">
            <w:pPr>
              <w:jc w:val="center"/>
              <w:rPr>
                <w:sz w:val="22"/>
                <w:szCs w:val="22"/>
                <w:lang w:eastAsia="es-CR"/>
              </w:rPr>
            </w:pPr>
            <w:r w:rsidRPr="00990FB6">
              <w:rPr>
                <w:sz w:val="22"/>
                <w:szCs w:val="22"/>
                <w:lang w:eastAsia="es-CR"/>
              </w:rPr>
              <w:t>₡137 140,00</w:t>
            </w:r>
          </w:p>
        </w:tc>
        <w:tc>
          <w:tcPr>
            <w:tcW w:w="610" w:type="pct"/>
            <w:shd w:val="clear" w:color="auto" w:fill="auto"/>
            <w:noWrap/>
            <w:vAlign w:val="bottom"/>
            <w:hideMark/>
          </w:tcPr>
          <w:p w14:paraId="5AC95BA7" w14:textId="77777777" w:rsidR="00B15F7D" w:rsidRPr="00990FB6" w:rsidRDefault="00B15F7D" w:rsidP="00B15F7D">
            <w:pPr>
              <w:jc w:val="center"/>
              <w:rPr>
                <w:sz w:val="22"/>
                <w:szCs w:val="22"/>
                <w:lang w:eastAsia="es-CR"/>
              </w:rPr>
            </w:pPr>
            <w:r w:rsidRPr="00990FB6">
              <w:rPr>
                <w:sz w:val="22"/>
                <w:szCs w:val="22"/>
                <w:lang w:eastAsia="es-CR"/>
              </w:rPr>
              <w:t>₡58 754 822,00</w:t>
            </w:r>
          </w:p>
        </w:tc>
      </w:tr>
      <w:tr w:rsidR="00B15F7D" w:rsidRPr="00990FB6" w14:paraId="707996EA" w14:textId="77777777" w:rsidTr="000A0C22">
        <w:trPr>
          <w:trHeight w:val="310"/>
          <w:jc w:val="center"/>
        </w:trPr>
        <w:tc>
          <w:tcPr>
            <w:tcW w:w="488" w:type="pct"/>
            <w:shd w:val="clear" w:color="auto" w:fill="D9E2F3"/>
            <w:vAlign w:val="center"/>
          </w:tcPr>
          <w:p w14:paraId="6F6C7D3D" w14:textId="77777777" w:rsidR="00B15F7D" w:rsidRPr="00990FB6" w:rsidRDefault="00B15F7D" w:rsidP="00B15F7D">
            <w:pPr>
              <w:rPr>
                <w:b/>
                <w:bCs/>
                <w:sz w:val="22"/>
                <w:szCs w:val="22"/>
                <w:lang w:eastAsia="es-CR"/>
              </w:rPr>
            </w:pPr>
            <w:r w:rsidRPr="00990FB6">
              <w:rPr>
                <w:b/>
                <w:bCs/>
                <w:sz w:val="22"/>
                <w:szCs w:val="22"/>
                <w:lang w:eastAsia="es-CR"/>
              </w:rPr>
              <w:t>Total</w:t>
            </w:r>
          </w:p>
        </w:tc>
        <w:tc>
          <w:tcPr>
            <w:tcW w:w="427" w:type="pct"/>
            <w:shd w:val="clear" w:color="auto" w:fill="auto"/>
            <w:noWrap/>
            <w:vAlign w:val="center"/>
          </w:tcPr>
          <w:p w14:paraId="300D6ECB" w14:textId="77777777" w:rsidR="00B15F7D" w:rsidRPr="00990FB6" w:rsidRDefault="00B15F7D" w:rsidP="00B15F7D">
            <w:pPr>
              <w:jc w:val="center"/>
              <w:rPr>
                <w:b/>
                <w:bCs/>
                <w:sz w:val="22"/>
                <w:szCs w:val="22"/>
                <w:lang w:eastAsia="es-CR"/>
              </w:rPr>
            </w:pPr>
            <w:r w:rsidRPr="00990FB6">
              <w:rPr>
                <w:b/>
                <w:bCs/>
                <w:sz w:val="22"/>
                <w:szCs w:val="22"/>
                <w:lang w:eastAsia="es-CR"/>
              </w:rPr>
              <w:t>14</w:t>
            </w:r>
          </w:p>
        </w:tc>
        <w:tc>
          <w:tcPr>
            <w:tcW w:w="488" w:type="pct"/>
            <w:shd w:val="clear" w:color="auto" w:fill="auto"/>
            <w:noWrap/>
            <w:vAlign w:val="center"/>
          </w:tcPr>
          <w:p w14:paraId="0E602F4D" w14:textId="77777777" w:rsidR="00B15F7D" w:rsidRPr="00990FB6" w:rsidRDefault="00B15F7D" w:rsidP="00B15F7D">
            <w:pPr>
              <w:jc w:val="center"/>
              <w:rPr>
                <w:b/>
                <w:bCs/>
                <w:sz w:val="22"/>
                <w:szCs w:val="22"/>
                <w:lang w:eastAsia="es-CR"/>
              </w:rPr>
            </w:pPr>
            <w:r w:rsidRPr="00990FB6">
              <w:rPr>
                <w:b/>
                <w:bCs/>
                <w:sz w:val="22"/>
                <w:szCs w:val="22"/>
                <w:lang w:eastAsia="es-CR"/>
              </w:rPr>
              <w:t>13</w:t>
            </w:r>
          </w:p>
        </w:tc>
        <w:tc>
          <w:tcPr>
            <w:tcW w:w="450" w:type="pct"/>
            <w:shd w:val="clear" w:color="auto" w:fill="auto"/>
            <w:noWrap/>
            <w:vAlign w:val="center"/>
          </w:tcPr>
          <w:p w14:paraId="1B035060" w14:textId="77777777" w:rsidR="00B15F7D" w:rsidRPr="00990FB6" w:rsidRDefault="00B15F7D" w:rsidP="00B15F7D">
            <w:pPr>
              <w:jc w:val="center"/>
              <w:rPr>
                <w:b/>
                <w:bCs/>
                <w:sz w:val="22"/>
                <w:szCs w:val="22"/>
                <w:lang w:eastAsia="es-CR"/>
              </w:rPr>
            </w:pPr>
            <w:r w:rsidRPr="00990FB6">
              <w:rPr>
                <w:b/>
                <w:bCs/>
                <w:sz w:val="22"/>
                <w:szCs w:val="22"/>
                <w:lang w:eastAsia="es-CR"/>
              </w:rPr>
              <w:t>11</w:t>
            </w:r>
          </w:p>
        </w:tc>
        <w:tc>
          <w:tcPr>
            <w:tcW w:w="464" w:type="pct"/>
            <w:shd w:val="clear" w:color="auto" w:fill="auto"/>
            <w:noWrap/>
            <w:vAlign w:val="center"/>
          </w:tcPr>
          <w:p w14:paraId="692F3D94"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427" w:type="pct"/>
            <w:shd w:val="clear" w:color="auto" w:fill="auto"/>
            <w:noWrap/>
            <w:vAlign w:val="bottom"/>
          </w:tcPr>
          <w:p w14:paraId="545A3446" w14:textId="77777777" w:rsidR="00B15F7D" w:rsidRPr="00990FB6" w:rsidRDefault="00B15F7D" w:rsidP="00B15F7D">
            <w:pPr>
              <w:jc w:val="center"/>
              <w:rPr>
                <w:b/>
                <w:bCs/>
                <w:sz w:val="22"/>
                <w:szCs w:val="22"/>
                <w:lang w:eastAsia="es-CR"/>
              </w:rPr>
            </w:pPr>
            <w:r w:rsidRPr="00990FB6">
              <w:rPr>
                <w:b/>
                <w:bCs/>
                <w:sz w:val="22"/>
                <w:szCs w:val="22"/>
                <w:lang w:eastAsia="es-CR"/>
              </w:rPr>
              <w:t>13</w:t>
            </w:r>
          </w:p>
        </w:tc>
        <w:tc>
          <w:tcPr>
            <w:tcW w:w="610" w:type="pct"/>
            <w:shd w:val="clear" w:color="auto" w:fill="auto"/>
            <w:noWrap/>
            <w:vAlign w:val="bottom"/>
          </w:tcPr>
          <w:p w14:paraId="239455A5" w14:textId="77777777" w:rsidR="00B15F7D" w:rsidRPr="00990FB6" w:rsidRDefault="00B15F7D" w:rsidP="00B15F7D">
            <w:pPr>
              <w:jc w:val="center"/>
              <w:rPr>
                <w:b/>
                <w:bCs/>
                <w:sz w:val="22"/>
                <w:szCs w:val="22"/>
                <w:lang w:eastAsia="es-CR"/>
              </w:rPr>
            </w:pPr>
            <w:r w:rsidRPr="00990FB6">
              <w:rPr>
                <w:b/>
                <w:bCs/>
                <w:sz w:val="22"/>
                <w:szCs w:val="22"/>
                <w:lang w:eastAsia="es-CR"/>
              </w:rPr>
              <w:t>₡741 845 000,00</w:t>
            </w:r>
          </w:p>
        </w:tc>
        <w:tc>
          <w:tcPr>
            <w:tcW w:w="549" w:type="pct"/>
            <w:shd w:val="clear" w:color="auto" w:fill="auto"/>
            <w:noWrap/>
          </w:tcPr>
          <w:p w14:paraId="0CA66A38" w14:textId="77777777" w:rsidR="00B15F7D" w:rsidRPr="00990FB6" w:rsidRDefault="00B15F7D" w:rsidP="00B15F7D">
            <w:pPr>
              <w:jc w:val="center"/>
              <w:rPr>
                <w:b/>
                <w:bCs/>
                <w:sz w:val="22"/>
                <w:szCs w:val="22"/>
                <w:lang w:eastAsia="es-CR"/>
              </w:rPr>
            </w:pPr>
            <w:r w:rsidRPr="00990FB6">
              <w:rPr>
                <w:b/>
                <w:bCs/>
                <w:sz w:val="22"/>
                <w:szCs w:val="22"/>
                <w:lang w:eastAsia="es-CR"/>
              </w:rPr>
              <w:t>₡20 184 869,00</w:t>
            </w:r>
          </w:p>
        </w:tc>
        <w:tc>
          <w:tcPr>
            <w:tcW w:w="488" w:type="pct"/>
            <w:shd w:val="clear" w:color="auto" w:fill="auto"/>
            <w:noWrap/>
          </w:tcPr>
          <w:p w14:paraId="6745A090" w14:textId="77777777" w:rsidR="00B15F7D" w:rsidRPr="00990FB6" w:rsidRDefault="00B15F7D" w:rsidP="00B15F7D">
            <w:pPr>
              <w:jc w:val="center"/>
              <w:rPr>
                <w:b/>
                <w:bCs/>
                <w:sz w:val="22"/>
                <w:szCs w:val="22"/>
                <w:lang w:eastAsia="es-CR"/>
              </w:rPr>
            </w:pPr>
            <w:r w:rsidRPr="00990FB6">
              <w:rPr>
                <w:b/>
                <w:bCs/>
                <w:sz w:val="22"/>
                <w:szCs w:val="22"/>
                <w:lang w:eastAsia="es-CR"/>
              </w:rPr>
              <w:t>₡1 782 820,00</w:t>
            </w:r>
          </w:p>
        </w:tc>
        <w:tc>
          <w:tcPr>
            <w:tcW w:w="610" w:type="pct"/>
            <w:shd w:val="clear" w:color="auto" w:fill="auto"/>
            <w:noWrap/>
            <w:vAlign w:val="bottom"/>
          </w:tcPr>
          <w:p w14:paraId="752D9352" w14:textId="77777777" w:rsidR="00B15F7D" w:rsidRPr="00990FB6" w:rsidRDefault="00B15F7D" w:rsidP="00B15F7D">
            <w:pPr>
              <w:jc w:val="center"/>
              <w:rPr>
                <w:b/>
                <w:bCs/>
                <w:sz w:val="22"/>
                <w:szCs w:val="22"/>
                <w:lang w:eastAsia="es-CR"/>
              </w:rPr>
            </w:pPr>
            <w:r w:rsidRPr="00990FB6">
              <w:rPr>
                <w:b/>
                <w:bCs/>
                <w:sz w:val="22"/>
                <w:szCs w:val="22"/>
                <w:lang w:eastAsia="es-CR"/>
              </w:rPr>
              <w:t>₡</w:t>
            </w:r>
            <w:bookmarkStart w:id="48" w:name="_Hlk126919789"/>
            <w:r w:rsidRPr="00990FB6">
              <w:rPr>
                <w:b/>
                <w:bCs/>
                <w:sz w:val="22"/>
                <w:szCs w:val="22"/>
                <w:lang w:eastAsia="es-CR"/>
              </w:rPr>
              <w:t>763 812 689</w:t>
            </w:r>
            <w:bookmarkEnd w:id="48"/>
            <w:r w:rsidRPr="00990FB6">
              <w:rPr>
                <w:b/>
                <w:bCs/>
                <w:sz w:val="22"/>
                <w:szCs w:val="22"/>
                <w:lang w:eastAsia="es-CR"/>
              </w:rPr>
              <w:t>,00</w:t>
            </w:r>
          </w:p>
        </w:tc>
      </w:tr>
    </w:tbl>
    <w:p w14:paraId="039F7F08" w14:textId="77777777" w:rsidR="00B15F7D" w:rsidRPr="00990FB6" w:rsidRDefault="00B15F7D" w:rsidP="00B15F7D">
      <w:pPr>
        <w:ind w:left="851" w:right="851" w:firstLine="709"/>
        <w:jc w:val="both"/>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18D8F84D" w14:textId="77777777" w:rsidR="00B15F7D" w:rsidRPr="00990FB6" w:rsidRDefault="00B15F7D" w:rsidP="00B15F7D">
      <w:pPr>
        <w:ind w:left="851" w:right="851" w:firstLine="709"/>
        <w:jc w:val="both"/>
        <w:rPr>
          <w:sz w:val="22"/>
          <w:szCs w:val="22"/>
        </w:rPr>
      </w:pPr>
    </w:p>
    <w:p w14:paraId="56BA63C2" w14:textId="77777777" w:rsidR="00B15F7D" w:rsidRPr="00990FB6" w:rsidRDefault="00B15F7D" w:rsidP="00B15F7D">
      <w:pPr>
        <w:ind w:left="851" w:right="851" w:firstLine="709"/>
        <w:jc w:val="both"/>
        <w:rPr>
          <w:sz w:val="22"/>
          <w:szCs w:val="22"/>
        </w:rPr>
      </w:pPr>
      <w:r w:rsidRPr="00990FB6">
        <w:rPr>
          <w:sz w:val="22"/>
          <w:szCs w:val="22"/>
        </w:rPr>
        <w:t xml:space="preserve">En el cuadro previo se observa que, además de considerar los juicios como variable para la asignación de plazas de persona fiscal, se deben considerar también algunas otras funciones que se realizan en el campo administrativo, como parte de las labores que se asumen al coordinar una oficina o tener personal a cargo, por ejemplo, creación y seguimientos a los PAO, SEVRI, PEI, control de vacaciones, incapacidades, permisos, ascensos del personal, aprobaciones para diversas solicitudes con otras instituciones, como allanamientos, apertura de cuentas bancarias, levantamiento de cuerpos, entre otros, por lo que se considera necesario que en esas oficinas donde se cuente con al menos dos personas fiscales auxiliares se asigne </w:t>
      </w:r>
      <w:r w:rsidRPr="00990FB6">
        <w:rPr>
          <w:sz w:val="22"/>
          <w:szCs w:val="22"/>
        </w:rPr>
        <w:lastRenderedPageBreak/>
        <w:t xml:space="preserve">personal fiscal, para que lleve el control de esas labores y la operatividad de la oficina, así como de sus integrantes. </w:t>
      </w:r>
    </w:p>
    <w:p w14:paraId="4791F5BF" w14:textId="77777777" w:rsidR="00B15F7D" w:rsidRPr="00990FB6" w:rsidRDefault="00B15F7D" w:rsidP="00B15F7D">
      <w:pPr>
        <w:ind w:left="851" w:right="851" w:firstLine="709"/>
        <w:jc w:val="both"/>
        <w:rPr>
          <w:sz w:val="22"/>
          <w:szCs w:val="22"/>
        </w:rPr>
      </w:pPr>
    </w:p>
    <w:p w14:paraId="458D8C49" w14:textId="77777777" w:rsidR="00B15F7D" w:rsidRPr="00990FB6" w:rsidRDefault="00B15F7D" w:rsidP="00B15F7D">
      <w:pPr>
        <w:ind w:left="851" w:right="851" w:firstLine="709"/>
        <w:jc w:val="both"/>
        <w:rPr>
          <w:sz w:val="22"/>
          <w:szCs w:val="22"/>
        </w:rPr>
      </w:pPr>
      <w:r w:rsidRPr="00990FB6">
        <w:rPr>
          <w:sz w:val="22"/>
          <w:szCs w:val="22"/>
        </w:rPr>
        <w:t>Existirán oficinas que tendrán un Fiscal de Juicio y dos fiscales auxiliares a modo de excepción del modelo de tramitación, debido a que por ser estructuras mínimas es necesaria esa conformación, dirección funcional de la oficina y temas administrativos, esto sucederá en La Fortuna, Los Chiles y Guatuso replicando la estructura de Upala, Coto Brus, Puriscal y Golfito. También debe hacerse la observación que con esta propuesta las causas que son de esas zonas serían vistas en juicio por el propio fiscal que dio dirección funcional a la investigación, lo cual propiciaría una mejor calidad a la hora de presentarse en el debate.</w:t>
      </w:r>
    </w:p>
    <w:p w14:paraId="624B9593" w14:textId="77777777" w:rsidR="00B15F7D" w:rsidRPr="00990FB6" w:rsidRDefault="00B15F7D" w:rsidP="00B15F7D">
      <w:pPr>
        <w:ind w:left="851" w:right="851" w:firstLine="709"/>
        <w:jc w:val="both"/>
        <w:rPr>
          <w:sz w:val="22"/>
          <w:szCs w:val="22"/>
        </w:rPr>
      </w:pPr>
    </w:p>
    <w:p w14:paraId="08B60611" w14:textId="77777777" w:rsidR="00B15F7D" w:rsidRPr="00990FB6" w:rsidRDefault="00B15F7D" w:rsidP="00B15F7D">
      <w:pPr>
        <w:ind w:left="851" w:right="851" w:firstLine="709"/>
        <w:jc w:val="both"/>
        <w:rPr>
          <w:sz w:val="22"/>
          <w:szCs w:val="22"/>
        </w:rPr>
      </w:pPr>
      <w:r w:rsidRPr="00990FB6">
        <w:rPr>
          <w:sz w:val="22"/>
          <w:szCs w:val="22"/>
        </w:rPr>
        <w:t>Otro aspecto a considerar es el tema legal, donde en el caso de que se dé una apelación a un juicio y se deba llevar a otra instancia, donde el resultado de ese asunto obtenido en el Tribunal Penal se pueda debatir y hasta perder, por el hecho de tener una persona auxiliar realizando juicios, para ese caso en particular y con el fin de evitar que se presenten esas situaciones en el marco legal, se identifica la necesidad de que en las oficinas donde existe solo una persona fiscal auxiliar, se recalifiquen esas plazas a persona fiscal ya que eventualmente deben tener el control de todos los aspectos mencionados en el párrafo anterior, así como la realización y atención de juicios de la zona.</w:t>
      </w:r>
    </w:p>
    <w:p w14:paraId="4A136F99" w14:textId="77777777" w:rsidR="00B15F7D" w:rsidRPr="00990FB6" w:rsidRDefault="00B15F7D" w:rsidP="00B15F7D">
      <w:pPr>
        <w:ind w:left="851" w:right="851" w:firstLine="709"/>
        <w:jc w:val="both"/>
        <w:rPr>
          <w:sz w:val="22"/>
          <w:szCs w:val="22"/>
        </w:rPr>
      </w:pPr>
    </w:p>
    <w:p w14:paraId="66AD2DFA" w14:textId="77777777" w:rsidR="00B15F7D" w:rsidRPr="00990FB6" w:rsidRDefault="00B15F7D" w:rsidP="00B15F7D">
      <w:pPr>
        <w:ind w:left="851" w:right="851" w:firstLine="709"/>
        <w:jc w:val="both"/>
        <w:rPr>
          <w:sz w:val="22"/>
          <w:szCs w:val="22"/>
        </w:rPr>
      </w:pPr>
      <w:r w:rsidRPr="00990FB6">
        <w:rPr>
          <w:sz w:val="22"/>
          <w:szCs w:val="22"/>
        </w:rPr>
        <w:t>Todo lo anterior, obedecería a una necesidad de acortar plazos de agendas y brindar un mejor servicio público, no obstante, el costo total a invertir en talento humano para llevar a cabo este plan sería de ₡741 845 000,00 al año aproximadamente, si se consideran todas las oficinas del cuadro anterior.</w:t>
      </w:r>
    </w:p>
    <w:p w14:paraId="1CC9B128" w14:textId="77777777" w:rsidR="00B15F7D" w:rsidRPr="00990FB6" w:rsidRDefault="00B15F7D" w:rsidP="00B15F7D">
      <w:pPr>
        <w:ind w:left="851" w:right="851" w:firstLine="709"/>
        <w:jc w:val="both"/>
        <w:rPr>
          <w:sz w:val="22"/>
          <w:szCs w:val="22"/>
        </w:rPr>
      </w:pPr>
    </w:p>
    <w:p w14:paraId="009DFD23" w14:textId="77777777" w:rsidR="00B15F7D" w:rsidRPr="00990FB6" w:rsidRDefault="00B15F7D" w:rsidP="00B15F7D">
      <w:pPr>
        <w:ind w:left="851" w:right="851" w:firstLine="709"/>
        <w:jc w:val="both"/>
        <w:rPr>
          <w:sz w:val="22"/>
          <w:szCs w:val="22"/>
        </w:rPr>
      </w:pPr>
      <w:r w:rsidRPr="00990FB6">
        <w:rPr>
          <w:sz w:val="22"/>
          <w:szCs w:val="22"/>
        </w:rPr>
        <w:t>Por lo que, se tendría un costo total de ₡763 812 689,00 aproximado, si se agrega el costo por equipo, licencias y mobiliario con el que deberían contar las doce plazas nuevas que se solicitan en este punto en particular, lo que significa ese incremento de ₡21 967 689,00 en el total final, ya que las plazas existentes y que se podrían recalificar ya cuentan con su equipo y mobiliario asignado (cuatro en total), además de que ese costo por mobiliario sería una sola vez.</w:t>
      </w:r>
    </w:p>
    <w:p w14:paraId="4804E4A2" w14:textId="77777777" w:rsidR="00B15F7D" w:rsidRPr="00990FB6" w:rsidRDefault="00B15F7D" w:rsidP="00B15F7D">
      <w:pPr>
        <w:ind w:left="851" w:right="851" w:firstLine="709"/>
        <w:jc w:val="both"/>
        <w:rPr>
          <w:sz w:val="22"/>
          <w:szCs w:val="22"/>
        </w:rPr>
      </w:pPr>
    </w:p>
    <w:p w14:paraId="7EC3E82D" w14:textId="77777777" w:rsidR="00B15F7D" w:rsidRPr="00990FB6" w:rsidRDefault="00B15F7D" w:rsidP="00B15F7D">
      <w:pPr>
        <w:ind w:left="851" w:right="851" w:firstLine="709"/>
        <w:jc w:val="both"/>
        <w:rPr>
          <w:b/>
          <w:i/>
          <w:sz w:val="22"/>
          <w:szCs w:val="22"/>
        </w:rPr>
      </w:pPr>
      <w:r w:rsidRPr="00990FB6">
        <w:rPr>
          <w:b/>
          <w:sz w:val="22"/>
          <w:szCs w:val="22"/>
        </w:rPr>
        <w:t xml:space="preserve">Cuadro </w:t>
      </w:r>
      <w:r w:rsidRPr="00990FB6">
        <w:rPr>
          <w:b/>
          <w:i/>
          <w:sz w:val="22"/>
          <w:szCs w:val="22"/>
        </w:rPr>
        <w:fldChar w:fldCharType="begin"/>
      </w:r>
      <w:r w:rsidRPr="00990FB6">
        <w:rPr>
          <w:b/>
          <w:sz w:val="22"/>
          <w:szCs w:val="22"/>
        </w:rPr>
        <w:instrText xml:space="preserve"> SEQ Escenario \* ARABIC </w:instrText>
      </w:r>
      <w:r w:rsidRPr="00990FB6">
        <w:rPr>
          <w:b/>
          <w:i/>
          <w:sz w:val="22"/>
          <w:szCs w:val="22"/>
        </w:rPr>
        <w:fldChar w:fldCharType="separate"/>
      </w:r>
      <w:r w:rsidRPr="00990FB6">
        <w:rPr>
          <w:b/>
          <w:noProof/>
          <w:sz w:val="22"/>
          <w:szCs w:val="22"/>
        </w:rPr>
        <w:t>4</w:t>
      </w:r>
      <w:r w:rsidRPr="00990FB6">
        <w:rPr>
          <w:b/>
          <w:i/>
          <w:sz w:val="22"/>
          <w:szCs w:val="22"/>
        </w:rPr>
        <w:fldChar w:fldCharType="end"/>
      </w:r>
    </w:p>
    <w:p w14:paraId="3CAEFD09" w14:textId="77777777" w:rsidR="00B15F7D" w:rsidRPr="00990FB6" w:rsidRDefault="00B15F7D" w:rsidP="00B15F7D">
      <w:pPr>
        <w:ind w:left="851" w:right="851" w:firstLine="709"/>
        <w:jc w:val="both"/>
        <w:rPr>
          <w:sz w:val="22"/>
          <w:szCs w:val="22"/>
        </w:rPr>
      </w:pPr>
    </w:p>
    <w:p w14:paraId="202E1152" w14:textId="77777777" w:rsidR="00B15F7D" w:rsidRPr="00990FB6" w:rsidRDefault="00B15F7D" w:rsidP="00B15F7D">
      <w:pPr>
        <w:ind w:left="851" w:right="851" w:firstLine="709"/>
        <w:jc w:val="both"/>
        <w:rPr>
          <w:b/>
          <w:sz w:val="22"/>
          <w:szCs w:val="22"/>
        </w:rPr>
      </w:pPr>
      <w:r w:rsidRPr="00990FB6">
        <w:rPr>
          <w:b/>
          <w:sz w:val="22"/>
          <w:szCs w:val="22"/>
        </w:rPr>
        <w:t>Fiscalías del Ministerio Público que ya han sido abordadas, donde se identificó faltante de personal por las funciones que se realizan y para el cumplimiento de las estructuras del Juzgado Penal y el Tribunal Penal del lugar, donde existe un informe técnico de la Dirección de Planificación que lo sustenta.</w:t>
      </w:r>
    </w:p>
    <w:p w14:paraId="225B4278" w14:textId="77777777" w:rsidR="00B15F7D" w:rsidRPr="00990FB6" w:rsidRDefault="00B15F7D" w:rsidP="00B15F7D">
      <w:pPr>
        <w:rPr>
          <w:sz w:val="22"/>
          <w:szCs w:val="22"/>
        </w:rPr>
      </w:pPr>
    </w:p>
    <w:tbl>
      <w:tblPr>
        <w:tblW w:w="10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7"/>
        <w:gridCol w:w="1191"/>
        <w:gridCol w:w="1149"/>
        <w:gridCol w:w="1288"/>
        <w:gridCol w:w="1175"/>
        <w:gridCol w:w="1510"/>
        <w:gridCol w:w="1026"/>
        <w:gridCol w:w="778"/>
        <w:gridCol w:w="980"/>
      </w:tblGrid>
      <w:tr w:rsidR="00254CD4" w:rsidRPr="00990FB6" w14:paraId="1F1FF82A" w14:textId="77777777" w:rsidTr="00254CD4">
        <w:trPr>
          <w:trHeight w:val="976"/>
          <w:jc w:val="center"/>
        </w:trPr>
        <w:tc>
          <w:tcPr>
            <w:tcW w:w="1696" w:type="dxa"/>
            <w:shd w:val="clear" w:color="FFFFFF" w:fill="0B64A0"/>
            <w:noWrap/>
            <w:vAlign w:val="center"/>
            <w:hideMark/>
          </w:tcPr>
          <w:p w14:paraId="2211BA9B" w14:textId="77777777" w:rsidR="00B15F7D" w:rsidRPr="00990FB6" w:rsidRDefault="00B15F7D" w:rsidP="00B15F7D">
            <w:pPr>
              <w:jc w:val="center"/>
              <w:rPr>
                <w:b/>
                <w:bCs/>
                <w:sz w:val="22"/>
                <w:szCs w:val="22"/>
                <w:lang w:eastAsia="es-CR"/>
              </w:rPr>
            </w:pPr>
            <w:r w:rsidRPr="00990FB6">
              <w:rPr>
                <w:b/>
                <w:bCs/>
                <w:sz w:val="22"/>
                <w:szCs w:val="22"/>
                <w:lang w:eastAsia="es-CR"/>
              </w:rPr>
              <w:lastRenderedPageBreak/>
              <w:t>Despacho Datos 2023</w:t>
            </w:r>
          </w:p>
        </w:tc>
        <w:tc>
          <w:tcPr>
            <w:tcW w:w="0" w:type="auto"/>
            <w:shd w:val="clear" w:color="FFFFFF" w:fill="0B64A0"/>
            <w:vAlign w:val="center"/>
            <w:hideMark/>
          </w:tcPr>
          <w:p w14:paraId="1D308AF3" w14:textId="77777777" w:rsidR="00B15F7D" w:rsidRPr="00990FB6" w:rsidRDefault="00B15F7D" w:rsidP="00B15F7D">
            <w:pPr>
              <w:jc w:val="center"/>
              <w:rPr>
                <w:b/>
                <w:bCs/>
                <w:sz w:val="22"/>
                <w:szCs w:val="22"/>
                <w:lang w:eastAsia="es-CR"/>
              </w:rPr>
            </w:pPr>
            <w:r w:rsidRPr="00990FB6">
              <w:rPr>
                <w:b/>
                <w:bCs/>
                <w:sz w:val="22"/>
                <w:szCs w:val="22"/>
                <w:lang w:eastAsia="es-CR"/>
              </w:rPr>
              <w:t>Cantidad de personal fiscal auxiliar requerido</w:t>
            </w:r>
          </w:p>
        </w:tc>
        <w:tc>
          <w:tcPr>
            <w:tcW w:w="0" w:type="auto"/>
            <w:shd w:val="clear" w:color="FFFFFF" w:fill="0B64A0"/>
            <w:vAlign w:val="center"/>
            <w:hideMark/>
          </w:tcPr>
          <w:p w14:paraId="6A4F606B" w14:textId="77777777" w:rsidR="00B15F7D" w:rsidRPr="00990FB6" w:rsidRDefault="00B15F7D" w:rsidP="00B15F7D">
            <w:pPr>
              <w:jc w:val="center"/>
              <w:rPr>
                <w:b/>
                <w:bCs/>
                <w:sz w:val="22"/>
                <w:szCs w:val="22"/>
                <w:lang w:eastAsia="es-CR"/>
              </w:rPr>
            </w:pPr>
            <w:r w:rsidRPr="00990FB6">
              <w:rPr>
                <w:b/>
                <w:bCs/>
                <w:sz w:val="22"/>
                <w:szCs w:val="22"/>
                <w:lang w:eastAsia="es-CR"/>
              </w:rPr>
              <w:t>Cantidad de personal técnico judicial necesario</w:t>
            </w:r>
          </w:p>
        </w:tc>
        <w:tc>
          <w:tcPr>
            <w:tcW w:w="1288" w:type="dxa"/>
            <w:shd w:val="clear" w:color="FFFFFF" w:fill="0B64A0"/>
            <w:vAlign w:val="center"/>
            <w:hideMark/>
          </w:tcPr>
          <w:p w14:paraId="0232E867" w14:textId="77777777" w:rsidR="00B15F7D" w:rsidRPr="00990FB6" w:rsidRDefault="00B15F7D" w:rsidP="00B15F7D">
            <w:pPr>
              <w:jc w:val="center"/>
              <w:rPr>
                <w:b/>
                <w:bCs/>
                <w:sz w:val="22"/>
                <w:szCs w:val="22"/>
                <w:lang w:eastAsia="es-CR"/>
              </w:rPr>
            </w:pPr>
            <w:r w:rsidRPr="00990FB6">
              <w:rPr>
                <w:b/>
                <w:bCs/>
                <w:sz w:val="22"/>
                <w:szCs w:val="22"/>
                <w:lang w:eastAsia="es-CR"/>
              </w:rPr>
              <w:t>Costo anual por persona fiscal auxiliar</w:t>
            </w:r>
          </w:p>
        </w:tc>
        <w:tc>
          <w:tcPr>
            <w:tcW w:w="1175" w:type="dxa"/>
            <w:shd w:val="clear" w:color="FFFFFF" w:fill="0B64A0"/>
            <w:vAlign w:val="center"/>
            <w:hideMark/>
          </w:tcPr>
          <w:p w14:paraId="760A70BC" w14:textId="77777777" w:rsidR="00B15F7D" w:rsidRPr="00990FB6" w:rsidRDefault="00B15F7D" w:rsidP="00B15F7D">
            <w:pPr>
              <w:jc w:val="center"/>
              <w:rPr>
                <w:b/>
                <w:bCs/>
                <w:sz w:val="22"/>
                <w:szCs w:val="22"/>
                <w:lang w:eastAsia="es-CR"/>
              </w:rPr>
            </w:pPr>
            <w:r w:rsidRPr="00990FB6">
              <w:rPr>
                <w:b/>
                <w:bCs/>
                <w:sz w:val="22"/>
                <w:szCs w:val="22"/>
                <w:lang w:eastAsia="es-CR"/>
              </w:rPr>
              <w:t>Costo anual por persona técnica judicial</w:t>
            </w:r>
          </w:p>
        </w:tc>
        <w:tc>
          <w:tcPr>
            <w:tcW w:w="0" w:type="auto"/>
            <w:shd w:val="clear" w:color="FFFFFF" w:fill="0B64A0"/>
            <w:vAlign w:val="center"/>
            <w:hideMark/>
          </w:tcPr>
          <w:p w14:paraId="0993DAC8" w14:textId="77777777" w:rsidR="00B15F7D" w:rsidRPr="00990FB6" w:rsidRDefault="00B15F7D" w:rsidP="00B15F7D">
            <w:pPr>
              <w:jc w:val="center"/>
              <w:rPr>
                <w:b/>
                <w:bCs/>
                <w:sz w:val="22"/>
                <w:szCs w:val="22"/>
                <w:lang w:eastAsia="es-CR"/>
              </w:rPr>
            </w:pPr>
            <w:r w:rsidRPr="00990FB6">
              <w:rPr>
                <w:b/>
                <w:bCs/>
                <w:sz w:val="22"/>
                <w:szCs w:val="22"/>
                <w:lang w:eastAsia="es-CR"/>
              </w:rPr>
              <w:t>Costo por Mobiliario y Equipo</w:t>
            </w:r>
          </w:p>
        </w:tc>
        <w:tc>
          <w:tcPr>
            <w:tcW w:w="1026" w:type="dxa"/>
            <w:shd w:val="clear" w:color="FFFFFF" w:fill="0B64A0"/>
            <w:vAlign w:val="center"/>
            <w:hideMark/>
          </w:tcPr>
          <w:p w14:paraId="083CE63A" w14:textId="77777777" w:rsidR="00B15F7D" w:rsidRPr="00990FB6" w:rsidRDefault="00B15F7D" w:rsidP="00B15F7D">
            <w:pPr>
              <w:jc w:val="center"/>
              <w:rPr>
                <w:b/>
                <w:bCs/>
                <w:sz w:val="22"/>
                <w:szCs w:val="22"/>
                <w:lang w:eastAsia="es-CR"/>
              </w:rPr>
            </w:pPr>
            <w:r w:rsidRPr="00990FB6">
              <w:rPr>
                <w:b/>
                <w:bCs/>
                <w:sz w:val="22"/>
                <w:szCs w:val="22"/>
                <w:lang w:eastAsia="es-CR"/>
              </w:rPr>
              <w:t>Costo por licencias</w:t>
            </w:r>
          </w:p>
        </w:tc>
        <w:tc>
          <w:tcPr>
            <w:tcW w:w="0" w:type="auto"/>
            <w:shd w:val="clear" w:color="FFFFFF" w:fill="0B64A0"/>
            <w:vAlign w:val="center"/>
          </w:tcPr>
          <w:p w14:paraId="2359020F"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c>
          <w:tcPr>
            <w:tcW w:w="980" w:type="dxa"/>
            <w:shd w:val="clear" w:color="FFFFFF" w:fill="0B64A0"/>
            <w:vAlign w:val="center"/>
            <w:hideMark/>
          </w:tcPr>
          <w:p w14:paraId="28B0BBC3" w14:textId="77777777" w:rsidR="00B15F7D" w:rsidRPr="00990FB6" w:rsidRDefault="00B15F7D" w:rsidP="00B15F7D">
            <w:pPr>
              <w:jc w:val="center"/>
              <w:rPr>
                <w:b/>
                <w:bCs/>
                <w:sz w:val="22"/>
                <w:szCs w:val="22"/>
                <w:lang w:eastAsia="es-CR"/>
              </w:rPr>
            </w:pPr>
            <w:r w:rsidRPr="00990FB6">
              <w:rPr>
                <w:b/>
                <w:bCs/>
                <w:sz w:val="22"/>
                <w:szCs w:val="22"/>
                <w:lang w:eastAsia="es-CR"/>
              </w:rPr>
              <w:t>Informe</w:t>
            </w:r>
          </w:p>
        </w:tc>
      </w:tr>
      <w:tr w:rsidR="00B15F7D" w:rsidRPr="00990FB6" w14:paraId="77D3D4CB" w14:textId="77777777" w:rsidTr="00254CD4">
        <w:trPr>
          <w:trHeight w:val="310"/>
          <w:jc w:val="center"/>
        </w:trPr>
        <w:tc>
          <w:tcPr>
            <w:tcW w:w="1696" w:type="dxa"/>
            <w:shd w:val="clear" w:color="auto" w:fill="D9E2F3"/>
            <w:vAlign w:val="center"/>
            <w:hideMark/>
          </w:tcPr>
          <w:p w14:paraId="2880324F" w14:textId="77777777" w:rsidR="00B15F7D" w:rsidRPr="00990FB6" w:rsidRDefault="00B15F7D" w:rsidP="00B15F7D">
            <w:pPr>
              <w:jc w:val="center"/>
              <w:rPr>
                <w:sz w:val="22"/>
                <w:szCs w:val="22"/>
                <w:lang w:eastAsia="es-CR"/>
              </w:rPr>
            </w:pPr>
            <w:r w:rsidRPr="00990FB6">
              <w:rPr>
                <w:sz w:val="22"/>
                <w:szCs w:val="22"/>
                <w:lang w:eastAsia="es-CR"/>
              </w:rPr>
              <w:t>Fiscalía de Santa Cruz</w:t>
            </w:r>
          </w:p>
        </w:tc>
        <w:tc>
          <w:tcPr>
            <w:tcW w:w="0" w:type="auto"/>
            <w:shd w:val="clear" w:color="auto" w:fill="auto"/>
            <w:noWrap/>
            <w:vAlign w:val="center"/>
            <w:hideMark/>
          </w:tcPr>
          <w:p w14:paraId="5916CC60" w14:textId="77777777" w:rsidR="00B15F7D" w:rsidRPr="00990FB6" w:rsidRDefault="00B15F7D" w:rsidP="00B15F7D">
            <w:pPr>
              <w:jc w:val="center"/>
              <w:rPr>
                <w:sz w:val="22"/>
                <w:szCs w:val="22"/>
                <w:lang w:eastAsia="es-CR"/>
              </w:rPr>
            </w:pPr>
            <w:r w:rsidRPr="00990FB6">
              <w:rPr>
                <w:sz w:val="22"/>
                <w:szCs w:val="22"/>
                <w:lang w:eastAsia="es-CR"/>
              </w:rPr>
              <w:t>3</w:t>
            </w:r>
          </w:p>
        </w:tc>
        <w:tc>
          <w:tcPr>
            <w:tcW w:w="0" w:type="auto"/>
            <w:shd w:val="clear" w:color="auto" w:fill="auto"/>
            <w:noWrap/>
            <w:vAlign w:val="center"/>
            <w:hideMark/>
          </w:tcPr>
          <w:p w14:paraId="5AAB6A3F" w14:textId="77777777" w:rsidR="00B15F7D" w:rsidRPr="00990FB6" w:rsidRDefault="00B15F7D" w:rsidP="00B15F7D">
            <w:pPr>
              <w:jc w:val="center"/>
              <w:rPr>
                <w:sz w:val="22"/>
                <w:szCs w:val="22"/>
                <w:lang w:eastAsia="es-CR"/>
              </w:rPr>
            </w:pPr>
            <w:r w:rsidRPr="00990FB6">
              <w:rPr>
                <w:sz w:val="22"/>
                <w:szCs w:val="22"/>
                <w:lang w:eastAsia="es-CR"/>
              </w:rPr>
              <w:t>2</w:t>
            </w:r>
          </w:p>
        </w:tc>
        <w:tc>
          <w:tcPr>
            <w:tcW w:w="1288" w:type="dxa"/>
            <w:shd w:val="clear" w:color="auto" w:fill="auto"/>
            <w:noWrap/>
            <w:vAlign w:val="center"/>
            <w:hideMark/>
          </w:tcPr>
          <w:p w14:paraId="7D17D7E3" w14:textId="77777777" w:rsidR="00B15F7D" w:rsidRPr="00990FB6" w:rsidRDefault="00B15F7D" w:rsidP="00B15F7D">
            <w:pPr>
              <w:jc w:val="center"/>
              <w:rPr>
                <w:sz w:val="22"/>
                <w:szCs w:val="22"/>
                <w:lang w:eastAsia="es-CR"/>
              </w:rPr>
            </w:pPr>
            <w:r w:rsidRPr="00990FB6">
              <w:rPr>
                <w:sz w:val="22"/>
                <w:szCs w:val="22"/>
              </w:rPr>
              <w:t>₡130 626 000,00</w:t>
            </w:r>
          </w:p>
        </w:tc>
        <w:tc>
          <w:tcPr>
            <w:tcW w:w="1175" w:type="dxa"/>
            <w:shd w:val="clear" w:color="auto" w:fill="auto"/>
            <w:noWrap/>
            <w:vAlign w:val="center"/>
            <w:hideMark/>
          </w:tcPr>
          <w:p w14:paraId="16C219FA" w14:textId="77777777" w:rsidR="00B15F7D" w:rsidRPr="00990FB6" w:rsidRDefault="00B15F7D" w:rsidP="00B15F7D">
            <w:pPr>
              <w:jc w:val="center"/>
              <w:rPr>
                <w:sz w:val="22"/>
                <w:szCs w:val="22"/>
                <w:lang w:eastAsia="es-CR"/>
              </w:rPr>
            </w:pPr>
            <w:r w:rsidRPr="00990FB6">
              <w:rPr>
                <w:sz w:val="22"/>
                <w:szCs w:val="22"/>
              </w:rPr>
              <w:t>₡22 881 000,00</w:t>
            </w:r>
          </w:p>
        </w:tc>
        <w:tc>
          <w:tcPr>
            <w:tcW w:w="0" w:type="auto"/>
            <w:shd w:val="clear" w:color="auto" w:fill="auto"/>
            <w:noWrap/>
            <w:vAlign w:val="center"/>
            <w:hideMark/>
          </w:tcPr>
          <w:p w14:paraId="2F6B3EB3" w14:textId="77777777" w:rsidR="00B15F7D" w:rsidRPr="00990FB6" w:rsidRDefault="00B15F7D" w:rsidP="00B15F7D">
            <w:pPr>
              <w:jc w:val="center"/>
              <w:rPr>
                <w:sz w:val="22"/>
                <w:szCs w:val="22"/>
                <w:lang w:eastAsia="es-CR"/>
              </w:rPr>
            </w:pPr>
            <w:r w:rsidRPr="00990FB6">
              <w:rPr>
                <w:sz w:val="22"/>
                <w:szCs w:val="22"/>
              </w:rPr>
              <w:t>₡2 540 207,00</w:t>
            </w:r>
          </w:p>
        </w:tc>
        <w:tc>
          <w:tcPr>
            <w:tcW w:w="1026" w:type="dxa"/>
            <w:shd w:val="clear" w:color="auto" w:fill="auto"/>
            <w:noWrap/>
            <w:vAlign w:val="center"/>
            <w:hideMark/>
          </w:tcPr>
          <w:p w14:paraId="40511951" w14:textId="77777777" w:rsidR="00B15F7D" w:rsidRPr="00990FB6" w:rsidRDefault="00B15F7D" w:rsidP="00B15F7D">
            <w:pPr>
              <w:jc w:val="center"/>
              <w:rPr>
                <w:sz w:val="22"/>
                <w:szCs w:val="22"/>
                <w:lang w:eastAsia="es-CR"/>
              </w:rPr>
            </w:pPr>
            <w:r w:rsidRPr="00990FB6">
              <w:rPr>
                <w:sz w:val="22"/>
                <w:szCs w:val="22"/>
              </w:rPr>
              <w:t>₡411 420,00</w:t>
            </w:r>
          </w:p>
        </w:tc>
        <w:tc>
          <w:tcPr>
            <w:tcW w:w="0" w:type="auto"/>
            <w:vAlign w:val="center"/>
          </w:tcPr>
          <w:p w14:paraId="02450C6D" w14:textId="77777777" w:rsidR="00B15F7D" w:rsidRPr="00990FB6" w:rsidRDefault="00B15F7D" w:rsidP="00B15F7D">
            <w:pPr>
              <w:jc w:val="center"/>
              <w:rPr>
                <w:sz w:val="22"/>
                <w:szCs w:val="22"/>
              </w:rPr>
            </w:pPr>
            <w:r w:rsidRPr="00990FB6">
              <w:rPr>
                <w:sz w:val="22"/>
                <w:szCs w:val="22"/>
              </w:rPr>
              <w:t>₡156 458 627,00</w:t>
            </w:r>
          </w:p>
        </w:tc>
        <w:tc>
          <w:tcPr>
            <w:tcW w:w="980" w:type="dxa"/>
            <w:shd w:val="clear" w:color="auto" w:fill="auto"/>
            <w:noWrap/>
            <w:vAlign w:val="center"/>
            <w:hideMark/>
          </w:tcPr>
          <w:p w14:paraId="2DFA5677" w14:textId="77777777" w:rsidR="00B15F7D" w:rsidRPr="00990FB6" w:rsidRDefault="00B15F7D" w:rsidP="00B15F7D">
            <w:pPr>
              <w:jc w:val="center"/>
              <w:rPr>
                <w:sz w:val="22"/>
                <w:szCs w:val="22"/>
                <w:lang w:eastAsia="es-CR"/>
              </w:rPr>
            </w:pPr>
            <w:r w:rsidRPr="00990FB6">
              <w:rPr>
                <w:sz w:val="22"/>
                <w:szCs w:val="22"/>
              </w:rPr>
              <w:t>623-PLA-MI-2022</w:t>
            </w:r>
          </w:p>
        </w:tc>
      </w:tr>
      <w:tr w:rsidR="00B15F7D" w:rsidRPr="00990FB6" w14:paraId="4C8A632E" w14:textId="77777777" w:rsidTr="00254CD4">
        <w:trPr>
          <w:trHeight w:val="310"/>
          <w:jc w:val="center"/>
        </w:trPr>
        <w:tc>
          <w:tcPr>
            <w:tcW w:w="1696" w:type="dxa"/>
            <w:shd w:val="clear" w:color="auto" w:fill="D9E2F3"/>
            <w:vAlign w:val="center"/>
          </w:tcPr>
          <w:p w14:paraId="14975E1E" w14:textId="77777777" w:rsidR="00B15F7D" w:rsidRPr="00990FB6" w:rsidRDefault="00B15F7D" w:rsidP="00B15F7D">
            <w:pPr>
              <w:jc w:val="center"/>
              <w:rPr>
                <w:sz w:val="22"/>
                <w:szCs w:val="22"/>
                <w:lang w:eastAsia="es-CR"/>
              </w:rPr>
            </w:pPr>
            <w:r w:rsidRPr="00990FB6">
              <w:rPr>
                <w:sz w:val="22"/>
                <w:szCs w:val="22"/>
                <w:lang w:eastAsia="es-CR"/>
              </w:rPr>
              <w:t>Fiscalía Adjunta de Heredia</w:t>
            </w:r>
          </w:p>
        </w:tc>
        <w:tc>
          <w:tcPr>
            <w:tcW w:w="0" w:type="auto"/>
            <w:shd w:val="clear" w:color="auto" w:fill="auto"/>
            <w:noWrap/>
            <w:vAlign w:val="center"/>
          </w:tcPr>
          <w:p w14:paraId="0E026DCF" w14:textId="77777777" w:rsidR="00B15F7D" w:rsidRPr="00990FB6" w:rsidRDefault="00B15F7D" w:rsidP="00B15F7D">
            <w:pPr>
              <w:jc w:val="center"/>
              <w:rPr>
                <w:sz w:val="22"/>
                <w:szCs w:val="22"/>
                <w:lang w:eastAsia="es-CR"/>
              </w:rPr>
            </w:pPr>
            <w:r w:rsidRPr="00990FB6">
              <w:rPr>
                <w:sz w:val="22"/>
                <w:szCs w:val="22"/>
                <w:lang w:eastAsia="es-CR"/>
              </w:rPr>
              <w:t>0</w:t>
            </w:r>
          </w:p>
        </w:tc>
        <w:tc>
          <w:tcPr>
            <w:tcW w:w="0" w:type="auto"/>
            <w:shd w:val="clear" w:color="auto" w:fill="auto"/>
            <w:noWrap/>
            <w:vAlign w:val="center"/>
          </w:tcPr>
          <w:p w14:paraId="0E3B4790" w14:textId="77777777" w:rsidR="00B15F7D" w:rsidRPr="00990FB6" w:rsidRDefault="00B15F7D" w:rsidP="00B15F7D">
            <w:pPr>
              <w:jc w:val="center"/>
              <w:rPr>
                <w:sz w:val="22"/>
                <w:szCs w:val="22"/>
                <w:lang w:eastAsia="es-CR"/>
              </w:rPr>
            </w:pPr>
            <w:r w:rsidRPr="00990FB6">
              <w:rPr>
                <w:sz w:val="22"/>
                <w:szCs w:val="22"/>
                <w:lang w:eastAsia="es-CR"/>
              </w:rPr>
              <w:t>1</w:t>
            </w:r>
          </w:p>
        </w:tc>
        <w:tc>
          <w:tcPr>
            <w:tcW w:w="1288" w:type="dxa"/>
            <w:shd w:val="clear" w:color="auto" w:fill="auto"/>
            <w:noWrap/>
            <w:vAlign w:val="center"/>
          </w:tcPr>
          <w:p w14:paraId="13351CFB" w14:textId="77777777" w:rsidR="00B15F7D" w:rsidRPr="00990FB6" w:rsidRDefault="00B15F7D" w:rsidP="00B15F7D">
            <w:pPr>
              <w:jc w:val="center"/>
              <w:rPr>
                <w:sz w:val="22"/>
                <w:szCs w:val="22"/>
              </w:rPr>
            </w:pPr>
            <w:r w:rsidRPr="00990FB6">
              <w:rPr>
                <w:sz w:val="22"/>
                <w:szCs w:val="22"/>
                <w:lang w:eastAsia="es-CR"/>
              </w:rPr>
              <w:t>₡0,00</w:t>
            </w:r>
          </w:p>
        </w:tc>
        <w:tc>
          <w:tcPr>
            <w:tcW w:w="1175" w:type="dxa"/>
            <w:shd w:val="clear" w:color="auto" w:fill="auto"/>
            <w:noWrap/>
            <w:vAlign w:val="center"/>
          </w:tcPr>
          <w:p w14:paraId="77A58F77" w14:textId="77777777" w:rsidR="00B15F7D" w:rsidRPr="00990FB6" w:rsidRDefault="00B15F7D" w:rsidP="00B15F7D">
            <w:pPr>
              <w:jc w:val="center"/>
              <w:rPr>
                <w:sz w:val="22"/>
                <w:szCs w:val="22"/>
              </w:rPr>
            </w:pPr>
            <w:r w:rsidRPr="00990FB6">
              <w:rPr>
                <w:sz w:val="22"/>
                <w:szCs w:val="22"/>
              </w:rPr>
              <w:t>₡15 945 000,00</w:t>
            </w:r>
          </w:p>
        </w:tc>
        <w:tc>
          <w:tcPr>
            <w:tcW w:w="0" w:type="auto"/>
            <w:shd w:val="clear" w:color="auto" w:fill="auto"/>
            <w:noWrap/>
            <w:vAlign w:val="center"/>
          </w:tcPr>
          <w:p w14:paraId="257DB09C" w14:textId="77777777" w:rsidR="00B15F7D" w:rsidRPr="00990FB6" w:rsidRDefault="00B15F7D" w:rsidP="00B15F7D">
            <w:pPr>
              <w:jc w:val="center"/>
              <w:rPr>
                <w:sz w:val="22"/>
                <w:szCs w:val="22"/>
              </w:rPr>
            </w:pPr>
            <w:r w:rsidRPr="00990FB6">
              <w:rPr>
                <w:sz w:val="22"/>
                <w:szCs w:val="22"/>
              </w:rPr>
              <w:t>₡1 058 920,00</w:t>
            </w:r>
          </w:p>
        </w:tc>
        <w:tc>
          <w:tcPr>
            <w:tcW w:w="1026" w:type="dxa"/>
            <w:shd w:val="clear" w:color="auto" w:fill="auto"/>
            <w:noWrap/>
            <w:vAlign w:val="center"/>
          </w:tcPr>
          <w:p w14:paraId="61ED0532" w14:textId="77777777" w:rsidR="00B15F7D" w:rsidRPr="00990FB6" w:rsidRDefault="00B15F7D" w:rsidP="00B15F7D">
            <w:pPr>
              <w:jc w:val="center"/>
              <w:rPr>
                <w:sz w:val="22"/>
                <w:szCs w:val="22"/>
              </w:rPr>
            </w:pPr>
            <w:r w:rsidRPr="00990FB6">
              <w:rPr>
                <w:sz w:val="22"/>
                <w:szCs w:val="22"/>
                <w:lang w:eastAsia="es-CR"/>
              </w:rPr>
              <w:t>₡0,00</w:t>
            </w:r>
          </w:p>
        </w:tc>
        <w:tc>
          <w:tcPr>
            <w:tcW w:w="0" w:type="auto"/>
            <w:vAlign w:val="center"/>
          </w:tcPr>
          <w:p w14:paraId="5CED35AA" w14:textId="77777777" w:rsidR="00B15F7D" w:rsidRPr="00990FB6" w:rsidRDefault="00B15F7D" w:rsidP="00B15F7D">
            <w:pPr>
              <w:jc w:val="center"/>
              <w:rPr>
                <w:sz w:val="22"/>
                <w:szCs w:val="22"/>
              </w:rPr>
            </w:pPr>
            <w:r w:rsidRPr="00990FB6">
              <w:rPr>
                <w:sz w:val="22"/>
                <w:szCs w:val="22"/>
              </w:rPr>
              <w:t>₡17 003 920,00</w:t>
            </w:r>
          </w:p>
        </w:tc>
        <w:tc>
          <w:tcPr>
            <w:tcW w:w="980" w:type="dxa"/>
            <w:shd w:val="clear" w:color="auto" w:fill="auto"/>
            <w:noWrap/>
            <w:vAlign w:val="center"/>
          </w:tcPr>
          <w:p w14:paraId="1330A72F" w14:textId="77777777" w:rsidR="00B15F7D" w:rsidRPr="00990FB6" w:rsidRDefault="00B15F7D" w:rsidP="00B15F7D">
            <w:pPr>
              <w:jc w:val="center"/>
              <w:rPr>
                <w:sz w:val="22"/>
                <w:szCs w:val="22"/>
              </w:rPr>
            </w:pPr>
            <w:r w:rsidRPr="00990FB6">
              <w:rPr>
                <w:sz w:val="22"/>
                <w:szCs w:val="22"/>
              </w:rPr>
              <w:t>1050-PLA-MI-2021</w:t>
            </w:r>
          </w:p>
        </w:tc>
      </w:tr>
      <w:tr w:rsidR="00B15F7D" w:rsidRPr="00990FB6" w14:paraId="1F96A818" w14:textId="77777777" w:rsidTr="00254CD4">
        <w:trPr>
          <w:trHeight w:val="310"/>
          <w:jc w:val="center"/>
        </w:trPr>
        <w:tc>
          <w:tcPr>
            <w:tcW w:w="1696" w:type="dxa"/>
            <w:shd w:val="clear" w:color="auto" w:fill="D9E2F3"/>
            <w:vAlign w:val="center"/>
          </w:tcPr>
          <w:p w14:paraId="740BC2E2"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0" w:type="auto"/>
            <w:shd w:val="clear" w:color="auto" w:fill="auto"/>
            <w:noWrap/>
            <w:vAlign w:val="center"/>
          </w:tcPr>
          <w:p w14:paraId="02405CE1" w14:textId="77777777" w:rsidR="00B15F7D" w:rsidRPr="00990FB6" w:rsidRDefault="00B15F7D" w:rsidP="00B15F7D">
            <w:pPr>
              <w:jc w:val="center"/>
              <w:rPr>
                <w:sz w:val="22"/>
                <w:szCs w:val="22"/>
                <w:lang w:eastAsia="es-CR"/>
              </w:rPr>
            </w:pPr>
            <w:r w:rsidRPr="00990FB6">
              <w:rPr>
                <w:sz w:val="22"/>
                <w:szCs w:val="22"/>
                <w:lang w:eastAsia="es-CR"/>
              </w:rPr>
              <w:t>3</w:t>
            </w:r>
          </w:p>
        </w:tc>
        <w:tc>
          <w:tcPr>
            <w:tcW w:w="0" w:type="auto"/>
            <w:shd w:val="clear" w:color="auto" w:fill="auto"/>
            <w:noWrap/>
            <w:vAlign w:val="center"/>
          </w:tcPr>
          <w:p w14:paraId="7A37D21E" w14:textId="77777777" w:rsidR="00B15F7D" w:rsidRPr="00990FB6" w:rsidRDefault="00B15F7D" w:rsidP="00B15F7D">
            <w:pPr>
              <w:jc w:val="center"/>
              <w:rPr>
                <w:sz w:val="22"/>
                <w:szCs w:val="22"/>
                <w:lang w:eastAsia="es-CR"/>
              </w:rPr>
            </w:pPr>
            <w:r w:rsidRPr="00990FB6">
              <w:rPr>
                <w:sz w:val="22"/>
                <w:szCs w:val="22"/>
                <w:lang w:eastAsia="es-CR"/>
              </w:rPr>
              <w:t>4</w:t>
            </w:r>
          </w:p>
        </w:tc>
        <w:tc>
          <w:tcPr>
            <w:tcW w:w="1288" w:type="dxa"/>
            <w:shd w:val="clear" w:color="auto" w:fill="auto"/>
            <w:noWrap/>
            <w:vAlign w:val="center"/>
          </w:tcPr>
          <w:p w14:paraId="4A84B373" w14:textId="77777777" w:rsidR="00B15F7D" w:rsidRPr="00990FB6" w:rsidRDefault="00B15F7D" w:rsidP="00B15F7D">
            <w:pPr>
              <w:jc w:val="center"/>
              <w:rPr>
                <w:b/>
                <w:bCs/>
                <w:sz w:val="22"/>
                <w:szCs w:val="22"/>
                <w:lang w:eastAsia="es-CR"/>
              </w:rPr>
            </w:pPr>
            <w:r w:rsidRPr="00990FB6">
              <w:rPr>
                <w:b/>
                <w:bCs/>
                <w:sz w:val="22"/>
                <w:szCs w:val="22"/>
              </w:rPr>
              <w:t>₡</w:t>
            </w:r>
            <w:bookmarkStart w:id="49" w:name="_Hlk126922419"/>
            <w:r w:rsidRPr="00990FB6">
              <w:rPr>
                <w:b/>
                <w:bCs/>
                <w:sz w:val="22"/>
                <w:szCs w:val="22"/>
              </w:rPr>
              <w:t>130 626 000</w:t>
            </w:r>
            <w:bookmarkEnd w:id="49"/>
            <w:r w:rsidRPr="00990FB6">
              <w:rPr>
                <w:b/>
                <w:bCs/>
                <w:sz w:val="22"/>
                <w:szCs w:val="22"/>
              </w:rPr>
              <w:t>,00</w:t>
            </w:r>
          </w:p>
        </w:tc>
        <w:tc>
          <w:tcPr>
            <w:tcW w:w="1175" w:type="dxa"/>
            <w:shd w:val="clear" w:color="auto" w:fill="auto"/>
            <w:noWrap/>
            <w:vAlign w:val="center"/>
          </w:tcPr>
          <w:p w14:paraId="5FE51892" w14:textId="77777777" w:rsidR="00B15F7D" w:rsidRPr="00990FB6" w:rsidRDefault="00B15F7D" w:rsidP="00B15F7D">
            <w:pPr>
              <w:jc w:val="center"/>
              <w:rPr>
                <w:b/>
                <w:bCs/>
                <w:sz w:val="22"/>
                <w:szCs w:val="22"/>
                <w:lang w:eastAsia="es-CR"/>
              </w:rPr>
            </w:pPr>
            <w:r w:rsidRPr="00990FB6">
              <w:rPr>
                <w:b/>
                <w:bCs/>
                <w:sz w:val="22"/>
                <w:szCs w:val="22"/>
              </w:rPr>
              <w:t>₡38 826 000,00</w:t>
            </w:r>
          </w:p>
        </w:tc>
        <w:tc>
          <w:tcPr>
            <w:tcW w:w="0" w:type="auto"/>
            <w:shd w:val="clear" w:color="auto" w:fill="auto"/>
            <w:noWrap/>
            <w:vAlign w:val="center"/>
          </w:tcPr>
          <w:p w14:paraId="72EC720D" w14:textId="77777777" w:rsidR="00B15F7D" w:rsidRPr="00990FB6" w:rsidRDefault="00B15F7D" w:rsidP="00B15F7D">
            <w:pPr>
              <w:jc w:val="center"/>
              <w:rPr>
                <w:b/>
                <w:bCs/>
                <w:sz w:val="22"/>
                <w:szCs w:val="22"/>
                <w:lang w:eastAsia="es-CR"/>
              </w:rPr>
            </w:pPr>
            <w:r w:rsidRPr="00990FB6">
              <w:rPr>
                <w:b/>
                <w:bCs/>
                <w:sz w:val="22"/>
                <w:szCs w:val="22"/>
              </w:rPr>
              <w:t>₡3 599 127,00</w:t>
            </w:r>
          </w:p>
        </w:tc>
        <w:tc>
          <w:tcPr>
            <w:tcW w:w="1026" w:type="dxa"/>
            <w:shd w:val="clear" w:color="auto" w:fill="auto"/>
            <w:noWrap/>
            <w:vAlign w:val="center"/>
          </w:tcPr>
          <w:p w14:paraId="73E054D4" w14:textId="77777777" w:rsidR="00B15F7D" w:rsidRPr="00990FB6" w:rsidRDefault="00B15F7D" w:rsidP="00B15F7D">
            <w:pPr>
              <w:jc w:val="center"/>
              <w:rPr>
                <w:b/>
                <w:bCs/>
                <w:sz w:val="22"/>
                <w:szCs w:val="22"/>
                <w:lang w:eastAsia="es-CR"/>
              </w:rPr>
            </w:pPr>
            <w:r w:rsidRPr="00990FB6">
              <w:rPr>
                <w:b/>
                <w:bCs/>
                <w:sz w:val="22"/>
                <w:szCs w:val="22"/>
              </w:rPr>
              <w:t>₡411 420,00</w:t>
            </w:r>
          </w:p>
        </w:tc>
        <w:tc>
          <w:tcPr>
            <w:tcW w:w="0" w:type="auto"/>
            <w:vAlign w:val="center"/>
          </w:tcPr>
          <w:p w14:paraId="00234FD1" w14:textId="77777777" w:rsidR="00B15F7D" w:rsidRPr="00990FB6" w:rsidRDefault="00B15F7D" w:rsidP="00B15F7D">
            <w:pPr>
              <w:jc w:val="center"/>
              <w:rPr>
                <w:b/>
                <w:bCs/>
                <w:sz w:val="22"/>
                <w:szCs w:val="22"/>
              </w:rPr>
            </w:pPr>
            <w:r w:rsidRPr="00990FB6">
              <w:rPr>
                <w:b/>
                <w:bCs/>
                <w:sz w:val="22"/>
                <w:szCs w:val="22"/>
              </w:rPr>
              <w:t>₡173 462 547,00</w:t>
            </w:r>
          </w:p>
        </w:tc>
        <w:tc>
          <w:tcPr>
            <w:tcW w:w="980" w:type="dxa"/>
            <w:shd w:val="clear" w:color="auto" w:fill="auto"/>
            <w:noWrap/>
            <w:vAlign w:val="center"/>
          </w:tcPr>
          <w:p w14:paraId="65B9AFB5" w14:textId="77777777" w:rsidR="00B15F7D" w:rsidRPr="00990FB6" w:rsidRDefault="00B15F7D" w:rsidP="00B15F7D">
            <w:pPr>
              <w:jc w:val="center"/>
              <w:rPr>
                <w:b/>
                <w:bCs/>
                <w:sz w:val="22"/>
                <w:szCs w:val="22"/>
                <w:lang w:eastAsia="es-CR"/>
              </w:rPr>
            </w:pPr>
          </w:p>
        </w:tc>
      </w:tr>
    </w:tbl>
    <w:p w14:paraId="71BB73D0" w14:textId="77777777" w:rsidR="00B15F7D" w:rsidRPr="00990FB6" w:rsidRDefault="00B15F7D" w:rsidP="00B15F7D">
      <w:pPr>
        <w:ind w:left="851" w:right="851" w:firstLine="709"/>
        <w:jc w:val="both"/>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3F56DD43" w14:textId="77777777" w:rsidR="00B15F7D" w:rsidRPr="00990FB6" w:rsidRDefault="00B15F7D" w:rsidP="00B15F7D">
      <w:pPr>
        <w:ind w:left="851" w:right="851" w:firstLine="709"/>
        <w:jc w:val="both"/>
        <w:rPr>
          <w:sz w:val="22"/>
          <w:szCs w:val="22"/>
        </w:rPr>
      </w:pPr>
    </w:p>
    <w:p w14:paraId="02731FFF" w14:textId="77777777" w:rsidR="00B15F7D" w:rsidRPr="00990FB6" w:rsidRDefault="00B15F7D" w:rsidP="00B15F7D">
      <w:pPr>
        <w:ind w:left="851" w:right="851" w:firstLine="709"/>
        <w:jc w:val="both"/>
        <w:rPr>
          <w:sz w:val="22"/>
          <w:szCs w:val="22"/>
        </w:rPr>
      </w:pPr>
      <w:r w:rsidRPr="00990FB6">
        <w:rPr>
          <w:sz w:val="22"/>
          <w:szCs w:val="22"/>
        </w:rPr>
        <w:t>Por último, como se aprecia en la tabla anterior, existe el informe técnico realizado por la Dirección de Planificación los cuales fueron revisados y aprobados por el Consejo Superior, en estos se identificó la necesidad de que se recalifique una totalidad de cuatro plazas (2 de persona técnica jurídica a persona fiscal auxiliar, una de persona técnica judicial a persona fiscal auxiliar y una de persona técnica jurídica a persona técnica judicial), adicional a esto se identificó la necesidad de una plaza nueva para persona técnica judicial de la localidad de Santa Cruz, así como en la Fiscalía Adjunta de Heredia, con el fin de contar con estructuras ordinarias formales para enfrentar la demanda en el ingreso de asuntos que reciben esas Fiscalías y evitar el impacto que esto genera en la etapa investigativa de los asuntos, adicional a eso permitiría la disminución en los tiempos de realización de juicios, puesto que se atenderían los asuntos de una forma más expedita por parte de la oficina, tanto para juicios unipersonales como colegiados, así como la atención de estos de forma simultánea en la zona, donde se pueda mejorar el servicio hacia la persona usuaria y descongestionar a las oficinas, así como de evitar incurrir en situaciones como las expuestas en los puntos anteriores, es por ello que se estima una inversión total de ₡169 452 000,00 aproximadamente, para cubrir el faltante de talento humano de ese tipo en esas oficinas, donde el total requerido para cubrir esa necesidad sería de ₡173 462 547,00, donde la diferencia corresponde a la compra de mobiliario y equipo por ₡3 599 127,00, el cual constaría de una sola vez, así como el costo por las licencias de cómputo para las plazas profesionales ₡411 420,00.</w:t>
      </w:r>
    </w:p>
    <w:p w14:paraId="159F2626" w14:textId="77777777" w:rsidR="00B15F7D" w:rsidRPr="00990FB6" w:rsidRDefault="00B15F7D" w:rsidP="00B15F7D">
      <w:pPr>
        <w:ind w:left="851" w:right="851" w:firstLine="709"/>
        <w:jc w:val="both"/>
        <w:rPr>
          <w:sz w:val="22"/>
          <w:szCs w:val="22"/>
        </w:rPr>
      </w:pPr>
    </w:p>
    <w:p w14:paraId="15872F3D" w14:textId="77777777" w:rsidR="00B15F7D" w:rsidRPr="00990FB6" w:rsidRDefault="00B15F7D" w:rsidP="00B15F7D">
      <w:pPr>
        <w:ind w:left="851" w:right="851" w:firstLine="709"/>
        <w:jc w:val="center"/>
        <w:rPr>
          <w:i/>
          <w:iCs/>
          <w:smallCaps/>
          <w:sz w:val="22"/>
          <w:szCs w:val="22"/>
        </w:rPr>
      </w:pPr>
      <w:r w:rsidRPr="00990FB6">
        <w:rPr>
          <w:b/>
          <w:bCs/>
          <w:smallCaps/>
          <w:sz w:val="22"/>
          <w:szCs w:val="22"/>
        </w:rPr>
        <w:t xml:space="preserve">Cuadro </w:t>
      </w:r>
      <w:r w:rsidRPr="00990FB6">
        <w:rPr>
          <w:i/>
          <w:iCs/>
          <w:smallCaps/>
          <w:sz w:val="22"/>
          <w:szCs w:val="22"/>
        </w:rPr>
        <w:fldChar w:fldCharType="begin"/>
      </w:r>
      <w:r w:rsidRPr="00990FB6">
        <w:rPr>
          <w:b/>
          <w:bCs/>
          <w:smallCaps/>
          <w:sz w:val="22"/>
          <w:szCs w:val="22"/>
        </w:rPr>
        <w:instrText xml:space="preserve"> SEQ Escenario \* ARABIC </w:instrText>
      </w:r>
      <w:r w:rsidRPr="00990FB6">
        <w:rPr>
          <w:i/>
          <w:iCs/>
          <w:smallCaps/>
          <w:sz w:val="22"/>
          <w:szCs w:val="22"/>
        </w:rPr>
        <w:fldChar w:fldCharType="separate"/>
      </w:r>
      <w:r w:rsidRPr="00990FB6">
        <w:rPr>
          <w:b/>
          <w:bCs/>
          <w:smallCaps/>
          <w:noProof/>
          <w:sz w:val="22"/>
          <w:szCs w:val="22"/>
        </w:rPr>
        <w:t>5</w:t>
      </w:r>
      <w:r w:rsidRPr="00990FB6">
        <w:rPr>
          <w:i/>
          <w:iCs/>
          <w:smallCaps/>
          <w:sz w:val="22"/>
          <w:szCs w:val="22"/>
        </w:rPr>
        <w:fldChar w:fldCharType="end"/>
      </w:r>
    </w:p>
    <w:p w14:paraId="7E2C00D0" w14:textId="77777777" w:rsidR="00B15F7D" w:rsidRPr="00990FB6" w:rsidRDefault="00B15F7D" w:rsidP="00B15F7D">
      <w:pPr>
        <w:ind w:left="851" w:right="851" w:firstLine="709"/>
        <w:jc w:val="center"/>
        <w:rPr>
          <w:b/>
          <w:bCs/>
          <w:sz w:val="22"/>
          <w:szCs w:val="22"/>
        </w:rPr>
      </w:pPr>
      <w:r w:rsidRPr="00990FB6">
        <w:rPr>
          <w:b/>
          <w:bCs/>
          <w:sz w:val="22"/>
          <w:szCs w:val="22"/>
        </w:rPr>
        <w:t>Tabla resumen de costos por talento humano, mobiliario, equipo y licencias</w:t>
      </w:r>
    </w:p>
    <w:p w14:paraId="79281A9A" w14:textId="77777777" w:rsidR="00B15F7D" w:rsidRPr="00990FB6" w:rsidRDefault="00B15F7D" w:rsidP="00B15F7D">
      <w:pPr>
        <w:ind w:left="851" w:right="851" w:firstLine="709"/>
        <w:jc w:val="center"/>
        <w:rPr>
          <w:b/>
          <w:bCs/>
          <w:sz w:val="22"/>
          <w:szCs w:val="22"/>
        </w:rPr>
      </w:pPr>
      <w:r w:rsidRPr="00990FB6">
        <w:rPr>
          <w:b/>
          <w:bCs/>
          <w:sz w:val="22"/>
          <w:szCs w:val="22"/>
        </w:rPr>
        <w:lastRenderedPageBreak/>
        <w:t>para el personal fiscal, fiscal auxiliar y técnico judicial requerido.</w:t>
      </w:r>
    </w:p>
    <w:p w14:paraId="12918DA5" w14:textId="77777777" w:rsidR="00B15F7D" w:rsidRPr="00990FB6" w:rsidRDefault="00B15F7D" w:rsidP="00B15F7D">
      <w:pPr>
        <w:rPr>
          <w:sz w:val="22"/>
          <w:szCs w:val="22"/>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7"/>
        <w:gridCol w:w="1253"/>
        <w:gridCol w:w="2018"/>
        <w:gridCol w:w="2018"/>
        <w:gridCol w:w="1843"/>
        <w:gridCol w:w="2234"/>
      </w:tblGrid>
      <w:tr w:rsidR="00B15F7D" w:rsidRPr="00990FB6" w14:paraId="2848B7A9" w14:textId="77777777" w:rsidTr="000A0C22">
        <w:trPr>
          <w:trHeight w:val="1086"/>
          <w:jc w:val="center"/>
        </w:trPr>
        <w:tc>
          <w:tcPr>
            <w:tcW w:w="1407" w:type="dxa"/>
            <w:shd w:val="clear" w:color="auto" w:fill="0B64A0"/>
            <w:vAlign w:val="bottom"/>
            <w:hideMark/>
          </w:tcPr>
          <w:p w14:paraId="74F3A49E" w14:textId="77777777" w:rsidR="00B15F7D" w:rsidRPr="00990FB6" w:rsidRDefault="00B15F7D" w:rsidP="00B15F7D">
            <w:pPr>
              <w:jc w:val="center"/>
              <w:rPr>
                <w:b/>
                <w:bCs/>
                <w:sz w:val="22"/>
                <w:szCs w:val="22"/>
                <w:lang w:eastAsia="es-CR"/>
              </w:rPr>
            </w:pPr>
            <w:r w:rsidRPr="00990FB6">
              <w:rPr>
                <w:b/>
                <w:bCs/>
                <w:sz w:val="22"/>
                <w:szCs w:val="22"/>
                <w:lang w:eastAsia="es-CR"/>
              </w:rPr>
              <w:t>Tipo de plaza</w:t>
            </w:r>
          </w:p>
        </w:tc>
        <w:tc>
          <w:tcPr>
            <w:tcW w:w="1253" w:type="dxa"/>
            <w:shd w:val="clear" w:color="auto" w:fill="0B64A0"/>
            <w:vAlign w:val="bottom"/>
            <w:hideMark/>
          </w:tcPr>
          <w:p w14:paraId="41FF2BA6" w14:textId="77777777" w:rsidR="00B15F7D" w:rsidRPr="00990FB6" w:rsidRDefault="00B15F7D" w:rsidP="00B15F7D">
            <w:pPr>
              <w:jc w:val="center"/>
              <w:rPr>
                <w:b/>
                <w:bCs/>
                <w:sz w:val="22"/>
                <w:szCs w:val="22"/>
                <w:lang w:eastAsia="es-CR"/>
              </w:rPr>
            </w:pPr>
            <w:r w:rsidRPr="00990FB6">
              <w:rPr>
                <w:b/>
                <w:bCs/>
                <w:sz w:val="22"/>
                <w:szCs w:val="22"/>
                <w:lang w:eastAsia="es-CR"/>
              </w:rPr>
              <w:t>Cantidad de plazas</w:t>
            </w:r>
          </w:p>
        </w:tc>
        <w:tc>
          <w:tcPr>
            <w:tcW w:w="2018" w:type="dxa"/>
            <w:shd w:val="clear" w:color="auto" w:fill="0B64A0"/>
            <w:vAlign w:val="bottom"/>
          </w:tcPr>
          <w:p w14:paraId="753A48A8" w14:textId="77777777" w:rsidR="00B15F7D" w:rsidRPr="00990FB6" w:rsidRDefault="00B15F7D" w:rsidP="00B15F7D">
            <w:pPr>
              <w:jc w:val="center"/>
              <w:rPr>
                <w:b/>
                <w:bCs/>
                <w:sz w:val="22"/>
                <w:szCs w:val="22"/>
                <w:lang w:eastAsia="es-CR"/>
              </w:rPr>
            </w:pPr>
            <w:r w:rsidRPr="00990FB6">
              <w:rPr>
                <w:b/>
                <w:bCs/>
                <w:sz w:val="22"/>
                <w:szCs w:val="22"/>
                <w:lang w:eastAsia="es-CR"/>
              </w:rPr>
              <w:t>Costo por mensual por el total de puestos</w:t>
            </w:r>
          </w:p>
        </w:tc>
        <w:tc>
          <w:tcPr>
            <w:tcW w:w="2018" w:type="dxa"/>
            <w:shd w:val="clear" w:color="auto" w:fill="0B64A0"/>
            <w:vAlign w:val="bottom"/>
            <w:hideMark/>
          </w:tcPr>
          <w:p w14:paraId="58024E90" w14:textId="77777777" w:rsidR="00B15F7D" w:rsidRPr="00990FB6" w:rsidRDefault="00B15F7D" w:rsidP="00B15F7D">
            <w:pPr>
              <w:jc w:val="center"/>
              <w:rPr>
                <w:b/>
                <w:bCs/>
                <w:sz w:val="22"/>
                <w:szCs w:val="22"/>
                <w:lang w:eastAsia="es-CR"/>
              </w:rPr>
            </w:pPr>
            <w:r w:rsidRPr="00990FB6">
              <w:rPr>
                <w:b/>
                <w:bCs/>
                <w:sz w:val="22"/>
                <w:szCs w:val="22"/>
                <w:lang w:eastAsia="es-CR"/>
              </w:rPr>
              <w:t>Costo anual por el total de puestos</w:t>
            </w:r>
          </w:p>
        </w:tc>
        <w:tc>
          <w:tcPr>
            <w:tcW w:w="1843" w:type="dxa"/>
            <w:shd w:val="clear" w:color="auto" w:fill="0B64A0"/>
            <w:vAlign w:val="bottom"/>
            <w:hideMark/>
          </w:tcPr>
          <w:p w14:paraId="6B8CDC20" w14:textId="77777777" w:rsidR="00B15F7D" w:rsidRPr="00990FB6" w:rsidRDefault="00B15F7D" w:rsidP="00B15F7D">
            <w:pPr>
              <w:jc w:val="center"/>
              <w:rPr>
                <w:b/>
                <w:bCs/>
                <w:sz w:val="22"/>
                <w:szCs w:val="22"/>
                <w:lang w:eastAsia="es-CR"/>
              </w:rPr>
            </w:pPr>
            <w:r w:rsidRPr="00990FB6">
              <w:rPr>
                <w:b/>
                <w:bCs/>
                <w:sz w:val="22"/>
                <w:szCs w:val="22"/>
                <w:lang w:eastAsia="es-CR"/>
              </w:rPr>
              <w:t>Costo por Mobiliario, Licencias y Equipo</w:t>
            </w:r>
          </w:p>
        </w:tc>
        <w:tc>
          <w:tcPr>
            <w:tcW w:w="2234" w:type="dxa"/>
            <w:shd w:val="clear" w:color="auto" w:fill="0B64A0"/>
            <w:vAlign w:val="bottom"/>
            <w:hideMark/>
          </w:tcPr>
          <w:p w14:paraId="15E5B475" w14:textId="77777777" w:rsidR="00B15F7D" w:rsidRPr="00990FB6" w:rsidRDefault="00B15F7D" w:rsidP="00B15F7D">
            <w:pPr>
              <w:jc w:val="center"/>
              <w:rPr>
                <w:b/>
                <w:bCs/>
                <w:sz w:val="22"/>
                <w:szCs w:val="22"/>
                <w:lang w:eastAsia="es-CR"/>
              </w:rPr>
            </w:pPr>
            <w:r w:rsidRPr="00990FB6">
              <w:rPr>
                <w:b/>
                <w:bCs/>
                <w:sz w:val="22"/>
                <w:szCs w:val="22"/>
                <w:lang w:eastAsia="es-CR"/>
              </w:rPr>
              <w:t>Costo Total</w:t>
            </w:r>
          </w:p>
        </w:tc>
      </w:tr>
      <w:tr w:rsidR="00B15F7D" w:rsidRPr="00990FB6" w14:paraId="6922F56F" w14:textId="77777777" w:rsidTr="000A0C22">
        <w:trPr>
          <w:trHeight w:val="310"/>
          <w:jc w:val="center"/>
        </w:trPr>
        <w:tc>
          <w:tcPr>
            <w:tcW w:w="1407" w:type="dxa"/>
            <w:shd w:val="clear" w:color="auto" w:fill="auto"/>
            <w:noWrap/>
            <w:vAlign w:val="bottom"/>
            <w:hideMark/>
          </w:tcPr>
          <w:p w14:paraId="08BA88FE" w14:textId="77777777" w:rsidR="00B15F7D" w:rsidRPr="00990FB6" w:rsidRDefault="00B15F7D" w:rsidP="00B15F7D">
            <w:pPr>
              <w:jc w:val="center"/>
              <w:rPr>
                <w:b/>
                <w:bCs/>
                <w:sz w:val="22"/>
                <w:szCs w:val="22"/>
                <w:lang w:eastAsia="es-CR"/>
              </w:rPr>
            </w:pPr>
            <w:bookmarkStart w:id="50" w:name="_Hlk97105863"/>
            <w:r w:rsidRPr="00990FB6">
              <w:rPr>
                <w:b/>
                <w:bCs/>
                <w:sz w:val="22"/>
                <w:szCs w:val="22"/>
                <w:lang w:eastAsia="es-CR"/>
              </w:rPr>
              <w:t>Fiscal nueva</w:t>
            </w:r>
          </w:p>
        </w:tc>
        <w:tc>
          <w:tcPr>
            <w:tcW w:w="1253" w:type="dxa"/>
            <w:shd w:val="clear" w:color="auto" w:fill="auto"/>
            <w:noWrap/>
            <w:vAlign w:val="bottom"/>
            <w:hideMark/>
          </w:tcPr>
          <w:p w14:paraId="77262D65" w14:textId="77777777" w:rsidR="00B15F7D" w:rsidRPr="00990FB6" w:rsidRDefault="00B15F7D" w:rsidP="00B15F7D">
            <w:pPr>
              <w:jc w:val="center"/>
              <w:rPr>
                <w:b/>
                <w:bCs/>
                <w:sz w:val="22"/>
                <w:szCs w:val="22"/>
                <w:lang w:eastAsia="es-CR"/>
              </w:rPr>
            </w:pPr>
            <w:r w:rsidRPr="00990FB6">
              <w:rPr>
                <w:b/>
                <w:bCs/>
                <w:sz w:val="22"/>
                <w:szCs w:val="22"/>
                <w:lang w:eastAsia="es-CR"/>
              </w:rPr>
              <w:t>22</w:t>
            </w:r>
          </w:p>
        </w:tc>
        <w:tc>
          <w:tcPr>
            <w:tcW w:w="2018" w:type="dxa"/>
            <w:vAlign w:val="bottom"/>
          </w:tcPr>
          <w:p w14:paraId="0EA87394" w14:textId="77777777" w:rsidR="00B15F7D" w:rsidRPr="00990FB6" w:rsidRDefault="00B15F7D" w:rsidP="00B15F7D">
            <w:pPr>
              <w:jc w:val="center"/>
              <w:rPr>
                <w:b/>
                <w:bCs/>
                <w:sz w:val="22"/>
                <w:szCs w:val="22"/>
              </w:rPr>
            </w:pPr>
            <w:r w:rsidRPr="00990FB6">
              <w:rPr>
                <w:b/>
                <w:bCs/>
                <w:sz w:val="22"/>
                <w:szCs w:val="22"/>
              </w:rPr>
              <w:t>₡</w:t>
            </w:r>
            <w:r w:rsidRPr="00990FB6">
              <w:rPr>
                <w:b/>
                <w:bCs/>
                <w:sz w:val="22"/>
                <w:szCs w:val="22"/>
                <w:lang w:eastAsia="es-CR"/>
              </w:rPr>
              <w:t>104 619 167,00</w:t>
            </w:r>
          </w:p>
        </w:tc>
        <w:tc>
          <w:tcPr>
            <w:tcW w:w="2018" w:type="dxa"/>
            <w:shd w:val="clear" w:color="auto" w:fill="auto"/>
            <w:noWrap/>
            <w:vAlign w:val="bottom"/>
            <w:hideMark/>
          </w:tcPr>
          <w:p w14:paraId="6F66C037" w14:textId="77777777" w:rsidR="00B15F7D" w:rsidRPr="00990FB6" w:rsidRDefault="00B15F7D" w:rsidP="00B15F7D">
            <w:pPr>
              <w:jc w:val="center"/>
              <w:rPr>
                <w:b/>
                <w:bCs/>
                <w:sz w:val="22"/>
                <w:szCs w:val="22"/>
                <w:lang w:eastAsia="es-CR"/>
              </w:rPr>
            </w:pPr>
            <w:r w:rsidRPr="00990FB6">
              <w:rPr>
                <w:b/>
                <w:bCs/>
                <w:sz w:val="22"/>
                <w:szCs w:val="22"/>
              </w:rPr>
              <w:t>₡</w:t>
            </w:r>
            <w:r w:rsidRPr="00990FB6">
              <w:rPr>
                <w:b/>
                <w:bCs/>
                <w:sz w:val="22"/>
                <w:szCs w:val="22"/>
                <w:lang w:eastAsia="es-CR"/>
              </w:rPr>
              <w:t>1 255 430 000,00</w:t>
            </w:r>
          </w:p>
        </w:tc>
        <w:tc>
          <w:tcPr>
            <w:tcW w:w="1843" w:type="dxa"/>
            <w:shd w:val="clear" w:color="auto" w:fill="auto"/>
            <w:noWrap/>
            <w:vAlign w:val="bottom"/>
            <w:hideMark/>
          </w:tcPr>
          <w:p w14:paraId="53E8FACF" w14:textId="77777777" w:rsidR="00B15F7D" w:rsidRPr="00990FB6" w:rsidRDefault="00B15F7D" w:rsidP="00B15F7D">
            <w:pPr>
              <w:jc w:val="center"/>
              <w:rPr>
                <w:b/>
                <w:bCs/>
                <w:sz w:val="22"/>
                <w:szCs w:val="22"/>
                <w:lang w:eastAsia="es-CR"/>
              </w:rPr>
            </w:pPr>
            <w:r w:rsidRPr="00990FB6">
              <w:rPr>
                <w:b/>
                <w:bCs/>
                <w:sz w:val="22"/>
                <w:szCs w:val="22"/>
              </w:rPr>
              <w:t>₡</w:t>
            </w:r>
            <w:r w:rsidRPr="00990FB6">
              <w:rPr>
                <w:b/>
                <w:bCs/>
                <w:sz w:val="22"/>
                <w:szCs w:val="22"/>
                <w:lang w:eastAsia="es-CR"/>
              </w:rPr>
              <w:t>26 307 313,00</w:t>
            </w:r>
          </w:p>
        </w:tc>
        <w:tc>
          <w:tcPr>
            <w:tcW w:w="2234" w:type="dxa"/>
            <w:shd w:val="clear" w:color="auto" w:fill="auto"/>
            <w:noWrap/>
            <w:vAlign w:val="bottom"/>
            <w:hideMark/>
          </w:tcPr>
          <w:p w14:paraId="2BEAC8B8" w14:textId="77777777" w:rsidR="00B15F7D" w:rsidRPr="00990FB6" w:rsidRDefault="00B15F7D" w:rsidP="00B15F7D">
            <w:pPr>
              <w:jc w:val="center"/>
              <w:rPr>
                <w:b/>
                <w:bCs/>
                <w:sz w:val="22"/>
                <w:szCs w:val="22"/>
                <w:lang w:eastAsia="es-CR"/>
              </w:rPr>
            </w:pPr>
            <w:r w:rsidRPr="00990FB6">
              <w:rPr>
                <w:b/>
                <w:bCs/>
                <w:sz w:val="22"/>
                <w:szCs w:val="22"/>
              </w:rPr>
              <w:t>₡</w:t>
            </w:r>
            <w:r w:rsidRPr="00990FB6">
              <w:rPr>
                <w:b/>
                <w:bCs/>
                <w:sz w:val="22"/>
                <w:szCs w:val="22"/>
                <w:lang w:eastAsia="es-CR"/>
              </w:rPr>
              <w:t>1 281 737 313,00</w:t>
            </w:r>
          </w:p>
        </w:tc>
      </w:tr>
      <w:tr w:rsidR="00B15F7D" w:rsidRPr="00990FB6" w14:paraId="0662B20C" w14:textId="77777777" w:rsidTr="000A0C22">
        <w:trPr>
          <w:trHeight w:val="310"/>
          <w:jc w:val="center"/>
        </w:trPr>
        <w:tc>
          <w:tcPr>
            <w:tcW w:w="1407" w:type="dxa"/>
            <w:shd w:val="clear" w:color="auto" w:fill="auto"/>
            <w:noWrap/>
            <w:vAlign w:val="bottom"/>
          </w:tcPr>
          <w:p w14:paraId="7D2EA52C" w14:textId="77777777" w:rsidR="00B15F7D" w:rsidRPr="00990FB6" w:rsidRDefault="00B15F7D" w:rsidP="00B15F7D">
            <w:pPr>
              <w:jc w:val="center"/>
              <w:rPr>
                <w:b/>
                <w:bCs/>
                <w:sz w:val="22"/>
                <w:szCs w:val="22"/>
                <w:lang w:eastAsia="es-CR"/>
              </w:rPr>
            </w:pPr>
            <w:r w:rsidRPr="00990FB6">
              <w:rPr>
                <w:b/>
                <w:bCs/>
                <w:sz w:val="22"/>
                <w:szCs w:val="22"/>
                <w:lang w:eastAsia="es-CR"/>
              </w:rPr>
              <w:t>Fiscal Auxiliar recalificada</w:t>
            </w:r>
          </w:p>
        </w:tc>
        <w:tc>
          <w:tcPr>
            <w:tcW w:w="1253" w:type="dxa"/>
            <w:shd w:val="clear" w:color="auto" w:fill="auto"/>
            <w:noWrap/>
            <w:vAlign w:val="bottom"/>
          </w:tcPr>
          <w:p w14:paraId="018380E0" w14:textId="77777777" w:rsidR="00B15F7D" w:rsidRPr="00990FB6" w:rsidRDefault="00B15F7D" w:rsidP="00B15F7D">
            <w:pPr>
              <w:jc w:val="center"/>
              <w:rPr>
                <w:b/>
                <w:bCs/>
                <w:sz w:val="22"/>
                <w:szCs w:val="22"/>
                <w:lang w:eastAsia="es-CR"/>
              </w:rPr>
            </w:pPr>
            <w:r w:rsidRPr="00990FB6">
              <w:rPr>
                <w:b/>
                <w:bCs/>
                <w:sz w:val="22"/>
                <w:szCs w:val="22"/>
                <w:lang w:eastAsia="es-CR"/>
              </w:rPr>
              <w:t>3</w:t>
            </w:r>
          </w:p>
        </w:tc>
        <w:tc>
          <w:tcPr>
            <w:tcW w:w="2018" w:type="dxa"/>
            <w:vAlign w:val="bottom"/>
          </w:tcPr>
          <w:p w14:paraId="2CF3B677" w14:textId="77777777" w:rsidR="00B15F7D" w:rsidRPr="00990FB6" w:rsidRDefault="00B15F7D" w:rsidP="00B15F7D">
            <w:pPr>
              <w:jc w:val="center"/>
              <w:rPr>
                <w:b/>
                <w:bCs/>
                <w:sz w:val="22"/>
                <w:szCs w:val="22"/>
              </w:rPr>
            </w:pPr>
            <w:r w:rsidRPr="00990FB6">
              <w:rPr>
                <w:b/>
                <w:bCs/>
                <w:sz w:val="22"/>
                <w:szCs w:val="22"/>
              </w:rPr>
              <w:t>₡10 885 500,00</w:t>
            </w:r>
          </w:p>
        </w:tc>
        <w:tc>
          <w:tcPr>
            <w:tcW w:w="2018" w:type="dxa"/>
            <w:shd w:val="clear" w:color="auto" w:fill="auto"/>
            <w:noWrap/>
            <w:vAlign w:val="bottom"/>
          </w:tcPr>
          <w:p w14:paraId="1CABC9B4" w14:textId="77777777" w:rsidR="00B15F7D" w:rsidRPr="00990FB6" w:rsidRDefault="00B15F7D" w:rsidP="00B15F7D">
            <w:pPr>
              <w:jc w:val="center"/>
              <w:rPr>
                <w:b/>
                <w:bCs/>
                <w:sz w:val="22"/>
                <w:szCs w:val="22"/>
              </w:rPr>
            </w:pPr>
            <w:r w:rsidRPr="00990FB6">
              <w:rPr>
                <w:b/>
                <w:bCs/>
                <w:sz w:val="22"/>
                <w:szCs w:val="22"/>
              </w:rPr>
              <w:t>₡130 626 000,00</w:t>
            </w:r>
          </w:p>
        </w:tc>
        <w:tc>
          <w:tcPr>
            <w:tcW w:w="1843" w:type="dxa"/>
            <w:shd w:val="clear" w:color="auto" w:fill="auto"/>
            <w:noWrap/>
            <w:vAlign w:val="bottom"/>
          </w:tcPr>
          <w:p w14:paraId="0565AE89" w14:textId="77777777" w:rsidR="00B15F7D" w:rsidRPr="00990FB6" w:rsidRDefault="00B15F7D" w:rsidP="00B15F7D">
            <w:pPr>
              <w:jc w:val="center"/>
              <w:rPr>
                <w:b/>
                <w:bCs/>
                <w:sz w:val="22"/>
                <w:szCs w:val="22"/>
              </w:rPr>
            </w:pPr>
            <w:r w:rsidRPr="00990FB6">
              <w:rPr>
                <w:b/>
                <w:bCs/>
                <w:sz w:val="22"/>
                <w:szCs w:val="22"/>
              </w:rPr>
              <w:t>₡1 892 708,00</w:t>
            </w:r>
          </w:p>
        </w:tc>
        <w:tc>
          <w:tcPr>
            <w:tcW w:w="2234" w:type="dxa"/>
            <w:shd w:val="clear" w:color="auto" w:fill="auto"/>
            <w:noWrap/>
            <w:vAlign w:val="bottom"/>
          </w:tcPr>
          <w:p w14:paraId="28E57914" w14:textId="77777777" w:rsidR="00B15F7D" w:rsidRPr="00990FB6" w:rsidRDefault="00B15F7D" w:rsidP="00B15F7D">
            <w:pPr>
              <w:jc w:val="center"/>
              <w:rPr>
                <w:b/>
                <w:bCs/>
                <w:sz w:val="22"/>
                <w:szCs w:val="22"/>
              </w:rPr>
            </w:pPr>
            <w:r w:rsidRPr="00990FB6">
              <w:rPr>
                <w:b/>
                <w:bCs/>
                <w:sz w:val="22"/>
                <w:szCs w:val="22"/>
              </w:rPr>
              <w:t>₡132 518 708,00</w:t>
            </w:r>
          </w:p>
        </w:tc>
      </w:tr>
      <w:bookmarkEnd w:id="50"/>
      <w:tr w:rsidR="00B15F7D" w:rsidRPr="00990FB6" w14:paraId="6E10CAD1" w14:textId="77777777" w:rsidTr="000A0C22">
        <w:trPr>
          <w:trHeight w:val="310"/>
          <w:jc w:val="center"/>
        </w:trPr>
        <w:tc>
          <w:tcPr>
            <w:tcW w:w="1407" w:type="dxa"/>
            <w:shd w:val="clear" w:color="auto" w:fill="auto"/>
            <w:noWrap/>
            <w:vAlign w:val="bottom"/>
          </w:tcPr>
          <w:p w14:paraId="135533EB" w14:textId="77777777" w:rsidR="00B15F7D" w:rsidRPr="00990FB6" w:rsidRDefault="00B15F7D" w:rsidP="00B15F7D">
            <w:pPr>
              <w:jc w:val="center"/>
              <w:rPr>
                <w:b/>
                <w:bCs/>
                <w:sz w:val="22"/>
                <w:szCs w:val="22"/>
                <w:lang w:eastAsia="es-CR"/>
              </w:rPr>
            </w:pPr>
            <w:r w:rsidRPr="00990FB6">
              <w:rPr>
                <w:b/>
                <w:bCs/>
                <w:sz w:val="22"/>
                <w:szCs w:val="22"/>
                <w:lang w:eastAsia="es-CR"/>
              </w:rPr>
              <w:t>Técnica Judicial nueva</w:t>
            </w:r>
          </w:p>
        </w:tc>
        <w:tc>
          <w:tcPr>
            <w:tcW w:w="1253" w:type="dxa"/>
            <w:shd w:val="clear" w:color="auto" w:fill="auto"/>
            <w:noWrap/>
            <w:vAlign w:val="bottom"/>
          </w:tcPr>
          <w:p w14:paraId="46B56705" w14:textId="77777777" w:rsidR="00B15F7D" w:rsidRPr="00990FB6" w:rsidRDefault="00B15F7D" w:rsidP="00B15F7D">
            <w:pPr>
              <w:jc w:val="center"/>
              <w:rPr>
                <w:b/>
                <w:bCs/>
                <w:sz w:val="22"/>
                <w:szCs w:val="22"/>
                <w:lang w:eastAsia="es-CR"/>
              </w:rPr>
            </w:pPr>
            <w:r w:rsidRPr="00990FB6">
              <w:rPr>
                <w:b/>
                <w:bCs/>
                <w:sz w:val="22"/>
                <w:szCs w:val="22"/>
                <w:lang w:eastAsia="es-CR"/>
              </w:rPr>
              <w:t>7</w:t>
            </w:r>
          </w:p>
        </w:tc>
        <w:tc>
          <w:tcPr>
            <w:tcW w:w="2018" w:type="dxa"/>
            <w:vAlign w:val="bottom"/>
          </w:tcPr>
          <w:p w14:paraId="383E0631" w14:textId="77777777" w:rsidR="00B15F7D" w:rsidRPr="00990FB6" w:rsidRDefault="00B15F7D" w:rsidP="00B15F7D">
            <w:pPr>
              <w:jc w:val="center"/>
              <w:rPr>
                <w:b/>
                <w:bCs/>
                <w:sz w:val="22"/>
                <w:szCs w:val="22"/>
              </w:rPr>
            </w:pPr>
            <w:r w:rsidRPr="00990FB6">
              <w:rPr>
                <w:b/>
                <w:bCs/>
                <w:sz w:val="22"/>
                <w:szCs w:val="22"/>
              </w:rPr>
              <w:t>₡9 301 250,00</w:t>
            </w:r>
          </w:p>
        </w:tc>
        <w:tc>
          <w:tcPr>
            <w:tcW w:w="2018" w:type="dxa"/>
            <w:shd w:val="clear" w:color="auto" w:fill="auto"/>
            <w:noWrap/>
            <w:vAlign w:val="bottom"/>
          </w:tcPr>
          <w:p w14:paraId="3E806004" w14:textId="77777777" w:rsidR="00B15F7D" w:rsidRPr="00990FB6" w:rsidRDefault="00B15F7D" w:rsidP="00B15F7D">
            <w:pPr>
              <w:jc w:val="center"/>
              <w:rPr>
                <w:b/>
                <w:bCs/>
                <w:sz w:val="22"/>
                <w:szCs w:val="22"/>
              </w:rPr>
            </w:pPr>
            <w:r w:rsidRPr="00990FB6">
              <w:rPr>
                <w:b/>
                <w:bCs/>
                <w:sz w:val="22"/>
                <w:szCs w:val="22"/>
              </w:rPr>
              <w:t>₡111 615 000,00</w:t>
            </w:r>
          </w:p>
        </w:tc>
        <w:tc>
          <w:tcPr>
            <w:tcW w:w="1843" w:type="dxa"/>
            <w:shd w:val="clear" w:color="auto" w:fill="auto"/>
            <w:noWrap/>
            <w:vAlign w:val="bottom"/>
          </w:tcPr>
          <w:p w14:paraId="5DF0479A" w14:textId="77777777" w:rsidR="00B15F7D" w:rsidRPr="00990FB6" w:rsidRDefault="00B15F7D" w:rsidP="00B15F7D">
            <w:pPr>
              <w:jc w:val="center"/>
              <w:rPr>
                <w:b/>
                <w:bCs/>
                <w:sz w:val="22"/>
                <w:szCs w:val="22"/>
              </w:rPr>
            </w:pPr>
            <w:r w:rsidRPr="00990FB6">
              <w:rPr>
                <w:b/>
                <w:bCs/>
                <w:sz w:val="22"/>
                <w:szCs w:val="22"/>
              </w:rPr>
              <w:t>₡7 412 438,00</w:t>
            </w:r>
          </w:p>
        </w:tc>
        <w:tc>
          <w:tcPr>
            <w:tcW w:w="2234" w:type="dxa"/>
            <w:shd w:val="clear" w:color="auto" w:fill="auto"/>
            <w:noWrap/>
            <w:vAlign w:val="bottom"/>
          </w:tcPr>
          <w:p w14:paraId="65F7CA17" w14:textId="77777777" w:rsidR="00B15F7D" w:rsidRPr="00990FB6" w:rsidRDefault="00B15F7D" w:rsidP="00B15F7D">
            <w:pPr>
              <w:jc w:val="center"/>
              <w:rPr>
                <w:b/>
                <w:bCs/>
                <w:sz w:val="22"/>
                <w:szCs w:val="22"/>
              </w:rPr>
            </w:pPr>
            <w:r w:rsidRPr="00990FB6">
              <w:rPr>
                <w:b/>
                <w:bCs/>
                <w:sz w:val="22"/>
                <w:szCs w:val="22"/>
              </w:rPr>
              <w:t>₡119 027 438,00</w:t>
            </w:r>
          </w:p>
        </w:tc>
      </w:tr>
      <w:tr w:rsidR="00B15F7D" w:rsidRPr="00990FB6" w14:paraId="2373EE23" w14:textId="77777777" w:rsidTr="000A0C22">
        <w:trPr>
          <w:trHeight w:val="310"/>
          <w:jc w:val="center"/>
        </w:trPr>
        <w:tc>
          <w:tcPr>
            <w:tcW w:w="1407" w:type="dxa"/>
            <w:shd w:val="clear" w:color="auto" w:fill="auto"/>
            <w:noWrap/>
            <w:vAlign w:val="bottom"/>
          </w:tcPr>
          <w:p w14:paraId="15419470" w14:textId="77777777" w:rsidR="00B15F7D" w:rsidRPr="00990FB6" w:rsidRDefault="00B15F7D" w:rsidP="00B15F7D">
            <w:pPr>
              <w:jc w:val="center"/>
              <w:rPr>
                <w:b/>
                <w:bCs/>
                <w:sz w:val="22"/>
                <w:szCs w:val="22"/>
                <w:lang w:eastAsia="es-CR"/>
              </w:rPr>
            </w:pPr>
            <w:r w:rsidRPr="00990FB6">
              <w:rPr>
                <w:b/>
                <w:bCs/>
                <w:sz w:val="22"/>
                <w:szCs w:val="22"/>
                <w:lang w:eastAsia="es-CR"/>
              </w:rPr>
              <w:t>Técnica Judicial recalificada</w:t>
            </w:r>
          </w:p>
        </w:tc>
        <w:tc>
          <w:tcPr>
            <w:tcW w:w="1253" w:type="dxa"/>
            <w:shd w:val="clear" w:color="auto" w:fill="auto"/>
            <w:noWrap/>
            <w:vAlign w:val="bottom"/>
          </w:tcPr>
          <w:p w14:paraId="0FE83E5E"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2018" w:type="dxa"/>
            <w:vAlign w:val="bottom"/>
          </w:tcPr>
          <w:p w14:paraId="5BAD6008" w14:textId="77777777" w:rsidR="00B15F7D" w:rsidRPr="00990FB6" w:rsidRDefault="00B15F7D" w:rsidP="00B15F7D">
            <w:pPr>
              <w:jc w:val="center"/>
              <w:rPr>
                <w:b/>
                <w:bCs/>
                <w:sz w:val="22"/>
                <w:szCs w:val="22"/>
              </w:rPr>
            </w:pPr>
            <w:r w:rsidRPr="00990FB6">
              <w:rPr>
                <w:b/>
                <w:bCs/>
                <w:sz w:val="22"/>
                <w:szCs w:val="22"/>
              </w:rPr>
              <w:t>₡578 000,00</w:t>
            </w:r>
          </w:p>
        </w:tc>
        <w:tc>
          <w:tcPr>
            <w:tcW w:w="2018" w:type="dxa"/>
            <w:shd w:val="clear" w:color="auto" w:fill="auto"/>
            <w:noWrap/>
            <w:vAlign w:val="bottom"/>
          </w:tcPr>
          <w:p w14:paraId="254A027A" w14:textId="77777777" w:rsidR="00B15F7D" w:rsidRPr="00990FB6" w:rsidRDefault="00B15F7D" w:rsidP="00B15F7D">
            <w:pPr>
              <w:jc w:val="center"/>
              <w:rPr>
                <w:b/>
                <w:bCs/>
                <w:sz w:val="22"/>
                <w:szCs w:val="22"/>
              </w:rPr>
            </w:pPr>
            <w:r w:rsidRPr="00990FB6">
              <w:rPr>
                <w:b/>
                <w:bCs/>
                <w:sz w:val="22"/>
                <w:szCs w:val="22"/>
              </w:rPr>
              <w:t>₡6 936 000,00</w:t>
            </w:r>
          </w:p>
        </w:tc>
        <w:tc>
          <w:tcPr>
            <w:tcW w:w="1843" w:type="dxa"/>
            <w:shd w:val="clear" w:color="auto" w:fill="auto"/>
            <w:noWrap/>
            <w:vAlign w:val="bottom"/>
          </w:tcPr>
          <w:p w14:paraId="234DC78E" w14:textId="77777777" w:rsidR="00B15F7D" w:rsidRPr="00990FB6" w:rsidRDefault="00B15F7D" w:rsidP="00B15F7D">
            <w:pPr>
              <w:jc w:val="center"/>
              <w:rPr>
                <w:b/>
                <w:bCs/>
                <w:sz w:val="22"/>
                <w:szCs w:val="22"/>
              </w:rPr>
            </w:pPr>
            <w:r w:rsidRPr="00990FB6">
              <w:rPr>
                <w:b/>
                <w:bCs/>
                <w:sz w:val="22"/>
                <w:szCs w:val="22"/>
              </w:rPr>
              <w:t>₡0,00</w:t>
            </w:r>
          </w:p>
        </w:tc>
        <w:tc>
          <w:tcPr>
            <w:tcW w:w="2234" w:type="dxa"/>
            <w:shd w:val="clear" w:color="auto" w:fill="auto"/>
            <w:noWrap/>
            <w:vAlign w:val="bottom"/>
          </w:tcPr>
          <w:p w14:paraId="79ED6621" w14:textId="77777777" w:rsidR="00B15F7D" w:rsidRPr="00990FB6" w:rsidRDefault="00B15F7D" w:rsidP="00B15F7D">
            <w:pPr>
              <w:jc w:val="center"/>
              <w:rPr>
                <w:b/>
                <w:bCs/>
                <w:sz w:val="22"/>
                <w:szCs w:val="22"/>
              </w:rPr>
            </w:pPr>
            <w:r w:rsidRPr="00990FB6">
              <w:rPr>
                <w:b/>
                <w:bCs/>
                <w:sz w:val="22"/>
                <w:szCs w:val="22"/>
              </w:rPr>
              <w:t>₡6 936 000,00</w:t>
            </w:r>
          </w:p>
        </w:tc>
      </w:tr>
      <w:tr w:rsidR="00B15F7D" w:rsidRPr="00990FB6" w14:paraId="4C6B0644" w14:textId="77777777" w:rsidTr="000A0C22">
        <w:trPr>
          <w:trHeight w:val="310"/>
          <w:jc w:val="center"/>
        </w:trPr>
        <w:tc>
          <w:tcPr>
            <w:tcW w:w="1407" w:type="dxa"/>
            <w:shd w:val="clear" w:color="auto" w:fill="auto"/>
            <w:noWrap/>
            <w:vAlign w:val="bottom"/>
          </w:tcPr>
          <w:p w14:paraId="318368CB"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1253" w:type="dxa"/>
            <w:shd w:val="clear" w:color="auto" w:fill="auto"/>
            <w:noWrap/>
            <w:vAlign w:val="bottom"/>
          </w:tcPr>
          <w:p w14:paraId="1957F071" w14:textId="77777777" w:rsidR="00B15F7D" w:rsidRPr="00990FB6" w:rsidRDefault="00B15F7D" w:rsidP="00B15F7D">
            <w:pPr>
              <w:jc w:val="center"/>
              <w:rPr>
                <w:b/>
                <w:bCs/>
                <w:sz w:val="22"/>
                <w:szCs w:val="22"/>
                <w:lang w:eastAsia="es-CR"/>
              </w:rPr>
            </w:pPr>
            <w:r w:rsidRPr="00990FB6">
              <w:rPr>
                <w:b/>
                <w:bCs/>
                <w:sz w:val="22"/>
                <w:szCs w:val="22"/>
                <w:lang w:eastAsia="es-CR"/>
              </w:rPr>
              <w:t>33</w:t>
            </w:r>
          </w:p>
        </w:tc>
        <w:tc>
          <w:tcPr>
            <w:tcW w:w="2018" w:type="dxa"/>
            <w:vAlign w:val="bottom"/>
          </w:tcPr>
          <w:p w14:paraId="5DAFD778" w14:textId="77777777" w:rsidR="00B15F7D" w:rsidRPr="00990FB6" w:rsidRDefault="00B15F7D" w:rsidP="00B15F7D">
            <w:pPr>
              <w:jc w:val="center"/>
              <w:rPr>
                <w:b/>
                <w:bCs/>
                <w:sz w:val="22"/>
                <w:szCs w:val="22"/>
              </w:rPr>
            </w:pPr>
            <w:r w:rsidRPr="00990FB6">
              <w:rPr>
                <w:b/>
                <w:bCs/>
                <w:sz w:val="22"/>
                <w:szCs w:val="22"/>
              </w:rPr>
              <w:t>₡125 383 917,00</w:t>
            </w:r>
          </w:p>
        </w:tc>
        <w:tc>
          <w:tcPr>
            <w:tcW w:w="2018" w:type="dxa"/>
            <w:shd w:val="clear" w:color="auto" w:fill="auto"/>
            <w:noWrap/>
            <w:vAlign w:val="bottom"/>
          </w:tcPr>
          <w:p w14:paraId="3DEA0E2E" w14:textId="77777777" w:rsidR="00B15F7D" w:rsidRPr="00990FB6" w:rsidRDefault="00B15F7D" w:rsidP="00B15F7D">
            <w:pPr>
              <w:jc w:val="center"/>
              <w:rPr>
                <w:b/>
                <w:bCs/>
                <w:sz w:val="22"/>
                <w:szCs w:val="22"/>
              </w:rPr>
            </w:pPr>
            <w:r w:rsidRPr="00990FB6">
              <w:rPr>
                <w:b/>
                <w:bCs/>
                <w:sz w:val="22"/>
                <w:szCs w:val="22"/>
              </w:rPr>
              <w:t>₡1 504 607 000,00</w:t>
            </w:r>
          </w:p>
        </w:tc>
        <w:tc>
          <w:tcPr>
            <w:tcW w:w="1843" w:type="dxa"/>
            <w:shd w:val="clear" w:color="auto" w:fill="auto"/>
            <w:noWrap/>
            <w:vAlign w:val="bottom"/>
          </w:tcPr>
          <w:p w14:paraId="572ED0A7" w14:textId="77777777" w:rsidR="00B15F7D" w:rsidRPr="00990FB6" w:rsidRDefault="00B15F7D" w:rsidP="00B15F7D">
            <w:pPr>
              <w:jc w:val="center"/>
              <w:rPr>
                <w:b/>
                <w:sz w:val="22"/>
                <w:szCs w:val="22"/>
                <w:lang w:eastAsia="es-CR"/>
              </w:rPr>
            </w:pPr>
            <w:r w:rsidRPr="00990FB6">
              <w:rPr>
                <w:b/>
                <w:bCs/>
                <w:sz w:val="22"/>
                <w:szCs w:val="22"/>
              </w:rPr>
              <w:t>₡35 612 459,00</w:t>
            </w:r>
          </w:p>
        </w:tc>
        <w:tc>
          <w:tcPr>
            <w:tcW w:w="2234" w:type="dxa"/>
            <w:shd w:val="clear" w:color="auto" w:fill="auto"/>
            <w:noWrap/>
            <w:vAlign w:val="bottom"/>
          </w:tcPr>
          <w:p w14:paraId="3A077D9F" w14:textId="77777777" w:rsidR="00B15F7D" w:rsidRPr="00990FB6" w:rsidRDefault="00B15F7D" w:rsidP="00B15F7D">
            <w:pPr>
              <w:jc w:val="center"/>
              <w:rPr>
                <w:b/>
                <w:bCs/>
                <w:sz w:val="22"/>
                <w:szCs w:val="22"/>
              </w:rPr>
            </w:pPr>
            <w:r w:rsidRPr="00990FB6">
              <w:rPr>
                <w:b/>
                <w:bCs/>
                <w:sz w:val="22"/>
                <w:szCs w:val="22"/>
              </w:rPr>
              <w:t>₡1 540 219 459,00</w:t>
            </w:r>
          </w:p>
        </w:tc>
      </w:tr>
    </w:tbl>
    <w:p w14:paraId="40DC3FCF" w14:textId="77777777" w:rsidR="00B15F7D" w:rsidRPr="00990FB6" w:rsidRDefault="00B15F7D" w:rsidP="00B15F7D">
      <w:pPr>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5C88D19F" w14:textId="77777777" w:rsidR="00B15F7D" w:rsidRPr="00990FB6" w:rsidRDefault="00B15F7D" w:rsidP="00B15F7D">
      <w:pPr>
        <w:ind w:left="851" w:right="851" w:firstLine="709"/>
        <w:jc w:val="both"/>
        <w:rPr>
          <w:sz w:val="22"/>
          <w:szCs w:val="22"/>
        </w:rPr>
      </w:pPr>
    </w:p>
    <w:p w14:paraId="07DEB069" w14:textId="77777777" w:rsidR="00B15F7D" w:rsidRPr="00990FB6" w:rsidRDefault="00B15F7D" w:rsidP="00B15F7D">
      <w:pPr>
        <w:ind w:left="851" w:right="851" w:firstLine="709"/>
        <w:jc w:val="both"/>
        <w:rPr>
          <w:b/>
          <w:sz w:val="22"/>
          <w:szCs w:val="22"/>
        </w:rPr>
      </w:pPr>
      <w:r w:rsidRPr="00990FB6">
        <w:rPr>
          <w:b/>
          <w:sz w:val="22"/>
          <w:szCs w:val="22"/>
        </w:rPr>
        <w:t>Conclusiones</w:t>
      </w:r>
    </w:p>
    <w:p w14:paraId="052251FD" w14:textId="77777777" w:rsidR="00B15F7D" w:rsidRPr="00990FB6" w:rsidRDefault="00B15F7D" w:rsidP="00B15F7D">
      <w:pPr>
        <w:ind w:left="851" w:right="851" w:firstLine="709"/>
        <w:jc w:val="both"/>
        <w:rPr>
          <w:sz w:val="22"/>
          <w:szCs w:val="22"/>
        </w:rPr>
      </w:pPr>
    </w:p>
    <w:p w14:paraId="10AFFFF9" w14:textId="77777777"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rFonts w:eastAsia="Calibri"/>
          <w:sz w:val="22"/>
          <w:szCs w:val="22"/>
        </w:rPr>
        <w:t xml:space="preserve">Existen 22 necesidades de Fiscal de Juicio debido a que la estructura de los Tribunales Penales y su posibilidad de poder realizar juicios simultáneos provoca que la Fiscalía deba cubrir esa demanda con Fiscales Auxiliares lo </w:t>
      </w:r>
      <w:r w:rsidRPr="00990FB6">
        <w:rPr>
          <w:sz w:val="22"/>
          <w:szCs w:val="22"/>
        </w:rPr>
        <w:t>cual</w:t>
      </w:r>
      <w:r w:rsidRPr="00990FB6">
        <w:rPr>
          <w:rFonts w:eastAsia="Calibri"/>
          <w:sz w:val="22"/>
          <w:szCs w:val="22"/>
        </w:rPr>
        <w:t xml:space="preserve"> afecta la calidad de la investigación, al restar tiempo y propiciar no contar con la correcta dirección funcional y preparación de una causa judicial.</w:t>
      </w:r>
    </w:p>
    <w:p w14:paraId="4AFBBB9D" w14:textId="77777777" w:rsidR="00B15F7D" w:rsidRPr="00990FB6" w:rsidRDefault="00B15F7D" w:rsidP="00B15F7D">
      <w:pPr>
        <w:suppressAutoHyphens w:val="0"/>
        <w:ind w:left="1560" w:right="851"/>
        <w:jc w:val="both"/>
        <w:rPr>
          <w:rFonts w:eastAsia="Arial"/>
          <w:sz w:val="22"/>
          <w:szCs w:val="22"/>
        </w:rPr>
      </w:pPr>
    </w:p>
    <w:p w14:paraId="36594CCE" w14:textId="77777777"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rFonts w:eastAsia="Arial"/>
          <w:sz w:val="22"/>
          <w:szCs w:val="22"/>
        </w:rPr>
        <w:t>Se tiene una necesidad en la Fiscalía de Santa Cruz la cual fue plasmada a través del informe 623-PLAMI-2022 del 19 de julio de 2022 emitido por la Dirección de Planificación, conocido y aprobado en la sesión 69-2022 del 16 de agosto de 2022 del Consejo Superior, donde se requiere de:</w:t>
      </w:r>
    </w:p>
    <w:p w14:paraId="1AE43B5A" w14:textId="77777777" w:rsidR="00B15F7D" w:rsidRPr="00990FB6" w:rsidRDefault="00B15F7D" w:rsidP="00B15F7D">
      <w:pPr>
        <w:suppressAutoHyphens w:val="0"/>
        <w:ind w:right="851"/>
        <w:jc w:val="both"/>
        <w:rPr>
          <w:rFonts w:eastAsia="Arial"/>
          <w:sz w:val="22"/>
          <w:szCs w:val="22"/>
        </w:rPr>
      </w:pPr>
    </w:p>
    <w:p w14:paraId="40C5AE3B" w14:textId="77777777" w:rsidR="00B15F7D" w:rsidRPr="00990FB6" w:rsidRDefault="00B15F7D" w:rsidP="00B15F7D">
      <w:pPr>
        <w:numPr>
          <w:ilvl w:val="1"/>
          <w:numId w:val="182"/>
        </w:numPr>
        <w:suppressAutoHyphens w:val="0"/>
        <w:ind w:left="851" w:right="851" w:firstLine="709"/>
        <w:jc w:val="both"/>
        <w:rPr>
          <w:rFonts w:eastAsia="Arial"/>
          <w:sz w:val="22"/>
          <w:szCs w:val="22"/>
        </w:rPr>
      </w:pPr>
      <w:r w:rsidRPr="00990FB6">
        <w:rPr>
          <w:rFonts w:eastAsia="Arial"/>
          <w:sz w:val="22"/>
          <w:szCs w:val="22"/>
        </w:rPr>
        <w:t>1 persona fiscal.</w:t>
      </w:r>
    </w:p>
    <w:p w14:paraId="7AB9F2A9" w14:textId="77777777" w:rsidR="00B15F7D" w:rsidRPr="00990FB6" w:rsidRDefault="00B15F7D" w:rsidP="00B15F7D">
      <w:pPr>
        <w:numPr>
          <w:ilvl w:val="1"/>
          <w:numId w:val="182"/>
        </w:numPr>
        <w:suppressAutoHyphens w:val="0"/>
        <w:ind w:left="851" w:right="851" w:firstLine="709"/>
        <w:jc w:val="both"/>
        <w:rPr>
          <w:rFonts w:eastAsia="Arial"/>
          <w:sz w:val="22"/>
          <w:szCs w:val="22"/>
        </w:rPr>
      </w:pPr>
      <w:r w:rsidRPr="00990FB6">
        <w:rPr>
          <w:rFonts w:eastAsia="Arial"/>
          <w:sz w:val="22"/>
          <w:szCs w:val="22"/>
        </w:rPr>
        <w:t>3 personas fiscales auxiliares.</w:t>
      </w:r>
    </w:p>
    <w:p w14:paraId="4A9F2672" w14:textId="77777777" w:rsidR="00B15F7D" w:rsidRPr="00990FB6" w:rsidRDefault="00B15F7D" w:rsidP="00B15F7D">
      <w:pPr>
        <w:numPr>
          <w:ilvl w:val="1"/>
          <w:numId w:val="182"/>
        </w:numPr>
        <w:suppressAutoHyphens w:val="0"/>
        <w:ind w:left="851" w:right="851" w:firstLine="709"/>
        <w:jc w:val="both"/>
        <w:rPr>
          <w:rFonts w:eastAsia="Arial"/>
          <w:sz w:val="22"/>
          <w:szCs w:val="22"/>
        </w:rPr>
      </w:pPr>
      <w:r w:rsidRPr="00990FB6">
        <w:rPr>
          <w:rFonts w:eastAsia="Arial"/>
          <w:sz w:val="22"/>
          <w:szCs w:val="22"/>
        </w:rPr>
        <w:t>2 personas técnicas judiciales.</w:t>
      </w:r>
    </w:p>
    <w:p w14:paraId="5692B05D" w14:textId="77777777" w:rsidR="00B15F7D" w:rsidRPr="00990FB6" w:rsidRDefault="00B15F7D" w:rsidP="00B15F7D">
      <w:pPr>
        <w:suppressAutoHyphens w:val="0"/>
        <w:ind w:left="851" w:right="851"/>
        <w:jc w:val="both"/>
        <w:rPr>
          <w:rFonts w:eastAsia="Arial"/>
          <w:sz w:val="22"/>
          <w:szCs w:val="22"/>
        </w:rPr>
      </w:pPr>
    </w:p>
    <w:p w14:paraId="5484CE87" w14:textId="77777777" w:rsidR="00B15F7D" w:rsidRPr="00990FB6" w:rsidRDefault="00B15F7D" w:rsidP="00B15F7D">
      <w:pPr>
        <w:ind w:left="851" w:right="851" w:firstLine="709"/>
        <w:jc w:val="both"/>
        <w:rPr>
          <w:rFonts w:eastAsia="Arial"/>
          <w:sz w:val="22"/>
          <w:szCs w:val="22"/>
        </w:rPr>
      </w:pPr>
      <w:r w:rsidRPr="00990FB6">
        <w:rPr>
          <w:rFonts w:eastAsia="Arial"/>
          <w:sz w:val="22"/>
          <w:szCs w:val="22"/>
        </w:rPr>
        <w:t>Situación que representa la operatividad de la oficina en alrededor del 50% de lo que debería ser debido a la carga laboral que esta recibe.</w:t>
      </w:r>
    </w:p>
    <w:p w14:paraId="05F3FCB8" w14:textId="77777777" w:rsidR="00B15F7D" w:rsidRPr="00990FB6" w:rsidRDefault="00B15F7D" w:rsidP="00B15F7D">
      <w:pPr>
        <w:ind w:right="851"/>
        <w:jc w:val="both"/>
        <w:rPr>
          <w:rFonts w:eastAsia="Arial"/>
          <w:sz w:val="22"/>
          <w:szCs w:val="22"/>
        </w:rPr>
      </w:pPr>
    </w:p>
    <w:p w14:paraId="7C32D2FE" w14:textId="77777777"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rFonts w:eastAsia="Calibri"/>
          <w:sz w:val="22"/>
          <w:szCs w:val="22"/>
        </w:rPr>
        <w:t xml:space="preserve">A nivel nacional se tienen 19 Fiscalías que no tienen en su estructura la cantidad de Fiscales de Juicio suficientes para poder cumplir con la demanda de servicios de los Tribunales Penales, lo cual se está </w:t>
      </w:r>
      <w:r w:rsidRPr="00990FB6">
        <w:rPr>
          <w:rFonts w:eastAsia="Calibri"/>
          <w:sz w:val="22"/>
          <w:szCs w:val="22"/>
        </w:rPr>
        <w:lastRenderedPageBreak/>
        <w:t>desarrollando</w:t>
      </w:r>
      <w:r w:rsidRPr="00990FB6">
        <w:rPr>
          <w:sz w:val="22"/>
          <w:szCs w:val="22"/>
        </w:rPr>
        <w:t>,</w:t>
      </w:r>
      <w:r w:rsidRPr="00990FB6">
        <w:rPr>
          <w:rFonts w:eastAsia="Calibri"/>
          <w:sz w:val="22"/>
          <w:szCs w:val="22"/>
        </w:rPr>
        <w:t xml:space="preserve"> pero con una afectación en la etapa preparatoria e intermedia, lo que impacta en los tiempos de respuesta e impulso de la investigación</w:t>
      </w:r>
    </w:p>
    <w:p w14:paraId="44D5444C" w14:textId="77777777" w:rsidR="00B15F7D" w:rsidRPr="00990FB6" w:rsidRDefault="00B15F7D" w:rsidP="00B15F7D">
      <w:pPr>
        <w:suppressAutoHyphens w:val="0"/>
        <w:ind w:left="851" w:right="851"/>
        <w:jc w:val="both"/>
        <w:rPr>
          <w:rFonts w:eastAsia="Arial"/>
          <w:sz w:val="22"/>
          <w:szCs w:val="22"/>
        </w:rPr>
      </w:pPr>
    </w:p>
    <w:p w14:paraId="44A9F259" w14:textId="77777777"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rFonts w:eastAsia="Calibri"/>
          <w:sz w:val="22"/>
          <w:szCs w:val="22"/>
        </w:rPr>
        <w:t xml:space="preserve">Se tienen 7 Fiscalías que hoy en día suplen su carencia de </w:t>
      </w:r>
      <w:r w:rsidRPr="00990FB6">
        <w:rPr>
          <w:sz w:val="22"/>
          <w:szCs w:val="22"/>
        </w:rPr>
        <w:t>fiscal</w:t>
      </w:r>
      <w:r w:rsidRPr="00990FB6">
        <w:rPr>
          <w:rFonts w:eastAsia="Calibri"/>
          <w:sz w:val="22"/>
          <w:szCs w:val="22"/>
        </w:rPr>
        <w:t xml:space="preserve"> de juicio con un permiso con goce de salario: Santa Cruz, Quepos, Cañas, Turrialba, Sarapiquí, Siquirres y </w:t>
      </w:r>
      <w:proofErr w:type="spellStart"/>
      <w:r w:rsidRPr="00990FB6">
        <w:rPr>
          <w:rFonts w:eastAsia="Calibri"/>
          <w:sz w:val="22"/>
          <w:szCs w:val="22"/>
        </w:rPr>
        <w:t>Bribrí</w:t>
      </w:r>
      <w:proofErr w:type="spellEnd"/>
      <w:r w:rsidRPr="00990FB6">
        <w:rPr>
          <w:rFonts w:eastAsia="Calibri"/>
          <w:sz w:val="22"/>
          <w:szCs w:val="22"/>
        </w:rPr>
        <w:t>.</w:t>
      </w:r>
    </w:p>
    <w:p w14:paraId="46C318E6" w14:textId="77777777" w:rsidR="00B15F7D" w:rsidRPr="00990FB6" w:rsidRDefault="00B15F7D" w:rsidP="00B15F7D">
      <w:pPr>
        <w:suppressAutoHyphens w:val="0"/>
        <w:ind w:right="851"/>
        <w:jc w:val="both"/>
        <w:rPr>
          <w:rFonts w:eastAsia="Arial"/>
          <w:sz w:val="22"/>
          <w:szCs w:val="22"/>
        </w:rPr>
      </w:pPr>
    </w:p>
    <w:p w14:paraId="459EFDDB" w14:textId="77777777"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rFonts w:eastAsia="Calibri"/>
          <w:sz w:val="22"/>
          <w:szCs w:val="22"/>
        </w:rPr>
        <w:t>Existen tres fiscalías que ni siquiera cuentan con un Fiscal de Juicio, por lo cual las tareas administrativas, de supervisión y asistencia a juicio son desarrolladas por Fiscales Auxiliares: La Fortuna, Los Chiles y Guatuso.</w:t>
      </w:r>
    </w:p>
    <w:p w14:paraId="7F7D8D47" w14:textId="77777777" w:rsidR="00B15F7D" w:rsidRPr="00990FB6" w:rsidRDefault="00B15F7D" w:rsidP="00B15F7D">
      <w:pPr>
        <w:suppressAutoHyphens w:val="0"/>
        <w:ind w:right="851"/>
        <w:jc w:val="both"/>
        <w:rPr>
          <w:rFonts w:eastAsia="Arial"/>
          <w:sz w:val="22"/>
          <w:szCs w:val="22"/>
        </w:rPr>
      </w:pPr>
    </w:p>
    <w:p w14:paraId="0EA1CB04" w14:textId="77777777"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rFonts w:eastAsia="Calibri"/>
          <w:sz w:val="22"/>
          <w:szCs w:val="22"/>
        </w:rPr>
        <w:t xml:space="preserve">La Dirección de Planificación en el marco del proyecto de mejora integral del proceso penal ha revisado 21 Fiscalías, de las cuales 8 </w:t>
      </w:r>
      <w:proofErr w:type="spellStart"/>
      <w:r w:rsidRPr="00990FB6">
        <w:rPr>
          <w:rFonts w:eastAsia="Calibri"/>
          <w:sz w:val="22"/>
          <w:szCs w:val="22"/>
        </w:rPr>
        <w:t>aun</w:t>
      </w:r>
      <w:proofErr w:type="spellEnd"/>
      <w:r w:rsidRPr="00990FB6">
        <w:rPr>
          <w:rFonts w:eastAsia="Calibri"/>
          <w:sz w:val="22"/>
          <w:szCs w:val="22"/>
        </w:rPr>
        <w:t xml:space="preserve"> tienen la necesidad documentada de contar con mayor cantidad de plazas de fiscales de juicio y se tienen 21 que no se han abordado</w:t>
      </w:r>
      <w:r w:rsidRPr="00990FB6">
        <w:rPr>
          <w:sz w:val="22"/>
          <w:szCs w:val="22"/>
        </w:rPr>
        <w:t>,</w:t>
      </w:r>
      <w:r w:rsidRPr="00990FB6">
        <w:rPr>
          <w:rFonts w:eastAsia="Calibri"/>
          <w:sz w:val="22"/>
          <w:szCs w:val="22"/>
        </w:rPr>
        <w:t xml:space="preserve"> sin embargo, de esas 11 fundamentadas con el modelo de tramitación puede realizarse la prevista de la debilidad en la estructura, donde se hace la necesidad de 14 personas fiscales.</w:t>
      </w:r>
    </w:p>
    <w:p w14:paraId="6FF6136B" w14:textId="77777777" w:rsidR="00B15F7D" w:rsidRPr="00990FB6" w:rsidRDefault="00B15F7D" w:rsidP="00B15F7D">
      <w:pPr>
        <w:suppressAutoHyphens w:val="0"/>
        <w:ind w:right="851"/>
        <w:jc w:val="both"/>
        <w:rPr>
          <w:rFonts w:eastAsia="Arial"/>
          <w:sz w:val="22"/>
          <w:szCs w:val="22"/>
        </w:rPr>
      </w:pPr>
    </w:p>
    <w:p w14:paraId="4E53EE33" w14:textId="52CE494F"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rFonts w:eastAsia="Calibri"/>
          <w:sz w:val="22"/>
          <w:szCs w:val="22"/>
        </w:rPr>
        <w:t>Este estudio consideró la revisión de 42 Fiscalías a nivel nacional, se detectaron debilidades en la cantidad de fiscales de juicio en el 45</w:t>
      </w:r>
      <w:r w:rsidRPr="00990FB6">
        <w:rPr>
          <w:sz w:val="22"/>
          <w:szCs w:val="22"/>
        </w:rPr>
        <w:t>% de ellas.</w:t>
      </w:r>
    </w:p>
    <w:p w14:paraId="4C7E2E01" w14:textId="77777777" w:rsidR="00254CD4" w:rsidRPr="00990FB6" w:rsidRDefault="00254CD4" w:rsidP="00254CD4">
      <w:pPr>
        <w:pStyle w:val="Prrafodelista"/>
        <w:rPr>
          <w:rFonts w:eastAsia="Arial"/>
          <w:sz w:val="22"/>
          <w:szCs w:val="22"/>
        </w:rPr>
      </w:pPr>
    </w:p>
    <w:p w14:paraId="4EDF3DEE" w14:textId="77777777" w:rsidR="00254CD4" w:rsidRPr="00990FB6" w:rsidRDefault="00254CD4" w:rsidP="00254CD4">
      <w:pPr>
        <w:suppressAutoHyphens w:val="0"/>
        <w:ind w:left="1560" w:right="851"/>
        <w:jc w:val="both"/>
        <w:rPr>
          <w:rFonts w:eastAsia="Arial"/>
          <w:sz w:val="22"/>
          <w:szCs w:val="22"/>
        </w:rPr>
      </w:pPr>
    </w:p>
    <w:p w14:paraId="04E5FDF6" w14:textId="77777777" w:rsidR="00B15F7D" w:rsidRPr="00990FB6" w:rsidRDefault="00B15F7D" w:rsidP="00B15F7D">
      <w:pPr>
        <w:numPr>
          <w:ilvl w:val="0"/>
          <w:numId w:val="182"/>
        </w:numPr>
        <w:suppressAutoHyphens w:val="0"/>
        <w:ind w:left="851" w:right="851" w:firstLine="709"/>
        <w:jc w:val="both"/>
        <w:rPr>
          <w:rFonts w:eastAsia="Arial"/>
          <w:sz w:val="22"/>
          <w:szCs w:val="22"/>
        </w:rPr>
      </w:pPr>
      <w:r w:rsidRPr="00990FB6">
        <w:rPr>
          <w:sz w:val="22"/>
          <w:szCs w:val="22"/>
        </w:rPr>
        <w:t>Adicionalmente se detectó que en las Fiscalías de Hatillo, Heredia y Desamparados existe una deficiencia en el personal Técnico Judicial (siete personas), el cual es el que lleva la mayor carga de trabajo en la etapa investigativa y la debida documentación de esta, lo que afecta el tiempo de respuesta de forma directa para el servicio que se le brinda a la persona usuaria.</w:t>
      </w:r>
    </w:p>
    <w:p w14:paraId="064C7B45" w14:textId="77777777" w:rsidR="00B15F7D" w:rsidRPr="00990FB6" w:rsidRDefault="00B15F7D" w:rsidP="00B15F7D">
      <w:pPr>
        <w:ind w:left="851" w:right="851" w:firstLine="709"/>
        <w:jc w:val="both"/>
        <w:rPr>
          <w:sz w:val="22"/>
          <w:szCs w:val="22"/>
        </w:rPr>
      </w:pPr>
    </w:p>
    <w:p w14:paraId="3F21C2AF" w14:textId="77777777" w:rsidR="00B15F7D" w:rsidRPr="00990FB6" w:rsidRDefault="00B15F7D" w:rsidP="00B15F7D">
      <w:pPr>
        <w:ind w:left="851" w:right="851" w:firstLine="709"/>
        <w:contextualSpacing/>
        <w:jc w:val="both"/>
        <w:rPr>
          <w:b/>
          <w:sz w:val="22"/>
          <w:szCs w:val="22"/>
        </w:rPr>
      </w:pPr>
      <w:r w:rsidRPr="00990FB6">
        <w:rPr>
          <w:rFonts w:eastAsia="Calibri"/>
          <w:b/>
          <w:sz w:val="22"/>
          <w:szCs w:val="22"/>
        </w:rPr>
        <w:t>Recomendaciones</w:t>
      </w:r>
    </w:p>
    <w:p w14:paraId="0D368B65" w14:textId="77777777" w:rsidR="00B15F7D" w:rsidRPr="00990FB6" w:rsidRDefault="00B15F7D" w:rsidP="00B15F7D">
      <w:pPr>
        <w:ind w:left="851" w:right="851" w:firstLine="709"/>
        <w:contextualSpacing/>
        <w:jc w:val="both"/>
        <w:rPr>
          <w:sz w:val="22"/>
          <w:szCs w:val="22"/>
        </w:rPr>
      </w:pPr>
    </w:p>
    <w:p w14:paraId="008E50AD" w14:textId="77777777" w:rsidR="00B15F7D" w:rsidRPr="00990FB6" w:rsidRDefault="00B15F7D" w:rsidP="00B15F7D">
      <w:pPr>
        <w:numPr>
          <w:ilvl w:val="0"/>
          <w:numId w:val="181"/>
        </w:numPr>
        <w:suppressAutoHyphens w:val="0"/>
        <w:ind w:left="851" w:right="851" w:firstLine="709"/>
        <w:jc w:val="both"/>
        <w:rPr>
          <w:rFonts w:eastAsia="Calibri"/>
          <w:sz w:val="22"/>
          <w:szCs w:val="22"/>
        </w:rPr>
      </w:pPr>
      <w:r w:rsidRPr="00990FB6">
        <w:rPr>
          <w:rFonts w:eastAsia="Calibri"/>
          <w:sz w:val="22"/>
          <w:szCs w:val="22"/>
        </w:rPr>
        <w:t>A partir del análisis de las estructuras del ámbito jurisdiccional (cantidad de juicios simultáneos de los Tribunales Penales), estructuras mínimas de supervisión de trabajo y dirección funcional se recomienda la creación de 22 plazas nuevas, se destaca que actualmente 7 de ellas se tienen con permiso con goce de salario como parte de un proyecto de descongestionamiento de los Tribunales Penales regionales:</w:t>
      </w:r>
    </w:p>
    <w:p w14:paraId="6EB9AC0D" w14:textId="77777777" w:rsidR="00B15F7D" w:rsidRPr="00990FB6" w:rsidRDefault="00B15F7D" w:rsidP="00B15F7D">
      <w:pPr>
        <w:rPr>
          <w:sz w:val="22"/>
          <w:szCs w:val="22"/>
        </w:rPr>
      </w:pPr>
    </w:p>
    <w:tbl>
      <w:tblPr>
        <w:tblStyle w:val="Tablaconcuadrcula"/>
        <w:tblW w:w="0" w:type="auto"/>
        <w:jc w:val="center"/>
        <w:tblLook w:val="04A0" w:firstRow="1" w:lastRow="0" w:firstColumn="1" w:lastColumn="0" w:noHBand="0" w:noVBand="1"/>
      </w:tblPr>
      <w:tblGrid>
        <w:gridCol w:w="6967"/>
        <w:gridCol w:w="815"/>
      </w:tblGrid>
      <w:tr w:rsidR="00B15F7D" w:rsidRPr="00990FB6" w14:paraId="0FB7359F" w14:textId="77777777" w:rsidTr="000A0C22">
        <w:trPr>
          <w:jc w:val="center"/>
        </w:trPr>
        <w:tc>
          <w:tcPr>
            <w:tcW w:w="0" w:type="auto"/>
            <w:shd w:val="clear" w:color="auto" w:fill="0B64A0"/>
            <w:vAlign w:val="center"/>
          </w:tcPr>
          <w:p w14:paraId="640A5932" w14:textId="77777777" w:rsidR="00B15F7D" w:rsidRPr="00990FB6" w:rsidRDefault="00B15F7D" w:rsidP="00B15F7D">
            <w:pPr>
              <w:jc w:val="center"/>
              <w:rPr>
                <w:b/>
                <w:bCs/>
                <w:sz w:val="22"/>
                <w:szCs w:val="22"/>
              </w:rPr>
            </w:pPr>
            <w:r w:rsidRPr="00990FB6">
              <w:rPr>
                <w:b/>
                <w:bCs/>
                <w:sz w:val="22"/>
                <w:szCs w:val="22"/>
              </w:rPr>
              <w:t>Despacho Datos 2023</w:t>
            </w:r>
          </w:p>
        </w:tc>
        <w:tc>
          <w:tcPr>
            <w:tcW w:w="0" w:type="auto"/>
            <w:shd w:val="clear" w:color="auto" w:fill="0B64A0"/>
            <w:vAlign w:val="center"/>
          </w:tcPr>
          <w:p w14:paraId="7C0CBCE2" w14:textId="77777777" w:rsidR="00B15F7D" w:rsidRPr="00990FB6" w:rsidRDefault="00B15F7D" w:rsidP="00B15F7D">
            <w:pPr>
              <w:jc w:val="center"/>
              <w:rPr>
                <w:b/>
                <w:bCs/>
                <w:sz w:val="22"/>
                <w:szCs w:val="22"/>
              </w:rPr>
            </w:pPr>
            <w:r w:rsidRPr="00990FB6">
              <w:rPr>
                <w:b/>
                <w:bCs/>
                <w:sz w:val="22"/>
                <w:szCs w:val="22"/>
              </w:rPr>
              <w:t>Nueva</w:t>
            </w:r>
          </w:p>
        </w:tc>
      </w:tr>
      <w:tr w:rsidR="00B15F7D" w:rsidRPr="00990FB6" w14:paraId="12A82187" w14:textId="77777777" w:rsidTr="000A0C22">
        <w:trPr>
          <w:jc w:val="center"/>
        </w:trPr>
        <w:tc>
          <w:tcPr>
            <w:tcW w:w="0" w:type="auto"/>
          </w:tcPr>
          <w:p w14:paraId="0290D0A2" w14:textId="77777777" w:rsidR="00B15F7D" w:rsidRPr="00990FB6" w:rsidRDefault="00B15F7D" w:rsidP="00B15F7D">
            <w:pPr>
              <w:rPr>
                <w:sz w:val="22"/>
                <w:szCs w:val="22"/>
              </w:rPr>
            </w:pPr>
            <w:r w:rsidRPr="00990FB6">
              <w:rPr>
                <w:sz w:val="22"/>
                <w:szCs w:val="22"/>
              </w:rPr>
              <w:t>Fiscalía Adjunta del Segundo Circuito Judicial de San José (Goicoechea)</w:t>
            </w:r>
          </w:p>
        </w:tc>
        <w:tc>
          <w:tcPr>
            <w:tcW w:w="0" w:type="auto"/>
          </w:tcPr>
          <w:p w14:paraId="08A08F5A" w14:textId="77777777" w:rsidR="00B15F7D" w:rsidRPr="00990FB6" w:rsidRDefault="00B15F7D" w:rsidP="00B15F7D">
            <w:pPr>
              <w:jc w:val="center"/>
              <w:rPr>
                <w:sz w:val="22"/>
                <w:szCs w:val="22"/>
              </w:rPr>
            </w:pPr>
            <w:r w:rsidRPr="00990FB6">
              <w:rPr>
                <w:sz w:val="22"/>
                <w:szCs w:val="22"/>
              </w:rPr>
              <w:t>1</w:t>
            </w:r>
          </w:p>
        </w:tc>
      </w:tr>
      <w:tr w:rsidR="00B15F7D" w:rsidRPr="00990FB6" w14:paraId="044DF239" w14:textId="77777777" w:rsidTr="000A0C22">
        <w:trPr>
          <w:jc w:val="center"/>
        </w:trPr>
        <w:tc>
          <w:tcPr>
            <w:tcW w:w="0" w:type="auto"/>
          </w:tcPr>
          <w:p w14:paraId="571AFA7E" w14:textId="77777777" w:rsidR="00B15F7D" w:rsidRPr="00990FB6" w:rsidRDefault="00B15F7D" w:rsidP="00B15F7D">
            <w:pPr>
              <w:rPr>
                <w:sz w:val="22"/>
                <w:szCs w:val="22"/>
              </w:rPr>
            </w:pPr>
            <w:r w:rsidRPr="00990FB6">
              <w:rPr>
                <w:sz w:val="22"/>
                <w:szCs w:val="22"/>
              </w:rPr>
              <w:t>Fiscalía Adjunta de Cartago</w:t>
            </w:r>
          </w:p>
        </w:tc>
        <w:tc>
          <w:tcPr>
            <w:tcW w:w="0" w:type="auto"/>
          </w:tcPr>
          <w:p w14:paraId="4108A926" w14:textId="77777777" w:rsidR="00B15F7D" w:rsidRPr="00990FB6" w:rsidRDefault="00B15F7D" w:rsidP="00B15F7D">
            <w:pPr>
              <w:jc w:val="center"/>
              <w:rPr>
                <w:sz w:val="22"/>
                <w:szCs w:val="22"/>
              </w:rPr>
            </w:pPr>
            <w:r w:rsidRPr="00990FB6">
              <w:rPr>
                <w:sz w:val="22"/>
                <w:szCs w:val="22"/>
              </w:rPr>
              <w:t>1</w:t>
            </w:r>
          </w:p>
        </w:tc>
      </w:tr>
      <w:tr w:rsidR="00B15F7D" w:rsidRPr="00990FB6" w14:paraId="28F56B15" w14:textId="77777777" w:rsidTr="000A0C22">
        <w:trPr>
          <w:jc w:val="center"/>
        </w:trPr>
        <w:tc>
          <w:tcPr>
            <w:tcW w:w="0" w:type="auto"/>
          </w:tcPr>
          <w:p w14:paraId="3D5218E6" w14:textId="77777777" w:rsidR="00B15F7D" w:rsidRPr="00990FB6" w:rsidRDefault="00B15F7D" w:rsidP="00B15F7D">
            <w:pPr>
              <w:rPr>
                <w:sz w:val="22"/>
                <w:szCs w:val="22"/>
              </w:rPr>
            </w:pPr>
            <w:r w:rsidRPr="00990FB6">
              <w:rPr>
                <w:sz w:val="22"/>
                <w:szCs w:val="22"/>
              </w:rPr>
              <w:t>Fiscalía de Hatillo</w:t>
            </w:r>
          </w:p>
        </w:tc>
        <w:tc>
          <w:tcPr>
            <w:tcW w:w="0" w:type="auto"/>
          </w:tcPr>
          <w:p w14:paraId="1191FF22" w14:textId="77777777" w:rsidR="00B15F7D" w:rsidRPr="00990FB6" w:rsidRDefault="00B15F7D" w:rsidP="00B15F7D">
            <w:pPr>
              <w:jc w:val="center"/>
              <w:rPr>
                <w:sz w:val="22"/>
                <w:szCs w:val="22"/>
              </w:rPr>
            </w:pPr>
            <w:r w:rsidRPr="00990FB6">
              <w:rPr>
                <w:sz w:val="22"/>
                <w:szCs w:val="22"/>
              </w:rPr>
              <w:t>1</w:t>
            </w:r>
          </w:p>
        </w:tc>
      </w:tr>
      <w:tr w:rsidR="00B15F7D" w:rsidRPr="00990FB6" w14:paraId="05625B9B" w14:textId="77777777" w:rsidTr="000A0C22">
        <w:trPr>
          <w:jc w:val="center"/>
        </w:trPr>
        <w:tc>
          <w:tcPr>
            <w:tcW w:w="0" w:type="auto"/>
          </w:tcPr>
          <w:p w14:paraId="6A19D327" w14:textId="77777777" w:rsidR="00B15F7D" w:rsidRPr="00990FB6" w:rsidRDefault="00B15F7D" w:rsidP="00B15F7D">
            <w:pPr>
              <w:rPr>
                <w:sz w:val="22"/>
                <w:szCs w:val="22"/>
              </w:rPr>
            </w:pPr>
            <w:r w:rsidRPr="00990FB6">
              <w:rPr>
                <w:sz w:val="22"/>
                <w:szCs w:val="22"/>
              </w:rPr>
              <w:t>Fiscalía Adjunta del Primer Circuito Judicial de la Zona Sur (Pérez Zeledón)</w:t>
            </w:r>
          </w:p>
        </w:tc>
        <w:tc>
          <w:tcPr>
            <w:tcW w:w="0" w:type="auto"/>
          </w:tcPr>
          <w:p w14:paraId="7BC666CA" w14:textId="77777777" w:rsidR="00B15F7D" w:rsidRPr="00990FB6" w:rsidRDefault="00B15F7D" w:rsidP="00B15F7D">
            <w:pPr>
              <w:jc w:val="center"/>
              <w:rPr>
                <w:sz w:val="22"/>
                <w:szCs w:val="22"/>
              </w:rPr>
            </w:pPr>
            <w:r w:rsidRPr="00990FB6">
              <w:rPr>
                <w:sz w:val="22"/>
                <w:szCs w:val="22"/>
              </w:rPr>
              <w:t>1</w:t>
            </w:r>
          </w:p>
        </w:tc>
      </w:tr>
      <w:tr w:rsidR="00B15F7D" w:rsidRPr="00990FB6" w14:paraId="6C7A6701" w14:textId="77777777" w:rsidTr="000A0C22">
        <w:trPr>
          <w:jc w:val="center"/>
        </w:trPr>
        <w:tc>
          <w:tcPr>
            <w:tcW w:w="0" w:type="auto"/>
          </w:tcPr>
          <w:p w14:paraId="2961057A" w14:textId="77777777" w:rsidR="00B15F7D" w:rsidRPr="00990FB6" w:rsidRDefault="00B15F7D" w:rsidP="00B15F7D">
            <w:pPr>
              <w:rPr>
                <w:sz w:val="22"/>
                <w:szCs w:val="22"/>
              </w:rPr>
            </w:pPr>
            <w:r w:rsidRPr="00990FB6">
              <w:rPr>
                <w:sz w:val="22"/>
                <w:szCs w:val="22"/>
              </w:rPr>
              <w:t>Fiscalía Adjunta del Segundo Circuito Judicial de Alajuela (San Carlos)</w:t>
            </w:r>
          </w:p>
        </w:tc>
        <w:tc>
          <w:tcPr>
            <w:tcW w:w="0" w:type="auto"/>
          </w:tcPr>
          <w:p w14:paraId="0A1BEDB1" w14:textId="77777777" w:rsidR="00B15F7D" w:rsidRPr="00990FB6" w:rsidRDefault="00B15F7D" w:rsidP="00B15F7D">
            <w:pPr>
              <w:jc w:val="center"/>
              <w:rPr>
                <w:sz w:val="22"/>
                <w:szCs w:val="22"/>
              </w:rPr>
            </w:pPr>
            <w:r w:rsidRPr="00990FB6">
              <w:rPr>
                <w:sz w:val="22"/>
                <w:szCs w:val="22"/>
              </w:rPr>
              <w:t>3</w:t>
            </w:r>
          </w:p>
        </w:tc>
      </w:tr>
      <w:tr w:rsidR="00B15F7D" w:rsidRPr="00990FB6" w14:paraId="0DBDE83D" w14:textId="77777777" w:rsidTr="000A0C22">
        <w:trPr>
          <w:jc w:val="center"/>
        </w:trPr>
        <w:tc>
          <w:tcPr>
            <w:tcW w:w="0" w:type="auto"/>
          </w:tcPr>
          <w:p w14:paraId="2ECE8B0C" w14:textId="77777777" w:rsidR="00B15F7D" w:rsidRPr="00990FB6" w:rsidRDefault="00B15F7D" w:rsidP="00B15F7D">
            <w:pPr>
              <w:rPr>
                <w:sz w:val="22"/>
                <w:szCs w:val="22"/>
              </w:rPr>
            </w:pPr>
            <w:r w:rsidRPr="00990FB6">
              <w:rPr>
                <w:sz w:val="22"/>
                <w:szCs w:val="22"/>
              </w:rPr>
              <w:t>Fiscalía de Santa Cruz</w:t>
            </w:r>
          </w:p>
        </w:tc>
        <w:tc>
          <w:tcPr>
            <w:tcW w:w="0" w:type="auto"/>
          </w:tcPr>
          <w:p w14:paraId="44B92499" w14:textId="77777777" w:rsidR="00B15F7D" w:rsidRPr="00990FB6" w:rsidRDefault="00B15F7D" w:rsidP="00B15F7D">
            <w:pPr>
              <w:jc w:val="center"/>
              <w:rPr>
                <w:sz w:val="22"/>
                <w:szCs w:val="22"/>
              </w:rPr>
            </w:pPr>
            <w:r w:rsidRPr="00990FB6">
              <w:rPr>
                <w:sz w:val="22"/>
                <w:szCs w:val="22"/>
              </w:rPr>
              <w:t>1</w:t>
            </w:r>
          </w:p>
        </w:tc>
      </w:tr>
      <w:tr w:rsidR="00B15F7D" w:rsidRPr="00990FB6" w14:paraId="0C4C7763" w14:textId="77777777" w:rsidTr="000A0C22">
        <w:trPr>
          <w:jc w:val="center"/>
        </w:trPr>
        <w:tc>
          <w:tcPr>
            <w:tcW w:w="0" w:type="auto"/>
          </w:tcPr>
          <w:p w14:paraId="498319CB" w14:textId="77777777" w:rsidR="00B15F7D" w:rsidRPr="00990FB6" w:rsidRDefault="00B15F7D" w:rsidP="00B15F7D">
            <w:pPr>
              <w:rPr>
                <w:sz w:val="22"/>
                <w:szCs w:val="22"/>
              </w:rPr>
            </w:pPr>
            <w:r w:rsidRPr="00990FB6">
              <w:rPr>
                <w:sz w:val="22"/>
                <w:szCs w:val="22"/>
              </w:rPr>
              <w:lastRenderedPageBreak/>
              <w:t>Fiscalía Adjunta del Primer Circuito Judicial de San José</w:t>
            </w:r>
          </w:p>
        </w:tc>
        <w:tc>
          <w:tcPr>
            <w:tcW w:w="0" w:type="auto"/>
          </w:tcPr>
          <w:p w14:paraId="45814BF9" w14:textId="77777777" w:rsidR="00B15F7D" w:rsidRPr="00990FB6" w:rsidRDefault="00B15F7D" w:rsidP="00B15F7D">
            <w:pPr>
              <w:jc w:val="center"/>
              <w:rPr>
                <w:sz w:val="22"/>
                <w:szCs w:val="22"/>
              </w:rPr>
            </w:pPr>
            <w:r w:rsidRPr="00990FB6">
              <w:rPr>
                <w:sz w:val="22"/>
                <w:szCs w:val="22"/>
              </w:rPr>
              <w:t>2</w:t>
            </w:r>
          </w:p>
        </w:tc>
      </w:tr>
      <w:tr w:rsidR="00B15F7D" w:rsidRPr="00990FB6" w14:paraId="0B9D9048" w14:textId="77777777" w:rsidTr="000A0C22">
        <w:trPr>
          <w:jc w:val="center"/>
        </w:trPr>
        <w:tc>
          <w:tcPr>
            <w:tcW w:w="0" w:type="auto"/>
          </w:tcPr>
          <w:p w14:paraId="6C8CC1F7" w14:textId="77777777" w:rsidR="00B15F7D" w:rsidRPr="00990FB6" w:rsidRDefault="00B15F7D" w:rsidP="00B15F7D">
            <w:pPr>
              <w:rPr>
                <w:sz w:val="22"/>
                <w:szCs w:val="22"/>
              </w:rPr>
            </w:pPr>
            <w:r w:rsidRPr="00990FB6">
              <w:rPr>
                <w:sz w:val="22"/>
                <w:szCs w:val="22"/>
              </w:rPr>
              <w:t>Fiscalía Adjunta del Tercer Circuito Judicial de Alajuela (San Ramón)</w:t>
            </w:r>
          </w:p>
        </w:tc>
        <w:tc>
          <w:tcPr>
            <w:tcW w:w="0" w:type="auto"/>
          </w:tcPr>
          <w:p w14:paraId="6EFA18FD" w14:textId="77777777" w:rsidR="00B15F7D" w:rsidRPr="00990FB6" w:rsidRDefault="00B15F7D" w:rsidP="00B15F7D">
            <w:pPr>
              <w:jc w:val="center"/>
              <w:rPr>
                <w:sz w:val="22"/>
                <w:szCs w:val="22"/>
              </w:rPr>
            </w:pPr>
            <w:r w:rsidRPr="00990FB6">
              <w:rPr>
                <w:sz w:val="22"/>
                <w:szCs w:val="22"/>
              </w:rPr>
              <w:t>1</w:t>
            </w:r>
          </w:p>
        </w:tc>
      </w:tr>
      <w:tr w:rsidR="00B15F7D" w:rsidRPr="00990FB6" w14:paraId="0E22E7CD" w14:textId="77777777" w:rsidTr="000A0C22">
        <w:trPr>
          <w:jc w:val="center"/>
        </w:trPr>
        <w:tc>
          <w:tcPr>
            <w:tcW w:w="0" w:type="auto"/>
          </w:tcPr>
          <w:p w14:paraId="36B4E310" w14:textId="77777777" w:rsidR="00B15F7D" w:rsidRPr="00990FB6" w:rsidRDefault="00B15F7D" w:rsidP="00B15F7D">
            <w:pPr>
              <w:rPr>
                <w:sz w:val="22"/>
                <w:szCs w:val="22"/>
              </w:rPr>
            </w:pPr>
            <w:r w:rsidRPr="00990FB6">
              <w:rPr>
                <w:sz w:val="22"/>
                <w:szCs w:val="22"/>
              </w:rPr>
              <w:t>Fiscalía de Turrialba</w:t>
            </w:r>
          </w:p>
        </w:tc>
        <w:tc>
          <w:tcPr>
            <w:tcW w:w="0" w:type="auto"/>
          </w:tcPr>
          <w:p w14:paraId="5477AC89" w14:textId="77777777" w:rsidR="00B15F7D" w:rsidRPr="00990FB6" w:rsidRDefault="00B15F7D" w:rsidP="00B15F7D">
            <w:pPr>
              <w:jc w:val="center"/>
              <w:rPr>
                <w:sz w:val="22"/>
                <w:szCs w:val="22"/>
              </w:rPr>
            </w:pPr>
            <w:r w:rsidRPr="00990FB6">
              <w:rPr>
                <w:sz w:val="22"/>
                <w:szCs w:val="22"/>
              </w:rPr>
              <w:t>1</w:t>
            </w:r>
          </w:p>
        </w:tc>
      </w:tr>
      <w:tr w:rsidR="00B15F7D" w:rsidRPr="00990FB6" w14:paraId="121C0B4D" w14:textId="77777777" w:rsidTr="000A0C22">
        <w:trPr>
          <w:jc w:val="center"/>
        </w:trPr>
        <w:tc>
          <w:tcPr>
            <w:tcW w:w="0" w:type="auto"/>
          </w:tcPr>
          <w:p w14:paraId="6C2369C1" w14:textId="77777777" w:rsidR="00B15F7D" w:rsidRPr="00990FB6" w:rsidRDefault="00B15F7D" w:rsidP="00B15F7D">
            <w:pPr>
              <w:rPr>
                <w:sz w:val="22"/>
                <w:szCs w:val="22"/>
              </w:rPr>
            </w:pPr>
            <w:r w:rsidRPr="00990FB6">
              <w:rPr>
                <w:sz w:val="22"/>
                <w:szCs w:val="22"/>
              </w:rPr>
              <w:t>Fiscalía de Grecia</w:t>
            </w:r>
          </w:p>
        </w:tc>
        <w:tc>
          <w:tcPr>
            <w:tcW w:w="0" w:type="auto"/>
          </w:tcPr>
          <w:p w14:paraId="259CF97E" w14:textId="77777777" w:rsidR="00B15F7D" w:rsidRPr="00990FB6" w:rsidRDefault="00B15F7D" w:rsidP="00B15F7D">
            <w:pPr>
              <w:jc w:val="center"/>
              <w:rPr>
                <w:sz w:val="22"/>
                <w:szCs w:val="22"/>
              </w:rPr>
            </w:pPr>
            <w:r w:rsidRPr="00990FB6">
              <w:rPr>
                <w:sz w:val="22"/>
                <w:szCs w:val="22"/>
              </w:rPr>
              <w:t>1</w:t>
            </w:r>
          </w:p>
        </w:tc>
      </w:tr>
      <w:tr w:rsidR="00B15F7D" w:rsidRPr="00990FB6" w14:paraId="39A7D1B1" w14:textId="77777777" w:rsidTr="000A0C22">
        <w:trPr>
          <w:jc w:val="center"/>
        </w:trPr>
        <w:tc>
          <w:tcPr>
            <w:tcW w:w="0" w:type="auto"/>
          </w:tcPr>
          <w:p w14:paraId="58EA491C" w14:textId="77777777" w:rsidR="00B15F7D" w:rsidRPr="00990FB6" w:rsidRDefault="00B15F7D" w:rsidP="00B15F7D">
            <w:pPr>
              <w:rPr>
                <w:sz w:val="22"/>
                <w:szCs w:val="22"/>
              </w:rPr>
            </w:pPr>
            <w:r w:rsidRPr="00990FB6">
              <w:rPr>
                <w:sz w:val="22"/>
                <w:szCs w:val="22"/>
              </w:rPr>
              <w:t>Fiscalía de Cañas</w:t>
            </w:r>
          </w:p>
        </w:tc>
        <w:tc>
          <w:tcPr>
            <w:tcW w:w="0" w:type="auto"/>
          </w:tcPr>
          <w:p w14:paraId="2F03A398" w14:textId="77777777" w:rsidR="00B15F7D" w:rsidRPr="00990FB6" w:rsidRDefault="00B15F7D" w:rsidP="00B15F7D">
            <w:pPr>
              <w:jc w:val="center"/>
              <w:rPr>
                <w:sz w:val="22"/>
                <w:szCs w:val="22"/>
              </w:rPr>
            </w:pPr>
            <w:r w:rsidRPr="00990FB6">
              <w:rPr>
                <w:sz w:val="22"/>
                <w:szCs w:val="22"/>
              </w:rPr>
              <w:t>1</w:t>
            </w:r>
          </w:p>
        </w:tc>
      </w:tr>
      <w:tr w:rsidR="00B15F7D" w:rsidRPr="00990FB6" w14:paraId="47468AA8" w14:textId="77777777" w:rsidTr="000A0C22">
        <w:trPr>
          <w:jc w:val="center"/>
        </w:trPr>
        <w:tc>
          <w:tcPr>
            <w:tcW w:w="0" w:type="auto"/>
          </w:tcPr>
          <w:p w14:paraId="7624341C" w14:textId="77777777" w:rsidR="00B15F7D" w:rsidRPr="00990FB6" w:rsidRDefault="00B15F7D" w:rsidP="00B15F7D">
            <w:pPr>
              <w:rPr>
                <w:sz w:val="22"/>
                <w:szCs w:val="22"/>
              </w:rPr>
            </w:pPr>
            <w:r w:rsidRPr="00990FB6">
              <w:rPr>
                <w:sz w:val="22"/>
                <w:szCs w:val="22"/>
              </w:rPr>
              <w:t>Fiscalía de Quepos</w:t>
            </w:r>
          </w:p>
        </w:tc>
        <w:tc>
          <w:tcPr>
            <w:tcW w:w="0" w:type="auto"/>
          </w:tcPr>
          <w:p w14:paraId="65F01AF1" w14:textId="77777777" w:rsidR="00B15F7D" w:rsidRPr="00990FB6" w:rsidRDefault="00B15F7D" w:rsidP="00B15F7D">
            <w:pPr>
              <w:jc w:val="center"/>
              <w:rPr>
                <w:sz w:val="22"/>
                <w:szCs w:val="22"/>
              </w:rPr>
            </w:pPr>
            <w:r w:rsidRPr="00990FB6">
              <w:rPr>
                <w:sz w:val="22"/>
                <w:szCs w:val="22"/>
              </w:rPr>
              <w:t>1</w:t>
            </w:r>
          </w:p>
        </w:tc>
      </w:tr>
      <w:tr w:rsidR="00B15F7D" w:rsidRPr="00990FB6" w14:paraId="02AA84A9" w14:textId="77777777" w:rsidTr="000A0C22">
        <w:trPr>
          <w:jc w:val="center"/>
        </w:trPr>
        <w:tc>
          <w:tcPr>
            <w:tcW w:w="0" w:type="auto"/>
          </w:tcPr>
          <w:p w14:paraId="78423993" w14:textId="77777777" w:rsidR="00B15F7D" w:rsidRPr="00990FB6" w:rsidRDefault="00B15F7D" w:rsidP="00B15F7D">
            <w:pPr>
              <w:rPr>
                <w:sz w:val="22"/>
                <w:szCs w:val="22"/>
              </w:rPr>
            </w:pPr>
            <w:r w:rsidRPr="00990FB6">
              <w:rPr>
                <w:sz w:val="22"/>
                <w:szCs w:val="22"/>
              </w:rPr>
              <w:t>Fiscalía de Sarapiquí</w:t>
            </w:r>
          </w:p>
        </w:tc>
        <w:tc>
          <w:tcPr>
            <w:tcW w:w="0" w:type="auto"/>
          </w:tcPr>
          <w:p w14:paraId="1FA7C7D9" w14:textId="77777777" w:rsidR="00B15F7D" w:rsidRPr="00990FB6" w:rsidRDefault="00B15F7D" w:rsidP="00B15F7D">
            <w:pPr>
              <w:jc w:val="center"/>
              <w:rPr>
                <w:sz w:val="22"/>
                <w:szCs w:val="22"/>
              </w:rPr>
            </w:pPr>
            <w:r w:rsidRPr="00990FB6">
              <w:rPr>
                <w:sz w:val="22"/>
                <w:szCs w:val="22"/>
              </w:rPr>
              <w:t>1</w:t>
            </w:r>
          </w:p>
        </w:tc>
      </w:tr>
      <w:tr w:rsidR="00B15F7D" w:rsidRPr="00990FB6" w14:paraId="43923ECC" w14:textId="77777777" w:rsidTr="000A0C22">
        <w:trPr>
          <w:jc w:val="center"/>
        </w:trPr>
        <w:tc>
          <w:tcPr>
            <w:tcW w:w="0" w:type="auto"/>
          </w:tcPr>
          <w:p w14:paraId="62AFFD0B" w14:textId="77777777" w:rsidR="00B15F7D" w:rsidRPr="00990FB6" w:rsidRDefault="00B15F7D" w:rsidP="00B15F7D">
            <w:pPr>
              <w:rPr>
                <w:sz w:val="22"/>
                <w:szCs w:val="22"/>
              </w:rPr>
            </w:pPr>
            <w:r w:rsidRPr="00990FB6">
              <w:rPr>
                <w:sz w:val="22"/>
                <w:szCs w:val="22"/>
              </w:rPr>
              <w:t>Fiscalía de Siquirres</w:t>
            </w:r>
          </w:p>
        </w:tc>
        <w:tc>
          <w:tcPr>
            <w:tcW w:w="0" w:type="auto"/>
          </w:tcPr>
          <w:p w14:paraId="148B6AF0" w14:textId="77777777" w:rsidR="00B15F7D" w:rsidRPr="00990FB6" w:rsidRDefault="00B15F7D" w:rsidP="00B15F7D">
            <w:pPr>
              <w:jc w:val="center"/>
              <w:rPr>
                <w:sz w:val="22"/>
                <w:szCs w:val="22"/>
              </w:rPr>
            </w:pPr>
            <w:r w:rsidRPr="00990FB6">
              <w:rPr>
                <w:sz w:val="22"/>
                <w:szCs w:val="22"/>
              </w:rPr>
              <w:t>1</w:t>
            </w:r>
          </w:p>
        </w:tc>
      </w:tr>
      <w:tr w:rsidR="00B15F7D" w:rsidRPr="00990FB6" w14:paraId="412EBBFD" w14:textId="77777777" w:rsidTr="000A0C22">
        <w:trPr>
          <w:jc w:val="center"/>
        </w:trPr>
        <w:tc>
          <w:tcPr>
            <w:tcW w:w="0" w:type="auto"/>
          </w:tcPr>
          <w:p w14:paraId="5C7FE822" w14:textId="77777777" w:rsidR="00B15F7D" w:rsidRPr="00990FB6" w:rsidRDefault="00B15F7D" w:rsidP="00B15F7D">
            <w:pPr>
              <w:rPr>
                <w:sz w:val="22"/>
                <w:szCs w:val="22"/>
              </w:rPr>
            </w:pPr>
            <w:r w:rsidRPr="00990FB6">
              <w:rPr>
                <w:sz w:val="22"/>
                <w:szCs w:val="22"/>
              </w:rPr>
              <w:t>Fiscalía de Osa</w:t>
            </w:r>
          </w:p>
        </w:tc>
        <w:tc>
          <w:tcPr>
            <w:tcW w:w="0" w:type="auto"/>
          </w:tcPr>
          <w:p w14:paraId="31F939E4" w14:textId="77777777" w:rsidR="00B15F7D" w:rsidRPr="00990FB6" w:rsidRDefault="00B15F7D" w:rsidP="00B15F7D">
            <w:pPr>
              <w:jc w:val="center"/>
              <w:rPr>
                <w:sz w:val="22"/>
                <w:szCs w:val="22"/>
              </w:rPr>
            </w:pPr>
            <w:r w:rsidRPr="00990FB6">
              <w:rPr>
                <w:sz w:val="22"/>
                <w:szCs w:val="22"/>
              </w:rPr>
              <w:t>1</w:t>
            </w:r>
          </w:p>
        </w:tc>
      </w:tr>
      <w:tr w:rsidR="00B15F7D" w:rsidRPr="00990FB6" w14:paraId="0F532A3B" w14:textId="77777777" w:rsidTr="000A0C22">
        <w:trPr>
          <w:jc w:val="center"/>
        </w:trPr>
        <w:tc>
          <w:tcPr>
            <w:tcW w:w="0" w:type="auto"/>
          </w:tcPr>
          <w:p w14:paraId="38EEC2C9" w14:textId="77777777" w:rsidR="00B15F7D" w:rsidRPr="00990FB6" w:rsidRDefault="00B15F7D" w:rsidP="00B15F7D">
            <w:pPr>
              <w:rPr>
                <w:sz w:val="22"/>
                <w:szCs w:val="22"/>
              </w:rPr>
            </w:pPr>
            <w:r w:rsidRPr="00990FB6">
              <w:rPr>
                <w:sz w:val="22"/>
                <w:szCs w:val="22"/>
              </w:rPr>
              <w:t>Fiscalía de La Fortuna</w:t>
            </w:r>
          </w:p>
        </w:tc>
        <w:tc>
          <w:tcPr>
            <w:tcW w:w="0" w:type="auto"/>
          </w:tcPr>
          <w:p w14:paraId="3AB365BF" w14:textId="77777777" w:rsidR="00B15F7D" w:rsidRPr="00990FB6" w:rsidRDefault="00B15F7D" w:rsidP="00B15F7D">
            <w:pPr>
              <w:jc w:val="center"/>
              <w:rPr>
                <w:sz w:val="22"/>
                <w:szCs w:val="22"/>
              </w:rPr>
            </w:pPr>
            <w:r w:rsidRPr="00990FB6">
              <w:rPr>
                <w:sz w:val="22"/>
                <w:szCs w:val="22"/>
              </w:rPr>
              <w:t>1</w:t>
            </w:r>
          </w:p>
        </w:tc>
      </w:tr>
      <w:tr w:rsidR="00B15F7D" w:rsidRPr="00990FB6" w14:paraId="21985EBC" w14:textId="77777777" w:rsidTr="000A0C22">
        <w:trPr>
          <w:jc w:val="center"/>
        </w:trPr>
        <w:tc>
          <w:tcPr>
            <w:tcW w:w="0" w:type="auto"/>
          </w:tcPr>
          <w:p w14:paraId="0487C4BF" w14:textId="77777777" w:rsidR="00B15F7D" w:rsidRPr="00990FB6" w:rsidRDefault="00B15F7D" w:rsidP="00B15F7D">
            <w:pPr>
              <w:rPr>
                <w:sz w:val="22"/>
                <w:szCs w:val="22"/>
              </w:rPr>
            </w:pPr>
            <w:r w:rsidRPr="00990FB6">
              <w:rPr>
                <w:sz w:val="22"/>
                <w:szCs w:val="22"/>
              </w:rPr>
              <w:t xml:space="preserve">Fiscalía de </w:t>
            </w:r>
            <w:proofErr w:type="spellStart"/>
            <w:r w:rsidRPr="00990FB6">
              <w:rPr>
                <w:sz w:val="22"/>
                <w:szCs w:val="22"/>
              </w:rPr>
              <w:t>Bribrí</w:t>
            </w:r>
            <w:proofErr w:type="spellEnd"/>
          </w:p>
        </w:tc>
        <w:tc>
          <w:tcPr>
            <w:tcW w:w="0" w:type="auto"/>
          </w:tcPr>
          <w:p w14:paraId="67938669" w14:textId="77777777" w:rsidR="00B15F7D" w:rsidRPr="00990FB6" w:rsidRDefault="00B15F7D" w:rsidP="00B15F7D">
            <w:pPr>
              <w:jc w:val="center"/>
              <w:rPr>
                <w:sz w:val="22"/>
                <w:szCs w:val="22"/>
              </w:rPr>
            </w:pPr>
            <w:r w:rsidRPr="00990FB6">
              <w:rPr>
                <w:sz w:val="22"/>
                <w:szCs w:val="22"/>
              </w:rPr>
              <w:t>1</w:t>
            </w:r>
          </w:p>
        </w:tc>
      </w:tr>
      <w:tr w:rsidR="00B15F7D" w:rsidRPr="00990FB6" w14:paraId="6563480F" w14:textId="77777777" w:rsidTr="000A0C22">
        <w:trPr>
          <w:jc w:val="center"/>
        </w:trPr>
        <w:tc>
          <w:tcPr>
            <w:tcW w:w="0" w:type="auto"/>
          </w:tcPr>
          <w:p w14:paraId="6D771E0C" w14:textId="77777777" w:rsidR="00B15F7D" w:rsidRPr="00990FB6" w:rsidRDefault="00B15F7D" w:rsidP="00B15F7D">
            <w:pPr>
              <w:rPr>
                <w:sz w:val="22"/>
                <w:szCs w:val="22"/>
              </w:rPr>
            </w:pPr>
            <w:r w:rsidRPr="00990FB6">
              <w:rPr>
                <w:sz w:val="22"/>
                <w:szCs w:val="22"/>
              </w:rPr>
              <w:t>Fiscalía de Los Chiles</w:t>
            </w:r>
          </w:p>
        </w:tc>
        <w:tc>
          <w:tcPr>
            <w:tcW w:w="0" w:type="auto"/>
          </w:tcPr>
          <w:p w14:paraId="0DC8A4B4" w14:textId="77777777" w:rsidR="00B15F7D" w:rsidRPr="00990FB6" w:rsidRDefault="00B15F7D" w:rsidP="00B15F7D">
            <w:pPr>
              <w:jc w:val="center"/>
              <w:rPr>
                <w:sz w:val="22"/>
                <w:szCs w:val="22"/>
              </w:rPr>
            </w:pPr>
            <w:r w:rsidRPr="00990FB6">
              <w:rPr>
                <w:sz w:val="22"/>
                <w:szCs w:val="22"/>
              </w:rPr>
              <w:t>1</w:t>
            </w:r>
          </w:p>
        </w:tc>
      </w:tr>
      <w:tr w:rsidR="00B15F7D" w:rsidRPr="00990FB6" w14:paraId="77630366" w14:textId="77777777" w:rsidTr="000A0C22">
        <w:trPr>
          <w:trHeight w:val="263"/>
          <w:jc w:val="center"/>
        </w:trPr>
        <w:tc>
          <w:tcPr>
            <w:tcW w:w="0" w:type="auto"/>
          </w:tcPr>
          <w:p w14:paraId="2CD049E8" w14:textId="77777777" w:rsidR="00B15F7D" w:rsidRPr="00990FB6" w:rsidRDefault="00B15F7D" w:rsidP="00B15F7D">
            <w:pPr>
              <w:rPr>
                <w:sz w:val="22"/>
                <w:szCs w:val="22"/>
              </w:rPr>
            </w:pPr>
            <w:r w:rsidRPr="00990FB6">
              <w:rPr>
                <w:sz w:val="22"/>
                <w:szCs w:val="22"/>
              </w:rPr>
              <w:t>Fiscalía de Guatuso</w:t>
            </w:r>
          </w:p>
        </w:tc>
        <w:tc>
          <w:tcPr>
            <w:tcW w:w="0" w:type="auto"/>
          </w:tcPr>
          <w:p w14:paraId="4DB016AF" w14:textId="77777777" w:rsidR="00B15F7D" w:rsidRPr="00990FB6" w:rsidRDefault="00B15F7D" w:rsidP="00B15F7D">
            <w:pPr>
              <w:jc w:val="center"/>
              <w:rPr>
                <w:sz w:val="22"/>
                <w:szCs w:val="22"/>
              </w:rPr>
            </w:pPr>
            <w:r w:rsidRPr="00990FB6">
              <w:rPr>
                <w:sz w:val="22"/>
                <w:szCs w:val="22"/>
              </w:rPr>
              <w:t>1</w:t>
            </w:r>
          </w:p>
        </w:tc>
      </w:tr>
      <w:tr w:rsidR="00B15F7D" w:rsidRPr="00990FB6" w14:paraId="7A59AC9F" w14:textId="77777777" w:rsidTr="000A0C22">
        <w:trPr>
          <w:jc w:val="center"/>
        </w:trPr>
        <w:tc>
          <w:tcPr>
            <w:tcW w:w="0" w:type="auto"/>
          </w:tcPr>
          <w:p w14:paraId="2C86595D" w14:textId="77777777" w:rsidR="00B15F7D" w:rsidRPr="00990FB6" w:rsidRDefault="00B15F7D" w:rsidP="00B15F7D">
            <w:pPr>
              <w:ind w:left="720"/>
              <w:contextualSpacing/>
              <w:jc w:val="center"/>
              <w:rPr>
                <w:b/>
                <w:bCs/>
                <w:sz w:val="22"/>
                <w:szCs w:val="22"/>
              </w:rPr>
            </w:pPr>
            <w:r w:rsidRPr="00990FB6">
              <w:rPr>
                <w:b/>
                <w:bCs/>
                <w:sz w:val="22"/>
                <w:szCs w:val="22"/>
              </w:rPr>
              <w:t>Total</w:t>
            </w:r>
          </w:p>
        </w:tc>
        <w:tc>
          <w:tcPr>
            <w:tcW w:w="0" w:type="auto"/>
          </w:tcPr>
          <w:p w14:paraId="391F219F" w14:textId="77777777" w:rsidR="00B15F7D" w:rsidRPr="00990FB6" w:rsidRDefault="00B15F7D" w:rsidP="00B15F7D">
            <w:pPr>
              <w:jc w:val="center"/>
              <w:rPr>
                <w:b/>
                <w:bCs/>
                <w:sz w:val="22"/>
                <w:szCs w:val="22"/>
              </w:rPr>
            </w:pPr>
            <w:r w:rsidRPr="00990FB6">
              <w:rPr>
                <w:b/>
                <w:bCs/>
                <w:sz w:val="22"/>
                <w:szCs w:val="22"/>
              </w:rPr>
              <w:t>22</w:t>
            </w:r>
          </w:p>
        </w:tc>
      </w:tr>
    </w:tbl>
    <w:p w14:paraId="5D404420" w14:textId="77777777" w:rsidR="00B15F7D" w:rsidRPr="00990FB6" w:rsidRDefault="00B15F7D" w:rsidP="00B15F7D">
      <w:pPr>
        <w:ind w:left="851" w:right="851" w:firstLine="709"/>
        <w:jc w:val="both"/>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05825CEA" w14:textId="77777777" w:rsidR="00B15F7D" w:rsidRPr="00990FB6" w:rsidRDefault="00B15F7D" w:rsidP="00B15F7D">
      <w:pPr>
        <w:ind w:left="851" w:right="851" w:firstLine="709"/>
        <w:jc w:val="both"/>
        <w:rPr>
          <w:sz w:val="22"/>
          <w:szCs w:val="22"/>
        </w:rPr>
      </w:pPr>
    </w:p>
    <w:p w14:paraId="753335F3" w14:textId="77777777" w:rsidR="00B15F7D" w:rsidRPr="00990FB6" w:rsidRDefault="00B15F7D" w:rsidP="00B15F7D">
      <w:pPr>
        <w:numPr>
          <w:ilvl w:val="0"/>
          <w:numId w:val="181"/>
        </w:numPr>
        <w:suppressAutoHyphens w:val="0"/>
        <w:ind w:left="851" w:right="851" w:firstLine="709"/>
        <w:jc w:val="both"/>
        <w:rPr>
          <w:rFonts w:eastAsia="Calibri"/>
          <w:sz w:val="22"/>
          <w:szCs w:val="22"/>
        </w:rPr>
      </w:pPr>
      <w:r w:rsidRPr="00990FB6">
        <w:rPr>
          <w:rFonts w:eastAsia="Calibri"/>
          <w:sz w:val="22"/>
          <w:szCs w:val="22"/>
        </w:rPr>
        <w:t>Se recomienda la recalificación de 3 plazas de personal Técnico Jurídico a personal Fiscal Auxiliar y personal Técnico Judicial según corresponda, así como de 1 plaza de persona Técnica Judicial a persona Fiscal Auxiliar.</w:t>
      </w:r>
    </w:p>
    <w:p w14:paraId="48A9AD47" w14:textId="77777777" w:rsidR="00B15F7D" w:rsidRPr="00990FB6" w:rsidRDefault="00B15F7D" w:rsidP="00B15F7D">
      <w:pPr>
        <w:suppressAutoHyphens w:val="0"/>
        <w:ind w:left="1560" w:right="851"/>
        <w:jc w:val="both"/>
        <w:rPr>
          <w:rFonts w:eastAsia="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4"/>
        <w:gridCol w:w="2529"/>
        <w:gridCol w:w="2504"/>
        <w:gridCol w:w="1021"/>
      </w:tblGrid>
      <w:tr w:rsidR="00B15F7D" w:rsidRPr="00990FB6" w14:paraId="552F2700" w14:textId="77777777" w:rsidTr="000A0C22">
        <w:trPr>
          <w:trHeight w:val="310"/>
          <w:jc w:val="center"/>
        </w:trPr>
        <w:tc>
          <w:tcPr>
            <w:tcW w:w="0" w:type="auto"/>
            <w:shd w:val="clear" w:color="FFFFFF" w:fill="0B64A0"/>
            <w:noWrap/>
            <w:vAlign w:val="center"/>
            <w:hideMark/>
          </w:tcPr>
          <w:p w14:paraId="30695C54" w14:textId="77777777" w:rsidR="00B15F7D" w:rsidRPr="00990FB6" w:rsidRDefault="00B15F7D" w:rsidP="00B15F7D">
            <w:pPr>
              <w:jc w:val="center"/>
              <w:rPr>
                <w:b/>
                <w:bCs/>
                <w:sz w:val="22"/>
                <w:szCs w:val="22"/>
                <w:lang w:eastAsia="es-CR"/>
              </w:rPr>
            </w:pPr>
            <w:r w:rsidRPr="00990FB6">
              <w:rPr>
                <w:b/>
                <w:bCs/>
                <w:sz w:val="22"/>
                <w:szCs w:val="22"/>
                <w:lang w:eastAsia="es-CR"/>
              </w:rPr>
              <w:t>Oficina</w:t>
            </w:r>
          </w:p>
        </w:tc>
        <w:tc>
          <w:tcPr>
            <w:tcW w:w="0" w:type="auto"/>
            <w:shd w:val="clear" w:color="FFFFFF" w:fill="0B64A0"/>
          </w:tcPr>
          <w:p w14:paraId="5507CCB2" w14:textId="77777777" w:rsidR="00B15F7D" w:rsidRPr="00990FB6" w:rsidRDefault="00B15F7D" w:rsidP="00B15F7D">
            <w:pPr>
              <w:rPr>
                <w:b/>
                <w:bCs/>
                <w:sz w:val="22"/>
                <w:szCs w:val="22"/>
                <w:lang w:eastAsia="es-CR"/>
              </w:rPr>
            </w:pPr>
            <w:r w:rsidRPr="00990FB6">
              <w:rPr>
                <w:b/>
                <w:bCs/>
                <w:sz w:val="22"/>
                <w:szCs w:val="22"/>
                <w:lang w:eastAsia="es-CR"/>
              </w:rPr>
              <w:t>Puesto Actual</w:t>
            </w:r>
          </w:p>
        </w:tc>
        <w:tc>
          <w:tcPr>
            <w:tcW w:w="0" w:type="auto"/>
            <w:shd w:val="clear" w:color="FFFFFF" w:fill="0B64A0"/>
          </w:tcPr>
          <w:p w14:paraId="27449BC3" w14:textId="77777777" w:rsidR="00B15F7D" w:rsidRPr="00990FB6" w:rsidRDefault="00B15F7D" w:rsidP="00B15F7D">
            <w:pPr>
              <w:rPr>
                <w:b/>
                <w:bCs/>
                <w:sz w:val="22"/>
                <w:szCs w:val="22"/>
                <w:lang w:eastAsia="es-CR"/>
              </w:rPr>
            </w:pPr>
            <w:r w:rsidRPr="00990FB6">
              <w:rPr>
                <w:b/>
                <w:bCs/>
                <w:sz w:val="22"/>
                <w:szCs w:val="22"/>
                <w:lang w:eastAsia="es-CR"/>
              </w:rPr>
              <w:t>Puesto requerido</w:t>
            </w:r>
          </w:p>
        </w:tc>
        <w:tc>
          <w:tcPr>
            <w:tcW w:w="0" w:type="auto"/>
            <w:shd w:val="clear" w:color="FFFFFF" w:fill="0B64A0"/>
            <w:noWrap/>
            <w:vAlign w:val="center"/>
            <w:hideMark/>
          </w:tcPr>
          <w:p w14:paraId="0E184C2E" w14:textId="77777777" w:rsidR="00B15F7D" w:rsidRPr="00990FB6" w:rsidRDefault="00B15F7D" w:rsidP="00B15F7D">
            <w:pPr>
              <w:rPr>
                <w:b/>
                <w:bCs/>
                <w:sz w:val="22"/>
                <w:szCs w:val="22"/>
                <w:lang w:eastAsia="es-CR"/>
              </w:rPr>
            </w:pPr>
            <w:r w:rsidRPr="00990FB6">
              <w:rPr>
                <w:b/>
                <w:bCs/>
                <w:sz w:val="22"/>
                <w:szCs w:val="22"/>
                <w:lang w:eastAsia="es-CR"/>
              </w:rPr>
              <w:t>Cantidad</w:t>
            </w:r>
          </w:p>
        </w:tc>
      </w:tr>
      <w:tr w:rsidR="00B15F7D" w:rsidRPr="00990FB6" w14:paraId="46B485E9" w14:textId="77777777" w:rsidTr="000A0C22">
        <w:trPr>
          <w:trHeight w:val="310"/>
          <w:jc w:val="center"/>
        </w:trPr>
        <w:tc>
          <w:tcPr>
            <w:tcW w:w="0" w:type="auto"/>
            <w:shd w:val="clear" w:color="auto" w:fill="auto"/>
            <w:vAlign w:val="center"/>
            <w:hideMark/>
          </w:tcPr>
          <w:p w14:paraId="0CF7FDE0" w14:textId="77777777" w:rsidR="00B15F7D" w:rsidRPr="00990FB6" w:rsidRDefault="00B15F7D" w:rsidP="00B15F7D">
            <w:pPr>
              <w:rPr>
                <w:sz w:val="22"/>
                <w:szCs w:val="22"/>
                <w:lang w:eastAsia="es-CR"/>
              </w:rPr>
            </w:pPr>
            <w:r w:rsidRPr="00990FB6">
              <w:rPr>
                <w:sz w:val="22"/>
                <w:szCs w:val="22"/>
                <w:lang w:eastAsia="es-CR"/>
              </w:rPr>
              <w:t>Fiscalía de Santa Cruz</w:t>
            </w:r>
          </w:p>
        </w:tc>
        <w:tc>
          <w:tcPr>
            <w:tcW w:w="0" w:type="auto"/>
          </w:tcPr>
          <w:p w14:paraId="20D329CF" w14:textId="77777777" w:rsidR="00B15F7D" w:rsidRPr="00990FB6" w:rsidRDefault="00B15F7D" w:rsidP="00B15F7D">
            <w:pPr>
              <w:jc w:val="center"/>
              <w:rPr>
                <w:sz w:val="22"/>
                <w:szCs w:val="22"/>
                <w:lang w:eastAsia="es-CR"/>
              </w:rPr>
            </w:pPr>
            <w:r w:rsidRPr="00990FB6">
              <w:rPr>
                <w:sz w:val="22"/>
                <w:szCs w:val="22"/>
                <w:lang w:eastAsia="es-CR"/>
              </w:rPr>
              <w:t>Técnica o Técnico Jurídico</w:t>
            </w:r>
          </w:p>
        </w:tc>
        <w:tc>
          <w:tcPr>
            <w:tcW w:w="0" w:type="auto"/>
          </w:tcPr>
          <w:p w14:paraId="5FF79CD9" w14:textId="77777777" w:rsidR="00B15F7D" w:rsidRPr="00990FB6" w:rsidRDefault="00B15F7D" w:rsidP="00B15F7D">
            <w:pPr>
              <w:jc w:val="center"/>
              <w:rPr>
                <w:sz w:val="22"/>
                <w:szCs w:val="22"/>
                <w:lang w:eastAsia="es-CR"/>
              </w:rPr>
            </w:pPr>
            <w:r w:rsidRPr="00990FB6">
              <w:rPr>
                <w:sz w:val="22"/>
                <w:szCs w:val="22"/>
                <w:lang w:eastAsia="es-CR"/>
              </w:rPr>
              <w:t>Fiscala o Fiscal Auxiliar</w:t>
            </w:r>
          </w:p>
        </w:tc>
        <w:tc>
          <w:tcPr>
            <w:tcW w:w="0" w:type="auto"/>
            <w:shd w:val="clear" w:color="auto" w:fill="auto"/>
            <w:noWrap/>
            <w:vAlign w:val="bottom"/>
            <w:hideMark/>
          </w:tcPr>
          <w:p w14:paraId="394928F1" w14:textId="77777777" w:rsidR="00B15F7D" w:rsidRPr="00990FB6" w:rsidRDefault="00B15F7D" w:rsidP="00B15F7D">
            <w:pPr>
              <w:jc w:val="center"/>
              <w:rPr>
                <w:sz w:val="22"/>
                <w:szCs w:val="22"/>
                <w:lang w:eastAsia="es-CR"/>
              </w:rPr>
            </w:pPr>
            <w:r w:rsidRPr="00990FB6">
              <w:rPr>
                <w:sz w:val="22"/>
                <w:szCs w:val="22"/>
                <w:lang w:eastAsia="es-CR"/>
              </w:rPr>
              <w:t>1</w:t>
            </w:r>
          </w:p>
        </w:tc>
      </w:tr>
      <w:tr w:rsidR="00B15F7D" w:rsidRPr="00990FB6" w14:paraId="74BC1171" w14:textId="77777777" w:rsidTr="000A0C22">
        <w:trPr>
          <w:trHeight w:val="310"/>
          <w:jc w:val="center"/>
        </w:trPr>
        <w:tc>
          <w:tcPr>
            <w:tcW w:w="0" w:type="auto"/>
            <w:shd w:val="clear" w:color="auto" w:fill="auto"/>
            <w:noWrap/>
            <w:vAlign w:val="center"/>
            <w:hideMark/>
          </w:tcPr>
          <w:p w14:paraId="168205C0" w14:textId="77777777" w:rsidR="00B15F7D" w:rsidRPr="00990FB6" w:rsidRDefault="00B15F7D" w:rsidP="00B15F7D">
            <w:pPr>
              <w:rPr>
                <w:sz w:val="22"/>
                <w:szCs w:val="22"/>
                <w:lang w:eastAsia="es-CR"/>
              </w:rPr>
            </w:pPr>
            <w:r w:rsidRPr="00990FB6">
              <w:rPr>
                <w:sz w:val="22"/>
                <w:szCs w:val="22"/>
                <w:lang w:eastAsia="es-CR"/>
              </w:rPr>
              <w:t>Fiscalía de Santa Cruz</w:t>
            </w:r>
          </w:p>
        </w:tc>
        <w:tc>
          <w:tcPr>
            <w:tcW w:w="0" w:type="auto"/>
          </w:tcPr>
          <w:p w14:paraId="152362E1" w14:textId="77777777" w:rsidR="00B15F7D" w:rsidRPr="00990FB6" w:rsidRDefault="00B15F7D" w:rsidP="00B15F7D">
            <w:pPr>
              <w:jc w:val="center"/>
              <w:rPr>
                <w:sz w:val="22"/>
                <w:szCs w:val="22"/>
                <w:lang w:eastAsia="es-CR"/>
              </w:rPr>
            </w:pPr>
            <w:r w:rsidRPr="00990FB6">
              <w:rPr>
                <w:sz w:val="22"/>
                <w:szCs w:val="22"/>
                <w:lang w:eastAsia="es-CR"/>
              </w:rPr>
              <w:t>Técnica o Técnico Jurídico</w:t>
            </w:r>
          </w:p>
        </w:tc>
        <w:tc>
          <w:tcPr>
            <w:tcW w:w="0" w:type="auto"/>
          </w:tcPr>
          <w:p w14:paraId="09951A33" w14:textId="77777777" w:rsidR="00B15F7D" w:rsidRPr="00990FB6" w:rsidRDefault="00B15F7D" w:rsidP="00B15F7D">
            <w:pPr>
              <w:jc w:val="center"/>
              <w:rPr>
                <w:sz w:val="22"/>
                <w:szCs w:val="22"/>
                <w:lang w:eastAsia="es-CR"/>
              </w:rPr>
            </w:pPr>
            <w:r w:rsidRPr="00990FB6">
              <w:rPr>
                <w:sz w:val="22"/>
                <w:szCs w:val="22"/>
                <w:lang w:eastAsia="es-CR"/>
              </w:rPr>
              <w:t>Fiscala o Fiscal Auxiliar</w:t>
            </w:r>
          </w:p>
        </w:tc>
        <w:tc>
          <w:tcPr>
            <w:tcW w:w="0" w:type="auto"/>
            <w:shd w:val="clear" w:color="auto" w:fill="auto"/>
            <w:noWrap/>
            <w:vAlign w:val="bottom"/>
            <w:hideMark/>
          </w:tcPr>
          <w:p w14:paraId="381ABC71" w14:textId="77777777" w:rsidR="00B15F7D" w:rsidRPr="00990FB6" w:rsidRDefault="00B15F7D" w:rsidP="00B15F7D">
            <w:pPr>
              <w:jc w:val="center"/>
              <w:rPr>
                <w:sz w:val="22"/>
                <w:szCs w:val="22"/>
                <w:lang w:eastAsia="es-CR"/>
              </w:rPr>
            </w:pPr>
            <w:r w:rsidRPr="00990FB6">
              <w:rPr>
                <w:sz w:val="22"/>
                <w:szCs w:val="22"/>
                <w:lang w:eastAsia="es-CR"/>
              </w:rPr>
              <w:t>1</w:t>
            </w:r>
          </w:p>
        </w:tc>
      </w:tr>
      <w:tr w:rsidR="00B15F7D" w:rsidRPr="00990FB6" w14:paraId="11B12048" w14:textId="77777777" w:rsidTr="000A0C22">
        <w:trPr>
          <w:trHeight w:val="310"/>
          <w:jc w:val="center"/>
        </w:trPr>
        <w:tc>
          <w:tcPr>
            <w:tcW w:w="0" w:type="auto"/>
            <w:shd w:val="clear" w:color="auto" w:fill="auto"/>
            <w:noWrap/>
            <w:vAlign w:val="center"/>
            <w:hideMark/>
          </w:tcPr>
          <w:p w14:paraId="6DF60672" w14:textId="77777777" w:rsidR="00B15F7D" w:rsidRPr="00990FB6" w:rsidRDefault="00B15F7D" w:rsidP="00B15F7D">
            <w:pPr>
              <w:rPr>
                <w:sz w:val="22"/>
                <w:szCs w:val="22"/>
                <w:lang w:eastAsia="es-CR"/>
              </w:rPr>
            </w:pPr>
            <w:r w:rsidRPr="00990FB6">
              <w:rPr>
                <w:sz w:val="22"/>
                <w:szCs w:val="22"/>
                <w:lang w:eastAsia="es-CR"/>
              </w:rPr>
              <w:t>Fiscalía de Santa Cruz</w:t>
            </w:r>
          </w:p>
        </w:tc>
        <w:tc>
          <w:tcPr>
            <w:tcW w:w="0" w:type="auto"/>
          </w:tcPr>
          <w:p w14:paraId="126240EC" w14:textId="77777777" w:rsidR="00B15F7D" w:rsidRPr="00990FB6" w:rsidRDefault="00B15F7D" w:rsidP="00B15F7D">
            <w:pPr>
              <w:jc w:val="center"/>
              <w:rPr>
                <w:sz w:val="22"/>
                <w:szCs w:val="22"/>
                <w:lang w:eastAsia="es-CR"/>
              </w:rPr>
            </w:pPr>
            <w:r w:rsidRPr="00990FB6">
              <w:rPr>
                <w:sz w:val="22"/>
                <w:szCs w:val="22"/>
                <w:lang w:eastAsia="es-CR"/>
              </w:rPr>
              <w:t>Técnica o Técnico Jurídico</w:t>
            </w:r>
          </w:p>
        </w:tc>
        <w:tc>
          <w:tcPr>
            <w:tcW w:w="0" w:type="auto"/>
          </w:tcPr>
          <w:p w14:paraId="5E615ACD" w14:textId="77777777" w:rsidR="00B15F7D" w:rsidRPr="00990FB6" w:rsidRDefault="00B15F7D" w:rsidP="00B15F7D">
            <w:pPr>
              <w:jc w:val="center"/>
              <w:rPr>
                <w:sz w:val="22"/>
                <w:szCs w:val="22"/>
                <w:lang w:eastAsia="es-CR"/>
              </w:rPr>
            </w:pPr>
            <w:r w:rsidRPr="00990FB6">
              <w:rPr>
                <w:sz w:val="22"/>
                <w:szCs w:val="22"/>
                <w:lang w:eastAsia="es-CR"/>
              </w:rPr>
              <w:t>Técnica o Técnico Judicial</w:t>
            </w:r>
          </w:p>
        </w:tc>
        <w:tc>
          <w:tcPr>
            <w:tcW w:w="0" w:type="auto"/>
            <w:shd w:val="clear" w:color="auto" w:fill="auto"/>
            <w:noWrap/>
            <w:vAlign w:val="bottom"/>
            <w:hideMark/>
          </w:tcPr>
          <w:p w14:paraId="57E545BC" w14:textId="77777777" w:rsidR="00B15F7D" w:rsidRPr="00990FB6" w:rsidRDefault="00B15F7D" w:rsidP="00B15F7D">
            <w:pPr>
              <w:jc w:val="center"/>
              <w:rPr>
                <w:sz w:val="22"/>
                <w:szCs w:val="22"/>
                <w:lang w:eastAsia="es-CR"/>
              </w:rPr>
            </w:pPr>
            <w:r w:rsidRPr="00990FB6">
              <w:rPr>
                <w:sz w:val="22"/>
                <w:szCs w:val="22"/>
                <w:lang w:eastAsia="es-CR"/>
              </w:rPr>
              <w:t>1</w:t>
            </w:r>
          </w:p>
        </w:tc>
      </w:tr>
      <w:tr w:rsidR="00B15F7D" w:rsidRPr="00990FB6" w14:paraId="68D7B6BB" w14:textId="77777777" w:rsidTr="000A0C22">
        <w:trPr>
          <w:trHeight w:val="310"/>
          <w:jc w:val="center"/>
        </w:trPr>
        <w:tc>
          <w:tcPr>
            <w:tcW w:w="0" w:type="auto"/>
            <w:shd w:val="clear" w:color="auto" w:fill="auto"/>
            <w:noWrap/>
            <w:vAlign w:val="center"/>
            <w:hideMark/>
          </w:tcPr>
          <w:p w14:paraId="53301B9C" w14:textId="77777777" w:rsidR="00B15F7D" w:rsidRPr="00990FB6" w:rsidRDefault="00B15F7D" w:rsidP="00B15F7D">
            <w:pPr>
              <w:rPr>
                <w:sz w:val="22"/>
                <w:szCs w:val="22"/>
                <w:lang w:eastAsia="es-CR"/>
              </w:rPr>
            </w:pPr>
            <w:r w:rsidRPr="00990FB6">
              <w:rPr>
                <w:sz w:val="22"/>
                <w:szCs w:val="22"/>
                <w:lang w:eastAsia="es-CR"/>
              </w:rPr>
              <w:t>Fiscalía de Santa Cruz</w:t>
            </w:r>
          </w:p>
        </w:tc>
        <w:tc>
          <w:tcPr>
            <w:tcW w:w="0" w:type="auto"/>
          </w:tcPr>
          <w:p w14:paraId="77A00503" w14:textId="77777777" w:rsidR="00B15F7D" w:rsidRPr="00990FB6" w:rsidRDefault="00B15F7D" w:rsidP="00B15F7D">
            <w:pPr>
              <w:jc w:val="center"/>
              <w:rPr>
                <w:sz w:val="22"/>
                <w:szCs w:val="22"/>
                <w:lang w:eastAsia="es-CR"/>
              </w:rPr>
            </w:pPr>
            <w:r w:rsidRPr="00990FB6">
              <w:rPr>
                <w:sz w:val="22"/>
                <w:szCs w:val="22"/>
                <w:lang w:eastAsia="es-CR"/>
              </w:rPr>
              <w:t>Técnica o Técnico Judicial</w:t>
            </w:r>
          </w:p>
        </w:tc>
        <w:tc>
          <w:tcPr>
            <w:tcW w:w="0" w:type="auto"/>
          </w:tcPr>
          <w:p w14:paraId="50ED4005" w14:textId="77777777" w:rsidR="00B15F7D" w:rsidRPr="00990FB6" w:rsidRDefault="00B15F7D" w:rsidP="00B15F7D">
            <w:pPr>
              <w:jc w:val="center"/>
              <w:rPr>
                <w:sz w:val="22"/>
                <w:szCs w:val="22"/>
                <w:lang w:eastAsia="es-CR"/>
              </w:rPr>
            </w:pPr>
            <w:r w:rsidRPr="00990FB6">
              <w:rPr>
                <w:sz w:val="22"/>
                <w:szCs w:val="22"/>
                <w:lang w:eastAsia="es-CR"/>
              </w:rPr>
              <w:t>Fiscala o Fiscal Auxiliar</w:t>
            </w:r>
          </w:p>
        </w:tc>
        <w:tc>
          <w:tcPr>
            <w:tcW w:w="0" w:type="auto"/>
            <w:shd w:val="clear" w:color="auto" w:fill="auto"/>
            <w:noWrap/>
            <w:vAlign w:val="bottom"/>
            <w:hideMark/>
          </w:tcPr>
          <w:p w14:paraId="38BDEA71" w14:textId="77777777" w:rsidR="00B15F7D" w:rsidRPr="00990FB6" w:rsidRDefault="00B15F7D" w:rsidP="00B15F7D">
            <w:pPr>
              <w:jc w:val="center"/>
              <w:rPr>
                <w:sz w:val="22"/>
                <w:szCs w:val="22"/>
                <w:lang w:eastAsia="es-CR"/>
              </w:rPr>
            </w:pPr>
            <w:r w:rsidRPr="00990FB6">
              <w:rPr>
                <w:sz w:val="22"/>
                <w:szCs w:val="22"/>
                <w:lang w:eastAsia="es-CR"/>
              </w:rPr>
              <w:t>1</w:t>
            </w:r>
          </w:p>
        </w:tc>
      </w:tr>
      <w:tr w:rsidR="00B15F7D" w:rsidRPr="00990FB6" w14:paraId="1DA8CC33" w14:textId="77777777" w:rsidTr="000A0C22">
        <w:trPr>
          <w:trHeight w:val="310"/>
          <w:jc w:val="center"/>
        </w:trPr>
        <w:tc>
          <w:tcPr>
            <w:tcW w:w="0" w:type="auto"/>
            <w:shd w:val="clear" w:color="auto" w:fill="auto"/>
            <w:vAlign w:val="center"/>
          </w:tcPr>
          <w:p w14:paraId="368A214A" w14:textId="77777777" w:rsidR="00B15F7D" w:rsidRPr="00990FB6" w:rsidRDefault="00B15F7D" w:rsidP="00B15F7D">
            <w:pPr>
              <w:jc w:val="center"/>
              <w:rPr>
                <w:b/>
                <w:sz w:val="22"/>
                <w:szCs w:val="22"/>
                <w:lang w:eastAsia="es-CR"/>
              </w:rPr>
            </w:pPr>
            <w:r w:rsidRPr="00990FB6">
              <w:rPr>
                <w:b/>
                <w:sz w:val="22"/>
                <w:szCs w:val="22"/>
                <w:lang w:eastAsia="es-CR"/>
              </w:rPr>
              <w:t>Total</w:t>
            </w:r>
          </w:p>
        </w:tc>
        <w:tc>
          <w:tcPr>
            <w:tcW w:w="0" w:type="auto"/>
          </w:tcPr>
          <w:p w14:paraId="6C2BE94C" w14:textId="77777777" w:rsidR="00B15F7D" w:rsidRPr="00990FB6" w:rsidRDefault="00B15F7D" w:rsidP="00B15F7D">
            <w:pPr>
              <w:rPr>
                <w:b/>
                <w:sz w:val="22"/>
                <w:szCs w:val="22"/>
                <w:lang w:eastAsia="es-CR"/>
              </w:rPr>
            </w:pPr>
          </w:p>
        </w:tc>
        <w:tc>
          <w:tcPr>
            <w:tcW w:w="0" w:type="auto"/>
          </w:tcPr>
          <w:p w14:paraId="6BA20B82" w14:textId="77777777" w:rsidR="00B15F7D" w:rsidRPr="00990FB6" w:rsidRDefault="00B15F7D" w:rsidP="00B15F7D">
            <w:pPr>
              <w:rPr>
                <w:b/>
                <w:sz w:val="22"/>
                <w:szCs w:val="22"/>
                <w:lang w:eastAsia="es-CR"/>
              </w:rPr>
            </w:pPr>
          </w:p>
        </w:tc>
        <w:tc>
          <w:tcPr>
            <w:tcW w:w="0" w:type="auto"/>
            <w:shd w:val="clear" w:color="auto" w:fill="auto"/>
            <w:noWrap/>
            <w:vAlign w:val="bottom"/>
          </w:tcPr>
          <w:p w14:paraId="42A060A7" w14:textId="77777777" w:rsidR="00B15F7D" w:rsidRPr="00990FB6" w:rsidRDefault="00B15F7D" w:rsidP="00B15F7D">
            <w:pPr>
              <w:rPr>
                <w:b/>
                <w:sz w:val="22"/>
                <w:szCs w:val="22"/>
                <w:lang w:eastAsia="es-CR"/>
              </w:rPr>
            </w:pPr>
            <w:r w:rsidRPr="00990FB6">
              <w:rPr>
                <w:b/>
                <w:sz w:val="22"/>
                <w:szCs w:val="22"/>
                <w:lang w:eastAsia="es-CR"/>
              </w:rPr>
              <w:t>4</w:t>
            </w:r>
          </w:p>
        </w:tc>
      </w:tr>
    </w:tbl>
    <w:p w14:paraId="6FAE78B9" w14:textId="77777777" w:rsidR="00B15F7D" w:rsidRPr="00990FB6" w:rsidRDefault="00B15F7D" w:rsidP="00B15F7D">
      <w:pPr>
        <w:ind w:left="851" w:right="851" w:firstLine="709"/>
        <w:jc w:val="both"/>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135A33E4" w14:textId="77777777" w:rsidR="00B15F7D" w:rsidRPr="00990FB6" w:rsidRDefault="00B15F7D" w:rsidP="00B15F7D">
      <w:pPr>
        <w:rPr>
          <w:sz w:val="22"/>
          <w:szCs w:val="22"/>
        </w:rPr>
      </w:pPr>
    </w:p>
    <w:p w14:paraId="06856DD9" w14:textId="77777777" w:rsidR="00B15F7D" w:rsidRPr="00990FB6" w:rsidRDefault="00B15F7D" w:rsidP="00B15F7D">
      <w:pPr>
        <w:numPr>
          <w:ilvl w:val="0"/>
          <w:numId w:val="181"/>
        </w:numPr>
        <w:suppressAutoHyphens w:val="0"/>
        <w:ind w:left="851" w:right="851" w:firstLine="709"/>
        <w:jc w:val="both"/>
        <w:rPr>
          <w:rFonts w:eastAsia="Calibri"/>
          <w:sz w:val="22"/>
          <w:szCs w:val="22"/>
        </w:rPr>
      </w:pPr>
      <w:r w:rsidRPr="00990FB6">
        <w:rPr>
          <w:rFonts w:eastAsia="Calibri"/>
          <w:sz w:val="22"/>
          <w:szCs w:val="22"/>
        </w:rPr>
        <w:t>Se recomienda la creación de 7 plazas de personal Técnico Judicial, con el fin de poder brindar un servicio oportuno a la persona usuaria debido a que este personal es el primer punto de contacto para los servicios que brinda la institución y el Ministerio Público en específico, hacia la comunidad, lo cual puede afectar los tiempos de respuesta al no contar con ese talento humano disponible a la hora de recibir las causas.</w:t>
      </w:r>
    </w:p>
    <w:p w14:paraId="47D3E444" w14:textId="77777777" w:rsidR="00B15F7D" w:rsidRPr="00990FB6" w:rsidRDefault="00B15F7D" w:rsidP="00B15F7D">
      <w:pPr>
        <w:ind w:left="851" w:right="851" w:firstLine="709"/>
        <w:jc w:val="both"/>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43"/>
        <w:gridCol w:w="1021"/>
      </w:tblGrid>
      <w:tr w:rsidR="00B15F7D" w:rsidRPr="00990FB6" w14:paraId="335E4D72" w14:textId="77777777" w:rsidTr="000A0C22">
        <w:trPr>
          <w:trHeight w:val="310"/>
          <w:jc w:val="center"/>
        </w:trPr>
        <w:tc>
          <w:tcPr>
            <w:tcW w:w="0" w:type="auto"/>
            <w:shd w:val="clear" w:color="FFFFFF" w:fill="0B64A0"/>
            <w:noWrap/>
            <w:vAlign w:val="center"/>
            <w:hideMark/>
          </w:tcPr>
          <w:p w14:paraId="26E8D4A7" w14:textId="77777777" w:rsidR="00B15F7D" w:rsidRPr="00990FB6" w:rsidRDefault="00B15F7D" w:rsidP="00B15F7D">
            <w:pPr>
              <w:jc w:val="center"/>
              <w:rPr>
                <w:b/>
                <w:bCs/>
                <w:sz w:val="22"/>
                <w:szCs w:val="22"/>
                <w:lang w:eastAsia="es-CR"/>
              </w:rPr>
            </w:pPr>
            <w:r w:rsidRPr="00990FB6">
              <w:rPr>
                <w:b/>
                <w:bCs/>
                <w:sz w:val="22"/>
                <w:szCs w:val="22"/>
                <w:lang w:eastAsia="es-CR"/>
              </w:rPr>
              <w:t>Oficina</w:t>
            </w:r>
          </w:p>
        </w:tc>
        <w:tc>
          <w:tcPr>
            <w:tcW w:w="0" w:type="auto"/>
            <w:shd w:val="clear" w:color="FFFFFF" w:fill="0B64A0"/>
            <w:noWrap/>
            <w:vAlign w:val="center"/>
            <w:hideMark/>
          </w:tcPr>
          <w:p w14:paraId="4D32DD3D" w14:textId="77777777" w:rsidR="00B15F7D" w:rsidRPr="00990FB6" w:rsidRDefault="00B15F7D" w:rsidP="00B15F7D">
            <w:pPr>
              <w:rPr>
                <w:b/>
                <w:bCs/>
                <w:sz w:val="22"/>
                <w:szCs w:val="22"/>
                <w:lang w:eastAsia="es-CR"/>
              </w:rPr>
            </w:pPr>
            <w:r w:rsidRPr="00990FB6">
              <w:rPr>
                <w:b/>
                <w:bCs/>
                <w:sz w:val="22"/>
                <w:szCs w:val="22"/>
                <w:lang w:eastAsia="es-CR"/>
              </w:rPr>
              <w:t>Cantidad</w:t>
            </w:r>
          </w:p>
        </w:tc>
      </w:tr>
      <w:tr w:rsidR="00B15F7D" w:rsidRPr="00990FB6" w14:paraId="1F1F900A" w14:textId="77777777" w:rsidTr="000A0C22">
        <w:trPr>
          <w:trHeight w:val="310"/>
          <w:jc w:val="center"/>
        </w:trPr>
        <w:tc>
          <w:tcPr>
            <w:tcW w:w="0" w:type="auto"/>
            <w:shd w:val="clear" w:color="auto" w:fill="auto"/>
            <w:vAlign w:val="center"/>
            <w:hideMark/>
          </w:tcPr>
          <w:p w14:paraId="43CDD18D" w14:textId="77777777" w:rsidR="00B15F7D" w:rsidRPr="00990FB6" w:rsidRDefault="00B15F7D" w:rsidP="00B15F7D">
            <w:pPr>
              <w:rPr>
                <w:sz w:val="22"/>
                <w:szCs w:val="22"/>
                <w:lang w:eastAsia="es-CR"/>
              </w:rPr>
            </w:pPr>
            <w:r w:rsidRPr="00990FB6">
              <w:rPr>
                <w:sz w:val="22"/>
                <w:szCs w:val="22"/>
                <w:lang w:eastAsia="es-CR"/>
              </w:rPr>
              <w:t>Fiscalía de Hatillo</w:t>
            </w:r>
          </w:p>
        </w:tc>
        <w:tc>
          <w:tcPr>
            <w:tcW w:w="0" w:type="auto"/>
            <w:shd w:val="clear" w:color="auto" w:fill="auto"/>
            <w:noWrap/>
            <w:vAlign w:val="bottom"/>
            <w:hideMark/>
          </w:tcPr>
          <w:p w14:paraId="49ECDE78" w14:textId="77777777" w:rsidR="00B15F7D" w:rsidRPr="00990FB6" w:rsidRDefault="00B15F7D" w:rsidP="00B15F7D">
            <w:pPr>
              <w:jc w:val="center"/>
              <w:rPr>
                <w:sz w:val="22"/>
                <w:szCs w:val="22"/>
                <w:lang w:eastAsia="es-CR"/>
              </w:rPr>
            </w:pPr>
            <w:r w:rsidRPr="00990FB6">
              <w:rPr>
                <w:sz w:val="22"/>
                <w:szCs w:val="22"/>
                <w:lang w:eastAsia="es-CR"/>
              </w:rPr>
              <w:t>4</w:t>
            </w:r>
          </w:p>
        </w:tc>
      </w:tr>
      <w:tr w:rsidR="00B15F7D" w:rsidRPr="00990FB6" w14:paraId="05B08488" w14:textId="77777777" w:rsidTr="000A0C22">
        <w:trPr>
          <w:trHeight w:val="310"/>
          <w:jc w:val="center"/>
        </w:trPr>
        <w:tc>
          <w:tcPr>
            <w:tcW w:w="0" w:type="auto"/>
            <w:shd w:val="clear" w:color="auto" w:fill="auto"/>
            <w:vAlign w:val="center"/>
          </w:tcPr>
          <w:p w14:paraId="18E59F6F" w14:textId="77777777" w:rsidR="00B15F7D" w:rsidRPr="00990FB6" w:rsidRDefault="00B15F7D" w:rsidP="00B15F7D">
            <w:pPr>
              <w:rPr>
                <w:sz w:val="22"/>
                <w:szCs w:val="22"/>
                <w:lang w:eastAsia="es-CR"/>
              </w:rPr>
            </w:pPr>
            <w:r w:rsidRPr="00990FB6">
              <w:rPr>
                <w:sz w:val="22"/>
                <w:szCs w:val="22"/>
                <w:lang w:eastAsia="es-CR"/>
              </w:rPr>
              <w:t>Fiscalía Adjunta de Heredia</w:t>
            </w:r>
          </w:p>
        </w:tc>
        <w:tc>
          <w:tcPr>
            <w:tcW w:w="0" w:type="auto"/>
            <w:shd w:val="clear" w:color="auto" w:fill="auto"/>
            <w:noWrap/>
            <w:vAlign w:val="bottom"/>
          </w:tcPr>
          <w:p w14:paraId="3C2229F6" w14:textId="77777777" w:rsidR="00B15F7D" w:rsidRPr="00990FB6" w:rsidRDefault="00B15F7D" w:rsidP="00B15F7D">
            <w:pPr>
              <w:jc w:val="center"/>
              <w:rPr>
                <w:sz w:val="22"/>
                <w:szCs w:val="22"/>
                <w:lang w:eastAsia="es-CR"/>
              </w:rPr>
            </w:pPr>
            <w:r w:rsidRPr="00990FB6">
              <w:rPr>
                <w:sz w:val="22"/>
                <w:szCs w:val="22"/>
                <w:lang w:eastAsia="es-CR"/>
              </w:rPr>
              <w:t>1</w:t>
            </w:r>
          </w:p>
        </w:tc>
      </w:tr>
      <w:tr w:rsidR="00B15F7D" w:rsidRPr="00990FB6" w14:paraId="1625B090" w14:textId="77777777" w:rsidTr="000A0C22">
        <w:trPr>
          <w:trHeight w:val="310"/>
          <w:jc w:val="center"/>
        </w:trPr>
        <w:tc>
          <w:tcPr>
            <w:tcW w:w="0" w:type="auto"/>
            <w:shd w:val="clear" w:color="auto" w:fill="auto"/>
            <w:noWrap/>
            <w:vAlign w:val="center"/>
            <w:hideMark/>
          </w:tcPr>
          <w:p w14:paraId="5FD917CB" w14:textId="77777777" w:rsidR="00B15F7D" w:rsidRPr="00990FB6" w:rsidRDefault="00B15F7D" w:rsidP="00B15F7D">
            <w:pPr>
              <w:rPr>
                <w:sz w:val="22"/>
                <w:szCs w:val="22"/>
                <w:lang w:eastAsia="es-CR"/>
              </w:rPr>
            </w:pPr>
            <w:r w:rsidRPr="00990FB6">
              <w:rPr>
                <w:sz w:val="22"/>
                <w:szCs w:val="22"/>
                <w:lang w:eastAsia="es-CR"/>
              </w:rPr>
              <w:lastRenderedPageBreak/>
              <w:t>Fiscalía del Tercer Circuito Judicial de San José-Desamparados</w:t>
            </w:r>
          </w:p>
        </w:tc>
        <w:tc>
          <w:tcPr>
            <w:tcW w:w="0" w:type="auto"/>
            <w:shd w:val="clear" w:color="auto" w:fill="auto"/>
            <w:noWrap/>
            <w:vAlign w:val="bottom"/>
            <w:hideMark/>
          </w:tcPr>
          <w:p w14:paraId="26729E0A" w14:textId="77777777" w:rsidR="00B15F7D" w:rsidRPr="00990FB6" w:rsidRDefault="00B15F7D" w:rsidP="00B15F7D">
            <w:pPr>
              <w:jc w:val="center"/>
              <w:rPr>
                <w:sz w:val="22"/>
                <w:szCs w:val="22"/>
                <w:lang w:eastAsia="es-CR"/>
              </w:rPr>
            </w:pPr>
            <w:r w:rsidRPr="00990FB6">
              <w:rPr>
                <w:sz w:val="22"/>
                <w:szCs w:val="22"/>
                <w:lang w:eastAsia="es-CR"/>
              </w:rPr>
              <w:t>1</w:t>
            </w:r>
          </w:p>
        </w:tc>
      </w:tr>
      <w:tr w:rsidR="00B15F7D" w:rsidRPr="00990FB6" w14:paraId="2EE9289D" w14:textId="77777777" w:rsidTr="000A0C22">
        <w:trPr>
          <w:trHeight w:val="310"/>
          <w:jc w:val="center"/>
        </w:trPr>
        <w:tc>
          <w:tcPr>
            <w:tcW w:w="0" w:type="auto"/>
            <w:shd w:val="clear" w:color="auto" w:fill="auto"/>
            <w:noWrap/>
            <w:vAlign w:val="center"/>
            <w:hideMark/>
          </w:tcPr>
          <w:p w14:paraId="3EF3505D" w14:textId="77777777" w:rsidR="00B15F7D" w:rsidRPr="00990FB6" w:rsidRDefault="00B15F7D" w:rsidP="00B15F7D">
            <w:pPr>
              <w:rPr>
                <w:sz w:val="22"/>
                <w:szCs w:val="22"/>
                <w:lang w:eastAsia="es-CR"/>
              </w:rPr>
            </w:pPr>
            <w:r w:rsidRPr="00990FB6">
              <w:rPr>
                <w:sz w:val="22"/>
                <w:szCs w:val="22"/>
                <w:lang w:eastAsia="es-CR"/>
              </w:rPr>
              <w:t>Fiscalía de Santa Cruz</w:t>
            </w:r>
          </w:p>
        </w:tc>
        <w:tc>
          <w:tcPr>
            <w:tcW w:w="0" w:type="auto"/>
            <w:shd w:val="clear" w:color="auto" w:fill="auto"/>
            <w:noWrap/>
            <w:vAlign w:val="bottom"/>
            <w:hideMark/>
          </w:tcPr>
          <w:p w14:paraId="175EE7A3" w14:textId="77777777" w:rsidR="00B15F7D" w:rsidRPr="00990FB6" w:rsidRDefault="00B15F7D" w:rsidP="00B15F7D">
            <w:pPr>
              <w:jc w:val="center"/>
              <w:rPr>
                <w:sz w:val="22"/>
                <w:szCs w:val="22"/>
                <w:lang w:eastAsia="es-CR"/>
              </w:rPr>
            </w:pPr>
            <w:r w:rsidRPr="00990FB6">
              <w:rPr>
                <w:sz w:val="22"/>
                <w:szCs w:val="22"/>
                <w:lang w:eastAsia="es-CR"/>
              </w:rPr>
              <w:t>1</w:t>
            </w:r>
          </w:p>
        </w:tc>
      </w:tr>
      <w:tr w:rsidR="00B15F7D" w:rsidRPr="00990FB6" w14:paraId="39D0AC53" w14:textId="77777777" w:rsidTr="000A0C22">
        <w:trPr>
          <w:trHeight w:val="310"/>
          <w:jc w:val="center"/>
        </w:trPr>
        <w:tc>
          <w:tcPr>
            <w:tcW w:w="0" w:type="auto"/>
            <w:shd w:val="clear" w:color="auto" w:fill="auto"/>
            <w:vAlign w:val="center"/>
          </w:tcPr>
          <w:p w14:paraId="41C7E50E" w14:textId="77777777" w:rsidR="00B15F7D" w:rsidRPr="00990FB6" w:rsidRDefault="00B15F7D" w:rsidP="00B15F7D">
            <w:pPr>
              <w:jc w:val="center"/>
              <w:rPr>
                <w:b/>
                <w:sz w:val="22"/>
                <w:szCs w:val="22"/>
                <w:lang w:eastAsia="es-CR"/>
              </w:rPr>
            </w:pPr>
            <w:r w:rsidRPr="00990FB6">
              <w:rPr>
                <w:b/>
                <w:sz w:val="22"/>
                <w:szCs w:val="22"/>
                <w:lang w:eastAsia="es-CR"/>
              </w:rPr>
              <w:t>Total</w:t>
            </w:r>
          </w:p>
        </w:tc>
        <w:tc>
          <w:tcPr>
            <w:tcW w:w="0" w:type="auto"/>
            <w:shd w:val="clear" w:color="auto" w:fill="auto"/>
            <w:noWrap/>
            <w:vAlign w:val="bottom"/>
          </w:tcPr>
          <w:p w14:paraId="2CAB11A5" w14:textId="77777777" w:rsidR="00B15F7D" w:rsidRPr="00990FB6" w:rsidRDefault="00B15F7D" w:rsidP="00B15F7D">
            <w:pPr>
              <w:rPr>
                <w:b/>
                <w:sz w:val="22"/>
                <w:szCs w:val="22"/>
                <w:lang w:eastAsia="es-CR"/>
              </w:rPr>
            </w:pPr>
            <w:r w:rsidRPr="00990FB6">
              <w:rPr>
                <w:b/>
                <w:sz w:val="22"/>
                <w:szCs w:val="22"/>
                <w:lang w:eastAsia="es-CR"/>
              </w:rPr>
              <w:t>7</w:t>
            </w:r>
          </w:p>
        </w:tc>
      </w:tr>
    </w:tbl>
    <w:p w14:paraId="156FCDA3" w14:textId="77777777" w:rsidR="00B15F7D" w:rsidRPr="00990FB6" w:rsidRDefault="00B15F7D" w:rsidP="00B15F7D">
      <w:pPr>
        <w:ind w:left="851" w:right="851" w:firstLine="709"/>
        <w:jc w:val="both"/>
        <w:rPr>
          <w:sz w:val="22"/>
          <w:szCs w:val="22"/>
        </w:rPr>
      </w:pPr>
      <w:r w:rsidRPr="00990FB6">
        <w:rPr>
          <w:sz w:val="22"/>
          <w:szCs w:val="22"/>
        </w:rPr>
        <w:t>Fuente: Elaboración propia con la información suministrada por las Fiscalías del Ministerio Público, el Subproceso de Presupuesto y Proyectos, así como del Subproceso de Modernización Institucional de la Dirección de Planificación.</w:t>
      </w:r>
    </w:p>
    <w:p w14:paraId="7D30A5C0" w14:textId="77777777" w:rsidR="00B15F7D" w:rsidRPr="00990FB6" w:rsidRDefault="00B15F7D" w:rsidP="00B15F7D">
      <w:pPr>
        <w:rPr>
          <w:rFonts w:eastAsia="Arial"/>
          <w:sz w:val="22"/>
          <w:szCs w:val="22"/>
        </w:rPr>
      </w:pPr>
    </w:p>
    <w:p w14:paraId="4E53B827" w14:textId="77777777" w:rsidR="00B15F7D" w:rsidRPr="00990FB6" w:rsidRDefault="00B15F7D" w:rsidP="00B15F7D">
      <w:pPr>
        <w:ind w:left="851" w:right="851" w:firstLine="709"/>
        <w:jc w:val="both"/>
        <w:rPr>
          <w:rFonts w:eastAsia="Arial"/>
          <w:sz w:val="22"/>
          <w:szCs w:val="22"/>
        </w:rPr>
      </w:pPr>
      <w:r w:rsidRPr="00990FB6">
        <w:rPr>
          <w:rFonts w:eastAsia="Arial"/>
          <w:sz w:val="22"/>
          <w:szCs w:val="22"/>
        </w:rPr>
        <w:t>Es debido a todo lo expuesto anteriormente en este informe que se determinó la necesidad de contar con el total de ese personal fiscal, fiscal auxiliar y técnico judicial para mejorar el servicio que prestan las diferentes Fiscalías territoriales del país a los diferentes Juzgados Penales y Tribunales Penales de las respectivas competencias territoriales, así como a las personas usuarias que necesitan del sistema judicial en la zona, por lo que en total se requeriría un monto final de ₡1 540 219 459,00, compuesto por ₡1 367 045 000,00 por plazas nuevas (personal fiscal y personal técnico judicial), ₡137 562 000,00, por plazas recalificadas para personal fiscal auxiliar y técnico judicial y ₡35 612 459,00 por equipo, licencias y mobiliario indispensables para desempeñar sus funciones, así como de cumplir con las estructuras regionales del Modelo Penal y planes de mejora implementados en las diferentes localidades.</w:t>
      </w:r>
    </w:p>
    <w:p w14:paraId="7CCC7E51" w14:textId="77777777" w:rsidR="00B15F7D" w:rsidRPr="00990FB6" w:rsidRDefault="00B15F7D" w:rsidP="00B15F7D">
      <w:pPr>
        <w:ind w:left="851" w:right="851" w:firstLine="709"/>
        <w:jc w:val="both"/>
        <w:rPr>
          <w:rFonts w:eastAsia="Arial"/>
          <w:sz w:val="22"/>
          <w:szCs w:val="22"/>
        </w:rPr>
      </w:pPr>
    </w:p>
    <w:p w14:paraId="4C16D493" w14:textId="7A6B576C" w:rsidR="00B15F7D" w:rsidRPr="00990FB6" w:rsidRDefault="00B15F7D" w:rsidP="00B15F7D">
      <w:pPr>
        <w:ind w:left="851" w:right="851" w:firstLine="709"/>
        <w:jc w:val="both"/>
        <w:rPr>
          <w:rFonts w:eastAsia="Arial"/>
          <w:sz w:val="22"/>
          <w:szCs w:val="22"/>
        </w:rPr>
      </w:pPr>
      <w:r w:rsidRPr="00990FB6">
        <w:rPr>
          <w:rFonts w:eastAsia="Arial"/>
          <w:sz w:val="22"/>
          <w:szCs w:val="22"/>
        </w:rPr>
        <w:t>Es de resaltar que el análisis se presenta con fundamento en la información disponible a la fecha de la presentación de este informe.</w:t>
      </w:r>
    </w:p>
    <w:p w14:paraId="0305CDE3" w14:textId="77777777" w:rsidR="007B2513" w:rsidRPr="00990FB6" w:rsidRDefault="007B2513" w:rsidP="00B15F7D">
      <w:pPr>
        <w:ind w:left="851" w:right="851" w:firstLine="709"/>
        <w:jc w:val="both"/>
        <w:rPr>
          <w:rFonts w:eastAsia="Arial"/>
          <w:sz w:val="22"/>
          <w:szCs w:val="22"/>
        </w:rPr>
      </w:pPr>
    </w:p>
    <w:p w14:paraId="22E5DBA7" w14:textId="77777777" w:rsidR="00B15F7D" w:rsidRPr="00990FB6" w:rsidRDefault="00B15F7D" w:rsidP="00B15F7D">
      <w:pPr>
        <w:jc w:val="center"/>
        <w:rPr>
          <w:rFonts w:eastAsia="Arial"/>
          <w:sz w:val="22"/>
          <w:szCs w:val="22"/>
        </w:rPr>
      </w:pPr>
      <w:r w:rsidRPr="00990FB6">
        <w:rPr>
          <w:rFonts w:eastAsia="Arial"/>
          <w:sz w:val="22"/>
          <w:szCs w:val="22"/>
        </w:rPr>
        <w:t>-0-</w:t>
      </w:r>
    </w:p>
    <w:p w14:paraId="67285DBF" w14:textId="77777777" w:rsidR="00B15F7D" w:rsidRPr="00990FB6" w:rsidRDefault="00B15F7D" w:rsidP="00B15F7D">
      <w:pPr>
        <w:jc w:val="center"/>
        <w:rPr>
          <w:rFonts w:eastAsia="Arial"/>
          <w:sz w:val="22"/>
          <w:szCs w:val="22"/>
        </w:rPr>
      </w:pPr>
    </w:p>
    <w:p w14:paraId="12A15E8D" w14:textId="77777777" w:rsidR="00B15F7D" w:rsidRPr="00990FB6" w:rsidRDefault="00B15F7D" w:rsidP="00B15F7D">
      <w:pPr>
        <w:suppressAutoHyphens w:val="0"/>
        <w:ind w:left="851" w:right="851" w:firstLine="709"/>
        <w:jc w:val="both"/>
        <w:rPr>
          <w:bCs/>
          <w:sz w:val="22"/>
          <w:szCs w:val="22"/>
        </w:rPr>
      </w:pPr>
      <w:r w:rsidRPr="00990FB6">
        <w:rPr>
          <w:rFonts w:eastAsia="Arial"/>
          <w:b/>
          <w:bCs/>
          <w:sz w:val="22"/>
          <w:szCs w:val="22"/>
        </w:rPr>
        <w:t>Se acordó</w:t>
      </w:r>
      <w:r w:rsidRPr="00990FB6">
        <w:rPr>
          <w:rFonts w:eastAsia="Arial"/>
          <w:sz w:val="22"/>
          <w:szCs w:val="22"/>
        </w:rPr>
        <w:t xml:space="preserve">: </w:t>
      </w:r>
      <w:r w:rsidRPr="00990FB6">
        <w:rPr>
          <w:rFonts w:eastAsia="Arial"/>
          <w:b/>
          <w:bCs/>
          <w:sz w:val="22"/>
          <w:szCs w:val="22"/>
        </w:rPr>
        <w:t>1)</w:t>
      </w:r>
      <w:r w:rsidRPr="00990FB6">
        <w:rPr>
          <w:rFonts w:eastAsia="Arial"/>
          <w:sz w:val="22"/>
          <w:szCs w:val="22"/>
        </w:rPr>
        <w:t xml:space="preserve"> Aprobar el informe </w:t>
      </w:r>
      <w:r w:rsidRPr="00990FB6">
        <w:rPr>
          <w:sz w:val="22"/>
          <w:szCs w:val="22"/>
          <w:lang w:val="es-MX"/>
        </w:rPr>
        <w:t>271- PLA-RH-MI(PL)-2023 y sus recomendaciones</w:t>
      </w:r>
      <w:r w:rsidRPr="00990FB6">
        <w:rPr>
          <w:rFonts w:eastAsia="Arial"/>
          <w:sz w:val="22"/>
          <w:szCs w:val="22"/>
        </w:rPr>
        <w:t>, relacionado con la Formulación Presupuestaria 2024-Análisis de requerimiento del personal fiscal en el Ministerio Público</w:t>
      </w:r>
      <w:r w:rsidRPr="00990FB6">
        <w:rPr>
          <w:rFonts w:eastAsia="Arial"/>
          <w:i/>
          <w:iCs/>
          <w:sz w:val="22"/>
          <w:szCs w:val="22"/>
        </w:rPr>
        <w:t>.</w:t>
      </w:r>
      <w:r w:rsidRPr="00990FB6">
        <w:rPr>
          <w:rFonts w:eastAsia="Arial"/>
          <w:sz w:val="22"/>
          <w:szCs w:val="22"/>
        </w:rPr>
        <w:t xml:space="preserve"> </w:t>
      </w:r>
      <w:r w:rsidRPr="00990FB6">
        <w:rPr>
          <w:rFonts w:eastAsia="Arial"/>
          <w:b/>
          <w:bCs/>
          <w:sz w:val="22"/>
          <w:szCs w:val="22"/>
        </w:rPr>
        <w:t>2)</w:t>
      </w:r>
      <w:r w:rsidRPr="00990FB6">
        <w:rPr>
          <w:rFonts w:eastAsia="Arial"/>
          <w:sz w:val="22"/>
          <w:szCs w:val="22"/>
        </w:rPr>
        <w:t xml:space="preserve"> </w:t>
      </w:r>
      <w:r w:rsidRPr="00990FB6">
        <w:rPr>
          <w:sz w:val="22"/>
          <w:szCs w:val="22"/>
        </w:rPr>
        <w:t xml:space="preserve">Hacer del conocimiento de la Corte Plena para que valore remitir al Ministerio de Hacienda </w:t>
      </w:r>
      <w:r w:rsidRPr="00990FB6">
        <w:rPr>
          <w:rFonts w:eastAsia="Arial"/>
          <w:sz w:val="22"/>
          <w:szCs w:val="22"/>
        </w:rPr>
        <w:t xml:space="preserve">la necesidad de 24 plazas nuevas que requiere el Ministerio Público, para considerar la posibilidad de solicitar estos requerimientos ante el Ministerio de Hacienda. </w:t>
      </w:r>
      <w:r w:rsidRPr="00990FB6">
        <w:rPr>
          <w:rFonts w:eastAsia="Arial"/>
          <w:b/>
          <w:bCs/>
          <w:sz w:val="22"/>
          <w:szCs w:val="22"/>
        </w:rPr>
        <w:t xml:space="preserve">3.) </w:t>
      </w:r>
      <w:r w:rsidRPr="00990FB6">
        <w:rPr>
          <w:rFonts w:eastAsia="Arial"/>
          <w:sz w:val="22"/>
          <w:szCs w:val="22"/>
        </w:rPr>
        <w:t xml:space="preserve">La Dirección de Planificación realizará posteriormente el análisis de la necesidad de contar con fiscales adjuntos. </w:t>
      </w:r>
      <w:r w:rsidRPr="00990FB6">
        <w:rPr>
          <w:rFonts w:eastAsia="Arial"/>
          <w:b/>
          <w:bCs/>
          <w:sz w:val="22"/>
          <w:szCs w:val="22"/>
        </w:rPr>
        <w:t>Se declara este acuerdo firme.</w:t>
      </w:r>
      <w:r w:rsidRPr="00990FB6">
        <w:rPr>
          <w:bCs/>
          <w:sz w:val="22"/>
          <w:szCs w:val="22"/>
        </w:rPr>
        <w:t>”</w:t>
      </w:r>
    </w:p>
    <w:p w14:paraId="53B50BDB" w14:textId="77777777" w:rsidR="00B15F7D" w:rsidRPr="00990FB6" w:rsidRDefault="00B15F7D" w:rsidP="00B15F7D">
      <w:pPr>
        <w:rPr>
          <w:bCs/>
          <w:sz w:val="22"/>
          <w:szCs w:val="22"/>
          <w:lang w:val="es-CR"/>
        </w:rPr>
      </w:pPr>
    </w:p>
    <w:p w14:paraId="6394B915" w14:textId="77777777" w:rsidR="00B15F7D" w:rsidRPr="00990FB6" w:rsidRDefault="00B15F7D" w:rsidP="00B15F7D">
      <w:pPr>
        <w:jc w:val="center"/>
        <w:rPr>
          <w:bCs/>
          <w:sz w:val="22"/>
          <w:szCs w:val="22"/>
          <w:lang w:val="es-CR"/>
        </w:rPr>
      </w:pPr>
      <w:r w:rsidRPr="00990FB6">
        <w:rPr>
          <w:bCs/>
          <w:sz w:val="22"/>
          <w:szCs w:val="22"/>
          <w:lang w:val="es-CR"/>
        </w:rPr>
        <w:t>- 0 -</w:t>
      </w:r>
    </w:p>
    <w:p w14:paraId="5B8D4361" w14:textId="77777777" w:rsidR="00B15F7D" w:rsidRPr="00990FB6" w:rsidRDefault="00B15F7D" w:rsidP="00B15F7D">
      <w:pPr>
        <w:jc w:val="center"/>
        <w:rPr>
          <w:bCs/>
          <w:sz w:val="22"/>
          <w:szCs w:val="22"/>
          <w:lang w:val="es-CR"/>
        </w:rPr>
      </w:pPr>
    </w:p>
    <w:p w14:paraId="555EB787" w14:textId="77777777" w:rsidR="00B15F7D" w:rsidRPr="00990FB6" w:rsidRDefault="00B15F7D" w:rsidP="00B15F7D">
      <w:pPr>
        <w:tabs>
          <w:tab w:val="left" w:pos="1460"/>
        </w:tabs>
        <w:rPr>
          <w:sz w:val="22"/>
          <w:szCs w:val="22"/>
          <w:lang w:val="es-CR"/>
        </w:rPr>
      </w:pPr>
      <w:r w:rsidRPr="00990FB6">
        <w:rPr>
          <w:sz w:val="22"/>
          <w:szCs w:val="22"/>
          <w:lang w:val="es-CR"/>
        </w:rPr>
        <w:tab/>
      </w:r>
    </w:p>
    <w:p w14:paraId="2DB3A756" w14:textId="10B8367D" w:rsidR="00B15F7D" w:rsidRPr="00990FB6" w:rsidRDefault="00B15F7D" w:rsidP="00B15F7D">
      <w:pPr>
        <w:ind w:firstLine="708"/>
        <w:jc w:val="both"/>
        <w:rPr>
          <w:sz w:val="22"/>
          <w:szCs w:val="22"/>
          <w:lang w:val="es-CR"/>
        </w:rPr>
      </w:pPr>
      <w:r w:rsidRPr="00990FB6">
        <w:rPr>
          <w:sz w:val="22"/>
          <w:szCs w:val="22"/>
        </w:rPr>
        <w:t xml:space="preserve">El Consejo Superior, remite el acuerdo tomado en sesión </w:t>
      </w:r>
      <w:proofErr w:type="spellStart"/>
      <w:r w:rsidRPr="00990FB6">
        <w:rPr>
          <w:sz w:val="22"/>
          <w:szCs w:val="22"/>
        </w:rPr>
        <w:t>N°</w:t>
      </w:r>
      <w:proofErr w:type="spellEnd"/>
      <w:r w:rsidRPr="00990FB6">
        <w:rPr>
          <w:sz w:val="22"/>
          <w:szCs w:val="22"/>
        </w:rPr>
        <w:t xml:space="preserve"> 34-2023 celebrada el 25 de abril de 2023,</w:t>
      </w:r>
      <w:bookmarkStart w:id="51" w:name="_Toc132913997"/>
      <w:r w:rsidRPr="00990FB6">
        <w:rPr>
          <w:sz w:val="22"/>
          <w:szCs w:val="22"/>
        </w:rPr>
        <w:t xml:space="preserve"> </w:t>
      </w:r>
      <w:r w:rsidRPr="00990FB6">
        <w:rPr>
          <w:sz w:val="22"/>
          <w:szCs w:val="22"/>
          <w:lang w:val="es-CR"/>
        </w:rPr>
        <w:t>artículo XLVI</w:t>
      </w:r>
      <w:bookmarkEnd w:id="51"/>
      <w:r w:rsidRPr="00990FB6">
        <w:rPr>
          <w:sz w:val="22"/>
          <w:szCs w:val="22"/>
          <w:lang w:val="es-CR"/>
        </w:rPr>
        <w:t xml:space="preserve">, que literalmente dice: </w:t>
      </w:r>
    </w:p>
    <w:p w14:paraId="060F15A9" w14:textId="77777777" w:rsidR="007B2513" w:rsidRPr="00990FB6" w:rsidRDefault="007B2513" w:rsidP="00B15F7D">
      <w:pPr>
        <w:ind w:firstLine="708"/>
        <w:jc w:val="both"/>
        <w:rPr>
          <w:b/>
          <w:bCs/>
          <w:sz w:val="22"/>
          <w:szCs w:val="22"/>
          <w:u w:val="single"/>
          <w:lang w:val="es-CR"/>
        </w:rPr>
      </w:pPr>
    </w:p>
    <w:p w14:paraId="60275A4B" w14:textId="77777777" w:rsidR="00B15F7D" w:rsidRPr="00990FB6" w:rsidRDefault="00B15F7D" w:rsidP="00B15F7D">
      <w:pPr>
        <w:keepNext/>
        <w:tabs>
          <w:tab w:val="num" w:pos="0"/>
        </w:tabs>
        <w:ind w:left="851" w:right="851" w:firstLine="709"/>
        <w:jc w:val="both"/>
        <w:rPr>
          <w:b/>
          <w:bCs/>
          <w:sz w:val="22"/>
          <w:szCs w:val="22"/>
          <w:u w:val="single"/>
          <w:lang w:val="es-CR"/>
        </w:rPr>
      </w:pPr>
      <w:bookmarkStart w:id="52" w:name="_Toc135990701"/>
      <w:r w:rsidRPr="00990FB6">
        <w:rPr>
          <w:b/>
          <w:bCs/>
          <w:color w:val="000000"/>
          <w:sz w:val="22"/>
          <w:szCs w:val="22"/>
          <w:shd w:val="clear" w:color="auto" w:fill="FFFFFF"/>
          <w:lang w:val="es-CR"/>
        </w:rPr>
        <w:t>“</w:t>
      </w:r>
      <w:r w:rsidRPr="00990FB6">
        <w:rPr>
          <w:sz w:val="22"/>
          <w:szCs w:val="22"/>
          <w:lang w:val="es-CR"/>
        </w:rPr>
        <w:t>(…)</w:t>
      </w:r>
      <w:bookmarkEnd w:id="52"/>
    </w:p>
    <w:p w14:paraId="60BFD718" w14:textId="77777777" w:rsidR="00B15F7D" w:rsidRPr="00990FB6" w:rsidRDefault="00B15F7D" w:rsidP="00B15F7D">
      <w:pPr>
        <w:keepNext/>
        <w:tabs>
          <w:tab w:val="num" w:pos="0"/>
        </w:tabs>
        <w:ind w:left="851" w:right="851" w:firstLine="709"/>
        <w:jc w:val="both"/>
        <w:rPr>
          <w:b/>
          <w:bCs/>
          <w:sz w:val="22"/>
          <w:szCs w:val="22"/>
          <w:u w:val="single"/>
          <w:lang w:val="es-CR"/>
        </w:rPr>
      </w:pPr>
    </w:p>
    <w:p w14:paraId="3AABAA7B" w14:textId="77777777" w:rsidR="00B15F7D" w:rsidRPr="00990FB6" w:rsidRDefault="00B15F7D" w:rsidP="00B15F7D">
      <w:pPr>
        <w:autoSpaceDE w:val="0"/>
        <w:autoSpaceDN w:val="0"/>
        <w:adjustRightInd w:val="0"/>
        <w:ind w:left="851" w:right="851" w:firstLine="709"/>
        <w:jc w:val="both"/>
        <w:rPr>
          <w:b/>
          <w:bCs/>
          <w:sz w:val="22"/>
          <w:szCs w:val="22"/>
          <w:lang w:val="es-CR"/>
        </w:rPr>
      </w:pPr>
      <w:r w:rsidRPr="00990FB6">
        <w:rPr>
          <w:b/>
          <w:bCs/>
          <w:sz w:val="22"/>
          <w:szCs w:val="22"/>
          <w:lang w:val="es-CR"/>
        </w:rPr>
        <w:t xml:space="preserve">Documento </w:t>
      </w:r>
      <w:proofErr w:type="spellStart"/>
      <w:r w:rsidRPr="00990FB6">
        <w:rPr>
          <w:b/>
          <w:bCs/>
          <w:sz w:val="22"/>
          <w:szCs w:val="22"/>
          <w:lang w:val="es-CR"/>
        </w:rPr>
        <w:t>N°</w:t>
      </w:r>
      <w:proofErr w:type="spellEnd"/>
      <w:r w:rsidRPr="00990FB6">
        <w:rPr>
          <w:b/>
          <w:bCs/>
          <w:sz w:val="22"/>
          <w:szCs w:val="22"/>
          <w:lang w:val="es-CR"/>
        </w:rPr>
        <w:t xml:space="preserve"> 3999-2023</w:t>
      </w:r>
    </w:p>
    <w:p w14:paraId="66B806B3" w14:textId="77777777" w:rsidR="00B15F7D" w:rsidRPr="00990FB6" w:rsidRDefault="00B15F7D" w:rsidP="00B15F7D">
      <w:pPr>
        <w:autoSpaceDE w:val="0"/>
        <w:autoSpaceDN w:val="0"/>
        <w:adjustRightInd w:val="0"/>
        <w:ind w:left="851" w:right="851" w:firstLine="709"/>
        <w:jc w:val="both"/>
        <w:rPr>
          <w:b/>
          <w:bCs/>
          <w:sz w:val="22"/>
          <w:szCs w:val="22"/>
          <w:lang w:val="es-CR"/>
        </w:rPr>
      </w:pPr>
    </w:p>
    <w:p w14:paraId="3CE5EEF3" w14:textId="77777777" w:rsidR="00B15F7D" w:rsidRPr="00990FB6" w:rsidRDefault="00B15F7D" w:rsidP="00B15F7D">
      <w:pPr>
        <w:autoSpaceDE w:val="0"/>
        <w:autoSpaceDN w:val="0"/>
        <w:adjustRightInd w:val="0"/>
        <w:ind w:left="851" w:right="851" w:firstLine="709"/>
        <w:jc w:val="both"/>
        <w:rPr>
          <w:sz w:val="22"/>
          <w:szCs w:val="22"/>
          <w:lang w:val="es-MX"/>
        </w:rPr>
      </w:pPr>
      <w:r w:rsidRPr="00990FB6">
        <w:rPr>
          <w:sz w:val="22"/>
          <w:szCs w:val="22"/>
          <w:lang w:val="es-MX"/>
        </w:rPr>
        <w:lastRenderedPageBreak/>
        <w:t>La licenciada Nacira Valverde Bermúdez, Directora de Planificación, presenta el informe 283-PLA-RH-MI(NPL)-2023, relacionado con el impacto organizacional y presupuestario en el Poder Judicial a partir de la promulgación del Código Procesal de Familia para el 2024.</w:t>
      </w:r>
    </w:p>
    <w:p w14:paraId="5C0CA5A9" w14:textId="77777777" w:rsidR="00B15F7D" w:rsidRPr="00990FB6" w:rsidRDefault="00B15F7D" w:rsidP="00B15F7D">
      <w:pPr>
        <w:ind w:left="851" w:right="851" w:firstLine="709"/>
        <w:jc w:val="both"/>
        <w:rPr>
          <w:i/>
          <w:iCs/>
          <w:sz w:val="22"/>
          <w:szCs w:val="22"/>
          <w:lang w:val="es-CR" w:eastAsia="en-US"/>
        </w:rPr>
      </w:pPr>
      <w:r w:rsidRPr="00990FB6">
        <w:rPr>
          <w:sz w:val="22"/>
          <w:szCs w:val="22"/>
          <w:lang w:val="es-MX"/>
        </w:rPr>
        <w:t>“</w:t>
      </w:r>
      <w:r w:rsidRPr="00990FB6">
        <w:rPr>
          <w:i/>
          <w:iCs/>
          <w:sz w:val="22"/>
          <w:szCs w:val="22"/>
        </w:rPr>
        <w:t>“(…)</w:t>
      </w:r>
    </w:p>
    <w:p w14:paraId="6C3C25E0" w14:textId="77777777" w:rsidR="00B15F7D" w:rsidRPr="00990FB6" w:rsidRDefault="00B15F7D" w:rsidP="00B15F7D">
      <w:pPr>
        <w:shd w:val="clear" w:color="auto" w:fill="FFFFFF"/>
        <w:ind w:left="851" w:right="851" w:firstLine="709"/>
        <w:jc w:val="both"/>
        <w:rPr>
          <w:i/>
          <w:iCs/>
          <w:sz w:val="22"/>
          <w:szCs w:val="22"/>
        </w:rPr>
      </w:pPr>
    </w:p>
    <w:p w14:paraId="5A85E847" w14:textId="77777777" w:rsidR="00B15F7D" w:rsidRPr="00990FB6" w:rsidRDefault="00B15F7D" w:rsidP="00B15F7D">
      <w:pPr>
        <w:shd w:val="clear" w:color="auto" w:fill="FFFFFF"/>
        <w:ind w:left="851" w:right="851" w:firstLine="709"/>
        <w:jc w:val="both"/>
        <w:rPr>
          <w:i/>
          <w:iCs/>
          <w:sz w:val="22"/>
          <w:szCs w:val="22"/>
        </w:rPr>
      </w:pPr>
      <w:r w:rsidRPr="00990FB6">
        <w:rPr>
          <w:i/>
          <w:iCs/>
          <w:sz w:val="22"/>
          <w:szCs w:val="22"/>
        </w:rPr>
        <w:t xml:space="preserve">Les remito el informe suscrito por la Inga. Yesenia Salazar Guzmán, Jefe </w:t>
      </w:r>
      <w:proofErr w:type="spellStart"/>
      <w:r w:rsidRPr="00990FB6">
        <w:rPr>
          <w:i/>
          <w:iCs/>
          <w:sz w:val="22"/>
          <w:szCs w:val="22"/>
        </w:rPr>
        <w:t>a.í</w:t>
      </w:r>
      <w:proofErr w:type="spellEnd"/>
      <w:r w:rsidRPr="00990FB6">
        <w:rPr>
          <w:i/>
          <w:iCs/>
          <w:sz w:val="22"/>
          <w:szCs w:val="22"/>
        </w:rPr>
        <w:t xml:space="preserve"> del Subproceso de Modernización Institucional-No Penal, </w:t>
      </w:r>
    </w:p>
    <w:p w14:paraId="5E2CC6D4" w14:textId="77777777" w:rsidR="00B15F7D" w:rsidRPr="00990FB6" w:rsidRDefault="00B15F7D" w:rsidP="00B15F7D">
      <w:pPr>
        <w:shd w:val="clear" w:color="auto" w:fill="FFFFFF"/>
        <w:ind w:left="851" w:right="851" w:firstLine="709"/>
        <w:jc w:val="both"/>
        <w:rPr>
          <w:i/>
          <w:iCs/>
          <w:sz w:val="22"/>
          <w:szCs w:val="22"/>
          <w:u w:val="single"/>
        </w:rPr>
      </w:pPr>
    </w:p>
    <w:p w14:paraId="76D4A773" w14:textId="77777777" w:rsidR="00B15F7D" w:rsidRPr="00990FB6" w:rsidRDefault="00B15F7D" w:rsidP="00B15F7D">
      <w:pPr>
        <w:ind w:left="851" w:right="851" w:firstLine="709"/>
        <w:jc w:val="both"/>
        <w:rPr>
          <w:i/>
          <w:iCs/>
          <w:sz w:val="22"/>
          <w:szCs w:val="22"/>
        </w:rPr>
      </w:pPr>
      <w:r w:rsidRPr="00990FB6">
        <w:rPr>
          <w:i/>
          <w:iCs/>
          <w:sz w:val="22"/>
          <w:szCs w:val="22"/>
        </w:rPr>
        <w:t>Este informe además brinda respuesta a los oficios y referencias que se citan en el siguiente recuadro:</w:t>
      </w:r>
    </w:p>
    <w:p w14:paraId="5728F152" w14:textId="77777777" w:rsidR="00B15F7D" w:rsidRPr="00990FB6" w:rsidRDefault="00B15F7D" w:rsidP="00B15F7D">
      <w:pPr>
        <w:rPr>
          <w:sz w:val="22"/>
          <w:szCs w:val="22"/>
        </w:rPr>
      </w:pPr>
    </w:p>
    <w:tbl>
      <w:tblPr>
        <w:tblW w:w="5000" w:type="pct"/>
        <w:jc w:val="center"/>
        <w:tblCellMar>
          <w:left w:w="0" w:type="dxa"/>
          <w:right w:w="0" w:type="dxa"/>
        </w:tblCellMar>
        <w:tblLook w:val="04A0" w:firstRow="1" w:lastRow="0" w:firstColumn="1" w:lastColumn="0" w:noHBand="0" w:noVBand="1"/>
      </w:tblPr>
      <w:tblGrid>
        <w:gridCol w:w="1146"/>
        <w:gridCol w:w="812"/>
        <w:gridCol w:w="1363"/>
        <w:gridCol w:w="3341"/>
        <w:gridCol w:w="1692"/>
      </w:tblGrid>
      <w:tr w:rsidR="00B15F7D" w:rsidRPr="00990FB6" w14:paraId="610E5D4D" w14:textId="77777777" w:rsidTr="000A0C22">
        <w:trPr>
          <w:trHeight w:val="641"/>
          <w:jc w:val="center"/>
        </w:trPr>
        <w:tc>
          <w:tcPr>
            <w:tcW w:w="525" w:type="pct"/>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58BEAB15" w14:textId="77777777" w:rsidR="00B15F7D" w:rsidRPr="00990FB6" w:rsidRDefault="00B15F7D" w:rsidP="00B15F7D">
            <w:pPr>
              <w:jc w:val="center"/>
              <w:rPr>
                <w:b/>
                <w:i/>
                <w:iCs/>
                <w:sz w:val="22"/>
                <w:szCs w:val="22"/>
                <w:lang w:eastAsia="es-CR"/>
              </w:rPr>
            </w:pPr>
            <w:r w:rsidRPr="00990FB6">
              <w:rPr>
                <w:b/>
                <w:bCs/>
                <w:i/>
                <w:iCs/>
                <w:sz w:val="22"/>
                <w:szCs w:val="22"/>
              </w:rPr>
              <w:t>Oficio</w:t>
            </w:r>
          </w:p>
        </w:tc>
        <w:tc>
          <w:tcPr>
            <w:tcW w:w="526" w:type="pct"/>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25B62BBB" w14:textId="77777777" w:rsidR="00B15F7D" w:rsidRPr="00990FB6" w:rsidRDefault="00B15F7D" w:rsidP="00B15F7D">
            <w:pPr>
              <w:jc w:val="center"/>
              <w:rPr>
                <w:b/>
                <w:bCs/>
                <w:i/>
                <w:iCs/>
                <w:sz w:val="22"/>
                <w:szCs w:val="22"/>
                <w:lang w:eastAsia="en-US"/>
              </w:rPr>
            </w:pPr>
            <w:r w:rsidRPr="00990FB6">
              <w:rPr>
                <w:b/>
                <w:bCs/>
                <w:i/>
                <w:iCs/>
                <w:sz w:val="22"/>
                <w:szCs w:val="22"/>
              </w:rPr>
              <w:t>Fecha del</w:t>
            </w:r>
          </w:p>
          <w:p w14:paraId="58B87C60" w14:textId="77777777" w:rsidR="00B15F7D" w:rsidRPr="00990FB6" w:rsidRDefault="00B15F7D" w:rsidP="00B15F7D">
            <w:pPr>
              <w:jc w:val="center"/>
              <w:rPr>
                <w:b/>
                <w:i/>
                <w:iCs/>
                <w:sz w:val="22"/>
                <w:szCs w:val="22"/>
              </w:rPr>
            </w:pPr>
            <w:r w:rsidRPr="00990FB6">
              <w:rPr>
                <w:b/>
                <w:bCs/>
                <w:i/>
                <w:iCs/>
                <w:sz w:val="22"/>
                <w:szCs w:val="22"/>
              </w:rPr>
              <w:t>Oficio</w:t>
            </w:r>
          </w:p>
        </w:tc>
        <w:tc>
          <w:tcPr>
            <w:tcW w:w="856" w:type="pct"/>
            <w:tcBorders>
              <w:top w:val="single" w:sz="4" w:space="0" w:color="auto"/>
              <w:left w:val="single" w:sz="4" w:space="0" w:color="auto"/>
              <w:bottom w:val="single" w:sz="4" w:space="0" w:color="auto"/>
              <w:right w:val="single" w:sz="4" w:space="0" w:color="auto"/>
            </w:tcBorders>
            <w:shd w:val="clear" w:color="auto" w:fill="B4C6E7"/>
            <w:vAlign w:val="center"/>
            <w:hideMark/>
          </w:tcPr>
          <w:p w14:paraId="388847BE" w14:textId="77777777" w:rsidR="00B15F7D" w:rsidRPr="00990FB6" w:rsidRDefault="00B15F7D" w:rsidP="00B15F7D">
            <w:pPr>
              <w:jc w:val="center"/>
              <w:rPr>
                <w:b/>
                <w:bCs/>
                <w:i/>
                <w:iCs/>
                <w:sz w:val="22"/>
                <w:szCs w:val="22"/>
              </w:rPr>
            </w:pPr>
            <w:r w:rsidRPr="00990FB6">
              <w:rPr>
                <w:b/>
                <w:bCs/>
                <w:i/>
                <w:iCs/>
                <w:sz w:val="22"/>
                <w:szCs w:val="22"/>
              </w:rPr>
              <w:t>Remitente</w:t>
            </w:r>
          </w:p>
        </w:tc>
        <w:tc>
          <w:tcPr>
            <w:tcW w:w="2040" w:type="pct"/>
            <w:tcBorders>
              <w:top w:val="single" w:sz="4" w:space="0" w:color="auto"/>
              <w:left w:val="single" w:sz="4" w:space="0" w:color="auto"/>
              <w:bottom w:val="single" w:sz="4" w:space="0" w:color="auto"/>
              <w:right w:val="single" w:sz="4" w:space="0" w:color="auto"/>
            </w:tcBorders>
            <w:shd w:val="clear" w:color="auto" w:fill="B4C6E7"/>
            <w:vAlign w:val="center"/>
            <w:hideMark/>
          </w:tcPr>
          <w:p w14:paraId="5F3507D5" w14:textId="77777777" w:rsidR="00B15F7D" w:rsidRPr="00990FB6" w:rsidRDefault="00B15F7D" w:rsidP="00B15F7D">
            <w:pPr>
              <w:jc w:val="center"/>
              <w:rPr>
                <w:b/>
                <w:bCs/>
                <w:i/>
                <w:iCs/>
                <w:sz w:val="22"/>
                <w:szCs w:val="22"/>
              </w:rPr>
            </w:pPr>
            <w:r w:rsidRPr="00990FB6">
              <w:rPr>
                <w:b/>
                <w:bCs/>
                <w:i/>
                <w:iCs/>
                <w:sz w:val="22"/>
                <w:szCs w:val="22"/>
              </w:rPr>
              <w:t>Tema</w:t>
            </w:r>
          </w:p>
        </w:tc>
        <w:tc>
          <w:tcPr>
            <w:tcW w:w="1053" w:type="pct"/>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107A5EFB" w14:textId="77777777" w:rsidR="00B15F7D" w:rsidRPr="00990FB6" w:rsidRDefault="00B15F7D" w:rsidP="00B15F7D">
            <w:pPr>
              <w:jc w:val="center"/>
              <w:rPr>
                <w:b/>
                <w:bCs/>
                <w:i/>
                <w:iCs/>
                <w:sz w:val="22"/>
                <w:szCs w:val="22"/>
              </w:rPr>
            </w:pPr>
            <w:r w:rsidRPr="00990FB6">
              <w:rPr>
                <w:b/>
                <w:bCs/>
                <w:i/>
                <w:iCs/>
                <w:sz w:val="22"/>
                <w:szCs w:val="22"/>
              </w:rPr>
              <w:t>Referencia Interna</w:t>
            </w:r>
          </w:p>
          <w:p w14:paraId="419A8C8A" w14:textId="77777777" w:rsidR="00B15F7D" w:rsidRPr="00990FB6" w:rsidRDefault="00B15F7D" w:rsidP="00B15F7D">
            <w:pPr>
              <w:jc w:val="center"/>
              <w:rPr>
                <w:b/>
                <w:i/>
                <w:iCs/>
                <w:sz w:val="22"/>
                <w:szCs w:val="22"/>
              </w:rPr>
            </w:pPr>
            <w:r w:rsidRPr="00990FB6">
              <w:rPr>
                <w:b/>
                <w:i/>
                <w:iCs/>
                <w:sz w:val="22"/>
                <w:szCs w:val="22"/>
              </w:rPr>
              <w:t>Dir. Planificación</w:t>
            </w:r>
          </w:p>
        </w:tc>
      </w:tr>
      <w:tr w:rsidR="00B15F7D" w:rsidRPr="00990FB6" w14:paraId="699B4DD0" w14:textId="77777777" w:rsidTr="000A0C22">
        <w:trPr>
          <w:trHeight w:val="641"/>
          <w:jc w:val="center"/>
        </w:trPr>
        <w:tc>
          <w:tcPr>
            <w:tcW w:w="525"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F1E44A3" w14:textId="77777777" w:rsidR="00B15F7D" w:rsidRPr="00990FB6" w:rsidRDefault="00B15F7D" w:rsidP="00B15F7D">
            <w:pPr>
              <w:jc w:val="center"/>
              <w:rPr>
                <w:sz w:val="22"/>
                <w:szCs w:val="22"/>
              </w:rPr>
            </w:pPr>
            <w:r w:rsidRPr="00990FB6">
              <w:rPr>
                <w:sz w:val="22"/>
                <w:szCs w:val="22"/>
              </w:rPr>
              <w:t>694-2023</w:t>
            </w:r>
          </w:p>
        </w:tc>
        <w:tc>
          <w:tcPr>
            <w:tcW w:w="52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73C101C" w14:textId="77777777" w:rsidR="00B15F7D" w:rsidRPr="00990FB6" w:rsidRDefault="00B15F7D" w:rsidP="00B15F7D">
            <w:pPr>
              <w:jc w:val="center"/>
              <w:rPr>
                <w:sz w:val="22"/>
                <w:szCs w:val="22"/>
              </w:rPr>
            </w:pPr>
            <w:r w:rsidRPr="00990FB6">
              <w:rPr>
                <w:sz w:val="22"/>
                <w:szCs w:val="22"/>
              </w:rPr>
              <w:t>27-1-2023</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42D56A" w14:textId="77777777" w:rsidR="00B15F7D" w:rsidRPr="00990FB6" w:rsidRDefault="00B15F7D" w:rsidP="00B15F7D">
            <w:pPr>
              <w:jc w:val="both"/>
              <w:rPr>
                <w:sz w:val="22"/>
                <w:szCs w:val="22"/>
              </w:rPr>
            </w:pPr>
            <w:r w:rsidRPr="00990FB6">
              <w:rPr>
                <w:sz w:val="22"/>
                <w:szCs w:val="22"/>
              </w:rPr>
              <w:t xml:space="preserve">Secretaría General de la Corte </w:t>
            </w:r>
          </w:p>
        </w:tc>
        <w:tc>
          <w:tcPr>
            <w:tcW w:w="20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023C25" w14:textId="77777777" w:rsidR="00B15F7D" w:rsidRPr="00990FB6" w:rsidRDefault="00B15F7D" w:rsidP="00B15F7D">
            <w:pPr>
              <w:jc w:val="both"/>
              <w:rPr>
                <w:sz w:val="22"/>
                <w:szCs w:val="22"/>
              </w:rPr>
            </w:pPr>
            <w:r w:rsidRPr="00990FB6">
              <w:rPr>
                <w:sz w:val="22"/>
                <w:szCs w:val="22"/>
              </w:rPr>
              <w:t>Relacionado con el oficio 86-CJF-2022 de fecha 18 de noviembre del 2022, suscrito por la magistrada Roxana Chacón Artavia, Coordinadora de la Comisión de la Jurisdicción de Familia, Niñez y Adolescencia, en el que remitió el acuerdo tomado en sesión 12-2022 del 18 de octubre de 2022, artículo VII, en el que solicita se incorpore dentro del presupuesto institucional 2024, el requerimiento económico para la entrada en vigencia del Código Procesal de Familia.</w:t>
            </w:r>
          </w:p>
        </w:tc>
        <w:tc>
          <w:tcPr>
            <w:tcW w:w="105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9CA1BDA" w14:textId="77777777" w:rsidR="00B15F7D" w:rsidRPr="00990FB6" w:rsidRDefault="00B15F7D" w:rsidP="00B15F7D">
            <w:pPr>
              <w:jc w:val="center"/>
              <w:rPr>
                <w:sz w:val="22"/>
                <w:szCs w:val="22"/>
              </w:rPr>
            </w:pPr>
            <w:r w:rsidRPr="00990FB6">
              <w:rPr>
                <w:sz w:val="22"/>
                <w:szCs w:val="22"/>
              </w:rPr>
              <w:t>236-2023</w:t>
            </w:r>
          </w:p>
        </w:tc>
      </w:tr>
      <w:tr w:rsidR="00B15F7D" w:rsidRPr="00990FB6" w14:paraId="1D38404F" w14:textId="77777777" w:rsidTr="000A0C22">
        <w:trPr>
          <w:trHeight w:val="641"/>
          <w:jc w:val="center"/>
        </w:trPr>
        <w:tc>
          <w:tcPr>
            <w:tcW w:w="525"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60519AE" w14:textId="77777777" w:rsidR="00B15F7D" w:rsidRPr="00990FB6" w:rsidRDefault="00B15F7D" w:rsidP="00B15F7D">
            <w:pPr>
              <w:jc w:val="center"/>
              <w:rPr>
                <w:sz w:val="22"/>
                <w:szCs w:val="22"/>
              </w:rPr>
            </w:pPr>
            <w:r w:rsidRPr="00990FB6">
              <w:rPr>
                <w:sz w:val="22"/>
                <w:szCs w:val="22"/>
              </w:rPr>
              <w:t>059-CACMFJ-JEF-2023</w:t>
            </w:r>
          </w:p>
        </w:tc>
        <w:tc>
          <w:tcPr>
            <w:tcW w:w="52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CB6D805" w14:textId="77777777" w:rsidR="00B15F7D" w:rsidRPr="00990FB6" w:rsidRDefault="00B15F7D" w:rsidP="00B15F7D">
            <w:pPr>
              <w:jc w:val="center"/>
              <w:rPr>
                <w:sz w:val="22"/>
                <w:szCs w:val="22"/>
              </w:rPr>
            </w:pPr>
            <w:r w:rsidRPr="00990FB6">
              <w:rPr>
                <w:sz w:val="22"/>
                <w:szCs w:val="22"/>
              </w:rPr>
              <w:t>21-2-2023</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89E6F2" w14:textId="77777777" w:rsidR="00B15F7D" w:rsidRPr="00990FB6" w:rsidRDefault="00B15F7D" w:rsidP="00B15F7D">
            <w:pPr>
              <w:jc w:val="both"/>
              <w:rPr>
                <w:sz w:val="22"/>
                <w:szCs w:val="22"/>
              </w:rPr>
            </w:pPr>
            <w:r w:rsidRPr="00990FB6">
              <w:rPr>
                <w:sz w:val="22"/>
                <w:szCs w:val="22"/>
              </w:rPr>
              <w:t>Centro de Apoyo, Coordinación y Mejoramiento de la Función Jurisdiccional</w:t>
            </w:r>
          </w:p>
        </w:tc>
        <w:tc>
          <w:tcPr>
            <w:tcW w:w="20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6DB56C" w14:textId="77777777" w:rsidR="00B15F7D" w:rsidRPr="00990FB6" w:rsidRDefault="00B15F7D" w:rsidP="00B15F7D">
            <w:pPr>
              <w:jc w:val="both"/>
              <w:rPr>
                <w:sz w:val="22"/>
                <w:szCs w:val="22"/>
              </w:rPr>
            </w:pPr>
            <w:r w:rsidRPr="00990FB6">
              <w:rPr>
                <w:sz w:val="22"/>
                <w:szCs w:val="22"/>
              </w:rPr>
              <w:t>Relacionado con las necesidades presupuestarias con la entrada en vigencia de la Ley 9747 “Código Procesal de Familia”.</w:t>
            </w:r>
          </w:p>
        </w:tc>
        <w:tc>
          <w:tcPr>
            <w:tcW w:w="105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1D5AC1B" w14:textId="77777777" w:rsidR="00B15F7D" w:rsidRPr="00990FB6" w:rsidRDefault="00B15F7D" w:rsidP="00B15F7D">
            <w:pPr>
              <w:jc w:val="center"/>
              <w:rPr>
                <w:sz w:val="22"/>
                <w:szCs w:val="22"/>
              </w:rPr>
            </w:pPr>
            <w:r w:rsidRPr="00990FB6">
              <w:rPr>
                <w:sz w:val="22"/>
                <w:szCs w:val="22"/>
              </w:rPr>
              <w:t>448-2023</w:t>
            </w:r>
          </w:p>
        </w:tc>
      </w:tr>
      <w:tr w:rsidR="00B15F7D" w:rsidRPr="00990FB6" w14:paraId="65DD2C76" w14:textId="77777777" w:rsidTr="000A0C22">
        <w:trPr>
          <w:trHeight w:val="641"/>
          <w:jc w:val="center"/>
        </w:trPr>
        <w:tc>
          <w:tcPr>
            <w:tcW w:w="525"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207C888" w14:textId="77777777" w:rsidR="00B15F7D" w:rsidRPr="00990FB6" w:rsidRDefault="00B15F7D" w:rsidP="00B15F7D">
            <w:pPr>
              <w:jc w:val="center"/>
              <w:rPr>
                <w:sz w:val="22"/>
                <w:szCs w:val="22"/>
              </w:rPr>
            </w:pPr>
            <w:r w:rsidRPr="00990FB6">
              <w:rPr>
                <w:sz w:val="22"/>
                <w:szCs w:val="22"/>
              </w:rPr>
              <w:t>22-CJF-2023</w:t>
            </w:r>
          </w:p>
        </w:tc>
        <w:tc>
          <w:tcPr>
            <w:tcW w:w="52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FA4B4DD" w14:textId="77777777" w:rsidR="00B15F7D" w:rsidRPr="00990FB6" w:rsidRDefault="00B15F7D" w:rsidP="00B15F7D">
            <w:pPr>
              <w:jc w:val="center"/>
              <w:rPr>
                <w:sz w:val="22"/>
                <w:szCs w:val="22"/>
              </w:rPr>
            </w:pPr>
            <w:r w:rsidRPr="00990FB6">
              <w:rPr>
                <w:sz w:val="22"/>
                <w:szCs w:val="22"/>
              </w:rPr>
              <w:t>28-3-2023</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BB699C" w14:textId="77777777" w:rsidR="00B15F7D" w:rsidRPr="00990FB6" w:rsidRDefault="00B15F7D" w:rsidP="00B15F7D">
            <w:pPr>
              <w:jc w:val="both"/>
              <w:rPr>
                <w:sz w:val="22"/>
                <w:szCs w:val="22"/>
              </w:rPr>
            </w:pPr>
            <w:r w:rsidRPr="00990FB6">
              <w:rPr>
                <w:sz w:val="22"/>
                <w:szCs w:val="22"/>
              </w:rPr>
              <w:t>Centro de Apoyo, Coordinación y Mejoramiento de la Función Jurisdiccional</w:t>
            </w:r>
          </w:p>
        </w:tc>
        <w:tc>
          <w:tcPr>
            <w:tcW w:w="20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CF7205" w14:textId="77777777" w:rsidR="00B15F7D" w:rsidRPr="00990FB6" w:rsidRDefault="00B15F7D" w:rsidP="00B15F7D">
            <w:pPr>
              <w:jc w:val="both"/>
              <w:rPr>
                <w:sz w:val="22"/>
                <w:szCs w:val="22"/>
              </w:rPr>
            </w:pPr>
            <w:r w:rsidRPr="00990FB6">
              <w:rPr>
                <w:sz w:val="22"/>
                <w:szCs w:val="22"/>
              </w:rPr>
              <w:t>Actualización de los recursos necesarios para la implementación del Código Procesal de Familia donde se exponen algunas consideraciones para que sean tomadas en cuenta en la formulación del presupuesto institucional 2024.</w:t>
            </w:r>
          </w:p>
        </w:tc>
        <w:tc>
          <w:tcPr>
            <w:tcW w:w="105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D55F677" w14:textId="77777777" w:rsidR="00B15F7D" w:rsidRPr="00990FB6" w:rsidRDefault="00B15F7D" w:rsidP="00B15F7D">
            <w:pPr>
              <w:jc w:val="center"/>
              <w:rPr>
                <w:sz w:val="22"/>
                <w:szCs w:val="22"/>
              </w:rPr>
            </w:pPr>
            <w:r w:rsidRPr="00990FB6">
              <w:rPr>
                <w:sz w:val="22"/>
                <w:szCs w:val="22"/>
              </w:rPr>
              <w:t>788-2023</w:t>
            </w:r>
          </w:p>
        </w:tc>
      </w:tr>
    </w:tbl>
    <w:p w14:paraId="70FFA72C" w14:textId="77777777" w:rsidR="00B15F7D" w:rsidRPr="00990FB6" w:rsidRDefault="00B15F7D" w:rsidP="00B15F7D">
      <w:pPr>
        <w:rPr>
          <w:sz w:val="22"/>
          <w:szCs w:val="22"/>
          <w:lang w:eastAsia="en-US"/>
        </w:rPr>
      </w:pPr>
    </w:p>
    <w:p w14:paraId="1ABD29F0" w14:textId="77777777" w:rsidR="00B15F7D" w:rsidRPr="00990FB6" w:rsidRDefault="00B15F7D" w:rsidP="00B15F7D">
      <w:pPr>
        <w:autoSpaceDE w:val="0"/>
        <w:autoSpaceDN w:val="0"/>
        <w:adjustRightInd w:val="0"/>
        <w:ind w:left="851" w:right="851" w:firstLine="709"/>
        <w:jc w:val="both"/>
        <w:rPr>
          <w:sz w:val="22"/>
          <w:szCs w:val="22"/>
          <w:lang w:val="es-MX"/>
        </w:rPr>
      </w:pPr>
      <w:r w:rsidRPr="00990FB6">
        <w:rPr>
          <w:sz w:val="22"/>
          <w:szCs w:val="22"/>
          <w:lang w:val="es-MX"/>
        </w:rPr>
        <w:t>(…)”</w:t>
      </w:r>
    </w:p>
    <w:p w14:paraId="65FEA5D7" w14:textId="77777777" w:rsidR="00B15F7D" w:rsidRPr="00990FB6" w:rsidRDefault="00B15F7D" w:rsidP="00B15F7D">
      <w:pPr>
        <w:autoSpaceDE w:val="0"/>
        <w:autoSpaceDN w:val="0"/>
        <w:adjustRightInd w:val="0"/>
        <w:ind w:left="851" w:right="851" w:firstLine="709"/>
        <w:jc w:val="both"/>
        <w:rPr>
          <w:b/>
          <w:bCs/>
          <w:sz w:val="22"/>
          <w:szCs w:val="22"/>
          <w:lang w:val="es-CR"/>
        </w:rPr>
      </w:pPr>
    </w:p>
    <w:p w14:paraId="752D1825" w14:textId="77777777" w:rsidR="00B15F7D" w:rsidRPr="00990FB6" w:rsidRDefault="00B15F7D" w:rsidP="00B15F7D">
      <w:pPr>
        <w:autoSpaceDE w:val="0"/>
        <w:autoSpaceDN w:val="0"/>
        <w:adjustRightInd w:val="0"/>
        <w:ind w:left="851" w:right="851" w:firstLine="709"/>
        <w:jc w:val="center"/>
        <w:rPr>
          <w:sz w:val="22"/>
          <w:szCs w:val="22"/>
          <w:lang w:val="es-CR"/>
        </w:rPr>
      </w:pPr>
      <w:r w:rsidRPr="00990FB6">
        <w:rPr>
          <w:sz w:val="22"/>
          <w:szCs w:val="22"/>
          <w:lang w:val="es-CR"/>
        </w:rPr>
        <w:t>- 0 -</w:t>
      </w:r>
    </w:p>
    <w:p w14:paraId="5E044AFC" w14:textId="77777777" w:rsidR="00B15F7D" w:rsidRPr="00990FB6" w:rsidRDefault="00B15F7D" w:rsidP="00B15F7D">
      <w:pPr>
        <w:autoSpaceDE w:val="0"/>
        <w:autoSpaceDN w:val="0"/>
        <w:adjustRightInd w:val="0"/>
        <w:ind w:left="851" w:right="851" w:firstLine="709"/>
        <w:jc w:val="both"/>
        <w:rPr>
          <w:sz w:val="22"/>
          <w:szCs w:val="22"/>
          <w:lang w:val="es-CR"/>
        </w:rPr>
      </w:pPr>
    </w:p>
    <w:p w14:paraId="65BD9603" w14:textId="77777777" w:rsidR="00B15F7D" w:rsidRPr="00990FB6" w:rsidRDefault="00B15F7D" w:rsidP="00B15F7D">
      <w:pPr>
        <w:autoSpaceDE w:val="0"/>
        <w:autoSpaceDN w:val="0"/>
        <w:adjustRightInd w:val="0"/>
        <w:ind w:left="851" w:right="851" w:firstLine="709"/>
        <w:jc w:val="both"/>
        <w:rPr>
          <w:sz w:val="22"/>
          <w:szCs w:val="22"/>
          <w:lang w:val="es-CR"/>
        </w:rPr>
      </w:pPr>
      <w:r w:rsidRPr="00990FB6">
        <w:rPr>
          <w:sz w:val="22"/>
          <w:szCs w:val="22"/>
          <w:lang w:val="es-CR"/>
        </w:rPr>
        <w:t>Seguidamente, se remite a las conclusiones y recomendaciones de dicho informe.</w:t>
      </w:r>
    </w:p>
    <w:p w14:paraId="3530E395" w14:textId="77777777" w:rsidR="00B15F7D" w:rsidRPr="00990FB6" w:rsidRDefault="00B15F7D" w:rsidP="00B15F7D">
      <w:pPr>
        <w:autoSpaceDE w:val="0"/>
        <w:autoSpaceDN w:val="0"/>
        <w:adjustRightInd w:val="0"/>
        <w:ind w:left="851" w:right="851" w:firstLine="709"/>
        <w:jc w:val="both"/>
        <w:rPr>
          <w:sz w:val="22"/>
          <w:szCs w:val="22"/>
          <w:lang w:val="es-CR"/>
        </w:rPr>
      </w:pPr>
    </w:p>
    <w:p w14:paraId="2F979396" w14:textId="77777777" w:rsidR="00B15F7D" w:rsidRPr="00990FB6" w:rsidRDefault="00B15F7D" w:rsidP="00B15F7D">
      <w:pPr>
        <w:ind w:left="851" w:right="851" w:firstLine="709"/>
        <w:jc w:val="both"/>
        <w:rPr>
          <w:b/>
          <w:bCs/>
          <w:sz w:val="22"/>
          <w:szCs w:val="22"/>
        </w:rPr>
      </w:pPr>
      <w:r w:rsidRPr="00990FB6">
        <w:rPr>
          <w:b/>
          <w:bCs/>
          <w:sz w:val="22"/>
          <w:szCs w:val="22"/>
        </w:rPr>
        <w:t>11.Conclusiones</w:t>
      </w:r>
    </w:p>
    <w:p w14:paraId="6505ADC4" w14:textId="77777777" w:rsidR="00B15F7D" w:rsidRPr="00990FB6" w:rsidRDefault="00B15F7D" w:rsidP="00B15F7D">
      <w:pPr>
        <w:ind w:left="851" w:right="851" w:firstLine="709"/>
        <w:jc w:val="both"/>
        <w:rPr>
          <w:b/>
          <w:bCs/>
          <w:sz w:val="22"/>
          <w:szCs w:val="22"/>
        </w:rPr>
      </w:pPr>
    </w:p>
    <w:p w14:paraId="25E834F6"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 xml:space="preserve">A nivel institucional dentro del Proyecto 1374-CF-P01 </w:t>
      </w:r>
      <w:r w:rsidRPr="00990FB6">
        <w:rPr>
          <w:rFonts w:eastAsia="Calibri"/>
          <w:i/>
          <w:iCs/>
          <w:sz w:val="22"/>
          <w:szCs w:val="22"/>
          <w:lang w:eastAsia="es-CR"/>
        </w:rPr>
        <w:t>“Implementación del Código Procesal de Familia”</w:t>
      </w:r>
      <w:r w:rsidRPr="00990FB6">
        <w:rPr>
          <w:rFonts w:eastAsia="Calibri"/>
          <w:sz w:val="22"/>
          <w:szCs w:val="22"/>
          <w:lang w:eastAsia="es-CR"/>
        </w:rPr>
        <w:t xml:space="preserve"> se incorporó la atención de las recomendaciones emitidas por la Contraloría General de la República (CGR) número DFOE-PG-0098 (2683)-2020, relacionado con el informe DFOE-PG-IF-00002-2020 </w:t>
      </w:r>
      <w:r w:rsidRPr="00990FB6">
        <w:rPr>
          <w:rFonts w:eastAsia="Calibri"/>
          <w:i/>
          <w:iCs/>
          <w:sz w:val="22"/>
          <w:szCs w:val="22"/>
          <w:lang w:eastAsia="es-CR"/>
        </w:rPr>
        <w:t xml:space="preserve">“Informe de Auditoría Operativa sobre la gestión del Poder Judicial en cuanto a la oportunidad de la prestación del servicio público de administración de la justicia de los juzgados de Familia y de Pensiones alimentarias” </w:t>
      </w:r>
      <w:r w:rsidRPr="00990FB6">
        <w:rPr>
          <w:rFonts w:eastAsia="Calibri"/>
          <w:sz w:val="22"/>
          <w:szCs w:val="22"/>
          <w:lang w:eastAsia="es-CR"/>
        </w:rPr>
        <w:t xml:space="preserve">de conformidad con el acuerdo del Consejo Superior en sesión 19-2020 celebrada el 10 de marzo del 2020, artículo LI así como las distintas labores asociadas a la preparación de la Jurisdicción de Familia (incluida materias de Pensiones Alimentarias y Violencias Doméstica) para la entrada en vigencia de la Ley 9747 prevista para el 1 de octubre 2022, limitó el análisis que se pudo realizar en esas oficinas que no consistió en un rediseño como tal, sino que solamente abarco algunas tareas con la visión de atender lo solicitado por la Contraloría. </w:t>
      </w:r>
    </w:p>
    <w:p w14:paraId="58448567" w14:textId="77777777" w:rsidR="00B15F7D" w:rsidRPr="00990FB6" w:rsidRDefault="00B15F7D" w:rsidP="00B15F7D">
      <w:pPr>
        <w:tabs>
          <w:tab w:val="left" w:pos="426"/>
        </w:tabs>
        <w:ind w:left="851" w:right="851" w:firstLine="709"/>
        <w:jc w:val="both"/>
        <w:rPr>
          <w:rFonts w:eastAsia="Calibri"/>
          <w:sz w:val="22"/>
          <w:szCs w:val="22"/>
          <w:lang w:eastAsia="es-CR"/>
        </w:rPr>
      </w:pPr>
    </w:p>
    <w:p w14:paraId="57BE978F"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Al finalizar el 2020 se contó con un análisis por parte de la Dirección de Planificación de las estructuras funcionales y organizativas de los 106 despachos competentes en materia de Familia y Pensiones a nivel nacional los cuales cuentan con estandarización en lo referente a:</w:t>
      </w:r>
    </w:p>
    <w:p w14:paraId="45C92C4E" w14:textId="77777777" w:rsidR="00B15F7D" w:rsidRPr="00990FB6" w:rsidRDefault="00B15F7D" w:rsidP="00B15F7D">
      <w:pPr>
        <w:tabs>
          <w:tab w:val="left" w:pos="426"/>
        </w:tabs>
        <w:ind w:left="851" w:right="851" w:firstLine="709"/>
        <w:jc w:val="both"/>
        <w:rPr>
          <w:rFonts w:eastAsia="Calibri"/>
          <w:sz w:val="22"/>
          <w:szCs w:val="22"/>
          <w:lang w:eastAsia="es-CR"/>
        </w:rPr>
      </w:pPr>
    </w:p>
    <w:p w14:paraId="51B580A1" w14:textId="77777777" w:rsidR="00B15F7D" w:rsidRPr="00990FB6" w:rsidRDefault="00B15F7D" w:rsidP="00B15F7D">
      <w:pPr>
        <w:numPr>
          <w:ilvl w:val="0"/>
          <w:numId w:val="185"/>
        </w:numPr>
        <w:tabs>
          <w:tab w:val="left" w:pos="426"/>
        </w:tabs>
        <w:ind w:left="851" w:right="851" w:firstLine="709"/>
        <w:jc w:val="both"/>
        <w:rPr>
          <w:rFonts w:eastAsia="Calibri"/>
          <w:sz w:val="22"/>
          <w:szCs w:val="22"/>
          <w:lang w:eastAsia="es-CR"/>
        </w:rPr>
      </w:pPr>
      <w:r w:rsidRPr="00990FB6">
        <w:rPr>
          <w:rFonts w:eastAsia="Calibri"/>
          <w:sz w:val="22"/>
          <w:szCs w:val="22"/>
          <w:lang w:eastAsia="es-CR"/>
        </w:rPr>
        <w:t>Tareas y ubicaciones.</w:t>
      </w:r>
    </w:p>
    <w:p w14:paraId="3B148797" w14:textId="77777777" w:rsidR="00B15F7D" w:rsidRPr="00990FB6" w:rsidRDefault="00B15F7D" w:rsidP="00B15F7D">
      <w:pPr>
        <w:numPr>
          <w:ilvl w:val="0"/>
          <w:numId w:val="185"/>
        </w:numPr>
        <w:tabs>
          <w:tab w:val="left" w:pos="426"/>
        </w:tabs>
        <w:ind w:left="851" w:right="851" w:firstLine="709"/>
        <w:jc w:val="both"/>
        <w:rPr>
          <w:rFonts w:eastAsia="Calibri"/>
          <w:sz w:val="22"/>
          <w:szCs w:val="22"/>
          <w:lang w:eastAsia="es-CR"/>
        </w:rPr>
      </w:pPr>
      <w:r w:rsidRPr="00990FB6">
        <w:rPr>
          <w:rFonts w:eastAsia="Calibri"/>
          <w:sz w:val="22"/>
          <w:szCs w:val="22"/>
          <w:lang w:eastAsia="es-CR"/>
        </w:rPr>
        <w:t>Libros de control.</w:t>
      </w:r>
    </w:p>
    <w:p w14:paraId="1DA2834D" w14:textId="77777777" w:rsidR="00B15F7D" w:rsidRPr="00990FB6" w:rsidRDefault="00B15F7D" w:rsidP="00B15F7D">
      <w:pPr>
        <w:numPr>
          <w:ilvl w:val="0"/>
          <w:numId w:val="185"/>
        </w:numPr>
        <w:tabs>
          <w:tab w:val="left" w:pos="426"/>
        </w:tabs>
        <w:ind w:left="851" w:right="851" w:firstLine="709"/>
        <w:jc w:val="both"/>
        <w:rPr>
          <w:rFonts w:eastAsia="Calibri"/>
          <w:sz w:val="22"/>
          <w:szCs w:val="22"/>
          <w:lang w:eastAsia="es-CR"/>
        </w:rPr>
      </w:pPr>
      <w:r w:rsidRPr="00990FB6">
        <w:rPr>
          <w:rFonts w:eastAsia="Calibri"/>
          <w:sz w:val="22"/>
          <w:szCs w:val="22"/>
          <w:lang w:eastAsia="es-CR"/>
        </w:rPr>
        <w:t>Sistemas informáticos (Escritorio Virtual, módulo de pase a fallo, y mejoras asociadas).</w:t>
      </w:r>
    </w:p>
    <w:p w14:paraId="7E93D379" w14:textId="77777777" w:rsidR="00B15F7D" w:rsidRPr="00990FB6" w:rsidRDefault="00B15F7D" w:rsidP="00B15F7D">
      <w:pPr>
        <w:numPr>
          <w:ilvl w:val="0"/>
          <w:numId w:val="185"/>
        </w:numPr>
        <w:tabs>
          <w:tab w:val="left" w:pos="426"/>
        </w:tabs>
        <w:ind w:left="851" w:right="851" w:firstLine="709"/>
        <w:jc w:val="both"/>
        <w:rPr>
          <w:rFonts w:eastAsia="Calibri"/>
          <w:sz w:val="22"/>
          <w:szCs w:val="22"/>
          <w:lang w:eastAsia="es-CR"/>
        </w:rPr>
      </w:pPr>
      <w:r w:rsidRPr="00990FB6">
        <w:rPr>
          <w:rFonts w:eastAsia="Calibri"/>
          <w:sz w:val="22"/>
          <w:szCs w:val="22"/>
          <w:lang w:eastAsia="es-CR"/>
        </w:rPr>
        <w:t>Modelo de sostenibilidad y seguimiento (equipo de mejora, indicadores de gestión, entre otros).</w:t>
      </w:r>
    </w:p>
    <w:p w14:paraId="0824B322" w14:textId="77777777" w:rsidR="00B15F7D" w:rsidRPr="00990FB6" w:rsidRDefault="00B15F7D" w:rsidP="00B15F7D">
      <w:pPr>
        <w:numPr>
          <w:ilvl w:val="0"/>
          <w:numId w:val="185"/>
        </w:numPr>
        <w:tabs>
          <w:tab w:val="left" w:pos="426"/>
        </w:tabs>
        <w:ind w:left="851" w:right="851" w:firstLine="709"/>
        <w:jc w:val="both"/>
        <w:rPr>
          <w:rFonts w:eastAsia="Calibri"/>
          <w:sz w:val="22"/>
          <w:szCs w:val="22"/>
          <w:lang w:eastAsia="es-CR"/>
        </w:rPr>
      </w:pPr>
      <w:r w:rsidRPr="00990FB6">
        <w:rPr>
          <w:rFonts w:eastAsia="Calibri"/>
          <w:sz w:val="22"/>
          <w:szCs w:val="22"/>
          <w:lang w:eastAsia="es-CR"/>
        </w:rPr>
        <w:t xml:space="preserve">Cargas de trabajo equitativas entre el personal existente en ese momento en las oficinas (las oficinas de Familia se encargaron de realizar la distribución equitativa de sus circulantes conforme a la estructura de oficina aprobada y la Dirección de Tecnología de la Información y Comunicaciones el reparto por </w:t>
      </w:r>
      <w:r w:rsidRPr="00990FB6">
        <w:rPr>
          <w:rFonts w:eastAsia="Calibri"/>
          <w:i/>
          <w:iCs/>
          <w:sz w:val="22"/>
          <w:szCs w:val="22"/>
          <w:lang w:eastAsia="es-CR"/>
        </w:rPr>
        <w:t xml:space="preserve">“clase de asunto” </w:t>
      </w:r>
      <w:r w:rsidRPr="00990FB6">
        <w:rPr>
          <w:rFonts w:eastAsia="Calibri"/>
          <w:sz w:val="22"/>
          <w:szCs w:val="22"/>
          <w:lang w:eastAsia="es-CR"/>
        </w:rPr>
        <w:t xml:space="preserve">en las oficinas de Familia, Pensiones Alimentarias y Violencia Doméstica a nivel nacional para garantizar también la distribución por igual de los asuntos nuevos). </w:t>
      </w:r>
    </w:p>
    <w:p w14:paraId="02F8E1AB" w14:textId="77777777" w:rsidR="00B15F7D" w:rsidRPr="00990FB6" w:rsidRDefault="00B15F7D" w:rsidP="00B15F7D">
      <w:pPr>
        <w:tabs>
          <w:tab w:val="left" w:pos="426"/>
        </w:tabs>
        <w:ind w:left="851" w:right="851" w:firstLine="709"/>
        <w:jc w:val="both"/>
        <w:rPr>
          <w:rFonts w:eastAsia="Calibri"/>
          <w:sz w:val="22"/>
          <w:szCs w:val="22"/>
          <w:lang w:eastAsia="es-CR"/>
        </w:rPr>
      </w:pPr>
    </w:p>
    <w:p w14:paraId="20F60715"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 xml:space="preserve">En 2020 se realizó una depuración de la información en los sistemas mediante inventario en materia de Familia que incluyó la revisión por parte de las oficinas de las carpetas principales, incidentes y legajos por primera vez. Además, se realizó el inventario en Pensiones Alimentarias a nivel nacional que inició en 2020 y finalizó a principios de 2021. </w:t>
      </w:r>
    </w:p>
    <w:p w14:paraId="197A7FAF" w14:textId="77777777" w:rsidR="00B15F7D" w:rsidRPr="00990FB6" w:rsidRDefault="00B15F7D" w:rsidP="00B15F7D">
      <w:pPr>
        <w:tabs>
          <w:tab w:val="left" w:pos="426"/>
        </w:tabs>
        <w:ind w:left="851" w:right="851" w:firstLine="709"/>
        <w:jc w:val="both"/>
        <w:rPr>
          <w:rFonts w:eastAsia="Calibri"/>
          <w:sz w:val="22"/>
          <w:szCs w:val="22"/>
          <w:lang w:eastAsia="es-CR"/>
        </w:rPr>
      </w:pPr>
    </w:p>
    <w:p w14:paraId="0B8118E5"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lastRenderedPageBreak/>
        <w:t>Las materias de Familia y Pensiones Alimentarias cuentan con un reporte en la Plataforma SIGMA que les permite monitorear la duración de los procesos por fase, y con ello dar prioridad a la resolución de aquellos asuntos que sobrepasen el rango legal de plazos o el criterio experto, incluso deben hacer una revisión trimestral y certificar al Subproceso de Estadística de la Dirección de Planificación que revisaron y dieron tramite a los asuntos de mayor duración. Circular 213-21.</w:t>
      </w:r>
    </w:p>
    <w:p w14:paraId="72A4C522" w14:textId="77777777" w:rsidR="00B15F7D" w:rsidRPr="00990FB6" w:rsidRDefault="00B15F7D" w:rsidP="00B15F7D">
      <w:pPr>
        <w:ind w:left="851" w:right="851" w:firstLine="709"/>
        <w:jc w:val="both"/>
        <w:rPr>
          <w:rFonts w:eastAsia="Calibri"/>
          <w:sz w:val="22"/>
          <w:szCs w:val="22"/>
          <w:lang w:eastAsia="es-CR"/>
        </w:rPr>
      </w:pPr>
    </w:p>
    <w:p w14:paraId="362B8F2E"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Respecto al Modelo Sostenibilidad y Seguimiento y a fin de mantener los logros obtenidos en la Jurisdicción, es fundamental el cumplimiento de responsabilidades de cada uno de los partícipes del proceso de mejora continua de las oficinas (Juzgados, Equipo de mejora, Administración Regional, Consejo de Administración, Centro de Apoyo, Coordinación y Mejoramiento de la Función Jurisdiccional, Dirección de Planificación, Consejo Superior). Se emitió para reiterar sus obligaciones las circulares 193 y 230-20.</w:t>
      </w:r>
    </w:p>
    <w:p w14:paraId="4020ABDB" w14:textId="77777777" w:rsidR="00B15F7D" w:rsidRPr="00990FB6" w:rsidRDefault="00B15F7D" w:rsidP="00B15F7D">
      <w:pPr>
        <w:tabs>
          <w:tab w:val="left" w:pos="426"/>
        </w:tabs>
        <w:ind w:left="851" w:right="851" w:firstLine="709"/>
        <w:jc w:val="both"/>
        <w:rPr>
          <w:rFonts w:eastAsia="Calibri"/>
          <w:sz w:val="22"/>
          <w:szCs w:val="22"/>
          <w:lang w:eastAsia="es-CR"/>
        </w:rPr>
      </w:pPr>
    </w:p>
    <w:p w14:paraId="406DC9B9"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Sobre el análisis estadístico se concluye que:</w:t>
      </w:r>
    </w:p>
    <w:p w14:paraId="4EE09DE4" w14:textId="77777777" w:rsidR="00B15F7D" w:rsidRPr="00990FB6" w:rsidRDefault="00B15F7D" w:rsidP="00B15F7D">
      <w:pPr>
        <w:tabs>
          <w:tab w:val="left" w:pos="426"/>
        </w:tabs>
        <w:ind w:left="851" w:right="851" w:firstLine="709"/>
        <w:jc w:val="both"/>
        <w:rPr>
          <w:rFonts w:eastAsia="Calibri"/>
          <w:sz w:val="22"/>
          <w:szCs w:val="22"/>
          <w:lang w:eastAsia="es-CR"/>
        </w:rPr>
      </w:pPr>
    </w:p>
    <w:p w14:paraId="1A160BF2" w14:textId="77777777" w:rsidR="00B15F7D" w:rsidRPr="00990FB6" w:rsidRDefault="00B15F7D" w:rsidP="00B15F7D">
      <w:pPr>
        <w:numPr>
          <w:ilvl w:val="0"/>
          <w:numId w:val="189"/>
        </w:numPr>
        <w:tabs>
          <w:tab w:val="left" w:pos="426"/>
        </w:tabs>
        <w:ind w:left="851" w:right="851" w:firstLine="709"/>
        <w:jc w:val="both"/>
        <w:rPr>
          <w:rFonts w:eastAsia="Calibri"/>
          <w:sz w:val="22"/>
          <w:szCs w:val="22"/>
          <w:lang w:eastAsia="es-CR"/>
        </w:rPr>
      </w:pPr>
      <w:r w:rsidRPr="00990FB6">
        <w:rPr>
          <w:rFonts w:eastAsia="Calibri"/>
          <w:sz w:val="22"/>
          <w:szCs w:val="22"/>
          <w:lang w:eastAsia="es-CR"/>
        </w:rPr>
        <w:t xml:space="preserve">El promedio de ingreso por persona juzgadora de Familia es de 73 expedientes por mes y 45 por plaza de persona técnica Judicial. </w:t>
      </w:r>
    </w:p>
    <w:p w14:paraId="5AD50DC4" w14:textId="77777777" w:rsidR="00B15F7D" w:rsidRPr="00990FB6" w:rsidRDefault="00B15F7D" w:rsidP="00B15F7D">
      <w:pPr>
        <w:tabs>
          <w:tab w:val="left" w:pos="426"/>
        </w:tabs>
        <w:ind w:left="851" w:right="851" w:firstLine="709"/>
        <w:jc w:val="both"/>
        <w:rPr>
          <w:rFonts w:eastAsia="Calibri"/>
          <w:sz w:val="22"/>
          <w:szCs w:val="22"/>
          <w:lang w:eastAsia="es-CR"/>
        </w:rPr>
      </w:pPr>
    </w:p>
    <w:p w14:paraId="3A7E03A7"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 xml:space="preserve">El tipo de proceso con mayor ingreso durante el periodo del 2017 al 2022, es el Divorcio por mutuo acuerdo con 8 557 lo que representa un 34,88% del ingreso total en las oficinas especializadas, seguido del Divorcio con 2 529 expedientes equivalentes a un 10,31% los cuales en alguna proporción dejaran de ser competencia de los Juzgados de Familia a partir del 1 de octubre del 2024. En tercer lugar, están los asuntos de Interrelación familiar (régimen de visitas) con 1 678 expedientes para un 6,84%, proceso sumario que será objeto de modificaciones a nivel de competencia conforme la propuesta que se presente por parte de la Dirección de Planificación a Corte Plena. </w:t>
      </w:r>
    </w:p>
    <w:p w14:paraId="0F5EE348" w14:textId="77777777" w:rsidR="00B15F7D" w:rsidRPr="00990FB6" w:rsidRDefault="00B15F7D" w:rsidP="00B15F7D">
      <w:pPr>
        <w:tabs>
          <w:tab w:val="left" w:pos="426"/>
        </w:tabs>
        <w:ind w:left="851" w:right="851" w:firstLine="709"/>
        <w:jc w:val="both"/>
        <w:rPr>
          <w:rFonts w:eastAsia="Calibri"/>
          <w:sz w:val="22"/>
          <w:szCs w:val="22"/>
          <w:lang w:eastAsia="es-CR"/>
        </w:rPr>
      </w:pPr>
    </w:p>
    <w:p w14:paraId="4641EAD1"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Es importante indicar que con la desjudicialización que prevé el código de Familia, se estima una disminución de un 12,58% en la entrada de asuntos nuevos, según las estimaciones realizadas, por ejemplo, en los procesos de Divorcio, solicitud de matrimonio, adopción, entre otros. Más asuntos en segunda instancia que puedan perder por el cambio procesal en Pensiones Alimentarias (dejan de existir las pensiones provisionales o definitivas).</w:t>
      </w:r>
    </w:p>
    <w:p w14:paraId="69DA2D76" w14:textId="77777777" w:rsidR="00B15F7D" w:rsidRPr="00990FB6" w:rsidRDefault="00B15F7D" w:rsidP="00B15F7D">
      <w:pPr>
        <w:tabs>
          <w:tab w:val="left" w:pos="426"/>
        </w:tabs>
        <w:ind w:left="851" w:right="851" w:firstLine="709"/>
        <w:jc w:val="both"/>
        <w:rPr>
          <w:rFonts w:eastAsia="Calibri"/>
          <w:sz w:val="22"/>
          <w:szCs w:val="22"/>
          <w:lang w:eastAsia="es-CR"/>
        </w:rPr>
      </w:pPr>
    </w:p>
    <w:p w14:paraId="720F0A64"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La salida de asuntos de los juzgados de la materia de Familia, durante los últimos años, está conformada por un 7% de casos inactivos y un 93% de asuntos terminados, siendo el 2021 el año en que se finalizaron más expedientes 24 299 y el menor el 2020 con 19 903 asuntos.</w:t>
      </w:r>
    </w:p>
    <w:p w14:paraId="460E8834" w14:textId="77777777" w:rsidR="00B15F7D" w:rsidRPr="00990FB6" w:rsidRDefault="00B15F7D" w:rsidP="00B15F7D">
      <w:pPr>
        <w:tabs>
          <w:tab w:val="left" w:pos="426"/>
        </w:tabs>
        <w:ind w:left="851" w:right="851" w:firstLine="709"/>
        <w:jc w:val="both"/>
        <w:rPr>
          <w:rFonts w:eastAsia="Calibri"/>
          <w:sz w:val="22"/>
          <w:szCs w:val="22"/>
          <w:lang w:eastAsia="es-CR"/>
        </w:rPr>
      </w:pPr>
    </w:p>
    <w:p w14:paraId="368BFFB1"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 xml:space="preserve">En cuanto a los inactivos el 2017 fue el año donde se inactivaron más asuntos 1 858 y el menor fue el 2022 con 1 615 expedientes, </w:t>
      </w:r>
      <w:r w:rsidRPr="00990FB6">
        <w:rPr>
          <w:rFonts w:eastAsia="Calibri"/>
          <w:sz w:val="22"/>
          <w:szCs w:val="22"/>
          <w:lang w:eastAsia="es-CR"/>
        </w:rPr>
        <w:lastRenderedPageBreak/>
        <w:t>lo que refleja que los despachos durante este año inactivaron menos casos en las depuraciones de expedientes; es importante realizar la revisión de los expedientes que tienen más de 6 meses sin movimiento ya que la inactivación contribuye en la disminución del circulante activo.</w:t>
      </w:r>
    </w:p>
    <w:p w14:paraId="33DD0A1C" w14:textId="77777777" w:rsidR="00B15F7D" w:rsidRPr="00990FB6" w:rsidRDefault="00B15F7D" w:rsidP="00B15F7D">
      <w:pPr>
        <w:tabs>
          <w:tab w:val="left" w:pos="426"/>
        </w:tabs>
        <w:ind w:left="851" w:right="851" w:firstLine="709"/>
        <w:jc w:val="both"/>
        <w:rPr>
          <w:rFonts w:eastAsia="Calibri"/>
          <w:sz w:val="22"/>
          <w:szCs w:val="22"/>
          <w:lang w:eastAsia="es-CR"/>
        </w:rPr>
      </w:pPr>
    </w:p>
    <w:p w14:paraId="41D9A1B9"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La cantidad de asuntos finalizados en segunda instancia para el periodo 20218 al 2022 se tiene una disminución de 864 (16%) para el 2022, y en cuanto a los casos fenecidos de incidentes se tiene un aumento del 7% en el 2022 en comparación con el 2021.</w:t>
      </w:r>
    </w:p>
    <w:p w14:paraId="551E0FF8" w14:textId="77777777" w:rsidR="00B15F7D" w:rsidRPr="00990FB6" w:rsidRDefault="00B15F7D" w:rsidP="00B15F7D">
      <w:pPr>
        <w:tabs>
          <w:tab w:val="left" w:pos="426"/>
        </w:tabs>
        <w:ind w:left="851" w:right="851" w:firstLine="709"/>
        <w:jc w:val="both"/>
        <w:rPr>
          <w:rFonts w:eastAsia="Calibri"/>
          <w:sz w:val="22"/>
          <w:szCs w:val="22"/>
          <w:lang w:eastAsia="es-CR"/>
        </w:rPr>
      </w:pPr>
    </w:p>
    <w:p w14:paraId="7D578E28"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Para el periodo 2017-2022, en promedio una persona juzgadora finaliza 59 expedientes mensuales, con una entrada promedio por mes de 81 asuntos, por lo tanto, para este periodo no se está logrando terminar lo que ingresa, sin embargo, para el 2022, se logró finalizar más de lo que ingresó, lo que contribuyó a disminuir el circulante en 5%, respecto al 2021.</w:t>
      </w:r>
    </w:p>
    <w:p w14:paraId="22F59868" w14:textId="77777777" w:rsidR="00B15F7D" w:rsidRPr="00990FB6" w:rsidRDefault="00B15F7D" w:rsidP="00B15F7D">
      <w:pPr>
        <w:tabs>
          <w:tab w:val="left" w:pos="426"/>
        </w:tabs>
        <w:ind w:left="851" w:right="851" w:firstLine="709"/>
        <w:jc w:val="both"/>
        <w:rPr>
          <w:rFonts w:eastAsia="Calibri"/>
          <w:sz w:val="22"/>
          <w:szCs w:val="22"/>
          <w:lang w:eastAsia="es-CR"/>
        </w:rPr>
      </w:pPr>
    </w:p>
    <w:p w14:paraId="42E49BA2"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Durante los años del 2017 al 2020 se ha dado un crecimiento en el circulante de las oficinas especializadas en materia de Familia, pasando de 13 698 casos activos al finalizar el 2017 a 14 447 en 2020, pero para el periodo 2021-2022, se reportan en los Juzgados Especializados una disminución en el circulante, cerrando el 2022 con 12 829 asuntos.</w:t>
      </w:r>
    </w:p>
    <w:p w14:paraId="57336520" w14:textId="77777777" w:rsidR="00B15F7D" w:rsidRPr="00990FB6" w:rsidRDefault="00B15F7D" w:rsidP="00B15F7D">
      <w:pPr>
        <w:tabs>
          <w:tab w:val="left" w:pos="426"/>
        </w:tabs>
        <w:ind w:left="851" w:right="851" w:firstLine="709"/>
        <w:jc w:val="both"/>
        <w:rPr>
          <w:rFonts w:eastAsia="Calibri"/>
          <w:sz w:val="22"/>
          <w:szCs w:val="22"/>
          <w:lang w:eastAsia="es-CR"/>
        </w:rPr>
      </w:pPr>
    </w:p>
    <w:p w14:paraId="69BB5D35"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La duración de los procesos en los juzgados especializados de familia para el 2022 es de 8 meses, 2 semanas, siendo el de menor duración, el proceso de arreglo extrajudicial sin homologación con una duración de un mes, y el de mayor tiempo, el de muerte de algunas de las partes 17 meses, una semana.</w:t>
      </w:r>
    </w:p>
    <w:p w14:paraId="53F39943" w14:textId="77777777" w:rsidR="00B15F7D" w:rsidRPr="00990FB6" w:rsidRDefault="00B15F7D" w:rsidP="00B15F7D">
      <w:pPr>
        <w:tabs>
          <w:tab w:val="left" w:pos="426"/>
        </w:tabs>
        <w:ind w:left="851" w:right="851" w:firstLine="709"/>
        <w:jc w:val="both"/>
        <w:rPr>
          <w:rFonts w:eastAsia="Calibri"/>
          <w:sz w:val="22"/>
          <w:szCs w:val="22"/>
          <w:lang w:eastAsia="es-CR"/>
        </w:rPr>
      </w:pPr>
    </w:p>
    <w:p w14:paraId="434B8578"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Un 66% de los expedientes están en fase de Demanda, 24% en Demostrativa, 9% en Conclusiva y 1% en Ejecución; además, para el periodo del 2017 al 2022, se identificaron 102 expedientes que no tenían fase, es importante mantener la información actualizada de los expedientes porque es insumo para la toma de decisiones por lo que debe ser veraz y confiable.</w:t>
      </w:r>
    </w:p>
    <w:p w14:paraId="434C162C" w14:textId="77777777" w:rsidR="00B15F7D" w:rsidRPr="00990FB6" w:rsidRDefault="00B15F7D" w:rsidP="00B15F7D">
      <w:pPr>
        <w:tabs>
          <w:tab w:val="left" w:pos="426"/>
        </w:tabs>
        <w:ind w:left="851" w:right="851" w:firstLine="709"/>
        <w:jc w:val="both"/>
        <w:rPr>
          <w:rFonts w:eastAsia="Calibri"/>
          <w:sz w:val="22"/>
          <w:szCs w:val="22"/>
          <w:lang w:eastAsia="es-CR"/>
        </w:rPr>
      </w:pPr>
    </w:p>
    <w:p w14:paraId="58FB7E0F"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Según el periodo analizado del 2017 al 2022, a nivel nacional para el 2022 se registra un promedio mensual de efectividad en los señalamientos de las audiencias de un 58%, el 2021 registro el mayor porcentaje con un 67% y el menor en el 2020 con un 46%, lo que refleja un aumento del 21%; por otra parte, existen más de 2 000 señalamientos en estado “Pendiente” lo que evidencia que los despachos no están actualizando la información en la Agenda Cronos.</w:t>
      </w:r>
    </w:p>
    <w:p w14:paraId="431FEAC1" w14:textId="77777777" w:rsidR="00B15F7D" w:rsidRPr="00990FB6" w:rsidRDefault="00B15F7D" w:rsidP="00B15F7D">
      <w:pPr>
        <w:tabs>
          <w:tab w:val="left" w:pos="426"/>
        </w:tabs>
        <w:ind w:left="851" w:right="851" w:firstLine="709"/>
        <w:jc w:val="both"/>
        <w:rPr>
          <w:rFonts w:eastAsia="Calibri"/>
          <w:sz w:val="22"/>
          <w:szCs w:val="22"/>
          <w:lang w:eastAsia="es-CR"/>
        </w:rPr>
      </w:pPr>
    </w:p>
    <w:p w14:paraId="3A7DB7C5"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 xml:space="preserve">El Tribunal de Familia conoció en total 1 528 apelaciones durante el periodo 2017 a 2022, procedente de los Juzgados Especializados en Familia, siendo el Juzgado de Familia de II Circuito Judicial de San José el que mayor cantidad de apelaciones remite a este Tribunal, con 261 asuntos </w:t>
      </w:r>
      <w:r w:rsidRPr="00990FB6">
        <w:rPr>
          <w:rFonts w:eastAsia="Calibri"/>
          <w:sz w:val="22"/>
          <w:szCs w:val="22"/>
          <w:lang w:eastAsia="es-CR"/>
        </w:rPr>
        <w:lastRenderedPageBreak/>
        <w:t>el 17% del total recibido procedente de los Juzgados Especializados en Familia, además, se tiene un promedio en la duración de los procesos para el 2022 de 3 meses.</w:t>
      </w:r>
    </w:p>
    <w:p w14:paraId="03FFC940" w14:textId="77777777" w:rsidR="00B15F7D" w:rsidRPr="00990FB6" w:rsidRDefault="00B15F7D" w:rsidP="00B15F7D">
      <w:pPr>
        <w:ind w:left="851" w:right="851" w:firstLine="709"/>
        <w:jc w:val="both"/>
        <w:rPr>
          <w:rFonts w:eastAsia="Calibri"/>
          <w:sz w:val="22"/>
          <w:szCs w:val="22"/>
          <w:lang w:eastAsia="es-CR"/>
        </w:rPr>
      </w:pPr>
    </w:p>
    <w:p w14:paraId="06D85713"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La duración promedio de los Procesos en la Sala Segunda para el periodo 2022 es de 9 meses, 2 semanas, por lo que es necesario reducir los tiempos de proceso, en miras de mejorar la respuesta a las personas usuarias.</w:t>
      </w:r>
    </w:p>
    <w:p w14:paraId="34911792" w14:textId="77777777" w:rsidR="00B15F7D" w:rsidRPr="00990FB6" w:rsidRDefault="00B15F7D" w:rsidP="00B15F7D">
      <w:pPr>
        <w:tabs>
          <w:tab w:val="left" w:pos="426"/>
        </w:tabs>
        <w:ind w:left="851" w:right="851" w:firstLine="709"/>
        <w:jc w:val="both"/>
        <w:rPr>
          <w:rFonts w:eastAsia="Calibri"/>
          <w:sz w:val="22"/>
          <w:szCs w:val="22"/>
          <w:lang w:eastAsia="es-CR"/>
        </w:rPr>
      </w:pPr>
    </w:p>
    <w:p w14:paraId="3D420133" w14:textId="77777777" w:rsidR="00B15F7D" w:rsidRPr="00990FB6" w:rsidRDefault="00B15F7D" w:rsidP="00B15F7D">
      <w:pPr>
        <w:numPr>
          <w:ilvl w:val="1"/>
          <w:numId w:val="188"/>
        </w:numPr>
        <w:tabs>
          <w:tab w:val="left" w:pos="426"/>
        </w:tabs>
        <w:ind w:left="851" w:right="851" w:firstLine="709"/>
        <w:jc w:val="both"/>
        <w:rPr>
          <w:rFonts w:eastAsia="Calibri"/>
          <w:sz w:val="22"/>
          <w:szCs w:val="22"/>
          <w:lang w:eastAsia="es-CR"/>
        </w:rPr>
      </w:pPr>
      <w:r w:rsidRPr="00990FB6">
        <w:rPr>
          <w:rFonts w:eastAsia="Calibri"/>
          <w:sz w:val="22"/>
          <w:szCs w:val="22"/>
          <w:lang w:eastAsia="es-CR"/>
        </w:rPr>
        <w:t>A nivel de los sistemas se identifica la necesidad de que la Dirección de Tecnología de Información y Comunicaciones trabaje con carácter urgente en las siguientes mejoras:</w:t>
      </w:r>
    </w:p>
    <w:p w14:paraId="2834CE1B" w14:textId="77777777" w:rsidR="00B15F7D" w:rsidRPr="00990FB6" w:rsidRDefault="00B15F7D" w:rsidP="00B15F7D">
      <w:pPr>
        <w:tabs>
          <w:tab w:val="left" w:pos="426"/>
        </w:tabs>
        <w:ind w:left="851" w:right="851" w:firstLine="709"/>
        <w:jc w:val="both"/>
        <w:rPr>
          <w:rFonts w:eastAsia="Calibri"/>
          <w:sz w:val="22"/>
          <w:szCs w:val="22"/>
          <w:lang w:eastAsia="es-CR"/>
        </w:rPr>
      </w:pPr>
    </w:p>
    <w:p w14:paraId="0CD3ADB7" w14:textId="77777777" w:rsidR="00B15F7D" w:rsidRPr="00990FB6" w:rsidRDefault="00B15F7D" w:rsidP="00B15F7D">
      <w:pPr>
        <w:numPr>
          <w:ilvl w:val="0"/>
          <w:numId w:val="186"/>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 xml:space="preserve">Mejora en </w:t>
      </w:r>
      <w:r w:rsidRPr="00990FB6">
        <w:rPr>
          <w:rFonts w:eastAsia="Calibri"/>
          <w:sz w:val="22"/>
          <w:szCs w:val="22"/>
        </w:rPr>
        <w:t>el reparto por procedimiento, de forma que se puedan excluir los asuntos reentrados del rol de reparto conforme al requerimiento realizado el 15 de diciembre 2020 (</w:t>
      </w:r>
      <w:r w:rsidRPr="00990FB6">
        <w:rPr>
          <w:rFonts w:eastAsia="Calibri"/>
          <w:b/>
          <w:bCs/>
          <w:sz w:val="22"/>
          <w:szCs w:val="22"/>
        </w:rPr>
        <w:t>anexo 4</w:t>
      </w:r>
      <w:r w:rsidRPr="00990FB6">
        <w:rPr>
          <w:rFonts w:eastAsia="Calibri"/>
          <w:sz w:val="22"/>
          <w:szCs w:val="22"/>
        </w:rPr>
        <w:t>).</w:t>
      </w:r>
      <w:r w:rsidRPr="00990FB6">
        <w:rPr>
          <w:rFonts w:eastAsia="Calibri"/>
          <w:iCs/>
          <w:sz w:val="22"/>
          <w:szCs w:val="22"/>
        </w:rPr>
        <w:t xml:space="preserve"> </w:t>
      </w:r>
    </w:p>
    <w:p w14:paraId="2FBBF908"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p>
    <w:p w14:paraId="594D808C" w14:textId="77777777" w:rsidR="00B15F7D" w:rsidRPr="00990FB6" w:rsidRDefault="00B15F7D" w:rsidP="00B15F7D">
      <w:pPr>
        <w:numPr>
          <w:ilvl w:val="0"/>
          <w:numId w:val="186"/>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z w:val="22"/>
          <w:szCs w:val="22"/>
        </w:rPr>
        <w:t>Mejora solicitada (reporte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14:paraId="0D495022"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p>
    <w:p w14:paraId="5093D096" w14:textId="77777777" w:rsidR="00B15F7D" w:rsidRPr="00990FB6" w:rsidRDefault="00B15F7D" w:rsidP="00B15F7D">
      <w:pPr>
        <w:numPr>
          <w:ilvl w:val="1"/>
          <w:numId w:val="188"/>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 xml:space="preserve">Con el fin de elaborar una propuesta para Corte Plena de creación de Juzgados de Familia por Ministerio de Ley, se utilizará como insumo la información aportada por los Juzgados de Familia en el inventario 2021, y el criterio experto del Juez Gestor en la materia, distintos jueces de Familia a nivel nacional y de la Comisión de Familia, Niñez y Adolescencia sobre la cantidad de asuntos que puede conocer mensualmente una plaza que solo conozca asuntos sumarios de este tipo, lo anterior para efectos de proyecciones de traslado de cargas de trabajo. Este informe está pendiente por parte de la Dirección de Planificación y se entregara a la Corte previo a octubre 2023. </w:t>
      </w:r>
    </w:p>
    <w:p w14:paraId="51B5F916"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p>
    <w:p w14:paraId="4D219EBA" w14:textId="77777777" w:rsidR="00B15F7D" w:rsidRPr="00990FB6" w:rsidRDefault="00B15F7D" w:rsidP="00B15F7D">
      <w:pPr>
        <w:numPr>
          <w:ilvl w:val="1"/>
          <w:numId w:val="188"/>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 xml:space="preserve">Para el 2021, 2022 y 2023, se incluyó en el presupuesto ordinario de la Institución un monto de 30 millones de colones a fin de que el Departamento de Trabajo Social y Psicología, gestionara el plan de trabajo necesario para que distintas pericias sean asumidas por peritos externos al departamento y contratados con el presupuesto disponible para esos efectos, sin embargo en ninguno de los años se ejecutó. </w:t>
      </w:r>
    </w:p>
    <w:p w14:paraId="1DD32854"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p>
    <w:p w14:paraId="48BEE16D" w14:textId="77777777" w:rsidR="00B15F7D" w:rsidRPr="00990FB6" w:rsidRDefault="00B15F7D" w:rsidP="00B15F7D">
      <w:pPr>
        <w:numPr>
          <w:ilvl w:val="1"/>
          <w:numId w:val="188"/>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 xml:space="preserve">Para 2024, se incorpora en el presupuesto un monto de 60 millones de colones para garantizar la atención célere de los dictámenes solicitados por los distintos juzgados de Familia y de Violencia a nivel nacional y permitir que el Departamento de Trabajo Social y Psicología pueda reducir al mínimo los plazos de respuesta para la realización de las valoraciones solicitadas en adelante. </w:t>
      </w:r>
      <w:r w:rsidRPr="00990FB6">
        <w:rPr>
          <w:rFonts w:eastAsia="Calibri"/>
          <w:sz w:val="22"/>
          <w:szCs w:val="22"/>
        </w:rPr>
        <w:t xml:space="preserve">  </w:t>
      </w:r>
    </w:p>
    <w:p w14:paraId="5DDAF44D"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p>
    <w:p w14:paraId="33DB28C8" w14:textId="77777777" w:rsidR="00B15F7D" w:rsidRPr="00990FB6" w:rsidRDefault="00B15F7D" w:rsidP="00B15F7D">
      <w:pPr>
        <w:numPr>
          <w:ilvl w:val="1"/>
          <w:numId w:val="188"/>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lastRenderedPageBreak/>
        <w:t>Se encuentra pendiente por parte de la Dirección de Planificación la comunicación del estudio que analiza las carga de algunos Juzgados Contravencionales a (</w:t>
      </w:r>
      <w:r w:rsidRPr="00990FB6">
        <w:rPr>
          <w:rFonts w:eastAsia="Calibri"/>
          <w:b/>
          <w:bCs/>
          <w:i/>
          <w:spacing w:val="-3"/>
          <w:sz w:val="22"/>
          <w:szCs w:val="22"/>
        </w:rPr>
        <w:t>referencia interna 1688-2021</w:t>
      </w:r>
      <w:r w:rsidRPr="00990FB6">
        <w:rPr>
          <w:rFonts w:eastAsia="Calibri"/>
          <w:iCs/>
          <w:spacing w:val="-3"/>
          <w:sz w:val="22"/>
          <w:szCs w:val="22"/>
        </w:rPr>
        <w:t>) y la propuesta de creación de Juzgados de Familia por Ministerio de Ley (</w:t>
      </w:r>
      <w:r w:rsidRPr="00990FB6">
        <w:rPr>
          <w:rFonts w:eastAsia="Calibri"/>
          <w:b/>
          <w:bCs/>
          <w:i/>
          <w:spacing w:val="-3"/>
          <w:sz w:val="22"/>
          <w:szCs w:val="22"/>
        </w:rPr>
        <w:t>referencia interna 1681-21</w:t>
      </w:r>
      <w:r w:rsidRPr="00990FB6">
        <w:rPr>
          <w:rFonts w:eastAsia="Calibri"/>
          <w:iCs/>
          <w:spacing w:val="-3"/>
          <w:sz w:val="22"/>
          <w:szCs w:val="22"/>
        </w:rPr>
        <w:t>).</w:t>
      </w:r>
    </w:p>
    <w:p w14:paraId="79B84F54"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p>
    <w:p w14:paraId="2EC83F14" w14:textId="77777777" w:rsidR="00B15F7D" w:rsidRPr="00990FB6" w:rsidRDefault="00B15F7D" w:rsidP="00B15F7D">
      <w:pPr>
        <w:numPr>
          <w:ilvl w:val="1"/>
          <w:numId w:val="188"/>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 xml:space="preserve">Se requiere por parte de las Comisiones de Familia y Contra la Violencia Doméstica y la gestoría, el cumplimiento de las tareas pendientes a su cargo previo a la entrada en vigencia de la Ley 9747; principalmente en lo que corresponde a la revisión de las propuestas de reforma Legal que ya le fueron comunicadas para su análisis y redacción de propuestas de reforma para aprobación de Corte Plena y eventual envío a corriente legislativa. </w:t>
      </w:r>
    </w:p>
    <w:p w14:paraId="5328BBF4" w14:textId="77777777" w:rsidR="00B15F7D" w:rsidRPr="00990FB6" w:rsidRDefault="00B15F7D" w:rsidP="00B15F7D">
      <w:pPr>
        <w:ind w:left="851" w:right="851" w:firstLine="709"/>
        <w:jc w:val="both"/>
        <w:rPr>
          <w:rFonts w:eastAsia="Calibri"/>
          <w:iCs/>
          <w:spacing w:val="-3"/>
          <w:sz w:val="22"/>
          <w:szCs w:val="22"/>
        </w:rPr>
      </w:pPr>
    </w:p>
    <w:p w14:paraId="5CBF69BD" w14:textId="77777777" w:rsidR="00B15F7D" w:rsidRPr="00990FB6" w:rsidRDefault="00B15F7D" w:rsidP="00B15F7D">
      <w:pPr>
        <w:numPr>
          <w:ilvl w:val="1"/>
          <w:numId w:val="188"/>
        </w:num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sz w:val="22"/>
          <w:szCs w:val="22"/>
        </w:rPr>
        <w:t>Costos presupuestarios asociados con el Código Procesal de Familia:</w:t>
      </w:r>
    </w:p>
    <w:p w14:paraId="3648594B" w14:textId="77777777" w:rsidR="00B15F7D" w:rsidRPr="00990FB6" w:rsidRDefault="00B15F7D" w:rsidP="00B15F7D">
      <w:pPr>
        <w:ind w:left="851" w:right="851" w:firstLine="709"/>
        <w:jc w:val="both"/>
        <w:rPr>
          <w:rFonts w:eastAsia="Calibri"/>
          <w:sz w:val="22"/>
          <w:szCs w:val="22"/>
        </w:rPr>
      </w:pPr>
    </w:p>
    <w:p w14:paraId="10965FBA"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Para el 2024, se requieren 71 plazas nuevas:</w:t>
      </w:r>
    </w:p>
    <w:p w14:paraId="73E30F00" w14:textId="77777777" w:rsidR="00B15F7D" w:rsidRPr="00990FB6" w:rsidRDefault="00B15F7D" w:rsidP="00B15F7D">
      <w:pPr>
        <w:ind w:left="851" w:right="851" w:firstLine="709"/>
        <w:jc w:val="both"/>
        <w:rPr>
          <w:rFonts w:eastAsia="Calibri"/>
          <w:sz w:val="22"/>
          <w:szCs w:val="22"/>
        </w:rPr>
      </w:pPr>
    </w:p>
    <w:p w14:paraId="68C36830" w14:textId="77777777" w:rsidR="00B15F7D" w:rsidRPr="00990FB6" w:rsidRDefault="00B15F7D" w:rsidP="00B15F7D">
      <w:pPr>
        <w:numPr>
          <w:ilvl w:val="0"/>
          <w:numId w:val="187"/>
        </w:numPr>
        <w:ind w:left="851" w:right="851" w:firstLine="709"/>
        <w:jc w:val="both"/>
        <w:rPr>
          <w:rFonts w:eastAsia="Calibri"/>
          <w:sz w:val="22"/>
          <w:szCs w:val="22"/>
        </w:rPr>
      </w:pPr>
      <w:r w:rsidRPr="00990FB6">
        <w:rPr>
          <w:rFonts w:eastAsia="Calibri"/>
          <w:sz w:val="22"/>
          <w:szCs w:val="22"/>
        </w:rPr>
        <w:t xml:space="preserve">A nivel de Juzgados y Sala Segunda para completar estructuras: 1 plaza de Técnico Judicial 2 extraordinaria, 1 plaza de Técnica o Técnico Judicial 2 ordinaria, 1 plaza de Técnico Judicial 1 ordinaria, 1 plaza de Juez 1 ordinaria y en la Sala Segunda: 1 plaza nueva de Profesional en Derecho 3B, 2 Técnicos Sala de la Corte y 2 Técnicos Judicial 3, todas ordinarias y 10 plazas Juez 1 (5 ordinarias y 5 extraordinarias) para la atención de la Segunda Instancia en PA, con un costo estimado </w:t>
      </w:r>
      <w:bookmarkStart w:id="53" w:name="_Hlk128110049"/>
      <w:r w:rsidRPr="00990FB6">
        <w:rPr>
          <w:rFonts w:eastAsia="Calibri"/>
          <w:sz w:val="22"/>
          <w:szCs w:val="22"/>
        </w:rPr>
        <w:t>₡801,595,000.00</w:t>
      </w:r>
      <w:bookmarkEnd w:id="53"/>
      <w:r w:rsidRPr="00990FB6">
        <w:rPr>
          <w:rFonts w:eastAsia="Calibri"/>
          <w:sz w:val="22"/>
          <w:szCs w:val="22"/>
        </w:rPr>
        <w:t>.</w:t>
      </w:r>
    </w:p>
    <w:p w14:paraId="2B80D693" w14:textId="77777777" w:rsidR="00B15F7D" w:rsidRPr="00990FB6" w:rsidRDefault="00B15F7D" w:rsidP="00B15F7D">
      <w:pPr>
        <w:ind w:left="851" w:right="851" w:firstLine="709"/>
        <w:jc w:val="both"/>
        <w:rPr>
          <w:rFonts w:eastAsia="Calibri"/>
          <w:sz w:val="22"/>
          <w:szCs w:val="22"/>
        </w:rPr>
      </w:pPr>
    </w:p>
    <w:p w14:paraId="08B496C7" w14:textId="77777777" w:rsidR="00B15F7D" w:rsidRPr="00990FB6" w:rsidRDefault="00B15F7D" w:rsidP="00B15F7D">
      <w:pPr>
        <w:numPr>
          <w:ilvl w:val="0"/>
          <w:numId w:val="187"/>
        </w:numPr>
        <w:ind w:left="851" w:right="851" w:firstLine="709"/>
        <w:jc w:val="both"/>
        <w:rPr>
          <w:rFonts w:eastAsia="Calibri"/>
          <w:sz w:val="22"/>
          <w:szCs w:val="22"/>
        </w:rPr>
      </w:pPr>
      <w:r w:rsidRPr="00990FB6">
        <w:rPr>
          <w:rFonts w:eastAsia="Calibri"/>
          <w:sz w:val="22"/>
          <w:szCs w:val="22"/>
        </w:rPr>
        <w:t xml:space="preserve">Para el CACMFJ y planes de trabajo: 1 Jueza o Juez 4 Gestor y 1 Profesional 2 ambas plazas ordinarias y de forma extraordinarias: 1 Profesional 2, 1 Coordinador Judicial 2, 2 Técnicos Supernumerarios y 4 Técnicos Judiciales 2 para atender escritos y demandas nuevas. Para el plan de Trabajo en Pensiones 12 personas Juzgadoras Supernumerarias, para el plan en Familia 8 personas Juzgadoras 3,  3 jueces 4 para Segunda Instancia y </w:t>
      </w:r>
      <w:bookmarkStart w:id="54" w:name="_Hlk129783010"/>
      <w:r w:rsidRPr="00990FB6">
        <w:rPr>
          <w:rFonts w:eastAsia="Calibri"/>
          <w:sz w:val="22"/>
          <w:szCs w:val="22"/>
        </w:rPr>
        <w:t>para el modelo de tramitación de Violencia Doméstica se necesitan</w:t>
      </w:r>
      <w:bookmarkEnd w:id="54"/>
      <w:r w:rsidRPr="00990FB6">
        <w:rPr>
          <w:rFonts w:eastAsia="Calibri"/>
          <w:sz w:val="22"/>
          <w:szCs w:val="22"/>
        </w:rPr>
        <w:t xml:space="preserve"> 2 personas Juzgadoras 3 con 17 personas Técnicas Judiciales 2; haciéndose la observación que de quedar la plaza de Auxiliar de Servicios Generales adscrita al Juzgado de Niñez y Adolescencia, sería necesario crear una plaza adicional de Técnico Judicial para el Juzgado contra la Violencia Doméstica y restar una recalificación, para un costo de </w:t>
      </w:r>
      <w:bookmarkStart w:id="55" w:name="_Hlk129783068"/>
      <w:r w:rsidRPr="00990FB6">
        <w:rPr>
          <w:rFonts w:eastAsia="Calibri"/>
          <w:sz w:val="22"/>
          <w:szCs w:val="22"/>
        </w:rPr>
        <w:t>₡1 788 700 250.00.</w:t>
      </w:r>
      <w:bookmarkEnd w:id="55"/>
    </w:p>
    <w:p w14:paraId="13090DD0" w14:textId="77777777" w:rsidR="00B15F7D" w:rsidRPr="00990FB6" w:rsidRDefault="00B15F7D" w:rsidP="00B15F7D">
      <w:pPr>
        <w:ind w:left="851" w:right="851" w:firstLine="709"/>
        <w:jc w:val="both"/>
        <w:rPr>
          <w:rFonts w:eastAsia="Calibri"/>
          <w:sz w:val="22"/>
          <w:szCs w:val="22"/>
        </w:rPr>
      </w:pPr>
    </w:p>
    <w:p w14:paraId="5D639CE8" w14:textId="77777777" w:rsidR="00B15F7D" w:rsidRPr="00990FB6" w:rsidRDefault="00B15F7D" w:rsidP="00B15F7D">
      <w:pPr>
        <w:numPr>
          <w:ilvl w:val="0"/>
          <w:numId w:val="187"/>
        </w:numPr>
        <w:ind w:left="851" w:right="851" w:firstLine="709"/>
        <w:jc w:val="both"/>
        <w:rPr>
          <w:rFonts w:eastAsia="Calibri"/>
          <w:sz w:val="22"/>
          <w:szCs w:val="22"/>
        </w:rPr>
      </w:pPr>
      <w:r w:rsidRPr="00990FB6">
        <w:rPr>
          <w:rFonts w:eastAsia="Calibri"/>
          <w:sz w:val="22"/>
          <w:szCs w:val="22"/>
        </w:rPr>
        <w:t>Para el modelo de tramitación de Violencia Doméstica se necesitan recalificar 4 plazas de Auxiliar de Servicios Generales a Técnico Judicial 2, para un costo de ₡9,812,000.00.</w:t>
      </w:r>
    </w:p>
    <w:p w14:paraId="518760E6" w14:textId="77777777" w:rsidR="00B15F7D" w:rsidRPr="00990FB6" w:rsidRDefault="00B15F7D" w:rsidP="00B15F7D">
      <w:pPr>
        <w:ind w:left="851" w:right="851" w:firstLine="709"/>
        <w:jc w:val="both"/>
        <w:rPr>
          <w:rFonts w:eastAsia="Calibri"/>
          <w:sz w:val="22"/>
          <w:szCs w:val="22"/>
        </w:rPr>
      </w:pPr>
    </w:p>
    <w:p w14:paraId="519D319E"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Para un total por concepto de recurso humano necesario para la entrada en vigencia del Código Procesal Familia de ₡2,600,107,250.00.</w:t>
      </w:r>
    </w:p>
    <w:p w14:paraId="168560FA" w14:textId="77777777" w:rsidR="00B15F7D" w:rsidRPr="00990FB6" w:rsidRDefault="00B15F7D" w:rsidP="00B15F7D">
      <w:pPr>
        <w:ind w:left="851" w:right="851" w:firstLine="709"/>
        <w:jc w:val="both"/>
        <w:rPr>
          <w:rFonts w:eastAsia="Calibri"/>
          <w:sz w:val="22"/>
          <w:szCs w:val="22"/>
        </w:rPr>
      </w:pPr>
    </w:p>
    <w:p w14:paraId="15E623D9"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lastRenderedPageBreak/>
        <w:t xml:space="preserve">El detalle del presupuesto requerido para la Dirección de Tecnología de la Información y Comunicaciones para la adquisición equipo de cómputo de las plazas nuevas, licencias y diseño sitio web de la Comisión de Familia asciende a ₡116,931,112.56. </w:t>
      </w:r>
    </w:p>
    <w:p w14:paraId="38FA0B2F" w14:textId="77777777" w:rsidR="00B15F7D" w:rsidRPr="00990FB6" w:rsidRDefault="00B15F7D" w:rsidP="00B15F7D">
      <w:pPr>
        <w:ind w:left="851" w:right="851" w:firstLine="709"/>
        <w:jc w:val="both"/>
        <w:rPr>
          <w:rFonts w:eastAsia="Calibri"/>
          <w:sz w:val="22"/>
          <w:szCs w:val="22"/>
        </w:rPr>
      </w:pPr>
    </w:p>
    <w:p w14:paraId="6B8BCB42"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El proceso de capacitación, implementación y seguimiento de la aplicación de la nueva ley por parte de la Escuela Judicial se estima en ₡81,198,600 y por viáticos y otros ₡ 16 229 000.00, según el requerimiento y plan de capacitación de la Escuela Judicial para 2024.</w:t>
      </w:r>
    </w:p>
    <w:p w14:paraId="6D01A43A" w14:textId="77777777" w:rsidR="00B15F7D" w:rsidRPr="00990FB6" w:rsidRDefault="00B15F7D" w:rsidP="00B15F7D">
      <w:pPr>
        <w:ind w:left="851" w:right="851" w:firstLine="709"/>
        <w:jc w:val="both"/>
        <w:rPr>
          <w:rFonts w:eastAsia="Calibri"/>
          <w:sz w:val="22"/>
          <w:szCs w:val="22"/>
        </w:rPr>
      </w:pPr>
    </w:p>
    <w:p w14:paraId="73062BA5"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Se incorporan adicionalmente </w:t>
      </w:r>
      <w:bookmarkStart w:id="56" w:name="_Hlk130196323"/>
      <w:r w:rsidRPr="00990FB6">
        <w:rPr>
          <w:rFonts w:eastAsia="Calibri"/>
          <w:sz w:val="22"/>
          <w:szCs w:val="22"/>
        </w:rPr>
        <w:t xml:space="preserve">₡ 60,000,000.00 </w:t>
      </w:r>
      <w:bookmarkEnd w:id="56"/>
      <w:r w:rsidRPr="00990FB6">
        <w:rPr>
          <w:rFonts w:eastAsia="Calibri"/>
          <w:sz w:val="22"/>
          <w:szCs w:val="22"/>
        </w:rPr>
        <w:t xml:space="preserve">para el pago de peritajes por parte del Departamento de Trabajo Social y Psicología que corresponden a 30 millones para la materia de Familia y 30 millones para Violencia Doméstica. </w:t>
      </w:r>
    </w:p>
    <w:p w14:paraId="4EC54C68" w14:textId="77777777" w:rsidR="00B15F7D" w:rsidRPr="00990FB6" w:rsidRDefault="00B15F7D" w:rsidP="00B15F7D">
      <w:pPr>
        <w:ind w:left="851" w:right="851" w:firstLine="709"/>
        <w:jc w:val="both"/>
        <w:rPr>
          <w:rFonts w:eastAsia="Calibri"/>
          <w:sz w:val="22"/>
          <w:szCs w:val="22"/>
        </w:rPr>
      </w:pPr>
    </w:p>
    <w:p w14:paraId="0211082D"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Los costos </w:t>
      </w:r>
      <w:r w:rsidRPr="00990FB6">
        <w:rPr>
          <w:rFonts w:eastAsia="Calibri"/>
          <w:bCs/>
          <w:sz w:val="22"/>
          <w:szCs w:val="22"/>
        </w:rPr>
        <w:t xml:space="preserve">que representaría la activación del rubro de disponibilidad en la Jurisdicción Especializada de Familia se estiman </w:t>
      </w:r>
      <w:r w:rsidRPr="00990FB6">
        <w:rPr>
          <w:rFonts w:eastAsia="Calibri"/>
          <w:sz w:val="22"/>
          <w:szCs w:val="22"/>
        </w:rPr>
        <w:t>en ₡10,649,784.00.</w:t>
      </w:r>
    </w:p>
    <w:p w14:paraId="62736A61" w14:textId="77777777" w:rsidR="00B15F7D" w:rsidRPr="00990FB6" w:rsidRDefault="00B15F7D" w:rsidP="00B15F7D">
      <w:pPr>
        <w:ind w:left="851" w:right="851" w:firstLine="709"/>
        <w:jc w:val="both"/>
        <w:rPr>
          <w:rFonts w:eastAsia="Calibri"/>
          <w:sz w:val="22"/>
          <w:szCs w:val="22"/>
        </w:rPr>
      </w:pPr>
    </w:p>
    <w:p w14:paraId="00C508C0"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El por supuesto que requiere la Dirección Ejecutiva es de ₡ 64,332,998.03 para equipo de comunicación, mobiliario, productos de papel, entre otros.</w:t>
      </w:r>
    </w:p>
    <w:p w14:paraId="21ED5B62" w14:textId="77777777" w:rsidR="00B15F7D" w:rsidRPr="00990FB6" w:rsidRDefault="00B15F7D" w:rsidP="00B15F7D">
      <w:pPr>
        <w:ind w:left="851" w:right="851" w:firstLine="709"/>
        <w:jc w:val="both"/>
        <w:rPr>
          <w:rFonts w:eastAsia="Calibri"/>
          <w:sz w:val="22"/>
          <w:szCs w:val="22"/>
        </w:rPr>
      </w:pPr>
    </w:p>
    <w:p w14:paraId="29D789D5" w14:textId="77777777" w:rsidR="00B15F7D" w:rsidRPr="00990FB6" w:rsidRDefault="00B15F7D" w:rsidP="00B15F7D">
      <w:pPr>
        <w:ind w:left="851" w:right="851" w:firstLine="709"/>
        <w:jc w:val="both"/>
        <w:rPr>
          <w:bCs/>
          <w:caps/>
          <w:spacing w:val="-15"/>
          <w:sz w:val="22"/>
          <w:szCs w:val="22"/>
          <w:lang w:eastAsia="es-CR"/>
        </w:rPr>
      </w:pPr>
      <w:r w:rsidRPr="00990FB6">
        <w:rPr>
          <w:rFonts w:eastAsia="Calibri"/>
          <w:caps/>
          <w:sz w:val="22"/>
          <w:szCs w:val="22"/>
        </w:rPr>
        <w:t xml:space="preserve">Los costos correspondientes a la implementación del Código Procesal de Familia tomando en cuenta los costos de recurso humano y gastos variables, para 2024 ascienden a un total de </w:t>
      </w:r>
      <w:r w:rsidRPr="00990FB6">
        <w:rPr>
          <w:caps/>
          <w:spacing w:val="-15"/>
          <w:sz w:val="22"/>
          <w:szCs w:val="22"/>
          <w:lang w:eastAsia="es-CR"/>
        </w:rPr>
        <w:t>₡2,949</w:t>
      </w:r>
      <w:r w:rsidRPr="00990FB6">
        <w:rPr>
          <w:bCs/>
          <w:caps/>
          <w:spacing w:val="-15"/>
          <w:sz w:val="22"/>
          <w:szCs w:val="22"/>
          <w:lang w:eastAsia="es-CR"/>
        </w:rPr>
        <w:t>,448,744.66.</w:t>
      </w:r>
    </w:p>
    <w:p w14:paraId="4CCF7D71" w14:textId="77777777" w:rsidR="00B15F7D" w:rsidRPr="00990FB6" w:rsidRDefault="00B15F7D" w:rsidP="00B15F7D">
      <w:pPr>
        <w:ind w:left="851" w:right="851" w:firstLine="709"/>
        <w:jc w:val="both"/>
        <w:rPr>
          <w:rFonts w:eastAsia="Calibri"/>
          <w:b/>
          <w:caps/>
          <w:sz w:val="22"/>
          <w:szCs w:val="22"/>
        </w:rPr>
      </w:pPr>
    </w:p>
    <w:p w14:paraId="4F0C3E11" w14:textId="77777777" w:rsidR="00B15F7D" w:rsidRPr="00990FB6" w:rsidRDefault="00B15F7D" w:rsidP="00B15F7D">
      <w:pPr>
        <w:numPr>
          <w:ilvl w:val="1"/>
          <w:numId w:val="188"/>
        </w:numPr>
        <w:ind w:left="851" w:right="851" w:firstLine="709"/>
        <w:jc w:val="both"/>
        <w:rPr>
          <w:rFonts w:eastAsia="Calibri"/>
          <w:b/>
          <w:caps/>
          <w:sz w:val="22"/>
          <w:szCs w:val="22"/>
        </w:rPr>
      </w:pPr>
      <w:r w:rsidRPr="00990FB6">
        <w:rPr>
          <w:rFonts w:eastAsia="Calibri"/>
          <w:caps/>
          <w:sz w:val="22"/>
          <w:szCs w:val="22"/>
        </w:rPr>
        <w:t xml:space="preserve">Las plazas asignadas a planes de trabajo requieren de competencia a nivel nacional. </w:t>
      </w:r>
    </w:p>
    <w:p w14:paraId="23B5E473" w14:textId="77777777" w:rsidR="00B15F7D" w:rsidRPr="00990FB6" w:rsidRDefault="00B15F7D" w:rsidP="00B15F7D">
      <w:pPr>
        <w:ind w:left="851" w:right="851" w:firstLine="709"/>
        <w:jc w:val="both"/>
        <w:rPr>
          <w:rFonts w:eastAsia="Calibri"/>
          <w:b/>
          <w:caps/>
          <w:sz w:val="22"/>
          <w:szCs w:val="22"/>
        </w:rPr>
      </w:pPr>
    </w:p>
    <w:p w14:paraId="1409D431" w14:textId="77777777" w:rsidR="00B15F7D" w:rsidRPr="00990FB6" w:rsidRDefault="00B15F7D" w:rsidP="00B15F7D">
      <w:pPr>
        <w:numPr>
          <w:ilvl w:val="1"/>
          <w:numId w:val="188"/>
        </w:numPr>
        <w:ind w:left="851" w:right="851" w:firstLine="709"/>
        <w:jc w:val="both"/>
        <w:rPr>
          <w:rFonts w:eastAsia="Calibri"/>
          <w:b/>
          <w:caps/>
          <w:sz w:val="22"/>
          <w:szCs w:val="22"/>
        </w:rPr>
      </w:pPr>
      <w:r w:rsidRPr="00990FB6">
        <w:rPr>
          <w:rFonts w:eastAsia="Calibri"/>
          <w:caps/>
          <w:sz w:val="22"/>
          <w:szCs w:val="22"/>
        </w:rPr>
        <w:t xml:space="preserve">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y por ende no lo considera la Dirección de Planificación en este estudio de impacto económico, por lo que de aprobarse en algún momento por el órgano superior pertinente deberán también considerar el impacto económico que ello signifique. </w:t>
      </w:r>
    </w:p>
    <w:p w14:paraId="581E090E" w14:textId="77777777" w:rsidR="00B15F7D" w:rsidRPr="00990FB6" w:rsidRDefault="00B15F7D" w:rsidP="00B15F7D">
      <w:pPr>
        <w:ind w:left="851" w:right="851" w:firstLine="709"/>
        <w:jc w:val="both"/>
        <w:rPr>
          <w:rFonts w:eastAsia="Calibri"/>
          <w:b/>
          <w:caps/>
          <w:sz w:val="22"/>
          <w:szCs w:val="22"/>
        </w:rPr>
      </w:pPr>
    </w:p>
    <w:p w14:paraId="134E5334" w14:textId="77777777" w:rsidR="00B15F7D" w:rsidRPr="00990FB6" w:rsidRDefault="00B15F7D" w:rsidP="00B15F7D">
      <w:pPr>
        <w:ind w:left="851" w:right="851" w:firstLine="709"/>
        <w:jc w:val="both"/>
        <w:rPr>
          <w:b/>
          <w:bCs/>
          <w:sz w:val="22"/>
          <w:szCs w:val="22"/>
        </w:rPr>
      </w:pPr>
      <w:r w:rsidRPr="00990FB6">
        <w:rPr>
          <w:b/>
          <w:bCs/>
          <w:sz w:val="22"/>
          <w:szCs w:val="22"/>
        </w:rPr>
        <w:t>12.Recomendaciones</w:t>
      </w:r>
    </w:p>
    <w:p w14:paraId="3EDAA1B2" w14:textId="77777777" w:rsidR="00B15F7D" w:rsidRPr="00990FB6" w:rsidRDefault="00B15F7D" w:rsidP="00B15F7D">
      <w:pPr>
        <w:ind w:left="851" w:right="851" w:firstLine="709"/>
        <w:jc w:val="both"/>
        <w:rPr>
          <w:rFonts w:eastAsia="Calibri"/>
          <w:sz w:val="22"/>
          <w:szCs w:val="22"/>
        </w:rPr>
      </w:pPr>
    </w:p>
    <w:p w14:paraId="6479FF28"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 continuación, se presentan las recomendaciones del informe:</w:t>
      </w:r>
    </w:p>
    <w:p w14:paraId="373E8509" w14:textId="77777777" w:rsidR="00B15F7D" w:rsidRPr="00990FB6" w:rsidRDefault="00B15F7D" w:rsidP="00B15F7D">
      <w:pPr>
        <w:ind w:left="851" w:right="851" w:firstLine="709"/>
        <w:jc w:val="both"/>
        <w:rPr>
          <w:rFonts w:eastAsia="Calibri"/>
          <w:sz w:val="22"/>
          <w:szCs w:val="22"/>
        </w:rPr>
      </w:pPr>
    </w:p>
    <w:p w14:paraId="74828C7F" w14:textId="77777777" w:rsidR="00B15F7D" w:rsidRPr="00990FB6" w:rsidRDefault="00B15F7D" w:rsidP="00B15F7D">
      <w:pPr>
        <w:ind w:left="851" w:right="851" w:firstLine="709"/>
        <w:jc w:val="both"/>
        <w:rPr>
          <w:rFonts w:eastAsia="MS PGothic"/>
          <w:b/>
          <w:bCs/>
          <w:sz w:val="22"/>
          <w:szCs w:val="22"/>
        </w:rPr>
      </w:pPr>
      <w:r w:rsidRPr="00990FB6">
        <w:rPr>
          <w:rFonts w:eastAsia="MS PGothic"/>
          <w:b/>
          <w:bCs/>
          <w:sz w:val="22"/>
          <w:szCs w:val="22"/>
        </w:rPr>
        <w:t>A Corte Plena</w:t>
      </w:r>
    </w:p>
    <w:p w14:paraId="4F54E95C" w14:textId="77777777" w:rsidR="00B15F7D" w:rsidRPr="00990FB6" w:rsidRDefault="00B15F7D" w:rsidP="00B15F7D">
      <w:pPr>
        <w:ind w:left="851" w:right="851" w:firstLine="709"/>
        <w:jc w:val="both"/>
        <w:rPr>
          <w:caps/>
          <w:spacing w:val="-15"/>
          <w:sz w:val="22"/>
          <w:szCs w:val="22"/>
        </w:rPr>
      </w:pPr>
    </w:p>
    <w:p w14:paraId="078946C4" w14:textId="77777777" w:rsidR="00B15F7D" w:rsidRPr="00990FB6" w:rsidRDefault="00B15F7D" w:rsidP="00B15F7D">
      <w:pPr>
        <w:ind w:left="851" w:right="851" w:firstLine="709"/>
        <w:jc w:val="both"/>
        <w:rPr>
          <w:caps/>
          <w:spacing w:val="-15"/>
          <w:sz w:val="22"/>
          <w:szCs w:val="22"/>
        </w:rPr>
      </w:pPr>
      <w:r w:rsidRPr="00990FB6">
        <w:rPr>
          <w:caps/>
          <w:spacing w:val="-15"/>
          <w:sz w:val="22"/>
          <w:szCs w:val="22"/>
        </w:rPr>
        <w:t xml:space="preserve">Nota: Estas recomendaciones son a partir de las disposiciones incorporadas al día de hoy en la propuesta de Código Procesal de Familia, si se generan cambios a partir de la revisión que se está realizando por parte de la Institución se tendrá que revisar la nueva versión. </w:t>
      </w:r>
    </w:p>
    <w:p w14:paraId="386C8699" w14:textId="77777777" w:rsidR="00B15F7D" w:rsidRPr="00990FB6" w:rsidRDefault="00B15F7D" w:rsidP="00B15F7D">
      <w:pPr>
        <w:ind w:left="851" w:right="851" w:firstLine="709"/>
        <w:jc w:val="both"/>
        <w:rPr>
          <w:b/>
          <w:caps/>
          <w:spacing w:val="-15"/>
          <w:sz w:val="22"/>
          <w:szCs w:val="22"/>
        </w:rPr>
      </w:pPr>
    </w:p>
    <w:p w14:paraId="36747AAB" w14:textId="77777777" w:rsidR="00B15F7D" w:rsidRPr="00990FB6" w:rsidRDefault="00B15F7D" w:rsidP="00B15F7D">
      <w:pPr>
        <w:numPr>
          <w:ilvl w:val="1"/>
          <w:numId w:val="190"/>
        </w:numPr>
        <w:ind w:left="851" w:right="851" w:firstLine="709"/>
        <w:jc w:val="both"/>
        <w:rPr>
          <w:b/>
          <w:caps/>
          <w:spacing w:val="-15"/>
          <w:sz w:val="22"/>
          <w:szCs w:val="22"/>
        </w:rPr>
      </w:pPr>
      <w:r w:rsidRPr="00990FB6">
        <w:rPr>
          <w:rFonts w:eastAsia="Calibri"/>
          <w:caps/>
          <w:sz w:val="22"/>
          <w:szCs w:val="22"/>
        </w:rPr>
        <w:t>Aprobar la propuesta de incorporar los siguientes rubros a nivel del presupuesto para la implementación del Código Procesal de Familia, para remitirlo en forma separada del presupuesto ordinario institucional al Ministerio de Hacienda para el 2024:</w:t>
      </w:r>
    </w:p>
    <w:p w14:paraId="2D92B8DB" w14:textId="77777777" w:rsidR="00B15F7D" w:rsidRPr="00990FB6" w:rsidRDefault="00B15F7D" w:rsidP="00B15F7D">
      <w:pPr>
        <w:ind w:left="851" w:right="851" w:firstLine="709"/>
        <w:jc w:val="both"/>
        <w:rPr>
          <w:b/>
          <w:caps/>
          <w:spacing w:val="-15"/>
          <w:sz w:val="22"/>
          <w:szCs w:val="22"/>
        </w:rPr>
      </w:pPr>
    </w:p>
    <w:p w14:paraId="70CA6F04"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Aprobar la incorporación a nivel de recurso humano de un total de 50 plazas distribuidas así:</w:t>
      </w:r>
    </w:p>
    <w:p w14:paraId="2111D4E8" w14:textId="77777777" w:rsidR="00B15F7D" w:rsidRPr="00990FB6" w:rsidRDefault="00B15F7D" w:rsidP="00B15F7D">
      <w:pPr>
        <w:ind w:left="851" w:right="851" w:firstLine="709"/>
        <w:jc w:val="both"/>
        <w:rPr>
          <w:rFonts w:eastAsia="Calibri"/>
          <w:sz w:val="22"/>
          <w:szCs w:val="22"/>
        </w:rPr>
      </w:pPr>
    </w:p>
    <w:p w14:paraId="442183D9" w14:textId="77777777" w:rsidR="00B15F7D" w:rsidRPr="00990FB6" w:rsidRDefault="00B15F7D" w:rsidP="00B15F7D">
      <w:pPr>
        <w:numPr>
          <w:ilvl w:val="0"/>
          <w:numId w:val="187"/>
        </w:numPr>
        <w:ind w:left="851" w:right="851" w:firstLine="709"/>
        <w:jc w:val="both"/>
        <w:rPr>
          <w:rFonts w:eastAsia="Calibri"/>
          <w:sz w:val="22"/>
          <w:szCs w:val="22"/>
        </w:rPr>
      </w:pPr>
      <w:r w:rsidRPr="00990FB6">
        <w:rPr>
          <w:rFonts w:eastAsia="Calibri"/>
          <w:sz w:val="22"/>
          <w:szCs w:val="22"/>
        </w:rPr>
        <w:t>A nivel de Juzgados y Sala Segunda para completar estructuras: 1 plaza de Técnico Judicial 2 extraordinaria, 1 plaza de Técnica o Técnico Judicial 2 ordinaria, 1 plaza de Técnico Judicial 1 ordinaria, 1 plaza de Juez 1 y en la Sala Segunda: 1 plaza nueva de Profesional en Derecho 3B, 2 Técnico Sala de la Corte y 2 Técnico Judicial 3, todas ordinarias y para la atención de las apelaciones en PA, 5 plazas ordinarias y 5 extraordinarias, para un costo estimado ₡801,595,000.00.</w:t>
      </w:r>
    </w:p>
    <w:p w14:paraId="54CC052E" w14:textId="77777777" w:rsidR="00B15F7D" w:rsidRPr="00990FB6" w:rsidRDefault="00B15F7D" w:rsidP="00B15F7D">
      <w:pPr>
        <w:ind w:left="851" w:right="851" w:firstLine="709"/>
        <w:jc w:val="both"/>
        <w:rPr>
          <w:rFonts w:eastAsia="Calibri"/>
          <w:sz w:val="22"/>
          <w:szCs w:val="22"/>
        </w:rPr>
      </w:pPr>
    </w:p>
    <w:p w14:paraId="31EF9E63" w14:textId="77777777" w:rsidR="00B15F7D" w:rsidRPr="00990FB6" w:rsidRDefault="00B15F7D" w:rsidP="00B15F7D">
      <w:pPr>
        <w:numPr>
          <w:ilvl w:val="0"/>
          <w:numId w:val="187"/>
        </w:numPr>
        <w:ind w:left="851" w:right="851" w:firstLine="709"/>
        <w:jc w:val="both"/>
        <w:rPr>
          <w:rFonts w:eastAsia="Calibri"/>
          <w:sz w:val="22"/>
          <w:szCs w:val="22"/>
        </w:rPr>
      </w:pPr>
      <w:r w:rsidRPr="00990FB6">
        <w:rPr>
          <w:rFonts w:eastAsia="Calibri"/>
          <w:sz w:val="22"/>
          <w:szCs w:val="22"/>
        </w:rPr>
        <w:t>Para el CACMFJ, planes de trabajo y estructuras de tramitación en los Juzgados de Violencia Doméstica: 1 Jueza o Juez 4 Gestor y 1 Profesional 2 ordinarias y de forma extraordinarias:  1 Profesional 2, 1 Coordinador Judicial 2, 2 Técnicos Supernumerarios, 4 Técnicos Judiciales 2. Para el plan de Trabajo en Pensiones 12 personas Juzgadoras Supernumerarias, para el plan en Familia 8 personas Juzgadoras 3, 3 Jueces 4 para Segunda Instancia y para la implementación del Modelo de Tramitación en Violencia Doméstica 2 personas Juzgadoras 3 con 17 personas Técnicas Judiciales 2, además de la recalificación de cuatro plazas de Auxiliar de Servicios Generales a personal Técnico Judicial, para un costo estimado de ₡1,788,700,250.00.</w:t>
      </w:r>
    </w:p>
    <w:p w14:paraId="509C0C4A" w14:textId="77777777" w:rsidR="00B15F7D" w:rsidRPr="00990FB6" w:rsidRDefault="00B15F7D" w:rsidP="00B15F7D">
      <w:pPr>
        <w:ind w:left="851" w:right="851" w:firstLine="709"/>
        <w:jc w:val="both"/>
        <w:rPr>
          <w:rFonts w:eastAsia="Calibri"/>
          <w:sz w:val="22"/>
          <w:szCs w:val="22"/>
        </w:rPr>
      </w:pPr>
    </w:p>
    <w:p w14:paraId="0D9041F0" w14:textId="77777777" w:rsidR="00B15F7D" w:rsidRPr="00990FB6" w:rsidRDefault="00B15F7D" w:rsidP="00B15F7D">
      <w:pPr>
        <w:numPr>
          <w:ilvl w:val="0"/>
          <w:numId w:val="187"/>
        </w:numPr>
        <w:ind w:left="851" w:right="851" w:firstLine="709"/>
        <w:jc w:val="both"/>
        <w:rPr>
          <w:rFonts w:eastAsia="Calibri"/>
          <w:sz w:val="22"/>
          <w:szCs w:val="22"/>
        </w:rPr>
      </w:pPr>
      <w:r w:rsidRPr="00990FB6">
        <w:rPr>
          <w:rFonts w:eastAsia="Calibri"/>
          <w:sz w:val="22"/>
          <w:szCs w:val="22"/>
        </w:rPr>
        <w:t>Para el Modelo de Tramitación de Violencia Doméstica, se requiere la recalificación de 4 plazas de Auxiliar de Servicios Generales a Técnico Judicial 2, para un costo de ₡9,812,000.00</w:t>
      </w:r>
    </w:p>
    <w:p w14:paraId="723E3980" w14:textId="77777777" w:rsidR="00B15F7D" w:rsidRPr="00990FB6" w:rsidRDefault="00B15F7D" w:rsidP="00B15F7D">
      <w:pPr>
        <w:ind w:left="851" w:right="851" w:firstLine="709"/>
        <w:jc w:val="both"/>
        <w:rPr>
          <w:rFonts w:eastAsia="Calibri"/>
          <w:sz w:val="22"/>
          <w:szCs w:val="22"/>
        </w:rPr>
      </w:pPr>
    </w:p>
    <w:p w14:paraId="5830CEDF"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Para un total por concepto de recurso humano necesario para la entrada en vigencia del Código Procesal Familia de </w:t>
      </w:r>
      <w:r w:rsidRPr="00990FB6" w:rsidDel="00D76695">
        <w:rPr>
          <w:rFonts w:eastAsia="Calibri"/>
          <w:sz w:val="22"/>
          <w:szCs w:val="22"/>
        </w:rPr>
        <w:t>₡</w:t>
      </w:r>
      <w:r w:rsidRPr="00990FB6">
        <w:rPr>
          <w:rFonts w:eastAsia="Calibri"/>
          <w:sz w:val="22"/>
          <w:szCs w:val="22"/>
        </w:rPr>
        <w:t>1.788,700,250.00.</w:t>
      </w:r>
    </w:p>
    <w:p w14:paraId="637D2617" w14:textId="77777777" w:rsidR="00B15F7D" w:rsidRPr="00990FB6" w:rsidRDefault="00B15F7D" w:rsidP="00B15F7D">
      <w:pPr>
        <w:jc w:val="both"/>
        <w:rPr>
          <w:rFonts w:eastAsia="Calibri"/>
          <w:sz w:val="22"/>
          <w:szCs w:val="22"/>
        </w:rPr>
      </w:pPr>
    </w:p>
    <w:tbl>
      <w:tblPr>
        <w:tblW w:w="5000" w:type="pct"/>
        <w:jc w:val="center"/>
        <w:tblCellMar>
          <w:left w:w="70" w:type="dxa"/>
          <w:right w:w="70" w:type="dxa"/>
        </w:tblCellMar>
        <w:tblLook w:val="04A0" w:firstRow="1" w:lastRow="0" w:firstColumn="1" w:lastColumn="0" w:noHBand="0" w:noVBand="1"/>
      </w:tblPr>
      <w:tblGrid>
        <w:gridCol w:w="2146"/>
        <w:gridCol w:w="1247"/>
        <w:gridCol w:w="2570"/>
        <w:gridCol w:w="2381"/>
      </w:tblGrid>
      <w:tr w:rsidR="00B15F7D" w:rsidRPr="00990FB6" w14:paraId="5DFD1CCA" w14:textId="77777777" w:rsidTr="000A0C22">
        <w:trPr>
          <w:trHeight w:val="530"/>
          <w:jc w:val="center"/>
        </w:trPr>
        <w:tc>
          <w:tcPr>
            <w:tcW w:w="1286"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532B1B78" w14:textId="77777777" w:rsidR="00B15F7D" w:rsidRPr="00990FB6" w:rsidRDefault="00B15F7D" w:rsidP="00B15F7D">
            <w:pPr>
              <w:jc w:val="center"/>
              <w:rPr>
                <w:b/>
                <w:bCs/>
                <w:sz w:val="22"/>
                <w:szCs w:val="22"/>
                <w:lang w:eastAsia="es-CR"/>
              </w:rPr>
            </w:pPr>
            <w:r w:rsidRPr="00990FB6">
              <w:rPr>
                <w:b/>
                <w:bCs/>
                <w:sz w:val="22"/>
                <w:szCs w:val="22"/>
                <w:lang w:eastAsia="es-CR"/>
              </w:rPr>
              <w:lastRenderedPageBreak/>
              <w:t>Oficina</w:t>
            </w:r>
          </w:p>
        </w:tc>
        <w:tc>
          <w:tcPr>
            <w:tcW w:w="747" w:type="pct"/>
            <w:tcBorders>
              <w:top w:val="single" w:sz="8" w:space="0" w:color="auto"/>
              <w:left w:val="nil"/>
              <w:bottom w:val="single" w:sz="8" w:space="0" w:color="auto"/>
              <w:right w:val="single" w:sz="8" w:space="0" w:color="auto"/>
            </w:tcBorders>
            <w:shd w:val="clear" w:color="000000" w:fill="002060"/>
            <w:vAlign w:val="center"/>
            <w:hideMark/>
          </w:tcPr>
          <w:p w14:paraId="37C99FA3" w14:textId="77777777" w:rsidR="00B15F7D" w:rsidRPr="00990FB6" w:rsidRDefault="00B15F7D" w:rsidP="00B15F7D">
            <w:pPr>
              <w:jc w:val="center"/>
              <w:rPr>
                <w:b/>
                <w:bCs/>
                <w:sz w:val="22"/>
                <w:szCs w:val="22"/>
                <w:lang w:eastAsia="es-CR"/>
              </w:rPr>
            </w:pPr>
            <w:r w:rsidRPr="00990FB6">
              <w:rPr>
                <w:b/>
                <w:bCs/>
                <w:sz w:val="22"/>
                <w:szCs w:val="22"/>
                <w:lang w:eastAsia="es-CR"/>
              </w:rPr>
              <w:t>Cantidad</w:t>
            </w:r>
          </w:p>
        </w:tc>
        <w:tc>
          <w:tcPr>
            <w:tcW w:w="1540" w:type="pct"/>
            <w:tcBorders>
              <w:top w:val="single" w:sz="8" w:space="0" w:color="auto"/>
              <w:left w:val="nil"/>
              <w:bottom w:val="single" w:sz="8" w:space="0" w:color="auto"/>
              <w:right w:val="single" w:sz="8" w:space="0" w:color="auto"/>
            </w:tcBorders>
            <w:shd w:val="clear" w:color="000000" w:fill="002060"/>
            <w:vAlign w:val="center"/>
            <w:hideMark/>
          </w:tcPr>
          <w:p w14:paraId="4CFE1046" w14:textId="77777777" w:rsidR="00B15F7D" w:rsidRPr="00990FB6" w:rsidRDefault="00B15F7D" w:rsidP="00B15F7D">
            <w:pPr>
              <w:jc w:val="center"/>
              <w:rPr>
                <w:b/>
                <w:bCs/>
                <w:sz w:val="22"/>
                <w:szCs w:val="22"/>
                <w:lang w:eastAsia="es-CR"/>
              </w:rPr>
            </w:pPr>
            <w:r w:rsidRPr="00990FB6">
              <w:rPr>
                <w:b/>
                <w:bCs/>
                <w:sz w:val="22"/>
                <w:szCs w:val="22"/>
                <w:lang w:eastAsia="es-CR"/>
              </w:rPr>
              <w:t>Tipo de plaza</w:t>
            </w:r>
          </w:p>
        </w:tc>
        <w:tc>
          <w:tcPr>
            <w:tcW w:w="1428" w:type="pct"/>
            <w:tcBorders>
              <w:top w:val="single" w:sz="8" w:space="0" w:color="auto"/>
              <w:left w:val="nil"/>
              <w:bottom w:val="single" w:sz="8" w:space="0" w:color="auto"/>
              <w:right w:val="single" w:sz="8" w:space="0" w:color="auto"/>
            </w:tcBorders>
            <w:shd w:val="clear" w:color="000000" w:fill="002060"/>
            <w:vAlign w:val="center"/>
            <w:hideMark/>
          </w:tcPr>
          <w:p w14:paraId="49C32206" w14:textId="77777777" w:rsidR="00B15F7D" w:rsidRPr="00990FB6" w:rsidRDefault="00B15F7D" w:rsidP="00B15F7D">
            <w:pPr>
              <w:jc w:val="center"/>
              <w:rPr>
                <w:b/>
                <w:bCs/>
                <w:sz w:val="22"/>
                <w:szCs w:val="22"/>
                <w:lang w:eastAsia="es-CR"/>
              </w:rPr>
            </w:pPr>
            <w:r w:rsidRPr="00990FB6">
              <w:rPr>
                <w:b/>
                <w:bCs/>
                <w:sz w:val="22"/>
                <w:szCs w:val="22"/>
                <w:lang w:eastAsia="es-CR"/>
              </w:rPr>
              <w:t xml:space="preserve">Costo total </w:t>
            </w:r>
          </w:p>
        </w:tc>
      </w:tr>
      <w:tr w:rsidR="00B15F7D" w:rsidRPr="00990FB6" w14:paraId="2AF9430B" w14:textId="77777777" w:rsidTr="000A0C22">
        <w:trPr>
          <w:trHeight w:val="1070"/>
          <w:jc w:val="center"/>
        </w:trPr>
        <w:tc>
          <w:tcPr>
            <w:tcW w:w="1286" w:type="pct"/>
            <w:tcBorders>
              <w:top w:val="nil"/>
              <w:left w:val="single" w:sz="8" w:space="0" w:color="auto"/>
              <w:bottom w:val="single" w:sz="8" w:space="0" w:color="auto"/>
              <w:right w:val="single" w:sz="8" w:space="0" w:color="auto"/>
            </w:tcBorders>
            <w:shd w:val="clear" w:color="auto" w:fill="auto"/>
            <w:vAlign w:val="center"/>
            <w:hideMark/>
          </w:tcPr>
          <w:p w14:paraId="52465EB4" w14:textId="77777777" w:rsidR="00B15F7D" w:rsidRPr="00990FB6" w:rsidRDefault="00B15F7D" w:rsidP="00B15F7D">
            <w:pPr>
              <w:jc w:val="center"/>
              <w:rPr>
                <w:sz w:val="22"/>
                <w:szCs w:val="22"/>
                <w:lang w:eastAsia="es-CR"/>
              </w:rPr>
            </w:pPr>
            <w:r w:rsidRPr="00990FB6">
              <w:rPr>
                <w:sz w:val="22"/>
                <w:szCs w:val="22"/>
                <w:lang w:eastAsia="es-CR"/>
              </w:rPr>
              <w:t>Juzgado Familia II Circuito Judicial de Alajuela</w:t>
            </w:r>
          </w:p>
        </w:tc>
        <w:tc>
          <w:tcPr>
            <w:tcW w:w="747" w:type="pct"/>
            <w:tcBorders>
              <w:top w:val="nil"/>
              <w:left w:val="nil"/>
              <w:bottom w:val="single" w:sz="8" w:space="0" w:color="auto"/>
              <w:right w:val="single" w:sz="8" w:space="0" w:color="auto"/>
            </w:tcBorders>
            <w:shd w:val="clear" w:color="auto" w:fill="auto"/>
            <w:vAlign w:val="center"/>
            <w:hideMark/>
          </w:tcPr>
          <w:p w14:paraId="70ABF9C0"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1540" w:type="pct"/>
            <w:tcBorders>
              <w:top w:val="nil"/>
              <w:left w:val="nil"/>
              <w:bottom w:val="single" w:sz="8" w:space="0" w:color="auto"/>
              <w:right w:val="single" w:sz="8" w:space="0" w:color="auto"/>
            </w:tcBorders>
            <w:shd w:val="clear" w:color="auto" w:fill="auto"/>
            <w:vAlign w:val="center"/>
            <w:hideMark/>
          </w:tcPr>
          <w:p w14:paraId="10993D34" w14:textId="77777777" w:rsidR="00B15F7D" w:rsidRPr="00990FB6" w:rsidRDefault="00B15F7D" w:rsidP="00B15F7D">
            <w:pPr>
              <w:jc w:val="center"/>
              <w:rPr>
                <w:sz w:val="22"/>
                <w:szCs w:val="22"/>
                <w:lang w:eastAsia="es-CR"/>
              </w:rPr>
            </w:pPr>
            <w:r w:rsidRPr="00990FB6">
              <w:rPr>
                <w:sz w:val="22"/>
                <w:szCs w:val="22"/>
                <w:lang w:eastAsia="es-CR"/>
              </w:rPr>
              <w:t>Técnica o Técnico Judicial 2</w:t>
            </w:r>
          </w:p>
        </w:tc>
        <w:tc>
          <w:tcPr>
            <w:tcW w:w="1428" w:type="pct"/>
            <w:tcBorders>
              <w:top w:val="nil"/>
              <w:left w:val="nil"/>
              <w:bottom w:val="single" w:sz="8" w:space="0" w:color="auto"/>
              <w:right w:val="single" w:sz="8" w:space="0" w:color="auto"/>
            </w:tcBorders>
            <w:shd w:val="clear" w:color="auto" w:fill="auto"/>
            <w:vAlign w:val="center"/>
            <w:hideMark/>
          </w:tcPr>
          <w:p w14:paraId="61CDB082" w14:textId="77777777" w:rsidR="00B15F7D" w:rsidRPr="00990FB6" w:rsidRDefault="00B15F7D" w:rsidP="00B15F7D">
            <w:pPr>
              <w:jc w:val="center"/>
              <w:rPr>
                <w:sz w:val="22"/>
                <w:szCs w:val="22"/>
                <w:lang w:eastAsia="es-CR"/>
              </w:rPr>
            </w:pPr>
            <w:r w:rsidRPr="00990FB6">
              <w:rPr>
                <w:sz w:val="22"/>
                <w:szCs w:val="22"/>
                <w:lang w:eastAsia="es-CR"/>
              </w:rPr>
              <w:t>₡ 15 945 000.00</w:t>
            </w:r>
          </w:p>
        </w:tc>
      </w:tr>
      <w:tr w:rsidR="00B15F7D" w:rsidRPr="00990FB6" w14:paraId="549E5345" w14:textId="77777777" w:rsidTr="000A0C22">
        <w:trPr>
          <w:trHeight w:val="1020"/>
          <w:jc w:val="center"/>
        </w:trPr>
        <w:tc>
          <w:tcPr>
            <w:tcW w:w="1286" w:type="pct"/>
            <w:tcBorders>
              <w:top w:val="nil"/>
              <w:left w:val="single" w:sz="8" w:space="0" w:color="auto"/>
              <w:bottom w:val="single" w:sz="8" w:space="0" w:color="auto"/>
              <w:right w:val="single" w:sz="8" w:space="0" w:color="auto"/>
            </w:tcBorders>
            <w:shd w:val="clear" w:color="000000" w:fill="FFFFFF"/>
            <w:vAlign w:val="center"/>
            <w:hideMark/>
          </w:tcPr>
          <w:p w14:paraId="378DD257" w14:textId="77777777" w:rsidR="00B15F7D" w:rsidRPr="00990FB6" w:rsidRDefault="00B15F7D" w:rsidP="00B15F7D">
            <w:pPr>
              <w:jc w:val="center"/>
              <w:rPr>
                <w:sz w:val="22"/>
                <w:szCs w:val="22"/>
                <w:lang w:eastAsia="es-CR"/>
              </w:rPr>
            </w:pPr>
            <w:r w:rsidRPr="00990FB6">
              <w:rPr>
                <w:sz w:val="22"/>
                <w:szCs w:val="22"/>
                <w:lang w:eastAsia="es-CR"/>
              </w:rPr>
              <w:t>Juzgado Civil. Trabajo y Familia de Buenos Aires</w:t>
            </w:r>
          </w:p>
        </w:tc>
        <w:tc>
          <w:tcPr>
            <w:tcW w:w="747" w:type="pct"/>
            <w:tcBorders>
              <w:top w:val="nil"/>
              <w:left w:val="nil"/>
              <w:bottom w:val="single" w:sz="8" w:space="0" w:color="auto"/>
              <w:right w:val="single" w:sz="8" w:space="0" w:color="auto"/>
            </w:tcBorders>
            <w:shd w:val="clear" w:color="000000" w:fill="FFFFFF"/>
            <w:vAlign w:val="center"/>
            <w:hideMark/>
          </w:tcPr>
          <w:p w14:paraId="56CB292C"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1540" w:type="pct"/>
            <w:tcBorders>
              <w:top w:val="nil"/>
              <w:left w:val="nil"/>
              <w:bottom w:val="single" w:sz="8" w:space="0" w:color="auto"/>
              <w:right w:val="single" w:sz="8" w:space="0" w:color="auto"/>
            </w:tcBorders>
            <w:shd w:val="clear" w:color="000000" w:fill="FFFFFF"/>
            <w:vAlign w:val="center"/>
            <w:hideMark/>
          </w:tcPr>
          <w:p w14:paraId="4AF76775" w14:textId="77777777" w:rsidR="00B15F7D" w:rsidRPr="00990FB6" w:rsidRDefault="00B15F7D" w:rsidP="00B15F7D">
            <w:pPr>
              <w:jc w:val="center"/>
              <w:rPr>
                <w:sz w:val="22"/>
                <w:szCs w:val="22"/>
                <w:lang w:eastAsia="es-CR"/>
              </w:rPr>
            </w:pPr>
            <w:r w:rsidRPr="00990FB6">
              <w:rPr>
                <w:sz w:val="22"/>
                <w:szCs w:val="22"/>
                <w:lang w:eastAsia="es-CR"/>
              </w:rPr>
              <w:t>Técnica o Técnico Judicial 2</w:t>
            </w:r>
          </w:p>
        </w:tc>
        <w:tc>
          <w:tcPr>
            <w:tcW w:w="1428" w:type="pct"/>
            <w:tcBorders>
              <w:top w:val="nil"/>
              <w:left w:val="nil"/>
              <w:bottom w:val="single" w:sz="8" w:space="0" w:color="auto"/>
              <w:right w:val="single" w:sz="8" w:space="0" w:color="auto"/>
            </w:tcBorders>
            <w:shd w:val="clear" w:color="auto" w:fill="auto"/>
            <w:vAlign w:val="center"/>
            <w:hideMark/>
          </w:tcPr>
          <w:p w14:paraId="1048D19E" w14:textId="77777777" w:rsidR="00B15F7D" w:rsidRPr="00990FB6" w:rsidRDefault="00B15F7D" w:rsidP="00B15F7D">
            <w:pPr>
              <w:jc w:val="center"/>
              <w:rPr>
                <w:sz w:val="22"/>
                <w:szCs w:val="22"/>
                <w:lang w:eastAsia="es-CR"/>
              </w:rPr>
            </w:pPr>
            <w:r w:rsidRPr="00990FB6">
              <w:rPr>
                <w:sz w:val="22"/>
                <w:szCs w:val="22"/>
                <w:lang w:eastAsia="es-CR"/>
              </w:rPr>
              <w:t>₡ 15 945 000.00</w:t>
            </w:r>
          </w:p>
        </w:tc>
      </w:tr>
      <w:tr w:rsidR="00B15F7D" w:rsidRPr="00990FB6" w14:paraId="201D5EA5" w14:textId="77777777" w:rsidTr="000A0C22">
        <w:trPr>
          <w:trHeight w:val="1820"/>
          <w:jc w:val="center"/>
        </w:trPr>
        <w:tc>
          <w:tcPr>
            <w:tcW w:w="1286" w:type="pct"/>
            <w:tcBorders>
              <w:top w:val="nil"/>
              <w:left w:val="single" w:sz="8" w:space="0" w:color="auto"/>
              <w:bottom w:val="single" w:sz="8" w:space="0" w:color="auto"/>
              <w:right w:val="single" w:sz="8" w:space="0" w:color="auto"/>
            </w:tcBorders>
            <w:shd w:val="clear" w:color="000000" w:fill="FFFFFF"/>
            <w:vAlign w:val="center"/>
            <w:hideMark/>
          </w:tcPr>
          <w:p w14:paraId="58ED52BC" w14:textId="77777777" w:rsidR="00B15F7D" w:rsidRPr="00990FB6" w:rsidRDefault="00B15F7D" w:rsidP="00B15F7D">
            <w:pPr>
              <w:jc w:val="center"/>
              <w:rPr>
                <w:sz w:val="22"/>
                <w:szCs w:val="22"/>
                <w:lang w:eastAsia="es-CR"/>
              </w:rPr>
            </w:pPr>
            <w:r w:rsidRPr="00990FB6">
              <w:rPr>
                <w:sz w:val="22"/>
                <w:szCs w:val="22"/>
                <w:lang w:eastAsia="es-CR"/>
              </w:rPr>
              <w:t>Juzgado Contravencional y Pensiones Alimentarias del Primer Circuito Judicial de Guanacaste</w:t>
            </w:r>
          </w:p>
        </w:tc>
        <w:tc>
          <w:tcPr>
            <w:tcW w:w="747" w:type="pct"/>
            <w:tcBorders>
              <w:top w:val="nil"/>
              <w:left w:val="nil"/>
              <w:bottom w:val="single" w:sz="8" w:space="0" w:color="auto"/>
              <w:right w:val="single" w:sz="8" w:space="0" w:color="auto"/>
            </w:tcBorders>
            <w:shd w:val="clear" w:color="000000" w:fill="FFFFFF"/>
            <w:vAlign w:val="center"/>
            <w:hideMark/>
          </w:tcPr>
          <w:p w14:paraId="238BD9E1"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1540" w:type="pct"/>
            <w:tcBorders>
              <w:top w:val="nil"/>
              <w:left w:val="nil"/>
              <w:bottom w:val="single" w:sz="8" w:space="0" w:color="auto"/>
              <w:right w:val="single" w:sz="8" w:space="0" w:color="auto"/>
            </w:tcBorders>
            <w:shd w:val="clear" w:color="000000" w:fill="FFFFFF"/>
            <w:vAlign w:val="center"/>
            <w:hideMark/>
          </w:tcPr>
          <w:p w14:paraId="47324F93" w14:textId="77777777" w:rsidR="00B15F7D" w:rsidRPr="00990FB6" w:rsidRDefault="00B15F7D" w:rsidP="00B15F7D">
            <w:pPr>
              <w:jc w:val="center"/>
              <w:rPr>
                <w:sz w:val="22"/>
                <w:szCs w:val="22"/>
                <w:lang w:eastAsia="es-CR"/>
              </w:rPr>
            </w:pPr>
            <w:r w:rsidRPr="00990FB6">
              <w:rPr>
                <w:sz w:val="22"/>
                <w:szCs w:val="22"/>
                <w:lang w:eastAsia="es-CR"/>
              </w:rPr>
              <w:t>Técnica o Técnico Judicial 1</w:t>
            </w:r>
          </w:p>
        </w:tc>
        <w:tc>
          <w:tcPr>
            <w:tcW w:w="1428" w:type="pct"/>
            <w:tcBorders>
              <w:top w:val="nil"/>
              <w:left w:val="nil"/>
              <w:bottom w:val="single" w:sz="8" w:space="0" w:color="auto"/>
              <w:right w:val="single" w:sz="8" w:space="0" w:color="auto"/>
            </w:tcBorders>
            <w:shd w:val="clear" w:color="auto" w:fill="auto"/>
            <w:vAlign w:val="center"/>
            <w:hideMark/>
          </w:tcPr>
          <w:p w14:paraId="70239523" w14:textId="77777777" w:rsidR="00B15F7D" w:rsidRPr="00990FB6" w:rsidRDefault="00B15F7D" w:rsidP="00B15F7D">
            <w:pPr>
              <w:jc w:val="center"/>
              <w:rPr>
                <w:sz w:val="22"/>
                <w:szCs w:val="22"/>
                <w:lang w:eastAsia="es-CR"/>
              </w:rPr>
            </w:pPr>
            <w:r w:rsidRPr="00990FB6">
              <w:rPr>
                <w:sz w:val="22"/>
                <w:szCs w:val="22"/>
                <w:lang w:eastAsia="es-CR"/>
              </w:rPr>
              <w:t>₡ 15 381 000.00</w:t>
            </w:r>
          </w:p>
        </w:tc>
      </w:tr>
      <w:tr w:rsidR="00B15F7D" w:rsidRPr="00990FB6" w14:paraId="462F92E4" w14:textId="77777777" w:rsidTr="000A0C22">
        <w:trPr>
          <w:trHeight w:val="1050"/>
          <w:jc w:val="center"/>
        </w:trPr>
        <w:tc>
          <w:tcPr>
            <w:tcW w:w="1286" w:type="pct"/>
            <w:tcBorders>
              <w:top w:val="nil"/>
              <w:left w:val="single" w:sz="8" w:space="0" w:color="auto"/>
              <w:bottom w:val="single" w:sz="8" w:space="0" w:color="auto"/>
              <w:right w:val="single" w:sz="8" w:space="0" w:color="auto"/>
            </w:tcBorders>
            <w:shd w:val="clear" w:color="000000" w:fill="FFFFFF"/>
            <w:vAlign w:val="center"/>
            <w:hideMark/>
          </w:tcPr>
          <w:p w14:paraId="21C4AE65" w14:textId="77777777" w:rsidR="00B15F7D" w:rsidRPr="00990FB6" w:rsidRDefault="00B15F7D" w:rsidP="00B15F7D">
            <w:pPr>
              <w:jc w:val="center"/>
              <w:rPr>
                <w:sz w:val="22"/>
                <w:szCs w:val="22"/>
                <w:lang w:eastAsia="es-CR"/>
              </w:rPr>
            </w:pPr>
            <w:r w:rsidRPr="00990FB6">
              <w:rPr>
                <w:sz w:val="22"/>
                <w:szCs w:val="22"/>
                <w:lang w:eastAsia="es-CR"/>
              </w:rPr>
              <w:t>Juzgado Contravencional de Paraíso</w:t>
            </w:r>
          </w:p>
        </w:tc>
        <w:tc>
          <w:tcPr>
            <w:tcW w:w="747" w:type="pct"/>
            <w:tcBorders>
              <w:top w:val="nil"/>
              <w:left w:val="nil"/>
              <w:bottom w:val="single" w:sz="8" w:space="0" w:color="auto"/>
              <w:right w:val="single" w:sz="8" w:space="0" w:color="auto"/>
            </w:tcBorders>
            <w:shd w:val="clear" w:color="000000" w:fill="FFFFFF"/>
            <w:vAlign w:val="center"/>
            <w:hideMark/>
          </w:tcPr>
          <w:p w14:paraId="116312FD"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1540" w:type="pct"/>
            <w:tcBorders>
              <w:top w:val="nil"/>
              <w:left w:val="nil"/>
              <w:bottom w:val="single" w:sz="8" w:space="0" w:color="auto"/>
              <w:right w:val="single" w:sz="8" w:space="0" w:color="auto"/>
            </w:tcBorders>
            <w:shd w:val="clear" w:color="000000" w:fill="FFFFFF"/>
            <w:vAlign w:val="center"/>
            <w:hideMark/>
          </w:tcPr>
          <w:p w14:paraId="20DC3387" w14:textId="77777777" w:rsidR="00B15F7D" w:rsidRPr="00990FB6" w:rsidRDefault="00B15F7D" w:rsidP="00B15F7D">
            <w:pPr>
              <w:jc w:val="center"/>
              <w:rPr>
                <w:sz w:val="22"/>
                <w:szCs w:val="22"/>
                <w:lang w:eastAsia="es-CR"/>
              </w:rPr>
            </w:pPr>
            <w:r w:rsidRPr="00990FB6">
              <w:rPr>
                <w:sz w:val="22"/>
                <w:szCs w:val="22"/>
                <w:lang w:eastAsia="es-CR"/>
              </w:rPr>
              <w:t>Juez 1</w:t>
            </w:r>
          </w:p>
        </w:tc>
        <w:tc>
          <w:tcPr>
            <w:tcW w:w="1428" w:type="pct"/>
            <w:tcBorders>
              <w:top w:val="nil"/>
              <w:left w:val="nil"/>
              <w:bottom w:val="single" w:sz="8" w:space="0" w:color="auto"/>
              <w:right w:val="single" w:sz="8" w:space="0" w:color="auto"/>
            </w:tcBorders>
            <w:shd w:val="clear" w:color="auto" w:fill="auto"/>
            <w:vAlign w:val="center"/>
            <w:hideMark/>
          </w:tcPr>
          <w:p w14:paraId="3AB17DB0" w14:textId="77777777" w:rsidR="00B15F7D" w:rsidRPr="00990FB6" w:rsidRDefault="00B15F7D" w:rsidP="00B15F7D">
            <w:pPr>
              <w:jc w:val="center"/>
              <w:rPr>
                <w:sz w:val="22"/>
                <w:szCs w:val="22"/>
                <w:lang w:eastAsia="es-CR"/>
              </w:rPr>
            </w:pPr>
            <w:r w:rsidRPr="00990FB6">
              <w:rPr>
                <w:sz w:val="22"/>
                <w:szCs w:val="22"/>
                <w:lang w:eastAsia="es-CR"/>
              </w:rPr>
              <w:t>₡ 53 778 000.00</w:t>
            </w:r>
          </w:p>
        </w:tc>
      </w:tr>
      <w:tr w:rsidR="00B15F7D" w:rsidRPr="00990FB6" w14:paraId="08926313" w14:textId="77777777" w:rsidTr="000A0C22">
        <w:trPr>
          <w:trHeight w:val="640"/>
          <w:jc w:val="center"/>
        </w:trPr>
        <w:tc>
          <w:tcPr>
            <w:tcW w:w="1286" w:type="pct"/>
            <w:tcBorders>
              <w:top w:val="nil"/>
              <w:left w:val="single" w:sz="8" w:space="0" w:color="auto"/>
              <w:bottom w:val="single" w:sz="8" w:space="0" w:color="auto"/>
              <w:right w:val="single" w:sz="8" w:space="0" w:color="auto"/>
            </w:tcBorders>
            <w:shd w:val="clear" w:color="000000" w:fill="FFFFFF"/>
            <w:vAlign w:val="center"/>
            <w:hideMark/>
          </w:tcPr>
          <w:p w14:paraId="2A231962" w14:textId="77777777" w:rsidR="00B15F7D" w:rsidRPr="00990FB6" w:rsidRDefault="00B15F7D" w:rsidP="00B15F7D">
            <w:pPr>
              <w:jc w:val="center"/>
              <w:rPr>
                <w:sz w:val="22"/>
                <w:szCs w:val="22"/>
                <w:lang w:eastAsia="es-CR"/>
              </w:rPr>
            </w:pPr>
            <w:r w:rsidRPr="00990FB6">
              <w:rPr>
                <w:sz w:val="22"/>
                <w:szCs w:val="22"/>
                <w:lang w:eastAsia="es-CR"/>
              </w:rPr>
              <w:t>Sala Segunda</w:t>
            </w:r>
          </w:p>
        </w:tc>
        <w:tc>
          <w:tcPr>
            <w:tcW w:w="747" w:type="pct"/>
            <w:tcBorders>
              <w:top w:val="nil"/>
              <w:left w:val="nil"/>
              <w:bottom w:val="single" w:sz="8" w:space="0" w:color="auto"/>
              <w:right w:val="single" w:sz="8" w:space="0" w:color="auto"/>
            </w:tcBorders>
            <w:shd w:val="clear" w:color="auto" w:fill="auto"/>
            <w:vAlign w:val="center"/>
            <w:hideMark/>
          </w:tcPr>
          <w:p w14:paraId="1F91954D"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1540" w:type="pct"/>
            <w:tcBorders>
              <w:top w:val="nil"/>
              <w:left w:val="nil"/>
              <w:bottom w:val="single" w:sz="8" w:space="0" w:color="auto"/>
              <w:right w:val="single" w:sz="8" w:space="0" w:color="auto"/>
            </w:tcBorders>
            <w:shd w:val="clear" w:color="auto" w:fill="auto"/>
            <w:vAlign w:val="center"/>
            <w:hideMark/>
          </w:tcPr>
          <w:p w14:paraId="2F197680" w14:textId="77777777" w:rsidR="00B15F7D" w:rsidRPr="00990FB6" w:rsidRDefault="00B15F7D" w:rsidP="00B15F7D">
            <w:pPr>
              <w:jc w:val="center"/>
              <w:rPr>
                <w:sz w:val="22"/>
                <w:szCs w:val="22"/>
                <w:lang w:eastAsia="es-CR"/>
              </w:rPr>
            </w:pPr>
            <w:r w:rsidRPr="00990FB6">
              <w:rPr>
                <w:sz w:val="22"/>
                <w:szCs w:val="22"/>
                <w:lang w:eastAsia="es-CR"/>
              </w:rPr>
              <w:t>Profesional en Derecho 3B</w:t>
            </w:r>
          </w:p>
        </w:tc>
        <w:tc>
          <w:tcPr>
            <w:tcW w:w="1428" w:type="pct"/>
            <w:tcBorders>
              <w:top w:val="nil"/>
              <w:left w:val="nil"/>
              <w:bottom w:val="single" w:sz="8" w:space="0" w:color="auto"/>
              <w:right w:val="single" w:sz="8" w:space="0" w:color="auto"/>
            </w:tcBorders>
            <w:shd w:val="clear" w:color="auto" w:fill="auto"/>
            <w:vAlign w:val="center"/>
            <w:hideMark/>
          </w:tcPr>
          <w:p w14:paraId="7EE3E9EF" w14:textId="77777777" w:rsidR="00B15F7D" w:rsidRPr="00990FB6" w:rsidRDefault="00B15F7D" w:rsidP="00B15F7D">
            <w:pPr>
              <w:jc w:val="center"/>
              <w:rPr>
                <w:sz w:val="22"/>
                <w:szCs w:val="22"/>
                <w:lang w:eastAsia="es-CR"/>
              </w:rPr>
            </w:pPr>
            <w:r w:rsidRPr="00990FB6">
              <w:rPr>
                <w:sz w:val="22"/>
                <w:szCs w:val="22"/>
                <w:lang w:eastAsia="es-CR"/>
              </w:rPr>
              <w:t xml:space="preserve">₡ 56 926 000.00 </w:t>
            </w:r>
          </w:p>
        </w:tc>
      </w:tr>
      <w:tr w:rsidR="00B15F7D" w:rsidRPr="00990FB6" w14:paraId="3820C0AD" w14:textId="77777777" w:rsidTr="000A0C22">
        <w:trPr>
          <w:trHeight w:val="620"/>
          <w:jc w:val="center"/>
        </w:trPr>
        <w:tc>
          <w:tcPr>
            <w:tcW w:w="1286" w:type="pct"/>
            <w:tcBorders>
              <w:top w:val="nil"/>
              <w:left w:val="single" w:sz="8" w:space="0" w:color="auto"/>
              <w:bottom w:val="single" w:sz="8" w:space="0" w:color="auto"/>
              <w:right w:val="single" w:sz="8" w:space="0" w:color="auto"/>
            </w:tcBorders>
            <w:shd w:val="clear" w:color="000000" w:fill="FFFFFF"/>
            <w:vAlign w:val="center"/>
            <w:hideMark/>
          </w:tcPr>
          <w:p w14:paraId="72EF7D15" w14:textId="77777777" w:rsidR="00B15F7D" w:rsidRPr="00990FB6" w:rsidRDefault="00B15F7D" w:rsidP="00B15F7D">
            <w:pPr>
              <w:jc w:val="center"/>
              <w:rPr>
                <w:sz w:val="22"/>
                <w:szCs w:val="22"/>
                <w:lang w:eastAsia="es-CR"/>
              </w:rPr>
            </w:pPr>
            <w:r w:rsidRPr="00990FB6">
              <w:rPr>
                <w:sz w:val="22"/>
                <w:szCs w:val="22"/>
                <w:lang w:eastAsia="es-CR"/>
              </w:rPr>
              <w:t>Sala Segunda</w:t>
            </w:r>
          </w:p>
        </w:tc>
        <w:tc>
          <w:tcPr>
            <w:tcW w:w="747" w:type="pct"/>
            <w:tcBorders>
              <w:top w:val="nil"/>
              <w:left w:val="nil"/>
              <w:bottom w:val="single" w:sz="8" w:space="0" w:color="auto"/>
              <w:right w:val="single" w:sz="8" w:space="0" w:color="auto"/>
            </w:tcBorders>
            <w:shd w:val="clear" w:color="auto" w:fill="auto"/>
            <w:vAlign w:val="center"/>
            <w:hideMark/>
          </w:tcPr>
          <w:p w14:paraId="689E7CC5"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1540" w:type="pct"/>
            <w:tcBorders>
              <w:top w:val="nil"/>
              <w:left w:val="nil"/>
              <w:bottom w:val="single" w:sz="8" w:space="0" w:color="auto"/>
              <w:right w:val="single" w:sz="8" w:space="0" w:color="auto"/>
            </w:tcBorders>
            <w:shd w:val="clear" w:color="auto" w:fill="auto"/>
            <w:vAlign w:val="center"/>
            <w:hideMark/>
          </w:tcPr>
          <w:p w14:paraId="2325925F" w14:textId="77777777" w:rsidR="00B15F7D" w:rsidRPr="00990FB6" w:rsidRDefault="00B15F7D" w:rsidP="00B15F7D">
            <w:pPr>
              <w:jc w:val="center"/>
              <w:rPr>
                <w:sz w:val="22"/>
                <w:szCs w:val="22"/>
                <w:lang w:eastAsia="es-CR"/>
              </w:rPr>
            </w:pPr>
            <w:r w:rsidRPr="00990FB6">
              <w:rPr>
                <w:sz w:val="22"/>
                <w:szCs w:val="22"/>
                <w:lang w:eastAsia="es-CR"/>
              </w:rPr>
              <w:t>Técnico Sala de la Corte</w:t>
            </w:r>
          </w:p>
        </w:tc>
        <w:tc>
          <w:tcPr>
            <w:tcW w:w="1428" w:type="pct"/>
            <w:tcBorders>
              <w:top w:val="nil"/>
              <w:left w:val="nil"/>
              <w:bottom w:val="single" w:sz="8" w:space="0" w:color="auto"/>
              <w:right w:val="single" w:sz="8" w:space="0" w:color="auto"/>
            </w:tcBorders>
            <w:shd w:val="clear" w:color="auto" w:fill="auto"/>
            <w:vAlign w:val="center"/>
            <w:hideMark/>
          </w:tcPr>
          <w:p w14:paraId="736D0333" w14:textId="77777777" w:rsidR="00B15F7D" w:rsidRPr="00990FB6" w:rsidRDefault="00B15F7D" w:rsidP="00B15F7D">
            <w:pPr>
              <w:jc w:val="center"/>
              <w:rPr>
                <w:sz w:val="22"/>
                <w:szCs w:val="22"/>
                <w:lang w:eastAsia="es-CR"/>
              </w:rPr>
            </w:pPr>
            <w:r w:rsidRPr="00990FB6">
              <w:rPr>
                <w:sz w:val="22"/>
                <w:szCs w:val="22"/>
                <w:lang w:eastAsia="es-CR"/>
              </w:rPr>
              <w:t>₡ 39 974 000.00</w:t>
            </w:r>
          </w:p>
        </w:tc>
      </w:tr>
      <w:tr w:rsidR="00B15F7D" w:rsidRPr="00990FB6" w14:paraId="229F2C52" w14:textId="77777777" w:rsidTr="000A0C22">
        <w:trPr>
          <w:trHeight w:val="680"/>
          <w:jc w:val="center"/>
        </w:trPr>
        <w:tc>
          <w:tcPr>
            <w:tcW w:w="1286" w:type="pct"/>
            <w:tcBorders>
              <w:top w:val="nil"/>
              <w:left w:val="single" w:sz="8" w:space="0" w:color="auto"/>
              <w:bottom w:val="single" w:sz="8" w:space="0" w:color="auto"/>
              <w:right w:val="single" w:sz="8" w:space="0" w:color="auto"/>
            </w:tcBorders>
            <w:shd w:val="clear" w:color="000000" w:fill="FFFFFF"/>
            <w:vAlign w:val="center"/>
            <w:hideMark/>
          </w:tcPr>
          <w:p w14:paraId="5B8C7E25" w14:textId="77777777" w:rsidR="00B15F7D" w:rsidRPr="00990FB6" w:rsidRDefault="00B15F7D" w:rsidP="00B15F7D">
            <w:pPr>
              <w:jc w:val="center"/>
              <w:rPr>
                <w:sz w:val="22"/>
                <w:szCs w:val="22"/>
                <w:lang w:eastAsia="es-CR"/>
              </w:rPr>
            </w:pPr>
            <w:r w:rsidRPr="00990FB6">
              <w:rPr>
                <w:sz w:val="22"/>
                <w:szCs w:val="22"/>
                <w:lang w:eastAsia="es-CR"/>
              </w:rPr>
              <w:t>Sala Segunda</w:t>
            </w:r>
          </w:p>
        </w:tc>
        <w:tc>
          <w:tcPr>
            <w:tcW w:w="747" w:type="pct"/>
            <w:tcBorders>
              <w:top w:val="nil"/>
              <w:left w:val="nil"/>
              <w:bottom w:val="single" w:sz="8" w:space="0" w:color="auto"/>
              <w:right w:val="single" w:sz="8" w:space="0" w:color="auto"/>
            </w:tcBorders>
            <w:shd w:val="clear" w:color="auto" w:fill="auto"/>
            <w:vAlign w:val="center"/>
            <w:hideMark/>
          </w:tcPr>
          <w:p w14:paraId="37D02E5A"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1540" w:type="pct"/>
            <w:tcBorders>
              <w:top w:val="nil"/>
              <w:left w:val="nil"/>
              <w:bottom w:val="single" w:sz="8" w:space="0" w:color="auto"/>
              <w:right w:val="single" w:sz="8" w:space="0" w:color="auto"/>
            </w:tcBorders>
            <w:shd w:val="clear" w:color="auto" w:fill="auto"/>
            <w:vAlign w:val="center"/>
            <w:hideMark/>
          </w:tcPr>
          <w:p w14:paraId="488F1587" w14:textId="77777777" w:rsidR="00B15F7D" w:rsidRPr="00990FB6" w:rsidRDefault="00B15F7D" w:rsidP="00B15F7D">
            <w:pPr>
              <w:jc w:val="center"/>
              <w:rPr>
                <w:sz w:val="22"/>
                <w:szCs w:val="22"/>
                <w:lang w:eastAsia="es-CR"/>
              </w:rPr>
            </w:pPr>
            <w:r w:rsidRPr="00990FB6">
              <w:rPr>
                <w:sz w:val="22"/>
                <w:szCs w:val="22"/>
                <w:lang w:eastAsia="es-CR"/>
              </w:rPr>
              <w:t>Técnica o Técnico Judicial 3</w:t>
            </w:r>
          </w:p>
        </w:tc>
        <w:tc>
          <w:tcPr>
            <w:tcW w:w="1428" w:type="pct"/>
            <w:tcBorders>
              <w:top w:val="nil"/>
              <w:left w:val="nil"/>
              <w:bottom w:val="single" w:sz="8" w:space="0" w:color="auto"/>
              <w:right w:val="single" w:sz="8" w:space="0" w:color="auto"/>
            </w:tcBorders>
            <w:shd w:val="clear" w:color="auto" w:fill="auto"/>
            <w:vAlign w:val="center"/>
            <w:hideMark/>
          </w:tcPr>
          <w:p w14:paraId="3439A5EC" w14:textId="77777777" w:rsidR="00B15F7D" w:rsidRPr="00990FB6" w:rsidRDefault="00B15F7D" w:rsidP="00B15F7D">
            <w:pPr>
              <w:jc w:val="center"/>
              <w:rPr>
                <w:sz w:val="22"/>
                <w:szCs w:val="22"/>
                <w:lang w:eastAsia="es-CR"/>
              </w:rPr>
            </w:pPr>
            <w:r w:rsidRPr="00990FB6">
              <w:rPr>
                <w:sz w:val="22"/>
                <w:szCs w:val="22"/>
                <w:lang w:eastAsia="es-CR"/>
              </w:rPr>
              <w:t>₡33 352 000.00</w:t>
            </w:r>
          </w:p>
        </w:tc>
      </w:tr>
      <w:tr w:rsidR="00B15F7D" w:rsidRPr="00990FB6" w14:paraId="57638A6A" w14:textId="77777777" w:rsidTr="000A0C22">
        <w:trPr>
          <w:trHeight w:val="1800"/>
          <w:jc w:val="center"/>
        </w:trPr>
        <w:tc>
          <w:tcPr>
            <w:tcW w:w="1286" w:type="pct"/>
            <w:tcBorders>
              <w:top w:val="nil"/>
              <w:left w:val="single" w:sz="8" w:space="0" w:color="auto"/>
              <w:bottom w:val="single" w:sz="8" w:space="0" w:color="auto"/>
              <w:right w:val="single" w:sz="8" w:space="0" w:color="auto"/>
            </w:tcBorders>
            <w:shd w:val="clear" w:color="000000" w:fill="FFFFFF"/>
            <w:vAlign w:val="center"/>
            <w:hideMark/>
          </w:tcPr>
          <w:p w14:paraId="4F741A9B" w14:textId="77777777" w:rsidR="00B15F7D" w:rsidRPr="00990FB6" w:rsidRDefault="00B15F7D" w:rsidP="00B15F7D">
            <w:pPr>
              <w:jc w:val="center"/>
              <w:rPr>
                <w:sz w:val="22"/>
                <w:szCs w:val="22"/>
                <w:lang w:eastAsia="es-CR"/>
              </w:rPr>
            </w:pPr>
            <w:r w:rsidRPr="00990FB6">
              <w:rPr>
                <w:sz w:val="22"/>
                <w:szCs w:val="22"/>
                <w:lang w:eastAsia="es-CR"/>
              </w:rPr>
              <w:t xml:space="preserve">Juzgado Especializado en Segunda Instancia de Pensiones Alimentarias </w:t>
            </w:r>
          </w:p>
        </w:tc>
        <w:tc>
          <w:tcPr>
            <w:tcW w:w="747" w:type="pct"/>
            <w:tcBorders>
              <w:top w:val="nil"/>
              <w:left w:val="nil"/>
              <w:bottom w:val="single" w:sz="8" w:space="0" w:color="auto"/>
              <w:right w:val="single" w:sz="8" w:space="0" w:color="auto"/>
            </w:tcBorders>
            <w:shd w:val="clear" w:color="auto" w:fill="auto"/>
            <w:vAlign w:val="center"/>
            <w:hideMark/>
          </w:tcPr>
          <w:p w14:paraId="342D9DD3" w14:textId="77777777" w:rsidR="00B15F7D" w:rsidRPr="00990FB6" w:rsidRDefault="00B15F7D" w:rsidP="00B15F7D">
            <w:pPr>
              <w:jc w:val="center"/>
              <w:rPr>
                <w:b/>
                <w:bCs/>
                <w:sz w:val="22"/>
                <w:szCs w:val="22"/>
                <w:lang w:eastAsia="es-CR"/>
              </w:rPr>
            </w:pPr>
            <w:r w:rsidRPr="00990FB6">
              <w:rPr>
                <w:b/>
                <w:bCs/>
                <w:sz w:val="22"/>
                <w:szCs w:val="22"/>
                <w:lang w:eastAsia="es-CR"/>
              </w:rPr>
              <w:t>10</w:t>
            </w:r>
          </w:p>
        </w:tc>
        <w:tc>
          <w:tcPr>
            <w:tcW w:w="1540" w:type="pct"/>
            <w:tcBorders>
              <w:top w:val="nil"/>
              <w:left w:val="nil"/>
              <w:bottom w:val="single" w:sz="8" w:space="0" w:color="auto"/>
              <w:right w:val="single" w:sz="8" w:space="0" w:color="auto"/>
            </w:tcBorders>
            <w:shd w:val="clear" w:color="auto" w:fill="auto"/>
            <w:vAlign w:val="center"/>
            <w:hideMark/>
          </w:tcPr>
          <w:p w14:paraId="550C889C" w14:textId="77777777" w:rsidR="00B15F7D" w:rsidRPr="00990FB6" w:rsidRDefault="00B15F7D" w:rsidP="00B15F7D">
            <w:pPr>
              <w:jc w:val="center"/>
              <w:rPr>
                <w:sz w:val="22"/>
                <w:szCs w:val="22"/>
                <w:lang w:eastAsia="es-CR"/>
              </w:rPr>
            </w:pPr>
            <w:r w:rsidRPr="00990FB6">
              <w:rPr>
                <w:sz w:val="22"/>
                <w:szCs w:val="22"/>
                <w:lang w:eastAsia="es-CR"/>
              </w:rPr>
              <w:t>Juez 3</w:t>
            </w:r>
          </w:p>
        </w:tc>
        <w:tc>
          <w:tcPr>
            <w:tcW w:w="1428" w:type="pct"/>
            <w:tcBorders>
              <w:top w:val="nil"/>
              <w:left w:val="nil"/>
              <w:bottom w:val="single" w:sz="8" w:space="0" w:color="auto"/>
              <w:right w:val="single" w:sz="8" w:space="0" w:color="auto"/>
            </w:tcBorders>
            <w:shd w:val="clear" w:color="auto" w:fill="auto"/>
            <w:vAlign w:val="center"/>
            <w:hideMark/>
          </w:tcPr>
          <w:p w14:paraId="5CE1A428" w14:textId="77777777" w:rsidR="00B15F7D" w:rsidRPr="00990FB6" w:rsidRDefault="00B15F7D" w:rsidP="00B15F7D">
            <w:pPr>
              <w:jc w:val="center"/>
              <w:rPr>
                <w:sz w:val="22"/>
                <w:szCs w:val="22"/>
                <w:lang w:eastAsia="es-CR"/>
              </w:rPr>
            </w:pPr>
            <w:r w:rsidRPr="00990FB6">
              <w:rPr>
                <w:sz w:val="22"/>
                <w:szCs w:val="22"/>
                <w:lang w:eastAsia="es-CR"/>
              </w:rPr>
              <w:t>₡ 570 294 000.00</w:t>
            </w:r>
          </w:p>
        </w:tc>
      </w:tr>
      <w:tr w:rsidR="00B15F7D" w:rsidRPr="00990FB6" w14:paraId="77BDDA6F" w14:textId="77777777" w:rsidTr="000A0C22">
        <w:trPr>
          <w:trHeight w:val="300"/>
          <w:jc w:val="center"/>
        </w:trPr>
        <w:tc>
          <w:tcPr>
            <w:tcW w:w="1286" w:type="pct"/>
            <w:vMerge w:val="restart"/>
            <w:tcBorders>
              <w:top w:val="nil"/>
              <w:left w:val="single" w:sz="8" w:space="0" w:color="auto"/>
              <w:bottom w:val="single" w:sz="8" w:space="0" w:color="000000"/>
              <w:right w:val="single" w:sz="8" w:space="0" w:color="auto"/>
            </w:tcBorders>
            <w:shd w:val="clear" w:color="auto" w:fill="auto"/>
            <w:vAlign w:val="center"/>
            <w:hideMark/>
          </w:tcPr>
          <w:p w14:paraId="20C1F653" w14:textId="77777777" w:rsidR="00B15F7D" w:rsidRPr="00990FB6" w:rsidRDefault="00B15F7D" w:rsidP="00B15F7D">
            <w:pPr>
              <w:jc w:val="center"/>
              <w:rPr>
                <w:sz w:val="22"/>
                <w:szCs w:val="22"/>
                <w:lang w:eastAsia="es-CR"/>
              </w:rPr>
            </w:pPr>
            <w:r w:rsidRPr="00990FB6">
              <w:rPr>
                <w:sz w:val="22"/>
                <w:szCs w:val="22"/>
                <w:lang w:eastAsia="es-CR"/>
              </w:rPr>
              <w:t>CACMFJ</w:t>
            </w:r>
          </w:p>
        </w:tc>
        <w:tc>
          <w:tcPr>
            <w:tcW w:w="747" w:type="pct"/>
            <w:tcBorders>
              <w:top w:val="nil"/>
              <w:left w:val="nil"/>
              <w:bottom w:val="single" w:sz="8" w:space="0" w:color="auto"/>
              <w:right w:val="single" w:sz="8" w:space="0" w:color="auto"/>
            </w:tcBorders>
            <w:shd w:val="clear" w:color="auto" w:fill="auto"/>
            <w:noWrap/>
            <w:vAlign w:val="center"/>
            <w:hideMark/>
          </w:tcPr>
          <w:p w14:paraId="4C13A49F"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1540" w:type="pct"/>
            <w:tcBorders>
              <w:top w:val="nil"/>
              <w:left w:val="nil"/>
              <w:bottom w:val="single" w:sz="8" w:space="0" w:color="auto"/>
              <w:right w:val="single" w:sz="8" w:space="0" w:color="auto"/>
            </w:tcBorders>
            <w:shd w:val="clear" w:color="auto" w:fill="auto"/>
            <w:noWrap/>
            <w:vAlign w:val="center"/>
            <w:hideMark/>
          </w:tcPr>
          <w:p w14:paraId="289F32C4" w14:textId="77777777" w:rsidR="00B15F7D" w:rsidRPr="00990FB6" w:rsidRDefault="00B15F7D" w:rsidP="00B15F7D">
            <w:pPr>
              <w:rPr>
                <w:sz w:val="22"/>
                <w:szCs w:val="22"/>
                <w:lang w:eastAsia="es-CR"/>
              </w:rPr>
            </w:pPr>
            <w:r w:rsidRPr="00990FB6">
              <w:rPr>
                <w:sz w:val="22"/>
                <w:szCs w:val="22"/>
                <w:lang w:eastAsia="es-CR"/>
              </w:rPr>
              <w:t>Jueza o Juez 4 Gestor</w:t>
            </w:r>
          </w:p>
        </w:tc>
        <w:tc>
          <w:tcPr>
            <w:tcW w:w="1428" w:type="pct"/>
            <w:tcBorders>
              <w:top w:val="nil"/>
              <w:left w:val="nil"/>
              <w:bottom w:val="single" w:sz="8" w:space="0" w:color="auto"/>
              <w:right w:val="single" w:sz="8" w:space="0" w:color="auto"/>
            </w:tcBorders>
            <w:shd w:val="clear" w:color="auto" w:fill="auto"/>
            <w:vAlign w:val="center"/>
            <w:hideMark/>
          </w:tcPr>
          <w:p w14:paraId="7E6B5C38" w14:textId="77777777" w:rsidR="00B15F7D" w:rsidRPr="00990FB6" w:rsidRDefault="00B15F7D" w:rsidP="00B15F7D">
            <w:pPr>
              <w:jc w:val="center"/>
              <w:rPr>
                <w:sz w:val="22"/>
                <w:szCs w:val="22"/>
                <w:lang w:eastAsia="es-CR"/>
              </w:rPr>
            </w:pPr>
            <w:r w:rsidRPr="00990FB6">
              <w:rPr>
                <w:sz w:val="22"/>
                <w:szCs w:val="22"/>
                <w:lang w:eastAsia="es-CR"/>
              </w:rPr>
              <w:t xml:space="preserve"> ₡ 61 711 000.00</w:t>
            </w:r>
          </w:p>
        </w:tc>
      </w:tr>
      <w:tr w:rsidR="00B15F7D" w:rsidRPr="00990FB6" w14:paraId="470C7DD6" w14:textId="77777777" w:rsidTr="000A0C22">
        <w:trPr>
          <w:trHeight w:val="530"/>
          <w:jc w:val="center"/>
        </w:trPr>
        <w:tc>
          <w:tcPr>
            <w:tcW w:w="1286" w:type="pct"/>
            <w:vMerge/>
            <w:tcBorders>
              <w:top w:val="nil"/>
              <w:left w:val="single" w:sz="8" w:space="0" w:color="auto"/>
              <w:bottom w:val="single" w:sz="8" w:space="0" w:color="000000"/>
              <w:right w:val="single" w:sz="8" w:space="0" w:color="auto"/>
            </w:tcBorders>
            <w:vAlign w:val="center"/>
            <w:hideMark/>
          </w:tcPr>
          <w:p w14:paraId="4971CB89"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2D9A204F"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1540" w:type="pct"/>
            <w:tcBorders>
              <w:top w:val="nil"/>
              <w:left w:val="nil"/>
              <w:bottom w:val="single" w:sz="8" w:space="0" w:color="auto"/>
              <w:right w:val="single" w:sz="8" w:space="0" w:color="auto"/>
            </w:tcBorders>
            <w:shd w:val="clear" w:color="auto" w:fill="auto"/>
            <w:vAlign w:val="center"/>
            <w:hideMark/>
          </w:tcPr>
          <w:p w14:paraId="0CD652DD" w14:textId="77777777" w:rsidR="00B15F7D" w:rsidRPr="00990FB6" w:rsidRDefault="00B15F7D" w:rsidP="00B15F7D">
            <w:pPr>
              <w:jc w:val="center"/>
              <w:rPr>
                <w:sz w:val="22"/>
                <w:szCs w:val="22"/>
                <w:lang w:eastAsia="es-CR"/>
              </w:rPr>
            </w:pPr>
            <w:r w:rsidRPr="00990FB6">
              <w:rPr>
                <w:sz w:val="22"/>
                <w:szCs w:val="22"/>
                <w:lang w:eastAsia="es-CR"/>
              </w:rPr>
              <w:t>Profesional 2</w:t>
            </w:r>
          </w:p>
        </w:tc>
        <w:tc>
          <w:tcPr>
            <w:tcW w:w="1428" w:type="pct"/>
            <w:tcBorders>
              <w:top w:val="nil"/>
              <w:left w:val="nil"/>
              <w:bottom w:val="single" w:sz="8" w:space="0" w:color="auto"/>
              <w:right w:val="single" w:sz="8" w:space="0" w:color="auto"/>
            </w:tcBorders>
            <w:shd w:val="clear" w:color="auto" w:fill="auto"/>
            <w:vAlign w:val="center"/>
            <w:hideMark/>
          </w:tcPr>
          <w:p w14:paraId="1535ABCC" w14:textId="77777777" w:rsidR="00B15F7D" w:rsidRPr="00990FB6" w:rsidRDefault="00B15F7D" w:rsidP="00B15F7D">
            <w:pPr>
              <w:jc w:val="center"/>
              <w:rPr>
                <w:sz w:val="22"/>
                <w:szCs w:val="22"/>
                <w:lang w:eastAsia="es-CR"/>
              </w:rPr>
            </w:pPr>
            <w:r w:rsidRPr="00990FB6">
              <w:rPr>
                <w:sz w:val="22"/>
                <w:szCs w:val="22"/>
                <w:lang w:eastAsia="es-CR"/>
              </w:rPr>
              <w:t xml:space="preserve"> ₡ 73 590 000.00</w:t>
            </w:r>
          </w:p>
        </w:tc>
      </w:tr>
      <w:tr w:rsidR="00B15F7D" w:rsidRPr="00990FB6" w14:paraId="00454F59" w14:textId="77777777" w:rsidTr="000A0C22">
        <w:trPr>
          <w:trHeight w:val="790"/>
          <w:jc w:val="center"/>
        </w:trPr>
        <w:tc>
          <w:tcPr>
            <w:tcW w:w="1286" w:type="pct"/>
            <w:vMerge/>
            <w:tcBorders>
              <w:top w:val="nil"/>
              <w:left w:val="single" w:sz="8" w:space="0" w:color="auto"/>
              <w:bottom w:val="single" w:sz="8" w:space="0" w:color="000000"/>
              <w:right w:val="single" w:sz="8" w:space="0" w:color="auto"/>
            </w:tcBorders>
            <w:vAlign w:val="center"/>
            <w:hideMark/>
          </w:tcPr>
          <w:p w14:paraId="45445495"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696DA9CC" w14:textId="77777777" w:rsidR="00B15F7D" w:rsidRPr="00990FB6" w:rsidRDefault="00B15F7D" w:rsidP="00B15F7D">
            <w:pPr>
              <w:jc w:val="center"/>
              <w:rPr>
                <w:b/>
                <w:bCs/>
                <w:sz w:val="22"/>
                <w:szCs w:val="22"/>
                <w:lang w:eastAsia="es-CR"/>
              </w:rPr>
            </w:pPr>
            <w:r w:rsidRPr="00990FB6">
              <w:rPr>
                <w:b/>
                <w:bCs/>
                <w:sz w:val="22"/>
                <w:szCs w:val="22"/>
                <w:lang w:eastAsia="es-CR"/>
              </w:rPr>
              <w:t>1</w:t>
            </w:r>
          </w:p>
        </w:tc>
        <w:tc>
          <w:tcPr>
            <w:tcW w:w="1540" w:type="pct"/>
            <w:tcBorders>
              <w:top w:val="nil"/>
              <w:left w:val="nil"/>
              <w:bottom w:val="single" w:sz="8" w:space="0" w:color="auto"/>
              <w:right w:val="single" w:sz="8" w:space="0" w:color="auto"/>
            </w:tcBorders>
            <w:shd w:val="clear" w:color="auto" w:fill="auto"/>
            <w:vAlign w:val="center"/>
            <w:hideMark/>
          </w:tcPr>
          <w:p w14:paraId="2F17F6DD" w14:textId="77777777" w:rsidR="00B15F7D" w:rsidRPr="00990FB6" w:rsidRDefault="00B15F7D" w:rsidP="00B15F7D">
            <w:pPr>
              <w:jc w:val="center"/>
              <w:rPr>
                <w:sz w:val="22"/>
                <w:szCs w:val="22"/>
                <w:lang w:eastAsia="es-CR"/>
              </w:rPr>
            </w:pPr>
            <w:r w:rsidRPr="00990FB6">
              <w:rPr>
                <w:sz w:val="22"/>
                <w:szCs w:val="22"/>
                <w:lang w:eastAsia="es-CR"/>
              </w:rPr>
              <w:t>Coordinador Judicial 2</w:t>
            </w:r>
          </w:p>
        </w:tc>
        <w:tc>
          <w:tcPr>
            <w:tcW w:w="1428" w:type="pct"/>
            <w:tcBorders>
              <w:top w:val="nil"/>
              <w:left w:val="nil"/>
              <w:bottom w:val="single" w:sz="8" w:space="0" w:color="auto"/>
              <w:right w:val="single" w:sz="8" w:space="0" w:color="auto"/>
            </w:tcBorders>
            <w:shd w:val="clear" w:color="auto" w:fill="auto"/>
            <w:vAlign w:val="center"/>
            <w:hideMark/>
          </w:tcPr>
          <w:p w14:paraId="45664A83" w14:textId="77777777" w:rsidR="00B15F7D" w:rsidRPr="00990FB6" w:rsidRDefault="00B15F7D" w:rsidP="00B15F7D">
            <w:pPr>
              <w:jc w:val="center"/>
              <w:rPr>
                <w:sz w:val="22"/>
                <w:szCs w:val="22"/>
                <w:lang w:eastAsia="es-CR"/>
              </w:rPr>
            </w:pPr>
            <w:r w:rsidRPr="00990FB6">
              <w:rPr>
                <w:sz w:val="22"/>
                <w:szCs w:val="22"/>
                <w:lang w:eastAsia="es-CR"/>
              </w:rPr>
              <w:t xml:space="preserve"> ₡ 18 905 000.00</w:t>
            </w:r>
          </w:p>
        </w:tc>
      </w:tr>
      <w:tr w:rsidR="00B15F7D" w:rsidRPr="00990FB6" w14:paraId="74F0EE53" w14:textId="77777777" w:rsidTr="000A0C22">
        <w:trPr>
          <w:trHeight w:val="530"/>
          <w:jc w:val="center"/>
        </w:trPr>
        <w:tc>
          <w:tcPr>
            <w:tcW w:w="1286" w:type="pct"/>
            <w:vMerge/>
            <w:tcBorders>
              <w:top w:val="nil"/>
              <w:left w:val="single" w:sz="8" w:space="0" w:color="auto"/>
              <w:bottom w:val="single" w:sz="8" w:space="0" w:color="000000"/>
              <w:right w:val="single" w:sz="8" w:space="0" w:color="auto"/>
            </w:tcBorders>
            <w:vAlign w:val="center"/>
            <w:hideMark/>
          </w:tcPr>
          <w:p w14:paraId="7E01AEF1"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21A15ACD"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1540" w:type="pct"/>
            <w:tcBorders>
              <w:top w:val="nil"/>
              <w:left w:val="nil"/>
              <w:bottom w:val="single" w:sz="8" w:space="0" w:color="auto"/>
              <w:right w:val="single" w:sz="8" w:space="0" w:color="auto"/>
            </w:tcBorders>
            <w:shd w:val="clear" w:color="auto" w:fill="auto"/>
            <w:vAlign w:val="center"/>
            <w:hideMark/>
          </w:tcPr>
          <w:p w14:paraId="46252717" w14:textId="77777777" w:rsidR="00B15F7D" w:rsidRPr="00990FB6" w:rsidRDefault="00B15F7D" w:rsidP="00B15F7D">
            <w:pPr>
              <w:jc w:val="center"/>
              <w:rPr>
                <w:sz w:val="22"/>
                <w:szCs w:val="22"/>
                <w:lang w:eastAsia="es-CR"/>
              </w:rPr>
            </w:pPr>
            <w:r w:rsidRPr="00990FB6">
              <w:rPr>
                <w:sz w:val="22"/>
                <w:szCs w:val="22"/>
                <w:lang w:eastAsia="es-CR"/>
              </w:rPr>
              <w:t>Técnica o Técnico Supernumerarios</w:t>
            </w:r>
          </w:p>
        </w:tc>
        <w:tc>
          <w:tcPr>
            <w:tcW w:w="1428" w:type="pct"/>
            <w:tcBorders>
              <w:top w:val="nil"/>
              <w:left w:val="nil"/>
              <w:bottom w:val="single" w:sz="8" w:space="0" w:color="auto"/>
              <w:right w:val="single" w:sz="8" w:space="0" w:color="auto"/>
            </w:tcBorders>
            <w:shd w:val="clear" w:color="auto" w:fill="auto"/>
            <w:vAlign w:val="center"/>
            <w:hideMark/>
          </w:tcPr>
          <w:p w14:paraId="1A59752D" w14:textId="77777777" w:rsidR="00B15F7D" w:rsidRPr="00990FB6" w:rsidRDefault="00B15F7D" w:rsidP="00B15F7D">
            <w:pPr>
              <w:jc w:val="center"/>
              <w:rPr>
                <w:sz w:val="22"/>
                <w:szCs w:val="22"/>
                <w:lang w:eastAsia="es-CR"/>
              </w:rPr>
            </w:pPr>
            <w:r w:rsidRPr="00990FB6">
              <w:rPr>
                <w:sz w:val="22"/>
                <w:szCs w:val="22"/>
                <w:lang w:eastAsia="es-CR"/>
              </w:rPr>
              <w:t xml:space="preserve"> ₡ 33 352 000.00</w:t>
            </w:r>
          </w:p>
        </w:tc>
      </w:tr>
      <w:tr w:rsidR="00B15F7D" w:rsidRPr="00990FB6" w14:paraId="3FD0681B" w14:textId="77777777" w:rsidTr="000A0C22">
        <w:trPr>
          <w:trHeight w:val="530"/>
          <w:jc w:val="center"/>
        </w:trPr>
        <w:tc>
          <w:tcPr>
            <w:tcW w:w="1286" w:type="pct"/>
            <w:vMerge/>
            <w:tcBorders>
              <w:top w:val="nil"/>
              <w:left w:val="single" w:sz="8" w:space="0" w:color="auto"/>
              <w:bottom w:val="single" w:sz="8" w:space="0" w:color="000000"/>
              <w:right w:val="single" w:sz="8" w:space="0" w:color="auto"/>
            </w:tcBorders>
            <w:vAlign w:val="center"/>
            <w:hideMark/>
          </w:tcPr>
          <w:p w14:paraId="59F3E215"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7C352A40" w14:textId="77777777" w:rsidR="00B15F7D" w:rsidRPr="00990FB6" w:rsidRDefault="00B15F7D" w:rsidP="00B15F7D">
            <w:pPr>
              <w:jc w:val="center"/>
              <w:rPr>
                <w:b/>
                <w:bCs/>
                <w:sz w:val="22"/>
                <w:szCs w:val="22"/>
                <w:lang w:eastAsia="es-CR"/>
              </w:rPr>
            </w:pPr>
            <w:r w:rsidRPr="00990FB6">
              <w:rPr>
                <w:b/>
                <w:bCs/>
                <w:sz w:val="22"/>
                <w:szCs w:val="22"/>
                <w:lang w:eastAsia="es-CR"/>
              </w:rPr>
              <w:t>12</w:t>
            </w:r>
          </w:p>
        </w:tc>
        <w:tc>
          <w:tcPr>
            <w:tcW w:w="1540" w:type="pct"/>
            <w:tcBorders>
              <w:top w:val="nil"/>
              <w:left w:val="nil"/>
              <w:bottom w:val="single" w:sz="8" w:space="0" w:color="auto"/>
              <w:right w:val="single" w:sz="8" w:space="0" w:color="auto"/>
            </w:tcBorders>
            <w:shd w:val="clear" w:color="auto" w:fill="auto"/>
            <w:vAlign w:val="center"/>
            <w:hideMark/>
          </w:tcPr>
          <w:p w14:paraId="1EA2C54D" w14:textId="77777777" w:rsidR="00B15F7D" w:rsidRPr="00990FB6" w:rsidRDefault="00B15F7D" w:rsidP="00B15F7D">
            <w:pPr>
              <w:jc w:val="center"/>
              <w:rPr>
                <w:sz w:val="22"/>
                <w:szCs w:val="22"/>
                <w:lang w:eastAsia="es-CR"/>
              </w:rPr>
            </w:pPr>
            <w:r w:rsidRPr="00990FB6">
              <w:rPr>
                <w:sz w:val="22"/>
                <w:szCs w:val="22"/>
                <w:lang w:eastAsia="es-CR"/>
              </w:rPr>
              <w:t>Jueza o Juez Supernumerarios</w:t>
            </w:r>
          </w:p>
        </w:tc>
        <w:tc>
          <w:tcPr>
            <w:tcW w:w="1428" w:type="pct"/>
            <w:tcBorders>
              <w:top w:val="nil"/>
              <w:left w:val="nil"/>
              <w:bottom w:val="single" w:sz="8" w:space="0" w:color="auto"/>
              <w:right w:val="single" w:sz="8" w:space="0" w:color="auto"/>
            </w:tcBorders>
            <w:shd w:val="clear" w:color="auto" w:fill="auto"/>
            <w:vAlign w:val="center"/>
            <w:hideMark/>
          </w:tcPr>
          <w:p w14:paraId="6577CBC0" w14:textId="77777777" w:rsidR="00B15F7D" w:rsidRPr="00990FB6" w:rsidRDefault="00B15F7D" w:rsidP="00B15F7D">
            <w:pPr>
              <w:jc w:val="center"/>
              <w:rPr>
                <w:sz w:val="22"/>
                <w:szCs w:val="22"/>
                <w:lang w:eastAsia="es-CR"/>
              </w:rPr>
            </w:pPr>
            <w:r w:rsidRPr="00990FB6">
              <w:rPr>
                <w:sz w:val="22"/>
                <w:szCs w:val="22"/>
                <w:lang w:eastAsia="es-CR"/>
              </w:rPr>
              <w:t xml:space="preserve"> ₡ 658 356 000.00</w:t>
            </w:r>
          </w:p>
        </w:tc>
      </w:tr>
      <w:tr w:rsidR="00B15F7D" w:rsidRPr="00990FB6" w14:paraId="0317A76C" w14:textId="77777777" w:rsidTr="000A0C22">
        <w:trPr>
          <w:trHeight w:val="530"/>
          <w:jc w:val="center"/>
        </w:trPr>
        <w:tc>
          <w:tcPr>
            <w:tcW w:w="1286" w:type="pct"/>
            <w:vMerge/>
            <w:tcBorders>
              <w:top w:val="nil"/>
              <w:left w:val="single" w:sz="8" w:space="0" w:color="auto"/>
              <w:bottom w:val="single" w:sz="8" w:space="0" w:color="000000"/>
              <w:right w:val="single" w:sz="8" w:space="0" w:color="auto"/>
            </w:tcBorders>
            <w:vAlign w:val="center"/>
            <w:hideMark/>
          </w:tcPr>
          <w:p w14:paraId="3936A81B"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00DBD48D" w14:textId="77777777" w:rsidR="00B15F7D" w:rsidRPr="00990FB6" w:rsidRDefault="00B15F7D" w:rsidP="00B15F7D">
            <w:pPr>
              <w:jc w:val="center"/>
              <w:rPr>
                <w:b/>
                <w:bCs/>
                <w:sz w:val="22"/>
                <w:szCs w:val="22"/>
                <w:lang w:eastAsia="es-CR"/>
              </w:rPr>
            </w:pPr>
            <w:r w:rsidRPr="00990FB6">
              <w:rPr>
                <w:b/>
                <w:bCs/>
                <w:sz w:val="22"/>
                <w:szCs w:val="22"/>
                <w:lang w:eastAsia="es-CR"/>
              </w:rPr>
              <w:t>8</w:t>
            </w:r>
          </w:p>
        </w:tc>
        <w:tc>
          <w:tcPr>
            <w:tcW w:w="1540" w:type="pct"/>
            <w:tcBorders>
              <w:top w:val="nil"/>
              <w:left w:val="nil"/>
              <w:bottom w:val="single" w:sz="8" w:space="0" w:color="auto"/>
              <w:right w:val="single" w:sz="8" w:space="0" w:color="auto"/>
            </w:tcBorders>
            <w:shd w:val="clear" w:color="auto" w:fill="auto"/>
            <w:vAlign w:val="center"/>
            <w:hideMark/>
          </w:tcPr>
          <w:p w14:paraId="0C75D64E" w14:textId="77777777" w:rsidR="00B15F7D" w:rsidRPr="00990FB6" w:rsidRDefault="00B15F7D" w:rsidP="00B15F7D">
            <w:pPr>
              <w:jc w:val="center"/>
              <w:rPr>
                <w:sz w:val="22"/>
                <w:szCs w:val="22"/>
                <w:lang w:eastAsia="es-CR"/>
              </w:rPr>
            </w:pPr>
            <w:r w:rsidRPr="00990FB6">
              <w:rPr>
                <w:sz w:val="22"/>
                <w:szCs w:val="22"/>
                <w:lang w:eastAsia="es-CR"/>
              </w:rPr>
              <w:t>Jueza o Juez 3</w:t>
            </w:r>
          </w:p>
        </w:tc>
        <w:tc>
          <w:tcPr>
            <w:tcW w:w="1428" w:type="pct"/>
            <w:tcBorders>
              <w:top w:val="nil"/>
              <w:left w:val="nil"/>
              <w:bottom w:val="single" w:sz="8" w:space="0" w:color="auto"/>
              <w:right w:val="single" w:sz="8" w:space="0" w:color="auto"/>
            </w:tcBorders>
            <w:shd w:val="clear" w:color="auto" w:fill="auto"/>
            <w:vAlign w:val="center"/>
            <w:hideMark/>
          </w:tcPr>
          <w:p w14:paraId="1FAB20D7" w14:textId="77777777" w:rsidR="00B15F7D" w:rsidRPr="00990FB6" w:rsidRDefault="00B15F7D" w:rsidP="00B15F7D">
            <w:pPr>
              <w:jc w:val="center"/>
              <w:rPr>
                <w:sz w:val="22"/>
                <w:szCs w:val="22"/>
                <w:lang w:eastAsia="es-CR"/>
              </w:rPr>
            </w:pPr>
            <w:r w:rsidRPr="00990FB6">
              <w:rPr>
                <w:sz w:val="22"/>
                <w:szCs w:val="22"/>
                <w:lang w:eastAsia="es-CR"/>
              </w:rPr>
              <w:t xml:space="preserve"> ₡ 457 176 000.00</w:t>
            </w:r>
          </w:p>
        </w:tc>
      </w:tr>
      <w:tr w:rsidR="00B15F7D" w:rsidRPr="00990FB6" w14:paraId="50A3792D" w14:textId="77777777" w:rsidTr="000A0C22">
        <w:trPr>
          <w:trHeight w:val="790"/>
          <w:jc w:val="center"/>
        </w:trPr>
        <w:tc>
          <w:tcPr>
            <w:tcW w:w="1286" w:type="pct"/>
            <w:vMerge/>
            <w:tcBorders>
              <w:top w:val="nil"/>
              <w:left w:val="single" w:sz="8" w:space="0" w:color="auto"/>
              <w:bottom w:val="single" w:sz="8" w:space="0" w:color="000000"/>
              <w:right w:val="single" w:sz="8" w:space="0" w:color="auto"/>
            </w:tcBorders>
            <w:vAlign w:val="center"/>
            <w:hideMark/>
          </w:tcPr>
          <w:p w14:paraId="3D7E84C2"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39B7D03F" w14:textId="77777777" w:rsidR="00B15F7D" w:rsidRPr="00990FB6" w:rsidRDefault="00B15F7D" w:rsidP="00B15F7D">
            <w:pPr>
              <w:jc w:val="center"/>
              <w:rPr>
                <w:b/>
                <w:bCs/>
                <w:sz w:val="22"/>
                <w:szCs w:val="22"/>
                <w:lang w:eastAsia="es-CR"/>
              </w:rPr>
            </w:pPr>
            <w:r w:rsidRPr="00990FB6">
              <w:rPr>
                <w:b/>
                <w:bCs/>
                <w:sz w:val="22"/>
                <w:szCs w:val="22"/>
                <w:lang w:eastAsia="es-CR"/>
              </w:rPr>
              <w:t>4</w:t>
            </w:r>
          </w:p>
        </w:tc>
        <w:tc>
          <w:tcPr>
            <w:tcW w:w="1540" w:type="pct"/>
            <w:tcBorders>
              <w:top w:val="nil"/>
              <w:left w:val="nil"/>
              <w:bottom w:val="single" w:sz="8" w:space="0" w:color="auto"/>
              <w:right w:val="single" w:sz="8" w:space="0" w:color="auto"/>
            </w:tcBorders>
            <w:shd w:val="clear" w:color="auto" w:fill="auto"/>
            <w:vAlign w:val="center"/>
            <w:hideMark/>
          </w:tcPr>
          <w:p w14:paraId="5BBCD7CD" w14:textId="77777777" w:rsidR="00B15F7D" w:rsidRPr="00990FB6" w:rsidRDefault="00B15F7D" w:rsidP="00B15F7D">
            <w:pPr>
              <w:jc w:val="center"/>
              <w:rPr>
                <w:sz w:val="22"/>
                <w:szCs w:val="22"/>
                <w:lang w:eastAsia="es-CR"/>
              </w:rPr>
            </w:pPr>
            <w:r w:rsidRPr="00990FB6">
              <w:rPr>
                <w:sz w:val="22"/>
                <w:szCs w:val="22"/>
                <w:lang w:eastAsia="es-CR"/>
              </w:rPr>
              <w:t>Técnica o Técnico Judicial 2</w:t>
            </w:r>
          </w:p>
        </w:tc>
        <w:tc>
          <w:tcPr>
            <w:tcW w:w="1428" w:type="pct"/>
            <w:tcBorders>
              <w:top w:val="nil"/>
              <w:left w:val="nil"/>
              <w:bottom w:val="single" w:sz="8" w:space="0" w:color="auto"/>
              <w:right w:val="single" w:sz="8" w:space="0" w:color="auto"/>
            </w:tcBorders>
            <w:shd w:val="clear" w:color="auto" w:fill="auto"/>
            <w:vAlign w:val="center"/>
            <w:hideMark/>
          </w:tcPr>
          <w:p w14:paraId="76AFC848" w14:textId="77777777" w:rsidR="00B15F7D" w:rsidRPr="00990FB6" w:rsidRDefault="00B15F7D" w:rsidP="00B15F7D">
            <w:pPr>
              <w:jc w:val="center"/>
              <w:rPr>
                <w:sz w:val="22"/>
                <w:szCs w:val="22"/>
                <w:lang w:eastAsia="es-CR"/>
              </w:rPr>
            </w:pPr>
            <w:r w:rsidRPr="00990FB6">
              <w:rPr>
                <w:sz w:val="22"/>
                <w:szCs w:val="22"/>
                <w:lang w:eastAsia="es-CR"/>
              </w:rPr>
              <w:t xml:space="preserve"> ₡ 63 780 000.00</w:t>
            </w:r>
          </w:p>
        </w:tc>
      </w:tr>
      <w:tr w:rsidR="00B15F7D" w:rsidRPr="00990FB6" w14:paraId="6CCBDB66" w14:textId="77777777" w:rsidTr="000A0C22">
        <w:trPr>
          <w:trHeight w:val="300"/>
          <w:jc w:val="center"/>
        </w:trPr>
        <w:tc>
          <w:tcPr>
            <w:tcW w:w="1286" w:type="pct"/>
            <w:vMerge/>
            <w:tcBorders>
              <w:top w:val="nil"/>
              <w:left w:val="single" w:sz="8" w:space="0" w:color="auto"/>
              <w:bottom w:val="single" w:sz="8" w:space="0" w:color="000000"/>
              <w:right w:val="single" w:sz="8" w:space="0" w:color="auto"/>
            </w:tcBorders>
            <w:vAlign w:val="center"/>
            <w:hideMark/>
          </w:tcPr>
          <w:p w14:paraId="2A6C997A"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2348A6E7" w14:textId="77777777" w:rsidR="00B15F7D" w:rsidRPr="00990FB6" w:rsidRDefault="00B15F7D" w:rsidP="00B15F7D">
            <w:pPr>
              <w:jc w:val="center"/>
              <w:rPr>
                <w:b/>
                <w:bCs/>
                <w:sz w:val="22"/>
                <w:szCs w:val="22"/>
                <w:lang w:eastAsia="es-CR"/>
              </w:rPr>
            </w:pPr>
            <w:r w:rsidRPr="00990FB6">
              <w:rPr>
                <w:b/>
                <w:bCs/>
                <w:sz w:val="22"/>
                <w:szCs w:val="22"/>
                <w:lang w:eastAsia="es-CR"/>
              </w:rPr>
              <w:t>3</w:t>
            </w:r>
          </w:p>
        </w:tc>
        <w:tc>
          <w:tcPr>
            <w:tcW w:w="1540" w:type="pct"/>
            <w:tcBorders>
              <w:top w:val="nil"/>
              <w:left w:val="nil"/>
              <w:bottom w:val="single" w:sz="8" w:space="0" w:color="auto"/>
              <w:right w:val="single" w:sz="8" w:space="0" w:color="auto"/>
            </w:tcBorders>
            <w:shd w:val="clear" w:color="auto" w:fill="auto"/>
            <w:vAlign w:val="center"/>
            <w:hideMark/>
          </w:tcPr>
          <w:p w14:paraId="3537ADA2" w14:textId="77777777" w:rsidR="00B15F7D" w:rsidRPr="00990FB6" w:rsidRDefault="00B15F7D" w:rsidP="00B15F7D">
            <w:pPr>
              <w:jc w:val="center"/>
              <w:rPr>
                <w:sz w:val="22"/>
                <w:szCs w:val="22"/>
                <w:lang w:eastAsia="es-CR"/>
              </w:rPr>
            </w:pPr>
            <w:r w:rsidRPr="00990FB6">
              <w:rPr>
                <w:sz w:val="22"/>
                <w:szCs w:val="22"/>
                <w:lang w:eastAsia="es-CR"/>
              </w:rPr>
              <w:t>Jueza o Juez 4</w:t>
            </w:r>
          </w:p>
        </w:tc>
        <w:tc>
          <w:tcPr>
            <w:tcW w:w="1428" w:type="pct"/>
            <w:tcBorders>
              <w:top w:val="nil"/>
              <w:left w:val="nil"/>
              <w:bottom w:val="single" w:sz="8" w:space="0" w:color="auto"/>
              <w:right w:val="single" w:sz="8" w:space="0" w:color="auto"/>
            </w:tcBorders>
            <w:shd w:val="clear" w:color="auto" w:fill="auto"/>
            <w:vAlign w:val="center"/>
            <w:hideMark/>
          </w:tcPr>
          <w:p w14:paraId="340CDECB" w14:textId="77777777" w:rsidR="00B15F7D" w:rsidRPr="00990FB6" w:rsidRDefault="00B15F7D" w:rsidP="00B15F7D">
            <w:pPr>
              <w:jc w:val="center"/>
              <w:rPr>
                <w:sz w:val="22"/>
                <w:szCs w:val="22"/>
                <w:lang w:eastAsia="es-CR"/>
              </w:rPr>
            </w:pPr>
            <w:r w:rsidRPr="00990FB6">
              <w:rPr>
                <w:sz w:val="22"/>
                <w:szCs w:val="22"/>
                <w:lang w:eastAsia="es-CR"/>
              </w:rPr>
              <w:t xml:space="preserve"> ₡ 46 283 250.00</w:t>
            </w:r>
          </w:p>
        </w:tc>
      </w:tr>
      <w:tr w:rsidR="00B15F7D" w:rsidRPr="00990FB6" w14:paraId="7D712339" w14:textId="77777777" w:rsidTr="000A0C22">
        <w:trPr>
          <w:trHeight w:val="300"/>
          <w:jc w:val="center"/>
        </w:trPr>
        <w:tc>
          <w:tcPr>
            <w:tcW w:w="1286" w:type="pct"/>
            <w:vMerge w:val="restart"/>
            <w:tcBorders>
              <w:top w:val="nil"/>
              <w:left w:val="single" w:sz="8" w:space="0" w:color="auto"/>
              <w:bottom w:val="single" w:sz="8" w:space="0" w:color="000000"/>
              <w:right w:val="single" w:sz="8" w:space="0" w:color="auto"/>
            </w:tcBorders>
            <w:shd w:val="clear" w:color="auto" w:fill="auto"/>
            <w:vAlign w:val="center"/>
            <w:hideMark/>
          </w:tcPr>
          <w:p w14:paraId="63ACC719" w14:textId="77777777" w:rsidR="00B15F7D" w:rsidRPr="00990FB6" w:rsidRDefault="00B15F7D" w:rsidP="00B15F7D">
            <w:pPr>
              <w:jc w:val="center"/>
              <w:rPr>
                <w:sz w:val="22"/>
                <w:szCs w:val="22"/>
                <w:lang w:eastAsia="es-CR"/>
              </w:rPr>
            </w:pPr>
            <w:r w:rsidRPr="00990FB6">
              <w:rPr>
                <w:sz w:val="22"/>
                <w:szCs w:val="22"/>
                <w:lang w:eastAsia="es-CR"/>
              </w:rPr>
              <w:t>Estructuras Modelo de Tramitación Violencia Doméstica</w:t>
            </w:r>
          </w:p>
        </w:tc>
        <w:tc>
          <w:tcPr>
            <w:tcW w:w="747" w:type="pct"/>
            <w:tcBorders>
              <w:top w:val="nil"/>
              <w:left w:val="nil"/>
              <w:bottom w:val="single" w:sz="8" w:space="0" w:color="auto"/>
              <w:right w:val="single" w:sz="8" w:space="0" w:color="auto"/>
            </w:tcBorders>
            <w:shd w:val="clear" w:color="auto" w:fill="auto"/>
            <w:vAlign w:val="center"/>
            <w:hideMark/>
          </w:tcPr>
          <w:p w14:paraId="765EEB69" w14:textId="77777777" w:rsidR="00B15F7D" w:rsidRPr="00990FB6" w:rsidRDefault="00B15F7D" w:rsidP="00B15F7D">
            <w:pPr>
              <w:jc w:val="center"/>
              <w:rPr>
                <w:b/>
                <w:bCs/>
                <w:sz w:val="22"/>
                <w:szCs w:val="22"/>
                <w:lang w:eastAsia="es-CR"/>
              </w:rPr>
            </w:pPr>
            <w:r w:rsidRPr="00990FB6">
              <w:rPr>
                <w:b/>
                <w:bCs/>
                <w:sz w:val="22"/>
                <w:szCs w:val="22"/>
                <w:lang w:eastAsia="es-CR"/>
              </w:rPr>
              <w:t>2</w:t>
            </w:r>
          </w:p>
        </w:tc>
        <w:tc>
          <w:tcPr>
            <w:tcW w:w="1540" w:type="pct"/>
            <w:tcBorders>
              <w:top w:val="nil"/>
              <w:left w:val="nil"/>
              <w:bottom w:val="single" w:sz="8" w:space="0" w:color="auto"/>
              <w:right w:val="single" w:sz="8" w:space="0" w:color="auto"/>
            </w:tcBorders>
            <w:shd w:val="clear" w:color="auto" w:fill="auto"/>
            <w:vAlign w:val="center"/>
            <w:hideMark/>
          </w:tcPr>
          <w:p w14:paraId="327A197A" w14:textId="77777777" w:rsidR="00B15F7D" w:rsidRPr="00990FB6" w:rsidRDefault="00B15F7D" w:rsidP="00B15F7D">
            <w:pPr>
              <w:jc w:val="center"/>
              <w:rPr>
                <w:sz w:val="22"/>
                <w:szCs w:val="22"/>
                <w:lang w:eastAsia="es-CR"/>
              </w:rPr>
            </w:pPr>
            <w:r w:rsidRPr="00990FB6">
              <w:rPr>
                <w:sz w:val="22"/>
                <w:szCs w:val="22"/>
                <w:lang w:eastAsia="es-CR"/>
              </w:rPr>
              <w:t>Jueza o Juez 3</w:t>
            </w:r>
          </w:p>
        </w:tc>
        <w:tc>
          <w:tcPr>
            <w:tcW w:w="1428" w:type="pct"/>
            <w:tcBorders>
              <w:top w:val="nil"/>
              <w:left w:val="nil"/>
              <w:bottom w:val="single" w:sz="8" w:space="0" w:color="auto"/>
              <w:right w:val="single" w:sz="8" w:space="0" w:color="auto"/>
            </w:tcBorders>
            <w:shd w:val="clear" w:color="auto" w:fill="auto"/>
            <w:vAlign w:val="center"/>
            <w:hideMark/>
          </w:tcPr>
          <w:p w14:paraId="11301A64" w14:textId="77777777" w:rsidR="00B15F7D" w:rsidRPr="00990FB6" w:rsidRDefault="00B15F7D" w:rsidP="00B15F7D">
            <w:pPr>
              <w:jc w:val="center"/>
              <w:rPr>
                <w:sz w:val="22"/>
                <w:szCs w:val="22"/>
                <w:lang w:eastAsia="es-CR"/>
              </w:rPr>
            </w:pPr>
            <w:r w:rsidRPr="00990FB6">
              <w:rPr>
                <w:sz w:val="22"/>
                <w:szCs w:val="22"/>
                <w:lang w:eastAsia="es-CR"/>
              </w:rPr>
              <w:t>₡ 114 294 000.00</w:t>
            </w:r>
          </w:p>
        </w:tc>
      </w:tr>
      <w:tr w:rsidR="00B15F7D" w:rsidRPr="00990FB6" w14:paraId="2D193A08" w14:textId="77777777" w:rsidTr="000A0C22">
        <w:trPr>
          <w:trHeight w:val="1040"/>
          <w:jc w:val="center"/>
        </w:trPr>
        <w:tc>
          <w:tcPr>
            <w:tcW w:w="1286" w:type="pct"/>
            <w:vMerge/>
            <w:tcBorders>
              <w:top w:val="nil"/>
              <w:left w:val="single" w:sz="8" w:space="0" w:color="auto"/>
              <w:bottom w:val="single" w:sz="8" w:space="0" w:color="000000"/>
              <w:right w:val="single" w:sz="8" w:space="0" w:color="auto"/>
            </w:tcBorders>
            <w:vAlign w:val="center"/>
            <w:hideMark/>
          </w:tcPr>
          <w:p w14:paraId="78614B0C" w14:textId="77777777" w:rsidR="00B15F7D" w:rsidRPr="00990FB6" w:rsidRDefault="00B15F7D" w:rsidP="00B15F7D">
            <w:pPr>
              <w:rPr>
                <w:sz w:val="22"/>
                <w:szCs w:val="22"/>
                <w:lang w:eastAsia="es-CR"/>
              </w:rPr>
            </w:pPr>
          </w:p>
        </w:tc>
        <w:tc>
          <w:tcPr>
            <w:tcW w:w="747" w:type="pct"/>
            <w:tcBorders>
              <w:top w:val="nil"/>
              <w:left w:val="nil"/>
              <w:bottom w:val="single" w:sz="8" w:space="0" w:color="auto"/>
              <w:right w:val="single" w:sz="8" w:space="0" w:color="auto"/>
            </w:tcBorders>
            <w:shd w:val="clear" w:color="auto" w:fill="auto"/>
            <w:vAlign w:val="center"/>
            <w:hideMark/>
          </w:tcPr>
          <w:p w14:paraId="4789099D" w14:textId="77777777" w:rsidR="00B15F7D" w:rsidRPr="00990FB6" w:rsidRDefault="00B15F7D" w:rsidP="00B15F7D">
            <w:pPr>
              <w:jc w:val="center"/>
              <w:rPr>
                <w:b/>
                <w:bCs/>
                <w:sz w:val="22"/>
                <w:szCs w:val="22"/>
                <w:lang w:eastAsia="es-CR"/>
              </w:rPr>
            </w:pPr>
            <w:r w:rsidRPr="00990FB6">
              <w:rPr>
                <w:b/>
                <w:bCs/>
                <w:sz w:val="22"/>
                <w:szCs w:val="22"/>
                <w:lang w:eastAsia="es-CR"/>
              </w:rPr>
              <w:t>17</w:t>
            </w:r>
          </w:p>
        </w:tc>
        <w:tc>
          <w:tcPr>
            <w:tcW w:w="1540" w:type="pct"/>
            <w:tcBorders>
              <w:top w:val="nil"/>
              <w:left w:val="nil"/>
              <w:bottom w:val="single" w:sz="8" w:space="0" w:color="auto"/>
              <w:right w:val="single" w:sz="8" w:space="0" w:color="auto"/>
            </w:tcBorders>
            <w:shd w:val="clear" w:color="auto" w:fill="auto"/>
            <w:vAlign w:val="center"/>
            <w:hideMark/>
          </w:tcPr>
          <w:p w14:paraId="6F42A86B" w14:textId="77777777" w:rsidR="00B15F7D" w:rsidRPr="00990FB6" w:rsidRDefault="00B15F7D" w:rsidP="00B15F7D">
            <w:pPr>
              <w:jc w:val="center"/>
              <w:rPr>
                <w:sz w:val="22"/>
                <w:szCs w:val="22"/>
                <w:lang w:eastAsia="es-CR"/>
              </w:rPr>
            </w:pPr>
            <w:r w:rsidRPr="00990FB6">
              <w:rPr>
                <w:sz w:val="22"/>
                <w:szCs w:val="22"/>
                <w:lang w:eastAsia="es-CR"/>
              </w:rPr>
              <w:t>Técnica o Técnico Judicial 2*</w:t>
            </w:r>
          </w:p>
        </w:tc>
        <w:tc>
          <w:tcPr>
            <w:tcW w:w="1428" w:type="pct"/>
            <w:tcBorders>
              <w:top w:val="nil"/>
              <w:left w:val="nil"/>
              <w:bottom w:val="single" w:sz="8" w:space="0" w:color="auto"/>
              <w:right w:val="single" w:sz="8" w:space="0" w:color="auto"/>
            </w:tcBorders>
            <w:shd w:val="clear" w:color="auto" w:fill="auto"/>
            <w:vAlign w:val="center"/>
            <w:hideMark/>
          </w:tcPr>
          <w:p w14:paraId="6B440FA6" w14:textId="77777777" w:rsidR="00B15F7D" w:rsidRPr="00990FB6" w:rsidRDefault="00B15F7D" w:rsidP="00B15F7D">
            <w:pPr>
              <w:jc w:val="center"/>
              <w:rPr>
                <w:sz w:val="22"/>
                <w:szCs w:val="22"/>
                <w:lang w:eastAsia="es-CR"/>
              </w:rPr>
            </w:pPr>
            <w:r w:rsidRPr="00990FB6">
              <w:rPr>
                <w:sz w:val="22"/>
                <w:szCs w:val="22"/>
                <w:lang w:eastAsia="es-CR"/>
              </w:rPr>
              <w:t>₡ 271 065 000.00</w:t>
            </w:r>
          </w:p>
        </w:tc>
      </w:tr>
      <w:tr w:rsidR="00B15F7D" w:rsidRPr="00990FB6" w14:paraId="5A4DB789" w14:textId="77777777" w:rsidTr="000A0C22">
        <w:trPr>
          <w:trHeight w:val="300"/>
          <w:jc w:val="center"/>
        </w:trPr>
        <w:tc>
          <w:tcPr>
            <w:tcW w:w="1286" w:type="pct"/>
            <w:tcBorders>
              <w:top w:val="nil"/>
              <w:left w:val="single" w:sz="8" w:space="0" w:color="auto"/>
              <w:bottom w:val="single" w:sz="8" w:space="0" w:color="auto"/>
              <w:right w:val="single" w:sz="8" w:space="0" w:color="auto"/>
            </w:tcBorders>
            <w:shd w:val="clear" w:color="auto" w:fill="auto"/>
            <w:vAlign w:val="center"/>
            <w:hideMark/>
          </w:tcPr>
          <w:p w14:paraId="3BD41FF2"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747" w:type="pct"/>
            <w:tcBorders>
              <w:top w:val="nil"/>
              <w:left w:val="nil"/>
              <w:bottom w:val="single" w:sz="8" w:space="0" w:color="auto"/>
              <w:right w:val="single" w:sz="8" w:space="0" w:color="auto"/>
            </w:tcBorders>
            <w:shd w:val="clear" w:color="auto" w:fill="auto"/>
            <w:noWrap/>
            <w:vAlign w:val="center"/>
            <w:hideMark/>
          </w:tcPr>
          <w:p w14:paraId="53DA54FD" w14:textId="77777777" w:rsidR="00B15F7D" w:rsidRPr="00990FB6" w:rsidRDefault="00B15F7D" w:rsidP="00B15F7D">
            <w:pPr>
              <w:jc w:val="center"/>
              <w:rPr>
                <w:b/>
                <w:bCs/>
                <w:sz w:val="22"/>
                <w:szCs w:val="22"/>
                <w:lang w:eastAsia="es-CR"/>
              </w:rPr>
            </w:pPr>
            <w:r w:rsidRPr="00990FB6">
              <w:rPr>
                <w:b/>
                <w:bCs/>
                <w:sz w:val="22"/>
                <w:szCs w:val="22"/>
                <w:lang w:eastAsia="es-CR"/>
              </w:rPr>
              <w:t>71</w:t>
            </w:r>
          </w:p>
        </w:tc>
        <w:tc>
          <w:tcPr>
            <w:tcW w:w="1540" w:type="pct"/>
            <w:tcBorders>
              <w:top w:val="nil"/>
              <w:left w:val="nil"/>
              <w:bottom w:val="single" w:sz="8" w:space="0" w:color="auto"/>
              <w:right w:val="nil"/>
            </w:tcBorders>
            <w:shd w:val="clear" w:color="auto" w:fill="auto"/>
            <w:noWrap/>
            <w:vAlign w:val="center"/>
            <w:hideMark/>
          </w:tcPr>
          <w:p w14:paraId="79FB5216" w14:textId="77777777" w:rsidR="00B15F7D" w:rsidRPr="00990FB6" w:rsidRDefault="00B15F7D" w:rsidP="00B15F7D">
            <w:pPr>
              <w:jc w:val="center"/>
              <w:rPr>
                <w:b/>
                <w:bCs/>
                <w:sz w:val="22"/>
                <w:szCs w:val="22"/>
                <w:lang w:eastAsia="es-CR"/>
              </w:rPr>
            </w:pPr>
            <w:r w:rsidRPr="00990FB6">
              <w:rPr>
                <w:b/>
                <w:bCs/>
                <w:sz w:val="22"/>
                <w:szCs w:val="22"/>
                <w:lang w:eastAsia="es-CR"/>
              </w:rPr>
              <w:t> </w:t>
            </w:r>
          </w:p>
        </w:tc>
        <w:tc>
          <w:tcPr>
            <w:tcW w:w="1428" w:type="pct"/>
            <w:tcBorders>
              <w:top w:val="nil"/>
              <w:left w:val="nil"/>
              <w:bottom w:val="single" w:sz="8" w:space="0" w:color="auto"/>
              <w:right w:val="single" w:sz="8" w:space="0" w:color="auto"/>
            </w:tcBorders>
            <w:shd w:val="clear" w:color="auto" w:fill="auto"/>
            <w:vAlign w:val="center"/>
            <w:hideMark/>
          </w:tcPr>
          <w:p w14:paraId="39891093" w14:textId="77777777" w:rsidR="00B15F7D" w:rsidRPr="00990FB6" w:rsidRDefault="00B15F7D" w:rsidP="00B15F7D">
            <w:pPr>
              <w:jc w:val="center"/>
              <w:rPr>
                <w:b/>
                <w:bCs/>
                <w:sz w:val="22"/>
                <w:szCs w:val="22"/>
                <w:lang w:eastAsia="es-CR"/>
              </w:rPr>
            </w:pPr>
            <w:r w:rsidRPr="00990FB6">
              <w:rPr>
                <w:b/>
                <w:bCs/>
                <w:sz w:val="22"/>
                <w:szCs w:val="22"/>
                <w:lang w:eastAsia="es-CR"/>
              </w:rPr>
              <w:t>₡1 788 700 250,00</w:t>
            </w:r>
          </w:p>
        </w:tc>
      </w:tr>
    </w:tbl>
    <w:p w14:paraId="7286DE54" w14:textId="77777777" w:rsidR="00B15F7D" w:rsidRPr="00990FB6" w:rsidRDefault="00B15F7D" w:rsidP="00B15F7D">
      <w:pPr>
        <w:jc w:val="both"/>
        <w:rPr>
          <w:rFonts w:eastAsia="Calibri"/>
          <w:sz w:val="22"/>
          <w:szCs w:val="22"/>
        </w:rPr>
      </w:pPr>
    </w:p>
    <w:p w14:paraId="3B0C3B5F"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Aprobar la inclusión también del presupuesto requerido para la Dirección de Tecnología de Información y Comunicaciones para la adquisición de equipo de cómputo de las plazas nuevas, licencias y diseño sitio web de la Comisión de Familia asciende a ₡116,931,112,56.</w:t>
      </w:r>
    </w:p>
    <w:p w14:paraId="5F4E72EB" w14:textId="77777777" w:rsidR="00B15F7D" w:rsidRPr="00990FB6" w:rsidRDefault="00B15F7D" w:rsidP="00B15F7D">
      <w:pPr>
        <w:ind w:left="851" w:right="851" w:firstLine="709"/>
        <w:jc w:val="both"/>
        <w:rPr>
          <w:rFonts w:eastAsia="Calibri"/>
          <w:sz w:val="22"/>
          <w:szCs w:val="22"/>
        </w:rPr>
      </w:pPr>
    </w:p>
    <w:p w14:paraId="5F9B7F2E" w14:textId="77777777" w:rsidR="00B15F7D" w:rsidRPr="00990FB6" w:rsidRDefault="00B15F7D" w:rsidP="00B15F7D">
      <w:pPr>
        <w:ind w:left="851" w:right="851" w:firstLine="709"/>
        <w:jc w:val="both"/>
        <w:rPr>
          <w:rFonts w:eastAsia="Calibri"/>
          <w:sz w:val="22"/>
          <w:szCs w:val="22"/>
        </w:rPr>
      </w:pPr>
      <w:bookmarkStart w:id="57" w:name="_Hlk128694784"/>
      <w:r w:rsidRPr="00990FB6">
        <w:rPr>
          <w:rFonts w:eastAsia="Calibri"/>
          <w:sz w:val="22"/>
          <w:szCs w:val="22"/>
        </w:rPr>
        <w:t>Y para el proceso de capacitación, implementación y seguimiento de la aplicación de la nueva ley por parte de la Escuela Judicial, de viáticos y otros se estima en ₡97,427,600.00, según el requerimiento y plan de capacitación de la Escuela Judicial en modalidad virtual-presencial para 2024.</w:t>
      </w:r>
    </w:p>
    <w:bookmarkEnd w:id="57"/>
    <w:p w14:paraId="6B6AF16F" w14:textId="77777777" w:rsidR="00B15F7D" w:rsidRPr="00990FB6" w:rsidRDefault="00B15F7D" w:rsidP="00B15F7D">
      <w:pPr>
        <w:ind w:left="851" w:right="851" w:firstLine="709"/>
        <w:jc w:val="both"/>
        <w:rPr>
          <w:rFonts w:eastAsia="Calibri"/>
          <w:sz w:val="22"/>
          <w:szCs w:val="22"/>
        </w:rPr>
      </w:pPr>
    </w:p>
    <w:p w14:paraId="00BD147B"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Aprobar para 2024, la incorporación de ₡60,000,000.00 para el pago de peritajes por parte del Departamento de Trabajo Social y Psicología que corresponden 30 millones para la materia de Familia y 30 millones para Violencia Doméstica. </w:t>
      </w:r>
    </w:p>
    <w:p w14:paraId="70C76E8C" w14:textId="77777777" w:rsidR="00B15F7D" w:rsidRPr="00990FB6" w:rsidRDefault="00B15F7D" w:rsidP="00B15F7D">
      <w:pPr>
        <w:ind w:left="851" w:right="851" w:firstLine="709"/>
        <w:jc w:val="both"/>
        <w:rPr>
          <w:rFonts w:eastAsia="Calibri"/>
          <w:sz w:val="22"/>
          <w:szCs w:val="22"/>
        </w:rPr>
      </w:pPr>
    </w:p>
    <w:p w14:paraId="2DE8F616"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Aprobar el presupuesto requerido por la Dirección Ejecutiva para la adquisición de equipo de comunicación, mobiliarios, productos de papel, entre otros, que asciende a ₡64,332,998.30</w:t>
      </w:r>
    </w:p>
    <w:p w14:paraId="5D35675B" w14:textId="77777777" w:rsidR="00B15F7D" w:rsidRPr="00990FB6" w:rsidRDefault="00B15F7D" w:rsidP="00B15F7D">
      <w:pPr>
        <w:ind w:left="851" w:right="851" w:firstLine="709"/>
        <w:jc w:val="both"/>
        <w:rPr>
          <w:rFonts w:eastAsia="Calibri"/>
          <w:sz w:val="22"/>
          <w:szCs w:val="22"/>
        </w:rPr>
      </w:pPr>
    </w:p>
    <w:p w14:paraId="64CB0531"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 El costo de la implementación inicial del Código Procesal de Familia para el 2024, se estima en </w:t>
      </w:r>
      <w:r w:rsidRPr="00990FB6">
        <w:rPr>
          <w:rFonts w:eastAsia="Calibri"/>
          <w:b/>
          <w:bCs/>
          <w:sz w:val="22"/>
          <w:szCs w:val="22"/>
        </w:rPr>
        <w:t>₡2,949,448,744.86</w:t>
      </w:r>
      <w:r w:rsidRPr="00990FB6">
        <w:rPr>
          <w:rFonts w:eastAsia="Calibri"/>
          <w:sz w:val="22"/>
          <w:szCs w:val="22"/>
        </w:rPr>
        <w:t xml:space="preserve"> con el siguiente detalle por programa, lo anterior con la legislación propuesta a la fecha.</w:t>
      </w:r>
    </w:p>
    <w:p w14:paraId="5B9321A9" w14:textId="77777777" w:rsidR="00B15F7D" w:rsidRPr="00990FB6" w:rsidRDefault="00B15F7D" w:rsidP="00B15F7D">
      <w:pPr>
        <w:jc w:val="both"/>
        <w:rPr>
          <w:rFonts w:eastAsia="Calibri"/>
          <w:sz w:val="22"/>
          <w:szCs w:val="22"/>
        </w:rPr>
      </w:pPr>
    </w:p>
    <w:p w14:paraId="367F29B6" w14:textId="77777777" w:rsidR="00B15F7D" w:rsidRPr="00990FB6" w:rsidRDefault="00B15F7D" w:rsidP="00B15F7D">
      <w:pPr>
        <w:keepNext/>
        <w:numPr>
          <w:ilvl w:val="12"/>
          <w:numId w:val="0"/>
        </w:numPr>
        <w:jc w:val="center"/>
        <w:rPr>
          <w:rFonts w:eastAsia="Calibri"/>
          <w:b/>
          <w:bCs/>
          <w:sz w:val="22"/>
          <w:szCs w:val="22"/>
          <w:lang w:eastAsia="es-ES"/>
        </w:rPr>
      </w:pPr>
      <w:r w:rsidRPr="00990FB6">
        <w:rPr>
          <w:rFonts w:eastAsia="Calibri"/>
          <w:b/>
          <w:bCs/>
          <w:sz w:val="22"/>
          <w:szCs w:val="22"/>
          <w:lang w:eastAsia="es-ES"/>
        </w:rPr>
        <w:t xml:space="preserve">Cuadro </w:t>
      </w:r>
      <w:r w:rsidRPr="00990FB6">
        <w:rPr>
          <w:rFonts w:eastAsia="Calibri"/>
          <w:b/>
          <w:bCs/>
          <w:sz w:val="22"/>
          <w:szCs w:val="22"/>
          <w:lang w:eastAsia="es-ES"/>
        </w:rPr>
        <w:fldChar w:fldCharType="begin"/>
      </w:r>
      <w:r w:rsidRPr="00990FB6">
        <w:rPr>
          <w:rFonts w:eastAsia="Calibri"/>
          <w:b/>
          <w:bCs/>
          <w:sz w:val="22"/>
          <w:szCs w:val="22"/>
          <w:lang w:eastAsia="es-ES"/>
        </w:rPr>
        <w:instrText xml:space="preserve"> SEQ Cuadro \* ARABIC </w:instrText>
      </w:r>
      <w:r w:rsidRPr="00990FB6">
        <w:rPr>
          <w:rFonts w:eastAsia="Calibri"/>
          <w:b/>
          <w:bCs/>
          <w:sz w:val="22"/>
          <w:szCs w:val="22"/>
          <w:lang w:eastAsia="es-ES"/>
        </w:rPr>
        <w:fldChar w:fldCharType="separate"/>
      </w:r>
      <w:r w:rsidRPr="00990FB6">
        <w:rPr>
          <w:rFonts w:eastAsia="Calibri"/>
          <w:b/>
          <w:bCs/>
          <w:noProof/>
          <w:sz w:val="22"/>
          <w:szCs w:val="22"/>
          <w:lang w:eastAsia="es-ES"/>
        </w:rPr>
        <w:t>78</w:t>
      </w:r>
      <w:r w:rsidRPr="00990FB6">
        <w:rPr>
          <w:rFonts w:eastAsia="Calibri"/>
          <w:b/>
          <w:bCs/>
          <w:sz w:val="22"/>
          <w:szCs w:val="22"/>
          <w:lang w:eastAsia="es-ES"/>
        </w:rPr>
        <w:fldChar w:fldCharType="end"/>
      </w:r>
      <w:r w:rsidRPr="00990FB6">
        <w:rPr>
          <w:rFonts w:eastAsia="Calibri"/>
          <w:b/>
          <w:bCs/>
          <w:sz w:val="22"/>
          <w:szCs w:val="22"/>
          <w:lang w:eastAsia="es-ES"/>
        </w:rPr>
        <w:t xml:space="preserve"> </w:t>
      </w:r>
    </w:p>
    <w:p w14:paraId="476FF260" w14:textId="77777777" w:rsidR="00B15F7D" w:rsidRPr="00990FB6" w:rsidRDefault="00B15F7D" w:rsidP="00B15F7D">
      <w:pPr>
        <w:keepNext/>
        <w:numPr>
          <w:ilvl w:val="12"/>
          <w:numId w:val="0"/>
        </w:numPr>
        <w:jc w:val="center"/>
        <w:rPr>
          <w:rFonts w:eastAsia="Calibri"/>
          <w:b/>
          <w:bCs/>
          <w:sz w:val="22"/>
          <w:szCs w:val="22"/>
          <w:lang w:eastAsia="es-ES"/>
        </w:rPr>
      </w:pPr>
      <w:r w:rsidRPr="00990FB6">
        <w:rPr>
          <w:rFonts w:eastAsia="Calibri"/>
          <w:b/>
          <w:bCs/>
          <w:sz w:val="22"/>
          <w:szCs w:val="22"/>
          <w:lang w:eastAsia="es-ES"/>
        </w:rPr>
        <w:t>Costos económicos asociados al CPF, 2024</w:t>
      </w:r>
    </w:p>
    <w:p w14:paraId="2CB21CC0" w14:textId="77777777" w:rsidR="00B15F7D" w:rsidRPr="00990FB6" w:rsidRDefault="00B15F7D" w:rsidP="00B15F7D">
      <w:pPr>
        <w:keepNext/>
        <w:numPr>
          <w:ilvl w:val="12"/>
          <w:numId w:val="0"/>
        </w:numPr>
        <w:jc w:val="center"/>
        <w:rPr>
          <w:rFonts w:eastAsia="Calibri"/>
          <w:b/>
          <w:bCs/>
          <w:sz w:val="22"/>
          <w:szCs w:val="22"/>
          <w:lang w:eastAsia="es-ES"/>
        </w:rPr>
      </w:pPr>
    </w:p>
    <w:tbl>
      <w:tblPr>
        <w:tblW w:w="5000" w:type="pct"/>
        <w:jc w:val="center"/>
        <w:tblCellMar>
          <w:left w:w="70" w:type="dxa"/>
          <w:right w:w="70" w:type="dxa"/>
        </w:tblCellMar>
        <w:tblLook w:val="04A0" w:firstRow="1" w:lastRow="0" w:firstColumn="1" w:lastColumn="0" w:noHBand="0" w:noVBand="1"/>
      </w:tblPr>
      <w:tblGrid>
        <w:gridCol w:w="3282"/>
        <w:gridCol w:w="1359"/>
        <w:gridCol w:w="1876"/>
        <w:gridCol w:w="1827"/>
      </w:tblGrid>
      <w:tr w:rsidR="00B15F7D" w:rsidRPr="00990FB6" w14:paraId="3CF96DDE" w14:textId="77777777" w:rsidTr="000A0C22">
        <w:trPr>
          <w:trHeight w:val="300"/>
          <w:jc w:val="center"/>
        </w:trPr>
        <w:tc>
          <w:tcPr>
            <w:tcW w:w="1985" w:type="pct"/>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4805BD5A" w14:textId="77777777" w:rsidR="00B15F7D" w:rsidRPr="00990FB6" w:rsidRDefault="00B15F7D" w:rsidP="00B15F7D">
            <w:pPr>
              <w:jc w:val="center"/>
              <w:rPr>
                <w:b/>
                <w:bCs/>
                <w:sz w:val="22"/>
                <w:szCs w:val="22"/>
                <w:lang w:eastAsia="es-CR"/>
              </w:rPr>
            </w:pPr>
            <w:bookmarkStart w:id="58" w:name="_Hlk128695021"/>
            <w:r w:rsidRPr="00990FB6">
              <w:rPr>
                <w:b/>
                <w:bCs/>
                <w:sz w:val="22"/>
                <w:szCs w:val="22"/>
                <w:lang w:eastAsia="es-CR"/>
              </w:rPr>
              <w:t>Requerimiento</w:t>
            </w:r>
          </w:p>
        </w:tc>
        <w:tc>
          <w:tcPr>
            <w:tcW w:w="833" w:type="pct"/>
            <w:tcBorders>
              <w:top w:val="single" w:sz="8" w:space="0" w:color="auto"/>
              <w:left w:val="nil"/>
              <w:bottom w:val="single" w:sz="8" w:space="0" w:color="auto"/>
              <w:right w:val="single" w:sz="8" w:space="0" w:color="auto"/>
            </w:tcBorders>
            <w:shd w:val="clear" w:color="000000" w:fill="0070C0"/>
            <w:vAlign w:val="center"/>
            <w:hideMark/>
          </w:tcPr>
          <w:p w14:paraId="1F3E0A1A" w14:textId="77777777" w:rsidR="00B15F7D" w:rsidRPr="00990FB6" w:rsidRDefault="00B15F7D" w:rsidP="00B15F7D">
            <w:pPr>
              <w:jc w:val="center"/>
              <w:rPr>
                <w:b/>
                <w:bCs/>
                <w:sz w:val="22"/>
                <w:szCs w:val="22"/>
                <w:lang w:eastAsia="es-CR"/>
              </w:rPr>
            </w:pPr>
            <w:r w:rsidRPr="00990FB6">
              <w:rPr>
                <w:b/>
                <w:bCs/>
                <w:sz w:val="22"/>
                <w:szCs w:val="22"/>
                <w:lang w:eastAsia="es-CR"/>
              </w:rPr>
              <w:t>Programa 926</w:t>
            </w:r>
          </w:p>
        </w:tc>
        <w:tc>
          <w:tcPr>
            <w:tcW w:w="1142" w:type="pct"/>
            <w:tcBorders>
              <w:top w:val="single" w:sz="8" w:space="0" w:color="auto"/>
              <w:left w:val="nil"/>
              <w:bottom w:val="single" w:sz="8" w:space="0" w:color="auto"/>
              <w:right w:val="single" w:sz="8" w:space="0" w:color="auto"/>
            </w:tcBorders>
            <w:shd w:val="clear" w:color="000000" w:fill="0070C0"/>
            <w:vAlign w:val="center"/>
            <w:hideMark/>
          </w:tcPr>
          <w:p w14:paraId="2A164A35" w14:textId="77777777" w:rsidR="00B15F7D" w:rsidRPr="00990FB6" w:rsidRDefault="00B15F7D" w:rsidP="00B15F7D">
            <w:pPr>
              <w:jc w:val="center"/>
              <w:rPr>
                <w:b/>
                <w:bCs/>
                <w:sz w:val="22"/>
                <w:szCs w:val="22"/>
                <w:lang w:eastAsia="es-CR"/>
              </w:rPr>
            </w:pPr>
            <w:r w:rsidRPr="00990FB6">
              <w:rPr>
                <w:b/>
                <w:bCs/>
                <w:sz w:val="22"/>
                <w:szCs w:val="22"/>
                <w:lang w:eastAsia="es-CR"/>
              </w:rPr>
              <w:t>Programa 927</w:t>
            </w:r>
          </w:p>
        </w:tc>
        <w:tc>
          <w:tcPr>
            <w:tcW w:w="1039" w:type="pct"/>
            <w:tcBorders>
              <w:top w:val="single" w:sz="8" w:space="0" w:color="auto"/>
              <w:left w:val="nil"/>
              <w:bottom w:val="single" w:sz="8" w:space="0" w:color="auto"/>
              <w:right w:val="single" w:sz="8" w:space="0" w:color="auto"/>
            </w:tcBorders>
            <w:shd w:val="clear" w:color="000000" w:fill="0070C0"/>
            <w:noWrap/>
            <w:vAlign w:val="center"/>
            <w:hideMark/>
          </w:tcPr>
          <w:p w14:paraId="3429A706" w14:textId="77777777" w:rsidR="00B15F7D" w:rsidRPr="00990FB6" w:rsidRDefault="00B15F7D" w:rsidP="00B15F7D">
            <w:pPr>
              <w:jc w:val="center"/>
              <w:rPr>
                <w:b/>
                <w:bCs/>
                <w:sz w:val="22"/>
                <w:szCs w:val="22"/>
                <w:lang w:eastAsia="es-CR"/>
              </w:rPr>
            </w:pPr>
            <w:r w:rsidRPr="00990FB6">
              <w:rPr>
                <w:b/>
                <w:bCs/>
                <w:sz w:val="22"/>
                <w:szCs w:val="22"/>
                <w:lang w:eastAsia="es-CR"/>
              </w:rPr>
              <w:t>Subtotal</w:t>
            </w:r>
          </w:p>
        </w:tc>
      </w:tr>
      <w:tr w:rsidR="00B15F7D" w:rsidRPr="00990FB6" w14:paraId="3C6FA314"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47F8AB93" w14:textId="77777777" w:rsidR="00B15F7D" w:rsidRPr="00990FB6" w:rsidRDefault="00B15F7D" w:rsidP="00B15F7D">
            <w:pPr>
              <w:rPr>
                <w:sz w:val="22"/>
                <w:szCs w:val="22"/>
                <w:lang w:eastAsia="es-CR"/>
              </w:rPr>
            </w:pPr>
            <w:r w:rsidRPr="00990FB6">
              <w:rPr>
                <w:sz w:val="22"/>
                <w:szCs w:val="22"/>
                <w:lang w:eastAsia="es-CR"/>
              </w:rPr>
              <w:t>Recurso humano (plazas ordinarias y extraordinarias)</w:t>
            </w:r>
          </w:p>
        </w:tc>
        <w:tc>
          <w:tcPr>
            <w:tcW w:w="833" w:type="pct"/>
            <w:tcBorders>
              <w:top w:val="nil"/>
              <w:left w:val="nil"/>
              <w:bottom w:val="single" w:sz="8" w:space="0" w:color="auto"/>
              <w:right w:val="single" w:sz="8" w:space="0" w:color="auto"/>
            </w:tcBorders>
            <w:shd w:val="clear" w:color="auto" w:fill="auto"/>
            <w:noWrap/>
            <w:vAlign w:val="center"/>
            <w:hideMark/>
          </w:tcPr>
          <w:p w14:paraId="29DAFCA6" w14:textId="77777777" w:rsidR="00B15F7D" w:rsidRPr="00990FB6" w:rsidRDefault="00B15F7D" w:rsidP="00B15F7D">
            <w:pPr>
              <w:jc w:val="center"/>
              <w:rPr>
                <w:sz w:val="22"/>
                <w:szCs w:val="22"/>
                <w:lang w:eastAsia="es-CR"/>
              </w:rPr>
            </w:pPr>
            <w:r w:rsidRPr="00990FB6">
              <w:rPr>
                <w:sz w:val="22"/>
                <w:szCs w:val="22"/>
                <w:lang w:eastAsia="es-CR"/>
              </w:rPr>
              <w:t> </w:t>
            </w:r>
          </w:p>
        </w:tc>
        <w:tc>
          <w:tcPr>
            <w:tcW w:w="1142" w:type="pct"/>
            <w:tcBorders>
              <w:top w:val="nil"/>
              <w:left w:val="nil"/>
              <w:bottom w:val="single" w:sz="8" w:space="0" w:color="auto"/>
              <w:right w:val="single" w:sz="8" w:space="0" w:color="auto"/>
            </w:tcBorders>
            <w:shd w:val="clear" w:color="auto" w:fill="auto"/>
            <w:noWrap/>
            <w:vAlign w:val="center"/>
            <w:hideMark/>
          </w:tcPr>
          <w:p w14:paraId="511B2267" w14:textId="77777777" w:rsidR="00B15F7D" w:rsidRPr="00990FB6" w:rsidRDefault="00B15F7D" w:rsidP="00B15F7D">
            <w:pPr>
              <w:jc w:val="center"/>
              <w:rPr>
                <w:sz w:val="22"/>
                <w:szCs w:val="22"/>
                <w:lang w:eastAsia="es-CR"/>
              </w:rPr>
            </w:pPr>
            <w:r w:rsidRPr="00990FB6">
              <w:rPr>
                <w:sz w:val="22"/>
                <w:szCs w:val="22"/>
                <w:lang w:eastAsia="es-CR"/>
              </w:rPr>
              <w:t>₡2 590 295 250,00</w:t>
            </w:r>
          </w:p>
        </w:tc>
        <w:tc>
          <w:tcPr>
            <w:tcW w:w="1039" w:type="pct"/>
            <w:tcBorders>
              <w:top w:val="nil"/>
              <w:left w:val="nil"/>
              <w:bottom w:val="single" w:sz="8" w:space="0" w:color="auto"/>
              <w:right w:val="single" w:sz="8" w:space="0" w:color="auto"/>
            </w:tcBorders>
            <w:shd w:val="clear" w:color="auto" w:fill="auto"/>
            <w:noWrap/>
            <w:vAlign w:val="center"/>
            <w:hideMark/>
          </w:tcPr>
          <w:p w14:paraId="1903A8CE" w14:textId="77777777" w:rsidR="00B15F7D" w:rsidRPr="00990FB6" w:rsidRDefault="00B15F7D" w:rsidP="00B15F7D">
            <w:pPr>
              <w:jc w:val="center"/>
              <w:rPr>
                <w:sz w:val="22"/>
                <w:szCs w:val="22"/>
                <w:lang w:eastAsia="es-CR"/>
              </w:rPr>
            </w:pPr>
            <w:r w:rsidRPr="00990FB6">
              <w:rPr>
                <w:sz w:val="22"/>
                <w:szCs w:val="22"/>
                <w:lang w:eastAsia="es-CR"/>
              </w:rPr>
              <w:t>₡2 590 295 250,00</w:t>
            </w:r>
          </w:p>
        </w:tc>
      </w:tr>
      <w:tr w:rsidR="00B15F7D" w:rsidRPr="00990FB6" w14:paraId="0F1D2520" w14:textId="77777777" w:rsidTr="000A0C22">
        <w:trPr>
          <w:trHeight w:val="30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21D0119B" w14:textId="77777777" w:rsidR="00B15F7D" w:rsidRPr="00990FB6" w:rsidRDefault="00B15F7D" w:rsidP="00B15F7D">
            <w:pPr>
              <w:rPr>
                <w:sz w:val="22"/>
                <w:szCs w:val="22"/>
                <w:lang w:eastAsia="es-CR"/>
              </w:rPr>
            </w:pPr>
            <w:r w:rsidRPr="00990FB6">
              <w:rPr>
                <w:sz w:val="22"/>
                <w:szCs w:val="22"/>
                <w:lang w:eastAsia="es-CR"/>
              </w:rPr>
              <w:t>Recurso humano (recalificaciones)</w:t>
            </w:r>
          </w:p>
        </w:tc>
        <w:tc>
          <w:tcPr>
            <w:tcW w:w="833" w:type="pct"/>
            <w:tcBorders>
              <w:top w:val="nil"/>
              <w:left w:val="nil"/>
              <w:bottom w:val="single" w:sz="8" w:space="0" w:color="auto"/>
              <w:right w:val="single" w:sz="8" w:space="0" w:color="auto"/>
            </w:tcBorders>
            <w:shd w:val="clear" w:color="auto" w:fill="auto"/>
            <w:noWrap/>
            <w:vAlign w:val="center"/>
            <w:hideMark/>
          </w:tcPr>
          <w:p w14:paraId="46402AE5" w14:textId="77777777" w:rsidR="00B15F7D" w:rsidRPr="00990FB6" w:rsidRDefault="00B15F7D" w:rsidP="00B15F7D">
            <w:pPr>
              <w:jc w:val="center"/>
              <w:rPr>
                <w:sz w:val="22"/>
                <w:szCs w:val="22"/>
                <w:lang w:eastAsia="es-CR"/>
              </w:rPr>
            </w:pPr>
            <w:r w:rsidRPr="00990FB6">
              <w:rPr>
                <w:sz w:val="22"/>
                <w:szCs w:val="22"/>
                <w:lang w:eastAsia="es-CR"/>
              </w:rPr>
              <w:t> </w:t>
            </w:r>
          </w:p>
        </w:tc>
        <w:tc>
          <w:tcPr>
            <w:tcW w:w="1142" w:type="pct"/>
            <w:tcBorders>
              <w:top w:val="nil"/>
              <w:left w:val="nil"/>
              <w:bottom w:val="single" w:sz="8" w:space="0" w:color="auto"/>
              <w:right w:val="single" w:sz="8" w:space="0" w:color="auto"/>
            </w:tcBorders>
            <w:shd w:val="clear" w:color="auto" w:fill="auto"/>
            <w:noWrap/>
            <w:vAlign w:val="center"/>
            <w:hideMark/>
          </w:tcPr>
          <w:p w14:paraId="26BA66E3" w14:textId="77777777" w:rsidR="00B15F7D" w:rsidRPr="00990FB6" w:rsidRDefault="00B15F7D" w:rsidP="00B15F7D">
            <w:pPr>
              <w:jc w:val="center"/>
              <w:rPr>
                <w:sz w:val="22"/>
                <w:szCs w:val="22"/>
                <w:lang w:eastAsia="es-CR"/>
              </w:rPr>
            </w:pPr>
            <w:r w:rsidRPr="00990FB6">
              <w:rPr>
                <w:sz w:val="22"/>
                <w:szCs w:val="22"/>
                <w:lang w:eastAsia="es-CR"/>
              </w:rPr>
              <w:t>₡9 812 000,00</w:t>
            </w:r>
          </w:p>
        </w:tc>
        <w:tc>
          <w:tcPr>
            <w:tcW w:w="1039" w:type="pct"/>
            <w:tcBorders>
              <w:top w:val="nil"/>
              <w:left w:val="nil"/>
              <w:bottom w:val="single" w:sz="8" w:space="0" w:color="auto"/>
              <w:right w:val="single" w:sz="8" w:space="0" w:color="auto"/>
            </w:tcBorders>
            <w:shd w:val="clear" w:color="auto" w:fill="auto"/>
            <w:noWrap/>
            <w:vAlign w:val="center"/>
            <w:hideMark/>
          </w:tcPr>
          <w:p w14:paraId="5809E82F" w14:textId="77777777" w:rsidR="00B15F7D" w:rsidRPr="00990FB6" w:rsidRDefault="00B15F7D" w:rsidP="00B15F7D">
            <w:pPr>
              <w:jc w:val="center"/>
              <w:rPr>
                <w:sz w:val="22"/>
                <w:szCs w:val="22"/>
                <w:lang w:eastAsia="es-CR"/>
              </w:rPr>
            </w:pPr>
            <w:r w:rsidRPr="00990FB6">
              <w:rPr>
                <w:sz w:val="22"/>
                <w:szCs w:val="22"/>
                <w:lang w:eastAsia="es-CR"/>
              </w:rPr>
              <w:t>₡9 812 000,00</w:t>
            </w:r>
          </w:p>
        </w:tc>
      </w:tr>
      <w:tr w:rsidR="00B15F7D" w:rsidRPr="00990FB6" w14:paraId="3E219D42"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6C25EC21" w14:textId="77777777" w:rsidR="00B15F7D" w:rsidRPr="00990FB6" w:rsidRDefault="00B15F7D" w:rsidP="00B15F7D">
            <w:pPr>
              <w:rPr>
                <w:sz w:val="22"/>
                <w:szCs w:val="22"/>
                <w:lang w:eastAsia="es-CR"/>
              </w:rPr>
            </w:pPr>
            <w:r w:rsidRPr="00990FB6">
              <w:rPr>
                <w:sz w:val="22"/>
                <w:szCs w:val="22"/>
                <w:lang w:eastAsia="es-CR"/>
              </w:rPr>
              <w:lastRenderedPageBreak/>
              <w:t>Activar Rubro de Disponibilidad Despachos Especializados de Familia</w:t>
            </w:r>
          </w:p>
        </w:tc>
        <w:tc>
          <w:tcPr>
            <w:tcW w:w="833" w:type="pct"/>
            <w:tcBorders>
              <w:top w:val="nil"/>
              <w:left w:val="nil"/>
              <w:bottom w:val="single" w:sz="8" w:space="0" w:color="auto"/>
              <w:right w:val="single" w:sz="8" w:space="0" w:color="auto"/>
            </w:tcBorders>
            <w:shd w:val="clear" w:color="auto" w:fill="auto"/>
            <w:noWrap/>
            <w:vAlign w:val="center"/>
            <w:hideMark/>
          </w:tcPr>
          <w:p w14:paraId="05E08DFA" w14:textId="77777777" w:rsidR="00B15F7D" w:rsidRPr="00990FB6" w:rsidRDefault="00B15F7D" w:rsidP="00B15F7D">
            <w:pPr>
              <w:jc w:val="center"/>
              <w:rPr>
                <w:sz w:val="22"/>
                <w:szCs w:val="22"/>
                <w:lang w:eastAsia="es-CR"/>
              </w:rPr>
            </w:pPr>
            <w:r w:rsidRPr="00990FB6">
              <w:rPr>
                <w:sz w:val="22"/>
                <w:szCs w:val="22"/>
                <w:lang w:eastAsia="es-CR"/>
              </w:rPr>
              <w:t> </w:t>
            </w:r>
          </w:p>
        </w:tc>
        <w:tc>
          <w:tcPr>
            <w:tcW w:w="1142" w:type="pct"/>
            <w:tcBorders>
              <w:top w:val="nil"/>
              <w:left w:val="nil"/>
              <w:bottom w:val="single" w:sz="8" w:space="0" w:color="auto"/>
              <w:right w:val="single" w:sz="8" w:space="0" w:color="auto"/>
            </w:tcBorders>
            <w:shd w:val="clear" w:color="auto" w:fill="auto"/>
            <w:noWrap/>
            <w:vAlign w:val="center"/>
            <w:hideMark/>
          </w:tcPr>
          <w:p w14:paraId="12B35729" w14:textId="77777777" w:rsidR="00B15F7D" w:rsidRPr="00990FB6" w:rsidRDefault="00B15F7D" w:rsidP="00B15F7D">
            <w:pPr>
              <w:jc w:val="center"/>
              <w:rPr>
                <w:sz w:val="22"/>
                <w:szCs w:val="22"/>
                <w:lang w:eastAsia="es-CR"/>
              </w:rPr>
            </w:pPr>
            <w:r w:rsidRPr="00990FB6">
              <w:rPr>
                <w:sz w:val="22"/>
                <w:szCs w:val="22"/>
                <w:lang w:eastAsia="es-CR"/>
              </w:rPr>
              <w:t>₡10 649 784,00</w:t>
            </w:r>
          </w:p>
        </w:tc>
        <w:tc>
          <w:tcPr>
            <w:tcW w:w="1039" w:type="pct"/>
            <w:tcBorders>
              <w:top w:val="nil"/>
              <w:left w:val="nil"/>
              <w:bottom w:val="single" w:sz="8" w:space="0" w:color="auto"/>
              <w:right w:val="single" w:sz="8" w:space="0" w:color="auto"/>
            </w:tcBorders>
            <w:shd w:val="clear" w:color="auto" w:fill="auto"/>
            <w:noWrap/>
            <w:vAlign w:val="center"/>
            <w:hideMark/>
          </w:tcPr>
          <w:p w14:paraId="0523813C" w14:textId="77777777" w:rsidR="00B15F7D" w:rsidRPr="00990FB6" w:rsidRDefault="00B15F7D" w:rsidP="00B15F7D">
            <w:pPr>
              <w:jc w:val="center"/>
              <w:rPr>
                <w:sz w:val="22"/>
                <w:szCs w:val="22"/>
                <w:lang w:eastAsia="es-CR"/>
              </w:rPr>
            </w:pPr>
            <w:r w:rsidRPr="00990FB6">
              <w:rPr>
                <w:sz w:val="22"/>
                <w:szCs w:val="22"/>
                <w:lang w:eastAsia="es-CR"/>
              </w:rPr>
              <w:t>₡10 649 784,00</w:t>
            </w:r>
          </w:p>
        </w:tc>
      </w:tr>
      <w:tr w:rsidR="00B15F7D" w:rsidRPr="00990FB6" w14:paraId="1060591A" w14:textId="77777777" w:rsidTr="000A0C22">
        <w:trPr>
          <w:trHeight w:val="30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2A9ACB3D" w14:textId="77777777" w:rsidR="00B15F7D" w:rsidRPr="00990FB6" w:rsidRDefault="00B15F7D" w:rsidP="00B15F7D">
            <w:pPr>
              <w:jc w:val="both"/>
              <w:rPr>
                <w:sz w:val="22"/>
                <w:szCs w:val="22"/>
                <w:lang w:eastAsia="es-CR"/>
              </w:rPr>
            </w:pPr>
            <w:r w:rsidRPr="00990FB6">
              <w:rPr>
                <w:sz w:val="22"/>
                <w:szCs w:val="22"/>
                <w:lang w:eastAsia="es-CR"/>
              </w:rPr>
              <w:t>Suplencias para capacitación-Escuela Judicial</w:t>
            </w:r>
          </w:p>
        </w:tc>
        <w:tc>
          <w:tcPr>
            <w:tcW w:w="833" w:type="pct"/>
            <w:tcBorders>
              <w:top w:val="nil"/>
              <w:left w:val="nil"/>
              <w:bottom w:val="single" w:sz="8" w:space="0" w:color="auto"/>
              <w:right w:val="single" w:sz="8" w:space="0" w:color="auto"/>
            </w:tcBorders>
            <w:shd w:val="clear" w:color="auto" w:fill="auto"/>
            <w:vAlign w:val="center"/>
            <w:hideMark/>
          </w:tcPr>
          <w:p w14:paraId="0F73A9F8" w14:textId="77777777" w:rsidR="00B15F7D" w:rsidRPr="00990FB6" w:rsidRDefault="00B15F7D" w:rsidP="00B15F7D">
            <w:pPr>
              <w:jc w:val="center"/>
              <w:rPr>
                <w:sz w:val="22"/>
                <w:szCs w:val="22"/>
                <w:lang w:eastAsia="es-CR"/>
              </w:rPr>
            </w:pPr>
            <w:r w:rsidRPr="00990FB6">
              <w:rPr>
                <w:sz w:val="22"/>
                <w:szCs w:val="22"/>
                <w:lang w:eastAsia="es-CR"/>
              </w:rPr>
              <w:t>₡1 430 912,00</w:t>
            </w:r>
          </w:p>
        </w:tc>
        <w:tc>
          <w:tcPr>
            <w:tcW w:w="1142" w:type="pct"/>
            <w:tcBorders>
              <w:top w:val="nil"/>
              <w:left w:val="nil"/>
              <w:bottom w:val="single" w:sz="8" w:space="0" w:color="auto"/>
              <w:right w:val="single" w:sz="8" w:space="0" w:color="auto"/>
            </w:tcBorders>
            <w:shd w:val="clear" w:color="auto" w:fill="auto"/>
            <w:vAlign w:val="center"/>
            <w:hideMark/>
          </w:tcPr>
          <w:p w14:paraId="634C5B85" w14:textId="77777777" w:rsidR="00B15F7D" w:rsidRPr="00990FB6" w:rsidRDefault="00B15F7D" w:rsidP="00B15F7D">
            <w:pPr>
              <w:jc w:val="center"/>
              <w:rPr>
                <w:sz w:val="22"/>
                <w:szCs w:val="22"/>
                <w:lang w:eastAsia="es-CR"/>
              </w:rPr>
            </w:pPr>
            <w:r w:rsidRPr="00990FB6">
              <w:rPr>
                <w:sz w:val="22"/>
                <w:szCs w:val="22"/>
                <w:lang w:eastAsia="es-CR"/>
              </w:rPr>
              <w:t>₡79 767 688,00</w:t>
            </w:r>
          </w:p>
        </w:tc>
        <w:tc>
          <w:tcPr>
            <w:tcW w:w="1039" w:type="pct"/>
            <w:tcBorders>
              <w:top w:val="nil"/>
              <w:left w:val="nil"/>
              <w:bottom w:val="single" w:sz="8" w:space="0" w:color="auto"/>
              <w:right w:val="single" w:sz="8" w:space="0" w:color="auto"/>
            </w:tcBorders>
            <w:shd w:val="clear" w:color="auto" w:fill="auto"/>
            <w:vAlign w:val="center"/>
            <w:hideMark/>
          </w:tcPr>
          <w:p w14:paraId="035FE1A6" w14:textId="77777777" w:rsidR="00B15F7D" w:rsidRPr="00990FB6" w:rsidRDefault="00B15F7D" w:rsidP="00B15F7D">
            <w:pPr>
              <w:jc w:val="center"/>
              <w:rPr>
                <w:sz w:val="22"/>
                <w:szCs w:val="22"/>
                <w:lang w:eastAsia="es-CR"/>
              </w:rPr>
            </w:pPr>
            <w:r w:rsidRPr="00990FB6">
              <w:rPr>
                <w:sz w:val="22"/>
                <w:szCs w:val="22"/>
                <w:lang w:eastAsia="es-CR"/>
              </w:rPr>
              <w:t>₡81 198 600,00</w:t>
            </w:r>
          </w:p>
        </w:tc>
      </w:tr>
      <w:tr w:rsidR="00B15F7D" w:rsidRPr="00990FB6" w14:paraId="5620A0C6"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5B46EBF9" w14:textId="77777777" w:rsidR="00B15F7D" w:rsidRPr="00990FB6" w:rsidRDefault="00B15F7D" w:rsidP="00B15F7D">
            <w:pPr>
              <w:jc w:val="both"/>
              <w:rPr>
                <w:sz w:val="22"/>
                <w:szCs w:val="22"/>
                <w:lang w:eastAsia="es-CR"/>
              </w:rPr>
            </w:pPr>
            <w:r w:rsidRPr="00990FB6">
              <w:rPr>
                <w:sz w:val="22"/>
                <w:szCs w:val="22"/>
                <w:lang w:eastAsia="es-CR"/>
              </w:rPr>
              <w:t>Viáticos y otros para Capacitación-Escuela Judicial</w:t>
            </w:r>
          </w:p>
        </w:tc>
        <w:tc>
          <w:tcPr>
            <w:tcW w:w="833" w:type="pct"/>
            <w:tcBorders>
              <w:top w:val="nil"/>
              <w:left w:val="nil"/>
              <w:bottom w:val="single" w:sz="8" w:space="0" w:color="auto"/>
              <w:right w:val="single" w:sz="8" w:space="0" w:color="auto"/>
            </w:tcBorders>
            <w:shd w:val="clear" w:color="auto" w:fill="auto"/>
            <w:vAlign w:val="center"/>
            <w:hideMark/>
          </w:tcPr>
          <w:p w14:paraId="4AD78BC5" w14:textId="77777777" w:rsidR="00B15F7D" w:rsidRPr="00990FB6" w:rsidRDefault="00B15F7D" w:rsidP="00B15F7D">
            <w:pPr>
              <w:jc w:val="center"/>
              <w:rPr>
                <w:sz w:val="22"/>
                <w:szCs w:val="22"/>
                <w:lang w:eastAsia="es-CR"/>
              </w:rPr>
            </w:pPr>
            <w:r w:rsidRPr="00990FB6">
              <w:rPr>
                <w:sz w:val="22"/>
                <w:szCs w:val="22"/>
                <w:lang w:eastAsia="es-CR"/>
              </w:rPr>
              <w:t>₡16 229 000,00</w:t>
            </w:r>
          </w:p>
        </w:tc>
        <w:tc>
          <w:tcPr>
            <w:tcW w:w="1142" w:type="pct"/>
            <w:tcBorders>
              <w:top w:val="nil"/>
              <w:left w:val="nil"/>
              <w:bottom w:val="single" w:sz="8" w:space="0" w:color="auto"/>
              <w:right w:val="single" w:sz="8" w:space="0" w:color="auto"/>
            </w:tcBorders>
            <w:shd w:val="clear" w:color="auto" w:fill="auto"/>
            <w:vAlign w:val="center"/>
            <w:hideMark/>
          </w:tcPr>
          <w:p w14:paraId="4A19D603" w14:textId="77777777" w:rsidR="00B15F7D" w:rsidRPr="00990FB6" w:rsidRDefault="00B15F7D" w:rsidP="00B15F7D">
            <w:pPr>
              <w:jc w:val="center"/>
              <w:rPr>
                <w:sz w:val="22"/>
                <w:szCs w:val="22"/>
                <w:lang w:eastAsia="es-CR"/>
              </w:rPr>
            </w:pPr>
            <w:r w:rsidRPr="00990FB6">
              <w:rPr>
                <w:sz w:val="22"/>
                <w:szCs w:val="22"/>
                <w:lang w:eastAsia="es-CR"/>
              </w:rPr>
              <w:t> </w:t>
            </w:r>
          </w:p>
        </w:tc>
        <w:tc>
          <w:tcPr>
            <w:tcW w:w="1039" w:type="pct"/>
            <w:tcBorders>
              <w:top w:val="nil"/>
              <w:left w:val="nil"/>
              <w:bottom w:val="single" w:sz="8" w:space="0" w:color="auto"/>
              <w:right w:val="single" w:sz="8" w:space="0" w:color="auto"/>
            </w:tcBorders>
            <w:shd w:val="clear" w:color="auto" w:fill="auto"/>
            <w:noWrap/>
            <w:vAlign w:val="center"/>
            <w:hideMark/>
          </w:tcPr>
          <w:p w14:paraId="5C341BF0" w14:textId="77777777" w:rsidR="00B15F7D" w:rsidRPr="00990FB6" w:rsidRDefault="00B15F7D" w:rsidP="00B15F7D">
            <w:pPr>
              <w:jc w:val="center"/>
              <w:rPr>
                <w:sz w:val="22"/>
                <w:szCs w:val="22"/>
                <w:lang w:eastAsia="es-CR"/>
              </w:rPr>
            </w:pPr>
            <w:r w:rsidRPr="00990FB6">
              <w:rPr>
                <w:sz w:val="22"/>
                <w:szCs w:val="22"/>
                <w:lang w:eastAsia="es-CR"/>
              </w:rPr>
              <w:t>₡16 229 000,00</w:t>
            </w:r>
          </w:p>
        </w:tc>
      </w:tr>
      <w:tr w:rsidR="00B15F7D" w:rsidRPr="00990FB6" w14:paraId="6ED5DC8C"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3CC4BCEC" w14:textId="77777777" w:rsidR="00B15F7D" w:rsidRPr="00990FB6" w:rsidRDefault="00B15F7D" w:rsidP="00B15F7D">
            <w:pPr>
              <w:jc w:val="both"/>
              <w:rPr>
                <w:sz w:val="22"/>
                <w:szCs w:val="22"/>
                <w:lang w:eastAsia="es-CR"/>
              </w:rPr>
            </w:pPr>
            <w:r w:rsidRPr="00990FB6">
              <w:rPr>
                <w:sz w:val="22"/>
                <w:szCs w:val="22"/>
                <w:lang w:eastAsia="es-CR"/>
              </w:rPr>
              <w:t xml:space="preserve">Equipo de cómputo y licencias -Dirección de Tecnología de la Información </w:t>
            </w:r>
          </w:p>
        </w:tc>
        <w:tc>
          <w:tcPr>
            <w:tcW w:w="833" w:type="pct"/>
            <w:tcBorders>
              <w:top w:val="nil"/>
              <w:left w:val="nil"/>
              <w:bottom w:val="single" w:sz="8" w:space="0" w:color="auto"/>
              <w:right w:val="single" w:sz="8" w:space="0" w:color="auto"/>
            </w:tcBorders>
            <w:shd w:val="clear" w:color="auto" w:fill="auto"/>
            <w:noWrap/>
            <w:vAlign w:val="center"/>
            <w:hideMark/>
          </w:tcPr>
          <w:p w14:paraId="62908046" w14:textId="77777777" w:rsidR="00B15F7D" w:rsidRPr="00990FB6" w:rsidRDefault="00B15F7D" w:rsidP="00B15F7D">
            <w:pPr>
              <w:jc w:val="center"/>
              <w:rPr>
                <w:sz w:val="22"/>
                <w:szCs w:val="22"/>
                <w:lang w:eastAsia="es-CR"/>
              </w:rPr>
            </w:pPr>
            <w:r w:rsidRPr="00990FB6">
              <w:rPr>
                <w:sz w:val="22"/>
                <w:szCs w:val="22"/>
                <w:lang w:eastAsia="es-CR"/>
              </w:rPr>
              <w:t> </w:t>
            </w:r>
          </w:p>
        </w:tc>
        <w:tc>
          <w:tcPr>
            <w:tcW w:w="1142" w:type="pct"/>
            <w:tcBorders>
              <w:top w:val="nil"/>
              <w:left w:val="nil"/>
              <w:bottom w:val="single" w:sz="8" w:space="0" w:color="auto"/>
              <w:right w:val="single" w:sz="8" w:space="0" w:color="auto"/>
            </w:tcBorders>
            <w:shd w:val="clear" w:color="auto" w:fill="auto"/>
            <w:noWrap/>
            <w:vAlign w:val="center"/>
            <w:hideMark/>
          </w:tcPr>
          <w:p w14:paraId="5C95F5C3" w14:textId="77777777" w:rsidR="00B15F7D" w:rsidRPr="00990FB6" w:rsidRDefault="00B15F7D" w:rsidP="00B15F7D">
            <w:pPr>
              <w:jc w:val="center"/>
              <w:rPr>
                <w:sz w:val="22"/>
                <w:szCs w:val="22"/>
                <w:lang w:eastAsia="es-CR"/>
              </w:rPr>
            </w:pPr>
            <w:r w:rsidRPr="00990FB6">
              <w:rPr>
                <w:sz w:val="22"/>
                <w:szCs w:val="22"/>
                <w:lang w:eastAsia="es-CR"/>
              </w:rPr>
              <w:t>₡101 931 112,56</w:t>
            </w:r>
          </w:p>
        </w:tc>
        <w:tc>
          <w:tcPr>
            <w:tcW w:w="1039" w:type="pct"/>
            <w:tcBorders>
              <w:top w:val="nil"/>
              <w:left w:val="nil"/>
              <w:bottom w:val="single" w:sz="8" w:space="0" w:color="auto"/>
              <w:right w:val="single" w:sz="8" w:space="0" w:color="auto"/>
            </w:tcBorders>
            <w:shd w:val="clear" w:color="auto" w:fill="auto"/>
            <w:noWrap/>
            <w:vAlign w:val="center"/>
            <w:hideMark/>
          </w:tcPr>
          <w:p w14:paraId="00022F1B" w14:textId="77777777" w:rsidR="00B15F7D" w:rsidRPr="00990FB6" w:rsidRDefault="00B15F7D" w:rsidP="00B15F7D">
            <w:pPr>
              <w:jc w:val="center"/>
              <w:rPr>
                <w:sz w:val="22"/>
                <w:szCs w:val="22"/>
                <w:lang w:eastAsia="es-CR"/>
              </w:rPr>
            </w:pPr>
            <w:r w:rsidRPr="00990FB6">
              <w:rPr>
                <w:sz w:val="22"/>
                <w:szCs w:val="22"/>
                <w:lang w:eastAsia="es-CR"/>
              </w:rPr>
              <w:t>₡101 931 112,56</w:t>
            </w:r>
          </w:p>
        </w:tc>
      </w:tr>
      <w:tr w:rsidR="00B15F7D" w:rsidRPr="00990FB6" w14:paraId="173B0249" w14:textId="77777777" w:rsidTr="000A0C22">
        <w:trPr>
          <w:trHeight w:val="79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1D7ADA7A" w14:textId="77777777" w:rsidR="00B15F7D" w:rsidRPr="00990FB6" w:rsidRDefault="00B15F7D" w:rsidP="00B15F7D">
            <w:pPr>
              <w:jc w:val="both"/>
              <w:rPr>
                <w:sz w:val="22"/>
                <w:szCs w:val="22"/>
                <w:lang w:eastAsia="es-CR"/>
              </w:rPr>
            </w:pPr>
            <w:r w:rsidRPr="00990FB6">
              <w:rPr>
                <w:sz w:val="22"/>
                <w:szCs w:val="22"/>
                <w:lang w:eastAsia="es-CR"/>
              </w:rPr>
              <w:t>Desarrollo página web de la Comisión de Familia -Dirección de Tecnología de la Información</w:t>
            </w:r>
          </w:p>
        </w:tc>
        <w:tc>
          <w:tcPr>
            <w:tcW w:w="833" w:type="pct"/>
            <w:tcBorders>
              <w:top w:val="nil"/>
              <w:left w:val="nil"/>
              <w:bottom w:val="single" w:sz="8" w:space="0" w:color="auto"/>
              <w:right w:val="single" w:sz="8" w:space="0" w:color="auto"/>
            </w:tcBorders>
            <w:shd w:val="clear" w:color="auto" w:fill="auto"/>
            <w:noWrap/>
            <w:vAlign w:val="center"/>
            <w:hideMark/>
          </w:tcPr>
          <w:p w14:paraId="0D1C4614" w14:textId="77777777" w:rsidR="00B15F7D" w:rsidRPr="00990FB6" w:rsidRDefault="00B15F7D" w:rsidP="00B15F7D">
            <w:pPr>
              <w:jc w:val="center"/>
              <w:rPr>
                <w:sz w:val="22"/>
                <w:szCs w:val="22"/>
                <w:lang w:eastAsia="es-CR"/>
              </w:rPr>
            </w:pPr>
            <w:r w:rsidRPr="00990FB6">
              <w:rPr>
                <w:sz w:val="22"/>
                <w:szCs w:val="22"/>
                <w:lang w:eastAsia="es-CR"/>
              </w:rPr>
              <w:t> </w:t>
            </w:r>
          </w:p>
        </w:tc>
        <w:tc>
          <w:tcPr>
            <w:tcW w:w="1142" w:type="pct"/>
            <w:tcBorders>
              <w:top w:val="nil"/>
              <w:left w:val="nil"/>
              <w:bottom w:val="single" w:sz="8" w:space="0" w:color="auto"/>
              <w:right w:val="single" w:sz="8" w:space="0" w:color="auto"/>
            </w:tcBorders>
            <w:shd w:val="clear" w:color="auto" w:fill="auto"/>
            <w:noWrap/>
            <w:vAlign w:val="center"/>
            <w:hideMark/>
          </w:tcPr>
          <w:p w14:paraId="10B912E2" w14:textId="77777777" w:rsidR="00B15F7D" w:rsidRPr="00990FB6" w:rsidRDefault="00B15F7D" w:rsidP="00B15F7D">
            <w:pPr>
              <w:jc w:val="center"/>
              <w:rPr>
                <w:sz w:val="22"/>
                <w:szCs w:val="22"/>
                <w:lang w:eastAsia="es-CR"/>
              </w:rPr>
            </w:pPr>
            <w:r w:rsidRPr="00990FB6">
              <w:rPr>
                <w:sz w:val="22"/>
                <w:szCs w:val="22"/>
                <w:lang w:eastAsia="es-CR"/>
              </w:rPr>
              <w:t>₡15 000 000,00</w:t>
            </w:r>
          </w:p>
        </w:tc>
        <w:tc>
          <w:tcPr>
            <w:tcW w:w="1039" w:type="pct"/>
            <w:tcBorders>
              <w:top w:val="nil"/>
              <w:left w:val="nil"/>
              <w:bottom w:val="single" w:sz="8" w:space="0" w:color="auto"/>
              <w:right w:val="single" w:sz="8" w:space="0" w:color="auto"/>
            </w:tcBorders>
            <w:shd w:val="clear" w:color="auto" w:fill="auto"/>
            <w:noWrap/>
            <w:vAlign w:val="center"/>
            <w:hideMark/>
          </w:tcPr>
          <w:p w14:paraId="2716229F" w14:textId="77777777" w:rsidR="00B15F7D" w:rsidRPr="00990FB6" w:rsidRDefault="00B15F7D" w:rsidP="00B15F7D">
            <w:pPr>
              <w:jc w:val="center"/>
              <w:rPr>
                <w:sz w:val="22"/>
                <w:szCs w:val="22"/>
                <w:lang w:eastAsia="es-CR"/>
              </w:rPr>
            </w:pPr>
            <w:r w:rsidRPr="00990FB6">
              <w:rPr>
                <w:sz w:val="22"/>
                <w:szCs w:val="22"/>
                <w:lang w:eastAsia="es-CR"/>
              </w:rPr>
              <w:t>₡15 000 000,00</w:t>
            </w:r>
          </w:p>
        </w:tc>
      </w:tr>
      <w:tr w:rsidR="00B15F7D" w:rsidRPr="00990FB6" w14:paraId="68E68837"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4DD359CC" w14:textId="77777777" w:rsidR="00B15F7D" w:rsidRPr="00990FB6" w:rsidRDefault="00B15F7D" w:rsidP="00B15F7D">
            <w:pPr>
              <w:jc w:val="both"/>
              <w:rPr>
                <w:sz w:val="22"/>
                <w:szCs w:val="22"/>
                <w:lang w:eastAsia="es-CR"/>
              </w:rPr>
            </w:pPr>
            <w:r w:rsidRPr="00990FB6">
              <w:rPr>
                <w:sz w:val="22"/>
                <w:szCs w:val="22"/>
                <w:lang w:eastAsia="es-CR"/>
              </w:rPr>
              <w:t xml:space="preserve">Productos de papel, cartón, impresos, entre otros- Dirección Ejecutiva </w:t>
            </w:r>
          </w:p>
        </w:tc>
        <w:tc>
          <w:tcPr>
            <w:tcW w:w="833" w:type="pct"/>
            <w:tcBorders>
              <w:top w:val="nil"/>
              <w:left w:val="nil"/>
              <w:bottom w:val="single" w:sz="8" w:space="0" w:color="auto"/>
              <w:right w:val="single" w:sz="8" w:space="0" w:color="auto"/>
            </w:tcBorders>
            <w:shd w:val="clear" w:color="auto" w:fill="auto"/>
            <w:vAlign w:val="center"/>
            <w:hideMark/>
          </w:tcPr>
          <w:p w14:paraId="4028D88D" w14:textId="77777777" w:rsidR="00B15F7D" w:rsidRPr="00990FB6" w:rsidRDefault="00B15F7D" w:rsidP="00B15F7D">
            <w:pPr>
              <w:jc w:val="center"/>
              <w:rPr>
                <w:sz w:val="22"/>
                <w:szCs w:val="22"/>
                <w:lang w:eastAsia="es-CR"/>
              </w:rPr>
            </w:pPr>
            <w:r w:rsidRPr="00990FB6">
              <w:rPr>
                <w:sz w:val="22"/>
                <w:szCs w:val="22"/>
                <w:lang w:eastAsia="es-CR"/>
              </w:rPr>
              <w:t>₡449 772,50</w:t>
            </w:r>
          </w:p>
        </w:tc>
        <w:tc>
          <w:tcPr>
            <w:tcW w:w="1142" w:type="pct"/>
            <w:tcBorders>
              <w:top w:val="nil"/>
              <w:left w:val="nil"/>
              <w:bottom w:val="single" w:sz="8" w:space="0" w:color="auto"/>
              <w:right w:val="single" w:sz="8" w:space="0" w:color="auto"/>
            </w:tcBorders>
            <w:shd w:val="clear" w:color="auto" w:fill="auto"/>
            <w:noWrap/>
            <w:vAlign w:val="center"/>
            <w:hideMark/>
          </w:tcPr>
          <w:p w14:paraId="7A087335" w14:textId="77777777" w:rsidR="00B15F7D" w:rsidRPr="00990FB6" w:rsidRDefault="00B15F7D" w:rsidP="00B15F7D">
            <w:pPr>
              <w:jc w:val="center"/>
              <w:rPr>
                <w:sz w:val="22"/>
                <w:szCs w:val="22"/>
                <w:lang w:eastAsia="es-CR"/>
              </w:rPr>
            </w:pPr>
            <w:r w:rsidRPr="00990FB6">
              <w:rPr>
                <w:sz w:val="22"/>
                <w:szCs w:val="22"/>
                <w:lang w:eastAsia="es-CR"/>
              </w:rPr>
              <w:t> </w:t>
            </w:r>
          </w:p>
        </w:tc>
        <w:tc>
          <w:tcPr>
            <w:tcW w:w="1039" w:type="pct"/>
            <w:tcBorders>
              <w:top w:val="nil"/>
              <w:left w:val="nil"/>
              <w:bottom w:val="single" w:sz="8" w:space="0" w:color="auto"/>
              <w:right w:val="single" w:sz="8" w:space="0" w:color="auto"/>
            </w:tcBorders>
            <w:shd w:val="clear" w:color="auto" w:fill="auto"/>
            <w:vAlign w:val="center"/>
            <w:hideMark/>
          </w:tcPr>
          <w:p w14:paraId="3138BE3A" w14:textId="77777777" w:rsidR="00B15F7D" w:rsidRPr="00990FB6" w:rsidRDefault="00B15F7D" w:rsidP="00B15F7D">
            <w:pPr>
              <w:jc w:val="center"/>
              <w:rPr>
                <w:sz w:val="22"/>
                <w:szCs w:val="22"/>
                <w:lang w:eastAsia="es-CR"/>
              </w:rPr>
            </w:pPr>
            <w:r w:rsidRPr="00990FB6">
              <w:rPr>
                <w:sz w:val="22"/>
                <w:szCs w:val="22"/>
                <w:lang w:eastAsia="es-CR"/>
              </w:rPr>
              <w:t>₡449 772,50</w:t>
            </w:r>
          </w:p>
        </w:tc>
      </w:tr>
      <w:tr w:rsidR="00B15F7D" w:rsidRPr="00990FB6" w14:paraId="14895175"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6F049B51" w14:textId="77777777" w:rsidR="00B15F7D" w:rsidRPr="00990FB6" w:rsidRDefault="00B15F7D" w:rsidP="00B15F7D">
            <w:pPr>
              <w:jc w:val="both"/>
              <w:rPr>
                <w:sz w:val="22"/>
                <w:szCs w:val="22"/>
                <w:lang w:eastAsia="es-CR"/>
              </w:rPr>
            </w:pPr>
            <w:r w:rsidRPr="00990FB6">
              <w:rPr>
                <w:sz w:val="22"/>
                <w:szCs w:val="22"/>
                <w:lang w:eastAsia="es-CR"/>
              </w:rPr>
              <w:t>Equipo de comunicación y mobiliario de oficina-Dirección Ejecutiva</w:t>
            </w:r>
          </w:p>
        </w:tc>
        <w:tc>
          <w:tcPr>
            <w:tcW w:w="833" w:type="pct"/>
            <w:tcBorders>
              <w:top w:val="nil"/>
              <w:left w:val="nil"/>
              <w:bottom w:val="single" w:sz="8" w:space="0" w:color="auto"/>
              <w:right w:val="single" w:sz="8" w:space="0" w:color="auto"/>
            </w:tcBorders>
            <w:shd w:val="clear" w:color="auto" w:fill="auto"/>
            <w:noWrap/>
            <w:vAlign w:val="center"/>
            <w:hideMark/>
          </w:tcPr>
          <w:p w14:paraId="1EC75D80" w14:textId="77777777" w:rsidR="00B15F7D" w:rsidRPr="00990FB6" w:rsidRDefault="00B15F7D" w:rsidP="00B15F7D">
            <w:pPr>
              <w:jc w:val="center"/>
              <w:rPr>
                <w:sz w:val="22"/>
                <w:szCs w:val="22"/>
                <w:lang w:eastAsia="es-CR"/>
              </w:rPr>
            </w:pPr>
            <w:r w:rsidRPr="00990FB6">
              <w:rPr>
                <w:sz w:val="22"/>
                <w:szCs w:val="22"/>
                <w:lang w:eastAsia="es-CR"/>
              </w:rPr>
              <w:t> </w:t>
            </w:r>
          </w:p>
        </w:tc>
        <w:tc>
          <w:tcPr>
            <w:tcW w:w="1142" w:type="pct"/>
            <w:tcBorders>
              <w:top w:val="nil"/>
              <w:left w:val="nil"/>
              <w:bottom w:val="single" w:sz="8" w:space="0" w:color="auto"/>
              <w:right w:val="single" w:sz="8" w:space="0" w:color="auto"/>
            </w:tcBorders>
            <w:shd w:val="clear" w:color="auto" w:fill="auto"/>
            <w:noWrap/>
            <w:vAlign w:val="center"/>
            <w:hideMark/>
          </w:tcPr>
          <w:p w14:paraId="615AC0B4" w14:textId="77777777" w:rsidR="00B15F7D" w:rsidRPr="00990FB6" w:rsidRDefault="00B15F7D" w:rsidP="00B15F7D">
            <w:pPr>
              <w:jc w:val="center"/>
              <w:rPr>
                <w:sz w:val="22"/>
                <w:szCs w:val="22"/>
                <w:lang w:eastAsia="es-CR"/>
              </w:rPr>
            </w:pPr>
            <w:r w:rsidRPr="00990FB6">
              <w:rPr>
                <w:sz w:val="22"/>
                <w:szCs w:val="22"/>
                <w:lang w:eastAsia="es-CR"/>
              </w:rPr>
              <w:t>₡63 883 225,80</w:t>
            </w:r>
          </w:p>
        </w:tc>
        <w:tc>
          <w:tcPr>
            <w:tcW w:w="1039" w:type="pct"/>
            <w:tcBorders>
              <w:top w:val="nil"/>
              <w:left w:val="nil"/>
              <w:bottom w:val="single" w:sz="8" w:space="0" w:color="auto"/>
              <w:right w:val="single" w:sz="8" w:space="0" w:color="auto"/>
            </w:tcBorders>
            <w:shd w:val="clear" w:color="auto" w:fill="auto"/>
            <w:noWrap/>
            <w:vAlign w:val="center"/>
            <w:hideMark/>
          </w:tcPr>
          <w:p w14:paraId="719FA4FC" w14:textId="77777777" w:rsidR="00B15F7D" w:rsidRPr="00990FB6" w:rsidRDefault="00B15F7D" w:rsidP="00B15F7D">
            <w:pPr>
              <w:jc w:val="center"/>
              <w:rPr>
                <w:sz w:val="22"/>
                <w:szCs w:val="22"/>
                <w:lang w:eastAsia="es-CR"/>
              </w:rPr>
            </w:pPr>
            <w:r w:rsidRPr="00990FB6">
              <w:rPr>
                <w:sz w:val="22"/>
                <w:szCs w:val="22"/>
                <w:lang w:eastAsia="es-CR"/>
              </w:rPr>
              <w:t>₡63 883 225,80</w:t>
            </w:r>
          </w:p>
        </w:tc>
      </w:tr>
      <w:tr w:rsidR="00B15F7D" w:rsidRPr="00990FB6" w14:paraId="4312E8C4"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7306BD5B" w14:textId="77777777" w:rsidR="00B15F7D" w:rsidRPr="00990FB6" w:rsidRDefault="00B15F7D" w:rsidP="00B15F7D">
            <w:pPr>
              <w:jc w:val="both"/>
              <w:rPr>
                <w:sz w:val="22"/>
                <w:szCs w:val="22"/>
                <w:lang w:eastAsia="es-CR"/>
              </w:rPr>
            </w:pPr>
            <w:r w:rsidRPr="00990FB6">
              <w:rPr>
                <w:sz w:val="22"/>
                <w:szCs w:val="22"/>
                <w:lang w:eastAsia="es-CR"/>
              </w:rPr>
              <w:t>Pago de peritajes-Familia Departamento de Trabajo Social y Psicología</w:t>
            </w:r>
          </w:p>
        </w:tc>
        <w:tc>
          <w:tcPr>
            <w:tcW w:w="833" w:type="pct"/>
            <w:tcBorders>
              <w:top w:val="nil"/>
              <w:left w:val="nil"/>
              <w:bottom w:val="single" w:sz="8" w:space="0" w:color="auto"/>
              <w:right w:val="single" w:sz="8" w:space="0" w:color="auto"/>
            </w:tcBorders>
            <w:shd w:val="clear" w:color="auto" w:fill="auto"/>
            <w:vAlign w:val="center"/>
            <w:hideMark/>
          </w:tcPr>
          <w:p w14:paraId="649B53AD" w14:textId="77777777" w:rsidR="00B15F7D" w:rsidRPr="00990FB6" w:rsidRDefault="00B15F7D" w:rsidP="00B15F7D">
            <w:pPr>
              <w:jc w:val="center"/>
              <w:rPr>
                <w:sz w:val="22"/>
                <w:szCs w:val="22"/>
                <w:lang w:eastAsia="es-CR"/>
              </w:rPr>
            </w:pPr>
            <w:r w:rsidRPr="00990FB6">
              <w:rPr>
                <w:sz w:val="22"/>
                <w:szCs w:val="22"/>
                <w:lang w:eastAsia="es-CR"/>
              </w:rPr>
              <w:t>₡30 000 000,00</w:t>
            </w:r>
          </w:p>
        </w:tc>
        <w:tc>
          <w:tcPr>
            <w:tcW w:w="1142" w:type="pct"/>
            <w:tcBorders>
              <w:top w:val="nil"/>
              <w:left w:val="nil"/>
              <w:bottom w:val="single" w:sz="8" w:space="0" w:color="auto"/>
              <w:right w:val="single" w:sz="8" w:space="0" w:color="auto"/>
            </w:tcBorders>
            <w:shd w:val="clear" w:color="auto" w:fill="auto"/>
            <w:noWrap/>
            <w:vAlign w:val="center"/>
            <w:hideMark/>
          </w:tcPr>
          <w:p w14:paraId="35E60B5C" w14:textId="77777777" w:rsidR="00B15F7D" w:rsidRPr="00990FB6" w:rsidRDefault="00B15F7D" w:rsidP="00B15F7D">
            <w:pPr>
              <w:jc w:val="center"/>
              <w:rPr>
                <w:sz w:val="22"/>
                <w:szCs w:val="22"/>
                <w:lang w:eastAsia="es-CR"/>
              </w:rPr>
            </w:pPr>
            <w:r w:rsidRPr="00990FB6">
              <w:rPr>
                <w:sz w:val="22"/>
                <w:szCs w:val="22"/>
                <w:lang w:eastAsia="es-CR"/>
              </w:rPr>
              <w:t> </w:t>
            </w:r>
          </w:p>
        </w:tc>
        <w:tc>
          <w:tcPr>
            <w:tcW w:w="1039" w:type="pct"/>
            <w:tcBorders>
              <w:top w:val="nil"/>
              <w:left w:val="nil"/>
              <w:bottom w:val="single" w:sz="8" w:space="0" w:color="auto"/>
              <w:right w:val="single" w:sz="8" w:space="0" w:color="auto"/>
            </w:tcBorders>
            <w:shd w:val="clear" w:color="auto" w:fill="auto"/>
            <w:noWrap/>
            <w:vAlign w:val="center"/>
            <w:hideMark/>
          </w:tcPr>
          <w:p w14:paraId="554E9765" w14:textId="77777777" w:rsidR="00B15F7D" w:rsidRPr="00990FB6" w:rsidRDefault="00B15F7D" w:rsidP="00B15F7D">
            <w:pPr>
              <w:jc w:val="center"/>
              <w:rPr>
                <w:sz w:val="22"/>
                <w:szCs w:val="22"/>
                <w:lang w:eastAsia="es-CR"/>
              </w:rPr>
            </w:pPr>
            <w:r w:rsidRPr="00990FB6">
              <w:rPr>
                <w:sz w:val="22"/>
                <w:szCs w:val="22"/>
                <w:lang w:eastAsia="es-CR"/>
              </w:rPr>
              <w:t>₡30 000 000,00</w:t>
            </w:r>
          </w:p>
        </w:tc>
      </w:tr>
      <w:tr w:rsidR="00B15F7D" w:rsidRPr="00990FB6" w14:paraId="5E6B3A22" w14:textId="77777777" w:rsidTr="000A0C22">
        <w:trPr>
          <w:trHeight w:val="530"/>
          <w:jc w:val="center"/>
        </w:trPr>
        <w:tc>
          <w:tcPr>
            <w:tcW w:w="1985" w:type="pct"/>
            <w:tcBorders>
              <w:top w:val="nil"/>
              <w:left w:val="single" w:sz="8" w:space="0" w:color="auto"/>
              <w:bottom w:val="single" w:sz="8" w:space="0" w:color="auto"/>
              <w:right w:val="single" w:sz="8" w:space="0" w:color="auto"/>
            </w:tcBorders>
            <w:shd w:val="clear" w:color="auto" w:fill="auto"/>
            <w:vAlign w:val="center"/>
            <w:hideMark/>
          </w:tcPr>
          <w:p w14:paraId="47787055" w14:textId="77777777" w:rsidR="00B15F7D" w:rsidRPr="00990FB6" w:rsidRDefault="00B15F7D" w:rsidP="00B15F7D">
            <w:pPr>
              <w:jc w:val="both"/>
              <w:rPr>
                <w:sz w:val="22"/>
                <w:szCs w:val="22"/>
                <w:lang w:eastAsia="es-CR"/>
              </w:rPr>
            </w:pPr>
            <w:r w:rsidRPr="00990FB6">
              <w:rPr>
                <w:sz w:val="22"/>
                <w:szCs w:val="22"/>
                <w:lang w:eastAsia="es-CR"/>
              </w:rPr>
              <w:t>Pago de peritajes-Violencia Doméstica-Departamento de Trabajo Social y Psicología</w:t>
            </w:r>
          </w:p>
        </w:tc>
        <w:tc>
          <w:tcPr>
            <w:tcW w:w="833" w:type="pct"/>
            <w:tcBorders>
              <w:top w:val="nil"/>
              <w:left w:val="nil"/>
              <w:bottom w:val="single" w:sz="8" w:space="0" w:color="auto"/>
              <w:right w:val="single" w:sz="8" w:space="0" w:color="auto"/>
            </w:tcBorders>
            <w:shd w:val="clear" w:color="auto" w:fill="auto"/>
            <w:vAlign w:val="center"/>
            <w:hideMark/>
          </w:tcPr>
          <w:p w14:paraId="727A5181" w14:textId="77777777" w:rsidR="00B15F7D" w:rsidRPr="00990FB6" w:rsidRDefault="00B15F7D" w:rsidP="00B15F7D">
            <w:pPr>
              <w:jc w:val="center"/>
              <w:rPr>
                <w:sz w:val="22"/>
                <w:szCs w:val="22"/>
                <w:lang w:eastAsia="es-CR"/>
              </w:rPr>
            </w:pPr>
            <w:r w:rsidRPr="00990FB6">
              <w:rPr>
                <w:sz w:val="22"/>
                <w:szCs w:val="22"/>
                <w:lang w:eastAsia="es-CR"/>
              </w:rPr>
              <w:t>₡30 000 000,00</w:t>
            </w:r>
          </w:p>
        </w:tc>
        <w:tc>
          <w:tcPr>
            <w:tcW w:w="1142" w:type="pct"/>
            <w:tcBorders>
              <w:top w:val="nil"/>
              <w:left w:val="nil"/>
              <w:bottom w:val="single" w:sz="8" w:space="0" w:color="auto"/>
              <w:right w:val="single" w:sz="8" w:space="0" w:color="auto"/>
            </w:tcBorders>
            <w:shd w:val="clear" w:color="auto" w:fill="auto"/>
            <w:noWrap/>
            <w:vAlign w:val="center"/>
            <w:hideMark/>
          </w:tcPr>
          <w:p w14:paraId="5995BFE4" w14:textId="77777777" w:rsidR="00B15F7D" w:rsidRPr="00990FB6" w:rsidRDefault="00B15F7D" w:rsidP="00B15F7D">
            <w:pPr>
              <w:jc w:val="center"/>
              <w:rPr>
                <w:sz w:val="22"/>
                <w:szCs w:val="22"/>
                <w:lang w:eastAsia="es-CR"/>
              </w:rPr>
            </w:pPr>
            <w:r w:rsidRPr="00990FB6">
              <w:rPr>
                <w:sz w:val="22"/>
                <w:szCs w:val="22"/>
                <w:lang w:eastAsia="es-CR"/>
              </w:rPr>
              <w:t> </w:t>
            </w:r>
          </w:p>
        </w:tc>
        <w:tc>
          <w:tcPr>
            <w:tcW w:w="1039" w:type="pct"/>
            <w:tcBorders>
              <w:top w:val="nil"/>
              <w:left w:val="nil"/>
              <w:bottom w:val="single" w:sz="8" w:space="0" w:color="auto"/>
              <w:right w:val="single" w:sz="8" w:space="0" w:color="auto"/>
            </w:tcBorders>
            <w:shd w:val="clear" w:color="auto" w:fill="auto"/>
            <w:noWrap/>
            <w:vAlign w:val="center"/>
            <w:hideMark/>
          </w:tcPr>
          <w:p w14:paraId="60EF7BBF" w14:textId="77777777" w:rsidR="00B15F7D" w:rsidRPr="00990FB6" w:rsidRDefault="00B15F7D" w:rsidP="00B15F7D">
            <w:pPr>
              <w:jc w:val="center"/>
              <w:rPr>
                <w:sz w:val="22"/>
                <w:szCs w:val="22"/>
                <w:lang w:eastAsia="es-CR"/>
              </w:rPr>
            </w:pPr>
            <w:r w:rsidRPr="00990FB6">
              <w:rPr>
                <w:sz w:val="22"/>
                <w:szCs w:val="22"/>
                <w:lang w:eastAsia="es-CR"/>
              </w:rPr>
              <w:t>₡30 000 000,00</w:t>
            </w:r>
          </w:p>
        </w:tc>
      </w:tr>
      <w:tr w:rsidR="00B15F7D" w:rsidRPr="00990FB6" w14:paraId="20FF4157" w14:textId="77777777" w:rsidTr="000A0C22">
        <w:trPr>
          <w:trHeight w:val="300"/>
          <w:jc w:val="center"/>
        </w:trPr>
        <w:tc>
          <w:tcPr>
            <w:tcW w:w="1985" w:type="pct"/>
            <w:tcBorders>
              <w:top w:val="nil"/>
              <w:left w:val="single" w:sz="8" w:space="0" w:color="auto"/>
              <w:bottom w:val="single" w:sz="8" w:space="0" w:color="auto"/>
              <w:right w:val="single" w:sz="8" w:space="0" w:color="auto"/>
            </w:tcBorders>
            <w:shd w:val="clear" w:color="000000" w:fill="DDEBF7"/>
            <w:vAlign w:val="center"/>
            <w:hideMark/>
          </w:tcPr>
          <w:p w14:paraId="52A20BD5"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833" w:type="pct"/>
            <w:tcBorders>
              <w:top w:val="nil"/>
              <w:left w:val="nil"/>
              <w:bottom w:val="single" w:sz="8" w:space="0" w:color="auto"/>
              <w:right w:val="single" w:sz="8" w:space="0" w:color="auto"/>
            </w:tcBorders>
            <w:shd w:val="clear" w:color="000000" w:fill="DDEBF7"/>
            <w:vAlign w:val="center"/>
            <w:hideMark/>
          </w:tcPr>
          <w:p w14:paraId="2DACD048" w14:textId="77777777" w:rsidR="00B15F7D" w:rsidRPr="00990FB6" w:rsidRDefault="00B15F7D" w:rsidP="00B15F7D">
            <w:pPr>
              <w:jc w:val="center"/>
              <w:rPr>
                <w:b/>
                <w:bCs/>
                <w:sz w:val="22"/>
                <w:szCs w:val="22"/>
                <w:lang w:eastAsia="es-CR"/>
              </w:rPr>
            </w:pPr>
            <w:r w:rsidRPr="00990FB6">
              <w:rPr>
                <w:b/>
                <w:bCs/>
                <w:sz w:val="22"/>
                <w:szCs w:val="22"/>
                <w:lang w:eastAsia="es-CR"/>
              </w:rPr>
              <w:t>₡78 109 684,50</w:t>
            </w:r>
          </w:p>
        </w:tc>
        <w:tc>
          <w:tcPr>
            <w:tcW w:w="1142" w:type="pct"/>
            <w:tcBorders>
              <w:top w:val="nil"/>
              <w:left w:val="nil"/>
              <w:bottom w:val="single" w:sz="8" w:space="0" w:color="auto"/>
              <w:right w:val="single" w:sz="8" w:space="0" w:color="auto"/>
            </w:tcBorders>
            <w:shd w:val="clear" w:color="000000" w:fill="DDEBF7"/>
            <w:vAlign w:val="center"/>
            <w:hideMark/>
          </w:tcPr>
          <w:p w14:paraId="59BF3531" w14:textId="77777777" w:rsidR="00B15F7D" w:rsidRPr="00990FB6" w:rsidRDefault="00B15F7D" w:rsidP="00B15F7D">
            <w:pPr>
              <w:jc w:val="center"/>
              <w:rPr>
                <w:b/>
                <w:bCs/>
                <w:sz w:val="22"/>
                <w:szCs w:val="22"/>
                <w:lang w:eastAsia="es-CR"/>
              </w:rPr>
            </w:pPr>
            <w:r w:rsidRPr="00990FB6">
              <w:rPr>
                <w:b/>
                <w:bCs/>
                <w:sz w:val="22"/>
                <w:szCs w:val="22"/>
                <w:lang w:eastAsia="es-CR"/>
              </w:rPr>
              <w:t>₡2 871 339 060,36</w:t>
            </w:r>
          </w:p>
        </w:tc>
        <w:tc>
          <w:tcPr>
            <w:tcW w:w="1039" w:type="pct"/>
            <w:tcBorders>
              <w:top w:val="nil"/>
              <w:left w:val="nil"/>
              <w:bottom w:val="single" w:sz="8" w:space="0" w:color="auto"/>
              <w:right w:val="single" w:sz="8" w:space="0" w:color="auto"/>
            </w:tcBorders>
            <w:shd w:val="clear" w:color="000000" w:fill="DDEBF7"/>
            <w:vAlign w:val="center"/>
            <w:hideMark/>
          </w:tcPr>
          <w:p w14:paraId="17688D3E" w14:textId="77777777" w:rsidR="00B15F7D" w:rsidRPr="00990FB6" w:rsidRDefault="00B15F7D" w:rsidP="00B15F7D">
            <w:pPr>
              <w:jc w:val="center"/>
              <w:rPr>
                <w:b/>
                <w:bCs/>
                <w:sz w:val="22"/>
                <w:szCs w:val="22"/>
                <w:lang w:eastAsia="es-CR"/>
              </w:rPr>
            </w:pPr>
            <w:r w:rsidRPr="00990FB6">
              <w:rPr>
                <w:b/>
                <w:bCs/>
                <w:sz w:val="22"/>
                <w:szCs w:val="22"/>
                <w:lang w:eastAsia="es-CR"/>
              </w:rPr>
              <w:t>₡2 949 448 744,86</w:t>
            </w:r>
          </w:p>
        </w:tc>
      </w:tr>
    </w:tbl>
    <w:p w14:paraId="7B7A7AD2" w14:textId="77777777" w:rsidR="00B15F7D" w:rsidRPr="00990FB6" w:rsidRDefault="00B15F7D" w:rsidP="00B15F7D">
      <w:pPr>
        <w:ind w:left="1560" w:right="851"/>
        <w:jc w:val="both"/>
        <w:rPr>
          <w:rFonts w:eastAsia="Calibri"/>
          <w:b/>
          <w:caps/>
          <w:sz w:val="22"/>
          <w:szCs w:val="22"/>
        </w:rPr>
      </w:pPr>
    </w:p>
    <w:p w14:paraId="24C6D0CA" w14:textId="77777777" w:rsidR="00B15F7D" w:rsidRPr="00990FB6" w:rsidRDefault="00B15F7D" w:rsidP="00B15F7D">
      <w:pPr>
        <w:numPr>
          <w:ilvl w:val="1"/>
          <w:numId w:val="190"/>
        </w:numPr>
        <w:ind w:left="851" w:right="851" w:firstLine="709"/>
        <w:jc w:val="both"/>
        <w:rPr>
          <w:rFonts w:eastAsia="Calibri"/>
          <w:b/>
          <w:caps/>
          <w:sz w:val="22"/>
          <w:szCs w:val="22"/>
        </w:rPr>
      </w:pPr>
      <w:r w:rsidRPr="00990FB6">
        <w:rPr>
          <w:rFonts w:eastAsia="Calibri"/>
          <w:caps/>
          <w:sz w:val="22"/>
          <w:szCs w:val="22"/>
        </w:rPr>
        <w:t>Aprobar como plan de trabajo de enero a setiembre 2024 la implementación de un plan de trabajo para la atención especializada de las Apelaciones de Pensiones Alimentarias a nivel nacional. Por 2023 se planteará el inicio de la fase 1 de ese plan (informe en consulta 1122-PLA-MI(NPL)-2022 y 156- PLA-MI(NPL)-2023).</w:t>
      </w:r>
    </w:p>
    <w:p w14:paraId="7A448AA7" w14:textId="77777777" w:rsidR="00B15F7D" w:rsidRPr="00990FB6" w:rsidRDefault="00B15F7D" w:rsidP="00B15F7D">
      <w:pPr>
        <w:ind w:left="851" w:right="851" w:firstLine="709"/>
        <w:jc w:val="both"/>
        <w:rPr>
          <w:rFonts w:eastAsia="Calibri"/>
          <w:b/>
          <w:caps/>
          <w:sz w:val="22"/>
          <w:szCs w:val="22"/>
        </w:rPr>
      </w:pPr>
    </w:p>
    <w:p w14:paraId="32882E7E" w14:textId="77777777" w:rsidR="00B15F7D" w:rsidRPr="00990FB6" w:rsidRDefault="00B15F7D" w:rsidP="00B15F7D">
      <w:pPr>
        <w:ind w:left="851" w:right="851" w:firstLine="709"/>
        <w:jc w:val="both"/>
        <w:rPr>
          <w:caps/>
          <w:spacing w:val="-15"/>
          <w:sz w:val="22"/>
          <w:szCs w:val="22"/>
        </w:rPr>
      </w:pPr>
      <w:r w:rsidRPr="00990FB6">
        <w:rPr>
          <w:rFonts w:eastAsia="Calibri"/>
          <w:caps/>
          <w:sz w:val="22"/>
          <w:szCs w:val="22"/>
        </w:rPr>
        <w:t xml:space="preserve">Según lo consignado en el informe 314-PLA-MI-RH-2022 denominado: </w:t>
      </w:r>
      <w:r w:rsidRPr="00990FB6">
        <w:rPr>
          <w:caps/>
          <w:spacing w:val="-15"/>
          <w:sz w:val="22"/>
          <w:szCs w:val="22"/>
        </w:rPr>
        <w:t>314-PLA-MI-RH-2022 con el análisis del “Impacto organizacional y presupuestario en el Poder Judicial a partir de la promulgación del Código Procesal de Familia para el 2023</w:t>
      </w:r>
      <w:r w:rsidRPr="00990FB6">
        <w:rPr>
          <w:rFonts w:eastAsia="Calibri"/>
          <w:caps/>
          <w:sz w:val="22"/>
          <w:szCs w:val="22"/>
        </w:rPr>
        <w:t xml:space="preserve">, conocido por la </w:t>
      </w:r>
      <w:proofErr w:type="spellStart"/>
      <w:r w:rsidRPr="00990FB6">
        <w:rPr>
          <w:caps/>
          <w:spacing w:val="-15"/>
          <w:sz w:val="22"/>
          <w:szCs w:val="22"/>
        </w:rPr>
        <w:t>la</w:t>
      </w:r>
      <w:proofErr w:type="spellEnd"/>
      <w:r w:rsidRPr="00990FB6">
        <w:rPr>
          <w:caps/>
          <w:spacing w:val="-15"/>
          <w:sz w:val="22"/>
          <w:szCs w:val="22"/>
        </w:rPr>
        <w:t xml:space="preserve"> Corte Plena en sesión extraordinaria 25-2022 celebrada el 30 de mayo de 2022, artículo VIII, sesión 27-2022 celebrada el 01 de junio de 2022, artículo II, resulta necesario reiterar las siguientes recomendaciones debido a que según lo dispuesto en el acuerdo, no se logra un pronunciamiento de la Corte Plena en cuanto a las recomendaciones que solicitan un cambio de </w:t>
      </w:r>
      <w:r w:rsidRPr="00990FB6">
        <w:rPr>
          <w:caps/>
          <w:spacing w:val="-15"/>
          <w:sz w:val="22"/>
          <w:szCs w:val="22"/>
        </w:rPr>
        <w:lastRenderedPageBreak/>
        <w:t>competencia territorial, así como otras recomendaciones que competen a este órgano su aprobación.</w:t>
      </w:r>
    </w:p>
    <w:p w14:paraId="2D6C5B23" w14:textId="77777777" w:rsidR="00B15F7D" w:rsidRPr="00990FB6" w:rsidRDefault="00B15F7D" w:rsidP="00B15F7D">
      <w:pPr>
        <w:ind w:left="851" w:right="851" w:firstLine="709"/>
        <w:jc w:val="both"/>
        <w:rPr>
          <w:caps/>
          <w:spacing w:val="-15"/>
          <w:sz w:val="22"/>
          <w:szCs w:val="22"/>
        </w:rPr>
      </w:pPr>
    </w:p>
    <w:p w14:paraId="30F10C82" w14:textId="77777777" w:rsidR="00B15F7D" w:rsidRPr="00990FB6" w:rsidRDefault="00B15F7D" w:rsidP="00B15F7D">
      <w:pPr>
        <w:numPr>
          <w:ilvl w:val="1"/>
          <w:numId w:val="190"/>
        </w:numPr>
        <w:ind w:left="851" w:right="851" w:firstLine="709"/>
        <w:jc w:val="both"/>
        <w:rPr>
          <w:rFonts w:eastAsia="Calibri"/>
          <w:b/>
          <w:caps/>
          <w:sz w:val="22"/>
          <w:szCs w:val="22"/>
        </w:rPr>
      </w:pPr>
      <w:r w:rsidRPr="00990FB6">
        <w:rPr>
          <w:rFonts w:eastAsia="Calibri"/>
          <w:caps/>
          <w:sz w:val="22"/>
          <w:szCs w:val="22"/>
        </w:rPr>
        <w:t xml:space="preserve">Aprobar el cambio de competencia para acercar la justicia en el Juzgado Civil, Trabajo y Familia de Puriscal, Juzgado de Familia de Cartago, en Niñez y Adolescencia, a partir de la aprobación de este informe. </w:t>
      </w:r>
      <w:r w:rsidRPr="00990FB6">
        <w:rPr>
          <w:rFonts w:eastAsia="Calibri"/>
          <w:bCs/>
          <w:caps/>
          <w:sz w:val="22"/>
          <w:szCs w:val="22"/>
          <w:u w:val="single"/>
        </w:rPr>
        <w:t>No se requiere de la entrada en vigencia de la Ley 9747 para aplicar este cambio.</w:t>
      </w:r>
    </w:p>
    <w:p w14:paraId="2A7992F2" w14:textId="77777777" w:rsidR="00B15F7D" w:rsidRPr="00990FB6" w:rsidRDefault="00B15F7D" w:rsidP="00B15F7D">
      <w:pPr>
        <w:ind w:left="1560" w:right="851"/>
        <w:jc w:val="both"/>
        <w:rPr>
          <w:rFonts w:eastAsia="Calibri"/>
          <w:b/>
          <w:caps/>
          <w:sz w:val="22"/>
          <w:szCs w:val="22"/>
        </w:rPr>
      </w:pPr>
    </w:p>
    <w:p w14:paraId="15071ED7" w14:textId="77777777" w:rsidR="00B15F7D" w:rsidRPr="00990FB6" w:rsidRDefault="00B15F7D" w:rsidP="00B15F7D">
      <w:pPr>
        <w:ind w:left="851" w:right="851" w:firstLine="709"/>
        <w:jc w:val="both"/>
        <w:rPr>
          <w:rFonts w:eastAsia="Calibri"/>
          <w:caps/>
          <w:sz w:val="22"/>
          <w:szCs w:val="22"/>
        </w:rPr>
      </w:pPr>
      <w:r w:rsidRPr="00990FB6">
        <w:rPr>
          <w:rFonts w:eastAsia="Calibri"/>
          <w:caps/>
          <w:sz w:val="22"/>
          <w:szCs w:val="22"/>
        </w:rPr>
        <w:t>La propuesta es que se comunique que los asuntos nuevos y circulante de Niñez y Adolescencia, excepto los que tienen fecha de señalamiento, de Puriscal, Tarrazú, Dota y León Cortés, se conozcan a partir “x” fecha (acuerdo de corte plena) en los Juzgados Civil, Trabajo y Familia de Puriscal y Juzgado de Familia de Cartago, respectivamente, excepto los que tienen audiencias señaladas. Para completar esta acción en el caso de ser aprobada, la Dirección de Planificación coordinará con ambos despachos para la itineración de los expedientes.</w:t>
      </w:r>
    </w:p>
    <w:p w14:paraId="4D36D82D" w14:textId="77777777" w:rsidR="00B15F7D" w:rsidRPr="00990FB6" w:rsidRDefault="00B15F7D" w:rsidP="00B15F7D">
      <w:pPr>
        <w:ind w:left="851" w:right="851" w:firstLine="709"/>
        <w:jc w:val="both"/>
        <w:rPr>
          <w:rFonts w:eastAsia="Calibri"/>
          <w:b/>
          <w:caps/>
          <w:sz w:val="22"/>
          <w:szCs w:val="22"/>
        </w:rPr>
      </w:pPr>
    </w:p>
    <w:p w14:paraId="4C10076B" w14:textId="77777777" w:rsidR="00B15F7D" w:rsidRPr="00990FB6" w:rsidRDefault="00B15F7D" w:rsidP="00B15F7D">
      <w:pPr>
        <w:ind w:left="851" w:right="851" w:firstLine="709"/>
        <w:jc w:val="both"/>
        <w:rPr>
          <w:rFonts w:eastAsia="Calibri"/>
          <w:caps/>
          <w:sz w:val="22"/>
          <w:szCs w:val="22"/>
        </w:rPr>
      </w:pPr>
      <w:r w:rsidRPr="00990FB6">
        <w:rPr>
          <w:rFonts w:eastAsia="Calibri"/>
          <w:caps/>
          <w:sz w:val="22"/>
          <w:szCs w:val="22"/>
        </w:rPr>
        <w:t>En el caso de ser aprobada esta recomendación, debe reemplazarse la circular 131-18.</w:t>
      </w:r>
    </w:p>
    <w:p w14:paraId="1DF9823E" w14:textId="77777777" w:rsidR="00B15F7D" w:rsidRPr="00990FB6" w:rsidRDefault="00B15F7D" w:rsidP="00B15F7D">
      <w:pPr>
        <w:ind w:left="851" w:right="851" w:firstLine="709"/>
        <w:jc w:val="both"/>
        <w:rPr>
          <w:rFonts w:eastAsia="Calibri"/>
          <w:b/>
          <w:caps/>
          <w:sz w:val="22"/>
          <w:szCs w:val="22"/>
        </w:rPr>
      </w:pPr>
    </w:p>
    <w:p w14:paraId="08064D5C" w14:textId="77777777" w:rsidR="00B15F7D" w:rsidRPr="00990FB6" w:rsidRDefault="00B15F7D" w:rsidP="00B15F7D">
      <w:pPr>
        <w:numPr>
          <w:ilvl w:val="1"/>
          <w:numId w:val="190"/>
        </w:numPr>
        <w:ind w:left="851" w:right="851" w:firstLine="709"/>
        <w:jc w:val="both"/>
        <w:rPr>
          <w:rFonts w:eastAsia="Calibri"/>
          <w:b/>
          <w:caps/>
          <w:sz w:val="22"/>
          <w:szCs w:val="22"/>
        </w:rPr>
      </w:pPr>
      <w:bookmarkStart w:id="59" w:name="_Hlk128695054"/>
      <w:bookmarkEnd w:id="58"/>
      <w:r w:rsidRPr="00990FB6">
        <w:rPr>
          <w:rFonts w:eastAsia="Calibri"/>
          <w:caps/>
          <w:sz w:val="22"/>
          <w:szCs w:val="22"/>
        </w:rPr>
        <w:t>Reiterar a la Comisión de la Jurisdicción de Familia, Dirección Ejecutiva, Dirección Jurídica, presentar a la mayor brevedad a Corte Plena para aprobación, conforme lo aprobado por el Consejo Superior en sesiones 119-2020 celebrada el 15 de diciembre de 2020, artículo LXVI y 79-2021 celebrada el 9 de setiembre de 2021, artículo XXXIX, el reglamento para la operativización del artículo 286 de la Ley 9747  o bien la propuesta de reforma legal para esta norma:  El artículo 286 dispone actualmente:</w:t>
      </w:r>
    </w:p>
    <w:p w14:paraId="74D264D0" w14:textId="77777777" w:rsidR="00B15F7D" w:rsidRPr="00990FB6" w:rsidRDefault="00B15F7D" w:rsidP="00B15F7D">
      <w:pPr>
        <w:ind w:left="1560" w:right="851"/>
        <w:jc w:val="both"/>
        <w:rPr>
          <w:rFonts w:eastAsia="Calibri"/>
          <w:b/>
          <w:caps/>
          <w:sz w:val="22"/>
          <w:szCs w:val="22"/>
        </w:rPr>
      </w:pPr>
    </w:p>
    <w:bookmarkEnd w:id="59"/>
    <w:p w14:paraId="467267B6" w14:textId="77777777" w:rsidR="00B15F7D" w:rsidRPr="00990FB6" w:rsidRDefault="00B15F7D" w:rsidP="00B15F7D">
      <w:pPr>
        <w:ind w:left="851" w:right="851" w:firstLine="709"/>
        <w:jc w:val="both"/>
        <w:rPr>
          <w:i/>
          <w:iCs/>
          <w:sz w:val="22"/>
          <w:szCs w:val="22"/>
        </w:rPr>
      </w:pPr>
      <w:r w:rsidRPr="00990FB6">
        <w:rPr>
          <w:i/>
          <w:iCs/>
          <w:sz w:val="22"/>
          <w:szCs w:val="22"/>
        </w:rPr>
        <w:t>“</w:t>
      </w:r>
      <w:r w:rsidRPr="00990FB6">
        <w:rPr>
          <w:b/>
          <w:bCs/>
          <w:i/>
          <w:iCs/>
          <w:sz w:val="22"/>
          <w:szCs w:val="22"/>
        </w:rPr>
        <w:t>Artículo 286- Fondo para el pago transitorio de la obligación alimentaria.</w:t>
      </w:r>
      <w:r w:rsidRPr="00990FB6">
        <w:rPr>
          <w:i/>
          <w:iCs/>
          <w:sz w:val="22"/>
          <w:szCs w:val="22"/>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2E019D8A" w14:textId="77777777" w:rsidR="00B15F7D" w:rsidRPr="00990FB6" w:rsidRDefault="00B15F7D" w:rsidP="00B15F7D">
      <w:pPr>
        <w:ind w:left="851" w:right="851" w:firstLine="709"/>
        <w:jc w:val="both"/>
        <w:rPr>
          <w:i/>
          <w:iCs/>
          <w:sz w:val="22"/>
          <w:szCs w:val="22"/>
        </w:rPr>
      </w:pPr>
    </w:p>
    <w:p w14:paraId="0F058A9B" w14:textId="77777777" w:rsidR="00B15F7D" w:rsidRPr="00990FB6" w:rsidRDefault="00B15F7D" w:rsidP="00B15F7D">
      <w:pPr>
        <w:ind w:left="851" w:right="851" w:firstLine="709"/>
        <w:jc w:val="both"/>
        <w:rPr>
          <w:i/>
          <w:iCs/>
          <w:sz w:val="22"/>
          <w:szCs w:val="22"/>
        </w:rPr>
      </w:pPr>
      <w:r w:rsidRPr="00990FB6">
        <w:rPr>
          <w:i/>
          <w:iCs/>
          <w:sz w:val="22"/>
          <w:szCs w:val="22"/>
        </w:rPr>
        <w:t xml:space="preserve">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w:t>
      </w:r>
      <w:r w:rsidRPr="00990FB6">
        <w:rPr>
          <w:i/>
          <w:iCs/>
          <w:sz w:val="22"/>
          <w:szCs w:val="22"/>
        </w:rPr>
        <w:lastRenderedPageBreak/>
        <w:t>cualquier tipo de moneda, que provengan de procesos judiciales concluidos o abandonados, previamente así declarados por la autoridad judicial correspondiente.</w:t>
      </w:r>
    </w:p>
    <w:p w14:paraId="62A31D1F" w14:textId="77777777" w:rsidR="00B15F7D" w:rsidRPr="00990FB6" w:rsidRDefault="00B15F7D" w:rsidP="00B15F7D">
      <w:pPr>
        <w:ind w:left="851" w:right="851" w:firstLine="709"/>
        <w:jc w:val="both"/>
        <w:rPr>
          <w:i/>
          <w:iCs/>
          <w:sz w:val="22"/>
          <w:szCs w:val="22"/>
        </w:rPr>
      </w:pPr>
    </w:p>
    <w:p w14:paraId="26A10CAC" w14:textId="77777777" w:rsidR="00B15F7D" w:rsidRPr="00990FB6" w:rsidRDefault="00B15F7D" w:rsidP="00B15F7D">
      <w:pPr>
        <w:ind w:left="851" w:right="851" w:firstLine="709"/>
        <w:jc w:val="both"/>
        <w:rPr>
          <w:i/>
          <w:iCs/>
          <w:sz w:val="22"/>
          <w:szCs w:val="22"/>
        </w:rPr>
      </w:pPr>
      <w:r w:rsidRPr="00990FB6">
        <w:rPr>
          <w:i/>
          <w:iCs/>
          <w:sz w:val="22"/>
          <w:szCs w:val="22"/>
        </w:rPr>
        <w:t>El porcentaje indicado en el párrafo anterior deberá aplicarse sobre la totalidad de los recursos existentes al momento de entrar en vigencia la presente ley, y su giro se hará por única vez.</w:t>
      </w:r>
    </w:p>
    <w:p w14:paraId="0B6FF73B" w14:textId="77777777" w:rsidR="00B15F7D" w:rsidRPr="00990FB6" w:rsidRDefault="00B15F7D" w:rsidP="00B15F7D">
      <w:pPr>
        <w:ind w:left="851" w:right="851" w:firstLine="709"/>
        <w:jc w:val="both"/>
        <w:rPr>
          <w:i/>
          <w:iCs/>
          <w:sz w:val="22"/>
          <w:szCs w:val="22"/>
        </w:rPr>
      </w:pPr>
    </w:p>
    <w:p w14:paraId="616C569E" w14:textId="77777777" w:rsidR="00B15F7D" w:rsidRPr="00990FB6" w:rsidRDefault="00B15F7D" w:rsidP="00B15F7D">
      <w:pPr>
        <w:ind w:left="851" w:right="851" w:firstLine="709"/>
        <w:jc w:val="both"/>
        <w:rPr>
          <w:i/>
          <w:iCs/>
          <w:sz w:val="22"/>
          <w:szCs w:val="22"/>
        </w:rPr>
      </w:pPr>
      <w:r w:rsidRPr="00990FB6">
        <w:rPr>
          <w:i/>
          <w:iCs/>
          <w:sz w:val="22"/>
          <w:szCs w:val="22"/>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1443D07B" w14:textId="77777777" w:rsidR="00B15F7D" w:rsidRPr="00990FB6" w:rsidRDefault="00B15F7D" w:rsidP="00B15F7D">
      <w:pPr>
        <w:ind w:left="851" w:right="851" w:firstLine="709"/>
        <w:jc w:val="both"/>
        <w:rPr>
          <w:i/>
          <w:iCs/>
          <w:sz w:val="22"/>
          <w:szCs w:val="22"/>
        </w:rPr>
      </w:pPr>
    </w:p>
    <w:p w14:paraId="08A1B370" w14:textId="77777777" w:rsidR="00B15F7D" w:rsidRPr="00990FB6" w:rsidRDefault="00B15F7D" w:rsidP="00B15F7D">
      <w:pPr>
        <w:ind w:left="851" w:right="851" w:firstLine="709"/>
        <w:jc w:val="both"/>
        <w:rPr>
          <w:rFonts w:eastAsia="Calibri"/>
          <w:i/>
          <w:iCs/>
          <w:sz w:val="22"/>
          <w:szCs w:val="22"/>
        </w:rPr>
      </w:pPr>
      <w:r w:rsidRPr="00990FB6">
        <w:rPr>
          <w:rFonts w:eastAsia="Calibri"/>
          <w:i/>
          <w:iCs/>
          <w:sz w:val="22"/>
          <w:szCs w:val="22"/>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3E6D7E5E" w14:textId="77777777" w:rsidR="00B15F7D" w:rsidRPr="00990FB6" w:rsidRDefault="00B15F7D" w:rsidP="00B15F7D">
      <w:pPr>
        <w:ind w:left="851" w:right="851" w:firstLine="709"/>
        <w:jc w:val="both"/>
        <w:rPr>
          <w:rFonts w:eastAsia="Calibri"/>
          <w:i/>
          <w:iCs/>
          <w:sz w:val="22"/>
          <w:szCs w:val="22"/>
        </w:rPr>
      </w:pPr>
    </w:p>
    <w:p w14:paraId="0995BC36" w14:textId="77777777" w:rsidR="00B15F7D" w:rsidRPr="00990FB6" w:rsidRDefault="00B15F7D" w:rsidP="00B15F7D">
      <w:pPr>
        <w:numPr>
          <w:ilvl w:val="1"/>
          <w:numId w:val="190"/>
        </w:numPr>
        <w:ind w:left="851" w:right="851" w:firstLine="709"/>
        <w:jc w:val="both"/>
        <w:rPr>
          <w:sz w:val="22"/>
          <w:szCs w:val="22"/>
        </w:rPr>
      </w:pPr>
      <w:r w:rsidRPr="00990FB6">
        <w:rPr>
          <w:rFonts w:eastAsia="Calibri"/>
          <w:sz w:val="22"/>
          <w:szCs w:val="22"/>
          <w:lang w:eastAsia="es-CR"/>
        </w:rPr>
        <w:t>A partir de los cambios que se prevén a nivel procesal, que implicaría una disminución en la carga de trabajo del personal técnico y aumento para las personas juzgadoras con la entrada del nuevo Código Procesal de Familia (reduce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 autorizar que en materia de Familia, Pensiones y Violencia, en primer y segunda instancia, se reitera la recomendación a la Dirección de Gestión Humana para que en los concursos se incluya la observación general de que esas plazas por temas de carga de trabajo, interés institucional, maximización de recursos e incluso por cambios normativos a raíz de la entrada en vigencia de una norma, con criterio técnico esta Dirección se pueden recomendar horarios rotativos, variación de jornada, traslados de las plazas a otra oficina, incluso a otra Jurisdicción (pero considerando prioritariamente la Jurisdicción a la que inicialmente pertenece la plaza) o incluso recomendarse técnicamente la reasignación del puesto por parte de la Dirección de Gestión Humana de resultar necesario conforme a la estructura de la oficina en donde se asigne, de conformidad con lo que establezca los órganos competentes y sin que eso se pueda considerar un “</w:t>
      </w:r>
      <w:r w:rsidRPr="00990FB6">
        <w:rPr>
          <w:rFonts w:eastAsia="Calibri"/>
          <w:i/>
          <w:iCs/>
          <w:sz w:val="22"/>
          <w:szCs w:val="22"/>
          <w:lang w:eastAsia="es-CR"/>
        </w:rPr>
        <w:t>ius variandi abusivo</w:t>
      </w:r>
      <w:r w:rsidRPr="00990FB6">
        <w:rPr>
          <w:rFonts w:eastAsia="Calibri"/>
          <w:sz w:val="22"/>
          <w:szCs w:val="22"/>
          <w:lang w:eastAsia="es-CR"/>
        </w:rPr>
        <w:t>”.</w:t>
      </w:r>
    </w:p>
    <w:p w14:paraId="506211D9" w14:textId="77777777" w:rsidR="00B15F7D" w:rsidRPr="00990FB6" w:rsidRDefault="00B15F7D" w:rsidP="00B15F7D">
      <w:pPr>
        <w:ind w:left="851" w:right="851" w:firstLine="709"/>
        <w:jc w:val="both"/>
        <w:rPr>
          <w:sz w:val="22"/>
          <w:szCs w:val="22"/>
        </w:rPr>
      </w:pPr>
    </w:p>
    <w:p w14:paraId="5D538E71" w14:textId="77777777" w:rsidR="00B15F7D" w:rsidRPr="00990FB6" w:rsidRDefault="00B15F7D" w:rsidP="00B15F7D">
      <w:pPr>
        <w:numPr>
          <w:ilvl w:val="1"/>
          <w:numId w:val="190"/>
        </w:numPr>
        <w:ind w:left="851" w:right="851" w:firstLine="709"/>
        <w:jc w:val="both"/>
        <w:rPr>
          <w:sz w:val="22"/>
          <w:szCs w:val="22"/>
        </w:rPr>
      </w:pPr>
      <w:r w:rsidRPr="00990FB6">
        <w:rPr>
          <w:sz w:val="22"/>
          <w:szCs w:val="22"/>
        </w:rPr>
        <w:t xml:space="preserve">Valorar tomar como acuerdo que, en adelante, cuando se presente una propuesta de reforma legal por parte del Poder Judicial, o se </w:t>
      </w:r>
      <w:r w:rsidRPr="00990FB6">
        <w:rPr>
          <w:sz w:val="22"/>
          <w:szCs w:val="22"/>
        </w:rPr>
        <w:lastRenderedPageBreak/>
        <w:t>remita a la Corte en consulta algún proyecto de Ley por parte de la Asamblea Legislativa que implique cambios de competencias, o traslados de una oficina a otra (como en este caso propone la Ley 9747 en donde algunas competencias actuales del Tribunal de Familia se trasladan a la Sala Segunda) sea analizado no solo a nivel jurídico por el impacto legal, sino también en las estructuras organizacionales y en la expectativa del cual va a ser la mejoría en los tiempos de respuesta a la persona usuaria, y si las oficinas están en capacidad de atender la nueva carga de trabajo propuesta, incluso si la propuesta es incrementar la carga de trabajo de una Sala de la Corte (en donde no existe posibilidad salvo reforma constitucional de incrementar la capacidad operativa de las plazas de magistratura) cual sería el impacto o desmejora del servicio de aprobar un cambio así.</w:t>
      </w:r>
    </w:p>
    <w:p w14:paraId="698C725E" w14:textId="77777777" w:rsidR="00B15F7D" w:rsidRPr="00990FB6" w:rsidRDefault="00B15F7D" w:rsidP="00B15F7D">
      <w:pPr>
        <w:ind w:left="851" w:right="851" w:firstLine="709"/>
        <w:rPr>
          <w:sz w:val="22"/>
          <w:szCs w:val="22"/>
        </w:rPr>
      </w:pPr>
    </w:p>
    <w:p w14:paraId="4C0C80E0" w14:textId="77777777" w:rsidR="00B15F7D" w:rsidRPr="00990FB6" w:rsidRDefault="00B15F7D" w:rsidP="00B15F7D">
      <w:pPr>
        <w:ind w:left="851" w:right="851" w:firstLine="709"/>
        <w:jc w:val="both"/>
        <w:rPr>
          <w:sz w:val="22"/>
          <w:szCs w:val="22"/>
        </w:rPr>
      </w:pPr>
      <w:r w:rsidRPr="00990FB6">
        <w:rPr>
          <w:sz w:val="22"/>
          <w:szCs w:val="22"/>
        </w:rPr>
        <w:t xml:space="preserve">Esta Dirección reitera su preocupación, y no considera adecuado que nuevamente a partir de la aprobación del CPF como ya paso anteriormente con las reformas al Código de Trabajo y al Procesal Civil,  </w:t>
      </w:r>
      <w:r w:rsidRPr="00990FB6">
        <w:rPr>
          <w:sz w:val="22"/>
          <w:szCs w:val="22"/>
          <w:u w:val="single"/>
        </w:rPr>
        <w:t>se trasladan nuevas competencias a esta Sala</w:t>
      </w:r>
      <w:r w:rsidRPr="00990FB6">
        <w:rPr>
          <w:sz w:val="22"/>
          <w:szCs w:val="22"/>
        </w:rPr>
        <w:t xml:space="preserve">, incluso la Ley 9747 surge a partir de un anteproyecto impulsado por el mismo Poder Judicial, en donde se están trasladando competencias del Tribunal de Familia con capacidad de asumir incluso nuevas competencias, hacia la Sala Segunda que desde 2017 está saturada, desde la aprobación de los nuevos cambios procesales. </w:t>
      </w:r>
      <w:bookmarkStart w:id="60" w:name="_Hlk128695325"/>
      <w:r w:rsidRPr="00990FB6">
        <w:rPr>
          <w:sz w:val="22"/>
          <w:szCs w:val="22"/>
        </w:rPr>
        <w:t>Para ello, ya la Dirección de Planificación mediante oficios 495-PLA-MI-2022, 969-PLA-2022 y 188-PLA-MI(NPL)-2023, comunicó a las Comisiones de Familia y Contra la Violencia Doméstica las propuestas de reforma legal identificadas</w:t>
      </w:r>
      <w:bookmarkEnd w:id="60"/>
      <w:r w:rsidRPr="00990FB6">
        <w:rPr>
          <w:sz w:val="22"/>
          <w:szCs w:val="22"/>
        </w:rPr>
        <w:t xml:space="preserve">. </w:t>
      </w:r>
    </w:p>
    <w:p w14:paraId="16B8ED77" w14:textId="77777777" w:rsidR="00B15F7D" w:rsidRPr="00990FB6" w:rsidRDefault="00B15F7D" w:rsidP="00B15F7D">
      <w:pPr>
        <w:ind w:left="851" w:right="851" w:firstLine="709"/>
        <w:jc w:val="both"/>
        <w:rPr>
          <w:sz w:val="22"/>
          <w:szCs w:val="22"/>
        </w:rPr>
      </w:pPr>
    </w:p>
    <w:p w14:paraId="4F7AAAC6" w14:textId="77777777" w:rsidR="00B15F7D" w:rsidRPr="00990FB6" w:rsidRDefault="00B15F7D" w:rsidP="00B15F7D">
      <w:pPr>
        <w:numPr>
          <w:ilvl w:val="1"/>
          <w:numId w:val="190"/>
        </w:numPr>
        <w:ind w:left="851" w:right="851" w:firstLine="709"/>
        <w:jc w:val="both"/>
        <w:rPr>
          <w:sz w:val="22"/>
          <w:szCs w:val="22"/>
        </w:rPr>
      </w:pPr>
      <w:bookmarkStart w:id="61" w:name="_Hlk128695408"/>
      <w:r w:rsidRPr="00990FB6">
        <w:rPr>
          <w:sz w:val="22"/>
          <w:szCs w:val="22"/>
        </w:rPr>
        <w:t>Reiterar la necesidad de la Dirección Jurídica en conjunto con la Comisión de Familia y la Comisión contra la Violencia Doméstica y la Sala Segunda, planteen una reforma legal al CPF, en lo que corresponde a las nuevas competencias que trasladan a la Sala Segunda para más bien mantenerlas en el Tribunal de Familia, así como al artículo 286 del CPF que a esta fecha no cuenta con reglamento para su ejecución, pese a las reiteradas solicitudes de la Dirección de Planificación y todas aquellas oportunidades de reforma que identifiquen y permitan correcta implementación de la Ley 9747 a partir del 1 de octubre 2024</w:t>
      </w:r>
      <w:bookmarkEnd w:id="61"/>
      <w:r w:rsidRPr="00990FB6">
        <w:rPr>
          <w:sz w:val="22"/>
          <w:szCs w:val="22"/>
        </w:rPr>
        <w:t xml:space="preserve">. </w:t>
      </w:r>
    </w:p>
    <w:p w14:paraId="2FF63EC7" w14:textId="77777777" w:rsidR="00B15F7D" w:rsidRPr="00990FB6" w:rsidRDefault="00B15F7D" w:rsidP="00B15F7D">
      <w:pPr>
        <w:ind w:left="1560" w:right="851"/>
        <w:jc w:val="both"/>
        <w:rPr>
          <w:sz w:val="22"/>
          <w:szCs w:val="22"/>
        </w:rPr>
      </w:pPr>
    </w:p>
    <w:p w14:paraId="14D331C3" w14:textId="77777777" w:rsidR="00B15F7D" w:rsidRPr="00990FB6" w:rsidRDefault="00B15F7D" w:rsidP="00B15F7D">
      <w:pPr>
        <w:numPr>
          <w:ilvl w:val="1"/>
          <w:numId w:val="190"/>
        </w:numPr>
        <w:ind w:left="851" w:right="851" w:firstLine="709"/>
        <w:jc w:val="both"/>
        <w:rPr>
          <w:sz w:val="22"/>
          <w:szCs w:val="22"/>
        </w:rPr>
      </w:pPr>
      <w:r w:rsidRPr="00990FB6">
        <w:rPr>
          <w:sz w:val="22"/>
          <w:szCs w:val="22"/>
        </w:rPr>
        <w:t xml:space="preserve">Tomar nota de que tal y 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propiamente, y por ende no lo considera la Dirección de Planificación en este estudio de impacto económico, por lo que de aprobarse en algún momento por el órgano superior pertinente deberán también considerar el impacto económico que ello signifique. </w:t>
      </w:r>
    </w:p>
    <w:p w14:paraId="0528B4AD" w14:textId="77777777" w:rsidR="00B15F7D" w:rsidRPr="00990FB6" w:rsidRDefault="00B15F7D" w:rsidP="00B15F7D">
      <w:pPr>
        <w:ind w:left="851" w:right="851" w:firstLine="709"/>
        <w:rPr>
          <w:sz w:val="22"/>
          <w:szCs w:val="22"/>
        </w:rPr>
      </w:pPr>
    </w:p>
    <w:p w14:paraId="05A7F21F" w14:textId="77777777" w:rsidR="00B15F7D" w:rsidRPr="00990FB6" w:rsidRDefault="00B15F7D" w:rsidP="00B15F7D">
      <w:pPr>
        <w:ind w:left="851" w:right="851" w:firstLine="709"/>
        <w:jc w:val="both"/>
        <w:rPr>
          <w:rFonts w:eastAsia="Calibri"/>
          <w:b/>
          <w:caps/>
          <w:sz w:val="22"/>
          <w:szCs w:val="22"/>
        </w:rPr>
      </w:pPr>
      <w:r w:rsidRPr="00990FB6">
        <w:rPr>
          <w:rFonts w:eastAsia="Calibri"/>
          <w:caps/>
          <w:sz w:val="22"/>
          <w:szCs w:val="22"/>
        </w:rPr>
        <w:lastRenderedPageBreak/>
        <w:t xml:space="preserve">Adicionalmente, en cuanto a las recomendaciones que se citan a continuación, es relevante destacar que algunas son reiteradas del 314-PLA-MI-RH-2022 denominado: “Impacto organizacional y presupuestario en el Poder Judicial a partir de la promulgación del Código Procesal de Familia para el 2023”, debido a que a la fecha no se tiene pronunciamiento concreto y conocimiento de que las mismas se estén atendiendo ´por los encargados, por tanto,  se mantienen pendientes algunos de los elementos y  se reiteran nuevamente: </w:t>
      </w:r>
    </w:p>
    <w:p w14:paraId="17003541" w14:textId="77777777" w:rsidR="00B15F7D" w:rsidRPr="00990FB6" w:rsidRDefault="00B15F7D" w:rsidP="00B15F7D">
      <w:pPr>
        <w:rPr>
          <w:sz w:val="22"/>
          <w:szCs w:val="22"/>
        </w:rPr>
      </w:pPr>
    </w:p>
    <w:p w14:paraId="7E07B59B" w14:textId="77777777" w:rsidR="00B15F7D" w:rsidRPr="00990FB6" w:rsidRDefault="00B15F7D" w:rsidP="00B15F7D">
      <w:pPr>
        <w:ind w:firstLine="708"/>
        <w:rPr>
          <w:rFonts w:eastAsia="MS PGothic"/>
          <w:b/>
          <w:bCs/>
          <w:sz w:val="22"/>
          <w:szCs w:val="22"/>
        </w:rPr>
      </w:pPr>
      <w:r w:rsidRPr="00990FB6">
        <w:rPr>
          <w:rFonts w:eastAsia="MS PGothic"/>
          <w:b/>
          <w:bCs/>
          <w:sz w:val="22"/>
          <w:szCs w:val="22"/>
        </w:rPr>
        <w:t>A la Comisión de la Jurisdicción Familia, Niñez y Adolescencia</w:t>
      </w:r>
    </w:p>
    <w:p w14:paraId="08CF07F4" w14:textId="77777777" w:rsidR="00B15F7D" w:rsidRPr="00990FB6" w:rsidRDefault="00B15F7D" w:rsidP="00B15F7D">
      <w:pPr>
        <w:ind w:left="1080"/>
        <w:jc w:val="both"/>
        <w:rPr>
          <w:rFonts w:eastAsia="Calibri"/>
          <w:sz w:val="22"/>
          <w:szCs w:val="22"/>
        </w:rPr>
      </w:pPr>
    </w:p>
    <w:p w14:paraId="0970CCDF"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La Comisión de la Jurisdicción Familia Niñez y Adolescencia debe velar por el cumplimiento y seguimiento de las recomendaciones planteadas en este informe y la atención del seguimiento por parte del CACMFJ para que se mantengan las recomendaciones emitidas a partir del cumplimiento de las acciones solicitadas por de las recomendaciones emitidas por la Contraloría General de la República, las cuales deben quedar documentadas y comunicadas a las partes involucradas.</w:t>
      </w:r>
    </w:p>
    <w:p w14:paraId="47704773" w14:textId="77777777" w:rsidR="00B15F7D" w:rsidRPr="00990FB6" w:rsidRDefault="00B15F7D" w:rsidP="00B15F7D">
      <w:pPr>
        <w:ind w:left="851" w:right="851" w:firstLine="709"/>
        <w:jc w:val="both"/>
        <w:rPr>
          <w:rFonts w:eastAsia="Calibri"/>
          <w:sz w:val="22"/>
          <w:szCs w:val="22"/>
        </w:rPr>
      </w:pPr>
    </w:p>
    <w:p w14:paraId="3971E8B6"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Deberá velar porque que se brinde seguimiento por parte del CACMFJ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1F9511A" w14:textId="77777777" w:rsidR="00B15F7D" w:rsidRPr="00990FB6" w:rsidRDefault="00B15F7D" w:rsidP="00B15F7D">
      <w:pPr>
        <w:ind w:left="851" w:right="851" w:firstLine="709"/>
        <w:jc w:val="both"/>
        <w:rPr>
          <w:rFonts w:eastAsia="Calibri"/>
          <w:sz w:val="22"/>
          <w:szCs w:val="22"/>
        </w:rPr>
      </w:pPr>
    </w:p>
    <w:p w14:paraId="34A93B1F"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Velar por el seguimiento al cumplimiento de las tareas a su cargo en coordinación también con la Comisión Permanente para el Seguimiento de la Atención y Prevención de la Violencia Intrafamiliar.</w:t>
      </w:r>
    </w:p>
    <w:p w14:paraId="5B4DE495" w14:textId="77777777" w:rsidR="00B15F7D" w:rsidRPr="00990FB6" w:rsidRDefault="00B15F7D" w:rsidP="00B15F7D">
      <w:pPr>
        <w:tabs>
          <w:tab w:val="left" w:pos="426"/>
        </w:tabs>
        <w:autoSpaceDE w:val="0"/>
        <w:autoSpaceDN w:val="0"/>
        <w:adjustRightInd w:val="0"/>
        <w:ind w:left="851" w:right="851" w:firstLine="709"/>
        <w:jc w:val="both"/>
        <w:rPr>
          <w:rFonts w:eastAsia="Calibri"/>
          <w:iCs/>
          <w:spacing w:val="-3"/>
          <w:sz w:val="22"/>
          <w:szCs w:val="22"/>
        </w:rPr>
      </w:pPr>
    </w:p>
    <w:p w14:paraId="56471D8A" w14:textId="77777777" w:rsidR="00B15F7D" w:rsidRPr="00990FB6" w:rsidRDefault="00B15F7D" w:rsidP="00B15F7D">
      <w:pPr>
        <w:tabs>
          <w:tab w:val="left" w:pos="426"/>
          <w:tab w:val="left" w:pos="1701"/>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 xml:space="preserve">Velar por el cumplimiento total de los entregables del proyecto 137-CF-P01 “implementación del Código Procesal de Familia” que aún no alcanzan el 100% de avance. </w:t>
      </w:r>
    </w:p>
    <w:p w14:paraId="0145292E" w14:textId="77777777" w:rsidR="00B15F7D" w:rsidRPr="00990FB6" w:rsidRDefault="00B15F7D" w:rsidP="00B15F7D">
      <w:pPr>
        <w:tabs>
          <w:tab w:val="left" w:pos="426"/>
          <w:tab w:val="left" w:pos="1701"/>
        </w:tabs>
        <w:autoSpaceDE w:val="0"/>
        <w:autoSpaceDN w:val="0"/>
        <w:adjustRightInd w:val="0"/>
        <w:ind w:left="851" w:right="851" w:firstLine="709"/>
        <w:jc w:val="both"/>
        <w:rPr>
          <w:rFonts w:eastAsia="Calibri"/>
          <w:iCs/>
          <w:spacing w:val="-3"/>
          <w:sz w:val="22"/>
          <w:szCs w:val="22"/>
        </w:rPr>
      </w:pPr>
    </w:p>
    <w:p w14:paraId="5549685B" w14:textId="77777777" w:rsidR="00B15F7D" w:rsidRPr="00990FB6" w:rsidRDefault="00B15F7D" w:rsidP="00B15F7D">
      <w:pPr>
        <w:tabs>
          <w:tab w:val="left" w:pos="426"/>
          <w:tab w:val="left" w:pos="1701"/>
        </w:tabs>
        <w:autoSpaceDE w:val="0"/>
        <w:autoSpaceDN w:val="0"/>
        <w:adjustRightInd w:val="0"/>
        <w:ind w:left="851" w:right="851" w:firstLine="709"/>
        <w:jc w:val="both"/>
        <w:rPr>
          <w:rFonts w:eastAsia="Calibri"/>
          <w:iCs/>
          <w:spacing w:val="-3"/>
          <w:sz w:val="22"/>
          <w:szCs w:val="22"/>
        </w:rPr>
      </w:pPr>
      <w:r w:rsidRPr="00990FB6">
        <w:rPr>
          <w:rFonts w:eastAsia="Calibri"/>
          <w:iCs/>
          <w:spacing w:val="-3"/>
          <w:sz w:val="22"/>
          <w:szCs w:val="22"/>
        </w:rPr>
        <w:t>Velar por el cumplimiento total de las tareas pendientes a su cargo según distintos informes de la Dirección de Planificación.</w:t>
      </w:r>
    </w:p>
    <w:p w14:paraId="7C35500F" w14:textId="77777777" w:rsidR="00B15F7D" w:rsidRPr="00990FB6" w:rsidRDefault="00B15F7D" w:rsidP="00B15F7D">
      <w:pPr>
        <w:tabs>
          <w:tab w:val="left" w:pos="426"/>
          <w:tab w:val="left" w:pos="1701"/>
        </w:tabs>
        <w:autoSpaceDE w:val="0"/>
        <w:autoSpaceDN w:val="0"/>
        <w:adjustRightInd w:val="0"/>
        <w:ind w:left="851" w:right="851" w:firstLine="709"/>
        <w:jc w:val="both"/>
        <w:rPr>
          <w:rFonts w:eastAsia="Calibri"/>
          <w:iCs/>
          <w:spacing w:val="-3"/>
          <w:sz w:val="22"/>
          <w:szCs w:val="22"/>
        </w:rPr>
      </w:pPr>
    </w:p>
    <w:p w14:paraId="244D556C" w14:textId="77777777" w:rsidR="00B15F7D" w:rsidRPr="00990FB6" w:rsidRDefault="00B15F7D" w:rsidP="00B15F7D">
      <w:pPr>
        <w:tabs>
          <w:tab w:val="left" w:pos="1701"/>
        </w:tabs>
        <w:ind w:left="851" w:right="851" w:firstLine="709"/>
        <w:jc w:val="both"/>
        <w:rPr>
          <w:rFonts w:eastAsia="Calibri"/>
          <w:b/>
          <w:caps/>
          <w:sz w:val="22"/>
          <w:szCs w:val="22"/>
        </w:rPr>
      </w:pPr>
      <w:r w:rsidRPr="00990FB6">
        <w:rPr>
          <w:rFonts w:eastAsia="Calibri"/>
          <w:caps/>
          <w:sz w:val="22"/>
          <w:szCs w:val="22"/>
        </w:rPr>
        <w:t xml:space="preserve">Emitir pronunciamiento y coordinar con los entes que corresponda la reglamentación del artículo 286 del CPF o su eventual propuesta de reforma legal. </w:t>
      </w:r>
    </w:p>
    <w:p w14:paraId="45D2E162" w14:textId="77777777" w:rsidR="00B15F7D" w:rsidRPr="00990FB6" w:rsidRDefault="00B15F7D" w:rsidP="00B15F7D">
      <w:pPr>
        <w:tabs>
          <w:tab w:val="left" w:pos="1701"/>
        </w:tabs>
        <w:ind w:left="851" w:right="851" w:firstLine="709"/>
        <w:jc w:val="both"/>
        <w:rPr>
          <w:rFonts w:eastAsia="Calibri"/>
          <w:caps/>
          <w:sz w:val="22"/>
          <w:szCs w:val="22"/>
        </w:rPr>
      </w:pPr>
    </w:p>
    <w:p w14:paraId="461D3B93" w14:textId="77777777" w:rsidR="00B15F7D" w:rsidRPr="00990FB6" w:rsidRDefault="00B15F7D" w:rsidP="00B15F7D">
      <w:pPr>
        <w:tabs>
          <w:tab w:val="left" w:pos="1701"/>
        </w:tabs>
        <w:ind w:left="851" w:right="851" w:firstLine="709"/>
        <w:jc w:val="both"/>
        <w:rPr>
          <w:rFonts w:eastAsia="Calibri"/>
          <w:b/>
          <w:caps/>
          <w:sz w:val="22"/>
          <w:szCs w:val="22"/>
        </w:rPr>
      </w:pPr>
      <w:r w:rsidRPr="00990FB6">
        <w:rPr>
          <w:rFonts w:eastAsia="Calibri"/>
          <w:caps/>
          <w:sz w:val="22"/>
          <w:szCs w:val="22"/>
        </w:rPr>
        <w:t xml:space="preserve">Coordinar </w:t>
      </w:r>
      <w:bookmarkStart w:id="62" w:name="_Hlk128695535"/>
      <w:r w:rsidRPr="00990FB6">
        <w:rPr>
          <w:rFonts w:eastAsia="Calibri"/>
          <w:caps/>
          <w:sz w:val="22"/>
          <w:szCs w:val="22"/>
        </w:rPr>
        <w:t xml:space="preserve">la redacción de los proyectos de Ley que corresponda para modificar la Ley 9747 previo a su entrada en funcionamiento.  </w:t>
      </w:r>
      <w:bookmarkEnd w:id="62"/>
    </w:p>
    <w:p w14:paraId="6A836179" w14:textId="77777777" w:rsidR="00B15F7D" w:rsidRPr="00990FB6" w:rsidRDefault="00B15F7D" w:rsidP="00B15F7D">
      <w:pPr>
        <w:tabs>
          <w:tab w:val="left" w:pos="426"/>
        </w:tabs>
        <w:autoSpaceDE w:val="0"/>
        <w:autoSpaceDN w:val="0"/>
        <w:adjustRightInd w:val="0"/>
        <w:ind w:left="360"/>
        <w:jc w:val="both"/>
        <w:rPr>
          <w:rFonts w:eastAsia="Calibri"/>
          <w:iCs/>
          <w:spacing w:val="-3"/>
          <w:sz w:val="22"/>
          <w:szCs w:val="22"/>
        </w:rPr>
      </w:pPr>
    </w:p>
    <w:p w14:paraId="4D3F4E73" w14:textId="77777777" w:rsidR="00B15F7D" w:rsidRPr="00990FB6" w:rsidRDefault="00B15F7D" w:rsidP="00B15F7D">
      <w:pPr>
        <w:ind w:left="708"/>
        <w:rPr>
          <w:rFonts w:eastAsia="MS PGothic"/>
          <w:b/>
          <w:bCs/>
          <w:sz w:val="22"/>
          <w:szCs w:val="22"/>
        </w:rPr>
      </w:pPr>
      <w:r w:rsidRPr="00990FB6">
        <w:rPr>
          <w:rFonts w:eastAsia="MS PGothic"/>
          <w:b/>
          <w:bCs/>
          <w:sz w:val="22"/>
          <w:szCs w:val="22"/>
        </w:rPr>
        <w:lastRenderedPageBreak/>
        <w:t xml:space="preserve">A la </w:t>
      </w:r>
      <w:bookmarkStart w:id="63" w:name="_Hlk65240192"/>
      <w:r w:rsidRPr="00990FB6">
        <w:rPr>
          <w:rFonts w:eastAsia="MS PGothic"/>
          <w:b/>
          <w:bCs/>
          <w:sz w:val="22"/>
          <w:szCs w:val="22"/>
        </w:rPr>
        <w:t>Comisión Permanente para el Seguimiento de la Atención y Prevención de la Violencia Intrafamiliar</w:t>
      </w:r>
      <w:bookmarkEnd w:id="63"/>
    </w:p>
    <w:p w14:paraId="10B17669" w14:textId="77777777" w:rsidR="00B15F7D" w:rsidRPr="00990FB6" w:rsidRDefault="00B15F7D" w:rsidP="00B15F7D">
      <w:pPr>
        <w:ind w:left="851" w:right="851" w:firstLine="709"/>
        <w:jc w:val="both"/>
        <w:rPr>
          <w:rFonts w:eastAsia="Calibri"/>
          <w:sz w:val="22"/>
          <w:szCs w:val="22"/>
        </w:rPr>
      </w:pPr>
    </w:p>
    <w:p w14:paraId="03184B74"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Deberá velar e impulsar que los despachos que atienden materia de Violencia Doméstica realicen la actualización de la información en los sistemas de información con que cuenta la Institución de forma que las consultas que se realicen brinden información certera así mismo que se dé cumplimiento a las recomendaciones emitidas en este informe y a las diferentes recomendaciones dadas por la Comisión, definición del Modelo de Oficina y documentadas a través de distintas circulares. </w:t>
      </w:r>
    </w:p>
    <w:p w14:paraId="5613422F" w14:textId="77777777" w:rsidR="00B15F7D" w:rsidRPr="00990FB6" w:rsidRDefault="00B15F7D" w:rsidP="00B15F7D">
      <w:pPr>
        <w:ind w:left="851" w:right="851" w:firstLine="709"/>
        <w:jc w:val="both"/>
        <w:rPr>
          <w:rFonts w:eastAsia="Calibri"/>
          <w:sz w:val="22"/>
          <w:szCs w:val="22"/>
        </w:rPr>
      </w:pPr>
    </w:p>
    <w:p w14:paraId="3BDEE2E3"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 xml:space="preserve">Circular 221-2021 </w:t>
      </w:r>
      <w:r w:rsidRPr="00990FB6">
        <w:rPr>
          <w:i/>
          <w:iCs/>
          <w:sz w:val="22"/>
          <w:szCs w:val="22"/>
        </w:rPr>
        <w:t>“Deber de solicitar autorización al Consejo Superior para realizar una modificación en la configuración del reparto”.</w:t>
      </w:r>
    </w:p>
    <w:p w14:paraId="70B2F8D3"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Circular 267-2021 “</w:t>
      </w:r>
      <w:r w:rsidRPr="00990FB6">
        <w:rPr>
          <w:i/>
          <w:iCs/>
          <w:sz w:val="22"/>
          <w:szCs w:val="22"/>
        </w:rPr>
        <w:t>Obligación de cumplir con la corrección de inconsistencias – aplicar el régimen disciplinario por su incumplimiento</w:t>
      </w:r>
      <w:r w:rsidRPr="00990FB6">
        <w:rPr>
          <w:sz w:val="22"/>
          <w:szCs w:val="22"/>
        </w:rPr>
        <w:t>”.</w:t>
      </w:r>
    </w:p>
    <w:p w14:paraId="1D00B91B" w14:textId="77777777" w:rsidR="00B15F7D" w:rsidRPr="00990FB6" w:rsidRDefault="00B15F7D" w:rsidP="00B15F7D">
      <w:pPr>
        <w:numPr>
          <w:ilvl w:val="0"/>
          <w:numId w:val="184"/>
        </w:numPr>
        <w:ind w:left="851" w:right="851" w:firstLine="709"/>
        <w:jc w:val="both"/>
        <w:rPr>
          <w:i/>
          <w:iCs/>
          <w:sz w:val="22"/>
          <w:szCs w:val="22"/>
        </w:rPr>
      </w:pPr>
      <w:r w:rsidRPr="00990FB6">
        <w:rPr>
          <w:sz w:val="22"/>
          <w:szCs w:val="22"/>
        </w:rPr>
        <w:t xml:space="preserve">Circular 110-20 </w:t>
      </w:r>
      <w:r w:rsidRPr="00990FB6">
        <w:rPr>
          <w:i/>
          <w:iCs/>
          <w:sz w:val="22"/>
          <w:szCs w:val="22"/>
        </w:rPr>
        <w:t>“Reiterar la Circular N 60-99 relacionado con las Reglas prácticas para facilitar la aplicación efectiva de la Ley contra la violencia doméstica”.</w:t>
      </w:r>
    </w:p>
    <w:p w14:paraId="3FC9FD6D"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 xml:space="preserve">Circular 234-2021 </w:t>
      </w:r>
      <w:r w:rsidRPr="00990FB6">
        <w:rPr>
          <w:i/>
          <w:iCs/>
          <w:sz w:val="22"/>
          <w:szCs w:val="22"/>
        </w:rPr>
        <w:t>“Que es sentencia en materia de Violencia Doméstica uso y seguimiento a la información registrada en el reporte de pase a fallo”.</w:t>
      </w:r>
    </w:p>
    <w:p w14:paraId="430C166A"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 xml:space="preserve">Circular 266-2021 </w:t>
      </w:r>
      <w:r w:rsidRPr="00990FB6">
        <w:rPr>
          <w:i/>
          <w:iCs/>
          <w:sz w:val="22"/>
          <w:szCs w:val="22"/>
        </w:rPr>
        <w:t>“Deber de notificar personalmente el auto que otorga medidas la Circular No. 50-2021 específicamente en el punto 1.3”.</w:t>
      </w:r>
    </w:p>
    <w:p w14:paraId="41C4B5DA"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 xml:space="preserve">Circular </w:t>
      </w:r>
      <w:bookmarkStart w:id="64" w:name="_Hlk128696475"/>
      <w:r w:rsidRPr="00990FB6">
        <w:rPr>
          <w:sz w:val="22"/>
          <w:szCs w:val="22"/>
        </w:rPr>
        <w:t>53-2022 “Inclusión de prioridades para casos denominados CLAIS (Comité Local para la Atención Inmediata y Seguimiento de casos de alto riesgo por violencia contra la mujer) en los despachos que atienden Violencia Doméstica.</w:t>
      </w:r>
    </w:p>
    <w:bookmarkEnd w:id="64"/>
    <w:p w14:paraId="328141C4" w14:textId="77777777" w:rsidR="00B15F7D" w:rsidRPr="00990FB6" w:rsidRDefault="00B15F7D" w:rsidP="00B15F7D">
      <w:pPr>
        <w:ind w:left="851" w:right="851" w:firstLine="709"/>
        <w:jc w:val="both"/>
        <w:rPr>
          <w:rFonts w:eastAsia="Calibri"/>
          <w:sz w:val="22"/>
          <w:szCs w:val="22"/>
        </w:rPr>
      </w:pPr>
    </w:p>
    <w:p w14:paraId="23C4C051" w14:textId="77777777" w:rsidR="00B15F7D" w:rsidRPr="00990FB6" w:rsidRDefault="00B15F7D" w:rsidP="00B15F7D">
      <w:pPr>
        <w:ind w:left="851" w:right="851" w:firstLine="709"/>
        <w:rPr>
          <w:rFonts w:eastAsia="MS PGothic"/>
          <w:b/>
          <w:bCs/>
          <w:sz w:val="22"/>
          <w:szCs w:val="22"/>
        </w:rPr>
      </w:pPr>
      <w:r w:rsidRPr="00990FB6">
        <w:rPr>
          <w:rFonts w:eastAsia="MS PGothic"/>
          <w:b/>
          <w:bCs/>
          <w:sz w:val="22"/>
          <w:szCs w:val="22"/>
        </w:rPr>
        <w:t>A la Dirección de Gestión Humana</w:t>
      </w:r>
    </w:p>
    <w:p w14:paraId="4E129B2C" w14:textId="77777777" w:rsidR="00B15F7D" w:rsidRPr="00990FB6" w:rsidRDefault="00B15F7D" w:rsidP="00B15F7D">
      <w:pPr>
        <w:widowControl w:val="0"/>
        <w:ind w:left="851" w:right="851" w:firstLine="709"/>
        <w:jc w:val="both"/>
        <w:rPr>
          <w:rFonts w:eastAsia="Calibri"/>
          <w:sz w:val="22"/>
          <w:szCs w:val="22"/>
        </w:rPr>
      </w:pPr>
    </w:p>
    <w:p w14:paraId="3AD7C638" w14:textId="77777777" w:rsidR="00B15F7D" w:rsidRPr="00990FB6" w:rsidRDefault="00B15F7D" w:rsidP="00B15F7D">
      <w:pPr>
        <w:widowControl w:val="0"/>
        <w:ind w:left="851" w:right="851" w:firstLine="709"/>
        <w:jc w:val="both"/>
        <w:rPr>
          <w:rFonts w:eastAsia="Calibri"/>
          <w:sz w:val="22"/>
          <w:szCs w:val="22"/>
          <w:lang w:eastAsia="es-CR"/>
        </w:rPr>
      </w:pPr>
      <w:r w:rsidRPr="00990FB6">
        <w:rPr>
          <w:rFonts w:eastAsia="Calibri"/>
          <w:sz w:val="22"/>
          <w:szCs w:val="22"/>
        </w:rPr>
        <w:t>Dar cumplimiento las tareas que aún no alcanzan el 100% dentro del Proyecto 1374-CF-P01</w:t>
      </w:r>
      <w:r w:rsidRPr="00990FB6">
        <w:rPr>
          <w:rFonts w:eastAsia="Calibri"/>
          <w:i/>
          <w:iCs/>
          <w:sz w:val="22"/>
          <w:szCs w:val="22"/>
        </w:rPr>
        <w:t xml:space="preserve"> “Implementación del Código Procesal de Familia” </w:t>
      </w:r>
      <w:r w:rsidRPr="00990FB6">
        <w:rPr>
          <w:rFonts w:eastAsia="Calibri"/>
          <w:sz w:val="22"/>
          <w:szCs w:val="22"/>
          <w:lang w:eastAsia="es-CR"/>
        </w:rPr>
        <w:t xml:space="preserve">y remitir el entregable correspondiente conforme al cronograma y metodología de proyectos institucional en coordinación con el Juez Gestor en la materia y la Comisión de Familia, Niñez y Adolescencia. </w:t>
      </w:r>
    </w:p>
    <w:p w14:paraId="02DC2704" w14:textId="77777777" w:rsidR="00B15F7D" w:rsidRPr="00990FB6" w:rsidRDefault="00B15F7D" w:rsidP="00B15F7D">
      <w:pPr>
        <w:widowControl w:val="0"/>
        <w:ind w:left="1080"/>
        <w:jc w:val="both"/>
        <w:rPr>
          <w:rFonts w:eastAsia="Calibri"/>
          <w:sz w:val="22"/>
          <w:szCs w:val="22"/>
          <w:lang w:eastAsia="es-CR"/>
        </w:rPr>
      </w:pPr>
    </w:p>
    <w:tbl>
      <w:tblPr>
        <w:tblW w:w="5000" w:type="pct"/>
        <w:jc w:val="center"/>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3586"/>
        <w:gridCol w:w="967"/>
        <w:gridCol w:w="1205"/>
        <w:gridCol w:w="1089"/>
        <w:gridCol w:w="1507"/>
      </w:tblGrid>
      <w:tr w:rsidR="00B15F7D" w:rsidRPr="00990FB6" w14:paraId="0790EC6E"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D181AB" w14:textId="77777777" w:rsidR="00B15F7D" w:rsidRPr="00990FB6" w:rsidRDefault="00B15F7D" w:rsidP="00B15F7D">
            <w:pPr>
              <w:rPr>
                <w:sz w:val="22"/>
                <w:szCs w:val="22"/>
                <w:lang w:eastAsia="es-CR"/>
              </w:rPr>
            </w:pPr>
            <w:r w:rsidRPr="00990FB6">
              <w:rPr>
                <w:sz w:val="22"/>
                <w:szCs w:val="22"/>
                <w:shd w:val="clear" w:color="auto" w:fill="DFE3E8"/>
                <w:lang w:eastAsia="es-CR"/>
              </w:rPr>
              <w:t>Nombre de tarea</w:t>
            </w:r>
          </w:p>
        </w:tc>
        <w:tc>
          <w:tcPr>
            <w:tcW w:w="579"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A686653" w14:textId="77777777" w:rsidR="00B15F7D" w:rsidRPr="00990FB6" w:rsidRDefault="00B15F7D" w:rsidP="00B15F7D">
            <w:pPr>
              <w:rPr>
                <w:sz w:val="22"/>
                <w:szCs w:val="22"/>
                <w:lang w:eastAsia="es-CR"/>
              </w:rPr>
            </w:pPr>
            <w:r w:rsidRPr="00990FB6">
              <w:rPr>
                <w:sz w:val="22"/>
                <w:szCs w:val="22"/>
                <w:shd w:val="clear" w:color="auto" w:fill="DFE3E8"/>
                <w:lang w:eastAsia="es-CR"/>
              </w:rPr>
              <w:t>Duración</w:t>
            </w:r>
          </w:p>
        </w:tc>
        <w:tc>
          <w:tcPr>
            <w:tcW w:w="721"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A4988" w14:textId="77777777" w:rsidR="00B15F7D" w:rsidRPr="00990FB6" w:rsidRDefault="00B15F7D" w:rsidP="00B15F7D">
            <w:pPr>
              <w:rPr>
                <w:sz w:val="22"/>
                <w:szCs w:val="22"/>
                <w:lang w:eastAsia="es-CR"/>
              </w:rPr>
            </w:pPr>
            <w:r w:rsidRPr="00990FB6">
              <w:rPr>
                <w:sz w:val="22"/>
                <w:szCs w:val="22"/>
                <w:shd w:val="clear" w:color="auto" w:fill="DFE3E8"/>
                <w:lang w:eastAsia="es-CR"/>
              </w:rPr>
              <w:t>Comienzo</w:t>
            </w:r>
          </w:p>
        </w:tc>
        <w:tc>
          <w:tcPr>
            <w:tcW w:w="652"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B53B5E8" w14:textId="77777777" w:rsidR="00B15F7D" w:rsidRPr="00990FB6" w:rsidRDefault="00B15F7D" w:rsidP="00B15F7D">
            <w:pPr>
              <w:rPr>
                <w:sz w:val="22"/>
                <w:szCs w:val="22"/>
                <w:lang w:eastAsia="es-CR"/>
              </w:rPr>
            </w:pPr>
            <w:r w:rsidRPr="00990FB6">
              <w:rPr>
                <w:sz w:val="22"/>
                <w:szCs w:val="22"/>
                <w:shd w:val="clear" w:color="auto" w:fill="DFE3E8"/>
                <w:lang w:eastAsia="es-CR"/>
              </w:rPr>
              <w:t>Fin</w:t>
            </w:r>
          </w:p>
        </w:tc>
        <w:tc>
          <w:tcPr>
            <w:tcW w:w="902"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5765467" w14:textId="77777777" w:rsidR="00B15F7D" w:rsidRPr="00990FB6" w:rsidRDefault="00B15F7D" w:rsidP="00B15F7D">
            <w:pPr>
              <w:rPr>
                <w:sz w:val="22"/>
                <w:szCs w:val="22"/>
                <w:lang w:eastAsia="es-CR"/>
              </w:rPr>
            </w:pPr>
            <w:r w:rsidRPr="00990FB6">
              <w:rPr>
                <w:sz w:val="22"/>
                <w:szCs w:val="22"/>
                <w:shd w:val="clear" w:color="auto" w:fill="DFE3E8"/>
                <w:lang w:eastAsia="es-CR"/>
              </w:rPr>
              <w:t>% completado</w:t>
            </w:r>
          </w:p>
        </w:tc>
      </w:tr>
      <w:tr w:rsidR="00B15F7D" w:rsidRPr="00990FB6" w14:paraId="4CBEF3F2"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CAF8D9" w14:textId="77777777" w:rsidR="00B15F7D" w:rsidRPr="00990FB6" w:rsidRDefault="00B15F7D" w:rsidP="00B15F7D">
            <w:pPr>
              <w:rPr>
                <w:sz w:val="22"/>
                <w:szCs w:val="22"/>
                <w:lang w:eastAsia="es-CR"/>
              </w:rPr>
            </w:pPr>
            <w:r w:rsidRPr="00990FB6">
              <w:rPr>
                <w:b/>
                <w:bCs/>
                <w:sz w:val="22"/>
                <w:szCs w:val="22"/>
                <w:lang w:eastAsia="es-CR"/>
              </w:rPr>
              <w:t>3.10. Informe de readecuación perfiles y gestión del cambio y evaluación DGH</w:t>
            </w:r>
          </w:p>
        </w:tc>
        <w:tc>
          <w:tcPr>
            <w:tcW w:w="579"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B98236" w14:textId="77777777" w:rsidR="00B15F7D" w:rsidRPr="00990FB6" w:rsidRDefault="00B15F7D" w:rsidP="00B15F7D">
            <w:pPr>
              <w:rPr>
                <w:sz w:val="22"/>
                <w:szCs w:val="22"/>
                <w:lang w:eastAsia="es-CR"/>
              </w:rPr>
            </w:pPr>
            <w:r w:rsidRPr="00990FB6">
              <w:rPr>
                <w:b/>
                <w:bCs/>
                <w:sz w:val="22"/>
                <w:szCs w:val="22"/>
                <w:lang w:eastAsia="es-CR"/>
              </w:rPr>
              <w:t>782 días</w:t>
            </w:r>
          </w:p>
        </w:tc>
        <w:tc>
          <w:tcPr>
            <w:tcW w:w="72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C5223E" w14:textId="77777777" w:rsidR="00B15F7D" w:rsidRPr="00990FB6" w:rsidRDefault="00B15F7D" w:rsidP="00B15F7D">
            <w:pPr>
              <w:rPr>
                <w:sz w:val="22"/>
                <w:szCs w:val="22"/>
                <w:lang w:eastAsia="es-CR"/>
              </w:rPr>
            </w:pPr>
            <w:r w:rsidRPr="00990FB6">
              <w:rPr>
                <w:b/>
                <w:bCs/>
                <w:sz w:val="22"/>
                <w:szCs w:val="22"/>
                <w:lang w:eastAsia="es-CR"/>
              </w:rPr>
              <w:t>lun 13/1/20</w:t>
            </w:r>
          </w:p>
        </w:tc>
        <w:tc>
          <w:tcPr>
            <w:tcW w:w="65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BF6915" w14:textId="77777777" w:rsidR="00B15F7D" w:rsidRPr="00990FB6" w:rsidRDefault="00B15F7D" w:rsidP="00B15F7D">
            <w:pPr>
              <w:rPr>
                <w:sz w:val="22"/>
                <w:szCs w:val="22"/>
                <w:lang w:eastAsia="es-CR"/>
              </w:rPr>
            </w:pPr>
            <w:r w:rsidRPr="00990FB6">
              <w:rPr>
                <w:b/>
                <w:bCs/>
                <w:sz w:val="22"/>
                <w:szCs w:val="22"/>
                <w:lang w:eastAsia="es-CR"/>
              </w:rPr>
              <w:t>jue 13/4/23</w:t>
            </w:r>
          </w:p>
        </w:tc>
        <w:tc>
          <w:tcPr>
            <w:tcW w:w="90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2F2C30" w14:textId="77777777" w:rsidR="00B15F7D" w:rsidRPr="00990FB6" w:rsidRDefault="00B15F7D" w:rsidP="00B15F7D">
            <w:pPr>
              <w:rPr>
                <w:sz w:val="22"/>
                <w:szCs w:val="22"/>
                <w:lang w:eastAsia="es-CR"/>
              </w:rPr>
            </w:pPr>
            <w:r w:rsidRPr="00990FB6">
              <w:rPr>
                <w:b/>
                <w:bCs/>
                <w:sz w:val="22"/>
                <w:szCs w:val="22"/>
                <w:lang w:eastAsia="es-CR"/>
              </w:rPr>
              <w:t>94%</w:t>
            </w:r>
          </w:p>
        </w:tc>
      </w:tr>
      <w:tr w:rsidR="00B15F7D" w:rsidRPr="00990FB6" w14:paraId="315DC655"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A161D4" w14:textId="77777777" w:rsidR="00B15F7D" w:rsidRPr="00990FB6" w:rsidRDefault="00B15F7D" w:rsidP="00B15F7D">
            <w:pPr>
              <w:rPr>
                <w:sz w:val="22"/>
                <w:szCs w:val="22"/>
                <w:lang w:eastAsia="es-CR"/>
              </w:rPr>
            </w:pPr>
            <w:r w:rsidRPr="00990FB6">
              <w:rPr>
                <w:sz w:val="22"/>
                <w:szCs w:val="22"/>
                <w:lang w:eastAsia="es-CR"/>
              </w:rPr>
              <w:t xml:space="preserve">   Diseño de Perfiles </w:t>
            </w:r>
          </w:p>
        </w:tc>
        <w:tc>
          <w:tcPr>
            <w:tcW w:w="579"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32F6D4" w14:textId="77777777" w:rsidR="00B15F7D" w:rsidRPr="00990FB6" w:rsidRDefault="00B15F7D" w:rsidP="00B15F7D">
            <w:pPr>
              <w:rPr>
                <w:sz w:val="22"/>
                <w:szCs w:val="22"/>
                <w:lang w:eastAsia="es-CR"/>
              </w:rPr>
            </w:pPr>
            <w:r w:rsidRPr="00990FB6">
              <w:rPr>
                <w:sz w:val="22"/>
                <w:szCs w:val="22"/>
                <w:lang w:eastAsia="es-CR"/>
              </w:rPr>
              <w:t>441 días</w:t>
            </w:r>
          </w:p>
        </w:tc>
        <w:tc>
          <w:tcPr>
            <w:tcW w:w="72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3403AD" w14:textId="77777777" w:rsidR="00B15F7D" w:rsidRPr="00990FB6" w:rsidRDefault="00B15F7D" w:rsidP="00B15F7D">
            <w:pPr>
              <w:rPr>
                <w:sz w:val="22"/>
                <w:szCs w:val="22"/>
                <w:lang w:eastAsia="es-CR"/>
              </w:rPr>
            </w:pPr>
            <w:r w:rsidRPr="00990FB6">
              <w:rPr>
                <w:sz w:val="22"/>
                <w:szCs w:val="22"/>
                <w:lang w:eastAsia="es-CR"/>
              </w:rPr>
              <w:t>lun 13/1/20</w:t>
            </w:r>
          </w:p>
        </w:tc>
        <w:tc>
          <w:tcPr>
            <w:tcW w:w="65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7DC377" w14:textId="77777777" w:rsidR="00B15F7D" w:rsidRPr="00990FB6" w:rsidRDefault="00B15F7D" w:rsidP="00B15F7D">
            <w:pPr>
              <w:rPr>
                <w:sz w:val="22"/>
                <w:szCs w:val="22"/>
                <w:lang w:eastAsia="es-CR"/>
              </w:rPr>
            </w:pPr>
            <w:r w:rsidRPr="00990FB6">
              <w:rPr>
                <w:sz w:val="22"/>
                <w:szCs w:val="22"/>
                <w:lang w:eastAsia="es-CR"/>
              </w:rPr>
              <w:t>vie 29/10/21</w:t>
            </w:r>
          </w:p>
        </w:tc>
        <w:tc>
          <w:tcPr>
            <w:tcW w:w="90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C067E0" w14:textId="77777777" w:rsidR="00B15F7D" w:rsidRPr="00990FB6" w:rsidRDefault="00B15F7D" w:rsidP="00B15F7D">
            <w:pPr>
              <w:rPr>
                <w:sz w:val="22"/>
                <w:szCs w:val="22"/>
                <w:lang w:eastAsia="es-CR"/>
              </w:rPr>
            </w:pPr>
            <w:r w:rsidRPr="00990FB6">
              <w:rPr>
                <w:sz w:val="22"/>
                <w:szCs w:val="22"/>
                <w:lang w:eastAsia="es-CR"/>
              </w:rPr>
              <w:t>100%</w:t>
            </w:r>
          </w:p>
        </w:tc>
      </w:tr>
      <w:tr w:rsidR="00B15F7D" w:rsidRPr="00990FB6" w14:paraId="5F003CF7"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8E6911" w14:textId="77777777" w:rsidR="00B15F7D" w:rsidRPr="00990FB6" w:rsidRDefault="00B15F7D" w:rsidP="00B15F7D">
            <w:pPr>
              <w:rPr>
                <w:sz w:val="22"/>
                <w:szCs w:val="22"/>
                <w:lang w:eastAsia="es-CR"/>
              </w:rPr>
            </w:pPr>
            <w:r w:rsidRPr="00990FB6">
              <w:rPr>
                <w:sz w:val="22"/>
                <w:szCs w:val="22"/>
                <w:lang w:eastAsia="es-CR"/>
              </w:rPr>
              <w:t xml:space="preserve">   Preparación para el cambio</w:t>
            </w:r>
          </w:p>
        </w:tc>
        <w:tc>
          <w:tcPr>
            <w:tcW w:w="579"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61A83C" w14:textId="77777777" w:rsidR="00B15F7D" w:rsidRPr="00990FB6" w:rsidRDefault="00B15F7D" w:rsidP="00B15F7D">
            <w:pPr>
              <w:rPr>
                <w:sz w:val="22"/>
                <w:szCs w:val="22"/>
                <w:lang w:eastAsia="es-CR"/>
              </w:rPr>
            </w:pPr>
            <w:r w:rsidRPr="00990FB6">
              <w:rPr>
                <w:sz w:val="22"/>
                <w:szCs w:val="22"/>
                <w:lang w:eastAsia="es-CR"/>
              </w:rPr>
              <w:t>100 días</w:t>
            </w:r>
          </w:p>
        </w:tc>
        <w:tc>
          <w:tcPr>
            <w:tcW w:w="72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7FF7C4" w14:textId="77777777" w:rsidR="00B15F7D" w:rsidRPr="00990FB6" w:rsidRDefault="00B15F7D" w:rsidP="00B15F7D">
            <w:pPr>
              <w:rPr>
                <w:sz w:val="22"/>
                <w:szCs w:val="22"/>
                <w:lang w:eastAsia="es-CR"/>
              </w:rPr>
            </w:pPr>
            <w:r w:rsidRPr="00990FB6">
              <w:rPr>
                <w:sz w:val="22"/>
                <w:szCs w:val="22"/>
                <w:lang w:eastAsia="es-CR"/>
              </w:rPr>
              <w:t>lun 13/4/20</w:t>
            </w:r>
          </w:p>
        </w:tc>
        <w:tc>
          <w:tcPr>
            <w:tcW w:w="65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50D852" w14:textId="77777777" w:rsidR="00B15F7D" w:rsidRPr="00990FB6" w:rsidRDefault="00B15F7D" w:rsidP="00B15F7D">
            <w:pPr>
              <w:rPr>
                <w:sz w:val="22"/>
                <w:szCs w:val="22"/>
                <w:lang w:eastAsia="es-CR"/>
              </w:rPr>
            </w:pPr>
            <w:r w:rsidRPr="00990FB6">
              <w:rPr>
                <w:sz w:val="22"/>
                <w:szCs w:val="22"/>
                <w:lang w:eastAsia="es-CR"/>
              </w:rPr>
              <w:t>lun 31/8/20</w:t>
            </w:r>
          </w:p>
        </w:tc>
        <w:tc>
          <w:tcPr>
            <w:tcW w:w="90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878B86" w14:textId="77777777" w:rsidR="00B15F7D" w:rsidRPr="00990FB6" w:rsidRDefault="00B15F7D" w:rsidP="00B15F7D">
            <w:pPr>
              <w:rPr>
                <w:sz w:val="22"/>
                <w:szCs w:val="22"/>
                <w:lang w:eastAsia="es-CR"/>
              </w:rPr>
            </w:pPr>
            <w:r w:rsidRPr="00990FB6">
              <w:rPr>
                <w:sz w:val="22"/>
                <w:szCs w:val="22"/>
                <w:lang w:eastAsia="es-CR"/>
              </w:rPr>
              <w:t>100%</w:t>
            </w:r>
          </w:p>
        </w:tc>
      </w:tr>
      <w:tr w:rsidR="00B15F7D" w:rsidRPr="00990FB6" w14:paraId="216C664C"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2FACCB" w14:textId="77777777" w:rsidR="00B15F7D" w:rsidRPr="00990FB6" w:rsidRDefault="00B15F7D" w:rsidP="00B15F7D">
            <w:pPr>
              <w:rPr>
                <w:sz w:val="22"/>
                <w:szCs w:val="22"/>
                <w:lang w:eastAsia="es-CR"/>
              </w:rPr>
            </w:pPr>
            <w:r w:rsidRPr="00990FB6">
              <w:rPr>
                <w:sz w:val="22"/>
                <w:szCs w:val="22"/>
                <w:lang w:eastAsia="es-CR"/>
              </w:rPr>
              <w:lastRenderedPageBreak/>
              <w:t xml:space="preserve">   Diseño de estrategia de abordaje de Ambiente Laboral</w:t>
            </w:r>
          </w:p>
        </w:tc>
        <w:tc>
          <w:tcPr>
            <w:tcW w:w="579"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04B226" w14:textId="77777777" w:rsidR="00B15F7D" w:rsidRPr="00990FB6" w:rsidRDefault="00B15F7D" w:rsidP="00B15F7D">
            <w:pPr>
              <w:rPr>
                <w:sz w:val="22"/>
                <w:szCs w:val="22"/>
                <w:lang w:eastAsia="es-CR"/>
              </w:rPr>
            </w:pPr>
            <w:r w:rsidRPr="00990FB6">
              <w:rPr>
                <w:sz w:val="22"/>
                <w:szCs w:val="22"/>
                <w:lang w:eastAsia="es-CR"/>
              </w:rPr>
              <w:t>30 días</w:t>
            </w:r>
          </w:p>
        </w:tc>
        <w:tc>
          <w:tcPr>
            <w:tcW w:w="72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3343CE" w14:textId="77777777" w:rsidR="00B15F7D" w:rsidRPr="00990FB6" w:rsidRDefault="00B15F7D" w:rsidP="00B15F7D">
            <w:pPr>
              <w:rPr>
                <w:sz w:val="22"/>
                <w:szCs w:val="22"/>
                <w:lang w:eastAsia="es-CR"/>
              </w:rPr>
            </w:pPr>
            <w:r w:rsidRPr="00990FB6">
              <w:rPr>
                <w:sz w:val="22"/>
                <w:szCs w:val="22"/>
                <w:lang w:eastAsia="es-CR"/>
              </w:rPr>
              <w:t>lun 1/11/21</w:t>
            </w:r>
          </w:p>
        </w:tc>
        <w:tc>
          <w:tcPr>
            <w:tcW w:w="65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BD142B" w14:textId="77777777" w:rsidR="00B15F7D" w:rsidRPr="00990FB6" w:rsidRDefault="00B15F7D" w:rsidP="00B15F7D">
            <w:pPr>
              <w:rPr>
                <w:sz w:val="22"/>
                <w:szCs w:val="22"/>
                <w:lang w:eastAsia="es-CR"/>
              </w:rPr>
            </w:pPr>
            <w:r w:rsidRPr="00990FB6">
              <w:rPr>
                <w:sz w:val="22"/>
                <w:szCs w:val="22"/>
                <w:lang w:eastAsia="es-CR"/>
              </w:rPr>
              <w:t>mar 14/12/21</w:t>
            </w:r>
          </w:p>
        </w:tc>
        <w:tc>
          <w:tcPr>
            <w:tcW w:w="90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BBA9C3" w14:textId="77777777" w:rsidR="00B15F7D" w:rsidRPr="00990FB6" w:rsidRDefault="00B15F7D" w:rsidP="00B15F7D">
            <w:pPr>
              <w:rPr>
                <w:sz w:val="22"/>
                <w:szCs w:val="22"/>
                <w:lang w:eastAsia="es-CR"/>
              </w:rPr>
            </w:pPr>
            <w:r w:rsidRPr="00990FB6">
              <w:rPr>
                <w:sz w:val="22"/>
                <w:szCs w:val="22"/>
                <w:lang w:eastAsia="es-CR"/>
              </w:rPr>
              <w:t>100%</w:t>
            </w:r>
          </w:p>
        </w:tc>
      </w:tr>
      <w:tr w:rsidR="00B15F7D" w:rsidRPr="00990FB6" w14:paraId="5B3FF467"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9D3DE3" w14:textId="77777777" w:rsidR="00B15F7D" w:rsidRPr="00990FB6" w:rsidRDefault="00B15F7D" w:rsidP="00B15F7D">
            <w:pPr>
              <w:rPr>
                <w:sz w:val="22"/>
                <w:szCs w:val="22"/>
                <w:lang w:eastAsia="es-CR"/>
              </w:rPr>
            </w:pPr>
            <w:r w:rsidRPr="00990FB6">
              <w:rPr>
                <w:sz w:val="22"/>
                <w:szCs w:val="22"/>
                <w:lang w:eastAsia="es-CR"/>
              </w:rPr>
              <w:t xml:space="preserve">   Actualización de temario y elaboración del material de evaluación Juez 3 y 4</w:t>
            </w:r>
          </w:p>
        </w:tc>
        <w:tc>
          <w:tcPr>
            <w:tcW w:w="579"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5C03DB" w14:textId="77777777" w:rsidR="00B15F7D" w:rsidRPr="00990FB6" w:rsidRDefault="00B15F7D" w:rsidP="00B15F7D">
            <w:pPr>
              <w:rPr>
                <w:sz w:val="22"/>
                <w:szCs w:val="22"/>
                <w:lang w:eastAsia="es-CR"/>
              </w:rPr>
            </w:pPr>
            <w:r w:rsidRPr="00990FB6">
              <w:rPr>
                <w:sz w:val="22"/>
                <w:szCs w:val="22"/>
                <w:lang w:eastAsia="es-CR"/>
              </w:rPr>
              <w:t>283 días</w:t>
            </w:r>
          </w:p>
        </w:tc>
        <w:tc>
          <w:tcPr>
            <w:tcW w:w="72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0CD2F6" w14:textId="77777777" w:rsidR="00B15F7D" w:rsidRPr="00990FB6" w:rsidRDefault="00B15F7D" w:rsidP="00B15F7D">
            <w:pPr>
              <w:rPr>
                <w:sz w:val="22"/>
                <w:szCs w:val="22"/>
                <w:lang w:eastAsia="es-CR"/>
              </w:rPr>
            </w:pPr>
            <w:r w:rsidRPr="00990FB6">
              <w:rPr>
                <w:sz w:val="22"/>
                <w:szCs w:val="22"/>
                <w:lang w:eastAsia="es-CR"/>
              </w:rPr>
              <w:t>lun 10/5/21</w:t>
            </w:r>
          </w:p>
        </w:tc>
        <w:tc>
          <w:tcPr>
            <w:tcW w:w="65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05D826" w14:textId="77777777" w:rsidR="00B15F7D" w:rsidRPr="00990FB6" w:rsidRDefault="00B15F7D" w:rsidP="00B15F7D">
            <w:pPr>
              <w:rPr>
                <w:sz w:val="22"/>
                <w:szCs w:val="22"/>
                <w:lang w:eastAsia="es-CR"/>
              </w:rPr>
            </w:pPr>
            <w:proofErr w:type="spellStart"/>
            <w:r w:rsidRPr="00990FB6">
              <w:rPr>
                <w:sz w:val="22"/>
                <w:szCs w:val="22"/>
                <w:lang w:eastAsia="es-CR"/>
              </w:rPr>
              <w:t>mié</w:t>
            </w:r>
            <w:proofErr w:type="spellEnd"/>
            <w:r w:rsidRPr="00990FB6">
              <w:rPr>
                <w:sz w:val="22"/>
                <w:szCs w:val="22"/>
                <w:lang w:eastAsia="es-CR"/>
              </w:rPr>
              <w:t xml:space="preserve"> 6/7/22</w:t>
            </w:r>
          </w:p>
        </w:tc>
        <w:tc>
          <w:tcPr>
            <w:tcW w:w="90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41E6CB" w14:textId="77777777" w:rsidR="00B15F7D" w:rsidRPr="00990FB6" w:rsidRDefault="00B15F7D" w:rsidP="00B15F7D">
            <w:pPr>
              <w:rPr>
                <w:sz w:val="22"/>
                <w:szCs w:val="22"/>
                <w:lang w:eastAsia="es-CR"/>
              </w:rPr>
            </w:pPr>
            <w:r w:rsidRPr="00990FB6">
              <w:rPr>
                <w:sz w:val="22"/>
                <w:szCs w:val="22"/>
                <w:lang w:eastAsia="es-CR"/>
              </w:rPr>
              <w:t>100%</w:t>
            </w:r>
          </w:p>
        </w:tc>
      </w:tr>
      <w:tr w:rsidR="00B15F7D" w:rsidRPr="00990FB6" w14:paraId="7B67558B"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8064A2"/>
            <w:vAlign w:val="center"/>
            <w:hideMark/>
          </w:tcPr>
          <w:p w14:paraId="3F8FFA85" w14:textId="77777777" w:rsidR="00B15F7D" w:rsidRPr="00990FB6" w:rsidRDefault="00B15F7D" w:rsidP="00B15F7D">
            <w:pPr>
              <w:rPr>
                <w:sz w:val="22"/>
                <w:szCs w:val="22"/>
                <w:lang w:eastAsia="es-CR"/>
              </w:rPr>
            </w:pPr>
            <w:r w:rsidRPr="00990FB6">
              <w:rPr>
                <w:sz w:val="22"/>
                <w:szCs w:val="22"/>
                <w:lang w:eastAsia="es-CR"/>
              </w:rPr>
              <w:t xml:space="preserve">   Actualización de temario y elaboración del material de evaluación Juez 1</w:t>
            </w:r>
          </w:p>
        </w:tc>
        <w:tc>
          <w:tcPr>
            <w:tcW w:w="579" w:type="pct"/>
            <w:tcBorders>
              <w:top w:val="single" w:sz="4" w:space="0" w:color="B1BBCC"/>
              <w:left w:val="single" w:sz="4" w:space="0" w:color="B1BBCC"/>
              <w:bottom w:val="single" w:sz="4" w:space="0" w:color="B1BBCC"/>
              <w:right w:val="single" w:sz="4" w:space="0" w:color="B1BBCC"/>
            </w:tcBorders>
            <w:shd w:val="clear" w:color="auto" w:fill="8064A2"/>
            <w:vAlign w:val="center"/>
            <w:hideMark/>
          </w:tcPr>
          <w:p w14:paraId="118A97C3" w14:textId="77777777" w:rsidR="00B15F7D" w:rsidRPr="00990FB6" w:rsidRDefault="00B15F7D" w:rsidP="00B15F7D">
            <w:pPr>
              <w:rPr>
                <w:sz w:val="22"/>
                <w:szCs w:val="22"/>
                <w:lang w:eastAsia="es-CR"/>
              </w:rPr>
            </w:pPr>
            <w:r w:rsidRPr="00990FB6">
              <w:rPr>
                <w:sz w:val="22"/>
                <w:szCs w:val="22"/>
                <w:lang w:eastAsia="es-CR"/>
              </w:rPr>
              <w:t>62 días</w:t>
            </w:r>
          </w:p>
        </w:tc>
        <w:tc>
          <w:tcPr>
            <w:tcW w:w="721" w:type="pct"/>
            <w:tcBorders>
              <w:top w:val="single" w:sz="4" w:space="0" w:color="B1BBCC"/>
              <w:left w:val="single" w:sz="4" w:space="0" w:color="B1BBCC"/>
              <w:bottom w:val="single" w:sz="4" w:space="0" w:color="B1BBCC"/>
              <w:right w:val="single" w:sz="4" w:space="0" w:color="B1BBCC"/>
            </w:tcBorders>
            <w:shd w:val="clear" w:color="auto" w:fill="8064A2"/>
            <w:vAlign w:val="center"/>
            <w:hideMark/>
          </w:tcPr>
          <w:p w14:paraId="0CECC658" w14:textId="77777777" w:rsidR="00B15F7D" w:rsidRPr="00990FB6" w:rsidRDefault="00B15F7D" w:rsidP="00B15F7D">
            <w:pPr>
              <w:rPr>
                <w:sz w:val="22"/>
                <w:szCs w:val="22"/>
                <w:lang w:eastAsia="es-CR"/>
              </w:rPr>
            </w:pPr>
            <w:r w:rsidRPr="00990FB6">
              <w:rPr>
                <w:sz w:val="22"/>
                <w:szCs w:val="22"/>
                <w:lang w:eastAsia="es-CR"/>
              </w:rPr>
              <w:t>lun 9/1/23</w:t>
            </w:r>
          </w:p>
        </w:tc>
        <w:tc>
          <w:tcPr>
            <w:tcW w:w="652" w:type="pct"/>
            <w:tcBorders>
              <w:top w:val="single" w:sz="4" w:space="0" w:color="B1BBCC"/>
              <w:left w:val="single" w:sz="4" w:space="0" w:color="B1BBCC"/>
              <w:bottom w:val="single" w:sz="4" w:space="0" w:color="B1BBCC"/>
              <w:right w:val="single" w:sz="4" w:space="0" w:color="B1BBCC"/>
            </w:tcBorders>
            <w:shd w:val="clear" w:color="auto" w:fill="8064A2"/>
            <w:vAlign w:val="center"/>
            <w:hideMark/>
          </w:tcPr>
          <w:p w14:paraId="7281E1C7" w14:textId="77777777" w:rsidR="00B15F7D" w:rsidRPr="00990FB6" w:rsidRDefault="00B15F7D" w:rsidP="00B15F7D">
            <w:pPr>
              <w:rPr>
                <w:sz w:val="22"/>
                <w:szCs w:val="22"/>
                <w:lang w:eastAsia="es-CR"/>
              </w:rPr>
            </w:pPr>
            <w:r w:rsidRPr="00990FB6">
              <w:rPr>
                <w:sz w:val="22"/>
                <w:szCs w:val="22"/>
                <w:lang w:eastAsia="es-CR"/>
              </w:rPr>
              <w:t>jue 13/4/23</w:t>
            </w:r>
          </w:p>
        </w:tc>
        <w:tc>
          <w:tcPr>
            <w:tcW w:w="902" w:type="pct"/>
            <w:tcBorders>
              <w:top w:val="single" w:sz="4" w:space="0" w:color="B1BBCC"/>
              <w:left w:val="single" w:sz="4" w:space="0" w:color="B1BBCC"/>
              <w:bottom w:val="single" w:sz="4" w:space="0" w:color="B1BBCC"/>
              <w:right w:val="single" w:sz="4" w:space="0" w:color="B1BBCC"/>
            </w:tcBorders>
            <w:shd w:val="clear" w:color="auto" w:fill="8064A2"/>
            <w:vAlign w:val="center"/>
            <w:hideMark/>
          </w:tcPr>
          <w:p w14:paraId="7BBF77E4" w14:textId="77777777" w:rsidR="00B15F7D" w:rsidRPr="00990FB6" w:rsidRDefault="00B15F7D" w:rsidP="00B15F7D">
            <w:pPr>
              <w:rPr>
                <w:sz w:val="22"/>
                <w:szCs w:val="22"/>
                <w:lang w:eastAsia="es-CR"/>
              </w:rPr>
            </w:pPr>
            <w:r w:rsidRPr="00990FB6">
              <w:rPr>
                <w:sz w:val="22"/>
                <w:szCs w:val="22"/>
                <w:lang w:eastAsia="es-CR"/>
              </w:rPr>
              <w:t>0%</w:t>
            </w:r>
          </w:p>
        </w:tc>
      </w:tr>
      <w:tr w:rsidR="00B15F7D" w:rsidRPr="00990FB6" w14:paraId="272C7753" w14:textId="77777777" w:rsidTr="000A0C22">
        <w:trPr>
          <w:jc w:val="center"/>
        </w:trPr>
        <w:tc>
          <w:tcPr>
            <w:tcW w:w="2146"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49AF1B" w14:textId="77777777" w:rsidR="00B15F7D" w:rsidRPr="00990FB6" w:rsidRDefault="00B15F7D" w:rsidP="00B15F7D">
            <w:pPr>
              <w:rPr>
                <w:sz w:val="22"/>
                <w:szCs w:val="22"/>
                <w:lang w:eastAsia="es-CR"/>
              </w:rPr>
            </w:pPr>
            <w:r w:rsidRPr="00990FB6">
              <w:rPr>
                <w:sz w:val="22"/>
                <w:szCs w:val="22"/>
                <w:lang w:eastAsia="es-CR"/>
              </w:rPr>
              <w:t xml:space="preserve">   Capacitación Virtual (Capacítate)</w:t>
            </w:r>
          </w:p>
        </w:tc>
        <w:tc>
          <w:tcPr>
            <w:tcW w:w="579"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CF7128" w14:textId="77777777" w:rsidR="00B15F7D" w:rsidRPr="00990FB6" w:rsidRDefault="00B15F7D" w:rsidP="00B15F7D">
            <w:pPr>
              <w:rPr>
                <w:sz w:val="22"/>
                <w:szCs w:val="22"/>
                <w:lang w:eastAsia="es-CR"/>
              </w:rPr>
            </w:pPr>
            <w:r w:rsidRPr="00990FB6">
              <w:rPr>
                <w:sz w:val="22"/>
                <w:szCs w:val="22"/>
                <w:lang w:eastAsia="es-CR"/>
              </w:rPr>
              <w:t>95 días</w:t>
            </w:r>
          </w:p>
        </w:tc>
        <w:tc>
          <w:tcPr>
            <w:tcW w:w="72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34D6E9" w14:textId="77777777" w:rsidR="00B15F7D" w:rsidRPr="00990FB6" w:rsidRDefault="00B15F7D" w:rsidP="00B15F7D">
            <w:pPr>
              <w:rPr>
                <w:sz w:val="22"/>
                <w:szCs w:val="22"/>
                <w:lang w:eastAsia="es-CR"/>
              </w:rPr>
            </w:pPr>
            <w:r w:rsidRPr="00990FB6">
              <w:rPr>
                <w:sz w:val="22"/>
                <w:szCs w:val="22"/>
                <w:lang w:eastAsia="es-CR"/>
              </w:rPr>
              <w:t>lun 24/8/20</w:t>
            </w:r>
          </w:p>
        </w:tc>
        <w:tc>
          <w:tcPr>
            <w:tcW w:w="65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257825" w14:textId="77777777" w:rsidR="00B15F7D" w:rsidRPr="00990FB6" w:rsidRDefault="00B15F7D" w:rsidP="00B15F7D">
            <w:pPr>
              <w:rPr>
                <w:sz w:val="22"/>
                <w:szCs w:val="22"/>
                <w:lang w:eastAsia="es-CR"/>
              </w:rPr>
            </w:pPr>
            <w:r w:rsidRPr="00990FB6">
              <w:rPr>
                <w:sz w:val="22"/>
                <w:szCs w:val="22"/>
                <w:lang w:eastAsia="es-CR"/>
              </w:rPr>
              <w:t>jue 21/1/21</w:t>
            </w:r>
          </w:p>
        </w:tc>
        <w:tc>
          <w:tcPr>
            <w:tcW w:w="90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7EF291" w14:textId="77777777" w:rsidR="00B15F7D" w:rsidRPr="00990FB6" w:rsidRDefault="00B15F7D" w:rsidP="00B15F7D">
            <w:pPr>
              <w:rPr>
                <w:sz w:val="22"/>
                <w:szCs w:val="22"/>
                <w:lang w:eastAsia="es-CR"/>
              </w:rPr>
            </w:pPr>
            <w:r w:rsidRPr="00990FB6">
              <w:rPr>
                <w:sz w:val="22"/>
                <w:szCs w:val="22"/>
                <w:lang w:eastAsia="es-CR"/>
              </w:rPr>
              <w:t>100%</w:t>
            </w:r>
          </w:p>
        </w:tc>
      </w:tr>
    </w:tbl>
    <w:p w14:paraId="6FEA6C0A" w14:textId="77777777" w:rsidR="00B15F7D" w:rsidRPr="00990FB6" w:rsidRDefault="00B15F7D" w:rsidP="00B15F7D">
      <w:pPr>
        <w:rPr>
          <w:rFonts w:eastAsia="MS PGothic"/>
          <w:b/>
          <w:bCs/>
          <w:sz w:val="22"/>
          <w:szCs w:val="22"/>
        </w:rPr>
      </w:pPr>
    </w:p>
    <w:p w14:paraId="0F3FA104" w14:textId="77777777" w:rsidR="00B15F7D" w:rsidRPr="00990FB6" w:rsidRDefault="00B15F7D" w:rsidP="00B15F7D">
      <w:pPr>
        <w:ind w:firstLine="708"/>
        <w:rPr>
          <w:rFonts w:eastAsia="MS PGothic"/>
          <w:b/>
          <w:bCs/>
          <w:sz w:val="22"/>
          <w:szCs w:val="22"/>
        </w:rPr>
      </w:pPr>
      <w:r w:rsidRPr="00990FB6">
        <w:rPr>
          <w:rFonts w:eastAsia="MS PGothic"/>
          <w:b/>
          <w:bCs/>
          <w:sz w:val="22"/>
          <w:szCs w:val="22"/>
        </w:rPr>
        <w:t>A las Contralorías de Servicios a nivel nacional</w:t>
      </w:r>
    </w:p>
    <w:p w14:paraId="1710C0CA" w14:textId="77777777" w:rsidR="00B15F7D" w:rsidRPr="00990FB6" w:rsidRDefault="00B15F7D" w:rsidP="00B15F7D">
      <w:pPr>
        <w:widowControl w:val="0"/>
        <w:jc w:val="both"/>
        <w:rPr>
          <w:rFonts w:eastAsia="Calibri"/>
          <w:sz w:val="22"/>
          <w:szCs w:val="22"/>
          <w:lang w:eastAsia="es-CR"/>
        </w:rPr>
      </w:pPr>
    </w:p>
    <w:p w14:paraId="78C0D0E8" w14:textId="77777777" w:rsidR="00B15F7D" w:rsidRPr="00990FB6" w:rsidRDefault="00B15F7D" w:rsidP="00B15F7D">
      <w:pPr>
        <w:widowControl w:val="0"/>
        <w:ind w:left="851" w:right="851" w:firstLine="709"/>
        <w:jc w:val="both"/>
        <w:rPr>
          <w:rFonts w:eastAsia="Calibri"/>
          <w:sz w:val="22"/>
          <w:szCs w:val="22"/>
          <w:lang w:eastAsia="es-CR"/>
        </w:rPr>
      </w:pPr>
      <w:r w:rsidRPr="00990FB6">
        <w:rPr>
          <w:rFonts w:eastAsia="Calibri"/>
          <w:sz w:val="22"/>
          <w:szCs w:val="22"/>
          <w:lang w:eastAsia="es-CR"/>
        </w:rPr>
        <w:t xml:space="preserve">Dar cumplimiento a las tareas su cargo detalladas en el cronograma del Proyecto 1374-CF-P01 </w:t>
      </w:r>
      <w:r w:rsidRPr="00990FB6">
        <w:rPr>
          <w:rFonts w:eastAsia="Calibri"/>
          <w:i/>
          <w:iCs/>
          <w:sz w:val="22"/>
          <w:szCs w:val="22"/>
          <w:lang w:eastAsia="es-CR"/>
        </w:rPr>
        <w:t>“Implementación del Código Procesal de Familia</w:t>
      </w:r>
      <w:r w:rsidRPr="00990FB6">
        <w:rPr>
          <w:rFonts w:eastAsia="Calibri"/>
          <w:sz w:val="22"/>
          <w:szCs w:val="22"/>
          <w:lang w:eastAsia="es-CR"/>
        </w:rPr>
        <w:t>” y remitir el entregable correspondiente conforme al cronograma y metodología de proyectos institucional en coordinación con el Juez Gestor en la materia y la Comisión de Familia, Niñez y Adolescencia.</w:t>
      </w:r>
    </w:p>
    <w:p w14:paraId="181B5815" w14:textId="77777777" w:rsidR="00B15F7D" w:rsidRPr="00990FB6" w:rsidRDefault="00B15F7D" w:rsidP="00B15F7D">
      <w:pPr>
        <w:widowControl w:val="0"/>
        <w:jc w:val="both"/>
        <w:rPr>
          <w:rFonts w:eastAsia="Calibri"/>
          <w:sz w:val="22"/>
          <w:szCs w:val="22"/>
          <w:lang w:eastAsia="es-CR"/>
        </w:rPr>
      </w:pPr>
    </w:p>
    <w:tbl>
      <w:tblPr>
        <w:tblW w:w="5000" w:type="pct"/>
        <w:jc w:val="center"/>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3534"/>
        <w:gridCol w:w="987"/>
        <w:gridCol w:w="1225"/>
        <w:gridCol w:w="1081"/>
        <w:gridCol w:w="1527"/>
      </w:tblGrid>
      <w:tr w:rsidR="00B15F7D" w:rsidRPr="00990FB6" w14:paraId="5271F328" w14:textId="77777777" w:rsidTr="000A0C22">
        <w:trPr>
          <w:jc w:val="center"/>
        </w:trPr>
        <w:tc>
          <w:tcPr>
            <w:tcW w:w="2115"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C0EE495" w14:textId="77777777" w:rsidR="00B15F7D" w:rsidRPr="00990FB6" w:rsidRDefault="00B15F7D" w:rsidP="00B15F7D">
            <w:pPr>
              <w:rPr>
                <w:sz w:val="22"/>
                <w:szCs w:val="22"/>
                <w:lang w:eastAsia="es-CR"/>
              </w:rPr>
            </w:pPr>
            <w:bookmarkStart w:id="65" w:name="_Hlk128696023"/>
            <w:r w:rsidRPr="00990FB6">
              <w:rPr>
                <w:sz w:val="22"/>
                <w:szCs w:val="22"/>
                <w:shd w:val="clear" w:color="auto" w:fill="DFE3E8"/>
                <w:lang w:eastAsia="es-CR"/>
              </w:rPr>
              <w:t>Nombre de tarea</w:t>
            </w:r>
          </w:p>
        </w:tc>
        <w:tc>
          <w:tcPr>
            <w:tcW w:w="591"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26428DC" w14:textId="77777777" w:rsidR="00B15F7D" w:rsidRPr="00990FB6" w:rsidRDefault="00B15F7D" w:rsidP="00B15F7D">
            <w:pPr>
              <w:rPr>
                <w:sz w:val="22"/>
                <w:szCs w:val="22"/>
                <w:lang w:eastAsia="es-CR"/>
              </w:rPr>
            </w:pPr>
            <w:r w:rsidRPr="00990FB6">
              <w:rPr>
                <w:sz w:val="22"/>
                <w:szCs w:val="22"/>
                <w:shd w:val="clear" w:color="auto" w:fill="DFE3E8"/>
                <w:lang w:eastAsia="es-CR"/>
              </w:rPr>
              <w:t>Duración</w:t>
            </w:r>
          </w:p>
        </w:tc>
        <w:tc>
          <w:tcPr>
            <w:tcW w:w="733"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78035CC" w14:textId="77777777" w:rsidR="00B15F7D" w:rsidRPr="00990FB6" w:rsidRDefault="00B15F7D" w:rsidP="00B15F7D">
            <w:pPr>
              <w:rPr>
                <w:sz w:val="22"/>
                <w:szCs w:val="22"/>
                <w:lang w:eastAsia="es-CR"/>
              </w:rPr>
            </w:pPr>
            <w:r w:rsidRPr="00990FB6">
              <w:rPr>
                <w:sz w:val="22"/>
                <w:szCs w:val="22"/>
                <w:shd w:val="clear" w:color="auto" w:fill="DFE3E8"/>
                <w:lang w:eastAsia="es-CR"/>
              </w:rPr>
              <w:t>Comienzo</w:t>
            </w:r>
          </w:p>
        </w:tc>
        <w:tc>
          <w:tcPr>
            <w:tcW w:w="647"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C9C9D96" w14:textId="77777777" w:rsidR="00B15F7D" w:rsidRPr="00990FB6" w:rsidRDefault="00B15F7D" w:rsidP="00B15F7D">
            <w:pPr>
              <w:rPr>
                <w:sz w:val="22"/>
                <w:szCs w:val="22"/>
                <w:lang w:eastAsia="es-CR"/>
              </w:rPr>
            </w:pPr>
            <w:r w:rsidRPr="00990FB6">
              <w:rPr>
                <w:sz w:val="22"/>
                <w:szCs w:val="22"/>
                <w:shd w:val="clear" w:color="auto" w:fill="DFE3E8"/>
                <w:lang w:eastAsia="es-CR"/>
              </w:rPr>
              <w:t>Fin</w:t>
            </w:r>
          </w:p>
        </w:tc>
        <w:tc>
          <w:tcPr>
            <w:tcW w:w="914"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F567277" w14:textId="77777777" w:rsidR="00B15F7D" w:rsidRPr="00990FB6" w:rsidRDefault="00B15F7D" w:rsidP="00B15F7D">
            <w:pPr>
              <w:rPr>
                <w:sz w:val="22"/>
                <w:szCs w:val="22"/>
                <w:lang w:eastAsia="es-CR"/>
              </w:rPr>
            </w:pPr>
            <w:r w:rsidRPr="00990FB6">
              <w:rPr>
                <w:sz w:val="22"/>
                <w:szCs w:val="22"/>
                <w:shd w:val="clear" w:color="auto" w:fill="DFE3E8"/>
                <w:lang w:eastAsia="es-CR"/>
              </w:rPr>
              <w:t>% completado</w:t>
            </w:r>
          </w:p>
        </w:tc>
      </w:tr>
      <w:tr w:rsidR="00B15F7D" w:rsidRPr="00990FB6" w14:paraId="07F89D0E" w14:textId="77777777" w:rsidTr="000A0C22">
        <w:trPr>
          <w:jc w:val="center"/>
        </w:trPr>
        <w:tc>
          <w:tcPr>
            <w:tcW w:w="2115"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8A1AA6" w14:textId="77777777" w:rsidR="00B15F7D" w:rsidRPr="00990FB6" w:rsidRDefault="00B15F7D" w:rsidP="00B15F7D">
            <w:pPr>
              <w:rPr>
                <w:sz w:val="22"/>
                <w:szCs w:val="22"/>
                <w:lang w:eastAsia="es-CR"/>
              </w:rPr>
            </w:pPr>
            <w:r w:rsidRPr="00990FB6">
              <w:rPr>
                <w:b/>
                <w:bCs/>
                <w:sz w:val="22"/>
                <w:szCs w:val="22"/>
                <w:lang w:eastAsia="es-CR"/>
              </w:rPr>
              <w:t>3.36. Informe Contraloría, afiches y acercamiento CPU</w:t>
            </w:r>
          </w:p>
        </w:tc>
        <w:tc>
          <w:tcPr>
            <w:tcW w:w="59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2D3954" w14:textId="77777777" w:rsidR="00B15F7D" w:rsidRPr="00990FB6" w:rsidRDefault="00B15F7D" w:rsidP="00B15F7D">
            <w:pPr>
              <w:rPr>
                <w:sz w:val="22"/>
                <w:szCs w:val="22"/>
                <w:lang w:eastAsia="es-CR"/>
              </w:rPr>
            </w:pPr>
            <w:r w:rsidRPr="00990FB6">
              <w:rPr>
                <w:b/>
                <w:bCs/>
                <w:sz w:val="22"/>
                <w:szCs w:val="22"/>
                <w:lang w:eastAsia="es-CR"/>
              </w:rPr>
              <w:t>283 días</w:t>
            </w:r>
          </w:p>
        </w:tc>
        <w:tc>
          <w:tcPr>
            <w:tcW w:w="73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FD426E" w14:textId="77777777" w:rsidR="00B15F7D" w:rsidRPr="00990FB6" w:rsidRDefault="00B15F7D" w:rsidP="00B15F7D">
            <w:pPr>
              <w:rPr>
                <w:sz w:val="22"/>
                <w:szCs w:val="22"/>
                <w:lang w:eastAsia="es-CR"/>
              </w:rPr>
            </w:pPr>
            <w:r w:rsidRPr="00990FB6">
              <w:rPr>
                <w:b/>
                <w:bCs/>
                <w:sz w:val="22"/>
                <w:szCs w:val="22"/>
                <w:lang w:eastAsia="es-CR"/>
              </w:rPr>
              <w:t>lun 5/6/23</w:t>
            </w:r>
          </w:p>
        </w:tc>
        <w:tc>
          <w:tcPr>
            <w:tcW w:w="647"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EA338E" w14:textId="77777777" w:rsidR="00B15F7D" w:rsidRPr="00990FB6" w:rsidRDefault="00B15F7D" w:rsidP="00B15F7D">
            <w:pPr>
              <w:rPr>
                <w:sz w:val="22"/>
                <w:szCs w:val="22"/>
                <w:lang w:eastAsia="es-CR"/>
              </w:rPr>
            </w:pPr>
            <w:r w:rsidRPr="00990FB6">
              <w:rPr>
                <w:b/>
                <w:bCs/>
                <w:sz w:val="22"/>
                <w:szCs w:val="22"/>
                <w:lang w:eastAsia="es-CR"/>
              </w:rPr>
              <w:t>jue 18/7/24</w:t>
            </w:r>
          </w:p>
        </w:tc>
        <w:tc>
          <w:tcPr>
            <w:tcW w:w="914"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C88DE6" w14:textId="77777777" w:rsidR="00B15F7D" w:rsidRPr="00990FB6" w:rsidRDefault="00B15F7D" w:rsidP="00B15F7D">
            <w:pPr>
              <w:rPr>
                <w:sz w:val="22"/>
                <w:szCs w:val="22"/>
                <w:lang w:eastAsia="es-CR"/>
              </w:rPr>
            </w:pPr>
            <w:r w:rsidRPr="00990FB6">
              <w:rPr>
                <w:b/>
                <w:bCs/>
                <w:sz w:val="22"/>
                <w:szCs w:val="22"/>
                <w:lang w:eastAsia="es-CR"/>
              </w:rPr>
              <w:t>0%</w:t>
            </w:r>
          </w:p>
        </w:tc>
      </w:tr>
      <w:tr w:rsidR="00B15F7D" w:rsidRPr="00990FB6" w14:paraId="7D328291" w14:textId="77777777" w:rsidTr="000A0C22">
        <w:trPr>
          <w:jc w:val="center"/>
        </w:trPr>
        <w:tc>
          <w:tcPr>
            <w:tcW w:w="2115"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ADD629" w14:textId="77777777" w:rsidR="00B15F7D" w:rsidRPr="00990FB6" w:rsidRDefault="00B15F7D" w:rsidP="00B15F7D">
            <w:pPr>
              <w:rPr>
                <w:sz w:val="22"/>
                <w:szCs w:val="22"/>
                <w:lang w:eastAsia="es-CR"/>
              </w:rPr>
            </w:pPr>
            <w:r w:rsidRPr="00990FB6">
              <w:rPr>
                <w:sz w:val="22"/>
                <w:szCs w:val="22"/>
                <w:lang w:eastAsia="es-CR"/>
              </w:rPr>
              <w:t xml:space="preserve">   Diagnóstico previo</w:t>
            </w:r>
          </w:p>
        </w:tc>
        <w:tc>
          <w:tcPr>
            <w:tcW w:w="59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FDC5F4" w14:textId="77777777" w:rsidR="00B15F7D" w:rsidRPr="00990FB6" w:rsidRDefault="00B15F7D" w:rsidP="00B15F7D">
            <w:pPr>
              <w:rPr>
                <w:sz w:val="22"/>
                <w:szCs w:val="22"/>
                <w:lang w:eastAsia="es-CR"/>
              </w:rPr>
            </w:pPr>
            <w:r w:rsidRPr="00990FB6">
              <w:rPr>
                <w:sz w:val="22"/>
                <w:szCs w:val="22"/>
                <w:lang w:eastAsia="es-CR"/>
              </w:rPr>
              <w:t>117 días</w:t>
            </w:r>
          </w:p>
        </w:tc>
        <w:tc>
          <w:tcPr>
            <w:tcW w:w="73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9FDA10" w14:textId="77777777" w:rsidR="00B15F7D" w:rsidRPr="00990FB6" w:rsidRDefault="00B15F7D" w:rsidP="00B15F7D">
            <w:pPr>
              <w:rPr>
                <w:sz w:val="22"/>
                <w:szCs w:val="22"/>
                <w:lang w:eastAsia="es-CR"/>
              </w:rPr>
            </w:pPr>
            <w:r w:rsidRPr="00990FB6">
              <w:rPr>
                <w:sz w:val="22"/>
                <w:szCs w:val="22"/>
                <w:lang w:eastAsia="es-CR"/>
              </w:rPr>
              <w:t>lun 5/6/23</w:t>
            </w:r>
          </w:p>
        </w:tc>
        <w:tc>
          <w:tcPr>
            <w:tcW w:w="647"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7D690A" w14:textId="77777777" w:rsidR="00B15F7D" w:rsidRPr="00990FB6" w:rsidRDefault="00B15F7D" w:rsidP="00B15F7D">
            <w:pPr>
              <w:rPr>
                <w:sz w:val="22"/>
                <w:szCs w:val="22"/>
                <w:lang w:eastAsia="es-CR"/>
              </w:rPr>
            </w:pPr>
            <w:proofErr w:type="spellStart"/>
            <w:r w:rsidRPr="00990FB6">
              <w:rPr>
                <w:sz w:val="22"/>
                <w:szCs w:val="22"/>
                <w:lang w:eastAsia="es-CR"/>
              </w:rPr>
              <w:t>mié</w:t>
            </w:r>
            <w:proofErr w:type="spellEnd"/>
            <w:r w:rsidRPr="00990FB6">
              <w:rPr>
                <w:sz w:val="22"/>
                <w:szCs w:val="22"/>
                <w:lang w:eastAsia="es-CR"/>
              </w:rPr>
              <w:t xml:space="preserve"> 22/11/23</w:t>
            </w:r>
          </w:p>
        </w:tc>
        <w:tc>
          <w:tcPr>
            <w:tcW w:w="914"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335436" w14:textId="77777777" w:rsidR="00B15F7D" w:rsidRPr="00990FB6" w:rsidRDefault="00B15F7D" w:rsidP="00B15F7D">
            <w:pPr>
              <w:rPr>
                <w:sz w:val="22"/>
                <w:szCs w:val="22"/>
                <w:lang w:eastAsia="es-CR"/>
              </w:rPr>
            </w:pPr>
            <w:r w:rsidRPr="00990FB6">
              <w:rPr>
                <w:sz w:val="22"/>
                <w:szCs w:val="22"/>
                <w:lang w:eastAsia="es-CR"/>
              </w:rPr>
              <w:t>0%</w:t>
            </w:r>
          </w:p>
        </w:tc>
      </w:tr>
      <w:tr w:rsidR="00B15F7D" w:rsidRPr="00990FB6" w14:paraId="50C8C338" w14:textId="77777777" w:rsidTr="000A0C22">
        <w:trPr>
          <w:jc w:val="center"/>
        </w:trPr>
        <w:tc>
          <w:tcPr>
            <w:tcW w:w="2115"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C7E48C" w14:textId="77777777" w:rsidR="00B15F7D" w:rsidRPr="00990FB6" w:rsidRDefault="00B15F7D" w:rsidP="00B15F7D">
            <w:pPr>
              <w:rPr>
                <w:sz w:val="22"/>
                <w:szCs w:val="22"/>
                <w:lang w:eastAsia="es-CR"/>
              </w:rPr>
            </w:pPr>
            <w:r w:rsidRPr="00990FB6">
              <w:rPr>
                <w:sz w:val="22"/>
                <w:szCs w:val="22"/>
                <w:lang w:eastAsia="es-CR"/>
              </w:rPr>
              <w:t xml:space="preserve">   Encuestas, acercamiento Personal Usuarios</w:t>
            </w:r>
          </w:p>
        </w:tc>
        <w:tc>
          <w:tcPr>
            <w:tcW w:w="59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9789AE" w14:textId="77777777" w:rsidR="00B15F7D" w:rsidRPr="00990FB6" w:rsidRDefault="00B15F7D" w:rsidP="00B15F7D">
            <w:pPr>
              <w:rPr>
                <w:sz w:val="22"/>
                <w:szCs w:val="22"/>
                <w:lang w:eastAsia="es-CR"/>
              </w:rPr>
            </w:pPr>
            <w:r w:rsidRPr="00990FB6">
              <w:rPr>
                <w:sz w:val="22"/>
                <w:szCs w:val="22"/>
                <w:lang w:eastAsia="es-CR"/>
              </w:rPr>
              <w:t>106 días</w:t>
            </w:r>
          </w:p>
        </w:tc>
        <w:tc>
          <w:tcPr>
            <w:tcW w:w="73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89A23E" w14:textId="77777777" w:rsidR="00B15F7D" w:rsidRPr="00990FB6" w:rsidRDefault="00B15F7D" w:rsidP="00B15F7D">
            <w:pPr>
              <w:rPr>
                <w:sz w:val="22"/>
                <w:szCs w:val="22"/>
                <w:lang w:eastAsia="es-CR"/>
              </w:rPr>
            </w:pPr>
            <w:r w:rsidRPr="00990FB6">
              <w:rPr>
                <w:sz w:val="22"/>
                <w:szCs w:val="22"/>
                <w:lang w:eastAsia="es-CR"/>
              </w:rPr>
              <w:t>lun 5/2/24</w:t>
            </w:r>
          </w:p>
        </w:tc>
        <w:tc>
          <w:tcPr>
            <w:tcW w:w="647"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21E9AE" w14:textId="77777777" w:rsidR="00B15F7D" w:rsidRPr="00990FB6" w:rsidRDefault="00B15F7D" w:rsidP="00B15F7D">
            <w:pPr>
              <w:rPr>
                <w:sz w:val="22"/>
                <w:szCs w:val="22"/>
                <w:lang w:eastAsia="es-CR"/>
              </w:rPr>
            </w:pPr>
            <w:r w:rsidRPr="00990FB6">
              <w:rPr>
                <w:sz w:val="22"/>
                <w:szCs w:val="22"/>
                <w:lang w:eastAsia="es-CR"/>
              </w:rPr>
              <w:t>jue 4/7/24</w:t>
            </w:r>
          </w:p>
        </w:tc>
        <w:tc>
          <w:tcPr>
            <w:tcW w:w="914"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EAB26" w14:textId="77777777" w:rsidR="00B15F7D" w:rsidRPr="00990FB6" w:rsidRDefault="00B15F7D" w:rsidP="00B15F7D">
            <w:pPr>
              <w:rPr>
                <w:sz w:val="22"/>
                <w:szCs w:val="22"/>
                <w:lang w:eastAsia="es-CR"/>
              </w:rPr>
            </w:pPr>
            <w:r w:rsidRPr="00990FB6">
              <w:rPr>
                <w:sz w:val="22"/>
                <w:szCs w:val="22"/>
                <w:lang w:eastAsia="es-CR"/>
              </w:rPr>
              <w:t>0%</w:t>
            </w:r>
          </w:p>
        </w:tc>
      </w:tr>
      <w:tr w:rsidR="00B15F7D" w:rsidRPr="00990FB6" w14:paraId="7060F52B" w14:textId="77777777" w:rsidTr="000A0C22">
        <w:trPr>
          <w:jc w:val="center"/>
        </w:trPr>
        <w:tc>
          <w:tcPr>
            <w:tcW w:w="2115"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F62332" w14:textId="77777777" w:rsidR="00B15F7D" w:rsidRPr="00990FB6" w:rsidRDefault="00B15F7D" w:rsidP="00B15F7D">
            <w:pPr>
              <w:rPr>
                <w:sz w:val="22"/>
                <w:szCs w:val="22"/>
                <w:lang w:eastAsia="es-CR"/>
              </w:rPr>
            </w:pPr>
            <w:r w:rsidRPr="00990FB6">
              <w:rPr>
                <w:sz w:val="22"/>
                <w:szCs w:val="22"/>
                <w:lang w:eastAsia="es-CR"/>
              </w:rPr>
              <w:t xml:space="preserve">   Elaboración del entregable y comunicación oficial</w:t>
            </w:r>
          </w:p>
        </w:tc>
        <w:tc>
          <w:tcPr>
            <w:tcW w:w="59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B10590" w14:textId="77777777" w:rsidR="00B15F7D" w:rsidRPr="00990FB6" w:rsidRDefault="00B15F7D" w:rsidP="00B15F7D">
            <w:pPr>
              <w:rPr>
                <w:sz w:val="22"/>
                <w:szCs w:val="22"/>
                <w:lang w:eastAsia="es-CR"/>
              </w:rPr>
            </w:pPr>
            <w:r w:rsidRPr="00990FB6">
              <w:rPr>
                <w:sz w:val="22"/>
                <w:szCs w:val="22"/>
                <w:lang w:eastAsia="es-CR"/>
              </w:rPr>
              <w:t>10 días</w:t>
            </w:r>
          </w:p>
        </w:tc>
        <w:tc>
          <w:tcPr>
            <w:tcW w:w="73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2F3B54" w14:textId="77777777" w:rsidR="00B15F7D" w:rsidRPr="00990FB6" w:rsidRDefault="00B15F7D" w:rsidP="00B15F7D">
            <w:pPr>
              <w:rPr>
                <w:sz w:val="22"/>
                <w:szCs w:val="22"/>
                <w:lang w:eastAsia="es-CR"/>
              </w:rPr>
            </w:pPr>
            <w:r w:rsidRPr="00990FB6">
              <w:rPr>
                <w:sz w:val="22"/>
                <w:szCs w:val="22"/>
                <w:lang w:eastAsia="es-CR"/>
              </w:rPr>
              <w:t>jue 4/7/24</w:t>
            </w:r>
          </w:p>
        </w:tc>
        <w:tc>
          <w:tcPr>
            <w:tcW w:w="647"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03F36F" w14:textId="77777777" w:rsidR="00B15F7D" w:rsidRPr="00990FB6" w:rsidRDefault="00B15F7D" w:rsidP="00B15F7D">
            <w:pPr>
              <w:rPr>
                <w:sz w:val="22"/>
                <w:szCs w:val="22"/>
                <w:lang w:eastAsia="es-CR"/>
              </w:rPr>
            </w:pPr>
            <w:r w:rsidRPr="00990FB6">
              <w:rPr>
                <w:sz w:val="22"/>
                <w:szCs w:val="22"/>
                <w:lang w:eastAsia="es-CR"/>
              </w:rPr>
              <w:t>jue 18/7/24</w:t>
            </w:r>
          </w:p>
        </w:tc>
        <w:tc>
          <w:tcPr>
            <w:tcW w:w="914"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9ED513" w14:textId="77777777" w:rsidR="00B15F7D" w:rsidRPr="00990FB6" w:rsidRDefault="00B15F7D" w:rsidP="00B15F7D">
            <w:pPr>
              <w:rPr>
                <w:sz w:val="22"/>
                <w:szCs w:val="22"/>
                <w:lang w:eastAsia="es-CR"/>
              </w:rPr>
            </w:pPr>
            <w:r w:rsidRPr="00990FB6">
              <w:rPr>
                <w:sz w:val="22"/>
                <w:szCs w:val="22"/>
                <w:lang w:eastAsia="es-CR"/>
              </w:rPr>
              <w:t>0%</w:t>
            </w:r>
          </w:p>
        </w:tc>
      </w:tr>
      <w:bookmarkEnd w:id="65"/>
    </w:tbl>
    <w:p w14:paraId="52AA6676" w14:textId="77777777" w:rsidR="00B15F7D" w:rsidRPr="00990FB6" w:rsidRDefault="00B15F7D" w:rsidP="00B15F7D">
      <w:pPr>
        <w:widowControl w:val="0"/>
        <w:jc w:val="both"/>
        <w:rPr>
          <w:rFonts w:eastAsia="Calibri"/>
          <w:sz w:val="22"/>
          <w:szCs w:val="22"/>
          <w:lang w:eastAsia="es-CR"/>
        </w:rPr>
      </w:pPr>
    </w:p>
    <w:p w14:paraId="6E298FCF" w14:textId="77777777" w:rsidR="00B15F7D" w:rsidRPr="00990FB6" w:rsidRDefault="00B15F7D" w:rsidP="00B15F7D">
      <w:pPr>
        <w:ind w:left="851" w:right="851" w:firstLine="709"/>
        <w:jc w:val="both"/>
        <w:rPr>
          <w:rFonts w:eastAsia="MS PGothic"/>
          <w:b/>
          <w:bCs/>
          <w:sz w:val="22"/>
          <w:szCs w:val="22"/>
        </w:rPr>
      </w:pPr>
      <w:r w:rsidRPr="00990FB6">
        <w:rPr>
          <w:rFonts w:eastAsia="MS PGothic"/>
          <w:b/>
          <w:bCs/>
          <w:sz w:val="22"/>
          <w:szCs w:val="22"/>
        </w:rPr>
        <w:t>A la Dirección de Tecnología de la Información y Comunicaciones, así como sus sedes Regionales a nivel nacional</w:t>
      </w:r>
    </w:p>
    <w:p w14:paraId="4B7EFB53" w14:textId="77777777" w:rsidR="00B15F7D" w:rsidRPr="00990FB6" w:rsidRDefault="00B15F7D" w:rsidP="00B15F7D">
      <w:pPr>
        <w:jc w:val="both"/>
        <w:rPr>
          <w:rFonts w:eastAsia="Calibri"/>
          <w:sz w:val="22"/>
          <w:szCs w:val="22"/>
        </w:rPr>
      </w:pPr>
    </w:p>
    <w:p w14:paraId="617C7432" w14:textId="77777777" w:rsidR="00B15F7D" w:rsidRPr="00990FB6" w:rsidRDefault="00B15F7D" w:rsidP="00B15F7D">
      <w:pPr>
        <w:ind w:left="851" w:right="851" w:firstLine="709"/>
        <w:jc w:val="both"/>
        <w:rPr>
          <w:rFonts w:eastAsia="Calibri"/>
          <w:sz w:val="22"/>
          <w:szCs w:val="22"/>
        </w:rPr>
      </w:pPr>
      <w:bookmarkStart w:id="66" w:name="_Hlk128696075"/>
      <w:r w:rsidRPr="00990FB6">
        <w:rPr>
          <w:rFonts w:eastAsia="Calibri"/>
          <w:sz w:val="22"/>
          <w:szCs w:val="22"/>
        </w:rPr>
        <w:t xml:space="preserve">Aplicar con carácter urgente la mejora en el reparto por procedimiento a los Juzgados competentes en materia de Familia, Pensiones y Violencia Doméstica, de forma que se puedan excluir los asuntos reentrados del rol de reparto conforme al </w:t>
      </w:r>
      <w:bookmarkStart w:id="67" w:name="_Hlk97524805"/>
      <w:r w:rsidRPr="00990FB6">
        <w:rPr>
          <w:rFonts w:eastAsia="Calibri"/>
          <w:sz w:val="22"/>
          <w:szCs w:val="22"/>
        </w:rPr>
        <w:t>requerimiento realizado el 15 de diciembre 2020 (</w:t>
      </w:r>
      <w:r w:rsidRPr="00990FB6">
        <w:rPr>
          <w:rFonts w:eastAsia="Calibri"/>
          <w:b/>
          <w:bCs/>
          <w:i/>
          <w:iCs/>
          <w:sz w:val="22"/>
          <w:szCs w:val="22"/>
        </w:rPr>
        <w:t>anexo 4</w:t>
      </w:r>
      <w:r w:rsidRPr="00990FB6">
        <w:rPr>
          <w:rFonts w:eastAsia="Calibri"/>
          <w:sz w:val="22"/>
          <w:szCs w:val="22"/>
        </w:rPr>
        <w:t xml:space="preserve">). </w:t>
      </w:r>
      <w:bookmarkEnd w:id="67"/>
      <w:r w:rsidRPr="00990FB6">
        <w:rPr>
          <w:rFonts w:eastAsia="Calibri"/>
          <w:sz w:val="22"/>
          <w:szCs w:val="22"/>
        </w:rPr>
        <w:t>Una vez validado su uso, proceder a la implementación de este tipo de reparto en la Jurisdicción de Familia, Pensiones y Violencia Doméstica a nivel nacional.</w:t>
      </w:r>
    </w:p>
    <w:p w14:paraId="7E828238" w14:textId="77777777" w:rsidR="00B15F7D" w:rsidRPr="00990FB6" w:rsidRDefault="00B15F7D" w:rsidP="00B15F7D">
      <w:pPr>
        <w:ind w:left="851" w:right="851" w:firstLine="709"/>
        <w:jc w:val="both"/>
        <w:rPr>
          <w:rFonts w:eastAsia="Calibri"/>
          <w:sz w:val="22"/>
          <w:szCs w:val="22"/>
        </w:rPr>
      </w:pPr>
    </w:p>
    <w:bookmarkEnd w:id="66"/>
    <w:p w14:paraId="6FCA994C"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Realizar con carácter de urgente, la mejora solicitada mediante 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  De manera temporal y hasta tanto esta lista la mejora, se definió con el Juez Gestor que sean las personas técnicas judiciales quiénes hagan el pase a fallo de estos expedientes, de manera que </w:t>
      </w:r>
      <w:r w:rsidRPr="00990FB6">
        <w:rPr>
          <w:rFonts w:eastAsia="Calibri"/>
          <w:sz w:val="22"/>
          <w:szCs w:val="22"/>
        </w:rPr>
        <w:lastRenderedPageBreak/>
        <w:t>se registre así en el libro de pase a fallo y puedan contabilizarse desde ahí. La comunicación de la medida estuvo a cargo del Juez Gestor.</w:t>
      </w:r>
    </w:p>
    <w:p w14:paraId="4A67FBA9" w14:textId="77777777" w:rsidR="00B15F7D" w:rsidRPr="00990FB6" w:rsidRDefault="00B15F7D" w:rsidP="00B15F7D">
      <w:pPr>
        <w:ind w:left="851" w:right="851" w:firstLine="709"/>
        <w:jc w:val="both"/>
        <w:rPr>
          <w:rFonts w:eastAsia="Calibri"/>
          <w:sz w:val="22"/>
          <w:szCs w:val="22"/>
        </w:rPr>
      </w:pPr>
    </w:p>
    <w:p w14:paraId="122E5066" w14:textId="77777777" w:rsidR="00B15F7D" w:rsidRPr="00990FB6" w:rsidRDefault="00B15F7D" w:rsidP="00B15F7D">
      <w:pPr>
        <w:tabs>
          <w:tab w:val="left" w:pos="426"/>
        </w:tabs>
        <w:autoSpaceDE w:val="0"/>
        <w:autoSpaceDN w:val="0"/>
        <w:adjustRightInd w:val="0"/>
        <w:ind w:left="851" w:right="851" w:firstLine="709"/>
        <w:jc w:val="both"/>
        <w:rPr>
          <w:rFonts w:eastAsia="Calibri"/>
          <w:sz w:val="22"/>
          <w:szCs w:val="22"/>
        </w:rPr>
      </w:pPr>
      <w:r w:rsidRPr="00990FB6">
        <w:rPr>
          <w:rFonts w:eastAsia="Calibri"/>
          <w:sz w:val="22"/>
          <w:szCs w:val="22"/>
        </w:rPr>
        <w:t>Realizar con carácter urgente, mejora en el sistema SIGA PJ que amplié la cantidad de caracteres para incluir los nombres correctos de las oficinas, incluidos los nuevos nombres de las oficinas competentes en Violencia Doméstica y Protección Cautelar, requerimiento presentado por la misma Comisión de Familia, Niñez y Adolescencia en la sesión del primero de diciembre 2021, artículo III y mediante oficio 124-PLA-PP-MI-2021.</w:t>
      </w:r>
    </w:p>
    <w:p w14:paraId="15CF0FE8" w14:textId="77777777" w:rsidR="00B15F7D" w:rsidRPr="00990FB6" w:rsidRDefault="00B15F7D" w:rsidP="00B15F7D">
      <w:pPr>
        <w:tabs>
          <w:tab w:val="left" w:pos="426"/>
        </w:tabs>
        <w:autoSpaceDE w:val="0"/>
        <w:autoSpaceDN w:val="0"/>
        <w:adjustRightInd w:val="0"/>
        <w:ind w:left="851" w:right="851" w:firstLine="709"/>
        <w:jc w:val="both"/>
        <w:rPr>
          <w:rFonts w:eastAsia="Calibri"/>
          <w:sz w:val="22"/>
          <w:szCs w:val="22"/>
        </w:rPr>
      </w:pPr>
    </w:p>
    <w:p w14:paraId="43A1E942" w14:textId="77777777" w:rsidR="00B15F7D" w:rsidRPr="00990FB6" w:rsidRDefault="00B15F7D" w:rsidP="00B15F7D">
      <w:pPr>
        <w:tabs>
          <w:tab w:val="left" w:pos="426"/>
        </w:tabs>
        <w:autoSpaceDE w:val="0"/>
        <w:autoSpaceDN w:val="0"/>
        <w:adjustRightInd w:val="0"/>
        <w:ind w:left="851" w:right="851" w:firstLine="709"/>
        <w:jc w:val="both"/>
        <w:rPr>
          <w:rFonts w:eastAsia="Calibri"/>
          <w:sz w:val="22"/>
          <w:szCs w:val="22"/>
        </w:rPr>
      </w:pPr>
      <w:bookmarkStart w:id="68" w:name="_Hlk128696211"/>
      <w:r w:rsidRPr="00990FB6">
        <w:rPr>
          <w:rFonts w:eastAsia="Calibri"/>
          <w:sz w:val="22"/>
          <w:szCs w:val="22"/>
        </w:rPr>
        <w:t xml:space="preserve">Realizar con carácter urgente, una mejora al reparto por procedimiento de e manera que se pueda utilizar en Tribunales de Segunda Instancia y que reparta los recursos aunque sean recibidos a través del sistema de </w:t>
      </w:r>
      <w:proofErr w:type="spellStart"/>
      <w:r w:rsidRPr="00990FB6">
        <w:rPr>
          <w:rFonts w:eastAsia="Calibri"/>
          <w:sz w:val="22"/>
          <w:szCs w:val="22"/>
        </w:rPr>
        <w:t>itineraciones</w:t>
      </w:r>
      <w:proofErr w:type="spellEnd"/>
      <w:r w:rsidRPr="00990FB6">
        <w:rPr>
          <w:rFonts w:eastAsia="Calibri"/>
          <w:sz w:val="22"/>
          <w:szCs w:val="22"/>
        </w:rPr>
        <w:t xml:space="preserve">, según el </w:t>
      </w:r>
      <w:r w:rsidRPr="00990FB6">
        <w:rPr>
          <w:rFonts w:eastAsia="Calibri"/>
          <w:b/>
          <w:bCs/>
          <w:sz w:val="22"/>
          <w:szCs w:val="22"/>
        </w:rPr>
        <w:t>requerimiento enviado por oficio 128-PLA-MI(NPL)-2023</w:t>
      </w:r>
      <w:r w:rsidRPr="00990FB6">
        <w:rPr>
          <w:rFonts w:eastAsia="Calibri"/>
          <w:sz w:val="22"/>
          <w:szCs w:val="22"/>
        </w:rPr>
        <w:t xml:space="preserve">, Una vez hecha la mejora aplica para que se configure a todos los tribunales de segunda instancia en materia de Familia, Agrario, Contencioso Administrativo, Laboral y Civil. </w:t>
      </w:r>
    </w:p>
    <w:bookmarkEnd w:id="68"/>
    <w:p w14:paraId="357E68BC" w14:textId="77777777" w:rsidR="00B15F7D" w:rsidRPr="00990FB6" w:rsidRDefault="00B15F7D" w:rsidP="00B15F7D">
      <w:pPr>
        <w:tabs>
          <w:tab w:val="left" w:pos="426"/>
        </w:tabs>
        <w:autoSpaceDE w:val="0"/>
        <w:autoSpaceDN w:val="0"/>
        <w:adjustRightInd w:val="0"/>
        <w:ind w:left="720"/>
        <w:jc w:val="both"/>
        <w:rPr>
          <w:rFonts w:eastAsia="Calibri"/>
          <w:sz w:val="22"/>
          <w:szCs w:val="22"/>
        </w:rPr>
      </w:pPr>
    </w:p>
    <w:p w14:paraId="4D84D361" w14:textId="77777777" w:rsidR="00B15F7D" w:rsidRPr="00990FB6" w:rsidRDefault="00B15F7D" w:rsidP="00B15F7D">
      <w:pPr>
        <w:ind w:left="851" w:firstLine="709"/>
        <w:rPr>
          <w:b/>
          <w:bCs/>
          <w:sz w:val="22"/>
          <w:szCs w:val="22"/>
        </w:rPr>
      </w:pPr>
      <w:r w:rsidRPr="00990FB6">
        <w:rPr>
          <w:rFonts w:eastAsia="MS PGothic"/>
          <w:b/>
          <w:bCs/>
          <w:sz w:val="22"/>
          <w:szCs w:val="22"/>
        </w:rPr>
        <w:t>A las Administraciones Regionales a nivel nacional</w:t>
      </w:r>
    </w:p>
    <w:p w14:paraId="7BAE1D55" w14:textId="77777777" w:rsidR="00B15F7D" w:rsidRPr="00990FB6" w:rsidRDefault="00B15F7D" w:rsidP="00B15F7D">
      <w:pPr>
        <w:jc w:val="both"/>
        <w:rPr>
          <w:rFonts w:eastAsia="Calibri"/>
          <w:sz w:val="22"/>
          <w:szCs w:val="22"/>
        </w:rPr>
      </w:pPr>
    </w:p>
    <w:p w14:paraId="61A831B3"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Dar cumplimiento a lo establecido en el “</w:t>
      </w:r>
      <w:r w:rsidRPr="00990FB6">
        <w:rPr>
          <w:rFonts w:eastAsia="Calibri"/>
          <w:i/>
          <w:iCs/>
          <w:sz w:val="22"/>
          <w:szCs w:val="22"/>
        </w:rPr>
        <w:t>Reglamento sobre Expediente Electrónico ante el Poder Judicial”,</w:t>
      </w:r>
      <w:r w:rsidRPr="00990FB6">
        <w:rPr>
          <w:rFonts w:eastAsia="Calibri"/>
          <w:sz w:val="22"/>
          <w:szCs w:val="22"/>
        </w:rPr>
        <w:t xml:space="preserve"> circular 139-11, cita artículo 5 y otros referidos al tema que enfatiza a la política de cero papel y Capítulo III en relación con las “</w:t>
      </w:r>
      <w:r w:rsidRPr="00990FB6">
        <w:rPr>
          <w:rFonts w:eastAsia="Calibri"/>
          <w:i/>
          <w:iCs/>
          <w:sz w:val="22"/>
          <w:szCs w:val="22"/>
        </w:rPr>
        <w:t>Gestiones de partes en procesos ante el Poder Judicial por medios electrónicos, informáticos, telemáticos o semejantes”;</w:t>
      </w:r>
      <w:r w:rsidRPr="00990FB6">
        <w:rPr>
          <w:rFonts w:eastAsia="Calibri"/>
          <w:sz w:val="22"/>
          <w:szCs w:val="22"/>
        </w:rPr>
        <w:t xml:space="preserve"> cuando se trate de despachos judiciales de trámite electrónico.</w:t>
      </w:r>
    </w:p>
    <w:p w14:paraId="0C87888E" w14:textId="77777777" w:rsidR="00B15F7D" w:rsidRPr="00990FB6" w:rsidRDefault="00B15F7D" w:rsidP="00B15F7D">
      <w:pPr>
        <w:ind w:left="851" w:right="851" w:firstLine="709"/>
        <w:jc w:val="both"/>
        <w:rPr>
          <w:rFonts w:eastAsia="Calibri"/>
          <w:sz w:val="22"/>
          <w:szCs w:val="22"/>
        </w:rPr>
      </w:pPr>
    </w:p>
    <w:p w14:paraId="468E71F9" w14:textId="77777777" w:rsidR="00B15F7D" w:rsidRPr="00990FB6" w:rsidRDefault="00B15F7D" w:rsidP="00B15F7D">
      <w:pPr>
        <w:ind w:left="851" w:right="851" w:firstLine="709"/>
        <w:jc w:val="both"/>
        <w:rPr>
          <w:rFonts w:eastAsia="Calibri"/>
          <w:caps/>
          <w:sz w:val="22"/>
          <w:szCs w:val="22"/>
        </w:rPr>
      </w:pPr>
      <w:r w:rsidRPr="00990FB6">
        <w:rPr>
          <w:rFonts w:eastAsia="Calibri"/>
          <w:caps/>
          <w:sz w:val="22"/>
          <w:szCs w:val="22"/>
        </w:rPr>
        <w:t xml:space="preserve">Dar cumplimiento a lo dispuesto en las circulares 61 y 79-2021, cuando las plazas supernumerarias den apoyo a juzgados que utilicen el módulo de pase a fallo del Escritorio Virtual por tareas. </w:t>
      </w:r>
    </w:p>
    <w:p w14:paraId="61B734BF" w14:textId="77777777" w:rsidR="00B15F7D" w:rsidRPr="00990FB6" w:rsidRDefault="00B15F7D" w:rsidP="00B15F7D">
      <w:pPr>
        <w:ind w:left="851" w:right="851" w:firstLine="709"/>
        <w:jc w:val="both"/>
        <w:rPr>
          <w:rFonts w:eastAsia="Calibri"/>
          <w:b/>
          <w:caps/>
          <w:sz w:val="22"/>
          <w:szCs w:val="22"/>
        </w:rPr>
      </w:pPr>
    </w:p>
    <w:p w14:paraId="4C6F74AE" w14:textId="77777777" w:rsidR="00B15F7D" w:rsidRPr="00990FB6" w:rsidRDefault="00B15F7D" w:rsidP="00B15F7D">
      <w:pPr>
        <w:ind w:left="851" w:right="851" w:firstLine="709"/>
        <w:rPr>
          <w:rFonts w:eastAsia="MS PGothic"/>
          <w:b/>
          <w:bCs/>
          <w:sz w:val="22"/>
          <w:szCs w:val="22"/>
        </w:rPr>
      </w:pPr>
      <w:r w:rsidRPr="00990FB6">
        <w:rPr>
          <w:rFonts w:eastAsia="MS PGothic"/>
          <w:b/>
          <w:bCs/>
          <w:sz w:val="22"/>
          <w:szCs w:val="22"/>
        </w:rPr>
        <w:t>A los Consejos de Administración a nivel nacional</w:t>
      </w:r>
    </w:p>
    <w:p w14:paraId="6ADC0343" w14:textId="77777777" w:rsidR="00B15F7D" w:rsidRPr="00990FB6" w:rsidRDefault="00B15F7D" w:rsidP="00B15F7D">
      <w:pPr>
        <w:widowControl w:val="0"/>
        <w:ind w:left="720"/>
        <w:jc w:val="both"/>
        <w:rPr>
          <w:rFonts w:eastAsia="Calibri"/>
          <w:sz w:val="22"/>
          <w:szCs w:val="22"/>
        </w:rPr>
      </w:pPr>
    </w:p>
    <w:p w14:paraId="15760932"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Conocerán los resultados del seguimiento y tomarán las medidas de apoyo requeridas para darle sostenibilidad al proceso, según sus competencias.</w:t>
      </w:r>
    </w:p>
    <w:p w14:paraId="6C4B6D59" w14:textId="77777777" w:rsidR="00B15F7D" w:rsidRPr="00990FB6" w:rsidRDefault="00B15F7D" w:rsidP="00B15F7D">
      <w:pPr>
        <w:widowControl w:val="0"/>
        <w:ind w:left="851" w:right="851" w:firstLine="709"/>
        <w:jc w:val="both"/>
        <w:rPr>
          <w:rFonts w:eastAsia="Calibri"/>
          <w:sz w:val="22"/>
          <w:szCs w:val="22"/>
        </w:rPr>
      </w:pPr>
    </w:p>
    <w:p w14:paraId="24AED34A"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Se le reiteran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 Lo anterior conforme al acuerdo del Consejo Superior en sesión 82-2020 celebrada el 20 de agosto del 2020, artículo XLI.</w:t>
      </w:r>
    </w:p>
    <w:p w14:paraId="61EC7D58" w14:textId="77777777" w:rsidR="00B15F7D" w:rsidRPr="00990FB6" w:rsidRDefault="00B15F7D" w:rsidP="00B15F7D">
      <w:pPr>
        <w:widowControl w:val="0"/>
        <w:ind w:left="851" w:right="851" w:firstLine="709"/>
        <w:jc w:val="both"/>
        <w:rPr>
          <w:rFonts w:eastAsia="Calibri"/>
          <w:sz w:val="22"/>
          <w:szCs w:val="22"/>
        </w:rPr>
      </w:pPr>
    </w:p>
    <w:p w14:paraId="48919367" w14:textId="77777777" w:rsidR="00B15F7D" w:rsidRPr="00990FB6" w:rsidRDefault="00B15F7D" w:rsidP="00B15F7D">
      <w:pPr>
        <w:ind w:left="851" w:right="851" w:firstLine="709"/>
        <w:rPr>
          <w:rFonts w:eastAsia="MS PGothic"/>
          <w:b/>
          <w:bCs/>
          <w:sz w:val="22"/>
          <w:szCs w:val="22"/>
        </w:rPr>
      </w:pPr>
    </w:p>
    <w:p w14:paraId="13D0A89E" w14:textId="77777777" w:rsidR="00B15F7D" w:rsidRPr="00990FB6" w:rsidRDefault="00B15F7D" w:rsidP="00B15F7D">
      <w:pPr>
        <w:ind w:left="851" w:right="851" w:firstLine="709"/>
        <w:rPr>
          <w:rFonts w:eastAsia="MS PGothic"/>
          <w:b/>
          <w:bCs/>
          <w:sz w:val="22"/>
          <w:szCs w:val="22"/>
        </w:rPr>
      </w:pPr>
      <w:r w:rsidRPr="00990FB6">
        <w:rPr>
          <w:rFonts w:eastAsia="MS PGothic"/>
          <w:b/>
          <w:bCs/>
          <w:sz w:val="22"/>
          <w:szCs w:val="22"/>
        </w:rPr>
        <w:t>A los Juzgados competentes en materia de Familia a nivel nacional</w:t>
      </w:r>
    </w:p>
    <w:p w14:paraId="46E172D7" w14:textId="77777777" w:rsidR="00B15F7D" w:rsidRPr="00990FB6" w:rsidRDefault="00B15F7D" w:rsidP="00B15F7D">
      <w:pPr>
        <w:widowControl w:val="0"/>
        <w:ind w:left="851" w:right="851" w:firstLine="709"/>
        <w:jc w:val="both"/>
        <w:rPr>
          <w:rFonts w:eastAsia="Calibri"/>
          <w:sz w:val="22"/>
          <w:szCs w:val="22"/>
        </w:rPr>
      </w:pPr>
    </w:p>
    <w:p w14:paraId="51FF79D9"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Mantener actualizada la información de la Agenda Cronos, por lo que las personas juzgadoras serán las responsables de incluir el resultado de la audiencia y las personas técnicas judiciales encargadas de los expedientes deben de realizar los señalamientos; en acatamiento de las directrices institucionales, principalmente a las circulares 47-14, 261-14-17 y 15-17 de la Secretaría General de la Corte.</w:t>
      </w:r>
    </w:p>
    <w:p w14:paraId="50F24835" w14:textId="77777777" w:rsidR="00B15F7D" w:rsidRPr="00990FB6" w:rsidRDefault="00B15F7D" w:rsidP="00B15F7D">
      <w:pPr>
        <w:widowControl w:val="0"/>
        <w:ind w:left="851" w:right="851" w:firstLine="709"/>
        <w:jc w:val="both"/>
        <w:rPr>
          <w:rFonts w:eastAsia="Calibri"/>
          <w:sz w:val="22"/>
          <w:szCs w:val="22"/>
        </w:rPr>
      </w:pPr>
    </w:p>
    <w:p w14:paraId="79C8F2F1"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Realizar las depuraciones de expedientes (con más de seis meses sin movimiento), mínimo dos veces al año; ya que la inactivación contribuye con la disminución del circulante en los Despachos. </w:t>
      </w:r>
    </w:p>
    <w:p w14:paraId="2D1CF1A7" w14:textId="77777777" w:rsidR="00B15F7D" w:rsidRPr="00990FB6" w:rsidRDefault="00B15F7D" w:rsidP="00B15F7D">
      <w:pPr>
        <w:widowControl w:val="0"/>
        <w:ind w:left="851" w:right="851" w:firstLine="709"/>
        <w:jc w:val="both"/>
        <w:rPr>
          <w:rFonts w:eastAsia="Calibri"/>
          <w:sz w:val="22"/>
          <w:szCs w:val="22"/>
        </w:rPr>
      </w:pPr>
    </w:p>
    <w:p w14:paraId="4A6F4EF0"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Realizar de forma trimestral la generación reporte en SIGMA de duraciones y revisar aquellos asuntos que superen la duración según criterio experto. Tomar las medidas necesarias para atender los asuntos si corresponde a causas propias de la oficina, circular 96-2021 y 213-2021 </w:t>
      </w:r>
      <w:r w:rsidRPr="00990FB6">
        <w:rPr>
          <w:rFonts w:eastAsia="Calibri"/>
          <w:i/>
          <w:iCs/>
          <w:sz w:val="22"/>
          <w:szCs w:val="22"/>
          <w:shd w:val="clear" w:color="auto" w:fill="FFFFFF"/>
        </w:rPr>
        <w:t>Creación de un reporte informático denominado “Duración del circulante activo”</w:t>
      </w:r>
      <w:r w:rsidRPr="00990FB6">
        <w:rPr>
          <w:rFonts w:eastAsia="Calibri"/>
          <w:sz w:val="22"/>
          <w:szCs w:val="22"/>
          <w:shd w:val="clear" w:color="auto" w:fill="FFFFFF"/>
        </w:rPr>
        <w:t>.</w:t>
      </w:r>
      <w:r w:rsidRPr="00990FB6">
        <w:rPr>
          <w:rFonts w:eastAsia="Calibri"/>
          <w:sz w:val="22"/>
          <w:szCs w:val="22"/>
        </w:rPr>
        <w:t xml:space="preserve"> </w:t>
      </w:r>
    </w:p>
    <w:p w14:paraId="2B341AAA" w14:textId="77777777" w:rsidR="00B15F7D" w:rsidRPr="00990FB6" w:rsidRDefault="00B15F7D" w:rsidP="00B15F7D">
      <w:pPr>
        <w:widowControl w:val="0"/>
        <w:ind w:left="720"/>
        <w:jc w:val="both"/>
        <w:rPr>
          <w:rFonts w:eastAsia="Calibri"/>
          <w:sz w:val="22"/>
          <w:szCs w:val="22"/>
        </w:rPr>
      </w:pPr>
    </w:p>
    <w:p w14:paraId="08EFBE8F" w14:textId="77777777" w:rsidR="00B15F7D" w:rsidRPr="00990FB6" w:rsidRDefault="00B15F7D" w:rsidP="00B15F7D">
      <w:pPr>
        <w:jc w:val="center"/>
        <w:rPr>
          <w:caps/>
          <w:spacing w:val="-15"/>
          <w:sz w:val="22"/>
          <w:szCs w:val="22"/>
        </w:rPr>
      </w:pPr>
      <w:r w:rsidRPr="00990FB6">
        <w:rPr>
          <w:rFonts w:eastAsia="Calibri"/>
          <w:b/>
          <w:caps/>
          <w:noProof/>
          <w:sz w:val="22"/>
          <w:szCs w:val="22"/>
        </w:rPr>
        <w:drawing>
          <wp:inline distT="0" distB="0" distL="0" distR="0" wp14:anchorId="527F4542" wp14:editId="7790C4C6">
            <wp:extent cx="3594296" cy="790498"/>
            <wp:effectExtent l="0" t="0" r="6350" b="0"/>
            <wp:docPr id="1263269088" name="Picture 126326908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8" name="Imagen 1263269088" descr="Tabla&#10;&#10;Descripción generada automáticamente"/>
                    <pic:cNvPicPr>
                      <a:picLocks noChangeAspect="1" noChangeArrowheads="1"/>
                    </pic:cNvPicPr>
                  </pic:nvPicPr>
                  <pic:blipFill rotWithShape="1">
                    <a:blip r:embed="rId130">
                      <a:extLst>
                        <a:ext uri="{28A0092B-C50C-407E-A947-70E740481C1C}">
                          <a14:useLocalDpi xmlns:a14="http://schemas.microsoft.com/office/drawing/2010/main" val="0"/>
                        </a:ext>
                      </a:extLst>
                    </a:blip>
                    <a:srcRect l="1209" t="7359" r="1141" b="27223"/>
                    <a:stretch/>
                  </pic:blipFill>
                  <pic:spPr bwMode="auto">
                    <a:xfrm>
                      <a:off x="0" y="0"/>
                      <a:ext cx="3616914" cy="795473"/>
                    </a:xfrm>
                    <a:prstGeom prst="rect">
                      <a:avLst/>
                    </a:prstGeom>
                    <a:noFill/>
                    <a:ln>
                      <a:noFill/>
                    </a:ln>
                    <a:extLst>
                      <a:ext uri="{53640926-AAD7-44D8-BBD7-CCE9431645EC}">
                        <a14:shadowObscured xmlns:a14="http://schemas.microsoft.com/office/drawing/2010/main"/>
                      </a:ext>
                    </a:extLst>
                  </pic:spPr>
                </pic:pic>
              </a:graphicData>
            </a:graphic>
          </wp:inline>
        </w:drawing>
      </w:r>
    </w:p>
    <w:p w14:paraId="706E1C68" w14:textId="77777777" w:rsidR="00B15F7D" w:rsidRPr="00990FB6" w:rsidRDefault="00B15F7D" w:rsidP="00B15F7D">
      <w:pPr>
        <w:widowControl w:val="0"/>
        <w:ind w:left="851" w:right="851" w:firstLine="709"/>
        <w:jc w:val="both"/>
        <w:rPr>
          <w:rFonts w:eastAsia="Calibri"/>
          <w:sz w:val="22"/>
          <w:szCs w:val="22"/>
        </w:rPr>
      </w:pPr>
    </w:p>
    <w:p w14:paraId="4B44C548"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Verificar que la información incluida en los expedientes sea la correcta, que se actualice la información de la fase, tarea, ubicación, estado; entre otras, ya que es insumo para la toma de decisiones, por lo que debe ser confiable.</w:t>
      </w:r>
    </w:p>
    <w:p w14:paraId="28512C9B" w14:textId="77777777" w:rsidR="00B15F7D" w:rsidRPr="00990FB6" w:rsidRDefault="00B15F7D" w:rsidP="00B15F7D">
      <w:pPr>
        <w:widowControl w:val="0"/>
        <w:ind w:left="851" w:right="851" w:firstLine="709"/>
        <w:jc w:val="both"/>
        <w:rPr>
          <w:rFonts w:eastAsia="Calibri"/>
          <w:sz w:val="22"/>
          <w:szCs w:val="22"/>
        </w:rPr>
      </w:pPr>
    </w:p>
    <w:p w14:paraId="4D28FACB"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Revisar el Banco de Buenas Prácticas con el fin de valorar la idoneidad y replicar en los Despachos las que correspondan con el fin de mejorar la gestión de sus labores con las experiencias de otras oficinas.</w:t>
      </w:r>
    </w:p>
    <w:p w14:paraId="382A1856" w14:textId="77777777" w:rsidR="00B15F7D" w:rsidRPr="00990FB6" w:rsidRDefault="00B15F7D" w:rsidP="00B15F7D">
      <w:pPr>
        <w:widowControl w:val="0"/>
        <w:ind w:left="851" w:right="851" w:firstLine="709"/>
        <w:jc w:val="both"/>
        <w:rPr>
          <w:rFonts w:eastAsia="Calibri"/>
          <w:sz w:val="22"/>
          <w:szCs w:val="22"/>
        </w:rPr>
      </w:pPr>
    </w:p>
    <w:p w14:paraId="41F465DF"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Dar cumplimiento a las circulares 87-15, 159-15, 27 y 28-16, 160-16, 89-18, 133-18 y 94-2019 sobre su obligación de colaborar con el personal de la Dirección de Tecnología de Información y Comunicaciones,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7F4F28E" w14:textId="77777777" w:rsidR="00B15F7D" w:rsidRPr="00990FB6" w:rsidRDefault="00B15F7D" w:rsidP="00B15F7D">
      <w:pPr>
        <w:widowControl w:val="0"/>
        <w:ind w:left="851" w:right="851" w:firstLine="709"/>
        <w:jc w:val="both"/>
        <w:rPr>
          <w:rFonts w:eastAsia="Calibri"/>
          <w:sz w:val="22"/>
          <w:szCs w:val="22"/>
        </w:rPr>
      </w:pPr>
    </w:p>
    <w:p w14:paraId="6B0A038E" w14:textId="77777777" w:rsidR="00B15F7D" w:rsidRPr="00990FB6" w:rsidRDefault="00B15F7D" w:rsidP="00B15F7D">
      <w:pPr>
        <w:widowControl w:val="0"/>
        <w:ind w:left="851" w:right="851" w:firstLine="709"/>
        <w:jc w:val="both"/>
        <w:rPr>
          <w:rFonts w:eastAsia="Calibri"/>
          <w:sz w:val="22"/>
          <w:szCs w:val="22"/>
        </w:rPr>
      </w:pPr>
    </w:p>
    <w:p w14:paraId="7A3753D8"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lastRenderedPageBreak/>
        <w:t>Actualizar la información dentro del Sistema de Gestión de Despachos Judiciales de las variables sociodemográficas de los distintos intervinientes en los procesos, con el objetivo de que sea información útil y necesaria para el análisis de mejoras en el servicio que se presta a las personas usuarias.</w:t>
      </w:r>
    </w:p>
    <w:p w14:paraId="37989003" w14:textId="77777777" w:rsidR="00B15F7D" w:rsidRPr="00990FB6" w:rsidRDefault="00B15F7D" w:rsidP="00B15F7D">
      <w:pPr>
        <w:widowControl w:val="0"/>
        <w:ind w:left="851" w:right="851" w:firstLine="709"/>
        <w:jc w:val="both"/>
        <w:rPr>
          <w:rFonts w:eastAsia="Calibri"/>
          <w:sz w:val="22"/>
          <w:szCs w:val="22"/>
        </w:rPr>
      </w:pPr>
    </w:p>
    <w:p w14:paraId="72D99762"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209171B5" w14:textId="77777777" w:rsidR="00B15F7D" w:rsidRPr="00990FB6" w:rsidRDefault="00B15F7D" w:rsidP="00B15F7D">
      <w:pPr>
        <w:widowControl w:val="0"/>
        <w:ind w:left="851" w:right="851" w:firstLine="709"/>
        <w:jc w:val="both"/>
        <w:rPr>
          <w:rFonts w:eastAsia="Calibri"/>
          <w:sz w:val="22"/>
          <w:szCs w:val="22"/>
        </w:rPr>
      </w:pPr>
    </w:p>
    <w:p w14:paraId="06C3DDD6" w14:textId="77777777" w:rsidR="00B15F7D" w:rsidRPr="00990FB6" w:rsidRDefault="00B15F7D" w:rsidP="00B15F7D">
      <w:pPr>
        <w:ind w:left="851" w:right="851" w:firstLine="709"/>
        <w:jc w:val="both"/>
        <w:rPr>
          <w:rFonts w:eastAsia="Calibri"/>
          <w:caps/>
          <w:sz w:val="22"/>
          <w:szCs w:val="22"/>
        </w:rPr>
      </w:pPr>
      <w:r w:rsidRPr="00990FB6">
        <w:rPr>
          <w:rFonts w:eastAsia="Calibri"/>
          <w:caps/>
          <w:sz w:val="22"/>
          <w:szCs w:val="22"/>
        </w:rPr>
        <w:t xml:space="preserve">Dar cumplimiento a la circular relacionada con el régimen disciplinario </w:t>
      </w:r>
      <w:bookmarkStart w:id="69" w:name="_Hlk97885411"/>
      <w:r w:rsidRPr="00990FB6">
        <w:rPr>
          <w:rFonts w:eastAsia="Calibri"/>
          <w:caps/>
          <w:sz w:val="22"/>
          <w:szCs w:val="22"/>
        </w:rPr>
        <w:t xml:space="preserve">170-2021 </w:t>
      </w:r>
      <w:r w:rsidRPr="00990FB6">
        <w:rPr>
          <w:rFonts w:eastAsia="Calibri"/>
          <w:i/>
          <w:iCs/>
          <w:caps/>
          <w:sz w:val="22"/>
          <w:szCs w:val="22"/>
        </w:rPr>
        <w:t>Obligación de cumplir con la corrección de inconsistencias de manera permanente, cumplimiento de circulares y actualización de los controles implementados bajo apercibimiento de aplicar el régimen disciplinario por su incumplimiento</w:t>
      </w:r>
      <w:bookmarkEnd w:id="69"/>
      <w:r w:rsidRPr="00990FB6">
        <w:rPr>
          <w:rFonts w:eastAsia="Calibri"/>
          <w:caps/>
          <w:sz w:val="22"/>
          <w:szCs w:val="22"/>
        </w:rPr>
        <w:t xml:space="preserve">. </w:t>
      </w:r>
    </w:p>
    <w:p w14:paraId="23220D3F" w14:textId="77777777" w:rsidR="00B15F7D" w:rsidRPr="00990FB6" w:rsidRDefault="00B15F7D" w:rsidP="00B15F7D">
      <w:pPr>
        <w:ind w:left="851" w:right="851" w:firstLine="709"/>
        <w:jc w:val="both"/>
        <w:rPr>
          <w:rFonts w:eastAsia="Calibri"/>
          <w:b/>
          <w:caps/>
          <w:sz w:val="22"/>
          <w:szCs w:val="22"/>
        </w:rPr>
      </w:pPr>
    </w:p>
    <w:p w14:paraId="6C62EDB2" w14:textId="77777777" w:rsidR="00B15F7D" w:rsidRPr="00990FB6" w:rsidRDefault="00B15F7D" w:rsidP="00B15F7D">
      <w:pPr>
        <w:ind w:left="794" w:right="851" w:firstLine="709"/>
        <w:jc w:val="both"/>
        <w:rPr>
          <w:rFonts w:eastAsia="MS PGothic"/>
          <w:b/>
          <w:bCs/>
          <w:sz w:val="22"/>
          <w:szCs w:val="22"/>
        </w:rPr>
      </w:pPr>
      <w:r w:rsidRPr="00990FB6">
        <w:rPr>
          <w:rFonts w:eastAsia="MS PGothic"/>
          <w:b/>
          <w:bCs/>
          <w:sz w:val="22"/>
          <w:szCs w:val="22"/>
        </w:rPr>
        <w:t>A los Juzgados que atienden materia de Pensiones Alimentarias a nivel nacional</w:t>
      </w:r>
    </w:p>
    <w:p w14:paraId="2A45AE44" w14:textId="77777777" w:rsidR="00B15F7D" w:rsidRPr="00990FB6" w:rsidRDefault="00B15F7D" w:rsidP="00B15F7D">
      <w:pPr>
        <w:widowControl w:val="0"/>
        <w:ind w:left="720"/>
        <w:jc w:val="both"/>
        <w:rPr>
          <w:rFonts w:eastAsia="Calibri"/>
          <w:sz w:val="22"/>
          <w:szCs w:val="22"/>
        </w:rPr>
      </w:pPr>
    </w:p>
    <w:p w14:paraId="4E3B300F"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Dar cumplimiento a las circulares 87-15, 159-15, 27 y 28-16, 160-16, 89-18, 133-18 y 94-2019 sobre su obligación de colaborar con el personal de la Dirección de Tecnología de Información y Comunicaciones,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4FAF829E" w14:textId="77777777" w:rsidR="00B15F7D" w:rsidRPr="00990FB6" w:rsidRDefault="00B15F7D" w:rsidP="00B15F7D">
      <w:pPr>
        <w:widowControl w:val="0"/>
        <w:ind w:left="851" w:right="851" w:firstLine="709"/>
        <w:jc w:val="both"/>
        <w:rPr>
          <w:rFonts w:eastAsia="Calibri"/>
          <w:sz w:val="22"/>
          <w:szCs w:val="22"/>
        </w:rPr>
      </w:pPr>
    </w:p>
    <w:p w14:paraId="1B32D911"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Actualizar la información dentro del Sistema de Gestión de Despachos Judiciales de las variables sociodemográficas de los distintos intervinientes en los procesos, con el objetivo de que sea información útil y necesaria para el análisis de mejoras en el servicio que se presta a las personas usuarias.</w:t>
      </w:r>
    </w:p>
    <w:p w14:paraId="08BE29B6" w14:textId="77777777" w:rsidR="00B15F7D" w:rsidRPr="00990FB6" w:rsidRDefault="00B15F7D" w:rsidP="00B15F7D">
      <w:pPr>
        <w:widowControl w:val="0"/>
        <w:ind w:left="851" w:right="851" w:firstLine="709"/>
        <w:jc w:val="both"/>
        <w:rPr>
          <w:rFonts w:eastAsia="Calibri"/>
          <w:sz w:val="22"/>
          <w:szCs w:val="22"/>
        </w:rPr>
      </w:pPr>
    </w:p>
    <w:p w14:paraId="0252D801"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w:t>
      </w:r>
      <w:r w:rsidRPr="00990FB6">
        <w:rPr>
          <w:rFonts w:eastAsia="Calibri"/>
          <w:sz w:val="22"/>
          <w:szCs w:val="22"/>
        </w:rPr>
        <w:lastRenderedPageBreak/>
        <w:t>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3F354A46" w14:textId="77777777" w:rsidR="00B15F7D" w:rsidRPr="00990FB6" w:rsidRDefault="00B15F7D" w:rsidP="00B15F7D">
      <w:pPr>
        <w:widowControl w:val="0"/>
        <w:ind w:left="851" w:right="851" w:firstLine="709"/>
        <w:jc w:val="both"/>
        <w:rPr>
          <w:rFonts w:eastAsia="Calibri"/>
          <w:sz w:val="22"/>
          <w:szCs w:val="22"/>
        </w:rPr>
      </w:pPr>
    </w:p>
    <w:p w14:paraId="7A6F23D7" w14:textId="77777777" w:rsidR="00B15F7D" w:rsidRPr="00990FB6" w:rsidRDefault="00B15F7D" w:rsidP="00B15F7D">
      <w:pPr>
        <w:widowControl w:val="0"/>
        <w:ind w:left="851" w:right="851" w:firstLine="709"/>
        <w:jc w:val="both"/>
        <w:rPr>
          <w:rFonts w:eastAsia="Calibri"/>
          <w:i/>
          <w:iCs/>
          <w:sz w:val="22"/>
          <w:szCs w:val="22"/>
        </w:rPr>
      </w:pPr>
      <w:r w:rsidRPr="00990FB6">
        <w:rPr>
          <w:rFonts w:eastAsia="Calibri"/>
          <w:sz w:val="22"/>
          <w:szCs w:val="22"/>
        </w:rPr>
        <w:t xml:space="preserve">Dar cumplimiento a la circular 170-2021 </w:t>
      </w:r>
      <w:r w:rsidRPr="00990FB6">
        <w:rPr>
          <w:rFonts w:eastAsia="Calibri"/>
          <w:i/>
          <w:iCs/>
          <w:sz w:val="22"/>
          <w:szCs w:val="22"/>
        </w:rPr>
        <w:t>“Obligación de cumplir con la corrección de inconsistencias de manera permanente, cumplimiento de circulares y actualización de los controles implementados bajo apercibimiento de aplicar el régimen disciplinario por su incumplimiento”.</w:t>
      </w:r>
    </w:p>
    <w:p w14:paraId="14BED9BB" w14:textId="77777777" w:rsidR="00B15F7D" w:rsidRPr="00990FB6" w:rsidRDefault="00B15F7D" w:rsidP="00B15F7D">
      <w:pPr>
        <w:widowControl w:val="0"/>
        <w:ind w:left="851" w:right="851" w:firstLine="709"/>
        <w:jc w:val="both"/>
        <w:rPr>
          <w:rFonts w:eastAsia="Calibri"/>
          <w:sz w:val="22"/>
          <w:szCs w:val="22"/>
        </w:rPr>
      </w:pPr>
    </w:p>
    <w:p w14:paraId="78B3A0B0"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Realizar de forma trimestral la generación reporte en SIGMA de duraciones y revisar aquellos asuntos que superen la duración según criterio experto. Tomar las medidas necesarias para atender los asuntos si corresponde a causas propias de la oficina. Circular 96-2021 y 213-21 Creación de un reporte informático denominado “Duración del circulante activo”.</w:t>
      </w:r>
    </w:p>
    <w:p w14:paraId="1E288443" w14:textId="77777777" w:rsidR="00B15F7D" w:rsidRPr="00990FB6" w:rsidRDefault="00B15F7D" w:rsidP="00B15F7D">
      <w:pPr>
        <w:jc w:val="center"/>
        <w:rPr>
          <w:rFonts w:eastAsia="Calibri"/>
          <w:b/>
          <w:caps/>
          <w:sz w:val="22"/>
          <w:szCs w:val="22"/>
        </w:rPr>
      </w:pPr>
      <w:r w:rsidRPr="00990FB6">
        <w:rPr>
          <w:caps/>
          <w:noProof/>
          <w:spacing w:val="-15"/>
          <w:sz w:val="22"/>
          <w:szCs w:val="22"/>
        </w:rPr>
        <w:drawing>
          <wp:inline distT="0" distB="0" distL="0" distR="0" wp14:anchorId="07D9E1EF" wp14:editId="4CBD46FE">
            <wp:extent cx="4432300" cy="996950"/>
            <wp:effectExtent l="0" t="0" r="6350" b="0"/>
            <wp:docPr id="12632690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32300" cy="996950"/>
                    </a:xfrm>
                    <a:prstGeom prst="rect">
                      <a:avLst/>
                    </a:prstGeom>
                    <a:noFill/>
                    <a:ln>
                      <a:noFill/>
                    </a:ln>
                  </pic:spPr>
                </pic:pic>
              </a:graphicData>
            </a:graphic>
          </wp:inline>
        </w:drawing>
      </w:r>
    </w:p>
    <w:p w14:paraId="72B3C571" w14:textId="77777777" w:rsidR="007B2513" w:rsidRPr="00990FB6" w:rsidRDefault="007B2513" w:rsidP="00B15F7D">
      <w:pPr>
        <w:ind w:left="851" w:right="851" w:firstLine="709"/>
        <w:jc w:val="both"/>
        <w:rPr>
          <w:rFonts w:eastAsia="MS PGothic"/>
          <w:b/>
          <w:bCs/>
          <w:sz w:val="22"/>
          <w:szCs w:val="22"/>
        </w:rPr>
      </w:pPr>
    </w:p>
    <w:p w14:paraId="1366CFCA" w14:textId="39F47831" w:rsidR="00B15F7D" w:rsidRPr="00990FB6" w:rsidRDefault="00B15F7D" w:rsidP="00B15F7D">
      <w:pPr>
        <w:ind w:left="851" w:right="851" w:firstLine="709"/>
        <w:jc w:val="both"/>
        <w:rPr>
          <w:rFonts w:eastAsia="MS PGothic"/>
          <w:b/>
          <w:bCs/>
          <w:sz w:val="22"/>
          <w:szCs w:val="22"/>
        </w:rPr>
      </w:pPr>
      <w:r w:rsidRPr="00990FB6">
        <w:rPr>
          <w:rFonts w:eastAsia="MS PGothic"/>
          <w:b/>
          <w:bCs/>
          <w:sz w:val="22"/>
          <w:szCs w:val="22"/>
        </w:rPr>
        <w:t>A los Juzgados que atienden materia de Violencia Doméstica a nivel nacional</w:t>
      </w:r>
    </w:p>
    <w:p w14:paraId="6A3E3CDD" w14:textId="77777777" w:rsidR="00B15F7D" w:rsidRPr="00990FB6" w:rsidRDefault="00B15F7D" w:rsidP="00B15F7D">
      <w:pPr>
        <w:ind w:left="851" w:right="851" w:firstLine="709"/>
        <w:rPr>
          <w:caps/>
          <w:spacing w:val="-15"/>
          <w:sz w:val="22"/>
          <w:szCs w:val="22"/>
        </w:rPr>
      </w:pPr>
    </w:p>
    <w:p w14:paraId="70B1EB3C"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Dar cumplimiento a las circulares 87-15, 159-15, 27 y 28-16, 160-16, 89-18, 133-18 y 94-2019 sobre su obligación de colaborar con el personal de la Dirección de Tecnología de Información y Comunicaciones,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749A4DC9" w14:textId="77777777" w:rsidR="00B15F7D" w:rsidRPr="00990FB6" w:rsidRDefault="00B15F7D" w:rsidP="00B15F7D">
      <w:pPr>
        <w:widowControl w:val="0"/>
        <w:ind w:left="851" w:right="851" w:firstLine="709"/>
        <w:jc w:val="both"/>
        <w:rPr>
          <w:rFonts w:eastAsia="Calibri"/>
          <w:sz w:val="22"/>
          <w:szCs w:val="22"/>
        </w:rPr>
      </w:pPr>
    </w:p>
    <w:p w14:paraId="5EA714EC"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Apoyados en el proceso de inventarios y en la actualización diaria que se le debe realizar a cada uno de los expedientes durante la tramitación, realizar la actualización de las fases de los expedientes de forma que se genere información verás sobre la carga de trabajo de cada una de las oficinas; actividad que debe ser sostenida en el tiempo para próximos ejercicios presupuestarios. </w:t>
      </w:r>
    </w:p>
    <w:p w14:paraId="4ADA9A25" w14:textId="77777777" w:rsidR="00B15F7D" w:rsidRPr="00990FB6" w:rsidRDefault="00B15F7D" w:rsidP="00B15F7D">
      <w:pPr>
        <w:widowControl w:val="0"/>
        <w:ind w:left="851" w:right="851" w:firstLine="709"/>
        <w:jc w:val="both"/>
        <w:rPr>
          <w:rFonts w:eastAsia="Calibri"/>
          <w:sz w:val="22"/>
          <w:szCs w:val="22"/>
        </w:rPr>
      </w:pPr>
    </w:p>
    <w:p w14:paraId="3F58534F"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Actualizar la información dentro del Sistema de Gestión de Despachos Judiciales de las variables sociodemográficas de los distintos intervinientes en los procesos, con el objetivo de que sea información útil y </w:t>
      </w:r>
      <w:r w:rsidRPr="00990FB6">
        <w:rPr>
          <w:rFonts w:eastAsia="Calibri"/>
          <w:sz w:val="22"/>
          <w:szCs w:val="22"/>
        </w:rPr>
        <w:lastRenderedPageBreak/>
        <w:t>necesaria para el análisis de mejoras en el servicio que se presta a las personas usuarias.</w:t>
      </w:r>
    </w:p>
    <w:p w14:paraId="3A80DDAF" w14:textId="77777777" w:rsidR="00B15F7D" w:rsidRPr="00990FB6" w:rsidRDefault="00B15F7D" w:rsidP="00B15F7D">
      <w:pPr>
        <w:widowControl w:val="0"/>
        <w:ind w:left="851" w:right="851" w:firstLine="709"/>
        <w:jc w:val="both"/>
        <w:rPr>
          <w:rFonts w:eastAsia="Calibri"/>
          <w:sz w:val="22"/>
          <w:szCs w:val="22"/>
        </w:rPr>
      </w:pPr>
    </w:p>
    <w:p w14:paraId="7CC55032"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38A29543" w14:textId="77777777" w:rsidR="00B15F7D" w:rsidRPr="00990FB6" w:rsidRDefault="00B15F7D" w:rsidP="00B15F7D">
      <w:pPr>
        <w:widowControl w:val="0"/>
        <w:ind w:left="851" w:right="851" w:firstLine="709"/>
        <w:jc w:val="both"/>
        <w:rPr>
          <w:rFonts w:eastAsia="Calibri"/>
          <w:sz w:val="22"/>
          <w:szCs w:val="22"/>
        </w:rPr>
      </w:pPr>
    </w:p>
    <w:p w14:paraId="5044F1FF"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Dar cumplimiento a las circulares de la Secretaría de la Corte ligadas a las recomendaciones de la Contraloría General de la República y gestionadas a partir del proyecto de implementación del Código Procesal de Familia:</w:t>
      </w:r>
    </w:p>
    <w:p w14:paraId="0004A87F" w14:textId="77777777" w:rsidR="00B15F7D" w:rsidRPr="00990FB6" w:rsidRDefault="00B15F7D" w:rsidP="00B15F7D">
      <w:pPr>
        <w:ind w:left="851" w:right="851" w:firstLine="709"/>
        <w:jc w:val="both"/>
        <w:rPr>
          <w:rFonts w:eastAsia="Calibri"/>
          <w:sz w:val="22"/>
          <w:szCs w:val="22"/>
        </w:rPr>
      </w:pPr>
    </w:p>
    <w:p w14:paraId="4DC0AFFB"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 xml:space="preserve">Circular 221-2021 </w:t>
      </w:r>
      <w:r w:rsidRPr="00990FB6">
        <w:rPr>
          <w:i/>
          <w:iCs/>
          <w:sz w:val="22"/>
          <w:szCs w:val="22"/>
        </w:rPr>
        <w:t>“Deber de solicitar autorización al Consejo Superior para realizar una modificación en la configuración del reparto”.</w:t>
      </w:r>
    </w:p>
    <w:p w14:paraId="742C1197"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Circular 267-2021 “</w:t>
      </w:r>
      <w:r w:rsidRPr="00990FB6">
        <w:rPr>
          <w:i/>
          <w:iCs/>
          <w:sz w:val="22"/>
          <w:szCs w:val="22"/>
        </w:rPr>
        <w:t>Obligación de cumplir con la corrección de inconsistencias aplicar el régimen disciplinario por su incumplimiento</w:t>
      </w:r>
      <w:r w:rsidRPr="00990FB6">
        <w:rPr>
          <w:sz w:val="22"/>
          <w:szCs w:val="22"/>
        </w:rPr>
        <w:t>”.</w:t>
      </w:r>
    </w:p>
    <w:p w14:paraId="59ABBAA6" w14:textId="77777777" w:rsidR="00B15F7D" w:rsidRPr="00990FB6" w:rsidRDefault="00B15F7D" w:rsidP="00B15F7D">
      <w:pPr>
        <w:numPr>
          <w:ilvl w:val="0"/>
          <w:numId w:val="184"/>
        </w:numPr>
        <w:ind w:left="851" w:right="851" w:firstLine="709"/>
        <w:jc w:val="both"/>
        <w:rPr>
          <w:i/>
          <w:iCs/>
          <w:sz w:val="22"/>
          <w:szCs w:val="22"/>
        </w:rPr>
      </w:pPr>
      <w:r w:rsidRPr="00990FB6">
        <w:rPr>
          <w:sz w:val="22"/>
          <w:szCs w:val="22"/>
        </w:rPr>
        <w:t xml:space="preserve">Circular 110-20 </w:t>
      </w:r>
      <w:r w:rsidRPr="00990FB6">
        <w:rPr>
          <w:i/>
          <w:iCs/>
          <w:sz w:val="22"/>
          <w:szCs w:val="22"/>
        </w:rPr>
        <w:t>“Reiterar la Circular N 60-99 relacionado con las Reglas prácticas para facilitar la aplicación efectiva de la Ley contra la violencia doméstica”.</w:t>
      </w:r>
    </w:p>
    <w:p w14:paraId="2C24689E"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 xml:space="preserve">Circular 234-2021 </w:t>
      </w:r>
      <w:r w:rsidRPr="00990FB6">
        <w:rPr>
          <w:i/>
          <w:iCs/>
          <w:sz w:val="22"/>
          <w:szCs w:val="22"/>
        </w:rPr>
        <w:t>“Que es sentencia en materia de Violencia Doméstica uso y seguimiento a la información registrada en el reporte de pase a fallo”.</w:t>
      </w:r>
    </w:p>
    <w:p w14:paraId="0BCE47F9" w14:textId="77777777" w:rsidR="00B15F7D" w:rsidRPr="00990FB6" w:rsidRDefault="00B15F7D" w:rsidP="00B15F7D">
      <w:pPr>
        <w:numPr>
          <w:ilvl w:val="0"/>
          <w:numId w:val="184"/>
        </w:numPr>
        <w:ind w:left="851" w:right="851" w:firstLine="709"/>
        <w:jc w:val="both"/>
        <w:rPr>
          <w:sz w:val="22"/>
          <w:szCs w:val="22"/>
        </w:rPr>
      </w:pPr>
      <w:r w:rsidRPr="00990FB6">
        <w:rPr>
          <w:sz w:val="22"/>
          <w:szCs w:val="22"/>
        </w:rPr>
        <w:t xml:space="preserve">Circular 266-2021 </w:t>
      </w:r>
      <w:r w:rsidRPr="00990FB6">
        <w:rPr>
          <w:i/>
          <w:iCs/>
          <w:sz w:val="22"/>
          <w:szCs w:val="22"/>
        </w:rPr>
        <w:t>“Deber de notificar personalmente el auto que otorga medidas la Circular No. 50-2021 específicamente en el punto 1.3”.</w:t>
      </w:r>
    </w:p>
    <w:p w14:paraId="03ABD561" w14:textId="77777777" w:rsidR="00B15F7D" w:rsidRPr="00990FB6" w:rsidRDefault="00B15F7D" w:rsidP="00EE3ED3">
      <w:pPr>
        <w:numPr>
          <w:ilvl w:val="0"/>
          <w:numId w:val="184"/>
        </w:numPr>
        <w:ind w:left="851" w:right="851" w:firstLine="709"/>
        <w:jc w:val="both"/>
        <w:rPr>
          <w:sz w:val="22"/>
          <w:szCs w:val="22"/>
        </w:rPr>
      </w:pPr>
      <w:r w:rsidRPr="00990FB6">
        <w:rPr>
          <w:sz w:val="22"/>
          <w:szCs w:val="22"/>
        </w:rPr>
        <w:t>53-2022 “Inclusión de prioridades para casos denominados CLAIS (Comité Local para la Atención Inmediata y Seguimiento de casos de alto riesgo por violencia contra la mujer) en los despachos que atienden Violencia Doméstica.</w:t>
      </w:r>
    </w:p>
    <w:p w14:paraId="7225AD5F" w14:textId="77777777" w:rsidR="00B15F7D" w:rsidRPr="00990FB6" w:rsidRDefault="00B15F7D" w:rsidP="00B15F7D">
      <w:pPr>
        <w:widowControl w:val="0"/>
        <w:ind w:left="851" w:right="851" w:firstLine="709"/>
        <w:jc w:val="both"/>
        <w:rPr>
          <w:rFonts w:eastAsia="Calibri"/>
          <w:sz w:val="22"/>
          <w:szCs w:val="22"/>
        </w:rPr>
      </w:pPr>
    </w:p>
    <w:p w14:paraId="2A790C20"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Utilizar periódicamente, al menos cada 3 meses, la mejora (mejora de inactivos) en el sistema que les permite revisar los expedientes con 3 meses sin movimiento. </w:t>
      </w:r>
    </w:p>
    <w:p w14:paraId="00D2EFC9" w14:textId="77777777" w:rsidR="00B15F7D" w:rsidRPr="00990FB6" w:rsidRDefault="00B15F7D" w:rsidP="00B15F7D">
      <w:pPr>
        <w:jc w:val="both"/>
        <w:rPr>
          <w:rFonts w:eastAsia="Calibri"/>
          <w:sz w:val="22"/>
          <w:szCs w:val="22"/>
        </w:rPr>
      </w:pPr>
    </w:p>
    <w:p w14:paraId="3745A26D" w14:textId="77777777" w:rsidR="00B15F7D" w:rsidRPr="00990FB6" w:rsidRDefault="00B15F7D" w:rsidP="00B15F7D">
      <w:pPr>
        <w:ind w:left="794" w:right="794" w:firstLine="709"/>
        <w:rPr>
          <w:rFonts w:eastAsia="MS PGothic"/>
          <w:b/>
          <w:bCs/>
          <w:sz w:val="22"/>
          <w:szCs w:val="22"/>
        </w:rPr>
      </w:pPr>
      <w:r w:rsidRPr="00990FB6">
        <w:rPr>
          <w:rFonts w:eastAsia="MS PGothic"/>
          <w:b/>
          <w:bCs/>
          <w:sz w:val="22"/>
          <w:szCs w:val="22"/>
        </w:rPr>
        <w:t xml:space="preserve">A la Centro de Apoyo, Coordinación y Mejoramiento de Función Jurisdiccional </w:t>
      </w:r>
    </w:p>
    <w:p w14:paraId="0574F01E" w14:textId="77777777" w:rsidR="00B15F7D" w:rsidRPr="00990FB6" w:rsidRDefault="00B15F7D" w:rsidP="00B15F7D">
      <w:pPr>
        <w:widowControl w:val="0"/>
        <w:ind w:left="851" w:right="851" w:firstLine="709"/>
        <w:jc w:val="both"/>
        <w:rPr>
          <w:rFonts w:eastAsia="Calibri"/>
          <w:sz w:val="22"/>
          <w:szCs w:val="22"/>
        </w:rPr>
      </w:pPr>
    </w:p>
    <w:p w14:paraId="722C5688"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El Centro de Apoyo, Coordinación y Mejoramiento de la Función Jurisdiccional deberá velar por el cumplimiento y seguimiento de las recomendaciones planteadas en este informe, las cuales deben quedar </w:t>
      </w:r>
      <w:r w:rsidRPr="00990FB6">
        <w:rPr>
          <w:rFonts w:eastAsia="Calibri"/>
          <w:sz w:val="22"/>
          <w:szCs w:val="22"/>
        </w:rPr>
        <w:lastRenderedPageBreak/>
        <w:t>documentadas y comunicadas a las partes involucradas.</w:t>
      </w:r>
    </w:p>
    <w:p w14:paraId="2A00A2FB" w14:textId="77777777" w:rsidR="00B15F7D" w:rsidRPr="00990FB6" w:rsidRDefault="00B15F7D" w:rsidP="00B15F7D">
      <w:pPr>
        <w:widowControl w:val="0"/>
        <w:ind w:left="851" w:right="851" w:firstLine="709"/>
        <w:jc w:val="both"/>
        <w:rPr>
          <w:rFonts w:eastAsia="Calibri"/>
          <w:sz w:val="22"/>
          <w:szCs w:val="22"/>
        </w:rPr>
      </w:pPr>
    </w:p>
    <w:p w14:paraId="75794F85"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El Centro de Apoyo, Coordinación y Mejoramiento de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 que el ente Técnico lo solicite. </w:t>
      </w:r>
    </w:p>
    <w:p w14:paraId="49ECA770" w14:textId="77777777" w:rsidR="00B15F7D" w:rsidRPr="00990FB6" w:rsidRDefault="00B15F7D" w:rsidP="00B15F7D">
      <w:pPr>
        <w:widowControl w:val="0"/>
        <w:ind w:left="851" w:right="851" w:firstLine="709"/>
        <w:jc w:val="both"/>
        <w:rPr>
          <w:rFonts w:eastAsia="Calibri"/>
          <w:sz w:val="22"/>
          <w:szCs w:val="22"/>
        </w:rPr>
      </w:pPr>
    </w:p>
    <w:p w14:paraId="16E052ED"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El Centro de Apoyo, junto con la figura del Juez Gestor en la materia deben dar seguimiento al cumplimiento de las tareas asociadas el Proyecto 1374-CF-P01 “</w:t>
      </w:r>
      <w:r w:rsidRPr="00990FB6">
        <w:rPr>
          <w:rFonts w:eastAsia="Calibri"/>
          <w:i/>
          <w:iCs/>
          <w:sz w:val="22"/>
          <w:szCs w:val="22"/>
        </w:rPr>
        <w:t>Implementación del Código Procesal de Familia</w:t>
      </w:r>
      <w:r w:rsidRPr="00990FB6">
        <w:rPr>
          <w:rFonts w:eastAsia="Calibri"/>
          <w:sz w:val="22"/>
          <w:szCs w:val="22"/>
        </w:rPr>
        <w:t>”, principalmente en cuanto a los entregables que son de su responsabilidad junto con la Comisión de Familia, Niñez y Adolescencia.</w:t>
      </w:r>
      <w:r w:rsidRPr="00990FB6" w:rsidDel="003656ED">
        <w:rPr>
          <w:rFonts w:eastAsia="Calibri"/>
          <w:sz w:val="22"/>
          <w:szCs w:val="22"/>
        </w:rPr>
        <w:t xml:space="preserve"> </w:t>
      </w:r>
    </w:p>
    <w:p w14:paraId="36D9FC67" w14:textId="77777777" w:rsidR="00B15F7D" w:rsidRPr="00990FB6" w:rsidRDefault="00B15F7D" w:rsidP="00B15F7D">
      <w:pPr>
        <w:widowControl w:val="0"/>
        <w:ind w:left="851" w:right="851" w:firstLine="709"/>
        <w:jc w:val="both"/>
        <w:rPr>
          <w:rFonts w:eastAsia="Calibri"/>
          <w:sz w:val="22"/>
          <w:szCs w:val="22"/>
        </w:rPr>
      </w:pPr>
    </w:p>
    <w:p w14:paraId="63B4DEFF" w14:textId="77777777" w:rsidR="00B15F7D" w:rsidRPr="00990FB6" w:rsidRDefault="00B15F7D" w:rsidP="00B15F7D">
      <w:pPr>
        <w:ind w:left="851" w:firstLine="709"/>
        <w:rPr>
          <w:rFonts w:eastAsia="MS PGothic"/>
          <w:b/>
          <w:bCs/>
          <w:sz w:val="22"/>
          <w:szCs w:val="22"/>
        </w:rPr>
      </w:pPr>
      <w:r w:rsidRPr="00990FB6">
        <w:rPr>
          <w:rFonts w:eastAsia="MS PGothic"/>
          <w:b/>
          <w:bCs/>
          <w:sz w:val="22"/>
          <w:szCs w:val="22"/>
        </w:rPr>
        <w:t>Departamento de Prensa y Comunicación</w:t>
      </w:r>
    </w:p>
    <w:p w14:paraId="2CDBC5D6" w14:textId="77777777" w:rsidR="00B15F7D" w:rsidRPr="00990FB6" w:rsidRDefault="00B15F7D" w:rsidP="00B15F7D">
      <w:pPr>
        <w:widowControl w:val="0"/>
        <w:ind w:left="851" w:right="851" w:firstLine="709"/>
        <w:jc w:val="both"/>
        <w:rPr>
          <w:rFonts w:eastAsia="Calibri"/>
          <w:sz w:val="22"/>
          <w:szCs w:val="22"/>
        </w:rPr>
      </w:pPr>
    </w:p>
    <w:p w14:paraId="06417D7C"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Dar cumplimiento a las tareas a su cargo según el cronograma del Proyecto 1374-CF-P01 “</w:t>
      </w:r>
      <w:r w:rsidRPr="00990FB6">
        <w:rPr>
          <w:rFonts w:eastAsia="Calibri"/>
          <w:i/>
          <w:iCs/>
          <w:sz w:val="22"/>
          <w:szCs w:val="22"/>
        </w:rPr>
        <w:t>Implementación del Código Procesal de Familia</w:t>
      </w:r>
      <w:r w:rsidRPr="00990FB6">
        <w:rPr>
          <w:rFonts w:eastAsia="Calibri"/>
          <w:sz w:val="22"/>
          <w:szCs w:val="22"/>
        </w:rPr>
        <w:t xml:space="preserve">” y remitir el entregable correspondiente la programación que se muestra a continuación, conforme la metodología de proyectos institucional en coordinación con el Juez Gestor en la materia y la Comisión de Familia, Niñez y Adolescencia. </w:t>
      </w:r>
    </w:p>
    <w:p w14:paraId="1977B040" w14:textId="77777777" w:rsidR="00B15F7D" w:rsidRPr="00990FB6" w:rsidRDefault="00B15F7D" w:rsidP="00B15F7D">
      <w:pPr>
        <w:widowControl w:val="0"/>
        <w:jc w:val="both"/>
        <w:rPr>
          <w:rFonts w:eastAsia="Calibri"/>
          <w:sz w:val="22"/>
          <w:szCs w:val="22"/>
        </w:rPr>
      </w:pPr>
    </w:p>
    <w:tbl>
      <w:tblPr>
        <w:tblW w:w="5000" w:type="pct"/>
        <w:jc w:val="center"/>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3531"/>
        <w:gridCol w:w="972"/>
        <w:gridCol w:w="1208"/>
        <w:gridCol w:w="1121"/>
        <w:gridCol w:w="1522"/>
      </w:tblGrid>
      <w:tr w:rsidR="00B15F7D" w:rsidRPr="00990FB6" w14:paraId="2D43E599" w14:textId="77777777" w:rsidTr="000A0C22">
        <w:trPr>
          <w:jc w:val="center"/>
        </w:trPr>
        <w:tc>
          <w:tcPr>
            <w:tcW w:w="2113"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FB1558D" w14:textId="77777777" w:rsidR="00B15F7D" w:rsidRPr="00990FB6" w:rsidRDefault="00B15F7D" w:rsidP="00B15F7D">
            <w:pPr>
              <w:rPr>
                <w:sz w:val="22"/>
                <w:szCs w:val="22"/>
                <w:lang w:eastAsia="es-CR"/>
              </w:rPr>
            </w:pPr>
            <w:r w:rsidRPr="00990FB6">
              <w:rPr>
                <w:sz w:val="22"/>
                <w:szCs w:val="22"/>
                <w:shd w:val="clear" w:color="auto" w:fill="DFE3E8"/>
                <w:lang w:eastAsia="es-CR"/>
              </w:rPr>
              <w:t>Nombre de tarea</w:t>
            </w:r>
          </w:p>
        </w:tc>
        <w:tc>
          <w:tcPr>
            <w:tcW w:w="582"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12BD4F1" w14:textId="77777777" w:rsidR="00B15F7D" w:rsidRPr="00990FB6" w:rsidRDefault="00B15F7D" w:rsidP="00B15F7D">
            <w:pPr>
              <w:rPr>
                <w:sz w:val="22"/>
                <w:szCs w:val="22"/>
                <w:lang w:eastAsia="es-CR"/>
              </w:rPr>
            </w:pPr>
            <w:r w:rsidRPr="00990FB6">
              <w:rPr>
                <w:sz w:val="22"/>
                <w:szCs w:val="22"/>
                <w:shd w:val="clear" w:color="auto" w:fill="DFE3E8"/>
                <w:lang w:eastAsia="es-CR"/>
              </w:rPr>
              <w:t>Duración</w:t>
            </w:r>
          </w:p>
        </w:tc>
        <w:tc>
          <w:tcPr>
            <w:tcW w:w="723"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9950FC5" w14:textId="77777777" w:rsidR="00B15F7D" w:rsidRPr="00990FB6" w:rsidRDefault="00B15F7D" w:rsidP="00B15F7D">
            <w:pPr>
              <w:rPr>
                <w:sz w:val="22"/>
                <w:szCs w:val="22"/>
                <w:lang w:eastAsia="es-CR"/>
              </w:rPr>
            </w:pPr>
            <w:r w:rsidRPr="00990FB6">
              <w:rPr>
                <w:sz w:val="22"/>
                <w:szCs w:val="22"/>
                <w:shd w:val="clear" w:color="auto" w:fill="DFE3E8"/>
                <w:lang w:eastAsia="es-CR"/>
              </w:rPr>
              <w:t>Comienzo</w:t>
            </w:r>
          </w:p>
        </w:tc>
        <w:tc>
          <w:tcPr>
            <w:tcW w:w="671"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68AD9E6" w14:textId="77777777" w:rsidR="00B15F7D" w:rsidRPr="00990FB6" w:rsidRDefault="00B15F7D" w:rsidP="00B15F7D">
            <w:pPr>
              <w:rPr>
                <w:sz w:val="22"/>
                <w:szCs w:val="22"/>
                <w:lang w:eastAsia="es-CR"/>
              </w:rPr>
            </w:pPr>
            <w:r w:rsidRPr="00990FB6">
              <w:rPr>
                <w:sz w:val="22"/>
                <w:szCs w:val="22"/>
                <w:shd w:val="clear" w:color="auto" w:fill="DFE3E8"/>
                <w:lang w:eastAsia="es-CR"/>
              </w:rPr>
              <w:t>Fin</w:t>
            </w:r>
          </w:p>
        </w:tc>
        <w:tc>
          <w:tcPr>
            <w:tcW w:w="911" w:type="pct"/>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7D62485" w14:textId="77777777" w:rsidR="00B15F7D" w:rsidRPr="00990FB6" w:rsidRDefault="00B15F7D" w:rsidP="00B15F7D">
            <w:pPr>
              <w:rPr>
                <w:sz w:val="22"/>
                <w:szCs w:val="22"/>
                <w:lang w:eastAsia="es-CR"/>
              </w:rPr>
            </w:pPr>
            <w:r w:rsidRPr="00990FB6">
              <w:rPr>
                <w:sz w:val="22"/>
                <w:szCs w:val="22"/>
                <w:shd w:val="clear" w:color="auto" w:fill="DFE3E8"/>
                <w:lang w:eastAsia="es-CR"/>
              </w:rPr>
              <w:t>% completado</w:t>
            </w:r>
          </w:p>
        </w:tc>
      </w:tr>
      <w:tr w:rsidR="00B15F7D" w:rsidRPr="00990FB6" w14:paraId="0F529B9E" w14:textId="77777777" w:rsidTr="000A0C22">
        <w:trPr>
          <w:jc w:val="center"/>
        </w:trPr>
        <w:tc>
          <w:tcPr>
            <w:tcW w:w="211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CBEBE9" w14:textId="77777777" w:rsidR="00B15F7D" w:rsidRPr="00990FB6" w:rsidRDefault="00B15F7D" w:rsidP="00B15F7D">
            <w:pPr>
              <w:rPr>
                <w:sz w:val="22"/>
                <w:szCs w:val="22"/>
                <w:lang w:eastAsia="es-CR"/>
              </w:rPr>
            </w:pPr>
            <w:r w:rsidRPr="00990FB6">
              <w:rPr>
                <w:b/>
                <w:bCs/>
                <w:sz w:val="22"/>
                <w:szCs w:val="22"/>
                <w:lang w:eastAsia="es-CR"/>
              </w:rPr>
              <w:t>3.14. Campaña de divulgación de los principales cambios (Prensa).</w:t>
            </w:r>
          </w:p>
        </w:tc>
        <w:tc>
          <w:tcPr>
            <w:tcW w:w="58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260E81" w14:textId="77777777" w:rsidR="00B15F7D" w:rsidRPr="00990FB6" w:rsidRDefault="00B15F7D" w:rsidP="00B15F7D">
            <w:pPr>
              <w:rPr>
                <w:sz w:val="22"/>
                <w:szCs w:val="22"/>
                <w:lang w:eastAsia="es-CR"/>
              </w:rPr>
            </w:pPr>
            <w:r w:rsidRPr="00990FB6">
              <w:rPr>
                <w:b/>
                <w:bCs/>
                <w:sz w:val="22"/>
                <w:szCs w:val="22"/>
                <w:lang w:eastAsia="es-CR"/>
              </w:rPr>
              <w:t>967 días</w:t>
            </w:r>
          </w:p>
        </w:tc>
        <w:tc>
          <w:tcPr>
            <w:tcW w:w="72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0741EE" w14:textId="77777777" w:rsidR="00B15F7D" w:rsidRPr="00990FB6" w:rsidRDefault="00B15F7D" w:rsidP="00B15F7D">
            <w:pPr>
              <w:rPr>
                <w:sz w:val="22"/>
                <w:szCs w:val="22"/>
                <w:lang w:eastAsia="es-CR"/>
              </w:rPr>
            </w:pPr>
            <w:r w:rsidRPr="00990FB6">
              <w:rPr>
                <w:b/>
                <w:bCs/>
                <w:sz w:val="22"/>
                <w:szCs w:val="22"/>
                <w:lang w:eastAsia="es-CR"/>
              </w:rPr>
              <w:t>jue 1/10/20</w:t>
            </w:r>
          </w:p>
        </w:tc>
        <w:tc>
          <w:tcPr>
            <w:tcW w:w="67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7923D8" w14:textId="77777777" w:rsidR="00B15F7D" w:rsidRPr="00990FB6" w:rsidRDefault="00B15F7D" w:rsidP="00B15F7D">
            <w:pPr>
              <w:rPr>
                <w:sz w:val="22"/>
                <w:szCs w:val="22"/>
                <w:lang w:eastAsia="es-CR"/>
              </w:rPr>
            </w:pPr>
            <w:r w:rsidRPr="00990FB6">
              <w:rPr>
                <w:b/>
                <w:bCs/>
                <w:sz w:val="22"/>
                <w:szCs w:val="22"/>
                <w:lang w:eastAsia="es-CR"/>
              </w:rPr>
              <w:t>jue 26/9/24</w:t>
            </w:r>
          </w:p>
        </w:tc>
        <w:tc>
          <w:tcPr>
            <w:tcW w:w="91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611440" w14:textId="77777777" w:rsidR="00B15F7D" w:rsidRPr="00990FB6" w:rsidRDefault="00B15F7D" w:rsidP="00B15F7D">
            <w:pPr>
              <w:rPr>
                <w:sz w:val="22"/>
                <w:szCs w:val="22"/>
                <w:lang w:eastAsia="es-CR"/>
              </w:rPr>
            </w:pPr>
            <w:r w:rsidRPr="00990FB6">
              <w:rPr>
                <w:b/>
                <w:bCs/>
                <w:sz w:val="22"/>
                <w:szCs w:val="22"/>
                <w:lang w:eastAsia="es-CR"/>
              </w:rPr>
              <w:t>34%</w:t>
            </w:r>
          </w:p>
        </w:tc>
      </w:tr>
      <w:tr w:rsidR="00B15F7D" w:rsidRPr="00990FB6" w14:paraId="52B98341" w14:textId="77777777" w:rsidTr="000A0C22">
        <w:trPr>
          <w:jc w:val="center"/>
        </w:trPr>
        <w:tc>
          <w:tcPr>
            <w:tcW w:w="211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28B0FF" w14:textId="77777777" w:rsidR="00B15F7D" w:rsidRPr="00990FB6" w:rsidRDefault="00B15F7D" w:rsidP="00B15F7D">
            <w:pPr>
              <w:rPr>
                <w:sz w:val="22"/>
                <w:szCs w:val="22"/>
                <w:lang w:eastAsia="es-CR"/>
              </w:rPr>
            </w:pPr>
            <w:r w:rsidRPr="00990FB6">
              <w:rPr>
                <w:sz w:val="22"/>
                <w:szCs w:val="22"/>
                <w:lang w:eastAsia="es-CR"/>
              </w:rPr>
              <w:t xml:space="preserve">   Elaboración de materia para comunicación desde 2022 de temas de interés de la Jurisdicción</w:t>
            </w:r>
          </w:p>
        </w:tc>
        <w:tc>
          <w:tcPr>
            <w:tcW w:w="58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1B141C" w14:textId="77777777" w:rsidR="00B15F7D" w:rsidRPr="00990FB6" w:rsidRDefault="00B15F7D" w:rsidP="00B15F7D">
            <w:pPr>
              <w:rPr>
                <w:sz w:val="22"/>
                <w:szCs w:val="22"/>
                <w:lang w:eastAsia="es-CR"/>
              </w:rPr>
            </w:pPr>
            <w:r w:rsidRPr="00990FB6">
              <w:rPr>
                <w:sz w:val="22"/>
                <w:szCs w:val="22"/>
                <w:lang w:eastAsia="es-CR"/>
              </w:rPr>
              <w:t xml:space="preserve">6 </w:t>
            </w:r>
            <w:proofErr w:type="spellStart"/>
            <w:r w:rsidRPr="00990FB6">
              <w:rPr>
                <w:sz w:val="22"/>
                <w:szCs w:val="22"/>
                <w:lang w:eastAsia="es-CR"/>
              </w:rPr>
              <w:t>mss</w:t>
            </w:r>
            <w:proofErr w:type="spellEnd"/>
          </w:p>
        </w:tc>
        <w:tc>
          <w:tcPr>
            <w:tcW w:w="72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DF382F" w14:textId="77777777" w:rsidR="00B15F7D" w:rsidRPr="00990FB6" w:rsidRDefault="00B15F7D" w:rsidP="00B15F7D">
            <w:pPr>
              <w:rPr>
                <w:sz w:val="22"/>
                <w:szCs w:val="22"/>
                <w:lang w:eastAsia="es-CR"/>
              </w:rPr>
            </w:pPr>
            <w:r w:rsidRPr="00990FB6">
              <w:rPr>
                <w:sz w:val="22"/>
                <w:szCs w:val="22"/>
                <w:lang w:eastAsia="es-CR"/>
              </w:rPr>
              <w:t>jue 1/9/22</w:t>
            </w:r>
          </w:p>
        </w:tc>
        <w:tc>
          <w:tcPr>
            <w:tcW w:w="67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7B3DE2" w14:textId="77777777" w:rsidR="00B15F7D" w:rsidRPr="00990FB6" w:rsidRDefault="00B15F7D" w:rsidP="00B15F7D">
            <w:pPr>
              <w:rPr>
                <w:sz w:val="22"/>
                <w:szCs w:val="22"/>
                <w:lang w:eastAsia="es-CR"/>
              </w:rPr>
            </w:pPr>
            <w:r w:rsidRPr="00990FB6">
              <w:rPr>
                <w:sz w:val="22"/>
                <w:szCs w:val="22"/>
                <w:lang w:eastAsia="es-CR"/>
              </w:rPr>
              <w:t>mar 7/3/23</w:t>
            </w:r>
          </w:p>
        </w:tc>
        <w:tc>
          <w:tcPr>
            <w:tcW w:w="911" w:type="pct"/>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7D020CFF" w14:textId="77777777" w:rsidR="00B15F7D" w:rsidRPr="00990FB6" w:rsidRDefault="00B15F7D" w:rsidP="00B15F7D">
            <w:pPr>
              <w:rPr>
                <w:sz w:val="22"/>
                <w:szCs w:val="22"/>
                <w:lang w:eastAsia="es-CR"/>
              </w:rPr>
            </w:pPr>
            <w:r w:rsidRPr="00990FB6">
              <w:rPr>
                <w:sz w:val="22"/>
                <w:szCs w:val="22"/>
                <w:lang w:eastAsia="es-CR"/>
              </w:rPr>
              <w:t>60%</w:t>
            </w:r>
          </w:p>
        </w:tc>
      </w:tr>
      <w:tr w:rsidR="00B15F7D" w:rsidRPr="00990FB6" w14:paraId="5AC49BE9" w14:textId="77777777" w:rsidTr="000A0C22">
        <w:trPr>
          <w:jc w:val="center"/>
        </w:trPr>
        <w:tc>
          <w:tcPr>
            <w:tcW w:w="211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ED2EC1" w14:textId="77777777" w:rsidR="00B15F7D" w:rsidRPr="00990FB6" w:rsidRDefault="00B15F7D" w:rsidP="00B15F7D">
            <w:pPr>
              <w:rPr>
                <w:sz w:val="22"/>
                <w:szCs w:val="22"/>
                <w:lang w:eastAsia="es-CR"/>
              </w:rPr>
            </w:pPr>
            <w:r w:rsidRPr="00990FB6">
              <w:rPr>
                <w:sz w:val="22"/>
                <w:szCs w:val="22"/>
                <w:lang w:eastAsia="es-CR"/>
              </w:rPr>
              <w:t xml:space="preserve">   Comunicación de los cambios a partir de la entrada en vigencia del Código Procesal de Familia</w:t>
            </w:r>
          </w:p>
        </w:tc>
        <w:tc>
          <w:tcPr>
            <w:tcW w:w="58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27694B" w14:textId="77777777" w:rsidR="00B15F7D" w:rsidRPr="00990FB6" w:rsidRDefault="00B15F7D" w:rsidP="00B15F7D">
            <w:pPr>
              <w:rPr>
                <w:sz w:val="22"/>
                <w:szCs w:val="22"/>
                <w:lang w:eastAsia="es-CR"/>
              </w:rPr>
            </w:pPr>
            <w:r w:rsidRPr="00990FB6">
              <w:rPr>
                <w:sz w:val="22"/>
                <w:szCs w:val="22"/>
                <w:lang w:eastAsia="es-CR"/>
              </w:rPr>
              <w:t xml:space="preserve">3 </w:t>
            </w:r>
            <w:proofErr w:type="spellStart"/>
            <w:r w:rsidRPr="00990FB6">
              <w:rPr>
                <w:sz w:val="22"/>
                <w:szCs w:val="22"/>
                <w:lang w:eastAsia="es-CR"/>
              </w:rPr>
              <w:t>mss</w:t>
            </w:r>
            <w:proofErr w:type="spellEnd"/>
          </w:p>
        </w:tc>
        <w:tc>
          <w:tcPr>
            <w:tcW w:w="72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FF5184" w14:textId="77777777" w:rsidR="00B15F7D" w:rsidRPr="00990FB6" w:rsidRDefault="00B15F7D" w:rsidP="00B15F7D">
            <w:pPr>
              <w:rPr>
                <w:sz w:val="22"/>
                <w:szCs w:val="22"/>
                <w:lang w:eastAsia="es-CR"/>
              </w:rPr>
            </w:pPr>
            <w:r w:rsidRPr="00990FB6">
              <w:rPr>
                <w:sz w:val="22"/>
                <w:szCs w:val="22"/>
                <w:lang w:eastAsia="es-CR"/>
              </w:rPr>
              <w:t>lun 1/7/24</w:t>
            </w:r>
          </w:p>
        </w:tc>
        <w:tc>
          <w:tcPr>
            <w:tcW w:w="67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E704C0" w14:textId="77777777" w:rsidR="00B15F7D" w:rsidRPr="00990FB6" w:rsidRDefault="00B15F7D" w:rsidP="00B15F7D">
            <w:pPr>
              <w:rPr>
                <w:sz w:val="22"/>
                <w:szCs w:val="22"/>
                <w:lang w:eastAsia="es-CR"/>
              </w:rPr>
            </w:pPr>
            <w:r w:rsidRPr="00990FB6">
              <w:rPr>
                <w:sz w:val="22"/>
                <w:szCs w:val="22"/>
                <w:lang w:eastAsia="es-CR"/>
              </w:rPr>
              <w:t>jue 26/9/24</w:t>
            </w:r>
          </w:p>
        </w:tc>
        <w:tc>
          <w:tcPr>
            <w:tcW w:w="91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AE24BF" w14:textId="77777777" w:rsidR="00B15F7D" w:rsidRPr="00990FB6" w:rsidRDefault="00B15F7D" w:rsidP="00B15F7D">
            <w:pPr>
              <w:rPr>
                <w:sz w:val="22"/>
                <w:szCs w:val="22"/>
                <w:lang w:eastAsia="es-CR"/>
              </w:rPr>
            </w:pPr>
            <w:r w:rsidRPr="00990FB6">
              <w:rPr>
                <w:sz w:val="22"/>
                <w:szCs w:val="22"/>
                <w:lang w:eastAsia="es-CR"/>
              </w:rPr>
              <w:t>0%</w:t>
            </w:r>
          </w:p>
        </w:tc>
      </w:tr>
      <w:tr w:rsidR="00B15F7D" w:rsidRPr="00990FB6" w14:paraId="0EC91130" w14:textId="77777777" w:rsidTr="000A0C22">
        <w:trPr>
          <w:jc w:val="center"/>
        </w:trPr>
        <w:tc>
          <w:tcPr>
            <w:tcW w:w="211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9E2265" w14:textId="77777777" w:rsidR="00B15F7D" w:rsidRPr="00990FB6" w:rsidRDefault="00B15F7D" w:rsidP="00B15F7D">
            <w:pPr>
              <w:rPr>
                <w:sz w:val="22"/>
                <w:szCs w:val="22"/>
                <w:lang w:eastAsia="es-CR"/>
              </w:rPr>
            </w:pPr>
            <w:r w:rsidRPr="00990FB6">
              <w:rPr>
                <w:sz w:val="22"/>
                <w:szCs w:val="22"/>
                <w:lang w:eastAsia="es-CR"/>
              </w:rPr>
              <w:t xml:space="preserve">   Impresión de ejemplares del Código</w:t>
            </w:r>
          </w:p>
        </w:tc>
        <w:tc>
          <w:tcPr>
            <w:tcW w:w="58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9A53FC" w14:textId="77777777" w:rsidR="00B15F7D" w:rsidRPr="00990FB6" w:rsidRDefault="00B15F7D" w:rsidP="00B15F7D">
            <w:pPr>
              <w:rPr>
                <w:sz w:val="22"/>
                <w:szCs w:val="22"/>
                <w:lang w:eastAsia="es-CR"/>
              </w:rPr>
            </w:pPr>
            <w:r w:rsidRPr="00990FB6">
              <w:rPr>
                <w:sz w:val="22"/>
                <w:szCs w:val="22"/>
                <w:lang w:eastAsia="es-CR"/>
              </w:rPr>
              <w:t>17 días</w:t>
            </w:r>
          </w:p>
        </w:tc>
        <w:tc>
          <w:tcPr>
            <w:tcW w:w="72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94B579" w14:textId="77777777" w:rsidR="00B15F7D" w:rsidRPr="00990FB6" w:rsidRDefault="00B15F7D" w:rsidP="00B15F7D">
            <w:pPr>
              <w:rPr>
                <w:sz w:val="22"/>
                <w:szCs w:val="22"/>
                <w:lang w:eastAsia="es-CR"/>
              </w:rPr>
            </w:pPr>
            <w:r w:rsidRPr="00990FB6">
              <w:rPr>
                <w:sz w:val="22"/>
                <w:szCs w:val="22"/>
                <w:lang w:eastAsia="es-CR"/>
              </w:rPr>
              <w:t>jue 1/10/20</w:t>
            </w:r>
          </w:p>
        </w:tc>
        <w:tc>
          <w:tcPr>
            <w:tcW w:w="67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02D560" w14:textId="77777777" w:rsidR="00B15F7D" w:rsidRPr="00990FB6" w:rsidRDefault="00B15F7D" w:rsidP="00B15F7D">
            <w:pPr>
              <w:rPr>
                <w:sz w:val="22"/>
                <w:szCs w:val="22"/>
                <w:lang w:eastAsia="es-CR"/>
              </w:rPr>
            </w:pPr>
            <w:r w:rsidRPr="00990FB6">
              <w:rPr>
                <w:sz w:val="22"/>
                <w:szCs w:val="22"/>
                <w:lang w:eastAsia="es-CR"/>
              </w:rPr>
              <w:t>mar 27/10/20</w:t>
            </w:r>
          </w:p>
        </w:tc>
        <w:tc>
          <w:tcPr>
            <w:tcW w:w="91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C0855C" w14:textId="77777777" w:rsidR="00B15F7D" w:rsidRPr="00990FB6" w:rsidRDefault="00B15F7D" w:rsidP="00B15F7D">
            <w:pPr>
              <w:rPr>
                <w:sz w:val="22"/>
                <w:szCs w:val="22"/>
                <w:lang w:eastAsia="es-CR"/>
              </w:rPr>
            </w:pPr>
            <w:r w:rsidRPr="00990FB6">
              <w:rPr>
                <w:sz w:val="22"/>
                <w:szCs w:val="22"/>
                <w:lang w:eastAsia="es-CR"/>
              </w:rPr>
              <w:t>100%</w:t>
            </w:r>
          </w:p>
        </w:tc>
      </w:tr>
      <w:tr w:rsidR="00B15F7D" w:rsidRPr="00990FB6" w14:paraId="44020E69" w14:textId="77777777" w:rsidTr="000A0C22">
        <w:trPr>
          <w:jc w:val="center"/>
        </w:trPr>
        <w:tc>
          <w:tcPr>
            <w:tcW w:w="211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A50E17" w14:textId="77777777" w:rsidR="00B15F7D" w:rsidRPr="00990FB6" w:rsidRDefault="00B15F7D" w:rsidP="00B15F7D">
            <w:pPr>
              <w:rPr>
                <w:sz w:val="22"/>
                <w:szCs w:val="22"/>
                <w:lang w:eastAsia="es-CR"/>
              </w:rPr>
            </w:pPr>
            <w:r w:rsidRPr="00990FB6">
              <w:rPr>
                <w:sz w:val="22"/>
                <w:szCs w:val="22"/>
                <w:lang w:eastAsia="es-CR"/>
              </w:rPr>
              <w:t xml:space="preserve">   Desplegables e impresión de afiches</w:t>
            </w:r>
          </w:p>
        </w:tc>
        <w:tc>
          <w:tcPr>
            <w:tcW w:w="58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1A7647" w14:textId="77777777" w:rsidR="00B15F7D" w:rsidRPr="00990FB6" w:rsidRDefault="00B15F7D" w:rsidP="00B15F7D">
            <w:pPr>
              <w:rPr>
                <w:sz w:val="22"/>
                <w:szCs w:val="22"/>
                <w:lang w:eastAsia="es-CR"/>
              </w:rPr>
            </w:pPr>
            <w:r w:rsidRPr="00990FB6">
              <w:rPr>
                <w:sz w:val="22"/>
                <w:szCs w:val="22"/>
                <w:lang w:eastAsia="es-CR"/>
              </w:rPr>
              <w:t xml:space="preserve">3 </w:t>
            </w:r>
            <w:proofErr w:type="spellStart"/>
            <w:r w:rsidRPr="00990FB6">
              <w:rPr>
                <w:sz w:val="22"/>
                <w:szCs w:val="22"/>
                <w:lang w:eastAsia="es-CR"/>
              </w:rPr>
              <w:t>mss</w:t>
            </w:r>
            <w:proofErr w:type="spellEnd"/>
          </w:p>
        </w:tc>
        <w:tc>
          <w:tcPr>
            <w:tcW w:w="72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38472E" w14:textId="77777777" w:rsidR="00B15F7D" w:rsidRPr="00990FB6" w:rsidRDefault="00B15F7D" w:rsidP="00B15F7D">
            <w:pPr>
              <w:rPr>
                <w:sz w:val="22"/>
                <w:szCs w:val="22"/>
                <w:lang w:eastAsia="es-CR"/>
              </w:rPr>
            </w:pPr>
            <w:r w:rsidRPr="00990FB6">
              <w:rPr>
                <w:sz w:val="22"/>
                <w:szCs w:val="22"/>
                <w:lang w:eastAsia="es-CR"/>
              </w:rPr>
              <w:t>lun 1/7/24</w:t>
            </w:r>
          </w:p>
        </w:tc>
        <w:tc>
          <w:tcPr>
            <w:tcW w:w="67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0F6AD3" w14:textId="77777777" w:rsidR="00B15F7D" w:rsidRPr="00990FB6" w:rsidRDefault="00B15F7D" w:rsidP="00B15F7D">
            <w:pPr>
              <w:rPr>
                <w:sz w:val="22"/>
                <w:szCs w:val="22"/>
                <w:lang w:eastAsia="es-CR"/>
              </w:rPr>
            </w:pPr>
            <w:r w:rsidRPr="00990FB6">
              <w:rPr>
                <w:sz w:val="22"/>
                <w:szCs w:val="22"/>
                <w:lang w:eastAsia="es-CR"/>
              </w:rPr>
              <w:t>jue 26/9/24</w:t>
            </w:r>
          </w:p>
        </w:tc>
        <w:tc>
          <w:tcPr>
            <w:tcW w:w="91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822CEB" w14:textId="77777777" w:rsidR="00B15F7D" w:rsidRPr="00990FB6" w:rsidRDefault="00B15F7D" w:rsidP="00B15F7D">
            <w:pPr>
              <w:rPr>
                <w:sz w:val="22"/>
                <w:szCs w:val="22"/>
                <w:lang w:eastAsia="es-CR"/>
              </w:rPr>
            </w:pPr>
            <w:r w:rsidRPr="00990FB6">
              <w:rPr>
                <w:sz w:val="22"/>
                <w:szCs w:val="22"/>
                <w:lang w:eastAsia="es-CR"/>
              </w:rPr>
              <w:t>0%</w:t>
            </w:r>
          </w:p>
        </w:tc>
      </w:tr>
      <w:tr w:rsidR="00B15F7D" w:rsidRPr="00990FB6" w14:paraId="111C34FE" w14:textId="77777777" w:rsidTr="000A0C22">
        <w:trPr>
          <w:jc w:val="center"/>
        </w:trPr>
        <w:tc>
          <w:tcPr>
            <w:tcW w:w="211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EFA039" w14:textId="77777777" w:rsidR="00B15F7D" w:rsidRPr="00990FB6" w:rsidRDefault="00B15F7D" w:rsidP="00B15F7D">
            <w:pPr>
              <w:rPr>
                <w:sz w:val="22"/>
                <w:szCs w:val="22"/>
                <w:lang w:eastAsia="es-CR"/>
              </w:rPr>
            </w:pPr>
            <w:r w:rsidRPr="00990FB6">
              <w:rPr>
                <w:sz w:val="22"/>
                <w:szCs w:val="22"/>
                <w:lang w:eastAsia="es-CR"/>
              </w:rPr>
              <w:t xml:space="preserve">   Realización de eventos y protocolo</w:t>
            </w:r>
          </w:p>
        </w:tc>
        <w:tc>
          <w:tcPr>
            <w:tcW w:w="582"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E26887" w14:textId="77777777" w:rsidR="00B15F7D" w:rsidRPr="00990FB6" w:rsidRDefault="00B15F7D" w:rsidP="00B15F7D">
            <w:pPr>
              <w:rPr>
                <w:sz w:val="22"/>
                <w:szCs w:val="22"/>
                <w:lang w:eastAsia="es-CR"/>
              </w:rPr>
            </w:pPr>
            <w:r w:rsidRPr="00990FB6">
              <w:rPr>
                <w:sz w:val="22"/>
                <w:szCs w:val="22"/>
                <w:lang w:eastAsia="es-CR"/>
              </w:rPr>
              <w:t>5 días</w:t>
            </w:r>
          </w:p>
        </w:tc>
        <w:tc>
          <w:tcPr>
            <w:tcW w:w="723"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D0B0E6" w14:textId="77777777" w:rsidR="00B15F7D" w:rsidRPr="00990FB6" w:rsidRDefault="00B15F7D" w:rsidP="00B15F7D">
            <w:pPr>
              <w:rPr>
                <w:sz w:val="22"/>
                <w:szCs w:val="22"/>
                <w:lang w:eastAsia="es-CR"/>
              </w:rPr>
            </w:pPr>
            <w:r w:rsidRPr="00990FB6">
              <w:rPr>
                <w:sz w:val="22"/>
                <w:szCs w:val="22"/>
                <w:lang w:eastAsia="es-CR"/>
              </w:rPr>
              <w:t>lun 2/10/23</w:t>
            </w:r>
          </w:p>
        </w:tc>
        <w:tc>
          <w:tcPr>
            <w:tcW w:w="67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1F47B0" w14:textId="77777777" w:rsidR="00B15F7D" w:rsidRPr="00990FB6" w:rsidRDefault="00B15F7D" w:rsidP="00B15F7D">
            <w:pPr>
              <w:rPr>
                <w:sz w:val="22"/>
                <w:szCs w:val="22"/>
                <w:lang w:eastAsia="es-CR"/>
              </w:rPr>
            </w:pPr>
            <w:r w:rsidRPr="00990FB6">
              <w:rPr>
                <w:sz w:val="22"/>
                <w:szCs w:val="22"/>
                <w:lang w:eastAsia="es-CR"/>
              </w:rPr>
              <w:t>lun 9/10/23</w:t>
            </w:r>
          </w:p>
        </w:tc>
        <w:tc>
          <w:tcPr>
            <w:tcW w:w="911" w:type="pct"/>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0E0681" w14:textId="77777777" w:rsidR="00B15F7D" w:rsidRPr="00990FB6" w:rsidRDefault="00B15F7D" w:rsidP="00B15F7D">
            <w:pPr>
              <w:rPr>
                <w:sz w:val="22"/>
                <w:szCs w:val="22"/>
                <w:lang w:eastAsia="es-CR"/>
              </w:rPr>
            </w:pPr>
            <w:r w:rsidRPr="00990FB6">
              <w:rPr>
                <w:sz w:val="22"/>
                <w:szCs w:val="22"/>
                <w:lang w:eastAsia="es-CR"/>
              </w:rPr>
              <w:t>0%</w:t>
            </w:r>
          </w:p>
        </w:tc>
      </w:tr>
    </w:tbl>
    <w:p w14:paraId="0229BB9C" w14:textId="77777777" w:rsidR="00B15F7D" w:rsidRPr="00990FB6" w:rsidRDefault="00B15F7D" w:rsidP="00B15F7D">
      <w:pPr>
        <w:widowControl w:val="0"/>
        <w:ind w:left="1080"/>
        <w:jc w:val="both"/>
        <w:rPr>
          <w:rFonts w:eastAsia="Calibri"/>
          <w:sz w:val="22"/>
          <w:szCs w:val="22"/>
        </w:rPr>
      </w:pPr>
    </w:p>
    <w:p w14:paraId="160F0027" w14:textId="77777777" w:rsidR="00B15F7D" w:rsidRPr="00990FB6" w:rsidRDefault="00B15F7D" w:rsidP="00B15F7D">
      <w:pPr>
        <w:ind w:left="851" w:firstLine="709"/>
        <w:rPr>
          <w:rFonts w:eastAsia="Calibri"/>
          <w:b/>
          <w:bCs/>
          <w:sz w:val="22"/>
          <w:szCs w:val="22"/>
        </w:rPr>
      </w:pPr>
      <w:r w:rsidRPr="00990FB6">
        <w:rPr>
          <w:rFonts w:eastAsia="Calibri"/>
          <w:b/>
          <w:bCs/>
          <w:sz w:val="22"/>
          <w:szCs w:val="22"/>
        </w:rPr>
        <w:t>Al Departamento de Trabajo Social y Psicología</w:t>
      </w:r>
    </w:p>
    <w:p w14:paraId="58859FA7" w14:textId="77777777" w:rsidR="00B15F7D" w:rsidRPr="00990FB6" w:rsidRDefault="00B15F7D" w:rsidP="00B15F7D">
      <w:pPr>
        <w:widowControl w:val="0"/>
        <w:ind w:left="851" w:right="851" w:firstLine="709"/>
        <w:jc w:val="both"/>
        <w:rPr>
          <w:rFonts w:eastAsia="Calibri"/>
          <w:sz w:val="22"/>
          <w:szCs w:val="22"/>
        </w:rPr>
      </w:pPr>
    </w:p>
    <w:p w14:paraId="194A9F17" w14:textId="77777777" w:rsidR="00B15F7D" w:rsidRPr="00990FB6" w:rsidRDefault="00B15F7D" w:rsidP="00B15F7D">
      <w:pPr>
        <w:widowControl w:val="0"/>
        <w:ind w:left="851" w:right="851" w:firstLine="709"/>
        <w:jc w:val="both"/>
        <w:rPr>
          <w:rFonts w:eastAsia="Calibri"/>
          <w:sz w:val="22"/>
          <w:szCs w:val="22"/>
        </w:rPr>
      </w:pPr>
      <w:r w:rsidRPr="00990FB6">
        <w:rPr>
          <w:rFonts w:eastAsia="Calibri"/>
          <w:sz w:val="22"/>
          <w:szCs w:val="22"/>
        </w:rPr>
        <w:t xml:space="preserve">Diseñar los planes de trabajo de manera que identifiquen a nivel nacional las pericias que puedan llevar a cabo mediante la contratación de </w:t>
      </w:r>
      <w:r w:rsidRPr="00990FB6">
        <w:rPr>
          <w:rFonts w:eastAsia="Calibri"/>
          <w:sz w:val="22"/>
          <w:szCs w:val="22"/>
        </w:rPr>
        <w:lastRenderedPageBreak/>
        <w:t xml:space="preserve">peritos y hagan uso del presupuesto disponible con el fin de reducir los plazos de entrega de las pericias solicitadas por los Juzgados de Familia y Juzgados de Violencia a nivel nacional. Una vez aprobado el presupuesto (noviembre 2023), proceder a coordinar lo correspondiente que asegure la ejecución del presupuesto asignado y la mejoría en los plazos de entrega de las pericias, ya que se visualiza que actualmente los tiempos de respuesta del Departamento de Trabajo Social y Psicología, son los que provocan el mayor cuello de botella y lentitud para la definición de los expedientes judiciales, en la materia de familia”.  </w:t>
      </w:r>
    </w:p>
    <w:p w14:paraId="5EC5EB87" w14:textId="77777777" w:rsidR="00B15F7D" w:rsidRPr="00990FB6" w:rsidRDefault="00B15F7D" w:rsidP="00B15F7D">
      <w:pPr>
        <w:widowControl w:val="0"/>
        <w:ind w:left="851" w:right="851" w:firstLine="709"/>
        <w:jc w:val="both"/>
        <w:rPr>
          <w:rFonts w:eastAsia="Calibri"/>
          <w:sz w:val="22"/>
          <w:szCs w:val="22"/>
        </w:rPr>
      </w:pPr>
    </w:p>
    <w:p w14:paraId="69E98065" w14:textId="77777777" w:rsidR="00B15F7D" w:rsidRPr="00990FB6" w:rsidRDefault="00B15F7D" w:rsidP="00B15F7D">
      <w:pPr>
        <w:tabs>
          <w:tab w:val="center" w:pos="4419"/>
          <w:tab w:val="left" w:pos="5265"/>
        </w:tabs>
        <w:autoSpaceDE w:val="0"/>
        <w:autoSpaceDN w:val="0"/>
        <w:adjustRightInd w:val="0"/>
        <w:rPr>
          <w:sz w:val="22"/>
          <w:szCs w:val="22"/>
          <w:lang w:val="es-CR"/>
        </w:rPr>
      </w:pPr>
      <w:r w:rsidRPr="00990FB6">
        <w:rPr>
          <w:sz w:val="22"/>
          <w:szCs w:val="22"/>
          <w:lang w:val="es-CR"/>
        </w:rPr>
        <w:tab/>
        <w:t>- 0 -</w:t>
      </w:r>
    </w:p>
    <w:p w14:paraId="3DEF812D" w14:textId="77777777" w:rsidR="00B15F7D" w:rsidRPr="00990FB6" w:rsidRDefault="00B15F7D" w:rsidP="00B15F7D">
      <w:pPr>
        <w:autoSpaceDE w:val="0"/>
        <w:autoSpaceDN w:val="0"/>
        <w:adjustRightInd w:val="0"/>
        <w:jc w:val="center"/>
        <w:rPr>
          <w:sz w:val="22"/>
          <w:szCs w:val="22"/>
          <w:lang w:val="es-CR"/>
        </w:rPr>
      </w:pPr>
    </w:p>
    <w:p w14:paraId="283B7710" w14:textId="77777777" w:rsidR="00B15F7D" w:rsidRPr="00990FB6" w:rsidRDefault="00B15F7D" w:rsidP="00B15F7D">
      <w:pPr>
        <w:autoSpaceDE w:val="0"/>
        <w:autoSpaceDN w:val="0"/>
        <w:adjustRightInd w:val="0"/>
        <w:jc w:val="both"/>
        <w:rPr>
          <w:sz w:val="22"/>
          <w:szCs w:val="22"/>
          <w:lang w:val="es-CR"/>
        </w:rPr>
      </w:pPr>
      <w:r w:rsidRPr="00990FB6">
        <w:rPr>
          <w:b/>
          <w:bCs/>
          <w:sz w:val="22"/>
          <w:szCs w:val="22"/>
          <w:lang w:val="es-CR"/>
        </w:rPr>
        <w:tab/>
      </w:r>
      <w:r w:rsidRPr="00990FB6">
        <w:rPr>
          <w:sz w:val="22"/>
          <w:szCs w:val="22"/>
          <w:lang w:val="es-CR"/>
        </w:rPr>
        <w:t>Para su consulta, se adjunta el citado informe.</w:t>
      </w:r>
    </w:p>
    <w:p w14:paraId="0C5360E1" w14:textId="77777777" w:rsidR="00B15F7D" w:rsidRPr="00990FB6" w:rsidRDefault="00B15F7D" w:rsidP="00B15F7D">
      <w:pPr>
        <w:autoSpaceDE w:val="0"/>
        <w:autoSpaceDN w:val="0"/>
        <w:adjustRightInd w:val="0"/>
        <w:jc w:val="both"/>
        <w:rPr>
          <w:sz w:val="22"/>
          <w:szCs w:val="22"/>
          <w:lang w:val="es-CR"/>
        </w:rPr>
      </w:pPr>
    </w:p>
    <w:p w14:paraId="75B856D3" w14:textId="77777777" w:rsidR="00B15F7D" w:rsidRPr="00990FB6" w:rsidRDefault="00B15F7D" w:rsidP="00B15F7D">
      <w:pPr>
        <w:autoSpaceDE w:val="0"/>
        <w:autoSpaceDN w:val="0"/>
        <w:adjustRightInd w:val="0"/>
        <w:jc w:val="center"/>
        <w:rPr>
          <w:sz w:val="22"/>
          <w:szCs w:val="22"/>
          <w:lang w:val="es-CR"/>
        </w:rPr>
      </w:pPr>
      <w:r w:rsidRPr="00990FB6">
        <w:rPr>
          <w:sz w:val="22"/>
          <w:szCs w:val="22"/>
          <w:lang w:val="es-CR"/>
        </w:rPr>
        <w:object w:dxaOrig="1508" w:dyaOrig="984" w14:anchorId="0CB1A317">
          <v:shape id="_x0000_i1062" type="#_x0000_t75" style="width:77pt;height:46.5pt" o:ole="">
            <v:imagedata r:id="rId132" o:title=""/>
          </v:shape>
          <o:OLEObject Type="Embed" ProgID="Acrobat.Document.DC" ShapeID="_x0000_i1062" DrawAspect="Icon" ObjectID="_1748679190" r:id="rId133"/>
        </w:object>
      </w:r>
    </w:p>
    <w:p w14:paraId="3BE7DA9B" w14:textId="77777777" w:rsidR="00B15F7D" w:rsidRPr="00990FB6" w:rsidRDefault="00B15F7D" w:rsidP="00B15F7D">
      <w:pPr>
        <w:autoSpaceDE w:val="0"/>
        <w:autoSpaceDN w:val="0"/>
        <w:adjustRightInd w:val="0"/>
        <w:jc w:val="center"/>
        <w:rPr>
          <w:sz w:val="22"/>
          <w:szCs w:val="22"/>
          <w:lang w:val="es-CR"/>
        </w:rPr>
      </w:pPr>
    </w:p>
    <w:p w14:paraId="48BA532F" w14:textId="77777777" w:rsidR="00B15F7D" w:rsidRPr="00990FB6" w:rsidRDefault="00B15F7D" w:rsidP="00B15F7D">
      <w:pPr>
        <w:jc w:val="center"/>
        <w:rPr>
          <w:sz w:val="22"/>
          <w:szCs w:val="22"/>
        </w:rPr>
      </w:pPr>
      <w:r w:rsidRPr="00990FB6">
        <w:rPr>
          <w:sz w:val="22"/>
          <w:szCs w:val="22"/>
        </w:rPr>
        <w:t>- 0 -</w:t>
      </w:r>
    </w:p>
    <w:p w14:paraId="2F161AFA" w14:textId="77777777" w:rsidR="00B15F7D" w:rsidRPr="00990FB6" w:rsidRDefault="00B15F7D" w:rsidP="00B15F7D">
      <w:pPr>
        <w:ind w:firstLine="709"/>
        <w:jc w:val="center"/>
        <w:rPr>
          <w:sz w:val="22"/>
          <w:szCs w:val="22"/>
        </w:rPr>
      </w:pPr>
    </w:p>
    <w:p w14:paraId="7E15A7AF" w14:textId="77777777" w:rsidR="00B15F7D" w:rsidRPr="00990FB6" w:rsidRDefault="00B15F7D" w:rsidP="00B15F7D">
      <w:pPr>
        <w:ind w:left="851" w:right="851" w:firstLine="709"/>
        <w:jc w:val="both"/>
        <w:rPr>
          <w:sz w:val="22"/>
          <w:szCs w:val="22"/>
        </w:rPr>
      </w:pPr>
      <w:r w:rsidRPr="00990FB6">
        <w:rPr>
          <w:b/>
          <w:bCs/>
          <w:sz w:val="22"/>
          <w:szCs w:val="22"/>
        </w:rPr>
        <w:t>Se acordó</w:t>
      </w:r>
      <w:r w:rsidRPr="00990FB6">
        <w:rPr>
          <w:sz w:val="22"/>
          <w:szCs w:val="22"/>
        </w:rPr>
        <w:t>:</w:t>
      </w:r>
      <w:r w:rsidRPr="00990FB6">
        <w:rPr>
          <w:b/>
          <w:bCs/>
          <w:sz w:val="22"/>
          <w:szCs w:val="22"/>
        </w:rPr>
        <w:t xml:space="preserve"> 1.) </w:t>
      </w:r>
      <w:r w:rsidRPr="00990FB6">
        <w:rPr>
          <w:sz w:val="22"/>
          <w:szCs w:val="22"/>
        </w:rPr>
        <w:t xml:space="preserve">Aprobar el informe </w:t>
      </w:r>
      <w:r w:rsidRPr="00990FB6">
        <w:rPr>
          <w:sz w:val="22"/>
          <w:szCs w:val="22"/>
          <w:lang w:val="es-MX"/>
        </w:rPr>
        <w:t>283-PLA-RH-MI(NPL)-2023</w:t>
      </w:r>
      <w:r w:rsidRPr="00990FB6">
        <w:rPr>
          <w:sz w:val="22"/>
          <w:szCs w:val="22"/>
        </w:rPr>
        <w:t xml:space="preserve"> y sus recomendaciones, relacionado con la Formulación Presupuestaria 2024- sobre el Impacto organizacional y presupuestario en el Poder Judicial a partir de la promulgación del Código Procesal de Familia para el 2023. </w:t>
      </w:r>
      <w:r w:rsidRPr="00990FB6">
        <w:rPr>
          <w:b/>
          <w:bCs/>
          <w:sz w:val="22"/>
          <w:szCs w:val="22"/>
        </w:rPr>
        <w:t xml:space="preserve">2.) </w:t>
      </w:r>
      <w:r w:rsidRPr="00990FB6">
        <w:rPr>
          <w:sz w:val="22"/>
          <w:szCs w:val="22"/>
        </w:rPr>
        <w:t xml:space="preserve">Hacer de conocimiento de Corte Plena, para que analice la imposibilidad de implementación de la reforma en las condiciones actuales, dadas las limitaciones impuestas por el Ministerio de Hacienda y valorar solicitar la ampliación de la </w:t>
      </w:r>
      <w:proofErr w:type="spellStart"/>
      <w:r w:rsidRPr="00990FB6">
        <w:rPr>
          <w:i/>
          <w:iCs/>
          <w:sz w:val="22"/>
          <w:szCs w:val="22"/>
        </w:rPr>
        <w:t>vacatio</w:t>
      </w:r>
      <w:proofErr w:type="spellEnd"/>
      <w:r w:rsidRPr="00990FB6">
        <w:rPr>
          <w:i/>
          <w:iCs/>
          <w:sz w:val="22"/>
          <w:szCs w:val="22"/>
        </w:rPr>
        <w:t xml:space="preserve"> </w:t>
      </w:r>
      <w:proofErr w:type="spellStart"/>
      <w:r w:rsidRPr="00990FB6">
        <w:rPr>
          <w:i/>
          <w:iCs/>
          <w:sz w:val="22"/>
          <w:szCs w:val="22"/>
        </w:rPr>
        <w:t>legis</w:t>
      </w:r>
      <w:proofErr w:type="spellEnd"/>
      <w:r w:rsidRPr="00990FB6">
        <w:rPr>
          <w:sz w:val="22"/>
          <w:szCs w:val="22"/>
        </w:rPr>
        <w:t xml:space="preserve"> para implementar esta reforma, así como el análisis de las propuestas legales que correspondan en relación el incremento de asuntos en la Sala Segunda y su impacto en los tiempos de respuesta. </w:t>
      </w:r>
      <w:r w:rsidRPr="00990FB6">
        <w:rPr>
          <w:b/>
          <w:bCs/>
          <w:sz w:val="22"/>
          <w:szCs w:val="22"/>
        </w:rPr>
        <w:t>3.)</w:t>
      </w:r>
      <w:r w:rsidRPr="00990FB6">
        <w:rPr>
          <w:sz w:val="22"/>
          <w:szCs w:val="22"/>
        </w:rPr>
        <w:t xml:space="preserve"> Hacer este acuerdo de conocimiento de la Sala Segunda, Comision de la Jurisdicción de Familia, Niñez y Adolescencia, así como de la Dirección de Planificación, para los fines consiguientes. </w:t>
      </w:r>
      <w:r w:rsidRPr="00990FB6">
        <w:rPr>
          <w:b/>
          <w:bCs/>
          <w:sz w:val="22"/>
          <w:szCs w:val="22"/>
          <w:lang w:val="es-CR" w:eastAsia="es-ES_tradnl"/>
        </w:rPr>
        <w:t>Se declara acuerdo firme.</w:t>
      </w:r>
      <w:r w:rsidRPr="00990FB6">
        <w:rPr>
          <w:sz w:val="22"/>
          <w:szCs w:val="22"/>
        </w:rPr>
        <w:t>”</w:t>
      </w:r>
    </w:p>
    <w:p w14:paraId="1FCECDA0" w14:textId="77777777" w:rsidR="00B15F7D" w:rsidRPr="00990FB6" w:rsidRDefault="00B15F7D" w:rsidP="00B15F7D">
      <w:pPr>
        <w:ind w:left="851" w:right="851" w:firstLine="709"/>
        <w:jc w:val="both"/>
        <w:rPr>
          <w:b/>
          <w:bCs/>
          <w:color w:val="000000"/>
          <w:sz w:val="22"/>
          <w:szCs w:val="22"/>
          <w:shd w:val="clear" w:color="auto" w:fill="FFFFFF"/>
          <w:lang w:val="es-CR"/>
        </w:rPr>
      </w:pPr>
    </w:p>
    <w:p w14:paraId="5BB34013" w14:textId="6B1D8093" w:rsidR="00B15F7D" w:rsidRPr="00990FB6" w:rsidRDefault="00B15F7D" w:rsidP="00B15F7D">
      <w:pPr>
        <w:jc w:val="center"/>
        <w:rPr>
          <w:color w:val="000000"/>
          <w:sz w:val="22"/>
          <w:szCs w:val="22"/>
          <w:shd w:val="clear" w:color="auto" w:fill="FFFFFF"/>
          <w:lang w:val="es-CR"/>
        </w:rPr>
      </w:pPr>
      <w:r w:rsidRPr="00990FB6">
        <w:rPr>
          <w:color w:val="000000"/>
          <w:sz w:val="22"/>
          <w:szCs w:val="22"/>
          <w:shd w:val="clear" w:color="auto" w:fill="FFFFFF"/>
          <w:lang w:val="es-CR"/>
        </w:rPr>
        <w:t xml:space="preserve">- 0 </w:t>
      </w:r>
      <w:r w:rsidR="007B2513" w:rsidRPr="00990FB6">
        <w:rPr>
          <w:color w:val="000000"/>
          <w:sz w:val="22"/>
          <w:szCs w:val="22"/>
          <w:shd w:val="clear" w:color="auto" w:fill="FFFFFF"/>
          <w:lang w:val="es-CR"/>
        </w:rPr>
        <w:t>–</w:t>
      </w:r>
    </w:p>
    <w:p w14:paraId="26D0C8EA" w14:textId="77777777" w:rsidR="007B2513" w:rsidRPr="00990FB6" w:rsidRDefault="007B2513" w:rsidP="00B15F7D">
      <w:pPr>
        <w:jc w:val="center"/>
        <w:rPr>
          <w:color w:val="000000"/>
          <w:sz w:val="22"/>
          <w:szCs w:val="22"/>
          <w:shd w:val="clear" w:color="auto" w:fill="FFFFFF"/>
          <w:lang w:val="es-CR"/>
        </w:rPr>
      </w:pPr>
    </w:p>
    <w:p w14:paraId="06AE07A6" w14:textId="65DA795E" w:rsidR="00B15F7D" w:rsidRPr="00990FB6" w:rsidRDefault="00B15F7D" w:rsidP="00B15F7D">
      <w:pPr>
        <w:ind w:firstLine="709"/>
        <w:jc w:val="both"/>
        <w:rPr>
          <w:bCs/>
          <w:sz w:val="22"/>
          <w:szCs w:val="22"/>
          <w:lang w:val="es-CR"/>
        </w:rPr>
      </w:pPr>
      <w:r w:rsidRPr="00990FB6">
        <w:rPr>
          <w:bCs/>
          <w:sz w:val="22"/>
          <w:szCs w:val="22"/>
          <w:lang w:val="es-CR"/>
        </w:rPr>
        <w:t xml:space="preserve">El Consejo Superior, remite el acuerdo tomado en sesión </w:t>
      </w:r>
      <w:proofErr w:type="spellStart"/>
      <w:r w:rsidRPr="00990FB6">
        <w:rPr>
          <w:bCs/>
          <w:sz w:val="22"/>
          <w:szCs w:val="22"/>
          <w:lang w:val="es-CR"/>
        </w:rPr>
        <w:t>N°</w:t>
      </w:r>
      <w:proofErr w:type="spellEnd"/>
      <w:r w:rsidRPr="00990FB6">
        <w:rPr>
          <w:bCs/>
          <w:sz w:val="22"/>
          <w:szCs w:val="22"/>
          <w:lang w:val="es-CR"/>
        </w:rPr>
        <w:t xml:space="preserve"> 42-2023 celebrada el 18 de mayo de 2023, artículo XIII, que literalmente dice:</w:t>
      </w:r>
    </w:p>
    <w:p w14:paraId="096EEFA2" w14:textId="77777777" w:rsidR="007B2513" w:rsidRPr="00990FB6" w:rsidRDefault="007B2513" w:rsidP="00B15F7D">
      <w:pPr>
        <w:ind w:firstLine="709"/>
        <w:jc w:val="both"/>
        <w:rPr>
          <w:bCs/>
          <w:sz w:val="22"/>
          <w:szCs w:val="22"/>
          <w:lang w:val="es-CR"/>
        </w:rPr>
      </w:pPr>
    </w:p>
    <w:p w14:paraId="5D68309D" w14:textId="60A11408" w:rsidR="00B15F7D" w:rsidRDefault="00B15F7D" w:rsidP="00B15F7D">
      <w:pPr>
        <w:keepNext/>
        <w:tabs>
          <w:tab w:val="num" w:pos="0"/>
          <w:tab w:val="left" w:pos="3544"/>
        </w:tabs>
        <w:ind w:left="851" w:right="851" w:firstLine="709"/>
        <w:jc w:val="both"/>
        <w:rPr>
          <w:sz w:val="22"/>
          <w:szCs w:val="22"/>
        </w:rPr>
      </w:pPr>
      <w:bookmarkStart w:id="70" w:name="_Toc135990704"/>
      <w:r w:rsidRPr="00990FB6">
        <w:rPr>
          <w:bCs/>
          <w:sz w:val="22"/>
          <w:szCs w:val="22"/>
          <w:lang w:val="es-CR"/>
        </w:rPr>
        <w:t>“</w:t>
      </w:r>
      <w:r w:rsidRPr="00990FB6">
        <w:rPr>
          <w:sz w:val="22"/>
          <w:szCs w:val="22"/>
        </w:rPr>
        <w:t xml:space="preserve">(…) El Consejo Superior en la sesión 39-2023, artículo I, conoció entre otros escenarios de Presupuesto 2024, el escenario 1: </w:t>
      </w:r>
      <w:r w:rsidRPr="00990FB6">
        <w:rPr>
          <w:b/>
          <w:bCs/>
          <w:i/>
          <w:iCs/>
          <w:sz w:val="22"/>
          <w:szCs w:val="22"/>
        </w:rPr>
        <w:t>Presupuesto del Poder Judicial sin ningún crecimiento presupuestario</w:t>
      </w:r>
      <w:r w:rsidRPr="00990FB6">
        <w:rPr>
          <w:sz w:val="22"/>
          <w:szCs w:val="22"/>
        </w:rPr>
        <w:t>, el cual se elaboró ajustado al monto de Ley aprobado para el 2023 y como complemento a este escenario, el Consejo Superior conoció el escenario 2, denominado “</w:t>
      </w:r>
      <w:r w:rsidRPr="00990FB6">
        <w:rPr>
          <w:b/>
          <w:bCs/>
          <w:sz w:val="22"/>
          <w:szCs w:val="22"/>
        </w:rPr>
        <w:t>Rebajos para ajustarse al límite establecido por el Ministerio de Haciende de ¢480.567.100.000 (inviable para el Poder Judicial)</w:t>
      </w:r>
      <w:r w:rsidRPr="00990FB6">
        <w:rPr>
          <w:sz w:val="22"/>
          <w:szCs w:val="22"/>
        </w:rPr>
        <w:t>”.</w:t>
      </w:r>
      <w:bookmarkEnd w:id="70"/>
    </w:p>
    <w:p w14:paraId="1E8A7038" w14:textId="77777777" w:rsidR="00EE3ED3" w:rsidRPr="00990FB6" w:rsidRDefault="00EE3ED3" w:rsidP="00B15F7D">
      <w:pPr>
        <w:keepNext/>
        <w:tabs>
          <w:tab w:val="num" w:pos="0"/>
          <w:tab w:val="left" w:pos="3544"/>
        </w:tabs>
        <w:ind w:left="851" w:right="851" w:firstLine="709"/>
        <w:jc w:val="both"/>
        <w:rPr>
          <w:b/>
          <w:bCs/>
          <w:sz w:val="22"/>
          <w:szCs w:val="22"/>
          <w:u w:val="single"/>
        </w:rPr>
      </w:pPr>
    </w:p>
    <w:p w14:paraId="011DD18D" w14:textId="77777777" w:rsidR="00B15F7D" w:rsidRPr="00990FB6" w:rsidRDefault="00B15F7D" w:rsidP="00B15F7D">
      <w:pPr>
        <w:tabs>
          <w:tab w:val="left" w:pos="3544"/>
        </w:tabs>
        <w:ind w:left="851" w:right="851" w:firstLine="709"/>
        <w:jc w:val="both"/>
        <w:rPr>
          <w:b/>
          <w:color w:val="0070C0"/>
          <w:sz w:val="22"/>
          <w:szCs w:val="22"/>
          <w:highlight w:val="lightGray"/>
        </w:rPr>
      </w:pPr>
    </w:p>
    <w:p w14:paraId="6FFCD1E1" w14:textId="77777777" w:rsidR="00B15F7D" w:rsidRPr="00990FB6" w:rsidRDefault="00B15F7D" w:rsidP="00B15F7D">
      <w:pPr>
        <w:tabs>
          <w:tab w:val="left" w:pos="3544"/>
        </w:tabs>
        <w:ind w:left="851" w:right="851" w:firstLine="709"/>
        <w:jc w:val="both"/>
        <w:rPr>
          <w:sz w:val="22"/>
          <w:szCs w:val="22"/>
        </w:rPr>
      </w:pPr>
      <w:r w:rsidRPr="00990FB6">
        <w:rPr>
          <w:sz w:val="22"/>
          <w:szCs w:val="22"/>
        </w:rPr>
        <w:lastRenderedPageBreak/>
        <w:t xml:space="preserve">El Consejo Superior acordó: </w:t>
      </w:r>
    </w:p>
    <w:p w14:paraId="510CA5C4" w14:textId="77777777" w:rsidR="00B15F7D" w:rsidRPr="00990FB6" w:rsidRDefault="00B15F7D" w:rsidP="00B15F7D">
      <w:pPr>
        <w:tabs>
          <w:tab w:val="left" w:pos="3544"/>
        </w:tabs>
        <w:ind w:left="851" w:right="851" w:firstLine="709"/>
        <w:jc w:val="both"/>
        <w:rPr>
          <w:sz w:val="22"/>
          <w:szCs w:val="22"/>
        </w:rPr>
      </w:pPr>
    </w:p>
    <w:p w14:paraId="6D402D56" w14:textId="77777777" w:rsidR="00B15F7D" w:rsidRPr="00990FB6" w:rsidRDefault="00B15F7D" w:rsidP="00B15F7D">
      <w:pPr>
        <w:tabs>
          <w:tab w:val="left" w:pos="3544"/>
        </w:tabs>
        <w:ind w:left="851" w:right="851" w:firstLine="709"/>
        <w:jc w:val="both"/>
        <w:rPr>
          <w:i/>
          <w:iCs/>
          <w:sz w:val="22"/>
          <w:szCs w:val="22"/>
          <w:lang w:eastAsia="es-ES"/>
        </w:rPr>
      </w:pPr>
      <w:r w:rsidRPr="00990FB6">
        <w:rPr>
          <w:sz w:val="22"/>
          <w:szCs w:val="22"/>
        </w:rPr>
        <w:t>“</w:t>
      </w:r>
      <w:r w:rsidRPr="00990FB6">
        <w:rPr>
          <w:i/>
          <w:iCs/>
          <w:sz w:val="22"/>
          <w:szCs w:val="22"/>
          <w:lang w:eastAsia="es-ES"/>
        </w:rPr>
        <w:t>1) Tener por recibidos los escenarios planteados por la Dirección de Planificación para el presupuesto del Poder Judicial para el año 2024. 2) Comisionar al Despacho de la Presidencia para que coordine una reunión con las diferentes jefaturas de los Programas Presupuestarios, Dirección de Tecnología de la Información y Dirección Ejecutiva, a fin de que estos Programas y Direcciones Administrativas realicen una propuesta de rebajo conforme la información proporcionada por la Dirección de Planificación en el escenario 2 denominado “Escenario 2: Rebajos para ajustarse al límite establecido por el Ministerio de Haciende de ¢480.567.100.000 (inviable para el Poder Judicial)”.  Lo anterior, como una medida extrema, previendo el riesgo y responsabilidad para el Consejo Superior de no presentar un proyecto de presupuesto ante Corte Plena, ajustado a los lineamientos establecidos por el Ministerio de Hacienda mediante oficio MH-DM-OF-0561-2023 en el cual estableció el límite presupuestario al Poder Judicial para 2024. Este escenario debe detallar claramente el impacto que tendrá para la prestación del servicio público, en caso de que se llegue a concretar 3) Estar a la espera del resultado de la reunión que se realizará entre la Presidencia de la Corte y el Ministerio de Hacienda, para tratar el tema Presupuestario, de conformidad con el acuerdo tomado por este Consejo Superior en sesión número 38-2023 del 9 de abril de 2023, artículo XLVII.</w:t>
      </w:r>
    </w:p>
    <w:p w14:paraId="521833FA" w14:textId="77777777" w:rsidR="00B15F7D" w:rsidRPr="00990FB6" w:rsidRDefault="00B15F7D" w:rsidP="00B15F7D">
      <w:pPr>
        <w:tabs>
          <w:tab w:val="left" w:pos="3544"/>
        </w:tabs>
        <w:ind w:left="851" w:right="851" w:firstLine="709"/>
        <w:jc w:val="both"/>
        <w:rPr>
          <w:i/>
          <w:iCs/>
          <w:sz w:val="22"/>
          <w:szCs w:val="22"/>
          <w:lang w:eastAsia="es-ES"/>
        </w:rPr>
      </w:pPr>
    </w:p>
    <w:p w14:paraId="058EE1DA" w14:textId="77777777" w:rsidR="00B15F7D" w:rsidRPr="00990FB6" w:rsidRDefault="00B15F7D" w:rsidP="00B15F7D">
      <w:pPr>
        <w:tabs>
          <w:tab w:val="left" w:pos="3544"/>
        </w:tabs>
        <w:ind w:left="851" w:right="851" w:firstLine="709"/>
        <w:jc w:val="both"/>
        <w:rPr>
          <w:i/>
          <w:iCs/>
          <w:sz w:val="22"/>
          <w:szCs w:val="22"/>
          <w:lang w:eastAsia="es-ES"/>
        </w:rPr>
      </w:pPr>
      <w:r w:rsidRPr="00990FB6">
        <w:rPr>
          <w:i/>
          <w:iCs/>
          <w:sz w:val="22"/>
          <w:szCs w:val="22"/>
          <w:lang w:eastAsia="es-ES"/>
        </w:rPr>
        <w:t>La Dirección de Planificación tomará nota para lo que corresponda. Se declara acuerdo firme”.</w:t>
      </w:r>
    </w:p>
    <w:p w14:paraId="557B2E7A" w14:textId="77777777" w:rsidR="00B15F7D" w:rsidRPr="00990FB6" w:rsidRDefault="00B15F7D" w:rsidP="00B15F7D">
      <w:pPr>
        <w:tabs>
          <w:tab w:val="left" w:pos="3544"/>
        </w:tabs>
        <w:ind w:left="851" w:right="851" w:firstLine="709"/>
        <w:jc w:val="both"/>
        <w:rPr>
          <w:i/>
          <w:iCs/>
          <w:sz w:val="22"/>
          <w:szCs w:val="22"/>
          <w:lang w:eastAsia="es-ES"/>
        </w:rPr>
      </w:pPr>
    </w:p>
    <w:p w14:paraId="71B2E6B1" w14:textId="77777777" w:rsidR="00B15F7D" w:rsidRPr="00990FB6" w:rsidRDefault="00B15F7D" w:rsidP="00B15F7D">
      <w:pPr>
        <w:tabs>
          <w:tab w:val="left" w:pos="3544"/>
        </w:tabs>
        <w:ind w:left="851" w:right="851"/>
        <w:jc w:val="center"/>
        <w:rPr>
          <w:iCs/>
          <w:sz w:val="22"/>
          <w:szCs w:val="22"/>
          <w:lang w:eastAsia="es-ES"/>
        </w:rPr>
      </w:pPr>
      <w:r w:rsidRPr="00990FB6">
        <w:rPr>
          <w:iCs/>
          <w:sz w:val="22"/>
          <w:szCs w:val="22"/>
          <w:lang w:eastAsia="es-ES"/>
        </w:rPr>
        <w:t>- 0 -</w:t>
      </w:r>
    </w:p>
    <w:p w14:paraId="77491579" w14:textId="77777777" w:rsidR="00B15F7D" w:rsidRPr="00990FB6" w:rsidRDefault="00B15F7D" w:rsidP="00B15F7D">
      <w:pPr>
        <w:tabs>
          <w:tab w:val="left" w:pos="3544"/>
        </w:tabs>
        <w:ind w:left="851" w:right="851" w:firstLine="709"/>
        <w:jc w:val="both"/>
        <w:rPr>
          <w:sz w:val="22"/>
          <w:szCs w:val="22"/>
          <w:lang w:eastAsia="es-ES"/>
        </w:rPr>
      </w:pPr>
    </w:p>
    <w:p w14:paraId="49C9C8DB" w14:textId="77777777" w:rsidR="00B15F7D" w:rsidRPr="00990FB6" w:rsidRDefault="00B15F7D" w:rsidP="00B15F7D">
      <w:pPr>
        <w:tabs>
          <w:tab w:val="left" w:pos="3544"/>
        </w:tabs>
        <w:ind w:left="851" w:right="851" w:firstLine="709"/>
        <w:jc w:val="both"/>
        <w:rPr>
          <w:sz w:val="22"/>
          <w:szCs w:val="22"/>
        </w:rPr>
      </w:pPr>
      <w:r w:rsidRPr="00990FB6">
        <w:rPr>
          <w:sz w:val="22"/>
          <w:szCs w:val="22"/>
        </w:rPr>
        <w:t>Este tercer escenario se propone a partir de los análisis realizados con el Ministerio de Hacienda, en relación con la imposibilidad material de rebajar la suma de 10.000 mil millones de colones, tal como se fundamentó en el oficio 120-P-2023 de la Presidencia de la Corte y el acuerdo del Consejo Superior tomado en sesión 39-2023 artículo I, así como necesidades identificadas para fortalecer las estructuras penales.</w:t>
      </w:r>
    </w:p>
    <w:p w14:paraId="5D2B43D0" w14:textId="77777777" w:rsidR="00B15F7D" w:rsidRPr="00990FB6" w:rsidRDefault="00B15F7D" w:rsidP="00B15F7D">
      <w:pPr>
        <w:tabs>
          <w:tab w:val="left" w:pos="3544"/>
        </w:tabs>
        <w:ind w:left="851" w:right="851" w:firstLine="709"/>
        <w:jc w:val="both"/>
        <w:rPr>
          <w:sz w:val="22"/>
          <w:szCs w:val="22"/>
        </w:rPr>
      </w:pPr>
    </w:p>
    <w:p w14:paraId="5FD55CA0" w14:textId="77777777" w:rsidR="00B15F7D" w:rsidRPr="00990FB6" w:rsidRDefault="00B15F7D" w:rsidP="00B15F7D">
      <w:pPr>
        <w:tabs>
          <w:tab w:val="left" w:pos="3544"/>
        </w:tabs>
        <w:ind w:left="851" w:right="851" w:firstLine="709"/>
        <w:jc w:val="both"/>
        <w:rPr>
          <w:sz w:val="22"/>
          <w:szCs w:val="22"/>
        </w:rPr>
      </w:pPr>
      <w:r w:rsidRPr="00990FB6">
        <w:rPr>
          <w:sz w:val="22"/>
          <w:szCs w:val="22"/>
        </w:rPr>
        <w:t xml:space="preserve">Durante el proceso de formulación del 2024 se han identificado una serie de requerimientos asociados a leyes especiales para los que el Consejo Superior dispuso que se solicitarán de manera adicional al presupuesto ordinario del Poder Judicial. </w:t>
      </w:r>
    </w:p>
    <w:p w14:paraId="174F4CB4" w14:textId="77777777" w:rsidR="00B15F7D" w:rsidRPr="00990FB6" w:rsidRDefault="00B15F7D" w:rsidP="00B15F7D">
      <w:pPr>
        <w:tabs>
          <w:tab w:val="left" w:pos="3544"/>
        </w:tabs>
        <w:ind w:left="851" w:right="851" w:firstLine="709"/>
        <w:jc w:val="both"/>
        <w:rPr>
          <w:sz w:val="22"/>
          <w:szCs w:val="22"/>
        </w:rPr>
      </w:pPr>
    </w:p>
    <w:p w14:paraId="583E626A" w14:textId="77777777" w:rsidR="00B15F7D" w:rsidRPr="00990FB6" w:rsidRDefault="00B15F7D" w:rsidP="00B15F7D">
      <w:pPr>
        <w:tabs>
          <w:tab w:val="left" w:pos="3544"/>
        </w:tabs>
        <w:ind w:left="851" w:right="851" w:firstLine="709"/>
        <w:jc w:val="both"/>
        <w:rPr>
          <w:sz w:val="22"/>
          <w:szCs w:val="22"/>
        </w:rPr>
      </w:pPr>
      <w:r w:rsidRPr="00990FB6">
        <w:rPr>
          <w:sz w:val="22"/>
          <w:szCs w:val="22"/>
        </w:rPr>
        <w:t xml:space="preserve">Es así que se concilió el siguiente escenario con el Ministerio de Hacienda partiendo de las posibilidades económicas que dispone al día de hoy ese ministerio, partiendo de las limitaciones económicas que tiene el país para el año 2024 y esperando que en el año 2025 la situación económica siga mejorando. </w:t>
      </w:r>
    </w:p>
    <w:p w14:paraId="6C527238" w14:textId="77777777" w:rsidR="00B15F7D" w:rsidRPr="00990FB6" w:rsidRDefault="00B15F7D" w:rsidP="00B15F7D">
      <w:pPr>
        <w:tabs>
          <w:tab w:val="left" w:pos="3544"/>
        </w:tabs>
        <w:ind w:left="851" w:right="851" w:firstLine="709"/>
        <w:jc w:val="both"/>
        <w:rPr>
          <w:sz w:val="22"/>
          <w:szCs w:val="22"/>
        </w:rPr>
      </w:pPr>
    </w:p>
    <w:p w14:paraId="31F4B5E5" w14:textId="77777777" w:rsidR="00B15F7D" w:rsidRPr="00990FB6" w:rsidRDefault="00B15F7D" w:rsidP="00B15F7D">
      <w:pPr>
        <w:tabs>
          <w:tab w:val="left" w:pos="3544"/>
        </w:tabs>
        <w:ind w:left="851" w:right="851" w:firstLine="709"/>
        <w:jc w:val="both"/>
        <w:rPr>
          <w:sz w:val="22"/>
          <w:szCs w:val="22"/>
        </w:rPr>
      </w:pPr>
      <w:r w:rsidRPr="00990FB6">
        <w:rPr>
          <w:sz w:val="22"/>
          <w:szCs w:val="22"/>
        </w:rPr>
        <w:lastRenderedPageBreak/>
        <w:t xml:space="preserve"> En la siguiente tabla se incluye la propuesta para incorporar dentro del presupuesto ordinario 2024 recursos para cubrir estas necesidades, partiendo de que el Ministerio de Hacienda dotara al Poder Judicial del límite presupuestario que lo permita. El monto total estimado es de ¢2.638.094.923 conforme el siguiente detalle, para atender en el año 2024 la entrada en vigencia en el último trimestre del año y en el caso de agrario en el último mes del año 2024 por su plazo de entrada a regir en el año 2025, después de aprobada la </w:t>
      </w:r>
      <w:proofErr w:type="spellStart"/>
      <w:r w:rsidRPr="00990FB6">
        <w:rPr>
          <w:sz w:val="22"/>
          <w:szCs w:val="22"/>
        </w:rPr>
        <w:t>vacatio</w:t>
      </w:r>
      <w:proofErr w:type="spellEnd"/>
      <w:r w:rsidRPr="00990FB6">
        <w:rPr>
          <w:sz w:val="22"/>
          <w:szCs w:val="22"/>
        </w:rPr>
        <w:t>:</w:t>
      </w:r>
    </w:p>
    <w:p w14:paraId="13F2ED3B" w14:textId="77777777" w:rsidR="00B15F7D" w:rsidRPr="00990FB6" w:rsidRDefault="00B15F7D" w:rsidP="00B15F7D">
      <w:pPr>
        <w:tabs>
          <w:tab w:val="left" w:pos="3544"/>
        </w:tabs>
        <w:ind w:left="851" w:right="851" w:firstLine="709"/>
        <w:jc w:val="both"/>
        <w:rPr>
          <w:sz w:val="22"/>
          <w:szCs w:val="22"/>
        </w:rPr>
      </w:pPr>
    </w:p>
    <w:p w14:paraId="6983BE82" w14:textId="77777777" w:rsidR="00B15F7D" w:rsidRPr="00990FB6" w:rsidRDefault="00B15F7D" w:rsidP="00B15F7D">
      <w:pPr>
        <w:tabs>
          <w:tab w:val="left" w:pos="3544"/>
        </w:tabs>
        <w:ind w:left="851" w:right="851" w:firstLine="709"/>
        <w:jc w:val="both"/>
        <w:rPr>
          <w:b/>
          <w:bCs/>
          <w:sz w:val="22"/>
          <w:szCs w:val="22"/>
        </w:rPr>
      </w:pPr>
      <w:r w:rsidRPr="00990FB6">
        <w:rPr>
          <w:b/>
          <w:bCs/>
          <w:sz w:val="22"/>
          <w:szCs w:val="22"/>
        </w:rPr>
        <w:t xml:space="preserve">Recursos para Leyes Especiales </w:t>
      </w:r>
    </w:p>
    <w:p w14:paraId="7E306567" w14:textId="77777777" w:rsidR="00B15F7D" w:rsidRPr="00990FB6" w:rsidRDefault="00B15F7D" w:rsidP="00B15F7D">
      <w:pPr>
        <w:jc w:val="both"/>
        <w:rPr>
          <w:b/>
          <w:bCs/>
          <w:sz w:val="22"/>
          <w:szCs w:val="22"/>
        </w:rPr>
      </w:pPr>
    </w:p>
    <w:p w14:paraId="21AF1B01" w14:textId="77777777" w:rsidR="00B15F7D" w:rsidRPr="00990FB6" w:rsidRDefault="00B15F7D" w:rsidP="00B15F7D">
      <w:pPr>
        <w:jc w:val="center"/>
        <w:rPr>
          <w:b/>
          <w:bCs/>
          <w:snapToGrid w:val="0"/>
          <w:sz w:val="22"/>
          <w:szCs w:val="22"/>
          <w:u w:val="single"/>
        </w:rPr>
      </w:pPr>
      <w:r w:rsidRPr="00990FB6">
        <w:rPr>
          <w:noProof/>
          <w:sz w:val="22"/>
          <w:szCs w:val="22"/>
          <w:lang w:eastAsia="es-CR"/>
        </w:rPr>
        <w:drawing>
          <wp:inline distT="0" distB="0" distL="0" distR="0" wp14:anchorId="14596ED2" wp14:editId="45FD1B05">
            <wp:extent cx="5612130" cy="2245995"/>
            <wp:effectExtent l="0" t="0" r="7620" b="1905"/>
            <wp:docPr id="2135274357" name="Imagen 213527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2130" cy="2245995"/>
                    </a:xfrm>
                    <a:prstGeom prst="rect">
                      <a:avLst/>
                    </a:prstGeom>
                    <a:noFill/>
                    <a:ln>
                      <a:noFill/>
                    </a:ln>
                  </pic:spPr>
                </pic:pic>
              </a:graphicData>
            </a:graphic>
          </wp:inline>
        </w:drawing>
      </w:r>
    </w:p>
    <w:p w14:paraId="55ABAF22" w14:textId="77777777" w:rsidR="00B15F7D" w:rsidRPr="00990FB6" w:rsidRDefault="00B15F7D" w:rsidP="00B15F7D">
      <w:pPr>
        <w:numPr>
          <w:ilvl w:val="0"/>
          <w:numId w:val="194"/>
        </w:numPr>
        <w:suppressAutoHyphens w:val="0"/>
        <w:ind w:left="851" w:right="851" w:firstLine="709"/>
        <w:jc w:val="both"/>
        <w:rPr>
          <w:b/>
          <w:bCs/>
          <w:snapToGrid w:val="0"/>
          <w:sz w:val="22"/>
          <w:szCs w:val="22"/>
          <w:u w:val="single"/>
        </w:rPr>
      </w:pPr>
      <w:r w:rsidRPr="00990FB6">
        <w:rPr>
          <w:b/>
          <w:bCs/>
          <w:snapToGrid w:val="0"/>
          <w:sz w:val="22"/>
          <w:szCs w:val="22"/>
          <w:u w:val="single"/>
        </w:rPr>
        <w:t xml:space="preserve">Código Procesal Agrario:  </w:t>
      </w:r>
    </w:p>
    <w:p w14:paraId="366A86EA" w14:textId="77777777" w:rsidR="00B15F7D" w:rsidRPr="00990FB6" w:rsidRDefault="00B15F7D" w:rsidP="00B15F7D">
      <w:pPr>
        <w:ind w:left="851" w:right="851" w:firstLine="709"/>
        <w:jc w:val="both"/>
        <w:rPr>
          <w:b/>
          <w:bCs/>
          <w:snapToGrid w:val="0"/>
          <w:sz w:val="22"/>
          <w:szCs w:val="22"/>
          <w:u w:val="single"/>
        </w:rPr>
      </w:pPr>
    </w:p>
    <w:p w14:paraId="2FC69780" w14:textId="77777777" w:rsidR="00B15F7D" w:rsidRPr="00990FB6" w:rsidRDefault="00B15F7D" w:rsidP="00B15F7D">
      <w:pPr>
        <w:ind w:left="851" w:right="851" w:firstLine="709"/>
        <w:jc w:val="both"/>
        <w:rPr>
          <w:b/>
          <w:bCs/>
          <w:sz w:val="22"/>
          <w:szCs w:val="22"/>
        </w:rPr>
      </w:pPr>
      <w:r w:rsidRPr="00990FB6">
        <w:rPr>
          <w:b/>
          <w:bCs/>
          <w:color w:val="000000"/>
          <w:sz w:val="22"/>
          <w:szCs w:val="22"/>
        </w:rPr>
        <w:t xml:space="preserve">El Consejo Superior en sesión </w:t>
      </w:r>
      <w:proofErr w:type="spellStart"/>
      <w:r w:rsidRPr="00990FB6">
        <w:rPr>
          <w:b/>
          <w:color w:val="000000"/>
          <w:sz w:val="22"/>
          <w:szCs w:val="22"/>
        </w:rPr>
        <w:t>N°</w:t>
      </w:r>
      <w:proofErr w:type="spellEnd"/>
      <w:r w:rsidRPr="00990FB6">
        <w:rPr>
          <w:b/>
          <w:color w:val="000000"/>
          <w:sz w:val="22"/>
          <w:szCs w:val="22"/>
        </w:rPr>
        <w:t xml:space="preserve"> 34-2023 Artículo XLIV, </w:t>
      </w:r>
      <w:r w:rsidRPr="00990FB6">
        <w:rPr>
          <w:b/>
          <w:bCs/>
          <w:color w:val="000000"/>
          <w:sz w:val="22"/>
          <w:szCs w:val="22"/>
        </w:rPr>
        <w:t xml:space="preserve">celebrada el </w:t>
      </w:r>
      <w:r w:rsidRPr="00990FB6">
        <w:rPr>
          <w:b/>
          <w:color w:val="000000"/>
          <w:sz w:val="22"/>
          <w:szCs w:val="22"/>
        </w:rPr>
        <w:t>25 de abril del 2023,</w:t>
      </w:r>
      <w:r w:rsidRPr="00990FB6">
        <w:rPr>
          <w:b/>
          <w:bCs/>
          <w:color w:val="000000"/>
          <w:sz w:val="22"/>
          <w:szCs w:val="22"/>
        </w:rPr>
        <w:t xml:space="preserve"> conoció el </w:t>
      </w:r>
      <w:r w:rsidRPr="00990FB6">
        <w:rPr>
          <w:b/>
          <w:bCs/>
          <w:sz w:val="22"/>
          <w:szCs w:val="22"/>
          <w:lang w:val="es-MX"/>
        </w:rPr>
        <w:t xml:space="preserve">oficio </w:t>
      </w:r>
      <w:proofErr w:type="spellStart"/>
      <w:r w:rsidRPr="00990FB6">
        <w:rPr>
          <w:b/>
          <w:bCs/>
          <w:sz w:val="22"/>
          <w:szCs w:val="22"/>
          <w:lang w:val="es-MX"/>
        </w:rPr>
        <w:t>N°</w:t>
      </w:r>
      <w:proofErr w:type="spellEnd"/>
      <w:r w:rsidRPr="00990FB6">
        <w:rPr>
          <w:b/>
          <w:bCs/>
          <w:sz w:val="22"/>
          <w:szCs w:val="22"/>
          <w:lang w:val="es-MX"/>
        </w:rPr>
        <w:t xml:space="preserve"> </w:t>
      </w:r>
      <w:r w:rsidRPr="00990FB6">
        <w:rPr>
          <w:b/>
          <w:bCs/>
          <w:sz w:val="22"/>
          <w:szCs w:val="22"/>
        </w:rPr>
        <w:t>281-PLA-RH-MI(NPL)- 2023 y dispuso lo siguiente:</w:t>
      </w:r>
    </w:p>
    <w:p w14:paraId="70AED0D4" w14:textId="77777777" w:rsidR="00B15F7D" w:rsidRPr="00990FB6" w:rsidRDefault="00B15F7D" w:rsidP="00B15F7D">
      <w:pPr>
        <w:ind w:left="851" w:right="851" w:firstLine="709"/>
        <w:jc w:val="both"/>
        <w:rPr>
          <w:sz w:val="22"/>
          <w:szCs w:val="22"/>
        </w:rPr>
      </w:pPr>
    </w:p>
    <w:p w14:paraId="7D8E5238" w14:textId="77777777" w:rsidR="00B15F7D" w:rsidRPr="00990FB6" w:rsidRDefault="00B15F7D" w:rsidP="00B15F7D">
      <w:pPr>
        <w:ind w:left="851" w:right="851" w:firstLine="709"/>
        <w:jc w:val="both"/>
        <w:rPr>
          <w:i/>
          <w:iCs/>
          <w:color w:val="000000"/>
          <w:sz w:val="22"/>
          <w:szCs w:val="22"/>
        </w:rPr>
      </w:pPr>
      <w:r w:rsidRPr="00990FB6">
        <w:rPr>
          <w:b/>
          <w:bCs/>
          <w:i/>
          <w:iCs/>
          <w:color w:val="000000"/>
          <w:sz w:val="22"/>
          <w:szCs w:val="22"/>
        </w:rPr>
        <w:t xml:space="preserve"> Se acordó: 1.) </w:t>
      </w:r>
      <w:r w:rsidRPr="00990FB6">
        <w:rPr>
          <w:i/>
          <w:iCs/>
          <w:color w:val="000000"/>
          <w:sz w:val="22"/>
          <w:szCs w:val="22"/>
        </w:rPr>
        <w:t xml:space="preserve">Tener por conocido el oficio </w:t>
      </w:r>
      <w:proofErr w:type="spellStart"/>
      <w:r w:rsidRPr="00990FB6">
        <w:rPr>
          <w:i/>
          <w:iCs/>
          <w:color w:val="000000"/>
          <w:sz w:val="22"/>
          <w:szCs w:val="22"/>
          <w:lang w:val="es-MX"/>
        </w:rPr>
        <w:t>N°</w:t>
      </w:r>
      <w:proofErr w:type="spellEnd"/>
      <w:r w:rsidRPr="00990FB6">
        <w:rPr>
          <w:i/>
          <w:iCs/>
          <w:color w:val="000000"/>
          <w:sz w:val="22"/>
          <w:szCs w:val="22"/>
          <w:lang w:val="es-MX"/>
        </w:rPr>
        <w:t xml:space="preserve"> </w:t>
      </w:r>
      <w:r w:rsidRPr="00990FB6">
        <w:rPr>
          <w:i/>
          <w:iCs/>
          <w:color w:val="000000"/>
          <w:sz w:val="22"/>
          <w:szCs w:val="22"/>
        </w:rPr>
        <w:t xml:space="preserve">281-PLA-RH-MI(NPL)- 2023 del 18 de abril de 2023, suscrito por la </w:t>
      </w:r>
      <w:r w:rsidRPr="00990FB6">
        <w:rPr>
          <w:i/>
          <w:iCs/>
          <w:color w:val="000000"/>
          <w:sz w:val="22"/>
          <w:szCs w:val="22"/>
          <w:lang w:val="es-MX"/>
        </w:rPr>
        <w:t xml:space="preserve">licenciada Nacira Valverde Bermúdez Directora de Planificación, en que remite el informe relacionado </w:t>
      </w:r>
      <w:r w:rsidRPr="00990FB6">
        <w:rPr>
          <w:i/>
          <w:iCs/>
          <w:color w:val="000000"/>
          <w:sz w:val="22"/>
          <w:szCs w:val="22"/>
        </w:rPr>
        <w:t xml:space="preserve">con el Impacto organizacional y presupuestario en el Poder Judicial a partir de la promulgación del Nuevo Código Procesal Agrario para el 2023 (Ley 2024). </w:t>
      </w:r>
      <w:r w:rsidRPr="00990FB6">
        <w:rPr>
          <w:b/>
          <w:bCs/>
          <w:i/>
          <w:iCs/>
          <w:color w:val="000000"/>
          <w:sz w:val="22"/>
          <w:szCs w:val="22"/>
        </w:rPr>
        <w:t xml:space="preserve">2.) </w:t>
      </w:r>
      <w:r w:rsidRPr="00990FB6">
        <w:rPr>
          <w:i/>
          <w:iCs/>
          <w:color w:val="000000"/>
          <w:sz w:val="22"/>
          <w:szCs w:val="22"/>
        </w:rPr>
        <w:t xml:space="preserve">Acoger las recomendaciones dadas en el informe supra, dirigidas a las siguientes instancias:  </w:t>
      </w:r>
      <w:r w:rsidRPr="00990FB6">
        <w:rPr>
          <w:b/>
          <w:bCs/>
          <w:i/>
          <w:iCs/>
          <w:color w:val="000000"/>
          <w:sz w:val="22"/>
          <w:szCs w:val="22"/>
        </w:rPr>
        <w:t>2.1)</w:t>
      </w:r>
      <w:r w:rsidRPr="00990FB6">
        <w:rPr>
          <w:i/>
          <w:iCs/>
          <w:color w:val="000000"/>
          <w:sz w:val="22"/>
          <w:szCs w:val="22"/>
        </w:rPr>
        <w:t xml:space="preserve"> </w:t>
      </w:r>
      <w:r w:rsidRPr="00990FB6">
        <w:rPr>
          <w:b/>
          <w:bCs/>
          <w:i/>
          <w:iCs/>
          <w:color w:val="000000"/>
          <w:sz w:val="22"/>
          <w:szCs w:val="22"/>
        </w:rPr>
        <w:t xml:space="preserve">A la Comisión de la Jurisdicción Agraria: </w:t>
      </w:r>
      <w:r w:rsidRPr="00990FB6">
        <w:rPr>
          <w:i/>
          <w:iCs/>
          <w:color w:val="000000"/>
          <w:sz w:val="22"/>
          <w:szCs w:val="22"/>
        </w:rPr>
        <w:t xml:space="preserve">Redactar el Reglamento para el Fondo de Financiamiento de la Jurisdicción Agraria, el cual deberá remitirlo en aprobación a Corte Plena, cuando se implemente la ley. </w:t>
      </w:r>
      <w:r w:rsidRPr="00990FB6">
        <w:rPr>
          <w:b/>
          <w:bCs/>
          <w:i/>
          <w:iCs/>
          <w:color w:val="000000"/>
          <w:sz w:val="22"/>
          <w:szCs w:val="22"/>
        </w:rPr>
        <w:t>2.2)</w:t>
      </w:r>
      <w:r w:rsidRPr="00990FB6">
        <w:rPr>
          <w:i/>
          <w:iCs/>
          <w:color w:val="000000"/>
          <w:sz w:val="22"/>
          <w:szCs w:val="22"/>
        </w:rPr>
        <w:t xml:space="preserve"> </w:t>
      </w:r>
      <w:r w:rsidRPr="00990FB6">
        <w:rPr>
          <w:b/>
          <w:bCs/>
          <w:i/>
          <w:iCs/>
          <w:color w:val="000000"/>
          <w:sz w:val="22"/>
          <w:szCs w:val="22"/>
        </w:rPr>
        <w:t xml:space="preserve">A la Defensa Pública: </w:t>
      </w:r>
      <w:r w:rsidRPr="00990FB6">
        <w:rPr>
          <w:i/>
          <w:iCs/>
          <w:color w:val="000000"/>
          <w:sz w:val="22"/>
          <w:szCs w:val="22"/>
        </w:rPr>
        <w:t xml:space="preserve">Redactar el Reglamento para el Fondo de fortalecimiento de la Defensa Pública, el cual debe remitirlo en aprobación a Corte Plena. </w:t>
      </w:r>
      <w:r w:rsidRPr="00990FB6">
        <w:rPr>
          <w:b/>
          <w:bCs/>
          <w:i/>
          <w:iCs/>
          <w:color w:val="000000"/>
          <w:sz w:val="22"/>
          <w:szCs w:val="22"/>
        </w:rPr>
        <w:t>2.3)</w:t>
      </w:r>
      <w:r w:rsidRPr="00990FB6">
        <w:rPr>
          <w:i/>
          <w:iCs/>
          <w:color w:val="000000"/>
          <w:sz w:val="22"/>
          <w:szCs w:val="22"/>
        </w:rPr>
        <w:t xml:space="preserve"> </w:t>
      </w:r>
      <w:r w:rsidRPr="00990FB6">
        <w:rPr>
          <w:b/>
          <w:bCs/>
          <w:i/>
          <w:iCs/>
          <w:color w:val="000000"/>
          <w:sz w:val="22"/>
          <w:szCs w:val="22"/>
        </w:rPr>
        <w:t>Al</w:t>
      </w:r>
      <w:r w:rsidRPr="00990FB6">
        <w:rPr>
          <w:i/>
          <w:iCs/>
          <w:color w:val="000000"/>
          <w:sz w:val="22"/>
          <w:szCs w:val="22"/>
        </w:rPr>
        <w:t xml:space="preserve"> </w:t>
      </w:r>
      <w:r w:rsidRPr="00990FB6">
        <w:rPr>
          <w:b/>
          <w:bCs/>
          <w:i/>
          <w:iCs/>
          <w:color w:val="000000"/>
          <w:sz w:val="22"/>
          <w:szCs w:val="22"/>
        </w:rPr>
        <w:t xml:space="preserve">Centro de Apoyo, Coordinación y Mejoramiento a la Función Jurisdiccional: </w:t>
      </w:r>
      <w:r w:rsidRPr="00990FB6">
        <w:rPr>
          <w:i/>
          <w:iCs/>
          <w:color w:val="000000"/>
          <w:sz w:val="22"/>
          <w:szCs w:val="22"/>
        </w:rPr>
        <w:t xml:space="preserve">Velar porque en los planes de descongestionamiento con plazas de personal juzgador que pertenecen al CACMFJ, se cumplan las cuotas de trabajo de las Juezas y Jueces Agrarios y las técnicas y técnicos judiciales, de forma que se colabore a los despachos, además, tomando en </w:t>
      </w:r>
      <w:r w:rsidRPr="00990FB6">
        <w:rPr>
          <w:i/>
          <w:iCs/>
          <w:color w:val="000000"/>
          <w:sz w:val="22"/>
          <w:szCs w:val="22"/>
        </w:rPr>
        <w:lastRenderedPageBreak/>
        <w:t xml:space="preserve">consideración el circulante en trámite por fase, para movilizar los expedientes de la fase de demanda y lleguen a ejecución, y la cantidad de fallo por plaza de Jueza o Juez. </w:t>
      </w:r>
      <w:r w:rsidRPr="00990FB6">
        <w:rPr>
          <w:b/>
          <w:bCs/>
          <w:i/>
          <w:iCs/>
          <w:color w:val="000000"/>
          <w:sz w:val="22"/>
          <w:szCs w:val="22"/>
        </w:rPr>
        <w:t xml:space="preserve">3.) </w:t>
      </w:r>
      <w:r w:rsidRPr="00990FB6">
        <w:rPr>
          <w:i/>
          <w:iCs/>
          <w:color w:val="000000"/>
          <w:sz w:val="22"/>
          <w:szCs w:val="22"/>
        </w:rPr>
        <w:t>Hacer este acuerdo de conocimiento de las Direcciones de Gestión Humana, Ejecutiva, del Departamento de Financiero Contable, de la Comisión de la Jurisdicción Agraria, de la Defensa Pública, del Centro de Apoyo, Coordinación y Mejoramiento a la Función Jurisdiccional, así como de la Corte Plena.</w:t>
      </w:r>
    </w:p>
    <w:p w14:paraId="57F51C43" w14:textId="77777777" w:rsidR="00B15F7D" w:rsidRPr="00990FB6" w:rsidRDefault="00B15F7D" w:rsidP="00B15F7D">
      <w:pPr>
        <w:ind w:left="851" w:right="851" w:firstLine="709"/>
        <w:jc w:val="both"/>
        <w:rPr>
          <w:i/>
          <w:iCs/>
          <w:color w:val="000000"/>
          <w:sz w:val="22"/>
          <w:szCs w:val="22"/>
        </w:rPr>
      </w:pPr>
    </w:p>
    <w:p w14:paraId="714A2229" w14:textId="77777777" w:rsidR="00B15F7D" w:rsidRPr="00990FB6" w:rsidRDefault="00B15F7D" w:rsidP="00B15F7D">
      <w:pPr>
        <w:ind w:left="851" w:right="851" w:firstLine="709"/>
        <w:jc w:val="both"/>
        <w:rPr>
          <w:i/>
          <w:iCs/>
          <w:color w:val="000000"/>
          <w:sz w:val="22"/>
          <w:szCs w:val="22"/>
        </w:rPr>
      </w:pPr>
      <w:r w:rsidRPr="00990FB6">
        <w:rPr>
          <w:i/>
          <w:iCs/>
          <w:color w:val="000000"/>
          <w:sz w:val="22"/>
          <w:szCs w:val="22"/>
        </w:rPr>
        <w:t>La Dirección de Planificación, tomará nota para lo que corresponda. Se declara acuerdo firme.”</w:t>
      </w:r>
    </w:p>
    <w:p w14:paraId="440D6758" w14:textId="77777777" w:rsidR="00B15F7D" w:rsidRPr="00990FB6" w:rsidRDefault="00B15F7D" w:rsidP="00B15F7D">
      <w:pPr>
        <w:ind w:left="851" w:right="851" w:firstLine="709"/>
        <w:jc w:val="both"/>
        <w:rPr>
          <w:i/>
          <w:iCs/>
          <w:color w:val="000000"/>
          <w:sz w:val="22"/>
          <w:szCs w:val="22"/>
        </w:rPr>
      </w:pPr>
    </w:p>
    <w:p w14:paraId="51427CE6" w14:textId="77777777" w:rsidR="00B15F7D" w:rsidRPr="00990FB6" w:rsidRDefault="00B15F7D" w:rsidP="00B15F7D">
      <w:pPr>
        <w:ind w:left="851" w:right="851" w:firstLine="709"/>
        <w:jc w:val="both"/>
        <w:rPr>
          <w:sz w:val="22"/>
          <w:szCs w:val="22"/>
        </w:rPr>
      </w:pPr>
      <w:r w:rsidRPr="00990FB6">
        <w:rPr>
          <w:sz w:val="22"/>
          <w:szCs w:val="22"/>
        </w:rPr>
        <w:t>Mediante oficio 328-PLA-MI (NPL)-2023 se hace la adición de 2 plazas, 1 para el Juzgado Civil, Trabajo y Agrario del II Circuito Judicial de Alajuela, sede Upala para completar estructura y otra para el puesto de persona gestora en la materia.  La estimación contempla 20 plazas estimando el costo de los recursos por período de 1 mes, considerando que las labores y tareas por realizar previo a la entrada en vigencia del código prevista para febrero del 2025.</w:t>
      </w:r>
    </w:p>
    <w:p w14:paraId="7EBE6CE6" w14:textId="77777777" w:rsidR="00B15F7D" w:rsidRPr="00990FB6" w:rsidRDefault="00B15F7D" w:rsidP="00B15F7D">
      <w:pPr>
        <w:ind w:left="851" w:right="851" w:firstLine="709"/>
        <w:jc w:val="both"/>
        <w:rPr>
          <w:snapToGrid w:val="0"/>
          <w:sz w:val="22"/>
          <w:szCs w:val="22"/>
          <w:u w:val="single"/>
        </w:rPr>
      </w:pPr>
    </w:p>
    <w:p w14:paraId="6A64C297" w14:textId="77777777" w:rsidR="00B15F7D" w:rsidRPr="00990FB6" w:rsidRDefault="00B15F7D" w:rsidP="00B15F7D">
      <w:pPr>
        <w:ind w:left="851" w:right="851" w:firstLine="709"/>
        <w:jc w:val="both"/>
        <w:rPr>
          <w:b/>
          <w:bCs/>
          <w:snapToGrid w:val="0"/>
          <w:sz w:val="22"/>
          <w:szCs w:val="22"/>
          <w:u w:val="single"/>
        </w:rPr>
      </w:pPr>
      <w:r w:rsidRPr="00990FB6">
        <w:rPr>
          <w:b/>
          <w:bCs/>
          <w:sz w:val="22"/>
          <w:szCs w:val="22"/>
        </w:rPr>
        <w:t>Finalmente, a efectos de una mejor implementación del proyecto, se están incluyendo la totalidad de las plazas solicitadas en el escenario en forma ordinaria, ante el estudio técnico que también visualizó la necesidad descrita.</w:t>
      </w:r>
    </w:p>
    <w:p w14:paraId="368A119E" w14:textId="77777777" w:rsidR="00B15F7D" w:rsidRPr="00990FB6" w:rsidRDefault="00B15F7D" w:rsidP="00B15F7D">
      <w:pPr>
        <w:jc w:val="both"/>
        <w:rPr>
          <w:snapToGrid w:val="0"/>
          <w:sz w:val="22"/>
          <w:szCs w:val="22"/>
          <w:u w:val="single"/>
        </w:rPr>
      </w:pPr>
    </w:p>
    <w:p w14:paraId="69D2B06A" w14:textId="77777777" w:rsidR="00B15F7D" w:rsidRPr="00990FB6" w:rsidRDefault="00B15F7D" w:rsidP="00B15F7D">
      <w:pPr>
        <w:jc w:val="center"/>
        <w:rPr>
          <w:snapToGrid w:val="0"/>
          <w:sz w:val="22"/>
          <w:szCs w:val="22"/>
          <w:u w:val="single"/>
        </w:rPr>
      </w:pPr>
      <w:r w:rsidRPr="00990FB6">
        <w:rPr>
          <w:noProof/>
          <w:sz w:val="22"/>
          <w:szCs w:val="22"/>
          <w:lang w:eastAsia="es-CR"/>
        </w:rPr>
        <w:lastRenderedPageBreak/>
        <w:drawing>
          <wp:inline distT="0" distB="0" distL="0" distR="0" wp14:anchorId="1A027984" wp14:editId="6BFC899A">
            <wp:extent cx="5612130" cy="4016375"/>
            <wp:effectExtent l="0" t="0" r="7620" b="3175"/>
            <wp:docPr id="290603672" name="Imagen 29060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2130" cy="4016375"/>
                    </a:xfrm>
                    <a:prstGeom prst="rect">
                      <a:avLst/>
                    </a:prstGeom>
                    <a:noFill/>
                    <a:ln>
                      <a:noFill/>
                    </a:ln>
                  </pic:spPr>
                </pic:pic>
              </a:graphicData>
            </a:graphic>
          </wp:inline>
        </w:drawing>
      </w:r>
    </w:p>
    <w:p w14:paraId="52C6C06D" w14:textId="77777777" w:rsidR="00B15F7D" w:rsidRPr="00990FB6" w:rsidRDefault="00B15F7D" w:rsidP="00B15F7D">
      <w:pPr>
        <w:ind w:left="851" w:right="851" w:firstLine="709"/>
        <w:jc w:val="both"/>
        <w:rPr>
          <w:snapToGrid w:val="0"/>
          <w:sz w:val="22"/>
          <w:szCs w:val="22"/>
          <w:u w:val="single"/>
        </w:rPr>
      </w:pPr>
      <w:r w:rsidRPr="00990FB6">
        <w:rPr>
          <w:snapToGrid w:val="0"/>
          <w:sz w:val="22"/>
          <w:szCs w:val="22"/>
          <w:u w:val="single"/>
        </w:rPr>
        <w:t>Nota: En la Defensa Pública el Profesional 1 es para administrar las costas procesales.</w:t>
      </w:r>
    </w:p>
    <w:p w14:paraId="2DD10159" w14:textId="77777777" w:rsidR="00B15F7D" w:rsidRPr="00990FB6" w:rsidRDefault="00B15F7D" w:rsidP="00B15F7D">
      <w:pPr>
        <w:ind w:left="851" w:right="851" w:firstLine="709"/>
        <w:jc w:val="both"/>
        <w:rPr>
          <w:snapToGrid w:val="0"/>
          <w:sz w:val="22"/>
          <w:szCs w:val="22"/>
          <w:u w:val="single"/>
        </w:rPr>
      </w:pPr>
    </w:p>
    <w:p w14:paraId="462D6E73" w14:textId="77777777" w:rsidR="00B15F7D" w:rsidRPr="00990FB6" w:rsidRDefault="00B15F7D" w:rsidP="00B15F7D">
      <w:pPr>
        <w:numPr>
          <w:ilvl w:val="0"/>
          <w:numId w:val="194"/>
        </w:numPr>
        <w:suppressAutoHyphens w:val="0"/>
        <w:ind w:left="851" w:right="851" w:firstLine="709"/>
        <w:jc w:val="both"/>
        <w:rPr>
          <w:b/>
          <w:bCs/>
          <w:snapToGrid w:val="0"/>
          <w:sz w:val="22"/>
          <w:szCs w:val="22"/>
          <w:u w:val="single"/>
        </w:rPr>
      </w:pPr>
      <w:r w:rsidRPr="00990FB6">
        <w:rPr>
          <w:b/>
          <w:bCs/>
          <w:snapToGrid w:val="0"/>
          <w:sz w:val="22"/>
          <w:szCs w:val="22"/>
          <w:u w:val="single"/>
        </w:rPr>
        <w:t>Código Procesal de Familia:</w:t>
      </w:r>
    </w:p>
    <w:p w14:paraId="57F317AE" w14:textId="77777777" w:rsidR="00B15F7D" w:rsidRPr="00990FB6" w:rsidRDefault="00B15F7D" w:rsidP="00B15F7D">
      <w:pPr>
        <w:ind w:left="851" w:right="851" w:firstLine="709"/>
        <w:jc w:val="both"/>
        <w:rPr>
          <w:b/>
          <w:bCs/>
          <w:snapToGrid w:val="0"/>
          <w:sz w:val="22"/>
          <w:szCs w:val="22"/>
          <w:u w:val="single"/>
        </w:rPr>
      </w:pPr>
    </w:p>
    <w:p w14:paraId="23E04940" w14:textId="77777777" w:rsidR="00B15F7D" w:rsidRPr="00990FB6" w:rsidRDefault="00B15F7D" w:rsidP="00B15F7D">
      <w:pPr>
        <w:ind w:left="851" w:right="851" w:firstLine="709"/>
        <w:jc w:val="both"/>
        <w:rPr>
          <w:sz w:val="22"/>
          <w:szCs w:val="22"/>
        </w:rPr>
      </w:pPr>
      <w:r w:rsidRPr="00990FB6">
        <w:rPr>
          <w:color w:val="000000"/>
          <w:sz w:val="22"/>
          <w:szCs w:val="22"/>
        </w:rPr>
        <w:t xml:space="preserve">El Consejo Superior en sesión </w:t>
      </w:r>
      <w:proofErr w:type="spellStart"/>
      <w:r w:rsidRPr="00990FB6">
        <w:rPr>
          <w:b/>
          <w:bCs/>
          <w:color w:val="000000"/>
          <w:sz w:val="22"/>
          <w:szCs w:val="22"/>
        </w:rPr>
        <w:t>N°</w:t>
      </w:r>
      <w:proofErr w:type="spellEnd"/>
      <w:r w:rsidRPr="00990FB6">
        <w:rPr>
          <w:b/>
          <w:bCs/>
          <w:color w:val="000000"/>
          <w:sz w:val="22"/>
          <w:szCs w:val="22"/>
        </w:rPr>
        <w:t xml:space="preserve"> 34-2023 Artículo XLIV, </w:t>
      </w:r>
      <w:r w:rsidRPr="00990FB6">
        <w:rPr>
          <w:bCs/>
          <w:color w:val="000000"/>
          <w:sz w:val="22"/>
          <w:szCs w:val="22"/>
        </w:rPr>
        <w:t>c</w:t>
      </w:r>
      <w:r w:rsidRPr="00990FB6">
        <w:rPr>
          <w:color w:val="000000"/>
          <w:sz w:val="22"/>
          <w:szCs w:val="22"/>
        </w:rPr>
        <w:t xml:space="preserve">elebrada el </w:t>
      </w:r>
      <w:r w:rsidRPr="00990FB6">
        <w:rPr>
          <w:b/>
          <w:color w:val="000000"/>
          <w:sz w:val="22"/>
          <w:szCs w:val="22"/>
        </w:rPr>
        <w:t>25 de abril</w:t>
      </w:r>
      <w:r w:rsidRPr="00990FB6">
        <w:rPr>
          <w:b/>
          <w:bCs/>
          <w:color w:val="000000"/>
          <w:sz w:val="22"/>
          <w:szCs w:val="22"/>
        </w:rPr>
        <w:t xml:space="preserve"> del 2023,</w:t>
      </w:r>
      <w:r w:rsidRPr="00990FB6">
        <w:rPr>
          <w:color w:val="000000"/>
          <w:sz w:val="22"/>
          <w:szCs w:val="22"/>
        </w:rPr>
        <w:t xml:space="preserve"> conoció el </w:t>
      </w:r>
      <w:r w:rsidRPr="00990FB6">
        <w:rPr>
          <w:sz w:val="22"/>
          <w:szCs w:val="22"/>
          <w:lang w:val="es-MX"/>
        </w:rPr>
        <w:t xml:space="preserve">oficio </w:t>
      </w:r>
      <w:proofErr w:type="spellStart"/>
      <w:r w:rsidRPr="00990FB6">
        <w:rPr>
          <w:sz w:val="22"/>
          <w:szCs w:val="22"/>
          <w:lang w:val="es-MX"/>
        </w:rPr>
        <w:t>N°</w:t>
      </w:r>
      <w:proofErr w:type="spellEnd"/>
      <w:r w:rsidRPr="00990FB6">
        <w:rPr>
          <w:sz w:val="22"/>
          <w:szCs w:val="22"/>
          <w:lang w:val="es-MX"/>
        </w:rPr>
        <w:t xml:space="preserve"> </w:t>
      </w:r>
      <w:r w:rsidRPr="00990FB6">
        <w:rPr>
          <w:sz w:val="22"/>
          <w:szCs w:val="22"/>
        </w:rPr>
        <w:t>283-PLA-RH-MI(NPL)- 2023 y dispuso lo siguiente:</w:t>
      </w:r>
    </w:p>
    <w:p w14:paraId="6E66EA53" w14:textId="77777777" w:rsidR="00B15F7D" w:rsidRPr="00990FB6" w:rsidRDefault="00B15F7D" w:rsidP="00B15F7D">
      <w:pPr>
        <w:ind w:left="851" w:right="851" w:firstLine="709"/>
        <w:jc w:val="both"/>
        <w:rPr>
          <w:sz w:val="22"/>
          <w:szCs w:val="22"/>
        </w:rPr>
      </w:pPr>
    </w:p>
    <w:p w14:paraId="7D385654" w14:textId="77777777" w:rsidR="00B15F7D" w:rsidRPr="00990FB6" w:rsidRDefault="00B15F7D" w:rsidP="00B15F7D">
      <w:pPr>
        <w:ind w:left="851" w:right="851" w:firstLine="709"/>
        <w:jc w:val="both"/>
        <w:rPr>
          <w:i/>
          <w:iCs/>
          <w:sz w:val="22"/>
          <w:szCs w:val="22"/>
        </w:rPr>
      </w:pPr>
      <w:r w:rsidRPr="00990FB6">
        <w:rPr>
          <w:b/>
          <w:bCs/>
          <w:i/>
          <w:iCs/>
          <w:sz w:val="22"/>
          <w:szCs w:val="22"/>
        </w:rPr>
        <w:t>Se acordó</w:t>
      </w:r>
      <w:r w:rsidRPr="00990FB6">
        <w:rPr>
          <w:i/>
          <w:iCs/>
          <w:sz w:val="22"/>
          <w:szCs w:val="22"/>
        </w:rPr>
        <w:t>:</w:t>
      </w:r>
      <w:r w:rsidRPr="00990FB6">
        <w:rPr>
          <w:b/>
          <w:bCs/>
          <w:i/>
          <w:iCs/>
          <w:sz w:val="22"/>
          <w:szCs w:val="22"/>
        </w:rPr>
        <w:t xml:space="preserve"> 1.) </w:t>
      </w:r>
      <w:r w:rsidRPr="00990FB6">
        <w:rPr>
          <w:i/>
          <w:iCs/>
          <w:sz w:val="22"/>
          <w:szCs w:val="22"/>
        </w:rPr>
        <w:t xml:space="preserve">Aprobar el informe </w:t>
      </w:r>
      <w:r w:rsidRPr="00990FB6">
        <w:rPr>
          <w:i/>
          <w:iCs/>
          <w:sz w:val="22"/>
          <w:szCs w:val="22"/>
          <w:lang w:val="es-MX"/>
        </w:rPr>
        <w:t>283-PLA-RH-MI(NPL)-2023</w:t>
      </w:r>
      <w:r w:rsidRPr="00990FB6">
        <w:rPr>
          <w:i/>
          <w:iCs/>
          <w:sz w:val="22"/>
          <w:szCs w:val="22"/>
        </w:rPr>
        <w:t xml:space="preserve"> y sus recomendaciones, relacionado con la Formulación Presupuestaria 2024- sobre el Impacto organizacional y presupuestario en el Poder Judicial a partir de la promulgación del Código Procesal de Familia para el 2023. </w:t>
      </w:r>
      <w:r w:rsidRPr="00990FB6">
        <w:rPr>
          <w:b/>
          <w:bCs/>
          <w:i/>
          <w:iCs/>
          <w:sz w:val="22"/>
          <w:szCs w:val="22"/>
        </w:rPr>
        <w:t xml:space="preserve">2.) </w:t>
      </w:r>
      <w:r w:rsidRPr="00990FB6">
        <w:rPr>
          <w:i/>
          <w:iCs/>
          <w:sz w:val="22"/>
          <w:szCs w:val="22"/>
        </w:rPr>
        <w:t xml:space="preserve">Hacer de conocimiento de Corte Plena, para que analice la imposibilidad de implementación de la reforma en las condiciones actuales, dadas las limitaciones impuestas por el Ministerio de Hacienda y valorar solicitar la ampliación de la </w:t>
      </w:r>
      <w:proofErr w:type="spellStart"/>
      <w:r w:rsidRPr="00990FB6">
        <w:rPr>
          <w:i/>
          <w:iCs/>
          <w:sz w:val="22"/>
          <w:szCs w:val="22"/>
        </w:rPr>
        <w:t>vacatio</w:t>
      </w:r>
      <w:proofErr w:type="spellEnd"/>
      <w:r w:rsidRPr="00990FB6">
        <w:rPr>
          <w:i/>
          <w:iCs/>
          <w:sz w:val="22"/>
          <w:szCs w:val="22"/>
        </w:rPr>
        <w:t xml:space="preserve"> </w:t>
      </w:r>
      <w:proofErr w:type="spellStart"/>
      <w:r w:rsidRPr="00990FB6">
        <w:rPr>
          <w:i/>
          <w:iCs/>
          <w:sz w:val="22"/>
          <w:szCs w:val="22"/>
        </w:rPr>
        <w:t>legis</w:t>
      </w:r>
      <w:proofErr w:type="spellEnd"/>
      <w:r w:rsidRPr="00990FB6">
        <w:rPr>
          <w:i/>
          <w:iCs/>
          <w:sz w:val="22"/>
          <w:szCs w:val="22"/>
        </w:rPr>
        <w:t xml:space="preserve"> para implementar esta reforma, así como el análisis de las propuestas legales que correspondan en relación el incremento de asuntos en la Sala Segunda y su impacto en los tiempos de respuesta. </w:t>
      </w:r>
      <w:r w:rsidRPr="00990FB6">
        <w:rPr>
          <w:b/>
          <w:bCs/>
          <w:i/>
          <w:iCs/>
          <w:sz w:val="22"/>
          <w:szCs w:val="22"/>
        </w:rPr>
        <w:t>3.)</w:t>
      </w:r>
      <w:r w:rsidRPr="00990FB6">
        <w:rPr>
          <w:i/>
          <w:iCs/>
          <w:sz w:val="22"/>
          <w:szCs w:val="22"/>
        </w:rPr>
        <w:t xml:space="preserve"> Hacer este acuerdo de conocimiento de la Sala Segunda, Comision de la Jurisdicción de Familia, Niñez y Adolescencia, así como de la Dirección de Planificación, para los fines consiguientes. </w:t>
      </w:r>
      <w:r w:rsidRPr="00990FB6">
        <w:rPr>
          <w:b/>
          <w:bCs/>
          <w:i/>
          <w:iCs/>
          <w:sz w:val="22"/>
          <w:szCs w:val="22"/>
          <w:lang w:eastAsia="es-ES_tradnl"/>
        </w:rPr>
        <w:t>Se declara acuerdo firme.</w:t>
      </w:r>
      <w:r w:rsidRPr="00990FB6">
        <w:rPr>
          <w:i/>
          <w:iCs/>
          <w:sz w:val="22"/>
          <w:szCs w:val="22"/>
        </w:rPr>
        <w:t>”</w:t>
      </w:r>
    </w:p>
    <w:p w14:paraId="7554CF2C" w14:textId="77777777" w:rsidR="00B15F7D" w:rsidRPr="00990FB6" w:rsidRDefault="00B15F7D" w:rsidP="00B15F7D">
      <w:pPr>
        <w:ind w:left="851" w:right="851" w:firstLine="709"/>
        <w:jc w:val="both"/>
        <w:rPr>
          <w:b/>
          <w:bCs/>
          <w:i/>
          <w:iCs/>
          <w:sz w:val="22"/>
          <w:szCs w:val="22"/>
          <w:lang w:eastAsia="es-ES_tradnl"/>
        </w:rPr>
      </w:pPr>
    </w:p>
    <w:p w14:paraId="519CB229" w14:textId="77777777" w:rsidR="00B15F7D" w:rsidRPr="00990FB6" w:rsidRDefault="00B15F7D" w:rsidP="00B15F7D">
      <w:pPr>
        <w:ind w:left="851" w:right="851" w:firstLine="709"/>
        <w:jc w:val="both"/>
        <w:rPr>
          <w:b/>
          <w:bCs/>
          <w:sz w:val="22"/>
          <w:szCs w:val="22"/>
        </w:rPr>
      </w:pPr>
      <w:r w:rsidRPr="00990FB6">
        <w:rPr>
          <w:b/>
          <w:bCs/>
          <w:sz w:val="22"/>
          <w:szCs w:val="22"/>
        </w:rPr>
        <w:t>Se actualizó el informe 283-PLA- RH- MI (NPL)-20237 que proyectó una cantidad de 71 plazas.</w:t>
      </w:r>
    </w:p>
    <w:p w14:paraId="036BAD62" w14:textId="77777777" w:rsidR="00B15F7D" w:rsidRPr="00990FB6" w:rsidRDefault="00B15F7D" w:rsidP="00B15F7D">
      <w:pPr>
        <w:ind w:left="851" w:right="851" w:firstLine="709"/>
        <w:jc w:val="both"/>
        <w:rPr>
          <w:b/>
          <w:bCs/>
          <w:sz w:val="22"/>
          <w:szCs w:val="22"/>
        </w:rPr>
      </w:pPr>
    </w:p>
    <w:p w14:paraId="54E73DF3" w14:textId="77777777" w:rsidR="00B15F7D" w:rsidRPr="00990FB6" w:rsidRDefault="00B15F7D" w:rsidP="00B15F7D">
      <w:pPr>
        <w:ind w:left="851" w:right="851" w:firstLine="709"/>
        <w:jc w:val="both"/>
        <w:rPr>
          <w:b/>
          <w:bCs/>
          <w:sz w:val="22"/>
          <w:szCs w:val="22"/>
        </w:rPr>
      </w:pPr>
      <w:r w:rsidRPr="00990FB6">
        <w:rPr>
          <w:b/>
          <w:bCs/>
          <w:sz w:val="22"/>
          <w:szCs w:val="22"/>
        </w:rPr>
        <w:t xml:space="preserve">En el escenario aquí propuesto se contemplaron únicamente 38 plazas para completar estructuras, y los costos se estiman por un período de 3 meses, a partir de la entrada en vigencia del código a partir del 1 de octubre 2024. No se incluyó recurso para gestoría ni descongestionamiento, en este escenario a partir de las limitaciones económicas, la propuesta sería mantener la gestoría como hasta la fecha se ha realizado y el descongestionamiento seguirlo también como se ha realizado a la fecha e igualmente partiendo de que con la reforma se estima perdida de competencia en asuntos de familia para el PJ, como divorcios mutuos, matrimonios, </w:t>
      </w:r>
      <w:proofErr w:type="spellStart"/>
      <w:r w:rsidRPr="00990FB6">
        <w:rPr>
          <w:b/>
          <w:bCs/>
          <w:sz w:val="22"/>
          <w:szCs w:val="22"/>
        </w:rPr>
        <w:t>etc</w:t>
      </w:r>
      <w:proofErr w:type="spellEnd"/>
    </w:p>
    <w:p w14:paraId="464079B4" w14:textId="77777777" w:rsidR="00B15F7D" w:rsidRPr="00990FB6" w:rsidRDefault="00B15F7D" w:rsidP="00B15F7D">
      <w:pPr>
        <w:ind w:left="851" w:right="851" w:firstLine="709"/>
        <w:jc w:val="both"/>
        <w:rPr>
          <w:b/>
          <w:bCs/>
          <w:sz w:val="22"/>
          <w:szCs w:val="22"/>
        </w:rPr>
      </w:pPr>
    </w:p>
    <w:p w14:paraId="3289D3D8" w14:textId="77777777" w:rsidR="00B15F7D" w:rsidRPr="00990FB6" w:rsidRDefault="00B15F7D" w:rsidP="00B15F7D">
      <w:pPr>
        <w:ind w:left="851" w:right="851" w:firstLine="709"/>
        <w:jc w:val="both"/>
        <w:rPr>
          <w:b/>
          <w:bCs/>
          <w:snapToGrid w:val="0"/>
          <w:sz w:val="22"/>
          <w:szCs w:val="22"/>
          <w:u w:val="single"/>
        </w:rPr>
      </w:pPr>
      <w:bookmarkStart w:id="71" w:name="_Hlk135138181"/>
      <w:r w:rsidRPr="00990FB6">
        <w:rPr>
          <w:b/>
          <w:bCs/>
          <w:sz w:val="22"/>
          <w:szCs w:val="22"/>
        </w:rPr>
        <w:t>Finalmente, a efectos de una mejor implementación del proyecto, se están incluyendo la totalidad de las plazas solicitadas en el escenario en forma ordinaria, para asegurar las propuestas.</w:t>
      </w:r>
    </w:p>
    <w:bookmarkEnd w:id="71"/>
    <w:p w14:paraId="6C90DD0F" w14:textId="77777777" w:rsidR="00B15F7D" w:rsidRPr="00990FB6" w:rsidRDefault="00B15F7D" w:rsidP="00B15F7D">
      <w:pPr>
        <w:jc w:val="center"/>
        <w:rPr>
          <w:snapToGrid w:val="0"/>
          <w:sz w:val="22"/>
          <w:szCs w:val="22"/>
          <w:u w:val="single"/>
        </w:rPr>
      </w:pPr>
      <w:r w:rsidRPr="00990FB6">
        <w:rPr>
          <w:snapToGrid w:val="0"/>
          <w:sz w:val="22"/>
          <w:szCs w:val="22"/>
          <w:u w:val="single"/>
        </w:rPr>
        <w:br w:type="page"/>
      </w:r>
      <w:r w:rsidRPr="00990FB6">
        <w:rPr>
          <w:noProof/>
          <w:sz w:val="22"/>
          <w:szCs w:val="22"/>
          <w:lang w:eastAsia="es-CR"/>
        </w:rPr>
        <w:lastRenderedPageBreak/>
        <w:drawing>
          <wp:inline distT="0" distB="0" distL="0" distR="0" wp14:anchorId="5237D22E" wp14:editId="428704A7">
            <wp:extent cx="4210949" cy="7434182"/>
            <wp:effectExtent l="0" t="0" r="0" b="0"/>
            <wp:docPr id="1368825690" name="Imagen 136882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28710" cy="7465538"/>
                    </a:xfrm>
                    <a:prstGeom prst="rect">
                      <a:avLst/>
                    </a:prstGeom>
                    <a:noFill/>
                    <a:ln>
                      <a:noFill/>
                    </a:ln>
                  </pic:spPr>
                </pic:pic>
              </a:graphicData>
            </a:graphic>
          </wp:inline>
        </w:drawing>
      </w:r>
    </w:p>
    <w:p w14:paraId="0C7D6F41" w14:textId="7FEBBD37" w:rsidR="00B15F7D" w:rsidRPr="00990FB6" w:rsidRDefault="00B15F7D" w:rsidP="00B15F7D">
      <w:pPr>
        <w:jc w:val="both"/>
        <w:rPr>
          <w:snapToGrid w:val="0"/>
          <w:sz w:val="22"/>
          <w:szCs w:val="22"/>
          <w:u w:val="single"/>
        </w:rPr>
      </w:pPr>
    </w:p>
    <w:p w14:paraId="11C6DCFF" w14:textId="77777777" w:rsidR="007B2513" w:rsidRPr="00990FB6" w:rsidRDefault="007B2513" w:rsidP="00B15F7D">
      <w:pPr>
        <w:jc w:val="both"/>
        <w:rPr>
          <w:snapToGrid w:val="0"/>
          <w:sz w:val="22"/>
          <w:szCs w:val="22"/>
          <w:u w:val="single"/>
        </w:rPr>
      </w:pPr>
    </w:p>
    <w:p w14:paraId="4321CC2E" w14:textId="77777777" w:rsidR="00B15F7D" w:rsidRPr="00990FB6" w:rsidRDefault="00B15F7D" w:rsidP="00B15F7D">
      <w:pPr>
        <w:numPr>
          <w:ilvl w:val="0"/>
          <w:numId w:val="194"/>
        </w:numPr>
        <w:suppressAutoHyphens w:val="0"/>
        <w:ind w:left="851" w:right="851" w:firstLine="709"/>
        <w:jc w:val="both"/>
        <w:rPr>
          <w:b/>
          <w:bCs/>
          <w:snapToGrid w:val="0"/>
          <w:sz w:val="22"/>
          <w:szCs w:val="22"/>
          <w:u w:val="single"/>
        </w:rPr>
      </w:pPr>
      <w:r w:rsidRPr="00990FB6">
        <w:rPr>
          <w:b/>
          <w:bCs/>
          <w:snapToGrid w:val="0"/>
          <w:sz w:val="22"/>
          <w:szCs w:val="22"/>
          <w:u w:val="single"/>
        </w:rPr>
        <w:lastRenderedPageBreak/>
        <w:t>Mejora Integral del Proceso Penal:</w:t>
      </w:r>
    </w:p>
    <w:p w14:paraId="02A2EA10" w14:textId="77777777" w:rsidR="00B15F7D" w:rsidRPr="00990FB6" w:rsidRDefault="00B15F7D" w:rsidP="00B15F7D">
      <w:pPr>
        <w:ind w:left="851" w:right="851" w:firstLine="709"/>
        <w:jc w:val="both"/>
        <w:rPr>
          <w:b/>
          <w:bCs/>
          <w:snapToGrid w:val="0"/>
          <w:sz w:val="22"/>
          <w:szCs w:val="22"/>
          <w:u w:val="single"/>
        </w:rPr>
      </w:pPr>
    </w:p>
    <w:p w14:paraId="3EFA2A20" w14:textId="77777777" w:rsidR="00B15F7D" w:rsidRPr="00990FB6" w:rsidRDefault="00B15F7D" w:rsidP="00B15F7D">
      <w:pPr>
        <w:ind w:left="851" w:right="851" w:firstLine="709"/>
        <w:jc w:val="both"/>
        <w:rPr>
          <w:b/>
          <w:sz w:val="22"/>
          <w:szCs w:val="22"/>
        </w:rPr>
      </w:pPr>
      <w:r w:rsidRPr="00990FB6">
        <w:rPr>
          <w:b/>
          <w:sz w:val="22"/>
          <w:szCs w:val="22"/>
        </w:rPr>
        <w:t xml:space="preserve">Ante las necesidades de recursos ya detectadas por la Dirección de Planificación, para poder cumplir con leyes especiales y ante el grado de criminalidad que ataca nuestro país en este momento, partiendo de las necesidades visualizadas por medio del proyecto penal a nivel país, se deben reforzar las estructuras de los Tribunales para darle sostenibilidad a la etapa tan crítica de juicio penal. </w:t>
      </w:r>
    </w:p>
    <w:p w14:paraId="1E2EDDF4" w14:textId="77777777" w:rsidR="00B15F7D" w:rsidRPr="00990FB6" w:rsidRDefault="00B15F7D" w:rsidP="00B15F7D">
      <w:pPr>
        <w:ind w:left="851" w:right="851" w:firstLine="709"/>
        <w:jc w:val="both"/>
        <w:rPr>
          <w:b/>
          <w:sz w:val="22"/>
          <w:szCs w:val="22"/>
        </w:rPr>
      </w:pPr>
    </w:p>
    <w:p w14:paraId="07059955" w14:textId="77777777" w:rsidR="00B15F7D" w:rsidRPr="00990FB6" w:rsidRDefault="00B15F7D" w:rsidP="00B15F7D">
      <w:pPr>
        <w:ind w:left="851" w:right="851"/>
        <w:jc w:val="center"/>
        <w:rPr>
          <w:sz w:val="22"/>
          <w:szCs w:val="22"/>
        </w:rPr>
      </w:pPr>
      <w:r w:rsidRPr="00990FB6">
        <w:rPr>
          <w:sz w:val="22"/>
          <w:szCs w:val="22"/>
        </w:rPr>
        <w:t>- 0 -</w:t>
      </w:r>
    </w:p>
    <w:p w14:paraId="7CD8147D" w14:textId="77777777" w:rsidR="00B15F7D" w:rsidRPr="00990FB6" w:rsidRDefault="00B15F7D" w:rsidP="00B15F7D">
      <w:pPr>
        <w:ind w:left="851" w:right="851" w:firstLine="709"/>
        <w:jc w:val="both"/>
        <w:rPr>
          <w:sz w:val="22"/>
          <w:szCs w:val="22"/>
        </w:rPr>
      </w:pPr>
    </w:p>
    <w:p w14:paraId="0896EB9C" w14:textId="77777777" w:rsidR="00B15F7D" w:rsidRPr="00990FB6" w:rsidRDefault="00B15F7D" w:rsidP="00B15F7D">
      <w:pPr>
        <w:ind w:left="851" w:right="851" w:firstLine="709"/>
        <w:jc w:val="both"/>
        <w:rPr>
          <w:snapToGrid w:val="0"/>
          <w:sz w:val="22"/>
          <w:szCs w:val="22"/>
        </w:rPr>
      </w:pPr>
      <w:r w:rsidRPr="00990FB6">
        <w:rPr>
          <w:snapToGrid w:val="0"/>
          <w:sz w:val="22"/>
          <w:szCs w:val="22"/>
        </w:rPr>
        <w:t>En relación a este tema la Dirección de Planificación emite el informe 429-PLA-MI-2023 que integra una propuesta en materia penal, adicionando Ejecución de la Pena y lo relativo a los Tribunales Peninsulares, refiere lo siguiente:</w:t>
      </w:r>
    </w:p>
    <w:p w14:paraId="20D97E3D" w14:textId="77777777" w:rsidR="00B15F7D" w:rsidRPr="00990FB6" w:rsidRDefault="00B15F7D" w:rsidP="00B15F7D">
      <w:pPr>
        <w:ind w:left="851" w:right="851" w:firstLine="709"/>
        <w:jc w:val="both"/>
        <w:rPr>
          <w:snapToGrid w:val="0"/>
          <w:sz w:val="22"/>
          <w:szCs w:val="22"/>
        </w:rPr>
      </w:pPr>
    </w:p>
    <w:bookmarkStart w:id="72" w:name="_MON_1745903281"/>
    <w:bookmarkEnd w:id="72"/>
    <w:p w14:paraId="52CCB756" w14:textId="77777777" w:rsidR="00B15F7D" w:rsidRPr="00990FB6" w:rsidRDefault="00B15F7D" w:rsidP="00B15F7D">
      <w:pPr>
        <w:ind w:left="851" w:right="851" w:firstLine="709"/>
        <w:jc w:val="center"/>
        <w:rPr>
          <w:b/>
          <w:bCs/>
          <w:snapToGrid w:val="0"/>
          <w:sz w:val="22"/>
          <w:szCs w:val="22"/>
          <w:u w:val="single"/>
        </w:rPr>
      </w:pPr>
      <w:r w:rsidRPr="00990FB6">
        <w:rPr>
          <w:b/>
          <w:bCs/>
          <w:snapToGrid w:val="0"/>
          <w:sz w:val="22"/>
          <w:szCs w:val="22"/>
          <w:u w:val="single"/>
        </w:rPr>
        <w:object w:dxaOrig="1508" w:dyaOrig="984" w14:anchorId="15CA581D">
          <v:shape id="_x0000_i1063" type="#_x0000_t75" style="width:1in;height:46.5pt" o:ole="">
            <v:imagedata r:id="rId137" o:title=""/>
          </v:shape>
          <o:OLEObject Type="Embed" ProgID="Word.Document.12" ShapeID="_x0000_i1063" DrawAspect="Icon" ObjectID="_1748679191" r:id="rId138">
            <o:FieldCodes>\s</o:FieldCodes>
          </o:OLEObject>
        </w:object>
      </w:r>
    </w:p>
    <w:p w14:paraId="12A23B88" w14:textId="77777777" w:rsidR="00B15F7D" w:rsidRPr="00990FB6" w:rsidRDefault="00B15F7D" w:rsidP="00B15F7D">
      <w:pPr>
        <w:ind w:left="851" w:right="851" w:firstLine="709"/>
        <w:jc w:val="both"/>
        <w:rPr>
          <w:b/>
          <w:bCs/>
          <w:snapToGrid w:val="0"/>
          <w:sz w:val="22"/>
          <w:szCs w:val="22"/>
          <w:u w:val="single"/>
        </w:rPr>
      </w:pPr>
    </w:p>
    <w:p w14:paraId="74D28959" w14:textId="77777777" w:rsidR="00B15F7D" w:rsidRPr="00990FB6" w:rsidRDefault="00B15F7D" w:rsidP="00B15F7D">
      <w:pPr>
        <w:ind w:left="851" w:right="851" w:firstLine="709"/>
        <w:jc w:val="both"/>
        <w:rPr>
          <w:snapToGrid w:val="0"/>
          <w:sz w:val="22"/>
          <w:szCs w:val="22"/>
        </w:rPr>
      </w:pPr>
      <w:r w:rsidRPr="00990FB6">
        <w:rPr>
          <w:snapToGrid w:val="0"/>
          <w:sz w:val="22"/>
          <w:szCs w:val="22"/>
        </w:rPr>
        <w:t>“</w:t>
      </w:r>
    </w:p>
    <w:p w14:paraId="4BEC1D55" w14:textId="77777777" w:rsidR="00B15F7D" w:rsidRPr="00990FB6" w:rsidRDefault="00B15F7D" w:rsidP="00B15F7D">
      <w:pPr>
        <w:ind w:left="851" w:right="851" w:firstLine="709"/>
        <w:jc w:val="both"/>
        <w:rPr>
          <w:i/>
          <w:iCs/>
          <w:sz w:val="22"/>
          <w:szCs w:val="22"/>
        </w:rPr>
      </w:pPr>
      <w:r w:rsidRPr="00990FB6">
        <w:rPr>
          <w:i/>
          <w:iCs/>
          <w:sz w:val="22"/>
          <w:szCs w:val="22"/>
        </w:rPr>
        <w:t>429-PLA-MI(PL)-2023</w:t>
      </w:r>
    </w:p>
    <w:p w14:paraId="3C2E256A" w14:textId="77777777" w:rsidR="00B15F7D" w:rsidRPr="00990FB6" w:rsidRDefault="00B15F7D" w:rsidP="00B15F7D">
      <w:pPr>
        <w:ind w:left="851" w:right="851" w:firstLine="709"/>
        <w:jc w:val="both"/>
        <w:rPr>
          <w:i/>
          <w:iCs/>
          <w:sz w:val="22"/>
          <w:szCs w:val="22"/>
        </w:rPr>
      </w:pPr>
      <w:r w:rsidRPr="00990FB6">
        <w:rPr>
          <w:i/>
          <w:iCs/>
          <w:sz w:val="22"/>
          <w:szCs w:val="22"/>
        </w:rPr>
        <w:t>Ref. SICE: 1229-2022</w:t>
      </w:r>
    </w:p>
    <w:p w14:paraId="515E1DB0" w14:textId="77777777" w:rsidR="00B15F7D" w:rsidRPr="00990FB6" w:rsidRDefault="00B15F7D" w:rsidP="00B15F7D">
      <w:pPr>
        <w:ind w:left="851" w:right="851" w:firstLine="709"/>
        <w:jc w:val="both"/>
        <w:rPr>
          <w:i/>
          <w:iCs/>
          <w:sz w:val="22"/>
          <w:szCs w:val="22"/>
        </w:rPr>
      </w:pPr>
      <w:r w:rsidRPr="00990FB6">
        <w:rPr>
          <w:i/>
          <w:iCs/>
          <w:sz w:val="22"/>
          <w:szCs w:val="22"/>
        </w:rPr>
        <w:t>17 de mayo de 2023</w:t>
      </w:r>
    </w:p>
    <w:p w14:paraId="22A5BC09" w14:textId="77777777" w:rsidR="00B15F7D" w:rsidRPr="00990FB6" w:rsidRDefault="00B15F7D" w:rsidP="00B15F7D">
      <w:pPr>
        <w:ind w:left="851" w:right="851" w:firstLine="709"/>
        <w:jc w:val="both"/>
        <w:rPr>
          <w:i/>
          <w:iCs/>
          <w:sz w:val="22"/>
          <w:szCs w:val="22"/>
        </w:rPr>
      </w:pPr>
    </w:p>
    <w:p w14:paraId="4B2B699B" w14:textId="77777777" w:rsidR="00B15F7D" w:rsidRPr="00990FB6" w:rsidRDefault="00B15F7D" w:rsidP="00B15F7D">
      <w:pPr>
        <w:ind w:left="851" w:right="851" w:firstLine="709"/>
        <w:jc w:val="both"/>
        <w:rPr>
          <w:i/>
          <w:iCs/>
          <w:sz w:val="22"/>
          <w:szCs w:val="22"/>
        </w:rPr>
      </w:pPr>
    </w:p>
    <w:p w14:paraId="5B7F2BF5" w14:textId="77777777" w:rsidR="00B15F7D" w:rsidRPr="00990FB6" w:rsidRDefault="00B15F7D" w:rsidP="00B15F7D">
      <w:pPr>
        <w:ind w:left="851" w:right="851" w:firstLine="709"/>
        <w:jc w:val="both"/>
        <w:rPr>
          <w:i/>
          <w:iCs/>
          <w:sz w:val="22"/>
          <w:szCs w:val="22"/>
        </w:rPr>
      </w:pPr>
      <w:r w:rsidRPr="00990FB6">
        <w:rPr>
          <w:i/>
          <w:iCs/>
          <w:sz w:val="22"/>
          <w:szCs w:val="22"/>
        </w:rPr>
        <w:t>Licenciada</w:t>
      </w:r>
    </w:p>
    <w:p w14:paraId="38C64F3D" w14:textId="77777777" w:rsidR="00B15F7D" w:rsidRPr="00990FB6" w:rsidRDefault="00B15F7D" w:rsidP="00B15F7D">
      <w:pPr>
        <w:ind w:left="851" w:right="851" w:firstLine="709"/>
        <w:jc w:val="both"/>
        <w:rPr>
          <w:i/>
          <w:iCs/>
          <w:sz w:val="22"/>
          <w:szCs w:val="22"/>
        </w:rPr>
      </w:pPr>
      <w:r w:rsidRPr="00990FB6">
        <w:rPr>
          <w:i/>
          <w:iCs/>
          <w:sz w:val="22"/>
          <w:szCs w:val="22"/>
        </w:rPr>
        <w:t xml:space="preserve">Silvia Navarro Romanini </w:t>
      </w:r>
    </w:p>
    <w:p w14:paraId="2ADAACF4" w14:textId="77777777" w:rsidR="00B15F7D" w:rsidRPr="00990FB6" w:rsidRDefault="00B15F7D" w:rsidP="00B15F7D">
      <w:pPr>
        <w:ind w:left="851" w:right="851" w:firstLine="709"/>
        <w:jc w:val="both"/>
        <w:rPr>
          <w:i/>
          <w:iCs/>
          <w:sz w:val="22"/>
          <w:szCs w:val="22"/>
        </w:rPr>
      </w:pPr>
      <w:r w:rsidRPr="00990FB6">
        <w:rPr>
          <w:i/>
          <w:iCs/>
          <w:sz w:val="22"/>
          <w:szCs w:val="22"/>
        </w:rPr>
        <w:t>Secretaría General de la Corte</w:t>
      </w:r>
    </w:p>
    <w:p w14:paraId="2229E5A8" w14:textId="77777777" w:rsidR="00B15F7D" w:rsidRPr="00990FB6" w:rsidRDefault="00B15F7D" w:rsidP="00B15F7D">
      <w:pPr>
        <w:ind w:left="851" w:right="851" w:firstLine="709"/>
        <w:jc w:val="both"/>
        <w:rPr>
          <w:snapToGrid w:val="0"/>
          <w:sz w:val="22"/>
          <w:szCs w:val="22"/>
        </w:rPr>
      </w:pPr>
    </w:p>
    <w:p w14:paraId="3C5C2FC7" w14:textId="77777777" w:rsidR="00B15F7D" w:rsidRPr="00990FB6" w:rsidRDefault="00B15F7D" w:rsidP="00B15F7D">
      <w:pPr>
        <w:ind w:left="851" w:right="851" w:firstLine="709"/>
        <w:jc w:val="both"/>
        <w:rPr>
          <w:snapToGrid w:val="0"/>
          <w:sz w:val="22"/>
          <w:szCs w:val="22"/>
        </w:rPr>
      </w:pPr>
      <w:r w:rsidRPr="00990FB6">
        <w:rPr>
          <w:snapToGrid w:val="0"/>
          <w:sz w:val="22"/>
          <w:szCs w:val="22"/>
        </w:rPr>
        <w:t>Estimada señora:</w:t>
      </w:r>
    </w:p>
    <w:p w14:paraId="37A1C5A7" w14:textId="77777777" w:rsidR="00B15F7D" w:rsidRPr="00990FB6" w:rsidRDefault="00B15F7D" w:rsidP="00B15F7D">
      <w:pPr>
        <w:ind w:left="851" w:right="851" w:firstLine="709"/>
        <w:jc w:val="both"/>
        <w:rPr>
          <w:snapToGrid w:val="0"/>
          <w:sz w:val="22"/>
          <w:szCs w:val="22"/>
        </w:rPr>
      </w:pPr>
    </w:p>
    <w:p w14:paraId="542861C5" w14:textId="77777777" w:rsidR="00B15F7D" w:rsidRPr="00990FB6" w:rsidRDefault="00B15F7D" w:rsidP="00B15F7D">
      <w:pPr>
        <w:ind w:left="851" w:right="851" w:firstLine="709"/>
        <w:jc w:val="both"/>
        <w:rPr>
          <w:snapToGrid w:val="0"/>
          <w:sz w:val="22"/>
          <w:szCs w:val="22"/>
        </w:rPr>
      </w:pPr>
      <w:r w:rsidRPr="00990FB6">
        <w:rPr>
          <w:snapToGrid w:val="0"/>
          <w:sz w:val="22"/>
          <w:szCs w:val="22"/>
        </w:rPr>
        <w:t>Le remito informe elaborado por el Subproceso de Modernización Institucional-Penal en el cual la Dirección de Planificación con ocasión de la formulación de presupuesto para el año 2024, remitió a la Secretaría de la Corte, los siguientes informes relacionados con el requerimiento de recurso humano para la jurisdicción Penal según el proyecto de la mejora integral del proceso penal:</w:t>
      </w:r>
    </w:p>
    <w:p w14:paraId="2C3BB50F" w14:textId="77777777" w:rsidR="00B15F7D" w:rsidRPr="00990FB6" w:rsidRDefault="00B15F7D" w:rsidP="00B15F7D">
      <w:pPr>
        <w:ind w:left="851" w:right="851" w:firstLine="709"/>
        <w:jc w:val="both"/>
        <w:rPr>
          <w:snapToGrid w:val="0"/>
          <w:sz w:val="22"/>
          <w:szCs w:val="22"/>
        </w:rPr>
      </w:pPr>
    </w:p>
    <w:p w14:paraId="099DC8E9" w14:textId="77777777" w:rsidR="00B15F7D" w:rsidRPr="00990FB6" w:rsidRDefault="00B15F7D" w:rsidP="00B15F7D">
      <w:pPr>
        <w:numPr>
          <w:ilvl w:val="0"/>
          <w:numId w:val="192"/>
        </w:numPr>
        <w:suppressAutoHyphens w:val="0"/>
        <w:ind w:left="851" w:right="851" w:firstLine="709"/>
        <w:jc w:val="both"/>
        <w:rPr>
          <w:snapToGrid w:val="0"/>
          <w:sz w:val="22"/>
          <w:szCs w:val="22"/>
        </w:rPr>
      </w:pPr>
      <w:r w:rsidRPr="00990FB6">
        <w:rPr>
          <w:snapToGrid w:val="0"/>
          <w:sz w:val="22"/>
          <w:szCs w:val="22"/>
        </w:rPr>
        <w:t>270-PLA-RH-MI(PL)-2023, actualización presupuestaria del costo de las plazas requeridas por el Organismo de Investigación, de personas Custodias y Custodios en las diferentes zonas del país.</w:t>
      </w:r>
    </w:p>
    <w:p w14:paraId="05313890" w14:textId="77777777" w:rsidR="00B15F7D" w:rsidRPr="00990FB6" w:rsidRDefault="00B15F7D" w:rsidP="00B15F7D">
      <w:pPr>
        <w:numPr>
          <w:ilvl w:val="0"/>
          <w:numId w:val="192"/>
        </w:numPr>
        <w:suppressAutoHyphens w:val="0"/>
        <w:ind w:left="851" w:right="851" w:firstLine="709"/>
        <w:jc w:val="both"/>
        <w:rPr>
          <w:snapToGrid w:val="0"/>
          <w:sz w:val="22"/>
          <w:szCs w:val="22"/>
        </w:rPr>
      </w:pPr>
      <w:r w:rsidRPr="00990FB6">
        <w:rPr>
          <w:snapToGrid w:val="0"/>
          <w:sz w:val="22"/>
          <w:szCs w:val="22"/>
        </w:rPr>
        <w:t>271-PLA-RH-MI(PL)-2023,</w:t>
      </w:r>
      <w:r w:rsidRPr="00990FB6">
        <w:rPr>
          <w:color w:val="000066"/>
          <w:sz w:val="22"/>
          <w:szCs w:val="22"/>
          <w:shd w:val="clear" w:color="auto" w:fill="FFFFFF"/>
        </w:rPr>
        <w:t xml:space="preserve"> </w:t>
      </w:r>
      <w:r w:rsidRPr="00990FB6">
        <w:rPr>
          <w:snapToGrid w:val="0"/>
          <w:sz w:val="22"/>
          <w:szCs w:val="22"/>
        </w:rPr>
        <w:t>análisis de requerimiento del personal Fiscal, Fiscal Auxiliar y Técnico Judicial en el Ministerio Público.</w:t>
      </w:r>
    </w:p>
    <w:p w14:paraId="4C539C57" w14:textId="77777777" w:rsidR="00B15F7D" w:rsidRPr="00990FB6" w:rsidRDefault="00B15F7D" w:rsidP="00B15F7D">
      <w:pPr>
        <w:suppressAutoHyphens w:val="0"/>
        <w:ind w:left="1560" w:right="851"/>
        <w:jc w:val="both"/>
        <w:rPr>
          <w:snapToGrid w:val="0"/>
          <w:sz w:val="22"/>
          <w:szCs w:val="22"/>
        </w:rPr>
      </w:pPr>
    </w:p>
    <w:p w14:paraId="3EA1A001" w14:textId="77777777" w:rsidR="00B15F7D" w:rsidRPr="00990FB6" w:rsidRDefault="00B15F7D" w:rsidP="00B15F7D">
      <w:pPr>
        <w:numPr>
          <w:ilvl w:val="0"/>
          <w:numId w:val="192"/>
        </w:numPr>
        <w:suppressAutoHyphens w:val="0"/>
        <w:ind w:left="851" w:right="851" w:firstLine="709"/>
        <w:jc w:val="both"/>
        <w:rPr>
          <w:snapToGrid w:val="0"/>
          <w:sz w:val="22"/>
          <w:szCs w:val="22"/>
        </w:rPr>
      </w:pPr>
      <w:r w:rsidRPr="00990FB6">
        <w:rPr>
          <w:snapToGrid w:val="0"/>
          <w:sz w:val="22"/>
          <w:szCs w:val="22"/>
        </w:rPr>
        <w:t xml:space="preserve">273-PLA-RH-MI(PL)-2023, requerimiento de recurso humano para el ámbito jurisdiccional competentes en la materia Penal, a </w:t>
      </w:r>
      <w:r w:rsidRPr="00990FB6">
        <w:rPr>
          <w:snapToGrid w:val="0"/>
          <w:sz w:val="22"/>
          <w:szCs w:val="22"/>
        </w:rPr>
        <w:lastRenderedPageBreak/>
        <w:t>saber; Juzgados Penales, Tribunales Penales y Juzgados de Ejecución de la Pena.</w:t>
      </w:r>
    </w:p>
    <w:p w14:paraId="59841D81" w14:textId="77777777" w:rsidR="00B15F7D" w:rsidRPr="00990FB6" w:rsidRDefault="00B15F7D" w:rsidP="00B15F7D">
      <w:pPr>
        <w:ind w:left="851" w:right="851" w:firstLine="709"/>
        <w:jc w:val="both"/>
        <w:rPr>
          <w:snapToGrid w:val="0"/>
          <w:sz w:val="22"/>
          <w:szCs w:val="22"/>
        </w:rPr>
      </w:pPr>
    </w:p>
    <w:p w14:paraId="3C6CC138" w14:textId="77777777" w:rsidR="00B15F7D" w:rsidRPr="00990FB6" w:rsidRDefault="00B15F7D" w:rsidP="00B15F7D">
      <w:pPr>
        <w:ind w:left="851" w:right="851" w:firstLine="709"/>
        <w:jc w:val="both"/>
        <w:rPr>
          <w:snapToGrid w:val="0"/>
          <w:sz w:val="22"/>
          <w:szCs w:val="22"/>
        </w:rPr>
      </w:pPr>
      <w:r w:rsidRPr="00990FB6">
        <w:rPr>
          <w:snapToGrid w:val="0"/>
          <w:sz w:val="22"/>
          <w:szCs w:val="22"/>
        </w:rPr>
        <w:t>Dado que los informes remitidos contemplan escenarios por separado para cada tipo de oficina; ámbito jurisdiccional, Defensa Pública, Fiscalía y Organismo de Investigación Judicial, en el presente informe se presentan los siguientes escenarios integrales, en los cuales se consideran las necesidades institucionales de las citadas dependencias, conforme los informes mencionados anteriormente.</w:t>
      </w:r>
    </w:p>
    <w:p w14:paraId="333D55A4" w14:textId="77777777" w:rsidR="00B15F7D" w:rsidRPr="00990FB6" w:rsidRDefault="00B15F7D" w:rsidP="00B15F7D">
      <w:pPr>
        <w:ind w:left="851" w:right="851" w:firstLine="709"/>
        <w:jc w:val="both"/>
        <w:rPr>
          <w:snapToGrid w:val="0"/>
          <w:sz w:val="22"/>
          <w:szCs w:val="22"/>
        </w:rPr>
      </w:pPr>
    </w:p>
    <w:p w14:paraId="530B3551" w14:textId="77777777" w:rsidR="00B15F7D" w:rsidRPr="00990FB6" w:rsidRDefault="00B15F7D" w:rsidP="00B15F7D">
      <w:pPr>
        <w:numPr>
          <w:ilvl w:val="0"/>
          <w:numId w:val="191"/>
        </w:numPr>
        <w:suppressAutoHyphens w:val="0"/>
        <w:ind w:left="851" w:right="851" w:firstLine="709"/>
        <w:jc w:val="both"/>
        <w:rPr>
          <w:snapToGrid w:val="0"/>
          <w:sz w:val="22"/>
          <w:szCs w:val="22"/>
          <w:u w:val="single"/>
        </w:rPr>
      </w:pPr>
      <w:r w:rsidRPr="00990FB6">
        <w:rPr>
          <w:snapToGrid w:val="0"/>
          <w:sz w:val="22"/>
          <w:szCs w:val="22"/>
          <w:u w:val="single"/>
        </w:rPr>
        <w:t>Escenario 1, estructuras básicas en las regionales</w:t>
      </w:r>
    </w:p>
    <w:p w14:paraId="70093BDD" w14:textId="77777777" w:rsidR="00B15F7D" w:rsidRPr="00990FB6" w:rsidRDefault="00B15F7D" w:rsidP="00B15F7D">
      <w:pPr>
        <w:ind w:left="851" w:right="851" w:firstLine="709"/>
        <w:jc w:val="both"/>
        <w:rPr>
          <w:snapToGrid w:val="0"/>
          <w:sz w:val="22"/>
          <w:szCs w:val="22"/>
          <w:u w:val="single"/>
        </w:rPr>
      </w:pPr>
    </w:p>
    <w:p w14:paraId="2D4A8C84" w14:textId="77777777" w:rsidR="00B15F7D" w:rsidRPr="00990FB6" w:rsidRDefault="00B15F7D" w:rsidP="00B15F7D">
      <w:pPr>
        <w:ind w:left="851" w:right="851" w:firstLine="709"/>
        <w:jc w:val="both"/>
        <w:rPr>
          <w:rFonts w:eastAsia="Calibri"/>
          <w:sz w:val="22"/>
          <w:szCs w:val="22"/>
        </w:rPr>
      </w:pPr>
      <w:r w:rsidRPr="00990FB6">
        <w:rPr>
          <w:snapToGrid w:val="0"/>
          <w:sz w:val="22"/>
          <w:szCs w:val="22"/>
        </w:rPr>
        <w:t xml:space="preserve">En el siguiente escenario se muestran las necesidades de los Tribunales Penales </w:t>
      </w:r>
      <w:r w:rsidRPr="00990FB6">
        <w:rPr>
          <w:rFonts w:eastAsia="Calibri"/>
          <w:sz w:val="22"/>
          <w:szCs w:val="22"/>
        </w:rPr>
        <w:t>de estructura mínima; a saber: Quepos, Sarapiquí, Siquirres, Turrialba, Cañas y Santa Cruz, debido a que estos despachos, para la resolución los expedientes de juicios colegiados, requieren integrar una sección colegiada temporal, en conjunto con los jueces y juezas de los Tribunales Penales cabecera de cada cantón (Heredia, Cartago, Puntarenas, Guápiles, Liberia y Nicoya), situación que limita la atención de ambas zonas, de ahí la importancia de dotar personal adicional de manera integral a estos despachos.</w:t>
      </w:r>
    </w:p>
    <w:p w14:paraId="1FFD67EA" w14:textId="77777777" w:rsidR="00B15F7D" w:rsidRPr="00990FB6" w:rsidRDefault="00B15F7D" w:rsidP="00B15F7D">
      <w:pPr>
        <w:ind w:firstLine="709"/>
        <w:jc w:val="both"/>
        <w:rPr>
          <w:rFonts w:eastAsia="Calibri"/>
          <w:sz w:val="22"/>
          <w:szCs w:val="22"/>
        </w:rPr>
      </w:pPr>
    </w:p>
    <w:p w14:paraId="57884C2E"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sz w:val="22"/>
          <w:szCs w:val="22"/>
          <w:lang w:eastAsia="en-US"/>
        </w:rPr>
        <w:t>1</w:t>
      </w:r>
      <w:r w:rsidRPr="00990FB6">
        <w:rPr>
          <w:rFonts w:eastAsia="Calibri"/>
          <w:i/>
          <w:iCs/>
          <w:sz w:val="22"/>
          <w:szCs w:val="22"/>
          <w:lang w:eastAsia="en-US"/>
        </w:rPr>
        <w:fldChar w:fldCharType="end"/>
      </w:r>
    </w:p>
    <w:p w14:paraId="22DF6830"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Escenario 1, estructuras básicas en las regionales de requerimiento de recurso humano para los Tribunales Penales, Fiscalía, Defensa y OIJ del país</w:t>
      </w:r>
    </w:p>
    <w:p w14:paraId="6FACCD5B" w14:textId="77777777" w:rsidR="00B15F7D" w:rsidRPr="00990FB6" w:rsidRDefault="00B15F7D" w:rsidP="00B15F7D">
      <w:pPr>
        <w:jc w:val="center"/>
        <w:rPr>
          <w:rFonts w:eastAsia="Calibri"/>
          <w:b/>
          <w:bCs/>
          <w:sz w:val="22"/>
          <w:szCs w:val="22"/>
        </w:rPr>
      </w:pPr>
    </w:p>
    <w:tbl>
      <w:tblPr>
        <w:tblW w:w="9062" w:type="dxa"/>
        <w:jc w:val="center"/>
        <w:tblCellMar>
          <w:left w:w="70" w:type="dxa"/>
          <w:right w:w="70" w:type="dxa"/>
        </w:tblCellMar>
        <w:tblLook w:val="04A0" w:firstRow="1" w:lastRow="0" w:firstColumn="1" w:lastColumn="0" w:noHBand="0" w:noVBand="1"/>
      </w:tblPr>
      <w:tblGrid>
        <w:gridCol w:w="2014"/>
        <w:gridCol w:w="831"/>
        <w:gridCol w:w="739"/>
        <w:gridCol w:w="1130"/>
        <w:gridCol w:w="800"/>
        <w:gridCol w:w="1167"/>
        <w:gridCol w:w="874"/>
        <w:gridCol w:w="688"/>
        <w:gridCol w:w="819"/>
      </w:tblGrid>
      <w:tr w:rsidR="00B15F7D" w:rsidRPr="00990FB6" w14:paraId="6C725066" w14:textId="77777777" w:rsidTr="000A0C22">
        <w:trPr>
          <w:trHeight w:val="300"/>
          <w:jc w:val="center"/>
        </w:trPr>
        <w:tc>
          <w:tcPr>
            <w:tcW w:w="2356"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534F06A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Despacho</w:t>
            </w:r>
          </w:p>
        </w:tc>
        <w:tc>
          <w:tcPr>
            <w:tcW w:w="3304" w:type="dxa"/>
            <w:gridSpan w:val="4"/>
            <w:tcBorders>
              <w:top w:val="single" w:sz="8" w:space="0" w:color="E7E6E6"/>
              <w:left w:val="nil"/>
              <w:bottom w:val="single" w:sz="8" w:space="0" w:color="E7E6E6"/>
              <w:right w:val="single" w:sz="8" w:space="0" w:color="E7E6E6"/>
            </w:tcBorders>
            <w:shd w:val="clear" w:color="000000" w:fill="5B9BD5"/>
            <w:noWrap/>
            <w:vAlign w:val="center"/>
            <w:hideMark/>
          </w:tcPr>
          <w:p w14:paraId="19C02D56"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REQUERIMIENTO ÁMBITO JURISDICCIONAL</w:t>
            </w:r>
          </w:p>
        </w:tc>
        <w:tc>
          <w:tcPr>
            <w:tcW w:w="3402" w:type="dxa"/>
            <w:gridSpan w:val="4"/>
            <w:tcBorders>
              <w:top w:val="single" w:sz="8" w:space="0" w:color="E7E6E6"/>
              <w:left w:val="nil"/>
              <w:bottom w:val="single" w:sz="8" w:space="0" w:color="E7E6E6"/>
              <w:right w:val="single" w:sz="8" w:space="0" w:color="E7E6E6"/>
            </w:tcBorders>
            <w:shd w:val="clear" w:color="000000" w:fill="C65911"/>
            <w:noWrap/>
            <w:vAlign w:val="center"/>
            <w:hideMark/>
          </w:tcPr>
          <w:p w14:paraId="7C97F3D6"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REQUERIMIENTO ÁMBITO AUXILIAR DE JUSTICIA</w:t>
            </w:r>
          </w:p>
        </w:tc>
      </w:tr>
      <w:tr w:rsidR="00B15F7D" w:rsidRPr="00990FB6" w14:paraId="48B30FF6" w14:textId="77777777" w:rsidTr="000A0C22">
        <w:trPr>
          <w:trHeight w:val="492"/>
          <w:jc w:val="center"/>
        </w:trPr>
        <w:tc>
          <w:tcPr>
            <w:tcW w:w="2356" w:type="dxa"/>
            <w:vMerge/>
            <w:tcBorders>
              <w:top w:val="single" w:sz="8" w:space="0" w:color="E7E6E6"/>
              <w:left w:val="single" w:sz="8" w:space="0" w:color="E7E6E6"/>
              <w:bottom w:val="single" w:sz="12" w:space="0" w:color="D4D4D4"/>
              <w:right w:val="single" w:sz="8" w:space="0" w:color="E7E6E6"/>
            </w:tcBorders>
            <w:vAlign w:val="center"/>
            <w:hideMark/>
          </w:tcPr>
          <w:p w14:paraId="78835C67" w14:textId="77777777" w:rsidR="00B15F7D" w:rsidRPr="00990FB6" w:rsidRDefault="00B15F7D" w:rsidP="00B15F7D">
            <w:pPr>
              <w:rPr>
                <w:b/>
                <w:bCs/>
                <w:color w:val="FFFFFF"/>
                <w:sz w:val="22"/>
                <w:szCs w:val="22"/>
                <w:lang w:eastAsia="es-CR"/>
              </w:rPr>
            </w:pPr>
          </w:p>
        </w:tc>
        <w:tc>
          <w:tcPr>
            <w:tcW w:w="851" w:type="dxa"/>
            <w:tcBorders>
              <w:top w:val="nil"/>
              <w:left w:val="nil"/>
              <w:bottom w:val="single" w:sz="12" w:space="0" w:color="D4D4D4"/>
              <w:right w:val="single" w:sz="8" w:space="0" w:color="E7E6E6"/>
            </w:tcBorders>
            <w:shd w:val="clear" w:color="000000" w:fill="305496"/>
            <w:vAlign w:val="center"/>
            <w:hideMark/>
          </w:tcPr>
          <w:p w14:paraId="627CC54A"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Juez/a 4</w:t>
            </w:r>
          </w:p>
        </w:tc>
        <w:tc>
          <w:tcPr>
            <w:tcW w:w="708" w:type="dxa"/>
            <w:tcBorders>
              <w:top w:val="nil"/>
              <w:left w:val="nil"/>
              <w:bottom w:val="single" w:sz="12" w:space="0" w:color="D4D4D4"/>
              <w:right w:val="single" w:sz="8" w:space="0" w:color="E7E6E6"/>
            </w:tcBorders>
            <w:shd w:val="clear" w:color="000000" w:fill="305496"/>
            <w:vAlign w:val="center"/>
            <w:hideMark/>
          </w:tcPr>
          <w:p w14:paraId="67A99B0C"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Juez/a 1</w:t>
            </w:r>
          </w:p>
        </w:tc>
        <w:tc>
          <w:tcPr>
            <w:tcW w:w="896" w:type="dxa"/>
            <w:tcBorders>
              <w:top w:val="nil"/>
              <w:left w:val="nil"/>
              <w:bottom w:val="single" w:sz="12" w:space="0" w:color="D4D4D4"/>
              <w:right w:val="single" w:sz="8" w:space="0" w:color="E7E6E6"/>
            </w:tcBorders>
            <w:shd w:val="clear" w:color="000000" w:fill="305496"/>
            <w:vAlign w:val="center"/>
            <w:hideMark/>
          </w:tcPr>
          <w:p w14:paraId="70ADFC2A"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Técnico(a) Judicial 3</w:t>
            </w:r>
          </w:p>
        </w:tc>
        <w:tc>
          <w:tcPr>
            <w:tcW w:w="849" w:type="dxa"/>
            <w:tcBorders>
              <w:top w:val="nil"/>
              <w:left w:val="nil"/>
              <w:bottom w:val="single" w:sz="12" w:space="0" w:color="D4D4D4"/>
              <w:right w:val="single" w:sz="8" w:space="0" w:color="E7E6E6"/>
            </w:tcBorders>
            <w:shd w:val="clear" w:color="000000" w:fill="548235"/>
            <w:vAlign w:val="center"/>
            <w:hideMark/>
          </w:tcPr>
          <w:p w14:paraId="5DAFCB2C"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Total</w:t>
            </w:r>
          </w:p>
        </w:tc>
        <w:tc>
          <w:tcPr>
            <w:tcW w:w="993" w:type="dxa"/>
            <w:tcBorders>
              <w:top w:val="nil"/>
              <w:left w:val="nil"/>
              <w:bottom w:val="single" w:sz="12" w:space="0" w:color="D4D4D4"/>
              <w:right w:val="single" w:sz="8" w:space="0" w:color="E7E6E6"/>
            </w:tcBorders>
            <w:shd w:val="clear" w:color="000000" w:fill="305496"/>
            <w:vAlign w:val="center"/>
            <w:hideMark/>
          </w:tcPr>
          <w:p w14:paraId="3C1230D3"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Defensores públicos</w:t>
            </w:r>
          </w:p>
        </w:tc>
        <w:tc>
          <w:tcPr>
            <w:tcW w:w="850" w:type="dxa"/>
            <w:tcBorders>
              <w:top w:val="nil"/>
              <w:left w:val="nil"/>
              <w:bottom w:val="single" w:sz="12" w:space="0" w:color="D4D4D4"/>
              <w:right w:val="single" w:sz="8" w:space="0" w:color="E7E6E6"/>
            </w:tcBorders>
            <w:shd w:val="clear" w:color="000000" w:fill="305496"/>
            <w:vAlign w:val="center"/>
            <w:hideMark/>
          </w:tcPr>
          <w:p w14:paraId="20E7E054"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Fiscales</w:t>
            </w:r>
          </w:p>
        </w:tc>
        <w:tc>
          <w:tcPr>
            <w:tcW w:w="709" w:type="dxa"/>
            <w:tcBorders>
              <w:top w:val="nil"/>
              <w:left w:val="nil"/>
              <w:bottom w:val="single" w:sz="12" w:space="0" w:color="D4D4D4"/>
              <w:right w:val="single" w:sz="8" w:space="0" w:color="E7E6E6"/>
            </w:tcBorders>
            <w:shd w:val="clear" w:color="000000" w:fill="305496"/>
            <w:vAlign w:val="center"/>
            <w:hideMark/>
          </w:tcPr>
          <w:p w14:paraId="7A95A98A"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OIJ</w:t>
            </w:r>
          </w:p>
        </w:tc>
        <w:tc>
          <w:tcPr>
            <w:tcW w:w="850" w:type="dxa"/>
            <w:tcBorders>
              <w:top w:val="nil"/>
              <w:left w:val="nil"/>
              <w:bottom w:val="single" w:sz="12" w:space="0" w:color="D4D4D4"/>
              <w:right w:val="single" w:sz="8" w:space="0" w:color="E7E6E6"/>
            </w:tcBorders>
            <w:shd w:val="clear" w:color="000000" w:fill="548235"/>
            <w:vAlign w:val="center"/>
            <w:hideMark/>
          </w:tcPr>
          <w:p w14:paraId="5A9607B8"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Total</w:t>
            </w:r>
          </w:p>
        </w:tc>
      </w:tr>
      <w:tr w:rsidR="00B15F7D" w:rsidRPr="00990FB6" w14:paraId="137BA10A" w14:textId="77777777" w:rsidTr="000A0C22">
        <w:trPr>
          <w:trHeight w:val="312"/>
          <w:jc w:val="center"/>
        </w:trPr>
        <w:tc>
          <w:tcPr>
            <w:tcW w:w="235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8781C59"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Quepos</w:t>
            </w:r>
          </w:p>
        </w:tc>
        <w:tc>
          <w:tcPr>
            <w:tcW w:w="851"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2E43CD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8"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8FF4B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9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50881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4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24E73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993"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6B99A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9645A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9FE1E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4F76F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5C67FB57" w14:textId="77777777" w:rsidTr="000A0C22">
        <w:trPr>
          <w:trHeight w:val="312"/>
          <w:jc w:val="center"/>
        </w:trPr>
        <w:tc>
          <w:tcPr>
            <w:tcW w:w="235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8DDC5B1"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Sarapiquí</w:t>
            </w:r>
          </w:p>
        </w:tc>
        <w:tc>
          <w:tcPr>
            <w:tcW w:w="851"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EF5CE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7039F5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9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105C6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4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59EA3D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993"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1FFD3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E7427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91ACD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44CAB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722576B7" w14:textId="77777777" w:rsidTr="000A0C22">
        <w:trPr>
          <w:trHeight w:val="312"/>
          <w:jc w:val="center"/>
        </w:trPr>
        <w:tc>
          <w:tcPr>
            <w:tcW w:w="235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C221BF7"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Siquirres</w:t>
            </w:r>
          </w:p>
        </w:tc>
        <w:tc>
          <w:tcPr>
            <w:tcW w:w="851"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39780A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62FBA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9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01271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4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E9C13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993"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4A9F1A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6A8C8F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433A7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CC08E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2C35122D" w14:textId="77777777" w:rsidTr="000A0C22">
        <w:trPr>
          <w:trHeight w:val="312"/>
          <w:jc w:val="center"/>
        </w:trPr>
        <w:tc>
          <w:tcPr>
            <w:tcW w:w="235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2483960"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Turrialba</w:t>
            </w:r>
          </w:p>
        </w:tc>
        <w:tc>
          <w:tcPr>
            <w:tcW w:w="851"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7CDEB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C1D68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9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500A2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4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DA35A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993"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ECD3D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2C21FA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C4545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88909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47441BD1" w14:textId="77777777" w:rsidTr="000A0C22">
        <w:trPr>
          <w:trHeight w:val="312"/>
          <w:jc w:val="center"/>
        </w:trPr>
        <w:tc>
          <w:tcPr>
            <w:tcW w:w="235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B072317"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Cañas</w:t>
            </w:r>
          </w:p>
        </w:tc>
        <w:tc>
          <w:tcPr>
            <w:tcW w:w="851"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BD9DB8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FC8CB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9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52A28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4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D72A05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993"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17CFE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33560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CEE6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96A8A3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3F17DFA1" w14:textId="77777777" w:rsidTr="000A0C22">
        <w:trPr>
          <w:trHeight w:val="312"/>
          <w:jc w:val="center"/>
        </w:trPr>
        <w:tc>
          <w:tcPr>
            <w:tcW w:w="235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AEC0C9A" w14:textId="77777777" w:rsidR="00B15F7D" w:rsidRPr="00990FB6" w:rsidRDefault="00B15F7D" w:rsidP="00B15F7D">
            <w:pPr>
              <w:rPr>
                <w:color w:val="000000"/>
                <w:sz w:val="22"/>
                <w:szCs w:val="22"/>
                <w:lang w:val="pt-BR" w:eastAsia="es-CR"/>
              </w:rPr>
            </w:pPr>
            <w:r w:rsidRPr="00990FB6">
              <w:rPr>
                <w:color w:val="000000"/>
                <w:sz w:val="22"/>
                <w:szCs w:val="22"/>
                <w:lang w:val="pt-BR" w:eastAsia="es-CR"/>
              </w:rPr>
              <w:t>Tribuna Penal de Santa Cruz</w:t>
            </w:r>
          </w:p>
        </w:tc>
        <w:tc>
          <w:tcPr>
            <w:tcW w:w="851"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CAC24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708"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2F196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96"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930D1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4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0EBFE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993"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88BAA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108BA5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709"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6E1D6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0F0C0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r>
      <w:tr w:rsidR="00B15F7D" w:rsidRPr="00990FB6" w14:paraId="029D2F9A" w14:textId="77777777" w:rsidTr="000A0C22">
        <w:trPr>
          <w:trHeight w:val="312"/>
          <w:jc w:val="center"/>
        </w:trPr>
        <w:tc>
          <w:tcPr>
            <w:tcW w:w="2356"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11EAE760" w14:textId="77777777" w:rsidR="00B15F7D" w:rsidRPr="00990FB6" w:rsidRDefault="00B15F7D" w:rsidP="00B15F7D">
            <w:pPr>
              <w:jc w:val="right"/>
              <w:rPr>
                <w:b/>
                <w:bCs/>
                <w:color w:val="000000"/>
                <w:sz w:val="22"/>
                <w:szCs w:val="22"/>
                <w:lang w:val="pt-BR" w:eastAsia="es-CR"/>
              </w:rPr>
            </w:pPr>
            <w:r w:rsidRPr="00990FB6">
              <w:rPr>
                <w:b/>
                <w:bCs/>
                <w:color w:val="000000"/>
                <w:sz w:val="22"/>
                <w:szCs w:val="22"/>
                <w:lang w:val="pt-BR" w:eastAsia="es-CR"/>
              </w:rPr>
              <w:t>TOTAL</w:t>
            </w:r>
          </w:p>
        </w:tc>
        <w:tc>
          <w:tcPr>
            <w:tcW w:w="851"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7BBB171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11</w:t>
            </w:r>
          </w:p>
        </w:tc>
        <w:tc>
          <w:tcPr>
            <w:tcW w:w="708"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537145D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0</w:t>
            </w:r>
          </w:p>
        </w:tc>
        <w:tc>
          <w:tcPr>
            <w:tcW w:w="896"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3B9202D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12</w:t>
            </w:r>
          </w:p>
        </w:tc>
        <w:tc>
          <w:tcPr>
            <w:tcW w:w="849"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6B836D28"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23</w:t>
            </w:r>
          </w:p>
        </w:tc>
        <w:tc>
          <w:tcPr>
            <w:tcW w:w="993"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2BFF982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5</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077E1845"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6</w:t>
            </w:r>
          </w:p>
        </w:tc>
        <w:tc>
          <w:tcPr>
            <w:tcW w:w="709"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0B75D6B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10</w:t>
            </w:r>
          </w:p>
        </w:tc>
        <w:tc>
          <w:tcPr>
            <w:tcW w:w="850" w:type="dxa"/>
            <w:tcBorders>
              <w:top w:val="single" w:sz="12" w:space="0" w:color="D4D4D4"/>
              <w:left w:val="single" w:sz="12" w:space="0" w:color="D4D4D4"/>
              <w:bottom w:val="single" w:sz="12" w:space="0" w:color="D4D4D4"/>
              <w:right w:val="single" w:sz="12" w:space="0" w:color="D4D4D4"/>
            </w:tcBorders>
            <w:shd w:val="clear" w:color="auto" w:fill="auto"/>
            <w:vAlign w:val="center"/>
          </w:tcPr>
          <w:p w14:paraId="42BA5D6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21</w:t>
            </w:r>
          </w:p>
        </w:tc>
      </w:tr>
    </w:tbl>
    <w:p w14:paraId="6337E6DB" w14:textId="77777777" w:rsidR="00B15F7D" w:rsidRPr="00990FB6" w:rsidRDefault="00B15F7D" w:rsidP="00B15F7D">
      <w:pPr>
        <w:ind w:left="851" w:right="851" w:firstLine="709"/>
        <w:jc w:val="both"/>
        <w:rPr>
          <w:snapToGrid w:val="0"/>
          <w:sz w:val="22"/>
          <w:szCs w:val="22"/>
        </w:rPr>
      </w:pPr>
      <w:r w:rsidRPr="00990FB6">
        <w:rPr>
          <w:snapToGrid w:val="0"/>
          <w:sz w:val="22"/>
          <w:szCs w:val="22"/>
        </w:rPr>
        <w:t>Fuente: elaboración propia.</w:t>
      </w:r>
    </w:p>
    <w:p w14:paraId="72A05D70" w14:textId="77777777" w:rsidR="00B15F7D" w:rsidRPr="00990FB6" w:rsidRDefault="00B15F7D" w:rsidP="00B15F7D">
      <w:pPr>
        <w:ind w:left="851" w:right="851" w:firstLine="709"/>
        <w:jc w:val="both"/>
        <w:rPr>
          <w:snapToGrid w:val="0"/>
          <w:sz w:val="22"/>
          <w:szCs w:val="22"/>
        </w:rPr>
      </w:pPr>
    </w:p>
    <w:p w14:paraId="0D2D8887" w14:textId="77777777" w:rsidR="00B15F7D" w:rsidRPr="00990FB6" w:rsidRDefault="00B15F7D" w:rsidP="00B15F7D">
      <w:pPr>
        <w:ind w:left="851" w:right="851" w:firstLine="709"/>
        <w:jc w:val="both"/>
        <w:rPr>
          <w:snapToGrid w:val="0"/>
          <w:sz w:val="22"/>
          <w:szCs w:val="22"/>
        </w:rPr>
      </w:pPr>
      <w:r w:rsidRPr="00990FB6">
        <w:rPr>
          <w:snapToGrid w:val="0"/>
          <w:sz w:val="22"/>
          <w:szCs w:val="22"/>
        </w:rPr>
        <w:lastRenderedPageBreak/>
        <w:t>El escenario de estructuras mínimas requiere un total de 44 plazas distribuidas de la siguiente manera: 11 jueces o juezas 4, 12 personas técnicas judiciales 3, cinco Defensores Públicos, seis Fiscales y 10 personas custodias de detenidos; y seguidamente se muestra el costo total de presupuesto para este escenario:</w:t>
      </w:r>
    </w:p>
    <w:p w14:paraId="26DB59D1" w14:textId="77777777" w:rsidR="00B15F7D" w:rsidRPr="00990FB6" w:rsidRDefault="00B15F7D" w:rsidP="00B15F7D">
      <w:pPr>
        <w:ind w:left="851" w:right="851" w:firstLine="709"/>
        <w:jc w:val="both"/>
        <w:rPr>
          <w:snapToGrid w:val="0"/>
          <w:sz w:val="22"/>
          <w:szCs w:val="22"/>
        </w:rPr>
      </w:pPr>
    </w:p>
    <w:p w14:paraId="4811784C"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2</w:t>
      </w:r>
      <w:r w:rsidRPr="00990FB6">
        <w:rPr>
          <w:rFonts w:eastAsia="Calibri"/>
          <w:i/>
          <w:iCs/>
          <w:sz w:val="22"/>
          <w:szCs w:val="22"/>
          <w:lang w:eastAsia="en-US"/>
        </w:rPr>
        <w:fldChar w:fldCharType="end"/>
      </w:r>
    </w:p>
    <w:p w14:paraId="6140DF7D" w14:textId="77777777" w:rsidR="00B15F7D" w:rsidRPr="00990FB6" w:rsidRDefault="00B15F7D" w:rsidP="00B15F7D">
      <w:pPr>
        <w:widowControl w:val="0"/>
        <w:suppressAutoHyphens w:val="0"/>
        <w:autoSpaceDE w:val="0"/>
        <w:autoSpaceDN w:val="0"/>
        <w:adjustRightInd w:val="0"/>
        <w:ind w:left="851" w:right="851"/>
        <w:jc w:val="center"/>
        <w:rPr>
          <w:rFonts w:eastAsia="Calibri"/>
          <w:b/>
          <w:bCs/>
          <w:sz w:val="22"/>
          <w:szCs w:val="22"/>
          <w:lang w:eastAsia="en-US"/>
        </w:rPr>
      </w:pPr>
      <w:r w:rsidRPr="00990FB6">
        <w:rPr>
          <w:rFonts w:eastAsia="Calibri"/>
          <w:b/>
          <w:bCs/>
          <w:sz w:val="22"/>
          <w:szCs w:val="22"/>
          <w:lang w:eastAsia="en-US"/>
        </w:rPr>
        <w:t>Costo total de requerimiento de recurso humano para la atención de la materia Penal, según escenario 1 estructuras básicas regionales</w:t>
      </w:r>
    </w:p>
    <w:p w14:paraId="10CA9D1F" w14:textId="77777777" w:rsidR="00B15F7D" w:rsidRPr="00990FB6" w:rsidRDefault="00B15F7D" w:rsidP="00B15F7D">
      <w:pPr>
        <w:rPr>
          <w:rFonts w:eastAsia="Calibri"/>
          <w:sz w:val="22"/>
          <w:szCs w:val="22"/>
          <w:lang w:eastAsia="en-US"/>
        </w:rPr>
      </w:pPr>
    </w:p>
    <w:tbl>
      <w:tblPr>
        <w:tblW w:w="7928" w:type="dxa"/>
        <w:jc w:val="center"/>
        <w:tblCellMar>
          <w:left w:w="70" w:type="dxa"/>
          <w:right w:w="70" w:type="dxa"/>
        </w:tblCellMar>
        <w:tblLook w:val="04A0" w:firstRow="1" w:lastRow="0" w:firstColumn="1" w:lastColumn="0" w:noHBand="0" w:noVBand="1"/>
      </w:tblPr>
      <w:tblGrid>
        <w:gridCol w:w="2451"/>
        <w:gridCol w:w="1021"/>
        <w:gridCol w:w="1661"/>
        <w:gridCol w:w="1269"/>
        <w:gridCol w:w="1526"/>
      </w:tblGrid>
      <w:tr w:rsidR="00B15F7D" w:rsidRPr="00990FB6" w14:paraId="331B1A6D" w14:textId="77777777" w:rsidTr="000A0C22">
        <w:trPr>
          <w:trHeight w:val="492"/>
          <w:jc w:val="center"/>
        </w:trPr>
        <w:tc>
          <w:tcPr>
            <w:tcW w:w="2500" w:type="dxa"/>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47FA7884"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Categoría de plaza</w:t>
            </w:r>
          </w:p>
        </w:tc>
        <w:tc>
          <w:tcPr>
            <w:tcW w:w="892" w:type="dxa"/>
            <w:tcBorders>
              <w:top w:val="single" w:sz="8" w:space="0" w:color="E7E6E6"/>
              <w:left w:val="nil"/>
              <w:bottom w:val="single" w:sz="8" w:space="0" w:color="E7E6E6"/>
              <w:right w:val="single" w:sz="8" w:space="0" w:color="E7E6E6"/>
            </w:tcBorders>
            <w:shd w:val="clear" w:color="000000" w:fill="305496"/>
            <w:vAlign w:val="center"/>
            <w:hideMark/>
          </w:tcPr>
          <w:p w14:paraId="6EEE3A04"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Cantidad</w:t>
            </w:r>
          </w:p>
        </w:tc>
        <w:tc>
          <w:tcPr>
            <w:tcW w:w="1701" w:type="dxa"/>
            <w:tcBorders>
              <w:top w:val="single" w:sz="8" w:space="0" w:color="E7E6E6"/>
              <w:left w:val="nil"/>
              <w:bottom w:val="single" w:sz="8" w:space="0" w:color="E7E6E6"/>
              <w:right w:val="single" w:sz="8" w:space="0" w:color="E7E6E6"/>
            </w:tcBorders>
            <w:shd w:val="clear" w:color="000000" w:fill="305496"/>
            <w:vAlign w:val="center"/>
            <w:hideMark/>
          </w:tcPr>
          <w:p w14:paraId="44349208"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Costo Total recurso humano</w:t>
            </w:r>
          </w:p>
        </w:tc>
        <w:tc>
          <w:tcPr>
            <w:tcW w:w="1276" w:type="dxa"/>
            <w:tcBorders>
              <w:top w:val="single" w:sz="8" w:space="0" w:color="E7E6E6"/>
              <w:left w:val="nil"/>
              <w:bottom w:val="single" w:sz="8" w:space="0" w:color="E7E6E6"/>
              <w:right w:val="single" w:sz="8" w:space="0" w:color="E7E6E6"/>
            </w:tcBorders>
            <w:shd w:val="clear" w:color="000000" w:fill="305496"/>
            <w:vAlign w:val="center"/>
            <w:hideMark/>
          </w:tcPr>
          <w:p w14:paraId="2FD30A02"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Mobiliario y equipo</w:t>
            </w:r>
          </w:p>
        </w:tc>
        <w:tc>
          <w:tcPr>
            <w:tcW w:w="1559" w:type="dxa"/>
            <w:tcBorders>
              <w:top w:val="single" w:sz="8" w:space="0" w:color="E7E6E6"/>
              <w:left w:val="nil"/>
              <w:bottom w:val="single" w:sz="8" w:space="0" w:color="E7E6E6"/>
              <w:right w:val="single" w:sz="8" w:space="0" w:color="E7E6E6"/>
            </w:tcBorders>
            <w:shd w:val="clear" w:color="000000" w:fill="305496"/>
            <w:vAlign w:val="center"/>
            <w:hideMark/>
          </w:tcPr>
          <w:p w14:paraId="4E33C50B"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TOTAL</w:t>
            </w:r>
          </w:p>
        </w:tc>
      </w:tr>
      <w:tr w:rsidR="00B15F7D" w:rsidRPr="00990FB6" w14:paraId="78B3A0E9"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31D1A2DD" w14:textId="77777777" w:rsidR="00B15F7D" w:rsidRPr="00990FB6" w:rsidRDefault="00B15F7D" w:rsidP="00B15F7D">
            <w:pPr>
              <w:rPr>
                <w:color w:val="000000"/>
                <w:sz w:val="22"/>
                <w:szCs w:val="22"/>
                <w:lang w:eastAsia="es-CR"/>
              </w:rPr>
            </w:pPr>
            <w:r w:rsidRPr="00990FB6">
              <w:rPr>
                <w:color w:val="000000"/>
                <w:sz w:val="22"/>
                <w:szCs w:val="22"/>
                <w:lang w:eastAsia="es-CR"/>
              </w:rPr>
              <w:t>Jueces o Juezas 4</w:t>
            </w:r>
          </w:p>
        </w:tc>
        <w:tc>
          <w:tcPr>
            <w:tcW w:w="892" w:type="dxa"/>
            <w:tcBorders>
              <w:top w:val="nil"/>
              <w:left w:val="nil"/>
              <w:bottom w:val="single" w:sz="8" w:space="0" w:color="D4D4D4"/>
              <w:right w:val="single" w:sz="8" w:space="0" w:color="D4D4D4"/>
            </w:tcBorders>
            <w:shd w:val="clear" w:color="auto" w:fill="auto"/>
            <w:vAlign w:val="center"/>
            <w:hideMark/>
          </w:tcPr>
          <w:p w14:paraId="5261B4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w:t>
            </w:r>
          </w:p>
        </w:tc>
        <w:tc>
          <w:tcPr>
            <w:tcW w:w="1701" w:type="dxa"/>
            <w:tcBorders>
              <w:top w:val="nil"/>
              <w:left w:val="single" w:sz="8" w:space="0" w:color="E7E6E6"/>
              <w:bottom w:val="single" w:sz="8" w:space="0" w:color="E7E6E6"/>
              <w:right w:val="single" w:sz="8" w:space="0" w:color="E7E6E6"/>
            </w:tcBorders>
            <w:shd w:val="clear" w:color="000000" w:fill="FFFFFF"/>
            <w:vAlign w:val="center"/>
            <w:hideMark/>
          </w:tcPr>
          <w:p w14:paraId="0965D9BD"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678 821 000,00 </w:t>
            </w:r>
          </w:p>
        </w:tc>
        <w:tc>
          <w:tcPr>
            <w:tcW w:w="1276" w:type="dxa"/>
            <w:tcBorders>
              <w:top w:val="nil"/>
              <w:left w:val="nil"/>
              <w:bottom w:val="nil"/>
              <w:right w:val="single" w:sz="8" w:space="0" w:color="E7E6E6"/>
            </w:tcBorders>
            <w:shd w:val="clear" w:color="000000" w:fill="FFFFFF"/>
            <w:vAlign w:val="center"/>
            <w:hideMark/>
          </w:tcPr>
          <w:p w14:paraId="235ED6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559" w:type="dxa"/>
            <w:tcBorders>
              <w:top w:val="nil"/>
              <w:left w:val="nil"/>
              <w:bottom w:val="nil"/>
              <w:right w:val="single" w:sz="8" w:space="0" w:color="E7E6E6"/>
            </w:tcBorders>
            <w:shd w:val="clear" w:color="000000" w:fill="FFFFFF"/>
            <w:vAlign w:val="center"/>
            <w:hideMark/>
          </w:tcPr>
          <w:p w14:paraId="085D2726"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678 821 000,00 </w:t>
            </w:r>
          </w:p>
        </w:tc>
      </w:tr>
      <w:tr w:rsidR="00B15F7D" w:rsidRPr="00990FB6" w14:paraId="6BFD4190"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1E310F1F" w14:textId="77777777" w:rsidR="00B15F7D" w:rsidRPr="00990FB6" w:rsidRDefault="00B15F7D" w:rsidP="00B15F7D">
            <w:pPr>
              <w:rPr>
                <w:color w:val="000000"/>
                <w:sz w:val="22"/>
                <w:szCs w:val="22"/>
                <w:lang w:eastAsia="es-CR"/>
              </w:rPr>
            </w:pPr>
            <w:r w:rsidRPr="00990FB6">
              <w:rPr>
                <w:color w:val="000000"/>
                <w:sz w:val="22"/>
                <w:szCs w:val="22"/>
                <w:lang w:eastAsia="es-CR"/>
              </w:rPr>
              <w:t>Técnicas o Técnicos Judiciales 3</w:t>
            </w:r>
          </w:p>
        </w:tc>
        <w:tc>
          <w:tcPr>
            <w:tcW w:w="892" w:type="dxa"/>
            <w:tcBorders>
              <w:top w:val="nil"/>
              <w:left w:val="nil"/>
              <w:bottom w:val="single" w:sz="8" w:space="0" w:color="D4D4D4"/>
              <w:right w:val="single" w:sz="8" w:space="0" w:color="D4D4D4"/>
            </w:tcBorders>
            <w:shd w:val="clear" w:color="auto" w:fill="auto"/>
            <w:vAlign w:val="center"/>
            <w:hideMark/>
          </w:tcPr>
          <w:p w14:paraId="5B1DD1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1701" w:type="dxa"/>
            <w:tcBorders>
              <w:top w:val="nil"/>
              <w:left w:val="single" w:sz="8" w:space="0" w:color="E7E6E6"/>
              <w:bottom w:val="single" w:sz="8" w:space="0" w:color="E7E6E6"/>
              <w:right w:val="single" w:sz="8" w:space="0" w:color="E7E6E6"/>
            </w:tcBorders>
            <w:shd w:val="clear" w:color="000000" w:fill="FFFFFF"/>
            <w:vAlign w:val="center"/>
            <w:hideMark/>
          </w:tcPr>
          <w:p w14:paraId="21ECDA06"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200 112 000,00 </w:t>
            </w:r>
          </w:p>
        </w:tc>
        <w:tc>
          <w:tcPr>
            <w:tcW w:w="1276" w:type="dxa"/>
            <w:tcBorders>
              <w:top w:val="single" w:sz="8" w:space="0" w:color="E7E6E6"/>
              <w:left w:val="nil"/>
              <w:bottom w:val="nil"/>
              <w:right w:val="single" w:sz="8" w:space="0" w:color="E7E6E6"/>
            </w:tcBorders>
            <w:shd w:val="clear" w:color="000000" w:fill="FFFFFF"/>
            <w:hideMark/>
          </w:tcPr>
          <w:p w14:paraId="1674D5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559" w:type="dxa"/>
            <w:tcBorders>
              <w:top w:val="single" w:sz="8" w:space="0" w:color="E7E6E6"/>
              <w:left w:val="nil"/>
              <w:bottom w:val="nil"/>
              <w:right w:val="single" w:sz="8" w:space="0" w:color="E7E6E6"/>
            </w:tcBorders>
            <w:shd w:val="clear" w:color="000000" w:fill="FFFFFF"/>
            <w:vAlign w:val="center"/>
            <w:hideMark/>
          </w:tcPr>
          <w:p w14:paraId="1B2B6CE5"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200 112 000,00 </w:t>
            </w:r>
          </w:p>
        </w:tc>
      </w:tr>
      <w:tr w:rsidR="00B15F7D" w:rsidRPr="00990FB6" w14:paraId="2E7749BE"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6DC9303D" w14:textId="77777777" w:rsidR="00B15F7D" w:rsidRPr="00990FB6" w:rsidRDefault="00B15F7D" w:rsidP="00B15F7D">
            <w:pPr>
              <w:rPr>
                <w:color w:val="000000"/>
                <w:sz w:val="22"/>
                <w:szCs w:val="22"/>
                <w:lang w:eastAsia="es-CR"/>
              </w:rPr>
            </w:pPr>
            <w:r w:rsidRPr="00990FB6">
              <w:rPr>
                <w:color w:val="000000"/>
                <w:sz w:val="22"/>
                <w:szCs w:val="22"/>
                <w:lang w:eastAsia="es-CR"/>
              </w:rPr>
              <w:t>Fiscales juicio</w:t>
            </w:r>
          </w:p>
        </w:tc>
        <w:tc>
          <w:tcPr>
            <w:tcW w:w="892" w:type="dxa"/>
            <w:tcBorders>
              <w:top w:val="nil"/>
              <w:left w:val="nil"/>
              <w:bottom w:val="single" w:sz="8" w:space="0" w:color="D4D4D4"/>
              <w:right w:val="single" w:sz="8" w:space="0" w:color="D4D4D4"/>
            </w:tcBorders>
            <w:shd w:val="clear" w:color="auto" w:fill="auto"/>
            <w:vAlign w:val="center"/>
            <w:hideMark/>
          </w:tcPr>
          <w:p w14:paraId="5A4C88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1701" w:type="dxa"/>
            <w:tcBorders>
              <w:top w:val="nil"/>
              <w:left w:val="single" w:sz="8" w:space="0" w:color="E7E6E6"/>
              <w:bottom w:val="single" w:sz="8" w:space="0" w:color="E7E6E6"/>
              <w:right w:val="single" w:sz="8" w:space="0" w:color="E7E6E6"/>
            </w:tcBorders>
            <w:shd w:val="clear" w:color="000000" w:fill="FFFFFF"/>
            <w:vAlign w:val="center"/>
            <w:hideMark/>
          </w:tcPr>
          <w:p w14:paraId="452F9931"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342 390 000,00 </w:t>
            </w:r>
          </w:p>
        </w:tc>
        <w:tc>
          <w:tcPr>
            <w:tcW w:w="1276" w:type="dxa"/>
            <w:tcBorders>
              <w:top w:val="single" w:sz="8" w:space="0" w:color="E7E6E6"/>
              <w:left w:val="nil"/>
              <w:bottom w:val="nil"/>
              <w:right w:val="single" w:sz="8" w:space="0" w:color="E7E6E6"/>
            </w:tcBorders>
            <w:shd w:val="clear" w:color="000000" w:fill="FFFFFF"/>
            <w:hideMark/>
          </w:tcPr>
          <w:p w14:paraId="4E14B3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559" w:type="dxa"/>
            <w:tcBorders>
              <w:top w:val="single" w:sz="8" w:space="0" w:color="E7E6E6"/>
              <w:left w:val="nil"/>
              <w:bottom w:val="nil"/>
              <w:right w:val="single" w:sz="8" w:space="0" w:color="E7E6E6"/>
            </w:tcBorders>
            <w:shd w:val="clear" w:color="000000" w:fill="FFFFFF"/>
            <w:vAlign w:val="center"/>
            <w:hideMark/>
          </w:tcPr>
          <w:p w14:paraId="0B32947E"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342 390 000,00 </w:t>
            </w:r>
          </w:p>
        </w:tc>
      </w:tr>
      <w:tr w:rsidR="00B15F7D" w:rsidRPr="00990FB6" w14:paraId="06775F87"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3154B8B2" w14:textId="77777777" w:rsidR="00B15F7D" w:rsidRPr="00990FB6" w:rsidRDefault="00B15F7D" w:rsidP="00B15F7D">
            <w:pPr>
              <w:rPr>
                <w:color w:val="000000"/>
                <w:sz w:val="22"/>
                <w:szCs w:val="22"/>
                <w:lang w:eastAsia="es-CR"/>
              </w:rPr>
            </w:pPr>
            <w:r w:rsidRPr="00990FB6">
              <w:rPr>
                <w:color w:val="000000"/>
                <w:sz w:val="22"/>
                <w:szCs w:val="22"/>
                <w:lang w:eastAsia="es-CR"/>
              </w:rPr>
              <w:t>Defensores</w:t>
            </w:r>
          </w:p>
        </w:tc>
        <w:tc>
          <w:tcPr>
            <w:tcW w:w="892" w:type="dxa"/>
            <w:tcBorders>
              <w:top w:val="nil"/>
              <w:left w:val="nil"/>
              <w:bottom w:val="single" w:sz="8" w:space="0" w:color="D4D4D4"/>
              <w:right w:val="single" w:sz="8" w:space="0" w:color="D4D4D4"/>
            </w:tcBorders>
            <w:shd w:val="clear" w:color="auto" w:fill="auto"/>
            <w:vAlign w:val="center"/>
            <w:hideMark/>
          </w:tcPr>
          <w:p w14:paraId="1A3E40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1701" w:type="dxa"/>
            <w:tcBorders>
              <w:top w:val="nil"/>
              <w:left w:val="single" w:sz="8" w:space="0" w:color="E7E6E6"/>
              <w:bottom w:val="single" w:sz="8" w:space="0" w:color="E7E6E6"/>
              <w:right w:val="single" w:sz="8" w:space="0" w:color="E7E6E6"/>
            </w:tcBorders>
            <w:shd w:val="clear" w:color="000000" w:fill="FFFFFF"/>
            <w:vAlign w:val="center"/>
            <w:hideMark/>
          </w:tcPr>
          <w:p w14:paraId="61471FE0"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266 400 000,00 </w:t>
            </w:r>
          </w:p>
        </w:tc>
        <w:tc>
          <w:tcPr>
            <w:tcW w:w="1276" w:type="dxa"/>
            <w:tcBorders>
              <w:top w:val="single" w:sz="8" w:space="0" w:color="E7E6E6"/>
              <w:left w:val="nil"/>
              <w:bottom w:val="nil"/>
              <w:right w:val="single" w:sz="8" w:space="0" w:color="E7E6E6"/>
            </w:tcBorders>
            <w:shd w:val="clear" w:color="000000" w:fill="FFFFFF"/>
            <w:hideMark/>
          </w:tcPr>
          <w:p w14:paraId="009EC6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559" w:type="dxa"/>
            <w:tcBorders>
              <w:top w:val="single" w:sz="8" w:space="0" w:color="E7E6E6"/>
              <w:left w:val="nil"/>
              <w:bottom w:val="nil"/>
              <w:right w:val="single" w:sz="8" w:space="0" w:color="E7E6E6"/>
            </w:tcBorders>
            <w:shd w:val="clear" w:color="000000" w:fill="FFFFFF"/>
            <w:vAlign w:val="center"/>
            <w:hideMark/>
          </w:tcPr>
          <w:p w14:paraId="66347B9F"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266 400 000,00 </w:t>
            </w:r>
          </w:p>
        </w:tc>
      </w:tr>
      <w:tr w:rsidR="00B15F7D" w:rsidRPr="00990FB6" w14:paraId="220175FF"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2C98780A" w14:textId="77777777" w:rsidR="00B15F7D" w:rsidRPr="00990FB6" w:rsidRDefault="00B15F7D" w:rsidP="00B15F7D">
            <w:pPr>
              <w:rPr>
                <w:color w:val="000000"/>
                <w:sz w:val="22"/>
                <w:szCs w:val="22"/>
                <w:lang w:eastAsia="es-CR"/>
              </w:rPr>
            </w:pPr>
            <w:r w:rsidRPr="00990FB6">
              <w:rPr>
                <w:color w:val="000000"/>
                <w:sz w:val="22"/>
                <w:szCs w:val="22"/>
                <w:lang w:eastAsia="es-CR"/>
              </w:rPr>
              <w:t>Custodios de detenidos</w:t>
            </w:r>
          </w:p>
        </w:tc>
        <w:tc>
          <w:tcPr>
            <w:tcW w:w="892" w:type="dxa"/>
            <w:tcBorders>
              <w:top w:val="nil"/>
              <w:left w:val="nil"/>
              <w:bottom w:val="single" w:sz="8" w:space="0" w:color="D4D4D4"/>
              <w:right w:val="single" w:sz="8" w:space="0" w:color="D4D4D4"/>
            </w:tcBorders>
            <w:shd w:val="clear" w:color="auto" w:fill="auto"/>
            <w:vAlign w:val="center"/>
            <w:hideMark/>
          </w:tcPr>
          <w:p w14:paraId="7041E1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w:t>
            </w:r>
          </w:p>
        </w:tc>
        <w:tc>
          <w:tcPr>
            <w:tcW w:w="1701" w:type="dxa"/>
            <w:tcBorders>
              <w:top w:val="nil"/>
              <w:left w:val="single" w:sz="8" w:space="0" w:color="E7E6E6"/>
              <w:bottom w:val="single" w:sz="8" w:space="0" w:color="E7E6E6"/>
              <w:right w:val="single" w:sz="8" w:space="0" w:color="E7E6E6"/>
            </w:tcBorders>
            <w:shd w:val="clear" w:color="000000" w:fill="FFFFFF"/>
            <w:vAlign w:val="center"/>
            <w:hideMark/>
          </w:tcPr>
          <w:p w14:paraId="2A7DDBCA"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197 450 000,00 </w:t>
            </w:r>
          </w:p>
        </w:tc>
        <w:tc>
          <w:tcPr>
            <w:tcW w:w="1276" w:type="dxa"/>
            <w:tcBorders>
              <w:top w:val="single" w:sz="8" w:space="0" w:color="E7E6E6"/>
              <w:left w:val="nil"/>
              <w:bottom w:val="single" w:sz="8" w:space="0" w:color="E7E6E6"/>
              <w:right w:val="single" w:sz="8" w:space="0" w:color="E7E6E6"/>
            </w:tcBorders>
            <w:shd w:val="clear" w:color="000000" w:fill="FFFFFF"/>
            <w:hideMark/>
          </w:tcPr>
          <w:p w14:paraId="39659C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559" w:type="dxa"/>
            <w:tcBorders>
              <w:top w:val="single" w:sz="8" w:space="0" w:color="E7E6E6"/>
              <w:left w:val="nil"/>
              <w:bottom w:val="nil"/>
              <w:right w:val="single" w:sz="8" w:space="0" w:color="E7E6E6"/>
            </w:tcBorders>
            <w:shd w:val="clear" w:color="000000" w:fill="FFFFFF"/>
            <w:vAlign w:val="center"/>
            <w:hideMark/>
          </w:tcPr>
          <w:p w14:paraId="0A3EB063" w14:textId="77777777" w:rsidR="00B15F7D" w:rsidRPr="00990FB6" w:rsidRDefault="00B15F7D" w:rsidP="00B15F7D">
            <w:pPr>
              <w:jc w:val="right"/>
              <w:rPr>
                <w:color w:val="000000"/>
                <w:sz w:val="22"/>
                <w:szCs w:val="22"/>
                <w:lang w:eastAsia="es-CR"/>
              </w:rPr>
            </w:pPr>
            <w:r w:rsidRPr="00990FB6">
              <w:rPr>
                <w:color w:val="000000"/>
                <w:sz w:val="22"/>
                <w:szCs w:val="22"/>
                <w:lang w:eastAsia="es-CR"/>
              </w:rPr>
              <w:t xml:space="preserve"> ₡ 197 450 000,00 </w:t>
            </w:r>
          </w:p>
        </w:tc>
      </w:tr>
      <w:tr w:rsidR="00B15F7D" w:rsidRPr="00990FB6" w14:paraId="36A10D0C" w14:textId="77777777" w:rsidTr="000A0C22">
        <w:trPr>
          <w:trHeight w:val="300"/>
          <w:jc w:val="center"/>
        </w:trPr>
        <w:tc>
          <w:tcPr>
            <w:tcW w:w="2500" w:type="dxa"/>
            <w:tcBorders>
              <w:top w:val="single" w:sz="8" w:space="0" w:color="E7E6E6"/>
              <w:left w:val="single" w:sz="8" w:space="0" w:color="E7E6E6"/>
              <w:bottom w:val="single" w:sz="8" w:space="0" w:color="E7E6E6"/>
              <w:right w:val="single" w:sz="8" w:space="0" w:color="E7E6E6"/>
            </w:tcBorders>
            <w:shd w:val="clear" w:color="000000" w:fill="DEEAF6"/>
            <w:vAlign w:val="center"/>
            <w:hideMark/>
          </w:tcPr>
          <w:p w14:paraId="2D187BAC" w14:textId="77777777" w:rsidR="00B15F7D" w:rsidRPr="00990FB6" w:rsidRDefault="00B15F7D" w:rsidP="00B15F7D">
            <w:pPr>
              <w:rPr>
                <w:b/>
                <w:bCs/>
                <w:color w:val="3A3838"/>
                <w:sz w:val="22"/>
                <w:szCs w:val="22"/>
                <w:lang w:eastAsia="es-CR"/>
              </w:rPr>
            </w:pPr>
            <w:r w:rsidRPr="00990FB6">
              <w:rPr>
                <w:b/>
                <w:bCs/>
                <w:color w:val="3A3838"/>
                <w:sz w:val="22"/>
                <w:szCs w:val="22"/>
                <w:lang w:eastAsia="es-CR"/>
              </w:rPr>
              <w:t>Requerimiento total</w:t>
            </w:r>
          </w:p>
        </w:tc>
        <w:tc>
          <w:tcPr>
            <w:tcW w:w="892" w:type="dxa"/>
            <w:tcBorders>
              <w:top w:val="single" w:sz="8" w:space="0" w:color="E7E6E6"/>
              <w:left w:val="nil"/>
              <w:bottom w:val="single" w:sz="8" w:space="0" w:color="E7E6E6"/>
              <w:right w:val="single" w:sz="8" w:space="0" w:color="E7E6E6"/>
            </w:tcBorders>
            <w:shd w:val="clear" w:color="000000" w:fill="DEEAF6"/>
            <w:vAlign w:val="center"/>
            <w:hideMark/>
          </w:tcPr>
          <w:p w14:paraId="1F4D4CA1"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44</w:t>
            </w:r>
          </w:p>
        </w:tc>
        <w:tc>
          <w:tcPr>
            <w:tcW w:w="1701" w:type="dxa"/>
            <w:tcBorders>
              <w:top w:val="nil"/>
              <w:left w:val="nil"/>
              <w:bottom w:val="single" w:sz="8" w:space="0" w:color="E7E6E6"/>
              <w:right w:val="single" w:sz="8" w:space="0" w:color="E7E6E6"/>
            </w:tcBorders>
            <w:shd w:val="clear" w:color="000000" w:fill="DEEAF6"/>
            <w:vAlign w:val="center"/>
            <w:hideMark/>
          </w:tcPr>
          <w:p w14:paraId="7381797A" w14:textId="77777777" w:rsidR="00B15F7D" w:rsidRPr="00990FB6" w:rsidRDefault="00B15F7D" w:rsidP="00B15F7D">
            <w:pPr>
              <w:jc w:val="right"/>
              <w:rPr>
                <w:b/>
                <w:bCs/>
                <w:color w:val="3A3838"/>
                <w:sz w:val="22"/>
                <w:szCs w:val="22"/>
                <w:lang w:eastAsia="es-CR"/>
              </w:rPr>
            </w:pPr>
            <w:r w:rsidRPr="00990FB6">
              <w:rPr>
                <w:b/>
                <w:bCs/>
                <w:color w:val="3A3838"/>
                <w:sz w:val="22"/>
                <w:szCs w:val="22"/>
                <w:lang w:eastAsia="es-CR"/>
              </w:rPr>
              <w:t xml:space="preserve"> ₡ 1 685 173 000,00 </w:t>
            </w:r>
          </w:p>
        </w:tc>
        <w:tc>
          <w:tcPr>
            <w:tcW w:w="1276" w:type="dxa"/>
            <w:tcBorders>
              <w:top w:val="nil"/>
              <w:left w:val="nil"/>
              <w:bottom w:val="single" w:sz="8" w:space="0" w:color="E7E6E6"/>
              <w:right w:val="single" w:sz="8" w:space="0" w:color="E7E6E6"/>
            </w:tcBorders>
            <w:shd w:val="clear" w:color="000000" w:fill="DEEAF6"/>
            <w:vAlign w:val="center"/>
            <w:hideMark/>
          </w:tcPr>
          <w:p w14:paraId="491E37FA" w14:textId="77777777" w:rsidR="00B15F7D" w:rsidRPr="00990FB6" w:rsidRDefault="00B15F7D" w:rsidP="00B15F7D">
            <w:pPr>
              <w:jc w:val="center"/>
              <w:rPr>
                <w:b/>
                <w:bCs/>
                <w:color w:val="3A3838"/>
                <w:sz w:val="22"/>
                <w:szCs w:val="22"/>
                <w:lang w:eastAsia="es-CR"/>
              </w:rPr>
            </w:pPr>
            <w:r w:rsidRPr="00990FB6">
              <w:rPr>
                <w:color w:val="000000"/>
                <w:sz w:val="22"/>
                <w:szCs w:val="22"/>
                <w:lang w:eastAsia="es-CR"/>
              </w:rPr>
              <w:t>₡  -</w:t>
            </w:r>
          </w:p>
        </w:tc>
        <w:tc>
          <w:tcPr>
            <w:tcW w:w="1559" w:type="dxa"/>
            <w:tcBorders>
              <w:top w:val="single" w:sz="8" w:space="0" w:color="E7E6E6"/>
              <w:left w:val="nil"/>
              <w:bottom w:val="single" w:sz="8" w:space="0" w:color="E7E6E6"/>
              <w:right w:val="single" w:sz="8" w:space="0" w:color="E7E6E6"/>
            </w:tcBorders>
            <w:shd w:val="clear" w:color="000000" w:fill="DEEAF6"/>
            <w:vAlign w:val="center"/>
            <w:hideMark/>
          </w:tcPr>
          <w:p w14:paraId="27565900"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xml:space="preserve"> ₡ 1 685 173 000,00 </w:t>
            </w:r>
          </w:p>
        </w:tc>
      </w:tr>
    </w:tbl>
    <w:p w14:paraId="5B7E5A1A" w14:textId="77777777" w:rsidR="00B15F7D" w:rsidRPr="00990FB6" w:rsidRDefault="00B15F7D" w:rsidP="00B15F7D">
      <w:pPr>
        <w:jc w:val="both"/>
        <w:rPr>
          <w:snapToGrid w:val="0"/>
          <w:sz w:val="22"/>
          <w:szCs w:val="22"/>
        </w:rPr>
      </w:pPr>
      <w:r w:rsidRPr="00990FB6">
        <w:rPr>
          <w:b/>
          <w:bCs/>
          <w:snapToGrid w:val="0"/>
          <w:sz w:val="22"/>
          <w:szCs w:val="22"/>
        </w:rPr>
        <w:t>Fuente:</w:t>
      </w:r>
      <w:r w:rsidRPr="00990FB6">
        <w:rPr>
          <w:snapToGrid w:val="0"/>
          <w:sz w:val="22"/>
          <w:szCs w:val="22"/>
        </w:rPr>
        <w:t xml:space="preserve"> elaboración propia.</w:t>
      </w:r>
    </w:p>
    <w:p w14:paraId="195381FF" w14:textId="77777777" w:rsidR="00B15F7D" w:rsidRPr="00990FB6" w:rsidRDefault="00B15F7D" w:rsidP="00B15F7D">
      <w:pPr>
        <w:jc w:val="both"/>
        <w:rPr>
          <w:snapToGrid w:val="0"/>
          <w:sz w:val="22"/>
          <w:szCs w:val="22"/>
        </w:rPr>
      </w:pPr>
    </w:p>
    <w:p w14:paraId="33AED25A" w14:textId="77777777" w:rsidR="00B15F7D" w:rsidRPr="00990FB6" w:rsidRDefault="00B15F7D" w:rsidP="00B15F7D">
      <w:pPr>
        <w:ind w:left="851" w:right="851" w:firstLine="709"/>
        <w:jc w:val="both"/>
        <w:rPr>
          <w:snapToGrid w:val="0"/>
          <w:sz w:val="22"/>
          <w:szCs w:val="22"/>
        </w:rPr>
      </w:pPr>
      <w:r w:rsidRPr="00990FB6">
        <w:rPr>
          <w:snapToGrid w:val="0"/>
          <w:sz w:val="22"/>
          <w:szCs w:val="22"/>
        </w:rPr>
        <w:t>Para el costo total del requerimiento para el escenario #1, considera únicamente el costo de recurso humano ₡ 1 685 173 000,00, debido a que actualmente esta necesidad ha sido cubierta por medio de permisos con goce de salario, por lo que el personal ya cuenta con su mobiliario y equipo de cómputo y no es necesario incluir este costo variable en el escenario 1.</w:t>
      </w:r>
    </w:p>
    <w:p w14:paraId="54C8A1CF" w14:textId="77777777" w:rsidR="00B15F7D" w:rsidRPr="00990FB6" w:rsidRDefault="00B15F7D" w:rsidP="00B15F7D">
      <w:pPr>
        <w:ind w:left="851" w:right="851" w:firstLine="709"/>
        <w:jc w:val="both"/>
        <w:rPr>
          <w:snapToGrid w:val="0"/>
          <w:sz w:val="22"/>
          <w:szCs w:val="22"/>
        </w:rPr>
      </w:pPr>
    </w:p>
    <w:p w14:paraId="2FF4573E" w14:textId="77777777" w:rsidR="00B15F7D" w:rsidRPr="00990FB6" w:rsidRDefault="00B15F7D" w:rsidP="00B15F7D">
      <w:pPr>
        <w:ind w:left="851" w:right="851" w:firstLine="709"/>
        <w:jc w:val="both"/>
        <w:rPr>
          <w:snapToGrid w:val="0"/>
          <w:sz w:val="22"/>
          <w:szCs w:val="22"/>
        </w:rPr>
      </w:pPr>
      <w:r w:rsidRPr="00990FB6">
        <w:rPr>
          <w:snapToGrid w:val="0"/>
          <w:sz w:val="22"/>
          <w:szCs w:val="22"/>
        </w:rPr>
        <w:t>Escenario 2, estructuras básicas nacional</w:t>
      </w:r>
    </w:p>
    <w:p w14:paraId="4BC3C595" w14:textId="77777777" w:rsidR="00B15F7D" w:rsidRPr="00990FB6" w:rsidRDefault="00B15F7D" w:rsidP="00B15F7D">
      <w:pPr>
        <w:ind w:left="851" w:right="851" w:firstLine="709"/>
        <w:jc w:val="both"/>
        <w:rPr>
          <w:snapToGrid w:val="0"/>
          <w:sz w:val="22"/>
          <w:szCs w:val="22"/>
        </w:rPr>
      </w:pPr>
    </w:p>
    <w:p w14:paraId="307FB9B9" w14:textId="77777777" w:rsidR="00B15F7D" w:rsidRPr="00990FB6" w:rsidRDefault="00B15F7D" w:rsidP="00B15F7D">
      <w:pPr>
        <w:ind w:left="851" w:right="851" w:firstLine="709"/>
        <w:jc w:val="both"/>
        <w:rPr>
          <w:snapToGrid w:val="0"/>
          <w:sz w:val="22"/>
          <w:szCs w:val="22"/>
        </w:rPr>
      </w:pPr>
      <w:r w:rsidRPr="00990FB6">
        <w:rPr>
          <w:snapToGrid w:val="0"/>
          <w:sz w:val="22"/>
          <w:szCs w:val="22"/>
        </w:rPr>
        <w:t>Para el siguiente escenario se tomó como insumo los requerimientos humanos planteados como ideales en los tres informes; 270-PLA-RH-MI(PL)-2023, 271-PLA-RH-MI(PL)-2023, 273-PLA-RH-MI(PL)-2023 y se modificó en aras de contemplar la creación de equipos de trabajo integrales, según la asignación de secciones colegiadas y unipersonales en los Tribunales Penales, es decir que al analizar el requerimiento humano de manera integral, se determinó la necesidad de creación de nuevas plazas en el ámbito auxiliar de justicia que no habían sido contempladas en los primeros informes, esto con la finalizad de completar los diferentes equipos de trabajo de manera integral.</w:t>
      </w:r>
    </w:p>
    <w:p w14:paraId="2F04CAD2" w14:textId="77777777" w:rsidR="00B15F7D" w:rsidRPr="00990FB6" w:rsidRDefault="00B15F7D" w:rsidP="00B15F7D">
      <w:pPr>
        <w:ind w:left="851" w:right="851" w:firstLine="709"/>
        <w:jc w:val="both"/>
        <w:rPr>
          <w:snapToGrid w:val="0"/>
          <w:sz w:val="22"/>
          <w:szCs w:val="22"/>
        </w:rPr>
      </w:pPr>
    </w:p>
    <w:p w14:paraId="65E5A13F" w14:textId="77777777" w:rsidR="00B15F7D" w:rsidRPr="00990FB6" w:rsidRDefault="00B15F7D" w:rsidP="00B15F7D">
      <w:pPr>
        <w:ind w:left="851" w:right="851" w:firstLine="709"/>
        <w:jc w:val="both"/>
        <w:rPr>
          <w:snapToGrid w:val="0"/>
          <w:sz w:val="22"/>
          <w:szCs w:val="22"/>
        </w:rPr>
      </w:pPr>
      <w:r w:rsidRPr="00990FB6">
        <w:rPr>
          <w:snapToGrid w:val="0"/>
          <w:sz w:val="22"/>
          <w:szCs w:val="22"/>
        </w:rPr>
        <w:t xml:space="preserve">Debido a lo anterior y con la finalidad de mantener un costo similar al presentado en los tres informes, el siguiente escenario mínimo considera </w:t>
      </w:r>
      <w:r w:rsidRPr="00990FB6">
        <w:rPr>
          <w:snapToGrid w:val="0"/>
          <w:sz w:val="22"/>
          <w:szCs w:val="22"/>
        </w:rPr>
        <w:lastRenderedPageBreak/>
        <w:t>únicamente las necesidades vinculadas a la atención de los asuntos penales en la etapa de juicio, es decir Tribunales Penales, Ministerio Público, Defensa Pública y Organismo de Investigación Judicial, por lo tanto no se consideraron necesidades en este escenario de la etapa intermedia (Juzgados Penal) y etapa de ejecución (Juzgados de Ejecución de la Pena), debido a que se consideró que la criticidad y cuellos de botella de la materia penal se concentra en los tribunales de juicio.</w:t>
      </w:r>
    </w:p>
    <w:p w14:paraId="3567C840" w14:textId="77777777" w:rsidR="00B15F7D" w:rsidRPr="00990FB6" w:rsidRDefault="00B15F7D" w:rsidP="00B15F7D">
      <w:pPr>
        <w:jc w:val="both"/>
        <w:rPr>
          <w:snapToGrid w:val="0"/>
          <w:sz w:val="22"/>
          <w:szCs w:val="22"/>
        </w:rPr>
      </w:pPr>
    </w:p>
    <w:p w14:paraId="697A1B56"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3</w:t>
      </w:r>
      <w:r w:rsidRPr="00990FB6">
        <w:rPr>
          <w:rFonts w:eastAsia="Calibri"/>
          <w:i/>
          <w:iCs/>
          <w:sz w:val="22"/>
          <w:szCs w:val="22"/>
          <w:lang w:eastAsia="en-US"/>
        </w:rPr>
        <w:fldChar w:fldCharType="end"/>
      </w:r>
    </w:p>
    <w:p w14:paraId="0C779527"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Escenario 2, estructura básica nacional, requerimiento de recurso humano para los Tribunales Penales, Fiscalía, Defensa y OIJ del país</w:t>
      </w:r>
    </w:p>
    <w:p w14:paraId="62A1A3A7" w14:textId="77777777" w:rsidR="00B15F7D" w:rsidRPr="00990FB6" w:rsidRDefault="00B15F7D" w:rsidP="00B15F7D">
      <w:pPr>
        <w:jc w:val="center"/>
        <w:rPr>
          <w:rFonts w:eastAsia="Calibri"/>
          <w:b/>
          <w:bCs/>
          <w:sz w:val="22"/>
          <w:szCs w:val="22"/>
        </w:rPr>
      </w:pPr>
    </w:p>
    <w:tbl>
      <w:tblPr>
        <w:tblW w:w="8040" w:type="dxa"/>
        <w:tblCellMar>
          <w:left w:w="70" w:type="dxa"/>
          <w:right w:w="70" w:type="dxa"/>
        </w:tblCellMar>
        <w:tblLook w:val="04A0" w:firstRow="1" w:lastRow="0" w:firstColumn="1" w:lastColumn="0" w:noHBand="0" w:noVBand="1"/>
      </w:tblPr>
      <w:tblGrid>
        <w:gridCol w:w="1179"/>
        <w:gridCol w:w="920"/>
        <w:gridCol w:w="918"/>
        <w:gridCol w:w="1160"/>
        <w:gridCol w:w="642"/>
        <w:gridCol w:w="1167"/>
        <w:gridCol w:w="905"/>
        <w:gridCol w:w="507"/>
        <w:gridCol w:w="642"/>
      </w:tblGrid>
      <w:tr w:rsidR="00B15F7D" w:rsidRPr="00990FB6" w14:paraId="76869011" w14:textId="77777777" w:rsidTr="000A0C22">
        <w:trPr>
          <w:trHeight w:val="330"/>
        </w:trPr>
        <w:tc>
          <w:tcPr>
            <w:tcW w:w="1180" w:type="dxa"/>
            <w:vMerge w:val="restart"/>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6E10172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Despacho</w:t>
            </w:r>
          </w:p>
        </w:tc>
        <w:tc>
          <w:tcPr>
            <w:tcW w:w="3640" w:type="dxa"/>
            <w:gridSpan w:val="4"/>
            <w:tcBorders>
              <w:top w:val="single" w:sz="8" w:space="0" w:color="E7E6E6"/>
              <w:left w:val="nil"/>
              <w:bottom w:val="single" w:sz="12" w:space="0" w:color="E7E6E6"/>
              <w:right w:val="single" w:sz="8" w:space="0" w:color="E7E6E6"/>
            </w:tcBorders>
            <w:shd w:val="clear" w:color="000000" w:fill="5B9BD5"/>
            <w:noWrap/>
            <w:vAlign w:val="center"/>
            <w:hideMark/>
          </w:tcPr>
          <w:p w14:paraId="7A54488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REQUERIMIENTO ÁMBITO JURISDICCIONAL</w:t>
            </w:r>
          </w:p>
        </w:tc>
        <w:tc>
          <w:tcPr>
            <w:tcW w:w="3220" w:type="dxa"/>
            <w:gridSpan w:val="4"/>
            <w:tcBorders>
              <w:top w:val="single" w:sz="8" w:space="0" w:color="E7E6E6"/>
              <w:left w:val="nil"/>
              <w:bottom w:val="single" w:sz="12" w:space="0" w:color="E7E6E6"/>
              <w:right w:val="single" w:sz="8" w:space="0" w:color="E7E6E6"/>
            </w:tcBorders>
            <w:shd w:val="clear" w:color="000000" w:fill="C65911"/>
            <w:noWrap/>
            <w:vAlign w:val="center"/>
            <w:hideMark/>
          </w:tcPr>
          <w:p w14:paraId="0E6FEA92"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REQUERIMIENTO ÁMBITO AUXILIAR DE JUSTICIA</w:t>
            </w:r>
          </w:p>
        </w:tc>
      </w:tr>
      <w:tr w:rsidR="00B15F7D" w:rsidRPr="00990FB6" w14:paraId="123CAF5C" w14:textId="77777777" w:rsidTr="000A0C22">
        <w:trPr>
          <w:trHeight w:val="660"/>
        </w:trPr>
        <w:tc>
          <w:tcPr>
            <w:tcW w:w="1180" w:type="dxa"/>
            <w:vMerge/>
            <w:tcBorders>
              <w:top w:val="single" w:sz="8" w:space="0" w:color="E7E6E6"/>
              <w:left w:val="single" w:sz="8" w:space="0" w:color="E7E6E6"/>
              <w:bottom w:val="single" w:sz="8" w:space="0" w:color="E7E6E6"/>
              <w:right w:val="single" w:sz="8" w:space="0" w:color="E7E6E6"/>
            </w:tcBorders>
            <w:vAlign w:val="center"/>
            <w:hideMark/>
          </w:tcPr>
          <w:p w14:paraId="2351E2C0" w14:textId="77777777" w:rsidR="00B15F7D" w:rsidRPr="00990FB6" w:rsidRDefault="00B15F7D" w:rsidP="00B15F7D">
            <w:pPr>
              <w:suppressAutoHyphens w:val="0"/>
              <w:rPr>
                <w:b/>
                <w:bCs/>
                <w:color w:val="FFFFFF"/>
                <w:sz w:val="22"/>
                <w:szCs w:val="22"/>
                <w:lang w:val="es-CR" w:eastAsia="es-CR"/>
              </w:rPr>
            </w:pPr>
          </w:p>
        </w:tc>
        <w:tc>
          <w:tcPr>
            <w:tcW w:w="920" w:type="dxa"/>
            <w:tcBorders>
              <w:top w:val="nil"/>
              <w:left w:val="nil"/>
              <w:bottom w:val="nil"/>
              <w:right w:val="single" w:sz="8" w:space="0" w:color="E7E6E6"/>
            </w:tcBorders>
            <w:shd w:val="clear" w:color="000000" w:fill="305496"/>
            <w:vAlign w:val="center"/>
            <w:hideMark/>
          </w:tcPr>
          <w:p w14:paraId="17749BEC"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Juez/a 4</w:t>
            </w:r>
          </w:p>
        </w:tc>
        <w:tc>
          <w:tcPr>
            <w:tcW w:w="920" w:type="dxa"/>
            <w:tcBorders>
              <w:top w:val="nil"/>
              <w:left w:val="nil"/>
              <w:bottom w:val="nil"/>
              <w:right w:val="single" w:sz="8" w:space="0" w:color="E7E6E6"/>
            </w:tcBorders>
            <w:shd w:val="clear" w:color="000000" w:fill="305496"/>
            <w:vAlign w:val="center"/>
            <w:hideMark/>
          </w:tcPr>
          <w:p w14:paraId="6F8E5AB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Juez/a 1</w:t>
            </w:r>
          </w:p>
        </w:tc>
        <w:tc>
          <w:tcPr>
            <w:tcW w:w="1160" w:type="dxa"/>
            <w:tcBorders>
              <w:top w:val="nil"/>
              <w:left w:val="nil"/>
              <w:bottom w:val="nil"/>
              <w:right w:val="single" w:sz="8" w:space="0" w:color="E7E6E6"/>
            </w:tcBorders>
            <w:shd w:val="clear" w:color="000000" w:fill="305496"/>
            <w:vAlign w:val="center"/>
            <w:hideMark/>
          </w:tcPr>
          <w:p w14:paraId="433BF2BB"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Técnico(a) Judicial 3</w:t>
            </w:r>
          </w:p>
        </w:tc>
        <w:tc>
          <w:tcPr>
            <w:tcW w:w="640" w:type="dxa"/>
            <w:tcBorders>
              <w:top w:val="nil"/>
              <w:left w:val="nil"/>
              <w:bottom w:val="nil"/>
              <w:right w:val="single" w:sz="12" w:space="0" w:color="E7E6E6"/>
            </w:tcBorders>
            <w:shd w:val="clear" w:color="000000" w:fill="548235"/>
            <w:vAlign w:val="center"/>
            <w:hideMark/>
          </w:tcPr>
          <w:p w14:paraId="6DDBC354"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Total</w:t>
            </w:r>
          </w:p>
        </w:tc>
        <w:tc>
          <w:tcPr>
            <w:tcW w:w="1160" w:type="dxa"/>
            <w:tcBorders>
              <w:top w:val="nil"/>
              <w:left w:val="nil"/>
              <w:bottom w:val="single" w:sz="12" w:space="0" w:color="D4D4D4"/>
              <w:right w:val="single" w:sz="8" w:space="0" w:color="E7E6E6"/>
            </w:tcBorders>
            <w:shd w:val="clear" w:color="000000" w:fill="305496"/>
            <w:vAlign w:val="center"/>
            <w:hideMark/>
          </w:tcPr>
          <w:p w14:paraId="22E14DB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Defensores públicos</w:t>
            </w:r>
          </w:p>
        </w:tc>
        <w:tc>
          <w:tcPr>
            <w:tcW w:w="920" w:type="dxa"/>
            <w:tcBorders>
              <w:top w:val="nil"/>
              <w:left w:val="nil"/>
              <w:bottom w:val="single" w:sz="12" w:space="0" w:color="D4D4D4"/>
              <w:right w:val="single" w:sz="8" w:space="0" w:color="E7E6E6"/>
            </w:tcBorders>
            <w:shd w:val="clear" w:color="000000" w:fill="305496"/>
            <w:vAlign w:val="center"/>
            <w:hideMark/>
          </w:tcPr>
          <w:p w14:paraId="386F94B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Fiscales</w:t>
            </w:r>
          </w:p>
        </w:tc>
        <w:tc>
          <w:tcPr>
            <w:tcW w:w="500" w:type="dxa"/>
            <w:tcBorders>
              <w:top w:val="nil"/>
              <w:left w:val="nil"/>
              <w:bottom w:val="single" w:sz="12" w:space="0" w:color="D4D4D4"/>
              <w:right w:val="single" w:sz="8" w:space="0" w:color="E7E6E6"/>
            </w:tcBorders>
            <w:shd w:val="clear" w:color="000000" w:fill="305496"/>
            <w:vAlign w:val="center"/>
            <w:hideMark/>
          </w:tcPr>
          <w:p w14:paraId="2BA9EB08"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OIJ</w:t>
            </w:r>
          </w:p>
        </w:tc>
        <w:tc>
          <w:tcPr>
            <w:tcW w:w="640" w:type="dxa"/>
            <w:tcBorders>
              <w:top w:val="nil"/>
              <w:left w:val="nil"/>
              <w:bottom w:val="single" w:sz="12" w:space="0" w:color="D4D4D4"/>
              <w:right w:val="single" w:sz="12" w:space="0" w:color="E7E6E6"/>
            </w:tcBorders>
            <w:shd w:val="clear" w:color="000000" w:fill="548235"/>
            <w:vAlign w:val="center"/>
            <w:hideMark/>
          </w:tcPr>
          <w:p w14:paraId="30AA599D"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Total</w:t>
            </w:r>
          </w:p>
        </w:tc>
      </w:tr>
      <w:tr w:rsidR="00B15F7D" w:rsidRPr="00990FB6" w14:paraId="3100AE12" w14:textId="77777777" w:rsidTr="000A0C22">
        <w:trPr>
          <w:trHeight w:val="97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3D200F4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Quepos</w:t>
            </w:r>
          </w:p>
        </w:tc>
        <w:tc>
          <w:tcPr>
            <w:tcW w:w="920" w:type="dxa"/>
            <w:tcBorders>
              <w:top w:val="single" w:sz="12" w:space="0" w:color="D4D4D4"/>
              <w:left w:val="nil"/>
              <w:bottom w:val="single" w:sz="8" w:space="0" w:color="D4D4D4"/>
              <w:right w:val="single" w:sz="8" w:space="0" w:color="D4D4D4"/>
            </w:tcBorders>
            <w:shd w:val="clear" w:color="auto" w:fill="auto"/>
            <w:vAlign w:val="center"/>
            <w:hideMark/>
          </w:tcPr>
          <w:p w14:paraId="11F7BD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single" w:sz="12" w:space="0" w:color="D4D4D4"/>
              <w:left w:val="nil"/>
              <w:bottom w:val="single" w:sz="8" w:space="0" w:color="D4D4D4"/>
              <w:right w:val="single" w:sz="8" w:space="0" w:color="D4D4D4"/>
            </w:tcBorders>
            <w:shd w:val="clear" w:color="auto" w:fill="auto"/>
            <w:vAlign w:val="center"/>
            <w:hideMark/>
          </w:tcPr>
          <w:p w14:paraId="6824875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single" w:sz="12" w:space="0" w:color="D4D4D4"/>
              <w:left w:val="nil"/>
              <w:bottom w:val="single" w:sz="8" w:space="0" w:color="D4D4D4"/>
              <w:right w:val="single" w:sz="8" w:space="0" w:color="D4D4D4"/>
            </w:tcBorders>
            <w:shd w:val="clear" w:color="auto" w:fill="auto"/>
            <w:vAlign w:val="center"/>
            <w:hideMark/>
          </w:tcPr>
          <w:p w14:paraId="5C68B9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single" w:sz="12" w:space="0" w:color="D4D4D4"/>
              <w:left w:val="nil"/>
              <w:bottom w:val="single" w:sz="8" w:space="0" w:color="D4D4D4"/>
              <w:right w:val="single" w:sz="12" w:space="0" w:color="D4D4D4"/>
            </w:tcBorders>
            <w:shd w:val="clear" w:color="auto" w:fill="auto"/>
            <w:vAlign w:val="center"/>
            <w:hideMark/>
          </w:tcPr>
          <w:p w14:paraId="38A0188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1160" w:type="dxa"/>
            <w:tcBorders>
              <w:top w:val="nil"/>
              <w:left w:val="nil"/>
              <w:bottom w:val="single" w:sz="8" w:space="0" w:color="D4D4D4"/>
              <w:right w:val="single" w:sz="8" w:space="0" w:color="D4D4D4"/>
            </w:tcBorders>
            <w:shd w:val="clear" w:color="auto" w:fill="auto"/>
            <w:vAlign w:val="center"/>
            <w:hideMark/>
          </w:tcPr>
          <w:p w14:paraId="70D97D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62B7747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32FC0DF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0AB0859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7129EFD0"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0222AA5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Sarapiquí</w:t>
            </w:r>
          </w:p>
        </w:tc>
        <w:tc>
          <w:tcPr>
            <w:tcW w:w="920" w:type="dxa"/>
            <w:tcBorders>
              <w:top w:val="nil"/>
              <w:left w:val="nil"/>
              <w:bottom w:val="single" w:sz="8" w:space="0" w:color="D4D4D4"/>
              <w:right w:val="single" w:sz="8" w:space="0" w:color="D4D4D4"/>
            </w:tcBorders>
            <w:shd w:val="clear" w:color="auto" w:fill="auto"/>
            <w:vAlign w:val="center"/>
            <w:hideMark/>
          </w:tcPr>
          <w:p w14:paraId="06ED1E6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920" w:type="dxa"/>
            <w:tcBorders>
              <w:top w:val="nil"/>
              <w:left w:val="nil"/>
              <w:bottom w:val="single" w:sz="8" w:space="0" w:color="D4D4D4"/>
              <w:right w:val="single" w:sz="8" w:space="0" w:color="D4D4D4"/>
            </w:tcBorders>
            <w:shd w:val="clear" w:color="auto" w:fill="auto"/>
            <w:vAlign w:val="center"/>
            <w:hideMark/>
          </w:tcPr>
          <w:p w14:paraId="51B5012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27F9556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34E15B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1160" w:type="dxa"/>
            <w:tcBorders>
              <w:top w:val="nil"/>
              <w:left w:val="nil"/>
              <w:bottom w:val="single" w:sz="8" w:space="0" w:color="D4D4D4"/>
              <w:right w:val="single" w:sz="8" w:space="0" w:color="D4D4D4"/>
            </w:tcBorders>
            <w:shd w:val="clear" w:color="auto" w:fill="auto"/>
            <w:vAlign w:val="center"/>
            <w:hideMark/>
          </w:tcPr>
          <w:p w14:paraId="05A45B1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0D471E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7C6FC75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673ED97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r>
      <w:tr w:rsidR="00B15F7D" w:rsidRPr="00990FB6" w14:paraId="75352FF9"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70E1FE3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Siquirres</w:t>
            </w:r>
          </w:p>
        </w:tc>
        <w:tc>
          <w:tcPr>
            <w:tcW w:w="920" w:type="dxa"/>
            <w:tcBorders>
              <w:top w:val="nil"/>
              <w:left w:val="nil"/>
              <w:bottom w:val="single" w:sz="8" w:space="0" w:color="D4D4D4"/>
              <w:right w:val="single" w:sz="8" w:space="0" w:color="D4D4D4"/>
            </w:tcBorders>
            <w:shd w:val="clear" w:color="auto" w:fill="auto"/>
            <w:vAlign w:val="center"/>
            <w:hideMark/>
          </w:tcPr>
          <w:p w14:paraId="28E357C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920" w:type="dxa"/>
            <w:tcBorders>
              <w:top w:val="nil"/>
              <w:left w:val="nil"/>
              <w:bottom w:val="single" w:sz="8" w:space="0" w:color="D4D4D4"/>
              <w:right w:val="single" w:sz="8" w:space="0" w:color="D4D4D4"/>
            </w:tcBorders>
            <w:shd w:val="clear" w:color="auto" w:fill="auto"/>
            <w:vAlign w:val="center"/>
            <w:hideMark/>
          </w:tcPr>
          <w:p w14:paraId="34AB639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2E1903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10B6AF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1160" w:type="dxa"/>
            <w:tcBorders>
              <w:top w:val="nil"/>
              <w:left w:val="nil"/>
              <w:bottom w:val="single" w:sz="8" w:space="0" w:color="D4D4D4"/>
              <w:right w:val="single" w:sz="8" w:space="0" w:color="D4D4D4"/>
            </w:tcBorders>
            <w:shd w:val="clear" w:color="auto" w:fill="auto"/>
            <w:vAlign w:val="center"/>
            <w:hideMark/>
          </w:tcPr>
          <w:p w14:paraId="4B653C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05C7BF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5B1117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39CFD54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r>
      <w:tr w:rsidR="00B15F7D" w:rsidRPr="00990FB6" w14:paraId="149DA98C"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47E4BF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Turrialba</w:t>
            </w:r>
          </w:p>
        </w:tc>
        <w:tc>
          <w:tcPr>
            <w:tcW w:w="920" w:type="dxa"/>
            <w:tcBorders>
              <w:top w:val="nil"/>
              <w:left w:val="nil"/>
              <w:bottom w:val="single" w:sz="8" w:space="0" w:color="D4D4D4"/>
              <w:right w:val="single" w:sz="8" w:space="0" w:color="D4D4D4"/>
            </w:tcBorders>
            <w:shd w:val="clear" w:color="auto" w:fill="auto"/>
            <w:vAlign w:val="center"/>
            <w:hideMark/>
          </w:tcPr>
          <w:p w14:paraId="4C35C50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920" w:type="dxa"/>
            <w:tcBorders>
              <w:top w:val="nil"/>
              <w:left w:val="nil"/>
              <w:bottom w:val="single" w:sz="8" w:space="0" w:color="D4D4D4"/>
              <w:right w:val="single" w:sz="8" w:space="0" w:color="D4D4D4"/>
            </w:tcBorders>
            <w:shd w:val="clear" w:color="auto" w:fill="auto"/>
            <w:vAlign w:val="center"/>
            <w:hideMark/>
          </w:tcPr>
          <w:p w14:paraId="45D3BB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66DF9FB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BFF224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1160" w:type="dxa"/>
            <w:tcBorders>
              <w:top w:val="nil"/>
              <w:left w:val="nil"/>
              <w:bottom w:val="single" w:sz="8" w:space="0" w:color="D4D4D4"/>
              <w:right w:val="single" w:sz="8" w:space="0" w:color="D4D4D4"/>
            </w:tcBorders>
            <w:shd w:val="clear" w:color="auto" w:fill="auto"/>
            <w:vAlign w:val="center"/>
            <w:hideMark/>
          </w:tcPr>
          <w:p w14:paraId="75D2956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2ABA25D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424ACDD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4AC8CE4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r>
      <w:tr w:rsidR="00B15F7D" w:rsidRPr="00990FB6" w14:paraId="312D394E"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7F7E2517"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Cañas</w:t>
            </w:r>
          </w:p>
        </w:tc>
        <w:tc>
          <w:tcPr>
            <w:tcW w:w="920" w:type="dxa"/>
            <w:tcBorders>
              <w:top w:val="nil"/>
              <w:left w:val="nil"/>
              <w:bottom w:val="single" w:sz="8" w:space="0" w:color="D4D4D4"/>
              <w:right w:val="single" w:sz="8" w:space="0" w:color="D4D4D4"/>
            </w:tcBorders>
            <w:shd w:val="clear" w:color="auto" w:fill="auto"/>
            <w:vAlign w:val="center"/>
            <w:hideMark/>
          </w:tcPr>
          <w:p w14:paraId="2561DD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920" w:type="dxa"/>
            <w:tcBorders>
              <w:top w:val="nil"/>
              <w:left w:val="nil"/>
              <w:bottom w:val="single" w:sz="8" w:space="0" w:color="D4D4D4"/>
              <w:right w:val="single" w:sz="8" w:space="0" w:color="D4D4D4"/>
            </w:tcBorders>
            <w:shd w:val="clear" w:color="auto" w:fill="auto"/>
            <w:vAlign w:val="center"/>
            <w:hideMark/>
          </w:tcPr>
          <w:p w14:paraId="367241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5849EC3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6F77E4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1160" w:type="dxa"/>
            <w:tcBorders>
              <w:top w:val="nil"/>
              <w:left w:val="nil"/>
              <w:bottom w:val="single" w:sz="8" w:space="0" w:color="D4D4D4"/>
              <w:right w:val="single" w:sz="8" w:space="0" w:color="D4D4D4"/>
            </w:tcBorders>
            <w:shd w:val="clear" w:color="auto" w:fill="auto"/>
            <w:vAlign w:val="center"/>
            <w:hideMark/>
          </w:tcPr>
          <w:p w14:paraId="7FB344A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1B5D87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6E28A73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8A3DB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r>
      <w:tr w:rsidR="00B15F7D" w:rsidRPr="00990FB6" w14:paraId="50A057EF"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2EFC374F" w14:textId="77777777" w:rsidR="00B15F7D" w:rsidRPr="00990FB6" w:rsidRDefault="00B15F7D" w:rsidP="00B15F7D">
            <w:pPr>
              <w:suppressAutoHyphens w:val="0"/>
              <w:rPr>
                <w:color w:val="000000"/>
                <w:sz w:val="22"/>
                <w:szCs w:val="22"/>
                <w:lang w:val="pt-PT" w:eastAsia="es-CR"/>
              </w:rPr>
            </w:pPr>
            <w:r w:rsidRPr="00990FB6">
              <w:rPr>
                <w:color w:val="000000"/>
                <w:sz w:val="22"/>
                <w:szCs w:val="22"/>
                <w:lang w:val="pt-BR" w:eastAsia="es-CR"/>
              </w:rPr>
              <w:t>Tribuna Penal de Santa Cruz</w:t>
            </w:r>
          </w:p>
        </w:tc>
        <w:tc>
          <w:tcPr>
            <w:tcW w:w="920" w:type="dxa"/>
            <w:tcBorders>
              <w:top w:val="nil"/>
              <w:left w:val="nil"/>
              <w:bottom w:val="single" w:sz="8" w:space="0" w:color="D4D4D4"/>
              <w:right w:val="single" w:sz="8" w:space="0" w:color="D4D4D4"/>
            </w:tcBorders>
            <w:shd w:val="clear" w:color="auto" w:fill="auto"/>
            <w:vAlign w:val="center"/>
            <w:hideMark/>
          </w:tcPr>
          <w:p w14:paraId="1CE2A09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920" w:type="dxa"/>
            <w:tcBorders>
              <w:top w:val="nil"/>
              <w:left w:val="nil"/>
              <w:bottom w:val="single" w:sz="8" w:space="0" w:color="D4D4D4"/>
              <w:right w:val="single" w:sz="8" w:space="0" w:color="D4D4D4"/>
            </w:tcBorders>
            <w:shd w:val="clear" w:color="auto" w:fill="auto"/>
            <w:vAlign w:val="center"/>
            <w:hideMark/>
          </w:tcPr>
          <w:p w14:paraId="3D37F1B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263FBA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75D6A7B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1160" w:type="dxa"/>
            <w:tcBorders>
              <w:top w:val="nil"/>
              <w:left w:val="nil"/>
              <w:bottom w:val="single" w:sz="8" w:space="0" w:color="D4D4D4"/>
              <w:right w:val="single" w:sz="8" w:space="0" w:color="D4D4D4"/>
            </w:tcBorders>
            <w:shd w:val="clear" w:color="auto" w:fill="auto"/>
            <w:vAlign w:val="center"/>
            <w:hideMark/>
          </w:tcPr>
          <w:p w14:paraId="46EC0C7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68A7F37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0E3532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9CDA0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r>
      <w:tr w:rsidR="00B15F7D" w:rsidRPr="00990FB6" w14:paraId="500EEAC7"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325A410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Puntarenas</w:t>
            </w:r>
          </w:p>
        </w:tc>
        <w:tc>
          <w:tcPr>
            <w:tcW w:w="920" w:type="dxa"/>
            <w:tcBorders>
              <w:top w:val="nil"/>
              <w:left w:val="nil"/>
              <w:bottom w:val="single" w:sz="8" w:space="0" w:color="D4D4D4"/>
              <w:right w:val="single" w:sz="8" w:space="0" w:color="D4D4D4"/>
            </w:tcBorders>
            <w:shd w:val="clear" w:color="auto" w:fill="auto"/>
            <w:vAlign w:val="center"/>
            <w:hideMark/>
          </w:tcPr>
          <w:p w14:paraId="4B7D247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1AEC1C2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6EFFFB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6D5A6B9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1160" w:type="dxa"/>
            <w:tcBorders>
              <w:top w:val="nil"/>
              <w:left w:val="nil"/>
              <w:bottom w:val="single" w:sz="8" w:space="0" w:color="D4D4D4"/>
              <w:right w:val="single" w:sz="8" w:space="0" w:color="D4D4D4"/>
            </w:tcBorders>
            <w:shd w:val="clear" w:color="auto" w:fill="auto"/>
            <w:vAlign w:val="center"/>
            <w:hideMark/>
          </w:tcPr>
          <w:p w14:paraId="40DF174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498C4C3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2654C2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1CC516F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305B09C8"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6751C77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Liberia</w:t>
            </w:r>
          </w:p>
        </w:tc>
        <w:tc>
          <w:tcPr>
            <w:tcW w:w="920" w:type="dxa"/>
            <w:tcBorders>
              <w:top w:val="nil"/>
              <w:left w:val="nil"/>
              <w:bottom w:val="single" w:sz="8" w:space="0" w:color="D4D4D4"/>
              <w:right w:val="single" w:sz="8" w:space="0" w:color="D4D4D4"/>
            </w:tcBorders>
            <w:shd w:val="clear" w:color="auto" w:fill="auto"/>
            <w:vAlign w:val="center"/>
            <w:hideMark/>
          </w:tcPr>
          <w:p w14:paraId="475DB45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70DB2E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239816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1CAF815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1160" w:type="dxa"/>
            <w:tcBorders>
              <w:top w:val="nil"/>
              <w:left w:val="nil"/>
              <w:bottom w:val="single" w:sz="8" w:space="0" w:color="D4D4D4"/>
              <w:right w:val="single" w:sz="8" w:space="0" w:color="D4D4D4"/>
            </w:tcBorders>
            <w:shd w:val="clear" w:color="auto" w:fill="auto"/>
            <w:vAlign w:val="center"/>
            <w:hideMark/>
          </w:tcPr>
          <w:p w14:paraId="1401389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0DE531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2CAAE4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33110E3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r>
      <w:tr w:rsidR="00B15F7D" w:rsidRPr="00990FB6" w14:paraId="7A89B5D3"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2F93012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lastRenderedPageBreak/>
              <w:t xml:space="preserve">Tribunal Penal de Guápiles </w:t>
            </w:r>
          </w:p>
        </w:tc>
        <w:tc>
          <w:tcPr>
            <w:tcW w:w="920" w:type="dxa"/>
            <w:tcBorders>
              <w:top w:val="nil"/>
              <w:left w:val="nil"/>
              <w:bottom w:val="single" w:sz="8" w:space="0" w:color="D4D4D4"/>
              <w:right w:val="single" w:sz="8" w:space="0" w:color="D4D4D4"/>
            </w:tcBorders>
            <w:shd w:val="clear" w:color="auto" w:fill="auto"/>
            <w:vAlign w:val="center"/>
            <w:hideMark/>
          </w:tcPr>
          <w:p w14:paraId="35A09B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920" w:type="dxa"/>
            <w:tcBorders>
              <w:top w:val="nil"/>
              <w:left w:val="nil"/>
              <w:bottom w:val="single" w:sz="8" w:space="0" w:color="D4D4D4"/>
              <w:right w:val="single" w:sz="8" w:space="0" w:color="D4D4D4"/>
            </w:tcBorders>
            <w:shd w:val="clear" w:color="auto" w:fill="auto"/>
            <w:vAlign w:val="center"/>
            <w:hideMark/>
          </w:tcPr>
          <w:p w14:paraId="6D747F2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293F8CA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0603E2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1160" w:type="dxa"/>
            <w:tcBorders>
              <w:top w:val="nil"/>
              <w:left w:val="nil"/>
              <w:bottom w:val="single" w:sz="8" w:space="0" w:color="D4D4D4"/>
              <w:right w:val="single" w:sz="8" w:space="0" w:color="D4D4D4"/>
            </w:tcBorders>
            <w:shd w:val="clear" w:color="auto" w:fill="auto"/>
            <w:vAlign w:val="center"/>
            <w:hideMark/>
          </w:tcPr>
          <w:p w14:paraId="5E17D73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53A7A9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621AA1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32A4E24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r>
      <w:tr w:rsidR="00B15F7D" w:rsidRPr="00990FB6" w14:paraId="26C996D9"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0115F6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Limón</w:t>
            </w:r>
          </w:p>
        </w:tc>
        <w:tc>
          <w:tcPr>
            <w:tcW w:w="920" w:type="dxa"/>
            <w:tcBorders>
              <w:top w:val="nil"/>
              <w:left w:val="nil"/>
              <w:bottom w:val="single" w:sz="8" w:space="0" w:color="D4D4D4"/>
              <w:right w:val="single" w:sz="8" w:space="0" w:color="D4D4D4"/>
            </w:tcBorders>
            <w:shd w:val="clear" w:color="auto" w:fill="auto"/>
            <w:vAlign w:val="center"/>
            <w:hideMark/>
          </w:tcPr>
          <w:p w14:paraId="0585E71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7CFEE35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1160" w:type="dxa"/>
            <w:tcBorders>
              <w:top w:val="nil"/>
              <w:left w:val="nil"/>
              <w:bottom w:val="single" w:sz="8" w:space="0" w:color="D4D4D4"/>
              <w:right w:val="single" w:sz="8" w:space="0" w:color="D4D4D4"/>
            </w:tcBorders>
            <w:shd w:val="clear" w:color="auto" w:fill="auto"/>
            <w:vAlign w:val="center"/>
            <w:hideMark/>
          </w:tcPr>
          <w:p w14:paraId="5964BB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087BF18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c>
          <w:tcPr>
            <w:tcW w:w="1160" w:type="dxa"/>
            <w:tcBorders>
              <w:top w:val="nil"/>
              <w:left w:val="nil"/>
              <w:bottom w:val="single" w:sz="8" w:space="0" w:color="D4D4D4"/>
              <w:right w:val="single" w:sz="8" w:space="0" w:color="D4D4D4"/>
            </w:tcBorders>
            <w:shd w:val="clear" w:color="auto" w:fill="auto"/>
            <w:vAlign w:val="center"/>
            <w:hideMark/>
          </w:tcPr>
          <w:p w14:paraId="15EEAC8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005E808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4474A23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497EF6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602E3E65"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EACDA6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Pavas</w:t>
            </w:r>
          </w:p>
        </w:tc>
        <w:tc>
          <w:tcPr>
            <w:tcW w:w="920" w:type="dxa"/>
            <w:tcBorders>
              <w:top w:val="nil"/>
              <w:left w:val="nil"/>
              <w:bottom w:val="single" w:sz="8" w:space="0" w:color="D4D4D4"/>
              <w:right w:val="single" w:sz="8" w:space="0" w:color="D4D4D4"/>
            </w:tcBorders>
            <w:shd w:val="clear" w:color="auto" w:fill="auto"/>
            <w:vAlign w:val="center"/>
            <w:hideMark/>
          </w:tcPr>
          <w:p w14:paraId="6844480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1E8C633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0AC684E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640" w:type="dxa"/>
            <w:tcBorders>
              <w:top w:val="nil"/>
              <w:left w:val="nil"/>
              <w:bottom w:val="single" w:sz="8" w:space="0" w:color="D4D4D4"/>
              <w:right w:val="single" w:sz="12" w:space="0" w:color="D4D4D4"/>
            </w:tcBorders>
            <w:shd w:val="clear" w:color="auto" w:fill="auto"/>
            <w:vAlign w:val="center"/>
            <w:hideMark/>
          </w:tcPr>
          <w:p w14:paraId="7CE46E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6</w:t>
            </w:r>
          </w:p>
        </w:tc>
        <w:tc>
          <w:tcPr>
            <w:tcW w:w="1160" w:type="dxa"/>
            <w:tcBorders>
              <w:top w:val="nil"/>
              <w:left w:val="nil"/>
              <w:bottom w:val="single" w:sz="8" w:space="0" w:color="D4D4D4"/>
              <w:right w:val="single" w:sz="8" w:space="0" w:color="D4D4D4"/>
            </w:tcBorders>
            <w:shd w:val="clear" w:color="auto" w:fill="auto"/>
            <w:vAlign w:val="center"/>
            <w:hideMark/>
          </w:tcPr>
          <w:p w14:paraId="625EB90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66EDD06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4C6117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43DBBEA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r>
      <w:tr w:rsidR="00B15F7D" w:rsidRPr="00990FB6" w14:paraId="4ABB105C"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691CA33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Goicoechea</w:t>
            </w:r>
          </w:p>
        </w:tc>
        <w:tc>
          <w:tcPr>
            <w:tcW w:w="920" w:type="dxa"/>
            <w:tcBorders>
              <w:top w:val="nil"/>
              <w:left w:val="nil"/>
              <w:bottom w:val="single" w:sz="8" w:space="0" w:color="D4D4D4"/>
              <w:right w:val="single" w:sz="8" w:space="0" w:color="D4D4D4"/>
            </w:tcBorders>
            <w:shd w:val="clear" w:color="auto" w:fill="auto"/>
            <w:vAlign w:val="center"/>
            <w:hideMark/>
          </w:tcPr>
          <w:p w14:paraId="0AADB4B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44F9C9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1160" w:type="dxa"/>
            <w:tcBorders>
              <w:top w:val="nil"/>
              <w:left w:val="nil"/>
              <w:bottom w:val="single" w:sz="8" w:space="0" w:color="D4D4D4"/>
              <w:right w:val="single" w:sz="8" w:space="0" w:color="D4D4D4"/>
            </w:tcBorders>
            <w:shd w:val="clear" w:color="auto" w:fill="auto"/>
            <w:vAlign w:val="center"/>
            <w:hideMark/>
          </w:tcPr>
          <w:p w14:paraId="3DC6A0A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080E64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1160" w:type="dxa"/>
            <w:tcBorders>
              <w:top w:val="nil"/>
              <w:left w:val="nil"/>
              <w:bottom w:val="single" w:sz="8" w:space="0" w:color="D4D4D4"/>
              <w:right w:val="single" w:sz="8" w:space="0" w:color="D4D4D4"/>
            </w:tcBorders>
            <w:shd w:val="clear" w:color="auto" w:fill="auto"/>
            <w:vAlign w:val="center"/>
            <w:hideMark/>
          </w:tcPr>
          <w:p w14:paraId="2B36A01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69A98A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28415D0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E9AFBC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1B2FC273"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056F8373"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Heredia</w:t>
            </w:r>
          </w:p>
        </w:tc>
        <w:tc>
          <w:tcPr>
            <w:tcW w:w="920" w:type="dxa"/>
            <w:tcBorders>
              <w:top w:val="nil"/>
              <w:left w:val="nil"/>
              <w:bottom w:val="single" w:sz="8" w:space="0" w:color="D4D4D4"/>
              <w:right w:val="single" w:sz="8" w:space="0" w:color="D4D4D4"/>
            </w:tcBorders>
            <w:shd w:val="clear" w:color="auto" w:fill="auto"/>
            <w:vAlign w:val="center"/>
            <w:hideMark/>
          </w:tcPr>
          <w:p w14:paraId="2212871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3BD4DB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1160" w:type="dxa"/>
            <w:tcBorders>
              <w:top w:val="nil"/>
              <w:left w:val="nil"/>
              <w:bottom w:val="single" w:sz="8" w:space="0" w:color="D4D4D4"/>
              <w:right w:val="single" w:sz="8" w:space="0" w:color="D4D4D4"/>
            </w:tcBorders>
            <w:shd w:val="clear" w:color="auto" w:fill="auto"/>
            <w:vAlign w:val="center"/>
            <w:hideMark/>
          </w:tcPr>
          <w:p w14:paraId="70037F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640" w:type="dxa"/>
            <w:tcBorders>
              <w:top w:val="nil"/>
              <w:left w:val="nil"/>
              <w:bottom w:val="single" w:sz="8" w:space="0" w:color="D4D4D4"/>
              <w:right w:val="single" w:sz="12" w:space="0" w:color="D4D4D4"/>
            </w:tcBorders>
            <w:shd w:val="clear" w:color="auto" w:fill="auto"/>
            <w:vAlign w:val="center"/>
            <w:hideMark/>
          </w:tcPr>
          <w:p w14:paraId="514715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5</w:t>
            </w:r>
          </w:p>
        </w:tc>
        <w:tc>
          <w:tcPr>
            <w:tcW w:w="1160" w:type="dxa"/>
            <w:tcBorders>
              <w:top w:val="nil"/>
              <w:left w:val="nil"/>
              <w:bottom w:val="single" w:sz="8" w:space="0" w:color="D4D4D4"/>
              <w:right w:val="single" w:sz="8" w:space="0" w:color="D4D4D4"/>
            </w:tcBorders>
            <w:shd w:val="clear" w:color="auto" w:fill="auto"/>
            <w:vAlign w:val="center"/>
            <w:hideMark/>
          </w:tcPr>
          <w:p w14:paraId="2F0151E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60AFBB0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50A6A02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35BFE1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4</w:t>
            </w:r>
          </w:p>
        </w:tc>
      </w:tr>
      <w:tr w:rsidR="00B15F7D" w:rsidRPr="00990FB6" w14:paraId="53C79F4C"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243868E"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de Nicoya</w:t>
            </w:r>
          </w:p>
        </w:tc>
        <w:tc>
          <w:tcPr>
            <w:tcW w:w="920" w:type="dxa"/>
            <w:tcBorders>
              <w:top w:val="nil"/>
              <w:left w:val="nil"/>
              <w:bottom w:val="single" w:sz="8" w:space="0" w:color="D4D4D4"/>
              <w:right w:val="single" w:sz="8" w:space="0" w:color="D4D4D4"/>
            </w:tcBorders>
            <w:shd w:val="clear" w:color="auto" w:fill="auto"/>
            <w:vAlign w:val="center"/>
            <w:hideMark/>
          </w:tcPr>
          <w:p w14:paraId="438DA1B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2B81E92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1DA912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8FF550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1160" w:type="dxa"/>
            <w:tcBorders>
              <w:top w:val="nil"/>
              <w:left w:val="nil"/>
              <w:bottom w:val="single" w:sz="8" w:space="0" w:color="D4D4D4"/>
              <w:right w:val="single" w:sz="8" w:space="0" w:color="D4D4D4"/>
            </w:tcBorders>
            <w:shd w:val="clear" w:color="auto" w:fill="auto"/>
            <w:vAlign w:val="center"/>
            <w:hideMark/>
          </w:tcPr>
          <w:p w14:paraId="666E52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1639BF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5563FBA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77BAC9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r>
      <w:tr w:rsidR="00B15F7D" w:rsidRPr="00990FB6" w14:paraId="00006C7F" w14:textId="77777777" w:rsidTr="000A0C22">
        <w:trPr>
          <w:trHeight w:val="127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2C371AF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Sección de Flagrancia de San Ramón</w:t>
            </w:r>
          </w:p>
        </w:tc>
        <w:tc>
          <w:tcPr>
            <w:tcW w:w="920" w:type="dxa"/>
            <w:tcBorders>
              <w:top w:val="nil"/>
              <w:left w:val="nil"/>
              <w:bottom w:val="single" w:sz="8" w:space="0" w:color="D4D4D4"/>
              <w:right w:val="single" w:sz="8" w:space="0" w:color="D4D4D4"/>
            </w:tcBorders>
            <w:shd w:val="clear" w:color="auto" w:fill="auto"/>
            <w:vAlign w:val="center"/>
            <w:hideMark/>
          </w:tcPr>
          <w:p w14:paraId="59129FA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A843B7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7DE9FD9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640" w:type="dxa"/>
            <w:tcBorders>
              <w:top w:val="nil"/>
              <w:left w:val="nil"/>
              <w:bottom w:val="single" w:sz="8" w:space="0" w:color="D4D4D4"/>
              <w:right w:val="single" w:sz="12" w:space="0" w:color="D4D4D4"/>
            </w:tcBorders>
            <w:shd w:val="clear" w:color="auto" w:fill="auto"/>
            <w:vAlign w:val="center"/>
            <w:hideMark/>
          </w:tcPr>
          <w:p w14:paraId="14B3C23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1160" w:type="dxa"/>
            <w:tcBorders>
              <w:top w:val="nil"/>
              <w:left w:val="nil"/>
              <w:bottom w:val="single" w:sz="8" w:space="0" w:color="D4D4D4"/>
              <w:right w:val="single" w:sz="8" w:space="0" w:color="D4D4D4"/>
            </w:tcBorders>
            <w:shd w:val="clear" w:color="auto" w:fill="auto"/>
            <w:vAlign w:val="center"/>
            <w:hideMark/>
          </w:tcPr>
          <w:p w14:paraId="4F2E586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40031A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520A3C8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DC0296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r>
      <w:tr w:rsidR="00B15F7D" w:rsidRPr="00990FB6" w14:paraId="3BACA618"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2B4EFA2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 xml:space="preserve">Tribunal Penal de Alajuela </w:t>
            </w:r>
          </w:p>
        </w:tc>
        <w:tc>
          <w:tcPr>
            <w:tcW w:w="920" w:type="dxa"/>
            <w:tcBorders>
              <w:top w:val="nil"/>
              <w:left w:val="nil"/>
              <w:bottom w:val="single" w:sz="8" w:space="0" w:color="D4D4D4"/>
              <w:right w:val="single" w:sz="8" w:space="0" w:color="D4D4D4"/>
            </w:tcBorders>
            <w:shd w:val="clear" w:color="auto" w:fill="auto"/>
            <w:vAlign w:val="center"/>
            <w:hideMark/>
          </w:tcPr>
          <w:p w14:paraId="0FDFCF5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920" w:type="dxa"/>
            <w:tcBorders>
              <w:top w:val="nil"/>
              <w:left w:val="nil"/>
              <w:bottom w:val="single" w:sz="8" w:space="0" w:color="D4D4D4"/>
              <w:right w:val="single" w:sz="8" w:space="0" w:color="D4D4D4"/>
            </w:tcBorders>
            <w:shd w:val="clear" w:color="auto" w:fill="auto"/>
            <w:vAlign w:val="center"/>
            <w:hideMark/>
          </w:tcPr>
          <w:p w14:paraId="1820FE3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1160" w:type="dxa"/>
            <w:tcBorders>
              <w:top w:val="nil"/>
              <w:left w:val="nil"/>
              <w:bottom w:val="single" w:sz="8" w:space="0" w:color="D4D4D4"/>
              <w:right w:val="single" w:sz="8" w:space="0" w:color="D4D4D4"/>
            </w:tcBorders>
            <w:shd w:val="clear" w:color="auto" w:fill="auto"/>
            <w:vAlign w:val="center"/>
            <w:hideMark/>
          </w:tcPr>
          <w:p w14:paraId="44C548C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5F8557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6</w:t>
            </w:r>
          </w:p>
        </w:tc>
        <w:tc>
          <w:tcPr>
            <w:tcW w:w="1160" w:type="dxa"/>
            <w:tcBorders>
              <w:top w:val="nil"/>
              <w:left w:val="nil"/>
              <w:bottom w:val="single" w:sz="8" w:space="0" w:color="D4D4D4"/>
              <w:right w:val="single" w:sz="8" w:space="0" w:color="D4D4D4"/>
            </w:tcBorders>
            <w:shd w:val="clear" w:color="auto" w:fill="auto"/>
            <w:vAlign w:val="center"/>
            <w:hideMark/>
          </w:tcPr>
          <w:p w14:paraId="1973057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6CA617B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3AE8FE7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177697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16614E46"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696CB20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Cartago</w:t>
            </w:r>
          </w:p>
        </w:tc>
        <w:tc>
          <w:tcPr>
            <w:tcW w:w="920" w:type="dxa"/>
            <w:tcBorders>
              <w:top w:val="nil"/>
              <w:left w:val="nil"/>
              <w:bottom w:val="single" w:sz="8" w:space="0" w:color="D4D4D4"/>
              <w:right w:val="single" w:sz="8" w:space="0" w:color="D4D4D4"/>
            </w:tcBorders>
            <w:shd w:val="clear" w:color="auto" w:fill="auto"/>
            <w:vAlign w:val="center"/>
            <w:hideMark/>
          </w:tcPr>
          <w:p w14:paraId="09F658B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4AB6115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5C4EF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2F13D6D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1160" w:type="dxa"/>
            <w:tcBorders>
              <w:top w:val="nil"/>
              <w:left w:val="nil"/>
              <w:bottom w:val="single" w:sz="8" w:space="0" w:color="D4D4D4"/>
              <w:right w:val="single" w:sz="8" w:space="0" w:color="D4D4D4"/>
            </w:tcBorders>
            <w:shd w:val="clear" w:color="auto" w:fill="auto"/>
            <w:vAlign w:val="center"/>
            <w:hideMark/>
          </w:tcPr>
          <w:p w14:paraId="2726898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0C77684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5BE70F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4A39619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1536E39B"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2E048F4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Tribunal Penal de Golfito</w:t>
            </w:r>
          </w:p>
        </w:tc>
        <w:tc>
          <w:tcPr>
            <w:tcW w:w="920" w:type="dxa"/>
            <w:tcBorders>
              <w:top w:val="nil"/>
              <w:left w:val="nil"/>
              <w:bottom w:val="single" w:sz="8" w:space="0" w:color="D4D4D4"/>
              <w:right w:val="single" w:sz="8" w:space="0" w:color="D4D4D4"/>
            </w:tcBorders>
            <w:shd w:val="clear" w:color="auto" w:fill="auto"/>
            <w:vAlign w:val="center"/>
            <w:hideMark/>
          </w:tcPr>
          <w:p w14:paraId="7FFA357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3CE214C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84434E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7BAEE3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3</w:t>
            </w:r>
          </w:p>
        </w:tc>
        <w:tc>
          <w:tcPr>
            <w:tcW w:w="1160" w:type="dxa"/>
            <w:tcBorders>
              <w:top w:val="nil"/>
              <w:left w:val="nil"/>
              <w:bottom w:val="single" w:sz="8" w:space="0" w:color="D4D4D4"/>
              <w:right w:val="single" w:sz="8" w:space="0" w:color="D4D4D4"/>
            </w:tcBorders>
            <w:shd w:val="clear" w:color="auto" w:fill="auto"/>
            <w:vAlign w:val="center"/>
            <w:hideMark/>
          </w:tcPr>
          <w:p w14:paraId="7F52E93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920" w:type="dxa"/>
            <w:tcBorders>
              <w:top w:val="nil"/>
              <w:left w:val="nil"/>
              <w:bottom w:val="single" w:sz="8" w:space="0" w:color="D4D4D4"/>
              <w:right w:val="single" w:sz="8" w:space="0" w:color="D4D4D4"/>
            </w:tcBorders>
            <w:shd w:val="clear" w:color="auto" w:fill="auto"/>
            <w:vAlign w:val="center"/>
            <w:hideMark/>
          </w:tcPr>
          <w:p w14:paraId="2AC9167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7F70352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0EB372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2C69FB97"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75C65CEA"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San Carlos</w:t>
            </w:r>
          </w:p>
        </w:tc>
        <w:tc>
          <w:tcPr>
            <w:tcW w:w="920" w:type="dxa"/>
            <w:tcBorders>
              <w:top w:val="nil"/>
              <w:left w:val="nil"/>
              <w:bottom w:val="single" w:sz="8" w:space="0" w:color="D4D4D4"/>
              <w:right w:val="single" w:sz="8" w:space="0" w:color="D4D4D4"/>
            </w:tcBorders>
            <w:shd w:val="clear" w:color="auto" w:fill="auto"/>
            <w:vAlign w:val="center"/>
            <w:hideMark/>
          </w:tcPr>
          <w:p w14:paraId="55E7724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2B17A53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52B361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25C789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7303BE1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71A1370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500" w:type="dxa"/>
            <w:tcBorders>
              <w:top w:val="nil"/>
              <w:left w:val="nil"/>
              <w:bottom w:val="single" w:sz="8" w:space="0" w:color="D4D4D4"/>
              <w:right w:val="single" w:sz="8" w:space="0" w:color="D4D4D4"/>
            </w:tcBorders>
            <w:shd w:val="clear" w:color="auto" w:fill="auto"/>
            <w:vAlign w:val="center"/>
            <w:hideMark/>
          </w:tcPr>
          <w:p w14:paraId="50C8CE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42B81E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1CBDCC09"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78E58A85"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Pérez Zeledón</w:t>
            </w:r>
          </w:p>
        </w:tc>
        <w:tc>
          <w:tcPr>
            <w:tcW w:w="920" w:type="dxa"/>
            <w:tcBorders>
              <w:top w:val="nil"/>
              <w:left w:val="nil"/>
              <w:bottom w:val="single" w:sz="8" w:space="0" w:color="D4D4D4"/>
              <w:right w:val="single" w:sz="8" w:space="0" w:color="D4D4D4"/>
            </w:tcBorders>
            <w:shd w:val="clear" w:color="auto" w:fill="auto"/>
            <w:vAlign w:val="center"/>
            <w:hideMark/>
          </w:tcPr>
          <w:p w14:paraId="1900192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3D1214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78F6077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118951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5C00AE3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212788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04BEF6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2D0B11F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11F26CE4"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384946CB"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Hatillo</w:t>
            </w:r>
          </w:p>
        </w:tc>
        <w:tc>
          <w:tcPr>
            <w:tcW w:w="920" w:type="dxa"/>
            <w:tcBorders>
              <w:top w:val="nil"/>
              <w:left w:val="nil"/>
              <w:bottom w:val="single" w:sz="8" w:space="0" w:color="D4D4D4"/>
              <w:right w:val="single" w:sz="8" w:space="0" w:color="D4D4D4"/>
            </w:tcBorders>
            <w:shd w:val="clear" w:color="auto" w:fill="auto"/>
            <w:vAlign w:val="center"/>
            <w:hideMark/>
          </w:tcPr>
          <w:p w14:paraId="6E2DA53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68276BF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B66E0C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44CA86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289093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4D67D13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22D302F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1426074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2436A148"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C48137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lastRenderedPageBreak/>
              <w:t>Fiscalía de San José</w:t>
            </w:r>
          </w:p>
        </w:tc>
        <w:tc>
          <w:tcPr>
            <w:tcW w:w="920" w:type="dxa"/>
            <w:tcBorders>
              <w:top w:val="nil"/>
              <w:left w:val="nil"/>
              <w:bottom w:val="single" w:sz="8" w:space="0" w:color="D4D4D4"/>
              <w:right w:val="single" w:sz="8" w:space="0" w:color="D4D4D4"/>
            </w:tcBorders>
            <w:shd w:val="clear" w:color="auto" w:fill="auto"/>
            <w:vAlign w:val="center"/>
            <w:hideMark/>
          </w:tcPr>
          <w:p w14:paraId="14205FC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907261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624C2CA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1F5A9B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7217CEB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1662ABC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500" w:type="dxa"/>
            <w:tcBorders>
              <w:top w:val="nil"/>
              <w:left w:val="nil"/>
              <w:bottom w:val="single" w:sz="8" w:space="0" w:color="D4D4D4"/>
              <w:right w:val="single" w:sz="8" w:space="0" w:color="D4D4D4"/>
            </w:tcBorders>
            <w:shd w:val="clear" w:color="auto" w:fill="auto"/>
            <w:vAlign w:val="center"/>
            <w:hideMark/>
          </w:tcPr>
          <w:p w14:paraId="6265EFF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7BB32F9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435EEFE9"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5ED61BC0"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San Ramón</w:t>
            </w:r>
          </w:p>
        </w:tc>
        <w:tc>
          <w:tcPr>
            <w:tcW w:w="920" w:type="dxa"/>
            <w:tcBorders>
              <w:top w:val="nil"/>
              <w:left w:val="nil"/>
              <w:bottom w:val="single" w:sz="8" w:space="0" w:color="D4D4D4"/>
              <w:right w:val="single" w:sz="8" w:space="0" w:color="D4D4D4"/>
            </w:tcBorders>
            <w:shd w:val="clear" w:color="auto" w:fill="auto"/>
            <w:vAlign w:val="center"/>
            <w:hideMark/>
          </w:tcPr>
          <w:p w14:paraId="56F3715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5450C3B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9722A6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BD0F40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A2F79A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1A59E65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05E64AB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ECCD6F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2BB026A6"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2C2689FF"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Grecia</w:t>
            </w:r>
          </w:p>
        </w:tc>
        <w:tc>
          <w:tcPr>
            <w:tcW w:w="920" w:type="dxa"/>
            <w:tcBorders>
              <w:top w:val="nil"/>
              <w:left w:val="nil"/>
              <w:bottom w:val="single" w:sz="8" w:space="0" w:color="D4D4D4"/>
              <w:right w:val="single" w:sz="8" w:space="0" w:color="D4D4D4"/>
            </w:tcBorders>
            <w:shd w:val="clear" w:color="auto" w:fill="auto"/>
            <w:vAlign w:val="center"/>
            <w:hideMark/>
          </w:tcPr>
          <w:p w14:paraId="5D88D8F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65F994E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2D2AC8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5731708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1EB637A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4F8177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34D4486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4EEB15C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4F37849C"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FC78B9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Osa</w:t>
            </w:r>
          </w:p>
        </w:tc>
        <w:tc>
          <w:tcPr>
            <w:tcW w:w="920" w:type="dxa"/>
            <w:tcBorders>
              <w:top w:val="nil"/>
              <w:left w:val="nil"/>
              <w:bottom w:val="single" w:sz="8" w:space="0" w:color="D4D4D4"/>
              <w:right w:val="single" w:sz="8" w:space="0" w:color="D4D4D4"/>
            </w:tcBorders>
            <w:shd w:val="clear" w:color="auto" w:fill="auto"/>
            <w:vAlign w:val="center"/>
            <w:hideMark/>
          </w:tcPr>
          <w:p w14:paraId="4542FF2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643C9E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61A535A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1A080AE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19630F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9E0EAF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04A2D5E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75F4E66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79729480"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FE73F4C"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la Fortuna</w:t>
            </w:r>
          </w:p>
        </w:tc>
        <w:tc>
          <w:tcPr>
            <w:tcW w:w="920" w:type="dxa"/>
            <w:tcBorders>
              <w:top w:val="nil"/>
              <w:left w:val="nil"/>
              <w:bottom w:val="single" w:sz="8" w:space="0" w:color="D4D4D4"/>
              <w:right w:val="single" w:sz="8" w:space="0" w:color="D4D4D4"/>
            </w:tcBorders>
            <w:shd w:val="clear" w:color="auto" w:fill="auto"/>
            <w:vAlign w:val="center"/>
            <w:hideMark/>
          </w:tcPr>
          <w:p w14:paraId="05740C4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5008703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6EC6A9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56646F4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660EC36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5F6B058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27BF23D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ACDEFB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77AD9F9E"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3BB7DBE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 xml:space="preserve">Fiscalía de </w:t>
            </w:r>
            <w:proofErr w:type="spellStart"/>
            <w:r w:rsidRPr="00990FB6">
              <w:rPr>
                <w:color w:val="000000"/>
                <w:sz w:val="22"/>
                <w:szCs w:val="22"/>
                <w:lang w:eastAsia="es-CR"/>
              </w:rPr>
              <w:t>Bribrí</w:t>
            </w:r>
            <w:proofErr w:type="spellEnd"/>
          </w:p>
        </w:tc>
        <w:tc>
          <w:tcPr>
            <w:tcW w:w="920" w:type="dxa"/>
            <w:tcBorders>
              <w:top w:val="nil"/>
              <w:left w:val="nil"/>
              <w:bottom w:val="single" w:sz="8" w:space="0" w:color="D4D4D4"/>
              <w:right w:val="single" w:sz="8" w:space="0" w:color="D4D4D4"/>
            </w:tcBorders>
            <w:shd w:val="clear" w:color="auto" w:fill="auto"/>
            <w:vAlign w:val="center"/>
            <w:hideMark/>
          </w:tcPr>
          <w:p w14:paraId="177CDC7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2C22215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464C5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18F46F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746D397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1D420FC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0A6409D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3ADAD1C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4745DC50"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5AD16DAD"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Los Chiles</w:t>
            </w:r>
          </w:p>
        </w:tc>
        <w:tc>
          <w:tcPr>
            <w:tcW w:w="920" w:type="dxa"/>
            <w:tcBorders>
              <w:top w:val="nil"/>
              <w:left w:val="nil"/>
              <w:bottom w:val="single" w:sz="8" w:space="0" w:color="D4D4D4"/>
              <w:right w:val="single" w:sz="8" w:space="0" w:color="D4D4D4"/>
            </w:tcBorders>
            <w:shd w:val="clear" w:color="auto" w:fill="auto"/>
            <w:vAlign w:val="center"/>
            <w:hideMark/>
          </w:tcPr>
          <w:p w14:paraId="2F697AAA"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7C9386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28A86B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575E631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5B0CFA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1BE34B2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79C6E83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5EC85A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0BFE1633" w14:textId="77777777" w:rsidTr="000A0C22">
        <w:trPr>
          <w:trHeight w:val="64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5E21B8C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Fiscalía de Guatuso</w:t>
            </w:r>
          </w:p>
        </w:tc>
        <w:tc>
          <w:tcPr>
            <w:tcW w:w="920" w:type="dxa"/>
            <w:tcBorders>
              <w:top w:val="nil"/>
              <w:left w:val="nil"/>
              <w:bottom w:val="single" w:sz="8" w:space="0" w:color="D4D4D4"/>
              <w:right w:val="single" w:sz="8" w:space="0" w:color="D4D4D4"/>
            </w:tcBorders>
            <w:shd w:val="clear" w:color="auto" w:fill="auto"/>
            <w:vAlign w:val="center"/>
            <w:hideMark/>
          </w:tcPr>
          <w:p w14:paraId="4EBADB0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7172480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84136B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08DDCB8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FD6A05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27D2D5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500" w:type="dxa"/>
            <w:tcBorders>
              <w:top w:val="nil"/>
              <w:left w:val="nil"/>
              <w:bottom w:val="single" w:sz="8" w:space="0" w:color="D4D4D4"/>
              <w:right w:val="single" w:sz="8" w:space="0" w:color="D4D4D4"/>
            </w:tcBorders>
            <w:shd w:val="clear" w:color="auto" w:fill="auto"/>
            <w:vAlign w:val="center"/>
            <w:hideMark/>
          </w:tcPr>
          <w:p w14:paraId="5E6292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06ABE85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20CF9AD7"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2DA650E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Delegación de Corredores</w:t>
            </w:r>
          </w:p>
        </w:tc>
        <w:tc>
          <w:tcPr>
            <w:tcW w:w="920" w:type="dxa"/>
            <w:tcBorders>
              <w:top w:val="nil"/>
              <w:left w:val="nil"/>
              <w:bottom w:val="single" w:sz="8" w:space="0" w:color="D4D4D4"/>
              <w:right w:val="single" w:sz="8" w:space="0" w:color="D4D4D4"/>
            </w:tcBorders>
            <w:shd w:val="clear" w:color="auto" w:fill="auto"/>
            <w:vAlign w:val="center"/>
            <w:hideMark/>
          </w:tcPr>
          <w:p w14:paraId="607ABED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5FF7B0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C2B63D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7A1B76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2068A4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0FF433D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26759BB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08E3A8C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432AF4B1"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5773DFD4"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 xml:space="preserve">Oficina Regional de </w:t>
            </w:r>
            <w:proofErr w:type="spellStart"/>
            <w:r w:rsidRPr="00990FB6">
              <w:rPr>
                <w:color w:val="000000"/>
                <w:sz w:val="22"/>
                <w:szCs w:val="22"/>
                <w:lang w:eastAsia="es-CR"/>
              </w:rPr>
              <w:t>Bribrí</w:t>
            </w:r>
            <w:proofErr w:type="spellEnd"/>
          </w:p>
        </w:tc>
        <w:tc>
          <w:tcPr>
            <w:tcW w:w="920" w:type="dxa"/>
            <w:tcBorders>
              <w:top w:val="nil"/>
              <w:left w:val="nil"/>
              <w:bottom w:val="single" w:sz="8" w:space="0" w:color="D4D4D4"/>
              <w:right w:val="single" w:sz="8" w:space="0" w:color="D4D4D4"/>
            </w:tcBorders>
            <w:shd w:val="clear" w:color="auto" w:fill="auto"/>
            <w:vAlign w:val="center"/>
            <w:hideMark/>
          </w:tcPr>
          <w:p w14:paraId="135EAAE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1CFF09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114D5D9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00C656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569B5B2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2104406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3B28995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640" w:type="dxa"/>
            <w:tcBorders>
              <w:top w:val="nil"/>
              <w:left w:val="nil"/>
              <w:bottom w:val="single" w:sz="8" w:space="0" w:color="D4D4D4"/>
              <w:right w:val="single" w:sz="12" w:space="0" w:color="D4D4D4"/>
            </w:tcBorders>
            <w:shd w:val="clear" w:color="auto" w:fill="auto"/>
            <w:vAlign w:val="center"/>
            <w:hideMark/>
          </w:tcPr>
          <w:p w14:paraId="1F8EC51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78E3A049"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61FA0A2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Oficina Regional de Batan</w:t>
            </w:r>
          </w:p>
        </w:tc>
        <w:tc>
          <w:tcPr>
            <w:tcW w:w="920" w:type="dxa"/>
            <w:tcBorders>
              <w:top w:val="nil"/>
              <w:left w:val="nil"/>
              <w:bottom w:val="single" w:sz="8" w:space="0" w:color="D4D4D4"/>
              <w:right w:val="single" w:sz="8" w:space="0" w:color="D4D4D4"/>
            </w:tcBorders>
            <w:shd w:val="clear" w:color="auto" w:fill="auto"/>
            <w:vAlign w:val="center"/>
            <w:hideMark/>
          </w:tcPr>
          <w:p w14:paraId="5063A06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190D786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4D08087"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3DDF79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14922D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2DCABC1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559FAA3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640" w:type="dxa"/>
            <w:tcBorders>
              <w:top w:val="nil"/>
              <w:left w:val="nil"/>
              <w:bottom w:val="single" w:sz="8" w:space="0" w:color="D4D4D4"/>
              <w:right w:val="single" w:sz="12" w:space="0" w:color="D4D4D4"/>
            </w:tcBorders>
            <w:shd w:val="clear" w:color="auto" w:fill="auto"/>
            <w:vAlign w:val="center"/>
            <w:hideMark/>
          </w:tcPr>
          <w:p w14:paraId="69518EE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73C7FF60"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4F88FA18"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Oficina Regional de Purisca1</w:t>
            </w:r>
          </w:p>
        </w:tc>
        <w:tc>
          <w:tcPr>
            <w:tcW w:w="920" w:type="dxa"/>
            <w:tcBorders>
              <w:top w:val="nil"/>
              <w:left w:val="nil"/>
              <w:bottom w:val="single" w:sz="8" w:space="0" w:color="D4D4D4"/>
              <w:right w:val="single" w:sz="8" w:space="0" w:color="D4D4D4"/>
            </w:tcBorders>
            <w:shd w:val="clear" w:color="auto" w:fill="auto"/>
            <w:vAlign w:val="center"/>
            <w:hideMark/>
          </w:tcPr>
          <w:p w14:paraId="54EF420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79C4380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77A5E3D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3223A3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1C4715D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6E1DD85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0A011F0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640" w:type="dxa"/>
            <w:tcBorders>
              <w:top w:val="nil"/>
              <w:left w:val="nil"/>
              <w:bottom w:val="single" w:sz="8" w:space="0" w:color="D4D4D4"/>
              <w:right w:val="single" w:sz="12" w:space="0" w:color="D4D4D4"/>
            </w:tcBorders>
            <w:shd w:val="clear" w:color="auto" w:fill="auto"/>
            <w:vAlign w:val="center"/>
            <w:hideMark/>
          </w:tcPr>
          <w:p w14:paraId="68111E6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5AFC0DC7" w14:textId="77777777" w:rsidTr="000A0C22">
        <w:trPr>
          <w:trHeight w:val="960"/>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5A9CFB4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Oficina Regional de Los Chiles</w:t>
            </w:r>
          </w:p>
        </w:tc>
        <w:tc>
          <w:tcPr>
            <w:tcW w:w="920" w:type="dxa"/>
            <w:tcBorders>
              <w:top w:val="nil"/>
              <w:left w:val="nil"/>
              <w:bottom w:val="single" w:sz="8" w:space="0" w:color="D4D4D4"/>
              <w:right w:val="single" w:sz="8" w:space="0" w:color="D4D4D4"/>
            </w:tcBorders>
            <w:shd w:val="clear" w:color="auto" w:fill="auto"/>
            <w:vAlign w:val="center"/>
            <w:hideMark/>
          </w:tcPr>
          <w:p w14:paraId="536111A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4DEE663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4DD346AF"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3D4B7C1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13E47A5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F370CDD"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3DF5544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8" w:space="0" w:color="D4D4D4"/>
              <w:right w:val="single" w:sz="12" w:space="0" w:color="D4D4D4"/>
            </w:tcBorders>
            <w:shd w:val="clear" w:color="auto" w:fill="auto"/>
            <w:vAlign w:val="center"/>
            <w:hideMark/>
          </w:tcPr>
          <w:p w14:paraId="07AEE10B"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0AF108C2" w14:textId="77777777" w:rsidTr="000A0C22">
        <w:trPr>
          <w:trHeight w:val="1275"/>
        </w:trPr>
        <w:tc>
          <w:tcPr>
            <w:tcW w:w="1180" w:type="dxa"/>
            <w:tcBorders>
              <w:top w:val="nil"/>
              <w:left w:val="single" w:sz="8" w:space="0" w:color="D4D4D4"/>
              <w:bottom w:val="single" w:sz="8" w:space="0" w:color="D4D4D4"/>
              <w:right w:val="single" w:sz="12" w:space="0" w:color="E7E6E6"/>
            </w:tcBorders>
            <w:shd w:val="clear" w:color="auto" w:fill="auto"/>
            <w:vAlign w:val="center"/>
            <w:hideMark/>
          </w:tcPr>
          <w:p w14:paraId="12A980A2"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t>Oficina Regional de Buenos Aires</w:t>
            </w:r>
          </w:p>
        </w:tc>
        <w:tc>
          <w:tcPr>
            <w:tcW w:w="920" w:type="dxa"/>
            <w:tcBorders>
              <w:top w:val="nil"/>
              <w:left w:val="nil"/>
              <w:bottom w:val="single" w:sz="8" w:space="0" w:color="D4D4D4"/>
              <w:right w:val="single" w:sz="8" w:space="0" w:color="D4D4D4"/>
            </w:tcBorders>
            <w:shd w:val="clear" w:color="auto" w:fill="auto"/>
            <w:vAlign w:val="center"/>
            <w:hideMark/>
          </w:tcPr>
          <w:p w14:paraId="0BB88B9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41CEDC7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7EBBFA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8" w:space="0" w:color="D4D4D4"/>
              <w:right w:val="single" w:sz="12" w:space="0" w:color="D4D4D4"/>
            </w:tcBorders>
            <w:shd w:val="clear" w:color="auto" w:fill="auto"/>
            <w:vAlign w:val="center"/>
            <w:hideMark/>
          </w:tcPr>
          <w:p w14:paraId="6A254DE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8" w:space="0" w:color="D4D4D4"/>
              <w:right w:val="single" w:sz="8" w:space="0" w:color="D4D4D4"/>
            </w:tcBorders>
            <w:shd w:val="clear" w:color="auto" w:fill="auto"/>
            <w:vAlign w:val="center"/>
            <w:hideMark/>
          </w:tcPr>
          <w:p w14:paraId="34297825"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8" w:space="0" w:color="D4D4D4"/>
              <w:right w:val="single" w:sz="8" w:space="0" w:color="D4D4D4"/>
            </w:tcBorders>
            <w:shd w:val="clear" w:color="auto" w:fill="auto"/>
            <w:vAlign w:val="center"/>
            <w:hideMark/>
          </w:tcPr>
          <w:p w14:paraId="35F30141"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8" w:space="0" w:color="D4D4D4"/>
              <w:right w:val="single" w:sz="8" w:space="0" w:color="D4D4D4"/>
            </w:tcBorders>
            <w:shd w:val="clear" w:color="auto" w:fill="auto"/>
            <w:vAlign w:val="center"/>
            <w:hideMark/>
          </w:tcPr>
          <w:p w14:paraId="4683DDF9"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c>
          <w:tcPr>
            <w:tcW w:w="640" w:type="dxa"/>
            <w:tcBorders>
              <w:top w:val="nil"/>
              <w:left w:val="nil"/>
              <w:bottom w:val="single" w:sz="8" w:space="0" w:color="D4D4D4"/>
              <w:right w:val="single" w:sz="12" w:space="0" w:color="D4D4D4"/>
            </w:tcBorders>
            <w:shd w:val="clear" w:color="auto" w:fill="auto"/>
            <w:vAlign w:val="center"/>
            <w:hideMark/>
          </w:tcPr>
          <w:p w14:paraId="4BE77E9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1</w:t>
            </w:r>
          </w:p>
        </w:tc>
      </w:tr>
      <w:tr w:rsidR="00B15F7D" w:rsidRPr="00990FB6" w14:paraId="67D1183E" w14:textId="77777777" w:rsidTr="000A0C22">
        <w:trPr>
          <w:trHeight w:val="960"/>
        </w:trPr>
        <w:tc>
          <w:tcPr>
            <w:tcW w:w="1180" w:type="dxa"/>
            <w:tcBorders>
              <w:top w:val="nil"/>
              <w:left w:val="single" w:sz="8" w:space="0" w:color="D4D4D4"/>
              <w:bottom w:val="single" w:sz="8" w:space="0" w:color="E7E6E6"/>
              <w:right w:val="single" w:sz="12" w:space="0" w:color="E7E6E6"/>
            </w:tcBorders>
            <w:shd w:val="clear" w:color="auto" w:fill="auto"/>
            <w:vAlign w:val="center"/>
            <w:hideMark/>
          </w:tcPr>
          <w:p w14:paraId="5BE9A509" w14:textId="77777777" w:rsidR="00B15F7D" w:rsidRPr="00990FB6" w:rsidRDefault="00B15F7D" w:rsidP="00B15F7D">
            <w:pPr>
              <w:suppressAutoHyphens w:val="0"/>
              <w:rPr>
                <w:color w:val="000000"/>
                <w:sz w:val="22"/>
                <w:szCs w:val="22"/>
                <w:lang w:val="es-CR" w:eastAsia="es-CR"/>
              </w:rPr>
            </w:pPr>
            <w:r w:rsidRPr="00990FB6">
              <w:rPr>
                <w:color w:val="000000"/>
                <w:sz w:val="22"/>
                <w:szCs w:val="22"/>
                <w:lang w:eastAsia="es-CR"/>
              </w:rPr>
              <w:lastRenderedPageBreak/>
              <w:t>Oficina Regional de Atenas</w:t>
            </w:r>
          </w:p>
        </w:tc>
        <w:tc>
          <w:tcPr>
            <w:tcW w:w="920" w:type="dxa"/>
            <w:tcBorders>
              <w:top w:val="nil"/>
              <w:left w:val="nil"/>
              <w:bottom w:val="single" w:sz="12" w:space="0" w:color="D4D4D4"/>
              <w:right w:val="single" w:sz="8" w:space="0" w:color="D4D4D4"/>
            </w:tcBorders>
            <w:shd w:val="clear" w:color="auto" w:fill="auto"/>
            <w:vAlign w:val="center"/>
            <w:hideMark/>
          </w:tcPr>
          <w:p w14:paraId="2D6D2AB4"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12" w:space="0" w:color="D4D4D4"/>
              <w:right w:val="single" w:sz="8" w:space="0" w:color="D4D4D4"/>
            </w:tcBorders>
            <w:shd w:val="clear" w:color="auto" w:fill="auto"/>
            <w:vAlign w:val="center"/>
            <w:hideMark/>
          </w:tcPr>
          <w:p w14:paraId="500C0C76"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12" w:space="0" w:color="D4D4D4"/>
              <w:right w:val="single" w:sz="8" w:space="0" w:color="D4D4D4"/>
            </w:tcBorders>
            <w:shd w:val="clear" w:color="auto" w:fill="auto"/>
            <w:vAlign w:val="center"/>
            <w:hideMark/>
          </w:tcPr>
          <w:p w14:paraId="7946F93C"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640" w:type="dxa"/>
            <w:tcBorders>
              <w:top w:val="nil"/>
              <w:left w:val="nil"/>
              <w:bottom w:val="single" w:sz="12" w:space="0" w:color="D4D4D4"/>
              <w:right w:val="single" w:sz="12" w:space="0" w:color="D4D4D4"/>
            </w:tcBorders>
            <w:shd w:val="clear" w:color="auto" w:fill="auto"/>
            <w:vAlign w:val="center"/>
            <w:hideMark/>
          </w:tcPr>
          <w:p w14:paraId="32D461FE"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1160" w:type="dxa"/>
            <w:tcBorders>
              <w:top w:val="nil"/>
              <w:left w:val="nil"/>
              <w:bottom w:val="single" w:sz="12" w:space="0" w:color="D4D4D4"/>
              <w:right w:val="single" w:sz="8" w:space="0" w:color="D4D4D4"/>
            </w:tcBorders>
            <w:shd w:val="clear" w:color="auto" w:fill="auto"/>
            <w:vAlign w:val="center"/>
            <w:hideMark/>
          </w:tcPr>
          <w:p w14:paraId="18C01608"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920" w:type="dxa"/>
            <w:tcBorders>
              <w:top w:val="nil"/>
              <w:left w:val="nil"/>
              <w:bottom w:val="single" w:sz="12" w:space="0" w:color="D4D4D4"/>
              <w:right w:val="single" w:sz="8" w:space="0" w:color="D4D4D4"/>
            </w:tcBorders>
            <w:shd w:val="clear" w:color="auto" w:fill="auto"/>
            <w:vAlign w:val="center"/>
            <w:hideMark/>
          </w:tcPr>
          <w:p w14:paraId="1C19F2B2"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0</w:t>
            </w:r>
          </w:p>
        </w:tc>
        <w:tc>
          <w:tcPr>
            <w:tcW w:w="500" w:type="dxa"/>
            <w:tcBorders>
              <w:top w:val="nil"/>
              <w:left w:val="nil"/>
              <w:bottom w:val="single" w:sz="12" w:space="0" w:color="D4D4D4"/>
              <w:right w:val="single" w:sz="8" w:space="0" w:color="D4D4D4"/>
            </w:tcBorders>
            <w:shd w:val="clear" w:color="auto" w:fill="auto"/>
            <w:vAlign w:val="center"/>
            <w:hideMark/>
          </w:tcPr>
          <w:p w14:paraId="2A805C93"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c>
          <w:tcPr>
            <w:tcW w:w="640" w:type="dxa"/>
            <w:tcBorders>
              <w:top w:val="nil"/>
              <w:left w:val="nil"/>
              <w:bottom w:val="single" w:sz="12" w:space="0" w:color="D4D4D4"/>
              <w:right w:val="single" w:sz="12" w:space="0" w:color="D4D4D4"/>
            </w:tcBorders>
            <w:shd w:val="clear" w:color="auto" w:fill="auto"/>
            <w:vAlign w:val="center"/>
            <w:hideMark/>
          </w:tcPr>
          <w:p w14:paraId="196C38F0" w14:textId="77777777" w:rsidR="00B15F7D" w:rsidRPr="00990FB6" w:rsidRDefault="00B15F7D" w:rsidP="00B15F7D">
            <w:pPr>
              <w:suppressAutoHyphens w:val="0"/>
              <w:jc w:val="center"/>
              <w:rPr>
                <w:color w:val="000000"/>
                <w:sz w:val="22"/>
                <w:szCs w:val="22"/>
                <w:lang w:val="es-CR" w:eastAsia="es-CR"/>
              </w:rPr>
            </w:pPr>
            <w:r w:rsidRPr="00990FB6">
              <w:rPr>
                <w:color w:val="000000"/>
                <w:sz w:val="22"/>
                <w:szCs w:val="22"/>
                <w:lang w:eastAsia="es-CR"/>
              </w:rPr>
              <w:t>2</w:t>
            </w:r>
          </w:p>
        </w:tc>
      </w:tr>
      <w:tr w:rsidR="00B15F7D" w:rsidRPr="00990FB6" w14:paraId="0B98E27C" w14:textId="77777777" w:rsidTr="000A0C22">
        <w:trPr>
          <w:trHeight w:val="330"/>
        </w:trPr>
        <w:tc>
          <w:tcPr>
            <w:tcW w:w="1180" w:type="dxa"/>
            <w:tcBorders>
              <w:top w:val="nil"/>
              <w:left w:val="single" w:sz="8" w:space="0" w:color="E7E6E6"/>
              <w:bottom w:val="single" w:sz="8" w:space="0" w:color="E7E6E6"/>
              <w:right w:val="single" w:sz="12" w:space="0" w:color="E7E6E6"/>
            </w:tcBorders>
            <w:shd w:val="clear" w:color="000000" w:fill="DEEAF6"/>
            <w:vAlign w:val="center"/>
            <w:hideMark/>
          </w:tcPr>
          <w:p w14:paraId="5B9BE02F" w14:textId="77777777" w:rsidR="00B15F7D" w:rsidRPr="00990FB6" w:rsidRDefault="00B15F7D" w:rsidP="00B15F7D">
            <w:pPr>
              <w:suppressAutoHyphens w:val="0"/>
              <w:rPr>
                <w:b/>
                <w:bCs/>
                <w:color w:val="3A3838"/>
                <w:sz w:val="22"/>
                <w:szCs w:val="22"/>
                <w:lang w:val="es-CR" w:eastAsia="es-CR"/>
              </w:rPr>
            </w:pPr>
            <w:r w:rsidRPr="00990FB6">
              <w:rPr>
                <w:b/>
                <w:bCs/>
                <w:color w:val="3A3838"/>
                <w:sz w:val="22"/>
                <w:szCs w:val="22"/>
                <w:lang w:eastAsia="es-CR"/>
              </w:rPr>
              <w:t>Totales</w:t>
            </w:r>
          </w:p>
        </w:tc>
        <w:tc>
          <w:tcPr>
            <w:tcW w:w="920" w:type="dxa"/>
            <w:tcBorders>
              <w:top w:val="nil"/>
              <w:left w:val="nil"/>
              <w:bottom w:val="single" w:sz="12" w:space="0" w:color="E7E6E6"/>
              <w:right w:val="single" w:sz="8" w:space="0" w:color="E7E6E6"/>
            </w:tcBorders>
            <w:shd w:val="clear" w:color="000000" w:fill="DEEAF6"/>
            <w:vAlign w:val="center"/>
            <w:hideMark/>
          </w:tcPr>
          <w:p w14:paraId="05F446DE"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eastAsia="es-CR"/>
              </w:rPr>
              <w:t>25</w:t>
            </w:r>
          </w:p>
        </w:tc>
        <w:tc>
          <w:tcPr>
            <w:tcW w:w="920" w:type="dxa"/>
            <w:tcBorders>
              <w:top w:val="nil"/>
              <w:left w:val="nil"/>
              <w:bottom w:val="single" w:sz="12" w:space="0" w:color="E7E6E6"/>
              <w:right w:val="single" w:sz="8" w:space="0" w:color="E7E6E6"/>
            </w:tcBorders>
            <w:shd w:val="clear" w:color="000000" w:fill="DEEAF6"/>
            <w:vAlign w:val="center"/>
            <w:hideMark/>
          </w:tcPr>
          <w:p w14:paraId="074F5352"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eastAsia="es-CR"/>
              </w:rPr>
              <w:t>4</w:t>
            </w:r>
          </w:p>
        </w:tc>
        <w:tc>
          <w:tcPr>
            <w:tcW w:w="1160" w:type="dxa"/>
            <w:tcBorders>
              <w:top w:val="nil"/>
              <w:left w:val="nil"/>
              <w:bottom w:val="single" w:sz="12" w:space="0" w:color="E7E6E6"/>
              <w:right w:val="single" w:sz="8" w:space="0" w:color="E7E6E6"/>
            </w:tcBorders>
            <w:shd w:val="clear" w:color="000000" w:fill="DEEAF6"/>
            <w:vAlign w:val="center"/>
            <w:hideMark/>
          </w:tcPr>
          <w:p w14:paraId="093C2BC3"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eastAsia="es-CR"/>
              </w:rPr>
              <w:t>37</w:t>
            </w:r>
          </w:p>
        </w:tc>
        <w:tc>
          <w:tcPr>
            <w:tcW w:w="640" w:type="dxa"/>
            <w:tcBorders>
              <w:top w:val="nil"/>
              <w:left w:val="nil"/>
              <w:bottom w:val="single" w:sz="12" w:space="0" w:color="E7E6E6"/>
              <w:right w:val="single" w:sz="12" w:space="0" w:color="E7E6E6"/>
            </w:tcBorders>
            <w:shd w:val="clear" w:color="000000" w:fill="70AD47"/>
            <w:vAlign w:val="center"/>
            <w:hideMark/>
          </w:tcPr>
          <w:p w14:paraId="64678971"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66</w:t>
            </w:r>
          </w:p>
        </w:tc>
        <w:tc>
          <w:tcPr>
            <w:tcW w:w="1160" w:type="dxa"/>
            <w:tcBorders>
              <w:top w:val="nil"/>
              <w:left w:val="nil"/>
              <w:bottom w:val="single" w:sz="12" w:space="0" w:color="E7E6E6"/>
              <w:right w:val="single" w:sz="8" w:space="0" w:color="E7E6E6"/>
            </w:tcBorders>
            <w:shd w:val="clear" w:color="000000" w:fill="DEEAF6"/>
            <w:vAlign w:val="center"/>
            <w:hideMark/>
          </w:tcPr>
          <w:p w14:paraId="73109754"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eastAsia="es-CR"/>
              </w:rPr>
              <w:t>12</w:t>
            </w:r>
          </w:p>
        </w:tc>
        <w:tc>
          <w:tcPr>
            <w:tcW w:w="920" w:type="dxa"/>
            <w:tcBorders>
              <w:top w:val="nil"/>
              <w:left w:val="nil"/>
              <w:bottom w:val="single" w:sz="12" w:space="0" w:color="E7E6E6"/>
              <w:right w:val="single" w:sz="8" w:space="0" w:color="E7E6E6"/>
            </w:tcBorders>
            <w:shd w:val="clear" w:color="000000" w:fill="DEEAF6"/>
            <w:vAlign w:val="center"/>
            <w:hideMark/>
          </w:tcPr>
          <w:p w14:paraId="5E8A6534"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eastAsia="es-CR"/>
              </w:rPr>
              <w:t>27</w:t>
            </w:r>
          </w:p>
        </w:tc>
        <w:tc>
          <w:tcPr>
            <w:tcW w:w="500" w:type="dxa"/>
            <w:tcBorders>
              <w:top w:val="nil"/>
              <w:left w:val="nil"/>
              <w:bottom w:val="single" w:sz="12" w:space="0" w:color="E7E6E6"/>
              <w:right w:val="single" w:sz="8" w:space="0" w:color="E7E6E6"/>
            </w:tcBorders>
            <w:shd w:val="clear" w:color="000000" w:fill="DEEAF6"/>
            <w:vAlign w:val="center"/>
            <w:hideMark/>
          </w:tcPr>
          <w:p w14:paraId="7E59671C" w14:textId="77777777" w:rsidR="00B15F7D" w:rsidRPr="00990FB6" w:rsidRDefault="00B15F7D" w:rsidP="00B15F7D">
            <w:pPr>
              <w:suppressAutoHyphens w:val="0"/>
              <w:jc w:val="center"/>
              <w:rPr>
                <w:b/>
                <w:bCs/>
                <w:color w:val="3A3838"/>
                <w:sz w:val="22"/>
                <w:szCs w:val="22"/>
                <w:lang w:val="es-CR" w:eastAsia="es-CR"/>
              </w:rPr>
            </w:pPr>
            <w:r w:rsidRPr="00990FB6">
              <w:rPr>
                <w:b/>
                <w:bCs/>
                <w:color w:val="3A3838"/>
                <w:sz w:val="22"/>
                <w:szCs w:val="22"/>
                <w:lang w:eastAsia="es-CR"/>
              </w:rPr>
              <w:t>24</w:t>
            </w:r>
          </w:p>
        </w:tc>
        <w:tc>
          <w:tcPr>
            <w:tcW w:w="640" w:type="dxa"/>
            <w:tcBorders>
              <w:top w:val="nil"/>
              <w:left w:val="nil"/>
              <w:bottom w:val="single" w:sz="12" w:space="0" w:color="E7E6E6"/>
              <w:right w:val="single" w:sz="12" w:space="0" w:color="E7E6E6"/>
            </w:tcBorders>
            <w:shd w:val="clear" w:color="000000" w:fill="70AD47"/>
            <w:vAlign w:val="center"/>
            <w:hideMark/>
          </w:tcPr>
          <w:p w14:paraId="46D59A9A" w14:textId="77777777" w:rsidR="00B15F7D" w:rsidRPr="00990FB6" w:rsidRDefault="00B15F7D" w:rsidP="00B15F7D">
            <w:pPr>
              <w:suppressAutoHyphens w:val="0"/>
              <w:jc w:val="center"/>
              <w:rPr>
                <w:b/>
                <w:bCs/>
                <w:color w:val="FFFFFF"/>
                <w:sz w:val="22"/>
                <w:szCs w:val="22"/>
                <w:lang w:val="es-CR" w:eastAsia="es-CR"/>
              </w:rPr>
            </w:pPr>
            <w:r w:rsidRPr="00990FB6">
              <w:rPr>
                <w:b/>
                <w:bCs/>
                <w:color w:val="FFFFFF"/>
                <w:sz w:val="22"/>
                <w:szCs w:val="22"/>
                <w:lang w:eastAsia="es-CR"/>
              </w:rPr>
              <w:t>63</w:t>
            </w:r>
          </w:p>
        </w:tc>
      </w:tr>
    </w:tbl>
    <w:p w14:paraId="03356F0A" w14:textId="77777777" w:rsidR="00B15F7D" w:rsidRPr="00990FB6" w:rsidRDefault="00B15F7D" w:rsidP="00B15F7D">
      <w:pPr>
        <w:rPr>
          <w:rFonts w:eastAsia="Calibri"/>
          <w:b/>
          <w:bCs/>
          <w:sz w:val="22"/>
          <w:szCs w:val="22"/>
        </w:rPr>
      </w:pPr>
    </w:p>
    <w:p w14:paraId="33F18AC1"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t>Fuente:</w:t>
      </w:r>
      <w:r w:rsidRPr="00990FB6">
        <w:rPr>
          <w:rFonts w:eastAsia="Calibri"/>
          <w:sz w:val="22"/>
          <w:szCs w:val="22"/>
        </w:rPr>
        <w:t xml:space="preserve"> Elaboración propia</w:t>
      </w:r>
    </w:p>
    <w:p w14:paraId="5464E9D4" w14:textId="77777777" w:rsidR="00B15F7D" w:rsidRPr="00990FB6" w:rsidRDefault="00B15F7D" w:rsidP="00B15F7D">
      <w:pPr>
        <w:ind w:left="851" w:right="851" w:firstLine="709"/>
        <w:jc w:val="both"/>
        <w:rPr>
          <w:rFonts w:eastAsia="Calibri"/>
          <w:sz w:val="22"/>
          <w:szCs w:val="22"/>
        </w:rPr>
      </w:pPr>
    </w:p>
    <w:p w14:paraId="3E6B4115"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Tal y como se detalla en el cuadro anterior, para los Tribunales Penales se requiere un total de 66 plazas desglosadas de la siguiente manera: 25 jueces o juezas 4, cuatro jueces o juezas 1 y 37 personas técnicas judiciales, adicionalmente, se requiere un total de 63 plazas nuevas para el ámbito auxiliar de justicia; a saber: 12 Defensores o Defensoras Públicas, 27 Fiscalas o Fiscales y 24 Custodios de Personas Detenidas. De esta forma se tiene un gran total de 129 plazas.</w:t>
      </w:r>
    </w:p>
    <w:p w14:paraId="33AC9F04" w14:textId="77777777" w:rsidR="00B15F7D" w:rsidRPr="00990FB6" w:rsidRDefault="00B15F7D" w:rsidP="00B15F7D">
      <w:pPr>
        <w:ind w:left="851" w:right="851" w:firstLine="709"/>
        <w:jc w:val="both"/>
        <w:rPr>
          <w:rFonts w:eastAsia="Calibri"/>
          <w:sz w:val="22"/>
          <w:szCs w:val="22"/>
        </w:rPr>
      </w:pPr>
    </w:p>
    <w:p w14:paraId="005D34DF"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Respecto al escenario ideal planteado en los informes remitidos originalmente a la Secretaría de la Corte, las modificaciones son las siguientes:</w:t>
      </w:r>
    </w:p>
    <w:p w14:paraId="12C20F61" w14:textId="77777777" w:rsidR="00B15F7D" w:rsidRPr="00990FB6" w:rsidRDefault="00B15F7D" w:rsidP="00B15F7D">
      <w:pPr>
        <w:ind w:left="851" w:right="851" w:firstLine="709"/>
        <w:jc w:val="both"/>
        <w:rPr>
          <w:rFonts w:eastAsia="Calibri"/>
          <w:sz w:val="22"/>
          <w:szCs w:val="22"/>
        </w:rPr>
      </w:pPr>
    </w:p>
    <w:p w14:paraId="39D4B0D7" w14:textId="77777777" w:rsidR="00B15F7D" w:rsidRPr="00990FB6" w:rsidRDefault="00B15F7D" w:rsidP="00B15F7D">
      <w:pPr>
        <w:widowControl w:val="0"/>
        <w:suppressAutoHyphens w:val="0"/>
        <w:autoSpaceDE w:val="0"/>
        <w:autoSpaceDN w:val="0"/>
        <w:adjustRightInd w:val="0"/>
        <w:ind w:left="851" w:right="851" w:firstLine="709"/>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4</w:t>
      </w:r>
      <w:r w:rsidRPr="00990FB6">
        <w:rPr>
          <w:rFonts w:eastAsia="Calibri"/>
          <w:i/>
          <w:iCs/>
          <w:sz w:val="22"/>
          <w:szCs w:val="22"/>
          <w:lang w:eastAsia="en-US"/>
        </w:rPr>
        <w:fldChar w:fldCharType="end"/>
      </w:r>
    </w:p>
    <w:p w14:paraId="2F90FD95"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Escenario integral de requerimiento de recurso humano para los Tribunales Penales, Fiscalía, Defensa y OIJ del país</w:t>
      </w:r>
    </w:p>
    <w:p w14:paraId="685D0223" w14:textId="77777777" w:rsidR="00B15F7D" w:rsidRPr="00990FB6" w:rsidRDefault="00B15F7D" w:rsidP="00B15F7D">
      <w:pPr>
        <w:jc w:val="both"/>
        <w:rPr>
          <w:rFonts w:eastAsia="Calibri"/>
          <w:sz w:val="22"/>
          <w:szCs w:val="22"/>
        </w:rPr>
      </w:pPr>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2318"/>
        <w:gridCol w:w="2327"/>
        <w:gridCol w:w="3308"/>
      </w:tblGrid>
      <w:tr w:rsidR="00B15F7D" w:rsidRPr="00990FB6" w14:paraId="4DEBB09B" w14:textId="77777777" w:rsidTr="000A0C22">
        <w:tc>
          <w:tcPr>
            <w:tcW w:w="3104" w:type="dxa"/>
            <w:vAlign w:val="center"/>
          </w:tcPr>
          <w:p w14:paraId="5327DDB8"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Informe original remitido</w:t>
            </w:r>
          </w:p>
        </w:tc>
        <w:tc>
          <w:tcPr>
            <w:tcW w:w="2318" w:type="dxa"/>
            <w:vAlign w:val="center"/>
          </w:tcPr>
          <w:p w14:paraId="3B71AFFD"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Cantidad de plazas del escenario ideal</w:t>
            </w:r>
          </w:p>
        </w:tc>
        <w:tc>
          <w:tcPr>
            <w:tcW w:w="2327" w:type="dxa"/>
            <w:vAlign w:val="center"/>
          </w:tcPr>
          <w:p w14:paraId="13795614"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Escenario mínimo integral</w:t>
            </w:r>
          </w:p>
        </w:tc>
        <w:tc>
          <w:tcPr>
            <w:tcW w:w="3308" w:type="dxa"/>
            <w:vAlign w:val="center"/>
          </w:tcPr>
          <w:p w14:paraId="30E7F696"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Diferencia</w:t>
            </w:r>
          </w:p>
        </w:tc>
      </w:tr>
      <w:tr w:rsidR="00B15F7D" w:rsidRPr="00990FB6" w14:paraId="03658027" w14:textId="77777777" w:rsidTr="000A0C22">
        <w:tc>
          <w:tcPr>
            <w:tcW w:w="3104" w:type="dxa"/>
            <w:vAlign w:val="center"/>
          </w:tcPr>
          <w:p w14:paraId="65E31B86" w14:textId="77777777" w:rsidR="00B15F7D" w:rsidRPr="00990FB6" w:rsidRDefault="00B15F7D" w:rsidP="00B15F7D">
            <w:pPr>
              <w:jc w:val="center"/>
              <w:rPr>
                <w:rFonts w:eastAsia="Calibri"/>
                <w:sz w:val="22"/>
                <w:szCs w:val="22"/>
                <w:lang w:eastAsia="en-US"/>
              </w:rPr>
            </w:pPr>
            <w:r w:rsidRPr="00990FB6">
              <w:rPr>
                <w:snapToGrid w:val="0"/>
                <w:sz w:val="22"/>
                <w:szCs w:val="22"/>
              </w:rPr>
              <w:t>270-PLA-RH-MI(PL)-2023 Custodios de Detenidos</w:t>
            </w:r>
          </w:p>
        </w:tc>
        <w:tc>
          <w:tcPr>
            <w:tcW w:w="2318" w:type="dxa"/>
            <w:vAlign w:val="center"/>
          </w:tcPr>
          <w:p w14:paraId="54A3CF20"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22</w:t>
            </w:r>
          </w:p>
        </w:tc>
        <w:tc>
          <w:tcPr>
            <w:tcW w:w="2327" w:type="dxa"/>
            <w:vAlign w:val="center"/>
          </w:tcPr>
          <w:p w14:paraId="2B4DEA99"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24</w:t>
            </w:r>
          </w:p>
        </w:tc>
        <w:tc>
          <w:tcPr>
            <w:tcW w:w="3308" w:type="dxa"/>
          </w:tcPr>
          <w:p w14:paraId="672DBF9A" w14:textId="77777777" w:rsidR="00B15F7D" w:rsidRPr="00990FB6" w:rsidRDefault="00B15F7D" w:rsidP="00B15F7D">
            <w:pPr>
              <w:jc w:val="both"/>
              <w:rPr>
                <w:rFonts w:eastAsia="Calibri"/>
                <w:sz w:val="22"/>
                <w:szCs w:val="22"/>
                <w:lang w:eastAsia="en-US"/>
              </w:rPr>
            </w:pPr>
            <w:r w:rsidRPr="00990FB6">
              <w:rPr>
                <w:rFonts w:eastAsia="Calibri"/>
                <w:sz w:val="22"/>
                <w:szCs w:val="22"/>
                <w:lang w:eastAsia="en-US"/>
              </w:rPr>
              <w:t xml:space="preserve">Dos plazas para Guápiles, con la finalidad de equiparar las cargas de trabajo debido a la creación de una sección unipersonal adicional para Tribunal Penal de Guápiles. </w:t>
            </w:r>
          </w:p>
          <w:p w14:paraId="611C76D9" w14:textId="77777777" w:rsidR="00B15F7D" w:rsidRPr="00990FB6" w:rsidRDefault="00B15F7D" w:rsidP="00B15F7D">
            <w:pPr>
              <w:jc w:val="both"/>
              <w:rPr>
                <w:rFonts w:eastAsia="Calibri"/>
                <w:sz w:val="22"/>
                <w:szCs w:val="22"/>
                <w:lang w:eastAsia="en-US"/>
              </w:rPr>
            </w:pPr>
          </w:p>
          <w:p w14:paraId="1C083EFF" w14:textId="77777777" w:rsidR="00B15F7D" w:rsidRPr="00990FB6" w:rsidRDefault="00B15F7D" w:rsidP="00B15F7D">
            <w:pPr>
              <w:jc w:val="both"/>
              <w:rPr>
                <w:rFonts w:eastAsia="Calibri"/>
                <w:sz w:val="22"/>
                <w:szCs w:val="22"/>
                <w:lang w:eastAsia="en-US"/>
              </w:rPr>
            </w:pPr>
          </w:p>
        </w:tc>
      </w:tr>
      <w:tr w:rsidR="00B15F7D" w:rsidRPr="00990FB6" w14:paraId="50D5EF71" w14:textId="77777777" w:rsidTr="000A0C22">
        <w:tc>
          <w:tcPr>
            <w:tcW w:w="3104" w:type="dxa"/>
            <w:vAlign w:val="center"/>
          </w:tcPr>
          <w:p w14:paraId="67F1FE87" w14:textId="77777777" w:rsidR="00B15F7D" w:rsidRPr="00990FB6" w:rsidRDefault="00B15F7D" w:rsidP="00B15F7D">
            <w:pPr>
              <w:jc w:val="center"/>
              <w:rPr>
                <w:b/>
                <w:bCs/>
                <w:snapToGrid w:val="0"/>
                <w:sz w:val="22"/>
                <w:szCs w:val="22"/>
              </w:rPr>
            </w:pPr>
            <w:r w:rsidRPr="00990FB6">
              <w:rPr>
                <w:snapToGrid w:val="0"/>
                <w:sz w:val="22"/>
                <w:szCs w:val="22"/>
              </w:rPr>
              <w:t xml:space="preserve">271-PLA-RH-MI(PL)-2023- </w:t>
            </w:r>
          </w:p>
          <w:p w14:paraId="49BE813F" w14:textId="77777777" w:rsidR="00B15F7D" w:rsidRPr="00990FB6" w:rsidRDefault="00B15F7D" w:rsidP="00B15F7D">
            <w:pPr>
              <w:jc w:val="center"/>
              <w:rPr>
                <w:rFonts w:eastAsia="Calibri"/>
                <w:sz w:val="22"/>
                <w:szCs w:val="22"/>
                <w:lang w:eastAsia="en-US"/>
              </w:rPr>
            </w:pPr>
            <w:r w:rsidRPr="00990FB6">
              <w:rPr>
                <w:snapToGrid w:val="0"/>
                <w:sz w:val="22"/>
                <w:szCs w:val="22"/>
              </w:rPr>
              <w:t>Fiscalía</w:t>
            </w:r>
          </w:p>
        </w:tc>
        <w:tc>
          <w:tcPr>
            <w:tcW w:w="2318" w:type="dxa"/>
            <w:vAlign w:val="center"/>
          </w:tcPr>
          <w:p w14:paraId="2C711F8F"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22</w:t>
            </w:r>
          </w:p>
        </w:tc>
        <w:tc>
          <w:tcPr>
            <w:tcW w:w="2327" w:type="dxa"/>
            <w:vAlign w:val="center"/>
          </w:tcPr>
          <w:p w14:paraId="0AD48A58"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27</w:t>
            </w:r>
          </w:p>
        </w:tc>
        <w:tc>
          <w:tcPr>
            <w:tcW w:w="3308" w:type="dxa"/>
          </w:tcPr>
          <w:p w14:paraId="16CBF9D5" w14:textId="77777777" w:rsidR="00B15F7D" w:rsidRPr="00990FB6" w:rsidRDefault="00B15F7D" w:rsidP="00B15F7D">
            <w:pPr>
              <w:jc w:val="both"/>
              <w:rPr>
                <w:rFonts w:eastAsia="Calibri"/>
                <w:sz w:val="22"/>
                <w:szCs w:val="22"/>
                <w:lang w:eastAsia="en-US"/>
              </w:rPr>
            </w:pPr>
            <w:r w:rsidRPr="00990FB6">
              <w:rPr>
                <w:rFonts w:eastAsia="Calibri"/>
                <w:sz w:val="22"/>
                <w:szCs w:val="22"/>
                <w:lang w:eastAsia="en-US"/>
              </w:rPr>
              <w:t>5 plazas más para: Puntarenas, Guápiles, Limón, Heredia y Alajuela.</w:t>
            </w:r>
          </w:p>
          <w:p w14:paraId="2A3C2C22" w14:textId="77777777" w:rsidR="00B15F7D" w:rsidRPr="00990FB6" w:rsidRDefault="00B15F7D" w:rsidP="00B15F7D">
            <w:pPr>
              <w:jc w:val="both"/>
              <w:rPr>
                <w:rFonts w:eastAsia="Calibri"/>
                <w:sz w:val="22"/>
                <w:szCs w:val="22"/>
                <w:lang w:eastAsia="en-US"/>
              </w:rPr>
            </w:pPr>
          </w:p>
          <w:p w14:paraId="6175E054" w14:textId="77777777" w:rsidR="00B15F7D" w:rsidRPr="00990FB6" w:rsidRDefault="00B15F7D" w:rsidP="00B15F7D">
            <w:pPr>
              <w:jc w:val="both"/>
              <w:rPr>
                <w:rFonts w:eastAsia="Calibri"/>
                <w:sz w:val="22"/>
                <w:szCs w:val="22"/>
                <w:lang w:eastAsia="en-US"/>
              </w:rPr>
            </w:pPr>
            <w:r w:rsidRPr="00990FB6">
              <w:rPr>
                <w:rFonts w:eastAsia="Calibri"/>
                <w:sz w:val="22"/>
                <w:szCs w:val="22"/>
                <w:lang w:eastAsia="en-US"/>
              </w:rPr>
              <w:t>Debido a la necesidad de crear secciones colegiadas o unipersonales en los Tribunales Penales de esas localidades.</w:t>
            </w:r>
          </w:p>
          <w:p w14:paraId="022BD767" w14:textId="77777777" w:rsidR="00B15F7D" w:rsidRPr="00990FB6" w:rsidRDefault="00B15F7D" w:rsidP="00B15F7D">
            <w:pPr>
              <w:jc w:val="both"/>
              <w:rPr>
                <w:rFonts w:eastAsia="Calibri"/>
                <w:sz w:val="22"/>
                <w:szCs w:val="22"/>
                <w:lang w:eastAsia="en-US"/>
              </w:rPr>
            </w:pPr>
          </w:p>
          <w:p w14:paraId="66F33892" w14:textId="77777777" w:rsidR="00B15F7D" w:rsidRPr="00990FB6" w:rsidRDefault="00B15F7D" w:rsidP="00B15F7D">
            <w:pPr>
              <w:jc w:val="both"/>
              <w:rPr>
                <w:rFonts w:eastAsia="Calibri"/>
                <w:sz w:val="22"/>
                <w:szCs w:val="22"/>
                <w:lang w:eastAsia="en-US"/>
              </w:rPr>
            </w:pPr>
            <w:r w:rsidRPr="00990FB6">
              <w:rPr>
                <w:rFonts w:eastAsia="Calibri"/>
                <w:sz w:val="22"/>
                <w:szCs w:val="22"/>
                <w:lang w:eastAsia="en-US"/>
              </w:rPr>
              <w:t xml:space="preserve">Adicionalmente, para la Fiscalía de San Carlos se recomienda asignar 3 recursos de Fiscal; no obstante, debido a las necesidades determinadas como parte de la implementación del Modelo Penal, </w:t>
            </w:r>
            <w:r w:rsidRPr="00990FB6">
              <w:rPr>
                <w:rFonts w:eastAsia="Calibri"/>
                <w:sz w:val="22"/>
                <w:szCs w:val="22"/>
                <w:lang w:eastAsia="en-US"/>
              </w:rPr>
              <w:lastRenderedPageBreak/>
              <w:t>es prioritaria la asignación de una plaza para la atención de una nueva sección unipersonal en el Tribunal Penal de Golfito; por lo que la Fiscalía de San Carlos, la recomendación en el escenario mínimo integral es de 2 fiscales.</w:t>
            </w:r>
          </w:p>
          <w:p w14:paraId="1BCE350D" w14:textId="77777777" w:rsidR="00B15F7D" w:rsidRPr="00990FB6" w:rsidRDefault="00B15F7D" w:rsidP="00B15F7D">
            <w:pPr>
              <w:jc w:val="both"/>
              <w:rPr>
                <w:rFonts w:eastAsia="Calibri"/>
                <w:sz w:val="22"/>
                <w:szCs w:val="22"/>
                <w:lang w:eastAsia="en-US"/>
              </w:rPr>
            </w:pPr>
          </w:p>
        </w:tc>
      </w:tr>
      <w:tr w:rsidR="00B15F7D" w:rsidRPr="00990FB6" w14:paraId="77CD4F66" w14:textId="77777777" w:rsidTr="000A0C22">
        <w:tc>
          <w:tcPr>
            <w:tcW w:w="3104" w:type="dxa"/>
            <w:vAlign w:val="center"/>
          </w:tcPr>
          <w:p w14:paraId="3A4F92F9" w14:textId="77777777" w:rsidR="00B15F7D" w:rsidRPr="00990FB6" w:rsidRDefault="00B15F7D" w:rsidP="00B15F7D">
            <w:pPr>
              <w:jc w:val="center"/>
              <w:rPr>
                <w:rFonts w:eastAsia="Calibri"/>
                <w:sz w:val="22"/>
                <w:szCs w:val="22"/>
                <w:lang w:eastAsia="en-US"/>
              </w:rPr>
            </w:pPr>
            <w:r w:rsidRPr="00990FB6">
              <w:rPr>
                <w:snapToGrid w:val="0"/>
                <w:sz w:val="22"/>
                <w:szCs w:val="22"/>
              </w:rPr>
              <w:lastRenderedPageBreak/>
              <w:t>271-PLA-RH-MI(PL)-2023- Tribunales Penales</w:t>
            </w:r>
          </w:p>
        </w:tc>
        <w:tc>
          <w:tcPr>
            <w:tcW w:w="2318" w:type="dxa"/>
            <w:vAlign w:val="center"/>
          </w:tcPr>
          <w:p w14:paraId="19C63AE4" w14:textId="77777777" w:rsidR="00B15F7D" w:rsidRPr="00990FB6" w:rsidRDefault="00B15F7D" w:rsidP="00B15F7D">
            <w:pPr>
              <w:rPr>
                <w:rFonts w:eastAsia="Calibri"/>
                <w:sz w:val="22"/>
                <w:szCs w:val="22"/>
                <w:lang w:eastAsia="en-US"/>
              </w:rPr>
            </w:pPr>
            <w:r w:rsidRPr="00990FB6">
              <w:rPr>
                <w:rFonts w:eastAsia="Calibri"/>
                <w:sz w:val="22"/>
                <w:szCs w:val="22"/>
                <w:lang w:eastAsia="en-US"/>
              </w:rPr>
              <w:t>Se recomienda la creación de las siguientes plazas:</w:t>
            </w:r>
          </w:p>
          <w:p w14:paraId="64CE0DE6" w14:textId="77777777" w:rsidR="00B15F7D" w:rsidRPr="00990FB6" w:rsidRDefault="00B15F7D" w:rsidP="00B15F7D">
            <w:pPr>
              <w:numPr>
                <w:ilvl w:val="0"/>
                <w:numId w:val="193"/>
              </w:numPr>
              <w:suppressAutoHyphens w:val="0"/>
              <w:rPr>
                <w:rFonts w:eastAsia="Calibri"/>
                <w:sz w:val="22"/>
                <w:szCs w:val="22"/>
              </w:rPr>
            </w:pPr>
            <w:r w:rsidRPr="00990FB6">
              <w:rPr>
                <w:rFonts w:eastAsia="Calibri"/>
                <w:sz w:val="22"/>
                <w:szCs w:val="22"/>
              </w:rPr>
              <w:t>36 de Juez o Jueza 4</w:t>
            </w:r>
          </w:p>
          <w:p w14:paraId="4FF81EEC" w14:textId="77777777" w:rsidR="00B15F7D" w:rsidRPr="00990FB6" w:rsidRDefault="00B15F7D" w:rsidP="00B15F7D">
            <w:pPr>
              <w:numPr>
                <w:ilvl w:val="0"/>
                <w:numId w:val="193"/>
              </w:numPr>
              <w:suppressAutoHyphens w:val="0"/>
              <w:rPr>
                <w:rFonts w:eastAsia="Calibri"/>
                <w:sz w:val="22"/>
                <w:szCs w:val="22"/>
              </w:rPr>
            </w:pPr>
            <w:r w:rsidRPr="00990FB6">
              <w:rPr>
                <w:rFonts w:eastAsia="Calibri"/>
                <w:sz w:val="22"/>
                <w:szCs w:val="22"/>
              </w:rPr>
              <w:t>4 de Jueza o Juez 1</w:t>
            </w:r>
          </w:p>
          <w:p w14:paraId="7CC732ED" w14:textId="77777777" w:rsidR="00B15F7D" w:rsidRPr="00990FB6" w:rsidRDefault="00B15F7D" w:rsidP="00B15F7D">
            <w:pPr>
              <w:numPr>
                <w:ilvl w:val="0"/>
                <w:numId w:val="193"/>
              </w:numPr>
              <w:suppressAutoHyphens w:val="0"/>
              <w:rPr>
                <w:rFonts w:eastAsia="Calibri"/>
                <w:sz w:val="22"/>
                <w:szCs w:val="22"/>
              </w:rPr>
            </w:pPr>
            <w:r w:rsidRPr="00990FB6">
              <w:rPr>
                <w:rFonts w:eastAsia="Calibri"/>
                <w:sz w:val="22"/>
                <w:szCs w:val="22"/>
              </w:rPr>
              <w:t>47 de personal técnico judicial 3</w:t>
            </w:r>
          </w:p>
        </w:tc>
        <w:tc>
          <w:tcPr>
            <w:tcW w:w="2327" w:type="dxa"/>
            <w:vAlign w:val="center"/>
          </w:tcPr>
          <w:p w14:paraId="00F99D38" w14:textId="77777777" w:rsidR="00B15F7D" w:rsidRPr="00990FB6" w:rsidRDefault="00B15F7D" w:rsidP="00B15F7D">
            <w:pPr>
              <w:rPr>
                <w:rFonts w:eastAsia="Calibri"/>
                <w:sz w:val="22"/>
                <w:szCs w:val="22"/>
                <w:lang w:eastAsia="en-US"/>
              </w:rPr>
            </w:pPr>
            <w:r w:rsidRPr="00990FB6">
              <w:rPr>
                <w:rFonts w:eastAsia="Calibri"/>
                <w:sz w:val="22"/>
                <w:szCs w:val="22"/>
                <w:lang w:eastAsia="en-US"/>
              </w:rPr>
              <w:t>Se recomienda la creación de las siguientes plazas:</w:t>
            </w:r>
          </w:p>
          <w:p w14:paraId="03112F36" w14:textId="77777777" w:rsidR="00B15F7D" w:rsidRPr="00990FB6" w:rsidRDefault="00B15F7D" w:rsidP="00B15F7D">
            <w:pPr>
              <w:numPr>
                <w:ilvl w:val="0"/>
                <w:numId w:val="193"/>
              </w:numPr>
              <w:suppressAutoHyphens w:val="0"/>
              <w:rPr>
                <w:rFonts w:eastAsia="Calibri"/>
                <w:sz w:val="22"/>
                <w:szCs w:val="22"/>
              </w:rPr>
            </w:pPr>
            <w:r w:rsidRPr="00990FB6">
              <w:rPr>
                <w:rFonts w:eastAsia="Calibri"/>
                <w:sz w:val="22"/>
                <w:szCs w:val="22"/>
              </w:rPr>
              <w:t>25 de Juez o Jueza 4</w:t>
            </w:r>
          </w:p>
          <w:p w14:paraId="454CD122" w14:textId="77777777" w:rsidR="00B15F7D" w:rsidRPr="00990FB6" w:rsidRDefault="00B15F7D" w:rsidP="00B15F7D">
            <w:pPr>
              <w:numPr>
                <w:ilvl w:val="0"/>
                <w:numId w:val="193"/>
              </w:numPr>
              <w:suppressAutoHyphens w:val="0"/>
              <w:rPr>
                <w:rFonts w:eastAsia="Calibri"/>
                <w:sz w:val="22"/>
                <w:szCs w:val="22"/>
              </w:rPr>
            </w:pPr>
            <w:r w:rsidRPr="00990FB6">
              <w:rPr>
                <w:rFonts w:eastAsia="Calibri"/>
                <w:sz w:val="22"/>
                <w:szCs w:val="22"/>
              </w:rPr>
              <w:t>4 de Jueza o Juez 1</w:t>
            </w:r>
          </w:p>
          <w:p w14:paraId="2EFFD244" w14:textId="77777777" w:rsidR="00B15F7D" w:rsidRPr="00990FB6" w:rsidRDefault="00B15F7D" w:rsidP="00B15F7D">
            <w:pPr>
              <w:numPr>
                <w:ilvl w:val="0"/>
                <w:numId w:val="193"/>
              </w:numPr>
              <w:suppressAutoHyphens w:val="0"/>
              <w:rPr>
                <w:rFonts w:eastAsia="Calibri"/>
                <w:sz w:val="22"/>
                <w:szCs w:val="22"/>
              </w:rPr>
            </w:pPr>
            <w:r w:rsidRPr="00990FB6">
              <w:rPr>
                <w:rFonts w:eastAsia="Calibri"/>
                <w:sz w:val="22"/>
                <w:szCs w:val="22"/>
              </w:rPr>
              <w:t>37 de personal técnico judicial 3</w:t>
            </w:r>
          </w:p>
        </w:tc>
        <w:tc>
          <w:tcPr>
            <w:tcW w:w="3308" w:type="dxa"/>
          </w:tcPr>
          <w:p w14:paraId="27323BD1" w14:textId="77777777" w:rsidR="00B15F7D" w:rsidRPr="00990FB6" w:rsidRDefault="00B15F7D" w:rsidP="00B15F7D">
            <w:pPr>
              <w:jc w:val="both"/>
              <w:rPr>
                <w:rFonts w:eastAsia="Calibri"/>
                <w:sz w:val="22"/>
                <w:szCs w:val="22"/>
                <w:lang w:eastAsia="en-US"/>
              </w:rPr>
            </w:pPr>
            <w:r w:rsidRPr="00990FB6">
              <w:rPr>
                <w:rFonts w:eastAsia="Calibri"/>
                <w:sz w:val="22"/>
                <w:szCs w:val="22"/>
                <w:lang w:eastAsia="en-US"/>
              </w:rPr>
              <w:t>Se disminuyó lo siguiente:</w:t>
            </w:r>
          </w:p>
          <w:p w14:paraId="4D2D94D8" w14:textId="77777777" w:rsidR="00B15F7D" w:rsidRPr="00990FB6" w:rsidRDefault="00B15F7D" w:rsidP="00B15F7D">
            <w:pPr>
              <w:numPr>
                <w:ilvl w:val="0"/>
                <w:numId w:val="193"/>
              </w:numPr>
              <w:suppressAutoHyphens w:val="0"/>
              <w:jc w:val="both"/>
              <w:rPr>
                <w:rFonts w:eastAsia="Calibri"/>
                <w:sz w:val="22"/>
                <w:szCs w:val="22"/>
              </w:rPr>
            </w:pPr>
            <w:r w:rsidRPr="00990FB6">
              <w:rPr>
                <w:rFonts w:eastAsia="Calibri"/>
                <w:sz w:val="22"/>
                <w:szCs w:val="22"/>
              </w:rPr>
              <w:t>Puntarenas se disminuyeron 2 plazas de jueza o juez y se aumentó una de técnica o técnico judicial.</w:t>
            </w:r>
          </w:p>
          <w:p w14:paraId="68B40D17" w14:textId="77777777" w:rsidR="00B15F7D" w:rsidRPr="00990FB6" w:rsidRDefault="00B15F7D" w:rsidP="00B15F7D">
            <w:pPr>
              <w:numPr>
                <w:ilvl w:val="0"/>
                <w:numId w:val="193"/>
              </w:numPr>
              <w:suppressAutoHyphens w:val="0"/>
              <w:jc w:val="both"/>
              <w:rPr>
                <w:rFonts w:eastAsia="Calibri"/>
                <w:sz w:val="22"/>
                <w:szCs w:val="22"/>
              </w:rPr>
            </w:pPr>
            <w:r w:rsidRPr="00990FB6">
              <w:rPr>
                <w:rFonts w:eastAsia="Calibri"/>
                <w:sz w:val="22"/>
                <w:szCs w:val="22"/>
              </w:rPr>
              <w:t>Liberia se disminuyeron 2 plazas de jueza o juez y 2 de técnica o técnico judicial.</w:t>
            </w:r>
          </w:p>
          <w:p w14:paraId="5E671767" w14:textId="77777777" w:rsidR="00B15F7D" w:rsidRPr="00990FB6" w:rsidRDefault="00B15F7D" w:rsidP="00B15F7D">
            <w:pPr>
              <w:numPr>
                <w:ilvl w:val="0"/>
                <w:numId w:val="193"/>
              </w:numPr>
              <w:suppressAutoHyphens w:val="0"/>
              <w:jc w:val="both"/>
              <w:rPr>
                <w:rFonts w:eastAsia="Calibri"/>
                <w:sz w:val="22"/>
                <w:szCs w:val="22"/>
              </w:rPr>
            </w:pPr>
            <w:r w:rsidRPr="00990FB6">
              <w:rPr>
                <w:rFonts w:eastAsia="Calibri"/>
                <w:sz w:val="22"/>
                <w:szCs w:val="22"/>
              </w:rPr>
              <w:t xml:space="preserve"> Guápiles se disminuyó 1 plaza de jueza o juez y 3 de técnica o técnico judicial.</w:t>
            </w:r>
          </w:p>
          <w:p w14:paraId="33F9A169" w14:textId="77777777" w:rsidR="00B15F7D" w:rsidRPr="00990FB6" w:rsidRDefault="00B15F7D" w:rsidP="00B15F7D">
            <w:pPr>
              <w:numPr>
                <w:ilvl w:val="0"/>
                <w:numId w:val="193"/>
              </w:numPr>
              <w:suppressAutoHyphens w:val="0"/>
              <w:jc w:val="both"/>
              <w:rPr>
                <w:rFonts w:eastAsia="Calibri"/>
                <w:sz w:val="22"/>
                <w:szCs w:val="22"/>
              </w:rPr>
            </w:pPr>
            <w:r w:rsidRPr="00990FB6">
              <w:rPr>
                <w:rFonts w:eastAsia="Calibri"/>
                <w:sz w:val="22"/>
                <w:szCs w:val="22"/>
              </w:rPr>
              <w:t>Limón se disminuyeron 2 plazas de jueza o juez y 2 de técnica o técnico judicial.</w:t>
            </w:r>
          </w:p>
          <w:p w14:paraId="0AB20E91" w14:textId="77777777" w:rsidR="00B15F7D" w:rsidRPr="00990FB6" w:rsidRDefault="00B15F7D" w:rsidP="00B15F7D">
            <w:pPr>
              <w:numPr>
                <w:ilvl w:val="0"/>
                <w:numId w:val="193"/>
              </w:numPr>
              <w:suppressAutoHyphens w:val="0"/>
              <w:jc w:val="both"/>
              <w:rPr>
                <w:rFonts w:eastAsia="Calibri"/>
                <w:sz w:val="22"/>
                <w:szCs w:val="22"/>
              </w:rPr>
            </w:pPr>
            <w:r w:rsidRPr="00990FB6">
              <w:rPr>
                <w:rFonts w:eastAsia="Calibri"/>
                <w:sz w:val="22"/>
                <w:szCs w:val="22"/>
              </w:rPr>
              <w:t>Heredia se disminuyó 1 plaza de jueza o juez y 2 de técnica o técnico judicial.</w:t>
            </w:r>
          </w:p>
          <w:p w14:paraId="6BE586D9" w14:textId="77777777" w:rsidR="00B15F7D" w:rsidRPr="00990FB6" w:rsidRDefault="00B15F7D" w:rsidP="00B15F7D">
            <w:pPr>
              <w:numPr>
                <w:ilvl w:val="0"/>
                <w:numId w:val="193"/>
              </w:numPr>
              <w:suppressAutoHyphens w:val="0"/>
              <w:jc w:val="both"/>
              <w:rPr>
                <w:rFonts w:eastAsia="Calibri"/>
                <w:sz w:val="22"/>
                <w:szCs w:val="22"/>
              </w:rPr>
            </w:pPr>
            <w:r w:rsidRPr="00990FB6">
              <w:rPr>
                <w:rFonts w:eastAsia="Calibri"/>
                <w:sz w:val="22"/>
                <w:szCs w:val="22"/>
              </w:rPr>
              <w:t xml:space="preserve"> Alajuela se disminuyeron 3 plazas de jueza o juez y 2 de técnica o técnico judicial.</w:t>
            </w:r>
          </w:p>
          <w:p w14:paraId="5F73192F" w14:textId="77777777" w:rsidR="00B15F7D" w:rsidRPr="00990FB6" w:rsidRDefault="00B15F7D" w:rsidP="00B15F7D">
            <w:pPr>
              <w:jc w:val="both"/>
              <w:rPr>
                <w:rFonts w:eastAsia="Calibri"/>
                <w:sz w:val="22"/>
                <w:szCs w:val="22"/>
                <w:lang w:eastAsia="en-US"/>
              </w:rPr>
            </w:pPr>
            <w:r w:rsidRPr="00990FB6">
              <w:rPr>
                <w:rFonts w:eastAsia="Calibri"/>
                <w:sz w:val="22"/>
                <w:szCs w:val="22"/>
                <w:lang w:eastAsia="en-US"/>
              </w:rPr>
              <w:t>Para los recursos humanos recomendados inicialmente a los Tribunales Penales de Pérez Zeledón y San Carlos, debido a que no han sido abordados por parte de la Dirección de Planificación, se considera prudente cambiar esa recomendación y asignarlos al Tribunal Penal de Cartago, que se encuentra en proceso de abordaje por parte del Modelo Penal, y al Tribunal Penal de Golfito, por cuanto se ha determinado que es un despacho prioritario para la asignación de recurso humano.</w:t>
            </w:r>
          </w:p>
          <w:p w14:paraId="5D99FEB5" w14:textId="77777777" w:rsidR="00B15F7D" w:rsidRPr="00990FB6" w:rsidRDefault="00B15F7D" w:rsidP="00B15F7D">
            <w:pPr>
              <w:jc w:val="both"/>
              <w:rPr>
                <w:rFonts w:eastAsia="Calibri"/>
                <w:sz w:val="22"/>
                <w:szCs w:val="22"/>
                <w:lang w:eastAsia="en-US"/>
              </w:rPr>
            </w:pPr>
          </w:p>
        </w:tc>
      </w:tr>
      <w:tr w:rsidR="00B15F7D" w:rsidRPr="00990FB6" w14:paraId="453CF60C" w14:textId="77777777" w:rsidTr="000A0C22">
        <w:tc>
          <w:tcPr>
            <w:tcW w:w="3104" w:type="dxa"/>
            <w:vAlign w:val="center"/>
          </w:tcPr>
          <w:p w14:paraId="1A6C009B" w14:textId="77777777" w:rsidR="00B15F7D" w:rsidRPr="00990FB6" w:rsidRDefault="00B15F7D" w:rsidP="00B15F7D">
            <w:pPr>
              <w:jc w:val="center"/>
              <w:rPr>
                <w:snapToGrid w:val="0"/>
                <w:sz w:val="22"/>
                <w:szCs w:val="22"/>
              </w:rPr>
            </w:pPr>
            <w:r w:rsidRPr="00990FB6">
              <w:rPr>
                <w:snapToGrid w:val="0"/>
                <w:sz w:val="22"/>
                <w:szCs w:val="22"/>
              </w:rPr>
              <w:lastRenderedPageBreak/>
              <w:t>Defensa Pública- sin informe de requerimiento humano</w:t>
            </w:r>
          </w:p>
        </w:tc>
        <w:tc>
          <w:tcPr>
            <w:tcW w:w="2318" w:type="dxa"/>
            <w:vAlign w:val="center"/>
          </w:tcPr>
          <w:p w14:paraId="3C5FFA39"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w:t>
            </w:r>
          </w:p>
        </w:tc>
        <w:tc>
          <w:tcPr>
            <w:tcW w:w="2327" w:type="dxa"/>
            <w:vAlign w:val="center"/>
          </w:tcPr>
          <w:p w14:paraId="490F3439" w14:textId="77777777" w:rsidR="00B15F7D" w:rsidRPr="00990FB6" w:rsidRDefault="00B15F7D" w:rsidP="00B15F7D">
            <w:pPr>
              <w:jc w:val="center"/>
              <w:rPr>
                <w:rFonts w:eastAsia="Calibri"/>
                <w:sz w:val="22"/>
                <w:szCs w:val="22"/>
                <w:lang w:eastAsia="en-US"/>
              </w:rPr>
            </w:pPr>
            <w:r w:rsidRPr="00990FB6">
              <w:rPr>
                <w:rFonts w:eastAsia="Calibri"/>
                <w:sz w:val="22"/>
                <w:szCs w:val="22"/>
                <w:lang w:eastAsia="en-US"/>
              </w:rPr>
              <w:t>12</w:t>
            </w:r>
          </w:p>
        </w:tc>
        <w:tc>
          <w:tcPr>
            <w:tcW w:w="3308" w:type="dxa"/>
          </w:tcPr>
          <w:p w14:paraId="67534E8A" w14:textId="77777777" w:rsidR="00B15F7D" w:rsidRPr="00990FB6" w:rsidRDefault="00B15F7D" w:rsidP="00B15F7D">
            <w:pPr>
              <w:jc w:val="both"/>
              <w:rPr>
                <w:rFonts w:eastAsia="Calibri"/>
                <w:sz w:val="22"/>
                <w:szCs w:val="22"/>
                <w:lang w:eastAsia="en-US"/>
              </w:rPr>
            </w:pPr>
            <w:r w:rsidRPr="00990FB6">
              <w:rPr>
                <w:rFonts w:eastAsia="Calibri"/>
                <w:sz w:val="22"/>
                <w:szCs w:val="22"/>
                <w:lang w:eastAsia="en-US"/>
              </w:rPr>
              <w:t>Debido a la necesidad de crear secciones colegiadas, unipersonales o mixtas en los Tribunales Penales de las siguientes localidades: Quepos, Sarapiquí, Siquirres, Turrialba, Cañas, Puntarenas, Guápiles, Limón, Heredia, Alajuela, Pérez Zeledón y San Carlos.</w:t>
            </w:r>
          </w:p>
          <w:p w14:paraId="01F8EA30" w14:textId="77777777" w:rsidR="00B15F7D" w:rsidRPr="00990FB6" w:rsidRDefault="00B15F7D" w:rsidP="00B15F7D">
            <w:pPr>
              <w:jc w:val="both"/>
              <w:rPr>
                <w:rFonts w:eastAsia="Calibri"/>
                <w:sz w:val="22"/>
                <w:szCs w:val="22"/>
                <w:lang w:eastAsia="en-US"/>
              </w:rPr>
            </w:pPr>
          </w:p>
        </w:tc>
      </w:tr>
    </w:tbl>
    <w:p w14:paraId="4EB8168F"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t>Fuente:</w:t>
      </w:r>
      <w:r w:rsidRPr="00990FB6">
        <w:rPr>
          <w:rFonts w:eastAsia="Calibri"/>
          <w:sz w:val="22"/>
          <w:szCs w:val="22"/>
        </w:rPr>
        <w:t xml:space="preserve"> Elaboración propia</w:t>
      </w:r>
    </w:p>
    <w:p w14:paraId="07464185" w14:textId="77777777" w:rsidR="00B15F7D" w:rsidRPr="00990FB6" w:rsidRDefault="00B15F7D" w:rsidP="00B15F7D">
      <w:pPr>
        <w:ind w:left="851" w:right="851" w:firstLine="709"/>
        <w:jc w:val="both"/>
        <w:rPr>
          <w:rFonts w:eastAsia="Calibri"/>
          <w:sz w:val="22"/>
          <w:szCs w:val="22"/>
        </w:rPr>
      </w:pPr>
    </w:p>
    <w:p w14:paraId="2D4C4F6D"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Es importante mencionar que, el requerimiento planteado para la atención de los asuntos de los despachos penales de: Quepos, Sarapiquí, Siquirres, Turrialba, Cañas y Santa Cruz, se recomiendan con la finalidad de fortalecer los Tribunales Penales con estructura mínima, es decir que, para resolver los expedientes de juicios colegiados, si esto no fuera otorgado sería  necesario que integren una sección colegiada temporal, en conjunto con los jueces y juezas de los Tribunales Penales cabecera de cada cantón (Heredia, Cartago, Puntarenas, Guápiles, Liberia y Nicoya), situación que limita la atención de ambas zonas, de ahí la importancia de dotar personal adicional de manera integral a estos despachos, además de gastos de transporte y tiempos muertos de movimiento de personal.</w:t>
      </w:r>
    </w:p>
    <w:p w14:paraId="638FE6B5" w14:textId="77777777" w:rsidR="00B15F7D" w:rsidRPr="00990FB6" w:rsidRDefault="00B15F7D" w:rsidP="00B15F7D">
      <w:pPr>
        <w:ind w:left="851" w:right="851" w:firstLine="709"/>
        <w:jc w:val="both"/>
        <w:rPr>
          <w:rFonts w:eastAsia="Calibri"/>
          <w:sz w:val="22"/>
          <w:szCs w:val="22"/>
        </w:rPr>
      </w:pPr>
    </w:p>
    <w:p w14:paraId="22928CFD"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 continuación, se muestra el costo total de creación de las plazas anteriormente mencionadas para la jurisdicción Penal:</w:t>
      </w:r>
    </w:p>
    <w:p w14:paraId="6B379A94" w14:textId="77777777" w:rsidR="00B15F7D" w:rsidRPr="00990FB6" w:rsidRDefault="00B15F7D" w:rsidP="00B15F7D">
      <w:pPr>
        <w:ind w:firstLine="709"/>
        <w:jc w:val="both"/>
        <w:rPr>
          <w:rFonts w:eastAsia="Calibri"/>
          <w:sz w:val="22"/>
          <w:szCs w:val="22"/>
        </w:rPr>
      </w:pPr>
    </w:p>
    <w:p w14:paraId="4F320358"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5</w:t>
      </w:r>
      <w:r w:rsidRPr="00990FB6">
        <w:rPr>
          <w:rFonts w:eastAsia="Calibri"/>
          <w:i/>
          <w:iCs/>
          <w:sz w:val="22"/>
          <w:szCs w:val="22"/>
          <w:lang w:eastAsia="en-US"/>
        </w:rPr>
        <w:fldChar w:fldCharType="end"/>
      </w:r>
    </w:p>
    <w:p w14:paraId="4CB7303E"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Costo total de requerimiento de recurso humano para la atención de la materia Penal a nivel nacional</w:t>
      </w:r>
    </w:p>
    <w:p w14:paraId="2AC29C3B" w14:textId="77777777" w:rsidR="00B15F7D" w:rsidRPr="00990FB6" w:rsidRDefault="00B15F7D" w:rsidP="00B15F7D">
      <w:pPr>
        <w:jc w:val="both"/>
        <w:rPr>
          <w:rFonts w:eastAsia="Calibri"/>
          <w:sz w:val="22"/>
          <w:szCs w:val="22"/>
        </w:rPr>
      </w:pPr>
    </w:p>
    <w:tbl>
      <w:tblPr>
        <w:tblW w:w="7787" w:type="dxa"/>
        <w:jc w:val="center"/>
        <w:tblCellMar>
          <w:left w:w="70" w:type="dxa"/>
          <w:right w:w="70" w:type="dxa"/>
        </w:tblCellMar>
        <w:tblLook w:val="04A0" w:firstRow="1" w:lastRow="0" w:firstColumn="1" w:lastColumn="0" w:noHBand="0" w:noVBand="1"/>
      </w:tblPr>
      <w:tblGrid>
        <w:gridCol w:w="2340"/>
        <w:gridCol w:w="1021"/>
        <w:gridCol w:w="1514"/>
        <w:gridCol w:w="1530"/>
        <w:gridCol w:w="1382"/>
      </w:tblGrid>
      <w:tr w:rsidR="00B15F7D" w:rsidRPr="00990FB6" w14:paraId="1D32E59F" w14:textId="77777777" w:rsidTr="000A0C22">
        <w:trPr>
          <w:trHeight w:val="492"/>
          <w:jc w:val="center"/>
        </w:trPr>
        <w:tc>
          <w:tcPr>
            <w:tcW w:w="2400" w:type="dxa"/>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06F057E2"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Categoría de plaza</w:t>
            </w:r>
          </w:p>
        </w:tc>
        <w:tc>
          <w:tcPr>
            <w:tcW w:w="851" w:type="dxa"/>
            <w:tcBorders>
              <w:top w:val="single" w:sz="8" w:space="0" w:color="E7E6E6"/>
              <w:left w:val="nil"/>
              <w:bottom w:val="single" w:sz="8" w:space="0" w:color="E7E6E6"/>
              <w:right w:val="single" w:sz="8" w:space="0" w:color="E7E6E6"/>
            </w:tcBorders>
            <w:shd w:val="clear" w:color="000000" w:fill="305496"/>
            <w:vAlign w:val="center"/>
            <w:hideMark/>
          </w:tcPr>
          <w:p w14:paraId="4D68216A"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Cantidad</w:t>
            </w:r>
          </w:p>
        </w:tc>
        <w:tc>
          <w:tcPr>
            <w:tcW w:w="1559" w:type="dxa"/>
            <w:tcBorders>
              <w:top w:val="single" w:sz="8" w:space="0" w:color="E7E6E6"/>
              <w:left w:val="nil"/>
              <w:bottom w:val="single" w:sz="8" w:space="0" w:color="E7E6E6"/>
              <w:right w:val="single" w:sz="8" w:space="0" w:color="E7E6E6"/>
            </w:tcBorders>
            <w:shd w:val="clear" w:color="000000" w:fill="305496"/>
            <w:vAlign w:val="center"/>
            <w:hideMark/>
          </w:tcPr>
          <w:p w14:paraId="2ED6AEB5"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Costo Total recurso humano</w:t>
            </w:r>
          </w:p>
        </w:tc>
        <w:tc>
          <w:tcPr>
            <w:tcW w:w="1559" w:type="dxa"/>
            <w:tcBorders>
              <w:top w:val="single" w:sz="8" w:space="0" w:color="E7E6E6"/>
              <w:left w:val="nil"/>
              <w:bottom w:val="single" w:sz="8" w:space="0" w:color="E7E6E6"/>
              <w:right w:val="single" w:sz="8" w:space="0" w:color="E7E6E6"/>
            </w:tcBorders>
            <w:shd w:val="clear" w:color="000000" w:fill="305496"/>
            <w:vAlign w:val="center"/>
            <w:hideMark/>
          </w:tcPr>
          <w:p w14:paraId="7CF92F5D"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Mobiliario y equipo</w:t>
            </w:r>
          </w:p>
        </w:tc>
        <w:tc>
          <w:tcPr>
            <w:tcW w:w="1418" w:type="dxa"/>
            <w:tcBorders>
              <w:top w:val="single" w:sz="8" w:space="0" w:color="E7E6E6"/>
              <w:left w:val="nil"/>
              <w:bottom w:val="single" w:sz="8" w:space="0" w:color="E7E6E6"/>
              <w:right w:val="single" w:sz="8" w:space="0" w:color="E7E6E6"/>
            </w:tcBorders>
            <w:shd w:val="clear" w:color="000000" w:fill="305496"/>
            <w:vAlign w:val="center"/>
            <w:hideMark/>
          </w:tcPr>
          <w:p w14:paraId="7E9B0C46"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TOTAL</w:t>
            </w:r>
          </w:p>
        </w:tc>
      </w:tr>
      <w:tr w:rsidR="00B15F7D" w:rsidRPr="00990FB6" w14:paraId="352644B0" w14:textId="77777777" w:rsidTr="000A0C22">
        <w:trPr>
          <w:trHeight w:val="300"/>
          <w:jc w:val="center"/>
        </w:trPr>
        <w:tc>
          <w:tcPr>
            <w:tcW w:w="2400" w:type="dxa"/>
            <w:tcBorders>
              <w:top w:val="nil"/>
              <w:left w:val="single" w:sz="8" w:space="0" w:color="D4D4D4"/>
              <w:bottom w:val="single" w:sz="8" w:space="0" w:color="D4D4D4"/>
              <w:right w:val="single" w:sz="8" w:space="0" w:color="D4D4D4"/>
            </w:tcBorders>
            <w:shd w:val="clear" w:color="auto" w:fill="auto"/>
            <w:vAlign w:val="center"/>
            <w:hideMark/>
          </w:tcPr>
          <w:p w14:paraId="449FD8E8" w14:textId="77777777" w:rsidR="00B15F7D" w:rsidRPr="00990FB6" w:rsidRDefault="00B15F7D" w:rsidP="00B15F7D">
            <w:pPr>
              <w:rPr>
                <w:color w:val="000000"/>
                <w:sz w:val="22"/>
                <w:szCs w:val="22"/>
                <w:lang w:eastAsia="es-CR"/>
              </w:rPr>
            </w:pPr>
            <w:r w:rsidRPr="00990FB6">
              <w:rPr>
                <w:color w:val="000000"/>
                <w:sz w:val="22"/>
                <w:szCs w:val="22"/>
                <w:lang w:eastAsia="es-CR"/>
              </w:rPr>
              <w:t>Jueces o Juezas 4</w:t>
            </w:r>
          </w:p>
        </w:tc>
        <w:tc>
          <w:tcPr>
            <w:tcW w:w="851" w:type="dxa"/>
            <w:tcBorders>
              <w:top w:val="nil"/>
              <w:left w:val="nil"/>
              <w:bottom w:val="single" w:sz="8" w:space="0" w:color="D4D4D4"/>
              <w:right w:val="single" w:sz="8" w:space="0" w:color="D4D4D4"/>
            </w:tcBorders>
            <w:shd w:val="clear" w:color="auto" w:fill="auto"/>
            <w:vAlign w:val="center"/>
            <w:hideMark/>
          </w:tcPr>
          <w:p w14:paraId="435115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w:t>
            </w:r>
          </w:p>
        </w:tc>
        <w:tc>
          <w:tcPr>
            <w:tcW w:w="1559" w:type="dxa"/>
            <w:tcBorders>
              <w:top w:val="nil"/>
              <w:left w:val="single" w:sz="8" w:space="0" w:color="E7E6E6"/>
              <w:bottom w:val="single" w:sz="8" w:space="0" w:color="E7E6E6"/>
              <w:right w:val="single" w:sz="8" w:space="0" w:color="E7E6E6"/>
            </w:tcBorders>
            <w:shd w:val="clear" w:color="000000" w:fill="FFFFFF"/>
            <w:vAlign w:val="center"/>
            <w:hideMark/>
          </w:tcPr>
          <w:p w14:paraId="18B0961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1 542 775 000,00</w:t>
            </w:r>
          </w:p>
        </w:tc>
        <w:tc>
          <w:tcPr>
            <w:tcW w:w="1559" w:type="dxa"/>
            <w:tcBorders>
              <w:top w:val="nil"/>
              <w:left w:val="nil"/>
              <w:bottom w:val="nil"/>
              <w:right w:val="single" w:sz="8" w:space="0" w:color="E7E6E6"/>
            </w:tcBorders>
            <w:shd w:val="clear" w:color="000000" w:fill="FFFFFF"/>
            <w:vAlign w:val="center"/>
            <w:hideMark/>
          </w:tcPr>
          <w:p w14:paraId="497B15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20 184 866,00</w:t>
            </w:r>
          </w:p>
        </w:tc>
        <w:tc>
          <w:tcPr>
            <w:tcW w:w="1418" w:type="dxa"/>
            <w:tcBorders>
              <w:top w:val="nil"/>
              <w:left w:val="nil"/>
              <w:bottom w:val="nil"/>
              <w:right w:val="single" w:sz="8" w:space="0" w:color="E7E6E6"/>
            </w:tcBorders>
            <w:shd w:val="clear" w:color="000000" w:fill="FFFFFF"/>
            <w:vAlign w:val="center"/>
            <w:hideMark/>
          </w:tcPr>
          <w:p w14:paraId="11E910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1 562 959 866,00</w:t>
            </w:r>
          </w:p>
        </w:tc>
      </w:tr>
      <w:tr w:rsidR="00B15F7D" w:rsidRPr="00990FB6" w14:paraId="49C51363" w14:textId="77777777" w:rsidTr="000A0C22">
        <w:trPr>
          <w:trHeight w:val="300"/>
          <w:jc w:val="center"/>
        </w:trPr>
        <w:tc>
          <w:tcPr>
            <w:tcW w:w="2400" w:type="dxa"/>
            <w:tcBorders>
              <w:top w:val="nil"/>
              <w:left w:val="single" w:sz="8" w:space="0" w:color="D4D4D4"/>
              <w:bottom w:val="single" w:sz="8" w:space="0" w:color="D4D4D4"/>
              <w:right w:val="single" w:sz="8" w:space="0" w:color="D4D4D4"/>
            </w:tcBorders>
            <w:shd w:val="clear" w:color="auto" w:fill="auto"/>
            <w:vAlign w:val="center"/>
            <w:hideMark/>
          </w:tcPr>
          <w:p w14:paraId="1825D98C" w14:textId="77777777" w:rsidR="00B15F7D" w:rsidRPr="00990FB6" w:rsidRDefault="00B15F7D" w:rsidP="00B15F7D">
            <w:pPr>
              <w:rPr>
                <w:color w:val="000000"/>
                <w:sz w:val="22"/>
                <w:szCs w:val="22"/>
                <w:lang w:eastAsia="es-CR"/>
              </w:rPr>
            </w:pPr>
            <w:r w:rsidRPr="00990FB6">
              <w:rPr>
                <w:color w:val="000000"/>
                <w:sz w:val="22"/>
                <w:szCs w:val="22"/>
                <w:lang w:eastAsia="es-CR"/>
              </w:rPr>
              <w:t>Jueces o Juezas 1</w:t>
            </w:r>
          </w:p>
        </w:tc>
        <w:tc>
          <w:tcPr>
            <w:tcW w:w="851" w:type="dxa"/>
            <w:tcBorders>
              <w:top w:val="nil"/>
              <w:left w:val="nil"/>
              <w:bottom w:val="single" w:sz="8" w:space="0" w:color="D4D4D4"/>
              <w:right w:val="single" w:sz="8" w:space="0" w:color="D4D4D4"/>
            </w:tcBorders>
            <w:shd w:val="clear" w:color="auto" w:fill="auto"/>
            <w:vAlign w:val="center"/>
            <w:hideMark/>
          </w:tcPr>
          <w:p w14:paraId="7F179F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1559" w:type="dxa"/>
            <w:tcBorders>
              <w:top w:val="nil"/>
              <w:left w:val="single" w:sz="8" w:space="0" w:color="E7E6E6"/>
              <w:bottom w:val="single" w:sz="8" w:space="0" w:color="E7E6E6"/>
              <w:right w:val="single" w:sz="8" w:space="0" w:color="E7E6E6"/>
            </w:tcBorders>
            <w:shd w:val="clear" w:color="000000" w:fill="FFFFFF"/>
            <w:vAlign w:val="center"/>
            <w:hideMark/>
          </w:tcPr>
          <w:p w14:paraId="485D7A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215 112 000,00</w:t>
            </w:r>
          </w:p>
        </w:tc>
        <w:tc>
          <w:tcPr>
            <w:tcW w:w="1559" w:type="dxa"/>
            <w:tcBorders>
              <w:top w:val="single" w:sz="8" w:space="0" w:color="E7E6E6"/>
              <w:left w:val="nil"/>
              <w:bottom w:val="nil"/>
              <w:right w:val="single" w:sz="8" w:space="0" w:color="E7E6E6"/>
            </w:tcBorders>
            <w:shd w:val="clear" w:color="000000" w:fill="FFFFFF"/>
            <w:vAlign w:val="center"/>
            <w:hideMark/>
          </w:tcPr>
          <w:p w14:paraId="4536C1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6 210 728,00</w:t>
            </w:r>
          </w:p>
        </w:tc>
        <w:tc>
          <w:tcPr>
            <w:tcW w:w="1418" w:type="dxa"/>
            <w:tcBorders>
              <w:top w:val="single" w:sz="8" w:space="0" w:color="E7E6E6"/>
              <w:left w:val="nil"/>
              <w:bottom w:val="nil"/>
              <w:right w:val="single" w:sz="8" w:space="0" w:color="E7E6E6"/>
            </w:tcBorders>
            <w:shd w:val="clear" w:color="000000" w:fill="FFFFFF"/>
            <w:vAlign w:val="center"/>
            <w:hideMark/>
          </w:tcPr>
          <w:p w14:paraId="60B6396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221 322 728,00</w:t>
            </w:r>
          </w:p>
        </w:tc>
      </w:tr>
      <w:tr w:rsidR="00B15F7D" w:rsidRPr="00990FB6" w14:paraId="33CE081F" w14:textId="77777777" w:rsidTr="000A0C22">
        <w:trPr>
          <w:trHeight w:val="300"/>
          <w:jc w:val="center"/>
        </w:trPr>
        <w:tc>
          <w:tcPr>
            <w:tcW w:w="2400" w:type="dxa"/>
            <w:tcBorders>
              <w:top w:val="nil"/>
              <w:left w:val="single" w:sz="8" w:space="0" w:color="D4D4D4"/>
              <w:bottom w:val="single" w:sz="8" w:space="0" w:color="D4D4D4"/>
              <w:right w:val="single" w:sz="8" w:space="0" w:color="D4D4D4"/>
            </w:tcBorders>
            <w:shd w:val="clear" w:color="auto" w:fill="auto"/>
            <w:vAlign w:val="center"/>
            <w:hideMark/>
          </w:tcPr>
          <w:p w14:paraId="2885972E" w14:textId="77777777" w:rsidR="00B15F7D" w:rsidRPr="00990FB6" w:rsidRDefault="00B15F7D" w:rsidP="00B15F7D">
            <w:pPr>
              <w:rPr>
                <w:color w:val="000000"/>
                <w:sz w:val="22"/>
                <w:szCs w:val="22"/>
                <w:lang w:eastAsia="es-CR"/>
              </w:rPr>
            </w:pPr>
            <w:r w:rsidRPr="00990FB6">
              <w:rPr>
                <w:color w:val="000000"/>
                <w:sz w:val="22"/>
                <w:szCs w:val="22"/>
                <w:lang w:eastAsia="es-CR"/>
              </w:rPr>
              <w:t>Técnicas o Técnicos Judiciales</w:t>
            </w:r>
          </w:p>
        </w:tc>
        <w:tc>
          <w:tcPr>
            <w:tcW w:w="851" w:type="dxa"/>
            <w:tcBorders>
              <w:top w:val="nil"/>
              <w:left w:val="nil"/>
              <w:bottom w:val="single" w:sz="8" w:space="0" w:color="D4D4D4"/>
              <w:right w:val="single" w:sz="8" w:space="0" w:color="D4D4D4"/>
            </w:tcBorders>
            <w:shd w:val="clear" w:color="auto" w:fill="auto"/>
            <w:vAlign w:val="center"/>
            <w:hideMark/>
          </w:tcPr>
          <w:p w14:paraId="28058D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c>
          <w:tcPr>
            <w:tcW w:w="1559" w:type="dxa"/>
            <w:tcBorders>
              <w:top w:val="nil"/>
              <w:left w:val="single" w:sz="8" w:space="0" w:color="E7E6E6"/>
              <w:bottom w:val="single" w:sz="8" w:space="0" w:color="E7E6E6"/>
              <w:right w:val="single" w:sz="8" w:space="0" w:color="E7E6E6"/>
            </w:tcBorders>
            <w:shd w:val="clear" w:color="000000" w:fill="FFFFFF"/>
            <w:vAlign w:val="center"/>
            <w:hideMark/>
          </w:tcPr>
          <w:p w14:paraId="78201C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617 012 000,00</w:t>
            </w:r>
          </w:p>
        </w:tc>
        <w:tc>
          <w:tcPr>
            <w:tcW w:w="1559" w:type="dxa"/>
            <w:tcBorders>
              <w:top w:val="single" w:sz="8" w:space="0" w:color="E7E6E6"/>
              <w:left w:val="nil"/>
              <w:bottom w:val="nil"/>
              <w:right w:val="single" w:sz="8" w:space="0" w:color="E7E6E6"/>
            </w:tcBorders>
            <w:shd w:val="clear" w:color="000000" w:fill="FFFFFF"/>
            <w:vAlign w:val="center"/>
            <w:hideMark/>
          </w:tcPr>
          <w:p w14:paraId="02E1AE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26 473 000,00</w:t>
            </w:r>
          </w:p>
        </w:tc>
        <w:tc>
          <w:tcPr>
            <w:tcW w:w="1418" w:type="dxa"/>
            <w:tcBorders>
              <w:top w:val="single" w:sz="8" w:space="0" w:color="E7E6E6"/>
              <w:left w:val="nil"/>
              <w:bottom w:val="nil"/>
              <w:right w:val="single" w:sz="8" w:space="0" w:color="E7E6E6"/>
            </w:tcBorders>
            <w:shd w:val="clear" w:color="000000" w:fill="FFFFFF"/>
            <w:vAlign w:val="center"/>
            <w:hideMark/>
          </w:tcPr>
          <w:p w14:paraId="26F583C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643 485 000,00</w:t>
            </w:r>
          </w:p>
        </w:tc>
      </w:tr>
      <w:tr w:rsidR="00B15F7D" w:rsidRPr="00990FB6" w14:paraId="0740C559" w14:textId="77777777" w:rsidTr="000A0C22">
        <w:trPr>
          <w:trHeight w:val="300"/>
          <w:jc w:val="center"/>
        </w:trPr>
        <w:tc>
          <w:tcPr>
            <w:tcW w:w="2400" w:type="dxa"/>
            <w:tcBorders>
              <w:top w:val="nil"/>
              <w:left w:val="single" w:sz="8" w:space="0" w:color="D4D4D4"/>
              <w:bottom w:val="single" w:sz="8" w:space="0" w:color="D4D4D4"/>
              <w:right w:val="single" w:sz="8" w:space="0" w:color="D4D4D4"/>
            </w:tcBorders>
            <w:shd w:val="clear" w:color="auto" w:fill="auto"/>
            <w:vAlign w:val="center"/>
            <w:hideMark/>
          </w:tcPr>
          <w:p w14:paraId="021A6408" w14:textId="77777777" w:rsidR="00B15F7D" w:rsidRPr="00990FB6" w:rsidRDefault="00B15F7D" w:rsidP="00B15F7D">
            <w:pPr>
              <w:rPr>
                <w:color w:val="000000"/>
                <w:sz w:val="22"/>
                <w:szCs w:val="22"/>
                <w:lang w:eastAsia="es-CR"/>
              </w:rPr>
            </w:pPr>
            <w:r w:rsidRPr="00990FB6">
              <w:rPr>
                <w:color w:val="000000"/>
                <w:sz w:val="22"/>
                <w:szCs w:val="22"/>
                <w:lang w:eastAsia="es-CR"/>
              </w:rPr>
              <w:t>Fiscales</w:t>
            </w:r>
          </w:p>
        </w:tc>
        <w:tc>
          <w:tcPr>
            <w:tcW w:w="851" w:type="dxa"/>
            <w:tcBorders>
              <w:top w:val="nil"/>
              <w:left w:val="nil"/>
              <w:bottom w:val="single" w:sz="8" w:space="0" w:color="D4D4D4"/>
              <w:right w:val="single" w:sz="8" w:space="0" w:color="D4D4D4"/>
            </w:tcBorders>
            <w:shd w:val="clear" w:color="auto" w:fill="auto"/>
            <w:vAlign w:val="center"/>
            <w:hideMark/>
          </w:tcPr>
          <w:p w14:paraId="497C47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w:t>
            </w:r>
          </w:p>
        </w:tc>
        <w:tc>
          <w:tcPr>
            <w:tcW w:w="1559" w:type="dxa"/>
            <w:tcBorders>
              <w:top w:val="nil"/>
              <w:left w:val="single" w:sz="8" w:space="0" w:color="E7E6E6"/>
              <w:bottom w:val="single" w:sz="8" w:space="0" w:color="E7E6E6"/>
              <w:right w:val="single" w:sz="8" w:space="0" w:color="E7E6E6"/>
            </w:tcBorders>
            <w:shd w:val="clear" w:color="000000" w:fill="FFFFFF"/>
            <w:vAlign w:val="center"/>
            <w:hideMark/>
          </w:tcPr>
          <w:p w14:paraId="3FCCBC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1 540 755 000,00</w:t>
            </w:r>
          </w:p>
        </w:tc>
        <w:tc>
          <w:tcPr>
            <w:tcW w:w="1559" w:type="dxa"/>
            <w:tcBorders>
              <w:top w:val="single" w:sz="8" w:space="0" w:color="E7E6E6"/>
              <w:left w:val="nil"/>
              <w:bottom w:val="nil"/>
              <w:right w:val="single" w:sz="8" w:space="0" w:color="E7E6E6"/>
            </w:tcBorders>
            <w:shd w:val="clear" w:color="000000" w:fill="FFFFFF"/>
            <w:vAlign w:val="center"/>
            <w:hideMark/>
          </w:tcPr>
          <w:p w14:paraId="2C72CDC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41 099 574,00</w:t>
            </w:r>
          </w:p>
        </w:tc>
        <w:tc>
          <w:tcPr>
            <w:tcW w:w="1418" w:type="dxa"/>
            <w:tcBorders>
              <w:top w:val="single" w:sz="8" w:space="0" w:color="E7E6E6"/>
              <w:left w:val="nil"/>
              <w:bottom w:val="nil"/>
              <w:right w:val="single" w:sz="8" w:space="0" w:color="E7E6E6"/>
            </w:tcBorders>
            <w:shd w:val="clear" w:color="000000" w:fill="FFFFFF"/>
            <w:vAlign w:val="center"/>
            <w:hideMark/>
          </w:tcPr>
          <w:p w14:paraId="4B4DEB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1 581 854 574,00</w:t>
            </w:r>
          </w:p>
        </w:tc>
      </w:tr>
      <w:tr w:rsidR="00B15F7D" w:rsidRPr="00990FB6" w14:paraId="0080560A" w14:textId="77777777" w:rsidTr="000A0C22">
        <w:trPr>
          <w:trHeight w:val="300"/>
          <w:jc w:val="center"/>
        </w:trPr>
        <w:tc>
          <w:tcPr>
            <w:tcW w:w="2400" w:type="dxa"/>
            <w:tcBorders>
              <w:top w:val="nil"/>
              <w:left w:val="single" w:sz="8" w:space="0" w:color="D4D4D4"/>
              <w:bottom w:val="single" w:sz="8" w:space="0" w:color="D4D4D4"/>
              <w:right w:val="single" w:sz="8" w:space="0" w:color="D4D4D4"/>
            </w:tcBorders>
            <w:shd w:val="clear" w:color="auto" w:fill="auto"/>
            <w:vAlign w:val="center"/>
            <w:hideMark/>
          </w:tcPr>
          <w:p w14:paraId="5ADFA1B3" w14:textId="77777777" w:rsidR="00B15F7D" w:rsidRPr="00990FB6" w:rsidRDefault="00B15F7D" w:rsidP="00B15F7D">
            <w:pPr>
              <w:rPr>
                <w:color w:val="000000"/>
                <w:sz w:val="22"/>
                <w:szCs w:val="22"/>
                <w:lang w:eastAsia="es-CR"/>
              </w:rPr>
            </w:pPr>
            <w:r w:rsidRPr="00990FB6">
              <w:rPr>
                <w:color w:val="000000"/>
                <w:sz w:val="22"/>
                <w:szCs w:val="22"/>
                <w:lang w:eastAsia="es-CR"/>
              </w:rPr>
              <w:t>Defensores</w:t>
            </w:r>
          </w:p>
        </w:tc>
        <w:tc>
          <w:tcPr>
            <w:tcW w:w="851" w:type="dxa"/>
            <w:tcBorders>
              <w:top w:val="nil"/>
              <w:left w:val="nil"/>
              <w:bottom w:val="single" w:sz="8" w:space="0" w:color="D4D4D4"/>
              <w:right w:val="single" w:sz="8" w:space="0" w:color="D4D4D4"/>
            </w:tcBorders>
            <w:shd w:val="clear" w:color="auto" w:fill="auto"/>
            <w:vAlign w:val="center"/>
            <w:hideMark/>
          </w:tcPr>
          <w:p w14:paraId="504B3C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1559" w:type="dxa"/>
            <w:tcBorders>
              <w:top w:val="nil"/>
              <w:left w:val="single" w:sz="8" w:space="0" w:color="E7E6E6"/>
              <w:bottom w:val="single" w:sz="8" w:space="0" w:color="E7E6E6"/>
              <w:right w:val="single" w:sz="8" w:space="0" w:color="E7E6E6"/>
            </w:tcBorders>
            <w:shd w:val="clear" w:color="000000" w:fill="FFFFFF"/>
            <w:vAlign w:val="center"/>
            <w:hideMark/>
          </w:tcPr>
          <w:p w14:paraId="716EFA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639 360 000,00</w:t>
            </w:r>
          </w:p>
        </w:tc>
        <w:tc>
          <w:tcPr>
            <w:tcW w:w="1559" w:type="dxa"/>
            <w:tcBorders>
              <w:top w:val="single" w:sz="8" w:space="0" w:color="E7E6E6"/>
              <w:left w:val="nil"/>
              <w:bottom w:val="nil"/>
              <w:right w:val="single" w:sz="8" w:space="0" w:color="E7E6E6"/>
            </w:tcBorders>
            <w:shd w:val="clear" w:color="000000" w:fill="FFFFFF"/>
            <w:vAlign w:val="center"/>
            <w:hideMark/>
          </w:tcPr>
          <w:p w14:paraId="4986CC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10 868 774,00</w:t>
            </w:r>
          </w:p>
        </w:tc>
        <w:tc>
          <w:tcPr>
            <w:tcW w:w="1418" w:type="dxa"/>
            <w:tcBorders>
              <w:top w:val="single" w:sz="8" w:space="0" w:color="E7E6E6"/>
              <w:left w:val="nil"/>
              <w:bottom w:val="nil"/>
              <w:right w:val="single" w:sz="8" w:space="0" w:color="E7E6E6"/>
            </w:tcBorders>
            <w:shd w:val="clear" w:color="000000" w:fill="FFFFFF"/>
            <w:vAlign w:val="center"/>
            <w:hideMark/>
          </w:tcPr>
          <w:p w14:paraId="535860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650 228 774,00</w:t>
            </w:r>
          </w:p>
        </w:tc>
      </w:tr>
      <w:tr w:rsidR="00B15F7D" w:rsidRPr="00990FB6" w14:paraId="36C6C87B" w14:textId="77777777" w:rsidTr="000A0C22">
        <w:trPr>
          <w:trHeight w:val="300"/>
          <w:jc w:val="center"/>
        </w:trPr>
        <w:tc>
          <w:tcPr>
            <w:tcW w:w="2400" w:type="dxa"/>
            <w:tcBorders>
              <w:top w:val="nil"/>
              <w:left w:val="single" w:sz="8" w:space="0" w:color="D4D4D4"/>
              <w:bottom w:val="single" w:sz="8" w:space="0" w:color="D4D4D4"/>
              <w:right w:val="single" w:sz="8" w:space="0" w:color="D4D4D4"/>
            </w:tcBorders>
            <w:shd w:val="clear" w:color="auto" w:fill="auto"/>
            <w:vAlign w:val="center"/>
            <w:hideMark/>
          </w:tcPr>
          <w:p w14:paraId="567164AB" w14:textId="77777777" w:rsidR="00B15F7D" w:rsidRPr="00990FB6" w:rsidRDefault="00B15F7D" w:rsidP="00B15F7D">
            <w:pPr>
              <w:rPr>
                <w:color w:val="000000"/>
                <w:sz w:val="22"/>
                <w:szCs w:val="22"/>
                <w:lang w:eastAsia="es-CR"/>
              </w:rPr>
            </w:pPr>
            <w:r w:rsidRPr="00990FB6">
              <w:rPr>
                <w:color w:val="000000"/>
                <w:sz w:val="22"/>
                <w:szCs w:val="22"/>
                <w:lang w:eastAsia="es-CR"/>
              </w:rPr>
              <w:t>Custodios de detenidos</w:t>
            </w:r>
          </w:p>
        </w:tc>
        <w:tc>
          <w:tcPr>
            <w:tcW w:w="851" w:type="dxa"/>
            <w:tcBorders>
              <w:top w:val="nil"/>
              <w:left w:val="nil"/>
              <w:bottom w:val="single" w:sz="8" w:space="0" w:color="D4D4D4"/>
              <w:right w:val="single" w:sz="8" w:space="0" w:color="D4D4D4"/>
            </w:tcBorders>
            <w:shd w:val="clear" w:color="auto" w:fill="auto"/>
            <w:vAlign w:val="center"/>
            <w:hideMark/>
          </w:tcPr>
          <w:p w14:paraId="572FE6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c>
          <w:tcPr>
            <w:tcW w:w="1559" w:type="dxa"/>
            <w:tcBorders>
              <w:top w:val="nil"/>
              <w:left w:val="single" w:sz="8" w:space="0" w:color="E7E6E6"/>
              <w:bottom w:val="single" w:sz="8" w:space="0" w:color="E7E6E6"/>
              <w:right w:val="single" w:sz="8" w:space="0" w:color="E7E6E6"/>
            </w:tcBorders>
            <w:shd w:val="clear" w:color="000000" w:fill="FFFFFF"/>
            <w:vAlign w:val="center"/>
            <w:hideMark/>
          </w:tcPr>
          <w:p w14:paraId="63A369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473 880 000,00</w:t>
            </w:r>
          </w:p>
        </w:tc>
        <w:tc>
          <w:tcPr>
            <w:tcW w:w="1559" w:type="dxa"/>
            <w:tcBorders>
              <w:top w:val="single" w:sz="8" w:space="0" w:color="E7E6E6"/>
              <w:left w:val="nil"/>
              <w:bottom w:val="single" w:sz="8" w:space="0" w:color="E7E6E6"/>
              <w:right w:val="single" w:sz="8" w:space="0" w:color="E7E6E6"/>
            </w:tcBorders>
            <w:shd w:val="clear" w:color="000000" w:fill="FFFFFF"/>
            <w:vAlign w:val="center"/>
            <w:hideMark/>
          </w:tcPr>
          <w:p w14:paraId="0F121B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28 088 872,00</w:t>
            </w:r>
          </w:p>
        </w:tc>
        <w:tc>
          <w:tcPr>
            <w:tcW w:w="1418" w:type="dxa"/>
            <w:tcBorders>
              <w:top w:val="single" w:sz="8" w:space="0" w:color="E7E6E6"/>
              <w:left w:val="nil"/>
              <w:bottom w:val="nil"/>
              <w:right w:val="single" w:sz="8" w:space="0" w:color="E7E6E6"/>
            </w:tcBorders>
            <w:shd w:val="clear" w:color="000000" w:fill="FFFFFF"/>
            <w:vAlign w:val="center"/>
            <w:hideMark/>
          </w:tcPr>
          <w:p w14:paraId="44BD8C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501 968 872,00</w:t>
            </w:r>
          </w:p>
        </w:tc>
      </w:tr>
      <w:tr w:rsidR="00B15F7D" w:rsidRPr="00990FB6" w14:paraId="14CD76E8" w14:textId="77777777" w:rsidTr="000A0C22">
        <w:trPr>
          <w:trHeight w:val="300"/>
          <w:jc w:val="center"/>
        </w:trPr>
        <w:tc>
          <w:tcPr>
            <w:tcW w:w="2400" w:type="dxa"/>
            <w:tcBorders>
              <w:top w:val="single" w:sz="8" w:space="0" w:color="E7E6E6"/>
              <w:left w:val="single" w:sz="8" w:space="0" w:color="E7E6E6"/>
              <w:bottom w:val="single" w:sz="8" w:space="0" w:color="E7E6E6"/>
              <w:right w:val="single" w:sz="8" w:space="0" w:color="E7E6E6"/>
            </w:tcBorders>
            <w:shd w:val="clear" w:color="000000" w:fill="DEEAF6"/>
            <w:vAlign w:val="center"/>
            <w:hideMark/>
          </w:tcPr>
          <w:p w14:paraId="0305F1CD" w14:textId="77777777" w:rsidR="00B15F7D" w:rsidRPr="00990FB6" w:rsidRDefault="00B15F7D" w:rsidP="00B15F7D">
            <w:pPr>
              <w:rPr>
                <w:b/>
                <w:bCs/>
                <w:color w:val="3A3838"/>
                <w:sz w:val="22"/>
                <w:szCs w:val="22"/>
                <w:lang w:eastAsia="es-CR"/>
              </w:rPr>
            </w:pPr>
            <w:r w:rsidRPr="00990FB6">
              <w:rPr>
                <w:b/>
                <w:bCs/>
                <w:color w:val="3A3838"/>
                <w:sz w:val="22"/>
                <w:szCs w:val="22"/>
                <w:lang w:eastAsia="es-CR"/>
              </w:rPr>
              <w:t>Requerimiento total</w:t>
            </w:r>
          </w:p>
        </w:tc>
        <w:tc>
          <w:tcPr>
            <w:tcW w:w="851" w:type="dxa"/>
            <w:tcBorders>
              <w:top w:val="single" w:sz="8" w:space="0" w:color="E7E6E6"/>
              <w:left w:val="nil"/>
              <w:bottom w:val="single" w:sz="8" w:space="0" w:color="E7E6E6"/>
              <w:right w:val="single" w:sz="8" w:space="0" w:color="E7E6E6"/>
            </w:tcBorders>
            <w:shd w:val="clear" w:color="000000" w:fill="DEEAF6"/>
            <w:vAlign w:val="center"/>
            <w:hideMark/>
          </w:tcPr>
          <w:p w14:paraId="1619F428"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129</w:t>
            </w:r>
          </w:p>
        </w:tc>
        <w:tc>
          <w:tcPr>
            <w:tcW w:w="1559" w:type="dxa"/>
            <w:tcBorders>
              <w:top w:val="nil"/>
              <w:left w:val="nil"/>
              <w:bottom w:val="single" w:sz="8" w:space="0" w:color="E7E6E6"/>
              <w:right w:val="single" w:sz="8" w:space="0" w:color="E7E6E6"/>
            </w:tcBorders>
            <w:shd w:val="clear" w:color="000000" w:fill="DEEAF6"/>
            <w:vAlign w:val="center"/>
            <w:hideMark/>
          </w:tcPr>
          <w:p w14:paraId="7CB85C3A"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5 028 894 000,00</w:t>
            </w:r>
          </w:p>
        </w:tc>
        <w:tc>
          <w:tcPr>
            <w:tcW w:w="1559" w:type="dxa"/>
            <w:tcBorders>
              <w:top w:val="nil"/>
              <w:left w:val="nil"/>
              <w:bottom w:val="single" w:sz="8" w:space="0" w:color="E7E6E6"/>
              <w:right w:val="single" w:sz="8" w:space="0" w:color="E7E6E6"/>
            </w:tcBorders>
            <w:shd w:val="clear" w:color="000000" w:fill="DEEAF6"/>
            <w:vAlign w:val="center"/>
            <w:hideMark/>
          </w:tcPr>
          <w:p w14:paraId="47B708AB"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132 925 814,00</w:t>
            </w:r>
          </w:p>
        </w:tc>
        <w:tc>
          <w:tcPr>
            <w:tcW w:w="1418" w:type="dxa"/>
            <w:tcBorders>
              <w:top w:val="single" w:sz="8" w:space="0" w:color="E7E6E6"/>
              <w:left w:val="nil"/>
              <w:bottom w:val="single" w:sz="8" w:space="0" w:color="E7E6E6"/>
              <w:right w:val="single" w:sz="8" w:space="0" w:color="E7E6E6"/>
            </w:tcBorders>
            <w:shd w:val="clear" w:color="000000" w:fill="DEEAF6"/>
            <w:vAlign w:val="center"/>
            <w:hideMark/>
          </w:tcPr>
          <w:p w14:paraId="53D45BAA"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5 161 819 814,00</w:t>
            </w:r>
          </w:p>
        </w:tc>
      </w:tr>
    </w:tbl>
    <w:p w14:paraId="29575635"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lastRenderedPageBreak/>
        <w:t>Fuente:</w:t>
      </w:r>
      <w:r w:rsidRPr="00990FB6">
        <w:rPr>
          <w:rFonts w:eastAsia="Calibri"/>
          <w:sz w:val="22"/>
          <w:szCs w:val="22"/>
        </w:rPr>
        <w:t xml:space="preserve"> Elaboración propia</w:t>
      </w:r>
    </w:p>
    <w:p w14:paraId="16930460" w14:textId="77777777" w:rsidR="00B15F7D" w:rsidRPr="00990FB6" w:rsidRDefault="00B15F7D" w:rsidP="00B15F7D">
      <w:pPr>
        <w:ind w:left="851" w:right="851" w:firstLine="709"/>
        <w:jc w:val="both"/>
        <w:rPr>
          <w:rFonts w:eastAsia="Calibri"/>
          <w:sz w:val="22"/>
          <w:szCs w:val="22"/>
          <w:highlight w:val="yellow"/>
        </w:rPr>
      </w:pPr>
    </w:p>
    <w:p w14:paraId="211B978A" w14:textId="77777777" w:rsidR="00B15F7D" w:rsidRPr="00990FB6" w:rsidRDefault="00B15F7D" w:rsidP="00B15F7D">
      <w:pPr>
        <w:ind w:left="851" w:right="851" w:firstLine="709"/>
        <w:jc w:val="both"/>
        <w:rPr>
          <w:snapToGrid w:val="0"/>
          <w:sz w:val="22"/>
          <w:szCs w:val="22"/>
        </w:rPr>
      </w:pPr>
      <w:r w:rsidRPr="00990FB6">
        <w:rPr>
          <w:snapToGrid w:val="0"/>
          <w:sz w:val="22"/>
          <w:szCs w:val="22"/>
        </w:rPr>
        <w:t>Para el costo total del requerimiento para el escenario #2, es de ₡ 5 161 819 814, 00 distribuido en recurso humano ₡ 5 028 894 000,00 y gasto variable ₡ 132 925 814,00, para este último rubro no se contempla necesidad de mobiliario y equipo, para que aquellas plazas de recurso humano, que actualmente ha sido cubierta por medio de permisos con goce de salario, debido a que el personal ya cuenta con su mobiliario y equipo de cómputo y no es necesario incluir este costo variable en el escenario 2.</w:t>
      </w:r>
    </w:p>
    <w:p w14:paraId="3A91599B" w14:textId="77777777" w:rsidR="00B15F7D" w:rsidRPr="00990FB6" w:rsidRDefault="00B15F7D" w:rsidP="00B15F7D">
      <w:pPr>
        <w:ind w:left="851" w:right="851" w:firstLine="709"/>
        <w:jc w:val="both"/>
        <w:rPr>
          <w:snapToGrid w:val="0"/>
          <w:sz w:val="22"/>
          <w:szCs w:val="22"/>
        </w:rPr>
      </w:pPr>
    </w:p>
    <w:p w14:paraId="75276C4B" w14:textId="77777777" w:rsidR="00B15F7D" w:rsidRPr="00990FB6" w:rsidRDefault="00B15F7D" w:rsidP="00B15F7D">
      <w:pPr>
        <w:numPr>
          <w:ilvl w:val="0"/>
          <w:numId w:val="191"/>
        </w:numPr>
        <w:suppressAutoHyphens w:val="0"/>
        <w:ind w:left="851" w:right="851" w:firstLine="709"/>
        <w:jc w:val="both"/>
        <w:rPr>
          <w:snapToGrid w:val="0"/>
          <w:sz w:val="22"/>
          <w:szCs w:val="22"/>
          <w:u w:val="single"/>
        </w:rPr>
      </w:pPr>
      <w:r w:rsidRPr="00990FB6">
        <w:rPr>
          <w:snapToGrid w:val="0"/>
          <w:sz w:val="22"/>
          <w:szCs w:val="22"/>
          <w:u w:val="single"/>
        </w:rPr>
        <w:t>Escenario 3, estructuras básicas nacional + Ejecución de la Pena</w:t>
      </w:r>
    </w:p>
    <w:p w14:paraId="0472630C" w14:textId="77777777" w:rsidR="00B15F7D" w:rsidRPr="00990FB6" w:rsidRDefault="00B15F7D" w:rsidP="00B15F7D">
      <w:pPr>
        <w:ind w:left="851" w:right="851" w:firstLine="709"/>
        <w:jc w:val="both"/>
        <w:rPr>
          <w:snapToGrid w:val="0"/>
          <w:sz w:val="22"/>
          <w:szCs w:val="22"/>
        </w:rPr>
      </w:pPr>
      <w:r w:rsidRPr="00990FB6">
        <w:rPr>
          <w:snapToGrid w:val="0"/>
          <w:sz w:val="22"/>
          <w:szCs w:val="22"/>
        </w:rPr>
        <w:t>Como parte de las necesidades institucionales, se considera necesario agregar al escenario 2, planteado anteriormente, el requerimiento humano de la jurisdicción de Ejecución de la Pena:</w:t>
      </w:r>
    </w:p>
    <w:p w14:paraId="334E891E" w14:textId="77777777" w:rsidR="00B15F7D" w:rsidRPr="00990FB6" w:rsidRDefault="00B15F7D" w:rsidP="00B15F7D">
      <w:pPr>
        <w:ind w:firstLine="709"/>
        <w:jc w:val="both"/>
        <w:rPr>
          <w:snapToGrid w:val="0"/>
          <w:sz w:val="22"/>
          <w:szCs w:val="22"/>
        </w:rPr>
      </w:pPr>
    </w:p>
    <w:p w14:paraId="66EF21DB"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6</w:t>
      </w:r>
      <w:r w:rsidRPr="00990FB6">
        <w:rPr>
          <w:rFonts w:eastAsia="Calibri"/>
          <w:i/>
          <w:iCs/>
          <w:sz w:val="22"/>
          <w:szCs w:val="22"/>
          <w:lang w:eastAsia="en-US"/>
        </w:rPr>
        <w:fldChar w:fldCharType="end"/>
      </w:r>
    </w:p>
    <w:p w14:paraId="7EF2C637"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Escenario 3, estructura básica nacional + Ejecución de la Pena, requerimiento de recurso humano para los Tribunales Penales, Fiscalía, Defensa y OIJ del país</w:t>
      </w:r>
    </w:p>
    <w:p w14:paraId="42AB2F41" w14:textId="77777777" w:rsidR="00B15F7D" w:rsidRPr="00990FB6" w:rsidRDefault="00B15F7D" w:rsidP="00B15F7D">
      <w:pPr>
        <w:jc w:val="both"/>
        <w:rPr>
          <w:snapToGrid w:val="0"/>
          <w:sz w:val="22"/>
          <w:szCs w:val="22"/>
        </w:rPr>
      </w:pPr>
    </w:p>
    <w:tbl>
      <w:tblPr>
        <w:tblW w:w="0" w:type="auto"/>
        <w:jc w:val="center"/>
        <w:tblCellMar>
          <w:left w:w="70" w:type="dxa"/>
          <w:right w:w="70" w:type="dxa"/>
        </w:tblCellMar>
        <w:tblLook w:val="04A0" w:firstRow="1" w:lastRow="0" w:firstColumn="1" w:lastColumn="0" w:noHBand="0" w:noVBand="1"/>
      </w:tblPr>
      <w:tblGrid>
        <w:gridCol w:w="728"/>
        <w:gridCol w:w="480"/>
        <w:gridCol w:w="480"/>
        <w:gridCol w:w="480"/>
        <w:gridCol w:w="833"/>
        <w:gridCol w:w="701"/>
        <w:gridCol w:w="701"/>
        <w:gridCol w:w="425"/>
        <w:gridCol w:w="1197"/>
        <w:gridCol w:w="556"/>
        <w:gridCol w:w="990"/>
        <w:gridCol w:w="348"/>
        <w:gridCol w:w="425"/>
      </w:tblGrid>
      <w:tr w:rsidR="00B15F7D" w:rsidRPr="00990FB6" w14:paraId="01FCC834" w14:textId="77777777" w:rsidTr="000A0C22">
        <w:trPr>
          <w:trHeight w:val="300"/>
          <w:jc w:val="center"/>
        </w:trPr>
        <w:tc>
          <w:tcPr>
            <w:tcW w:w="0" w:type="auto"/>
            <w:vMerge w:val="restart"/>
            <w:tcBorders>
              <w:top w:val="single" w:sz="8" w:space="0" w:color="E7E6E6"/>
              <w:left w:val="single" w:sz="8" w:space="0" w:color="E7E6E6"/>
              <w:bottom w:val="single" w:sz="8" w:space="0" w:color="E7E6E6"/>
              <w:right w:val="single" w:sz="18" w:space="0" w:color="E7E6E6"/>
            </w:tcBorders>
            <w:shd w:val="clear" w:color="000000" w:fill="305496"/>
            <w:vAlign w:val="center"/>
            <w:hideMark/>
          </w:tcPr>
          <w:p w14:paraId="3C40B372"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Despacho</w:t>
            </w:r>
          </w:p>
        </w:tc>
        <w:tc>
          <w:tcPr>
            <w:tcW w:w="0" w:type="auto"/>
            <w:gridSpan w:val="7"/>
            <w:tcBorders>
              <w:top w:val="single" w:sz="18" w:space="0" w:color="E7E6E6"/>
              <w:left w:val="single" w:sz="18" w:space="0" w:color="E7E6E6"/>
              <w:bottom w:val="single" w:sz="8" w:space="0" w:color="E7E6E6"/>
              <w:right w:val="single" w:sz="18" w:space="0" w:color="E7E6E6"/>
            </w:tcBorders>
            <w:shd w:val="clear" w:color="000000" w:fill="5B9BD5"/>
            <w:noWrap/>
            <w:vAlign w:val="center"/>
            <w:hideMark/>
          </w:tcPr>
          <w:p w14:paraId="1930E64C"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REQUERIMIENTO ÁMBITO JURISDICCIONAL</w:t>
            </w:r>
          </w:p>
        </w:tc>
        <w:tc>
          <w:tcPr>
            <w:tcW w:w="0" w:type="auto"/>
            <w:gridSpan w:val="5"/>
            <w:tcBorders>
              <w:top w:val="single" w:sz="8" w:space="0" w:color="E7E6E6"/>
              <w:left w:val="single" w:sz="18" w:space="0" w:color="E7E6E6"/>
              <w:bottom w:val="single" w:sz="8" w:space="0" w:color="E7E6E6"/>
              <w:right w:val="single" w:sz="8" w:space="0" w:color="E7E6E6"/>
            </w:tcBorders>
            <w:shd w:val="clear" w:color="000000" w:fill="C65911"/>
            <w:noWrap/>
            <w:vAlign w:val="center"/>
            <w:hideMark/>
          </w:tcPr>
          <w:p w14:paraId="03FFA8D6"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REQUERIMIENTO ÁMBITO AUXILIAR DE JUSTICIA</w:t>
            </w:r>
          </w:p>
        </w:tc>
      </w:tr>
      <w:tr w:rsidR="00990FB6" w:rsidRPr="00990FB6" w14:paraId="2961BDCA" w14:textId="77777777" w:rsidTr="000A0C22">
        <w:trPr>
          <w:trHeight w:val="492"/>
          <w:jc w:val="center"/>
        </w:trPr>
        <w:tc>
          <w:tcPr>
            <w:tcW w:w="0" w:type="auto"/>
            <w:vMerge/>
            <w:tcBorders>
              <w:top w:val="single" w:sz="8" w:space="0" w:color="E7E6E6"/>
              <w:left w:val="single" w:sz="8" w:space="0" w:color="E7E6E6"/>
              <w:bottom w:val="single" w:sz="12" w:space="0" w:color="D4D4D4"/>
              <w:right w:val="single" w:sz="18" w:space="0" w:color="E7E6E6"/>
            </w:tcBorders>
            <w:vAlign w:val="center"/>
            <w:hideMark/>
          </w:tcPr>
          <w:p w14:paraId="599917AE" w14:textId="77777777" w:rsidR="00B15F7D" w:rsidRPr="00990FB6" w:rsidRDefault="00B15F7D" w:rsidP="00B15F7D">
            <w:pPr>
              <w:rPr>
                <w:b/>
                <w:bCs/>
                <w:color w:val="FFFFFF"/>
                <w:sz w:val="22"/>
                <w:szCs w:val="22"/>
                <w:lang w:eastAsia="es-CR"/>
              </w:rPr>
            </w:pPr>
          </w:p>
        </w:tc>
        <w:tc>
          <w:tcPr>
            <w:tcW w:w="0" w:type="auto"/>
            <w:tcBorders>
              <w:top w:val="nil"/>
              <w:left w:val="single" w:sz="18" w:space="0" w:color="E7E6E6"/>
              <w:bottom w:val="single" w:sz="12" w:space="0" w:color="D4D4D4"/>
              <w:right w:val="single" w:sz="8" w:space="0" w:color="E7E6E6"/>
            </w:tcBorders>
            <w:shd w:val="clear" w:color="000000" w:fill="305496"/>
            <w:vAlign w:val="center"/>
            <w:hideMark/>
          </w:tcPr>
          <w:p w14:paraId="612E4F2B"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Juez/a 4</w:t>
            </w:r>
          </w:p>
        </w:tc>
        <w:tc>
          <w:tcPr>
            <w:tcW w:w="0" w:type="auto"/>
            <w:tcBorders>
              <w:top w:val="nil"/>
              <w:left w:val="nil"/>
              <w:bottom w:val="single" w:sz="12" w:space="0" w:color="D4D4D4"/>
              <w:right w:val="single" w:sz="8" w:space="0" w:color="E7E6E6"/>
            </w:tcBorders>
            <w:shd w:val="clear" w:color="000000" w:fill="305496"/>
            <w:vAlign w:val="center"/>
            <w:hideMark/>
          </w:tcPr>
          <w:p w14:paraId="48A0171C"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Juez/a 2</w:t>
            </w:r>
          </w:p>
        </w:tc>
        <w:tc>
          <w:tcPr>
            <w:tcW w:w="0" w:type="auto"/>
            <w:tcBorders>
              <w:top w:val="nil"/>
              <w:left w:val="nil"/>
              <w:bottom w:val="single" w:sz="12" w:space="0" w:color="D4D4D4"/>
              <w:right w:val="single" w:sz="8" w:space="0" w:color="E7E6E6"/>
            </w:tcBorders>
            <w:shd w:val="clear" w:color="000000" w:fill="305496"/>
            <w:vAlign w:val="center"/>
            <w:hideMark/>
          </w:tcPr>
          <w:p w14:paraId="40A37BF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Juez/a 1</w:t>
            </w:r>
          </w:p>
        </w:tc>
        <w:tc>
          <w:tcPr>
            <w:tcW w:w="0" w:type="auto"/>
            <w:tcBorders>
              <w:top w:val="nil"/>
              <w:left w:val="nil"/>
              <w:bottom w:val="single" w:sz="12" w:space="0" w:color="D4D4D4"/>
              <w:right w:val="single" w:sz="8" w:space="0" w:color="E7E6E6"/>
            </w:tcBorders>
            <w:shd w:val="clear" w:color="000000" w:fill="305496"/>
            <w:vAlign w:val="center"/>
            <w:hideMark/>
          </w:tcPr>
          <w:p w14:paraId="5AD88B8D"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Coordinador (a) Judicial 2</w:t>
            </w:r>
          </w:p>
        </w:tc>
        <w:tc>
          <w:tcPr>
            <w:tcW w:w="0" w:type="auto"/>
            <w:tcBorders>
              <w:top w:val="nil"/>
              <w:left w:val="nil"/>
              <w:bottom w:val="single" w:sz="12" w:space="0" w:color="D4D4D4"/>
              <w:right w:val="single" w:sz="8" w:space="0" w:color="E7E6E6"/>
            </w:tcBorders>
            <w:shd w:val="clear" w:color="000000" w:fill="305496"/>
            <w:vAlign w:val="center"/>
            <w:hideMark/>
          </w:tcPr>
          <w:p w14:paraId="406E769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Técnico(a) Judicial 3</w:t>
            </w:r>
          </w:p>
        </w:tc>
        <w:tc>
          <w:tcPr>
            <w:tcW w:w="0" w:type="auto"/>
            <w:tcBorders>
              <w:top w:val="nil"/>
              <w:left w:val="nil"/>
              <w:bottom w:val="single" w:sz="12" w:space="0" w:color="D4D4D4"/>
              <w:right w:val="single" w:sz="18" w:space="0" w:color="E7E6E6"/>
            </w:tcBorders>
            <w:shd w:val="clear" w:color="000000" w:fill="305496"/>
            <w:vAlign w:val="center"/>
            <w:hideMark/>
          </w:tcPr>
          <w:p w14:paraId="68C94F6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Técnico(a) Judicial 2</w:t>
            </w:r>
          </w:p>
        </w:tc>
        <w:tc>
          <w:tcPr>
            <w:tcW w:w="0" w:type="auto"/>
            <w:tcBorders>
              <w:top w:val="nil"/>
              <w:left w:val="single" w:sz="18" w:space="0" w:color="E7E6E6"/>
              <w:bottom w:val="single" w:sz="12" w:space="0" w:color="D4D4D4"/>
              <w:right w:val="single" w:sz="8" w:space="0" w:color="E7E6E6"/>
            </w:tcBorders>
            <w:shd w:val="clear" w:color="000000" w:fill="548235"/>
            <w:vAlign w:val="center"/>
            <w:hideMark/>
          </w:tcPr>
          <w:p w14:paraId="0DF92C78"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Total</w:t>
            </w:r>
          </w:p>
        </w:tc>
        <w:tc>
          <w:tcPr>
            <w:tcW w:w="0" w:type="auto"/>
            <w:tcBorders>
              <w:top w:val="nil"/>
              <w:left w:val="nil"/>
              <w:bottom w:val="single" w:sz="12" w:space="0" w:color="D4D4D4"/>
              <w:right w:val="single" w:sz="8" w:space="0" w:color="E7E6E6"/>
            </w:tcBorders>
            <w:shd w:val="clear" w:color="000000" w:fill="305496"/>
            <w:vAlign w:val="center"/>
            <w:hideMark/>
          </w:tcPr>
          <w:p w14:paraId="2B2BB496"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Defensores públicos</w:t>
            </w:r>
          </w:p>
        </w:tc>
        <w:tc>
          <w:tcPr>
            <w:tcW w:w="0" w:type="auto"/>
            <w:tcBorders>
              <w:top w:val="nil"/>
              <w:left w:val="nil"/>
              <w:bottom w:val="single" w:sz="12" w:space="0" w:color="D4D4D4"/>
              <w:right w:val="single" w:sz="8" w:space="0" w:color="E7E6E6"/>
            </w:tcBorders>
            <w:shd w:val="clear" w:color="000000" w:fill="305496"/>
            <w:vAlign w:val="center"/>
            <w:hideMark/>
          </w:tcPr>
          <w:p w14:paraId="46BBB2C9"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Fiscales</w:t>
            </w:r>
          </w:p>
        </w:tc>
        <w:tc>
          <w:tcPr>
            <w:tcW w:w="0" w:type="auto"/>
            <w:tcBorders>
              <w:top w:val="nil"/>
              <w:left w:val="nil"/>
              <w:bottom w:val="single" w:sz="12" w:space="0" w:color="D4D4D4"/>
              <w:right w:val="single" w:sz="8" w:space="0" w:color="E7E6E6"/>
            </w:tcBorders>
            <w:shd w:val="clear" w:color="000000" w:fill="305496"/>
            <w:vAlign w:val="center"/>
            <w:hideMark/>
          </w:tcPr>
          <w:p w14:paraId="29C6B01F"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Fiscales Auxiliares</w:t>
            </w:r>
          </w:p>
        </w:tc>
        <w:tc>
          <w:tcPr>
            <w:tcW w:w="0" w:type="auto"/>
            <w:tcBorders>
              <w:top w:val="nil"/>
              <w:left w:val="nil"/>
              <w:bottom w:val="single" w:sz="12" w:space="0" w:color="D4D4D4"/>
              <w:right w:val="single" w:sz="8" w:space="0" w:color="E7E6E6"/>
            </w:tcBorders>
            <w:shd w:val="clear" w:color="000000" w:fill="305496"/>
            <w:vAlign w:val="center"/>
            <w:hideMark/>
          </w:tcPr>
          <w:p w14:paraId="465F6CB4"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OIJ</w:t>
            </w:r>
          </w:p>
        </w:tc>
        <w:tc>
          <w:tcPr>
            <w:tcW w:w="0" w:type="auto"/>
            <w:tcBorders>
              <w:top w:val="nil"/>
              <w:left w:val="nil"/>
              <w:bottom w:val="single" w:sz="12" w:space="0" w:color="D4D4D4"/>
              <w:right w:val="single" w:sz="8" w:space="0" w:color="E7E6E6"/>
            </w:tcBorders>
            <w:shd w:val="clear" w:color="000000" w:fill="548235"/>
            <w:vAlign w:val="center"/>
            <w:hideMark/>
          </w:tcPr>
          <w:p w14:paraId="55DA0E41"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Total</w:t>
            </w:r>
          </w:p>
        </w:tc>
      </w:tr>
      <w:tr w:rsidR="00B15F7D" w:rsidRPr="00990FB6" w14:paraId="0802C47B"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5BAB09F"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Quepos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6168D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A308B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353FC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817B2F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3ADA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1CD375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77426A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9FAC5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47F2A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D95606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6A122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EA8AD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5470E4E9"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D385B7A"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Sarapiquí</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61A4B6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9CAD66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58F10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C7F4A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A50B38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503E4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716ADD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BD1DB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CE9C1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EBEB0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485CB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BEF3FD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5562E66B"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A0A9557"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Siquirres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30FE42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3B072D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331ED8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D715A6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0A735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19C525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B4A94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73B96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418DD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8ECEF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AA79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B1526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5BA1CC2F"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E2E7B33" w14:textId="77777777" w:rsidR="00B15F7D" w:rsidRPr="00990FB6" w:rsidRDefault="00B15F7D" w:rsidP="00B15F7D">
            <w:pPr>
              <w:rPr>
                <w:color w:val="000000"/>
                <w:sz w:val="22"/>
                <w:szCs w:val="22"/>
                <w:lang w:eastAsia="es-CR"/>
              </w:rPr>
            </w:pPr>
            <w:r w:rsidRPr="00990FB6">
              <w:rPr>
                <w:color w:val="000000"/>
                <w:sz w:val="22"/>
                <w:szCs w:val="22"/>
                <w:lang w:eastAsia="es-CR"/>
              </w:rPr>
              <w:lastRenderedPageBreak/>
              <w:t>Tribunal Penal de Turrialba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83935A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5CD52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0E17B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54D54F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2C08C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FD6FF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61A27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46CE2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3D401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8D0F4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33AB8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EB75E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1DA25118"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9231597"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Cañas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2003E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E7D30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3B7882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2EE7C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22E40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35E66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78213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437E5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F5BDE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27C2A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071EC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D8620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3CD6EE02"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70DD12B" w14:textId="77777777" w:rsidR="00B15F7D" w:rsidRPr="00990FB6" w:rsidRDefault="00B15F7D" w:rsidP="00B15F7D">
            <w:pPr>
              <w:rPr>
                <w:color w:val="000000"/>
                <w:sz w:val="22"/>
                <w:szCs w:val="22"/>
                <w:lang w:val="pt-BR" w:eastAsia="es-CR"/>
              </w:rPr>
            </w:pPr>
            <w:r w:rsidRPr="00990FB6">
              <w:rPr>
                <w:color w:val="000000"/>
                <w:sz w:val="22"/>
                <w:szCs w:val="22"/>
                <w:lang w:val="pt-BR" w:eastAsia="es-CR"/>
              </w:rPr>
              <w:t>Tribuna Penal de Santa Cruz</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81E5B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FA73C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DC0EA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CE5A8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7F22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55E52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E7D63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B6D955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60611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1D85E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ADC9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A0640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r>
      <w:tr w:rsidR="00B15F7D" w:rsidRPr="00990FB6" w14:paraId="7E0529FD"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1C758929"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Puntarenas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41BB9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6B566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8186D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C3D938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150B2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FDBBA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B8DB1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5CF7F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46950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743F0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45E65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45723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4E883B02"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728C9CB"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Liberia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2D2466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7E335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284B0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77E55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49670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A6687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A5A28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FC6C2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70DF8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DF315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184CC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E9393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23562DE5"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B4CA3BA"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Tribunal Penal de Guápiles </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631F4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58D36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55FA5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166C1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E264D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E7A50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575BBA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AC3E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AE47A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A33A7C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AB810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2571F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2AF4BC18"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C2B6FA7"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Limón</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9671B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3A09C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3AFD8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C157C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F63F9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197543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29E7E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57038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D29EB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C4327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74320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53059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2B788963"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9E0B6C5"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Pavas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CD0531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F0FB9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94D17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D83EC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90435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176C4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4556F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CB49D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7F9415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04D06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60A5F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6F336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4E68EFFB"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A3B7661"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Tribunal </w:t>
            </w:r>
            <w:r w:rsidRPr="00990FB6">
              <w:rPr>
                <w:color w:val="000000"/>
                <w:sz w:val="22"/>
                <w:szCs w:val="22"/>
                <w:lang w:eastAsia="es-CR"/>
              </w:rPr>
              <w:lastRenderedPageBreak/>
              <w:t>Penal de Goicoechea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63931CA"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B3808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FA407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2CF37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295DC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A4293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7259AB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8AC5C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536F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6F038B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8BC51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B7EE6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47C7C64F"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ACB624D"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Heredia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786EF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EB01E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581DF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264BB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D6C92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93634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7F925E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D4E88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8E6AB0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43B42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67432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889B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3F8A6834"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60F9579" w14:textId="77777777" w:rsidR="00B15F7D" w:rsidRPr="00990FB6" w:rsidRDefault="00B15F7D" w:rsidP="00B15F7D">
            <w:pPr>
              <w:rPr>
                <w:color w:val="000000"/>
                <w:sz w:val="22"/>
                <w:szCs w:val="22"/>
                <w:lang w:eastAsia="es-CR"/>
              </w:rPr>
            </w:pPr>
            <w:r w:rsidRPr="00990FB6">
              <w:rPr>
                <w:color w:val="000000"/>
                <w:sz w:val="22"/>
                <w:szCs w:val="22"/>
                <w:lang w:eastAsia="es-CR"/>
              </w:rPr>
              <w:t>Tribunal de Nicoya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EE615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BD1DC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D033B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01877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5B573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D0CD1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FBC09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BB34B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86DE86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B79A79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51EFC2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0BD76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5F26B514"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BCC77BF" w14:textId="77777777" w:rsidR="00B15F7D" w:rsidRPr="00990FB6" w:rsidRDefault="00B15F7D" w:rsidP="00B15F7D">
            <w:pPr>
              <w:rPr>
                <w:color w:val="000000"/>
                <w:sz w:val="22"/>
                <w:szCs w:val="22"/>
                <w:lang w:eastAsia="es-CR"/>
              </w:rPr>
            </w:pPr>
            <w:r w:rsidRPr="00990FB6">
              <w:rPr>
                <w:color w:val="000000"/>
                <w:sz w:val="22"/>
                <w:szCs w:val="22"/>
                <w:lang w:eastAsia="es-CR"/>
              </w:rPr>
              <w:t>Sección de Flagrancia de San Ramón</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E1AA0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E8FC8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D1081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D33FB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E485D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938AD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E52CD1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992EC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8BDC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A2DD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71CF0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C38EE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7EA0A107"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AFDBB5F"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Tribunal Penal de Alajuela </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30A161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4FD22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E282F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6C2575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89E1E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512F8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3C896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3A85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D3198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2BF4B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FB60C2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5FCCF1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6B6137C2"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34E926F"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Cartago</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854A7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29C921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B9DC5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EB2ED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4F37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1712D8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8F8C9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B4C1B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1BB38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67F1E2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5B4F7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A7DE9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5DE9E62B"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BA5109B" w14:textId="77777777" w:rsidR="00B15F7D" w:rsidRPr="00990FB6" w:rsidRDefault="00B15F7D" w:rsidP="00B15F7D">
            <w:pPr>
              <w:rPr>
                <w:color w:val="000000"/>
                <w:sz w:val="22"/>
                <w:szCs w:val="22"/>
                <w:lang w:eastAsia="es-CR"/>
              </w:rPr>
            </w:pPr>
            <w:r w:rsidRPr="00990FB6">
              <w:rPr>
                <w:color w:val="000000"/>
                <w:sz w:val="22"/>
                <w:szCs w:val="22"/>
                <w:lang w:eastAsia="es-CR"/>
              </w:rPr>
              <w:t>Tribunal Penal de Golfito</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67AB8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D17A1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EAD7BB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6EEB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A4F47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E6A8A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842B6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26DF4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F5754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459E4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7A1903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C25B6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76BFEC43"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12FECCA" w14:textId="77777777" w:rsidR="00B15F7D" w:rsidRPr="00990FB6" w:rsidRDefault="00B15F7D" w:rsidP="00B15F7D">
            <w:pPr>
              <w:rPr>
                <w:color w:val="000000"/>
                <w:sz w:val="22"/>
                <w:szCs w:val="22"/>
                <w:lang w:eastAsia="es-CR"/>
              </w:rPr>
            </w:pPr>
            <w:r w:rsidRPr="00990FB6">
              <w:rPr>
                <w:color w:val="000000"/>
                <w:sz w:val="22"/>
                <w:szCs w:val="22"/>
                <w:lang w:eastAsia="es-CR"/>
              </w:rPr>
              <w:t>Fiscalía de San Carlos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69BF4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7F320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52B7F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BC5F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59E5D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766CC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DC4B4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E43AF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5AFA5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E7E31D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A4A17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76B34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44E35CE2"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BD7B9F4"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Fiscalía de Pérez </w:t>
            </w:r>
            <w:r w:rsidRPr="00990FB6">
              <w:rPr>
                <w:color w:val="000000"/>
                <w:sz w:val="22"/>
                <w:szCs w:val="22"/>
                <w:lang w:eastAsia="es-CR"/>
              </w:rPr>
              <w:lastRenderedPageBreak/>
              <w:t>Zeledón</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E05A9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A5671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1437C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4FE4D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AEBC6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23590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BECDD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8E9B6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919D0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E6259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E11AB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6FF22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20E022BE"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16F2FDA" w14:textId="77777777" w:rsidR="00B15F7D" w:rsidRPr="00990FB6" w:rsidRDefault="00B15F7D" w:rsidP="00B15F7D">
            <w:pPr>
              <w:rPr>
                <w:color w:val="000000"/>
                <w:sz w:val="22"/>
                <w:szCs w:val="22"/>
                <w:lang w:eastAsia="es-CR"/>
              </w:rPr>
            </w:pPr>
            <w:r w:rsidRPr="00990FB6">
              <w:rPr>
                <w:color w:val="000000"/>
                <w:sz w:val="22"/>
                <w:szCs w:val="22"/>
                <w:lang w:eastAsia="es-CR"/>
              </w:rPr>
              <w:t>Fiscalía de Hatillo</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18BB1A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2B76B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97607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00C6C9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7AE91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F0EFC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CFDD4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0E028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276F5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8B9EB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F8472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73A41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45067B79"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1A19183" w14:textId="77777777" w:rsidR="00B15F7D" w:rsidRPr="00990FB6" w:rsidRDefault="00B15F7D" w:rsidP="00B15F7D">
            <w:pPr>
              <w:rPr>
                <w:color w:val="000000"/>
                <w:sz w:val="22"/>
                <w:szCs w:val="22"/>
                <w:lang w:eastAsia="es-CR"/>
              </w:rPr>
            </w:pPr>
            <w:r w:rsidRPr="00990FB6">
              <w:rPr>
                <w:color w:val="000000"/>
                <w:sz w:val="22"/>
                <w:szCs w:val="22"/>
                <w:lang w:eastAsia="es-CR"/>
              </w:rPr>
              <w:t>Fiscalía de San José</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E583B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9E275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FBAE9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0AC48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C63E4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F4B81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EB2019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DF44F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0924A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7517B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BED85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22EB5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449F2C39"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4BBAF25" w14:textId="77777777" w:rsidR="00B15F7D" w:rsidRPr="00990FB6" w:rsidRDefault="00B15F7D" w:rsidP="00B15F7D">
            <w:pPr>
              <w:rPr>
                <w:color w:val="000000"/>
                <w:sz w:val="22"/>
                <w:szCs w:val="22"/>
                <w:lang w:eastAsia="es-CR"/>
              </w:rPr>
            </w:pPr>
            <w:r w:rsidRPr="00990FB6">
              <w:rPr>
                <w:color w:val="000000"/>
                <w:sz w:val="22"/>
                <w:szCs w:val="22"/>
                <w:lang w:eastAsia="es-CR"/>
              </w:rPr>
              <w:t>Fiscalía de San Ramón</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F3ADE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06E40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0B51D5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F339E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A5A0C6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B9BFF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A9751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A283E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50377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110E1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F98BA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3C62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6C16932B"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97059BB" w14:textId="77777777" w:rsidR="00B15F7D" w:rsidRPr="00990FB6" w:rsidRDefault="00B15F7D" w:rsidP="00B15F7D">
            <w:pPr>
              <w:rPr>
                <w:color w:val="000000"/>
                <w:sz w:val="22"/>
                <w:szCs w:val="22"/>
                <w:lang w:eastAsia="es-CR"/>
              </w:rPr>
            </w:pPr>
            <w:r w:rsidRPr="00990FB6">
              <w:rPr>
                <w:color w:val="000000"/>
                <w:sz w:val="22"/>
                <w:szCs w:val="22"/>
                <w:lang w:eastAsia="es-CR"/>
              </w:rPr>
              <w:t>Fiscalía de Grecia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62F18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C412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80FFB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83EE66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01A5E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E99E7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7160D4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AD3EC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F35C9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D886E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6027D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8A139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1B8026A2"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918C498" w14:textId="77777777" w:rsidR="00B15F7D" w:rsidRPr="00990FB6" w:rsidRDefault="00B15F7D" w:rsidP="00B15F7D">
            <w:pPr>
              <w:rPr>
                <w:color w:val="000000"/>
                <w:sz w:val="22"/>
                <w:szCs w:val="22"/>
                <w:lang w:eastAsia="es-CR"/>
              </w:rPr>
            </w:pPr>
            <w:r w:rsidRPr="00990FB6">
              <w:rPr>
                <w:color w:val="000000"/>
                <w:sz w:val="22"/>
                <w:szCs w:val="22"/>
                <w:lang w:eastAsia="es-CR"/>
              </w:rPr>
              <w:t>Fiscalía de Osa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63ACB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896C2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AC122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E63628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5C7EA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18E3E0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8EF72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50D78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0D9B9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BA06F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4D6B8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C650B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3DD415E3"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1E56C795" w14:textId="77777777" w:rsidR="00B15F7D" w:rsidRPr="00990FB6" w:rsidRDefault="00B15F7D" w:rsidP="00B15F7D">
            <w:pPr>
              <w:rPr>
                <w:color w:val="000000"/>
                <w:sz w:val="22"/>
                <w:szCs w:val="22"/>
                <w:lang w:eastAsia="es-CR"/>
              </w:rPr>
            </w:pPr>
            <w:r w:rsidRPr="00990FB6">
              <w:rPr>
                <w:color w:val="000000"/>
                <w:sz w:val="22"/>
                <w:szCs w:val="22"/>
                <w:lang w:eastAsia="es-CR"/>
              </w:rPr>
              <w:t>Fiscalía de la Fortuna</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23351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5C9B7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6A1A33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1FF54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B5C9A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A8DE2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027389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BB1CC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F02CC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9748D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646B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26B6A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29E1A660"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C587664"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Fiscalía de </w:t>
            </w:r>
            <w:proofErr w:type="spellStart"/>
            <w:r w:rsidRPr="00990FB6">
              <w:rPr>
                <w:color w:val="000000"/>
                <w:sz w:val="22"/>
                <w:szCs w:val="22"/>
                <w:lang w:eastAsia="es-CR"/>
              </w:rPr>
              <w:t>Bribrí</w:t>
            </w:r>
            <w:proofErr w:type="spellEnd"/>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8C294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BC3DE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2D5FF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BC882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641FE5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CC7847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D324F1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E1192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32595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3D68C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8CF19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C0DD64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3D2215B5"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0B88924" w14:textId="77777777" w:rsidR="00B15F7D" w:rsidRPr="00990FB6" w:rsidRDefault="00B15F7D" w:rsidP="00B15F7D">
            <w:pPr>
              <w:rPr>
                <w:color w:val="000000"/>
                <w:sz w:val="22"/>
                <w:szCs w:val="22"/>
                <w:lang w:eastAsia="es-CR"/>
              </w:rPr>
            </w:pPr>
            <w:r w:rsidRPr="00990FB6">
              <w:rPr>
                <w:color w:val="000000"/>
                <w:sz w:val="22"/>
                <w:szCs w:val="22"/>
                <w:lang w:eastAsia="es-CR"/>
              </w:rPr>
              <w:t>Fiscalía de Los Chiles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27202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AE4E1D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9B954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5FB846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D1427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932EAC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716528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0C847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E589E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8D2A8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4889D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80C5B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1E679A65"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FA78B88" w14:textId="77777777" w:rsidR="00B15F7D" w:rsidRPr="00990FB6" w:rsidRDefault="00B15F7D" w:rsidP="00B15F7D">
            <w:pPr>
              <w:rPr>
                <w:color w:val="000000"/>
                <w:sz w:val="22"/>
                <w:szCs w:val="22"/>
                <w:lang w:eastAsia="es-CR"/>
              </w:rPr>
            </w:pPr>
            <w:r w:rsidRPr="00990FB6">
              <w:rPr>
                <w:color w:val="000000"/>
                <w:sz w:val="22"/>
                <w:szCs w:val="22"/>
                <w:lang w:eastAsia="es-CR"/>
              </w:rPr>
              <w:t>Fiscalía de Guatuso</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9A0C4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AE02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99707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21393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4132B8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E79C2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015FE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6CAD0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DB665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95582D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892A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939EDE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4CF249F5"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79ADD60" w14:textId="77777777" w:rsidR="00B15F7D" w:rsidRPr="00990FB6" w:rsidRDefault="00B15F7D" w:rsidP="00B15F7D">
            <w:pPr>
              <w:rPr>
                <w:color w:val="000000"/>
                <w:sz w:val="22"/>
                <w:szCs w:val="22"/>
                <w:lang w:eastAsia="es-CR"/>
              </w:rPr>
            </w:pPr>
            <w:r w:rsidRPr="00990FB6">
              <w:rPr>
                <w:color w:val="000000"/>
                <w:sz w:val="22"/>
                <w:szCs w:val="22"/>
                <w:lang w:eastAsia="es-CR"/>
              </w:rPr>
              <w:t>Delegación de Corredores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B2B66B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B0F84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D6265D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2E91C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3ECCF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EDAF02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03C07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9EBF8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CA284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B2041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55437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AE421D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1525DF48"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60C1FBD"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Oficina Regional de </w:t>
            </w:r>
            <w:proofErr w:type="spellStart"/>
            <w:r w:rsidRPr="00990FB6">
              <w:rPr>
                <w:color w:val="000000"/>
                <w:sz w:val="22"/>
                <w:szCs w:val="22"/>
                <w:lang w:eastAsia="es-CR"/>
              </w:rPr>
              <w:t>Bribrí</w:t>
            </w:r>
            <w:proofErr w:type="spellEnd"/>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A2A40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1E8C5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9DBC39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EEB18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C214D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4ABBE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BC0C9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E113E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69AADE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0E2D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5EA71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E0F1F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0A77DA5E"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8F3862D" w14:textId="77777777" w:rsidR="00B15F7D" w:rsidRPr="00990FB6" w:rsidRDefault="00B15F7D" w:rsidP="00B15F7D">
            <w:pPr>
              <w:rPr>
                <w:color w:val="000000"/>
                <w:sz w:val="22"/>
                <w:szCs w:val="22"/>
                <w:lang w:eastAsia="es-CR"/>
              </w:rPr>
            </w:pPr>
            <w:r w:rsidRPr="00990FB6">
              <w:rPr>
                <w:color w:val="000000"/>
                <w:sz w:val="22"/>
                <w:szCs w:val="22"/>
                <w:lang w:eastAsia="es-CR"/>
              </w:rPr>
              <w:lastRenderedPageBreak/>
              <w:t>Oficina Regional de Batan</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16F4E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634C1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1027DC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79FC24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6EC5A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447C3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023B50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4E3C75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1636E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EA48DB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9DE525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108D2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62A5F626"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33010331" w14:textId="77777777" w:rsidR="00B15F7D" w:rsidRPr="00990FB6" w:rsidRDefault="00B15F7D" w:rsidP="00B15F7D">
            <w:pPr>
              <w:rPr>
                <w:color w:val="000000"/>
                <w:sz w:val="22"/>
                <w:szCs w:val="22"/>
                <w:lang w:eastAsia="es-CR"/>
              </w:rPr>
            </w:pPr>
            <w:r w:rsidRPr="00990FB6">
              <w:rPr>
                <w:color w:val="000000"/>
                <w:sz w:val="22"/>
                <w:szCs w:val="22"/>
                <w:lang w:eastAsia="es-CR"/>
              </w:rPr>
              <w:t>Oficina Regional de Purisca1</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8E44D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98704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BC2CA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AD414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529AD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AF3D4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726BAF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3DF85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0FE20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3A3D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54C13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292BE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52F98957"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13E10D76" w14:textId="77777777" w:rsidR="00B15F7D" w:rsidRPr="00990FB6" w:rsidRDefault="00B15F7D" w:rsidP="00B15F7D">
            <w:pPr>
              <w:rPr>
                <w:color w:val="000000"/>
                <w:sz w:val="22"/>
                <w:szCs w:val="22"/>
                <w:lang w:eastAsia="es-CR"/>
              </w:rPr>
            </w:pPr>
            <w:r w:rsidRPr="00990FB6">
              <w:rPr>
                <w:color w:val="000000"/>
                <w:sz w:val="22"/>
                <w:szCs w:val="22"/>
                <w:lang w:eastAsia="es-CR"/>
              </w:rPr>
              <w:t>Oficina Regional de Los Chiles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3BCE32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7F88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9774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86693E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2461B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6A486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0DAC49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3B4AF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5B5B3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6AC6F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04DF6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9F6FA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3CCAFBE1"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4A16B7CE" w14:textId="77777777" w:rsidR="00B15F7D" w:rsidRPr="00990FB6" w:rsidRDefault="00B15F7D" w:rsidP="00B15F7D">
            <w:pPr>
              <w:rPr>
                <w:color w:val="000000"/>
                <w:sz w:val="22"/>
                <w:szCs w:val="22"/>
                <w:lang w:eastAsia="es-CR"/>
              </w:rPr>
            </w:pPr>
            <w:r w:rsidRPr="00990FB6">
              <w:rPr>
                <w:color w:val="000000"/>
                <w:sz w:val="22"/>
                <w:szCs w:val="22"/>
                <w:lang w:eastAsia="es-CR"/>
              </w:rPr>
              <w:t>Oficina Regional de Buenos Aires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649634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16BC3F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E49CF6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0A628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16C12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A0464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5A101B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CCAE5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EC74A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E86B8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16881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1426F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r>
      <w:tr w:rsidR="00B15F7D" w:rsidRPr="00990FB6" w14:paraId="316A4CAA"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22DCB37" w14:textId="77777777" w:rsidR="00B15F7D" w:rsidRPr="00990FB6" w:rsidRDefault="00B15F7D" w:rsidP="00B15F7D">
            <w:pPr>
              <w:rPr>
                <w:color w:val="000000"/>
                <w:sz w:val="22"/>
                <w:szCs w:val="22"/>
                <w:lang w:eastAsia="es-CR"/>
              </w:rPr>
            </w:pPr>
            <w:r w:rsidRPr="00990FB6">
              <w:rPr>
                <w:color w:val="000000"/>
                <w:sz w:val="22"/>
                <w:szCs w:val="22"/>
                <w:lang w:eastAsia="es-CR"/>
              </w:rPr>
              <w:t>Oficina Regional de Atenas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41D9ED1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068C1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DD61B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9E189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C750AB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129AC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6D090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A4938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614A87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18F22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B27FFC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88CECE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r>
      <w:tr w:rsidR="00B15F7D" w:rsidRPr="00990FB6" w14:paraId="7BEB3B5E"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60BE64E"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Juzgado de Ejecución de la Pena de Alajuela </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18F22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B2356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5BC98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F3127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BD2B94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E19AB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09C349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3EA1C9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57895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43BFF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CB3B3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4F9BD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r>
      <w:tr w:rsidR="00B15F7D" w:rsidRPr="00990FB6" w14:paraId="692537D0"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0A518C7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Juzgado de Ejecución de la Pena de </w:t>
            </w:r>
            <w:r w:rsidRPr="00990FB6">
              <w:rPr>
                <w:color w:val="000000"/>
                <w:sz w:val="22"/>
                <w:szCs w:val="22"/>
                <w:lang w:eastAsia="es-CR"/>
              </w:rPr>
              <w:lastRenderedPageBreak/>
              <w:t xml:space="preserve">Liberia </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7586B3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B96BD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FFBD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E17AF6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DAFD8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2E0262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2C9012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E1B58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A2DBD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7C8EAF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1EA126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3BD157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357F6F32" w14:textId="77777777" w:rsidTr="000A0C22">
        <w:trPr>
          <w:trHeight w:val="312"/>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53DB280A" w14:textId="77777777" w:rsidR="00B15F7D" w:rsidRPr="00990FB6" w:rsidRDefault="00B15F7D" w:rsidP="00B15F7D">
            <w:pPr>
              <w:rPr>
                <w:color w:val="000000"/>
                <w:sz w:val="22"/>
                <w:szCs w:val="22"/>
                <w:lang w:eastAsia="es-CR"/>
              </w:rPr>
            </w:pPr>
            <w:r w:rsidRPr="00990FB6">
              <w:rPr>
                <w:color w:val="000000"/>
                <w:sz w:val="22"/>
                <w:szCs w:val="22"/>
                <w:lang w:eastAsia="es-CR"/>
              </w:rPr>
              <w:t>Juzgado de Ejecución de la Pena de Puntarenas</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99BDCA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B6DB8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B5B70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E061D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BB939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6BEDD40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DEB532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7E2C8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22C16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061903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9E6B04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2056E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r>
      <w:tr w:rsidR="00B15F7D" w:rsidRPr="00990FB6" w14:paraId="3E7D08A1" w14:textId="77777777" w:rsidTr="000A0C22">
        <w:trPr>
          <w:trHeight w:val="300"/>
          <w:jc w:val="center"/>
        </w:trPr>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4D9AD19" w14:textId="77777777" w:rsidR="00B15F7D" w:rsidRPr="00990FB6" w:rsidRDefault="00B15F7D" w:rsidP="00B15F7D">
            <w:pPr>
              <w:rPr>
                <w:color w:val="000000"/>
                <w:sz w:val="22"/>
                <w:szCs w:val="22"/>
                <w:lang w:eastAsia="es-CR"/>
              </w:rPr>
            </w:pPr>
            <w:r w:rsidRPr="00990FB6">
              <w:rPr>
                <w:color w:val="000000"/>
                <w:sz w:val="22"/>
                <w:szCs w:val="22"/>
                <w:lang w:eastAsia="es-CR"/>
              </w:rPr>
              <w:t>Juzgado de Ejecución de la Pena de Pococí</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5DD2936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726E22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0637E0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289AB3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1EFB2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8" w:space="0" w:color="E7E6E6"/>
            </w:tcBorders>
            <w:shd w:val="clear" w:color="auto" w:fill="auto"/>
            <w:vAlign w:val="center"/>
            <w:hideMark/>
          </w:tcPr>
          <w:p w14:paraId="739E12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8" w:space="0" w:color="E7E6E6"/>
              <w:bottom w:val="single" w:sz="12" w:space="0" w:color="D4D4D4"/>
              <w:right w:val="single" w:sz="12" w:space="0" w:color="D4D4D4"/>
            </w:tcBorders>
            <w:shd w:val="clear" w:color="auto" w:fill="auto"/>
            <w:vAlign w:val="center"/>
            <w:hideMark/>
          </w:tcPr>
          <w:p w14:paraId="122C938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32579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5FB0A922" w14:textId="77777777" w:rsidR="00B15F7D" w:rsidRPr="00990FB6" w:rsidRDefault="00B15F7D" w:rsidP="00B15F7D">
            <w:pPr>
              <w:jc w:val="center"/>
              <w:rPr>
                <w:sz w:val="22"/>
                <w:szCs w:val="22"/>
                <w:lang w:eastAsia="es-CR"/>
              </w:rPr>
            </w:pPr>
            <w:r w:rsidRPr="00990FB6">
              <w:rPr>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17556953" w14:textId="77777777" w:rsidR="00B15F7D" w:rsidRPr="00990FB6" w:rsidRDefault="00B15F7D" w:rsidP="00B15F7D">
            <w:pPr>
              <w:jc w:val="center"/>
              <w:rPr>
                <w:sz w:val="22"/>
                <w:szCs w:val="22"/>
                <w:lang w:eastAsia="es-CR"/>
              </w:rPr>
            </w:pPr>
            <w:r w:rsidRPr="00990FB6">
              <w:rPr>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42B6652D" w14:textId="77777777" w:rsidR="00B15F7D" w:rsidRPr="00990FB6" w:rsidRDefault="00B15F7D" w:rsidP="00B15F7D">
            <w:pPr>
              <w:jc w:val="center"/>
              <w:rPr>
                <w:sz w:val="22"/>
                <w:szCs w:val="22"/>
                <w:lang w:eastAsia="es-CR"/>
              </w:rPr>
            </w:pPr>
            <w:r w:rsidRPr="00990FB6">
              <w:rPr>
                <w:sz w:val="22"/>
                <w:szCs w:val="22"/>
                <w:lang w:eastAsia="es-CR"/>
              </w:rPr>
              <w:t>0</w:t>
            </w:r>
          </w:p>
        </w:tc>
        <w:tc>
          <w:tcPr>
            <w:tcW w:w="0" w:type="auto"/>
            <w:tcBorders>
              <w:top w:val="single" w:sz="12" w:space="0" w:color="D4D4D4"/>
              <w:left w:val="single" w:sz="12" w:space="0" w:color="D4D4D4"/>
              <w:bottom w:val="single" w:sz="12" w:space="0" w:color="D4D4D4"/>
              <w:right w:val="single" w:sz="12" w:space="0" w:color="D4D4D4"/>
            </w:tcBorders>
            <w:shd w:val="clear" w:color="auto" w:fill="auto"/>
            <w:vAlign w:val="center"/>
            <w:hideMark/>
          </w:tcPr>
          <w:p w14:paraId="6A5448E2" w14:textId="77777777" w:rsidR="00B15F7D" w:rsidRPr="00990FB6" w:rsidRDefault="00B15F7D" w:rsidP="00B15F7D">
            <w:pPr>
              <w:jc w:val="center"/>
              <w:rPr>
                <w:sz w:val="22"/>
                <w:szCs w:val="22"/>
                <w:lang w:eastAsia="es-CR"/>
              </w:rPr>
            </w:pPr>
            <w:r w:rsidRPr="00990FB6">
              <w:rPr>
                <w:sz w:val="22"/>
                <w:szCs w:val="22"/>
                <w:lang w:eastAsia="es-CR"/>
              </w:rPr>
              <w:t>0</w:t>
            </w:r>
          </w:p>
        </w:tc>
      </w:tr>
      <w:tr w:rsidR="00990FB6" w:rsidRPr="00990FB6" w14:paraId="79FFF69A" w14:textId="77777777" w:rsidTr="000A0C22">
        <w:trPr>
          <w:trHeight w:val="300"/>
          <w:jc w:val="center"/>
        </w:trPr>
        <w:tc>
          <w:tcPr>
            <w:tcW w:w="0" w:type="auto"/>
            <w:tcBorders>
              <w:top w:val="single" w:sz="12" w:space="0" w:color="D4D4D4"/>
              <w:left w:val="single" w:sz="8" w:space="0" w:color="E7E6E6"/>
              <w:bottom w:val="single" w:sz="8" w:space="0" w:color="E7E6E6"/>
              <w:right w:val="single" w:sz="18" w:space="0" w:color="E7E6E6"/>
            </w:tcBorders>
            <w:shd w:val="clear" w:color="000000" w:fill="DEEAF6"/>
            <w:vAlign w:val="center"/>
            <w:hideMark/>
          </w:tcPr>
          <w:p w14:paraId="5DC0CBFF" w14:textId="77777777" w:rsidR="00B15F7D" w:rsidRPr="00990FB6" w:rsidRDefault="00B15F7D" w:rsidP="00B15F7D">
            <w:pPr>
              <w:rPr>
                <w:b/>
                <w:bCs/>
                <w:color w:val="3A3838"/>
                <w:sz w:val="22"/>
                <w:szCs w:val="22"/>
                <w:lang w:eastAsia="es-CR"/>
              </w:rPr>
            </w:pPr>
            <w:r w:rsidRPr="00990FB6">
              <w:rPr>
                <w:b/>
                <w:bCs/>
                <w:color w:val="3A3838"/>
                <w:sz w:val="22"/>
                <w:szCs w:val="22"/>
                <w:lang w:eastAsia="es-CR"/>
              </w:rPr>
              <w:t>Totales</w:t>
            </w:r>
          </w:p>
        </w:tc>
        <w:tc>
          <w:tcPr>
            <w:tcW w:w="0" w:type="auto"/>
            <w:tcBorders>
              <w:top w:val="single" w:sz="12" w:space="0" w:color="D4D4D4"/>
              <w:left w:val="single" w:sz="18" w:space="0" w:color="E7E6E6"/>
              <w:bottom w:val="single" w:sz="18" w:space="0" w:color="E7E6E6"/>
              <w:right w:val="single" w:sz="8" w:space="0" w:color="E7E6E6"/>
            </w:tcBorders>
            <w:shd w:val="clear" w:color="000000" w:fill="DEEAF6"/>
            <w:vAlign w:val="center"/>
            <w:hideMark/>
          </w:tcPr>
          <w:p w14:paraId="485EE8BA"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25</w:t>
            </w:r>
          </w:p>
        </w:tc>
        <w:tc>
          <w:tcPr>
            <w:tcW w:w="0" w:type="auto"/>
            <w:tcBorders>
              <w:top w:val="single" w:sz="12" w:space="0" w:color="D4D4D4"/>
              <w:left w:val="nil"/>
              <w:bottom w:val="single" w:sz="18" w:space="0" w:color="E7E6E6"/>
              <w:right w:val="single" w:sz="8" w:space="0" w:color="E7E6E6"/>
            </w:tcBorders>
            <w:shd w:val="clear" w:color="000000" w:fill="DEEAF6"/>
            <w:vAlign w:val="center"/>
            <w:hideMark/>
          </w:tcPr>
          <w:p w14:paraId="7C130168"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w:t>
            </w:r>
          </w:p>
        </w:tc>
        <w:tc>
          <w:tcPr>
            <w:tcW w:w="0" w:type="auto"/>
            <w:tcBorders>
              <w:top w:val="single" w:sz="12" w:space="0" w:color="D4D4D4"/>
              <w:left w:val="nil"/>
              <w:bottom w:val="single" w:sz="18" w:space="0" w:color="E7E6E6"/>
              <w:right w:val="single" w:sz="8" w:space="0" w:color="E7E6E6"/>
            </w:tcBorders>
            <w:shd w:val="clear" w:color="000000" w:fill="DEEAF6"/>
            <w:vAlign w:val="center"/>
            <w:hideMark/>
          </w:tcPr>
          <w:p w14:paraId="0029EAD2"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4</w:t>
            </w:r>
          </w:p>
        </w:tc>
        <w:tc>
          <w:tcPr>
            <w:tcW w:w="0" w:type="auto"/>
            <w:tcBorders>
              <w:top w:val="single" w:sz="12" w:space="0" w:color="D4D4D4"/>
              <w:left w:val="nil"/>
              <w:bottom w:val="single" w:sz="18" w:space="0" w:color="E7E6E6"/>
              <w:right w:val="single" w:sz="8" w:space="0" w:color="E7E6E6"/>
            </w:tcBorders>
            <w:shd w:val="clear" w:color="000000" w:fill="DEEAF6"/>
            <w:vAlign w:val="center"/>
            <w:hideMark/>
          </w:tcPr>
          <w:p w14:paraId="63222D77"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w:t>
            </w:r>
          </w:p>
        </w:tc>
        <w:tc>
          <w:tcPr>
            <w:tcW w:w="0" w:type="auto"/>
            <w:tcBorders>
              <w:top w:val="single" w:sz="12" w:space="0" w:color="D4D4D4"/>
              <w:left w:val="nil"/>
              <w:bottom w:val="single" w:sz="18" w:space="0" w:color="E7E6E6"/>
              <w:right w:val="single" w:sz="8" w:space="0" w:color="E7E6E6"/>
            </w:tcBorders>
            <w:shd w:val="clear" w:color="000000" w:fill="DEEAF6"/>
            <w:vAlign w:val="center"/>
            <w:hideMark/>
          </w:tcPr>
          <w:p w14:paraId="31370A65"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37</w:t>
            </w:r>
          </w:p>
        </w:tc>
        <w:tc>
          <w:tcPr>
            <w:tcW w:w="0" w:type="auto"/>
            <w:tcBorders>
              <w:top w:val="single" w:sz="12" w:space="0" w:color="D4D4D4"/>
              <w:left w:val="nil"/>
              <w:bottom w:val="single" w:sz="18" w:space="0" w:color="E7E6E6"/>
              <w:right w:val="single" w:sz="18" w:space="0" w:color="E7E6E6"/>
            </w:tcBorders>
            <w:shd w:val="clear" w:color="000000" w:fill="DEEAF6"/>
            <w:vAlign w:val="center"/>
            <w:hideMark/>
          </w:tcPr>
          <w:p w14:paraId="27969697"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5</w:t>
            </w:r>
          </w:p>
        </w:tc>
        <w:tc>
          <w:tcPr>
            <w:tcW w:w="0" w:type="auto"/>
            <w:tcBorders>
              <w:top w:val="single" w:sz="12" w:space="0" w:color="D4D4D4"/>
              <w:left w:val="single" w:sz="18" w:space="0" w:color="E7E6E6"/>
              <w:bottom w:val="single" w:sz="8" w:space="0" w:color="E7E6E6"/>
              <w:right w:val="single" w:sz="8" w:space="0" w:color="E7E6E6"/>
            </w:tcBorders>
            <w:shd w:val="clear" w:color="000000" w:fill="DEEAF6"/>
            <w:vAlign w:val="center"/>
            <w:hideMark/>
          </w:tcPr>
          <w:p w14:paraId="571BE6C9"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73</w:t>
            </w:r>
          </w:p>
        </w:tc>
        <w:tc>
          <w:tcPr>
            <w:tcW w:w="0" w:type="auto"/>
            <w:tcBorders>
              <w:top w:val="single" w:sz="12" w:space="0" w:color="D4D4D4"/>
              <w:left w:val="nil"/>
              <w:bottom w:val="single" w:sz="8" w:space="0" w:color="E7E6E6"/>
              <w:right w:val="single" w:sz="8" w:space="0" w:color="E7E6E6"/>
            </w:tcBorders>
            <w:shd w:val="clear" w:color="000000" w:fill="DEEAF6"/>
            <w:vAlign w:val="center"/>
            <w:hideMark/>
          </w:tcPr>
          <w:p w14:paraId="6471953E"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12</w:t>
            </w:r>
          </w:p>
        </w:tc>
        <w:tc>
          <w:tcPr>
            <w:tcW w:w="0" w:type="auto"/>
            <w:tcBorders>
              <w:top w:val="single" w:sz="12" w:space="0" w:color="D4D4D4"/>
              <w:left w:val="nil"/>
              <w:bottom w:val="single" w:sz="8" w:space="0" w:color="E7E6E6"/>
              <w:right w:val="single" w:sz="8" w:space="0" w:color="E7E6E6"/>
            </w:tcBorders>
            <w:shd w:val="clear" w:color="000000" w:fill="DEEAF6"/>
            <w:vAlign w:val="center"/>
            <w:hideMark/>
          </w:tcPr>
          <w:p w14:paraId="74775EC3"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27</w:t>
            </w:r>
          </w:p>
        </w:tc>
        <w:tc>
          <w:tcPr>
            <w:tcW w:w="0" w:type="auto"/>
            <w:tcBorders>
              <w:top w:val="single" w:sz="12" w:space="0" w:color="D4D4D4"/>
              <w:left w:val="nil"/>
              <w:bottom w:val="single" w:sz="8" w:space="0" w:color="E7E6E6"/>
              <w:right w:val="single" w:sz="8" w:space="0" w:color="E7E6E6"/>
            </w:tcBorders>
            <w:shd w:val="clear" w:color="000000" w:fill="DEEAF6"/>
            <w:vAlign w:val="center"/>
            <w:hideMark/>
          </w:tcPr>
          <w:p w14:paraId="227B469E"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4</w:t>
            </w:r>
          </w:p>
        </w:tc>
        <w:tc>
          <w:tcPr>
            <w:tcW w:w="0" w:type="auto"/>
            <w:tcBorders>
              <w:top w:val="single" w:sz="12" w:space="0" w:color="D4D4D4"/>
              <w:left w:val="nil"/>
              <w:bottom w:val="single" w:sz="8" w:space="0" w:color="E7E6E6"/>
              <w:right w:val="single" w:sz="8" w:space="0" w:color="E7E6E6"/>
            </w:tcBorders>
            <w:shd w:val="clear" w:color="000000" w:fill="DEEAF6"/>
            <w:vAlign w:val="center"/>
            <w:hideMark/>
          </w:tcPr>
          <w:p w14:paraId="6E50E4E7"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24</w:t>
            </w:r>
          </w:p>
        </w:tc>
        <w:tc>
          <w:tcPr>
            <w:tcW w:w="0" w:type="auto"/>
            <w:tcBorders>
              <w:top w:val="single" w:sz="12" w:space="0" w:color="D4D4D4"/>
              <w:left w:val="nil"/>
              <w:bottom w:val="single" w:sz="8" w:space="0" w:color="E7E6E6"/>
              <w:right w:val="single" w:sz="8" w:space="0" w:color="E7E6E6"/>
            </w:tcBorders>
            <w:shd w:val="clear" w:color="000000" w:fill="DEEAF6"/>
            <w:vAlign w:val="center"/>
            <w:hideMark/>
          </w:tcPr>
          <w:p w14:paraId="306A5307"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67</w:t>
            </w:r>
          </w:p>
        </w:tc>
      </w:tr>
    </w:tbl>
    <w:p w14:paraId="6BA46196"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t>Fuente:</w:t>
      </w:r>
      <w:r w:rsidRPr="00990FB6">
        <w:rPr>
          <w:rFonts w:eastAsia="Calibri"/>
          <w:sz w:val="22"/>
          <w:szCs w:val="22"/>
        </w:rPr>
        <w:t xml:space="preserve"> Elaboración propia</w:t>
      </w:r>
    </w:p>
    <w:p w14:paraId="1C40AA36" w14:textId="77777777" w:rsidR="00B15F7D" w:rsidRPr="00990FB6" w:rsidRDefault="00B15F7D" w:rsidP="00B15F7D">
      <w:pPr>
        <w:ind w:left="851" w:right="851" w:firstLine="709"/>
        <w:jc w:val="both"/>
        <w:rPr>
          <w:rFonts w:eastAsia="Calibri"/>
          <w:sz w:val="22"/>
          <w:szCs w:val="22"/>
        </w:rPr>
      </w:pPr>
    </w:p>
    <w:p w14:paraId="77CE90B0" w14:textId="77777777" w:rsidR="00B15F7D" w:rsidRPr="00990FB6" w:rsidRDefault="00B15F7D" w:rsidP="00B15F7D">
      <w:pPr>
        <w:ind w:left="851" w:right="851" w:firstLine="709"/>
        <w:jc w:val="both"/>
        <w:rPr>
          <w:snapToGrid w:val="0"/>
          <w:sz w:val="22"/>
          <w:szCs w:val="22"/>
        </w:rPr>
      </w:pPr>
      <w:r w:rsidRPr="00990FB6">
        <w:rPr>
          <w:snapToGrid w:val="0"/>
          <w:sz w:val="22"/>
          <w:szCs w:val="22"/>
        </w:rPr>
        <w:t xml:space="preserve"> Para el escenario de estructura básica nacional más el requerimiento de recurso humano para Ejecución de la Pena, se requiere un total de 140 plazas, 73 para el ámbito jurisdiccional y 67 para el auxiliar de justicia; seguidamente se muestra el costo variable asociado a este recurso.</w:t>
      </w:r>
    </w:p>
    <w:p w14:paraId="4A919D2F" w14:textId="77777777" w:rsidR="00B15F7D" w:rsidRPr="00990FB6" w:rsidRDefault="00B15F7D" w:rsidP="00B15F7D">
      <w:pPr>
        <w:ind w:firstLine="709"/>
        <w:jc w:val="both"/>
        <w:rPr>
          <w:snapToGrid w:val="0"/>
          <w:sz w:val="22"/>
          <w:szCs w:val="22"/>
        </w:rPr>
      </w:pPr>
    </w:p>
    <w:p w14:paraId="4F47E79E"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7</w:t>
      </w:r>
      <w:r w:rsidRPr="00990FB6">
        <w:rPr>
          <w:rFonts w:eastAsia="Calibri"/>
          <w:i/>
          <w:iCs/>
          <w:sz w:val="22"/>
          <w:szCs w:val="22"/>
          <w:lang w:eastAsia="en-US"/>
        </w:rPr>
        <w:fldChar w:fldCharType="end"/>
      </w:r>
    </w:p>
    <w:p w14:paraId="148D868C"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Costo total escenario 3, estructura básica nacional + Ejecución de la Pena, requerimiento de recurso humano para los Tribunales Penales, Fiscalía, Defensa y OIJ del país</w:t>
      </w:r>
    </w:p>
    <w:p w14:paraId="146F5CCA" w14:textId="77777777" w:rsidR="00B15F7D" w:rsidRPr="00990FB6" w:rsidRDefault="00B15F7D" w:rsidP="00B15F7D">
      <w:pPr>
        <w:jc w:val="center"/>
        <w:rPr>
          <w:rFonts w:eastAsia="Calibri"/>
          <w:b/>
          <w:bCs/>
          <w:sz w:val="22"/>
          <w:szCs w:val="22"/>
        </w:rPr>
      </w:pPr>
    </w:p>
    <w:tbl>
      <w:tblPr>
        <w:tblW w:w="8354" w:type="dxa"/>
        <w:jc w:val="center"/>
        <w:tblCellMar>
          <w:left w:w="70" w:type="dxa"/>
          <w:right w:w="70" w:type="dxa"/>
        </w:tblCellMar>
        <w:tblLook w:val="04A0" w:firstRow="1" w:lastRow="0" w:firstColumn="1" w:lastColumn="0" w:noHBand="0" w:noVBand="1"/>
      </w:tblPr>
      <w:tblGrid>
        <w:gridCol w:w="2500"/>
        <w:gridCol w:w="1034"/>
        <w:gridCol w:w="1843"/>
        <w:gridCol w:w="1417"/>
        <w:gridCol w:w="1560"/>
      </w:tblGrid>
      <w:tr w:rsidR="00B15F7D" w:rsidRPr="00990FB6" w14:paraId="08E64D72" w14:textId="77777777" w:rsidTr="000A0C22">
        <w:trPr>
          <w:trHeight w:val="492"/>
          <w:jc w:val="center"/>
        </w:trPr>
        <w:tc>
          <w:tcPr>
            <w:tcW w:w="2500" w:type="dxa"/>
            <w:tcBorders>
              <w:top w:val="single" w:sz="8" w:space="0" w:color="E7E6E6"/>
              <w:left w:val="single" w:sz="8" w:space="0" w:color="E7E6E6"/>
              <w:bottom w:val="single" w:sz="8" w:space="0" w:color="E7E6E6"/>
              <w:right w:val="single" w:sz="8" w:space="0" w:color="E7E6E6"/>
            </w:tcBorders>
            <w:shd w:val="clear" w:color="000000" w:fill="305496"/>
            <w:vAlign w:val="center"/>
            <w:hideMark/>
          </w:tcPr>
          <w:p w14:paraId="0F476024"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Categoría de plaza</w:t>
            </w:r>
          </w:p>
        </w:tc>
        <w:tc>
          <w:tcPr>
            <w:tcW w:w="1034" w:type="dxa"/>
            <w:tcBorders>
              <w:top w:val="single" w:sz="8" w:space="0" w:color="E7E6E6"/>
              <w:left w:val="nil"/>
              <w:bottom w:val="single" w:sz="8" w:space="0" w:color="E7E6E6"/>
              <w:right w:val="single" w:sz="8" w:space="0" w:color="E7E6E6"/>
            </w:tcBorders>
            <w:shd w:val="clear" w:color="000000" w:fill="305496"/>
            <w:vAlign w:val="center"/>
            <w:hideMark/>
          </w:tcPr>
          <w:p w14:paraId="404005B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Cantidad</w:t>
            </w:r>
          </w:p>
        </w:tc>
        <w:tc>
          <w:tcPr>
            <w:tcW w:w="1843" w:type="dxa"/>
            <w:tcBorders>
              <w:top w:val="single" w:sz="8" w:space="0" w:color="E7E6E6"/>
              <w:left w:val="nil"/>
              <w:bottom w:val="single" w:sz="8" w:space="0" w:color="E7E6E6"/>
              <w:right w:val="single" w:sz="8" w:space="0" w:color="E7E6E6"/>
            </w:tcBorders>
            <w:shd w:val="clear" w:color="000000" w:fill="305496"/>
            <w:vAlign w:val="center"/>
            <w:hideMark/>
          </w:tcPr>
          <w:p w14:paraId="73291A7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Costo Total recurso humano</w:t>
            </w:r>
          </w:p>
        </w:tc>
        <w:tc>
          <w:tcPr>
            <w:tcW w:w="1417" w:type="dxa"/>
            <w:tcBorders>
              <w:top w:val="single" w:sz="8" w:space="0" w:color="E7E6E6"/>
              <w:left w:val="nil"/>
              <w:bottom w:val="single" w:sz="8" w:space="0" w:color="E7E6E6"/>
              <w:right w:val="single" w:sz="8" w:space="0" w:color="E7E6E6"/>
            </w:tcBorders>
            <w:shd w:val="clear" w:color="000000" w:fill="305496"/>
            <w:vAlign w:val="center"/>
            <w:hideMark/>
          </w:tcPr>
          <w:p w14:paraId="0AEA5720"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Mobiliario y equipo</w:t>
            </w:r>
          </w:p>
        </w:tc>
        <w:tc>
          <w:tcPr>
            <w:tcW w:w="1560" w:type="dxa"/>
            <w:tcBorders>
              <w:top w:val="single" w:sz="8" w:space="0" w:color="E7E6E6"/>
              <w:left w:val="nil"/>
              <w:bottom w:val="single" w:sz="8" w:space="0" w:color="E7E6E6"/>
              <w:right w:val="single" w:sz="8" w:space="0" w:color="E7E6E6"/>
            </w:tcBorders>
            <w:shd w:val="clear" w:color="000000" w:fill="305496"/>
            <w:vAlign w:val="center"/>
            <w:hideMark/>
          </w:tcPr>
          <w:p w14:paraId="5B1D2A22"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TOTAL</w:t>
            </w:r>
          </w:p>
        </w:tc>
      </w:tr>
      <w:tr w:rsidR="00B15F7D" w:rsidRPr="00990FB6" w14:paraId="447BFC16"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0635C1E5" w14:textId="77777777" w:rsidR="00B15F7D" w:rsidRPr="00990FB6" w:rsidRDefault="00B15F7D" w:rsidP="00B15F7D">
            <w:pPr>
              <w:rPr>
                <w:color w:val="000000"/>
                <w:sz w:val="22"/>
                <w:szCs w:val="22"/>
                <w:lang w:eastAsia="es-CR"/>
              </w:rPr>
            </w:pPr>
            <w:r w:rsidRPr="00990FB6">
              <w:rPr>
                <w:color w:val="000000"/>
                <w:sz w:val="22"/>
                <w:szCs w:val="22"/>
                <w:lang w:eastAsia="es-CR"/>
              </w:rPr>
              <w:t>Jueces o Juezas 4</w:t>
            </w:r>
          </w:p>
        </w:tc>
        <w:tc>
          <w:tcPr>
            <w:tcW w:w="1034" w:type="dxa"/>
            <w:tcBorders>
              <w:top w:val="nil"/>
              <w:left w:val="nil"/>
              <w:bottom w:val="single" w:sz="8" w:space="0" w:color="D4D4D4"/>
              <w:right w:val="single" w:sz="8" w:space="0" w:color="D4D4D4"/>
            </w:tcBorders>
            <w:shd w:val="clear" w:color="auto" w:fill="auto"/>
            <w:vAlign w:val="center"/>
            <w:hideMark/>
          </w:tcPr>
          <w:p w14:paraId="575C19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034B1CE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1 542 775 000,00</w:t>
            </w:r>
          </w:p>
        </w:tc>
        <w:tc>
          <w:tcPr>
            <w:tcW w:w="1417" w:type="dxa"/>
            <w:tcBorders>
              <w:top w:val="nil"/>
              <w:left w:val="nil"/>
              <w:bottom w:val="nil"/>
              <w:right w:val="single" w:sz="8" w:space="0" w:color="E7E6E6"/>
            </w:tcBorders>
            <w:shd w:val="clear" w:color="000000" w:fill="FFFFFF"/>
            <w:vAlign w:val="center"/>
            <w:hideMark/>
          </w:tcPr>
          <w:p w14:paraId="73A025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20 184 866,00</w:t>
            </w:r>
          </w:p>
        </w:tc>
        <w:tc>
          <w:tcPr>
            <w:tcW w:w="1560" w:type="dxa"/>
            <w:tcBorders>
              <w:top w:val="nil"/>
              <w:left w:val="nil"/>
              <w:bottom w:val="nil"/>
              <w:right w:val="single" w:sz="8" w:space="0" w:color="E7E6E6"/>
            </w:tcBorders>
            <w:shd w:val="clear" w:color="000000" w:fill="FFFFFF"/>
            <w:vAlign w:val="center"/>
            <w:hideMark/>
          </w:tcPr>
          <w:p w14:paraId="61BA55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1 562 959 866,00</w:t>
            </w:r>
          </w:p>
        </w:tc>
      </w:tr>
      <w:tr w:rsidR="00B15F7D" w:rsidRPr="00990FB6" w14:paraId="48EFF4B9"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6382AFCE" w14:textId="77777777" w:rsidR="00B15F7D" w:rsidRPr="00990FB6" w:rsidRDefault="00B15F7D" w:rsidP="00B15F7D">
            <w:pPr>
              <w:rPr>
                <w:color w:val="000000"/>
                <w:sz w:val="22"/>
                <w:szCs w:val="22"/>
                <w:lang w:eastAsia="es-CR"/>
              </w:rPr>
            </w:pPr>
            <w:r w:rsidRPr="00990FB6">
              <w:rPr>
                <w:color w:val="000000"/>
                <w:sz w:val="22"/>
                <w:szCs w:val="22"/>
                <w:lang w:eastAsia="es-CR"/>
              </w:rPr>
              <w:t>Jueces o Juezas 2</w:t>
            </w:r>
          </w:p>
        </w:tc>
        <w:tc>
          <w:tcPr>
            <w:tcW w:w="1034" w:type="dxa"/>
            <w:tcBorders>
              <w:top w:val="nil"/>
              <w:left w:val="nil"/>
              <w:bottom w:val="single" w:sz="8" w:space="0" w:color="D4D4D4"/>
              <w:right w:val="single" w:sz="8" w:space="0" w:color="D4D4D4"/>
            </w:tcBorders>
            <w:shd w:val="clear" w:color="auto" w:fill="auto"/>
            <w:vAlign w:val="center"/>
            <w:hideMark/>
          </w:tcPr>
          <w:p w14:paraId="279F6D8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2A3A43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54 945 000,00</w:t>
            </w:r>
          </w:p>
        </w:tc>
        <w:tc>
          <w:tcPr>
            <w:tcW w:w="1417" w:type="dxa"/>
            <w:tcBorders>
              <w:top w:val="single" w:sz="8" w:space="0" w:color="E7E6E6"/>
              <w:left w:val="nil"/>
              <w:bottom w:val="nil"/>
              <w:right w:val="single" w:sz="8" w:space="0" w:color="E7E6E6"/>
            </w:tcBorders>
            <w:shd w:val="clear" w:color="000000" w:fill="FFFFFF"/>
            <w:vAlign w:val="center"/>
            <w:hideMark/>
          </w:tcPr>
          <w:p w14:paraId="182BA7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1 552 682,00</w:t>
            </w:r>
          </w:p>
        </w:tc>
        <w:tc>
          <w:tcPr>
            <w:tcW w:w="1560" w:type="dxa"/>
            <w:tcBorders>
              <w:top w:val="single" w:sz="8" w:space="0" w:color="E7E6E6"/>
              <w:left w:val="nil"/>
              <w:bottom w:val="nil"/>
              <w:right w:val="single" w:sz="8" w:space="0" w:color="E7E6E6"/>
            </w:tcBorders>
            <w:shd w:val="clear" w:color="000000" w:fill="FFFFFF"/>
            <w:vAlign w:val="center"/>
            <w:hideMark/>
          </w:tcPr>
          <w:p w14:paraId="5DBD79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56 497 682,00</w:t>
            </w:r>
          </w:p>
        </w:tc>
      </w:tr>
      <w:tr w:rsidR="00B15F7D" w:rsidRPr="00990FB6" w14:paraId="222FB292"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388C31E0" w14:textId="77777777" w:rsidR="00B15F7D" w:rsidRPr="00990FB6" w:rsidRDefault="00B15F7D" w:rsidP="00B15F7D">
            <w:pPr>
              <w:rPr>
                <w:color w:val="000000"/>
                <w:sz w:val="22"/>
                <w:szCs w:val="22"/>
                <w:lang w:eastAsia="es-CR"/>
              </w:rPr>
            </w:pPr>
            <w:r w:rsidRPr="00990FB6">
              <w:rPr>
                <w:color w:val="000000"/>
                <w:sz w:val="22"/>
                <w:szCs w:val="22"/>
                <w:lang w:eastAsia="es-CR"/>
              </w:rPr>
              <w:t>Jueces o Juezas 1</w:t>
            </w:r>
          </w:p>
        </w:tc>
        <w:tc>
          <w:tcPr>
            <w:tcW w:w="1034" w:type="dxa"/>
            <w:tcBorders>
              <w:top w:val="nil"/>
              <w:left w:val="nil"/>
              <w:bottom w:val="single" w:sz="8" w:space="0" w:color="D4D4D4"/>
              <w:right w:val="single" w:sz="8" w:space="0" w:color="D4D4D4"/>
            </w:tcBorders>
            <w:shd w:val="clear" w:color="auto" w:fill="auto"/>
            <w:vAlign w:val="center"/>
            <w:hideMark/>
          </w:tcPr>
          <w:p w14:paraId="756241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558916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215 112 000,00</w:t>
            </w:r>
          </w:p>
        </w:tc>
        <w:tc>
          <w:tcPr>
            <w:tcW w:w="1417" w:type="dxa"/>
            <w:tcBorders>
              <w:top w:val="single" w:sz="8" w:space="0" w:color="E7E6E6"/>
              <w:left w:val="nil"/>
              <w:bottom w:val="nil"/>
              <w:right w:val="single" w:sz="8" w:space="0" w:color="E7E6E6"/>
            </w:tcBorders>
            <w:shd w:val="clear" w:color="000000" w:fill="FFFFFF"/>
            <w:vAlign w:val="center"/>
            <w:hideMark/>
          </w:tcPr>
          <w:p w14:paraId="073E10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6 210 728,00</w:t>
            </w:r>
          </w:p>
        </w:tc>
        <w:tc>
          <w:tcPr>
            <w:tcW w:w="1560" w:type="dxa"/>
            <w:tcBorders>
              <w:top w:val="single" w:sz="8" w:space="0" w:color="E7E6E6"/>
              <w:left w:val="nil"/>
              <w:bottom w:val="nil"/>
              <w:right w:val="single" w:sz="8" w:space="0" w:color="E7E6E6"/>
            </w:tcBorders>
            <w:shd w:val="clear" w:color="000000" w:fill="FFFFFF"/>
            <w:vAlign w:val="center"/>
            <w:hideMark/>
          </w:tcPr>
          <w:p w14:paraId="731907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221 322 728,00</w:t>
            </w:r>
          </w:p>
        </w:tc>
      </w:tr>
      <w:tr w:rsidR="00B15F7D" w:rsidRPr="00990FB6" w14:paraId="0DB06DFE"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1AE25DD6" w14:textId="77777777" w:rsidR="00B15F7D" w:rsidRPr="00990FB6" w:rsidRDefault="00B15F7D" w:rsidP="00B15F7D">
            <w:pPr>
              <w:rPr>
                <w:color w:val="000000"/>
                <w:sz w:val="22"/>
                <w:szCs w:val="22"/>
                <w:lang w:eastAsia="es-CR"/>
              </w:rPr>
            </w:pPr>
            <w:r w:rsidRPr="00990FB6">
              <w:rPr>
                <w:color w:val="000000"/>
                <w:sz w:val="22"/>
                <w:szCs w:val="22"/>
                <w:lang w:eastAsia="es-CR"/>
              </w:rPr>
              <w:t>Coordinador Judicial 2</w:t>
            </w:r>
          </w:p>
        </w:tc>
        <w:tc>
          <w:tcPr>
            <w:tcW w:w="1034" w:type="dxa"/>
            <w:tcBorders>
              <w:top w:val="nil"/>
              <w:left w:val="nil"/>
              <w:bottom w:val="single" w:sz="8" w:space="0" w:color="D4D4D4"/>
              <w:right w:val="single" w:sz="8" w:space="0" w:color="D4D4D4"/>
            </w:tcBorders>
            <w:shd w:val="clear" w:color="auto" w:fill="auto"/>
            <w:vAlign w:val="center"/>
            <w:hideMark/>
          </w:tcPr>
          <w:p w14:paraId="7936A9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4113FC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18 905 000,00</w:t>
            </w:r>
          </w:p>
        </w:tc>
        <w:tc>
          <w:tcPr>
            <w:tcW w:w="1417" w:type="dxa"/>
            <w:tcBorders>
              <w:top w:val="single" w:sz="8" w:space="0" w:color="E7E6E6"/>
              <w:left w:val="nil"/>
              <w:bottom w:val="nil"/>
              <w:right w:val="single" w:sz="8" w:space="0" w:color="E7E6E6"/>
            </w:tcBorders>
            <w:shd w:val="clear" w:color="000000" w:fill="FFFFFF"/>
            <w:vAlign w:val="center"/>
            <w:hideMark/>
          </w:tcPr>
          <w:p w14:paraId="36D689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1 058 920,00</w:t>
            </w:r>
          </w:p>
        </w:tc>
        <w:tc>
          <w:tcPr>
            <w:tcW w:w="1560" w:type="dxa"/>
            <w:tcBorders>
              <w:top w:val="single" w:sz="8" w:space="0" w:color="E7E6E6"/>
              <w:left w:val="nil"/>
              <w:bottom w:val="nil"/>
              <w:right w:val="single" w:sz="8" w:space="0" w:color="E7E6E6"/>
            </w:tcBorders>
            <w:shd w:val="clear" w:color="000000" w:fill="FFFFFF"/>
            <w:vAlign w:val="center"/>
            <w:hideMark/>
          </w:tcPr>
          <w:p w14:paraId="5F52FC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19 963 920,00</w:t>
            </w:r>
          </w:p>
        </w:tc>
      </w:tr>
      <w:tr w:rsidR="00B15F7D" w:rsidRPr="00990FB6" w14:paraId="52D5ABD9"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447873E7" w14:textId="77777777" w:rsidR="00B15F7D" w:rsidRPr="00990FB6" w:rsidRDefault="00B15F7D" w:rsidP="00B15F7D">
            <w:pPr>
              <w:rPr>
                <w:color w:val="000000"/>
                <w:sz w:val="22"/>
                <w:szCs w:val="22"/>
                <w:lang w:eastAsia="es-CR"/>
              </w:rPr>
            </w:pPr>
            <w:r w:rsidRPr="00990FB6">
              <w:rPr>
                <w:color w:val="000000"/>
                <w:sz w:val="22"/>
                <w:szCs w:val="22"/>
                <w:lang w:eastAsia="es-CR"/>
              </w:rPr>
              <w:t>Técnicas o Técnicos Judiciales 3</w:t>
            </w:r>
          </w:p>
        </w:tc>
        <w:tc>
          <w:tcPr>
            <w:tcW w:w="1034" w:type="dxa"/>
            <w:tcBorders>
              <w:top w:val="nil"/>
              <w:left w:val="nil"/>
              <w:bottom w:val="single" w:sz="8" w:space="0" w:color="D4D4D4"/>
              <w:right w:val="single" w:sz="8" w:space="0" w:color="D4D4D4"/>
            </w:tcBorders>
            <w:shd w:val="clear" w:color="auto" w:fill="auto"/>
            <w:vAlign w:val="center"/>
            <w:hideMark/>
          </w:tcPr>
          <w:p w14:paraId="5C033B7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37</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030CEF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617 012 000,00</w:t>
            </w:r>
          </w:p>
        </w:tc>
        <w:tc>
          <w:tcPr>
            <w:tcW w:w="1417" w:type="dxa"/>
            <w:tcBorders>
              <w:top w:val="single" w:sz="8" w:space="0" w:color="E7E6E6"/>
              <w:left w:val="nil"/>
              <w:bottom w:val="nil"/>
              <w:right w:val="single" w:sz="8" w:space="0" w:color="E7E6E6"/>
            </w:tcBorders>
            <w:shd w:val="clear" w:color="000000" w:fill="FFFFFF"/>
            <w:vAlign w:val="center"/>
            <w:hideMark/>
          </w:tcPr>
          <w:p w14:paraId="2259DA0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26 473 000,00</w:t>
            </w:r>
          </w:p>
        </w:tc>
        <w:tc>
          <w:tcPr>
            <w:tcW w:w="1560" w:type="dxa"/>
            <w:tcBorders>
              <w:top w:val="single" w:sz="8" w:space="0" w:color="E7E6E6"/>
              <w:left w:val="nil"/>
              <w:bottom w:val="nil"/>
              <w:right w:val="single" w:sz="8" w:space="0" w:color="E7E6E6"/>
            </w:tcBorders>
            <w:shd w:val="clear" w:color="000000" w:fill="FFFFFF"/>
            <w:vAlign w:val="center"/>
            <w:hideMark/>
          </w:tcPr>
          <w:p w14:paraId="6C0D3C7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643 485 000,00</w:t>
            </w:r>
          </w:p>
        </w:tc>
      </w:tr>
      <w:tr w:rsidR="00B15F7D" w:rsidRPr="00990FB6" w14:paraId="0D95D75F"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6A2E7F2B" w14:textId="77777777" w:rsidR="00B15F7D" w:rsidRPr="00990FB6" w:rsidRDefault="00B15F7D" w:rsidP="00B15F7D">
            <w:pPr>
              <w:rPr>
                <w:color w:val="000000"/>
                <w:sz w:val="22"/>
                <w:szCs w:val="22"/>
                <w:lang w:eastAsia="es-CR"/>
              </w:rPr>
            </w:pPr>
            <w:r w:rsidRPr="00990FB6">
              <w:rPr>
                <w:color w:val="000000"/>
                <w:sz w:val="22"/>
                <w:szCs w:val="22"/>
                <w:lang w:eastAsia="es-CR"/>
              </w:rPr>
              <w:lastRenderedPageBreak/>
              <w:t>Técnicos Judiciales 2</w:t>
            </w:r>
          </w:p>
        </w:tc>
        <w:tc>
          <w:tcPr>
            <w:tcW w:w="1034" w:type="dxa"/>
            <w:tcBorders>
              <w:top w:val="nil"/>
              <w:left w:val="nil"/>
              <w:bottom w:val="single" w:sz="8" w:space="0" w:color="D4D4D4"/>
              <w:right w:val="single" w:sz="8" w:space="0" w:color="D4D4D4"/>
            </w:tcBorders>
            <w:shd w:val="clear" w:color="auto" w:fill="auto"/>
            <w:vAlign w:val="center"/>
            <w:hideMark/>
          </w:tcPr>
          <w:p w14:paraId="14D17E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43F17A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79 725 000,00</w:t>
            </w:r>
          </w:p>
        </w:tc>
        <w:tc>
          <w:tcPr>
            <w:tcW w:w="1417" w:type="dxa"/>
            <w:tcBorders>
              <w:top w:val="single" w:sz="8" w:space="0" w:color="E7E6E6"/>
              <w:left w:val="nil"/>
              <w:bottom w:val="nil"/>
              <w:right w:val="single" w:sz="8" w:space="0" w:color="E7E6E6"/>
            </w:tcBorders>
            <w:shd w:val="clear" w:color="000000" w:fill="FFFFFF"/>
            <w:vAlign w:val="center"/>
            <w:hideMark/>
          </w:tcPr>
          <w:p w14:paraId="21FE54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5 294 600,00</w:t>
            </w:r>
          </w:p>
        </w:tc>
        <w:tc>
          <w:tcPr>
            <w:tcW w:w="1560" w:type="dxa"/>
            <w:tcBorders>
              <w:top w:val="single" w:sz="8" w:space="0" w:color="E7E6E6"/>
              <w:left w:val="nil"/>
              <w:bottom w:val="nil"/>
              <w:right w:val="single" w:sz="8" w:space="0" w:color="E7E6E6"/>
            </w:tcBorders>
            <w:shd w:val="clear" w:color="000000" w:fill="FFFFFF"/>
            <w:vAlign w:val="center"/>
            <w:hideMark/>
          </w:tcPr>
          <w:p w14:paraId="34E9EF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85 019 600,00</w:t>
            </w:r>
          </w:p>
        </w:tc>
      </w:tr>
      <w:tr w:rsidR="00B15F7D" w:rsidRPr="00990FB6" w14:paraId="0E935B8F"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48741122" w14:textId="77777777" w:rsidR="00B15F7D" w:rsidRPr="00990FB6" w:rsidRDefault="00B15F7D" w:rsidP="00B15F7D">
            <w:pPr>
              <w:rPr>
                <w:color w:val="000000"/>
                <w:sz w:val="22"/>
                <w:szCs w:val="22"/>
                <w:lang w:eastAsia="es-CR"/>
              </w:rPr>
            </w:pPr>
            <w:r w:rsidRPr="00990FB6">
              <w:rPr>
                <w:color w:val="000000"/>
                <w:sz w:val="22"/>
                <w:szCs w:val="22"/>
                <w:lang w:eastAsia="es-CR"/>
              </w:rPr>
              <w:t>Fiscales</w:t>
            </w:r>
          </w:p>
        </w:tc>
        <w:tc>
          <w:tcPr>
            <w:tcW w:w="1034" w:type="dxa"/>
            <w:tcBorders>
              <w:top w:val="nil"/>
              <w:left w:val="nil"/>
              <w:bottom w:val="single" w:sz="8" w:space="0" w:color="D4D4D4"/>
              <w:right w:val="single" w:sz="8" w:space="0" w:color="D4D4D4"/>
            </w:tcBorders>
            <w:shd w:val="clear" w:color="auto" w:fill="auto"/>
            <w:vAlign w:val="center"/>
            <w:hideMark/>
          </w:tcPr>
          <w:p w14:paraId="27C212F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27</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5B5EE18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1 540 755 000,00</w:t>
            </w:r>
          </w:p>
        </w:tc>
        <w:tc>
          <w:tcPr>
            <w:tcW w:w="1417" w:type="dxa"/>
            <w:tcBorders>
              <w:top w:val="single" w:sz="8" w:space="0" w:color="E7E6E6"/>
              <w:left w:val="nil"/>
              <w:bottom w:val="nil"/>
              <w:right w:val="single" w:sz="8" w:space="0" w:color="E7E6E6"/>
            </w:tcBorders>
            <w:shd w:val="clear" w:color="000000" w:fill="FFFFFF"/>
            <w:vAlign w:val="center"/>
            <w:hideMark/>
          </w:tcPr>
          <w:p w14:paraId="61FFCB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41 099 574,00</w:t>
            </w:r>
          </w:p>
        </w:tc>
        <w:tc>
          <w:tcPr>
            <w:tcW w:w="1560" w:type="dxa"/>
            <w:tcBorders>
              <w:top w:val="single" w:sz="8" w:space="0" w:color="E7E6E6"/>
              <w:left w:val="nil"/>
              <w:bottom w:val="nil"/>
              <w:right w:val="single" w:sz="8" w:space="0" w:color="E7E6E6"/>
            </w:tcBorders>
            <w:shd w:val="clear" w:color="000000" w:fill="FFFFFF"/>
            <w:vAlign w:val="center"/>
            <w:hideMark/>
          </w:tcPr>
          <w:p w14:paraId="2D220E8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1 581 854 574,00</w:t>
            </w:r>
          </w:p>
        </w:tc>
      </w:tr>
      <w:tr w:rsidR="00B15F7D" w:rsidRPr="00990FB6" w14:paraId="0543ED03"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462C379E" w14:textId="77777777" w:rsidR="00B15F7D" w:rsidRPr="00990FB6" w:rsidRDefault="00B15F7D" w:rsidP="00B15F7D">
            <w:pPr>
              <w:rPr>
                <w:color w:val="000000"/>
                <w:sz w:val="22"/>
                <w:szCs w:val="22"/>
                <w:lang w:eastAsia="es-CR"/>
              </w:rPr>
            </w:pPr>
            <w:r w:rsidRPr="00990FB6">
              <w:rPr>
                <w:color w:val="000000"/>
                <w:sz w:val="22"/>
                <w:szCs w:val="22"/>
                <w:lang w:eastAsia="es-CR"/>
              </w:rPr>
              <w:t>Fiscal Auxiliar</w:t>
            </w:r>
          </w:p>
        </w:tc>
        <w:tc>
          <w:tcPr>
            <w:tcW w:w="1034" w:type="dxa"/>
            <w:tcBorders>
              <w:top w:val="nil"/>
              <w:left w:val="nil"/>
              <w:bottom w:val="single" w:sz="8" w:space="0" w:color="D4D4D4"/>
              <w:right w:val="single" w:sz="8" w:space="0" w:color="D4D4D4"/>
            </w:tcBorders>
            <w:shd w:val="clear" w:color="auto" w:fill="auto"/>
            <w:vAlign w:val="center"/>
            <w:hideMark/>
          </w:tcPr>
          <w:p w14:paraId="295E8A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2B01C0F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219 452 000,00</w:t>
            </w:r>
          </w:p>
        </w:tc>
        <w:tc>
          <w:tcPr>
            <w:tcW w:w="1417" w:type="dxa"/>
            <w:tcBorders>
              <w:top w:val="single" w:sz="8" w:space="0" w:color="E7E6E6"/>
              <w:left w:val="nil"/>
              <w:bottom w:val="nil"/>
              <w:right w:val="single" w:sz="8" w:space="0" w:color="E7E6E6"/>
            </w:tcBorders>
            <w:shd w:val="clear" w:color="000000" w:fill="FFFFFF"/>
            <w:vAlign w:val="center"/>
            <w:hideMark/>
          </w:tcPr>
          <w:p w14:paraId="7D5469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6 210 728,00</w:t>
            </w:r>
          </w:p>
        </w:tc>
        <w:tc>
          <w:tcPr>
            <w:tcW w:w="1560" w:type="dxa"/>
            <w:tcBorders>
              <w:top w:val="single" w:sz="8" w:space="0" w:color="E7E6E6"/>
              <w:left w:val="nil"/>
              <w:bottom w:val="nil"/>
              <w:right w:val="single" w:sz="8" w:space="0" w:color="E7E6E6"/>
            </w:tcBorders>
            <w:shd w:val="clear" w:color="000000" w:fill="FFFFFF"/>
            <w:vAlign w:val="center"/>
            <w:hideMark/>
          </w:tcPr>
          <w:p w14:paraId="2A5476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225 662 728,00</w:t>
            </w:r>
          </w:p>
        </w:tc>
      </w:tr>
      <w:tr w:rsidR="00B15F7D" w:rsidRPr="00990FB6" w14:paraId="106458B8"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19E84197" w14:textId="77777777" w:rsidR="00B15F7D" w:rsidRPr="00990FB6" w:rsidRDefault="00B15F7D" w:rsidP="00B15F7D">
            <w:pPr>
              <w:rPr>
                <w:color w:val="000000"/>
                <w:sz w:val="22"/>
                <w:szCs w:val="22"/>
                <w:lang w:eastAsia="es-CR"/>
              </w:rPr>
            </w:pPr>
            <w:r w:rsidRPr="00990FB6">
              <w:rPr>
                <w:color w:val="000000"/>
                <w:sz w:val="22"/>
                <w:szCs w:val="22"/>
                <w:lang w:eastAsia="es-CR"/>
              </w:rPr>
              <w:t>Defensores</w:t>
            </w:r>
          </w:p>
        </w:tc>
        <w:tc>
          <w:tcPr>
            <w:tcW w:w="1034" w:type="dxa"/>
            <w:tcBorders>
              <w:top w:val="nil"/>
              <w:left w:val="nil"/>
              <w:bottom w:val="single" w:sz="8" w:space="0" w:color="D4D4D4"/>
              <w:right w:val="single" w:sz="8" w:space="0" w:color="D4D4D4"/>
            </w:tcBorders>
            <w:shd w:val="clear" w:color="auto" w:fill="auto"/>
            <w:vAlign w:val="center"/>
            <w:hideMark/>
          </w:tcPr>
          <w:p w14:paraId="7E290BD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07B8AD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639 360 000,00</w:t>
            </w:r>
          </w:p>
        </w:tc>
        <w:tc>
          <w:tcPr>
            <w:tcW w:w="1417" w:type="dxa"/>
            <w:tcBorders>
              <w:top w:val="single" w:sz="8" w:space="0" w:color="E7E6E6"/>
              <w:left w:val="nil"/>
              <w:bottom w:val="nil"/>
              <w:right w:val="single" w:sz="8" w:space="0" w:color="E7E6E6"/>
            </w:tcBorders>
            <w:shd w:val="clear" w:color="000000" w:fill="FFFFFF"/>
            <w:vAlign w:val="center"/>
            <w:hideMark/>
          </w:tcPr>
          <w:p w14:paraId="52EF36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10 868 774,00</w:t>
            </w:r>
          </w:p>
        </w:tc>
        <w:tc>
          <w:tcPr>
            <w:tcW w:w="1560" w:type="dxa"/>
            <w:tcBorders>
              <w:top w:val="single" w:sz="8" w:space="0" w:color="E7E6E6"/>
              <w:left w:val="nil"/>
              <w:bottom w:val="nil"/>
              <w:right w:val="single" w:sz="8" w:space="0" w:color="E7E6E6"/>
            </w:tcBorders>
            <w:shd w:val="clear" w:color="000000" w:fill="FFFFFF"/>
            <w:vAlign w:val="center"/>
            <w:hideMark/>
          </w:tcPr>
          <w:p w14:paraId="3E1A42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650 228 774,00</w:t>
            </w:r>
          </w:p>
        </w:tc>
      </w:tr>
      <w:tr w:rsidR="00B15F7D" w:rsidRPr="00990FB6" w14:paraId="3E475A14" w14:textId="77777777" w:rsidTr="000A0C22">
        <w:trPr>
          <w:trHeight w:val="300"/>
          <w:jc w:val="center"/>
        </w:trPr>
        <w:tc>
          <w:tcPr>
            <w:tcW w:w="2500" w:type="dxa"/>
            <w:tcBorders>
              <w:top w:val="nil"/>
              <w:left w:val="single" w:sz="8" w:space="0" w:color="D4D4D4"/>
              <w:bottom w:val="single" w:sz="8" w:space="0" w:color="D4D4D4"/>
              <w:right w:val="single" w:sz="8" w:space="0" w:color="D4D4D4"/>
            </w:tcBorders>
            <w:shd w:val="clear" w:color="auto" w:fill="auto"/>
            <w:vAlign w:val="center"/>
            <w:hideMark/>
          </w:tcPr>
          <w:p w14:paraId="74AC5193" w14:textId="77777777" w:rsidR="00B15F7D" w:rsidRPr="00990FB6" w:rsidRDefault="00B15F7D" w:rsidP="00B15F7D">
            <w:pPr>
              <w:rPr>
                <w:color w:val="000000"/>
                <w:sz w:val="22"/>
                <w:szCs w:val="22"/>
                <w:lang w:eastAsia="es-CR"/>
              </w:rPr>
            </w:pPr>
            <w:r w:rsidRPr="00990FB6">
              <w:rPr>
                <w:color w:val="000000"/>
                <w:sz w:val="22"/>
                <w:szCs w:val="22"/>
                <w:lang w:eastAsia="es-CR"/>
              </w:rPr>
              <w:t>Custodios de detenidos</w:t>
            </w:r>
          </w:p>
        </w:tc>
        <w:tc>
          <w:tcPr>
            <w:tcW w:w="1034" w:type="dxa"/>
            <w:tcBorders>
              <w:top w:val="nil"/>
              <w:left w:val="nil"/>
              <w:bottom w:val="single" w:sz="8" w:space="0" w:color="D4D4D4"/>
              <w:right w:val="single" w:sz="8" w:space="0" w:color="D4D4D4"/>
            </w:tcBorders>
            <w:shd w:val="clear" w:color="auto" w:fill="auto"/>
            <w:vAlign w:val="center"/>
            <w:hideMark/>
          </w:tcPr>
          <w:p w14:paraId="11C260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24</w:t>
            </w:r>
          </w:p>
        </w:tc>
        <w:tc>
          <w:tcPr>
            <w:tcW w:w="1843" w:type="dxa"/>
            <w:tcBorders>
              <w:top w:val="nil"/>
              <w:left w:val="single" w:sz="8" w:space="0" w:color="E7E6E6"/>
              <w:bottom w:val="single" w:sz="8" w:space="0" w:color="E7E6E6"/>
              <w:right w:val="single" w:sz="8" w:space="0" w:color="E7E6E6"/>
            </w:tcBorders>
            <w:shd w:val="clear" w:color="000000" w:fill="FFFFFF"/>
            <w:vAlign w:val="center"/>
            <w:hideMark/>
          </w:tcPr>
          <w:p w14:paraId="68F253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473 880 000,00</w:t>
            </w:r>
          </w:p>
        </w:tc>
        <w:tc>
          <w:tcPr>
            <w:tcW w:w="1417" w:type="dxa"/>
            <w:tcBorders>
              <w:top w:val="single" w:sz="8" w:space="0" w:color="E7E6E6"/>
              <w:left w:val="nil"/>
              <w:bottom w:val="single" w:sz="8" w:space="0" w:color="E7E6E6"/>
              <w:right w:val="single" w:sz="8" w:space="0" w:color="E7E6E6"/>
            </w:tcBorders>
            <w:shd w:val="clear" w:color="000000" w:fill="FFFFFF"/>
            <w:vAlign w:val="center"/>
            <w:hideMark/>
          </w:tcPr>
          <w:p w14:paraId="336FE7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28 088 872,00</w:t>
            </w:r>
          </w:p>
        </w:tc>
        <w:tc>
          <w:tcPr>
            <w:tcW w:w="1560" w:type="dxa"/>
            <w:tcBorders>
              <w:top w:val="single" w:sz="8" w:space="0" w:color="E7E6E6"/>
              <w:left w:val="nil"/>
              <w:bottom w:val="nil"/>
              <w:right w:val="single" w:sz="8" w:space="0" w:color="E7E6E6"/>
            </w:tcBorders>
            <w:shd w:val="clear" w:color="000000" w:fill="FFFFFF"/>
            <w:vAlign w:val="center"/>
            <w:hideMark/>
          </w:tcPr>
          <w:p w14:paraId="6704CD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501 968 872,00</w:t>
            </w:r>
          </w:p>
        </w:tc>
      </w:tr>
      <w:tr w:rsidR="00B15F7D" w:rsidRPr="00990FB6" w14:paraId="4222B667" w14:textId="77777777" w:rsidTr="000A0C22">
        <w:trPr>
          <w:trHeight w:val="300"/>
          <w:jc w:val="center"/>
        </w:trPr>
        <w:tc>
          <w:tcPr>
            <w:tcW w:w="2500" w:type="dxa"/>
            <w:tcBorders>
              <w:top w:val="single" w:sz="8" w:space="0" w:color="E7E6E6"/>
              <w:left w:val="single" w:sz="8" w:space="0" w:color="E7E6E6"/>
              <w:bottom w:val="single" w:sz="8" w:space="0" w:color="E7E6E6"/>
              <w:right w:val="single" w:sz="8" w:space="0" w:color="E7E6E6"/>
            </w:tcBorders>
            <w:shd w:val="clear" w:color="000000" w:fill="DEEAF6"/>
            <w:vAlign w:val="center"/>
            <w:hideMark/>
          </w:tcPr>
          <w:p w14:paraId="52577D51" w14:textId="77777777" w:rsidR="00B15F7D" w:rsidRPr="00990FB6" w:rsidRDefault="00B15F7D" w:rsidP="00B15F7D">
            <w:pPr>
              <w:rPr>
                <w:b/>
                <w:bCs/>
                <w:color w:val="3A3838"/>
                <w:sz w:val="22"/>
                <w:szCs w:val="22"/>
                <w:lang w:eastAsia="es-CR"/>
              </w:rPr>
            </w:pPr>
            <w:r w:rsidRPr="00990FB6">
              <w:rPr>
                <w:b/>
                <w:bCs/>
                <w:color w:val="3A3838"/>
                <w:sz w:val="22"/>
                <w:szCs w:val="22"/>
                <w:lang w:eastAsia="es-CR"/>
              </w:rPr>
              <w:t>Requerimiento total</w:t>
            </w:r>
          </w:p>
        </w:tc>
        <w:tc>
          <w:tcPr>
            <w:tcW w:w="1034" w:type="dxa"/>
            <w:tcBorders>
              <w:top w:val="single" w:sz="8" w:space="0" w:color="E7E6E6"/>
              <w:left w:val="nil"/>
              <w:bottom w:val="single" w:sz="8" w:space="0" w:color="E7E6E6"/>
              <w:right w:val="single" w:sz="8" w:space="0" w:color="E7E6E6"/>
            </w:tcBorders>
            <w:shd w:val="clear" w:color="000000" w:fill="DEEAF6"/>
            <w:vAlign w:val="center"/>
            <w:hideMark/>
          </w:tcPr>
          <w:p w14:paraId="016F7448"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140</w:t>
            </w:r>
          </w:p>
        </w:tc>
        <w:tc>
          <w:tcPr>
            <w:tcW w:w="1843" w:type="dxa"/>
            <w:tcBorders>
              <w:top w:val="nil"/>
              <w:left w:val="nil"/>
              <w:bottom w:val="single" w:sz="8" w:space="0" w:color="E7E6E6"/>
              <w:right w:val="single" w:sz="8" w:space="0" w:color="E7E6E6"/>
            </w:tcBorders>
            <w:shd w:val="clear" w:color="000000" w:fill="DEEAF6"/>
            <w:vAlign w:val="center"/>
            <w:hideMark/>
          </w:tcPr>
          <w:p w14:paraId="2BCC9831"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5 401 921 000,00</w:t>
            </w:r>
          </w:p>
        </w:tc>
        <w:tc>
          <w:tcPr>
            <w:tcW w:w="1417" w:type="dxa"/>
            <w:tcBorders>
              <w:top w:val="nil"/>
              <w:left w:val="nil"/>
              <w:bottom w:val="single" w:sz="8" w:space="0" w:color="E7E6E6"/>
              <w:right w:val="single" w:sz="8" w:space="0" w:color="E7E6E6"/>
            </w:tcBorders>
            <w:shd w:val="clear" w:color="000000" w:fill="DEEAF6"/>
            <w:vAlign w:val="center"/>
            <w:hideMark/>
          </w:tcPr>
          <w:p w14:paraId="62F765D1"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147 042 744,00</w:t>
            </w:r>
          </w:p>
        </w:tc>
        <w:tc>
          <w:tcPr>
            <w:tcW w:w="1560" w:type="dxa"/>
            <w:tcBorders>
              <w:top w:val="single" w:sz="8" w:space="0" w:color="E7E6E6"/>
              <w:left w:val="nil"/>
              <w:bottom w:val="single" w:sz="8" w:space="0" w:color="E7E6E6"/>
              <w:right w:val="single" w:sz="8" w:space="0" w:color="E7E6E6"/>
            </w:tcBorders>
            <w:shd w:val="clear" w:color="000000" w:fill="DEEAF6"/>
            <w:vAlign w:val="center"/>
            <w:hideMark/>
          </w:tcPr>
          <w:p w14:paraId="4809FC59"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5 548 963 744,00</w:t>
            </w:r>
          </w:p>
        </w:tc>
      </w:tr>
    </w:tbl>
    <w:p w14:paraId="48BC5F9D"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t>Fuente:</w:t>
      </w:r>
      <w:r w:rsidRPr="00990FB6">
        <w:rPr>
          <w:rFonts w:eastAsia="Calibri"/>
          <w:sz w:val="22"/>
          <w:szCs w:val="22"/>
        </w:rPr>
        <w:t xml:space="preserve"> Elaboración propia</w:t>
      </w:r>
    </w:p>
    <w:p w14:paraId="7DACEDD6" w14:textId="77777777" w:rsidR="00B15F7D" w:rsidRPr="00990FB6" w:rsidRDefault="00B15F7D" w:rsidP="00B15F7D">
      <w:pPr>
        <w:ind w:left="851" w:right="851" w:firstLine="709"/>
        <w:jc w:val="both"/>
        <w:rPr>
          <w:snapToGrid w:val="0"/>
          <w:sz w:val="22"/>
          <w:szCs w:val="22"/>
        </w:rPr>
      </w:pPr>
    </w:p>
    <w:p w14:paraId="6E2D28D8"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El costo total del escenario de estructura básica nacional (escenario 2), más el requerimiento humano para la atención de la materia de Ejecución de la Pena es de ¢5 548 963 744,00. </w:t>
      </w:r>
    </w:p>
    <w:p w14:paraId="5584DB48" w14:textId="77777777" w:rsidR="00B15F7D" w:rsidRPr="00990FB6" w:rsidRDefault="00B15F7D" w:rsidP="00B15F7D">
      <w:pPr>
        <w:ind w:left="851" w:right="851" w:firstLine="709"/>
        <w:jc w:val="both"/>
        <w:rPr>
          <w:rFonts w:eastAsia="Calibri"/>
          <w:sz w:val="22"/>
          <w:szCs w:val="22"/>
        </w:rPr>
      </w:pPr>
    </w:p>
    <w:p w14:paraId="64DD39E3" w14:textId="77777777" w:rsidR="00B15F7D" w:rsidRPr="00990FB6" w:rsidRDefault="00B15F7D" w:rsidP="00B15F7D">
      <w:pPr>
        <w:ind w:left="851" w:right="851" w:firstLine="709"/>
        <w:jc w:val="both"/>
        <w:rPr>
          <w:b/>
          <w:snapToGrid w:val="0"/>
          <w:sz w:val="22"/>
          <w:szCs w:val="22"/>
          <w:u w:val="single"/>
        </w:rPr>
      </w:pPr>
      <w:r w:rsidRPr="00990FB6">
        <w:rPr>
          <w:b/>
          <w:snapToGrid w:val="0"/>
          <w:sz w:val="22"/>
          <w:szCs w:val="22"/>
          <w:u w:val="single"/>
        </w:rPr>
        <w:t>Escenario 4, estructuras básicas nacional + Ejecución de la Pena+ creación de tribunales peninsulares</w:t>
      </w:r>
    </w:p>
    <w:p w14:paraId="1602A66A" w14:textId="77777777" w:rsidR="00B15F7D" w:rsidRPr="00990FB6" w:rsidRDefault="00B15F7D" w:rsidP="00B15F7D">
      <w:pPr>
        <w:suppressAutoHyphens w:val="0"/>
        <w:ind w:left="1560" w:right="851"/>
        <w:jc w:val="both"/>
        <w:rPr>
          <w:snapToGrid w:val="0"/>
          <w:sz w:val="22"/>
          <w:szCs w:val="22"/>
          <w:u w:val="single"/>
        </w:rPr>
      </w:pPr>
    </w:p>
    <w:p w14:paraId="7EB6E807"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Este escenario contempla el escenario 3, desarrollado en el punto anterior y la creación de tribunales penales peninsulares en el cantón de Golfito, lo cual surge ante la necesidad de aumentar la acción penal en esa zona fronteriza del país.</w:t>
      </w:r>
    </w:p>
    <w:p w14:paraId="49F0453C" w14:textId="77777777" w:rsidR="00B15F7D" w:rsidRPr="00990FB6" w:rsidRDefault="00B15F7D" w:rsidP="00B15F7D">
      <w:pPr>
        <w:ind w:firstLine="709"/>
        <w:jc w:val="both"/>
        <w:rPr>
          <w:rFonts w:eastAsia="Calibri"/>
          <w:sz w:val="22"/>
          <w:szCs w:val="22"/>
        </w:rPr>
      </w:pPr>
    </w:p>
    <w:p w14:paraId="219CEFD5"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8</w:t>
      </w:r>
      <w:r w:rsidRPr="00990FB6">
        <w:rPr>
          <w:rFonts w:eastAsia="Calibri"/>
          <w:i/>
          <w:iCs/>
          <w:sz w:val="22"/>
          <w:szCs w:val="22"/>
          <w:lang w:eastAsia="en-US"/>
        </w:rPr>
        <w:fldChar w:fldCharType="end"/>
      </w:r>
    </w:p>
    <w:p w14:paraId="1CA97A79"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 xml:space="preserve">Costo total creación de tribunales peninsulares recurso humano </w:t>
      </w:r>
    </w:p>
    <w:p w14:paraId="2CCC415C" w14:textId="77777777" w:rsidR="00B15F7D" w:rsidRPr="00990FB6" w:rsidRDefault="00B15F7D" w:rsidP="00B15F7D">
      <w:pPr>
        <w:jc w:val="both"/>
        <w:rPr>
          <w:rFonts w:eastAsia="Calibri"/>
          <w:sz w:val="22"/>
          <w:szCs w:val="22"/>
        </w:rPr>
      </w:pPr>
    </w:p>
    <w:tbl>
      <w:tblPr>
        <w:tblW w:w="9260" w:type="dxa"/>
        <w:tblCellMar>
          <w:left w:w="70" w:type="dxa"/>
          <w:right w:w="70" w:type="dxa"/>
        </w:tblCellMar>
        <w:tblLook w:val="04A0" w:firstRow="1" w:lastRow="0" w:firstColumn="1" w:lastColumn="0" w:noHBand="0" w:noVBand="1"/>
      </w:tblPr>
      <w:tblGrid>
        <w:gridCol w:w="2338"/>
        <w:gridCol w:w="2081"/>
        <w:gridCol w:w="937"/>
        <w:gridCol w:w="1742"/>
        <w:gridCol w:w="2162"/>
      </w:tblGrid>
      <w:tr w:rsidR="00B15F7D" w:rsidRPr="00990FB6" w14:paraId="3683C787" w14:textId="77777777" w:rsidTr="000A0C22">
        <w:trPr>
          <w:trHeight w:val="456"/>
        </w:trPr>
        <w:tc>
          <w:tcPr>
            <w:tcW w:w="2500" w:type="dxa"/>
            <w:tcBorders>
              <w:top w:val="single" w:sz="12" w:space="0" w:color="D0CECE"/>
              <w:left w:val="single" w:sz="12" w:space="0" w:color="D0CECE"/>
              <w:bottom w:val="single" w:sz="12" w:space="0" w:color="D0CECE"/>
              <w:right w:val="single" w:sz="12" w:space="0" w:color="D0CECE"/>
            </w:tcBorders>
            <w:shd w:val="clear" w:color="auto" w:fill="auto"/>
            <w:vAlign w:val="center"/>
            <w:hideMark/>
          </w:tcPr>
          <w:p w14:paraId="32F4324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Despacho</w:t>
            </w:r>
          </w:p>
        </w:tc>
        <w:tc>
          <w:tcPr>
            <w:tcW w:w="2163" w:type="dxa"/>
            <w:tcBorders>
              <w:top w:val="single" w:sz="12" w:space="0" w:color="D0CECE"/>
              <w:left w:val="nil"/>
              <w:bottom w:val="single" w:sz="12" w:space="0" w:color="D0CECE"/>
              <w:right w:val="single" w:sz="12" w:space="0" w:color="D0CECE"/>
            </w:tcBorders>
            <w:shd w:val="clear" w:color="auto" w:fill="auto"/>
            <w:vAlign w:val="center"/>
            <w:hideMark/>
          </w:tcPr>
          <w:p w14:paraId="5D38943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Tipo de puesto</w:t>
            </w:r>
          </w:p>
        </w:tc>
        <w:tc>
          <w:tcPr>
            <w:tcW w:w="937" w:type="dxa"/>
            <w:tcBorders>
              <w:top w:val="single" w:sz="12" w:space="0" w:color="D0CECE"/>
              <w:left w:val="nil"/>
              <w:bottom w:val="single" w:sz="12" w:space="0" w:color="D0CECE"/>
              <w:right w:val="single" w:sz="12" w:space="0" w:color="D0CECE"/>
            </w:tcBorders>
            <w:shd w:val="clear" w:color="auto" w:fill="auto"/>
            <w:vAlign w:val="center"/>
            <w:hideMark/>
          </w:tcPr>
          <w:p w14:paraId="5E9A1EE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Cantidad</w:t>
            </w:r>
          </w:p>
        </w:tc>
        <w:tc>
          <w:tcPr>
            <w:tcW w:w="1332" w:type="dxa"/>
            <w:tcBorders>
              <w:top w:val="single" w:sz="12" w:space="0" w:color="D0CECE"/>
              <w:left w:val="nil"/>
              <w:bottom w:val="single" w:sz="12" w:space="0" w:color="D0CECE"/>
              <w:right w:val="single" w:sz="12" w:space="0" w:color="D0CECE"/>
            </w:tcBorders>
            <w:shd w:val="clear" w:color="auto" w:fill="auto"/>
            <w:vAlign w:val="center"/>
            <w:hideMark/>
          </w:tcPr>
          <w:p w14:paraId="59A13E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Programa presupuestario</w:t>
            </w:r>
          </w:p>
        </w:tc>
        <w:tc>
          <w:tcPr>
            <w:tcW w:w="2328" w:type="dxa"/>
            <w:tcBorders>
              <w:top w:val="single" w:sz="12" w:space="0" w:color="D0CECE"/>
              <w:left w:val="nil"/>
              <w:bottom w:val="single" w:sz="12" w:space="0" w:color="D0CECE"/>
              <w:right w:val="single" w:sz="12" w:space="0" w:color="D0CECE"/>
            </w:tcBorders>
            <w:shd w:val="clear" w:color="auto" w:fill="auto"/>
            <w:vAlign w:val="center"/>
            <w:hideMark/>
          </w:tcPr>
          <w:p w14:paraId="19FA68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Costo anual estimado</w:t>
            </w:r>
          </w:p>
        </w:tc>
      </w:tr>
      <w:tr w:rsidR="00B15F7D" w:rsidRPr="00990FB6" w14:paraId="35D879CD" w14:textId="77777777" w:rsidTr="000A0C22">
        <w:trPr>
          <w:trHeight w:val="313"/>
        </w:trPr>
        <w:tc>
          <w:tcPr>
            <w:tcW w:w="2500" w:type="dxa"/>
            <w:vMerge w:val="restart"/>
            <w:tcBorders>
              <w:top w:val="nil"/>
              <w:left w:val="single" w:sz="12" w:space="0" w:color="D0CECE"/>
              <w:bottom w:val="single" w:sz="12" w:space="0" w:color="D0CECE"/>
              <w:right w:val="single" w:sz="12" w:space="0" w:color="D0CECE"/>
            </w:tcBorders>
            <w:shd w:val="clear" w:color="auto" w:fill="auto"/>
            <w:vAlign w:val="center"/>
            <w:hideMark/>
          </w:tcPr>
          <w:p w14:paraId="788A61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Creación del Juzgado Penal de Golfito, Puerto Jiménez</w:t>
            </w:r>
          </w:p>
        </w:tc>
        <w:tc>
          <w:tcPr>
            <w:tcW w:w="2163" w:type="dxa"/>
            <w:tcBorders>
              <w:top w:val="nil"/>
              <w:left w:val="nil"/>
              <w:bottom w:val="single" w:sz="12" w:space="0" w:color="D0CECE"/>
              <w:right w:val="single" w:sz="12" w:space="0" w:color="D0CECE"/>
            </w:tcBorders>
            <w:shd w:val="clear" w:color="auto" w:fill="auto"/>
            <w:vAlign w:val="center"/>
            <w:hideMark/>
          </w:tcPr>
          <w:p w14:paraId="6FDACF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Jueza o Juez 3</w:t>
            </w:r>
          </w:p>
        </w:tc>
        <w:tc>
          <w:tcPr>
            <w:tcW w:w="937" w:type="dxa"/>
            <w:tcBorders>
              <w:top w:val="nil"/>
              <w:left w:val="nil"/>
              <w:bottom w:val="single" w:sz="12" w:space="0" w:color="D0CECE"/>
              <w:right w:val="single" w:sz="12" w:space="0" w:color="D0CECE"/>
            </w:tcBorders>
            <w:shd w:val="clear" w:color="auto" w:fill="auto"/>
            <w:vAlign w:val="center"/>
            <w:hideMark/>
          </w:tcPr>
          <w:p w14:paraId="384EDA7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32" w:type="dxa"/>
            <w:tcBorders>
              <w:top w:val="nil"/>
              <w:left w:val="nil"/>
              <w:bottom w:val="single" w:sz="12" w:space="0" w:color="D0CECE"/>
              <w:right w:val="single" w:sz="12" w:space="0" w:color="D0CECE"/>
            </w:tcBorders>
            <w:shd w:val="clear" w:color="auto" w:fill="auto"/>
            <w:vAlign w:val="center"/>
            <w:hideMark/>
          </w:tcPr>
          <w:p w14:paraId="441F006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927</w:t>
            </w:r>
          </w:p>
        </w:tc>
        <w:tc>
          <w:tcPr>
            <w:tcW w:w="2328" w:type="dxa"/>
            <w:tcBorders>
              <w:top w:val="nil"/>
              <w:left w:val="nil"/>
              <w:bottom w:val="single" w:sz="12" w:space="0" w:color="D0CECE"/>
              <w:right w:val="single" w:sz="12" w:space="0" w:color="D0CECE"/>
            </w:tcBorders>
            <w:shd w:val="clear" w:color="000000" w:fill="FFFFFF"/>
            <w:vAlign w:val="center"/>
            <w:hideMark/>
          </w:tcPr>
          <w:p w14:paraId="746084ED"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57 147 000,00 </w:t>
            </w:r>
          </w:p>
        </w:tc>
      </w:tr>
      <w:tr w:rsidR="00B15F7D" w:rsidRPr="00990FB6" w14:paraId="11BB9DC4" w14:textId="77777777" w:rsidTr="000A0C22">
        <w:trPr>
          <w:trHeight w:val="261"/>
        </w:trPr>
        <w:tc>
          <w:tcPr>
            <w:tcW w:w="2500" w:type="dxa"/>
            <w:vMerge/>
            <w:tcBorders>
              <w:top w:val="nil"/>
              <w:left w:val="single" w:sz="12" w:space="0" w:color="D0CECE"/>
              <w:bottom w:val="single" w:sz="12" w:space="0" w:color="D0CECE"/>
              <w:right w:val="single" w:sz="12" w:space="0" w:color="D0CECE"/>
            </w:tcBorders>
            <w:vAlign w:val="center"/>
            <w:hideMark/>
          </w:tcPr>
          <w:p w14:paraId="4CC57122" w14:textId="77777777" w:rsidR="00B15F7D" w:rsidRPr="00990FB6" w:rsidRDefault="00B15F7D" w:rsidP="00B15F7D">
            <w:pPr>
              <w:rPr>
                <w:color w:val="000000"/>
                <w:sz w:val="22"/>
                <w:szCs w:val="22"/>
                <w:lang w:eastAsia="es-CR"/>
              </w:rPr>
            </w:pPr>
          </w:p>
        </w:tc>
        <w:tc>
          <w:tcPr>
            <w:tcW w:w="2163" w:type="dxa"/>
            <w:tcBorders>
              <w:top w:val="nil"/>
              <w:left w:val="nil"/>
              <w:bottom w:val="single" w:sz="12" w:space="0" w:color="D0CECE"/>
              <w:right w:val="single" w:sz="12" w:space="0" w:color="D0CECE"/>
            </w:tcBorders>
            <w:shd w:val="clear" w:color="auto" w:fill="auto"/>
            <w:vAlign w:val="center"/>
            <w:hideMark/>
          </w:tcPr>
          <w:p w14:paraId="4D9200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Técnica o Técnico Judicial 2</w:t>
            </w:r>
          </w:p>
        </w:tc>
        <w:tc>
          <w:tcPr>
            <w:tcW w:w="937" w:type="dxa"/>
            <w:tcBorders>
              <w:top w:val="nil"/>
              <w:left w:val="nil"/>
              <w:bottom w:val="single" w:sz="12" w:space="0" w:color="D0CECE"/>
              <w:right w:val="single" w:sz="12" w:space="0" w:color="D0CECE"/>
            </w:tcBorders>
            <w:shd w:val="clear" w:color="auto" w:fill="auto"/>
            <w:vAlign w:val="center"/>
            <w:hideMark/>
          </w:tcPr>
          <w:p w14:paraId="75176B0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32" w:type="dxa"/>
            <w:tcBorders>
              <w:top w:val="nil"/>
              <w:left w:val="nil"/>
              <w:bottom w:val="single" w:sz="12" w:space="0" w:color="D0CECE"/>
              <w:right w:val="single" w:sz="12" w:space="0" w:color="D0CECE"/>
            </w:tcBorders>
            <w:shd w:val="clear" w:color="auto" w:fill="auto"/>
            <w:vAlign w:val="center"/>
            <w:hideMark/>
          </w:tcPr>
          <w:p w14:paraId="1E72A4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927</w:t>
            </w:r>
          </w:p>
        </w:tc>
        <w:tc>
          <w:tcPr>
            <w:tcW w:w="2328" w:type="dxa"/>
            <w:tcBorders>
              <w:top w:val="nil"/>
              <w:left w:val="nil"/>
              <w:bottom w:val="single" w:sz="12" w:space="0" w:color="D0CECE"/>
              <w:right w:val="single" w:sz="12" w:space="0" w:color="D0CECE"/>
            </w:tcBorders>
            <w:shd w:val="clear" w:color="000000" w:fill="FFFFFF"/>
            <w:vAlign w:val="center"/>
            <w:hideMark/>
          </w:tcPr>
          <w:p w14:paraId="2F0FF1CA"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15 945 000,00 </w:t>
            </w:r>
          </w:p>
        </w:tc>
      </w:tr>
      <w:tr w:rsidR="00B15F7D" w:rsidRPr="00990FB6" w14:paraId="7E130BBD" w14:textId="77777777" w:rsidTr="000A0C22">
        <w:trPr>
          <w:trHeight w:val="265"/>
        </w:trPr>
        <w:tc>
          <w:tcPr>
            <w:tcW w:w="2500" w:type="dxa"/>
            <w:vMerge w:val="restart"/>
            <w:tcBorders>
              <w:top w:val="nil"/>
              <w:left w:val="single" w:sz="12" w:space="0" w:color="D0CECE"/>
              <w:bottom w:val="single" w:sz="12" w:space="0" w:color="D0CECE"/>
              <w:right w:val="single" w:sz="12" w:space="0" w:color="D0CECE"/>
            </w:tcBorders>
            <w:shd w:val="clear" w:color="auto" w:fill="auto"/>
            <w:vAlign w:val="center"/>
            <w:hideMark/>
          </w:tcPr>
          <w:p w14:paraId="65A011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Creación OIJ Delegación Puerto Jiménez</w:t>
            </w:r>
          </w:p>
        </w:tc>
        <w:tc>
          <w:tcPr>
            <w:tcW w:w="2163" w:type="dxa"/>
            <w:tcBorders>
              <w:top w:val="nil"/>
              <w:left w:val="nil"/>
              <w:bottom w:val="single" w:sz="12" w:space="0" w:color="D0CECE"/>
              <w:right w:val="single" w:sz="12" w:space="0" w:color="D0CECE"/>
            </w:tcBorders>
            <w:shd w:val="clear" w:color="auto" w:fill="auto"/>
            <w:vAlign w:val="center"/>
            <w:hideMark/>
          </w:tcPr>
          <w:p w14:paraId="48C605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Investigador 1</w:t>
            </w:r>
          </w:p>
        </w:tc>
        <w:tc>
          <w:tcPr>
            <w:tcW w:w="937" w:type="dxa"/>
            <w:tcBorders>
              <w:top w:val="nil"/>
              <w:left w:val="nil"/>
              <w:bottom w:val="single" w:sz="12" w:space="0" w:color="D0CECE"/>
              <w:right w:val="single" w:sz="12" w:space="0" w:color="D0CECE"/>
            </w:tcBorders>
            <w:shd w:val="clear" w:color="auto" w:fill="auto"/>
            <w:vAlign w:val="center"/>
            <w:hideMark/>
          </w:tcPr>
          <w:p w14:paraId="6FD6A99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1332" w:type="dxa"/>
            <w:tcBorders>
              <w:top w:val="nil"/>
              <w:left w:val="nil"/>
              <w:bottom w:val="single" w:sz="12" w:space="0" w:color="D0CECE"/>
              <w:right w:val="single" w:sz="12" w:space="0" w:color="D0CECE"/>
            </w:tcBorders>
            <w:shd w:val="clear" w:color="auto" w:fill="auto"/>
            <w:vAlign w:val="center"/>
            <w:hideMark/>
          </w:tcPr>
          <w:p w14:paraId="19347A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928</w:t>
            </w:r>
          </w:p>
        </w:tc>
        <w:tc>
          <w:tcPr>
            <w:tcW w:w="2328" w:type="dxa"/>
            <w:tcBorders>
              <w:top w:val="nil"/>
              <w:left w:val="nil"/>
              <w:bottom w:val="single" w:sz="12" w:space="0" w:color="D0CECE"/>
              <w:right w:val="single" w:sz="12" w:space="0" w:color="D0CECE"/>
            </w:tcBorders>
            <w:shd w:val="clear" w:color="000000" w:fill="FFFFFF"/>
            <w:vAlign w:val="center"/>
            <w:hideMark/>
          </w:tcPr>
          <w:p w14:paraId="0D39D0F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64 938 000,00 </w:t>
            </w:r>
          </w:p>
        </w:tc>
      </w:tr>
      <w:tr w:rsidR="00B15F7D" w:rsidRPr="00990FB6" w14:paraId="303DB8EF" w14:textId="77777777" w:rsidTr="000A0C22">
        <w:trPr>
          <w:trHeight w:val="99"/>
        </w:trPr>
        <w:tc>
          <w:tcPr>
            <w:tcW w:w="2500" w:type="dxa"/>
            <w:vMerge/>
            <w:tcBorders>
              <w:top w:val="nil"/>
              <w:left w:val="single" w:sz="12" w:space="0" w:color="D0CECE"/>
              <w:bottom w:val="single" w:sz="12" w:space="0" w:color="D0CECE"/>
              <w:right w:val="single" w:sz="12" w:space="0" w:color="D0CECE"/>
            </w:tcBorders>
            <w:vAlign w:val="center"/>
            <w:hideMark/>
          </w:tcPr>
          <w:p w14:paraId="3BB65AB4" w14:textId="77777777" w:rsidR="00B15F7D" w:rsidRPr="00990FB6" w:rsidRDefault="00B15F7D" w:rsidP="00B15F7D">
            <w:pPr>
              <w:rPr>
                <w:color w:val="000000"/>
                <w:sz w:val="22"/>
                <w:szCs w:val="22"/>
                <w:lang w:eastAsia="es-CR"/>
              </w:rPr>
            </w:pPr>
          </w:p>
        </w:tc>
        <w:tc>
          <w:tcPr>
            <w:tcW w:w="2163" w:type="dxa"/>
            <w:tcBorders>
              <w:top w:val="nil"/>
              <w:left w:val="nil"/>
              <w:bottom w:val="single" w:sz="12" w:space="0" w:color="D0CECE"/>
              <w:right w:val="single" w:sz="12" w:space="0" w:color="D0CECE"/>
            </w:tcBorders>
            <w:shd w:val="clear" w:color="auto" w:fill="auto"/>
            <w:vAlign w:val="center"/>
            <w:hideMark/>
          </w:tcPr>
          <w:p w14:paraId="5DC28DC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Custodios de detenidos </w:t>
            </w:r>
          </w:p>
        </w:tc>
        <w:tc>
          <w:tcPr>
            <w:tcW w:w="937" w:type="dxa"/>
            <w:tcBorders>
              <w:top w:val="nil"/>
              <w:left w:val="nil"/>
              <w:bottom w:val="single" w:sz="12" w:space="0" w:color="D0CECE"/>
              <w:right w:val="single" w:sz="12" w:space="0" w:color="D0CECE"/>
            </w:tcBorders>
            <w:shd w:val="clear" w:color="auto" w:fill="auto"/>
            <w:vAlign w:val="center"/>
            <w:hideMark/>
          </w:tcPr>
          <w:p w14:paraId="0BC5AB5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1332" w:type="dxa"/>
            <w:tcBorders>
              <w:top w:val="nil"/>
              <w:left w:val="nil"/>
              <w:bottom w:val="single" w:sz="12" w:space="0" w:color="D0CECE"/>
              <w:right w:val="single" w:sz="12" w:space="0" w:color="D0CECE"/>
            </w:tcBorders>
            <w:shd w:val="clear" w:color="auto" w:fill="auto"/>
            <w:vAlign w:val="center"/>
            <w:hideMark/>
          </w:tcPr>
          <w:p w14:paraId="394BDE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928</w:t>
            </w:r>
          </w:p>
        </w:tc>
        <w:tc>
          <w:tcPr>
            <w:tcW w:w="2328" w:type="dxa"/>
            <w:tcBorders>
              <w:top w:val="nil"/>
              <w:left w:val="nil"/>
              <w:bottom w:val="single" w:sz="12" w:space="0" w:color="D0CECE"/>
              <w:right w:val="single" w:sz="12" w:space="0" w:color="D0CECE"/>
            </w:tcBorders>
            <w:shd w:val="clear" w:color="000000" w:fill="FFFFFF"/>
            <w:vAlign w:val="center"/>
            <w:hideMark/>
          </w:tcPr>
          <w:p w14:paraId="2EACA4DF"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39 490 000,00 </w:t>
            </w:r>
          </w:p>
        </w:tc>
      </w:tr>
      <w:tr w:rsidR="00B15F7D" w:rsidRPr="00990FB6" w14:paraId="0F556785" w14:textId="77777777" w:rsidTr="000A0C22">
        <w:trPr>
          <w:trHeight w:val="159"/>
        </w:trPr>
        <w:tc>
          <w:tcPr>
            <w:tcW w:w="2500" w:type="dxa"/>
            <w:vMerge/>
            <w:tcBorders>
              <w:top w:val="nil"/>
              <w:left w:val="single" w:sz="12" w:space="0" w:color="D0CECE"/>
              <w:bottom w:val="single" w:sz="12" w:space="0" w:color="D0CECE"/>
              <w:right w:val="single" w:sz="12" w:space="0" w:color="D0CECE"/>
            </w:tcBorders>
            <w:vAlign w:val="center"/>
            <w:hideMark/>
          </w:tcPr>
          <w:p w14:paraId="4AEC6BF6" w14:textId="77777777" w:rsidR="00B15F7D" w:rsidRPr="00990FB6" w:rsidRDefault="00B15F7D" w:rsidP="00B15F7D">
            <w:pPr>
              <w:rPr>
                <w:color w:val="000000"/>
                <w:sz w:val="22"/>
                <w:szCs w:val="22"/>
                <w:lang w:eastAsia="es-CR"/>
              </w:rPr>
            </w:pPr>
          </w:p>
        </w:tc>
        <w:tc>
          <w:tcPr>
            <w:tcW w:w="2163" w:type="dxa"/>
            <w:tcBorders>
              <w:top w:val="nil"/>
              <w:left w:val="nil"/>
              <w:bottom w:val="single" w:sz="12" w:space="0" w:color="D0CECE"/>
              <w:right w:val="single" w:sz="12" w:space="0" w:color="D0CECE"/>
            </w:tcBorders>
            <w:shd w:val="clear" w:color="auto" w:fill="auto"/>
            <w:vAlign w:val="center"/>
            <w:hideMark/>
          </w:tcPr>
          <w:p w14:paraId="6AF68C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Oficial de Investigación</w:t>
            </w:r>
          </w:p>
        </w:tc>
        <w:tc>
          <w:tcPr>
            <w:tcW w:w="937" w:type="dxa"/>
            <w:tcBorders>
              <w:top w:val="nil"/>
              <w:left w:val="nil"/>
              <w:bottom w:val="single" w:sz="12" w:space="0" w:color="D0CECE"/>
              <w:right w:val="single" w:sz="12" w:space="0" w:color="D0CECE"/>
            </w:tcBorders>
            <w:shd w:val="clear" w:color="auto" w:fill="auto"/>
            <w:vAlign w:val="center"/>
            <w:hideMark/>
          </w:tcPr>
          <w:p w14:paraId="0F7D517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32" w:type="dxa"/>
            <w:tcBorders>
              <w:top w:val="nil"/>
              <w:left w:val="nil"/>
              <w:bottom w:val="single" w:sz="12" w:space="0" w:color="D0CECE"/>
              <w:right w:val="single" w:sz="12" w:space="0" w:color="D0CECE"/>
            </w:tcBorders>
            <w:shd w:val="clear" w:color="auto" w:fill="auto"/>
            <w:vAlign w:val="center"/>
            <w:hideMark/>
          </w:tcPr>
          <w:p w14:paraId="55ABAB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928</w:t>
            </w:r>
          </w:p>
        </w:tc>
        <w:tc>
          <w:tcPr>
            <w:tcW w:w="2328" w:type="dxa"/>
            <w:tcBorders>
              <w:top w:val="nil"/>
              <w:left w:val="nil"/>
              <w:bottom w:val="single" w:sz="12" w:space="0" w:color="D0CECE"/>
              <w:right w:val="single" w:sz="12" w:space="0" w:color="D0CECE"/>
            </w:tcBorders>
            <w:shd w:val="clear" w:color="000000" w:fill="FFFFFF"/>
            <w:vAlign w:val="center"/>
            <w:hideMark/>
          </w:tcPr>
          <w:p w14:paraId="35E4386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26 923 000,00 </w:t>
            </w:r>
          </w:p>
        </w:tc>
      </w:tr>
      <w:tr w:rsidR="00B15F7D" w:rsidRPr="00990FB6" w14:paraId="75E08062" w14:textId="77777777" w:rsidTr="000A0C22">
        <w:trPr>
          <w:trHeight w:val="219"/>
        </w:trPr>
        <w:tc>
          <w:tcPr>
            <w:tcW w:w="2500" w:type="dxa"/>
            <w:vMerge/>
            <w:tcBorders>
              <w:top w:val="nil"/>
              <w:left w:val="single" w:sz="12" w:space="0" w:color="D0CECE"/>
              <w:bottom w:val="single" w:sz="12" w:space="0" w:color="D0CECE"/>
              <w:right w:val="single" w:sz="12" w:space="0" w:color="D0CECE"/>
            </w:tcBorders>
            <w:vAlign w:val="center"/>
            <w:hideMark/>
          </w:tcPr>
          <w:p w14:paraId="5A711C73" w14:textId="77777777" w:rsidR="00B15F7D" w:rsidRPr="00990FB6" w:rsidRDefault="00B15F7D" w:rsidP="00B15F7D">
            <w:pPr>
              <w:rPr>
                <w:color w:val="000000"/>
                <w:sz w:val="22"/>
                <w:szCs w:val="22"/>
                <w:lang w:eastAsia="es-CR"/>
              </w:rPr>
            </w:pPr>
          </w:p>
        </w:tc>
        <w:tc>
          <w:tcPr>
            <w:tcW w:w="2163" w:type="dxa"/>
            <w:tcBorders>
              <w:top w:val="nil"/>
              <w:left w:val="nil"/>
              <w:bottom w:val="single" w:sz="12" w:space="0" w:color="D0CECE"/>
              <w:right w:val="single" w:sz="12" w:space="0" w:color="D0CECE"/>
            </w:tcBorders>
            <w:shd w:val="clear" w:color="auto" w:fill="auto"/>
            <w:vAlign w:val="center"/>
            <w:hideMark/>
          </w:tcPr>
          <w:p w14:paraId="405D5E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Investigador 2</w:t>
            </w:r>
          </w:p>
        </w:tc>
        <w:tc>
          <w:tcPr>
            <w:tcW w:w="937" w:type="dxa"/>
            <w:tcBorders>
              <w:top w:val="nil"/>
              <w:left w:val="nil"/>
              <w:bottom w:val="single" w:sz="12" w:space="0" w:color="D0CECE"/>
              <w:right w:val="single" w:sz="12" w:space="0" w:color="D0CECE"/>
            </w:tcBorders>
            <w:shd w:val="clear" w:color="auto" w:fill="auto"/>
            <w:vAlign w:val="center"/>
            <w:hideMark/>
          </w:tcPr>
          <w:p w14:paraId="58FAEA6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32" w:type="dxa"/>
            <w:tcBorders>
              <w:top w:val="nil"/>
              <w:left w:val="nil"/>
              <w:bottom w:val="single" w:sz="12" w:space="0" w:color="D0CECE"/>
              <w:right w:val="single" w:sz="12" w:space="0" w:color="D0CECE"/>
            </w:tcBorders>
            <w:shd w:val="clear" w:color="auto" w:fill="auto"/>
            <w:vAlign w:val="center"/>
            <w:hideMark/>
          </w:tcPr>
          <w:p w14:paraId="2CFF8D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928</w:t>
            </w:r>
          </w:p>
        </w:tc>
        <w:tc>
          <w:tcPr>
            <w:tcW w:w="2328" w:type="dxa"/>
            <w:tcBorders>
              <w:top w:val="nil"/>
              <w:left w:val="nil"/>
              <w:bottom w:val="single" w:sz="12" w:space="0" w:color="D0CECE"/>
              <w:right w:val="single" w:sz="12" w:space="0" w:color="D0CECE"/>
            </w:tcBorders>
            <w:shd w:val="clear" w:color="000000" w:fill="FFFFFF"/>
            <w:vAlign w:val="center"/>
            <w:hideMark/>
          </w:tcPr>
          <w:p w14:paraId="62F5418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24 021 000,00 </w:t>
            </w:r>
          </w:p>
        </w:tc>
      </w:tr>
      <w:tr w:rsidR="00B15F7D" w:rsidRPr="00990FB6" w14:paraId="0A435FBE" w14:textId="77777777" w:rsidTr="000A0C22">
        <w:trPr>
          <w:trHeight w:val="393"/>
        </w:trPr>
        <w:tc>
          <w:tcPr>
            <w:tcW w:w="2500" w:type="dxa"/>
            <w:vMerge/>
            <w:tcBorders>
              <w:top w:val="nil"/>
              <w:left w:val="single" w:sz="12" w:space="0" w:color="D0CECE"/>
              <w:bottom w:val="single" w:sz="12" w:space="0" w:color="D0CECE"/>
              <w:right w:val="single" w:sz="12" w:space="0" w:color="D0CECE"/>
            </w:tcBorders>
            <w:vAlign w:val="center"/>
            <w:hideMark/>
          </w:tcPr>
          <w:p w14:paraId="40AA185A" w14:textId="77777777" w:rsidR="00B15F7D" w:rsidRPr="00990FB6" w:rsidRDefault="00B15F7D" w:rsidP="00B15F7D">
            <w:pPr>
              <w:rPr>
                <w:color w:val="000000"/>
                <w:sz w:val="22"/>
                <w:szCs w:val="22"/>
                <w:lang w:eastAsia="es-CR"/>
              </w:rPr>
            </w:pPr>
          </w:p>
        </w:tc>
        <w:tc>
          <w:tcPr>
            <w:tcW w:w="2163" w:type="dxa"/>
            <w:tcBorders>
              <w:top w:val="nil"/>
              <w:left w:val="nil"/>
              <w:bottom w:val="single" w:sz="12" w:space="0" w:color="D0CECE"/>
              <w:right w:val="single" w:sz="12" w:space="0" w:color="D0CECE"/>
            </w:tcBorders>
            <w:shd w:val="clear" w:color="auto" w:fill="auto"/>
            <w:vAlign w:val="center"/>
            <w:hideMark/>
          </w:tcPr>
          <w:p w14:paraId="58750C2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Auxiliar Administrativo (Denuncias)</w:t>
            </w:r>
          </w:p>
        </w:tc>
        <w:tc>
          <w:tcPr>
            <w:tcW w:w="937" w:type="dxa"/>
            <w:tcBorders>
              <w:top w:val="nil"/>
              <w:left w:val="nil"/>
              <w:bottom w:val="single" w:sz="12" w:space="0" w:color="D0CECE"/>
              <w:right w:val="single" w:sz="12" w:space="0" w:color="D0CECE"/>
            </w:tcBorders>
            <w:shd w:val="clear" w:color="auto" w:fill="auto"/>
            <w:vAlign w:val="center"/>
            <w:hideMark/>
          </w:tcPr>
          <w:p w14:paraId="1D5F73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32" w:type="dxa"/>
            <w:tcBorders>
              <w:top w:val="nil"/>
              <w:left w:val="nil"/>
              <w:bottom w:val="single" w:sz="12" w:space="0" w:color="D0CECE"/>
              <w:right w:val="single" w:sz="12" w:space="0" w:color="D0CECE"/>
            </w:tcBorders>
            <w:shd w:val="clear" w:color="auto" w:fill="auto"/>
            <w:vAlign w:val="center"/>
            <w:hideMark/>
          </w:tcPr>
          <w:p w14:paraId="71E1DE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928</w:t>
            </w:r>
          </w:p>
        </w:tc>
        <w:tc>
          <w:tcPr>
            <w:tcW w:w="2328" w:type="dxa"/>
            <w:tcBorders>
              <w:top w:val="nil"/>
              <w:left w:val="nil"/>
              <w:bottom w:val="single" w:sz="12" w:space="0" w:color="D0CECE"/>
              <w:right w:val="single" w:sz="12" w:space="0" w:color="D0CECE"/>
            </w:tcBorders>
            <w:shd w:val="clear" w:color="000000" w:fill="FFFFFF"/>
            <w:vAlign w:val="center"/>
            <w:hideMark/>
          </w:tcPr>
          <w:p w14:paraId="013285CB"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14 170 000,00 </w:t>
            </w:r>
          </w:p>
        </w:tc>
      </w:tr>
      <w:tr w:rsidR="00B15F7D" w:rsidRPr="00990FB6" w14:paraId="26767713" w14:textId="77777777" w:rsidTr="000A0C22">
        <w:trPr>
          <w:trHeight w:val="115"/>
        </w:trPr>
        <w:tc>
          <w:tcPr>
            <w:tcW w:w="2500" w:type="dxa"/>
            <w:vMerge w:val="restart"/>
            <w:tcBorders>
              <w:top w:val="nil"/>
              <w:left w:val="single" w:sz="12" w:space="0" w:color="D0CECE"/>
              <w:bottom w:val="single" w:sz="12" w:space="0" w:color="D0CECE"/>
              <w:right w:val="single" w:sz="12" w:space="0" w:color="D0CECE"/>
            </w:tcBorders>
            <w:shd w:val="clear" w:color="auto" w:fill="auto"/>
            <w:vAlign w:val="center"/>
            <w:hideMark/>
          </w:tcPr>
          <w:p w14:paraId="55BCA8D5"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Reforzar Fiscalía Puerto Jiménez</w:t>
            </w:r>
          </w:p>
        </w:tc>
        <w:tc>
          <w:tcPr>
            <w:tcW w:w="2163" w:type="dxa"/>
            <w:tcBorders>
              <w:top w:val="nil"/>
              <w:left w:val="nil"/>
              <w:bottom w:val="single" w:sz="12" w:space="0" w:color="D0CECE"/>
              <w:right w:val="single" w:sz="12" w:space="0" w:color="D0CECE"/>
            </w:tcBorders>
            <w:shd w:val="clear" w:color="auto" w:fill="auto"/>
            <w:vAlign w:val="center"/>
            <w:hideMark/>
          </w:tcPr>
          <w:p w14:paraId="41A5CA2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Fiscal Auxiliar</w:t>
            </w:r>
          </w:p>
        </w:tc>
        <w:tc>
          <w:tcPr>
            <w:tcW w:w="937" w:type="dxa"/>
            <w:tcBorders>
              <w:top w:val="nil"/>
              <w:left w:val="nil"/>
              <w:bottom w:val="single" w:sz="12" w:space="0" w:color="D0CECE"/>
              <w:right w:val="single" w:sz="12" w:space="0" w:color="D0CECE"/>
            </w:tcBorders>
            <w:shd w:val="clear" w:color="auto" w:fill="auto"/>
            <w:vAlign w:val="center"/>
            <w:hideMark/>
          </w:tcPr>
          <w:p w14:paraId="104A44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32" w:type="dxa"/>
            <w:tcBorders>
              <w:top w:val="nil"/>
              <w:left w:val="nil"/>
              <w:bottom w:val="single" w:sz="12" w:space="0" w:color="D0CECE"/>
              <w:right w:val="single" w:sz="12" w:space="0" w:color="D0CECE"/>
            </w:tcBorders>
            <w:shd w:val="clear" w:color="auto" w:fill="auto"/>
            <w:vAlign w:val="center"/>
            <w:hideMark/>
          </w:tcPr>
          <w:p w14:paraId="0C2AB53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929</w:t>
            </w:r>
          </w:p>
        </w:tc>
        <w:tc>
          <w:tcPr>
            <w:tcW w:w="2328" w:type="dxa"/>
            <w:tcBorders>
              <w:top w:val="nil"/>
              <w:left w:val="nil"/>
              <w:bottom w:val="single" w:sz="12" w:space="0" w:color="D0CECE"/>
              <w:right w:val="single" w:sz="12" w:space="0" w:color="D0CECE"/>
            </w:tcBorders>
            <w:shd w:val="clear" w:color="000000" w:fill="FFFFFF"/>
            <w:vAlign w:val="center"/>
            <w:hideMark/>
          </w:tcPr>
          <w:p w14:paraId="5D76826D"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54 863 000,00 </w:t>
            </w:r>
          </w:p>
        </w:tc>
      </w:tr>
      <w:tr w:rsidR="00B15F7D" w:rsidRPr="00990FB6" w14:paraId="013D62AB" w14:textId="77777777" w:rsidTr="000A0C22">
        <w:trPr>
          <w:trHeight w:val="396"/>
        </w:trPr>
        <w:tc>
          <w:tcPr>
            <w:tcW w:w="2500" w:type="dxa"/>
            <w:vMerge/>
            <w:tcBorders>
              <w:top w:val="nil"/>
              <w:left w:val="single" w:sz="12" w:space="0" w:color="D0CECE"/>
              <w:bottom w:val="single" w:sz="12" w:space="0" w:color="D0CECE"/>
              <w:right w:val="single" w:sz="12" w:space="0" w:color="D0CECE"/>
            </w:tcBorders>
            <w:vAlign w:val="center"/>
            <w:hideMark/>
          </w:tcPr>
          <w:p w14:paraId="29C2E7D3" w14:textId="77777777" w:rsidR="00B15F7D" w:rsidRPr="00990FB6" w:rsidRDefault="00B15F7D" w:rsidP="00B15F7D">
            <w:pPr>
              <w:rPr>
                <w:color w:val="000000"/>
                <w:sz w:val="22"/>
                <w:szCs w:val="22"/>
                <w:lang w:eastAsia="es-CR"/>
              </w:rPr>
            </w:pPr>
          </w:p>
        </w:tc>
        <w:tc>
          <w:tcPr>
            <w:tcW w:w="2163" w:type="dxa"/>
            <w:tcBorders>
              <w:top w:val="nil"/>
              <w:left w:val="nil"/>
              <w:bottom w:val="single" w:sz="12" w:space="0" w:color="D0CECE"/>
              <w:right w:val="single" w:sz="12" w:space="0" w:color="D0CECE"/>
            </w:tcBorders>
            <w:shd w:val="clear" w:color="auto" w:fill="auto"/>
            <w:vAlign w:val="center"/>
            <w:hideMark/>
          </w:tcPr>
          <w:p w14:paraId="35444D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Técnica o Técnico Judicial 2</w:t>
            </w:r>
          </w:p>
        </w:tc>
        <w:tc>
          <w:tcPr>
            <w:tcW w:w="937" w:type="dxa"/>
            <w:tcBorders>
              <w:top w:val="nil"/>
              <w:left w:val="nil"/>
              <w:bottom w:val="single" w:sz="12" w:space="0" w:color="D0CECE"/>
              <w:right w:val="single" w:sz="12" w:space="0" w:color="D0CECE"/>
            </w:tcBorders>
            <w:shd w:val="clear" w:color="auto" w:fill="auto"/>
            <w:vAlign w:val="center"/>
            <w:hideMark/>
          </w:tcPr>
          <w:p w14:paraId="186DCFB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3660" w:type="dxa"/>
            <w:gridSpan w:val="2"/>
            <w:tcBorders>
              <w:top w:val="single" w:sz="12" w:space="0" w:color="D0CECE"/>
              <w:left w:val="nil"/>
              <w:bottom w:val="single" w:sz="12" w:space="0" w:color="D0CECE"/>
              <w:right w:val="single" w:sz="12" w:space="0" w:color="D0CECE"/>
            </w:tcBorders>
            <w:shd w:val="clear" w:color="auto" w:fill="auto"/>
            <w:vAlign w:val="center"/>
            <w:hideMark/>
          </w:tcPr>
          <w:p w14:paraId="47C5904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Traslado de plaza de Técnico/a judicial desde la Fiscalía de Golfito</w:t>
            </w:r>
          </w:p>
        </w:tc>
      </w:tr>
      <w:tr w:rsidR="00B15F7D" w:rsidRPr="00990FB6" w14:paraId="217BC772" w14:textId="77777777" w:rsidTr="000A0C22">
        <w:trPr>
          <w:trHeight w:val="154"/>
        </w:trPr>
        <w:tc>
          <w:tcPr>
            <w:tcW w:w="2500" w:type="dxa"/>
            <w:tcBorders>
              <w:top w:val="nil"/>
              <w:left w:val="single" w:sz="12" w:space="0" w:color="D0CECE"/>
              <w:bottom w:val="single" w:sz="12" w:space="0" w:color="D0CECE"/>
              <w:right w:val="single" w:sz="12" w:space="0" w:color="D0CECE"/>
            </w:tcBorders>
            <w:shd w:val="clear" w:color="auto" w:fill="auto"/>
            <w:vAlign w:val="center"/>
            <w:hideMark/>
          </w:tcPr>
          <w:p w14:paraId="2AFEF0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Reforzar Defensa Pública Puerto Jiménez</w:t>
            </w:r>
          </w:p>
        </w:tc>
        <w:tc>
          <w:tcPr>
            <w:tcW w:w="2163" w:type="dxa"/>
            <w:tcBorders>
              <w:top w:val="nil"/>
              <w:left w:val="nil"/>
              <w:bottom w:val="single" w:sz="12" w:space="0" w:color="D0CECE"/>
              <w:right w:val="single" w:sz="12" w:space="0" w:color="D0CECE"/>
            </w:tcBorders>
            <w:shd w:val="clear" w:color="auto" w:fill="auto"/>
            <w:vAlign w:val="center"/>
            <w:hideMark/>
          </w:tcPr>
          <w:p w14:paraId="1155539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 Público</w:t>
            </w:r>
          </w:p>
        </w:tc>
        <w:tc>
          <w:tcPr>
            <w:tcW w:w="937" w:type="dxa"/>
            <w:tcBorders>
              <w:top w:val="nil"/>
              <w:left w:val="nil"/>
              <w:bottom w:val="single" w:sz="12" w:space="0" w:color="D0CECE"/>
              <w:right w:val="single" w:sz="12" w:space="0" w:color="D0CECE"/>
            </w:tcBorders>
            <w:shd w:val="clear" w:color="auto" w:fill="auto"/>
            <w:vAlign w:val="center"/>
            <w:hideMark/>
          </w:tcPr>
          <w:p w14:paraId="1174FE9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332" w:type="dxa"/>
            <w:tcBorders>
              <w:top w:val="nil"/>
              <w:left w:val="nil"/>
              <w:bottom w:val="single" w:sz="12" w:space="0" w:color="D0CECE"/>
              <w:right w:val="single" w:sz="12" w:space="0" w:color="D0CECE"/>
            </w:tcBorders>
            <w:shd w:val="clear" w:color="auto" w:fill="auto"/>
            <w:vAlign w:val="center"/>
            <w:hideMark/>
          </w:tcPr>
          <w:p w14:paraId="5056EB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930</w:t>
            </w:r>
          </w:p>
        </w:tc>
        <w:tc>
          <w:tcPr>
            <w:tcW w:w="2328" w:type="dxa"/>
            <w:tcBorders>
              <w:top w:val="nil"/>
              <w:left w:val="nil"/>
              <w:bottom w:val="single" w:sz="12" w:space="0" w:color="D0CECE"/>
              <w:right w:val="single" w:sz="12" w:space="0" w:color="D0CECE"/>
            </w:tcBorders>
            <w:shd w:val="clear" w:color="000000" w:fill="FFFFFF"/>
            <w:vAlign w:val="center"/>
            <w:hideMark/>
          </w:tcPr>
          <w:p w14:paraId="31839F1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53 280 000,00 </w:t>
            </w:r>
          </w:p>
        </w:tc>
      </w:tr>
      <w:tr w:rsidR="00B15F7D" w:rsidRPr="00990FB6" w14:paraId="2FB2693C" w14:textId="77777777" w:rsidTr="000A0C22">
        <w:trPr>
          <w:trHeight w:val="312"/>
        </w:trPr>
        <w:tc>
          <w:tcPr>
            <w:tcW w:w="4663" w:type="dxa"/>
            <w:gridSpan w:val="2"/>
            <w:vMerge w:val="restart"/>
            <w:tcBorders>
              <w:top w:val="single" w:sz="12" w:space="0" w:color="D0CECE"/>
              <w:left w:val="single" w:sz="12" w:space="0" w:color="D0CECE"/>
              <w:bottom w:val="single" w:sz="12" w:space="0" w:color="D0CECE"/>
              <w:right w:val="single" w:sz="12" w:space="0" w:color="D0CECE"/>
            </w:tcBorders>
            <w:shd w:val="clear" w:color="auto" w:fill="auto"/>
            <w:vAlign w:val="center"/>
            <w:hideMark/>
          </w:tcPr>
          <w:p w14:paraId="249F24D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Total</w:t>
            </w:r>
          </w:p>
        </w:tc>
        <w:tc>
          <w:tcPr>
            <w:tcW w:w="937" w:type="dxa"/>
            <w:vMerge w:val="restart"/>
            <w:tcBorders>
              <w:top w:val="nil"/>
              <w:left w:val="single" w:sz="12" w:space="0" w:color="D0CECE"/>
              <w:bottom w:val="single" w:sz="12" w:space="0" w:color="D0CECE"/>
              <w:right w:val="single" w:sz="12" w:space="0" w:color="D0CECE"/>
            </w:tcBorders>
            <w:shd w:val="clear" w:color="auto" w:fill="auto"/>
            <w:vAlign w:val="center"/>
            <w:hideMark/>
          </w:tcPr>
          <w:p w14:paraId="0854864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13</w:t>
            </w:r>
          </w:p>
        </w:tc>
        <w:tc>
          <w:tcPr>
            <w:tcW w:w="1332" w:type="dxa"/>
            <w:tcBorders>
              <w:top w:val="nil"/>
              <w:left w:val="nil"/>
              <w:bottom w:val="single" w:sz="12" w:space="0" w:color="D0CECE"/>
              <w:right w:val="single" w:sz="12" w:space="0" w:color="D0CECE"/>
            </w:tcBorders>
            <w:shd w:val="clear" w:color="auto" w:fill="auto"/>
            <w:vAlign w:val="center"/>
            <w:hideMark/>
          </w:tcPr>
          <w:p w14:paraId="2DAFFA2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927</w:t>
            </w:r>
          </w:p>
        </w:tc>
        <w:tc>
          <w:tcPr>
            <w:tcW w:w="2328" w:type="dxa"/>
            <w:tcBorders>
              <w:top w:val="nil"/>
              <w:left w:val="nil"/>
              <w:bottom w:val="single" w:sz="12" w:space="0" w:color="D0CECE"/>
              <w:right w:val="single" w:sz="12" w:space="0" w:color="D0CECE"/>
            </w:tcBorders>
            <w:shd w:val="clear" w:color="000000" w:fill="FFFFFF"/>
            <w:vAlign w:val="center"/>
            <w:hideMark/>
          </w:tcPr>
          <w:p w14:paraId="531D8CE1"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xml:space="preserve"> ₡                   73 092 000,00 </w:t>
            </w:r>
          </w:p>
        </w:tc>
      </w:tr>
      <w:tr w:rsidR="00B15F7D" w:rsidRPr="00990FB6" w14:paraId="3570EE73" w14:textId="77777777" w:rsidTr="000A0C22">
        <w:trPr>
          <w:trHeight w:val="312"/>
        </w:trPr>
        <w:tc>
          <w:tcPr>
            <w:tcW w:w="4663" w:type="dxa"/>
            <w:gridSpan w:val="2"/>
            <w:vMerge/>
            <w:tcBorders>
              <w:top w:val="single" w:sz="12" w:space="0" w:color="D0CECE"/>
              <w:left w:val="single" w:sz="12" w:space="0" w:color="D0CECE"/>
              <w:bottom w:val="single" w:sz="12" w:space="0" w:color="D0CECE"/>
              <w:right w:val="single" w:sz="12" w:space="0" w:color="D0CECE"/>
            </w:tcBorders>
            <w:vAlign w:val="center"/>
            <w:hideMark/>
          </w:tcPr>
          <w:p w14:paraId="6A7BDFF0" w14:textId="77777777" w:rsidR="00B15F7D" w:rsidRPr="00990FB6" w:rsidRDefault="00B15F7D" w:rsidP="00B15F7D">
            <w:pPr>
              <w:rPr>
                <w:b/>
                <w:bCs/>
                <w:color w:val="000000"/>
                <w:sz w:val="22"/>
                <w:szCs w:val="22"/>
                <w:lang w:eastAsia="es-CR"/>
              </w:rPr>
            </w:pPr>
          </w:p>
        </w:tc>
        <w:tc>
          <w:tcPr>
            <w:tcW w:w="937" w:type="dxa"/>
            <w:vMerge/>
            <w:tcBorders>
              <w:top w:val="nil"/>
              <w:left w:val="single" w:sz="12" w:space="0" w:color="D0CECE"/>
              <w:bottom w:val="single" w:sz="12" w:space="0" w:color="D0CECE"/>
              <w:right w:val="single" w:sz="12" w:space="0" w:color="D0CECE"/>
            </w:tcBorders>
            <w:vAlign w:val="center"/>
            <w:hideMark/>
          </w:tcPr>
          <w:p w14:paraId="2D4ADC6C" w14:textId="77777777" w:rsidR="00B15F7D" w:rsidRPr="00990FB6" w:rsidRDefault="00B15F7D" w:rsidP="00B15F7D">
            <w:pPr>
              <w:rPr>
                <w:b/>
                <w:bCs/>
                <w:color w:val="000000"/>
                <w:sz w:val="22"/>
                <w:szCs w:val="22"/>
                <w:lang w:eastAsia="es-CR"/>
              </w:rPr>
            </w:pPr>
          </w:p>
        </w:tc>
        <w:tc>
          <w:tcPr>
            <w:tcW w:w="1332" w:type="dxa"/>
            <w:tcBorders>
              <w:top w:val="nil"/>
              <w:left w:val="nil"/>
              <w:bottom w:val="single" w:sz="12" w:space="0" w:color="D0CECE"/>
              <w:right w:val="single" w:sz="12" w:space="0" w:color="D0CECE"/>
            </w:tcBorders>
            <w:shd w:val="clear" w:color="auto" w:fill="auto"/>
            <w:vAlign w:val="center"/>
            <w:hideMark/>
          </w:tcPr>
          <w:p w14:paraId="2BF6D3B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928</w:t>
            </w:r>
          </w:p>
        </w:tc>
        <w:tc>
          <w:tcPr>
            <w:tcW w:w="2328" w:type="dxa"/>
            <w:tcBorders>
              <w:top w:val="nil"/>
              <w:left w:val="nil"/>
              <w:bottom w:val="single" w:sz="12" w:space="0" w:color="D0CECE"/>
              <w:right w:val="single" w:sz="12" w:space="0" w:color="D0CECE"/>
            </w:tcBorders>
            <w:shd w:val="clear" w:color="000000" w:fill="FFFFFF"/>
            <w:vAlign w:val="center"/>
            <w:hideMark/>
          </w:tcPr>
          <w:p w14:paraId="37258520"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xml:space="preserve"> ₡                169 542 000,00 </w:t>
            </w:r>
          </w:p>
        </w:tc>
      </w:tr>
      <w:tr w:rsidR="00B15F7D" w:rsidRPr="00990FB6" w14:paraId="45138E2F" w14:textId="77777777" w:rsidTr="000A0C22">
        <w:trPr>
          <w:trHeight w:val="312"/>
        </w:trPr>
        <w:tc>
          <w:tcPr>
            <w:tcW w:w="4663" w:type="dxa"/>
            <w:gridSpan w:val="2"/>
            <w:vMerge/>
            <w:tcBorders>
              <w:top w:val="single" w:sz="12" w:space="0" w:color="D0CECE"/>
              <w:left w:val="single" w:sz="12" w:space="0" w:color="D0CECE"/>
              <w:bottom w:val="single" w:sz="12" w:space="0" w:color="D0CECE"/>
              <w:right w:val="single" w:sz="12" w:space="0" w:color="D0CECE"/>
            </w:tcBorders>
            <w:vAlign w:val="center"/>
            <w:hideMark/>
          </w:tcPr>
          <w:p w14:paraId="487872BD" w14:textId="77777777" w:rsidR="00B15F7D" w:rsidRPr="00990FB6" w:rsidRDefault="00B15F7D" w:rsidP="00B15F7D">
            <w:pPr>
              <w:rPr>
                <w:b/>
                <w:bCs/>
                <w:color w:val="000000"/>
                <w:sz w:val="22"/>
                <w:szCs w:val="22"/>
                <w:lang w:eastAsia="es-CR"/>
              </w:rPr>
            </w:pPr>
          </w:p>
        </w:tc>
        <w:tc>
          <w:tcPr>
            <w:tcW w:w="937" w:type="dxa"/>
            <w:vMerge/>
            <w:tcBorders>
              <w:top w:val="nil"/>
              <w:left w:val="single" w:sz="12" w:space="0" w:color="D0CECE"/>
              <w:bottom w:val="single" w:sz="12" w:space="0" w:color="D0CECE"/>
              <w:right w:val="single" w:sz="12" w:space="0" w:color="D0CECE"/>
            </w:tcBorders>
            <w:vAlign w:val="center"/>
            <w:hideMark/>
          </w:tcPr>
          <w:p w14:paraId="4FD6A901" w14:textId="77777777" w:rsidR="00B15F7D" w:rsidRPr="00990FB6" w:rsidRDefault="00B15F7D" w:rsidP="00B15F7D">
            <w:pPr>
              <w:rPr>
                <w:b/>
                <w:bCs/>
                <w:color w:val="000000"/>
                <w:sz w:val="22"/>
                <w:szCs w:val="22"/>
                <w:lang w:eastAsia="es-CR"/>
              </w:rPr>
            </w:pPr>
          </w:p>
        </w:tc>
        <w:tc>
          <w:tcPr>
            <w:tcW w:w="1332" w:type="dxa"/>
            <w:tcBorders>
              <w:top w:val="nil"/>
              <w:left w:val="nil"/>
              <w:bottom w:val="single" w:sz="12" w:space="0" w:color="D0CECE"/>
              <w:right w:val="single" w:sz="12" w:space="0" w:color="D0CECE"/>
            </w:tcBorders>
            <w:shd w:val="clear" w:color="auto" w:fill="auto"/>
            <w:vAlign w:val="center"/>
            <w:hideMark/>
          </w:tcPr>
          <w:p w14:paraId="791E7E3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929</w:t>
            </w:r>
          </w:p>
        </w:tc>
        <w:tc>
          <w:tcPr>
            <w:tcW w:w="2328" w:type="dxa"/>
            <w:tcBorders>
              <w:top w:val="nil"/>
              <w:left w:val="nil"/>
              <w:bottom w:val="single" w:sz="12" w:space="0" w:color="D0CECE"/>
              <w:right w:val="single" w:sz="12" w:space="0" w:color="D0CECE"/>
            </w:tcBorders>
            <w:shd w:val="clear" w:color="000000" w:fill="FFFFFF"/>
            <w:vAlign w:val="center"/>
            <w:hideMark/>
          </w:tcPr>
          <w:p w14:paraId="21DD625F"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xml:space="preserve"> ₡                   54 863 000,00 </w:t>
            </w:r>
          </w:p>
        </w:tc>
      </w:tr>
      <w:tr w:rsidR="00B15F7D" w:rsidRPr="00990FB6" w14:paraId="071D39FF" w14:textId="77777777" w:rsidTr="000A0C22">
        <w:trPr>
          <w:trHeight w:val="312"/>
        </w:trPr>
        <w:tc>
          <w:tcPr>
            <w:tcW w:w="4663" w:type="dxa"/>
            <w:gridSpan w:val="2"/>
            <w:vMerge/>
            <w:tcBorders>
              <w:top w:val="single" w:sz="12" w:space="0" w:color="D0CECE"/>
              <w:left w:val="single" w:sz="12" w:space="0" w:color="D0CECE"/>
              <w:bottom w:val="single" w:sz="12" w:space="0" w:color="D0CECE"/>
              <w:right w:val="single" w:sz="12" w:space="0" w:color="D0CECE"/>
            </w:tcBorders>
            <w:vAlign w:val="center"/>
            <w:hideMark/>
          </w:tcPr>
          <w:p w14:paraId="1A427958" w14:textId="77777777" w:rsidR="00B15F7D" w:rsidRPr="00990FB6" w:rsidRDefault="00B15F7D" w:rsidP="00B15F7D">
            <w:pPr>
              <w:rPr>
                <w:b/>
                <w:bCs/>
                <w:color w:val="000000"/>
                <w:sz w:val="22"/>
                <w:szCs w:val="22"/>
                <w:lang w:eastAsia="es-CR"/>
              </w:rPr>
            </w:pPr>
          </w:p>
        </w:tc>
        <w:tc>
          <w:tcPr>
            <w:tcW w:w="937" w:type="dxa"/>
            <w:vMerge/>
            <w:tcBorders>
              <w:top w:val="nil"/>
              <w:left w:val="single" w:sz="12" w:space="0" w:color="D0CECE"/>
              <w:bottom w:val="single" w:sz="12" w:space="0" w:color="D0CECE"/>
              <w:right w:val="single" w:sz="12" w:space="0" w:color="D0CECE"/>
            </w:tcBorders>
            <w:vAlign w:val="center"/>
            <w:hideMark/>
          </w:tcPr>
          <w:p w14:paraId="0335D766" w14:textId="77777777" w:rsidR="00B15F7D" w:rsidRPr="00990FB6" w:rsidRDefault="00B15F7D" w:rsidP="00B15F7D">
            <w:pPr>
              <w:rPr>
                <w:b/>
                <w:bCs/>
                <w:color w:val="000000"/>
                <w:sz w:val="22"/>
                <w:szCs w:val="22"/>
                <w:lang w:eastAsia="es-CR"/>
              </w:rPr>
            </w:pPr>
          </w:p>
        </w:tc>
        <w:tc>
          <w:tcPr>
            <w:tcW w:w="1332" w:type="dxa"/>
            <w:tcBorders>
              <w:top w:val="nil"/>
              <w:left w:val="nil"/>
              <w:bottom w:val="single" w:sz="12" w:space="0" w:color="D0CECE"/>
              <w:right w:val="single" w:sz="12" w:space="0" w:color="D0CECE"/>
            </w:tcBorders>
            <w:shd w:val="clear" w:color="auto" w:fill="auto"/>
            <w:vAlign w:val="center"/>
            <w:hideMark/>
          </w:tcPr>
          <w:p w14:paraId="439520E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930</w:t>
            </w:r>
          </w:p>
        </w:tc>
        <w:tc>
          <w:tcPr>
            <w:tcW w:w="2328" w:type="dxa"/>
            <w:tcBorders>
              <w:top w:val="nil"/>
              <w:left w:val="nil"/>
              <w:bottom w:val="single" w:sz="12" w:space="0" w:color="D0CECE"/>
              <w:right w:val="single" w:sz="12" w:space="0" w:color="D0CECE"/>
            </w:tcBorders>
            <w:shd w:val="clear" w:color="000000" w:fill="FFFFFF"/>
            <w:vAlign w:val="center"/>
            <w:hideMark/>
          </w:tcPr>
          <w:p w14:paraId="4B1BDDEA"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xml:space="preserve"> ₡                   53 280 000,00 </w:t>
            </w:r>
          </w:p>
        </w:tc>
      </w:tr>
      <w:tr w:rsidR="00B15F7D" w:rsidRPr="00990FB6" w14:paraId="6CB7BF3A" w14:textId="77777777" w:rsidTr="000A0C22">
        <w:trPr>
          <w:trHeight w:val="504"/>
        </w:trPr>
        <w:tc>
          <w:tcPr>
            <w:tcW w:w="4663" w:type="dxa"/>
            <w:gridSpan w:val="2"/>
            <w:vMerge/>
            <w:tcBorders>
              <w:top w:val="single" w:sz="12" w:space="0" w:color="D0CECE"/>
              <w:left w:val="single" w:sz="12" w:space="0" w:color="D0CECE"/>
              <w:bottom w:val="single" w:sz="12" w:space="0" w:color="D0CECE"/>
              <w:right w:val="single" w:sz="12" w:space="0" w:color="D0CECE"/>
            </w:tcBorders>
            <w:vAlign w:val="center"/>
            <w:hideMark/>
          </w:tcPr>
          <w:p w14:paraId="074692E7" w14:textId="77777777" w:rsidR="00B15F7D" w:rsidRPr="00990FB6" w:rsidRDefault="00B15F7D" w:rsidP="00B15F7D">
            <w:pPr>
              <w:rPr>
                <w:b/>
                <w:bCs/>
                <w:color w:val="000000"/>
                <w:sz w:val="22"/>
                <w:szCs w:val="22"/>
                <w:lang w:eastAsia="es-CR"/>
              </w:rPr>
            </w:pPr>
          </w:p>
        </w:tc>
        <w:tc>
          <w:tcPr>
            <w:tcW w:w="937" w:type="dxa"/>
            <w:vMerge/>
            <w:tcBorders>
              <w:top w:val="nil"/>
              <w:left w:val="single" w:sz="12" w:space="0" w:color="D0CECE"/>
              <w:bottom w:val="single" w:sz="12" w:space="0" w:color="D0CECE"/>
              <w:right w:val="single" w:sz="12" w:space="0" w:color="D0CECE"/>
            </w:tcBorders>
            <w:vAlign w:val="center"/>
            <w:hideMark/>
          </w:tcPr>
          <w:p w14:paraId="397E624A" w14:textId="77777777" w:rsidR="00B15F7D" w:rsidRPr="00990FB6" w:rsidRDefault="00B15F7D" w:rsidP="00B15F7D">
            <w:pPr>
              <w:rPr>
                <w:b/>
                <w:bCs/>
                <w:color w:val="000000"/>
                <w:sz w:val="22"/>
                <w:szCs w:val="22"/>
                <w:lang w:eastAsia="es-CR"/>
              </w:rPr>
            </w:pPr>
          </w:p>
        </w:tc>
        <w:tc>
          <w:tcPr>
            <w:tcW w:w="1332" w:type="dxa"/>
            <w:tcBorders>
              <w:top w:val="nil"/>
              <w:left w:val="nil"/>
              <w:bottom w:val="single" w:sz="12" w:space="0" w:color="D0CECE"/>
              <w:right w:val="single" w:sz="12" w:space="0" w:color="D0CECE"/>
            </w:tcBorders>
            <w:shd w:val="clear" w:color="auto" w:fill="auto"/>
            <w:vAlign w:val="center"/>
            <w:hideMark/>
          </w:tcPr>
          <w:p w14:paraId="408D777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TOTAL PRESUPUESTO</w:t>
            </w:r>
          </w:p>
        </w:tc>
        <w:tc>
          <w:tcPr>
            <w:tcW w:w="2328" w:type="dxa"/>
            <w:tcBorders>
              <w:top w:val="nil"/>
              <w:left w:val="nil"/>
              <w:bottom w:val="single" w:sz="12" w:space="0" w:color="D0CECE"/>
              <w:right w:val="single" w:sz="12" w:space="0" w:color="D0CECE"/>
            </w:tcBorders>
            <w:shd w:val="clear" w:color="000000" w:fill="FFFFFF"/>
            <w:vAlign w:val="center"/>
            <w:hideMark/>
          </w:tcPr>
          <w:p w14:paraId="0E2CEE1E"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xml:space="preserve"> ₡                350 777 000,00 </w:t>
            </w:r>
          </w:p>
        </w:tc>
      </w:tr>
    </w:tbl>
    <w:p w14:paraId="602FF51A"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t>Fuente:</w:t>
      </w:r>
      <w:r w:rsidRPr="00990FB6">
        <w:rPr>
          <w:rFonts w:eastAsia="Calibri"/>
          <w:sz w:val="22"/>
          <w:szCs w:val="22"/>
        </w:rPr>
        <w:t xml:space="preserve"> elaboración propia.</w:t>
      </w:r>
    </w:p>
    <w:p w14:paraId="2ADAC8FA" w14:textId="77777777" w:rsidR="00B15F7D" w:rsidRPr="00990FB6" w:rsidRDefault="00B15F7D" w:rsidP="00B15F7D">
      <w:pPr>
        <w:ind w:left="851" w:right="851" w:firstLine="709"/>
        <w:jc w:val="both"/>
        <w:rPr>
          <w:rFonts w:eastAsia="Calibri"/>
          <w:sz w:val="22"/>
          <w:szCs w:val="22"/>
        </w:rPr>
      </w:pPr>
    </w:p>
    <w:p w14:paraId="265CF331"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La creación de Tribunales Penales peninsulares tiene un costo total de ₡350 777 000 y los costos variables suman un total de ₡ 285 064 074,75, tal y como se detalla a continuación:</w:t>
      </w:r>
    </w:p>
    <w:p w14:paraId="56EA6682" w14:textId="77777777" w:rsidR="00B15F7D" w:rsidRPr="00990FB6" w:rsidRDefault="00B15F7D" w:rsidP="00B15F7D">
      <w:pPr>
        <w:ind w:firstLine="709"/>
        <w:jc w:val="both"/>
        <w:rPr>
          <w:rFonts w:eastAsia="Calibri"/>
          <w:sz w:val="22"/>
          <w:szCs w:val="22"/>
        </w:rPr>
      </w:pPr>
    </w:p>
    <w:p w14:paraId="796B5C8B" w14:textId="77777777" w:rsidR="00B15F7D" w:rsidRPr="00990FB6" w:rsidRDefault="00B15F7D" w:rsidP="00B15F7D">
      <w:pPr>
        <w:widowControl w:val="0"/>
        <w:suppressAutoHyphens w:val="0"/>
        <w:autoSpaceDE w:val="0"/>
        <w:autoSpaceDN w:val="0"/>
        <w:adjustRightInd w:val="0"/>
        <w:ind w:left="851" w:right="851"/>
        <w:jc w:val="center"/>
        <w:rPr>
          <w:rFonts w:eastAsia="Calibri"/>
          <w:i/>
          <w:iCs/>
          <w:sz w:val="22"/>
          <w:szCs w:val="22"/>
          <w:lang w:eastAsia="en-US"/>
        </w:rPr>
      </w:pPr>
      <w:r w:rsidRPr="00990FB6">
        <w:rPr>
          <w:rFonts w:eastAsia="Calibri"/>
          <w:b/>
          <w:bCs/>
          <w:sz w:val="22"/>
          <w:szCs w:val="22"/>
          <w:lang w:eastAsia="en-US"/>
        </w:rPr>
        <w:t xml:space="preserve">Cuadro </w:t>
      </w:r>
      <w:r w:rsidRPr="00990FB6">
        <w:rPr>
          <w:rFonts w:eastAsia="Calibri"/>
          <w:i/>
          <w:iCs/>
          <w:sz w:val="22"/>
          <w:szCs w:val="22"/>
          <w:lang w:eastAsia="en-US"/>
        </w:rPr>
        <w:fldChar w:fldCharType="begin"/>
      </w:r>
      <w:r w:rsidRPr="00990FB6">
        <w:rPr>
          <w:rFonts w:eastAsia="Calibri"/>
          <w:b/>
          <w:bCs/>
          <w:sz w:val="22"/>
          <w:szCs w:val="22"/>
          <w:lang w:eastAsia="en-US"/>
        </w:rPr>
        <w:instrText xml:space="preserve"> SEQ Cuadro \* ARABIC </w:instrText>
      </w:r>
      <w:r w:rsidRPr="00990FB6">
        <w:rPr>
          <w:rFonts w:eastAsia="Calibri"/>
          <w:i/>
          <w:iCs/>
          <w:sz w:val="22"/>
          <w:szCs w:val="22"/>
          <w:lang w:eastAsia="en-US"/>
        </w:rPr>
        <w:fldChar w:fldCharType="separate"/>
      </w:r>
      <w:r w:rsidRPr="00990FB6">
        <w:rPr>
          <w:rFonts w:eastAsia="Calibri"/>
          <w:b/>
          <w:bCs/>
          <w:noProof/>
          <w:sz w:val="22"/>
          <w:szCs w:val="22"/>
          <w:lang w:eastAsia="en-US"/>
        </w:rPr>
        <w:t>9</w:t>
      </w:r>
      <w:r w:rsidRPr="00990FB6">
        <w:rPr>
          <w:rFonts w:eastAsia="Calibri"/>
          <w:i/>
          <w:iCs/>
          <w:sz w:val="22"/>
          <w:szCs w:val="22"/>
          <w:lang w:eastAsia="en-US"/>
        </w:rPr>
        <w:fldChar w:fldCharType="end"/>
      </w:r>
    </w:p>
    <w:p w14:paraId="26CA401A" w14:textId="77777777" w:rsidR="00B15F7D" w:rsidRPr="00990FB6" w:rsidRDefault="00B15F7D" w:rsidP="00B15F7D">
      <w:pPr>
        <w:ind w:left="851" w:right="851"/>
        <w:jc w:val="center"/>
        <w:rPr>
          <w:rFonts w:eastAsia="Calibri"/>
          <w:b/>
          <w:bCs/>
          <w:sz w:val="22"/>
          <w:szCs w:val="22"/>
        </w:rPr>
      </w:pPr>
      <w:r w:rsidRPr="00990FB6">
        <w:rPr>
          <w:rFonts w:eastAsia="Calibri"/>
          <w:b/>
          <w:bCs/>
          <w:sz w:val="22"/>
          <w:szCs w:val="22"/>
        </w:rPr>
        <w:t xml:space="preserve">Costo total creación de tribunales peninsulares </w:t>
      </w:r>
    </w:p>
    <w:p w14:paraId="3809E5CF" w14:textId="77777777" w:rsidR="00B15F7D" w:rsidRPr="00990FB6" w:rsidRDefault="00B15F7D" w:rsidP="00B15F7D">
      <w:pPr>
        <w:jc w:val="center"/>
        <w:rPr>
          <w:rFonts w:eastAsia="Calibri"/>
          <w:b/>
          <w:bCs/>
          <w:sz w:val="22"/>
          <w:szCs w:val="22"/>
        </w:rPr>
      </w:pPr>
    </w:p>
    <w:tbl>
      <w:tblPr>
        <w:tblW w:w="5372" w:type="dxa"/>
        <w:jc w:val="center"/>
        <w:tblCellMar>
          <w:left w:w="70" w:type="dxa"/>
          <w:right w:w="70" w:type="dxa"/>
        </w:tblCellMar>
        <w:tblLook w:val="04A0" w:firstRow="1" w:lastRow="0" w:firstColumn="1" w:lastColumn="0" w:noHBand="0" w:noVBand="1"/>
      </w:tblPr>
      <w:tblGrid>
        <w:gridCol w:w="3480"/>
        <w:gridCol w:w="1892"/>
      </w:tblGrid>
      <w:tr w:rsidR="00B15F7D" w:rsidRPr="00990FB6" w14:paraId="31A0BB29" w14:textId="77777777" w:rsidTr="000A0C22">
        <w:trPr>
          <w:trHeight w:val="456"/>
          <w:jc w:val="center"/>
        </w:trPr>
        <w:tc>
          <w:tcPr>
            <w:tcW w:w="3480" w:type="dxa"/>
            <w:tcBorders>
              <w:top w:val="single" w:sz="12" w:space="0" w:color="D0CECE"/>
              <w:left w:val="single" w:sz="12" w:space="0" w:color="D0CECE"/>
              <w:bottom w:val="single" w:sz="12" w:space="0" w:color="D0CECE"/>
              <w:right w:val="single" w:sz="12" w:space="0" w:color="D0CECE"/>
            </w:tcBorders>
            <w:shd w:val="clear" w:color="auto" w:fill="auto"/>
            <w:vAlign w:val="center"/>
            <w:hideMark/>
          </w:tcPr>
          <w:p w14:paraId="6EC2112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Gasto Corriente (solo plazas nuevas)</w:t>
            </w:r>
          </w:p>
        </w:tc>
        <w:tc>
          <w:tcPr>
            <w:tcW w:w="1892" w:type="dxa"/>
            <w:tcBorders>
              <w:top w:val="single" w:sz="12" w:space="0" w:color="D0CECE"/>
              <w:left w:val="nil"/>
              <w:bottom w:val="single" w:sz="12" w:space="0" w:color="D0CECE"/>
              <w:right w:val="single" w:sz="12" w:space="0" w:color="D0CECE"/>
            </w:tcBorders>
            <w:shd w:val="clear" w:color="000000" w:fill="FFFFFF"/>
            <w:vAlign w:val="center"/>
            <w:hideMark/>
          </w:tcPr>
          <w:p w14:paraId="26193F5E"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350 777 000,00 </w:t>
            </w:r>
          </w:p>
        </w:tc>
      </w:tr>
      <w:tr w:rsidR="00B15F7D" w:rsidRPr="00990FB6" w14:paraId="1CE26224" w14:textId="77777777" w:rsidTr="000A0C22">
        <w:trPr>
          <w:trHeight w:val="672"/>
          <w:jc w:val="center"/>
        </w:trPr>
        <w:tc>
          <w:tcPr>
            <w:tcW w:w="3480" w:type="dxa"/>
            <w:tcBorders>
              <w:top w:val="nil"/>
              <w:left w:val="single" w:sz="12" w:space="0" w:color="D0CECE"/>
              <w:bottom w:val="single" w:sz="12" w:space="0" w:color="D0CECE"/>
              <w:right w:val="single" w:sz="12" w:space="0" w:color="D0CECE"/>
            </w:tcBorders>
            <w:shd w:val="clear" w:color="auto" w:fill="auto"/>
            <w:vAlign w:val="center"/>
            <w:hideMark/>
          </w:tcPr>
          <w:p w14:paraId="7E38EE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Gasto corriente restante (alquiler de local y contratación de servicios de seguridad y limpieza</w:t>
            </w:r>
          </w:p>
        </w:tc>
        <w:tc>
          <w:tcPr>
            <w:tcW w:w="1892" w:type="dxa"/>
            <w:tcBorders>
              <w:top w:val="nil"/>
              <w:left w:val="nil"/>
              <w:bottom w:val="single" w:sz="12" w:space="0" w:color="D0CECE"/>
              <w:right w:val="single" w:sz="12" w:space="0" w:color="D0CECE"/>
            </w:tcBorders>
            <w:shd w:val="clear" w:color="000000" w:fill="FFFFFF"/>
            <w:vAlign w:val="center"/>
            <w:hideMark/>
          </w:tcPr>
          <w:p w14:paraId="692A754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35 539 882,44 </w:t>
            </w:r>
          </w:p>
        </w:tc>
      </w:tr>
      <w:tr w:rsidR="00B15F7D" w:rsidRPr="00990FB6" w14:paraId="08EBD20B" w14:textId="77777777" w:rsidTr="000A0C22">
        <w:trPr>
          <w:trHeight w:val="456"/>
          <w:jc w:val="center"/>
        </w:trPr>
        <w:tc>
          <w:tcPr>
            <w:tcW w:w="3480" w:type="dxa"/>
            <w:tcBorders>
              <w:top w:val="nil"/>
              <w:left w:val="single" w:sz="12" w:space="0" w:color="D0CECE"/>
              <w:bottom w:val="single" w:sz="12" w:space="0" w:color="D0CECE"/>
              <w:right w:val="single" w:sz="12" w:space="0" w:color="D0CECE"/>
            </w:tcBorders>
            <w:shd w:val="clear" w:color="auto" w:fill="auto"/>
            <w:vAlign w:val="center"/>
            <w:hideMark/>
          </w:tcPr>
          <w:p w14:paraId="33DBB2C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Gasto de capital (mobiliario y equipo)</w:t>
            </w:r>
          </w:p>
        </w:tc>
        <w:tc>
          <w:tcPr>
            <w:tcW w:w="1892" w:type="dxa"/>
            <w:tcBorders>
              <w:top w:val="nil"/>
              <w:left w:val="nil"/>
              <w:bottom w:val="single" w:sz="12" w:space="0" w:color="D0CECE"/>
              <w:right w:val="single" w:sz="12" w:space="0" w:color="D0CECE"/>
            </w:tcBorders>
            <w:shd w:val="clear" w:color="000000" w:fill="FFFFFF"/>
            <w:vAlign w:val="center"/>
            <w:hideMark/>
          </w:tcPr>
          <w:p w14:paraId="0E6662E0"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249 524 192,31 </w:t>
            </w:r>
          </w:p>
        </w:tc>
      </w:tr>
      <w:tr w:rsidR="00B15F7D" w:rsidRPr="00990FB6" w14:paraId="7A97532F" w14:textId="77777777" w:rsidTr="000A0C22">
        <w:trPr>
          <w:trHeight w:val="312"/>
          <w:jc w:val="center"/>
        </w:trPr>
        <w:tc>
          <w:tcPr>
            <w:tcW w:w="3480" w:type="dxa"/>
            <w:tcBorders>
              <w:top w:val="nil"/>
              <w:left w:val="single" w:sz="12" w:space="0" w:color="D0CECE"/>
              <w:bottom w:val="single" w:sz="12" w:space="0" w:color="D0CECE"/>
              <w:right w:val="single" w:sz="12" w:space="0" w:color="D0CECE"/>
            </w:tcBorders>
            <w:shd w:val="clear" w:color="auto" w:fill="auto"/>
            <w:vAlign w:val="center"/>
            <w:hideMark/>
          </w:tcPr>
          <w:p w14:paraId="59E598F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Total</w:t>
            </w:r>
          </w:p>
        </w:tc>
        <w:tc>
          <w:tcPr>
            <w:tcW w:w="1892" w:type="dxa"/>
            <w:tcBorders>
              <w:top w:val="nil"/>
              <w:left w:val="nil"/>
              <w:bottom w:val="single" w:sz="12" w:space="0" w:color="D0CECE"/>
              <w:right w:val="single" w:sz="12" w:space="0" w:color="D0CECE"/>
            </w:tcBorders>
            <w:shd w:val="clear" w:color="000000" w:fill="FFFFFF"/>
            <w:vAlign w:val="center"/>
            <w:hideMark/>
          </w:tcPr>
          <w:p w14:paraId="582ABCBC" w14:textId="77777777" w:rsidR="00B15F7D" w:rsidRPr="00990FB6" w:rsidRDefault="00B15F7D" w:rsidP="00B15F7D">
            <w:pPr>
              <w:rPr>
                <w:b/>
                <w:bCs/>
                <w:color w:val="000000"/>
                <w:sz w:val="22"/>
                <w:szCs w:val="22"/>
                <w:lang w:eastAsia="es-CR"/>
              </w:rPr>
            </w:pPr>
            <w:r w:rsidRPr="00990FB6">
              <w:rPr>
                <w:b/>
                <w:bCs/>
                <w:color w:val="000000"/>
                <w:sz w:val="22"/>
                <w:szCs w:val="22"/>
                <w:lang w:eastAsia="es-CR"/>
              </w:rPr>
              <w:t xml:space="preserve"> ₡     635 841 074,75 </w:t>
            </w:r>
          </w:p>
        </w:tc>
      </w:tr>
    </w:tbl>
    <w:p w14:paraId="1A5F1894"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t>Fuente:</w:t>
      </w:r>
      <w:r w:rsidRPr="00990FB6">
        <w:rPr>
          <w:rFonts w:eastAsia="Calibri"/>
          <w:sz w:val="22"/>
          <w:szCs w:val="22"/>
        </w:rPr>
        <w:t xml:space="preserve"> elaboración propia.</w:t>
      </w:r>
    </w:p>
    <w:p w14:paraId="4D3EABD3" w14:textId="77777777" w:rsidR="00B15F7D" w:rsidRPr="00990FB6" w:rsidRDefault="00B15F7D" w:rsidP="00B15F7D">
      <w:pPr>
        <w:ind w:left="851" w:right="851" w:firstLine="709"/>
        <w:jc w:val="both"/>
        <w:rPr>
          <w:rFonts w:eastAsia="Calibri"/>
          <w:sz w:val="22"/>
          <w:szCs w:val="22"/>
        </w:rPr>
      </w:pPr>
    </w:p>
    <w:p w14:paraId="7852911F" w14:textId="77777777" w:rsidR="00B15F7D" w:rsidRPr="00990FB6" w:rsidRDefault="00B15F7D" w:rsidP="00B15F7D">
      <w:pPr>
        <w:ind w:left="851" w:right="851" w:firstLine="709"/>
        <w:jc w:val="both"/>
        <w:rPr>
          <w:rFonts w:eastAsia="Calibri"/>
          <w:sz w:val="22"/>
          <w:szCs w:val="22"/>
        </w:rPr>
      </w:pPr>
    </w:p>
    <w:p w14:paraId="12963971"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El costo total de creación de los Tribunales Peninsulares es de ₡ 635 841 074,75, por lo que el costo total del escenario 4 es de ₡ 6 184 804 818,75, tal y como se muestra en la siguiente imagen:</w:t>
      </w:r>
    </w:p>
    <w:p w14:paraId="28265C2D" w14:textId="77777777" w:rsidR="00B15F7D" w:rsidRPr="00990FB6" w:rsidRDefault="00B15F7D" w:rsidP="00B15F7D">
      <w:pPr>
        <w:jc w:val="both"/>
        <w:rPr>
          <w:rFonts w:eastAsia="Calibri"/>
          <w:sz w:val="22"/>
          <w:szCs w:val="22"/>
        </w:rPr>
      </w:pPr>
    </w:p>
    <w:p w14:paraId="62AADFB2" w14:textId="77777777" w:rsidR="00B15F7D" w:rsidRPr="00990FB6" w:rsidRDefault="00B15F7D" w:rsidP="00B15F7D">
      <w:pPr>
        <w:jc w:val="center"/>
        <w:rPr>
          <w:rFonts w:eastAsia="Calibri"/>
          <w:sz w:val="22"/>
          <w:szCs w:val="22"/>
        </w:rPr>
      </w:pPr>
      <w:r w:rsidRPr="00990FB6">
        <w:rPr>
          <w:rFonts w:eastAsia="Calibri"/>
          <w:noProof/>
          <w:sz w:val="22"/>
          <w:szCs w:val="22"/>
          <w:lang w:eastAsia="es-CR"/>
        </w:rPr>
        <w:lastRenderedPageBreak/>
        <w:drawing>
          <wp:inline distT="0" distB="0" distL="0" distR="0" wp14:anchorId="50CA619E" wp14:editId="7F0FDA43">
            <wp:extent cx="5850255" cy="2654935"/>
            <wp:effectExtent l="19050" t="19050" r="17145" b="12065"/>
            <wp:docPr id="184841359" name="Imagen 184841359" descr="Gráfico,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cajas y bigotes&#10;&#10;Descripción generada automáticamente"/>
                    <pic:cNvPicPr/>
                  </pic:nvPicPr>
                  <pic:blipFill>
                    <a:blip r:embed="rId139"/>
                    <a:stretch>
                      <a:fillRect/>
                    </a:stretch>
                  </pic:blipFill>
                  <pic:spPr>
                    <a:xfrm>
                      <a:off x="0" y="0"/>
                      <a:ext cx="5850255" cy="2654935"/>
                    </a:xfrm>
                    <a:prstGeom prst="rect">
                      <a:avLst/>
                    </a:prstGeom>
                    <a:ln w="9525">
                      <a:solidFill>
                        <a:sysClr val="windowText" lastClr="000000"/>
                      </a:solidFill>
                    </a:ln>
                  </pic:spPr>
                </pic:pic>
              </a:graphicData>
            </a:graphic>
          </wp:inline>
        </w:drawing>
      </w:r>
    </w:p>
    <w:p w14:paraId="50549617" w14:textId="77777777" w:rsidR="00B15F7D" w:rsidRPr="00990FB6" w:rsidRDefault="00B15F7D" w:rsidP="00B15F7D">
      <w:pPr>
        <w:ind w:left="851" w:right="851" w:firstLine="709"/>
        <w:jc w:val="both"/>
        <w:rPr>
          <w:rFonts w:eastAsia="Calibri"/>
          <w:sz w:val="22"/>
          <w:szCs w:val="22"/>
        </w:rPr>
      </w:pPr>
      <w:r w:rsidRPr="00990FB6">
        <w:rPr>
          <w:rFonts w:eastAsia="Calibri"/>
          <w:b/>
          <w:bCs/>
          <w:sz w:val="22"/>
          <w:szCs w:val="22"/>
        </w:rPr>
        <w:t>Fuente:</w:t>
      </w:r>
      <w:r w:rsidRPr="00990FB6">
        <w:rPr>
          <w:rFonts w:eastAsia="Calibri"/>
          <w:sz w:val="22"/>
          <w:szCs w:val="22"/>
        </w:rPr>
        <w:t xml:space="preserve"> elaboración propia</w:t>
      </w:r>
    </w:p>
    <w:p w14:paraId="580ED5CF" w14:textId="77777777" w:rsidR="00B15F7D" w:rsidRPr="00990FB6" w:rsidRDefault="00B15F7D" w:rsidP="00B15F7D">
      <w:pPr>
        <w:ind w:left="851" w:right="851" w:firstLine="709"/>
        <w:jc w:val="both"/>
        <w:rPr>
          <w:rFonts w:eastAsia="Calibri"/>
          <w:sz w:val="22"/>
          <w:szCs w:val="22"/>
        </w:rPr>
      </w:pPr>
    </w:p>
    <w:p w14:paraId="4C2D3DCA"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El costo anual del escenario anterior asciende a ₡6 184 804 819 y el costo por tres meses es de ₡ 1 843 421 632.</w:t>
      </w:r>
    </w:p>
    <w:p w14:paraId="7EA8552E" w14:textId="77777777" w:rsidR="00B15F7D" w:rsidRPr="00990FB6" w:rsidRDefault="00B15F7D" w:rsidP="00B15F7D">
      <w:pPr>
        <w:ind w:left="851" w:right="851" w:firstLine="709"/>
        <w:rPr>
          <w:rFonts w:eastAsia="Calibri"/>
          <w:b/>
          <w:bCs/>
          <w:sz w:val="22"/>
          <w:szCs w:val="22"/>
          <w:u w:val="single"/>
        </w:rPr>
      </w:pPr>
    </w:p>
    <w:p w14:paraId="1AD8CE02" w14:textId="77777777" w:rsidR="00B15F7D" w:rsidRPr="00990FB6" w:rsidRDefault="00B15F7D" w:rsidP="00B15F7D">
      <w:pPr>
        <w:ind w:left="851" w:right="851" w:firstLine="709"/>
        <w:jc w:val="both"/>
        <w:rPr>
          <w:rFonts w:eastAsia="Calibri"/>
          <w:b/>
          <w:bCs/>
          <w:sz w:val="22"/>
          <w:szCs w:val="22"/>
          <w:u w:val="single"/>
        </w:rPr>
      </w:pPr>
      <w:r w:rsidRPr="00990FB6">
        <w:rPr>
          <w:rFonts w:eastAsia="Calibri"/>
          <w:b/>
          <w:bCs/>
          <w:sz w:val="22"/>
          <w:szCs w:val="22"/>
          <w:u w:val="single"/>
        </w:rPr>
        <w:t>Conclusiones</w:t>
      </w:r>
    </w:p>
    <w:p w14:paraId="0A63E5CA" w14:textId="77777777" w:rsidR="00B15F7D" w:rsidRPr="00990FB6" w:rsidRDefault="00B15F7D" w:rsidP="00B15F7D">
      <w:pPr>
        <w:ind w:left="851" w:right="851" w:firstLine="709"/>
        <w:jc w:val="both"/>
        <w:rPr>
          <w:rFonts w:eastAsia="Calibri"/>
          <w:sz w:val="22"/>
          <w:szCs w:val="22"/>
        </w:rPr>
      </w:pPr>
    </w:p>
    <w:p w14:paraId="35733FAA" w14:textId="77777777" w:rsidR="00B15F7D" w:rsidRPr="00990FB6" w:rsidRDefault="00B15F7D" w:rsidP="00B15F7D">
      <w:pPr>
        <w:numPr>
          <w:ilvl w:val="0"/>
          <w:numId w:val="133"/>
        </w:numPr>
        <w:suppressAutoHyphens w:val="0"/>
        <w:ind w:left="851" w:right="851" w:firstLine="709"/>
        <w:jc w:val="both"/>
        <w:rPr>
          <w:rFonts w:eastAsia="Calibri"/>
          <w:sz w:val="22"/>
          <w:szCs w:val="22"/>
        </w:rPr>
      </w:pPr>
      <w:r w:rsidRPr="00990FB6">
        <w:rPr>
          <w:rFonts w:eastAsia="Calibri"/>
          <w:sz w:val="22"/>
          <w:szCs w:val="22"/>
        </w:rPr>
        <w:t>En el presente informe se considera el requerimiento humano planteado por la Dirección de Planificación en los informes 270-PLA-RH-MI(PL)-2023, 271-PLA-RH-MI(PL)-2023 y 273-PLA-RH-MI(PL)-2023, relacionados con el cálculo del costo total de creación de plazas para el Organismo de Investigación Judicial, Ministerio Público y Tribunales Penales, por lo que se presentan distintos escenarios integrales.</w:t>
      </w:r>
    </w:p>
    <w:p w14:paraId="215E28F6" w14:textId="77777777" w:rsidR="00B15F7D" w:rsidRPr="00990FB6" w:rsidRDefault="00B15F7D" w:rsidP="00B15F7D">
      <w:pPr>
        <w:ind w:left="851" w:right="851" w:firstLine="709"/>
        <w:jc w:val="both"/>
        <w:rPr>
          <w:rFonts w:eastAsia="Calibri"/>
          <w:sz w:val="22"/>
          <w:szCs w:val="22"/>
        </w:rPr>
      </w:pPr>
    </w:p>
    <w:p w14:paraId="345634CB" w14:textId="77777777" w:rsidR="00B15F7D" w:rsidRPr="00990FB6" w:rsidRDefault="00B15F7D" w:rsidP="00B15F7D">
      <w:pPr>
        <w:numPr>
          <w:ilvl w:val="0"/>
          <w:numId w:val="133"/>
        </w:numPr>
        <w:suppressAutoHyphens w:val="0"/>
        <w:ind w:left="851" w:right="851" w:firstLine="709"/>
        <w:jc w:val="both"/>
        <w:rPr>
          <w:rFonts w:eastAsia="Calibri"/>
          <w:sz w:val="22"/>
          <w:szCs w:val="22"/>
        </w:rPr>
      </w:pPr>
      <w:r w:rsidRPr="00990FB6">
        <w:rPr>
          <w:rFonts w:eastAsia="Calibri"/>
          <w:sz w:val="22"/>
          <w:szCs w:val="22"/>
        </w:rPr>
        <w:t>Para el escenario #1, estructuras básicas en las regionales, se requiere la creación de 44 plazas, 23 para el ámbito jurisdiccional y 21 para el ámbito auxiliar de justicia.</w:t>
      </w:r>
    </w:p>
    <w:p w14:paraId="6A3417E6" w14:textId="77777777" w:rsidR="00B15F7D" w:rsidRPr="00990FB6" w:rsidRDefault="00B15F7D" w:rsidP="00B15F7D">
      <w:pPr>
        <w:ind w:left="851" w:right="851" w:firstLine="709"/>
        <w:rPr>
          <w:rFonts w:eastAsia="Calibri"/>
          <w:sz w:val="22"/>
          <w:szCs w:val="22"/>
        </w:rPr>
      </w:pPr>
    </w:p>
    <w:p w14:paraId="6B85CFAF" w14:textId="77777777" w:rsidR="00B15F7D" w:rsidRPr="00990FB6" w:rsidRDefault="00B15F7D" w:rsidP="00B15F7D">
      <w:pPr>
        <w:numPr>
          <w:ilvl w:val="0"/>
          <w:numId w:val="133"/>
        </w:numPr>
        <w:suppressAutoHyphens w:val="0"/>
        <w:ind w:left="851" w:right="851" w:firstLine="709"/>
        <w:jc w:val="both"/>
        <w:rPr>
          <w:rFonts w:eastAsia="Calibri"/>
          <w:sz w:val="22"/>
          <w:szCs w:val="22"/>
        </w:rPr>
      </w:pPr>
      <w:r w:rsidRPr="00990FB6">
        <w:rPr>
          <w:rFonts w:eastAsia="Calibri"/>
          <w:sz w:val="22"/>
          <w:szCs w:val="22"/>
        </w:rPr>
        <w:t>En el caso del escenario # 2, estructura básica nacional, se requiere crear para los Tribunales Penales con estructura mínima, 12 plazas nuevas de juez o jueza 4 y 12 de técnica o técnico judicial 3, para el resto de los tribunales penales del país, se requiere un total de 13 jueces o juezas 4, cuatro plazas de jueza o juez 1 y 25 de personas técnicas judiciales 3. Para el ámbito auxiliar de justicia, se requiere un total de 63 plazas; 12 personas defensoras públicas, 27 personas fiscales y 24 personas custodias de detenidos.</w:t>
      </w:r>
    </w:p>
    <w:p w14:paraId="077D5374" w14:textId="77777777" w:rsidR="00B15F7D" w:rsidRPr="00990FB6" w:rsidRDefault="00B15F7D" w:rsidP="00B15F7D">
      <w:pPr>
        <w:ind w:left="851" w:right="851" w:firstLine="709"/>
        <w:rPr>
          <w:rFonts w:eastAsia="Calibri"/>
          <w:sz w:val="22"/>
          <w:szCs w:val="22"/>
        </w:rPr>
      </w:pPr>
    </w:p>
    <w:p w14:paraId="6DF74BC0" w14:textId="77777777" w:rsidR="00B15F7D" w:rsidRPr="00990FB6" w:rsidRDefault="00B15F7D" w:rsidP="00B15F7D">
      <w:pPr>
        <w:numPr>
          <w:ilvl w:val="0"/>
          <w:numId w:val="133"/>
        </w:numPr>
        <w:suppressAutoHyphens w:val="0"/>
        <w:ind w:left="851" w:right="851" w:firstLine="709"/>
        <w:jc w:val="both"/>
        <w:rPr>
          <w:rFonts w:eastAsia="Calibri"/>
          <w:sz w:val="22"/>
          <w:szCs w:val="22"/>
        </w:rPr>
      </w:pPr>
      <w:r w:rsidRPr="00990FB6">
        <w:rPr>
          <w:rFonts w:eastAsia="Calibri"/>
          <w:sz w:val="22"/>
          <w:szCs w:val="22"/>
        </w:rPr>
        <w:t xml:space="preserve">Dado que la jurisdicción de Ejecución de la Pena requiere de personal adicional para la atención de poblaciones vulnerables, como lo son las personas privadas de libertad, se crea el escenario 3, en el cual se adiciona al escenario 2 el requerimiento de personal de los Juzgados de Ejecución de la Pena del país, cuya necesidad es de 1 juez o jueza 2, un coordinador o </w:t>
      </w:r>
      <w:r w:rsidRPr="00990FB6">
        <w:rPr>
          <w:rFonts w:eastAsia="Calibri"/>
          <w:sz w:val="22"/>
          <w:szCs w:val="22"/>
        </w:rPr>
        <w:lastRenderedPageBreak/>
        <w:t>coordinadora judicial 2, cinco técnicos judiciales 2 y cuatro fiscales auxiliares.</w:t>
      </w:r>
    </w:p>
    <w:p w14:paraId="4321F0F2" w14:textId="77777777" w:rsidR="00B15F7D" w:rsidRPr="00990FB6" w:rsidRDefault="00B15F7D" w:rsidP="00B15F7D">
      <w:pPr>
        <w:ind w:left="851" w:right="851" w:firstLine="709"/>
        <w:rPr>
          <w:rFonts w:eastAsia="Calibri"/>
          <w:sz w:val="22"/>
          <w:szCs w:val="22"/>
        </w:rPr>
      </w:pPr>
    </w:p>
    <w:p w14:paraId="082558D9" w14:textId="77777777" w:rsidR="00B15F7D" w:rsidRPr="00990FB6" w:rsidRDefault="00B15F7D" w:rsidP="00B15F7D">
      <w:pPr>
        <w:numPr>
          <w:ilvl w:val="0"/>
          <w:numId w:val="133"/>
        </w:numPr>
        <w:suppressAutoHyphens w:val="0"/>
        <w:ind w:left="851" w:right="851" w:firstLine="709"/>
        <w:jc w:val="both"/>
        <w:rPr>
          <w:rFonts w:eastAsia="Calibri"/>
          <w:sz w:val="22"/>
          <w:szCs w:val="22"/>
        </w:rPr>
      </w:pPr>
      <w:r w:rsidRPr="00990FB6">
        <w:rPr>
          <w:rFonts w:eastAsia="Calibri"/>
          <w:sz w:val="22"/>
          <w:szCs w:val="22"/>
        </w:rPr>
        <w:t>El último escenario considera adicionar al escenario 3, la creación de los Tribunales Peninsulares en la zona Golfito, cuyo costo de recurso humano asciende a ₡ 350 777 000,00 y costo variable ₡ 285 064 074,75, por lo que el costo total del escenario 4 es de 6 184 804 818,75.</w:t>
      </w:r>
    </w:p>
    <w:p w14:paraId="1BCE23A6" w14:textId="77777777" w:rsidR="00B15F7D" w:rsidRPr="00990FB6" w:rsidRDefault="00B15F7D" w:rsidP="00B15F7D">
      <w:pPr>
        <w:ind w:left="851" w:right="851" w:firstLine="709"/>
        <w:jc w:val="both"/>
        <w:rPr>
          <w:rFonts w:eastAsia="Calibri"/>
          <w:sz w:val="22"/>
          <w:szCs w:val="22"/>
        </w:rPr>
      </w:pPr>
    </w:p>
    <w:p w14:paraId="4E3A4E3A" w14:textId="77777777" w:rsidR="00B15F7D" w:rsidRPr="00990FB6" w:rsidRDefault="00B15F7D" w:rsidP="00B15F7D">
      <w:pPr>
        <w:ind w:left="851" w:right="851" w:firstLine="709"/>
        <w:jc w:val="both"/>
        <w:rPr>
          <w:rFonts w:eastAsia="Calibri"/>
          <w:b/>
          <w:bCs/>
          <w:sz w:val="22"/>
          <w:szCs w:val="22"/>
          <w:u w:val="single"/>
        </w:rPr>
      </w:pPr>
      <w:r w:rsidRPr="00990FB6">
        <w:rPr>
          <w:rFonts w:eastAsia="Calibri"/>
          <w:b/>
          <w:bCs/>
          <w:sz w:val="22"/>
          <w:szCs w:val="22"/>
          <w:u w:val="single"/>
        </w:rPr>
        <w:t>Recomendaciones</w:t>
      </w:r>
    </w:p>
    <w:p w14:paraId="2DD7E661" w14:textId="77777777" w:rsidR="00B15F7D" w:rsidRPr="00990FB6" w:rsidRDefault="00B15F7D" w:rsidP="00B15F7D">
      <w:pPr>
        <w:ind w:left="851" w:right="851" w:firstLine="709"/>
        <w:jc w:val="both"/>
        <w:rPr>
          <w:rFonts w:eastAsia="Calibri"/>
          <w:sz w:val="22"/>
          <w:szCs w:val="22"/>
        </w:rPr>
      </w:pPr>
    </w:p>
    <w:p w14:paraId="4EADF2E0" w14:textId="77777777" w:rsidR="00B15F7D" w:rsidRPr="00990FB6" w:rsidRDefault="00B15F7D" w:rsidP="00B15F7D">
      <w:pPr>
        <w:ind w:left="851" w:right="851" w:firstLine="709"/>
        <w:jc w:val="both"/>
        <w:rPr>
          <w:rFonts w:eastAsia="Calibri"/>
          <w:b/>
          <w:bCs/>
          <w:sz w:val="22"/>
          <w:szCs w:val="22"/>
        </w:rPr>
      </w:pPr>
      <w:r w:rsidRPr="00990FB6">
        <w:rPr>
          <w:rFonts w:eastAsia="Calibri"/>
          <w:b/>
          <w:bCs/>
          <w:sz w:val="22"/>
          <w:szCs w:val="22"/>
        </w:rPr>
        <w:t>Al Consejo Superior</w:t>
      </w:r>
    </w:p>
    <w:p w14:paraId="024B5AD6" w14:textId="77777777" w:rsidR="00B15F7D" w:rsidRPr="00990FB6" w:rsidRDefault="00B15F7D" w:rsidP="00B15F7D">
      <w:pPr>
        <w:ind w:left="851" w:right="851" w:firstLine="709"/>
        <w:jc w:val="both"/>
        <w:rPr>
          <w:rFonts w:eastAsia="Calibri"/>
          <w:sz w:val="22"/>
          <w:szCs w:val="22"/>
        </w:rPr>
      </w:pPr>
    </w:p>
    <w:p w14:paraId="1FE886F5"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Seleccionar uno de los escenarios presentes en este informe con la finalidad de que se dé una articulación entre el Ministerio Público, Defensa Pública, Organismo de Investigación Judicial y judicatura tomando en cuenta el que sea el más idóneo para la institución, siendo el más integral el cuarto debido a que considera la materia de ejecución de la pena y la creación de Tribunales Peninsulares, el segundo es un intermedio tomando en cuenta necesidades básicas de la etapa de juicio a nivel nacional y el primero consiste en el más básico de todos al tomar en cuenta solamente el reforzamiento de las sedes regionales.</w:t>
      </w:r>
    </w:p>
    <w:p w14:paraId="368E15DC" w14:textId="77777777" w:rsidR="00B15F7D" w:rsidRPr="00990FB6" w:rsidRDefault="00B15F7D" w:rsidP="00B15F7D">
      <w:pPr>
        <w:ind w:left="851" w:right="851" w:firstLine="709"/>
        <w:jc w:val="both"/>
        <w:rPr>
          <w:rFonts w:eastAsia="Calibri"/>
          <w:sz w:val="22"/>
          <w:szCs w:val="22"/>
        </w:rPr>
      </w:pPr>
    </w:p>
    <w:p w14:paraId="03E973E4"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En razón de las limitaciones presupuestarias y con el objetivo de que se pueda ir atendiendo con recurso ordinario las estructuras penales, la Dirección de Planificación recomienda que se doten los recursos para el último trimestre del 2024, tomando como base el escenario 4, de lo cual se presenta un resumen de los costos:</w:t>
      </w:r>
    </w:p>
    <w:p w14:paraId="2E0F9293" w14:textId="77777777" w:rsidR="00B15F7D" w:rsidRPr="00990FB6" w:rsidRDefault="00B15F7D" w:rsidP="00B15F7D">
      <w:pPr>
        <w:ind w:left="851" w:right="851" w:firstLine="709"/>
        <w:jc w:val="both"/>
        <w:rPr>
          <w:rFonts w:eastAsia="Calibri"/>
          <w:sz w:val="22"/>
          <w:szCs w:val="22"/>
          <w:u w:val="single"/>
        </w:rPr>
      </w:pPr>
    </w:p>
    <w:p w14:paraId="2676D357" w14:textId="77777777" w:rsidR="00B15F7D" w:rsidRPr="00990FB6" w:rsidRDefault="00B15F7D" w:rsidP="00B15F7D">
      <w:pPr>
        <w:numPr>
          <w:ilvl w:val="0"/>
          <w:numId w:val="195"/>
        </w:numPr>
        <w:suppressAutoHyphens w:val="0"/>
        <w:ind w:left="851" w:right="851" w:firstLine="709"/>
        <w:jc w:val="both"/>
        <w:rPr>
          <w:rFonts w:eastAsia="Calibri"/>
          <w:sz w:val="22"/>
          <w:szCs w:val="22"/>
          <w:u w:val="single"/>
        </w:rPr>
      </w:pPr>
      <w:r w:rsidRPr="00990FB6">
        <w:rPr>
          <w:rFonts w:eastAsia="Calibri"/>
          <w:sz w:val="22"/>
          <w:szCs w:val="22"/>
          <w:u w:val="single"/>
        </w:rPr>
        <w:t>Escenario 4</w:t>
      </w:r>
    </w:p>
    <w:p w14:paraId="37968473" w14:textId="77777777" w:rsidR="00B15F7D" w:rsidRPr="00990FB6" w:rsidRDefault="00B15F7D" w:rsidP="00B15F7D">
      <w:pPr>
        <w:ind w:left="851" w:right="851" w:firstLine="709"/>
        <w:jc w:val="both"/>
        <w:rPr>
          <w:rFonts w:eastAsia="Calibri"/>
          <w:sz w:val="22"/>
          <w:szCs w:val="22"/>
        </w:rPr>
      </w:pPr>
    </w:p>
    <w:p w14:paraId="2464136F"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Creación de 25 plazas de jueza o juez 4, un juez o jueza 2, cuatro jueces o juezas 1, un coordinador o coordinadora judicial 2, 37 de técnica o técnico judicial 3, cinco plazas de técnica o técnico judicial 2, 27 fiscales, 12 defensores públicos, cuatro fiscales auxiliares y 24 custodios de detenidos; más 13 plazas para la creación de los Tribunales Peninsulares:</w:t>
      </w:r>
    </w:p>
    <w:p w14:paraId="2E4A5321" w14:textId="77777777" w:rsidR="00B15F7D" w:rsidRPr="00990FB6" w:rsidRDefault="00B15F7D" w:rsidP="00B15F7D">
      <w:pPr>
        <w:jc w:val="both"/>
        <w:rPr>
          <w:rFonts w:eastAsia="Calibri"/>
          <w:sz w:val="22"/>
          <w:szCs w:val="22"/>
        </w:rPr>
      </w:pPr>
    </w:p>
    <w:tbl>
      <w:tblPr>
        <w:tblW w:w="6227" w:type="dxa"/>
        <w:jc w:val="center"/>
        <w:tblCellMar>
          <w:left w:w="70" w:type="dxa"/>
          <w:right w:w="70" w:type="dxa"/>
        </w:tblCellMar>
        <w:tblLook w:val="04A0" w:firstRow="1" w:lastRow="0" w:firstColumn="1" w:lastColumn="0" w:noHBand="0" w:noVBand="1"/>
      </w:tblPr>
      <w:tblGrid>
        <w:gridCol w:w="2825"/>
        <w:gridCol w:w="1701"/>
        <w:gridCol w:w="1701"/>
      </w:tblGrid>
      <w:tr w:rsidR="00B15F7D" w:rsidRPr="00990FB6" w14:paraId="38C400E5" w14:textId="77777777" w:rsidTr="000A0C22">
        <w:trPr>
          <w:trHeight w:val="300"/>
          <w:jc w:val="center"/>
        </w:trPr>
        <w:tc>
          <w:tcPr>
            <w:tcW w:w="2825" w:type="dxa"/>
            <w:tcBorders>
              <w:top w:val="single" w:sz="18" w:space="0" w:color="E7E6E6"/>
              <w:left w:val="single" w:sz="18" w:space="0" w:color="E7E6E6"/>
              <w:bottom w:val="single" w:sz="8" w:space="0" w:color="E7E6E6"/>
              <w:right w:val="single" w:sz="8" w:space="0" w:color="E7E6E6"/>
            </w:tcBorders>
            <w:shd w:val="clear" w:color="000000" w:fill="305496"/>
            <w:vAlign w:val="center"/>
            <w:hideMark/>
          </w:tcPr>
          <w:p w14:paraId="7463EF9A"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Variable</w:t>
            </w:r>
          </w:p>
        </w:tc>
        <w:tc>
          <w:tcPr>
            <w:tcW w:w="1701" w:type="dxa"/>
            <w:tcBorders>
              <w:top w:val="single" w:sz="18" w:space="0" w:color="E7E6E6"/>
              <w:left w:val="nil"/>
              <w:bottom w:val="single" w:sz="8" w:space="0" w:color="E7E6E6"/>
              <w:right w:val="single" w:sz="18" w:space="0" w:color="E7E6E6"/>
            </w:tcBorders>
            <w:shd w:val="clear" w:color="000000" w:fill="305496"/>
            <w:vAlign w:val="center"/>
            <w:hideMark/>
          </w:tcPr>
          <w:p w14:paraId="38EBE640"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Costo total anual</w:t>
            </w:r>
          </w:p>
        </w:tc>
        <w:tc>
          <w:tcPr>
            <w:tcW w:w="1701" w:type="dxa"/>
            <w:tcBorders>
              <w:top w:val="single" w:sz="18" w:space="0" w:color="E7E6E6"/>
              <w:left w:val="nil"/>
              <w:bottom w:val="single" w:sz="8" w:space="0" w:color="E7E6E6"/>
              <w:right w:val="single" w:sz="18" w:space="0" w:color="E7E6E6"/>
            </w:tcBorders>
            <w:shd w:val="clear" w:color="auto" w:fill="ED7D31"/>
          </w:tcPr>
          <w:p w14:paraId="4CECF01A"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Costo por 3 meses</w:t>
            </w:r>
          </w:p>
        </w:tc>
      </w:tr>
      <w:tr w:rsidR="00B15F7D" w:rsidRPr="00990FB6" w14:paraId="48D6BC02" w14:textId="77777777" w:rsidTr="000A0C22">
        <w:trPr>
          <w:trHeight w:val="300"/>
          <w:jc w:val="center"/>
        </w:trPr>
        <w:tc>
          <w:tcPr>
            <w:tcW w:w="2825" w:type="dxa"/>
            <w:tcBorders>
              <w:top w:val="nil"/>
              <w:left w:val="single" w:sz="18" w:space="0" w:color="E7E6E6"/>
              <w:bottom w:val="single" w:sz="8" w:space="0" w:color="D4D4D4"/>
              <w:right w:val="single" w:sz="8" w:space="0" w:color="D4D4D4"/>
            </w:tcBorders>
            <w:shd w:val="clear" w:color="auto" w:fill="auto"/>
            <w:vAlign w:val="center"/>
            <w:hideMark/>
          </w:tcPr>
          <w:p w14:paraId="526316CD" w14:textId="77777777" w:rsidR="00B15F7D" w:rsidRPr="00990FB6" w:rsidRDefault="00B15F7D" w:rsidP="00B15F7D">
            <w:pPr>
              <w:rPr>
                <w:color w:val="000000"/>
                <w:sz w:val="22"/>
                <w:szCs w:val="22"/>
                <w:lang w:eastAsia="es-CR"/>
              </w:rPr>
            </w:pPr>
            <w:r w:rsidRPr="00990FB6">
              <w:rPr>
                <w:color w:val="000000"/>
                <w:sz w:val="22"/>
                <w:szCs w:val="22"/>
                <w:lang w:eastAsia="es-CR"/>
              </w:rPr>
              <w:t>Recurso humano</w:t>
            </w:r>
          </w:p>
        </w:tc>
        <w:tc>
          <w:tcPr>
            <w:tcW w:w="1701" w:type="dxa"/>
            <w:tcBorders>
              <w:top w:val="nil"/>
              <w:left w:val="single" w:sz="8" w:space="0" w:color="E7E6E6"/>
              <w:bottom w:val="single" w:sz="8" w:space="0" w:color="E7E6E6"/>
              <w:right w:val="single" w:sz="18" w:space="0" w:color="E7E6E6"/>
            </w:tcBorders>
            <w:shd w:val="clear" w:color="000000" w:fill="FFFFFF"/>
            <w:vAlign w:val="center"/>
            <w:hideMark/>
          </w:tcPr>
          <w:p w14:paraId="3E6E86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 5 752 698 000</w:t>
            </w:r>
          </w:p>
        </w:tc>
        <w:tc>
          <w:tcPr>
            <w:tcW w:w="1701" w:type="dxa"/>
            <w:tcBorders>
              <w:top w:val="nil"/>
              <w:left w:val="single" w:sz="8" w:space="0" w:color="E7E6E6"/>
              <w:bottom w:val="single" w:sz="8" w:space="0" w:color="E7E6E6"/>
              <w:right w:val="single" w:sz="18" w:space="0" w:color="E7E6E6"/>
            </w:tcBorders>
            <w:shd w:val="clear" w:color="000000" w:fill="FFFFFF"/>
          </w:tcPr>
          <w:p w14:paraId="312A8FA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1 438 174 500</w:t>
            </w:r>
          </w:p>
        </w:tc>
      </w:tr>
      <w:tr w:rsidR="00B15F7D" w:rsidRPr="00990FB6" w14:paraId="57D1CBD3" w14:textId="77777777" w:rsidTr="000A0C22">
        <w:trPr>
          <w:trHeight w:val="300"/>
          <w:jc w:val="center"/>
        </w:trPr>
        <w:tc>
          <w:tcPr>
            <w:tcW w:w="2825" w:type="dxa"/>
            <w:tcBorders>
              <w:top w:val="nil"/>
              <w:left w:val="single" w:sz="18" w:space="0" w:color="E7E6E6"/>
              <w:bottom w:val="single" w:sz="18" w:space="0" w:color="E7E6E6"/>
              <w:right w:val="single" w:sz="8" w:space="0" w:color="D4D4D4"/>
            </w:tcBorders>
            <w:shd w:val="clear" w:color="auto" w:fill="auto"/>
            <w:vAlign w:val="center"/>
            <w:hideMark/>
          </w:tcPr>
          <w:p w14:paraId="70F78299" w14:textId="77777777" w:rsidR="00B15F7D" w:rsidRPr="00990FB6" w:rsidRDefault="00B15F7D" w:rsidP="00B15F7D">
            <w:pPr>
              <w:rPr>
                <w:color w:val="000000"/>
                <w:sz w:val="22"/>
                <w:szCs w:val="22"/>
                <w:lang w:eastAsia="es-CR"/>
              </w:rPr>
            </w:pPr>
            <w:r w:rsidRPr="00990FB6">
              <w:rPr>
                <w:color w:val="000000"/>
                <w:sz w:val="22"/>
                <w:szCs w:val="22"/>
                <w:lang w:eastAsia="es-CR"/>
              </w:rPr>
              <w:t>Costo Variable (mobiliario y equipo)</w:t>
            </w:r>
          </w:p>
        </w:tc>
        <w:tc>
          <w:tcPr>
            <w:tcW w:w="1701" w:type="dxa"/>
            <w:tcBorders>
              <w:top w:val="nil"/>
              <w:left w:val="single" w:sz="8" w:space="0" w:color="E7E6E6"/>
              <w:bottom w:val="single" w:sz="18" w:space="0" w:color="E7E6E6"/>
              <w:right w:val="single" w:sz="18" w:space="0" w:color="E7E6E6"/>
            </w:tcBorders>
            <w:shd w:val="clear" w:color="000000" w:fill="FFFFFF"/>
            <w:vAlign w:val="center"/>
            <w:hideMark/>
          </w:tcPr>
          <w:p w14:paraId="625A1A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 ₡     432 106 819</w:t>
            </w:r>
          </w:p>
        </w:tc>
        <w:tc>
          <w:tcPr>
            <w:tcW w:w="1701" w:type="dxa"/>
            <w:tcBorders>
              <w:top w:val="nil"/>
              <w:left w:val="single" w:sz="8" w:space="0" w:color="E7E6E6"/>
              <w:bottom w:val="single" w:sz="18" w:space="0" w:color="E7E6E6"/>
              <w:right w:val="single" w:sz="18" w:space="0" w:color="E7E6E6"/>
            </w:tcBorders>
            <w:shd w:val="clear" w:color="000000" w:fill="FFFFFF"/>
          </w:tcPr>
          <w:p w14:paraId="35BE12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405 247 132</w:t>
            </w:r>
          </w:p>
        </w:tc>
      </w:tr>
      <w:tr w:rsidR="00B15F7D" w:rsidRPr="00990FB6" w14:paraId="3B31DFD8" w14:textId="77777777" w:rsidTr="000A0C22">
        <w:trPr>
          <w:trHeight w:val="300"/>
          <w:jc w:val="center"/>
        </w:trPr>
        <w:tc>
          <w:tcPr>
            <w:tcW w:w="2825" w:type="dxa"/>
            <w:tcBorders>
              <w:top w:val="single" w:sz="18" w:space="0" w:color="E7E6E6"/>
              <w:left w:val="single" w:sz="8" w:space="0" w:color="E7E6E6"/>
              <w:bottom w:val="single" w:sz="8" w:space="0" w:color="E7E6E6"/>
              <w:right w:val="single" w:sz="8" w:space="0" w:color="E7E6E6"/>
            </w:tcBorders>
            <w:shd w:val="clear" w:color="000000" w:fill="DEEAF6"/>
            <w:vAlign w:val="center"/>
            <w:hideMark/>
          </w:tcPr>
          <w:p w14:paraId="2685370B" w14:textId="77777777" w:rsidR="00B15F7D" w:rsidRPr="00990FB6" w:rsidRDefault="00B15F7D" w:rsidP="00B15F7D">
            <w:pPr>
              <w:rPr>
                <w:b/>
                <w:bCs/>
                <w:color w:val="3A3838"/>
                <w:sz w:val="22"/>
                <w:szCs w:val="22"/>
                <w:lang w:eastAsia="es-CR"/>
              </w:rPr>
            </w:pPr>
            <w:r w:rsidRPr="00990FB6">
              <w:rPr>
                <w:b/>
                <w:bCs/>
                <w:color w:val="3A3838"/>
                <w:sz w:val="22"/>
                <w:szCs w:val="22"/>
                <w:lang w:eastAsia="es-CR"/>
              </w:rPr>
              <w:t xml:space="preserve">Total </w:t>
            </w:r>
          </w:p>
        </w:tc>
        <w:tc>
          <w:tcPr>
            <w:tcW w:w="1701" w:type="dxa"/>
            <w:tcBorders>
              <w:top w:val="single" w:sz="18" w:space="0" w:color="E7E6E6"/>
              <w:left w:val="nil"/>
              <w:bottom w:val="single" w:sz="8" w:space="0" w:color="E7E6E6"/>
              <w:right w:val="single" w:sz="8" w:space="0" w:color="E7E6E6"/>
            </w:tcBorders>
            <w:shd w:val="clear" w:color="000000" w:fill="DEEAF6"/>
            <w:vAlign w:val="center"/>
            <w:hideMark/>
          </w:tcPr>
          <w:p w14:paraId="5F9D6F38"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xml:space="preserve"> ₡ 6 184 804 819 </w:t>
            </w:r>
          </w:p>
        </w:tc>
        <w:tc>
          <w:tcPr>
            <w:tcW w:w="1701" w:type="dxa"/>
            <w:tcBorders>
              <w:top w:val="single" w:sz="18" w:space="0" w:color="E7E6E6"/>
              <w:left w:val="nil"/>
              <w:bottom w:val="single" w:sz="8" w:space="0" w:color="E7E6E6"/>
              <w:right w:val="single" w:sz="8" w:space="0" w:color="E7E6E6"/>
            </w:tcBorders>
            <w:shd w:val="clear" w:color="000000" w:fill="DEEAF6"/>
          </w:tcPr>
          <w:p w14:paraId="35C0A976"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1 843 421 632</w:t>
            </w:r>
          </w:p>
        </w:tc>
      </w:tr>
    </w:tbl>
    <w:p w14:paraId="0365425B" w14:textId="77777777" w:rsidR="00B15F7D" w:rsidRPr="00990FB6" w:rsidRDefault="00B15F7D" w:rsidP="00B15F7D">
      <w:pPr>
        <w:jc w:val="both"/>
        <w:rPr>
          <w:rFonts w:eastAsia="Calibri"/>
          <w:sz w:val="22"/>
          <w:szCs w:val="22"/>
          <w:u w:val="single"/>
        </w:rPr>
      </w:pPr>
    </w:p>
    <w:p w14:paraId="5EAF4B36"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La distribución del recurso humano anterior a nivel nacional se presenta en el siguiente resumen por zona y tipo de puesto:</w:t>
      </w:r>
    </w:p>
    <w:p w14:paraId="05E552A1" w14:textId="77777777" w:rsidR="00B15F7D" w:rsidRPr="00990FB6" w:rsidRDefault="00B15F7D" w:rsidP="00B15F7D">
      <w:pPr>
        <w:jc w:val="both"/>
        <w:rPr>
          <w:rFonts w:eastAsia="Calibri"/>
          <w:sz w:val="22"/>
          <w:szCs w:val="22"/>
          <w:u w:val="single"/>
        </w:rPr>
      </w:pPr>
    </w:p>
    <w:tbl>
      <w:tblPr>
        <w:tblW w:w="8840" w:type="dxa"/>
        <w:tblCellMar>
          <w:left w:w="70" w:type="dxa"/>
          <w:right w:w="70" w:type="dxa"/>
        </w:tblCellMar>
        <w:tblLook w:val="04A0" w:firstRow="1" w:lastRow="0" w:firstColumn="1" w:lastColumn="0" w:noHBand="0" w:noVBand="1"/>
      </w:tblPr>
      <w:tblGrid>
        <w:gridCol w:w="2396"/>
        <w:gridCol w:w="1021"/>
        <w:gridCol w:w="1363"/>
        <w:gridCol w:w="1240"/>
        <w:gridCol w:w="2820"/>
      </w:tblGrid>
      <w:tr w:rsidR="00B15F7D" w:rsidRPr="00990FB6" w14:paraId="094597E2" w14:textId="77777777" w:rsidTr="000A0C22">
        <w:trPr>
          <w:trHeight w:val="20"/>
        </w:trPr>
        <w:tc>
          <w:tcPr>
            <w:tcW w:w="8840" w:type="dxa"/>
            <w:gridSpan w:val="5"/>
            <w:tcBorders>
              <w:top w:val="nil"/>
              <w:left w:val="nil"/>
              <w:bottom w:val="nil"/>
              <w:right w:val="nil"/>
            </w:tcBorders>
            <w:shd w:val="clear" w:color="000000" w:fill="FFD966"/>
            <w:vAlign w:val="bottom"/>
            <w:hideMark/>
          </w:tcPr>
          <w:p w14:paraId="499F8F3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lastRenderedPageBreak/>
              <w:t>Requerimiento humano integral para la atención de asuntos en los Tribunales Penales y Ejecución de la Pena</w:t>
            </w:r>
          </w:p>
        </w:tc>
      </w:tr>
      <w:tr w:rsidR="00B15F7D" w:rsidRPr="00990FB6" w14:paraId="6D3749D0" w14:textId="77777777" w:rsidTr="000A0C22">
        <w:trPr>
          <w:trHeight w:val="20"/>
        </w:trPr>
        <w:tc>
          <w:tcPr>
            <w:tcW w:w="2740" w:type="dxa"/>
            <w:tcBorders>
              <w:top w:val="nil"/>
              <w:left w:val="nil"/>
              <w:bottom w:val="single" w:sz="4" w:space="0" w:color="A6A6A6"/>
              <w:right w:val="nil"/>
            </w:tcBorders>
            <w:shd w:val="clear" w:color="000000" w:fill="FFFFFF"/>
            <w:vAlign w:val="bottom"/>
            <w:hideMark/>
          </w:tcPr>
          <w:p w14:paraId="4DE0725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800" w:type="dxa"/>
            <w:tcBorders>
              <w:top w:val="nil"/>
              <w:left w:val="nil"/>
              <w:bottom w:val="single" w:sz="4" w:space="0" w:color="A6A6A6"/>
              <w:right w:val="nil"/>
            </w:tcBorders>
            <w:shd w:val="clear" w:color="000000" w:fill="FFFFFF"/>
            <w:vAlign w:val="bottom"/>
            <w:hideMark/>
          </w:tcPr>
          <w:p w14:paraId="368F917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1240" w:type="dxa"/>
            <w:tcBorders>
              <w:top w:val="nil"/>
              <w:left w:val="nil"/>
              <w:bottom w:val="single" w:sz="4" w:space="0" w:color="A6A6A6"/>
              <w:right w:val="nil"/>
            </w:tcBorders>
            <w:shd w:val="clear" w:color="000000" w:fill="FFFFFF"/>
            <w:vAlign w:val="bottom"/>
            <w:hideMark/>
          </w:tcPr>
          <w:p w14:paraId="3CCCEAA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1240" w:type="dxa"/>
            <w:tcBorders>
              <w:top w:val="nil"/>
              <w:left w:val="nil"/>
              <w:bottom w:val="single" w:sz="4" w:space="0" w:color="A6A6A6"/>
              <w:right w:val="nil"/>
            </w:tcBorders>
            <w:shd w:val="clear" w:color="000000" w:fill="FFFFFF"/>
            <w:vAlign w:val="bottom"/>
            <w:hideMark/>
          </w:tcPr>
          <w:p w14:paraId="1C531A1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2820" w:type="dxa"/>
            <w:tcBorders>
              <w:top w:val="nil"/>
              <w:left w:val="nil"/>
              <w:bottom w:val="single" w:sz="4" w:space="0" w:color="A6A6A6"/>
              <w:right w:val="nil"/>
            </w:tcBorders>
            <w:shd w:val="clear" w:color="000000" w:fill="FFFFFF"/>
            <w:vAlign w:val="bottom"/>
            <w:hideMark/>
          </w:tcPr>
          <w:p w14:paraId="3B1D46F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r>
      <w:tr w:rsidR="00B15F7D" w:rsidRPr="00990FB6" w14:paraId="57F11F4F"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000000" w:fill="305496"/>
            <w:vAlign w:val="center"/>
            <w:hideMark/>
          </w:tcPr>
          <w:p w14:paraId="7D17AE97"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Programa</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000000" w:fill="305496"/>
            <w:vAlign w:val="center"/>
            <w:hideMark/>
          </w:tcPr>
          <w:p w14:paraId="1091C4C7"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Cantidad total</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000000" w:fill="305496"/>
            <w:vAlign w:val="center"/>
            <w:hideMark/>
          </w:tcPr>
          <w:p w14:paraId="4336CBC0"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Puesto</w:t>
            </w:r>
          </w:p>
        </w:tc>
        <w:tc>
          <w:tcPr>
            <w:tcW w:w="4060" w:type="dxa"/>
            <w:gridSpan w:val="2"/>
            <w:tcBorders>
              <w:top w:val="single" w:sz="4" w:space="0" w:color="A6A6A6"/>
              <w:left w:val="single" w:sz="4" w:space="0" w:color="A6A6A6"/>
              <w:bottom w:val="single" w:sz="4" w:space="0" w:color="A6A6A6"/>
              <w:right w:val="single" w:sz="4" w:space="0" w:color="A6A6A6"/>
            </w:tcBorders>
            <w:shd w:val="clear" w:color="000000" w:fill="5B9BD5"/>
            <w:noWrap/>
            <w:vAlign w:val="center"/>
            <w:hideMark/>
          </w:tcPr>
          <w:p w14:paraId="28336D34"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Distribución</w:t>
            </w:r>
          </w:p>
        </w:tc>
      </w:tr>
      <w:tr w:rsidR="00B15F7D" w:rsidRPr="00990FB6" w14:paraId="27CB20A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84AF51C" w14:textId="77777777" w:rsidR="00B15F7D" w:rsidRPr="00990FB6" w:rsidRDefault="00B15F7D" w:rsidP="00B15F7D">
            <w:pPr>
              <w:jc w:val="center"/>
              <w:rPr>
                <w:b/>
                <w:bCs/>
                <w:color w:val="FFFFFF"/>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EAA2417" w14:textId="77777777" w:rsidR="00B15F7D" w:rsidRPr="00990FB6" w:rsidRDefault="00B15F7D" w:rsidP="00B15F7D">
            <w:pPr>
              <w:rPr>
                <w:b/>
                <w:bCs/>
                <w:color w:val="FFFFFF"/>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03755ED" w14:textId="77777777" w:rsidR="00B15F7D" w:rsidRPr="00990FB6" w:rsidRDefault="00B15F7D" w:rsidP="00B15F7D">
            <w:pPr>
              <w:rPr>
                <w:b/>
                <w:bCs/>
                <w:color w:val="FFFFFF"/>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000000" w:fill="305496"/>
            <w:vAlign w:val="center"/>
            <w:hideMark/>
          </w:tcPr>
          <w:p w14:paraId="15E8618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Cantidad</w:t>
            </w:r>
          </w:p>
        </w:tc>
        <w:tc>
          <w:tcPr>
            <w:tcW w:w="2820" w:type="dxa"/>
            <w:tcBorders>
              <w:top w:val="single" w:sz="4" w:space="0" w:color="A6A6A6"/>
              <w:left w:val="single" w:sz="4" w:space="0" w:color="A6A6A6"/>
              <w:bottom w:val="single" w:sz="4" w:space="0" w:color="A6A6A6"/>
              <w:right w:val="single" w:sz="4" w:space="0" w:color="A6A6A6"/>
            </w:tcBorders>
            <w:shd w:val="clear" w:color="000000" w:fill="305496"/>
            <w:vAlign w:val="center"/>
            <w:hideMark/>
          </w:tcPr>
          <w:p w14:paraId="0EF35330"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Zona</w:t>
            </w:r>
          </w:p>
        </w:tc>
      </w:tr>
      <w:tr w:rsidR="00B15F7D" w:rsidRPr="00990FB6" w14:paraId="5E5B3CE1"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6B11DD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br/>
              <w:t>927- Servicio Jurisdiccional</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3D33D5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25</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9E40F5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Juez/a 4</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D2D37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AC839B9" w14:textId="77777777" w:rsidR="00B15F7D" w:rsidRPr="00990FB6" w:rsidRDefault="00B15F7D" w:rsidP="00B15F7D">
            <w:pPr>
              <w:rPr>
                <w:color w:val="000000"/>
                <w:sz w:val="22"/>
                <w:szCs w:val="22"/>
                <w:lang w:eastAsia="es-CR"/>
              </w:rPr>
            </w:pPr>
            <w:r w:rsidRPr="00990FB6">
              <w:rPr>
                <w:color w:val="000000"/>
                <w:sz w:val="22"/>
                <w:szCs w:val="22"/>
                <w:lang w:eastAsia="es-CR"/>
              </w:rPr>
              <w:t>Quepos</w:t>
            </w:r>
          </w:p>
        </w:tc>
      </w:tr>
      <w:tr w:rsidR="00B15F7D" w:rsidRPr="00990FB6" w14:paraId="686EFA6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6D3B794C"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DA95897"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4B855A0"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EB99A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169870E" w14:textId="77777777" w:rsidR="00B15F7D" w:rsidRPr="00990FB6" w:rsidRDefault="00B15F7D" w:rsidP="00B15F7D">
            <w:pPr>
              <w:rPr>
                <w:color w:val="000000"/>
                <w:sz w:val="22"/>
                <w:szCs w:val="22"/>
                <w:lang w:eastAsia="es-CR"/>
              </w:rPr>
            </w:pPr>
            <w:r w:rsidRPr="00990FB6">
              <w:rPr>
                <w:color w:val="000000"/>
                <w:sz w:val="22"/>
                <w:szCs w:val="22"/>
                <w:lang w:eastAsia="es-CR"/>
              </w:rPr>
              <w:t>Sarapiquí</w:t>
            </w:r>
          </w:p>
        </w:tc>
      </w:tr>
      <w:tr w:rsidR="00B15F7D" w:rsidRPr="00990FB6" w14:paraId="3C4C1D2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48924DA"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C577419"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20D9FB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FB46D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7E6CCD1" w14:textId="77777777" w:rsidR="00B15F7D" w:rsidRPr="00990FB6" w:rsidRDefault="00B15F7D" w:rsidP="00B15F7D">
            <w:pPr>
              <w:rPr>
                <w:color w:val="000000"/>
                <w:sz w:val="22"/>
                <w:szCs w:val="22"/>
                <w:lang w:eastAsia="es-CR"/>
              </w:rPr>
            </w:pPr>
            <w:r w:rsidRPr="00990FB6">
              <w:rPr>
                <w:color w:val="000000"/>
                <w:sz w:val="22"/>
                <w:szCs w:val="22"/>
                <w:lang w:eastAsia="es-CR"/>
              </w:rPr>
              <w:t>Siquirres</w:t>
            </w:r>
          </w:p>
        </w:tc>
      </w:tr>
      <w:tr w:rsidR="00B15F7D" w:rsidRPr="00990FB6" w14:paraId="714A327F"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F066576"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36F3DFA"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DA97F0E"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A7C10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49B9FB1" w14:textId="77777777" w:rsidR="00B15F7D" w:rsidRPr="00990FB6" w:rsidRDefault="00B15F7D" w:rsidP="00B15F7D">
            <w:pPr>
              <w:rPr>
                <w:color w:val="000000"/>
                <w:sz w:val="22"/>
                <w:szCs w:val="22"/>
                <w:lang w:eastAsia="es-CR"/>
              </w:rPr>
            </w:pPr>
            <w:r w:rsidRPr="00990FB6">
              <w:rPr>
                <w:color w:val="000000"/>
                <w:sz w:val="22"/>
                <w:szCs w:val="22"/>
                <w:lang w:eastAsia="es-CR"/>
              </w:rPr>
              <w:t>Turrialba</w:t>
            </w:r>
          </w:p>
        </w:tc>
      </w:tr>
      <w:tr w:rsidR="00B15F7D" w:rsidRPr="00990FB6" w14:paraId="00906DC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680333D"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3F3A83CD"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2DF24BE"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5915B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474D15B" w14:textId="77777777" w:rsidR="00B15F7D" w:rsidRPr="00990FB6" w:rsidRDefault="00B15F7D" w:rsidP="00B15F7D">
            <w:pPr>
              <w:rPr>
                <w:color w:val="000000"/>
                <w:sz w:val="22"/>
                <w:szCs w:val="22"/>
                <w:lang w:eastAsia="es-CR"/>
              </w:rPr>
            </w:pPr>
            <w:r w:rsidRPr="00990FB6">
              <w:rPr>
                <w:color w:val="000000"/>
                <w:sz w:val="22"/>
                <w:szCs w:val="22"/>
                <w:lang w:eastAsia="es-CR"/>
              </w:rPr>
              <w:t>Cañas</w:t>
            </w:r>
          </w:p>
        </w:tc>
      </w:tr>
      <w:tr w:rsidR="00B15F7D" w:rsidRPr="00990FB6" w14:paraId="554936C3"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FD0E780"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C4E02C6"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7CD531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AF9D8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E01C757" w14:textId="77777777" w:rsidR="00B15F7D" w:rsidRPr="00990FB6" w:rsidRDefault="00B15F7D" w:rsidP="00B15F7D">
            <w:pPr>
              <w:rPr>
                <w:color w:val="000000"/>
                <w:sz w:val="22"/>
                <w:szCs w:val="22"/>
                <w:lang w:eastAsia="es-CR"/>
              </w:rPr>
            </w:pPr>
            <w:r w:rsidRPr="00990FB6">
              <w:rPr>
                <w:color w:val="000000"/>
                <w:sz w:val="22"/>
                <w:szCs w:val="22"/>
                <w:lang w:val="pt-BR" w:eastAsia="es-CR"/>
              </w:rPr>
              <w:t>Santa Cruz</w:t>
            </w:r>
          </w:p>
        </w:tc>
      </w:tr>
      <w:tr w:rsidR="00B15F7D" w:rsidRPr="00990FB6" w14:paraId="6453A8BD"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4C6AEE1"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052FD7FE"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77DCE45"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05ED9D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1D931AD" w14:textId="77777777" w:rsidR="00B15F7D" w:rsidRPr="00990FB6" w:rsidRDefault="00B15F7D" w:rsidP="00B15F7D">
            <w:pPr>
              <w:rPr>
                <w:color w:val="000000"/>
                <w:sz w:val="22"/>
                <w:szCs w:val="22"/>
                <w:lang w:eastAsia="es-CR"/>
              </w:rPr>
            </w:pPr>
            <w:r w:rsidRPr="00990FB6">
              <w:rPr>
                <w:color w:val="000000"/>
                <w:sz w:val="22"/>
                <w:szCs w:val="22"/>
                <w:lang w:eastAsia="es-CR"/>
              </w:rPr>
              <w:t>Puntarenas</w:t>
            </w:r>
          </w:p>
        </w:tc>
      </w:tr>
      <w:tr w:rsidR="00B15F7D" w:rsidRPr="00990FB6" w14:paraId="69116A2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87D5444"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B16AD56"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004A72B"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D8DD7E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5A0134F" w14:textId="77777777" w:rsidR="00B15F7D" w:rsidRPr="00990FB6" w:rsidRDefault="00B15F7D" w:rsidP="00B15F7D">
            <w:pPr>
              <w:rPr>
                <w:color w:val="000000"/>
                <w:sz w:val="22"/>
                <w:szCs w:val="22"/>
                <w:lang w:eastAsia="es-CR"/>
              </w:rPr>
            </w:pPr>
            <w:r w:rsidRPr="00990FB6">
              <w:rPr>
                <w:color w:val="000000"/>
                <w:sz w:val="22"/>
                <w:szCs w:val="22"/>
                <w:lang w:eastAsia="es-CR"/>
              </w:rPr>
              <w:t>Liberia</w:t>
            </w:r>
          </w:p>
        </w:tc>
      </w:tr>
      <w:tr w:rsidR="00B15F7D" w:rsidRPr="00990FB6" w14:paraId="113E1720"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C21692D"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08CCC07D"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201266C"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12BBA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5A8367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Guápiles </w:t>
            </w:r>
          </w:p>
        </w:tc>
      </w:tr>
      <w:tr w:rsidR="00B15F7D" w:rsidRPr="00990FB6" w14:paraId="31879FB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1609DA54"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30988BB"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FCF3AF5"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C15BE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9425A1B" w14:textId="77777777" w:rsidR="00B15F7D" w:rsidRPr="00990FB6" w:rsidRDefault="00B15F7D" w:rsidP="00B15F7D">
            <w:pPr>
              <w:rPr>
                <w:color w:val="000000"/>
                <w:sz w:val="22"/>
                <w:szCs w:val="22"/>
                <w:lang w:eastAsia="es-CR"/>
              </w:rPr>
            </w:pPr>
            <w:r w:rsidRPr="00990FB6">
              <w:rPr>
                <w:color w:val="000000"/>
                <w:sz w:val="22"/>
                <w:szCs w:val="22"/>
                <w:lang w:eastAsia="es-CR"/>
              </w:rPr>
              <w:t>Limón</w:t>
            </w:r>
          </w:p>
        </w:tc>
      </w:tr>
      <w:tr w:rsidR="00B15F7D" w:rsidRPr="00990FB6" w14:paraId="2B46C824"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B07FF03"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3CCED867"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650B7B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1A5C31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F397B95" w14:textId="77777777" w:rsidR="00B15F7D" w:rsidRPr="00990FB6" w:rsidRDefault="00B15F7D" w:rsidP="00B15F7D">
            <w:pPr>
              <w:rPr>
                <w:color w:val="000000"/>
                <w:sz w:val="22"/>
                <w:szCs w:val="22"/>
                <w:lang w:eastAsia="es-CR"/>
              </w:rPr>
            </w:pPr>
            <w:r w:rsidRPr="00990FB6">
              <w:rPr>
                <w:color w:val="000000"/>
                <w:sz w:val="22"/>
                <w:szCs w:val="22"/>
                <w:lang w:eastAsia="es-CR"/>
              </w:rPr>
              <w:t>Pavas</w:t>
            </w:r>
          </w:p>
        </w:tc>
      </w:tr>
      <w:tr w:rsidR="00B15F7D" w:rsidRPr="00990FB6" w14:paraId="3D97718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578CBB8"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62C25FE"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6BA341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06C9C9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1BFFE9D"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r>
      <w:tr w:rsidR="00B15F7D" w:rsidRPr="00990FB6" w14:paraId="3AC42C6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5EB0D20"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5638799"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655E5E7"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861A9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5A80B3F"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Alajuela </w:t>
            </w:r>
          </w:p>
        </w:tc>
      </w:tr>
      <w:tr w:rsidR="00B15F7D" w:rsidRPr="00990FB6" w14:paraId="6DD5DF1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12E948D0"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A9B06AB"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85B7CF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8D5644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D749DC8" w14:textId="77777777" w:rsidR="00B15F7D" w:rsidRPr="00990FB6" w:rsidRDefault="00B15F7D" w:rsidP="00B15F7D">
            <w:pPr>
              <w:rPr>
                <w:color w:val="000000"/>
                <w:sz w:val="22"/>
                <w:szCs w:val="22"/>
                <w:lang w:eastAsia="es-CR"/>
              </w:rPr>
            </w:pPr>
            <w:r w:rsidRPr="00990FB6">
              <w:rPr>
                <w:color w:val="000000"/>
                <w:sz w:val="22"/>
                <w:szCs w:val="22"/>
                <w:lang w:eastAsia="es-CR"/>
              </w:rPr>
              <w:t>Cartago</w:t>
            </w:r>
          </w:p>
        </w:tc>
      </w:tr>
      <w:tr w:rsidR="00B15F7D" w:rsidRPr="00990FB6" w14:paraId="062D5DC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0DC629A"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1BF817D"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AD7868F"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951CF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2A0997F" w14:textId="77777777" w:rsidR="00B15F7D" w:rsidRPr="00990FB6" w:rsidRDefault="00B15F7D" w:rsidP="00B15F7D">
            <w:pPr>
              <w:rPr>
                <w:color w:val="000000"/>
                <w:sz w:val="22"/>
                <w:szCs w:val="22"/>
                <w:lang w:eastAsia="es-CR"/>
              </w:rPr>
            </w:pPr>
            <w:r w:rsidRPr="00990FB6">
              <w:rPr>
                <w:color w:val="000000"/>
                <w:sz w:val="22"/>
                <w:szCs w:val="22"/>
                <w:lang w:eastAsia="es-CR"/>
              </w:rPr>
              <w:t>Golfito</w:t>
            </w:r>
          </w:p>
        </w:tc>
      </w:tr>
      <w:tr w:rsidR="00B15F7D" w:rsidRPr="00990FB6" w14:paraId="339772A2" w14:textId="77777777" w:rsidTr="000A0C22">
        <w:trPr>
          <w:trHeight w:val="20"/>
        </w:trPr>
        <w:tc>
          <w:tcPr>
            <w:tcW w:w="27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57451F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br/>
              <w:t>927- Servicio Jurisdiccional</w:t>
            </w:r>
          </w:p>
        </w:tc>
        <w:tc>
          <w:tcPr>
            <w:tcW w:w="80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A788DE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DE89A5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Juez/a 2</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F765AD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A86E1F6" w14:textId="77777777" w:rsidR="00B15F7D" w:rsidRPr="00990FB6" w:rsidRDefault="00B15F7D" w:rsidP="00B15F7D">
            <w:pPr>
              <w:rPr>
                <w:color w:val="000000"/>
                <w:sz w:val="22"/>
                <w:szCs w:val="22"/>
                <w:lang w:eastAsia="es-CR"/>
              </w:rPr>
            </w:pPr>
            <w:r w:rsidRPr="00990FB6">
              <w:rPr>
                <w:color w:val="000000"/>
                <w:sz w:val="22"/>
                <w:szCs w:val="22"/>
                <w:lang w:eastAsia="es-CR"/>
              </w:rPr>
              <w:t>Alajuela (Ejecución de la Pena)</w:t>
            </w:r>
          </w:p>
        </w:tc>
      </w:tr>
      <w:tr w:rsidR="00B15F7D" w:rsidRPr="00990FB6" w14:paraId="46DDAE2D"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41589A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br/>
              <w:t>927- Servicio Jurisdiccional</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94E3BC8"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4</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958546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Juez/a 1 trámite</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CA9D63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A8BF909" w14:textId="77777777" w:rsidR="00B15F7D" w:rsidRPr="00990FB6" w:rsidRDefault="00B15F7D" w:rsidP="00B15F7D">
            <w:pPr>
              <w:rPr>
                <w:color w:val="000000"/>
                <w:sz w:val="22"/>
                <w:szCs w:val="22"/>
                <w:lang w:eastAsia="es-CR"/>
              </w:rPr>
            </w:pPr>
            <w:r w:rsidRPr="00990FB6">
              <w:rPr>
                <w:color w:val="000000"/>
                <w:sz w:val="22"/>
                <w:szCs w:val="22"/>
                <w:lang w:eastAsia="es-CR"/>
              </w:rPr>
              <w:t>Limón</w:t>
            </w:r>
          </w:p>
        </w:tc>
      </w:tr>
      <w:tr w:rsidR="00B15F7D" w:rsidRPr="00990FB6" w14:paraId="3672696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16FE15E"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C25B800"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E10C492"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451F68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76B3239" w14:textId="77777777" w:rsidR="00B15F7D" w:rsidRPr="00990FB6" w:rsidRDefault="00B15F7D" w:rsidP="00B15F7D">
            <w:pPr>
              <w:rPr>
                <w:color w:val="000000"/>
                <w:sz w:val="22"/>
                <w:szCs w:val="22"/>
                <w:lang w:eastAsia="es-CR"/>
              </w:rPr>
            </w:pPr>
            <w:r w:rsidRPr="00990FB6">
              <w:rPr>
                <w:color w:val="000000"/>
                <w:sz w:val="22"/>
                <w:szCs w:val="22"/>
                <w:lang w:eastAsia="es-CR"/>
              </w:rPr>
              <w:t>Goicoechea</w:t>
            </w:r>
          </w:p>
        </w:tc>
      </w:tr>
      <w:tr w:rsidR="00B15F7D" w:rsidRPr="00990FB6" w14:paraId="375C674F"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E41A2AD"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70AAB08"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F4FFFC4"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B13BB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F1F1B06"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r>
      <w:tr w:rsidR="00B15F7D" w:rsidRPr="00990FB6" w14:paraId="44008E13"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6EF40907"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30B4EC0"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3D8E34F"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29513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C09EE1D"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Alajuela </w:t>
            </w:r>
          </w:p>
        </w:tc>
      </w:tr>
      <w:tr w:rsidR="00B15F7D" w:rsidRPr="00990FB6" w14:paraId="111E0369"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45749F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br/>
              <w:t>927- Servicio Jurisdiccional</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3BC70A1"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37</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F398E4D"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Técnico(a) Judicial 3</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E151A8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AA899B8" w14:textId="77777777" w:rsidR="00B15F7D" w:rsidRPr="00990FB6" w:rsidRDefault="00B15F7D" w:rsidP="00B15F7D">
            <w:pPr>
              <w:rPr>
                <w:color w:val="000000"/>
                <w:sz w:val="22"/>
                <w:szCs w:val="22"/>
                <w:lang w:eastAsia="es-CR"/>
              </w:rPr>
            </w:pPr>
            <w:r w:rsidRPr="00990FB6">
              <w:rPr>
                <w:color w:val="000000"/>
                <w:sz w:val="22"/>
                <w:szCs w:val="22"/>
                <w:lang w:eastAsia="es-CR"/>
              </w:rPr>
              <w:t>Quepos</w:t>
            </w:r>
          </w:p>
        </w:tc>
      </w:tr>
      <w:tr w:rsidR="00B15F7D" w:rsidRPr="00990FB6" w14:paraId="1F59E79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775854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028695C4"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02C30B0"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A5471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48221DC" w14:textId="77777777" w:rsidR="00B15F7D" w:rsidRPr="00990FB6" w:rsidRDefault="00B15F7D" w:rsidP="00B15F7D">
            <w:pPr>
              <w:rPr>
                <w:color w:val="000000"/>
                <w:sz w:val="22"/>
                <w:szCs w:val="22"/>
                <w:lang w:eastAsia="es-CR"/>
              </w:rPr>
            </w:pPr>
            <w:r w:rsidRPr="00990FB6">
              <w:rPr>
                <w:color w:val="000000"/>
                <w:sz w:val="22"/>
                <w:szCs w:val="22"/>
                <w:lang w:eastAsia="es-CR"/>
              </w:rPr>
              <w:t>Sarapiquí</w:t>
            </w:r>
          </w:p>
        </w:tc>
      </w:tr>
      <w:tr w:rsidR="00B15F7D" w:rsidRPr="00990FB6" w14:paraId="26BFDC3B"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71555B4"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885C4C9"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EDB5086"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EAD08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F1A15B6" w14:textId="77777777" w:rsidR="00B15F7D" w:rsidRPr="00990FB6" w:rsidRDefault="00B15F7D" w:rsidP="00B15F7D">
            <w:pPr>
              <w:rPr>
                <w:color w:val="000000"/>
                <w:sz w:val="22"/>
                <w:szCs w:val="22"/>
                <w:lang w:eastAsia="es-CR"/>
              </w:rPr>
            </w:pPr>
            <w:r w:rsidRPr="00990FB6">
              <w:rPr>
                <w:color w:val="000000"/>
                <w:sz w:val="22"/>
                <w:szCs w:val="22"/>
                <w:lang w:eastAsia="es-CR"/>
              </w:rPr>
              <w:t>Siquirres</w:t>
            </w:r>
          </w:p>
        </w:tc>
      </w:tr>
      <w:tr w:rsidR="00B15F7D" w:rsidRPr="00990FB6" w14:paraId="06846B4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97099AE"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FC45E4F"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B62DC16"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AA1F43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2237D22" w14:textId="77777777" w:rsidR="00B15F7D" w:rsidRPr="00990FB6" w:rsidRDefault="00B15F7D" w:rsidP="00B15F7D">
            <w:pPr>
              <w:rPr>
                <w:color w:val="000000"/>
                <w:sz w:val="22"/>
                <w:szCs w:val="22"/>
                <w:lang w:eastAsia="es-CR"/>
              </w:rPr>
            </w:pPr>
            <w:r w:rsidRPr="00990FB6">
              <w:rPr>
                <w:color w:val="000000"/>
                <w:sz w:val="22"/>
                <w:szCs w:val="22"/>
                <w:lang w:eastAsia="es-CR"/>
              </w:rPr>
              <w:t>Turrialba</w:t>
            </w:r>
          </w:p>
        </w:tc>
      </w:tr>
      <w:tr w:rsidR="00B15F7D" w:rsidRPr="00990FB6" w14:paraId="23BA213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1153CAB"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6C541D7"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87BA728"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AC859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30C8E40" w14:textId="77777777" w:rsidR="00B15F7D" w:rsidRPr="00990FB6" w:rsidRDefault="00B15F7D" w:rsidP="00B15F7D">
            <w:pPr>
              <w:rPr>
                <w:color w:val="000000"/>
                <w:sz w:val="22"/>
                <w:szCs w:val="22"/>
                <w:lang w:eastAsia="es-CR"/>
              </w:rPr>
            </w:pPr>
            <w:r w:rsidRPr="00990FB6">
              <w:rPr>
                <w:color w:val="000000"/>
                <w:sz w:val="22"/>
                <w:szCs w:val="22"/>
                <w:lang w:eastAsia="es-CR"/>
              </w:rPr>
              <w:t>Cañas</w:t>
            </w:r>
          </w:p>
        </w:tc>
      </w:tr>
      <w:tr w:rsidR="00B15F7D" w:rsidRPr="00990FB6" w14:paraId="1CFD5F66"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69A01E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D4774C6"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957ADD1"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3B3F5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9D49FA5" w14:textId="77777777" w:rsidR="00B15F7D" w:rsidRPr="00990FB6" w:rsidRDefault="00B15F7D" w:rsidP="00B15F7D">
            <w:pPr>
              <w:rPr>
                <w:color w:val="000000"/>
                <w:sz w:val="22"/>
                <w:szCs w:val="22"/>
                <w:lang w:eastAsia="es-CR"/>
              </w:rPr>
            </w:pPr>
            <w:r w:rsidRPr="00990FB6">
              <w:rPr>
                <w:color w:val="000000"/>
                <w:sz w:val="22"/>
                <w:szCs w:val="22"/>
                <w:lang w:val="pt-BR" w:eastAsia="es-CR"/>
              </w:rPr>
              <w:t>Santa Cruz</w:t>
            </w:r>
          </w:p>
        </w:tc>
      </w:tr>
      <w:tr w:rsidR="00B15F7D" w:rsidRPr="00990FB6" w14:paraId="174D538B"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F41997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2A8E955"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50C34D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0535F6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9803A68" w14:textId="77777777" w:rsidR="00B15F7D" w:rsidRPr="00990FB6" w:rsidRDefault="00B15F7D" w:rsidP="00B15F7D">
            <w:pPr>
              <w:rPr>
                <w:color w:val="000000"/>
                <w:sz w:val="22"/>
                <w:szCs w:val="22"/>
                <w:lang w:eastAsia="es-CR"/>
              </w:rPr>
            </w:pPr>
            <w:r w:rsidRPr="00990FB6">
              <w:rPr>
                <w:color w:val="000000"/>
                <w:sz w:val="22"/>
                <w:szCs w:val="22"/>
                <w:lang w:eastAsia="es-CR"/>
              </w:rPr>
              <w:t>Puntarenas</w:t>
            </w:r>
          </w:p>
        </w:tc>
      </w:tr>
      <w:tr w:rsidR="00B15F7D" w:rsidRPr="00990FB6" w14:paraId="487741C8"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C8AB1F9"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3FDA52F5"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5AD4F01"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4BCB6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6B4FDBE" w14:textId="77777777" w:rsidR="00B15F7D" w:rsidRPr="00990FB6" w:rsidRDefault="00B15F7D" w:rsidP="00B15F7D">
            <w:pPr>
              <w:rPr>
                <w:color w:val="000000"/>
                <w:sz w:val="22"/>
                <w:szCs w:val="22"/>
                <w:lang w:eastAsia="es-CR"/>
              </w:rPr>
            </w:pPr>
            <w:r w:rsidRPr="00990FB6">
              <w:rPr>
                <w:color w:val="000000"/>
                <w:sz w:val="22"/>
                <w:szCs w:val="22"/>
                <w:lang w:eastAsia="es-CR"/>
              </w:rPr>
              <w:t>Liberia</w:t>
            </w:r>
          </w:p>
        </w:tc>
      </w:tr>
      <w:tr w:rsidR="00B15F7D" w:rsidRPr="00990FB6" w14:paraId="5153BD1B"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22374BE"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54263C1"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EF9CEF0"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0848F4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879523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Guápiles </w:t>
            </w:r>
          </w:p>
        </w:tc>
      </w:tr>
      <w:tr w:rsidR="00B15F7D" w:rsidRPr="00990FB6" w14:paraId="58E0EA1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148A865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1503655"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D41315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90EEE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CDA2C42" w14:textId="77777777" w:rsidR="00B15F7D" w:rsidRPr="00990FB6" w:rsidRDefault="00B15F7D" w:rsidP="00B15F7D">
            <w:pPr>
              <w:rPr>
                <w:color w:val="000000"/>
                <w:sz w:val="22"/>
                <w:szCs w:val="22"/>
                <w:lang w:eastAsia="es-CR"/>
              </w:rPr>
            </w:pPr>
            <w:r w:rsidRPr="00990FB6">
              <w:rPr>
                <w:color w:val="000000"/>
                <w:sz w:val="22"/>
                <w:szCs w:val="22"/>
                <w:lang w:eastAsia="es-CR"/>
              </w:rPr>
              <w:t>Limón</w:t>
            </w:r>
          </w:p>
        </w:tc>
      </w:tr>
      <w:tr w:rsidR="00B15F7D" w:rsidRPr="00990FB6" w14:paraId="6EEDA408"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7808563"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88A006E"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513F5127"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519332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2CC9E9C" w14:textId="77777777" w:rsidR="00B15F7D" w:rsidRPr="00990FB6" w:rsidRDefault="00B15F7D" w:rsidP="00B15F7D">
            <w:pPr>
              <w:rPr>
                <w:color w:val="000000"/>
                <w:sz w:val="22"/>
                <w:szCs w:val="22"/>
                <w:lang w:eastAsia="es-CR"/>
              </w:rPr>
            </w:pPr>
            <w:r w:rsidRPr="00990FB6">
              <w:rPr>
                <w:color w:val="000000"/>
                <w:sz w:val="22"/>
                <w:szCs w:val="22"/>
                <w:lang w:eastAsia="es-CR"/>
              </w:rPr>
              <w:t>Pavas</w:t>
            </w:r>
          </w:p>
        </w:tc>
      </w:tr>
      <w:tr w:rsidR="00B15F7D" w:rsidRPr="00990FB6" w14:paraId="7AF143AA"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DBAAD2F"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D92BBAA"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1364F90"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B9702E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0</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B565B17" w14:textId="77777777" w:rsidR="00B15F7D" w:rsidRPr="00990FB6" w:rsidRDefault="00B15F7D" w:rsidP="00B15F7D">
            <w:pPr>
              <w:rPr>
                <w:color w:val="000000"/>
                <w:sz w:val="22"/>
                <w:szCs w:val="22"/>
                <w:lang w:eastAsia="es-CR"/>
              </w:rPr>
            </w:pPr>
            <w:r w:rsidRPr="00990FB6">
              <w:rPr>
                <w:color w:val="000000"/>
                <w:sz w:val="22"/>
                <w:szCs w:val="22"/>
                <w:lang w:eastAsia="es-CR"/>
              </w:rPr>
              <w:t>Goicoechea</w:t>
            </w:r>
          </w:p>
        </w:tc>
      </w:tr>
      <w:tr w:rsidR="00B15F7D" w:rsidRPr="00990FB6" w14:paraId="0903DFA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14BDC772"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F992F76"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2BEB3E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908B6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E5409AC"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r>
      <w:tr w:rsidR="00B15F7D" w:rsidRPr="00990FB6" w14:paraId="78CA21D0"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4A6FCA6"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537725A"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B2ABEE2"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1E9DC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3B4C3D8" w14:textId="77777777" w:rsidR="00B15F7D" w:rsidRPr="00990FB6" w:rsidRDefault="00B15F7D" w:rsidP="00B15F7D">
            <w:pPr>
              <w:rPr>
                <w:color w:val="000000"/>
                <w:sz w:val="22"/>
                <w:szCs w:val="22"/>
                <w:lang w:eastAsia="es-CR"/>
              </w:rPr>
            </w:pPr>
            <w:r w:rsidRPr="00990FB6">
              <w:rPr>
                <w:color w:val="000000"/>
                <w:sz w:val="22"/>
                <w:szCs w:val="22"/>
                <w:lang w:eastAsia="es-CR"/>
              </w:rPr>
              <w:t>Nicoya</w:t>
            </w:r>
          </w:p>
        </w:tc>
      </w:tr>
      <w:tr w:rsidR="00B15F7D" w:rsidRPr="00990FB6" w14:paraId="67CE8A3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D801B93"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36AECFB6"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B6355F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hideMark/>
          </w:tcPr>
          <w:p w14:paraId="5CE54D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hideMark/>
          </w:tcPr>
          <w:p w14:paraId="63DB1C03" w14:textId="77777777" w:rsidR="00B15F7D" w:rsidRPr="00990FB6" w:rsidRDefault="00B15F7D" w:rsidP="00B15F7D">
            <w:pPr>
              <w:rPr>
                <w:color w:val="000000"/>
                <w:sz w:val="22"/>
                <w:szCs w:val="22"/>
                <w:lang w:eastAsia="es-CR"/>
              </w:rPr>
            </w:pPr>
            <w:r w:rsidRPr="00990FB6">
              <w:rPr>
                <w:color w:val="000000"/>
                <w:sz w:val="22"/>
                <w:szCs w:val="22"/>
                <w:lang w:eastAsia="es-CR"/>
              </w:rPr>
              <w:t>San Ramón (Flagrancia)</w:t>
            </w:r>
          </w:p>
        </w:tc>
      </w:tr>
      <w:tr w:rsidR="00B15F7D" w:rsidRPr="00990FB6" w14:paraId="1CA35AE9"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99A1641"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754C27C"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9B5E716"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26F21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C5B10E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Alajuela </w:t>
            </w:r>
          </w:p>
        </w:tc>
      </w:tr>
      <w:tr w:rsidR="00B15F7D" w:rsidRPr="00990FB6" w14:paraId="0EBD01F5"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1E367F3"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C179DCF"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10DE172"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C8EA4A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750B85A" w14:textId="77777777" w:rsidR="00B15F7D" w:rsidRPr="00990FB6" w:rsidRDefault="00B15F7D" w:rsidP="00B15F7D">
            <w:pPr>
              <w:rPr>
                <w:color w:val="000000"/>
                <w:sz w:val="22"/>
                <w:szCs w:val="22"/>
                <w:lang w:eastAsia="es-CR"/>
              </w:rPr>
            </w:pPr>
            <w:r w:rsidRPr="00990FB6">
              <w:rPr>
                <w:color w:val="000000"/>
                <w:sz w:val="22"/>
                <w:szCs w:val="22"/>
                <w:lang w:eastAsia="es-CR"/>
              </w:rPr>
              <w:t>Cartago</w:t>
            </w:r>
          </w:p>
        </w:tc>
      </w:tr>
      <w:tr w:rsidR="00B15F7D" w:rsidRPr="00990FB6" w14:paraId="1A0E47BA"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400BC6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B481E7F"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8C6C3A2"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C4BDA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51D2482" w14:textId="77777777" w:rsidR="00B15F7D" w:rsidRPr="00990FB6" w:rsidRDefault="00B15F7D" w:rsidP="00B15F7D">
            <w:pPr>
              <w:rPr>
                <w:color w:val="000000"/>
                <w:sz w:val="22"/>
                <w:szCs w:val="22"/>
                <w:lang w:eastAsia="es-CR"/>
              </w:rPr>
            </w:pPr>
            <w:r w:rsidRPr="00990FB6">
              <w:rPr>
                <w:color w:val="000000"/>
                <w:sz w:val="22"/>
                <w:szCs w:val="22"/>
                <w:lang w:eastAsia="es-CR"/>
              </w:rPr>
              <w:t>Golfito</w:t>
            </w:r>
          </w:p>
        </w:tc>
      </w:tr>
      <w:tr w:rsidR="00B15F7D" w:rsidRPr="00990FB6" w14:paraId="09A28037" w14:textId="77777777" w:rsidTr="000A0C22">
        <w:trPr>
          <w:trHeight w:val="20"/>
        </w:trPr>
        <w:tc>
          <w:tcPr>
            <w:tcW w:w="27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0E25C66"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927- Servicio Jurisdiccional</w:t>
            </w:r>
          </w:p>
        </w:tc>
        <w:tc>
          <w:tcPr>
            <w:tcW w:w="80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6FF86E0"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3E626B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Coordinador Judicial 2</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F678D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2AA483F" w14:textId="77777777" w:rsidR="00B15F7D" w:rsidRPr="00990FB6" w:rsidRDefault="00B15F7D" w:rsidP="00B15F7D">
            <w:pPr>
              <w:rPr>
                <w:color w:val="000000"/>
                <w:sz w:val="22"/>
                <w:szCs w:val="22"/>
                <w:lang w:eastAsia="es-CR"/>
              </w:rPr>
            </w:pPr>
            <w:r w:rsidRPr="00990FB6">
              <w:rPr>
                <w:color w:val="000000"/>
                <w:sz w:val="22"/>
                <w:szCs w:val="22"/>
                <w:lang w:eastAsia="es-CR"/>
              </w:rPr>
              <w:t>Liberia (Ejecución de la Pena)</w:t>
            </w:r>
          </w:p>
        </w:tc>
      </w:tr>
      <w:tr w:rsidR="00B15F7D" w:rsidRPr="00990FB6" w14:paraId="3F86BB1E"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A1D840A"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lastRenderedPageBreak/>
              <w:t>927- Servicio Jurisdiccional</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95F471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5</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737979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Técnico(a) Judicial 2</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AC08D2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7F4A5BB" w14:textId="77777777" w:rsidR="00B15F7D" w:rsidRPr="00990FB6" w:rsidRDefault="00B15F7D" w:rsidP="00B15F7D">
            <w:pPr>
              <w:rPr>
                <w:color w:val="000000"/>
                <w:sz w:val="22"/>
                <w:szCs w:val="22"/>
                <w:lang w:eastAsia="es-CR"/>
              </w:rPr>
            </w:pPr>
            <w:r w:rsidRPr="00990FB6">
              <w:rPr>
                <w:color w:val="000000"/>
                <w:sz w:val="22"/>
                <w:szCs w:val="22"/>
                <w:lang w:eastAsia="es-CR"/>
              </w:rPr>
              <w:t>Alajuela (Ejecución de la Pena)</w:t>
            </w:r>
          </w:p>
        </w:tc>
      </w:tr>
      <w:tr w:rsidR="00B15F7D" w:rsidRPr="00990FB6" w14:paraId="360F5EF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EC552FA"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30D1BEE"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8F574DF"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B9148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F9F1C5A" w14:textId="77777777" w:rsidR="00B15F7D" w:rsidRPr="00990FB6" w:rsidRDefault="00B15F7D" w:rsidP="00B15F7D">
            <w:pPr>
              <w:rPr>
                <w:color w:val="000000"/>
                <w:sz w:val="22"/>
                <w:szCs w:val="22"/>
                <w:lang w:eastAsia="es-CR"/>
              </w:rPr>
            </w:pPr>
            <w:r w:rsidRPr="00990FB6">
              <w:rPr>
                <w:color w:val="000000"/>
                <w:sz w:val="22"/>
                <w:szCs w:val="22"/>
                <w:lang w:eastAsia="es-CR"/>
              </w:rPr>
              <w:t>Puntarenas (Ejecución de la Pena)</w:t>
            </w:r>
          </w:p>
        </w:tc>
      </w:tr>
      <w:tr w:rsidR="00B15F7D" w:rsidRPr="00990FB6" w14:paraId="2B128E4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6BA30E0"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FF1B560"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6C7FFF6"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1B3634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9F44546" w14:textId="77777777" w:rsidR="00B15F7D" w:rsidRPr="00990FB6" w:rsidRDefault="00B15F7D" w:rsidP="00B15F7D">
            <w:pPr>
              <w:rPr>
                <w:color w:val="000000"/>
                <w:sz w:val="22"/>
                <w:szCs w:val="22"/>
                <w:lang w:eastAsia="es-CR"/>
              </w:rPr>
            </w:pPr>
            <w:r w:rsidRPr="00990FB6">
              <w:rPr>
                <w:color w:val="000000"/>
                <w:sz w:val="22"/>
                <w:szCs w:val="22"/>
                <w:lang w:eastAsia="es-CR"/>
              </w:rPr>
              <w:t>Pococí (Ejecución de la Pena)</w:t>
            </w:r>
          </w:p>
        </w:tc>
      </w:tr>
      <w:tr w:rsidR="00B15F7D" w:rsidRPr="00990FB6" w14:paraId="0E8657B1"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1E84F53"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928-OIJ</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837D25B"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24</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08DD78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Custodios de detenidos</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C9271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919D17D" w14:textId="77777777" w:rsidR="00B15F7D" w:rsidRPr="00990FB6" w:rsidRDefault="00B15F7D" w:rsidP="00B15F7D">
            <w:pPr>
              <w:rPr>
                <w:color w:val="000000"/>
                <w:sz w:val="22"/>
                <w:szCs w:val="22"/>
                <w:lang w:eastAsia="es-CR"/>
              </w:rPr>
            </w:pPr>
            <w:r w:rsidRPr="00990FB6">
              <w:rPr>
                <w:color w:val="000000"/>
                <w:sz w:val="22"/>
                <w:szCs w:val="22"/>
                <w:lang w:eastAsia="es-CR"/>
              </w:rPr>
              <w:t>Sarapiquí</w:t>
            </w:r>
          </w:p>
        </w:tc>
      </w:tr>
      <w:tr w:rsidR="00B15F7D" w:rsidRPr="00990FB6" w14:paraId="75FF68C3"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2DEEC61"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D1F1F3A"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DFDD3AE"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DAE8B5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C251766" w14:textId="77777777" w:rsidR="00B15F7D" w:rsidRPr="00990FB6" w:rsidRDefault="00B15F7D" w:rsidP="00B15F7D">
            <w:pPr>
              <w:rPr>
                <w:color w:val="000000"/>
                <w:sz w:val="22"/>
                <w:szCs w:val="22"/>
                <w:lang w:eastAsia="es-CR"/>
              </w:rPr>
            </w:pPr>
            <w:r w:rsidRPr="00990FB6">
              <w:rPr>
                <w:color w:val="000000"/>
                <w:sz w:val="22"/>
                <w:szCs w:val="22"/>
                <w:lang w:eastAsia="es-CR"/>
              </w:rPr>
              <w:t>Siquirres</w:t>
            </w:r>
          </w:p>
        </w:tc>
      </w:tr>
      <w:tr w:rsidR="00B15F7D" w:rsidRPr="00990FB6" w14:paraId="172DB80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6262F05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08AAD18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C343FE5"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B83FB9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157FA65" w14:textId="77777777" w:rsidR="00B15F7D" w:rsidRPr="00990FB6" w:rsidRDefault="00B15F7D" w:rsidP="00B15F7D">
            <w:pPr>
              <w:rPr>
                <w:color w:val="000000"/>
                <w:sz w:val="22"/>
                <w:szCs w:val="22"/>
                <w:lang w:eastAsia="es-CR"/>
              </w:rPr>
            </w:pPr>
            <w:r w:rsidRPr="00990FB6">
              <w:rPr>
                <w:color w:val="000000"/>
                <w:sz w:val="22"/>
                <w:szCs w:val="22"/>
                <w:lang w:eastAsia="es-CR"/>
              </w:rPr>
              <w:t>Turrialba</w:t>
            </w:r>
          </w:p>
        </w:tc>
      </w:tr>
      <w:tr w:rsidR="00B15F7D" w:rsidRPr="00990FB6" w14:paraId="1771853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FFAAFE0"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F3A0674"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5016876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B56410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709A0FC" w14:textId="77777777" w:rsidR="00B15F7D" w:rsidRPr="00990FB6" w:rsidRDefault="00B15F7D" w:rsidP="00B15F7D">
            <w:pPr>
              <w:rPr>
                <w:color w:val="000000"/>
                <w:sz w:val="22"/>
                <w:szCs w:val="22"/>
                <w:lang w:eastAsia="es-CR"/>
              </w:rPr>
            </w:pPr>
            <w:r w:rsidRPr="00990FB6">
              <w:rPr>
                <w:color w:val="000000"/>
                <w:sz w:val="22"/>
                <w:szCs w:val="22"/>
                <w:lang w:eastAsia="es-CR"/>
              </w:rPr>
              <w:t>Cañas</w:t>
            </w:r>
          </w:p>
        </w:tc>
      </w:tr>
      <w:tr w:rsidR="00B15F7D" w:rsidRPr="00990FB6" w14:paraId="14BF534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90F71A1"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0871C9B"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A614E8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20EAA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7B563B8" w14:textId="77777777" w:rsidR="00B15F7D" w:rsidRPr="00990FB6" w:rsidRDefault="00B15F7D" w:rsidP="00B15F7D">
            <w:pPr>
              <w:rPr>
                <w:color w:val="000000"/>
                <w:sz w:val="22"/>
                <w:szCs w:val="22"/>
                <w:lang w:eastAsia="es-CR"/>
              </w:rPr>
            </w:pPr>
            <w:r w:rsidRPr="00990FB6">
              <w:rPr>
                <w:color w:val="000000"/>
                <w:sz w:val="22"/>
                <w:szCs w:val="22"/>
                <w:lang w:val="pt-BR" w:eastAsia="es-CR"/>
              </w:rPr>
              <w:t>Santa Cruz</w:t>
            </w:r>
          </w:p>
        </w:tc>
      </w:tr>
      <w:tr w:rsidR="00B15F7D" w:rsidRPr="00990FB6" w14:paraId="26AC9283"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AEA7E92"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1066E38"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EBF499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B77DB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0368581"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Guápiles </w:t>
            </w:r>
          </w:p>
        </w:tc>
      </w:tr>
      <w:tr w:rsidR="00B15F7D" w:rsidRPr="00990FB6" w14:paraId="7E90917B"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57D6D9A"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7E287C1"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87EFD0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ABD265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574D808"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r>
      <w:tr w:rsidR="00B15F7D" w:rsidRPr="00990FB6" w14:paraId="5ACDC928"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B2A0F14"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7911B40"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4CF4DC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FE88C5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75D8BEC" w14:textId="77777777" w:rsidR="00B15F7D" w:rsidRPr="00990FB6" w:rsidRDefault="00B15F7D" w:rsidP="00B15F7D">
            <w:pPr>
              <w:rPr>
                <w:color w:val="000000"/>
                <w:sz w:val="22"/>
                <w:szCs w:val="22"/>
                <w:lang w:eastAsia="es-CR"/>
              </w:rPr>
            </w:pPr>
            <w:r w:rsidRPr="00990FB6">
              <w:rPr>
                <w:color w:val="000000"/>
                <w:sz w:val="22"/>
                <w:szCs w:val="22"/>
                <w:lang w:eastAsia="es-CR"/>
              </w:rPr>
              <w:t>Corredores</w:t>
            </w:r>
          </w:p>
        </w:tc>
      </w:tr>
      <w:tr w:rsidR="00B15F7D" w:rsidRPr="00990FB6" w14:paraId="1F671FB5"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3AAD714"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C09E20B"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5231C0A6"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9B875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4807722" w14:textId="77777777" w:rsidR="00B15F7D" w:rsidRPr="00990FB6" w:rsidRDefault="00B15F7D" w:rsidP="00B15F7D">
            <w:pPr>
              <w:rPr>
                <w:color w:val="000000"/>
                <w:sz w:val="22"/>
                <w:szCs w:val="22"/>
                <w:lang w:eastAsia="es-CR"/>
              </w:rPr>
            </w:pPr>
            <w:proofErr w:type="spellStart"/>
            <w:r w:rsidRPr="00990FB6">
              <w:rPr>
                <w:color w:val="000000"/>
                <w:sz w:val="22"/>
                <w:szCs w:val="22"/>
                <w:lang w:eastAsia="es-CR"/>
              </w:rPr>
              <w:t>Bribrí</w:t>
            </w:r>
            <w:proofErr w:type="spellEnd"/>
          </w:p>
        </w:tc>
      </w:tr>
      <w:tr w:rsidR="00B15F7D" w:rsidRPr="00990FB6" w14:paraId="0D7C266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23819C0"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D40C107"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83A010F"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4477C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577BC35" w14:textId="77777777" w:rsidR="00B15F7D" w:rsidRPr="00990FB6" w:rsidRDefault="00B15F7D" w:rsidP="00B15F7D">
            <w:pPr>
              <w:rPr>
                <w:color w:val="000000"/>
                <w:sz w:val="22"/>
                <w:szCs w:val="22"/>
                <w:lang w:eastAsia="es-CR"/>
              </w:rPr>
            </w:pPr>
            <w:r w:rsidRPr="00990FB6">
              <w:rPr>
                <w:color w:val="000000"/>
                <w:sz w:val="22"/>
                <w:szCs w:val="22"/>
                <w:lang w:eastAsia="es-CR"/>
              </w:rPr>
              <w:t>Batan</w:t>
            </w:r>
          </w:p>
        </w:tc>
      </w:tr>
      <w:tr w:rsidR="00B15F7D" w:rsidRPr="00990FB6" w14:paraId="52B4CC69"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6ED92B1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C56A849"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382C27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A6B80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92DF249" w14:textId="77777777" w:rsidR="00B15F7D" w:rsidRPr="00990FB6" w:rsidRDefault="00B15F7D" w:rsidP="00B15F7D">
            <w:pPr>
              <w:rPr>
                <w:color w:val="000000"/>
                <w:sz w:val="22"/>
                <w:szCs w:val="22"/>
                <w:lang w:eastAsia="es-CR"/>
              </w:rPr>
            </w:pPr>
            <w:r w:rsidRPr="00990FB6">
              <w:rPr>
                <w:color w:val="000000"/>
                <w:sz w:val="22"/>
                <w:szCs w:val="22"/>
                <w:lang w:eastAsia="es-CR"/>
              </w:rPr>
              <w:t>Puriscal</w:t>
            </w:r>
          </w:p>
        </w:tc>
      </w:tr>
      <w:tr w:rsidR="00B15F7D" w:rsidRPr="00990FB6" w14:paraId="716CF73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D12B594"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1CCDC0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B2132A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3A05F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A6936ED" w14:textId="77777777" w:rsidR="00B15F7D" w:rsidRPr="00990FB6" w:rsidRDefault="00B15F7D" w:rsidP="00B15F7D">
            <w:pPr>
              <w:rPr>
                <w:color w:val="000000"/>
                <w:sz w:val="22"/>
                <w:szCs w:val="22"/>
                <w:lang w:eastAsia="es-CR"/>
              </w:rPr>
            </w:pPr>
            <w:r w:rsidRPr="00990FB6">
              <w:rPr>
                <w:color w:val="000000"/>
                <w:sz w:val="22"/>
                <w:szCs w:val="22"/>
                <w:lang w:eastAsia="es-CR"/>
              </w:rPr>
              <w:t>Los Chiles</w:t>
            </w:r>
          </w:p>
        </w:tc>
      </w:tr>
      <w:tr w:rsidR="00B15F7D" w:rsidRPr="00990FB6" w14:paraId="2FAC8086"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C54E001"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F227D46"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92CCA75"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65FD72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5CDB52E" w14:textId="77777777" w:rsidR="00B15F7D" w:rsidRPr="00990FB6" w:rsidRDefault="00B15F7D" w:rsidP="00B15F7D">
            <w:pPr>
              <w:rPr>
                <w:color w:val="000000"/>
                <w:sz w:val="22"/>
                <w:szCs w:val="22"/>
                <w:lang w:eastAsia="es-CR"/>
              </w:rPr>
            </w:pPr>
            <w:r w:rsidRPr="00990FB6">
              <w:rPr>
                <w:color w:val="000000"/>
                <w:sz w:val="22"/>
                <w:szCs w:val="22"/>
                <w:lang w:eastAsia="es-CR"/>
              </w:rPr>
              <w:t>Buenos Aires</w:t>
            </w:r>
          </w:p>
        </w:tc>
      </w:tr>
      <w:tr w:rsidR="00B15F7D" w:rsidRPr="00990FB6" w14:paraId="5B9CCF06"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7CB7438"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3362C29"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048F3F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9C51B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9C0FC53" w14:textId="77777777" w:rsidR="00B15F7D" w:rsidRPr="00990FB6" w:rsidRDefault="00B15F7D" w:rsidP="00B15F7D">
            <w:pPr>
              <w:rPr>
                <w:color w:val="000000"/>
                <w:sz w:val="22"/>
                <w:szCs w:val="22"/>
                <w:lang w:eastAsia="es-CR"/>
              </w:rPr>
            </w:pPr>
            <w:r w:rsidRPr="00990FB6">
              <w:rPr>
                <w:color w:val="000000"/>
                <w:sz w:val="22"/>
                <w:szCs w:val="22"/>
                <w:lang w:eastAsia="es-CR"/>
              </w:rPr>
              <w:t>Atenas</w:t>
            </w:r>
          </w:p>
        </w:tc>
      </w:tr>
      <w:tr w:rsidR="00B15F7D" w:rsidRPr="00990FB6" w14:paraId="6A6E7FAF"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9BEEEF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929- Fiscalía General</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CE29F7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27</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D0CB6B4"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Fiscales de juicio</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BC9F7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E324ADA" w14:textId="77777777" w:rsidR="00B15F7D" w:rsidRPr="00990FB6" w:rsidRDefault="00B15F7D" w:rsidP="00B15F7D">
            <w:pPr>
              <w:rPr>
                <w:color w:val="000000"/>
                <w:sz w:val="22"/>
                <w:szCs w:val="22"/>
                <w:lang w:eastAsia="es-CR"/>
              </w:rPr>
            </w:pPr>
            <w:r w:rsidRPr="00990FB6">
              <w:rPr>
                <w:color w:val="000000"/>
                <w:sz w:val="22"/>
                <w:szCs w:val="22"/>
                <w:lang w:eastAsia="es-CR"/>
              </w:rPr>
              <w:t>Quepos</w:t>
            </w:r>
          </w:p>
        </w:tc>
      </w:tr>
      <w:tr w:rsidR="00B15F7D" w:rsidRPr="00990FB6" w14:paraId="25AA5AF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C254B6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DCA2DF8"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052597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23FD47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5C5F08E" w14:textId="77777777" w:rsidR="00B15F7D" w:rsidRPr="00990FB6" w:rsidRDefault="00B15F7D" w:rsidP="00B15F7D">
            <w:pPr>
              <w:rPr>
                <w:color w:val="000000"/>
                <w:sz w:val="22"/>
                <w:szCs w:val="22"/>
                <w:lang w:eastAsia="es-CR"/>
              </w:rPr>
            </w:pPr>
            <w:r w:rsidRPr="00990FB6">
              <w:rPr>
                <w:color w:val="000000"/>
                <w:sz w:val="22"/>
                <w:szCs w:val="22"/>
                <w:lang w:eastAsia="es-CR"/>
              </w:rPr>
              <w:t>Sarapiquí</w:t>
            </w:r>
          </w:p>
        </w:tc>
      </w:tr>
      <w:tr w:rsidR="00B15F7D" w:rsidRPr="00990FB6" w14:paraId="748F9F3F"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136FA3D9"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3CED7C92"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DD0C47A"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D0E7B8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FA6942F" w14:textId="77777777" w:rsidR="00B15F7D" w:rsidRPr="00990FB6" w:rsidRDefault="00B15F7D" w:rsidP="00B15F7D">
            <w:pPr>
              <w:rPr>
                <w:color w:val="000000"/>
                <w:sz w:val="22"/>
                <w:szCs w:val="22"/>
                <w:lang w:eastAsia="es-CR"/>
              </w:rPr>
            </w:pPr>
            <w:r w:rsidRPr="00990FB6">
              <w:rPr>
                <w:color w:val="000000"/>
                <w:sz w:val="22"/>
                <w:szCs w:val="22"/>
                <w:lang w:eastAsia="es-CR"/>
              </w:rPr>
              <w:t>Siquirres</w:t>
            </w:r>
          </w:p>
        </w:tc>
      </w:tr>
      <w:tr w:rsidR="00B15F7D" w:rsidRPr="00990FB6" w14:paraId="01D6AA8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4DD1B5D"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16F92C7"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05ECDE2"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00D3F0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737C6EA" w14:textId="77777777" w:rsidR="00B15F7D" w:rsidRPr="00990FB6" w:rsidRDefault="00B15F7D" w:rsidP="00B15F7D">
            <w:pPr>
              <w:rPr>
                <w:color w:val="000000"/>
                <w:sz w:val="22"/>
                <w:szCs w:val="22"/>
                <w:lang w:eastAsia="es-CR"/>
              </w:rPr>
            </w:pPr>
            <w:r w:rsidRPr="00990FB6">
              <w:rPr>
                <w:color w:val="000000"/>
                <w:sz w:val="22"/>
                <w:szCs w:val="22"/>
                <w:lang w:eastAsia="es-CR"/>
              </w:rPr>
              <w:t>Turrialba</w:t>
            </w:r>
          </w:p>
        </w:tc>
      </w:tr>
      <w:tr w:rsidR="00B15F7D" w:rsidRPr="00990FB6" w14:paraId="5327D44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3595E6E"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368863D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296A798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4C535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C938A27" w14:textId="77777777" w:rsidR="00B15F7D" w:rsidRPr="00990FB6" w:rsidRDefault="00B15F7D" w:rsidP="00B15F7D">
            <w:pPr>
              <w:rPr>
                <w:color w:val="000000"/>
                <w:sz w:val="22"/>
                <w:szCs w:val="22"/>
                <w:lang w:eastAsia="es-CR"/>
              </w:rPr>
            </w:pPr>
            <w:r w:rsidRPr="00990FB6">
              <w:rPr>
                <w:color w:val="000000"/>
                <w:sz w:val="22"/>
                <w:szCs w:val="22"/>
                <w:lang w:eastAsia="es-CR"/>
              </w:rPr>
              <w:t>Cañas</w:t>
            </w:r>
          </w:p>
        </w:tc>
      </w:tr>
      <w:tr w:rsidR="00B15F7D" w:rsidRPr="00990FB6" w14:paraId="50583CE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A08A1E2"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8372401"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66D307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5E88FC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5E1BE8E" w14:textId="77777777" w:rsidR="00B15F7D" w:rsidRPr="00990FB6" w:rsidRDefault="00B15F7D" w:rsidP="00B15F7D">
            <w:pPr>
              <w:rPr>
                <w:color w:val="000000"/>
                <w:sz w:val="22"/>
                <w:szCs w:val="22"/>
                <w:lang w:eastAsia="es-CR"/>
              </w:rPr>
            </w:pPr>
            <w:r w:rsidRPr="00990FB6">
              <w:rPr>
                <w:color w:val="000000"/>
                <w:sz w:val="22"/>
                <w:szCs w:val="22"/>
                <w:lang w:val="pt-BR" w:eastAsia="es-CR"/>
              </w:rPr>
              <w:t>Santa Cruz</w:t>
            </w:r>
          </w:p>
        </w:tc>
      </w:tr>
      <w:tr w:rsidR="00B15F7D" w:rsidRPr="00990FB6" w14:paraId="785BDE4B"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64264D27"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C6AB114"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41812E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A9ACC9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FA78311" w14:textId="77777777" w:rsidR="00B15F7D" w:rsidRPr="00990FB6" w:rsidRDefault="00B15F7D" w:rsidP="00B15F7D">
            <w:pPr>
              <w:rPr>
                <w:color w:val="000000"/>
                <w:sz w:val="22"/>
                <w:szCs w:val="22"/>
                <w:lang w:eastAsia="es-CR"/>
              </w:rPr>
            </w:pPr>
            <w:r w:rsidRPr="00990FB6">
              <w:rPr>
                <w:color w:val="000000"/>
                <w:sz w:val="22"/>
                <w:szCs w:val="22"/>
                <w:lang w:eastAsia="es-CR"/>
              </w:rPr>
              <w:t>Puntarenas</w:t>
            </w:r>
          </w:p>
        </w:tc>
      </w:tr>
      <w:tr w:rsidR="00B15F7D" w:rsidRPr="00990FB6" w14:paraId="1FCFD846"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76BC92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D1091D7"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FB7D99E"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B246D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F8E43E7"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Guápiles </w:t>
            </w:r>
          </w:p>
        </w:tc>
      </w:tr>
      <w:tr w:rsidR="00B15F7D" w:rsidRPr="00990FB6" w14:paraId="1F7A769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3A8C9BA"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D4FA54E"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3859F23"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837010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12EE7AC" w14:textId="77777777" w:rsidR="00B15F7D" w:rsidRPr="00990FB6" w:rsidRDefault="00B15F7D" w:rsidP="00B15F7D">
            <w:pPr>
              <w:rPr>
                <w:color w:val="000000"/>
                <w:sz w:val="22"/>
                <w:szCs w:val="22"/>
                <w:lang w:eastAsia="es-CR"/>
              </w:rPr>
            </w:pPr>
            <w:r w:rsidRPr="00990FB6">
              <w:rPr>
                <w:color w:val="000000"/>
                <w:sz w:val="22"/>
                <w:szCs w:val="22"/>
                <w:lang w:eastAsia="es-CR"/>
              </w:rPr>
              <w:t>Limón</w:t>
            </w:r>
          </w:p>
        </w:tc>
      </w:tr>
      <w:tr w:rsidR="00B15F7D" w:rsidRPr="00990FB6" w14:paraId="28A9289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82384A6"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5A4A454"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5841040E"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145693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EE37FC2" w14:textId="77777777" w:rsidR="00B15F7D" w:rsidRPr="00990FB6" w:rsidRDefault="00B15F7D" w:rsidP="00B15F7D">
            <w:pPr>
              <w:rPr>
                <w:color w:val="000000"/>
                <w:sz w:val="22"/>
                <w:szCs w:val="22"/>
                <w:lang w:eastAsia="es-CR"/>
              </w:rPr>
            </w:pPr>
            <w:r w:rsidRPr="00990FB6">
              <w:rPr>
                <w:color w:val="000000"/>
                <w:sz w:val="22"/>
                <w:szCs w:val="22"/>
                <w:lang w:eastAsia="es-CR"/>
              </w:rPr>
              <w:t>Goicoechea</w:t>
            </w:r>
          </w:p>
        </w:tc>
      </w:tr>
      <w:tr w:rsidR="00B15F7D" w:rsidRPr="00990FB6" w14:paraId="0ECBAB5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C861C83"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000C5A0"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8AA64A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BE4A9E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E578665"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r>
      <w:tr w:rsidR="00B15F7D" w:rsidRPr="00990FB6" w14:paraId="4917DB1E"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67993A8"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122667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FC1427C"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42080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DFC74C1"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Alajuela </w:t>
            </w:r>
          </w:p>
        </w:tc>
      </w:tr>
      <w:tr w:rsidR="00B15F7D" w:rsidRPr="00990FB6" w14:paraId="06F6827F"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33DE0EC"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7EA7B19"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29816538"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414E7D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10EFC6C" w14:textId="77777777" w:rsidR="00B15F7D" w:rsidRPr="00990FB6" w:rsidRDefault="00B15F7D" w:rsidP="00B15F7D">
            <w:pPr>
              <w:rPr>
                <w:color w:val="000000"/>
                <w:sz w:val="22"/>
                <w:szCs w:val="22"/>
                <w:lang w:eastAsia="es-CR"/>
              </w:rPr>
            </w:pPr>
            <w:r w:rsidRPr="00990FB6">
              <w:rPr>
                <w:color w:val="000000"/>
                <w:sz w:val="22"/>
                <w:szCs w:val="22"/>
                <w:lang w:eastAsia="es-CR"/>
              </w:rPr>
              <w:t>Cartago</w:t>
            </w:r>
          </w:p>
        </w:tc>
      </w:tr>
      <w:tr w:rsidR="00B15F7D" w:rsidRPr="00990FB6" w14:paraId="0DCBE0CD"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9F8EBA6"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D750AE9"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2E304AB0"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DAE04B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7F71ACC" w14:textId="77777777" w:rsidR="00B15F7D" w:rsidRPr="00990FB6" w:rsidRDefault="00B15F7D" w:rsidP="00B15F7D">
            <w:pPr>
              <w:rPr>
                <w:color w:val="000000"/>
                <w:sz w:val="22"/>
                <w:szCs w:val="22"/>
                <w:lang w:eastAsia="es-CR"/>
              </w:rPr>
            </w:pPr>
            <w:r w:rsidRPr="00990FB6">
              <w:rPr>
                <w:color w:val="000000"/>
                <w:sz w:val="22"/>
                <w:szCs w:val="22"/>
                <w:lang w:eastAsia="es-CR"/>
              </w:rPr>
              <w:t>Golfito</w:t>
            </w:r>
          </w:p>
        </w:tc>
      </w:tr>
      <w:tr w:rsidR="00B15F7D" w:rsidRPr="00990FB6" w14:paraId="6164AAD8"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617BC008"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382EF8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12B510D"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5D13F1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76ED16B" w14:textId="77777777" w:rsidR="00B15F7D" w:rsidRPr="00990FB6" w:rsidRDefault="00B15F7D" w:rsidP="00B15F7D">
            <w:pPr>
              <w:rPr>
                <w:color w:val="000000"/>
                <w:sz w:val="22"/>
                <w:szCs w:val="22"/>
                <w:lang w:eastAsia="es-CR"/>
              </w:rPr>
            </w:pPr>
            <w:r w:rsidRPr="00990FB6">
              <w:rPr>
                <w:color w:val="000000"/>
                <w:sz w:val="22"/>
                <w:szCs w:val="22"/>
                <w:lang w:eastAsia="es-CR"/>
              </w:rPr>
              <w:t>San Carlos</w:t>
            </w:r>
          </w:p>
        </w:tc>
      </w:tr>
      <w:tr w:rsidR="00B15F7D" w:rsidRPr="00990FB6" w14:paraId="0068353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6DFB0A6A"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2CB7E91"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3C35678"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7D912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DABBC6B" w14:textId="77777777" w:rsidR="00B15F7D" w:rsidRPr="00990FB6" w:rsidRDefault="00B15F7D" w:rsidP="00B15F7D">
            <w:pPr>
              <w:rPr>
                <w:color w:val="000000"/>
                <w:sz w:val="22"/>
                <w:szCs w:val="22"/>
                <w:lang w:eastAsia="es-CR"/>
              </w:rPr>
            </w:pPr>
            <w:r w:rsidRPr="00990FB6">
              <w:rPr>
                <w:color w:val="000000"/>
                <w:sz w:val="22"/>
                <w:szCs w:val="22"/>
                <w:lang w:eastAsia="es-CR"/>
              </w:rPr>
              <w:t>Pérez Zeledon</w:t>
            </w:r>
          </w:p>
        </w:tc>
      </w:tr>
      <w:tr w:rsidR="00B15F7D" w:rsidRPr="00990FB6" w14:paraId="6411564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38CEE28A"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3D59442"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3A5A52E"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4BEC3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563E33D"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Hatillo</w:t>
            </w:r>
          </w:p>
        </w:tc>
      </w:tr>
      <w:tr w:rsidR="00B15F7D" w:rsidRPr="00990FB6" w14:paraId="26E889B4"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827C7B3"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924D2B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4B41178"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B0EE68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5AFDE1A" w14:textId="77777777" w:rsidR="00B15F7D" w:rsidRPr="00990FB6" w:rsidRDefault="00B15F7D" w:rsidP="00B15F7D">
            <w:pPr>
              <w:rPr>
                <w:color w:val="000000"/>
                <w:sz w:val="22"/>
                <w:szCs w:val="22"/>
                <w:lang w:eastAsia="es-CR"/>
              </w:rPr>
            </w:pPr>
            <w:r w:rsidRPr="00990FB6">
              <w:rPr>
                <w:color w:val="000000"/>
                <w:sz w:val="22"/>
                <w:szCs w:val="22"/>
                <w:lang w:eastAsia="es-CR"/>
              </w:rPr>
              <w:t>San José</w:t>
            </w:r>
          </w:p>
        </w:tc>
      </w:tr>
      <w:tr w:rsidR="00B15F7D" w:rsidRPr="00990FB6" w14:paraId="3F22077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1F77457"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D36FF0D"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51E38092"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FC83B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FA45A1E" w14:textId="77777777" w:rsidR="00B15F7D" w:rsidRPr="00990FB6" w:rsidRDefault="00B15F7D" w:rsidP="00B15F7D">
            <w:pPr>
              <w:rPr>
                <w:color w:val="000000"/>
                <w:sz w:val="22"/>
                <w:szCs w:val="22"/>
                <w:lang w:eastAsia="es-CR"/>
              </w:rPr>
            </w:pPr>
            <w:r w:rsidRPr="00990FB6">
              <w:rPr>
                <w:color w:val="000000"/>
                <w:sz w:val="22"/>
                <w:szCs w:val="22"/>
                <w:lang w:eastAsia="es-CR"/>
              </w:rPr>
              <w:t>San Ramón</w:t>
            </w:r>
          </w:p>
        </w:tc>
      </w:tr>
      <w:tr w:rsidR="00B15F7D" w:rsidRPr="00990FB6" w14:paraId="077F9DE9"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17844C06"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9655114"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EE4505F"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7EC19C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7A53219" w14:textId="77777777" w:rsidR="00B15F7D" w:rsidRPr="00990FB6" w:rsidRDefault="00B15F7D" w:rsidP="00B15F7D">
            <w:pPr>
              <w:rPr>
                <w:color w:val="000000"/>
                <w:sz w:val="22"/>
                <w:szCs w:val="22"/>
                <w:lang w:eastAsia="es-CR"/>
              </w:rPr>
            </w:pPr>
            <w:r w:rsidRPr="00990FB6">
              <w:rPr>
                <w:color w:val="000000"/>
                <w:sz w:val="22"/>
                <w:szCs w:val="22"/>
                <w:lang w:eastAsia="es-CR"/>
              </w:rPr>
              <w:t>Grecia</w:t>
            </w:r>
          </w:p>
        </w:tc>
      </w:tr>
      <w:tr w:rsidR="00B15F7D" w:rsidRPr="00990FB6" w14:paraId="083E04FF"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5D9A94B"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A407E2F"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2735A60B"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02FCD1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4DB9DB5" w14:textId="77777777" w:rsidR="00B15F7D" w:rsidRPr="00990FB6" w:rsidRDefault="00B15F7D" w:rsidP="00B15F7D">
            <w:pPr>
              <w:rPr>
                <w:color w:val="000000"/>
                <w:sz w:val="22"/>
                <w:szCs w:val="22"/>
                <w:lang w:eastAsia="es-CR"/>
              </w:rPr>
            </w:pPr>
            <w:r w:rsidRPr="00990FB6">
              <w:rPr>
                <w:color w:val="000000"/>
                <w:sz w:val="22"/>
                <w:szCs w:val="22"/>
                <w:lang w:eastAsia="es-CR"/>
              </w:rPr>
              <w:t>Osa</w:t>
            </w:r>
          </w:p>
        </w:tc>
      </w:tr>
      <w:tr w:rsidR="00B15F7D" w:rsidRPr="00990FB6" w14:paraId="378CCE09"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E524EC0"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6A40AB8"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E3C0F0F"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11A80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0C458BA" w14:textId="77777777" w:rsidR="00B15F7D" w:rsidRPr="00990FB6" w:rsidRDefault="00B15F7D" w:rsidP="00B15F7D">
            <w:pPr>
              <w:rPr>
                <w:color w:val="000000"/>
                <w:sz w:val="22"/>
                <w:szCs w:val="22"/>
                <w:lang w:eastAsia="es-CR"/>
              </w:rPr>
            </w:pPr>
            <w:r w:rsidRPr="00990FB6">
              <w:rPr>
                <w:color w:val="000000"/>
                <w:sz w:val="22"/>
                <w:szCs w:val="22"/>
                <w:lang w:eastAsia="es-CR"/>
              </w:rPr>
              <w:t>La Fortuna</w:t>
            </w:r>
          </w:p>
        </w:tc>
      </w:tr>
      <w:tr w:rsidR="00B15F7D" w:rsidRPr="00990FB6" w14:paraId="3F23E900"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FC8F507"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B6CEB81"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2C93852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26852C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73D8BAA" w14:textId="77777777" w:rsidR="00B15F7D" w:rsidRPr="00990FB6" w:rsidRDefault="00B15F7D" w:rsidP="00B15F7D">
            <w:pPr>
              <w:rPr>
                <w:color w:val="000000"/>
                <w:sz w:val="22"/>
                <w:szCs w:val="22"/>
                <w:lang w:eastAsia="es-CR"/>
              </w:rPr>
            </w:pPr>
            <w:proofErr w:type="spellStart"/>
            <w:r w:rsidRPr="00990FB6">
              <w:rPr>
                <w:color w:val="000000"/>
                <w:sz w:val="22"/>
                <w:szCs w:val="22"/>
                <w:lang w:eastAsia="es-CR"/>
              </w:rPr>
              <w:t>Bribrí</w:t>
            </w:r>
            <w:proofErr w:type="spellEnd"/>
          </w:p>
        </w:tc>
      </w:tr>
      <w:tr w:rsidR="00B15F7D" w:rsidRPr="00990FB6" w14:paraId="08285760"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5FAE8295"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44D48950"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28A48D38"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BCA57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C9C6DAD" w14:textId="77777777" w:rsidR="00B15F7D" w:rsidRPr="00990FB6" w:rsidRDefault="00B15F7D" w:rsidP="00B15F7D">
            <w:pPr>
              <w:rPr>
                <w:color w:val="000000"/>
                <w:sz w:val="22"/>
                <w:szCs w:val="22"/>
                <w:lang w:eastAsia="es-CR"/>
              </w:rPr>
            </w:pPr>
            <w:r w:rsidRPr="00990FB6">
              <w:rPr>
                <w:color w:val="000000"/>
                <w:sz w:val="22"/>
                <w:szCs w:val="22"/>
                <w:lang w:eastAsia="es-CR"/>
              </w:rPr>
              <w:t>Los Chiles</w:t>
            </w:r>
          </w:p>
        </w:tc>
      </w:tr>
      <w:tr w:rsidR="00B15F7D" w:rsidRPr="00990FB6" w14:paraId="5DF40F5D"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EACA2F8" w14:textId="77777777" w:rsidR="00B15F7D" w:rsidRPr="00990FB6" w:rsidRDefault="00B15F7D" w:rsidP="00B15F7D">
            <w:pPr>
              <w:jc w:val="cente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0FF4B43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9B1D388"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60CDB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64AC853" w14:textId="77777777" w:rsidR="00B15F7D" w:rsidRPr="00990FB6" w:rsidRDefault="00B15F7D" w:rsidP="00B15F7D">
            <w:pPr>
              <w:rPr>
                <w:color w:val="000000"/>
                <w:sz w:val="22"/>
                <w:szCs w:val="22"/>
                <w:lang w:eastAsia="es-CR"/>
              </w:rPr>
            </w:pPr>
            <w:r w:rsidRPr="00990FB6">
              <w:rPr>
                <w:color w:val="000000"/>
                <w:sz w:val="22"/>
                <w:szCs w:val="22"/>
                <w:lang w:eastAsia="es-CR"/>
              </w:rPr>
              <w:t>Guatuso</w:t>
            </w:r>
          </w:p>
        </w:tc>
      </w:tr>
      <w:tr w:rsidR="00B15F7D" w:rsidRPr="00990FB6" w14:paraId="294C96CD" w14:textId="77777777" w:rsidTr="000A0C22">
        <w:trPr>
          <w:trHeight w:val="20"/>
        </w:trPr>
        <w:tc>
          <w:tcPr>
            <w:tcW w:w="27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6FE3C3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929- Fiscalía General</w:t>
            </w:r>
          </w:p>
        </w:tc>
        <w:tc>
          <w:tcPr>
            <w:tcW w:w="80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25A387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4</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A34351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Fiscales Auxiliares</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FE6B9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4</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16A625E" w14:textId="77777777" w:rsidR="00B15F7D" w:rsidRPr="00990FB6" w:rsidRDefault="00B15F7D" w:rsidP="00B15F7D">
            <w:pPr>
              <w:rPr>
                <w:color w:val="000000"/>
                <w:sz w:val="22"/>
                <w:szCs w:val="22"/>
                <w:lang w:eastAsia="es-CR"/>
              </w:rPr>
            </w:pPr>
            <w:r w:rsidRPr="00990FB6">
              <w:rPr>
                <w:color w:val="000000"/>
                <w:sz w:val="22"/>
                <w:szCs w:val="22"/>
                <w:lang w:eastAsia="es-CR"/>
              </w:rPr>
              <w:t>Alajuela (Ejecución de la Pena)</w:t>
            </w:r>
          </w:p>
        </w:tc>
      </w:tr>
      <w:tr w:rsidR="00B15F7D" w:rsidRPr="00990FB6" w14:paraId="67B76C5D" w14:textId="77777777" w:rsidTr="000A0C22">
        <w:trPr>
          <w:trHeight w:val="20"/>
        </w:trPr>
        <w:tc>
          <w:tcPr>
            <w:tcW w:w="27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A420A7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930- Defensa Pública</w:t>
            </w:r>
          </w:p>
        </w:tc>
        <w:tc>
          <w:tcPr>
            <w:tcW w:w="80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29868D2"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12</w:t>
            </w:r>
          </w:p>
        </w:tc>
        <w:tc>
          <w:tcPr>
            <w:tcW w:w="1240"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BFA283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Defensor Público</w:t>
            </w: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6E59D5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1D2313B" w14:textId="77777777" w:rsidR="00B15F7D" w:rsidRPr="00990FB6" w:rsidRDefault="00B15F7D" w:rsidP="00B15F7D">
            <w:pPr>
              <w:rPr>
                <w:color w:val="000000"/>
                <w:sz w:val="22"/>
                <w:szCs w:val="22"/>
                <w:lang w:eastAsia="es-CR"/>
              </w:rPr>
            </w:pPr>
            <w:r w:rsidRPr="00990FB6">
              <w:rPr>
                <w:color w:val="000000"/>
                <w:sz w:val="22"/>
                <w:szCs w:val="22"/>
                <w:lang w:eastAsia="es-CR"/>
              </w:rPr>
              <w:t>Quepos</w:t>
            </w:r>
          </w:p>
        </w:tc>
      </w:tr>
      <w:tr w:rsidR="00B15F7D" w:rsidRPr="00990FB6" w14:paraId="1BC9B48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2C51404"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D9D83F7"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EDC8281"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C8795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885458B" w14:textId="77777777" w:rsidR="00B15F7D" w:rsidRPr="00990FB6" w:rsidRDefault="00B15F7D" w:rsidP="00B15F7D">
            <w:pPr>
              <w:rPr>
                <w:color w:val="000000"/>
                <w:sz w:val="22"/>
                <w:szCs w:val="22"/>
                <w:lang w:eastAsia="es-CR"/>
              </w:rPr>
            </w:pPr>
            <w:r w:rsidRPr="00990FB6">
              <w:rPr>
                <w:color w:val="000000"/>
                <w:sz w:val="22"/>
                <w:szCs w:val="22"/>
                <w:lang w:eastAsia="es-CR"/>
              </w:rPr>
              <w:t>Sarapiquí</w:t>
            </w:r>
          </w:p>
        </w:tc>
      </w:tr>
      <w:tr w:rsidR="00B15F7D" w:rsidRPr="00990FB6" w14:paraId="03B64D9F"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4202A8A"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010CB525"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5F8E0B14"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74BF8C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893A88E" w14:textId="77777777" w:rsidR="00B15F7D" w:rsidRPr="00990FB6" w:rsidRDefault="00B15F7D" w:rsidP="00B15F7D">
            <w:pPr>
              <w:rPr>
                <w:color w:val="000000"/>
                <w:sz w:val="22"/>
                <w:szCs w:val="22"/>
                <w:lang w:eastAsia="es-CR"/>
              </w:rPr>
            </w:pPr>
            <w:r w:rsidRPr="00990FB6">
              <w:rPr>
                <w:color w:val="000000"/>
                <w:sz w:val="22"/>
                <w:szCs w:val="22"/>
                <w:lang w:eastAsia="es-CR"/>
              </w:rPr>
              <w:t>Siquirres</w:t>
            </w:r>
          </w:p>
        </w:tc>
      </w:tr>
      <w:tr w:rsidR="00B15F7D" w:rsidRPr="00990FB6" w14:paraId="240D2E7F"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3CC6DCF"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49D55A5"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32EB84AB"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04D52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17296BB" w14:textId="77777777" w:rsidR="00B15F7D" w:rsidRPr="00990FB6" w:rsidRDefault="00B15F7D" w:rsidP="00B15F7D">
            <w:pPr>
              <w:rPr>
                <w:color w:val="000000"/>
                <w:sz w:val="22"/>
                <w:szCs w:val="22"/>
                <w:lang w:eastAsia="es-CR"/>
              </w:rPr>
            </w:pPr>
            <w:r w:rsidRPr="00990FB6">
              <w:rPr>
                <w:color w:val="000000"/>
                <w:sz w:val="22"/>
                <w:szCs w:val="22"/>
                <w:lang w:eastAsia="es-CR"/>
              </w:rPr>
              <w:t>Turrialba</w:t>
            </w:r>
          </w:p>
        </w:tc>
      </w:tr>
      <w:tr w:rsidR="00B15F7D" w:rsidRPr="00990FB6" w14:paraId="267D0232"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8BD7836"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07B965D5"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E844CAB"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47E2BB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7605A82" w14:textId="77777777" w:rsidR="00B15F7D" w:rsidRPr="00990FB6" w:rsidRDefault="00B15F7D" w:rsidP="00B15F7D">
            <w:pPr>
              <w:rPr>
                <w:color w:val="000000"/>
                <w:sz w:val="22"/>
                <w:szCs w:val="22"/>
                <w:lang w:eastAsia="es-CR"/>
              </w:rPr>
            </w:pPr>
            <w:r w:rsidRPr="00990FB6">
              <w:rPr>
                <w:color w:val="000000"/>
                <w:sz w:val="22"/>
                <w:szCs w:val="22"/>
                <w:lang w:eastAsia="es-CR"/>
              </w:rPr>
              <w:t>Cañas</w:t>
            </w:r>
          </w:p>
        </w:tc>
      </w:tr>
      <w:tr w:rsidR="00B15F7D" w:rsidRPr="00990FB6" w14:paraId="699D28C1"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24CA1141"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704C35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0CC649C1"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E083B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CE5DEB3" w14:textId="77777777" w:rsidR="00B15F7D" w:rsidRPr="00990FB6" w:rsidRDefault="00B15F7D" w:rsidP="00B15F7D">
            <w:pPr>
              <w:rPr>
                <w:color w:val="000000"/>
                <w:sz w:val="22"/>
                <w:szCs w:val="22"/>
                <w:lang w:eastAsia="es-CR"/>
              </w:rPr>
            </w:pPr>
            <w:r w:rsidRPr="00990FB6">
              <w:rPr>
                <w:color w:val="000000"/>
                <w:sz w:val="22"/>
                <w:szCs w:val="22"/>
                <w:lang w:eastAsia="es-CR"/>
              </w:rPr>
              <w:t>Puntarenas</w:t>
            </w:r>
          </w:p>
        </w:tc>
      </w:tr>
      <w:tr w:rsidR="00B15F7D" w:rsidRPr="00990FB6" w14:paraId="6DD97CE6"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D316900"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7B960C9F"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466F37FB"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33C37A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D4792D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Guápiles </w:t>
            </w:r>
          </w:p>
        </w:tc>
      </w:tr>
      <w:tr w:rsidR="00B15F7D" w:rsidRPr="00990FB6" w14:paraId="1B5FC506"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B997D50"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5A694658"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13BC8779"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2A5D6D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F2FE48C" w14:textId="77777777" w:rsidR="00B15F7D" w:rsidRPr="00990FB6" w:rsidRDefault="00B15F7D" w:rsidP="00B15F7D">
            <w:pPr>
              <w:rPr>
                <w:color w:val="000000"/>
                <w:sz w:val="22"/>
                <w:szCs w:val="22"/>
                <w:lang w:eastAsia="es-CR"/>
              </w:rPr>
            </w:pPr>
            <w:r w:rsidRPr="00990FB6">
              <w:rPr>
                <w:color w:val="000000"/>
                <w:sz w:val="22"/>
                <w:szCs w:val="22"/>
                <w:lang w:eastAsia="es-CR"/>
              </w:rPr>
              <w:t>Limón</w:t>
            </w:r>
          </w:p>
        </w:tc>
      </w:tr>
      <w:tr w:rsidR="00B15F7D" w:rsidRPr="00990FB6" w14:paraId="5F44EF1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4163BE4"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240462F6"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575535A2"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AF75F8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F1838B8" w14:textId="77777777" w:rsidR="00B15F7D" w:rsidRPr="00990FB6" w:rsidRDefault="00B15F7D" w:rsidP="00B15F7D">
            <w:pPr>
              <w:rPr>
                <w:color w:val="000000"/>
                <w:sz w:val="22"/>
                <w:szCs w:val="22"/>
                <w:lang w:eastAsia="es-CR"/>
              </w:rPr>
            </w:pPr>
            <w:r w:rsidRPr="00990FB6">
              <w:rPr>
                <w:color w:val="000000"/>
                <w:sz w:val="22"/>
                <w:szCs w:val="22"/>
                <w:lang w:eastAsia="es-CR"/>
              </w:rPr>
              <w:t>Heredia</w:t>
            </w:r>
          </w:p>
        </w:tc>
      </w:tr>
      <w:tr w:rsidR="00B15F7D" w:rsidRPr="00990FB6" w14:paraId="64904767"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7295361F"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614A2B4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756A87AC"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2E3C5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47215395"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Alajuela </w:t>
            </w:r>
          </w:p>
        </w:tc>
      </w:tr>
      <w:tr w:rsidR="00B15F7D" w:rsidRPr="00990FB6" w14:paraId="0220F896"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0E10372D"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1F217D63"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62D3EFBE"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7A12F6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DA37087" w14:textId="77777777" w:rsidR="00B15F7D" w:rsidRPr="00990FB6" w:rsidRDefault="00B15F7D" w:rsidP="00B15F7D">
            <w:pPr>
              <w:rPr>
                <w:color w:val="000000"/>
                <w:sz w:val="22"/>
                <w:szCs w:val="22"/>
                <w:lang w:eastAsia="es-CR"/>
              </w:rPr>
            </w:pPr>
            <w:r w:rsidRPr="00990FB6">
              <w:rPr>
                <w:color w:val="000000"/>
                <w:sz w:val="22"/>
                <w:szCs w:val="22"/>
                <w:lang w:eastAsia="es-CR"/>
              </w:rPr>
              <w:t>Cartago</w:t>
            </w:r>
          </w:p>
        </w:tc>
      </w:tr>
      <w:tr w:rsidR="00B15F7D" w:rsidRPr="00990FB6" w14:paraId="5D403E0C" w14:textId="77777777" w:rsidTr="000A0C22">
        <w:trPr>
          <w:trHeight w:val="20"/>
        </w:trPr>
        <w:tc>
          <w:tcPr>
            <w:tcW w:w="2740" w:type="dxa"/>
            <w:vMerge/>
            <w:tcBorders>
              <w:top w:val="single" w:sz="4" w:space="0" w:color="A6A6A6"/>
              <w:left w:val="single" w:sz="4" w:space="0" w:color="A6A6A6"/>
              <w:bottom w:val="single" w:sz="4" w:space="0" w:color="A6A6A6"/>
              <w:right w:val="single" w:sz="4" w:space="0" w:color="A6A6A6"/>
            </w:tcBorders>
            <w:vAlign w:val="center"/>
            <w:hideMark/>
          </w:tcPr>
          <w:p w14:paraId="45ED4A9D" w14:textId="77777777" w:rsidR="00B15F7D" w:rsidRPr="00990FB6" w:rsidRDefault="00B15F7D" w:rsidP="00B15F7D">
            <w:pPr>
              <w:rPr>
                <w:b/>
                <w:bCs/>
                <w:color w:val="000000"/>
                <w:sz w:val="22"/>
                <w:szCs w:val="22"/>
                <w:lang w:eastAsia="es-CR"/>
              </w:rPr>
            </w:pPr>
          </w:p>
        </w:tc>
        <w:tc>
          <w:tcPr>
            <w:tcW w:w="800" w:type="dxa"/>
            <w:vMerge/>
            <w:tcBorders>
              <w:top w:val="single" w:sz="4" w:space="0" w:color="A6A6A6"/>
              <w:left w:val="single" w:sz="4" w:space="0" w:color="A6A6A6"/>
              <w:bottom w:val="single" w:sz="4" w:space="0" w:color="A6A6A6"/>
              <w:right w:val="single" w:sz="4" w:space="0" w:color="A6A6A6"/>
            </w:tcBorders>
            <w:vAlign w:val="center"/>
            <w:hideMark/>
          </w:tcPr>
          <w:p w14:paraId="3B5444C0" w14:textId="77777777" w:rsidR="00B15F7D" w:rsidRPr="00990FB6" w:rsidRDefault="00B15F7D" w:rsidP="00B15F7D">
            <w:pPr>
              <w:rPr>
                <w:b/>
                <w:bCs/>
                <w:color w:val="000000"/>
                <w:sz w:val="22"/>
                <w:szCs w:val="22"/>
                <w:lang w:eastAsia="es-CR"/>
              </w:rPr>
            </w:pPr>
          </w:p>
        </w:tc>
        <w:tc>
          <w:tcPr>
            <w:tcW w:w="1240" w:type="dxa"/>
            <w:vMerge/>
            <w:tcBorders>
              <w:top w:val="single" w:sz="4" w:space="0" w:color="A6A6A6"/>
              <w:left w:val="single" w:sz="4" w:space="0" w:color="A6A6A6"/>
              <w:bottom w:val="single" w:sz="4" w:space="0" w:color="A6A6A6"/>
              <w:right w:val="single" w:sz="4" w:space="0" w:color="A6A6A6"/>
            </w:tcBorders>
            <w:vAlign w:val="center"/>
            <w:hideMark/>
          </w:tcPr>
          <w:p w14:paraId="2ADE50D1" w14:textId="77777777" w:rsidR="00B15F7D" w:rsidRPr="00990FB6" w:rsidRDefault="00B15F7D" w:rsidP="00B15F7D">
            <w:pPr>
              <w:rPr>
                <w:b/>
                <w:bCs/>
                <w:color w:val="000000"/>
                <w:sz w:val="22"/>
                <w:szCs w:val="22"/>
                <w:lang w:eastAsia="es-CR"/>
              </w:rPr>
            </w:pPr>
          </w:p>
        </w:tc>
        <w:tc>
          <w:tcPr>
            <w:tcW w:w="124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2DCF3E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82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2965B7B" w14:textId="77777777" w:rsidR="00B15F7D" w:rsidRPr="00990FB6" w:rsidRDefault="00B15F7D" w:rsidP="00B15F7D">
            <w:pPr>
              <w:rPr>
                <w:color w:val="000000"/>
                <w:sz w:val="22"/>
                <w:szCs w:val="22"/>
                <w:lang w:eastAsia="es-CR"/>
              </w:rPr>
            </w:pPr>
            <w:r w:rsidRPr="00990FB6">
              <w:rPr>
                <w:color w:val="000000"/>
                <w:sz w:val="22"/>
                <w:szCs w:val="22"/>
                <w:lang w:eastAsia="es-CR"/>
              </w:rPr>
              <w:t>Golfito</w:t>
            </w:r>
          </w:p>
        </w:tc>
      </w:tr>
      <w:tr w:rsidR="00B15F7D" w:rsidRPr="00990FB6" w14:paraId="4A2F45D7" w14:textId="77777777" w:rsidTr="000A0C22">
        <w:trPr>
          <w:trHeight w:val="20"/>
        </w:trPr>
        <w:tc>
          <w:tcPr>
            <w:tcW w:w="2740" w:type="dxa"/>
            <w:tcBorders>
              <w:top w:val="single" w:sz="4" w:space="0" w:color="A6A6A6"/>
              <w:left w:val="single" w:sz="4" w:space="0" w:color="A6A6A6"/>
              <w:bottom w:val="single" w:sz="4" w:space="0" w:color="A6A6A6"/>
              <w:right w:val="single" w:sz="4" w:space="0" w:color="A6A6A6"/>
            </w:tcBorders>
            <w:shd w:val="clear" w:color="000000" w:fill="DEEAF6"/>
            <w:vAlign w:val="center"/>
            <w:hideMark/>
          </w:tcPr>
          <w:p w14:paraId="04992D54" w14:textId="77777777" w:rsidR="00B15F7D" w:rsidRPr="00990FB6" w:rsidRDefault="00B15F7D" w:rsidP="00B15F7D">
            <w:pPr>
              <w:rPr>
                <w:b/>
                <w:bCs/>
                <w:color w:val="3A3838"/>
                <w:sz w:val="22"/>
                <w:szCs w:val="22"/>
                <w:lang w:eastAsia="es-CR"/>
              </w:rPr>
            </w:pPr>
            <w:r w:rsidRPr="00990FB6">
              <w:rPr>
                <w:b/>
                <w:bCs/>
                <w:color w:val="3A3838"/>
                <w:sz w:val="22"/>
                <w:szCs w:val="22"/>
                <w:lang w:eastAsia="es-CR"/>
              </w:rPr>
              <w:t>Total plazas</w:t>
            </w:r>
          </w:p>
        </w:tc>
        <w:tc>
          <w:tcPr>
            <w:tcW w:w="800" w:type="dxa"/>
            <w:tcBorders>
              <w:top w:val="single" w:sz="4" w:space="0" w:color="A6A6A6"/>
              <w:left w:val="single" w:sz="4" w:space="0" w:color="A6A6A6"/>
              <w:bottom w:val="single" w:sz="4" w:space="0" w:color="A6A6A6"/>
              <w:right w:val="single" w:sz="4" w:space="0" w:color="A6A6A6"/>
            </w:tcBorders>
            <w:shd w:val="clear" w:color="000000" w:fill="DEEAF6"/>
            <w:vAlign w:val="center"/>
            <w:hideMark/>
          </w:tcPr>
          <w:p w14:paraId="036CA744"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140</w:t>
            </w:r>
          </w:p>
        </w:tc>
        <w:tc>
          <w:tcPr>
            <w:tcW w:w="1240" w:type="dxa"/>
            <w:tcBorders>
              <w:top w:val="single" w:sz="4" w:space="0" w:color="A6A6A6"/>
              <w:left w:val="single" w:sz="4" w:space="0" w:color="A6A6A6"/>
              <w:bottom w:val="single" w:sz="4" w:space="0" w:color="A6A6A6"/>
              <w:right w:val="single" w:sz="4" w:space="0" w:color="A6A6A6"/>
            </w:tcBorders>
            <w:shd w:val="clear" w:color="000000" w:fill="DEEAF6"/>
            <w:vAlign w:val="center"/>
            <w:hideMark/>
          </w:tcPr>
          <w:p w14:paraId="7A599492"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w:t>
            </w:r>
          </w:p>
        </w:tc>
        <w:tc>
          <w:tcPr>
            <w:tcW w:w="1240" w:type="dxa"/>
            <w:tcBorders>
              <w:top w:val="single" w:sz="4" w:space="0" w:color="A6A6A6"/>
              <w:left w:val="single" w:sz="4" w:space="0" w:color="A6A6A6"/>
              <w:bottom w:val="single" w:sz="4" w:space="0" w:color="A6A6A6"/>
              <w:right w:val="single" w:sz="4" w:space="0" w:color="A6A6A6"/>
            </w:tcBorders>
            <w:shd w:val="clear" w:color="000000" w:fill="DEEAF6"/>
            <w:vAlign w:val="center"/>
            <w:hideMark/>
          </w:tcPr>
          <w:p w14:paraId="59A5A012"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w:t>
            </w:r>
          </w:p>
        </w:tc>
        <w:tc>
          <w:tcPr>
            <w:tcW w:w="2820" w:type="dxa"/>
            <w:tcBorders>
              <w:top w:val="single" w:sz="4" w:space="0" w:color="A6A6A6"/>
              <w:left w:val="single" w:sz="4" w:space="0" w:color="A6A6A6"/>
              <w:bottom w:val="single" w:sz="4" w:space="0" w:color="A6A6A6"/>
              <w:right w:val="single" w:sz="4" w:space="0" w:color="A6A6A6"/>
            </w:tcBorders>
            <w:shd w:val="clear" w:color="000000" w:fill="DEEAF6"/>
            <w:vAlign w:val="center"/>
            <w:hideMark/>
          </w:tcPr>
          <w:p w14:paraId="41FAB645"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w:t>
            </w:r>
          </w:p>
        </w:tc>
      </w:tr>
    </w:tbl>
    <w:p w14:paraId="12971B9B" w14:textId="77777777" w:rsidR="00B15F7D" w:rsidRPr="00990FB6" w:rsidRDefault="00B15F7D" w:rsidP="00B15F7D">
      <w:pPr>
        <w:jc w:val="both"/>
        <w:rPr>
          <w:rFonts w:eastAsia="Calibri"/>
          <w:sz w:val="22"/>
          <w:szCs w:val="22"/>
          <w:u w:val="single"/>
        </w:rPr>
      </w:pPr>
    </w:p>
    <w:p w14:paraId="4A0ABC42" w14:textId="77777777" w:rsidR="00B15F7D" w:rsidRPr="00990FB6" w:rsidRDefault="00B15F7D" w:rsidP="00B15F7D">
      <w:pPr>
        <w:jc w:val="both"/>
        <w:rPr>
          <w:rFonts w:eastAsia="Calibri"/>
          <w:sz w:val="22"/>
          <w:szCs w:val="22"/>
          <w:u w:val="single"/>
        </w:rPr>
      </w:pPr>
    </w:p>
    <w:tbl>
      <w:tblPr>
        <w:tblW w:w="8368" w:type="dxa"/>
        <w:jc w:val="center"/>
        <w:tblCellMar>
          <w:left w:w="70" w:type="dxa"/>
          <w:right w:w="70" w:type="dxa"/>
        </w:tblCellMar>
        <w:tblLook w:val="04A0" w:firstRow="1" w:lastRow="0" w:firstColumn="1" w:lastColumn="0" w:noHBand="0" w:noVBand="1"/>
      </w:tblPr>
      <w:tblGrid>
        <w:gridCol w:w="2010"/>
        <w:gridCol w:w="1056"/>
        <w:gridCol w:w="2317"/>
        <w:gridCol w:w="1109"/>
        <w:gridCol w:w="1876"/>
      </w:tblGrid>
      <w:tr w:rsidR="00B15F7D" w:rsidRPr="00990FB6" w14:paraId="28AD4675" w14:textId="77777777" w:rsidTr="000A0C22">
        <w:trPr>
          <w:trHeight w:val="16"/>
          <w:jc w:val="center"/>
        </w:trPr>
        <w:tc>
          <w:tcPr>
            <w:tcW w:w="8368" w:type="dxa"/>
            <w:gridSpan w:val="5"/>
            <w:tcBorders>
              <w:top w:val="nil"/>
              <w:left w:val="nil"/>
              <w:bottom w:val="nil"/>
              <w:right w:val="nil"/>
            </w:tcBorders>
            <w:shd w:val="clear" w:color="000000" w:fill="A9D08E"/>
            <w:vAlign w:val="bottom"/>
            <w:hideMark/>
          </w:tcPr>
          <w:p w14:paraId="18E51D99"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Requerimiento humano integral para la creación de Tribunales Peninsulares en la zona de Puerto Jiménez</w:t>
            </w:r>
          </w:p>
        </w:tc>
      </w:tr>
      <w:tr w:rsidR="00B15F7D" w:rsidRPr="00990FB6" w14:paraId="5C6BCE40" w14:textId="77777777" w:rsidTr="000A0C22">
        <w:trPr>
          <w:trHeight w:val="16"/>
          <w:jc w:val="center"/>
        </w:trPr>
        <w:tc>
          <w:tcPr>
            <w:tcW w:w="2010" w:type="dxa"/>
            <w:tcBorders>
              <w:top w:val="nil"/>
              <w:left w:val="nil"/>
              <w:bottom w:val="nil"/>
              <w:right w:val="nil"/>
            </w:tcBorders>
            <w:shd w:val="clear" w:color="000000" w:fill="FFFFFF"/>
            <w:vAlign w:val="bottom"/>
            <w:hideMark/>
          </w:tcPr>
          <w:p w14:paraId="1A74C21C"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1056" w:type="dxa"/>
            <w:tcBorders>
              <w:top w:val="nil"/>
              <w:left w:val="nil"/>
              <w:bottom w:val="nil"/>
              <w:right w:val="nil"/>
            </w:tcBorders>
            <w:shd w:val="clear" w:color="000000" w:fill="FFFFFF"/>
            <w:vAlign w:val="bottom"/>
            <w:hideMark/>
          </w:tcPr>
          <w:p w14:paraId="0C476A3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2317" w:type="dxa"/>
            <w:tcBorders>
              <w:top w:val="nil"/>
              <w:left w:val="nil"/>
              <w:bottom w:val="nil"/>
              <w:right w:val="nil"/>
            </w:tcBorders>
            <w:shd w:val="clear" w:color="000000" w:fill="FFFFFF"/>
            <w:vAlign w:val="bottom"/>
            <w:hideMark/>
          </w:tcPr>
          <w:p w14:paraId="2AC282BE"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1109" w:type="dxa"/>
            <w:tcBorders>
              <w:top w:val="nil"/>
              <w:left w:val="nil"/>
              <w:bottom w:val="nil"/>
              <w:right w:val="nil"/>
            </w:tcBorders>
            <w:shd w:val="clear" w:color="000000" w:fill="FFFFFF"/>
            <w:vAlign w:val="bottom"/>
            <w:hideMark/>
          </w:tcPr>
          <w:p w14:paraId="031E86CC"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c>
          <w:tcPr>
            <w:tcW w:w="1874" w:type="dxa"/>
            <w:tcBorders>
              <w:top w:val="nil"/>
              <w:left w:val="nil"/>
              <w:bottom w:val="nil"/>
              <w:right w:val="nil"/>
            </w:tcBorders>
            <w:shd w:val="clear" w:color="000000" w:fill="FFFFFF"/>
            <w:vAlign w:val="bottom"/>
            <w:hideMark/>
          </w:tcPr>
          <w:p w14:paraId="4525F66F"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 </w:t>
            </w:r>
          </w:p>
        </w:tc>
      </w:tr>
      <w:tr w:rsidR="00B15F7D" w:rsidRPr="00990FB6" w14:paraId="0F567E0C" w14:textId="77777777" w:rsidTr="000A0C22">
        <w:trPr>
          <w:trHeight w:val="16"/>
          <w:jc w:val="center"/>
        </w:trPr>
        <w:tc>
          <w:tcPr>
            <w:tcW w:w="2010" w:type="dxa"/>
            <w:vMerge w:val="restart"/>
            <w:tcBorders>
              <w:top w:val="nil"/>
              <w:left w:val="nil"/>
              <w:bottom w:val="single" w:sz="12" w:space="0" w:color="D4D4D4"/>
              <w:right w:val="single" w:sz="8" w:space="0" w:color="E7E6E6"/>
            </w:tcBorders>
            <w:shd w:val="clear" w:color="000000" w:fill="305496"/>
            <w:vAlign w:val="center"/>
            <w:hideMark/>
          </w:tcPr>
          <w:p w14:paraId="2ED45A7F"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Programa</w:t>
            </w:r>
          </w:p>
        </w:tc>
        <w:tc>
          <w:tcPr>
            <w:tcW w:w="1056" w:type="dxa"/>
            <w:vMerge w:val="restart"/>
            <w:tcBorders>
              <w:top w:val="nil"/>
              <w:left w:val="single" w:sz="8" w:space="0" w:color="E7E6E6"/>
              <w:bottom w:val="single" w:sz="12" w:space="0" w:color="D4D4D4"/>
              <w:right w:val="single" w:sz="8" w:space="0" w:color="E7E6E6"/>
            </w:tcBorders>
            <w:shd w:val="clear" w:color="000000" w:fill="305496"/>
            <w:vAlign w:val="center"/>
            <w:hideMark/>
          </w:tcPr>
          <w:p w14:paraId="23A08D89"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Cantidad total</w:t>
            </w:r>
          </w:p>
        </w:tc>
        <w:tc>
          <w:tcPr>
            <w:tcW w:w="2317" w:type="dxa"/>
            <w:vMerge w:val="restart"/>
            <w:tcBorders>
              <w:top w:val="nil"/>
              <w:left w:val="single" w:sz="8" w:space="0" w:color="E7E6E6"/>
              <w:bottom w:val="single" w:sz="12" w:space="0" w:color="D4D4D4"/>
              <w:right w:val="nil"/>
            </w:tcBorders>
            <w:shd w:val="clear" w:color="000000" w:fill="305496"/>
            <w:vAlign w:val="center"/>
            <w:hideMark/>
          </w:tcPr>
          <w:p w14:paraId="61627A9D"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Puesto</w:t>
            </w:r>
          </w:p>
        </w:tc>
        <w:tc>
          <w:tcPr>
            <w:tcW w:w="2983" w:type="dxa"/>
            <w:gridSpan w:val="2"/>
            <w:tcBorders>
              <w:top w:val="single" w:sz="12" w:space="0" w:color="E7E6E6"/>
              <w:left w:val="single" w:sz="12" w:space="0" w:color="E7E6E6"/>
              <w:bottom w:val="single" w:sz="8" w:space="0" w:color="E7E6E6"/>
              <w:right w:val="nil"/>
            </w:tcBorders>
            <w:shd w:val="clear" w:color="000000" w:fill="5B9BD5"/>
            <w:noWrap/>
            <w:vAlign w:val="center"/>
            <w:hideMark/>
          </w:tcPr>
          <w:p w14:paraId="1A06BB92"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Distribución</w:t>
            </w:r>
          </w:p>
        </w:tc>
      </w:tr>
      <w:tr w:rsidR="00B15F7D" w:rsidRPr="00990FB6" w14:paraId="62822112" w14:textId="77777777" w:rsidTr="000A0C22">
        <w:trPr>
          <w:trHeight w:val="16"/>
          <w:jc w:val="center"/>
        </w:trPr>
        <w:tc>
          <w:tcPr>
            <w:tcW w:w="2010" w:type="dxa"/>
            <w:vMerge/>
            <w:tcBorders>
              <w:top w:val="nil"/>
              <w:left w:val="nil"/>
              <w:bottom w:val="single" w:sz="12" w:space="0" w:color="D4D4D4"/>
              <w:right w:val="single" w:sz="8" w:space="0" w:color="E7E6E6"/>
            </w:tcBorders>
            <w:vAlign w:val="center"/>
            <w:hideMark/>
          </w:tcPr>
          <w:p w14:paraId="042E5A12" w14:textId="77777777" w:rsidR="00B15F7D" w:rsidRPr="00990FB6" w:rsidRDefault="00B15F7D" w:rsidP="00B15F7D">
            <w:pPr>
              <w:rPr>
                <w:b/>
                <w:bCs/>
                <w:color w:val="FFFFFF"/>
                <w:sz w:val="22"/>
                <w:szCs w:val="22"/>
                <w:lang w:eastAsia="es-CR"/>
              </w:rPr>
            </w:pPr>
          </w:p>
        </w:tc>
        <w:tc>
          <w:tcPr>
            <w:tcW w:w="1056" w:type="dxa"/>
            <w:vMerge/>
            <w:tcBorders>
              <w:top w:val="nil"/>
              <w:left w:val="single" w:sz="8" w:space="0" w:color="E7E6E6"/>
              <w:bottom w:val="single" w:sz="12" w:space="0" w:color="D4D4D4"/>
              <w:right w:val="single" w:sz="8" w:space="0" w:color="E7E6E6"/>
            </w:tcBorders>
            <w:vAlign w:val="center"/>
            <w:hideMark/>
          </w:tcPr>
          <w:p w14:paraId="01421180" w14:textId="77777777" w:rsidR="00B15F7D" w:rsidRPr="00990FB6" w:rsidRDefault="00B15F7D" w:rsidP="00B15F7D">
            <w:pPr>
              <w:rPr>
                <w:b/>
                <w:bCs/>
                <w:color w:val="FFFFFF"/>
                <w:sz w:val="22"/>
                <w:szCs w:val="22"/>
                <w:lang w:eastAsia="es-CR"/>
              </w:rPr>
            </w:pPr>
          </w:p>
        </w:tc>
        <w:tc>
          <w:tcPr>
            <w:tcW w:w="2317" w:type="dxa"/>
            <w:vMerge/>
            <w:tcBorders>
              <w:top w:val="nil"/>
              <w:left w:val="single" w:sz="8" w:space="0" w:color="E7E6E6"/>
              <w:bottom w:val="single" w:sz="12" w:space="0" w:color="D4D4D4"/>
              <w:right w:val="nil"/>
            </w:tcBorders>
            <w:vAlign w:val="center"/>
            <w:hideMark/>
          </w:tcPr>
          <w:p w14:paraId="5EA60E60" w14:textId="77777777" w:rsidR="00B15F7D" w:rsidRPr="00990FB6" w:rsidRDefault="00B15F7D" w:rsidP="00B15F7D">
            <w:pPr>
              <w:rPr>
                <w:b/>
                <w:bCs/>
                <w:color w:val="FFFFFF"/>
                <w:sz w:val="22"/>
                <w:szCs w:val="22"/>
                <w:lang w:eastAsia="es-CR"/>
              </w:rPr>
            </w:pPr>
          </w:p>
        </w:tc>
        <w:tc>
          <w:tcPr>
            <w:tcW w:w="1109" w:type="dxa"/>
            <w:tcBorders>
              <w:top w:val="nil"/>
              <w:left w:val="single" w:sz="8" w:space="0" w:color="E7E6E6"/>
              <w:bottom w:val="single" w:sz="12" w:space="0" w:color="D4D4D4"/>
              <w:right w:val="single" w:sz="8" w:space="0" w:color="E7E6E6"/>
            </w:tcBorders>
            <w:shd w:val="clear" w:color="000000" w:fill="305496"/>
            <w:vAlign w:val="center"/>
            <w:hideMark/>
          </w:tcPr>
          <w:p w14:paraId="23825F88"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Cantidad</w:t>
            </w:r>
          </w:p>
        </w:tc>
        <w:tc>
          <w:tcPr>
            <w:tcW w:w="1874" w:type="dxa"/>
            <w:tcBorders>
              <w:top w:val="nil"/>
              <w:left w:val="nil"/>
              <w:bottom w:val="single" w:sz="12" w:space="0" w:color="D4D4D4"/>
              <w:right w:val="single" w:sz="8" w:space="0" w:color="E7E6E6"/>
            </w:tcBorders>
            <w:shd w:val="clear" w:color="000000" w:fill="305496"/>
            <w:vAlign w:val="center"/>
            <w:hideMark/>
          </w:tcPr>
          <w:p w14:paraId="5B979D80"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Zona</w:t>
            </w:r>
          </w:p>
        </w:tc>
      </w:tr>
      <w:tr w:rsidR="00B15F7D" w:rsidRPr="00990FB6" w14:paraId="45D8EA0C" w14:textId="77777777" w:rsidTr="000A0C22">
        <w:trPr>
          <w:trHeight w:val="16"/>
          <w:jc w:val="center"/>
        </w:trPr>
        <w:tc>
          <w:tcPr>
            <w:tcW w:w="2010" w:type="dxa"/>
            <w:vMerge w:val="restart"/>
            <w:tcBorders>
              <w:top w:val="nil"/>
              <w:left w:val="single" w:sz="12" w:space="0" w:color="D4D4D4"/>
              <w:bottom w:val="single" w:sz="12" w:space="0" w:color="D4D4D4"/>
              <w:right w:val="single" w:sz="12" w:space="0" w:color="D4D4D4"/>
            </w:tcBorders>
            <w:shd w:val="clear" w:color="auto" w:fill="auto"/>
            <w:vAlign w:val="center"/>
            <w:hideMark/>
          </w:tcPr>
          <w:p w14:paraId="353BAD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927- Servicio Jurisdiccional</w:t>
            </w:r>
          </w:p>
        </w:tc>
        <w:tc>
          <w:tcPr>
            <w:tcW w:w="1056" w:type="dxa"/>
            <w:vMerge w:val="restart"/>
            <w:tcBorders>
              <w:top w:val="nil"/>
              <w:left w:val="single" w:sz="12" w:space="0" w:color="D4D4D4"/>
              <w:bottom w:val="single" w:sz="12" w:space="0" w:color="D4D4D4"/>
              <w:right w:val="single" w:sz="12" w:space="0" w:color="D4D4D4"/>
            </w:tcBorders>
            <w:shd w:val="clear" w:color="auto" w:fill="auto"/>
            <w:vAlign w:val="center"/>
            <w:hideMark/>
          </w:tcPr>
          <w:p w14:paraId="4D6D423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2317" w:type="dxa"/>
            <w:tcBorders>
              <w:top w:val="nil"/>
              <w:left w:val="nil"/>
              <w:bottom w:val="single" w:sz="12" w:space="0" w:color="D4D4D4"/>
              <w:right w:val="single" w:sz="12" w:space="0" w:color="D4D4D4"/>
            </w:tcBorders>
            <w:shd w:val="clear" w:color="auto" w:fill="auto"/>
            <w:vAlign w:val="center"/>
            <w:hideMark/>
          </w:tcPr>
          <w:p w14:paraId="739254E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Juez o jueza 3</w:t>
            </w:r>
          </w:p>
        </w:tc>
        <w:tc>
          <w:tcPr>
            <w:tcW w:w="1109" w:type="dxa"/>
            <w:tcBorders>
              <w:top w:val="nil"/>
              <w:left w:val="nil"/>
              <w:bottom w:val="single" w:sz="12" w:space="0" w:color="D4D4D4"/>
              <w:right w:val="single" w:sz="12" w:space="0" w:color="D4D4D4"/>
            </w:tcBorders>
            <w:shd w:val="clear" w:color="auto" w:fill="auto"/>
            <w:vAlign w:val="center"/>
            <w:hideMark/>
          </w:tcPr>
          <w:p w14:paraId="4FCF23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74" w:type="dxa"/>
            <w:tcBorders>
              <w:top w:val="nil"/>
              <w:left w:val="nil"/>
              <w:bottom w:val="single" w:sz="12" w:space="0" w:color="D4D4D4"/>
              <w:right w:val="single" w:sz="12" w:space="0" w:color="D4D4D4"/>
            </w:tcBorders>
            <w:shd w:val="clear" w:color="auto" w:fill="auto"/>
            <w:vAlign w:val="center"/>
            <w:hideMark/>
          </w:tcPr>
          <w:p w14:paraId="5886C8F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Golfito, Puerto Jiménez</w:t>
            </w:r>
          </w:p>
        </w:tc>
      </w:tr>
      <w:tr w:rsidR="00B15F7D" w:rsidRPr="00990FB6" w14:paraId="630B42A1" w14:textId="77777777" w:rsidTr="000A0C22">
        <w:trPr>
          <w:trHeight w:val="16"/>
          <w:jc w:val="center"/>
        </w:trPr>
        <w:tc>
          <w:tcPr>
            <w:tcW w:w="2010" w:type="dxa"/>
            <w:vMerge/>
            <w:tcBorders>
              <w:top w:val="nil"/>
              <w:left w:val="single" w:sz="12" w:space="0" w:color="D4D4D4"/>
              <w:bottom w:val="single" w:sz="12" w:space="0" w:color="D4D4D4"/>
              <w:right w:val="single" w:sz="12" w:space="0" w:color="D4D4D4"/>
            </w:tcBorders>
            <w:vAlign w:val="center"/>
            <w:hideMark/>
          </w:tcPr>
          <w:p w14:paraId="2D97B649" w14:textId="77777777" w:rsidR="00B15F7D" w:rsidRPr="00990FB6" w:rsidRDefault="00B15F7D" w:rsidP="00B15F7D">
            <w:pPr>
              <w:rPr>
                <w:color w:val="000000"/>
                <w:sz w:val="22"/>
                <w:szCs w:val="22"/>
                <w:lang w:eastAsia="es-CR"/>
              </w:rPr>
            </w:pPr>
          </w:p>
        </w:tc>
        <w:tc>
          <w:tcPr>
            <w:tcW w:w="1056" w:type="dxa"/>
            <w:vMerge/>
            <w:tcBorders>
              <w:top w:val="nil"/>
              <w:left w:val="single" w:sz="12" w:space="0" w:color="D4D4D4"/>
              <w:bottom w:val="single" w:sz="12" w:space="0" w:color="D4D4D4"/>
              <w:right w:val="single" w:sz="12" w:space="0" w:color="D4D4D4"/>
            </w:tcBorders>
            <w:vAlign w:val="center"/>
            <w:hideMark/>
          </w:tcPr>
          <w:p w14:paraId="3038E5E3" w14:textId="77777777" w:rsidR="00B15F7D" w:rsidRPr="00990FB6" w:rsidRDefault="00B15F7D" w:rsidP="00B15F7D">
            <w:pPr>
              <w:rPr>
                <w:color w:val="000000"/>
                <w:sz w:val="22"/>
                <w:szCs w:val="22"/>
                <w:lang w:eastAsia="es-CR"/>
              </w:rPr>
            </w:pPr>
          </w:p>
        </w:tc>
        <w:tc>
          <w:tcPr>
            <w:tcW w:w="2317" w:type="dxa"/>
            <w:tcBorders>
              <w:top w:val="nil"/>
              <w:left w:val="nil"/>
              <w:bottom w:val="single" w:sz="12" w:space="0" w:color="D4D4D4"/>
              <w:right w:val="single" w:sz="12" w:space="0" w:color="D4D4D4"/>
            </w:tcBorders>
            <w:shd w:val="clear" w:color="auto" w:fill="auto"/>
            <w:vAlign w:val="center"/>
            <w:hideMark/>
          </w:tcPr>
          <w:p w14:paraId="11D8075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Técnica o Técnico Judicial 2</w:t>
            </w:r>
          </w:p>
        </w:tc>
        <w:tc>
          <w:tcPr>
            <w:tcW w:w="1109" w:type="dxa"/>
            <w:tcBorders>
              <w:top w:val="nil"/>
              <w:left w:val="nil"/>
              <w:bottom w:val="single" w:sz="12" w:space="0" w:color="D4D4D4"/>
              <w:right w:val="single" w:sz="12" w:space="0" w:color="D4D4D4"/>
            </w:tcBorders>
            <w:shd w:val="clear" w:color="auto" w:fill="auto"/>
            <w:vAlign w:val="center"/>
            <w:hideMark/>
          </w:tcPr>
          <w:p w14:paraId="279F42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1874" w:type="dxa"/>
            <w:tcBorders>
              <w:top w:val="nil"/>
              <w:left w:val="nil"/>
              <w:bottom w:val="single" w:sz="12" w:space="0" w:color="D4D4D4"/>
              <w:right w:val="single" w:sz="12" w:space="0" w:color="D4D4D4"/>
            </w:tcBorders>
            <w:shd w:val="clear" w:color="auto" w:fill="auto"/>
            <w:vAlign w:val="center"/>
            <w:hideMark/>
          </w:tcPr>
          <w:p w14:paraId="23CF4E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Golfito, Puerto Jiménez</w:t>
            </w:r>
          </w:p>
        </w:tc>
      </w:tr>
      <w:tr w:rsidR="00B15F7D" w:rsidRPr="00990FB6" w14:paraId="558B735E" w14:textId="77777777" w:rsidTr="000A0C22">
        <w:trPr>
          <w:trHeight w:val="16"/>
          <w:jc w:val="center"/>
        </w:trPr>
        <w:tc>
          <w:tcPr>
            <w:tcW w:w="2010" w:type="dxa"/>
            <w:vMerge w:val="restart"/>
            <w:tcBorders>
              <w:top w:val="nil"/>
              <w:left w:val="single" w:sz="12" w:space="0" w:color="D4D4D4"/>
              <w:bottom w:val="single" w:sz="12" w:space="0" w:color="D4D4D4"/>
              <w:right w:val="single" w:sz="12" w:space="0" w:color="D4D4D4"/>
            </w:tcBorders>
            <w:shd w:val="clear" w:color="auto" w:fill="auto"/>
            <w:vAlign w:val="center"/>
            <w:hideMark/>
          </w:tcPr>
          <w:p w14:paraId="4208024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928-OIJ</w:t>
            </w:r>
          </w:p>
        </w:tc>
        <w:tc>
          <w:tcPr>
            <w:tcW w:w="1056" w:type="dxa"/>
            <w:vMerge w:val="restart"/>
            <w:tcBorders>
              <w:top w:val="nil"/>
              <w:left w:val="single" w:sz="12" w:space="0" w:color="D4D4D4"/>
              <w:bottom w:val="single" w:sz="12" w:space="0" w:color="D4D4D4"/>
              <w:right w:val="single" w:sz="12" w:space="0" w:color="D4D4D4"/>
            </w:tcBorders>
            <w:shd w:val="clear" w:color="auto" w:fill="auto"/>
            <w:vAlign w:val="center"/>
            <w:hideMark/>
          </w:tcPr>
          <w:p w14:paraId="484BB42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8</w:t>
            </w:r>
          </w:p>
        </w:tc>
        <w:tc>
          <w:tcPr>
            <w:tcW w:w="2317" w:type="dxa"/>
            <w:tcBorders>
              <w:top w:val="nil"/>
              <w:left w:val="nil"/>
              <w:bottom w:val="single" w:sz="12" w:space="0" w:color="D4D4D4"/>
              <w:right w:val="single" w:sz="12" w:space="0" w:color="D4D4D4"/>
            </w:tcBorders>
            <w:shd w:val="clear" w:color="auto" w:fill="auto"/>
            <w:vAlign w:val="center"/>
            <w:hideMark/>
          </w:tcPr>
          <w:p w14:paraId="1B4A56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Investigador 1</w:t>
            </w:r>
          </w:p>
        </w:tc>
        <w:tc>
          <w:tcPr>
            <w:tcW w:w="1109" w:type="dxa"/>
            <w:tcBorders>
              <w:top w:val="nil"/>
              <w:left w:val="nil"/>
              <w:bottom w:val="single" w:sz="12" w:space="0" w:color="D4D4D4"/>
              <w:right w:val="single" w:sz="12" w:space="0" w:color="D4D4D4"/>
            </w:tcBorders>
            <w:shd w:val="clear" w:color="auto" w:fill="auto"/>
            <w:vAlign w:val="center"/>
            <w:hideMark/>
          </w:tcPr>
          <w:p w14:paraId="0DE4E6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3</w:t>
            </w:r>
          </w:p>
        </w:tc>
        <w:tc>
          <w:tcPr>
            <w:tcW w:w="1874" w:type="dxa"/>
            <w:vMerge w:val="restart"/>
            <w:tcBorders>
              <w:top w:val="nil"/>
              <w:left w:val="single" w:sz="12" w:space="0" w:color="D4D4D4"/>
              <w:bottom w:val="single" w:sz="12" w:space="0" w:color="D4D4D4"/>
              <w:right w:val="single" w:sz="12" w:space="0" w:color="D4D4D4"/>
            </w:tcBorders>
            <w:shd w:val="clear" w:color="auto" w:fill="auto"/>
            <w:vAlign w:val="center"/>
            <w:hideMark/>
          </w:tcPr>
          <w:p w14:paraId="217D0D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Golfito, Puerto Jiménez</w:t>
            </w:r>
          </w:p>
        </w:tc>
      </w:tr>
      <w:tr w:rsidR="00B15F7D" w:rsidRPr="00990FB6" w14:paraId="75E1B480" w14:textId="77777777" w:rsidTr="000A0C22">
        <w:trPr>
          <w:trHeight w:val="16"/>
          <w:jc w:val="center"/>
        </w:trPr>
        <w:tc>
          <w:tcPr>
            <w:tcW w:w="2010" w:type="dxa"/>
            <w:vMerge/>
            <w:tcBorders>
              <w:top w:val="nil"/>
              <w:left w:val="single" w:sz="12" w:space="0" w:color="D4D4D4"/>
              <w:bottom w:val="single" w:sz="12" w:space="0" w:color="D4D4D4"/>
              <w:right w:val="single" w:sz="12" w:space="0" w:color="D4D4D4"/>
            </w:tcBorders>
            <w:vAlign w:val="center"/>
            <w:hideMark/>
          </w:tcPr>
          <w:p w14:paraId="61D5C12D" w14:textId="77777777" w:rsidR="00B15F7D" w:rsidRPr="00990FB6" w:rsidRDefault="00B15F7D" w:rsidP="00B15F7D">
            <w:pPr>
              <w:rPr>
                <w:color w:val="000000"/>
                <w:sz w:val="22"/>
                <w:szCs w:val="22"/>
                <w:lang w:eastAsia="es-CR"/>
              </w:rPr>
            </w:pPr>
          </w:p>
        </w:tc>
        <w:tc>
          <w:tcPr>
            <w:tcW w:w="1056" w:type="dxa"/>
            <w:vMerge/>
            <w:tcBorders>
              <w:top w:val="nil"/>
              <w:left w:val="single" w:sz="12" w:space="0" w:color="D4D4D4"/>
              <w:bottom w:val="single" w:sz="12" w:space="0" w:color="D4D4D4"/>
              <w:right w:val="single" w:sz="12" w:space="0" w:color="D4D4D4"/>
            </w:tcBorders>
            <w:vAlign w:val="center"/>
            <w:hideMark/>
          </w:tcPr>
          <w:p w14:paraId="6060C7FE" w14:textId="77777777" w:rsidR="00B15F7D" w:rsidRPr="00990FB6" w:rsidRDefault="00B15F7D" w:rsidP="00B15F7D">
            <w:pPr>
              <w:rPr>
                <w:color w:val="000000"/>
                <w:sz w:val="22"/>
                <w:szCs w:val="22"/>
                <w:lang w:eastAsia="es-CR"/>
              </w:rPr>
            </w:pPr>
          </w:p>
        </w:tc>
        <w:tc>
          <w:tcPr>
            <w:tcW w:w="2317" w:type="dxa"/>
            <w:tcBorders>
              <w:top w:val="nil"/>
              <w:left w:val="nil"/>
              <w:bottom w:val="single" w:sz="12" w:space="0" w:color="D4D4D4"/>
              <w:right w:val="single" w:sz="12" w:space="0" w:color="D4D4D4"/>
            </w:tcBorders>
            <w:shd w:val="clear" w:color="auto" w:fill="auto"/>
            <w:vAlign w:val="center"/>
            <w:hideMark/>
          </w:tcPr>
          <w:p w14:paraId="7BE543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Custodios de detenidos </w:t>
            </w:r>
          </w:p>
        </w:tc>
        <w:tc>
          <w:tcPr>
            <w:tcW w:w="1109" w:type="dxa"/>
            <w:tcBorders>
              <w:top w:val="nil"/>
              <w:left w:val="nil"/>
              <w:bottom w:val="single" w:sz="12" w:space="0" w:color="D4D4D4"/>
              <w:right w:val="single" w:sz="12" w:space="0" w:color="D4D4D4"/>
            </w:tcBorders>
            <w:shd w:val="clear" w:color="auto" w:fill="auto"/>
            <w:vAlign w:val="center"/>
            <w:hideMark/>
          </w:tcPr>
          <w:p w14:paraId="256112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w:t>
            </w:r>
          </w:p>
        </w:tc>
        <w:tc>
          <w:tcPr>
            <w:tcW w:w="1874" w:type="dxa"/>
            <w:vMerge/>
            <w:tcBorders>
              <w:top w:val="nil"/>
              <w:left w:val="single" w:sz="12" w:space="0" w:color="D4D4D4"/>
              <w:bottom w:val="single" w:sz="12" w:space="0" w:color="D4D4D4"/>
              <w:right w:val="single" w:sz="12" w:space="0" w:color="D4D4D4"/>
            </w:tcBorders>
            <w:vAlign w:val="center"/>
            <w:hideMark/>
          </w:tcPr>
          <w:p w14:paraId="1800E86F" w14:textId="77777777" w:rsidR="00B15F7D" w:rsidRPr="00990FB6" w:rsidRDefault="00B15F7D" w:rsidP="00B15F7D">
            <w:pPr>
              <w:rPr>
                <w:color w:val="000000"/>
                <w:sz w:val="22"/>
                <w:szCs w:val="22"/>
                <w:lang w:eastAsia="es-CR"/>
              </w:rPr>
            </w:pPr>
          </w:p>
        </w:tc>
      </w:tr>
      <w:tr w:rsidR="00B15F7D" w:rsidRPr="00990FB6" w14:paraId="0E0F97A4" w14:textId="77777777" w:rsidTr="000A0C22">
        <w:trPr>
          <w:trHeight w:val="16"/>
          <w:jc w:val="center"/>
        </w:trPr>
        <w:tc>
          <w:tcPr>
            <w:tcW w:w="2010" w:type="dxa"/>
            <w:vMerge/>
            <w:tcBorders>
              <w:top w:val="nil"/>
              <w:left w:val="single" w:sz="12" w:space="0" w:color="D4D4D4"/>
              <w:bottom w:val="single" w:sz="12" w:space="0" w:color="D4D4D4"/>
              <w:right w:val="single" w:sz="12" w:space="0" w:color="D4D4D4"/>
            </w:tcBorders>
            <w:vAlign w:val="center"/>
            <w:hideMark/>
          </w:tcPr>
          <w:p w14:paraId="6ED68BF5" w14:textId="77777777" w:rsidR="00B15F7D" w:rsidRPr="00990FB6" w:rsidRDefault="00B15F7D" w:rsidP="00B15F7D">
            <w:pPr>
              <w:rPr>
                <w:color w:val="000000"/>
                <w:sz w:val="22"/>
                <w:szCs w:val="22"/>
                <w:lang w:eastAsia="es-CR"/>
              </w:rPr>
            </w:pPr>
          </w:p>
        </w:tc>
        <w:tc>
          <w:tcPr>
            <w:tcW w:w="1056" w:type="dxa"/>
            <w:vMerge/>
            <w:tcBorders>
              <w:top w:val="nil"/>
              <w:left w:val="single" w:sz="12" w:space="0" w:color="D4D4D4"/>
              <w:bottom w:val="single" w:sz="12" w:space="0" w:color="D4D4D4"/>
              <w:right w:val="single" w:sz="12" w:space="0" w:color="D4D4D4"/>
            </w:tcBorders>
            <w:vAlign w:val="center"/>
            <w:hideMark/>
          </w:tcPr>
          <w:p w14:paraId="37C420C7" w14:textId="77777777" w:rsidR="00B15F7D" w:rsidRPr="00990FB6" w:rsidRDefault="00B15F7D" w:rsidP="00B15F7D">
            <w:pPr>
              <w:rPr>
                <w:color w:val="000000"/>
                <w:sz w:val="22"/>
                <w:szCs w:val="22"/>
                <w:lang w:eastAsia="es-CR"/>
              </w:rPr>
            </w:pPr>
          </w:p>
        </w:tc>
        <w:tc>
          <w:tcPr>
            <w:tcW w:w="2317" w:type="dxa"/>
            <w:tcBorders>
              <w:top w:val="nil"/>
              <w:left w:val="nil"/>
              <w:bottom w:val="single" w:sz="12" w:space="0" w:color="D4D4D4"/>
              <w:right w:val="single" w:sz="12" w:space="0" w:color="D4D4D4"/>
            </w:tcBorders>
            <w:shd w:val="clear" w:color="auto" w:fill="auto"/>
            <w:vAlign w:val="center"/>
            <w:hideMark/>
          </w:tcPr>
          <w:p w14:paraId="7A2A45F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Oficial de Investigación</w:t>
            </w:r>
          </w:p>
        </w:tc>
        <w:tc>
          <w:tcPr>
            <w:tcW w:w="1109" w:type="dxa"/>
            <w:tcBorders>
              <w:top w:val="nil"/>
              <w:left w:val="nil"/>
              <w:bottom w:val="single" w:sz="12" w:space="0" w:color="D4D4D4"/>
              <w:right w:val="single" w:sz="12" w:space="0" w:color="D4D4D4"/>
            </w:tcBorders>
            <w:shd w:val="clear" w:color="auto" w:fill="auto"/>
            <w:vAlign w:val="center"/>
            <w:hideMark/>
          </w:tcPr>
          <w:p w14:paraId="42CBD0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74" w:type="dxa"/>
            <w:vMerge/>
            <w:tcBorders>
              <w:top w:val="nil"/>
              <w:left w:val="single" w:sz="12" w:space="0" w:color="D4D4D4"/>
              <w:bottom w:val="single" w:sz="12" w:space="0" w:color="D4D4D4"/>
              <w:right w:val="single" w:sz="12" w:space="0" w:color="D4D4D4"/>
            </w:tcBorders>
            <w:vAlign w:val="center"/>
            <w:hideMark/>
          </w:tcPr>
          <w:p w14:paraId="200F8289" w14:textId="77777777" w:rsidR="00B15F7D" w:rsidRPr="00990FB6" w:rsidRDefault="00B15F7D" w:rsidP="00B15F7D">
            <w:pPr>
              <w:rPr>
                <w:color w:val="000000"/>
                <w:sz w:val="22"/>
                <w:szCs w:val="22"/>
                <w:lang w:eastAsia="es-CR"/>
              </w:rPr>
            </w:pPr>
          </w:p>
        </w:tc>
      </w:tr>
      <w:tr w:rsidR="00B15F7D" w:rsidRPr="00990FB6" w14:paraId="6688324B" w14:textId="77777777" w:rsidTr="000A0C22">
        <w:trPr>
          <w:trHeight w:val="16"/>
          <w:jc w:val="center"/>
        </w:trPr>
        <w:tc>
          <w:tcPr>
            <w:tcW w:w="2010" w:type="dxa"/>
            <w:vMerge/>
            <w:tcBorders>
              <w:top w:val="nil"/>
              <w:left w:val="single" w:sz="12" w:space="0" w:color="D4D4D4"/>
              <w:bottom w:val="single" w:sz="12" w:space="0" w:color="D4D4D4"/>
              <w:right w:val="single" w:sz="12" w:space="0" w:color="D4D4D4"/>
            </w:tcBorders>
            <w:vAlign w:val="center"/>
            <w:hideMark/>
          </w:tcPr>
          <w:p w14:paraId="07392834" w14:textId="77777777" w:rsidR="00B15F7D" w:rsidRPr="00990FB6" w:rsidRDefault="00B15F7D" w:rsidP="00B15F7D">
            <w:pPr>
              <w:rPr>
                <w:color w:val="000000"/>
                <w:sz w:val="22"/>
                <w:szCs w:val="22"/>
                <w:lang w:eastAsia="es-CR"/>
              </w:rPr>
            </w:pPr>
          </w:p>
        </w:tc>
        <w:tc>
          <w:tcPr>
            <w:tcW w:w="1056" w:type="dxa"/>
            <w:vMerge/>
            <w:tcBorders>
              <w:top w:val="nil"/>
              <w:left w:val="single" w:sz="12" w:space="0" w:color="D4D4D4"/>
              <w:bottom w:val="single" w:sz="12" w:space="0" w:color="D4D4D4"/>
              <w:right w:val="single" w:sz="12" w:space="0" w:color="D4D4D4"/>
            </w:tcBorders>
            <w:vAlign w:val="center"/>
            <w:hideMark/>
          </w:tcPr>
          <w:p w14:paraId="36C7FA27" w14:textId="77777777" w:rsidR="00B15F7D" w:rsidRPr="00990FB6" w:rsidRDefault="00B15F7D" w:rsidP="00B15F7D">
            <w:pPr>
              <w:rPr>
                <w:color w:val="000000"/>
                <w:sz w:val="22"/>
                <w:szCs w:val="22"/>
                <w:lang w:eastAsia="es-CR"/>
              </w:rPr>
            </w:pPr>
          </w:p>
        </w:tc>
        <w:tc>
          <w:tcPr>
            <w:tcW w:w="2317" w:type="dxa"/>
            <w:tcBorders>
              <w:top w:val="nil"/>
              <w:left w:val="nil"/>
              <w:bottom w:val="single" w:sz="12" w:space="0" w:color="D4D4D4"/>
              <w:right w:val="single" w:sz="12" w:space="0" w:color="D4D4D4"/>
            </w:tcBorders>
            <w:shd w:val="clear" w:color="auto" w:fill="auto"/>
            <w:vAlign w:val="center"/>
            <w:hideMark/>
          </w:tcPr>
          <w:p w14:paraId="30D48A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Investigador 2</w:t>
            </w:r>
          </w:p>
        </w:tc>
        <w:tc>
          <w:tcPr>
            <w:tcW w:w="1109" w:type="dxa"/>
            <w:tcBorders>
              <w:top w:val="nil"/>
              <w:left w:val="nil"/>
              <w:bottom w:val="single" w:sz="12" w:space="0" w:color="D4D4D4"/>
              <w:right w:val="single" w:sz="12" w:space="0" w:color="D4D4D4"/>
            </w:tcBorders>
            <w:shd w:val="clear" w:color="auto" w:fill="auto"/>
            <w:vAlign w:val="center"/>
            <w:hideMark/>
          </w:tcPr>
          <w:p w14:paraId="64E186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74" w:type="dxa"/>
            <w:vMerge/>
            <w:tcBorders>
              <w:top w:val="nil"/>
              <w:left w:val="single" w:sz="12" w:space="0" w:color="D4D4D4"/>
              <w:bottom w:val="single" w:sz="12" w:space="0" w:color="D4D4D4"/>
              <w:right w:val="single" w:sz="12" w:space="0" w:color="D4D4D4"/>
            </w:tcBorders>
            <w:vAlign w:val="center"/>
            <w:hideMark/>
          </w:tcPr>
          <w:p w14:paraId="3AF1BA63" w14:textId="77777777" w:rsidR="00B15F7D" w:rsidRPr="00990FB6" w:rsidRDefault="00B15F7D" w:rsidP="00B15F7D">
            <w:pPr>
              <w:rPr>
                <w:color w:val="000000"/>
                <w:sz w:val="22"/>
                <w:szCs w:val="22"/>
                <w:lang w:eastAsia="es-CR"/>
              </w:rPr>
            </w:pPr>
          </w:p>
        </w:tc>
      </w:tr>
      <w:tr w:rsidR="00B15F7D" w:rsidRPr="00990FB6" w14:paraId="36D77564" w14:textId="77777777" w:rsidTr="000A0C22">
        <w:trPr>
          <w:trHeight w:val="16"/>
          <w:jc w:val="center"/>
        </w:trPr>
        <w:tc>
          <w:tcPr>
            <w:tcW w:w="2010" w:type="dxa"/>
            <w:vMerge/>
            <w:tcBorders>
              <w:top w:val="nil"/>
              <w:left w:val="single" w:sz="12" w:space="0" w:color="D4D4D4"/>
              <w:bottom w:val="single" w:sz="12" w:space="0" w:color="D4D4D4"/>
              <w:right w:val="single" w:sz="12" w:space="0" w:color="D4D4D4"/>
            </w:tcBorders>
            <w:vAlign w:val="center"/>
            <w:hideMark/>
          </w:tcPr>
          <w:p w14:paraId="11FE4848" w14:textId="77777777" w:rsidR="00B15F7D" w:rsidRPr="00990FB6" w:rsidRDefault="00B15F7D" w:rsidP="00B15F7D">
            <w:pPr>
              <w:rPr>
                <w:color w:val="000000"/>
                <w:sz w:val="22"/>
                <w:szCs w:val="22"/>
                <w:lang w:eastAsia="es-CR"/>
              </w:rPr>
            </w:pPr>
          </w:p>
        </w:tc>
        <w:tc>
          <w:tcPr>
            <w:tcW w:w="1056" w:type="dxa"/>
            <w:vMerge/>
            <w:tcBorders>
              <w:top w:val="nil"/>
              <w:left w:val="single" w:sz="12" w:space="0" w:color="D4D4D4"/>
              <w:bottom w:val="single" w:sz="12" w:space="0" w:color="D4D4D4"/>
              <w:right w:val="single" w:sz="12" w:space="0" w:color="D4D4D4"/>
            </w:tcBorders>
            <w:vAlign w:val="center"/>
            <w:hideMark/>
          </w:tcPr>
          <w:p w14:paraId="6327AE3F" w14:textId="77777777" w:rsidR="00B15F7D" w:rsidRPr="00990FB6" w:rsidRDefault="00B15F7D" w:rsidP="00B15F7D">
            <w:pPr>
              <w:rPr>
                <w:color w:val="000000"/>
                <w:sz w:val="22"/>
                <w:szCs w:val="22"/>
                <w:lang w:eastAsia="es-CR"/>
              </w:rPr>
            </w:pPr>
          </w:p>
        </w:tc>
        <w:tc>
          <w:tcPr>
            <w:tcW w:w="2317" w:type="dxa"/>
            <w:tcBorders>
              <w:top w:val="nil"/>
              <w:left w:val="nil"/>
              <w:bottom w:val="single" w:sz="12" w:space="0" w:color="D4D4D4"/>
              <w:right w:val="single" w:sz="12" w:space="0" w:color="D4D4D4"/>
            </w:tcBorders>
            <w:shd w:val="clear" w:color="auto" w:fill="auto"/>
            <w:vAlign w:val="center"/>
            <w:hideMark/>
          </w:tcPr>
          <w:p w14:paraId="04549AA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Auxiliar Administrativo (Denuncias)</w:t>
            </w:r>
          </w:p>
        </w:tc>
        <w:tc>
          <w:tcPr>
            <w:tcW w:w="1109" w:type="dxa"/>
            <w:tcBorders>
              <w:top w:val="nil"/>
              <w:left w:val="nil"/>
              <w:bottom w:val="single" w:sz="12" w:space="0" w:color="D4D4D4"/>
              <w:right w:val="single" w:sz="12" w:space="0" w:color="D4D4D4"/>
            </w:tcBorders>
            <w:shd w:val="clear" w:color="auto" w:fill="auto"/>
            <w:vAlign w:val="center"/>
            <w:hideMark/>
          </w:tcPr>
          <w:p w14:paraId="3CBDC4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74" w:type="dxa"/>
            <w:vMerge/>
            <w:tcBorders>
              <w:top w:val="nil"/>
              <w:left w:val="single" w:sz="12" w:space="0" w:color="D4D4D4"/>
              <w:bottom w:val="single" w:sz="12" w:space="0" w:color="D4D4D4"/>
              <w:right w:val="single" w:sz="12" w:space="0" w:color="D4D4D4"/>
            </w:tcBorders>
            <w:vAlign w:val="center"/>
            <w:hideMark/>
          </w:tcPr>
          <w:p w14:paraId="57280F15" w14:textId="77777777" w:rsidR="00B15F7D" w:rsidRPr="00990FB6" w:rsidRDefault="00B15F7D" w:rsidP="00B15F7D">
            <w:pPr>
              <w:rPr>
                <w:color w:val="000000"/>
                <w:sz w:val="22"/>
                <w:szCs w:val="22"/>
                <w:lang w:eastAsia="es-CR"/>
              </w:rPr>
            </w:pPr>
          </w:p>
        </w:tc>
      </w:tr>
      <w:tr w:rsidR="00B15F7D" w:rsidRPr="00990FB6" w14:paraId="2232CBB8" w14:textId="77777777" w:rsidTr="000A0C22">
        <w:trPr>
          <w:trHeight w:val="16"/>
          <w:jc w:val="center"/>
        </w:trPr>
        <w:tc>
          <w:tcPr>
            <w:tcW w:w="2010" w:type="dxa"/>
            <w:tcBorders>
              <w:top w:val="nil"/>
              <w:left w:val="single" w:sz="12" w:space="0" w:color="D4D4D4"/>
              <w:bottom w:val="single" w:sz="12" w:space="0" w:color="D4D4D4"/>
              <w:right w:val="single" w:sz="12" w:space="0" w:color="D4D4D4"/>
            </w:tcBorders>
            <w:shd w:val="clear" w:color="auto" w:fill="auto"/>
            <w:vAlign w:val="center"/>
            <w:hideMark/>
          </w:tcPr>
          <w:p w14:paraId="02BF52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929- Fiscalía General</w:t>
            </w:r>
          </w:p>
        </w:tc>
        <w:tc>
          <w:tcPr>
            <w:tcW w:w="1056" w:type="dxa"/>
            <w:tcBorders>
              <w:top w:val="nil"/>
              <w:left w:val="nil"/>
              <w:bottom w:val="single" w:sz="12" w:space="0" w:color="D4D4D4"/>
              <w:right w:val="single" w:sz="12" w:space="0" w:color="D4D4D4"/>
            </w:tcBorders>
            <w:shd w:val="clear" w:color="auto" w:fill="auto"/>
            <w:vAlign w:val="center"/>
            <w:hideMark/>
          </w:tcPr>
          <w:p w14:paraId="00C226D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317" w:type="dxa"/>
            <w:tcBorders>
              <w:top w:val="nil"/>
              <w:left w:val="nil"/>
              <w:bottom w:val="single" w:sz="12" w:space="0" w:color="D4D4D4"/>
              <w:right w:val="single" w:sz="12" w:space="0" w:color="D4D4D4"/>
            </w:tcBorders>
            <w:shd w:val="clear" w:color="auto" w:fill="auto"/>
            <w:vAlign w:val="center"/>
            <w:hideMark/>
          </w:tcPr>
          <w:p w14:paraId="33586FD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Fiscal Auxiliar</w:t>
            </w:r>
          </w:p>
        </w:tc>
        <w:tc>
          <w:tcPr>
            <w:tcW w:w="1109" w:type="dxa"/>
            <w:tcBorders>
              <w:top w:val="nil"/>
              <w:left w:val="nil"/>
              <w:bottom w:val="single" w:sz="12" w:space="0" w:color="D4D4D4"/>
              <w:right w:val="single" w:sz="12" w:space="0" w:color="D4D4D4"/>
            </w:tcBorders>
            <w:shd w:val="clear" w:color="auto" w:fill="auto"/>
            <w:vAlign w:val="center"/>
            <w:hideMark/>
          </w:tcPr>
          <w:p w14:paraId="62C7F1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74" w:type="dxa"/>
            <w:tcBorders>
              <w:top w:val="nil"/>
              <w:left w:val="nil"/>
              <w:bottom w:val="single" w:sz="12" w:space="0" w:color="D4D4D4"/>
              <w:right w:val="single" w:sz="12" w:space="0" w:color="D4D4D4"/>
            </w:tcBorders>
            <w:shd w:val="clear" w:color="auto" w:fill="auto"/>
            <w:vAlign w:val="center"/>
            <w:hideMark/>
          </w:tcPr>
          <w:p w14:paraId="2B777E3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Golfito, Puerto Jiménez</w:t>
            </w:r>
          </w:p>
        </w:tc>
      </w:tr>
      <w:tr w:rsidR="00B15F7D" w:rsidRPr="00990FB6" w14:paraId="1B617C28" w14:textId="77777777" w:rsidTr="000A0C22">
        <w:trPr>
          <w:trHeight w:val="16"/>
          <w:jc w:val="center"/>
        </w:trPr>
        <w:tc>
          <w:tcPr>
            <w:tcW w:w="2010" w:type="dxa"/>
            <w:tcBorders>
              <w:top w:val="nil"/>
              <w:left w:val="single" w:sz="12" w:space="0" w:color="D4D4D4"/>
              <w:bottom w:val="single" w:sz="12" w:space="0" w:color="D4D4D4"/>
              <w:right w:val="single" w:sz="12" w:space="0" w:color="D4D4D4"/>
            </w:tcBorders>
            <w:shd w:val="clear" w:color="auto" w:fill="auto"/>
            <w:vAlign w:val="center"/>
            <w:hideMark/>
          </w:tcPr>
          <w:p w14:paraId="11BE185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930- Defensa Pública</w:t>
            </w:r>
          </w:p>
        </w:tc>
        <w:tc>
          <w:tcPr>
            <w:tcW w:w="1056" w:type="dxa"/>
            <w:tcBorders>
              <w:top w:val="nil"/>
              <w:left w:val="nil"/>
              <w:bottom w:val="single" w:sz="12" w:space="0" w:color="D4D4D4"/>
              <w:right w:val="single" w:sz="12" w:space="0" w:color="D4D4D4"/>
            </w:tcBorders>
            <w:shd w:val="clear" w:color="auto" w:fill="auto"/>
            <w:vAlign w:val="center"/>
            <w:hideMark/>
          </w:tcPr>
          <w:p w14:paraId="44B90B9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2317" w:type="dxa"/>
            <w:tcBorders>
              <w:top w:val="nil"/>
              <w:left w:val="nil"/>
              <w:bottom w:val="single" w:sz="12" w:space="0" w:color="D4D4D4"/>
              <w:right w:val="single" w:sz="12" w:space="0" w:color="D4D4D4"/>
            </w:tcBorders>
            <w:shd w:val="clear" w:color="auto" w:fill="auto"/>
            <w:vAlign w:val="center"/>
            <w:hideMark/>
          </w:tcPr>
          <w:p w14:paraId="09FF547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Defensor Público</w:t>
            </w:r>
          </w:p>
        </w:tc>
        <w:tc>
          <w:tcPr>
            <w:tcW w:w="1109" w:type="dxa"/>
            <w:tcBorders>
              <w:top w:val="nil"/>
              <w:left w:val="nil"/>
              <w:bottom w:val="single" w:sz="12" w:space="0" w:color="D4D4D4"/>
              <w:right w:val="single" w:sz="12" w:space="0" w:color="D4D4D4"/>
            </w:tcBorders>
            <w:shd w:val="clear" w:color="auto" w:fill="auto"/>
            <w:vAlign w:val="center"/>
            <w:hideMark/>
          </w:tcPr>
          <w:p w14:paraId="2358F9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w:t>
            </w:r>
          </w:p>
        </w:tc>
        <w:tc>
          <w:tcPr>
            <w:tcW w:w="1874" w:type="dxa"/>
            <w:tcBorders>
              <w:top w:val="nil"/>
              <w:left w:val="nil"/>
              <w:bottom w:val="single" w:sz="12" w:space="0" w:color="D4D4D4"/>
              <w:right w:val="single" w:sz="12" w:space="0" w:color="D4D4D4"/>
            </w:tcBorders>
            <w:shd w:val="clear" w:color="auto" w:fill="auto"/>
            <w:vAlign w:val="center"/>
            <w:hideMark/>
          </w:tcPr>
          <w:p w14:paraId="277054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Golfito, Puerto Jiménez</w:t>
            </w:r>
          </w:p>
        </w:tc>
      </w:tr>
      <w:tr w:rsidR="00B15F7D" w:rsidRPr="00990FB6" w14:paraId="4CDBBCCA" w14:textId="77777777" w:rsidTr="000A0C22">
        <w:trPr>
          <w:trHeight w:val="16"/>
          <w:jc w:val="center"/>
        </w:trPr>
        <w:tc>
          <w:tcPr>
            <w:tcW w:w="2010" w:type="dxa"/>
            <w:tcBorders>
              <w:top w:val="nil"/>
              <w:left w:val="single" w:sz="8" w:space="0" w:color="E7E6E6"/>
              <w:bottom w:val="single" w:sz="8" w:space="0" w:color="E7E6E6"/>
              <w:right w:val="single" w:sz="12" w:space="0" w:color="E7E6E6"/>
            </w:tcBorders>
            <w:shd w:val="clear" w:color="000000" w:fill="DEEAF6"/>
            <w:vAlign w:val="center"/>
            <w:hideMark/>
          </w:tcPr>
          <w:p w14:paraId="05E4D47D" w14:textId="77777777" w:rsidR="00B15F7D" w:rsidRPr="00990FB6" w:rsidRDefault="00B15F7D" w:rsidP="00B15F7D">
            <w:pPr>
              <w:rPr>
                <w:b/>
                <w:bCs/>
                <w:color w:val="3A3838"/>
                <w:sz w:val="22"/>
                <w:szCs w:val="22"/>
                <w:lang w:eastAsia="es-CR"/>
              </w:rPr>
            </w:pPr>
            <w:r w:rsidRPr="00990FB6">
              <w:rPr>
                <w:b/>
                <w:bCs/>
                <w:color w:val="3A3838"/>
                <w:sz w:val="22"/>
                <w:szCs w:val="22"/>
                <w:lang w:eastAsia="es-CR"/>
              </w:rPr>
              <w:t>Total plazas</w:t>
            </w:r>
          </w:p>
        </w:tc>
        <w:tc>
          <w:tcPr>
            <w:tcW w:w="1056" w:type="dxa"/>
            <w:tcBorders>
              <w:top w:val="nil"/>
              <w:left w:val="nil"/>
              <w:bottom w:val="single" w:sz="12" w:space="0" w:color="E7E6E6"/>
              <w:right w:val="single" w:sz="8" w:space="0" w:color="E7E6E6"/>
            </w:tcBorders>
            <w:shd w:val="clear" w:color="000000" w:fill="DEEAF6"/>
            <w:vAlign w:val="center"/>
            <w:hideMark/>
          </w:tcPr>
          <w:p w14:paraId="36B87D9A"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13</w:t>
            </w:r>
          </w:p>
        </w:tc>
        <w:tc>
          <w:tcPr>
            <w:tcW w:w="2317" w:type="dxa"/>
            <w:tcBorders>
              <w:top w:val="nil"/>
              <w:left w:val="nil"/>
              <w:bottom w:val="single" w:sz="12" w:space="0" w:color="E7E6E6"/>
              <w:right w:val="single" w:sz="8" w:space="0" w:color="E7E6E6"/>
            </w:tcBorders>
            <w:shd w:val="clear" w:color="000000" w:fill="DEEAF6"/>
            <w:vAlign w:val="center"/>
            <w:hideMark/>
          </w:tcPr>
          <w:p w14:paraId="5EB74DA4"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w:t>
            </w:r>
          </w:p>
        </w:tc>
        <w:tc>
          <w:tcPr>
            <w:tcW w:w="1109" w:type="dxa"/>
            <w:tcBorders>
              <w:top w:val="nil"/>
              <w:left w:val="nil"/>
              <w:bottom w:val="single" w:sz="12" w:space="0" w:color="E7E6E6"/>
              <w:right w:val="single" w:sz="8" w:space="0" w:color="E7E6E6"/>
            </w:tcBorders>
            <w:shd w:val="clear" w:color="000000" w:fill="DEEAF6"/>
            <w:vAlign w:val="center"/>
            <w:hideMark/>
          </w:tcPr>
          <w:p w14:paraId="392A7E78"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w:t>
            </w:r>
          </w:p>
        </w:tc>
        <w:tc>
          <w:tcPr>
            <w:tcW w:w="1874" w:type="dxa"/>
            <w:tcBorders>
              <w:top w:val="nil"/>
              <w:left w:val="nil"/>
              <w:bottom w:val="single" w:sz="12" w:space="0" w:color="E7E6E6"/>
              <w:right w:val="single" w:sz="8" w:space="0" w:color="E7E6E6"/>
            </w:tcBorders>
            <w:shd w:val="clear" w:color="000000" w:fill="DEEAF6"/>
            <w:vAlign w:val="center"/>
            <w:hideMark/>
          </w:tcPr>
          <w:p w14:paraId="2E429F08" w14:textId="77777777" w:rsidR="00B15F7D" w:rsidRPr="00990FB6" w:rsidRDefault="00B15F7D" w:rsidP="00B15F7D">
            <w:pPr>
              <w:jc w:val="center"/>
              <w:rPr>
                <w:b/>
                <w:bCs/>
                <w:color w:val="3A3838"/>
                <w:sz w:val="22"/>
                <w:szCs w:val="22"/>
                <w:lang w:eastAsia="es-CR"/>
              </w:rPr>
            </w:pPr>
            <w:r w:rsidRPr="00990FB6">
              <w:rPr>
                <w:b/>
                <w:bCs/>
                <w:color w:val="3A3838"/>
                <w:sz w:val="22"/>
                <w:szCs w:val="22"/>
                <w:lang w:eastAsia="es-CR"/>
              </w:rPr>
              <w:t> </w:t>
            </w:r>
          </w:p>
        </w:tc>
      </w:tr>
    </w:tbl>
    <w:p w14:paraId="24E664C8" w14:textId="77777777" w:rsidR="00B15F7D" w:rsidRPr="00990FB6" w:rsidRDefault="00B15F7D" w:rsidP="00B15F7D">
      <w:pPr>
        <w:jc w:val="both"/>
        <w:rPr>
          <w:rFonts w:eastAsia="Calibri"/>
          <w:sz w:val="22"/>
          <w:szCs w:val="22"/>
          <w:u w:val="single"/>
        </w:rPr>
      </w:pPr>
    </w:p>
    <w:p w14:paraId="35B50680" w14:textId="77777777" w:rsidR="00B15F7D" w:rsidRPr="00990FB6" w:rsidRDefault="00B15F7D" w:rsidP="00B15F7D">
      <w:pPr>
        <w:jc w:val="both"/>
        <w:rPr>
          <w:rFonts w:eastAsia="Calibri"/>
          <w:sz w:val="22"/>
          <w:szCs w:val="22"/>
        </w:rPr>
      </w:pPr>
      <w:r w:rsidRPr="00990FB6">
        <w:rPr>
          <w:rFonts w:eastAsia="Calibri"/>
          <w:sz w:val="22"/>
          <w:szCs w:val="22"/>
        </w:rPr>
        <w:t>Seguidamente se muestra la distribución de manera gráfica en el siguiente mapa:</w:t>
      </w:r>
    </w:p>
    <w:p w14:paraId="7CC73F07" w14:textId="77777777" w:rsidR="00B15F7D" w:rsidRPr="00990FB6" w:rsidRDefault="00B15F7D" w:rsidP="00B15F7D">
      <w:pPr>
        <w:jc w:val="center"/>
        <w:rPr>
          <w:rFonts w:eastAsia="Calibri"/>
          <w:sz w:val="22"/>
          <w:szCs w:val="22"/>
          <w:u w:val="single"/>
        </w:rPr>
      </w:pPr>
      <w:r w:rsidRPr="00990FB6">
        <w:rPr>
          <w:rFonts w:eastAsia="Calibri"/>
          <w:noProof/>
          <w:sz w:val="22"/>
          <w:szCs w:val="22"/>
          <w:u w:val="single"/>
          <w:lang w:eastAsia="es-CR"/>
        </w:rPr>
        <w:lastRenderedPageBreak/>
        <w:drawing>
          <wp:inline distT="0" distB="0" distL="0" distR="0" wp14:anchorId="1E3543D0" wp14:editId="7C77459F">
            <wp:extent cx="4835823" cy="3873500"/>
            <wp:effectExtent l="0" t="0" r="3175" b="0"/>
            <wp:docPr id="1151944692" name="Imagen 1151944692"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96395" name="Imagen 1" descr="Escala de tiempo&#10;&#10;Descripción generada automáticamente con confianza media"/>
                    <pic:cNvPicPr/>
                  </pic:nvPicPr>
                  <pic:blipFill>
                    <a:blip r:embed="rId140"/>
                    <a:stretch>
                      <a:fillRect/>
                    </a:stretch>
                  </pic:blipFill>
                  <pic:spPr>
                    <a:xfrm>
                      <a:off x="0" y="0"/>
                      <a:ext cx="4838647" cy="3875762"/>
                    </a:xfrm>
                    <a:prstGeom prst="rect">
                      <a:avLst/>
                    </a:prstGeom>
                  </pic:spPr>
                </pic:pic>
              </a:graphicData>
            </a:graphic>
          </wp:inline>
        </w:drawing>
      </w:r>
    </w:p>
    <w:p w14:paraId="02C9EA48" w14:textId="77777777" w:rsidR="00B15F7D" w:rsidRPr="00990FB6" w:rsidRDefault="00B15F7D" w:rsidP="00B15F7D">
      <w:pPr>
        <w:tabs>
          <w:tab w:val="left" w:pos="2694"/>
        </w:tabs>
        <w:ind w:left="851" w:right="851" w:firstLine="709"/>
        <w:jc w:val="both"/>
        <w:rPr>
          <w:snapToGrid w:val="0"/>
          <w:sz w:val="22"/>
          <w:szCs w:val="22"/>
          <w:u w:val="single"/>
        </w:rPr>
      </w:pPr>
      <w:r w:rsidRPr="00990FB6">
        <w:rPr>
          <w:rFonts w:eastAsia="Calibri"/>
          <w:i/>
          <w:iCs/>
          <w:sz w:val="22"/>
          <w:szCs w:val="22"/>
          <w:u w:val="single"/>
        </w:rPr>
        <w:t>(…)”</w:t>
      </w:r>
      <w:r w:rsidRPr="00990FB6">
        <w:rPr>
          <w:snapToGrid w:val="0"/>
          <w:sz w:val="22"/>
          <w:szCs w:val="22"/>
          <w:u w:val="single"/>
        </w:rPr>
        <w:tab/>
        <w:t>Detalle de las plazas:</w:t>
      </w:r>
    </w:p>
    <w:p w14:paraId="172D6DA7" w14:textId="77777777" w:rsidR="00B15F7D" w:rsidRPr="00990FB6" w:rsidRDefault="00B15F7D" w:rsidP="00B15F7D">
      <w:pPr>
        <w:tabs>
          <w:tab w:val="left" w:pos="2694"/>
        </w:tabs>
        <w:jc w:val="both"/>
        <w:rPr>
          <w:sz w:val="22"/>
          <w:szCs w:val="22"/>
        </w:rPr>
      </w:pPr>
      <w:r w:rsidRPr="00990FB6">
        <w:rPr>
          <w:snapToGrid w:val="0"/>
          <w:sz w:val="22"/>
          <w:szCs w:val="22"/>
          <w:u w:val="single"/>
        </w:rPr>
        <w:fldChar w:fldCharType="begin"/>
      </w:r>
      <w:r w:rsidRPr="00990FB6">
        <w:rPr>
          <w:snapToGrid w:val="0"/>
          <w:sz w:val="22"/>
          <w:szCs w:val="22"/>
          <w:u w:val="single"/>
        </w:rPr>
        <w:instrText xml:space="preserve"> LINK Excel.Sheet.12 "D:\\SUBROCESO PRESUPUESTO 2023\\PRESUPUESTO 2024\\MINOR\\Plazas 2024 para Modelo Penal Familia Agrario y Tribunales Peninsulares.xlsx" "MODELO PENAL!F2C2:F253C6" \a \f 5 \h  \* MERGEFORMAT </w:instrText>
      </w:r>
      <w:r w:rsidRPr="00990FB6">
        <w:rPr>
          <w:snapToGrid w:val="0"/>
          <w:sz w:val="22"/>
          <w:szCs w:val="22"/>
          <w:u w:val="single"/>
        </w:rPr>
        <w:fldChar w:fldCharType="separate"/>
      </w:r>
    </w:p>
    <w:tbl>
      <w:tblPr>
        <w:tblStyle w:val="Tablaconcuadrcula"/>
        <w:tblW w:w="9160" w:type="dxa"/>
        <w:tblLook w:val="04A0" w:firstRow="1" w:lastRow="0" w:firstColumn="1" w:lastColumn="0" w:noHBand="0" w:noVBand="1"/>
      </w:tblPr>
      <w:tblGrid>
        <w:gridCol w:w="1402"/>
        <w:gridCol w:w="4307"/>
        <w:gridCol w:w="974"/>
        <w:gridCol w:w="1524"/>
        <w:gridCol w:w="1160"/>
      </w:tblGrid>
      <w:tr w:rsidR="00B15F7D" w:rsidRPr="00990FB6" w14:paraId="0C349167" w14:textId="77777777" w:rsidTr="000A0C22">
        <w:trPr>
          <w:trHeight w:val="588"/>
        </w:trPr>
        <w:tc>
          <w:tcPr>
            <w:tcW w:w="8000" w:type="dxa"/>
            <w:gridSpan w:val="4"/>
            <w:hideMark/>
          </w:tcPr>
          <w:p w14:paraId="44D45A90"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MEJORA INTEGRAL DEL PROCESO PENAL CON EJECUCIÓN DE LA PENA</w:t>
            </w:r>
          </w:p>
        </w:tc>
        <w:tc>
          <w:tcPr>
            <w:tcW w:w="1160" w:type="dxa"/>
            <w:noWrap/>
            <w:hideMark/>
          </w:tcPr>
          <w:p w14:paraId="21A32E51" w14:textId="77777777" w:rsidR="00B15F7D" w:rsidRPr="00990FB6" w:rsidRDefault="00B15F7D" w:rsidP="00B15F7D">
            <w:pPr>
              <w:tabs>
                <w:tab w:val="left" w:pos="2694"/>
              </w:tabs>
              <w:jc w:val="both"/>
              <w:rPr>
                <w:b/>
                <w:bCs/>
                <w:snapToGrid w:val="0"/>
                <w:sz w:val="22"/>
                <w:szCs w:val="22"/>
                <w:u w:val="single"/>
              </w:rPr>
            </w:pPr>
          </w:p>
        </w:tc>
      </w:tr>
      <w:tr w:rsidR="00B15F7D" w:rsidRPr="00990FB6" w14:paraId="5D904047" w14:textId="77777777" w:rsidTr="000A0C22">
        <w:trPr>
          <w:trHeight w:val="300"/>
        </w:trPr>
        <w:tc>
          <w:tcPr>
            <w:tcW w:w="1314" w:type="dxa"/>
            <w:noWrap/>
            <w:hideMark/>
          </w:tcPr>
          <w:p w14:paraId="57BAC3D4" w14:textId="77777777" w:rsidR="00B15F7D" w:rsidRPr="00990FB6" w:rsidRDefault="00B15F7D" w:rsidP="00B15F7D">
            <w:pPr>
              <w:tabs>
                <w:tab w:val="left" w:pos="2694"/>
              </w:tabs>
              <w:jc w:val="both"/>
              <w:rPr>
                <w:snapToGrid w:val="0"/>
                <w:sz w:val="22"/>
                <w:szCs w:val="22"/>
                <w:u w:val="single"/>
              </w:rPr>
            </w:pPr>
          </w:p>
        </w:tc>
        <w:tc>
          <w:tcPr>
            <w:tcW w:w="7846" w:type="dxa"/>
            <w:gridSpan w:val="4"/>
            <w:hideMark/>
          </w:tcPr>
          <w:p w14:paraId="32F78AB0" w14:textId="77777777" w:rsidR="00B15F7D" w:rsidRPr="00990FB6" w:rsidRDefault="00B15F7D" w:rsidP="00B15F7D">
            <w:pPr>
              <w:tabs>
                <w:tab w:val="left" w:pos="2694"/>
              </w:tabs>
              <w:jc w:val="both"/>
              <w:rPr>
                <w:snapToGrid w:val="0"/>
                <w:sz w:val="22"/>
                <w:szCs w:val="22"/>
                <w:u w:val="single"/>
              </w:rPr>
            </w:pPr>
          </w:p>
        </w:tc>
      </w:tr>
      <w:tr w:rsidR="00B15F7D" w:rsidRPr="00990FB6" w14:paraId="2792326E" w14:textId="77777777" w:rsidTr="000A0C22">
        <w:trPr>
          <w:trHeight w:val="300"/>
        </w:trPr>
        <w:tc>
          <w:tcPr>
            <w:tcW w:w="1314" w:type="dxa"/>
            <w:hideMark/>
          </w:tcPr>
          <w:p w14:paraId="01FEC26E"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CANTIDAD</w:t>
            </w:r>
          </w:p>
        </w:tc>
        <w:tc>
          <w:tcPr>
            <w:tcW w:w="4307" w:type="dxa"/>
            <w:hideMark/>
          </w:tcPr>
          <w:p w14:paraId="2575B940"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PROGRAMA / OFICINA / CATEGORÍA DE PUESTO</w:t>
            </w:r>
          </w:p>
        </w:tc>
        <w:tc>
          <w:tcPr>
            <w:tcW w:w="866" w:type="dxa"/>
            <w:noWrap/>
            <w:hideMark/>
          </w:tcPr>
          <w:p w14:paraId="3050841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PLAZO</w:t>
            </w:r>
          </w:p>
        </w:tc>
        <w:tc>
          <w:tcPr>
            <w:tcW w:w="1513" w:type="dxa"/>
            <w:noWrap/>
            <w:hideMark/>
          </w:tcPr>
          <w:p w14:paraId="1BE7A3B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CONDICIÓN</w:t>
            </w:r>
          </w:p>
        </w:tc>
        <w:tc>
          <w:tcPr>
            <w:tcW w:w="1160" w:type="dxa"/>
            <w:noWrap/>
            <w:hideMark/>
          </w:tcPr>
          <w:p w14:paraId="20819DDF" w14:textId="77777777" w:rsidR="00B15F7D" w:rsidRPr="00990FB6" w:rsidRDefault="00B15F7D" w:rsidP="00B15F7D">
            <w:pPr>
              <w:tabs>
                <w:tab w:val="left" w:pos="2694"/>
              </w:tabs>
              <w:jc w:val="both"/>
              <w:rPr>
                <w:b/>
                <w:bCs/>
                <w:snapToGrid w:val="0"/>
                <w:sz w:val="22"/>
                <w:szCs w:val="22"/>
                <w:u w:val="single"/>
              </w:rPr>
            </w:pPr>
          </w:p>
        </w:tc>
      </w:tr>
      <w:tr w:rsidR="00B15F7D" w:rsidRPr="00990FB6" w14:paraId="1AF50A02" w14:textId="77777777" w:rsidTr="000A0C22">
        <w:trPr>
          <w:trHeight w:val="288"/>
        </w:trPr>
        <w:tc>
          <w:tcPr>
            <w:tcW w:w="1314" w:type="dxa"/>
            <w:noWrap/>
            <w:hideMark/>
          </w:tcPr>
          <w:p w14:paraId="2EA56534" w14:textId="77777777" w:rsidR="00B15F7D" w:rsidRPr="00990FB6" w:rsidRDefault="00B15F7D" w:rsidP="00B15F7D">
            <w:pPr>
              <w:tabs>
                <w:tab w:val="left" w:pos="2694"/>
              </w:tabs>
              <w:jc w:val="both"/>
              <w:rPr>
                <w:snapToGrid w:val="0"/>
                <w:sz w:val="22"/>
                <w:szCs w:val="22"/>
                <w:u w:val="single"/>
              </w:rPr>
            </w:pPr>
          </w:p>
        </w:tc>
        <w:tc>
          <w:tcPr>
            <w:tcW w:w="4307" w:type="dxa"/>
            <w:hideMark/>
          </w:tcPr>
          <w:p w14:paraId="1A283B0F" w14:textId="77777777" w:rsidR="00B15F7D" w:rsidRPr="00990FB6" w:rsidRDefault="00B15F7D" w:rsidP="00B15F7D">
            <w:pPr>
              <w:tabs>
                <w:tab w:val="left" w:pos="2694"/>
              </w:tabs>
              <w:jc w:val="both"/>
              <w:rPr>
                <w:snapToGrid w:val="0"/>
                <w:sz w:val="22"/>
                <w:szCs w:val="22"/>
                <w:u w:val="single"/>
              </w:rPr>
            </w:pPr>
          </w:p>
        </w:tc>
        <w:tc>
          <w:tcPr>
            <w:tcW w:w="866" w:type="dxa"/>
            <w:hideMark/>
          </w:tcPr>
          <w:p w14:paraId="146E66A6"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6A64AA9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2F27812" w14:textId="77777777" w:rsidR="00B15F7D" w:rsidRPr="00990FB6" w:rsidRDefault="00B15F7D" w:rsidP="00B15F7D">
            <w:pPr>
              <w:tabs>
                <w:tab w:val="left" w:pos="2694"/>
              </w:tabs>
              <w:jc w:val="both"/>
              <w:rPr>
                <w:snapToGrid w:val="0"/>
                <w:sz w:val="22"/>
                <w:szCs w:val="22"/>
                <w:u w:val="single"/>
              </w:rPr>
            </w:pPr>
          </w:p>
        </w:tc>
      </w:tr>
      <w:tr w:rsidR="00B15F7D" w:rsidRPr="00990FB6" w14:paraId="712F2F7F" w14:textId="77777777" w:rsidTr="000A0C22">
        <w:trPr>
          <w:trHeight w:val="288"/>
        </w:trPr>
        <w:tc>
          <w:tcPr>
            <w:tcW w:w="1314" w:type="dxa"/>
            <w:noWrap/>
            <w:hideMark/>
          </w:tcPr>
          <w:p w14:paraId="458D9C6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140</w:t>
            </w:r>
          </w:p>
        </w:tc>
        <w:tc>
          <w:tcPr>
            <w:tcW w:w="4307" w:type="dxa"/>
            <w:hideMark/>
          </w:tcPr>
          <w:p w14:paraId="64B72085"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TOTAL</w:t>
            </w:r>
          </w:p>
        </w:tc>
        <w:tc>
          <w:tcPr>
            <w:tcW w:w="866" w:type="dxa"/>
            <w:hideMark/>
          </w:tcPr>
          <w:p w14:paraId="6067721F"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B91E70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757DFBD" w14:textId="77777777" w:rsidR="00B15F7D" w:rsidRPr="00990FB6" w:rsidRDefault="00B15F7D" w:rsidP="00B15F7D">
            <w:pPr>
              <w:tabs>
                <w:tab w:val="left" w:pos="2694"/>
              </w:tabs>
              <w:jc w:val="both"/>
              <w:rPr>
                <w:snapToGrid w:val="0"/>
                <w:sz w:val="22"/>
                <w:szCs w:val="22"/>
                <w:u w:val="single"/>
              </w:rPr>
            </w:pPr>
          </w:p>
        </w:tc>
      </w:tr>
      <w:tr w:rsidR="00B15F7D" w:rsidRPr="00990FB6" w14:paraId="27552E44" w14:textId="77777777" w:rsidTr="000A0C22">
        <w:trPr>
          <w:trHeight w:val="288"/>
        </w:trPr>
        <w:tc>
          <w:tcPr>
            <w:tcW w:w="1314" w:type="dxa"/>
            <w:noWrap/>
            <w:hideMark/>
          </w:tcPr>
          <w:p w14:paraId="3A3E132C" w14:textId="77777777" w:rsidR="00B15F7D" w:rsidRPr="00990FB6" w:rsidRDefault="00B15F7D" w:rsidP="00B15F7D">
            <w:pPr>
              <w:tabs>
                <w:tab w:val="left" w:pos="2694"/>
              </w:tabs>
              <w:jc w:val="both"/>
              <w:rPr>
                <w:snapToGrid w:val="0"/>
                <w:sz w:val="22"/>
                <w:szCs w:val="22"/>
                <w:u w:val="single"/>
              </w:rPr>
            </w:pPr>
          </w:p>
        </w:tc>
        <w:tc>
          <w:tcPr>
            <w:tcW w:w="4307" w:type="dxa"/>
            <w:hideMark/>
          </w:tcPr>
          <w:p w14:paraId="7A725885" w14:textId="77777777" w:rsidR="00B15F7D" w:rsidRPr="00990FB6" w:rsidRDefault="00B15F7D" w:rsidP="00B15F7D">
            <w:pPr>
              <w:tabs>
                <w:tab w:val="left" w:pos="2694"/>
              </w:tabs>
              <w:jc w:val="both"/>
              <w:rPr>
                <w:snapToGrid w:val="0"/>
                <w:sz w:val="22"/>
                <w:szCs w:val="22"/>
                <w:u w:val="single"/>
              </w:rPr>
            </w:pPr>
          </w:p>
        </w:tc>
        <w:tc>
          <w:tcPr>
            <w:tcW w:w="866" w:type="dxa"/>
            <w:hideMark/>
          </w:tcPr>
          <w:p w14:paraId="0FBAE8D8"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0836A2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C8B4EA7" w14:textId="77777777" w:rsidR="00B15F7D" w:rsidRPr="00990FB6" w:rsidRDefault="00B15F7D" w:rsidP="00B15F7D">
            <w:pPr>
              <w:tabs>
                <w:tab w:val="left" w:pos="2694"/>
              </w:tabs>
              <w:jc w:val="both"/>
              <w:rPr>
                <w:snapToGrid w:val="0"/>
                <w:sz w:val="22"/>
                <w:szCs w:val="22"/>
                <w:u w:val="single"/>
              </w:rPr>
            </w:pPr>
          </w:p>
        </w:tc>
      </w:tr>
      <w:tr w:rsidR="00B15F7D" w:rsidRPr="00990FB6" w14:paraId="229B3DE2" w14:textId="77777777" w:rsidTr="000A0C22">
        <w:trPr>
          <w:trHeight w:val="288"/>
        </w:trPr>
        <w:tc>
          <w:tcPr>
            <w:tcW w:w="1314" w:type="dxa"/>
            <w:noWrap/>
            <w:hideMark/>
          </w:tcPr>
          <w:p w14:paraId="09DCB92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73</w:t>
            </w:r>
          </w:p>
        </w:tc>
        <w:tc>
          <w:tcPr>
            <w:tcW w:w="4307" w:type="dxa"/>
            <w:hideMark/>
          </w:tcPr>
          <w:p w14:paraId="73B6D2F8"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PROG. 927 SERVICIO JURISDICCIONAL</w:t>
            </w:r>
          </w:p>
        </w:tc>
        <w:tc>
          <w:tcPr>
            <w:tcW w:w="866" w:type="dxa"/>
            <w:hideMark/>
          </w:tcPr>
          <w:p w14:paraId="47C865D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w:t>
            </w:r>
          </w:p>
        </w:tc>
        <w:tc>
          <w:tcPr>
            <w:tcW w:w="1513" w:type="dxa"/>
            <w:noWrap/>
            <w:hideMark/>
          </w:tcPr>
          <w:p w14:paraId="6DF7926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w:t>
            </w:r>
          </w:p>
        </w:tc>
        <w:tc>
          <w:tcPr>
            <w:tcW w:w="1160" w:type="dxa"/>
            <w:noWrap/>
            <w:hideMark/>
          </w:tcPr>
          <w:p w14:paraId="4DB7E363" w14:textId="77777777" w:rsidR="00B15F7D" w:rsidRPr="00990FB6" w:rsidRDefault="00B15F7D" w:rsidP="00B15F7D">
            <w:pPr>
              <w:tabs>
                <w:tab w:val="left" w:pos="2694"/>
              </w:tabs>
              <w:jc w:val="both"/>
              <w:rPr>
                <w:b/>
                <w:bCs/>
                <w:snapToGrid w:val="0"/>
                <w:sz w:val="22"/>
                <w:szCs w:val="22"/>
                <w:u w:val="single"/>
              </w:rPr>
            </w:pPr>
          </w:p>
        </w:tc>
      </w:tr>
      <w:tr w:rsidR="00B15F7D" w:rsidRPr="00990FB6" w14:paraId="027E61F1" w14:textId="77777777" w:rsidTr="000A0C22">
        <w:trPr>
          <w:trHeight w:val="288"/>
        </w:trPr>
        <w:tc>
          <w:tcPr>
            <w:tcW w:w="1314" w:type="dxa"/>
            <w:noWrap/>
            <w:hideMark/>
          </w:tcPr>
          <w:p w14:paraId="38A1D6A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3B580F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Quepos</w:t>
            </w:r>
          </w:p>
        </w:tc>
        <w:tc>
          <w:tcPr>
            <w:tcW w:w="866" w:type="dxa"/>
            <w:hideMark/>
          </w:tcPr>
          <w:p w14:paraId="55206C13"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7DEFC8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08AA8E7" w14:textId="77777777" w:rsidR="00B15F7D" w:rsidRPr="00990FB6" w:rsidRDefault="00B15F7D" w:rsidP="00B15F7D">
            <w:pPr>
              <w:tabs>
                <w:tab w:val="left" w:pos="2694"/>
              </w:tabs>
              <w:jc w:val="both"/>
              <w:rPr>
                <w:snapToGrid w:val="0"/>
                <w:sz w:val="22"/>
                <w:szCs w:val="22"/>
                <w:u w:val="single"/>
              </w:rPr>
            </w:pPr>
          </w:p>
        </w:tc>
      </w:tr>
      <w:tr w:rsidR="00B15F7D" w:rsidRPr="00990FB6" w14:paraId="440692F7" w14:textId="77777777" w:rsidTr="000A0C22">
        <w:trPr>
          <w:trHeight w:val="288"/>
        </w:trPr>
        <w:tc>
          <w:tcPr>
            <w:tcW w:w="1314" w:type="dxa"/>
            <w:noWrap/>
            <w:hideMark/>
          </w:tcPr>
          <w:p w14:paraId="457FFA9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59BE75B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7AB6B0B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DA54D8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99BAB46" w14:textId="77777777" w:rsidR="00B15F7D" w:rsidRPr="00990FB6" w:rsidRDefault="00B15F7D" w:rsidP="00B15F7D">
            <w:pPr>
              <w:tabs>
                <w:tab w:val="left" w:pos="2694"/>
              </w:tabs>
              <w:jc w:val="both"/>
              <w:rPr>
                <w:snapToGrid w:val="0"/>
                <w:sz w:val="22"/>
                <w:szCs w:val="22"/>
                <w:u w:val="single"/>
              </w:rPr>
            </w:pPr>
          </w:p>
        </w:tc>
      </w:tr>
      <w:tr w:rsidR="00B15F7D" w:rsidRPr="00990FB6" w14:paraId="22712025" w14:textId="77777777" w:rsidTr="000A0C22">
        <w:trPr>
          <w:trHeight w:val="288"/>
        </w:trPr>
        <w:tc>
          <w:tcPr>
            <w:tcW w:w="1314" w:type="dxa"/>
            <w:noWrap/>
            <w:hideMark/>
          </w:tcPr>
          <w:p w14:paraId="4B40F53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160BC62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5CBE709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0F2D65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F16380D" w14:textId="77777777" w:rsidR="00B15F7D" w:rsidRPr="00990FB6" w:rsidRDefault="00B15F7D" w:rsidP="00B15F7D">
            <w:pPr>
              <w:tabs>
                <w:tab w:val="left" w:pos="2694"/>
              </w:tabs>
              <w:jc w:val="both"/>
              <w:rPr>
                <w:snapToGrid w:val="0"/>
                <w:sz w:val="22"/>
                <w:szCs w:val="22"/>
                <w:u w:val="single"/>
              </w:rPr>
            </w:pPr>
          </w:p>
        </w:tc>
      </w:tr>
      <w:tr w:rsidR="00B15F7D" w:rsidRPr="00990FB6" w14:paraId="579C5132" w14:textId="77777777" w:rsidTr="000A0C22">
        <w:trPr>
          <w:trHeight w:val="288"/>
        </w:trPr>
        <w:tc>
          <w:tcPr>
            <w:tcW w:w="1314" w:type="dxa"/>
            <w:noWrap/>
            <w:hideMark/>
          </w:tcPr>
          <w:p w14:paraId="68EAE19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5DE2A64" w14:textId="77777777" w:rsidR="00B15F7D" w:rsidRPr="00990FB6" w:rsidRDefault="00B15F7D" w:rsidP="00B15F7D">
            <w:pPr>
              <w:tabs>
                <w:tab w:val="left" w:pos="2694"/>
              </w:tabs>
              <w:jc w:val="both"/>
              <w:rPr>
                <w:snapToGrid w:val="0"/>
                <w:sz w:val="22"/>
                <w:szCs w:val="22"/>
                <w:u w:val="single"/>
              </w:rPr>
            </w:pPr>
          </w:p>
        </w:tc>
        <w:tc>
          <w:tcPr>
            <w:tcW w:w="866" w:type="dxa"/>
            <w:hideMark/>
          </w:tcPr>
          <w:p w14:paraId="070CF674"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757757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14322D7" w14:textId="77777777" w:rsidR="00B15F7D" w:rsidRPr="00990FB6" w:rsidRDefault="00B15F7D" w:rsidP="00B15F7D">
            <w:pPr>
              <w:tabs>
                <w:tab w:val="left" w:pos="2694"/>
              </w:tabs>
              <w:jc w:val="both"/>
              <w:rPr>
                <w:snapToGrid w:val="0"/>
                <w:sz w:val="22"/>
                <w:szCs w:val="22"/>
                <w:u w:val="single"/>
              </w:rPr>
            </w:pPr>
          </w:p>
        </w:tc>
      </w:tr>
      <w:tr w:rsidR="00B15F7D" w:rsidRPr="00990FB6" w14:paraId="1A9DFB8E" w14:textId="77777777" w:rsidTr="000A0C22">
        <w:trPr>
          <w:trHeight w:val="288"/>
        </w:trPr>
        <w:tc>
          <w:tcPr>
            <w:tcW w:w="1314" w:type="dxa"/>
            <w:noWrap/>
            <w:hideMark/>
          </w:tcPr>
          <w:p w14:paraId="22E3C2C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6B34CEB"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Sarapiquí</w:t>
            </w:r>
          </w:p>
        </w:tc>
        <w:tc>
          <w:tcPr>
            <w:tcW w:w="866" w:type="dxa"/>
            <w:hideMark/>
          </w:tcPr>
          <w:p w14:paraId="779A8EF0"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F6A7688"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2524E98" w14:textId="77777777" w:rsidR="00B15F7D" w:rsidRPr="00990FB6" w:rsidRDefault="00B15F7D" w:rsidP="00B15F7D">
            <w:pPr>
              <w:tabs>
                <w:tab w:val="left" w:pos="2694"/>
              </w:tabs>
              <w:jc w:val="both"/>
              <w:rPr>
                <w:snapToGrid w:val="0"/>
                <w:sz w:val="22"/>
                <w:szCs w:val="22"/>
                <w:u w:val="single"/>
              </w:rPr>
            </w:pPr>
          </w:p>
        </w:tc>
      </w:tr>
      <w:tr w:rsidR="00B15F7D" w:rsidRPr="00990FB6" w14:paraId="45A461FA" w14:textId="77777777" w:rsidTr="000A0C22">
        <w:trPr>
          <w:trHeight w:val="288"/>
        </w:trPr>
        <w:tc>
          <w:tcPr>
            <w:tcW w:w="1314" w:type="dxa"/>
            <w:noWrap/>
            <w:hideMark/>
          </w:tcPr>
          <w:p w14:paraId="39C8445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52F36C1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5F86930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8C4851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6326047" w14:textId="77777777" w:rsidR="00B15F7D" w:rsidRPr="00990FB6" w:rsidRDefault="00B15F7D" w:rsidP="00B15F7D">
            <w:pPr>
              <w:tabs>
                <w:tab w:val="left" w:pos="2694"/>
              </w:tabs>
              <w:jc w:val="both"/>
              <w:rPr>
                <w:snapToGrid w:val="0"/>
                <w:sz w:val="22"/>
                <w:szCs w:val="22"/>
                <w:u w:val="single"/>
              </w:rPr>
            </w:pPr>
          </w:p>
        </w:tc>
      </w:tr>
      <w:tr w:rsidR="00B15F7D" w:rsidRPr="00990FB6" w14:paraId="24D15607" w14:textId="77777777" w:rsidTr="000A0C22">
        <w:trPr>
          <w:trHeight w:val="288"/>
        </w:trPr>
        <w:tc>
          <w:tcPr>
            <w:tcW w:w="1314" w:type="dxa"/>
            <w:noWrap/>
            <w:hideMark/>
          </w:tcPr>
          <w:p w14:paraId="4E4F9A0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5ED4A8B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1F59CB8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2E1B95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890C48E" w14:textId="77777777" w:rsidR="00B15F7D" w:rsidRPr="00990FB6" w:rsidRDefault="00B15F7D" w:rsidP="00B15F7D">
            <w:pPr>
              <w:tabs>
                <w:tab w:val="left" w:pos="2694"/>
              </w:tabs>
              <w:jc w:val="both"/>
              <w:rPr>
                <w:snapToGrid w:val="0"/>
                <w:sz w:val="22"/>
                <w:szCs w:val="22"/>
                <w:u w:val="single"/>
              </w:rPr>
            </w:pPr>
          </w:p>
        </w:tc>
      </w:tr>
      <w:tr w:rsidR="00B15F7D" w:rsidRPr="00990FB6" w14:paraId="6FF3F120" w14:textId="77777777" w:rsidTr="000A0C22">
        <w:trPr>
          <w:trHeight w:val="288"/>
        </w:trPr>
        <w:tc>
          <w:tcPr>
            <w:tcW w:w="1314" w:type="dxa"/>
            <w:noWrap/>
            <w:hideMark/>
          </w:tcPr>
          <w:p w14:paraId="0DDE073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9C86795"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383A905A"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9C0A2A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E2C2E2B" w14:textId="77777777" w:rsidR="00B15F7D" w:rsidRPr="00990FB6" w:rsidRDefault="00B15F7D" w:rsidP="00B15F7D">
            <w:pPr>
              <w:tabs>
                <w:tab w:val="left" w:pos="2694"/>
              </w:tabs>
              <w:jc w:val="both"/>
              <w:rPr>
                <w:snapToGrid w:val="0"/>
                <w:sz w:val="22"/>
                <w:szCs w:val="22"/>
                <w:u w:val="single"/>
              </w:rPr>
            </w:pPr>
          </w:p>
        </w:tc>
      </w:tr>
      <w:tr w:rsidR="00B15F7D" w:rsidRPr="00990FB6" w14:paraId="59C5BB4D" w14:textId="77777777" w:rsidTr="000A0C22">
        <w:trPr>
          <w:trHeight w:val="288"/>
        </w:trPr>
        <w:tc>
          <w:tcPr>
            <w:tcW w:w="1314" w:type="dxa"/>
            <w:noWrap/>
            <w:hideMark/>
          </w:tcPr>
          <w:p w14:paraId="7C7639B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E91A45B"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Siquirres</w:t>
            </w:r>
          </w:p>
        </w:tc>
        <w:tc>
          <w:tcPr>
            <w:tcW w:w="866" w:type="dxa"/>
            <w:noWrap/>
            <w:hideMark/>
          </w:tcPr>
          <w:p w14:paraId="145B26C8"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07EB7378"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EB96788" w14:textId="77777777" w:rsidR="00B15F7D" w:rsidRPr="00990FB6" w:rsidRDefault="00B15F7D" w:rsidP="00B15F7D">
            <w:pPr>
              <w:tabs>
                <w:tab w:val="left" w:pos="2694"/>
              </w:tabs>
              <w:jc w:val="both"/>
              <w:rPr>
                <w:snapToGrid w:val="0"/>
                <w:sz w:val="22"/>
                <w:szCs w:val="22"/>
                <w:u w:val="single"/>
              </w:rPr>
            </w:pPr>
          </w:p>
        </w:tc>
      </w:tr>
      <w:tr w:rsidR="00B15F7D" w:rsidRPr="00990FB6" w14:paraId="33B55FCD" w14:textId="77777777" w:rsidTr="000A0C22">
        <w:trPr>
          <w:trHeight w:val="288"/>
        </w:trPr>
        <w:tc>
          <w:tcPr>
            <w:tcW w:w="1314" w:type="dxa"/>
            <w:noWrap/>
            <w:hideMark/>
          </w:tcPr>
          <w:p w14:paraId="11AF4C3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lastRenderedPageBreak/>
              <w:t>2</w:t>
            </w:r>
          </w:p>
        </w:tc>
        <w:tc>
          <w:tcPr>
            <w:tcW w:w="4307" w:type="dxa"/>
            <w:noWrap/>
            <w:hideMark/>
          </w:tcPr>
          <w:p w14:paraId="0D0BD29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199BBBD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680C7D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157E920B" w14:textId="77777777" w:rsidR="00B15F7D" w:rsidRPr="00990FB6" w:rsidRDefault="00B15F7D" w:rsidP="00B15F7D">
            <w:pPr>
              <w:tabs>
                <w:tab w:val="left" w:pos="2694"/>
              </w:tabs>
              <w:jc w:val="both"/>
              <w:rPr>
                <w:snapToGrid w:val="0"/>
                <w:sz w:val="22"/>
                <w:szCs w:val="22"/>
                <w:u w:val="single"/>
              </w:rPr>
            </w:pPr>
          </w:p>
        </w:tc>
      </w:tr>
      <w:tr w:rsidR="00B15F7D" w:rsidRPr="00990FB6" w14:paraId="2440477F" w14:textId="77777777" w:rsidTr="000A0C22">
        <w:trPr>
          <w:trHeight w:val="288"/>
        </w:trPr>
        <w:tc>
          <w:tcPr>
            <w:tcW w:w="1314" w:type="dxa"/>
            <w:noWrap/>
            <w:hideMark/>
          </w:tcPr>
          <w:p w14:paraId="502910F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527CB73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158E5B0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146FA6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B01199B" w14:textId="77777777" w:rsidR="00B15F7D" w:rsidRPr="00990FB6" w:rsidRDefault="00B15F7D" w:rsidP="00B15F7D">
            <w:pPr>
              <w:tabs>
                <w:tab w:val="left" w:pos="2694"/>
              </w:tabs>
              <w:jc w:val="both"/>
              <w:rPr>
                <w:snapToGrid w:val="0"/>
                <w:sz w:val="22"/>
                <w:szCs w:val="22"/>
                <w:u w:val="single"/>
              </w:rPr>
            </w:pPr>
          </w:p>
        </w:tc>
      </w:tr>
      <w:tr w:rsidR="00B15F7D" w:rsidRPr="00990FB6" w14:paraId="3817EB83" w14:textId="77777777" w:rsidTr="000A0C22">
        <w:trPr>
          <w:trHeight w:val="288"/>
        </w:trPr>
        <w:tc>
          <w:tcPr>
            <w:tcW w:w="1314" w:type="dxa"/>
            <w:noWrap/>
            <w:hideMark/>
          </w:tcPr>
          <w:p w14:paraId="5103941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1556F6E"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15A09B77"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4D78E92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295CE4B" w14:textId="77777777" w:rsidR="00B15F7D" w:rsidRPr="00990FB6" w:rsidRDefault="00B15F7D" w:rsidP="00B15F7D">
            <w:pPr>
              <w:tabs>
                <w:tab w:val="left" w:pos="2694"/>
              </w:tabs>
              <w:jc w:val="both"/>
              <w:rPr>
                <w:snapToGrid w:val="0"/>
                <w:sz w:val="22"/>
                <w:szCs w:val="22"/>
                <w:u w:val="single"/>
              </w:rPr>
            </w:pPr>
          </w:p>
        </w:tc>
      </w:tr>
      <w:tr w:rsidR="00B15F7D" w:rsidRPr="00990FB6" w14:paraId="32854C27" w14:textId="77777777" w:rsidTr="000A0C22">
        <w:trPr>
          <w:trHeight w:val="288"/>
        </w:trPr>
        <w:tc>
          <w:tcPr>
            <w:tcW w:w="1314" w:type="dxa"/>
            <w:noWrap/>
            <w:hideMark/>
          </w:tcPr>
          <w:p w14:paraId="08B2D96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04A417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Turrialba</w:t>
            </w:r>
          </w:p>
        </w:tc>
        <w:tc>
          <w:tcPr>
            <w:tcW w:w="866" w:type="dxa"/>
            <w:noWrap/>
            <w:hideMark/>
          </w:tcPr>
          <w:p w14:paraId="4BBD78C5"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ECF0CE9"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82F1D57" w14:textId="77777777" w:rsidR="00B15F7D" w:rsidRPr="00990FB6" w:rsidRDefault="00B15F7D" w:rsidP="00B15F7D">
            <w:pPr>
              <w:tabs>
                <w:tab w:val="left" w:pos="2694"/>
              </w:tabs>
              <w:jc w:val="both"/>
              <w:rPr>
                <w:snapToGrid w:val="0"/>
                <w:sz w:val="22"/>
                <w:szCs w:val="22"/>
                <w:u w:val="single"/>
              </w:rPr>
            </w:pPr>
          </w:p>
        </w:tc>
      </w:tr>
      <w:tr w:rsidR="00B15F7D" w:rsidRPr="00990FB6" w14:paraId="688826B2" w14:textId="77777777" w:rsidTr="000A0C22">
        <w:trPr>
          <w:trHeight w:val="288"/>
        </w:trPr>
        <w:tc>
          <w:tcPr>
            <w:tcW w:w="1314" w:type="dxa"/>
            <w:noWrap/>
            <w:hideMark/>
          </w:tcPr>
          <w:p w14:paraId="3EC73AD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7C28958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3BFC626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C591DC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1D94DBD" w14:textId="77777777" w:rsidR="00B15F7D" w:rsidRPr="00990FB6" w:rsidRDefault="00B15F7D" w:rsidP="00B15F7D">
            <w:pPr>
              <w:tabs>
                <w:tab w:val="left" w:pos="2694"/>
              </w:tabs>
              <w:jc w:val="both"/>
              <w:rPr>
                <w:snapToGrid w:val="0"/>
                <w:sz w:val="22"/>
                <w:szCs w:val="22"/>
                <w:u w:val="single"/>
              </w:rPr>
            </w:pPr>
          </w:p>
        </w:tc>
      </w:tr>
      <w:tr w:rsidR="00B15F7D" w:rsidRPr="00990FB6" w14:paraId="2C62B438" w14:textId="77777777" w:rsidTr="000A0C22">
        <w:trPr>
          <w:trHeight w:val="288"/>
        </w:trPr>
        <w:tc>
          <w:tcPr>
            <w:tcW w:w="1314" w:type="dxa"/>
            <w:noWrap/>
            <w:hideMark/>
          </w:tcPr>
          <w:p w14:paraId="4A416F1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4B501CA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5B66FA5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89EE21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254DB03" w14:textId="77777777" w:rsidR="00B15F7D" w:rsidRPr="00990FB6" w:rsidRDefault="00B15F7D" w:rsidP="00B15F7D">
            <w:pPr>
              <w:tabs>
                <w:tab w:val="left" w:pos="2694"/>
              </w:tabs>
              <w:jc w:val="both"/>
              <w:rPr>
                <w:snapToGrid w:val="0"/>
                <w:sz w:val="22"/>
                <w:szCs w:val="22"/>
                <w:u w:val="single"/>
              </w:rPr>
            </w:pPr>
          </w:p>
        </w:tc>
      </w:tr>
      <w:tr w:rsidR="00B15F7D" w:rsidRPr="00990FB6" w14:paraId="6DDC109F" w14:textId="77777777" w:rsidTr="000A0C22">
        <w:trPr>
          <w:trHeight w:val="288"/>
        </w:trPr>
        <w:tc>
          <w:tcPr>
            <w:tcW w:w="1314" w:type="dxa"/>
            <w:noWrap/>
            <w:hideMark/>
          </w:tcPr>
          <w:p w14:paraId="61A88FA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A9CB6B1"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09196BC9"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F48BC7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471D3EE" w14:textId="77777777" w:rsidR="00B15F7D" w:rsidRPr="00990FB6" w:rsidRDefault="00B15F7D" w:rsidP="00B15F7D">
            <w:pPr>
              <w:tabs>
                <w:tab w:val="left" w:pos="2694"/>
              </w:tabs>
              <w:jc w:val="both"/>
              <w:rPr>
                <w:snapToGrid w:val="0"/>
                <w:sz w:val="22"/>
                <w:szCs w:val="22"/>
                <w:u w:val="single"/>
              </w:rPr>
            </w:pPr>
          </w:p>
        </w:tc>
      </w:tr>
      <w:tr w:rsidR="00B15F7D" w:rsidRPr="00990FB6" w14:paraId="08E94A85" w14:textId="77777777" w:rsidTr="000A0C22">
        <w:trPr>
          <w:trHeight w:val="288"/>
        </w:trPr>
        <w:tc>
          <w:tcPr>
            <w:tcW w:w="1314" w:type="dxa"/>
            <w:noWrap/>
            <w:hideMark/>
          </w:tcPr>
          <w:p w14:paraId="2E76A8B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9322468"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Cañas</w:t>
            </w:r>
          </w:p>
        </w:tc>
        <w:tc>
          <w:tcPr>
            <w:tcW w:w="866" w:type="dxa"/>
            <w:noWrap/>
            <w:hideMark/>
          </w:tcPr>
          <w:p w14:paraId="33AB73A9"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380F7F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5B62D01" w14:textId="77777777" w:rsidR="00B15F7D" w:rsidRPr="00990FB6" w:rsidRDefault="00B15F7D" w:rsidP="00B15F7D">
            <w:pPr>
              <w:tabs>
                <w:tab w:val="left" w:pos="2694"/>
              </w:tabs>
              <w:jc w:val="both"/>
              <w:rPr>
                <w:snapToGrid w:val="0"/>
                <w:sz w:val="22"/>
                <w:szCs w:val="22"/>
                <w:u w:val="single"/>
              </w:rPr>
            </w:pPr>
          </w:p>
        </w:tc>
      </w:tr>
      <w:tr w:rsidR="00B15F7D" w:rsidRPr="00990FB6" w14:paraId="32843041" w14:textId="77777777" w:rsidTr="000A0C22">
        <w:trPr>
          <w:trHeight w:val="288"/>
        </w:trPr>
        <w:tc>
          <w:tcPr>
            <w:tcW w:w="1314" w:type="dxa"/>
            <w:noWrap/>
            <w:hideMark/>
          </w:tcPr>
          <w:p w14:paraId="78DC8AE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3FC9E82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3FDB31F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71809B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038EA5F" w14:textId="77777777" w:rsidR="00B15F7D" w:rsidRPr="00990FB6" w:rsidRDefault="00B15F7D" w:rsidP="00B15F7D">
            <w:pPr>
              <w:tabs>
                <w:tab w:val="left" w:pos="2694"/>
              </w:tabs>
              <w:jc w:val="both"/>
              <w:rPr>
                <w:snapToGrid w:val="0"/>
                <w:sz w:val="22"/>
                <w:szCs w:val="22"/>
                <w:u w:val="single"/>
              </w:rPr>
            </w:pPr>
          </w:p>
        </w:tc>
      </w:tr>
      <w:tr w:rsidR="00B15F7D" w:rsidRPr="00990FB6" w14:paraId="2C25BA20" w14:textId="77777777" w:rsidTr="000A0C22">
        <w:trPr>
          <w:trHeight w:val="288"/>
        </w:trPr>
        <w:tc>
          <w:tcPr>
            <w:tcW w:w="1314" w:type="dxa"/>
            <w:noWrap/>
            <w:hideMark/>
          </w:tcPr>
          <w:p w14:paraId="143BFD1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5C6A10A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6C0DF60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EA4C4E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221F7A1" w14:textId="77777777" w:rsidR="00B15F7D" w:rsidRPr="00990FB6" w:rsidRDefault="00B15F7D" w:rsidP="00B15F7D">
            <w:pPr>
              <w:tabs>
                <w:tab w:val="left" w:pos="2694"/>
              </w:tabs>
              <w:jc w:val="both"/>
              <w:rPr>
                <w:snapToGrid w:val="0"/>
                <w:sz w:val="22"/>
                <w:szCs w:val="22"/>
                <w:u w:val="single"/>
              </w:rPr>
            </w:pPr>
          </w:p>
        </w:tc>
      </w:tr>
      <w:tr w:rsidR="00B15F7D" w:rsidRPr="00990FB6" w14:paraId="08AA0756" w14:textId="77777777" w:rsidTr="000A0C22">
        <w:trPr>
          <w:trHeight w:val="288"/>
        </w:trPr>
        <w:tc>
          <w:tcPr>
            <w:tcW w:w="1314" w:type="dxa"/>
            <w:noWrap/>
            <w:hideMark/>
          </w:tcPr>
          <w:p w14:paraId="3E6220E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59568D4"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5FE37337"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3C7FBE5"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A173DC9" w14:textId="77777777" w:rsidR="00B15F7D" w:rsidRPr="00990FB6" w:rsidRDefault="00B15F7D" w:rsidP="00B15F7D">
            <w:pPr>
              <w:tabs>
                <w:tab w:val="left" w:pos="2694"/>
              </w:tabs>
              <w:jc w:val="both"/>
              <w:rPr>
                <w:snapToGrid w:val="0"/>
                <w:sz w:val="22"/>
                <w:szCs w:val="22"/>
                <w:u w:val="single"/>
              </w:rPr>
            </w:pPr>
          </w:p>
        </w:tc>
      </w:tr>
      <w:tr w:rsidR="00B15F7D" w:rsidRPr="00990FB6" w14:paraId="77D9B040" w14:textId="77777777" w:rsidTr="000A0C22">
        <w:trPr>
          <w:trHeight w:val="288"/>
        </w:trPr>
        <w:tc>
          <w:tcPr>
            <w:tcW w:w="1314" w:type="dxa"/>
            <w:noWrap/>
            <w:hideMark/>
          </w:tcPr>
          <w:p w14:paraId="7DE8345F"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02E2150" w14:textId="77777777" w:rsidR="00B15F7D" w:rsidRPr="00990FB6" w:rsidRDefault="00B15F7D" w:rsidP="00B15F7D">
            <w:pPr>
              <w:tabs>
                <w:tab w:val="left" w:pos="2694"/>
              </w:tabs>
              <w:jc w:val="both"/>
              <w:rPr>
                <w:b/>
                <w:bCs/>
                <w:snapToGrid w:val="0"/>
                <w:sz w:val="22"/>
                <w:szCs w:val="22"/>
                <w:u w:val="single"/>
                <w:lang w:val="pt-PT"/>
              </w:rPr>
            </w:pPr>
            <w:r w:rsidRPr="00990FB6">
              <w:rPr>
                <w:b/>
                <w:bCs/>
                <w:snapToGrid w:val="0"/>
                <w:sz w:val="22"/>
                <w:szCs w:val="22"/>
                <w:u w:val="single"/>
                <w:lang w:val="pt-PT"/>
              </w:rPr>
              <w:t>Tribuna Penal de Santa Cruz</w:t>
            </w:r>
          </w:p>
        </w:tc>
        <w:tc>
          <w:tcPr>
            <w:tcW w:w="866" w:type="dxa"/>
            <w:noWrap/>
            <w:hideMark/>
          </w:tcPr>
          <w:p w14:paraId="14C0DD32" w14:textId="77777777" w:rsidR="00B15F7D" w:rsidRPr="00990FB6" w:rsidRDefault="00B15F7D" w:rsidP="00B15F7D">
            <w:pPr>
              <w:tabs>
                <w:tab w:val="left" w:pos="2694"/>
              </w:tabs>
              <w:jc w:val="both"/>
              <w:rPr>
                <w:b/>
                <w:bCs/>
                <w:snapToGrid w:val="0"/>
                <w:sz w:val="22"/>
                <w:szCs w:val="22"/>
                <w:u w:val="single"/>
                <w:lang w:val="pt-PT"/>
              </w:rPr>
            </w:pPr>
          </w:p>
        </w:tc>
        <w:tc>
          <w:tcPr>
            <w:tcW w:w="1513" w:type="dxa"/>
            <w:noWrap/>
            <w:hideMark/>
          </w:tcPr>
          <w:p w14:paraId="45F2868E" w14:textId="77777777" w:rsidR="00B15F7D" w:rsidRPr="00990FB6" w:rsidRDefault="00B15F7D" w:rsidP="00B15F7D">
            <w:pPr>
              <w:tabs>
                <w:tab w:val="left" w:pos="2694"/>
              </w:tabs>
              <w:jc w:val="both"/>
              <w:rPr>
                <w:snapToGrid w:val="0"/>
                <w:sz w:val="22"/>
                <w:szCs w:val="22"/>
                <w:u w:val="single"/>
                <w:lang w:val="pt-PT"/>
              </w:rPr>
            </w:pPr>
          </w:p>
        </w:tc>
        <w:tc>
          <w:tcPr>
            <w:tcW w:w="1160" w:type="dxa"/>
            <w:noWrap/>
            <w:hideMark/>
          </w:tcPr>
          <w:p w14:paraId="0420C2B1" w14:textId="77777777" w:rsidR="00B15F7D" w:rsidRPr="00990FB6" w:rsidRDefault="00B15F7D" w:rsidP="00B15F7D">
            <w:pPr>
              <w:tabs>
                <w:tab w:val="left" w:pos="2694"/>
              </w:tabs>
              <w:jc w:val="both"/>
              <w:rPr>
                <w:snapToGrid w:val="0"/>
                <w:sz w:val="22"/>
                <w:szCs w:val="22"/>
                <w:u w:val="single"/>
                <w:lang w:val="pt-PT"/>
              </w:rPr>
            </w:pPr>
          </w:p>
        </w:tc>
      </w:tr>
      <w:tr w:rsidR="00B15F7D" w:rsidRPr="00990FB6" w14:paraId="1BEE90E2" w14:textId="77777777" w:rsidTr="000A0C22">
        <w:trPr>
          <w:trHeight w:val="288"/>
        </w:trPr>
        <w:tc>
          <w:tcPr>
            <w:tcW w:w="1314" w:type="dxa"/>
            <w:noWrap/>
            <w:hideMark/>
          </w:tcPr>
          <w:p w14:paraId="754B910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w:t>
            </w:r>
          </w:p>
        </w:tc>
        <w:tc>
          <w:tcPr>
            <w:tcW w:w="4307" w:type="dxa"/>
            <w:noWrap/>
            <w:hideMark/>
          </w:tcPr>
          <w:p w14:paraId="6F082E5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27E65CE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B86E4A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10FED99A" w14:textId="77777777" w:rsidR="00B15F7D" w:rsidRPr="00990FB6" w:rsidRDefault="00B15F7D" w:rsidP="00B15F7D">
            <w:pPr>
              <w:tabs>
                <w:tab w:val="left" w:pos="2694"/>
              </w:tabs>
              <w:jc w:val="both"/>
              <w:rPr>
                <w:snapToGrid w:val="0"/>
                <w:sz w:val="22"/>
                <w:szCs w:val="22"/>
                <w:u w:val="single"/>
              </w:rPr>
            </w:pPr>
          </w:p>
        </w:tc>
      </w:tr>
      <w:tr w:rsidR="00B15F7D" w:rsidRPr="00990FB6" w14:paraId="0ED87702" w14:textId="77777777" w:rsidTr="000A0C22">
        <w:trPr>
          <w:trHeight w:val="288"/>
        </w:trPr>
        <w:tc>
          <w:tcPr>
            <w:tcW w:w="1314" w:type="dxa"/>
            <w:noWrap/>
            <w:hideMark/>
          </w:tcPr>
          <w:p w14:paraId="2A3900D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67E1668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4D266A7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5CFE80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405D566" w14:textId="77777777" w:rsidR="00B15F7D" w:rsidRPr="00990FB6" w:rsidRDefault="00B15F7D" w:rsidP="00B15F7D">
            <w:pPr>
              <w:tabs>
                <w:tab w:val="left" w:pos="2694"/>
              </w:tabs>
              <w:jc w:val="both"/>
              <w:rPr>
                <w:snapToGrid w:val="0"/>
                <w:sz w:val="22"/>
                <w:szCs w:val="22"/>
                <w:u w:val="single"/>
              </w:rPr>
            </w:pPr>
          </w:p>
        </w:tc>
      </w:tr>
      <w:tr w:rsidR="00B15F7D" w:rsidRPr="00990FB6" w14:paraId="5A29F60B" w14:textId="77777777" w:rsidTr="000A0C22">
        <w:trPr>
          <w:trHeight w:val="288"/>
        </w:trPr>
        <w:tc>
          <w:tcPr>
            <w:tcW w:w="1314" w:type="dxa"/>
            <w:noWrap/>
            <w:hideMark/>
          </w:tcPr>
          <w:p w14:paraId="215A501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0C0077C"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01EBD433"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4F386C3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29B481A" w14:textId="77777777" w:rsidR="00B15F7D" w:rsidRPr="00990FB6" w:rsidRDefault="00B15F7D" w:rsidP="00B15F7D">
            <w:pPr>
              <w:tabs>
                <w:tab w:val="left" w:pos="2694"/>
              </w:tabs>
              <w:jc w:val="both"/>
              <w:rPr>
                <w:snapToGrid w:val="0"/>
                <w:sz w:val="22"/>
                <w:szCs w:val="22"/>
                <w:u w:val="single"/>
              </w:rPr>
            </w:pPr>
          </w:p>
        </w:tc>
      </w:tr>
      <w:tr w:rsidR="00B15F7D" w:rsidRPr="00990FB6" w14:paraId="11BACCCE" w14:textId="77777777" w:rsidTr="000A0C22">
        <w:trPr>
          <w:trHeight w:val="288"/>
        </w:trPr>
        <w:tc>
          <w:tcPr>
            <w:tcW w:w="1314" w:type="dxa"/>
            <w:noWrap/>
            <w:hideMark/>
          </w:tcPr>
          <w:p w14:paraId="16D0F3B8"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92286A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Puntarenas</w:t>
            </w:r>
          </w:p>
        </w:tc>
        <w:tc>
          <w:tcPr>
            <w:tcW w:w="866" w:type="dxa"/>
            <w:noWrap/>
            <w:hideMark/>
          </w:tcPr>
          <w:p w14:paraId="6C947FF8"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7FE3BF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F502C29" w14:textId="77777777" w:rsidR="00B15F7D" w:rsidRPr="00990FB6" w:rsidRDefault="00B15F7D" w:rsidP="00B15F7D">
            <w:pPr>
              <w:tabs>
                <w:tab w:val="left" w:pos="2694"/>
              </w:tabs>
              <w:jc w:val="both"/>
              <w:rPr>
                <w:snapToGrid w:val="0"/>
                <w:sz w:val="22"/>
                <w:szCs w:val="22"/>
                <w:u w:val="single"/>
              </w:rPr>
            </w:pPr>
          </w:p>
        </w:tc>
      </w:tr>
      <w:tr w:rsidR="00B15F7D" w:rsidRPr="00990FB6" w14:paraId="1C108FD1" w14:textId="77777777" w:rsidTr="000A0C22">
        <w:trPr>
          <w:trHeight w:val="288"/>
        </w:trPr>
        <w:tc>
          <w:tcPr>
            <w:tcW w:w="1314" w:type="dxa"/>
            <w:noWrap/>
            <w:hideMark/>
          </w:tcPr>
          <w:p w14:paraId="464FBF3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7C68A78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55EEF4F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B38F11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284CF46" w14:textId="77777777" w:rsidR="00B15F7D" w:rsidRPr="00990FB6" w:rsidRDefault="00B15F7D" w:rsidP="00B15F7D">
            <w:pPr>
              <w:tabs>
                <w:tab w:val="left" w:pos="2694"/>
              </w:tabs>
              <w:jc w:val="both"/>
              <w:rPr>
                <w:snapToGrid w:val="0"/>
                <w:sz w:val="22"/>
                <w:szCs w:val="22"/>
                <w:u w:val="single"/>
              </w:rPr>
            </w:pPr>
          </w:p>
        </w:tc>
      </w:tr>
      <w:tr w:rsidR="00B15F7D" w:rsidRPr="00990FB6" w14:paraId="1C30D825" w14:textId="77777777" w:rsidTr="000A0C22">
        <w:trPr>
          <w:trHeight w:val="288"/>
        </w:trPr>
        <w:tc>
          <w:tcPr>
            <w:tcW w:w="1314" w:type="dxa"/>
            <w:noWrap/>
            <w:hideMark/>
          </w:tcPr>
          <w:p w14:paraId="426A012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77BBA9F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757405F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F15357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BB1B9C6" w14:textId="77777777" w:rsidR="00B15F7D" w:rsidRPr="00990FB6" w:rsidRDefault="00B15F7D" w:rsidP="00B15F7D">
            <w:pPr>
              <w:tabs>
                <w:tab w:val="left" w:pos="2694"/>
              </w:tabs>
              <w:jc w:val="both"/>
              <w:rPr>
                <w:snapToGrid w:val="0"/>
                <w:sz w:val="22"/>
                <w:szCs w:val="22"/>
                <w:u w:val="single"/>
              </w:rPr>
            </w:pPr>
          </w:p>
        </w:tc>
      </w:tr>
      <w:tr w:rsidR="00B15F7D" w:rsidRPr="00990FB6" w14:paraId="37213ED4" w14:textId="77777777" w:rsidTr="000A0C22">
        <w:trPr>
          <w:trHeight w:val="288"/>
        </w:trPr>
        <w:tc>
          <w:tcPr>
            <w:tcW w:w="1314" w:type="dxa"/>
            <w:noWrap/>
            <w:hideMark/>
          </w:tcPr>
          <w:p w14:paraId="18E0B69F"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FCAA78F"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1C8B02D3"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BF82575"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9C1B3F3" w14:textId="77777777" w:rsidR="00B15F7D" w:rsidRPr="00990FB6" w:rsidRDefault="00B15F7D" w:rsidP="00B15F7D">
            <w:pPr>
              <w:tabs>
                <w:tab w:val="left" w:pos="2694"/>
              </w:tabs>
              <w:jc w:val="both"/>
              <w:rPr>
                <w:snapToGrid w:val="0"/>
                <w:sz w:val="22"/>
                <w:szCs w:val="22"/>
                <w:u w:val="single"/>
              </w:rPr>
            </w:pPr>
          </w:p>
        </w:tc>
      </w:tr>
      <w:tr w:rsidR="00B15F7D" w:rsidRPr="00990FB6" w14:paraId="3066A4D8" w14:textId="77777777" w:rsidTr="000A0C22">
        <w:trPr>
          <w:trHeight w:val="288"/>
        </w:trPr>
        <w:tc>
          <w:tcPr>
            <w:tcW w:w="1314" w:type="dxa"/>
            <w:noWrap/>
            <w:hideMark/>
          </w:tcPr>
          <w:p w14:paraId="117424C8"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FB3D75C"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Liberia</w:t>
            </w:r>
          </w:p>
        </w:tc>
        <w:tc>
          <w:tcPr>
            <w:tcW w:w="866" w:type="dxa"/>
            <w:noWrap/>
            <w:hideMark/>
          </w:tcPr>
          <w:p w14:paraId="2159C1EF"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0B71BBA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539AB20" w14:textId="77777777" w:rsidR="00B15F7D" w:rsidRPr="00990FB6" w:rsidRDefault="00B15F7D" w:rsidP="00B15F7D">
            <w:pPr>
              <w:tabs>
                <w:tab w:val="left" w:pos="2694"/>
              </w:tabs>
              <w:jc w:val="both"/>
              <w:rPr>
                <w:snapToGrid w:val="0"/>
                <w:sz w:val="22"/>
                <w:szCs w:val="22"/>
                <w:u w:val="single"/>
              </w:rPr>
            </w:pPr>
          </w:p>
        </w:tc>
      </w:tr>
      <w:tr w:rsidR="00B15F7D" w:rsidRPr="00990FB6" w14:paraId="6A6776E3" w14:textId="77777777" w:rsidTr="000A0C22">
        <w:trPr>
          <w:trHeight w:val="288"/>
        </w:trPr>
        <w:tc>
          <w:tcPr>
            <w:tcW w:w="1314" w:type="dxa"/>
            <w:noWrap/>
            <w:hideMark/>
          </w:tcPr>
          <w:p w14:paraId="6CCED17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55471B7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23F4D46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2866F0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A5D5A8B" w14:textId="77777777" w:rsidR="00B15F7D" w:rsidRPr="00990FB6" w:rsidRDefault="00B15F7D" w:rsidP="00B15F7D">
            <w:pPr>
              <w:tabs>
                <w:tab w:val="left" w:pos="2694"/>
              </w:tabs>
              <w:jc w:val="both"/>
              <w:rPr>
                <w:snapToGrid w:val="0"/>
                <w:sz w:val="22"/>
                <w:szCs w:val="22"/>
                <w:u w:val="single"/>
              </w:rPr>
            </w:pPr>
          </w:p>
        </w:tc>
      </w:tr>
      <w:tr w:rsidR="00B15F7D" w:rsidRPr="00990FB6" w14:paraId="63942835" w14:textId="77777777" w:rsidTr="000A0C22">
        <w:trPr>
          <w:trHeight w:val="288"/>
        </w:trPr>
        <w:tc>
          <w:tcPr>
            <w:tcW w:w="1314" w:type="dxa"/>
            <w:noWrap/>
            <w:hideMark/>
          </w:tcPr>
          <w:p w14:paraId="1E48E51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6D8887A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29C900A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F2A478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405F4FC" w14:textId="77777777" w:rsidR="00B15F7D" w:rsidRPr="00990FB6" w:rsidRDefault="00B15F7D" w:rsidP="00B15F7D">
            <w:pPr>
              <w:tabs>
                <w:tab w:val="left" w:pos="2694"/>
              </w:tabs>
              <w:jc w:val="both"/>
              <w:rPr>
                <w:snapToGrid w:val="0"/>
                <w:sz w:val="22"/>
                <w:szCs w:val="22"/>
                <w:u w:val="single"/>
              </w:rPr>
            </w:pPr>
          </w:p>
        </w:tc>
      </w:tr>
      <w:tr w:rsidR="00B15F7D" w:rsidRPr="00990FB6" w14:paraId="2BA0A704" w14:textId="77777777" w:rsidTr="000A0C22">
        <w:trPr>
          <w:trHeight w:val="288"/>
        </w:trPr>
        <w:tc>
          <w:tcPr>
            <w:tcW w:w="1314" w:type="dxa"/>
            <w:noWrap/>
            <w:hideMark/>
          </w:tcPr>
          <w:p w14:paraId="45D7701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4F3FF57"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4F979667"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571D98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BB36117" w14:textId="77777777" w:rsidR="00B15F7D" w:rsidRPr="00990FB6" w:rsidRDefault="00B15F7D" w:rsidP="00B15F7D">
            <w:pPr>
              <w:tabs>
                <w:tab w:val="left" w:pos="2694"/>
              </w:tabs>
              <w:jc w:val="both"/>
              <w:rPr>
                <w:snapToGrid w:val="0"/>
                <w:sz w:val="22"/>
                <w:szCs w:val="22"/>
                <w:u w:val="single"/>
              </w:rPr>
            </w:pPr>
          </w:p>
        </w:tc>
      </w:tr>
      <w:tr w:rsidR="00B15F7D" w:rsidRPr="00990FB6" w14:paraId="1F9C0E83" w14:textId="77777777" w:rsidTr="000A0C22">
        <w:trPr>
          <w:trHeight w:val="288"/>
        </w:trPr>
        <w:tc>
          <w:tcPr>
            <w:tcW w:w="1314" w:type="dxa"/>
            <w:noWrap/>
            <w:hideMark/>
          </w:tcPr>
          <w:p w14:paraId="4D34217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3F3AF7C"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xml:space="preserve">Tribunal Penal de Guápiles </w:t>
            </w:r>
          </w:p>
        </w:tc>
        <w:tc>
          <w:tcPr>
            <w:tcW w:w="866" w:type="dxa"/>
            <w:noWrap/>
            <w:hideMark/>
          </w:tcPr>
          <w:p w14:paraId="16A0142C"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6329396"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D548C6D" w14:textId="77777777" w:rsidR="00B15F7D" w:rsidRPr="00990FB6" w:rsidRDefault="00B15F7D" w:rsidP="00B15F7D">
            <w:pPr>
              <w:tabs>
                <w:tab w:val="left" w:pos="2694"/>
              </w:tabs>
              <w:jc w:val="both"/>
              <w:rPr>
                <w:snapToGrid w:val="0"/>
                <w:sz w:val="22"/>
                <w:szCs w:val="22"/>
                <w:u w:val="single"/>
              </w:rPr>
            </w:pPr>
          </w:p>
        </w:tc>
      </w:tr>
      <w:tr w:rsidR="00B15F7D" w:rsidRPr="00990FB6" w14:paraId="72DDEC97" w14:textId="77777777" w:rsidTr="000A0C22">
        <w:trPr>
          <w:trHeight w:val="288"/>
        </w:trPr>
        <w:tc>
          <w:tcPr>
            <w:tcW w:w="1314" w:type="dxa"/>
            <w:noWrap/>
            <w:hideMark/>
          </w:tcPr>
          <w:p w14:paraId="40E5740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w:t>
            </w:r>
          </w:p>
        </w:tc>
        <w:tc>
          <w:tcPr>
            <w:tcW w:w="4307" w:type="dxa"/>
            <w:noWrap/>
            <w:hideMark/>
          </w:tcPr>
          <w:p w14:paraId="3DA22D5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11B1CD1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D16334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7B982DC" w14:textId="77777777" w:rsidR="00B15F7D" w:rsidRPr="00990FB6" w:rsidRDefault="00B15F7D" w:rsidP="00B15F7D">
            <w:pPr>
              <w:tabs>
                <w:tab w:val="left" w:pos="2694"/>
              </w:tabs>
              <w:jc w:val="both"/>
              <w:rPr>
                <w:snapToGrid w:val="0"/>
                <w:sz w:val="22"/>
                <w:szCs w:val="22"/>
                <w:u w:val="single"/>
              </w:rPr>
            </w:pPr>
          </w:p>
        </w:tc>
      </w:tr>
      <w:tr w:rsidR="00B15F7D" w:rsidRPr="00990FB6" w14:paraId="58E90CC5" w14:textId="77777777" w:rsidTr="000A0C22">
        <w:trPr>
          <w:trHeight w:val="288"/>
        </w:trPr>
        <w:tc>
          <w:tcPr>
            <w:tcW w:w="1314" w:type="dxa"/>
            <w:noWrap/>
            <w:hideMark/>
          </w:tcPr>
          <w:p w14:paraId="46CA3F5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57EBAD9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077039C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766382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785F3DC" w14:textId="77777777" w:rsidR="00B15F7D" w:rsidRPr="00990FB6" w:rsidRDefault="00B15F7D" w:rsidP="00B15F7D">
            <w:pPr>
              <w:tabs>
                <w:tab w:val="left" w:pos="2694"/>
              </w:tabs>
              <w:jc w:val="both"/>
              <w:rPr>
                <w:snapToGrid w:val="0"/>
                <w:sz w:val="22"/>
                <w:szCs w:val="22"/>
                <w:u w:val="single"/>
              </w:rPr>
            </w:pPr>
          </w:p>
        </w:tc>
      </w:tr>
      <w:tr w:rsidR="00B15F7D" w:rsidRPr="00990FB6" w14:paraId="16581AC8" w14:textId="77777777" w:rsidTr="000A0C22">
        <w:trPr>
          <w:trHeight w:val="288"/>
        </w:trPr>
        <w:tc>
          <w:tcPr>
            <w:tcW w:w="1314" w:type="dxa"/>
            <w:noWrap/>
            <w:hideMark/>
          </w:tcPr>
          <w:p w14:paraId="7F9BD73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89BC67A"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2B19EF0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CF43FB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13DAE64" w14:textId="77777777" w:rsidR="00B15F7D" w:rsidRPr="00990FB6" w:rsidRDefault="00B15F7D" w:rsidP="00B15F7D">
            <w:pPr>
              <w:tabs>
                <w:tab w:val="left" w:pos="2694"/>
              </w:tabs>
              <w:jc w:val="both"/>
              <w:rPr>
                <w:snapToGrid w:val="0"/>
                <w:sz w:val="22"/>
                <w:szCs w:val="22"/>
                <w:u w:val="single"/>
              </w:rPr>
            </w:pPr>
          </w:p>
        </w:tc>
      </w:tr>
      <w:tr w:rsidR="00B15F7D" w:rsidRPr="00990FB6" w14:paraId="3B7486A4" w14:textId="77777777" w:rsidTr="000A0C22">
        <w:trPr>
          <w:trHeight w:val="288"/>
        </w:trPr>
        <w:tc>
          <w:tcPr>
            <w:tcW w:w="1314" w:type="dxa"/>
            <w:noWrap/>
            <w:hideMark/>
          </w:tcPr>
          <w:p w14:paraId="4D08261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CA98250"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Limón</w:t>
            </w:r>
          </w:p>
        </w:tc>
        <w:tc>
          <w:tcPr>
            <w:tcW w:w="866" w:type="dxa"/>
            <w:noWrap/>
            <w:hideMark/>
          </w:tcPr>
          <w:p w14:paraId="1DF927FB"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A7F97C1"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BEDC393" w14:textId="77777777" w:rsidR="00B15F7D" w:rsidRPr="00990FB6" w:rsidRDefault="00B15F7D" w:rsidP="00B15F7D">
            <w:pPr>
              <w:tabs>
                <w:tab w:val="left" w:pos="2694"/>
              </w:tabs>
              <w:jc w:val="both"/>
              <w:rPr>
                <w:snapToGrid w:val="0"/>
                <w:sz w:val="22"/>
                <w:szCs w:val="22"/>
                <w:u w:val="single"/>
              </w:rPr>
            </w:pPr>
          </w:p>
        </w:tc>
      </w:tr>
      <w:tr w:rsidR="00B15F7D" w:rsidRPr="00990FB6" w14:paraId="5D4ACB00" w14:textId="77777777" w:rsidTr="000A0C22">
        <w:trPr>
          <w:trHeight w:val="288"/>
        </w:trPr>
        <w:tc>
          <w:tcPr>
            <w:tcW w:w="1314" w:type="dxa"/>
            <w:noWrap/>
            <w:hideMark/>
          </w:tcPr>
          <w:p w14:paraId="005E09D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2AB27F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6B27DE9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392CB6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192F195" w14:textId="77777777" w:rsidR="00B15F7D" w:rsidRPr="00990FB6" w:rsidRDefault="00B15F7D" w:rsidP="00B15F7D">
            <w:pPr>
              <w:tabs>
                <w:tab w:val="left" w:pos="2694"/>
              </w:tabs>
              <w:jc w:val="both"/>
              <w:rPr>
                <w:snapToGrid w:val="0"/>
                <w:sz w:val="22"/>
                <w:szCs w:val="22"/>
                <w:u w:val="single"/>
              </w:rPr>
            </w:pPr>
          </w:p>
        </w:tc>
      </w:tr>
      <w:tr w:rsidR="00B15F7D" w:rsidRPr="00990FB6" w14:paraId="26396B85" w14:textId="77777777" w:rsidTr="000A0C22">
        <w:trPr>
          <w:trHeight w:val="288"/>
        </w:trPr>
        <w:tc>
          <w:tcPr>
            <w:tcW w:w="1314" w:type="dxa"/>
            <w:noWrap/>
            <w:hideMark/>
          </w:tcPr>
          <w:p w14:paraId="195AB21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476EF63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1</w:t>
            </w:r>
          </w:p>
        </w:tc>
        <w:tc>
          <w:tcPr>
            <w:tcW w:w="866" w:type="dxa"/>
            <w:hideMark/>
          </w:tcPr>
          <w:p w14:paraId="06E7ADD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104C42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EE51A94" w14:textId="77777777" w:rsidR="00B15F7D" w:rsidRPr="00990FB6" w:rsidRDefault="00B15F7D" w:rsidP="00B15F7D">
            <w:pPr>
              <w:tabs>
                <w:tab w:val="left" w:pos="2694"/>
              </w:tabs>
              <w:jc w:val="both"/>
              <w:rPr>
                <w:snapToGrid w:val="0"/>
                <w:sz w:val="22"/>
                <w:szCs w:val="22"/>
                <w:u w:val="single"/>
              </w:rPr>
            </w:pPr>
          </w:p>
        </w:tc>
      </w:tr>
      <w:tr w:rsidR="00B15F7D" w:rsidRPr="00990FB6" w14:paraId="51D8D972" w14:textId="77777777" w:rsidTr="000A0C22">
        <w:trPr>
          <w:trHeight w:val="288"/>
        </w:trPr>
        <w:tc>
          <w:tcPr>
            <w:tcW w:w="1314" w:type="dxa"/>
            <w:noWrap/>
            <w:hideMark/>
          </w:tcPr>
          <w:p w14:paraId="03DEA4C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0F64EF4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2E3C4BB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A31E0F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6915E3B" w14:textId="77777777" w:rsidR="00B15F7D" w:rsidRPr="00990FB6" w:rsidRDefault="00B15F7D" w:rsidP="00B15F7D">
            <w:pPr>
              <w:tabs>
                <w:tab w:val="left" w:pos="2694"/>
              </w:tabs>
              <w:jc w:val="both"/>
              <w:rPr>
                <w:snapToGrid w:val="0"/>
                <w:sz w:val="22"/>
                <w:szCs w:val="22"/>
                <w:u w:val="single"/>
              </w:rPr>
            </w:pPr>
          </w:p>
        </w:tc>
      </w:tr>
      <w:tr w:rsidR="00B15F7D" w:rsidRPr="00990FB6" w14:paraId="69A0B28F" w14:textId="77777777" w:rsidTr="000A0C22">
        <w:trPr>
          <w:trHeight w:val="288"/>
        </w:trPr>
        <w:tc>
          <w:tcPr>
            <w:tcW w:w="1314" w:type="dxa"/>
            <w:noWrap/>
            <w:hideMark/>
          </w:tcPr>
          <w:p w14:paraId="071AC65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9383FAA"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6DEF35D8"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CF19E8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C5C3D19" w14:textId="77777777" w:rsidR="00B15F7D" w:rsidRPr="00990FB6" w:rsidRDefault="00B15F7D" w:rsidP="00B15F7D">
            <w:pPr>
              <w:tabs>
                <w:tab w:val="left" w:pos="2694"/>
              </w:tabs>
              <w:jc w:val="both"/>
              <w:rPr>
                <w:snapToGrid w:val="0"/>
                <w:sz w:val="22"/>
                <w:szCs w:val="22"/>
                <w:u w:val="single"/>
              </w:rPr>
            </w:pPr>
          </w:p>
        </w:tc>
      </w:tr>
      <w:tr w:rsidR="00B15F7D" w:rsidRPr="00990FB6" w14:paraId="485A4285" w14:textId="77777777" w:rsidTr="000A0C22">
        <w:trPr>
          <w:trHeight w:val="288"/>
        </w:trPr>
        <w:tc>
          <w:tcPr>
            <w:tcW w:w="1314" w:type="dxa"/>
            <w:noWrap/>
            <w:hideMark/>
          </w:tcPr>
          <w:p w14:paraId="54EF06E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0E93F95"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Pavas</w:t>
            </w:r>
          </w:p>
        </w:tc>
        <w:tc>
          <w:tcPr>
            <w:tcW w:w="866" w:type="dxa"/>
            <w:noWrap/>
            <w:hideMark/>
          </w:tcPr>
          <w:p w14:paraId="3F392BA5"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0F4C1DC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6201889" w14:textId="77777777" w:rsidR="00B15F7D" w:rsidRPr="00990FB6" w:rsidRDefault="00B15F7D" w:rsidP="00B15F7D">
            <w:pPr>
              <w:tabs>
                <w:tab w:val="left" w:pos="2694"/>
              </w:tabs>
              <w:jc w:val="both"/>
              <w:rPr>
                <w:snapToGrid w:val="0"/>
                <w:sz w:val="22"/>
                <w:szCs w:val="22"/>
                <w:u w:val="single"/>
              </w:rPr>
            </w:pPr>
          </w:p>
        </w:tc>
      </w:tr>
      <w:tr w:rsidR="00B15F7D" w:rsidRPr="00990FB6" w14:paraId="5D947C01" w14:textId="77777777" w:rsidTr="000A0C22">
        <w:trPr>
          <w:trHeight w:val="288"/>
        </w:trPr>
        <w:tc>
          <w:tcPr>
            <w:tcW w:w="1314" w:type="dxa"/>
            <w:noWrap/>
            <w:hideMark/>
          </w:tcPr>
          <w:p w14:paraId="49B6C0C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30F8C8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068F144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A08A2B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857DBB4" w14:textId="77777777" w:rsidR="00B15F7D" w:rsidRPr="00990FB6" w:rsidRDefault="00B15F7D" w:rsidP="00B15F7D">
            <w:pPr>
              <w:tabs>
                <w:tab w:val="left" w:pos="2694"/>
              </w:tabs>
              <w:jc w:val="both"/>
              <w:rPr>
                <w:snapToGrid w:val="0"/>
                <w:sz w:val="22"/>
                <w:szCs w:val="22"/>
                <w:u w:val="single"/>
              </w:rPr>
            </w:pPr>
          </w:p>
        </w:tc>
      </w:tr>
      <w:tr w:rsidR="00B15F7D" w:rsidRPr="00990FB6" w14:paraId="065671F1" w14:textId="77777777" w:rsidTr="000A0C22">
        <w:trPr>
          <w:trHeight w:val="288"/>
        </w:trPr>
        <w:tc>
          <w:tcPr>
            <w:tcW w:w="1314" w:type="dxa"/>
            <w:noWrap/>
            <w:hideMark/>
          </w:tcPr>
          <w:p w14:paraId="246616B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5</w:t>
            </w:r>
          </w:p>
        </w:tc>
        <w:tc>
          <w:tcPr>
            <w:tcW w:w="4307" w:type="dxa"/>
            <w:noWrap/>
            <w:hideMark/>
          </w:tcPr>
          <w:p w14:paraId="7B81667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2E446E6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24BF51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705D8AF" w14:textId="77777777" w:rsidR="00B15F7D" w:rsidRPr="00990FB6" w:rsidRDefault="00B15F7D" w:rsidP="00B15F7D">
            <w:pPr>
              <w:tabs>
                <w:tab w:val="left" w:pos="2694"/>
              </w:tabs>
              <w:jc w:val="both"/>
              <w:rPr>
                <w:snapToGrid w:val="0"/>
                <w:sz w:val="22"/>
                <w:szCs w:val="22"/>
                <w:u w:val="single"/>
              </w:rPr>
            </w:pPr>
          </w:p>
        </w:tc>
      </w:tr>
      <w:tr w:rsidR="00B15F7D" w:rsidRPr="00990FB6" w14:paraId="0A0F9116" w14:textId="77777777" w:rsidTr="000A0C22">
        <w:trPr>
          <w:trHeight w:val="288"/>
        </w:trPr>
        <w:tc>
          <w:tcPr>
            <w:tcW w:w="1314" w:type="dxa"/>
            <w:noWrap/>
            <w:hideMark/>
          </w:tcPr>
          <w:p w14:paraId="3D5DDF2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546A246"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11CC3FBC"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63B5BCC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E1801F2" w14:textId="77777777" w:rsidR="00B15F7D" w:rsidRPr="00990FB6" w:rsidRDefault="00B15F7D" w:rsidP="00B15F7D">
            <w:pPr>
              <w:tabs>
                <w:tab w:val="left" w:pos="2694"/>
              </w:tabs>
              <w:jc w:val="both"/>
              <w:rPr>
                <w:snapToGrid w:val="0"/>
                <w:sz w:val="22"/>
                <w:szCs w:val="22"/>
                <w:u w:val="single"/>
              </w:rPr>
            </w:pPr>
          </w:p>
        </w:tc>
      </w:tr>
      <w:tr w:rsidR="00B15F7D" w:rsidRPr="00990FB6" w14:paraId="137F8320" w14:textId="77777777" w:rsidTr="000A0C22">
        <w:trPr>
          <w:trHeight w:val="288"/>
        </w:trPr>
        <w:tc>
          <w:tcPr>
            <w:tcW w:w="1314" w:type="dxa"/>
            <w:noWrap/>
            <w:hideMark/>
          </w:tcPr>
          <w:p w14:paraId="123DA94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292AED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Goicoechea</w:t>
            </w:r>
          </w:p>
        </w:tc>
        <w:tc>
          <w:tcPr>
            <w:tcW w:w="866" w:type="dxa"/>
            <w:noWrap/>
            <w:hideMark/>
          </w:tcPr>
          <w:p w14:paraId="3049C5CC"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935E13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30E37CD" w14:textId="77777777" w:rsidR="00B15F7D" w:rsidRPr="00990FB6" w:rsidRDefault="00B15F7D" w:rsidP="00B15F7D">
            <w:pPr>
              <w:tabs>
                <w:tab w:val="left" w:pos="2694"/>
              </w:tabs>
              <w:jc w:val="both"/>
              <w:rPr>
                <w:snapToGrid w:val="0"/>
                <w:sz w:val="22"/>
                <w:szCs w:val="22"/>
                <w:u w:val="single"/>
              </w:rPr>
            </w:pPr>
          </w:p>
        </w:tc>
      </w:tr>
      <w:tr w:rsidR="00B15F7D" w:rsidRPr="00990FB6" w14:paraId="7DA2C00C" w14:textId="77777777" w:rsidTr="000A0C22">
        <w:trPr>
          <w:trHeight w:val="288"/>
        </w:trPr>
        <w:tc>
          <w:tcPr>
            <w:tcW w:w="1314" w:type="dxa"/>
            <w:noWrap/>
            <w:hideMark/>
          </w:tcPr>
          <w:p w14:paraId="1DD6195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9964F8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1</w:t>
            </w:r>
          </w:p>
        </w:tc>
        <w:tc>
          <w:tcPr>
            <w:tcW w:w="866" w:type="dxa"/>
            <w:hideMark/>
          </w:tcPr>
          <w:p w14:paraId="5676E29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9DF72D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C44FCCA" w14:textId="77777777" w:rsidR="00B15F7D" w:rsidRPr="00990FB6" w:rsidRDefault="00B15F7D" w:rsidP="00B15F7D">
            <w:pPr>
              <w:tabs>
                <w:tab w:val="left" w:pos="2694"/>
              </w:tabs>
              <w:jc w:val="both"/>
              <w:rPr>
                <w:snapToGrid w:val="0"/>
                <w:sz w:val="22"/>
                <w:szCs w:val="22"/>
                <w:u w:val="single"/>
              </w:rPr>
            </w:pPr>
          </w:p>
        </w:tc>
      </w:tr>
      <w:tr w:rsidR="00B15F7D" w:rsidRPr="00990FB6" w14:paraId="7400D606" w14:textId="77777777" w:rsidTr="000A0C22">
        <w:trPr>
          <w:trHeight w:val="288"/>
        </w:trPr>
        <w:tc>
          <w:tcPr>
            <w:tcW w:w="1314" w:type="dxa"/>
            <w:noWrap/>
            <w:hideMark/>
          </w:tcPr>
          <w:p w14:paraId="67AE978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FF6EF2E"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2F427DD8"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4E2A1E9"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56A2457" w14:textId="77777777" w:rsidR="00B15F7D" w:rsidRPr="00990FB6" w:rsidRDefault="00B15F7D" w:rsidP="00B15F7D">
            <w:pPr>
              <w:tabs>
                <w:tab w:val="left" w:pos="2694"/>
              </w:tabs>
              <w:jc w:val="both"/>
              <w:rPr>
                <w:snapToGrid w:val="0"/>
                <w:sz w:val="22"/>
                <w:szCs w:val="22"/>
                <w:u w:val="single"/>
              </w:rPr>
            </w:pPr>
          </w:p>
        </w:tc>
      </w:tr>
      <w:tr w:rsidR="00B15F7D" w:rsidRPr="00990FB6" w14:paraId="410B0D7E" w14:textId="77777777" w:rsidTr="000A0C22">
        <w:trPr>
          <w:trHeight w:val="288"/>
        </w:trPr>
        <w:tc>
          <w:tcPr>
            <w:tcW w:w="1314" w:type="dxa"/>
            <w:noWrap/>
            <w:hideMark/>
          </w:tcPr>
          <w:p w14:paraId="5F1F9BC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AA78425"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Heredia</w:t>
            </w:r>
          </w:p>
        </w:tc>
        <w:tc>
          <w:tcPr>
            <w:tcW w:w="866" w:type="dxa"/>
            <w:noWrap/>
            <w:hideMark/>
          </w:tcPr>
          <w:p w14:paraId="67856664"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03B5FA3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74C3145" w14:textId="77777777" w:rsidR="00B15F7D" w:rsidRPr="00990FB6" w:rsidRDefault="00B15F7D" w:rsidP="00B15F7D">
            <w:pPr>
              <w:tabs>
                <w:tab w:val="left" w:pos="2694"/>
              </w:tabs>
              <w:jc w:val="both"/>
              <w:rPr>
                <w:snapToGrid w:val="0"/>
                <w:sz w:val="22"/>
                <w:szCs w:val="22"/>
                <w:u w:val="single"/>
              </w:rPr>
            </w:pPr>
          </w:p>
        </w:tc>
      </w:tr>
      <w:tr w:rsidR="00B15F7D" w:rsidRPr="00990FB6" w14:paraId="06FCB704" w14:textId="77777777" w:rsidTr="000A0C22">
        <w:trPr>
          <w:trHeight w:val="288"/>
        </w:trPr>
        <w:tc>
          <w:tcPr>
            <w:tcW w:w="1314" w:type="dxa"/>
            <w:noWrap/>
            <w:hideMark/>
          </w:tcPr>
          <w:p w14:paraId="6011642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163B192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7441053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D713E0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C6698B1" w14:textId="77777777" w:rsidR="00B15F7D" w:rsidRPr="00990FB6" w:rsidRDefault="00B15F7D" w:rsidP="00B15F7D">
            <w:pPr>
              <w:tabs>
                <w:tab w:val="left" w:pos="2694"/>
              </w:tabs>
              <w:jc w:val="both"/>
              <w:rPr>
                <w:snapToGrid w:val="0"/>
                <w:sz w:val="22"/>
                <w:szCs w:val="22"/>
                <w:u w:val="single"/>
              </w:rPr>
            </w:pPr>
          </w:p>
        </w:tc>
      </w:tr>
      <w:tr w:rsidR="00B15F7D" w:rsidRPr="00990FB6" w14:paraId="1CE11032" w14:textId="77777777" w:rsidTr="000A0C22">
        <w:trPr>
          <w:trHeight w:val="288"/>
        </w:trPr>
        <w:tc>
          <w:tcPr>
            <w:tcW w:w="1314" w:type="dxa"/>
            <w:noWrap/>
            <w:hideMark/>
          </w:tcPr>
          <w:p w14:paraId="2805B98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lastRenderedPageBreak/>
              <w:t>1</w:t>
            </w:r>
          </w:p>
        </w:tc>
        <w:tc>
          <w:tcPr>
            <w:tcW w:w="4307" w:type="dxa"/>
            <w:noWrap/>
            <w:hideMark/>
          </w:tcPr>
          <w:p w14:paraId="7EABDFF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1</w:t>
            </w:r>
          </w:p>
        </w:tc>
        <w:tc>
          <w:tcPr>
            <w:tcW w:w="866" w:type="dxa"/>
            <w:hideMark/>
          </w:tcPr>
          <w:p w14:paraId="22BBD1B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A69EC6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C9EA306" w14:textId="77777777" w:rsidR="00B15F7D" w:rsidRPr="00990FB6" w:rsidRDefault="00B15F7D" w:rsidP="00B15F7D">
            <w:pPr>
              <w:tabs>
                <w:tab w:val="left" w:pos="2694"/>
              </w:tabs>
              <w:jc w:val="both"/>
              <w:rPr>
                <w:snapToGrid w:val="0"/>
                <w:sz w:val="22"/>
                <w:szCs w:val="22"/>
                <w:u w:val="single"/>
              </w:rPr>
            </w:pPr>
          </w:p>
        </w:tc>
      </w:tr>
      <w:tr w:rsidR="00B15F7D" w:rsidRPr="00990FB6" w14:paraId="53CFF7CF" w14:textId="77777777" w:rsidTr="000A0C22">
        <w:trPr>
          <w:trHeight w:val="288"/>
        </w:trPr>
        <w:tc>
          <w:tcPr>
            <w:tcW w:w="1314" w:type="dxa"/>
            <w:noWrap/>
            <w:hideMark/>
          </w:tcPr>
          <w:p w14:paraId="0137211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w:t>
            </w:r>
          </w:p>
        </w:tc>
        <w:tc>
          <w:tcPr>
            <w:tcW w:w="4307" w:type="dxa"/>
            <w:noWrap/>
            <w:hideMark/>
          </w:tcPr>
          <w:p w14:paraId="3AFE0BE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3F1CA4B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8E8046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7FEC4C9" w14:textId="77777777" w:rsidR="00B15F7D" w:rsidRPr="00990FB6" w:rsidRDefault="00B15F7D" w:rsidP="00B15F7D">
            <w:pPr>
              <w:tabs>
                <w:tab w:val="left" w:pos="2694"/>
              </w:tabs>
              <w:jc w:val="both"/>
              <w:rPr>
                <w:snapToGrid w:val="0"/>
                <w:sz w:val="22"/>
                <w:szCs w:val="22"/>
                <w:u w:val="single"/>
              </w:rPr>
            </w:pPr>
          </w:p>
        </w:tc>
      </w:tr>
      <w:tr w:rsidR="00B15F7D" w:rsidRPr="00990FB6" w14:paraId="3BCF0C94" w14:textId="77777777" w:rsidTr="000A0C22">
        <w:trPr>
          <w:trHeight w:val="288"/>
        </w:trPr>
        <w:tc>
          <w:tcPr>
            <w:tcW w:w="1314" w:type="dxa"/>
            <w:noWrap/>
            <w:hideMark/>
          </w:tcPr>
          <w:p w14:paraId="6C62A12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ECD5705"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46902C6A"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404B0E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3046CCE" w14:textId="77777777" w:rsidR="00B15F7D" w:rsidRPr="00990FB6" w:rsidRDefault="00B15F7D" w:rsidP="00B15F7D">
            <w:pPr>
              <w:tabs>
                <w:tab w:val="left" w:pos="2694"/>
              </w:tabs>
              <w:jc w:val="both"/>
              <w:rPr>
                <w:snapToGrid w:val="0"/>
                <w:sz w:val="22"/>
                <w:szCs w:val="22"/>
                <w:u w:val="single"/>
              </w:rPr>
            </w:pPr>
          </w:p>
        </w:tc>
      </w:tr>
      <w:tr w:rsidR="00B15F7D" w:rsidRPr="00990FB6" w14:paraId="70D8584D" w14:textId="77777777" w:rsidTr="000A0C22">
        <w:trPr>
          <w:trHeight w:val="288"/>
        </w:trPr>
        <w:tc>
          <w:tcPr>
            <w:tcW w:w="1314" w:type="dxa"/>
            <w:noWrap/>
            <w:hideMark/>
          </w:tcPr>
          <w:p w14:paraId="11225945"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DC754D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Nicoya</w:t>
            </w:r>
          </w:p>
        </w:tc>
        <w:tc>
          <w:tcPr>
            <w:tcW w:w="866" w:type="dxa"/>
            <w:noWrap/>
            <w:hideMark/>
          </w:tcPr>
          <w:p w14:paraId="130E1BAA"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F4809B9"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9A9C431" w14:textId="77777777" w:rsidR="00B15F7D" w:rsidRPr="00990FB6" w:rsidRDefault="00B15F7D" w:rsidP="00B15F7D">
            <w:pPr>
              <w:tabs>
                <w:tab w:val="left" w:pos="2694"/>
              </w:tabs>
              <w:jc w:val="both"/>
              <w:rPr>
                <w:snapToGrid w:val="0"/>
                <w:sz w:val="22"/>
                <w:szCs w:val="22"/>
                <w:u w:val="single"/>
              </w:rPr>
            </w:pPr>
          </w:p>
        </w:tc>
      </w:tr>
      <w:tr w:rsidR="00B15F7D" w:rsidRPr="00990FB6" w14:paraId="6D5099C4" w14:textId="77777777" w:rsidTr="000A0C22">
        <w:trPr>
          <w:trHeight w:val="288"/>
        </w:trPr>
        <w:tc>
          <w:tcPr>
            <w:tcW w:w="1314" w:type="dxa"/>
            <w:noWrap/>
            <w:hideMark/>
          </w:tcPr>
          <w:p w14:paraId="36C06D4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0F2CCE1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44EB93B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C8E85E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2B3F87D" w14:textId="77777777" w:rsidR="00B15F7D" w:rsidRPr="00990FB6" w:rsidRDefault="00B15F7D" w:rsidP="00B15F7D">
            <w:pPr>
              <w:tabs>
                <w:tab w:val="left" w:pos="2694"/>
              </w:tabs>
              <w:jc w:val="both"/>
              <w:rPr>
                <w:snapToGrid w:val="0"/>
                <w:sz w:val="22"/>
                <w:szCs w:val="22"/>
                <w:u w:val="single"/>
              </w:rPr>
            </w:pPr>
          </w:p>
        </w:tc>
      </w:tr>
      <w:tr w:rsidR="00B15F7D" w:rsidRPr="00990FB6" w14:paraId="73E959F1" w14:textId="77777777" w:rsidTr="000A0C22">
        <w:trPr>
          <w:trHeight w:val="288"/>
        </w:trPr>
        <w:tc>
          <w:tcPr>
            <w:tcW w:w="1314" w:type="dxa"/>
            <w:noWrap/>
            <w:hideMark/>
          </w:tcPr>
          <w:p w14:paraId="4827E38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D5148B4"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725EE8DF"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E1897C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084060F" w14:textId="77777777" w:rsidR="00B15F7D" w:rsidRPr="00990FB6" w:rsidRDefault="00B15F7D" w:rsidP="00B15F7D">
            <w:pPr>
              <w:tabs>
                <w:tab w:val="left" w:pos="2694"/>
              </w:tabs>
              <w:jc w:val="both"/>
              <w:rPr>
                <w:snapToGrid w:val="0"/>
                <w:sz w:val="22"/>
                <w:szCs w:val="22"/>
                <w:u w:val="single"/>
              </w:rPr>
            </w:pPr>
          </w:p>
        </w:tc>
      </w:tr>
      <w:tr w:rsidR="00B15F7D" w:rsidRPr="00990FB6" w14:paraId="7C6E2D07" w14:textId="77777777" w:rsidTr="000A0C22">
        <w:trPr>
          <w:trHeight w:val="288"/>
        </w:trPr>
        <w:tc>
          <w:tcPr>
            <w:tcW w:w="1314" w:type="dxa"/>
            <w:noWrap/>
            <w:hideMark/>
          </w:tcPr>
          <w:p w14:paraId="5A2C735A" w14:textId="77777777" w:rsidR="00B15F7D" w:rsidRPr="00990FB6" w:rsidRDefault="00B15F7D" w:rsidP="00B15F7D">
            <w:pPr>
              <w:tabs>
                <w:tab w:val="left" w:pos="2694"/>
              </w:tabs>
              <w:jc w:val="both"/>
              <w:rPr>
                <w:snapToGrid w:val="0"/>
                <w:sz w:val="22"/>
                <w:szCs w:val="22"/>
                <w:u w:val="single"/>
              </w:rPr>
            </w:pPr>
          </w:p>
        </w:tc>
        <w:tc>
          <w:tcPr>
            <w:tcW w:w="6686" w:type="dxa"/>
            <w:gridSpan w:val="3"/>
            <w:noWrap/>
            <w:hideMark/>
          </w:tcPr>
          <w:p w14:paraId="765226D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San Ramón (Sección de Flagrancia)</w:t>
            </w:r>
          </w:p>
        </w:tc>
        <w:tc>
          <w:tcPr>
            <w:tcW w:w="1160" w:type="dxa"/>
            <w:noWrap/>
            <w:hideMark/>
          </w:tcPr>
          <w:p w14:paraId="48A85268" w14:textId="77777777" w:rsidR="00B15F7D" w:rsidRPr="00990FB6" w:rsidRDefault="00B15F7D" w:rsidP="00B15F7D">
            <w:pPr>
              <w:tabs>
                <w:tab w:val="left" w:pos="2694"/>
              </w:tabs>
              <w:jc w:val="both"/>
              <w:rPr>
                <w:b/>
                <w:bCs/>
                <w:snapToGrid w:val="0"/>
                <w:sz w:val="22"/>
                <w:szCs w:val="22"/>
                <w:u w:val="single"/>
              </w:rPr>
            </w:pPr>
          </w:p>
        </w:tc>
      </w:tr>
      <w:tr w:rsidR="00B15F7D" w:rsidRPr="00990FB6" w14:paraId="4CA66D90" w14:textId="77777777" w:rsidTr="000A0C22">
        <w:trPr>
          <w:trHeight w:val="288"/>
        </w:trPr>
        <w:tc>
          <w:tcPr>
            <w:tcW w:w="1314" w:type="dxa"/>
            <w:noWrap/>
            <w:hideMark/>
          </w:tcPr>
          <w:p w14:paraId="29C2702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355B03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2956B16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DDFD04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E46C955" w14:textId="77777777" w:rsidR="00B15F7D" w:rsidRPr="00990FB6" w:rsidRDefault="00B15F7D" w:rsidP="00B15F7D">
            <w:pPr>
              <w:tabs>
                <w:tab w:val="left" w:pos="2694"/>
              </w:tabs>
              <w:jc w:val="both"/>
              <w:rPr>
                <w:snapToGrid w:val="0"/>
                <w:sz w:val="22"/>
                <w:szCs w:val="22"/>
                <w:u w:val="single"/>
              </w:rPr>
            </w:pPr>
          </w:p>
        </w:tc>
      </w:tr>
      <w:tr w:rsidR="00B15F7D" w:rsidRPr="00990FB6" w14:paraId="63475E11" w14:textId="77777777" w:rsidTr="000A0C22">
        <w:trPr>
          <w:trHeight w:val="288"/>
        </w:trPr>
        <w:tc>
          <w:tcPr>
            <w:tcW w:w="1314" w:type="dxa"/>
            <w:noWrap/>
            <w:hideMark/>
          </w:tcPr>
          <w:p w14:paraId="27C6032F"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274DBB1"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081D094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5CFA3C9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6F43FFC" w14:textId="77777777" w:rsidR="00B15F7D" w:rsidRPr="00990FB6" w:rsidRDefault="00B15F7D" w:rsidP="00B15F7D">
            <w:pPr>
              <w:tabs>
                <w:tab w:val="left" w:pos="2694"/>
              </w:tabs>
              <w:jc w:val="both"/>
              <w:rPr>
                <w:snapToGrid w:val="0"/>
                <w:sz w:val="22"/>
                <w:szCs w:val="22"/>
                <w:u w:val="single"/>
              </w:rPr>
            </w:pPr>
          </w:p>
        </w:tc>
      </w:tr>
      <w:tr w:rsidR="00B15F7D" w:rsidRPr="00990FB6" w14:paraId="5C277752" w14:textId="77777777" w:rsidTr="000A0C22">
        <w:trPr>
          <w:trHeight w:val="288"/>
        </w:trPr>
        <w:tc>
          <w:tcPr>
            <w:tcW w:w="1314" w:type="dxa"/>
            <w:noWrap/>
            <w:hideMark/>
          </w:tcPr>
          <w:p w14:paraId="43F0A2D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1A4FFA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xml:space="preserve">Tribunal Penal de Alajuela </w:t>
            </w:r>
          </w:p>
        </w:tc>
        <w:tc>
          <w:tcPr>
            <w:tcW w:w="866" w:type="dxa"/>
            <w:noWrap/>
            <w:hideMark/>
          </w:tcPr>
          <w:p w14:paraId="31F198AB"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C7AA58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82CDD03" w14:textId="77777777" w:rsidR="00B15F7D" w:rsidRPr="00990FB6" w:rsidRDefault="00B15F7D" w:rsidP="00B15F7D">
            <w:pPr>
              <w:tabs>
                <w:tab w:val="left" w:pos="2694"/>
              </w:tabs>
              <w:jc w:val="both"/>
              <w:rPr>
                <w:snapToGrid w:val="0"/>
                <w:sz w:val="22"/>
                <w:szCs w:val="22"/>
                <w:u w:val="single"/>
              </w:rPr>
            </w:pPr>
          </w:p>
        </w:tc>
      </w:tr>
      <w:tr w:rsidR="00B15F7D" w:rsidRPr="00990FB6" w14:paraId="66816B99" w14:textId="77777777" w:rsidTr="000A0C22">
        <w:trPr>
          <w:trHeight w:val="288"/>
        </w:trPr>
        <w:tc>
          <w:tcPr>
            <w:tcW w:w="1314" w:type="dxa"/>
            <w:noWrap/>
            <w:hideMark/>
          </w:tcPr>
          <w:p w14:paraId="711961F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w:t>
            </w:r>
          </w:p>
        </w:tc>
        <w:tc>
          <w:tcPr>
            <w:tcW w:w="4307" w:type="dxa"/>
            <w:noWrap/>
            <w:hideMark/>
          </w:tcPr>
          <w:p w14:paraId="75D0025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47F7AE7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3ED98E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D0F7ED4" w14:textId="77777777" w:rsidR="00B15F7D" w:rsidRPr="00990FB6" w:rsidRDefault="00B15F7D" w:rsidP="00B15F7D">
            <w:pPr>
              <w:tabs>
                <w:tab w:val="left" w:pos="2694"/>
              </w:tabs>
              <w:jc w:val="both"/>
              <w:rPr>
                <w:snapToGrid w:val="0"/>
                <w:sz w:val="22"/>
                <w:szCs w:val="22"/>
                <w:u w:val="single"/>
              </w:rPr>
            </w:pPr>
          </w:p>
        </w:tc>
      </w:tr>
      <w:tr w:rsidR="00B15F7D" w:rsidRPr="00990FB6" w14:paraId="7F7D3F67" w14:textId="77777777" w:rsidTr="000A0C22">
        <w:trPr>
          <w:trHeight w:val="288"/>
        </w:trPr>
        <w:tc>
          <w:tcPr>
            <w:tcW w:w="1314" w:type="dxa"/>
            <w:noWrap/>
            <w:hideMark/>
          </w:tcPr>
          <w:p w14:paraId="0E09AB9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408A5F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1</w:t>
            </w:r>
          </w:p>
        </w:tc>
        <w:tc>
          <w:tcPr>
            <w:tcW w:w="866" w:type="dxa"/>
            <w:hideMark/>
          </w:tcPr>
          <w:p w14:paraId="7AD47E2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4F779B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504AD67" w14:textId="77777777" w:rsidR="00B15F7D" w:rsidRPr="00990FB6" w:rsidRDefault="00B15F7D" w:rsidP="00B15F7D">
            <w:pPr>
              <w:tabs>
                <w:tab w:val="left" w:pos="2694"/>
              </w:tabs>
              <w:jc w:val="both"/>
              <w:rPr>
                <w:snapToGrid w:val="0"/>
                <w:sz w:val="22"/>
                <w:szCs w:val="22"/>
                <w:u w:val="single"/>
              </w:rPr>
            </w:pPr>
          </w:p>
        </w:tc>
      </w:tr>
      <w:tr w:rsidR="00B15F7D" w:rsidRPr="00990FB6" w14:paraId="7AC4D093" w14:textId="77777777" w:rsidTr="000A0C22">
        <w:trPr>
          <w:trHeight w:val="288"/>
        </w:trPr>
        <w:tc>
          <w:tcPr>
            <w:tcW w:w="1314" w:type="dxa"/>
            <w:noWrap/>
            <w:hideMark/>
          </w:tcPr>
          <w:p w14:paraId="02F63D5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3B9C143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6DC135A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833980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E5B9736" w14:textId="77777777" w:rsidR="00B15F7D" w:rsidRPr="00990FB6" w:rsidRDefault="00B15F7D" w:rsidP="00B15F7D">
            <w:pPr>
              <w:tabs>
                <w:tab w:val="left" w:pos="2694"/>
              </w:tabs>
              <w:jc w:val="both"/>
              <w:rPr>
                <w:snapToGrid w:val="0"/>
                <w:sz w:val="22"/>
                <w:szCs w:val="22"/>
                <w:u w:val="single"/>
              </w:rPr>
            </w:pPr>
          </w:p>
        </w:tc>
      </w:tr>
      <w:tr w:rsidR="00B15F7D" w:rsidRPr="00990FB6" w14:paraId="7F557FBC" w14:textId="77777777" w:rsidTr="000A0C22">
        <w:trPr>
          <w:trHeight w:val="288"/>
        </w:trPr>
        <w:tc>
          <w:tcPr>
            <w:tcW w:w="1314" w:type="dxa"/>
            <w:noWrap/>
            <w:hideMark/>
          </w:tcPr>
          <w:p w14:paraId="6B828F0F"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AB735CD"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3197BCFC"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539DC4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7C44345" w14:textId="77777777" w:rsidR="00B15F7D" w:rsidRPr="00990FB6" w:rsidRDefault="00B15F7D" w:rsidP="00B15F7D">
            <w:pPr>
              <w:tabs>
                <w:tab w:val="left" w:pos="2694"/>
              </w:tabs>
              <w:jc w:val="both"/>
              <w:rPr>
                <w:snapToGrid w:val="0"/>
                <w:sz w:val="22"/>
                <w:szCs w:val="22"/>
                <w:u w:val="single"/>
              </w:rPr>
            </w:pPr>
          </w:p>
        </w:tc>
      </w:tr>
      <w:tr w:rsidR="00B15F7D" w:rsidRPr="00990FB6" w14:paraId="33ECD470" w14:textId="77777777" w:rsidTr="000A0C22">
        <w:trPr>
          <w:trHeight w:val="288"/>
        </w:trPr>
        <w:tc>
          <w:tcPr>
            <w:tcW w:w="1314" w:type="dxa"/>
            <w:noWrap/>
            <w:hideMark/>
          </w:tcPr>
          <w:p w14:paraId="0E124F0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F6F7405"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Cartago</w:t>
            </w:r>
          </w:p>
        </w:tc>
        <w:tc>
          <w:tcPr>
            <w:tcW w:w="866" w:type="dxa"/>
            <w:noWrap/>
            <w:hideMark/>
          </w:tcPr>
          <w:p w14:paraId="21C2DCE7"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BA151C6"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6CAFA31" w14:textId="77777777" w:rsidR="00B15F7D" w:rsidRPr="00990FB6" w:rsidRDefault="00B15F7D" w:rsidP="00B15F7D">
            <w:pPr>
              <w:tabs>
                <w:tab w:val="left" w:pos="2694"/>
              </w:tabs>
              <w:jc w:val="both"/>
              <w:rPr>
                <w:snapToGrid w:val="0"/>
                <w:sz w:val="22"/>
                <w:szCs w:val="22"/>
                <w:u w:val="single"/>
              </w:rPr>
            </w:pPr>
          </w:p>
        </w:tc>
      </w:tr>
      <w:tr w:rsidR="00B15F7D" w:rsidRPr="00990FB6" w14:paraId="0010C1F5" w14:textId="77777777" w:rsidTr="000A0C22">
        <w:trPr>
          <w:trHeight w:val="288"/>
        </w:trPr>
        <w:tc>
          <w:tcPr>
            <w:tcW w:w="1314" w:type="dxa"/>
            <w:noWrap/>
            <w:hideMark/>
          </w:tcPr>
          <w:p w14:paraId="1F9E8DB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0AFE58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17050E1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7F9411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0441CC6" w14:textId="77777777" w:rsidR="00B15F7D" w:rsidRPr="00990FB6" w:rsidRDefault="00B15F7D" w:rsidP="00B15F7D">
            <w:pPr>
              <w:tabs>
                <w:tab w:val="left" w:pos="2694"/>
              </w:tabs>
              <w:jc w:val="both"/>
              <w:rPr>
                <w:snapToGrid w:val="0"/>
                <w:sz w:val="22"/>
                <w:szCs w:val="22"/>
                <w:u w:val="single"/>
              </w:rPr>
            </w:pPr>
          </w:p>
        </w:tc>
      </w:tr>
      <w:tr w:rsidR="00B15F7D" w:rsidRPr="00990FB6" w14:paraId="0F66DDA9" w14:textId="77777777" w:rsidTr="000A0C22">
        <w:trPr>
          <w:trHeight w:val="288"/>
        </w:trPr>
        <w:tc>
          <w:tcPr>
            <w:tcW w:w="1314" w:type="dxa"/>
            <w:noWrap/>
            <w:hideMark/>
          </w:tcPr>
          <w:p w14:paraId="1DED886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3C95C9C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596BBFC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5A8E3E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B3BC7A6" w14:textId="77777777" w:rsidR="00B15F7D" w:rsidRPr="00990FB6" w:rsidRDefault="00B15F7D" w:rsidP="00B15F7D">
            <w:pPr>
              <w:tabs>
                <w:tab w:val="left" w:pos="2694"/>
              </w:tabs>
              <w:jc w:val="both"/>
              <w:rPr>
                <w:snapToGrid w:val="0"/>
                <w:sz w:val="22"/>
                <w:szCs w:val="22"/>
                <w:u w:val="single"/>
              </w:rPr>
            </w:pPr>
          </w:p>
        </w:tc>
      </w:tr>
      <w:tr w:rsidR="00B15F7D" w:rsidRPr="00990FB6" w14:paraId="302AA7DE" w14:textId="77777777" w:rsidTr="000A0C22">
        <w:trPr>
          <w:trHeight w:val="288"/>
        </w:trPr>
        <w:tc>
          <w:tcPr>
            <w:tcW w:w="1314" w:type="dxa"/>
            <w:noWrap/>
            <w:hideMark/>
          </w:tcPr>
          <w:p w14:paraId="7852524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92AEB8C"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4E9B229D"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08BC93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DB1FC58" w14:textId="77777777" w:rsidR="00B15F7D" w:rsidRPr="00990FB6" w:rsidRDefault="00B15F7D" w:rsidP="00B15F7D">
            <w:pPr>
              <w:tabs>
                <w:tab w:val="left" w:pos="2694"/>
              </w:tabs>
              <w:jc w:val="both"/>
              <w:rPr>
                <w:snapToGrid w:val="0"/>
                <w:sz w:val="22"/>
                <w:szCs w:val="22"/>
                <w:u w:val="single"/>
              </w:rPr>
            </w:pPr>
          </w:p>
        </w:tc>
      </w:tr>
      <w:tr w:rsidR="00B15F7D" w:rsidRPr="00990FB6" w14:paraId="27605F18" w14:textId="77777777" w:rsidTr="000A0C22">
        <w:trPr>
          <w:trHeight w:val="288"/>
        </w:trPr>
        <w:tc>
          <w:tcPr>
            <w:tcW w:w="1314" w:type="dxa"/>
            <w:noWrap/>
            <w:hideMark/>
          </w:tcPr>
          <w:p w14:paraId="6F76B8B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898AF0D"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Tribunal Penal de Golfito</w:t>
            </w:r>
          </w:p>
        </w:tc>
        <w:tc>
          <w:tcPr>
            <w:tcW w:w="866" w:type="dxa"/>
            <w:noWrap/>
            <w:hideMark/>
          </w:tcPr>
          <w:p w14:paraId="548061A9"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C2F655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15079E1" w14:textId="77777777" w:rsidR="00B15F7D" w:rsidRPr="00990FB6" w:rsidRDefault="00B15F7D" w:rsidP="00B15F7D">
            <w:pPr>
              <w:tabs>
                <w:tab w:val="left" w:pos="2694"/>
              </w:tabs>
              <w:jc w:val="both"/>
              <w:rPr>
                <w:snapToGrid w:val="0"/>
                <w:sz w:val="22"/>
                <w:szCs w:val="22"/>
                <w:u w:val="single"/>
              </w:rPr>
            </w:pPr>
          </w:p>
        </w:tc>
      </w:tr>
      <w:tr w:rsidR="00B15F7D" w:rsidRPr="00990FB6" w14:paraId="6CC4DB5F" w14:textId="77777777" w:rsidTr="000A0C22">
        <w:trPr>
          <w:trHeight w:val="288"/>
        </w:trPr>
        <w:tc>
          <w:tcPr>
            <w:tcW w:w="1314" w:type="dxa"/>
            <w:noWrap/>
            <w:hideMark/>
          </w:tcPr>
          <w:p w14:paraId="372CD19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4D717EB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4</w:t>
            </w:r>
          </w:p>
        </w:tc>
        <w:tc>
          <w:tcPr>
            <w:tcW w:w="866" w:type="dxa"/>
            <w:hideMark/>
          </w:tcPr>
          <w:p w14:paraId="161661A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3AC5E1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6A18054" w14:textId="77777777" w:rsidR="00B15F7D" w:rsidRPr="00990FB6" w:rsidRDefault="00B15F7D" w:rsidP="00B15F7D">
            <w:pPr>
              <w:tabs>
                <w:tab w:val="left" w:pos="2694"/>
              </w:tabs>
              <w:jc w:val="both"/>
              <w:rPr>
                <w:snapToGrid w:val="0"/>
                <w:sz w:val="22"/>
                <w:szCs w:val="22"/>
                <w:u w:val="single"/>
              </w:rPr>
            </w:pPr>
          </w:p>
        </w:tc>
      </w:tr>
      <w:tr w:rsidR="00B15F7D" w:rsidRPr="00990FB6" w14:paraId="202EF4A0" w14:textId="77777777" w:rsidTr="000A0C22">
        <w:trPr>
          <w:trHeight w:val="288"/>
        </w:trPr>
        <w:tc>
          <w:tcPr>
            <w:tcW w:w="1314" w:type="dxa"/>
            <w:noWrap/>
            <w:hideMark/>
          </w:tcPr>
          <w:p w14:paraId="5720C8F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1FC9A21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3</w:t>
            </w:r>
          </w:p>
        </w:tc>
        <w:tc>
          <w:tcPr>
            <w:tcW w:w="866" w:type="dxa"/>
            <w:hideMark/>
          </w:tcPr>
          <w:p w14:paraId="155C0C5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7526A7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FCABFD9" w14:textId="77777777" w:rsidR="00B15F7D" w:rsidRPr="00990FB6" w:rsidRDefault="00B15F7D" w:rsidP="00B15F7D">
            <w:pPr>
              <w:tabs>
                <w:tab w:val="left" w:pos="2694"/>
              </w:tabs>
              <w:jc w:val="both"/>
              <w:rPr>
                <w:snapToGrid w:val="0"/>
                <w:sz w:val="22"/>
                <w:szCs w:val="22"/>
                <w:u w:val="single"/>
              </w:rPr>
            </w:pPr>
          </w:p>
        </w:tc>
      </w:tr>
      <w:tr w:rsidR="00B15F7D" w:rsidRPr="00990FB6" w14:paraId="33A05DFB" w14:textId="77777777" w:rsidTr="000A0C22">
        <w:trPr>
          <w:trHeight w:val="288"/>
        </w:trPr>
        <w:tc>
          <w:tcPr>
            <w:tcW w:w="1314" w:type="dxa"/>
            <w:noWrap/>
            <w:hideMark/>
          </w:tcPr>
          <w:p w14:paraId="446B5D4A"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5E6BE71"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6024D7B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075033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40A20FD" w14:textId="77777777" w:rsidR="00B15F7D" w:rsidRPr="00990FB6" w:rsidRDefault="00B15F7D" w:rsidP="00B15F7D">
            <w:pPr>
              <w:tabs>
                <w:tab w:val="left" w:pos="2694"/>
              </w:tabs>
              <w:jc w:val="both"/>
              <w:rPr>
                <w:snapToGrid w:val="0"/>
                <w:sz w:val="22"/>
                <w:szCs w:val="22"/>
                <w:u w:val="single"/>
              </w:rPr>
            </w:pPr>
          </w:p>
        </w:tc>
      </w:tr>
      <w:tr w:rsidR="00B15F7D" w:rsidRPr="00990FB6" w14:paraId="3149C130" w14:textId="77777777" w:rsidTr="000A0C22">
        <w:trPr>
          <w:trHeight w:val="288"/>
        </w:trPr>
        <w:tc>
          <w:tcPr>
            <w:tcW w:w="1314" w:type="dxa"/>
            <w:noWrap/>
            <w:hideMark/>
          </w:tcPr>
          <w:p w14:paraId="2A4243E2" w14:textId="77777777" w:rsidR="00B15F7D" w:rsidRPr="00990FB6" w:rsidRDefault="00B15F7D" w:rsidP="00B15F7D">
            <w:pPr>
              <w:tabs>
                <w:tab w:val="left" w:pos="2694"/>
              </w:tabs>
              <w:jc w:val="both"/>
              <w:rPr>
                <w:snapToGrid w:val="0"/>
                <w:sz w:val="22"/>
                <w:szCs w:val="22"/>
                <w:u w:val="single"/>
              </w:rPr>
            </w:pPr>
          </w:p>
        </w:tc>
        <w:tc>
          <w:tcPr>
            <w:tcW w:w="5173" w:type="dxa"/>
            <w:gridSpan w:val="2"/>
            <w:noWrap/>
            <w:hideMark/>
          </w:tcPr>
          <w:p w14:paraId="4B33013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xml:space="preserve">Juzgado de Ejecución de la Pena de Alajuela </w:t>
            </w:r>
          </w:p>
        </w:tc>
        <w:tc>
          <w:tcPr>
            <w:tcW w:w="1513" w:type="dxa"/>
            <w:noWrap/>
            <w:hideMark/>
          </w:tcPr>
          <w:p w14:paraId="7EC18CF3" w14:textId="77777777" w:rsidR="00B15F7D" w:rsidRPr="00990FB6" w:rsidRDefault="00B15F7D" w:rsidP="00B15F7D">
            <w:pPr>
              <w:tabs>
                <w:tab w:val="left" w:pos="2694"/>
              </w:tabs>
              <w:jc w:val="both"/>
              <w:rPr>
                <w:b/>
                <w:bCs/>
                <w:snapToGrid w:val="0"/>
                <w:sz w:val="22"/>
                <w:szCs w:val="22"/>
                <w:u w:val="single"/>
              </w:rPr>
            </w:pPr>
          </w:p>
        </w:tc>
        <w:tc>
          <w:tcPr>
            <w:tcW w:w="1160" w:type="dxa"/>
            <w:noWrap/>
            <w:hideMark/>
          </w:tcPr>
          <w:p w14:paraId="62494E32" w14:textId="77777777" w:rsidR="00B15F7D" w:rsidRPr="00990FB6" w:rsidRDefault="00B15F7D" w:rsidP="00B15F7D">
            <w:pPr>
              <w:tabs>
                <w:tab w:val="left" w:pos="2694"/>
              </w:tabs>
              <w:jc w:val="both"/>
              <w:rPr>
                <w:snapToGrid w:val="0"/>
                <w:sz w:val="22"/>
                <w:szCs w:val="22"/>
                <w:u w:val="single"/>
              </w:rPr>
            </w:pPr>
          </w:p>
        </w:tc>
      </w:tr>
      <w:tr w:rsidR="00B15F7D" w:rsidRPr="00990FB6" w14:paraId="23F74E2A" w14:textId="77777777" w:rsidTr="000A0C22">
        <w:trPr>
          <w:trHeight w:val="288"/>
        </w:trPr>
        <w:tc>
          <w:tcPr>
            <w:tcW w:w="1314" w:type="dxa"/>
            <w:noWrap/>
            <w:hideMark/>
          </w:tcPr>
          <w:p w14:paraId="75850CE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C4DCCA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Juez 2</w:t>
            </w:r>
          </w:p>
        </w:tc>
        <w:tc>
          <w:tcPr>
            <w:tcW w:w="866" w:type="dxa"/>
            <w:hideMark/>
          </w:tcPr>
          <w:p w14:paraId="1FB19D9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BF802D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49219DE" w14:textId="77777777" w:rsidR="00B15F7D" w:rsidRPr="00990FB6" w:rsidRDefault="00B15F7D" w:rsidP="00B15F7D">
            <w:pPr>
              <w:tabs>
                <w:tab w:val="left" w:pos="2694"/>
              </w:tabs>
              <w:jc w:val="both"/>
              <w:rPr>
                <w:snapToGrid w:val="0"/>
                <w:sz w:val="22"/>
                <w:szCs w:val="22"/>
                <w:u w:val="single"/>
              </w:rPr>
            </w:pPr>
          </w:p>
        </w:tc>
      </w:tr>
      <w:tr w:rsidR="00B15F7D" w:rsidRPr="00990FB6" w14:paraId="55FF1958" w14:textId="77777777" w:rsidTr="000A0C22">
        <w:trPr>
          <w:trHeight w:val="288"/>
        </w:trPr>
        <w:tc>
          <w:tcPr>
            <w:tcW w:w="1314" w:type="dxa"/>
            <w:noWrap/>
            <w:hideMark/>
          </w:tcPr>
          <w:p w14:paraId="617E661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w:t>
            </w:r>
          </w:p>
        </w:tc>
        <w:tc>
          <w:tcPr>
            <w:tcW w:w="4307" w:type="dxa"/>
            <w:noWrap/>
            <w:hideMark/>
          </w:tcPr>
          <w:p w14:paraId="492063F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2</w:t>
            </w:r>
          </w:p>
        </w:tc>
        <w:tc>
          <w:tcPr>
            <w:tcW w:w="866" w:type="dxa"/>
            <w:hideMark/>
          </w:tcPr>
          <w:p w14:paraId="7AA7D71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3F4725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3D24DCB" w14:textId="77777777" w:rsidR="00B15F7D" w:rsidRPr="00990FB6" w:rsidRDefault="00B15F7D" w:rsidP="00B15F7D">
            <w:pPr>
              <w:tabs>
                <w:tab w:val="left" w:pos="2694"/>
              </w:tabs>
              <w:jc w:val="both"/>
              <w:rPr>
                <w:snapToGrid w:val="0"/>
                <w:sz w:val="22"/>
                <w:szCs w:val="22"/>
                <w:u w:val="single"/>
              </w:rPr>
            </w:pPr>
          </w:p>
        </w:tc>
      </w:tr>
      <w:tr w:rsidR="00B15F7D" w:rsidRPr="00990FB6" w14:paraId="0D3EF822" w14:textId="77777777" w:rsidTr="000A0C22">
        <w:trPr>
          <w:trHeight w:val="288"/>
        </w:trPr>
        <w:tc>
          <w:tcPr>
            <w:tcW w:w="1314" w:type="dxa"/>
            <w:noWrap/>
            <w:hideMark/>
          </w:tcPr>
          <w:p w14:paraId="367C3271"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5A7DAFD"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2388EFC2"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5762A2C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E0B295E" w14:textId="77777777" w:rsidR="00B15F7D" w:rsidRPr="00990FB6" w:rsidRDefault="00B15F7D" w:rsidP="00B15F7D">
            <w:pPr>
              <w:tabs>
                <w:tab w:val="left" w:pos="2694"/>
              </w:tabs>
              <w:jc w:val="both"/>
              <w:rPr>
                <w:snapToGrid w:val="0"/>
                <w:sz w:val="22"/>
                <w:szCs w:val="22"/>
                <w:u w:val="single"/>
              </w:rPr>
            </w:pPr>
          </w:p>
        </w:tc>
      </w:tr>
      <w:tr w:rsidR="00B15F7D" w:rsidRPr="00990FB6" w14:paraId="693F90BB" w14:textId="77777777" w:rsidTr="000A0C22">
        <w:trPr>
          <w:trHeight w:val="288"/>
        </w:trPr>
        <w:tc>
          <w:tcPr>
            <w:tcW w:w="1314" w:type="dxa"/>
            <w:noWrap/>
            <w:hideMark/>
          </w:tcPr>
          <w:p w14:paraId="43C1E2EE" w14:textId="77777777" w:rsidR="00B15F7D" w:rsidRPr="00990FB6" w:rsidRDefault="00B15F7D" w:rsidP="00B15F7D">
            <w:pPr>
              <w:tabs>
                <w:tab w:val="left" w:pos="2694"/>
              </w:tabs>
              <w:jc w:val="both"/>
              <w:rPr>
                <w:snapToGrid w:val="0"/>
                <w:sz w:val="22"/>
                <w:szCs w:val="22"/>
                <w:u w:val="single"/>
              </w:rPr>
            </w:pPr>
          </w:p>
        </w:tc>
        <w:tc>
          <w:tcPr>
            <w:tcW w:w="5173" w:type="dxa"/>
            <w:gridSpan w:val="2"/>
            <w:noWrap/>
            <w:hideMark/>
          </w:tcPr>
          <w:p w14:paraId="002B8F3E"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xml:space="preserve">Juzgado de Ejecución de la Pena de Liberia </w:t>
            </w:r>
          </w:p>
        </w:tc>
        <w:tc>
          <w:tcPr>
            <w:tcW w:w="1513" w:type="dxa"/>
            <w:noWrap/>
            <w:hideMark/>
          </w:tcPr>
          <w:p w14:paraId="2222FBA4" w14:textId="77777777" w:rsidR="00B15F7D" w:rsidRPr="00990FB6" w:rsidRDefault="00B15F7D" w:rsidP="00B15F7D">
            <w:pPr>
              <w:tabs>
                <w:tab w:val="left" w:pos="2694"/>
              </w:tabs>
              <w:jc w:val="both"/>
              <w:rPr>
                <w:b/>
                <w:bCs/>
                <w:snapToGrid w:val="0"/>
                <w:sz w:val="22"/>
                <w:szCs w:val="22"/>
                <w:u w:val="single"/>
              </w:rPr>
            </w:pPr>
          </w:p>
        </w:tc>
        <w:tc>
          <w:tcPr>
            <w:tcW w:w="1160" w:type="dxa"/>
            <w:noWrap/>
            <w:hideMark/>
          </w:tcPr>
          <w:p w14:paraId="331C8C4F" w14:textId="77777777" w:rsidR="00B15F7D" w:rsidRPr="00990FB6" w:rsidRDefault="00B15F7D" w:rsidP="00B15F7D">
            <w:pPr>
              <w:tabs>
                <w:tab w:val="left" w:pos="2694"/>
              </w:tabs>
              <w:jc w:val="both"/>
              <w:rPr>
                <w:snapToGrid w:val="0"/>
                <w:sz w:val="22"/>
                <w:szCs w:val="22"/>
                <w:u w:val="single"/>
              </w:rPr>
            </w:pPr>
          </w:p>
        </w:tc>
      </w:tr>
      <w:tr w:rsidR="00B15F7D" w:rsidRPr="00990FB6" w14:paraId="7D73EA5E" w14:textId="77777777" w:rsidTr="000A0C22">
        <w:trPr>
          <w:trHeight w:val="288"/>
        </w:trPr>
        <w:tc>
          <w:tcPr>
            <w:tcW w:w="1314" w:type="dxa"/>
            <w:noWrap/>
            <w:hideMark/>
          </w:tcPr>
          <w:p w14:paraId="46A0549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FD8F11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Coordinador Judicial 2</w:t>
            </w:r>
          </w:p>
        </w:tc>
        <w:tc>
          <w:tcPr>
            <w:tcW w:w="866" w:type="dxa"/>
            <w:hideMark/>
          </w:tcPr>
          <w:p w14:paraId="10A655A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830AE0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E910B86" w14:textId="77777777" w:rsidR="00B15F7D" w:rsidRPr="00990FB6" w:rsidRDefault="00B15F7D" w:rsidP="00B15F7D">
            <w:pPr>
              <w:tabs>
                <w:tab w:val="left" w:pos="2694"/>
              </w:tabs>
              <w:jc w:val="both"/>
              <w:rPr>
                <w:snapToGrid w:val="0"/>
                <w:sz w:val="22"/>
                <w:szCs w:val="22"/>
                <w:u w:val="single"/>
              </w:rPr>
            </w:pPr>
          </w:p>
        </w:tc>
      </w:tr>
      <w:tr w:rsidR="00B15F7D" w:rsidRPr="00990FB6" w14:paraId="4DD2C3BF" w14:textId="77777777" w:rsidTr="000A0C22">
        <w:trPr>
          <w:trHeight w:val="288"/>
        </w:trPr>
        <w:tc>
          <w:tcPr>
            <w:tcW w:w="1314" w:type="dxa"/>
            <w:noWrap/>
            <w:hideMark/>
          </w:tcPr>
          <w:p w14:paraId="62F31E6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3E2DBE5"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511A9EAE"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54665C9"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8BB8B0F" w14:textId="77777777" w:rsidR="00B15F7D" w:rsidRPr="00990FB6" w:rsidRDefault="00B15F7D" w:rsidP="00B15F7D">
            <w:pPr>
              <w:tabs>
                <w:tab w:val="left" w:pos="2694"/>
              </w:tabs>
              <w:jc w:val="both"/>
              <w:rPr>
                <w:snapToGrid w:val="0"/>
                <w:sz w:val="22"/>
                <w:szCs w:val="22"/>
                <w:u w:val="single"/>
              </w:rPr>
            </w:pPr>
          </w:p>
        </w:tc>
      </w:tr>
      <w:tr w:rsidR="00B15F7D" w:rsidRPr="00990FB6" w14:paraId="6BC5B69D" w14:textId="77777777" w:rsidTr="000A0C22">
        <w:trPr>
          <w:trHeight w:val="288"/>
        </w:trPr>
        <w:tc>
          <w:tcPr>
            <w:tcW w:w="1314" w:type="dxa"/>
            <w:noWrap/>
            <w:hideMark/>
          </w:tcPr>
          <w:p w14:paraId="29AC559F" w14:textId="77777777" w:rsidR="00B15F7D" w:rsidRPr="00990FB6" w:rsidRDefault="00B15F7D" w:rsidP="00B15F7D">
            <w:pPr>
              <w:tabs>
                <w:tab w:val="left" w:pos="2694"/>
              </w:tabs>
              <w:jc w:val="both"/>
              <w:rPr>
                <w:snapToGrid w:val="0"/>
                <w:sz w:val="22"/>
                <w:szCs w:val="22"/>
                <w:u w:val="single"/>
              </w:rPr>
            </w:pPr>
          </w:p>
        </w:tc>
        <w:tc>
          <w:tcPr>
            <w:tcW w:w="5173" w:type="dxa"/>
            <w:gridSpan w:val="2"/>
            <w:noWrap/>
            <w:hideMark/>
          </w:tcPr>
          <w:p w14:paraId="535D896E"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Juzgado de Ejecución de la Pena de Puntarenas</w:t>
            </w:r>
          </w:p>
        </w:tc>
        <w:tc>
          <w:tcPr>
            <w:tcW w:w="1513" w:type="dxa"/>
            <w:noWrap/>
            <w:hideMark/>
          </w:tcPr>
          <w:p w14:paraId="466E248A" w14:textId="77777777" w:rsidR="00B15F7D" w:rsidRPr="00990FB6" w:rsidRDefault="00B15F7D" w:rsidP="00B15F7D">
            <w:pPr>
              <w:tabs>
                <w:tab w:val="left" w:pos="2694"/>
              </w:tabs>
              <w:jc w:val="both"/>
              <w:rPr>
                <w:b/>
                <w:bCs/>
                <w:snapToGrid w:val="0"/>
                <w:sz w:val="22"/>
                <w:szCs w:val="22"/>
                <w:u w:val="single"/>
              </w:rPr>
            </w:pPr>
          </w:p>
        </w:tc>
        <w:tc>
          <w:tcPr>
            <w:tcW w:w="1160" w:type="dxa"/>
            <w:noWrap/>
            <w:hideMark/>
          </w:tcPr>
          <w:p w14:paraId="0A7CAB56" w14:textId="77777777" w:rsidR="00B15F7D" w:rsidRPr="00990FB6" w:rsidRDefault="00B15F7D" w:rsidP="00B15F7D">
            <w:pPr>
              <w:tabs>
                <w:tab w:val="left" w:pos="2694"/>
              </w:tabs>
              <w:jc w:val="both"/>
              <w:rPr>
                <w:snapToGrid w:val="0"/>
                <w:sz w:val="22"/>
                <w:szCs w:val="22"/>
                <w:u w:val="single"/>
              </w:rPr>
            </w:pPr>
          </w:p>
        </w:tc>
      </w:tr>
      <w:tr w:rsidR="00B15F7D" w:rsidRPr="00990FB6" w14:paraId="309CD7AD" w14:textId="77777777" w:rsidTr="000A0C22">
        <w:trPr>
          <w:trHeight w:val="288"/>
        </w:trPr>
        <w:tc>
          <w:tcPr>
            <w:tcW w:w="1314" w:type="dxa"/>
            <w:noWrap/>
            <w:hideMark/>
          </w:tcPr>
          <w:p w14:paraId="1AFBA3F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42CE092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2</w:t>
            </w:r>
          </w:p>
        </w:tc>
        <w:tc>
          <w:tcPr>
            <w:tcW w:w="866" w:type="dxa"/>
            <w:hideMark/>
          </w:tcPr>
          <w:p w14:paraId="75430A5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7F19E2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B4C13B4" w14:textId="77777777" w:rsidR="00B15F7D" w:rsidRPr="00990FB6" w:rsidRDefault="00B15F7D" w:rsidP="00B15F7D">
            <w:pPr>
              <w:tabs>
                <w:tab w:val="left" w:pos="2694"/>
              </w:tabs>
              <w:jc w:val="both"/>
              <w:rPr>
                <w:snapToGrid w:val="0"/>
                <w:sz w:val="22"/>
                <w:szCs w:val="22"/>
                <w:u w:val="single"/>
              </w:rPr>
            </w:pPr>
          </w:p>
        </w:tc>
      </w:tr>
      <w:tr w:rsidR="00B15F7D" w:rsidRPr="00990FB6" w14:paraId="79F324C8" w14:textId="77777777" w:rsidTr="000A0C22">
        <w:trPr>
          <w:trHeight w:val="288"/>
        </w:trPr>
        <w:tc>
          <w:tcPr>
            <w:tcW w:w="1314" w:type="dxa"/>
            <w:noWrap/>
            <w:hideMark/>
          </w:tcPr>
          <w:p w14:paraId="0C0AE84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97DE33B"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0D83167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900B5E1"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B4E67DC" w14:textId="77777777" w:rsidR="00B15F7D" w:rsidRPr="00990FB6" w:rsidRDefault="00B15F7D" w:rsidP="00B15F7D">
            <w:pPr>
              <w:tabs>
                <w:tab w:val="left" w:pos="2694"/>
              </w:tabs>
              <w:jc w:val="both"/>
              <w:rPr>
                <w:snapToGrid w:val="0"/>
                <w:sz w:val="22"/>
                <w:szCs w:val="22"/>
                <w:u w:val="single"/>
              </w:rPr>
            </w:pPr>
          </w:p>
        </w:tc>
      </w:tr>
      <w:tr w:rsidR="00B15F7D" w:rsidRPr="00990FB6" w14:paraId="50259EB1" w14:textId="77777777" w:rsidTr="000A0C22">
        <w:trPr>
          <w:trHeight w:val="288"/>
        </w:trPr>
        <w:tc>
          <w:tcPr>
            <w:tcW w:w="1314" w:type="dxa"/>
            <w:noWrap/>
            <w:hideMark/>
          </w:tcPr>
          <w:p w14:paraId="7FD6FFE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623DC1D"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Juzgado de Ejecución de la Pena de Pococí</w:t>
            </w:r>
          </w:p>
        </w:tc>
        <w:tc>
          <w:tcPr>
            <w:tcW w:w="866" w:type="dxa"/>
            <w:noWrap/>
            <w:hideMark/>
          </w:tcPr>
          <w:p w14:paraId="58C04257"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2BDDC8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8C2B1A4" w14:textId="77777777" w:rsidR="00B15F7D" w:rsidRPr="00990FB6" w:rsidRDefault="00B15F7D" w:rsidP="00B15F7D">
            <w:pPr>
              <w:tabs>
                <w:tab w:val="left" w:pos="2694"/>
              </w:tabs>
              <w:jc w:val="both"/>
              <w:rPr>
                <w:snapToGrid w:val="0"/>
                <w:sz w:val="22"/>
                <w:szCs w:val="22"/>
                <w:u w:val="single"/>
              </w:rPr>
            </w:pPr>
          </w:p>
        </w:tc>
      </w:tr>
      <w:tr w:rsidR="00B15F7D" w:rsidRPr="00990FB6" w14:paraId="6092738B" w14:textId="77777777" w:rsidTr="000A0C22">
        <w:trPr>
          <w:trHeight w:val="288"/>
        </w:trPr>
        <w:tc>
          <w:tcPr>
            <w:tcW w:w="1314" w:type="dxa"/>
            <w:noWrap/>
            <w:hideMark/>
          </w:tcPr>
          <w:p w14:paraId="4E45DC6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6924DE5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Técnico Judicial 2</w:t>
            </w:r>
          </w:p>
        </w:tc>
        <w:tc>
          <w:tcPr>
            <w:tcW w:w="866" w:type="dxa"/>
            <w:hideMark/>
          </w:tcPr>
          <w:p w14:paraId="46728CA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38B468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11D6AAF" w14:textId="77777777" w:rsidR="00B15F7D" w:rsidRPr="00990FB6" w:rsidRDefault="00B15F7D" w:rsidP="00B15F7D">
            <w:pPr>
              <w:tabs>
                <w:tab w:val="left" w:pos="2694"/>
              </w:tabs>
              <w:jc w:val="both"/>
              <w:rPr>
                <w:snapToGrid w:val="0"/>
                <w:sz w:val="22"/>
                <w:szCs w:val="22"/>
                <w:u w:val="single"/>
              </w:rPr>
            </w:pPr>
          </w:p>
        </w:tc>
      </w:tr>
      <w:tr w:rsidR="00B15F7D" w:rsidRPr="00990FB6" w14:paraId="77B1D1B7" w14:textId="77777777" w:rsidTr="000A0C22">
        <w:trPr>
          <w:trHeight w:val="288"/>
        </w:trPr>
        <w:tc>
          <w:tcPr>
            <w:tcW w:w="1314" w:type="dxa"/>
            <w:noWrap/>
            <w:hideMark/>
          </w:tcPr>
          <w:p w14:paraId="6D678FA2" w14:textId="77777777" w:rsidR="00B15F7D" w:rsidRPr="00990FB6" w:rsidRDefault="00B15F7D" w:rsidP="00B15F7D">
            <w:pPr>
              <w:tabs>
                <w:tab w:val="left" w:pos="2694"/>
              </w:tabs>
              <w:jc w:val="both"/>
              <w:rPr>
                <w:snapToGrid w:val="0"/>
                <w:sz w:val="22"/>
                <w:szCs w:val="22"/>
                <w:u w:val="single"/>
              </w:rPr>
            </w:pPr>
          </w:p>
        </w:tc>
        <w:tc>
          <w:tcPr>
            <w:tcW w:w="4307" w:type="dxa"/>
            <w:hideMark/>
          </w:tcPr>
          <w:p w14:paraId="38FE33FC"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0B1D2763"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87CB676"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370C13B" w14:textId="77777777" w:rsidR="00B15F7D" w:rsidRPr="00990FB6" w:rsidRDefault="00B15F7D" w:rsidP="00B15F7D">
            <w:pPr>
              <w:tabs>
                <w:tab w:val="left" w:pos="2694"/>
              </w:tabs>
              <w:jc w:val="both"/>
              <w:rPr>
                <w:snapToGrid w:val="0"/>
                <w:sz w:val="22"/>
                <w:szCs w:val="22"/>
                <w:u w:val="single"/>
              </w:rPr>
            </w:pPr>
          </w:p>
        </w:tc>
      </w:tr>
      <w:tr w:rsidR="00B15F7D" w:rsidRPr="00990FB6" w14:paraId="6733A421" w14:textId="77777777" w:rsidTr="000A0C22">
        <w:trPr>
          <w:trHeight w:val="576"/>
        </w:trPr>
        <w:tc>
          <w:tcPr>
            <w:tcW w:w="1314" w:type="dxa"/>
            <w:noWrap/>
            <w:hideMark/>
          </w:tcPr>
          <w:p w14:paraId="7BC75F2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24</w:t>
            </w:r>
          </w:p>
        </w:tc>
        <w:tc>
          <w:tcPr>
            <w:tcW w:w="4307" w:type="dxa"/>
            <w:hideMark/>
          </w:tcPr>
          <w:p w14:paraId="2A9A36C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PROG. 928 ORGANISMO DE INVESTIGACIÓN JUDICIAL</w:t>
            </w:r>
          </w:p>
        </w:tc>
        <w:tc>
          <w:tcPr>
            <w:tcW w:w="866" w:type="dxa"/>
            <w:noWrap/>
            <w:hideMark/>
          </w:tcPr>
          <w:p w14:paraId="79355C5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 </w:t>
            </w:r>
          </w:p>
        </w:tc>
        <w:tc>
          <w:tcPr>
            <w:tcW w:w="1513" w:type="dxa"/>
            <w:noWrap/>
            <w:hideMark/>
          </w:tcPr>
          <w:p w14:paraId="0F2572B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 </w:t>
            </w:r>
          </w:p>
        </w:tc>
        <w:tc>
          <w:tcPr>
            <w:tcW w:w="1160" w:type="dxa"/>
            <w:noWrap/>
            <w:hideMark/>
          </w:tcPr>
          <w:p w14:paraId="2AADC38C" w14:textId="77777777" w:rsidR="00B15F7D" w:rsidRPr="00990FB6" w:rsidRDefault="00B15F7D" w:rsidP="00B15F7D">
            <w:pPr>
              <w:tabs>
                <w:tab w:val="left" w:pos="2694"/>
              </w:tabs>
              <w:jc w:val="both"/>
              <w:rPr>
                <w:snapToGrid w:val="0"/>
                <w:sz w:val="22"/>
                <w:szCs w:val="22"/>
                <w:u w:val="single"/>
              </w:rPr>
            </w:pPr>
          </w:p>
        </w:tc>
      </w:tr>
      <w:tr w:rsidR="00B15F7D" w:rsidRPr="00990FB6" w14:paraId="042F6D21" w14:textId="77777777" w:rsidTr="000A0C22">
        <w:trPr>
          <w:trHeight w:val="288"/>
        </w:trPr>
        <w:tc>
          <w:tcPr>
            <w:tcW w:w="1314" w:type="dxa"/>
            <w:noWrap/>
            <w:hideMark/>
          </w:tcPr>
          <w:p w14:paraId="432C70C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AEEBC76"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53C0C99E"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6038891"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09AF82B" w14:textId="77777777" w:rsidR="00B15F7D" w:rsidRPr="00990FB6" w:rsidRDefault="00B15F7D" w:rsidP="00B15F7D">
            <w:pPr>
              <w:tabs>
                <w:tab w:val="left" w:pos="2694"/>
              </w:tabs>
              <w:jc w:val="both"/>
              <w:rPr>
                <w:snapToGrid w:val="0"/>
                <w:sz w:val="22"/>
                <w:szCs w:val="22"/>
                <w:u w:val="single"/>
              </w:rPr>
            </w:pPr>
          </w:p>
        </w:tc>
      </w:tr>
      <w:tr w:rsidR="00B15F7D" w:rsidRPr="00990FB6" w14:paraId="4F0672B2" w14:textId="77777777" w:rsidTr="000A0C22">
        <w:trPr>
          <w:trHeight w:val="288"/>
        </w:trPr>
        <w:tc>
          <w:tcPr>
            <w:tcW w:w="1314" w:type="dxa"/>
            <w:noWrap/>
            <w:hideMark/>
          </w:tcPr>
          <w:p w14:paraId="2A7A46D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FFD1E6B"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Delegación Regional de Corredores</w:t>
            </w:r>
          </w:p>
        </w:tc>
        <w:tc>
          <w:tcPr>
            <w:tcW w:w="866" w:type="dxa"/>
            <w:hideMark/>
          </w:tcPr>
          <w:p w14:paraId="1C84C710"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2CD582A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601682E" w14:textId="77777777" w:rsidR="00B15F7D" w:rsidRPr="00990FB6" w:rsidRDefault="00B15F7D" w:rsidP="00B15F7D">
            <w:pPr>
              <w:tabs>
                <w:tab w:val="left" w:pos="2694"/>
              </w:tabs>
              <w:jc w:val="both"/>
              <w:rPr>
                <w:snapToGrid w:val="0"/>
                <w:sz w:val="22"/>
                <w:szCs w:val="22"/>
                <w:u w:val="single"/>
              </w:rPr>
            </w:pPr>
          </w:p>
        </w:tc>
      </w:tr>
      <w:tr w:rsidR="00B15F7D" w:rsidRPr="00990FB6" w14:paraId="0B8ED316" w14:textId="77777777" w:rsidTr="000A0C22">
        <w:trPr>
          <w:trHeight w:val="288"/>
        </w:trPr>
        <w:tc>
          <w:tcPr>
            <w:tcW w:w="1314" w:type="dxa"/>
            <w:noWrap/>
            <w:hideMark/>
          </w:tcPr>
          <w:p w14:paraId="456AE32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3099AD8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12A3FEA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86BF20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030CF56" w14:textId="77777777" w:rsidR="00B15F7D" w:rsidRPr="00990FB6" w:rsidRDefault="00B15F7D" w:rsidP="00B15F7D">
            <w:pPr>
              <w:tabs>
                <w:tab w:val="left" w:pos="2694"/>
              </w:tabs>
              <w:jc w:val="both"/>
              <w:rPr>
                <w:snapToGrid w:val="0"/>
                <w:sz w:val="22"/>
                <w:szCs w:val="22"/>
                <w:u w:val="single"/>
              </w:rPr>
            </w:pPr>
          </w:p>
        </w:tc>
      </w:tr>
      <w:tr w:rsidR="00B15F7D" w:rsidRPr="00990FB6" w14:paraId="3E7957CB" w14:textId="77777777" w:rsidTr="000A0C22">
        <w:trPr>
          <w:trHeight w:val="288"/>
        </w:trPr>
        <w:tc>
          <w:tcPr>
            <w:tcW w:w="1314" w:type="dxa"/>
            <w:noWrap/>
            <w:hideMark/>
          </w:tcPr>
          <w:p w14:paraId="0144B95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4877AAD" w14:textId="77777777" w:rsidR="00B15F7D" w:rsidRPr="00990FB6" w:rsidRDefault="00B15F7D" w:rsidP="00B15F7D">
            <w:pPr>
              <w:tabs>
                <w:tab w:val="left" w:pos="2694"/>
              </w:tabs>
              <w:jc w:val="both"/>
              <w:rPr>
                <w:snapToGrid w:val="0"/>
                <w:sz w:val="22"/>
                <w:szCs w:val="22"/>
                <w:u w:val="single"/>
              </w:rPr>
            </w:pPr>
          </w:p>
        </w:tc>
        <w:tc>
          <w:tcPr>
            <w:tcW w:w="866" w:type="dxa"/>
            <w:hideMark/>
          </w:tcPr>
          <w:p w14:paraId="1C7A158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2993A8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B664BDF" w14:textId="77777777" w:rsidR="00B15F7D" w:rsidRPr="00990FB6" w:rsidRDefault="00B15F7D" w:rsidP="00B15F7D">
            <w:pPr>
              <w:tabs>
                <w:tab w:val="left" w:pos="2694"/>
              </w:tabs>
              <w:jc w:val="both"/>
              <w:rPr>
                <w:snapToGrid w:val="0"/>
                <w:sz w:val="22"/>
                <w:szCs w:val="22"/>
                <w:u w:val="single"/>
              </w:rPr>
            </w:pPr>
          </w:p>
        </w:tc>
      </w:tr>
      <w:tr w:rsidR="00B15F7D" w:rsidRPr="00990FB6" w14:paraId="056AADB8" w14:textId="77777777" w:rsidTr="000A0C22">
        <w:trPr>
          <w:trHeight w:val="288"/>
        </w:trPr>
        <w:tc>
          <w:tcPr>
            <w:tcW w:w="1314" w:type="dxa"/>
            <w:noWrap/>
            <w:hideMark/>
          </w:tcPr>
          <w:p w14:paraId="5029DFE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17FCD5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xml:space="preserve">Oficina Regional de </w:t>
            </w:r>
            <w:proofErr w:type="spellStart"/>
            <w:r w:rsidRPr="00990FB6">
              <w:rPr>
                <w:b/>
                <w:bCs/>
                <w:snapToGrid w:val="0"/>
                <w:sz w:val="22"/>
                <w:szCs w:val="22"/>
                <w:u w:val="single"/>
              </w:rPr>
              <w:t>Bribrí</w:t>
            </w:r>
            <w:proofErr w:type="spellEnd"/>
          </w:p>
        </w:tc>
        <w:tc>
          <w:tcPr>
            <w:tcW w:w="866" w:type="dxa"/>
            <w:hideMark/>
          </w:tcPr>
          <w:p w14:paraId="4EF4E7A1"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2466FCB5"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DF970D7" w14:textId="77777777" w:rsidR="00B15F7D" w:rsidRPr="00990FB6" w:rsidRDefault="00B15F7D" w:rsidP="00B15F7D">
            <w:pPr>
              <w:tabs>
                <w:tab w:val="left" w:pos="2694"/>
              </w:tabs>
              <w:jc w:val="both"/>
              <w:rPr>
                <w:snapToGrid w:val="0"/>
                <w:sz w:val="22"/>
                <w:szCs w:val="22"/>
                <w:u w:val="single"/>
              </w:rPr>
            </w:pPr>
          </w:p>
        </w:tc>
      </w:tr>
      <w:tr w:rsidR="00B15F7D" w:rsidRPr="00990FB6" w14:paraId="3BABEF2D" w14:textId="77777777" w:rsidTr="000A0C22">
        <w:trPr>
          <w:trHeight w:val="288"/>
        </w:trPr>
        <w:tc>
          <w:tcPr>
            <w:tcW w:w="1314" w:type="dxa"/>
            <w:noWrap/>
            <w:hideMark/>
          </w:tcPr>
          <w:p w14:paraId="6897158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720CF6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10C17E9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A21DDA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040A94E" w14:textId="77777777" w:rsidR="00B15F7D" w:rsidRPr="00990FB6" w:rsidRDefault="00B15F7D" w:rsidP="00B15F7D">
            <w:pPr>
              <w:tabs>
                <w:tab w:val="left" w:pos="2694"/>
              </w:tabs>
              <w:jc w:val="both"/>
              <w:rPr>
                <w:snapToGrid w:val="0"/>
                <w:sz w:val="22"/>
                <w:szCs w:val="22"/>
                <w:u w:val="single"/>
              </w:rPr>
            </w:pPr>
          </w:p>
        </w:tc>
      </w:tr>
      <w:tr w:rsidR="00B15F7D" w:rsidRPr="00990FB6" w14:paraId="5052F3A4" w14:textId="77777777" w:rsidTr="000A0C22">
        <w:trPr>
          <w:trHeight w:val="288"/>
        </w:trPr>
        <w:tc>
          <w:tcPr>
            <w:tcW w:w="1314" w:type="dxa"/>
            <w:noWrap/>
            <w:hideMark/>
          </w:tcPr>
          <w:p w14:paraId="4E036305"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2FA9034" w14:textId="77777777" w:rsidR="00B15F7D" w:rsidRPr="00990FB6" w:rsidRDefault="00B15F7D" w:rsidP="00B15F7D">
            <w:pPr>
              <w:tabs>
                <w:tab w:val="left" w:pos="2694"/>
              </w:tabs>
              <w:jc w:val="both"/>
              <w:rPr>
                <w:snapToGrid w:val="0"/>
                <w:sz w:val="22"/>
                <w:szCs w:val="22"/>
                <w:u w:val="single"/>
              </w:rPr>
            </w:pPr>
          </w:p>
        </w:tc>
        <w:tc>
          <w:tcPr>
            <w:tcW w:w="866" w:type="dxa"/>
            <w:hideMark/>
          </w:tcPr>
          <w:p w14:paraId="117B0F7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90DAD7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CC36DAA" w14:textId="77777777" w:rsidR="00B15F7D" w:rsidRPr="00990FB6" w:rsidRDefault="00B15F7D" w:rsidP="00B15F7D">
            <w:pPr>
              <w:tabs>
                <w:tab w:val="left" w:pos="2694"/>
              </w:tabs>
              <w:jc w:val="both"/>
              <w:rPr>
                <w:snapToGrid w:val="0"/>
                <w:sz w:val="22"/>
                <w:szCs w:val="22"/>
                <w:u w:val="single"/>
              </w:rPr>
            </w:pPr>
          </w:p>
        </w:tc>
      </w:tr>
      <w:tr w:rsidR="00B15F7D" w:rsidRPr="00990FB6" w14:paraId="6D4401B4" w14:textId="77777777" w:rsidTr="000A0C22">
        <w:trPr>
          <w:trHeight w:val="288"/>
        </w:trPr>
        <w:tc>
          <w:tcPr>
            <w:tcW w:w="1314" w:type="dxa"/>
            <w:noWrap/>
            <w:hideMark/>
          </w:tcPr>
          <w:p w14:paraId="1959AF1A"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09F27BA"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Oficina Regional de Batan</w:t>
            </w:r>
          </w:p>
        </w:tc>
        <w:tc>
          <w:tcPr>
            <w:tcW w:w="866" w:type="dxa"/>
            <w:hideMark/>
          </w:tcPr>
          <w:p w14:paraId="14C3D5A7"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7E81B4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E6BEBDA" w14:textId="77777777" w:rsidR="00B15F7D" w:rsidRPr="00990FB6" w:rsidRDefault="00B15F7D" w:rsidP="00B15F7D">
            <w:pPr>
              <w:tabs>
                <w:tab w:val="left" w:pos="2694"/>
              </w:tabs>
              <w:jc w:val="both"/>
              <w:rPr>
                <w:snapToGrid w:val="0"/>
                <w:sz w:val="22"/>
                <w:szCs w:val="22"/>
                <w:u w:val="single"/>
              </w:rPr>
            </w:pPr>
          </w:p>
        </w:tc>
      </w:tr>
      <w:tr w:rsidR="00B15F7D" w:rsidRPr="00990FB6" w14:paraId="16C668E7" w14:textId="77777777" w:rsidTr="000A0C22">
        <w:trPr>
          <w:trHeight w:val="288"/>
        </w:trPr>
        <w:tc>
          <w:tcPr>
            <w:tcW w:w="1314" w:type="dxa"/>
            <w:noWrap/>
            <w:hideMark/>
          </w:tcPr>
          <w:p w14:paraId="65024BB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42009C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7C2487C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07B12F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C92CCC5" w14:textId="77777777" w:rsidR="00B15F7D" w:rsidRPr="00990FB6" w:rsidRDefault="00B15F7D" w:rsidP="00B15F7D">
            <w:pPr>
              <w:tabs>
                <w:tab w:val="left" w:pos="2694"/>
              </w:tabs>
              <w:jc w:val="both"/>
              <w:rPr>
                <w:snapToGrid w:val="0"/>
                <w:sz w:val="22"/>
                <w:szCs w:val="22"/>
                <w:u w:val="single"/>
              </w:rPr>
            </w:pPr>
          </w:p>
        </w:tc>
      </w:tr>
      <w:tr w:rsidR="00B15F7D" w:rsidRPr="00990FB6" w14:paraId="53C29924" w14:textId="77777777" w:rsidTr="000A0C22">
        <w:trPr>
          <w:trHeight w:val="288"/>
        </w:trPr>
        <w:tc>
          <w:tcPr>
            <w:tcW w:w="1314" w:type="dxa"/>
            <w:noWrap/>
            <w:hideMark/>
          </w:tcPr>
          <w:p w14:paraId="54B31665"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56F0E89" w14:textId="77777777" w:rsidR="00B15F7D" w:rsidRPr="00990FB6" w:rsidRDefault="00B15F7D" w:rsidP="00B15F7D">
            <w:pPr>
              <w:tabs>
                <w:tab w:val="left" w:pos="2694"/>
              </w:tabs>
              <w:jc w:val="both"/>
              <w:rPr>
                <w:snapToGrid w:val="0"/>
                <w:sz w:val="22"/>
                <w:szCs w:val="22"/>
                <w:u w:val="single"/>
              </w:rPr>
            </w:pPr>
          </w:p>
        </w:tc>
        <w:tc>
          <w:tcPr>
            <w:tcW w:w="866" w:type="dxa"/>
            <w:hideMark/>
          </w:tcPr>
          <w:p w14:paraId="408D828C"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FD61A8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3C4E645" w14:textId="77777777" w:rsidR="00B15F7D" w:rsidRPr="00990FB6" w:rsidRDefault="00B15F7D" w:rsidP="00B15F7D">
            <w:pPr>
              <w:tabs>
                <w:tab w:val="left" w:pos="2694"/>
              </w:tabs>
              <w:jc w:val="both"/>
              <w:rPr>
                <w:snapToGrid w:val="0"/>
                <w:sz w:val="22"/>
                <w:szCs w:val="22"/>
                <w:u w:val="single"/>
              </w:rPr>
            </w:pPr>
          </w:p>
        </w:tc>
      </w:tr>
      <w:tr w:rsidR="00B15F7D" w:rsidRPr="00990FB6" w14:paraId="55EE2F42" w14:textId="77777777" w:rsidTr="000A0C22">
        <w:trPr>
          <w:trHeight w:val="288"/>
        </w:trPr>
        <w:tc>
          <w:tcPr>
            <w:tcW w:w="1314" w:type="dxa"/>
            <w:noWrap/>
            <w:hideMark/>
          </w:tcPr>
          <w:p w14:paraId="6B79DD2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D25402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Oficina Regional de Purisca1</w:t>
            </w:r>
          </w:p>
        </w:tc>
        <w:tc>
          <w:tcPr>
            <w:tcW w:w="866" w:type="dxa"/>
            <w:hideMark/>
          </w:tcPr>
          <w:p w14:paraId="591A5003"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17C600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B7BC2D4" w14:textId="77777777" w:rsidR="00B15F7D" w:rsidRPr="00990FB6" w:rsidRDefault="00B15F7D" w:rsidP="00B15F7D">
            <w:pPr>
              <w:tabs>
                <w:tab w:val="left" w:pos="2694"/>
              </w:tabs>
              <w:jc w:val="both"/>
              <w:rPr>
                <w:snapToGrid w:val="0"/>
                <w:sz w:val="22"/>
                <w:szCs w:val="22"/>
                <w:u w:val="single"/>
              </w:rPr>
            </w:pPr>
          </w:p>
        </w:tc>
      </w:tr>
      <w:tr w:rsidR="00B15F7D" w:rsidRPr="00990FB6" w14:paraId="441559A1" w14:textId="77777777" w:rsidTr="000A0C22">
        <w:trPr>
          <w:trHeight w:val="288"/>
        </w:trPr>
        <w:tc>
          <w:tcPr>
            <w:tcW w:w="1314" w:type="dxa"/>
            <w:noWrap/>
            <w:hideMark/>
          </w:tcPr>
          <w:p w14:paraId="2D97D4B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4C82CE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7E6E504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90AE23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1959F83" w14:textId="77777777" w:rsidR="00B15F7D" w:rsidRPr="00990FB6" w:rsidRDefault="00B15F7D" w:rsidP="00B15F7D">
            <w:pPr>
              <w:tabs>
                <w:tab w:val="left" w:pos="2694"/>
              </w:tabs>
              <w:jc w:val="both"/>
              <w:rPr>
                <w:snapToGrid w:val="0"/>
                <w:sz w:val="22"/>
                <w:szCs w:val="22"/>
                <w:u w:val="single"/>
              </w:rPr>
            </w:pPr>
          </w:p>
        </w:tc>
      </w:tr>
      <w:tr w:rsidR="00B15F7D" w:rsidRPr="00990FB6" w14:paraId="70A2F57D" w14:textId="77777777" w:rsidTr="000A0C22">
        <w:trPr>
          <w:trHeight w:val="288"/>
        </w:trPr>
        <w:tc>
          <w:tcPr>
            <w:tcW w:w="1314" w:type="dxa"/>
            <w:noWrap/>
            <w:hideMark/>
          </w:tcPr>
          <w:p w14:paraId="021C44B1"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183ED8E" w14:textId="77777777" w:rsidR="00B15F7D" w:rsidRPr="00990FB6" w:rsidRDefault="00B15F7D" w:rsidP="00B15F7D">
            <w:pPr>
              <w:tabs>
                <w:tab w:val="left" w:pos="2694"/>
              </w:tabs>
              <w:jc w:val="both"/>
              <w:rPr>
                <w:snapToGrid w:val="0"/>
                <w:sz w:val="22"/>
                <w:szCs w:val="22"/>
                <w:u w:val="single"/>
              </w:rPr>
            </w:pPr>
          </w:p>
        </w:tc>
        <w:tc>
          <w:tcPr>
            <w:tcW w:w="866" w:type="dxa"/>
            <w:hideMark/>
          </w:tcPr>
          <w:p w14:paraId="0D3D1D5C"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C9C027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816E02E" w14:textId="77777777" w:rsidR="00B15F7D" w:rsidRPr="00990FB6" w:rsidRDefault="00B15F7D" w:rsidP="00B15F7D">
            <w:pPr>
              <w:tabs>
                <w:tab w:val="left" w:pos="2694"/>
              </w:tabs>
              <w:jc w:val="both"/>
              <w:rPr>
                <w:snapToGrid w:val="0"/>
                <w:sz w:val="22"/>
                <w:szCs w:val="22"/>
                <w:u w:val="single"/>
              </w:rPr>
            </w:pPr>
          </w:p>
        </w:tc>
      </w:tr>
      <w:tr w:rsidR="00B15F7D" w:rsidRPr="00990FB6" w14:paraId="04AAEE1D" w14:textId="77777777" w:rsidTr="000A0C22">
        <w:trPr>
          <w:trHeight w:val="288"/>
        </w:trPr>
        <w:tc>
          <w:tcPr>
            <w:tcW w:w="1314" w:type="dxa"/>
            <w:noWrap/>
            <w:hideMark/>
          </w:tcPr>
          <w:p w14:paraId="36B09FC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0EDF6A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Oficina Regional de Los Chiles</w:t>
            </w:r>
          </w:p>
        </w:tc>
        <w:tc>
          <w:tcPr>
            <w:tcW w:w="866" w:type="dxa"/>
            <w:hideMark/>
          </w:tcPr>
          <w:p w14:paraId="341C0CFB"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32AC86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B563138" w14:textId="77777777" w:rsidR="00B15F7D" w:rsidRPr="00990FB6" w:rsidRDefault="00B15F7D" w:rsidP="00B15F7D">
            <w:pPr>
              <w:tabs>
                <w:tab w:val="left" w:pos="2694"/>
              </w:tabs>
              <w:jc w:val="both"/>
              <w:rPr>
                <w:snapToGrid w:val="0"/>
                <w:sz w:val="22"/>
                <w:szCs w:val="22"/>
                <w:u w:val="single"/>
              </w:rPr>
            </w:pPr>
          </w:p>
        </w:tc>
      </w:tr>
      <w:tr w:rsidR="00B15F7D" w:rsidRPr="00990FB6" w14:paraId="5197F3C7" w14:textId="77777777" w:rsidTr="000A0C22">
        <w:trPr>
          <w:trHeight w:val="288"/>
        </w:trPr>
        <w:tc>
          <w:tcPr>
            <w:tcW w:w="1314" w:type="dxa"/>
            <w:noWrap/>
            <w:hideMark/>
          </w:tcPr>
          <w:p w14:paraId="2C7D8DE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67BA8A3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7A549CD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B11EDE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19E06BE5" w14:textId="77777777" w:rsidR="00B15F7D" w:rsidRPr="00990FB6" w:rsidRDefault="00B15F7D" w:rsidP="00B15F7D">
            <w:pPr>
              <w:tabs>
                <w:tab w:val="left" w:pos="2694"/>
              </w:tabs>
              <w:jc w:val="both"/>
              <w:rPr>
                <w:snapToGrid w:val="0"/>
                <w:sz w:val="22"/>
                <w:szCs w:val="22"/>
                <w:u w:val="single"/>
              </w:rPr>
            </w:pPr>
          </w:p>
        </w:tc>
      </w:tr>
      <w:tr w:rsidR="00B15F7D" w:rsidRPr="00990FB6" w14:paraId="76E79526" w14:textId="77777777" w:rsidTr="000A0C22">
        <w:trPr>
          <w:trHeight w:val="288"/>
        </w:trPr>
        <w:tc>
          <w:tcPr>
            <w:tcW w:w="1314" w:type="dxa"/>
            <w:noWrap/>
            <w:hideMark/>
          </w:tcPr>
          <w:p w14:paraId="4D6FECF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9E37BA0" w14:textId="77777777" w:rsidR="00B15F7D" w:rsidRPr="00990FB6" w:rsidRDefault="00B15F7D" w:rsidP="00B15F7D">
            <w:pPr>
              <w:tabs>
                <w:tab w:val="left" w:pos="2694"/>
              </w:tabs>
              <w:jc w:val="both"/>
              <w:rPr>
                <w:snapToGrid w:val="0"/>
                <w:sz w:val="22"/>
                <w:szCs w:val="22"/>
                <w:u w:val="single"/>
              </w:rPr>
            </w:pPr>
          </w:p>
        </w:tc>
        <w:tc>
          <w:tcPr>
            <w:tcW w:w="866" w:type="dxa"/>
            <w:hideMark/>
          </w:tcPr>
          <w:p w14:paraId="070AA18A"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DE3DAA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9477F32" w14:textId="77777777" w:rsidR="00B15F7D" w:rsidRPr="00990FB6" w:rsidRDefault="00B15F7D" w:rsidP="00B15F7D">
            <w:pPr>
              <w:tabs>
                <w:tab w:val="left" w:pos="2694"/>
              </w:tabs>
              <w:jc w:val="both"/>
              <w:rPr>
                <w:snapToGrid w:val="0"/>
                <w:sz w:val="22"/>
                <w:szCs w:val="22"/>
                <w:u w:val="single"/>
              </w:rPr>
            </w:pPr>
          </w:p>
        </w:tc>
      </w:tr>
      <w:tr w:rsidR="00B15F7D" w:rsidRPr="00990FB6" w14:paraId="61D1887D" w14:textId="77777777" w:rsidTr="000A0C22">
        <w:trPr>
          <w:trHeight w:val="288"/>
        </w:trPr>
        <w:tc>
          <w:tcPr>
            <w:tcW w:w="1314" w:type="dxa"/>
            <w:noWrap/>
            <w:hideMark/>
          </w:tcPr>
          <w:p w14:paraId="2D51D9E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8213993"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Oficina Regional de Buenos Aires</w:t>
            </w:r>
          </w:p>
        </w:tc>
        <w:tc>
          <w:tcPr>
            <w:tcW w:w="866" w:type="dxa"/>
            <w:hideMark/>
          </w:tcPr>
          <w:p w14:paraId="6DAAA141"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5F9272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261178F" w14:textId="77777777" w:rsidR="00B15F7D" w:rsidRPr="00990FB6" w:rsidRDefault="00B15F7D" w:rsidP="00B15F7D">
            <w:pPr>
              <w:tabs>
                <w:tab w:val="left" w:pos="2694"/>
              </w:tabs>
              <w:jc w:val="both"/>
              <w:rPr>
                <w:snapToGrid w:val="0"/>
                <w:sz w:val="22"/>
                <w:szCs w:val="22"/>
                <w:u w:val="single"/>
              </w:rPr>
            </w:pPr>
          </w:p>
        </w:tc>
      </w:tr>
      <w:tr w:rsidR="00B15F7D" w:rsidRPr="00990FB6" w14:paraId="49F0DE0A" w14:textId="77777777" w:rsidTr="000A0C22">
        <w:trPr>
          <w:trHeight w:val="288"/>
        </w:trPr>
        <w:tc>
          <w:tcPr>
            <w:tcW w:w="1314" w:type="dxa"/>
            <w:noWrap/>
            <w:hideMark/>
          </w:tcPr>
          <w:p w14:paraId="3E6DFE7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1CC766D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28C1BAA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B232D8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F967419" w14:textId="77777777" w:rsidR="00B15F7D" w:rsidRPr="00990FB6" w:rsidRDefault="00B15F7D" w:rsidP="00B15F7D">
            <w:pPr>
              <w:tabs>
                <w:tab w:val="left" w:pos="2694"/>
              </w:tabs>
              <w:jc w:val="both"/>
              <w:rPr>
                <w:snapToGrid w:val="0"/>
                <w:sz w:val="22"/>
                <w:szCs w:val="22"/>
                <w:u w:val="single"/>
              </w:rPr>
            </w:pPr>
          </w:p>
        </w:tc>
      </w:tr>
      <w:tr w:rsidR="00B15F7D" w:rsidRPr="00990FB6" w14:paraId="7EAB4278" w14:textId="77777777" w:rsidTr="000A0C22">
        <w:trPr>
          <w:trHeight w:val="288"/>
        </w:trPr>
        <w:tc>
          <w:tcPr>
            <w:tcW w:w="1314" w:type="dxa"/>
            <w:noWrap/>
            <w:hideMark/>
          </w:tcPr>
          <w:p w14:paraId="3883025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4FCD1B8" w14:textId="77777777" w:rsidR="00B15F7D" w:rsidRPr="00990FB6" w:rsidRDefault="00B15F7D" w:rsidP="00B15F7D">
            <w:pPr>
              <w:tabs>
                <w:tab w:val="left" w:pos="2694"/>
              </w:tabs>
              <w:jc w:val="both"/>
              <w:rPr>
                <w:snapToGrid w:val="0"/>
                <w:sz w:val="22"/>
                <w:szCs w:val="22"/>
                <w:u w:val="single"/>
              </w:rPr>
            </w:pPr>
          </w:p>
        </w:tc>
        <w:tc>
          <w:tcPr>
            <w:tcW w:w="866" w:type="dxa"/>
            <w:hideMark/>
          </w:tcPr>
          <w:p w14:paraId="42062FB9"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261A8A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7908780" w14:textId="77777777" w:rsidR="00B15F7D" w:rsidRPr="00990FB6" w:rsidRDefault="00B15F7D" w:rsidP="00B15F7D">
            <w:pPr>
              <w:tabs>
                <w:tab w:val="left" w:pos="2694"/>
              </w:tabs>
              <w:jc w:val="both"/>
              <w:rPr>
                <w:snapToGrid w:val="0"/>
                <w:sz w:val="22"/>
                <w:szCs w:val="22"/>
                <w:u w:val="single"/>
              </w:rPr>
            </w:pPr>
          </w:p>
        </w:tc>
      </w:tr>
      <w:tr w:rsidR="00B15F7D" w:rsidRPr="00990FB6" w14:paraId="76171372" w14:textId="77777777" w:rsidTr="000A0C22">
        <w:trPr>
          <w:trHeight w:val="288"/>
        </w:trPr>
        <w:tc>
          <w:tcPr>
            <w:tcW w:w="1314" w:type="dxa"/>
            <w:noWrap/>
            <w:hideMark/>
          </w:tcPr>
          <w:p w14:paraId="0B21E80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ECE7CA7"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Oficina Regional de Atenas</w:t>
            </w:r>
          </w:p>
        </w:tc>
        <w:tc>
          <w:tcPr>
            <w:tcW w:w="866" w:type="dxa"/>
            <w:hideMark/>
          </w:tcPr>
          <w:p w14:paraId="4290EA09"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C6F2D2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024928D" w14:textId="77777777" w:rsidR="00B15F7D" w:rsidRPr="00990FB6" w:rsidRDefault="00B15F7D" w:rsidP="00B15F7D">
            <w:pPr>
              <w:tabs>
                <w:tab w:val="left" w:pos="2694"/>
              </w:tabs>
              <w:jc w:val="both"/>
              <w:rPr>
                <w:snapToGrid w:val="0"/>
                <w:sz w:val="22"/>
                <w:szCs w:val="22"/>
                <w:u w:val="single"/>
              </w:rPr>
            </w:pPr>
          </w:p>
        </w:tc>
      </w:tr>
      <w:tr w:rsidR="00B15F7D" w:rsidRPr="00990FB6" w14:paraId="299DA368" w14:textId="77777777" w:rsidTr="000A0C22">
        <w:trPr>
          <w:trHeight w:val="288"/>
        </w:trPr>
        <w:tc>
          <w:tcPr>
            <w:tcW w:w="1314" w:type="dxa"/>
            <w:noWrap/>
            <w:hideMark/>
          </w:tcPr>
          <w:p w14:paraId="6E51EFA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5863C19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0606BBA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B5A1B4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AD49D26" w14:textId="77777777" w:rsidR="00B15F7D" w:rsidRPr="00990FB6" w:rsidRDefault="00B15F7D" w:rsidP="00B15F7D">
            <w:pPr>
              <w:tabs>
                <w:tab w:val="left" w:pos="2694"/>
              </w:tabs>
              <w:jc w:val="both"/>
              <w:rPr>
                <w:snapToGrid w:val="0"/>
                <w:sz w:val="22"/>
                <w:szCs w:val="22"/>
                <w:u w:val="single"/>
              </w:rPr>
            </w:pPr>
          </w:p>
        </w:tc>
      </w:tr>
      <w:tr w:rsidR="00B15F7D" w:rsidRPr="00990FB6" w14:paraId="31AD7ADD" w14:textId="77777777" w:rsidTr="000A0C22">
        <w:trPr>
          <w:trHeight w:val="288"/>
        </w:trPr>
        <w:tc>
          <w:tcPr>
            <w:tcW w:w="1314" w:type="dxa"/>
            <w:noWrap/>
            <w:hideMark/>
          </w:tcPr>
          <w:p w14:paraId="1F92962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5968FE2" w14:textId="77777777" w:rsidR="00B15F7D" w:rsidRPr="00990FB6" w:rsidRDefault="00B15F7D" w:rsidP="00B15F7D">
            <w:pPr>
              <w:tabs>
                <w:tab w:val="left" w:pos="2694"/>
              </w:tabs>
              <w:jc w:val="both"/>
              <w:rPr>
                <w:snapToGrid w:val="0"/>
                <w:sz w:val="22"/>
                <w:szCs w:val="22"/>
                <w:u w:val="single"/>
              </w:rPr>
            </w:pPr>
          </w:p>
        </w:tc>
        <w:tc>
          <w:tcPr>
            <w:tcW w:w="866" w:type="dxa"/>
            <w:hideMark/>
          </w:tcPr>
          <w:p w14:paraId="0C1AC2C5"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9AEC818"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13F3A54" w14:textId="77777777" w:rsidR="00B15F7D" w:rsidRPr="00990FB6" w:rsidRDefault="00B15F7D" w:rsidP="00B15F7D">
            <w:pPr>
              <w:tabs>
                <w:tab w:val="left" w:pos="2694"/>
              </w:tabs>
              <w:jc w:val="both"/>
              <w:rPr>
                <w:snapToGrid w:val="0"/>
                <w:sz w:val="22"/>
                <w:szCs w:val="22"/>
                <w:u w:val="single"/>
              </w:rPr>
            </w:pPr>
          </w:p>
        </w:tc>
      </w:tr>
      <w:tr w:rsidR="00B15F7D" w:rsidRPr="00990FB6" w14:paraId="28DAA3B0" w14:textId="77777777" w:rsidTr="000A0C22">
        <w:trPr>
          <w:trHeight w:val="288"/>
        </w:trPr>
        <w:tc>
          <w:tcPr>
            <w:tcW w:w="1314" w:type="dxa"/>
            <w:noWrap/>
            <w:hideMark/>
          </w:tcPr>
          <w:p w14:paraId="674F3BA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5B0B84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Subdelegación Regional de Sarapiquí</w:t>
            </w:r>
          </w:p>
        </w:tc>
        <w:tc>
          <w:tcPr>
            <w:tcW w:w="866" w:type="dxa"/>
            <w:hideMark/>
          </w:tcPr>
          <w:p w14:paraId="47998B1A"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87A371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3A0549C" w14:textId="77777777" w:rsidR="00B15F7D" w:rsidRPr="00990FB6" w:rsidRDefault="00B15F7D" w:rsidP="00B15F7D">
            <w:pPr>
              <w:tabs>
                <w:tab w:val="left" w:pos="2694"/>
              </w:tabs>
              <w:jc w:val="both"/>
              <w:rPr>
                <w:snapToGrid w:val="0"/>
                <w:sz w:val="22"/>
                <w:szCs w:val="22"/>
                <w:u w:val="single"/>
              </w:rPr>
            </w:pPr>
          </w:p>
        </w:tc>
      </w:tr>
      <w:tr w:rsidR="00B15F7D" w:rsidRPr="00990FB6" w14:paraId="23045BBF" w14:textId="77777777" w:rsidTr="000A0C22">
        <w:trPr>
          <w:trHeight w:val="288"/>
        </w:trPr>
        <w:tc>
          <w:tcPr>
            <w:tcW w:w="1314" w:type="dxa"/>
            <w:noWrap/>
            <w:hideMark/>
          </w:tcPr>
          <w:p w14:paraId="66C6678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647FC3D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148A239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2835E8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4CEF7C6" w14:textId="77777777" w:rsidR="00B15F7D" w:rsidRPr="00990FB6" w:rsidRDefault="00B15F7D" w:rsidP="00B15F7D">
            <w:pPr>
              <w:tabs>
                <w:tab w:val="left" w:pos="2694"/>
              </w:tabs>
              <w:jc w:val="both"/>
              <w:rPr>
                <w:snapToGrid w:val="0"/>
                <w:sz w:val="22"/>
                <w:szCs w:val="22"/>
                <w:u w:val="single"/>
              </w:rPr>
            </w:pPr>
          </w:p>
        </w:tc>
      </w:tr>
      <w:tr w:rsidR="00B15F7D" w:rsidRPr="00990FB6" w14:paraId="46B0F34B" w14:textId="77777777" w:rsidTr="000A0C22">
        <w:trPr>
          <w:trHeight w:val="288"/>
        </w:trPr>
        <w:tc>
          <w:tcPr>
            <w:tcW w:w="1314" w:type="dxa"/>
            <w:noWrap/>
            <w:hideMark/>
          </w:tcPr>
          <w:p w14:paraId="794068A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6FCC130" w14:textId="77777777" w:rsidR="00B15F7D" w:rsidRPr="00990FB6" w:rsidRDefault="00B15F7D" w:rsidP="00B15F7D">
            <w:pPr>
              <w:tabs>
                <w:tab w:val="left" w:pos="2694"/>
              </w:tabs>
              <w:jc w:val="both"/>
              <w:rPr>
                <w:snapToGrid w:val="0"/>
                <w:sz w:val="22"/>
                <w:szCs w:val="22"/>
                <w:u w:val="single"/>
              </w:rPr>
            </w:pPr>
          </w:p>
        </w:tc>
        <w:tc>
          <w:tcPr>
            <w:tcW w:w="866" w:type="dxa"/>
            <w:hideMark/>
          </w:tcPr>
          <w:p w14:paraId="198C3085"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22E2F3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0D71798" w14:textId="77777777" w:rsidR="00B15F7D" w:rsidRPr="00990FB6" w:rsidRDefault="00B15F7D" w:rsidP="00B15F7D">
            <w:pPr>
              <w:tabs>
                <w:tab w:val="left" w:pos="2694"/>
              </w:tabs>
              <w:jc w:val="both"/>
              <w:rPr>
                <w:snapToGrid w:val="0"/>
                <w:sz w:val="22"/>
                <w:szCs w:val="22"/>
                <w:u w:val="single"/>
              </w:rPr>
            </w:pPr>
          </w:p>
        </w:tc>
      </w:tr>
      <w:tr w:rsidR="00B15F7D" w:rsidRPr="00990FB6" w14:paraId="75804D79" w14:textId="77777777" w:rsidTr="000A0C22">
        <w:trPr>
          <w:trHeight w:val="288"/>
        </w:trPr>
        <w:tc>
          <w:tcPr>
            <w:tcW w:w="1314" w:type="dxa"/>
            <w:noWrap/>
            <w:hideMark/>
          </w:tcPr>
          <w:p w14:paraId="0D724C41"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4E4227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Subdelegación Regional Siquirres</w:t>
            </w:r>
          </w:p>
        </w:tc>
        <w:tc>
          <w:tcPr>
            <w:tcW w:w="866" w:type="dxa"/>
            <w:hideMark/>
          </w:tcPr>
          <w:p w14:paraId="6F0A382B"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619B1D8"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2C89EC8" w14:textId="77777777" w:rsidR="00B15F7D" w:rsidRPr="00990FB6" w:rsidRDefault="00B15F7D" w:rsidP="00B15F7D">
            <w:pPr>
              <w:tabs>
                <w:tab w:val="left" w:pos="2694"/>
              </w:tabs>
              <w:jc w:val="both"/>
              <w:rPr>
                <w:snapToGrid w:val="0"/>
                <w:sz w:val="22"/>
                <w:szCs w:val="22"/>
                <w:u w:val="single"/>
              </w:rPr>
            </w:pPr>
          </w:p>
        </w:tc>
      </w:tr>
      <w:tr w:rsidR="00B15F7D" w:rsidRPr="00990FB6" w14:paraId="69BE4A5C" w14:textId="77777777" w:rsidTr="000A0C22">
        <w:trPr>
          <w:trHeight w:val="288"/>
        </w:trPr>
        <w:tc>
          <w:tcPr>
            <w:tcW w:w="1314" w:type="dxa"/>
            <w:noWrap/>
            <w:hideMark/>
          </w:tcPr>
          <w:p w14:paraId="56290D9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7FFB7D1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6DFC069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895EAA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A57149B" w14:textId="77777777" w:rsidR="00B15F7D" w:rsidRPr="00990FB6" w:rsidRDefault="00B15F7D" w:rsidP="00B15F7D">
            <w:pPr>
              <w:tabs>
                <w:tab w:val="left" w:pos="2694"/>
              </w:tabs>
              <w:jc w:val="both"/>
              <w:rPr>
                <w:snapToGrid w:val="0"/>
                <w:sz w:val="22"/>
                <w:szCs w:val="22"/>
                <w:u w:val="single"/>
              </w:rPr>
            </w:pPr>
          </w:p>
        </w:tc>
      </w:tr>
      <w:tr w:rsidR="00B15F7D" w:rsidRPr="00990FB6" w14:paraId="43DC67B0" w14:textId="77777777" w:rsidTr="000A0C22">
        <w:trPr>
          <w:trHeight w:val="288"/>
        </w:trPr>
        <w:tc>
          <w:tcPr>
            <w:tcW w:w="1314" w:type="dxa"/>
            <w:noWrap/>
            <w:hideMark/>
          </w:tcPr>
          <w:p w14:paraId="44379346"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319B4D4" w14:textId="77777777" w:rsidR="00B15F7D" w:rsidRPr="00990FB6" w:rsidRDefault="00B15F7D" w:rsidP="00B15F7D">
            <w:pPr>
              <w:tabs>
                <w:tab w:val="left" w:pos="2694"/>
              </w:tabs>
              <w:jc w:val="both"/>
              <w:rPr>
                <w:snapToGrid w:val="0"/>
                <w:sz w:val="22"/>
                <w:szCs w:val="22"/>
                <w:u w:val="single"/>
              </w:rPr>
            </w:pPr>
          </w:p>
        </w:tc>
        <w:tc>
          <w:tcPr>
            <w:tcW w:w="866" w:type="dxa"/>
            <w:hideMark/>
          </w:tcPr>
          <w:p w14:paraId="2C3AFF09"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6E56C3D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1A36167" w14:textId="77777777" w:rsidR="00B15F7D" w:rsidRPr="00990FB6" w:rsidRDefault="00B15F7D" w:rsidP="00B15F7D">
            <w:pPr>
              <w:tabs>
                <w:tab w:val="left" w:pos="2694"/>
              </w:tabs>
              <w:jc w:val="both"/>
              <w:rPr>
                <w:snapToGrid w:val="0"/>
                <w:sz w:val="22"/>
                <w:szCs w:val="22"/>
                <w:u w:val="single"/>
              </w:rPr>
            </w:pPr>
          </w:p>
        </w:tc>
      </w:tr>
      <w:tr w:rsidR="00B15F7D" w:rsidRPr="00990FB6" w14:paraId="2BF5D5E0" w14:textId="77777777" w:rsidTr="000A0C22">
        <w:trPr>
          <w:trHeight w:val="288"/>
        </w:trPr>
        <w:tc>
          <w:tcPr>
            <w:tcW w:w="1314" w:type="dxa"/>
            <w:noWrap/>
            <w:hideMark/>
          </w:tcPr>
          <w:p w14:paraId="7982986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21DED4E"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Subdelegación Regional Turrialba</w:t>
            </w:r>
          </w:p>
        </w:tc>
        <w:tc>
          <w:tcPr>
            <w:tcW w:w="866" w:type="dxa"/>
            <w:hideMark/>
          </w:tcPr>
          <w:p w14:paraId="7125983C"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A4E19E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144802C" w14:textId="77777777" w:rsidR="00B15F7D" w:rsidRPr="00990FB6" w:rsidRDefault="00B15F7D" w:rsidP="00B15F7D">
            <w:pPr>
              <w:tabs>
                <w:tab w:val="left" w:pos="2694"/>
              </w:tabs>
              <w:jc w:val="both"/>
              <w:rPr>
                <w:snapToGrid w:val="0"/>
                <w:sz w:val="22"/>
                <w:szCs w:val="22"/>
                <w:u w:val="single"/>
              </w:rPr>
            </w:pPr>
          </w:p>
        </w:tc>
      </w:tr>
      <w:tr w:rsidR="00B15F7D" w:rsidRPr="00990FB6" w14:paraId="3CB61C3D" w14:textId="77777777" w:rsidTr="000A0C22">
        <w:trPr>
          <w:trHeight w:val="288"/>
        </w:trPr>
        <w:tc>
          <w:tcPr>
            <w:tcW w:w="1314" w:type="dxa"/>
            <w:noWrap/>
            <w:hideMark/>
          </w:tcPr>
          <w:p w14:paraId="111ACD9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4C4CE95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3D9FF11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BF0D45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10E4D3F" w14:textId="77777777" w:rsidR="00B15F7D" w:rsidRPr="00990FB6" w:rsidRDefault="00B15F7D" w:rsidP="00B15F7D">
            <w:pPr>
              <w:tabs>
                <w:tab w:val="left" w:pos="2694"/>
              </w:tabs>
              <w:jc w:val="both"/>
              <w:rPr>
                <w:snapToGrid w:val="0"/>
                <w:sz w:val="22"/>
                <w:szCs w:val="22"/>
                <w:u w:val="single"/>
              </w:rPr>
            </w:pPr>
          </w:p>
        </w:tc>
      </w:tr>
      <w:tr w:rsidR="00B15F7D" w:rsidRPr="00990FB6" w14:paraId="38913403" w14:textId="77777777" w:rsidTr="000A0C22">
        <w:trPr>
          <w:trHeight w:val="288"/>
        </w:trPr>
        <w:tc>
          <w:tcPr>
            <w:tcW w:w="1314" w:type="dxa"/>
            <w:noWrap/>
            <w:hideMark/>
          </w:tcPr>
          <w:p w14:paraId="31662C66"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7C20F89" w14:textId="77777777" w:rsidR="00B15F7D" w:rsidRPr="00990FB6" w:rsidRDefault="00B15F7D" w:rsidP="00B15F7D">
            <w:pPr>
              <w:tabs>
                <w:tab w:val="left" w:pos="2694"/>
              </w:tabs>
              <w:jc w:val="both"/>
              <w:rPr>
                <w:snapToGrid w:val="0"/>
                <w:sz w:val="22"/>
                <w:szCs w:val="22"/>
                <w:u w:val="single"/>
              </w:rPr>
            </w:pPr>
          </w:p>
        </w:tc>
        <w:tc>
          <w:tcPr>
            <w:tcW w:w="866" w:type="dxa"/>
            <w:hideMark/>
          </w:tcPr>
          <w:p w14:paraId="2ADAC360"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586141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3BD8482" w14:textId="77777777" w:rsidR="00B15F7D" w:rsidRPr="00990FB6" w:rsidRDefault="00B15F7D" w:rsidP="00B15F7D">
            <w:pPr>
              <w:tabs>
                <w:tab w:val="left" w:pos="2694"/>
              </w:tabs>
              <w:jc w:val="both"/>
              <w:rPr>
                <w:snapToGrid w:val="0"/>
                <w:sz w:val="22"/>
                <w:szCs w:val="22"/>
                <w:u w:val="single"/>
              </w:rPr>
            </w:pPr>
          </w:p>
        </w:tc>
      </w:tr>
      <w:tr w:rsidR="00B15F7D" w:rsidRPr="00990FB6" w14:paraId="256F0F81" w14:textId="77777777" w:rsidTr="000A0C22">
        <w:trPr>
          <w:trHeight w:val="288"/>
        </w:trPr>
        <w:tc>
          <w:tcPr>
            <w:tcW w:w="1314" w:type="dxa"/>
            <w:noWrap/>
            <w:hideMark/>
          </w:tcPr>
          <w:p w14:paraId="3585273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03D3CF2"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Subdelegación Regional Cañas</w:t>
            </w:r>
          </w:p>
        </w:tc>
        <w:tc>
          <w:tcPr>
            <w:tcW w:w="866" w:type="dxa"/>
            <w:hideMark/>
          </w:tcPr>
          <w:p w14:paraId="5857E7F4"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F6A65E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FD3A508" w14:textId="77777777" w:rsidR="00B15F7D" w:rsidRPr="00990FB6" w:rsidRDefault="00B15F7D" w:rsidP="00B15F7D">
            <w:pPr>
              <w:tabs>
                <w:tab w:val="left" w:pos="2694"/>
              </w:tabs>
              <w:jc w:val="both"/>
              <w:rPr>
                <w:snapToGrid w:val="0"/>
                <w:sz w:val="22"/>
                <w:szCs w:val="22"/>
                <w:u w:val="single"/>
              </w:rPr>
            </w:pPr>
          </w:p>
        </w:tc>
      </w:tr>
      <w:tr w:rsidR="00B15F7D" w:rsidRPr="00990FB6" w14:paraId="7C45E493" w14:textId="77777777" w:rsidTr="000A0C22">
        <w:trPr>
          <w:trHeight w:val="288"/>
        </w:trPr>
        <w:tc>
          <w:tcPr>
            <w:tcW w:w="1314" w:type="dxa"/>
            <w:noWrap/>
            <w:hideMark/>
          </w:tcPr>
          <w:p w14:paraId="30B29B6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4F00D2E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6DA8A86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A50B31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4F313A9" w14:textId="77777777" w:rsidR="00B15F7D" w:rsidRPr="00990FB6" w:rsidRDefault="00B15F7D" w:rsidP="00B15F7D">
            <w:pPr>
              <w:tabs>
                <w:tab w:val="left" w:pos="2694"/>
              </w:tabs>
              <w:jc w:val="both"/>
              <w:rPr>
                <w:snapToGrid w:val="0"/>
                <w:sz w:val="22"/>
                <w:szCs w:val="22"/>
                <w:u w:val="single"/>
              </w:rPr>
            </w:pPr>
          </w:p>
        </w:tc>
      </w:tr>
      <w:tr w:rsidR="00B15F7D" w:rsidRPr="00990FB6" w14:paraId="3488E28A" w14:textId="77777777" w:rsidTr="000A0C22">
        <w:trPr>
          <w:trHeight w:val="288"/>
        </w:trPr>
        <w:tc>
          <w:tcPr>
            <w:tcW w:w="1314" w:type="dxa"/>
            <w:noWrap/>
            <w:hideMark/>
          </w:tcPr>
          <w:p w14:paraId="205EE5B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39FA9AB" w14:textId="77777777" w:rsidR="00B15F7D" w:rsidRPr="00990FB6" w:rsidRDefault="00B15F7D" w:rsidP="00B15F7D">
            <w:pPr>
              <w:tabs>
                <w:tab w:val="left" w:pos="2694"/>
              </w:tabs>
              <w:jc w:val="both"/>
              <w:rPr>
                <w:snapToGrid w:val="0"/>
                <w:sz w:val="22"/>
                <w:szCs w:val="22"/>
                <w:u w:val="single"/>
              </w:rPr>
            </w:pPr>
          </w:p>
        </w:tc>
        <w:tc>
          <w:tcPr>
            <w:tcW w:w="866" w:type="dxa"/>
            <w:hideMark/>
          </w:tcPr>
          <w:p w14:paraId="4F3CFF8E"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224BCE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670E835" w14:textId="77777777" w:rsidR="00B15F7D" w:rsidRPr="00990FB6" w:rsidRDefault="00B15F7D" w:rsidP="00B15F7D">
            <w:pPr>
              <w:tabs>
                <w:tab w:val="left" w:pos="2694"/>
              </w:tabs>
              <w:jc w:val="both"/>
              <w:rPr>
                <w:snapToGrid w:val="0"/>
                <w:sz w:val="22"/>
                <w:szCs w:val="22"/>
                <w:u w:val="single"/>
              </w:rPr>
            </w:pPr>
          </w:p>
        </w:tc>
      </w:tr>
      <w:tr w:rsidR="00B15F7D" w:rsidRPr="00990FB6" w14:paraId="6A21BDAC" w14:textId="77777777" w:rsidTr="000A0C22">
        <w:trPr>
          <w:trHeight w:val="288"/>
        </w:trPr>
        <w:tc>
          <w:tcPr>
            <w:tcW w:w="1314" w:type="dxa"/>
            <w:noWrap/>
            <w:hideMark/>
          </w:tcPr>
          <w:p w14:paraId="0267A53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D39399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Subdelegación Regional de Santa Cruz</w:t>
            </w:r>
          </w:p>
        </w:tc>
        <w:tc>
          <w:tcPr>
            <w:tcW w:w="866" w:type="dxa"/>
            <w:hideMark/>
          </w:tcPr>
          <w:p w14:paraId="776257AD"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2CA7D3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D315F4B" w14:textId="77777777" w:rsidR="00B15F7D" w:rsidRPr="00990FB6" w:rsidRDefault="00B15F7D" w:rsidP="00B15F7D">
            <w:pPr>
              <w:tabs>
                <w:tab w:val="left" w:pos="2694"/>
              </w:tabs>
              <w:jc w:val="both"/>
              <w:rPr>
                <w:snapToGrid w:val="0"/>
                <w:sz w:val="22"/>
                <w:szCs w:val="22"/>
                <w:u w:val="single"/>
              </w:rPr>
            </w:pPr>
          </w:p>
        </w:tc>
      </w:tr>
      <w:tr w:rsidR="00B15F7D" w:rsidRPr="00990FB6" w14:paraId="4A4E6D77" w14:textId="77777777" w:rsidTr="000A0C22">
        <w:trPr>
          <w:trHeight w:val="288"/>
        </w:trPr>
        <w:tc>
          <w:tcPr>
            <w:tcW w:w="1314" w:type="dxa"/>
            <w:noWrap/>
            <w:hideMark/>
          </w:tcPr>
          <w:p w14:paraId="2B76726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7A0EFFF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2C7E122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B8A316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F967689" w14:textId="77777777" w:rsidR="00B15F7D" w:rsidRPr="00990FB6" w:rsidRDefault="00B15F7D" w:rsidP="00B15F7D">
            <w:pPr>
              <w:tabs>
                <w:tab w:val="left" w:pos="2694"/>
              </w:tabs>
              <w:jc w:val="both"/>
              <w:rPr>
                <w:snapToGrid w:val="0"/>
                <w:sz w:val="22"/>
                <w:szCs w:val="22"/>
                <w:u w:val="single"/>
              </w:rPr>
            </w:pPr>
          </w:p>
        </w:tc>
      </w:tr>
      <w:tr w:rsidR="00B15F7D" w:rsidRPr="00990FB6" w14:paraId="63339FEA" w14:textId="77777777" w:rsidTr="000A0C22">
        <w:trPr>
          <w:trHeight w:val="288"/>
        </w:trPr>
        <w:tc>
          <w:tcPr>
            <w:tcW w:w="1314" w:type="dxa"/>
            <w:noWrap/>
            <w:hideMark/>
          </w:tcPr>
          <w:p w14:paraId="3DCA4646"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3F6AF51" w14:textId="77777777" w:rsidR="00B15F7D" w:rsidRPr="00990FB6" w:rsidRDefault="00B15F7D" w:rsidP="00B15F7D">
            <w:pPr>
              <w:tabs>
                <w:tab w:val="left" w:pos="2694"/>
              </w:tabs>
              <w:jc w:val="both"/>
              <w:rPr>
                <w:snapToGrid w:val="0"/>
                <w:sz w:val="22"/>
                <w:szCs w:val="22"/>
                <w:u w:val="single"/>
              </w:rPr>
            </w:pPr>
          </w:p>
        </w:tc>
        <w:tc>
          <w:tcPr>
            <w:tcW w:w="866" w:type="dxa"/>
            <w:hideMark/>
          </w:tcPr>
          <w:p w14:paraId="79B07FA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31D2F1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1A4328A" w14:textId="77777777" w:rsidR="00B15F7D" w:rsidRPr="00990FB6" w:rsidRDefault="00B15F7D" w:rsidP="00B15F7D">
            <w:pPr>
              <w:tabs>
                <w:tab w:val="left" w:pos="2694"/>
              </w:tabs>
              <w:jc w:val="both"/>
              <w:rPr>
                <w:snapToGrid w:val="0"/>
                <w:sz w:val="22"/>
                <w:szCs w:val="22"/>
                <w:u w:val="single"/>
              </w:rPr>
            </w:pPr>
          </w:p>
        </w:tc>
      </w:tr>
      <w:tr w:rsidR="00B15F7D" w:rsidRPr="00990FB6" w14:paraId="32F0109E" w14:textId="77777777" w:rsidTr="000A0C22">
        <w:trPr>
          <w:trHeight w:val="288"/>
        </w:trPr>
        <w:tc>
          <w:tcPr>
            <w:tcW w:w="1314" w:type="dxa"/>
            <w:noWrap/>
            <w:hideMark/>
          </w:tcPr>
          <w:p w14:paraId="4E8AC54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CBFE707"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Delegación Regional de Pococí y Guácimo</w:t>
            </w:r>
          </w:p>
        </w:tc>
        <w:tc>
          <w:tcPr>
            <w:tcW w:w="866" w:type="dxa"/>
            <w:hideMark/>
          </w:tcPr>
          <w:p w14:paraId="290EB908"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4DD384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5C5DE5B" w14:textId="77777777" w:rsidR="00B15F7D" w:rsidRPr="00990FB6" w:rsidRDefault="00B15F7D" w:rsidP="00B15F7D">
            <w:pPr>
              <w:tabs>
                <w:tab w:val="left" w:pos="2694"/>
              </w:tabs>
              <w:jc w:val="both"/>
              <w:rPr>
                <w:snapToGrid w:val="0"/>
                <w:sz w:val="22"/>
                <w:szCs w:val="22"/>
                <w:u w:val="single"/>
              </w:rPr>
            </w:pPr>
          </w:p>
        </w:tc>
      </w:tr>
      <w:tr w:rsidR="00B15F7D" w:rsidRPr="00990FB6" w14:paraId="5B582B05" w14:textId="77777777" w:rsidTr="000A0C22">
        <w:trPr>
          <w:trHeight w:val="288"/>
        </w:trPr>
        <w:tc>
          <w:tcPr>
            <w:tcW w:w="1314" w:type="dxa"/>
            <w:noWrap/>
            <w:hideMark/>
          </w:tcPr>
          <w:p w14:paraId="3EBA42C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0AA0D42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56F7289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2DE106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C2966C2" w14:textId="77777777" w:rsidR="00B15F7D" w:rsidRPr="00990FB6" w:rsidRDefault="00B15F7D" w:rsidP="00B15F7D">
            <w:pPr>
              <w:tabs>
                <w:tab w:val="left" w:pos="2694"/>
              </w:tabs>
              <w:jc w:val="both"/>
              <w:rPr>
                <w:snapToGrid w:val="0"/>
                <w:sz w:val="22"/>
                <w:szCs w:val="22"/>
                <w:u w:val="single"/>
              </w:rPr>
            </w:pPr>
          </w:p>
        </w:tc>
      </w:tr>
      <w:tr w:rsidR="00B15F7D" w:rsidRPr="00990FB6" w14:paraId="75F77188" w14:textId="77777777" w:rsidTr="000A0C22">
        <w:trPr>
          <w:trHeight w:val="288"/>
        </w:trPr>
        <w:tc>
          <w:tcPr>
            <w:tcW w:w="1314" w:type="dxa"/>
            <w:noWrap/>
            <w:hideMark/>
          </w:tcPr>
          <w:p w14:paraId="6077331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7F0A046" w14:textId="77777777" w:rsidR="00B15F7D" w:rsidRPr="00990FB6" w:rsidRDefault="00B15F7D" w:rsidP="00B15F7D">
            <w:pPr>
              <w:tabs>
                <w:tab w:val="left" w:pos="2694"/>
              </w:tabs>
              <w:jc w:val="both"/>
              <w:rPr>
                <w:snapToGrid w:val="0"/>
                <w:sz w:val="22"/>
                <w:szCs w:val="22"/>
                <w:u w:val="single"/>
              </w:rPr>
            </w:pPr>
          </w:p>
        </w:tc>
        <w:tc>
          <w:tcPr>
            <w:tcW w:w="866" w:type="dxa"/>
            <w:hideMark/>
          </w:tcPr>
          <w:p w14:paraId="454174DF"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B2D67E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7F6E68D" w14:textId="77777777" w:rsidR="00B15F7D" w:rsidRPr="00990FB6" w:rsidRDefault="00B15F7D" w:rsidP="00B15F7D">
            <w:pPr>
              <w:tabs>
                <w:tab w:val="left" w:pos="2694"/>
              </w:tabs>
              <w:jc w:val="both"/>
              <w:rPr>
                <w:snapToGrid w:val="0"/>
                <w:sz w:val="22"/>
                <w:szCs w:val="22"/>
                <w:u w:val="single"/>
              </w:rPr>
            </w:pPr>
          </w:p>
        </w:tc>
      </w:tr>
      <w:tr w:rsidR="00B15F7D" w:rsidRPr="00990FB6" w14:paraId="4E38BA4F" w14:textId="77777777" w:rsidTr="000A0C22">
        <w:trPr>
          <w:trHeight w:val="288"/>
        </w:trPr>
        <w:tc>
          <w:tcPr>
            <w:tcW w:w="1314" w:type="dxa"/>
            <w:noWrap/>
            <w:hideMark/>
          </w:tcPr>
          <w:p w14:paraId="30CB6518"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5F218C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Delegación Regional de Heredia</w:t>
            </w:r>
          </w:p>
        </w:tc>
        <w:tc>
          <w:tcPr>
            <w:tcW w:w="866" w:type="dxa"/>
            <w:hideMark/>
          </w:tcPr>
          <w:p w14:paraId="33AD093F"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0487AE6"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79F8832" w14:textId="77777777" w:rsidR="00B15F7D" w:rsidRPr="00990FB6" w:rsidRDefault="00B15F7D" w:rsidP="00B15F7D">
            <w:pPr>
              <w:tabs>
                <w:tab w:val="left" w:pos="2694"/>
              </w:tabs>
              <w:jc w:val="both"/>
              <w:rPr>
                <w:snapToGrid w:val="0"/>
                <w:sz w:val="22"/>
                <w:szCs w:val="22"/>
                <w:u w:val="single"/>
              </w:rPr>
            </w:pPr>
          </w:p>
        </w:tc>
      </w:tr>
      <w:tr w:rsidR="00B15F7D" w:rsidRPr="00990FB6" w14:paraId="7106DCE1" w14:textId="77777777" w:rsidTr="000A0C22">
        <w:trPr>
          <w:trHeight w:val="288"/>
        </w:trPr>
        <w:tc>
          <w:tcPr>
            <w:tcW w:w="1314" w:type="dxa"/>
            <w:noWrap/>
            <w:hideMark/>
          </w:tcPr>
          <w:p w14:paraId="715041D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2EFB9AF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Custodio de Detenidos</w:t>
            </w:r>
          </w:p>
        </w:tc>
        <w:tc>
          <w:tcPr>
            <w:tcW w:w="866" w:type="dxa"/>
            <w:hideMark/>
          </w:tcPr>
          <w:p w14:paraId="0574F44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2CC665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67EFEEF" w14:textId="77777777" w:rsidR="00B15F7D" w:rsidRPr="00990FB6" w:rsidRDefault="00B15F7D" w:rsidP="00B15F7D">
            <w:pPr>
              <w:tabs>
                <w:tab w:val="left" w:pos="2694"/>
              </w:tabs>
              <w:jc w:val="both"/>
              <w:rPr>
                <w:snapToGrid w:val="0"/>
                <w:sz w:val="22"/>
                <w:szCs w:val="22"/>
                <w:u w:val="single"/>
              </w:rPr>
            </w:pPr>
          </w:p>
        </w:tc>
      </w:tr>
      <w:tr w:rsidR="00B15F7D" w:rsidRPr="00990FB6" w14:paraId="79382ECE" w14:textId="77777777" w:rsidTr="000A0C22">
        <w:trPr>
          <w:trHeight w:val="288"/>
        </w:trPr>
        <w:tc>
          <w:tcPr>
            <w:tcW w:w="1314" w:type="dxa"/>
            <w:noWrap/>
            <w:hideMark/>
          </w:tcPr>
          <w:p w14:paraId="2F549D9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C2DD15D" w14:textId="77777777" w:rsidR="00B15F7D" w:rsidRPr="00990FB6" w:rsidRDefault="00B15F7D" w:rsidP="00B15F7D">
            <w:pPr>
              <w:tabs>
                <w:tab w:val="left" w:pos="2694"/>
              </w:tabs>
              <w:jc w:val="both"/>
              <w:rPr>
                <w:snapToGrid w:val="0"/>
                <w:sz w:val="22"/>
                <w:szCs w:val="22"/>
                <w:u w:val="single"/>
              </w:rPr>
            </w:pPr>
          </w:p>
        </w:tc>
        <w:tc>
          <w:tcPr>
            <w:tcW w:w="866" w:type="dxa"/>
            <w:hideMark/>
          </w:tcPr>
          <w:p w14:paraId="64C5C92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2C1E9D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4353B7E" w14:textId="77777777" w:rsidR="00B15F7D" w:rsidRPr="00990FB6" w:rsidRDefault="00B15F7D" w:rsidP="00B15F7D">
            <w:pPr>
              <w:tabs>
                <w:tab w:val="left" w:pos="2694"/>
              </w:tabs>
              <w:jc w:val="both"/>
              <w:rPr>
                <w:snapToGrid w:val="0"/>
                <w:sz w:val="22"/>
                <w:szCs w:val="22"/>
                <w:u w:val="single"/>
              </w:rPr>
            </w:pPr>
          </w:p>
        </w:tc>
      </w:tr>
      <w:tr w:rsidR="00B15F7D" w:rsidRPr="00990FB6" w14:paraId="4FDE330F" w14:textId="77777777" w:rsidTr="000A0C22">
        <w:trPr>
          <w:trHeight w:val="288"/>
        </w:trPr>
        <w:tc>
          <w:tcPr>
            <w:tcW w:w="1314" w:type="dxa"/>
            <w:noWrap/>
            <w:hideMark/>
          </w:tcPr>
          <w:p w14:paraId="7B68937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31</w:t>
            </w:r>
          </w:p>
        </w:tc>
        <w:tc>
          <w:tcPr>
            <w:tcW w:w="4307" w:type="dxa"/>
            <w:hideMark/>
          </w:tcPr>
          <w:p w14:paraId="75EE152B"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PROG. 929 MINISTERIO PÚBLICO</w:t>
            </w:r>
          </w:p>
        </w:tc>
        <w:tc>
          <w:tcPr>
            <w:tcW w:w="866" w:type="dxa"/>
            <w:noWrap/>
            <w:hideMark/>
          </w:tcPr>
          <w:p w14:paraId="49AF03D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 </w:t>
            </w:r>
          </w:p>
        </w:tc>
        <w:tc>
          <w:tcPr>
            <w:tcW w:w="1513" w:type="dxa"/>
            <w:noWrap/>
            <w:hideMark/>
          </w:tcPr>
          <w:p w14:paraId="5A33144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 </w:t>
            </w:r>
          </w:p>
        </w:tc>
        <w:tc>
          <w:tcPr>
            <w:tcW w:w="1160" w:type="dxa"/>
            <w:noWrap/>
            <w:hideMark/>
          </w:tcPr>
          <w:p w14:paraId="749D4147" w14:textId="77777777" w:rsidR="00B15F7D" w:rsidRPr="00990FB6" w:rsidRDefault="00B15F7D" w:rsidP="00B15F7D">
            <w:pPr>
              <w:tabs>
                <w:tab w:val="left" w:pos="2694"/>
              </w:tabs>
              <w:jc w:val="both"/>
              <w:rPr>
                <w:snapToGrid w:val="0"/>
                <w:sz w:val="22"/>
                <w:szCs w:val="22"/>
                <w:u w:val="single"/>
              </w:rPr>
            </w:pPr>
          </w:p>
        </w:tc>
      </w:tr>
      <w:tr w:rsidR="00B15F7D" w:rsidRPr="00990FB6" w14:paraId="4F6AA15D" w14:textId="77777777" w:rsidTr="000A0C22">
        <w:trPr>
          <w:trHeight w:val="288"/>
        </w:trPr>
        <w:tc>
          <w:tcPr>
            <w:tcW w:w="1314" w:type="dxa"/>
            <w:noWrap/>
            <w:hideMark/>
          </w:tcPr>
          <w:p w14:paraId="1A59A071"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B6CC84B"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174CDCC2"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ABDCD86"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E827FB8" w14:textId="77777777" w:rsidR="00B15F7D" w:rsidRPr="00990FB6" w:rsidRDefault="00B15F7D" w:rsidP="00B15F7D">
            <w:pPr>
              <w:tabs>
                <w:tab w:val="left" w:pos="2694"/>
              </w:tabs>
              <w:jc w:val="both"/>
              <w:rPr>
                <w:snapToGrid w:val="0"/>
                <w:sz w:val="22"/>
                <w:szCs w:val="22"/>
                <w:u w:val="single"/>
              </w:rPr>
            </w:pPr>
          </w:p>
        </w:tc>
      </w:tr>
      <w:tr w:rsidR="00B15F7D" w:rsidRPr="00990FB6" w14:paraId="130564CA" w14:textId="77777777" w:rsidTr="000A0C22">
        <w:trPr>
          <w:trHeight w:val="288"/>
        </w:trPr>
        <w:tc>
          <w:tcPr>
            <w:tcW w:w="1314" w:type="dxa"/>
            <w:noWrap/>
            <w:hideMark/>
          </w:tcPr>
          <w:p w14:paraId="48BD5FBA"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40E2E7A"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Quepos</w:t>
            </w:r>
          </w:p>
        </w:tc>
        <w:tc>
          <w:tcPr>
            <w:tcW w:w="866" w:type="dxa"/>
            <w:hideMark/>
          </w:tcPr>
          <w:p w14:paraId="4F19B1DF"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27C990A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ABF2BEF" w14:textId="77777777" w:rsidR="00B15F7D" w:rsidRPr="00990FB6" w:rsidRDefault="00B15F7D" w:rsidP="00B15F7D">
            <w:pPr>
              <w:tabs>
                <w:tab w:val="left" w:pos="2694"/>
              </w:tabs>
              <w:jc w:val="both"/>
              <w:rPr>
                <w:snapToGrid w:val="0"/>
                <w:sz w:val="22"/>
                <w:szCs w:val="22"/>
                <w:u w:val="single"/>
              </w:rPr>
            </w:pPr>
          </w:p>
        </w:tc>
      </w:tr>
      <w:tr w:rsidR="00B15F7D" w:rsidRPr="00990FB6" w14:paraId="644154AA" w14:textId="77777777" w:rsidTr="000A0C22">
        <w:trPr>
          <w:trHeight w:val="288"/>
        </w:trPr>
        <w:tc>
          <w:tcPr>
            <w:tcW w:w="1314" w:type="dxa"/>
            <w:noWrap/>
            <w:hideMark/>
          </w:tcPr>
          <w:p w14:paraId="50F861B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63C881A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1E224F3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545B44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E2172E2" w14:textId="77777777" w:rsidR="00B15F7D" w:rsidRPr="00990FB6" w:rsidRDefault="00B15F7D" w:rsidP="00B15F7D">
            <w:pPr>
              <w:tabs>
                <w:tab w:val="left" w:pos="2694"/>
              </w:tabs>
              <w:jc w:val="both"/>
              <w:rPr>
                <w:snapToGrid w:val="0"/>
                <w:sz w:val="22"/>
                <w:szCs w:val="22"/>
                <w:u w:val="single"/>
              </w:rPr>
            </w:pPr>
          </w:p>
        </w:tc>
      </w:tr>
      <w:tr w:rsidR="00B15F7D" w:rsidRPr="00990FB6" w14:paraId="0DD8515A" w14:textId="77777777" w:rsidTr="000A0C22">
        <w:trPr>
          <w:trHeight w:val="288"/>
        </w:trPr>
        <w:tc>
          <w:tcPr>
            <w:tcW w:w="1314" w:type="dxa"/>
            <w:noWrap/>
            <w:hideMark/>
          </w:tcPr>
          <w:p w14:paraId="3959F4A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B0C2813" w14:textId="77777777" w:rsidR="00B15F7D" w:rsidRPr="00990FB6" w:rsidRDefault="00B15F7D" w:rsidP="00B15F7D">
            <w:pPr>
              <w:tabs>
                <w:tab w:val="left" w:pos="2694"/>
              </w:tabs>
              <w:jc w:val="both"/>
              <w:rPr>
                <w:snapToGrid w:val="0"/>
                <w:sz w:val="22"/>
                <w:szCs w:val="22"/>
                <w:u w:val="single"/>
              </w:rPr>
            </w:pPr>
          </w:p>
        </w:tc>
        <w:tc>
          <w:tcPr>
            <w:tcW w:w="866" w:type="dxa"/>
            <w:hideMark/>
          </w:tcPr>
          <w:p w14:paraId="2C6A4695"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422884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BD24CC7" w14:textId="77777777" w:rsidR="00B15F7D" w:rsidRPr="00990FB6" w:rsidRDefault="00B15F7D" w:rsidP="00B15F7D">
            <w:pPr>
              <w:tabs>
                <w:tab w:val="left" w:pos="2694"/>
              </w:tabs>
              <w:jc w:val="both"/>
              <w:rPr>
                <w:snapToGrid w:val="0"/>
                <w:sz w:val="22"/>
                <w:szCs w:val="22"/>
                <w:u w:val="single"/>
              </w:rPr>
            </w:pPr>
          </w:p>
        </w:tc>
      </w:tr>
      <w:tr w:rsidR="00B15F7D" w:rsidRPr="00990FB6" w14:paraId="75300690" w14:textId="77777777" w:rsidTr="000A0C22">
        <w:trPr>
          <w:trHeight w:val="288"/>
        </w:trPr>
        <w:tc>
          <w:tcPr>
            <w:tcW w:w="1314" w:type="dxa"/>
            <w:noWrap/>
            <w:hideMark/>
          </w:tcPr>
          <w:p w14:paraId="3EB5A21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9192A1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Sarapiquí</w:t>
            </w:r>
          </w:p>
        </w:tc>
        <w:tc>
          <w:tcPr>
            <w:tcW w:w="866" w:type="dxa"/>
            <w:hideMark/>
          </w:tcPr>
          <w:p w14:paraId="3571BD35"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7745AD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5CDD9F8" w14:textId="77777777" w:rsidR="00B15F7D" w:rsidRPr="00990FB6" w:rsidRDefault="00B15F7D" w:rsidP="00B15F7D">
            <w:pPr>
              <w:tabs>
                <w:tab w:val="left" w:pos="2694"/>
              </w:tabs>
              <w:jc w:val="both"/>
              <w:rPr>
                <w:snapToGrid w:val="0"/>
                <w:sz w:val="22"/>
                <w:szCs w:val="22"/>
                <w:u w:val="single"/>
              </w:rPr>
            </w:pPr>
          </w:p>
        </w:tc>
      </w:tr>
      <w:tr w:rsidR="00B15F7D" w:rsidRPr="00990FB6" w14:paraId="78EA5D04" w14:textId="77777777" w:rsidTr="000A0C22">
        <w:trPr>
          <w:trHeight w:val="288"/>
        </w:trPr>
        <w:tc>
          <w:tcPr>
            <w:tcW w:w="1314" w:type="dxa"/>
            <w:noWrap/>
            <w:hideMark/>
          </w:tcPr>
          <w:p w14:paraId="4E78ABB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6613B0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5B21DB9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CF3546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DFAC87D" w14:textId="77777777" w:rsidR="00B15F7D" w:rsidRPr="00990FB6" w:rsidRDefault="00B15F7D" w:rsidP="00B15F7D">
            <w:pPr>
              <w:tabs>
                <w:tab w:val="left" w:pos="2694"/>
              </w:tabs>
              <w:jc w:val="both"/>
              <w:rPr>
                <w:snapToGrid w:val="0"/>
                <w:sz w:val="22"/>
                <w:szCs w:val="22"/>
                <w:u w:val="single"/>
              </w:rPr>
            </w:pPr>
          </w:p>
        </w:tc>
      </w:tr>
      <w:tr w:rsidR="00B15F7D" w:rsidRPr="00990FB6" w14:paraId="0656F3BA" w14:textId="77777777" w:rsidTr="000A0C22">
        <w:trPr>
          <w:trHeight w:val="288"/>
        </w:trPr>
        <w:tc>
          <w:tcPr>
            <w:tcW w:w="1314" w:type="dxa"/>
            <w:noWrap/>
            <w:hideMark/>
          </w:tcPr>
          <w:p w14:paraId="51FF5B16"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C5645EA" w14:textId="77777777" w:rsidR="00B15F7D" w:rsidRPr="00990FB6" w:rsidRDefault="00B15F7D" w:rsidP="00B15F7D">
            <w:pPr>
              <w:tabs>
                <w:tab w:val="left" w:pos="2694"/>
              </w:tabs>
              <w:jc w:val="both"/>
              <w:rPr>
                <w:snapToGrid w:val="0"/>
                <w:sz w:val="22"/>
                <w:szCs w:val="22"/>
                <w:u w:val="single"/>
              </w:rPr>
            </w:pPr>
          </w:p>
        </w:tc>
        <w:tc>
          <w:tcPr>
            <w:tcW w:w="866" w:type="dxa"/>
            <w:hideMark/>
          </w:tcPr>
          <w:p w14:paraId="24C5039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526982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4A919FE" w14:textId="77777777" w:rsidR="00B15F7D" w:rsidRPr="00990FB6" w:rsidRDefault="00B15F7D" w:rsidP="00B15F7D">
            <w:pPr>
              <w:tabs>
                <w:tab w:val="left" w:pos="2694"/>
              </w:tabs>
              <w:jc w:val="both"/>
              <w:rPr>
                <w:snapToGrid w:val="0"/>
                <w:sz w:val="22"/>
                <w:szCs w:val="22"/>
                <w:u w:val="single"/>
              </w:rPr>
            </w:pPr>
          </w:p>
        </w:tc>
      </w:tr>
      <w:tr w:rsidR="00B15F7D" w:rsidRPr="00990FB6" w14:paraId="0B586A9B" w14:textId="77777777" w:rsidTr="000A0C22">
        <w:trPr>
          <w:trHeight w:val="288"/>
        </w:trPr>
        <w:tc>
          <w:tcPr>
            <w:tcW w:w="1314" w:type="dxa"/>
            <w:noWrap/>
            <w:hideMark/>
          </w:tcPr>
          <w:p w14:paraId="50D0E0D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84F6442"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Siquirres</w:t>
            </w:r>
          </w:p>
        </w:tc>
        <w:tc>
          <w:tcPr>
            <w:tcW w:w="866" w:type="dxa"/>
            <w:hideMark/>
          </w:tcPr>
          <w:p w14:paraId="18C64059"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089F604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53DB512" w14:textId="77777777" w:rsidR="00B15F7D" w:rsidRPr="00990FB6" w:rsidRDefault="00B15F7D" w:rsidP="00B15F7D">
            <w:pPr>
              <w:tabs>
                <w:tab w:val="left" w:pos="2694"/>
              </w:tabs>
              <w:jc w:val="both"/>
              <w:rPr>
                <w:snapToGrid w:val="0"/>
                <w:sz w:val="22"/>
                <w:szCs w:val="22"/>
                <w:u w:val="single"/>
              </w:rPr>
            </w:pPr>
          </w:p>
        </w:tc>
      </w:tr>
      <w:tr w:rsidR="00B15F7D" w:rsidRPr="00990FB6" w14:paraId="075322F6" w14:textId="77777777" w:rsidTr="000A0C22">
        <w:trPr>
          <w:trHeight w:val="288"/>
        </w:trPr>
        <w:tc>
          <w:tcPr>
            <w:tcW w:w="1314" w:type="dxa"/>
            <w:noWrap/>
            <w:hideMark/>
          </w:tcPr>
          <w:p w14:paraId="59FE617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EEE3C6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648FB59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8359BC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BA6C151" w14:textId="77777777" w:rsidR="00B15F7D" w:rsidRPr="00990FB6" w:rsidRDefault="00B15F7D" w:rsidP="00B15F7D">
            <w:pPr>
              <w:tabs>
                <w:tab w:val="left" w:pos="2694"/>
              </w:tabs>
              <w:jc w:val="both"/>
              <w:rPr>
                <w:snapToGrid w:val="0"/>
                <w:sz w:val="22"/>
                <w:szCs w:val="22"/>
                <w:u w:val="single"/>
              </w:rPr>
            </w:pPr>
          </w:p>
        </w:tc>
      </w:tr>
      <w:tr w:rsidR="00B15F7D" w:rsidRPr="00990FB6" w14:paraId="0302EACF" w14:textId="77777777" w:rsidTr="000A0C22">
        <w:trPr>
          <w:trHeight w:val="288"/>
        </w:trPr>
        <w:tc>
          <w:tcPr>
            <w:tcW w:w="1314" w:type="dxa"/>
            <w:noWrap/>
            <w:hideMark/>
          </w:tcPr>
          <w:p w14:paraId="1B70E56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51C5B95" w14:textId="77777777" w:rsidR="00B15F7D" w:rsidRPr="00990FB6" w:rsidRDefault="00B15F7D" w:rsidP="00B15F7D">
            <w:pPr>
              <w:tabs>
                <w:tab w:val="left" w:pos="2694"/>
              </w:tabs>
              <w:jc w:val="both"/>
              <w:rPr>
                <w:snapToGrid w:val="0"/>
                <w:sz w:val="22"/>
                <w:szCs w:val="22"/>
                <w:u w:val="single"/>
              </w:rPr>
            </w:pPr>
          </w:p>
        </w:tc>
        <w:tc>
          <w:tcPr>
            <w:tcW w:w="866" w:type="dxa"/>
            <w:hideMark/>
          </w:tcPr>
          <w:p w14:paraId="3BF23673"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561FB30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923871C" w14:textId="77777777" w:rsidR="00B15F7D" w:rsidRPr="00990FB6" w:rsidRDefault="00B15F7D" w:rsidP="00B15F7D">
            <w:pPr>
              <w:tabs>
                <w:tab w:val="left" w:pos="2694"/>
              </w:tabs>
              <w:jc w:val="both"/>
              <w:rPr>
                <w:snapToGrid w:val="0"/>
                <w:sz w:val="22"/>
                <w:szCs w:val="22"/>
                <w:u w:val="single"/>
              </w:rPr>
            </w:pPr>
          </w:p>
        </w:tc>
      </w:tr>
      <w:tr w:rsidR="00B15F7D" w:rsidRPr="00990FB6" w14:paraId="1D130AA9" w14:textId="77777777" w:rsidTr="000A0C22">
        <w:trPr>
          <w:trHeight w:val="288"/>
        </w:trPr>
        <w:tc>
          <w:tcPr>
            <w:tcW w:w="1314" w:type="dxa"/>
            <w:noWrap/>
            <w:hideMark/>
          </w:tcPr>
          <w:p w14:paraId="21F6AC11"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F33C9BE"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Turrialba</w:t>
            </w:r>
          </w:p>
        </w:tc>
        <w:tc>
          <w:tcPr>
            <w:tcW w:w="866" w:type="dxa"/>
            <w:hideMark/>
          </w:tcPr>
          <w:p w14:paraId="50CF4607"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ABE69B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5EB406B" w14:textId="77777777" w:rsidR="00B15F7D" w:rsidRPr="00990FB6" w:rsidRDefault="00B15F7D" w:rsidP="00B15F7D">
            <w:pPr>
              <w:tabs>
                <w:tab w:val="left" w:pos="2694"/>
              </w:tabs>
              <w:jc w:val="both"/>
              <w:rPr>
                <w:snapToGrid w:val="0"/>
                <w:sz w:val="22"/>
                <w:szCs w:val="22"/>
                <w:u w:val="single"/>
              </w:rPr>
            </w:pPr>
          </w:p>
        </w:tc>
      </w:tr>
      <w:tr w:rsidR="00B15F7D" w:rsidRPr="00990FB6" w14:paraId="38B4C455" w14:textId="77777777" w:rsidTr="000A0C22">
        <w:trPr>
          <w:trHeight w:val="288"/>
        </w:trPr>
        <w:tc>
          <w:tcPr>
            <w:tcW w:w="1314" w:type="dxa"/>
            <w:noWrap/>
            <w:hideMark/>
          </w:tcPr>
          <w:p w14:paraId="7E8CBB4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77FA64D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5BFC881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1FCD1E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B0DBA66" w14:textId="77777777" w:rsidR="00B15F7D" w:rsidRPr="00990FB6" w:rsidRDefault="00B15F7D" w:rsidP="00B15F7D">
            <w:pPr>
              <w:tabs>
                <w:tab w:val="left" w:pos="2694"/>
              </w:tabs>
              <w:jc w:val="both"/>
              <w:rPr>
                <w:snapToGrid w:val="0"/>
                <w:sz w:val="22"/>
                <w:szCs w:val="22"/>
                <w:u w:val="single"/>
              </w:rPr>
            </w:pPr>
          </w:p>
        </w:tc>
      </w:tr>
      <w:tr w:rsidR="00B15F7D" w:rsidRPr="00990FB6" w14:paraId="4B070898" w14:textId="77777777" w:rsidTr="000A0C22">
        <w:trPr>
          <w:trHeight w:val="288"/>
        </w:trPr>
        <w:tc>
          <w:tcPr>
            <w:tcW w:w="1314" w:type="dxa"/>
            <w:noWrap/>
            <w:hideMark/>
          </w:tcPr>
          <w:p w14:paraId="09DCC33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53A5372" w14:textId="77777777" w:rsidR="00B15F7D" w:rsidRPr="00990FB6" w:rsidRDefault="00B15F7D" w:rsidP="00B15F7D">
            <w:pPr>
              <w:tabs>
                <w:tab w:val="left" w:pos="2694"/>
              </w:tabs>
              <w:jc w:val="both"/>
              <w:rPr>
                <w:snapToGrid w:val="0"/>
                <w:sz w:val="22"/>
                <w:szCs w:val="22"/>
                <w:u w:val="single"/>
              </w:rPr>
            </w:pPr>
          </w:p>
        </w:tc>
        <w:tc>
          <w:tcPr>
            <w:tcW w:w="866" w:type="dxa"/>
            <w:hideMark/>
          </w:tcPr>
          <w:p w14:paraId="59A03246"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1B59CF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F5495E3" w14:textId="77777777" w:rsidR="00B15F7D" w:rsidRPr="00990FB6" w:rsidRDefault="00B15F7D" w:rsidP="00B15F7D">
            <w:pPr>
              <w:tabs>
                <w:tab w:val="left" w:pos="2694"/>
              </w:tabs>
              <w:jc w:val="both"/>
              <w:rPr>
                <w:snapToGrid w:val="0"/>
                <w:sz w:val="22"/>
                <w:szCs w:val="22"/>
                <w:u w:val="single"/>
              </w:rPr>
            </w:pPr>
          </w:p>
        </w:tc>
      </w:tr>
      <w:tr w:rsidR="00B15F7D" w:rsidRPr="00990FB6" w14:paraId="188749E4" w14:textId="77777777" w:rsidTr="000A0C22">
        <w:trPr>
          <w:trHeight w:val="288"/>
        </w:trPr>
        <w:tc>
          <w:tcPr>
            <w:tcW w:w="1314" w:type="dxa"/>
            <w:noWrap/>
            <w:hideMark/>
          </w:tcPr>
          <w:p w14:paraId="67E194F8"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41CE18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Cañas</w:t>
            </w:r>
          </w:p>
        </w:tc>
        <w:tc>
          <w:tcPr>
            <w:tcW w:w="866" w:type="dxa"/>
            <w:hideMark/>
          </w:tcPr>
          <w:p w14:paraId="73060144"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86B712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CE000B0" w14:textId="77777777" w:rsidR="00B15F7D" w:rsidRPr="00990FB6" w:rsidRDefault="00B15F7D" w:rsidP="00B15F7D">
            <w:pPr>
              <w:tabs>
                <w:tab w:val="left" w:pos="2694"/>
              </w:tabs>
              <w:jc w:val="both"/>
              <w:rPr>
                <w:snapToGrid w:val="0"/>
                <w:sz w:val="22"/>
                <w:szCs w:val="22"/>
                <w:u w:val="single"/>
              </w:rPr>
            </w:pPr>
          </w:p>
        </w:tc>
      </w:tr>
      <w:tr w:rsidR="00B15F7D" w:rsidRPr="00990FB6" w14:paraId="66C9BDE3" w14:textId="77777777" w:rsidTr="000A0C22">
        <w:trPr>
          <w:trHeight w:val="288"/>
        </w:trPr>
        <w:tc>
          <w:tcPr>
            <w:tcW w:w="1314" w:type="dxa"/>
            <w:noWrap/>
            <w:hideMark/>
          </w:tcPr>
          <w:p w14:paraId="192A5D2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944C39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2E11301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46E6B7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B1EC71E" w14:textId="77777777" w:rsidR="00B15F7D" w:rsidRPr="00990FB6" w:rsidRDefault="00B15F7D" w:rsidP="00B15F7D">
            <w:pPr>
              <w:tabs>
                <w:tab w:val="left" w:pos="2694"/>
              </w:tabs>
              <w:jc w:val="both"/>
              <w:rPr>
                <w:snapToGrid w:val="0"/>
                <w:sz w:val="22"/>
                <w:szCs w:val="22"/>
                <w:u w:val="single"/>
              </w:rPr>
            </w:pPr>
          </w:p>
        </w:tc>
      </w:tr>
      <w:tr w:rsidR="00B15F7D" w:rsidRPr="00990FB6" w14:paraId="03088B9D" w14:textId="77777777" w:rsidTr="000A0C22">
        <w:trPr>
          <w:trHeight w:val="288"/>
        </w:trPr>
        <w:tc>
          <w:tcPr>
            <w:tcW w:w="1314" w:type="dxa"/>
            <w:noWrap/>
            <w:hideMark/>
          </w:tcPr>
          <w:p w14:paraId="64868E3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90A011D" w14:textId="77777777" w:rsidR="00B15F7D" w:rsidRPr="00990FB6" w:rsidRDefault="00B15F7D" w:rsidP="00B15F7D">
            <w:pPr>
              <w:tabs>
                <w:tab w:val="left" w:pos="2694"/>
              </w:tabs>
              <w:jc w:val="both"/>
              <w:rPr>
                <w:snapToGrid w:val="0"/>
                <w:sz w:val="22"/>
                <w:szCs w:val="22"/>
                <w:u w:val="single"/>
              </w:rPr>
            </w:pPr>
          </w:p>
        </w:tc>
        <w:tc>
          <w:tcPr>
            <w:tcW w:w="866" w:type="dxa"/>
            <w:hideMark/>
          </w:tcPr>
          <w:p w14:paraId="2FD96D0F"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4339A2C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5268D54" w14:textId="77777777" w:rsidR="00B15F7D" w:rsidRPr="00990FB6" w:rsidRDefault="00B15F7D" w:rsidP="00B15F7D">
            <w:pPr>
              <w:tabs>
                <w:tab w:val="left" w:pos="2694"/>
              </w:tabs>
              <w:jc w:val="both"/>
              <w:rPr>
                <w:snapToGrid w:val="0"/>
                <w:sz w:val="22"/>
                <w:szCs w:val="22"/>
                <w:u w:val="single"/>
              </w:rPr>
            </w:pPr>
          </w:p>
        </w:tc>
      </w:tr>
      <w:tr w:rsidR="00B15F7D" w:rsidRPr="00990FB6" w14:paraId="1A2F0344" w14:textId="77777777" w:rsidTr="000A0C22">
        <w:trPr>
          <w:trHeight w:val="288"/>
        </w:trPr>
        <w:tc>
          <w:tcPr>
            <w:tcW w:w="1314" w:type="dxa"/>
            <w:noWrap/>
            <w:hideMark/>
          </w:tcPr>
          <w:p w14:paraId="79E0AD1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B5C7DBC"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Santa Cruz</w:t>
            </w:r>
          </w:p>
        </w:tc>
        <w:tc>
          <w:tcPr>
            <w:tcW w:w="866" w:type="dxa"/>
            <w:hideMark/>
          </w:tcPr>
          <w:p w14:paraId="665058F5"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37189A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5BB36B8" w14:textId="77777777" w:rsidR="00B15F7D" w:rsidRPr="00990FB6" w:rsidRDefault="00B15F7D" w:rsidP="00B15F7D">
            <w:pPr>
              <w:tabs>
                <w:tab w:val="left" w:pos="2694"/>
              </w:tabs>
              <w:jc w:val="both"/>
              <w:rPr>
                <w:snapToGrid w:val="0"/>
                <w:sz w:val="22"/>
                <w:szCs w:val="22"/>
                <w:u w:val="single"/>
              </w:rPr>
            </w:pPr>
          </w:p>
        </w:tc>
      </w:tr>
      <w:tr w:rsidR="00B15F7D" w:rsidRPr="00990FB6" w14:paraId="5AFDF41E" w14:textId="77777777" w:rsidTr="000A0C22">
        <w:trPr>
          <w:trHeight w:val="288"/>
        </w:trPr>
        <w:tc>
          <w:tcPr>
            <w:tcW w:w="1314" w:type="dxa"/>
            <w:noWrap/>
            <w:hideMark/>
          </w:tcPr>
          <w:p w14:paraId="189D1A0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5DFD301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552B24F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7335270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9277D47" w14:textId="77777777" w:rsidR="00B15F7D" w:rsidRPr="00990FB6" w:rsidRDefault="00B15F7D" w:rsidP="00B15F7D">
            <w:pPr>
              <w:tabs>
                <w:tab w:val="left" w:pos="2694"/>
              </w:tabs>
              <w:jc w:val="both"/>
              <w:rPr>
                <w:snapToGrid w:val="0"/>
                <w:sz w:val="22"/>
                <w:szCs w:val="22"/>
                <w:u w:val="single"/>
              </w:rPr>
            </w:pPr>
          </w:p>
        </w:tc>
      </w:tr>
      <w:tr w:rsidR="00B15F7D" w:rsidRPr="00990FB6" w14:paraId="5080D5D2" w14:textId="77777777" w:rsidTr="000A0C22">
        <w:trPr>
          <w:trHeight w:val="288"/>
        </w:trPr>
        <w:tc>
          <w:tcPr>
            <w:tcW w:w="1314" w:type="dxa"/>
            <w:noWrap/>
            <w:hideMark/>
          </w:tcPr>
          <w:p w14:paraId="5B8B0F3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0D4B065" w14:textId="77777777" w:rsidR="00B15F7D" w:rsidRPr="00990FB6" w:rsidRDefault="00B15F7D" w:rsidP="00B15F7D">
            <w:pPr>
              <w:tabs>
                <w:tab w:val="left" w:pos="2694"/>
              </w:tabs>
              <w:jc w:val="both"/>
              <w:rPr>
                <w:snapToGrid w:val="0"/>
                <w:sz w:val="22"/>
                <w:szCs w:val="22"/>
                <w:u w:val="single"/>
              </w:rPr>
            </w:pPr>
          </w:p>
        </w:tc>
        <w:tc>
          <w:tcPr>
            <w:tcW w:w="866" w:type="dxa"/>
            <w:hideMark/>
          </w:tcPr>
          <w:p w14:paraId="7A7FB142"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FC03561"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BCC87C1" w14:textId="77777777" w:rsidR="00B15F7D" w:rsidRPr="00990FB6" w:rsidRDefault="00B15F7D" w:rsidP="00B15F7D">
            <w:pPr>
              <w:tabs>
                <w:tab w:val="left" w:pos="2694"/>
              </w:tabs>
              <w:jc w:val="both"/>
              <w:rPr>
                <w:snapToGrid w:val="0"/>
                <w:sz w:val="22"/>
                <w:szCs w:val="22"/>
                <w:u w:val="single"/>
              </w:rPr>
            </w:pPr>
          </w:p>
        </w:tc>
      </w:tr>
      <w:tr w:rsidR="00B15F7D" w:rsidRPr="00990FB6" w14:paraId="77CF1A84" w14:textId="77777777" w:rsidTr="000A0C22">
        <w:trPr>
          <w:trHeight w:val="288"/>
        </w:trPr>
        <w:tc>
          <w:tcPr>
            <w:tcW w:w="1314" w:type="dxa"/>
            <w:noWrap/>
            <w:hideMark/>
          </w:tcPr>
          <w:p w14:paraId="7997C9E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F29A358"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Puntarenas</w:t>
            </w:r>
          </w:p>
        </w:tc>
        <w:tc>
          <w:tcPr>
            <w:tcW w:w="866" w:type="dxa"/>
            <w:hideMark/>
          </w:tcPr>
          <w:p w14:paraId="0B6C4DB3"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4ED80A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66C6799" w14:textId="77777777" w:rsidR="00B15F7D" w:rsidRPr="00990FB6" w:rsidRDefault="00B15F7D" w:rsidP="00B15F7D">
            <w:pPr>
              <w:tabs>
                <w:tab w:val="left" w:pos="2694"/>
              </w:tabs>
              <w:jc w:val="both"/>
              <w:rPr>
                <w:snapToGrid w:val="0"/>
                <w:sz w:val="22"/>
                <w:szCs w:val="22"/>
                <w:u w:val="single"/>
              </w:rPr>
            </w:pPr>
          </w:p>
        </w:tc>
      </w:tr>
      <w:tr w:rsidR="00B15F7D" w:rsidRPr="00990FB6" w14:paraId="21E81AE4" w14:textId="77777777" w:rsidTr="000A0C22">
        <w:trPr>
          <w:trHeight w:val="288"/>
        </w:trPr>
        <w:tc>
          <w:tcPr>
            <w:tcW w:w="1314" w:type="dxa"/>
            <w:noWrap/>
            <w:hideMark/>
          </w:tcPr>
          <w:p w14:paraId="5F39342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092ECA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0F8C86E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D1FF80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E7BE409" w14:textId="77777777" w:rsidR="00B15F7D" w:rsidRPr="00990FB6" w:rsidRDefault="00B15F7D" w:rsidP="00B15F7D">
            <w:pPr>
              <w:tabs>
                <w:tab w:val="left" w:pos="2694"/>
              </w:tabs>
              <w:jc w:val="both"/>
              <w:rPr>
                <w:snapToGrid w:val="0"/>
                <w:sz w:val="22"/>
                <w:szCs w:val="22"/>
                <w:u w:val="single"/>
              </w:rPr>
            </w:pPr>
          </w:p>
        </w:tc>
      </w:tr>
      <w:tr w:rsidR="00B15F7D" w:rsidRPr="00990FB6" w14:paraId="389AE5AA" w14:textId="77777777" w:rsidTr="000A0C22">
        <w:trPr>
          <w:trHeight w:val="288"/>
        </w:trPr>
        <w:tc>
          <w:tcPr>
            <w:tcW w:w="1314" w:type="dxa"/>
            <w:noWrap/>
            <w:hideMark/>
          </w:tcPr>
          <w:p w14:paraId="605C6CC6"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4C5E0DD" w14:textId="77777777" w:rsidR="00B15F7D" w:rsidRPr="00990FB6" w:rsidRDefault="00B15F7D" w:rsidP="00B15F7D">
            <w:pPr>
              <w:tabs>
                <w:tab w:val="left" w:pos="2694"/>
              </w:tabs>
              <w:jc w:val="both"/>
              <w:rPr>
                <w:snapToGrid w:val="0"/>
                <w:sz w:val="22"/>
                <w:szCs w:val="22"/>
                <w:u w:val="single"/>
              </w:rPr>
            </w:pPr>
          </w:p>
        </w:tc>
        <w:tc>
          <w:tcPr>
            <w:tcW w:w="866" w:type="dxa"/>
            <w:hideMark/>
          </w:tcPr>
          <w:p w14:paraId="46505E9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448CA2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780F099" w14:textId="77777777" w:rsidR="00B15F7D" w:rsidRPr="00990FB6" w:rsidRDefault="00B15F7D" w:rsidP="00B15F7D">
            <w:pPr>
              <w:tabs>
                <w:tab w:val="left" w:pos="2694"/>
              </w:tabs>
              <w:jc w:val="both"/>
              <w:rPr>
                <w:snapToGrid w:val="0"/>
                <w:sz w:val="22"/>
                <w:szCs w:val="22"/>
                <w:u w:val="single"/>
              </w:rPr>
            </w:pPr>
          </w:p>
        </w:tc>
      </w:tr>
      <w:tr w:rsidR="00B15F7D" w:rsidRPr="00990FB6" w14:paraId="44E8CCED" w14:textId="77777777" w:rsidTr="000A0C22">
        <w:trPr>
          <w:trHeight w:val="288"/>
        </w:trPr>
        <w:tc>
          <w:tcPr>
            <w:tcW w:w="1314" w:type="dxa"/>
            <w:noWrap/>
            <w:hideMark/>
          </w:tcPr>
          <w:p w14:paraId="29697A8F"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E8F8495"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Guápiles</w:t>
            </w:r>
          </w:p>
        </w:tc>
        <w:tc>
          <w:tcPr>
            <w:tcW w:w="866" w:type="dxa"/>
            <w:hideMark/>
          </w:tcPr>
          <w:p w14:paraId="72DE30A7"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0FD5F6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3426351" w14:textId="77777777" w:rsidR="00B15F7D" w:rsidRPr="00990FB6" w:rsidRDefault="00B15F7D" w:rsidP="00B15F7D">
            <w:pPr>
              <w:tabs>
                <w:tab w:val="left" w:pos="2694"/>
              </w:tabs>
              <w:jc w:val="both"/>
              <w:rPr>
                <w:snapToGrid w:val="0"/>
                <w:sz w:val="22"/>
                <w:szCs w:val="22"/>
                <w:u w:val="single"/>
              </w:rPr>
            </w:pPr>
          </w:p>
        </w:tc>
      </w:tr>
      <w:tr w:rsidR="00B15F7D" w:rsidRPr="00990FB6" w14:paraId="5AD5D189" w14:textId="77777777" w:rsidTr="000A0C22">
        <w:trPr>
          <w:trHeight w:val="288"/>
        </w:trPr>
        <w:tc>
          <w:tcPr>
            <w:tcW w:w="1314" w:type="dxa"/>
            <w:noWrap/>
            <w:hideMark/>
          </w:tcPr>
          <w:p w14:paraId="320A8A4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596761A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6E1AA67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F71697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CE8D23B" w14:textId="77777777" w:rsidR="00B15F7D" w:rsidRPr="00990FB6" w:rsidRDefault="00B15F7D" w:rsidP="00B15F7D">
            <w:pPr>
              <w:tabs>
                <w:tab w:val="left" w:pos="2694"/>
              </w:tabs>
              <w:jc w:val="both"/>
              <w:rPr>
                <w:snapToGrid w:val="0"/>
                <w:sz w:val="22"/>
                <w:szCs w:val="22"/>
                <w:u w:val="single"/>
              </w:rPr>
            </w:pPr>
          </w:p>
        </w:tc>
      </w:tr>
      <w:tr w:rsidR="00B15F7D" w:rsidRPr="00990FB6" w14:paraId="6E1F1BCA" w14:textId="77777777" w:rsidTr="000A0C22">
        <w:trPr>
          <w:trHeight w:val="288"/>
        </w:trPr>
        <w:tc>
          <w:tcPr>
            <w:tcW w:w="1314" w:type="dxa"/>
            <w:noWrap/>
            <w:hideMark/>
          </w:tcPr>
          <w:p w14:paraId="57D4662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A5F1FBD" w14:textId="77777777" w:rsidR="00B15F7D" w:rsidRPr="00990FB6" w:rsidRDefault="00B15F7D" w:rsidP="00B15F7D">
            <w:pPr>
              <w:tabs>
                <w:tab w:val="left" w:pos="2694"/>
              </w:tabs>
              <w:jc w:val="both"/>
              <w:rPr>
                <w:snapToGrid w:val="0"/>
                <w:sz w:val="22"/>
                <w:szCs w:val="22"/>
                <w:u w:val="single"/>
              </w:rPr>
            </w:pPr>
          </w:p>
        </w:tc>
        <w:tc>
          <w:tcPr>
            <w:tcW w:w="866" w:type="dxa"/>
            <w:hideMark/>
          </w:tcPr>
          <w:p w14:paraId="7E515306"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0EB045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3116A13" w14:textId="77777777" w:rsidR="00B15F7D" w:rsidRPr="00990FB6" w:rsidRDefault="00B15F7D" w:rsidP="00B15F7D">
            <w:pPr>
              <w:tabs>
                <w:tab w:val="left" w:pos="2694"/>
              </w:tabs>
              <w:jc w:val="both"/>
              <w:rPr>
                <w:snapToGrid w:val="0"/>
                <w:sz w:val="22"/>
                <w:szCs w:val="22"/>
                <w:u w:val="single"/>
              </w:rPr>
            </w:pPr>
          </w:p>
        </w:tc>
      </w:tr>
      <w:tr w:rsidR="00B15F7D" w:rsidRPr="00990FB6" w14:paraId="0315529C" w14:textId="77777777" w:rsidTr="000A0C22">
        <w:trPr>
          <w:trHeight w:val="288"/>
        </w:trPr>
        <w:tc>
          <w:tcPr>
            <w:tcW w:w="1314" w:type="dxa"/>
            <w:noWrap/>
            <w:hideMark/>
          </w:tcPr>
          <w:p w14:paraId="3A79F9C3"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46F7E89"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Limón</w:t>
            </w:r>
          </w:p>
        </w:tc>
        <w:tc>
          <w:tcPr>
            <w:tcW w:w="866" w:type="dxa"/>
            <w:hideMark/>
          </w:tcPr>
          <w:p w14:paraId="74563FA8"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2BD513D5"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8669956" w14:textId="77777777" w:rsidR="00B15F7D" w:rsidRPr="00990FB6" w:rsidRDefault="00B15F7D" w:rsidP="00B15F7D">
            <w:pPr>
              <w:tabs>
                <w:tab w:val="left" w:pos="2694"/>
              </w:tabs>
              <w:jc w:val="both"/>
              <w:rPr>
                <w:snapToGrid w:val="0"/>
                <w:sz w:val="22"/>
                <w:szCs w:val="22"/>
                <w:u w:val="single"/>
              </w:rPr>
            </w:pPr>
          </w:p>
        </w:tc>
      </w:tr>
      <w:tr w:rsidR="00B15F7D" w:rsidRPr="00990FB6" w14:paraId="7E978BA0" w14:textId="77777777" w:rsidTr="000A0C22">
        <w:trPr>
          <w:trHeight w:val="288"/>
        </w:trPr>
        <w:tc>
          <w:tcPr>
            <w:tcW w:w="1314" w:type="dxa"/>
            <w:noWrap/>
            <w:hideMark/>
          </w:tcPr>
          <w:p w14:paraId="640EE06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9C3659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481D866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FBB20B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8E32F3A" w14:textId="77777777" w:rsidR="00B15F7D" w:rsidRPr="00990FB6" w:rsidRDefault="00B15F7D" w:rsidP="00B15F7D">
            <w:pPr>
              <w:tabs>
                <w:tab w:val="left" w:pos="2694"/>
              </w:tabs>
              <w:jc w:val="both"/>
              <w:rPr>
                <w:snapToGrid w:val="0"/>
                <w:sz w:val="22"/>
                <w:szCs w:val="22"/>
                <w:u w:val="single"/>
              </w:rPr>
            </w:pPr>
          </w:p>
        </w:tc>
      </w:tr>
      <w:tr w:rsidR="00B15F7D" w:rsidRPr="00990FB6" w14:paraId="090320D6" w14:textId="77777777" w:rsidTr="000A0C22">
        <w:trPr>
          <w:trHeight w:val="288"/>
        </w:trPr>
        <w:tc>
          <w:tcPr>
            <w:tcW w:w="1314" w:type="dxa"/>
            <w:noWrap/>
            <w:hideMark/>
          </w:tcPr>
          <w:p w14:paraId="16D464E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D2EA0A4" w14:textId="77777777" w:rsidR="00B15F7D" w:rsidRPr="00990FB6" w:rsidRDefault="00B15F7D" w:rsidP="00B15F7D">
            <w:pPr>
              <w:tabs>
                <w:tab w:val="left" w:pos="2694"/>
              </w:tabs>
              <w:jc w:val="both"/>
              <w:rPr>
                <w:snapToGrid w:val="0"/>
                <w:sz w:val="22"/>
                <w:szCs w:val="22"/>
                <w:u w:val="single"/>
              </w:rPr>
            </w:pPr>
          </w:p>
        </w:tc>
        <w:tc>
          <w:tcPr>
            <w:tcW w:w="866" w:type="dxa"/>
            <w:hideMark/>
          </w:tcPr>
          <w:p w14:paraId="30D5A76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F8486D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A34DCAF" w14:textId="77777777" w:rsidR="00B15F7D" w:rsidRPr="00990FB6" w:rsidRDefault="00B15F7D" w:rsidP="00B15F7D">
            <w:pPr>
              <w:tabs>
                <w:tab w:val="left" w:pos="2694"/>
              </w:tabs>
              <w:jc w:val="both"/>
              <w:rPr>
                <w:snapToGrid w:val="0"/>
                <w:sz w:val="22"/>
                <w:szCs w:val="22"/>
                <w:u w:val="single"/>
              </w:rPr>
            </w:pPr>
          </w:p>
        </w:tc>
      </w:tr>
      <w:tr w:rsidR="00B15F7D" w:rsidRPr="00990FB6" w14:paraId="14DCDE7D" w14:textId="77777777" w:rsidTr="000A0C22">
        <w:trPr>
          <w:trHeight w:val="288"/>
        </w:trPr>
        <w:tc>
          <w:tcPr>
            <w:tcW w:w="1314" w:type="dxa"/>
            <w:noWrap/>
            <w:hideMark/>
          </w:tcPr>
          <w:p w14:paraId="580F5D8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082D45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Goicoechea</w:t>
            </w:r>
          </w:p>
        </w:tc>
        <w:tc>
          <w:tcPr>
            <w:tcW w:w="866" w:type="dxa"/>
            <w:hideMark/>
          </w:tcPr>
          <w:p w14:paraId="1618C31B"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F01B0C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EE8D26A" w14:textId="77777777" w:rsidR="00B15F7D" w:rsidRPr="00990FB6" w:rsidRDefault="00B15F7D" w:rsidP="00B15F7D">
            <w:pPr>
              <w:tabs>
                <w:tab w:val="left" w:pos="2694"/>
              </w:tabs>
              <w:jc w:val="both"/>
              <w:rPr>
                <w:snapToGrid w:val="0"/>
                <w:sz w:val="22"/>
                <w:szCs w:val="22"/>
                <w:u w:val="single"/>
              </w:rPr>
            </w:pPr>
          </w:p>
        </w:tc>
      </w:tr>
      <w:tr w:rsidR="00B15F7D" w:rsidRPr="00990FB6" w14:paraId="3EFAF4F8" w14:textId="77777777" w:rsidTr="000A0C22">
        <w:trPr>
          <w:trHeight w:val="288"/>
        </w:trPr>
        <w:tc>
          <w:tcPr>
            <w:tcW w:w="1314" w:type="dxa"/>
            <w:noWrap/>
            <w:hideMark/>
          </w:tcPr>
          <w:p w14:paraId="78501AC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4212FE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7838378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FB79BE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1E59110" w14:textId="77777777" w:rsidR="00B15F7D" w:rsidRPr="00990FB6" w:rsidRDefault="00B15F7D" w:rsidP="00B15F7D">
            <w:pPr>
              <w:tabs>
                <w:tab w:val="left" w:pos="2694"/>
              </w:tabs>
              <w:jc w:val="both"/>
              <w:rPr>
                <w:snapToGrid w:val="0"/>
                <w:sz w:val="22"/>
                <w:szCs w:val="22"/>
                <w:u w:val="single"/>
              </w:rPr>
            </w:pPr>
          </w:p>
        </w:tc>
      </w:tr>
      <w:tr w:rsidR="00B15F7D" w:rsidRPr="00990FB6" w14:paraId="175E25C7" w14:textId="77777777" w:rsidTr="000A0C22">
        <w:trPr>
          <w:trHeight w:val="288"/>
        </w:trPr>
        <w:tc>
          <w:tcPr>
            <w:tcW w:w="1314" w:type="dxa"/>
            <w:noWrap/>
            <w:hideMark/>
          </w:tcPr>
          <w:p w14:paraId="3C94A5F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DB090DC" w14:textId="77777777" w:rsidR="00B15F7D" w:rsidRPr="00990FB6" w:rsidRDefault="00B15F7D" w:rsidP="00B15F7D">
            <w:pPr>
              <w:tabs>
                <w:tab w:val="left" w:pos="2694"/>
              </w:tabs>
              <w:jc w:val="both"/>
              <w:rPr>
                <w:snapToGrid w:val="0"/>
                <w:sz w:val="22"/>
                <w:szCs w:val="22"/>
                <w:u w:val="single"/>
              </w:rPr>
            </w:pPr>
          </w:p>
        </w:tc>
        <w:tc>
          <w:tcPr>
            <w:tcW w:w="866" w:type="dxa"/>
            <w:hideMark/>
          </w:tcPr>
          <w:p w14:paraId="69B2195E"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08415F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64CB23A" w14:textId="77777777" w:rsidR="00B15F7D" w:rsidRPr="00990FB6" w:rsidRDefault="00B15F7D" w:rsidP="00B15F7D">
            <w:pPr>
              <w:tabs>
                <w:tab w:val="left" w:pos="2694"/>
              </w:tabs>
              <w:jc w:val="both"/>
              <w:rPr>
                <w:snapToGrid w:val="0"/>
                <w:sz w:val="22"/>
                <w:szCs w:val="22"/>
                <w:u w:val="single"/>
              </w:rPr>
            </w:pPr>
          </w:p>
        </w:tc>
      </w:tr>
      <w:tr w:rsidR="00B15F7D" w:rsidRPr="00990FB6" w14:paraId="09B0E3CE" w14:textId="77777777" w:rsidTr="000A0C22">
        <w:trPr>
          <w:trHeight w:val="288"/>
        </w:trPr>
        <w:tc>
          <w:tcPr>
            <w:tcW w:w="1314" w:type="dxa"/>
            <w:noWrap/>
            <w:hideMark/>
          </w:tcPr>
          <w:p w14:paraId="11DBFA71"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F238EE7"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Heredia</w:t>
            </w:r>
          </w:p>
        </w:tc>
        <w:tc>
          <w:tcPr>
            <w:tcW w:w="866" w:type="dxa"/>
            <w:hideMark/>
          </w:tcPr>
          <w:p w14:paraId="522E0331"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A3D4F6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D1B419D" w14:textId="77777777" w:rsidR="00B15F7D" w:rsidRPr="00990FB6" w:rsidRDefault="00B15F7D" w:rsidP="00B15F7D">
            <w:pPr>
              <w:tabs>
                <w:tab w:val="left" w:pos="2694"/>
              </w:tabs>
              <w:jc w:val="both"/>
              <w:rPr>
                <w:snapToGrid w:val="0"/>
                <w:sz w:val="22"/>
                <w:szCs w:val="22"/>
                <w:u w:val="single"/>
              </w:rPr>
            </w:pPr>
          </w:p>
        </w:tc>
      </w:tr>
      <w:tr w:rsidR="00B15F7D" w:rsidRPr="00990FB6" w14:paraId="018C9D60" w14:textId="77777777" w:rsidTr="000A0C22">
        <w:trPr>
          <w:trHeight w:val="288"/>
        </w:trPr>
        <w:tc>
          <w:tcPr>
            <w:tcW w:w="1314" w:type="dxa"/>
            <w:noWrap/>
            <w:hideMark/>
          </w:tcPr>
          <w:p w14:paraId="621FF90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7FA24FC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10DC2A6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953EE2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53E489F0" w14:textId="77777777" w:rsidR="00B15F7D" w:rsidRPr="00990FB6" w:rsidRDefault="00B15F7D" w:rsidP="00B15F7D">
            <w:pPr>
              <w:tabs>
                <w:tab w:val="left" w:pos="2694"/>
              </w:tabs>
              <w:jc w:val="both"/>
              <w:rPr>
                <w:snapToGrid w:val="0"/>
                <w:sz w:val="22"/>
                <w:szCs w:val="22"/>
                <w:u w:val="single"/>
              </w:rPr>
            </w:pPr>
          </w:p>
        </w:tc>
      </w:tr>
      <w:tr w:rsidR="00B15F7D" w:rsidRPr="00990FB6" w14:paraId="6A4E5512" w14:textId="77777777" w:rsidTr="000A0C22">
        <w:trPr>
          <w:trHeight w:val="288"/>
        </w:trPr>
        <w:tc>
          <w:tcPr>
            <w:tcW w:w="1314" w:type="dxa"/>
            <w:noWrap/>
            <w:hideMark/>
          </w:tcPr>
          <w:p w14:paraId="0A7E0F8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1270CA9" w14:textId="77777777" w:rsidR="00B15F7D" w:rsidRPr="00990FB6" w:rsidRDefault="00B15F7D" w:rsidP="00B15F7D">
            <w:pPr>
              <w:tabs>
                <w:tab w:val="left" w:pos="2694"/>
              </w:tabs>
              <w:jc w:val="both"/>
              <w:rPr>
                <w:snapToGrid w:val="0"/>
                <w:sz w:val="22"/>
                <w:szCs w:val="22"/>
                <w:u w:val="single"/>
              </w:rPr>
            </w:pPr>
          </w:p>
        </w:tc>
        <w:tc>
          <w:tcPr>
            <w:tcW w:w="866" w:type="dxa"/>
            <w:hideMark/>
          </w:tcPr>
          <w:p w14:paraId="721D611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6C2349B8"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0D018A6" w14:textId="77777777" w:rsidR="00B15F7D" w:rsidRPr="00990FB6" w:rsidRDefault="00B15F7D" w:rsidP="00B15F7D">
            <w:pPr>
              <w:tabs>
                <w:tab w:val="left" w:pos="2694"/>
              </w:tabs>
              <w:jc w:val="both"/>
              <w:rPr>
                <w:snapToGrid w:val="0"/>
                <w:sz w:val="22"/>
                <w:szCs w:val="22"/>
                <w:u w:val="single"/>
              </w:rPr>
            </w:pPr>
          </w:p>
        </w:tc>
      </w:tr>
      <w:tr w:rsidR="00B15F7D" w:rsidRPr="00990FB6" w14:paraId="080001EF" w14:textId="77777777" w:rsidTr="000A0C22">
        <w:trPr>
          <w:trHeight w:val="288"/>
        </w:trPr>
        <w:tc>
          <w:tcPr>
            <w:tcW w:w="1314" w:type="dxa"/>
            <w:noWrap/>
            <w:hideMark/>
          </w:tcPr>
          <w:p w14:paraId="5A22794A"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793FF58"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Alajuela</w:t>
            </w:r>
          </w:p>
        </w:tc>
        <w:tc>
          <w:tcPr>
            <w:tcW w:w="866" w:type="dxa"/>
            <w:hideMark/>
          </w:tcPr>
          <w:p w14:paraId="03B7CFA7"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DA5F6B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2F76590" w14:textId="77777777" w:rsidR="00B15F7D" w:rsidRPr="00990FB6" w:rsidRDefault="00B15F7D" w:rsidP="00B15F7D">
            <w:pPr>
              <w:tabs>
                <w:tab w:val="left" w:pos="2694"/>
              </w:tabs>
              <w:jc w:val="both"/>
              <w:rPr>
                <w:snapToGrid w:val="0"/>
                <w:sz w:val="22"/>
                <w:szCs w:val="22"/>
                <w:u w:val="single"/>
              </w:rPr>
            </w:pPr>
          </w:p>
        </w:tc>
      </w:tr>
      <w:tr w:rsidR="00B15F7D" w:rsidRPr="00990FB6" w14:paraId="4ECC06D1" w14:textId="77777777" w:rsidTr="000A0C22">
        <w:trPr>
          <w:trHeight w:val="288"/>
        </w:trPr>
        <w:tc>
          <w:tcPr>
            <w:tcW w:w="1314" w:type="dxa"/>
            <w:noWrap/>
            <w:hideMark/>
          </w:tcPr>
          <w:p w14:paraId="0356DF4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6C07C2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1167204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C4E54A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411829A" w14:textId="77777777" w:rsidR="00B15F7D" w:rsidRPr="00990FB6" w:rsidRDefault="00B15F7D" w:rsidP="00B15F7D">
            <w:pPr>
              <w:tabs>
                <w:tab w:val="left" w:pos="2694"/>
              </w:tabs>
              <w:jc w:val="both"/>
              <w:rPr>
                <w:snapToGrid w:val="0"/>
                <w:sz w:val="22"/>
                <w:szCs w:val="22"/>
                <w:u w:val="single"/>
              </w:rPr>
            </w:pPr>
          </w:p>
        </w:tc>
      </w:tr>
      <w:tr w:rsidR="00B15F7D" w:rsidRPr="00990FB6" w14:paraId="0B90C321" w14:textId="77777777" w:rsidTr="000A0C22">
        <w:trPr>
          <w:trHeight w:val="288"/>
        </w:trPr>
        <w:tc>
          <w:tcPr>
            <w:tcW w:w="1314" w:type="dxa"/>
            <w:noWrap/>
            <w:hideMark/>
          </w:tcPr>
          <w:p w14:paraId="042E549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4</w:t>
            </w:r>
          </w:p>
        </w:tc>
        <w:tc>
          <w:tcPr>
            <w:tcW w:w="4307" w:type="dxa"/>
            <w:noWrap/>
            <w:hideMark/>
          </w:tcPr>
          <w:p w14:paraId="00702EC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 Auxiliar Ejecución de la Pena</w:t>
            </w:r>
          </w:p>
        </w:tc>
        <w:tc>
          <w:tcPr>
            <w:tcW w:w="866" w:type="dxa"/>
            <w:hideMark/>
          </w:tcPr>
          <w:p w14:paraId="6AC0314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A307E7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16F72B7" w14:textId="77777777" w:rsidR="00B15F7D" w:rsidRPr="00990FB6" w:rsidRDefault="00B15F7D" w:rsidP="00B15F7D">
            <w:pPr>
              <w:tabs>
                <w:tab w:val="left" w:pos="2694"/>
              </w:tabs>
              <w:jc w:val="both"/>
              <w:rPr>
                <w:snapToGrid w:val="0"/>
                <w:sz w:val="22"/>
                <w:szCs w:val="22"/>
                <w:u w:val="single"/>
              </w:rPr>
            </w:pPr>
          </w:p>
        </w:tc>
      </w:tr>
      <w:tr w:rsidR="00B15F7D" w:rsidRPr="00990FB6" w14:paraId="7F9B85CF" w14:textId="77777777" w:rsidTr="000A0C22">
        <w:trPr>
          <w:trHeight w:val="288"/>
        </w:trPr>
        <w:tc>
          <w:tcPr>
            <w:tcW w:w="1314" w:type="dxa"/>
            <w:noWrap/>
            <w:hideMark/>
          </w:tcPr>
          <w:p w14:paraId="4B9A8B0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2D359D1" w14:textId="77777777" w:rsidR="00B15F7D" w:rsidRPr="00990FB6" w:rsidRDefault="00B15F7D" w:rsidP="00B15F7D">
            <w:pPr>
              <w:tabs>
                <w:tab w:val="left" w:pos="2694"/>
              </w:tabs>
              <w:jc w:val="both"/>
              <w:rPr>
                <w:snapToGrid w:val="0"/>
                <w:sz w:val="22"/>
                <w:szCs w:val="22"/>
                <w:u w:val="single"/>
              </w:rPr>
            </w:pPr>
          </w:p>
        </w:tc>
        <w:tc>
          <w:tcPr>
            <w:tcW w:w="866" w:type="dxa"/>
            <w:hideMark/>
          </w:tcPr>
          <w:p w14:paraId="0129601A"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B58694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9CB196E" w14:textId="77777777" w:rsidR="00B15F7D" w:rsidRPr="00990FB6" w:rsidRDefault="00B15F7D" w:rsidP="00B15F7D">
            <w:pPr>
              <w:tabs>
                <w:tab w:val="left" w:pos="2694"/>
              </w:tabs>
              <w:jc w:val="both"/>
              <w:rPr>
                <w:snapToGrid w:val="0"/>
                <w:sz w:val="22"/>
                <w:szCs w:val="22"/>
                <w:u w:val="single"/>
              </w:rPr>
            </w:pPr>
          </w:p>
        </w:tc>
      </w:tr>
      <w:tr w:rsidR="00B15F7D" w:rsidRPr="00990FB6" w14:paraId="3ED776A4" w14:textId="77777777" w:rsidTr="000A0C22">
        <w:trPr>
          <w:trHeight w:val="288"/>
        </w:trPr>
        <w:tc>
          <w:tcPr>
            <w:tcW w:w="1314" w:type="dxa"/>
            <w:noWrap/>
            <w:hideMark/>
          </w:tcPr>
          <w:p w14:paraId="0C694D9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ED14E6D"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Cartago</w:t>
            </w:r>
          </w:p>
        </w:tc>
        <w:tc>
          <w:tcPr>
            <w:tcW w:w="866" w:type="dxa"/>
            <w:hideMark/>
          </w:tcPr>
          <w:p w14:paraId="7EBA7F84"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3BAD59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1A05486" w14:textId="77777777" w:rsidR="00B15F7D" w:rsidRPr="00990FB6" w:rsidRDefault="00B15F7D" w:rsidP="00B15F7D">
            <w:pPr>
              <w:tabs>
                <w:tab w:val="left" w:pos="2694"/>
              </w:tabs>
              <w:jc w:val="both"/>
              <w:rPr>
                <w:snapToGrid w:val="0"/>
                <w:sz w:val="22"/>
                <w:szCs w:val="22"/>
                <w:u w:val="single"/>
              </w:rPr>
            </w:pPr>
          </w:p>
        </w:tc>
      </w:tr>
      <w:tr w:rsidR="00B15F7D" w:rsidRPr="00990FB6" w14:paraId="36BDF99F" w14:textId="77777777" w:rsidTr="000A0C22">
        <w:trPr>
          <w:trHeight w:val="288"/>
        </w:trPr>
        <w:tc>
          <w:tcPr>
            <w:tcW w:w="1314" w:type="dxa"/>
            <w:noWrap/>
            <w:hideMark/>
          </w:tcPr>
          <w:p w14:paraId="6AEF42D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77E5684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36DE9B5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4FA95A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C4BE5DB" w14:textId="77777777" w:rsidR="00B15F7D" w:rsidRPr="00990FB6" w:rsidRDefault="00B15F7D" w:rsidP="00B15F7D">
            <w:pPr>
              <w:tabs>
                <w:tab w:val="left" w:pos="2694"/>
              </w:tabs>
              <w:jc w:val="both"/>
              <w:rPr>
                <w:snapToGrid w:val="0"/>
                <w:sz w:val="22"/>
                <w:szCs w:val="22"/>
                <w:u w:val="single"/>
              </w:rPr>
            </w:pPr>
          </w:p>
        </w:tc>
      </w:tr>
      <w:tr w:rsidR="00B15F7D" w:rsidRPr="00990FB6" w14:paraId="5A716D5A" w14:textId="77777777" w:rsidTr="000A0C22">
        <w:trPr>
          <w:trHeight w:val="288"/>
        </w:trPr>
        <w:tc>
          <w:tcPr>
            <w:tcW w:w="1314" w:type="dxa"/>
            <w:noWrap/>
            <w:hideMark/>
          </w:tcPr>
          <w:p w14:paraId="311E145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A001830" w14:textId="77777777" w:rsidR="00B15F7D" w:rsidRPr="00990FB6" w:rsidRDefault="00B15F7D" w:rsidP="00B15F7D">
            <w:pPr>
              <w:tabs>
                <w:tab w:val="left" w:pos="2694"/>
              </w:tabs>
              <w:jc w:val="both"/>
              <w:rPr>
                <w:snapToGrid w:val="0"/>
                <w:sz w:val="22"/>
                <w:szCs w:val="22"/>
                <w:u w:val="single"/>
              </w:rPr>
            </w:pPr>
          </w:p>
        </w:tc>
        <w:tc>
          <w:tcPr>
            <w:tcW w:w="866" w:type="dxa"/>
            <w:hideMark/>
          </w:tcPr>
          <w:p w14:paraId="20ACD290"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116B216"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EBAAC50" w14:textId="77777777" w:rsidR="00B15F7D" w:rsidRPr="00990FB6" w:rsidRDefault="00B15F7D" w:rsidP="00B15F7D">
            <w:pPr>
              <w:tabs>
                <w:tab w:val="left" w:pos="2694"/>
              </w:tabs>
              <w:jc w:val="both"/>
              <w:rPr>
                <w:snapToGrid w:val="0"/>
                <w:sz w:val="22"/>
                <w:szCs w:val="22"/>
                <w:u w:val="single"/>
              </w:rPr>
            </w:pPr>
          </w:p>
        </w:tc>
      </w:tr>
      <w:tr w:rsidR="00B15F7D" w:rsidRPr="00990FB6" w14:paraId="60263137" w14:textId="77777777" w:rsidTr="000A0C22">
        <w:trPr>
          <w:trHeight w:val="288"/>
        </w:trPr>
        <w:tc>
          <w:tcPr>
            <w:tcW w:w="1314" w:type="dxa"/>
            <w:noWrap/>
            <w:hideMark/>
          </w:tcPr>
          <w:p w14:paraId="4C7CEBF0"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F7432A5"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Golfito</w:t>
            </w:r>
          </w:p>
        </w:tc>
        <w:tc>
          <w:tcPr>
            <w:tcW w:w="866" w:type="dxa"/>
            <w:hideMark/>
          </w:tcPr>
          <w:p w14:paraId="57C7E9B0"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2B5CE79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62E7AB5" w14:textId="77777777" w:rsidR="00B15F7D" w:rsidRPr="00990FB6" w:rsidRDefault="00B15F7D" w:rsidP="00B15F7D">
            <w:pPr>
              <w:tabs>
                <w:tab w:val="left" w:pos="2694"/>
              </w:tabs>
              <w:jc w:val="both"/>
              <w:rPr>
                <w:snapToGrid w:val="0"/>
                <w:sz w:val="22"/>
                <w:szCs w:val="22"/>
                <w:u w:val="single"/>
              </w:rPr>
            </w:pPr>
          </w:p>
        </w:tc>
      </w:tr>
      <w:tr w:rsidR="00B15F7D" w:rsidRPr="00990FB6" w14:paraId="566BB3B8" w14:textId="77777777" w:rsidTr="000A0C22">
        <w:trPr>
          <w:trHeight w:val="288"/>
        </w:trPr>
        <w:tc>
          <w:tcPr>
            <w:tcW w:w="1314" w:type="dxa"/>
            <w:noWrap/>
            <w:hideMark/>
          </w:tcPr>
          <w:p w14:paraId="343B056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lastRenderedPageBreak/>
              <w:t>1</w:t>
            </w:r>
          </w:p>
        </w:tc>
        <w:tc>
          <w:tcPr>
            <w:tcW w:w="4307" w:type="dxa"/>
            <w:noWrap/>
            <w:hideMark/>
          </w:tcPr>
          <w:p w14:paraId="574B85B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07552E3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9DA0BE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D0791A7" w14:textId="77777777" w:rsidR="00B15F7D" w:rsidRPr="00990FB6" w:rsidRDefault="00B15F7D" w:rsidP="00B15F7D">
            <w:pPr>
              <w:tabs>
                <w:tab w:val="left" w:pos="2694"/>
              </w:tabs>
              <w:jc w:val="both"/>
              <w:rPr>
                <w:snapToGrid w:val="0"/>
                <w:sz w:val="22"/>
                <w:szCs w:val="22"/>
                <w:u w:val="single"/>
              </w:rPr>
            </w:pPr>
          </w:p>
        </w:tc>
      </w:tr>
      <w:tr w:rsidR="00B15F7D" w:rsidRPr="00990FB6" w14:paraId="17948BA0" w14:textId="77777777" w:rsidTr="000A0C22">
        <w:trPr>
          <w:trHeight w:val="288"/>
        </w:trPr>
        <w:tc>
          <w:tcPr>
            <w:tcW w:w="1314" w:type="dxa"/>
            <w:noWrap/>
            <w:hideMark/>
          </w:tcPr>
          <w:p w14:paraId="7CDA840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607760D" w14:textId="77777777" w:rsidR="00B15F7D" w:rsidRPr="00990FB6" w:rsidRDefault="00B15F7D" w:rsidP="00B15F7D">
            <w:pPr>
              <w:tabs>
                <w:tab w:val="left" w:pos="2694"/>
              </w:tabs>
              <w:jc w:val="both"/>
              <w:rPr>
                <w:snapToGrid w:val="0"/>
                <w:sz w:val="22"/>
                <w:szCs w:val="22"/>
                <w:u w:val="single"/>
              </w:rPr>
            </w:pPr>
          </w:p>
        </w:tc>
        <w:tc>
          <w:tcPr>
            <w:tcW w:w="866" w:type="dxa"/>
            <w:hideMark/>
          </w:tcPr>
          <w:p w14:paraId="4748C07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4D0B8239"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D8F9002" w14:textId="77777777" w:rsidR="00B15F7D" w:rsidRPr="00990FB6" w:rsidRDefault="00B15F7D" w:rsidP="00B15F7D">
            <w:pPr>
              <w:tabs>
                <w:tab w:val="left" w:pos="2694"/>
              </w:tabs>
              <w:jc w:val="both"/>
              <w:rPr>
                <w:snapToGrid w:val="0"/>
                <w:sz w:val="22"/>
                <w:szCs w:val="22"/>
                <w:u w:val="single"/>
              </w:rPr>
            </w:pPr>
          </w:p>
        </w:tc>
      </w:tr>
      <w:tr w:rsidR="00B15F7D" w:rsidRPr="00990FB6" w14:paraId="58C457CF" w14:textId="77777777" w:rsidTr="000A0C22">
        <w:trPr>
          <w:trHeight w:val="288"/>
        </w:trPr>
        <w:tc>
          <w:tcPr>
            <w:tcW w:w="1314" w:type="dxa"/>
            <w:noWrap/>
            <w:hideMark/>
          </w:tcPr>
          <w:p w14:paraId="38BD260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B67ECF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San Carlos</w:t>
            </w:r>
          </w:p>
        </w:tc>
        <w:tc>
          <w:tcPr>
            <w:tcW w:w="866" w:type="dxa"/>
            <w:hideMark/>
          </w:tcPr>
          <w:p w14:paraId="6CFBDD68"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569D8C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8ADA5F5" w14:textId="77777777" w:rsidR="00B15F7D" w:rsidRPr="00990FB6" w:rsidRDefault="00B15F7D" w:rsidP="00B15F7D">
            <w:pPr>
              <w:tabs>
                <w:tab w:val="left" w:pos="2694"/>
              </w:tabs>
              <w:jc w:val="both"/>
              <w:rPr>
                <w:snapToGrid w:val="0"/>
                <w:sz w:val="22"/>
                <w:szCs w:val="22"/>
                <w:u w:val="single"/>
              </w:rPr>
            </w:pPr>
          </w:p>
        </w:tc>
      </w:tr>
      <w:tr w:rsidR="00B15F7D" w:rsidRPr="00990FB6" w14:paraId="5D4236AE" w14:textId="77777777" w:rsidTr="000A0C22">
        <w:trPr>
          <w:trHeight w:val="288"/>
        </w:trPr>
        <w:tc>
          <w:tcPr>
            <w:tcW w:w="1314" w:type="dxa"/>
            <w:noWrap/>
            <w:hideMark/>
          </w:tcPr>
          <w:p w14:paraId="7F6975B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0BD4EAC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0240C31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988420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B5A2B76" w14:textId="77777777" w:rsidR="00B15F7D" w:rsidRPr="00990FB6" w:rsidRDefault="00B15F7D" w:rsidP="00B15F7D">
            <w:pPr>
              <w:tabs>
                <w:tab w:val="left" w:pos="2694"/>
              </w:tabs>
              <w:jc w:val="both"/>
              <w:rPr>
                <w:snapToGrid w:val="0"/>
                <w:sz w:val="22"/>
                <w:szCs w:val="22"/>
                <w:u w:val="single"/>
              </w:rPr>
            </w:pPr>
          </w:p>
        </w:tc>
      </w:tr>
      <w:tr w:rsidR="00B15F7D" w:rsidRPr="00990FB6" w14:paraId="424226B4" w14:textId="77777777" w:rsidTr="000A0C22">
        <w:trPr>
          <w:trHeight w:val="288"/>
        </w:trPr>
        <w:tc>
          <w:tcPr>
            <w:tcW w:w="1314" w:type="dxa"/>
            <w:noWrap/>
            <w:hideMark/>
          </w:tcPr>
          <w:p w14:paraId="5038A68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85A33EF" w14:textId="77777777" w:rsidR="00B15F7D" w:rsidRPr="00990FB6" w:rsidRDefault="00B15F7D" w:rsidP="00B15F7D">
            <w:pPr>
              <w:tabs>
                <w:tab w:val="left" w:pos="2694"/>
              </w:tabs>
              <w:jc w:val="both"/>
              <w:rPr>
                <w:snapToGrid w:val="0"/>
                <w:sz w:val="22"/>
                <w:szCs w:val="22"/>
                <w:u w:val="single"/>
              </w:rPr>
            </w:pPr>
          </w:p>
        </w:tc>
        <w:tc>
          <w:tcPr>
            <w:tcW w:w="866" w:type="dxa"/>
            <w:hideMark/>
          </w:tcPr>
          <w:p w14:paraId="278720F5"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6081546"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F24CFBB" w14:textId="77777777" w:rsidR="00B15F7D" w:rsidRPr="00990FB6" w:rsidRDefault="00B15F7D" w:rsidP="00B15F7D">
            <w:pPr>
              <w:tabs>
                <w:tab w:val="left" w:pos="2694"/>
              </w:tabs>
              <w:jc w:val="both"/>
              <w:rPr>
                <w:snapToGrid w:val="0"/>
                <w:sz w:val="22"/>
                <w:szCs w:val="22"/>
                <w:u w:val="single"/>
              </w:rPr>
            </w:pPr>
          </w:p>
        </w:tc>
      </w:tr>
      <w:tr w:rsidR="00B15F7D" w:rsidRPr="00990FB6" w14:paraId="085BA9A7" w14:textId="77777777" w:rsidTr="000A0C22">
        <w:trPr>
          <w:trHeight w:val="288"/>
        </w:trPr>
        <w:tc>
          <w:tcPr>
            <w:tcW w:w="1314" w:type="dxa"/>
            <w:noWrap/>
            <w:hideMark/>
          </w:tcPr>
          <w:p w14:paraId="7ED3A546"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8785F20"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Pérez Zeledón</w:t>
            </w:r>
          </w:p>
        </w:tc>
        <w:tc>
          <w:tcPr>
            <w:tcW w:w="866" w:type="dxa"/>
            <w:hideMark/>
          </w:tcPr>
          <w:p w14:paraId="5CE6094B"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FFF64B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3C71ACC" w14:textId="77777777" w:rsidR="00B15F7D" w:rsidRPr="00990FB6" w:rsidRDefault="00B15F7D" w:rsidP="00B15F7D">
            <w:pPr>
              <w:tabs>
                <w:tab w:val="left" w:pos="2694"/>
              </w:tabs>
              <w:jc w:val="both"/>
              <w:rPr>
                <w:snapToGrid w:val="0"/>
                <w:sz w:val="22"/>
                <w:szCs w:val="22"/>
                <w:u w:val="single"/>
              </w:rPr>
            </w:pPr>
          </w:p>
        </w:tc>
      </w:tr>
      <w:tr w:rsidR="00B15F7D" w:rsidRPr="00990FB6" w14:paraId="7DCC3929" w14:textId="77777777" w:rsidTr="000A0C22">
        <w:trPr>
          <w:trHeight w:val="288"/>
        </w:trPr>
        <w:tc>
          <w:tcPr>
            <w:tcW w:w="1314" w:type="dxa"/>
            <w:noWrap/>
            <w:hideMark/>
          </w:tcPr>
          <w:p w14:paraId="3F881F3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64227FF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1A94BBD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6F60F8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8BE7646" w14:textId="77777777" w:rsidR="00B15F7D" w:rsidRPr="00990FB6" w:rsidRDefault="00B15F7D" w:rsidP="00B15F7D">
            <w:pPr>
              <w:tabs>
                <w:tab w:val="left" w:pos="2694"/>
              </w:tabs>
              <w:jc w:val="both"/>
              <w:rPr>
                <w:snapToGrid w:val="0"/>
                <w:sz w:val="22"/>
                <w:szCs w:val="22"/>
                <w:u w:val="single"/>
              </w:rPr>
            </w:pPr>
          </w:p>
        </w:tc>
      </w:tr>
      <w:tr w:rsidR="00B15F7D" w:rsidRPr="00990FB6" w14:paraId="165E02C2" w14:textId="77777777" w:rsidTr="000A0C22">
        <w:trPr>
          <w:trHeight w:val="288"/>
        </w:trPr>
        <w:tc>
          <w:tcPr>
            <w:tcW w:w="1314" w:type="dxa"/>
            <w:noWrap/>
            <w:hideMark/>
          </w:tcPr>
          <w:p w14:paraId="1EB9E30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C46D383" w14:textId="77777777" w:rsidR="00B15F7D" w:rsidRPr="00990FB6" w:rsidRDefault="00B15F7D" w:rsidP="00B15F7D">
            <w:pPr>
              <w:tabs>
                <w:tab w:val="left" w:pos="2694"/>
              </w:tabs>
              <w:jc w:val="both"/>
              <w:rPr>
                <w:snapToGrid w:val="0"/>
                <w:sz w:val="22"/>
                <w:szCs w:val="22"/>
                <w:u w:val="single"/>
              </w:rPr>
            </w:pPr>
          </w:p>
        </w:tc>
        <w:tc>
          <w:tcPr>
            <w:tcW w:w="866" w:type="dxa"/>
            <w:hideMark/>
          </w:tcPr>
          <w:p w14:paraId="242D383C"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5D321F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FCC296D" w14:textId="77777777" w:rsidR="00B15F7D" w:rsidRPr="00990FB6" w:rsidRDefault="00B15F7D" w:rsidP="00B15F7D">
            <w:pPr>
              <w:tabs>
                <w:tab w:val="left" w:pos="2694"/>
              </w:tabs>
              <w:jc w:val="both"/>
              <w:rPr>
                <w:snapToGrid w:val="0"/>
                <w:sz w:val="22"/>
                <w:szCs w:val="22"/>
                <w:u w:val="single"/>
              </w:rPr>
            </w:pPr>
          </w:p>
        </w:tc>
      </w:tr>
      <w:tr w:rsidR="00B15F7D" w:rsidRPr="00990FB6" w14:paraId="32ACE2BB" w14:textId="77777777" w:rsidTr="000A0C22">
        <w:trPr>
          <w:trHeight w:val="288"/>
        </w:trPr>
        <w:tc>
          <w:tcPr>
            <w:tcW w:w="1314" w:type="dxa"/>
            <w:noWrap/>
            <w:hideMark/>
          </w:tcPr>
          <w:p w14:paraId="2F9C7CE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16FAA9E"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Hatillo</w:t>
            </w:r>
          </w:p>
        </w:tc>
        <w:tc>
          <w:tcPr>
            <w:tcW w:w="866" w:type="dxa"/>
            <w:hideMark/>
          </w:tcPr>
          <w:p w14:paraId="53F131EF"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715830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F5172C6" w14:textId="77777777" w:rsidR="00B15F7D" w:rsidRPr="00990FB6" w:rsidRDefault="00B15F7D" w:rsidP="00B15F7D">
            <w:pPr>
              <w:tabs>
                <w:tab w:val="left" w:pos="2694"/>
              </w:tabs>
              <w:jc w:val="both"/>
              <w:rPr>
                <w:snapToGrid w:val="0"/>
                <w:sz w:val="22"/>
                <w:szCs w:val="22"/>
                <w:u w:val="single"/>
              </w:rPr>
            </w:pPr>
          </w:p>
        </w:tc>
      </w:tr>
      <w:tr w:rsidR="00B15F7D" w:rsidRPr="00990FB6" w14:paraId="06C4E79D" w14:textId="77777777" w:rsidTr="000A0C22">
        <w:trPr>
          <w:trHeight w:val="288"/>
        </w:trPr>
        <w:tc>
          <w:tcPr>
            <w:tcW w:w="1314" w:type="dxa"/>
            <w:noWrap/>
            <w:hideMark/>
          </w:tcPr>
          <w:p w14:paraId="2D8300B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15C0469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0C604F2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5C9EF5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EEF20AB" w14:textId="77777777" w:rsidR="00B15F7D" w:rsidRPr="00990FB6" w:rsidRDefault="00B15F7D" w:rsidP="00B15F7D">
            <w:pPr>
              <w:tabs>
                <w:tab w:val="left" w:pos="2694"/>
              </w:tabs>
              <w:jc w:val="both"/>
              <w:rPr>
                <w:snapToGrid w:val="0"/>
                <w:sz w:val="22"/>
                <w:szCs w:val="22"/>
                <w:u w:val="single"/>
              </w:rPr>
            </w:pPr>
          </w:p>
        </w:tc>
      </w:tr>
      <w:tr w:rsidR="00B15F7D" w:rsidRPr="00990FB6" w14:paraId="68800979" w14:textId="77777777" w:rsidTr="000A0C22">
        <w:trPr>
          <w:trHeight w:val="288"/>
        </w:trPr>
        <w:tc>
          <w:tcPr>
            <w:tcW w:w="1314" w:type="dxa"/>
            <w:noWrap/>
            <w:hideMark/>
          </w:tcPr>
          <w:p w14:paraId="4AF61AF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E74967F" w14:textId="77777777" w:rsidR="00B15F7D" w:rsidRPr="00990FB6" w:rsidRDefault="00B15F7D" w:rsidP="00B15F7D">
            <w:pPr>
              <w:tabs>
                <w:tab w:val="left" w:pos="2694"/>
              </w:tabs>
              <w:jc w:val="both"/>
              <w:rPr>
                <w:snapToGrid w:val="0"/>
                <w:sz w:val="22"/>
                <w:szCs w:val="22"/>
                <w:u w:val="single"/>
              </w:rPr>
            </w:pPr>
          </w:p>
        </w:tc>
        <w:tc>
          <w:tcPr>
            <w:tcW w:w="866" w:type="dxa"/>
            <w:hideMark/>
          </w:tcPr>
          <w:p w14:paraId="39BE6526"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583B2291"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FAA049E" w14:textId="77777777" w:rsidR="00B15F7D" w:rsidRPr="00990FB6" w:rsidRDefault="00B15F7D" w:rsidP="00B15F7D">
            <w:pPr>
              <w:tabs>
                <w:tab w:val="left" w:pos="2694"/>
              </w:tabs>
              <w:jc w:val="both"/>
              <w:rPr>
                <w:snapToGrid w:val="0"/>
                <w:sz w:val="22"/>
                <w:szCs w:val="22"/>
                <w:u w:val="single"/>
              </w:rPr>
            </w:pPr>
          </w:p>
        </w:tc>
      </w:tr>
      <w:tr w:rsidR="00B15F7D" w:rsidRPr="00990FB6" w14:paraId="20F20175" w14:textId="77777777" w:rsidTr="000A0C22">
        <w:trPr>
          <w:trHeight w:val="288"/>
        </w:trPr>
        <w:tc>
          <w:tcPr>
            <w:tcW w:w="1314" w:type="dxa"/>
            <w:noWrap/>
            <w:hideMark/>
          </w:tcPr>
          <w:p w14:paraId="12F84C5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5A954FDD"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Primer Circuito San José</w:t>
            </w:r>
          </w:p>
        </w:tc>
        <w:tc>
          <w:tcPr>
            <w:tcW w:w="866" w:type="dxa"/>
            <w:hideMark/>
          </w:tcPr>
          <w:p w14:paraId="2D25BC36"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BB21ED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B54D813" w14:textId="77777777" w:rsidR="00B15F7D" w:rsidRPr="00990FB6" w:rsidRDefault="00B15F7D" w:rsidP="00B15F7D">
            <w:pPr>
              <w:tabs>
                <w:tab w:val="left" w:pos="2694"/>
              </w:tabs>
              <w:jc w:val="both"/>
              <w:rPr>
                <w:snapToGrid w:val="0"/>
                <w:sz w:val="22"/>
                <w:szCs w:val="22"/>
                <w:u w:val="single"/>
              </w:rPr>
            </w:pPr>
          </w:p>
        </w:tc>
      </w:tr>
      <w:tr w:rsidR="00B15F7D" w:rsidRPr="00990FB6" w14:paraId="5FD8A019" w14:textId="77777777" w:rsidTr="000A0C22">
        <w:trPr>
          <w:trHeight w:val="288"/>
        </w:trPr>
        <w:tc>
          <w:tcPr>
            <w:tcW w:w="1314" w:type="dxa"/>
            <w:noWrap/>
            <w:hideMark/>
          </w:tcPr>
          <w:p w14:paraId="7F2EB3F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2</w:t>
            </w:r>
          </w:p>
        </w:tc>
        <w:tc>
          <w:tcPr>
            <w:tcW w:w="4307" w:type="dxa"/>
            <w:noWrap/>
            <w:hideMark/>
          </w:tcPr>
          <w:p w14:paraId="3DBA784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35A5E1B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7D1D93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887E13D" w14:textId="77777777" w:rsidR="00B15F7D" w:rsidRPr="00990FB6" w:rsidRDefault="00B15F7D" w:rsidP="00B15F7D">
            <w:pPr>
              <w:tabs>
                <w:tab w:val="left" w:pos="2694"/>
              </w:tabs>
              <w:jc w:val="both"/>
              <w:rPr>
                <w:snapToGrid w:val="0"/>
                <w:sz w:val="22"/>
                <w:szCs w:val="22"/>
                <w:u w:val="single"/>
              </w:rPr>
            </w:pPr>
          </w:p>
        </w:tc>
      </w:tr>
      <w:tr w:rsidR="00B15F7D" w:rsidRPr="00990FB6" w14:paraId="1B1A3DB0" w14:textId="77777777" w:rsidTr="000A0C22">
        <w:trPr>
          <w:trHeight w:val="288"/>
        </w:trPr>
        <w:tc>
          <w:tcPr>
            <w:tcW w:w="1314" w:type="dxa"/>
            <w:noWrap/>
            <w:hideMark/>
          </w:tcPr>
          <w:p w14:paraId="1482CF1A"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94FE11F" w14:textId="77777777" w:rsidR="00B15F7D" w:rsidRPr="00990FB6" w:rsidRDefault="00B15F7D" w:rsidP="00B15F7D">
            <w:pPr>
              <w:tabs>
                <w:tab w:val="left" w:pos="2694"/>
              </w:tabs>
              <w:jc w:val="both"/>
              <w:rPr>
                <w:snapToGrid w:val="0"/>
                <w:sz w:val="22"/>
                <w:szCs w:val="22"/>
                <w:u w:val="single"/>
              </w:rPr>
            </w:pPr>
          </w:p>
        </w:tc>
        <w:tc>
          <w:tcPr>
            <w:tcW w:w="866" w:type="dxa"/>
            <w:hideMark/>
          </w:tcPr>
          <w:p w14:paraId="087C69D0"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7F3F44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4F02076" w14:textId="77777777" w:rsidR="00B15F7D" w:rsidRPr="00990FB6" w:rsidRDefault="00B15F7D" w:rsidP="00B15F7D">
            <w:pPr>
              <w:tabs>
                <w:tab w:val="left" w:pos="2694"/>
              </w:tabs>
              <w:jc w:val="both"/>
              <w:rPr>
                <w:snapToGrid w:val="0"/>
                <w:sz w:val="22"/>
                <w:szCs w:val="22"/>
                <w:u w:val="single"/>
              </w:rPr>
            </w:pPr>
          </w:p>
        </w:tc>
      </w:tr>
      <w:tr w:rsidR="00B15F7D" w:rsidRPr="00990FB6" w14:paraId="13321D1E" w14:textId="77777777" w:rsidTr="000A0C22">
        <w:trPr>
          <w:trHeight w:val="288"/>
        </w:trPr>
        <w:tc>
          <w:tcPr>
            <w:tcW w:w="1314" w:type="dxa"/>
            <w:noWrap/>
            <w:hideMark/>
          </w:tcPr>
          <w:p w14:paraId="58BD553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27AF55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San Ramón</w:t>
            </w:r>
          </w:p>
        </w:tc>
        <w:tc>
          <w:tcPr>
            <w:tcW w:w="866" w:type="dxa"/>
            <w:hideMark/>
          </w:tcPr>
          <w:p w14:paraId="722427E8"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01BECC9"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A57BE72" w14:textId="77777777" w:rsidR="00B15F7D" w:rsidRPr="00990FB6" w:rsidRDefault="00B15F7D" w:rsidP="00B15F7D">
            <w:pPr>
              <w:tabs>
                <w:tab w:val="left" w:pos="2694"/>
              </w:tabs>
              <w:jc w:val="both"/>
              <w:rPr>
                <w:snapToGrid w:val="0"/>
                <w:sz w:val="22"/>
                <w:szCs w:val="22"/>
                <w:u w:val="single"/>
              </w:rPr>
            </w:pPr>
          </w:p>
        </w:tc>
      </w:tr>
      <w:tr w:rsidR="00B15F7D" w:rsidRPr="00990FB6" w14:paraId="694360AB" w14:textId="77777777" w:rsidTr="000A0C22">
        <w:trPr>
          <w:trHeight w:val="288"/>
        </w:trPr>
        <w:tc>
          <w:tcPr>
            <w:tcW w:w="1314" w:type="dxa"/>
            <w:noWrap/>
            <w:hideMark/>
          </w:tcPr>
          <w:p w14:paraId="0493CB9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4F5079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3731E3A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FF6904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1099FC8" w14:textId="77777777" w:rsidR="00B15F7D" w:rsidRPr="00990FB6" w:rsidRDefault="00B15F7D" w:rsidP="00B15F7D">
            <w:pPr>
              <w:tabs>
                <w:tab w:val="left" w:pos="2694"/>
              </w:tabs>
              <w:jc w:val="both"/>
              <w:rPr>
                <w:snapToGrid w:val="0"/>
                <w:sz w:val="22"/>
                <w:szCs w:val="22"/>
                <w:u w:val="single"/>
              </w:rPr>
            </w:pPr>
          </w:p>
        </w:tc>
      </w:tr>
      <w:tr w:rsidR="00B15F7D" w:rsidRPr="00990FB6" w14:paraId="3DDA5C36" w14:textId="77777777" w:rsidTr="000A0C22">
        <w:trPr>
          <w:trHeight w:val="288"/>
        </w:trPr>
        <w:tc>
          <w:tcPr>
            <w:tcW w:w="1314" w:type="dxa"/>
            <w:noWrap/>
            <w:hideMark/>
          </w:tcPr>
          <w:p w14:paraId="58E075FC"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61B1F23" w14:textId="77777777" w:rsidR="00B15F7D" w:rsidRPr="00990FB6" w:rsidRDefault="00B15F7D" w:rsidP="00B15F7D">
            <w:pPr>
              <w:tabs>
                <w:tab w:val="left" w:pos="2694"/>
              </w:tabs>
              <w:jc w:val="both"/>
              <w:rPr>
                <w:snapToGrid w:val="0"/>
                <w:sz w:val="22"/>
                <w:szCs w:val="22"/>
                <w:u w:val="single"/>
              </w:rPr>
            </w:pPr>
          </w:p>
        </w:tc>
        <w:tc>
          <w:tcPr>
            <w:tcW w:w="866" w:type="dxa"/>
            <w:hideMark/>
          </w:tcPr>
          <w:p w14:paraId="49864C58"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402BA283"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5064D8F" w14:textId="77777777" w:rsidR="00B15F7D" w:rsidRPr="00990FB6" w:rsidRDefault="00B15F7D" w:rsidP="00B15F7D">
            <w:pPr>
              <w:tabs>
                <w:tab w:val="left" w:pos="2694"/>
              </w:tabs>
              <w:jc w:val="both"/>
              <w:rPr>
                <w:snapToGrid w:val="0"/>
                <w:sz w:val="22"/>
                <w:szCs w:val="22"/>
                <w:u w:val="single"/>
              </w:rPr>
            </w:pPr>
          </w:p>
        </w:tc>
      </w:tr>
      <w:tr w:rsidR="00B15F7D" w:rsidRPr="00990FB6" w14:paraId="14F6EE9A" w14:textId="77777777" w:rsidTr="000A0C22">
        <w:trPr>
          <w:trHeight w:val="288"/>
        </w:trPr>
        <w:tc>
          <w:tcPr>
            <w:tcW w:w="1314" w:type="dxa"/>
            <w:noWrap/>
            <w:hideMark/>
          </w:tcPr>
          <w:p w14:paraId="7D1067B8"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967F174"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Grecia</w:t>
            </w:r>
          </w:p>
        </w:tc>
        <w:tc>
          <w:tcPr>
            <w:tcW w:w="866" w:type="dxa"/>
            <w:hideMark/>
          </w:tcPr>
          <w:p w14:paraId="23A6F9D6"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7CB429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BC73988" w14:textId="77777777" w:rsidR="00B15F7D" w:rsidRPr="00990FB6" w:rsidRDefault="00B15F7D" w:rsidP="00B15F7D">
            <w:pPr>
              <w:tabs>
                <w:tab w:val="left" w:pos="2694"/>
              </w:tabs>
              <w:jc w:val="both"/>
              <w:rPr>
                <w:snapToGrid w:val="0"/>
                <w:sz w:val="22"/>
                <w:szCs w:val="22"/>
                <w:u w:val="single"/>
              </w:rPr>
            </w:pPr>
          </w:p>
        </w:tc>
      </w:tr>
      <w:tr w:rsidR="00B15F7D" w:rsidRPr="00990FB6" w14:paraId="4C162B00" w14:textId="77777777" w:rsidTr="000A0C22">
        <w:trPr>
          <w:trHeight w:val="288"/>
        </w:trPr>
        <w:tc>
          <w:tcPr>
            <w:tcW w:w="1314" w:type="dxa"/>
            <w:noWrap/>
            <w:hideMark/>
          </w:tcPr>
          <w:p w14:paraId="602C356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1B0997B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5A0F405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625490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F6EE363" w14:textId="77777777" w:rsidR="00B15F7D" w:rsidRPr="00990FB6" w:rsidRDefault="00B15F7D" w:rsidP="00B15F7D">
            <w:pPr>
              <w:tabs>
                <w:tab w:val="left" w:pos="2694"/>
              </w:tabs>
              <w:jc w:val="both"/>
              <w:rPr>
                <w:snapToGrid w:val="0"/>
                <w:sz w:val="22"/>
                <w:szCs w:val="22"/>
                <w:u w:val="single"/>
              </w:rPr>
            </w:pPr>
          </w:p>
        </w:tc>
      </w:tr>
      <w:tr w:rsidR="00B15F7D" w:rsidRPr="00990FB6" w14:paraId="57171AE2" w14:textId="77777777" w:rsidTr="000A0C22">
        <w:trPr>
          <w:trHeight w:val="288"/>
        </w:trPr>
        <w:tc>
          <w:tcPr>
            <w:tcW w:w="1314" w:type="dxa"/>
            <w:noWrap/>
            <w:hideMark/>
          </w:tcPr>
          <w:p w14:paraId="097C7745"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6F8447F" w14:textId="77777777" w:rsidR="00B15F7D" w:rsidRPr="00990FB6" w:rsidRDefault="00B15F7D" w:rsidP="00B15F7D">
            <w:pPr>
              <w:tabs>
                <w:tab w:val="left" w:pos="2694"/>
              </w:tabs>
              <w:jc w:val="both"/>
              <w:rPr>
                <w:snapToGrid w:val="0"/>
                <w:sz w:val="22"/>
                <w:szCs w:val="22"/>
                <w:u w:val="single"/>
              </w:rPr>
            </w:pPr>
          </w:p>
        </w:tc>
        <w:tc>
          <w:tcPr>
            <w:tcW w:w="866" w:type="dxa"/>
            <w:hideMark/>
          </w:tcPr>
          <w:p w14:paraId="7D6878FA"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BF5FB8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6BFCC8E" w14:textId="77777777" w:rsidR="00B15F7D" w:rsidRPr="00990FB6" w:rsidRDefault="00B15F7D" w:rsidP="00B15F7D">
            <w:pPr>
              <w:tabs>
                <w:tab w:val="left" w:pos="2694"/>
              </w:tabs>
              <w:jc w:val="both"/>
              <w:rPr>
                <w:snapToGrid w:val="0"/>
                <w:sz w:val="22"/>
                <w:szCs w:val="22"/>
                <w:u w:val="single"/>
              </w:rPr>
            </w:pPr>
          </w:p>
        </w:tc>
      </w:tr>
      <w:tr w:rsidR="00B15F7D" w:rsidRPr="00990FB6" w14:paraId="3049506E" w14:textId="77777777" w:rsidTr="000A0C22">
        <w:trPr>
          <w:trHeight w:val="288"/>
        </w:trPr>
        <w:tc>
          <w:tcPr>
            <w:tcW w:w="1314" w:type="dxa"/>
            <w:noWrap/>
            <w:hideMark/>
          </w:tcPr>
          <w:p w14:paraId="2C6F2BE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FF390DC"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Osa</w:t>
            </w:r>
          </w:p>
        </w:tc>
        <w:tc>
          <w:tcPr>
            <w:tcW w:w="866" w:type="dxa"/>
            <w:hideMark/>
          </w:tcPr>
          <w:p w14:paraId="7E092940"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0807A9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BEB6333" w14:textId="77777777" w:rsidR="00B15F7D" w:rsidRPr="00990FB6" w:rsidRDefault="00B15F7D" w:rsidP="00B15F7D">
            <w:pPr>
              <w:tabs>
                <w:tab w:val="left" w:pos="2694"/>
              </w:tabs>
              <w:jc w:val="both"/>
              <w:rPr>
                <w:snapToGrid w:val="0"/>
                <w:sz w:val="22"/>
                <w:szCs w:val="22"/>
                <w:u w:val="single"/>
              </w:rPr>
            </w:pPr>
          </w:p>
        </w:tc>
      </w:tr>
      <w:tr w:rsidR="00B15F7D" w:rsidRPr="00990FB6" w14:paraId="6D419205" w14:textId="77777777" w:rsidTr="000A0C22">
        <w:trPr>
          <w:trHeight w:val="288"/>
        </w:trPr>
        <w:tc>
          <w:tcPr>
            <w:tcW w:w="1314" w:type="dxa"/>
            <w:noWrap/>
            <w:hideMark/>
          </w:tcPr>
          <w:p w14:paraId="079F489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4B02D9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75D1827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187318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3A83CC4E" w14:textId="77777777" w:rsidR="00B15F7D" w:rsidRPr="00990FB6" w:rsidRDefault="00B15F7D" w:rsidP="00B15F7D">
            <w:pPr>
              <w:tabs>
                <w:tab w:val="left" w:pos="2694"/>
              </w:tabs>
              <w:jc w:val="both"/>
              <w:rPr>
                <w:snapToGrid w:val="0"/>
                <w:sz w:val="22"/>
                <w:szCs w:val="22"/>
                <w:u w:val="single"/>
              </w:rPr>
            </w:pPr>
          </w:p>
        </w:tc>
      </w:tr>
      <w:tr w:rsidR="00B15F7D" w:rsidRPr="00990FB6" w14:paraId="5D339483" w14:textId="77777777" w:rsidTr="000A0C22">
        <w:trPr>
          <w:trHeight w:val="288"/>
        </w:trPr>
        <w:tc>
          <w:tcPr>
            <w:tcW w:w="1314" w:type="dxa"/>
            <w:noWrap/>
            <w:hideMark/>
          </w:tcPr>
          <w:p w14:paraId="078BAC4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45CC6FC" w14:textId="77777777" w:rsidR="00B15F7D" w:rsidRPr="00990FB6" w:rsidRDefault="00B15F7D" w:rsidP="00B15F7D">
            <w:pPr>
              <w:tabs>
                <w:tab w:val="left" w:pos="2694"/>
              </w:tabs>
              <w:jc w:val="both"/>
              <w:rPr>
                <w:snapToGrid w:val="0"/>
                <w:sz w:val="22"/>
                <w:szCs w:val="22"/>
                <w:u w:val="single"/>
              </w:rPr>
            </w:pPr>
          </w:p>
        </w:tc>
        <w:tc>
          <w:tcPr>
            <w:tcW w:w="866" w:type="dxa"/>
            <w:hideMark/>
          </w:tcPr>
          <w:p w14:paraId="464A64F3"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F0F88F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206E2B3" w14:textId="77777777" w:rsidR="00B15F7D" w:rsidRPr="00990FB6" w:rsidRDefault="00B15F7D" w:rsidP="00B15F7D">
            <w:pPr>
              <w:tabs>
                <w:tab w:val="left" w:pos="2694"/>
              </w:tabs>
              <w:jc w:val="both"/>
              <w:rPr>
                <w:snapToGrid w:val="0"/>
                <w:sz w:val="22"/>
                <w:szCs w:val="22"/>
                <w:u w:val="single"/>
              </w:rPr>
            </w:pPr>
          </w:p>
        </w:tc>
      </w:tr>
      <w:tr w:rsidR="00B15F7D" w:rsidRPr="00990FB6" w14:paraId="5B7C1C73" w14:textId="77777777" w:rsidTr="000A0C22">
        <w:trPr>
          <w:trHeight w:val="288"/>
        </w:trPr>
        <w:tc>
          <w:tcPr>
            <w:tcW w:w="1314" w:type="dxa"/>
            <w:noWrap/>
            <w:hideMark/>
          </w:tcPr>
          <w:p w14:paraId="1ED55B3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A19B7A7"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La Fortuna</w:t>
            </w:r>
          </w:p>
        </w:tc>
        <w:tc>
          <w:tcPr>
            <w:tcW w:w="866" w:type="dxa"/>
            <w:hideMark/>
          </w:tcPr>
          <w:p w14:paraId="47A77DF9"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F98A07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D518586" w14:textId="77777777" w:rsidR="00B15F7D" w:rsidRPr="00990FB6" w:rsidRDefault="00B15F7D" w:rsidP="00B15F7D">
            <w:pPr>
              <w:tabs>
                <w:tab w:val="left" w:pos="2694"/>
              </w:tabs>
              <w:jc w:val="both"/>
              <w:rPr>
                <w:snapToGrid w:val="0"/>
                <w:sz w:val="22"/>
                <w:szCs w:val="22"/>
                <w:u w:val="single"/>
              </w:rPr>
            </w:pPr>
          </w:p>
        </w:tc>
      </w:tr>
      <w:tr w:rsidR="00B15F7D" w:rsidRPr="00990FB6" w14:paraId="08BB03F4" w14:textId="77777777" w:rsidTr="000A0C22">
        <w:trPr>
          <w:trHeight w:val="288"/>
        </w:trPr>
        <w:tc>
          <w:tcPr>
            <w:tcW w:w="1314" w:type="dxa"/>
            <w:noWrap/>
            <w:hideMark/>
          </w:tcPr>
          <w:p w14:paraId="435C5F8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49C9087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4056C24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B68F49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47C1EEB" w14:textId="77777777" w:rsidR="00B15F7D" w:rsidRPr="00990FB6" w:rsidRDefault="00B15F7D" w:rsidP="00B15F7D">
            <w:pPr>
              <w:tabs>
                <w:tab w:val="left" w:pos="2694"/>
              </w:tabs>
              <w:jc w:val="both"/>
              <w:rPr>
                <w:snapToGrid w:val="0"/>
                <w:sz w:val="22"/>
                <w:szCs w:val="22"/>
                <w:u w:val="single"/>
              </w:rPr>
            </w:pPr>
          </w:p>
        </w:tc>
      </w:tr>
      <w:tr w:rsidR="00B15F7D" w:rsidRPr="00990FB6" w14:paraId="7E537AB4" w14:textId="77777777" w:rsidTr="000A0C22">
        <w:trPr>
          <w:trHeight w:val="288"/>
        </w:trPr>
        <w:tc>
          <w:tcPr>
            <w:tcW w:w="1314" w:type="dxa"/>
            <w:noWrap/>
            <w:hideMark/>
          </w:tcPr>
          <w:p w14:paraId="09934E4F"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32FD5AF" w14:textId="77777777" w:rsidR="00B15F7D" w:rsidRPr="00990FB6" w:rsidRDefault="00B15F7D" w:rsidP="00B15F7D">
            <w:pPr>
              <w:tabs>
                <w:tab w:val="left" w:pos="2694"/>
              </w:tabs>
              <w:jc w:val="both"/>
              <w:rPr>
                <w:snapToGrid w:val="0"/>
                <w:sz w:val="22"/>
                <w:szCs w:val="22"/>
                <w:u w:val="single"/>
              </w:rPr>
            </w:pPr>
          </w:p>
        </w:tc>
        <w:tc>
          <w:tcPr>
            <w:tcW w:w="866" w:type="dxa"/>
            <w:hideMark/>
          </w:tcPr>
          <w:p w14:paraId="0D25822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2FDE0A9"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0A0A7D6" w14:textId="77777777" w:rsidR="00B15F7D" w:rsidRPr="00990FB6" w:rsidRDefault="00B15F7D" w:rsidP="00B15F7D">
            <w:pPr>
              <w:tabs>
                <w:tab w:val="left" w:pos="2694"/>
              </w:tabs>
              <w:jc w:val="both"/>
              <w:rPr>
                <w:snapToGrid w:val="0"/>
                <w:sz w:val="22"/>
                <w:szCs w:val="22"/>
                <w:u w:val="single"/>
              </w:rPr>
            </w:pPr>
          </w:p>
        </w:tc>
      </w:tr>
      <w:tr w:rsidR="00B15F7D" w:rsidRPr="00990FB6" w14:paraId="16D94214" w14:textId="77777777" w:rsidTr="000A0C22">
        <w:trPr>
          <w:trHeight w:val="288"/>
        </w:trPr>
        <w:tc>
          <w:tcPr>
            <w:tcW w:w="1314" w:type="dxa"/>
            <w:noWrap/>
            <w:hideMark/>
          </w:tcPr>
          <w:p w14:paraId="639753E8"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F7AE9B0"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xml:space="preserve">Fiscalía de </w:t>
            </w:r>
            <w:proofErr w:type="spellStart"/>
            <w:r w:rsidRPr="00990FB6">
              <w:rPr>
                <w:b/>
                <w:bCs/>
                <w:snapToGrid w:val="0"/>
                <w:sz w:val="22"/>
                <w:szCs w:val="22"/>
                <w:u w:val="single"/>
              </w:rPr>
              <w:t>Bribrí</w:t>
            </w:r>
            <w:proofErr w:type="spellEnd"/>
          </w:p>
        </w:tc>
        <w:tc>
          <w:tcPr>
            <w:tcW w:w="866" w:type="dxa"/>
            <w:hideMark/>
          </w:tcPr>
          <w:p w14:paraId="6963C8D2"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41C0FD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3993028" w14:textId="77777777" w:rsidR="00B15F7D" w:rsidRPr="00990FB6" w:rsidRDefault="00B15F7D" w:rsidP="00B15F7D">
            <w:pPr>
              <w:tabs>
                <w:tab w:val="left" w:pos="2694"/>
              </w:tabs>
              <w:jc w:val="both"/>
              <w:rPr>
                <w:snapToGrid w:val="0"/>
                <w:sz w:val="22"/>
                <w:szCs w:val="22"/>
                <w:u w:val="single"/>
              </w:rPr>
            </w:pPr>
          </w:p>
        </w:tc>
      </w:tr>
      <w:tr w:rsidR="00B15F7D" w:rsidRPr="00990FB6" w14:paraId="5C643C8C" w14:textId="77777777" w:rsidTr="000A0C22">
        <w:trPr>
          <w:trHeight w:val="288"/>
        </w:trPr>
        <w:tc>
          <w:tcPr>
            <w:tcW w:w="1314" w:type="dxa"/>
            <w:noWrap/>
            <w:hideMark/>
          </w:tcPr>
          <w:p w14:paraId="27C8C10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5BA2C3A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0E388C6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A6FF24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23ADC4D1" w14:textId="77777777" w:rsidR="00B15F7D" w:rsidRPr="00990FB6" w:rsidRDefault="00B15F7D" w:rsidP="00B15F7D">
            <w:pPr>
              <w:tabs>
                <w:tab w:val="left" w:pos="2694"/>
              </w:tabs>
              <w:jc w:val="both"/>
              <w:rPr>
                <w:snapToGrid w:val="0"/>
                <w:sz w:val="22"/>
                <w:szCs w:val="22"/>
                <w:u w:val="single"/>
              </w:rPr>
            </w:pPr>
          </w:p>
        </w:tc>
      </w:tr>
      <w:tr w:rsidR="00B15F7D" w:rsidRPr="00990FB6" w14:paraId="382AD9CB" w14:textId="77777777" w:rsidTr="000A0C22">
        <w:trPr>
          <w:trHeight w:val="288"/>
        </w:trPr>
        <w:tc>
          <w:tcPr>
            <w:tcW w:w="1314" w:type="dxa"/>
            <w:noWrap/>
            <w:hideMark/>
          </w:tcPr>
          <w:p w14:paraId="0C73B0A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4D4D0927" w14:textId="77777777" w:rsidR="00B15F7D" w:rsidRPr="00990FB6" w:rsidRDefault="00B15F7D" w:rsidP="00B15F7D">
            <w:pPr>
              <w:tabs>
                <w:tab w:val="left" w:pos="2694"/>
              </w:tabs>
              <w:jc w:val="both"/>
              <w:rPr>
                <w:snapToGrid w:val="0"/>
                <w:sz w:val="22"/>
                <w:szCs w:val="22"/>
                <w:u w:val="single"/>
              </w:rPr>
            </w:pPr>
          </w:p>
        </w:tc>
        <w:tc>
          <w:tcPr>
            <w:tcW w:w="866" w:type="dxa"/>
            <w:hideMark/>
          </w:tcPr>
          <w:p w14:paraId="1F64FB21"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002F24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C15B76F" w14:textId="77777777" w:rsidR="00B15F7D" w:rsidRPr="00990FB6" w:rsidRDefault="00B15F7D" w:rsidP="00B15F7D">
            <w:pPr>
              <w:tabs>
                <w:tab w:val="left" w:pos="2694"/>
              </w:tabs>
              <w:jc w:val="both"/>
              <w:rPr>
                <w:snapToGrid w:val="0"/>
                <w:sz w:val="22"/>
                <w:szCs w:val="22"/>
                <w:u w:val="single"/>
              </w:rPr>
            </w:pPr>
          </w:p>
        </w:tc>
      </w:tr>
      <w:tr w:rsidR="00B15F7D" w:rsidRPr="00990FB6" w14:paraId="6FCEF47A" w14:textId="77777777" w:rsidTr="000A0C22">
        <w:trPr>
          <w:trHeight w:val="288"/>
        </w:trPr>
        <w:tc>
          <w:tcPr>
            <w:tcW w:w="1314" w:type="dxa"/>
            <w:noWrap/>
            <w:hideMark/>
          </w:tcPr>
          <w:p w14:paraId="5EF21875"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8A12DD4"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Los Chiles</w:t>
            </w:r>
          </w:p>
        </w:tc>
        <w:tc>
          <w:tcPr>
            <w:tcW w:w="866" w:type="dxa"/>
            <w:hideMark/>
          </w:tcPr>
          <w:p w14:paraId="2A67D204"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BF0BF8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DF0F40B" w14:textId="77777777" w:rsidR="00B15F7D" w:rsidRPr="00990FB6" w:rsidRDefault="00B15F7D" w:rsidP="00B15F7D">
            <w:pPr>
              <w:tabs>
                <w:tab w:val="left" w:pos="2694"/>
              </w:tabs>
              <w:jc w:val="both"/>
              <w:rPr>
                <w:snapToGrid w:val="0"/>
                <w:sz w:val="22"/>
                <w:szCs w:val="22"/>
                <w:u w:val="single"/>
              </w:rPr>
            </w:pPr>
          </w:p>
        </w:tc>
      </w:tr>
      <w:tr w:rsidR="00B15F7D" w:rsidRPr="00990FB6" w14:paraId="3FAD0578" w14:textId="77777777" w:rsidTr="000A0C22">
        <w:trPr>
          <w:trHeight w:val="288"/>
        </w:trPr>
        <w:tc>
          <w:tcPr>
            <w:tcW w:w="1314" w:type="dxa"/>
            <w:noWrap/>
            <w:hideMark/>
          </w:tcPr>
          <w:p w14:paraId="7185EC2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9C1432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4639DE7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517ACD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84F278C" w14:textId="77777777" w:rsidR="00B15F7D" w:rsidRPr="00990FB6" w:rsidRDefault="00B15F7D" w:rsidP="00B15F7D">
            <w:pPr>
              <w:tabs>
                <w:tab w:val="left" w:pos="2694"/>
              </w:tabs>
              <w:jc w:val="both"/>
              <w:rPr>
                <w:snapToGrid w:val="0"/>
                <w:sz w:val="22"/>
                <w:szCs w:val="22"/>
                <w:u w:val="single"/>
              </w:rPr>
            </w:pPr>
          </w:p>
        </w:tc>
      </w:tr>
      <w:tr w:rsidR="00B15F7D" w:rsidRPr="00990FB6" w14:paraId="699546EA" w14:textId="77777777" w:rsidTr="000A0C22">
        <w:trPr>
          <w:trHeight w:val="288"/>
        </w:trPr>
        <w:tc>
          <w:tcPr>
            <w:tcW w:w="1314" w:type="dxa"/>
            <w:noWrap/>
            <w:hideMark/>
          </w:tcPr>
          <w:p w14:paraId="6BB79DB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E2B50FF" w14:textId="77777777" w:rsidR="00B15F7D" w:rsidRPr="00990FB6" w:rsidRDefault="00B15F7D" w:rsidP="00B15F7D">
            <w:pPr>
              <w:tabs>
                <w:tab w:val="left" w:pos="2694"/>
              </w:tabs>
              <w:jc w:val="both"/>
              <w:rPr>
                <w:snapToGrid w:val="0"/>
                <w:sz w:val="22"/>
                <w:szCs w:val="22"/>
                <w:u w:val="single"/>
              </w:rPr>
            </w:pPr>
          </w:p>
        </w:tc>
        <w:tc>
          <w:tcPr>
            <w:tcW w:w="866" w:type="dxa"/>
            <w:hideMark/>
          </w:tcPr>
          <w:p w14:paraId="5ECF31DC"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4DB89C1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E47F52B" w14:textId="77777777" w:rsidR="00B15F7D" w:rsidRPr="00990FB6" w:rsidRDefault="00B15F7D" w:rsidP="00B15F7D">
            <w:pPr>
              <w:tabs>
                <w:tab w:val="left" w:pos="2694"/>
              </w:tabs>
              <w:jc w:val="both"/>
              <w:rPr>
                <w:snapToGrid w:val="0"/>
                <w:sz w:val="22"/>
                <w:szCs w:val="22"/>
                <w:u w:val="single"/>
              </w:rPr>
            </w:pPr>
          </w:p>
        </w:tc>
      </w:tr>
      <w:tr w:rsidR="00B15F7D" w:rsidRPr="00990FB6" w14:paraId="5362A81F" w14:textId="77777777" w:rsidTr="000A0C22">
        <w:trPr>
          <w:trHeight w:val="288"/>
        </w:trPr>
        <w:tc>
          <w:tcPr>
            <w:tcW w:w="1314" w:type="dxa"/>
            <w:noWrap/>
            <w:hideMark/>
          </w:tcPr>
          <w:p w14:paraId="1ECE661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F30179C"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Fiscalía de Guatuso</w:t>
            </w:r>
          </w:p>
        </w:tc>
        <w:tc>
          <w:tcPr>
            <w:tcW w:w="866" w:type="dxa"/>
            <w:hideMark/>
          </w:tcPr>
          <w:p w14:paraId="2306BAE7"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43CF3E1"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164CEE9" w14:textId="77777777" w:rsidR="00B15F7D" w:rsidRPr="00990FB6" w:rsidRDefault="00B15F7D" w:rsidP="00B15F7D">
            <w:pPr>
              <w:tabs>
                <w:tab w:val="left" w:pos="2694"/>
              </w:tabs>
              <w:jc w:val="both"/>
              <w:rPr>
                <w:snapToGrid w:val="0"/>
                <w:sz w:val="22"/>
                <w:szCs w:val="22"/>
                <w:u w:val="single"/>
              </w:rPr>
            </w:pPr>
          </w:p>
        </w:tc>
      </w:tr>
      <w:tr w:rsidR="00B15F7D" w:rsidRPr="00990FB6" w14:paraId="01285A57" w14:textId="77777777" w:rsidTr="000A0C22">
        <w:trPr>
          <w:trHeight w:val="288"/>
        </w:trPr>
        <w:tc>
          <w:tcPr>
            <w:tcW w:w="1314" w:type="dxa"/>
            <w:noWrap/>
            <w:hideMark/>
          </w:tcPr>
          <w:p w14:paraId="0AD8812F"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EE0AC5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Fiscal</w:t>
            </w:r>
          </w:p>
        </w:tc>
        <w:tc>
          <w:tcPr>
            <w:tcW w:w="866" w:type="dxa"/>
            <w:hideMark/>
          </w:tcPr>
          <w:p w14:paraId="7C4024E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3D56F1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E139AD9" w14:textId="77777777" w:rsidR="00B15F7D" w:rsidRPr="00990FB6" w:rsidRDefault="00B15F7D" w:rsidP="00B15F7D">
            <w:pPr>
              <w:tabs>
                <w:tab w:val="left" w:pos="2694"/>
              </w:tabs>
              <w:jc w:val="both"/>
              <w:rPr>
                <w:snapToGrid w:val="0"/>
                <w:sz w:val="22"/>
                <w:szCs w:val="22"/>
                <w:u w:val="single"/>
              </w:rPr>
            </w:pPr>
          </w:p>
        </w:tc>
      </w:tr>
      <w:tr w:rsidR="00B15F7D" w:rsidRPr="00990FB6" w14:paraId="467F9B3A" w14:textId="77777777" w:rsidTr="000A0C22">
        <w:trPr>
          <w:trHeight w:val="288"/>
        </w:trPr>
        <w:tc>
          <w:tcPr>
            <w:tcW w:w="1314" w:type="dxa"/>
            <w:noWrap/>
            <w:hideMark/>
          </w:tcPr>
          <w:p w14:paraId="041E777A"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FDA3BD2"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1235A49E"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EF8F3D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FB038CC" w14:textId="77777777" w:rsidR="00B15F7D" w:rsidRPr="00990FB6" w:rsidRDefault="00B15F7D" w:rsidP="00B15F7D">
            <w:pPr>
              <w:tabs>
                <w:tab w:val="left" w:pos="2694"/>
              </w:tabs>
              <w:jc w:val="both"/>
              <w:rPr>
                <w:snapToGrid w:val="0"/>
                <w:sz w:val="22"/>
                <w:szCs w:val="22"/>
                <w:u w:val="single"/>
              </w:rPr>
            </w:pPr>
          </w:p>
        </w:tc>
      </w:tr>
      <w:tr w:rsidR="00B15F7D" w:rsidRPr="00990FB6" w14:paraId="038412CB" w14:textId="77777777" w:rsidTr="000A0C22">
        <w:trPr>
          <w:trHeight w:val="288"/>
        </w:trPr>
        <w:tc>
          <w:tcPr>
            <w:tcW w:w="1314" w:type="dxa"/>
            <w:noWrap/>
            <w:hideMark/>
          </w:tcPr>
          <w:p w14:paraId="2872C93D"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12</w:t>
            </w:r>
          </w:p>
        </w:tc>
        <w:tc>
          <w:tcPr>
            <w:tcW w:w="4307" w:type="dxa"/>
            <w:hideMark/>
          </w:tcPr>
          <w:p w14:paraId="569EFE21"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PROG. 930 DEFENSA PÚBLICA</w:t>
            </w:r>
          </w:p>
        </w:tc>
        <w:tc>
          <w:tcPr>
            <w:tcW w:w="866" w:type="dxa"/>
            <w:noWrap/>
            <w:hideMark/>
          </w:tcPr>
          <w:p w14:paraId="2C88111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 </w:t>
            </w:r>
          </w:p>
        </w:tc>
        <w:tc>
          <w:tcPr>
            <w:tcW w:w="1513" w:type="dxa"/>
            <w:noWrap/>
            <w:hideMark/>
          </w:tcPr>
          <w:p w14:paraId="7B0404F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 </w:t>
            </w:r>
          </w:p>
        </w:tc>
        <w:tc>
          <w:tcPr>
            <w:tcW w:w="1160" w:type="dxa"/>
            <w:noWrap/>
            <w:hideMark/>
          </w:tcPr>
          <w:p w14:paraId="643FED6B" w14:textId="77777777" w:rsidR="00B15F7D" w:rsidRPr="00990FB6" w:rsidRDefault="00B15F7D" w:rsidP="00B15F7D">
            <w:pPr>
              <w:tabs>
                <w:tab w:val="left" w:pos="2694"/>
              </w:tabs>
              <w:jc w:val="both"/>
              <w:rPr>
                <w:snapToGrid w:val="0"/>
                <w:sz w:val="22"/>
                <w:szCs w:val="22"/>
                <w:u w:val="single"/>
              </w:rPr>
            </w:pPr>
          </w:p>
        </w:tc>
      </w:tr>
      <w:tr w:rsidR="00B15F7D" w:rsidRPr="00990FB6" w14:paraId="260BFCDF" w14:textId="77777777" w:rsidTr="000A0C22">
        <w:trPr>
          <w:trHeight w:val="288"/>
        </w:trPr>
        <w:tc>
          <w:tcPr>
            <w:tcW w:w="1314" w:type="dxa"/>
            <w:noWrap/>
            <w:hideMark/>
          </w:tcPr>
          <w:p w14:paraId="7CD19EF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0CBF31A"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7B39D4AE"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4A105CD"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0688D92" w14:textId="77777777" w:rsidR="00B15F7D" w:rsidRPr="00990FB6" w:rsidRDefault="00B15F7D" w:rsidP="00B15F7D">
            <w:pPr>
              <w:tabs>
                <w:tab w:val="left" w:pos="2694"/>
              </w:tabs>
              <w:jc w:val="both"/>
              <w:rPr>
                <w:snapToGrid w:val="0"/>
                <w:sz w:val="22"/>
                <w:szCs w:val="22"/>
                <w:u w:val="single"/>
              </w:rPr>
            </w:pPr>
          </w:p>
        </w:tc>
      </w:tr>
      <w:tr w:rsidR="00B15F7D" w:rsidRPr="00990FB6" w14:paraId="4AC3BBC1" w14:textId="77777777" w:rsidTr="000A0C22">
        <w:trPr>
          <w:trHeight w:val="288"/>
        </w:trPr>
        <w:tc>
          <w:tcPr>
            <w:tcW w:w="1314" w:type="dxa"/>
            <w:noWrap/>
            <w:hideMark/>
          </w:tcPr>
          <w:p w14:paraId="34F0C0E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324C86B"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Quepos</w:t>
            </w:r>
          </w:p>
        </w:tc>
        <w:tc>
          <w:tcPr>
            <w:tcW w:w="866" w:type="dxa"/>
            <w:noWrap/>
            <w:hideMark/>
          </w:tcPr>
          <w:p w14:paraId="05295F55"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F3AE4A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1635514" w14:textId="77777777" w:rsidR="00B15F7D" w:rsidRPr="00990FB6" w:rsidRDefault="00B15F7D" w:rsidP="00B15F7D">
            <w:pPr>
              <w:tabs>
                <w:tab w:val="left" w:pos="2694"/>
              </w:tabs>
              <w:jc w:val="both"/>
              <w:rPr>
                <w:snapToGrid w:val="0"/>
                <w:sz w:val="22"/>
                <w:szCs w:val="22"/>
                <w:u w:val="single"/>
              </w:rPr>
            </w:pPr>
          </w:p>
        </w:tc>
      </w:tr>
      <w:tr w:rsidR="00B15F7D" w:rsidRPr="00990FB6" w14:paraId="47F5A848" w14:textId="77777777" w:rsidTr="000A0C22">
        <w:trPr>
          <w:trHeight w:val="288"/>
        </w:trPr>
        <w:tc>
          <w:tcPr>
            <w:tcW w:w="1314" w:type="dxa"/>
            <w:noWrap/>
            <w:hideMark/>
          </w:tcPr>
          <w:p w14:paraId="5206ACA2"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6519B4A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2634DA9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4B29DD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635ED3F1" w14:textId="77777777" w:rsidR="00B15F7D" w:rsidRPr="00990FB6" w:rsidRDefault="00B15F7D" w:rsidP="00B15F7D">
            <w:pPr>
              <w:tabs>
                <w:tab w:val="left" w:pos="2694"/>
              </w:tabs>
              <w:jc w:val="both"/>
              <w:rPr>
                <w:snapToGrid w:val="0"/>
                <w:sz w:val="22"/>
                <w:szCs w:val="22"/>
                <w:u w:val="single"/>
              </w:rPr>
            </w:pPr>
          </w:p>
        </w:tc>
      </w:tr>
      <w:tr w:rsidR="00B15F7D" w:rsidRPr="00990FB6" w14:paraId="3427D48D" w14:textId="77777777" w:rsidTr="000A0C22">
        <w:trPr>
          <w:trHeight w:val="288"/>
        </w:trPr>
        <w:tc>
          <w:tcPr>
            <w:tcW w:w="1314" w:type="dxa"/>
            <w:noWrap/>
            <w:hideMark/>
          </w:tcPr>
          <w:p w14:paraId="3645A2E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88856F5"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117CCE52"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C03E70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CC3873C" w14:textId="77777777" w:rsidR="00B15F7D" w:rsidRPr="00990FB6" w:rsidRDefault="00B15F7D" w:rsidP="00B15F7D">
            <w:pPr>
              <w:tabs>
                <w:tab w:val="left" w:pos="2694"/>
              </w:tabs>
              <w:jc w:val="both"/>
              <w:rPr>
                <w:snapToGrid w:val="0"/>
                <w:sz w:val="22"/>
                <w:szCs w:val="22"/>
                <w:u w:val="single"/>
              </w:rPr>
            </w:pPr>
          </w:p>
        </w:tc>
      </w:tr>
      <w:tr w:rsidR="00B15F7D" w:rsidRPr="00990FB6" w14:paraId="6E9ACD53" w14:textId="77777777" w:rsidTr="000A0C22">
        <w:trPr>
          <w:trHeight w:val="288"/>
        </w:trPr>
        <w:tc>
          <w:tcPr>
            <w:tcW w:w="1314" w:type="dxa"/>
            <w:noWrap/>
            <w:hideMark/>
          </w:tcPr>
          <w:p w14:paraId="7711F13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65F126A"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Sarapiquí</w:t>
            </w:r>
          </w:p>
        </w:tc>
        <w:tc>
          <w:tcPr>
            <w:tcW w:w="866" w:type="dxa"/>
            <w:noWrap/>
            <w:hideMark/>
          </w:tcPr>
          <w:p w14:paraId="08521ABE"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0D8A145"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1AFC164" w14:textId="77777777" w:rsidR="00B15F7D" w:rsidRPr="00990FB6" w:rsidRDefault="00B15F7D" w:rsidP="00B15F7D">
            <w:pPr>
              <w:tabs>
                <w:tab w:val="left" w:pos="2694"/>
              </w:tabs>
              <w:jc w:val="both"/>
              <w:rPr>
                <w:snapToGrid w:val="0"/>
                <w:sz w:val="22"/>
                <w:szCs w:val="22"/>
                <w:u w:val="single"/>
              </w:rPr>
            </w:pPr>
          </w:p>
        </w:tc>
      </w:tr>
      <w:tr w:rsidR="00B15F7D" w:rsidRPr="00990FB6" w14:paraId="329360AF" w14:textId="77777777" w:rsidTr="000A0C22">
        <w:trPr>
          <w:trHeight w:val="288"/>
        </w:trPr>
        <w:tc>
          <w:tcPr>
            <w:tcW w:w="1314" w:type="dxa"/>
            <w:noWrap/>
            <w:hideMark/>
          </w:tcPr>
          <w:p w14:paraId="43C3EB9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lastRenderedPageBreak/>
              <w:t>1</w:t>
            </w:r>
          </w:p>
        </w:tc>
        <w:tc>
          <w:tcPr>
            <w:tcW w:w="4307" w:type="dxa"/>
            <w:noWrap/>
            <w:hideMark/>
          </w:tcPr>
          <w:p w14:paraId="4E3255E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7C173CE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2288B25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12EFC56" w14:textId="77777777" w:rsidR="00B15F7D" w:rsidRPr="00990FB6" w:rsidRDefault="00B15F7D" w:rsidP="00B15F7D">
            <w:pPr>
              <w:tabs>
                <w:tab w:val="left" w:pos="2694"/>
              </w:tabs>
              <w:jc w:val="both"/>
              <w:rPr>
                <w:snapToGrid w:val="0"/>
                <w:sz w:val="22"/>
                <w:szCs w:val="22"/>
                <w:u w:val="single"/>
              </w:rPr>
            </w:pPr>
          </w:p>
        </w:tc>
      </w:tr>
      <w:tr w:rsidR="00B15F7D" w:rsidRPr="00990FB6" w14:paraId="7ED431C3" w14:textId="77777777" w:rsidTr="000A0C22">
        <w:trPr>
          <w:trHeight w:val="288"/>
        </w:trPr>
        <w:tc>
          <w:tcPr>
            <w:tcW w:w="1314" w:type="dxa"/>
            <w:noWrap/>
            <w:hideMark/>
          </w:tcPr>
          <w:p w14:paraId="5AF0F3B6"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8C27AA9" w14:textId="77777777" w:rsidR="00B15F7D" w:rsidRPr="00990FB6" w:rsidRDefault="00B15F7D" w:rsidP="00B15F7D">
            <w:pPr>
              <w:tabs>
                <w:tab w:val="left" w:pos="2694"/>
              </w:tabs>
              <w:jc w:val="both"/>
              <w:rPr>
                <w:snapToGrid w:val="0"/>
                <w:sz w:val="22"/>
                <w:szCs w:val="22"/>
                <w:u w:val="single"/>
              </w:rPr>
            </w:pPr>
          </w:p>
        </w:tc>
        <w:tc>
          <w:tcPr>
            <w:tcW w:w="866" w:type="dxa"/>
            <w:noWrap/>
            <w:hideMark/>
          </w:tcPr>
          <w:p w14:paraId="07E894A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009C0D7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DBE0BB6" w14:textId="77777777" w:rsidR="00B15F7D" w:rsidRPr="00990FB6" w:rsidRDefault="00B15F7D" w:rsidP="00B15F7D">
            <w:pPr>
              <w:tabs>
                <w:tab w:val="left" w:pos="2694"/>
              </w:tabs>
              <w:jc w:val="both"/>
              <w:rPr>
                <w:snapToGrid w:val="0"/>
                <w:sz w:val="22"/>
                <w:szCs w:val="22"/>
                <w:u w:val="single"/>
              </w:rPr>
            </w:pPr>
          </w:p>
        </w:tc>
      </w:tr>
      <w:tr w:rsidR="00B15F7D" w:rsidRPr="00990FB6" w14:paraId="7A779BE6" w14:textId="77777777" w:rsidTr="000A0C22">
        <w:trPr>
          <w:trHeight w:val="288"/>
        </w:trPr>
        <w:tc>
          <w:tcPr>
            <w:tcW w:w="1314" w:type="dxa"/>
            <w:noWrap/>
            <w:hideMark/>
          </w:tcPr>
          <w:p w14:paraId="2D85F9C1"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7CB3AF5"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Siquirres</w:t>
            </w:r>
          </w:p>
        </w:tc>
        <w:tc>
          <w:tcPr>
            <w:tcW w:w="866" w:type="dxa"/>
            <w:noWrap/>
            <w:hideMark/>
          </w:tcPr>
          <w:p w14:paraId="1AA17451"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3EF7FA7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A50025E" w14:textId="77777777" w:rsidR="00B15F7D" w:rsidRPr="00990FB6" w:rsidRDefault="00B15F7D" w:rsidP="00B15F7D">
            <w:pPr>
              <w:tabs>
                <w:tab w:val="left" w:pos="2694"/>
              </w:tabs>
              <w:jc w:val="both"/>
              <w:rPr>
                <w:snapToGrid w:val="0"/>
                <w:sz w:val="22"/>
                <w:szCs w:val="22"/>
                <w:u w:val="single"/>
              </w:rPr>
            </w:pPr>
          </w:p>
        </w:tc>
      </w:tr>
      <w:tr w:rsidR="00B15F7D" w:rsidRPr="00990FB6" w14:paraId="7215C3A6" w14:textId="77777777" w:rsidTr="000A0C22">
        <w:trPr>
          <w:trHeight w:val="288"/>
        </w:trPr>
        <w:tc>
          <w:tcPr>
            <w:tcW w:w="1314" w:type="dxa"/>
            <w:noWrap/>
            <w:hideMark/>
          </w:tcPr>
          <w:p w14:paraId="59A4B8E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1F560A3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42D30F2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35F98BA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16F9E39" w14:textId="77777777" w:rsidR="00B15F7D" w:rsidRPr="00990FB6" w:rsidRDefault="00B15F7D" w:rsidP="00B15F7D">
            <w:pPr>
              <w:tabs>
                <w:tab w:val="left" w:pos="2694"/>
              </w:tabs>
              <w:jc w:val="both"/>
              <w:rPr>
                <w:snapToGrid w:val="0"/>
                <w:sz w:val="22"/>
                <w:szCs w:val="22"/>
                <w:u w:val="single"/>
              </w:rPr>
            </w:pPr>
          </w:p>
        </w:tc>
      </w:tr>
      <w:tr w:rsidR="00B15F7D" w:rsidRPr="00990FB6" w14:paraId="210E3073" w14:textId="77777777" w:rsidTr="000A0C22">
        <w:trPr>
          <w:trHeight w:val="288"/>
        </w:trPr>
        <w:tc>
          <w:tcPr>
            <w:tcW w:w="1314" w:type="dxa"/>
            <w:noWrap/>
            <w:hideMark/>
          </w:tcPr>
          <w:p w14:paraId="47FFBA6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89FE301" w14:textId="77777777" w:rsidR="00B15F7D" w:rsidRPr="00990FB6" w:rsidRDefault="00B15F7D" w:rsidP="00B15F7D">
            <w:pPr>
              <w:tabs>
                <w:tab w:val="left" w:pos="2694"/>
              </w:tabs>
              <w:jc w:val="both"/>
              <w:rPr>
                <w:snapToGrid w:val="0"/>
                <w:sz w:val="22"/>
                <w:szCs w:val="22"/>
                <w:u w:val="single"/>
              </w:rPr>
            </w:pPr>
          </w:p>
        </w:tc>
        <w:tc>
          <w:tcPr>
            <w:tcW w:w="866" w:type="dxa"/>
            <w:hideMark/>
          </w:tcPr>
          <w:p w14:paraId="68D47D6B"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3ADC6CD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3547DDA1" w14:textId="77777777" w:rsidR="00B15F7D" w:rsidRPr="00990FB6" w:rsidRDefault="00B15F7D" w:rsidP="00B15F7D">
            <w:pPr>
              <w:tabs>
                <w:tab w:val="left" w:pos="2694"/>
              </w:tabs>
              <w:jc w:val="both"/>
              <w:rPr>
                <w:snapToGrid w:val="0"/>
                <w:sz w:val="22"/>
                <w:szCs w:val="22"/>
                <w:u w:val="single"/>
              </w:rPr>
            </w:pPr>
          </w:p>
        </w:tc>
      </w:tr>
      <w:tr w:rsidR="00B15F7D" w:rsidRPr="00990FB6" w14:paraId="3F22B487" w14:textId="77777777" w:rsidTr="000A0C22">
        <w:trPr>
          <w:trHeight w:val="288"/>
        </w:trPr>
        <w:tc>
          <w:tcPr>
            <w:tcW w:w="1314" w:type="dxa"/>
            <w:noWrap/>
            <w:hideMark/>
          </w:tcPr>
          <w:p w14:paraId="38655FC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4183162"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Turrialba</w:t>
            </w:r>
          </w:p>
        </w:tc>
        <w:tc>
          <w:tcPr>
            <w:tcW w:w="866" w:type="dxa"/>
            <w:hideMark/>
          </w:tcPr>
          <w:p w14:paraId="4F2B3925"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83C114A"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43701D59" w14:textId="77777777" w:rsidR="00B15F7D" w:rsidRPr="00990FB6" w:rsidRDefault="00B15F7D" w:rsidP="00B15F7D">
            <w:pPr>
              <w:tabs>
                <w:tab w:val="left" w:pos="2694"/>
              </w:tabs>
              <w:jc w:val="both"/>
              <w:rPr>
                <w:snapToGrid w:val="0"/>
                <w:sz w:val="22"/>
                <w:szCs w:val="22"/>
                <w:u w:val="single"/>
              </w:rPr>
            </w:pPr>
          </w:p>
        </w:tc>
      </w:tr>
      <w:tr w:rsidR="00B15F7D" w:rsidRPr="00990FB6" w14:paraId="018053F8" w14:textId="77777777" w:rsidTr="000A0C22">
        <w:trPr>
          <w:trHeight w:val="288"/>
        </w:trPr>
        <w:tc>
          <w:tcPr>
            <w:tcW w:w="1314" w:type="dxa"/>
            <w:noWrap/>
            <w:hideMark/>
          </w:tcPr>
          <w:p w14:paraId="317466A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5993C73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154DCCE4"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64BA06B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FA17E8A" w14:textId="77777777" w:rsidR="00B15F7D" w:rsidRPr="00990FB6" w:rsidRDefault="00B15F7D" w:rsidP="00B15F7D">
            <w:pPr>
              <w:tabs>
                <w:tab w:val="left" w:pos="2694"/>
              </w:tabs>
              <w:jc w:val="both"/>
              <w:rPr>
                <w:snapToGrid w:val="0"/>
                <w:sz w:val="22"/>
                <w:szCs w:val="22"/>
                <w:u w:val="single"/>
              </w:rPr>
            </w:pPr>
          </w:p>
        </w:tc>
      </w:tr>
      <w:tr w:rsidR="00B15F7D" w:rsidRPr="00990FB6" w14:paraId="78ACE418" w14:textId="77777777" w:rsidTr="000A0C22">
        <w:trPr>
          <w:trHeight w:val="288"/>
        </w:trPr>
        <w:tc>
          <w:tcPr>
            <w:tcW w:w="1314" w:type="dxa"/>
            <w:noWrap/>
            <w:hideMark/>
          </w:tcPr>
          <w:p w14:paraId="332210C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CEAB1A2" w14:textId="77777777" w:rsidR="00B15F7D" w:rsidRPr="00990FB6" w:rsidRDefault="00B15F7D" w:rsidP="00B15F7D">
            <w:pPr>
              <w:tabs>
                <w:tab w:val="left" w:pos="2694"/>
              </w:tabs>
              <w:jc w:val="both"/>
              <w:rPr>
                <w:snapToGrid w:val="0"/>
                <w:sz w:val="22"/>
                <w:szCs w:val="22"/>
                <w:u w:val="single"/>
              </w:rPr>
            </w:pPr>
          </w:p>
        </w:tc>
        <w:tc>
          <w:tcPr>
            <w:tcW w:w="866" w:type="dxa"/>
            <w:hideMark/>
          </w:tcPr>
          <w:p w14:paraId="12AD6530"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10FAF9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1D0F751" w14:textId="77777777" w:rsidR="00B15F7D" w:rsidRPr="00990FB6" w:rsidRDefault="00B15F7D" w:rsidP="00B15F7D">
            <w:pPr>
              <w:tabs>
                <w:tab w:val="left" w:pos="2694"/>
              </w:tabs>
              <w:jc w:val="both"/>
              <w:rPr>
                <w:snapToGrid w:val="0"/>
                <w:sz w:val="22"/>
                <w:szCs w:val="22"/>
                <w:u w:val="single"/>
              </w:rPr>
            </w:pPr>
          </w:p>
        </w:tc>
      </w:tr>
      <w:tr w:rsidR="00B15F7D" w:rsidRPr="00990FB6" w14:paraId="7EC8389C" w14:textId="77777777" w:rsidTr="000A0C22">
        <w:trPr>
          <w:trHeight w:val="288"/>
        </w:trPr>
        <w:tc>
          <w:tcPr>
            <w:tcW w:w="1314" w:type="dxa"/>
            <w:noWrap/>
            <w:hideMark/>
          </w:tcPr>
          <w:p w14:paraId="1BB76EB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671F6860"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Cañas</w:t>
            </w:r>
          </w:p>
        </w:tc>
        <w:tc>
          <w:tcPr>
            <w:tcW w:w="866" w:type="dxa"/>
            <w:hideMark/>
          </w:tcPr>
          <w:p w14:paraId="3AF41B6B"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1CCAAF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3C7B06D" w14:textId="77777777" w:rsidR="00B15F7D" w:rsidRPr="00990FB6" w:rsidRDefault="00B15F7D" w:rsidP="00B15F7D">
            <w:pPr>
              <w:tabs>
                <w:tab w:val="left" w:pos="2694"/>
              </w:tabs>
              <w:jc w:val="both"/>
              <w:rPr>
                <w:snapToGrid w:val="0"/>
                <w:sz w:val="22"/>
                <w:szCs w:val="22"/>
                <w:u w:val="single"/>
              </w:rPr>
            </w:pPr>
          </w:p>
        </w:tc>
      </w:tr>
      <w:tr w:rsidR="00B15F7D" w:rsidRPr="00990FB6" w14:paraId="565038EE" w14:textId="77777777" w:rsidTr="000A0C22">
        <w:trPr>
          <w:trHeight w:val="288"/>
        </w:trPr>
        <w:tc>
          <w:tcPr>
            <w:tcW w:w="1314" w:type="dxa"/>
            <w:noWrap/>
            <w:hideMark/>
          </w:tcPr>
          <w:p w14:paraId="6230B1E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125E73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26245CA9"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C0388E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EA7CC2B" w14:textId="77777777" w:rsidR="00B15F7D" w:rsidRPr="00990FB6" w:rsidRDefault="00B15F7D" w:rsidP="00B15F7D">
            <w:pPr>
              <w:tabs>
                <w:tab w:val="left" w:pos="2694"/>
              </w:tabs>
              <w:jc w:val="both"/>
              <w:rPr>
                <w:snapToGrid w:val="0"/>
                <w:sz w:val="22"/>
                <w:szCs w:val="22"/>
                <w:u w:val="single"/>
              </w:rPr>
            </w:pPr>
          </w:p>
        </w:tc>
      </w:tr>
      <w:tr w:rsidR="00B15F7D" w:rsidRPr="00990FB6" w14:paraId="12FB4CBF" w14:textId="77777777" w:rsidTr="000A0C22">
        <w:trPr>
          <w:trHeight w:val="288"/>
        </w:trPr>
        <w:tc>
          <w:tcPr>
            <w:tcW w:w="1314" w:type="dxa"/>
            <w:noWrap/>
            <w:hideMark/>
          </w:tcPr>
          <w:p w14:paraId="5EA4DBD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593086B" w14:textId="77777777" w:rsidR="00B15F7D" w:rsidRPr="00990FB6" w:rsidRDefault="00B15F7D" w:rsidP="00B15F7D">
            <w:pPr>
              <w:tabs>
                <w:tab w:val="left" w:pos="2694"/>
              </w:tabs>
              <w:jc w:val="both"/>
              <w:rPr>
                <w:snapToGrid w:val="0"/>
                <w:sz w:val="22"/>
                <w:szCs w:val="22"/>
                <w:u w:val="single"/>
              </w:rPr>
            </w:pPr>
          </w:p>
        </w:tc>
        <w:tc>
          <w:tcPr>
            <w:tcW w:w="866" w:type="dxa"/>
            <w:hideMark/>
          </w:tcPr>
          <w:p w14:paraId="24B6E2FD"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72ECFF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9ECF837" w14:textId="77777777" w:rsidR="00B15F7D" w:rsidRPr="00990FB6" w:rsidRDefault="00B15F7D" w:rsidP="00B15F7D">
            <w:pPr>
              <w:tabs>
                <w:tab w:val="left" w:pos="2694"/>
              </w:tabs>
              <w:jc w:val="both"/>
              <w:rPr>
                <w:snapToGrid w:val="0"/>
                <w:sz w:val="22"/>
                <w:szCs w:val="22"/>
                <w:u w:val="single"/>
              </w:rPr>
            </w:pPr>
          </w:p>
        </w:tc>
      </w:tr>
      <w:tr w:rsidR="00B15F7D" w:rsidRPr="00990FB6" w14:paraId="2AFF5248" w14:textId="77777777" w:rsidTr="000A0C22">
        <w:trPr>
          <w:trHeight w:val="288"/>
        </w:trPr>
        <w:tc>
          <w:tcPr>
            <w:tcW w:w="1314" w:type="dxa"/>
            <w:noWrap/>
            <w:hideMark/>
          </w:tcPr>
          <w:p w14:paraId="4DBBEB1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D37AC6C"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Puntarenas</w:t>
            </w:r>
          </w:p>
        </w:tc>
        <w:tc>
          <w:tcPr>
            <w:tcW w:w="866" w:type="dxa"/>
            <w:hideMark/>
          </w:tcPr>
          <w:p w14:paraId="1BDE92DD"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4B4E3C7"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6A932BAC" w14:textId="77777777" w:rsidR="00B15F7D" w:rsidRPr="00990FB6" w:rsidRDefault="00B15F7D" w:rsidP="00B15F7D">
            <w:pPr>
              <w:tabs>
                <w:tab w:val="left" w:pos="2694"/>
              </w:tabs>
              <w:jc w:val="both"/>
              <w:rPr>
                <w:snapToGrid w:val="0"/>
                <w:sz w:val="22"/>
                <w:szCs w:val="22"/>
                <w:u w:val="single"/>
              </w:rPr>
            </w:pPr>
          </w:p>
        </w:tc>
      </w:tr>
      <w:tr w:rsidR="00B15F7D" w:rsidRPr="00990FB6" w14:paraId="6FD48E6D" w14:textId="77777777" w:rsidTr="000A0C22">
        <w:trPr>
          <w:trHeight w:val="288"/>
        </w:trPr>
        <w:tc>
          <w:tcPr>
            <w:tcW w:w="1314" w:type="dxa"/>
            <w:noWrap/>
            <w:hideMark/>
          </w:tcPr>
          <w:p w14:paraId="2004641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63813261"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6E769385"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56063ED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48A4A82C" w14:textId="77777777" w:rsidR="00B15F7D" w:rsidRPr="00990FB6" w:rsidRDefault="00B15F7D" w:rsidP="00B15F7D">
            <w:pPr>
              <w:tabs>
                <w:tab w:val="left" w:pos="2694"/>
              </w:tabs>
              <w:jc w:val="both"/>
              <w:rPr>
                <w:snapToGrid w:val="0"/>
                <w:sz w:val="22"/>
                <w:szCs w:val="22"/>
                <w:u w:val="single"/>
              </w:rPr>
            </w:pPr>
          </w:p>
        </w:tc>
      </w:tr>
      <w:tr w:rsidR="00B15F7D" w:rsidRPr="00990FB6" w14:paraId="67189FB2" w14:textId="77777777" w:rsidTr="000A0C22">
        <w:trPr>
          <w:trHeight w:val="288"/>
        </w:trPr>
        <w:tc>
          <w:tcPr>
            <w:tcW w:w="1314" w:type="dxa"/>
            <w:noWrap/>
            <w:hideMark/>
          </w:tcPr>
          <w:p w14:paraId="4868E1C2"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AA9BA8C" w14:textId="77777777" w:rsidR="00B15F7D" w:rsidRPr="00990FB6" w:rsidRDefault="00B15F7D" w:rsidP="00B15F7D">
            <w:pPr>
              <w:tabs>
                <w:tab w:val="left" w:pos="2694"/>
              </w:tabs>
              <w:jc w:val="both"/>
              <w:rPr>
                <w:snapToGrid w:val="0"/>
                <w:sz w:val="22"/>
                <w:szCs w:val="22"/>
                <w:u w:val="single"/>
              </w:rPr>
            </w:pPr>
          </w:p>
        </w:tc>
        <w:tc>
          <w:tcPr>
            <w:tcW w:w="866" w:type="dxa"/>
            <w:hideMark/>
          </w:tcPr>
          <w:p w14:paraId="5C667C5A"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62BD6D52"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817E0D2" w14:textId="77777777" w:rsidR="00B15F7D" w:rsidRPr="00990FB6" w:rsidRDefault="00B15F7D" w:rsidP="00B15F7D">
            <w:pPr>
              <w:tabs>
                <w:tab w:val="left" w:pos="2694"/>
              </w:tabs>
              <w:jc w:val="both"/>
              <w:rPr>
                <w:snapToGrid w:val="0"/>
                <w:sz w:val="22"/>
                <w:szCs w:val="22"/>
                <w:u w:val="single"/>
              </w:rPr>
            </w:pPr>
          </w:p>
        </w:tc>
      </w:tr>
      <w:tr w:rsidR="00B15F7D" w:rsidRPr="00990FB6" w14:paraId="5F2B9778" w14:textId="77777777" w:rsidTr="000A0C22">
        <w:trPr>
          <w:trHeight w:val="288"/>
        </w:trPr>
        <w:tc>
          <w:tcPr>
            <w:tcW w:w="1314" w:type="dxa"/>
            <w:noWrap/>
            <w:hideMark/>
          </w:tcPr>
          <w:p w14:paraId="36B34D7A"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7B004AF"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Guápiles</w:t>
            </w:r>
          </w:p>
        </w:tc>
        <w:tc>
          <w:tcPr>
            <w:tcW w:w="866" w:type="dxa"/>
            <w:hideMark/>
          </w:tcPr>
          <w:p w14:paraId="56B06C5D"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493A0DD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332CE92" w14:textId="77777777" w:rsidR="00B15F7D" w:rsidRPr="00990FB6" w:rsidRDefault="00B15F7D" w:rsidP="00B15F7D">
            <w:pPr>
              <w:tabs>
                <w:tab w:val="left" w:pos="2694"/>
              </w:tabs>
              <w:jc w:val="both"/>
              <w:rPr>
                <w:snapToGrid w:val="0"/>
                <w:sz w:val="22"/>
                <w:szCs w:val="22"/>
                <w:u w:val="single"/>
              </w:rPr>
            </w:pPr>
          </w:p>
        </w:tc>
      </w:tr>
      <w:tr w:rsidR="00B15F7D" w:rsidRPr="00990FB6" w14:paraId="3CD20BD0" w14:textId="77777777" w:rsidTr="000A0C22">
        <w:trPr>
          <w:trHeight w:val="288"/>
        </w:trPr>
        <w:tc>
          <w:tcPr>
            <w:tcW w:w="1314" w:type="dxa"/>
            <w:noWrap/>
            <w:hideMark/>
          </w:tcPr>
          <w:p w14:paraId="265ECE0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1E12D0E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52E569D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61A25D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42B5112" w14:textId="77777777" w:rsidR="00B15F7D" w:rsidRPr="00990FB6" w:rsidRDefault="00B15F7D" w:rsidP="00B15F7D">
            <w:pPr>
              <w:tabs>
                <w:tab w:val="left" w:pos="2694"/>
              </w:tabs>
              <w:jc w:val="both"/>
              <w:rPr>
                <w:snapToGrid w:val="0"/>
                <w:sz w:val="22"/>
                <w:szCs w:val="22"/>
                <w:u w:val="single"/>
              </w:rPr>
            </w:pPr>
          </w:p>
        </w:tc>
      </w:tr>
      <w:tr w:rsidR="00B15F7D" w:rsidRPr="00990FB6" w14:paraId="20AF1BA0" w14:textId="77777777" w:rsidTr="000A0C22">
        <w:trPr>
          <w:trHeight w:val="288"/>
        </w:trPr>
        <w:tc>
          <w:tcPr>
            <w:tcW w:w="1314" w:type="dxa"/>
            <w:noWrap/>
            <w:hideMark/>
          </w:tcPr>
          <w:p w14:paraId="611BF02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7D99803" w14:textId="77777777" w:rsidR="00B15F7D" w:rsidRPr="00990FB6" w:rsidRDefault="00B15F7D" w:rsidP="00B15F7D">
            <w:pPr>
              <w:tabs>
                <w:tab w:val="left" w:pos="2694"/>
              </w:tabs>
              <w:jc w:val="both"/>
              <w:rPr>
                <w:snapToGrid w:val="0"/>
                <w:sz w:val="22"/>
                <w:szCs w:val="22"/>
                <w:u w:val="single"/>
              </w:rPr>
            </w:pPr>
          </w:p>
        </w:tc>
        <w:tc>
          <w:tcPr>
            <w:tcW w:w="866" w:type="dxa"/>
            <w:hideMark/>
          </w:tcPr>
          <w:p w14:paraId="41A95E44"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199232D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8B63229" w14:textId="77777777" w:rsidR="00B15F7D" w:rsidRPr="00990FB6" w:rsidRDefault="00B15F7D" w:rsidP="00B15F7D">
            <w:pPr>
              <w:tabs>
                <w:tab w:val="left" w:pos="2694"/>
              </w:tabs>
              <w:jc w:val="both"/>
              <w:rPr>
                <w:snapToGrid w:val="0"/>
                <w:sz w:val="22"/>
                <w:szCs w:val="22"/>
                <w:u w:val="single"/>
              </w:rPr>
            </w:pPr>
          </w:p>
        </w:tc>
      </w:tr>
      <w:tr w:rsidR="00B15F7D" w:rsidRPr="00990FB6" w14:paraId="796551BD" w14:textId="77777777" w:rsidTr="000A0C22">
        <w:trPr>
          <w:trHeight w:val="288"/>
        </w:trPr>
        <w:tc>
          <w:tcPr>
            <w:tcW w:w="1314" w:type="dxa"/>
            <w:noWrap/>
            <w:hideMark/>
          </w:tcPr>
          <w:p w14:paraId="78C37C9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E8FF19D"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Limón</w:t>
            </w:r>
          </w:p>
        </w:tc>
        <w:tc>
          <w:tcPr>
            <w:tcW w:w="866" w:type="dxa"/>
            <w:hideMark/>
          </w:tcPr>
          <w:p w14:paraId="733513EF"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564ABA6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0BDEB228" w14:textId="77777777" w:rsidR="00B15F7D" w:rsidRPr="00990FB6" w:rsidRDefault="00B15F7D" w:rsidP="00B15F7D">
            <w:pPr>
              <w:tabs>
                <w:tab w:val="left" w:pos="2694"/>
              </w:tabs>
              <w:jc w:val="both"/>
              <w:rPr>
                <w:snapToGrid w:val="0"/>
                <w:sz w:val="22"/>
                <w:szCs w:val="22"/>
                <w:u w:val="single"/>
              </w:rPr>
            </w:pPr>
          </w:p>
        </w:tc>
      </w:tr>
      <w:tr w:rsidR="00B15F7D" w:rsidRPr="00990FB6" w14:paraId="6F0AA6A6" w14:textId="77777777" w:rsidTr="000A0C22">
        <w:trPr>
          <w:trHeight w:val="288"/>
        </w:trPr>
        <w:tc>
          <w:tcPr>
            <w:tcW w:w="1314" w:type="dxa"/>
            <w:noWrap/>
            <w:hideMark/>
          </w:tcPr>
          <w:p w14:paraId="3EFDBC1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726998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0EDB8BB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78C62AC"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7FB21CDF" w14:textId="77777777" w:rsidR="00B15F7D" w:rsidRPr="00990FB6" w:rsidRDefault="00B15F7D" w:rsidP="00B15F7D">
            <w:pPr>
              <w:tabs>
                <w:tab w:val="left" w:pos="2694"/>
              </w:tabs>
              <w:jc w:val="both"/>
              <w:rPr>
                <w:snapToGrid w:val="0"/>
                <w:sz w:val="22"/>
                <w:szCs w:val="22"/>
                <w:u w:val="single"/>
              </w:rPr>
            </w:pPr>
          </w:p>
        </w:tc>
      </w:tr>
      <w:tr w:rsidR="00B15F7D" w:rsidRPr="00990FB6" w14:paraId="5C0536DC" w14:textId="77777777" w:rsidTr="000A0C22">
        <w:trPr>
          <w:trHeight w:val="288"/>
        </w:trPr>
        <w:tc>
          <w:tcPr>
            <w:tcW w:w="1314" w:type="dxa"/>
            <w:noWrap/>
            <w:hideMark/>
          </w:tcPr>
          <w:p w14:paraId="06A81017"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87DF77A" w14:textId="77777777" w:rsidR="00B15F7D" w:rsidRPr="00990FB6" w:rsidRDefault="00B15F7D" w:rsidP="00B15F7D">
            <w:pPr>
              <w:tabs>
                <w:tab w:val="left" w:pos="2694"/>
              </w:tabs>
              <w:jc w:val="both"/>
              <w:rPr>
                <w:snapToGrid w:val="0"/>
                <w:sz w:val="22"/>
                <w:szCs w:val="22"/>
                <w:u w:val="single"/>
              </w:rPr>
            </w:pPr>
          </w:p>
        </w:tc>
        <w:tc>
          <w:tcPr>
            <w:tcW w:w="866" w:type="dxa"/>
            <w:hideMark/>
          </w:tcPr>
          <w:p w14:paraId="138BFB35"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7C30EBB4"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BCF5538" w14:textId="77777777" w:rsidR="00B15F7D" w:rsidRPr="00990FB6" w:rsidRDefault="00B15F7D" w:rsidP="00B15F7D">
            <w:pPr>
              <w:tabs>
                <w:tab w:val="left" w:pos="2694"/>
              </w:tabs>
              <w:jc w:val="both"/>
              <w:rPr>
                <w:snapToGrid w:val="0"/>
                <w:sz w:val="22"/>
                <w:szCs w:val="22"/>
                <w:u w:val="single"/>
              </w:rPr>
            </w:pPr>
          </w:p>
        </w:tc>
      </w:tr>
      <w:tr w:rsidR="00B15F7D" w:rsidRPr="00990FB6" w14:paraId="2F17B78D" w14:textId="77777777" w:rsidTr="000A0C22">
        <w:trPr>
          <w:trHeight w:val="288"/>
        </w:trPr>
        <w:tc>
          <w:tcPr>
            <w:tcW w:w="1314" w:type="dxa"/>
            <w:noWrap/>
            <w:hideMark/>
          </w:tcPr>
          <w:p w14:paraId="4F1676F4"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BDE5119"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Heredia</w:t>
            </w:r>
          </w:p>
        </w:tc>
        <w:tc>
          <w:tcPr>
            <w:tcW w:w="866" w:type="dxa"/>
            <w:hideMark/>
          </w:tcPr>
          <w:p w14:paraId="0AD9F97D"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744D5D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6CDC552" w14:textId="77777777" w:rsidR="00B15F7D" w:rsidRPr="00990FB6" w:rsidRDefault="00B15F7D" w:rsidP="00B15F7D">
            <w:pPr>
              <w:tabs>
                <w:tab w:val="left" w:pos="2694"/>
              </w:tabs>
              <w:jc w:val="both"/>
              <w:rPr>
                <w:snapToGrid w:val="0"/>
                <w:sz w:val="22"/>
                <w:szCs w:val="22"/>
                <w:u w:val="single"/>
              </w:rPr>
            </w:pPr>
          </w:p>
        </w:tc>
      </w:tr>
      <w:tr w:rsidR="00B15F7D" w:rsidRPr="00990FB6" w14:paraId="6BB4C1FD" w14:textId="77777777" w:rsidTr="000A0C22">
        <w:trPr>
          <w:trHeight w:val="288"/>
        </w:trPr>
        <w:tc>
          <w:tcPr>
            <w:tcW w:w="1314" w:type="dxa"/>
            <w:noWrap/>
            <w:hideMark/>
          </w:tcPr>
          <w:p w14:paraId="3BE9711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05A55E0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3414C2A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B7C5C8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CF69B69" w14:textId="77777777" w:rsidR="00B15F7D" w:rsidRPr="00990FB6" w:rsidRDefault="00B15F7D" w:rsidP="00B15F7D">
            <w:pPr>
              <w:tabs>
                <w:tab w:val="left" w:pos="2694"/>
              </w:tabs>
              <w:jc w:val="both"/>
              <w:rPr>
                <w:snapToGrid w:val="0"/>
                <w:sz w:val="22"/>
                <w:szCs w:val="22"/>
                <w:u w:val="single"/>
              </w:rPr>
            </w:pPr>
          </w:p>
        </w:tc>
      </w:tr>
      <w:tr w:rsidR="00B15F7D" w:rsidRPr="00990FB6" w14:paraId="713C7417" w14:textId="77777777" w:rsidTr="000A0C22">
        <w:trPr>
          <w:trHeight w:val="288"/>
        </w:trPr>
        <w:tc>
          <w:tcPr>
            <w:tcW w:w="1314" w:type="dxa"/>
            <w:noWrap/>
            <w:hideMark/>
          </w:tcPr>
          <w:p w14:paraId="1083059E"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0D7B37DF" w14:textId="77777777" w:rsidR="00B15F7D" w:rsidRPr="00990FB6" w:rsidRDefault="00B15F7D" w:rsidP="00B15F7D">
            <w:pPr>
              <w:tabs>
                <w:tab w:val="left" w:pos="2694"/>
              </w:tabs>
              <w:jc w:val="both"/>
              <w:rPr>
                <w:snapToGrid w:val="0"/>
                <w:sz w:val="22"/>
                <w:szCs w:val="22"/>
                <w:u w:val="single"/>
              </w:rPr>
            </w:pPr>
          </w:p>
        </w:tc>
        <w:tc>
          <w:tcPr>
            <w:tcW w:w="866" w:type="dxa"/>
            <w:hideMark/>
          </w:tcPr>
          <w:p w14:paraId="4B1B25B3"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6B822D00"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7C054531" w14:textId="77777777" w:rsidR="00B15F7D" w:rsidRPr="00990FB6" w:rsidRDefault="00B15F7D" w:rsidP="00B15F7D">
            <w:pPr>
              <w:tabs>
                <w:tab w:val="left" w:pos="2694"/>
              </w:tabs>
              <w:jc w:val="both"/>
              <w:rPr>
                <w:snapToGrid w:val="0"/>
                <w:sz w:val="22"/>
                <w:szCs w:val="22"/>
                <w:u w:val="single"/>
              </w:rPr>
            </w:pPr>
          </w:p>
        </w:tc>
      </w:tr>
      <w:tr w:rsidR="00B15F7D" w:rsidRPr="00990FB6" w14:paraId="7D221E42" w14:textId="77777777" w:rsidTr="000A0C22">
        <w:trPr>
          <w:trHeight w:val="288"/>
        </w:trPr>
        <w:tc>
          <w:tcPr>
            <w:tcW w:w="1314" w:type="dxa"/>
            <w:noWrap/>
            <w:hideMark/>
          </w:tcPr>
          <w:p w14:paraId="373E89F8"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753FD36B"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Alajuela</w:t>
            </w:r>
          </w:p>
        </w:tc>
        <w:tc>
          <w:tcPr>
            <w:tcW w:w="866" w:type="dxa"/>
            <w:hideMark/>
          </w:tcPr>
          <w:p w14:paraId="2C9EB864"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6014AC5E"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4257C66" w14:textId="77777777" w:rsidR="00B15F7D" w:rsidRPr="00990FB6" w:rsidRDefault="00B15F7D" w:rsidP="00B15F7D">
            <w:pPr>
              <w:tabs>
                <w:tab w:val="left" w:pos="2694"/>
              </w:tabs>
              <w:jc w:val="both"/>
              <w:rPr>
                <w:snapToGrid w:val="0"/>
                <w:sz w:val="22"/>
                <w:szCs w:val="22"/>
                <w:u w:val="single"/>
              </w:rPr>
            </w:pPr>
          </w:p>
        </w:tc>
      </w:tr>
      <w:tr w:rsidR="00B15F7D" w:rsidRPr="00990FB6" w14:paraId="473E2152" w14:textId="77777777" w:rsidTr="000A0C22">
        <w:trPr>
          <w:trHeight w:val="288"/>
        </w:trPr>
        <w:tc>
          <w:tcPr>
            <w:tcW w:w="1314" w:type="dxa"/>
            <w:noWrap/>
            <w:hideMark/>
          </w:tcPr>
          <w:p w14:paraId="20EFB59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27159BF3"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030C811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11BFF6B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0C6985C9" w14:textId="77777777" w:rsidR="00B15F7D" w:rsidRPr="00990FB6" w:rsidRDefault="00B15F7D" w:rsidP="00B15F7D">
            <w:pPr>
              <w:tabs>
                <w:tab w:val="left" w:pos="2694"/>
              </w:tabs>
              <w:jc w:val="both"/>
              <w:rPr>
                <w:snapToGrid w:val="0"/>
                <w:sz w:val="22"/>
                <w:szCs w:val="22"/>
                <w:u w:val="single"/>
              </w:rPr>
            </w:pPr>
          </w:p>
        </w:tc>
      </w:tr>
      <w:tr w:rsidR="00B15F7D" w:rsidRPr="00990FB6" w14:paraId="515CEB2B" w14:textId="77777777" w:rsidTr="000A0C22">
        <w:trPr>
          <w:trHeight w:val="288"/>
        </w:trPr>
        <w:tc>
          <w:tcPr>
            <w:tcW w:w="1314" w:type="dxa"/>
            <w:noWrap/>
            <w:hideMark/>
          </w:tcPr>
          <w:p w14:paraId="3591348F"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E9A2FC3" w14:textId="77777777" w:rsidR="00B15F7D" w:rsidRPr="00990FB6" w:rsidRDefault="00B15F7D" w:rsidP="00B15F7D">
            <w:pPr>
              <w:tabs>
                <w:tab w:val="left" w:pos="2694"/>
              </w:tabs>
              <w:jc w:val="both"/>
              <w:rPr>
                <w:snapToGrid w:val="0"/>
                <w:sz w:val="22"/>
                <w:szCs w:val="22"/>
                <w:u w:val="single"/>
              </w:rPr>
            </w:pPr>
          </w:p>
        </w:tc>
        <w:tc>
          <w:tcPr>
            <w:tcW w:w="866" w:type="dxa"/>
            <w:hideMark/>
          </w:tcPr>
          <w:p w14:paraId="1C270F34"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217EFCAF"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1FB0814B" w14:textId="77777777" w:rsidR="00B15F7D" w:rsidRPr="00990FB6" w:rsidRDefault="00B15F7D" w:rsidP="00B15F7D">
            <w:pPr>
              <w:tabs>
                <w:tab w:val="left" w:pos="2694"/>
              </w:tabs>
              <w:jc w:val="both"/>
              <w:rPr>
                <w:snapToGrid w:val="0"/>
                <w:sz w:val="22"/>
                <w:szCs w:val="22"/>
                <w:u w:val="single"/>
              </w:rPr>
            </w:pPr>
          </w:p>
        </w:tc>
      </w:tr>
      <w:tr w:rsidR="00B15F7D" w:rsidRPr="00990FB6" w14:paraId="4B9A0C7E" w14:textId="77777777" w:rsidTr="000A0C22">
        <w:trPr>
          <w:trHeight w:val="288"/>
        </w:trPr>
        <w:tc>
          <w:tcPr>
            <w:tcW w:w="1314" w:type="dxa"/>
            <w:noWrap/>
            <w:hideMark/>
          </w:tcPr>
          <w:p w14:paraId="74B6B10D"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1FB33729"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Cartago</w:t>
            </w:r>
          </w:p>
        </w:tc>
        <w:tc>
          <w:tcPr>
            <w:tcW w:w="866" w:type="dxa"/>
            <w:hideMark/>
          </w:tcPr>
          <w:p w14:paraId="3957E80D"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7C6E117C"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5A1CF4A" w14:textId="77777777" w:rsidR="00B15F7D" w:rsidRPr="00990FB6" w:rsidRDefault="00B15F7D" w:rsidP="00B15F7D">
            <w:pPr>
              <w:tabs>
                <w:tab w:val="left" w:pos="2694"/>
              </w:tabs>
              <w:jc w:val="both"/>
              <w:rPr>
                <w:snapToGrid w:val="0"/>
                <w:sz w:val="22"/>
                <w:szCs w:val="22"/>
                <w:u w:val="single"/>
              </w:rPr>
            </w:pPr>
          </w:p>
        </w:tc>
      </w:tr>
      <w:tr w:rsidR="00B15F7D" w:rsidRPr="00990FB6" w14:paraId="3E2F75A3" w14:textId="77777777" w:rsidTr="000A0C22">
        <w:trPr>
          <w:trHeight w:val="288"/>
        </w:trPr>
        <w:tc>
          <w:tcPr>
            <w:tcW w:w="1314" w:type="dxa"/>
            <w:noWrap/>
            <w:hideMark/>
          </w:tcPr>
          <w:p w14:paraId="6FDE29F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38FCF406"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5B2A576E"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0268FB38"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107A482C" w14:textId="77777777" w:rsidR="00B15F7D" w:rsidRPr="00990FB6" w:rsidRDefault="00B15F7D" w:rsidP="00B15F7D">
            <w:pPr>
              <w:tabs>
                <w:tab w:val="left" w:pos="2694"/>
              </w:tabs>
              <w:jc w:val="both"/>
              <w:rPr>
                <w:snapToGrid w:val="0"/>
                <w:sz w:val="22"/>
                <w:szCs w:val="22"/>
                <w:u w:val="single"/>
              </w:rPr>
            </w:pPr>
          </w:p>
        </w:tc>
      </w:tr>
      <w:tr w:rsidR="00B15F7D" w:rsidRPr="00990FB6" w14:paraId="14920F79" w14:textId="77777777" w:rsidTr="000A0C22">
        <w:trPr>
          <w:trHeight w:val="288"/>
        </w:trPr>
        <w:tc>
          <w:tcPr>
            <w:tcW w:w="1314" w:type="dxa"/>
            <w:noWrap/>
            <w:hideMark/>
          </w:tcPr>
          <w:p w14:paraId="3DC0BACB"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25CAC9A6" w14:textId="77777777" w:rsidR="00B15F7D" w:rsidRPr="00990FB6" w:rsidRDefault="00B15F7D" w:rsidP="00B15F7D">
            <w:pPr>
              <w:tabs>
                <w:tab w:val="left" w:pos="2694"/>
              </w:tabs>
              <w:jc w:val="both"/>
              <w:rPr>
                <w:snapToGrid w:val="0"/>
                <w:sz w:val="22"/>
                <w:szCs w:val="22"/>
                <w:u w:val="single"/>
              </w:rPr>
            </w:pPr>
          </w:p>
        </w:tc>
        <w:tc>
          <w:tcPr>
            <w:tcW w:w="866" w:type="dxa"/>
            <w:hideMark/>
          </w:tcPr>
          <w:p w14:paraId="6FA6BF37" w14:textId="77777777" w:rsidR="00B15F7D" w:rsidRPr="00990FB6" w:rsidRDefault="00B15F7D" w:rsidP="00B15F7D">
            <w:pPr>
              <w:tabs>
                <w:tab w:val="left" w:pos="2694"/>
              </w:tabs>
              <w:jc w:val="both"/>
              <w:rPr>
                <w:snapToGrid w:val="0"/>
                <w:sz w:val="22"/>
                <w:szCs w:val="22"/>
                <w:u w:val="single"/>
              </w:rPr>
            </w:pPr>
          </w:p>
        </w:tc>
        <w:tc>
          <w:tcPr>
            <w:tcW w:w="1513" w:type="dxa"/>
            <w:noWrap/>
            <w:hideMark/>
          </w:tcPr>
          <w:p w14:paraId="6B029FFB"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5EC05BE3" w14:textId="77777777" w:rsidR="00B15F7D" w:rsidRPr="00990FB6" w:rsidRDefault="00B15F7D" w:rsidP="00B15F7D">
            <w:pPr>
              <w:tabs>
                <w:tab w:val="left" w:pos="2694"/>
              </w:tabs>
              <w:jc w:val="both"/>
              <w:rPr>
                <w:snapToGrid w:val="0"/>
                <w:sz w:val="22"/>
                <w:szCs w:val="22"/>
                <w:u w:val="single"/>
              </w:rPr>
            </w:pPr>
          </w:p>
        </w:tc>
      </w:tr>
      <w:tr w:rsidR="00B15F7D" w:rsidRPr="00990FB6" w14:paraId="6D5EDB4B" w14:textId="77777777" w:rsidTr="000A0C22">
        <w:trPr>
          <w:trHeight w:val="288"/>
        </w:trPr>
        <w:tc>
          <w:tcPr>
            <w:tcW w:w="1314" w:type="dxa"/>
            <w:noWrap/>
            <w:hideMark/>
          </w:tcPr>
          <w:p w14:paraId="42686009" w14:textId="77777777" w:rsidR="00B15F7D" w:rsidRPr="00990FB6" w:rsidRDefault="00B15F7D" w:rsidP="00B15F7D">
            <w:pPr>
              <w:tabs>
                <w:tab w:val="left" w:pos="2694"/>
              </w:tabs>
              <w:jc w:val="both"/>
              <w:rPr>
                <w:snapToGrid w:val="0"/>
                <w:sz w:val="22"/>
                <w:szCs w:val="22"/>
                <w:u w:val="single"/>
              </w:rPr>
            </w:pPr>
          </w:p>
        </w:tc>
        <w:tc>
          <w:tcPr>
            <w:tcW w:w="4307" w:type="dxa"/>
            <w:noWrap/>
            <w:hideMark/>
          </w:tcPr>
          <w:p w14:paraId="39391342"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Defensa Pública de Golfito</w:t>
            </w:r>
          </w:p>
        </w:tc>
        <w:tc>
          <w:tcPr>
            <w:tcW w:w="866" w:type="dxa"/>
            <w:hideMark/>
          </w:tcPr>
          <w:p w14:paraId="5DA4AA95" w14:textId="77777777" w:rsidR="00B15F7D" w:rsidRPr="00990FB6" w:rsidRDefault="00B15F7D" w:rsidP="00B15F7D">
            <w:pPr>
              <w:tabs>
                <w:tab w:val="left" w:pos="2694"/>
              </w:tabs>
              <w:jc w:val="both"/>
              <w:rPr>
                <w:b/>
                <w:bCs/>
                <w:snapToGrid w:val="0"/>
                <w:sz w:val="22"/>
                <w:szCs w:val="22"/>
                <w:u w:val="single"/>
              </w:rPr>
            </w:pPr>
          </w:p>
        </w:tc>
        <w:tc>
          <w:tcPr>
            <w:tcW w:w="1513" w:type="dxa"/>
            <w:noWrap/>
            <w:hideMark/>
          </w:tcPr>
          <w:p w14:paraId="11310DA5" w14:textId="77777777" w:rsidR="00B15F7D" w:rsidRPr="00990FB6" w:rsidRDefault="00B15F7D" w:rsidP="00B15F7D">
            <w:pPr>
              <w:tabs>
                <w:tab w:val="left" w:pos="2694"/>
              </w:tabs>
              <w:jc w:val="both"/>
              <w:rPr>
                <w:snapToGrid w:val="0"/>
                <w:sz w:val="22"/>
                <w:szCs w:val="22"/>
                <w:u w:val="single"/>
              </w:rPr>
            </w:pPr>
          </w:p>
        </w:tc>
        <w:tc>
          <w:tcPr>
            <w:tcW w:w="1160" w:type="dxa"/>
            <w:noWrap/>
            <w:hideMark/>
          </w:tcPr>
          <w:p w14:paraId="21E51B8E" w14:textId="77777777" w:rsidR="00B15F7D" w:rsidRPr="00990FB6" w:rsidRDefault="00B15F7D" w:rsidP="00B15F7D">
            <w:pPr>
              <w:tabs>
                <w:tab w:val="left" w:pos="2694"/>
              </w:tabs>
              <w:jc w:val="both"/>
              <w:rPr>
                <w:snapToGrid w:val="0"/>
                <w:sz w:val="22"/>
                <w:szCs w:val="22"/>
                <w:u w:val="single"/>
              </w:rPr>
            </w:pPr>
          </w:p>
        </w:tc>
      </w:tr>
      <w:tr w:rsidR="00B15F7D" w:rsidRPr="00990FB6" w14:paraId="3082B78A" w14:textId="77777777" w:rsidTr="000A0C22">
        <w:trPr>
          <w:trHeight w:val="288"/>
        </w:trPr>
        <w:tc>
          <w:tcPr>
            <w:tcW w:w="1314" w:type="dxa"/>
            <w:noWrap/>
            <w:hideMark/>
          </w:tcPr>
          <w:p w14:paraId="6B0FBBBD"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1</w:t>
            </w:r>
          </w:p>
        </w:tc>
        <w:tc>
          <w:tcPr>
            <w:tcW w:w="4307" w:type="dxa"/>
            <w:noWrap/>
            <w:hideMark/>
          </w:tcPr>
          <w:p w14:paraId="55A2264A"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Defensor Público</w:t>
            </w:r>
          </w:p>
        </w:tc>
        <w:tc>
          <w:tcPr>
            <w:tcW w:w="866" w:type="dxa"/>
            <w:hideMark/>
          </w:tcPr>
          <w:p w14:paraId="48A3BCA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3 Meses</w:t>
            </w:r>
          </w:p>
        </w:tc>
        <w:tc>
          <w:tcPr>
            <w:tcW w:w="1513" w:type="dxa"/>
            <w:noWrap/>
            <w:hideMark/>
          </w:tcPr>
          <w:p w14:paraId="4C881480"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Ordinaria</w:t>
            </w:r>
          </w:p>
        </w:tc>
        <w:tc>
          <w:tcPr>
            <w:tcW w:w="1160" w:type="dxa"/>
            <w:noWrap/>
            <w:hideMark/>
          </w:tcPr>
          <w:p w14:paraId="1B874C31" w14:textId="77777777" w:rsidR="00B15F7D" w:rsidRPr="00990FB6" w:rsidRDefault="00B15F7D" w:rsidP="00B15F7D">
            <w:pPr>
              <w:tabs>
                <w:tab w:val="left" w:pos="2694"/>
              </w:tabs>
              <w:jc w:val="both"/>
              <w:rPr>
                <w:snapToGrid w:val="0"/>
                <w:sz w:val="22"/>
                <w:szCs w:val="22"/>
                <w:u w:val="single"/>
              </w:rPr>
            </w:pPr>
          </w:p>
        </w:tc>
      </w:tr>
      <w:tr w:rsidR="00B15F7D" w:rsidRPr="00990FB6" w14:paraId="60F8EFB2" w14:textId="77777777" w:rsidTr="000A0C22">
        <w:trPr>
          <w:trHeight w:val="300"/>
        </w:trPr>
        <w:tc>
          <w:tcPr>
            <w:tcW w:w="1314" w:type="dxa"/>
            <w:noWrap/>
            <w:hideMark/>
          </w:tcPr>
          <w:p w14:paraId="21C7E467"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t> </w:t>
            </w:r>
          </w:p>
        </w:tc>
        <w:tc>
          <w:tcPr>
            <w:tcW w:w="4307" w:type="dxa"/>
            <w:noWrap/>
            <w:hideMark/>
          </w:tcPr>
          <w:p w14:paraId="0C9210E6"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w:t>
            </w:r>
          </w:p>
        </w:tc>
        <w:tc>
          <w:tcPr>
            <w:tcW w:w="866" w:type="dxa"/>
            <w:noWrap/>
            <w:hideMark/>
          </w:tcPr>
          <w:p w14:paraId="5A9EF3FC"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w:t>
            </w:r>
          </w:p>
        </w:tc>
        <w:tc>
          <w:tcPr>
            <w:tcW w:w="1513" w:type="dxa"/>
            <w:noWrap/>
            <w:hideMark/>
          </w:tcPr>
          <w:p w14:paraId="1F02FFBD" w14:textId="77777777" w:rsidR="00B15F7D" w:rsidRPr="00990FB6" w:rsidRDefault="00B15F7D" w:rsidP="00B15F7D">
            <w:pPr>
              <w:tabs>
                <w:tab w:val="left" w:pos="2694"/>
              </w:tabs>
              <w:jc w:val="both"/>
              <w:rPr>
                <w:b/>
                <w:bCs/>
                <w:snapToGrid w:val="0"/>
                <w:sz w:val="22"/>
                <w:szCs w:val="22"/>
                <w:u w:val="single"/>
              </w:rPr>
            </w:pPr>
            <w:r w:rsidRPr="00990FB6">
              <w:rPr>
                <w:b/>
                <w:bCs/>
                <w:snapToGrid w:val="0"/>
                <w:sz w:val="22"/>
                <w:szCs w:val="22"/>
                <w:u w:val="single"/>
              </w:rPr>
              <w:t> </w:t>
            </w:r>
          </w:p>
        </w:tc>
        <w:tc>
          <w:tcPr>
            <w:tcW w:w="1160" w:type="dxa"/>
            <w:noWrap/>
            <w:hideMark/>
          </w:tcPr>
          <w:p w14:paraId="5119AC6F" w14:textId="77777777" w:rsidR="00B15F7D" w:rsidRPr="00990FB6" w:rsidRDefault="00B15F7D" w:rsidP="00B15F7D">
            <w:pPr>
              <w:tabs>
                <w:tab w:val="left" w:pos="2694"/>
              </w:tabs>
              <w:jc w:val="both"/>
              <w:rPr>
                <w:b/>
                <w:bCs/>
                <w:snapToGrid w:val="0"/>
                <w:sz w:val="22"/>
                <w:szCs w:val="22"/>
                <w:u w:val="single"/>
              </w:rPr>
            </w:pPr>
          </w:p>
        </w:tc>
      </w:tr>
    </w:tbl>
    <w:p w14:paraId="4910638B" w14:textId="77777777" w:rsidR="00B15F7D" w:rsidRPr="00990FB6" w:rsidRDefault="00B15F7D" w:rsidP="00B15F7D">
      <w:pPr>
        <w:tabs>
          <w:tab w:val="left" w:pos="2694"/>
        </w:tabs>
        <w:jc w:val="both"/>
        <w:rPr>
          <w:snapToGrid w:val="0"/>
          <w:sz w:val="22"/>
          <w:szCs w:val="22"/>
          <w:u w:val="single"/>
        </w:rPr>
      </w:pPr>
      <w:r w:rsidRPr="00990FB6">
        <w:rPr>
          <w:snapToGrid w:val="0"/>
          <w:sz w:val="22"/>
          <w:szCs w:val="22"/>
          <w:u w:val="single"/>
        </w:rPr>
        <w:fldChar w:fldCharType="end"/>
      </w:r>
    </w:p>
    <w:p w14:paraId="14C7AA35" w14:textId="77777777" w:rsidR="00B15F7D" w:rsidRPr="00990FB6" w:rsidRDefault="00B15F7D" w:rsidP="00B15F7D">
      <w:pPr>
        <w:jc w:val="both"/>
        <w:rPr>
          <w:snapToGrid w:val="0"/>
          <w:sz w:val="22"/>
          <w:szCs w:val="22"/>
          <w:u w:val="single"/>
        </w:rPr>
      </w:pPr>
    </w:p>
    <w:p w14:paraId="4AD97D82" w14:textId="77777777" w:rsidR="00B15F7D" w:rsidRPr="00990FB6" w:rsidRDefault="00B15F7D" w:rsidP="00B15F7D">
      <w:pPr>
        <w:jc w:val="both"/>
        <w:rPr>
          <w:snapToGrid w:val="0"/>
          <w:sz w:val="22"/>
          <w:szCs w:val="22"/>
          <w:u w:val="single"/>
        </w:rPr>
      </w:pPr>
      <w:r w:rsidRPr="00990FB6">
        <w:rPr>
          <w:noProof/>
          <w:sz w:val="22"/>
          <w:szCs w:val="22"/>
          <w:lang w:eastAsia="es-CR"/>
        </w:rPr>
        <w:lastRenderedPageBreak/>
        <w:drawing>
          <wp:inline distT="0" distB="0" distL="0" distR="0" wp14:anchorId="06B6D469" wp14:editId="2EFF6622">
            <wp:extent cx="5612130" cy="3596640"/>
            <wp:effectExtent l="0" t="0" r="7620" b="3810"/>
            <wp:docPr id="1504765775" name="Imagen 150476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2130" cy="3596640"/>
                    </a:xfrm>
                    <a:prstGeom prst="rect">
                      <a:avLst/>
                    </a:prstGeom>
                    <a:noFill/>
                    <a:ln>
                      <a:noFill/>
                    </a:ln>
                  </pic:spPr>
                </pic:pic>
              </a:graphicData>
            </a:graphic>
          </wp:inline>
        </w:drawing>
      </w:r>
    </w:p>
    <w:p w14:paraId="14B0BE4B" w14:textId="77777777" w:rsidR="00B15F7D" w:rsidRPr="00990FB6" w:rsidRDefault="00B15F7D" w:rsidP="00B15F7D">
      <w:pPr>
        <w:jc w:val="both"/>
        <w:rPr>
          <w:rFonts w:eastAsia="Calibri"/>
          <w:b/>
          <w:bCs/>
          <w:i/>
          <w:iCs/>
          <w:sz w:val="22"/>
          <w:szCs w:val="22"/>
          <w:u w:val="single"/>
        </w:rPr>
      </w:pPr>
    </w:p>
    <w:p w14:paraId="5B810375" w14:textId="77777777" w:rsidR="00B15F7D" w:rsidRPr="00990FB6" w:rsidRDefault="00B15F7D" w:rsidP="00B15F7D">
      <w:pPr>
        <w:ind w:left="851" w:right="851" w:firstLine="709"/>
        <w:jc w:val="both"/>
        <w:rPr>
          <w:rFonts w:eastAsia="Calibri"/>
          <w:b/>
          <w:bCs/>
          <w:i/>
          <w:iCs/>
          <w:sz w:val="22"/>
          <w:szCs w:val="22"/>
          <w:u w:val="single"/>
        </w:rPr>
      </w:pPr>
      <w:r w:rsidRPr="00990FB6">
        <w:rPr>
          <w:rFonts w:eastAsia="Calibri"/>
          <w:b/>
          <w:bCs/>
          <w:i/>
          <w:iCs/>
          <w:sz w:val="22"/>
          <w:szCs w:val="22"/>
          <w:u w:val="single"/>
        </w:rPr>
        <w:t xml:space="preserve">Recomendación  </w:t>
      </w:r>
    </w:p>
    <w:p w14:paraId="7F6E92E4" w14:textId="77777777" w:rsidR="00B15F7D" w:rsidRPr="00990FB6" w:rsidRDefault="00B15F7D" w:rsidP="00B15F7D">
      <w:pPr>
        <w:ind w:left="851" w:right="851" w:firstLine="709"/>
        <w:jc w:val="both"/>
        <w:rPr>
          <w:rFonts w:eastAsia="Calibri"/>
          <w:b/>
          <w:bCs/>
          <w:i/>
          <w:iCs/>
          <w:sz w:val="22"/>
          <w:szCs w:val="22"/>
          <w:u w:val="single"/>
        </w:rPr>
      </w:pPr>
    </w:p>
    <w:p w14:paraId="50062A8A" w14:textId="77777777" w:rsidR="00B15F7D" w:rsidRPr="00990FB6" w:rsidRDefault="00B15F7D" w:rsidP="00B15F7D">
      <w:pPr>
        <w:ind w:left="851" w:right="851" w:firstLine="709"/>
        <w:jc w:val="both"/>
        <w:rPr>
          <w:rFonts w:eastAsia="Calibri"/>
          <w:b/>
          <w:bCs/>
          <w:i/>
          <w:iCs/>
          <w:sz w:val="22"/>
          <w:szCs w:val="22"/>
        </w:rPr>
      </w:pPr>
      <w:r w:rsidRPr="00990FB6">
        <w:rPr>
          <w:rFonts w:eastAsia="Calibri"/>
          <w:b/>
          <w:bCs/>
          <w:i/>
          <w:iCs/>
          <w:sz w:val="22"/>
          <w:szCs w:val="22"/>
        </w:rPr>
        <w:t>Al Consejo Superior</w:t>
      </w:r>
    </w:p>
    <w:p w14:paraId="179AD7C3" w14:textId="77777777" w:rsidR="00B15F7D" w:rsidRPr="00990FB6" w:rsidRDefault="00B15F7D" w:rsidP="00B15F7D">
      <w:pPr>
        <w:ind w:left="851" w:right="851" w:firstLine="709"/>
        <w:jc w:val="both"/>
        <w:rPr>
          <w:rFonts w:eastAsia="Calibri"/>
          <w:b/>
          <w:bCs/>
          <w:i/>
          <w:iCs/>
          <w:sz w:val="22"/>
          <w:szCs w:val="22"/>
        </w:rPr>
      </w:pPr>
    </w:p>
    <w:p w14:paraId="2A540F56"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 partir de las necesidades presupuestarias detectadas valorar los escenarios alternativos propuestos para su aprobación e inclusión en el Anteproyecto de Presupuesto para el año 2024 que se remitirá para discusión en la Corte Plena. En el caso de las estructuras penales se recomienda el escenario número cuatro, este dispone de los recursos con la finalidad de que se brinde una articulación entre el Ministerio Público, Defensa Pública, Organismo de Investigación Judicial y judicatura, siendo el más integral debido a que considera la materia de ejecución de la pena y la creación de Tribunales Peninsulares reforzamiento fundamental para la prestación de los servicios judiciales a nivel en las sedes regionales.</w:t>
      </w:r>
    </w:p>
    <w:p w14:paraId="75DD1242" w14:textId="77777777" w:rsidR="00B15F7D" w:rsidRPr="00990FB6" w:rsidRDefault="00B15F7D" w:rsidP="00B15F7D">
      <w:pPr>
        <w:ind w:left="851" w:right="851" w:firstLine="709"/>
        <w:jc w:val="both"/>
        <w:rPr>
          <w:rFonts w:eastAsia="Calibri"/>
          <w:sz w:val="22"/>
          <w:szCs w:val="22"/>
        </w:rPr>
      </w:pPr>
    </w:p>
    <w:p w14:paraId="3D125AC6" w14:textId="77777777" w:rsidR="00B15F7D" w:rsidRPr="00990FB6" w:rsidRDefault="00B15F7D" w:rsidP="00B15F7D">
      <w:pPr>
        <w:ind w:left="851" w:right="851"/>
        <w:jc w:val="center"/>
        <w:rPr>
          <w:snapToGrid w:val="0"/>
          <w:sz w:val="22"/>
          <w:szCs w:val="22"/>
        </w:rPr>
      </w:pPr>
      <w:r w:rsidRPr="00990FB6">
        <w:rPr>
          <w:snapToGrid w:val="0"/>
          <w:sz w:val="22"/>
          <w:szCs w:val="22"/>
        </w:rPr>
        <w:t>- 0 -</w:t>
      </w:r>
    </w:p>
    <w:p w14:paraId="04312DE2" w14:textId="77777777" w:rsidR="00B15F7D" w:rsidRPr="00990FB6" w:rsidRDefault="00B15F7D" w:rsidP="00B15F7D">
      <w:pPr>
        <w:ind w:left="851" w:right="851" w:firstLine="709"/>
        <w:jc w:val="both"/>
        <w:rPr>
          <w:b/>
          <w:snapToGrid w:val="0"/>
          <w:sz w:val="22"/>
          <w:szCs w:val="22"/>
        </w:rPr>
      </w:pPr>
    </w:p>
    <w:p w14:paraId="6DB9E34F" w14:textId="77777777" w:rsidR="00B15F7D" w:rsidRPr="00990FB6" w:rsidRDefault="00B15F7D" w:rsidP="00B15F7D">
      <w:pPr>
        <w:ind w:left="851" w:right="851" w:firstLine="709"/>
        <w:jc w:val="both"/>
        <w:rPr>
          <w:bCs/>
          <w:sz w:val="22"/>
          <w:szCs w:val="22"/>
          <w:lang w:val="es-CR"/>
        </w:rPr>
      </w:pPr>
      <w:r w:rsidRPr="00990FB6">
        <w:rPr>
          <w:b/>
          <w:sz w:val="22"/>
          <w:szCs w:val="22"/>
        </w:rPr>
        <w:t xml:space="preserve">Se acordó: 1) </w:t>
      </w:r>
      <w:r w:rsidRPr="00990FB6">
        <w:rPr>
          <w:bCs/>
          <w:sz w:val="22"/>
          <w:szCs w:val="22"/>
        </w:rPr>
        <w:t xml:space="preserve">Tener por recibido el informe de la Dirección de Planificación </w:t>
      </w:r>
      <w:proofErr w:type="spellStart"/>
      <w:r w:rsidRPr="00990FB6">
        <w:rPr>
          <w:bCs/>
          <w:sz w:val="22"/>
          <w:szCs w:val="22"/>
        </w:rPr>
        <w:t>N°</w:t>
      </w:r>
      <w:proofErr w:type="spellEnd"/>
      <w:r w:rsidRPr="00990FB6">
        <w:rPr>
          <w:bCs/>
          <w:sz w:val="22"/>
          <w:szCs w:val="22"/>
        </w:rPr>
        <w:t xml:space="preserve"> 429-PLA-MI-2023 y acoger su recomendación en consecuencia: Aprobar el escenario alternativo número 4, en razón de que este escenario cubre las necesidades mínimas del Poder Judicial en materia de seguridad y para la implementación de nuevas leyes que están por entrar en vigor. </w:t>
      </w:r>
      <w:r w:rsidRPr="00990FB6">
        <w:rPr>
          <w:b/>
          <w:sz w:val="22"/>
          <w:szCs w:val="22"/>
        </w:rPr>
        <w:t>2)</w:t>
      </w:r>
      <w:r w:rsidRPr="00990FB6">
        <w:rPr>
          <w:bCs/>
          <w:sz w:val="22"/>
          <w:szCs w:val="22"/>
        </w:rPr>
        <w:t xml:space="preserve"> Hacer del conocimiento de la Corte Plena para que valore remitir al Ministerio de Hacienda el contenido económico indicado y requerido, de forma independiente al presupuesto ordinario, como recursos adicionales en </w:t>
      </w:r>
      <w:r w:rsidRPr="00990FB6">
        <w:rPr>
          <w:bCs/>
          <w:sz w:val="22"/>
          <w:szCs w:val="22"/>
        </w:rPr>
        <w:lastRenderedPageBreak/>
        <w:t xml:space="preserve">materia de seguridad y para la implementación de nuevas leyes que están por entrar en vigor, necesidades que se consideran latentes y urgentes para la Institución. </w:t>
      </w:r>
      <w:r w:rsidRPr="00990FB6">
        <w:rPr>
          <w:b/>
          <w:sz w:val="22"/>
          <w:szCs w:val="22"/>
        </w:rPr>
        <w:t>3)</w:t>
      </w:r>
      <w:r w:rsidRPr="00990FB6">
        <w:rPr>
          <w:bCs/>
          <w:sz w:val="22"/>
          <w:szCs w:val="22"/>
        </w:rPr>
        <w:t xml:space="preserve"> Hacer de conocimiento del Organismo de Investigación Judicial, el Ministerio Público, la Defensa Pública, la Dirección Ejecutiva y el Departamento de Tecnología de la Información. </w:t>
      </w:r>
      <w:r w:rsidRPr="00990FB6">
        <w:rPr>
          <w:b/>
          <w:sz w:val="22"/>
          <w:szCs w:val="22"/>
        </w:rPr>
        <w:t>Se declara acuerdo firme</w:t>
      </w:r>
      <w:r w:rsidRPr="00990FB6">
        <w:rPr>
          <w:b/>
          <w:color w:val="262626"/>
          <w:sz w:val="22"/>
          <w:szCs w:val="22"/>
          <w:lang w:val="es-CR" w:eastAsia="es-ES"/>
        </w:rPr>
        <w:t>.</w:t>
      </w:r>
      <w:r w:rsidRPr="00990FB6">
        <w:rPr>
          <w:bCs/>
          <w:sz w:val="22"/>
          <w:szCs w:val="22"/>
          <w:lang w:val="es-CR"/>
        </w:rPr>
        <w:t>”</w:t>
      </w:r>
    </w:p>
    <w:p w14:paraId="0F522DFC" w14:textId="77777777" w:rsidR="00B15F7D" w:rsidRPr="00990FB6" w:rsidRDefault="00B15F7D" w:rsidP="00B15F7D">
      <w:pPr>
        <w:ind w:right="851"/>
        <w:jc w:val="both"/>
        <w:rPr>
          <w:bCs/>
          <w:sz w:val="22"/>
          <w:szCs w:val="22"/>
          <w:lang w:val="es-CR"/>
        </w:rPr>
      </w:pPr>
    </w:p>
    <w:p w14:paraId="5EBADFC2" w14:textId="67276F20" w:rsidR="00B15F7D" w:rsidRPr="00990FB6" w:rsidRDefault="00B15F7D" w:rsidP="00B15F7D">
      <w:pPr>
        <w:jc w:val="center"/>
        <w:rPr>
          <w:bCs/>
          <w:sz w:val="22"/>
          <w:szCs w:val="22"/>
          <w:lang w:val="es-CR"/>
        </w:rPr>
      </w:pPr>
      <w:r w:rsidRPr="00990FB6">
        <w:rPr>
          <w:bCs/>
          <w:sz w:val="22"/>
          <w:szCs w:val="22"/>
          <w:lang w:val="es-CR"/>
        </w:rPr>
        <w:t xml:space="preserve">- 0 </w:t>
      </w:r>
      <w:r w:rsidR="007B2513" w:rsidRPr="00990FB6">
        <w:rPr>
          <w:bCs/>
          <w:sz w:val="22"/>
          <w:szCs w:val="22"/>
          <w:lang w:val="es-CR"/>
        </w:rPr>
        <w:t>–</w:t>
      </w:r>
    </w:p>
    <w:p w14:paraId="0DF4DB2B" w14:textId="77777777" w:rsidR="007B2513" w:rsidRPr="00990FB6" w:rsidRDefault="007B2513" w:rsidP="00B15F7D">
      <w:pPr>
        <w:jc w:val="center"/>
        <w:rPr>
          <w:bCs/>
          <w:sz w:val="22"/>
          <w:szCs w:val="22"/>
          <w:lang w:val="es-CR"/>
        </w:rPr>
      </w:pPr>
    </w:p>
    <w:p w14:paraId="4226ECB1" w14:textId="6EDF1439" w:rsidR="00B15F7D" w:rsidRPr="00990FB6" w:rsidRDefault="00B15F7D" w:rsidP="00B15F7D">
      <w:pPr>
        <w:widowControl w:val="0"/>
        <w:shd w:val="clear" w:color="auto" w:fill="FFFFFF"/>
        <w:suppressAutoHyphens w:val="0"/>
        <w:ind w:firstLine="709"/>
        <w:jc w:val="both"/>
        <w:rPr>
          <w:bCs/>
          <w:sz w:val="22"/>
          <w:szCs w:val="22"/>
          <w:lang w:eastAsia="es-ES"/>
        </w:rPr>
      </w:pPr>
      <w:r w:rsidRPr="00990FB6">
        <w:rPr>
          <w:bCs/>
          <w:sz w:val="22"/>
          <w:szCs w:val="22"/>
        </w:rPr>
        <w:t>E</w:t>
      </w:r>
      <w:r w:rsidRPr="00990FB6">
        <w:rPr>
          <w:bCs/>
          <w:sz w:val="22"/>
          <w:szCs w:val="22"/>
          <w:lang w:eastAsia="es-ES"/>
        </w:rPr>
        <w:t xml:space="preserve">n sesión de Consejo Superior </w:t>
      </w:r>
      <w:proofErr w:type="spellStart"/>
      <w:r w:rsidRPr="00990FB6">
        <w:rPr>
          <w:bCs/>
          <w:sz w:val="22"/>
          <w:szCs w:val="22"/>
          <w:lang w:eastAsia="es-ES"/>
        </w:rPr>
        <w:t>N°</w:t>
      </w:r>
      <w:proofErr w:type="spellEnd"/>
      <w:r w:rsidRPr="00990FB6">
        <w:rPr>
          <w:bCs/>
          <w:sz w:val="22"/>
          <w:szCs w:val="22"/>
        </w:rPr>
        <w:t xml:space="preserve"> 42-2023 </w:t>
      </w:r>
      <w:r w:rsidRPr="00990FB6">
        <w:rPr>
          <w:bCs/>
          <w:sz w:val="22"/>
          <w:szCs w:val="22"/>
          <w:lang w:eastAsia="es-ES"/>
        </w:rPr>
        <w:t>celebrada el 18 de mayo de 2023, artículo XII, tomó el acuerdo que literalmente dice:</w:t>
      </w:r>
    </w:p>
    <w:p w14:paraId="7F17BEF2" w14:textId="77777777" w:rsidR="007B2513" w:rsidRPr="00990FB6" w:rsidRDefault="007B2513" w:rsidP="00B15F7D">
      <w:pPr>
        <w:widowControl w:val="0"/>
        <w:shd w:val="clear" w:color="auto" w:fill="FFFFFF"/>
        <w:suppressAutoHyphens w:val="0"/>
        <w:ind w:firstLine="709"/>
        <w:jc w:val="both"/>
        <w:rPr>
          <w:bCs/>
          <w:sz w:val="22"/>
          <w:szCs w:val="22"/>
          <w:lang w:eastAsia="es-ES"/>
        </w:rPr>
      </w:pPr>
    </w:p>
    <w:p w14:paraId="6A532C9F" w14:textId="77777777" w:rsidR="00B15F7D" w:rsidRPr="00990FB6" w:rsidRDefault="00B15F7D" w:rsidP="00B15F7D">
      <w:pPr>
        <w:ind w:left="851" w:right="851" w:firstLine="709"/>
        <w:jc w:val="both"/>
        <w:rPr>
          <w:snapToGrid w:val="0"/>
          <w:color w:val="000000"/>
          <w:sz w:val="22"/>
          <w:szCs w:val="22"/>
        </w:rPr>
      </w:pPr>
      <w:bookmarkStart w:id="73" w:name="_Hlk134691924"/>
      <w:bookmarkStart w:id="74" w:name="_Hlk135728098"/>
      <w:r w:rsidRPr="00990FB6">
        <w:rPr>
          <w:snapToGrid w:val="0"/>
          <w:color w:val="000000"/>
          <w:sz w:val="22"/>
          <w:szCs w:val="22"/>
        </w:rPr>
        <w:t xml:space="preserve">“El Consejo Superior en la sesión 39-2023, artículo I, conoció entre otros escenarios de Presupuesto 2024, el escenario 1: </w:t>
      </w:r>
      <w:r w:rsidRPr="00990FB6">
        <w:rPr>
          <w:b/>
          <w:bCs/>
          <w:i/>
          <w:iCs/>
          <w:snapToGrid w:val="0"/>
          <w:color w:val="000000"/>
          <w:sz w:val="22"/>
          <w:szCs w:val="22"/>
        </w:rPr>
        <w:t>Presupuesto del Poder Judicial sin ningún crecimiento presupuestario</w:t>
      </w:r>
      <w:r w:rsidRPr="00990FB6">
        <w:rPr>
          <w:snapToGrid w:val="0"/>
          <w:color w:val="000000"/>
          <w:sz w:val="22"/>
          <w:szCs w:val="22"/>
        </w:rPr>
        <w:t>, el cual se elaboró ajustado al monto de Ley aprobado para el 2023 y como complemento a este escenario, el Consejo Superior conoció el escenario 2, denominado “</w:t>
      </w:r>
      <w:r w:rsidRPr="00990FB6">
        <w:rPr>
          <w:b/>
          <w:bCs/>
          <w:snapToGrid w:val="0"/>
          <w:color w:val="000000"/>
          <w:sz w:val="22"/>
          <w:szCs w:val="22"/>
        </w:rPr>
        <w:t>Rebajos para ajustarse al límite establecido por el Ministerio de Haciende de ¢480.567.100.000 (inviable para el Poder Judicial)</w:t>
      </w:r>
      <w:r w:rsidRPr="00990FB6">
        <w:rPr>
          <w:snapToGrid w:val="0"/>
          <w:color w:val="000000"/>
          <w:sz w:val="22"/>
          <w:szCs w:val="22"/>
        </w:rPr>
        <w:t xml:space="preserve">”. </w:t>
      </w:r>
    </w:p>
    <w:p w14:paraId="13E3C64D" w14:textId="77777777" w:rsidR="00B15F7D" w:rsidRPr="00990FB6" w:rsidRDefault="00B15F7D" w:rsidP="00B15F7D">
      <w:pPr>
        <w:ind w:left="851" w:right="851" w:firstLine="709"/>
        <w:jc w:val="both"/>
        <w:rPr>
          <w:snapToGrid w:val="0"/>
          <w:color w:val="000000"/>
          <w:sz w:val="22"/>
          <w:szCs w:val="22"/>
        </w:rPr>
      </w:pPr>
    </w:p>
    <w:p w14:paraId="243B3916" w14:textId="77777777" w:rsidR="00B15F7D" w:rsidRPr="00990FB6" w:rsidRDefault="00B15F7D" w:rsidP="00B15F7D">
      <w:pPr>
        <w:ind w:left="851" w:right="851" w:firstLine="709"/>
        <w:jc w:val="both"/>
        <w:rPr>
          <w:snapToGrid w:val="0"/>
          <w:color w:val="000000"/>
          <w:sz w:val="22"/>
          <w:szCs w:val="22"/>
        </w:rPr>
      </w:pPr>
      <w:r w:rsidRPr="00990FB6">
        <w:rPr>
          <w:snapToGrid w:val="0"/>
          <w:color w:val="000000"/>
          <w:sz w:val="22"/>
          <w:szCs w:val="22"/>
        </w:rPr>
        <w:t>Al respecto, se dispuso lo siguiente:</w:t>
      </w:r>
    </w:p>
    <w:p w14:paraId="0F09D4EA" w14:textId="77777777" w:rsidR="00B15F7D" w:rsidRPr="00990FB6" w:rsidRDefault="00B15F7D" w:rsidP="00B15F7D">
      <w:pPr>
        <w:ind w:left="851" w:right="851" w:firstLine="709"/>
        <w:jc w:val="both"/>
        <w:rPr>
          <w:snapToGrid w:val="0"/>
          <w:color w:val="000000"/>
          <w:sz w:val="22"/>
          <w:szCs w:val="22"/>
        </w:rPr>
      </w:pPr>
    </w:p>
    <w:p w14:paraId="0739D945" w14:textId="77777777" w:rsidR="00B15F7D" w:rsidRPr="00990FB6" w:rsidRDefault="00B15F7D" w:rsidP="00B15F7D">
      <w:pPr>
        <w:ind w:left="851" w:right="851" w:firstLine="709"/>
        <w:jc w:val="both"/>
        <w:rPr>
          <w:i/>
          <w:iCs/>
          <w:sz w:val="22"/>
          <w:szCs w:val="22"/>
          <w:lang w:eastAsia="es-ES"/>
        </w:rPr>
      </w:pPr>
      <w:r w:rsidRPr="00990FB6">
        <w:rPr>
          <w:b/>
          <w:bCs/>
          <w:i/>
          <w:iCs/>
          <w:sz w:val="22"/>
          <w:szCs w:val="22"/>
          <w:lang w:eastAsia="es-ES"/>
        </w:rPr>
        <w:t>Se acordó:</w:t>
      </w:r>
      <w:r w:rsidRPr="00990FB6">
        <w:rPr>
          <w:i/>
          <w:iCs/>
          <w:sz w:val="22"/>
          <w:szCs w:val="22"/>
          <w:lang w:eastAsia="es-ES"/>
        </w:rPr>
        <w:t xml:space="preserve"> 1) Tener por recibidos los escenarios planteados por la Dirección de Planificación para el presupuesto del Poder Judicial para el año 2024. 2) Comisionar al Despacho de la Presidencia para que coordine una reunión con las diferentes jefaturas de los Programas Presupuestarios, Dirección de Tecnología de la Información y Dirección Ejecutiva, a fin de que estos Programas y Direcciones Administrativas realicen una propuesta de rebajo conforme la información proporcionada por la Dirección de Planificación en el escenario 2 denominado “</w:t>
      </w:r>
      <w:r w:rsidRPr="00990FB6">
        <w:rPr>
          <w:b/>
          <w:bCs/>
          <w:i/>
          <w:iCs/>
          <w:sz w:val="22"/>
          <w:szCs w:val="22"/>
          <w:lang w:eastAsia="es-ES"/>
        </w:rPr>
        <w:t>Escenario 2: Rebajos para ajustarse al límite establecido por el Ministerio de Haciende de ¢480.567.100.000 (inviable para el Poder Judicial)</w:t>
      </w:r>
      <w:r w:rsidRPr="00990FB6">
        <w:rPr>
          <w:i/>
          <w:iCs/>
          <w:sz w:val="22"/>
          <w:szCs w:val="22"/>
          <w:lang w:eastAsia="es-ES"/>
        </w:rPr>
        <w:t>”.  Lo anterior, como una medida extrema, previendo el riesgo y responsabilidad para el Consejo Superior de no presentar un proyecto de presupuesto ante Corte Plena, ajustado a los lineamientos establecidos por el Ministerio de Hacienda mediante oficio MH-DM-OF-0561-2023 en el cual estableció el límite presupuestario al Poder Judicial para 2024. Este escenario debe detallar claramente el impacto que tendrá para la prestación del servicio público, en caso de que se llegue a concretar 3) Estar a la espera del resultado de la reunión que se realizará entre la Presidencia de la Corte y el Ministerio de Hacienda, para tratar el tema Presupuestario, de conformidad con el acuerdo tomado por este Consejo Superior en sesión número 38-2023 del 9 de abril de 2023, artículo XLVII.</w:t>
      </w:r>
    </w:p>
    <w:p w14:paraId="5150F1C0" w14:textId="77777777" w:rsidR="00B15F7D" w:rsidRPr="00990FB6" w:rsidRDefault="00B15F7D" w:rsidP="00B15F7D">
      <w:pPr>
        <w:ind w:left="851" w:right="851" w:firstLine="709"/>
        <w:jc w:val="both"/>
        <w:rPr>
          <w:i/>
          <w:iCs/>
          <w:sz w:val="22"/>
          <w:szCs w:val="22"/>
          <w:lang w:eastAsia="es-ES"/>
        </w:rPr>
      </w:pPr>
    </w:p>
    <w:p w14:paraId="295729BE" w14:textId="77777777" w:rsidR="00B15F7D" w:rsidRPr="00990FB6" w:rsidRDefault="00B15F7D" w:rsidP="00B15F7D">
      <w:pPr>
        <w:ind w:left="851" w:right="851" w:firstLine="709"/>
        <w:jc w:val="both"/>
        <w:rPr>
          <w:i/>
          <w:iCs/>
          <w:sz w:val="22"/>
          <w:szCs w:val="22"/>
          <w:lang w:eastAsia="es-ES"/>
        </w:rPr>
      </w:pPr>
      <w:r w:rsidRPr="00990FB6">
        <w:rPr>
          <w:i/>
          <w:iCs/>
          <w:sz w:val="22"/>
          <w:szCs w:val="22"/>
          <w:lang w:eastAsia="es-ES"/>
        </w:rPr>
        <w:t>La Dirección de Planificación tomará nota para lo que corresponda. Se declara acuerdo firme.</w:t>
      </w:r>
    </w:p>
    <w:p w14:paraId="0FE93372" w14:textId="77777777" w:rsidR="00B15F7D" w:rsidRPr="00990FB6" w:rsidRDefault="00B15F7D" w:rsidP="00B15F7D">
      <w:pPr>
        <w:ind w:left="851" w:right="851" w:firstLine="709"/>
        <w:jc w:val="center"/>
        <w:rPr>
          <w:iCs/>
          <w:sz w:val="22"/>
          <w:szCs w:val="22"/>
          <w:lang w:eastAsia="es-ES"/>
        </w:rPr>
      </w:pPr>
    </w:p>
    <w:p w14:paraId="00675297" w14:textId="77777777" w:rsidR="00B15F7D" w:rsidRPr="00990FB6" w:rsidRDefault="00B15F7D" w:rsidP="00B15F7D">
      <w:pPr>
        <w:ind w:left="851" w:right="851"/>
        <w:jc w:val="center"/>
        <w:rPr>
          <w:snapToGrid w:val="0"/>
          <w:sz w:val="22"/>
          <w:szCs w:val="22"/>
        </w:rPr>
      </w:pPr>
      <w:r w:rsidRPr="00990FB6">
        <w:rPr>
          <w:iCs/>
          <w:sz w:val="22"/>
          <w:szCs w:val="22"/>
          <w:lang w:eastAsia="es-ES"/>
        </w:rPr>
        <w:t>- 0 -</w:t>
      </w:r>
    </w:p>
    <w:p w14:paraId="16D82AD9" w14:textId="77777777" w:rsidR="00B15F7D" w:rsidRPr="00990FB6" w:rsidRDefault="00B15F7D" w:rsidP="00B15F7D">
      <w:pPr>
        <w:ind w:left="851" w:right="851" w:firstLine="709"/>
        <w:jc w:val="both"/>
        <w:rPr>
          <w:snapToGrid w:val="0"/>
          <w:sz w:val="22"/>
          <w:szCs w:val="22"/>
        </w:rPr>
      </w:pPr>
    </w:p>
    <w:p w14:paraId="7DF07EF4" w14:textId="77777777" w:rsidR="00B15F7D" w:rsidRPr="00990FB6" w:rsidRDefault="00B15F7D" w:rsidP="00B15F7D">
      <w:pPr>
        <w:ind w:left="851" w:right="851" w:firstLine="709"/>
        <w:jc w:val="both"/>
        <w:rPr>
          <w:snapToGrid w:val="0"/>
          <w:sz w:val="22"/>
          <w:szCs w:val="22"/>
        </w:rPr>
      </w:pPr>
      <w:r w:rsidRPr="00990FB6">
        <w:rPr>
          <w:snapToGrid w:val="0"/>
          <w:sz w:val="22"/>
          <w:szCs w:val="22"/>
        </w:rPr>
        <w:t xml:space="preserve">Con relación a lo anterior, se informa que el pasado jueves 11 de mayo, bajo coordinación del Máster. Roger Mata Brenes, Director del Despacho de la Presidencia se efectuó la reunión solicitada por el Consejo Superior y como resultado los diferentes Programas y Direcciones Administrativas emitieron sus argumentaciones y expresaron nuevamente la inviabilidad de realizar los rebajos correspondientes, en el caso que se rebajen los recursos al Poder Judicial, se presenta el detalle de los impactos en las diferentes subpartidas y servicios en el Poder Judicial: </w:t>
      </w:r>
    </w:p>
    <w:p w14:paraId="0E4340B9" w14:textId="77777777" w:rsidR="00B15F7D" w:rsidRPr="00990FB6" w:rsidRDefault="00B15F7D" w:rsidP="00B15F7D">
      <w:pPr>
        <w:ind w:left="851" w:right="851" w:firstLine="709"/>
        <w:jc w:val="both"/>
        <w:rPr>
          <w:snapToGrid w:val="0"/>
          <w:sz w:val="22"/>
          <w:szCs w:val="22"/>
        </w:rPr>
      </w:pPr>
    </w:p>
    <w:p w14:paraId="4516BC6B" w14:textId="77777777" w:rsidR="00B15F7D" w:rsidRPr="00990FB6" w:rsidRDefault="00B15F7D" w:rsidP="00B15F7D">
      <w:pPr>
        <w:numPr>
          <w:ilvl w:val="0"/>
          <w:numId w:val="196"/>
        </w:numPr>
        <w:suppressAutoHyphens w:val="0"/>
        <w:ind w:left="851" w:right="851" w:firstLine="709"/>
        <w:contextualSpacing/>
        <w:jc w:val="both"/>
        <w:rPr>
          <w:b/>
          <w:i/>
          <w:sz w:val="22"/>
          <w:szCs w:val="22"/>
          <w:u w:val="single"/>
        </w:rPr>
      </w:pPr>
      <w:r w:rsidRPr="00990FB6">
        <w:rPr>
          <w:b/>
          <w:i/>
          <w:sz w:val="22"/>
          <w:szCs w:val="22"/>
          <w:u w:val="single"/>
        </w:rPr>
        <w:t>Dirección de Tecnología de la Información y Comunicaciones:</w:t>
      </w:r>
    </w:p>
    <w:p w14:paraId="14472C17" w14:textId="77777777" w:rsidR="00B15F7D" w:rsidRPr="00990FB6" w:rsidRDefault="00B15F7D" w:rsidP="00B15F7D">
      <w:pPr>
        <w:ind w:left="851" w:right="851" w:firstLine="709"/>
        <w:contextualSpacing/>
        <w:jc w:val="both"/>
        <w:rPr>
          <w:b/>
          <w:i/>
          <w:sz w:val="22"/>
          <w:szCs w:val="22"/>
          <w:u w:val="single"/>
        </w:rPr>
      </w:pPr>
    </w:p>
    <w:p w14:paraId="09733252" w14:textId="77777777" w:rsidR="00B15F7D" w:rsidRPr="00990FB6" w:rsidRDefault="00B15F7D" w:rsidP="00B15F7D">
      <w:pPr>
        <w:ind w:left="851" w:right="851" w:firstLine="709"/>
        <w:jc w:val="both"/>
        <w:rPr>
          <w:b/>
          <w:bCs/>
          <w:sz w:val="22"/>
          <w:szCs w:val="22"/>
        </w:rPr>
      </w:pPr>
      <w:r w:rsidRPr="00990FB6">
        <w:rPr>
          <w:b/>
          <w:bCs/>
          <w:sz w:val="22"/>
          <w:szCs w:val="22"/>
        </w:rPr>
        <w:t xml:space="preserve">Mediante correo electrónico del viernes 12 de mayo, la licenciada </w:t>
      </w:r>
      <w:r w:rsidRPr="00990FB6">
        <w:rPr>
          <w:b/>
          <w:bCs/>
          <w:sz w:val="22"/>
          <w:szCs w:val="22"/>
          <w:lang w:eastAsia="es-CR"/>
        </w:rPr>
        <w:t>Kattia Morales Navarro, Directora de la Dirección de</w:t>
      </w:r>
      <w:r w:rsidRPr="00990FB6">
        <w:rPr>
          <w:b/>
          <w:bCs/>
          <w:sz w:val="22"/>
          <w:szCs w:val="22"/>
        </w:rPr>
        <w:t xml:space="preserve"> Tecnología de la Información y Comunicaciones remite Oficio 855-DTIC-2023 donde indica:</w:t>
      </w:r>
    </w:p>
    <w:p w14:paraId="235E1D9A" w14:textId="77777777" w:rsidR="00B15F7D" w:rsidRPr="00990FB6" w:rsidRDefault="00B15F7D" w:rsidP="00B15F7D">
      <w:pPr>
        <w:ind w:left="851" w:right="851" w:firstLine="709"/>
        <w:jc w:val="both"/>
        <w:rPr>
          <w:b/>
          <w:bCs/>
          <w:sz w:val="22"/>
          <w:szCs w:val="22"/>
        </w:rPr>
      </w:pPr>
    </w:p>
    <w:p w14:paraId="6CA25E0E" w14:textId="77777777" w:rsidR="00B15F7D" w:rsidRPr="00990FB6" w:rsidRDefault="00B15F7D" w:rsidP="00B15F7D">
      <w:pPr>
        <w:ind w:left="851" w:right="851" w:firstLine="709"/>
        <w:jc w:val="both"/>
        <w:rPr>
          <w:i/>
          <w:iCs/>
          <w:sz w:val="22"/>
          <w:szCs w:val="22"/>
        </w:rPr>
      </w:pPr>
      <w:r w:rsidRPr="00990FB6">
        <w:rPr>
          <w:i/>
          <w:iCs/>
          <w:sz w:val="22"/>
          <w:szCs w:val="22"/>
        </w:rPr>
        <w:t xml:space="preserve">“…En adición al oficio </w:t>
      </w:r>
      <w:proofErr w:type="spellStart"/>
      <w:r w:rsidRPr="00990FB6">
        <w:rPr>
          <w:i/>
          <w:iCs/>
          <w:sz w:val="22"/>
          <w:szCs w:val="22"/>
        </w:rPr>
        <w:t>N°</w:t>
      </w:r>
      <w:proofErr w:type="spellEnd"/>
      <w:r w:rsidRPr="00990FB6">
        <w:rPr>
          <w:i/>
          <w:iCs/>
          <w:sz w:val="22"/>
          <w:szCs w:val="22"/>
        </w:rPr>
        <w:t xml:space="preserve"> 850-DTIC-2023 y en línea con lo señalado por su oficina en correo electrónico de esta mañana, mediante el cual se remite la información correcta</w:t>
      </w:r>
      <w:r w:rsidRPr="00990FB6">
        <w:rPr>
          <w:i/>
          <w:iCs/>
          <w:spacing w:val="-14"/>
          <w:sz w:val="22"/>
          <w:szCs w:val="22"/>
        </w:rPr>
        <w:t xml:space="preserve"> </w:t>
      </w:r>
      <w:r w:rsidRPr="00990FB6">
        <w:rPr>
          <w:i/>
          <w:iCs/>
          <w:sz w:val="22"/>
          <w:szCs w:val="22"/>
        </w:rPr>
        <w:t>del</w:t>
      </w:r>
      <w:r w:rsidRPr="00990FB6">
        <w:rPr>
          <w:i/>
          <w:iCs/>
          <w:spacing w:val="-16"/>
          <w:sz w:val="22"/>
          <w:szCs w:val="22"/>
        </w:rPr>
        <w:t xml:space="preserve"> </w:t>
      </w:r>
      <w:r w:rsidRPr="00990FB6">
        <w:rPr>
          <w:i/>
          <w:iCs/>
          <w:sz w:val="22"/>
          <w:szCs w:val="22"/>
        </w:rPr>
        <w:t>monto</w:t>
      </w:r>
      <w:r w:rsidRPr="00990FB6">
        <w:rPr>
          <w:i/>
          <w:iCs/>
          <w:spacing w:val="-14"/>
          <w:sz w:val="22"/>
          <w:szCs w:val="22"/>
        </w:rPr>
        <w:t xml:space="preserve"> </w:t>
      </w:r>
      <w:r w:rsidRPr="00990FB6">
        <w:rPr>
          <w:i/>
          <w:iCs/>
          <w:sz w:val="22"/>
          <w:szCs w:val="22"/>
        </w:rPr>
        <w:t>a</w:t>
      </w:r>
      <w:r w:rsidRPr="00990FB6">
        <w:rPr>
          <w:i/>
          <w:iCs/>
          <w:spacing w:val="-14"/>
          <w:sz w:val="22"/>
          <w:szCs w:val="22"/>
        </w:rPr>
        <w:t xml:space="preserve"> </w:t>
      </w:r>
      <w:r w:rsidRPr="00990FB6">
        <w:rPr>
          <w:i/>
          <w:iCs/>
          <w:sz w:val="22"/>
          <w:szCs w:val="22"/>
        </w:rPr>
        <w:t>rebajar</w:t>
      </w:r>
      <w:r w:rsidRPr="00990FB6">
        <w:rPr>
          <w:i/>
          <w:iCs/>
          <w:spacing w:val="-15"/>
          <w:sz w:val="22"/>
          <w:szCs w:val="22"/>
        </w:rPr>
        <w:t xml:space="preserve"> </w:t>
      </w:r>
      <w:r w:rsidRPr="00990FB6">
        <w:rPr>
          <w:i/>
          <w:iCs/>
          <w:sz w:val="22"/>
          <w:szCs w:val="22"/>
        </w:rPr>
        <w:t>para</w:t>
      </w:r>
      <w:r w:rsidRPr="00990FB6">
        <w:rPr>
          <w:i/>
          <w:iCs/>
          <w:spacing w:val="-15"/>
          <w:sz w:val="22"/>
          <w:szCs w:val="22"/>
        </w:rPr>
        <w:t xml:space="preserve"> </w:t>
      </w:r>
      <w:r w:rsidRPr="00990FB6">
        <w:rPr>
          <w:i/>
          <w:iCs/>
          <w:sz w:val="22"/>
          <w:szCs w:val="22"/>
        </w:rPr>
        <w:t>el</w:t>
      </w:r>
      <w:r w:rsidRPr="00990FB6">
        <w:rPr>
          <w:i/>
          <w:iCs/>
          <w:spacing w:val="-16"/>
          <w:sz w:val="22"/>
          <w:szCs w:val="22"/>
        </w:rPr>
        <w:t xml:space="preserve"> </w:t>
      </w:r>
      <w:r w:rsidRPr="00990FB6">
        <w:rPr>
          <w:i/>
          <w:iCs/>
          <w:sz w:val="22"/>
          <w:szCs w:val="22"/>
        </w:rPr>
        <w:t>gasto</w:t>
      </w:r>
      <w:r w:rsidRPr="00990FB6">
        <w:rPr>
          <w:i/>
          <w:iCs/>
          <w:spacing w:val="-14"/>
          <w:sz w:val="22"/>
          <w:szCs w:val="22"/>
        </w:rPr>
        <w:t xml:space="preserve"> </w:t>
      </w:r>
      <w:r w:rsidRPr="00990FB6">
        <w:rPr>
          <w:i/>
          <w:iCs/>
          <w:sz w:val="22"/>
          <w:szCs w:val="22"/>
        </w:rPr>
        <w:t>corriente</w:t>
      </w:r>
      <w:r w:rsidRPr="00990FB6">
        <w:rPr>
          <w:i/>
          <w:iCs/>
          <w:spacing w:val="-14"/>
          <w:sz w:val="22"/>
          <w:szCs w:val="22"/>
        </w:rPr>
        <w:t xml:space="preserve"> </w:t>
      </w:r>
      <w:r w:rsidRPr="00990FB6">
        <w:rPr>
          <w:i/>
          <w:iCs/>
          <w:sz w:val="22"/>
          <w:szCs w:val="22"/>
        </w:rPr>
        <w:t>en</w:t>
      </w:r>
      <w:r w:rsidRPr="00990FB6">
        <w:rPr>
          <w:i/>
          <w:iCs/>
          <w:spacing w:val="-14"/>
          <w:sz w:val="22"/>
          <w:szCs w:val="22"/>
        </w:rPr>
        <w:t xml:space="preserve"> </w:t>
      </w:r>
      <w:r w:rsidRPr="00990FB6">
        <w:rPr>
          <w:i/>
          <w:iCs/>
          <w:sz w:val="22"/>
          <w:szCs w:val="22"/>
        </w:rPr>
        <w:t>el</w:t>
      </w:r>
      <w:r w:rsidRPr="00990FB6">
        <w:rPr>
          <w:i/>
          <w:iCs/>
          <w:spacing w:val="-16"/>
          <w:sz w:val="22"/>
          <w:szCs w:val="22"/>
        </w:rPr>
        <w:t xml:space="preserve"> </w:t>
      </w:r>
      <w:r w:rsidRPr="00990FB6">
        <w:rPr>
          <w:i/>
          <w:iCs/>
          <w:sz w:val="22"/>
          <w:szCs w:val="22"/>
        </w:rPr>
        <w:t>período</w:t>
      </w:r>
      <w:r w:rsidRPr="00990FB6">
        <w:rPr>
          <w:i/>
          <w:iCs/>
          <w:spacing w:val="-14"/>
          <w:sz w:val="22"/>
          <w:szCs w:val="22"/>
        </w:rPr>
        <w:t xml:space="preserve"> </w:t>
      </w:r>
      <w:r w:rsidRPr="00990FB6">
        <w:rPr>
          <w:i/>
          <w:iCs/>
          <w:sz w:val="22"/>
          <w:szCs w:val="22"/>
        </w:rPr>
        <w:t>2024,</w:t>
      </w:r>
      <w:r w:rsidRPr="00990FB6">
        <w:rPr>
          <w:i/>
          <w:iCs/>
          <w:spacing w:val="-14"/>
          <w:sz w:val="22"/>
          <w:szCs w:val="22"/>
        </w:rPr>
        <w:t xml:space="preserve"> </w:t>
      </w:r>
      <w:r w:rsidRPr="00990FB6">
        <w:rPr>
          <w:i/>
          <w:iCs/>
          <w:sz w:val="22"/>
          <w:szCs w:val="22"/>
        </w:rPr>
        <w:t>nuevamente de conformidad con el deber de obediencia estipulado en el artículo 109 de la Ley General de Administración Pública, se procederá a señalar el impacto de los posibles rebajos que puedan ejecutarse, tomando en cuenta que tal como se puntualizó en el oficio de cita, el rebajo sugerido prácticamente abarca la totalidad de</w:t>
      </w:r>
      <w:r w:rsidRPr="00990FB6">
        <w:rPr>
          <w:i/>
          <w:iCs/>
          <w:spacing w:val="-11"/>
          <w:sz w:val="22"/>
          <w:szCs w:val="22"/>
        </w:rPr>
        <w:t xml:space="preserve"> </w:t>
      </w:r>
      <w:r w:rsidRPr="00990FB6">
        <w:rPr>
          <w:i/>
          <w:iCs/>
          <w:sz w:val="22"/>
          <w:szCs w:val="22"/>
        </w:rPr>
        <w:t>los</w:t>
      </w:r>
      <w:r w:rsidRPr="00990FB6">
        <w:rPr>
          <w:i/>
          <w:iCs/>
          <w:spacing w:val="-11"/>
          <w:sz w:val="22"/>
          <w:szCs w:val="22"/>
        </w:rPr>
        <w:t xml:space="preserve"> </w:t>
      </w:r>
      <w:r w:rsidRPr="00990FB6">
        <w:rPr>
          <w:i/>
          <w:iCs/>
          <w:sz w:val="22"/>
          <w:szCs w:val="22"/>
        </w:rPr>
        <w:t>recursos</w:t>
      </w:r>
      <w:r w:rsidRPr="00990FB6">
        <w:rPr>
          <w:i/>
          <w:iCs/>
          <w:spacing w:val="-13"/>
          <w:sz w:val="22"/>
          <w:szCs w:val="22"/>
        </w:rPr>
        <w:t xml:space="preserve"> </w:t>
      </w:r>
      <w:r w:rsidRPr="00990FB6">
        <w:rPr>
          <w:i/>
          <w:iCs/>
          <w:sz w:val="22"/>
          <w:szCs w:val="22"/>
        </w:rPr>
        <w:t>asignados</w:t>
      </w:r>
      <w:r w:rsidRPr="00990FB6">
        <w:rPr>
          <w:i/>
          <w:iCs/>
          <w:spacing w:val="-10"/>
          <w:sz w:val="22"/>
          <w:szCs w:val="22"/>
        </w:rPr>
        <w:t xml:space="preserve"> </w:t>
      </w:r>
      <w:r w:rsidRPr="00990FB6">
        <w:rPr>
          <w:i/>
          <w:iCs/>
          <w:sz w:val="22"/>
          <w:szCs w:val="22"/>
        </w:rPr>
        <w:t>al</w:t>
      </w:r>
      <w:r w:rsidRPr="00990FB6">
        <w:rPr>
          <w:i/>
          <w:iCs/>
          <w:spacing w:val="-12"/>
          <w:sz w:val="22"/>
          <w:szCs w:val="22"/>
        </w:rPr>
        <w:t xml:space="preserve"> </w:t>
      </w:r>
      <w:r w:rsidRPr="00990FB6">
        <w:rPr>
          <w:i/>
          <w:iCs/>
          <w:sz w:val="22"/>
          <w:szCs w:val="22"/>
        </w:rPr>
        <w:t>área</w:t>
      </w:r>
      <w:r w:rsidRPr="00990FB6">
        <w:rPr>
          <w:i/>
          <w:iCs/>
          <w:spacing w:val="-10"/>
          <w:sz w:val="22"/>
          <w:szCs w:val="22"/>
        </w:rPr>
        <w:t xml:space="preserve"> </w:t>
      </w:r>
      <w:r w:rsidRPr="00990FB6">
        <w:rPr>
          <w:i/>
          <w:iCs/>
          <w:sz w:val="22"/>
          <w:szCs w:val="22"/>
        </w:rPr>
        <w:t>tecnológica</w:t>
      </w:r>
      <w:r w:rsidRPr="00990FB6">
        <w:rPr>
          <w:i/>
          <w:iCs/>
          <w:spacing w:val="-13"/>
          <w:sz w:val="22"/>
          <w:szCs w:val="22"/>
        </w:rPr>
        <w:t xml:space="preserve"> </w:t>
      </w:r>
      <w:r w:rsidRPr="00990FB6">
        <w:rPr>
          <w:i/>
          <w:iCs/>
          <w:sz w:val="22"/>
          <w:szCs w:val="22"/>
        </w:rPr>
        <w:t>en</w:t>
      </w:r>
      <w:r w:rsidRPr="00990FB6">
        <w:rPr>
          <w:i/>
          <w:iCs/>
          <w:spacing w:val="-11"/>
          <w:sz w:val="22"/>
          <w:szCs w:val="22"/>
        </w:rPr>
        <w:t xml:space="preserve"> </w:t>
      </w:r>
      <w:r w:rsidRPr="00990FB6">
        <w:rPr>
          <w:i/>
          <w:iCs/>
          <w:sz w:val="22"/>
          <w:szCs w:val="22"/>
        </w:rPr>
        <w:t>las</w:t>
      </w:r>
      <w:r w:rsidRPr="00990FB6">
        <w:rPr>
          <w:i/>
          <w:iCs/>
          <w:spacing w:val="-11"/>
          <w:sz w:val="22"/>
          <w:szCs w:val="22"/>
        </w:rPr>
        <w:t xml:space="preserve"> </w:t>
      </w:r>
      <w:r w:rsidRPr="00990FB6">
        <w:rPr>
          <w:i/>
          <w:iCs/>
          <w:sz w:val="22"/>
          <w:szCs w:val="22"/>
        </w:rPr>
        <w:t>partidas</w:t>
      </w:r>
      <w:r w:rsidRPr="00990FB6">
        <w:rPr>
          <w:i/>
          <w:iCs/>
          <w:spacing w:val="40"/>
          <w:sz w:val="22"/>
          <w:szCs w:val="22"/>
        </w:rPr>
        <w:t xml:space="preserve"> </w:t>
      </w:r>
      <w:r w:rsidRPr="00990FB6">
        <w:rPr>
          <w:i/>
          <w:iCs/>
          <w:sz w:val="22"/>
          <w:szCs w:val="22"/>
        </w:rPr>
        <w:t>1</w:t>
      </w:r>
      <w:r w:rsidRPr="00990FB6">
        <w:rPr>
          <w:i/>
          <w:iCs/>
          <w:spacing w:val="-11"/>
          <w:sz w:val="22"/>
          <w:szCs w:val="22"/>
        </w:rPr>
        <w:t xml:space="preserve"> </w:t>
      </w:r>
      <w:r w:rsidRPr="00990FB6">
        <w:rPr>
          <w:i/>
          <w:iCs/>
          <w:sz w:val="22"/>
          <w:szCs w:val="22"/>
        </w:rPr>
        <w:t>y</w:t>
      </w:r>
      <w:r w:rsidRPr="00990FB6">
        <w:rPr>
          <w:i/>
          <w:iCs/>
          <w:spacing w:val="-14"/>
          <w:sz w:val="22"/>
          <w:szCs w:val="22"/>
        </w:rPr>
        <w:t xml:space="preserve"> </w:t>
      </w:r>
      <w:r w:rsidRPr="00990FB6">
        <w:rPr>
          <w:i/>
          <w:iCs/>
          <w:sz w:val="22"/>
          <w:szCs w:val="22"/>
        </w:rPr>
        <w:t>2</w:t>
      </w:r>
      <w:r w:rsidRPr="00990FB6">
        <w:rPr>
          <w:i/>
          <w:iCs/>
          <w:spacing w:val="40"/>
          <w:sz w:val="22"/>
          <w:szCs w:val="22"/>
        </w:rPr>
        <w:t xml:space="preserve"> </w:t>
      </w:r>
      <w:r w:rsidRPr="00990FB6">
        <w:rPr>
          <w:i/>
          <w:iCs/>
          <w:sz w:val="22"/>
          <w:szCs w:val="22"/>
        </w:rPr>
        <w:t>y</w:t>
      </w:r>
      <w:r w:rsidRPr="00990FB6">
        <w:rPr>
          <w:i/>
          <w:iCs/>
          <w:spacing w:val="-14"/>
          <w:sz w:val="22"/>
          <w:szCs w:val="22"/>
        </w:rPr>
        <w:t xml:space="preserve"> </w:t>
      </w:r>
      <w:r w:rsidRPr="00990FB6">
        <w:rPr>
          <w:i/>
          <w:iCs/>
          <w:sz w:val="22"/>
          <w:szCs w:val="22"/>
        </w:rPr>
        <w:t>esta</w:t>
      </w:r>
      <w:r w:rsidRPr="00990FB6">
        <w:rPr>
          <w:i/>
          <w:iCs/>
          <w:spacing w:val="-10"/>
          <w:sz w:val="22"/>
          <w:szCs w:val="22"/>
        </w:rPr>
        <w:t xml:space="preserve"> </w:t>
      </w:r>
      <w:r w:rsidRPr="00990FB6">
        <w:rPr>
          <w:i/>
          <w:iCs/>
          <w:sz w:val="22"/>
          <w:szCs w:val="22"/>
        </w:rPr>
        <w:t>Dirección no comparte realizar</w:t>
      </w:r>
      <w:r w:rsidRPr="00990FB6">
        <w:rPr>
          <w:i/>
          <w:iCs/>
          <w:spacing w:val="-1"/>
          <w:sz w:val="22"/>
          <w:szCs w:val="22"/>
        </w:rPr>
        <w:t xml:space="preserve"> </w:t>
      </w:r>
      <w:r w:rsidRPr="00990FB6">
        <w:rPr>
          <w:i/>
          <w:iCs/>
          <w:sz w:val="22"/>
          <w:szCs w:val="22"/>
        </w:rPr>
        <w:t>más rebajos en los rubros de tecnología, por</w:t>
      </w:r>
      <w:r w:rsidRPr="00990FB6">
        <w:rPr>
          <w:i/>
          <w:iCs/>
          <w:spacing w:val="-1"/>
          <w:sz w:val="22"/>
          <w:szCs w:val="22"/>
        </w:rPr>
        <w:t xml:space="preserve"> </w:t>
      </w:r>
      <w:r w:rsidRPr="00990FB6">
        <w:rPr>
          <w:i/>
          <w:iCs/>
          <w:sz w:val="22"/>
          <w:szCs w:val="22"/>
        </w:rPr>
        <w:t>el riesgo en que se pone a la institución en temas tan delicados como la obsolescencia tecnológica y la Ciberseguridad.</w:t>
      </w:r>
    </w:p>
    <w:p w14:paraId="2BFF395F" w14:textId="77777777" w:rsidR="00B15F7D" w:rsidRPr="00990FB6" w:rsidRDefault="00B15F7D" w:rsidP="00B15F7D">
      <w:pPr>
        <w:ind w:left="851" w:right="851" w:firstLine="709"/>
        <w:jc w:val="both"/>
        <w:rPr>
          <w:i/>
          <w:iCs/>
          <w:sz w:val="22"/>
          <w:szCs w:val="22"/>
        </w:rPr>
      </w:pPr>
    </w:p>
    <w:p w14:paraId="7948B5C5" w14:textId="77777777" w:rsidR="00B15F7D" w:rsidRPr="00990FB6" w:rsidRDefault="00B15F7D" w:rsidP="00B15F7D">
      <w:pPr>
        <w:ind w:left="851" w:right="851" w:firstLine="709"/>
        <w:jc w:val="both"/>
        <w:rPr>
          <w:i/>
          <w:iCs/>
          <w:sz w:val="22"/>
          <w:szCs w:val="22"/>
        </w:rPr>
      </w:pPr>
      <w:r w:rsidRPr="00990FB6">
        <w:rPr>
          <w:i/>
          <w:iCs/>
          <w:sz w:val="22"/>
          <w:szCs w:val="22"/>
          <w:lang w:val="x-none" w:eastAsia="es-ES"/>
        </w:rPr>
        <w:t>Importante</w:t>
      </w:r>
      <w:r w:rsidRPr="00990FB6">
        <w:rPr>
          <w:i/>
          <w:iCs/>
          <w:sz w:val="22"/>
          <w:szCs w:val="22"/>
        </w:rPr>
        <w:t xml:space="preserve"> indicar que, este nuevo monto no varía mucho según lo solicitado originalmente en correo de la Dirección de Planificación del pasado 5 de mayo, en cuanto al rebajo del gasto corriente en Informática, es decir, de igual forma el impacto que conlleva es que se paralizaría el Poder Judicial, considerando los servicios tan sensibles que se incluyen en la partida 1 principalmente y del mismo modo,</w:t>
      </w:r>
      <w:r w:rsidRPr="00990FB6">
        <w:rPr>
          <w:i/>
          <w:iCs/>
          <w:spacing w:val="-12"/>
          <w:sz w:val="22"/>
          <w:szCs w:val="22"/>
        </w:rPr>
        <w:t xml:space="preserve"> </w:t>
      </w:r>
      <w:r w:rsidRPr="00990FB6">
        <w:rPr>
          <w:i/>
          <w:iCs/>
          <w:sz w:val="22"/>
          <w:szCs w:val="22"/>
        </w:rPr>
        <w:t>tomando</w:t>
      </w:r>
      <w:r w:rsidRPr="00990FB6">
        <w:rPr>
          <w:i/>
          <w:iCs/>
          <w:spacing w:val="-12"/>
          <w:sz w:val="22"/>
          <w:szCs w:val="22"/>
        </w:rPr>
        <w:t xml:space="preserve"> </w:t>
      </w:r>
      <w:r w:rsidRPr="00990FB6">
        <w:rPr>
          <w:i/>
          <w:iCs/>
          <w:sz w:val="22"/>
          <w:szCs w:val="22"/>
        </w:rPr>
        <w:t>en</w:t>
      </w:r>
      <w:r w:rsidRPr="00990FB6">
        <w:rPr>
          <w:i/>
          <w:iCs/>
          <w:spacing w:val="-9"/>
          <w:sz w:val="22"/>
          <w:szCs w:val="22"/>
        </w:rPr>
        <w:t xml:space="preserve"> </w:t>
      </w:r>
      <w:r w:rsidRPr="00990FB6">
        <w:rPr>
          <w:i/>
          <w:iCs/>
          <w:sz w:val="22"/>
          <w:szCs w:val="22"/>
        </w:rPr>
        <w:t>cuenta</w:t>
      </w:r>
      <w:r w:rsidRPr="00990FB6">
        <w:rPr>
          <w:i/>
          <w:iCs/>
          <w:spacing w:val="-11"/>
          <w:sz w:val="22"/>
          <w:szCs w:val="22"/>
        </w:rPr>
        <w:t xml:space="preserve"> </w:t>
      </w:r>
      <w:r w:rsidRPr="00990FB6">
        <w:rPr>
          <w:i/>
          <w:iCs/>
          <w:sz w:val="22"/>
          <w:szCs w:val="22"/>
        </w:rPr>
        <w:t>que</w:t>
      </w:r>
      <w:r w:rsidRPr="00990FB6">
        <w:rPr>
          <w:i/>
          <w:iCs/>
          <w:spacing w:val="-12"/>
          <w:sz w:val="22"/>
          <w:szCs w:val="22"/>
        </w:rPr>
        <w:t xml:space="preserve"> </w:t>
      </w:r>
      <w:r w:rsidRPr="00990FB6">
        <w:rPr>
          <w:i/>
          <w:iCs/>
          <w:sz w:val="22"/>
          <w:szCs w:val="22"/>
        </w:rPr>
        <w:t>muchos</w:t>
      </w:r>
      <w:r w:rsidRPr="00990FB6">
        <w:rPr>
          <w:i/>
          <w:iCs/>
          <w:spacing w:val="-13"/>
          <w:sz w:val="22"/>
          <w:szCs w:val="22"/>
        </w:rPr>
        <w:t xml:space="preserve"> </w:t>
      </w:r>
      <w:r w:rsidRPr="00990FB6">
        <w:rPr>
          <w:i/>
          <w:iCs/>
          <w:sz w:val="22"/>
          <w:szCs w:val="22"/>
        </w:rPr>
        <w:t>de</w:t>
      </w:r>
      <w:r w:rsidRPr="00990FB6">
        <w:rPr>
          <w:i/>
          <w:iCs/>
          <w:spacing w:val="-12"/>
          <w:sz w:val="22"/>
          <w:szCs w:val="22"/>
        </w:rPr>
        <w:t xml:space="preserve"> </w:t>
      </w:r>
      <w:r w:rsidRPr="00990FB6">
        <w:rPr>
          <w:i/>
          <w:iCs/>
          <w:sz w:val="22"/>
          <w:szCs w:val="22"/>
        </w:rPr>
        <w:t>estos</w:t>
      </w:r>
      <w:r w:rsidRPr="00990FB6">
        <w:rPr>
          <w:i/>
          <w:iCs/>
          <w:spacing w:val="-10"/>
          <w:sz w:val="22"/>
          <w:szCs w:val="22"/>
        </w:rPr>
        <w:t xml:space="preserve"> </w:t>
      </w:r>
      <w:r w:rsidRPr="00990FB6">
        <w:rPr>
          <w:i/>
          <w:iCs/>
          <w:sz w:val="22"/>
          <w:szCs w:val="22"/>
        </w:rPr>
        <w:t>servicios</w:t>
      </w:r>
      <w:r w:rsidRPr="00990FB6">
        <w:rPr>
          <w:i/>
          <w:iCs/>
          <w:spacing w:val="-10"/>
          <w:sz w:val="22"/>
          <w:szCs w:val="22"/>
        </w:rPr>
        <w:t xml:space="preserve"> </w:t>
      </w:r>
      <w:r w:rsidRPr="00990FB6">
        <w:rPr>
          <w:i/>
          <w:iCs/>
          <w:sz w:val="22"/>
          <w:szCs w:val="22"/>
        </w:rPr>
        <w:t>corresponden</w:t>
      </w:r>
      <w:r w:rsidRPr="00990FB6">
        <w:rPr>
          <w:i/>
          <w:iCs/>
          <w:spacing w:val="-12"/>
          <w:sz w:val="22"/>
          <w:szCs w:val="22"/>
        </w:rPr>
        <w:t xml:space="preserve"> </w:t>
      </w:r>
      <w:r w:rsidRPr="00990FB6">
        <w:rPr>
          <w:i/>
          <w:iCs/>
          <w:sz w:val="22"/>
          <w:szCs w:val="22"/>
        </w:rPr>
        <w:t>a</w:t>
      </w:r>
      <w:r w:rsidRPr="00990FB6">
        <w:rPr>
          <w:i/>
          <w:iCs/>
          <w:spacing w:val="-12"/>
          <w:sz w:val="22"/>
          <w:szCs w:val="22"/>
        </w:rPr>
        <w:t xml:space="preserve"> </w:t>
      </w:r>
      <w:r w:rsidRPr="00990FB6">
        <w:rPr>
          <w:i/>
          <w:iCs/>
          <w:sz w:val="22"/>
          <w:szCs w:val="22"/>
        </w:rPr>
        <w:t>contratos establecidos</w:t>
      </w:r>
      <w:r w:rsidRPr="00990FB6">
        <w:rPr>
          <w:i/>
          <w:iCs/>
          <w:spacing w:val="-10"/>
          <w:sz w:val="22"/>
          <w:szCs w:val="22"/>
        </w:rPr>
        <w:t xml:space="preserve"> </w:t>
      </w:r>
      <w:r w:rsidRPr="00990FB6">
        <w:rPr>
          <w:i/>
          <w:iCs/>
          <w:sz w:val="22"/>
          <w:szCs w:val="22"/>
        </w:rPr>
        <w:t>por</w:t>
      </w:r>
      <w:r w:rsidRPr="00990FB6">
        <w:rPr>
          <w:i/>
          <w:iCs/>
          <w:spacing w:val="-11"/>
          <w:sz w:val="22"/>
          <w:szCs w:val="22"/>
        </w:rPr>
        <w:t xml:space="preserve"> </w:t>
      </w:r>
      <w:r w:rsidRPr="00990FB6">
        <w:rPr>
          <w:i/>
          <w:iCs/>
          <w:sz w:val="22"/>
          <w:szCs w:val="22"/>
        </w:rPr>
        <w:t>la</w:t>
      </w:r>
      <w:r w:rsidRPr="00990FB6">
        <w:rPr>
          <w:i/>
          <w:iCs/>
          <w:spacing w:val="-10"/>
          <w:sz w:val="22"/>
          <w:szCs w:val="22"/>
        </w:rPr>
        <w:t xml:space="preserve"> </w:t>
      </w:r>
      <w:r w:rsidRPr="00990FB6">
        <w:rPr>
          <w:i/>
          <w:iCs/>
          <w:sz w:val="22"/>
          <w:szCs w:val="22"/>
        </w:rPr>
        <w:t>institución,</w:t>
      </w:r>
      <w:r w:rsidRPr="00990FB6">
        <w:rPr>
          <w:i/>
          <w:iCs/>
          <w:spacing w:val="-10"/>
          <w:sz w:val="22"/>
          <w:szCs w:val="22"/>
        </w:rPr>
        <w:t xml:space="preserve"> </w:t>
      </w:r>
      <w:r w:rsidRPr="00990FB6">
        <w:rPr>
          <w:i/>
          <w:iCs/>
          <w:sz w:val="22"/>
          <w:szCs w:val="22"/>
        </w:rPr>
        <w:t>los</w:t>
      </w:r>
      <w:r w:rsidRPr="00990FB6">
        <w:rPr>
          <w:i/>
          <w:iCs/>
          <w:spacing w:val="-10"/>
          <w:sz w:val="22"/>
          <w:szCs w:val="22"/>
        </w:rPr>
        <w:t xml:space="preserve"> </w:t>
      </w:r>
      <w:r w:rsidRPr="00990FB6">
        <w:rPr>
          <w:i/>
          <w:iCs/>
          <w:sz w:val="22"/>
          <w:szCs w:val="22"/>
        </w:rPr>
        <w:t>cuales</w:t>
      </w:r>
      <w:r w:rsidRPr="00990FB6">
        <w:rPr>
          <w:i/>
          <w:iCs/>
          <w:spacing w:val="-10"/>
          <w:sz w:val="22"/>
          <w:szCs w:val="22"/>
        </w:rPr>
        <w:t xml:space="preserve"> </w:t>
      </w:r>
      <w:r w:rsidRPr="00990FB6">
        <w:rPr>
          <w:i/>
          <w:iCs/>
          <w:sz w:val="22"/>
          <w:szCs w:val="22"/>
        </w:rPr>
        <w:t>se</w:t>
      </w:r>
      <w:r w:rsidRPr="00990FB6">
        <w:rPr>
          <w:i/>
          <w:iCs/>
          <w:spacing w:val="-9"/>
          <w:sz w:val="22"/>
          <w:szCs w:val="22"/>
        </w:rPr>
        <w:t xml:space="preserve"> </w:t>
      </w:r>
      <w:r w:rsidRPr="00990FB6">
        <w:rPr>
          <w:i/>
          <w:iCs/>
          <w:sz w:val="22"/>
          <w:szCs w:val="22"/>
        </w:rPr>
        <w:t>estarán</w:t>
      </w:r>
      <w:r w:rsidRPr="00990FB6">
        <w:rPr>
          <w:i/>
          <w:iCs/>
          <w:spacing w:val="-9"/>
          <w:sz w:val="22"/>
          <w:szCs w:val="22"/>
        </w:rPr>
        <w:t xml:space="preserve"> </w:t>
      </w:r>
      <w:r w:rsidRPr="00990FB6">
        <w:rPr>
          <w:i/>
          <w:iCs/>
          <w:sz w:val="22"/>
          <w:szCs w:val="22"/>
        </w:rPr>
        <w:t>incumpliendo</w:t>
      </w:r>
      <w:r w:rsidRPr="00990FB6">
        <w:rPr>
          <w:i/>
          <w:iCs/>
          <w:spacing w:val="-12"/>
          <w:sz w:val="22"/>
          <w:szCs w:val="22"/>
        </w:rPr>
        <w:t xml:space="preserve"> </w:t>
      </w:r>
      <w:r w:rsidRPr="00990FB6">
        <w:rPr>
          <w:i/>
          <w:iCs/>
          <w:sz w:val="22"/>
          <w:szCs w:val="22"/>
        </w:rPr>
        <w:t>de</w:t>
      </w:r>
      <w:r w:rsidRPr="00990FB6">
        <w:rPr>
          <w:i/>
          <w:iCs/>
          <w:spacing w:val="-9"/>
          <w:sz w:val="22"/>
          <w:szCs w:val="22"/>
        </w:rPr>
        <w:t xml:space="preserve"> </w:t>
      </w:r>
      <w:r w:rsidRPr="00990FB6">
        <w:rPr>
          <w:i/>
          <w:iCs/>
          <w:sz w:val="22"/>
          <w:szCs w:val="22"/>
        </w:rPr>
        <w:t>materializarse este rebajo.</w:t>
      </w:r>
    </w:p>
    <w:p w14:paraId="7572329C" w14:textId="77777777" w:rsidR="00B15F7D" w:rsidRPr="00990FB6" w:rsidRDefault="00B15F7D" w:rsidP="00B15F7D">
      <w:pPr>
        <w:ind w:left="851" w:right="851" w:firstLine="709"/>
        <w:jc w:val="both"/>
        <w:rPr>
          <w:i/>
          <w:iCs/>
          <w:sz w:val="22"/>
          <w:szCs w:val="22"/>
        </w:rPr>
      </w:pPr>
    </w:p>
    <w:p w14:paraId="390C882D" w14:textId="77777777" w:rsidR="00B15F7D" w:rsidRPr="00990FB6" w:rsidRDefault="00B15F7D" w:rsidP="00B15F7D">
      <w:pPr>
        <w:ind w:left="851" w:right="851" w:firstLine="709"/>
        <w:jc w:val="both"/>
        <w:rPr>
          <w:i/>
          <w:iCs/>
          <w:sz w:val="22"/>
          <w:szCs w:val="22"/>
        </w:rPr>
      </w:pPr>
      <w:r w:rsidRPr="00990FB6">
        <w:rPr>
          <w:i/>
          <w:iCs/>
          <w:sz w:val="22"/>
          <w:szCs w:val="22"/>
        </w:rPr>
        <w:t>Tal como se observa en el siguiente cuadro resumen, el rebajo implica un recorte general del gasto corriente, es decir, no se lograría ni completar el monto total requerido</w:t>
      </w:r>
      <w:r w:rsidRPr="00990FB6">
        <w:rPr>
          <w:i/>
          <w:iCs/>
          <w:spacing w:val="-13"/>
          <w:sz w:val="22"/>
          <w:szCs w:val="22"/>
        </w:rPr>
        <w:t xml:space="preserve"> </w:t>
      </w:r>
      <w:r w:rsidRPr="00990FB6">
        <w:rPr>
          <w:i/>
          <w:iCs/>
          <w:sz w:val="22"/>
          <w:szCs w:val="22"/>
        </w:rPr>
        <w:t>para</w:t>
      </w:r>
      <w:r w:rsidRPr="00990FB6">
        <w:rPr>
          <w:i/>
          <w:iCs/>
          <w:spacing w:val="-11"/>
          <w:sz w:val="22"/>
          <w:szCs w:val="22"/>
        </w:rPr>
        <w:t xml:space="preserve"> </w:t>
      </w:r>
      <w:r w:rsidRPr="00990FB6">
        <w:rPr>
          <w:i/>
          <w:iCs/>
          <w:sz w:val="22"/>
          <w:szCs w:val="22"/>
        </w:rPr>
        <w:t>contemplar</w:t>
      </w:r>
      <w:r w:rsidRPr="00990FB6">
        <w:rPr>
          <w:i/>
          <w:iCs/>
          <w:spacing w:val="-12"/>
          <w:sz w:val="22"/>
          <w:szCs w:val="22"/>
        </w:rPr>
        <w:t xml:space="preserve"> </w:t>
      </w:r>
      <w:r w:rsidRPr="00990FB6">
        <w:rPr>
          <w:i/>
          <w:iCs/>
          <w:sz w:val="22"/>
          <w:szCs w:val="22"/>
        </w:rPr>
        <w:t>el</w:t>
      </w:r>
      <w:r w:rsidRPr="00990FB6">
        <w:rPr>
          <w:i/>
          <w:iCs/>
          <w:spacing w:val="-10"/>
          <w:sz w:val="22"/>
          <w:szCs w:val="22"/>
        </w:rPr>
        <w:t xml:space="preserve"> </w:t>
      </w:r>
      <w:r w:rsidRPr="00990FB6">
        <w:rPr>
          <w:i/>
          <w:iCs/>
          <w:sz w:val="22"/>
          <w:szCs w:val="22"/>
        </w:rPr>
        <w:t>contrato</w:t>
      </w:r>
      <w:r w:rsidRPr="00990FB6">
        <w:rPr>
          <w:i/>
          <w:iCs/>
          <w:spacing w:val="-11"/>
          <w:sz w:val="22"/>
          <w:szCs w:val="22"/>
        </w:rPr>
        <w:t xml:space="preserve"> </w:t>
      </w:r>
      <w:r w:rsidRPr="00990FB6">
        <w:rPr>
          <w:i/>
          <w:iCs/>
          <w:sz w:val="22"/>
          <w:szCs w:val="22"/>
        </w:rPr>
        <w:t>que</w:t>
      </w:r>
      <w:r w:rsidRPr="00990FB6">
        <w:rPr>
          <w:i/>
          <w:iCs/>
          <w:spacing w:val="-11"/>
          <w:sz w:val="22"/>
          <w:szCs w:val="22"/>
        </w:rPr>
        <w:t xml:space="preserve"> </w:t>
      </w:r>
      <w:r w:rsidRPr="00990FB6">
        <w:rPr>
          <w:i/>
          <w:iCs/>
          <w:sz w:val="22"/>
          <w:szCs w:val="22"/>
        </w:rPr>
        <w:t>se</w:t>
      </w:r>
      <w:r w:rsidRPr="00990FB6">
        <w:rPr>
          <w:i/>
          <w:iCs/>
          <w:spacing w:val="-13"/>
          <w:sz w:val="22"/>
          <w:szCs w:val="22"/>
        </w:rPr>
        <w:t xml:space="preserve"> </w:t>
      </w:r>
      <w:r w:rsidRPr="00990FB6">
        <w:rPr>
          <w:i/>
          <w:iCs/>
          <w:sz w:val="22"/>
          <w:szCs w:val="22"/>
        </w:rPr>
        <w:t>tiene</w:t>
      </w:r>
      <w:r w:rsidRPr="00990FB6">
        <w:rPr>
          <w:i/>
          <w:iCs/>
          <w:spacing w:val="-11"/>
          <w:sz w:val="22"/>
          <w:szCs w:val="22"/>
        </w:rPr>
        <w:t xml:space="preserve"> </w:t>
      </w:r>
      <w:r w:rsidRPr="00990FB6">
        <w:rPr>
          <w:i/>
          <w:iCs/>
          <w:sz w:val="22"/>
          <w:szCs w:val="22"/>
        </w:rPr>
        <w:t>con</w:t>
      </w:r>
      <w:r w:rsidRPr="00990FB6">
        <w:rPr>
          <w:i/>
          <w:iCs/>
          <w:spacing w:val="-11"/>
          <w:sz w:val="22"/>
          <w:szCs w:val="22"/>
        </w:rPr>
        <w:t xml:space="preserve"> </w:t>
      </w:r>
      <w:r w:rsidRPr="00990FB6">
        <w:rPr>
          <w:i/>
          <w:iCs/>
          <w:sz w:val="22"/>
          <w:szCs w:val="22"/>
        </w:rPr>
        <w:t>el</w:t>
      </w:r>
      <w:r w:rsidRPr="00990FB6">
        <w:rPr>
          <w:i/>
          <w:iCs/>
          <w:spacing w:val="-12"/>
          <w:sz w:val="22"/>
          <w:szCs w:val="22"/>
        </w:rPr>
        <w:t xml:space="preserve"> </w:t>
      </w:r>
      <w:r w:rsidRPr="00990FB6">
        <w:rPr>
          <w:i/>
          <w:iCs/>
          <w:sz w:val="22"/>
          <w:szCs w:val="22"/>
        </w:rPr>
        <w:t>INS</w:t>
      </w:r>
      <w:r w:rsidRPr="00990FB6">
        <w:rPr>
          <w:i/>
          <w:iCs/>
          <w:spacing w:val="-13"/>
          <w:sz w:val="22"/>
          <w:szCs w:val="22"/>
        </w:rPr>
        <w:t xml:space="preserve"> </w:t>
      </w:r>
      <w:r w:rsidRPr="00990FB6">
        <w:rPr>
          <w:i/>
          <w:iCs/>
          <w:sz w:val="22"/>
          <w:szCs w:val="22"/>
        </w:rPr>
        <w:t>para</w:t>
      </w:r>
      <w:r w:rsidRPr="00990FB6">
        <w:rPr>
          <w:i/>
          <w:iCs/>
          <w:spacing w:val="-14"/>
          <w:sz w:val="22"/>
          <w:szCs w:val="22"/>
        </w:rPr>
        <w:t xml:space="preserve"> </w:t>
      </w:r>
      <w:r w:rsidRPr="00990FB6">
        <w:rPr>
          <w:i/>
          <w:iCs/>
          <w:sz w:val="22"/>
          <w:szCs w:val="22"/>
        </w:rPr>
        <w:t>el</w:t>
      </w:r>
      <w:r w:rsidRPr="00990FB6">
        <w:rPr>
          <w:i/>
          <w:iCs/>
          <w:spacing w:val="-12"/>
          <w:sz w:val="22"/>
          <w:szCs w:val="22"/>
        </w:rPr>
        <w:t xml:space="preserve"> </w:t>
      </w:r>
      <w:r w:rsidRPr="00990FB6">
        <w:rPr>
          <w:i/>
          <w:iCs/>
          <w:sz w:val="22"/>
          <w:szCs w:val="22"/>
        </w:rPr>
        <w:t>Centro</w:t>
      </w:r>
      <w:r w:rsidRPr="00990FB6">
        <w:rPr>
          <w:i/>
          <w:iCs/>
          <w:spacing w:val="-11"/>
          <w:sz w:val="22"/>
          <w:szCs w:val="22"/>
        </w:rPr>
        <w:t xml:space="preserve"> </w:t>
      </w:r>
      <w:r w:rsidRPr="00990FB6">
        <w:rPr>
          <w:i/>
          <w:iCs/>
          <w:sz w:val="22"/>
          <w:szCs w:val="22"/>
        </w:rPr>
        <w:t>Alterno de</w:t>
      </w:r>
      <w:r w:rsidRPr="00990FB6">
        <w:rPr>
          <w:i/>
          <w:iCs/>
          <w:spacing w:val="-2"/>
          <w:sz w:val="22"/>
          <w:szCs w:val="22"/>
        </w:rPr>
        <w:t xml:space="preserve"> </w:t>
      </w:r>
      <w:r w:rsidRPr="00990FB6">
        <w:rPr>
          <w:i/>
          <w:iCs/>
          <w:sz w:val="22"/>
          <w:szCs w:val="22"/>
        </w:rPr>
        <w:t>Datos</w:t>
      </w:r>
      <w:r w:rsidRPr="00990FB6">
        <w:rPr>
          <w:i/>
          <w:iCs/>
          <w:spacing w:val="-2"/>
          <w:sz w:val="22"/>
          <w:szCs w:val="22"/>
        </w:rPr>
        <w:t xml:space="preserve"> </w:t>
      </w:r>
      <w:r w:rsidRPr="00990FB6">
        <w:rPr>
          <w:i/>
          <w:iCs/>
          <w:sz w:val="22"/>
          <w:szCs w:val="22"/>
        </w:rPr>
        <w:t>y</w:t>
      </w:r>
      <w:r w:rsidRPr="00990FB6">
        <w:rPr>
          <w:i/>
          <w:iCs/>
          <w:spacing w:val="-4"/>
          <w:sz w:val="22"/>
          <w:szCs w:val="22"/>
        </w:rPr>
        <w:t xml:space="preserve"> </w:t>
      </w:r>
      <w:r w:rsidRPr="00990FB6">
        <w:rPr>
          <w:i/>
          <w:iCs/>
          <w:sz w:val="22"/>
          <w:szCs w:val="22"/>
        </w:rPr>
        <w:t>mucho</w:t>
      </w:r>
      <w:r w:rsidRPr="00990FB6">
        <w:rPr>
          <w:i/>
          <w:iCs/>
          <w:spacing w:val="-4"/>
          <w:sz w:val="22"/>
          <w:szCs w:val="22"/>
        </w:rPr>
        <w:t xml:space="preserve"> </w:t>
      </w:r>
      <w:r w:rsidRPr="00990FB6">
        <w:rPr>
          <w:i/>
          <w:iCs/>
          <w:sz w:val="22"/>
          <w:szCs w:val="22"/>
        </w:rPr>
        <w:t>menos</w:t>
      </w:r>
      <w:r w:rsidRPr="00990FB6">
        <w:rPr>
          <w:i/>
          <w:iCs/>
          <w:spacing w:val="-2"/>
          <w:sz w:val="22"/>
          <w:szCs w:val="22"/>
        </w:rPr>
        <w:t xml:space="preserve"> </w:t>
      </w:r>
      <w:r w:rsidRPr="00990FB6">
        <w:rPr>
          <w:i/>
          <w:iCs/>
          <w:sz w:val="22"/>
          <w:szCs w:val="22"/>
        </w:rPr>
        <w:t>para</w:t>
      </w:r>
      <w:r w:rsidRPr="00990FB6">
        <w:rPr>
          <w:i/>
          <w:iCs/>
          <w:spacing w:val="-2"/>
          <w:sz w:val="22"/>
          <w:szCs w:val="22"/>
        </w:rPr>
        <w:t xml:space="preserve"> </w:t>
      </w:r>
      <w:r w:rsidRPr="00990FB6">
        <w:rPr>
          <w:i/>
          <w:iCs/>
          <w:sz w:val="22"/>
          <w:szCs w:val="22"/>
        </w:rPr>
        <w:t>sufragar</w:t>
      </w:r>
      <w:r w:rsidRPr="00990FB6">
        <w:rPr>
          <w:i/>
          <w:iCs/>
          <w:spacing w:val="-2"/>
          <w:sz w:val="22"/>
          <w:szCs w:val="22"/>
        </w:rPr>
        <w:t xml:space="preserve"> </w:t>
      </w:r>
      <w:r w:rsidRPr="00990FB6">
        <w:rPr>
          <w:i/>
          <w:iCs/>
          <w:sz w:val="22"/>
          <w:szCs w:val="22"/>
        </w:rPr>
        <w:t>los</w:t>
      </w:r>
      <w:r w:rsidRPr="00990FB6">
        <w:rPr>
          <w:i/>
          <w:iCs/>
          <w:spacing w:val="-4"/>
          <w:sz w:val="22"/>
          <w:szCs w:val="22"/>
        </w:rPr>
        <w:t xml:space="preserve"> </w:t>
      </w:r>
      <w:r w:rsidRPr="00990FB6">
        <w:rPr>
          <w:i/>
          <w:iCs/>
          <w:sz w:val="22"/>
          <w:szCs w:val="22"/>
        </w:rPr>
        <w:t>demás</w:t>
      </w:r>
      <w:r w:rsidRPr="00990FB6">
        <w:rPr>
          <w:i/>
          <w:iCs/>
          <w:spacing w:val="-2"/>
          <w:sz w:val="22"/>
          <w:szCs w:val="22"/>
        </w:rPr>
        <w:t xml:space="preserve"> </w:t>
      </w:r>
      <w:r w:rsidRPr="00990FB6">
        <w:rPr>
          <w:i/>
          <w:iCs/>
          <w:sz w:val="22"/>
          <w:szCs w:val="22"/>
        </w:rPr>
        <w:t>contratos</w:t>
      </w:r>
      <w:r w:rsidRPr="00990FB6">
        <w:rPr>
          <w:i/>
          <w:iCs/>
          <w:spacing w:val="-2"/>
          <w:sz w:val="22"/>
          <w:szCs w:val="22"/>
        </w:rPr>
        <w:t xml:space="preserve"> </w:t>
      </w:r>
      <w:r w:rsidRPr="00990FB6">
        <w:rPr>
          <w:i/>
          <w:iCs/>
          <w:sz w:val="22"/>
          <w:szCs w:val="22"/>
        </w:rPr>
        <w:t>ya</w:t>
      </w:r>
      <w:r w:rsidRPr="00990FB6">
        <w:rPr>
          <w:i/>
          <w:iCs/>
          <w:spacing w:val="-2"/>
          <w:sz w:val="22"/>
          <w:szCs w:val="22"/>
        </w:rPr>
        <w:t xml:space="preserve"> </w:t>
      </w:r>
      <w:r w:rsidRPr="00990FB6">
        <w:rPr>
          <w:i/>
          <w:iCs/>
          <w:sz w:val="22"/>
          <w:szCs w:val="22"/>
        </w:rPr>
        <w:t>formalizados</w:t>
      </w:r>
      <w:r w:rsidRPr="00990FB6">
        <w:rPr>
          <w:i/>
          <w:iCs/>
          <w:spacing w:val="-2"/>
          <w:sz w:val="22"/>
          <w:szCs w:val="22"/>
        </w:rPr>
        <w:t xml:space="preserve"> </w:t>
      </w:r>
      <w:r w:rsidRPr="00990FB6">
        <w:rPr>
          <w:i/>
          <w:iCs/>
          <w:sz w:val="22"/>
          <w:szCs w:val="22"/>
        </w:rPr>
        <w:t xml:space="preserve">como lo es el del SOC </w:t>
      </w:r>
      <w:proofErr w:type="spellStart"/>
      <w:r w:rsidRPr="00990FB6">
        <w:rPr>
          <w:i/>
          <w:iCs/>
          <w:sz w:val="22"/>
          <w:szCs w:val="22"/>
        </w:rPr>
        <w:t>N°</w:t>
      </w:r>
      <w:proofErr w:type="spellEnd"/>
      <w:r w:rsidRPr="00990FB6">
        <w:rPr>
          <w:i/>
          <w:iCs/>
          <w:sz w:val="22"/>
          <w:szCs w:val="22"/>
        </w:rPr>
        <w:t xml:space="preserve"> 097122 y servicios de contratos de enlaces que se brindan actualmente con</w:t>
      </w:r>
      <w:r w:rsidRPr="00990FB6">
        <w:rPr>
          <w:i/>
          <w:iCs/>
          <w:spacing w:val="40"/>
          <w:sz w:val="22"/>
          <w:szCs w:val="22"/>
        </w:rPr>
        <w:t xml:space="preserve"> </w:t>
      </w:r>
      <w:proofErr w:type="spellStart"/>
      <w:r w:rsidRPr="00990FB6">
        <w:rPr>
          <w:i/>
          <w:iCs/>
          <w:sz w:val="22"/>
          <w:szCs w:val="22"/>
        </w:rPr>
        <w:t>N°</w:t>
      </w:r>
      <w:proofErr w:type="spellEnd"/>
      <w:r w:rsidRPr="00990FB6">
        <w:rPr>
          <w:i/>
          <w:iCs/>
          <w:sz w:val="22"/>
          <w:szCs w:val="22"/>
        </w:rPr>
        <w:t xml:space="preserve"> 78119 Enlaces punto a punto de Corredores y Puntarenas, 083119</w:t>
      </w:r>
      <w:r w:rsidRPr="00990FB6">
        <w:rPr>
          <w:i/>
          <w:iCs/>
          <w:spacing w:val="-17"/>
          <w:sz w:val="22"/>
          <w:szCs w:val="22"/>
        </w:rPr>
        <w:t xml:space="preserve"> </w:t>
      </w:r>
      <w:r w:rsidRPr="00990FB6">
        <w:rPr>
          <w:i/>
          <w:iCs/>
          <w:sz w:val="22"/>
          <w:szCs w:val="22"/>
        </w:rPr>
        <w:t>Enlaces</w:t>
      </w:r>
      <w:r w:rsidRPr="00990FB6">
        <w:rPr>
          <w:i/>
          <w:iCs/>
          <w:spacing w:val="-17"/>
          <w:sz w:val="22"/>
          <w:szCs w:val="22"/>
        </w:rPr>
        <w:t xml:space="preserve"> </w:t>
      </w:r>
      <w:r w:rsidRPr="00990FB6">
        <w:rPr>
          <w:i/>
          <w:iCs/>
          <w:sz w:val="22"/>
          <w:szCs w:val="22"/>
        </w:rPr>
        <w:t>punto</w:t>
      </w:r>
      <w:r w:rsidRPr="00990FB6">
        <w:rPr>
          <w:i/>
          <w:iCs/>
          <w:spacing w:val="-16"/>
          <w:sz w:val="22"/>
          <w:szCs w:val="22"/>
        </w:rPr>
        <w:t xml:space="preserve"> </w:t>
      </w:r>
      <w:r w:rsidRPr="00990FB6">
        <w:rPr>
          <w:i/>
          <w:iCs/>
          <w:sz w:val="22"/>
          <w:szCs w:val="22"/>
        </w:rPr>
        <w:t>a</w:t>
      </w:r>
      <w:r w:rsidRPr="00990FB6">
        <w:rPr>
          <w:i/>
          <w:iCs/>
          <w:spacing w:val="-17"/>
          <w:sz w:val="22"/>
          <w:szCs w:val="22"/>
        </w:rPr>
        <w:t xml:space="preserve"> </w:t>
      </w:r>
      <w:r w:rsidRPr="00990FB6">
        <w:rPr>
          <w:i/>
          <w:iCs/>
          <w:sz w:val="22"/>
          <w:szCs w:val="22"/>
        </w:rPr>
        <w:t>punto</w:t>
      </w:r>
      <w:r w:rsidRPr="00990FB6">
        <w:rPr>
          <w:i/>
          <w:iCs/>
          <w:spacing w:val="-17"/>
          <w:sz w:val="22"/>
          <w:szCs w:val="22"/>
        </w:rPr>
        <w:t xml:space="preserve"> </w:t>
      </w:r>
      <w:r w:rsidRPr="00990FB6">
        <w:rPr>
          <w:i/>
          <w:iCs/>
          <w:sz w:val="22"/>
          <w:szCs w:val="22"/>
        </w:rPr>
        <w:t>de</w:t>
      </w:r>
      <w:r w:rsidRPr="00990FB6">
        <w:rPr>
          <w:i/>
          <w:iCs/>
          <w:spacing w:val="-17"/>
          <w:sz w:val="22"/>
          <w:szCs w:val="22"/>
        </w:rPr>
        <w:t xml:space="preserve"> </w:t>
      </w:r>
      <w:r w:rsidRPr="00990FB6">
        <w:rPr>
          <w:i/>
          <w:iCs/>
          <w:sz w:val="22"/>
          <w:szCs w:val="22"/>
        </w:rPr>
        <w:t>PZ</w:t>
      </w:r>
      <w:r w:rsidRPr="00990FB6">
        <w:rPr>
          <w:i/>
          <w:iCs/>
          <w:spacing w:val="-16"/>
          <w:sz w:val="22"/>
          <w:szCs w:val="22"/>
        </w:rPr>
        <w:t xml:space="preserve"> </w:t>
      </w:r>
      <w:r w:rsidRPr="00990FB6">
        <w:rPr>
          <w:i/>
          <w:iCs/>
          <w:sz w:val="22"/>
          <w:szCs w:val="22"/>
        </w:rPr>
        <w:t>y</w:t>
      </w:r>
      <w:r w:rsidRPr="00990FB6">
        <w:rPr>
          <w:i/>
          <w:iCs/>
          <w:spacing w:val="-17"/>
          <w:sz w:val="22"/>
          <w:szCs w:val="22"/>
        </w:rPr>
        <w:t xml:space="preserve"> </w:t>
      </w:r>
      <w:r w:rsidRPr="00990FB6">
        <w:rPr>
          <w:i/>
          <w:iCs/>
          <w:sz w:val="22"/>
          <w:szCs w:val="22"/>
        </w:rPr>
        <w:t>Buenos</w:t>
      </w:r>
      <w:r w:rsidRPr="00990FB6">
        <w:rPr>
          <w:i/>
          <w:iCs/>
          <w:spacing w:val="-17"/>
          <w:sz w:val="22"/>
          <w:szCs w:val="22"/>
        </w:rPr>
        <w:t xml:space="preserve"> </w:t>
      </w:r>
      <w:r w:rsidRPr="00990FB6">
        <w:rPr>
          <w:i/>
          <w:iCs/>
          <w:sz w:val="22"/>
          <w:szCs w:val="22"/>
        </w:rPr>
        <w:t>Aires,</w:t>
      </w:r>
      <w:r w:rsidRPr="00990FB6">
        <w:rPr>
          <w:i/>
          <w:iCs/>
          <w:spacing w:val="-17"/>
          <w:sz w:val="22"/>
          <w:szCs w:val="22"/>
        </w:rPr>
        <w:t xml:space="preserve"> </w:t>
      </w:r>
      <w:r w:rsidRPr="00990FB6">
        <w:rPr>
          <w:i/>
          <w:iCs/>
          <w:sz w:val="22"/>
          <w:szCs w:val="22"/>
        </w:rPr>
        <w:t>017120</w:t>
      </w:r>
      <w:r w:rsidRPr="00990FB6">
        <w:rPr>
          <w:i/>
          <w:iCs/>
          <w:spacing w:val="-15"/>
          <w:sz w:val="22"/>
          <w:szCs w:val="22"/>
        </w:rPr>
        <w:t xml:space="preserve"> </w:t>
      </w:r>
      <w:r w:rsidRPr="00990FB6">
        <w:rPr>
          <w:i/>
          <w:iCs/>
          <w:sz w:val="22"/>
          <w:szCs w:val="22"/>
        </w:rPr>
        <w:t>Enlaces</w:t>
      </w:r>
      <w:r w:rsidRPr="00990FB6">
        <w:rPr>
          <w:i/>
          <w:iCs/>
          <w:spacing w:val="-16"/>
          <w:sz w:val="22"/>
          <w:szCs w:val="22"/>
        </w:rPr>
        <w:t xml:space="preserve"> </w:t>
      </w:r>
      <w:r w:rsidRPr="00990FB6">
        <w:rPr>
          <w:i/>
          <w:iCs/>
          <w:sz w:val="22"/>
          <w:szCs w:val="22"/>
        </w:rPr>
        <w:t>punto</w:t>
      </w:r>
      <w:r w:rsidRPr="00990FB6">
        <w:rPr>
          <w:i/>
          <w:iCs/>
          <w:spacing w:val="-16"/>
          <w:sz w:val="22"/>
          <w:szCs w:val="22"/>
        </w:rPr>
        <w:t xml:space="preserve"> </w:t>
      </w:r>
      <w:r w:rsidRPr="00990FB6">
        <w:rPr>
          <w:i/>
          <w:iCs/>
          <w:sz w:val="22"/>
          <w:szCs w:val="22"/>
        </w:rPr>
        <w:t>a</w:t>
      </w:r>
      <w:r w:rsidRPr="00990FB6">
        <w:rPr>
          <w:i/>
          <w:iCs/>
          <w:spacing w:val="-16"/>
          <w:sz w:val="22"/>
          <w:szCs w:val="22"/>
        </w:rPr>
        <w:t xml:space="preserve"> </w:t>
      </w:r>
      <w:r w:rsidRPr="00990FB6">
        <w:rPr>
          <w:i/>
          <w:iCs/>
          <w:sz w:val="22"/>
          <w:szCs w:val="22"/>
        </w:rPr>
        <w:t>punto</w:t>
      </w:r>
      <w:r w:rsidRPr="00990FB6">
        <w:rPr>
          <w:i/>
          <w:iCs/>
          <w:sz w:val="22"/>
          <w:szCs w:val="22"/>
          <w:lang w:val="es-CR"/>
        </w:rPr>
        <w:t xml:space="preserve"> </w:t>
      </w:r>
      <w:r w:rsidRPr="00990FB6">
        <w:rPr>
          <w:i/>
          <w:iCs/>
          <w:sz w:val="22"/>
          <w:szCs w:val="22"/>
        </w:rPr>
        <w:t>Ciudad</w:t>
      </w:r>
      <w:r w:rsidRPr="00990FB6">
        <w:rPr>
          <w:i/>
          <w:iCs/>
          <w:spacing w:val="-10"/>
          <w:sz w:val="22"/>
          <w:szCs w:val="22"/>
        </w:rPr>
        <w:t xml:space="preserve"> </w:t>
      </w:r>
      <w:r w:rsidRPr="00990FB6">
        <w:rPr>
          <w:i/>
          <w:iCs/>
          <w:sz w:val="22"/>
          <w:szCs w:val="22"/>
        </w:rPr>
        <w:t>Judicial,</w:t>
      </w:r>
      <w:r w:rsidRPr="00990FB6">
        <w:rPr>
          <w:i/>
          <w:iCs/>
          <w:spacing w:val="-11"/>
          <w:sz w:val="22"/>
          <w:szCs w:val="22"/>
        </w:rPr>
        <w:t xml:space="preserve"> </w:t>
      </w:r>
      <w:r w:rsidRPr="00990FB6">
        <w:rPr>
          <w:i/>
          <w:iCs/>
          <w:sz w:val="22"/>
          <w:szCs w:val="22"/>
        </w:rPr>
        <w:lastRenderedPageBreak/>
        <w:t>los</w:t>
      </w:r>
      <w:r w:rsidRPr="00990FB6">
        <w:rPr>
          <w:i/>
          <w:iCs/>
          <w:spacing w:val="-11"/>
          <w:sz w:val="22"/>
          <w:szCs w:val="22"/>
        </w:rPr>
        <w:t xml:space="preserve"> </w:t>
      </w:r>
      <w:r w:rsidRPr="00990FB6">
        <w:rPr>
          <w:i/>
          <w:iCs/>
          <w:sz w:val="22"/>
          <w:szCs w:val="22"/>
        </w:rPr>
        <w:t>de</w:t>
      </w:r>
      <w:r w:rsidRPr="00990FB6">
        <w:rPr>
          <w:i/>
          <w:iCs/>
          <w:spacing w:val="-12"/>
          <w:sz w:val="22"/>
          <w:szCs w:val="22"/>
        </w:rPr>
        <w:t xml:space="preserve"> </w:t>
      </w:r>
      <w:r w:rsidRPr="00990FB6">
        <w:rPr>
          <w:i/>
          <w:iCs/>
          <w:sz w:val="22"/>
          <w:szCs w:val="22"/>
        </w:rPr>
        <w:t>mantenimientos</w:t>
      </w:r>
      <w:r w:rsidRPr="00990FB6">
        <w:rPr>
          <w:i/>
          <w:iCs/>
          <w:spacing w:val="-11"/>
          <w:sz w:val="22"/>
          <w:szCs w:val="22"/>
        </w:rPr>
        <w:t xml:space="preserve"> </w:t>
      </w:r>
      <w:r w:rsidRPr="00990FB6">
        <w:rPr>
          <w:i/>
          <w:iCs/>
          <w:sz w:val="22"/>
          <w:szCs w:val="22"/>
        </w:rPr>
        <w:t>como</w:t>
      </w:r>
      <w:r w:rsidRPr="00990FB6">
        <w:rPr>
          <w:i/>
          <w:iCs/>
          <w:spacing w:val="-12"/>
          <w:sz w:val="22"/>
          <w:szCs w:val="22"/>
        </w:rPr>
        <w:t xml:space="preserve"> </w:t>
      </w:r>
      <w:proofErr w:type="spellStart"/>
      <w:r w:rsidRPr="00990FB6">
        <w:rPr>
          <w:i/>
          <w:iCs/>
          <w:sz w:val="22"/>
          <w:szCs w:val="22"/>
        </w:rPr>
        <w:t>N°</w:t>
      </w:r>
      <w:proofErr w:type="spellEnd"/>
      <w:r w:rsidRPr="00990FB6">
        <w:rPr>
          <w:i/>
          <w:iCs/>
          <w:spacing w:val="-12"/>
          <w:sz w:val="22"/>
          <w:szCs w:val="22"/>
        </w:rPr>
        <w:t xml:space="preserve"> </w:t>
      </w:r>
      <w:r w:rsidRPr="00990FB6">
        <w:rPr>
          <w:i/>
          <w:iCs/>
          <w:sz w:val="22"/>
          <w:szCs w:val="22"/>
        </w:rPr>
        <w:t>83121</w:t>
      </w:r>
      <w:r w:rsidRPr="00990FB6">
        <w:rPr>
          <w:i/>
          <w:iCs/>
          <w:spacing w:val="-6"/>
          <w:sz w:val="22"/>
          <w:szCs w:val="22"/>
        </w:rPr>
        <w:t xml:space="preserve"> </w:t>
      </w:r>
      <w:r w:rsidRPr="00990FB6">
        <w:rPr>
          <w:i/>
          <w:iCs/>
          <w:sz w:val="22"/>
          <w:szCs w:val="22"/>
        </w:rPr>
        <w:t>Mantenimiento</w:t>
      </w:r>
      <w:r w:rsidRPr="00990FB6">
        <w:rPr>
          <w:i/>
          <w:iCs/>
          <w:spacing w:val="-10"/>
          <w:sz w:val="22"/>
          <w:szCs w:val="22"/>
        </w:rPr>
        <w:t xml:space="preserve"> </w:t>
      </w:r>
      <w:r w:rsidRPr="00990FB6">
        <w:rPr>
          <w:i/>
          <w:iCs/>
          <w:sz w:val="22"/>
          <w:szCs w:val="22"/>
        </w:rPr>
        <w:t>de</w:t>
      </w:r>
      <w:r w:rsidRPr="00990FB6">
        <w:rPr>
          <w:i/>
          <w:iCs/>
          <w:spacing w:val="-10"/>
          <w:sz w:val="22"/>
          <w:szCs w:val="22"/>
        </w:rPr>
        <w:t xml:space="preserve"> </w:t>
      </w:r>
      <w:r w:rsidRPr="00990FB6">
        <w:rPr>
          <w:i/>
          <w:iCs/>
          <w:sz w:val="22"/>
          <w:szCs w:val="22"/>
        </w:rPr>
        <w:t>centrales telefónicas,</w:t>
      </w:r>
      <w:r w:rsidRPr="00990FB6">
        <w:rPr>
          <w:i/>
          <w:iCs/>
          <w:spacing w:val="-4"/>
          <w:sz w:val="22"/>
          <w:szCs w:val="22"/>
        </w:rPr>
        <w:t xml:space="preserve"> </w:t>
      </w:r>
      <w:r w:rsidRPr="00990FB6">
        <w:rPr>
          <w:i/>
          <w:iCs/>
          <w:sz w:val="22"/>
          <w:szCs w:val="22"/>
        </w:rPr>
        <w:t>047119</w:t>
      </w:r>
      <w:r w:rsidRPr="00990FB6">
        <w:rPr>
          <w:i/>
          <w:iCs/>
          <w:spacing w:val="-3"/>
          <w:sz w:val="22"/>
          <w:szCs w:val="22"/>
        </w:rPr>
        <w:t xml:space="preserve"> </w:t>
      </w:r>
      <w:r w:rsidRPr="00990FB6">
        <w:rPr>
          <w:i/>
          <w:iCs/>
          <w:sz w:val="22"/>
          <w:szCs w:val="22"/>
        </w:rPr>
        <w:t>Mantenimiento</w:t>
      </w:r>
      <w:r w:rsidRPr="00990FB6">
        <w:rPr>
          <w:i/>
          <w:iCs/>
          <w:spacing w:val="-5"/>
          <w:sz w:val="22"/>
          <w:szCs w:val="22"/>
        </w:rPr>
        <w:t xml:space="preserve"> </w:t>
      </w:r>
      <w:r w:rsidRPr="00990FB6">
        <w:rPr>
          <w:i/>
          <w:iCs/>
          <w:sz w:val="22"/>
          <w:szCs w:val="22"/>
        </w:rPr>
        <w:t>de</w:t>
      </w:r>
      <w:r w:rsidRPr="00990FB6">
        <w:rPr>
          <w:i/>
          <w:iCs/>
          <w:spacing w:val="-4"/>
          <w:sz w:val="22"/>
          <w:szCs w:val="22"/>
        </w:rPr>
        <w:t xml:space="preserve"> </w:t>
      </w:r>
      <w:r w:rsidRPr="00990FB6">
        <w:rPr>
          <w:i/>
          <w:iCs/>
          <w:sz w:val="22"/>
          <w:szCs w:val="22"/>
        </w:rPr>
        <w:t>switches,</w:t>
      </w:r>
      <w:r w:rsidRPr="00990FB6">
        <w:rPr>
          <w:i/>
          <w:iCs/>
          <w:spacing w:val="-4"/>
          <w:sz w:val="22"/>
          <w:szCs w:val="22"/>
        </w:rPr>
        <w:t xml:space="preserve"> </w:t>
      </w:r>
      <w:r w:rsidRPr="00990FB6">
        <w:rPr>
          <w:i/>
          <w:iCs/>
          <w:sz w:val="22"/>
          <w:szCs w:val="22"/>
        </w:rPr>
        <w:t>038120</w:t>
      </w:r>
      <w:r w:rsidRPr="00990FB6">
        <w:rPr>
          <w:i/>
          <w:iCs/>
          <w:spacing w:val="-3"/>
          <w:sz w:val="22"/>
          <w:szCs w:val="22"/>
        </w:rPr>
        <w:t xml:space="preserve"> </w:t>
      </w:r>
      <w:r w:rsidRPr="00990FB6">
        <w:rPr>
          <w:i/>
          <w:iCs/>
          <w:sz w:val="22"/>
          <w:szCs w:val="22"/>
        </w:rPr>
        <w:t>Mantenimiento</w:t>
      </w:r>
      <w:r w:rsidRPr="00990FB6">
        <w:rPr>
          <w:i/>
          <w:iCs/>
          <w:spacing w:val="-5"/>
          <w:sz w:val="22"/>
          <w:szCs w:val="22"/>
        </w:rPr>
        <w:t xml:space="preserve"> </w:t>
      </w:r>
      <w:r w:rsidRPr="00990FB6">
        <w:rPr>
          <w:i/>
          <w:iCs/>
          <w:sz w:val="22"/>
          <w:szCs w:val="22"/>
        </w:rPr>
        <w:t>de</w:t>
      </w:r>
      <w:r w:rsidRPr="00990FB6">
        <w:rPr>
          <w:i/>
          <w:iCs/>
          <w:spacing w:val="-4"/>
          <w:sz w:val="22"/>
          <w:szCs w:val="22"/>
        </w:rPr>
        <w:t xml:space="preserve"> </w:t>
      </w:r>
      <w:proofErr w:type="spellStart"/>
      <w:r w:rsidRPr="00990FB6">
        <w:rPr>
          <w:i/>
          <w:iCs/>
          <w:sz w:val="22"/>
          <w:szCs w:val="22"/>
        </w:rPr>
        <w:t>routers</w:t>
      </w:r>
      <w:proofErr w:type="spellEnd"/>
      <w:r w:rsidRPr="00990FB6">
        <w:rPr>
          <w:i/>
          <w:iCs/>
          <w:sz w:val="22"/>
          <w:szCs w:val="22"/>
        </w:rPr>
        <w:t>, entre otros; motivo por el cual, esta Dirección traslada el riesgo del impacto que pueda</w:t>
      </w:r>
      <w:r w:rsidRPr="00990FB6">
        <w:rPr>
          <w:i/>
          <w:iCs/>
          <w:spacing w:val="-9"/>
          <w:sz w:val="22"/>
          <w:szCs w:val="22"/>
        </w:rPr>
        <w:t xml:space="preserve"> </w:t>
      </w:r>
      <w:r w:rsidRPr="00990FB6">
        <w:rPr>
          <w:i/>
          <w:iCs/>
          <w:sz w:val="22"/>
          <w:szCs w:val="22"/>
        </w:rPr>
        <w:t>ocasionar</w:t>
      </w:r>
      <w:r w:rsidRPr="00990FB6">
        <w:rPr>
          <w:i/>
          <w:iCs/>
          <w:spacing w:val="-11"/>
          <w:sz w:val="22"/>
          <w:szCs w:val="22"/>
        </w:rPr>
        <w:t xml:space="preserve"> </w:t>
      </w:r>
      <w:r w:rsidRPr="00990FB6">
        <w:rPr>
          <w:i/>
          <w:iCs/>
          <w:sz w:val="22"/>
          <w:szCs w:val="22"/>
        </w:rPr>
        <w:t>este</w:t>
      </w:r>
      <w:r w:rsidRPr="00990FB6">
        <w:rPr>
          <w:i/>
          <w:iCs/>
          <w:spacing w:val="-9"/>
          <w:sz w:val="22"/>
          <w:szCs w:val="22"/>
        </w:rPr>
        <w:t xml:space="preserve"> </w:t>
      </w:r>
      <w:r w:rsidRPr="00990FB6">
        <w:rPr>
          <w:i/>
          <w:iCs/>
          <w:sz w:val="22"/>
          <w:szCs w:val="22"/>
        </w:rPr>
        <w:t>recorte</w:t>
      </w:r>
      <w:r w:rsidRPr="00990FB6">
        <w:rPr>
          <w:i/>
          <w:iCs/>
          <w:spacing w:val="-10"/>
          <w:sz w:val="22"/>
          <w:szCs w:val="22"/>
        </w:rPr>
        <w:t xml:space="preserve"> </w:t>
      </w:r>
      <w:r w:rsidRPr="00990FB6">
        <w:rPr>
          <w:i/>
          <w:iCs/>
          <w:sz w:val="22"/>
          <w:szCs w:val="22"/>
        </w:rPr>
        <w:t>presupuestario</w:t>
      </w:r>
      <w:r w:rsidRPr="00990FB6">
        <w:rPr>
          <w:i/>
          <w:iCs/>
          <w:spacing w:val="-12"/>
          <w:sz w:val="22"/>
          <w:szCs w:val="22"/>
        </w:rPr>
        <w:t xml:space="preserve"> </w:t>
      </w:r>
      <w:r w:rsidRPr="00990FB6">
        <w:rPr>
          <w:i/>
          <w:iCs/>
          <w:sz w:val="22"/>
          <w:szCs w:val="22"/>
        </w:rPr>
        <w:t>y</w:t>
      </w:r>
      <w:r w:rsidRPr="00990FB6">
        <w:rPr>
          <w:i/>
          <w:iCs/>
          <w:spacing w:val="-10"/>
          <w:sz w:val="22"/>
          <w:szCs w:val="22"/>
        </w:rPr>
        <w:t xml:space="preserve"> </w:t>
      </w:r>
      <w:r w:rsidRPr="00990FB6">
        <w:rPr>
          <w:i/>
          <w:iCs/>
          <w:sz w:val="22"/>
          <w:szCs w:val="22"/>
        </w:rPr>
        <w:t>la</w:t>
      </w:r>
      <w:r w:rsidRPr="00990FB6">
        <w:rPr>
          <w:i/>
          <w:iCs/>
          <w:spacing w:val="-10"/>
          <w:sz w:val="22"/>
          <w:szCs w:val="22"/>
        </w:rPr>
        <w:t xml:space="preserve"> </w:t>
      </w:r>
      <w:r w:rsidRPr="00990FB6">
        <w:rPr>
          <w:i/>
          <w:iCs/>
          <w:sz w:val="22"/>
          <w:szCs w:val="22"/>
        </w:rPr>
        <w:t>única</w:t>
      </w:r>
      <w:r w:rsidRPr="00990FB6">
        <w:rPr>
          <w:i/>
          <w:iCs/>
          <w:spacing w:val="-10"/>
          <w:sz w:val="22"/>
          <w:szCs w:val="22"/>
        </w:rPr>
        <w:t xml:space="preserve"> </w:t>
      </w:r>
      <w:r w:rsidRPr="00990FB6">
        <w:rPr>
          <w:i/>
          <w:iCs/>
          <w:sz w:val="22"/>
          <w:szCs w:val="22"/>
        </w:rPr>
        <w:t>opción</w:t>
      </w:r>
      <w:r w:rsidRPr="00990FB6">
        <w:rPr>
          <w:i/>
          <w:iCs/>
          <w:spacing w:val="-9"/>
          <w:sz w:val="22"/>
          <w:szCs w:val="22"/>
        </w:rPr>
        <w:t xml:space="preserve"> </w:t>
      </w:r>
      <w:r w:rsidRPr="00990FB6">
        <w:rPr>
          <w:i/>
          <w:iCs/>
          <w:sz w:val="22"/>
          <w:szCs w:val="22"/>
        </w:rPr>
        <w:t>que</w:t>
      </w:r>
      <w:r w:rsidRPr="00990FB6">
        <w:rPr>
          <w:i/>
          <w:iCs/>
          <w:spacing w:val="-9"/>
          <w:sz w:val="22"/>
          <w:szCs w:val="22"/>
        </w:rPr>
        <w:t xml:space="preserve"> </w:t>
      </w:r>
      <w:r w:rsidRPr="00990FB6">
        <w:rPr>
          <w:i/>
          <w:iCs/>
          <w:sz w:val="22"/>
          <w:szCs w:val="22"/>
        </w:rPr>
        <w:t>se</w:t>
      </w:r>
      <w:r w:rsidRPr="00990FB6">
        <w:rPr>
          <w:i/>
          <w:iCs/>
          <w:spacing w:val="-9"/>
          <w:sz w:val="22"/>
          <w:szCs w:val="22"/>
        </w:rPr>
        <w:t xml:space="preserve"> </w:t>
      </w:r>
      <w:r w:rsidRPr="00990FB6">
        <w:rPr>
          <w:i/>
          <w:iCs/>
          <w:sz w:val="22"/>
          <w:szCs w:val="22"/>
        </w:rPr>
        <w:t>percibe</w:t>
      </w:r>
      <w:r w:rsidRPr="00990FB6">
        <w:rPr>
          <w:i/>
          <w:iCs/>
          <w:spacing w:val="-9"/>
          <w:sz w:val="22"/>
          <w:szCs w:val="22"/>
        </w:rPr>
        <w:t xml:space="preserve"> </w:t>
      </w:r>
      <w:r w:rsidRPr="00990FB6">
        <w:rPr>
          <w:i/>
          <w:iCs/>
          <w:sz w:val="22"/>
          <w:szCs w:val="22"/>
        </w:rPr>
        <w:t>como viable</w:t>
      </w:r>
      <w:r w:rsidRPr="00990FB6">
        <w:rPr>
          <w:i/>
          <w:iCs/>
          <w:spacing w:val="-4"/>
          <w:sz w:val="22"/>
          <w:szCs w:val="22"/>
        </w:rPr>
        <w:t xml:space="preserve"> </w:t>
      </w:r>
      <w:r w:rsidRPr="00990FB6">
        <w:rPr>
          <w:i/>
          <w:iCs/>
          <w:sz w:val="22"/>
          <w:szCs w:val="22"/>
        </w:rPr>
        <w:t>es</w:t>
      </w:r>
      <w:r w:rsidRPr="00990FB6">
        <w:rPr>
          <w:i/>
          <w:iCs/>
          <w:spacing w:val="-7"/>
          <w:sz w:val="22"/>
          <w:szCs w:val="22"/>
        </w:rPr>
        <w:t xml:space="preserve"> </w:t>
      </w:r>
      <w:r w:rsidRPr="00990FB6">
        <w:rPr>
          <w:i/>
          <w:iCs/>
          <w:sz w:val="22"/>
          <w:szCs w:val="22"/>
        </w:rPr>
        <w:t>que</w:t>
      </w:r>
      <w:r w:rsidRPr="00990FB6">
        <w:rPr>
          <w:i/>
          <w:iCs/>
          <w:spacing w:val="-6"/>
          <w:sz w:val="22"/>
          <w:szCs w:val="22"/>
        </w:rPr>
        <w:t xml:space="preserve"> </w:t>
      </w:r>
      <w:r w:rsidRPr="00990FB6">
        <w:rPr>
          <w:i/>
          <w:iCs/>
          <w:sz w:val="22"/>
          <w:szCs w:val="22"/>
        </w:rPr>
        <w:t>el</w:t>
      </w:r>
      <w:r w:rsidRPr="00990FB6">
        <w:rPr>
          <w:i/>
          <w:iCs/>
          <w:spacing w:val="-5"/>
          <w:sz w:val="22"/>
          <w:szCs w:val="22"/>
        </w:rPr>
        <w:t xml:space="preserve"> </w:t>
      </w:r>
      <w:r w:rsidRPr="00990FB6">
        <w:rPr>
          <w:i/>
          <w:iCs/>
          <w:sz w:val="22"/>
          <w:szCs w:val="22"/>
        </w:rPr>
        <w:t>saldo</w:t>
      </w:r>
      <w:r w:rsidRPr="00990FB6">
        <w:rPr>
          <w:i/>
          <w:iCs/>
          <w:spacing w:val="-6"/>
          <w:sz w:val="22"/>
          <w:szCs w:val="22"/>
        </w:rPr>
        <w:t xml:space="preserve"> </w:t>
      </w:r>
      <w:r w:rsidRPr="00990FB6">
        <w:rPr>
          <w:i/>
          <w:iCs/>
          <w:sz w:val="22"/>
          <w:szCs w:val="22"/>
        </w:rPr>
        <w:t>que</w:t>
      </w:r>
      <w:r w:rsidRPr="00990FB6">
        <w:rPr>
          <w:i/>
          <w:iCs/>
          <w:spacing w:val="-4"/>
          <w:sz w:val="22"/>
          <w:szCs w:val="22"/>
        </w:rPr>
        <w:t xml:space="preserve"> </w:t>
      </w:r>
      <w:r w:rsidRPr="00990FB6">
        <w:rPr>
          <w:i/>
          <w:iCs/>
          <w:sz w:val="22"/>
          <w:szCs w:val="22"/>
        </w:rPr>
        <w:t>se</w:t>
      </w:r>
      <w:r w:rsidRPr="00990FB6">
        <w:rPr>
          <w:i/>
          <w:iCs/>
          <w:spacing w:val="-4"/>
          <w:sz w:val="22"/>
          <w:szCs w:val="22"/>
        </w:rPr>
        <w:t xml:space="preserve"> </w:t>
      </w:r>
      <w:r w:rsidRPr="00990FB6">
        <w:rPr>
          <w:i/>
          <w:iCs/>
          <w:sz w:val="22"/>
          <w:szCs w:val="22"/>
        </w:rPr>
        <w:t>tendría</w:t>
      </w:r>
      <w:r w:rsidRPr="00990FB6">
        <w:rPr>
          <w:i/>
          <w:iCs/>
          <w:spacing w:val="-4"/>
          <w:sz w:val="22"/>
          <w:szCs w:val="22"/>
        </w:rPr>
        <w:t xml:space="preserve"> </w:t>
      </w:r>
      <w:r w:rsidRPr="00990FB6">
        <w:rPr>
          <w:i/>
          <w:iCs/>
          <w:sz w:val="22"/>
          <w:szCs w:val="22"/>
        </w:rPr>
        <w:t>luego</w:t>
      </w:r>
      <w:r w:rsidRPr="00990FB6">
        <w:rPr>
          <w:i/>
          <w:iCs/>
          <w:spacing w:val="-4"/>
          <w:sz w:val="22"/>
          <w:szCs w:val="22"/>
        </w:rPr>
        <w:t xml:space="preserve"> </w:t>
      </w:r>
      <w:r w:rsidRPr="00990FB6">
        <w:rPr>
          <w:i/>
          <w:iCs/>
          <w:sz w:val="22"/>
          <w:szCs w:val="22"/>
        </w:rPr>
        <w:t>del</w:t>
      </w:r>
      <w:r w:rsidRPr="00990FB6">
        <w:rPr>
          <w:i/>
          <w:iCs/>
          <w:spacing w:val="-5"/>
          <w:sz w:val="22"/>
          <w:szCs w:val="22"/>
        </w:rPr>
        <w:t xml:space="preserve"> </w:t>
      </w:r>
      <w:r w:rsidRPr="00990FB6">
        <w:rPr>
          <w:i/>
          <w:iCs/>
          <w:sz w:val="22"/>
          <w:szCs w:val="22"/>
        </w:rPr>
        <w:t>impacto</w:t>
      </w:r>
      <w:r w:rsidRPr="00990FB6">
        <w:rPr>
          <w:i/>
          <w:iCs/>
          <w:spacing w:val="-6"/>
          <w:sz w:val="22"/>
          <w:szCs w:val="22"/>
        </w:rPr>
        <w:t xml:space="preserve"> </w:t>
      </w:r>
      <w:r w:rsidRPr="00990FB6">
        <w:rPr>
          <w:i/>
          <w:iCs/>
          <w:sz w:val="22"/>
          <w:szCs w:val="22"/>
        </w:rPr>
        <w:t>por</w:t>
      </w:r>
      <w:r w:rsidRPr="00990FB6">
        <w:rPr>
          <w:i/>
          <w:iCs/>
          <w:spacing w:val="-5"/>
          <w:sz w:val="22"/>
          <w:szCs w:val="22"/>
        </w:rPr>
        <w:t xml:space="preserve"> </w:t>
      </w:r>
      <w:r w:rsidRPr="00990FB6">
        <w:rPr>
          <w:i/>
          <w:iCs/>
          <w:sz w:val="22"/>
          <w:szCs w:val="22"/>
        </w:rPr>
        <w:t>el</w:t>
      </w:r>
      <w:r w:rsidRPr="00990FB6">
        <w:rPr>
          <w:i/>
          <w:iCs/>
          <w:spacing w:val="-5"/>
          <w:sz w:val="22"/>
          <w:szCs w:val="22"/>
        </w:rPr>
        <w:t xml:space="preserve"> </w:t>
      </w:r>
      <w:r w:rsidRPr="00990FB6">
        <w:rPr>
          <w:i/>
          <w:iCs/>
          <w:sz w:val="22"/>
          <w:szCs w:val="22"/>
        </w:rPr>
        <w:t>rebajo,</w:t>
      </w:r>
      <w:r w:rsidRPr="00990FB6">
        <w:rPr>
          <w:i/>
          <w:iCs/>
          <w:spacing w:val="-4"/>
          <w:sz w:val="22"/>
          <w:szCs w:val="22"/>
        </w:rPr>
        <w:t xml:space="preserve"> </w:t>
      </w:r>
      <w:r w:rsidRPr="00990FB6">
        <w:rPr>
          <w:i/>
          <w:iCs/>
          <w:sz w:val="22"/>
          <w:szCs w:val="22"/>
        </w:rPr>
        <w:t>se</w:t>
      </w:r>
      <w:r w:rsidRPr="00990FB6">
        <w:rPr>
          <w:i/>
          <w:iCs/>
          <w:spacing w:val="-6"/>
          <w:sz w:val="22"/>
          <w:szCs w:val="22"/>
        </w:rPr>
        <w:t xml:space="preserve"> </w:t>
      </w:r>
      <w:r w:rsidRPr="00990FB6">
        <w:rPr>
          <w:i/>
          <w:iCs/>
          <w:sz w:val="22"/>
          <w:szCs w:val="22"/>
        </w:rPr>
        <w:t>utilice</w:t>
      </w:r>
      <w:r w:rsidRPr="00990FB6">
        <w:rPr>
          <w:i/>
          <w:iCs/>
          <w:spacing w:val="-4"/>
          <w:sz w:val="22"/>
          <w:szCs w:val="22"/>
        </w:rPr>
        <w:t xml:space="preserve"> </w:t>
      </w:r>
      <w:r w:rsidRPr="00990FB6">
        <w:rPr>
          <w:i/>
          <w:iCs/>
          <w:sz w:val="22"/>
          <w:szCs w:val="22"/>
        </w:rPr>
        <w:t>para cubrir</w:t>
      </w:r>
      <w:r w:rsidRPr="00990FB6">
        <w:rPr>
          <w:i/>
          <w:iCs/>
          <w:spacing w:val="-9"/>
          <w:sz w:val="22"/>
          <w:szCs w:val="22"/>
        </w:rPr>
        <w:t xml:space="preserve"> </w:t>
      </w:r>
      <w:r w:rsidRPr="00990FB6">
        <w:rPr>
          <w:i/>
          <w:iCs/>
          <w:sz w:val="22"/>
          <w:szCs w:val="22"/>
        </w:rPr>
        <w:t>algunas</w:t>
      </w:r>
      <w:r w:rsidRPr="00990FB6">
        <w:rPr>
          <w:i/>
          <w:iCs/>
          <w:spacing w:val="-10"/>
          <w:sz w:val="22"/>
          <w:szCs w:val="22"/>
        </w:rPr>
        <w:t xml:space="preserve"> </w:t>
      </w:r>
      <w:r w:rsidRPr="00990FB6">
        <w:rPr>
          <w:i/>
          <w:iCs/>
          <w:sz w:val="22"/>
          <w:szCs w:val="22"/>
        </w:rPr>
        <w:t>mensualidades</w:t>
      </w:r>
      <w:r w:rsidRPr="00990FB6">
        <w:rPr>
          <w:i/>
          <w:iCs/>
          <w:spacing w:val="-11"/>
          <w:sz w:val="22"/>
          <w:szCs w:val="22"/>
        </w:rPr>
        <w:t xml:space="preserve"> </w:t>
      </w:r>
      <w:r w:rsidRPr="00990FB6">
        <w:rPr>
          <w:i/>
          <w:iCs/>
          <w:sz w:val="22"/>
          <w:szCs w:val="22"/>
        </w:rPr>
        <w:t>del</w:t>
      </w:r>
      <w:r w:rsidRPr="00990FB6">
        <w:rPr>
          <w:i/>
          <w:iCs/>
          <w:spacing w:val="-7"/>
          <w:sz w:val="22"/>
          <w:szCs w:val="22"/>
        </w:rPr>
        <w:t xml:space="preserve"> </w:t>
      </w:r>
      <w:r w:rsidRPr="00990FB6">
        <w:rPr>
          <w:i/>
          <w:iCs/>
          <w:sz w:val="22"/>
          <w:szCs w:val="22"/>
        </w:rPr>
        <w:t>contrato</w:t>
      </w:r>
      <w:r w:rsidRPr="00990FB6">
        <w:rPr>
          <w:i/>
          <w:iCs/>
          <w:spacing w:val="-7"/>
          <w:sz w:val="22"/>
          <w:szCs w:val="22"/>
        </w:rPr>
        <w:t xml:space="preserve"> </w:t>
      </w:r>
      <w:r w:rsidRPr="00990FB6">
        <w:rPr>
          <w:i/>
          <w:iCs/>
          <w:sz w:val="22"/>
          <w:szCs w:val="22"/>
        </w:rPr>
        <w:t>con</w:t>
      </w:r>
      <w:r w:rsidRPr="00990FB6">
        <w:rPr>
          <w:i/>
          <w:iCs/>
          <w:spacing w:val="-8"/>
          <w:sz w:val="22"/>
          <w:szCs w:val="22"/>
        </w:rPr>
        <w:t xml:space="preserve"> </w:t>
      </w:r>
      <w:r w:rsidRPr="00990FB6">
        <w:rPr>
          <w:i/>
          <w:iCs/>
          <w:sz w:val="22"/>
          <w:szCs w:val="22"/>
        </w:rPr>
        <w:t>el</w:t>
      </w:r>
      <w:r w:rsidRPr="00990FB6">
        <w:rPr>
          <w:i/>
          <w:iCs/>
          <w:spacing w:val="-9"/>
          <w:sz w:val="22"/>
          <w:szCs w:val="22"/>
        </w:rPr>
        <w:t xml:space="preserve"> </w:t>
      </w:r>
      <w:r w:rsidRPr="00990FB6">
        <w:rPr>
          <w:i/>
          <w:iCs/>
          <w:sz w:val="22"/>
          <w:szCs w:val="22"/>
        </w:rPr>
        <w:t>INS,</w:t>
      </w:r>
      <w:r w:rsidRPr="00990FB6">
        <w:rPr>
          <w:i/>
          <w:iCs/>
          <w:spacing w:val="-8"/>
          <w:sz w:val="22"/>
          <w:szCs w:val="22"/>
        </w:rPr>
        <w:t xml:space="preserve"> </w:t>
      </w:r>
      <w:r w:rsidRPr="00990FB6">
        <w:rPr>
          <w:i/>
          <w:iCs/>
          <w:sz w:val="22"/>
          <w:szCs w:val="22"/>
        </w:rPr>
        <w:t>tomando</w:t>
      </w:r>
      <w:r w:rsidRPr="00990FB6">
        <w:rPr>
          <w:i/>
          <w:iCs/>
          <w:spacing w:val="-10"/>
          <w:sz w:val="22"/>
          <w:szCs w:val="22"/>
        </w:rPr>
        <w:t xml:space="preserve"> </w:t>
      </w:r>
      <w:r w:rsidRPr="00990FB6">
        <w:rPr>
          <w:i/>
          <w:iCs/>
          <w:sz w:val="22"/>
          <w:szCs w:val="22"/>
        </w:rPr>
        <w:t>en</w:t>
      </w:r>
      <w:r w:rsidRPr="00990FB6">
        <w:rPr>
          <w:i/>
          <w:iCs/>
          <w:spacing w:val="-8"/>
          <w:sz w:val="22"/>
          <w:szCs w:val="22"/>
        </w:rPr>
        <w:t xml:space="preserve"> </w:t>
      </w:r>
      <w:r w:rsidRPr="00990FB6">
        <w:rPr>
          <w:i/>
          <w:iCs/>
          <w:sz w:val="22"/>
          <w:szCs w:val="22"/>
        </w:rPr>
        <w:t>cuenta</w:t>
      </w:r>
      <w:r w:rsidRPr="00990FB6">
        <w:rPr>
          <w:i/>
          <w:iCs/>
          <w:spacing w:val="-5"/>
          <w:sz w:val="22"/>
          <w:szCs w:val="22"/>
        </w:rPr>
        <w:t xml:space="preserve"> </w:t>
      </w:r>
      <w:r w:rsidRPr="00990FB6">
        <w:rPr>
          <w:i/>
          <w:iCs/>
          <w:sz w:val="22"/>
          <w:szCs w:val="22"/>
        </w:rPr>
        <w:t>todos</w:t>
      </w:r>
      <w:r w:rsidRPr="00990FB6">
        <w:rPr>
          <w:i/>
          <w:iCs/>
          <w:spacing w:val="-11"/>
          <w:sz w:val="22"/>
          <w:szCs w:val="22"/>
        </w:rPr>
        <w:t xml:space="preserve"> </w:t>
      </w:r>
      <w:r w:rsidRPr="00990FB6">
        <w:rPr>
          <w:i/>
          <w:iCs/>
          <w:sz w:val="22"/>
          <w:szCs w:val="22"/>
        </w:rPr>
        <w:t>los riesgos que se tendrían, según oficio remitido esta mañana.</w:t>
      </w:r>
      <w:r w:rsidRPr="00990FB6">
        <w:rPr>
          <w:i/>
          <w:iCs/>
          <w:spacing w:val="40"/>
          <w:sz w:val="22"/>
          <w:szCs w:val="22"/>
        </w:rPr>
        <w:t xml:space="preserve"> </w:t>
      </w:r>
      <w:r w:rsidRPr="00990FB6">
        <w:rPr>
          <w:i/>
          <w:iCs/>
          <w:sz w:val="22"/>
          <w:szCs w:val="22"/>
        </w:rPr>
        <w:t>Es importante aclarar que, todas las líneas adicionales a estos meses del contrato con el INS, quedarán en “0” según lo requerido.</w:t>
      </w:r>
    </w:p>
    <w:p w14:paraId="30D109C7" w14:textId="77777777" w:rsidR="00B15F7D" w:rsidRPr="00990FB6" w:rsidRDefault="00B15F7D" w:rsidP="00B15F7D">
      <w:pPr>
        <w:ind w:left="851" w:right="851" w:firstLine="709"/>
        <w:jc w:val="both"/>
        <w:rPr>
          <w:sz w:val="22"/>
          <w:szCs w:val="22"/>
          <w:lang w:val="es-CR" w:eastAsia="en-US"/>
        </w:rPr>
      </w:pPr>
    </w:p>
    <w:p w14:paraId="5E70F28E" w14:textId="77777777" w:rsidR="00B15F7D" w:rsidRPr="00990FB6" w:rsidRDefault="00B15F7D" w:rsidP="00B15F7D">
      <w:pPr>
        <w:ind w:left="851" w:right="851" w:firstLine="709"/>
        <w:jc w:val="both"/>
        <w:rPr>
          <w:sz w:val="22"/>
          <w:szCs w:val="22"/>
          <w:lang w:val="es-CR" w:eastAsia="en-US"/>
        </w:rPr>
      </w:pPr>
      <w:r w:rsidRPr="00990FB6">
        <w:rPr>
          <w:sz w:val="22"/>
          <w:szCs w:val="22"/>
          <w:lang w:val="es-CR" w:eastAsia="en-US"/>
        </w:rPr>
        <w:t xml:space="preserve">Se adjunta resumen de las afectaciones, distribuidos por programa y en Gasto Corriente y Gasto de Capital: </w:t>
      </w:r>
    </w:p>
    <w:p w14:paraId="2E161491" w14:textId="77777777" w:rsidR="00B15F7D" w:rsidRPr="00990FB6" w:rsidRDefault="00B15F7D" w:rsidP="00B15F7D">
      <w:pPr>
        <w:ind w:left="851" w:right="851" w:firstLine="709"/>
        <w:jc w:val="both"/>
        <w:rPr>
          <w:color w:val="000099"/>
          <w:sz w:val="22"/>
          <w:szCs w:val="22"/>
          <w:lang w:val="es-CR" w:eastAsia="en-US"/>
        </w:rPr>
      </w:pPr>
    </w:p>
    <w:p w14:paraId="201FD67E" w14:textId="77777777" w:rsidR="00B15F7D" w:rsidRPr="00990FB6" w:rsidRDefault="00B15F7D" w:rsidP="00B15F7D">
      <w:pPr>
        <w:rPr>
          <w:sz w:val="22"/>
          <w:szCs w:val="22"/>
          <w:lang w:eastAsia="es-ES"/>
        </w:rPr>
      </w:pPr>
      <w:r w:rsidRPr="00990FB6">
        <w:rPr>
          <w:noProof/>
          <w:sz w:val="22"/>
          <w:szCs w:val="22"/>
          <w:lang w:eastAsia="es-CR"/>
        </w:rPr>
        <w:drawing>
          <wp:inline distT="0" distB="0" distL="0" distR="0" wp14:anchorId="16FE03B7" wp14:editId="29E14365">
            <wp:extent cx="5311140" cy="1813560"/>
            <wp:effectExtent l="0" t="0" r="3810" b="0"/>
            <wp:docPr id="1937492963" name="Imagen 193749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11140" cy="1813560"/>
                    </a:xfrm>
                    <a:prstGeom prst="rect">
                      <a:avLst/>
                    </a:prstGeom>
                    <a:noFill/>
                    <a:ln>
                      <a:noFill/>
                    </a:ln>
                  </pic:spPr>
                </pic:pic>
              </a:graphicData>
            </a:graphic>
          </wp:inline>
        </w:drawing>
      </w:r>
    </w:p>
    <w:p w14:paraId="0074751F" w14:textId="77777777" w:rsidR="00B15F7D" w:rsidRPr="00990FB6" w:rsidRDefault="00B15F7D" w:rsidP="00B15F7D">
      <w:pPr>
        <w:rPr>
          <w:sz w:val="22"/>
          <w:szCs w:val="22"/>
          <w:lang w:eastAsia="es-ES"/>
        </w:rPr>
      </w:pPr>
    </w:p>
    <w:p w14:paraId="0EBDD578" w14:textId="77777777" w:rsidR="00B15F7D" w:rsidRPr="00990FB6" w:rsidRDefault="00B15F7D" w:rsidP="00B15F7D">
      <w:pPr>
        <w:jc w:val="center"/>
        <w:rPr>
          <w:sz w:val="22"/>
          <w:szCs w:val="22"/>
          <w:lang w:eastAsia="es-ES"/>
        </w:rPr>
      </w:pPr>
      <w:r w:rsidRPr="00990FB6">
        <w:rPr>
          <w:sz w:val="22"/>
          <w:szCs w:val="22"/>
        </w:rPr>
        <w:object w:dxaOrig="1513" w:dyaOrig="989" w14:anchorId="0EA31134">
          <v:shape id="_x0000_i1064" type="#_x0000_t75" style="width:77pt;height:51.5pt" o:ole="">
            <v:imagedata r:id="rId143" o:title=""/>
          </v:shape>
          <o:OLEObject Type="Embed" ProgID="Package" ShapeID="_x0000_i1064" DrawAspect="Icon" ObjectID="_1748679192" r:id="rId144"/>
        </w:object>
      </w:r>
      <w:r w:rsidRPr="00990FB6">
        <w:rPr>
          <w:sz w:val="22"/>
          <w:szCs w:val="22"/>
        </w:rPr>
        <w:t xml:space="preserve">         </w:t>
      </w:r>
      <w:r w:rsidRPr="00990FB6">
        <w:rPr>
          <w:sz w:val="22"/>
          <w:szCs w:val="22"/>
        </w:rPr>
        <w:object w:dxaOrig="1513" w:dyaOrig="989" w14:anchorId="20D7A201">
          <v:shape id="_x0000_i1065" type="#_x0000_t75" style="width:77pt;height:51.5pt" o:ole="">
            <v:imagedata r:id="rId145" o:title=""/>
          </v:shape>
          <o:OLEObject Type="Embed" ProgID="Package" ShapeID="_x0000_i1065" DrawAspect="Icon" ObjectID="_1748679193" r:id="rId146"/>
        </w:object>
      </w:r>
    </w:p>
    <w:p w14:paraId="23B320B5" w14:textId="77777777" w:rsidR="00B15F7D" w:rsidRPr="00990FB6" w:rsidRDefault="00B15F7D" w:rsidP="00B15F7D">
      <w:pPr>
        <w:rPr>
          <w:color w:val="000099"/>
          <w:sz w:val="22"/>
          <w:szCs w:val="22"/>
          <w:lang w:eastAsia="es-ES"/>
        </w:rPr>
      </w:pPr>
      <w:r w:rsidRPr="00990FB6">
        <w:rPr>
          <w:sz w:val="22"/>
          <w:szCs w:val="22"/>
        </w:rPr>
        <w:t xml:space="preserve"> </w:t>
      </w:r>
    </w:p>
    <w:p w14:paraId="29FA8301" w14:textId="77777777" w:rsidR="00B15F7D" w:rsidRPr="00990FB6" w:rsidRDefault="00B15F7D" w:rsidP="00B15F7D">
      <w:pPr>
        <w:numPr>
          <w:ilvl w:val="0"/>
          <w:numId w:val="196"/>
        </w:numPr>
        <w:tabs>
          <w:tab w:val="left" w:pos="142"/>
        </w:tabs>
        <w:suppressAutoHyphens w:val="0"/>
        <w:ind w:left="851" w:right="851" w:firstLine="142"/>
        <w:contextualSpacing/>
        <w:jc w:val="both"/>
        <w:rPr>
          <w:b/>
          <w:i/>
          <w:sz w:val="22"/>
          <w:szCs w:val="22"/>
          <w:u w:val="single"/>
        </w:rPr>
      </w:pPr>
      <w:r w:rsidRPr="00990FB6">
        <w:rPr>
          <w:b/>
          <w:i/>
          <w:sz w:val="22"/>
          <w:szCs w:val="22"/>
          <w:u w:val="single"/>
        </w:rPr>
        <w:t>Dirección Ejecutiva:</w:t>
      </w:r>
    </w:p>
    <w:p w14:paraId="0A8084E3" w14:textId="77777777" w:rsidR="00B15F7D" w:rsidRPr="00990FB6" w:rsidRDefault="00B15F7D" w:rsidP="00B15F7D">
      <w:pPr>
        <w:tabs>
          <w:tab w:val="left" w:pos="142"/>
        </w:tabs>
        <w:ind w:left="851" w:right="851" w:firstLine="142"/>
        <w:contextualSpacing/>
        <w:jc w:val="both"/>
        <w:rPr>
          <w:b/>
          <w:i/>
          <w:sz w:val="22"/>
          <w:szCs w:val="22"/>
          <w:u w:val="single"/>
        </w:rPr>
      </w:pPr>
    </w:p>
    <w:p w14:paraId="7F76A72E" w14:textId="77777777" w:rsidR="00B15F7D" w:rsidRPr="00990FB6" w:rsidRDefault="00B15F7D" w:rsidP="00B15F7D">
      <w:pPr>
        <w:ind w:left="851" w:right="851" w:firstLine="142"/>
        <w:jc w:val="both"/>
        <w:rPr>
          <w:sz w:val="22"/>
          <w:szCs w:val="22"/>
          <w:lang w:eastAsia="es-CR"/>
        </w:rPr>
      </w:pPr>
      <w:r w:rsidRPr="00990FB6">
        <w:rPr>
          <w:sz w:val="22"/>
          <w:szCs w:val="22"/>
        </w:rPr>
        <w:t xml:space="preserve">Mediante oficio 1403-DE-2023 La Dirección Ejecutiva reitera la propuesta de afectaciones remitida el 05 de mayo en curso por un monto de </w:t>
      </w:r>
      <w:r w:rsidRPr="00990FB6">
        <w:rPr>
          <w:sz w:val="22"/>
          <w:szCs w:val="22"/>
          <w:lang w:eastAsia="es-CR"/>
        </w:rPr>
        <w:t>₡1.836.313.808 y adicionalmente por la solicitud de fecha 12 de mayo de una nueva afectación en gasto corriente por la suma adicional de ¢1.685.664.234.53, según se detalla:</w:t>
      </w:r>
    </w:p>
    <w:p w14:paraId="05F88670" w14:textId="77777777" w:rsidR="00B15F7D" w:rsidRPr="00990FB6" w:rsidRDefault="00B15F7D" w:rsidP="00B15F7D">
      <w:pPr>
        <w:ind w:left="851" w:right="851" w:firstLine="142"/>
        <w:jc w:val="both"/>
        <w:rPr>
          <w:sz w:val="22"/>
          <w:szCs w:val="22"/>
          <w:lang w:eastAsia="es-CR"/>
        </w:rPr>
      </w:pPr>
    </w:p>
    <w:p w14:paraId="2A4A3627" w14:textId="77777777" w:rsidR="00B15F7D" w:rsidRPr="00990FB6" w:rsidRDefault="00B15F7D" w:rsidP="00B15F7D">
      <w:pPr>
        <w:jc w:val="center"/>
        <w:rPr>
          <w:color w:val="000000"/>
          <w:sz w:val="22"/>
          <w:szCs w:val="22"/>
          <w:lang w:eastAsia="es-CR"/>
        </w:rPr>
      </w:pPr>
      <w:r w:rsidRPr="00990FB6">
        <w:rPr>
          <w:noProof/>
          <w:sz w:val="22"/>
          <w:szCs w:val="22"/>
          <w:lang w:eastAsia="es-CR"/>
        </w:rPr>
        <w:drawing>
          <wp:inline distT="0" distB="0" distL="0" distR="0" wp14:anchorId="41E35135" wp14:editId="48AF3E16">
            <wp:extent cx="5311140" cy="762000"/>
            <wp:effectExtent l="0" t="0" r="3810" b="0"/>
            <wp:docPr id="468230329" name="Imagen 46823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11140" cy="762000"/>
                    </a:xfrm>
                    <a:prstGeom prst="rect">
                      <a:avLst/>
                    </a:prstGeom>
                    <a:noFill/>
                    <a:ln>
                      <a:noFill/>
                    </a:ln>
                  </pic:spPr>
                </pic:pic>
              </a:graphicData>
            </a:graphic>
          </wp:inline>
        </w:drawing>
      </w:r>
    </w:p>
    <w:tbl>
      <w:tblPr>
        <w:tblW w:w="8814" w:type="dxa"/>
        <w:tblCellMar>
          <w:left w:w="0" w:type="dxa"/>
          <w:right w:w="0" w:type="dxa"/>
        </w:tblCellMar>
        <w:tblLook w:val="04A0" w:firstRow="1" w:lastRow="0" w:firstColumn="1" w:lastColumn="0" w:noHBand="0" w:noVBand="1"/>
      </w:tblPr>
      <w:tblGrid>
        <w:gridCol w:w="2651"/>
        <w:gridCol w:w="1788"/>
        <w:gridCol w:w="146"/>
        <w:gridCol w:w="2650"/>
        <w:gridCol w:w="1584"/>
      </w:tblGrid>
      <w:tr w:rsidR="00B15F7D" w:rsidRPr="00990FB6" w14:paraId="7E88D85A" w14:textId="77777777" w:rsidTr="000A0C22">
        <w:trPr>
          <w:trHeight w:val="277"/>
        </w:trPr>
        <w:tc>
          <w:tcPr>
            <w:tcW w:w="8814" w:type="dxa"/>
            <w:gridSpan w:val="5"/>
            <w:noWrap/>
            <w:tcMar>
              <w:top w:w="0" w:type="dxa"/>
              <w:left w:w="70" w:type="dxa"/>
              <w:bottom w:w="0" w:type="dxa"/>
              <w:right w:w="70" w:type="dxa"/>
            </w:tcMar>
            <w:vAlign w:val="center"/>
            <w:hideMark/>
          </w:tcPr>
          <w:p w14:paraId="7C0C4A3C" w14:textId="77777777" w:rsidR="00B15F7D" w:rsidRPr="00990FB6" w:rsidRDefault="00B15F7D" w:rsidP="00B15F7D">
            <w:pPr>
              <w:jc w:val="both"/>
              <w:rPr>
                <w:rFonts w:eastAsia="Calibri"/>
                <w:b/>
                <w:bCs/>
                <w:color w:val="000000"/>
                <w:sz w:val="22"/>
                <w:szCs w:val="22"/>
                <w:lang w:eastAsia="es-CR"/>
              </w:rPr>
            </w:pPr>
            <w:r w:rsidRPr="00990FB6">
              <w:rPr>
                <w:rFonts w:eastAsia="Calibri"/>
                <w:b/>
                <w:bCs/>
                <w:color w:val="000000"/>
                <w:sz w:val="22"/>
                <w:szCs w:val="22"/>
                <w:lang w:eastAsia="es-CR"/>
              </w:rPr>
              <w:t>RESUMEN PROPUESTA DE REBAJOS PPTO 2024 PROG. 926 Y 927 del 05 de mayo 2023 por ¢1.836.313.808</w:t>
            </w:r>
          </w:p>
        </w:tc>
      </w:tr>
      <w:tr w:rsidR="00B15F7D" w:rsidRPr="00990FB6" w14:paraId="61F652A3" w14:textId="77777777" w:rsidTr="000A0C22">
        <w:trPr>
          <w:trHeight w:val="277"/>
        </w:trPr>
        <w:tc>
          <w:tcPr>
            <w:tcW w:w="2651" w:type="dxa"/>
            <w:noWrap/>
            <w:tcMar>
              <w:top w:w="0" w:type="dxa"/>
              <w:left w:w="70" w:type="dxa"/>
              <w:bottom w:w="0" w:type="dxa"/>
              <w:right w:w="70" w:type="dxa"/>
            </w:tcMar>
            <w:vAlign w:val="center"/>
            <w:hideMark/>
          </w:tcPr>
          <w:p w14:paraId="62E0FEF0" w14:textId="77777777" w:rsidR="00B15F7D" w:rsidRPr="00990FB6" w:rsidRDefault="00B15F7D" w:rsidP="00B15F7D">
            <w:pPr>
              <w:jc w:val="both"/>
              <w:rPr>
                <w:rFonts w:eastAsia="Calibri"/>
                <w:b/>
                <w:bCs/>
                <w:color w:val="000000"/>
                <w:sz w:val="22"/>
                <w:szCs w:val="22"/>
                <w:lang w:eastAsia="es-CR"/>
              </w:rPr>
            </w:pPr>
          </w:p>
        </w:tc>
        <w:tc>
          <w:tcPr>
            <w:tcW w:w="1788" w:type="dxa"/>
            <w:noWrap/>
            <w:tcMar>
              <w:top w:w="0" w:type="dxa"/>
              <w:left w:w="70" w:type="dxa"/>
              <w:bottom w:w="0" w:type="dxa"/>
              <w:right w:w="70" w:type="dxa"/>
            </w:tcMar>
            <w:vAlign w:val="center"/>
            <w:hideMark/>
          </w:tcPr>
          <w:p w14:paraId="6CA11BF8" w14:textId="77777777" w:rsidR="00B15F7D" w:rsidRPr="00990FB6" w:rsidRDefault="00B15F7D" w:rsidP="00B15F7D">
            <w:pPr>
              <w:jc w:val="both"/>
              <w:rPr>
                <w:sz w:val="22"/>
                <w:szCs w:val="22"/>
                <w:lang w:eastAsia="es-CR"/>
              </w:rPr>
            </w:pPr>
          </w:p>
        </w:tc>
        <w:tc>
          <w:tcPr>
            <w:tcW w:w="140" w:type="dxa"/>
            <w:noWrap/>
            <w:tcMar>
              <w:top w:w="0" w:type="dxa"/>
              <w:left w:w="70" w:type="dxa"/>
              <w:bottom w:w="0" w:type="dxa"/>
              <w:right w:w="70" w:type="dxa"/>
            </w:tcMar>
            <w:vAlign w:val="center"/>
            <w:hideMark/>
          </w:tcPr>
          <w:p w14:paraId="7BBAF0AD" w14:textId="77777777" w:rsidR="00B15F7D" w:rsidRPr="00990FB6" w:rsidRDefault="00B15F7D" w:rsidP="00B15F7D">
            <w:pPr>
              <w:jc w:val="both"/>
              <w:rPr>
                <w:sz w:val="22"/>
                <w:szCs w:val="22"/>
                <w:lang w:eastAsia="es-CR"/>
              </w:rPr>
            </w:pPr>
          </w:p>
        </w:tc>
        <w:tc>
          <w:tcPr>
            <w:tcW w:w="2650" w:type="dxa"/>
            <w:noWrap/>
            <w:tcMar>
              <w:top w:w="0" w:type="dxa"/>
              <w:left w:w="70" w:type="dxa"/>
              <w:bottom w:w="0" w:type="dxa"/>
              <w:right w:w="70" w:type="dxa"/>
            </w:tcMar>
            <w:vAlign w:val="center"/>
            <w:hideMark/>
          </w:tcPr>
          <w:p w14:paraId="4DB01927" w14:textId="77777777" w:rsidR="00B15F7D" w:rsidRPr="00990FB6" w:rsidRDefault="00B15F7D" w:rsidP="00B15F7D">
            <w:pPr>
              <w:jc w:val="both"/>
              <w:rPr>
                <w:sz w:val="22"/>
                <w:szCs w:val="22"/>
                <w:lang w:eastAsia="es-CR"/>
              </w:rPr>
            </w:pPr>
          </w:p>
        </w:tc>
        <w:tc>
          <w:tcPr>
            <w:tcW w:w="1583" w:type="dxa"/>
            <w:noWrap/>
            <w:tcMar>
              <w:top w:w="0" w:type="dxa"/>
              <w:left w:w="70" w:type="dxa"/>
              <w:bottom w:w="0" w:type="dxa"/>
              <w:right w:w="70" w:type="dxa"/>
            </w:tcMar>
            <w:vAlign w:val="center"/>
            <w:hideMark/>
          </w:tcPr>
          <w:p w14:paraId="77C1D431" w14:textId="77777777" w:rsidR="00B15F7D" w:rsidRPr="00990FB6" w:rsidRDefault="00B15F7D" w:rsidP="00B15F7D">
            <w:pPr>
              <w:jc w:val="both"/>
              <w:rPr>
                <w:sz w:val="22"/>
                <w:szCs w:val="22"/>
                <w:lang w:eastAsia="es-CR"/>
              </w:rPr>
            </w:pPr>
          </w:p>
        </w:tc>
      </w:tr>
      <w:tr w:rsidR="00B15F7D" w:rsidRPr="00990FB6" w14:paraId="1C2949DF" w14:textId="77777777" w:rsidTr="000A0C22">
        <w:trPr>
          <w:trHeight w:val="277"/>
        </w:trPr>
        <w:tc>
          <w:tcPr>
            <w:tcW w:w="4439" w:type="dxa"/>
            <w:gridSpan w:val="2"/>
            <w:tcBorders>
              <w:top w:val="single" w:sz="8" w:space="0" w:color="auto"/>
              <w:left w:val="single" w:sz="8" w:space="0" w:color="auto"/>
              <w:bottom w:val="single" w:sz="8" w:space="0" w:color="auto"/>
              <w:right w:val="single" w:sz="8" w:space="0" w:color="auto"/>
            </w:tcBorders>
            <w:shd w:val="clear" w:color="auto" w:fill="0070C0"/>
            <w:noWrap/>
            <w:tcMar>
              <w:top w:w="0" w:type="dxa"/>
              <w:left w:w="70" w:type="dxa"/>
              <w:bottom w:w="0" w:type="dxa"/>
              <w:right w:w="70" w:type="dxa"/>
            </w:tcMar>
            <w:vAlign w:val="center"/>
            <w:hideMark/>
          </w:tcPr>
          <w:p w14:paraId="41CD145A" w14:textId="77777777" w:rsidR="00B15F7D" w:rsidRPr="00990FB6" w:rsidRDefault="00B15F7D" w:rsidP="00B15F7D">
            <w:pPr>
              <w:jc w:val="center"/>
              <w:rPr>
                <w:rFonts w:eastAsia="Calibri"/>
                <w:b/>
                <w:bCs/>
                <w:sz w:val="22"/>
                <w:szCs w:val="22"/>
                <w:lang w:eastAsia="es-CR"/>
              </w:rPr>
            </w:pPr>
            <w:r w:rsidRPr="00990FB6">
              <w:rPr>
                <w:rFonts w:eastAsia="Calibri"/>
                <w:b/>
                <w:bCs/>
                <w:color w:val="FFFFFF"/>
                <w:sz w:val="22"/>
                <w:szCs w:val="22"/>
                <w:lang w:eastAsia="es-CR"/>
              </w:rPr>
              <w:t>Programa 926</w:t>
            </w:r>
          </w:p>
        </w:tc>
        <w:tc>
          <w:tcPr>
            <w:tcW w:w="140" w:type="dxa"/>
            <w:noWrap/>
            <w:tcMar>
              <w:top w:w="0" w:type="dxa"/>
              <w:left w:w="70" w:type="dxa"/>
              <w:bottom w:w="0" w:type="dxa"/>
              <w:right w:w="70" w:type="dxa"/>
            </w:tcMar>
            <w:vAlign w:val="center"/>
            <w:hideMark/>
          </w:tcPr>
          <w:p w14:paraId="73929211" w14:textId="77777777" w:rsidR="00B15F7D" w:rsidRPr="00990FB6" w:rsidRDefault="00B15F7D" w:rsidP="00B15F7D">
            <w:pPr>
              <w:jc w:val="both"/>
              <w:rPr>
                <w:rFonts w:eastAsia="Calibri"/>
                <w:b/>
                <w:bCs/>
                <w:sz w:val="22"/>
                <w:szCs w:val="22"/>
                <w:lang w:eastAsia="es-CR"/>
              </w:rPr>
            </w:pPr>
          </w:p>
        </w:tc>
        <w:tc>
          <w:tcPr>
            <w:tcW w:w="4234" w:type="dxa"/>
            <w:gridSpan w:val="2"/>
            <w:tcBorders>
              <w:top w:val="single" w:sz="8" w:space="0" w:color="auto"/>
              <w:left w:val="single" w:sz="8" w:space="0" w:color="auto"/>
              <w:bottom w:val="single" w:sz="8" w:space="0" w:color="auto"/>
              <w:right w:val="single" w:sz="8" w:space="0" w:color="auto"/>
            </w:tcBorders>
            <w:shd w:val="clear" w:color="auto" w:fill="0070C0"/>
            <w:noWrap/>
            <w:tcMar>
              <w:top w:w="0" w:type="dxa"/>
              <w:left w:w="70" w:type="dxa"/>
              <w:bottom w:w="0" w:type="dxa"/>
              <w:right w:w="70" w:type="dxa"/>
            </w:tcMar>
            <w:vAlign w:val="center"/>
            <w:hideMark/>
          </w:tcPr>
          <w:p w14:paraId="58FA7A0E" w14:textId="77777777" w:rsidR="00B15F7D" w:rsidRPr="00990FB6" w:rsidRDefault="00B15F7D" w:rsidP="00B15F7D">
            <w:pPr>
              <w:jc w:val="center"/>
              <w:rPr>
                <w:rFonts w:eastAsia="Calibri"/>
                <w:b/>
                <w:bCs/>
                <w:sz w:val="22"/>
                <w:szCs w:val="22"/>
                <w:lang w:eastAsia="es-CR"/>
              </w:rPr>
            </w:pPr>
            <w:r w:rsidRPr="00990FB6">
              <w:rPr>
                <w:rFonts w:eastAsia="Calibri"/>
                <w:b/>
                <w:bCs/>
                <w:color w:val="FFFFFF"/>
                <w:sz w:val="22"/>
                <w:szCs w:val="22"/>
                <w:shd w:val="clear" w:color="auto" w:fill="0070C0"/>
                <w:lang w:eastAsia="es-CR"/>
              </w:rPr>
              <w:t>Programa</w:t>
            </w:r>
            <w:r w:rsidRPr="00990FB6">
              <w:rPr>
                <w:rFonts w:eastAsia="Calibri"/>
                <w:b/>
                <w:bCs/>
                <w:color w:val="FFFFFF"/>
                <w:sz w:val="22"/>
                <w:szCs w:val="22"/>
                <w:lang w:eastAsia="es-CR"/>
              </w:rPr>
              <w:t xml:space="preserve"> 927</w:t>
            </w:r>
          </w:p>
        </w:tc>
      </w:tr>
      <w:tr w:rsidR="00B15F7D" w:rsidRPr="00990FB6" w14:paraId="5DA22DC9" w14:textId="77777777" w:rsidTr="000A0C22">
        <w:trPr>
          <w:trHeight w:val="277"/>
        </w:trPr>
        <w:tc>
          <w:tcPr>
            <w:tcW w:w="2651" w:type="dxa"/>
            <w:noWrap/>
            <w:tcMar>
              <w:top w:w="0" w:type="dxa"/>
              <w:left w:w="70" w:type="dxa"/>
              <w:bottom w:w="0" w:type="dxa"/>
              <w:right w:w="70" w:type="dxa"/>
            </w:tcMar>
            <w:vAlign w:val="center"/>
            <w:hideMark/>
          </w:tcPr>
          <w:p w14:paraId="7703C13B" w14:textId="77777777" w:rsidR="00B15F7D" w:rsidRPr="00990FB6" w:rsidRDefault="00B15F7D" w:rsidP="00B15F7D">
            <w:pPr>
              <w:jc w:val="both"/>
              <w:rPr>
                <w:rFonts w:eastAsia="Calibri"/>
                <w:b/>
                <w:bCs/>
                <w:sz w:val="22"/>
                <w:szCs w:val="22"/>
                <w:lang w:eastAsia="es-CR"/>
              </w:rPr>
            </w:pPr>
          </w:p>
        </w:tc>
        <w:tc>
          <w:tcPr>
            <w:tcW w:w="1788" w:type="dxa"/>
            <w:noWrap/>
            <w:tcMar>
              <w:top w:w="0" w:type="dxa"/>
              <w:left w:w="70" w:type="dxa"/>
              <w:bottom w:w="0" w:type="dxa"/>
              <w:right w:w="70" w:type="dxa"/>
            </w:tcMar>
            <w:vAlign w:val="center"/>
            <w:hideMark/>
          </w:tcPr>
          <w:p w14:paraId="6618F0BD" w14:textId="77777777" w:rsidR="00B15F7D" w:rsidRPr="00990FB6" w:rsidRDefault="00B15F7D" w:rsidP="00B15F7D">
            <w:pPr>
              <w:jc w:val="both"/>
              <w:rPr>
                <w:sz w:val="22"/>
                <w:szCs w:val="22"/>
                <w:lang w:eastAsia="es-CR"/>
              </w:rPr>
            </w:pPr>
          </w:p>
        </w:tc>
        <w:tc>
          <w:tcPr>
            <w:tcW w:w="140" w:type="dxa"/>
            <w:noWrap/>
            <w:tcMar>
              <w:top w:w="0" w:type="dxa"/>
              <w:left w:w="70" w:type="dxa"/>
              <w:bottom w:w="0" w:type="dxa"/>
              <w:right w:w="70" w:type="dxa"/>
            </w:tcMar>
            <w:vAlign w:val="center"/>
            <w:hideMark/>
          </w:tcPr>
          <w:p w14:paraId="65D869AF" w14:textId="77777777" w:rsidR="00B15F7D" w:rsidRPr="00990FB6" w:rsidRDefault="00B15F7D" w:rsidP="00B15F7D">
            <w:pPr>
              <w:jc w:val="both"/>
              <w:rPr>
                <w:sz w:val="22"/>
                <w:szCs w:val="22"/>
                <w:lang w:eastAsia="es-CR"/>
              </w:rPr>
            </w:pPr>
          </w:p>
        </w:tc>
        <w:tc>
          <w:tcPr>
            <w:tcW w:w="2650" w:type="dxa"/>
            <w:noWrap/>
            <w:tcMar>
              <w:top w:w="0" w:type="dxa"/>
              <w:left w:w="70" w:type="dxa"/>
              <w:bottom w:w="0" w:type="dxa"/>
              <w:right w:w="70" w:type="dxa"/>
            </w:tcMar>
            <w:vAlign w:val="center"/>
            <w:hideMark/>
          </w:tcPr>
          <w:p w14:paraId="3A5B5569" w14:textId="77777777" w:rsidR="00B15F7D" w:rsidRPr="00990FB6" w:rsidRDefault="00B15F7D" w:rsidP="00B15F7D">
            <w:pPr>
              <w:jc w:val="both"/>
              <w:rPr>
                <w:sz w:val="22"/>
                <w:szCs w:val="22"/>
                <w:lang w:eastAsia="es-CR"/>
              </w:rPr>
            </w:pPr>
          </w:p>
        </w:tc>
        <w:tc>
          <w:tcPr>
            <w:tcW w:w="1583" w:type="dxa"/>
            <w:noWrap/>
            <w:tcMar>
              <w:top w:w="0" w:type="dxa"/>
              <w:left w:w="70" w:type="dxa"/>
              <w:bottom w:w="0" w:type="dxa"/>
              <w:right w:w="70" w:type="dxa"/>
            </w:tcMar>
            <w:vAlign w:val="center"/>
            <w:hideMark/>
          </w:tcPr>
          <w:p w14:paraId="5CE87A21" w14:textId="77777777" w:rsidR="00B15F7D" w:rsidRPr="00990FB6" w:rsidRDefault="00B15F7D" w:rsidP="00B15F7D">
            <w:pPr>
              <w:jc w:val="both"/>
              <w:rPr>
                <w:sz w:val="22"/>
                <w:szCs w:val="22"/>
                <w:lang w:eastAsia="es-CR"/>
              </w:rPr>
            </w:pPr>
          </w:p>
        </w:tc>
      </w:tr>
      <w:tr w:rsidR="00B15F7D" w:rsidRPr="00990FB6" w14:paraId="604C12D9" w14:textId="77777777" w:rsidTr="000A0C22">
        <w:trPr>
          <w:trHeight w:val="277"/>
        </w:trPr>
        <w:tc>
          <w:tcPr>
            <w:tcW w:w="2651" w:type="dxa"/>
            <w:tcBorders>
              <w:top w:val="single" w:sz="8" w:space="0" w:color="auto"/>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center"/>
            <w:hideMark/>
          </w:tcPr>
          <w:p w14:paraId="31C36424" w14:textId="77777777" w:rsidR="00B15F7D" w:rsidRPr="00990FB6" w:rsidRDefault="00B15F7D" w:rsidP="00B15F7D">
            <w:pPr>
              <w:jc w:val="both"/>
              <w:rPr>
                <w:rFonts w:eastAsia="Calibri"/>
                <w:b/>
                <w:bCs/>
                <w:sz w:val="22"/>
                <w:szCs w:val="22"/>
                <w:lang w:eastAsia="es-CR"/>
              </w:rPr>
            </w:pPr>
            <w:r w:rsidRPr="00990FB6">
              <w:rPr>
                <w:rFonts w:eastAsia="Calibri"/>
                <w:b/>
                <w:bCs/>
                <w:color w:val="000000"/>
                <w:sz w:val="22"/>
                <w:szCs w:val="22"/>
                <w:lang w:eastAsia="es-CR"/>
              </w:rPr>
              <w:t>Subpartida</w:t>
            </w:r>
          </w:p>
        </w:tc>
        <w:tc>
          <w:tcPr>
            <w:tcW w:w="1788"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center"/>
            <w:hideMark/>
          </w:tcPr>
          <w:p w14:paraId="2FE5970A" w14:textId="77777777" w:rsidR="00B15F7D" w:rsidRPr="00990FB6" w:rsidRDefault="00B15F7D" w:rsidP="00B15F7D">
            <w:pPr>
              <w:jc w:val="both"/>
              <w:rPr>
                <w:rFonts w:eastAsia="Calibri"/>
                <w:b/>
                <w:bCs/>
                <w:sz w:val="22"/>
                <w:szCs w:val="22"/>
                <w:lang w:eastAsia="es-CR"/>
              </w:rPr>
            </w:pPr>
            <w:r w:rsidRPr="00990FB6">
              <w:rPr>
                <w:rFonts w:eastAsia="Calibri"/>
                <w:b/>
                <w:bCs/>
                <w:color w:val="000000"/>
                <w:sz w:val="22"/>
                <w:szCs w:val="22"/>
                <w:lang w:eastAsia="es-CR"/>
              </w:rPr>
              <w:t xml:space="preserve">Monto </w:t>
            </w:r>
          </w:p>
        </w:tc>
        <w:tc>
          <w:tcPr>
            <w:tcW w:w="140" w:type="dxa"/>
            <w:noWrap/>
            <w:tcMar>
              <w:top w:w="0" w:type="dxa"/>
              <w:left w:w="70" w:type="dxa"/>
              <w:bottom w:w="0" w:type="dxa"/>
              <w:right w:w="70" w:type="dxa"/>
            </w:tcMar>
            <w:vAlign w:val="center"/>
            <w:hideMark/>
          </w:tcPr>
          <w:p w14:paraId="15E02BEF" w14:textId="77777777" w:rsidR="00B15F7D" w:rsidRPr="00990FB6" w:rsidRDefault="00B15F7D" w:rsidP="00B15F7D">
            <w:pPr>
              <w:jc w:val="both"/>
              <w:rPr>
                <w:rFonts w:eastAsia="Calibri"/>
                <w:b/>
                <w:bCs/>
                <w:sz w:val="22"/>
                <w:szCs w:val="22"/>
                <w:lang w:eastAsia="es-CR"/>
              </w:rPr>
            </w:pPr>
          </w:p>
        </w:tc>
        <w:tc>
          <w:tcPr>
            <w:tcW w:w="2650" w:type="dxa"/>
            <w:tcBorders>
              <w:top w:val="single" w:sz="8" w:space="0" w:color="auto"/>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center"/>
            <w:hideMark/>
          </w:tcPr>
          <w:p w14:paraId="5402265F" w14:textId="77777777" w:rsidR="00B15F7D" w:rsidRPr="00990FB6" w:rsidRDefault="00B15F7D" w:rsidP="00B15F7D">
            <w:pPr>
              <w:jc w:val="both"/>
              <w:rPr>
                <w:rFonts w:eastAsia="Calibri"/>
                <w:b/>
                <w:bCs/>
                <w:sz w:val="22"/>
                <w:szCs w:val="22"/>
                <w:lang w:eastAsia="es-CR"/>
              </w:rPr>
            </w:pPr>
            <w:r w:rsidRPr="00990FB6">
              <w:rPr>
                <w:rFonts w:eastAsia="Calibri"/>
                <w:b/>
                <w:bCs/>
                <w:color w:val="000000"/>
                <w:sz w:val="22"/>
                <w:szCs w:val="22"/>
                <w:lang w:eastAsia="es-CR"/>
              </w:rPr>
              <w:t>Subpartida</w:t>
            </w:r>
          </w:p>
        </w:tc>
        <w:tc>
          <w:tcPr>
            <w:tcW w:w="1583"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center"/>
            <w:hideMark/>
          </w:tcPr>
          <w:p w14:paraId="7186ED57" w14:textId="77777777" w:rsidR="00B15F7D" w:rsidRPr="00990FB6" w:rsidRDefault="00B15F7D" w:rsidP="00B15F7D">
            <w:pPr>
              <w:jc w:val="both"/>
              <w:rPr>
                <w:rFonts w:eastAsia="Calibri"/>
                <w:b/>
                <w:bCs/>
                <w:sz w:val="22"/>
                <w:szCs w:val="22"/>
                <w:lang w:eastAsia="es-CR"/>
              </w:rPr>
            </w:pPr>
            <w:r w:rsidRPr="00990FB6">
              <w:rPr>
                <w:rFonts w:eastAsia="Calibri"/>
                <w:b/>
                <w:bCs/>
                <w:color w:val="000000"/>
                <w:sz w:val="22"/>
                <w:szCs w:val="22"/>
                <w:lang w:eastAsia="es-CR"/>
              </w:rPr>
              <w:t xml:space="preserve">Monto </w:t>
            </w:r>
          </w:p>
        </w:tc>
      </w:tr>
      <w:tr w:rsidR="00B15F7D" w:rsidRPr="00990FB6" w14:paraId="219E4360" w14:textId="77777777" w:rsidTr="000A0C22">
        <w:trPr>
          <w:trHeight w:val="277"/>
        </w:trPr>
        <w:tc>
          <w:tcPr>
            <w:tcW w:w="2651" w:type="dxa"/>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617BEC91"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10101</w:t>
            </w:r>
          </w:p>
        </w:tc>
        <w:tc>
          <w:tcPr>
            <w:tcW w:w="17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2F596E"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₡36 989 068</w:t>
            </w:r>
          </w:p>
        </w:tc>
        <w:tc>
          <w:tcPr>
            <w:tcW w:w="140" w:type="dxa"/>
            <w:noWrap/>
            <w:tcMar>
              <w:top w:w="0" w:type="dxa"/>
              <w:left w:w="70" w:type="dxa"/>
              <w:bottom w:w="0" w:type="dxa"/>
              <w:right w:w="70" w:type="dxa"/>
            </w:tcMar>
            <w:vAlign w:val="center"/>
            <w:hideMark/>
          </w:tcPr>
          <w:p w14:paraId="3586BA3C" w14:textId="77777777" w:rsidR="00B15F7D" w:rsidRPr="00990FB6" w:rsidRDefault="00B15F7D" w:rsidP="00B15F7D">
            <w:pPr>
              <w:jc w:val="both"/>
              <w:rPr>
                <w:rFonts w:eastAsia="Calibri"/>
                <w:sz w:val="22"/>
                <w:szCs w:val="22"/>
                <w:lang w:eastAsia="es-CR"/>
              </w:rPr>
            </w:pPr>
          </w:p>
        </w:tc>
        <w:tc>
          <w:tcPr>
            <w:tcW w:w="265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CA37182"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10101</w:t>
            </w:r>
          </w:p>
        </w:tc>
        <w:tc>
          <w:tcPr>
            <w:tcW w:w="158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46364E"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₡49 575 625</w:t>
            </w:r>
          </w:p>
        </w:tc>
      </w:tr>
      <w:tr w:rsidR="00B15F7D" w:rsidRPr="00990FB6" w14:paraId="47838298" w14:textId="77777777" w:rsidTr="000A0C22">
        <w:trPr>
          <w:trHeight w:val="277"/>
        </w:trPr>
        <w:tc>
          <w:tcPr>
            <w:tcW w:w="265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F8B8939"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10303</w:t>
            </w:r>
          </w:p>
        </w:tc>
        <w:tc>
          <w:tcPr>
            <w:tcW w:w="17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1C3742"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₡28 000 000</w:t>
            </w:r>
          </w:p>
        </w:tc>
        <w:tc>
          <w:tcPr>
            <w:tcW w:w="140" w:type="dxa"/>
            <w:noWrap/>
            <w:tcMar>
              <w:top w:w="0" w:type="dxa"/>
              <w:left w:w="70" w:type="dxa"/>
              <w:bottom w:w="0" w:type="dxa"/>
              <w:right w:w="70" w:type="dxa"/>
            </w:tcMar>
            <w:vAlign w:val="center"/>
            <w:hideMark/>
          </w:tcPr>
          <w:p w14:paraId="5080B9DD" w14:textId="77777777" w:rsidR="00B15F7D" w:rsidRPr="00990FB6" w:rsidRDefault="00B15F7D" w:rsidP="00B15F7D">
            <w:pPr>
              <w:jc w:val="both"/>
              <w:rPr>
                <w:rFonts w:eastAsia="Calibri"/>
                <w:sz w:val="22"/>
                <w:szCs w:val="22"/>
                <w:lang w:eastAsia="es-CR"/>
              </w:rPr>
            </w:pPr>
          </w:p>
        </w:tc>
        <w:tc>
          <w:tcPr>
            <w:tcW w:w="265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56739C9"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10406</w:t>
            </w:r>
          </w:p>
        </w:tc>
        <w:tc>
          <w:tcPr>
            <w:tcW w:w="158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20C072"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₡37 412 225</w:t>
            </w:r>
          </w:p>
        </w:tc>
      </w:tr>
      <w:tr w:rsidR="00B15F7D" w:rsidRPr="00990FB6" w14:paraId="728C7968" w14:textId="77777777" w:rsidTr="000A0C22">
        <w:trPr>
          <w:trHeight w:val="277"/>
        </w:trPr>
        <w:tc>
          <w:tcPr>
            <w:tcW w:w="265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B35EF5E"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10502</w:t>
            </w:r>
          </w:p>
        </w:tc>
        <w:tc>
          <w:tcPr>
            <w:tcW w:w="17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F2C9D12"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₡100 000 000</w:t>
            </w:r>
          </w:p>
        </w:tc>
        <w:tc>
          <w:tcPr>
            <w:tcW w:w="140" w:type="dxa"/>
            <w:noWrap/>
            <w:tcMar>
              <w:top w:w="0" w:type="dxa"/>
              <w:left w:w="70" w:type="dxa"/>
              <w:bottom w:w="0" w:type="dxa"/>
              <w:right w:w="70" w:type="dxa"/>
            </w:tcMar>
            <w:vAlign w:val="center"/>
            <w:hideMark/>
          </w:tcPr>
          <w:p w14:paraId="6D92B705" w14:textId="77777777" w:rsidR="00B15F7D" w:rsidRPr="00990FB6" w:rsidRDefault="00B15F7D" w:rsidP="00B15F7D">
            <w:pPr>
              <w:jc w:val="both"/>
              <w:rPr>
                <w:rFonts w:eastAsia="Calibri"/>
                <w:sz w:val="22"/>
                <w:szCs w:val="22"/>
                <w:lang w:eastAsia="es-CR"/>
              </w:rPr>
            </w:pPr>
          </w:p>
        </w:tc>
        <w:tc>
          <w:tcPr>
            <w:tcW w:w="265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308421D8"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50201 (Construcciones)</w:t>
            </w:r>
          </w:p>
        </w:tc>
        <w:tc>
          <w:tcPr>
            <w:tcW w:w="15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8132C04"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₡221 000 000</w:t>
            </w:r>
          </w:p>
        </w:tc>
      </w:tr>
      <w:tr w:rsidR="00B15F7D" w:rsidRPr="00990FB6" w14:paraId="7A8002CA" w14:textId="77777777" w:rsidTr="000A0C22">
        <w:trPr>
          <w:trHeight w:val="277"/>
        </w:trPr>
        <w:tc>
          <w:tcPr>
            <w:tcW w:w="265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1A7076"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10801</w:t>
            </w:r>
          </w:p>
        </w:tc>
        <w:tc>
          <w:tcPr>
            <w:tcW w:w="17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592514"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₡42 527 484</w:t>
            </w:r>
          </w:p>
        </w:tc>
        <w:tc>
          <w:tcPr>
            <w:tcW w:w="140" w:type="dxa"/>
            <w:noWrap/>
            <w:tcMar>
              <w:top w:w="0" w:type="dxa"/>
              <w:left w:w="70" w:type="dxa"/>
              <w:bottom w:w="0" w:type="dxa"/>
              <w:right w:w="70" w:type="dxa"/>
            </w:tcMar>
            <w:vAlign w:val="center"/>
            <w:hideMark/>
          </w:tcPr>
          <w:p w14:paraId="45F02B4F" w14:textId="77777777" w:rsidR="00B15F7D" w:rsidRPr="00990FB6" w:rsidRDefault="00B15F7D" w:rsidP="00B15F7D">
            <w:pPr>
              <w:jc w:val="both"/>
              <w:rPr>
                <w:rFonts w:eastAsia="Calibri"/>
                <w:sz w:val="22"/>
                <w:szCs w:val="22"/>
                <w:lang w:eastAsia="es-CR"/>
              </w:rPr>
            </w:pPr>
          </w:p>
        </w:tc>
        <w:tc>
          <w:tcPr>
            <w:tcW w:w="2650" w:type="dxa"/>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29BA54A3"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50102</w:t>
            </w:r>
          </w:p>
        </w:tc>
        <w:tc>
          <w:tcPr>
            <w:tcW w:w="1583" w:type="dxa"/>
            <w:noWrap/>
            <w:tcMar>
              <w:top w:w="0" w:type="dxa"/>
              <w:left w:w="70" w:type="dxa"/>
              <w:bottom w:w="0" w:type="dxa"/>
              <w:right w:w="70" w:type="dxa"/>
            </w:tcMar>
            <w:vAlign w:val="center"/>
            <w:hideMark/>
          </w:tcPr>
          <w:p w14:paraId="6C4DAA02" w14:textId="77777777" w:rsidR="00B15F7D" w:rsidRPr="00990FB6" w:rsidRDefault="00B15F7D" w:rsidP="00B15F7D">
            <w:pPr>
              <w:jc w:val="both"/>
              <w:rPr>
                <w:rFonts w:eastAsia="Calibri"/>
                <w:color w:val="000000"/>
                <w:sz w:val="22"/>
                <w:szCs w:val="22"/>
                <w:lang w:eastAsia="es-CR"/>
              </w:rPr>
            </w:pPr>
            <w:r w:rsidRPr="00990FB6">
              <w:rPr>
                <w:rFonts w:eastAsia="Calibri"/>
                <w:color w:val="000000"/>
                <w:sz w:val="22"/>
                <w:szCs w:val="22"/>
                <w:lang w:eastAsia="es-CR"/>
              </w:rPr>
              <w:t>₡206 742 082</w:t>
            </w:r>
          </w:p>
        </w:tc>
      </w:tr>
      <w:tr w:rsidR="00B15F7D" w:rsidRPr="00990FB6" w14:paraId="04015EBF" w14:textId="77777777" w:rsidTr="000A0C22">
        <w:trPr>
          <w:trHeight w:val="277"/>
        </w:trPr>
        <w:tc>
          <w:tcPr>
            <w:tcW w:w="2651" w:type="dxa"/>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1BF7E729"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20202</w:t>
            </w:r>
          </w:p>
        </w:tc>
        <w:tc>
          <w:tcPr>
            <w:tcW w:w="1788" w:type="dxa"/>
            <w:noWrap/>
            <w:tcMar>
              <w:top w:w="0" w:type="dxa"/>
              <w:left w:w="70" w:type="dxa"/>
              <w:bottom w:w="0" w:type="dxa"/>
              <w:right w:w="70" w:type="dxa"/>
            </w:tcMar>
            <w:vAlign w:val="center"/>
            <w:hideMark/>
          </w:tcPr>
          <w:p w14:paraId="106BD967" w14:textId="77777777" w:rsidR="00B15F7D" w:rsidRPr="00990FB6" w:rsidRDefault="00B15F7D" w:rsidP="00B15F7D">
            <w:pPr>
              <w:jc w:val="both"/>
              <w:rPr>
                <w:rFonts w:eastAsia="Calibri"/>
                <w:color w:val="000000"/>
                <w:sz w:val="22"/>
                <w:szCs w:val="22"/>
                <w:lang w:eastAsia="es-CR"/>
              </w:rPr>
            </w:pPr>
            <w:r w:rsidRPr="00990FB6">
              <w:rPr>
                <w:rFonts w:eastAsia="Calibri"/>
                <w:color w:val="000000"/>
                <w:sz w:val="22"/>
                <w:szCs w:val="22"/>
                <w:lang w:eastAsia="es-CR"/>
              </w:rPr>
              <w:t xml:space="preserve">₡4 759 </w:t>
            </w:r>
            <w:r w:rsidRPr="00990FB6">
              <w:rPr>
                <w:rFonts w:eastAsia="Calibri"/>
                <w:sz w:val="22"/>
                <w:szCs w:val="22"/>
                <w:lang w:eastAsia="es-CR"/>
              </w:rPr>
              <w:t>757</w:t>
            </w:r>
          </w:p>
        </w:tc>
        <w:tc>
          <w:tcPr>
            <w:tcW w:w="140" w:type="dxa"/>
            <w:noWrap/>
            <w:tcMar>
              <w:top w:w="0" w:type="dxa"/>
              <w:left w:w="70" w:type="dxa"/>
              <w:bottom w:w="0" w:type="dxa"/>
              <w:right w:w="70" w:type="dxa"/>
            </w:tcMar>
            <w:vAlign w:val="center"/>
            <w:hideMark/>
          </w:tcPr>
          <w:p w14:paraId="147FFF2A" w14:textId="77777777" w:rsidR="00B15F7D" w:rsidRPr="00990FB6" w:rsidRDefault="00B15F7D" w:rsidP="00B15F7D">
            <w:pPr>
              <w:jc w:val="both"/>
              <w:rPr>
                <w:rFonts w:eastAsia="Calibri"/>
                <w:color w:val="000000"/>
                <w:sz w:val="22"/>
                <w:szCs w:val="22"/>
                <w:lang w:eastAsia="es-CR"/>
              </w:rPr>
            </w:pPr>
          </w:p>
        </w:tc>
        <w:tc>
          <w:tcPr>
            <w:tcW w:w="265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D6CB152"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50104</w:t>
            </w:r>
          </w:p>
        </w:tc>
        <w:tc>
          <w:tcPr>
            <w:tcW w:w="1583"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1DDB6012"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₡19 047 048</w:t>
            </w:r>
          </w:p>
        </w:tc>
      </w:tr>
      <w:tr w:rsidR="00B15F7D" w:rsidRPr="00990FB6" w14:paraId="51A9D19B" w14:textId="77777777" w:rsidTr="000A0C22">
        <w:trPr>
          <w:trHeight w:val="277"/>
        </w:trPr>
        <w:tc>
          <w:tcPr>
            <w:tcW w:w="2651"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39C6E73"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50102</w:t>
            </w:r>
          </w:p>
        </w:tc>
        <w:tc>
          <w:tcPr>
            <w:tcW w:w="1788"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6345F9EE"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₡152 646 579</w:t>
            </w:r>
          </w:p>
        </w:tc>
        <w:tc>
          <w:tcPr>
            <w:tcW w:w="140" w:type="dxa"/>
            <w:noWrap/>
            <w:tcMar>
              <w:top w:w="0" w:type="dxa"/>
              <w:left w:w="70" w:type="dxa"/>
              <w:bottom w:w="0" w:type="dxa"/>
              <w:right w:w="70" w:type="dxa"/>
            </w:tcMar>
            <w:vAlign w:val="center"/>
            <w:hideMark/>
          </w:tcPr>
          <w:p w14:paraId="0E921C98" w14:textId="77777777" w:rsidR="00B15F7D" w:rsidRPr="00990FB6" w:rsidRDefault="00B15F7D" w:rsidP="00B15F7D">
            <w:pPr>
              <w:jc w:val="both"/>
              <w:rPr>
                <w:rFonts w:eastAsia="Calibri"/>
                <w:sz w:val="22"/>
                <w:szCs w:val="22"/>
                <w:lang w:eastAsia="es-CR"/>
              </w:rPr>
            </w:pPr>
          </w:p>
        </w:tc>
        <w:tc>
          <w:tcPr>
            <w:tcW w:w="2650" w:type="dxa"/>
            <w:noWrap/>
            <w:tcMar>
              <w:top w:w="0" w:type="dxa"/>
              <w:left w:w="70" w:type="dxa"/>
              <w:bottom w:w="0" w:type="dxa"/>
              <w:right w:w="70" w:type="dxa"/>
            </w:tcMar>
            <w:vAlign w:val="center"/>
            <w:hideMark/>
          </w:tcPr>
          <w:p w14:paraId="165FB3BC" w14:textId="77777777" w:rsidR="00B15F7D" w:rsidRPr="00990FB6" w:rsidRDefault="00B15F7D" w:rsidP="00B15F7D">
            <w:pPr>
              <w:jc w:val="both"/>
              <w:rPr>
                <w:rFonts w:eastAsia="Calibri"/>
                <w:b/>
                <w:bCs/>
                <w:color w:val="000000"/>
                <w:sz w:val="22"/>
                <w:szCs w:val="22"/>
                <w:lang w:eastAsia="es-CR"/>
              </w:rPr>
            </w:pPr>
            <w:r w:rsidRPr="00990FB6">
              <w:rPr>
                <w:rFonts w:eastAsia="Calibri"/>
                <w:b/>
                <w:bCs/>
                <w:color w:val="000000"/>
                <w:sz w:val="22"/>
                <w:szCs w:val="22"/>
                <w:lang w:eastAsia="es-CR"/>
              </w:rPr>
              <w:t>TOTAL</w:t>
            </w:r>
          </w:p>
        </w:tc>
        <w:tc>
          <w:tcPr>
            <w:tcW w:w="1583" w:type="dxa"/>
            <w:noWrap/>
            <w:tcMar>
              <w:top w:w="0" w:type="dxa"/>
              <w:left w:w="70" w:type="dxa"/>
              <w:bottom w:w="0" w:type="dxa"/>
              <w:right w:w="70" w:type="dxa"/>
            </w:tcMar>
            <w:vAlign w:val="center"/>
            <w:hideMark/>
          </w:tcPr>
          <w:p w14:paraId="707EF5D5" w14:textId="77777777" w:rsidR="00B15F7D" w:rsidRPr="00990FB6" w:rsidRDefault="00B15F7D" w:rsidP="00B15F7D">
            <w:pPr>
              <w:jc w:val="both"/>
              <w:rPr>
                <w:rFonts w:eastAsia="Calibri"/>
                <w:b/>
                <w:bCs/>
                <w:color w:val="000000"/>
                <w:sz w:val="22"/>
                <w:szCs w:val="22"/>
                <w:lang w:eastAsia="es-CR"/>
              </w:rPr>
            </w:pPr>
            <w:r w:rsidRPr="00990FB6">
              <w:rPr>
                <w:rFonts w:eastAsia="Calibri"/>
                <w:b/>
                <w:bCs/>
                <w:color w:val="000000"/>
                <w:sz w:val="22"/>
                <w:szCs w:val="22"/>
                <w:lang w:eastAsia="es-CR"/>
              </w:rPr>
              <w:t>₡533 776 980</w:t>
            </w:r>
          </w:p>
        </w:tc>
      </w:tr>
      <w:tr w:rsidR="00B15F7D" w:rsidRPr="00990FB6" w14:paraId="14E39E40" w14:textId="77777777" w:rsidTr="000A0C22">
        <w:trPr>
          <w:trHeight w:val="277"/>
        </w:trPr>
        <w:tc>
          <w:tcPr>
            <w:tcW w:w="265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ADB106E"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50104</w:t>
            </w:r>
          </w:p>
        </w:tc>
        <w:tc>
          <w:tcPr>
            <w:tcW w:w="17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124618" w14:textId="77777777" w:rsidR="00B15F7D" w:rsidRPr="00990FB6" w:rsidRDefault="00B15F7D" w:rsidP="00B15F7D">
            <w:pPr>
              <w:jc w:val="both"/>
              <w:rPr>
                <w:rFonts w:eastAsia="Calibri"/>
                <w:color w:val="000000"/>
                <w:sz w:val="22"/>
                <w:szCs w:val="22"/>
                <w:lang w:eastAsia="es-CR"/>
              </w:rPr>
            </w:pPr>
            <w:r w:rsidRPr="00990FB6">
              <w:rPr>
                <w:rFonts w:eastAsia="Calibri"/>
                <w:color w:val="000000"/>
                <w:sz w:val="22"/>
                <w:szCs w:val="22"/>
                <w:lang w:eastAsia="es-CR"/>
              </w:rPr>
              <w:t>₡71 430 505</w:t>
            </w:r>
          </w:p>
        </w:tc>
        <w:tc>
          <w:tcPr>
            <w:tcW w:w="140" w:type="dxa"/>
            <w:noWrap/>
            <w:tcMar>
              <w:top w:w="0" w:type="dxa"/>
              <w:left w:w="70" w:type="dxa"/>
              <w:bottom w:w="0" w:type="dxa"/>
              <w:right w:w="70" w:type="dxa"/>
            </w:tcMar>
            <w:vAlign w:val="center"/>
            <w:hideMark/>
          </w:tcPr>
          <w:p w14:paraId="7517E38D" w14:textId="77777777" w:rsidR="00B15F7D" w:rsidRPr="00990FB6" w:rsidRDefault="00B15F7D" w:rsidP="00B15F7D">
            <w:pPr>
              <w:jc w:val="both"/>
              <w:rPr>
                <w:rFonts w:eastAsia="Calibri"/>
                <w:color w:val="000000"/>
                <w:sz w:val="22"/>
                <w:szCs w:val="22"/>
                <w:lang w:eastAsia="es-CR"/>
              </w:rPr>
            </w:pPr>
          </w:p>
        </w:tc>
        <w:tc>
          <w:tcPr>
            <w:tcW w:w="2650" w:type="dxa"/>
            <w:noWrap/>
            <w:tcMar>
              <w:top w:w="0" w:type="dxa"/>
              <w:left w:w="70" w:type="dxa"/>
              <w:bottom w:w="0" w:type="dxa"/>
              <w:right w:w="70" w:type="dxa"/>
            </w:tcMar>
            <w:vAlign w:val="center"/>
            <w:hideMark/>
          </w:tcPr>
          <w:p w14:paraId="30819A73" w14:textId="77777777" w:rsidR="00B15F7D" w:rsidRPr="00990FB6" w:rsidRDefault="00B15F7D" w:rsidP="00B15F7D">
            <w:pPr>
              <w:jc w:val="both"/>
              <w:rPr>
                <w:sz w:val="22"/>
                <w:szCs w:val="22"/>
                <w:lang w:eastAsia="es-CR"/>
              </w:rPr>
            </w:pPr>
          </w:p>
        </w:tc>
        <w:tc>
          <w:tcPr>
            <w:tcW w:w="1583" w:type="dxa"/>
            <w:noWrap/>
            <w:tcMar>
              <w:top w:w="0" w:type="dxa"/>
              <w:left w:w="70" w:type="dxa"/>
              <w:bottom w:w="0" w:type="dxa"/>
              <w:right w:w="70" w:type="dxa"/>
            </w:tcMar>
            <w:vAlign w:val="center"/>
            <w:hideMark/>
          </w:tcPr>
          <w:p w14:paraId="770EFBED" w14:textId="77777777" w:rsidR="00B15F7D" w:rsidRPr="00990FB6" w:rsidRDefault="00B15F7D" w:rsidP="00B15F7D">
            <w:pPr>
              <w:jc w:val="both"/>
              <w:rPr>
                <w:sz w:val="22"/>
                <w:szCs w:val="22"/>
                <w:lang w:eastAsia="es-CR"/>
              </w:rPr>
            </w:pPr>
          </w:p>
        </w:tc>
      </w:tr>
      <w:tr w:rsidR="00B15F7D" w:rsidRPr="00990FB6" w14:paraId="385D5595" w14:textId="77777777" w:rsidTr="000A0C22">
        <w:trPr>
          <w:trHeight w:val="277"/>
        </w:trPr>
        <w:tc>
          <w:tcPr>
            <w:tcW w:w="265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B3AA722"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50107</w:t>
            </w:r>
          </w:p>
        </w:tc>
        <w:tc>
          <w:tcPr>
            <w:tcW w:w="17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2AB1CD" w14:textId="77777777" w:rsidR="00B15F7D" w:rsidRPr="00990FB6" w:rsidRDefault="00B15F7D" w:rsidP="00B15F7D">
            <w:pPr>
              <w:jc w:val="both"/>
              <w:rPr>
                <w:rFonts w:eastAsia="Calibri"/>
                <w:color w:val="000000"/>
                <w:sz w:val="22"/>
                <w:szCs w:val="22"/>
                <w:lang w:eastAsia="es-CR"/>
              </w:rPr>
            </w:pPr>
            <w:r w:rsidRPr="00990FB6">
              <w:rPr>
                <w:rFonts w:eastAsia="Calibri"/>
                <w:color w:val="000000"/>
                <w:sz w:val="22"/>
                <w:szCs w:val="22"/>
                <w:lang w:eastAsia="es-CR"/>
              </w:rPr>
              <w:t>₡1 304 438</w:t>
            </w:r>
          </w:p>
        </w:tc>
        <w:tc>
          <w:tcPr>
            <w:tcW w:w="140" w:type="dxa"/>
            <w:noWrap/>
            <w:tcMar>
              <w:top w:w="0" w:type="dxa"/>
              <w:left w:w="70" w:type="dxa"/>
              <w:bottom w:w="0" w:type="dxa"/>
              <w:right w:w="70" w:type="dxa"/>
            </w:tcMar>
            <w:vAlign w:val="center"/>
            <w:hideMark/>
          </w:tcPr>
          <w:p w14:paraId="44F3AF0F" w14:textId="77777777" w:rsidR="00B15F7D" w:rsidRPr="00990FB6" w:rsidRDefault="00B15F7D" w:rsidP="00B15F7D">
            <w:pPr>
              <w:jc w:val="both"/>
              <w:rPr>
                <w:rFonts w:eastAsia="Calibri"/>
                <w:color w:val="000000"/>
                <w:sz w:val="22"/>
                <w:szCs w:val="22"/>
                <w:lang w:eastAsia="es-CR"/>
              </w:rPr>
            </w:pPr>
          </w:p>
        </w:tc>
        <w:tc>
          <w:tcPr>
            <w:tcW w:w="2650" w:type="dxa"/>
            <w:noWrap/>
            <w:tcMar>
              <w:top w:w="0" w:type="dxa"/>
              <w:left w:w="70" w:type="dxa"/>
              <w:bottom w:w="0" w:type="dxa"/>
              <w:right w:w="70" w:type="dxa"/>
            </w:tcMar>
            <w:vAlign w:val="center"/>
            <w:hideMark/>
          </w:tcPr>
          <w:p w14:paraId="538FA505" w14:textId="77777777" w:rsidR="00B15F7D" w:rsidRPr="00990FB6" w:rsidRDefault="00B15F7D" w:rsidP="00B15F7D">
            <w:pPr>
              <w:jc w:val="both"/>
              <w:rPr>
                <w:sz w:val="22"/>
                <w:szCs w:val="22"/>
                <w:lang w:eastAsia="es-CR"/>
              </w:rPr>
            </w:pPr>
          </w:p>
        </w:tc>
        <w:tc>
          <w:tcPr>
            <w:tcW w:w="1583" w:type="dxa"/>
            <w:noWrap/>
            <w:tcMar>
              <w:top w:w="0" w:type="dxa"/>
              <w:left w:w="70" w:type="dxa"/>
              <w:bottom w:w="0" w:type="dxa"/>
              <w:right w:w="70" w:type="dxa"/>
            </w:tcMar>
            <w:vAlign w:val="center"/>
            <w:hideMark/>
          </w:tcPr>
          <w:p w14:paraId="48BA9119" w14:textId="77777777" w:rsidR="00B15F7D" w:rsidRPr="00990FB6" w:rsidRDefault="00B15F7D" w:rsidP="00B15F7D">
            <w:pPr>
              <w:jc w:val="both"/>
              <w:rPr>
                <w:sz w:val="22"/>
                <w:szCs w:val="22"/>
                <w:lang w:eastAsia="es-CR"/>
              </w:rPr>
            </w:pPr>
          </w:p>
        </w:tc>
      </w:tr>
      <w:tr w:rsidR="00B15F7D" w:rsidRPr="00990FB6" w14:paraId="5BE41CFA" w14:textId="77777777" w:rsidTr="000A0C22">
        <w:trPr>
          <w:trHeight w:val="277"/>
        </w:trPr>
        <w:tc>
          <w:tcPr>
            <w:tcW w:w="265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FA90560" w14:textId="77777777" w:rsidR="00B15F7D" w:rsidRPr="00990FB6" w:rsidRDefault="00B15F7D" w:rsidP="00B15F7D">
            <w:pPr>
              <w:jc w:val="both"/>
              <w:rPr>
                <w:rFonts w:eastAsia="Calibri"/>
                <w:sz w:val="22"/>
                <w:szCs w:val="22"/>
                <w:lang w:eastAsia="es-CR"/>
              </w:rPr>
            </w:pPr>
            <w:r w:rsidRPr="00990FB6">
              <w:rPr>
                <w:rFonts w:eastAsia="Calibri"/>
                <w:sz w:val="22"/>
                <w:szCs w:val="22"/>
                <w:lang w:eastAsia="es-CR"/>
              </w:rPr>
              <w:t>50201 (Construcciones)</w:t>
            </w:r>
          </w:p>
        </w:tc>
        <w:tc>
          <w:tcPr>
            <w:tcW w:w="17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2402252" w14:textId="77777777" w:rsidR="00B15F7D" w:rsidRPr="00990FB6" w:rsidRDefault="00B15F7D" w:rsidP="00B15F7D">
            <w:pPr>
              <w:jc w:val="both"/>
              <w:rPr>
                <w:rFonts w:eastAsia="Calibri"/>
                <w:color w:val="000000"/>
                <w:sz w:val="22"/>
                <w:szCs w:val="22"/>
                <w:lang w:eastAsia="es-CR"/>
              </w:rPr>
            </w:pPr>
            <w:r w:rsidRPr="00990FB6">
              <w:rPr>
                <w:rFonts w:eastAsia="Calibri"/>
                <w:color w:val="000000"/>
                <w:sz w:val="22"/>
                <w:szCs w:val="22"/>
                <w:lang w:eastAsia="es-CR"/>
              </w:rPr>
              <w:t>₡864 878 997</w:t>
            </w:r>
          </w:p>
        </w:tc>
        <w:tc>
          <w:tcPr>
            <w:tcW w:w="140" w:type="dxa"/>
            <w:noWrap/>
            <w:tcMar>
              <w:top w:w="0" w:type="dxa"/>
              <w:left w:w="70" w:type="dxa"/>
              <w:bottom w:w="0" w:type="dxa"/>
              <w:right w:w="70" w:type="dxa"/>
            </w:tcMar>
            <w:vAlign w:val="center"/>
            <w:hideMark/>
          </w:tcPr>
          <w:p w14:paraId="317173BD" w14:textId="77777777" w:rsidR="00B15F7D" w:rsidRPr="00990FB6" w:rsidRDefault="00B15F7D" w:rsidP="00B15F7D">
            <w:pPr>
              <w:jc w:val="both"/>
              <w:rPr>
                <w:rFonts w:eastAsia="Calibri"/>
                <w:color w:val="000000"/>
                <w:sz w:val="22"/>
                <w:szCs w:val="22"/>
                <w:lang w:eastAsia="es-CR"/>
              </w:rPr>
            </w:pPr>
          </w:p>
        </w:tc>
        <w:tc>
          <w:tcPr>
            <w:tcW w:w="2650" w:type="dxa"/>
            <w:noWrap/>
            <w:tcMar>
              <w:top w:w="0" w:type="dxa"/>
              <w:left w:w="70" w:type="dxa"/>
              <w:bottom w:w="0" w:type="dxa"/>
              <w:right w:w="70" w:type="dxa"/>
            </w:tcMar>
            <w:vAlign w:val="center"/>
            <w:hideMark/>
          </w:tcPr>
          <w:p w14:paraId="6871EC3B" w14:textId="77777777" w:rsidR="00B15F7D" w:rsidRPr="00990FB6" w:rsidRDefault="00B15F7D" w:rsidP="00B15F7D">
            <w:pPr>
              <w:jc w:val="both"/>
              <w:rPr>
                <w:sz w:val="22"/>
                <w:szCs w:val="22"/>
                <w:lang w:eastAsia="es-CR"/>
              </w:rPr>
            </w:pPr>
          </w:p>
        </w:tc>
        <w:tc>
          <w:tcPr>
            <w:tcW w:w="1583" w:type="dxa"/>
            <w:noWrap/>
            <w:tcMar>
              <w:top w:w="0" w:type="dxa"/>
              <w:left w:w="70" w:type="dxa"/>
              <w:bottom w:w="0" w:type="dxa"/>
              <w:right w:w="70" w:type="dxa"/>
            </w:tcMar>
            <w:vAlign w:val="center"/>
            <w:hideMark/>
          </w:tcPr>
          <w:p w14:paraId="758073B7" w14:textId="77777777" w:rsidR="00B15F7D" w:rsidRPr="00990FB6" w:rsidRDefault="00B15F7D" w:rsidP="00B15F7D">
            <w:pPr>
              <w:jc w:val="both"/>
              <w:rPr>
                <w:sz w:val="22"/>
                <w:szCs w:val="22"/>
                <w:lang w:eastAsia="es-CR"/>
              </w:rPr>
            </w:pPr>
          </w:p>
        </w:tc>
      </w:tr>
    </w:tbl>
    <w:p w14:paraId="5938996E" w14:textId="77777777" w:rsidR="00B15F7D" w:rsidRPr="00990FB6" w:rsidRDefault="00B15F7D" w:rsidP="00B15F7D">
      <w:pPr>
        <w:tabs>
          <w:tab w:val="left" w:pos="6110"/>
        </w:tabs>
        <w:jc w:val="both"/>
        <w:rPr>
          <w:color w:val="000000"/>
          <w:sz w:val="22"/>
          <w:szCs w:val="22"/>
          <w:lang w:eastAsia="es-CR"/>
        </w:rPr>
      </w:pPr>
      <w:r w:rsidRPr="00990FB6">
        <w:rPr>
          <w:color w:val="000000"/>
          <w:sz w:val="22"/>
          <w:szCs w:val="22"/>
          <w:lang w:eastAsia="es-CR"/>
        </w:rPr>
        <w:tab/>
      </w:r>
    </w:p>
    <w:p w14:paraId="6B62FF67" w14:textId="77777777" w:rsidR="00B15F7D" w:rsidRPr="00990FB6" w:rsidRDefault="00B15F7D" w:rsidP="00B15F7D">
      <w:pPr>
        <w:jc w:val="center"/>
        <w:rPr>
          <w:b/>
          <w:bCs/>
          <w:color w:val="000000"/>
          <w:sz w:val="22"/>
          <w:szCs w:val="22"/>
          <w:lang w:eastAsia="es-CR"/>
        </w:rPr>
      </w:pPr>
      <w:r w:rsidRPr="00990FB6">
        <w:rPr>
          <w:b/>
          <w:bCs/>
          <w:color w:val="000000"/>
          <w:sz w:val="22"/>
          <w:szCs w:val="22"/>
          <w:lang w:eastAsia="es-CR"/>
        </w:rPr>
        <w:t>Recorte solicitado por Planificación</w:t>
      </w:r>
    </w:p>
    <w:p w14:paraId="4FED0894" w14:textId="77777777" w:rsidR="00B15F7D" w:rsidRPr="00990FB6" w:rsidRDefault="00B15F7D" w:rsidP="00B15F7D">
      <w:pPr>
        <w:jc w:val="both"/>
        <w:rPr>
          <w:color w:val="000000"/>
          <w:sz w:val="22"/>
          <w:szCs w:val="22"/>
          <w:lang w:eastAsia="es-CR"/>
        </w:rPr>
      </w:pPr>
      <w:r w:rsidRPr="00990FB6">
        <w:rPr>
          <w:noProof/>
          <w:sz w:val="22"/>
          <w:szCs w:val="22"/>
          <w:lang w:eastAsia="es-CR"/>
        </w:rPr>
        <w:drawing>
          <wp:inline distT="0" distB="0" distL="0" distR="0" wp14:anchorId="05EDB80C" wp14:editId="0BBA66F9">
            <wp:extent cx="5311140" cy="1177738"/>
            <wp:effectExtent l="0" t="0" r="3810" b="3810"/>
            <wp:docPr id="1502744169" name="Imagen 1502744169" descr="Tabla&#10;&#10;Descripción generada automáticamente">
              <a:extLst xmlns:a="http://schemas.openxmlformats.org/drawingml/2006/main">
                <a:ext uri="{FF2B5EF4-FFF2-40B4-BE49-F238E27FC236}">
                  <a16:creationId xmlns:a16="http://schemas.microsoft.com/office/drawing/2014/main" id="{B2EF5D6F-7DD3-6A52-05D0-2AFB408B83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Tabla&#10;&#10;Descripción generada automáticamente">
                      <a:extLst>
                        <a:ext uri="{FF2B5EF4-FFF2-40B4-BE49-F238E27FC236}">
                          <a16:creationId xmlns:a16="http://schemas.microsoft.com/office/drawing/2014/main" id="{B2EF5D6F-7DD3-6A52-05D0-2AFB408B832E}"/>
                        </a:ext>
                      </a:extLs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311140" cy="1177738"/>
                    </a:xfrm>
                    <a:prstGeom prst="rect">
                      <a:avLst/>
                    </a:prstGeom>
                    <a:noFill/>
                    <a:ln>
                      <a:noFill/>
                    </a:ln>
                  </pic:spPr>
                </pic:pic>
              </a:graphicData>
            </a:graphic>
          </wp:inline>
        </w:drawing>
      </w:r>
    </w:p>
    <w:p w14:paraId="536F00D6" w14:textId="77777777" w:rsidR="00B15F7D" w:rsidRPr="00990FB6" w:rsidRDefault="00B15F7D" w:rsidP="00B15F7D">
      <w:pPr>
        <w:jc w:val="center"/>
        <w:rPr>
          <w:color w:val="000000"/>
          <w:sz w:val="22"/>
          <w:szCs w:val="22"/>
          <w:lang w:eastAsia="es-CR"/>
        </w:rPr>
        <w:sectPr w:rsidR="00B15F7D" w:rsidRPr="00990FB6" w:rsidSect="00766343">
          <w:pgSz w:w="12240" w:h="15840"/>
          <w:pgMar w:top="1135" w:right="2175" w:bottom="1417" w:left="1701" w:header="708" w:footer="708" w:gutter="0"/>
          <w:cols w:space="708"/>
          <w:docGrid w:linePitch="360"/>
        </w:sectPr>
      </w:pPr>
      <w:r w:rsidRPr="00990FB6">
        <w:rPr>
          <w:noProof/>
          <w:sz w:val="22"/>
          <w:szCs w:val="22"/>
          <w:lang w:eastAsia="es-CR"/>
        </w:rPr>
        <w:drawing>
          <wp:inline distT="0" distB="0" distL="0" distR="0" wp14:anchorId="090D244B" wp14:editId="58360FCF">
            <wp:extent cx="3817620" cy="3161030"/>
            <wp:effectExtent l="0" t="0" r="0" b="1270"/>
            <wp:docPr id="1340085231" name="Imagen 134008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817620" cy="3161030"/>
                    </a:xfrm>
                    <a:prstGeom prst="rect">
                      <a:avLst/>
                    </a:prstGeom>
                    <a:noFill/>
                    <a:ln>
                      <a:noFill/>
                    </a:ln>
                  </pic:spPr>
                </pic:pic>
              </a:graphicData>
            </a:graphic>
          </wp:inline>
        </w:drawing>
      </w:r>
    </w:p>
    <w:p w14:paraId="6480013C" w14:textId="77777777" w:rsidR="00B15F7D" w:rsidRPr="00990FB6" w:rsidRDefault="00B15F7D" w:rsidP="00B15F7D">
      <w:pPr>
        <w:ind w:left="567" w:right="307"/>
        <w:rPr>
          <w:sz w:val="22"/>
          <w:szCs w:val="22"/>
        </w:rPr>
      </w:pPr>
      <w:r w:rsidRPr="00990FB6">
        <w:rPr>
          <w:noProof/>
          <w:sz w:val="22"/>
          <w:szCs w:val="22"/>
          <w:lang w:eastAsia="es-CR"/>
        </w:rPr>
        <w:lastRenderedPageBreak/>
        <w:drawing>
          <wp:anchor distT="0" distB="0" distL="114300" distR="114300" simplePos="0" relativeHeight="251665920" behindDoc="1" locked="0" layoutInCell="1" allowOverlap="1" wp14:anchorId="2D096BBD" wp14:editId="5D770EF2">
            <wp:simplePos x="0" y="0"/>
            <wp:positionH relativeFrom="column">
              <wp:posOffset>87630</wp:posOffset>
            </wp:positionH>
            <wp:positionV relativeFrom="paragraph">
              <wp:posOffset>3175</wp:posOffset>
            </wp:positionV>
            <wp:extent cx="6256020" cy="6421755"/>
            <wp:effectExtent l="0" t="0" r="0" b="0"/>
            <wp:wrapTight wrapText="bothSides">
              <wp:wrapPolygon edited="0">
                <wp:start x="0" y="0"/>
                <wp:lineTo x="0" y="21530"/>
                <wp:lineTo x="13418" y="21530"/>
                <wp:lineTo x="16443" y="21465"/>
                <wp:lineTo x="21508" y="20889"/>
                <wp:lineTo x="21508" y="19543"/>
                <wp:lineTo x="20982" y="19479"/>
                <wp:lineTo x="16706" y="19479"/>
                <wp:lineTo x="21508" y="18902"/>
                <wp:lineTo x="21508" y="18069"/>
                <wp:lineTo x="16970" y="17493"/>
                <wp:lineTo x="21508" y="17429"/>
                <wp:lineTo x="21508" y="15442"/>
                <wp:lineTo x="16246" y="15378"/>
                <wp:lineTo x="21508" y="14737"/>
                <wp:lineTo x="21508" y="9227"/>
                <wp:lineTo x="18745" y="9227"/>
                <wp:lineTo x="21508" y="8907"/>
                <wp:lineTo x="21508" y="5511"/>
                <wp:lineTo x="19798" y="5126"/>
                <wp:lineTo x="21442" y="5126"/>
                <wp:lineTo x="21508" y="3716"/>
                <wp:lineTo x="21508" y="0"/>
                <wp:lineTo x="0" y="0"/>
              </wp:wrapPolygon>
            </wp:wrapTight>
            <wp:docPr id="427128390" name="Imagen 42712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256020" cy="6421755"/>
                    </a:xfrm>
                    <a:prstGeom prst="rect">
                      <a:avLst/>
                    </a:prstGeom>
                    <a:noFill/>
                    <a:ln>
                      <a:noFill/>
                    </a:ln>
                  </pic:spPr>
                </pic:pic>
              </a:graphicData>
            </a:graphic>
            <wp14:sizeRelH relativeFrom="margin">
              <wp14:pctWidth>0</wp14:pctWidth>
            </wp14:sizeRelH>
          </wp:anchor>
        </w:drawing>
      </w:r>
    </w:p>
    <w:p w14:paraId="1DBC3F6E" w14:textId="77777777" w:rsidR="00B15F7D" w:rsidRPr="00990FB6" w:rsidRDefault="00B15F7D" w:rsidP="00B15F7D">
      <w:pPr>
        <w:rPr>
          <w:sz w:val="22"/>
          <w:szCs w:val="22"/>
        </w:rPr>
      </w:pPr>
      <w:r w:rsidRPr="00990FB6">
        <w:rPr>
          <w:sz w:val="22"/>
          <w:szCs w:val="22"/>
        </w:rPr>
        <w:br w:type="page"/>
      </w:r>
    </w:p>
    <w:p w14:paraId="59DA1043" w14:textId="77777777" w:rsidR="00B15F7D" w:rsidRPr="00990FB6" w:rsidRDefault="00B15F7D" w:rsidP="00B15F7D">
      <w:pPr>
        <w:rPr>
          <w:color w:val="000000"/>
          <w:sz w:val="22"/>
          <w:szCs w:val="22"/>
          <w:lang w:eastAsia="es-CR"/>
        </w:rPr>
        <w:sectPr w:rsidR="00B15F7D" w:rsidRPr="00990FB6" w:rsidSect="00766343">
          <w:type w:val="continuous"/>
          <w:pgSz w:w="12240" w:h="15840"/>
          <w:pgMar w:top="1135" w:right="1701" w:bottom="1417" w:left="426" w:header="708" w:footer="708" w:gutter="0"/>
          <w:cols w:num="2" w:space="708"/>
          <w:docGrid w:linePitch="360"/>
        </w:sectPr>
      </w:pPr>
    </w:p>
    <w:p w14:paraId="1DAEC81D" w14:textId="77777777" w:rsidR="00B15F7D" w:rsidRPr="00990FB6" w:rsidRDefault="00B15F7D" w:rsidP="00B15F7D">
      <w:pPr>
        <w:tabs>
          <w:tab w:val="left" w:pos="142"/>
        </w:tabs>
        <w:ind w:left="851" w:right="2235"/>
        <w:contextualSpacing/>
        <w:jc w:val="both"/>
        <w:rPr>
          <w:rFonts w:eastAsia="Calibri"/>
          <w:b/>
          <w:bCs/>
          <w:color w:val="000000"/>
          <w:sz w:val="22"/>
          <w:szCs w:val="22"/>
          <w:lang w:eastAsia="es-CR"/>
        </w:rPr>
      </w:pPr>
      <w:r w:rsidRPr="00990FB6">
        <w:rPr>
          <w:rFonts w:eastAsia="Calibri"/>
          <w:b/>
          <w:bCs/>
          <w:color w:val="000000"/>
          <w:sz w:val="22"/>
          <w:szCs w:val="22"/>
          <w:lang w:eastAsia="es-CR"/>
        </w:rPr>
        <w:lastRenderedPageBreak/>
        <w:t>RESUMEN PROPUESTA DE AFECTACIONES PPTO 2024 PROG. 926 Y 927 del 12 de mayo 2023 por ¢1.685.664.234.</w:t>
      </w:r>
    </w:p>
    <w:p w14:paraId="553FB7FB"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p>
    <w:p w14:paraId="088201E9"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p>
    <w:p w14:paraId="7E90066E"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r w:rsidRPr="00990FB6">
        <w:rPr>
          <w:rFonts w:eastAsia="Calibri"/>
          <w:b/>
          <w:bCs/>
          <w:color w:val="000000"/>
          <w:sz w:val="22"/>
          <w:szCs w:val="22"/>
          <w:lang w:eastAsia="es-CR"/>
        </w:rPr>
        <w:tab/>
      </w:r>
      <w:r w:rsidRPr="00990FB6">
        <w:rPr>
          <w:rFonts w:eastAsia="Calibri"/>
          <w:b/>
          <w:bCs/>
          <w:color w:val="000000"/>
          <w:sz w:val="22"/>
          <w:szCs w:val="22"/>
          <w:lang w:eastAsia="es-CR"/>
        </w:rPr>
        <w:tab/>
        <w:t>Programa 926</w:t>
      </w:r>
    </w:p>
    <w:p w14:paraId="7653B267"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p>
    <w:tbl>
      <w:tblPr>
        <w:tblW w:w="89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137"/>
        <w:gridCol w:w="2544"/>
      </w:tblGrid>
      <w:tr w:rsidR="00B15F7D" w:rsidRPr="00990FB6" w14:paraId="52313D2B" w14:textId="77777777" w:rsidTr="000A0C22">
        <w:trPr>
          <w:trHeight w:val="277"/>
          <w:jc w:val="center"/>
        </w:trPr>
        <w:tc>
          <w:tcPr>
            <w:tcW w:w="1985" w:type="dxa"/>
            <w:shd w:val="clear" w:color="auto" w:fill="0070C0"/>
          </w:tcPr>
          <w:p w14:paraId="03F010C8" w14:textId="77777777" w:rsidR="00B15F7D" w:rsidRPr="00990FB6" w:rsidRDefault="00B15F7D" w:rsidP="00B15F7D">
            <w:pPr>
              <w:widowControl w:val="0"/>
              <w:suppressAutoHyphens w:val="0"/>
              <w:autoSpaceDE w:val="0"/>
              <w:autoSpaceDN w:val="0"/>
              <w:ind w:left="383"/>
              <w:rPr>
                <w:rFonts w:eastAsia="TeXGyrePagella"/>
                <w:color w:val="FFFFFF"/>
                <w:sz w:val="22"/>
                <w:szCs w:val="22"/>
                <w:lang w:eastAsia="en-US"/>
              </w:rPr>
            </w:pPr>
            <w:r w:rsidRPr="00990FB6">
              <w:rPr>
                <w:rFonts w:eastAsia="TeXGyrePagella"/>
                <w:color w:val="FFFFFF"/>
                <w:sz w:val="22"/>
                <w:szCs w:val="22"/>
                <w:lang w:eastAsia="en-US"/>
              </w:rPr>
              <w:t>Tipo</w:t>
            </w:r>
            <w:r w:rsidRPr="00990FB6">
              <w:rPr>
                <w:rFonts w:eastAsia="TeXGyrePagella"/>
                <w:color w:val="FFFFFF"/>
                <w:spacing w:val="-4"/>
                <w:sz w:val="22"/>
                <w:szCs w:val="22"/>
                <w:lang w:eastAsia="en-US"/>
              </w:rPr>
              <w:t xml:space="preserve"> </w:t>
            </w:r>
            <w:r w:rsidRPr="00990FB6">
              <w:rPr>
                <w:rFonts w:eastAsia="TeXGyrePagella"/>
                <w:color w:val="FFFFFF"/>
                <w:sz w:val="22"/>
                <w:szCs w:val="22"/>
                <w:lang w:eastAsia="en-US"/>
              </w:rPr>
              <w:t>de</w:t>
            </w:r>
            <w:r w:rsidRPr="00990FB6">
              <w:rPr>
                <w:rFonts w:eastAsia="TeXGyrePagella"/>
                <w:color w:val="FFFFFF"/>
                <w:spacing w:val="-4"/>
                <w:sz w:val="22"/>
                <w:szCs w:val="22"/>
                <w:lang w:eastAsia="en-US"/>
              </w:rPr>
              <w:t xml:space="preserve"> </w:t>
            </w:r>
            <w:r w:rsidRPr="00990FB6">
              <w:rPr>
                <w:rFonts w:eastAsia="TeXGyrePagella"/>
                <w:color w:val="FFFFFF"/>
                <w:spacing w:val="-2"/>
                <w:sz w:val="22"/>
                <w:szCs w:val="22"/>
                <w:lang w:eastAsia="en-US"/>
              </w:rPr>
              <w:t>gasto</w:t>
            </w:r>
          </w:p>
        </w:tc>
        <w:tc>
          <w:tcPr>
            <w:tcW w:w="2268" w:type="dxa"/>
            <w:shd w:val="clear" w:color="auto" w:fill="0070C0"/>
          </w:tcPr>
          <w:p w14:paraId="2BC089C5" w14:textId="77777777" w:rsidR="00B15F7D" w:rsidRPr="00990FB6" w:rsidRDefault="00B15F7D" w:rsidP="00B15F7D">
            <w:pPr>
              <w:widowControl w:val="0"/>
              <w:suppressAutoHyphens w:val="0"/>
              <w:autoSpaceDE w:val="0"/>
              <w:autoSpaceDN w:val="0"/>
              <w:ind w:left="170" w:right="163"/>
              <w:rPr>
                <w:rFonts w:eastAsia="TeXGyrePagella"/>
                <w:color w:val="FFFFFF"/>
                <w:sz w:val="22"/>
                <w:szCs w:val="22"/>
                <w:lang w:eastAsia="en-US"/>
              </w:rPr>
            </w:pPr>
            <w:r w:rsidRPr="00990FB6">
              <w:rPr>
                <w:rFonts w:eastAsia="TeXGyrePagella"/>
                <w:color w:val="FFFFFF"/>
                <w:spacing w:val="-2"/>
                <w:sz w:val="22"/>
                <w:szCs w:val="22"/>
                <w:lang w:eastAsia="en-US"/>
              </w:rPr>
              <w:t>Rebajos</w:t>
            </w:r>
          </w:p>
        </w:tc>
        <w:tc>
          <w:tcPr>
            <w:tcW w:w="2137" w:type="dxa"/>
            <w:shd w:val="clear" w:color="auto" w:fill="0070C0"/>
          </w:tcPr>
          <w:p w14:paraId="14721E7D" w14:textId="77777777" w:rsidR="00B15F7D" w:rsidRPr="00990FB6" w:rsidRDefault="00B15F7D" w:rsidP="00B15F7D">
            <w:pPr>
              <w:widowControl w:val="0"/>
              <w:suppressAutoHyphens w:val="0"/>
              <w:autoSpaceDE w:val="0"/>
              <w:autoSpaceDN w:val="0"/>
              <w:ind w:left="134" w:right="128"/>
              <w:rPr>
                <w:rFonts w:eastAsia="TeXGyrePagella"/>
                <w:color w:val="FFFFFF"/>
                <w:sz w:val="22"/>
                <w:szCs w:val="22"/>
                <w:lang w:eastAsia="en-US"/>
              </w:rPr>
            </w:pPr>
            <w:r w:rsidRPr="00990FB6">
              <w:rPr>
                <w:rFonts w:eastAsia="TeXGyrePagella"/>
                <w:color w:val="FFFFFF"/>
                <w:sz w:val="22"/>
                <w:szCs w:val="22"/>
                <w:lang w:eastAsia="en-US"/>
              </w:rPr>
              <w:t xml:space="preserve">Monto </w:t>
            </w:r>
            <w:r w:rsidRPr="00990FB6">
              <w:rPr>
                <w:rFonts w:eastAsia="TeXGyrePagella"/>
                <w:color w:val="FFFFFF"/>
                <w:spacing w:val="-2"/>
                <w:sz w:val="22"/>
                <w:szCs w:val="22"/>
                <w:lang w:eastAsia="en-US"/>
              </w:rPr>
              <w:t>requerido</w:t>
            </w:r>
          </w:p>
        </w:tc>
        <w:tc>
          <w:tcPr>
            <w:tcW w:w="2544" w:type="dxa"/>
            <w:shd w:val="clear" w:color="auto" w:fill="0070C0"/>
          </w:tcPr>
          <w:p w14:paraId="790865AB" w14:textId="77777777" w:rsidR="00B15F7D" w:rsidRPr="00990FB6" w:rsidRDefault="00B15F7D" w:rsidP="00B15F7D">
            <w:pPr>
              <w:widowControl w:val="0"/>
              <w:suppressAutoHyphens w:val="0"/>
              <w:autoSpaceDE w:val="0"/>
              <w:autoSpaceDN w:val="0"/>
              <w:ind w:left="550" w:right="541"/>
              <w:rPr>
                <w:rFonts w:eastAsia="TeXGyrePagella"/>
                <w:color w:val="FFFFFF"/>
                <w:sz w:val="22"/>
                <w:szCs w:val="22"/>
                <w:lang w:eastAsia="en-US"/>
              </w:rPr>
            </w:pPr>
            <w:r w:rsidRPr="00990FB6">
              <w:rPr>
                <w:rFonts w:eastAsia="TeXGyrePagella"/>
                <w:color w:val="FFFFFF"/>
                <w:spacing w:val="-2"/>
                <w:sz w:val="22"/>
                <w:szCs w:val="22"/>
                <w:lang w:eastAsia="en-US"/>
              </w:rPr>
              <w:t>Faltante</w:t>
            </w:r>
          </w:p>
        </w:tc>
      </w:tr>
      <w:tr w:rsidR="00B15F7D" w:rsidRPr="00990FB6" w14:paraId="7FF493BF" w14:textId="77777777" w:rsidTr="000A0C22">
        <w:trPr>
          <w:trHeight w:val="280"/>
          <w:jc w:val="center"/>
        </w:trPr>
        <w:tc>
          <w:tcPr>
            <w:tcW w:w="1985" w:type="dxa"/>
          </w:tcPr>
          <w:p w14:paraId="460471C3" w14:textId="77777777" w:rsidR="00B15F7D" w:rsidRPr="00990FB6" w:rsidRDefault="00B15F7D" w:rsidP="00B15F7D">
            <w:pPr>
              <w:widowControl w:val="0"/>
              <w:suppressAutoHyphens w:val="0"/>
              <w:autoSpaceDE w:val="0"/>
              <w:autoSpaceDN w:val="0"/>
              <w:ind w:left="69"/>
              <w:rPr>
                <w:rFonts w:eastAsia="TeXGyrePagella"/>
                <w:sz w:val="22"/>
                <w:szCs w:val="22"/>
                <w:lang w:eastAsia="en-US"/>
              </w:rPr>
            </w:pPr>
            <w:r w:rsidRPr="00990FB6">
              <w:rPr>
                <w:rFonts w:eastAsia="TeXGyrePagella"/>
                <w:sz w:val="22"/>
                <w:szCs w:val="22"/>
                <w:lang w:eastAsia="en-US"/>
              </w:rPr>
              <w:t>Gasto</w:t>
            </w:r>
            <w:r w:rsidRPr="00990FB6">
              <w:rPr>
                <w:rFonts w:eastAsia="TeXGyrePagella"/>
                <w:spacing w:val="-8"/>
                <w:sz w:val="22"/>
                <w:szCs w:val="22"/>
                <w:lang w:eastAsia="en-US"/>
              </w:rPr>
              <w:t xml:space="preserve"> </w:t>
            </w:r>
            <w:r w:rsidRPr="00990FB6">
              <w:rPr>
                <w:rFonts w:eastAsia="TeXGyrePagella"/>
                <w:spacing w:val="-2"/>
                <w:sz w:val="22"/>
                <w:szCs w:val="22"/>
                <w:lang w:eastAsia="en-US"/>
              </w:rPr>
              <w:t>variable</w:t>
            </w:r>
          </w:p>
        </w:tc>
        <w:tc>
          <w:tcPr>
            <w:tcW w:w="2268" w:type="dxa"/>
          </w:tcPr>
          <w:p w14:paraId="338D2932" w14:textId="77777777" w:rsidR="00B15F7D" w:rsidRPr="00990FB6" w:rsidRDefault="00B15F7D" w:rsidP="00B15F7D">
            <w:pPr>
              <w:widowControl w:val="0"/>
              <w:suppressAutoHyphens w:val="0"/>
              <w:autoSpaceDE w:val="0"/>
              <w:autoSpaceDN w:val="0"/>
              <w:ind w:left="170" w:right="166"/>
              <w:jc w:val="right"/>
              <w:rPr>
                <w:rFonts w:eastAsia="TeXGyrePagella"/>
                <w:sz w:val="22"/>
                <w:szCs w:val="22"/>
                <w:lang w:eastAsia="en-US"/>
              </w:rPr>
            </w:pPr>
            <w:r w:rsidRPr="00990FB6">
              <w:rPr>
                <w:rFonts w:eastAsia="TeXGyrePagella"/>
                <w:sz w:val="22"/>
                <w:szCs w:val="22"/>
                <w:lang w:eastAsia="en-US"/>
              </w:rPr>
              <w:t>₡619</w:t>
            </w:r>
            <w:r w:rsidRPr="00990FB6">
              <w:rPr>
                <w:rFonts w:eastAsia="TeXGyrePagella"/>
                <w:spacing w:val="-7"/>
                <w:sz w:val="22"/>
                <w:szCs w:val="22"/>
                <w:lang w:eastAsia="en-US"/>
              </w:rPr>
              <w:t xml:space="preserve"> </w:t>
            </w:r>
            <w:r w:rsidRPr="00990FB6">
              <w:rPr>
                <w:rFonts w:eastAsia="TeXGyrePagella"/>
                <w:sz w:val="22"/>
                <w:szCs w:val="22"/>
                <w:lang w:eastAsia="en-US"/>
              </w:rPr>
              <w:t>404</w:t>
            </w:r>
            <w:r w:rsidRPr="00990FB6">
              <w:rPr>
                <w:rFonts w:eastAsia="TeXGyrePagella"/>
                <w:spacing w:val="-6"/>
                <w:sz w:val="22"/>
                <w:szCs w:val="22"/>
                <w:lang w:eastAsia="en-US"/>
              </w:rPr>
              <w:t xml:space="preserve"> </w:t>
            </w:r>
            <w:r w:rsidRPr="00990FB6">
              <w:rPr>
                <w:rFonts w:eastAsia="TeXGyrePagella"/>
                <w:spacing w:val="-2"/>
                <w:sz w:val="22"/>
                <w:szCs w:val="22"/>
                <w:lang w:eastAsia="en-US"/>
              </w:rPr>
              <w:t>052,40</w:t>
            </w:r>
          </w:p>
        </w:tc>
        <w:tc>
          <w:tcPr>
            <w:tcW w:w="2137" w:type="dxa"/>
          </w:tcPr>
          <w:p w14:paraId="49723775" w14:textId="77777777" w:rsidR="00B15F7D" w:rsidRPr="00990FB6" w:rsidRDefault="00B15F7D" w:rsidP="00B15F7D">
            <w:pPr>
              <w:widowControl w:val="0"/>
              <w:suppressAutoHyphens w:val="0"/>
              <w:autoSpaceDE w:val="0"/>
              <w:autoSpaceDN w:val="0"/>
              <w:ind w:left="133" w:right="128"/>
              <w:jc w:val="right"/>
              <w:rPr>
                <w:rFonts w:eastAsia="TeXGyrePagella"/>
                <w:sz w:val="22"/>
                <w:szCs w:val="22"/>
                <w:lang w:eastAsia="en-US"/>
              </w:rPr>
            </w:pPr>
            <w:r w:rsidRPr="00990FB6">
              <w:rPr>
                <w:rFonts w:eastAsia="TeXGyrePagella"/>
                <w:sz w:val="22"/>
                <w:szCs w:val="22"/>
                <w:lang w:eastAsia="en-US"/>
              </w:rPr>
              <w:t>₡540</w:t>
            </w:r>
            <w:r w:rsidRPr="00990FB6">
              <w:rPr>
                <w:rFonts w:eastAsia="TeXGyrePagella"/>
                <w:spacing w:val="-7"/>
                <w:sz w:val="22"/>
                <w:szCs w:val="22"/>
                <w:lang w:eastAsia="en-US"/>
              </w:rPr>
              <w:t xml:space="preserve"> </w:t>
            </w:r>
            <w:r w:rsidRPr="00990FB6">
              <w:rPr>
                <w:rFonts w:eastAsia="TeXGyrePagella"/>
                <w:sz w:val="22"/>
                <w:szCs w:val="22"/>
                <w:lang w:eastAsia="en-US"/>
              </w:rPr>
              <w:t>468</w:t>
            </w:r>
            <w:r w:rsidRPr="00990FB6">
              <w:rPr>
                <w:rFonts w:eastAsia="TeXGyrePagella"/>
                <w:spacing w:val="-6"/>
                <w:sz w:val="22"/>
                <w:szCs w:val="22"/>
                <w:lang w:eastAsia="en-US"/>
              </w:rPr>
              <w:t xml:space="preserve"> </w:t>
            </w:r>
            <w:r w:rsidRPr="00990FB6">
              <w:rPr>
                <w:rFonts w:eastAsia="TeXGyrePagella"/>
                <w:spacing w:val="-2"/>
                <w:sz w:val="22"/>
                <w:szCs w:val="22"/>
                <w:lang w:eastAsia="en-US"/>
              </w:rPr>
              <w:t>120,75</w:t>
            </w:r>
          </w:p>
        </w:tc>
        <w:tc>
          <w:tcPr>
            <w:tcW w:w="2544" w:type="dxa"/>
          </w:tcPr>
          <w:p w14:paraId="3DC66A9B" w14:textId="77777777" w:rsidR="00B15F7D" w:rsidRPr="00990FB6" w:rsidRDefault="00B15F7D" w:rsidP="00B15F7D">
            <w:pPr>
              <w:widowControl w:val="0"/>
              <w:suppressAutoHyphens w:val="0"/>
              <w:autoSpaceDE w:val="0"/>
              <w:autoSpaceDN w:val="0"/>
              <w:ind w:left="550" w:right="544"/>
              <w:jc w:val="right"/>
              <w:rPr>
                <w:rFonts w:eastAsia="TeXGyrePagella"/>
                <w:sz w:val="22"/>
                <w:szCs w:val="22"/>
                <w:lang w:eastAsia="en-US"/>
              </w:rPr>
            </w:pPr>
            <w:r w:rsidRPr="00990FB6">
              <w:rPr>
                <w:rFonts w:eastAsia="TeXGyrePagella"/>
                <w:sz w:val="22"/>
                <w:szCs w:val="22"/>
                <w:lang w:eastAsia="en-US"/>
              </w:rPr>
              <w:t>₡78</w:t>
            </w:r>
            <w:r w:rsidRPr="00990FB6">
              <w:rPr>
                <w:rFonts w:eastAsia="TeXGyrePagella"/>
                <w:spacing w:val="-9"/>
                <w:sz w:val="22"/>
                <w:szCs w:val="22"/>
                <w:lang w:eastAsia="en-US"/>
              </w:rPr>
              <w:t xml:space="preserve"> </w:t>
            </w:r>
            <w:r w:rsidRPr="00990FB6">
              <w:rPr>
                <w:rFonts w:eastAsia="TeXGyrePagella"/>
                <w:sz w:val="22"/>
                <w:szCs w:val="22"/>
                <w:lang w:eastAsia="en-US"/>
              </w:rPr>
              <w:t>935</w:t>
            </w:r>
            <w:r w:rsidRPr="00990FB6">
              <w:rPr>
                <w:rFonts w:eastAsia="TeXGyrePagella"/>
                <w:spacing w:val="-4"/>
                <w:sz w:val="22"/>
                <w:szCs w:val="22"/>
                <w:lang w:eastAsia="en-US"/>
              </w:rPr>
              <w:t xml:space="preserve"> </w:t>
            </w:r>
            <w:r w:rsidRPr="00990FB6">
              <w:rPr>
                <w:rFonts w:eastAsia="TeXGyrePagella"/>
                <w:spacing w:val="-2"/>
                <w:sz w:val="22"/>
                <w:szCs w:val="22"/>
                <w:lang w:eastAsia="en-US"/>
              </w:rPr>
              <w:t>931,65</w:t>
            </w:r>
          </w:p>
        </w:tc>
      </w:tr>
      <w:tr w:rsidR="00B15F7D" w:rsidRPr="00990FB6" w14:paraId="1EB32196" w14:textId="77777777" w:rsidTr="000A0C22">
        <w:trPr>
          <w:trHeight w:val="280"/>
          <w:jc w:val="center"/>
        </w:trPr>
        <w:tc>
          <w:tcPr>
            <w:tcW w:w="1985" w:type="dxa"/>
          </w:tcPr>
          <w:p w14:paraId="64D5059D" w14:textId="77777777" w:rsidR="00B15F7D" w:rsidRPr="00990FB6" w:rsidRDefault="00B15F7D" w:rsidP="00B15F7D">
            <w:pPr>
              <w:widowControl w:val="0"/>
              <w:suppressAutoHyphens w:val="0"/>
              <w:autoSpaceDE w:val="0"/>
              <w:autoSpaceDN w:val="0"/>
              <w:ind w:left="69"/>
              <w:rPr>
                <w:rFonts w:eastAsia="TeXGyrePagella"/>
                <w:sz w:val="22"/>
                <w:szCs w:val="22"/>
                <w:lang w:eastAsia="en-US"/>
              </w:rPr>
            </w:pPr>
            <w:r w:rsidRPr="00990FB6">
              <w:rPr>
                <w:rFonts w:eastAsia="TeXGyrePagella"/>
                <w:sz w:val="22"/>
                <w:szCs w:val="22"/>
                <w:lang w:eastAsia="en-US"/>
              </w:rPr>
              <w:t>Gasto</w:t>
            </w:r>
            <w:r w:rsidRPr="00990FB6">
              <w:rPr>
                <w:rFonts w:eastAsia="TeXGyrePagella"/>
                <w:spacing w:val="-8"/>
                <w:sz w:val="22"/>
                <w:szCs w:val="22"/>
                <w:lang w:eastAsia="en-US"/>
              </w:rPr>
              <w:t xml:space="preserve"> </w:t>
            </w:r>
            <w:r w:rsidRPr="00990FB6">
              <w:rPr>
                <w:rFonts w:eastAsia="TeXGyrePagella"/>
                <w:spacing w:val="-2"/>
                <w:sz w:val="22"/>
                <w:szCs w:val="22"/>
                <w:lang w:eastAsia="en-US"/>
              </w:rPr>
              <w:t>capital</w:t>
            </w:r>
          </w:p>
        </w:tc>
        <w:tc>
          <w:tcPr>
            <w:tcW w:w="2268" w:type="dxa"/>
          </w:tcPr>
          <w:p w14:paraId="5B45425B" w14:textId="77777777" w:rsidR="00B15F7D" w:rsidRPr="00990FB6" w:rsidRDefault="00B15F7D" w:rsidP="00B15F7D">
            <w:pPr>
              <w:widowControl w:val="0"/>
              <w:suppressAutoHyphens w:val="0"/>
              <w:autoSpaceDE w:val="0"/>
              <w:autoSpaceDN w:val="0"/>
              <w:ind w:left="170" w:right="163"/>
              <w:jc w:val="right"/>
              <w:rPr>
                <w:rFonts w:eastAsia="TeXGyrePagella"/>
                <w:sz w:val="22"/>
                <w:szCs w:val="22"/>
                <w:lang w:eastAsia="en-US"/>
              </w:rPr>
            </w:pPr>
            <w:r w:rsidRPr="00990FB6">
              <w:rPr>
                <w:rFonts w:eastAsia="TeXGyrePagella"/>
                <w:spacing w:val="-2"/>
                <w:sz w:val="22"/>
                <w:szCs w:val="22"/>
                <w:lang w:eastAsia="en-US"/>
              </w:rPr>
              <w:t>₡0,00</w:t>
            </w:r>
          </w:p>
        </w:tc>
        <w:tc>
          <w:tcPr>
            <w:tcW w:w="2137" w:type="dxa"/>
          </w:tcPr>
          <w:p w14:paraId="0B0F9399" w14:textId="77777777" w:rsidR="00B15F7D" w:rsidRPr="00990FB6" w:rsidRDefault="00B15F7D" w:rsidP="00B15F7D">
            <w:pPr>
              <w:widowControl w:val="0"/>
              <w:suppressAutoHyphens w:val="0"/>
              <w:autoSpaceDE w:val="0"/>
              <w:autoSpaceDN w:val="0"/>
              <w:ind w:left="134" w:right="126"/>
              <w:jc w:val="right"/>
              <w:rPr>
                <w:rFonts w:eastAsia="TeXGyrePagella"/>
                <w:sz w:val="22"/>
                <w:szCs w:val="22"/>
                <w:lang w:eastAsia="en-US"/>
              </w:rPr>
            </w:pPr>
            <w:r w:rsidRPr="00990FB6">
              <w:rPr>
                <w:rFonts w:eastAsia="TeXGyrePagella"/>
                <w:spacing w:val="-2"/>
                <w:sz w:val="22"/>
                <w:szCs w:val="22"/>
                <w:lang w:eastAsia="en-US"/>
              </w:rPr>
              <w:t>₡0,00</w:t>
            </w:r>
          </w:p>
        </w:tc>
        <w:tc>
          <w:tcPr>
            <w:tcW w:w="2544" w:type="dxa"/>
          </w:tcPr>
          <w:p w14:paraId="6F9E15B1" w14:textId="77777777" w:rsidR="00B15F7D" w:rsidRPr="00990FB6" w:rsidRDefault="00B15F7D" w:rsidP="00B15F7D">
            <w:pPr>
              <w:widowControl w:val="0"/>
              <w:suppressAutoHyphens w:val="0"/>
              <w:autoSpaceDE w:val="0"/>
              <w:autoSpaceDN w:val="0"/>
              <w:ind w:left="550" w:right="540"/>
              <w:jc w:val="right"/>
              <w:rPr>
                <w:rFonts w:eastAsia="TeXGyrePagella"/>
                <w:sz w:val="22"/>
                <w:szCs w:val="22"/>
                <w:lang w:eastAsia="en-US"/>
              </w:rPr>
            </w:pPr>
            <w:r w:rsidRPr="00990FB6">
              <w:rPr>
                <w:rFonts w:eastAsia="TeXGyrePagella"/>
                <w:spacing w:val="-2"/>
                <w:sz w:val="22"/>
                <w:szCs w:val="22"/>
                <w:lang w:eastAsia="en-US"/>
              </w:rPr>
              <w:t>₡0,00</w:t>
            </w:r>
          </w:p>
        </w:tc>
      </w:tr>
      <w:tr w:rsidR="00B15F7D" w:rsidRPr="00990FB6" w14:paraId="1D599DD3" w14:textId="77777777" w:rsidTr="000A0C22">
        <w:trPr>
          <w:trHeight w:val="280"/>
          <w:jc w:val="center"/>
        </w:trPr>
        <w:tc>
          <w:tcPr>
            <w:tcW w:w="1985" w:type="dxa"/>
          </w:tcPr>
          <w:p w14:paraId="591C3BC0" w14:textId="77777777" w:rsidR="00B15F7D" w:rsidRPr="00990FB6" w:rsidRDefault="00B15F7D" w:rsidP="00B15F7D">
            <w:pPr>
              <w:widowControl w:val="0"/>
              <w:suppressAutoHyphens w:val="0"/>
              <w:autoSpaceDE w:val="0"/>
              <w:autoSpaceDN w:val="0"/>
              <w:ind w:left="69"/>
              <w:rPr>
                <w:rFonts w:eastAsia="TeXGyrePagella"/>
                <w:sz w:val="22"/>
                <w:szCs w:val="22"/>
                <w:lang w:eastAsia="en-US"/>
              </w:rPr>
            </w:pPr>
            <w:r w:rsidRPr="00990FB6">
              <w:rPr>
                <w:rFonts w:eastAsia="TeXGyrePagella"/>
                <w:spacing w:val="-2"/>
                <w:sz w:val="22"/>
                <w:szCs w:val="22"/>
                <w:lang w:eastAsia="en-US"/>
              </w:rPr>
              <w:t>Total</w:t>
            </w:r>
          </w:p>
        </w:tc>
        <w:tc>
          <w:tcPr>
            <w:tcW w:w="2268" w:type="dxa"/>
          </w:tcPr>
          <w:p w14:paraId="2B2D20CC" w14:textId="77777777" w:rsidR="00B15F7D" w:rsidRPr="00990FB6" w:rsidRDefault="00B15F7D" w:rsidP="00B15F7D">
            <w:pPr>
              <w:widowControl w:val="0"/>
              <w:suppressAutoHyphens w:val="0"/>
              <w:autoSpaceDE w:val="0"/>
              <w:autoSpaceDN w:val="0"/>
              <w:ind w:left="170" w:right="166"/>
              <w:jc w:val="right"/>
              <w:rPr>
                <w:rFonts w:eastAsia="TeXGyrePagella"/>
                <w:sz w:val="22"/>
                <w:szCs w:val="22"/>
                <w:lang w:eastAsia="en-US"/>
              </w:rPr>
            </w:pPr>
            <w:r w:rsidRPr="00990FB6">
              <w:rPr>
                <w:rFonts w:eastAsia="TeXGyrePagella"/>
                <w:sz w:val="22"/>
                <w:szCs w:val="22"/>
                <w:lang w:eastAsia="en-US"/>
              </w:rPr>
              <w:t>₡619</w:t>
            </w:r>
            <w:r w:rsidRPr="00990FB6">
              <w:rPr>
                <w:rFonts w:eastAsia="TeXGyrePagella"/>
                <w:spacing w:val="-7"/>
                <w:sz w:val="22"/>
                <w:szCs w:val="22"/>
                <w:lang w:eastAsia="en-US"/>
              </w:rPr>
              <w:t xml:space="preserve"> </w:t>
            </w:r>
            <w:r w:rsidRPr="00990FB6">
              <w:rPr>
                <w:rFonts w:eastAsia="TeXGyrePagella"/>
                <w:sz w:val="22"/>
                <w:szCs w:val="22"/>
                <w:lang w:eastAsia="en-US"/>
              </w:rPr>
              <w:t>404</w:t>
            </w:r>
            <w:r w:rsidRPr="00990FB6">
              <w:rPr>
                <w:rFonts w:eastAsia="TeXGyrePagella"/>
                <w:spacing w:val="-6"/>
                <w:sz w:val="22"/>
                <w:szCs w:val="22"/>
                <w:lang w:eastAsia="en-US"/>
              </w:rPr>
              <w:t xml:space="preserve"> </w:t>
            </w:r>
            <w:r w:rsidRPr="00990FB6">
              <w:rPr>
                <w:rFonts w:eastAsia="TeXGyrePagella"/>
                <w:spacing w:val="-2"/>
                <w:sz w:val="22"/>
                <w:szCs w:val="22"/>
                <w:lang w:eastAsia="en-US"/>
              </w:rPr>
              <w:t>052,40</w:t>
            </w:r>
          </w:p>
        </w:tc>
        <w:tc>
          <w:tcPr>
            <w:tcW w:w="2137" w:type="dxa"/>
          </w:tcPr>
          <w:p w14:paraId="7D500919" w14:textId="77777777" w:rsidR="00B15F7D" w:rsidRPr="00990FB6" w:rsidRDefault="00B15F7D" w:rsidP="00B15F7D">
            <w:pPr>
              <w:widowControl w:val="0"/>
              <w:suppressAutoHyphens w:val="0"/>
              <w:autoSpaceDE w:val="0"/>
              <w:autoSpaceDN w:val="0"/>
              <w:ind w:left="133" w:right="128"/>
              <w:jc w:val="right"/>
              <w:rPr>
                <w:rFonts w:eastAsia="TeXGyrePagella"/>
                <w:sz w:val="22"/>
                <w:szCs w:val="22"/>
                <w:lang w:eastAsia="en-US"/>
              </w:rPr>
            </w:pPr>
            <w:r w:rsidRPr="00990FB6">
              <w:rPr>
                <w:rFonts w:eastAsia="TeXGyrePagella"/>
                <w:sz w:val="22"/>
                <w:szCs w:val="22"/>
                <w:lang w:eastAsia="en-US"/>
              </w:rPr>
              <w:t>₡540</w:t>
            </w:r>
            <w:r w:rsidRPr="00990FB6">
              <w:rPr>
                <w:rFonts w:eastAsia="TeXGyrePagella"/>
                <w:spacing w:val="-7"/>
                <w:sz w:val="22"/>
                <w:szCs w:val="22"/>
                <w:lang w:eastAsia="en-US"/>
              </w:rPr>
              <w:t xml:space="preserve"> </w:t>
            </w:r>
            <w:r w:rsidRPr="00990FB6">
              <w:rPr>
                <w:rFonts w:eastAsia="TeXGyrePagella"/>
                <w:sz w:val="22"/>
                <w:szCs w:val="22"/>
                <w:lang w:eastAsia="en-US"/>
              </w:rPr>
              <w:t>468</w:t>
            </w:r>
            <w:r w:rsidRPr="00990FB6">
              <w:rPr>
                <w:rFonts w:eastAsia="TeXGyrePagella"/>
                <w:spacing w:val="-6"/>
                <w:sz w:val="22"/>
                <w:szCs w:val="22"/>
                <w:lang w:eastAsia="en-US"/>
              </w:rPr>
              <w:t xml:space="preserve"> </w:t>
            </w:r>
            <w:r w:rsidRPr="00990FB6">
              <w:rPr>
                <w:rFonts w:eastAsia="TeXGyrePagella"/>
                <w:spacing w:val="-2"/>
                <w:sz w:val="22"/>
                <w:szCs w:val="22"/>
                <w:lang w:eastAsia="en-US"/>
              </w:rPr>
              <w:t>120,75</w:t>
            </w:r>
          </w:p>
        </w:tc>
        <w:tc>
          <w:tcPr>
            <w:tcW w:w="2544" w:type="dxa"/>
          </w:tcPr>
          <w:p w14:paraId="0279FFDE" w14:textId="77777777" w:rsidR="00B15F7D" w:rsidRPr="00990FB6" w:rsidRDefault="00B15F7D" w:rsidP="00B15F7D">
            <w:pPr>
              <w:widowControl w:val="0"/>
              <w:suppressAutoHyphens w:val="0"/>
              <w:autoSpaceDE w:val="0"/>
              <w:autoSpaceDN w:val="0"/>
              <w:ind w:left="550" w:right="544"/>
              <w:jc w:val="right"/>
              <w:rPr>
                <w:rFonts w:eastAsia="TeXGyrePagella"/>
                <w:sz w:val="22"/>
                <w:szCs w:val="22"/>
                <w:lang w:eastAsia="en-US"/>
              </w:rPr>
            </w:pPr>
            <w:r w:rsidRPr="00990FB6">
              <w:rPr>
                <w:rFonts w:eastAsia="TeXGyrePagella"/>
                <w:sz w:val="22"/>
                <w:szCs w:val="22"/>
                <w:lang w:eastAsia="en-US"/>
              </w:rPr>
              <w:t>₡78</w:t>
            </w:r>
            <w:r w:rsidRPr="00990FB6">
              <w:rPr>
                <w:rFonts w:eastAsia="TeXGyrePagella"/>
                <w:spacing w:val="-9"/>
                <w:sz w:val="22"/>
                <w:szCs w:val="22"/>
                <w:lang w:eastAsia="en-US"/>
              </w:rPr>
              <w:t xml:space="preserve"> </w:t>
            </w:r>
            <w:r w:rsidRPr="00990FB6">
              <w:rPr>
                <w:rFonts w:eastAsia="TeXGyrePagella"/>
                <w:sz w:val="22"/>
                <w:szCs w:val="22"/>
                <w:lang w:eastAsia="en-US"/>
              </w:rPr>
              <w:t>935</w:t>
            </w:r>
            <w:r w:rsidRPr="00990FB6">
              <w:rPr>
                <w:rFonts w:eastAsia="TeXGyrePagella"/>
                <w:spacing w:val="-4"/>
                <w:sz w:val="22"/>
                <w:szCs w:val="22"/>
                <w:lang w:eastAsia="en-US"/>
              </w:rPr>
              <w:t xml:space="preserve"> </w:t>
            </w:r>
            <w:r w:rsidRPr="00990FB6">
              <w:rPr>
                <w:rFonts w:eastAsia="TeXGyrePagella"/>
                <w:spacing w:val="-2"/>
                <w:sz w:val="22"/>
                <w:szCs w:val="22"/>
                <w:lang w:eastAsia="en-US"/>
              </w:rPr>
              <w:t>931,65</w:t>
            </w:r>
          </w:p>
        </w:tc>
      </w:tr>
    </w:tbl>
    <w:p w14:paraId="120867A6"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p>
    <w:p w14:paraId="677CF410"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r w:rsidRPr="00990FB6">
        <w:rPr>
          <w:rFonts w:eastAsia="Calibri"/>
          <w:b/>
          <w:bCs/>
          <w:color w:val="000000"/>
          <w:sz w:val="22"/>
          <w:szCs w:val="22"/>
          <w:lang w:eastAsia="es-CR"/>
        </w:rPr>
        <w:tab/>
      </w:r>
      <w:r w:rsidRPr="00990FB6">
        <w:rPr>
          <w:rFonts w:eastAsia="Calibri"/>
          <w:b/>
          <w:bCs/>
          <w:color w:val="000000"/>
          <w:sz w:val="22"/>
          <w:szCs w:val="22"/>
          <w:lang w:eastAsia="es-CR"/>
        </w:rPr>
        <w:tab/>
        <w:t>Programa 927</w:t>
      </w:r>
    </w:p>
    <w:p w14:paraId="3FAC02D2"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p>
    <w:tbl>
      <w:tblPr>
        <w:tblW w:w="89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9"/>
        <w:gridCol w:w="2143"/>
        <w:gridCol w:w="2156"/>
        <w:gridCol w:w="2551"/>
      </w:tblGrid>
      <w:tr w:rsidR="00B15F7D" w:rsidRPr="00990FB6" w14:paraId="535B13B0" w14:textId="77777777" w:rsidTr="000A0C22">
        <w:trPr>
          <w:trHeight w:val="249"/>
          <w:jc w:val="center"/>
        </w:trPr>
        <w:tc>
          <w:tcPr>
            <w:tcW w:w="2099" w:type="dxa"/>
            <w:shd w:val="clear" w:color="auto" w:fill="0070C0"/>
          </w:tcPr>
          <w:p w14:paraId="44F5198A" w14:textId="77777777" w:rsidR="00B15F7D" w:rsidRPr="00990FB6" w:rsidRDefault="00B15F7D" w:rsidP="00B15F7D">
            <w:pPr>
              <w:widowControl w:val="0"/>
              <w:suppressAutoHyphens w:val="0"/>
              <w:autoSpaceDE w:val="0"/>
              <w:autoSpaceDN w:val="0"/>
              <w:ind w:left="529"/>
              <w:rPr>
                <w:rFonts w:eastAsia="TeXGyrePagella"/>
                <w:color w:val="FFFFFF"/>
                <w:sz w:val="22"/>
                <w:szCs w:val="22"/>
                <w:lang w:eastAsia="en-US"/>
              </w:rPr>
            </w:pPr>
            <w:r w:rsidRPr="00990FB6">
              <w:rPr>
                <w:rFonts w:eastAsia="TeXGyrePagella"/>
                <w:color w:val="FFFFFF"/>
                <w:sz w:val="22"/>
                <w:szCs w:val="22"/>
                <w:lang w:eastAsia="en-US"/>
              </w:rPr>
              <w:t>Tipo</w:t>
            </w:r>
            <w:r w:rsidRPr="00990FB6">
              <w:rPr>
                <w:rFonts w:eastAsia="TeXGyrePagella"/>
                <w:color w:val="FFFFFF"/>
                <w:spacing w:val="-5"/>
                <w:sz w:val="22"/>
                <w:szCs w:val="22"/>
                <w:lang w:eastAsia="en-US"/>
              </w:rPr>
              <w:t xml:space="preserve"> </w:t>
            </w:r>
            <w:r w:rsidRPr="00990FB6">
              <w:rPr>
                <w:rFonts w:eastAsia="TeXGyrePagella"/>
                <w:color w:val="FFFFFF"/>
                <w:spacing w:val="-2"/>
                <w:sz w:val="22"/>
                <w:szCs w:val="22"/>
                <w:lang w:eastAsia="en-US"/>
              </w:rPr>
              <w:t>gasto</w:t>
            </w:r>
          </w:p>
        </w:tc>
        <w:tc>
          <w:tcPr>
            <w:tcW w:w="2143" w:type="dxa"/>
            <w:shd w:val="clear" w:color="auto" w:fill="0070C0"/>
          </w:tcPr>
          <w:p w14:paraId="09E1A884" w14:textId="77777777" w:rsidR="00B15F7D" w:rsidRPr="00990FB6" w:rsidRDefault="00B15F7D" w:rsidP="00B15F7D">
            <w:pPr>
              <w:widowControl w:val="0"/>
              <w:suppressAutoHyphens w:val="0"/>
              <w:autoSpaceDE w:val="0"/>
              <w:autoSpaceDN w:val="0"/>
              <w:ind w:left="194" w:right="191"/>
              <w:rPr>
                <w:rFonts w:eastAsia="TeXGyrePagella"/>
                <w:color w:val="FFFFFF"/>
                <w:sz w:val="22"/>
                <w:szCs w:val="22"/>
                <w:lang w:eastAsia="en-US"/>
              </w:rPr>
            </w:pPr>
            <w:r w:rsidRPr="00990FB6">
              <w:rPr>
                <w:rFonts w:eastAsia="TeXGyrePagella"/>
                <w:color w:val="FFFFFF"/>
                <w:spacing w:val="-2"/>
                <w:sz w:val="22"/>
                <w:szCs w:val="22"/>
                <w:lang w:eastAsia="en-US"/>
              </w:rPr>
              <w:t>Rebajos</w:t>
            </w:r>
          </w:p>
        </w:tc>
        <w:tc>
          <w:tcPr>
            <w:tcW w:w="2156" w:type="dxa"/>
            <w:shd w:val="clear" w:color="auto" w:fill="0070C0"/>
          </w:tcPr>
          <w:p w14:paraId="310A7A37" w14:textId="77777777" w:rsidR="00B15F7D" w:rsidRPr="00990FB6" w:rsidRDefault="00B15F7D" w:rsidP="00B15F7D">
            <w:pPr>
              <w:widowControl w:val="0"/>
              <w:suppressAutoHyphens w:val="0"/>
              <w:autoSpaceDE w:val="0"/>
              <w:autoSpaceDN w:val="0"/>
              <w:ind w:left="254" w:right="255"/>
              <w:rPr>
                <w:rFonts w:eastAsia="TeXGyrePagella"/>
                <w:color w:val="FFFFFF"/>
                <w:sz w:val="22"/>
                <w:szCs w:val="22"/>
                <w:lang w:eastAsia="en-US"/>
              </w:rPr>
            </w:pPr>
            <w:r w:rsidRPr="00990FB6">
              <w:rPr>
                <w:rFonts w:eastAsia="TeXGyrePagella"/>
                <w:color w:val="FFFFFF"/>
                <w:sz w:val="22"/>
                <w:szCs w:val="22"/>
                <w:lang w:eastAsia="en-US"/>
              </w:rPr>
              <w:t>Monto</w:t>
            </w:r>
            <w:r w:rsidRPr="00990FB6">
              <w:rPr>
                <w:rFonts w:eastAsia="TeXGyrePagella"/>
                <w:color w:val="FFFFFF"/>
                <w:spacing w:val="-7"/>
                <w:sz w:val="22"/>
                <w:szCs w:val="22"/>
                <w:lang w:eastAsia="en-US"/>
              </w:rPr>
              <w:t xml:space="preserve"> </w:t>
            </w:r>
            <w:r w:rsidRPr="00990FB6">
              <w:rPr>
                <w:rFonts w:eastAsia="TeXGyrePagella"/>
                <w:color w:val="FFFFFF"/>
                <w:spacing w:val="-2"/>
                <w:sz w:val="22"/>
                <w:szCs w:val="22"/>
                <w:lang w:eastAsia="en-US"/>
              </w:rPr>
              <w:t>requerido</w:t>
            </w:r>
          </w:p>
        </w:tc>
        <w:tc>
          <w:tcPr>
            <w:tcW w:w="2551" w:type="dxa"/>
            <w:shd w:val="clear" w:color="auto" w:fill="0070C0"/>
          </w:tcPr>
          <w:p w14:paraId="79FF5489" w14:textId="77777777" w:rsidR="00B15F7D" w:rsidRPr="00990FB6" w:rsidRDefault="00B15F7D" w:rsidP="00B15F7D">
            <w:pPr>
              <w:widowControl w:val="0"/>
              <w:tabs>
                <w:tab w:val="center" w:pos="1270"/>
                <w:tab w:val="left" w:pos="2400"/>
              </w:tabs>
              <w:suppressAutoHyphens w:val="0"/>
              <w:autoSpaceDE w:val="0"/>
              <w:autoSpaceDN w:val="0"/>
              <w:ind w:left="433" w:right="433"/>
              <w:rPr>
                <w:rFonts w:eastAsia="TeXGyrePagella"/>
                <w:color w:val="FFFFFF"/>
                <w:sz w:val="22"/>
                <w:szCs w:val="22"/>
                <w:lang w:eastAsia="en-US"/>
              </w:rPr>
            </w:pPr>
            <w:r w:rsidRPr="00990FB6">
              <w:rPr>
                <w:rFonts w:eastAsia="TeXGyrePagella"/>
                <w:color w:val="FFFFFF"/>
                <w:spacing w:val="-2"/>
                <w:sz w:val="22"/>
                <w:szCs w:val="22"/>
                <w:lang w:eastAsia="en-US"/>
              </w:rPr>
              <w:tab/>
              <w:t>Faltante</w:t>
            </w:r>
            <w:r w:rsidRPr="00990FB6">
              <w:rPr>
                <w:rFonts w:eastAsia="TeXGyrePagella"/>
                <w:color w:val="FFFFFF"/>
                <w:spacing w:val="-2"/>
                <w:sz w:val="22"/>
                <w:szCs w:val="22"/>
                <w:shd w:val="clear" w:color="auto" w:fill="0070C0"/>
                <w:lang w:eastAsia="en-US"/>
              </w:rPr>
              <w:tab/>
            </w:r>
          </w:p>
        </w:tc>
      </w:tr>
      <w:tr w:rsidR="00B15F7D" w:rsidRPr="00990FB6" w14:paraId="7015809F" w14:textId="77777777" w:rsidTr="000A0C22">
        <w:trPr>
          <w:trHeight w:val="250"/>
          <w:jc w:val="center"/>
        </w:trPr>
        <w:tc>
          <w:tcPr>
            <w:tcW w:w="2099" w:type="dxa"/>
          </w:tcPr>
          <w:p w14:paraId="680F33F5" w14:textId="77777777" w:rsidR="00B15F7D" w:rsidRPr="00990FB6" w:rsidRDefault="00B15F7D" w:rsidP="00B15F7D">
            <w:pPr>
              <w:widowControl w:val="0"/>
              <w:suppressAutoHyphens w:val="0"/>
              <w:autoSpaceDE w:val="0"/>
              <w:autoSpaceDN w:val="0"/>
              <w:ind w:left="69"/>
              <w:rPr>
                <w:rFonts w:eastAsia="TeXGyrePagella"/>
                <w:sz w:val="22"/>
                <w:szCs w:val="22"/>
                <w:lang w:eastAsia="en-US"/>
              </w:rPr>
            </w:pPr>
            <w:r w:rsidRPr="00990FB6">
              <w:rPr>
                <w:rFonts w:eastAsia="TeXGyrePagella"/>
                <w:sz w:val="22"/>
                <w:szCs w:val="22"/>
                <w:lang w:eastAsia="en-US"/>
              </w:rPr>
              <w:t>Gasto</w:t>
            </w:r>
            <w:r w:rsidRPr="00990FB6">
              <w:rPr>
                <w:rFonts w:eastAsia="TeXGyrePagella"/>
                <w:spacing w:val="-8"/>
                <w:sz w:val="22"/>
                <w:szCs w:val="22"/>
                <w:lang w:eastAsia="en-US"/>
              </w:rPr>
              <w:t xml:space="preserve"> </w:t>
            </w:r>
            <w:r w:rsidRPr="00990FB6">
              <w:rPr>
                <w:rFonts w:eastAsia="TeXGyrePagella"/>
                <w:spacing w:val="-2"/>
                <w:sz w:val="22"/>
                <w:szCs w:val="22"/>
                <w:lang w:eastAsia="en-US"/>
              </w:rPr>
              <w:t>variable</w:t>
            </w:r>
          </w:p>
        </w:tc>
        <w:tc>
          <w:tcPr>
            <w:tcW w:w="2143" w:type="dxa"/>
          </w:tcPr>
          <w:p w14:paraId="2A4922DC" w14:textId="77777777" w:rsidR="00B15F7D" w:rsidRPr="00990FB6" w:rsidRDefault="00B15F7D" w:rsidP="00B15F7D">
            <w:pPr>
              <w:widowControl w:val="0"/>
              <w:suppressAutoHyphens w:val="0"/>
              <w:autoSpaceDE w:val="0"/>
              <w:autoSpaceDN w:val="0"/>
              <w:ind w:left="194" w:right="194"/>
              <w:jc w:val="right"/>
              <w:rPr>
                <w:rFonts w:eastAsia="TeXGyrePagella"/>
                <w:sz w:val="22"/>
                <w:szCs w:val="22"/>
                <w:lang w:eastAsia="en-US"/>
              </w:rPr>
            </w:pPr>
            <w:r w:rsidRPr="00990FB6">
              <w:rPr>
                <w:rFonts w:eastAsia="TeXGyrePagella"/>
                <w:sz w:val="22"/>
                <w:szCs w:val="22"/>
                <w:lang w:eastAsia="en-US"/>
              </w:rPr>
              <w:t>₡1</w:t>
            </w:r>
            <w:r w:rsidRPr="00990FB6">
              <w:rPr>
                <w:rFonts w:eastAsia="TeXGyrePagella"/>
                <w:spacing w:val="-5"/>
                <w:sz w:val="22"/>
                <w:szCs w:val="22"/>
                <w:lang w:eastAsia="en-US"/>
              </w:rPr>
              <w:t xml:space="preserve"> </w:t>
            </w:r>
            <w:r w:rsidRPr="00990FB6">
              <w:rPr>
                <w:rFonts w:eastAsia="TeXGyrePagella"/>
                <w:sz w:val="22"/>
                <w:szCs w:val="22"/>
                <w:lang w:eastAsia="en-US"/>
              </w:rPr>
              <w:t>066</w:t>
            </w:r>
            <w:r w:rsidRPr="00990FB6">
              <w:rPr>
                <w:rFonts w:eastAsia="TeXGyrePagella"/>
                <w:spacing w:val="-4"/>
                <w:sz w:val="22"/>
                <w:szCs w:val="22"/>
                <w:lang w:eastAsia="en-US"/>
              </w:rPr>
              <w:t xml:space="preserve"> </w:t>
            </w:r>
            <w:r w:rsidRPr="00990FB6">
              <w:rPr>
                <w:rFonts w:eastAsia="TeXGyrePagella"/>
                <w:sz w:val="22"/>
                <w:szCs w:val="22"/>
                <w:lang w:eastAsia="en-US"/>
              </w:rPr>
              <w:t>260</w:t>
            </w:r>
            <w:r w:rsidRPr="00990FB6">
              <w:rPr>
                <w:rFonts w:eastAsia="TeXGyrePagella"/>
                <w:spacing w:val="-6"/>
                <w:sz w:val="22"/>
                <w:szCs w:val="22"/>
                <w:lang w:eastAsia="en-US"/>
              </w:rPr>
              <w:t xml:space="preserve"> </w:t>
            </w:r>
            <w:r w:rsidRPr="00990FB6">
              <w:rPr>
                <w:rFonts w:eastAsia="TeXGyrePagella"/>
                <w:spacing w:val="-2"/>
                <w:sz w:val="22"/>
                <w:szCs w:val="22"/>
                <w:lang w:eastAsia="en-US"/>
              </w:rPr>
              <w:t>182,13</w:t>
            </w:r>
          </w:p>
        </w:tc>
        <w:tc>
          <w:tcPr>
            <w:tcW w:w="2156" w:type="dxa"/>
          </w:tcPr>
          <w:p w14:paraId="52CB1821" w14:textId="77777777" w:rsidR="00B15F7D" w:rsidRPr="00990FB6" w:rsidRDefault="00B15F7D" w:rsidP="00B15F7D">
            <w:pPr>
              <w:widowControl w:val="0"/>
              <w:suppressAutoHyphens w:val="0"/>
              <w:autoSpaceDE w:val="0"/>
              <w:autoSpaceDN w:val="0"/>
              <w:ind w:left="254" w:right="252"/>
              <w:jc w:val="right"/>
              <w:rPr>
                <w:rFonts w:eastAsia="TeXGyrePagella"/>
                <w:sz w:val="22"/>
                <w:szCs w:val="22"/>
                <w:lang w:eastAsia="en-US"/>
              </w:rPr>
            </w:pPr>
            <w:r w:rsidRPr="00990FB6">
              <w:rPr>
                <w:rFonts w:eastAsia="TeXGyrePagella"/>
                <w:sz w:val="22"/>
                <w:szCs w:val="22"/>
                <w:lang w:eastAsia="en-US"/>
              </w:rPr>
              <w:t>₡960</w:t>
            </w:r>
            <w:r w:rsidRPr="00990FB6">
              <w:rPr>
                <w:rFonts w:eastAsia="TeXGyrePagella"/>
                <w:spacing w:val="-7"/>
                <w:sz w:val="22"/>
                <w:szCs w:val="22"/>
                <w:lang w:eastAsia="en-US"/>
              </w:rPr>
              <w:t xml:space="preserve"> </w:t>
            </w:r>
            <w:r w:rsidRPr="00990FB6">
              <w:rPr>
                <w:rFonts w:eastAsia="TeXGyrePagella"/>
                <w:sz w:val="22"/>
                <w:szCs w:val="22"/>
                <w:lang w:eastAsia="en-US"/>
              </w:rPr>
              <w:t>326</w:t>
            </w:r>
            <w:r w:rsidRPr="00990FB6">
              <w:rPr>
                <w:rFonts w:eastAsia="TeXGyrePagella"/>
                <w:spacing w:val="-6"/>
                <w:sz w:val="22"/>
                <w:szCs w:val="22"/>
                <w:lang w:eastAsia="en-US"/>
              </w:rPr>
              <w:t xml:space="preserve"> </w:t>
            </w:r>
            <w:r w:rsidRPr="00990FB6">
              <w:rPr>
                <w:rFonts w:eastAsia="TeXGyrePagella"/>
                <w:spacing w:val="-2"/>
                <w:sz w:val="22"/>
                <w:szCs w:val="22"/>
                <w:lang w:eastAsia="en-US"/>
              </w:rPr>
              <w:t>820,45</w:t>
            </w:r>
          </w:p>
        </w:tc>
        <w:tc>
          <w:tcPr>
            <w:tcW w:w="2551" w:type="dxa"/>
          </w:tcPr>
          <w:p w14:paraId="54698B65" w14:textId="77777777" w:rsidR="00B15F7D" w:rsidRPr="00990FB6" w:rsidRDefault="00B15F7D" w:rsidP="00B15F7D">
            <w:pPr>
              <w:widowControl w:val="0"/>
              <w:suppressAutoHyphens w:val="0"/>
              <w:autoSpaceDE w:val="0"/>
              <w:autoSpaceDN w:val="0"/>
              <w:ind w:left="435" w:right="433"/>
              <w:jc w:val="right"/>
              <w:rPr>
                <w:rFonts w:eastAsia="TeXGyrePagella"/>
                <w:sz w:val="22"/>
                <w:szCs w:val="22"/>
                <w:lang w:eastAsia="en-US"/>
              </w:rPr>
            </w:pPr>
            <w:r w:rsidRPr="00990FB6">
              <w:rPr>
                <w:rFonts w:eastAsia="TeXGyrePagella"/>
                <w:sz w:val="22"/>
                <w:szCs w:val="22"/>
                <w:lang w:eastAsia="en-US"/>
              </w:rPr>
              <w:t>-₡105</w:t>
            </w:r>
            <w:r w:rsidRPr="00990FB6">
              <w:rPr>
                <w:rFonts w:eastAsia="TeXGyrePagella"/>
                <w:spacing w:val="-8"/>
                <w:sz w:val="22"/>
                <w:szCs w:val="22"/>
                <w:lang w:eastAsia="en-US"/>
              </w:rPr>
              <w:t xml:space="preserve"> </w:t>
            </w:r>
            <w:r w:rsidRPr="00990FB6">
              <w:rPr>
                <w:rFonts w:eastAsia="TeXGyrePagella"/>
                <w:sz w:val="22"/>
                <w:szCs w:val="22"/>
                <w:lang w:eastAsia="en-US"/>
              </w:rPr>
              <w:t>933</w:t>
            </w:r>
            <w:r w:rsidRPr="00990FB6">
              <w:rPr>
                <w:rFonts w:eastAsia="TeXGyrePagella"/>
                <w:spacing w:val="-5"/>
                <w:sz w:val="22"/>
                <w:szCs w:val="22"/>
                <w:lang w:eastAsia="en-US"/>
              </w:rPr>
              <w:t xml:space="preserve"> </w:t>
            </w:r>
            <w:r w:rsidRPr="00990FB6">
              <w:rPr>
                <w:rFonts w:eastAsia="TeXGyrePagella"/>
                <w:spacing w:val="-2"/>
                <w:sz w:val="22"/>
                <w:szCs w:val="22"/>
                <w:lang w:eastAsia="en-US"/>
              </w:rPr>
              <w:t>361,68</w:t>
            </w:r>
          </w:p>
        </w:tc>
      </w:tr>
      <w:tr w:rsidR="00B15F7D" w:rsidRPr="00990FB6" w14:paraId="282997F5" w14:textId="77777777" w:rsidTr="000A0C22">
        <w:trPr>
          <w:trHeight w:val="250"/>
          <w:jc w:val="center"/>
        </w:trPr>
        <w:tc>
          <w:tcPr>
            <w:tcW w:w="2099" w:type="dxa"/>
          </w:tcPr>
          <w:p w14:paraId="03F4594A" w14:textId="77777777" w:rsidR="00B15F7D" w:rsidRPr="00990FB6" w:rsidRDefault="00B15F7D" w:rsidP="00B15F7D">
            <w:pPr>
              <w:widowControl w:val="0"/>
              <w:suppressAutoHyphens w:val="0"/>
              <w:autoSpaceDE w:val="0"/>
              <w:autoSpaceDN w:val="0"/>
              <w:ind w:left="69"/>
              <w:rPr>
                <w:rFonts w:eastAsia="TeXGyrePagella"/>
                <w:sz w:val="22"/>
                <w:szCs w:val="22"/>
                <w:lang w:eastAsia="en-US"/>
              </w:rPr>
            </w:pPr>
            <w:r w:rsidRPr="00990FB6">
              <w:rPr>
                <w:rFonts w:eastAsia="TeXGyrePagella"/>
                <w:sz w:val="22"/>
                <w:szCs w:val="22"/>
                <w:lang w:eastAsia="en-US"/>
              </w:rPr>
              <w:t>Gasto</w:t>
            </w:r>
            <w:r w:rsidRPr="00990FB6">
              <w:rPr>
                <w:rFonts w:eastAsia="TeXGyrePagella"/>
                <w:spacing w:val="-8"/>
                <w:sz w:val="22"/>
                <w:szCs w:val="22"/>
                <w:lang w:eastAsia="en-US"/>
              </w:rPr>
              <w:t xml:space="preserve"> </w:t>
            </w:r>
            <w:r w:rsidRPr="00990FB6">
              <w:rPr>
                <w:rFonts w:eastAsia="TeXGyrePagella"/>
                <w:spacing w:val="-2"/>
                <w:sz w:val="22"/>
                <w:szCs w:val="22"/>
                <w:lang w:eastAsia="en-US"/>
              </w:rPr>
              <w:t>capital</w:t>
            </w:r>
          </w:p>
        </w:tc>
        <w:tc>
          <w:tcPr>
            <w:tcW w:w="2143" w:type="dxa"/>
          </w:tcPr>
          <w:p w14:paraId="5012135F" w14:textId="77777777" w:rsidR="00B15F7D" w:rsidRPr="00990FB6" w:rsidRDefault="00B15F7D" w:rsidP="00B15F7D">
            <w:pPr>
              <w:widowControl w:val="0"/>
              <w:suppressAutoHyphens w:val="0"/>
              <w:autoSpaceDE w:val="0"/>
              <w:autoSpaceDN w:val="0"/>
              <w:ind w:left="194" w:right="191"/>
              <w:jc w:val="right"/>
              <w:rPr>
                <w:rFonts w:eastAsia="TeXGyrePagella"/>
                <w:sz w:val="22"/>
                <w:szCs w:val="22"/>
                <w:lang w:eastAsia="en-US"/>
              </w:rPr>
            </w:pPr>
            <w:r w:rsidRPr="00990FB6">
              <w:rPr>
                <w:rFonts w:eastAsia="TeXGyrePagella"/>
                <w:spacing w:val="-2"/>
                <w:sz w:val="22"/>
                <w:szCs w:val="22"/>
                <w:lang w:eastAsia="en-US"/>
              </w:rPr>
              <w:t>₡0,00</w:t>
            </w:r>
          </w:p>
        </w:tc>
        <w:tc>
          <w:tcPr>
            <w:tcW w:w="2156" w:type="dxa"/>
          </w:tcPr>
          <w:p w14:paraId="607DF2C9" w14:textId="77777777" w:rsidR="00B15F7D" w:rsidRPr="00990FB6" w:rsidRDefault="00B15F7D" w:rsidP="00B15F7D">
            <w:pPr>
              <w:widowControl w:val="0"/>
              <w:suppressAutoHyphens w:val="0"/>
              <w:autoSpaceDE w:val="0"/>
              <w:autoSpaceDN w:val="0"/>
              <w:ind w:left="254" w:right="254"/>
              <w:jc w:val="right"/>
              <w:rPr>
                <w:rFonts w:eastAsia="TeXGyrePagella"/>
                <w:sz w:val="22"/>
                <w:szCs w:val="22"/>
                <w:lang w:eastAsia="en-US"/>
              </w:rPr>
            </w:pPr>
            <w:r w:rsidRPr="00990FB6">
              <w:rPr>
                <w:rFonts w:eastAsia="TeXGyrePagella"/>
                <w:spacing w:val="-2"/>
                <w:sz w:val="22"/>
                <w:szCs w:val="22"/>
                <w:lang w:eastAsia="en-US"/>
              </w:rPr>
              <w:t>₡0,00</w:t>
            </w:r>
          </w:p>
        </w:tc>
        <w:tc>
          <w:tcPr>
            <w:tcW w:w="2551" w:type="dxa"/>
          </w:tcPr>
          <w:p w14:paraId="5AD7E99A" w14:textId="77777777" w:rsidR="00B15F7D" w:rsidRPr="00990FB6" w:rsidRDefault="00B15F7D" w:rsidP="00B15F7D">
            <w:pPr>
              <w:widowControl w:val="0"/>
              <w:suppressAutoHyphens w:val="0"/>
              <w:autoSpaceDE w:val="0"/>
              <w:autoSpaceDN w:val="0"/>
              <w:ind w:left="434" w:right="433"/>
              <w:jc w:val="right"/>
              <w:rPr>
                <w:rFonts w:eastAsia="TeXGyrePagella"/>
                <w:sz w:val="22"/>
                <w:szCs w:val="22"/>
                <w:lang w:eastAsia="en-US"/>
              </w:rPr>
            </w:pPr>
            <w:r w:rsidRPr="00990FB6">
              <w:rPr>
                <w:rFonts w:eastAsia="TeXGyrePagella"/>
                <w:spacing w:val="-2"/>
                <w:sz w:val="22"/>
                <w:szCs w:val="22"/>
                <w:lang w:eastAsia="en-US"/>
              </w:rPr>
              <w:t>₡0,00</w:t>
            </w:r>
          </w:p>
        </w:tc>
      </w:tr>
      <w:tr w:rsidR="00B15F7D" w:rsidRPr="00990FB6" w14:paraId="64D27DA1" w14:textId="77777777" w:rsidTr="000A0C22">
        <w:trPr>
          <w:trHeight w:val="250"/>
          <w:jc w:val="center"/>
        </w:trPr>
        <w:tc>
          <w:tcPr>
            <w:tcW w:w="2099" w:type="dxa"/>
          </w:tcPr>
          <w:p w14:paraId="5EB751C4" w14:textId="77777777" w:rsidR="00B15F7D" w:rsidRPr="00990FB6" w:rsidRDefault="00B15F7D" w:rsidP="00B15F7D">
            <w:pPr>
              <w:widowControl w:val="0"/>
              <w:suppressAutoHyphens w:val="0"/>
              <w:autoSpaceDE w:val="0"/>
              <w:autoSpaceDN w:val="0"/>
              <w:ind w:left="69"/>
              <w:rPr>
                <w:rFonts w:eastAsia="TeXGyrePagella"/>
                <w:sz w:val="22"/>
                <w:szCs w:val="22"/>
                <w:lang w:eastAsia="en-US"/>
              </w:rPr>
            </w:pPr>
            <w:r w:rsidRPr="00990FB6">
              <w:rPr>
                <w:rFonts w:eastAsia="TeXGyrePagella"/>
                <w:spacing w:val="-2"/>
                <w:sz w:val="22"/>
                <w:szCs w:val="22"/>
                <w:lang w:eastAsia="en-US"/>
              </w:rPr>
              <w:t>Total</w:t>
            </w:r>
          </w:p>
        </w:tc>
        <w:tc>
          <w:tcPr>
            <w:tcW w:w="2143" w:type="dxa"/>
          </w:tcPr>
          <w:p w14:paraId="39C8BC26" w14:textId="77777777" w:rsidR="00B15F7D" w:rsidRPr="00990FB6" w:rsidRDefault="00B15F7D" w:rsidP="00B15F7D">
            <w:pPr>
              <w:widowControl w:val="0"/>
              <w:suppressAutoHyphens w:val="0"/>
              <w:autoSpaceDE w:val="0"/>
              <w:autoSpaceDN w:val="0"/>
              <w:ind w:left="194" w:right="194"/>
              <w:jc w:val="right"/>
              <w:rPr>
                <w:rFonts w:eastAsia="TeXGyrePagella"/>
                <w:sz w:val="22"/>
                <w:szCs w:val="22"/>
                <w:lang w:eastAsia="en-US"/>
              </w:rPr>
            </w:pPr>
            <w:r w:rsidRPr="00990FB6">
              <w:rPr>
                <w:rFonts w:eastAsia="TeXGyrePagella"/>
                <w:sz w:val="22"/>
                <w:szCs w:val="22"/>
                <w:lang w:eastAsia="en-US"/>
              </w:rPr>
              <w:t>₡1</w:t>
            </w:r>
            <w:r w:rsidRPr="00990FB6">
              <w:rPr>
                <w:rFonts w:eastAsia="TeXGyrePagella"/>
                <w:spacing w:val="-5"/>
                <w:sz w:val="22"/>
                <w:szCs w:val="22"/>
                <w:lang w:eastAsia="en-US"/>
              </w:rPr>
              <w:t xml:space="preserve"> </w:t>
            </w:r>
            <w:r w:rsidRPr="00990FB6">
              <w:rPr>
                <w:rFonts w:eastAsia="TeXGyrePagella"/>
                <w:sz w:val="22"/>
                <w:szCs w:val="22"/>
                <w:lang w:eastAsia="en-US"/>
              </w:rPr>
              <w:t>066</w:t>
            </w:r>
            <w:r w:rsidRPr="00990FB6">
              <w:rPr>
                <w:rFonts w:eastAsia="TeXGyrePagella"/>
                <w:spacing w:val="-4"/>
                <w:sz w:val="22"/>
                <w:szCs w:val="22"/>
                <w:lang w:eastAsia="en-US"/>
              </w:rPr>
              <w:t xml:space="preserve"> </w:t>
            </w:r>
            <w:r w:rsidRPr="00990FB6">
              <w:rPr>
                <w:rFonts w:eastAsia="TeXGyrePagella"/>
                <w:sz w:val="22"/>
                <w:szCs w:val="22"/>
                <w:lang w:eastAsia="en-US"/>
              </w:rPr>
              <w:t>260</w:t>
            </w:r>
            <w:r w:rsidRPr="00990FB6">
              <w:rPr>
                <w:rFonts w:eastAsia="TeXGyrePagella"/>
                <w:spacing w:val="-5"/>
                <w:sz w:val="22"/>
                <w:szCs w:val="22"/>
                <w:lang w:eastAsia="en-US"/>
              </w:rPr>
              <w:t xml:space="preserve"> </w:t>
            </w:r>
            <w:r w:rsidRPr="00990FB6">
              <w:rPr>
                <w:rFonts w:eastAsia="TeXGyrePagella"/>
                <w:spacing w:val="-2"/>
                <w:sz w:val="22"/>
                <w:szCs w:val="22"/>
                <w:lang w:eastAsia="en-US"/>
              </w:rPr>
              <w:t>182,13</w:t>
            </w:r>
          </w:p>
        </w:tc>
        <w:tc>
          <w:tcPr>
            <w:tcW w:w="2156" w:type="dxa"/>
          </w:tcPr>
          <w:p w14:paraId="64E6BF84" w14:textId="77777777" w:rsidR="00B15F7D" w:rsidRPr="00990FB6" w:rsidRDefault="00B15F7D" w:rsidP="00B15F7D">
            <w:pPr>
              <w:widowControl w:val="0"/>
              <w:suppressAutoHyphens w:val="0"/>
              <w:autoSpaceDE w:val="0"/>
              <w:autoSpaceDN w:val="0"/>
              <w:ind w:left="254" w:right="252"/>
              <w:jc w:val="right"/>
              <w:rPr>
                <w:rFonts w:eastAsia="TeXGyrePagella"/>
                <w:sz w:val="22"/>
                <w:szCs w:val="22"/>
                <w:lang w:eastAsia="en-US"/>
              </w:rPr>
            </w:pPr>
            <w:r w:rsidRPr="00990FB6">
              <w:rPr>
                <w:rFonts w:eastAsia="TeXGyrePagella"/>
                <w:sz w:val="22"/>
                <w:szCs w:val="22"/>
                <w:lang w:eastAsia="en-US"/>
              </w:rPr>
              <w:t>₡960</w:t>
            </w:r>
            <w:r w:rsidRPr="00990FB6">
              <w:rPr>
                <w:rFonts w:eastAsia="TeXGyrePagella"/>
                <w:spacing w:val="-7"/>
                <w:sz w:val="22"/>
                <w:szCs w:val="22"/>
                <w:lang w:eastAsia="en-US"/>
              </w:rPr>
              <w:t xml:space="preserve"> </w:t>
            </w:r>
            <w:r w:rsidRPr="00990FB6">
              <w:rPr>
                <w:rFonts w:eastAsia="TeXGyrePagella"/>
                <w:sz w:val="22"/>
                <w:szCs w:val="22"/>
                <w:lang w:eastAsia="en-US"/>
              </w:rPr>
              <w:t>326</w:t>
            </w:r>
            <w:r w:rsidRPr="00990FB6">
              <w:rPr>
                <w:rFonts w:eastAsia="TeXGyrePagella"/>
                <w:spacing w:val="-6"/>
                <w:sz w:val="22"/>
                <w:szCs w:val="22"/>
                <w:lang w:eastAsia="en-US"/>
              </w:rPr>
              <w:t xml:space="preserve"> </w:t>
            </w:r>
            <w:r w:rsidRPr="00990FB6">
              <w:rPr>
                <w:rFonts w:eastAsia="TeXGyrePagella"/>
                <w:spacing w:val="-2"/>
                <w:sz w:val="22"/>
                <w:szCs w:val="22"/>
                <w:lang w:eastAsia="en-US"/>
              </w:rPr>
              <w:t>820,45</w:t>
            </w:r>
          </w:p>
        </w:tc>
        <w:tc>
          <w:tcPr>
            <w:tcW w:w="2551" w:type="dxa"/>
          </w:tcPr>
          <w:p w14:paraId="034E1043" w14:textId="77777777" w:rsidR="00B15F7D" w:rsidRPr="00990FB6" w:rsidRDefault="00B15F7D" w:rsidP="00B15F7D">
            <w:pPr>
              <w:widowControl w:val="0"/>
              <w:suppressAutoHyphens w:val="0"/>
              <w:autoSpaceDE w:val="0"/>
              <w:autoSpaceDN w:val="0"/>
              <w:ind w:left="435" w:right="433"/>
              <w:jc w:val="right"/>
              <w:rPr>
                <w:rFonts w:eastAsia="TeXGyrePagella"/>
                <w:sz w:val="22"/>
                <w:szCs w:val="22"/>
                <w:lang w:eastAsia="en-US"/>
              </w:rPr>
            </w:pPr>
            <w:r w:rsidRPr="00990FB6">
              <w:rPr>
                <w:rFonts w:eastAsia="TeXGyrePagella"/>
                <w:sz w:val="22"/>
                <w:szCs w:val="22"/>
                <w:lang w:eastAsia="en-US"/>
              </w:rPr>
              <w:t>-₡105</w:t>
            </w:r>
            <w:r w:rsidRPr="00990FB6">
              <w:rPr>
                <w:rFonts w:eastAsia="TeXGyrePagella"/>
                <w:spacing w:val="-8"/>
                <w:sz w:val="22"/>
                <w:szCs w:val="22"/>
                <w:lang w:eastAsia="en-US"/>
              </w:rPr>
              <w:t xml:space="preserve"> </w:t>
            </w:r>
            <w:r w:rsidRPr="00990FB6">
              <w:rPr>
                <w:rFonts w:eastAsia="TeXGyrePagella"/>
                <w:sz w:val="22"/>
                <w:szCs w:val="22"/>
                <w:lang w:eastAsia="en-US"/>
              </w:rPr>
              <w:t>933</w:t>
            </w:r>
            <w:r w:rsidRPr="00990FB6">
              <w:rPr>
                <w:rFonts w:eastAsia="TeXGyrePagella"/>
                <w:spacing w:val="-5"/>
                <w:sz w:val="22"/>
                <w:szCs w:val="22"/>
                <w:lang w:eastAsia="en-US"/>
              </w:rPr>
              <w:t xml:space="preserve"> </w:t>
            </w:r>
            <w:r w:rsidRPr="00990FB6">
              <w:rPr>
                <w:rFonts w:eastAsia="TeXGyrePagella"/>
                <w:spacing w:val="-2"/>
                <w:sz w:val="22"/>
                <w:szCs w:val="22"/>
                <w:lang w:eastAsia="en-US"/>
              </w:rPr>
              <w:t>361,68</w:t>
            </w:r>
          </w:p>
        </w:tc>
      </w:tr>
    </w:tbl>
    <w:p w14:paraId="7A2A7888" w14:textId="77777777" w:rsidR="00B15F7D" w:rsidRPr="00990FB6" w:rsidRDefault="00B15F7D" w:rsidP="00B15F7D">
      <w:pPr>
        <w:tabs>
          <w:tab w:val="left" w:pos="142"/>
        </w:tabs>
        <w:ind w:left="360"/>
        <w:contextualSpacing/>
        <w:jc w:val="both"/>
        <w:rPr>
          <w:rFonts w:eastAsia="Calibri"/>
          <w:b/>
          <w:bCs/>
          <w:color w:val="000000"/>
          <w:sz w:val="22"/>
          <w:szCs w:val="22"/>
          <w:lang w:eastAsia="es-CR"/>
        </w:rPr>
      </w:pPr>
    </w:p>
    <w:p w14:paraId="4A5EF197" w14:textId="77777777" w:rsidR="00B15F7D" w:rsidRPr="00990FB6" w:rsidRDefault="00B15F7D" w:rsidP="00B15F7D">
      <w:pPr>
        <w:tabs>
          <w:tab w:val="left" w:pos="142"/>
          <w:tab w:val="left" w:pos="4550"/>
        </w:tabs>
        <w:ind w:left="360"/>
        <w:contextualSpacing/>
        <w:jc w:val="center"/>
        <w:rPr>
          <w:rFonts w:eastAsia="Calibri"/>
          <w:b/>
          <w:bCs/>
          <w:color w:val="000000"/>
          <w:sz w:val="22"/>
          <w:szCs w:val="22"/>
          <w:lang w:eastAsia="es-CR"/>
        </w:rPr>
      </w:pPr>
    </w:p>
    <w:p w14:paraId="3767152F" w14:textId="77777777" w:rsidR="00B15F7D" w:rsidRPr="00990FB6" w:rsidRDefault="00B15F7D" w:rsidP="00B15F7D">
      <w:pPr>
        <w:tabs>
          <w:tab w:val="left" w:pos="142"/>
          <w:tab w:val="left" w:pos="4550"/>
        </w:tabs>
        <w:ind w:left="851" w:right="851" w:firstLine="709"/>
        <w:contextualSpacing/>
        <w:rPr>
          <w:rFonts w:eastAsia="Calibri"/>
          <w:b/>
          <w:bCs/>
          <w:sz w:val="22"/>
          <w:szCs w:val="22"/>
          <w:lang w:eastAsia="es-CR"/>
        </w:rPr>
      </w:pPr>
      <w:r w:rsidRPr="00990FB6">
        <w:rPr>
          <w:rFonts w:eastAsia="Calibri"/>
          <w:b/>
          <w:bCs/>
          <w:sz w:val="22"/>
          <w:szCs w:val="22"/>
          <w:lang w:eastAsia="es-CR"/>
        </w:rPr>
        <w:t xml:space="preserve">Detalle Afectaciones Programa 926 Dirección Administración y Otros </w:t>
      </w:r>
      <w:proofErr w:type="spellStart"/>
      <w:r w:rsidRPr="00990FB6">
        <w:rPr>
          <w:rFonts w:eastAsia="Calibri"/>
          <w:b/>
          <w:bCs/>
          <w:sz w:val="22"/>
          <w:szCs w:val="22"/>
          <w:lang w:eastAsia="es-CR"/>
        </w:rPr>
        <w:t>Org</w:t>
      </w:r>
      <w:proofErr w:type="spellEnd"/>
      <w:r w:rsidRPr="00990FB6">
        <w:rPr>
          <w:rFonts w:eastAsia="Calibri"/>
          <w:b/>
          <w:bCs/>
          <w:sz w:val="22"/>
          <w:szCs w:val="22"/>
          <w:lang w:eastAsia="es-CR"/>
        </w:rPr>
        <w:t>. de Apoyo</w:t>
      </w:r>
    </w:p>
    <w:p w14:paraId="08A47210" w14:textId="77777777" w:rsidR="00B15F7D" w:rsidRPr="00990FB6" w:rsidRDefault="00B15F7D" w:rsidP="00B15F7D">
      <w:pPr>
        <w:tabs>
          <w:tab w:val="left" w:pos="142"/>
          <w:tab w:val="left" w:pos="4550"/>
        </w:tabs>
        <w:ind w:left="360"/>
        <w:contextualSpacing/>
        <w:rPr>
          <w:rFonts w:eastAsia="Calibri"/>
          <w:b/>
          <w:bCs/>
          <w:color w:val="000099"/>
          <w:sz w:val="22"/>
          <w:szCs w:val="22"/>
          <w:lang w:eastAsia="es-CR"/>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074"/>
        <w:gridCol w:w="1896"/>
        <w:gridCol w:w="2011"/>
        <w:gridCol w:w="2544"/>
      </w:tblGrid>
      <w:tr w:rsidR="00B15F7D" w:rsidRPr="00990FB6" w14:paraId="52CF12E8" w14:textId="77777777" w:rsidTr="000A0C22">
        <w:trPr>
          <w:trHeight w:val="280"/>
          <w:tblHeader/>
        </w:trPr>
        <w:tc>
          <w:tcPr>
            <w:tcW w:w="1560" w:type="dxa"/>
            <w:shd w:val="clear" w:color="auto" w:fill="A6A6A6"/>
          </w:tcPr>
          <w:p w14:paraId="27B875F4" w14:textId="77777777" w:rsidR="00B15F7D" w:rsidRPr="00990FB6" w:rsidRDefault="00B15F7D" w:rsidP="00B15F7D">
            <w:pPr>
              <w:widowControl w:val="0"/>
              <w:suppressAutoHyphens w:val="0"/>
              <w:autoSpaceDE w:val="0"/>
              <w:autoSpaceDN w:val="0"/>
              <w:ind w:left="244" w:right="241"/>
              <w:rPr>
                <w:rFonts w:eastAsia="TeXGyrePagella"/>
                <w:color w:val="FFFFFF"/>
                <w:sz w:val="22"/>
                <w:szCs w:val="22"/>
                <w:lang w:eastAsia="en-US"/>
              </w:rPr>
            </w:pPr>
            <w:r w:rsidRPr="00990FB6">
              <w:rPr>
                <w:rFonts w:eastAsia="TeXGyrePagella"/>
                <w:color w:val="FFFFFF"/>
                <w:spacing w:val="-2"/>
                <w:sz w:val="22"/>
                <w:szCs w:val="22"/>
                <w:lang w:eastAsia="en-US"/>
              </w:rPr>
              <w:t>Subpartida</w:t>
            </w:r>
          </w:p>
        </w:tc>
        <w:tc>
          <w:tcPr>
            <w:tcW w:w="2074" w:type="dxa"/>
            <w:shd w:val="clear" w:color="auto" w:fill="A6A6A6"/>
          </w:tcPr>
          <w:p w14:paraId="6A91D693" w14:textId="77777777" w:rsidR="00B15F7D" w:rsidRPr="00990FB6" w:rsidRDefault="00B15F7D" w:rsidP="00B15F7D">
            <w:pPr>
              <w:widowControl w:val="0"/>
              <w:suppressAutoHyphens w:val="0"/>
              <w:autoSpaceDE w:val="0"/>
              <w:autoSpaceDN w:val="0"/>
              <w:ind w:left="462"/>
              <w:rPr>
                <w:rFonts w:eastAsia="TeXGyrePagella"/>
                <w:color w:val="FFFFFF"/>
                <w:sz w:val="22"/>
                <w:szCs w:val="22"/>
                <w:lang w:eastAsia="en-US"/>
              </w:rPr>
            </w:pPr>
            <w:r w:rsidRPr="00990FB6">
              <w:rPr>
                <w:rFonts w:eastAsia="TeXGyrePagella"/>
                <w:color w:val="FFFFFF"/>
                <w:spacing w:val="-2"/>
                <w:sz w:val="22"/>
                <w:szCs w:val="22"/>
                <w:lang w:eastAsia="en-US"/>
              </w:rPr>
              <w:t>Descripción</w:t>
            </w:r>
          </w:p>
        </w:tc>
        <w:tc>
          <w:tcPr>
            <w:tcW w:w="1896" w:type="dxa"/>
            <w:shd w:val="clear" w:color="auto" w:fill="A6A6A6"/>
          </w:tcPr>
          <w:p w14:paraId="77E1A36F" w14:textId="77777777" w:rsidR="00B15F7D" w:rsidRPr="00990FB6" w:rsidRDefault="00B15F7D" w:rsidP="00B15F7D">
            <w:pPr>
              <w:widowControl w:val="0"/>
              <w:suppressAutoHyphens w:val="0"/>
              <w:autoSpaceDE w:val="0"/>
              <w:autoSpaceDN w:val="0"/>
              <w:ind w:left="170" w:right="162"/>
              <w:rPr>
                <w:rFonts w:eastAsia="TeXGyrePagella"/>
                <w:color w:val="FFFFFF"/>
                <w:sz w:val="22"/>
                <w:szCs w:val="22"/>
                <w:lang w:eastAsia="en-US"/>
              </w:rPr>
            </w:pPr>
            <w:r w:rsidRPr="00990FB6">
              <w:rPr>
                <w:rFonts w:eastAsia="TeXGyrePagella"/>
                <w:color w:val="FFFFFF"/>
                <w:spacing w:val="-2"/>
                <w:sz w:val="22"/>
                <w:szCs w:val="22"/>
                <w:lang w:eastAsia="en-US"/>
              </w:rPr>
              <w:t>Artículo</w:t>
            </w:r>
          </w:p>
        </w:tc>
        <w:tc>
          <w:tcPr>
            <w:tcW w:w="2011" w:type="dxa"/>
            <w:shd w:val="clear" w:color="auto" w:fill="A6A6A6"/>
          </w:tcPr>
          <w:p w14:paraId="2647D7F4" w14:textId="77777777" w:rsidR="00B15F7D" w:rsidRPr="00990FB6" w:rsidRDefault="00B15F7D" w:rsidP="00B15F7D">
            <w:pPr>
              <w:widowControl w:val="0"/>
              <w:suppressAutoHyphens w:val="0"/>
              <w:autoSpaceDE w:val="0"/>
              <w:autoSpaceDN w:val="0"/>
              <w:ind w:left="134" w:right="125"/>
              <w:rPr>
                <w:rFonts w:eastAsia="TeXGyrePagella"/>
                <w:color w:val="FFFFFF"/>
                <w:sz w:val="22"/>
                <w:szCs w:val="22"/>
                <w:lang w:eastAsia="en-US"/>
              </w:rPr>
            </w:pPr>
            <w:r w:rsidRPr="00990FB6">
              <w:rPr>
                <w:rFonts w:eastAsia="TeXGyrePagella"/>
                <w:color w:val="FFFFFF"/>
                <w:spacing w:val="-2"/>
                <w:sz w:val="22"/>
                <w:szCs w:val="22"/>
                <w:lang w:eastAsia="en-US"/>
              </w:rPr>
              <w:t>Monto</w:t>
            </w:r>
          </w:p>
        </w:tc>
        <w:tc>
          <w:tcPr>
            <w:tcW w:w="2544" w:type="dxa"/>
            <w:shd w:val="clear" w:color="auto" w:fill="A6A6A6"/>
          </w:tcPr>
          <w:p w14:paraId="2D348495" w14:textId="77777777" w:rsidR="00B15F7D" w:rsidRPr="00990FB6" w:rsidRDefault="00B15F7D" w:rsidP="00B15F7D">
            <w:pPr>
              <w:widowControl w:val="0"/>
              <w:tabs>
                <w:tab w:val="center" w:pos="1271"/>
                <w:tab w:val="left" w:pos="2160"/>
              </w:tabs>
              <w:suppressAutoHyphens w:val="0"/>
              <w:autoSpaceDE w:val="0"/>
              <w:autoSpaceDN w:val="0"/>
              <w:ind w:left="550" w:right="542"/>
              <w:rPr>
                <w:rFonts w:eastAsia="TeXGyrePagella"/>
                <w:color w:val="FFFFFF"/>
                <w:sz w:val="22"/>
                <w:szCs w:val="22"/>
                <w:lang w:eastAsia="en-US"/>
              </w:rPr>
            </w:pPr>
            <w:r w:rsidRPr="00990FB6">
              <w:rPr>
                <w:rFonts w:eastAsia="TeXGyrePagella"/>
                <w:color w:val="FFFFFF"/>
                <w:spacing w:val="-2"/>
                <w:sz w:val="22"/>
                <w:szCs w:val="22"/>
                <w:lang w:eastAsia="en-US"/>
              </w:rPr>
              <w:tab/>
              <w:t>Impacto</w:t>
            </w:r>
            <w:r w:rsidRPr="00990FB6">
              <w:rPr>
                <w:rFonts w:eastAsia="TeXGyrePagella"/>
                <w:color w:val="FFFFFF"/>
                <w:spacing w:val="-2"/>
                <w:sz w:val="22"/>
                <w:szCs w:val="22"/>
                <w:lang w:eastAsia="en-US"/>
              </w:rPr>
              <w:tab/>
            </w:r>
          </w:p>
        </w:tc>
      </w:tr>
      <w:tr w:rsidR="00B15F7D" w:rsidRPr="00990FB6" w14:paraId="6006BBD9" w14:textId="77777777" w:rsidTr="000A0C22">
        <w:trPr>
          <w:trHeight w:val="4367"/>
        </w:trPr>
        <w:tc>
          <w:tcPr>
            <w:tcW w:w="1560" w:type="dxa"/>
          </w:tcPr>
          <w:p w14:paraId="6D1532C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1492C9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F3FACB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D0B8F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55FF6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33FA6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51AB93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D3FF40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9819F37" w14:textId="77777777" w:rsidR="00B15F7D" w:rsidRPr="00990FB6" w:rsidRDefault="00B15F7D" w:rsidP="00B15F7D">
            <w:pPr>
              <w:widowControl w:val="0"/>
              <w:suppressAutoHyphens w:val="0"/>
              <w:autoSpaceDE w:val="0"/>
              <w:autoSpaceDN w:val="0"/>
              <w:ind w:left="244" w:right="237"/>
              <w:rPr>
                <w:rFonts w:eastAsia="TeXGyrePagella"/>
                <w:sz w:val="22"/>
                <w:szCs w:val="22"/>
                <w:lang w:eastAsia="en-US"/>
              </w:rPr>
            </w:pPr>
            <w:r w:rsidRPr="00990FB6">
              <w:rPr>
                <w:rFonts w:eastAsia="TeXGyrePagella"/>
                <w:spacing w:val="-2"/>
                <w:sz w:val="22"/>
                <w:szCs w:val="22"/>
                <w:lang w:eastAsia="en-US"/>
              </w:rPr>
              <w:t>10101</w:t>
            </w:r>
          </w:p>
        </w:tc>
        <w:tc>
          <w:tcPr>
            <w:tcW w:w="2074" w:type="dxa"/>
          </w:tcPr>
          <w:p w14:paraId="1CC5BF6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4C6B4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3BD01C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F9E77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232891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7C219B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622E1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D8F1EAA" w14:textId="77777777" w:rsidR="00B15F7D" w:rsidRPr="00990FB6" w:rsidRDefault="00B15F7D" w:rsidP="00B15F7D">
            <w:pPr>
              <w:widowControl w:val="0"/>
              <w:suppressAutoHyphens w:val="0"/>
              <w:autoSpaceDE w:val="0"/>
              <w:autoSpaceDN w:val="0"/>
              <w:ind w:left="251" w:hanging="106"/>
              <w:rPr>
                <w:rFonts w:eastAsia="TeXGyrePagella"/>
                <w:sz w:val="22"/>
                <w:szCs w:val="22"/>
                <w:lang w:eastAsia="en-US"/>
              </w:rPr>
            </w:pPr>
            <w:r w:rsidRPr="00990FB6">
              <w:rPr>
                <w:rFonts w:eastAsia="TeXGyrePagella"/>
                <w:sz w:val="22"/>
                <w:szCs w:val="22"/>
                <w:lang w:eastAsia="en-US"/>
              </w:rPr>
              <w:t>Alquiler</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edificios, locales y terrenos</w:t>
            </w:r>
          </w:p>
        </w:tc>
        <w:tc>
          <w:tcPr>
            <w:tcW w:w="1896" w:type="dxa"/>
          </w:tcPr>
          <w:p w14:paraId="269858B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D8F5EB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032235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E83BB8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EBDA62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9BC88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F69FE2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048D13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48F5F7C" w14:textId="77777777" w:rsidR="00B15F7D" w:rsidRPr="00990FB6" w:rsidRDefault="00B15F7D" w:rsidP="00B15F7D">
            <w:pPr>
              <w:widowControl w:val="0"/>
              <w:suppressAutoHyphens w:val="0"/>
              <w:autoSpaceDE w:val="0"/>
              <w:autoSpaceDN w:val="0"/>
              <w:ind w:left="170" w:right="163"/>
              <w:rPr>
                <w:rFonts w:eastAsia="TeXGyrePagella"/>
                <w:sz w:val="22"/>
                <w:szCs w:val="22"/>
                <w:lang w:eastAsia="en-US"/>
              </w:rPr>
            </w:pPr>
            <w:r w:rsidRPr="00990FB6">
              <w:rPr>
                <w:rFonts w:eastAsia="TeXGyrePagella"/>
                <w:spacing w:val="-2"/>
                <w:sz w:val="22"/>
                <w:szCs w:val="22"/>
                <w:lang w:eastAsia="en-US"/>
              </w:rPr>
              <w:t>19606</w:t>
            </w:r>
          </w:p>
        </w:tc>
        <w:tc>
          <w:tcPr>
            <w:tcW w:w="2011" w:type="dxa"/>
          </w:tcPr>
          <w:p w14:paraId="7B4EE18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C2FBF5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ECBE2F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ECE00D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002B7B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34F5E4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6E1498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CE713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9D96AFF" w14:textId="77777777" w:rsidR="00B15F7D" w:rsidRPr="00990FB6" w:rsidRDefault="00B15F7D" w:rsidP="00B15F7D">
            <w:pPr>
              <w:widowControl w:val="0"/>
              <w:suppressAutoHyphens w:val="0"/>
              <w:autoSpaceDE w:val="0"/>
              <w:autoSpaceDN w:val="0"/>
              <w:ind w:left="133" w:right="128"/>
              <w:rPr>
                <w:rFonts w:eastAsia="TeXGyrePagella"/>
                <w:sz w:val="22"/>
                <w:szCs w:val="22"/>
                <w:lang w:eastAsia="en-US"/>
              </w:rPr>
            </w:pPr>
            <w:r w:rsidRPr="00990FB6">
              <w:rPr>
                <w:rFonts w:eastAsia="TeXGyrePagella"/>
                <w:sz w:val="22"/>
                <w:szCs w:val="22"/>
                <w:lang w:eastAsia="en-US"/>
              </w:rPr>
              <w:t>₡39</w:t>
            </w:r>
            <w:r w:rsidRPr="00990FB6">
              <w:rPr>
                <w:rFonts w:eastAsia="TeXGyrePagella"/>
                <w:spacing w:val="-9"/>
                <w:sz w:val="22"/>
                <w:szCs w:val="22"/>
                <w:lang w:eastAsia="en-US"/>
              </w:rPr>
              <w:t xml:space="preserve"> </w:t>
            </w:r>
            <w:r w:rsidRPr="00990FB6">
              <w:rPr>
                <w:rFonts w:eastAsia="TeXGyrePagella"/>
                <w:sz w:val="22"/>
                <w:szCs w:val="22"/>
                <w:lang w:eastAsia="en-US"/>
              </w:rPr>
              <w:t>329</w:t>
            </w:r>
            <w:r w:rsidRPr="00990FB6">
              <w:rPr>
                <w:rFonts w:eastAsia="TeXGyrePagella"/>
                <w:spacing w:val="-4"/>
                <w:sz w:val="22"/>
                <w:szCs w:val="22"/>
                <w:lang w:eastAsia="en-US"/>
              </w:rPr>
              <w:t xml:space="preserve"> </w:t>
            </w:r>
            <w:r w:rsidRPr="00990FB6">
              <w:rPr>
                <w:rFonts w:eastAsia="TeXGyrePagella"/>
                <w:spacing w:val="-2"/>
                <w:sz w:val="22"/>
                <w:szCs w:val="22"/>
                <w:lang w:eastAsia="en-US"/>
              </w:rPr>
              <w:t>601,67</w:t>
            </w:r>
          </w:p>
        </w:tc>
        <w:tc>
          <w:tcPr>
            <w:tcW w:w="2544" w:type="dxa"/>
          </w:tcPr>
          <w:p w14:paraId="24EA9EB1" w14:textId="77777777" w:rsidR="00B15F7D" w:rsidRPr="00990FB6" w:rsidRDefault="00B15F7D" w:rsidP="00B15F7D">
            <w:pPr>
              <w:widowControl w:val="0"/>
              <w:tabs>
                <w:tab w:val="left" w:pos="2073"/>
              </w:tabs>
              <w:suppressAutoHyphens w:val="0"/>
              <w:autoSpaceDE w:val="0"/>
              <w:autoSpaceDN w:val="0"/>
              <w:ind w:left="70" w:right="58"/>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3"/>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4"/>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 xml:space="preserve">hacerle frente a esta obligación contractual </w:t>
            </w:r>
            <w:r w:rsidRPr="00990FB6">
              <w:rPr>
                <w:rFonts w:eastAsia="TeXGyrePagella"/>
                <w:spacing w:val="-2"/>
                <w:sz w:val="22"/>
                <w:szCs w:val="22"/>
                <w:lang w:val="es-CR" w:eastAsia="en-US"/>
              </w:rPr>
              <w:t>existente.</w:t>
            </w:r>
          </w:p>
          <w:p w14:paraId="57D6AF10"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6206CC95" w14:textId="77777777" w:rsidR="00B15F7D" w:rsidRPr="00990FB6" w:rsidRDefault="00B15F7D" w:rsidP="00B15F7D">
            <w:pPr>
              <w:widowControl w:val="0"/>
              <w:suppressAutoHyphens w:val="0"/>
              <w:autoSpaceDE w:val="0"/>
              <w:autoSpaceDN w:val="0"/>
              <w:ind w:left="70" w:right="59"/>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expone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la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institución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 ordenes sanitarias por las condiciones</w:t>
            </w:r>
            <w:r w:rsidRPr="00990FB6">
              <w:rPr>
                <w:rFonts w:eastAsia="TeXGyrePagella"/>
                <w:spacing w:val="22"/>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20"/>
                <w:sz w:val="22"/>
                <w:szCs w:val="22"/>
                <w:lang w:val="es-CR" w:eastAsia="en-US"/>
              </w:rPr>
              <w:t xml:space="preserve"> </w:t>
            </w:r>
            <w:r w:rsidRPr="00990FB6">
              <w:rPr>
                <w:rFonts w:eastAsia="TeXGyrePagella"/>
                <w:sz w:val="22"/>
                <w:szCs w:val="22"/>
                <w:lang w:val="es-CR" w:eastAsia="en-US"/>
              </w:rPr>
              <w:t>los</w:t>
            </w:r>
            <w:r w:rsidRPr="00990FB6">
              <w:rPr>
                <w:rFonts w:eastAsia="TeXGyrePagella"/>
                <w:spacing w:val="19"/>
                <w:sz w:val="22"/>
                <w:szCs w:val="22"/>
                <w:lang w:val="es-CR" w:eastAsia="en-US"/>
              </w:rPr>
              <w:t xml:space="preserve"> </w:t>
            </w:r>
            <w:r w:rsidRPr="00990FB6">
              <w:rPr>
                <w:rFonts w:eastAsia="TeXGyrePagella"/>
                <w:spacing w:val="-2"/>
                <w:sz w:val="22"/>
                <w:szCs w:val="22"/>
                <w:lang w:val="es-CR" w:eastAsia="en-US"/>
              </w:rPr>
              <w:t>locales</w:t>
            </w:r>
          </w:p>
          <w:p w14:paraId="39E34CD1" w14:textId="77777777" w:rsidR="00B15F7D" w:rsidRPr="00990FB6" w:rsidRDefault="00B15F7D" w:rsidP="00B15F7D">
            <w:pPr>
              <w:widowControl w:val="0"/>
              <w:suppressAutoHyphens w:val="0"/>
              <w:autoSpaceDE w:val="0"/>
              <w:autoSpaceDN w:val="0"/>
              <w:ind w:left="70" w:right="62"/>
              <w:jc w:val="both"/>
              <w:rPr>
                <w:rFonts w:eastAsia="TeXGyrePagella"/>
                <w:sz w:val="22"/>
                <w:szCs w:val="22"/>
                <w:lang w:eastAsia="en-US"/>
              </w:rPr>
            </w:pPr>
            <w:r w:rsidRPr="00990FB6">
              <w:rPr>
                <w:rFonts w:eastAsia="TeXGyrePagella"/>
                <w:sz w:val="22"/>
                <w:szCs w:val="22"/>
                <w:lang w:eastAsia="en-US"/>
              </w:rPr>
              <w:t>que se planificó contratar en el año 2024.</w:t>
            </w:r>
          </w:p>
        </w:tc>
      </w:tr>
      <w:tr w:rsidR="00B15F7D" w:rsidRPr="00990FB6" w14:paraId="68B9F83B" w14:textId="77777777" w:rsidTr="000A0C22">
        <w:trPr>
          <w:trHeight w:val="4142"/>
        </w:trPr>
        <w:tc>
          <w:tcPr>
            <w:tcW w:w="1560" w:type="dxa"/>
          </w:tcPr>
          <w:p w14:paraId="7D61706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E23552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86725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CDD3DC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E981B1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C55123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A9547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91992A6" w14:textId="77777777" w:rsidR="00B15F7D" w:rsidRPr="00990FB6" w:rsidRDefault="00B15F7D" w:rsidP="00B15F7D">
            <w:pPr>
              <w:widowControl w:val="0"/>
              <w:suppressAutoHyphens w:val="0"/>
              <w:autoSpaceDE w:val="0"/>
              <w:autoSpaceDN w:val="0"/>
              <w:ind w:left="244" w:right="237"/>
              <w:rPr>
                <w:rFonts w:eastAsia="TeXGyrePagella"/>
                <w:sz w:val="22"/>
                <w:szCs w:val="22"/>
                <w:lang w:eastAsia="en-US"/>
              </w:rPr>
            </w:pPr>
            <w:r w:rsidRPr="00990FB6">
              <w:rPr>
                <w:rFonts w:eastAsia="TeXGyrePagella"/>
                <w:spacing w:val="-2"/>
                <w:sz w:val="22"/>
                <w:szCs w:val="22"/>
                <w:lang w:eastAsia="en-US"/>
              </w:rPr>
              <w:t>10101</w:t>
            </w:r>
          </w:p>
        </w:tc>
        <w:tc>
          <w:tcPr>
            <w:tcW w:w="2074" w:type="dxa"/>
          </w:tcPr>
          <w:p w14:paraId="551BC01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4A5581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63188D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55B0D5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11CE62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CB55A0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44C8B7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78E95D1" w14:textId="77777777" w:rsidR="00B15F7D" w:rsidRPr="00990FB6" w:rsidRDefault="00B15F7D" w:rsidP="00B15F7D">
            <w:pPr>
              <w:widowControl w:val="0"/>
              <w:suppressAutoHyphens w:val="0"/>
              <w:autoSpaceDE w:val="0"/>
              <w:autoSpaceDN w:val="0"/>
              <w:ind w:left="251" w:hanging="106"/>
              <w:rPr>
                <w:rFonts w:eastAsia="TeXGyrePagella"/>
                <w:sz w:val="22"/>
                <w:szCs w:val="22"/>
                <w:lang w:eastAsia="en-US"/>
              </w:rPr>
            </w:pPr>
            <w:r w:rsidRPr="00990FB6">
              <w:rPr>
                <w:rFonts w:eastAsia="TeXGyrePagella"/>
                <w:sz w:val="22"/>
                <w:szCs w:val="22"/>
                <w:lang w:eastAsia="en-US"/>
              </w:rPr>
              <w:t>Alquiler</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edificios, locales y terrenos</w:t>
            </w:r>
          </w:p>
        </w:tc>
        <w:tc>
          <w:tcPr>
            <w:tcW w:w="1896" w:type="dxa"/>
          </w:tcPr>
          <w:p w14:paraId="5416410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C8812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B1095E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654AB9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947C1C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0E1EE2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679EF2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ED7E88E" w14:textId="77777777" w:rsidR="00B15F7D" w:rsidRPr="00990FB6" w:rsidRDefault="00B15F7D" w:rsidP="00B15F7D">
            <w:pPr>
              <w:widowControl w:val="0"/>
              <w:suppressAutoHyphens w:val="0"/>
              <w:autoSpaceDE w:val="0"/>
              <w:autoSpaceDN w:val="0"/>
              <w:ind w:left="170" w:right="163"/>
              <w:rPr>
                <w:rFonts w:eastAsia="TeXGyrePagella"/>
                <w:sz w:val="22"/>
                <w:szCs w:val="22"/>
                <w:lang w:eastAsia="en-US"/>
              </w:rPr>
            </w:pPr>
            <w:r w:rsidRPr="00990FB6">
              <w:rPr>
                <w:rFonts w:eastAsia="TeXGyrePagella"/>
                <w:spacing w:val="-2"/>
                <w:sz w:val="22"/>
                <w:szCs w:val="22"/>
                <w:lang w:eastAsia="en-US"/>
              </w:rPr>
              <w:t>25781</w:t>
            </w:r>
          </w:p>
        </w:tc>
        <w:tc>
          <w:tcPr>
            <w:tcW w:w="2011" w:type="dxa"/>
          </w:tcPr>
          <w:p w14:paraId="1C017D6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035C9B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A893D4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E0018D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4C6E99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DFC4A4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2B977E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038CB87" w14:textId="77777777" w:rsidR="00B15F7D" w:rsidRPr="00990FB6" w:rsidRDefault="00B15F7D" w:rsidP="00B15F7D">
            <w:pPr>
              <w:widowControl w:val="0"/>
              <w:suppressAutoHyphens w:val="0"/>
              <w:autoSpaceDE w:val="0"/>
              <w:autoSpaceDN w:val="0"/>
              <w:ind w:left="133" w:right="128"/>
              <w:rPr>
                <w:rFonts w:eastAsia="TeXGyrePagella"/>
                <w:sz w:val="22"/>
                <w:szCs w:val="22"/>
                <w:lang w:eastAsia="en-US"/>
              </w:rPr>
            </w:pPr>
            <w:r w:rsidRPr="00990FB6">
              <w:rPr>
                <w:rFonts w:eastAsia="TeXGyrePagella"/>
                <w:sz w:val="22"/>
                <w:szCs w:val="22"/>
                <w:lang w:eastAsia="en-US"/>
              </w:rPr>
              <w:t>₡211</w:t>
            </w:r>
            <w:r w:rsidRPr="00990FB6">
              <w:rPr>
                <w:rFonts w:eastAsia="TeXGyrePagella"/>
                <w:spacing w:val="-7"/>
                <w:sz w:val="22"/>
                <w:szCs w:val="22"/>
                <w:lang w:eastAsia="en-US"/>
              </w:rPr>
              <w:t xml:space="preserve"> </w:t>
            </w:r>
            <w:r w:rsidRPr="00990FB6">
              <w:rPr>
                <w:rFonts w:eastAsia="TeXGyrePagella"/>
                <w:sz w:val="22"/>
                <w:szCs w:val="22"/>
                <w:lang w:eastAsia="en-US"/>
              </w:rPr>
              <w:t>873</w:t>
            </w:r>
            <w:r w:rsidRPr="00990FB6">
              <w:rPr>
                <w:rFonts w:eastAsia="TeXGyrePagella"/>
                <w:spacing w:val="-6"/>
                <w:sz w:val="22"/>
                <w:szCs w:val="22"/>
                <w:lang w:eastAsia="en-US"/>
              </w:rPr>
              <w:t xml:space="preserve"> </w:t>
            </w:r>
            <w:r w:rsidRPr="00990FB6">
              <w:rPr>
                <w:rFonts w:eastAsia="TeXGyrePagella"/>
                <w:spacing w:val="-2"/>
                <w:sz w:val="22"/>
                <w:szCs w:val="22"/>
                <w:lang w:eastAsia="en-US"/>
              </w:rPr>
              <w:t>842,50</w:t>
            </w:r>
          </w:p>
        </w:tc>
        <w:tc>
          <w:tcPr>
            <w:tcW w:w="2544" w:type="dxa"/>
          </w:tcPr>
          <w:p w14:paraId="7DE4DD3F" w14:textId="77777777" w:rsidR="00B15F7D" w:rsidRPr="00990FB6" w:rsidRDefault="00B15F7D" w:rsidP="00B15F7D">
            <w:pPr>
              <w:widowControl w:val="0"/>
              <w:tabs>
                <w:tab w:val="left" w:pos="2073"/>
              </w:tabs>
              <w:suppressAutoHyphens w:val="0"/>
              <w:autoSpaceDE w:val="0"/>
              <w:autoSpaceDN w:val="0"/>
              <w:ind w:left="70" w:right="58"/>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3"/>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4"/>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 xml:space="preserve">hacerle frente a esta obligación contractual </w:t>
            </w:r>
            <w:r w:rsidRPr="00990FB6">
              <w:rPr>
                <w:rFonts w:eastAsia="TeXGyrePagella"/>
                <w:spacing w:val="-2"/>
                <w:sz w:val="22"/>
                <w:szCs w:val="22"/>
                <w:lang w:val="es-CR" w:eastAsia="en-US"/>
              </w:rPr>
              <w:t>existente.</w:t>
            </w:r>
          </w:p>
          <w:p w14:paraId="5008A69B" w14:textId="77777777" w:rsidR="00B15F7D" w:rsidRPr="00990FB6" w:rsidRDefault="00B15F7D" w:rsidP="00B15F7D">
            <w:pPr>
              <w:widowControl w:val="0"/>
              <w:suppressAutoHyphens w:val="0"/>
              <w:autoSpaceDE w:val="0"/>
              <w:autoSpaceDN w:val="0"/>
              <w:ind w:left="70" w:right="59"/>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expone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la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institución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 ordenes sanitarias por las condiciones</w:t>
            </w:r>
            <w:r w:rsidRPr="00990FB6">
              <w:rPr>
                <w:rFonts w:eastAsia="TeXGyrePagella"/>
                <w:spacing w:val="22"/>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20"/>
                <w:sz w:val="22"/>
                <w:szCs w:val="22"/>
                <w:lang w:val="es-CR" w:eastAsia="en-US"/>
              </w:rPr>
              <w:t xml:space="preserve"> </w:t>
            </w:r>
            <w:r w:rsidRPr="00990FB6">
              <w:rPr>
                <w:rFonts w:eastAsia="TeXGyrePagella"/>
                <w:sz w:val="22"/>
                <w:szCs w:val="22"/>
                <w:lang w:val="es-CR" w:eastAsia="en-US"/>
              </w:rPr>
              <w:t>los</w:t>
            </w:r>
            <w:r w:rsidRPr="00990FB6">
              <w:rPr>
                <w:rFonts w:eastAsia="TeXGyrePagella"/>
                <w:spacing w:val="19"/>
                <w:sz w:val="22"/>
                <w:szCs w:val="22"/>
                <w:lang w:val="es-CR" w:eastAsia="en-US"/>
              </w:rPr>
              <w:t xml:space="preserve"> </w:t>
            </w:r>
            <w:r w:rsidRPr="00990FB6">
              <w:rPr>
                <w:rFonts w:eastAsia="TeXGyrePagella"/>
                <w:spacing w:val="-2"/>
                <w:sz w:val="22"/>
                <w:szCs w:val="22"/>
                <w:lang w:val="es-CR" w:eastAsia="en-US"/>
              </w:rPr>
              <w:t>locales</w:t>
            </w:r>
          </w:p>
          <w:p w14:paraId="76EC77B9" w14:textId="77777777" w:rsidR="00B15F7D" w:rsidRPr="00990FB6" w:rsidRDefault="00B15F7D" w:rsidP="00B15F7D">
            <w:pPr>
              <w:widowControl w:val="0"/>
              <w:suppressAutoHyphens w:val="0"/>
              <w:autoSpaceDE w:val="0"/>
              <w:autoSpaceDN w:val="0"/>
              <w:ind w:left="70" w:right="62"/>
              <w:jc w:val="both"/>
              <w:rPr>
                <w:rFonts w:eastAsia="TeXGyrePagella"/>
                <w:sz w:val="22"/>
                <w:szCs w:val="22"/>
                <w:lang w:eastAsia="en-US"/>
              </w:rPr>
            </w:pPr>
            <w:r w:rsidRPr="00990FB6">
              <w:rPr>
                <w:rFonts w:eastAsia="TeXGyrePagella"/>
                <w:sz w:val="22"/>
                <w:szCs w:val="22"/>
                <w:lang w:eastAsia="en-US"/>
              </w:rPr>
              <w:t>que se planificó contratar en el año 2024.</w:t>
            </w:r>
          </w:p>
        </w:tc>
      </w:tr>
    </w:tbl>
    <w:p w14:paraId="4174CB5F" w14:textId="77777777" w:rsidR="00B15F7D" w:rsidRPr="00990FB6" w:rsidRDefault="00B15F7D" w:rsidP="00B15F7D">
      <w:pPr>
        <w:jc w:val="both"/>
        <w:rPr>
          <w:sz w:val="22"/>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074"/>
        <w:gridCol w:w="1896"/>
        <w:gridCol w:w="2011"/>
        <w:gridCol w:w="2544"/>
      </w:tblGrid>
      <w:tr w:rsidR="00B15F7D" w:rsidRPr="00990FB6" w14:paraId="0E526BD3" w14:textId="77777777" w:rsidTr="000A0C22">
        <w:trPr>
          <w:trHeight w:val="4601"/>
        </w:trPr>
        <w:tc>
          <w:tcPr>
            <w:tcW w:w="1560" w:type="dxa"/>
          </w:tcPr>
          <w:p w14:paraId="38AAD07B" w14:textId="77777777" w:rsidR="00B15F7D" w:rsidRPr="00990FB6" w:rsidRDefault="00B15F7D" w:rsidP="00B15F7D">
            <w:pPr>
              <w:widowControl w:val="0"/>
              <w:suppressAutoHyphens w:val="0"/>
              <w:autoSpaceDE w:val="0"/>
              <w:autoSpaceDN w:val="0"/>
              <w:rPr>
                <w:rFonts w:eastAsia="TeXGyrePagella"/>
                <w:sz w:val="22"/>
                <w:szCs w:val="22"/>
                <w:lang w:eastAsia="en-US"/>
              </w:rPr>
            </w:pPr>
            <w:r w:rsidRPr="00990FB6">
              <w:rPr>
                <w:sz w:val="22"/>
                <w:szCs w:val="22"/>
              </w:rPr>
              <w:tab/>
            </w:r>
          </w:p>
          <w:p w14:paraId="0C0CD7C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3BE9FA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2FF592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0D043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366946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15833F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FCF8BC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832892B" w14:textId="77777777" w:rsidR="00B15F7D" w:rsidRPr="00990FB6" w:rsidRDefault="00B15F7D" w:rsidP="00B15F7D">
            <w:pPr>
              <w:widowControl w:val="0"/>
              <w:suppressAutoHyphens w:val="0"/>
              <w:autoSpaceDE w:val="0"/>
              <w:autoSpaceDN w:val="0"/>
              <w:ind w:left="244" w:right="237"/>
              <w:rPr>
                <w:rFonts w:eastAsia="TeXGyrePagella"/>
                <w:sz w:val="22"/>
                <w:szCs w:val="22"/>
                <w:lang w:eastAsia="en-US"/>
              </w:rPr>
            </w:pPr>
            <w:r w:rsidRPr="00990FB6">
              <w:rPr>
                <w:rFonts w:eastAsia="TeXGyrePagella"/>
                <w:spacing w:val="-2"/>
                <w:sz w:val="22"/>
                <w:szCs w:val="22"/>
                <w:lang w:eastAsia="en-US"/>
              </w:rPr>
              <w:t>10496</w:t>
            </w:r>
          </w:p>
        </w:tc>
        <w:tc>
          <w:tcPr>
            <w:tcW w:w="2074" w:type="dxa"/>
          </w:tcPr>
          <w:p w14:paraId="65C506B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29FA15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0FDD1B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464038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BE8DB1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F28E06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E35EFB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39211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B6FCEB" w14:textId="77777777" w:rsidR="00B15F7D" w:rsidRPr="00990FB6" w:rsidRDefault="00B15F7D" w:rsidP="00B15F7D">
            <w:pPr>
              <w:widowControl w:val="0"/>
              <w:suppressAutoHyphens w:val="0"/>
              <w:autoSpaceDE w:val="0"/>
              <w:autoSpaceDN w:val="0"/>
              <w:ind w:left="606" w:right="128" w:hanging="466"/>
              <w:rPr>
                <w:rFonts w:eastAsia="TeXGyrePagella"/>
                <w:sz w:val="22"/>
                <w:szCs w:val="22"/>
                <w:lang w:eastAsia="en-US"/>
              </w:rPr>
            </w:pPr>
            <w:r w:rsidRPr="00990FB6">
              <w:rPr>
                <w:rFonts w:eastAsia="TeXGyrePagella"/>
                <w:sz w:val="22"/>
                <w:szCs w:val="22"/>
                <w:lang w:eastAsia="en-US"/>
              </w:rPr>
              <w:t>Servicios</w:t>
            </w:r>
            <w:r w:rsidRPr="00990FB6">
              <w:rPr>
                <w:rFonts w:eastAsia="TeXGyrePagella"/>
                <w:spacing w:val="-14"/>
                <w:sz w:val="22"/>
                <w:szCs w:val="22"/>
                <w:lang w:eastAsia="en-US"/>
              </w:rPr>
              <w:t xml:space="preserve"> </w:t>
            </w:r>
            <w:r w:rsidRPr="00990FB6">
              <w:rPr>
                <w:rFonts w:eastAsia="TeXGyrePagella"/>
                <w:sz w:val="22"/>
                <w:szCs w:val="22"/>
                <w:lang w:eastAsia="en-US"/>
              </w:rPr>
              <w:t xml:space="preserve">Generales </w:t>
            </w:r>
            <w:r w:rsidRPr="00990FB6">
              <w:rPr>
                <w:rFonts w:eastAsia="TeXGyrePagella"/>
                <w:spacing w:val="-2"/>
                <w:sz w:val="22"/>
                <w:szCs w:val="22"/>
                <w:lang w:eastAsia="en-US"/>
              </w:rPr>
              <w:t>Vigilancia</w:t>
            </w:r>
          </w:p>
        </w:tc>
        <w:tc>
          <w:tcPr>
            <w:tcW w:w="1896" w:type="dxa"/>
          </w:tcPr>
          <w:p w14:paraId="7F11987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113DA6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1AFCB3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014A0C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267CB6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2F4011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5DAD02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670719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2C26646" w14:textId="77777777" w:rsidR="00B15F7D" w:rsidRPr="00990FB6" w:rsidRDefault="00B15F7D" w:rsidP="00B15F7D">
            <w:pPr>
              <w:widowControl w:val="0"/>
              <w:suppressAutoHyphens w:val="0"/>
              <w:autoSpaceDE w:val="0"/>
              <w:autoSpaceDN w:val="0"/>
              <w:ind w:left="170" w:right="165"/>
              <w:rPr>
                <w:rFonts w:eastAsia="TeXGyrePagella"/>
                <w:sz w:val="22"/>
                <w:szCs w:val="22"/>
                <w:lang w:eastAsia="en-US"/>
              </w:rPr>
            </w:pPr>
            <w:r w:rsidRPr="00990FB6">
              <w:rPr>
                <w:rFonts w:eastAsia="TeXGyrePagella"/>
                <w:spacing w:val="-4"/>
                <w:sz w:val="22"/>
                <w:szCs w:val="22"/>
                <w:lang w:eastAsia="en-US"/>
              </w:rPr>
              <w:t>4265</w:t>
            </w:r>
          </w:p>
        </w:tc>
        <w:tc>
          <w:tcPr>
            <w:tcW w:w="2011" w:type="dxa"/>
          </w:tcPr>
          <w:p w14:paraId="56DA830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7E1066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EBF37A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8C67E7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1EDBC8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86623B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175F96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5ECD16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92A7473" w14:textId="77777777" w:rsidR="00B15F7D" w:rsidRPr="00990FB6" w:rsidRDefault="00B15F7D" w:rsidP="00B15F7D">
            <w:pPr>
              <w:widowControl w:val="0"/>
              <w:suppressAutoHyphens w:val="0"/>
              <w:autoSpaceDE w:val="0"/>
              <w:autoSpaceDN w:val="0"/>
              <w:ind w:right="285"/>
              <w:jc w:val="right"/>
              <w:rPr>
                <w:rFonts w:eastAsia="TeXGyrePagella"/>
                <w:sz w:val="22"/>
                <w:szCs w:val="22"/>
                <w:lang w:eastAsia="en-US"/>
              </w:rPr>
            </w:pPr>
            <w:r w:rsidRPr="00990FB6">
              <w:rPr>
                <w:rFonts w:eastAsia="TeXGyrePagella"/>
                <w:sz w:val="22"/>
                <w:szCs w:val="22"/>
                <w:lang w:eastAsia="en-US"/>
              </w:rPr>
              <w:t>₡78</w:t>
            </w:r>
            <w:r w:rsidRPr="00990FB6">
              <w:rPr>
                <w:rFonts w:eastAsia="TeXGyrePagella"/>
                <w:spacing w:val="-9"/>
                <w:sz w:val="22"/>
                <w:szCs w:val="22"/>
                <w:lang w:eastAsia="en-US"/>
              </w:rPr>
              <w:t xml:space="preserve"> </w:t>
            </w:r>
            <w:r w:rsidRPr="00990FB6">
              <w:rPr>
                <w:rFonts w:eastAsia="TeXGyrePagella"/>
                <w:sz w:val="22"/>
                <w:szCs w:val="22"/>
                <w:lang w:eastAsia="en-US"/>
              </w:rPr>
              <w:t>935</w:t>
            </w:r>
            <w:r w:rsidRPr="00990FB6">
              <w:rPr>
                <w:rFonts w:eastAsia="TeXGyrePagella"/>
                <w:spacing w:val="-4"/>
                <w:sz w:val="22"/>
                <w:szCs w:val="22"/>
                <w:lang w:eastAsia="en-US"/>
              </w:rPr>
              <w:t xml:space="preserve"> </w:t>
            </w:r>
            <w:r w:rsidRPr="00990FB6">
              <w:rPr>
                <w:rFonts w:eastAsia="TeXGyrePagella"/>
                <w:spacing w:val="-2"/>
                <w:sz w:val="22"/>
                <w:szCs w:val="22"/>
                <w:lang w:eastAsia="en-US"/>
              </w:rPr>
              <w:t>931,65</w:t>
            </w:r>
          </w:p>
        </w:tc>
        <w:tc>
          <w:tcPr>
            <w:tcW w:w="2544" w:type="dxa"/>
          </w:tcPr>
          <w:p w14:paraId="0CC22863" w14:textId="77777777" w:rsidR="00B15F7D" w:rsidRPr="00990FB6" w:rsidRDefault="00B15F7D" w:rsidP="00B15F7D">
            <w:pPr>
              <w:widowControl w:val="0"/>
              <w:tabs>
                <w:tab w:val="left" w:pos="2073"/>
              </w:tabs>
              <w:suppressAutoHyphens w:val="0"/>
              <w:autoSpaceDE w:val="0"/>
              <w:autoSpaceDN w:val="0"/>
              <w:ind w:left="70" w:right="59"/>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5"/>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 xml:space="preserve">hacerle frente a esta obligación contractual </w:t>
            </w:r>
            <w:r w:rsidRPr="00990FB6">
              <w:rPr>
                <w:rFonts w:eastAsia="TeXGyrePagella"/>
                <w:spacing w:val="-2"/>
                <w:sz w:val="22"/>
                <w:szCs w:val="22"/>
                <w:lang w:val="es-CR" w:eastAsia="en-US"/>
              </w:rPr>
              <w:t>existente.</w:t>
            </w:r>
          </w:p>
          <w:p w14:paraId="0F9411D2"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3E7C4D14" w14:textId="77777777" w:rsidR="00B15F7D" w:rsidRPr="00990FB6" w:rsidRDefault="00B15F7D" w:rsidP="00B15F7D">
            <w:pPr>
              <w:widowControl w:val="0"/>
              <w:suppressAutoHyphens w:val="0"/>
              <w:autoSpaceDE w:val="0"/>
              <w:autoSpaceDN w:val="0"/>
              <w:ind w:left="70" w:right="58"/>
              <w:jc w:val="both"/>
              <w:rPr>
                <w:rFonts w:eastAsia="TeXGyrePagella"/>
                <w:sz w:val="22"/>
                <w:szCs w:val="22"/>
                <w:lang w:val="es-CR" w:eastAsia="en-US"/>
              </w:rPr>
            </w:pPr>
            <w:r w:rsidRPr="00990FB6">
              <w:rPr>
                <w:rFonts w:eastAsia="TeXGyrePagella"/>
                <w:sz w:val="22"/>
                <w:szCs w:val="22"/>
                <w:lang w:val="es-CR" w:eastAsia="en-US"/>
              </w:rPr>
              <w:t>Recortar puestos de seguridad implica exponer al personal judicial y a las instalaciones</w:t>
            </w:r>
            <w:r w:rsidRPr="00990FB6">
              <w:rPr>
                <w:rFonts w:eastAsia="TeXGyrePagella"/>
                <w:spacing w:val="59"/>
                <w:sz w:val="22"/>
                <w:szCs w:val="22"/>
                <w:lang w:val="es-CR" w:eastAsia="en-US"/>
              </w:rPr>
              <w:t xml:space="preserve"> </w:t>
            </w:r>
            <w:proofErr w:type="gramStart"/>
            <w:r w:rsidRPr="00990FB6">
              <w:rPr>
                <w:rFonts w:eastAsia="TeXGyrePagella"/>
                <w:spacing w:val="59"/>
                <w:sz w:val="22"/>
                <w:szCs w:val="22"/>
                <w:lang w:val="es-CR" w:eastAsia="en-US"/>
              </w:rPr>
              <w:t>en</w:t>
            </w:r>
            <w:r w:rsidRPr="00990FB6">
              <w:rPr>
                <w:rFonts w:eastAsia="TeXGyrePagella"/>
                <w:spacing w:val="58"/>
                <w:sz w:val="22"/>
                <w:szCs w:val="22"/>
                <w:lang w:val="es-CR" w:eastAsia="en-US"/>
              </w:rPr>
              <w:t xml:space="preserve">  </w:t>
            </w:r>
            <w:r w:rsidRPr="00990FB6">
              <w:rPr>
                <w:rFonts w:eastAsia="TeXGyrePagella"/>
                <w:spacing w:val="-2"/>
                <w:sz w:val="22"/>
                <w:szCs w:val="22"/>
                <w:lang w:val="es-CR" w:eastAsia="en-US"/>
              </w:rPr>
              <w:t>riesgo</w:t>
            </w:r>
            <w:proofErr w:type="gramEnd"/>
          </w:p>
          <w:p w14:paraId="41A5BD0D" w14:textId="77777777" w:rsidR="00B15F7D" w:rsidRPr="00990FB6" w:rsidRDefault="00B15F7D" w:rsidP="00B15F7D">
            <w:pPr>
              <w:widowControl w:val="0"/>
              <w:suppressAutoHyphens w:val="0"/>
              <w:autoSpaceDE w:val="0"/>
              <w:autoSpaceDN w:val="0"/>
              <w:ind w:left="70" w:right="58"/>
              <w:jc w:val="both"/>
              <w:rPr>
                <w:rFonts w:eastAsia="TeXGyrePagella"/>
                <w:sz w:val="22"/>
                <w:szCs w:val="22"/>
                <w:lang w:eastAsia="en-US"/>
              </w:rPr>
            </w:pPr>
            <w:r w:rsidRPr="00990FB6">
              <w:rPr>
                <w:rFonts w:eastAsia="TeXGyrePagella"/>
                <w:sz w:val="22"/>
                <w:szCs w:val="22"/>
                <w:lang w:eastAsia="en-US"/>
              </w:rPr>
              <w:t xml:space="preserve">ante la actual situación de </w:t>
            </w:r>
            <w:r w:rsidRPr="00990FB6">
              <w:rPr>
                <w:rFonts w:eastAsia="TeXGyrePagella"/>
                <w:spacing w:val="-2"/>
                <w:sz w:val="22"/>
                <w:szCs w:val="22"/>
                <w:lang w:eastAsia="en-US"/>
              </w:rPr>
              <w:t>inseguridad.</w:t>
            </w:r>
          </w:p>
        </w:tc>
      </w:tr>
      <w:tr w:rsidR="00B15F7D" w:rsidRPr="00990FB6" w14:paraId="402483FB" w14:textId="77777777" w:rsidTr="000A0C22">
        <w:trPr>
          <w:trHeight w:val="4598"/>
        </w:trPr>
        <w:tc>
          <w:tcPr>
            <w:tcW w:w="1560" w:type="dxa"/>
          </w:tcPr>
          <w:p w14:paraId="0AFF37C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C0C652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2914D0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B45DB7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200513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138DA0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D108AE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EAE2D7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121A3F" w14:textId="77777777" w:rsidR="00B15F7D" w:rsidRPr="00990FB6" w:rsidRDefault="00B15F7D" w:rsidP="00B15F7D">
            <w:pPr>
              <w:widowControl w:val="0"/>
              <w:suppressAutoHyphens w:val="0"/>
              <w:autoSpaceDE w:val="0"/>
              <w:autoSpaceDN w:val="0"/>
              <w:ind w:left="244" w:right="237"/>
              <w:rPr>
                <w:rFonts w:eastAsia="TeXGyrePagella"/>
                <w:sz w:val="22"/>
                <w:szCs w:val="22"/>
                <w:lang w:eastAsia="en-US"/>
              </w:rPr>
            </w:pPr>
            <w:r w:rsidRPr="00990FB6">
              <w:rPr>
                <w:rFonts w:eastAsia="TeXGyrePagella"/>
                <w:spacing w:val="-2"/>
                <w:sz w:val="22"/>
                <w:szCs w:val="22"/>
                <w:lang w:eastAsia="en-US"/>
              </w:rPr>
              <w:t>10496</w:t>
            </w:r>
          </w:p>
        </w:tc>
        <w:tc>
          <w:tcPr>
            <w:tcW w:w="2074" w:type="dxa"/>
          </w:tcPr>
          <w:p w14:paraId="4085C6B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7244C0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686105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2EE63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2421CB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D53E7A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6E9D4D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39735B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AF47FC1" w14:textId="77777777" w:rsidR="00B15F7D" w:rsidRPr="00990FB6" w:rsidRDefault="00B15F7D" w:rsidP="00B15F7D">
            <w:pPr>
              <w:widowControl w:val="0"/>
              <w:suppressAutoHyphens w:val="0"/>
              <w:autoSpaceDE w:val="0"/>
              <w:autoSpaceDN w:val="0"/>
              <w:ind w:left="633" w:right="127" w:hanging="492"/>
              <w:rPr>
                <w:rFonts w:eastAsia="TeXGyrePagella"/>
                <w:sz w:val="22"/>
                <w:szCs w:val="22"/>
                <w:lang w:eastAsia="en-US"/>
              </w:rPr>
            </w:pPr>
            <w:r w:rsidRPr="00990FB6">
              <w:rPr>
                <w:rFonts w:eastAsia="TeXGyrePagella"/>
                <w:sz w:val="22"/>
                <w:szCs w:val="22"/>
                <w:lang w:eastAsia="en-US"/>
              </w:rPr>
              <w:t>Servicios</w:t>
            </w:r>
            <w:r w:rsidRPr="00990FB6">
              <w:rPr>
                <w:rFonts w:eastAsia="TeXGyrePagella"/>
                <w:spacing w:val="-14"/>
                <w:sz w:val="22"/>
                <w:szCs w:val="22"/>
                <w:lang w:eastAsia="en-US"/>
              </w:rPr>
              <w:t xml:space="preserve"> </w:t>
            </w:r>
            <w:r w:rsidRPr="00990FB6">
              <w:rPr>
                <w:rFonts w:eastAsia="TeXGyrePagella"/>
                <w:sz w:val="22"/>
                <w:szCs w:val="22"/>
                <w:lang w:eastAsia="en-US"/>
              </w:rPr>
              <w:t xml:space="preserve">Generales </w:t>
            </w:r>
            <w:r w:rsidRPr="00990FB6">
              <w:rPr>
                <w:rFonts w:eastAsia="TeXGyrePagella"/>
                <w:spacing w:val="-2"/>
                <w:sz w:val="22"/>
                <w:szCs w:val="22"/>
                <w:lang w:eastAsia="en-US"/>
              </w:rPr>
              <w:t>Limpieza</w:t>
            </w:r>
          </w:p>
        </w:tc>
        <w:tc>
          <w:tcPr>
            <w:tcW w:w="1896" w:type="dxa"/>
          </w:tcPr>
          <w:p w14:paraId="00D5D38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6208F4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264BB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A33D9E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23A4A7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1481DE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B13E2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AA405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672880C" w14:textId="77777777" w:rsidR="00B15F7D" w:rsidRPr="00990FB6" w:rsidRDefault="00B15F7D" w:rsidP="00B15F7D">
            <w:pPr>
              <w:widowControl w:val="0"/>
              <w:suppressAutoHyphens w:val="0"/>
              <w:autoSpaceDE w:val="0"/>
              <w:autoSpaceDN w:val="0"/>
              <w:ind w:left="170" w:right="165"/>
              <w:rPr>
                <w:rFonts w:eastAsia="TeXGyrePagella"/>
                <w:sz w:val="22"/>
                <w:szCs w:val="22"/>
                <w:lang w:eastAsia="en-US"/>
              </w:rPr>
            </w:pPr>
            <w:r w:rsidRPr="00990FB6">
              <w:rPr>
                <w:rFonts w:eastAsia="TeXGyrePagella"/>
                <w:spacing w:val="-4"/>
                <w:sz w:val="22"/>
                <w:szCs w:val="22"/>
                <w:lang w:eastAsia="en-US"/>
              </w:rPr>
              <w:t>5262</w:t>
            </w:r>
          </w:p>
        </w:tc>
        <w:tc>
          <w:tcPr>
            <w:tcW w:w="2011" w:type="dxa"/>
          </w:tcPr>
          <w:p w14:paraId="42D9EA4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CFEAA2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D2384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BC6497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FD719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5FB5E0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753513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260866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C11C156" w14:textId="77777777" w:rsidR="00B15F7D" w:rsidRPr="00990FB6" w:rsidRDefault="00B15F7D" w:rsidP="00B15F7D">
            <w:pPr>
              <w:widowControl w:val="0"/>
              <w:suppressAutoHyphens w:val="0"/>
              <w:autoSpaceDE w:val="0"/>
              <w:autoSpaceDN w:val="0"/>
              <w:ind w:right="230"/>
              <w:jc w:val="right"/>
              <w:rPr>
                <w:rFonts w:eastAsia="TeXGyrePagella"/>
                <w:sz w:val="22"/>
                <w:szCs w:val="22"/>
                <w:lang w:eastAsia="en-US"/>
              </w:rPr>
            </w:pPr>
            <w:r w:rsidRPr="00990FB6">
              <w:rPr>
                <w:rFonts w:eastAsia="TeXGyrePagella"/>
                <w:sz w:val="22"/>
                <w:szCs w:val="22"/>
                <w:lang w:eastAsia="en-US"/>
              </w:rPr>
              <w:t>₡140</w:t>
            </w:r>
            <w:r w:rsidRPr="00990FB6">
              <w:rPr>
                <w:rFonts w:eastAsia="TeXGyrePagella"/>
                <w:spacing w:val="-7"/>
                <w:sz w:val="22"/>
                <w:szCs w:val="22"/>
                <w:lang w:eastAsia="en-US"/>
              </w:rPr>
              <w:t xml:space="preserve"> </w:t>
            </w:r>
            <w:r w:rsidRPr="00990FB6">
              <w:rPr>
                <w:rFonts w:eastAsia="TeXGyrePagella"/>
                <w:sz w:val="22"/>
                <w:szCs w:val="22"/>
                <w:lang w:eastAsia="en-US"/>
              </w:rPr>
              <w:t>653</w:t>
            </w:r>
            <w:r w:rsidRPr="00990FB6">
              <w:rPr>
                <w:rFonts w:eastAsia="TeXGyrePagella"/>
                <w:spacing w:val="-6"/>
                <w:sz w:val="22"/>
                <w:szCs w:val="22"/>
                <w:lang w:eastAsia="en-US"/>
              </w:rPr>
              <w:t xml:space="preserve"> </w:t>
            </w:r>
            <w:r w:rsidRPr="00990FB6">
              <w:rPr>
                <w:rFonts w:eastAsia="TeXGyrePagella"/>
                <w:spacing w:val="-2"/>
                <w:sz w:val="22"/>
                <w:szCs w:val="22"/>
                <w:lang w:eastAsia="en-US"/>
              </w:rPr>
              <w:t>069,75</w:t>
            </w:r>
          </w:p>
        </w:tc>
        <w:tc>
          <w:tcPr>
            <w:tcW w:w="2544" w:type="dxa"/>
          </w:tcPr>
          <w:p w14:paraId="5032F3DB" w14:textId="77777777" w:rsidR="00B15F7D" w:rsidRPr="00990FB6" w:rsidRDefault="00B15F7D" w:rsidP="00B15F7D">
            <w:pPr>
              <w:widowControl w:val="0"/>
              <w:tabs>
                <w:tab w:val="left" w:pos="2073"/>
              </w:tabs>
              <w:suppressAutoHyphens w:val="0"/>
              <w:autoSpaceDE w:val="0"/>
              <w:autoSpaceDN w:val="0"/>
              <w:ind w:left="70" w:right="59"/>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5"/>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 xml:space="preserve">hacerle frente a esta obligación contractual </w:t>
            </w:r>
            <w:r w:rsidRPr="00990FB6">
              <w:rPr>
                <w:rFonts w:eastAsia="TeXGyrePagella"/>
                <w:spacing w:val="-2"/>
                <w:sz w:val="22"/>
                <w:szCs w:val="22"/>
                <w:lang w:val="es-CR" w:eastAsia="en-US"/>
              </w:rPr>
              <w:t>existente.</w:t>
            </w:r>
          </w:p>
          <w:p w14:paraId="4DC1FCE3"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260F729F" w14:textId="77777777" w:rsidR="00B15F7D" w:rsidRPr="00990FB6" w:rsidRDefault="00B15F7D" w:rsidP="00B15F7D">
            <w:pPr>
              <w:widowControl w:val="0"/>
              <w:suppressAutoHyphens w:val="0"/>
              <w:autoSpaceDE w:val="0"/>
              <w:autoSpaceDN w:val="0"/>
              <w:ind w:left="70" w:right="59"/>
              <w:jc w:val="both"/>
              <w:rPr>
                <w:rFonts w:eastAsia="TeXGyrePagella"/>
                <w:sz w:val="22"/>
                <w:szCs w:val="22"/>
                <w:lang w:val="es-CR" w:eastAsia="en-US"/>
              </w:rPr>
            </w:pPr>
            <w:r w:rsidRPr="00990FB6">
              <w:rPr>
                <w:rFonts w:eastAsia="TeXGyrePagella"/>
                <w:sz w:val="22"/>
                <w:szCs w:val="22"/>
                <w:lang w:val="es-CR" w:eastAsia="en-US"/>
              </w:rPr>
              <w:t>Recortar puestos de limpieza, lo que conlleva a futuras quejas ante el Ministerio</w:t>
            </w:r>
            <w:r w:rsidRPr="00990FB6">
              <w:rPr>
                <w:rFonts w:eastAsia="TeXGyrePagella"/>
                <w:spacing w:val="16"/>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19"/>
                <w:sz w:val="22"/>
                <w:szCs w:val="22"/>
                <w:lang w:val="es-CR" w:eastAsia="en-US"/>
              </w:rPr>
              <w:t xml:space="preserve"> </w:t>
            </w:r>
            <w:r w:rsidRPr="00990FB6">
              <w:rPr>
                <w:rFonts w:eastAsia="TeXGyrePagella"/>
                <w:sz w:val="22"/>
                <w:szCs w:val="22"/>
                <w:lang w:val="es-CR" w:eastAsia="en-US"/>
              </w:rPr>
              <w:t>Salud,</w:t>
            </w:r>
            <w:r w:rsidRPr="00990FB6">
              <w:rPr>
                <w:rFonts w:eastAsia="TeXGyrePagella"/>
                <w:spacing w:val="16"/>
                <w:sz w:val="22"/>
                <w:szCs w:val="22"/>
                <w:lang w:val="es-CR" w:eastAsia="en-US"/>
              </w:rPr>
              <w:t xml:space="preserve"> </w:t>
            </w:r>
            <w:r w:rsidRPr="00990FB6">
              <w:rPr>
                <w:rFonts w:eastAsia="TeXGyrePagella"/>
                <w:sz w:val="22"/>
                <w:szCs w:val="22"/>
                <w:lang w:val="es-CR" w:eastAsia="en-US"/>
              </w:rPr>
              <w:t>por</w:t>
            </w:r>
            <w:r w:rsidRPr="00990FB6">
              <w:rPr>
                <w:rFonts w:eastAsia="TeXGyrePagella"/>
                <w:spacing w:val="17"/>
                <w:sz w:val="22"/>
                <w:szCs w:val="22"/>
                <w:lang w:val="es-CR" w:eastAsia="en-US"/>
              </w:rPr>
              <w:t xml:space="preserve"> </w:t>
            </w:r>
            <w:r w:rsidRPr="00990FB6">
              <w:rPr>
                <w:rFonts w:eastAsia="TeXGyrePagella"/>
                <w:spacing w:val="-5"/>
                <w:sz w:val="22"/>
                <w:szCs w:val="22"/>
                <w:lang w:val="es-CR" w:eastAsia="en-US"/>
              </w:rPr>
              <w:t>la</w:t>
            </w:r>
          </w:p>
          <w:p w14:paraId="39AD15A7" w14:textId="77777777" w:rsidR="00B15F7D" w:rsidRPr="00990FB6" w:rsidRDefault="00B15F7D" w:rsidP="00B15F7D">
            <w:pPr>
              <w:widowControl w:val="0"/>
              <w:suppressAutoHyphens w:val="0"/>
              <w:autoSpaceDE w:val="0"/>
              <w:autoSpaceDN w:val="0"/>
              <w:ind w:left="70" w:right="62"/>
              <w:jc w:val="both"/>
              <w:rPr>
                <w:rFonts w:eastAsia="TeXGyrePagella"/>
                <w:sz w:val="22"/>
                <w:szCs w:val="22"/>
                <w:lang w:eastAsia="en-US"/>
              </w:rPr>
            </w:pPr>
            <w:r w:rsidRPr="00990FB6">
              <w:rPr>
                <w:rFonts w:eastAsia="TeXGyrePagella"/>
                <w:sz w:val="22"/>
                <w:szCs w:val="22"/>
                <w:lang w:eastAsia="en-US"/>
              </w:rPr>
              <w:t>falta de aseo en los sitios de trabajo.</w:t>
            </w:r>
          </w:p>
        </w:tc>
      </w:tr>
      <w:tr w:rsidR="00B15F7D" w:rsidRPr="00990FB6" w14:paraId="47AD4E4C" w14:textId="77777777" w:rsidTr="000A0C22">
        <w:trPr>
          <w:trHeight w:val="4370"/>
        </w:trPr>
        <w:tc>
          <w:tcPr>
            <w:tcW w:w="1560" w:type="dxa"/>
          </w:tcPr>
          <w:p w14:paraId="53E805A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72CDC5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F0DA9D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A391B0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BCDF24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6D4130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0EB35A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A77464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CEF09F" w14:textId="77777777" w:rsidR="00B15F7D" w:rsidRPr="00990FB6" w:rsidRDefault="00B15F7D" w:rsidP="00B15F7D">
            <w:pPr>
              <w:widowControl w:val="0"/>
              <w:suppressAutoHyphens w:val="0"/>
              <w:autoSpaceDE w:val="0"/>
              <w:autoSpaceDN w:val="0"/>
              <w:ind w:left="244" w:right="237"/>
              <w:rPr>
                <w:rFonts w:eastAsia="TeXGyrePagella"/>
                <w:sz w:val="22"/>
                <w:szCs w:val="22"/>
                <w:lang w:eastAsia="en-US"/>
              </w:rPr>
            </w:pPr>
            <w:r w:rsidRPr="00990FB6">
              <w:rPr>
                <w:rFonts w:eastAsia="TeXGyrePagella"/>
                <w:spacing w:val="-2"/>
                <w:sz w:val="22"/>
                <w:szCs w:val="22"/>
                <w:lang w:eastAsia="en-US"/>
              </w:rPr>
              <w:t>10201</w:t>
            </w:r>
          </w:p>
        </w:tc>
        <w:tc>
          <w:tcPr>
            <w:tcW w:w="2074" w:type="dxa"/>
          </w:tcPr>
          <w:p w14:paraId="39F1E8D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7E5B3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7E486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ABDE0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17160C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59A688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FA9637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593381" w14:textId="77777777" w:rsidR="00B15F7D" w:rsidRPr="00990FB6" w:rsidRDefault="00B15F7D" w:rsidP="00B15F7D">
            <w:pPr>
              <w:widowControl w:val="0"/>
              <w:suppressAutoHyphens w:val="0"/>
              <w:autoSpaceDE w:val="0"/>
              <w:autoSpaceDN w:val="0"/>
              <w:ind w:left="446" w:hanging="233"/>
              <w:rPr>
                <w:rFonts w:eastAsia="TeXGyrePagella"/>
                <w:sz w:val="22"/>
                <w:szCs w:val="22"/>
                <w:lang w:eastAsia="en-US"/>
              </w:rPr>
            </w:pPr>
            <w:r w:rsidRPr="00990FB6">
              <w:rPr>
                <w:rFonts w:eastAsia="TeXGyrePagella"/>
                <w:sz w:val="22"/>
                <w:szCs w:val="22"/>
                <w:lang w:eastAsia="en-US"/>
              </w:rPr>
              <w:t>Servicio</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3"/>
                <w:sz w:val="22"/>
                <w:szCs w:val="22"/>
                <w:lang w:eastAsia="en-US"/>
              </w:rPr>
              <w:t xml:space="preserve"> </w:t>
            </w:r>
            <w:r w:rsidRPr="00990FB6">
              <w:rPr>
                <w:rFonts w:eastAsia="TeXGyrePagella"/>
                <w:sz w:val="22"/>
                <w:szCs w:val="22"/>
                <w:lang w:eastAsia="en-US"/>
              </w:rPr>
              <w:t>agua</w:t>
            </w:r>
            <w:r w:rsidRPr="00990FB6">
              <w:rPr>
                <w:rFonts w:eastAsia="TeXGyrePagella"/>
                <w:spacing w:val="-14"/>
                <w:sz w:val="22"/>
                <w:szCs w:val="22"/>
                <w:lang w:eastAsia="en-US"/>
              </w:rPr>
              <w:t xml:space="preserve"> </w:t>
            </w:r>
            <w:r w:rsidRPr="00990FB6">
              <w:rPr>
                <w:rFonts w:eastAsia="TeXGyrePagella"/>
                <w:sz w:val="22"/>
                <w:szCs w:val="22"/>
                <w:lang w:eastAsia="en-US"/>
              </w:rPr>
              <w:t xml:space="preserve">y </w:t>
            </w:r>
            <w:r w:rsidRPr="00990FB6">
              <w:rPr>
                <w:rFonts w:eastAsia="TeXGyrePagella"/>
                <w:spacing w:val="-2"/>
                <w:sz w:val="22"/>
                <w:szCs w:val="22"/>
                <w:lang w:eastAsia="en-US"/>
              </w:rPr>
              <w:t>alcantarillado</w:t>
            </w:r>
          </w:p>
        </w:tc>
        <w:tc>
          <w:tcPr>
            <w:tcW w:w="1896" w:type="dxa"/>
          </w:tcPr>
          <w:p w14:paraId="6919B7F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AB2C82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7B683E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FEFCE3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DC64FB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ED33D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5EA8B7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1F4E4D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AFCD891" w14:textId="77777777" w:rsidR="00B15F7D" w:rsidRPr="00990FB6" w:rsidRDefault="00B15F7D" w:rsidP="00B15F7D">
            <w:pPr>
              <w:widowControl w:val="0"/>
              <w:suppressAutoHyphens w:val="0"/>
              <w:autoSpaceDE w:val="0"/>
              <w:autoSpaceDN w:val="0"/>
              <w:ind w:left="170" w:right="165"/>
              <w:rPr>
                <w:rFonts w:eastAsia="TeXGyrePagella"/>
                <w:sz w:val="22"/>
                <w:szCs w:val="22"/>
                <w:lang w:eastAsia="en-US"/>
              </w:rPr>
            </w:pPr>
            <w:r w:rsidRPr="00990FB6">
              <w:rPr>
                <w:rFonts w:eastAsia="TeXGyrePagella"/>
                <w:spacing w:val="-4"/>
                <w:sz w:val="22"/>
                <w:szCs w:val="22"/>
                <w:lang w:eastAsia="en-US"/>
              </w:rPr>
              <w:t>1365</w:t>
            </w:r>
          </w:p>
        </w:tc>
        <w:tc>
          <w:tcPr>
            <w:tcW w:w="2011" w:type="dxa"/>
          </w:tcPr>
          <w:p w14:paraId="210CE3D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8D1BD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E7239E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F237C1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F5BD12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07470E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E1B572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9EB773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487A16" w14:textId="77777777" w:rsidR="00B15F7D" w:rsidRPr="00990FB6" w:rsidRDefault="00B15F7D" w:rsidP="00B15F7D">
            <w:pPr>
              <w:widowControl w:val="0"/>
              <w:suppressAutoHyphens w:val="0"/>
              <w:autoSpaceDE w:val="0"/>
              <w:autoSpaceDN w:val="0"/>
              <w:ind w:right="285"/>
              <w:jc w:val="right"/>
              <w:rPr>
                <w:rFonts w:eastAsia="TeXGyrePagella"/>
                <w:sz w:val="22"/>
                <w:szCs w:val="22"/>
                <w:lang w:eastAsia="en-US"/>
              </w:rPr>
            </w:pPr>
            <w:r w:rsidRPr="00990FB6">
              <w:rPr>
                <w:rFonts w:eastAsia="TeXGyrePagella"/>
                <w:sz w:val="22"/>
                <w:szCs w:val="22"/>
                <w:lang w:eastAsia="en-US"/>
              </w:rPr>
              <w:t>₡14</w:t>
            </w:r>
            <w:r w:rsidRPr="00990FB6">
              <w:rPr>
                <w:rFonts w:eastAsia="TeXGyrePagella"/>
                <w:spacing w:val="-9"/>
                <w:sz w:val="22"/>
                <w:szCs w:val="22"/>
                <w:lang w:eastAsia="en-US"/>
              </w:rPr>
              <w:t xml:space="preserve"> </w:t>
            </w:r>
            <w:r w:rsidRPr="00990FB6">
              <w:rPr>
                <w:rFonts w:eastAsia="TeXGyrePagella"/>
                <w:sz w:val="22"/>
                <w:szCs w:val="22"/>
                <w:lang w:eastAsia="en-US"/>
              </w:rPr>
              <w:t>426</w:t>
            </w:r>
            <w:r w:rsidRPr="00990FB6">
              <w:rPr>
                <w:rFonts w:eastAsia="TeXGyrePagella"/>
                <w:spacing w:val="-4"/>
                <w:sz w:val="22"/>
                <w:szCs w:val="22"/>
                <w:lang w:eastAsia="en-US"/>
              </w:rPr>
              <w:t xml:space="preserve"> </w:t>
            </w:r>
            <w:r w:rsidRPr="00990FB6">
              <w:rPr>
                <w:rFonts w:eastAsia="TeXGyrePagella"/>
                <w:spacing w:val="-2"/>
                <w:sz w:val="22"/>
                <w:szCs w:val="22"/>
                <w:lang w:eastAsia="en-US"/>
              </w:rPr>
              <w:t>835,63</w:t>
            </w:r>
          </w:p>
        </w:tc>
        <w:tc>
          <w:tcPr>
            <w:tcW w:w="2544" w:type="dxa"/>
          </w:tcPr>
          <w:p w14:paraId="1C809A13" w14:textId="77777777" w:rsidR="00B15F7D" w:rsidRPr="00990FB6" w:rsidRDefault="00B15F7D" w:rsidP="00B15F7D">
            <w:pPr>
              <w:widowControl w:val="0"/>
              <w:tabs>
                <w:tab w:val="left" w:pos="2073"/>
              </w:tabs>
              <w:suppressAutoHyphens w:val="0"/>
              <w:autoSpaceDE w:val="0"/>
              <w:autoSpaceDN w:val="0"/>
              <w:ind w:left="70" w:right="58"/>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3"/>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4"/>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hacerle frente a esta obligación el pago de Servicios Públicos.</w:t>
            </w:r>
          </w:p>
          <w:p w14:paraId="0CA39CF4"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7BC8EC24" w14:textId="77777777" w:rsidR="00B15F7D" w:rsidRPr="00990FB6" w:rsidRDefault="00B15F7D" w:rsidP="00B15F7D">
            <w:pPr>
              <w:widowControl w:val="0"/>
              <w:suppressAutoHyphens w:val="0"/>
              <w:autoSpaceDE w:val="0"/>
              <w:autoSpaceDN w:val="0"/>
              <w:ind w:left="70" w:right="59"/>
              <w:jc w:val="both"/>
              <w:rPr>
                <w:rFonts w:eastAsia="TeXGyrePagella"/>
                <w:sz w:val="22"/>
                <w:szCs w:val="22"/>
                <w:lang w:eastAsia="en-US"/>
              </w:rPr>
            </w:pPr>
            <w:r w:rsidRPr="00990FB6">
              <w:rPr>
                <w:rFonts w:eastAsia="TeXGyrePagella"/>
                <w:sz w:val="22"/>
                <w:szCs w:val="22"/>
                <w:lang w:eastAsia="en-US"/>
              </w:rPr>
              <w:t>Implica una mala práctica en la formulación presupuestaria</w:t>
            </w:r>
            <w:r w:rsidRPr="00990FB6">
              <w:rPr>
                <w:rFonts w:eastAsia="TeXGyrePagella"/>
                <w:spacing w:val="67"/>
                <w:sz w:val="22"/>
                <w:szCs w:val="22"/>
                <w:lang w:eastAsia="en-US"/>
              </w:rPr>
              <w:t xml:space="preserve">   </w:t>
            </w:r>
            <w:r w:rsidRPr="00990FB6">
              <w:rPr>
                <w:rFonts w:eastAsia="TeXGyrePagella"/>
                <w:sz w:val="22"/>
                <w:szCs w:val="22"/>
                <w:lang w:eastAsia="en-US"/>
              </w:rPr>
              <w:t>y</w:t>
            </w:r>
            <w:r w:rsidRPr="00990FB6">
              <w:rPr>
                <w:rFonts w:eastAsia="TeXGyrePagella"/>
                <w:spacing w:val="68"/>
                <w:sz w:val="22"/>
                <w:szCs w:val="22"/>
                <w:lang w:eastAsia="en-US"/>
              </w:rPr>
              <w:t xml:space="preserve">   </w:t>
            </w:r>
            <w:r w:rsidRPr="00990FB6">
              <w:rPr>
                <w:rFonts w:eastAsia="TeXGyrePagella"/>
                <w:spacing w:val="-5"/>
                <w:sz w:val="22"/>
                <w:szCs w:val="22"/>
                <w:lang w:eastAsia="en-US"/>
              </w:rPr>
              <w:t>un</w:t>
            </w:r>
          </w:p>
          <w:p w14:paraId="6618276C" w14:textId="77777777" w:rsidR="00B15F7D" w:rsidRPr="00990FB6" w:rsidRDefault="00B15F7D" w:rsidP="00B15F7D">
            <w:pPr>
              <w:widowControl w:val="0"/>
              <w:suppressAutoHyphens w:val="0"/>
              <w:autoSpaceDE w:val="0"/>
              <w:autoSpaceDN w:val="0"/>
              <w:ind w:left="70" w:right="60"/>
              <w:jc w:val="both"/>
              <w:rPr>
                <w:rFonts w:eastAsia="TeXGyrePagella"/>
                <w:sz w:val="22"/>
                <w:szCs w:val="22"/>
                <w:lang w:eastAsia="en-US"/>
              </w:rPr>
            </w:pPr>
            <w:r w:rsidRPr="00990FB6">
              <w:rPr>
                <w:rFonts w:eastAsia="TeXGyrePagella"/>
                <w:sz w:val="22"/>
                <w:szCs w:val="22"/>
                <w:lang w:eastAsia="en-US"/>
              </w:rPr>
              <w:t xml:space="preserve">impacto en el presupuesto </w:t>
            </w:r>
            <w:r w:rsidRPr="00990FB6">
              <w:rPr>
                <w:rFonts w:eastAsia="TeXGyrePagella"/>
                <w:spacing w:val="-2"/>
                <w:sz w:val="22"/>
                <w:szCs w:val="22"/>
                <w:lang w:eastAsia="en-US"/>
              </w:rPr>
              <w:t>del</w:t>
            </w:r>
            <w:r w:rsidRPr="00990FB6">
              <w:rPr>
                <w:rFonts w:eastAsia="TeXGyrePagella"/>
                <w:spacing w:val="-11"/>
                <w:sz w:val="22"/>
                <w:szCs w:val="22"/>
                <w:lang w:eastAsia="en-US"/>
              </w:rPr>
              <w:t xml:space="preserve"> </w:t>
            </w:r>
            <w:r w:rsidRPr="00990FB6">
              <w:rPr>
                <w:rFonts w:eastAsia="TeXGyrePagella"/>
                <w:spacing w:val="-2"/>
                <w:sz w:val="22"/>
                <w:szCs w:val="22"/>
                <w:lang w:eastAsia="en-US"/>
              </w:rPr>
              <w:t>año</w:t>
            </w:r>
            <w:r w:rsidRPr="00990FB6">
              <w:rPr>
                <w:rFonts w:eastAsia="TeXGyrePagella"/>
                <w:spacing w:val="-10"/>
                <w:sz w:val="22"/>
                <w:szCs w:val="22"/>
                <w:lang w:eastAsia="en-US"/>
              </w:rPr>
              <w:t xml:space="preserve"> </w:t>
            </w:r>
            <w:r w:rsidRPr="00990FB6">
              <w:rPr>
                <w:rFonts w:eastAsia="TeXGyrePagella"/>
                <w:spacing w:val="-2"/>
                <w:sz w:val="22"/>
                <w:szCs w:val="22"/>
                <w:lang w:eastAsia="en-US"/>
              </w:rPr>
              <w:t>2025,</w:t>
            </w:r>
            <w:r w:rsidRPr="00990FB6">
              <w:rPr>
                <w:rFonts w:eastAsia="TeXGyrePagella"/>
                <w:spacing w:val="-9"/>
                <w:sz w:val="22"/>
                <w:szCs w:val="22"/>
                <w:lang w:eastAsia="en-US"/>
              </w:rPr>
              <w:t xml:space="preserve"> </w:t>
            </w:r>
            <w:r w:rsidRPr="00990FB6">
              <w:rPr>
                <w:rFonts w:eastAsia="TeXGyrePagella"/>
                <w:spacing w:val="-2"/>
                <w:sz w:val="22"/>
                <w:szCs w:val="22"/>
                <w:lang w:eastAsia="en-US"/>
              </w:rPr>
              <w:t>al</w:t>
            </w:r>
            <w:r w:rsidRPr="00990FB6">
              <w:rPr>
                <w:rFonts w:eastAsia="TeXGyrePagella"/>
                <w:spacing w:val="-10"/>
                <w:sz w:val="22"/>
                <w:szCs w:val="22"/>
                <w:lang w:eastAsia="en-US"/>
              </w:rPr>
              <w:t xml:space="preserve"> </w:t>
            </w:r>
            <w:r w:rsidRPr="00990FB6">
              <w:rPr>
                <w:rFonts w:eastAsia="TeXGyrePagella"/>
                <w:spacing w:val="-2"/>
                <w:sz w:val="22"/>
                <w:szCs w:val="22"/>
                <w:lang w:eastAsia="en-US"/>
              </w:rPr>
              <w:t>trasladar</w:t>
            </w:r>
            <w:r w:rsidRPr="00990FB6">
              <w:rPr>
                <w:rFonts w:eastAsia="TeXGyrePagella"/>
                <w:spacing w:val="-8"/>
                <w:sz w:val="22"/>
                <w:szCs w:val="22"/>
                <w:lang w:eastAsia="en-US"/>
              </w:rPr>
              <w:t xml:space="preserve"> </w:t>
            </w:r>
            <w:r w:rsidRPr="00990FB6">
              <w:rPr>
                <w:rFonts w:eastAsia="TeXGyrePagella"/>
                <w:spacing w:val="-5"/>
                <w:sz w:val="22"/>
                <w:szCs w:val="22"/>
                <w:lang w:eastAsia="en-US"/>
              </w:rPr>
              <w:t>el</w:t>
            </w:r>
          </w:p>
        </w:tc>
      </w:tr>
    </w:tbl>
    <w:p w14:paraId="5EA1A14F" w14:textId="77777777" w:rsidR="00B15F7D" w:rsidRPr="00990FB6" w:rsidRDefault="00B15F7D" w:rsidP="00B15F7D">
      <w:pPr>
        <w:jc w:val="both"/>
        <w:rPr>
          <w:sz w:val="22"/>
          <w:szCs w:val="22"/>
        </w:rPr>
        <w:sectPr w:rsidR="00B15F7D" w:rsidRPr="00990FB6">
          <w:headerReference w:type="default" r:id="rId151"/>
          <w:pgSz w:w="12240" w:h="15840"/>
          <w:pgMar w:top="1380" w:right="620" w:bottom="280" w:left="880" w:header="130" w:footer="0" w:gutter="0"/>
          <w:cols w:space="720"/>
        </w:sect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074"/>
        <w:gridCol w:w="1896"/>
        <w:gridCol w:w="2011"/>
        <w:gridCol w:w="2544"/>
      </w:tblGrid>
      <w:tr w:rsidR="00B15F7D" w:rsidRPr="00990FB6" w14:paraId="68BE5B74" w14:textId="77777777" w:rsidTr="000A0C22">
        <w:trPr>
          <w:trHeight w:val="356"/>
        </w:trPr>
        <w:tc>
          <w:tcPr>
            <w:tcW w:w="1560" w:type="dxa"/>
          </w:tcPr>
          <w:p w14:paraId="79B63C85" w14:textId="77777777" w:rsidR="00B15F7D" w:rsidRPr="00990FB6" w:rsidRDefault="00B15F7D" w:rsidP="00B15F7D">
            <w:pPr>
              <w:widowControl w:val="0"/>
              <w:suppressAutoHyphens w:val="0"/>
              <w:autoSpaceDE w:val="0"/>
              <w:autoSpaceDN w:val="0"/>
              <w:rPr>
                <w:rFonts w:eastAsia="TeXGyrePagella"/>
                <w:sz w:val="22"/>
                <w:szCs w:val="22"/>
                <w:lang w:eastAsia="en-US"/>
              </w:rPr>
            </w:pPr>
          </w:p>
        </w:tc>
        <w:tc>
          <w:tcPr>
            <w:tcW w:w="2074" w:type="dxa"/>
          </w:tcPr>
          <w:p w14:paraId="5F3CBEF0" w14:textId="77777777" w:rsidR="00B15F7D" w:rsidRPr="00990FB6" w:rsidRDefault="00B15F7D" w:rsidP="00B15F7D">
            <w:pPr>
              <w:widowControl w:val="0"/>
              <w:suppressAutoHyphens w:val="0"/>
              <w:autoSpaceDE w:val="0"/>
              <w:autoSpaceDN w:val="0"/>
              <w:rPr>
                <w:rFonts w:eastAsia="TeXGyrePagella"/>
                <w:sz w:val="22"/>
                <w:szCs w:val="22"/>
                <w:lang w:eastAsia="en-US"/>
              </w:rPr>
            </w:pPr>
          </w:p>
        </w:tc>
        <w:tc>
          <w:tcPr>
            <w:tcW w:w="1896" w:type="dxa"/>
          </w:tcPr>
          <w:p w14:paraId="3875EA82" w14:textId="77777777" w:rsidR="00B15F7D" w:rsidRPr="00990FB6" w:rsidRDefault="00B15F7D" w:rsidP="00B15F7D">
            <w:pPr>
              <w:widowControl w:val="0"/>
              <w:suppressAutoHyphens w:val="0"/>
              <w:autoSpaceDE w:val="0"/>
              <w:autoSpaceDN w:val="0"/>
              <w:rPr>
                <w:rFonts w:eastAsia="TeXGyrePagella"/>
                <w:sz w:val="22"/>
                <w:szCs w:val="22"/>
                <w:lang w:eastAsia="en-US"/>
              </w:rPr>
            </w:pPr>
          </w:p>
        </w:tc>
        <w:tc>
          <w:tcPr>
            <w:tcW w:w="2011" w:type="dxa"/>
          </w:tcPr>
          <w:p w14:paraId="1EB25798" w14:textId="77777777" w:rsidR="00B15F7D" w:rsidRPr="00990FB6" w:rsidRDefault="00B15F7D" w:rsidP="00B15F7D">
            <w:pPr>
              <w:widowControl w:val="0"/>
              <w:suppressAutoHyphens w:val="0"/>
              <w:autoSpaceDE w:val="0"/>
              <w:autoSpaceDN w:val="0"/>
              <w:rPr>
                <w:rFonts w:eastAsia="TeXGyrePagella"/>
                <w:sz w:val="22"/>
                <w:szCs w:val="22"/>
                <w:lang w:eastAsia="en-US"/>
              </w:rPr>
            </w:pPr>
          </w:p>
        </w:tc>
        <w:tc>
          <w:tcPr>
            <w:tcW w:w="2544" w:type="dxa"/>
          </w:tcPr>
          <w:p w14:paraId="3AD717F1" w14:textId="77777777" w:rsidR="00B15F7D" w:rsidRPr="00990FB6" w:rsidRDefault="00B15F7D" w:rsidP="00B15F7D">
            <w:pPr>
              <w:widowControl w:val="0"/>
              <w:suppressAutoHyphens w:val="0"/>
              <w:autoSpaceDE w:val="0"/>
              <w:autoSpaceDN w:val="0"/>
              <w:ind w:left="70"/>
              <w:rPr>
                <w:rFonts w:eastAsia="TeXGyrePagella"/>
                <w:sz w:val="22"/>
                <w:szCs w:val="22"/>
                <w:lang w:eastAsia="en-US"/>
              </w:rPr>
            </w:pPr>
            <w:r w:rsidRPr="00990FB6">
              <w:rPr>
                <w:rFonts w:eastAsia="TeXGyrePagella"/>
                <w:sz w:val="22"/>
                <w:szCs w:val="22"/>
                <w:lang w:eastAsia="en-US"/>
              </w:rPr>
              <w:t>pago</w:t>
            </w:r>
            <w:r w:rsidRPr="00990FB6">
              <w:rPr>
                <w:rFonts w:eastAsia="TeXGyrePagella"/>
                <w:spacing w:val="-10"/>
                <w:sz w:val="22"/>
                <w:szCs w:val="22"/>
                <w:lang w:eastAsia="en-US"/>
              </w:rPr>
              <w:t xml:space="preserve"> </w:t>
            </w:r>
            <w:r w:rsidRPr="00990FB6">
              <w:rPr>
                <w:rFonts w:eastAsia="TeXGyrePagella"/>
                <w:sz w:val="22"/>
                <w:szCs w:val="22"/>
                <w:lang w:eastAsia="en-US"/>
              </w:rPr>
              <w:t>del</w:t>
            </w:r>
            <w:r w:rsidRPr="00990FB6">
              <w:rPr>
                <w:rFonts w:eastAsia="TeXGyrePagella"/>
                <w:spacing w:val="-11"/>
                <w:sz w:val="22"/>
                <w:szCs w:val="22"/>
                <w:lang w:eastAsia="en-US"/>
              </w:rPr>
              <w:t xml:space="preserve"> </w:t>
            </w:r>
            <w:r w:rsidRPr="00990FB6">
              <w:rPr>
                <w:rFonts w:eastAsia="TeXGyrePagella"/>
                <w:sz w:val="22"/>
                <w:szCs w:val="22"/>
                <w:lang w:eastAsia="en-US"/>
              </w:rPr>
              <w:t>mes</w:t>
            </w:r>
            <w:r w:rsidRPr="00990FB6">
              <w:rPr>
                <w:rFonts w:eastAsia="TeXGyrePagella"/>
                <w:spacing w:val="-9"/>
                <w:sz w:val="22"/>
                <w:szCs w:val="22"/>
                <w:lang w:eastAsia="en-US"/>
              </w:rPr>
              <w:t xml:space="preserve"> </w:t>
            </w:r>
            <w:r w:rsidRPr="00990FB6">
              <w:rPr>
                <w:rFonts w:eastAsia="TeXGyrePagella"/>
                <w:sz w:val="22"/>
                <w:szCs w:val="22"/>
                <w:lang w:eastAsia="en-US"/>
              </w:rPr>
              <w:t>de</w:t>
            </w:r>
            <w:r w:rsidRPr="00990FB6">
              <w:rPr>
                <w:rFonts w:eastAsia="TeXGyrePagella"/>
                <w:spacing w:val="-10"/>
                <w:sz w:val="22"/>
                <w:szCs w:val="22"/>
                <w:lang w:eastAsia="en-US"/>
              </w:rPr>
              <w:t xml:space="preserve"> </w:t>
            </w:r>
            <w:r w:rsidRPr="00990FB6">
              <w:rPr>
                <w:rFonts w:eastAsia="TeXGyrePagella"/>
                <w:sz w:val="22"/>
                <w:szCs w:val="22"/>
                <w:lang w:eastAsia="en-US"/>
              </w:rPr>
              <w:t>diciembre de 2024 al año siguiente.</w:t>
            </w:r>
          </w:p>
        </w:tc>
      </w:tr>
      <w:tr w:rsidR="00B15F7D" w:rsidRPr="00990FB6" w14:paraId="264FB174" w14:textId="77777777" w:rsidTr="000A0C22">
        <w:trPr>
          <w:trHeight w:val="4701"/>
        </w:trPr>
        <w:tc>
          <w:tcPr>
            <w:tcW w:w="1560" w:type="dxa"/>
          </w:tcPr>
          <w:p w14:paraId="69C7685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1FB1E2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C0E01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76199F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65D4B4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41D26B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D62874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7ED92D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027950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8D1398" w14:textId="77777777" w:rsidR="00B15F7D" w:rsidRPr="00990FB6" w:rsidRDefault="00B15F7D" w:rsidP="00B15F7D">
            <w:pPr>
              <w:widowControl w:val="0"/>
              <w:suppressAutoHyphens w:val="0"/>
              <w:autoSpaceDE w:val="0"/>
              <w:autoSpaceDN w:val="0"/>
              <w:ind w:left="244" w:right="237"/>
              <w:rPr>
                <w:rFonts w:eastAsia="TeXGyrePagella"/>
                <w:sz w:val="22"/>
                <w:szCs w:val="22"/>
                <w:lang w:eastAsia="en-US"/>
              </w:rPr>
            </w:pPr>
            <w:r w:rsidRPr="00990FB6">
              <w:rPr>
                <w:rFonts w:eastAsia="TeXGyrePagella"/>
                <w:spacing w:val="-2"/>
                <w:sz w:val="22"/>
                <w:szCs w:val="22"/>
                <w:lang w:eastAsia="en-US"/>
              </w:rPr>
              <w:t>10202</w:t>
            </w:r>
          </w:p>
        </w:tc>
        <w:tc>
          <w:tcPr>
            <w:tcW w:w="2074" w:type="dxa"/>
          </w:tcPr>
          <w:p w14:paraId="6435973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6F61EF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B10019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18E4E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6133C5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FF23E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10711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6D0417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E6C93ED" w14:textId="77777777" w:rsidR="00B15F7D" w:rsidRPr="00990FB6" w:rsidRDefault="00B15F7D" w:rsidP="00B15F7D">
            <w:pPr>
              <w:widowControl w:val="0"/>
              <w:suppressAutoHyphens w:val="0"/>
              <w:autoSpaceDE w:val="0"/>
              <w:autoSpaceDN w:val="0"/>
              <w:ind w:left="662" w:hanging="488"/>
              <w:rPr>
                <w:rFonts w:eastAsia="TeXGyrePagella"/>
                <w:sz w:val="22"/>
                <w:szCs w:val="22"/>
                <w:lang w:eastAsia="en-US"/>
              </w:rPr>
            </w:pPr>
            <w:r w:rsidRPr="00990FB6">
              <w:rPr>
                <w:rFonts w:eastAsia="TeXGyrePagella"/>
                <w:sz w:val="22"/>
                <w:szCs w:val="22"/>
                <w:lang w:eastAsia="en-US"/>
              </w:rPr>
              <w:t>Servicio</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 xml:space="preserve">energía </w:t>
            </w:r>
            <w:r w:rsidRPr="00990FB6">
              <w:rPr>
                <w:rFonts w:eastAsia="TeXGyrePagella"/>
                <w:spacing w:val="-2"/>
                <w:sz w:val="22"/>
                <w:szCs w:val="22"/>
                <w:lang w:eastAsia="en-US"/>
              </w:rPr>
              <w:t>eléctrica</w:t>
            </w:r>
          </w:p>
        </w:tc>
        <w:tc>
          <w:tcPr>
            <w:tcW w:w="1896" w:type="dxa"/>
          </w:tcPr>
          <w:p w14:paraId="6673C42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23A3E2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F6F3A6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20724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CCC53F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5BD626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D75BE9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1CD21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1B56BA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7F03D62" w14:textId="77777777" w:rsidR="00B15F7D" w:rsidRPr="00990FB6" w:rsidRDefault="00B15F7D" w:rsidP="00B15F7D">
            <w:pPr>
              <w:widowControl w:val="0"/>
              <w:suppressAutoHyphens w:val="0"/>
              <w:autoSpaceDE w:val="0"/>
              <w:autoSpaceDN w:val="0"/>
              <w:ind w:left="170" w:right="165"/>
              <w:rPr>
                <w:rFonts w:eastAsia="TeXGyrePagella"/>
                <w:sz w:val="22"/>
                <w:szCs w:val="22"/>
                <w:lang w:eastAsia="en-US"/>
              </w:rPr>
            </w:pPr>
            <w:r w:rsidRPr="00990FB6">
              <w:rPr>
                <w:rFonts w:eastAsia="TeXGyrePagella"/>
                <w:spacing w:val="-4"/>
                <w:sz w:val="22"/>
                <w:szCs w:val="22"/>
                <w:lang w:eastAsia="en-US"/>
              </w:rPr>
              <w:t>2181</w:t>
            </w:r>
          </w:p>
        </w:tc>
        <w:tc>
          <w:tcPr>
            <w:tcW w:w="2011" w:type="dxa"/>
          </w:tcPr>
          <w:p w14:paraId="566FD6A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B89CC6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739D8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E6F258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8FF6B9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9CF0E2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75F55B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F6771D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E873FB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5A32312" w14:textId="77777777" w:rsidR="00B15F7D" w:rsidRPr="00990FB6" w:rsidRDefault="00B15F7D" w:rsidP="00B15F7D">
            <w:pPr>
              <w:widowControl w:val="0"/>
              <w:suppressAutoHyphens w:val="0"/>
              <w:autoSpaceDE w:val="0"/>
              <w:autoSpaceDN w:val="0"/>
              <w:ind w:left="133" w:right="128"/>
              <w:rPr>
                <w:rFonts w:eastAsia="TeXGyrePagella"/>
                <w:sz w:val="22"/>
                <w:szCs w:val="22"/>
                <w:lang w:eastAsia="en-US"/>
              </w:rPr>
            </w:pPr>
            <w:r w:rsidRPr="00990FB6">
              <w:rPr>
                <w:rFonts w:eastAsia="TeXGyrePagella"/>
                <w:sz w:val="22"/>
                <w:szCs w:val="22"/>
                <w:lang w:eastAsia="en-US"/>
              </w:rPr>
              <w:t>₡53</w:t>
            </w:r>
            <w:r w:rsidRPr="00990FB6">
              <w:rPr>
                <w:rFonts w:eastAsia="TeXGyrePagella"/>
                <w:spacing w:val="-9"/>
                <w:sz w:val="22"/>
                <w:szCs w:val="22"/>
                <w:lang w:eastAsia="en-US"/>
              </w:rPr>
              <w:t xml:space="preserve"> </w:t>
            </w:r>
            <w:r w:rsidRPr="00990FB6">
              <w:rPr>
                <w:rFonts w:eastAsia="TeXGyrePagella"/>
                <w:sz w:val="22"/>
                <w:szCs w:val="22"/>
                <w:lang w:eastAsia="en-US"/>
              </w:rPr>
              <w:t>648</w:t>
            </w:r>
            <w:r w:rsidRPr="00990FB6">
              <w:rPr>
                <w:rFonts w:eastAsia="TeXGyrePagella"/>
                <w:spacing w:val="-4"/>
                <w:sz w:val="22"/>
                <w:szCs w:val="22"/>
                <w:lang w:eastAsia="en-US"/>
              </w:rPr>
              <w:t xml:space="preserve"> </w:t>
            </w:r>
            <w:r w:rsidRPr="00990FB6">
              <w:rPr>
                <w:rFonts w:eastAsia="TeXGyrePagella"/>
                <w:spacing w:val="-2"/>
                <w:sz w:val="22"/>
                <w:szCs w:val="22"/>
                <w:lang w:eastAsia="en-US"/>
              </w:rPr>
              <w:t>600,40</w:t>
            </w:r>
          </w:p>
        </w:tc>
        <w:tc>
          <w:tcPr>
            <w:tcW w:w="2544" w:type="dxa"/>
          </w:tcPr>
          <w:p w14:paraId="4E85451A" w14:textId="77777777" w:rsidR="00B15F7D" w:rsidRPr="00990FB6" w:rsidRDefault="00B15F7D" w:rsidP="00B15F7D">
            <w:pPr>
              <w:widowControl w:val="0"/>
              <w:tabs>
                <w:tab w:val="left" w:pos="2074"/>
              </w:tabs>
              <w:suppressAutoHyphens w:val="0"/>
              <w:autoSpaceDE w:val="0"/>
              <w:autoSpaceDN w:val="0"/>
              <w:ind w:left="70" w:right="59"/>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5"/>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hacerle frente a esta obligación el pago de Servicios Públicos.</w:t>
            </w:r>
          </w:p>
          <w:p w14:paraId="69B8CEEF"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71E79484" w14:textId="77777777" w:rsidR="00B15F7D" w:rsidRPr="00990FB6" w:rsidRDefault="00B15F7D" w:rsidP="00B15F7D">
            <w:pPr>
              <w:widowControl w:val="0"/>
              <w:suppressAutoHyphens w:val="0"/>
              <w:autoSpaceDE w:val="0"/>
              <w:autoSpaceDN w:val="0"/>
              <w:ind w:left="70" w:right="59"/>
              <w:jc w:val="both"/>
              <w:rPr>
                <w:rFonts w:eastAsia="TeXGyrePagella"/>
                <w:sz w:val="22"/>
                <w:szCs w:val="22"/>
                <w:lang w:eastAsia="en-US"/>
              </w:rPr>
            </w:pPr>
            <w:r w:rsidRPr="00990FB6">
              <w:rPr>
                <w:rFonts w:eastAsia="TeXGyrePagella"/>
                <w:sz w:val="22"/>
                <w:szCs w:val="22"/>
                <w:lang w:eastAsia="en-US"/>
              </w:rPr>
              <w:t xml:space="preserve">Implica una mala práctica en la formulación presupuestaria y un impacto en el presupuesto </w:t>
            </w:r>
            <w:r w:rsidRPr="00990FB6">
              <w:rPr>
                <w:rFonts w:eastAsia="TeXGyrePagella"/>
                <w:spacing w:val="-2"/>
                <w:sz w:val="22"/>
                <w:szCs w:val="22"/>
                <w:lang w:eastAsia="en-US"/>
              </w:rPr>
              <w:t>del</w:t>
            </w:r>
            <w:r w:rsidRPr="00990FB6">
              <w:rPr>
                <w:rFonts w:eastAsia="TeXGyrePagella"/>
                <w:spacing w:val="-11"/>
                <w:sz w:val="22"/>
                <w:szCs w:val="22"/>
                <w:lang w:eastAsia="en-US"/>
              </w:rPr>
              <w:t xml:space="preserve"> </w:t>
            </w:r>
            <w:r w:rsidRPr="00990FB6">
              <w:rPr>
                <w:rFonts w:eastAsia="TeXGyrePagella"/>
                <w:spacing w:val="-2"/>
                <w:sz w:val="22"/>
                <w:szCs w:val="22"/>
                <w:lang w:eastAsia="en-US"/>
              </w:rPr>
              <w:t>año</w:t>
            </w:r>
            <w:r w:rsidRPr="00990FB6">
              <w:rPr>
                <w:rFonts w:eastAsia="TeXGyrePagella"/>
                <w:spacing w:val="-10"/>
                <w:sz w:val="22"/>
                <w:szCs w:val="22"/>
                <w:lang w:eastAsia="en-US"/>
              </w:rPr>
              <w:t xml:space="preserve"> </w:t>
            </w:r>
            <w:r w:rsidRPr="00990FB6">
              <w:rPr>
                <w:rFonts w:eastAsia="TeXGyrePagella"/>
                <w:spacing w:val="-2"/>
                <w:sz w:val="22"/>
                <w:szCs w:val="22"/>
                <w:lang w:eastAsia="en-US"/>
              </w:rPr>
              <w:t>2025,</w:t>
            </w:r>
            <w:r w:rsidRPr="00990FB6">
              <w:rPr>
                <w:rFonts w:eastAsia="TeXGyrePagella"/>
                <w:spacing w:val="-9"/>
                <w:sz w:val="22"/>
                <w:szCs w:val="22"/>
                <w:lang w:eastAsia="en-US"/>
              </w:rPr>
              <w:t xml:space="preserve"> </w:t>
            </w:r>
            <w:r w:rsidRPr="00990FB6">
              <w:rPr>
                <w:rFonts w:eastAsia="TeXGyrePagella"/>
                <w:spacing w:val="-2"/>
                <w:sz w:val="22"/>
                <w:szCs w:val="22"/>
                <w:lang w:eastAsia="en-US"/>
              </w:rPr>
              <w:t>al</w:t>
            </w:r>
            <w:r w:rsidRPr="00990FB6">
              <w:rPr>
                <w:rFonts w:eastAsia="TeXGyrePagella"/>
                <w:spacing w:val="-10"/>
                <w:sz w:val="22"/>
                <w:szCs w:val="22"/>
                <w:lang w:eastAsia="en-US"/>
              </w:rPr>
              <w:t xml:space="preserve"> </w:t>
            </w:r>
            <w:r w:rsidRPr="00990FB6">
              <w:rPr>
                <w:rFonts w:eastAsia="TeXGyrePagella"/>
                <w:spacing w:val="-2"/>
                <w:sz w:val="22"/>
                <w:szCs w:val="22"/>
                <w:lang w:eastAsia="en-US"/>
              </w:rPr>
              <w:t>trasladar</w:t>
            </w:r>
            <w:r w:rsidRPr="00990FB6">
              <w:rPr>
                <w:rFonts w:eastAsia="TeXGyrePagella"/>
                <w:spacing w:val="-8"/>
                <w:sz w:val="22"/>
                <w:szCs w:val="22"/>
                <w:lang w:eastAsia="en-US"/>
              </w:rPr>
              <w:t xml:space="preserve"> </w:t>
            </w:r>
            <w:r w:rsidRPr="00990FB6">
              <w:rPr>
                <w:rFonts w:eastAsia="TeXGyrePagella"/>
                <w:spacing w:val="-5"/>
                <w:sz w:val="22"/>
                <w:szCs w:val="22"/>
                <w:lang w:eastAsia="en-US"/>
              </w:rPr>
              <w:t>el</w:t>
            </w:r>
          </w:p>
          <w:p w14:paraId="5C398928" w14:textId="77777777" w:rsidR="00B15F7D" w:rsidRPr="00990FB6" w:rsidRDefault="00B15F7D" w:rsidP="00B15F7D">
            <w:pPr>
              <w:widowControl w:val="0"/>
              <w:suppressAutoHyphens w:val="0"/>
              <w:autoSpaceDE w:val="0"/>
              <w:autoSpaceDN w:val="0"/>
              <w:ind w:left="70" w:right="61"/>
              <w:jc w:val="both"/>
              <w:rPr>
                <w:rFonts w:eastAsia="TeXGyrePagella"/>
                <w:sz w:val="22"/>
                <w:szCs w:val="22"/>
                <w:lang w:eastAsia="en-US"/>
              </w:rPr>
            </w:pPr>
            <w:r w:rsidRPr="00990FB6">
              <w:rPr>
                <w:rFonts w:eastAsia="TeXGyrePagella"/>
                <w:sz w:val="22"/>
                <w:szCs w:val="22"/>
                <w:lang w:eastAsia="en-US"/>
              </w:rPr>
              <w:t>pago</w:t>
            </w:r>
            <w:r w:rsidRPr="00990FB6">
              <w:rPr>
                <w:rFonts w:eastAsia="TeXGyrePagella"/>
                <w:spacing w:val="-10"/>
                <w:sz w:val="22"/>
                <w:szCs w:val="22"/>
                <w:lang w:eastAsia="en-US"/>
              </w:rPr>
              <w:t xml:space="preserve"> </w:t>
            </w:r>
            <w:r w:rsidRPr="00990FB6">
              <w:rPr>
                <w:rFonts w:eastAsia="TeXGyrePagella"/>
                <w:sz w:val="22"/>
                <w:szCs w:val="22"/>
                <w:lang w:eastAsia="en-US"/>
              </w:rPr>
              <w:t>del</w:t>
            </w:r>
            <w:r w:rsidRPr="00990FB6">
              <w:rPr>
                <w:rFonts w:eastAsia="TeXGyrePagella"/>
                <w:spacing w:val="-11"/>
                <w:sz w:val="22"/>
                <w:szCs w:val="22"/>
                <w:lang w:eastAsia="en-US"/>
              </w:rPr>
              <w:t xml:space="preserve"> </w:t>
            </w:r>
            <w:r w:rsidRPr="00990FB6">
              <w:rPr>
                <w:rFonts w:eastAsia="TeXGyrePagella"/>
                <w:sz w:val="22"/>
                <w:szCs w:val="22"/>
                <w:lang w:eastAsia="en-US"/>
              </w:rPr>
              <w:t>mes</w:t>
            </w:r>
            <w:r w:rsidRPr="00990FB6">
              <w:rPr>
                <w:rFonts w:eastAsia="TeXGyrePagella"/>
                <w:spacing w:val="-9"/>
                <w:sz w:val="22"/>
                <w:szCs w:val="22"/>
                <w:lang w:eastAsia="en-US"/>
              </w:rPr>
              <w:t xml:space="preserve"> </w:t>
            </w:r>
            <w:r w:rsidRPr="00990FB6">
              <w:rPr>
                <w:rFonts w:eastAsia="TeXGyrePagella"/>
                <w:sz w:val="22"/>
                <w:szCs w:val="22"/>
                <w:lang w:eastAsia="en-US"/>
              </w:rPr>
              <w:t>de</w:t>
            </w:r>
            <w:r w:rsidRPr="00990FB6">
              <w:rPr>
                <w:rFonts w:eastAsia="TeXGyrePagella"/>
                <w:spacing w:val="-10"/>
                <w:sz w:val="22"/>
                <w:szCs w:val="22"/>
                <w:lang w:eastAsia="en-US"/>
              </w:rPr>
              <w:t xml:space="preserve"> </w:t>
            </w:r>
            <w:r w:rsidRPr="00990FB6">
              <w:rPr>
                <w:rFonts w:eastAsia="TeXGyrePagella"/>
                <w:sz w:val="22"/>
                <w:szCs w:val="22"/>
                <w:lang w:eastAsia="en-US"/>
              </w:rPr>
              <w:t>diciembre de 2024 al año siguiente.</w:t>
            </w:r>
          </w:p>
        </w:tc>
      </w:tr>
      <w:tr w:rsidR="00B15F7D" w:rsidRPr="00990FB6" w14:paraId="4A5AE5BE" w14:textId="77777777" w:rsidTr="000A0C22">
        <w:trPr>
          <w:trHeight w:val="4828"/>
        </w:trPr>
        <w:tc>
          <w:tcPr>
            <w:tcW w:w="1560" w:type="dxa"/>
          </w:tcPr>
          <w:p w14:paraId="5A57748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81E1A2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5DE7CC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366792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D4274E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8ABFE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AF16E9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B2C76F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3DDA37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8D5319A" w14:textId="77777777" w:rsidR="00B15F7D" w:rsidRPr="00990FB6" w:rsidRDefault="00B15F7D" w:rsidP="00B15F7D">
            <w:pPr>
              <w:widowControl w:val="0"/>
              <w:suppressAutoHyphens w:val="0"/>
              <w:autoSpaceDE w:val="0"/>
              <w:autoSpaceDN w:val="0"/>
              <w:ind w:left="244" w:right="237"/>
              <w:rPr>
                <w:rFonts w:eastAsia="TeXGyrePagella"/>
                <w:sz w:val="22"/>
                <w:szCs w:val="22"/>
                <w:lang w:eastAsia="en-US"/>
              </w:rPr>
            </w:pPr>
            <w:r w:rsidRPr="00990FB6">
              <w:rPr>
                <w:rFonts w:eastAsia="TeXGyrePagella"/>
                <w:spacing w:val="-2"/>
                <w:sz w:val="22"/>
                <w:szCs w:val="22"/>
                <w:lang w:eastAsia="en-US"/>
              </w:rPr>
              <w:t>10204</w:t>
            </w:r>
          </w:p>
        </w:tc>
        <w:tc>
          <w:tcPr>
            <w:tcW w:w="2074" w:type="dxa"/>
          </w:tcPr>
          <w:p w14:paraId="75DC8FD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9876CC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B65966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348453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694074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7E70BE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5C054B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E7FBCD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57D3AD6" w14:textId="77777777" w:rsidR="00B15F7D" w:rsidRPr="00990FB6" w:rsidRDefault="00B15F7D" w:rsidP="00B15F7D">
            <w:pPr>
              <w:widowControl w:val="0"/>
              <w:suppressAutoHyphens w:val="0"/>
              <w:autoSpaceDE w:val="0"/>
              <w:autoSpaceDN w:val="0"/>
              <w:ind w:left="155" w:firstLine="386"/>
              <w:rPr>
                <w:rFonts w:eastAsia="TeXGyrePagella"/>
                <w:sz w:val="22"/>
                <w:szCs w:val="22"/>
                <w:lang w:eastAsia="en-US"/>
              </w:rPr>
            </w:pPr>
            <w:r w:rsidRPr="00990FB6">
              <w:rPr>
                <w:rFonts w:eastAsia="TeXGyrePagella"/>
                <w:sz w:val="22"/>
                <w:szCs w:val="22"/>
                <w:lang w:eastAsia="en-US"/>
              </w:rPr>
              <w:t xml:space="preserve">Servicio de </w:t>
            </w:r>
            <w:r w:rsidRPr="00990FB6">
              <w:rPr>
                <w:rFonts w:eastAsia="TeXGyrePagella"/>
                <w:spacing w:val="-2"/>
                <w:sz w:val="22"/>
                <w:szCs w:val="22"/>
                <w:lang w:eastAsia="en-US"/>
              </w:rPr>
              <w:t>telecomunicaciones</w:t>
            </w:r>
          </w:p>
        </w:tc>
        <w:tc>
          <w:tcPr>
            <w:tcW w:w="1896" w:type="dxa"/>
          </w:tcPr>
          <w:p w14:paraId="3046E16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A423F6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8820F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365CB4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333F59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B61DF2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4B9A1B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07DFA8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C01732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EAB4BAC" w14:textId="77777777" w:rsidR="00B15F7D" w:rsidRPr="00990FB6" w:rsidRDefault="00B15F7D" w:rsidP="00B15F7D">
            <w:pPr>
              <w:widowControl w:val="0"/>
              <w:suppressAutoHyphens w:val="0"/>
              <w:autoSpaceDE w:val="0"/>
              <w:autoSpaceDN w:val="0"/>
              <w:ind w:left="170" w:right="165"/>
              <w:rPr>
                <w:rFonts w:eastAsia="TeXGyrePagella"/>
                <w:sz w:val="22"/>
                <w:szCs w:val="22"/>
                <w:lang w:eastAsia="en-US"/>
              </w:rPr>
            </w:pPr>
            <w:r w:rsidRPr="00990FB6">
              <w:rPr>
                <w:rFonts w:eastAsia="TeXGyrePagella"/>
                <w:spacing w:val="-4"/>
                <w:sz w:val="22"/>
                <w:szCs w:val="22"/>
                <w:lang w:eastAsia="en-US"/>
              </w:rPr>
              <w:t>3163</w:t>
            </w:r>
          </w:p>
        </w:tc>
        <w:tc>
          <w:tcPr>
            <w:tcW w:w="2011" w:type="dxa"/>
          </w:tcPr>
          <w:p w14:paraId="0C8301A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8E2C9A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F5F7DD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D6B56F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F4A5A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984335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FB350F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D373B2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E50BF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0085FE3" w14:textId="77777777" w:rsidR="00B15F7D" w:rsidRPr="00990FB6" w:rsidRDefault="00B15F7D" w:rsidP="00B15F7D">
            <w:pPr>
              <w:widowControl w:val="0"/>
              <w:suppressAutoHyphens w:val="0"/>
              <w:autoSpaceDE w:val="0"/>
              <w:autoSpaceDN w:val="0"/>
              <w:ind w:left="133" w:right="128"/>
              <w:rPr>
                <w:rFonts w:eastAsia="TeXGyrePagella"/>
                <w:sz w:val="22"/>
                <w:szCs w:val="22"/>
                <w:lang w:eastAsia="en-US"/>
              </w:rPr>
            </w:pPr>
            <w:r w:rsidRPr="00990FB6">
              <w:rPr>
                <w:rFonts w:eastAsia="TeXGyrePagella"/>
                <w:sz w:val="22"/>
                <w:szCs w:val="22"/>
                <w:lang w:eastAsia="en-US"/>
              </w:rPr>
              <w:t>₡80</w:t>
            </w:r>
            <w:r w:rsidRPr="00990FB6">
              <w:rPr>
                <w:rFonts w:eastAsia="TeXGyrePagella"/>
                <w:spacing w:val="-9"/>
                <w:sz w:val="22"/>
                <w:szCs w:val="22"/>
                <w:lang w:eastAsia="en-US"/>
              </w:rPr>
              <w:t xml:space="preserve"> </w:t>
            </w:r>
            <w:r w:rsidRPr="00990FB6">
              <w:rPr>
                <w:rFonts w:eastAsia="TeXGyrePagella"/>
                <w:sz w:val="22"/>
                <w:szCs w:val="22"/>
                <w:lang w:eastAsia="en-US"/>
              </w:rPr>
              <w:t>243</w:t>
            </w:r>
            <w:r w:rsidRPr="00990FB6">
              <w:rPr>
                <w:rFonts w:eastAsia="TeXGyrePagella"/>
                <w:spacing w:val="-4"/>
                <w:sz w:val="22"/>
                <w:szCs w:val="22"/>
                <w:lang w:eastAsia="en-US"/>
              </w:rPr>
              <w:t xml:space="preserve"> </w:t>
            </w:r>
            <w:r w:rsidRPr="00990FB6">
              <w:rPr>
                <w:rFonts w:eastAsia="TeXGyrePagella"/>
                <w:spacing w:val="-2"/>
                <w:sz w:val="22"/>
                <w:szCs w:val="22"/>
                <w:lang w:eastAsia="en-US"/>
              </w:rPr>
              <w:t>821,89</w:t>
            </w:r>
          </w:p>
        </w:tc>
        <w:tc>
          <w:tcPr>
            <w:tcW w:w="2544" w:type="dxa"/>
          </w:tcPr>
          <w:p w14:paraId="6C5375E8" w14:textId="77777777" w:rsidR="00B15F7D" w:rsidRPr="00990FB6" w:rsidRDefault="00B15F7D" w:rsidP="00B15F7D">
            <w:pPr>
              <w:widowControl w:val="0"/>
              <w:tabs>
                <w:tab w:val="left" w:pos="2073"/>
              </w:tabs>
              <w:suppressAutoHyphens w:val="0"/>
              <w:autoSpaceDE w:val="0"/>
              <w:autoSpaceDN w:val="0"/>
              <w:ind w:left="70" w:right="58"/>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3"/>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4"/>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hacerle frente a esta obligación el pago de Servicios Públicos.</w:t>
            </w:r>
          </w:p>
          <w:p w14:paraId="58DF3B71"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06F84921" w14:textId="77777777" w:rsidR="00B15F7D" w:rsidRPr="00990FB6" w:rsidRDefault="00B15F7D" w:rsidP="00B15F7D">
            <w:pPr>
              <w:widowControl w:val="0"/>
              <w:suppressAutoHyphens w:val="0"/>
              <w:autoSpaceDE w:val="0"/>
              <w:autoSpaceDN w:val="0"/>
              <w:ind w:left="70" w:right="59"/>
              <w:jc w:val="both"/>
              <w:rPr>
                <w:rFonts w:eastAsia="TeXGyrePagella"/>
                <w:sz w:val="22"/>
                <w:szCs w:val="22"/>
                <w:lang w:eastAsia="en-US"/>
              </w:rPr>
            </w:pPr>
            <w:r w:rsidRPr="00990FB6">
              <w:rPr>
                <w:rFonts w:eastAsia="TeXGyrePagella"/>
                <w:sz w:val="22"/>
                <w:szCs w:val="22"/>
                <w:lang w:eastAsia="en-US"/>
              </w:rPr>
              <w:t xml:space="preserve">Implica una mala práctica en la formulación presupuestaria y un impacto en el presupuesto </w:t>
            </w:r>
            <w:r w:rsidRPr="00990FB6">
              <w:rPr>
                <w:rFonts w:eastAsia="TeXGyrePagella"/>
                <w:spacing w:val="-2"/>
                <w:sz w:val="22"/>
                <w:szCs w:val="22"/>
                <w:lang w:eastAsia="en-US"/>
              </w:rPr>
              <w:t>del</w:t>
            </w:r>
            <w:r w:rsidRPr="00990FB6">
              <w:rPr>
                <w:rFonts w:eastAsia="TeXGyrePagella"/>
                <w:spacing w:val="-12"/>
                <w:sz w:val="22"/>
                <w:szCs w:val="22"/>
                <w:lang w:eastAsia="en-US"/>
              </w:rPr>
              <w:t xml:space="preserve"> </w:t>
            </w:r>
            <w:r w:rsidRPr="00990FB6">
              <w:rPr>
                <w:rFonts w:eastAsia="TeXGyrePagella"/>
                <w:spacing w:val="-2"/>
                <w:sz w:val="22"/>
                <w:szCs w:val="22"/>
                <w:lang w:eastAsia="en-US"/>
              </w:rPr>
              <w:t>año</w:t>
            </w:r>
            <w:r w:rsidRPr="00990FB6">
              <w:rPr>
                <w:rFonts w:eastAsia="TeXGyrePagella"/>
                <w:spacing w:val="-12"/>
                <w:sz w:val="22"/>
                <w:szCs w:val="22"/>
                <w:lang w:eastAsia="en-US"/>
              </w:rPr>
              <w:t xml:space="preserve"> </w:t>
            </w:r>
            <w:r w:rsidRPr="00990FB6">
              <w:rPr>
                <w:rFonts w:eastAsia="TeXGyrePagella"/>
                <w:spacing w:val="-2"/>
                <w:sz w:val="22"/>
                <w:szCs w:val="22"/>
                <w:lang w:eastAsia="en-US"/>
              </w:rPr>
              <w:t>2025,</w:t>
            </w:r>
            <w:r w:rsidRPr="00990FB6">
              <w:rPr>
                <w:rFonts w:eastAsia="TeXGyrePagella"/>
                <w:spacing w:val="-11"/>
                <w:sz w:val="22"/>
                <w:szCs w:val="22"/>
                <w:lang w:eastAsia="en-US"/>
              </w:rPr>
              <w:t xml:space="preserve"> </w:t>
            </w:r>
            <w:r w:rsidRPr="00990FB6">
              <w:rPr>
                <w:rFonts w:eastAsia="TeXGyrePagella"/>
                <w:spacing w:val="-2"/>
                <w:sz w:val="22"/>
                <w:szCs w:val="22"/>
                <w:lang w:eastAsia="en-US"/>
              </w:rPr>
              <w:t>al</w:t>
            </w:r>
            <w:r w:rsidRPr="00990FB6">
              <w:rPr>
                <w:rFonts w:eastAsia="TeXGyrePagella"/>
                <w:spacing w:val="-12"/>
                <w:sz w:val="22"/>
                <w:szCs w:val="22"/>
                <w:lang w:eastAsia="en-US"/>
              </w:rPr>
              <w:t xml:space="preserve"> </w:t>
            </w:r>
            <w:r w:rsidRPr="00990FB6">
              <w:rPr>
                <w:rFonts w:eastAsia="TeXGyrePagella"/>
                <w:spacing w:val="-2"/>
                <w:sz w:val="22"/>
                <w:szCs w:val="22"/>
                <w:lang w:eastAsia="en-US"/>
              </w:rPr>
              <w:t>trasladar</w:t>
            </w:r>
            <w:r w:rsidRPr="00990FB6">
              <w:rPr>
                <w:rFonts w:eastAsia="TeXGyrePagella"/>
                <w:spacing w:val="-10"/>
                <w:sz w:val="22"/>
                <w:szCs w:val="22"/>
                <w:lang w:eastAsia="en-US"/>
              </w:rPr>
              <w:t xml:space="preserve"> </w:t>
            </w:r>
            <w:r w:rsidRPr="00990FB6">
              <w:rPr>
                <w:rFonts w:eastAsia="TeXGyrePagella"/>
                <w:spacing w:val="-2"/>
                <w:sz w:val="22"/>
                <w:szCs w:val="22"/>
                <w:lang w:eastAsia="en-US"/>
              </w:rPr>
              <w:t xml:space="preserve">el </w:t>
            </w:r>
            <w:r w:rsidRPr="00990FB6">
              <w:rPr>
                <w:rFonts w:eastAsia="TeXGyrePagella"/>
                <w:sz w:val="22"/>
                <w:szCs w:val="22"/>
                <w:lang w:eastAsia="en-US"/>
              </w:rPr>
              <w:t>pago</w:t>
            </w:r>
            <w:r w:rsidRPr="00990FB6">
              <w:rPr>
                <w:rFonts w:eastAsia="TeXGyrePagella"/>
                <w:spacing w:val="-4"/>
                <w:sz w:val="22"/>
                <w:szCs w:val="22"/>
                <w:lang w:eastAsia="en-US"/>
              </w:rPr>
              <w:t xml:space="preserve"> </w:t>
            </w:r>
            <w:r w:rsidRPr="00990FB6">
              <w:rPr>
                <w:rFonts w:eastAsia="TeXGyrePagella"/>
                <w:sz w:val="22"/>
                <w:szCs w:val="22"/>
                <w:lang w:eastAsia="en-US"/>
              </w:rPr>
              <w:t>del</w:t>
            </w:r>
            <w:r w:rsidRPr="00990FB6">
              <w:rPr>
                <w:rFonts w:eastAsia="TeXGyrePagella"/>
                <w:spacing w:val="-4"/>
                <w:sz w:val="22"/>
                <w:szCs w:val="22"/>
                <w:lang w:eastAsia="en-US"/>
              </w:rPr>
              <w:t xml:space="preserve"> </w:t>
            </w:r>
            <w:r w:rsidRPr="00990FB6">
              <w:rPr>
                <w:rFonts w:eastAsia="TeXGyrePagella"/>
                <w:sz w:val="22"/>
                <w:szCs w:val="22"/>
                <w:lang w:eastAsia="en-US"/>
              </w:rPr>
              <w:t>mes</w:t>
            </w:r>
            <w:r w:rsidRPr="00990FB6">
              <w:rPr>
                <w:rFonts w:eastAsia="TeXGyrePagella"/>
                <w:spacing w:val="-2"/>
                <w:sz w:val="22"/>
                <w:szCs w:val="22"/>
                <w:lang w:eastAsia="en-US"/>
              </w:rPr>
              <w:t xml:space="preserve"> </w:t>
            </w:r>
            <w:r w:rsidRPr="00990FB6">
              <w:rPr>
                <w:rFonts w:eastAsia="TeXGyrePagella"/>
                <w:sz w:val="22"/>
                <w:szCs w:val="22"/>
                <w:lang w:eastAsia="en-US"/>
              </w:rPr>
              <w:t>de</w:t>
            </w:r>
            <w:r w:rsidRPr="00990FB6">
              <w:rPr>
                <w:rFonts w:eastAsia="TeXGyrePagella"/>
                <w:spacing w:val="-4"/>
                <w:sz w:val="22"/>
                <w:szCs w:val="22"/>
                <w:lang w:eastAsia="en-US"/>
              </w:rPr>
              <w:t xml:space="preserve"> </w:t>
            </w:r>
            <w:r w:rsidRPr="00990FB6">
              <w:rPr>
                <w:rFonts w:eastAsia="TeXGyrePagella"/>
                <w:spacing w:val="-2"/>
                <w:sz w:val="22"/>
                <w:szCs w:val="22"/>
                <w:lang w:eastAsia="en-US"/>
              </w:rPr>
              <w:t>diciembre</w:t>
            </w:r>
          </w:p>
          <w:p w14:paraId="7E1A19C0" w14:textId="77777777" w:rsidR="00B15F7D" w:rsidRPr="00990FB6" w:rsidRDefault="00B15F7D" w:rsidP="00B15F7D">
            <w:pPr>
              <w:widowControl w:val="0"/>
              <w:suppressAutoHyphens w:val="0"/>
              <w:autoSpaceDE w:val="0"/>
              <w:autoSpaceDN w:val="0"/>
              <w:ind w:left="70"/>
              <w:jc w:val="both"/>
              <w:rPr>
                <w:rFonts w:eastAsia="TeXGyrePagella"/>
                <w:sz w:val="22"/>
                <w:szCs w:val="22"/>
                <w:lang w:eastAsia="en-US"/>
              </w:rPr>
            </w:pPr>
            <w:r w:rsidRPr="00990FB6">
              <w:rPr>
                <w:rFonts w:eastAsia="TeXGyrePagella"/>
                <w:sz w:val="22"/>
                <w:szCs w:val="22"/>
                <w:lang w:eastAsia="en-US"/>
              </w:rPr>
              <w:lastRenderedPageBreak/>
              <w:t>de</w:t>
            </w:r>
            <w:r w:rsidRPr="00990FB6">
              <w:rPr>
                <w:rFonts w:eastAsia="TeXGyrePagella"/>
                <w:spacing w:val="-6"/>
                <w:sz w:val="22"/>
                <w:szCs w:val="22"/>
                <w:lang w:eastAsia="en-US"/>
              </w:rPr>
              <w:t xml:space="preserve"> </w:t>
            </w:r>
            <w:r w:rsidRPr="00990FB6">
              <w:rPr>
                <w:rFonts w:eastAsia="TeXGyrePagella"/>
                <w:sz w:val="22"/>
                <w:szCs w:val="22"/>
                <w:lang w:eastAsia="en-US"/>
              </w:rPr>
              <w:t>2024</w:t>
            </w:r>
            <w:r w:rsidRPr="00990FB6">
              <w:rPr>
                <w:rFonts w:eastAsia="TeXGyrePagella"/>
                <w:spacing w:val="-3"/>
                <w:sz w:val="22"/>
                <w:szCs w:val="22"/>
                <w:lang w:eastAsia="en-US"/>
              </w:rPr>
              <w:t xml:space="preserve"> </w:t>
            </w:r>
            <w:r w:rsidRPr="00990FB6">
              <w:rPr>
                <w:rFonts w:eastAsia="TeXGyrePagella"/>
                <w:sz w:val="22"/>
                <w:szCs w:val="22"/>
                <w:lang w:eastAsia="en-US"/>
              </w:rPr>
              <w:t>al</w:t>
            </w:r>
            <w:r w:rsidRPr="00990FB6">
              <w:rPr>
                <w:rFonts w:eastAsia="TeXGyrePagella"/>
                <w:spacing w:val="-4"/>
                <w:sz w:val="22"/>
                <w:szCs w:val="22"/>
                <w:lang w:eastAsia="en-US"/>
              </w:rPr>
              <w:t xml:space="preserve"> </w:t>
            </w:r>
            <w:r w:rsidRPr="00990FB6">
              <w:rPr>
                <w:rFonts w:eastAsia="TeXGyrePagella"/>
                <w:sz w:val="22"/>
                <w:szCs w:val="22"/>
                <w:lang w:eastAsia="en-US"/>
              </w:rPr>
              <w:t>año</w:t>
            </w:r>
            <w:r w:rsidRPr="00990FB6">
              <w:rPr>
                <w:rFonts w:eastAsia="TeXGyrePagella"/>
                <w:spacing w:val="-3"/>
                <w:sz w:val="22"/>
                <w:szCs w:val="22"/>
                <w:lang w:eastAsia="en-US"/>
              </w:rPr>
              <w:t xml:space="preserve"> </w:t>
            </w:r>
            <w:r w:rsidRPr="00990FB6">
              <w:rPr>
                <w:rFonts w:eastAsia="TeXGyrePagella"/>
                <w:spacing w:val="-2"/>
                <w:sz w:val="22"/>
                <w:szCs w:val="22"/>
                <w:lang w:eastAsia="en-US"/>
              </w:rPr>
              <w:t>siguiente.</w:t>
            </w:r>
          </w:p>
        </w:tc>
      </w:tr>
    </w:tbl>
    <w:p w14:paraId="1C2C81C4" w14:textId="77777777" w:rsidR="00B15F7D" w:rsidRPr="00990FB6" w:rsidRDefault="00B15F7D" w:rsidP="00B15F7D">
      <w:pPr>
        <w:jc w:val="both"/>
        <w:rPr>
          <w:sz w:val="22"/>
          <w:szCs w:val="22"/>
        </w:rPr>
        <w:sectPr w:rsidR="00B15F7D" w:rsidRPr="00990FB6">
          <w:pgSz w:w="12240" w:h="15840"/>
          <w:pgMar w:top="1380" w:right="620" w:bottom="280" w:left="880" w:header="130" w:footer="0" w:gutter="0"/>
          <w:cols w:space="720"/>
        </w:sect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074"/>
        <w:gridCol w:w="1896"/>
        <w:gridCol w:w="2011"/>
        <w:gridCol w:w="2382"/>
      </w:tblGrid>
      <w:tr w:rsidR="00B15F7D" w:rsidRPr="00990FB6" w14:paraId="1AC15030" w14:textId="77777777" w:rsidTr="000A0C22">
        <w:trPr>
          <w:trHeight w:val="4829"/>
        </w:trPr>
        <w:tc>
          <w:tcPr>
            <w:tcW w:w="1560" w:type="dxa"/>
          </w:tcPr>
          <w:p w14:paraId="727B0A9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551A97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DEB15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24532B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3B84CF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6E2E9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DFE6F4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FF225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AD5955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ECED862" w14:textId="77777777" w:rsidR="00B15F7D" w:rsidRPr="00990FB6" w:rsidRDefault="00B15F7D" w:rsidP="00B15F7D">
            <w:pPr>
              <w:widowControl w:val="0"/>
              <w:suppressAutoHyphens w:val="0"/>
              <w:autoSpaceDE w:val="0"/>
              <w:autoSpaceDN w:val="0"/>
              <w:ind w:left="501"/>
              <w:rPr>
                <w:rFonts w:eastAsia="TeXGyrePagella"/>
                <w:sz w:val="22"/>
                <w:szCs w:val="22"/>
                <w:lang w:eastAsia="en-US"/>
              </w:rPr>
            </w:pPr>
            <w:r w:rsidRPr="00990FB6">
              <w:rPr>
                <w:rFonts w:eastAsia="TeXGyrePagella"/>
                <w:spacing w:val="-2"/>
                <w:sz w:val="22"/>
                <w:szCs w:val="22"/>
                <w:lang w:eastAsia="en-US"/>
              </w:rPr>
              <w:t>10204</w:t>
            </w:r>
          </w:p>
        </w:tc>
        <w:tc>
          <w:tcPr>
            <w:tcW w:w="2074" w:type="dxa"/>
          </w:tcPr>
          <w:p w14:paraId="1050273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DFCDC9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8A8745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184DB0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D404D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0CBAA9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5D2D7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1A50AD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39CA155" w14:textId="77777777" w:rsidR="00B15F7D" w:rsidRPr="00990FB6" w:rsidRDefault="00B15F7D" w:rsidP="00B15F7D">
            <w:pPr>
              <w:widowControl w:val="0"/>
              <w:suppressAutoHyphens w:val="0"/>
              <w:autoSpaceDE w:val="0"/>
              <w:autoSpaceDN w:val="0"/>
              <w:ind w:left="155" w:firstLine="386"/>
              <w:rPr>
                <w:rFonts w:eastAsia="TeXGyrePagella"/>
                <w:sz w:val="22"/>
                <w:szCs w:val="22"/>
                <w:lang w:eastAsia="en-US"/>
              </w:rPr>
            </w:pPr>
            <w:r w:rsidRPr="00990FB6">
              <w:rPr>
                <w:rFonts w:eastAsia="TeXGyrePagella"/>
                <w:sz w:val="22"/>
                <w:szCs w:val="22"/>
                <w:lang w:eastAsia="en-US"/>
              </w:rPr>
              <w:t xml:space="preserve">Servicio de </w:t>
            </w:r>
            <w:r w:rsidRPr="00990FB6">
              <w:rPr>
                <w:rFonts w:eastAsia="TeXGyrePagella"/>
                <w:spacing w:val="-2"/>
                <w:sz w:val="22"/>
                <w:szCs w:val="22"/>
                <w:lang w:eastAsia="en-US"/>
              </w:rPr>
              <w:t>telecomunicaciones</w:t>
            </w:r>
          </w:p>
        </w:tc>
        <w:tc>
          <w:tcPr>
            <w:tcW w:w="1896" w:type="dxa"/>
          </w:tcPr>
          <w:p w14:paraId="1AE6169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7FC921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F7DD45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947C41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13B7F1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287D7D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0714E2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5D09E6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F5922D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99A8682" w14:textId="77777777" w:rsidR="00B15F7D" w:rsidRPr="00990FB6" w:rsidRDefault="00B15F7D" w:rsidP="00B15F7D">
            <w:pPr>
              <w:widowControl w:val="0"/>
              <w:suppressAutoHyphens w:val="0"/>
              <w:autoSpaceDE w:val="0"/>
              <w:autoSpaceDN w:val="0"/>
              <w:ind w:left="170" w:right="163"/>
              <w:rPr>
                <w:rFonts w:eastAsia="TeXGyrePagella"/>
                <w:sz w:val="22"/>
                <w:szCs w:val="22"/>
                <w:lang w:eastAsia="en-US"/>
              </w:rPr>
            </w:pPr>
            <w:r w:rsidRPr="00990FB6">
              <w:rPr>
                <w:rFonts w:eastAsia="TeXGyrePagella"/>
                <w:spacing w:val="-2"/>
                <w:sz w:val="22"/>
                <w:szCs w:val="22"/>
                <w:lang w:eastAsia="en-US"/>
              </w:rPr>
              <w:t>19617</w:t>
            </w:r>
          </w:p>
        </w:tc>
        <w:tc>
          <w:tcPr>
            <w:tcW w:w="2011" w:type="dxa"/>
          </w:tcPr>
          <w:p w14:paraId="5826F6C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D60A0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34CAC2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F7531A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DFFAE1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4C56B1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4AA0B9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8AE56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D8FD34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1A8EE03" w14:textId="77777777" w:rsidR="00B15F7D" w:rsidRPr="00990FB6" w:rsidRDefault="00B15F7D" w:rsidP="00B15F7D">
            <w:pPr>
              <w:widowControl w:val="0"/>
              <w:suppressAutoHyphens w:val="0"/>
              <w:autoSpaceDE w:val="0"/>
              <w:autoSpaceDN w:val="0"/>
              <w:ind w:left="432"/>
              <w:rPr>
                <w:rFonts w:eastAsia="TeXGyrePagella"/>
                <w:sz w:val="22"/>
                <w:szCs w:val="22"/>
                <w:lang w:eastAsia="en-US"/>
              </w:rPr>
            </w:pPr>
            <w:r w:rsidRPr="00990FB6">
              <w:rPr>
                <w:rFonts w:eastAsia="TeXGyrePagella"/>
                <w:sz w:val="22"/>
                <w:szCs w:val="22"/>
                <w:lang w:eastAsia="en-US"/>
              </w:rPr>
              <w:t>₡292</w:t>
            </w:r>
            <w:r w:rsidRPr="00990FB6">
              <w:rPr>
                <w:rFonts w:eastAsia="TeXGyrePagella"/>
                <w:spacing w:val="-8"/>
                <w:sz w:val="22"/>
                <w:szCs w:val="22"/>
                <w:lang w:eastAsia="en-US"/>
              </w:rPr>
              <w:t xml:space="preserve"> </w:t>
            </w:r>
            <w:r w:rsidRPr="00990FB6">
              <w:rPr>
                <w:rFonts w:eastAsia="TeXGyrePagella"/>
                <w:spacing w:val="-2"/>
                <w:sz w:val="22"/>
                <w:szCs w:val="22"/>
                <w:lang w:eastAsia="en-US"/>
              </w:rPr>
              <w:t>348,92</w:t>
            </w:r>
          </w:p>
        </w:tc>
        <w:tc>
          <w:tcPr>
            <w:tcW w:w="2382" w:type="dxa"/>
          </w:tcPr>
          <w:p w14:paraId="68BFAACD" w14:textId="77777777" w:rsidR="00B15F7D" w:rsidRPr="00990FB6" w:rsidRDefault="00B15F7D" w:rsidP="00B15F7D">
            <w:pPr>
              <w:widowControl w:val="0"/>
              <w:tabs>
                <w:tab w:val="left" w:pos="2073"/>
              </w:tabs>
              <w:suppressAutoHyphens w:val="0"/>
              <w:autoSpaceDE w:val="0"/>
              <w:autoSpaceDN w:val="0"/>
              <w:ind w:left="70" w:right="59"/>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6"/>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7"/>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6"/>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5"/>
                <w:sz w:val="22"/>
                <w:szCs w:val="22"/>
                <w:lang w:val="es-CR" w:eastAsia="en-US"/>
              </w:rPr>
              <w:t xml:space="preserve"> </w:t>
            </w:r>
            <w:r w:rsidRPr="00990FB6">
              <w:rPr>
                <w:rFonts w:eastAsia="TeXGyrePagella"/>
                <w:sz w:val="22"/>
                <w:szCs w:val="22"/>
                <w:lang w:val="es-CR" w:eastAsia="en-US"/>
              </w:rPr>
              <w:t>de cumplir con el ajuste presupuestario</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establecido por el Ministerio de Hacienda, rebajando un </w:t>
            </w:r>
            <w:r w:rsidRPr="00990FB6">
              <w:rPr>
                <w:rFonts w:eastAsia="TeXGyrePagella"/>
                <w:spacing w:val="-2"/>
                <w:sz w:val="22"/>
                <w:szCs w:val="22"/>
                <w:lang w:val="es-CR" w:eastAsia="en-US"/>
              </w:rPr>
              <w:t>mes</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de</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la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suma</w:t>
            </w:r>
            <w:r w:rsidRPr="00990FB6">
              <w:rPr>
                <w:rFonts w:eastAsia="TeXGyrePagella"/>
                <w:spacing w:val="-12"/>
                <w:sz w:val="22"/>
                <w:szCs w:val="22"/>
                <w:lang w:val="es-CR" w:eastAsia="en-US"/>
              </w:rPr>
              <w:t xml:space="preserve"> </w:t>
            </w:r>
            <w:r w:rsidRPr="00990FB6">
              <w:rPr>
                <w:rFonts w:eastAsia="TeXGyrePagella"/>
                <w:spacing w:val="-2"/>
                <w:sz w:val="22"/>
                <w:szCs w:val="22"/>
                <w:lang w:val="es-CR" w:eastAsia="en-US"/>
              </w:rPr>
              <w:t xml:space="preserve">proyectada </w:t>
            </w:r>
            <w:r w:rsidRPr="00990FB6">
              <w:rPr>
                <w:rFonts w:eastAsia="TeXGyrePagella"/>
                <w:sz w:val="22"/>
                <w:szCs w:val="22"/>
                <w:lang w:val="es-CR" w:eastAsia="en-US"/>
              </w:rPr>
              <w:t xml:space="preserve">para el ejercicio 2024, con el agravante de no cumplir con el contenido </w:t>
            </w:r>
            <w:r w:rsidRPr="00990FB6">
              <w:rPr>
                <w:rFonts w:eastAsia="TeXGyrePagella"/>
                <w:spacing w:val="-2"/>
                <w:sz w:val="22"/>
                <w:szCs w:val="22"/>
                <w:lang w:val="es-CR" w:eastAsia="en-US"/>
              </w:rPr>
              <w:t>presupuestario</w:t>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z w:val="22"/>
                <w:szCs w:val="22"/>
                <w:lang w:val="es-CR" w:eastAsia="en-US"/>
              </w:rPr>
              <w:t>hacerle frente a esta obligación el pago de Servicios Públicos.</w:t>
            </w:r>
          </w:p>
          <w:p w14:paraId="1C085FC7"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084F1EF4" w14:textId="77777777" w:rsidR="00B15F7D" w:rsidRPr="00990FB6" w:rsidRDefault="00B15F7D" w:rsidP="00B15F7D">
            <w:pPr>
              <w:widowControl w:val="0"/>
              <w:suppressAutoHyphens w:val="0"/>
              <w:autoSpaceDE w:val="0"/>
              <w:autoSpaceDN w:val="0"/>
              <w:ind w:left="70" w:right="57"/>
              <w:jc w:val="both"/>
              <w:rPr>
                <w:rFonts w:eastAsia="TeXGyrePagella"/>
                <w:sz w:val="22"/>
                <w:szCs w:val="22"/>
                <w:lang w:eastAsia="en-US"/>
              </w:rPr>
            </w:pPr>
            <w:r w:rsidRPr="00990FB6">
              <w:rPr>
                <w:rFonts w:eastAsia="TeXGyrePagella"/>
                <w:sz w:val="22"/>
                <w:szCs w:val="22"/>
                <w:lang w:eastAsia="en-US"/>
              </w:rPr>
              <w:t xml:space="preserve">Implica una mala práctica en la formulación presupuestaria y un impacto en el presupuesto </w:t>
            </w:r>
            <w:r w:rsidRPr="00990FB6">
              <w:rPr>
                <w:rFonts w:eastAsia="TeXGyrePagella"/>
                <w:spacing w:val="-2"/>
                <w:sz w:val="22"/>
                <w:szCs w:val="22"/>
                <w:lang w:eastAsia="en-US"/>
              </w:rPr>
              <w:t>del</w:t>
            </w:r>
            <w:r w:rsidRPr="00990FB6">
              <w:rPr>
                <w:rFonts w:eastAsia="TeXGyrePagella"/>
                <w:spacing w:val="-11"/>
                <w:sz w:val="22"/>
                <w:szCs w:val="22"/>
                <w:lang w:eastAsia="en-US"/>
              </w:rPr>
              <w:t xml:space="preserve"> </w:t>
            </w:r>
            <w:r w:rsidRPr="00990FB6">
              <w:rPr>
                <w:rFonts w:eastAsia="TeXGyrePagella"/>
                <w:spacing w:val="-2"/>
                <w:sz w:val="22"/>
                <w:szCs w:val="22"/>
                <w:lang w:eastAsia="en-US"/>
              </w:rPr>
              <w:t>año</w:t>
            </w:r>
            <w:r w:rsidRPr="00990FB6">
              <w:rPr>
                <w:rFonts w:eastAsia="TeXGyrePagella"/>
                <w:spacing w:val="-10"/>
                <w:sz w:val="22"/>
                <w:szCs w:val="22"/>
                <w:lang w:eastAsia="en-US"/>
              </w:rPr>
              <w:t xml:space="preserve"> </w:t>
            </w:r>
            <w:r w:rsidRPr="00990FB6">
              <w:rPr>
                <w:rFonts w:eastAsia="TeXGyrePagella"/>
                <w:spacing w:val="-2"/>
                <w:sz w:val="22"/>
                <w:szCs w:val="22"/>
                <w:lang w:eastAsia="en-US"/>
              </w:rPr>
              <w:t>2025,</w:t>
            </w:r>
            <w:r w:rsidRPr="00990FB6">
              <w:rPr>
                <w:rFonts w:eastAsia="TeXGyrePagella"/>
                <w:spacing w:val="-9"/>
                <w:sz w:val="22"/>
                <w:szCs w:val="22"/>
                <w:lang w:eastAsia="en-US"/>
              </w:rPr>
              <w:t xml:space="preserve"> </w:t>
            </w:r>
            <w:r w:rsidRPr="00990FB6">
              <w:rPr>
                <w:rFonts w:eastAsia="TeXGyrePagella"/>
                <w:spacing w:val="-2"/>
                <w:sz w:val="22"/>
                <w:szCs w:val="22"/>
                <w:lang w:eastAsia="en-US"/>
              </w:rPr>
              <w:t>al</w:t>
            </w:r>
            <w:r w:rsidRPr="00990FB6">
              <w:rPr>
                <w:rFonts w:eastAsia="TeXGyrePagella"/>
                <w:spacing w:val="-10"/>
                <w:sz w:val="22"/>
                <w:szCs w:val="22"/>
                <w:lang w:eastAsia="en-US"/>
              </w:rPr>
              <w:t xml:space="preserve"> </w:t>
            </w:r>
            <w:r w:rsidRPr="00990FB6">
              <w:rPr>
                <w:rFonts w:eastAsia="TeXGyrePagella"/>
                <w:spacing w:val="-2"/>
                <w:sz w:val="22"/>
                <w:szCs w:val="22"/>
                <w:lang w:eastAsia="en-US"/>
              </w:rPr>
              <w:t>trasladar</w:t>
            </w:r>
            <w:r w:rsidRPr="00990FB6">
              <w:rPr>
                <w:rFonts w:eastAsia="TeXGyrePagella"/>
                <w:spacing w:val="-6"/>
                <w:sz w:val="22"/>
                <w:szCs w:val="22"/>
                <w:lang w:eastAsia="en-US"/>
              </w:rPr>
              <w:t xml:space="preserve"> </w:t>
            </w:r>
            <w:r w:rsidRPr="00990FB6">
              <w:rPr>
                <w:rFonts w:eastAsia="TeXGyrePagella"/>
                <w:spacing w:val="-5"/>
                <w:sz w:val="22"/>
                <w:szCs w:val="22"/>
                <w:lang w:eastAsia="en-US"/>
              </w:rPr>
              <w:t>el</w:t>
            </w:r>
          </w:p>
          <w:p w14:paraId="5E6318F5" w14:textId="77777777" w:rsidR="00B15F7D" w:rsidRPr="00990FB6" w:rsidRDefault="00B15F7D" w:rsidP="00B15F7D">
            <w:pPr>
              <w:widowControl w:val="0"/>
              <w:suppressAutoHyphens w:val="0"/>
              <w:autoSpaceDE w:val="0"/>
              <w:autoSpaceDN w:val="0"/>
              <w:ind w:left="70" w:right="61"/>
              <w:jc w:val="both"/>
              <w:rPr>
                <w:rFonts w:eastAsia="TeXGyrePagella"/>
                <w:sz w:val="22"/>
                <w:szCs w:val="22"/>
                <w:lang w:eastAsia="en-US"/>
              </w:rPr>
            </w:pPr>
            <w:r w:rsidRPr="00990FB6">
              <w:rPr>
                <w:rFonts w:eastAsia="TeXGyrePagella"/>
                <w:sz w:val="22"/>
                <w:szCs w:val="22"/>
                <w:lang w:eastAsia="en-US"/>
              </w:rPr>
              <w:t>pago</w:t>
            </w:r>
            <w:r w:rsidRPr="00990FB6">
              <w:rPr>
                <w:rFonts w:eastAsia="TeXGyrePagella"/>
                <w:spacing w:val="-10"/>
                <w:sz w:val="22"/>
                <w:szCs w:val="22"/>
                <w:lang w:eastAsia="en-US"/>
              </w:rPr>
              <w:t xml:space="preserve"> </w:t>
            </w:r>
            <w:r w:rsidRPr="00990FB6">
              <w:rPr>
                <w:rFonts w:eastAsia="TeXGyrePagella"/>
                <w:sz w:val="22"/>
                <w:szCs w:val="22"/>
                <w:lang w:eastAsia="en-US"/>
              </w:rPr>
              <w:t>del</w:t>
            </w:r>
            <w:r w:rsidRPr="00990FB6">
              <w:rPr>
                <w:rFonts w:eastAsia="TeXGyrePagella"/>
                <w:spacing w:val="-11"/>
                <w:sz w:val="22"/>
                <w:szCs w:val="22"/>
                <w:lang w:eastAsia="en-US"/>
              </w:rPr>
              <w:t xml:space="preserve"> </w:t>
            </w:r>
            <w:r w:rsidRPr="00990FB6">
              <w:rPr>
                <w:rFonts w:eastAsia="TeXGyrePagella"/>
                <w:sz w:val="22"/>
                <w:szCs w:val="22"/>
                <w:lang w:eastAsia="en-US"/>
              </w:rPr>
              <w:t>mes</w:t>
            </w:r>
            <w:r w:rsidRPr="00990FB6">
              <w:rPr>
                <w:rFonts w:eastAsia="TeXGyrePagella"/>
                <w:spacing w:val="-9"/>
                <w:sz w:val="22"/>
                <w:szCs w:val="22"/>
                <w:lang w:eastAsia="en-US"/>
              </w:rPr>
              <w:t xml:space="preserve"> </w:t>
            </w:r>
            <w:r w:rsidRPr="00990FB6">
              <w:rPr>
                <w:rFonts w:eastAsia="TeXGyrePagella"/>
                <w:sz w:val="22"/>
                <w:szCs w:val="22"/>
                <w:lang w:eastAsia="en-US"/>
              </w:rPr>
              <w:t>de</w:t>
            </w:r>
            <w:r w:rsidRPr="00990FB6">
              <w:rPr>
                <w:rFonts w:eastAsia="TeXGyrePagella"/>
                <w:spacing w:val="-10"/>
                <w:sz w:val="22"/>
                <w:szCs w:val="22"/>
                <w:lang w:eastAsia="en-US"/>
              </w:rPr>
              <w:t xml:space="preserve"> </w:t>
            </w:r>
            <w:r w:rsidRPr="00990FB6">
              <w:rPr>
                <w:rFonts w:eastAsia="TeXGyrePagella"/>
                <w:sz w:val="22"/>
                <w:szCs w:val="22"/>
                <w:lang w:eastAsia="en-US"/>
              </w:rPr>
              <w:t>diciembre de 2024 al año siguiente.</w:t>
            </w:r>
          </w:p>
        </w:tc>
      </w:tr>
    </w:tbl>
    <w:p w14:paraId="052E0B78" w14:textId="77777777" w:rsidR="00B15F7D" w:rsidRPr="00990FB6" w:rsidRDefault="00B15F7D" w:rsidP="00B15F7D">
      <w:pPr>
        <w:jc w:val="center"/>
        <w:rPr>
          <w:b/>
          <w:bCs/>
          <w:sz w:val="22"/>
          <w:szCs w:val="22"/>
        </w:rPr>
      </w:pPr>
    </w:p>
    <w:p w14:paraId="527ABFC0" w14:textId="77777777" w:rsidR="00B15F7D" w:rsidRPr="00990FB6" w:rsidRDefault="00B15F7D" w:rsidP="00B15F7D">
      <w:pPr>
        <w:jc w:val="center"/>
        <w:rPr>
          <w:b/>
          <w:bCs/>
          <w:sz w:val="22"/>
          <w:szCs w:val="22"/>
        </w:rPr>
      </w:pPr>
      <w:r w:rsidRPr="00990FB6">
        <w:rPr>
          <w:b/>
          <w:bCs/>
          <w:sz w:val="22"/>
          <w:szCs w:val="22"/>
        </w:rPr>
        <w:t>Detalle de afectaciones Programas 927 Servicio Jurisdiccional</w:t>
      </w:r>
    </w:p>
    <w:p w14:paraId="4A1B1BB1" w14:textId="77777777" w:rsidR="00B15F7D" w:rsidRPr="00990FB6" w:rsidRDefault="00B15F7D" w:rsidP="00B15F7D">
      <w:pPr>
        <w:jc w:val="center"/>
        <w:rPr>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2072"/>
        <w:gridCol w:w="2115"/>
        <w:gridCol w:w="2257"/>
        <w:gridCol w:w="2495"/>
      </w:tblGrid>
      <w:tr w:rsidR="00B15F7D" w:rsidRPr="00990FB6" w14:paraId="172B6CD0" w14:textId="77777777" w:rsidTr="000A0C22">
        <w:trPr>
          <w:trHeight w:val="280"/>
          <w:tblHeader/>
        </w:trPr>
        <w:tc>
          <w:tcPr>
            <w:tcW w:w="1292" w:type="dxa"/>
            <w:shd w:val="clear" w:color="auto" w:fill="A6A6A6"/>
          </w:tcPr>
          <w:p w14:paraId="0D022135"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Subpartida</w:t>
            </w:r>
          </w:p>
        </w:tc>
        <w:tc>
          <w:tcPr>
            <w:tcW w:w="2072" w:type="dxa"/>
            <w:shd w:val="clear" w:color="auto" w:fill="A6A6A6"/>
          </w:tcPr>
          <w:p w14:paraId="25C0A1CE" w14:textId="77777777" w:rsidR="00B15F7D" w:rsidRPr="00990FB6" w:rsidRDefault="00B15F7D" w:rsidP="00B15F7D">
            <w:pPr>
              <w:widowControl w:val="0"/>
              <w:suppressAutoHyphens w:val="0"/>
              <w:autoSpaceDE w:val="0"/>
              <w:autoSpaceDN w:val="0"/>
              <w:ind w:left="462"/>
              <w:rPr>
                <w:rFonts w:eastAsia="TeXGyrePagella"/>
                <w:sz w:val="22"/>
                <w:szCs w:val="22"/>
                <w:lang w:eastAsia="en-US"/>
              </w:rPr>
            </w:pPr>
            <w:r w:rsidRPr="00990FB6">
              <w:rPr>
                <w:rFonts w:eastAsia="TeXGyrePagella"/>
                <w:spacing w:val="-2"/>
                <w:sz w:val="22"/>
                <w:szCs w:val="22"/>
                <w:lang w:eastAsia="en-US"/>
              </w:rPr>
              <w:t>Descripción</w:t>
            </w:r>
          </w:p>
        </w:tc>
        <w:tc>
          <w:tcPr>
            <w:tcW w:w="2115" w:type="dxa"/>
            <w:shd w:val="clear" w:color="auto" w:fill="A6A6A6"/>
          </w:tcPr>
          <w:p w14:paraId="6A0C3479" w14:textId="77777777" w:rsidR="00B15F7D" w:rsidRPr="00990FB6" w:rsidRDefault="00B15F7D" w:rsidP="00B15F7D">
            <w:pPr>
              <w:widowControl w:val="0"/>
              <w:suppressAutoHyphens w:val="0"/>
              <w:autoSpaceDE w:val="0"/>
              <w:autoSpaceDN w:val="0"/>
              <w:ind w:left="194" w:right="190"/>
              <w:rPr>
                <w:rFonts w:eastAsia="TeXGyrePagella"/>
                <w:sz w:val="22"/>
                <w:szCs w:val="22"/>
                <w:lang w:eastAsia="en-US"/>
              </w:rPr>
            </w:pPr>
            <w:r w:rsidRPr="00990FB6">
              <w:rPr>
                <w:rFonts w:eastAsia="TeXGyrePagella"/>
                <w:spacing w:val="-2"/>
                <w:sz w:val="22"/>
                <w:szCs w:val="22"/>
                <w:lang w:eastAsia="en-US"/>
              </w:rPr>
              <w:t>Artículo</w:t>
            </w:r>
          </w:p>
        </w:tc>
        <w:tc>
          <w:tcPr>
            <w:tcW w:w="2257" w:type="dxa"/>
            <w:shd w:val="clear" w:color="auto" w:fill="A6A6A6"/>
          </w:tcPr>
          <w:p w14:paraId="71460196" w14:textId="77777777" w:rsidR="00B15F7D" w:rsidRPr="00990FB6" w:rsidRDefault="00B15F7D" w:rsidP="00B15F7D">
            <w:pPr>
              <w:widowControl w:val="0"/>
              <w:suppressAutoHyphens w:val="0"/>
              <w:autoSpaceDE w:val="0"/>
              <w:autoSpaceDN w:val="0"/>
              <w:ind w:left="254" w:right="254"/>
              <w:rPr>
                <w:rFonts w:eastAsia="TeXGyrePagella"/>
                <w:sz w:val="22"/>
                <w:szCs w:val="22"/>
                <w:lang w:eastAsia="en-US"/>
              </w:rPr>
            </w:pPr>
            <w:r w:rsidRPr="00990FB6">
              <w:rPr>
                <w:rFonts w:eastAsia="TeXGyrePagella"/>
                <w:spacing w:val="-2"/>
                <w:sz w:val="22"/>
                <w:szCs w:val="22"/>
                <w:lang w:eastAsia="en-US"/>
              </w:rPr>
              <w:t>Monto</w:t>
            </w:r>
          </w:p>
        </w:tc>
        <w:tc>
          <w:tcPr>
            <w:tcW w:w="2495" w:type="dxa"/>
            <w:shd w:val="clear" w:color="auto" w:fill="A6A6A6"/>
          </w:tcPr>
          <w:p w14:paraId="25B7CC75" w14:textId="77777777" w:rsidR="00B15F7D" w:rsidRPr="00990FB6" w:rsidRDefault="00B15F7D" w:rsidP="00B15F7D">
            <w:pPr>
              <w:widowControl w:val="0"/>
              <w:suppressAutoHyphens w:val="0"/>
              <w:autoSpaceDE w:val="0"/>
              <w:autoSpaceDN w:val="0"/>
              <w:ind w:left="433" w:right="433"/>
              <w:rPr>
                <w:rFonts w:eastAsia="TeXGyrePagella"/>
                <w:sz w:val="22"/>
                <w:szCs w:val="22"/>
                <w:lang w:eastAsia="en-US"/>
              </w:rPr>
            </w:pPr>
            <w:r w:rsidRPr="00990FB6">
              <w:rPr>
                <w:rFonts w:eastAsia="TeXGyrePagella"/>
                <w:spacing w:val="-2"/>
                <w:sz w:val="22"/>
                <w:szCs w:val="22"/>
                <w:lang w:eastAsia="en-US"/>
              </w:rPr>
              <w:t>Impacto</w:t>
            </w:r>
          </w:p>
        </w:tc>
      </w:tr>
      <w:tr w:rsidR="00B15F7D" w:rsidRPr="00990FB6" w14:paraId="7F9909CB" w14:textId="77777777" w:rsidTr="000A0C22">
        <w:trPr>
          <w:trHeight w:val="4598"/>
        </w:trPr>
        <w:tc>
          <w:tcPr>
            <w:tcW w:w="1292" w:type="dxa"/>
          </w:tcPr>
          <w:p w14:paraId="77FA25E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28CED8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38223F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2A9E01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A05CE4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BC68AE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CB79F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B13AFF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D531E8D"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10101</w:t>
            </w:r>
          </w:p>
        </w:tc>
        <w:tc>
          <w:tcPr>
            <w:tcW w:w="2072" w:type="dxa"/>
          </w:tcPr>
          <w:p w14:paraId="08C7F66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A452FA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B40F54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60E6AD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22600A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6F460E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8378F3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67EC58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86D29AE" w14:textId="77777777" w:rsidR="00B15F7D" w:rsidRPr="00990FB6" w:rsidRDefault="00B15F7D" w:rsidP="00B15F7D">
            <w:pPr>
              <w:widowControl w:val="0"/>
              <w:suppressAutoHyphens w:val="0"/>
              <w:autoSpaceDE w:val="0"/>
              <w:autoSpaceDN w:val="0"/>
              <w:ind w:left="251" w:hanging="106"/>
              <w:rPr>
                <w:rFonts w:eastAsia="TeXGyrePagella"/>
                <w:sz w:val="22"/>
                <w:szCs w:val="22"/>
                <w:lang w:eastAsia="en-US"/>
              </w:rPr>
            </w:pPr>
            <w:r w:rsidRPr="00990FB6">
              <w:rPr>
                <w:rFonts w:eastAsia="TeXGyrePagella"/>
                <w:sz w:val="22"/>
                <w:szCs w:val="22"/>
                <w:lang w:eastAsia="en-US"/>
              </w:rPr>
              <w:t>Alquiler</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edificios, locales y terrenos</w:t>
            </w:r>
          </w:p>
        </w:tc>
        <w:tc>
          <w:tcPr>
            <w:tcW w:w="2115" w:type="dxa"/>
          </w:tcPr>
          <w:p w14:paraId="0EE4DD7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D0FFAC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15D15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50C86B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98F65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32F5BF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AE8164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4AC86A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9B77AAE" w14:textId="77777777" w:rsidR="00B15F7D" w:rsidRPr="00990FB6" w:rsidRDefault="00B15F7D" w:rsidP="00B15F7D">
            <w:pPr>
              <w:widowControl w:val="0"/>
              <w:suppressAutoHyphens w:val="0"/>
              <w:autoSpaceDE w:val="0"/>
              <w:autoSpaceDN w:val="0"/>
              <w:ind w:left="194" w:right="192"/>
              <w:rPr>
                <w:rFonts w:eastAsia="TeXGyrePagella"/>
                <w:sz w:val="22"/>
                <w:szCs w:val="22"/>
                <w:lang w:eastAsia="en-US"/>
              </w:rPr>
            </w:pPr>
            <w:r w:rsidRPr="00990FB6">
              <w:rPr>
                <w:rFonts w:eastAsia="TeXGyrePagella"/>
                <w:spacing w:val="-2"/>
                <w:sz w:val="22"/>
                <w:szCs w:val="22"/>
                <w:lang w:eastAsia="en-US"/>
              </w:rPr>
              <w:t>19606</w:t>
            </w:r>
          </w:p>
        </w:tc>
        <w:tc>
          <w:tcPr>
            <w:tcW w:w="2257" w:type="dxa"/>
          </w:tcPr>
          <w:p w14:paraId="1EEA4B4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D56325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ED5134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F50AFE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579247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37879C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FE519C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31A56D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811E89" w14:textId="77777777" w:rsidR="00B15F7D" w:rsidRPr="00990FB6" w:rsidRDefault="00B15F7D" w:rsidP="00B15F7D">
            <w:pPr>
              <w:widowControl w:val="0"/>
              <w:suppressAutoHyphens w:val="0"/>
              <w:autoSpaceDE w:val="0"/>
              <w:autoSpaceDN w:val="0"/>
              <w:ind w:left="254" w:right="252"/>
              <w:rPr>
                <w:rFonts w:eastAsia="TeXGyrePagella"/>
                <w:sz w:val="22"/>
                <w:szCs w:val="22"/>
                <w:lang w:eastAsia="en-US"/>
              </w:rPr>
            </w:pPr>
            <w:r w:rsidRPr="00990FB6">
              <w:rPr>
                <w:rFonts w:eastAsia="TeXGyrePagella"/>
                <w:sz w:val="22"/>
                <w:szCs w:val="22"/>
                <w:lang w:eastAsia="en-US"/>
              </w:rPr>
              <w:t>₡513</w:t>
            </w:r>
            <w:r w:rsidRPr="00990FB6">
              <w:rPr>
                <w:rFonts w:eastAsia="TeXGyrePagella"/>
                <w:spacing w:val="-7"/>
                <w:sz w:val="22"/>
                <w:szCs w:val="22"/>
                <w:lang w:eastAsia="en-US"/>
              </w:rPr>
              <w:t xml:space="preserve"> </w:t>
            </w:r>
            <w:r w:rsidRPr="00990FB6">
              <w:rPr>
                <w:rFonts w:eastAsia="TeXGyrePagella"/>
                <w:sz w:val="22"/>
                <w:szCs w:val="22"/>
                <w:lang w:eastAsia="en-US"/>
              </w:rPr>
              <w:t>523</w:t>
            </w:r>
            <w:r w:rsidRPr="00990FB6">
              <w:rPr>
                <w:rFonts w:eastAsia="TeXGyrePagella"/>
                <w:spacing w:val="-6"/>
                <w:sz w:val="22"/>
                <w:szCs w:val="22"/>
                <w:lang w:eastAsia="en-US"/>
              </w:rPr>
              <w:t xml:space="preserve"> </w:t>
            </w:r>
            <w:r w:rsidRPr="00990FB6">
              <w:rPr>
                <w:rFonts w:eastAsia="TeXGyrePagella"/>
                <w:spacing w:val="-2"/>
                <w:sz w:val="22"/>
                <w:szCs w:val="22"/>
                <w:lang w:eastAsia="en-US"/>
              </w:rPr>
              <w:t>888,58</w:t>
            </w:r>
          </w:p>
        </w:tc>
        <w:tc>
          <w:tcPr>
            <w:tcW w:w="2495" w:type="dxa"/>
          </w:tcPr>
          <w:p w14:paraId="187D57B9" w14:textId="77777777" w:rsidR="00B15F7D" w:rsidRPr="00990FB6" w:rsidRDefault="00B15F7D" w:rsidP="00B15F7D">
            <w:pPr>
              <w:widowControl w:val="0"/>
              <w:tabs>
                <w:tab w:val="left" w:pos="892"/>
                <w:tab w:val="left" w:pos="942"/>
                <w:tab w:val="left" w:pos="1013"/>
                <w:tab w:val="left" w:pos="1441"/>
                <w:tab w:val="left" w:pos="1496"/>
                <w:tab w:val="left" w:pos="1527"/>
                <w:tab w:val="left" w:pos="1699"/>
                <w:tab w:val="left" w:pos="1885"/>
                <w:tab w:val="left" w:pos="2020"/>
                <w:tab w:val="left" w:pos="2265"/>
              </w:tabs>
              <w:suppressAutoHyphens w:val="0"/>
              <w:autoSpaceDE w:val="0"/>
              <w:autoSpaceDN w:val="0"/>
              <w:ind w:left="67" w:right="61"/>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contractual existente.</w:t>
            </w:r>
          </w:p>
          <w:p w14:paraId="1B9B01B1" w14:textId="77777777" w:rsidR="00B15F7D" w:rsidRPr="00990FB6" w:rsidRDefault="00B15F7D" w:rsidP="00B15F7D">
            <w:pPr>
              <w:widowControl w:val="0"/>
              <w:suppressAutoHyphens w:val="0"/>
              <w:autoSpaceDE w:val="0"/>
              <w:autoSpaceDN w:val="0"/>
              <w:jc w:val="both"/>
              <w:rPr>
                <w:rFonts w:eastAsia="TeXGyrePagella"/>
                <w:sz w:val="22"/>
                <w:szCs w:val="22"/>
                <w:lang w:val="es-CR" w:eastAsia="en-US"/>
              </w:rPr>
            </w:pPr>
          </w:p>
          <w:p w14:paraId="249CA098" w14:textId="77777777" w:rsidR="00B15F7D" w:rsidRPr="00990FB6" w:rsidRDefault="00B15F7D" w:rsidP="00B15F7D">
            <w:pPr>
              <w:widowControl w:val="0"/>
              <w:suppressAutoHyphens w:val="0"/>
              <w:autoSpaceDE w:val="0"/>
              <w:autoSpaceDN w:val="0"/>
              <w:ind w:left="67" w:right="63"/>
              <w:jc w:val="both"/>
              <w:rPr>
                <w:rFonts w:eastAsia="TeXGyrePagella"/>
                <w:sz w:val="22"/>
                <w:szCs w:val="22"/>
                <w:lang w:val="es-CR" w:eastAsia="en-US"/>
              </w:rPr>
            </w:pPr>
            <w:r w:rsidRPr="00990FB6">
              <w:rPr>
                <w:rFonts w:eastAsia="TeXGyrePagella"/>
                <w:sz w:val="22"/>
                <w:szCs w:val="22"/>
                <w:lang w:val="es-CR" w:eastAsia="en-US"/>
              </w:rPr>
              <w:lastRenderedPageBreak/>
              <w:t>Se expone a la institución a ordenes sanitarias por las</w:t>
            </w:r>
            <w:r w:rsidRPr="00990FB6">
              <w:rPr>
                <w:rFonts w:eastAsia="TeXGyrePagella"/>
                <w:spacing w:val="34"/>
                <w:sz w:val="22"/>
                <w:szCs w:val="22"/>
                <w:lang w:val="es-CR" w:eastAsia="en-US"/>
              </w:rPr>
              <w:t xml:space="preserve"> condiciones</w:t>
            </w:r>
            <w:r w:rsidRPr="00990FB6">
              <w:rPr>
                <w:rFonts w:eastAsia="TeXGyrePagella"/>
                <w:spacing w:val="35"/>
                <w:sz w:val="22"/>
                <w:szCs w:val="22"/>
                <w:lang w:val="es-CR" w:eastAsia="en-US"/>
              </w:rPr>
              <w:t xml:space="preserve"> </w:t>
            </w:r>
            <w:proofErr w:type="gramStart"/>
            <w:r w:rsidRPr="00990FB6">
              <w:rPr>
                <w:rFonts w:eastAsia="TeXGyrePagella"/>
                <w:spacing w:val="35"/>
                <w:sz w:val="22"/>
                <w:szCs w:val="22"/>
                <w:lang w:val="es-CR" w:eastAsia="en-US"/>
              </w:rPr>
              <w:t>de</w:t>
            </w:r>
            <w:r w:rsidRPr="00990FB6">
              <w:rPr>
                <w:rFonts w:eastAsia="TeXGyrePagella"/>
                <w:spacing w:val="34"/>
                <w:sz w:val="22"/>
                <w:szCs w:val="22"/>
                <w:lang w:val="es-CR" w:eastAsia="en-US"/>
              </w:rPr>
              <w:t xml:space="preserve">  </w:t>
            </w:r>
            <w:r w:rsidRPr="00990FB6">
              <w:rPr>
                <w:rFonts w:eastAsia="TeXGyrePagella"/>
                <w:spacing w:val="-5"/>
                <w:sz w:val="22"/>
                <w:szCs w:val="22"/>
                <w:lang w:val="es-CR" w:eastAsia="en-US"/>
              </w:rPr>
              <w:t>los</w:t>
            </w:r>
            <w:proofErr w:type="gramEnd"/>
          </w:p>
          <w:p w14:paraId="27C9B106" w14:textId="77777777" w:rsidR="00B15F7D" w:rsidRPr="00990FB6" w:rsidRDefault="00B15F7D" w:rsidP="00B15F7D">
            <w:pPr>
              <w:widowControl w:val="0"/>
              <w:suppressAutoHyphens w:val="0"/>
              <w:autoSpaceDE w:val="0"/>
              <w:autoSpaceDN w:val="0"/>
              <w:ind w:left="67" w:right="65"/>
              <w:jc w:val="both"/>
              <w:rPr>
                <w:rFonts w:eastAsia="TeXGyrePagella"/>
                <w:sz w:val="22"/>
                <w:szCs w:val="22"/>
                <w:lang w:eastAsia="en-US"/>
              </w:rPr>
            </w:pPr>
            <w:r w:rsidRPr="00990FB6">
              <w:rPr>
                <w:rFonts w:eastAsia="TeXGyrePagella"/>
                <w:sz w:val="22"/>
                <w:szCs w:val="22"/>
                <w:lang w:eastAsia="en-US"/>
              </w:rPr>
              <w:t>locales que se planificó contratar en el año 2024.</w:t>
            </w:r>
          </w:p>
        </w:tc>
      </w:tr>
      <w:tr w:rsidR="00B15F7D" w:rsidRPr="00990FB6" w14:paraId="3FDCD13A" w14:textId="77777777" w:rsidTr="000A0C22">
        <w:trPr>
          <w:trHeight w:val="4598"/>
        </w:trPr>
        <w:tc>
          <w:tcPr>
            <w:tcW w:w="1292" w:type="dxa"/>
          </w:tcPr>
          <w:p w14:paraId="2D19B00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D83AD9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FA6CBD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E72FC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C21C1D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616EE7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8C7010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57F536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AFFC9A" w14:textId="77777777" w:rsidR="00B15F7D" w:rsidRPr="00990FB6" w:rsidRDefault="00B15F7D" w:rsidP="00B15F7D">
            <w:pPr>
              <w:widowControl w:val="0"/>
              <w:suppressAutoHyphens w:val="0"/>
              <w:autoSpaceDE w:val="0"/>
              <w:autoSpaceDN w:val="0"/>
              <w:rPr>
                <w:rFonts w:eastAsia="TeXGyrePagella"/>
                <w:sz w:val="22"/>
                <w:szCs w:val="22"/>
                <w:lang w:eastAsia="en-US"/>
              </w:rPr>
            </w:pPr>
            <w:r w:rsidRPr="00990FB6">
              <w:rPr>
                <w:rFonts w:eastAsia="TeXGyrePagella"/>
                <w:spacing w:val="-2"/>
                <w:sz w:val="22"/>
                <w:szCs w:val="22"/>
                <w:lang w:eastAsia="en-US"/>
              </w:rPr>
              <w:t>10101</w:t>
            </w:r>
          </w:p>
        </w:tc>
        <w:tc>
          <w:tcPr>
            <w:tcW w:w="2072" w:type="dxa"/>
          </w:tcPr>
          <w:p w14:paraId="4A7A536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1DF27E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90AC8A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DC13CB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942DDD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5467FF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CA8EDC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7B7594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FE85B59" w14:textId="77777777" w:rsidR="00B15F7D" w:rsidRPr="00990FB6" w:rsidRDefault="00B15F7D" w:rsidP="00B15F7D">
            <w:pPr>
              <w:widowControl w:val="0"/>
              <w:suppressAutoHyphens w:val="0"/>
              <w:autoSpaceDE w:val="0"/>
              <w:autoSpaceDN w:val="0"/>
              <w:rPr>
                <w:rFonts w:eastAsia="TeXGyrePagella"/>
                <w:sz w:val="22"/>
                <w:szCs w:val="22"/>
                <w:lang w:eastAsia="en-US"/>
              </w:rPr>
            </w:pPr>
            <w:r w:rsidRPr="00990FB6">
              <w:rPr>
                <w:rFonts w:eastAsia="TeXGyrePagella"/>
                <w:sz w:val="22"/>
                <w:szCs w:val="22"/>
                <w:lang w:eastAsia="en-US"/>
              </w:rPr>
              <w:t>Alquiler</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edificios, locales y terrenos</w:t>
            </w:r>
          </w:p>
        </w:tc>
        <w:tc>
          <w:tcPr>
            <w:tcW w:w="2115" w:type="dxa"/>
          </w:tcPr>
          <w:p w14:paraId="6005306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21F062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3B25F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72C1F8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2C1D9E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1D2442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A8E151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7CCDE2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973DFED" w14:textId="77777777" w:rsidR="00B15F7D" w:rsidRPr="00990FB6" w:rsidRDefault="00B15F7D" w:rsidP="00B15F7D">
            <w:pPr>
              <w:widowControl w:val="0"/>
              <w:suppressAutoHyphens w:val="0"/>
              <w:autoSpaceDE w:val="0"/>
              <w:autoSpaceDN w:val="0"/>
              <w:rPr>
                <w:rFonts w:eastAsia="TeXGyrePagella"/>
                <w:sz w:val="22"/>
                <w:szCs w:val="22"/>
                <w:lang w:eastAsia="en-US"/>
              </w:rPr>
            </w:pPr>
            <w:r w:rsidRPr="00990FB6">
              <w:rPr>
                <w:rFonts w:eastAsia="TeXGyrePagella"/>
                <w:spacing w:val="-2"/>
                <w:sz w:val="22"/>
                <w:szCs w:val="22"/>
                <w:lang w:eastAsia="en-US"/>
              </w:rPr>
              <w:t>22653</w:t>
            </w:r>
          </w:p>
        </w:tc>
        <w:tc>
          <w:tcPr>
            <w:tcW w:w="2257" w:type="dxa"/>
          </w:tcPr>
          <w:p w14:paraId="7D626BC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3CE761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295D38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8E0ED9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06690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8F828D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3432D7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33365D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5D72433" w14:textId="77777777" w:rsidR="00B15F7D" w:rsidRPr="00990FB6" w:rsidRDefault="00B15F7D" w:rsidP="00B15F7D">
            <w:pPr>
              <w:widowControl w:val="0"/>
              <w:suppressAutoHyphens w:val="0"/>
              <w:autoSpaceDE w:val="0"/>
              <w:autoSpaceDN w:val="0"/>
              <w:rPr>
                <w:rFonts w:eastAsia="TeXGyrePagella"/>
                <w:sz w:val="22"/>
                <w:szCs w:val="22"/>
                <w:lang w:eastAsia="en-US"/>
              </w:rPr>
            </w:pPr>
            <w:r w:rsidRPr="00990FB6">
              <w:rPr>
                <w:rFonts w:eastAsia="TeXGyrePagella"/>
                <w:sz w:val="22"/>
                <w:szCs w:val="22"/>
                <w:lang w:eastAsia="en-US"/>
              </w:rPr>
              <w:t>₡4</w:t>
            </w:r>
            <w:r w:rsidRPr="00990FB6">
              <w:rPr>
                <w:rFonts w:eastAsia="TeXGyrePagella"/>
                <w:spacing w:val="-5"/>
                <w:sz w:val="22"/>
                <w:szCs w:val="22"/>
                <w:lang w:eastAsia="en-US"/>
              </w:rPr>
              <w:t xml:space="preserve"> </w:t>
            </w:r>
            <w:r w:rsidRPr="00990FB6">
              <w:rPr>
                <w:rFonts w:eastAsia="TeXGyrePagella"/>
                <w:sz w:val="22"/>
                <w:szCs w:val="22"/>
                <w:lang w:eastAsia="en-US"/>
              </w:rPr>
              <w:t>284</w:t>
            </w:r>
            <w:r w:rsidRPr="00990FB6">
              <w:rPr>
                <w:rFonts w:eastAsia="TeXGyrePagella"/>
                <w:spacing w:val="-4"/>
                <w:sz w:val="22"/>
                <w:szCs w:val="22"/>
                <w:lang w:eastAsia="en-US"/>
              </w:rPr>
              <w:t xml:space="preserve"> </w:t>
            </w:r>
            <w:r w:rsidRPr="00990FB6">
              <w:rPr>
                <w:rFonts w:eastAsia="TeXGyrePagella"/>
                <w:spacing w:val="-2"/>
                <w:sz w:val="22"/>
                <w:szCs w:val="22"/>
                <w:lang w:eastAsia="en-US"/>
              </w:rPr>
              <w:t>613,25</w:t>
            </w:r>
          </w:p>
        </w:tc>
        <w:tc>
          <w:tcPr>
            <w:tcW w:w="2495" w:type="dxa"/>
          </w:tcPr>
          <w:p w14:paraId="3994A7B9" w14:textId="77777777" w:rsidR="00B15F7D" w:rsidRPr="00990FB6" w:rsidRDefault="00B15F7D" w:rsidP="00B15F7D">
            <w:pPr>
              <w:widowControl w:val="0"/>
              <w:tabs>
                <w:tab w:val="left" w:pos="892"/>
                <w:tab w:val="left" w:pos="942"/>
                <w:tab w:val="left" w:pos="1013"/>
                <w:tab w:val="left" w:pos="1441"/>
                <w:tab w:val="left" w:pos="1496"/>
                <w:tab w:val="left" w:pos="1527"/>
                <w:tab w:val="left" w:pos="1699"/>
                <w:tab w:val="left" w:pos="1885"/>
                <w:tab w:val="left" w:pos="2020"/>
                <w:tab w:val="left" w:pos="2265"/>
              </w:tabs>
              <w:suppressAutoHyphens w:val="0"/>
              <w:autoSpaceDE w:val="0"/>
              <w:autoSpaceDN w:val="0"/>
              <w:ind w:left="67" w:right="61"/>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 xml:space="preserve">con </w:t>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contractual existente.</w:t>
            </w:r>
          </w:p>
          <w:p w14:paraId="16F32CF7"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0A10C185" w14:textId="77777777" w:rsidR="00B15F7D" w:rsidRPr="00990FB6" w:rsidRDefault="00B15F7D" w:rsidP="00B15F7D">
            <w:pPr>
              <w:widowControl w:val="0"/>
              <w:tabs>
                <w:tab w:val="left" w:pos="892"/>
                <w:tab w:val="left" w:pos="942"/>
                <w:tab w:val="left" w:pos="1013"/>
                <w:tab w:val="left" w:pos="1441"/>
                <w:tab w:val="left" w:pos="1496"/>
                <w:tab w:val="left" w:pos="1527"/>
                <w:tab w:val="left" w:pos="1699"/>
                <w:tab w:val="left" w:pos="1885"/>
                <w:tab w:val="left" w:pos="2020"/>
                <w:tab w:val="left" w:pos="2265"/>
              </w:tabs>
              <w:suppressAutoHyphens w:val="0"/>
              <w:autoSpaceDE w:val="0"/>
              <w:autoSpaceDN w:val="0"/>
              <w:ind w:left="67" w:right="61"/>
              <w:jc w:val="both"/>
              <w:rPr>
                <w:rFonts w:eastAsia="TeXGyrePagella"/>
                <w:sz w:val="22"/>
                <w:szCs w:val="22"/>
                <w:lang w:val="es-CR" w:eastAsia="en-US"/>
              </w:rPr>
            </w:pPr>
            <w:r w:rsidRPr="00990FB6">
              <w:rPr>
                <w:rFonts w:eastAsia="TeXGyrePagella"/>
                <w:sz w:val="22"/>
                <w:szCs w:val="22"/>
                <w:lang w:val="es-CR" w:eastAsia="en-US"/>
              </w:rPr>
              <w:t>Se expone a la institución a ordenes sanitarias por las condiciones de los locales que se planificó contratar en el año 2024.</w:t>
            </w:r>
          </w:p>
        </w:tc>
      </w:tr>
    </w:tbl>
    <w:p w14:paraId="1553639B" w14:textId="77777777" w:rsidR="00B15F7D" w:rsidRPr="00990FB6" w:rsidRDefault="00B15F7D" w:rsidP="00B15F7D">
      <w:pPr>
        <w:jc w:val="both"/>
        <w:rPr>
          <w:sz w:val="22"/>
          <w:szCs w:val="22"/>
        </w:rPr>
        <w:sectPr w:rsidR="00B15F7D" w:rsidRPr="00990FB6">
          <w:pgSz w:w="12240" w:h="15840"/>
          <w:pgMar w:top="1380" w:right="620" w:bottom="280" w:left="880" w:header="130" w:footer="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2"/>
        <w:gridCol w:w="2072"/>
        <w:gridCol w:w="2115"/>
        <w:gridCol w:w="2257"/>
        <w:gridCol w:w="2495"/>
      </w:tblGrid>
      <w:tr w:rsidR="00B15F7D" w:rsidRPr="00990FB6" w14:paraId="2A5ADE7C" w14:textId="77777777" w:rsidTr="000A0C22">
        <w:trPr>
          <w:trHeight w:val="4598"/>
        </w:trPr>
        <w:tc>
          <w:tcPr>
            <w:tcW w:w="1292" w:type="dxa"/>
          </w:tcPr>
          <w:p w14:paraId="3B20FA5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B319F7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BEB43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413F5F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CD11FE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DC30E0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EFE2CA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80339F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ED47168"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10101</w:t>
            </w:r>
          </w:p>
        </w:tc>
        <w:tc>
          <w:tcPr>
            <w:tcW w:w="2072" w:type="dxa"/>
          </w:tcPr>
          <w:p w14:paraId="170F7C1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818925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1B2E37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6CDB14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1721F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E8023C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4EA6C7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4F771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3982B68" w14:textId="77777777" w:rsidR="00B15F7D" w:rsidRPr="00990FB6" w:rsidRDefault="00B15F7D" w:rsidP="00B15F7D">
            <w:pPr>
              <w:widowControl w:val="0"/>
              <w:suppressAutoHyphens w:val="0"/>
              <w:autoSpaceDE w:val="0"/>
              <w:autoSpaceDN w:val="0"/>
              <w:ind w:left="251" w:hanging="106"/>
              <w:rPr>
                <w:rFonts w:eastAsia="TeXGyrePagella"/>
                <w:sz w:val="22"/>
                <w:szCs w:val="22"/>
                <w:lang w:eastAsia="en-US"/>
              </w:rPr>
            </w:pPr>
            <w:r w:rsidRPr="00990FB6">
              <w:rPr>
                <w:rFonts w:eastAsia="TeXGyrePagella"/>
                <w:sz w:val="22"/>
                <w:szCs w:val="22"/>
                <w:lang w:eastAsia="en-US"/>
              </w:rPr>
              <w:t>Alquiler</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edificios, locales y terrenos</w:t>
            </w:r>
          </w:p>
        </w:tc>
        <w:tc>
          <w:tcPr>
            <w:tcW w:w="2115" w:type="dxa"/>
          </w:tcPr>
          <w:p w14:paraId="2FC6194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DC3E92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FD4070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41FA36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CCBFE1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8E0364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C8F7E9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7F91CA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ACE42A3" w14:textId="77777777" w:rsidR="00B15F7D" w:rsidRPr="00990FB6" w:rsidRDefault="00B15F7D" w:rsidP="00B15F7D">
            <w:pPr>
              <w:widowControl w:val="0"/>
              <w:suppressAutoHyphens w:val="0"/>
              <w:autoSpaceDE w:val="0"/>
              <w:autoSpaceDN w:val="0"/>
              <w:ind w:left="194" w:right="192"/>
              <w:rPr>
                <w:rFonts w:eastAsia="TeXGyrePagella"/>
                <w:sz w:val="22"/>
                <w:szCs w:val="22"/>
                <w:lang w:eastAsia="en-US"/>
              </w:rPr>
            </w:pPr>
            <w:r w:rsidRPr="00990FB6">
              <w:rPr>
                <w:rFonts w:eastAsia="TeXGyrePagella"/>
                <w:spacing w:val="-2"/>
                <w:sz w:val="22"/>
                <w:szCs w:val="22"/>
                <w:lang w:eastAsia="en-US"/>
              </w:rPr>
              <w:t>25781</w:t>
            </w:r>
          </w:p>
        </w:tc>
        <w:tc>
          <w:tcPr>
            <w:tcW w:w="2257" w:type="dxa"/>
          </w:tcPr>
          <w:p w14:paraId="15DF319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E7F626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7EEC16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D7DE71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217BF1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40BA03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D0F22C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8B6AF6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37393E0" w14:textId="77777777" w:rsidR="00B15F7D" w:rsidRPr="00990FB6" w:rsidRDefault="00B15F7D" w:rsidP="00B15F7D">
            <w:pPr>
              <w:widowControl w:val="0"/>
              <w:suppressAutoHyphens w:val="0"/>
              <w:autoSpaceDE w:val="0"/>
              <w:autoSpaceDN w:val="0"/>
              <w:ind w:left="254" w:right="253"/>
              <w:rPr>
                <w:rFonts w:eastAsia="TeXGyrePagella"/>
                <w:sz w:val="22"/>
                <w:szCs w:val="22"/>
                <w:lang w:eastAsia="en-US"/>
              </w:rPr>
            </w:pPr>
            <w:r w:rsidRPr="00990FB6">
              <w:rPr>
                <w:rFonts w:eastAsia="TeXGyrePagella"/>
                <w:sz w:val="22"/>
                <w:szCs w:val="22"/>
                <w:lang w:eastAsia="en-US"/>
              </w:rPr>
              <w:t>₡90</w:t>
            </w:r>
            <w:r w:rsidRPr="00990FB6">
              <w:rPr>
                <w:rFonts w:eastAsia="TeXGyrePagella"/>
                <w:spacing w:val="-9"/>
                <w:sz w:val="22"/>
                <w:szCs w:val="22"/>
                <w:lang w:eastAsia="en-US"/>
              </w:rPr>
              <w:t xml:space="preserve"> </w:t>
            </w:r>
            <w:r w:rsidRPr="00990FB6">
              <w:rPr>
                <w:rFonts w:eastAsia="TeXGyrePagella"/>
                <w:sz w:val="22"/>
                <w:szCs w:val="22"/>
                <w:lang w:eastAsia="en-US"/>
              </w:rPr>
              <w:t>751</w:t>
            </w:r>
            <w:r w:rsidRPr="00990FB6">
              <w:rPr>
                <w:rFonts w:eastAsia="TeXGyrePagella"/>
                <w:spacing w:val="-4"/>
                <w:sz w:val="22"/>
                <w:szCs w:val="22"/>
                <w:lang w:eastAsia="en-US"/>
              </w:rPr>
              <w:t xml:space="preserve"> </w:t>
            </w:r>
            <w:r w:rsidRPr="00990FB6">
              <w:rPr>
                <w:rFonts w:eastAsia="TeXGyrePagella"/>
                <w:spacing w:val="-2"/>
                <w:sz w:val="22"/>
                <w:szCs w:val="22"/>
                <w:lang w:eastAsia="en-US"/>
              </w:rPr>
              <w:t>148,33</w:t>
            </w:r>
          </w:p>
        </w:tc>
        <w:tc>
          <w:tcPr>
            <w:tcW w:w="2495" w:type="dxa"/>
          </w:tcPr>
          <w:p w14:paraId="43FCDE94" w14:textId="77777777" w:rsidR="00B15F7D" w:rsidRPr="00990FB6" w:rsidRDefault="00B15F7D" w:rsidP="00B15F7D">
            <w:pPr>
              <w:widowControl w:val="0"/>
              <w:tabs>
                <w:tab w:val="left" w:pos="892"/>
                <w:tab w:val="left" w:pos="942"/>
                <w:tab w:val="left" w:pos="1013"/>
                <w:tab w:val="left" w:pos="1441"/>
                <w:tab w:val="left" w:pos="1496"/>
                <w:tab w:val="left" w:pos="1527"/>
                <w:tab w:val="left" w:pos="1699"/>
                <w:tab w:val="left" w:pos="1885"/>
                <w:tab w:val="left" w:pos="2020"/>
                <w:tab w:val="left" w:pos="2265"/>
              </w:tabs>
              <w:suppressAutoHyphens w:val="0"/>
              <w:autoSpaceDE w:val="0"/>
              <w:autoSpaceDN w:val="0"/>
              <w:ind w:left="67" w:right="61"/>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contractual existente.</w:t>
            </w:r>
          </w:p>
          <w:p w14:paraId="56F3A450" w14:textId="77777777" w:rsidR="00B15F7D" w:rsidRPr="00990FB6" w:rsidRDefault="00B15F7D" w:rsidP="00B15F7D">
            <w:pPr>
              <w:widowControl w:val="0"/>
              <w:suppressAutoHyphens w:val="0"/>
              <w:autoSpaceDE w:val="0"/>
              <w:autoSpaceDN w:val="0"/>
              <w:jc w:val="both"/>
              <w:rPr>
                <w:rFonts w:eastAsia="TeXGyrePagella"/>
                <w:sz w:val="22"/>
                <w:szCs w:val="22"/>
                <w:lang w:val="es-CR" w:eastAsia="en-US"/>
              </w:rPr>
            </w:pPr>
          </w:p>
          <w:p w14:paraId="5BF37504" w14:textId="77777777" w:rsidR="00B15F7D" w:rsidRPr="00990FB6" w:rsidRDefault="00B15F7D" w:rsidP="00B15F7D">
            <w:pPr>
              <w:widowControl w:val="0"/>
              <w:suppressAutoHyphens w:val="0"/>
              <w:autoSpaceDE w:val="0"/>
              <w:autoSpaceDN w:val="0"/>
              <w:ind w:left="67" w:right="63"/>
              <w:jc w:val="both"/>
              <w:rPr>
                <w:rFonts w:eastAsia="TeXGyrePagella"/>
                <w:sz w:val="22"/>
                <w:szCs w:val="22"/>
                <w:lang w:val="es-CR" w:eastAsia="en-US"/>
              </w:rPr>
            </w:pPr>
            <w:r w:rsidRPr="00990FB6">
              <w:rPr>
                <w:rFonts w:eastAsia="TeXGyrePagella"/>
                <w:sz w:val="22"/>
                <w:szCs w:val="22"/>
                <w:lang w:val="es-CR" w:eastAsia="en-US"/>
              </w:rPr>
              <w:t>Se expone a la institución a ordenes sanitarias por las condiciones de los locales</w:t>
            </w:r>
            <w:r w:rsidRPr="00990FB6">
              <w:rPr>
                <w:rFonts w:eastAsia="TeXGyrePagella"/>
                <w:spacing w:val="61"/>
                <w:w w:val="150"/>
                <w:sz w:val="22"/>
                <w:szCs w:val="22"/>
                <w:lang w:val="es-CR" w:eastAsia="en-US"/>
              </w:rPr>
              <w:t xml:space="preserve"> </w:t>
            </w:r>
            <w:r w:rsidRPr="00990FB6">
              <w:rPr>
                <w:rFonts w:eastAsia="TeXGyrePagella"/>
                <w:sz w:val="22"/>
                <w:szCs w:val="22"/>
                <w:lang w:val="es-CR" w:eastAsia="en-US"/>
              </w:rPr>
              <w:t>que</w:t>
            </w:r>
            <w:r w:rsidRPr="00990FB6">
              <w:rPr>
                <w:rFonts w:eastAsia="TeXGyrePagella"/>
                <w:spacing w:val="63"/>
                <w:w w:val="150"/>
                <w:sz w:val="22"/>
                <w:szCs w:val="22"/>
                <w:lang w:val="es-CR" w:eastAsia="en-US"/>
              </w:rPr>
              <w:t xml:space="preserve"> </w:t>
            </w:r>
            <w:r w:rsidRPr="00990FB6">
              <w:rPr>
                <w:rFonts w:eastAsia="TeXGyrePagella"/>
                <w:sz w:val="22"/>
                <w:szCs w:val="22"/>
                <w:lang w:val="es-CR" w:eastAsia="en-US"/>
              </w:rPr>
              <w:t>se</w:t>
            </w:r>
            <w:r w:rsidRPr="00990FB6">
              <w:rPr>
                <w:rFonts w:eastAsia="TeXGyrePagella"/>
                <w:spacing w:val="60"/>
                <w:w w:val="150"/>
                <w:sz w:val="22"/>
                <w:szCs w:val="22"/>
                <w:lang w:val="es-CR" w:eastAsia="en-US"/>
              </w:rPr>
              <w:t xml:space="preserve"> </w:t>
            </w:r>
            <w:r w:rsidRPr="00990FB6">
              <w:rPr>
                <w:rFonts w:eastAsia="TeXGyrePagella"/>
                <w:spacing w:val="-2"/>
                <w:sz w:val="22"/>
                <w:szCs w:val="22"/>
                <w:lang w:val="es-CR" w:eastAsia="en-US"/>
              </w:rPr>
              <w:t>planificó</w:t>
            </w:r>
          </w:p>
          <w:p w14:paraId="25DD0022" w14:textId="77777777" w:rsidR="00B15F7D" w:rsidRPr="00990FB6" w:rsidRDefault="00B15F7D" w:rsidP="00B15F7D">
            <w:pPr>
              <w:widowControl w:val="0"/>
              <w:suppressAutoHyphens w:val="0"/>
              <w:autoSpaceDE w:val="0"/>
              <w:autoSpaceDN w:val="0"/>
              <w:ind w:left="67"/>
              <w:jc w:val="both"/>
              <w:rPr>
                <w:rFonts w:eastAsia="TeXGyrePagella"/>
                <w:sz w:val="22"/>
                <w:szCs w:val="22"/>
                <w:lang w:eastAsia="en-US"/>
              </w:rPr>
            </w:pPr>
            <w:r w:rsidRPr="00990FB6">
              <w:rPr>
                <w:rFonts w:eastAsia="TeXGyrePagella"/>
                <w:sz w:val="22"/>
                <w:szCs w:val="22"/>
                <w:lang w:eastAsia="en-US"/>
              </w:rPr>
              <w:t>contratar</w:t>
            </w:r>
            <w:r w:rsidRPr="00990FB6">
              <w:rPr>
                <w:rFonts w:eastAsia="TeXGyrePagella"/>
                <w:spacing w:val="-5"/>
                <w:sz w:val="22"/>
                <w:szCs w:val="22"/>
                <w:lang w:eastAsia="en-US"/>
              </w:rPr>
              <w:t xml:space="preserve"> </w:t>
            </w:r>
            <w:r w:rsidRPr="00990FB6">
              <w:rPr>
                <w:rFonts w:eastAsia="TeXGyrePagella"/>
                <w:sz w:val="22"/>
                <w:szCs w:val="22"/>
                <w:lang w:eastAsia="en-US"/>
              </w:rPr>
              <w:t>en</w:t>
            </w:r>
            <w:r w:rsidRPr="00990FB6">
              <w:rPr>
                <w:rFonts w:eastAsia="TeXGyrePagella"/>
                <w:spacing w:val="-5"/>
                <w:sz w:val="22"/>
                <w:szCs w:val="22"/>
                <w:lang w:eastAsia="en-US"/>
              </w:rPr>
              <w:t xml:space="preserve"> </w:t>
            </w:r>
            <w:r w:rsidRPr="00990FB6">
              <w:rPr>
                <w:rFonts w:eastAsia="TeXGyrePagella"/>
                <w:sz w:val="22"/>
                <w:szCs w:val="22"/>
                <w:lang w:eastAsia="en-US"/>
              </w:rPr>
              <w:t>el</w:t>
            </w:r>
            <w:r w:rsidRPr="00990FB6">
              <w:rPr>
                <w:rFonts w:eastAsia="TeXGyrePagella"/>
                <w:spacing w:val="-6"/>
                <w:sz w:val="22"/>
                <w:szCs w:val="22"/>
                <w:lang w:eastAsia="en-US"/>
              </w:rPr>
              <w:t xml:space="preserve"> </w:t>
            </w:r>
            <w:r w:rsidRPr="00990FB6">
              <w:rPr>
                <w:rFonts w:eastAsia="TeXGyrePagella"/>
                <w:sz w:val="22"/>
                <w:szCs w:val="22"/>
                <w:lang w:eastAsia="en-US"/>
              </w:rPr>
              <w:t>año</w:t>
            </w:r>
            <w:r w:rsidRPr="00990FB6">
              <w:rPr>
                <w:rFonts w:eastAsia="TeXGyrePagella"/>
                <w:spacing w:val="-7"/>
                <w:sz w:val="22"/>
                <w:szCs w:val="22"/>
                <w:lang w:eastAsia="en-US"/>
              </w:rPr>
              <w:t xml:space="preserve"> </w:t>
            </w:r>
            <w:r w:rsidRPr="00990FB6">
              <w:rPr>
                <w:rFonts w:eastAsia="TeXGyrePagella"/>
                <w:spacing w:val="-4"/>
                <w:sz w:val="22"/>
                <w:szCs w:val="22"/>
                <w:lang w:eastAsia="en-US"/>
              </w:rPr>
              <w:t>2024.</w:t>
            </w:r>
          </w:p>
        </w:tc>
      </w:tr>
      <w:tr w:rsidR="00B15F7D" w:rsidRPr="00990FB6" w14:paraId="20BE5D7D" w14:textId="77777777" w:rsidTr="000A0C22">
        <w:trPr>
          <w:trHeight w:val="416"/>
        </w:trPr>
        <w:tc>
          <w:tcPr>
            <w:tcW w:w="1292" w:type="dxa"/>
          </w:tcPr>
          <w:p w14:paraId="7B16157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943191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E26D96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36E3D6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7363FC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738B6E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5CD124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742481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D56E14"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10496</w:t>
            </w:r>
          </w:p>
        </w:tc>
        <w:tc>
          <w:tcPr>
            <w:tcW w:w="2072" w:type="dxa"/>
          </w:tcPr>
          <w:p w14:paraId="3AECE48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D082B9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D7C44A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363630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6DA2C7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E91B9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D520F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A5E6FC8" w14:textId="77777777" w:rsidR="00B15F7D" w:rsidRPr="00990FB6" w:rsidRDefault="00B15F7D" w:rsidP="00B15F7D">
            <w:pPr>
              <w:widowControl w:val="0"/>
              <w:suppressAutoHyphens w:val="0"/>
              <w:autoSpaceDE w:val="0"/>
              <w:autoSpaceDN w:val="0"/>
              <w:ind w:left="606" w:right="126" w:hanging="466"/>
              <w:rPr>
                <w:rFonts w:eastAsia="TeXGyrePagella"/>
                <w:sz w:val="22"/>
                <w:szCs w:val="22"/>
                <w:lang w:eastAsia="en-US"/>
              </w:rPr>
            </w:pPr>
            <w:r w:rsidRPr="00990FB6">
              <w:rPr>
                <w:rFonts w:eastAsia="TeXGyrePagella"/>
                <w:sz w:val="22"/>
                <w:szCs w:val="22"/>
                <w:lang w:eastAsia="en-US"/>
              </w:rPr>
              <w:t>Servicios</w:t>
            </w:r>
            <w:r w:rsidRPr="00990FB6">
              <w:rPr>
                <w:rFonts w:eastAsia="TeXGyrePagella"/>
                <w:spacing w:val="-14"/>
                <w:sz w:val="22"/>
                <w:szCs w:val="22"/>
                <w:lang w:eastAsia="en-US"/>
              </w:rPr>
              <w:t xml:space="preserve"> </w:t>
            </w:r>
            <w:r w:rsidRPr="00990FB6">
              <w:rPr>
                <w:rFonts w:eastAsia="TeXGyrePagella"/>
                <w:sz w:val="22"/>
                <w:szCs w:val="22"/>
                <w:lang w:eastAsia="en-US"/>
              </w:rPr>
              <w:t xml:space="preserve">Generales </w:t>
            </w:r>
            <w:r w:rsidRPr="00990FB6">
              <w:rPr>
                <w:rFonts w:eastAsia="TeXGyrePagella"/>
                <w:spacing w:val="-2"/>
                <w:sz w:val="22"/>
                <w:szCs w:val="22"/>
                <w:lang w:eastAsia="en-US"/>
              </w:rPr>
              <w:t>Vigilancia</w:t>
            </w:r>
          </w:p>
        </w:tc>
        <w:tc>
          <w:tcPr>
            <w:tcW w:w="2115" w:type="dxa"/>
          </w:tcPr>
          <w:p w14:paraId="13F3338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0BD2C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4A1D9E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03098E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367B68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CD2519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B9164D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3D5D16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CD086E8" w14:textId="77777777" w:rsidR="00B15F7D" w:rsidRPr="00990FB6" w:rsidRDefault="00B15F7D" w:rsidP="00B15F7D">
            <w:pPr>
              <w:widowControl w:val="0"/>
              <w:suppressAutoHyphens w:val="0"/>
              <w:autoSpaceDE w:val="0"/>
              <w:autoSpaceDN w:val="0"/>
              <w:ind w:left="194" w:right="194"/>
              <w:rPr>
                <w:rFonts w:eastAsia="TeXGyrePagella"/>
                <w:sz w:val="22"/>
                <w:szCs w:val="22"/>
                <w:lang w:eastAsia="en-US"/>
              </w:rPr>
            </w:pPr>
            <w:r w:rsidRPr="00990FB6">
              <w:rPr>
                <w:rFonts w:eastAsia="TeXGyrePagella"/>
                <w:spacing w:val="-4"/>
                <w:sz w:val="22"/>
                <w:szCs w:val="22"/>
                <w:lang w:eastAsia="en-US"/>
              </w:rPr>
              <w:t>4265</w:t>
            </w:r>
          </w:p>
        </w:tc>
        <w:tc>
          <w:tcPr>
            <w:tcW w:w="2257" w:type="dxa"/>
          </w:tcPr>
          <w:p w14:paraId="16D46E9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EA3578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B6159C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BE778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5FBFAB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ECD15D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CCAD1A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BD9247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458E9A8" w14:textId="77777777" w:rsidR="00B15F7D" w:rsidRPr="00990FB6" w:rsidRDefault="00B15F7D" w:rsidP="00B15F7D">
            <w:pPr>
              <w:widowControl w:val="0"/>
              <w:suppressAutoHyphens w:val="0"/>
              <w:autoSpaceDE w:val="0"/>
              <w:autoSpaceDN w:val="0"/>
              <w:ind w:left="254" w:right="252"/>
              <w:rPr>
                <w:rFonts w:eastAsia="TeXGyrePagella"/>
                <w:sz w:val="22"/>
                <w:szCs w:val="22"/>
                <w:lang w:eastAsia="en-US"/>
              </w:rPr>
            </w:pPr>
            <w:r w:rsidRPr="00990FB6">
              <w:rPr>
                <w:rFonts w:eastAsia="TeXGyrePagella"/>
                <w:sz w:val="22"/>
                <w:szCs w:val="22"/>
                <w:lang w:eastAsia="en-US"/>
              </w:rPr>
              <w:t>₡105</w:t>
            </w:r>
            <w:r w:rsidRPr="00990FB6">
              <w:rPr>
                <w:rFonts w:eastAsia="TeXGyrePagella"/>
                <w:spacing w:val="-7"/>
                <w:sz w:val="22"/>
                <w:szCs w:val="22"/>
                <w:lang w:eastAsia="en-US"/>
              </w:rPr>
              <w:t xml:space="preserve"> </w:t>
            </w:r>
            <w:r w:rsidRPr="00990FB6">
              <w:rPr>
                <w:rFonts w:eastAsia="TeXGyrePagella"/>
                <w:sz w:val="22"/>
                <w:szCs w:val="22"/>
                <w:lang w:eastAsia="en-US"/>
              </w:rPr>
              <w:t>933</w:t>
            </w:r>
            <w:r w:rsidRPr="00990FB6">
              <w:rPr>
                <w:rFonts w:eastAsia="TeXGyrePagella"/>
                <w:spacing w:val="-6"/>
                <w:sz w:val="22"/>
                <w:szCs w:val="22"/>
                <w:lang w:eastAsia="en-US"/>
              </w:rPr>
              <w:t xml:space="preserve"> </w:t>
            </w:r>
            <w:r w:rsidRPr="00990FB6">
              <w:rPr>
                <w:rFonts w:eastAsia="TeXGyrePagella"/>
                <w:spacing w:val="-2"/>
                <w:sz w:val="22"/>
                <w:szCs w:val="22"/>
                <w:lang w:eastAsia="en-US"/>
              </w:rPr>
              <w:t>361,68</w:t>
            </w:r>
          </w:p>
        </w:tc>
        <w:tc>
          <w:tcPr>
            <w:tcW w:w="2495" w:type="dxa"/>
          </w:tcPr>
          <w:p w14:paraId="2208B89C" w14:textId="77777777" w:rsidR="00B15F7D" w:rsidRPr="00990FB6" w:rsidRDefault="00B15F7D" w:rsidP="00B15F7D">
            <w:pPr>
              <w:widowControl w:val="0"/>
              <w:tabs>
                <w:tab w:val="left" w:pos="892"/>
                <w:tab w:val="left" w:pos="942"/>
                <w:tab w:val="left" w:pos="1013"/>
                <w:tab w:val="left" w:pos="1441"/>
                <w:tab w:val="left" w:pos="1496"/>
                <w:tab w:val="left" w:pos="1527"/>
                <w:tab w:val="left" w:pos="1699"/>
                <w:tab w:val="left" w:pos="1885"/>
                <w:tab w:val="left" w:pos="2020"/>
                <w:tab w:val="left" w:pos="2265"/>
              </w:tabs>
              <w:suppressAutoHyphens w:val="0"/>
              <w:autoSpaceDE w:val="0"/>
              <w:autoSpaceDN w:val="0"/>
              <w:ind w:left="67" w:right="61"/>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contractual existente.</w:t>
            </w:r>
          </w:p>
          <w:p w14:paraId="439F05B3"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46AA7360" w14:textId="77777777" w:rsidR="00B15F7D" w:rsidRPr="00990FB6" w:rsidRDefault="00B15F7D" w:rsidP="00B15F7D">
            <w:pPr>
              <w:widowControl w:val="0"/>
              <w:suppressAutoHyphens w:val="0"/>
              <w:autoSpaceDE w:val="0"/>
              <w:autoSpaceDN w:val="0"/>
              <w:ind w:left="67" w:right="63"/>
              <w:jc w:val="both"/>
              <w:rPr>
                <w:rFonts w:eastAsia="TeXGyrePagella"/>
                <w:sz w:val="22"/>
                <w:szCs w:val="22"/>
                <w:lang w:eastAsia="en-US"/>
              </w:rPr>
            </w:pPr>
            <w:r w:rsidRPr="00990FB6">
              <w:rPr>
                <w:rFonts w:eastAsia="TeXGyrePagella"/>
                <w:sz w:val="22"/>
                <w:szCs w:val="22"/>
                <w:lang w:eastAsia="en-US"/>
              </w:rPr>
              <w:t>Recortar puestos de seguridad</w:t>
            </w:r>
            <w:r w:rsidRPr="00990FB6">
              <w:rPr>
                <w:rFonts w:eastAsia="TeXGyrePagella"/>
                <w:spacing w:val="-11"/>
                <w:sz w:val="22"/>
                <w:szCs w:val="22"/>
                <w:lang w:eastAsia="en-US"/>
              </w:rPr>
              <w:t xml:space="preserve"> </w:t>
            </w:r>
            <w:r w:rsidRPr="00990FB6">
              <w:rPr>
                <w:rFonts w:eastAsia="TeXGyrePagella"/>
                <w:sz w:val="22"/>
                <w:szCs w:val="22"/>
                <w:lang w:eastAsia="en-US"/>
              </w:rPr>
              <w:t>implica</w:t>
            </w:r>
            <w:r w:rsidRPr="00990FB6">
              <w:rPr>
                <w:rFonts w:eastAsia="TeXGyrePagella"/>
                <w:spacing w:val="-10"/>
                <w:sz w:val="22"/>
                <w:szCs w:val="22"/>
                <w:lang w:eastAsia="en-US"/>
              </w:rPr>
              <w:t xml:space="preserve"> </w:t>
            </w:r>
            <w:r w:rsidRPr="00990FB6">
              <w:rPr>
                <w:rFonts w:eastAsia="TeXGyrePagella"/>
                <w:sz w:val="22"/>
                <w:szCs w:val="22"/>
                <w:lang w:eastAsia="en-US"/>
              </w:rPr>
              <w:t>exponer al</w:t>
            </w:r>
            <w:r w:rsidRPr="00990FB6">
              <w:rPr>
                <w:rFonts w:eastAsia="TeXGyrePagella"/>
                <w:spacing w:val="9"/>
                <w:sz w:val="22"/>
                <w:szCs w:val="22"/>
                <w:lang w:eastAsia="en-US"/>
              </w:rPr>
              <w:t xml:space="preserve"> </w:t>
            </w:r>
            <w:r w:rsidRPr="00990FB6">
              <w:rPr>
                <w:rFonts w:eastAsia="TeXGyrePagella"/>
                <w:sz w:val="22"/>
                <w:szCs w:val="22"/>
                <w:lang w:eastAsia="en-US"/>
              </w:rPr>
              <w:t>personal</w:t>
            </w:r>
            <w:r w:rsidRPr="00990FB6">
              <w:rPr>
                <w:rFonts w:eastAsia="TeXGyrePagella"/>
                <w:spacing w:val="10"/>
                <w:sz w:val="22"/>
                <w:szCs w:val="22"/>
                <w:lang w:eastAsia="en-US"/>
              </w:rPr>
              <w:t xml:space="preserve"> </w:t>
            </w:r>
            <w:r w:rsidRPr="00990FB6">
              <w:rPr>
                <w:rFonts w:eastAsia="TeXGyrePagella"/>
                <w:sz w:val="22"/>
                <w:szCs w:val="22"/>
                <w:lang w:eastAsia="en-US"/>
              </w:rPr>
              <w:t>judicial</w:t>
            </w:r>
            <w:r w:rsidRPr="00990FB6">
              <w:rPr>
                <w:rFonts w:eastAsia="TeXGyrePagella"/>
                <w:spacing w:val="9"/>
                <w:sz w:val="22"/>
                <w:szCs w:val="22"/>
                <w:lang w:eastAsia="en-US"/>
              </w:rPr>
              <w:t xml:space="preserve"> </w:t>
            </w:r>
            <w:r w:rsidRPr="00990FB6">
              <w:rPr>
                <w:rFonts w:eastAsia="TeXGyrePagella"/>
                <w:sz w:val="22"/>
                <w:szCs w:val="22"/>
                <w:lang w:eastAsia="en-US"/>
              </w:rPr>
              <w:t>y</w:t>
            </w:r>
            <w:r w:rsidRPr="00990FB6">
              <w:rPr>
                <w:rFonts w:eastAsia="TeXGyrePagella"/>
                <w:spacing w:val="10"/>
                <w:sz w:val="22"/>
                <w:szCs w:val="22"/>
                <w:lang w:eastAsia="en-US"/>
              </w:rPr>
              <w:t xml:space="preserve"> </w:t>
            </w:r>
            <w:r w:rsidRPr="00990FB6">
              <w:rPr>
                <w:rFonts w:eastAsia="TeXGyrePagella"/>
                <w:sz w:val="22"/>
                <w:szCs w:val="22"/>
                <w:lang w:eastAsia="en-US"/>
              </w:rPr>
              <w:t>a</w:t>
            </w:r>
            <w:r w:rsidRPr="00990FB6">
              <w:rPr>
                <w:rFonts w:eastAsia="TeXGyrePagella"/>
                <w:spacing w:val="10"/>
                <w:sz w:val="22"/>
                <w:szCs w:val="22"/>
                <w:lang w:eastAsia="en-US"/>
              </w:rPr>
              <w:t xml:space="preserve"> </w:t>
            </w:r>
            <w:r w:rsidRPr="00990FB6">
              <w:rPr>
                <w:rFonts w:eastAsia="TeXGyrePagella"/>
                <w:spacing w:val="-5"/>
                <w:sz w:val="22"/>
                <w:szCs w:val="22"/>
                <w:lang w:eastAsia="en-US"/>
              </w:rPr>
              <w:t>las</w:t>
            </w:r>
          </w:p>
          <w:p w14:paraId="1419116E" w14:textId="77777777" w:rsidR="00B15F7D" w:rsidRPr="00990FB6" w:rsidRDefault="00B15F7D" w:rsidP="00B15F7D">
            <w:pPr>
              <w:widowControl w:val="0"/>
              <w:suppressAutoHyphens w:val="0"/>
              <w:autoSpaceDE w:val="0"/>
              <w:autoSpaceDN w:val="0"/>
              <w:ind w:left="67"/>
              <w:jc w:val="both"/>
              <w:rPr>
                <w:rFonts w:eastAsia="TeXGyrePagella"/>
                <w:sz w:val="22"/>
                <w:szCs w:val="22"/>
                <w:lang w:val="es-CR" w:eastAsia="en-US"/>
              </w:rPr>
            </w:pPr>
            <w:r w:rsidRPr="00990FB6">
              <w:rPr>
                <w:rFonts w:eastAsia="TeXGyrePagella"/>
                <w:sz w:val="22"/>
                <w:szCs w:val="22"/>
                <w:lang w:val="es-CR" w:eastAsia="en-US"/>
              </w:rPr>
              <w:t>instalaciones</w:t>
            </w:r>
            <w:r w:rsidRPr="00990FB6">
              <w:rPr>
                <w:rFonts w:eastAsia="TeXGyrePagella"/>
                <w:spacing w:val="46"/>
                <w:sz w:val="22"/>
                <w:szCs w:val="22"/>
                <w:lang w:val="es-CR" w:eastAsia="en-US"/>
              </w:rPr>
              <w:t xml:space="preserve"> </w:t>
            </w:r>
            <w:proofErr w:type="gramStart"/>
            <w:r w:rsidRPr="00990FB6">
              <w:rPr>
                <w:rFonts w:eastAsia="TeXGyrePagella"/>
                <w:spacing w:val="46"/>
                <w:sz w:val="22"/>
                <w:szCs w:val="22"/>
                <w:lang w:val="es-CR" w:eastAsia="en-US"/>
              </w:rPr>
              <w:t xml:space="preserve">en  </w:t>
            </w:r>
            <w:r w:rsidRPr="00990FB6">
              <w:rPr>
                <w:rFonts w:eastAsia="TeXGyrePagella"/>
                <w:spacing w:val="-2"/>
                <w:sz w:val="22"/>
                <w:szCs w:val="22"/>
                <w:lang w:val="es-CR" w:eastAsia="en-US"/>
              </w:rPr>
              <w:t>riesgo</w:t>
            </w:r>
            <w:proofErr w:type="gramEnd"/>
            <w:r w:rsidRPr="00990FB6">
              <w:rPr>
                <w:rFonts w:eastAsia="TeXGyrePagella"/>
                <w:spacing w:val="-2"/>
                <w:sz w:val="22"/>
                <w:szCs w:val="22"/>
                <w:lang w:val="es-CR" w:eastAsia="en-US"/>
              </w:rPr>
              <w:t xml:space="preserve"> </w:t>
            </w:r>
            <w:r w:rsidRPr="00990FB6">
              <w:rPr>
                <w:rFonts w:eastAsia="TeXGyrePagella"/>
                <w:sz w:val="22"/>
                <w:szCs w:val="22"/>
                <w:lang w:val="es-CR" w:eastAsia="en-US"/>
              </w:rPr>
              <w:t>ante la actual</w:t>
            </w:r>
            <w:r w:rsidRPr="00990FB6">
              <w:rPr>
                <w:rFonts w:eastAsia="TeXGyrePagella"/>
                <w:spacing w:val="-3"/>
                <w:sz w:val="22"/>
                <w:szCs w:val="22"/>
                <w:lang w:val="es-CR" w:eastAsia="en-US"/>
              </w:rPr>
              <w:t xml:space="preserve"> </w:t>
            </w:r>
            <w:r w:rsidRPr="00990FB6">
              <w:rPr>
                <w:rFonts w:eastAsia="TeXGyrePagella"/>
                <w:sz w:val="22"/>
                <w:szCs w:val="22"/>
                <w:lang w:val="es-CR" w:eastAsia="en-US"/>
              </w:rPr>
              <w:t xml:space="preserve">situación </w:t>
            </w:r>
            <w:r w:rsidRPr="00990FB6">
              <w:rPr>
                <w:rFonts w:eastAsia="TeXGyrePagella"/>
                <w:sz w:val="22"/>
                <w:szCs w:val="22"/>
                <w:lang w:val="es-CR" w:eastAsia="en-US"/>
              </w:rPr>
              <w:lastRenderedPageBreak/>
              <w:t xml:space="preserve">de </w:t>
            </w:r>
            <w:r w:rsidRPr="00990FB6">
              <w:rPr>
                <w:rFonts w:eastAsia="TeXGyrePagella"/>
                <w:spacing w:val="-2"/>
                <w:sz w:val="22"/>
                <w:szCs w:val="22"/>
                <w:lang w:val="es-CR" w:eastAsia="en-US"/>
              </w:rPr>
              <w:t>inseguridad.</w:t>
            </w:r>
          </w:p>
        </w:tc>
      </w:tr>
    </w:tbl>
    <w:p w14:paraId="4215448D" w14:textId="77777777" w:rsidR="00B15F7D" w:rsidRPr="00990FB6" w:rsidRDefault="00B15F7D" w:rsidP="00B15F7D">
      <w:pPr>
        <w:jc w:val="both"/>
        <w:rPr>
          <w:sz w:val="22"/>
          <w:szCs w:val="22"/>
        </w:rPr>
        <w:sectPr w:rsidR="00B15F7D" w:rsidRPr="00990FB6">
          <w:pgSz w:w="12240" w:h="15840"/>
          <w:pgMar w:top="1380" w:right="620" w:bottom="280" w:left="880" w:header="130" w:footer="0" w:gutter="0"/>
          <w:cols w:space="720"/>
        </w:sectPr>
      </w:pPr>
    </w:p>
    <w:p w14:paraId="44F39B48" w14:textId="77777777" w:rsidR="00B15F7D" w:rsidRPr="00990FB6" w:rsidRDefault="00B15F7D" w:rsidP="00B15F7D">
      <w:pPr>
        <w:ind w:left="538"/>
        <w:rPr>
          <w:sz w:val="22"/>
          <w:szCs w:val="22"/>
        </w:rPr>
      </w:pPr>
    </w:p>
    <w:p w14:paraId="5098ECA0" w14:textId="77777777" w:rsidR="00B15F7D" w:rsidRPr="00990FB6" w:rsidRDefault="00B15F7D" w:rsidP="00B15F7D">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2072"/>
        <w:gridCol w:w="2115"/>
        <w:gridCol w:w="2257"/>
        <w:gridCol w:w="2495"/>
      </w:tblGrid>
      <w:tr w:rsidR="00B15F7D" w:rsidRPr="00990FB6" w14:paraId="1BC9DBFA" w14:textId="77777777" w:rsidTr="000A0C22">
        <w:trPr>
          <w:trHeight w:val="4829"/>
          <w:jc w:val="center"/>
        </w:trPr>
        <w:tc>
          <w:tcPr>
            <w:tcW w:w="1292" w:type="dxa"/>
          </w:tcPr>
          <w:p w14:paraId="15BA9D4E"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33317162"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0AD79159"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0AEFC785"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2BC5F808"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64C92604"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13C462DD"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701171FA"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684E7EC7"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266274FB"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10496</w:t>
            </w:r>
          </w:p>
        </w:tc>
        <w:tc>
          <w:tcPr>
            <w:tcW w:w="2072" w:type="dxa"/>
          </w:tcPr>
          <w:p w14:paraId="2A2E8F1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734FB6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69DEDF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3BF227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69A84E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EA537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88FB34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BDD582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58A9958" w14:textId="77777777" w:rsidR="00B15F7D" w:rsidRPr="00990FB6" w:rsidRDefault="00B15F7D" w:rsidP="00B15F7D">
            <w:pPr>
              <w:widowControl w:val="0"/>
              <w:suppressAutoHyphens w:val="0"/>
              <w:autoSpaceDE w:val="0"/>
              <w:autoSpaceDN w:val="0"/>
              <w:ind w:left="632" w:right="126" w:hanging="492"/>
              <w:rPr>
                <w:rFonts w:eastAsia="TeXGyrePagella"/>
                <w:sz w:val="22"/>
                <w:szCs w:val="22"/>
                <w:lang w:eastAsia="en-US"/>
              </w:rPr>
            </w:pPr>
            <w:r w:rsidRPr="00990FB6">
              <w:rPr>
                <w:rFonts w:eastAsia="TeXGyrePagella"/>
                <w:sz w:val="22"/>
                <w:szCs w:val="22"/>
                <w:lang w:eastAsia="en-US"/>
              </w:rPr>
              <w:t>Servicios</w:t>
            </w:r>
            <w:r w:rsidRPr="00990FB6">
              <w:rPr>
                <w:rFonts w:eastAsia="TeXGyrePagella"/>
                <w:spacing w:val="-14"/>
                <w:sz w:val="22"/>
                <w:szCs w:val="22"/>
                <w:lang w:eastAsia="en-US"/>
              </w:rPr>
              <w:t xml:space="preserve"> </w:t>
            </w:r>
            <w:r w:rsidRPr="00990FB6">
              <w:rPr>
                <w:rFonts w:eastAsia="TeXGyrePagella"/>
                <w:sz w:val="22"/>
                <w:szCs w:val="22"/>
                <w:lang w:eastAsia="en-US"/>
              </w:rPr>
              <w:t xml:space="preserve">Generales </w:t>
            </w:r>
            <w:r w:rsidRPr="00990FB6">
              <w:rPr>
                <w:rFonts w:eastAsia="TeXGyrePagella"/>
                <w:spacing w:val="-2"/>
                <w:sz w:val="22"/>
                <w:szCs w:val="22"/>
                <w:lang w:eastAsia="en-US"/>
              </w:rPr>
              <w:t>Limpieza</w:t>
            </w:r>
          </w:p>
        </w:tc>
        <w:tc>
          <w:tcPr>
            <w:tcW w:w="2115" w:type="dxa"/>
          </w:tcPr>
          <w:p w14:paraId="7129970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3934A5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4970BE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1B1384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6C9941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E4370C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C4A592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B4A5B3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E9971F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FB51028" w14:textId="77777777" w:rsidR="00B15F7D" w:rsidRPr="00990FB6" w:rsidRDefault="00B15F7D" w:rsidP="00B15F7D">
            <w:pPr>
              <w:widowControl w:val="0"/>
              <w:suppressAutoHyphens w:val="0"/>
              <w:autoSpaceDE w:val="0"/>
              <w:autoSpaceDN w:val="0"/>
              <w:ind w:left="194" w:right="194"/>
              <w:rPr>
                <w:rFonts w:eastAsia="TeXGyrePagella"/>
                <w:sz w:val="22"/>
                <w:szCs w:val="22"/>
                <w:lang w:eastAsia="en-US"/>
              </w:rPr>
            </w:pPr>
            <w:r w:rsidRPr="00990FB6">
              <w:rPr>
                <w:rFonts w:eastAsia="TeXGyrePagella"/>
                <w:spacing w:val="-4"/>
                <w:sz w:val="22"/>
                <w:szCs w:val="22"/>
                <w:lang w:eastAsia="en-US"/>
              </w:rPr>
              <w:t>5262</w:t>
            </w:r>
          </w:p>
        </w:tc>
        <w:tc>
          <w:tcPr>
            <w:tcW w:w="2257" w:type="dxa"/>
          </w:tcPr>
          <w:p w14:paraId="50398DB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FDC43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45DA16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705354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DD97DE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BBF8E4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EC1728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E53D59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135402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2EA99D1" w14:textId="77777777" w:rsidR="00B15F7D" w:rsidRPr="00990FB6" w:rsidRDefault="00B15F7D" w:rsidP="00B15F7D">
            <w:pPr>
              <w:widowControl w:val="0"/>
              <w:suppressAutoHyphens w:val="0"/>
              <w:autoSpaceDE w:val="0"/>
              <w:autoSpaceDN w:val="0"/>
              <w:ind w:left="254" w:right="252"/>
              <w:rPr>
                <w:rFonts w:eastAsia="TeXGyrePagella"/>
                <w:sz w:val="22"/>
                <w:szCs w:val="22"/>
                <w:lang w:eastAsia="en-US"/>
              </w:rPr>
            </w:pPr>
            <w:r w:rsidRPr="00990FB6">
              <w:rPr>
                <w:rFonts w:eastAsia="TeXGyrePagella"/>
                <w:sz w:val="22"/>
                <w:szCs w:val="22"/>
                <w:lang w:eastAsia="en-US"/>
              </w:rPr>
              <w:t>₡117</w:t>
            </w:r>
            <w:r w:rsidRPr="00990FB6">
              <w:rPr>
                <w:rFonts w:eastAsia="TeXGyrePagella"/>
                <w:spacing w:val="-7"/>
                <w:sz w:val="22"/>
                <w:szCs w:val="22"/>
                <w:lang w:eastAsia="en-US"/>
              </w:rPr>
              <w:t xml:space="preserve"> </w:t>
            </w:r>
            <w:r w:rsidRPr="00990FB6">
              <w:rPr>
                <w:rFonts w:eastAsia="TeXGyrePagella"/>
                <w:sz w:val="22"/>
                <w:szCs w:val="22"/>
                <w:lang w:eastAsia="en-US"/>
              </w:rPr>
              <w:t>757</w:t>
            </w:r>
            <w:r w:rsidRPr="00990FB6">
              <w:rPr>
                <w:rFonts w:eastAsia="TeXGyrePagella"/>
                <w:spacing w:val="-6"/>
                <w:sz w:val="22"/>
                <w:szCs w:val="22"/>
                <w:lang w:eastAsia="en-US"/>
              </w:rPr>
              <w:t xml:space="preserve"> </w:t>
            </w:r>
            <w:r w:rsidRPr="00990FB6">
              <w:rPr>
                <w:rFonts w:eastAsia="TeXGyrePagella"/>
                <w:spacing w:val="-2"/>
                <w:sz w:val="22"/>
                <w:szCs w:val="22"/>
                <w:lang w:eastAsia="en-US"/>
              </w:rPr>
              <w:t>173,25</w:t>
            </w:r>
          </w:p>
        </w:tc>
        <w:tc>
          <w:tcPr>
            <w:tcW w:w="2495" w:type="dxa"/>
          </w:tcPr>
          <w:p w14:paraId="5D1BC09D" w14:textId="77777777" w:rsidR="00B15F7D" w:rsidRPr="00990FB6" w:rsidRDefault="00B15F7D" w:rsidP="00B15F7D">
            <w:pPr>
              <w:widowControl w:val="0"/>
              <w:tabs>
                <w:tab w:val="left" w:pos="892"/>
                <w:tab w:val="left" w:pos="942"/>
                <w:tab w:val="left" w:pos="1013"/>
                <w:tab w:val="left" w:pos="1441"/>
                <w:tab w:val="left" w:pos="1496"/>
                <w:tab w:val="left" w:pos="1527"/>
                <w:tab w:val="left" w:pos="1699"/>
                <w:tab w:val="left" w:pos="1885"/>
                <w:tab w:val="left" w:pos="2020"/>
                <w:tab w:val="left" w:pos="2265"/>
              </w:tabs>
              <w:suppressAutoHyphens w:val="0"/>
              <w:autoSpaceDE w:val="0"/>
              <w:autoSpaceDN w:val="0"/>
              <w:ind w:left="67" w:right="62"/>
              <w:jc w:val="both"/>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contractual existente.</w:t>
            </w:r>
          </w:p>
          <w:p w14:paraId="0CB93123"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379EC6FC" w14:textId="77777777" w:rsidR="00B15F7D" w:rsidRPr="00990FB6" w:rsidRDefault="00B15F7D" w:rsidP="00B15F7D">
            <w:pPr>
              <w:widowControl w:val="0"/>
              <w:suppressAutoHyphens w:val="0"/>
              <w:autoSpaceDE w:val="0"/>
              <w:autoSpaceDN w:val="0"/>
              <w:ind w:left="67" w:right="61"/>
              <w:jc w:val="both"/>
              <w:rPr>
                <w:rFonts w:eastAsia="TeXGyrePagella"/>
                <w:sz w:val="22"/>
                <w:szCs w:val="22"/>
                <w:lang w:val="es-CR" w:eastAsia="en-US"/>
              </w:rPr>
            </w:pPr>
            <w:r w:rsidRPr="00990FB6">
              <w:rPr>
                <w:rFonts w:eastAsia="TeXGyrePagella"/>
                <w:sz w:val="22"/>
                <w:szCs w:val="22"/>
                <w:lang w:val="es-CR" w:eastAsia="en-US"/>
              </w:rPr>
              <w:t>Recortar puestos de limpieza,</w:t>
            </w:r>
            <w:r w:rsidRPr="00990FB6">
              <w:rPr>
                <w:rFonts w:eastAsia="TeXGyrePagella"/>
                <w:spacing w:val="-8"/>
                <w:sz w:val="22"/>
                <w:szCs w:val="22"/>
                <w:lang w:val="es-CR" w:eastAsia="en-US"/>
              </w:rPr>
              <w:t xml:space="preserve"> </w:t>
            </w:r>
            <w:r w:rsidRPr="00990FB6">
              <w:rPr>
                <w:rFonts w:eastAsia="TeXGyrePagella"/>
                <w:sz w:val="22"/>
                <w:szCs w:val="22"/>
                <w:lang w:val="es-CR" w:eastAsia="en-US"/>
              </w:rPr>
              <w:t>lo</w:t>
            </w:r>
            <w:r w:rsidRPr="00990FB6">
              <w:rPr>
                <w:rFonts w:eastAsia="TeXGyrePagella"/>
                <w:spacing w:val="-8"/>
                <w:sz w:val="22"/>
                <w:szCs w:val="22"/>
                <w:lang w:val="es-CR" w:eastAsia="en-US"/>
              </w:rPr>
              <w:t xml:space="preserve"> </w:t>
            </w:r>
            <w:r w:rsidRPr="00990FB6">
              <w:rPr>
                <w:rFonts w:eastAsia="TeXGyrePagella"/>
                <w:sz w:val="22"/>
                <w:szCs w:val="22"/>
                <w:lang w:val="es-CR" w:eastAsia="en-US"/>
              </w:rPr>
              <w:t>que</w:t>
            </w:r>
            <w:r w:rsidRPr="00990FB6">
              <w:rPr>
                <w:rFonts w:eastAsia="TeXGyrePagella"/>
                <w:spacing w:val="-8"/>
                <w:sz w:val="22"/>
                <w:szCs w:val="22"/>
                <w:lang w:val="es-CR" w:eastAsia="en-US"/>
              </w:rPr>
              <w:t xml:space="preserve"> </w:t>
            </w:r>
            <w:r w:rsidRPr="00990FB6">
              <w:rPr>
                <w:rFonts w:eastAsia="TeXGyrePagella"/>
                <w:sz w:val="22"/>
                <w:szCs w:val="22"/>
                <w:lang w:val="es-CR" w:eastAsia="en-US"/>
              </w:rPr>
              <w:t>conlleva</w:t>
            </w:r>
            <w:r w:rsidRPr="00990FB6">
              <w:rPr>
                <w:rFonts w:eastAsia="TeXGyrePagella"/>
                <w:spacing w:val="-8"/>
                <w:sz w:val="22"/>
                <w:szCs w:val="22"/>
                <w:lang w:val="es-CR" w:eastAsia="en-US"/>
              </w:rPr>
              <w:t xml:space="preserve"> </w:t>
            </w:r>
            <w:r w:rsidRPr="00990FB6">
              <w:rPr>
                <w:rFonts w:eastAsia="TeXGyrePagella"/>
                <w:sz w:val="22"/>
                <w:szCs w:val="22"/>
                <w:lang w:val="es-CR" w:eastAsia="en-US"/>
              </w:rPr>
              <w:t>a futuras quejas ante el Ministerio de Salud, por la falta</w:t>
            </w:r>
            <w:r w:rsidRPr="00990FB6">
              <w:rPr>
                <w:rFonts w:eastAsia="TeXGyrePagella"/>
                <w:spacing w:val="16"/>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18"/>
                <w:sz w:val="22"/>
                <w:szCs w:val="22"/>
                <w:lang w:val="es-CR" w:eastAsia="en-US"/>
              </w:rPr>
              <w:t xml:space="preserve"> </w:t>
            </w:r>
            <w:r w:rsidRPr="00990FB6">
              <w:rPr>
                <w:rFonts w:eastAsia="TeXGyrePagella"/>
                <w:sz w:val="22"/>
                <w:szCs w:val="22"/>
                <w:lang w:val="es-CR" w:eastAsia="en-US"/>
              </w:rPr>
              <w:t>aseo</w:t>
            </w:r>
            <w:r w:rsidRPr="00990FB6">
              <w:rPr>
                <w:rFonts w:eastAsia="TeXGyrePagella"/>
                <w:spacing w:val="18"/>
                <w:sz w:val="22"/>
                <w:szCs w:val="22"/>
                <w:lang w:val="es-CR" w:eastAsia="en-US"/>
              </w:rPr>
              <w:t xml:space="preserve"> </w:t>
            </w:r>
            <w:r w:rsidRPr="00990FB6">
              <w:rPr>
                <w:rFonts w:eastAsia="TeXGyrePagella"/>
                <w:sz w:val="22"/>
                <w:szCs w:val="22"/>
                <w:lang w:val="es-CR" w:eastAsia="en-US"/>
              </w:rPr>
              <w:t>en</w:t>
            </w:r>
            <w:r w:rsidRPr="00990FB6">
              <w:rPr>
                <w:rFonts w:eastAsia="TeXGyrePagella"/>
                <w:spacing w:val="18"/>
                <w:sz w:val="22"/>
                <w:szCs w:val="22"/>
                <w:lang w:val="es-CR" w:eastAsia="en-US"/>
              </w:rPr>
              <w:t xml:space="preserve"> </w:t>
            </w:r>
            <w:r w:rsidRPr="00990FB6">
              <w:rPr>
                <w:rFonts w:eastAsia="TeXGyrePagella"/>
                <w:sz w:val="22"/>
                <w:szCs w:val="22"/>
                <w:lang w:val="es-CR" w:eastAsia="en-US"/>
              </w:rPr>
              <w:t>los</w:t>
            </w:r>
            <w:r w:rsidRPr="00990FB6">
              <w:rPr>
                <w:rFonts w:eastAsia="TeXGyrePagella"/>
                <w:spacing w:val="17"/>
                <w:sz w:val="22"/>
                <w:szCs w:val="22"/>
                <w:lang w:val="es-CR" w:eastAsia="en-US"/>
              </w:rPr>
              <w:t xml:space="preserve"> </w:t>
            </w:r>
            <w:r w:rsidRPr="00990FB6">
              <w:rPr>
                <w:rFonts w:eastAsia="TeXGyrePagella"/>
                <w:spacing w:val="-2"/>
                <w:sz w:val="22"/>
                <w:szCs w:val="22"/>
                <w:lang w:val="es-CR" w:eastAsia="en-US"/>
              </w:rPr>
              <w:t>sitios</w:t>
            </w:r>
          </w:p>
          <w:p w14:paraId="61447F05" w14:textId="77777777" w:rsidR="00B15F7D" w:rsidRPr="00990FB6" w:rsidRDefault="00B15F7D" w:rsidP="00B15F7D">
            <w:pPr>
              <w:widowControl w:val="0"/>
              <w:suppressAutoHyphens w:val="0"/>
              <w:autoSpaceDE w:val="0"/>
              <w:autoSpaceDN w:val="0"/>
              <w:ind w:left="67"/>
              <w:jc w:val="both"/>
              <w:rPr>
                <w:rFonts w:eastAsia="TeXGyrePagella"/>
                <w:sz w:val="22"/>
                <w:szCs w:val="22"/>
                <w:lang w:eastAsia="en-US"/>
              </w:rPr>
            </w:pPr>
            <w:r w:rsidRPr="00990FB6">
              <w:rPr>
                <w:rFonts w:eastAsia="TeXGyrePagella"/>
                <w:sz w:val="22"/>
                <w:szCs w:val="22"/>
                <w:lang w:eastAsia="en-US"/>
              </w:rPr>
              <w:t>de</w:t>
            </w:r>
            <w:r w:rsidRPr="00990FB6">
              <w:rPr>
                <w:rFonts w:eastAsia="TeXGyrePagella"/>
                <w:spacing w:val="-6"/>
                <w:sz w:val="22"/>
                <w:szCs w:val="22"/>
                <w:lang w:eastAsia="en-US"/>
              </w:rPr>
              <w:t xml:space="preserve"> </w:t>
            </w:r>
            <w:r w:rsidRPr="00990FB6">
              <w:rPr>
                <w:rFonts w:eastAsia="TeXGyrePagella"/>
                <w:spacing w:val="-2"/>
                <w:sz w:val="22"/>
                <w:szCs w:val="22"/>
                <w:lang w:eastAsia="en-US"/>
              </w:rPr>
              <w:t>trabajo.</w:t>
            </w:r>
          </w:p>
        </w:tc>
      </w:tr>
      <w:tr w:rsidR="00B15F7D" w:rsidRPr="00990FB6" w14:paraId="5967329D" w14:textId="77777777" w:rsidTr="000A0C22">
        <w:trPr>
          <w:trHeight w:val="1550"/>
          <w:jc w:val="center"/>
        </w:trPr>
        <w:tc>
          <w:tcPr>
            <w:tcW w:w="1292" w:type="dxa"/>
          </w:tcPr>
          <w:p w14:paraId="2A08D4A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FD29B1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D941FA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68E941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6D43B6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6F8B53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E4CD90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52F619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5BF116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E0C784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F705641"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10201</w:t>
            </w:r>
          </w:p>
        </w:tc>
        <w:tc>
          <w:tcPr>
            <w:tcW w:w="2072" w:type="dxa"/>
          </w:tcPr>
          <w:p w14:paraId="33A9B02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FD7153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955CB6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B6901E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7A48A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C419A1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BC0338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785821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7DD2B4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AD180EF" w14:textId="77777777" w:rsidR="00B15F7D" w:rsidRPr="00990FB6" w:rsidRDefault="00B15F7D" w:rsidP="00B15F7D">
            <w:pPr>
              <w:widowControl w:val="0"/>
              <w:suppressAutoHyphens w:val="0"/>
              <w:autoSpaceDE w:val="0"/>
              <w:autoSpaceDN w:val="0"/>
              <w:ind w:left="445" w:hanging="233"/>
              <w:rPr>
                <w:rFonts w:eastAsia="TeXGyrePagella"/>
                <w:sz w:val="22"/>
                <w:szCs w:val="22"/>
                <w:lang w:eastAsia="en-US"/>
              </w:rPr>
            </w:pPr>
            <w:r w:rsidRPr="00990FB6">
              <w:rPr>
                <w:rFonts w:eastAsia="TeXGyrePagella"/>
                <w:sz w:val="22"/>
                <w:szCs w:val="22"/>
                <w:lang w:eastAsia="en-US"/>
              </w:rPr>
              <w:t>Servicio</w:t>
            </w:r>
            <w:r w:rsidRPr="00990FB6">
              <w:rPr>
                <w:rFonts w:eastAsia="TeXGyrePagella"/>
                <w:spacing w:val="-13"/>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agua</w:t>
            </w:r>
            <w:r w:rsidRPr="00990FB6">
              <w:rPr>
                <w:rFonts w:eastAsia="TeXGyrePagella"/>
                <w:spacing w:val="-14"/>
                <w:sz w:val="22"/>
                <w:szCs w:val="22"/>
                <w:lang w:eastAsia="en-US"/>
              </w:rPr>
              <w:t xml:space="preserve"> </w:t>
            </w:r>
            <w:r w:rsidRPr="00990FB6">
              <w:rPr>
                <w:rFonts w:eastAsia="TeXGyrePagella"/>
                <w:sz w:val="22"/>
                <w:szCs w:val="22"/>
                <w:lang w:eastAsia="en-US"/>
              </w:rPr>
              <w:t xml:space="preserve">y </w:t>
            </w:r>
            <w:r w:rsidRPr="00990FB6">
              <w:rPr>
                <w:rFonts w:eastAsia="TeXGyrePagella"/>
                <w:spacing w:val="-2"/>
                <w:sz w:val="22"/>
                <w:szCs w:val="22"/>
                <w:lang w:eastAsia="en-US"/>
              </w:rPr>
              <w:t>alcantarillado</w:t>
            </w:r>
          </w:p>
        </w:tc>
        <w:tc>
          <w:tcPr>
            <w:tcW w:w="2115" w:type="dxa"/>
          </w:tcPr>
          <w:p w14:paraId="724C114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B3F194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EB9557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7118C2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739A13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EB4D1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5F86FF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6EB90E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22964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7ED048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D29E5B" w14:textId="77777777" w:rsidR="00B15F7D" w:rsidRPr="00990FB6" w:rsidRDefault="00B15F7D" w:rsidP="00B15F7D">
            <w:pPr>
              <w:widowControl w:val="0"/>
              <w:suppressAutoHyphens w:val="0"/>
              <w:autoSpaceDE w:val="0"/>
              <w:autoSpaceDN w:val="0"/>
              <w:ind w:left="194" w:right="194"/>
              <w:rPr>
                <w:rFonts w:eastAsia="TeXGyrePagella"/>
                <w:sz w:val="22"/>
                <w:szCs w:val="22"/>
                <w:lang w:eastAsia="en-US"/>
              </w:rPr>
            </w:pPr>
            <w:r w:rsidRPr="00990FB6">
              <w:rPr>
                <w:rFonts w:eastAsia="TeXGyrePagella"/>
                <w:spacing w:val="-4"/>
                <w:sz w:val="22"/>
                <w:szCs w:val="22"/>
                <w:lang w:eastAsia="en-US"/>
              </w:rPr>
              <w:t>1365</w:t>
            </w:r>
          </w:p>
        </w:tc>
        <w:tc>
          <w:tcPr>
            <w:tcW w:w="2257" w:type="dxa"/>
          </w:tcPr>
          <w:p w14:paraId="5D11ECA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3B0126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4BF473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91D147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BA6747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BCDE5C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F4A4C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862944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8DF38F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698448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A89B3C0" w14:textId="77777777" w:rsidR="00B15F7D" w:rsidRPr="00990FB6" w:rsidRDefault="00B15F7D" w:rsidP="00B15F7D">
            <w:pPr>
              <w:widowControl w:val="0"/>
              <w:suppressAutoHyphens w:val="0"/>
              <w:autoSpaceDE w:val="0"/>
              <w:autoSpaceDN w:val="0"/>
              <w:ind w:left="254" w:right="253"/>
              <w:rPr>
                <w:rFonts w:eastAsia="TeXGyrePagella"/>
                <w:sz w:val="22"/>
                <w:szCs w:val="22"/>
                <w:lang w:eastAsia="en-US"/>
              </w:rPr>
            </w:pPr>
            <w:r w:rsidRPr="00990FB6">
              <w:rPr>
                <w:rFonts w:eastAsia="TeXGyrePagella"/>
                <w:sz w:val="22"/>
                <w:szCs w:val="22"/>
                <w:lang w:eastAsia="en-US"/>
              </w:rPr>
              <w:t>₡26</w:t>
            </w:r>
            <w:r w:rsidRPr="00990FB6">
              <w:rPr>
                <w:rFonts w:eastAsia="TeXGyrePagella"/>
                <w:spacing w:val="-9"/>
                <w:sz w:val="22"/>
                <w:szCs w:val="22"/>
                <w:lang w:eastAsia="en-US"/>
              </w:rPr>
              <w:t xml:space="preserve"> </w:t>
            </w:r>
            <w:r w:rsidRPr="00990FB6">
              <w:rPr>
                <w:rFonts w:eastAsia="TeXGyrePagella"/>
                <w:sz w:val="22"/>
                <w:szCs w:val="22"/>
                <w:lang w:eastAsia="en-US"/>
              </w:rPr>
              <w:t>785</w:t>
            </w:r>
            <w:r w:rsidRPr="00990FB6">
              <w:rPr>
                <w:rFonts w:eastAsia="TeXGyrePagella"/>
                <w:spacing w:val="-4"/>
                <w:sz w:val="22"/>
                <w:szCs w:val="22"/>
                <w:lang w:eastAsia="en-US"/>
              </w:rPr>
              <w:t xml:space="preserve"> </w:t>
            </w:r>
            <w:r w:rsidRPr="00990FB6">
              <w:rPr>
                <w:rFonts w:eastAsia="TeXGyrePagella"/>
                <w:spacing w:val="-2"/>
                <w:sz w:val="22"/>
                <w:szCs w:val="22"/>
                <w:lang w:eastAsia="en-US"/>
              </w:rPr>
              <w:t>124,11</w:t>
            </w:r>
          </w:p>
        </w:tc>
        <w:tc>
          <w:tcPr>
            <w:tcW w:w="2495" w:type="dxa"/>
          </w:tcPr>
          <w:p w14:paraId="3FC1BC3E" w14:textId="77777777" w:rsidR="00B15F7D" w:rsidRPr="00990FB6" w:rsidRDefault="00B15F7D" w:rsidP="00B15F7D">
            <w:pPr>
              <w:widowControl w:val="0"/>
              <w:tabs>
                <w:tab w:val="left" w:pos="892"/>
                <w:tab w:val="left" w:pos="942"/>
                <w:tab w:val="left" w:pos="1013"/>
                <w:tab w:val="left" w:pos="1175"/>
                <w:tab w:val="left" w:pos="1496"/>
                <w:tab w:val="left" w:pos="1527"/>
                <w:tab w:val="left" w:pos="1699"/>
                <w:tab w:val="left" w:pos="1885"/>
                <w:tab w:val="left" w:pos="2020"/>
                <w:tab w:val="left" w:pos="2196"/>
                <w:tab w:val="left" w:pos="2265"/>
              </w:tabs>
              <w:suppressAutoHyphens w:val="0"/>
              <w:autoSpaceDE w:val="0"/>
              <w:autoSpaceDN w:val="0"/>
              <w:ind w:left="67" w:right="62"/>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lastRenderedPageBreak/>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2"/>
                <w:sz w:val="22"/>
                <w:szCs w:val="22"/>
                <w:lang w:val="es-CR" w:eastAsia="en-US"/>
              </w:rPr>
              <w:t xml:space="preserve"> </w:t>
            </w:r>
            <w:r w:rsidRPr="00990FB6">
              <w:rPr>
                <w:rFonts w:eastAsia="TeXGyrePagella"/>
                <w:sz w:val="22"/>
                <w:szCs w:val="22"/>
                <w:lang w:val="es-CR" w:eastAsia="en-US"/>
              </w:rPr>
              <w:t>pago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 xml:space="preserve">de </w:t>
            </w:r>
            <w:r w:rsidRPr="00990FB6">
              <w:rPr>
                <w:rFonts w:eastAsia="TeXGyrePagella"/>
                <w:sz w:val="22"/>
                <w:szCs w:val="22"/>
                <w:lang w:val="es-CR" w:eastAsia="en-US"/>
              </w:rPr>
              <w:t>Servicios Públicos.</w:t>
            </w:r>
          </w:p>
          <w:p w14:paraId="065F7B28"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18045ED6" w14:textId="77777777" w:rsidR="00B15F7D" w:rsidRPr="00990FB6" w:rsidRDefault="00B15F7D" w:rsidP="00B15F7D">
            <w:pPr>
              <w:widowControl w:val="0"/>
              <w:suppressAutoHyphens w:val="0"/>
              <w:autoSpaceDE w:val="0"/>
              <w:autoSpaceDN w:val="0"/>
              <w:ind w:left="67" w:right="62"/>
              <w:jc w:val="both"/>
              <w:rPr>
                <w:rFonts w:eastAsia="TeXGyrePagella"/>
                <w:sz w:val="22"/>
                <w:szCs w:val="22"/>
                <w:lang w:eastAsia="en-US"/>
              </w:rPr>
            </w:pPr>
            <w:r w:rsidRPr="00990FB6">
              <w:rPr>
                <w:rFonts w:eastAsia="TeXGyrePagella"/>
                <w:sz w:val="22"/>
                <w:szCs w:val="22"/>
                <w:lang w:eastAsia="en-US"/>
              </w:rPr>
              <w:t>Implica una mala práctica en la formulación presupuestaria y un impacto</w:t>
            </w:r>
            <w:r w:rsidRPr="00990FB6">
              <w:rPr>
                <w:rFonts w:eastAsia="TeXGyrePagella"/>
                <w:spacing w:val="-10"/>
                <w:sz w:val="22"/>
                <w:szCs w:val="22"/>
                <w:lang w:eastAsia="en-US"/>
              </w:rPr>
              <w:t xml:space="preserve"> </w:t>
            </w:r>
            <w:r w:rsidRPr="00990FB6">
              <w:rPr>
                <w:rFonts w:eastAsia="TeXGyrePagella"/>
                <w:sz w:val="22"/>
                <w:szCs w:val="22"/>
                <w:lang w:eastAsia="en-US"/>
              </w:rPr>
              <w:t>en</w:t>
            </w:r>
            <w:r w:rsidRPr="00990FB6">
              <w:rPr>
                <w:rFonts w:eastAsia="TeXGyrePagella"/>
                <w:spacing w:val="-10"/>
                <w:sz w:val="22"/>
                <w:szCs w:val="22"/>
                <w:lang w:eastAsia="en-US"/>
              </w:rPr>
              <w:t xml:space="preserve"> </w:t>
            </w:r>
            <w:r w:rsidRPr="00990FB6">
              <w:rPr>
                <w:rFonts w:eastAsia="TeXGyrePagella"/>
                <w:sz w:val="22"/>
                <w:szCs w:val="22"/>
                <w:lang w:eastAsia="en-US"/>
              </w:rPr>
              <w:t>el</w:t>
            </w:r>
            <w:r w:rsidRPr="00990FB6">
              <w:rPr>
                <w:rFonts w:eastAsia="TeXGyrePagella"/>
                <w:spacing w:val="-11"/>
                <w:sz w:val="22"/>
                <w:szCs w:val="22"/>
                <w:lang w:eastAsia="en-US"/>
              </w:rPr>
              <w:t xml:space="preserve"> </w:t>
            </w:r>
            <w:r w:rsidRPr="00990FB6">
              <w:rPr>
                <w:rFonts w:eastAsia="TeXGyrePagella"/>
                <w:sz w:val="22"/>
                <w:szCs w:val="22"/>
                <w:lang w:eastAsia="en-US"/>
              </w:rPr>
              <w:t>presupuesto del año 2025, al trasladar el pago del mes de diciembre</w:t>
            </w:r>
            <w:r w:rsidRPr="00990FB6">
              <w:rPr>
                <w:rFonts w:eastAsia="TeXGyrePagella"/>
                <w:spacing w:val="21"/>
                <w:sz w:val="22"/>
                <w:szCs w:val="22"/>
                <w:lang w:eastAsia="en-US"/>
              </w:rPr>
              <w:t xml:space="preserve"> </w:t>
            </w:r>
            <w:r w:rsidRPr="00990FB6">
              <w:rPr>
                <w:rFonts w:eastAsia="TeXGyrePagella"/>
                <w:sz w:val="22"/>
                <w:szCs w:val="22"/>
                <w:lang w:eastAsia="en-US"/>
              </w:rPr>
              <w:t>de</w:t>
            </w:r>
            <w:r w:rsidRPr="00990FB6">
              <w:rPr>
                <w:rFonts w:eastAsia="TeXGyrePagella"/>
                <w:spacing w:val="22"/>
                <w:sz w:val="22"/>
                <w:szCs w:val="22"/>
                <w:lang w:eastAsia="en-US"/>
              </w:rPr>
              <w:t xml:space="preserve"> </w:t>
            </w:r>
            <w:r w:rsidRPr="00990FB6">
              <w:rPr>
                <w:rFonts w:eastAsia="TeXGyrePagella"/>
                <w:sz w:val="22"/>
                <w:szCs w:val="22"/>
                <w:lang w:eastAsia="en-US"/>
              </w:rPr>
              <w:t>2024</w:t>
            </w:r>
            <w:r w:rsidRPr="00990FB6">
              <w:rPr>
                <w:rFonts w:eastAsia="TeXGyrePagella"/>
                <w:spacing w:val="22"/>
                <w:sz w:val="22"/>
                <w:szCs w:val="22"/>
                <w:lang w:eastAsia="en-US"/>
              </w:rPr>
              <w:t xml:space="preserve"> </w:t>
            </w:r>
            <w:r w:rsidRPr="00990FB6">
              <w:rPr>
                <w:rFonts w:eastAsia="TeXGyrePagella"/>
                <w:sz w:val="22"/>
                <w:szCs w:val="22"/>
                <w:lang w:eastAsia="en-US"/>
              </w:rPr>
              <w:t>al</w:t>
            </w:r>
            <w:r w:rsidRPr="00990FB6">
              <w:rPr>
                <w:rFonts w:eastAsia="TeXGyrePagella"/>
                <w:spacing w:val="22"/>
                <w:sz w:val="22"/>
                <w:szCs w:val="22"/>
                <w:lang w:eastAsia="en-US"/>
              </w:rPr>
              <w:t xml:space="preserve"> </w:t>
            </w:r>
            <w:r w:rsidRPr="00990FB6">
              <w:rPr>
                <w:rFonts w:eastAsia="TeXGyrePagella"/>
                <w:spacing w:val="-5"/>
                <w:sz w:val="22"/>
                <w:szCs w:val="22"/>
                <w:lang w:eastAsia="en-US"/>
              </w:rPr>
              <w:t>año</w:t>
            </w:r>
          </w:p>
          <w:p w14:paraId="7AB6FF25" w14:textId="77777777" w:rsidR="00B15F7D" w:rsidRPr="00990FB6" w:rsidRDefault="00B15F7D" w:rsidP="00B15F7D">
            <w:pPr>
              <w:widowControl w:val="0"/>
              <w:suppressAutoHyphens w:val="0"/>
              <w:autoSpaceDE w:val="0"/>
              <w:autoSpaceDN w:val="0"/>
              <w:ind w:left="67"/>
              <w:rPr>
                <w:rFonts w:eastAsia="TeXGyrePagella"/>
                <w:sz w:val="22"/>
                <w:szCs w:val="22"/>
                <w:lang w:eastAsia="en-US"/>
              </w:rPr>
            </w:pPr>
            <w:r w:rsidRPr="00990FB6">
              <w:rPr>
                <w:rFonts w:eastAsia="TeXGyrePagella"/>
                <w:spacing w:val="-2"/>
                <w:sz w:val="22"/>
                <w:szCs w:val="22"/>
                <w:lang w:eastAsia="en-US"/>
              </w:rPr>
              <w:t>siguiente.</w:t>
            </w:r>
          </w:p>
        </w:tc>
      </w:tr>
    </w:tbl>
    <w:p w14:paraId="670D9AC2" w14:textId="77777777" w:rsidR="00B15F7D" w:rsidRPr="00990FB6" w:rsidRDefault="00B15F7D" w:rsidP="00B15F7D">
      <w:pPr>
        <w:rPr>
          <w:sz w:val="22"/>
          <w:szCs w:val="22"/>
        </w:rPr>
      </w:pPr>
    </w:p>
    <w:tbl>
      <w:tblPr>
        <w:tblW w:w="10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2072"/>
        <w:gridCol w:w="2115"/>
        <w:gridCol w:w="2257"/>
        <w:gridCol w:w="2495"/>
      </w:tblGrid>
      <w:tr w:rsidR="00B15F7D" w:rsidRPr="00990FB6" w14:paraId="43C4E5CB" w14:textId="77777777" w:rsidTr="000A0C22">
        <w:trPr>
          <w:trHeight w:val="5034"/>
          <w:jc w:val="center"/>
        </w:trPr>
        <w:tc>
          <w:tcPr>
            <w:tcW w:w="1292" w:type="dxa"/>
          </w:tcPr>
          <w:p w14:paraId="0FF6E9A2" w14:textId="77777777" w:rsidR="00B15F7D" w:rsidRPr="00990FB6" w:rsidRDefault="00B15F7D" w:rsidP="00B15F7D">
            <w:pPr>
              <w:widowControl w:val="0"/>
              <w:suppressAutoHyphens w:val="0"/>
              <w:autoSpaceDE w:val="0"/>
              <w:autoSpaceDN w:val="0"/>
              <w:rPr>
                <w:rFonts w:eastAsia="TeXGyrePagella"/>
                <w:sz w:val="22"/>
                <w:szCs w:val="22"/>
                <w:lang w:eastAsia="en-US"/>
              </w:rPr>
            </w:pPr>
            <w:r w:rsidRPr="00990FB6">
              <w:rPr>
                <w:sz w:val="22"/>
                <w:szCs w:val="22"/>
              </w:rPr>
              <w:tab/>
            </w:r>
          </w:p>
          <w:p w14:paraId="0E6DA79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FC25CF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E7529C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FD16E8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08AB90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4E8A54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C1A1C1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B4834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81D54B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8470DF3"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10202</w:t>
            </w:r>
          </w:p>
        </w:tc>
        <w:tc>
          <w:tcPr>
            <w:tcW w:w="2072" w:type="dxa"/>
          </w:tcPr>
          <w:p w14:paraId="18EF029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443102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CEA17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1147BF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9E5702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20B65F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52F6F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BD8BE5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50BD9D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2AFED48" w14:textId="77777777" w:rsidR="00B15F7D" w:rsidRPr="00990FB6" w:rsidRDefault="00B15F7D" w:rsidP="00B15F7D">
            <w:pPr>
              <w:widowControl w:val="0"/>
              <w:suppressAutoHyphens w:val="0"/>
              <w:autoSpaceDE w:val="0"/>
              <w:autoSpaceDN w:val="0"/>
              <w:ind w:left="661" w:hanging="488"/>
              <w:rPr>
                <w:rFonts w:eastAsia="TeXGyrePagella"/>
                <w:sz w:val="22"/>
                <w:szCs w:val="22"/>
                <w:lang w:eastAsia="en-US"/>
              </w:rPr>
            </w:pPr>
            <w:r w:rsidRPr="00990FB6">
              <w:rPr>
                <w:rFonts w:eastAsia="TeXGyrePagella"/>
                <w:sz w:val="22"/>
                <w:szCs w:val="22"/>
                <w:lang w:eastAsia="en-US"/>
              </w:rPr>
              <w:t>Servicio</w:t>
            </w:r>
            <w:r w:rsidRPr="00990FB6">
              <w:rPr>
                <w:rFonts w:eastAsia="TeXGyrePagella"/>
                <w:spacing w:val="-14"/>
                <w:sz w:val="22"/>
                <w:szCs w:val="22"/>
                <w:lang w:eastAsia="en-US"/>
              </w:rPr>
              <w:t xml:space="preserve"> </w:t>
            </w:r>
            <w:r w:rsidRPr="00990FB6">
              <w:rPr>
                <w:rFonts w:eastAsia="TeXGyrePagella"/>
                <w:sz w:val="22"/>
                <w:szCs w:val="22"/>
                <w:lang w:eastAsia="en-US"/>
              </w:rPr>
              <w:t>de</w:t>
            </w:r>
            <w:r w:rsidRPr="00990FB6">
              <w:rPr>
                <w:rFonts w:eastAsia="TeXGyrePagella"/>
                <w:spacing w:val="-14"/>
                <w:sz w:val="22"/>
                <w:szCs w:val="22"/>
                <w:lang w:eastAsia="en-US"/>
              </w:rPr>
              <w:t xml:space="preserve"> </w:t>
            </w:r>
            <w:r w:rsidRPr="00990FB6">
              <w:rPr>
                <w:rFonts w:eastAsia="TeXGyrePagella"/>
                <w:sz w:val="22"/>
                <w:szCs w:val="22"/>
                <w:lang w:eastAsia="en-US"/>
              </w:rPr>
              <w:t xml:space="preserve">energía </w:t>
            </w:r>
            <w:r w:rsidRPr="00990FB6">
              <w:rPr>
                <w:rFonts w:eastAsia="TeXGyrePagella"/>
                <w:spacing w:val="-2"/>
                <w:sz w:val="22"/>
                <w:szCs w:val="22"/>
                <w:lang w:eastAsia="en-US"/>
              </w:rPr>
              <w:t>eléctrica</w:t>
            </w:r>
          </w:p>
        </w:tc>
        <w:tc>
          <w:tcPr>
            <w:tcW w:w="2115" w:type="dxa"/>
          </w:tcPr>
          <w:p w14:paraId="122ED29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9512F1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A87549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4C55EF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2D97E2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CC9762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7C5D9A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C3AE92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B104E9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BA30E1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960FE32" w14:textId="77777777" w:rsidR="00B15F7D" w:rsidRPr="00990FB6" w:rsidRDefault="00B15F7D" w:rsidP="00B15F7D">
            <w:pPr>
              <w:widowControl w:val="0"/>
              <w:suppressAutoHyphens w:val="0"/>
              <w:autoSpaceDE w:val="0"/>
              <w:autoSpaceDN w:val="0"/>
              <w:ind w:left="194" w:right="194"/>
              <w:rPr>
                <w:rFonts w:eastAsia="TeXGyrePagella"/>
                <w:sz w:val="22"/>
                <w:szCs w:val="22"/>
                <w:lang w:eastAsia="en-US"/>
              </w:rPr>
            </w:pPr>
            <w:r w:rsidRPr="00990FB6">
              <w:rPr>
                <w:rFonts w:eastAsia="TeXGyrePagella"/>
                <w:spacing w:val="-4"/>
                <w:sz w:val="22"/>
                <w:szCs w:val="22"/>
                <w:lang w:eastAsia="en-US"/>
              </w:rPr>
              <w:t>2181</w:t>
            </w:r>
          </w:p>
        </w:tc>
        <w:tc>
          <w:tcPr>
            <w:tcW w:w="2257" w:type="dxa"/>
          </w:tcPr>
          <w:p w14:paraId="29049C9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F7C07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BA07CB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6DE25C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35BB88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0C200B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DA2036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699CF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DB6F86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F64223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F827F69" w14:textId="77777777" w:rsidR="00B15F7D" w:rsidRPr="00990FB6" w:rsidRDefault="00B15F7D" w:rsidP="00B15F7D">
            <w:pPr>
              <w:widowControl w:val="0"/>
              <w:suppressAutoHyphens w:val="0"/>
              <w:autoSpaceDE w:val="0"/>
              <w:autoSpaceDN w:val="0"/>
              <w:ind w:left="254" w:right="253"/>
              <w:rPr>
                <w:rFonts w:eastAsia="TeXGyrePagella"/>
                <w:sz w:val="22"/>
                <w:szCs w:val="22"/>
                <w:lang w:eastAsia="en-US"/>
              </w:rPr>
            </w:pPr>
            <w:r w:rsidRPr="00990FB6">
              <w:rPr>
                <w:rFonts w:eastAsia="TeXGyrePagella"/>
                <w:sz w:val="22"/>
                <w:szCs w:val="22"/>
                <w:lang w:eastAsia="en-US"/>
              </w:rPr>
              <w:t>₡89</w:t>
            </w:r>
            <w:r w:rsidRPr="00990FB6">
              <w:rPr>
                <w:rFonts w:eastAsia="TeXGyrePagella"/>
                <w:spacing w:val="-9"/>
                <w:sz w:val="22"/>
                <w:szCs w:val="22"/>
                <w:lang w:eastAsia="en-US"/>
              </w:rPr>
              <w:t xml:space="preserve"> </w:t>
            </w:r>
            <w:r w:rsidRPr="00990FB6">
              <w:rPr>
                <w:rFonts w:eastAsia="TeXGyrePagella"/>
                <w:sz w:val="22"/>
                <w:szCs w:val="22"/>
                <w:lang w:eastAsia="en-US"/>
              </w:rPr>
              <w:t>316</w:t>
            </w:r>
            <w:r w:rsidRPr="00990FB6">
              <w:rPr>
                <w:rFonts w:eastAsia="TeXGyrePagella"/>
                <w:spacing w:val="-4"/>
                <w:sz w:val="22"/>
                <w:szCs w:val="22"/>
                <w:lang w:eastAsia="en-US"/>
              </w:rPr>
              <w:t xml:space="preserve"> </w:t>
            </w:r>
            <w:r w:rsidRPr="00990FB6">
              <w:rPr>
                <w:rFonts w:eastAsia="TeXGyrePagella"/>
                <w:spacing w:val="-2"/>
                <w:sz w:val="22"/>
                <w:szCs w:val="22"/>
                <w:lang w:eastAsia="en-US"/>
              </w:rPr>
              <w:t>652,39</w:t>
            </w:r>
          </w:p>
        </w:tc>
        <w:tc>
          <w:tcPr>
            <w:tcW w:w="2495" w:type="dxa"/>
          </w:tcPr>
          <w:p w14:paraId="5C5EC5A5" w14:textId="77777777" w:rsidR="00B15F7D" w:rsidRPr="00990FB6" w:rsidRDefault="00B15F7D" w:rsidP="00B15F7D">
            <w:pPr>
              <w:widowControl w:val="0"/>
              <w:tabs>
                <w:tab w:val="left" w:pos="892"/>
                <w:tab w:val="left" w:pos="942"/>
                <w:tab w:val="left" w:pos="1013"/>
                <w:tab w:val="left" w:pos="1175"/>
                <w:tab w:val="left" w:pos="1496"/>
                <w:tab w:val="left" w:pos="1527"/>
                <w:tab w:val="left" w:pos="1699"/>
                <w:tab w:val="left" w:pos="1885"/>
                <w:tab w:val="left" w:pos="2020"/>
                <w:tab w:val="left" w:pos="2196"/>
                <w:tab w:val="left" w:pos="2265"/>
              </w:tabs>
              <w:suppressAutoHyphens w:val="0"/>
              <w:autoSpaceDE w:val="0"/>
              <w:autoSpaceDN w:val="0"/>
              <w:ind w:left="67" w:right="62"/>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 xml:space="preserve"> </w:t>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2"/>
                <w:sz w:val="22"/>
                <w:szCs w:val="22"/>
                <w:lang w:val="es-CR" w:eastAsia="en-US"/>
              </w:rPr>
              <w:t xml:space="preserve"> </w:t>
            </w:r>
            <w:r w:rsidRPr="00990FB6">
              <w:rPr>
                <w:rFonts w:eastAsia="TeXGyrePagella"/>
                <w:sz w:val="22"/>
                <w:szCs w:val="22"/>
                <w:lang w:val="es-CR" w:eastAsia="en-US"/>
              </w:rPr>
              <w:t>pago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 xml:space="preserve">de </w:t>
            </w:r>
            <w:r w:rsidRPr="00990FB6">
              <w:rPr>
                <w:rFonts w:eastAsia="TeXGyrePagella"/>
                <w:sz w:val="22"/>
                <w:szCs w:val="22"/>
                <w:lang w:val="es-CR" w:eastAsia="en-US"/>
              </w:rPr>
              <w:t>Servicios Públicos.</w:t>
            </w:r>
          </w:p>
          <w:p w14:paraId="3AD1375D"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0745BE42" w14:textId="77777777" w:rsidR="00B15F7D" w:rsidRPr="00990FB6" w:rsidRDefault="00B15F7D" w:rsidP="00B15F7D">
            <w:pPr>
              <w:widowControl w:val="0"/>
              <w:suppressAutoHyphens w:val="0"/>
              <w:autoSpaceDE w:val="0"/>
              <w:autoSpaceDN w:val="0"/>
              <w:ind w:left="67" w:right="62"/>
              <w:jc w:val="both"/>
              <w:rPr>
                <w:rFonts w:eastAsia="TeXGyrePagella"/>
                <w:sz w:val="22"/>
                <w:szCs w:val="22"/>
                <w:lang w:eastAsia="en-US"/>
              </w:rPr>
            </w:pPr>
            <w:r w:rsidRPr="00990FB6">
              <w:rPr>
                <w:rFonts w:eastAsia="TeXGyrePagella"/>
                <w:sz w:val="22"/>
                <w:szCs w:val="22"/>
                <w:lang w:eastAsia="en-US"/>
              </w:rPr>
              <w:t>Implica una mala práctica en la formulación presupuestaria y un impacto</w:t>
            </w:r>
            <w:r w:rsidRPr="00990FB6">
              <w:rPr>
                <w:rFonts w:eastAsia="TeXGyrePagella"/>
                <w:spacing w:val="-10"/>
                <w:sz w:val="22"/>
                <w:szCs w:val="22"/>
                <w:lang w:eastAsia="en-US"/>
              </w:rPr>
              <w:t xml:space="preserve"> </w:t>
            </w:r>
            <w:r w:rsidRPr="00990FB6">
              <w:rPr>
                <w:rFonts w:eastAsia="TeXGyrePagella"/>
                <w:sz w:val="22"/>
                <w:szCs w:val="22"/>
                <w:lang w:eastAsia="en-US"/>
              </w:rPr>
              <w:t>en</w:t>
            </w:r>
            <w:r w:rsidRPr="00990FB6">
              <w:rPr>
                <w:rFonts w:eastAsia="TeXGyrePagella"/>
                <w:spacing w:val="-10"/>
                <w:sz w:val="22"/>
                <w:szCs w:val="22"/>
                <w:lang w:eastAsia="en-US"/>
              </w:rPr>
              <w:t xml:space="preserve"> </w:t>
            </w:r>
            <w:r w:rsidRPr="00990FB6">
              <w:rPr>
                <w:rFonts w:eastAsia="TeXGyrePagella"/>
                <w:sz w:val="22"/>
                <w:szCs w:val="22"/>
                <w:lang w:eastAsia="en-US"/>
              </w:rPr>
              <w:t>el</w:t>
            </w:r>
            <w:r w:rsidRPr="00990FB6">
              <w:rPr>
                <w:rFonts w:eastAsia="TeXGyrePagella"/>
                <w:spacing w:val="-11"/>
                <w:sz w:val="22"/>
                <w:szCs w:val="22"/>
                <w:lang w:eastAsia="en-US"/>
              </w:rPr>
              <w:t xml:space="preserve"> </w:t>
            </w:r>
            <w:r w:rsidRPr="00990FB6">
              <w:rPr>
                <w:rFonts w:eastAsia="TeXGyrePagella"/>
                <w:sz w:val="22"/>
                <w:szCs w:val="22"/>
                <w:lang w:eastAsia="en-US"/>
              </w:rPr>
              <w:t xml:space="preserve">presupuesto del año 2025, al trasladar el </w:t>
            </w:r>
            <w:r w:rsidRPr="00990FB6">
              <w:rPr>
                <w:rFonts w:eastAsia="TeXGyrePagella"/>
                <w:sz w:val="22"/>
                <w:szCs w:val="22"/>
                <w:lang w:eastAsia="en-US"/>
              </w:rPr>
              <w:lastRenderedPageBreak/>
              <w:t>pago del mes de diciembre</w:t>
            </w:r>
            <w:r w:rsidRPr="00990FB6">
              <w:rPr>
                <w:rFonts w:eastAsia="TeXGyrePagella"/>
                <w:spacing w:val="21"/>
                <w:sz w:val="22"/>
                <w:szCs w:val="22"/>
                <w:lang w:eastAsia="en-US"/>
              </w:rPr>
              <w:t xml:space="preserve"> </w:t>
            </w:r>
            <w:r w:rsidRPr="00990FB6">
              <w:rPr>
                <w:rFonts w:eastAsia="TeXGyrePagella"/>
                <w:sz w:val="22"/>
                <w:szCs w:val="22"/>
                <w:lang w:eastAsia="en-US"/>
              </w:rPr>
              <w:t>de</w:t>
            </w:r>
            <w:r w:rsidRPr="00990FB6">
              <w:rPr>
                <w:rFonts w:eastAsia="TeXGyrePagella"/>
                <w:spacing w:val="22"/>
                <w:sz w:val="22"/>
                <w:szCs w:val="22"/>
                <w:lang w:eastAsia="en-US"/>
              </w:rPr>
              <w:t xml:space="preserve"> </w:t>
            </w:r>
            <w:r w:rsidRPr="00990FB6">
              <w:rPr>
                <w:rFonts w:eastAsia="TeXGyrePagella"/>
                <w:sz w:val="22"/>
                <w:szCs w:val="22"/>
                <w:lang w:eastAsia="en-US"/>
              </w:rPr>
              <w:t>2024</w:t>
            </w:r>
            <w:r w:rsidRPr="00990FB6">
              <w:rPr>
                <w:rFonts w:eastAsia="TeXGyrePagella"/>
                <w:spacing w:val="22"/>
                <w:sz w:val="22"/>
                <w:szCs w:val="22"/>
                <w:lang w:eastAsia="en-US"/>
              </w:rPr>
              <w:t xml:space="preserve"> </w:t>
            </w:r>
            <w:r w:rsidRPr="00990FB6">
              <w:rPr>
                <w:rFonts w:eastAsia="TeXGyrePagella"/>
                <w:sz w:val="22"/>
                <w:szCs w:val="22"/>
                <w:lang w:eastAsia="en-US"/>
              </w:rPr>
              <w:t>al</w:t>
            </w:r>
            <w:r w:rsidRPr="00990FB6">
              <w:rPr>
                <w:rFonts w:eastAsia="TeXGyrePagella"/>
                <w:spacing w:val="22"/>
                <w:sz w:val="22"/>
                <w:szCs w:val="22"/>
                <w:lang w:eastAsia="en-US"/>
              </w:rPr>
              <w:t xml:space="preserve"> </w:t>
            </w:r>
            <w:r w:rsidRPr="00990FB6">
              <w:rPr>
                <w:rFonts w:eastAsia="TeXGyrePagella"/>
                <w:spacing w:val="-5"/>
                <w:sz w:val="22"/>
                <w:szCs w:val="22"/>
                <w:lang w:eastAsia="en-US"/>
              </w:rPr>
              <w:t>año</w:t>
            </w:r>
          </w:p>
          <w:p w14:paraId="19A0AACB" w14:textId="77777777" w:rsidR="00B15F7D" w:rsidRPr="00990FB6" w:rsidRDefault="00B15F7D" w:rsidP="00B15F7D">
            <w:pPr>
              <w:widowControl w:val="0"/>
              <w:suppressAutoHyphens w:val="0"/>
              <w:autoSpaceDE w:val="0"/>
              <w:autoSpaceDN w:val="0"/>
              <w:ind w:left="67"/>
              <w:rPr>
                <w:rFonts w:eastAsia="TeXGyrePagella"/>
                <w:sz w:val="22"/>
                <w:szCs w:val="22"/>
                <w:lang w:eastAsia="en-US"/>
              </w:rPr>
            </w:pPr>
            <w:r w:rsidRPr="00990FB6">
              <w:rPr>
                <w:rFonts w:eastAsia="TeXGyrePagella"/>
                <w:spacing w:val="-2"/>
                <w:sz w:val="22"/>
                <w:szCs w:val="22"/>
                <w:lang w:eastAsia="en-US"/>
              </w:rPr>
              <w:t>siguiente.</w:t>
            </w:r>
          </w:p>
        </w:tc>
      </w:tr>
      <w:tr w:rsidR="00B15F7D" w:rsidRPr="00990FB6" w14:paraId="49AF9B08" w14:textId="77777777" w:rsidTr="000A0C22">
        <w:trPr>
          <w:trHeight w:val="4967"/>
          <w:jc w:val="center"/>
        </w:trPr>
        <w:tc>
          <w:tcPr>
            <w:tcW w:w="1292" w:type="dxa"/>
          </w:tcPr>
          <w:p w14:paraId="73B0717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2FEB2F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024463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A72E7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AF17D9"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A32C0A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15212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DA4C8C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5B65ED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060556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ABA778A"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10204</w:t>
            </w:r>
          </w:p>
        </w:tc>
        <w:tc>
          <w:tcPr>
            <w:tcW w:w="2072" w:type="dxa"/>
          </w:tcPr>
          <w:p w14:paraId="1E88B87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E1A2E3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D6C8EA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8AAB62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81AC33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5BF248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0E89D2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6E148F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BB9123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5FD4DDB" w14:textId="77777777" w:rsidR="00B15F7D" w:rsidRPr="00990FB6" w:rsidRDefault="00B15F7D" w:rsidP="00B15F7D">
            <w:pPr>
              <w:widowControl w:val="0"/>
              <w:suppressAutoHyphens w:val="0"/>
              <w:autoSpaceDE w:val="0"/>
              <w:autoSpaceDN w:val="0"/>
              <w:ind w:left="155" w:firstLine="386"/>
              <w:rPr>
                <w:rFonts w:eastAsia="TeXGyrePagella"/>
                <w:sz w:val="22"/>
                <w:szCs w:val="22"/>
                <w:lang w:eastAsia="en-US"/>
              </w:rPr>
            </w:pPr>
            <w:r w:rsidRPr="00990FB6">
              <w:rPr>
                <w:rFonts w:eastAsia="TeXGyrePagella"/>
                <w:sz w:val="22"/>
                <w:szCs w:val="22"/>
                <w:lang w:eastAsia="en-US"/>
              </w:rPr>
              <w:t xml:space="preserve">Servicio de </w:t>
            </w:r>
            <w:r w:rsidRPr="00990FB6">
              <w:rPr>
                <w:rFonts w:eastAsia="TeXGyrePagella"/>
                <w:spacing w:val="-2"/>
                <w:sz w:val="22"/>
                <w:szCs w:val="22"/>
                <w:lang w:eastAsia="en-US"/>
              </w:rPr>
              <w:t>telecomunicaciones</w:t>
            </w:r>
          </w:p>
        </w:tc>
        <w:tc>
          <w:tcPr>
            <w:tcW w:w="2115" w:type="dxa"/>
          </w:tcPr>
          <w:p w14:paraId="51A09E1A"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9DE399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D54302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1C7D090"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998E4F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9951B4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844E93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B4663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1C2D18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EE128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D4A5627" w14:textId="77777777" w:rsidR="00B15F7D" w:rsidRPr="00990FB6" w:rsidRDefault="00B15F7D" w:rsidP="00B15F7D">
            <w:pPr>
              <w:widowControl w:val="0"/>
              <w:suppressAutoHyphens w:val="0"/>
              <w:autoSpaceDE w:val="0"/>
              <w:autoSpaceDN w:val="0"/>
              <w:ind w:left="194" w:right="194"/>
              <w:rPr>
                <w:rFonts w:eastAsia="TeXGyrePagella"/>
                <w:sz w:val="22"/>
                <w:szCs w:val="22"/>
                <w:lang w:eastAsia="en-US"/>
              </w:rPr>
            </w:pPr>
            <w:r w:rsidRPr="00990FB6">
              <w:rPr>
                <w:rFonts w:eastAsia="TeXGyrePagella"/>
                <w:spacing w:val="-4"/>
                <w:sz w:val="22"/>
                <w:szCs w:val="22"/>
                <w:lang w:eastAsia="en-US"/>
              </w:rPr>
              <w:t>3163</w:t>
            </w:r>
          </w:p>
        </w:tc>
        <w:tc>
          <w:tcPr>
            <w:tcW w:w="2257" w:type="dxa"/>
          </w:tcPr>
          <w:p w14:paraId="27D8197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854E6E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C2A35F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A65BBC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BE1496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CC9261E"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BC82DD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994060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EB8CBE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272688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A21E621" w14:textId="77777777" w:rsidR="00B15F7D" w:rsidRPr="00990FB6" w:rsidRDefault="00B15F7D" w:rsidP="00B15F7D">
            <w:pPr>
              <w:widowControl w:val="0"/>
              <w:suppressAutoHyphens w:val="0"/>
              <w:autoSpaceDE w:val="0"/>
              <w:autoSpaceDN w:val="0"/>
              <w:ind w:left="254" w:right="252"/>
              <w:rPr>
                <w:rFonts w:eastAsia="TeXGyrePagella"/>
                <w:sz w:val="22"/>
                <w:szCs w:val="22"/>
                <w:lang w:eastAsia="en-US"/>
              </w:rPr>
            </w:pPr>
            <w:r w:rsidRPr="00990FB6">
              <w:rPr>
                <w:rFonts w:eastAsia="TeXGyrePagella"/>
                <w:sz w:val="22"/>
                <w:szCs w:val="22"/>
                <w:lang w:eastAsia="en-US"/>
              </w:rPr>
              <w:t>₡116</w:t>
            </w:r>
            <w:r w:rsidRPr="00990FB6">
              <w:rPr>
                <w:rFonts w:eastAsia="TeXGyrePagella"/>
                <w:spacing w:val="-7"/>
                <w:sz w:val="22"/>
                <w:szCs w:val="22"/>
                <w:lang w:eastAsia="en-US"/>
              </w:rPr>
              <w:t xml:space="preserve"> </w:t>
            </w:r>
            <w:r w:rsidRPr="00990FB6">
              <w:rPr>
                <w:rFonts w:eastAsia="TeXGyrePagella"/>
                <w:sz w:val="22"/>
                <w:szCs w:val="22"/>
                <w:lang w:eastAsia="en-US"/>
              </w:rPr>
              <w:t>905</w:t>
            </w:r>
            <w:r w:rsidRPr="00990FB6">
              <w:rPr>
                <w:rFonts w:eastAsia="TeXGyrePagella"/>
                <w:spacing w:val="-6"/>
                <w:sz w:val="22"/>
                <w:szCs w:val="22"/>
                <w:lang w:eastAsia="en-US"/>
              </w:rPr>
              <w:t xml:space="preserve"> </w:t>
            </w:r>
            <w:r w:rsidRPr="00990FB6">
              <w:rPr>
                <w:rFonts w:eastAsia="TeXGyrePagella"/>
                <w:spacing w:val="-2"/>
                <w:sz w:val="22"/>
                <w:szCs w:val="22"/>
                <w:lang w:eastAsia="en-US"/>
              </w:rPr>
              <w:t>337,53</w:t>
            </w:r>
          </w:p>
        </w:tc>
        <w:tc>
          <w:tcPr>
            <w:tcW w:w="2495" w:type="dxa"/>
          </w:tcPr>
          <w:p w14:paraId="118651F7" w14:textId="77777777" w:rsidR="00B15F7D" w:rsidRPr="00990FB6" w:rsidRDefault="00B15F7D" w:rsidP="00B15F7D">
            <w:pPr>
              <w:widowControl w:val="0"/>
              <w:tabs>
                <w:tab w:val="left" w:pos="892"/>
                <w:tab w:val="left" w:pos="942"/>
                <w:tab w:val="left" w:pos="1013"/>
                <w:tab w:val="left" w:pos="1175"/>
                <w:tab w:val="left" w:pos="1496"/>
                <w:tab w:val="left" w:pos="1527"/>
                <w:tab w:val="left" w:pos="1699"/>
                <w:tab w:val="left" w:pos="1885"/>
                <w:tab w:val="left" w:pos="2020"/>
                <w:tab w:val="left" w:pos="2196"/>
                <w:tab w:val="left" w:pos="2265"/>
              </w:tabs>
              <w:suppressAutoHyphens w:val="0"/>
              <w:autoSpaceDE w:val="0"/>
              <w:autoSpaceDN w:val="0"/>
              <w:ind w:left="67" w:right="62"/>
              <w:rPr>
                <w:rFonts w:eastAsia="TeXGyrePagella"/>
                <w:sz w:val="22"/>
                <w:szCs w:val="22"/>
                <w:lang w:val="es-CR" w:eastAsia="en-US"/>
              </w:rPr>
            </w:pPr>
            <w:r w:rsidRPr="00990FB6">
              <w:rPr>
                <w:rFonts w:eastAsia="TeXGyrePagella"/>
                <w:sz w:val="22"/>
                <w:szCs w:val="22"/>
                <w:lang w:val="es-CR" w:eastAsia="en-US"/>
              </w:rPr>
              <w:t>Se</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toman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recursos</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a</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fin</w:t>
            </w:r>
            <w:r w:rsidRPr="00990FB6">
              <w:rPr>
                <w:rFonts w:eastAsia="TeXGyrePagella"/>
                <w:spacing w:val="-14"/>
                <w:sz w:val="22"/>
                <w:szCs w:val="22"/>
                <w:lang w:val="es-CR" w:eastAsia="en-US"/>
              </w:rPr>
              <w:t xml:space="preserve"> </w:t>
            </w:r>
            <w:r w:rsidRPr="00990FB6">
              <w:rPr>
                <w:rFonts w:eastAsia="TeXGyrePagella"/>
                <w:sz w:val="22"/>
                <w:szCs w:val="22"/>
                <w:lang w:val="es-CR" w:eastAsia="en-US"/>
              </w:rPr>
              <w:t xml:space="preserve">de </w:t>
            </w:r>
            <w:r w:rsidRPr="00990FB6">
              <w:rPr>
                <w:rFonts w:eastAsia="TeXGyrePagella"/>
                <w:spacing w:val="-2"/>
                <w:sz w:val="22"/>
                <w:szCs w:val="22"/>
                <w:lang w:val="es-CR" w:eastAsia="en-US"/>
              </w:rPr>
              <w:t>cumplir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ajuste presupuestario</w:t>
            </w:r>
            <w:r w:rsidRPr="00990FB6">
              <w:rPr>
                <w:rFonts w:eastAsia="TeXGyrePagella"/>
                <w:spacing w:val="80"/>
                <w:sz w:val="22"/>
                <w:szCs w:val="22"/>
                <w:lang w:val="es-CR" w:eastAsia="en-US"/>
              </w:rPr>
              <w:t xml:space="preserve"> </w:t>
            </w:r>
            <w:r w:rsidRPr="00990FB6">
              <w:rPr>
                <w:rFonts w:eastAsia="TeXGyrePagella"/>
                <w:spacing w:val="-2"/>
                <w:sz w:val="22"/>
                <w:szCs w:val="22"/>
                <w:lang w:val="es-CR" w:eastAsia="en-US"/>
              </w:rPr>
              <w:t>establecido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por</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56"/>
                <w:sz w:val="22"/>
                <w:szCs w:val="22"/>
                <w:lang w:val="es-CR" w:eastAsia="en-US"/>
              </w:rPr>
              <w:t xml:space="preserve"> </w:t>
            </w:r>
            <w:r w:rsidRPr="00990FB6">
              <w:rPr>
                <w:rFonts w:eastAsia="TeXGyrePagella"/>
                <w:spacing w:val="-6"/>
                <w:sz w:val="22"/>
                <w:szCs w:val="22"/>
                <w:lang w:val="es-CR" w:eastAsia="en-US"/>
              </w:rPr>
              <w:t xml:space="preserve">el </w:t>
            </w:r>
            <w:r w:rsidRPr="00990FB6">
              <w:rPr>
                <w:rFonts w:eastAsia="TeXGyrePagella"/>
                <w:sz w:val="22"/>
                <w:szCs w:val="22"/>
                <w:lang w:val="es-CR" w:eastAsia="en-US"/>
              </w:rPr>
              <w:t>Ministerio</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80"/>
                <w:sz w:val="22"/>
                <w:szCs w:val="22"/>
                <w:lang w:val="es-CR" w:eastAsia="en-US"/>
              </w:rPr>
              <w:t xml:space="preserve"> </w:t>
            </w:r>
            <w:r w:rsidRPr="00990FB6">
              <w:rPr>
                <w:rFonts w:eastAsia="TeXGyrePagella"/>
                <w:sz w:val="22"/>
                <w:szCs w:val="22"/>
                <w:lang w:val="es-CR" w:eastAsia="en-US"/>
              </w:rPr>
              <w:t>Hacienda, rebajando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un</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mes</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la suma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proyectada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para</w:t>
            </w:r>
            <w:r w:rsidRPr="00990FB6">
              <w:rPr>
                <w:rFonts w:eastAsia="TeXGyrePagella"/>
                <w:spacing w:val="38"/>
                <w:sz w:val="22"/>
                <w:szCs w:val="22"/>
                <w:lang w:val="es-CR" w:eastAsia="en-US"/>
              </w:rPr>
              <w:t xml:space="preserve"> </w:t>
            </w:r>
            <w:r w:rsidRPr="00990FB6">
              <w:rPr>
                <w:rFonts w:eastAsia="TeXGyrePagella"/>
                <w:sz w:val="22"/>
                <w:szCs w:val="22"/>
                <w:lang w:val="es-CR" w:eastAsia="en-US"/>
              </w:rPr>
              <w:t xml:space="preserve">el </w:t>
            </w:r>
            <w:r w:rsidRPr="00990FB6">
              <w:rPr>
                <w:rFonts w:eastAsia="TeXGyrePagella"/>
                <w:spacing w:val="-2"/>
                <w:sz w:val="22"/>
                <w:szCs w:val="22"/>
                <w:lang w:val="es-CR" w:eastAsia="en-US"/>
              </w:rPr>
              <w:t>ejercicio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
                <w:sz w:val="22"/>
                <w:szCs w:val="22"/>
                <w:lang w:val="es-CR" w:eastAsia="en-US"/>
              </w:rPr>
              <w:t>2024,</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27"/>
                <w:sz w:val="22"/>
                <w:szCs w:val="22"/>
                <w:lang w:val="es-CR" w:eastAsia="en-US"/>
              </w:rPr>
              <w:t xml:space="preserve"> </w:t>
            </w:r>
            <w:r w:rsidRPr="00990FB6">
              <w:rPr>
                <w:rFonts w:eastAsia="TeXGyrePagella"/>
                <w:sz w:val="22"/>
                <w:szCs w:val="22"/>
                <w:lang w:val="es-CR" w:eastAsia="en-US"/>
              </w:rPr>
              <w:t>con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 xml:space="preserve">el </w:t>
            </w:r>
            <w:r w:rsidRPr="00990FB6">
              <w:rPr>
                <w:rFonts w:eastAsia="TeXGyrePagella"/>
                <w:sz w:val="22"/>
                <w:szCs w:val="22"/>
                <w:lang w:val="es-CR" w:eastAsia="en-US"/>
              </w:rPr>
              <w:t>agravante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de</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no</w:t>
            </w:r>
            <w:r w:rsidRPr="00990FB6">
              <w:rPr>
                <w:rFonts w:eastAsia="TeXGyrePagella"/>
                <w:spacing w:val="40"/>
                <w:sz w:val="22"/>
                <w:szCs w:val="22"/>
                <w:lang w:val="es-CR" w:eastAsia="en-US"/>
              </w:rPr>
              <w:t xml:space="preserve"> </w:t>
            </w:r>
            <w:r w:rsidRPr="00990FB6">
              <w:rPr>
                <w:rFonts w:eastAsia="TeXGyrePagella"/>
                <w:sz w:val="22"/>
                <w:szCs w:val="22"/>
                <w:lang w:val="es-CR" w:eastAsia="en-US"/>
              </w:rPr>
              <w:t xml:space="preserve">cumplir </w:t>
            </w:r>
            <w:r w:rsidRPr="00990FB6">
              <w:rPr>
                <w:rFonts w:eastAsia="TeXGyrePagella"/>
                <w:spacing w:val="-4"/>
                <w:sz w:val="22"/>
                <w:szCs w:val="22"/>
                <w:lang w:val="es-CR" w:eastAsia="en-US"/>
              </w:rPr>
              <w:t>con</w:t>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2"/>
                <w:sz w:val="22"/>
                <w:szCs w:val="22"/>
                <w:lang w:val="es-CR" w:eastAsia="en-US"/>
              </w:rPr>
              <w:t xml:space="preserve"> </w:t>
            </w:r>
            <w:r w:rsidRPr="00990FB6">
              <w:rPr>
                <w:rFonts w:eastAsia="TeXGyrePagella"/>
                <w:spacing w:val="-2"/>
                <w:sz w:val="22"/>
                <w:szCs w:val="22"/>
                <w:lang w:val="es-CR" w:eastAsia="en-US"/>
              </w:rPr>
              <w:t>contenido presupuestario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
                <w:sz w:val="22"/>
                <w:szCs w:val="22"/>
                <w:lang w:val="es-CR" w:eastAsia="en-US"/>
              </w:rPr>
              <w:t xml:space="preserve">para </w:t>
            </w: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7"/>
                <w:sz w:val="22"/>
                <w:szCs w:val="22"/>
                <w:lang w:val="es-CR" w:eastAsia="en-US"/>
              </w:rPr>
              <w:t xml:space="preserve"> </w:t>
            </w:r>
            <w:r w:rsidRPr="00990FB6">
              <w:rPr>
                <w:rFonts w:eastAsia="TeXGyrePagella"/>
                <w:sz w:val="22"/>
                <w:szCs w:val="22"/>
                <w:lang w:val="es-CR" w:eastAsia="en-US"/>
              </w:rPr>
              <w:t>frente</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34"/>
                <w:sz w:val="22"/>
                <w:szCs w:val="22"/>
                <w:lang w:val="es-CR" w:eastAsia="en-US"/>
              </w:rPr>
              <w:t xml:space="preserve"> </w:t>
            </w:r>
            <w:r w:rsidRPr="00990FB6">
              <w:rPr>
                <w:rFonts w:eastAsia="TeXGyrePagella"/>
                <w:spacing w:val="-2"/>
                <w:sz w:val="22"/>
                <w:szCs w:val="22"/>
                <w:lang w:val="es-CR" w:eastAsia="en-US"/>
              </w:rPr>
              <w:t>esta obligación</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el</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42"/>
                <w:sz w:val="22"/>
                <w:szCs w:val="22"/>
                <w:lang w:val="es-CR" w:eastAsia="en-US"/>
              </w:rPr>
              <w:t xml:space="preserve"> </w:t>
            </w:r>
            <w:r w:rsidRPr="00990FB6">
              <w:rPr>
                <w:rFonts w:eastAsia="TeXGyrePagella"/>
                <w:sz w:val="22"/>
                <w:szCs w:val="22"/>
                <w:lang w:val="es-CR" w:eastAsia="en-US"/>
              </w:rPr>
              <w:t>pago</w:t>
            </w:r>
            <w:r w:rsidRPr="00990FB6">
              <w:rPr>
                <w:rFonts w:eastAsia="TeXGyrePagella"/>
                <w:sz w:val="22"/>
                <w:szCs w:val="22"/>
                <w:lang w:val="es-CR" w:eastAsia="en-US"/>
              </w:rPr>
              <w:tab/>
            </w:r>
            <w:r w:rsidRPr="00990FB6">
              <w:rPr>
                <w:rFonts w:eastAsia="TeXGyrePagella"/>
                <w:sz w:val="22"/>
                <w:szCs w:val="22"/>
                <w:lang w:val="es-CR" w:eastAsia="en-US"/>
              </w:rPr>
              <w:tab/>
            </w:r>
            <w:r w:rsidRPr="00990FB6">
              <w:rPr>
                <w:rFonts w:eastAsia="TeXGyrePagella"/>
                <w:spacing w:val="-6"/>
                <w:sz w:val="22"/>
                <w:szCs w:val="22"/>
                <w:lang w:val="es-CR" w:eastAsia="en-US"/>
              </w:rPr>
              <w:t xml:space="preserve">de </w:t>
            </w:r>
            <w:r w:rsidRPr="00990FB6">
              <w:rPr>
                <w:rFonts w:eastAsia="TeXGyrePagella"/>
                <w:sz w:val="22"/>
                <w:szCs w:val="22"/>
                <w:lang w:val="es-CR" w:eastAsia="en-US"/>
              </w:rPr>
              <w:t>Servicios Públicos.</w:t>
            </w:r>
          </w:p>
          <w:p w14:paraId="69031944"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36ED29CF" w14:textId="77777777" w:rsidR="00B15F7D" w:rsidRPr="00990FB6" w:rsidRDefault="00B15F7D" w:rsidP="00B15F7D">
            <w:pPr>
              <w:widowControl w:val="0"/>
              <w:suppressAutoHyphens w:val="0"/>
              <w:autoSpaceDE w:val="0"/>
              <w:autoSpaceDN w:val="0"/>
              <w:ind w:left="67" w:right="63"/>
              <w:jc w:val="both"/>
              <w:rPr>
                <w:rFonts w:eastAsia="TeXGyrePagella"/>
                <w:sz w:val="22"/>
                <w:szCs w:val="22"/>
                <w:lang w:eastAsia="en-US"/>
              </w:rPr>
            </w:pPr>
            <w:r w:rsidRPr="00990FB6">
              <w:rPr>
                <w:rFonts w:eastAsia="TeXGyrePagella"/>
                <w:sz w:val="22"/>
                <w:szCs w:val="22"/>
                <w:lang w:eastAsia="en-US"/>
              </w:rPr>
              <w:t xml:space="preserve">Implica una mala práctica en la formulación presupuestaria y un </w:t>
            </w:r>
            <w:r w:rsidRPr="00990FB6">
              <w:rPr>
                <w:rFonts w:eastAsia="TeXGyrePagella"/>
                <w:sz w:val="22"/>
                <w:szCs w:val="22"/>
                <w:lang w:eastAsia="en-US"/>
              </w:rPr>
              <w:lastRenderedPageBreak/>
              <w:t>impacto</w:t>
            </w:r>
            <w:r w:rsidRPr="00990FB6">
              <w:rPr>
                <w:rFonts w:eastAsia="TeXGyrePagella"/>
                <w:spacing w:val="-11"/>
                <w:sz w:val="22"/>
                <w:szCs w:val="22"/>
                <w:lang w:eastAsia="en-US"/>
              </w:rPr>
              <w:t xml:space="preserve"> </w:t>
            </w:r>
            <w:r w:rsidRPr="00990FB6">
              <w:rPr>
                <w:rFonts w:eastAsia="TeXGyrePagella"/>
                <w:sz w:val="22"/>
                <w:szCs w:val="22"/>
                <w:lang w:eastAsia="en-US"/>
              </w:rPr>
              <w:t>en</w:t>
            </w:r>
            <w:r w:rsidRPr="00990FB6">
              <w:rPr>
                <w:rFonts w:eastAsia="TeXGyrePagella"/>
                <w:spacing w:val="-11"/>
                <w:sz w:val="22"/>
                <w:szCs w:val="22"/>
                <w:lang w:eastAsia="en-US"/>
              </w:rPr>
              <w:t xml:space="preserve"> </w:t>
            </w:r>
            <w:r w:rsidRPr="00990FB6">
              <w:rPr>
                <w:rFonts w:eastAsia="TeXGyrePagella"/>
                <w:sz w:val="22"/>
                <w:szCs w:val="22"/>
                <w:lang w:eastAsia="en-US"/>
              </w:rPr>
              <w:t>el</w:t>
            </w:r>
            <w:r w:rsidRPr="00990FB6">
              <w:rPr>
                <w:rFonts w:eastAsia="TeXGyrePagella"/>
                <w:spacing w:val="-11"/>
                <w:sz w:val="22"/>
                <w:szCs w:val="22"/>
                <w:lang w:eastAsia="en-US"/>
              </w:rPr>
              <w:t xml:space="preserve"> </w:t>
            </w:r>
            <w:r w:rsidRPr="00990FB6">
              <w:rPr>
                <w:rFonts w:eastAsia="TeXGyrePagella"/>
                <w:sz w:val="22"/>
                <w:szCs w:val="22"/>
                <w:lang w:eastAsia="en-US"/>
              </w:rPr>
              <w:t>presupuesto del año 2025, al trasladar el pago del mes de diciembre</w:t>
            </w:r>
            <w:r w:rsidRPr="00990FB6">
              <w:rPr>
                <w:rFonts w:eastAsia="TeXGyrePagella"/>
                <w:spacing w:val="21"/>
                <w:sz w:val="22"/>
                <w:szCs w:val="22"/>
                <w:lang w:eastAsia="en-US"/>
              </w:rPr>
              <w:t xml:space="preserve"> </w:t>
            </w:r>
            <w:r w:rsidRPr="00990FB6">
              <w:rPr>
                <w:rFonts w:eastAsia="TeXGyrePagella"/>
                <w:sz w:val="22"/>
                <w:szCs w:val="22"/>
                <w:lang w:eastAsia="en-US"/>
              </w:rPr>
              <w:t>de</w:t>
            </w:r>
            <w:r w:rsidRPr="00990FB6">
              <w:rPr>
                <w:rFonts w:eastAsia="TeXGyrePagella"/>
                <w:spacing w:val="22"/>
                <w:sz w:val="22"/>
                <w:szCs w:val="22"/>
                <w:lang w:eastAsia="en-US"/>
              </w:rPr>
              <w:t xml:space="preserve"> </w:t>
            </w:r>
            <w:r w:rsidRPr="00990FB6">
              <w:rPr>
                <w:rFonts w:eastAsia="TeXGyrePagella"/>
                <w:sz w:val="22"/>
                <w:szCs w:val="22"/>
                <w:lang w:eastAsia="en-US"/>
              </w:rPr>
              <w:t>2024</w:t>
            </w:r>
            <w:r w:rsidRPr="00990FB6">
              <w:rPr>
                <w:rFonts w:eastAsia="TeXGyrePagella"/>
                <w:spacing w:val="22"/>
                <w:sz w:val="22"/>
                <w:szCs w:val="22"/>
                <w:lang w:eastAsia="en-US"/>
              </w:rPr>
              <w:t xml:space="preserve"> </w:t>
            </w:r>
            <w:r w:rsidRPr="00990FB6">
              <w:rPr>
                <w:rFonts w:eastAsia="TeXGyrePagella"/>
                <w:sz w:val="22"/>
                <w:szCs w:val="22"/>
                <w:lang w:eastAsia="en-US"/>
              </w:rPr>
              <w:t>al</w:t>
            </w:r>
            <w:r w:rsidRPr="00990FB6">
              <w:rPr>
                <w:rFonts w:eastAsia="TeXGyrePagella"/>
                <w:spacing w:val="22"/>
                <w:sz w:val="22"/>
                <w:szCs w:val="22"/>
                <w:lang w:eastAsia="en-US"/>
              </w:rPr>
              <w:t xml:space="preserve"> </w:t>
            </w:r>
            <w:r w:rsidRPr="00990FB6">
              <w:rPr>
                <w:rFonts w:eastAsia="TeXGyrePagella"/>
                <w:spacing w:val="-5"/>
                <w:sz w:val="22"/>
                <w:szCs w:val="22"/>
                <w:lang w:eastAsia="en-US"/>
              </w:rPr>
              <w:t>año</w:t>
            </w:r>
          </w:p>
          <w:p w14:paraId="4369B773" w14:textId="77777777" w:rsidR="00B15F7D" w:rsidRPr="00990FB6" w:rsidRDefault="00B15F7D" w:rsidP="00B15F7D">
            <w:pPr>
              <w:widowControl w:val="0"/>
              <w:suppressAutoHyphens w:val="0"/>
              <w:autoSpaceDE w:val="0"/>
              <w:autoSpaceDN w:val="0"/>
              <w:ind w:left="67"/>
              <w:rPr>
                <w:rFonts w:eastAsia="TeXGyrePagella"/>
                <w:sz w:val="22"/>
                <w:szCs w:val="22"/>
                <w:lang w:eastAsia="en-US"/>
              </w:rPr>
            </w:pPr>
            <w:r w:rsidRPr="00990FB6">
              <w:rPr>
                <w:rFonts w:eastAsia="TeXGyrePagella"/>
                <w:spacing w:val="-2"/>
                <w:sz w:val="22"/>
                <w:szCs w:val="22"/>
                <w:lang w:eastAsia="en-US"/>
              </w:rPr>
              <w:t>siguiente.</w:t>
            </w:r>
          </w:p>
        </w:tc>
      </w:tr>
      <w:tr w:rsidR="00B15F7D" w:rsidRPr="00990FB6" w14:paraId="39B761CB" w14:textId="77777777" w:rsidTr="000A0C22">
        <w:trPr>
          <w:trHeight w:val="2121"/>
          <w:jc w:val="center"/>
        </w:trPr>
        <w:tc>
          <w:tcPr>
            <w:tcW w:w="1292" w:type="dxa"/>
          </w:tcPr>
          <w:p w14:paraId="70DB5D17"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A8F3DB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4400AD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7EDE1F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C03334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1D2DD25" w14:textId="77777777" w:rsidR="00B15F7D" w:rsidRPr="00990FB6" w:rsidRDefault="00B15F7D" w:rsidP="00B15F7D">
            <w:pPr>
              <w:widowControl w:val="0"/>
              <w:suppressAutoHyphens w:val="0"/>
              <w:autoSpaceDE w:val="0"/>
              <w:autoSpaceDN w:val="0"/>
              <w:ind w:left="109" w:right="107"/>
              <w:rPr>
                <w:rFonts w:eastAsia="TeXGyrePagella"/>
                <w:sz w:val="22"/>
                <w:szCs w:val="22"/>
                <w:lang w:eastAsia="en-US"/>
              </w:rPr>
            </w:pPr>
            <w:r w:rsidRPr="00990FB6">
              <w:rPr>
                <w:rFonts w:eastAsia="TeXGyrePagella"/>
                <w:spacing w:val="-2"/>
                <w:sz w:val="22"/>
                <w:szCs w:val="22"/>
                <w:lang w:eastAsia="en-US"/>
              </w:rPr>
              <w:t>10204</w:t>
            </w:r>
          </w:p>
        </w:tc>
        <w:tc>
          <w:tcPr>
            <w:tcW w:w="2072" w:type="dxa"/>
          </w:tcPr>
          <w:p w14:paraId="717AB0A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AD8CDB1"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A57C80F"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54A2A93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7F434F11" w14:textId="77777777" w:rsidR="00B15F7D" w:rsidRPr="00990FB6" w:rsidRDefault="00B15F7D" w:rsidP="00B15F7D">
            <w:pPr>
              <w:widowControl w:val="0"/>
              <w:suppressAutoHyphens w:val="0"/>
              <w:autoSpaceDE w:val="0"/>
              <w:autoSpaceDN w:val="0"/>
              <w:ind w:left="155" w:firstLine="386"/>
              <w:rPr>
                <w:rFonts w:eastAsia="TeXGyrePagella"/>
                <w:sz w:val="22"/>
                <w:szCs w:val="22"/>
                <w:lang w:eastAsia="en-US"/>
              </w:rPr>
            </w:pPr>
            <w:r w:rsidRPr="00990FB6">
              <w:rPr>
                <w:rFonts w:eastAsia="TeXGyrePagella"/>
                <w:sz w:val="22"/>
                <w:szCs w:val="22"/>
                <w:lang w:eastAsia="en-US"/>
              </w:rPr>
              <w:t xml:space="preserve">Servicio de </w:t>
            </w:r>
            <w:r w:rsidRPr="00990FB6">
              <w:rPr>
                <w:rFonts w:eastAsia="TeXGyrePagella"/>
                <w:spacing w:val="-2"/>
                <w:sz w:val="22"/>
                <w:szCs w:val="22"/>
                <w:lang w:eastAsia="en-US"/>
              </w:rPr>
              <w:t>telecomunicaciones</w:t>
            </w:r>
          </w:p>
        </w:tc>
        <w:tc>
          <w:tcPr>
            <w:tcW w:w="2115" w:type="dxa"/>
          </w:tcPr>
          <w:p w14:paraId="543D2B12"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9AA40F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38AD4AB"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200D598C"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3B3116E4"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5480A28" w14:textId="77777777" w:rsidR="00B15F7D" w:rsidRPr="00990FB6" w:rsidRDefault="00B15F7D" w:rsidP="00B15F7D">
            <w:pPr>
              <w:widowControl w:val="0"/>
              <w:suppressAutoHyphens w:val="0"/>
              <w:autoSpaceDE w:val="0"/>
              <w:autoSpaceDN w:val="0"/>
              <w:ind w:left="194" w:right="192"/>
              <w:rPr>
                <w:rFonts w:eastAsia="TeXGyrePagella"/>
                <w:sz w:val="22"/>
                <w:szCs w:val="22"/>
                <w:lang w:eastAsia="en-US"/>
              </w:rPr>
            </w:pPr>
            <w:r w:rsidRPr="00990FB6">
              <w:rPr>
                <w:rFonts w:eastAsia="TeXGyrePagella"/>
                <w:spacing w:val="-2"/>
                <w:sz w:val="22"/>
                <w:szCs w:val="22"/>
                <w:lang w:eastAsia="en-US"/>
              </w:rPr>
              <w:t>19617</w:t>
            </w:r>
          </w:p>
        </w:tc>
        <w:tc>
          <w:tcPr>
            <w:tcW w:w="2257" w:type="dxa"/>
          </w:tcPr>
          <w:p w14:paraId="17BA9EDD"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6D6D4133"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36B3538"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12E56A35"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062823F6" w14:textId="77777777" w:rsidR="00B15F7D" w:rsidRPr="00990FB6" w:rsidRDefault="00B15F7D" w:rsidP="00B15F7D">
            <w:pPr>
              <w:widowControl w:val="0"/>
              <w:suppressAutoHyphens w:val="0"/>
              <w:autoSpaceDE w:val="0"/>
              <w:autoSpaceDN w:val="0"/>
              <w:rPr>
                <w:rFonts w:eastAsia="TeXGyrePagella"/>
                <w:sz w:val="22"/>
                <w:szCs w:val="22"/>
                <w:lang w:eastAsia="en-US"/>
              </w:rPr>
            </w:pPr>
          </w:p>
          <w:p w14:paraId="4CF84A64" w14:textId="77777777" w:rsidR="00B15F7D" w:rsidRPr="00990FB6" w:rsidRDefault="00B15F7D" w:rsidP="00B15F7D">
            <w:pPr>
              <w:widowControl w:val="0"/>
              <w:suppressAutoHyphens w:val="0"/>
              <w:autoSpaceDE w:val="0"/>
              <w:autoSpaceDN w:val="0"/>
              <w:ind w:left="254" w:right="253"/>
              <w:rPr>
                <w:rFonts w:eastAsia="TeXGyrePagella"/>
                <w:sz w:val="22"/>
                <w:szCs w:val="22"/>
                <w:lang w:eastAsia="en-US"/>
              </w:rPr>
            </w:pPr>
            <w:r w:rsidRPr="00990FB6">
              <w:rPr>
                <w:rFonts w:eastAsia="TeXGyrePagella"/>
                <w:sz w:val="22"/>
                <w:szCs w:val="22"/>
                <w:lang w:eastAsia="en-US"/>
              </w:rPr>
              <w:t>₡1</w:t>
            </w:r>
            <w:r w:rsidRPr="00990FB6">
              <w:rPr>
                <w:rFonts w:eastAsia="TeXGyrePagella"/>
                <w:spacing w:val="-5"/>
                <w:sz w:val="22"/>
                <w:szCs w:val="22"/>
                <w:lang w:eastAsia="en-US"/>
              </w:rPr>
              <w:t xml:space="preserve"> </w:t>
            </w:r>
            <w:r w:rsidRPr="00990FB6">
              <w:rPr>
                <w:rFonts w:eastAsia="TeXGyrePagella"/>
                <w:sz w:val="22"/>
                <w:szCs w:val="22"/>
                <w:lang w:eastAsia="en-US"/>
              </w:rPr>
              <w:t>002</w:t>
            </w:r>
            <w:r w:rsidRPr="00990FB6">
              <w:rPr>
                <w:rFonts w:eastAsia="TeXGyrePagella"/>
                <w:spacing w:val="-4"/>
                <w:sz w:val="22"/>
                <w:szCs w:val="22"/>
                <w:lang w:eastAsia="en-US"/>
              </w:rPr>
              <w:t xml:space="preserve"> </w:t>
            </w:r>
            <w:r w:rsidRPr="00990FB6">
              <w:rPr>
                <w:rFonts w:eastAsia="TeXGyrePagella"/>
                <w:spacing w:val="-2"/>
                <w:sz w:val="22"/>
                <w:szCs w:val="22"/>
                <w:lang w:eastAsia="en-US"/>
              </w:rPr>
              <w:t>883,00</w:t>
            </w:r>
          </w:p>
        </w:tc>
        <w:tc>
          <w:tcPr>
            <w:tcW w:w="2495" w:type="dxa"/>
          </w:tcPr>
          <w:p w14:paraId="6C4AB6BE" w14:textId="77777777" w:rsidR="00B15F7D" w:rsidRPr="00990FB6" w:rsidRDefault="00B15F7D" w:rsidP="00B15F7D">
            <w:pPr>
              <w:widowControl w:val="0"/>
              <w:tabs>
                <w:tab w:val="left" w:pos="892"/>
                <w:tab w:val="left" w:pos="942"/>
                <w:tab w:val="left" w:pos="1013"/>
                <w:tab w:val="left" w:pos="1496"/>
                <w:tab w:val="left" w:pos="1527"/>
                <w:tab w:val="left" w:pos="1728"/>
                <w:tab w:val="left" w:pos="1885"/>
                <w:tab w:val="left" w:pos="2020"/>
                <w:tab w:val="left" w:pos="2265"/>
              </w:tabs>
              <w:suppressAutoHyphens w:val="0"/>
              <w:autoSpaceDE w:val="0"/>
              <w:autoSpaceDN w:val="0"/>
              <w:ind w:left="67" w:right="62"/>
              <w:rPr>
                <w:rFonts w:eastAsia="TeXGyrePagella"/>
                <w:sz w:val="22"/>
                <w:szCs w:val="22"/>
                <w:lang w:eastAsia="en-US"/>
              </w:rPr>
            </w:pPr>
            <w:r w:rsidRPr="00990FB6">
              <w:rPr>
                <w:rFonts w:eastAsia="TeXGyrePagella"/>
                <w:sz w:val="22"/>
                <w:szCs w:val="22"/>
                <w:lang w:eastAsia="en-US"/>
              </w:rPr>
              <w:t>Se</w:t>
            </w:r>
            <w:r w:rsidRPr="00990FB6">
              <w:rPr>
                <w:rFonts w:eastAsia="TeXGyrePagella"/>
                <w:spacing w:val="-14"/>
                <w:sz w:val="22"/>
                <w:szCs w:val="22"/>
                <w:lang w:eastAsia="en-US"/>
              </w:rPr>
              <w:t xml:space="preserve"> </w:t>
            </w:r>
            <w:r w:rsidRPr="00990FB6">
              <w:rPr>
                <w:rFonts w:eastAsia="TeXGyrePagella"/>
                <w:sz w:val="22"/>
                <w:szCs w:val="22"/>
                <w:lang w:eastAsia="en-US"/>
              </w:rPr>
              <w:t>toman</w:t>
            </w:r>
            <w:r w:rsidRPr="00990FB6">
              <w:rPr>
                <w:rFonts w:eastAsia="TeXGyrePagella"/>
                <w:spacing w:val="-14"/>
                <w:sz w:val="22"/>
                <w:szCs w:val="22"/>
                <w:lang w:eastAsia="en-US"/>
              </w:rPr>
              <w:t xml:space="preserve"> </w:t>
            </w:r>
            <w:r w:rsidRPr="00990FB6">
              <w:rPr>
                <w:rFonts w:eastAsia="TeXGyrePagella"/>
                <w:sz w:val="22"/>
                <w:szCs w:val="22"/>
                <w:lang w:eastAsia="en-US"/>
              </w:rPr>
              <w:t>recursos</w:t>
            </w:r>
            <w:r w:rsidRPr="00990FB6">
              <w:rPr>
                <w:rFonts w:eastAsia="TeXGyrePagella"/>
                <w:spacing w:val="-14"/>
                <w:sz w:val="22"/>
                <w:szCs w:val="22"/>
                <w:lang w:eastAsia="en-US"/>
              </w:rPr>
              <w:t xml:space="preserve"> </w:t>
            </w:r>
            <w:r w:rsidRPr="00990FB6">
              <w:rPr>
                <w:rFonts w:eastAsia="TeXGyrePagella"/>
                <w:sz w:val="22"/>
                <w:szCs w:val="22"/>
                <w:lang w:eastAsia="en-US"/>
              </w:rPr>
              <w:t>a</w:t>
            </w:r>
            <w:r w:rsidRPr="00990FB6">
              <w:rPr>
                <w:rFonts w:eastAsia="TeXGyrePagella"/>
                <w:spacing w:val="-14"/>
                <w:sz w:val="22"/>
                <w:szCs w:val="22"/>
                <w:lang w:eastAsia="en-US"/>
              </w:rPr>
              <w:t xml:space="preserve"> </w:t>
            </w:r>
            <w:r w:rsidRPr="00990FB6">
              <w:rPr>
                <w:rFonts w:eastAsia="TeXGyrePagella"/>
                <w:sz w:val="22"/>
                <w:szCs w:val="22"/>
                <w:lang w:eastAsia="en-US"/>
              </w:rPr>
              <w:t>fin</w:t>
            </w:r>
            <w:r w:rsidRPr="00990FB6">
              <w:rPr>
                <w:rFonts w:eastAsia="TeXGyrePagella"/>
                <w:spacing w:val="-14"/>
                <w:sz w:val="22"/>
                <w:szCs w:val="22"/>
                <w:lang w:eastAsia="en-US"/>
              </w:rPr>
              <w:t xml:space="preserve"> </w:t>
            </w:r>
            <w:r w:rsidRPr="00990FB6">
              <w:rPr>
                <w:rFonts w:eastAsia="TeXGyrePagella"/>
                <w:sz w:val="22"/>
                <w:szCs w:val="22"/>
                <w:lang w:eastAsia="en-US"/>
              </w:rPr>
              <w:t xml:space="preserve">de </w:t>
            </w:r>
            <w:r w:rsidRPr="00990FB6">
              <w:rPr>
                <w:rFonts w:eastAsia="TeXGyrePagella"/>
                <w:spacing w:val="-2"/>
                <w:sz w:val="22"/>
                <w:szCs w:val="22"/>
                <w:lang w:eastAsia="en-US"/>
              </w:rPr>
              <w:t>cumplir</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4"/>
                <w:sz w:val="22"/>
                <w:szCs w:val="22"/>
                <w:lang w:eastAsia="en-US"/>
              </w:rPr>
              <w:t>con</w:t>
            </w:r>
            <w:r w:rsidRPr="00990FB6">
              <w:rPr>
                <w:rFonts w:eastAsia="TeXGyrePagella"/>
                <w:sz w:val="22"/>
                <w:szCs w:val="22"/>
                <w:lang w:eastAsia="en-US"/>
              </w:rPr>
              <w:tab/>
            </w:r>
            <w:r w:rsidRPr="00990FB6">
              <w:rPr>
                <w:rFonts w:eastAsia="TeXGyrePagella"/>
                <w:spacing w:val="-6"/>
                <w:sz w:val="22"/>
                <w:szCs w:val="22"/>
                <w:lang w:eastAsia="en-US"/>
              </w:rPr>
              <w:t>el</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2"/>
                <w:sz w:val="22"/>
                <w:szCs w:val="22"/>
                <w:lang w:eastAsia="en-US"/>
              </w:rPr>
              <w:t>ajuste presupuestario</w:t>
            </w:r>
            <w:r w:rsidRPr="00990FB6">
              <w:rPr>
                <w:rFonts w:eastAsia="TeXGyrePagella"/>
                <w:spacing w:val="80"/>
                <w:sz w:val="22"/>
                <w:szCs w:val="22"/>
                <w:lang w:eastAsia="en-US"/>
              </w:rPr>
              <w:t xml:space="preserve"> </w:t>
            </w:r>
            <w:r w:rsidRPr="00990FB6">
              <w:rPr>
                <w:rFonts w:eastAsia="TeXGyrePagella"/>
                <w:spacing w:val="-2"/>
                <w:sz w:val="22"/>
                <w:szCs w:val="22"/>
                <w:lang w:eastAsia="en-US"/>
              </w:rPr>
              <w:t>establecido</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4"/>
                <w:sz w:val="22"/>
                <w:szCs w:val="22"/>
                <w:lang w:eastAsia="en-US"/>
              </w:rPr>
              <w:t>por</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56"/>
                <w:sz w:val="22"/>
                <w:szCs w:val="22"/>
                <w:lang w:eastAsia="en-US"/>
              </w:rPr>
              <w:t xml:space="preserve"> </w:t>
            </w:r>
            <w:r w:rsidRPr="00990FB6">
              <w:rPr>
                <w:rFonts w:eastAsia="TeXGyrePagella"/>
                <w:spacing w:val="-6"/>
                <w:sz w:val="22"/>
                <w:szCs w:val="22"/>
                <w:lang w:eastAsia="en-US"/>
              </w:rPr>
              <w:t xml:space="preserve">el </w:t>
            </w:r>
            <w:r w:rsidRPr="00990FB6">
              <w:rPr>
                <w:rFonts w:eastAsia="TeXGyrePagella"/>
                <w:sz w:val="22"/>
                <w:szCs w:val="22"/>
                <w:lang w:eastAsia="en-US"/>
              </w:rPr>
              <w:t>Ministerio</w:t>
            </w:r>
            <w:r w:rsidRPr="00990FB6">
              <w:rPr>
                <w:rFonts w:eastAsia="TeXGyrePagella"/>
                <w:spacing w:val="80"/>
                <w:sz w:val="22"/>
                <w:szCs w:val="22"/>
                <w:lang w:eastAsia="en-US"/>
              </w:rPr>
              <w:t xml:space="preserve"> </w:t>
            </w:r>
            <w:r w:rsidRPr="00990FB6">
              <w:rPr>
                <w:rFonts w:eastAsia="TeXGyrePagella"/>
                <w:sz w:val="22"/>
                <w:szCs w:val="22"/>
                <w:lang w:eastAsia="en-US"/>
              </w:rPr>
              <w:t>de</w:t>
            </w:r>
            <w:r w:rsidRPr="00990FB6">
              <w:rPr>
                <w:rFonts w:eastAsia="TeXGyrePagella"/>
                <w:spacing w:val="80"/>
                <w:sz w:val="22"/>
                <w:szCs w:val="22"/>
                <w:lang w:eastAsia="en-US"/>
              </w:rPr>
              <w:t xml:space="preserve"> </w:t>
            </w:r>
            <w:r w:rsidRPr="00990FB6">
              <w:rPr>
                <w:rFonts w:eastAsia="TeXGyrePagella"/>
                <w:sz w:val="22"/>
                <w:szCs w:val="22"/>
                <w:lang w:eastAsia="en-US"/>
              </w:rPr>
              <w:t>Hacienda, rebajando</w:t>
            </w:r>
            <w:r w:rsidRPr="00990FB6">
              <w:rPr>
                <w:rFonts w:eastAsia="TeXGyrePagella"/>
                <w:spacing w:val="40"/>
                <w:sz w:val="22"/>
                <w:szCs w:val="22"/>
                <w:lang w:eastAsia="en-US"/>
              </w:rPr>
              <w:t xml:space="preserve"> </w:t>
            </w:r>
            <w:r w:rsidRPr="00990FB6">
              <w:rPr>
                <w:rFonts w:eastAsia="TeXGyrePagella"/>
                <w:sz w:val="22"/>
                <w:szCs w:val="22"/>
                <w:lang w:eastAsia="en-US"/>
              </w:rPr>
              <w:t>un</w:t>
            </w:r>
            <w:r w:rsidRPr="00990FB6">
              <w:rPr>
                <w:rFonts w:eastAsia="TeXGyrePagella"/>
                <w:spacing w:val="40"/>
                <w:sz w:val="22"/>
                <w:szCs w:val="22"/>
                <w:lang w:eastAsia="en-US"/>
              </w:rPr>
              <w:t xml:space="preserve"> </w:t>
            </w:r>
            <w:r w:rsidRPr="00990FB6">
              <w:rPr>
                <w:rFonts w:eastAsia="TeXGyrePagella"/>
                <w:sz w:val="22"/>
                <w:szCs w:val="22"/>
                <w:lang w:eastAsia="en-US"/>
              </w:rPr>
              <w:t>mes</w:t>
            </w:r>
            <w:r w:rsidRPr="00990FB6">
              <w:rPr>
                <w:rFonts w:eastAsia="TeXGyrePagella"/>
                <w:spacing w:val="40"/>
                <w:sz w:val="22"/>
                <w:szCs w:val="22"/>
                <w:lang w:eastAsia="en-US"/>
              </w:rPr>
              <w:t xml:space="preserve"> </w:t>
            </w:r>
            <w:r w:rsidRPr="00990FB6">
              <w:rPr>
                <w:rFonts w:eastAsia="TeXGyrePagella"/>
                <w:sz w:val="22"/>
                <w:szCs w:val="22"/>
                <w:lang w:eastAsia="en-US"/>
              </w:rPr>
              <w:t>de</w:t>
            </w:r>
            <w:r w:rsidRPr="00990FB6">
              <w:rPr>
                <w:rFonts w:eastAsia="TeXGyrePagella"/>
                <w:spacing w:val="40"/>
                <w:sz w:val="22"/>
                <w:szCs w:val="22"/>
                <w:lang w:eastAsia="en-US"/>
              </w:rPr>
              <w:t xml:space="preserve"> </w:t>
            </w:r>
            <w:r w:rsidRPr="00990FB6">
              <w:rPr>
                <w:rFonts w:eastAsia="TeXGyrePagella"/>
                <w:sz w:val="22"/>
                <w:szCs w:val="22"/>
                <w:lang w:eastAsia="en-US"/>
              </w:rPr>
              <w:t>la suma</w:t>
            </w:r>
            <w:r w:rsidRPr="00990FB6">
              <w:rPr>
                <w:rFonts w:eastAsia="TeXGyrePagella"/>
                <w:spacing w:val="38"/>
                <w:sz w:val="22"/>
                <w:szCs w:val="22"/>
                <w:lang w:eastAsia="en-US"/>
              </w:rPr>
              <w:t xml:space="preserve"> </w:t>
            </w:r>
            <w:r w:rsidRPr="00990FB6">
              <w:rPr>
                <w:rFonts w:eastAsia="TeXGyrePagella"/>
                <w:sz w:val="22"/>
                <w:szCs w:val="22"/>
                <w:lang w:eastAsia="en-US"/>
              </w:rPr>
              <w:t>proyectada</w:t>
            </w:r>
            <w:r w:rsidRPr="00990FB6">
              <w:rPr>
                <w:rFonts w:eastAsia="TeXGyrePagella"/>
                <w:spacing w:val="38"/>
                <w:sz w:val="22"/>
                <w:szCs w:val="22"/>
                <w:lang w:eastAsia="en-US"/>
              </w:rPr>
              <w:t xml:space="preserve"> </w:t>
            </w:r>
            <w:r w:rsidRPr="00990FB6">
              <w:rPr>
                <w:rFonts w:eastAsia="TeXGyrePagella"/>
                <w:sz w:val="22"/>
                <w:szCs w:val="22"/>
                <w:lang w:eastAsia="en-US"/>
              </w:rPr>
              <w:t>para</w:t>
            </w:r>
            <w:r w:rsidRPr="00990FB6">
              <w:rPr>
                <w:rFonts w:eastAsia="TeXGyrePagella"/>
                <w:spacing w:val="38"/>
                <w:sz w:val="22"/>
                <w:szCs w:val="22"/>
                <w:lang w:eastAsia="en-US"/>
              </w:rPr>
              <w:t xml:space="preserve"> </w:t>
            </w:r>
            <w:r w:rsidRPr="00990FB6">
              <w:rPr>
                <w:rFonts w:eastAsia="TeXGyrePagella"/>
                <w:sz w:val="22"/>
                <w:szCs w:val="22"/>
                <w:lang w:eastAsia="en-US"/>
              </w:rPr>
              <w:t xml:space="preserve">el </w:t>
            </w:r>
            <w:r w:rsidRPr="00990FB6">
              <w:rPr>
                <w:rFonts w:eastAsia="TeXGyrePagella"/>
                <w:spacing w:val="-2"/>
                <w:sz w:val="22"/>
                <w:szCs w:val="22"/>
                <w:lang w:eastAsia="en-US"/>
              </w:rPr>
              <w:t>ejercicio</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2"/>
                <w:sz w:val="22"/>
                <w:szCs w:val="22"/>
                <w:lang w:eastAsia="en-US"/>
              </w:rPr>
              <w:t>2024,</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4"/>
                <w:sz w:val="22"/>
                <w:szCs w:val="22"/>
                <w:lang w:eastAsia="en-US"/>
              </w:rPr>
              <w:t>con</w:t>
            </w:r>
            <w:r w:rsidRPr="00990FB6">
              <w:rPr>
                <w:rFonts w:eastAsia="TeXGyrePagella"/>
                <w:sz w:val="22"/>
                <w:szCs w:val="22"/>
                <w:lang w:eastAsia="en-US"/>
              </w:rPr>
              <w:tab/>
            </w:r>
            <w:r w:rsidRPr="00990FB6">
              <w:rPr>
                <w:rFonts w:eastAsia="TeXGyrePagella"/>
                <w:spacing w:val="-6"/>
                <w:sz w:val="22"/>
                <w:szCs w:val="22"/>
                <w:lang w:eastAsia="en-US"/>
              </w:rPr>
              <w:t xml:space="preserve">el </w:t>
            </w:r>
            <w:r w:rsidRPr="00990FB6">
              <w:rPr>
                <w:rFonts w:eastAsia="TeXGyrePagella"/>
                <w:sz w:val="22"/>
                <w:szCs w:val="22"/>
                <w:lang w:eastAsia="en-US"/>
              </w:rPr>
              <w:t>agravante</w:t>
            </w:r>
            <w:r w:rsidRPr="00990FB6">
              <w:rPr>
                <w:rFonts w:eastAsia="TeXGyrePagella"/>
                <w:spacing w:val="40"/>
                <w:sz w:val="22"/>
                <w:szCs w:val="22"/>
                <w:lang w:eastAsia="en-US"/>
              </w:rPr>
              <w:t xml:space="preserve"> </w:t>
            </w:r>
            <w:r w:rsidRPr="00990FB6">
              <w:rPr>
                <w:rFonts w:eastAsia="TeXGyrePagella"/>
                <w:sz w:val="22"/>
                <w:szCs w:val="22"/>
                <w:lang w:eastAsia="en-US"/>
              </w:rPr>
              <w:t>de</w:t>
            </w:r>
            <w:r w:rsidRPr="00990FB6">
              <w:rPr>
                <w:rFonts w:eastAsia="TeXGyrePagella"/>
                <w:spacing w:val="40"/>
                <w:sz w:val="22"/>
                <w:szCs w:val="22"/>
                <w:lang w:eastAsia="en-US"/>
              </w:rPr>
              <w:t xml:space="preserve"> </w:t>
            </w:r>
            <w:r w:rsidRPr="00990FB6">
              <w:rPr>
                <w:rFonts w:eastAsia="TeXGyrePagella"/>
                <w:sz w:val="22"/>
                <w:szCs w:val="22"/>
                <w:lang w:eastAsia="en-US"/>
              </w:rPr>
              <w:t>no</w:t>
            </w:r>
            <w:r w:rsidRPr="00990FB6">
              <w:rPr>
                <w:rFonts w:eastAsia="TeXGyrePagella"/>
                <w:spacing w:val="40"/>
                <w:sz w:val="22"/>
                <w:szCs w:val="22"/>
                <w:lang w:eastAsia="en-US"/>
              </w:rPr>
              <w:t xml:space="preserve"> </w:t>
            </w:r>
            <w:r w:rsidRPr="00990FB6">
              <w:rPr>
                <w:rFonts w:eastAsia="TeXGyrePagella"/>
                <w:sz w:val="22"/>
                <w:szCs w:val="22"/>
                <w:lang w:eastAsia="en-US"/>
              </w:rPr>
              <w:t xml:space="preserve">cumplir </w:t>
            </w:r>
            <w:r w:rsidRPr="00990FB6">
              <w:rPr>
                <w:rFonts w:eastAsia="TeXGyrePagella"/>
                <w:spacing w:val="-4"/>
                <w:sz w:val="22"/>
                <w:szCs w:val="22"/>
                <w:lang w:eastAsia="en-US"/>
              </w:rPr>
              <w:t>con</w:t>
            </w:r>
            <w:r w:rsidRPr="00990FB6">
              <w:rPr>
                <w:rFonts w:eastAsia="TeXGyrePagella"/>
                <w:sz w:val="22"/>
                <w:szCs w:val="22"/>
                <w:lang w:eastAsia="en-US"/>
              </w:rPr>
              <w:tab/>
            </w:r>
            <w:r w:rsidRPr="00990FB6">
              <w:rPr>
                <w:rFonts w:eastAsia="TeXGyrePagella"/>
                <w:spacing w:val="-6"/>
                <w:sz w:val="22"/>
                <w:szCs w:val="22"/>
                <w:lang w:eastAsia="en-US"/>
              </w:rPr>
              <w:t>el</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32"/>
                <w:sz w:val="22"/>
                <w:szCs w:val="22"/>
                <w:lang w:eastAsia="en-US"/>
              </w:rPr>
              <w:t xml:space="preserve"> </w:t>
            </w:r>
            <w:r w:rsidRPr="00990FB6">
              <w:rPr>
                <w:rFonts w:eastAsia="TeXGyrePagella"/>
                <w:spacing w:val="-2"/>
                <w:sz w:val="22"/>
                <w:szCs w:val="22"/>
                <w:lang w:eastAsia="en-US"/>
              </w:rPr>
              <w:t>contenido presupuestario</w:t>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z w:val="22"/>
                <w:szCs w:val="22"/>
                <w:lang w:eastAsia="en-US"/>
              </w:rPr>
              <w:tab/>
            </w:r>
            <w:r w:rsidRPr="00990FB6">
              <w:rPr>
                <w:rFonts w:eastAsia="TeXGyrePagella"/>
                <w:spacing w:val="-4"/>
                <w:sz w:val="22"/>
                <w:szCs w:val="22"/>
                <w:lang w:eastAsia="en-US"/>
              </w:rPr>
              <w:t>para</w:t>
            </w:r>
          </w:p>
          <w:p w14:paraId="09517DC1" w14:textId="77777777" w:rsidR="00B15F7D" w:rsidRPr="00990FB6" w:rsidRDefault="00B15F7D" w:rsidP="00B15F7D">
            <w:pPr>
              <w:widowControl w:val="0"/>
              <w:suppressAutoHyphens w:val="0"/>
              <w:autoSpaceDE w:val="0"/>
              <w:autoSpaceDN w:val="0"/>
              <w:ind w:left="67" w:right="64"/>
              <w:jc w:val="both"/>
              <w:rPr>
                <w:rFonts w:eastAsia="TeXGyrePagella"/>
                <w:sz w:val="22"/>
                <w:szCs w:val="22"/>
                <w:lang w:val="es-CR" w:eastAsia="en-US"/>
              </w:rPr>
            </w:pPr>
            <w:r w:rsidRPr="00990FB6">
              <w:rPr>
                <w:rFonts w:eastAsia="TeXGyrePagella"/>
                <w:spacing w:val="-2"/>
                <w:sz w:val="22"/>
                <w:szCs w:val="22"/>
                <w:lang w:val="es-CR" w:eastAsia="en-US"/>
              </w:rPr>
              <w:t>hacerle</w:t>
            </w:r>
            <w:r w:rsidRPr="00990FB6">
              <w:rPr>
                <w:rFonts w:eastAsia="TeXGyrePagella"/>
                <w:sz w:val="22"/>
                <w:szCs w:val="22"/>
                <w:lang w:val="es-CR" w:eastAsia="en-US"/>
              </w:rPr>
              <w:tab/>
            </w:r>
            <w:r w:rsidRPr="00990FB6">
              <w:rPr>
                <w:rFonts w:eastAsia="TeXGyrePagella"/>
                <w:spacing w:val="-2"/>
                <w:sz w:val="22"/>
                <w:szCs w:val="22"/>
                <w:lang w:val="es-CR" w:eastAsia="en-US"/>
              </w:rPr>
              <w:t>frente</w:t>
            </w:r>
            <w:r w:rsidRPr="00990FB6">
              <w:rPr>
                <w:rFonts w:eastAsia="TeXGyrePagella"/>
                <w:sz w:val="22"/>
                <w:szCs w:val="22"/>
                <w:lang w:val="es-CR" w:eastAsia="en-US"/>
              </w:rPr>
              <w:tab/>
            </w:r>
            <w:r w:rsidRPr="00990FB6">
              <w:rPr>
                <w:rFonts w:eastAsia="TeXGyrePagella"/>
                <w:spacing w:val="-10"/>
                <w:sz w:val="22"/>
                <w:szCs w:val="22"/>
                <w:lang w:val="es-CR" w:eastAsia="en-US"/>
              </w:rPr>
              <w:t>a</w:t>
            </w:r>
            <w:r w:rsidRPr="00990FB6">
              <w:rPr>
                <w:rFonts w:eastAsia="TeXGyrePagella"/>
                <w:sz w:val="22"/>
                <w:szCs w:val="22"/>
                <w:lang w:val="es-CR" w:eastAsia="en-US"/>
              </w:rPr>
              <w:tab/>
            </w:r>
            <w:r w:rsidRPr="00990FB6">
              <w:rPr>
                <w:rFonts w:eastAsia="TeXGyrePagella"/>
                <w:spacing w:val="-4"/>
                <w:sz w:val="22"/>
                <w:szCs w:val="22"/>
                <w:lang w:val="es-CR" w:eastAsia="en-US"/>
              </w:rPr>
              <w:t xml:space="preserve">esta </w:t>
            </w:r>
            <w:r w:rsidRPr="00990FB6">
              <w:rPr>
                <w:rFonts w:eastAsia="TeXGyrePagella"/>
                <w:sz w:val="22"/>
                <w:szCs w:val="22"/>
                <w:lang w:val="es-CR" w:eastAsia="en-US"/>
              </w:rPr>
              <w:t>obligación el pago de Servicios Públicos.</w:t>
            </w:r>
          </w:p>
          <w:p w14:paraId="165209CA" w14:textId="77777777" w:rsidR="00B15F7D" w:rsidRPr="00990FB6" w:rsidRDefault="00B15F7D" w:rsidP="00B15F7D">
            <w:pPr>
              <w:widowControl w:val="0"/>
              <w:suppressAutoHyphens w:val="0"/>
              <w:autoSpaceDE w:val="0"/>
              <w:autoSpaceDN w:val="0"/>
              <w:rPr>
                <w:rFonts w:eastAsia="TeXGyrePagella"/>
                <w:sz w:val="22"/>
                <w:szCs w:val="22"/>
                <w:lang w:val="es-CR" w:eastAsia="en-US"/>
              </w:rPr>
            </w:pPr>
          </w:p>
          <w:p w14:paraId="644E5875" w14:textId="77777777" w:rsidR="00B15F7D" w:rsidRPr="00990FB6" w:rsidRDefault="00B15F7D" w:rsidP="00B15F7D">
            <w:pPr>
              <w:widowControl w:val="0"/>
              <w:suppressAutoHyphens w:val="0"/>
              <w:autoSpaceDE w:val="0"/>
              <w:autoSpaceDN w:val="0"/>
              <w:ind w:left="67" w:right="62"/>
              <w:jc w:val="both"/>
              <w:rPr>
                <w:rFonts w:eastAsia="TeXGyrePagella"/>
                <w:sz w:val="22"/>
                <w:szCs w:val="22"/>
                <w:lang w:eastAsia="en-US"/>
              </w:rPr>
            </w:pPr>
            <w:r w:rsidRPr="00990FB6">
              <w:rPr>
                <w:rFonts w:eastAsia="TeXGyrePagella"/>
                <w:sz w:val="22"/>
                <w:szCs w:val="22"/>
                <w:lang w:eastAsia="en-US"/>
              </w:rPr>
              <w:t>Implica una mala práctica en la formulación presupuestaria y un impacto</w:t>
            </w:r>
            <w:r w:rsidRPr="00990FB6">
              <w:rPr>
                <w:rFonts w:eastAsia="TeXGyrePagella"/>
                <w:spacing w:val="-10"/>
                <w:sz w:val="22"/>
                <w:szCs w:val="22"/>
                <w:lang w:eastAsia="en-US"/>
              </w:rPr>
              <w:t xml:space="preserve"> </w:t>
            </w:r>
            <w:r w:rsidRPr="00990FB6">
              <w:rPr>
                <w:rFonts w:eastAsia="TeXGyrePagella"/>
                <w:sz w:val="22"/>
                <w:szCs w:val="22"/>
                <w:lang w:eastAsia="en-US"/>
              </w:rPr>
              <w:t>en</w:t>
            </w:r>
            <w:r w:rsidRPr="00990FB6">
              <w:rPr>
                <w:rFonts w:eastAsia="TeXGyrePagella"/>
                <w:spacing w:val="-10"/>
                <w:sz w:val="22"/>
                <w:szCs w:val="22"/>
                <w:lang w:eastAsia="en-US"/>
              </w:rPr>
              <w:t xml:space="preserve"> </w:t>
            </w:r>
            <w:r w:rsidRPr="00990FB6">
              <w:rPr>
                <w:rFonts w:eastAsia="TeXGyrePagella"/>
                <w:sz w:val="22"/>
                <w:szCs w:val="22"/>
                <w:lang w:eastAsia="en-US"/>
              </w:rPr>
              <w:t>el</w:t>
            </w:r>
            <w:r w:rsidRPr="00990FB6">
              <w:rPr>
                <w:rFonts w:eastAsia="TeXGyrePagella"/>
                <w:spacing w:val="-11"/>
                <w:sz w:val="22"/>
                <w:szCs w:val="22"/>
                <w:lang w:eastAsia="en-US"/>
              </w:rPr>
              <w:t xml:space="preserve"> </w:t>
            </w:r>
            <w:r w:rsidRPr="00990FB6">
              <w:rPr>
                <w:rFonts w:eastAsia="TeXGyrePagella"/>
                <w:sz w:val="22"/>
                <w:szCs w:val="22"/>
                <w:lang w:eastAsia="en-US"/>
              </w:rPr>
              <w:lastRenderedPageBreak/>
              <w:t>presupuesto del año 2025, al trasladar el pago del mes de diciembre</w:t>
            </w:r>
            <w:r w:rsidRPr="00990FB6">
              <w:rPr>
                <w:rFonts w:eastAsia="TeXGyrePagella"/>
                <w:spacing w:val="21"/>
                <w:sz w:val="22"/>
                <w:szCs w:val="22"/>
                <w:lang w:eastAsia="en-US"/>
              </w:rPr>
              <w:t xml:space="preserve"> </w:t>
            </w:r>
            <w:r w:rsidRPr="00990FB6">
              <w:rPr>
                <w:rFonts w:eastAsia="TeXGyrePagella"/>
                <w:sz w:val="22"/>
                <w:szCs w:val="22"/>
                <w:lang w:eastAsia="en-US"/>
              </w:rPr>
              <w:t>de</w:t>
            </w:r>
            <w:r w:rsidRPr="00990FB6">
              <w:rPr>
                <w:rFonts w:eastAsia="TeXGyrePagella"/>
                <w:spacing w:val="22"/>
                <w:sz w:val="22"/>
                <w:szCs w:val="22"/>
                <w:lang w:eastAsia="en-US"/>
              </w:rPr>
              <w:t xml:space="preserve"> </w:t>
            </w:r>
            <w:r w:rsidRPr="00990FB6">
              <w:rPr>
                <w:rFonts w:eastAsia="TeXGyrePagella"/>
                <w:sz w:val="22"/>
                <w:szCs w:val="22"/>
                <w:lang w:eastAsia="en-US"/>
              </w:rPr>
              <w:t>2024</w:t>
            </w:r>
            <w:r w:rsidRPr="00990FB6">
              <w:rPr>
                <w:rFonts w:eastAsia="TeXGyrePagella"/>
                <w:spacing w:val="22"/>
                <w:sz w:val="22"/>
                <w:szCs w:val="22"/>
                <w:lang w:eastAsia="en-US"/>
              </w:rPr>
              <w:t xml:space="preserve"> </w:t>
            </w:r>
            <w:r w:rsidRPr="00990FB6">
              <w:rPr>
                <w:rFonts w:eastAsia="TeXGyrePagella"/>
                <w:sz w:val="22"/>
                <w:szCs w:val="22"/>
                <w:lang w:eastAsia="en-US"/>
              </w:rPr>
              <w:t>al</w:t>
            </w:r>
            <w:r w:rsidRPr="00990FB6">
              <w:rPr>
                <w:rFonts w:eastAsia="TeXGyrePagella"/>
                <w:spacing w:val="22"/>
                <w:sz w:val="22"/>
                <w:szCs w:val="22"/>
                <w:lang w:eastAsia="en-US"/>
              </w:rPr>
              <w:t xml:space="preserve"> </w:t>
            </w:r>
            <w:r w:rsidRPr="00990FB6">
              <w:rPr>
                <w:rFonts w:eastAsia="TeXGyrePagella"/>
                <w:spacing w:val="-5"/>
                <w:sz w:val="22"/>
                <w:szCs w:val="22"/>
                <w:lang w:eastAsia="en-US"/>
              </w:rPr>
              <w:t>año</w:t>
            </w:r>
          </w:p>
          <w:p w14:paraId="2CA464AF" w14:textId="77777777" w:rsidR="00B15F7D" w:rsidRPr="00990FB6" w:rsidRDefault="00B15F7D" w:rsidP="00B15F7D">
            <w:pPr>
              <w:widowControl w:val="0"/>
              <w:tabs>
                <w:tab w:val="left" w:pos="953"/>
                <w:tab w:val="left" w:pos="1699"/>
                <w:tab w:val="left" w:pos="2042"/>
              </w:tabs>
              <w:suppressAutoHyphens w:val="0"/>
              <w:autoSpaceDE w:val="0"/>
              <w:autoSpaceDN w:val="0"/>
              <w:ind w:left="67"/>
              <w:rPr>
                <w:rFonts w:eastAsia="TeXGyrePagella"/>
                <w:sz w:val="22"/>
                <w:szCs w:val="22"/>
                <w:lang w:eastAsia="en-US"/>
              </w:rPr>
            </w:pPr>
            <w:r w:rsidRPr="00990FB6">
              <w:rPr>
                <w:rFonts w:eastAsia="TeXGyrePagella"/>
                <w:spacing w:val="-2"/>
                <w:sz w:val="22"/>
                <w:szCs w:val="22"/>
                <w:lang w:eastAsia="en-US"/>
              </w:rPr>
              <w:t>siguiente.</w:t>
            </w:r>
          </w:p>
        </w:tc>
      </w:tr>
    </w:tbl>
    <w:p w14:paraId="4B2F88E1" w14:textId="77777777" w:rsidR="00B15F7D" w:rsidRPr="00990FB6" w:rsidRDefault="00B15F7D" w:rsidP="00B15F7D">
      <w:pPr>
        <w:tabs>
          <w:tab w:val="left" w:pos="7420"/>
        </w:tabs>
        <w:rPr>
          <w:b/>
          <w:bCs/>
          <w:color w:val="0070C0"/>
          <w:sz w:val="22"/>
          <w:szCs w:val="22"/>
          <w:u w:val="single"/>
        </w:rPr>
      </w:pPr>
    </w:p>
    <w:p w14:paraId="79A2FB4C" w14:textId="37C8F728" w:rsidR="00B15F7D" w:rsidRPr="00990FB6" w:rsidRDefault="00B15F7D" w:rsidP="00B15F7D">
      <w:pPr>
        <w:tabs>
          <w:tab w:val="left" w:pos="7420"/>
        </w:tabs>
        <w:jc w:val="center"/>
        <w:rPr>
          <w:sz w:val="22"/>
          <w:szCs w:val="22"/>
        </w:rPr>
      </w:pPr>
      <w:r w:rsidRPr="00990FB6">
        <w:rPr>
          <w:sz w:val="22"/>
          <w:szCs w:val="22"/>
        </w:rPr>
        <w:object w:dxaOrig="1513" w:dyaOrig="989" w14:anchorId="0B6EB6FD">
          <v:shape id="_x0000_i1066" type="#_x0000_t75" style="width:77pt;height:51.5pt" o:ole="">
            <v:imagedata r:id="rId152" o:title=""/>
          </v:shape>
          <o:OLEObject Type="Embed" ProgID="Package" ShapeID="_x0000_i1066" DrawAspect="Icon" ObjectID="_1748679194" r:id="rId153"/>
        </w:object>
      </w:r>
    </w:p>
    <w:p w14:paraId="33BE7E9E" w14:textId="77777777" w:rsidR="00FC2DB5" w:rsidRPr="00990FB6" w:rsidRDefault="00FC2DB5" w:rsidP="00B15F7D">
      <w:pPr>
        <w:tabs>
          <w:tab w:val="left" w:pos="7420"/>
        </w:tabs>
        <w:jc w:val="center"/>
        <w:rPr>
          <w:b/>
          <w:bCs/>
          <w:color w:val="0070C0"/>
          <w:sz w:val="22"/>
          <w:szCs w:val="22"/>
          <w:u w:val="single"/>
        </w:rPr>
      </w:pPr>
    </w:p>
    <w:p w14:paraId="7C8F9176" w14:textId="77777777" w:rsidR="00B15F7D" w:rsidRPr="00990FB6" w:rsidRDefault="00B15F7D" w:rsidP="00B15F7D">
      <w:pPr>
        <w:numPr>
          <w:ilvl w:val="0"/>
          <w:numId w:val="196"/>
        </w:numPr>
        <w:tabs>
          <w:tab w:val="left" w:pos="142"/>
        </w:tabs>
        <w:suppressAutoHyphens w:val="0"/>
        <w:ind w:left="851" w:right="851" w:firstLine="142"/>
        <w:contextualSpacing/>
        <w:jc w:val="both"/>
        <w:rPr>
          <w:b/>
          <w:bCs/>
          <w:sz w:val="22"/>
          <w:szCs w:val="22"/>
          <w:u w:val="single"/>
        </w:rPr>
      </w:pPr>
      <w:r w:rsidRPr="00990FB6">
        <w:rPr>
          <w:b/>
          <w:bCs/>
          <w:i/>
          <w:iCs/>
          <w:sz w:val="22"/>
          <w:szCs w:val="22"/>
          <w:u w:val="single"/>
        </w:rPr>
        <w:t>Organismo de Investigación Judicial</w:t>
      </w:r>
      <w:r w:rsidRPr="00990FB6">
        <w:rPr>
          <w:b/>
          <w:bCs/>
          <w:sz w:val="22"/>
          <w:szCs w:val="22"/>
          <w:u w:val="single"/>
        </w:rPr>
        <w:t>:</w:t>
      </w:r>
    </w:p>
    <w:p w14:paraId="2ACC49A4" w14:textId="77777777" w:rsidR="00B15F7D" w:rsidRPr="00990FB6" w:rsidRDefault="00B15F7D" w:rsidP="00B15F7D">
      <w:pPr>
        <w:tabs>
          <w:tab w:val="left" w:pos="142"/>
        </w:tabs>
        <w:ind w:left="851" w:right="851" w:firstLine="142"/>
        <w:contextualSpacing/>
        <w:jc w:val="both"/>
        <w:rPr>
          <w:b/>
          <w:bCs/>
          <w:i/>
          <w:iCs/>
          <w:sz w:val="22"/>
          <w:szCs w:val="22"/>
          <w:u w:val="single"/>
        </w:rPr>
      </w:pPr>
    </w:p>
    <w:p w14:paraId="7A31D019" w14:textId="77777777" w:rsidR="00B15F7D" w:rsidRPr="00990FB6" w:rsidRDefault="00B15F7D" w:rsidP="00B15F7D">
      <w:pPr>
        <w:ind w:left="851" w:right="851" w:firstLine="142"/>
        <w:jc w:val="both"/>
        <w:rPr>
          <w:sz w:val="22"/>
          <w:szCs w:val="22"/>
          <w:lang w:eastAsia="es-CR"/>
        </w:rPr>
      </w:pPr>
      <w:r w:rsidRPr="00990FB6">
        <w:rPr>
          <w:sz w:val="22"/>
          <w:szCs w:val="22"/>
        </w:rPr>
        <w:t xml:space="preserve">Mediante correo electrónico del viernes 12 de mayo el Organismo de Investigación Judicial remite un comunicado con afectaciones por un monto de </w:t>
      </w:r>
      <w:r w:rsidRPr="00990FB6">
        <w:rPr>
          <w:sz w:val="22"/>
          <w:szCs w:val="22"/>
          <w:lang w:eastAsia="es-CR"/>
        </w:rPr>
        <w:t>₡2.741.092.877, en las subpartidas que se detallan en el cuadro:</w:t>
      </w:r>
    </w:p>
    <w:p w14:paraId="64093FC6" w14:textId="77777777" w:rsidR="00B15F7D" w:rsidRPr="00990FB6" w:rsidRDefault="00B15F7D" w:rsidP="00B15F7D">
      <w:pPr>
        <w:ind w:left="851" w:right="851" w:firstLine="142"/>
        <w:jc w:val="both"/>
        <w:rPr>
          <w:sz w:val="22"/>
          <w:szCs w:val="22"/>
          <w:lang w:eastAsia="es-CR"/>
        </w:rPr>
      </w:pPr>
    </w:p>
    <w:p w14:paraId="51E06FF6" w14:textId="15C28C4B" w:rsidR="00B15F7D" w:rsidRPr="00990FB6" w:rsidRDefault="00B15F7D" w:rsidP="00B15F7D">
      <w:pPr>
        <w:tabs>
          <w:tab w:val="left" w:pos="2250"/>
        </w:tabs>
        <w:jc w:val="center"/>
        <w:rPr>
          <w:color w:val="000000"/>
          <w:sz w:val="22"/>
          <w:szCs w:val="22"/>
          <w:lang w:eastAsia="es-CR"/>
        </w:rPr>
      </w:pPr>
      <w:r w:rsidRPr="00990FB6">
        <w:rPr>
          <w:noProof/>
          <w:sz w:val="22"/>
          <w:szCs w:val="22"/>
          <w:lang w:eastAsia="es-CR"/>
        </w:rPr>
        <w:lastRenderedPageBreak/>
        <w:drawing>
          <wp:inline distT="0" distB="0" distL="0" distR="0" wp14:anchorId="3B853939" wp14:editId="00F11B59">
            <wp:extent cx="4644605" cy="4775200"/>
            <wp:effectExtent l="0" t="0" r="3810" b="6350"/>
            <wp:docPr id="68083098" name="Imagen 6808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658539" cy="4789525"/>
                    </a:xfrm>
                    <a:prstGeom prst="rect">
                      <a:avLst/>
                    </a:prstGeom>
                    <a:noFill/>
                    <a:ln>
                      <a:noFill/>
                    </a:ln>
                  </pic:spPr>
                </pic:pic>
              </a:graphicData>
            </a:graphic>
          </wp:inline>
        </w:drawing>
      </w:r>
    </w:p>
    <w:p w14:paraId="638CCF0B" w14:textId="77777777" w:rsidR="00FC2DB5" w:rsidRPr="00990FB6" w:rsidRDefault="00FC2DB5" w:rsidP="00B15F7D">
      <w:pPr>
        <w:tabs>
          <w:tab w:val="left" w:pos="2250"/>
        </w:tabs>
        <w:jc w:val="center"/>
        <w:rPr>
          <w:color w:val="000000"/>
          <w:sz w:val="22"/>
          <w:szCs w:val="22"/>
          <w:lang w:eastAsia="es-CR"/>
        </w:rPr>
      </w:pPr>
    </w:p>
    <w:p w14:paraId="2A3412D3" w14:textId="77777777" w:rsidR="00B15F7D" w:rsidRPr="00990FB6" w:rsidRDefault="00B15F7D" w:rsidP="00B15F7D">
      <w:pPr>
        <w:tabs>
          <w:tab w:val="left" w:pos="8090"/>
        </w:tabs>
        <w:jc w:val="center"/>
        <w:rPr>
          <w:sz w:val="22"/>
          <w:szCs w:val="22"/>
        </w:rPr>
      </w:pPr>
      <w:r w:rsidRPr="00990FB6">
        <w:rPr>
          <w:sz w:val="22"/>
          <w:szCs w:val="22"/>
        </w:rPr>
        <w:object w:dxaOrig="7281" w:dyaOrig="831" w14:anchorId="316ECB59">
          <v:shape id="_x0000_i1067" type="#_x0000_t75" style="width:365.15pt;height:41pt" o:ole="">
            <v:imagedata r:id="rId155" o:title=""/>
          </v:shape>
          <o:OLEObject Type="Embed" ProgID="Package" ShapeID="_x0000_i1067" DrawAspect="Content" ObjectID="_1748679195" r:id="rId156"/>
        </w:object>
      </w:r>
    </w:p>
    <w:p w14:paraId="2AC2F60E" w14:textId="77777777" w:rsidR="00B15F7D" w:rsidRPr="00990FB6" w:rsidRDefault="00B15F7D" w:rsidP="00B15F7D">
      <w:pPr>
        <w:tabs>
          <w:tab w:val="left" w:pos="8090"/>
        </w:tabs>
        <w:rPr>
          <w:sz w:val="22"/>
          <w:szCs w:val="22"/>
        </w:rPr>
      </w:pPr>
      <w:r w:rsidRPr="00990FB6">
        <w:rPr>
          <w:sz w:val="22"/>
          <w:szCs w:val="22"/>
        </w:rPr>
        <w:tab/>
      </w:r>
    </w:p>
    <w:p w14:paraId="146642EB" w14:textId="77777777" w:rsidR="00B15F7D" w:rsidRPr="00990FB6" w:rsidRDefault="00B15F7D" w:rsidP="00B15F7D">
      <w:pPr>
        <w:numPr>
          <w:ilvl w:val="0"/>
          <w:numId w:val="196"/>
        </w:numPr>
        <w:tabs>
          <w:tab w:val="left" w:pos="142"/>
        </w:tabs>
        <w:suppressAutoHyphens w:val="0"/>
        <w:ind w:left="851" w:right="851" w:firstLine="142"/>
        <w:contextualSpacing/>
        <w:jc w:val="both"/>
        <w:rPr>
          <w:b/>
          <w:bCs/>
          <w:sz w:val="22"/>
          <w:szCs w:val="22"/>
          <w:u w:val="single"/>
        </w:rPr>
      </w:pPr>
      <w:r w:rsidRPr="00990FB6">
        <w:rPr>
          <w:b/>
          <w:bCs/>
          <w:i/>
          <w:iCs/>
          <w:sz w:val="22"/>
          <w:szCs w:val="22"/>
          <w:u w:val="single"/>
        </w:rPr>
        <w:t>Ministerio Público</w:t>
      </w:r>
      <w:r w:rsidRPr="00990FB6">
        <w:rPr>
          <w:b/>
          <w:bCs/>
          <w:sz w:val="22"/>
          <w:szCs w:val="22"/>
          <w:u w:val="single"/>
        </w:rPr>
        <w:t>:</w:t>
      </w:r>
    </w:p>
    <w:p w14:paraId="3221DDF4" w14:textId="77777777" w:rsidR="00B15F7D" w:rsidRPr="00990FB6" w:rsidRDefault="00B15F7D" w:rsidP="00B15F7D">
      <w:pPr>
        <w:tabs>
          <w:tab w:val="left" w:pos="142"/>
        </w:tabs>
        <w:ind w:left="851" w:right="851" w:firstLine="142"/>
        <w:contextualSpacing/>
        <w:jc w:val="both"/>
        <w:rPr>
          <w:b/>
          <w:bCs/>
          <w:sz w:val="22"/>
          <w:szCs w:val="22"/>
          <w:u w:val="single"/>
        </w:rPr>
      </w:pPr>
    </w:p>
    <w:p w14:paraId="584CB667" w14:textId="77777777" w:rsidR="00B15F7D" w:rsidRPr="00990FB6" w:rsidRDefault="00B15F7D" w:rsidP="00B15F7D">
      <w:pPr>
        <w:tabs>
          <w:tab w:val="left" w:pos="142"/>
        </w:tabs>
        <w:ind w:left="851" w:right="851" w:firstLine="142"/>
        <w:contextualSpacing/>
        <w:jc w:val="both"/>
        <w:rPr>
          <w:sz w:val="22"/>
          <w:szCs w:val="22"/>
          <w:lang w:eastAsia="es-CR"/>
        </w:rPr>
      </w:pPr>
      <w:r w:rsidRPr="00990FB6">
        <w:rPr>
          <w:sz w:val="22"/>
          <w:szCs w:val="22"/>
        </w:rPr>
        <w:t xml:space="preserve">Mediante correo electrónico del martes 16 de mayo el Ministerio Público remite un detalle con las afectaciones por un monto de </w:t>
      </w:r>
      <w:r w:rsidRPr="00990FB6">
        <w:rPr>
          <w:sz w:val="22"/>
          <w:szCs w:val="22"/>
          <w:lang w:eastAsia="es-CR"/>
        </w:rPr>
        <w:t>₡533.802.416:</w:t>
      </w:r>
    </w:p>
    <w:p w14:paraId="11FE6251" w14:textId="77777777" w:rsidR="00B15F7D" w:rsidRPr="00990FB6" w:rsidRDefault="00B15F7D" w:rsidP="00B15F7D">
      <w:pPr>
        <w:tabs>
          <w:tab w:val="left" w:pos="142"/>
        </w:tabs>
        <w:ind w:left="851" w:right="851" w:firstLine="142"/>
        <w:contextualSpacing/>
        <w:jc w:val="both"/>
        <w:rPr>
          <w:color w:val="000000"/>
          <w:sz w:val="22"/>
          <w:szCs w:val="22"/>
          <w:lang w:eastAsia="es-CR"/>
        </w:rPr>
      </w:pPr>
    </w:p>
    <w:p w14:paraId="670E692F" w14:textId="77777777" w:rsidR="00B15F7D" w:rsidRPr="00990FB6" w:rsidRDefault="00B15F7D" w:rsidP="00B15F7D">
      <w:pPr>
        <w:tabs>
          <w:tab w:val="left" w:pos="142"/>
        </w:tabs>
        <w:ind w:left="851" w:right="851" w:firstLine="142"/>
        <w:contextualSpacing/>
        <w:jc w:val="center"/>
        <w:rPr>
          <w:b/>
          <w:sz w:val="22"/>
          <w:szCs w:val="22"/>
        </w:rPr>
      </w:pPr>
      <w:r w:rsidRPr="00990FB6">
        <w:rPr>
          <w:b/>
          <w:sz w:val="22"/>
          <w:szCs w:val="22"/>
        </w:rPr>
        <w:t>Ministerio Público</w:t>
      </w:r>
    </w:p>
    <w:p w14:paraId="2EE60CE9" w14:textId="77777777" w:rsidR="00B15F7D" w:rsidRPr="00990FB6" w:rsidRDefault="00B15F7D" w:rsidP="00B15F7D">
      <w:pPr>
        <w:tabs>
          <w:tab w:val="left" w:pos="142"/>
        </w:tabs>
        <w:ind w:left="851" w:right="851" w:firstLine="142"/>
        <w:contextualSpacing/>
        <w:jc w:val="center"/>
        <w:rPr>
          <w:b/>
          <w:sz w:val="22"/>
          <w:szCs w:val="22"/>
        </w:rPr>
      </w:pPr>
      <w:r w:rsidRPr="00990FB6">
        <w:rPr>
          <w:b/>
          <w:sz w:val="22"/>
          <w:szCs w:val="22"/>
        </w:rPr>
        <w:t>Resumen de propuesta de afectaciones por Subpartida</w:t>
      </w:r>
    </w:p>
    <w:p w14:paraId="4A8A2282" w14:textId="77777777" w:rsidR="00B15F7D" w:rsidRPr="00990FB6" w:rsidRDefault="00B15F7D" w:rsidP="00B15F7D">
      <w:pPr>
        <w:tabs>
          <w:tab w:val="left" w:pos="142"/>
        </w:tabs>
        <w:ind w:left="851" w:right="851" w:firstLine="142"/>
        <w:contextualSpacing/>
        <w:jc w:val="center"/>
        <w:rPr>
          <w:b/>
          <w:color w:val="000000"/>
          <w:sz w:val="22"/>
          <w:szCs w:val="22"/>
          <w:lang w:eastAsia="es-CR"/>
        </w:rPr>
      </w:pPr>
    </w:p>
    <w:p w14:paraId="305AA33A" w14:textId="77777777" w:rsidR="00B15F7D" w:rsidRPr="00990FB6" w:rsidRDefault="00B15F7D" w:rsidP="00B15F7D">
      <w:pPr>
        <w:jc w:val="center"/>
        <w:rPr>
          <w:b/>
          <w:bCs/>
          <w:i/>
          <w:iCs/>
          <w:color w:val="0070C0"/>
          <w:sz w:val="22"/>
          <w:szCs w:val="22"/>
          <w:u w:val="single"/>
        </w:rPr>
      </w:pPr>
      <w:r w:rsidRPr="00990FB6">
        <w:rPr>
          <w:noProof/>
          <w:sz w:val="22"/>
          <w:szCs w:val="22"/>
          <w:lang w:eastAsia="es-CR"/>
        </w:rPr>
        <w:lastRenderedPageBreak/>
        <w:drawing>
          <wp:inline distT="0" distB="0" distL="0" distR="0" wp14:anchorId="3CB2DE6E" wp14:editId="350BE52C">
            <wp:extent cx="5245100" cy="5778500"/>
            <wp:effectExtent l="0" t="0" r="0" b="0"/>
            <wp:docPr id="553459111" name="Imagen 55345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56811" cy="5791402"/>
                    </a:xfrm>
                    <a:prstGeom prst="rect">
                      <a:avLst/>
                    </a:prstGeom>
                    <a:noFill/>
                    <a:ln>
                      <a:noFill/>
                    </a:ln>
                  </pic:spPr>
                </pic:pic>
              </a:graphicData>
            </a:graphic>
          </wp:inline>
        </w:drawing>
      </w:r>
    </w:p>
    <w:p w14:paraId="2034C549" w14:textId="77777777" w:rsidR="00B15F7D" w:rsidRPr="00990FB6" w:rsidRDefault="00B15F7D" w:rsidP="00B15F7D">
      <w:pPr>
        <w:rPr>
          <w:b/>
          <w:bCs/>
          <w:i/>
          <w:iCs/>
          <w:color w:val="0070C0"/>
          <w:sz w:val="22"/>
          <w:szCs w:val="22"/>
          <w:u w:val="single"/>
        </w:rPr>
      </w:pPr>
      <w:r w:rsidRPr="00990FB6">
        <w:rPr>
          <w:b/>
          <w:bCs/>
          <w:i/>
          <w:iCs/>
          <w:color w:val="0070C0"/>
          <w:sz w:val="22"/>
          <w:szCs w:val="22"/>
          <w:u w:val="single"/>
        </w:rPr>
        <w:br w:type="page"/>
      </w:r>
    </w:p>
    <w:tbl>
      <w:tblPr>
        <w:tblStyle w:val="Tablaconcuadrcula"/>
        <w:tblW w:w="5698" w:type="pct"/>
        <w:jc w:val="center"/>
        <w:tblLayout w:type="fixed"/>
        <w:tblLook w:val="04A0" w:firstRow="1" w:lastRow="0" w:firstColumn="1" w:lastColumn="0" w:noHBand="0" w:noVBand="1"/>
      </w:tblPr>
      <w:tblGrid>
        <w:gridCol w:w="1249"/>
        <w:gridCol w:w="1239"/>
        <w:gridCol w:w="778"/>
        <w:gridCol w:w="2238"/>
        <w:gridCol w:w="1178"/>
        <w:gridCol w:w="1094"/>
        <w:gridCol w:w="1261"/>
        <w:gridCol w:w="1670"/>
      </w:tblGrid>
      <w:tr w:rsidR="00B15F7D" w:rsidRPr="00990FB6" w14:paraId="21ED7B17" w14:textId="77777777" w:rsidTr="000A0C22">
        <w:trPr>
          <w:trHeight w:val="580"/>
          <w:tblHeader/>
          <w:jc w:val="center"/>
        </w:trPr>
        <w:tc>
          <w:tcPr>
            <w:tcW w:w="583" w:type="pct"/>
            <w:shd w:val="clear" w:color="auto" w:fill="0070C0"/>
            <w:noWrap/>
            <w:hideMark/>
          </w:tcPr>
          <w:p w14:paraId="23813380" w14:textId="77777777" w:rsidR="00B15F7D" w:rsidRPr="00990FB6" w:rsidRDefault="00B15F7D" w:rsidP="00B15F7D">
            <w:pPr>
              <w:rPr>
                <w:color w:val="FFFFFF"/>
                <w:sz w:val="22"/>
                <w:szCs w:val="22"/>
                <w:u w:val="single"/>
              </w:rPr>
            </w:pPr>
            <w:proofErr w:type="spellStart"/>
            <w:r w:rsidRPr="00990FB6">
              <w:rPr>
                <w:color w:val="FFFFFF"/>
                <w:sz w:val="22"/>
                <w:szCs w:val="22"/>
                <w:u w:val="single"/>
              </w:rPr>
              <w:lastRenderedPageBreak/>
              <w:t>N°</w:t>
            </w:r>
            <w:proofErr w:type="spellEnd"/>
            <w:r w:rsidRPr="00990FB6">
              <w:rPr>
                <w:color w:val="FFFFFF"/>
                <w:sz w:val="22"/>
                <w:szCs w:val="22"/>
                <w:u w:val="single"/>
              </w:rPr>
              <w:t xml:space="preserve"> Subpartida </w:t>
            </w:r>
          </w:p>
        </w:tc>
        <w:tc>
          <w:tcPr>
            <w:tcW w:w="578" w:type="pct"/>
            <w:shd w:val="clear" w:color="auto" w:fill="0070C0"/>
            <w:noWrap/>
            <w:hideMark/>
          </w:tcPr>
          <w:p w14:paraId="2EA16EE5" w14:textId="77777777" w:rsidR="00B15F7D" w:rsidRPr="00990FB6" w:rsidRDefault="00B15F7D" w:rsidP="00B15F7D">
            <w:pPr>
              <w:rPr>
                <w:color w:val="FFFFFF"/>
                <w:sz w:val="22"/>
                <w:szCs w:val="22"/>
                <w:u w:val="single"/>
              </w:rPr>
            </w:pPr>
            <w:r w:rsidRPr="00990FB6">
              <w:rPr>
                <w:color w:val="FFFFFF"/>
                <w:sz w:val="22"/>
                <w:szCs w:val="22"/>
                <w:u w:val="single"/>
              </w:rPr>
              <w:t>Nombre</w:t>
            </w:r>
          </w:p>
        </w:tc>
        <w:tc>
          <w:tcPr>
            <w:tcW w:w="363" w:type="pct"/>
            <w:shd w:val="clear" w:color="auto" w:fill="0070C0"/>
            <w:hideMark/>
          </w:tcPr>
          <w:p w14:paraId="02282648" w14:textId="77777777" w:rsidR="00B15F7D" w:rsidRPr="00990FB6" w:rsidRDefault="00B15F7D" w:rsidP="00B15F7D">
            <w:pPr>
              <w:rPr>
                <w:color w:val="FFFFFF"/>
                <w:sz w:val="22"/>
                <w:szCs w:val="22"/>
                <w:u w:val="single"/>
              </w:rPr>
            </w:pPr>
            <w:r w:rsidRPr="00990FB6">
              <w:rPr>
                <w:color w:val="FFFFFF"/>
                <w:sz w:val="22"/>
                <w:szCs w:val="22"/>
                <w:u w:val="single"/>
              </w:rPr>
              <w:t xml:space="preserve">Artículo </w:t>
            </w:r>
          </w:p>
        </w:tc>
        <w:tc>
          <w:tcPr>
            <w:tcW w:w="1045" w:type="pct"/>
            <w:shd w:val="clear" w:color="auto" w:fill="0070C0"/>
            <w:hideMark/>
          </w:tcPr>
          <w:p w14:paraId="59513886" w14:textId="77777777" w:rsidR="00B15F7D" w:rsidRPr="00990FB6" w:rsidRDefault="00B15F7D" w:rsidP="00B15F7D">
            <w:pPr>
              <w:rPr>
                <w:color w:val="FFFFFF"/>
                <w:sz w:val="22"/>
                <w:szCs w:val="22"/>
                <w:u w:val="single"/>
              </w:rPr>
            </w:pPr>
            <w:r w:rsidRPr="00990FB6">
              <w:rPr>
                <w:color w:val="FFFFFF"/>
                <w:sz w:val="22"/>
                <w:szCs w:val="22"/>
                <w:u w:val="single"/>
              </w:rPr>
              <w:t>Detalle</w:t>
            </w:r>
          </w:p>
        </w:tc>
        <w:tc>
          <w:tcPr>
            <w:tcW w:w="550" w:type="pct"/>
            <w:shd w:val="clear" w:color="auto" w:fill="0070C0"/>
            <w:hideMark/>
          </w:tcPr>
          <w:p w14:paraId="1BF25882" w14:textId="77777777" w:rsidR="00B15F7D" w:rsidRPr="00990FB6" w:rsidRDefault="00B15F7D" w:rsidP="00B15F7D">
            <w:pPr>
              <w:rPr>
                <w:color w:val="FFFFFF"/>
                <w:sz w:val="22"/>
                <w:szCs w:val="22"/>
                <w:u w:val="single"/>
              </w:rPr>
            </w:pPr>
            <w:r w:rsidRPr="00990FB6">
              <w:rPr>
                <w:color w:val="FFFFFF"/>
                <w:sz w:val="22"/>
                <w:szCs w:val="22"/>
                <w:u w:val="single"/>
              </w:rPr>
              <w:t>Rebajo Gasto Corriente 1-2-6-9</w:t>
            </w:r>
          </w:p>
        </w:tc>
        <w:tc>
          <w:tcPr>
            <w:tcW w:w="511" w:type="pct"/>
            <w:shd w:val="clear" w:color="auto" w:fill="0070C0"/>
            <w:hideMark/>
          </w:tcPr>
          <w:p w14:paraId="3B3A25F4" w14:textId="77777777" w:rsidR="00B15F7D" w:rsidRPr="00990FB6" w:rsidRDefault="00B15F7D" w:rsidP="00B15F7D">
            <w:pPr>
              <w:rPr>
                <w:color w:val="FFFFFF"/>
                <w:sz w:val="22"/>
                <w:szCs w:val="22"/>
                <w:u w:val="single"/>
              </w:rPr>
            </w:pPr>
            <w:r w:rsidRPr="00990FB6">
              <w:rPr>
                <w:color w:val="FFFFFF"/>
                <w:sz w:val="22"/>
                <w:szCs w:val="22"/>
                <w:u w:val="single"/>
              </w:rPr>
              <w:t>Rebajo Gasto de Capital 5-7</w:t>
            </w:r>
          </w:p>
        </w:tc>
        <w:tc>
          <w:tcPr>
            <w:tcW w:w="589" w:type="pct"/>
            <w:shd w:val="clear" w:color="auto" w:fill="0070C0"/>
            <w:hideMark/>
          </w:tcPr>
          <w:p w14:paraId="40CEDA5B" w14:textId="77777777" w:rsidR="00B15F7D" w:rsidRPr="00990FB6" w:rsidRDefault="00B15F7D" w:rsidP="00B15F7D">
            <w:pPr>
              <w:rPr>
                <w:color w:val="FFFFFF"/>
                <w:sz w:val="22"/>
                <w:szCs w:val="22"/>
                <w:u w:val="single"/>
              </w:rPr>
            </w:pPr>
            <w:r w:rsidRPr="00990FB6">
              <w:rPr>
                <w:color w:val="FFFFFF"/>
                <w:sz w:val="22"/>
                <w:szCs w:val="22"/>
                <w:u w:val="single"/>
              </w:rPr>
              <w:t>Rebajo Gasto de Capital Recursos Comisiones</w:t>
            </w:r>
          </w:p>
        </w:tc>
        <w:tc>
          <w:tcPr>
            <w:tcW w:w="780" w:type="pct"/>
            <w:shd w:val="clear" w:color="auto" w:fill="0070C0"/>
            <w:hideMark/>
          </w:tcPr>
          <w:p w14:paraId="5A9BB14B" w14:textId="77777777" w:rsidR="00B15F7D" w:rsidRPr="00990FB6" w:rsidRDefault="00B15F7D" w:rsidP="00B15F7D">
            <w:pPr>
              <w:jc w:val="center"/>
              <w:rPr>
                <w:color w:val="FFFFFF"/>
                <w:sz w:val="22"/>
                <w:szCs w:val="22"/>
                <w:u w:val="single"/>
              </w:rPr>
            </w:pPr>
            <w:r w:rsidRPr="00990FB6">
              <w:rPr>
                <w:color w:val="FFFFFF"/>
                <w:sz w:val="22"/>
                <w:szCs w:val="22"/>
                <w:u w:val="single"/>
              </w:rPr>
              <w:t>Impacto del Recorte</w:t>
            </w:r>
          </w:p>
        </w:tc>
      </w:tr>
      <w:tr w:rsidR="00B15F7D" w:rsidRPr="00990FB6" w14:paraId="03C207FB" w14:textId="77777777" w:rsidTr="000A0C22">
        <w:trPr>
          <w:trHeight w:val="1740"/>
          <w:jc w:val="center"/>
        </w:trPr>
        <w:tc>
          <w:tcPr>
            <w:tcW w:w="583" w:type="pct"/>
            <w:hideMark/>
          </w:tcPr>
          <w:p w14:paraId="2E97E9F6" w14:textId="77777777" w:rsidR="00B15F7D" w:rsidRPr="00990FB6" w:rsidRDefault="00B15F7D" w:rsidP="00B15F7D">
            <w:pPr>
              <w:rPr>
                <w:sz w:val="22"/>
                <w:szCs w:val="22"/>
                <w:u w:val="single"/>
              </w:rPr>
            </w:pPr>
            <w:r w:rsidRPr="00990FB6">
              <w:rPr>
                <w:sz w:val="22"/>
                <w:szCs w:val="22"/>
                <w:u w:val="single"/>
              </w:rPr>
              <w:t>10203</w:t>
            </w:r>
          </w:p>
        </w:tc>
        <w:tc>
          <w:tcPr>
            <w:tcW w:w="578" w:type="pct"/>
            <w:hideMark/>
          </w:tcPr>
          <w:p w14:paraId="14F75C95" w14:textId="77777777" w:rsidR="00B15F7D" w:rsidRPr="00990FB6" w:rsidRDefault="00B15F7D" w:rsidP="00B15F7D">
            <w:pPr>
              <w:rPr>
                <w:sz w:val="22"/>
                <w:szCs w:val="22"/>
                <w:u w:val="single"/>
              </w:rPr>
            </w:pPr>
            <w:r w:rsidRPr="00990FB6">
              <w:rPr>
                <w:sz w:val="22"/>
                <w:szCs w:val="22"/>
                <w:u w:val="single"/>
              </w:rPr>
              <w:t>Servicio de Correos</w:t>
            </w:r>
          </w:p>
        </w:tc>
        <w:tc>
          <w:tcPr>
            <w:tcW w:w="363" w:type="pct"/>
            <w:hideMark/>
          </w:tcPr>
          <w:p w14:paraId="70A78E4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22663</w:t>
            </w:r>
          </w:p>
        </w:tc>
        <w:tc>
          <w:tcPr>
            <w:tcW w:w="1045" w:type="pct"/>
            <w:hideMark/>
          </w:tcPr>
          <w:p w14:paraId="670A24F0" w14:textId="77777777" w:rsidR="00B15F7D" w:rsidRPr="00990FB6" w:rsidRDefault="00B15F7D" w:rsidP="00B15F7D">
            <w:pPr>
              <w:rPr>
                <w:sz w:val="22"/>
                <w:szCs w:val="22"/>
                <w:u w:val="single"/>
              </w:rPr>
            </w:pPr>
            <w:r w:rsidRPr="00990FB6">
              <w:rPr>
                <w:sz w:val="22"/>
                <w:szCs w:val="22"/>
                <w:u w:val="single"/>
              </w:rPr>
              <w:t>SERVICIO DE CORREO</w:t>
            </w:r>
          </w:p>
        </w:tc>
        <w:tc>
          <w:tcPr>
            <w:tcW w:w="550" w:type="pct"/>
            <w:hideMark/>
          </w:tcPr>
          <w:p w14:paraId="0B3801CD" w14:textId="77777777" w:rsidR="00B15F7D" w:rsidRPr="00990FB6" w:rsidRDefault="00B15F7D" w:rsidP="00B15F7D">
            <w:pPr>
              <w:rPr>
                <w:sz w:val="22"/>
                <w:szCs w:val="22"/>
                <w:u w:val="single"/>
              </w:rPr>
            </w:pPr>
            <w:r w:rsidRPr="00990FB6">
              <w:rPr>
                <w:sz w:val="22"/>
                <w:szCs w:val="22"/>
                <w:u w:val="single"/>
              </w:rPr>
              <w:t>1.000.000,00</w:t>
            </w:r>
          </w:p>
        </w:tc>
        <w:tc>
          <w:tcPr>
            <w:tcW w:w="511" w:type="pct"/>
            <w:noWrap/>
            <w:hideMark/>
          </w:tcPr>
          <w:p w14:paraId="7EA9DD8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5A5606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46F7AAD" w14:textId="77777777" w:rsidR="00B15F7D" w:rsidRPr="00990FB6" w:rsidRDefault="00B15F7D" w:rsidP="00F60AA2">
            <w:pPr>
              <w:rPr>
                <w:sz w:val="22"/>
                <w:szCs w:val="22"/>
                <w:u w:val="single"/>
              </w:rPr>
            </w:pPr>
            <w:r w:rsidRPr="00990FB6">
              <w:rPr>
                <w:sz w:val="22"/>
                <w:szCs w:val="22"/>
                <w:u w:val="single"/>
              </w:rPr>
              <w:t xml:space="preserve">El recorte de presupuesto en la subpartida 10203 afecta el trámite de las asistencias penales internacionales gestionadas por la Oficina de Asesoría Técnica, según el proyecto de gastos efectuado con base en la ejecución de presupuesto 2022 se estima un faltante de recursos para atender las gestiones que se presenten en </w:t>
            </w:r>
            <w:proofErr w:type="gramStart"/>
            <w:r w:rsidRPr="00990FB6">
              <w:rPr>
                <w:sz w:val="22"/>
                <w:szCs w:val="22"/>
                <w:u w:val="single"/>
              </w:rPr>
              <w:t>el  último</w:t>
            </w:r>
            <w:proofErr w:type="gramEnd"/>
            <w:r w:rsidRPr="00990FB6">
              <w:rPr>
                <w:sz w:val="22"/>
                <w:szCs w:val="22"/>
                <w:u w:val="single"/>
              </w:rPr>
              <w:t xml:space="preserve"> bimestre del año, con la consecuente afectación de los procesos de investigación que lleva a cabo el Ministerio Público. </w:t>
            </w:r>
          </w:p>
        </w:tc>
      </w:tr>
      <w:tr w:rsidR="00B15F7D" w:rsidRPr="00990FB6" w14:paraId="4CF214CD" w14:textId="77777777" w:rsidTr="000A0C22">
        <w:trPr>
          <w:trHeight w:val="290"/>
          <w:jc w:val="center"/>
        </w:trPr>
        <w:tc>
          <w:tcPr>
            <w:tcW w:w="583" w:type="pct"/>
            <w:hideMark/>
          </w:tcPr>
          <w:p w14:paraId="45B8E673" w14:textId="77777777" w:rsidR="00B15F7D" w:rsidRPr="00990FB6" w:rsidRDefault="00B15F7D" w:rsidP="00B15F7D">
            <w:pPr>
              <w:rPr>
                <w:sz w:val="22"/>
                <w:szCs w:val="22"/>
                <w:u w:val="single"/>
              </w:rPr>
            </w:pPr>
            <w:r w:rsidRPr="00990FB6">
              <w:rPr>
                <w:sz w:val="22"/>
                <w:szCs w:val="22"/>
                <w:u w:val="single"/>
              </w:rPr>
              <w:t>10299</w:t>
            </w:r>
          </w:p>
        </w:tc>
        <w:tc>
          <w:tcPr>
            <w:tcW w:w="578" w:type="pct"/>
            <w:hideMark/>
          </w:tcPr>
          <w:p w14:paraId="616DA171" w14:textId="77777777" w:rsidR="00B15F7D" w:rsidRPr="00990FB6" w:rsidRDefault="00B15F7D" w:rsidP="00B15F7D">
            <w:pPr>
              <w:rPr>
                <w:sz w:val="22"/>
                <w:szCs w:val="22"/>
                <w:u w:val="single"/>
              </w:rPr>
            </w:pPr>
            <w:r w:rsidRPr="00990FB6">
              <w:rPr>
                <w:sz w:val="22"/>
                <w:szCs w:val="22"/>
                <w:u w:val="single"/>
              </w:rPr>
              <w:t>Otros Servicios Básicos</w:t>
            </w:r>
          </w:p>
        </w:tc>
        <w:tc>
          <w:tcPr>
            <w:tcW w:w="363" w:type="pct"/>
            <w:hideMark/>
          </w:tcPr>
          <w:p w14:paraId="45D759D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03247</w:t>
            </w:r>
          </w:p>
        </w:tc>
        <w:tc>
          <w:tcPr>
            <w:tcW w:w="1045" w:type="pct"/>
            <w:hideMark/>
          </w:tcPr>
          <w:p w14:paraId="719DAB19" w14:textId="77777777" w:rsidR="00B15F7D" w:rsidRPr="00990FB6" w:rsidRDefault="00B15F7D" w:rsidP="00B15F7D">
            <w:pPr>
              <w:rPr>
                <w:sz w:val="22"/>
                <w:szCs w:val="22"/>
                <w:u w:val="single"/>
              </w:rPr>
            </w:pPr>
            <w:r w:rsidRPr="00990FB6">
              <w:rPr>
                <w:sz w:val="22"/>
                <w:szCs w:val="22"/>
                <w:u w:val="single"/>
              </w:rPr>
              <w:t>BOTADO DE BASURA</w:t>
            </w:r>
          </w:p>
        </w:tc>
        <w:tc>
          <w:tcPr>
            <w:tcW w:w="550" w:type="pct"/>
            <w:hideMark/>
          </w:tcPr>
          <w:p w14:paraId="48B9C7CE" w14:textId="77777777" w:rsidR="00B15F7D" w:rsidRPr="00990FB6" w:rsidRDefault="00B15F7D" w:rsidP="00B15F7D">
            <w:pPr>
              <w:rPr>
                <w:sz w:val="22"/>
                <w:szCs w:val="22"/>
                <w:u w:val="single"/>
              </w:rPr>
            </w:pPr>
            <w:r w:rsidRPr="00990FB6">
              <w:rPr>
                <w:sz w:val="22"/>
                <w:szCs w:val="22"/>
                <w:u w:val="single"/>
              </w:rPr>
              <w:t>38.980,00</w:t>
            </w:r>
          </w:p>
        </w:tc>
        <w:tc>
          <w:tcPr>
            <w:tcW w:w="511" w:type="pct"/>
            <w:noWrap/>
            <w:hideMark/>
          </w:tcPr>
          <w:p w14:paraId="1A330F1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3D5C1D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A7B0817" w14:textId="77777777" w:rsidR="00B15F7D" w:rsidRPr="00990FB6" w:rsidRDefault="00B15F7D" w:rsidP="00F60AA2">
            <w:pPr>
              <w:rPr>
                <w:sz w:val="22"/>
                <w:szCs w:val="22"/>
                <w:u w:val="single"/>
              </w:rPr>
            </w:pPr>
            <w:r w:rsidRPr="00990FB6">
              <w:rPr>
                <w:sz w:val="22"/>
                <w:szCs w:val="22"/>
                <w:u w:val="single"/>
              </w:rPr>
              <w:t> </w:t>
            </w:r>
          </w:p>
        </w:tc>
      </w:tr>
      <w:tr w:rsidR="00B15F7D" w:rsidRPr="00990FB6" w14:paraId="24904532" w14:textId="77777777" w:rsidTr="000A0C22">
        <w:trPr>
          <w:trHeight w:val="2610"/>
          <w:jc w:val="center"/>
        </w:trPr>
        <w:tc>
          <w:tcPr>
            <w:tcW w:w="583" w:type="pct"/>
            <w:hideMark/>
          </w:tcPr>
          <w:p w14:paraId="7E14CA05" w14:textId="77777777" w:rsidR="00B15F7D" w:rsidRPr="00990FB6" w:rsidRDefault="00B15F7D" w:rsidP="00B15F7D">
            <w:pPr>
              <w:rPr>
                <w:sz w:val="22"/>
                <w:szCs w:val="22"/>
                <w:u w:val="single"/>
              </w:rPr>
            </w:pPr>
            <w:r w:rsidRPr="00990FB6">
              <w:rPr>
                <w:sz w:val="22"/>
                <w:szCs w:val="22"/>
                <w:u w:val="single"/>
              </w:rPr>
              <w:lastRenderedPageBreak/>
              <w:t>10304</w:t>
            </w:r>
          </w:p>
        </w:tc>
        <w:tc>
          <w:tcPr>
            <w:tcW w:w="578" w:type="pct"/>
            <w:hideMark/>
          </w:tcPr>
          <w:p w14:paraId="7E9721F1" w14:textId="77777777" w:rsidR="00B15F7D" w:rsidRPr="00990FB6" w:rsidRDefault="00B15F7D" w:rsidP="00B15F7D">
            <w:pPr>
              <w:rPr>
                <w:sz w:val="22"/>
                <w:szCs w:val="22"/>
                <w:u w:val="single"/>
              </w:rPr>
            </w:pPr>
            <w:r w:rsidRPr="00990FB6">
              <w:rPr>
                <w:sz w:val="22"/>
                <w:szCs w:val="22"/>
                <w:u w:val="single"/>
              </w:rPr>
              <w:t>Transporte de bienes</w:t>
            </w:r>
          </w:p>
        </w:tc>
        <w:tc>
          <w:tcPr>
            <w:tcW w:w="363" w:type="pct"/>
            <w:hideMark/>
          </w:tcPr>
          <w:p w14:paraId="06FE0BC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04013</w:t>
            </w:r>
          </w:p>
        </w:tc>
        <w:tc>
          <w:tcPr>
            <w:tcW w:w="1045" w:type="pct"/>
            <w:hideMark/>
          </w:tcPr>
          <w:p w14:paraId="5B1649B9" w14:textId="77777777" w:rsidR="00B15F7D" w:rsidRPr="00990FB6" w:rsidRDefault="00B15F7D" w:rsidP="00B15F7D">
            <w:pPr>
              <w:rPr>
                <w:sz w:val="22"/>
                <w:szCs w:val="22"/>
                <w:u w:val="single"/>
              </w:rPr>
            </w:pPr>
            <w:r w:rsidRPr="00990FB6">
              <w:rPr>
                <w:sz w:val="22"/>
                <w:szCs w:val="22"/>
                <w:u w:val="single"/>
              </w:rPr>
              <w:t>SERVICIO DE GRUAS</w:t>
            </w:r>
          </w:p>
        </w:tc>
        <w:tc>
          <w:tcPr>
            <w:tcW w:w="550" w:type="pct"/>
            <w:hideMark/>
          </w:tcPr>
          <w:p w14:paraId="01173127" w14:textId="77777777" w:rsidR="00B15F7D" w:rsidRPr="00990FB6" w:rsidRDefault="00B15F7D" w:rsidP="00B15F7D">
            <w:pPr>
              <w:rPr>
                <w:sz w:val="22"/>
                <w:szCs w:val="22"/>
                <w:u w:val="single"/>
              </w:rPr>
            </w:pPr>
            <w:r w:rsidRPr="00990FB6">
              <w:rPr>
                <w:sz w:val="22"/>
                <w:szCs w:val="22"/>
                <w:u w:val="single"/>
              </w:rPr>
              <w:t>4.455.754,00</w:t>
            </w:r>
          </w:p>
        </w:tc>
        <w:tc>
          <w:tcPr>
            <w:tcW w:w="511" w:type="pct"/>
            <w:hideMark/>
          </w:tcPr>
          <w:p w14:paraId="71C54AB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8CFDBA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92B134E" w14:textId="77777777" w:rsidR="00B15F7D" w:rsidRPr="00990FB6" w:rsidRDefault="00B15F7D" w:rsidP="00F60AA2">
            <w:pPr>
              <w:rPr>
                <w:sz w:val="22"/>
                <w:szCs w:val="22"/>
                <w:u w:val="single"/>
              </w:rPr>
            </w:pPr>
            <w:r w:rsidRPr="00990FB6">
              <w:rPr>
                <w:sz w:val="22"/>
                <w:szCs w:val="22"/>
                <w:u w:val="single"/>
              </w:rPr>
              <w:t xml:space="preserve">La no dotación de los recursos de la subpartida 10304, los cuales están previstos para el pago de servicios de grúa, desfavorecería la aplicación de la normativa procesal, en cuanto a la disposición de automotores relacionados con las causas que se encuentren bajo la responsabilidad del Ministerio Público, por cuanto se debe coordinar el traslado de estos, sea para la recolección de indicios, realización de pericias trascendentales y otros, que permitan identificar la vinculación directa con un hecho delictivo. Por lo que es </w:t>
            </w:r>
            <w:r w:rsidRPr="00990FB6">
              <w:rPr>
                <w:sz w:val="22"/>
                <w:szCs w:val="22"/>
                <w:u w:val="single"/>
              </w:rPr>
              <w:lastRenderedPageBreak/>
              <w:t xml:space="preserve">necesario el pago de servicios de grúa para el traslado de los automotores al Depósito de Vehículos o al Instituto Costarricense Sobre Drogas, para el resguardo de prueba o disposición de bienes en comiso, según sea el caso.  </w:t>
            </w:r>
          </w:p>
        </w:tc>
      </w:tr>
      <w:tr w:rsidR="00B15F7D" w:rsidRPr="00990FB6" w14:paraId="56897495" w14:textId="77777777" w:rsidTr="000A0C22">
        <w:trPr>
          <w:trHeight w:val="290"/>
          <w:jc w:val="center"/>
        </w:trPr>
        <w:tc>
          <w:tcPr>
            <w:tcW w:w="583" w:type="pct"/>
            <w:hideMark/>
          </w:tcPr>
          <w:p w14:paraId="4DBB48EF" w14:textId="77777777" w:rsidR="00B15F7D" w:rsidRPr="00990FB6" w:rsidRDefault="00B15F7D" w:rsidP="00B15F7D">
            <w:pPr>
              <w:rPr>
                <w:sz w:val="22"/>
                <w:szCs w:val="22"/>
                <w:u w:val="single"/>
              </w:rPr>
            </w:pPr>
            <w:r w:rsidRPr="00990FB6">
              <w:rPr>
                <w:sz w:val="22"/>
                <w:szCs w:val="22"/>
                <w:u w:val="single"/>
              </w:rPr>
              <w:lastRenderedPageBreak/>
              <w:t>10304</w:t>
            </w:r>
          </w:p>
        </w:tc>
        <w:tc>
          <w:tcPr>
            <w:tcW w:w="578" w:type="pct"/>
            <w:hideMark/>
          </w:tcPr>
          <w:p w14:paraId="24E9D463" w14:textId="77777777" w:rsidR="00B15F7D" w:rsidRPr="00990FB6" w:rsidRDefault="00B15F7D" w:rsidP="00B15F7D">
            <w:pPr>
              <w:rPr>
                <w:sz w:val="22"/>
                <w:szCs w:val="22"/>
                <w:u w:val="single"/>
              </w:rPr>
            </w:pPr>
            <w:r w:rsidRPr="00990FB6">
              <w:rPr>
                <w:sz w:val="22"/>
                <w:szCs w:val="22"/>
                <w:u w:val="single"/>
              </w:rPr>
              <w:t>Transporte de bienes</w:t>
            </w:r>
          </w:p>
        </w:tc>
        <w:tc>
          <w:tcPr>
            <w:tcW w:w="363" w:type="pct"/>
            <w:hideMark/>
          </w:tcPr>
          <w:p w14:paraId="3985B27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04014</w:t>
            </w:r>
          </w:p>
        </w:tc>
        <w:tc>
          <w:tcPr>
            <w:tcW w:w="1045" w:type="pct"/>
            <w:hideMark/>
          </w:tcPr>
          <w:p w14:paraId="591BF9D6" w14:textId="77777777" w:rsidR="00B15F7D" w:rsidRPr="00990FB6" w:rsidRDefault="00B15F7D" w:rsidP="00B15F7D">
            <w:pPr>
              <w:rPr>
                <w:sz w:val="22"/>
                <w:szCs w:val="22"/>
                <w:u w:val="single"/>
              </w:rPr>
            </w:pPr>
            <w:r w:rsidRPr="00990FB6">
              <w:rPr>
                <w:sz w:val="22"/>
                <w:szCs w:val="22"/>
                <w:u w:val="single"/>
              </w:rPr>
              <w:t xml:space="preserve">SERVICIO DE ENVIO DE PAQUETES </w:t>
            </w:r>
          </w:p>
        </w:tc>
        <w:tc>
          <w:tcPr>
            <w:tcW w:w="550" w:type="pct"/>
            <w:hideMark/>
          </w:tcPr>
          <w:p w14:paraId="214C5D96" w14:textId="77777777" w:rsidR="00B15F7D" w:rsidRPr="00990FB6" w:rsidRDefault="00B15F7D" w:rsidP="00B15F7D">
            <w:pPr>
              <w:rPr>
                <w:sz w:val="22"/>
                <w:szCs w:val="22"/>
                <w:u w:val="single"/>
              </w:rPr>
            </w:pPr>
            <w:r w:rsidRPr="00990FB6">
              <w:rPr>
                <w:sz w:val="22"/>
                <w:szCs w:val="22"/>
                <w:u w:val="single"/>
              </w:rPr>
              <w:t>889.154,00</w:t>
            </w:r>
          </w:p>
        </w:tc>
        <w:tc>
          <w:tcPr>
            <w:tcW w:w="511" w:type="pct"/>
            <w:hideMark/>
          </w:tcPr>
          <w:p w14:paraId="09AF0AF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B44D73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B01FE66" w14:textId="77777777" w:rsidR="00B15F7D" w:rsidRPr="00990FB6" w:rsidRDefault="00B15F7D" w:rsidP="00F60AA2">
            <w:pPr>
              <w:rPr>
                <w:sz w:val="22"/>
                <w:szCs w:val="22"/>
                <w:u w:val="single"/>
              </w:rPr>
            </w:pPr>
            <w:r w:rsidRPr="00990FB6">
              <w:rPr>
                <w:sz w:val="22"/>
                <w:szCs w:val="22"/>
                <w:u w:val="single"/>
              </w:rPr>
              <w:t> </w:t>
            </w:r>
          </w:p>
        </w:tc>
      </w:tr>
      <w:tr w:rsidR="00B15F7D" w:rsidRPr="00990FB6" w14:paraId="051ADED1" w14:textId="77777777" w:rsidTr="000A0C22">
        <w:trPr>
          <w:trHeight w:val="870"/>
          <w:jc w:val="center"/>
        </w:trPr>
        <w:tc>
          <w:tcPr>
            <w:tcW w:w="583" w:type="pct"/>
            <w:hideMark/>
          </w:tcPr>
          <w:p w14:paraId="724A56B0" w14:textId="77777777" w:rsidR="00B15F7D" w:rsidRPr="00990FB6" w:rsidRDefault="00B15F7D" w:rsidP="00B15F7D">
            <w:pPr>
              <w:rPr>
                <w:sz w:val="22"/>
                <w:szCs w:val="22"/>
                <w:u w:val="single"/>
              </w:rPr>
            </w:pPr>
            <w:r w:rsidRPr="00990FB6">
              <w:rPr>
                <w:sz w:val="22"/>
                <w:szCs w:val="22"/>
                <w:u w:val="single"/>
              </w:rPr>
              <w:t>10307</w:t>
            </w:r>
          </w:p>
        </w:tc>
        <w:tc>
          <w:tcPr>
            <w:tcW w:w="578" w:type="pct"/>
            <w:hideMark/>
          </w:tcPr>
          <w:p w14:paraId="28EC809F" w14:textId="77777777" w:rsidR="00B15F7D" w:rsidRPr="00990FB6" w:rsidRDefault="00B15F7D" w:rsidP="00B15F7D">
            <w:pPr>
              <w:rPr>
                <w:sz w:val="22"/>
                <w:szCs w:val="22"/>
                <w:u w:val="single"/>
              </w:rPr>
            </w:pPr>
            <w:r w:rsidRPr="00990FB6">
              <w:rPr>
                <w:sz w:val="22"/>
                <w:szCs w:val="22"/>
                <w:u w:val="single"/>
              </w:rPr>
              <w:t>Servicios de tecnologías de información</w:t>
            </w:r>
          </w:p>
        </w:tc>
        <w:tc>
          <w:tcPr>
            <w:tcW w:w="363" w:type="pct"/>
            <w:hideMark/>
          </w:tcPr>
          <w:p w14:paraId="140F0FC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22901</w:t>
            </w:r>
          </w:p>
        </w:tc>
        <w:tc>
          <w:tcPr>
            <w:tcW w:w="1045" w:type="pct"/>
            <w:hideMark/>
          </w:tcPr>
          <w:p w14:paraId="20DD3217" w14:textId="77777777" w:rsidR="00B15F7D" w:rsidRPr="00990FB6" w:rsidRDefault="00B15F7D" w:rsidP="00B15F7D">
            <w:pPr>
              <w:rPr>
                <w:sz w:val="22"/>
                <w:szCs w:val="22"/>
                <w:u w:val="single"/>
              </w:rPr>
            </w:pPr>
            <w:r w:rsidRPr="00990FB6">
              <w:rPr>
                <w:sz w:val="22"/>
                <w:szCs w:val="22"/>
                <w:u w:val="single"/>
              </w:rPr>
              <w:t>EMISION O RENOVACION CERTIFICADO DE FIRMA DIGITAL</w:t>
            </w:r>
          </w:p>
        </w:tc>
        <w:tc>
          <w:tcPr>
            <w:tcW w:w="550" w:type="pct"/>
            <w:hideMark/>
          </w:tcPr>
          <w:p w14:paraId="60D76C4D" w14:textId="77777777" w:rsidR="00B15F7D" w:rsidRPr="00990FB6" w:rsidRDefault="00B15F7D" w:rsidP="00B15F7D">
            <w:pPr>
              <w:rPr>
                <w:sz w:val="22"/>
                <w:szCs w:val="22"/>
                <w:u w:val="single"/>
              </w:rPr>
            </w:pPr>
            <w:r w:rsidRPr="00990FB6">
              <w:rPr>
                <w:sz w:val="22"/>
                <w:szCs w:val="22"/>
                <w:u w:val="single"/>
              </w:rPr>
              <w:t>4.181.460,00</w:t>
            </w:r>
          </w:p>
        </w:tc>
        <w:tc>
          <w:tcPr>
            <w:tcW w:w="511" w:type="pct"/>
            <w:hideMark/>
          </w:tcPr>
          <w:p w14:paraId="4362BEE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E42AA9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E963FD0" w14:textId="77777777" w:rsidR="00B15F7D" w:rsidRPr="00990FB6" w:rsidRDefault="00B15F7D" w:rsidP="00F60AA2">
            <w:pPr>
              <w:rPr>
                <w:sz w:val="22"/>
                <w:szCs w:val="22"/>
                <w:u w:val="single"/>
              </w:rPr>
            </w:pPr>
            <w:r w:rsidRPr="00990FB6">
              <w:rPr>
                <w:sz w:val="22"/>
                <w:szCs w:val="22"/>
                <w:u w:val="single"/>
              </w:rPr>
              <w:t xml:space="preserve">El no disponer de estos recursos limita la labor de </w:t>
            </w:r>
            <w:proofErr w:type="gramStart"/>
            <w:r w:rsidRPr="00990FB6">
              <w:rPr>
                <w:sz w:val="22"/>
                <w:szCs w:val="22"/>
                <w:u w:val="single"/>
              </w:rPr>
              <w:t>622  profesionales</w:t>
            </w:r>
            <w:proofErr w:type="gramEnd"/>
            <w:r w:rsidRPr="00990FB6">
              <w:rPr>
                <w:sz w:val="22"/>
                <w:szCs w:val="22"/>
                <w:u w:val="single"/>
              </w:rPr>
              <w:t xml:space="preserve"> del Ministerio Público a nivel nacional  que deben utilizar la firma digital para el desarrollo de sus funciones, se generará una demora en los procesos de investigación y atención de las causas. </w:t>
            </w:r>
          </w:p>
        </w:tc>
      </w:tr>
      <w:tr w:rsidR="00B15F7D" w:rsidRPr="00990FB6" w14:paraId="3480BD2E" w14:textId="77777777" w:rsidTr="000A0C22">
        <w:trPr>
          <w:trHeight w:val="870"/>
          <w:jc w:val="center"/>
        </w:trPr>
        <w:tc>
          <w:tcPr>
            <w:tcW w:w="583" w:type="pct"/>
            <w:hideMark/>
          </w:tcPr>
          <w:p w14:paraId="72E299A4" w14:textId="77777777" w:rsidR="00B15F7D" w:rsidRPr="00990FB6" w:rsidRDefault="00B15F7D" w:rsidP="00B15F7D">
            <w:pPr>
              <w:rPr>
                <w:sz w:val="22"/>
                <w:szCs w:val="22"/>
                <w:u w:val="single"/>
              </w:rPr>
            </w:pPr>
            <w:r w:rsidRPr="00990FB6">
              <w:rPr>
                <w:sz w:val="22"/>
                <w:szCs w:val="22"/>
                <w:u w:val="single"/>
              </w:rPr>
              <w:lastRenderedPageBreak/>
              <w:t>10307</w:t>
            </w:r>
          </w:p>
        </w:tc>
        <w:tc>
          <w:tcPr>
            <w:tcW w:w="578" w:type="pct"/>
            <w:hideMark/>
          </w:tcPr>
          <w:p w14:paraId="7A2D1EBD" w14:textId="77777777" w:rsidR="00B15F7D" w:rsidRPr="00990FB6" w:rsidRDefault="00B15F7D" w:rsidP="00B15F7D">
            <w:pPr>
              <w:rPr>
                <w:sz w:val="22"/>
                <w:szCs w:val="22"/>
                <w:u w:val="single"/>
              </w:rPr>
            </w:pPr>
            <w:r w:rsidRPr="00990FB6">
              <w:rPr>
                <w:sz w:val="22"/>
                <w:szCs w:val="22"/>
                <w:u w:val="single"/>
              </w:rPr>
              <w:t>Servicios de tecnologías de información</w:t>
            </w:r>
          </w:p>
        </w:tc>
        <w:tc>
          <w:tcPr>
            <w:tcW w:w="363" w:type="pct"/>
            <w:hideMark/>
          </w:tcPr>
          <w:p w14:paraId="300123B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23015</w:t>
            </w:r>
          </w:p>
        </w:tc>
        <w:tc>
          <w:tcPr>
            <w:tcW w:w="1045" w:type="pct"/>
            <w:hideMark/>
          </w:tcPr>
          <w:p w14:paraId="36C4AC81" w14:textId="77777777" w:rsidR="00B15F7D" w:rsidRPr="00990FB6" w:rsidRDefault="00B15F7D" w:rsidP="00B15F7D">
            <w:pPr>
              <w:rPr>
                <w:sz w:val="22"/>
                <w:szCs w:val="22"/>
                <w:u w:val="single"/>
              </w:rPr>
            </w:pPr>
            <w:r w:rsidRPr="00990FB6">
              <w:rPr>
                <w:sz w:val="22"/>
                <w:szCs w:val="22"/>
                <w:u w:val="single"/>
              </w:rPr>
              <w:t>CERTIFICADO DE FIRMA DIGITAL</w:t>
            </w:r>
          </w:p>
        </w:tc>
        <w:tc>
          <w:tcPr>
            <w:tcW w:w="550" w:type="pct"/>
            <w:hideMark/>
          </w:tcPr>
          <w:p w14:paraId="321A9619" w14:textId="77777777" w:rsidR="00B15F7D" w:rsidRPr="00990FB6" w:rsidRDefault="00B15F7D" w:rsidP="00B15F7D">
            <w:pPr>
              <w:rPr>
                <w:sz w:val="22"/>
                <w:szCs w:val="22"/>
                <w:u w:val="single"/>
              </w:rPr>
            </w:pPr>
            <w:r w:rsidRPr="00990FB6">
              <w:rPr>
                <w:sz w:val="22"/>
                <w:szCs w:val="22"/>
                <w:u w:val="single"/>
              </w:rPr>
              <w:t>16.510,00</w:t>
            </w:r>
          </w:p>
        </w:tc>
        <w:tc>
          <w:tcPr>
            <w:tcW w:w="511" w:type="pct"/>
            <w:hideMark/>
          </w:tcPr>
          <w:p w14:paraId="40FD10A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773B84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D71095B" w14:textId="77777777" w:rsidR="00B15F7D" w:rsidRPr="00990FB6" w:rsidRDefault="00B15F7D" w:rsidP="00F60AA2">
            <w:pPr>
              <w:rPr>
                <w:sz w:val="22"/>
                <w:szCs w:val="22"/>
                <w:u w:val="single"/>
              </w:rPr>
            </w:pPr>
            <w:r w:rsidRPr="00990FB6">
              <w:rPr>
                <w:sz w:val="22"/>
                <w:szCs w:val="22"/>
                <w:u w:val="single"/>
              </w:rPr>
              <w:t xml:space="preserve">El no disponer de estos recursos limita la labor </w:t>
            </w:r>
            <w:proofErr w:type="gramStart"/>
            <w:r w:rsidRPr="00990FB6">
              <w:rPr>
                <w:sz w:val="22"/>
                <w:szCs w:val="22"/>
                <w:u w:val="single"/>
              </w:rPr>
              <w:t>de  622</w:t>
            </w:r>
            <w:proofErr w:type="gramEnd"/>
            <w:r w:rsidRPr="00990FB6">
              <w:rPr>
                <w:sz w:val="22"/>
                <w:szCs w:val="22"/>
                <w:u w:val="single"/>
              </w:rPr>
              <w:t xml:space="preserve">  profesionales del Ministerio Público que deben utilizar la firma digital para el desarrollo de sus funciones, se generará una demora en los procesos de investigación y atención de las causas. </w:t>
            </w:r>
          </w:p>
        </w:tc>
      </w:tr>
      <w:tr w:rsidR="00B15F7D" w:rsidRPr="00990FB6" w14:paraId="68684007" w14:textId="77777777" w:rsidTr="000A0C22">
        <w:trPr>
          <w:trHeight w:val="1160"/>
          <w:jc w:val="center"/>
        </w:trPr>
        <w:tc>
          <w:tcPr>
            <w:tcW w:w="583" w:type="pct"/>
            <w:hideMark/>
          </w:tcPr>
          <w:p w14:paraId="49E64E60" w14:textId="77777777" w:rsidR="00B15F7D" w:rsidRPr="00990FB6" w:rsidRDefault="00B15F7D" w:rsidP="00B15F7D">
            <w:pPr>
              <w:rPr>
                <w:sz w:val="22"/>
                <w:szCs w:val="22"/>
                <w:u w:val="single"/>
              </w:rPr>
            </w:pPr>
            <w:r w:rsidRPr="00990FB6">
              <w:rPr>
                <w:sz w:val="22"/>
                <w:szCs w:val="22"/>
                <w:u w:val="single"/>
              </w:rPr>
              <w:t>10406</w:t>
            </w:r>
          </w:p>
        </w:tc>
        <w:tc>
          <w:tcPr>
            <w:tcW w:w="578" w:type="pct"/>
            <w:hideMark/>
          </w:tcPr>
          <w:p w14:paraId="2359895A"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3CF6F85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04159</w:t>
            </w:r>
          </w:p>
        </w:tc>
        <w:tc>
          <w:tcPr>
            <w:tcW w:w="1045" w:type="pct"/>
            <w:hideMark/>
          </w:tcPr>
          <w:p w14:paraId="69A12539" w14:textId="77777777" w:rsidR="00B15F7D" w:rsidRPr="00990FB6" w:rsidRDefault="00B15F7D" w:rsidP="00B15F7D">
            <w:pPr>
              <w:rPr>
                <w:sz w:val="22"/>
                <w:szCs w:val="22"/>
                <w:u w:val="single"/>
              </w:rPr>
            </w:pPr>
            <w:r w:rsidRPr="00990FB6">
              <w:rPr>
                <w:sz w:val="22"/>
                <w:szCs w:val="22"/>
                <w:u w:val="single"/>
              </w:rPr>
              <w:t>LAVADO DE JUEGO DE MUEBLES</w:t>
            </w:r>
          </w:p>
        </w:tc>
        <w:tc>
          <w:tcPr>
            <w:tcW w:w="550" w:type="pct"/>
            <w:hideMark/>
          </w:tcPr>
          <w:p w14:paraId="661DE7D4" w14:textId="77777777" w:rsidR="00B15F7D" w:rsidRPr="00990FB6" w:rsidRDefault="00B15F7D" w:rsidP="00B15F7D">
            <w:pPr>
              <w:rPr>
                <w:sz w:val="22"/>
                <w:szCs w:val="22"/>
                <w:u w:val="single"/>
              </w:rPr>
            </w:pPr>
            <w:r w:rsidRPr="00990FB6">
              <w:rPr>
                <w:sz w:val="22"/>
                <w:szCs w:val="22"/>
                <w:u w:val="single"/>
              </w:rPr>
              <w:t>517.085,00</w:t>
            </w:r>
          </w:p>
        </w:tc>
        <w:tc>
          <w:tcPr>
            <w:tcW w:w="511" w:type="pct"/>
            <w:hideMark/>
          </w:tcPr>
          <w:p w14:paraId="24538DF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47A811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AB838CF"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Golfito, Coto Brus, Golfito, Unidad de Capacitación, Unidad Administrativa, Económicos, Ejecución de la Pena y Puerto Jiménez, así como, la atención a la </w:t>
            </w:r>
            <w:r w:rsidRPr="00990FB6">
              <w:rPr>
                <w:sz w:val="22"/>
                <w:szCs w:val="22"/>
                <w:u w:val="single"/>
              </w:rPr>
              <w:lastRenderedPageBreak/>
              <w:t xml:space="preserve">persona usuaria. Desmejora en las condiciones de higiene. </w:t>
            </w:r>
          </w:p>
        </w:tc>
      </w:tr>
      <w:tr w:rsidR="00B15F7D" w:rsidRPr="00990FB6" w14:paraId="0A4739E4" w14:textId="77777777" w:rsidTr="000A0C22">
        <w:trPr>
          <w:trHeight w:val="1160"/>
          <w:jc w:val="center"/>
        </w:trPr>
        <w:tc>
          <w:tcPr>
            <w:tcW w:w="583" w:type="pct"/>
            <w:hideMark/>
          </w:tcPr>
          <w:p w14:paraId="026D3CCA" w14:textId="77777777" w:rsidR="00B15F7D" w:rsidRPr="00990FB6" w:rsidRDefault="00B15F7D" w:rsidP="00B15F7D">
            <w:pPr>
              <w:rPr>
                <w:sz w:val="22"/>
                <w:szCs w:val="22"/>
                <w:u w:val="single"/>
              </w:rPr>
            </w:pPr>
            <w:r w:rsidRPr="00990FB6">
              <w:rPr>
                <w:sz w:val="22"/>
                <w:szCs w:val="22"/>
                <w:u w:val="single"/>
              </w:rPr>
              <w:lastRenderedPageBreak/>
              <w:t>10406</w:t>
            </w:r>
          </w:p>
        </w:tc>
        <w:tc>
          <w:tcPr>
            <w:tcW w:w="578" w:type="pct"/>
            <w:hideMark/>
          </w:tcPr>
          <w:p w14:paraId="33C1C89B"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2C39B72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04647</w:t>
            </w:r>
          </w:p>
        </w:tc>
        <w:tc>
          <w:tcPr>
            <w:tcW w:w="1045" w:type="pct"/>
            <w:hideMark/>
          </w:tcPr>
          <w:p w14:paraId="3D334F25" w14:textId="77777777" w:rsidR="00B15F7D" w:rsidRPr="00990FB6" w:rsidRDefault="00B15F7D" w:rsidP="00B15F7D">
            <w:pPr>
              <w:rPr>
                <w:sz w:val="22"/>
                <w:szCs w:val="22"/>
                <w:u w:val="single"/>
              </w:rPr>
            </w:pPr>
            <w:r w:rsidRPr="00990FB6">
              <w:rPr>
                <w:sz w:val="22"/>
                <w:szCs w:val="22"/>
                <w:u w:val="single"/>
              </w:rPr>
              <w:t>LAVADO CORTINAS</w:t>
            </w:r>
          </w:p>
        </w:tc>
        <w:tc>
          <w:tcPr>
            <w:tcW w:w="550" w:type="pct"/>
            <w:hideMark/>
          </w:tcPr>
          <w:p w14:paraId="74701654" w14:textId="77777777" w:rsidR="00B15F7D" w:rsidRPr="00990FB6" w:rsidRDefault="00B15F7D" w:rsidP="00B15F7D">
            <w:pPr>
              <w:rPr>
                <w:sz w:val="22"/>
                <w:szCs w:val="22"/>
                <w:u w:val="single"/>
              </w:rPr>
            </w:pPr>
            <w:r w:rsidRPr="00990FB6">
              <w:rPr>
                <w:sz w:val="22"/>
                <w:szCs w:val="22"/>
                <w:u w:val="single"/>
              </w:rPr>
              <w:t>694.600,00</w:t>
            </w:r>
          </w:p>
        </w:tc>
        <w:tc>
          <w:tcPr>
            <w:tcW w:w="511" w:type="pct"/>
            <w:hideMark/>
          </w:tcPr>
          <w:p w14:paraId="0B15973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656043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CEDCFBC"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Golfito, Coto Brus, Golfito, Unidad de Capacitación, Unidad Administrativa, Económicos, Ejecución de la Pena y Puerto Jiménez, así como, la atención a la persona usuaria. Desmejora en las condiciones de higiene. </w:t>
            </w:r>
          </w:p>
        </w:tc>
      </w:tr>
      <w:tr w:rsidR="00B15F7D" w:rsidRPr="00990FB6" w14:paraId="7D2EBF42" w14:textId="77777777" w:rsidTr="000A0C22">
        <w:trPr>
          <w:trHeight w:val="1160"/>
          <w:jc w:val="center"/>
        </w:trPr>
        <w:tc>
          <w:tcPr>
            <w:tcW w:w="583" w:type="pct"/>
            <w:hideMark/>
          </w:tcPr>
          <w:p w14:paraId="69848417" w14:textId="77777777" w:rsidR="00B15F7D" w:rsidRPr="00990FB6" w:rsidRDefault="00B15F7D" w:rsidP="00B15F7D">
            <w:pPr>
              <w:rPr>
                <w:sz w:val="22"/>
                <w:szCs w:val="22"/>
                <w:u w:val="single"/>
              </w:rPr>
            </w:pPr>
            <w:r w:rsidRPr="00990FB6">
              <w:rPr>
                <w:sz w:val="22"/>
                <w:szCs w:val="22"/>
                <w:u w:val="single"/>
              </w:rPr>
              <w:t>10406</w:t>
            </w:r>
          </w:p>
        </w:tc>
        <w:tc>
          <w:tcPr>
            <w:tcW w:w="578" w:type="pct"/>
            <w:hideMark/>
          </w:tcPr>
          <w:p w14:paraId="1BCC6343"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0B08D35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04862</w:t>
            </w:r>
          </w:p>
        </w:tc>
        <w:tc>
          <w:tcPr>
            <w:tcW w:w="1045" w:type="pct"/>
            <w:hideMark/>
          </w:tcPr>
          <w:p w14:paraId="6C9F72F6" w14:textId="77777777" w:rsidR="00B15F7D" w:rsidRPr="00990FB6" w:rsidRDefault="00B15F7D" w:rsidP="00B15F7D">
            <w:pPr>
              <w:rPr>
                <w:sz w:val="22"/>
                <w:szCs w:val="22"/>
                <w:u w:val="single"/>
              </w:rPr>
            </w:pPr>
            <w:r w:rsidRPr="00990FB6">
              <w:rPr>
                <w:sz w:val="22"/>
                <w:szCs w:val="22"/>
                <w:u w:val="single"/>
              </w:rPr>
              <w:t>LAVADO DE PERSIANAS</w:t>
            </w:r>
          </w:p>
        </w:tc>
        <w:tc>
          <w:tcPr>
            <w:tcW w:w="550" w:type="pct"/>
            <w:hideMark/>
          </w:tcPr>
          <w:p w14:paraId="3C0A2B79" w14:textId="77777777" w:rsidR="00B15F7D" w:rsidRPr="00990FB6" w:rsidRDefault="00B15F7D" w:rsidP="00B15F7D">
            <w:pPr>
              <w:rPr>
                <w:sz w:val="22"/>
                <w:szCs w:val="22"/>
                <w:u w:val="single"/>
              </w:rPr>
            </w:pPr>
            <w:r w:rsidRPr="00990FB6">
              <w:rPr>
                <w:sz w:val="22"/>
                <w:szCs w:val="22"/>
                <w:u w:val="single"/>
              </w:rPr>
              <w:t>305.000,00</w:t>
            </w:r>
          </w:p>
        </w:tc>
        <w:tc>
          <w:tcPr>
            <w:tcW w:w="511" w:type="pct"/>
            <w:hideMark/>
          </w:tcPr>
          <w:p w14:paraId="6D328E3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7866B8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AD73591"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w:t>
            </w:r>
            <w:r w:rsidRPr="00990FB6">
              <w:rPr>
                <w:sz w:val="22"/>
                <w:szCs w:val="22"/>
                <w:u w:val="single"/>
              </w:rPr>
              <w:lastRenderedPageBreak/>
              <w:t xml:space="preserve">Golfito, Coto Brus, Golfito, Unidad de Capacitación, Unidad Administrativa, Económicos, Ejecución de la Pena y Puerto Jiménez, así como, la atención a la persona usuaria. Desmejora en las condiciones de higiene. </w:t>
            </w:r>
          </w:p>
        </w:tc>
      </w:tr>
      <w:tr w:rsidR="00B15F7D" w:rsidRPr="00990FB6" w14:paraId="017E69DC" w14:textId="77777777" w:rsidTr="000A0C22">
        <w:trPr>
          <w:trHeight w:val="1160"/>
          <w:jc w:val="center"/>
        </w:trPr>
        <w:tc>
          <w:tcPr>
            <w:tcW w:w="583" w:type="pct"/>
            <w:hideMark/>
          </w:tcPr>
          <w:p w14:paraId="056C410A" w14:textId="77777777" w:rsidR="00B15F7D" w:rsidRPr="00990FB6" w:rsidRDefault="00B15F7D" w:rsidP="00B15F7D">
            <w:pPr>
              <w:rPr>
                <w:sz w:val="22"/>
                <w:szCs w:val="22"/>
                <w:u w:val="single"/>
              </w:rPr>
            </w:pPr>
            <w:r w:rsidRPr="00990FB6">
              <w:rPr>
                <w:sz w:val="22"/>
                <w:szCs w:val="22"/>
                <w:u w:val="single"/>
              </w:rPr>
              <w:lastRenderedPageBreak/>
              <w:t>10406</w:t>
            </w:r>
          </w:p>
        </w:tc>
        <w:tc>
          <w:tcPr>
            <w:tcW w:w="578" w:type="pct"/>
            <w:hideMark/>
          </w:tcPr>
          <w:p w14:paraId="2507CC10"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372C5AD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05224</w:t>
            </w:r>
          </w:p>
        </w:tc>
        <w:tc>
          <w:tcPr>
            <w:tcW w:w="1045" w:type="pct"/>
            <w:hideMark/>
          </w:tcPr>
          <w:p w14:paraId="3BA548C3" w14:textId="77777777" w:rsidR="00B15F7D" w:rsidRPr="00990FB6" w:rsidRDefault="00B15F7D" w:rsidP="00B15F7D">
            <w:pPr>
              <w:rPr>
                <w:sz w:val="22"/>
                <w:szCs w:val="22"/>
                <w:u w:val="single"/>
              </w:rPr>
            </w:pPr>
            <w:r w:rsidRPr="00990FB6">
              <w:rPr>
                <w:sz w:val="22"/>
                <w:szCs w:val="22"/>
                <w:u w:val="single"/>
              </w:rPr>
              <w:t>SERVICIO DE CERRAJERIA</w:t>
            </w:r>
          </w:p>
        </w:tc>
        <w:tc>
          <w:tcPr>
            <w:tcW w:w="550" w:type="pct"/>
            <w:hideMark/>
          </w:tcPr>
          <w:p w14:paraId="4EE54132" w14:textId="77777777" w:rsidR="00B15F7D" w:rsidRPr="00990FB6" w:rsidRDefault="00B15F7D" w:rsidP="00B15F7D">
            <w:pPr>
              <w:rPr>
                <w:sz w:val="22"/>
                <w:szCs w:val="22"/>
                <w:u w:val="single"/>
              </w:rPr>
            </w:pPr>
            <w:r w:rsidRPr="00990FB6">
              <w:rPr>
                <w:sz w:val="22"/>
                <w:szCs w:val="22"/>
                <w:u w:val="single"/>
              </w:rPr>
              <w:t>301.350,00</w:t>
            </w:r>
          </w:p>
        </w:tc>
        <w:tc>
          <w:tcPr>
            <w:tcW w:w="511" w:type="pct"/>
            <w:hideMark/>
          </w:tcPr>
          <w:p w14:paraId="4C030BA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BE211F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AD892A4"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Golfito, Coto Brus, Golfito, Unidad de Capacitación, Unidad Administrativa, Económicos, Ejecución de la Pena y Puerto Jiménez, así como, la atención a la persona usuaria. Desmejora en </w:t>
            </w:r>
            <w:r w:rsidRPr="00990FB6">
              <w:rPr>
                <w:sz w:val="22"/>
                <w:szCs w:val="22"/>
                <w:u w:val="single"/>
              </w:rPr>
              <w:lastRenderedPageBreak/>
              <w:t xml:space="preserve">las condiciones de higiene. </w:t>
            </w:r>
          </w:p>
        </w:tc>
      </w:tr>
      <w:tr w:rsidR="00B15F7D" w:rsidRPr="00990FB6" w14:paraId="399E7181" w14:textId="77777777" w:rsidTr="000A0C22">
        <w:trPr>
          <w:trHeight w:val="1160"/>
          <w:jc w:val="center"/>
        </w:trPr>
        <w:tc>
          <w:tcPr>
            <w:tcW w:w="583" w:type="pct"/>
            <w:hideMark/>
          </w:tcPr>
          <w:p w14:paraId="69AFCCF3" w14:textId="77777777" w:rsidR="00B15F7D" w:rsidRPr="00990FB6" w:rsidRDefault="00B15F7D" w:rsidP="00B15F7D">
            <w:pPr>
              <w:rPr>
                <w:sz w:val="22"/>
                <w:szCs w:val="22"/>
                <w:u w:val="single"/>
              </w:rPr>
            </w:pPr>
            <w:r w:rsidRPr="00990FB6">
              <w:rPr>
                <w:sz w:val="22"/>
                <w:szCs w:val="22"/>
                <w:u w:val="single"/>
              </w:rPr>
              <w:lastRenderedPageBreak/>
              <w:t>10406</w:t>
            </w:r>
          </w:p>
        </w:tc>
        <w:tc>
          <w:tcPr>
            <w:tcW w:w="578" w:type="pct"/>
            <w:hideMark/>
          </w:tcPr>
          <w:p w14:paraId="185670AE"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472D7F7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22675</w:t>
            </w:r>
          </w:p>
        </w:tc>
        <w:tc>
          <w:tcPr>
            <w:tcW w:w="1045" w:type="pct"/>
            <w:hideMark/>
          </w:tcPr>
          <w:p w14:paraId="377F607B" w14:textId="77777777" w:rsidR="00B15F7D" w:rsidRPr="00990FB6" w:rsidRDefault="00B15F7D" w:rsidP="00B15F7D">
            <w:pPr>
              <w:rPr>
                <w:sz w:val="22"/>
                <w:szCs w:val="22"/>
                <w:u w:val="single"/>
              </w:rPr>
            </w:pPr>
            <w:r w:rsidRPr="00990FB6">
              <w:rPr>
                <w:sz w:val="22"/>
                <w:szCs w:val="22"/>
                <w:u w:val="single"/>
              </w:rPr>
              <w:t>LAVADO DE JUEGO DE MUEBLES</w:t>
            </w:r>
          </w:p>
        </w:tc>
        <w:tc>
          <w:tcPr>
            <w:tcW w:w="550" w:type="pct"/>
            <w:hideMark/>
          </w:tcPr>
          <w:p w14:paraId="2CA51245" w14:textId="77777777" w:rsidR="00B15F7D" w:rsidRPr="00990FB6" w:rsidRDefault="00B15F7D" w:rsidP="00B15F7D">
            <w:pPr>
              <w:rPr>
                <w:sz w:val="22"/>
                <w:szCs w:val="22"/>
                <w:u w:val="single"/>
              </w:rPr>
            </w:pPr>
            <w:r w:rsidRPr="00990FB6">
              <w:rPr>
                <w:sz w:val="22"/>
                <w:szCs w:val="22"/>
                <w:u w:val="single"/>
              </w:rPr>
              <w:t>1.095.067,00</w:t>
            </w:r>
          </w:p>
        </w:tc>
        <w:tc>
          <w:tcPr>
            <w:tcW w:w="511" w:type="pct"/>
            <w:hideMark/>
          </w:tcPr>
          <w:p w14:paraId="53BAB4C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CB5728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7F8AA00"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Golfito, Coto Brus, Golfito, Unidad de Capacitación, Unidad Administrativa, Económicos, Ejecución de la Pena y Puerto Jiménez, así como, la atención a la persona usuaria. Desmejora en las condiciones de higiene. </w:t>
            </w:r>
          </w:p>
        </w:tc>
      </w:tr>
      <w:tr w:rsidR="00B15F7D" w:rsidRPr="00990FB6" w14:paraId="4B7ACC0D" w14:textId="77777777" w:rsidTr="000A0C22">
        <w:trPr>
          <w:trHeight w:val="1160"/>
          <w:jc w:val="center"/>
        </w:trPr>
        <w:tc>
          <w:tcPr>
            <w:tcW w:w="583" w:type="pct"/>
            <w:hideMark/>
          </w:tcPr>
          <w:p w14:paraId="0E7541DA" w14:textId="77777777" w:rsidR="00B15F7D" w:rsidRPr="00990FB6" w:rsidRDefault="00B15F7D" w:rsidP="00B15F7D">
            <w:pPr>
              <w:rPr>
                <w:sz w:val="22"/>
                <w:szCs w:val="22"/>
                <w:u w:val="single"/>
              </w:rPr>
            </w:pPr>
            <w:r w:rsidRPr="00990FB6">
              <w:rPr>
                <w:sz w:val="22"/>
                <w:szCs w:val="22"/>
                <w:u w:val="single"/>
              </w:rPr>
              <w:t>10406</w:t>
            </w:r>
          </w:p>
        </w:tc>
        <w:tc>
          <w:tcPr>
            <w:tcW w:w="578" w:type="pct"/>
            <w:hideMark/>
          </w:tcPr>
          <w:p w14:paraId="436BEF75"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1ECE3C3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23337</w:t>
            </w:r>
          </w:p>
        </w:tc>
        <w:tc>
          <w:tcPr>
            <w:tcW w:w="1045" w:type="pct"/>
            <w:hideMark/>
          </w:tcPr>
          <w:p w14:paraId="68E9B6BE" w14:textId="77777777" w:rsidR="00B15F7D" w:rsidRPr="00990FB6" w:rsidRDefault="00B15F7D" w:rsidP="00B15F7D">
            <w:pPr>
              <w:rPr>
                <w:sz w:val="22"/>
                <w:szCs w:val="22"/>
                <w:u w:val="single"/>
              </w:rPr>
            </w:pPr>
            <w:r w:rsidRPr="00990FB6">
              <w:rPr>
                <w:sz w:val="22"/>
                <w:szCs w:val="22"/>
                <w:u w:val="single"/>
              </w:rPr>
              <w:t>SERVICIO DE LAVADO DE SILLAS</w:t>
            </w:r>
          </w:p>
        </w:tc>
        <w:tc>
          <w:tcPr>
            <w:tcW w:w="550" w:type="pct"/>
            <w:hideMark/>
          </w:tcPr>
          <w:p w14:paraId="691474E8" w14:textId="77777777" w:rsidR="00B15F7D" w:rsidRPr="00990FB6" w:rsidRDefault="00B15F7D" w:rsidP="00B15F7D">
            <w:pPr>
              <w:rPr>
                <w:sz w:val="22"/>
                <w:szCs w:val="22"/>
                <w:u w:val="single"/>
              </w:rPr>
            </w:pPr>
            <w:r w:rsidRPr="00990FB6">
              <w:rPr>
                <w:sz w:val="22"/>
                <w:szCs w:val="22"/>
                <w:u w:val="single"/>
              </w:rPr>
              <w:t>1.604.600,00</w:t>
            </w:r>
          </w:p>
        </w:tc>
        <w:tc>
          <w:tcPr>
            <w:tcW w:w="511" w:type="pct"/>
            <w:hideMark/>
          </w:tcPr>
          <w:p w14:paraId="50D5D8F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6F1A97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00002DD"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w:t>
            </w:r>
            <w:r w:rsidRPr="00990FB6">
              <w:rPr>
                <w:sz w:val="22"/>
                <w:szCs w:val="22"/>
                <w:u w:val="single"/>
              </w:rPr>
              <w:lastRenderedPageBreak/>
              <w:t xml:space="preserve">Golfito, Coto Brus, Golfito, Unidad de Capacitación, Unidad Administrativa, Económicos, Ejecución de la Pena y Puerto Jiménez, así como, la atención a la persona usuaria. Desmejora en las condiciones de higiene. </w:t>
            </w:r>
          </w:p>
        </w:tc>
      </w:tr>
      <w:tr w:rsidR="00B15F7D" w:rsidRPr="00990FB6" w14:paraId="51999097" w14:textId="77777777" w:rsidTr="000A0C22">
        <w:trPr>
          <w:trHeight w:val="870"/>
          <w:jc w:val="center"/>
        </w:trPr>
        <w:tc>
          <w:tcPr>
            <w:tcW w:w="583" w:type="pct"/>
            <w:hideMark/>
          </w:tcPr>
          <w:p w14:paraId="40F2DAA0" w14:textId="77777777" w:rsidR="00B15F7D" w:rsidRPr="00990FB6" w:rsidRDefault="00B15F7D" w:rsidP="00B15F7D">
            <w:pPr>
              <w:rPr>
                <w:sz w:val="22"/>
                <w:szCs w:val="22"/>
                <w:u w:val="single"/>
              </w:rPr>
            </w:pPr>
            <w:r w:rsidRPr="00990FB6">
              <w:rPr>
                <w:sz w:val="22"/>
                <w:szCs w:val="22"/>
                <w:u w:val="single"/>
              </w:rPr>
              <w:lastRenderedPageBreak/>
              <w:t>10406</w:t>
            </w:r>
          </w:p>
        </w:tc>
        <w:tc>
          <w:tcPr>
            <w:tcW w:w="578" w:type="pct"/>
            <w:hideMark/>
          </w:tcPr>
          <w:p w14:paraId="3FBA060A"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5E86864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23638</w:t>
            </w:r>
          </w:p>
        </w:tc>
        <w:tc>
          <w:tcPr>
            <w:tcW w:w="1045" w:type="pct"/>
            <w:hideMark/>
          </w:tcPr>
          <w:p w14:paraId="69DA00B2" w14:textId="77777777" w:rsidR="00B15F7D" w:rsidRPr="00990FB6" w:rsidRDefault="00B15F7D" w:rsidP="00B15F7D">
            <w:pPr>
              <w:rPr>
                <w:sz w:val="22"/>
                <w:szCs w:val="22"/>
                <w:u w:val="single"/>
              </w:rPr>
            </w:pPr>
            <w:r w:rsidRPr="00990FB6">
              <w:rPr>
                <w:sz w:val="22"/>
                <w:szCs w:val="22"/>
                <w:u w:val="single"/>
              </w:rPr>
              <w:t>LAVADO DE VEHICULOS A PRESION</w:t>
            </w:r>
          </w:p>
        </w:tc>
        <w:tc>
          <w:tcPr>
            <w:tcW w:w="550" w:type="pct"/>
            <w:hideMark/>
          </w:tcPr>
          <w:p w14:paraId="6B59A1A0" w14:textId="77777777" w:rsidR="00B15F7D" w:rsidRPr="00990FB6" w:rsidRDefault="00B15F7D" w:rsidP="00B15F7D">
            <w:pPr>
              <w:rPr>
                <w:sz w:val="22"/>
                <w:szCs w:val="22"/>
                <w:u w:val="single"/>
              </w:rPr>
            </w:pPr>
            <w:r w:rsidRPr="00990FB6">
              <w:rPr>
                <w:sz w:val="22"/>
                <w:szCs w:val="22"/>
                <w:u w:val="single"/>
              </w:rPr>
              <w:t>3.000.000,00</w:t>
            </w:r>
          </w:p>
        </w:tc>
        <w:tc>
          <w:tcPr>
            <w:tcW w:w="511" w:type="pct"/>
            <w:hideMark/>
          </w:tcPr>
          <w:p w14:paraId="689A65B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63D219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23E0D85" w14:textId="77777777" w:rsidR="00B15F7D" w:rsidRPr="00990FB6" w:rsidRDefault="00B15F7D" w:rsidP="00F60AA2">
            <w:pPr>
              <w:rPr>
                <w:sz w:val="22"/>
                <w:szCs w:val="22"/>
                <w:u w:val="single"/>
              </w:rPr>
            </w:pPr>
            <w:r w:rsidRPr="00990FB6">
              <w:rPr>
                <w:sz w:val="22"/>
                <w:szCs w:val="22"/>
                <w:u w:val="single"/>
              </w:rPr>
              <w:t xml:space="preserve">Desmejora en las condiciones de mantenimiento de los 103 vehículos del Ministerio </w:t>
            </w:r>
            <w:proofErr w:type="gramStart"/>
            <w:r w:rsidRPr="00990FB6">
              <w:rPr>
                <w:sz w:val="22"/>
                <w:szCs w:val="22"/>
                <w:u w:val="single"/>
              </w:rPr>
              <w:t>Público  que</w:t>
            </w:r>
            <w:proofErr w:type="gramEnd"/>
            <w:r w:rsidRPr="00990FB6">
              <w:rPr>
                <w:sz w:val="22"/>
                <w:szCs w:val="22"/>
                <w:u w:val="single"/>
              </w:rPr>
              <w:t xml:space="preserve"> se utilizan para la atención de las diligencias judiciales. Disminución de su </w:t>
            </w:r>
            <w:proofErr w:type="gramStart"/>
            <w:r w:rsidRPr="00990FB6">
              <w:rPr>
                <w:sz w:val="22"/>
                <w:szCs w:val="22"/>
                <w:u w:val="single"/>
              </w:rPr>
              <w:t>valor  para</w:t>
            </w:r>
            <w:proofErr w:type="gramEnd"/>
            <w:r w:rsidRPr="00990FB6">
              <w:rPr>
                <w:sz w:val="22"/>
                <w:szCs w:val="22"/>
                <w:u w:val="single"/>
              </w:rPr>
              <w:t xml:space="preserve"> eventuales sustituciones.  </w:t>
            </w:r>
          </w:p>
        </w:tc>
      </w:tr>
      <w:tr w:rsidR="00B15F7D" w:rsidRPr="00990FB6" w14:paraId="70B594F0" w14:textId="77777777" w:rsidTr="000A0C22">
        <w:trPr>
          <w:trHeight w:val="1160"/>
          <w:jc w:val="center"/>
        </w:trPr>
        <w:tc>
          <w:tcPr>
            <w:tcW w:w="583" w:type="pct"/>
            <w:hideMark/>
          </w:tcPr>
          <w:p w14:paraId="0B4CD2A4" w14:textId="77777777" w:rsidR="00B15F7D" w:rsidRPr="00990FB6" w:rsidRDefault="00B15F7D" w:rsidP="00B15F7D">
            <w:pPr>
              <w:rPr>
                <w:sz w:val="22"/>
                <w:szCs w:val="22"/>
                <w:u w:val="single"/>
              </w:rPr>
            </w:pPr>
            <w:r w:rsidRPr="00990FB6">
              <w:rPr>
                <w:sz w:val="22"/>
                <w:szCs w:val="22"/>
                <w:u w:val="single"/>
              </w:rPr>
              <w:t>10406</w:t>
            </w:r>
          </w:p>
        </w:tc>
        <w:tc>
          <w:tcPr>
            <w:tcW w:w="578" w:type="pct"/>
            <w:hideMark/>
          </w:tcPr>
          <w:p w14:paraId="1D3992A1"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44BAF50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04882</w:t>
            </w:r>
          </w:p>
        </w:tc>
        <w:tc>
          <w:tcPr>
            <w:tcW w:w="1045" w:type="pct"/>
            <w:hideMark/>
          </w:tcPr>
          <w:p w14:paraId="53577692" w14:textId="77777777" w:rsidR="00B15F7D" w:rsidRPr="00990FB6" w:rsidRDefault="00B15F7D" w:rsidP="00B15F7D">
            <w:pPr>
              <w:rPr>
                <w:sz w:val="22"/>
                <w:szCs w:val="22"/>
                <w:u w:val="single"/>
              </w:rPr>
            </w:pPr>
            <w:r w:rsidRPr="00990FB6">
              <w:rPr>
                <w:sz w:val="22"/>
                <w:szCs w:val="22"/>
                <w:u w:val="single"/>
              </w:rPr>
              <w:t>LAVADO DE MANTEL</w:t>
            </w:r>
          </w:p>
        </w:tc>
        <w:tc>
          <w:tcPr>
            <w:tcW w:w="550" w:type="pct"/>
            <w:hideMark/>
          </w:tcPr>
          <w:p w14:paraId="5D6C9521" w14:textId="77777777" w:rsidR="00B15F7D" w:rsidRPr="00990FB6" w:rsidRDefault="00B15F7D" w:rsidP="00B15F7D">
            <w:pPr>
              <w:rPr>
                <w:sz w:val="22"/>
                <w:szCs w:val="22"/>
                <w:u w:val="single"/>
              </w:rPr>
            </w:pPr>
            <w:r w:rsidRPr="00990FB6">
              <w:rPr>
                <w:sz w:val="22"/>
                <w:szCs w:val="22"/>
                <w:u w:val="single"/>
              </w:rPr>
              <w:t>103.000,00</w:t>
            </w:r>
          </w:p>
        </w:tc>
        <w:tc>
          <w:tcPr>
            <w:tcW w:w="511" w:type="pct"/>
            <w:noWrap/>
            <w:hideMark/>
          </w:tcPr>
          <w:p w14:paraId="29A207E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815040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94755DB"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w:t>
            </w:r>
            <w:r w:rsidRPr="00990FB6">
              <w:rPr>
                <w:sz w:val="22"/>
                <w:szCs w:val="22"/>
                <w:u w:val="single"/>
              </w:rPr>
              <w:lastRenderedPageBreak/>
              <w:t xml:space="preserve">Cartago, Pérez Zeledón, Golfito, Coto Brus, Golfito, Unidad de Capacitación, Unidad Administrativa, Económicos, Ejecución de la Pena y Puerto Jiménez, así como, la atención a la persona usuaria. Desmejora en las condiciones de higiene. </w:t>
            </w:r>
          </w:p>
        </w:tc>
      </w:tr>
      <w:tr w:rsidR="00B15F7D" w:rsidRPr="00990FB6" w14:paraId="4D4DCD91" w14:textId="77777777" w:rsidTr="000A0C22">
        <w:trPr>
          <w:trHeight w:val="1160"/>
          <w:jc w:val="center"/>
        </w:trPr>
        <w:tc>
          <w:tcPr>
            <w:tcW w:w="583" w:type="pct"/>
            <w:hideMark/>
          </w:tcPr>
          <w:p w14:paraId="011FA7FD" w14:textId="77777777" w:rsidR="00B15F7D" w:rsidRPr="00990FB6" w:rsidRDefault="00B15F7D" w:rsidP="00B15F7D">
            <w:pPr>
              <w:rPr>
                <w:sz w:val="22"/>
                <w:szCs w:val="22"/>
                <w:u w:val="single"/>
              </w:rPr>
            </w:pPr>
            <w:r w:rsidRPr="00990FB6">
              <w:rPr>
                <w:sz w:val="22"/>
                <w:szCs w:val="22"/>
                <w:u w:val="single"/>
              </w:rPr>
              <w:lastRenderedPageBreak/>
              <w:t>10406</w:t>
            </w:r>
          </w:p>
        </w:tc>
        <w:tc>
          <w:tcPr>
            <w:tcW w:w="578" w:type="pct"/>
            <w:hideMark/>
          </w:tcPr>
          <w:p w14:paraId="367C3E7F"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577660B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21875</w:t>
            </w:r>
          </w:p>
        </w:tc>
        <w:tc>
          <w:tcPr>
            <w:tcW w:w="1045" w:type="pct"/>
            <w:hideMark/>
          </w:tcPr>
          <w:p w14:paraId="7368EB7F" w14:textId="77777777" w:rsidR="00B15F7D" w:rsidRPr="00990FB6" w:rsidRDefault="00B15F7D" w:rsidP="00B15F7D">
            <w:pPr>
              <w:rPr>
                <w:sz w:val="22"/>
                <w:szCs w:val="22"/>
                <w:u w:val="single"/>
              </w:rPr>
            </w:pPr>
            <w:r w:rsidRPr="00990FB6">
              <w:rPr>
                <w:sz w:val="22"/>
                <w:szCs w:val="22"/>
                <w:u w:val="single"/>
              </w:rPr>
              <w:t>SERVICIO DE LAVADO DE BANDERA</w:t>
            </w:r>
          </w:p>
        </w:tc>
        <w:tc>
          <w:tcPr>
            <w:tcW w:w="550" w:type="pct"/>
            <w:hideMark/>
          </w:tcPr>
          <w:p w14:paraId="1B1F6EFC" w14:textId="77777777" w:rsidR="00B15F7D" w:rsidRPr="00990FB6" w:rsidRDefault="00B15F7D" w:rsidP="00B15F7D">
            <w:pPr>
              <w:rPr>
                <w:sz w:val="22"/>
                <w:szCs w:val="22"/>
                <w:u w:val="single"/>
              </w:rPr>
            </w:pPr>
            <w:r w:rsidRPr="00990FB6">
              <w:rPr>
                <w:sz w:val="22"/>
                <w:szCs w:val="22"/>
                <w:u w:val="single"/>
              </w:rPr>
              <w:t>10.300,00</w:t>
            </w:r>
          </w:p>
        </w:tc>
        <w:tc>
          <w:tcPr>
            <w:tcW w:w="511" w:type="pct"/>
            <w:noWrap/>
            <w:hideMark/>
          </w:tcPr>
          <w:p w14:paraId="1FF1792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DC1FBE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5E996DF"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Golfito, Coto Brus, Golfito, Unidad de Capacitación, Unidad Administrativa, Económicos, Ejecución de la Pena y Puerto Jiménez, así como, la atención a la </w:t>
            </w:r>
            <w:r w:rsidRPr="00990FB6">
              <w:rPr>
                <w:sz w:val="22"/>
                <w:szCs w:val="22"/>
                <w:u w:val="single"/>
              </w:rPr>
              <w:lastRenderedPageBreak/>
              <w:t xml:space="preserve">persona usuaria. Desmejora en las condiciones de higiene. </w:t>
            </w:r>
          </w:p>
        </w:tc>
      </w:tr>
      <w:tr w:rsidR="00B15F7D" w:rsidRPr="00990FB6" w14:paraId="30B97162" w14:textId="77777777" w:rsidTr="000A0C22">
        <w:trPr>
          <w:trHeight w:val="1160"/>
          <w:jc w:val="center"/>
        </w:trPr>
        <w:tc>
          <w:tcPr>
            <w:tcW w:w="583" w:type="pct"/>
            <w:hideMark/>
          </w:tcPr>
          <w:p w14:paraId="3CD40460" w14:textId="77777777" w:rsidR="00B15F7D" w:rsidRPr="00990FB6" w:rsidRDefault="00B15F7D" w:rsidP="00B15F7D">
            <w:pPr>
              <w:rPr>
                <w:sz w:val="22"/>
                <w:szCs w:val="22"/>
                <w:u w:val="single"/>
              </w:rPr>
            </w:pPr>
            <w:r w:rsidRPr="00990FB6">
              <w:rPr>
                <w:sz w:val="22"/>
                <w:szCs w:val="22"/>
                <w:u w:val="single"/>
              </w:rPr>
              <w:lastRenderedPageBreak/>
              <w:t>10406</w:t>
            </w:r>
          </w:p>
        </w:tc>
        <w:tc>
          <w:tcPr>
            <w:tcW w:w="578" w:type="pct"/>
            <w:hideMark/>
          </w:tcPr>
          <w:p w14:paraId="2CB8A267"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423B26D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22674</w:t>
            </w:r>
          </w:p>
        </w:tc>
        <w:tc>
          <w:tcPr>
            <w:tcW w:w="1045" w:type="pct"/>
            <w:hideMark/>
          </w:tcPr>
          <w:p w14:paraId="724E6670" w14:textId="77777777" w:rsidR="00B15F7D" w:rsidRPr="00990FB6" w:rsidRDefault="00B15F7D" w:rsidP="00B15F7D">
            <w:pPr>
              <w:rPr>
                <w:sz w:val="22"/>
                <w:szCs w:val="22"/>
                <w:u w:val="single"/>
              </w:rPr>
            </w:pPr>
            <w:r w:rsidRPr="00990FB6">
              <w:rPr>
                <w:sz w:val="22"/>
                <w:szCs w:val="22"/>
                <w:u w:val="single"/>
              </w:rPr>
              <w:t>LAVADO CORTINAS</w:t>
            </w:r>
          </w:p>
        </w:tc>
        <w:tc>
          <w:tcPr>
            <w:tcW w:w="550" w:type="pct"/>
            <w:hideMark/>
          </w:tcPr>
          <w:p w14:paraId="44BCD072" w14:textId="77777777" w:rsidR="00B15F7D" w:rsidRPr="00990FB6" w:rsidRDefault="00B15F7D" w:rsidP="00B15F7D">
            <w:pPr>
              <w:rPr>
                <w:sz w:val="22"/>
                <w:szCs w:val="22"/>
                <w:u w:val="single"/>
              </w:rPr>
            </w:pPr>
            <w:r w:rsidRPr="00990FB6">
              <w:rPr>
                <w:sz w:val="22"/>
                <w:szCs w:val="22"/>
                <w:u w:val="single"/>
              </w:rPr>
              <w:t>33.900,00</w:t>
            </w:r>
          </w:p>
        </w:tc>
        <w:tc>
          <w:tcPr>
            <w:tcW w:w="511" w:type="pct"/>
            <w:noWrap/>
            <w:hideMark/>
          </w:tcPr>
          <w:p w14:paraId="1A9585B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536E72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64F0681"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Golfito, Coto Brus, Golfito, Unidad de Capacitación, Unidad Administrativa, Económicos, Ejecución de la Pena y Puerto Jiménez, así como, la atención a la persona usuaria. Desmejora en las condiciones de higiene. </w:t>
            </w:r>
          </w:p>
        </w:tc>
      </w:tr>
      <w:tr w:rsidR="00B15F7D" w:rsidRPr="00990FB6" w14:paraId="589DE68A" w14:textId="77777777" w:rsidTr="000A0C22">
        <w:trPr>
          <w:trHeight w:val="870"/>
          <w:jc w:val="center"/>
        </w:trPr>
        <w:tc>
          <w:tcPr>
            <w:tcW w:w="583" w:type="pct"/>
            <w:hideMark/>
          </w:tcPr>
          <w:p w14:paraId="553F935E" w14:textId="77777777" w:rsidR="00B15F7D" w:rsidRPr="00990FB6" w:rsidRDefault="00B15F7D" w:rsidP="00B15F7D">
            <w:pPr>
              <w:rPr>
                <w:sz w:val="22"/>
                <w:szCs w:val="22"/>
                <w:u w:val="single"/>
              </w:rPr>
            </w:pPr>
            <w:r w:rsidRPr="00990FB6">
              <w:rPr>
                <w:sz w:val="22"/>
                <w:szCs w:val="22"/>
                <w:u w:val="single"/>
              </w:rPr>
              <w:t>10406</w:t>
            </w:r>
          </w:p>
        </w:tc>
        <w:tc>
          <w:tcPr>
            <w:tcW w:w="578" w:type="pct"/>
            <w:hideMark/>
          </w:tcPr>
          <w:p w14:paraId="03056407"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00DB231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22688</w:t>
            </w:r>
          </w:p>
        </w:tc>
        <w:tc>
          <w:tcPr>
            <w:tcW w:w="1045" w:type="pct"/>
            <w:hideMark/>
          </w:tcPr>
          <w:p w14:paraId="71DD9B7E" w14:textId="77777777" w:rsidR="00B15F7D" w:rsidRPr="00990FB6" w:rsidRDefault="00B15F7D" w:rsidP="00B15F7D">
            <w:pPr>
              <w:rPr>
                <w:sz w:val="22"/>
                <w:szCs w:val="22"/>
                <w:u w:val="single"/>
              </w:rPr>
            </w:pPr>
            <w:r w:rsidRPr="00990FB6">
              <w:rPr>
                <w:sz w:val="22"/>
                <w:szCs w:val="22"/>
                <w:u w:val="single"/>
              </w:rPr>
              <w:t>SERVICIO DE CERRAJERIA</w:t>
            </w:r>
          </w:p>
        </w:tc>
        <w:tc>
          <w:tcPr>
            <w:tcW w:w="550" w:type="pct"/>
            <w:hideMark/>
          </w:tcPr>
          <w:p w14:paraId="5DA330D2" w14:textId="77777777" w:rsidR="00B15F7D" w:rsidRPr="00990FB6" w:rsidRDefault="00B15F7D" w:rsidP="00B15F7D">
            <w:pPr>
              <w:rPr>
                <w:sz w:val="22"/>
                <w:szCs w:val="22"/>
                <w:u w:val="single"/>
              </w:rPr>
            </w:pPr>
            <w:r w:rsidRPr="00990FB6">
              <w:rPr>
                <w:sz w:val="22"/>
                <w:szCs w:val="22"/>
                <w:u w:val="single"/>
              </w:rPr>
              <w:t>203.000,00</w:t>
            </w:r>
          </w:p>
        </w:tc>
        <w:tc>
          <w:tcPr>
            <w:tcW w:w="511" w:type="pct"/>
            <w:noWrap/>
            <w:hideMark/>
          </w:tcPr>
          <w:p w14:paraId="5894BF4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D7B029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31E9DF0" w14:textId="77777777" w:rsidR="00B15F7D" w:rsidRPr="00990FB6" w:rsidRDefault="00B15F7D" w:rsidP="00F60AA2">
            <w:pPr>
              <w:rPr>
                <w:sz w:val="22"/>
                <w:szCs w:val="22"/>
                <w:u w:val="single"/>
              </w:rPr>
            </w:pPr>
            <w:r w:rsidRPr="00990FB6">
              <w:rPr>
                <w:sz w:val="22"/>
                <w:szCs w:val="22"/>
                <w:u w:val="single"/>
              </w:rPr>
              <w:t xml:space="preserve">Problemas de seguridad en el resguardo de documentación, evidencia, otros de interés del Ministerio Público, al no disponer de recursos para el </w:t>
            </w:r>
            <w:r w:rsidRPr="00990FB6">
              <w:rPr>
                <w:sz w:val="22"/>
                <w:szCs w:val="22"/>
                <w:u w:val="single"/>
              </w:rPr>
              <w:lastRenderedPageBreak/>
              <w:t xml:space="preserve">cambio de llavines de puertas, archivadores, escritorios, etc. </w:t>
            </w:r>
          </w:p>
        </w:tc>
      </w:tr>
      <w:tr w:rsidR="00B15F7D" w:rsidRPr="00990FB6" w14:paraId="039555A4" w14:textId="77777777" w:rsidTr="000A0C22">
        <w:trPr>
          <w:trHeight w:val="1160"/>
          <w:jc w:val="center"/>
        </w:trPr>
        <w:tc>
          <w:tcPr>
            <w:tcW w:w="583" w:type="pct"/>
            <w:hideMark/>
          </w:tcPr>
          <w:p w14:paraId="3CA21A9E" w14:textId="77777777" w:rsidR="00B15F7D" w:rsidRPr="00990FB6" w:rsidRDefault="00B15F7D" w:rsidP="00B15F7D">
            <w:pPr>
              <w:rPr>
                <w:sz w:val="22"/>
                <w:szCs w:val="22"/>
                <w:u w:val="single"/>
              </w:rPr>
            </w:pPr>
            <w:r w:rsidRPr="00990FB6">
              <w:rPr>
                <w:sz w:val="22"/>
                <w:szCs w:val="22"/>
                <w:u w:val="single"/>
              </w:rPr>
              <w:lastRenderedPageBreak/>
              <w:t>10406</w:t>
            </w:r>
          </w:p>
        </w:tc>
        <w:tc>
          <w:tcPr>
            <w:tcW w:w="578" w:type="pct"/>
            <w:hideMark/>
          </w:tcPr>
          <w:p w14:paraId="31E3FB1D"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1225479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23985</w:t>
            </w:r>
          </w:p>
        </w:tc>
        <w:tc>
          <w:tcPr>
            <w:tcW w:w="1045" w:type="pct"/>
            <w:hideMark/>
          </w:tcPr>
          <w:p w14:paraId="3B389E09" w14:textId="77777777" w:rsidR="00B15F7D" w:rsidRPr="00990FB6" w:rsidRDefault="00B15F7D" w:rsidP="00B15F7D">
            <w:pPr>
              <w:rPr>
                <w:sz w:val="22"/>
                <w:szCs w:val="22"/>
                <w:u w:val="single"/>
              </w:rPr>
            </w:pPr>
            <w:r w:rsidRPr="00990FB6">
              <w:rPr>
                <w:sz w:val="22"/>
                <w:szCs w:val="22"/>
                <w:u w:val="single"/>
              </w:rPr>
              <w:t>SERVICIO DE LAVADO DE BUTACAS DE CUATRO PLAZAS</w:t>
            </w:r>
          </w:p>
        </w:tc>
        <w:tc>
          <w:tcPr>
            <w:tcW w:w="550" w:type="pct"/>
            <w:hideMark/>
          </w:tcPr>
          <w:p w14:paraId="061396DD" w14:textId="77777777" w:rsidR="00B15F7D" w:rsidRPr="00990FB6" w:rsidRDefault="00B15F7D" w:rsidP="00B15F7D">
            <w:pPr>
              <w:rPr>
                <w:sz w:val="22"/>
                <w:szCs w:val="22"/>
                <w:u w:val="single"/>
              </w:rPr>
            </w:pPr>
            <w:r w:rsidRPr="00990FB6">
              <w:rPr>
                <w:sz w:val="22"/>
                <w:szCs w:val="22"/>
                <w:u w:val="single"/>
              </w:rPr>
              <w:t>110.740,00</w:t>
            </w:r>
          </w:p>
        </w:tc>
        <w:tc>
          <w:tcPr>
            <w:tcW w:w="511" w:type="pct"/>
            <w:noWrap/>
            <w:hideMark/>
          </w:tcPr>
          <w:p w14:paraId="388F5CB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EE5072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34FB310" w14:textId="77777777" w:rsidR="00B15F7D" w:rsidRPr="00990FB6" w:rsidRDefault="00B15F7D" w:rsidP="00F60AA2">
            <w:pPr>
              <w:rPr>
                <w:sz w:val="22"/>
                <w:szCs w:val="22"/>
                <w:u w:val="single"/>
              </w:rPr>
            </w:pPr>
            <w:r w:rsidRPr="00990FB6">
              <w:rPr>
                <w:sz w:val="22"/>
                <w:szCs w:val="22"/>
                <w:u w:val="single"/>
              </w:rPr>
              <w:t xml:space="preserve">Se traduce en desmejora de las condiciones de trabajo del personal que labora en la Fiscalía de Turno, Alajuela, Cartago, Pérez Zeledón, Golfito, Coto Brus, Golfito, Unidad de Capacitación, Unidad Administrativa, Económicos, Ejecución de la Pena y Puerto Jiménez, así como, la atención a la persona usuaria. Desmejora en las condiciones de higiene. </w:t>
            </w:r>
          </w:p>
        </w:tc>
      </w:tr>
      <w:tr w:rsidR="00B15F7D" w:rsidRPr="00990FB6" w14:paraId="4919BB60" w14:textId="77777777" w:rsidTr="000A0C22">
        <w:trPr>
          <w:trHeight w:val="580"/>
          <w:jc w:val="center"/>
        </w:trPr>
        <w:tc>
          <w:tcPr>
            <w:tcW w:w="583" w:type="pct"/>
            <w:hideMark/>
          </w:tcPr>
          <w:p w14:paraId="13032C7A" w14:textId="77777777" w:rsidR="00B15F7D" w:rsidRPr="00990FB6" w:rsidRDefault="00B15F7D" w:rsidP="00B15F7D">
            <w:pPr>
              <w:rPr>
                <w:sz w:val="22"/>
                <w:szCs w:val="22"/>
                <w:u w:val="single"/>
              </w:rPr>
            </w:pPr>
            <w:r w:rsidRPr="00990FB6">
              <w:rPr>
                <w:sz w:val="22"/>
                <w:szCs w:val="22"/>
                <w:u w:val="single"/>
              </w:rPr>
              <w:t>10406</w:t>
            </w:r>
          </w:p>
        </w:tc>
        <w:tc>
          <w:tcPr>
            <w:tcW w:w="578" w:type="pct"/>
            <w:hideMark/>
          </w:tcPr>
          <w:p w14:paraId="7BCE0B20" w14:textId="77777777" w:rsidR="00B15F7D" w:rsidRPr="00990FB6" w:rsidRDefault="00B15F7D" w:rsidP="00B15F7D">
            <w:pPr>
              <w:rPr>
                <w:sz w:val="22"/>
                <w:szCs w:val="22"/>
                <w:u w:val="single"/>
              </w:rPr>
            </w:pPr>
            <w:r w:rsidRPr="00990FB6">
              <w:rPr>
                <w:sz w:val="22"/>
                <w:szCs w:val="22"/>
                <w:u w:val="single"/>
              </w:rPr>
              <w:t xml:space="preserve">Servicios generales </w:t>
            </w:r>
          </w:p>
        </w:tc>
        <w:tc>
          <w:tcPr>
            <w:tcW w:w="363" w:type="pct"/>
            <w:hideMark/>
          </w:tcPr>
          <w:p w14:paraId="2A8DBD6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24131</w:t>
            </w:r>
          </w:p>
        </w:tc>
        <w:tc>
          <w:tcPr>
            <w:tcW w:w="1045" w:type="pct"/>
            <w:hideMark/>
          </w:tcPr>
          <w:p w14:paraId="1AA86FD7" w14:textId="77777777" w:rsidR="00B15F7D" w:rsidRPr="00990FB6" w:rsidRDefault="00B15F7D" w:rsidP="00B15F7D">
            <w:pPr>
              <w:rPr>
                <w:sz w:val="22"/>
                <w:szCs w:val="22"/>
                <w:u w:val="single"/>
              </w:rPr>
            </w:pPr>
            <w:r w:rsidRPr="00990FB6">
              <w:rPr>
                <w:sz w:val="22"/>
                <w:szCs w:val="22"/>
                <w:u w:val="single"/>
              </w:rPr>
              <w:t>SERVICIO DE POLARIZADO DE VIDRIOS</w:t>
            </w:r>
          </w:p>
        </w:tc>
        <w:tc>
          <w:tcPr>
            <w:tcW w:w="550" w:type="pct"/>
            <w:hideMark/>
          </w:tcPr>
          <w:p w14:paraId="4AD746E6" w14:textId="77777777" w:rsidR="00B15F7D" w:rsidRPr="00990FB6" w:rsidRDefault="00B15F7D" w:rsidP="00B15F7D">
            <w:pPr>
              <w:rPr>
                <w:sz w:val="22"/>
                <w:szCs w:val="22"/>
                <w:u w:val="single"/>
              </w:rPr>
            </w:pPr>
            <w:r w:rsidRPr="00990FB6">
              <w:rPr>
                <w:sz w:val="22"/>
                <w:szCs w:val="22"/>
                <w:u w:val="single"/>
              </w:rPr>
              <w:t>240.000,00</w:t>
            </w:r>
          </w:p>
        </w:tc>
        <w:tc>
          <w:tcPr>
            <w:tcW w:w="511" w:type="pct"/>
            <w:noWrap/>
            <w:hideMark/>
          </w:tcPr>
          <w:p w14:paraId="3FC7BD7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CBB9AB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2BA304" w14:textId="77777777" w:rsidR="00B15F7D" w:rsidRPr="00990FB6" w:rsidRDefault="00B15F7D" w:rsidP="00F60AA2">
            <w:pPr>
              <w:rPr>
                <w:sz w:val="22"/>
                <w:szCs w:val="22"/>
                <w:u w:val="single"/>
              </w:rPr>
            </w:pPr>
            <w:r w:rsidRPr="00990FB6">
              <w:rPr>
                <w:sz w:val="22"/>
                <w:szCs w:val="22"/>
                <w:u w:val="single"/>
              </w:rPr>
              <w:t xml:space="preserve">No atención de </w:t>
            </w:r>
            <w:proofErr w:type="gramStart"/>
            <w:r w:rsidRPr="00990FB6">
              <w:rPr>
                <w:sz w:val="22"/>
                <w:szCs w:val="22"/>
                <w:u w:val="single"/>
              </w:rPr>
              <w:t>eventuales  recomendaciones</w:t>
            </w:r>
            <w:proofErr w:type="gramEnd"/>
            <w:r w:rsidRPr="00990FB6">
              <w:rPr>
                <w:sz w:val="22"/>
                <w:szCs w:val="22"/>
                <w:u w:val="single"/>
              </w:rPr>
              <w:t xml:space="preserve"> que brinde Salud Ocupacional para la mejora de condiciones de trabajo de </w:t>
            </w:r>
            <w:r w:rsidRPr="00990FB6">
              <w:rPr>
                <w:sz w:val="22"/>
                <w:szCs w:val="22"/>
                <w:u w:val="single"/>
              </w:rPr>
              <w:lastRenderedPageBreak/>
              <w:t xml:space="preserve">funcionarios del Ministerio Público. </w:t>
            </w:r>
          </w:p>
        </w:tc>
      </w:tr>
      <w:tr w:rsidR="00B15F7D" w:rsidRPr="00990FB6" w14:paraId="082BA10C" w14:textId="77777777" w:rsidTr="000A0C22">
        <w:trPr>
          <w:trHeight w:val="4060"/>
          <w:jc w:val="center"/>
        </w:trPr>
        <w:tc>
          <w:tcPr>
            <w:tcW w:w="583" w:type="pct"/>
            <w:hideMark/>
          </w:tcPr>
          <w:p w14:paraId="7B363381" w14:textId="77777777" w:rsidR="00B15F7D" w:rsidRPr="00990FB6" w:rsidRDefault="00B15F7D" w:rsidP="00B15F7D">
            <w:pPr>
              <w:rPr>
                <w:sz w:val="22"/>
                <w:szCs w:val="22"/>
                <w:u w:val="single"/>
              </w:rPr>
            </w:pPr>
            <w:r w:rsidRPr="00990FB6">
              <w:rPr>
                <w:sz w:val="22"/>
                <w:szCs w:val="22"/>
                <w:u w:val="single"/>
              </w:rPr>
              <w:lastRenderedPageBreak/>
              <w:t>10499</w:t>
            </w:r>
          </w:p>
        </w:tc>
        <w:tc>
          <w:tcPr>
            <w:tcW w:w="578" w:type="pct"/>
            <w:hideMark/>
          </w:tcPr>
          <w:p w14:paraId="6962CFB3" w14:textId="77777777" w:rsidR="00B15F7D" w:rsidRPr="00990FB6" w:rsidRDefault="00B15F7D" w:rsidP="00B15F7D">
            <w:pPr>
              <w:rPr>
                <w:sz w:val="22"/>
                <w:szCs w:val="22"/>
                <w:u w:val="single"/>
              </w:rPr>
            </w:pPr>
            <w:r w:rsidRPr="00990FB6">
              <w:rPr>
                <w:sz w:val="22"/>
                <w:szCs w:val="22"/>
                <w:u w:val="single"/>
              </w:rPr>
              <w:t>Otros servicios de gestión y apoyo</w:t>
            </w:r>
          </w:p>
        </w:tc>
        <w:tc>
          <w:tcPr>
            <w:tcW w:w="363" w:type="pct"/>
            <w:hideMark/>
          </w:tcPr>
          <w:p w14:paraId="0EC6FF5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05284</w:t>
            </w:r>
          </w:p>
        </w:tc>
        <w:tc>
          <w:tcPr>
            <w:tcW w:w="1045" w:type="pct"/>
            <w:hideMark/>
          </w:tcPr>
          <w:p w14:paraId="033E6302" w14:textId="77777777" w:rsidR="00B15F7D" w:rsidRPr="00990FB6" w:rsidRDefault="00B15F7D" w:rsidP="00B15F7D">
            <w:pPr>
              <w:rPr>
                <w:sz w:val="22"/>
                <w:szCs w:val="22"/>
                <w:u w:val="single"/>
              </w:rPr>
            </w:pPr>
            <w:r w:rsidRPr="00990FB6">
              <w:rPr>
                <w:sz w:val="22"/>
                <w:szCs w:val="22"/>
                <w:u w:val="single"/>
              </w:rPr>
              <w:t>PERITAJES</w:t>
            </w:r>
          </w:p>
        </w:tc>
        <w:tc>
          <w:tcPr>
            <w:tcW w:w="550" w:type="pct"/>
            <w:hideMark/>
          </w:tcPr>
          <w:p w14:paraId="0B68F243" w14:textId="77777777" w:rsidR="00B15F7D" w:rsidRPr="00990FB6" w:rsidRDefault="00B15F7D" w:rsidP="00B15F7D">
            <w:pPr>
              <w:rPr>
                <w:sz w:val="22"/>
                <w:szCs w:val="22"/>
                <w:u w:val="single"/>
              </w:rPr>
            </w:pPr>
            <w:r w:rsidRPr="00990FB6">
              <w:rPr>
                <w:sz w:val="22"/>
                <w:szCs w:val="22"/>
                <w:u w:val="single"/>
              </w:rPr>
              <w:t>14.192.126,00</w:t>
            </w:r>
          </w:p>
        </w:tc>
        <w:tc>
          <w:tcPr>
            <w:tcW w:w="511" w:type="pct"/>
            <w:hideMark/>
          </w:tcPr>
          <w:p w14:paraId="5422A01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F64D2E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9FC1E84" w14:textId="77777777" w:rsidR="00B15F7D" w:rsidRPr="00990FB6" w:rsidRDefault="00B15F7D" w:rsidP="00F60AA2">
            <w:pPr>
              <w:rPr>
                <w:sz w:val="22"/>
                <w:szCs w:val="22"/>
                <w:u w:val="single"/>
              </w:rPr>
            </w:pPr>
            <w:r w:rsidRPr="00990FB6">
              <w:rPr>
                <w:sz w:val="22"/>
                <w:szCs w:val="22"/>
                <w:u w:val="single"/>
              </w:rPr>
              <w:t xml:space="preserve">El rebajo de la subpartida no permitirá atender el pago de peritajes matemáticos, culturales, interconsultas y traducciones orales y documental que son necesarios para el buen desarrollo de los procesos de investigación que se lleva a cabo por parte del Ministerio Público. Los peritajes matemáticos son requeridos para la estimación del resarcimiento del daño sufridos por las víctimas. Los peritajes culturales son necesarios para explicar el comportamiento de los pueblos indígenas, sus costumbres, </w:t>
            </w:r>
            <w:r w:rsidRPr="00990FB6">
              <w:rPr>
                <w:sz w:val="22"/>
                <w:szCs w:val="22"/>
                <w:u w:val="single"/>
              </w:rPr>
              <w:lastRenderedPageBreak/>
              <w:t xml:space="preserve">tradiciones y conceptos normativos, para garantizar la protección y tutela de los derechos humanos de estas poblaciones, en procura de disminuir las brechas culturales dentro del proceso penal.  La Ley 9593 “Ley de Acceso a la Justicia de los Pueblos Indígenas en Costa Rica” y el Convenio 169 de la Organización Internacional del Trabajo (OIT), establece la obligatoriedad de los operadores del derecho a garantizar la protección de los derechos de la población indígena, por lo que no es posible omitir la </w:t>
            </w:r>
            <w:r w:rsidRPr="00990FB6">
              <w:rPr>
                <w:sz w:val="22"/>
                <w:szCs w:val="22"/>
                <w:u w:val="single"/>
              </w:rPr>
              <w:lastRenderedPageBreak/>
              <w:t>ejecución de estos. Por otra parte, las gestiones de traducciones orales y de documentos solicitados por las fiscalías son requeridos para presentarlos como pruebas en audiencias y juicios.</w:t>
            </w:r>
          </w:p>
        </w:tc>
      </w:tr>
      <w:tr w:rsidR="00B15F7D" w:rsidRPr="00990FB6" w14:paraId="1C9DA737" w14:textId="77777777" w:rsidTr="000A0C22">
        <w:trPr>
          <w:trHeight w:val="290"/>
          <w:jc w:val="center"/>
        </w:trPr>
        <w:tc>
          <w:tcPr>
            <w:tcW w:w="583" w:type="pct"/>
            <w:hideMark/>
          </w:tcPr>
          <w:p w14:paraId="0CCDFCD7" w14:textId="77777777" w:rsidR="00B15F7D" w:rsidRPr="00990FB6" w:rsidRDefault="00B15F7D" w:rsidP="00B15F7D">
            <w:pPr>
              <w:rPr>
                <w:sz w:val="22"/>
                <w:szCs w:val="22"/>
                <w:u w:val="single"/>
              </w:rPr>
            </w:pPr>
            <w:r w:rsidRPr="00990FB6">
              <w:rPr>
                <w:sz w:val="22"/>
                <w:szCs w:val="22"/>
                <w:u w:val="single"/>
              </w:rPr>
              <w:lastRenderedPageBreak/>
              <w:t>10499</w:t>
            </w:r>
          </w:p>
        </w:tc>
        <w:tc>
          <w:tcPr>
            <w:tcW w:w="578" w:type="pct"/>
            <w:hideMark/>
          </w:tcPr>
          <w:p w14:paraId="55696F6A" w14:textId="77777777" w:rsidR="00B15F7D" w:rsidRPr="00990FB6" w:rsidRDefault="00B15F7D" w:rsidP="00B15F7D">
            <w:pPr>
              <w:rPr>
                <w:sz w:val="22"/>
                <w:szCs w:val="22"/>
                <w:u w:val="single"/>
              </w:rPr>
            </w:pPr>
            <w:r w:rsidRPr="00990FB6">
              <w:rPr>
                <w:sz w:val="22"/>
                <w:szCs w:val="22"/>
                <w:u w:val="single"/>
              </w:rPr>
              <w:t>Otros servicios de gestión y apoyo</w:t>
            </w:r>
          </w:p>
        </w:tc>
        <w:tc>
          <w:tcPr>
            <w:tcW w:w="363" w:type="pct"/>
            <w:hideMark/>
          </w:tcPr>
          <w:p w14:paraId="48E40EE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05537</w:t>
            </w:r>
          </w:p>
        </w:tc>
        <w:tc>
          <w:tcPr>
            <w:tcW w:w="1045" w:type="pct"/>
            <w:hideMark/>
          </w:tcPr>
          <w:p w14:paraId="701C5BC7" w14:textId="77777777" w:rsidR="00B15F7D" w:rsidRPr="00990FB6" w:rsidRDefault="00B15F7D" w:rsidP="00B15F7D">
            <w:pPr>
              <w:rPr>
                <w:sz w:val="22"/>
                <w:szCs w:val="22"/>
                <w:u w:val="single"/>
              </w:rPr>
            </w:pPr>
            <w:r w:rsidRPr="00990FB6">
              <w:rPr>
                <w:sz w:val="22"/>
                <w:szCs w:val="22"/>
                <w:u w:val="single"/>
              </w:rPr>
              <w:t>SERVICIO ENMARCADO CUADROS</w:t>
            </w:r>
          </w:p>
        </w:tc>
        <w:tc>
          <w:tcPr>
            <w:tcW w:w="550" w:type="pct"/>
            <w:hideMark/>
          </w:tcPr>
          <w:p w14:paraId="0AF9D36A" w14:textId="77777777" w:rsidR="00B15F7D" w:rsidRPr="00990FB6" w:rsidRDefault="00B15F7D" w:rsidP="00B15F7D">
            <w:pPr>
              <w:rPr>
                <w:sz w:val="22"/>
                <w:szCs w:val="22"/>
                <w:u w:val="single"/>
              </w:rPr>
            </w:pPr>
            <w:r w:rsidRPr="00990FB6">
              <w:rPr>
                <w:sz w:val="22"/>
                <w:szCs w:val="22"/>
                <w:u w:val="single"/>
              </w:rPr>
              <w:t>68.600,00</w:t>
            </w:r>
          </w:p>
        </w:tc>
        <w:tc>
          <w:tcPr>
            <w:tcW w:w="511" w:type="pct"/>
            <w:noWrap/>
            <w:hideMark/>
          </w:tcPr>
          <w:p w14:paraId="2D302F3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C8F790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7225EDB" w14:textId="77777777" w:rsidR="00B15F7D" w:rsidRPr="00990FB6" w:rsidRDefault="00B15F7D" w:rsidP="00F60AA2">
            <w:pPr>
              <w:rPr>
                <w:sz w:val="22"/>
                <w:szCs w:val="22"/>
                <w:u w:val="single"/>
              </w:rPr>
            </w:pPr>
            <w:r w:rsidRPr="00990FB6">
              <w:rPr>
                <w:sz w:val="22"/>
                <w:szCs w:val="22"/>
                <w:u w:val="single"/>
              </w:rPr>
              <w:t> </w:t>
            </w:r>
          </w:p>
        </w:tc>
      </w:tr>
      <w:tr w:rsidR="00B15F7D" w:rsidRPr="00990FB6" w14:paraId="410173D3" w14:textId="77777777" w:rsidTr="000A0C22">
        <w:trPr>
          <w:trHeight w:val="580"/>
          <w:jc w:val="center"/>
        </w:trPr>
        <w:tc>
          <w:tcPr>
            <w:tcW w:w="583" w:type="pct"/>
            <w:hideMark/>
          </w:tcPr>
          <w:p w14:paraId="6724B089" w14:textId="77777777" w:rsidR="00B15F7D" w:rsidRPr="00990FB6" w:rsidRDefault="00B15F7D" w:rsidP="00B15F7D">
            <w:pPr>
              <w:rPr>
                <w:sz w:val="22"/>
                <w:szCs w:val="22"/>
                <w:u w:val="single"/>
              </w:rPr>
            </w:pPr>
            <w:r w:rsidRPr="00990FB6">
              <w:rPr>
                <w:sz w:val="22"/>
                <w:szCs w:val="22"/>
                <w:u w:val="single"/>
              </w:rPr>
              <w:t>10499</w:t>
            </w:r>
          </w:p>
        </w:tc>
        <w:tc>
          <w:tcPr>
            <w:tcW w:w="578" w:type="pct"/>
            <w:hideMark/>
          </w:tcPr>
          <w:p w14:paraId="05956385" w14:textId="77777777" w:rsidR="00B15F7D" w:rsidRPr="00990FB6" w:rsidRDefault="00B15F7D" w:rsidP="00B15F7D">
            <w:pPr>
              <w:rPr>
                <w:sz w:val="22"/>
                <w:szCs w:val="22"/>
                <w:u w:val="single"/>
              </w:rPr>
            </w:pPr>
            <w:r w:rsidRPr="00990FB6">
              <w:rPr>
                <w:sz w:val="22"/>
                <w:szCs w:val="22"/>
                <w:u w:val="single"/>
              </w:rPr>
              <w:t>Otros servicios de gestión y apoyo</w:t>
            </w:r>
          </w:p>
        </w:tc>
        <w:tc>
          <w:tcPr>
            <w:tcW w:w="363" w:type="pct"/>
            <w:hideMark/>
          </w:tcPr>
          <w:p w14:paraId="4F17A06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21414</w:t>
            </w:r>
          </w:p>
        </w:tc>
        <w:tc>
          <w:tcPr>
            <w:tcW w:w="1045" w:type="pct"/>
            <w:hideMark/>
          </w:tcPr>
          <w:p w14:paraId="5872A83A" w14:textId="77777777" w:rsidR="00B15F7D" w:rsidRPr="00990FB6" w:rsidRDefault="00B15F7D" w:rsidP="00B15F7D">
            <w:pPr>
              <w:rPr>
                <w:sz w:val="22"/>
                <w:szCs w:val="22"/>
                <w:u w:val="single"/>
              </w:rPr>
            </w:pPr>
            <w:r w:rsidRPr="00990FB6">
              <w:rPr>
                <w:sz w:val="22"/>
                <w:szCs w:val="22"/>
                <w:u w:val="single"/>
              </w:rPr>
              <w:t>SERVICIO DE DESTRUCCION DE BIENES DECOMISADOS</w:t>
            </w:r>
          </w:p>
        </w:tc>
        <w:tc>
          <w:tcPr>
            <w:tcW w:w="550" w:type="pct"/>
            <w:hideMark/>
          </w:tcPr>
          <w:p w14:paraId="41AC941C" w14:textId="77777777" w:rsidR="00B15F7D" w:rsidRPr="00990FB6" w:rsidRDefault="00B15F7D" w:rsidP="00B15F7D">
            <w:pPr>
              <w:rPr>
                <w:sz w:val="22"/>
                <w:szCs w:val="22"/>
                <w:u w:val="single"/>
              </w:rPr>
            </w:pPr>
            <w:r w:rsidRPr="00990FB6">
              <w:rPr>
                <w:sz w:val="22"/>
                <w:szCs w:val="22"/>
                <w:u w:val="single"/>
              </w:rPr>
              <w:t>108.470,00</w:t>
            </w:r>
          </w:p>
        </w:tc>
        <w:tc>
          <w:tcPr>
            <w:tcW w:w="511" w:type="pct"/>
            <w:noWrap/>
            <w:hideMark/>
          </w:tcPr>
          <w:p w14:paraId="14BAC44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C07891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8222566" w14:textId="77777777" w:rsidR="00B15F7D" w:rsidRPr="00990FB6" w:rsidRDefault="00B15F7D" w:rsidP="00F60AA2">
            <w:pPr>
              <w:rPr>
                <w:sz w:val="22"/>
                <w:szCs w:val="22"/>
                <w:u w:val="single"/>
              </w:rPr>
            </w:pPr>
            <w:r w:rsidRPr="00990FB6">
              <w:rPr>
                <w:sz w:val="22"/>
                <w:szCs w:val="22"/>
                <w:u w:val="single"/>
              </w:rPr>
              <w:t> </w:t>
            </w:r>
          </w:p>
        </w:tc>
      </w:tr>
      <w:tr w:rsidR="00B15F7D" w:rsidRPr="00990FB6" w14:paraId="75EC8272" w14:textId="77777777" w:rsidTr="000A0C22">
        <w:trPr>
          <w:trHeight w:val="4060"/>
          <w:jc w:val="center"/>
        </w:trPr>
        <w:tc>
          <w:tcPr>
            <w:tcW w:w="583" w:type="pct"/>
            <w:hideMark/>
          </w:tcPr>
          <w:p w14:paraId="6FC54136" w14:textId="77777777" w:rsidR="00B15F7D" w:rsidRPr="00990FB6" w:rsidRDefault="00B15F7D" w:rsidP="00B15F7D">
            <w:pPr>
              <w:rPr>
                <w:sz w:val="22"/>
                <w:szCs w:val="22"/>
                <w:u w:val="single"/>
              </w:rPr>
            </w:pPr>
            <w:r w:rsidRPr="00990FB6">
              <w:rPr>
                <w:sz w:val="22"/>
                <w:szCs w:val="22"/>
                <w:u w:val="single"/>
              </w:rPr>
              <w:t>10499</w:t>
            </w:r>
          </w:p>
        </w:tc>
        <w:tc>
          <w:tcPr>
            <w:tcW w:w="578" w:type="pct"/>
            <w:hideMark/>
          </w:tcPr>
          <w:p w14:paraId="7D63B378" w14:textId="77777777" w:rsidR="00B15F7D" w:rsidRPr="00990FB6" w:rsidRDefault="00B15F7D" w:rsidP="00B15F7D">
            <w:pPr>
              <w:rPr>
                <w:sz w:val="22"/>
                <w:szCs w:val="22"/>
                <w:u w:val="single"/>
              </w:rPr>
            </w:pPr>
            <w:r w:rsidRPr="00990FB6">
              <w:rPr>
                <w:sz w:val="22"/>
                <w:szCs w:val="22"/>
                <w:u w:val="single"/>
              </w:rPr>
              <w:t>Otros servicios de gestión y apoyo</w:t>
            </w:r>
          </w:p>
        </w:tc>
        <w:tc>
          <w:tcPr>
            <w:tcW w:w="363" w:type="pct"/>
            <w:hideMark/>
          </w:tcPr>
          <w:p w14:paraId="74E8F05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22717</w:t>
            </w:r>
          </w:p>
        </w:tc>
        <w:tc>
          <w:tcPr>
            <w:tcW w:w="1045" w:type="pct"/>
            <w:hideMark/>
          </w:tcPr>
          <w:p w14:paraId="2759FDAC" w14:textId="77777777" w:rsidR="00B15F7D" w:rsidRPr="00990FB6" w:rsidRDefault="00B15F7D" w:rsidP="00B15F7D">
            <w:pPr>
              <w:rPr>
                <w:sz w:val="22"/>
                <w:szCs w:val="22"/>
                <w:u w:val="single"/>
              </w:rPr>
            </w:pPr>
            <w:r w:rsidRPr="00990FB6">
              <w:rPr>
                <w:sz w:val="22"/>
                <w:szCs w:val="22"/>
                <w:u w:val="single"/>
              </w:rPr>
              <w:t>SERVICIO DE TRADUCCIONES</w:t>
            </w:r>
          </w:p>
        </w:tc>
        <w:tc>
          <w:tcPr>
            <w:tcW w:w="550" w:type="pct"/>
            <w:hideMark/>
          </w:tcPr>
          <w:p w14:paraId="426579E3" w14:textId="77777777" w:rsidR="00B15F7D" w:rsidRPr="00990FB6" w:rsidRDefault="00B15F7D" w:rsidP="00B15F7D">
            <w:pPr>
              <w:rPr>
                <w:sz w:val="22"/>
                <w:szCs w:val="22"/>
                <w:u w:val="single"/>
              </w:rPr>
            </w:pPr>
            <w:r w:rsidRPr="00990FB6">
              <w:rPr>
                <w:sz w:val="22"/>
                <w:szCs w:val="22"/>
                <w:u w:val="single"/>
              </w:rPr>
              <w:t>9.000.000,00</w:t>
            </w:r>
          </w:p>
        </w:tc>
        <w:tc>
          <w:tcPr>
            <w:tcW w:w="511" w:type="pct"/>
            <w:noWrap/>
            <w:hideMark/>
          </w:tcPr>
          <w:p w14:paraId="4A01E177"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533709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1723873" w14:textId="77777777" w:rsidR="00B15F7D" w:rsidRPr="00990FB6" w:rsidRDefault="00B15F7D" w:rsidP="00F60AA2">
            <w:pPr>
              <w:rPr>
                <w:sz w:val="22"/>
                <w:szCs w:val="22"/>
                <w:u w:val="single"/>
              </w:rPr>
            </w:pPr>
            <w:r w:rsidRPr="00990FB6">
              <w:rPr>
                <w:sz w:val="22"/>
                <w:szCs w:val="22"/>
                <w:u w:val="single"/>
              </w:rPr>
              <w:t xml:space="preserve">El rebajo de la subpartida no permitirá atender el pago de peritajes matemáticos, culturales, interconsultas y traducciones orales y documental que son necesarios para el buen desarrollo de los procesos de investigación </w:t>
            </w:r>
            <w:r w:rsidRPr="00990FB6">
              <w:rPr>
                <w:sz w:val="22"/>
                <w:szCs w:val="22"/>
                <w:u w:val="single"/>
              </w:rPr>
              <w:lastRenderedPageBreak/>
              <w:t xml:space="preserve">que se lleva a cabo por parte del Ministerio Público. Los peritajes matemáticos son requeridos para la estimación del resarcimiento del daño sufridos por las víctimas. Los peritajes culturales son necesarios para explicar el comportamiento de los pueblos indígenas, sus costumbres, tradiciones y conceptos normativos, para garantizar la protección y tutela de los derechos humanos de estas poblaciones, en procura de disminuir las brechas culturales dentro del proceso penal.  La Ley 9593 “Ley de Acceso a la Justicia de </w:t>
            </w:r>
            <w:r w:rsidRPr="00990FB6">
              <w:rPr>
                <w:sz w:val="22"/>
                <w:szCs w:val="22"/>
                <w:u w:val="single"/>
              </w:rPr>
              <w:lastRenderedPageBreak/>
              <w:t>los Pueblos Indígenas en Costa Rica” y el Convenio 169 de la Organización Internacional del Trabajo (OIT), establece la obligatoriedad de los operadores del derecho a garantizar la protección de los derechos de la población indígena, por lo que no es posible omitir la ejecución de estos. Por otra parte, las gestiones de traducciones orales y de documentos solicitados por las fiscalías son requeridos para presentarlos como pruebas en audiencias y juicios.</w:t>
            </w:r>
          </w:p>
        </w:tc>
      </w:tr>
      <w:tr w:rsidR="00B15F7D" w:rsidRPr="00990FB6" w14:paraId="2E9FB6FD" w14:textId="77777777" w:rsidTr="000A0C22">
        <w:trPr>
          <w:trHeight w:val="3770"/>
          <w:jc w:val="center"/>
        </w:trPr>
        <w:tc>
          <w:tcPr>
            <w:tcW w:w="583" w:type="pct"/>
            <w:hideMark/>
          </w:tcPr>
          <w:p w14:paraId="0D55341F" w14:textId="77777777" w:rsidR="00B15F7D" w:rsidRPr="00990FB6" w:rsidRDefault="00B15F7D" w:rsidP="00B15F7D">
            <w:pPr>
              <w:rPr>
                <w:sz w:val="22"/>
                <w:szCs w:val="22"/>
                <w:u w:val="single"/>
              </w:rPr>
            </w:pPr>
            <w:r w:rsidRPr="00990FB6">
              <w:rPr>
                <w:sz w:val="22"/>
                <w:szCs w:val="22"/>
                <w:u w:val="single"/>
              </w:rPr>
              <w:lastRenderedPageBreak/>
              <w:t>10501</w:t>
            </w:r>
          </w:p>
        </w:tc>
        <w:tc>
          <w:tcPr>
            <w:tcW w:w="578" w:type="pct"/>
            <w:hideMark/>
          </w:tcPr>
          <w:p w14:paraId="18BD4189" w14:textId="77777777" w:rsidR="00B15F7D" w:rsidRPr="00990FB6" w:rsidRDefault="00B15F7D" w:rsidP="00B15F7D">
            <w:pPr>
              <w:rPr>
                <w:sz w:val="22"/>
                <w:szCs w:val="22"/>
                <w:u w:val="single"/>
              </w:rPr>
            </w:pPr>
            <w:r w:rsidRPr="00990FB6">
              <w:rPr>
                <w:sz w:val="22"/>
                <w:szCs w:val="22"/>
                <w:u w:val="single"/>
              </w:rPr>
              <w:t>Transporte dentro del país</w:t>
            </w:r>
          </w:p>
        </w:tc>
        <w:tc>
          <w:tcPr>
            <w:tcW w:w="363" w:type="pct"/>
            <w:hideMark/>
          </w:tcPr>
          <w:p w14:paraId="2F87E80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05719</w:t>
            </w:r>
          </w:p>
        </w:tc>
        <w:tc>
          <w:tcPr>
            <w:tcW w:w="1045" w:type="pct"/>
            <w:hideMark/>
          </w:tcPr>
          <w:p w14:paraId="0BDE3F46" w14:textId="77777777" w:rsidR="00B15F7D" w:rsidRPr="00990FB6" w:rsidRDefault="00B15F7D" w:rsidP="00B15F7D">
            <w:pPr>
              <w:rPr>
                <w:sz w:val="22"/>
                <w:szCs w:val="22"/>
                <w:u w:val="single"/>
              </w:rPr>
            </w:pPr>
            <w:r w:rsidRPr="00990FB6">
              <w:rPr>
                <w:sz w:val="22"/>
                <w:szCs w:val="22"/>
                <w:u w:val="single"/>
              </w:rPr>
              <w:t>TRANSPORTE DENTRO DEL PAIS</w:t>
            </w:r>
          </w:p>
        </w:tc>
        <w:tc>
          <w:tcPr>
            <w:tcW w:w="550" w:type="pct"/>
            <w:hideMark/>
          </w:tcPr>
          <w:p w14:paraId="682E2044" w14:textId="77777777" w:rsidR="00B15F7D" w:rsidRPr="00990FB6" w:rsidRDefault="00B15F7D" w:rsidP="00B15F7D">
            <w:pPr>
              <w:rPr>
                <w:sz w:val="22"/>
                <w:szCs w:val="22"/>
                <w:u w:val="single"/>
              </w:rPr>
            </w:pPr>
            <w:r w:rsidRPr="00990FB6">
              <w:rPr>
                <w:sz w:val="22"/>
                <w:szCs w:val="22"/>
                <w:u w:val="single"/>
              </w:rPr>
              <w:t>3.000.000,00</w:t>
            </w:r>
          </w:p>
        </w:tc>
        <w:tc>
          <w:tcPr>
            <w:tcW w:w="511" w:type="pct"/>
            <w:hideMark/>
          </w:tcPr>
          <w:p w14:paraId="4C98C79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C2EB5F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7089096" w14:textId="77777777" w:rsidR="00B15F7D" w:rsidRPr="00990FB6" w:rsidRDefault="00B15F7D" w:rsidP="00F60AA2">
            <w:pPr>
              <w:rPr>
                <w:sz w:val="22"/>
                <w:szCs w:val="22"/>
                <w:u w:val="single"/>
              </w:rPr>
            </w:pPr>
            <w:r w:rsidRPr="00990FB6">
              <w:rPr>
                <w:sz w:val="22"/>
                <w:szCs w:val="22"/>
                <w:u w:val="single"/>
              </w:rPr>
              <w:t xml:space="preserve">De no contar con estos recursos no será posible que los funcionarios se trasladen a diferentes zonas del país para atender juicios, audiencias, allanamientos, inspecciones in situ, visitas a zonas indígenas, otros, que son indispensables para el desarrollo de los procesos de investigación que realiza el Ministerio Público y la prestación del servicio a la ciudadanía. Asimismo, un rebajo en esta sub partida no nos permitirá contar con los medios para brindar el apoyo económico y cubrir gastos de alimentación, hospedaje y transporte para ofendidos, </w:t>
            </w:r>
            <w:r w:rsidRPr="00990FB6">
              <w:rPr>
                <w:sz w:val="22"/>
                <w:szCs w:val="22"/>
                <w:u w:val="single"/>
              </w:rPr>
              <w:lastRenderedPageBreak/>
              <w:t xml:space="preserve">testigos y menores infractores de edad que forman parte de los procesos de investigación, y que deben realizar diferentes diligencias judiciales, que por su condición económica no cuentan con los medios para sufragar estos gastos. Según el proyecto de gastos efectuado con base en la ejecución de presupuesto 2022 se estima un faltante de recursos para atender las gestiones de liquidación de gastos de transporte del último trimestre del año, con la consecuente afectación de los procesos de investigación que lleva a cabo </w:t>
            </w:r>
            <w:r w:rsidRPr="00990FB6">
              <w:rPr>
                <w:sz w:val="22"/>
                <w:szCs w:val="22"/>
                <w:u w:val="single"/>
              </w:rPr>
              <w:lastRenderedPageBreak/>
              <w:t xml:space="preserve">el Ministerio Público. </w:t>
            </w:r>
          </w:p>
        </w:tc>
      </w:tr>
      <w:tr w:rsidR="00B15F7D" w:rsidRPr="00990FB6" w14:paraId="3561C057" w14:textId="77777777" w:rsidTr="000A0C22">
        <w:trPr>
          <w:trHeight w:val="2900"/>
          <w:jc w:val="center"/>
        </w:trPr>
        <w:tc>
          <w:tcPr>
            <w:tcW w:w="583" w:type="pct"/>
            <w:hideMark/>
          </w:tcPr>
          <w:p w14:paraId="403BE259" w14:textId="77777777" w:rsidR="00B15F7D" w:rsidRPr="00990FB6" w:rsidRDefault="00B15F7D" w:rsidP="00B15F7D">
            <w:pPr>
              <w:rPr>
                <w:sz w:val="22"/>
                <w:szCs w:val="22"/>
                <w:u w:val="single"/>
              </w:rPr>
            </w:pPr>
            <w:r w:rsidRPr="00990FB6">
              <w:rPr>
                <w:sz w:val="22"/>
                <w:szCs w:val="22"/>
                <w:u w:val="single"/>
              </w:rPr>
              <w:lastRenderedPageBreak/>
              <w:t>10502</w:t>
            </w:r>
          </w:p>
        </w:tc>
        <w:tc>
          <w:tcPr>
            <w:tcW w:w="578" w:type="pct"/>
            <w:hideMark/>
          </w:tcPr>
          <w:p w14:paraId="54675363" w14:textId="77777777" w:rsidR="00B15F7D" w:rsidRPr="00990FB6" w:rsidRDefault="00B15F7D" w:rsidP="00B15F7D">
            <w:pPr>
              <w:rPr>
                <w:sz w:val="22"/>
                <w:szCs w:val="22"/>
                <w:u w:val="single"/>
              </w:rPr>
            </w:pPr>
            <w:r w:rsidRPr="00990FB6">
              <w:rPr>
                <w:sz w:val="22"/>
                <w:szCs w:val="22"/>
                <w:u w:val="single"/>
              </w:rPr>
              <w:t>Viáticos dentro del país</w:t>
            </w:r>
          </w:p>
        </w:tc>
        <w:tc>
          <w:tcPr>
            <w:tcW w:w="363" w:type="pct"/>
            <w:hideMark/>
          </w:tcPr>
          <w:p w14:paraId="1AF6DBC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06461</w:t>
            </w:r>
          </w:p>
        </w:tc>
        <w:tc>
          <w:tcPr>
            <w:tcW w:w="1045" w:type="pct"/>
            <w:hideMark/>
          </w:tcPr>
          <w:p w14:paraId="0B5925FA" w14:textId="77777777" w:rsidR="00B15F7D" w:rsidRPr="00990FB6" w:rsidRDefault="00B15F7D" w:rsidP="00B15F7D">
            <w:pPr>
              <w:rPr>
                <w:sz w:val="22"/>
                <w:szCs w:val="22"/>
                <w:u w:val="single"/>
              </w:rPr>
            </w:pPr>
            <w:r w:rsidRPr="00990FB6">
              <w:rPr>
                <w:sz w:val="22"/>
                <w:szCs w:val="22"/>
                <w:u w:val="single"/>
              </w:rPr>
              <w:t>AYUDA ECONOMICA A TESTIGOS</w:t>
            </w:r>
          </w:p>
        </w:tc>
        <w:tc>
          <w:tcPr>
            <w:tcW w:w="550" w:type="pct"/>
            <w:hideMark/>
          </w:tcPr>
          <w:p w14:paraId="76129766" w14:textId="77777777" w:rsidR="00B15F7D" w:rsidRPr="00990FB6" w:rsidRDefault="00B15F7D" w:rsidP="00B15F7D">
            <w:pPr>
              <w:rPr>
                <w:sz w:val="22"/>
                <w:szCs w:val="22"/>
                <w:u w:val="single"/>
              </w:rPr>
            </w:pPr>
            <w:r w:rsidRPr="00990FB6">
              <w:rPr>
                <w:sz w:val="22"/>
                <w:szCs w:val="22"/>
                <w:u w:val="single"/>
              </w:rPr>
              <w:t>6.000.000,00</w:t>
            </w:r>
          </w:p>
        </w:tc>
        <w:tc>
          <w:tcPr>
            <w:tcW w:w="511" w:type="pct"/>
            <w:hideMark/>
          </w:tcPr>
          <w:p w14:paraId="42470B0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A7E156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2071949" w14:textId="77777777" w:rsidR="00B15F7D" w:rsidRPr="00990FB6" w:rsidRDefault="00B15F7D" w:rsidP="00F60AA2">
            <w:pPr>
              <w:rPr>
                <w:sz w:val="22"/>
                <w:szCs w:val="22"/>
                <w:u w:val="single"/>
              </w:rPr>
            </w:pPr>
            <w:r w:rsidRPr="00990FB6">
              <w:rPr>
                <w:sz w:val="22"/>
                <w:szCs w:val="22"/>
                <w:u w:val="single"/>
              </w:rPr>
              <w:t xml:space="preserve">De no contar con estos recursos no será posible que los funcionarios se trasladen a diferentes zonas del país para atender juicios, audiencias, allanamientos, inspecciones in situ, visitas a zonas indígenas, otros, que son indispensables para el desarrollo de los procesos de investigación que realiza el Ministerio Público y la prestación del </w:t>
            </w:r>
            <w:r w:rsidRPr="00990FB6">
              <w:rPr>
                <w:sz w:val="22"/>
                <w:szCs w:val="22"/>
                <w:u w:val="single"/>
              </w:rPr>
              <w:lastRenderedPageBreak/>
              <w:t>servicio a la ciudadanía. Asimismo, un rebajo en esta sub partida no nos permitirá contar con los medios para brindar el apoyo económico y cubrir gastos de alimentación, hospedaje y transporte para ofendidos, testigos y menores infractores de edad que forman parte de los procesos de investigación, y que deben realizar diferentes diligencias judiciales, que por su condición económica no cuentan con los medios para sufragar estos gastos. Lo cual se traduce en mala imagen institucional.</w:t>
            </w:r>
          </w:p>
        </w:tc>
      </w:tr>
      <w:tr w:rsidR="00B15F7D" w:rsidRPr="00990FB6" w14:paraId="4AAB73ED" w14:textId="77777777" w:rsidTr="000A0C22">
        <w:trPr>
          <w:trHeight w:val="2900"/>
          <w:jc w:val="center"/>
        </w:trPr>
        <w:tc>
          <w:tcPr>
            <w:tcW w:w="583" w:type="pct"/>
            <w:hideMark/>
          </w:tcPr>
          <w:p w14:paraId="021C93A4" w14:textId="77777777" w:rsidR="00B15F7D" w:rsidRPr="00990FB6" w:rsidRDefault="00B15F7D" w:rsidP="00B15F7D">
            <w:pPr>
              <w:rPr>
                <w:sz w:val="22"/>
                <w:szCs w:val="22"/>
                <w:u w:val="single"/>
              </w:rPr>
            </w:pPr>
            <w:r w:rsidRPr="00990FB6">
              <w:rPr>
                <w:sz w:val="22"/>
                <w:szCs w:val="22"/>
                <w:u w:val="single"/>
              </w:rPr>
              <w:lastRenderedPageBreak/>
              <w:t>10502</w:t>
            </w:r>
          </w:p>
        </w:tc>
        <w:tc>
          <w:tcPr>
            <w:tcW w:w="578" w:type="pct"/>
            <w:hideMark/>
          </w:tcPr>
          <w:p w14:paraId="1D589960" w14:textId="77777777" w:rsidR="00B15F7D" w:rsidRPr="00990FB6" w:rsidRDefault="00B15F7D" w:rsidP="00B15F7D">
            <w:pPr>
              <w:rPr>
                <w:sz w:val="22"/>
                <w:szCs w:val="22"/>
                <w:u w:val="single"/>
              </w:rPr>
            </w:pPr>
            <w:r w:rsidRPr="00990FB6">
              <w:rPr>
                <w:sz w:val="22"/>
                <w:szCs w:val="22"/>
                <w:u w:val="single"/>
              </w:rPr>
              <w:t>Viáticos dentro del país</w:t>
            </w:r>
          </w:p>
        </w:tc>
        <w:tc>
          <w:tcPr>
            <w:tcW w:w="363" w:type="pct"/>
            <w:hideMark/>
          </w:tcPr>
          <w:p w14:paraId="6B00C47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19622</w:t>
            </w:r>
          </w:p>
        </w:tc>
        <w:tc>
          <w:tcPr>
            <w:tcW w:w="1045" w:type="pct"/>
            <w:hideMark/>
          </w:tcPr>
          <w:p w14:paraId="177D790C" w14:textId="77777777" w:rsidR="00B15F7D" w:rsidRPr="00990FB6" w:rsidRDefault="00B15F7D" w:rsidP="00B15F7D">
            <w:pPr>
              <w:rPr>
                <w:sz w:val="22"/>
                <w:szCs w:val="22"/>
                <w:u w:val="single"/>
              </w:rPr>
            </w:pPr>
            <w:r w:rsidRPr="00990FB6">
              <w:rPr>
                <w:sz w:val="22"/>
                <w:szCs w:val="22"/>
                <w:u w:val="single"/>
              </w:rPr>
              <w:t>VIATICOS PARA EMPLEADOS</w:t>
            </w:r>
          </w:p>
        </w:tc>
        <w:tc>
          <w:tcPr>
            <w:tcW w:w="550" w:type="pct"/>
            <w:hideMark/>
          </w:tcPr>
          <w:p w14:paraId="43999235" w14:textId="77777777" w:rsidR="00B15F7D" w:rsidRPr="00990FB6" w:rsidRDefault="00B15F7D" w:rsidP="00B15F7D">
            <w:pPr>
              <w:rPr>
                <w:sz w:val="22"/>
                <w:szCs w:val="22"/>
                <w:u w:val="single"/>
              </w:rPr>
            </w:pPr>
            <w:r w:rsidRPr="00990FB6">
              <w:rPr>
                <w:sz w:val="22"/>
                <w:szCs w:val="22"/>
                <w:u w:val="single"/>
              </w:rPr>
              <w:t>20.000.000,00</w:t>
            </w:r>
          </w:p>
        </w:tc>
        <w:tc>
          <w:tcPr>
            <w:tcW w:w="511" w:type="pct"/>
            <w:hideMark/>
          </w:tcPr>
          <w:p w14:paraId="758AD4B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A0F6C0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CB08356" w14:textId="77777777" w:rsidR="00B15F7D" w:rsidRPr="00990FB6" w:rsidRDefault="00B15F7D" w:rsidP="00F60AA2">
            <w:pPr>
              <w:rPr>
                <w:sz w:val="22"/>
                <w:szCs w:val="22"/>
                <w:u w:val="single"/>
              </w:rPr>
            </w:pPr>
            <w:r w:rsidRPr="00990FB6">
              <w:rPr>
                <w:sz w:val="22"/>
                <w:szCs w:val="22"/>
                <w:u w:val="single"/>
              </w:rPr>
              <w:t xml:space="preserve">De no contar con estos recursos no será posible que los funcionarios se trasladen a diferentes zonas del país para atender juicios, audiencias, allanamientos, inspecciones in situ, visitas a zonas indígenas, otros, que son indispensables para el desarrollo de los procesos de investigación que realiza el Ministerio Público y la prestación del servicio a la ciudadanía. Asimismo, un rebajo en esta sub partida no nos permitirá contar con los medios para brindar el apoyo económico y cubrir gastos de alimentación, hospedaje y transporte para ofendidos, </w:t>
            </w:r>
            <w:r w:rsidRPr="00990FB6">
              <w:rPr>
                <w:sz w:val="22"/>
                <w:szCs w:val="22"/>
                <w:u w:val="single"/>
              </w:rPr>
              <w:lastRenderedPageBreak/>
              <w:t xml:space="preserve">testigos y menores infractores de edad que forman parte de los procesos de investigación, y que deben realizar diferentes diligencias judiciales, que por su condición económica no cuentan con los medios para sufragar estos gastos. Lo cual se traduce en mala imagen institucional. </w:t>
            </w:r>
          </w:p>
        </w:tc>
      </w:tr>
      <w:tr w:rsidR="00B15F7D" w:rsidRPr="00990FB6" w14:paraId="1BD004A2" w14:textId="77777777" w:rsidTr="000A0C22">
        <w:trPr>
          <w:trHeight w:val="1450"/>
          <w:jc w:val="center"/>
        </w:trPr>
        <w:tc>
          <w:tcPr>
            <w:tcW w:w="583" w:type="pct"/>
            <w:hideMark/>
          </w:tcPr>
          <w:p w14:paraId="2E8B2457" w14:textId="77777777" w:rsidR="00B15F7D" w:rsidRPr="00990FB6" w:rsidRDefault="00B15F7D" w:rsidP="00B15F7D">
            <w:pPr>
              <w:rPr>
                <w:sz w:val="22"/>
                <w:szCs w:val="22"/>
                <w:u w:val="single"/>
              </w:rPr>
            </w:pPr>
            <w:r w:rsidRPr="00990FB6">
              <w:rPr>
                <w:sz w:val="22"/>
                <w:szCs w:val="22"/>
                <w:u w:val="single"/>
              </w:rPr>
              <w:lastRenderedPageBreak/>
              <w:t>10503</w:t>
            </w:r>
          </w:p>
        </w:tc>
        <w:tc>
          <w:tcPr>
            <w:tcW w:w="578" w:type="pct"/>
            <w:hideMark/>
          </w:tcPr>
          <w:p w14:paraId="2AFDDDE5" w14:textId="77777777" w:rsidR="00B15F7D" w:rsidRPr="00990FB6" w:rsidRDefault="00B15F7D" w:rsidP="00B15F7D">
            <w:pPr>
              <w:rPr>
                <w:sz w:val="22"/>
                <w:szCs w:val="22"/>
                <w:u w:val="single"/>
              </w:rPr>
            </w:pPr>
            <w:r w:rsidRPr="00990FB6">
              <w:rPr>
                <w:sz w:val="22"/>
                <w:szCs w:val="22"/>
                <w:u w:val="single"/>
              </w:rPr>
              <w:t>Transporte en el exterior</w:t>
            </w:r>
          </w:p>
        </w:tc>
        <w:tc>
          <w:tcPr>
            <w:tcW w:w="363" w:type="pct"/>
            <w:hideMark/>
          </w:tcPr>
          <w:p w14:paraId="68366E2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06495</w:t>
            </w:r>
          </w:p>
        </w:tc>
        <w:tc>
          <w:tcPr>
            <w:tcW w:w="1045" w:type="pct"/>
            <w:hideMark/>
          </w:tcPr>
          <w:p w14:paraId="0B2DF2AB" w14:textId="77777777" w:rsidR="00B15F7D" w:rsidRPr="00990FB6" w:rsidRDefault="00B15F7D" w:rsidP="00B15F7D">
            <w:pPr>
              <w:rPr>
                <w:sz w:val="22"/>
                <w:szCs w:val="22"/>
                <w:u w:val="single"/>
              </w:rPr>
            </w:pPr>
            <w:r w:rsidRPr="00990FB6">
              <w:rPr>
                <w:sz w:val="22"/>
                <w:szCs w:val="22"/>
                <w:u w:val="single"/>
              </w:rPr>
              <w:t>TRANSPORTE P/EXTERIOR</w:t>
            </w:r>
          </w:p>
        </w:tc>
        <w:tc>
          <w:tcPr>
            <w:tcW w:w="550" w:type="pct"/>
            <w:hideMark/>
          </w:tcPr>
          <w:p w14:paraId="7CC34BAE" w14:textId="77777777" w:rsidR="00B15F7D" w:rsidRPr="00990FB6" w:rsidRDefault="00B15F7D" w:rsidP="00B15F7D">
            <w:pPr>
              <w:rPr>
                <w:sz w:val="22"/>
                <w:szCs w:val="22"/>
                <w:u w:val="single"/>
              </w:rPr>
            </w:pPr>
            <w:r w:rsidRPr="00990FB6">
              <w:rPr>
                <w:sz w:val="22"/>
                <w:szCs w:val="22"/>
                <w:u w:val="single"/>
              </w:rPr>
              <w:t>5.150.000,00</w:t>
            </w:r>
          </w:p>
        </w:tc>
        <w:tc>
          <w:tcPr>
            <w:tcW w:w="511" w:type="pct"/>
            <w:hideMark/>
          </w:tcPr>
          <w:p w14:paraId="6B3B4FF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D76A29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B489D87" w14:textId="77777777" w:rsidR="00B15F7D" w:rsidRPr="00990FB6" w:rsidRDefault="00B15F7D" w:rsidP="00F60AA2">
            <w:pPr>
              <w:rPr>
                <w:sz w:val="22"/>
                <w:szCs w:val="22"/>
                <w:u w:val="single"/>
              </w:rPr>
            </w:pPr>
            <w:r w:rsidRPr="00990FB6">
              <w:rPr>
                <w:sz w:val="22"/>
                <w:szCs w:val="22"/>
                <w:u w:val="single"/>
              </w:rPr>
              <w:t xml:space="preserve">El recorte de presupuesto en las </w:t>
            </w:r>
            <w:proofErr w:type="gramStart"/>
            <w:r w:rsidRPr="00990FB6">
              <w:rPr>
                <w:sz w:val="22"/>
                <w:szCs w:val="22"/>
                <w:u w:val="single"/>
              </w:rPr>
              <w:t>sub partidas</w:t>
            </w:r>
            <w:proofErr w:type="gramEnd"/>
            <w:r w:rsidRPr="00990FB6">
              <w:rPr>
                <w:sz w:val="22"/>
                <w:szCs w:val="22"/>
                <w:u w:val="single"/>
              </w:rPr>
              <w:t xml:space="preserve"> 10503 y 10504 no permitirá a la Fiscalía General cumplir con los compromisos internacionales ante la Asociación Internacional de Ministerios Públicos, así como la participación de personal del Ministerio </w:t>
            </w:r>
            <w:r w:rsidRPr="00990FB6">
              <w:rPr>
                <w:sz w:val="22"/>
                <w:szCs w:val="22"/>
                <w:u w:val="single"/>
              </w:rPr>
              <w:lastRenderedPageBreak/>
              <w:t>Público en actividades de interés para la mejora de los procesos de investigación que se desarrollan en el país.</w:t>
            </w:r>
          </w:p>
        </w:tc>
      </w:tr>
      <w:tr w:rsidR="00B15F7D" w:rsidRPr="00990FB6" w14:paraId="2458EFD1" w14:textId="77777777" w:rsidTr="000A0C22">
        <w:trPr>
          <w:trHeight w:val="1450"/>
          <w:jc w:val="center"/>
        </w:trPr>
        <w:tc>
          <w:tcPr>
            <w:tcW w:w="583" w:type="pct"/>
            <w:hideMark/>
          </w:tcPr>
          <w:p w14:paraId="164E845C" w14:textId="77777777" w:rsidR="00B15F7D" w:rsidRPr="00990FB6" w:rsidRDefault="00B15F7D" w:rsidP="00B15F7D">
            <w:pPr>
              <w:rPr>
                <w:sz w:val="22"/>
                <w:szCs w:val="22"/>
                <w:u w:val="single"/>
              </w:rPr>
            </w:pPr>
            <w:r w:rsidRPr="00990FB6">
              <w:rPr>
                <w:sz w:val="22"/>
                <w:szCs w:val="22"/>
                <w:u w:val="single"/>
              </w:rPr>
              <w:lastRenderedPageBreak/>
              <w:t>10504</w:t>
            </w:r>
          </w:p>
        </w:tc>
        <w:tc>
          <w:tcPr>
            <w:tcW w:w="578" w:type="pct"/>
            <w:hideMark/>
          </w:tcPr>
          <w:p w14:paraId="5D38782A" w14:textId="77777777" w:rsidR="00B15F7D" w:rsidRPr="00990FB6" w:rsidRDefault="00B15F7D" w:rsidP="00B15F7D">
            <w:pPr>
              <w:rPr>
                <w:sz w:val="22"/>
                <w:szCs w:val="22"/>
                <w:u w:val="single"/>
              </w:rPr>
            </w:pPr>
            <w:r w:rsidRPr="00990FB6">
              <w:rPr>
                <w:sz w:val="22"/>
                <w:szCs w:val="22"/>
                <w:u w:val="single"/>
              </w:rPr>
              <w:t>Viáticos en el exterior</w:t>
            </w:r>
          </w:p>
        </w:tc>
        <w:tc>
          <w:tcPr>
            <w:tcW w:w="363" w:type="pct"/>
            <w:hideMark/>
          </w:tcPr>
          <w:p w14:paraId="5A66CCA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19961</w:t>
            </w:r>
          </w:p>
        </w:tc>
        <w:tc>
          <w:tcPr>
            <w:tcW w:w="1045" w:type="pct"/>
            <w:hideMark/>
          </w:tcPr>
          <w:p w14:paraId="34C71EDB" w14:textId="77777777" w:rsidR="00B15F7D" w:rsidRPr="00990FB6" w:rsidRDefault="00B15F7D" w:rsidP="00B15F7D">
            <w:pPr>
              <w:rPr>
                <w:sz w:val="22"/>
                <w:szCs w:val="22"/>
                <w:u w:val="single"/>
              </w:rPr>
            </w:pPr>
            <w:r w:rsidRPr="00990FB6">
              <w:rPr>
                <w:sz w:val="22"/>
                <w:szCs w:val="22"/>
                <w:u w:val="single"/>
              </w:rPr>
              <w:t>VIATICOS EN EL EXTERIOR</w:t>
            </w:r>
          </w:p>
        </w:tc>
        <w:tc>
          <w:tcPr>
            <w:tcW w:w="550" w:type="pct"/>
            <w:hideMark/>
          </w:tcPr>
          <w:p w14:paraId="55F783C2" w14:textId="77777777" w:rsidR="00B15F7D" w:rsidRPr="00990FB6" w:rsidRDefault="00B15F7D" w:rsidP="00B15F7D">
            <w:pPr>
              <w:rPr>
                <w:sz w:val="22"/>
                <w:szCs w:val="22"/>
                <w:u w:val="single"/>
              </w:rPr>
            </w:pPr>
            <w:r w:rsidRPr="00990FB6">
              <w:rPr>
                <w:sz w:val="22"/>
                <w:szCs w:val="22"/>
                <w:u w:val="single"/>
              </w:rPr>
              <w:t>5.150.000,00</w:t>
            </w:r>
          </w:p>
        </w:tc>
        <w:tc>
          <w:tcPr>
            <w:tcW w:w="511" w:type="pct"/>
            <w:hideMark/>
          </w:tcPr>
          <w:p w14:paraId="13869F4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E98BBD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46BBDB1" w14:textId="77777777" w:rsidR="00B15F7D" w:rsidRPr="00990FB6" w:rsidRDefault="00B15F7D" w:rsidP="00F60AA2">
            <w:pPr>
              <w:rPr>
                <w:sz w:val="22"/>
                <w:szCs w:val="22"/>
                <w:u w:val="single"/>
              </w:rPr>
            </w:pPr>
            <w:r w:rsidRPr="00990FB6">
              <w:rPr>
                <w:sz w:val="22"/>
                <w:szCs w:val="22"/>
                <w:u w:val="single"/>
              </w:rPr>
              <w:t xml:space="preserve">El recorte de presupuesto en las </w:t>
            </w:r>
            <w:proofErr w:type="gramStart"/>
            <w:r w:rsidRPr="00990FB6">
              <w:rPr>
                <w:sz w:val="22"/>
                <w:szCs w:val="22"/>
                <w:u w:val="single"/>
              </w:rPr>
              <w:t>sub partidas</w:t>
            </w:r>
            <w:proofErr w:type="gramEnd"/>
            <w:r w:rsidRPr="00990FB6">
              <w:rPr>
                <w:sz w:val="22"/>
                <w:szCs w:val="22"/>
                <w:u w:val="single"/>
              </w:rPr>
              <w:t xml:space="preserve"> 10503 y 10504 no permitirá a la Fiscalía General cumplir con los compromisos internacionales ante la Asociación Internacional de Ministerios Públicos, así como la participación de personal del Ministerio Público en actividades de interés para la mejora de los procesos de investigación que se desarrollan en el país.</w:t>
            </w:r>
          </w:p>
        </w:tc>
      </w:tr>
      <w:tr w:rsidR="00B15F7D" w:rsidRPr="00990FB6" w14:paraId="4E0454A8" w14:textId="77777777" w:rsidTr="000A0C22">
        <w:trPr>
          <w:trHeight w:val="960"/>
          <w:jc w:val="center"/>
        </w:trPr>
        <w:tc>
          <w:tcPr>
            <w:tcW w:w="583" w:type="pct"/>
            <w:hideMark/>
          </w:tcPr>
          <w:p w14:paraId="02F4E777" w14:textId="77777777" w:rsidR="00B15F7D" w:rsidRPr="00990FB6" w:rsidRDefault="00B15F7D" w:rsidP="00B15F7D">
            <w:pPr>
              <w:rPr>
                <w:sz w:val="22"/>
                <w:szCs w:val="22"/>
                <w:u w:val="single"/>
              </w:rPr>
            </w:pPr>
            <w:r w:rsidRPr="00990FB6">
              <w:rPr>
                <w:sz w:val="22"/>
                <w:szCs w:val="22"/>
                <w:u w:val="single"/>
              </w:rPr>
              <w:t>10701</w:t>
            </w:r>
          </w:p>
        </w:tc>
        <w:tc>
          <w:tcPr>
            <w:tcW w:w="578" w:type="pct"/>
            <w:hideMark/>
          </w:tcPr>
          <w:p w14:paraId="08607F19" w14:textId="77777777" w:rsidR="00B15F7D" w:rsidRPr="00990FB6" w:rsidRDefault="00B15F7D" w:rsidP="00B15F7D">
            <w:pPr>
              <w:rPr>
                <w:sz w:val="22"/>
                <w:szCs w:val="22"/>
                <w:u w:val="single"/>
              </w:rPr>
            </w:pPr>
            <w:r w:rsidRPr="00990FB6">
              <w:rPr>
                <w:sz w:val="22"/>
                <w:szCs w:val="22"/>
                <w:u w:val="single"/>
              </w:rPr>
              <w:t>Actividades de capacitación</w:t>
            </w:r>
          </w:p>
        </w:tc>
        <w:tc>
          <w:tcPr>
            <w:tcW w:w="363" w:type="pct"/>
            <w:hideMark/>
          </w:tcPr>
          <w:p w14:paraId="78F8A4C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19543</w:t>
            </w:r>
          </w:p>
        </w:tc>
        <w:tc>
          <w:tcPr>
            <w:tcW w:w="1045" w:type="pct"/>
            <w:hideMark/>
          </w:tcPr>
          <w:p w14:paraId="75D5FD5C" w14:textId="77777777" w:rsidR="00B15F7D" w:rsidRPr="00990FB6" w:rsidRDefault="00B15F7D" w:rsidP="00B15F7D">
            <w:pPr>
              <w:rPr>
                <w:sz w:val="22"/>
                <w:szCs w:val="22"/>
                <w:u w:val="single"/>
              </w:rPr>
            </w:pPr>
            <w:r w:rsidRPr="00990FB6">
              <w:rPr>
                <w:sz w:val="22"/>
                <w:szCs w:val="22"/>
                <w:u w:val="single"/>
              </w:rPr>
              <w:t>ACTIVIDADES DE CAPACITACION Y MATERIALES AUXILIARES</w:t>
            </w:r>
          </w:p>
        </w:tc>
        <w:tc>
          <w:tcPr>
            <w:tcW w:w="550" w:type="pct"/>
            <w:hideMark/>
          </w:tcPr>
          <w:p w14:paraId="2D65A164" w14:textId="77777777" w:rsidR="00B15F7D" w:rsidRPr="00990FB6" w:rsidRDefault="00B15F7D" w:rsidP="00B15F7D">
            <w:pPr>
              <w:rPr>
                <w:sz w:val="22"/>
                <w:szCs w:val="22"/>
                <w:u w:val="single"/>
              </w:rPr>
            </w:pPr>
            <w:r w:rsidRPr="00990FB6">
              <w:rPr>
                <w:sz w:val="22"/>
                <w:szCs w:val="22"/>
                <w:u w:val="single"/>
              </w:rPr>
              <w:t>3.589.994,00</w:t>
            </w:r>
          </w:p>
        </w:tc>
        <w:tc>
          <w:tcPr>
            <w:tcW w:w="511" w:type="pct"/>
            <w:hideMark/>
          </w:tcPr>
          <w:p w14:paraId="2EED539E"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1ADA98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E4D13FA" w14:textId="77777777" w:rsidR="00B15F7D" w:rsidRPr="00990FB6" w:rsidRDefault="00B15F7D" w:rsidP="00F60AA2">
            <w:pPr>
              <w:rPr>
                <w:sz w:val="22"/>
                <w:szCs w:val="22"/>
                <w:u w:val="single"/>
              </w:rPr>
            </w:pPr>
            <w:r w:rsidRPr="00990FB6">
              <w:rPr>
                <w:sz w:val="22"/>
                <w:szCs w:val="22"/>
                <w:u w:val="single"/>
              </w:rPr>
              <w:t xml:space="preserve">Imposibilidad de contar con recursos para la capacitación del </w:t>
            </w:r>
            <w:r w:rsidRPr="00990FB6">
              <w:rPr>
                <w:sz w:val="22"/>
                <w:szCs w:val="22"/>
                <w:u w:val="single"/>
              </w:rPr>
              <w:lastRenderedPageBreak/>
              <w:t xml:space="preserve">personal, para desarrollar y potenciar las habilidades en procura de </w:t>
            </w:r>
            <w:proofErr w:type="gramStart"/>
            <w:r w:rsidRPr="00990FB6">
              <w:rPr>
                <w:sz w:val="22"/>
                <w:szCs w:val="22"/>
                <w:u w:val="single"/>
              </w:rPr>
              <w:t>mejorar  los</w:t>
            </w:r>
            <w:proofErr w:type="gramEnd"/>
            <w:r w:rsidRPr="00990FB6">
              <w:rPr>
                <w:sz w:val="22"/>
                <w:szCs w:val="22"/>
                <w:u w:val="single"/>
              </w:rPr>
              <w:t xml:space="preserve"> procesos de investigación, para brindar un mejor servicio a la ciudadanía. </w:t>
            </w:r>
          </w:p>
        </w:tc>
      </w:tr>
      <w:tr w:rsidR="00B15F7D" w:rsidRPr="00990FB6" w14:paraId="4DC4A4EB" w14:textId="77777777" w:rsidTr="000A0C22">
        <w:trPr>
          <w:trHeight w:val="870"/>
          <w:jc w:val="center"/>
        </w:trPr>
        <w:tc>
          <w:tcPr>
            <w:tcW w:w="583" w:type="pct"/>
            <w:hideMark/>
          </w:tcPr>
          <w:p w14:paraId="17308E05" w14:textId="77777777" w:rsidR="00B15F7D" w:rsidRPr="00990FB6" w:rsidRDefault="00B15F7D" w:rsidP="00B15F7D">
            <w:pPr>
              <w:rPr>
                <w:sz w:val="22"/>
                <w:szCs w:val="22"/>
                <w:u w:val="single"/>
              </w:rPr>
            </w:pPr>
            <w:r w:rsidRPr="00990FB6">
              <w:rPr>
                <w:sz w:val="22"/>
                <w:szCs w:val="22"/>
                <w:u w:val="single"/>
              </w:rPr>
              <w:lastRenderedPageBreak/>
              <w:t>10701</w:t>
            </w:r>
          </w:p>
        </w:tc>
        <w:tc>
          <w:tcPr>
            <w:tcW w:w="578" w:type="pct"/>
            <w:hideMark/>
          </w:tcPr>
          <w:p w14:paraId="3CC51941" w14:textId="77777777" w:rsidR="00B15F7D" w:rsidRPr="00990FB6" w:rsidRDefault="00B15F7D" w:rsidP="00B15F7D">
            <w:pPr>
              <w:rPr>
                <w:sz w:val="22"/>
                <w:szCs w:val="22"/>
                <w:u w:val="single"/>
              </w:rPr>
            </w:pPr>
            <w:r w:rsidRPr="00990FB6">
              <w:rPr>
                <w:sz w:val="22"/>
                <w:szCs w:val="22"/>
                <w:u w:val="single"/>
              </w:rPr>
              <w:t>Actividades de capacitación</w:t>
            </w:r>
          </w:p>
        </w:tc>
        <w:tc>
          <w:tcPr>
            <w:tcW w:w="363" w:type="pct"/>
            <w:hideMark/>
          </w:tcPr>
          <w:p w14:paraId="7066985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22723</w:t>
            </w:r>
          </w:p>
        </w:tc>
        <w:tc>
          <w:tcPr>
            <w:tcW w:w="1045" w:type="pct"/>
            <w:hideMark/>
          </w:tcPr>
          <w:p w14:paraId="2AF05279" w14:textId="77777777" w:rsidR="00B15F7D" w:rsidRPr="00990FB6" w:rsidRDefault="00B15F7D" w:rsidP="00B15F7D">
            <w:pPr>
              <w:rPr>
                <w:sz w:val="22"/>
                <w:szCs w:val="22"/>
                <w:u w:val="single"/>
              </w:rPr>
            </w:pPr>
            <w:r w:rsidRPr="00990FB6">
              <w:rPr>
                <w:sz w:val="22"/>
                <w:szCs w:val="22"/>
                <w:u w:val="single"/>
              </w:rPr>
              <w:t>CAPACITACION</w:t>
            </w:r>
          </w:p>
        </w:tc>
        <w:tc>
          <w:tcPr>
            <w:tcW w:w="550" w:type="pct"/>
            <w:hideMark/>
          </w:tcPr>
          <w:p w14:paraId="6098BD67" w14:textId="77777777" w:rsidR="00B15F7D" w:rsidRPr="00990FB6" w:rsidRDefault="00B15F7D" w:rsidP="00B15F7D">
            <w:pPr>
              <w:rPr>
                <w:sz w:val="22"/>
                <w:szCs w:val="22"/>
                <w:u w:val="single"/>
              </w:rPr>
            </w:pPr>
            <w:r w:rsidRPr="00990FB6">
              <w:rPr>
                <w:sz w:val="22"/>
                <w:szCs w:val="22"/>
                <w:u w:val="single"/>
              </w:rPr>
              <w:t>1.500.000,00</w:t>
            </w:r>
          </w:p>
        </w:tc>
        <w:tc>
          <w:tcPr>
            <w:tcW w:w="511" w:type="pct"/>
            <w:hideMark/>
          </w:tcPr>
          <w:p w14:paraId="5EA7034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835224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97161E0" w14:textId="77777777" w:rsidR="00B15F7D" w:rsidRPr="00990FB6" w:rsidRDefault="00B15F7D" w:rsidP="00F60AA2">
            <w:pPr>
              <w:rPr>
                <w:sz w:val="22"/>
                <w:szCs w:val="22"/>
                <w:u w:val="single"/>
              </w:rPr>
            </w:pPr>
            <w:r w:rsidRPr="00990FB6">
              <w:rPr>
                <w:sz w:val="22"/>
                <w:szCs w:val="22"/>
                <w:u w:val="single"/>
              </w:rPr>
              <w:t xml:space="preserve">Imposibilidad de contar con recursos para la capacitación del personal, para desarrollar y potenciar las habilidades en procura de </w:t>
            </w:r>
            <w:proofErr w:type="gramStart"/>
            <w:r w:rsidRPr="00990FB6">
              <w:rPr>
                <w:sz w:val="22"/>
                <w:szCs w:val="22"/>
                <w:u w:val="single"/>
              </w:rPr>
              <w:t>mejorar  los</w:t>
            </w:r>
            <w:proofErr w:type="gramEnd"/>
            <w:r w:rsidRPr="00990FB6">
              <w:rPr>
                <w:sz w:val="22"/>
                <w:szCs w:val="22"/>
                <w:u w:val="single"/>
              </w:rPr>
              <w:t xml:space="preserve"> procesos de investigación, para brindar un mejor servicio a la ciudadanía. </w:t>
            </w:r>
          </w:p>
        </w:tc>
      </w:tr>
      <w:tr w:rsidR="00B15F7D" w:rsidRPr="00990FB6" w14:paraId="63DAFAB0" w14:textId="77777777" w:rsidTr="000A0C22">
        <w:trPr>
          <w:trHeight w:val="1160"/>
          <w:jc w:val="center"/>
        </w:trPr>
        <w:tc>
          <w:tcPr>
            <w:tcW w:w="583" w:type="pct"/>
            <w:hideMark/>
          </w:tcPr>
          <w:p w14:paraId="0BF79D59" w14:textId="77777777" w:rsidR="00B15F7D" w:rsidRPr="00990FB6" w:rsidRDefault="00B15F7D" w:rsidP="00B15F7D">
            <w:pPr>
              <w:rPr>
                <w:sz w:val="22"/>
                <w:szCs w:val="22"/>
                <w:u w:val="single"/>
              </w:rPr>
            </w:pPr>
            <w:r w:rsidRPr="00990FB6">
              <w:rPr>
                <w:sz w:val="22"/>
                <w:szCs w:val="22"/>
                <w:u w:val="single"/>
              </w:rPr>
              <w:t>10702</w:t>
            </w:r>
          </w:p>
        </w:tc>
        <w:tc>
          <w:tcPr>
            <w:tcW w:w="578" w:type="pct"/>
            <w:hideMark/>
          </w:tcPr>
          <w:p w14:paraId="355C07DF" w14:textId="77777777" w:rsidR="00B15F7D" w:rsidRPr="00990FB6" w:rsidRDefault="00B15F7D" w:rsidP="00B15F7D">
            <w:pPr>
              <w:rPr>
                <w:sz w:val="22"/>
                <w:szCs w:val="22"/>
                <w:u w:val="single"/>
              </w:rPr>
            </w:pPr>
            <w:r w:rsidRPr="00990FB6">
              <w:rPr>
                <w:sz w:val="22"/>
                <w:szCs w:val="22"/>
                <w:u w:val="single"/>
              </w:rPr>
              <w:t xml:space="preserve">Actividades protocolarias y sociales </w:t>
            </w:r>
          </w:p>
        </w:tc>
        <w:tc>
          <w:tcPr>
            <w:tcW w:w="363" w:type="pct"/>
            <w:hideMark/>
          </w:tcPr>
          <w:p w14:paraId="26A6B3C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19544</w:t>
            </w:r>
          </w:p>
        </w:tc>
        <w:tc>
          <w:tcPr>
            <w:tcW w:w="1045" w:type="pct"/>
            <w:hideMark/>
          </w:tcPr>
          <w:p w14:paraId="644AC05D" w14:textId="77777777" w:rsidR="00B15F7D" w:rsidRPr="00990FB6" w:rsidRDefault="00B15F7D" w:rsidP="00B15F7D">
            <w:pPr>
              <w:rPr>
                <w:sz w:val="22"/>
                <w:szCs w:val="22"/>
                <w:u w:val="single"/>
              </w:rPr>
            </w:pPr>
            <w:r w:rsidRPr="00990FB6">
              <w:rPr>
                <w:sz w:val="22"/>
                <w:szCs w:val="22"/>
                <w:u w:val="single"/>
              </w:rPr>
              <w:t xml:space="preserve">ACTIVIDADES PROTOCOLARIAS Y SOCIALES </w:t>
            </w:r>
          </w:p>
        </w:tc>
        <w:tc>
          <w:tcPr>
            <w:tcW w:w="550" w:type="pct"/>
            <w:hideMark/>
          </w:tcPr>
          <w:p w14:paraId="22C2940B" w14:textId="77777777" w:rsidR="00B15F7D" w:rsidRPr="00990FB6" w:rsidRDefault="00B15F7D" w:rsidP="00B15F7D">
            <w:pPr>
              <w:rPr>
                <w:sz w:val="22"/>
                <w:szCs w:val="22"/>
                <w:u w:val="single"/>
              </w:rPr>
            </w:pPr>
            <w:r w:rsidRPr="00990FB6">
              <w:rPr>
                <w:sz w:val="22"/>
                <w:szCs w:val="22"/>
                <w:u w:val="single"/>
              </w:rPr>
              <w:t>3.102.384,00</w:t>
            </w:r>
          </w:p>
        </w:tc>
        <w:tc>
          <w:tcPr>
            <w:tcW w:w="511" w:type="pct"/>
            <w:hideMark/>
          </w:tcPr>
          <w:p w14:paraId="1DB61ED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EC93A4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8CE77E9" w14:textId="77777777" w:rsidR="00B15F7D" w:rsidRPr="00990FB6" w:rsidRDefault="00B15F7D" w:rsidP="00F60AA2">
            <w:pPr>
              <w:rPr>
                <w:sz w:val="22"/>
                <w:szCs w:val="22"/>
                <w:u w:val="single"/>
              </w:rPr>
            </w:pPr>
            <w:r w:rsidRPr="00990FB6">
              <w:rPr>
                <w:sz w:val="22"/>
                <w:szCs w:val="22"/>
                <w:u w:val="single"/>
              </w:rPr>
              <w:t xml:space="preserve">Este recurso es requerido para realizar la rendición de cuentas u otras actividades de carácter internacional que tiene que organizar el Ministerio Público. El recorte de presupuesto </w:t>
            </w:r>
            <w:r w:rsidRPr="00990FB6">
              <w:rPr>
                <w:sz w:val="22"/>
                <w:szCs w:val="22"/>
                <w:u w:val="single"/>
              </w:rPr>
              <w:lastRenderedPageBreak/>
              <w:t xml:space="preserve">imposibilitará la realización de ese tipo de actividades, lo cual desfavorece la cercanía y </w:t>
            </w:r>
            <w:proofErr w:type="gramStart"/>
            <w:r w:rsidRPr="00990FB6">
              <w:rPr>
                <w:sz w:val="22"/>
                <w:szCs w:val="22"/>
                <w:u w:val="single"/>
              </w:rPr>
              <w:t>proyección  hacia</w:t>
            </w:r>
            <w:proofErr w:type="gramEnd"/>
            <w:r w:rsidRPr="00990FB6">
              <w:rPr>
                <w:sz w:val="22"/>
                <w:szCs w:val="22"/>
                <w:u w:val="single"/>
              </w:rPr>
              <w:t xml:space="preserve"> la ciudadanía, desmejorando  la imagen institucional. </w:t>
            </w:r>
          </w:p>
        </w:tc>
      </w:tr>
      <w:tr w:rsidR="00B15F7D" w:rsidRPr="00990FB6" w14:paraId="3AC06D2B" w14:textId="77777777" w:rsidTr="000A0C22">
        <w:trPr>
          <w:trHeight w:val="2320"/>
          <w:jc w:val="center"/>
        </w:trPr>
        <w:tc>
          <w:tcPr>
            <w:tcW w:w="583" w:type="pct"/>
            <w:hideMark/>
          </w:tcPr>
          <w:p w14:paraId="62D011FE" w14:textId="77777777" w:rsidR="00B15F7D" w:rsidRPr="00990FB6" w:rsidRDefault="00B15F7D" w:rsidP="00B15F7D">
            <w:pPr>
              <w:rPr>
                <w:sz w:val="22"/>
                <w:szCs w:val="22"/>
                <w:u w:val="single"/>
              </w:rPr>
            </w:pPr>
            <w:r w:rsidRPr="00990FB6">
              <w:rPr>
                <w:sz w:val="22"/>
                <w:szCs w:val="22"/>
                <w:u w:val="single"/>
              </w:rPr>
              <w:lastRenderedPageBreak/>
              <w:t>10801</w:t>
            </w:r>
          </w:p>
        </w:tc>
        <w:tc>
          <w:tcPr>
            <w:tcW w:w="578" w:type="pct"/>
            <w:hideMark/>
          </w:tcPr>
          <w:p w14:paraId="634F383B" w14:textId="77777777" w:rsidR="00B15F7D" w:rsidRPr="00990FB6" w:rsidRDefault="00B15F7D" w:rsidP="00B15F7D">
            <w:pPr>
              <w:rPr>
                <w:sz w:val="22"/>
                <w:szCs w:val="22"/>
                <w:u w:val="single"/>
              </w:rPr>
            </w:pPr>
            <w:r w:rsidRPr="00990FB6">
              <w:rPr>
                <w:sz w:val="22"/>
                <w:szCs w:val="22"/>
                <w:u w:val="single"/>
              </w:rPr>
              <w:t>Mantenimiento de edificios y locales</w:t>
            </w:r>
          </w:p>
        </w:tc>
        <w:tc>
          <w:tcPr>
            <w:tcW w:w="363" w:type="pct"/>
            <w:hideMark/>
          </w:tcPr>
          <w:p w14:paraId="712D0C0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07171</w:t>
            </w:r>
          </w:p>
        </w:tc>
        <w:tc>
          <w:tcPr>
            <w:tcW w:w="1045" w:type="pct"/>
            <w:hideMark/>
          </w:tcPr>
          <w:p w14:paraId="6833EF50" w14:textId="77777777" w:rsidR="00B15F7D" w:rsidRPr="00990FB6" w:rsidRDefault="00B15F7D" w:rsidP="00B15F7D">
            <w:pPr>
              <w:rPr>
                <w:sz w:val="22"/>
                <w:szCs w:val="22"/>
                <w:u w:val="single"/>
              </w:rPr>
            </w:pPr>
            <w:r w:rsidRPr="00990FB6">
              <w:rPr>
                <w:sz w:val="22"/>
                <w:szCs w:val="22"/>
                <w:u w:val="single"/>
              </w:rPr>
              <w:t>SERVICIO MANO OBRA MANT.EDIFICIOS Y LOCALES</w:t>
            </w:r>
          </w:p>
        </w:tc>
        <w:tc>
          <w:tcPr>
            <w:tcW w:w="550" w:type="pct"/>
            <w:hideMark/>
          </w:tcPr>
          <w:p w14:paraId="2B70D0DE" w14:textId="77777777" w:rsidR="00B15F7D" w:rsidRPr="00990FB6" w:rsidRDefault="00B15F7D" w:rsidP="00B15F7D">
            <w:pPr>
              <w:rPr>
                <w:sz w:val="22"/>
                <w:szCs w:val="22"/>
                <w:u w:val="single"/>
              </w:rPr>
            </w:pPr>
            <w:r w:rsidRPr="00990FB6">
              <w:rPr>
                <w:sz w:val="22"/>
                <w:szCs w:val="22"/>
                <w:u w:val="single"/>
              </w:rPr>
              <w:t>120.000,00</w:t>
            </w:r>
          </w:p>
        </w:tc>
        <w:tc>
          <w:tcPr>
            <w:tcW w:w="511" w:type="pct"/>
            <w:hideMark/>
          </w:tcPr>
          <w:p w14:paraId="2209915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419956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484EE8D" w14:textId="77777777" w:rsidR="00B15F7D" w:rsidRPr="00990FB6" w:rsidRDefault="00B15F7D" w:rsidP="00F60AA2">
            <w:pPr>
              <w:rPr>
                <w:sz w:val="22"/>
                <w:szCs w:val="22"/>
                <w:u w:val="single"/>
              </w:rPr>
            </w:pPr>
            <w:r w:rsidRPr="00990FB6">
              <w:rPr>
                <w:sz w:val="22"/>
                <w:szCs w:val="22"/>
                <w:u w:val="single"/>
              </w:rPr>
              <w:t>Se traduce en desmejora de las condiciones de infraestructura de las oficinas de La Unión, Corredores, Golfito, Pérez Zeledón, Coto Brus, etc.</w:t>
            </w:r>
            <w:proofErr w:type="gramStart"/>
            <w:r w:rsidRPr="00990FB6">
              <w:rPr>
                <w:sz w:val="22"/>
                <w:szCs w:val="22"/>
                <w:u w:val="single"/>
              </w:rPr>
              <w:t>;  debido</w:t>
            </w:r>
            <w:proofErr w:type="gramEnd"/>
            <w:r w:rsidRPr="00990FB6">
              <w:rPr>
                <w:sz w:val="22"/>
                <w:szCs w:val="22"/>
                <w:u w:val="single"/>
              </w:rPr>
              <w:t xml:space="preserve"> a las zonas geográficas en las que se encuentran requieren trabajos de mantenimiento para la mejora de las condiciones de trabajo del personal y seguridad,  así como, de atención a la </w:t>
            </w:r>
            <w:r w:rsidRPr="00990FB6">
              <w:rPr>
                <w:sz w:val="22"/>
                <w:szCs w:val="22"/>
                <w:u w:val="single"/>
              </w:rPr>
              <w:lastRenderedPageBreak/>
              <w:t xml:space="preserve">persona usuaria. Asimismo, no se podrá gestionar reforzamiento de las bodegas de evidencias de estas oficinas, el cual es necesario para el correcto resguardo de las evidencias, de no efectuar estos trabajos se traduce en riesgo de extravío, lo cual comprometería los procesos de investigación de las diferentes causas en trámite. </w:t>
            </w:r>
          </w:p>
        </w:tc>
      </w:tr>
      <w:tr w:rsidR="00B15F7D" w:rsidRPr="00990FB6" w14:paraId="62E3CAE7" w14:textId="77777777" w:rsidTr="000A0C22">
        <w:trPr>
          <w:trHeight w:val="2320"/>
          <w:jc w:val="center"/>
        </w:trPr>
        <w:tc>
          <w:tcPr>
            <w:tcW w:w="583" w:type="pct"/>
            <w:hideMark/>
          </w:tcPr>
          <w:p w14:paraId="0328CB37" w14:textId="77777777" w:rsidR="00B15F7D" w:rsidRPr="00990FB6" w:rsidRDefault="00B15F7D" w:rsidP="00B15F7D">
            <w:pPr>
              <w:rPr>
                <w:sz w:val="22"/>
                <w:szCs w:val="22"/>
                <w:u w:val="single"/>
              </w:rPr>
            </w:pPr>
            <w:r w:rsidRPr="00990FB6">
              <w:rPr>
                <w:sz w:val="22"/>
                <w:szCs w:val="22"/>
                <w:u w:val="single"/>
              </w:rPr>
              <w:lastRenderedPageBreak/>
              <w:t>10801</w:t>
            </w:r>
          </w:p>
        </w:tc>
        <w:tc>
          <w:tcPr>
            <w:tcW w:w="578" w:type="pct"/>
            <w:hideMark/>
          </w:tcPr>
          <w:p w14:paraId="4F08A01F" w14:textId="77777777" w:rsidR="00B15F7D" w:rsidRPr="00990FB6" w:rsidRDefault="00B15F7D" w:rsidP="00B15F7D">
            <w:pPr>
              <w:rPr>
                <w:sz w:val="22"/>
                <w:szCs w:val="22"/>
                <w:u w:val="single"/>
              </w:rPr>
            </w:pPr>
            <w:r w:rsidRPr="00990FB6">
              <w:rPr>
                <w:sz w:val="22"/>
                <w:szCs w:val="22"/>
                <w:u w:val="single"/>
              </w:rPr>
              <w:t>Mantenimiento de edificios y locales</w:t>
            </w:r>
          </w:p>
        </w:tc>
        <w:tc>
          <w:tcPr>
            <w:tcW w:w="363" w:type="pct"/>
            <w:hideMark/>
          </w:tcPr>
          <w:p w14:paraId="18F3A66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18776</w:t>
            </w:r>
          </w:p>
        </w:tc>
        <w:tc>
          <w:tcPr>
            <w:tcW w:w="1045" w:type="pct"/>
            <w:hideMark/>
          </w:tcPr>
          <w:p w14:paraId="56426493" w14:textId="77777777" w:rsidR="00B15F7D" w:rsidRPr="00990FB6" w:rsidRDefault="00B15F7D" w:rsidP="00B15F7D">
            <w:pPr>
              <w:rPr>
                <w:sz w:val="22"/>
                <w:szCs w:val="22"/>
                <w:u w:val="single"/>
              </w:rPr>
            </w:pPr>
            <w:r w:rsidRPr="00990FB6">
              <w:rPr>
                <w:sz w:val="22"/>
                <w:szCs w:val="22"/>
                <w:u w:val="single"/>
              </w:rPr>
              <w:t>REMODELACION</w:t>
            </w:r>
          </w:p>
        </w:tc>
        <w:tc>
          <w:tcPr>
            <w:tcW w:w="550" w:type="pct"/>
            <w:hideMark/>
          </w:tcPr>
          <w:p w14:paraId="4C1941FB" w14:textId="77777777" w:rsidR="00B15F7D" w:rsidRPr="00990FB6" w:rsidRDefault="00B15F7D" w:rsidP="00B15F7D">
            <w:pPr>
              <w:rPr>
                <w:sz w:val="22"/>
                <w:szCs w:val="22"/>
                <w:u w:val="single"/>
              </w:rPr>
            </w:pPr>
            <w:r w:rsidRPr="00990FB6">
              <w:rPr>
                <w:sz w:val="22"/>
                <w:szCs w:val="22"/>
                <w:u w:val="single"/>
              </w:rPr>
              <w:t>5.500.000,00</w:t>
            </w:r>
          </w:p>
        </w:tc>
        <w:tc>
          <w:tcPr>
            <w:tcW w:w="511" w:type="pct"/>
            <w:hideMark/>
          </w:tcPr>
          <w:p w14:paraId="0005073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BF271F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F0AF847" w14:textId="77777777" w:rsidR="00B15F7D" w:rsidRPr="00990FB6" w:rsidRDefault="00B15F7D" w:rsidP="00F60AA2">
            <w:pPr>
              <w:rPr>
                <w:sz w:val="22"/>
                <w:szCs w:val="22"/>
                <w:u w:val="single"/>
              </w:rPr>
            </w:pPr>
            <w:r w:rsidRPr="00990FB6">
              <w:rPr>
                <w:sz w:val="22"/>
                <w:szCs w:val="22"/>
                <w:u w:val="single"/>
              </w:rPr>
              <w:t>Se traduce en desmejora de las condiciones de infraestructura de las oficinas de La Unión, Corredores, Golfito, Pérez Zeledón, Coto Brus, etc.</w:t>
            </w:r>
            <w:proofErr w:type="gramStart"/>
            <w:r w:rsidRPr="00990FB6">
              <w:rPr>
                <w:sz w:val="22"/>
                <w:szCs w:val="22"/>
                <w:u w:val="single"/>
              </w:rPr>
              <w:t>;  debido</w:t>
            </w:r>
            <w:proofErr w:type="gramEnd"/>
            <w:r w:rsidRPr="00990FB6">
              <w:rPr>
                <w:sz w:val="22"/>
                <w:szCs w:val="22"/>
                <w:u w:val="single"/>
              </w:rPr>
              <w:t xml:space="preserve"> a las zonas geográficas en las que se encuentran </w:t>
            </w:r>
            <w:r w:rsidRPr="00990FB6">
              <w:rPr>
                <w:sz w:val="22"/>
                <w:szCs w:val="22"/>
                <w:u w:val="single"/>
              </w:rPr>
              <w:lastRenderedPageBreak/>
              <w:t xml:space="preserve">requieren trabajos de mantenimiento para la mejora de las condiciones de trabajo del personal y seguridad,  así como, de atención a la persona usuaria. Asimismo, no se podrá gestionar reforzamiento de las bodegas de evidencias de estas oficinas, el cual es necesario para el correcto resguardo de las evidencias, de no efectuar estos trabajos se traduce en riesgo de extravío, lo cual comprometería los procesos de investigación de las diferentes causas en trámite. </w:t>
            </w:r>
          </w:p>
        </w:tc>
      </w:tr>
      <w:tr w:rsidR="00B15F7D" w:rsidRPr="00990FB6" w14:paraId="1D2DBEB0" w14:textId="77777777" w:rsidTr="000A0C22">
        <w:trPr>
          <w:trHeight w:val="2320"/>
          <w:jc w:val="center"/>
        </w:trPr>
        <w:tc>
          <w:tcPr>
            <w:tcW w:w="583" w:type="pct"/>
            <w:hideMark/>
          </w:tcPr>
          <w:p w14:paraId="57EBFDB9" w14:textId="77777777" w:rsidR="00B15F7D" w:rsidRPr="00990FB6" w:rsidRDefault="00B15F7D" w:rsidP="00B15F7D">
            <w:pPr>
              <w:rPr>
                <w:sz w:val="22"/>
                <w:szCs w:val="22"/>
                <w:u w:val="single"/>
              </w:rPr>
            </w:pPr>
            <w:r w:rsidRPr="00990FB6">
              <w:rPr>
                <w:sz w:val="22"/>
                <w:szCs w:val="22"/>
                <w:u w:val="single"/>
              </w:rPr>
              <w:lastRenderedPageBreak/>
              <w:t>10801</w:t>
            </w:r>
          </w:p>
        </w:tc>
        <w:tc>
          <w:tcPr>
            <w:tcW w:w="578" w:type="pct"/>
            <w:hideMark/>
          </w:tcPr>
          <w:p w14:paraId="13717B13" w14:textId="77777777" w:rsidR="00B15F7D" w:rsidRPr="00990FB6" w:rsidRDefault="00B15F7D" w:rsidP="00B15F7D">
            <w:pPr>
              <w:rPr>
                <w:sz w:val="22"/>
                <w:szCs w:val="22"/>
                <w:u w:val="single"/>
              </w:rPr>
            </w:pPr>
            <w:r w:rsidRPr="00990FB6">
              <w:rPr>
                <w:sz w:val="22"/>
                <w:szCs w:val="22"/>
                <w:u w:val="single"/>
              </w:rPr>
              <w:t>Mantenimiento de edificios y locales</w:t>
            </w:r>
          </w:p>
        </w:tc>
        <w:tc>
          <w:tcPr>
            <w:tcW w:w="363" w:type="pct"/>
            <w:hideMark/>
          </w:tcPr>
          <w:p w14:paraId="038B4BB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19545</w:t>
            </w:r>
          </w:p>
        </w:tc>
        <w:tc>
          <w:tcPr>
            <w:tcW w:w="1045" w:type="pct"/>
            <w:hideMark/>
          </w:tcPr>
          <w:p w14:paraId="11E46DB8" w14:textId="77777777" w:rsidR="00B15F7D" w:rsidRPr="00990FB6" w:rsidRDefault="00B15F7D" w:rsidP="00B15F7D">
            <w:pPr>
              <w:rPr>
                <w:sz w:val="22"/>
                <w:szCs w:val="22"/>
                <w:u w:val="single"/>
              </w:rPr>
            </w:pPr>
            <w:r w:rsidRPr="00990FB6">
              <w:rPr>
                <w:sz w:val="22"/>
                <w:szCs w:val="22"/>
                <w:u w:val="single"/>
              </w:rPr>
              <w:t>MANTENIMIENTO DE EDIFICIOS Y LOCALES</w:t>
            </w:r>
          </w:p>
        </w:tc>
        <w:tc>
          <w:tcPr>
            <w:tcW w:w="550" w:type="pct"/>
            <w:hideMark/>
          </w:tcPr>
          <w:p w14:paraId="0351F534" w14:textId="77777777" w:rsidR="00B15F7D" w:rsidRPr="00990FB6" w:rsidRDefault="00B15F7D" w:rsidP="00B15F7D">
            <w:pPr>
              <w:rPr>
                <w:sz w:val="22"/>
                <w:szCs w:val="22"/>
                <w:u w:val="single"/>
              </w:rPr>
            </w:pPr>
            <w:r w:rsidRPr="00990FB6">
              <w:rPr>
                <w:sz w:val="22"/>
                <w:szCs w:val="22"/>
                <w:u w:val="single"/>
              </w:rPr>
              <w:t>3.830.000,00</w:t>
            </w:r>
          </w:p>
        </w:tc>
        <w:tc>
          <w:tcPr>
            <w:tcW w:w="511" w:type="pct"/>
            <w:hideMark/>
          </w:tcPr>
          <w:p w14:paraId="7A3878B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37B365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8E03A6B" w14:textId="77777777" w:rsidR="00B15F7D" w:rsidRPr="00990FB6" w:rsidRDefault="00B15F7D" w:rsidP="00F60AA2">
            <w:pPr>
              <w:rPr>
                <w:sz w:val="22"/>
                <w:szCs w:val="22"/>
                <w:u w:val="single"/>
              </w:rPr>
            </w:pPr>
            <w:r w:rsidRPr="00990FB6">
              <w:rPr>
                <w:sz w:val="22"/>
                <w:szCs w:val="22"/>
                <w:u w:val="single"/>
              </w:rPr>
              <w:t>Se traduce en desmejora de las condiciones de infraestructura de las oficinas de La Unión, Corredores, Golfito, Pérez Zeledón, Coto Brus, etc.</w:t>
            </w:r>
            <w:proofErr w:type="gramStart"/>
            <w:r w:rsidRPr="00990FB6">
              <w:rPr>
                <w:sz w:val="22"/>
                <w:szCs w:val="22"/>
                <w:u w:val="single"/>
              </w:rPr>
              <w:t>;  debido</w:t>
            </w:r>
            <w:proofErr w:type="gramEnd"/>
            <w:r w:rsidRPr="00990FB6">
              <w:rPr>
                <w:sz w:val="22"/>
                <w:szCs w:val="22"/>
                <w:u w:val="single"/>
              </w:rPr>
              <w:t xml:space="preserve"> a las zonas geográficas en las que se encuentran requieren trabajos de mantenimiento para la mejora de las condiciones de trabajo del personal y seguridad,  así como, de atención a la persona usuaria. Asimismo, no se podrá gestionar reforzamiento de las bodegas de evidencias de estas oficinas, el cual es necesario para el correcto resguardo de las evidencias, de </w:t>
            </w:r>
            <w:r w:rsidRPr="00990FB6">
              <w:rPr>
                <w:sz w:val="22"/>
                <w:szCs w:val="22"/>
                <w:u w:val="single"/>
              </w:rPr>
              <w:lastRenderedPageBreak/>
              <w:t xml:space="preserve">no efectuar estos trabajos se traduce en riesgo de extravío, lo cual comprometería los procesos de investigación de las diferentes causas en trámite. </w:t>
            </w:r>
          </w:p>
        </w:tc>
      </w:tr>
      <w:tr w:rsidR="00B15F7D" w:rsidRPr="00990FB6" w14:paraId="4B21FEC6" w14:textId="77777777" w:rsidTr="000A0C22">
        <w:trPr>
          <w:trHeight w:val="2320"/>
          <w:jc w:val="center"/>
        </w:trPr>
        <w:tc>
          <w:tcPr>
            <w:tcW w:w="583" w:type="pct"/>
            <w:hideMark/>
          </w:tcPr>
          <w:p w14:paraId="7EF93908" w14:textId="77777777" w:rsidR="00B15F7D" w:rsidRPr="00990FB6" w:rsidRDefault="00B15F7D" w:rsidP="00B15F7D">
            <w:pPr>
              <w:rPr>
                <w:sz w:val="22"/>
                <w:szCs w:val="22"/>
                <w:u w:val="single"/>
              </w:rPr>
            </w:pPr>
            <w:r w:rsidRPr="00990FB6">
              <w:rPr>
                <w:sz w:val="22"/>
                <w:szCs w:val="22"/>
                <w:u w:val="single"/>
              </w:rPr>
              <w:lastRenderedPageBreak/>
              <w:t>10801</w:t>
            </w:r>
          </w:p>
        </w:tc>
        <w:tc>
          <w:tcPr>
            <w:tcW w:w="578" w:type="pct"/>
            <w:hideMark/>
          </w:tcPr>
          <w:p w14:paraId="3A0DD29B" w14:textId="77777777" w:rsidR="00B15F7D" w:rsidRPr="00990FB6" w:rsidRDefault="00B15F7D" w:rsidP="00B15F7D">
            <w:pPr>
              <w:rPr>
                <w:sz w:val="22"/>
                <w:szCs w:val="22"/>
                <w:u w:val="single"/>
              </w:rPr>
            </w:pPr>
            <w:r w:rsidRPr="00990FB6">
              <w:rPr>
                <w:sz w:val="22"/>
                <w:szCs w:val="22"/>
                <w:u w:val="single"/>
              </w:rPr>
              <w:t>Mantenimiento de edificios y locales</w:t>
            </w:r>
          </w:p>
        </w:tc>
        <w:tc>
          <w:tcPr>
            <w:tcW w:w="363" w:type="pct"/>
            <w:hideMark/>
          </w:tcPr>
          <w:p w14:paraId="3F5550F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24829</w:t>
            </w:r>
          </w:p>
        </w:tc>
        <w:tc>
          <w:tcPr>
            <w:tcW w:w="1045" w:type="pct"/>
            <w:hideMark/>
          </w:tcPr>
          <w:p w14:paraId="470FC03D" w14:textId="77777777" w:rsidR="00B15F7D" w:rsidRPr="00990FB6" w:rsidRDefault="00B15F7D" w:rsidP="00B15F7D">
            <w:pPr>
              <w:rPr>
                <w:sz w:val="22"/>
                <w:szCs w:val="22"/>
                <w:u w:val="single"/>
              </w:rPr>
            </w:pPr>
            <w:r w:rsidRPr="00990FB6">
              <w:rPr>
                <w:sz w:val="22"/>
                <w:szCs w:val="22"/>
                <w:u w:val="single"/>
              </w:rPr>
              <w:t>INSTALACION DE REJAS Y PORTONES</w:t>
            </w:r>
          </w:p>
        </w:tc>
        <w:tc>
          <w:tcPr>
            <w:tcW w:w="550" w:type="pct"/>
            <w:hideMark/>
          </w:tcPr>
          <w:p w14:paraId="424EB9F4" w14:textId="77777777" w:rsidR="00B15F7D" w:rsidRPr="00990FB6" w:rsidRDefault="00B15F7D" w:rsidP="00B15F7D">
            <w:pPr>
              <w:rPr>
                <w:sz w:val="22"/>
                <w:szCs w:val="22"/>
                <w:u w:val="single"/>
              </w:rPr>
            </w:pPr>
            <w:r w:rsidRPr="00990FB6">
              <w:rPr>
                <w:sz w:val="22"/>
                <w:szCs w:val="22"/>
                <w:u w:val="single"/>
              </w:rPr>
              <w:t>1.186.500,00</w:t>
            </w:r>
          </w:p>
        </w:tc>
        <w:tc>
          <w:tcPr>
            <w:tcW w:w="511" w:type="pct"/>
            <w:hideMark/>
          </w:tcPr>
          <w:p w14:paraId="61409EA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71364C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E0E06A7" w14:textId="77777777" w:rsidR="00B15F7D" w:rsidRPr="00990FB6" w:rsidRDefault="00B15F7D" w:rsidP="00F60AA2">
            <w:pPr>
              <w:rPr>
                <w:sz w:val="22"/>
                <w:szCs w:val="22"/>
                <w:u w:val="single"/>
              </w:rPr>
            </w:pPr>
            <w:r w:rsidRPr="00990FB6">
              <w:rPr>
                <w:sz w:val="22"/>
                <w:szCs w:val="22"/>
                <w:u w:val="single"/>
              </w:rPr>
              <w:t>Se traduce en desmejora de las condiciones de infraestructura de las oficinas de La Unión, Corredores, Golfito, Pérez Zeledón, Coto Brus, etc.</w:t>
            </w:r>
            <w:proofErr w:type="gramStart"/>
            <w:r w:rsidRPr="00990FB6">
              <w:rPr>
                <w:sz w:val="22"/>
                <w:szCs w:val="22"/>
                <w:u w:val="single"/>
              </w:rPr>
              <w:t>;  debido</w:t>
            </w:r>
            <w:proofErr w:type="gramEnd"/>
            <w:r w:rsidRPr="00990FB6">
              <w:rPr>
                <w:sz w:val="22"/>
                <w:szCs w:val="22"/>
                <w:u w:val="single"/>
              </w:rPr>
              <w:t xml:space="preserve"> a las zonas geográficas en las que se encuentran requieren trabajos de mantenimiento para la mejora de las condiciones de trabajo del personal y seguridad,  así como, de atención a la persona usuaria. Asimismo, no </w:t>
            </w:r>
            <w:r w:rsidRPr="00990FB6">
              <w:rPr>
                <w:sz w:val="22"/>
                <w:szCs w:val="22"/>
                <w:u w:val="single"/>
              </w:rPr>
              <w:lastRenderedPageBreak/>
              <w:t xml:space="preserve">se podrá gestionar reforzamiento de las bodegas de evidencias de estas oficinas, el cual es necesario para el correcto resguardo de las evidencias, de no efectuar estos trabajos se traduce en riesgo de extravío, lo cual comprometería los procesos de investigación de las diferentes causas en trámite. </w:t>
            </w:r>
          </w:p>
        </w:tc>
      </w:tr>
      <w:tr w:rsidR="00B15F7D" w:rsidRPr="00990FB6" w14:paraId="1D85EEAD" w14:textId="77777777" w:rsidTr="000A0C22">
        <w:trPr>
          <w:trHeight w:val="2320"/>
          <w:jc w:val="center"/>
        </w:trPr>
        <w:tc>
          <w:tcPr>
            <w:tcW w:w="583" w:type="pct"/>
            <w:hideMark/>
          </w:tcPr>
          <w:p w14:paraId="7237BE0E" w14:textId="77777777" w:rsidR="00B15F7D" w:rsidRPr="00990FB6" w:rsidRDefault="00B15F7D" w:rsidP="00B15F7D">
            <w:pPr>
              <w:rPr>
                <w:sz w:val="22"/>
                <w:szCs w:val="22"/>
                <w:u w:val="single"/>
              </w:rPr>
            </w:pPr>
            <w:r w:rsidRPr="00990FB6">
              <w:rPr>
                <w:sz w:val="22"/>
                <w:szCs w:val="22"/>
                <w:u w:val="single"/>
              </w:rPr>
              <w:lastRenderedPageBreak/>
              <w:t>10805</w:t>
            </w:r>
          </w:p>
        </w:tc>
        <w:tc>
          <w:tcPr>
            <w:tcW w:w="578" w:type="pct"/>
            <w:hideMark/>
          </w:tcPr>
          <w:p w14:paraId="5F830DE7" w14:textId="77777777" w:rsidR="00B15F7D" w:rsidRPr="00990FB6" w:rsidRDefault="00B15F7D" w:rsidP="00B15F7D">
            <w:pPr>
              <w:rPr>
                <w:sz w:val="22"/>
                <w:szCs w:val="22"/>
                <w:u w:val="single"/>
              </w:rPr>
            </w:pPr>
            <w:r w:rsidRPr="00990FB6">
              <w:rPr>
                <w:sz w:val="22"/>
                <w:szCs w:val="22"/>
                <w:u w:val="single"/>
              </w:rPr>
              <w:t>Mantenimiento y reparación de equipo de transporte</w:t>
            </w:r>
          </w:p>
        </w:tc>
        <w:tc>
          <w:tcPr>
            <w:tcW w:w="363" w:type="pct"/>
            <w:hideMark/>
          </w:tcPr>
          <w:p w14:paraId="41B949A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07418</w:t>
            </w:r>
          </w:p>
        </w:tc>
        <w:tc>
          <w:tcPr>
            <w:tcW w:w="1045" w:type="pct"/>
            <w:hideMark/>
          </w:tcPr>
          <w:p w14:paraId="7C4AA935" w14:textId="77777777" w:rsidR="00B15F7D" w:rsidRPr="00990FB6" w:rsidRDefault="00B15F7D" w:rsidP="00B15F7D">
            <w:pPr>
              <w:rPr>
                <w:sz w:val="22"/>
                <w:szCs w:val="22"/>
                <w:u w:val="single"/>
              </w:rPr>
            </w:pPr>
            <w:r w:rsidRPr="00990FB6">
              <w:rPr>
                <w:sz w:val="22"/>
                <w:szCs w:val="22"/>
                <w:u w:val="single"/>
              </w:rPr>
              <w:t>REPARACION DE VEHICULO</w:t>
            </w:r>
          </w:p>
        </w:tc>
        <w:tc>
          <w:tcPr>
            <w:tcW w:w="550" w:type="pct"/>
            <w:hideMark/>
          </w:tcPr>
          <w:p w14:paraId="574A62E5" w14:textId="77777777" w:rsidR="00B15F7D" w:rsidRPr="00990FB6" w:rsidRDefault="00B15F7D" w:rsidP="00B15F7D">
            <w:pPr>
              <w:rPr>
                <w:sz w:val="22"/>
                <w:szCs w:val="22"/>
                <w:u w:val="single"/>
              </w:rPr>
            </w:pPr>
            <w:r w:rsidRPr="00990FB6">
              <w:rPr>
                <w:sz w:val="22"/>
                <w:szCs w:val="22"/>
                <w:u w:val="single"/>
              </w:rPr>
              <w:t>4.130.000,00</w:t>
            </w:r>
          </w:p>
        </w:tc>
        <w:tc>
          <w:tcPr>
            <w:tcW w:w="511" w:type="pct"/>
            <w:hideMark/>
          </w:tcPr>
          <w:p w14:paraId="5BC0C2C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CFD597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E5DBF6F" w14:textId="77777777" w:rsidR="00B15F7D" w:rsidRPr="00990FB6" w:rsidRDefault="00B15F7D" w:rsidP="00F60AA2">
            <w:pPr>
              <w:rPr>
                <w:sz w:val="22"/>
                <w:szCs w:val="22"/>
                <w:u w:val="single"/>
              </w:rPr>
            </w:pPr>
            <w:r w:rsidRPr="00990FB6">
              <w:rPr>
                <w:sz w:val="22"/>
                <w:szCs w:val="22"/>
                <w:u w:val="single"/>
              </w:rPr>
              <w:t xml:space="preserve">No se podrá atender el mantenimiento de 33 unidades de la flotilla vehicular del Ministerio Público, la cual consta de 103 vehículos a nivel nacional. Por cuanto, según la estimación de gastos el costo promedio de mano de obra para el </w:t>
            </w:r>
            <w:r w:rsidRPr="00990FB6">
              <w:rPr>
                <w:sz w:val="22"/>
                <w:szCs w:val="22"/>
                <w:u w:val="single"/>
              </w:rPr>
              <w:lastRenderedPageBreak/>
              <w:t xml:space="preserve">mantenimiento y cambio de aceites asciende a ¢224 666 por unidad, para atender el mantenimiento de la totalidad de la </w:t>
            </w:r>
            <w:proofErr w:type="gramStart"/>
            <w:r w:rsidRPr="00990FB6">
              <w:rPr>
                <w:sz w:val="22"/>
                <w:szCs w:val="22"/>
                <w:u w:val="single"/>
              </w:rPr>
              <w:t>flotilla  se</w:t>
            </w:r>
            <w:proofErr w:type="gramEnd"/>
            <w:r w:rsidRPr="00990FB6">
              <w:rPr>
                <w:sz w:val="22"/>
                <w:szCs w:val="22"/>
                <w:u w:val="single"/>
              </w:rPr>
              <w:t xml:space="preserve"> requiere de ¢23 144 666. Al </w:t>
            </w:r>
            <w:proofErr w:type="gramStart"/>
            <w:r w:rsidRPr="00990FB6">
              <w:rPr>
                <w:sz w:val="22"/>
                <w:szCs w:val="22"/>
                <w:u w:val="single"/>
              </w:rPr>
              <w:t>no  efectuar</w:t>
            </w:r>
            <w:proofErr w:type="gramEnd"/>
            <w:r w:rsidRPr="00990FB6">
              <w:rPr>
                <w:sz w:val="22"/>
                <w:szCs w:val="22"/>
                <w:u w:val="single"/>
              </w:rPr>
              <w:t xml:space="preserve"> el mantenimiento vehicular se debe proceder a paralizar las unidades, generando desatención de las diligencias judiciales, lo que producirá  mora judicial y afectación en la prestación del servicio público. </w:t>
            </w:r>
            <w:r w:rsidRPr="00990FB6">
              <w:rPr>
                <w:sz w:val="22"/>
                <w:szCs w:val="22"/>
                <w:u w:val="single"/>
              </w:rPr>
              <w:br/>
              <w:t xml:space="preserve"> </w:t>
            </w:r>
          </w:p>
        </w:tc>
      </w:tr>
      <w:tr w:rsidR="00B15F7D" w:rsidRPr="00990FB6" w14:paraId="714C31F8" w14:textId="77777777" w:rsidTr="000A0C22">
        <w:trPr>
          <w:trHeight w:val="2320"/>
          <w:jc w:val="center"/>
        </w:trPr>
        <w:tc>
          <w:tcPr>
            <w:tcW w:w="583" w:type="pct"/>
            <w:hideMark/>
          </w:tcPr>
          <w:p w14:paraId="3622254F" w14:textId="77777777" w:rsidR="00B15F7D" w:rsidRPr="00990FB6" w:rsidRDefault="00B15F7D" w:rsidP="00B15F7D">
            <w:pPr>
              <w:rPr>
                <w:sz w:val="22"/>
                <w:szCs w:val="22"/>
                <w:u w:val="single"/>
              </w:rPr>
            </w:pPr>
            <w:r w:rsidRPr="00990FB6">
              <w:rPr>
                <w:sz w:val="22"/>
                <w:szCs w:val="22"/>
                <w:u w:val="single"/>
              </w:rPr>
              <w:lastRenderedPageBreak/>
              <w:t>10805</w:t>
            </w:r>
          </w:p>
        </w:tc>
        <w:tc>
          <w:tcPr>
            <w:tcW w:w="578" w:type="pct"/>
            <w:hideMark/>
          </w:tcPr>
          <w:p w14:paraId="56FE25F5" w14:textId="77777777" w:rsidR="00B15F7D" w:rsidRPr="00990FB6" w:rsidRDefault="00B15F7D" w:rsidP="00B15F7D">
            <w:pPr>
              <w:rPr>
                <w:sz w:val="22"/>
                <w:szCs w:val="22"/>
                <w:u w:val="single"/>
              </w:rPr>
            </w:pPr>
            <w:r w:rsidRPr="00990FB6">
              <w:rPr>
                <w:sz w:val="22"/>
                <w:szCs w:val="22"/>
                <w:u w:val="single"/>
              </w:rPr>
              <w:t>Mantenimiento y reparación de equipo de transporte</w:t>
            </w:r>
          </w:p>
        </w:tc>
        <w:tc>
          <w:tcPr>
            <w:tcW w:w="363" w:type="pct"/>
            <w:hideMark/>
          </w:tcPr>
          <w:p w14:paraId="6F03152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19549</w:t>
            </w:r>
          </w:p>
        </w:tc>
        <w:tc>
          <w:tcPr>
            <w:tcW w:w="1045" w:type="pct"/>
            <w:hideMark/>
          </w:tcPr>
          <w:p w14:paraId="64502BC6" w14:textId="77777777" w:rsidR="00B15F7D" w:rsidRPr="00990FB6" w:rsidRDefault="00B15F7D" w:rsidP="00B15F7D">
            <w:pPr>
              <w:rPr>
                <w:sz w:val="22"/>
                <w:szCs w:val="22"/>
                <w:u w:val="single"/>
              </w:rPr>
            </w:pPr>
            <w:r w:rsidRPr="00990FB6">
              <w:rPr>
                <w:sz w:val="22"/>
                <w:szCs w:val="22"/>
                <w:u w:val="single"/>
              </w:rPr>
              <w:t>MANTENIMIENTO Y REPARACION DE EQUIPO DE TRANSPORTE</w:t>
            </w:r>
          </w:p>
        </w:tc>
        <w:tc>
          <w:tcPr>
            <w:tcW w:w="550" w:type="pct"/>
            <w:hideMark/>
          </w:tcPr>
          <w:p w14:paraId="72AC2F42" w14:textId="77777777" w:rsidR="00B15F7D" w:rsidRPr="00990FB6" w:rsidRDefault="00B15F7D" w:rsidP="00B15F7D">
            <w:pPr>
              <w:rPr>
                <w:sz w:val="22"/>
                <w:szCs w:val="22"/>
                <w:u w:val="single"/>
              </w:rPr>
            </w:pPr>
            <w:r w:rsidRPr="00990FB6">
              <w:rPr>
                <w:sz w:val="22"/>
                <w:szCs w:val="22"/>
                <w:u w:val="single"/>
              </w:rPr>
              <w:t>4.000.000,00</w:t>
            </w:r>
          </w:p>
        </w:tc>
        <w:tc>
          <w:tcPr>
            <w:tcW w:w="511" w:type="pct"/>
            <w:hideMark/>
          </w:tcPr>
          <w:p w14:paraId="529DD92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C9FC56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8647793" w14:textId="77777777" w:rsidR="00B15F7D" w:rsidRPr="00990FB6" w:rsidRDefault="00B15F7D" w:rsidP="00F60AA2">
            <w:pPr>
              <w:rPr>
                <w:sz w:val="22"/>
                <w:szCs w:val="22"/>
                <w:u w:val="single"/>
              </w:rPr>
            </w:pPr>
            <w:r w:rsidRPr="00990FB6">
              <w:rPr>
                <w:sz w:val="22"/>
                <w:szCs w:val="22"/>
                <w:u w:val="single"/>
              </w:rPr>
              <w:t xml:space="preserve">No se podrá atender el mantenimiento de 33 unidades de la flotilla vehicular del Ministerio Público, la cual consta de 103 vehículos a nivel nacional. Por cuanto, </w:t>
            </w:r>
            <w:r w:rsidRPr="00990FB6">
              <w:rPr>
                <w:sz w:val="22"/>
                <w:szCs w:val="22"/>
                <w:u w:val="single"/>
              </w:rPr>
              <w:lastRenderedPageBreak/>
              <w:t xml:space="preserve">según la estimación de gastos el costo promedio de mano de obra para el mantenimiento y cambio de aceites asciende a ¢224 666 por unidad, para atender el mantenimiento de la totalidad de la </w:t>
            </w:r>
            <w:proofErr w:type="gramStart"/>
            <w:r w:rsidRPr="00990FB6">
              <w:rPr>
                <w:sz w:val="22"/>
                <w:szCs w:val="22"/>
                <w:u w:val="single"/>
              </w:rPr>
              <w:t>flotilla  se</w:t>
            </w:r>
            <w:proofErr w:type="gramEnd"/>
            <w:r w:rsidRPr="00990FB6">
              <w:rPr>
                <w:sz w:val="22"/>
                <w:szCs w:val="22"/>
                <w:u w:val="single"/>
              </w:rPr>
              <w:t xml:space="preserve"> requiere de ¢23 144 666. Al </w:t>
            </w:r>
            <w:proofErr w:type="gramStart"/>
            <w:r w:rsidRPr="00990FB6">
              <w:rPr>
                <w:sz w:val="22"/>
                <w:szCs w:val="22"/>
                <w:u w:val="single"/>
              </w:rPr>
              <w:t>no  efectuar</w:t>
            </w:r>
            <w:proofErr w:type="gramEnd"/>
            <w:r w:rsidRPr="00990FB6">
              <w:rPr>
                <w:sz w:val="22"/>
                <w:szCs w:val="22"/>
                <w:u w:val="single"/>
              </w:rPr>
              <w:t xml:space="preserve"> el mantenimiento vehicular se debe proceder a paralizar las unidades, generando desatención de las diligencias judiciales, lo que producirá  mora judicial y afectación en la prestación del servicio público. </w:t>
            </w:r>
            <w:r w:rsidRPr="00990FB6">
              <w:rPr>
                <w:sz w:val="22"/>
                <w:szCs w:val="22"/>
                <w:u w:val="single"/>
              </w:rPr>
              <w:br/>
              <w:t xml:space="preserve"> </w:t>
            </w:r>
          </w:p>
        </w:tc>
      </w:tr>
      <w:tr w:rsidR="00B15F7D" w:rsidRPr="00990FB6" w14:paraId="09D56831" w14:textId="77777777" w:rsidTr="000A0C22">
        <w:trPr>
          <w:trHeight w:val="2030"/>
          <w:jc w:val="center"/>
        </w:trPr>
        <w:tc>
          <w:tcPr>
            <w:tcW w:w="583" w:type="pct"/>
            <w:hideMark/>
          </w:tcPr>
          <w:p w14:paraId="1325E2B2" w14:textId="77777777" w:rsidR="00B15F7D" w:rsidRPr="00990FB6" w:rsidRDefault="00B15F7D" w:rsidP="00B15F7D">
            <w:pPr>
              <w:rPr>
                <w:sz w:val="22"/>
                <w:szCs w:val="22"/>
                <w:u w:val="single"/>
              </w:rPr>
            </w:pPr>
            <w:r w:rsidRPr="00990FB6">
              <w:rPr>
                <w:sz w:val="22"/>
                <w:szCs w:val="22"/>
                <w:u w:val="single"/>
              </w:rPr>
              <w:lastRenderedPageBreak/>
              <w:t>10806</w:t>
            </w:r>
          </w:p>
        </w:tc>
        <w:tc>
          <w:tcPr>
            <w:tcW w:w="578" w:type="pct"/>
            <w:hideMark/>
          </w:tcPr>
          <w:p w14:paraId="2F7673D9" w14:textId="77777777" w:rsidR="00B15F7D" w:rsidRPr="00990FB6" w:rsidRDefault="00B15F7D" w:rsidP="00B15F7D">
            <w:pPr>
              <w:rPr>
                <w:sz w:val="22"/>
                <w:szCs w:val="22"/>
                <w:u w:val="single"/>
              </w:rPr>
            </w:pPr>
            <w:r w:rsidRPr="00990FB6">
              <w:rPr>
                <w:sz w:val="22"/>
                <w:szCs w:val="22"/>
                <w:u w:val="single"/>
              </w:rPr>
              <w:t>Mantenimiento y reparación de equipo de comunicación</w:t>
            </w:r>
          </w:p>
        </w:tc>
        <w:tc>
          <w:tcPr>
            <w:tcW w:w="363" w:type="pct"/>
            <w:hideMark/>
          </w:tcPr>
          <w:p w14:paraId="6E47139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07650</w:t>
            </w:r>
          </w:p>
        </w:tc>
        <w:tc>
          <w:tcPr>
            <w:tcW w:w="1045" w:type="pct"/>
            <w:hideMark/>
          </w:tcPr>
          <w:p w14:paraId="37C84853" w14:textId="77777777" w:rsidR="00B15F7D" w:rsidRPr="00990FB6" w:rsidRDefault="00B15F7D" w:rsidP="00B15F7D">
            <w:pPr>
              <w:rPr>
                <w:sz w:val="22"/>
                <w:szCs w:val="22"/>
                <w:u w:val="single"/>
              </w:rPr>
            </w:pPr>
            <w:r w:rsidRPr="00990FB6">
              <w:rPr>
                <w:sz w:val="22"/>
                <w:szCs w:val="22"/>
                <w:u w:val="single"/>
              </w:rPr>
              <w:t>SERVICIO DE REPARACION DE FAX</w:t>
            </w:r>
          </w:p>
        </w:tc>
        <w:tc>
          <w:tcPr>
            <w:tcW w:w="550" w:type="pct"/>
            <w:hideMark/>
          </w:tcPr>
          <w:p w14:paraId="198B6D59" w14:textId="77777777" w:rsidR="00B15F7D" w:rsidRPr="00990FB6" w:rsidRDefault="00B15F7D" w:rsidP="00B15F7D">
            <w:pPr>
              <w:rPr>
                <w:sz w:val="22"/>
                <w:szCs w:val="22"/>
                <w:u w:val="single"/>
              </w:rPr>
            </w:pPr>
            <w:r w:rsidRPr="00990FB6">
              <w:rPr>
                <w:sz w:val="22"/>
                <w:szCs w:val="22"/>
                <w:u w:val="single"/>
              </w:rPr>
              <w:t>570.000,00</w:t>
            </w:r>
          </w:p>
        </w:tc>
        <w:tc>
          <w:tcPr>
            <w:tcW w:w="511" w:type="pct"/>
            <w:hideMark/>
          </w:tcPr>
          <w:p w14:paraId="14EEB6F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4EDEE1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6D378FD" w14:textId="77777777" w:rsidR="00B15F7D" w:rsidRPr="00990FB6" w:rsidRDefault="00B15F7D" w:rsidP="00F60AA2">
            <w:pPr>
              <w:rPr>
                <w:sz w:val="22"/>
                <w:szCs w:val="22"/>
                <w:u w:val="single"/>
              </w:rPr>
            </w:pPr>
            <w:r w:rsidRPr="00990FB6">
              <w:rPr>
                <w:sz w:val="22"/>
                <w:szCs w:val="22"/>
                <w:u w:val="single"/>
              </w:rPr>
              <w:t xml:space="preserve">No se podrá atender la reparación de los fax de las fiscalías de Pérez Zeledón, Cartago, Turrialba, Heredia, Tarrazú, La Unión, Sarapiquí, Alajuela, Grecia, San Ramón y </w:t>
            </w:r>
            <w:proofErr w:type="gramStart"/>
            <w:r w:rsidRPr="00990FB6">
              <w:rPr>
                <w:sz w:val="22"/>
                <w:szCs w:val="22"/>
                <w:u w:val="single"/>
              </w:rPr>
              <w:t>Atenas,  número</w:t>
            </w:r>
            <w:proofErr w:type="gramEnd"/>
            <w:r w:rsidRPr="00990FB6">
              <w:rPr>
                <w:sz w:val="22"/>
                <w:szCs w:val="22"/>
                <w:u w:val="single"/>
              </w:rPr>
              <w:t xml:space="preserve"> de activo:  610591, 610593, 610595, 610610, 610617, 665417, 610620, 665417, 527912, 790092, 684392, 789412, 789413 y 789414. El no disponer de equipo en buen funcionamientos se traduce en desmejora en la prestación del servicio que </w:t>
            </w:r>
            <w:proofErr w:type="gramStart"/>
            <w:r w:rsidRPr="00990FB6">
              <w:rPr>
                <w:sz w:val="22"/>
                <w:szCs w:val="22"/>
                <w:u w:val="single"/>
              </w:rPr>
              <w:t>se  brinda</w:t>
            </w:r>
            <w:proofErr w:type="gramEnd"/>
            <w:r w:rsidRPr="00990FB6">
              <w:rPr>
                <w:sz w:val="22"/>
                <w:szCs w:val="22"/>
                <w:u w:val="single"/>
              </w:rPr>
              <w:t xml:space="preserve"> a la ciudadanía. Se desatendería la </w:t>
            </w:r>
            <w:r w:rsidRPr="00990FB6">
              <w:rPr>
                <w:sz w:val="22"/>
                <w:szCs w:val="22"/>
                <w:u w:val="single"/>
              </w:rPr>
              <w:lastRenderedPageBreak/>
              <w:t xml:space="preserve">reparación de 13 equipos distribuidos a nivel nacional, poniendo en riesgo la </w:t>
            </w:r>
            <w:proofErr w:type="gramStart"/>
            <w:r w:rsidRPr="00990FB6">
              <w:rPr>
                <w:sz w:val="22"/>
                <w:szCs w:val="22"/>
                <w:u w:val="single"/>
              </w:rPr>
              <w:t>recepción  y</w:t>
            </w:r>
            <w:proofErr w:type="gramEnd"/>
            <w:r w:rsidRPr="00990FB6">
              <w:rPr>
                <w:sz w:val="22"/>
                <w:szCs w:val="22"/>
                <w:u w:val="single"/>
              </w:rPr>
              <w:t xml:space="preserve"> envío de notificaciones y diligencias judiciales. </w:t>
            </w:r>
          </w:p>
        </w:tc>
      </w:tr>
      <w:tr w:rsidR="00B15F7D" w:rsidRPr="00990FB6" w14:paraId="72306F95" w14:textId="77777777" w:rsidTr="000A0C22">
        <w:trPr>
          <w:trHeight w:val="2030"/>
          <w:jc w:val="center"/>
        </w:trPr>
        <w:tc>
          <w:tcPr>
            <w:tcW w:w="583" w:type="pct"/>
            <w:hideMark/>
          </w:tcPr>
          <w:p w14:paraId="5B0AD0F4" w14:textId="77777777" w:rsidR="00B15F7D" w:rsidRPr="00990FB6" w:rsidRDefault="00B15F7D" w:rsidP="00B15F7D">
            <w:pPr>
              <w:rPr>
                <w:sz w:val="22"/>
                <w:szCs w:val="22"/>
                <w:u w:val="single"/>
              </w:rPr>
            </w:pPr>
            <w:r w:rsidRPr="00990FB6">
              <w:rPr>
                <w:sz w:val="22"/>
                <w:szCs w:val="22"/>
                <w:u w:val="single"/>
              </w:rPr>
              <w:lastRenderedPageBreak/>
              <w:t>10806</w:t>
            </w:r>
          </w:p>
        </w:tc>
        <w:tc>
          <w:tcPr>
            <w:tcW w:w="578" w:type="pct"/>
            <w:hideMark/>
          </w:tcPr>
          <w:p w14:paraId="48FF0079" w14:textId="77777777" w:rsidR="00B15F7D" w:rsidRPr="00990FB6" w:rsidRDefault="00B15F7D" w:rsidP="00B15F7D">
            <w:pPr>
              <w:rPr>
                <w:sz w:val="22"/>
                <w:szCs w:val="22"/>
                <w:u w:val="single"/>
              </w:rPr>
            </w:pPr>
            <w:r w:rsidRPr="00990FB6">
              <w:rPr>
                <w:sz w:val="22"/>
                <w:szCs w:val="22"/>
                <w:u w:val="single"/>
              </w:rPr>
              <w:t>Mantenimiento y reparación de equipo de comunicación</w:t>
            </w:r>
          </w:p>
        </w:tc>
        <w:tc>
          <w:tcPr>
            <w:tcW w:w="363" w:type="pct"/>
            <w:hideMark/>
          </w:tcPr>
          <w:p w14:paraId="79C2080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14287</w:t>
            </w:r>
          </w:p>
        </w:tc>
        <w:tc>
          <w:tcPr>
            <w:tcW w:w="1045" w:type="pct"/>
            <w:hideMark/>
          </w:tcPr>
          <w:p w14:paraId="23BA1DB4" w14:textId="77777777" w:rsidR="00B15F7D" w:rsidRPr="00990FB6" w:rsidRDefault="00B15F7D" w:rsidP="00B15F7D">
            <w:pPr>
              <w:rPr>
                <w:sz w:val="22"/>
                <w:szCs w:val="22"/>
                <w:u w:val="single"/>
              </w:rPr>
            </w:pPr>
            <w:r w:rsidRPr="00990FB6">
              <w:rPr>
                <w:sz w:val="22"/>
                <w:szCs w:val="22"/>
                <w:u w:val="single"/>
              </w:rPr>
              <w:t>MANTENIMIENTO Y REPARACION DE EQUIPO DE COMUNICACION</w:t>
            </w:r>
          </w:p>
        </w:tc>
        <w:tc>
          <w:tcPr>
            <w:tcW w:w="550" w:type="pct"/>
            <w:hideMark/>
          </w:tcPr>
          <w:p w14:paraId="3612484D" w14:textId="77777777" w:rsidR="00B15F7D" w:rsidRPr="00990FB6" w:rsidRDefault="00B15F7D" w:rsidP="00B15F7D">
            <w:pPr>
              <w:rPr>
                <w:sz w:val="22"/>
                <w:szCs w:val="22"/>
                <w:u w:val="single"/>
              </w:rPr>
            </w:pPr>
            <w:r w:rsidRPr="00990FB6">
              <w:rPr>
                <w:sz w:val="22"/>
                <w:szCs w:val="22"/>
                <w:u w:val="single"/>
              </w:rPr>
              <w:t>250.000,00</w:t>
            </w:r>
          </w:p>
        </w:tc>
        <w:tc>
          <w:tcPr>
            <w:tcW w:w="511" w:type="pct"/>
            <w:hideMark/>
          </w:tcPr>
          <w:p w14:paraId="766C778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A317F4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7ECCAE5" w14:textId="77777777" w:rsidR="00B15F7D" w:rsidRPr="00990FB6" w:rsidRDefault="00B15F7D" w:rsidP="00F60AA2">
            <w:pPr>
              <w:rPr>
                <w:sz w:val="22"/>
                <w:szCs w:val="22"/>
                <w:u w:val="single"/>
              </w:rPr>
            </w:pPr>
            <w:r w:rsidRPr="00990FB6">
              <w:rPr>
                <w:sz w:val="22"/>
                <w:szCs w:val="22"/>
                <w:u w:val="single"/>
              </w:rPr>
              <w:t xml:space="preserve">No se podrá atender la reparación de los fax de las fiscalías de Pérez Zeledón, Cartago, Turrialba, Heredia, Tarrazú, La Unión, Sarapiquí, Alajuela, Grecia, San Ramón y Atenas, número de activo 610591, 610593, 610595, 610610, 610617, 665417, 610620, 665417, 527912, 790092, 684392, 789412, 789413 </w:t>
            </w:r>
            <w:r w:rsidRPr="00990FB6">
              <w:rPr>
                <w:sz w:val="22"/>
                <w:szCs w:val="22"/>
                <w:u w:val="single"/>
              </w:rPr>
              <w:lastRenderedPageBreak/>
              <w:t xml:space="preserve">y 789414. El no disponer de equipo en buen funcionamientos se traduce en desmejora en la prestación del servicio que </w:t>
            </w:r>
            <w:proofErr w:type="gramStart"/>
            <w:r w:rsidRPr="00990FB6">
              <w:rPr>
                <w:sz w:val="22"/>
                <w:szCs w:val="22"/>
                <w:u w:val="single"/>
              </w:rPr>
              <w:t>se  brinda</w:t>
            </w:r>
            <w:proofErr w:type="gramEnd"/>
            <w:r w:rsidRPr="00990FB6">
              <w:rPr>
                <w:sz w:val="22"/>
                <w:szCs w:val="22"/>
                <w:u w:val="single"/>
              </w:rPr>
              <w:t xml:space="preserve"> a la ciudadanía. Se desentendería la reparación de 13 equipos distribuidos a nivel nacional, poniendo en riesgo la </w:t>
            </w:r>
            <w:proofErr w:type="gramStart"/>
            <w:r w:rsidRPr="00990FB6">
              <w:rPr>
                <w:sz w:val="22"/>
                <w:szCs w:val="22"/>
                <w:u w:val="single"/>
              </w:rPr>
              <w:t>recepción  y</w:t>
            </w:r>
            <w:proofErr w:type="gramEnd"/>
            <w:r w:rsidRPr="00990FB6">
              <w:rPr>
                <w:sz w:val="22"/>
                <w:szCs w:val="22"/>
                <w:u w:val="single"/>
              </w:rPr>
              <w:t xml:space="preserve"> envío de notificaciones y diligencias judiciales. </w:t>
            </w:r>
          </w:p>
        </w:tc>
      </w:tr>
      <w:tr w:rsidR="00B15F7D" w:rsidRPr="00990FB6" w14:paraId="0DD4016F" w14:textId="77777777" w:rsidTr="000A0C22">
        <w:trPr>
          <w:trHeight w:val="2030"/>
          <w:jc w:val="center"/>
        </w:trPr>
        <w:tc>
          <w:tcPr>
            <w:tcW w:w="583" w:type="pct"/>
            <w:hideMark/>
          </w:tcPr>
          <w:p w14:paraId="47359067" w14:textId="77777777" w:rsidR="00B15F7D" w:rsidRPr="00990FB6" w:rsidRDefault="00B15F7D" w:rsidP="00B15F7D">
            <w:pPr>
              <w:rPr>
                <w:sz w:val="22"/>
                <w:szCs w:val="22"/>
                <w:u w:val="single"/>
              </w:rPr>
            </w:pPr>
            <w:r w:rsidRPr="00990FB6">
              <w:rPr>
                <w:sz w:val="22"/>
                <w:szCs w:val="22"/>
                <w:u w:val="single"/>
              </w:rPr>
              <w:lastRenderedPageBreak/>
              <w:t>10806</w:t>
            </w:r>
          </w:p>
        </w:tc>
        <w:tc>
          <w:tcPr>
            <w:tcW w:w="578" w:type="pct"/>
            <w:hideMark/>
          </w:tcPr>
          <w:p w14:paraId="6CF1A132" w14:textId="77777777" w:rsidR="00B15F7D" w:rsidRPr="00990FB6" w:rsidRDefault="00B15F7D" w:rsidP="00B15F7D">
            <w:pPr>
              <w:rPr>
                <w:sz w:val="22"/>
                <w:szCs w:val="22"/>
                <w:u w:val="single"/>
              </w:rPr>
            </w:pPr>
            <w:r w:rsidRPr="00990FB6">
              <w:rPr>
                <w:sz w:val="22"/>
                <w:szCs w:val="22"/>
                <w:u w:val="single"/>
              </w:rPr>
              <w:t>Mantenimiento y reparación de equipo de comunicación</w:t>
            </w:r>
          </w:p>
        </w:tc>
        <w:tc>
          <w:tcPr>
            <w:tcW w:w="363" w:type="pct"/>
            <w:hideMark/>
          </w:tcPr>
          <w:p w14:paraId="0CC1FCF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19550</w:t>
            </w:r>
          </w:p>
        </w:tc>
        <w:tc>
          <w:tcPr>
            <w:tcW w:w="1045" w:type="pct"/>
            <w:hideMark/>
          </w:tcPr>
          <w:p w14:paraId="0911741C" w14:textId="77777777" w:rsidR="00B15F7D" w:rsidRPr="00990FB6" w:rsidRDefault="00B15F7D" w:rsidP="00B15F7D">
            <w:pPr>
              <w:rPr>
                <w:sz w:val="22"/>
                <w:szCs w:val="22"/>
                <w:u w:val="single"/>
              </w:rPr>
            </w:pPr>
            <w:r w:rsidRPr="00990FB6">
              <w:rPr>
                <w:sz w:val="22"/>
                <w:szCs w:val="22"/>
                <w:u w:val="single"/>
              </w:rPr>
              <w:t>MANTENIMIENTO Y REPARACION DE EQUIPO DE COMUNICACION</w:t>
            </w:r>
          </w:p>
        </w:tc>
        <w:tc>
          <w:tcPr>
            <w:tcW w:w="550" w:type="pct"/>
            <w:hideMark/>
          </w:tcPr>
          <w:p w14:paraId="7D9FFF61" w14:textId="77777777" w:rsidR="00B15F7D" w:rsidRPr="00990FB6" w:rsidRDefault="00B15F7D" w:rsidP="00B15F7D">
            <w:pPr>
              <w:rPr>
                <w:sz w:val="22"/>
                <w:szCs w:val="22"/>
                <w:u w:val="single"/>
              </w:rPr>
            </w:pPr>
            <w:r w:rsidRPr="00990FB6">
              <w:rPr>
                <w:sz w:val="22"/>
                <w:szCs w:val="22"/>
                <w:u w:val="single"/>
              </w:rPr>
              <w:t>300.000,00</w:t>
            </w:r>
          </w:p>
        </w:tc>
        <w:tc>
          <w:tcPr>
            <w:tcW w:w="511" w:type="pct"/>
            <w:noWrap/>
            <w:hideMark/>
          </w:tcPr>
          <w:p w14:paraId="7E1528B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CC7034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9D51002" w14:textId="77777777" w:rsidR="00B15F7D" w:rsidRPr="00990FB6" w:rsidRDefault="00B15F7D" w:rsidP="00F60AA2">
            <w:pPr>
              <w:rPr>
                <w:sz w:val="22"/>
                <w:szCs w:val="22"/>
                <w:u w:val="single"/>
              </w:rPr>
            </w:pPr>
            <w:r w:rsidRPr="00990FB6">
              <w:rPr>
                <w:sz w:val="22"/>
                <w:szCs w:val="22"/>
                <w:u w:val="single"/>
              </w:rPr>
              <w:t xml:space="preserve">No se podrá atender la reparación de los fax de las fiscalías de Pérez Zeledón, Cartago, Turrialba, Heredia, Tarrazú, La Unión, Sarapiquí, Alajuela, Grecia, San Ramón y Atenas, </w:t>
            </w:r>
            <w:proofErr w:type="gramStart"/>
            <w:r w:rsidRPr="00990FB6">
              <w:rPr>
                <w:sz w:val="22"/>
                <w:szCs w:val="22"/>
                <w:u w:val="single"/>
              </w:rPr>
              <w:t>número  de</w:t>
            </w:r>
            <w:proofErr w:type="gramEnd"/>
            <w:r w:rsidRPr="00990FB6">
              <w:rPr>
                <w:sz w:val="22"/>
                <w:szCs w:val="22"/>
                <w:u w:val="single"/>
              </w:rPr>
              <w:t xml:space="preserve"> activo 610591, </w:t>
            </w:r>
            <w:r w:rsidRPr="00990FB6">
              <w:rPr>
                <w:sz w:val="22"/>
                <w:szCs w:val="22"/>
                <w:u w:val="single"/>
              </w:rPr>
              <w:lastRenderedPageBreak/>
              <w:t xml:space="preserve">610593, 610595, 610610, 610617, 665417, 610620, 665417, 527912, 790092, 684392, 789412, 789413 y 789414. El no disponer de equipo en buen funcionamientos se traduce en desmejora en la prestación del servicio que </w:t>
            </w:r>
            <w:proofErr w:type="gramStart"/>
            <w:r w:rsidRPr="00990FB6">
              <w:rPr>
                <w:sz w:val="22"/>
                <w:szCs w:val="22"/>
                <w:u w:val="single"/>
              </w:rPr>
              <w:t>se  brinda</w:t>
            </w:r>
            <w:proofErr w:type="gramEnd"/>
            <w:r w:rsidRPr="00990FB6">
              <w:rPr>
                <w:sz w:val="22"/>
                <w:szCs w:val="22"/>
                <w:u w:val="single"/>
              </w:rPr>
              <w:t xml:space="preserve"> a la ciudadanía. Se desatendería la reparación de 13 equipos distribuidos a nivel nacional, poniendo en riesgo la </w:t>
            </w:r>
            <w:proofErr w:type="gramStart"/>
            <w:r w:rsidRPr="00990FB6">
              <w:rPr>
                <w:sz w:val="22"/>
                <w:szCs w:val="22"/>
                <w:u w:val="single"/>
              </w:rPr>
              <w:t>recepción  y</w:t>
            </w:r>
            <w:proofErr w:type="gramEnd"/>
            <w:r w:rsidRPr="00990FB6">
              <w:rPr>
                <w:sz w:val="22"/>
                <w:szCs w:val="22"/>
                <w:u w:val="single"/>
              </w:rPr>
              <w:t xml:space="preserve"> envío de notificaciones y diligencias judiciales. </w:t>
            </w:r>
          </w:p>
        </w:tc>
      </w:tr>
      <w:tr w:rsidR="00B15F7D" w:rsidRPr="00990FB6" w14:paraId="2EE3E565" w14:textId="77777777" w:rsidTr="000A0C22">
        <w:trPr>
          <w:trHeight w:val="1450"/>
          <w:jc w:val="center"/>
        </w:trPr>
        <w:tc>
          <w:tcPr>
            <w:tcW w:w="583" w:type="pct"/>
            <w:hideMark/>
          </w:tcPr>
          <w:p w14:paraId="1947B799" w14:textId="77777777" w:rsidR="00B15F7D" w:rsidRPr="00990FB6" w:rsidRDefault="00B15F7D" w:rsidP="00B15F7D">
            <w:pPr>
              <w:rPr>
                <w:sz w:val="22"/>
                <w:szCs w:val="22"/>
                <w:u w:val="single"/>
              </w:rPr>
            </w:pPr>
            <w:r w:rsidRPr="00990FB6">
              <w:rPr>
                <w:sz w:val="22"/>
                <w:szCs w:val="22"/>
                <w:u w:val="single"/>
              </w:rPr>
              <w:lastRenderedPageBreak/>
              <w:t>10807</w:t>
            </w:r>
          </w:p>
        </w:tc>
        <w:tc>
          <w:tcPr>
            <w:tcW w:w="578" w:type="pct"/>
            <w:hideMark/>
          </w:tcPr>
          <w:p w14:paraId="6F5B2BDD" w14:textId="77777777" w:rsidR="00B15F7D" w:rsidRPr="00990FB6" w:rsidRDefault="00B15F7D" w:rsidP="00B15F7D">
            <w:pPr>
              <w:rPr>
                <w:sz w:val="22"/>
                <w:szCs w:val="22"/>
                <w:u w:val="single"/>
              </w:rPr>
            </w:pPr>
            <w:r w:rsidRPr="00990FB6">
              <w:rPr>
                <w:sz w:val="22"/>
                <w:szCs w:val="22"/>
                <w:u w:val="single"/>
              </w:rPr>
              <w:t>Mantenimiento y reparación de equipo y mobiliario de oficina</w:t>
            </w:r>
          </w:p>
        </w:tc>
        <w:tc>
          <w:tcPr>
            <w:tcW w:w="363" w:type="pct"/>
            <w:hideMark/>
          </w:tcPr>
          <w:p w14:paraId="17AEC1D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08102</w:t>
            </w:r>
          </w:p>
        </w:tc>
        <w:tc>
          <w:tcPr>
            <w:tcW w:w="1045" w:type="pct"/>
            <w:hideMark/>
          </w:tcPr>
          <w:p w14:paraId="264EEEA8" w14:textId="77777777" w:rsidR="00B15F7D" w:rsidRPr="00990FB6" w:rsidRDefault="00B15F7D" w:rsidP="00B15F7D">
            <w:pPr>
              <w:rPr>
                <w:sz w:val="22"/>
                <w:szCs w:val="22"/>
                <w:u w:val="single"/>
              </w:rPr>
            </w:pPr>
            <w:r w:rsidRPr="00990FB6">
              <w:rPr>
                <w:sz w:val="22"/>
                <w:szCs w:val="22"/>
                <w:u w:val="single"/>
              </w:rPr>
              <w:t>MANTENIMIENTO Y REPARACION DE EQUIPO Y MOBILIARIO DE OFICINA</w:t>
            </w:r>
          </w:p>
        </w:tc>
        <w:tc>
          <w:tcPr>
            <w:tcW w:w="550" w:type="pct"/>
            <w:hideMark/>
          </w:tcPr>
          <w:p w14:paraId="3D267A8C" w14:textId="77777777" w:rsidR="00B15F7D" w:rsidRPr="00990FB6" w:rsidRDefault="00B15F7D" w:rsidP="00B15F7D">
            <w:pPr>
              <w:rPr>
                <w:sz w:val="22"/>
                <w:szCs w:val="22"/>
                <w:u w:val="single"/>
              </w:rPr>
            </w:pPr>
            <w:r w:rsidRPr="00990FB6">
              <w:rPr>
                <w:sz w:val="22"/>
                <w:szCs w:val="22"/>
                <w:u w:val="single"/>
              </w:rPr>
              <w:t>3.194.820,00</w:t>
            </w:r>
          </w:p>
        </w:tc>
        <w:tc>
          <w:tcPr>
            <w:tcW w:w="511" w:type="pct"/>
            <w:hideMark/>
          </w:tcPr>
          <w:p w14:paraId="08382CB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E17685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30B2DAC" w14:textId="77777777" w:rsidR="00B15F7D" w:rsidRPr="00990FB6" w:rsidRDefault="00B15F7D" w:rsidP="00F60AA2">
            <w:pPr>
              <w:rPr>
                <w:sz w:val="22"/>
                <w:szCs w:val="22"/>
                <w:u w:val="single"/>
              </w:rPr>
            </w:pPr>
            <w:r w:rsidRPr="00990FB6">
              <w:rPr>
                <w:sz w:val="22"/>
                <w:szCs w:val="22"/>
                <w:u w:val="single"/>
              </w:rPr>
              <w:t xml:space="preserve">Afectación directa a la operatividad del Ministerio Público. No se podrá atender la reparación de </w:t>
            </w:r>
            <w:r w:rsidRPr="00990FB6">
              <w:rPr>
                <w:sz w:val="22"/>
                <w:szCs w:val="22"/>
                <w:u w:val="single"/>
              </w:rPr>
              <w:lastRenderedPageBreak/>
              <w:t xml:space="preserve">mobiliario y equipo de oficinas de las fiscalías del Ministerio Público en el I Circuito Judicial de San José. Desmejora en las condiciones básicas de trabajo de </w:t>
            </w:r>
            <w:proofErr w:type="gramStart"/>
            <w:r w:rsidRPr="00990FB6">
              <w:rPr>
                <w:sz w:val="22"/>
                <w:szCs w:val="22"/>
                <w:u w:val="single"/>
              </w:rPr>
              <w:t>los  funcionarios</w:t>
            </w:r>
            <w:proofErr w:type="gramEnd"/>
            <w:r w:rsidRPr="00990FB6">
              <w:rPr>
                <w:sz w:val="22"/>
                <w:szCs w:val="22"/>
                <w:u w:val="single"/>
              </w:rPr>
              <w:t xml:space="preserve"> de dicho circuito, que no contarán con mobiliario en buenas condiciones, mal ambiente laboral,  así como la desmejora en la atención a los usuarios. </w:t>
            </w:r>
          </w:p>
        </w:tc>
      </w:tr>
      <w:tr w:rsidR="00B15F7D" w:rsidRPr="00990FB6" w14:paraId="57FBA3E6" w14:textId="77777777" w:rsidTr="000A0C22">
        <w:trPr>
          <w:trHeight w:val="1450"/>
          <w:jc w:val="center"/>
        </w:trPr>
        <w:tc>
          <w:tcPr>
            <w:tcW w:w="583" w:type="pct"/>
            <w:hideMark/>
          </w:tcPr>
          <w:p w14:paraId="77E41939" w14:textId="77777777" w:rsidR="00B15F7D" w:rsidRPr="00990FB6" w:rsidRDefault="00B15F7D" w:rsidP="00B15F7D">
            <w:pPr>
              <w:rPr>
                <w:sz w:val="22"/>
                <w:szCs w:val="22"/>
                <w:u w:val="single"/>
              </w:rPr>
            </w:pPr>
            <w:r w:rsidRPr="00990FB6">
              <w:rPr>
                <w:sz w:val="22"/>
                <w:szCs w:val="22"/>
                <w:u w:val="single"/>
              </w:rPr>
              <w:lastRenderedPageBreak/>
              <w:t>10807</w:t>
            </w:r>
          </w:p>
        </w:tc>
        <w:tc>
          <w:tcPr>
            <w:tcW w:w="578" w:type="pct"/>
            <w:hideMark/>
          </w:tcPr>
          <w:p w14:paraId="04A88F21" w14:textId="77777777" w:rsidR="00B15F7D" w:rsidRPr="00990FB6" w:rsidRDefault="00B15F7D" w:rsidP="00B15F7D">
            <w:pPr>
              <w:rPr>
                <w:sz w:val="22"/>
                <w:szCs w:val="22"/>
                <w:u w:val="single"/>
              </w:rPr>
            </w:pPr>
            <w:r w:rsidRPr="00990FB6">
              <w:rPr>
                <w:sz w:val="22"/>
                <w:szCs w:val="22"/>
                <w:u w:val="single"/>
              </w:rPr>
              <w:t>Mantenimiento y reparación de equipo y mobiliario de oficina</w:t>
            </w:r>
          </w:p>
        </w:tc>
        <w:tc>
          <w:tcPr>
            <w:tcW w:w="363" w:type="pct"/>
            <w:hideMark/>
          </w:tcPr>
          <w:p w14:paraId="51879C5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07807</w:t>
            </w:r>
          </w:p>
        </w:tc>
        <w:tc>
          <w:tcPr>
            <w:tcW w:w="1045" w:type="pct"/>
            <w:hideMark/>
          </w:tcPr>
          <w:p w14:paraId="5A86582D" w14:textId="77777777" w:rsidR="00B15F7D" w:rsidRPr="00990FB6" w:rsidRDefault="00B15F7D" w:rsidP="00B15F7D">
            <w:pPr>
              <w:rPr>
                <w:sz w:val="22"/>
                <w:szCs w:val="22"/>
                <w:u w:val="single"/>
              </w:rPr>
            </w:pPr>
            <w:r w:rsidRPr="00990FB6">
              <w:rPr>
                <w:sz w:val="22"/>
                <w:szCs w:val="22"/>
                <w:u w:val="single"/>
              </w:rPr>
              <w:t>REP. DE VENTILADOR DE PARED</w:t>
            </w:r>
          </w:p>
        </w:tc>
        <w:tc>
          <w:tcPr>
            <w:tcW w:w="550" w:type="pct"/>
            <w:hideMark/>
          </w:tcPr>
          <w:p w14:paraId="6EF19F9F" w14:textId="77777777" w:rsidR="00B15F7D" w:rsidRPr="00990FB6" w:rsidRDefault="00B15F7D" w:rsidP="00B15F7D">
            <w:pPr>
              <w:rPr>
                <w:sz w:val="22"/>
                <w:szCs w:val="22"/>
                <w:u w:val="single"/>
              </w:rPr>
            </w:pPr>
            <w:r w:rsidRPr="00990FB6">
              <w:rPr>
                <w:sz w:val="22"/>
                <w:szCs w:val="22"/>
                <w:u w:val="single"/>
              </w:rPr>
              <w:t>51.205,00</w:t>
            </w:r>
          </w:p>
        </w:tc>
        <w:tc>
          <w:tcPr>
            <w:tcW w:w="511" w:type="pct"/>
            <w:noWrap/>
            <w:hideMark/>
          </w:tcPr>
          <w:p w14:paraId="4685787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96B680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883164E" w14:textId="77777777" w:rsidR="00B15F7D" w:rsidRPr="00990FB6" w:rsidRDefault="00B15F7D" w:rsidP="00F60AA2">
            <w:pPr>
              <w:rPr>
                <w:sz w:val="22"/>
                <w:szCs w:val="22"/>
                <w:u w:val="single"/>
              </w:rPr>
            </w:pPr>
            <w:r w:rsidRPr="00990FB6">
              <w:rPr>
                <w:sz w:val="22"/>
                <w:szCs w:val="22"/>
                <w:u w:val="single"/>
              </w:rPr>
              <w:t xml:space="preserve">Afectación directa a la operatividad del Ministerio Público. No se podrá atender la reparación de mobiliario y equipo de oficinas de las fiscalías del Ministerio Público en el I Circuito Judicial de San </w:t>
            </w:r>
            <w:r w:rsidRPr="00990FB6">
              <w:rPr>
                <w:sz w:val="22"/>
                <w:szCs w:val="22"/>
                <w:u w:val="single"/>
              </w:rPr>
              <w:lastRenderedPageBreak/>
              <w:t xml:space="preserve">José. Desmejora en las condiciones básicas de trabajo de </w:t>
            </w:r>
            <w:proofErr w:type="gramStart"/>
            <w:r w:rsidRPr="00990FB6">
              <w:rPr>
                <w:sz w:val="22"/>
                <w:szCs w:val="22"/>
                <w:u w:val="single"/>
              </w:rPr>
              <w:t>los  funcionarios</w:t>
            </w:r>
            <w:proofErr w:type="gramEnd"/>
            <w:r w:rsidRPr="00990FB6">
              <w:rPr>
                <w:sz w:val="22"/>
                <w:szCs w:val="22"/>
                <w:u w:val="single"/>
              </w:rPr>
              <w:t xml:space="preserve"> de dicho circuito, que no contarán con mobiliario en buenas condiciones, mal ambiente laboral,  así como la desmejora en la atención a los usuarios. </w:t>
            </w:r>
          </w:p>
        </w:tc>
      </w:tr>
      <w:tr w:rsidR="00B15F7D" w:rsidRPr="00990FB6" w14:paraId="31EA3B55" w14:textId="77777777" w:rsidTr="000A0C22">
        <w:trPr>
          <w:trHeight w:val="1450"/>
          <w:jc w:val="center"/>
        </w:trPr>
        <w:tc>
          <w:tcPr>
            <w:tcW w:w="583" w:type="pct"/>
            <w:hideMark/>
          </w:tcPr>
          <w:p w14:paraId="6BCB883E" w14:textId="77777777" w:rsidR="00B15F7D" w:rsidRPr="00990FB6" w:rsidRDefault="00B15F7D" w:rsidP="00B15F7D">
            <w:pPr>
              <w:rPr>
                <w:sz w:val="22"/>
                <w:szCs w:val="22"/>
                <w:u w:val="single"/>
              </w:rPr>
            </w:pPr>
            <w:r w:rsidRPr="00990FB6">
              <w:rPr>
                <w:sz w:val="22"/>
                <w:szCs w:val="22"/>
                <w:u w:val="single"/>
              </w:rPr>
              <w:lastRenderedPageBreak/>
              <w:t>10807</w:t>
            </w:r>
          </w:p>
        </w:tc>
        <w:tc>
          <w:tcPr>
            <w:tcW w:w="578" w:type="pct"/>
            <w:hideMark/>
          </w:tcPr>
          <w:p w14:paraId="7A369C9E" w14:textId="77777777" w:rsidR="00B15F7D" w:rsidRPr="00990FB6" w:rsidRDefault="00B15F7D" w:rsidP="00B15F7D">
            <w:pPr>
              <w:rPr>
                <w:sz w:val="22"/>
                <w:szCs w:val="22"/>
                <w:u w:val="single"/>
              </w:rPr>
            </w:pPr>
            <w:r w:rsidRPr="00990FB6">
              <w:rPr>
                <w:sz w:val="22"/>
                <w:szCs w:val="22"/>
                <w:u w:val="single"/>
              </w:rPr>
              <w:t>Mantenimiento y reparación de equipo y mobiliario de oficina</w:t>
            </w:r>
          </w:p>
        </w:tc>
        <w:tc>
          <w:tcPr>
            <w:tcW w:w="363" w:type="pct"/>
            <w:hideMark/>
          </w:tcPr>
          <w:p w14:paraId="1C23616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07998</w:t>
            </w:r>
          </w:p>
        </w:tc>
        <w:tc>
          <w:tcPr>
            <w:tcW w:w="1045" w:type="pct"/>
            <w:hideMark/>
          </w:tcPr>
          <w:p w14:paraId="145C2D3F" w14:textId="77777777" w:rsidR="00B15F7D" w:rsidRPr="00990FB6" w:rsidRDefault="00B15F7D" w:rsidP="00B15F7D">
            <w:pPr>
              <w:rPr>
                <w:sz w:val="22"/>
                <w:szCs w:val="22"/>
                <w:u w:val="single"/>
              </w:rPr>
            </w:pPr>
            <w:r w:rsidRPr="00990FB6">
              <w:rPr>
                <w:sz w:val="22"/>
                <w:szCs w:val="22"/>
                <w:u w:val="single"/>
              </w:rPr>
              <w:t>REPARACION DE SILLA DE VISITA</w:t>
            </w:r>
          </w:p>
        </w:tc>
        <w:tc>
          <w:tcPr>
            <w:tcW w:w="550" w:type="pct"/>
            <w:hideMark/>
          </w:tcPr>
          <w:p w14:paraId="2F407D4A" w14:textId="77777777" w:rsidR="00B15F7D" w:rsidRPr="00990FB6" w:rsidRDefault="00B15F7D" w:rsidP="00B15F7D">
            <w:pPr>
              <w:rPr>
                <w:sz w:val="22"/>
                <w:szCs w:val="22"/>
                <w:u w:val="single"/>
              </w:rPr>
            </w:pPr>
            <w:r w:rsidRPr="00990FB6">
              <w:rPr>
                <w:sz w:val="22"/>
                <w:szCs w:val="22"/>
                <w:u w:val="single"/>
              </w:rPr>
              <w:t>147.000,00</w:t>
            </w:r>
          </w:p>
        </w:tc>
        <w:tc>
          <w:tcPr>
            <w:tcW w:w="511" w:type="pct"/>
            <w:noWrap/>
            <w:hideMark/>
          </w:tcPr>
          <w:p w14:paraId="58134A9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7213A0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0BB0637"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No se podrá atender la reparación de mobiliario y equipo de oficinas de las fiscalías del Ministerio Público en el I Circuito Judicial de San José. Desmejora en las condiciones básicas de trabajo de </w:t>
            </w:r>
            <w:proofErr w:type="gramStart"/>
            <w:r w:rsidRPr="00990FB6">
              <w:rPr>
                <w:sz w:val="22"/>
                <w:szCs w:val="22"/>
                <w:u w:val="single"/>
              </w:rPr>
              <w:t>los  funcionarios</w:t>
            </w:r>
            <w:proofErr w:type="gramEnd"/>
            <w:r w:rsidRPr="00990FB6">
              <w:rPr>
                <w:sz w:val="22"/>
                <w:szCs w:val="22"/>
                <w:u w:val="single"/>
              </w:rPr>
              <w:t xml:space="preserve"> de dicho circuito, que no contarán con mobiliario </w:t>
            </w:r>
            <w:r w:rsidRPr="00990FB6">
              <w:rPr>
                <w:sz w:val="22"/>
                <w:szCs w:val="22"/>
                <w:u w:val="single"/>
              </w:rPr>
              <w:lastRenderedPageBreak/>
              <w:t xml:space="preserve">en buenas condiciones, mal ambiente laboral,  así como la desmejora en la atención a los usuarios. </w:t>
            </w:r>
          </w:p>
        </w:tc>
      </w:tr>
      <w:tr w:rsidR="00B15F7D" w:rsidRPr="00990FB6" w14:paraId="0A30148C" w14:textId="77777777" w:rsidTr="000A0C22">
        <w:trPr>
          <w:trHeight w:val="1450"/>
          <w:jc w:val="center"/>
        </w:trPr>
        <w:tc>
          <w:tcPr>
            <w:tcW w:w="583" w:type="pct"/>
            <w:hideMark/>
          </w:tcPr>
          <w:p w14:paraId="01F2ED12" w14:textId="77777777" w:rsidR="00B15F7D" w:rsidRPr="00990FB6" w:rsidRDefault="00B15F7D" w:rsidP="00B15F7D">
            <w:pPr>
              <w:rPr>
                <w:sz w:val="22"/>
                <w:szCs w:val="22"/>
                <w:u w:val="single"/>
              </w:rPr>
            </w:pPr>
            <w:r w:rsidRPr="00990FB6">
              <w:rPr>
                <w:sz w:val="22"/>
                <w:szCs w:val="22"/>
                <w:u w:val="single"/>
              </w:rPr>
              <w:lastRenderedPageBreak/>
              <w:t>10807</w:t>
            </w:r>
          </w:p>
        </w:tc>
        <w:tc>
          <w:tcPr>
            <w:tcW w:w="578" w:type="pct"/>
            <w:hideMark/>
          </w:tcPr>
          <w:p w14:paraId="5F7D8010" w14:textId="77777777" w:rsidR="00B15F7D" w:rsidRPr="00990FB6" w:rsidRDefault="00B15F7D" w:rsidP="00B15F7D">
            <w:pPr>
              <w:rPr>
                <w:sz w:val="22"/>
                <w:szCs w:val="22"/>
                <w:u w:val="single"/>
              </w:rPr>
            </w:pPr>
            <w:r w:rsidRPr="00990FB6">
              <w:rPr>
                <w:sz w:val="22"/>
                <w:szCs w:val="22"/>
                <w:u w:val="single"/>
              </w:rPr>
              <w:t>Mantenimiento y reparación de equipo y mobiliario de oficina</w:t>
            </w:r>
          </w:p>
        </w:tc>
        <w:tc>
          <w:tcPr>
            <w:tcW w:w="363" w:type="pct"/>
            <w:hideMark/>
          </w:tcPr>
          <w:p w14:paraId="6CA6CC5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08197</w:t>
            </w:r>
          </w:p>
        </w:tc>
        <w:tc>
          <w:tcPr>
            <w:tcW w:w="1045" w:type="pct"/>
            <w:hideMark/>
          </w:tcPr>
          <w:p w14:paraId="55F91C7C" w14:textId="77777777" w:rsidR="00B15F7D" w:rsidRPr="00990FB6" w:rsidRDefault="00B15F7D" w:rsidP="00B15F7D">
            <w:pPr>
              <w:rPr>
                <w:sz w:val="22"/>
                <w:szCs w:val="22"/>
                <w:u w:val="single"/>
              </w:rPr>
            </w:pPr>
            <w:r w:rsidRPr="00990FB6">
              <w:rPr>
                <w:sz w:val="22"/>
                <w:szCs w:val="22"/>
                <w:u w:val="single"/>
              </w:rPr>
              <w:t>REPARACION ARCHIVADOR METAL</w:t>
            </w:r>
          </w:p>
        </w:tc>
        <w:tc>
          <w:tcPr>
            <w:tcW w:w="550" w:type="pct"/>
            <w:hideMark/>
          </w:tcPr>
          <w:p w14:paraId="50C6B1F7" w14:textId="77777777" w:rsidR="00B15F7D" w:rsidRPr="00990FB6" w:rsidRDefault="00B15F7D" w:rsidP="00B15F7D">
            <w:pPr>
              <w:rPr>
                <w:sz w:val="22"/>
                <w:szCs w:val="22"/>
                <w:u w:val="single"/>
              </w:rPr>
            </w:pPr>
            <w:r w:rsidRPr="00990FB6">
              <w:rPr>
                <w:sz w:val="22"/>
                <w:szCs w:val="22"/>
                <w:u w:val="single"/>
              </w:rPr>
              <w:t>55.272,00</w:t>
            </w:r>
          </w:p>
        </w:tc>
        <w:tc>
          <w:tcPr>
            <w:tcW w:w="511" w:type="pct"/>
            <w:noWrap/>
            <w:hideMark/>
          </w:tcPr>
          <w:p w14:paraId="71A6204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D32266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7F9188F"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No se podrá atender la reparación de mobiliario y equipo de oficinas de las fiscalías del Ministerio Público en el I Circuito Judicial de San José. Desmejora en las condiciones básicas de trabajo de </w:t>
            </w:r>
            <w:proofErr w:type="gramStart"/>
            <w:r w:rsidRPr="00990FB6">
              <w:rPr>
                <w:sz w:val="22"/>
                <w:szCs w:val="22"/>
                <w:u w:val="single"/>
              </w:rPr>
              <w:t>los  funcionarios</w:t>
            </w:r>
            <w:proofErr w:type="gramEnd"/>
            <w:r w:rsidRPr="00990FB6">
              <w:rPr>
                <w:sz w:val="22"/>
                <w:szCs w:val="22"/>
                <w:u w:val="single"/>
              </w:rPr>
              <w:t xml:space="preserve"> de dicho circuito, que no contarán con mobiliario en buenas condiciones, mal ambiente laboral,  así como la desmejora en la atención a los usuarios. </w:t>
            </w:r>
          </w:p>
        </w:tc>
      </w:tr>
      <w:tr w:rsidR="00B15F7D" w:rsidRPr="00990FB6" w14:paraId="3999EA4F" w14:textId="77777777" w:rsidTr="000A0C22">
        <w:trPr>
          <w:trHeight w:val="1450"/>
          <w:jc w:val="center"/>
        </w:trPr>
        <w:tc>
          <w:tcPr>
            <w:tcW w:w="583" w:type="pct"/>
            <w:hideMark/>
          </w:tcPr>
          <w:p w14:paraId="7190F63B" w14:textId="77777777" w:rsidR="00B15F7D" w:rsidRPr="00990FB6" w:rsidRDefault="00B15F7D" w:rsidP="00B15F7D">
            <w:pPr>
              <w:rPr>
                <w:sz w:val="22"/>
                <w:szCs w:val="22"/>
                <w:u w:val="single"/>
              </w:rPr>
            </w:pPr>
            <w:r w:rsidRPr="00990FB6">
              <w:rPr>
                <w:sz w:val="22"/>
                <w:szCs w:val="22"/>
                <w:u w:val="single"/>
              </w:rPr>
              <w:lastRenderedPageBreak/>
              <w:t>10807</w:t>
            </w:r>
          </w:p>
        </w:tc>
        <w:tc>
          <w:tcPr>
            <w:tcW w:w="578" w:type="pct"/>
            <w:hideMark/>
          </w:tcPr>
          <w:p w14:paraId="61431830" w14:textId="77777777" w:rsidR="00B15F7D" w:rsidRPr="00990FB6" w:rsidRDefault="00B15F7D" w:rsidP="00B15F7D">
            <w:pPr>
              <w:rPr>
                <w:sz w:val="22"/>
                <w:szCs w:val="22"/>
                <w:u w:val="single"/>
              </w:rPr>
            </w:pPr>
            <w:r w:rsidRPr="00990FB6">
              <w:rPr>
                <w:sz w:val="22"/>
                <w:szCs w:val="22"/>
                <w:u w:val="single"/>
              </w:rPr>
              <w:t>Mantenimiento y reparación de equipo y mobiliario de oficina</w:t>
            </w:r>
          </w:p>
        </w:tc>
        <w:tc>
          <w:tcPr>
            <w:tcW w:w="363" w:type="pct"/>
            <w:hideMark/>
          </w:tcPr>
          <w:p w14:paraId="6603D2D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08247</w:t>
            </w:r>
          </w:p>
        </w:tc>
        <w:tc>
          <w:tcPr>
            <w:tcW w:w="1045" w:type="pct"/>
            <w:hideMark/>
          </w:tcPr>
          <w:p w14:paraId="3BBD3191" w14:textId="77777777" w:rsidR="00B15F7D" w:rsidRPr="00990FB6" w:rsidRDefault="00B15F7D" w:rsidP="00B15F7D">
            <w:pPr>
              <w:rPr>
                <w:sz w:val="22"/>
                <w:szCs w:val="22"/>
                <w:u w:val="single"/>
              </w:rPr>
            </w:pPr>
            <w:r w:rsidRPr="00990FB6">
              <w:rPr>
                <w:sz w:val="22"/>
                <w:szCs w:val="22"/>
                <w:u w:val="single"/>
              </w:rPr>
              <w:t>REPARACION DE SILLON EJECUTIVO</w:t>
            </w:r>
          </w:p>
        </w:tc>
        <w:tc>
          <w:tcPr>
            <w:tcW w:w="550" w:type="pct"/>
            <w:hideMark/>
          </w:tcPr>
          <w:p w14:paraId="642353E0" w14:textId="77777777" w:rsidR="00B15F7D" w:rsidRPr="00990FB6" w:rsidRDefault="00B15F7D" w:rsidP="00B15F7D">
            <w:pPr>
              <w:rPr>
                <w:sz w:val="22"/>
                <w:szCs w:val="22"/>
                <w:u w:val="single"/>
              </w:rPr>
            </w:pPr>
            <w:r w:rsidRPr="00990FB6">
              <w:rPr>
                <w:sz w:val="22"/>
                <w:szCs w:val="22"/>
                <w:u w:val="single"/>
              </w:rPr>
              <w:t>196.000,00</w:t>
            </w:r>
          </w:p>
        </w:tc>
        <w:tc>
          <w:tcPr>
            <w:tcW w:w="511" w:type="pct"/>
            <w:noWrap/>
            <w:hideMark/>
          </w:tcPr>
          <w:p w14:paraId="3A55AE2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407496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6983E47"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No se podrá atender la reparación de mobiliario y equipo de oficinas de las fiscalías del Ministerio Público en el I Circuito Judicial de San José. Desmejora en las condiciones básicas de trabajo de </w:t>
            </w:r>
            <w:proofErr w:type="gramStart"/>
            <w:r w:rsidRPr="00990FB6">
              <w:rPr>
                <w:sz w:val="22"/>
                <w:szCs w:val="22"/>
                <w:u w:val="single"/>
              </w:rPr>
              <w:t>los  funcionarios</w:t>
            </w:r>
            <w:proofErr w:type="gramEnd"/>
            <w:r w:rsidRPr="00990FB6">
              <w:rPr>
                <w:sz w:val="22"/>
                <w:szCs w:val="22"/>
                <w:u w:val="single"/>
              </w:rPr>
              <w:t xml:space="preserve"> de dicho circuito, que no contarán con mobiliario en buenas condiciones, mal ambiente laboral,  así como la desmejora en la atención a los usuarios. </w:t>
            </w:r>
          </w:p>
        </w:tc>
      </w:tr>
      <w:tr w:rsidR="00B15F7D" w:rsidRPr="00990FB6" w14:paraId="5BBC5216" w14:textId="77777777" w:rsidTr="000A0C22">
        <w:trPr>
          <w:trHeight w:val="1450"/>
          <w:jc w:val="center"/>
        </w:trPr>
        <w:tc>
          <w:tcPr>
            <w:tcW w:w="583" w:type="pct"/>
            <w:hideMark/>
          </w:tcPr>
          <w:p w14:paraId="60BE9B3C" w14:textId="77777777" w:rsidR="00B15F7D" w:rsidRPr="00990FB6" w:rsidRDefault="00B15F7D" w:rsidP="00B15F7D">
            <w:pPr>
              <w:rPr>
                <w:sz w:val="22"/>
                <w:szCs w:val="22"/>
                <w:u w:val="single"/>
              </w:rPr>
            </w:pPr>
            <w:r w:rsidRPr="00990FB6">
              <w:rPr>
                <w:sz w:val="22"/>
                <w:szCs w:val="22"/>
                <w:u w:val="single"/>
              </w:rPr>
              <w:t>10807</w:t>
            </w:r>
          </w:p>
        </w:tc>
        <w:tc>
          <w:tcPr>
            <w:tcW w:w="578" w:type="pct"/>
            <w:hideMark/>
          </w:tcPr>
          <w:p w14:paraId="0B563207" w14:textId="77777777" w:rsidR="00B15F7D" w:rsidRPr="00990FB6" w:rsidRDefault="00B15F7D" w:rsidP="00B15F7D">
            <w:pPr>
              <w:rPr>
                <w:sz w:val="22"/>
                <w:szCs w:val="22"/>
                <w:u w:val="single"/>
              </w:rPr>
            </w:pPr>
            <w:r w:rsidRPr="00990FB6">
              <w:rPr>
                <w:sz w:val="22"/>
                <w:szCs w:val="22"/>
                <w:u w:val="single"/>
              </w:rPr>
              <w:t>Mantenimiento y reparación de equipo y mobiliario de oficina</w:t>
            </w:r>
          </w:p>
        </w:tc>
        <w:tc>
          <w:tcPr>
            <w:tcW w:w="363" w:type="pct"/>
            <w:hideMark/>
          </w:tcPr>
          <w:p w14:paraId="04C9F93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19551</w:t>
            </w:r>
          </w:p>
        </w:tc>
        <w:tc>
          <w:tcPr>
            <w:tcW w:w="1045" w:type="pct"/>
            <w:hideMark/>
          </w:tcPr>
          <w:p w14:paraId="536B193C" w14:textId="77777777" w:rsidR="00B15F7D" w:rsidRPr="00990FB6" w:rsidRDefault="00B15F7D" w:rsidP="00B15F7D">
            <w:pPr>
              <w:rPr>
                <w:sz w:val="22"/>
                <w:szCs w:val="22"/>
                <w:u w:val="single"/>
              </w:rPr>
            </w:pPr>
            <w:r w:rsidRPr="00990FB6">
              <w:rPr>
                <w:sz w:val="22"/>
                <w:szCs w:val="22"/>
                <w:u w:val="single"/>
              </w:rPr>
              <w:t>MANTENIMIENTO Y REPARACION DE EQUIPO Y MOBILIARIO DE OFICINA</w:t>
            </w:r>
          </w:p>
        </w:tc>
        <w:tc>
          <w:tcPr>
            <w:tcW w:w="550" w:type="pct"/>
            <w:hideMark/>
          </w:tcPr>
          <w:p w14:paraId="4EB3F39B" w14:textId="77777777" w:rsidR="00B15F7D" w:rsidRPr="00990FB6" w:rsidRDefault="00B15F7D" w:rsidP="00B15F7D">
            <w:pPr>
              <w:rPr>
                <w:sz w:val="22"/>
                <w:szCs w:val="22"/>
                <w:u w:val="single"/>
              </w:rPr>
            </w:pPr>
            <w:r w:rsidRPr="00990FB6">
              <w:rPr>
                <w:sz w:val="22"/>
                <w:szCs w:val="22"/>
                <w:u w:val="single"/>
              </w:rPr>
              <w:t>150.000,00</w:t>
            </w:r>
          </w:p>
        </w:tc>
        <w:tc>
          <w:tcPr>
            <w:tcW w:w="511" w:type="pct"/>
            <w:noWrap/>
            <w:hideMark/>
          </w:tcPr>
          <w:p w14:paraId="68954ED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2FF27B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1A255A4"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No se podrá atender la reparación de mobiliario y equipo de </w:t>
            </w:r>
            <w:r w:rsidRPr="00990FB6">
              <w:rPr>
                <w:sz w:val="22"/>
                <w:szCs w:val="22"/>
                <w:u w:val="single"/>
              </w:rPr>
              <w:lastRenderedPageBreak/>
              <w:t xml:space="preserve">oficinas de las fiscalías del Ministerio Público en el I Circuito Judicial de San José. Desmejora en las condiciones básicas de trabajo de </w:t>
            </w:r>
            <w:proofErr w:type="gramStart"/>
            <w:r w:rsidRPr="00990FB6">
              <w:rPr>
                <w:sz w:val="22"/>
                <w:szCs w:val="22"/>
                <w:u w:val="single"/>
              </w:rPr>
              <w:t>los  funcionarios</w:t>
            </w:r>
            <w:proofErr w:type="gramEnd"/>
            <w:r w:rsidRPr="00990FB6">
              <w:rPr>
                <w:sz w:val="22"/>
                <w:szCs w:val="22"/>
                <w:u w:val="single"/>
              </w:rPr>
              <w:t xml:space="preserve"> de dicho circuito, que no contarán con mobiliario en buenas condiciones, mal ambiente laboral,  así como la desmejora en la atención a los usuarios. </w:t>
            </w:r>
          </w:p>
        </w:tc>
      </w:tr>
      <w:tr w:rsidR="00B15F7D" w:rsidRPr="00990FB6" w14:paraId="268B4A38" w14:textId="77777777" w:rsidTr="000A0C22">
        <w:trPr>
          <w:trHeight w:val="1450"/>
          <w:jc w:val="center"/>
        </w:trPr>
        <w:tc>
          <w:tcPr>
            <w:tcW w:w="583" w:type="pct"/>
            <w:hideMark/>
          </w:tcPr>
          <w:p w14:paraId="62A60A34" w14:textId="77777777" w:rsidR="00B15F7D" w:rsidRPr="00990FB6" w:rsidRDefault="00B15F7D" w:rsidP="00B15F7D">
            <w:pPr>
              <w:rPr>
                <w:sz w:val="22"/>
                <w:szCs w:val="22"/>
                <w:u w:val="single"/>
              </w:rPr>
            </w:pPr>
            <w:r w:rsidRPr="00990FB6">
              <w:rPr>
                <w:sz w:val="22"/>
                <w:szCs w:val="22"/>
                <w:u w:val="single"/>
              </w:rPr>
              <w:lastRenderedPageBreak/>
              <w:t>10808</w:t>
            </w:r>
          </w:p>
        </w:tc>
        <w:tc>
          <w:tcPr>
            <w:tcW w:w="578" w:type="pct"/>
            <w:hideMark/>
          </w:tcPr>
          <w:p w14:paraId="16E26288" w14:textId="77777777" w:rsidR="00B15F7D" w:rsidRPr="00990FB6" w:rsidRDefault="00B15F7D" w:rsidP="00B15F7D">
            <w:pPr>
              <w:rPr>
                <w:sz w:val="22"/>
                <w:szCs w:val="22"/>
                <w:u w:val="single"/>
              </w:rPr>
            </w:pPr>
            <w:r w:rsidRPr="00990FB6">
              <w:rPr>
                <w:sz w:val="22"/>
                <w:szCs w:val="22"/>
                <w:u w:val="single"/>
              </w:rPr>
              <w:t xml:space="preserve">Mantenimiento y reparación de equipo de cómputo </w:t>
            </w:r>
            <w:proofErr w:type="gramStart"/>
            <w:r w:rsidRPr="00990FB6">
              <w:rPr>
                <w:sz w:val="22"/>
                <w:szCs w:val="22"/>
                <w:u w:val="single"/>
              </w:rPr>
              <w:t>y  sistemas</w:t>
            </w:r>
            <w:proofErr w:type="gramEnd"/>
            <w:r w:rsidRPr="00990FB6">
              <w:rPr>
                <w:sz w:val="22"/>
                <w:szCs w:val="22"/>
                <w:u w:val="single"/>
              </w:rPr>
              <w:t xml:space="preserve"> de información</w:t>
            </w:r>
          </w:p>
        </w:tc>
        <w:tc>
          <w:tcPr>
            <w:tcW w:w="363" w:type="pct"/>
            <w:hideMark/>
          </w:tcPr>
          <w:p w14:paraId="05EAB5A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19552</w:t>
            </w:r>
          </w:p>
        </w:tc>
        <w:tc>
          <w:tcPr>
            <w:tcW w:w="1045" w:type="pct"/>
            <w:hideMark/>
          </w:tcPr>
          <w:p w14:paraId="18469A23" w14:textId="77777777" w:rsidR="00B15F7D" w:rsidRPr="00990FB6" w:rsidRDefault="00B15F7D" w:rsidP="00B15F7D">
            <w:pPr>
              <w:rPr>
                <w:sz w:val="22"/>
                <w:szCs w:val="22"/>
                <w:u w:val="single"/>
              </w:rPr>
            </w:pPr>
            <w:r w:rsidRPr="00990FB6">
              <w:rPr>
                <w:sz w:val="22"/>
                <w:szCs w:val="22"/>
                <w:u w:val="single"/>
              </w:rPr>
              <w:t xml:space="preserve">MANTENIMIENTO Y REPARACION DE EQUIPO DE COMPUTO Y SISTEMAS </w:t>
            </w:r>
          </w:p>
        </w:tc>
        <w:tc>
          <w:tcPr>
            <w:tcW w:w="550" w:type="pct"/>
            <w:hideMark/>
          </w:tcPr>
          <w:p w14:paraId="6793F07A" w14:textId="77777777" w:rsidR="00B15F7D" w:rsidRPr="00990FB6" w:rsidRDefault="00B15F7D" w:rsidP="00B15F7D">
            <w:pPr>
              <w:rPr>
                <w:sz w:val="22"/>
                <w:szCs w:val="22"/>
                <w:u w:val="single"/>
              </w:rPr>
            </w:pPr>
            <w:r w:rsidRPr="00990FB6">
              <w:rPr>
                <w:sz w:val="22"/>
                <w:szCs w:val="22"/>
                <w:u w:val="single"/>
              </w:rPr>
              <w:t>2.180.000,00</w:t>
            </w:r>
          </w:p>
        </w:tc>
        <w:tc>
          <w:tcPr>
            <w:tcW w:w="511" w:type="pct"/>
            <w:hideMark/>
          </w:tcPr>
          <w:p w14:paraId="317D684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315BA6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39D59CF" w14:textId="77777777" w:rsidR="00B15F7D" w:rsidRPr="00990FB6" w:rsidRDefault="00B15F7D" w:rsidP="00F60AA2">
            <w:pPr>
              <w:jc w:val="both"/>
              <w:rPr>
                <w:sz w:val="22"/>
                <w:szCs w:val="22"/>
                <w:u w:val="single"/>
              </w:rPr>
            </w:pPr>
            <w:r w:rsidRPr="00990FB6">
              <w:rPr>
                <w:sz w:val="22"/>
                <w:szCs w:val="22"/>
                <w:u w:val="single"/>
              </w:rPr>
              <w:t xml:space="preserve">Debido al sacrificio de los recursos de esta sub partida no se dispondrá de los recursos para la atención de reparación del equipo de cómputo de </w:t>
            </w:r>
            <w:proofErr w:type="gramStart"/>
            <w:r w:rsidRPr="00990FB6">
              <w:rPr>
                <w:sz w:val="22"/>
                <w:szCs w:val="22"/>
                <w:u w:val="single"/>
              </w:rPr>
              <w:t>los  funcionarios</w:t>
            </w:r>
            <w:proofErr w:type="gramEnd"/>
            <w:r w:rsidRPr="00990FB6">
              <w:rPr>
                <w:sz w:val="22"/>
                <w:szCs w:val="22"/>
                <w:u w:val="single"/>
              </w:rPr>
              <w:t xml:space="preserve"> del Ministerio Público a nivel nacional.  El no disponer de equipo en buen funcionamiento se traduce </w:t>
            </w:r>
            <w:proofErr w:type="gramStart"/>
            <w:r w:rsidRPr="00990FB6">
              <w:rPr>
                <w:sz w:val="22"/>
                <w:szCs w:val="22"/>
                <w:u w:val="single"/>
              </w:rPr>
              <w:t xml:space="preserve">en  </w:t>
            </w:r>
            <w:r w:rsidRPr="00990FB6">
              <w:rPr>
                <w:sz w:val="22"/>
                <w:szCs w:val="22"/>
                <w:u w:val="single"/>
              </w:rPr>
              <w:lastRenderedPageBreak/>
              <w:t>paralización</w:t>
            </w:r>
            <w:proofErr w:type="gramEnd"/>
            <w:r w:rsidRPr="00990FB6">
              <w:rPr>
                <w:sz w:val="22"/>
                <w:szCs w:val="22"/>
                <w:u w:val="single"/>
              </w:rPr>
              <w:t xml:space="preserve"> de labores y  desmejora en la prestación del servicio que se  brinda a la ciudadanía. </w:t>
            </w:r>
          </w:p>
        </w:tc>
      </w:tr>
      <w:tr w:rsidR="00B15F7D" w:rsidRPr="00990FB6" w14:paraId="1B0F1A48" w14:textId="77777777" w:rsidTr="000A0C22">
        <w:trPr>
          <w:trHeight w:val="1160"/>
          <w:jc w:val="center"/>
        </w:trPr>
        <w:tc>
          <w:tcPr>
            <w:tcW w:w="583" w:type="pct"/>
            <w:hideMark/>
          </w:tcPr>
          <w:p w14:paraId="48AB0F06" w14:textId="77777777" w:rsidR="00B15F7D" w:rsidRPr="00990FB6" w:rsidRDefault="00B15F7D" w:rsidP="00B15F7D">
            <w:pPr>
              <w:rPr>
                <w:sz w:val="22"/>
                <w:szCs w:val="22"/>
                <w:u w:val="single"/>
              </w:rPr>
            </w:pPr>
            <w:r w:rsidRPr="00990FB6">
              <w:rPr>
                <w:sz w:val="22"/>
                <w:szCs w:val="22"/>
                <w:u w:val="single"/>
              </w:rPr>
              <w:lastRenderedPageBreak/>
              <w:t>10899</w:t>
            </w:r>
          </w:p>
        </w:tc>
        <w:tc>
          <w:tcPr>
            <w:tcW w:w="578" w:type="pct"/>
            <w:hideMark/>
          </w:tcPr>
          <w:p w14:paraId="656C3A5C" w14:textId="77777777" w:rsidR="00B15F7D" w:rsidRPr="00990FB6" w:rsidRDefault="00B15F7D" w:rsidP="00B15F7D">
            <w:pPr>
              <w:rPr>
                <w:sz w:val="22"/>
                <w:szCs w:val="22"/>
                <w:u w:val="single"/>
              </w:rPr>
            </w:pPr>
            <w:r w:rsidRPr="00990FB6">
              <w:rPr>
                <w:sz w:val="22"/>
                <w:szCs w:val="22"/>
                <w:u w:val="single"/>
              </w:rPr>
              <w:t>Mantenimiento y reparación de otros equipos</w:t>
            </w:r>
          </w:p>
        </w:tc>
        <w:tc>
          <w:tcPr>
            <w:tcW w:w="363" w:type="pct"/>
            <w:hideMark/>
          </w:tcPr>
          <w:p w14:paraId="0407CBD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19553</w:t>
            </w:r>
          </w:p>
        </w:tc>
        <w:tc>
          <w:tcPr>
            <w:tcW w:w="1045" w:type="pct"/>
            <w:hideMark/>
          </w:tcPr>
          <w:p w14:paraId="3A22D616" w14:textId="77777777" w:rsidR="00B15F7D" w:rsidRPr="00990FB6" w:rsidRDefault="00B15F7D" w:rsidP="00B15F7D">
            <w:pPr>
              <w:rPr>
                <w:sz w:val="22"/>
                <w:szCs w:val="22"/>
                <w:u w:val="single"/>
              </w:rPr>
            </w:pPr>
            <w:r w:rsidRPr="00990FB6">
              <w:rPr>
                <w:sz w:val="22"/>
                <w:szCs w:val="22"/>
                <w:u w:val="single"/>
              </w:rPr>
              <w:t>MANTENIMIENTO Y REPARACION DE OTROS EQUIPOS</w:t>
            </w:r>
          </w:p>
        </w:tc>
        <w:tc>
          <w:tcPr>
            <w:tcW w:w="550" w:type="pct"/>
            <w:hideMark/>
          </w:tcPr>
          <w:p w14:paraId="657BD691" w14:textId="77777777" w:rsidR="00B15F7D" w:rsidRPr="00990FB6" w:rsidRDefault="00B15F7D" w:rsidP="00B15F7D">
            <w:pPr>
              <w:rPr>
                <w:sz w:val="22"/>
                <w:szCs w:val="22"/>
                <w:u w:val="single"/>
              </w:rPr>
            </w:pPr>
            <w:r w:rsidRPr="00990FB6">
              <w:rPr>
                <w:sz w:val="22"/>
                <w:szCs w:val="22"/>
                <w:u w:val="single"/>
              </w:rPr>
              <w:t>100.000,00</w:t>
            </w:r>
          </w:p>
        </w:tc>
        <w:tc>
          <w:tcPr>
            <w:tcW w:w="511" w:type="pct"/>
            <w:noWrap/>
            <w:hideMark/>
          </w:tcPr>
          <w:p w14:paraId="5AE36AF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18A797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862A2E0" w14:textId="77777777" w:rsidR="00B15F7D" w:rsidRPr="00990FB6" w:rsidRDefault="00B15F7D" w:rsidP="00F60AA2">
            <w:pPr>
              <w:jc w:val="both"/>
              <w:rPr>
                <w:sz w:val="22"/>
                <w:szCs w:val="22"/>
                <w:u w:val="single"/>
              </w:rPr>
            </w:pPr>
            <w:r w:rsidRPr="00990FB6">
              <w:rPr>
                <w:sz w:val="22"/>
                <w:szCs w:val="22"/>
                <w:u w:val="single"/>
              </w:rPr>
              <w:t xml:space="preserve">Afectación de aspectos de seguridad de las instalaciones del Ministerio Público. No se dispondrá de recursos para la recarga de extintores de las Fiscalías de Guanacaste, Golfito, Corredores, Quepos, Sarapiquí, Coto Brus, Puerto Jiménez, San Ramón, Fiscalía General y Unidad de Capacitación. </w:t>
            </w:r>
          </w:p>
        </w:tc>
      </w:tr>
      <w:tr w:rsidR="00B15F7D" w:rsidRPr="00990FB6" w14:paraId="579C6C53" w14:textId="77777777" w:rsidTr="000A0C22">
        <w:trPr>
          <w:trHeight w:val="290"/>
          <w:jc w:val="center"/>
        </w:trPr>
        <w:tc>
          <w:tcPr>
            <w:tcW w:w="583" w:type="pct"/>
            <w:hideMark/>
          </w:tcPr>
          <w:p w14:paraId="2D700AC2" w14:textId="77777777" w:rsidR="00B15F7D" w:rsidRPr="00990FB6" w:rsidRDefault="00B15F7D" w:rsidP="00B15F7D">
            <w:pPr>
              <w:rPr>
                <w:sz w:val="22"/>
                <w:szCs w:val="22"/>
                <w:u w:val="single"/>
              </w:rPr>
            </w:pPr>
            <w:r w:rsidRPr="00990FB6">
              <w:rPr>
                <w:sz w:val="22"/>
                <w:szCs w:val="22"/>
                <w:u w:val="single"/>
              </w:rPr>
              <w:t>10899</w:t>
            </w:r>
          </w:p>
        </w:tc>
        <w:tc>
          <w:tcPr>
            <w:tcW w:w="578" w:type="pct"/>
            <w:hideMark/>
          </w:tcPr>
          <w:p w14:paraId="3E597CB5" w14:textId="77777777" w:rsidR="00B15F7D" w:rsidRPr="00990FB6" w:rsidRDefault="00B15F7D" w:rsidP="00B15F7D">
            <w:pPr>
              <w:rPr>
                <w:sz w:val="22"/>
                <w:szCs w:val="22"/>
                <w:u w:val="single"/>
              </w:rPr>
            </w:pPr>
            <w:r w:rsidRPr="00990FB6">
              <w:rPr>
                <w:sz w:val="22"/>
                <w:szCs w:val="22"/>
                <w:u w:val="single"/>
              </w:rPr>
              <w:t>Mantenimiento y reparación de otros equipos</w:t>
            </w:r>
          </w:p>
        </w:tc>
        <w:tc>
          <w:tcPr>
            <w:tcW w:w="363" w:type="pct"/>
            <w:hideMark/>
          </w:tcPr>
          <w:p w14:paraId="0A12097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23568</w:t>
            </w:r>
          </w:p>
        </w:tc>
        <w:tc>
          <w:tcPr>
            <w:tcW w:w="1045" w:type="pct"/>
            <w:hideMark/>
          </w:tcPr>
          <w:p w14:paraId="7102E32A" w14:textId="77777777" w:rsidR="00B15F7D" w:rsidRPr="00990FB6" w:rsidRDefault="00B15F7D" w:rsidP="00B15F7D">
            <w:pPr>
              <w:rPr>
                <w:sz w:val="22"/>
                <w:szCs w:val="22"/>
                <w:u w:val="single"/>
              </w:rPr>
            </w:pPr>
            <w:r w:rsidRPr="00990FB6">
              <w:rPr>
                <w:sz w:val="22"/>
                <w:szCs w:val="22"/>
                <w:u w:val="single"/>
              </w:rPr>
              <w:t>REPARACION DE CAMARA FOTOGRAFICA</w:t>
            </w:r>
          </w:p>
        </w:tc>
        <w:tc>
          <w:tcPr>
            <w:tcW w:w="550" w:type="pct"/>
            <w:hideMark/>
          </w:tcPr>
          <w:p w14:paraId="16D1AB89" w14:textId="77777777" w:rsidR="00B15F7D" w:rsidRPr="00990FB6" w:rsidRDefault="00B15F7D" w:rsidP="00B15F7D">
            <w:pPr>
              <w:rPr>
                <w:sz w:val="22"/>
                <w:szCs w:val="22"/>
                <w:u w:val="single"/>
              </w:rPr>
            </w:pPr>
            <w:r w:rsidRPr="00990FB6">
              <w:rPr>
                <w:sz w:val="22"/>
                <w:szCs w:val="22"/>
                <w:u w:val="single"/>
              </w:rPr>
              <w:t>125.000,00</w:t>
            </w:r>
          </w:p>
        </w:tc>
        <w:tc>
          <w:tcPr>
            <w:tcW w:w="511" w:type="pct"/>
            <w:noWrap/>
            <w:hideMark/>
          </w:tcPr>
          <w:p w14:paraId="04AE623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0F9A6D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82C3BF" w14:textId="77777777" w:rsidR="00B15F7D" w:rsidRPr="00990FB6" w:rsidRDefault="00B15F7D" w:rsidP="00F60AA2">
            <w:pPr>
              <w:jc w:val="both"/>
              <w:rPr>
                <w:sz w:val="22"/>
                <w:szCs w:val="22"/>
                <w:u w:val="single"/>
              </w:rPr>
            </w:pPr>
            <w:r w:rsidRPr="00990FB6">
              <w:rPr>
                <w:sz w:val="22"/>
                <w:szCs w:val="22"/>
                <w:u w:val="single"/>
              </w:rPr>
              <w:t> </w:t>
            </w:r>
          </w:p>
        </w:tc>
      </w:tr>
      <w:tr w:rsidR="00B15F7D" w:rsidRPr="00990FB6" w14:paraId="04C722BF" w14:textId="77777777" w:rsidTr="000A0C22">
        <w:trPr>
          <w:trHeight w:val="1160"/>
          <w:jc w:val="center"/>
        </w:trPr>
        <w:tc>
          <w:tcPr>
            <w:tcW w:w="583" w:type="pct"/>
            <w:hideMark/>
          </w:tcPr>
          <w:p w14:paraId="26F48266" w14:textId="77777777" w:rsidR="00B15F7D" w:rsidRPr="00990FB6" w:rsidRDefault="00B15F7D" w:rsidP="00B15F7D">
            <w:pPr>
              <w:rPr>
                <w:sz w:val="22"/>
                <w:szCs w:val="22"/>
                <w:u w:val="single"/>
              </w:rPr>
            </w:pPr>
            <w:r w:rsidRPr="00990FB6">
              <w:rPr>
                <w:sz w:val="22"/>
                <w:szCs w:val="22"/>
                <w:u w:val="single"/>
              </w:rPr>
              <w:t>10899</w:t>
            </w:r>
          </w:p>
        </w:tc>
        <w:tc>
          <w:tcPr>
            <w:tcW w:w="578" w:type="pct"/>
            <w:hideMark/>
          </w:tcPr>
          <w:p w14:paraId="0D3B3928" w14:textId="77777777" w:rsidR="00B15F7D" w:rsidRPr="00990FB6" w:rsidRDefault="00B15F7D" w:rsidP="00B15F7D">
            <w:pPr>
              <w:rPr>
                <w:sz w:val="22"/>
                <w:szCs w:val="22"/>
                <w:u w:val="single"/>
              </w:rPr>
            </w:pPr>
            <w:r w:rsidRPr="00990FB6">
              <w:rPr>
                <w:sz w:val="22"/>
                <w:szCs w:val="22"/>
                <w:u w:val="single"/>
              </w:rPr>
              <w:t>Mantenimiento y reparación de otros equipos</w:t>
            </w:r>
          </w:p>
        </w:tc>
        <w:tc>
          <w:tcPr>
            <w:tcW w:w="363" w:type="pct"/>
            <w:hideMark/>
          </w:tcPr>
          <w:p w14:paraId="340C6C8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25910</w:t>
            </w:r>
          </w:p>
        </w:tc>
        <w:tc>
          <w:tcPr>
            <w:tcW w:w="1045" w:type="pct"/>
            <w:hideMark/>
          </w:tcPr>
          <w:p w14:paraId="5BAD3FD4" w14:textId="77777777" w:rsidR="00B15F7D" w:rsidRPr="00990FB6" w:rsidRDefault="00B15F7D" w:rsidP="00B15F7D">
            <w:pPr>
              <w:rPr>
                <w:sz w:val="22"/>
                <w:szCs w:val="22"/>
                <w:u w:val="single"/>
              </w:rPr>
            </w:pPr>
            <w:r w:rsidRPr="00990FB6">
              <w:rPr>
                <w:sz w:val="22"/>
                <w:szCs w:val="22"/>
                <w:u w:val="single"/>
              </w:rPr>
              <w:t>RECARGA EXTINTOR POLVO QUIMICO</w:t>
            </w:r>
          </w:p>
        </w:tc>
        <w:tc>
          <w:tcPr>
            <w:tcW w:w="550" w:type="pct"/>
            <w:hideMark/>
          </w:tcPr>
          <w:p w14:paraId="2076835B" w14:textId="77777777" w:rsidR="00B15F7D" w:rsidRPr="00990FB6" w:rsidRDefault="00B15F7D" w:rsidP="00B15F7D">
            <w:pPr>
              <w:rPr>
                <w:sz w:val="22"/>
                <w:szCs w:val="22"/>
                <w:u w:val="single"/>
              </w:rPr>
            </w:pPr>
            <w:r w:rsidRPr="00990FB6">
              <w:rPr>
                <w:sz w:val="22"/>
                <w:szCs w:val="22"/>
                <w:u w:val="single"/>
              </w:rPr>
              <w:t>308.960,00</w:t>
            </w:r>
          </w:p>
        </w:tc>
        <w:tc>
          <w:tcPr>
            <w:tcW w:w="511" w:type="pct"/>
            <w:noWrap/>
            <w:hideMark/>
          </w:tcPr>
          <w:p w14:paraId="7D99FDA4"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7A476A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B682103" w14:textId="77777777" w:rsidR="00B15F7D" w:rsidRPr="00990FB6" w:rsidRDefault="00B15F7D" w:rsidP="00F60AA2">
            <w:pPr>
              <w:jc w:val="both"/>
              <w:rPr>
                <w:sz w:val="22"/>
                <w:szCs w:val="22"/>
                <w:u w:val="single"/>
              </w:rPr>
            </w:pPr>
            <w:r w:rsidRPr="00990FB6">
              <w:rPr>
                <w:sz w:val="22"/>
                <w:szCs w:val="22"/>
                <w:u w:val="single"/>
              </w:rPr>
              <w:t xml:space="preserve">Afectación de aspectos de seguridad de las instalaciones del Ministerio Público. No se </w:t>
            </w:r>
            <w:r w:rsidRPr="00990FB6">
              <w:rPr>
                <w:sz w:val="22"/>
                <w:szCs w:val="22"/>
                <w:u w:val="single"/>
              </w:rPr>
              <w:lastRenderedPageBreak/>
              <w:t xml:space="preserve">dispondrá de recursos para la recarga de extintores de las Fiscalías de Guanacaste, Golfito, Corredores, Quepos, Sarapiquí, Coto Brus, Puerto Jiménez, San Ramón, Fiscalía General y Unidad de Capacitación. </w:t>
            </w:r>
          </w:p>
        </w:tc>
      </w:tr>
      <w:tr w:rsidR="00B15F7D" w:rsidRPr="00990FB6" w14:paraId="33020140" w14:textId="77777777" w:rsidTr="000A0C22">
        <w:trPr>
          <w:trHeight w:val="1160"/>
          <w:jc w:val="center"/>
        </w:trPr>
        <w:tc>
          <w:tcPr>
            <w:tcW w:w="583" w:type="pct"/>
            <w:hideMark/>
          </w:tcPr>
          <w:p w14:paraId="668CA4C5" w14:textId="77777777" w:rsidR="00B15F7D" w:rsidRPr="00990FB6" w:rsidRDefault="00B15F7D" w:rsidP="00B15F7D">
            <w:pPr>
              <w:rPr>
                <w:sz w:val="22"/>
                <w:szCs w:val="22"/>
                <w:u w:val="single"/>
              </w:rPr>
            </w:pPr>
            <w:r w:rsidRPr="00990FB6">
              <w:rPr>
                <w:sz w:val="22"/>
                <w:szCs w:val="22"/>
                <w:u w:val="single"/>
              </w:rPr>
              <w:lastRenderedPageBreak/>
              <w:t>10899</w:t>
            </w:r>
          </w:p>
        </w:tc>
        <w:tc>
          <w:tcPr>
            <w:tcW w:w="578" w:type="pct"/>
            <w:hideMark/>
          </w:tcPr>
          <w:p w14:paraId="3C99F9ED" w14:textId="77777777" w:rsidR="00B15F7D" w:rsidRPr="00990FB6" w:rsidRDefault="00B15F7D" w:rsidP="00B15F7D">
            <w:pPr>
              <w:rPr>
                <w:sz w:val="22"/>
                <w:szCs w:val="22"/>
                <w:u w:val="single"/>
              </w:rPr>
            </w:pPr>
            <w:r w:rsidRPr="00990FB6">
              <w:rPr>
                <w:sz w:val="22"/>
                <w:szCs w:val="22"/>
                <w:u w:val="single"/>
              </w:rPr>
              <w:t>Mantenimiento y reparación de otros equipos</w:t>
            </w:r>
          </w:p>
        </w:tc>
        <w:tc>
          <w:tcPr>
            <w:tcW w:w="363" w:type="pct"/>
            <w:hideMark/>
          </w:tcPr>
          <w:p w14:paraId="7A15C33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25911</w:t>
            </w:r>
          </w:p>
        </w:tc>
        <w:tc>
          <w:tcPr>
            <w:tcW w:w="1045" w:type="pct"/>
            <w:hideMark/>
          </w:tcPr>
          <w:p w14:paraId="2FEE6E05" w14:textId="77777777" w:rsidR="00B15F7D" w:rsidRPr="00990FB6" w:rsidRDefault="00B15F7D" w:rsidP="00B15F7D">
            <w:pPr>
              <w:rPr>
                <w:sz w:val="22"/>
                <w:szCs w:val="22"/>
                <w:u w:val="single"/>
              </w:rPr>
            </w:pPr>
            <w:r w:rsidRPr="00990FB6">
              <w:rPr>
                <w:sz w:val="22"/>
                <w:szCs w:val="22"/>
                <w:u w:val="single"/>
              </w:rPr>
              <w:t>RECARGA EXTINTOR AGUA</w:t>
            </w:r>
          </w:p>
        </w:tc>
        <w:tc>
          <w:tcPr>
            <w:tcW w:w="550" w:type="pct"/>
            <w:hideMark/>
          </w:tcPr>
          <w:p w14:paraId="68FF7E45" w14:textId="77777777" w:rsidR="00B15F7D" w:rsidRPr="00990FB6" w:rsidRDefault="00B15F7D" w:rsidP="00B15F7D">
            <w:pPr>
              <w:rPr>
                <w:sz w:val="22"/>
                <w:szCs w:val="22"/>
                <w:u w:val="single"/>
              </w:rPr>
            </w:pPr>
            <w:r w:rsidRPr="00990FB6">
              <w:rPr>
                <w:sz w:val="22"/>
                <w:szCs w:val="22"/>
                <w:u w:val="single"/>
              </w:rPr>
              <w:t>36.660,00</w:t>
            </w:r>
          </w:p>
        </w:tc>
        <w:tc>
          <w:tcPr>
            <w:tcW w:w="511" w:type="pct"/>
            <w:noWrap/>
            <w:hideMark/>
          </w:tcPr>
          <w:p w14:paraId="2C9C0FB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A13692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5B59AD7" w14:textId="77777777" w:rsidR="00B15F7D" w:rsidRPr="00990FB6" w:rsidRDefault="00B15F7D" w:rsidP="00F60AA2">
            <w:pPr>
              <w:jc w:val="both"/>
              <w:rPr>
                <w:sz w:val="22"/>
                <w:szCs w:val="22"/>
                <w:u w:val="single"/>
              </w:rPr>
            </w:pPr>
            <w:r w:rsidRPr="00990FB6">
              <w:rPr>
                <w:sz w:val="22"/>
                <w:szCs w:val="22"/>
                <w:u w:val="single"/>
              </w:rPr>
              <w:t xml:space="preserve">Afectación de aspectos de seguridad de las instalaciones del Ministerio Público. No se dispondrá de recursos para la recarga de extintores de las Fiscalías de Guanacaste, Golfito, Corredores, Quepos, Sarapiquí, Coto Brus, Puerto Jiménez, San Ramón, Fiscalía General y Unidad de Capacitación. </w:t>
            </w:r>
          </w:p>
        </w:tc>
      </w:tr>
      <w:tr w:rsidR="00B15F7D" w:rsidRPr="00990FB6" w14:paraId="1810C4AA" w14:textId="77777777" w:rsidTr="000A0C22">
        <w:trPr>
          <w:trHeight w:val="1160"/>
          <w:jc w:val="center"/>
        </w:trPr>
        <w:tc>
          <w:tcPr>
            <w:tcW w:w="583" w:type="pct"/>
            <w:hideMark/>
          </w:tcPr>
          <w:p w14:paraId="6EF6B13D" w14:textId="77777777" w:rsidR="00B15F7D" w:rsidRPr="00990FB6" w:rsidRDefault="00B15F7D" w:rsidP="00B15F7D">
            <w:pPr>
              <w:rPr>
                <w:sz w:val="22"/>
                <w:szCs w:val="22"/>
                <w:u w:val="single"/>
              </w:rPr>
            </w:pPr>
            <w:r w:rsidRPr="00990FB6">
              <w:rPr>
                <w:sz w:val="22"/>
                <w:szCs w:val="22"/>
                <w:u w:val="single"/>
              </w:rPr>
              <w:lastRenderedPageBreak/>
              <w:t>10899</w:t>
            </w:r>
          </w:p>
        </w:tc>
        <w:tc>
          <w:tcPr>
            <w:tcW w:w="578" w:type="pct"/>
            <w:hideMark/>
          </w:tcPr>
          <w:p w14:paraId="08FA6BD2" w14:textId="77777777" w:rsidR="00B15F7D" w:rsidRPr="00990FB6" w:rsidRDefault="00B15F7D" w:rsidP="00B15F7D">
            <w:pPr>
              <w:rPr>
                <w:sz w:val="22"/>
                <w:szCs w:val="22"/>
                <w:u w:val="single"/>
              </w:rPr>
            </w:pPr>
            <w:r w:rsidRPr="00990FB6">
              <w:rPr>
                <w:sz w:val="22"/>
                <w:szCs w:val="22"/>
                <w:u w:val="single"/>
              </w:rPr>
              <w:t>Mantenimiento y reparación de otros equipos</w:t>
            </w:r>
          </w:p>
        </w:tc>
        <w:tc>
          <w:tcPr>
            <w:tcW w:w="363" w:type="pct"/>
            <w:hideMark/>
          </w:tcPr>
          <w:p w14:paraId="0A07181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25912</w:t>
            </w:r>
          </w:p>
        </w:tc>
        <w:tc>
          <w:tcPr>
            <w:tcW w:w="1045" w:type="pct"/>
            <w:hideMark/>
          </w:tcPr>
          <w:p w14:paraId="4D347BDB" w14:textId="77777777" w:rsidR="00B15F7D" w:rsidRPr="00990FB6" w:rsidRDefault="00B15F7D" w:rsidP="00B15F7D">
            <w:pPr>
              <w:rPr>
                <w:sz w:val="22"/>
                <w:szCs w:val="22"/>
                <w:u w:val="single"/>
              </w:rPr>
            </w:pPr>
            <w:r w:rsidRPr="00990FB6">
              <w:rPr>
                <w:sz w:val="22"/>
                <w:szCs w:val="22"/>
                <w:u w:val="single"/>
              </w:rPr>
              <w:t>RECARGA EXTINTOR CO2</w:t>
            </w:r>
          </w:p>
        </w:tc>
        <w:tc>
          <w:tcPr>
            <w:tcW w:w="550" w:type="pct"/>
            <w:hideMark/>
          </w:tcPr>
          <w:p w14:paraId="7180554D" w14:textId="77777777" w:rsidR="00B15F7D" w:rsidRPr="00990FB6" w:rsidRDefault="00B15F7D" w:rsidP="00B15F7D">
            <w:pPr>
              <w:rPr>
                <w:sz w:val="22"/>
                <w:szCs w:val="22"/>
                <w:u w:val="single"/>
              </w:rPr>
            </w:pPr>
            <w:r w:rsidRPr="00990FB6">
              <w:rPr>
                <w:sz w:val="22"/>
                <w:szCs w:val="22"/>
                <w:u w:val="single"/>
              </w:rPr>
              <w:t>82.210,00</w:t>
            </w:r>
          </w:p>
        </w:tc>
        <w:tc>
          <w:tcPr>
            <w:tcW w:w="511" w:type="pct"/>
            <w:noWrap/>
            <w:hideMark/>
          </w:tcPr>
          <w:p w14:paraId="6355558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BBEB48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E21218C" w14:textId="77777777" w:rsidR="00B15F7D" w:rsidRPr="00990FB6" w:rsidRDefault="00B15F7D" w:rsidP="00F60AA2">
            <w:pPr>
              <w:jc w:val="both"/>
              <w:rPr>
                <w:sz w:val="22"/>
                <w:szCs w:val="22"/>
                <w:u w:val="single"/>
              </w:rPr>
            </w:pPr>
            <w:r w:rsidRPr="00990FB6">
              <w:rPr>
                <w:sz w:val="22"/>
                <w:szCs w:val="22"/>
                <w:u w:val="single"/>
              </w:rPr>
              <w:t xml:space="preserve">Afectación de aspectos de seguridad de las instalaciones del Ministerio Público. No se dispondrá de recursos para la recarga de extintores de las Fiscalías de Guanacaste, Golfito, Corredores, Quepos, Sarapiquí, Coto Brus, Puerto Jiménez, San Ramón, Fiscalía General y Unidad de Capacitación. </w:t>
            </w:r>
          </w:p>
        </w:tc>
      </w:tr>
      <w:tr w:rsidR="00B15F7D" w:rsidRPr="00990FB6" w14:paraId="3603DDE0" w14:textId="77777777" w:rsidTr="000A0C22">
        <w:trPr>
          <w:trHeight w:val="2610"/>
          <w:jc w:val="center"/>
        </w:trPr>
        <w:tc>
          <w:tcPr>
            <w:tcW w:w="583" w:type="pct"/>
            <w:hideMark/>
          </w:tcPr>
          <w:p w14:paraId="56556833" w14:textId="77777777" w:rsidR="00B15F7D" w:rsidRPr="00990FB6" w:rsidRDefault="00B15F7D" w:rsidP="00B15F7D">
            <w:pPr>
              <w:rPr>
                <w:sz w:val="22"/>
                <w:szCs w:val="22"/>
                <w:u w:val="single"/>
              </w:rPr>
            </w:pPr>
            <w:r w:rsidRPr="00990FB6">
              <w:rPr>
                <w:sz w:val="22"/>
                <w:szCs w:val="22"/>
                <w:u w:val="single"/>
              </w:rPr>
              <w:t>20101</w:t>
            </w:r>
          </w:p>
        </w:tc>
        <w:tc>
          <w:tcPr>
            <w:tcW w:w="578" w:type="pct"/>
            <w:hideMark/>
          </w:tcPr>
          <w:p w14:paraId="258B6071" w14:textId="77777777" w:rsidR="00B15F7D" w:rsidRPr="00990FB6" w:rsidRDefault="00B15F7D" w:rsidP="00B15F7D">
            <w:pPr>
              <w:rPr>
                <w:sz w:val="22"/>
                <w:szCs w:val="22"/>
                <w:u w:val="single"/>
              </w:rPr>
            </w:pPr>
            <w:r w:rsidRPr="00990FB6">
              <w:rPr>
                <w:sz w:val="22"/>
                <w:szCs w:val="22"/>
                <w:u w:val="single"/>
              </w:rPr>
              <w:t>Combustibles y lubricantes</w:t>
            </w:r>
          </w:p>
        </w:tc>
        <w:tc>
          <w:tcPr>
            <w:tcW w:w="363" w:type="pct"/>
            <w:hideMark/>
          </w:tcPr>
          <w:p w14:paraId="6EFFA8D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23744</w:t>
            </w:r>
          </w:p>
        </w:tc>
        <w:tc>
          <w:tcPr>
            <w:tcW w:w="1045" w:type="pct"/>
            <w:hideMark/>
          </w:tcPr>
          <w:p w14:paraId="60FC24A1" w14:textId="77777777" w:rsidR="00B15F7D" w:rsidRPr="00990FB6" w:rsidRDefault="00B15F7D" w:rsidP="00B15F7D">
            <w:pPr>
              <w:rPr>
                <w:sz w:val="22"/>
                <w:szCs w:val="22"/>
                <w:u w:val="single"/>
              </w:rPr>
            </w:pPr>
            <w:r w:rsidRPr="00990FB6">
              <w:rPr>
                <w:sz w:val="22"/>
                <w:szCs w:val="22"/>
                <w:u w:val="single"/>
              </w:rPr>
              <w:t>DIESEL FLOTA 2.0</w:t>
            </w:r>
          </w:p>
        </w:tc>
        <w:tc>
          <w:tcPr>
            <w:tcW w:w="550" w:type="pct"/>
            <w:hideMark/>
          </w:tcPr>
          <w:p w14:paraId="44161213" w14:textId="77777777" w:rsidR="00B15F7D" w:rsidRPr="00990FB6" w:rsidRDefault="00B15F7D" w:rsidP="00B15F7D">
            <w:pPr>
              <w:rPr>
                <w:sz w:val="22"/>
                <w:szCs w:val="22"/>
                <w:u w:val="single"/>
              </w:rPr>
            </w:pPr>
            <w:r w:rsidRPr="00990FB6">
              <w:rPr>
                <w:sz w:val="22"/>
                <w:szCs w:val="22"/>
                <w:u w:val="single"/>
              </w:rPr>
              <w:t>12.000.000,00</w:t>
            </w:r>
          </w:p>
        </w:tc>
        <w:tc>
          <w:tcPr>
            <w:tcW w:w="511" w:type="pct"/>
            <w:hideMark/>
          </w:tcPr>
          <w:p w14:paraId="1DC037B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2267F5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9F0CD61" w14:textId="77777777" w:rsidR="00B15F7D" w:rsidRPr="00990FB6" w:rsidRDefault="00B15F7D" w:rsidP="00F60AA2">
            <w:pPr>
              <w:jc w:val="both"/>
              <w:rPr>
                <w:sz w:val="22"/>
                <w:szCs w:val="22"/>
                <w:u w:val="single"/>
              </w:rPr>
            </w:pPr>
            <w:r w:rsidRPr="00990FB6">
              <w:rPr>
                <w:sz w:val="22"/>
                <w:szCs w:val="22"/>
                <w:u w:val="single"/>
              </w:rPr>
              <w:t xml:space="preserve">El no disponer de recursos para la compra de combustible se traduce en desmejora en la prestación del servicio que </w:t>
            </w:r>
            <w:proofErr w:type="gramStart"/>
            <w:r w:rsidRPr="00990FB6">
              <w:rPr>
                <w:sz w:val="22"/>
                <w:szCs w:val="22"/>
                <w:u w:val="single"/>
              </w:rPr>
              <w:t>se  brinda</w:t>
            </w:r>
            <w:proofErr w:type="gramEnd"/>
            <w:r w:rsidRPr="00990FB6">
              <w:rPr>
                <w:sz w:val="22"/>
                <w:szCs w:val="22"/>
                <w:u w:val="single"/>
              </w:rPr>
              <w:t xml:space="preserve"> a la ciudadanía, al  limitarse el traslado de los funcionarios para la atención de las diferentes diligencias judiciales. Según el </w:t>
            </w:r>
            <w:proofErr w:type="gramStart"/>
            <w:r w:rsidRPr="00990FB6">
              <w:rPr>
                <w:sz w:val="22"/>
                <w:szCs w:val="22"/>
                <w:u w:val="single"/>
              </w:rPr>
              <w:lastRenderedPageBreak/>
              <w:t>comportamiento  de</w:t>
            </w:r>
            <w:proofErr w:type="gramEnd"/>
            <w:r w:rsidRPr="00990FB6">
              <w:rPr>
                <w:sz w:val="22"/>
                <w:szCs w:val="22"/>
                <w:u w:val="single"/>
              </w:rPr>
              <w:t xml:space="preserve"> gastos se estima un gasto mensual de ¢ 3 451 056 para la compra de combustible, con este recorte de presupuesto implicaría un faltante de recursos para atender las necesidades del último trimestre del año, por lo tanto, implicará la no movilización de las  103 unidades que conforman la flotilla vehicular del Ministerio Público, la falta de recursos de igual manera impedirá  atender incrementos en el costo del combustible por variación del tipo de cambio. </w:t>
            </w:r>
          </w:p>
        </w:tc>
      </w:tr>
      <w:tr w:rsidR="00B15F7D" w:rsidRPr="00990FB6" w14:paraId="2D23D5DA" w14:textId="77777777" w:rsidTr="000A0C22">
        <w:trPr>
          <w:trHeight w:val="870"/>
          <w:jc w:val="center"/>
        </w:trPr>
        <w:tc>
          <w:tcPr>
            <w:tcW w:w="583" w:type="pct"/>
            <w:hideMark/>
          </w:tcPr>
          <w:p w14:paraId="4D63B9D5" w14:textId="77777777" w:rsidR="00B15F7D" w:rsidRPr="00990FB6" w:rsidRDefault="00B15F7D" w:rsidP="00B15F7D">
            <w:pPr>
              <w:rPr>
                <w:sz w:val="22"/>
                <w:szCs w:val="22"/>
                <w:u w:val="single"/>
              </w:rPr>
            </w:pPr>
            <w:r w:rsidRPr="00990FB6">
              <w:rPr>
                <w:sz w:val="22"/>
                <w:szCs w:val="22"/>
                <w:u w:val="single"/>
              </w:rPr>
              <w:lastRenderedPageBreak/>
              <w:t>20102</w:t>
            </w:r>
          </w:p>
        </w:tc>
        <w:tc>
          <w:tcPr>
            <w:tcW w:w="578" w:type="pct"/>
            <w:hideMark/>
          </w:tcPr>
          <w:p w14:paraId="05DD09F5"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0BD3ACD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10179</w:t>
            </w:r>
          </w:p>
        </w:tc>
        <w:tc>
          <w:tcPr>
            <w:tcW w:w="1045" w:type="pct"/>
            <w:hideMark/>
          </w:tcPr>
          <w:p w14:paraId="529B37E2" w14:textId="77777777" w:rsidR="00B15F7D" w:rsidRPr="00990FB6" w:rsidRDefault="00B15F7D" w:rsidP="00B15F7D">
            <w:pPr>
              <w:rPr>
                <w:sz w:val="22"/>
                <w:szCs w:val="22"/>
                <w:u w:val="single"/>
              </w:rPr>
            </w:pPr>
            <w:r w:rsidRPr="00990FB6">
              <w:rPr>
                <w:sz w:val="22"/>
                <w:szCs w:val="22"/>
                <w:u w:val="single"/>
              </w:rPr>
              <w:t>ALCOHOL MULTIUSO 70 GRADOS</w:t>
            </w:r>
          </w:p>
        </w:tc>
        <w:tc>
          <w:tcPr>
            <w:tcW w:w="550" w:type="pct"/>
            <w:hideMark/>
          </w:tcPr>
          <w:p w14:paraId="27BBA947" w14:textId="77777777" w:rsidR="00B15F7D" w:rsidRPr="00990FB6" w:rsidRDefault="00B15F7D" w:rsidP="00B15F7D">
            <w:pPr>
              <w:rPr>
                <w:sz w:val="22"/>
                <w:szCs w:val="22"/>
                <w:u w:val="single"/>
              </w:rPr>
            </w:pPr>
            <w:r w:rsidRPr="00990FB6">
              <w:rPr>
                <w:sz w:val="22"/>
                <w:szCs w:val="22"/>
                <w:u w:val="single"/>
              </w:rPr>
              <w:t>410.591,00</w:t>
            </w:r>
          </w:p>
        </w:tc>
        <w:tc>
          <w:tcPr>
            <w:tcW w:w="511" w:type="pct"/>
            <w:hideMark/>
          </w:tcPr>
          <w:p w14:paraId="6559C9E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0A39D3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FD29826"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w:t>
            </w:r>
            <w:r w:rsidRPr="00990FB6">
              <w:rPr>
                <w:sz w:val="22"/>
                <w:szCs w:val="22"/>
                <w:u w:val="single"/>
              </w:rPr>
              <w:lastRenderedPageBreak/>
              <w:t xml:space="preserve">usuarios como de los 1349 funcionarios a nivel nacional, al no contar con presupuesto para la compra de suministros para la correcta limpieza para la prevención de la COVID-19. </w:t>
            </w:r>
          </w:p>
        </w:tc>
      </w:tr>
      <w:tr w:rsidR="00B15F7D" w:rsidRPr="00990FB6" w14:paraId="5F38EBC4" w14:textId="77777777" w:rsidTr="000A0C22">
        <w:trPr>
          <w:trHeight w:val="870"/>
          <w:jc w:val="center"/>
        </w:trPr>
        <w:tc>
          <w:tcPr>
            <w:tcW w:w="583" w:type="pct"/>
            <w:hideMark/>
          </w:tcPr>
          <w:p w14:paraId="52CFE330" w14:textId="77777777" w:rsidR="00B15F7D" w:rsidRPr="00990FB6" w:rsidRDefault="00B15F7D" w:rsidP="00B15F7D">
            <w:pPr>
              <w:rPr>
                <w:sz w:val="22"/>
                <w:szCs w:val="22"/>
                <w:u w:val="single"/>
              </w:rPr>
            </w:pPr>
            <w:r w:rsidRPr="00990FB6">
              <w:rPr>
                <w:sz w:val="22"/>
                <w:szCs w:val="22"/>
                <w:u w:val="single"/>
              </w:rPr>
              <w:lastRenderedPageBreak/>
              <w:t>20102</w:t>
            </w:r>
          </w:p>
        </w:tc>
        <w:tc>
          <w:tcPr>
            <w:tcW w:w="578" w:type="pct"/>
            <w:hideMark/>
          </w:tcPr>
          <w:p w14:paraId="0C4B7DDC"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4728171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10226</w:t>
            </w:r>
          </w:p>
        </w:tc>
        <w:tc>
          <w:tcPr>
            <w:tcW w:w="1045" w:type="pct"/>
            <w:hideMark/>
          </w:tcPr>
          <w:p w14:paraId="680ADA12" w14:textId="77777777" w:rsidR="00B15F7D" w:rsidRPr="00990FB6" w:rsidRDefault="00B15F7D" w:rsidP="00B15F7D">
            <w:pPr>
              <w:rPr>
                <w:sz w:val="22"/>
                <w:szCs w:val="22"/>
                <w:u w:val="single"/>
              </w:rPr>
            </w:pPr>
            <w:r w:rsidRPr="00990FB6">
              <w:rPr>
                <w:sz w:val="22"/>
                <w:szCs w:val="22"/>
                <w:u w:val="single"/>
              </w:rPr>
              <w:t>BLOQUEADOR SOLAR (LOCION/CREMA)</w:t>
            </w:r>
          </w:p>
        </w:tc>
        <w:tc>
          <w:tcPr>
            <w:tcW w:w="550" w:type="pct"/>
            <w:hideMark/>
          </w:tcPr>
          <w:p w14:paraId="035CC307" w14:textId="77777777" w:rsidR="00B15F7D" w:rsidRPr="00990FB6" w:rsidRDefault="00B15F7D" w:rsidP="00B15F7D">
            <w:pPr>
              <w:rPr>
                <w:sz w:val="22"/>
                <w:szCs w:val="22"/>
                <w:u w:val="single"/>
              </w:rPr>
            </w:pPr>
            <w:r w:rsidRPr="00990FB6">
              <w:rPr>
                <w:sz w:val="22"/>
                <w:szCs w:val="22"/>
                <w:u w:val="single"/>
              </w:rPr>
              <w:t>43.860,00</w:t>
            </w:r>
          </w:p>
        </w:tc>
        <w:tc>
          <w:tcPr>
            <w:tcW w:w="511" w:type="pct"/>
            <w:hideMark/>
          </w:tcPr>
          <w:p w14:paraId="18B298E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6A0494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E272812"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de suministros para la correcta limpieza para la prevención de la COVID-19. </w:t>
            </w:r>
          </w:p>
        </w:tc>
      </w:tr>
      <w:tr w:rsidR="00B15F7D" w:rsidRPr="00990FB6" w14:paraId="67A6F65D" w14:textId="77777777" w:rsidTr="000A0C22">
        <w:trPr>
          <w:trHeight w:val="870"/>
          <w:jc w:val="center"/>
        </w:trPr>
        <w:tc>
          <w:tcPr>
            <w:tcW w:w="583" w:type="pct"/>
            <w:hideMark/>
          </w:tcPr>
          <w:p w14:paraId="25B9A502" w14:textId="77777777" w:rsidR="00B15F7D" w:rsidRPr="00990FB6" w:rsidRDefault="00B15F7D" w:rsidP="00B15F7D">
            <w:pPr>
              <w:rPr>
                <w:sz w:val="22"/>
                <w:szCs w:val="22"/>
                <w:u w:val="single"/>
              </w:rPr>
            </w:pPr>
            <w:r w:rsidRPr="00990FB6">
              <w:rPr>
                <w:sz w:val="22"/>
                <w:szCs w:val="22"/>
                <w:u w:val="single"/>
              </w:rPr>
              <w:t>20102</w:t>
            </w:r>
          </w:p>
        </w:tc>
        <w:tc>
          <w:tcPr>
            <w:tcW w:w="578" w:type="pct"/>
            <w:hideMark/>
          </w:tcPr>
          <w:p w14:paraId="5DFBF94B"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26979B9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23894</w:t>
            </w:r>
          </w:p>
        </w:tc>
        <w:tc>
          <w:tcPr>
            <w:tcW w:w="1045" w:type="pct"/>
            <w:hideMark/>
          </w:tcPr>
          <w:p w14:paraId="2138FEE5" w14:textId="77777777" w:rsidR="00B15F7D" w:rsidRPr="00990FB6" w:rsidRDefault="00B15F7D" w:rsidP="00B15F7D">
            <w:pPr>
              <w:rPr>
                <w:sz w:val="22"/>
                <w:szCs w:val="22"/>
                <w:u w:val="single"/>
              </w:rPr>
            </w:pPr>
            <w:r w:rsidRPr="00990FB6">
              <w:rPr>
                <w:sz w:val="22"/>
                <w:szCs w:val="22"/>
                <w:u w:val="single"/>
              </w:rPr>
              <w:t>ALCOHOL EN SPRAY</w:t>
            </w:r>
          </w:p>
        </w:tc>
        <w:tc>
          <w:tcPr>
            <w:tcW w:w="550" w:type="pct"/>
            <w:hideMark/>
          </w:tcPr>
          <w:p w14:paraId="22976784" w14:textId="77777777" w:rsidR="00B15F7D" w:rsidRPr="00990FB6" w:rsidRDefault="00B15F7D" w:rsidP="00B15F7D">
            <w:pPr>
              <w:rPr>
                <w:sz w:val="22"/>
                <w:szCs w:val="22"/>
                <w:u w:val="single"/>
              </w:rPr>
            </w:pPr>
            <w:r w:rsidRPr="00990FB6">
              <w:rPr>
                <w:sz w:val="22"/>
                <w:szCs w:val="22"/>
                <w:u w:val="single"/>
              </w:rPr>
              <w:t>10.200,00</w:t>
            </w:r>
          </w:p>
        </w:tc>
        <w:tc>
          <w:tcPr>
            <w:tcW w:w="511" w:type="pct"/>
            <w:hideMark/>
          </w:tcPr>
          <w:p w14:paraId="256B020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538AC0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A2CE701"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w:t>
            </w:r>
            <w:r w:rsidRPr="00990FB6">
              <w:rPr>
                <w:sz w:val="22"/>
                <w:szCs w:val="22"/>
                <w:u w:val="single"/>
              </w:rPr>
              <w:lastRenderedPageBreak/>
              <w:t xml:space="preserve">al no contar con presupuesto para la compra de suministros para la correcta limpieza para la prevención de la COVID-19. </w:t>
            </w:r>
          </w:p>
        </w:tc>
      </w:tr>
      <w:tr w:rsidR="00B15F7D" w:rsidRPr="00990FB6" w14:paraId="5B700FE7" w14:textId="77777777" w:rsidTr="000A0C22">
        <w:trPr>
          <w:trHeight w:val="870"/>
          <w:jc w:val="center"/>
        </w:trPr>
        <w:tc>
          <w:tcPr>
            <w:tcW w:w="583" w:type="pct"/>
            <w:hideMark/>
          </w:tcPr>
          <w:p w14:paraId="0B46484C" w14:textId="77777777" w:rsidR="00B15F7D" w:rsidRPr="00990FB6" w:rsidRDefault="00B15F7D" w:rsidP="00B15F7D">
            <w:pPr>
              <w:rPr>
                <w:sz w:val="22"/>
                <w:szCs w:val="22"/>
                <w:u w:val="single"/>
              </w:rPr>
            </w:pPr>
            <w:r w:rsidRPr="00990FB6">
              <w:rPr>
                <w:sz w:val="22"/>
                <w:szCs w:val="22"/>
                <w:u w:val="single"/>
              </w:rPr>
              <w:lastRenderedPageBreak/>
              <w:t>20102</w:t>
            </w:r>
          </w:p>
        </w:tc>
        <w:tc>
          <w:tcPr>
            <w:tcW w:w="578" w:type="pct"/>
            <w:hideMark/>
          </w:tcPr>
          <w:p w14:paraId="22503E6A"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7B7721D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25213</w:t>
            </w:r>
          </w:p>
        </w:tc>
        <w:tc>
          <w:tcPr>
            <w:tcW w:w="1045" w:type="pct"/>
            <w:hideMark/>
          </w:tcPr>
          <w:p w14:paraId="24599A22" w14:textId="77777777" w:rsidR="00B15F7D" w:rsidRPr="00990FB6" w:rsidRDefault="00B15F7D" w:rsidP="00B15F7D">
            <w:pPr>
              <w:rPr>
                <w:sz w:val="22"/>
                <w:szCs w:val="22"/>
                <w:u w:val="single"/>
              </w:rPr>
            </w:pPr>
            <w:r w:rsidRPr="00990FB6">
              <w:rPr>
                <w:sz w:val="22"/>
                <w:szCs w:val="22"/>
                <w:u w:val="single"/>
              </w:rPr>
              <w:t>SOLUCION ALCOHOLICA 60 ML</w:t>
            </w:r>
          </w:p>
        </w:tc>
        <w:tc>
          <w:tcPr>
            <w:tcW w:w="550" w:type="pct"/>
            <w:hideMark/>
          </w:tcPr>
          <w:p w14:paraId="1C7AD535" w14:textId="77777777" w:rsidR="00B15F7D" w:rsidRPr="00990FB6" w:rsidRDefault="00B15F7D" w:rsidP="00B15F7D">
            <w:pPr>
              <w:rPr>
                <w:sz w:val="22"/>
                <w:szCs w:val="22"/>
                <w:u w:val="single"/>
              </w:rPr>
            </w:pPr>
            <w:r w:rsidRPr="00990FB6">
              <w:rPr>
                <w:sz w:val="22"/>
                <w:szCs w:val="22"/>
                <w:u w:val="single"/>
              </w:rPr>
              <w:t>140.000,00</w:t>
            </w:r>
          </w:p>
        </w:tc>
        <w:tc>
          <w:tcPr>
            <w:tcW w:w="511" w:type="pct"/>
            <w:hideMark/>
          </w:tcPr>
          <w:p w14:paraId="2F52175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B562A3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39E5001"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de suministros para la correcta limpieza para la prevención de la COVID-19. </w:t>
            </w:r>
          </w:p>
        </w:tc>
      </w:tr>
      <w:tr w:rsidR="00B15F7D" w:rsidRPr="00990FB6" w14:paraId="3656AC52" w14:textId="77777777" w:rsidTr="000A0C22">
        <w:trPr>
          <w:trHeight w:val="870"/>
          <w:jc w:val="center"/>
        </w:trPr>
        <w:tc>
          <w:tcPr>
            <w:tcW w:w="583" w:type="pct"/>
            <w:hideMark/>
          </w:tcPr>
          <w:p w14:paraId="751EED14" w14:textId="77777777" w:rsidR="00B15F7D" w:rsidRPr="00990FB6" w:rsidRDefault="00B15F7D" w:rsidP="00B15F7D">
            <w:pPr>
              <w:rPr>
                <w:sz w:val="22"/>
                <w:szCs w:val="22"/>
                <w:u w:val="single"/>
              </w:rPr>
            </w:pPr>
            <w:r w:rsidRPr="00990FB6">
              <w:rPr>
                <w:sz w:val="22"/>
                <w:szCs w:val="22"/>
                <w:u w:val="single"/>
              </w:rPr>
              <w:t>20102</w:t>
            </w:r>
          </w:p>
        </w:tc>
        <w:tc>
          <w:tcPr>
            <w:tcW w:w="578" w:type="pct"/>
            <w:hideMark/>
          </w:tcPr>
          <w:p w14:paraId="3E7A0224"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69B0EBE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25216</w:t>
            </w:r>
          </w:p>
        </w:tc>
        <w:tc>
          <w:tcPr>
            <w:tcW w:w="1045" w:type="pct"/>
            <w:hideMark/>
          </w:tcPr>
          <w:p w14:paraId="4355F78C" w14:textId="77777777" w:rsidR="00B15F7D" w:rsidRPr="00990FB6" w:rsidRDefault="00B15F7D" w:rsidP="00B15F7D">
            <w:pPr>
              <w:rPr>
                <w:sz w:val="22"/>
                <w:szCs w:val="22"/>
                <w:u w:val="single"/>
              </w:rPr>
            </w:pPr>
            <w:r w:rsidRPr="00990FB6">
              <w:rPr>
                <w:sz w:val="22"/>
                <w:szCs w:val="22"/>
                <w:u w:val="single"/>
              </w:rPr>
              <w:t>ALCOHOL EN SPRAY PARA DISPENSADOR</w:t>
            </w:r>
          </w:p>
        </w:tc>
        <w:tc>
          <w:tcPr>
            <w:tcW w:w="550" w:type="pct"/>
            <w:hideMark/>
          </w:tcPr>
          <w:p w14:paraId="54068369" w14:textId="77777777" w:rsidR="00B15F7D" w:rsidRPr="00990FB6" w:rsidRDefault="00B15F7D" w:rsidP="00B15F7D">
            <w:pPr>
              <w:rPr>
                <w:sz w:val="22"/>
                <w:szCs w:val="22"/>
                <w:u w:val="single"/>
              </w:rPr>
            </w:pPr>
            <w:r w:rsidRPr="00990FB6">
              <w:rPr>
                <w:sz w:val="22"/>
                <w:szCs w:val="22"/>
                <w:u w:val="single"/>
              </w:rPr>
              <w:t>2.760.000,00</w:t>
            </w:r>
          </w:p>
        </w:tc>
        <w:tc>
          <w:tcPr>
            <w:tcW w:w="511" w:type="pct"/>
            <w:hideMark/>
          </w:tcPr>
          <w:p w14:paraId="18EC2CE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783B15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23780D7"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de suministros </w:t>
            </w:r>
            <w:r w:rsidRPr="00990FB6">
              <w:rPr>
                <w:sz w:val="22"/>
                <w:szCs w:val="22"/>
                <w:u w:val="single"/>
              </w:rPr>
              <w:lastRenderedPageBreak/>
              <w:t xml:space="preserve">para la correcta limpieza para la prevención de la COVID-19. </w:t>
            </w:r>
          </w:p>
        </w:tc>
      </w:tr>
      <w:tr w:rsidR="00B15F7D" w:rsidRPr="00990FB6" w14:paraId="7670D912" w14:textId="77777777" w:rsidTr="000A0C22">
        <w:trPr>
          <w:trHeight w:val="870"/>
          <w:jc w:val="center"/>
        </w:trPr>
        <w:tc>
          <w:tcPr>
            <w:tcW w:w="583" w:type="pct"/>
            <w:hideMark/>
          </w:tcPr>
          <w:p w14:paraId="361D9510" w14:textId="77777777" w:rsidR="00B15F7D" w:rsidRPr="00990FB6" w:rsidRDefault="00B15F7D" w:rsidP="00B15F7D">
            <w:pPr>
              <w:rPr>
                <w:sz w:val="22"/>
                <w:szCs w:val="22"/>
                <w:u w:val="single"/>
              </w:rPr>
            </w:pPr>
            <w:r w:rsidRPr="00990FB6">
              <w:rPr>
                <w:sz w:val="22"/>
                <w:szCs w:val="22"/>
                <w:u w:val="single"/>
              </w:rPr>
              <w:lastRenderedPageBreak/>
              <w:t>20102</w:t>
            </w:r>
          </w:p>
        </w:tc>
        <w:tc>
          <w:tcPr>
            <w:tcW w:w="578" w:type="pct"/>
            <w:hideMark/>
          </w:tcPr>
          <w:p w14:paraId="27EC6766"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33476CB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25217</w:t>
            </w:r>
          </w:p>
        </w:tc>
        <w:tc>
          <w:tcPr>
            <w:tcW w:w="1045" w:type="pct"/>
            <w:hideMark/>
          </w:tcPr>
          <w:p w14:paraId="5621F527" w14:textId="77777777" w:rsidR="00B15F7D" w:rsidRPr="00990FB6" w:rsidRDefault="00B15F7D" w:rsidP="00B15F7D">
            <w:pPr>
              <w:rPr>
                <w:sz w:val="22"/>
                <w:szCs w:val="22"/>
                <w:u w:val="single"/>
              </w:rPr>
            </w:pPr>
            <w:r w:rsidRPr="00990FB6">
              <w:rPr>
                <w:sz w:val="22"/>
                <w:szCs w:val="22"/>
                <w:u w:val="single"/>
              </w:rPr>
              <w:t>SOLUCION ALCOHOLICA 350 ML</w:t>
            </w:r>
          </w:p>
        </w:tc>
        <w:tc>
          <w:tcPr>
            <w:tcW w:w="550" w:type="pct"/>
            <w:hideMark/>
          </w:tcPr>
          <w:p w14:paraId="6FC6C91C" w14:textId="77777777" w:rsidR="00B15F7D" w:rsidRPr="00990FB6" w:rsidRDefault="00B15F7D" w:rsidP="00B15F7D">
            <w:pPr>
              <w:rPr>
                <w:sz w:val="22"/>
                <w:szCs w:val="22"/>
                <w:u w:val="single"/>
              </w:rPr>
            </w:pPr>
            <w:r w:rsidRPr="00990FB6">
              <w:rPr>
                <w:sz w:val="22"/>
                <w:szCs w:val="22"/>
                <w:u w:val="single"/>
              </w:rPr>
              <w:t>344.000,00</w:t>
            </w:r>
          </w:p>
        </w:tc>
        <w:tc>
          <w:tcPr>
            <w:tcW w:w="511" w:type="pct"/>
            <w:hideMark/>
          </w:tcPr>
          <w:p w14:paraId="381E1F4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6A1994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0819654"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de suministros para la correcta limpieza para la prevención de la COVID-19. </w:t>
            </w:r>
          </w:p>
        </w:tc>
      </w:tr>
      <w:tr w:rsidR="00B15F7D" w:rsidRPr="00990FB6" w14:paraId="3BA79F1F" w14:textId="77777777" w:rsidTr="000A0C22">
        <w:trPr>
          <w:trHeight w:val="870"/>
          <w:jc w:val="center"/>
        </w:trPr>
        <w:tc>
          <w:tcPr>
            <w:tcW w:w="583" w:type="pct"/>
            <w:hideMark/>
          </w:tcPr>
          <w:p w14:paraId="62448F75" w14:textId="77777777" w:rsidR="00B15F7D" w:rsidRPr="00990FB6" w:rsidRDefault="00B15F7D" w:rsidP="00B15F7D">
            <w:pPr>
              <w:rPr>
                <w:sz w:val="22"/>
                <w:szCs w:val="22"/>
                <w:u w:val="single"/>
              </w:rPr>
            </w:pPr>
            <w:r w:rsidRPr="00990FB6">
              <w:rPr>
                <w:sz w:val="22"/>
                <w:szCs w:val="22"/>
                <w:u w:val="single"/>
              </w:rPr>
              <w:t>20102</w:t>
            </w:r>
          </w:p>
        </w:tc>
        <w:tc>
          <w:tcPr>
            <w:tcW w:w="578" w:type="pct"/>
            <w:hideMark/>
          </w:tcPr>
          <w:p w14:paraId="7B406885"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70F6C18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25218</w:t>
            </w:r>
          </w:p>
        </w:tc>
        <w:tc>
          <w:tcPr>
            <w:tcW w:w="1045" w:type="pct"/>
            <w:hideMark/>
          </w:tcPr>
          <w:p w14:paraId="456B6B21" w14:textId="77777777" w:rsidR="00B15F7D" w:rsidRPr="00990FB6" w:rsidRDefault="00B15F7D" w:rsidP="00B15F7D">
            <w:pPr>
              <w:rPr>
                <w:sz w:val="22"/>
                <w:szCs w:val="22"/>
                <w:u w:val="single"/>
              </w:rPr>
            </w:pPr>
            <w:r w:rsidRPr="00990FB6">
              <w:rPr>
                <w:sz w:val="22"/>
                <w:szCs w:val="22"/>
                <w:u w:val="single"/>
              </w:rPr>
              <w:t>SOLUCION ALCOHOLICA GALON</w:t>
            </w:r>
          </w:p>
        </w:tc>
        <w:tc>
          <w:tcPr>
            <w:tcW w:w="550" w:type="pct"/>
            <w:hideMark/>
          </w:tcPr>
          <w:p w14:paraId="44F99A0B" w14:textId="77777777" w:rsidR="00B15F7D" w:rsidRPr="00990FB6" w:rsidRDefault="00B15F7D" w:rsidP="00B15F7D">
            <w:pPr>
              <w:rPr>
                <w:sz w:val="22"/>
                <w:szCs w:val="22"/>
                <w:u w:val="single"/>
              </w:rPr>
            </w:pPr>
            <w:r w:rsidRPr="00990FB6">
              <w:rPr>
                <w:sz w:val="22"/>
                <w:szCs w:val="22"/>
                <w:u w:val="single"/>
              </w:rPr>
              <w:t>1.727.250,00</w:t>
            </w:r>
          </w:p>
        </w:tc>
        <w:tc>
          <w:tcPr>
            <w:tcW w:w="511" w:type="pct"/>
            <w:hideMark/>
          </w:tcPr>
          <w:p w14:paraId="369775A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B8989D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6790453"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de suministros para la correcta limpieza para la prevención de la COVID-19. </w:t>
            </w:r>
          </w:p>
        </w:tc>
      </w:tr>
      <w:tr w:rsidR="00B15F7D" w:rsidRPr="00990FB6" w14:paraId="6881D5D4" w14:textId="77777777" w:rsidTr="000A0C22">
        <w:trPr>
          <w:trHeight w:val="870"/>
          <w:jc w:val="center"/>
        </w:trPr>
        <w:tc>
          <w:tcPr>
            <w:tcW w:w="583" w:type="pct"/>
            <w:hideMark/>
          </w:tcPr>
          <w:p w14:paraId="2890403B" w14:textId="77777777" w:rsidR="00B15F7D" w:rsidRPr="00990FB6" w:rsidRDefault="00B15F7D" w:rsidP="00B15F7D">
            <w:pPr>
              <w:rPr>
                <w:sz w:val="22"/>
                <w:szCs w:val="22"/>
                <w:u w:val="single"/>
              </w:rPr>
            </w:pPr>
            <w:r w:rsidRPr="00990FB6">
              <w:rPr>
                <w:sz w:val="22"/>
                <w:szCs w:val="22"/>
                <w:u w:val="single"/>
              </w:rPr>
              <w:lastRenderedPageBreak/>
              <w:t>20102</w:t>
            </w:r>
          </w:p>
        </w:tc>
        <w:tc>
          <w:tcPr>
            <w:tcW w:w="578" w:type="pct"/>
            <w:hideMark/>
          </w:tcPr>
          <w:p w14:paraId="40FCD45A" w14:textId="77777777" w:rsidR="00B15F7D" w:rsidRPr="00990FB6" w:rsidRDefault="00B15F7D" w:rsidP="00B15F7D">
            <w:pPr>
              <w:rPr>
                <w:sz w:val="22"/>
                <w:szCs w:val="22"/>
                <w:u w:val="single"/>
              </w:rPr>
            </w:pPr>
            <w:r w:rsidRPr="00990FB6">
              <w:rPr>
                <w:sz w:val="22"/>
                <w:szCs w:val="22"/>
                <w:u w:val="single"/>
              </w:rPr>
              <w:t>Productos farmacéuticos y medicinales</w:t>
            </w:r>
          </w:p>
        </w:tc>
        <w:tc>
          <w:tcPr>
            <w:tcW w:w="363" w:type="pct"/>
            <w:hideMark/>
          </w:tcPr>
          <w:p w14:paraId="3E6B4E0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25219</w:t>
            </w:r>
          </w:p>
        </w:tc>
        <w:tc>
          <w:tcPr>
            <w:tcW w:w="1045" w:type="pct"/>
            <w:hideMark/>
          </w:tcPr>
          <w:p w14:paraId="359D010A" w14:textId="77777777" w:rsidR="00B15F7D" w:rsidRPr="00990FB6" w:rsidRDefault="00B15F7D" w:rsidP="00B15F7D">
            <w:pPr>
              <w:rPr>
                <w:sz w:val="22"/>
                <w:szCs w:val="22"/>
                <w:u w:val="single"/>
              </w:rPr>
            </w:pPr>
            <w:r w:rsidRPr="00990FB6">
              <w:rPr>
                <w:sz w:val="22"/>
                <w:szCs w:val="22"/>
                <w:u w:val="single"/>
              </w:rPr>
              <w:t>SOLUCION ALCOHOLICA 1000 ML (1 LITRO)</w:t>
            </w:r>
          </w:p>
        </w:tc>
        <w:tc>
          <w:tcPr>
            <w:tcW w:w="550" w:type="pct"/>
            <w:hideMark/>
          </w:tcPr>
          <w:p w14:paraId="633DB3B3" w14:textId="77777777" w:rsidR="00B15F7D" w:rsidRPr="00990FB6" w:rsidRDefault="00B15F7D" w:rsidP="00B15F7D">
            <w:pPr>
              <w:rPr>
                <w:sz w:val="22"/>
                <w:szCs w:val="22"/>
                <w:u w:val="single"/>
              </w:rPr>
            </w:pPr>
            <w:r w:rsidRPr="00990FB6">
              <w:rPr>
                <w:sz w:val="22"/>
                <w:szCs w:val="22"/>
                <w:u w:val="single"/>
              </w:rPr>
              <w:t>379.680,00</w:t>
            </w:r>
          </w:p>
        </w:tc>
        <w:tc>
          <w:tcPr>
            <w:tcW w:w="511" w:type="pct"/>
            <w:hideMark/>
          </w:tcPr>
          <w:p w14:paraId="5123B66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219D8E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4A3BC77" w14:textId="77777777" w:rsidR="00B15F7D" w:rsidRPr="00990FB6" w:rsidRDefault="00B15F7D" w:rsidP="00F60AA2">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de suministros para la correcta limpieza para la prevención de la COVID-19. </w:t>
            </w:r>
          </w:p>
        </w:tc>
      </w:tr>
      <w:tr w:rsidR="00B15F7D" w:rsidRPr="00990FB6" w14:paraId="2D358780" w14:textId="77777777" w:rsidTr="000A0C22">
        <w:trPr>
          <w:trHeight w:val="870"/>
          <w:jc w:val="center"/>
        </w:trPr>
        <w:tc>
          <w:tcPr>
            <w:tcW w:w="583" w:type="pct"/>
            <w:hideMark/>
          </w:tcPr>
          <w:p w14:paraId="57F5137C" w14:textId="77777777" w:rsidR="00B15F7D" w:rsidRPr="00990FB6" w:rsidRDefault="00B15F7D" w:rsidP="00B15F7D">
            <w:pPr>
              <w:rPr>
                <w:sz w:val="22"/>
                <w:szCs w:val="22"/>
                <w:u w:val="single"/>
              </w:rPr>
            </w:pPr>
            <w:r w:rsidRPr="00990FB6">
              <w:rPr>
                <w:sz w:val="22"/>
                <w:szCs w:val="22"/>
                <w:u w:val="single"/>
              </w:rPr>
              <w:t>20104</w:t>
            </w:r>
          </w:p>
        </w:tc>
        <w:tc>
          <w:tcPr>
            <w:tcW w:w="578" w:type="pct"/>
            <w:hideMark/>
          </w:tcPr>
          <w:p w14:paraId="6FF96458" w14:textId="77777777" w:rsidR="00B15F7D" w:rsidRPr="00990FB6" w:rsidRDefault="00B15F7D" w:rsidP="00B15F7D">
            <w:pPr>
              <w:rPr>
                <w:sz w:val="22"/>
                <w:szCs w:val="22"/>
                <w:u w:val="single"/>
              </w:rPr>
            </w:pPr>
            <w:r w:rsidRPr="00990FB6">
              <w:rPr>
                <w:sz w:val="22"/>
                <w:szCs w:val="22"/>
                <w:u w:val="single"/>
              </w:rPr>
              <w:t xml:space="preserve">Tintas, pinturas y diluyentes </w:t>
            </w:r>
          </w:p>
        </w:tc>
        <w:tc>
          <w:tcPr>
            <w:tcW w:w="363" w:type="pct"/>
            <w:hideMark/>
          </w:tcPr>
          <w:p w14:paraId="4D8B7E2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10352</w:t>
            </w:r>
          </w:p>
        </w:tc>
        <w:tc>
          <w:tcPr>
            <w:tcW w:w="1045" w:type="pct"/>
            <w:hideMark/>
          </w:tcPr>
          <w:p w14:paraId="7B746813" w14:textId="77777777" w:rsidR="00B15F7D" w:rsidRPr="00990FB6" w:rsidRDefault="00B15F7D" w:rsidP="00B15F7D">
            <w:pPr>
              <w:rPr>
                <w:sz w:val="22"/>
                <w:szCs w:val="22"/>
                <w:u w:val="single"/>
              </w:rPr>
            </w:pPr>
            <w:r w:rsidRPr="00990FB6">
              <w:rPr>
                <w:sz w:val="22"/>
                <w:szCs w:val="22"/>
                <w:u w:val="single"/>
              </w:rPr>
              <w:t xml:space="preserve">TINTA PARA NUMERADOR </w:t>
            </w:r>
          </w:p>
        </w:tc>
        <w:tc>
          <w:tcPr>
            <w:tcW w:w="550" w:type="pct"/>
            <w:hideMark/>
          </w:tcPr>
          <w:p w14:paraId="3BC9980A" w14:textId="77777777" w:rsidR="00B15F7D" w:rsidRPr="00990FB6" w:rsidRDefault="00B15F7D" w:rsidP="00B15F7D">
            <w:pPr>
              <w:rPr>
                <w:sz w:val="22"/>
                <w:szCs w:val="22"/>
                <w:u w:val="single"/>
              </w:rPr>
            </w:pPr>
            <w:r w:rsidRPr="00990FB6">
              <w:rPr>
                <w:sz w:val="22"/>
                <w:szCs w:val="22"/>
                <w:u w:val="single"/>
              </w:rPr>
              <w:t>112.291,00</w:t>
            </w:r>
          </w:p>
        </w:tc>
        <w:tc>
          <w:tcPr>
            <w:tcW w:w="511" w:type="pct"/>
            <w:hideMark/>
          </w:tcPr>
          <w:p w14:paraId="3FDA8A4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DF7AD0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1B6645F"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w:t>
            </w:r>
            <w:proofErr w:type="gramStart"/>
            <w:r w:rsidRPr="00990FB6">
              <w:rPr>
                <w:sz w:val="22"/>
                <w:szCs w:val="22"/>
                <w:u w:val="single"/>
              </w:rPr>
              <w:t>Público .</w:t>
            </w:r>
            <w:proofErr w:type="gramEnd"/>
            <w:r w:rsidRPr="00990FB6">
              <w:rPr>
                <w:sz w:val="22"/>
                <w:szCs w:val="22"/>
                <w:u w:val="single"/>
              </w:rPr>
              <w:t xml:space="preserve">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72 oficinas, diligencia de los trámites judiciales.     </w:t>
            </w:r>
          </w:p>
        </w:tc>
      </w:tr>
      <w:tr w:rsidR="00B15F7D" w:rsidRPr="00990FB6" w14:paraId="57E927B2" w14:textId="77777777" w:rsidTr="000A0C22">
        <w:trPr>
          <w:trHeight w:val="870"/>
          <w:jc w:val="center"/>
        </w:trPr>
        <w:tc>
          <w:tcPr>
            <w:tcW w:w="583" w:type="pct"/>
            <w:hideMark/>
          </w:tcPr>
          <w:p w14:paraId="799BFE0E" w14:textId="77777777" w:rsidR="00B15F7D" w:rsidRPr="00990FB6" w:rsidRDefault="00B15F7D" w:rsidP="00B15F7D">
            <w:pPr>
              <w:rPr>
                <w:sz w:val="22"/>
                <w:szCs w:val="22"/>
                <w:u w:val="single"/>
              </w:rPr>
            </w:pPr>
            <w:r w:rsidRPr="00990FB6">
              <w:rPr>
                <w:sz w:val="22"/>
                <w:szCs w:val="22"/>
                <w:u w:val="single"/>
              </w:rPr>
              <w:t>20104</w:t>
            </w:r>
          </w:p>
        </w:tc>
        <w:tc>
          <w:tcPr>
            <w:tcW w:w="578" w:type="pct"/>
            <w:hideMark/>
          </w:tcPr>
          <w:p w14:paraId="706E6701" w14:textId="77777777" w:rsidR="00B15F7D" w:rsidRPr="00990FB6" w:rsidRDefault="00B15F7D" w:rsidP="00B15F7D">
            <w:pPr>
              <w:rPr>
                <w:sz w:val="22"/>
                <w:szCs w:val="22"/>
                <w:u w:val="single"/>
              </w:rPr>
            </w:pPr>
            <w:r w:rsidRPr="00990FB6">
              <w:rPr>
                <w:sz w:val="22"/>
                <w:szCs w:val="22"/>
                <w:u w:val="single"/>
              </w:rPr>
              <w:t xml:space="preserve">Tintas, pinturas y diluyentes </w:t>
            </w:r>
          </w:p>
        </w:tc>
        <w:tc>
          <w:tcPr>
            <w:tcW w:w="363" w:type="pct"/>
            <w:hideMark/>
          </w:tcPr>
          <w:p w14:paraId="56727E6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10353</w:t>
            </w:r>
          </w:p>
        </w:tc>
        <w:tc>
          <w:tcPr>
            <w:tcW w:w="1045" w:type="pct"/>
            <w:hideMark/>
          </w:tcPr>
          <w:p w14:paraId="01675A89" w14:textId="77777777" w:rsidR="00B15F7D" w:rsidRPr="00990FB6" w:rsidRDefault="00B15F7D" w:rsidP="00B15F7D">
            <w:pPr>
              <w:rPr>
                <w:sz w:val="22"/>
                <w:szCs w:val="22"/>
                <w:u w:val="single"/>
              </w:rPr>
            </w:pPr>
            <w:r w:rsidRPr="00990FB6">
              <w:rPr>
                <w:sz w:val="22"/>
                <w:szCs w:val="22"/>
                <w:u w:val="single"/>
              </w:rPr>
              <w:t xml:space="preserve">TINTA PARA SELLO </w:t>
            </w:r>
          </w:p>
        </w:tc>
        <w:tc>
          <w:tcPr>
            <w:tcW w:w="550" w:type="pct"/>
            <w:hideMark/>
          </w:tcPr>
          <w:p w14:paraId="7508E094" w14:textId="77777777" w:rsidR="00B15F7D" w:rsidRPr="00990FB6" w:rsidRDefault="00B15F7D" w:rsidP="00B15F7D">
            <w:pPr>
              <w:rPr>
                <w:sz w:val="22"/>
                <w:szCs w:val="22"/>
                <w:u w:val="single"/>
              </w:rPr>
            </w:pPr>
            <w:r w:rsidRPr="00990FB6">
              <w:rPr>
                <w:sz w:val="22"/>
                <w:szCs w:val="22"/>
                <w:u w:val="single"/>
              </w:rPr>
              <w:t>141.585,00</w:t>
            </w:r>
          </w:p>
        </w:tc>
        <w:tc>
          <w:tcPr>
            <w:tcW w:w="511" w:type="pct"/>
            <w:hideMark/>
          </w:tcPr>
          <w:p w14:paraId="709C916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1837A6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BFCAF97"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w:t>
            </w:r>
            <w:proofErr w:type="gramStart"/>
            <w:r w:rsidRPr="00990FB6">
              <w:rPr>
                <w:sz w:val="22"/>
                <w:szCs w:val="22"/>
                <w:u w:val="single"/>
              </w:rPr>
              <w:t>Público .</w:t>
            </w:r>
            <w:proofErr w:type="gramEnd"/>
            <w:r w:rsidRPr="00990FB6">
              <w:rPr>
                <w:sz w:val="22"/>
                <w:szCs w:val="22"/>
                <w:u w:val="single"/>
              </w:rPr>
              <w:t xml:space="preserve"> Riesgo de no contar con </w:t>
            </w:r>
            <w:r w:rsidRPr="00990FB6">
              <w:rPr>
                <w:sz w:val="22"/>
                <w:szCs w:val="22"/>
                <w:u w:val="single"/>
              </w:rPr>
              <w:lastRenderedPageBreak/>
              <w:t xml:space="preserve">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72 oficinas, diligencia de los trámites judiciales.     </w:t>
            </w:r>
          </w:p>
        </w:tc>
      </w:tr>
      <w:tr w:rsidR="00B15F7D" w:rsidRPr="00990FB6" w14:paraId="482BB919" w14:textId="77777777" w:rsidTr="000A0C22">
        <w:trPr>
          <w:trHeight w:val="290"/>
          <w:jc w:val="center"/>
        </w:trPr>
        <w:tc>
          <w:tcPr>
            <w:tcW w:w="583" w:type="pct"/>
            <w:hideMark/>
          </w:tcPr>
          <w:p w14:paraId="26A4AA9D" w14:textId="77777777" w:rsidR="00B15F7D" w:rsidRPr="00990FB6" w:rsidRDefault="00B15F7D" w:rsidP="00B15F7D">
            <w:pPr>
              <w:rPr>
                <w:sz w:val="22"/>
                <w:szCs w:val="22"/>
                <w:u w:val="single"/>
              </w:rPr>
            </w:pPr>
            <w:r w:rsidRPr="00990FB6">
              <w:rPr>
                <w:sz w:val="22"/>
                <w:szCs w:val="22"/>
                <w:u w:val="single"/>
              </w:rPr>
              <w:lastRenderedPageBreak/>
              <w:t>20104</w:t>
            </w:r>
          </w:p>
        </w:tc>
        <w:tc>
          <w:tcPr>
            <w:tcW w:w="578" w:type="pct"/>
            <w:hideMark/>
          </w:tcPr>
          <w:p w14:paraId="1631FF70" w14:textId="77777777" w:rsidR="00B15F7D" w:rsidRPr="00990FB6" w:rsidRDefault="00B15F7D" w:rsidP="00B15F7D">
            <w:pPr>
              <w:rPr>
                <w:sz w:val="22"/>
                <w:szCs w:val="22"/>
                <w:u w:val="single"/>
              </w:rPr>
            </w:pPr>
            <w:r w:rsidRPr="00990FB6">
              <w:rPr>
                <w:sz w:val="22"/>
                <w:szCs w:val="22"/>
                <w:u w:val="single"/>
              </w:rPr>
              <w:t xml:space="preserve">Tintas, pinturas y diluyentes </w:t>
            </w:r>
          </w:p>
        </w:tc>
        <w:tc>
          <w:tcPr>
            <w:tcW w:w="363" w:type="pct"/>
            <w:hideMark/>
          </w:tcPr>
          <w:p w14:paraId="17211A3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10674</w:t>
            </w:r>
          </w:p>
        </w:tc>
        <w:tc>
          <w:tcPr>
            <w:tcW w:w="1045" w:type="pct"/>
            <w:hideMark/>
          </w:tcPr>
          <w:p w14:paraId="6BF7A876" w14:textId="77777777" w:rsidR="00B15F7D" w:rsidRPr="00990FB6" w:rsidRDefault="00B15F7D" w:rsidP="00B15F7D">
            <w:pPr>
              <w:rPr>
                <w:sz w:val="22"/>
                <w:szCs w:val="22"/>
                <w:u w:val="single"/>
              </w:rPr>
            </w:pPr>
            <w:r w:rsidRPr="00990FB6">
              <w:rPr>
                <w:sz w:val="22"/>
                <w:szCs w:val="22"/>
                <w:u w:val="single"/>
              </w:rPr>
              <w:t>PINTURA ACRILICA</w:t>
            </w:r>
          </w:p>
        </w:tc>
        <w:tc>
          <w:tcPr>
            <w:tcW w:w="550" w:type="pct"/>
            <w:hideMark/>
          </w:tcPr>
          <w:p w14:paraId="1706BA12" w14:textId="77777777" w:rsidR="00B15F7D" w:rsidRPr="00990FB6" w:rsidRDefault="00B15F7D" w:rsidP="00B15F7D">
            <w:pPr>
              <w:rPr>
                <w:sz w:val="22"/>
                <w:szCs w:val="22"/>
                <w:u w:val="single"/>
              </w:rPr>
            </w:pPr>
            <w:r w:rsidRPr="00990FB6">
              <w:rPr>
                <w:sz w:val="22"/>
                <w:szCs w:val="22"/>
                <w:u w:val="single"/>
              </w:rPr>
              <w:t>68.026,00</w:t>
            </w:r>
          </w:p>
        </w:tc>
        <w:tc>
          <w:tcPr>
            <w:tcW w:w="511" w:type="pct"/>
            <w:hideMark/>
          </w:tcPr>
          <w:p w14:paraId="781CFA1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AB3FF8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65DD11B" w14:textId="77777777" w:rsidR="00B15F7D" w:rsidRPr="00990FB6" w:rsidRDefault="00B15F7D" w:rsidP="00F60AA2">
            <w:pPr>
              <w:jc w:val="both"/>
              <w:rPr>
                <w:sz w:val="22"/>
                <w:szCs w:val="22"/>
                <w:u w:val="single"/>
              </w:rPr>
            </w:pPr>
            <w:r w:rsidRPr="00990FB6">
              <w:rPr>
                <w:sz w:val="22"/>
                <w:szCs w:val="22"/>
                <w:u w:val="single"/>
              </w:rPr>
              <w:t> </w:t>
            </w:r>
          </w:p>
        </w:tc>
      </w:tr>
      <w:tr w:rsidR="00B15F7D" w:rsidRPr="00990FB6" w14:paraId="39B3105B" w14:textId="77777777" w:rsidTr="000A0C22">
        <w:trPr>
          <w:trHeight w:val="2900"/>
          <w:jc w:val="center"/>
        </w:trPr>
        <w:tc>
          <w:tcPr>
            <w:tcW w:w="583" w:type="pct"/>
            <w:hideMark/>
          </w:tcPr>
          <w:p w14:paraId="5068C813" w14:textId="77777777" w:rsidR="00B15F7D" w:rsidRPr="00990FB6" w:rsidRDefault="00B15F7D" w:rsidP="00B15F7D">
            <w:pPr>
              <w:rPr>
                <w:sz w:val="22"/>
                <w:szCs w:val="22"/>
                <w:u w:val="single"/>
              </w:rPr>
            </w:pPr>
            <w:r w:rsidRPr="00990FB6">
              <w:rPr>
                <w:sz w:val="22"/>
                <w:szCs w:val="22"/>
                <w:u w:val="single"/>
              </w:rPr>
              <w:t>20104</w:t>
            </w:r>
          </w:p>
        </w:tc>
        <w:tc>
          <w:tcPr>
            <w:tcW w:w="578" w:type="pct"/>
            <w:hideMark/>
          </w:tcPr>
          <w:p w14:paraId="5ED0727E" w14:textId="77777777" w:rsidR="00B15F7D" w:rsidRPr="00990FB6" w:rsidRDefault="00B15F7D" w:rsidP="00B15F7D">
            <w:pPr>
              <w:rPr>
                <w:sz w:val="22"/>
                <w:szCs w:val="22"/>
                <w:u w:val="single"/>
              </w:rPr>
            </w:pPr>
            <w:r w:rsidRPr="00990FB6">
              <w:rPr>
                <w:sz w:val="22"/>
                <w:szCs w:val="22"/>
                <w:u w:val="single"/>
              </w:rPr>
              <w:t xml:space="preserve">Tintas, pinturas y diluyentes </w:t>
            </w:r>
          </w:p>
        </w:tc>
        <w:tc>
          <w:tcPr>
            <w:tcW w:w="363" w:type="pct"/>
            <w:hideMark/>
          </w:tcPr>
          <w:p w14:paraId="7DC533B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23580</w:t>
            </w:r>
          </w:p>
        </w:tc>
        <w:tc>
          <w:tcPr>
            <w:tcW w:w="1045" w:type="pct"/>
            <w:hideMark/>
          </w:tcPr>
          <w:p w14:paraId="115D3166" w14:textId="77777777" w:rsidR="00B15F7D" w:rsidRPr="00990FB6" w:rsidRDefault="00B15F7D" w:rsidP="00B15F7D">
            <w:pPr>
              <w:rPr>
                <w:sz w:val="22"/>
                <w:szCs w:val="22"/>
                <w:u w:val="single"/>
              </w:rPr>
            </w:pPr>
            <w:r w:rsidRPr="00990FB6">
              <w:rPr>
                <w:sz w:val="22"/>
                <w:szCs w:val="22"/>
                <w:u w:val="single"/>
              </w:rPr>
              <w:t xml:space="preserve">TONER PARA IMPRESORA LEXMARK MS811DN/MS812DN </w:t>
            </w:r>
            <w:proofErr w:type="spellStart"/>
            <w:r w:rsidRPr="00990FB6">
              <w:rPr>
                <w:sz w:val="22"/>
                <w:szCs w:val="22"/>
                <w:u w:val="single"/>
              </w:rPr>
              <w:t>N°PARTE</w:t>
            </w:r>
            <w:proofErr w:type="spellEnd"/>
            <w:r w:rsidRPr="00990FB6">
              <w:rPr>
                <w:sz w:val="22"/>
                <w:szCs w:val="22"/>
                <w:u w:val="single"/>
              </w:rPr>
              <w:t xml:space="preserve"> 52D4X00</w:t>
            </w:r>
          </w:p>
        </w:tc>
        <w:tc>
          <w:tcPr>
            <w:tcW w:w="550" w:type="pct"/>
            <w:hideMark/>
          </w:tcPr>
          <w:p w14:paraId="3F3CC1BD" w14:textId="77777777" w:rsidR="00B15F7D" w:rsidRPr="00990FB6" w:rsidRDefault="00B15F7D" w:rsidP="00B15F7D">
            <w:pPr>
              <w:rPr>
                <w:sz w:val="22"/>
                <w:szCs w:val="22"/>
                <w:u w:val="single"/>
              </w:rPr>
            </w:pPr>
            <w:r w:rsidRPr="00990FB6">
              <w:rPr>
                <w:sz w:val="22"/>
                <w:szCs w:val="22"/>
                <w:u w:val="single"/>
              </w:rPr>
              <w:t>14.502.651,00</w:t>
            </w:r>
          </w:p>
        </w:tc>
        <w:tc>
          <w:tcPr>
            <w:tcW w:w="511" w:type="pct"/>
            <w:hideMark/>
          </w:tcPr>
          <w:p w14:paraId="18E1458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5352C0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3E6D62B"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y prestación del servicio público.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atención de los trámites judiciales. No se dispondrá de recursos para adquirir los tóner para los equipos de impresión Lexmark asignados </w:t>
            </w:r>
            <w:proofErr w:type="gramStart"/>
            <w:r w:rsidRPr="00990FB6">
              <w:rPr>
                <w:sz w:val="22"/>
                <w:szCs w:val="22"/>
                <w:u w:val="single"/>
              </w:rPr>
              <w:t>a  las</w:t>
            </w:r>
            <w:proofErr w:type="gramEnd"/>
            <w:r w:rsidRPr="00990FB6">
              <w:rPr>
                <w:sz w:val="22"/>
                <w:szCs w:val="22"/>
                <w:u w:val="single"/>
              </w:rPr>
              <w:t xml:space="preserve"> </w:t>
            </w:r>
            <w:r w:rsidRPr="00990FB6">
              <w:rPr>
                <w:sz w:val="22"/>
                <w:szCs w:val="22"/>
                <w:u w:val="single"/>
              </w:rPr>
              <w:lastRenderedPageBreak/>
              <w:t xml:space="preserve">fiscalías de  Desamparados, Hatillo, Puriscal, San Ramón, Cartago, Turrialba, Heredia, San Joaquín, Guanacaste, Pérez Zeledón, Limón, Siquirres, Tarrazú, La Unión,  Sarapiquí, Cóbano, IC San José, Guatuso, Coto Brus, Garabito, Puerto Jiménez, Fraudes, Batán, Delincuencia Organizada, otros. Activos: 774511, 774516, 774532, 774534, 777854, 777856, 777867, 777868, 776814, 754112, 747560, 747567, 776813, 754111, 747603, </w:t>
            </w:r>
            <w:r w:rsidRPr="00990FB6">
              <w:rPr>
                <w:sz w:val="22"/>
                <w:szCs w:val="22"/>
                <w:u w:val="single"/>
              </w:rPr>
              <w:lastRenderedPageBreak/>
              <w:t xml:space="preserve">747611, 754112, 747600, otros. </w:t>
            </w:r>
          </w:p>
        </w:tc>
      </w:tr>
      <w:tr w:rsidR="00B15F7D" w:rsidRPr="00990FB6" w14:paraId="51B77F1B" w14:textId="77777777" w:rsidTr="000A0C22">
        <w:trPr>
          <w:trHeight w:val="2900"/>
          <w:jc w:val="center"/>
        </w:trPr>
        <w:tc>
          <w:tcPr>
            <w:tcW w:w="583" w:type="pct"/>
            <w:hideMark/>
          </w:tcPr>
          <w:p w14:paraId="258739A5" w14:textId="77777777" w:rsidR="00B15F7D" w:rsidRPr="00990FB6" w:rsidRDefault="00B15F7D" w:rsidP="00B15F7D">
            <w:pPr>
              <w:rPr>
                <w:sz w:val="22"/>
                <w:szCs w:val="22"/>
                <w:u w:val="single"/>
              </w:rPr>
            </w:pPr>
            <w:r w:rsidRPr="00990FB6">
              <w:rPr>
                <w:sz w:val="22"/>
                <w:szCs w:val="22"/>
                <w:u w:val="single"/>
              </w:rPr>
              <w:lastRenderedPageBreak/>
              <w:t>20104</w:t>
            </w:r>
          </w:p>
        </w:tc>
        <w:tc>
          <w:tcPr>
            <w:tcW w:w="578" w:type="pct"/>
            <w:hideMark/>
          </w:tcPr>
          <w:p w14:paraId="4FBB2676" w14:textId="77777777" w:rsidR="00B15F7D" w:rsidRPr="00990FB6" w:rsidRDefault="00B15F7D" w:rsidP="00B15F7D">
            <w:pPr>
              <w:rPr>
                <w:sz w:val="22"/>
                <w:szCs w:val="22"/>
                <w:u w:val="single"/>
              </w:rPr>
            </w:pPr>
            <w:r w:rsidRPr="00990FB6">
              <w:rPr>
                <w:sz w:val="22"/>
                <w:szCs w:val="22"/>
                <w:u w:val="single"/>
              </w:rPr>
              <w:t xml:space="preserve">Tintas, pinturas y diluyentes </w:t>
            </w:r>
          </w:p>
        </w:tc>
        <w:tc>
          <w:tcPr>
            <w:tcW w:w="363" w:type="pct"/>
            <w:hideMark/>
          </w:tcPr>
          <w:p w14:paraId="59BF6D8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25635</w:t>
            </w:r>
          </w:p>
        </w:tc>
        <w:tc>
          <w:tcPr>
            <w:tcW w:w="1045" w:type="pct"/>
            <w:hideMark/>
          </w:tcPr>
          <w:p w14:paraId="1FDAE7FC" w14:textId="77777777" w:rsidR="00B15F7D" w:rsidRPr="00990FB6" w:rsidRDefault="00B15F7D" w:rsidP="00B15F7D">
            <w:pPr>
              <w:rPr>
                <w:sz w:val="22"/>
                <w:szCs w:val="22"/>
                <w:u w:val="single"/>
              </w:rPr>
            </w:pPr>
            <w:r w:rsidRPr="00990FB6">
              <w:rPr>
                <w:sz w:val="22"/>
                <w:szCs w:val="22"/>
                <w:u w:val="single"/>
              </w:rPr>
              <w:t xml:space="preserve">TONER PARA MULTIFUNCIONAL MS826 ADHE Y MX722ADHE, </w:t>
            </w:r>
            <w:proofErr w:type="spellStart"/>
            <w:r w:rsidRPr="00990FB6">
              <w:rPr>
                <w:sz w:val="22"/>
                <w:szCs w:val="22"/>
                <w:u w:val="single"/>
              </w:rPr>
              <w:t>N°</w:t>
            </w:r>
            <w:proofErr w:type="spellEnd"/>
            <w:r w:rsidRPr="00990FB6">
              <w:rPr>
                <w:sz w:val="22"/>
                <w:szCs w:val="22"/>
                <w:u w:val="single"/>
              </w:rPr>
              <w:t xml:space="preserve"> PARTE 5</w:t>
            </w:r>
          </w:p>
        </w:tc>
        <w:tc>
          <w:tcPr>
            <w:tcW w:w="550" w:type="pct"/>
            <w:hideMark/>
          </w:tcPr>
          <w:p w14:paraId="2C026AA4" w14:textId="77777777" w:rsidR="00B15F7D" w:rsidRPr="00990FB6" w:rsidRDefault="00B15F7D" w:rsidP="00B15F7D">
            <w:pPr>
              <w:rPr>
                <w:sz w:val="22"/>
                <w:szCs w:val="22"/>
                <w:u w:val="single"/>
              </w:rPr>
            </w:pPr>
            <w:r w:rsidRPr="00990FB6">
              <w:rPr>
                <w:sz w:val="22"/>
                <w:szCs w:val="22"/>
                <w:u w:val="single"/>
              </w:rPr>
              <w:t>2.301.693,00</w:t>
            </w:r>
          </w:p>
        </w:tc>
        <w:tc>
          <w:tcPr>
            <w:tcW w:w="511" w:type="pct"/>
            <w:hideMark/>
          </w:tcPr>
          <w:p w14:paraId="73C1E2F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02D830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D07DD0A"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y prestación del servicio público.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atención de los trámites judiciales. No se dispondrá de recursos para adquirir los tóner para los equipos de impresión Lexmark asignados </w:t>
            </w:r>
            <w:proofErr w:type="gramStart"/>
            <w:r w:rsidRPr="00990FB6">
              <w:rPr>
                <w:sz w:val="22"/>
                <w:szCs w:val="22"/>
                <w:u w:val="single"/>
              </w:rPr>
              <w:t>a  las</w:t>
            </w:r>
            <w:proofErr w:type="gramEnd"/>
            <w:r w:rsidRPr="00990FB6">
              <w:rPr>
                <w:sz w:val="22"/>
                <w:szCs w:val="22"/>
                <w:u w:val="single"/>
              </w:rPr>
              <w:t xml:space="preserve"> fiscalías de  Desamparados, </w:t>
            </w:r>
            <w:r w:rsidRPr="00990FB6">
              <w:rPr>
                <w:sz w:val="22"/>
                <w:szCs w:val="22"/>
                <w:u w:val="single"/>
              </w:rPr>
              <w:lastRenderedPageBreak/>
              <w:t xml:space="preserve">Hatillo, Puriscal, San Ramón, Cartago, Turrialba, Heredia, San Joaquín, Guanacaste, Pérez Zeledón, Limón, Siquirres, Tarrazú, La Unión,  Sarapiquí, Cóbano, IC San José, Guatuso, Coto Brus, Garabito, Puerto Jiménez, Fraudes, Batán, Delincuencia Organizada, otros. Activos: 774511, 774516, 774532, 774534, 777854, 777856, 777867, 777868, 776814, 754112, 747560, 747567, 776813, 754111, 747603, 747611, </w:t>
            </w:r>
            <w:r w:rsidRPr="00990FB6">
              <w:rPr>
                <w:sz w:val="22"/>
                <w:szCs w:val="22"/>
                <w:u w:val="single"/>
              </w:rPr>
              <w:lastRenderedPageBreak/>
              <w:t xml:space="preserve">754112, 747600, otros. </w:t>
            </w:r>
          </w:p>
        </w:tc>
      </w:tr>
      <w:tr w:rsidR="00B15F7D" w:rsidRPr="00990FB6" w14:paraId="46F28170" w14:textId="77777777" w:rsidTr="000A0C22">
        <w:trPr>
          <w:trHeight w:val="2900"/>
          <w:jc w:val="center"/>
        </w:trPr>
        <w:tc>
          <w:tcPr>
            <w:tcW w:w="583" w:type="pct"/>
            <w:hideMark/>
          </w:tcPr>
          <w:p w14:paraId="07940AAD" w14:textId="77777777" w:rsidR="00B15F7D" w:rsidRPr="00990FB6" w:rsidRDefault="00B15F7D" w:rsidP="00B15F7D">
            <w:pPr>
              <w:rPr>
                <w:sz w:val="22"/>
                <w:szCs w:val="22"/>
                <w:u w:val="single"/>
              </w:rPr>
            </w:pPr>
            <w:r w:rsidRPr="00990FB6">
              <w:rPr>
                <w:sz w:val="22"/>
                <w:szCs w:val="22"/>
                <w:u w:val="single"/>
              </w:rPr>
              <w:lastRenderedPageBreak/>
              <w:t>20104</w:t>
            </w:r>
          </w:p>
        </w:tc>
        <w:tc>
          <w:tcPr>
            <w:tcW w:w="578" w:type="pct"/>
            <w:hideMark/>
          </w:tcPr>
          <w:p w14:paraId="556A367C" w14:textId="77777777" w:rsidR="00B15F7D" w:rsidRPr="00990FB6" w:rsidRDefault="00B15F7D" w:rsidP="00B15F7D">
            <w:pPr>
              <w:rPr>
                <w:sz w:val="22"/>
                <w:szCs w:val="22"/>
                <w:u w:val="single"/>
              </w:rPr>
            </w:pPr>
            <w:r w:rsidRPr="00990FB6">
              <w:rPr>
                <w:sz w:val="22"/>
                <w:szCs w:val="22"/>
                <w:u w:val="single"/>
              </w:rPr>
              <w:t xml:space="preserve">Tintas, pinturas y diluyentes </w:t>
            </w:r>
          </w:p>
        </w:tc>
        <w:tc>
          <w:tcPr>
            <w:tcW w:w="363" w:type="pct"/>
            <w:hideMark/>
          </w:tcPr>
          <w:p w14:paraId="66B9104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25635</w:t>
            </w:r>
          </w:p>
        </w:tc>
        <w:tc>
          <w:tcPr>
            <w:tcW w:w="1045" w:type="pct"/>
            <w:hideMark/>
          </w:tcPr>
          <w:p w14:paraId="64B18C51" w14:textId="77777777" w:rsidR="00B15F7D" w:rsidRPr="00990FB6" w:rsidRDefault="00B15F7D" w:rsidP="00B15F7D">
            <w:pPr>
              <w:rPr>
                <w:sz w:val="22"/>
                <w:szCs w:val="22"/>
                <w:u w:val="single"/>
              </w:rPr>
            </w:pPr>
            <w:r w:rsidRPr="00990FB6">
              <w:rPr>
                <w:sz w:val="22"/>
                <w:szCs w:val="22"/>
                <w:u w:val="single"/>
              </w:rPr>
              <w:t xml:space="preserve">TONER PARA MULTIFUNCIONAL MS826 ADHE Y MX722ADHE, </w:t>
            </w:r>
            <w:proofErr w:type="spellStart"/>
            <w:r w:rsidRPr="00990FB6">
              <w:rPr>
                <w:sz w:val="22"/>
                <w:szCs w:val="22"/>
                <w:u w:val="single"/>
              </w:rPr>
              <w:t>N°</w:t>
            </w:r>
            <w:proofErr w:type="spellEnd"/>
            <w:r w:rsidRPr="00990FB6">
              <w:rPr>
                <w:sz w:val="22"/>
                <w:szCs w:val="22"/>
                <w:u w:val="single"/>
              </w:rPr>
              <w:t xml:space="preserve"> PARTE 5</w:t>
            </w:r>
          </w:p>
        </w:tc>
        <w:tc>
          <w:tcPr>
            <w:tcW w:w="550" w:type="pct"/>
            <w:hideMark/>
          </w:tcPr>
          <w:p w14:paraId="0A60DF30" w14:textId="77777777" w:rsidR="00B15F7D" w:rsidRPr="00990FB6" w:rsidRDefault="00B15F7D" w:rsidP="00B15F7D">
            <w:pPr>
              <w:rPr>
                <w:sz w:val="22"/>
                <w:szCs w:val="22"/>
                <w:u w:val="single"/>
              </w:rPr>
            </w:pPr>
            <w:r w:rsidRPr="00990FB6">
              <w:rPr>
                <w:sz w:val="22"/>
                <w:szCs w:val="22"/>
                <w:u w:val="single"/>
              </w:rPr>
              <w:t>2.301.693,00</w:t>
            </w:r>
          </w:p>
        </w:tc>
        <w:tc>
          <w:tcPr>
            <w:tcW w:w="511" w:type="pct"/>
            <w:noWrap/>
            <w:hideMark/>
          </w:tcPr>
          <w:p w14:paraId="415EED2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1BD04A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B6759F2"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y prestación del servicio público.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atención de los trámites judiciales. No se dispondrá de recursos para adquirir los tóner para los equipos de impresión Lexmark asignados </w:t>
            </w:r>
            <w:proofErr w:type="gramStart"/>
            <w:r w:rsidRPr="00990FB6">
              <w:rPr>
                <w:sz w:val="22"/>
                <w:szCs w:val="22"/>
                <w:u w:val="single"/>
              </w:rPr>
              <w:t>a  las</w:t>
            </w:r>
            <w:proofErr w:type="gramEnd"/>
            <w:r w:rsidRPr="00990FB6">
              <w:rPr>
                <w:sz w:val="22"/>
                <w:szCs w:val="22"/>
                <w:u w:val="single"/>
              </w:rPr>
              <w:t xml:space="preserve"> fiscalías de  Desamparados, </w:t>
            </w:r>
            <w:r w:rsidRPr="00990FB6">
              <w:rPr>
                <w:sz w:val="22"/>
                <w:szCs w:val="22"/>
                <w:u w:val="single"/>
              </w:rPr>
              <w:lastRenderedPageBreak/>
              <w:t xml:space="preserve">Hatillo, Puriscal, San Ramón, Cartago, Turrialba, Heredia, San Joaquín, Guanacaste, Pérez Zeledón, Limón, Siquirres, Tarrazú, La Unión,  Sarapiquí, Cóbano, IC San José, Guatuso, Coto Brus, Garabito, Puerto Jiménez, Fraudes, Batán, Delincuencia Organizada, otros. Activos: 774511, 774516, 774532, 774534, 777854, 777856, 777867, 777868, 776814, 754112, 747560, 747567, 776813, 754111, 747603, 747611, </w:t>
            </w:r>
            <w:r w:rsidRPr="00990FB6">
              <w:rPr>
                <w:sz w:val="22"/>
                <w:szCs w:val="22"/>
                <w:u w:val="single"/>
              </w:rPr>
              <w:lastRenderedPageBreak/>
              <w:t xml:space="preserve">754112, 747600, otros. </w:t>
            </w:r>
          </w:p>
        </w:tc>
      </w:tr>
      <w:tr w:rsidR="00B15F7D" w:rsidRPr="00990FB6" w14:paraId="4E9FB818" w14:textId="77777777" w:rsidTr="000A0C22">
        <w:trPr>
          <w:trHeight w:val="580"/>
          <w:jc w:val="center"/>
        </w:trPr>
        <w:tc>
          <w:tcPr>
            <w:tcW w:w="583" w:type="pct"/>
            <w:hideMark/>
          </w:tcPr>
          <w:p w14:paraId="605C8E83" w14:textId="77777777" w:rsidR="00B15F7D" w:rsidRPr="00990FB6" w:rsidRDefault="00B15F7D" w:rsidP="00B15F7D">
            <w:pPr>
              <w:rPr>
                <w:sz w:val="22"/>
                <w:szCs w:val="22"/>
                <w:u w:val="single"/>
              </w:rPr>
            </w:pPr>
            <w:r w:rsidRPr="00990FB6">
              <w:rPr>
                <w:sz w:val="22"/>
                <w:szCs w:val="22"/>
                <w:u w:val="single"/>
              </w:rPr>
              <w:lastRenderedPageBreak/>
              <w:t>20199</w:t>
            </w:r>
          </w:p>
        </w:tc>
        <w:tc>
          <w:tcPr>
            <w:tcW w:w="578" w:type="pct"/>
            <w:hideMark/>
          </w:tcPr>
          <w:p w14:paraId="59D415D9" w14:textId="77777777" w:rsidR="00B15F7D" w:rsidRPr="00990FB6" w:rsidRDefault="00B15F7D" w:rsidP="00B15F7D">
            <w:pPr>
              <w:rPr>
                <w:sz w:val="22"/>
                <w:szCs w:val="22"/>
                <w:u w:val="single"/>
              </w:rPr>
            </w:pPr>
            <w:r w:rsidRPr="00990FB6">
              <w:rPr>
                <w:sz w:val="22"/>
                <w:szCs w:val="22"/>
                <w:u w:val="single"/>
              </w:rPr>
              <w:t>Otros productos químicos y conexos</w:t>
            </w:r>
          </w:p>
        </w:tc>
        <w:tc>
          <w:tcPr>
            <w:tcW w:w="363" w:type="pct"/>
            <w:hideMark/>
          </w:tcPr>
          <w:p w14:paraId="3857130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24647</w:t>
            </w:r>
          </w:p>
        </w:tc>
        <w:tc>
          <w:tcPr>
            <w:tcW w:w="1045" w:type="pct"/>
            <w:hideMark/>
          </w:tcPr>
          <w:p w14:paraId="7F80D9C9" w14:textId="77777777" w:rsidR="00B15F7D" w:rsidRPr="00990FB6" w:rsidRDefault="00B15F7D" w:rsidP="00B15F7D">
            <w:pPr>
              <w:rPr>
                <w:sz w:val="22"/>
                <w:szCs w:val="22"/>
                <w:u w:val="single"/>
              </w:rPr>
            </w:pPr>
            <w:r w:rsidRPr="00990FB6">
              <w:rPr>
                <w:sz w:val="22"/>
                <w:szCs w:val="22"/>
                <w:u w:val="single"/>
              </w:rPr>
              <w:t>DESENGRASANTE</w:t>
            </w:r>
          </w:p>
        </w:tc>
        <w:tc>
          <w:tcPr>
            <w:tcW w:w="550" w:type="pct"/>
            <w:hideMark/>
          </w:tcPr>
          <w:p w14:paraId="0D2FFEB7" w14:textId="77777777" w:rsidR="00B15F7D" w:rsidRPr="00990FB6" w:rsidRDefault="00B15F7D" w:rsidP="00B15F7D">
            <w:pPr>
              <w:rPr>
                <w:sz w:val="22"/>
                <w:szCs w:val="22"/>
                <w:u w:val="single"/>
              </w:rPr>
            </w:pPr>
            <w:r w:rsidRPr="00990FB6">
              <w:rPr>
                <w:sz w:val="22"/>
                <w:szCs w:val="22"/>
                <w:u w:val="single"/>
              </w:rPr>
              <w:t>150.000,00</w:t>
            </w:r>
          </w:p>
        </w:tc>
        <w:tc>
          <w:tcPr>
            <w:tcW w:w="511" w:type="pct"/>
            <w:hideMark/>
          </w:tcPr>
          <w:p w14:paraId="054B6E5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9D52B3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1E6CEFE" w14:textId="77777777" w:rsidR="00B15F7D" w:rsidRPr="00990FB6" w:rsidRDefault="00B15F7D" w:rsidP="00F60AA2">
            <w:pPr>
              <w:jc w:val="both"/>
              <w:rPr>
                <w:sz w:val="22"/>
                <w:szCs w:val="22"/>
                <w:u w:val="single"/>
              </w:rPr>
            </w:pPr>
            <w:r w:rsidRPr="00990FB6">
              <w:rPr>
                <w:sz w:val="22"/>
                <w:szCs w:val="22"/>
                <w:u w:val="single"/>
              </w:rPr>
              <w:t xml:space="preserve">El no contar con los recursos se convierte en un riesgo de salud, por cuanto, es necesario para asegurar la limpieza de espacios que requieren una limpieza más profunda. </w:t>
            </w:r>
          </w:p>
        </w:tc>
      </w:tr>
      <w:tr w:rsidR="00B15F7D" w:rsidRPr="00990FB6" w14:paraId="348D0AE6" w14:textId="77777777" w:rsidTr="000A0C22">
        <w:trPr>
          <w:trHeight w:val="2900"/>
          <w:jc w:val="center"/>
        </w:trPr>
        <w:tc>
          <w:tcPr>
            <w:tcW w:w="583" w:type="pct"/>
            <w:hideMark/>
          </w:tcPr>
          <w:p w14:paraId="6066580B" w14:textId="77777777" w:rsidR="00B15F7D" w:rsidRPr="00990FB6" w:rsidRDefault="00B15F7D" w:rsidP="00B15F7D">
            <w:pPr>
              <w:rPr>
                <w:sz w:val="22"/>
                <w:szCs w:val="22"/>
                <w:u w:val="single"/>
              </w:rPr>
            </w:pPr>
            <w:r w:rsidRPr="00990FB6">
              <w:rPr>
                <w:sz w:val="22"/>
                <w:szCs w:val="22"/>
                <w:u w:val="single"/>
              </w:rPr>
              <w:t>20203</w:t>
            </w:r>
          </w:p>
        </w:tc>
        <w:tc>
          <w:tcPr>
            <w:tcW w:w="578" w:type="pct"/>
            <w:hideMark/>
          </w:tcPr>
          <w:p w14:paraId="514C8A57"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00641E7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11435</w:t>
            </w:r>
          </w:p>
        </w:tc>
        <w:tc>
          <w:tcPr>
            <w:tcW w:w="1045" w:type="pct"/>
            <w:hideMark/>
          </w:tcPr>
          <w:p w14:paraId="1BF1CCE5" w14:textId="77777777" w:rsidR="00B15F7D" w:rsidRPr="00990FB6" w:rsidRDefault="00B15F7D" w:rsidP="00B15F7D">
            <w:pPr>
              <w:rPr>
                <w:sz w:val="22"/>
                <w:szCs w:val="22"/>
                <w:u w:val="single"/>
              </w:rPr>
            </w:pPr>
            <w:r w:rsidRPr="00990FB6">
              <w:rPr>
                <w:sz w:val="22"/>
                <w:szCs w:val="22"/>
                <w:u w:val="single"/>
              </w:rPr>
              <w:t>AZUCAR EN BOLSITAS</w:t>
            </w:r>
          </w:p>
        </w:tc>
        <w:tc>
          <w:tcPr>
            <w:tcW w:w="550" w:type="pct"/>
            <w:hideMark/>
          </w:tcPr>
          <w:p w14:paraId="264E24DE" w14:textId="77777777" w:rsidR="00B15F7D" w:rsidRPr="00990FB6" w:rsidRDefault="00B15F7D" w:rsidP="00B15F7D">
            <w:pPr>
              <w:rPr>
                <w:sz w:val="22"/>
                <w:szCs w:val="22"/>
                <w:u w:val="single"/>
              </w:rPr>
            </w:pPr>
            <w:r w:rsidRPr="00990FB6">
              <w:rPr>
                <w:sz w:val="22"/>
                <w:szCs w:val="22"/>
                <w:u w:val="single"/>
              </w:rPr>
              <w:t>161.121,00</w:t>
            </w:r>
          </w:p>
        </w:tc>
        <w:tc>
          <w:tcPr>
            <w:tcW w:w="511" w:type="pct"/>
            <w:hideMark/>
          </w:tcPr>
          <w:p w14:paraId="1EE918F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F6E832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DAB6D4C"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w:t>
            </w:r>
            <w:r w:rsidRPr="00990FB6">
              <w:rPr>
                <w:sz w:val="22"/>
                <w:szCs w:val="22"/>
                <w:u w:val="single"/>
              </w:rPr>
              <w:lastRenderedPageBreak/>
              <w:t xml:space="preserve">Desmejora en la imagen institucional. Se sacrifica la totalidad de los recursos presupuestados  en la sub partida de Alimentos  Bebidas para el año 2024, viéndose 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recursos presupuestados por la Fiscalía </w:t>
            </w:r>
            <w:r w:rsidRPr="00990FB6">
              <w:rPr>
                <w:sz w:val="22"/>
                <w:szCs w:val="22"/>
                <w:u w:val="single"/>
              </w:rPr>
              <w:lastRenderedPageBreak/>
              <w:t xml:space="preserve">de Asuntos Indígenas para la atención de población indígena en las distintas giras programadas para el año 2024. </w:t>
            </w:r>
          </w:p>
        </w:tc>
      </w:tr>
      <w:tr w:rsidR="00B15F7D" w:rsidRPr="00990FB6" w14:paraId="43C8556A" w14:textId="77777777" w:rsidTr="000A0C22">
        <w:trPr>
          <w:trHeight w:val="2900"/>
          <w:jc w:val="center"/>
        </w:trPr>
        <w:tc>
          <w:tcPr>
            <w:tcW w:w="583" w:type="pct"/>
            <w:hideMark/>
          </w:tcPr>
          <w:p w14:paraId="21E7F100"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5A153F80"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7C31FBA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11436</w:t>
            </w:r>
          </w:p>
        </w:tc>
        <w:tc>
          <w:tcPr>
            <w:tcW w:w="1045" w:type="pct"/>
            <w:hideMark/>
          </w:tcPr>
          <w:p w14:paraId="2490DE16" w14:textId="77777777" w:rsidR="00B15F7D" w:rsidRPr="00990FB6" w:rsidRDefault="00B15F7D" w:rsidP="00B15F7D">
            <w:pPr>
              <w:rPr>
                <w:sz w:val="22"/>
                <w:szCs w:val="22"/>
                <w:u w:val="single"/>
              </w:rPr>
            </w:pPr>
            <w:r w:rsidRPr="00990FB6">
              <w:rPr>
                <w:sz w:val="22"/>
                <w:szCs w:val="22"/>
                <w:u w:val="single"/>
              </w:rPr>
              <w:t>CAFE PAQ</w:t>
            </w:r>
          </w:p>
        </w:tc>
        <w:tc>
          <w:tcPr>
            <w:tcW w:w="550" w:type="pct"/>
            <w:hideMark/>
          </w:tcPr>
          <w:p w14:paraId="64A4BB58" w14:textId="77777777" w:rsidR="00B15F7D" w:rsidRPr="00990FB6" w:rsidRDefault="00B15F7D" w:rsidP="00B15F7D">
            <w:pPr>
              <w:rPr>
                <w:sz w:val="22"/>
                <w:szCs w:val="22"/>
                <w:u w:val="single"/>
              </w:rPr>
            </w:pPr>
            <w:r w:rsidRPr="00990FB6">
              <w:rPr>
                <w:sz w:val="22"/>
                <w:szCs w:val="22"/>
                <w:u w:val="single"/>
              </w:rPr>
              <w:t>485.750,00</w:t>
            </w:r>
          </w:p>
        </w:tc>
        <w:tc>
          <w:tcPr>
            <w:tcW w:w="511" w:type="pct"/>
            <w:hideMark/>
          </w:tcPr>
          <w:p w14:paraId="1EB4188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E1CD82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39DB227"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presupuestados  en la sub partida de Alimentos  Bebidas para el año 2024, viéndose </w:t>
            </w:r>
            <w:r w:rsidRPr="00990FB6">
              <w:rPr>
                <w:sz w:val="22"/>
                <w:szCs w:val="22"/>
                <w:u w:val="single"/>
              </w:rPr>
              <w:lastRenderedPageBreak/>
              <w:t xml:space="preserve">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recursos presupuestados por la Fiscalía de Asuntos Indígenas para la atención de población indígena en las distintas giras programadas para el año 2024. </w:t>
            </w:r>
          </w:p>
        </w:tc>
      </w:tr>
      <w:tr w:rsidR="00B15F7D" w:rsidRPr="00990FB6" w14:paraId="4FFD382C" w14:textId="77777777" w:rsidTr="000A0C22">
        <w:trPr>
          <w:trHeight w:val="2900"/>
          <w:jc w:val="center"/>
        </w:trPr>
        <w:tc>
          <w:tcPr>
            <w:tcW w:w="583" w:type="pct"/>
            <w:hideMark/>
          </w:tcPr>
          <w:p w14:paraId="778195C7"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415BDE11"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7C6305D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11438</w:t>
            </w:r>
          </w:p>
        </w:tc>
        <w:tc>
          <w:tcPr>
            <w:tcW w:w="1045" w:type="pct"/>
            <w:hideMark/>
          </w:tcPr>
          <w:p w14:paraId="7DE511BA" w14:textId="77777777" w:rsidR="00B15F7D" w:rsidRPr="00990FB6" w:rsidRDefault="00B15F7D" w:rsidP="00B15F7D">
            <w:pPr>
              <w:rPr>
                <w:sz w:val="22"/>
                <w:szCs w:val="22"/>
                <w:u w:val="single"/>
              </w:rPr>
            </w:pPr>
            <w:r w:rsidRPr="00990FB6">
              <w:rPr>
                <w:sz w:val="22"/>
                <w:szCs w:val="22"/>
                <w:u w:val="single"/>
              </w:rPr>
              <w:t>GALLETAS SALADAS</w:t>
            </w:r>
          </w:p>
        </w:tc>
        <w:tc>
          <w:tcPr>
            <w:tcW w:w="550" w:type="pct"/>
            <w:hideMark/>
          </w:tcPr>
          <w:p w14:paraId="57E604FB" w14:textId="77777777" w:rsidR="00B15F7D" w:rsidRPr="00990FB6" w:rsidRDefault="00B15F7D" w:rsidP="00B15F7D">
            <w:pPr>
              <w:rPr>
                <w:sz w:val="22"/>
                <w:szCs w:val="22"/>
                <w:u w:val="single"/>
              </w:rPr>
            </w:pPr>
            <w:r w:rsidRPr="00990FB6">
              <w:rPr>
                <w:sz w:val="22"/>
                <w:szCs w:val="22"/>
                <w:u w:val="single"/>
              </w:rPr>
              <w:t>505.938,00</w:t>
            </w:r>
          </w:p>
        </w:tc>
        <w:tc>
          <w:tcPr>
            <w:tcW w:w="511" w:type="pct"/>
            <w:hideMark/>
          </w:tcPr>
          <w:p w14:paraId="2E59E72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A049D9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E1E0046"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presupuestados  en la sub partida de Alimentos  Bebidas para el año 2024, viéndose afectada la programación de actividades de las fiscalías  de Pérez Zeledón, Puriscal, Cartago, Turrialba, Heredia, Guanacaste, </w:t>
            </w:r>
            <w:r w:rsidRPr="00990FB6">
              <w:rPr>
                <w:sz w:val="22"/>
                <w:szCs w:val="22"/>
                <w:u w:val="single"/>
              </w:rPr>
              <w:lastRenderedPageBreak/>
              <w:t xml:space="preserve">Santa Cruz, Cañas, Nicoya, Osa, Golfito, Corredores, Coto Brus, OATRI, Puerto Jiménez, Justicia Restaurativa, Probidad, Prensa, Fiscalía General, Quepos y Upala, así como los recursos presupuestados por la Fiscalía de Asuntos Indígenas para la atención de población indígena en las distintas giras programadas para el año 2024. </w:t>
            </w:r>
          </w:p>
        </w:tc>
      </w:tr>
      <w:tr w:rsidR="00B15F7D" w:rsidRPr="00990FB6" w14:paraId="749643DA" w14:textId="77777777" w:rsidTr="000A0C22">
        <w:trPr>
          <w:trHeight w:val="2900"/>
          <w:jc w:val="center"/>
        </w:trPr>
        <w:tc>
          <w:tcPr>
            <w:tcW w:w="583" w:type="pct"/>
            <w:hideMark/>
          </w:tcPr>
          <w:p w14:paraId="4060D969"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5E815A6C"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2376D3C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11439</w:t>
            </w:r>
          </w:p>
        </w:tc>
        <w:tc>
          <w:tcPr>
            <w:tcW w:w="1045" w:type="pct"/>
            <w:hideMark/>
          </w:tcPr>
          <w:p w14:paraId="20A82EE6" w14:textId="77777777" w:rsidR="00B15F7D" w:rsidRPr="00990FB6" w:rsidRDefault="00B15F7D" w:rsidP="00B15F7D">
            <w:pPr>
              <w:rPr>
                <w:sz w:val="22"/>
                <w:szCs w:val="22"/>
                <w:u w:val="single"/>
              </w:rPr>
            </w:pPr>
            <w:r w:rsidRPr="00990FB6">
              <w:rPr>
                <w:sz w:val="22"/>
                <w:szCs w:val="22"/>
                <w:u w:val="single"/>
              </w:rPr>
              <w:t>REFRESCO</w:t>
            </w:r>
          </w:p>
        </w:tc>
        <w:tc>
          <w:tcPr>
            <w:tcW w:w="550" w:type="pct"/>
            <w:hideMark/>
          </w:tcPr>
          <w:p w14:paraId="6F1BF5B5" w14:textId="77777777" w:rsidR="00B15F7D" w:rsidRPr="00990FB6" w:rsidRDefault="00B15F7D" w:rsidP="00B15F7D">
            <w:pPr>
              <w:rPr>
                <w:sz w:val="22"/>
                <w:szCs w:val="22"/>
                <w:u w:val="single"/>
              </w:rPr>
            </w:pPr>
            <w:r w:rsidRPr="00990FB6">
              <w:rPr>
                <w:sz w:val="22"/>
                <w:szCs w:val="22"/>
                <w:u w:val="single"/>
              </w:rPr>
              <w:t>369.170,00</w:t>
            </w:r>
          </w:p>
        </w:tc>
        <w:tc>
          <w:tcPr>
            <w:tcW w:w="511" w:type="pct"/>
            <w:hideMark/>
          </w:tcPr>
          <w:p w14:paraId="1EAE1DE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8BD4E2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16B1876"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w:t>
            </w:r>
            <w:r w:rsidRPr="00990FB6">
              <w:rPr>
                <w:sz w:val="22"/>
                <w:szCs w:val="22"/>
                <w:u w:val="single"/>
              </w:rPr>
              <w:lastRenderedPageBreak/>
              <w:t xml:space="preserve">funcional en los procesos de investigación. Desmejora en la imagen institucional. Se sacrifica la totalidad de los recursos presupuestados  en la sub partida de Alimentos  Bebidas para el año 2024, viéndose 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w:t>
            </w:r>
            <w:r w:rsidRPr="00990FB6">
              <w:rPr>
                <w:sz w:val="22"/>
                <w:szCs w:val="22"/>
                <w:u w:val="single"/>
              </w:rPr>
              <w:lastRenderedPageBreak/>
              <w:t xml:space="preserve">recursos presupuestados por la Fiscalía de Asuntos Indígenas para la atención de población indígena en las distintas giras programadas para el año 2024. </w:t>
            </w:r>
          </w:p>
        </w:tc>
      </w:tr>
      <w:tr w:rsidR="00B15F7D" w:rsidRPr="00990FB6" w14:paraId="3EC45B10" w14:textId="77777777" w:rsidTr="000A0C22">
        <w:trPr>
          <w:trHeight w:val="2900"/>
          <w:jc w:val="center"/>
        </w:trPr>
        <w:tc>
          <w:tcPr>
            <w:tcW w:w="583" w:type="pct"/>
            <w:hideMark/>
          </w:tcPr>
          <w:p w14:paraId="43B5EBFF"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352B5B65"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5B5E0FA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11440</w:t>
            </w:r>
          </w:p>
        </w:tc>
        <w:tc>
          <w:tcPr>
            <w:tcW w:w="1045" w:type="pct"/>
            <w:hideMark/>
          </w:tcPr>
          <w:p w14:paraId="428B4AF7" w14:textId="77777777" w:rsidR="00B15F7D" w:rsidRPr="00990FB6" w:rsidRDefault="00B15F7D" w:rsidP="00B15F7D">
            <w:pPr>
              <w:rPr>
                <w:sz w:val="22"/>
                <w:szCs w:val="22"/>
                <w:u w:val="single"/>
              </w:rPr>
            </w:pPr>
            <w:r w:rsidRPr="00990FB6">
              <w:rPr>
                <w:sz w:val="22"/>
                <w:szCs w:val="22"/>
                <w:u w:val="single"/>
              </w:rPr>
              <w:t>CREMA PARA CAFE (BOLSITAS)</w:t>
            </w:r>
          </w:p>
        </w:tc>
        <w:tc>
          <w:tcPr>
            <w:tcW w:w="550" w:type="pct"/>
            <w:hideMark/>
          </w:tcPr>
          <w:p w14:paraId="74C7C2A3" w14:textId="77777777" w:rsidR="00B15F7D" w:rsidRPr="00990FB6" w:rsidRDefault="00B15F7D" w:rsidP="00B15F7D">
            <w:pPr>
              <w:rPr>
                <w:sz w:val="22"/>
                <w:szCs w:val="22"/>
                <w:u w:val="single"/>
              </w:rPr>
            </w:pPr>
            <w:r w:rsidRPr="00990FB6">
              <w:rPr>
                <w:sz w:val="22"/>
                <w:szCs w:val="22"/>
                <w:u w:val="single"/>
              </w:rPr>
              <w:t>255.869,00</w:t>
            </w:r>
          </w:p>
        </w:tc>
        <w:tc>
          <w:tcPr>
            <w:tcW w:w="511" w:type="pct"/>
            <w:hideMark/>
          </w:tcPr>
          <w:p w14:paraId="2E82F06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04DB61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04FC1A2"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presupuestados  en la sub partida de Alimentos  Bebidas para el año 2024, </w:t>
            </w:r>
            <w:r w:rsidRPr="00990FB6">
              <w:rPr>
                <w:sz w:val="22"/>
                <w:szCs w:val="22"/>
                <w:u w:val="single"/>
              </w:rPr>
              <w:lastRenderedPageBreak/>
              <w:t xml:space="preserve">viéndose 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recursos presupuestados por la Fiscalía de Asuntos Indígenas para la atención de población indígena en las distintas giras programadas para el año 2024. </w:t>
            </w:r>
          </w:p>
        </w:tc>
      </w:tr>
      <w:tr w:rsidR="00B15F7D" w:rsidRPr="00990FB6" w14:paraId="2716B331" w14:textId="77777777" w:rsidTr="000A0C22">
        <w:trPr>
          <w:trHeight w:val="2900"/>
          <w:jc w:val="center"/>
        </w:trPr>
        <w:tc>
          <w:tcPr>
            <w:tcW w:w="583" w:type="pct"/>
            <w:hideMark/>
          </w:tcPr>
          <w:p w14:paraId="0DE64E5B"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5758AEDB"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0038F17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11448</w:t>
            </w:r>
          </w:p>
        </w:tc>
        <w:tc>
          <w:tcPr>
            <w:tcW w:w="1045" w:type="pct"/>
            <w:hideMark/>
          </w:tcPr>
          <w:p w14:paraId="2392FC0E" w14:textId="77777777" w:rsidR="00B15F7D" w:rsidRPr="00990FB6" w:rsidRDefault="00B15F7D" w:rsidP="00B15F7D">
            <w:pPr>
              <w:rPr>
                <w:sz w:val="22"/>
                <w:szCs w:val="22"/>
                <w:u w:val="single"/>
              </w:rPr>
            </w:pPr>
            <w:r w:rsidRPr="00990FB6">
              <w:rPr>
                <w:sz w:val="22"/>
                <w:szCs w:val="22"/>
                <w:u w:val="single"/>
              </w:rPr>
              <w:t>JUGOS</w:t>
            </w:r>
          </w:p>
        </w:tc>
        <w:tc>
          <w:tcPr>
            <w:tcW w:w="550" w:type="pct"/>
            <w:hideMark/>
          </w:tcPr>
          <w:p w14:paraId="58DC5890" w14:textId="77777777" w:rsidR="00B15F7D" w:rsidRPr="00990FB6" w:rsidRDefault="00B15F7D" w:rsidP="00B15F7D">
            <w:pPr>
              <w:rPr>
                <w:sz w:val="22"/>
                <w:szCs w:val="22"/>
                <w:u w:val="single"/>
              </w:rPr>
            </w:pPr>
            <w:r w:rsidRPr="00990FB6">
              <w:rPr>
                <w:sz w:val="22"/>
                <w:szCs w:val="22"/>
                <w:u w:val="single"/>
              </w:rPr>
              <w:t>457.217,00</w:t>
            </w:r>
          </w:p>
        </w:tc>
        <w:tc>
          <w:tcPr>
            <w:tcW w:w="511" w:type="pct"/>
            <w:hideMark/>
          </w:tcPr>
          <w:p w14:paraId="183E6C6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DD04D1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B2AE16C"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presupuestados  en la sub partida de Alimentos  Bebidas para el año 2024, viéndose afectada la programación de actividades de las fiscalías  de Pérez Zeledón, Puriscal, Cartago, Turrialba, Heredia, Guanacaste, </w:t>
            </w:r>
            <w:r w:rsidRPr="00990FB6">
              <w:rPr>
                <w:sz w:val="22"/>
                <w:szCs w:val="22"/>
                <w:u w:val="single"/>
              </w:rPr>
              <w:lastRenderedPageBreak/>
              <w:t xml:space="preserve">Santa Cruz, Cañas, Nicoya, Osa, Golfito, Corredores, Coto Brus, OATRI, Puerto Jiménez, Justicia Restaurativa, Probidad, Prensa, Fiscalía General, Quepos y Upala, así como los recursos presupuestados por la Fiscalía de Asuntos Indígenas para la atención de población indígena en las distintas giras programadas para el año 2024. </w:t>
            </w:r>
          </w:p>
        </w:tc>
      </w:tr>
      <w:tr w:rsidR="00B15F7D" w:rsidRPr="00990FB6" w14:paraId="37D2760B" w14:textId="77777777" w:rsidTr="000A0C22">
        <w:trPr>
          <w:trHeight w:val="2900"/>
          <w:jc w:val="center"/>
        </w:trPr>
        <w:tc>
          <w:tcPr>
            <w:tcW w:w="583" w:type="pct"/>
            <w:hideMark/>
          </w:tcPr>
          <w:p w14:paraId="2CE5392A"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70CEDC58"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4AE7FEE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11449</w:t>
            </w:r>
          </w:p>
        </w:tc>
        <w:tc>
          <w:tcPr>
            <w:tcW w:w="1045" w:type="pct"/>
            <w:hideMark/>
          </w:tcPr>
          <w:p w14:paraId="4129A839" w14:textId="77777777" w:rsidR="00B15F7D" w:rsidRPr="00990FB6" w:rsidRDefault="00B15F7D" w:rsidP="00B15F7D">
            <w:pPr>
              <w:rPr>
                <w:sz w:val="22"/>
                <w:szCs w:val="22"/>
                <w:u w:val="single"/>
              </w:rPr>
            </w:pPr>
            <w:r w:rsidRPr="00990FB6">
              <w:rPr>
                <w:sz w:val="22"/>
                <w:szCs w:val="22"/>
                <w:u w:val="single"/>
              </w:rPr>
              <w:t>GALLETAS DULCES</w:t>
            </w:r>
          </w:p>
        </w:tc>
        <w:tc>
          <w:tcPr>
            <w:tcW w:w="550" w:type="pct"/>
            <w:hideMark/>
          </w:tcPr>
          <w:p w14:paraId="76276C2B" w14:textId="77777777" w:rsidR="00B15F7D" w:rsidRPr="00990FB6" w:rsidRDefault="00B15F7D" w:rsidP="00B15F7D">
            <w:pPr>
              <w:rPr>
                <w:sz w:val="22"/>
                <w:szCs w:val="22"/>
                <w:u w:val="single"/>
              </w:rPr>
            </w:pPr>
            <w:r w:rsidRPr="00990FB6">
              <w:rPr>
                <w:sz w:val="22"/>
                <w:szCs w:val="22"/>
                <w:u w:val="single"/>
              </w:rPr>
              <w:t>607.055,00</w:t>
            </w:r>
          </w:p>
        </w:tc>
        <w:tc>
          <w:tcPr>
            <w:tcW w:w="511" w:type="pct"/>
            <w:hideMark/>
          </w:tcPr>
          <w:p w14:paraId="616DA92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700116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8A90930"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w:t>
            </w:r>
            <w:r w:rsidRPr="00990FB6">
              <w:rPr>
                <w:sz w:val="22"/>
                <w:szCs w:val="22"/>
                <w:u w:val="single"/>
              </w:rPr>
              <w:lastRenderedPageBreak/>
              <w:t xml:space="preserve">funcional en los procesos de investigación. Desmejora en la imagen institucional. Se sacrifica la totalidad de los recursos presupuestados  en la sub partida de Alimentos  Bebidas para el año 2024, viéndose 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w:t>
            </w:r>
            <w:r w:rsidRPr="00990FB6">
              <w:rPr>
                <w:sz w:val="22"/>
                <w:szCs w:val="22"/>
                <w:u w:val="single"/>
              </w:rPr>
              <w:lastRenderedPageBreak/>
              <w:t xml:space="preserve">recursos presupuestados por la Fiscalía de Asuntos Indígenas para la atención de población indígena en las distintas giras programadas para el año 2024. </w:t>
            </w:r>
          </w:p>
        </w:tc>
      </w:tr>
      <w:tr w:rsidR="00B15F7D" w:rsidRPr="00990FB6" w14:paraId="5F813EF3" w14:textId="77777777" w:rsidTr="000A0C22">
        <w:trPr>
          <w:trHeight w:val="2900"/>
          <w:jc w:val="center"/>
        </w:trPr>
        <w:tc>
          <w:tcPr>
            <w:tcW w:w="583" w:type="pct"/>
            <w:hideMark/>
          </w:tcPr>
          <w:p w14:paraId="20074449"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51D37883"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38C32B2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11452</w:t>
            </w:r>
          </w:p>
        </w:tc>
        <w:tc>
          <w:tcPr>
            <w:tcW w:w="1045" w:type="pct"/>
            <w:hideMark/>
          </w:tcPr>
          <w:p w14:paraId="325C6BA3" w14:textId="77777777" w:rsidR="00B15F7D" w:rsidRPr="00990FB6" w:rsidRDefault="00B15F7D" w:rsidP="00B15F7D">
            <w:pPr>
              <w:rPr>
                <w:sz w:val="22"/>
                <w:szCs w:val="22"/>
                <w:u w:val="single"/>
              </w:rPr>
            </w:pPr>
            <w:r w:rsidRPr="00990FB6">
              <w:rPr>
                <w:sz w:val="22"/>
                <w:szCs w:val="22"/>
                <w:u w:val="single"/>
              </w:rPr>
              <w:t>TE NEGRO</w:t>
            </w:r>
          </w:p>
        </w:tc>
        <w:tc>
          <w:tcPr>
            <w:tcW w:w="550" w:type="pct"/>
            <w:hideMark/>
          </w:tcPr>
          <w:p w14:paraId="1E9A2395" w14:textId="77777777" w:rsidR="00B15F7D" w:rsidRPr="00990FB6" w:rsidRDefault="00B15F7D" w:rsidP="00B15F7D">
            <w:pPr>
              <w:rPr>
                <w:sz w:val="22"/>
                <w:szCs w:val="22"/>
                <w:u w:val="single"/>
              </w:rPr>
            </w:pPr>
            <w:r w:rsidRPr="00990FB6">
              <w:rPr>
                <w:sz w:val="22"/>
                <w:szCs w:val="22"/>
                <w:u w:val="single"/>
              </w:rPr>
              <w:t>27.967,00</w:t>
            </w:r>
          </w:p>
        </w:tc>
        <w:tc>
          <w:tcPr>
            <w:tcW w:w="511" w:type="pct"/>
            <w:hideMark/>
          </w:tcPr>
          <w:p w14:paraId="1A53DD0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E531D7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59E932E"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presupuestados  en la sub partida de Alimentos  Bebidas para el año 2024, </w:t>
            </w:r>
            <w:r w:rsidRPr="00990FB6">
              <w:rPr>
                <w:sz w:val="22"/>
                <w:szCs w:val="22"/>
                <w:u w:val="single"/>
              </w:rPr>
              <w:lastRenderedPageBreak/>
              <w:t xml:space="preserve">viéndose 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recursos presupuestados por la Fiscalía de Asuntos Indígenas para la atención de población indígena en las distintas giras programadas para el año 2024. </w:t>
            </w:r>
          </w:p>
        </w:tc>
      </w:tr>
      <w:tr w:rsidR="00B15F7D" w:rsidRPr="00990FB6" w14:paraId="15A1B680" w14:textId="77777777" w:rsidTr="000A0C22">
        <w:trPr>
          <w:trHeight w:val="2900"/>
          <w:jc w:val="center"/>
        </w:trPr>
        <w:tc>
          <w:tcPr>
            <w:tcW w:w="583" w:type="pct"/>
            <w:hideMark/>
          </w:tcPr>
          <w:p w14:paraId="7C58D833"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776B1A41"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62DB280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19560</w:t>
            </w:r>
          </w:p>
        </w:tc>
        <w:tc>
          <w:tcPr>
            <w:tcW w:w="1045" w:type="pct"/>
            <w:hideMark/>
          </w:tcPr>
          <w:p w14:paraId="0C9B4420" w14:textId="77777777" w:rsidR="00B15F7D" w:rsidRPr="00990FB6" w:rsidRDefault="00B15F7D" w:rsidP="00B15F7D">
            <w:pPr>
              <w:rPr>
                <w:sz w:val="22"/>
                <w:szCs w:val="22"/>
                <w:u w:val="single"/>
              </w:rPr>
            </w:pPr>
            <w:r w:rsidRPr="00990FB6">
              <w:rPr>
                <w:sz w:val="22"/>
                <w:szCs w:val="22"/>
                <w:u w:val="single"/>
              </w:rPr>
              <w:t>OTROS, ALIMENTOS Y BEBIDAS</w:t>
            </w:r>
          </w:p>
        </w:tc>
        <w:tc>
          <w:tcPr>
            <w:tcW w:w="550" w:type="pct"/>
            <w:hideMark/>
          </w:tcPr>
          <w:p w14:paraId="3B914037" w14:textId="77777777" w:rsidR="00B15F7D" w:rsidRPr="00990FB6" w:rsidRDefault="00B15F7D" w:rsidP="00B15F7D">
            <w:pPr>
              <w:rPr>
                <w:sz w:val="22"/>
                <w:szCs w:val="22"/>
                <w:u w:val="single"/>
              </w:rPr>
            </w:pPr>
            <w:r w:rsidRPr="00990FB6">
              <w:rPr>
                <w:sz w:val="22"/>
                <w:szCs w:val="22"/>
                <w:u w:val="single"/>
              </w:rPr>
              <w:t>891.705,00</w:t>
            </w:r>
          </w:p>
        </w:tc>
        <w:tc>
          <w:tcPr>
            <w:tcW w:w="511" w:type="pct"/>
            <w:hideMark/>
          </w:tcPr>
          <w:p w14:paraId="4E59477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218412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7885E99"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presupuestados  en la sub partida de Alimentos  Bebidas para el año 2024, viéndose afectada la programación de actividades de las fiscalías  de Pérez Zeledón, Puriscal, Cartago, Turrialba, Heredia, Guanacaste, </w:t>
            </w:r>
            <w:r w:rsidRPr="00990FB6">
              <w:rPr>
                <w:sz w:val="22"/>
                <w:szCs w:val="22"/>
                <w:u w:val="single"/>
              </w:rPr>
              <w:lastRenderedPageBreak/>
              <w:t xml:space="preserve">Santa Cruz, Cañas, Nicoya, Osa, Golfito, Corredores, Coto Brus, OATRI, Puerto Jiménez, Justicia Restaurativa, Probidad, Prensa, Fiscalía General, Quepos y Upala, así como los recursos presupuestados por la Fiscalía de Asuntos Indígenas para la atención de población indígena en las distintas giras programadas para el año 2024. </w:t>
            </w:r>
          </w:p>
        </w:tc>
      </w:tr>
      <w:tr w:rsidR="00B15F7D" w:rsidRPr="00990FB6" w14:paraId="0ABF3A24" w14:textId="77777777" w:rsidTr="000A0C22">
        <w:trPr>
          <w:trHeight w:val="2900"/>
          <w:jc w:val="center"/>
        </w:trPr>
        <w:tc>
          <w:tcPr>
            <w:tcW w:w="583" w:type="pct"/>
            <w:hideMark/>
          </w:tcPr>
          <w:p w14:paraId="77E318B3"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5E3780D0"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12559A1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22898</w:t>
            </w:r>
          </w:p>
        </w:tc>
        <w:tc>
          <w:tcPr>
            <w:tcW w:w="1045" w:type="pct"/>
            <w:hideMark/>
          </w:tcPr>
          <w:p w14:paraId="7904EE65" w14:textId="77777777" w:rsidR="00B15F7D" w:rsidRPr="00990FB6" w:rsidRDefault="00B15F7D" w:rsidP="00B15F7D">
            <w:pPr>
              <w:rPr>
                <w:sz w:val="22"/>
                <w:szCs w:val="22"/>
                <w:u w:val="single"/>
              </w:rPr>
            </w:pPr>
            <w:r w:rsidRPr="00990FB6">
              <w:rPr>
                <w:sz w:val="22"/>
                <w:szCs w:val="22"/>
                <w:u w:val="single"/>
              </w:rPr>
              <w:t>SERVICIO DE CATERING REUNIONES</w:t>
            </w:r>
          </w:p>
        </w:tc>
        <w:tc>
          <w:tcPr>
            <w:tcW w:w="550" w:type="pct"/>
            <w:hideMark/>
          </w:tcPr>
          <w:p w14:paraId="4D3A7F91" w14:textId="77777777" w:rsidR="00B15F7D" w:rsidRPr="00990FB6" w:rsidRDefault="00B15F7D" w:rsidP="00B15F7D">
            <w:pPr>
              <w:rPr>
                <w:sz w:val="22"/>
                <w:szCs w:val="22"/>
                <w:u w:val="single"/>
              </w:rPr>
            </w:pPr>
            <w:r w:rsidRPr="00990FB6">
              <w:rPr>
                <w:sz w:val="22"/>
                <w:szCs w:val="22"/>
                <w:u w:val="single"/>
              </w:rPr>
              <w:t>113.000,00</w:t>
            </w:r>
          </w:p>
        </w:tc>
        <w:tc>
          <w:tcPr>
            <w:tcW w:w="511" w:type="pct"/>
            <w:hideMark/>
          </w:tcPr>
          <w:p w14:paraId="583CC6A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E9DBA8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08A56D"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w:t>
            </w:r>
            <w:r w:rsidRPr="00990FB6">
              <w:rPr>
                <w:sz w:val="22"/>
                <w:szCs w:val="22"/>
                <w:u w:val="single"/>
              </w:rPr>
              <w:lastRenderedPageBreak/>
              <w:t xml:space="preserve">funcional en los procesos de investigación. Desmejora en la imagen institucional. Se sacrifica la totalidad de los recursos presupuestados  en la sub partida de Alimentos  Bebidas para el año 2024, viéndose 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w:t>
            </w:r>
            <w:r w:rsidRPr="00990FB6">
              <w:rPr>
                <w:sz w:val="22"/>
                <w:szCs w:val="22"/>
                <w:u w:val="single"/>
              </w:rPr>
              <w:lastRenderedPageBreak/>
              <w:t xml:space="preserve">recursos presupuestados por la Fiscalía de Asuntos Indígenas para la atención de población indígena en las distintas giras programadas para el año 2024. </w:t>
            </w:r>
          </w:p>
        </w:tc>
      </w:tr>
      <w:tr w:rsidR="00B15F7D" w:rsidRPr="00990FB6" w14:paraId="5108BE3A" w14:textId="77777777" w:rsidTr="000A0C22">
        <w:trPr>
          <w:trHeight w:val="2900"/>
          <w:jc w:val="center"/>
        </w:trPr>
        <w:tc>
          <w:tcPr>
            <w:tcW w:w="583" w:type="pct"/>
            <w:hideMark/>
          </w:tcPr>
          <w:p w14:paraId="65262E26" w14:textId="77777777" w:rsidR="00B15F7D" w:rsidRPr="00990FB6" w:rsidRDefault="00B15F7D" w:rsidP="00B15F7D">
            <w:pPr>
              <w:rPr>
                <w:sz w:val="22"/>
                <w:szCs w:val="22"/>
                <w:u w:val="single"/>
              </w:rPr>
            </w:pPr>
            <w:r w:rsidRPr="00990FB6">
              <w:rPr>
                <w:sz w:val="22"/>
                <w:szCs w:val="22"/>
                <w:u w:val="single"/>
              </w:rPr>
              <w:lastRenderedPageBreak/>
              <w:t>20203</w:t>
            </w:r>
          </w:p>
        </w:tc>
        <w:tc>
          <w:tcPr>
            <w:tcW w:w="578" w:type="pct"/>
            <w:hideMark/>
          </w:tcPr>
          <w:p w14:paraId="04C5550E" w14:textId="77777777" w:rsidR="00B15F7D" w:rsidRPr="00990FB6" w:rsidRDefault="00B15F7D" w:rsidP="00B15F7D">
            <w:pPr>
              <w:rPr>
                <w:sz w:val="22"/>
                <w:szCs w:val="22"/>
                <w:u w:val="single"/>
              </w:rPr>
            </w:pPr>
            <w:r w:rsidRPr="00990FB6">
              <w:rPr>
                <w:sz w:val="22"/>
                <w:szCs w:val="22"/>
                <w:u w:val="single"/>
              </w:rPr>
              <w:t>Alimentos y bebidas</w:t>
            </w:r>
          </w:p>
        </w:tc>
        <w:tc>
          <w:tcPr>
            <w:tcW w:w="363" w:type="pct"/>
            <w:hideMark/>
          </w:tcPr>
          <w:p w14:paraId="215CA71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23046</w:t>
            </w:r>
          </w:p>
        </w:tc>
        <w:tc>
          <w:tcPr>
            <w:tcW w:w="1045" w:type="pct"/>
            <w:hideMark/>
          </w:tcPr>
          <w:p w14:paraId="7A840A1A" w14:textId="77777777" w:rsidR="00B15F7D" w:rsidRPr="00990FB6" w:rsidRDefault="00B15F7D" w:rsidP="00B15F7D">
            <w:pPr>
              <w:rPr>
                <w:sz w:val="22"/>
                <w:szCs w:val="22"/>
                <w:u w:val="single"/>
              </w:rPr>
            </w:pPr>
            <w:r w:rsidRPr="00990FB6">
              <w:rPr>
                <w:sz w:val="22"/>
                <w:szCs w:val="22"/>
                <w:u w:val="single"/>
              </w:rPr>
              <w:t>BOCADILLOS</w:t>
            </w:r>
          </w:p>
        </w:tc>
        <w:tc>
          <w:tcPr>
            <w:tcW w:w="550" w:type="pct"/>
            <w:hideMark/>
          </w:tcPr>
          <w:p w14:paraId="36849057" w14:textId="77777777" w:rsidR="00B15F7D" w:rsidRPr="00990FB6" w:rsidRDefault="00B15F7D" w:rsidP="00B15F7D">
            <w:pPr>
              <w:rPr>
                <w:sz w:val="22"/>
                <w:szCs w:val="22"/>
                <w:u w:val="single"/>
              </w:rPr>
            </w:pPr>
            <w:r w:rsidRPr="00990FB6">
              <w:rPr>
                <w:sz w:val="22"/>
                <w:szCs w:val="22"/>
                <w:u w:val="single"/>
              </w:rPr>
              <w:t>3.175.413,00</w:t>
            </w:r>
          </w:p>
        </w:tc>
        <w:tc>
          <w:tcPr>
            <w:tcW w:w="511" w:type="pct"/>
            <w:hideMark/>
          </w:tcPr>
          <w:p w14:paraId="16A22E0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6CD776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36A5340" w14:textId="77777777" w:rsidR="00B15F7D" w:rsidRPr="00990FB6" w:rsidRDefault="00B15F7D" w:rsidP="00F60AA2">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presupuestados  en la sub partida de Alimentos  Bebidas para el año 2024, </w:t>
            </w:r>
            <w:r w:rsidRPr="00990FB6">
              <w:rPr>
                <w:sz w:val="22"/>
                <w:szCs w:val="22"/>
                <w:u w:val="single"/>
              </w:rPr>
              <w:lastRenderedPageBreak/>
              <w:t xml:space="preserve">viéndose afectada la programación de actividades de las fiscalías  de Pérez Zeledón, Puriscal, Cartago, Turrialba, Heredia, Guanacaste, Santa Cruz, Cañas, Nicoya, Osa, Golfito, Corredores, Coto Brus, OATRI, Puerto Jiménez, Justicia Restaurativa, Probidad, Prensa, Fiscalía General, Quepos y Upala, así como los recursos presupuestados por la Fiscalía de Asuntos Indígenas para la atención de población indígena en las distintas giras programadas para el año 2024. </w:t>
            </w:r>
          </w:p>
        </w:tc>
      </w:tr>
      <w:tr w:rsidR="00B15F7D" w:rsidRPr="00990FB6" w14:paraId="274710CC" w14:textId="77777777" w:rsidTr="000A0C22">
        <w:trPr>
          <w:trHeight w:val="2030"/>
          <w:jc w:val="center"/>
        </w:trPr>
        <w:tc>
          <w:tcPr>
            <w:tcW w:w="583" w:type="pct"/>
            <w:hideMark/>
          </w:tcPr>
          <w:p w14:paraId="57769A33"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7C067C47"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1FDAA34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11520</w:t>
            </w:r>
          </w:p>
        </w:tc>
        <w:tc>
          <w:tcPr>
            <w:tcW w:w="1045" w:type="pct"/>
            <w:hideMark/>
          </w:tcPr>
          <w:p w14:paraId="21B5F15F" w14:textId="77777777" w:rsidR="00B15F7D" w:rsidRPr="00990FB6" w:rsidRDefault="00B15F7D" w:rsidP="00B15F7D">
            <w:pPr>
              <w:rPr>
                <w:sz w:val="22"/>
                <w:szCs w:val="22"/>
                <w:u w:val="single"/>
              </w:rPr>
            </w:pPr>
            <w:r w:rsidRPr="00990FB6">
              <w:rPr>
                <w:sz w:val="22"/>
                <w:szCs w:val="22"/>
                <w:u w:val="single"/>
              </w:rPr>
              <w:t>CADENA PARA LLANTAS DE VEHICULO</w:t>
            </w:r>
          </w:p>
        </w:tc>
        <w:tc>
          <w:tcPr>
            <w:tcW w:w="550" w:type="pct"/>
            <w:hideMark/>
          </w:tcPr>
          <w:p w14:paraId="5BF98D8C" w14:textId="77777777" w:rsidR="00B15F7D" w:rsidRPr="00990FB6" w:rsidRDefault="00B15F7D" w:rsidP="00B15F7D">
            <w:pPr>
              <w:rPr>
                <w:sz w:val="22"/>
                <w:szCs w:val="22"/>
                <w:u w:val="single"/>
              </w:rPr>
            </w:pPr>
            <w:r w:rsidRPr="00990FB6">
              <w:rPr>
                <w:sz w:val="22"/>
                <w:szCs w:val="22"/>
                <w:u w:val="single"/>
              </w:rPr>
              <w:t>287.924,00</w:t>
            </w:r>
          </w:p>
        </w:tc>
        <w:tc>
          <w:tcPr>
            <w:tcW w:w="511" w:type="pct"/>
            <w:hideMark/>
          </w:tcPr>
          <w:p w14:paraId="0FB80B0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28AE25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51A915A"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15A94708" w14:textId="77777777" w:rsidTr="000A0C22">
        <w:trPr>
          <w:trHeight w:val="2030"/>
          <w:jc w:val="center"/>
        </w:trPr>
        <w:tc>
          <w:tcPr>
            <w:tcW w:w="583" w:type="pct"/>
            <w:hideMark/>
          </w:tcPr>
          <w:p w14:paraId="6C5C398C"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2918AF17"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3301C95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11673</w:t>
            </w:r>
          </w:p>
        </w:tc>
        <w:tc>
          <w:tcPr>
            <w:tcW w:w="1045" w:type="pct"/>
            <w:hideMark/>
          </w:tcPr>
          <w:p w14:paraId="6694F899" w14:textId="77777777" w:rsidR="00B15F7D" w:rsidRPr="00990FB6" w:rsidRDefault="00B15F7D" w:rsidP="00B15F7D">
            <w:pPr>
              <w:rPr>
                <w:sz w:val="22"/>
                <w:szCs w:val="22"/>
                <w:u w:val="single"/>
              </w:rPr>
            </w:pPr>
            <w:r w:rsidRPr="00990FB6">
              <w:rPr>
                <w:sz w:val="22"/>
                <w:szCs w:val="22"/>
                <w:u w:val="single"/>
              </w:rPr>
              <w:t>LLAVIN</w:t>
            </w:r>
          </w:p>
        </w:tc>
        <w:tc>
          <w:tcPr>
            <w:tcW w:w="550" w:type="pct"/>
            <w:hideMark/>
          </w:tcPr>
          <w:p w14:paraId="7C11ED0E" w14:textId="77777777" w:rsidR="00B15F7D" w:rsidRPr="00990FB6" w:rsidRDefault="00B15F7D" w:rsidP="00B15F7D">
            <w:pPr>
              <w:rPr>
                <w:sz w:val="22"/>
                <w:szCs w:val="22"/>
                <w:u w:val="single"/>
              </w:rPr>
            </w:pPr>
            <w:r w:rsidRPr="00990FB6">
              <w:rPr>
                <w:sz w:val="22"/>
                <w:szCs w:val="22"/>
                <w:u w:val="single"/>
              </w:rPr>
              <w:t>203.400,00</w:t>
            </w:r>
          </w:p>
        </w:tc>
        <w:tc>
          <w:tcPr>
            <w:tcW w:w="511" w:type="pct"/>
            <w:hideMark/>
          </w:tcPr>
          <w:p w14:paraId="56C02C5E"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572FCC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757FD9D"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787092CC" w14:textId="77777777" w:rsidTr="000A0C22">
        <w:trPr>
          <w:trHeight w:val="2030"/>
          <w:jc w:val="center"/>
        </w:trPr>
        <w:tc>
          <w:tcPr>
            <w:tcW w:w="583" w:type="pct"/>
            <w:hideMark/>
          </w:tcPr>
          <w:p w14:paraId="1A16ACF7"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72F635E7"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6A7EC54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11501</w:t>
            </w:r>
          </w:p>
        </w:tc>
        <w:tc>
          <w:tcPr>
            <w:tcW w:w="1045" w:type="pct"/>
            <w:hideMark/>
          </w:tcPr>
          <w:p w14:paraId="1C62C6B4" w14:textId="77777777" w:rsidR="00B15F7D" w:rsidRPr="00990FB6" w:rsidRDefault="00B15F7D" w:rsidP="00B15F7D">
            <w:pPr>
              <w:rPr>
                <w:sz w:val="22"/>
                <w:szCs w:val="22"/>
                <w:u w:val="single"/>
              </w:rPr>
            </w:pPr>
            <w:r w:rsidRPr="00990FB6">
              <w:rPr>
                <w:sz w:val="22"/>
                <w:szCs w:val="22"/>
                <w:u w:val="single"/>
              </w:rPr>
              <w:t>BRILLO GRUESO</w:t>
            </w:r>
          </w:p>
        </w:tc>
        <w:tc>
          <w:tcPr>
            <w:tcW w:w="550" w:type="pct"/>
            <w:hideMark/>
          </w:tcPr>
          <w:p w14:paraId="146DAAAE" w14:textId="77777777" w:rsidR="00B15F7D" w:rsidRPr="00990FB6" w:rsidRDefault="00B15F7D" w:rsidP="00B15F7D">
            <w:pPr>
              <w:rPr>
                <w:sz w:val="22"/>
                <w:szCs w:val="22"/>
                <w:u w:val="single"/>
              </w:rPr>
            </w:pPr>
            <w:r w:rsidRPr="00990FB6">
              <w:rPr>
                <w:sz w:val="22"/>
                <w:szCs w:val="22"/>
                <w:u w:val="single"/>
              </w:rPr>
              <w:t>56.598,00</w:t>
            </w:r>
          </w:p>
        </w:tc>
        <w:tc>
          <w:tcPr>
            <w:tcW w:w="511" w:type="pct"/>
            <w:noWrap/>
            <w:hideMark/>
          </w:tcPr>
          <w:p w14:paraId="4E398D0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0E4521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22ECCB9"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628F1BA2" w14:textId="77777777" w:rsidTr="000A0C22">
        <w:trPr>
          <w:trHeight w:val="2030"/>
          <w:jc w:val="center"/>
        </w:trPr>
        <w:tc>
          <w:tcPr>
            <w:tcW w:w="583" w:type="pct"/>
            <w:hideMark/>
          </w:tcPr>
          <w:p w14:paraId="11BC81CA"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07CBE898"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34A6CA4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11505</w:t>
            </w:r>
          </w:p>
        </w:tc>
        <w:tc>
          <w:tcPr>
            <w:tcW w:w="1045" w:type="pct"/>
            <w:hideMark/>
          </w:tcPr>
          <w:p w14:paraId="7DAA4B45" w14:textId="77777777" w:rsidR="00B15F7D" w:rsidRPr="00990FB6" w:rsidRDefault="00B15F7D" w:rsidP="00B15F7D">
            <w:pPr>
              <w:rPr>
                <w:sz w:val="22"/>
                <w:szCs w:val="22"/>
                <w:u w:val="single"/>
              </w:rPr>
            </w:pPr>
            <w:r w:rsidRPr="00990FB6">
              <w:rPr>
                <w:sz w:val="22"/>
                <w:szCs w:val="22"/>
                <w:u w:val="single"/>
              </w:rPr>
              <w:t>CERRADURA</w:t>
            </w:r>
          </w:p>
        </w:tc>
        <w:tc>
          <w:tcPr>
            <w:tcW w:w="550" w:type="pct"/>
            <w:hideMark/>
          </w:tcPr>
          <w:p w14:paraId="09169B98" w14:textId="77777777" w:rsidR="00B15F7D" w:rsidRPr="00990FB6" w:rsidRDefault="00B15F7D" w:rsidP="00B15F7D">
            <w:pPr>
              <w:rPr>
                <w:sz w:val="22"/>
                <w:szCs w:val="22"/>
                <w:u w:val="single"/>
              </w:rPr>
            </w:pPr>
            <w:r w:rsidRPr="00990FB6">
              <w:rPr>
                <w:sz w:val="22"/>
                <w:szCs w:val="22"/>
                <w:u w:val="single"/>
              </w:rPr>
              <w:t>168.935,00</w:t>
            </w:r>
          </w:p>
        </w:tc>
        <w:tc>
          <w:tcPr>
            <w:tcW w:w="511" w:type="pct"/>
            <w:noWrap/>
            <w:hideMark/>
          </w:tcPr>
          <w:p w14:paraId="435BBDB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189980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69A2521"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3CEE1196" w14:textId="77777777" w:rsidTr="000A0C22">
        <w:trPr>
          <w:trHeight w:val="2030"/>
          <w:jc w:val="center"/>
        </w:trPr>
        <w:tc>
          <w:tcPr>
            <w:tcW w:w="583" w:type="pct"/>
            <w:hideMark/>
          </w:tcPr>
          <w:p w14:paraId="2723FBFB"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2A8695C4"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082C41E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11565</w:t>
            </w:r>
          </w:p>
        </w:tc>
        <w:tc>
          <w:tcPr>
            <w:tcW w:w="1045" w:type="pct"/>
            <w:hideMark/>
          </w:tcPr>
          <w:p w14:paraId="24E99350" w14:textId="77777777" w:rsidR="00B15F7D" w:rsidRPr="00990FB6" w:rsidRDefault="00B15F7D" w:rsidP="00B15F7D">
            <w:pPr>
              <w:rPr>
                <w:sz w:val="22"/>
                <w:szCs w:val="22"/>
                <w:u w:val="single"/>
              </w:rPr>
            </w:pPr>
            <w:r w:rsidRPr="00990FB6">
              <w:rPr>
                <w:sz w:val="22"/>
                <w:szCs w:val="22"/>
                <w:u w:val="single"/>
              </w:rPr>
              <w:t>RODINES PARA SILLAS SECRETARIALES</w:t>
            </w:r>
          </w:p>
        </w:tc>
        <w:tc>
          <w:tcPr>
            <w:tcW w:w="550" w:type="pct"/>
            <w:hideMark/>
          </w:tcPr>
          <w:p w14:paraId="2FC52DB8" w14:textId="77777777" w:rsidR="00B15F7D" w:rsidRPr="00990FB6" w:rsidRDefault="00B15F7D" w:rsidP="00B15F7D">
            <w:pPr>
              <w:rPr>
                <w:sz w:val="22"/>
                <w:szCs w:val="22"/>
                <w:u w:val="single"/>
              </w:rPr>
            </w:pPr>
            <w:r w:rsidRPr="00990FB6">
              <w:rPr>
                <w:sz w:val="22"/>
                <w:szCs w:val="22"/>
                <w:u w:val="single"/>
              </w:rPr>
              <w:t>66.105,00</w:t>
            </w:r>
          </w:p>
        </w:tc>
        <w:tc>
          <w:tcPr>
            <w:tcW w:w="511" w:type="pct"/>
            <w:noWrap/>
            <w:hideMark/>
          </w:tcPr>
          <w:p w14:paraId="3A77B48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D5559D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E653D50"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08D61973" w14:textId="77777777" w:rsidTr="000A0C22">
        <w:trPr>
          <w:trHeight w:val="2030"/>
          <w:jc w:val="center"/>
        </w:trPr>
        <w:tc>
          <w:tcPr>
            <w:tcW w:w="583" w:type="pct"/>
            <w:hideMark/>
          </w:tcPr>
          <w:p w14:paraId="14257426"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7BE5824F"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2EC50CD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11681</w:t>
            </w:r>
          </w:p>
        </w:tc>
        <w:tc>
          <w:tcPr>
            <w:tcW w:w="1045" w:type="pct"/>
            <w:hideMark/>
          </w:tcPr>
          <w:p w14:paraId="588B06A6" w14:textId="77777777" w:rsidR="00B15F7D" w:rsidRPr="00990FB6" w:rsidRDefault="00B15F7D" w:rsidP="00B15F7D">
            <w:pPr>
              <w:rPr>
                <w:sz w:val="22"/>
                <w:szCs w:val="22"/>
                <w:u w:val="single"/>
              </w:rPr>
            </w:pPr>
            <w:r w:rsidRPr="00990FB6">
              <w:rPr>
                <w:sz w:val="22"/>
                <w:szCs w:val="22"/>
                <w:u w:val="single"/>
              </w:rPr>
              <w:t>RIEL TELECOPICO</w:t>
            </w:r>
          </w:p>
        </w:tc>
        <w:tc>
          <w:tcPr>
            <w:tcW w:w="550" w:type="pct"/>
            <w:hideMark/>
          </w:tcPr>
          <w:p w14:paraId="688AE705" w14:textId="77777777" w:rsidR="00B15F7D" w:rsidRPr="00990FB6" w:rsidRDefault="00B15F7D" w:rsidP="00B15F7D">
            <w:pPr>
              <w:rPr>
                <w:sz w:val="22"/>
                <w:szCs w:val="22"/>
                <w:u w:val="single"/>
              </w:rPr>
            </w:pPr>
            <w:r w:rsidRPr="00990FB6">
              <w:rPr>
                <w:sz w:val="22"/>
                <w:szCs w:val="22"/>
                <w:u w:val="single"/>
              </w:rPr>
              <w:t>27.459,00</w:t>
            </w:r>
          </w:p>
        </w:tc>
        <w:tc>
          <w:tcPr>
            <w:tcW w:w="511" w:type="pct"/>
            <w:noWrap/>
            <w:hideMark/>
          </w:tcPr>
          <w:p w14:paraId="33CD870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EC2EE9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746F948"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0DDBBC0B" w14:textId="77777777" w:rsidTr="000A0C22">
        <w:trPr>
          <w:trHeight w:val="2030"/>
          <w:jc w:val="center"/>
        </w:trPr>
        <w:tc>
          <w:tcPr>
            <w:tcW w:w="583" w:type="pct"/>
            <w:hideMark/>
          </w:tcPr>
          <w:p w14:paraId="189AFF89"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0D49EB70"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67D9D1C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11889</w:t>
            </w:r>
          </w:p>
        </w:tc>
        <w:tc>
          <w:tcPr>
            <w:tcW w:w="1045" w:type="pct"/>
            <w:hideMark/>
          </w:tcPr>
          <w:p w14:paraId="2A525C19" w14:textId="77777777" w:rsidR="00B15F7D" w:rsidRPr="00990FB6" w:rsidRDefault="00B15F7D" w:rsidP="00B15F7D">
            <w:pPr>
              <w:rPr>
                <w:sz w:val="22"/>
                <w:szCs w:val="22"/>
                <w:u w:val="single"/>
              </w:rPr>
            </w:pPr>
            <w:r w:rsidRPr="00990FB6">
              <w:rPr>
                <w:sz w:val="22"/>
                <w:szCs w:val="22"/>
                <w:u w:val="single"/>
              </w:rPr>
              <w:t>LLAVIN PARA ESCRITORIO</w:t>
            </w:r>
          </w:p>
        </w:tc>
        <w:tc>
          <w:tcPr>
            <w:tcW w:w="550" w:type="pct"/>
            <w:hideMark/>
          </w:tcPr>
          <w:p w14:paraId="34A3EE85" w14:textId="77777777" w:rsidR="00B15F7D" w:rsidRPr="00990FB6" w:rsidRDefault="00B15F7D" w:rsidP="00B15F7D">
            <w:pPr>
              <w:rPr>
                <w:sz w:val="22"/>
                <w:szCs w:val="22"/>
                <w:u w:val="single"/>
              </w:rPr>
            </w:pPr>
            <w:r w:rsidRPr="00990FB6">
              <w:rPr>
                <w:sz w:val="22"/>
                <w:szCs w:val="22"/>
                <w:u w:val="single"/>
              </w:rPr>
              <w:t>36.709,00</w:t>
            </w:r>
          </w:p>
        </w:tc>
        <w:tc>
          <w:tcPr>
            <w:tcW w:w="511" w:type="pct"/>
            <w:noWrap/>
            <w:hideMark/>
          </w:tcPr>
          <w:p w14:paraId="10022A14"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E14F8D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59C0795"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537CE82B" w14:textId="77777777" w:rsidTr="000A0C22">
        <w:trPr>
          <w:trHeight w:val="2030"/>
          <w:jc w:val="center"/>
        </w:trPr>
        <w:tc>
          <w:tcPr>
            <w:tcW w:w="583" w:type="pct"/>
            <w:hideMark/>
          </w:tcPr>
          <w:p w14:paraId="41C9AE77"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7136D51B"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5F9A70C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11894</w:t>
            </w:r>
          </w:p>
        </w:tc>
        <w:tc>
          <w:tcPr>
            <w:tcW w:w="1045" w:type="pct"/>
            <w:hideMark/>
          </w:tcPr>
          <w:p w14:paraId="42E4975F" w14:textId="77777777" w:rsidR="00B15F7D" w:rsidRPr="00990FB6" w:rsidRDefault="00B15F7D" w:rsidP="00B15F7D">
            <w:pPr>
              <w:rPr>
                <w:sz w:val="22"/>
                <w:szCs w:val="22"/>
                <w:u w:val="single"/>
              </w:rPr>
            </w:pPr>
            <w:r w:rsidRPr="00990FB6">
              <w:rPr>
                <w:sz w:val="22"/>
                <w:szCs w:val="22"/>
                <w:u w:val="single"/>
              </w:rPr>
              <w:t>LLAVIN DE PERILLA</w:t>
            </w:r>
          </w:p>
        </w:tc>
        <w:tc>
          <w:tcPr>
            <w:tcW w:w="550" w:type="pct"/>
            <w:hideMark/>
          </w:tcPr>
          <w:p w14:paraId="568FE9A2" w14:textId="77777777" w:rsidR="00B15F7D" w:rsidRPr="00990FB6" w:rsidRDefault="00B15F7D" w:rsidP="00B15F7D">
            <w:pPr>
              <w:rPr>
                <w:sz w:val="22"/>
                <w:szCs w:val="22"/>
                <w:u w:val="single"/>
              </w:rPr>
            </w:pPr>
            <w:r w:rsidRPr="00990FB6">
              <w:rPr>
                <w:sz w:val="22"/>
                <w:szCs w:val="22"/>
                <w:u w:val="single"/>
              </w:rPr>
              <w:t>7.740,00</w:t>
            </w:r>
          </w:p>
        </w:tc>
        <w:tc>
          <w:tcPr>
            <w:tcW w:w="511" w:type="pct"/>
            <w:noWrap/>
            <w:hideMark/>
          </w:tcPr>
          <w:p w14:paraId="6A02C8A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7D9E3C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D04FD79"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37839DFD" w14:textId="77777777" w:rsidTr="000A0C22">
        <w:trPr>
          <w:trHeight w:val="2030"/>
          <w:jc w:val="center"/>
        </w:trPr>
        <w:tc>
          <w:tcPr>
            <w:tcW w:w="583" w:type="pct"/>
            <w:hideMark/>
          </w:tcPr>
          <w:p w14:paraId="79E391F5"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2A636A21"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42EB2CD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11903</w:t>
            </w:r>
          </w:p>
        </w:tc>
        <w:tc>
          <w:tcPr>
            <w:tcW w:w="1045" w:type="pct"/>
            <w:hideMark/>
          </w:tcPr>
          <w:p w14:paraId="5324C897" w14:textId="77777777" w:rsidR="00B15F7D" w:rsidRPr="00990FB6" w:rsidRDefault="00B15F7D" w:rsidP="00B15F7D">
            <w:pPr>
              <w:rPr>
                <w:sz w:val="22"/>
                <w:szCs w:val="22"/>
                <w:u w:val="single"/>
              </w:rPr>
            </w:pPr>
            <w:r w:rsidRPr="00990FB6">
              <w:rPr>
                <w:sz w:val="22"/>
                <w:szCs w:val="22"/>
                <w:u w:val="single"/>
              </w:rPr>
              <w:t>LLAVIN PARA BIBLIOTECA</w:t>
            </w:r>
          </w:p>
        </w:tc>
        <w:tc>
          <w:tcPr>
            <w:tcW w:w="550" w:type="pct"/>
            <w:hideMark/>
          </w:tcPr>
          <w:p w14:paraId="45302C6F" w14:textId="77777777" w:rsidR="00B15F7D" w:rsidRPr="00990FB6" w:rsidRDefault="00B15F7D" w:rsidP="00B15F7D">
            <w:pPr>
              <w:rPr>
                <w:sz w:val="22"/>
                <w:szCs w:val="22"/>
                <w:u w:val="single"/>
              </w:rPr>
            </w:pPr>
            <w:r w:rsidRPr="00990FB6">
              <w:rPr>
                <w:sz w:val="22"/>
                <w:szCs w:val="22"/>
                <w:u w:val="single"/>
              </w:rPr>
              <w:t>30.510,00</w:t>
            </w:r>
          </w:p>
        </w:tc>
        <w:tc>
          <w:tcPr>
            <w:tcW w:w="511" w:type="pct"/>
            <w:noWrap/>
            <w:hideMark/>
          </w:tcPr>
          <w:p w14:paraId="6425878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ECCFA6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8AFB36F"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60E44261" w14:textId="77777777" w:rsidTr="000A0C22">
        <w:trPr>
          <w:trHeight w:val="2030"/>
          <w:jc w:val="center"/>
        </w:trPr>
        <w:tc>
          <w:tcPr>
            <w:tcW w:w="583" w:type="pct"/>
            <w:hideMark/>
          </w:tcPr>
          <w:p w14:paraId="4F50C5A1"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68BA9FB5"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5A8DC40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11917</w:t>
            </w:r>
          </w:p>
        </w:tc>
        <w:tc>
          <w:tcPr>
            <w:tcW w:w="1045" w:type="pct"/>
            <w:hideMark/>
          </w:tcPr>
          <w:p w14:paraId="0BA57817" w14:textId="77777777" w:rsidR="00B15F7D" w:rsidRPr="00990FB6" w:rsidRDefault="00B15F7D" w:rsidP="00B15F7D">
            <w:pPr>
              <w:rPr>
                <w:sz w:val="22"/>
                <w:szCs w:val="22"/>
                <w:u w:val="single"/>
              </w:rPr>
            </w:pPr>
            <w:r w:rsidRPr="00990FB6">
              <w:rPr>
                <w:sz w:val="22"/>
                <w:szCs w:val="22"/>
                <w:u w:val="single"/>
              </w:rPr>
              <w:t>LLAVIN DE DOBLE SEGURIDAD</w:t>
            </w:r>
          </w:p>
        </w:tc>
        <w:tc>
          <w:tcPr>
            <w:tcW w:w="550" w:type="pct"/>
            <w:hideMark/>
          </w:tcPr>
          <w:p w14:paraId="65FCCB64" w14:textId="77777777" w:rsidR="00B15F7D" w:rsidRPr="00990FB6" w:rsidRDefault="00B15F7D" w:rsidP="00B15F7D">
            <w:pPr>
              <w:rPr>
                <w:sz w:val="22"/>
                <w:szCs w:val="22"/>
                <w:u w:val="single"/>
              </w:rPr>
            </w:pPr>
            <w:r w:rsidRPr="00990FB6">
              <w:rPr>
                <w:sz w:val="22"/>
                <w:szCs w:val="22"/>
                <w:u w:val="single"/>
              </w:rPr>
              <w:t>78.376,00</w:t>
            </w:r>
          </w:p>
        </w:tc>
        <w:tc>
          <w:tcPr>
            <w:tcW w:w="511" w:type="pct"/>
            <w:noWrap/>
            <w:hideMark/>
          </w:tcPr>
          <w:p w14:paraId="2E13AEA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41FB85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FEF0D77"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2ED71256" w14:textId="77777777" w:rsidTr="000A0C22">
        <w:trPr>
          <w:trHeight w:val="2030"/>
          <w:jc w:val="center"/>
        </w:trPr>
        <w:tc>
          <w:tcPr>
            <w:tcW w:w="583" w:type="pct"/>
            <w:hideMark/>
          </w:tcPr>
          <w:p w14:paraId="2FD36D43"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5D137E00"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4FD5BDF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19562</w:t>
            </w:r>
          </w:p>
        </w:tc>
        <w:tc>
          <w:tcPr>
            <w:tcW w:w="1045" w:type="pct"/>
            <w:hideMark/>
          </w:tcPr>
          <w:p w14:paraId="55E558CA" w14:textId="77777777" w:rsidR="00B15F7D" w:rsidRPr="00990FB6" w:rsidRDefault="00B15F7D" w:rsidP="00B15F7D">
            <w:pPr>
              <w:rPr>
                <w:sz w:val="22"/>
                <w:szCs w:val="22"/>
                <w:u w:val="single"/>
              </w:rPr>
            </w:pPr>
            <w:r w:rsidRPr="00990FB6">
              <w:rPr>
                <w:sz w:val="22"/>
                <w:szCs w:val="22"/>
                <w:u w:val="single"/>
              </w:rPr>
              <w:t>OTROS, MATERIALES Y PRODUCTOS METALICOS</w:t>
            </w:r>
          </w:p>
        </w:tc>
        <w:tc>
          <w:tcPr>
            <w:tcW w:w="550" w:type="pct"/>
            <w:hideMark/>
          </w:tcPr>
          <w:p w14:paraId="5A8C0FBA" w14:textId="77777777" w:rsidR="00B15F7D" w:rsidRPr="00990FB6" w:rsidRDefault="00B15F7D" w:rsidP="00B15F7D">
            <w:pPr>
              <w:rPr>
                <w:sz w:val="22"/>
                <w:szCs w:val="22"/>
                <w:u w:val="single"/>
              </w:rPr>
            </w:pPr>
            <w:r w:rsidRPr="00990FB6">
              <w:rPr>
                <w:sz w:val="22"/>
                <w:szCs w:val="22"/>
                <w:u w:val="single"/>
              </w:rPr>
              <w:t>600.000,00</w:t>
            </w:r>
          </w:p>
        </w:tc>
        <w:tc>
          <w:tcPr>
            <w:tcW w:w="511" w:type="pct"/>
            <w:noWrap/>
            <w:hideMark/>
          </w:tcPr>
          <w:p w14:paraId="4A44445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7FD809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339E371"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258F1D53" w14:textId="77777777" w:rsidTr="000A0C22">
        <w:trPr>
          <w:trHeight w:val="2030"/>
          <w:jc w:val="center"/>
        </w:trPr>
        <w:tc>
          <w:tcPr>
            <w:tcW w:w="583" w:type="pct"/>
            <w:hideMark/>
          </w:tcPr>
          <w:p w14:paraId="0BE72E22" w14:textId="77777777" w:rsidR="00B15F7D" w:rsidRPr="00990FB6" w:rsidRDefault="00B15F7D" w:rsidP="00B15F7D">
            <w:pPr>
              <w:rPr>
                <w:sz w:val="22"/>
                <w:szCs w:val="22"/>
                <w:u w:val="single"/>
              </w:rPr>
            </w:pPr>
            <w:r w:rsidRPr="00990FB6">
              <w:rPr>
                <w:sz w:val="22"/>
                <w:szCs w:val="22"/>
                <w:u w:val="single"/>
              </w:rPr>
              <w:lastRenderedPageBreak/>
              <w:t>20301</w:t>
            </w:r>
          </w:p>
        </w:tc>
        <w:tc>
          <w:tcPr>
            <w:tcW w:w="578" w:type="pct"/>
            <w:hideMark/>
          </w:tcPr>
          <w:p w14:paraId="3EE18D5E" w14:textId="77777777" w:rsidR="00B15F7D" w:rsidRPr="00990FB6" w:rsidRDefault="00B15F7D" w:rsidP="00B15F7D">
            <w:pPr>
              <w:rPr>
                <w:sz w:val="22"/>
                <w:szCs w:val="22"/>
                <w:u w:val="single"/>
              </w:rPr>
            </w:pPr>
            <w:r w:rsidRPr="00990FB6">
              <w:rPr>
                <w:sz w:val="22"/>
                <w:szCs w:val="22"/>
                <w:u w:val="single"/>
              </w:rPr>
              <w:t>Materiales y productos metálicos</w:t>
            </w:r>
          </w:p>
        </w:tc>
        <w:tc>
          <w:tcPr>
            <w:tcW w:w="363" w:type="pct"/>
            <w:hideMark/>
          </w:tcPr>
          <w:p w14:paraId="6DF91FC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24852</w:t>
            </w:r>
          </w:p>
        </w:tc>
        <w:tc>
          <w:tcPr>
            <w:tcW w:w="1045" w:type="pct"/>
            <w:hideMark/>
          </w:tcPr>
          <w:p w14:paraId="0944B37E" w14:textId="77777777" w:rsidR="00B15F7D" w:rsidRPr="00990FB6" w:rsidRDefault="00B15F7D" w:rsidP="00B15F7D">
            <w:pPr>
              <w:rPr>
                <w:sz w:val="22"/>
                <w:szCs w:val="22"/>
                <w:u w:val="single"/>
              </w:rPr>
            </w:pPr>
            <w:r w:rsidRPr="00990FB6">
              <w:rPr>
                <w:sz w:val="22"/>
                <w:szCs w:val="22"/>
                <w:u w:val="single"/>
              </w:rPr>
              <w:t>CANDADO PARA MICROCOMPUTADORA PORTATIL</w:t>
            </w:r>
          </w:p>
        </w:tc>
        <w:tc>
          <w:tcPr>
            <w:tcW w:w="550" w:type="pct"/>
            <w:hideMark/>
          </w:tcPr>
          <w:p w14:paraId="2BA6A40B" w14:textId="77777777" w:rsidR="00B15F7D" w:rsidRPr="00990FB6" w:rsidRDefault="00B15F7D" w:rsidP="00B15F7D">
            <w:pPr>
              <w:rPr>
                <w:sz w:val="22"/>
                <w:szCs w:val="22"/>
                <w:u w:val="single"/>
              </w:rPr>
            </w:pPr>
            <w:r w:rsidRPr="00990FB6">
              <w:rPr>
                <w:sz w:val="22"/>
                <w:szCs w:val="22"/>
                <w:u w:val="single"/>
              </w:rPr>
              <w:t>197.750,00</w:t>
            </w:r>
          </w:p>
        </w:tc>
        <w:tc>
          <w:tcPr>
            <w:tcW w:w="511" w:type="pct"/>
            <w:noWrap/>
            <w:hideMark/>
          </w:tcPr>
          <w:p w14:paraId="32F0077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D5B7FC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A40DDEF" w14:textId="77777777" w:rsidR="00B15F7D" w:rsidRPr="00990FB6" w:rsidRDefault="00B15F7D" w:rsidP="00F60AA2">
            <w:pPr>
              <w:jc w:val="both"/>
              <w:rPr>
                <w:sz w:val="22"/>
                <w:szCs w:val="22"/>
                <w:u w:val="single"/>
              </w:rPr>
            </w:pPr>
            <w:r w:rsidRPr="00990FB6">
              <w:rPr>
                <w:sz w:val="22"/>
                <w:szCs w:val="22"/>
                <w:u w:val="single"/>
              </w:rPr>
              <w:t>Sacrificio de la totalidad de los recursos presupuestados en la sub partida de Materiales y Productos Metálicos.  La no dotación de estos recursos pone en riesgo la seguridad del personal de la Fiscalía de Turrialba al no contar con los medios para la compra de la cadena para las llantas de la unidad CL</w:t>
            </w:r>
            <w:proofErr w:type="gramStart"/>
            <w:r w:rsidRPr="00990FB6">
              <w:rPr>
                <w:sz w:val="22"/>
                <w:szCs w:val="22"/>
                <w:u w:val="single"/>
              </w:rPr>
              <w:t>303634,  por</w:t>
            </w:r>
            <w:proofErr w:type="gramEnd"/>
            <w:r w:rsidRPr="00990FB6">
              <w:rPr>
                <w:sz w:val="22"/>
                <w:szCs w:val="22"/>
                <w:u w:val="single"/>
              </w:rPr>
              <w:t xml:space="preserve"> cuanto, deben   transitar por caminos peligrosos para la atención de las diligencias propias del cargo. Asimismo, no se dispondrá de contenido para el mantenimiento y reparación de equipo y mobiliario de las fiscalías a nivel nacional. </w:t>
            </w:r>
          </w:p>
        </w:tc>
      </w:tr>
      <w:tr w:rsidR="00B15F7D" w:rsidRPr="00990FB6" w14:paraId="364BA06E" w14:textId="77777777" w:rsidTr="000A0C22">
        <w:trPr>
          <w:trHeight w:val="870"/>
          <w:jc w:val="center"/>
        </w:trPr>
        <w:tc>
          <w:tcPr>
            <w:tcW w:w="583" w:type="pct"/>
            <w:hideMark/>
          </w:tcPr>
          <w:p w14:paraId="7E64CA99" w14:textId="77777777" w:rsidR="00B15F7D" w:rsidRPr="00990FB6" w:rsidRDefault="00B15F7D" w:rsidP="00B15F7D">
            <w:pPr>
              <w:rPr>
                <w:sz w:val="22"/>
                <w:szCs w:val="22"/>
                <w:u w:val="single"/>
              </w:rPr>
            </w:pPr>
            <w:r w:rsidRPr="00990FB6">
              <w:rPr>
                <w:sz w:val="22"/>
                <w:szCs w:val="22"/>
                <w:u w:val="single"/>
              </w:rPr>
              <w:lastRenderedPageBreak/>
              <w:t>20303</w:t>
            </w:r>
          </w:p>
        </w:tc>
        <w:tc>
          <w:tcPr>
            <w:tcW w:w="578" w:type="pct"/>
            <w:hideMark/>
          </w:tcPr>
          <w:p w14:paraId="7BBD3A6D" w14:textId="77777777" w:rsidR="00B15F7D" w:rsidRPr="00990FB6" w:rsidRDefault="00B15F7D" w:rsidP="00B15F7D">
            <w:pPr>
              <w:rPr>
                <w:sz w:val="22"/>
                <w:szCs w:val="22"/>
                <w:u w:val="single"/>
              </w:rPr>
            </w:pPr>
            <w:r w:rsidRPr="00990FB6">
              <w:rPr>
                <w:sz w:val="22"/>
                <w:szCs w:val="22"/>
                <w:u w:val="single"/>
              </w:rPr>
              <w:t>Madera y sus derivados</w:t>
            </w:r>
          </w:p>
        </w:tc>
        <w:tc>
          <w:tcPr>
            <w:tcW w:w="363" w:type="pct"/>
            <w:hideMark/>
          </w:tcPr>
          <w:p w14:paraId="257768B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19563</w:t>
            </w:r>
          </w:p>
        </w:tc>
        <w:tc>
          <w:tcPr>
            <w:tcW w:w="1045" w:type="pct"/>
            <w:hideMark/>
          </w:tcPr>
          <w:p w14:paraId="70F873AA" w14:textId="77777777" w:rsidR="00B15F7D" w:rsidRPr="00990FB6" w:rsidRDefault="00B15F7D" w:rsidP="00B15F7D">
            <w:pPr>
              <w:rPr>
                <w:sz w:val="22"/>
                <w:szCs w:val="22"/>
                <w:u w:val="single"/>
              </w:rPr>
            </w:pPr>
            <w:r w:rsidRPr="00990FB6">
              <w:rPr>
                <w:sz w:val="22"/>
                <w:szCs w:val="22"/>
                <w:u w:val="single"/>
              </w:rPr>
              <w:t>OTROS, MADERA Y SUS DERIVADOS</w:t>
            </w:r>
          </w:p>
        </w:tc>
        <w:tc>
          <w:tcPr>
            <w:tcW w:w="550" w:type="pct"/>
            <w:hideMark/>
          </w:tcPr>
          <w:p w14:paraId="067A3C65" w14:textId="77777777" w:rsidR="00B15F7D" w:rsidRPr="00990FB6" w:rsidRDefault="00B15F7D" w:rsidP="00B15F7D">
            <w:pPr>
              <w:rPr>
                <w:sz w:val="22"/>
                <w:szCs w:val="22"/>
                <w:u w:val="single"/>
              </w:rPr>
            </w:pPr>
            <w:r w:rsidRPr="00990FB6">
              <w:rPr>
                <w:sz w:val="22"/>
                <w:szCs w:val="22"/>
                <w:u w:val="single"/>
              </w:rPr>
              <w:t>337.500,00</w:t>
            </w:r>
          </w:p>
        </w:tc>
        <w:tc>
          <w:tcPr>
            <w:tcW w:w="511" w:type="pct"/>
            <w:hideMark/>
          </w:tcPr>
          <w:p w14:paraId="1A6B971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C8FB06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F7067D2" w14:textId="77777777" w:rsidR="00B15F7D" w:rsidRPr="00990FB6" w:rsidRDefault="00B15F7D" w:rsidP="00F60AA2">
            <w:pPr>
              <w:jc w:val="both"/>
              <w:rPr>
                <w:sz w:val="22"/>
                <w:szCs w:val="22"/>
                <w:u w:val="single"/>
              </w:rPr>
            </w:pPr>
            <w:r w:rsidRPr="00990FB6">
              <w:rPr>
                <w:sz w:val="22"/>
                <w:szCs w:val="22"/>
                <w:u w:val="single"/>
              </w:rPr>
              <w:t xml:space="preserve">Sacrificio de la totalidad de los recursos presupuestados en la sub partida. </w:t>
            </w:r>
            <w:r w:rsidRPr="00990FB6">
              <w:rPr>
                <w:sz w:val="22"/>
                <w:szCs w:val="22"/>
                <w:u w:val="single"/>
              </w:rPr>
              <w:b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 de para la atención de reparaciones menores, se traduce a posteriori en costos más onerosos. </w:t>
            </w:r>
          </w:p>
        </w:tc>
      </w:tr>
      <w:tr w:rsidR="00B15F7D" w:rsidRPr="00990FB6" w14:paraId="55BC3B94" w14:textId="77777777" w:rsidTr="000A0C22">
        <w:trPr>
          <w:trHeight w:val="580"/>
          <w:jc w:val="center"/>
        </w:trPr>
        <w:tc>
          <w:tcPr>
            <w:tcW w:w="583" w:type="pct"/>
            <w:hideMark/>
          </w:tcPr>
          <w:p w14:paraId="0E567E32"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2733FCA9"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1070B79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19957</w:t>
            </w:r>
          </w:p>
        </w:tc>
        <w:tc>
          <w:tcPr>
            <w:tcW w:w="1045" w:type="pct"/>
            <w:hideMark/>
          </w:tcPr>
          <w:p w14:paraId="4F3FC750" w14:textId="77777777" w:rsidR="00B15F7D" w:rsidRPr="00990FB6" w:rsidRDefault="00B15F7D" w:rsidP="00B15F7D">
            <w:pPr>
              <w:rPr>
                <w:sz w:val="22"/>
                <w:szCs w:val="22"/>
                <w:u w:val="single"/>
              </w:rPr>
            </w:pPr>
            <w:r w:rsidRPr="00990FB6">
              <w:rPr>
                <w:sz w:val="22"/>
                <w:szCs w:val="22"/>
                <w:u w:val="single"/>
              </w:rPr>
              <w:t>TECLADO ERGONOMICO</w:t>
            </w:r>
          </w:p>
        </w:tc>
        <w:tc>
          <w:tcPr>
            <w:tcW w:w="550" w:type="pct"/>
            <w:hideMark/>
          </w:tcPr>
          <w:p w14:paraId="5CCE2F63" w14:textId="77777777" w:rsidR="00B15F7D" w:rsidRPr="00990FB6" w:rsidRDefault="00B15F7D" w:rsidP="00B15F7D">
            <w:pPr>
              <w:rPr>
                <w:sz w:val="22"/>
                <w:szCs w:val="22"/>
                <w:u w:val="single"/>
              </w:rPr>
            </w:pPr>
            <w:r w:rsidRPr="00990FB6">
              <w:rPr>
                <w:sz w:val="22"/>
                <w:szCs w:val="22"/>
                <w:u w:val="single"/>
              </w:rPr>
              <w:t>90.126,00</w:t>
            </w:r>
          </w:p>
        </w:tc>
        <w:tc>
          <w:tcPr>
            <w:tcW w:w="511" w:type="pct"/>
            <w:hideMark/>
          </w:tcPr>
          <w:p w14:paraId="6CFCD54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A902A9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7BDC1AF" w14:textId="77777777" w:rsidR="00B15F7D" w:rsidRPr="00990FB6" w:rsidRDefault="00B15F7D" w:rsidP="00F60AA2">
            <w:pPr>
              <w:jc w:val="both"/>
              <w:rPr>
                <w:sz w:val="22"/>
                <w:szCs w:val="22"/>
                <w:u w:val="single"/>
              </w:rPr>
            </w:pPr>
            <w:r w:rsidRPr="00990FB6">
              <w:rPr>
                <w:sz w:val="22"/>
                <w:szCs w:val="22"/>
                <w:u w:val="single"/>
              </w:rPr>
              <w:t xml:space="preserve">Desmejora en las condiciones de trabajo de los funcionarios de la Fiscalía de Golfito, Corredores y Puerto Jiménez, lo cual se puede traducir en problemas de salud. </w:t>
            </w:r>
          </w:p>
        </w:tc>
      </w:tr>
      <w:tr w:rsidR="00B15F7D" w:rsidRPr="00990FB6" w14:paraId="6D232E2C" w14:textId="77777777" w:rsidTr="000A0C22">
        <w:trPr>
          <w:trHeight w:val="580"/>
          <w:jc w:val="center"/>
        </w:trPr>
        <w:tc>
          <w:tcPr>
            <w:tcW w:w="583" w:type="pct"/>
            <w:hideMark/>
          </w:tcPr>
          <w:p w14:paraId="314670E9"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766673CE"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5375ABE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22151</w:t>
            </w:r>
          </w:p>
        </w:tc>
        <w:tc>
          <w:tcPr>
            <w:tcW w:w="1045" w:type="pct"/>
            <w:hideMark/>
          </w:tcPr>
          <w:p w14:paraId="644FD54A" w14:textId="77777777" w:rsidR="00B15F7D" w:rsidRPr="00990FB6" w:rsidRDefault="00B15F7D" w:rsidP="00B15F7D">
            <w:pPr>
              <w:rPr>
                <w:sz w:val="22"/>
                <w:szCs w:val="22"/>
                <w:u w:val="single"/>
              </w:rPr>
            </w:pPr>
            <w:r w:rsidRPr="00990FB6">
              <w:rPr>
                <w:sz w:val="22"/>
                <w:szCs w:val="22"/>
                <w:u w:val="single"/>
              </w:rPr>
              <w:t xml:space="preserve">MOUSE ERGONOMICO </w:t>
            </w:r>
          </w:p>
        </w:tc>
        <w:tc>
          <w:tcPr>
            <w:tcW w:w="550" w:type="pct"/>
            <w:hideMark/>
          </w:tcPr>
          <w:p w14:paraId="65B67011" w14:textId="77777777" w:rsidR="00B15F7D" w:rsidRPr="00990FB6" w:rsidRDefault="00B15F7D" w:rsidP="00B15F7D">
            <w:pPr>
              <w:rPr>
                <w:sz w:val="22"/>
                <w:szCs w:val="22"/>
                <w:u w:val="single"/>
              </w:rPr>
            </w:pPr>
            <w:r w:rsidRPr="00990FB6">
              <w:rPr>
                <w:sz w:val="22"/>
                <w:szCs w:val="22"/>
                <w:u w:val="single"/>
              </w:rPr>
              <w:t>330.525,00</w:t>
            </w:r>
          </w:p>
        </w:tc>
        <w:tc>
          <w:tcPr>
            <w:tcW w:w="511" w:type="pct"/>
            <w:hideMark/>
          </w:tcPr>
          <w:p w14:paraId="22F6238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7BCD1D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1CB3E57" w14:textId="77777777" w:rsidR="00B15F7D" w:rsidRPr="00990FB6" w:rsidRDefault="00B15F7D" w:rsidP="00F60AA2">
            <w:pPr>
              <w:jc w:val="both"/>
              <w:rPr>
                <w:sz w:val="22"/>
                <w:szCs w:val="22"/>
                <w:u w:val="single"/>
              </w:rPr>
            </w:pPr>
            <w:r w:rsidRPr="00990FB6">
              <w:rPr>
                <w:sz w:val="22"/>
                <w:szCs w:val="22"/>
                <w:u w:val="single"/>
              </w:rPr>
              <w:t xml:space="preserve">Desmejora en las condiciones de trabajo de los funcionarios de la Fiscalía de Golfito, Corredores y Puerto Jiménez, lo cual se puede traducir en </w:t>
            </w:r>
            <w:r w:rsidRPr="00990FB6">
              <w:rPr>
                <w:sz w:val="22"/>
                <w:szCs w:val="22"/>
                <w:u w:val="single"/>
              </w:rPr>
              <w:lastRenderedPageBreak/>
              <w:t xml:space="preserve">problemas de salud. </w:t>
            </w:r>
          </w:p>
        </w:tc>
      </w:tr>
      <w:tr w:rsidR="00B15F7D" w:rsidRPr="00990FB6" w14:paraId="3126D4D7" w14:textId="77777777" w:rsidTr="000A0C22">
        <w:trPr>
          <w:trHeight w:val="1740"/>
          <w:jc w:val="center"/>
        </w:trPr>
        <w:tc>
          <w:tcPr>
            <w:tcW w:w="583" w:type="pct"/>
            <w:hideMark/>
          </w:tcPr>
          <w:p w14:paraId="79AF5262" w14:textId="77777777" w:rsidR="00B15F7D" w:rsidRPr="00990FB6" w:rsidRDefault="00B15F7D" w:rsidP="00B15F7D">
            <w:pPr>
              <w:rPr>
                <w:sz w:val="22"/>
                <w:szCs w:val="22"/>
                <w:u w:val="single"/>
              </w:rPr>
            </w:pPr>
            <w:r w:rsidRPr="00990FB6">
              <w:rPr>
                <w:sz w:val="22"/>
                <w:szCs w:val="22"/>
                <w:u w:val="single"/>
              </w:rPr>
              <w:lastRenderedPageBreak/>
              <w:t>20304</w:t>
            </w:r>
          </w:p>
        </w:tc>
        <w:tc>
          <w:tcPr>
            <w:tcW w:w="578" w:type="pct"/>
            <w:hideMark/>
          </w:tcPr>
          <w:p w14:paraId="55F868DE"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35DC02D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23310</w:t>
            </w:r>
          </w:p>
        </w:tc>
        <w:tc>
          <w:tcPr>
            <w:tcW w:w="1045" w:type="pct"/>
            <w:hideMark/>
          </w:tcPr>
          <w:p w14:paraId="5464AA32" w14:textId="77777777" w:rsidR="00B15F7D" w:rsidRPr="00990FB6" w:rsidRDefault="00B15F7D" w:rsidP="00B15F7D">
            <w:pPr>
              <w:rPr>
                <w:sz w:val="22"/>
                <w:szCs w:val="22"/>
                <w:u w:val="single"/>
              </w:rPr>
            </w:pPr>
            <w:r w:rsidRPr="00990FB6">
              <w:rPr>
                <w:sz w:val="22"/>
                <w:szCs w:val="22"/>
                <w:u w:val="single"/>
              </w:rPr>
              <w:t>KIT MANTENIMIENTO LEXMARK MX711DHE</w:t>
            </w:r>
          </w:p>
        </w:tc>
        <w:tc>
          <w:tcPr>
            <w:tcW w:w="550" w:type="pct"/>
            <w:hideMark/>
          </w:tcPr>
          <w:p w14:paraId="34E228B1" w14:textId="77777777" w:rsidR="00B15F7D" w:rsidRPr="00990FB6" w:rsidRDefault="00B15F7D" w:rsidP="00B15F7D">
            <w:pPr>
              <w:rPr>
                <w:sz w:val="22"/>
                <w:szCs w:val="22"/>
                <w:u w:val="single"/>
              </w:rPr>
            </w:pPr>
            <w:r w:rsidRPr="00990FB6">
              <w:rPr>
                <w:sz w:val="22"/>
                <w:szCs w:val="22"/>
                <w:u w:val="single"/>
              </w:rPr>
              <w:t>6.834.575,00</w:t>
            </w:r>
          </w:p>
        </w:tc>
        <w:tc>
          <w:tcPr>
            <w:tcW w:w="511" w:type="pct"/>
            <w:hideMark/>
          </w:tcPr>
          <w:p w14:paraId="633FD0A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235C73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428ED5E"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y prestación del servicio público.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atención de los trámites judiciales. No se dispondrá de recursos para adquirir los kit de mantenimiento para los equipos de impresión Lexmark asignados </w:t>
            </w:r>
            <w:proofErr w:type="gramStart"/>
            <w:r w:rsidRPr="00990FB6">
              <w:rPr>
                <w:sz w:val="22"/>
                <w:szCs w:val="22"/>
                <w:u w:val="single"/>
              </w:rPr>
              <w:t>a  las</w:t>
            </w:r>
            <w:proofErr w:type="gramEnd"/>
            <w:r w:rsidRPr="00990FB6">
              <w:rPr>
                <w:sz w:val="22"/>
                <w:szCs w:val="22"/>
                <w:u w:val="single"/>
              </w:rPr>
              <w:t xml:space="preserve"> fiscalías de  Alajuela, Limón, Pococí, Siquirres, Atenas, </w:t>
            </w:r>
            <w:proofErr w:type="spellStart"/>
            <w:r w:rsidRPr="00990FB6">
              <w:rPr>
                <w:sz w:val="22"/>
                <w:szCs w:val="22"/>
                <w:u w:val="single"/>
              </w:rPr>
              <w:t>Bribrí</w:t>
            </w:r>
            <w:proofErr w:type="spellEnd"/>
            <w:r w:rsidRPr="00990FB6">
              <w:rPr>
                <w:sz w:val="22"/>
                <w:szCs w:val="22"/>
                <w:u w:val="single"/>
              </w:rPr>
              <w:t xml:space="preserve">, otros. Activos:774516, 774532, 777854, 777867, </w:t>
            </w:r>
            <w:proofErr w:type="gramStart"/>
            <w:r w:rsidRPr="00990FB6">
              <w:rPr>
                <w:sz w:val="22"/>
                <w:szCs w:val="22"/>
                <w:u w:val="single"/>
              </w:rPr>
              <w:lastRenderedPageBreak/>
              <w:t>777868,  754112</w:t>
            </w:r>
            <w:proofErr w:type="gramEnd"/>
            <w:r w:rsidRPr="00990FB6">
              <w:rPr>
                <w:sz w:val="22"/>
                <w:szCs w:val="22"/>
                <w:u w:val="single"/>
              </w:rPr>
              <w:t xml:space="preserve">,  otros. </w:t>
            </w:r>
          </w:p>
        </w:tc>
      </w:tr>
      <w:tr w:rsidR="00B15F7D" w:rsidRPr="00990FB6" w14:paraId="538F0553" w14:textId="77777777" w:rsidTr="000A0C22">
        <w:trPr>
          <w:trHeight w:val="580"/>
          <w:jc w:val="center"/>
        </w:trPr>
        <w:tc>
          <w:tcPr>
            <w:tcW w:w="583" w:type="pct"/>
            <w:hideMark/>
          </w:tcPr>
          <w:p w14:paraId="39BFFD98" w14:textId="77777777" w:rsidR="00B15F7D" w:rsidRPr="00990FB6" w:rsidRDefault="00B15F7D" w:rsidP="00B15F7D">
            <w:pPr>
              <w:rPr>
                <w:sz w:val="22"/>
                <w:szCs w:val="22"/>
                <w:u w:val="single"/>
              </w:rPr>
            </w:pPr>
            <w:r w:rsidRPr="00990FB6">
              <w:rPr>
                <w:sz w:val="22"/>
                <w:szCs w:val="22"/>
                <w:u w:val="single"/>
              </w:rPr>
              <w:lastRenderedPageBreak/>
              <w:t>20304</w:t>
            </w:r>
          </w:p>
        </w:tc>
        <w:tc>
          <w:tcPr>
            <w:tcW w:w="578" w:type="pct"/>
            <w:hideMark/>
          </w:tcPr>
          <w:p w14:paraId="1570809F"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1803036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12073</w:t>
            </w:r>
          </w:p>
        </w:tc>
        <w:tc>
          <w:tcPr>
            <w:tcW w:w="1045" w:type="pct"/>
            <w:hideMark/>
          </w:tcPr>
          <w:p w14:paraId="46A6E76D" w14:textId="77777777" w:rsidR="00B15F7D" w:rsidRPr="00990FB6" w:rsidRDefault="00B15F7D" w:rsidP="00B15F7D">
            <w:pPr>
              <w:rPr>
                <w:sz w:val="22"/>
                <w:szCs w:val="22"/>
                <w:u w:val="single"/>
              </w:rPr>
            </w:pPr>
            <w:r w:rsidRPr="00990FB6">
              <w:rPr>
                <w:sz w:val="22"/>
                <w:szCs w:val="22"/>
                <w:u w:val="single"/>
              </w:rPr>
              <w:t>BOMBILLO 75W 120V</w:t>
            </w:r>
          </w:p>
        </w:tc>
        <w:tc>
          <w:tcPr>
            <w:tcW w:w="550" w:type="pct"/>
            <w:hideMark/>
          </w:tcPr>
          <w:p w14:paraId="0C092C59" w14:textId="77777777" w:rsidR="00B15F7D" w:rsidRPr="00990FB6" w:rsidRDefault="00B15F7D" w:rsidP="00B15F7D">
            <w:pPr>
              <w:rPr>
                <w:sz w:val="22"/>
                <w:szCs w:val="22"/>
                <w:u w:val="single"/>
              </w:rPr>
            </w:pPr>
            <w:r w:rsidRPr="00990FB6">
              <w:rPr>
                <w:sz w:val="22"/>
                <w:szCs w:val="22"/>
                <w:u w:val="single"/>
              </w:rPr>
              <w:t>1.384,00</w:t>
            </w:r>
          </w:p>
        </w:tc>
        <w:tc>
          <w:tcPr>
            <w:tcW w:w="511" w:type="pct"/>
            <w:noWrap/>
            <w:hideMark/>
          </w:tcPr>
          <w:p w14:paraId="56F70D7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ECBDAA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D912040"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1B8FEE45" w14:textId="77777777" w:rsidTr="000A0C22">
        <w:trPr>
          <w:trHeight w:val="580"/>
          <w:jc w:val="center"/>
        </w:trPr>
        <w:tc>
          <w:tcPr>
            <w:tcW w:w="583" w:type="pct"/>
            <w:hideMark/>
          </w:tcPr>
          <w:p w14:paraId="30CC2555"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22C1021A"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617A593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12166</w:t>
            </w:r>
          </w:p>
        </w:tc>
        <w:tc>
          <w:tcPr>
            <w:tcW w:w="1045" w:type="pct"/>
            <w:hideMark/>
          </w:tcPr>
          <w:p w14:paraId="2DBD6E8B" w14:textId="77777777" w:rsidR="00B15F7D" w:rsidRPr="00990FB6" w:rsidRDefault="00B15F7D" w:rsidP="00B15F7D">
            <w:pPr>
              <w:rPr>
                <w:sz w:val="22"/>
                <w:szCs w:val="22"/>
                <w:u w:val="single"/>
              </w:rPr>
            </w:pPr>
            <w:r w:rsidRPr="00990FB6">
              <w:rPr>
                <w:sz w:val="22"/>
                <w:szCs w:val="22"/>
                <w:u w:val="single"/>
              </w:rPr>
              <w:t>REGLETA PLASTICA (6 TOMACORRIENTES)</w:t>
            </w:r>
          </w:p>
        </w:tc>
        <w:tc>
          <w:tcPr>
            <w:tcW w:w="550" w:type="pct"/>
            <w:hideMark/>
          </w:tcPr>
          <w:p w14:paraId="5746A2FC" w14:textId="77777777" w:rsidR="00B15F7D" w:rsidRPr="00990FB6" w:rsidRDefault="00B15F7D" w:rsidP="00B15F7D">
            <w:pPr>
              <w:rPr>
                <w:sz w:val="22"/>
                <w:szCs w:val="22"/>
                <w:u w:val="single"/>
              </w:rPr>
            </w:pPr>
            <w:r w:rsidRPr="00990FB6">
              <w:rPr>
                <w:sz w:val="22"/>
                <w:szCs w:val="22"/>
                <w:u w:val="single"/>
              </w:rPr>
              <w:t>23.809,00</w:t>
            </w:r>
          </w:p>
        </w:tc>
        <w:tc>
          <w:tcPr>
            <w:tcW w:w="511" w:type="pct"/>
            <w:noWrap/>
            <w:hideMark/>
          </w:tcPr>
          <w:p w14:paraId="4BE78B3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CD5A05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A75FDA0"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 de para la atención de reparaciones menores, se traduce a posteriori en costos más onerosos. </w:t>
            </w:r>
          </w:p>
        </w:tc>
      </w:tr>
      <w:tr w:rsidR="00B15F7D" w:rsidRPr="00990FB6" w14:paraId="15ADB80D" w14:textId="77777777" w:rsidTr="000A0C22">
        <w:trPr>
          <w:trHeight w:val="580"/>
          <w:jc w:val="center"/>
        </w:trPr>
        <w:tc>
          <w:tcPr>
            <w:tcW w:w="583" w:type="pct"/>
            <w:hideMark/>
          </w:tcPr>
          <w:p w14:paraId="7BB48C61"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587A51BC"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679E73B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12211</w:t>
            </w:r>
          </w:p>
        </w:tc>
        <w:tc>
          <w:tcPr>
            <w:tcW w:w="1045" w:type="pct"/>
            <w:hideMark/>
          </w:tcPr>
          <w:p w14:paraId="44CAD65A" w14:textId="77777777" w:rsidR="00B15F7D" w:rsidRPr="00990FB6" w:rsidRDefault="00B15F7D" w:rsidP="00B15F7D">
            <w:pPr>
              <w:rPr>
                <w:sz w:val="22"/>
                <w:szCs w:val="22"/>
                <w:u w:val="single"/>
              </w:rPr>
            </w:pPr>
            <w:r w:rsidRPr="00990FB6">
              <w:rPr>
                <w:sz w:val="22"/>
                <w:szCs w:val="22"/>
                <w:u w:val="single"/>
              </w:rPr>
              <w:t>CORDON ESPIRAL TELEFONICO</w:t>
            </w:r>
          </w:p>
        </w:tc>
        <w:tc>
          <w:tcPr>
            <w:tcW w:w="550" w:type="pct"/>
            <w:hideMark/>
          </w:tcPr>
          <w:p w14:paraId="348E197B" w14:textId="77777777" w:rsidR="00B15F7D" w:rsidRPr="00990FB6" w:rsidRDefault="00B15F7D" w:rsidP="00B15F7D">
            <w:pPr>
              <w:rPr>
                <w:sz w:val="22"/>
                <w:szCs w:val="22"/>
                <w:u w:val="single"/>
              </w:rPr>
            </w:pPr>
            <w:r w:rsidRPr="00990FB6">
              <w:rPr>
                <w:sz w:val="22"/>
                <w:szCs w:val="22"/>
                <w:u w:val="single"/>
              </w:rPr>
              <w:t>1.889,00</w:t>
            </w:r>
          </w:p>
        </w:tc>
        <w:tc>
          <w:tcPr>
            <w:tcW w:w="511" w:type="pct"/>
            <w:noWrap/>
            <w:hideMark/>
          </w:tcPr>
          <w:p w14:paraId="4A7454E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BEA1E3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F9657A9" w14:textId="77777777" w:rsidR="00B15F7D" w:rsidRPr="00990FB6" w:rsidRDefault="00B15F7D" w:rsidP="00B15F7D">
            <w:pPr>
              <w:rPr>
                <w:sz w:val="22"/>
                <w:szCs w:val="22"/>
                <w:u w:val="single"/>
              </w:rPr>
            </w:pPr>
            <w:r w:rsidRPr="00990FB6">
              <w:rPr>
                <w:sz w:val="22"/>
                <w:szCs w:val="22"/>
                <w:u w:val="single"/>
              </w:rPr>
              <w:t> </w:t>
            </w:r>
          </w:p>
        </w:tc>
      </w:tr>
      <w:tr w:rsidR="00B15F7D" w:rsidRPr="00990FB6" w14:paraId="5B9A936E" w14:textId="77777777" w:rsidTr="000A0C22">
        <w:trPr>
          <w:trHeight w:val="580"/>
          <w:jc w:val="center"/>
        </w:trPr>
        <w:tc>
          <w:tcPr>
            <w:tcW w:w="583" w:type="pct"/>
            <w:hideMark/>
          </w:tcPr>
          <w:p w14:paraId="447A9367" w14:textId="77777777" w:rsidR="00B15F7D" w:rsidRPr="00990FB6" w:rsidRDefault="00B15F7D" w:rsidP="00B15F7D">
            <w:pPr>
              <w:rPr>
                <w:sz w:val="22"/>
                <w:szCs w:val="22"/>
                <w:u w:val="single"/>
              </w:rPr>
            </w:pPr>
            <w:r w:rsidRPr="00990FB6">
              <w:rPr>
                <w:sz w:val="22"/>
                <w:szCs w:val="22"/>
                <w:u w:val="single"/>
              </w:rPr>
              <w:lastRenderedPageBreak/>
              <w:t>20304</w:t>
            </w:r>
          </w:p>
        </w:tc>
        <w:tc>
          <w:tcPr>
            <w:tcW w:w="578" w:type="pct"/>
            <w:hideMark/>
          </w:tcPr>
          <w:p w14:paraId="2D75B79A"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181158F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12225</w:t>
            </w:r>
          </w:p>
        </w:tc>
        <w:tc>
          <w:tcPr>
            <w:tcW w:w="1045" w:type="pct"/>
            <w:hideMark/>
          </w:tcPr>
          <w:p w14:paraId="6C8F33FA" w14:textId="77777777" w:rsidR="00B15F7D" w:rsidRPr="00990FB6" w:rsidRDefault="00B15F7D" w:rsidP="00B15F7D">
            <w:pPr>
              <w:rPr>
                <w:sz w:val="22"/>
                <w:szCs w:val="22"/>
                <w:u w:val="single"/>
              </w:rPr>
            </w:pPr>
            <w:r w:rsidRPr="00990FB6">
              <w:rPr>
                <w:sz w:val="22"/>
                <w:szCs w:val="22"/>
                <w:u w:val="single"/>
              </w:rPr>
              <w:t>TUBO FLUORESCENTE 32 W 2 PINES</w:t>
            </w:r>
          </w:p>
        </w:tc>
        <w:tc>
          <w:tcPr>
            <w:tcW w:w="550" w:type="pct"/>
            <w:hideMark/>
          </w:tcPr>
          <w:p w14:paraId="4CC9F0C3" w14:textId="77777777" w:rsidR="00B15F7D" w:rsidRPr="00990FB6" w:rsidRDefault="00B15F7D" w:rsidP="00B15F7D">
            <w:pPr>
              <w:rPr>
                <w:sz w:val="22"/>
                <w:szCs w:val="22"/>
                <w:u w:val="single"/>
              </w:rPr>
            </w:pPr>
            <w:r w:rsidRPr="00990FB6">
              <w:rPr>
                <w:sz w:val="22"/>
                <w:szCs w:val="22"/>
                <w:u w:val="single"/>
              </w:rPr>
              <w:t>62.150,00</w:t>
            </w:r>
          </w:p>
        </w:tc>
        <w:tc>
          <w:tcPr>
            <w:tcW w:w="511" w:type="pct"/>
            <w:noWrap/>
            <w:hideMark/>
          </w:tcPr>
          <w:p w14:paraId="7A2634E4"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6C7F6A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04F41C2"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34119849" w14:textId="77777777" w:rsidTr="000A0C22">
        <w:trPr>
          <w:trHeight w:val="580"/>
          <w:jc w:val="center"/>
        </w:trPr>
        <w:tc>
          <w:tcPr>
            <w:tcW w:w="583" w:type="pct"/>
            <w:hideMark/>
          </w:tcPr>
          <w:p w14:paraId="5416C8A3"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091C01B7"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127A7D8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12270</w:t>
            </w:r>
          </w:p>
        </w:tc>
        <w:tc>
          <w:tcPr>
            <w:tcW w:w="1045" w:type="pct"/>
            <w:hideMark/>
          </w:tcPr>
          <w:p w14:paraId="002F93A5" w14:textId="77777777" w:rsidR="00B15F7D" w:rsidRPr="00990FB6" w:rsidRDefault="00B15F7D" w:rsidP="00B15F7D">
            <w:pPr>
              <w:rPr>
                <w:sz w:val="22"/>
                <w:szCs w:val="22"/>
                <w:u w:val="single"/>
              </w:rPr>
            </w:pPr>
            <w:r w:rsidRPr="00990FB6">
              <w:rPr>
                <w:sz w:val="22"/>
                <w:szCs w:val="22"/>
                <w:u w:val="single"/>
              </w:rPr>
              <w:t>BALASTRO 2 X 32 T8 ELECTRONICO</w:t>
            </w:r>
          </w:p>
        </w:tc>
        <w:tc>
          <w:tcPr>
            <w:tcW w:w="550" w:type="pct"/>
            <w:hideMark/>
          </w:tcPr>
          <w:p w14:paraId="3C3FD95D" w14:textId="77777777" w:rsidR="00B15F7D" w:rsidRPr="00990FB6" w:rsidRDefault="00B15F7D" w:rsidP="00B15F7D">
            <w:pPr>
              <w:rPr>
                <w:sz w:val="22"/>
                <w:szCs w:val="22"/>
                <w:u w:val="single"/>
              </w:rPr>
            </w:pPr>
            <w:r w:rsidRPr="00990FB6">
              <w:rPr>
                <w:sz w:val="22"/>
                <w:szCs w:val="22"/>
                <w:u w:val="single"/>
              </w:rPr>
              <w:t>87.902,00</w:t>
            </w:r>
          </w:p>
        </w:tc>
        <w:tc>
          <w:tcPr>
            <w:tcW w:w="511" w:type="pct"/>
            <w:noWrap/>
            <w:hideMark/>
          </w:tcPr>
          <w:p w14:paraId="7882960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4C1AF0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5658E51"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5799009A" w14:textId="77777777" w:rsidTr="000A0C22">
        <w:trPr>
          <w:trHeight w:val="580"/>
          <w:jc w:val="center"/>
        </w:trPr>
        <w:tc>
          <w:tcPr>
            <w:tcW w:w="583" w:type="pct"/>
            <w:hideMark/>
          </w:tcPr>
          <w:p w14:paraId="220C00B6"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418417F0"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0397398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12476</w:t>
            </w:r>
          </w:p>
        </w:tc>
        <w:tc>
          <w:tcPr>
            <w:tcW w:w="1045" w:type="pct"/>
            <w:hideMark/>
          </w:tcPr>
          <w:p w14:paraId="5B8642EF" w14:textId="77777777" w:rsidR="00B15F7D" w:rsidRPr="00990FB6" w:rsidRDefault="00B15F7D" w:rsidP="00B15F7D">
            <w:pPr>
              <w:rPr>
                <w:sz w:val="22"/>
                <w:szCs w:val="22"/>
                <w:u w:val="single"/>
              </w:rPr>
            </w:pPr>
            <w:r w:rsidRPr="00990FB6">
              <w:rPr>
                <w:sz w:val="22"/>
                <w:szCs w:val="22"/>
                <w:u w:val="single"/>
              </w:rPr>
              <w:t xml:space="preserve">EXTENSION ELECTRICA </w:t>
            </w:r>
          </w:p>
        </w:tc>
        <w:tc>
          <w:tcPr>
            <w:tcW w:w="550" w:type="pct"/>
            <w:hideMark/>
          </w:tcPr>
          <w:p w14:paraId="48C2BDB0" w14:textId="77777777" w:rsidR="00B15F7D" w:rsidRPr="00990FB6" w:rsidRDefault="00B15F7D" w:rsidP="00B15F7D">
            <w:pPr>
              <w:rPr>
                <w:sz w:val="22"/>
                <w:szCs w:val="22"/>
                <w:u w:val="single"/>
              </w:rPr>
            </w:pPr>
            <w:r w:rsidRPr="00990FB6">
              <w:rPr>
                <w:sz w:val="22"/>
                <w:szCs w:val="22"/>
                <w:u w:val="single"/>
              </w:rPr>
              <w:t>31.355,00</w:t>
            </w:r>
          </w:p>
        </w:tc>
        <w:tc>
          <w:tcPr>
            <w:tcW w:w="511" w:type="pct"/>
            <w:noWrap/>
            <w:hideMark/>
          </w:tcPr>
          <w:p w14:paraId="71F3F43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6ED7FD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04DE6B8" w14:textId="77777777" w:rsidR="00B15F7D" w:rsidRPr="00990FB6" w:rsidRDefault="00B15F7D" w:rsidP="00B15F7D">
            <w:pPr>
              <w:rPr>
                <w:sz w:val="22"/>
                <w:szCs w:val="22"/>
                <w:u w:val="single"/>
              </w:rPr>
            </w:pPr>
            <w:r w:rsidRPr="00990FB6">
              <w:rPr>
                <w:sz w:val="22"/>
                <w:szCs w:val="22"/>
                <w:u w:val="single"/>
              </w:rPr>
              <w:t> </w:t>
            </w:r>
          </w:p>
        </w:tc>
      </w:tr>
      <w:tr w:rsidR="00B15F7D" w:rsidRPr="00990FB6" w14:paraId="1941BDAF" w14:textId="77777777" w:rsidTr="000A0C22">
        <w:trPr>
          <w:trHeight w:val="580"/>
          <w:jc w:val="center"/>
        </w:trPr>
        <w:tc>
          <w:tcPr>
            <w:tcW w:w="583" w:type="pct"/>
            <w:hideMark/>
          </w:tcPr>
          <w:p w14:paraId="23B8F308"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095040A4"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66CC990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16929</w:t>
            </w:r>
          </w:p>
        </w:tc>
        <w:tc>
          <w:tcPr>
            <w:tcW w:w="1045" w:type="pct"/>
            <w:hideMark/>
          </w:tcPr>
          <w:p w14:paraId="5217D6B8" w14:textId="77777777" w:rsidR="00B15F7D" w:rsidRPr="00990FB6" w:rsidRDefault="00B15F7D" w:rsidP="00B15F7D">
            <w:pPr>
              <w:rPr>
                <w:sz w:val="22"/>
                <w:szCs w:val="22"/>
                <w:u w:val="single"/>
              </w:rPr>
            </w:pPr>
            <w:r w:rsidRPr="00990FB6">
              <w:rPr>
                <w:sz w:val="22"/>
                <w:szCs w:val="22"/>
                <w:u w:val="single"/>
              </w:rPr>
              <w:t>MOUSE OPTICO</w:t>
            </w:r>
          </w:p>
        </w:tc>
        <w:tc>
          <w:tcPr>
            <w:tcW w:w="550" w:type="pct"/>
            <w:hideMark/>
          </w:tcPr>
          <w:p w14:paraId="7795329F" w14:textId="77777777" w:rsidR="00B15F7D" w:rsidRPr="00990FB6" w:rsidRDefault="00B15F7D" w:rsidP="00B15F7D">
            <w:pPr>
              <w:rPr>
                <w:sz w:val="22"/>
                <w:szCs w:val="22"/>
                <w:u w:val="single"/>
              </w:rPr>
            </w:pPr>
            <w:r w:rsidRPr="00990FB6">
              <w:rPr>
                <w:sz w:val="22"/>
                <w:szCs w:val="22"/>
                <w:u w:val="single"/>
              </w:rPr>
              <w:t>58.396,00</w:t>
            </w:r>
          </w:p>
        </w:tc>
        <w:tc>
          <w:tcPr>
            <w:tcW w:w="511" w:type="pct"/>
            <w:noWrap/>
            <w:hideMark/>
          </w:tcPr>
          <w:p w14:paraId="31C3FF8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72F1BB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545FE82" w14:textId="77777777" w:rsidR="00B15F7D" w:rsidRPr="00990FB6" w:rsidRDefault="00B15F7D" w:rsidP="00B15F7D">
            <w:pPr>
              <w:rPr>
                <w:sz w:val="22"/>
                <w:szCs w:val="22"/>
                <w:u w:val="single"/>
              </w:rPr>
            </w:pPr>
            <w:r w:rsidRPr="00990FB6">
              <w:rPr>
                <w:sz w:val="22"/>
                <w:szCs w:val="22"/>
                <w:u w:val="single"/>
              </w:rPr>
              <w:t> </w:t>
            </w:r>
          </w:p>
        </w:tc>
      </w:tr>
      <w:tr w:rsidR="00B15F7D" w:rsidRPr="00990FB6" w14:paraId="05BEED4A" w14:textId="77777777" w:rsidTr="000A0C22">
        <w:trPr>
          <w:trHeight w:val="580"/>
          <w:jc w:val="center"/>
        </w:trPr>
        <w:tc>
          <w:tcPr>
            <w:tcW w:w="583" w:type="pct"/>
            <w:hideMark/>
          </w:tcPr>
          <w:p w14:paraId="0A16B12D" w14:textId="77777777" w:rsidR="00B15F7D" w:rsidRPr="00990FB6" w:rsidRDefault="00B15F7D" w:rsidP="00B15F7D">
            <w:pPr>
              <w:rPr>
                <w:sz w:val="22"/>
                <w:szCs w:val="22"/>
                <w:u w:val="single"/>
              </w:rPr>
            </w:pPr>
            <w:r w:rsidRPr="00990FB6">
              <w:rPr>
                <w:sz w:val="22"/>
                <w:szCs w:val="22"/>
                <w:u w:val="single"/>
              </w:rPr>
              <w:lastRenderedPageBreak/>
              <w:t>20304</w:t>
            </w:r>
          </w:p>
        </w:tc>
        <w:tc>
          <w:tcPr>
            <w:tcW w:w="578" w:type="pct"/>
            <w:hideMark/>
          </w:tcPr>
          <w:p w14:paraId="2397D395"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129CB28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18103</w:t>
            </w:r>
          </w:p>
        </w:tc>
        <w:tc>
          <w:tcPr>
            <w:tcW w:w="1045" w:type="pct"/>
            <w:hideMark/>
          </w:tcPr>
          <w:p w14:paraId="2078BB42" w14:textId="77777777" w:rsidR="00B15F7D" w:rsidRPr="00990FB6" w:rsidRDefault="00B15F7D" w:rsidP="00B15F7D">
            <w:pPr>
              <w:rPr>
                <w:sz w:val="22"/>
                <w:szCs w:val="22"/>
                <w:u w:val="single"/>
              </w:rPr>
            </w:pPr>
            <w:r w:rsidRPr="00990FB6">
              <w:rPr>
                <w:sz w:val="22"/>
                <w:szCs w:val="22"/>
                <w:u w:val="single"/>
              </w:rPr>
              <w:t>BALASTRO T8 4X 32 ELECTRONICO</w:t>
            </w:r>
          </w:p>
        </w:tc>
        <w:tc>
          <w:tcPr>
            <w:tcW w:w="550" w:type="pct"/>
            <w:hideMark/>
          </w:tcPr>
          <w:p w14:paraId="52B495E3" w14:textId="77777777" w:rsidR="00B15F7D" w:rsidRPr="00990FB6" w:rsidRDefault="00B15F7D" w:rsidP="00B15F7D">
            <w:pPr>
              <w:rPr>
                <w:sz w:val="22"/>
                <w:szCs w:val="22"/>
                <w:u w:val="single"/>
              </w:rPr>
            </w:pPr>
            <w:r w:rsidRPr="00990FB6">
              <w:rPr>
                <w:sz w:val="22"/>
                <w:szCs w:val="22"/>
                <w:u w:val="single"/>
              </w:rPr>
              <w:t>31.988,00</w:t>
            </w:r>
          </w:p>
        </w:tc>
        <w:tc>
          <w:tcPr>
            <w:tcW w:w="511" w:type="pct"/>
            <w:noWrap/>
            <w:hideMark/>
          </w:tcPr>
          <w:p w14:paraId="74E7072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E0AF76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5C305B5"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20ECA137" w14:textId="77777777" w:rsidTr="000A0C22">
        <w:trPr>
          <w:trHeight w:val="580"/>
          <w:jc w:val="center"/>
        </w:trPr>
        <w:tc>
          <w:tcPr>
            <w:tcW w:w="583" w:type="pct"/>
            <w:hideMark/>
          </w:tcPr>
          <w:p w14:paraId="08A1DF04"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44F55998"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137AFE7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18123</w:t>
            </w:r>
          </w:p>
        </w:tc>
        <w:tc>
          <w:tcPr>
            <w:tcW w:w="1045" w:type="pct"/>
            <w:hideMark/>
          </w:tcPr>
          <w:p w14:paraId="708060A2" w14:textId="77777777" w:rsidR="00B15F7D" w:rsidRPr="00990FB6" w:rsidRDefault="00B15F7D" w:rsidP="00B15F7D">
            <w:pPr>
              <w:rPr>
                <w:sz w:val="22"/>
                <w:szCs w:val="22"/>
                <w:u w:val="single"/>
              </w:rPr>
            </w:pPr>
            <w:r w:rsidRPr="00990FB6">
              <w:rPr>
                <w:sz w:val="22"/>
                <w:szCs w:val="22"/>
                <w:u w:val="single"/>
              </w:rPr>
              <w:t>BOMBILLO DE AHORRO ENERGETICO (FLUORESCENTE COMPACTO)</w:t>
            </w:r>
          </w:p>
        </w:tc>
        <w:tc>
          <w:tcPr>
            <w:tcW w:w="550" w:type="pct"/>
            <w:hideMark/>
          </w:tcPr>
          <w:p w14:paraId="08082569" w14:textId="77777777" w:rsidR="00B15F7D" w:rsidRPr="00990FB6" w:rsidRDefault="00B15F7D" w:rsidP="00B15F7D">
            <w:pPr>
              <w:rPr>
                <w:sz w:val="22"/>
                <w:szCs w:val="22"/>
                <w:u w:val="single"/>
              </w:rPr>
            </w:pPr>
            <w:r w:rsidRPr="00990FB6">
              <w:rPr>
                <w:sz w:val="22"/>
                <w:szCs w:val="22"/>
                <w:u w:val="single"/>
              </w:rPr>
              <w:t>27.748,00</w:t>
            </w:r>
          </w:p>
        </w:tc>
        <w:tc>
          <w:tcPr>
            <w:tcW w:w="511" w:type="pct"/>
            <w:noWrap/>
            <w:hideMark/>
          </w:tcPr>
          <w:p w14:paraId="3B8FD8A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878532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B1A744D"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303FEA67" w14:textId="77777777" w:rsidTr="000A0C22">
        <w:trPr>
          <w:trHeight w:val="1160"/>
          <w:jc w:val="center"/>
        </w:trPr>
        <w:tc>
          <w:tcPr>
            <w:tcW w:w="583" w:type="pct"/>
            <w:hideMark/>
          </w:tcPr>
          <w:p w14:paraId="30F17C65"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3B3DF81F"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5364976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20408</w:t>
            </w:r>
          </w:p>
        </w:tc>
        <w:tc>
          <w:tcPr>
            <w:tcW w:w="1045" w:type="pct"/>
            <w:hideMark/>
          </w:tcPr>
          <w:p w14:paraId="55111199" w14:textId="77777777" w:rsidR="00B15F7D" w:rsidRPr="00990FB6" w:rsidRDefault="00B15F7D" w:rsidP="00B15F7D">
            <w:pPr>
              <w:rPr>
                <w:sz w:val="22"/>
                <w:szCs w:val="22"/>
                <w:u w:val="single"/>
              </w:rPr>
            </w:pPr>
            <w:r w:rsidRPr="00990FB6">
              <w:rPr>
                <w:sz w:val="22"/>
                <w:szCs w:val="22"/>
                <w:u w:val="single"/>
              </w:rPr>
              <w:t>DISCO DURO USB EXTERNO</w:t>
            </w:r>
          </w:p>
        </w:tc>
        <w:tc>
          <w:tcPr>
            <w:tcW w:w="550" w:type="pct"/>
            <w:hideMark/>
          </w:tcPr>
          <w:p w14:paraId="0ADD09DB" w14:textId="77777777" w:rsidR="00B15F7D" w:rsidRPr="00990FB6" w:rsidRDefault="00B15F7D" w:rsidP="00B15F7D">
            <w:pPr>
              <w:rPr>
                <w:sz w:val="22"/>
                <w:szCs w:val="22"/>
                <w:u w:val="single"/>
              </w:rPr>
            </w:pPr>
            <w:r w:rsidRPr="00990FB6">
              <w:rPr>
                <w:sz w:val="22"/>
                <w:szCs w:val="22"/>
                <w:u w:val="single"/>
              </w:rPr>
              <w:t>2.823.125,00</w:t>
            </w:r>
          </w:p>
        </w:tc>
        <w:tc>
          <w:tcPr>
            <w:tcW w:w="511" w:type="pct"/>
            <w:noWrap/>
            <w:hideMark/>
          </w:tcPr>
          <w:p w14:paraId="5CCFBFE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9027E6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FB7FBB3" w14:textId="77777777" w:rsidR="00B15F7D" w:rsidRPr="00990FB6" w:rsidRDefault="00B15F7D" w:rsidP="00F60AA2">
            <w:pPr>
              <w:jc w:val="both"/>
              <w:rPr>
                <w:sz w:val="22"/>
                <w:szCs w:val="22"/>
                <w:u w:val="single"/>
              </w:rPr>
            </w:pPr>
            <w:r w:rsidRPr="00990FB6">
              <w:rPr>
                <w:sz w:val="22"/>
                <w:szCs w:val="22"/>
                <w:u w:val="single"/>
              </w:rPr>
              <w:t xml:space="preserve">No disponer del recurso para el resguardo de evidencia e </w:t>
            </w:r>
            <w:proofErr w:type="gramStart"/>
            <w:r w:rsidRPr="00990FB6">
              <w:rPr>
                <w:sz w:val="22"/>
                <w:szCs w:val="22"/>
                <w:u w:val="single"/>
              </w:rPr>
              <w:t>información  de</w:t>
            </w:r>
            <w:proofErr w:type="gramEnd"/>
            <w:r w:rsidRPr="00990FB6">
              <w:rPr>
                <w:sz w:val="22"/>
                <w:szCs w:val="22"/>
                <w:u w:val="single"/>
              </w:rPr>
              <w:t xml:space="preserve"> vital importancia en los procesos de investigación que llevan a cabo las fiscalías de Alajuela, Cartago, Turrialba, Heredia, </w:t>
            </w:r>
            <w:r w:rsidRPr="00990FB6">
              <w:rPr>
                <w:sz w:val="22"/>
                <w:szCs w:val="22"/>
                <w:u w:val="single"/>
              </w:rPr>
              <w:lastRenderedPageBreak/>
              <w:t xml:space="preserve">Puntarenas, Golfito, Corredores, Garabito, Puerto Jiménez y Fiscalía de Delincuencia Organizada. </w:t>
            </w:r>
          </w:p>
        </w:tc>
      </w:tr>
      <w:tr w:rsidR="00B15F7D" w:rsidRPr="00990FB6" w14:paraId="1B73744E" w14:textId="77777777" w:rsidTr="000A0C22">
        <w:trPr>
          <w:trHeight w:val="870"/>
          <w:jc w:val="center"/>
        </w:trPr>
        <w:tc>
          <w:tcPr>
            <w:tcW w:w="583" w:type="pct"/>
            <w:hideMark/>
          </w:tcPr>
          <w:p w14:paraId="1F104C3C" w14:textId="77777777" w:rsidR="00B15F7D" w:rsidRPr="00990FB6" w:rsidRDefault="00B15F7D" w:rsidP="00B15F7D">
            <w:pPr>
              <w:rPr>
                <w:sz w:val="22"/>
                <w:szCs w:val="22"/>
                <w:u w:val="single"/>
              </w:rPr>
            </w:pPr>
            <w:r w:rsidRPr="00990FB6">
              <w:rPr>
                <w:sz w:val="22"/>
                <w:szCs w:val="22"/>
                <w:u w:val="single"/>
              </w:rPr>
              <w:lastRenderedPageBreak/>
              <w:t>20304</w:t>
            </w:r>
          </w:p>
        </w:tc>
        <w:tc>
          <w:tcPr>
            <w:tcW w:w="578" w:type="pct"/>
            <w:hideMark/>
          </w:tcPr>
          <w:p w14:paraId="4F4952F7"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4B00BE4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23518</w:t>
            </w:r>
          </w:p>
        </w:tc>
        <w:tc>
          <w:tcPr>
            <w:tcW w:w="1045" w:type="pct"/>
            <w:hideMark/>
          </w:tcPr>
          <w:p w14:paraId="76905686" w14:textId="77777777" w:rsidR="00B15F7D" w:rsidRPr="00990FB6" w:rsidRDefault="00B15F7D" w:rsidP="00B15F7D">
            <w:pPr>
              <w:rPr>
                <w:sz w:val="22"/>
                <w:szCs w:val="22"/>
                <w:u w:val="single"/>
              </w:rPr>
            </w:pPr>
            <w:r w:rsidRPr="00990FB6">
              <w:rPr>
                <w:sz w:val="22"/>
                <w:szCs w:val="22"/>
                <w:u w:val="single"/>
              </w:rPr>
              <w:t>KIT DE MANT IMPRESORA LEXMARK T-644/642/640</w:t>
            </w:r>
          </w:p>
        </w:tc>
        <w:tc>
          <w:tcPr>
            <w:tcW w:w="550" w:type="pct"/>
            <w:hideMark/>
          </w:tcPr>
          <w:p w14:paraId="1A543D61" w14:textId="77777777" w:rsidR="00B15F7D" w:rsidRPr="00990FB6" w:rsidRDefault="00B15F7D" w:rsidP="00B15F7D">
            <w:pPr>
              <w:rPr>
                <w:sz w:val="22"/>
                <w:szCs w:val="22"/>
                <w:u w:val="single"/>
              </w:rPr>
            </w:pPr>
            <w:r w:rsidRPr="00990FB6">
              <w:rPr>
                <w:sz w:val="22"/>
                <w:szCs w:val="22"/>
                <w:u w:val="single"/>
              </w:rPr>
              <w:t>784.635,00</w:t>
            </w:r>
          </w:p>
        </w:tc>
        <w:tc>
          <w:tcPr>
            <w:tcW w:w="511" w:type="pct"/>
            <w:noWrap/>
            <w:hideMark/>
          </w:tcPr>
          <w:p w14:paraId="2CC37EE4"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2E7C3B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04B7FD1"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w:t>
            </w:r>
            <w:proofErr w:type="gramStart"/>
            <w:r w:rsidRPr="00990FB6">
              <w:rPr>
                <w:sz w:val="22"/>
                <w:szCs w:val="22"/>
                <w:u w:val="single"/>
              </w:rPr>
              <w:t>Público .</w:t>
            </w:r>
            <w:proofErr w:type="gramEnd"/>
            <w:r w:rsidRPr="00990FB6">
              <w:rPr>
                <w:sz w:val="22"/>
                <w:szCs w:val="22"/>
                <w:u w:val="single"/>
              </w:rPr>
              <w:t xml:space="preserve">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diligencia de los trámites judiciales.    </w:t>
            </w:r>
          </w:p>
        </w:tc>
      </w:tr>
      <w:tr w:rsidR="00B15F7D" w:rsidRPr="00990FB6" w14:paraId="5FCE9463" w14:textId="77777777" w:rsidTr="000A0C22">
        <w:trPr>
          <w:trHeight w:val="870"/>
          <w:jc w:val="center"/>
        </w:trPr>
        <w:tc>
          <w:tcPr>
            <w:tcW w:w="583" w:type="pct"/>
            <w:hideMark/>
          </w:tcPr>
          <w:p w14:paraId="3741A615" w14:textId="77777777" w:rsidR="00B15F7D" w:rsidRPr="00990FB6" w:rsidRDefault="00B15F7D" w:rsidP="00B15F7D">
            <w:pPr>
              <w:rPr>
                <w:sz w:val="22"/>
                <w:szCs w:val="22"/>
                <w:u w:val="single"/>
              </w:rPr>
            </w:pPr>
            <w:r w:rsidRPr="00990FB6">
              <w:rPr>
                <w:sz w:val="22"/>
                <w:szCs w:val="22"/>
                <w:u w:val="single"/>
              </w:rPr>
              <w:t>20304</w:t>
            </w:r>
          </w:p>
        </w:tc>
        <w:tc>
          <w:tcPr>
            <w:tcW w:w="578" w:type="pct"/>
            <w:hideMark/>
          </w:tcPr>
          <w:p w14:paraId="6C8D53FC"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04DBDB0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23521</w:t>
            </w:r>
          </w:p>
        </w:tc>
        <w:tc>
          <w:tcPr>
            <w:tcW w:w="1045" w:type="pct"/>
            <w:hideMark/>
          </w:tcPr>
          <w:p w14:paraId="016DF4A9" w14:textId="77777777" w:rsidR="00B15F7D" w:rsidRPr="00990FB6" w:rsidRDefault="00B15F7D" w:rsidP="00B15F7D">
            <w:pPr>
              <w:rPr>
                <w:sz w:val="22"/>
                <w:szCs w:val="22"/>
                <w:u w:val="single"/>
              </w:rPr>
            </w:pPr>
            <w:r w:rsidRPr="00990FB6">
              <w:rPr>
                <w:sz w:val="22"/>
                <w:szCs w:val="22"/>
                <w:u w:val="single"/>
              </w:rPr>
              <w:t>KIT MANTENIMIENTO IMPRESORA LEXMARK X656 DE</w:t>
            </w:r>
          </w:p>
        </w:tc>
        <w:tc>
          <w:tcPr>
            <w:tcW w:w="550" w:type="pct"/>
            <w:hideMark/>
          </w:tcPr>
          <w:p w14:paraId="724FA074" w14:textId="77777777" w:rsidR="00B15F7D" w:rsidRPr="00990FB6" w:rsidRDefault="00B15F7D" w:rsidP="00B15F7D">
            <w:pPr>
              <w:rPr>
                <w:sz w:val="22"/>
                <w:szCs w:val="22"/>
                <w:u w:val="single"/>
              </w:rPr>
            </w:pPr>
            <w:r w:rsidRPr="00990FB6">
              <w:rPr>
                <w:sz w:val="22"/>
                <w:szCs w:val="22"/>
                <w:u w:val="single"/>
              </w:rPr>
              <w:t>905.427,00</w:t>
            </w:r>
          </w:p>
        </w:tc>
        <w:tc>
          <w:tcPr>
            <w:tcW w:w="511" w:type="pct"/>
            <w:noWrap/>
            <w:hideMark/>
          </w:tcPr>
          <w:p w14:paraId="73CB70A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EADE5C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054C9CD"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w:t>
            </w:r>
            <w:proofErr w:type="gramStart"/>
            <w:r w:rsidRPr="00990FB6">
              <w:rPr>
                <w:sz w:val="22"/>
                <w:szCs w:val="22"/>
                <w:u w:val="single"/>
              </w:rPr>
              <w:t>Público .</w:t>
            </w:r>
            <w:proofErr w:type="gramEnd"/>
            <w:r w:rsidRPr="00990FB6">
              <w:rPr>
                <w:sz w:val="22"/>
                <w:szCs w:val="22"/>
                <w:u w:val="single"/>
              </w:rPr>
              <w:t xml:space="preserve">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diligencia de los trámites judiciales.    </w:t>
            </w:r>
          </w:p>
        </w:tc>
      </w:tr>
      <w:tr w:rsidR="00B15F7D" w:rsidRPr="00990FB6" w14:paraId="75CC7024" w14:textId="77777777" w:rsidTr="000A0C22">
        <w:trPr>
          <w:trHeight w:val="2900"/>
          <w:jc w:val="center"/>
        </w:trPr>
        <w:tc>
          <w:tcPr>
            <w:tcW w:w="583" w:type="pct"/>
            <w:hideMark/>
          </w:tcPr>
          <w:p w14:paraId="131F8EC8" w14:textId="77777777" w:rsidR="00B15F7D" w:rsidRPr="00990FB6" w:rsidRDefault="00B15F7D" w:rsidP="00B15F7D">
            <w:pPr>
              <w:rPr>
                <w:sz w:val="22"/>
                <w:szCs w:val="22"/>
                <w:u w:val="single"/>
              </w:rPr>
            </w:pPr>
            <w:r w:rsidRPr="00990FB6">
              <w:rPr>
                <w:sz w:val="22"/>
                <w:szCs w:val="22"/>
                <w:u w:val="single"/>
              </w:rPr>
              <w:lastRenderedPageBreak/>
              <w:t>20304</w:t>
            </w:r>
          </w:p>
        </w:tc>
        <w:tc>
          <w:tcPr>
            <w:tcW w:w="578" w:type="pct"/>
            <w:hideMark/>
          </w:tcPr>
          <w:p w14:paraId="3CB548F3"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11BC784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23676</w:t>
            </w:r>
          </w:p>
        </w:tc>
        <w:tc>
          <w:tcPr>
            <w:tcW w:w="1045" w:type="pct"/>
            <w:hideMark/>
          </w:tcPr>
          <w:p w14:paraId="065E37A0" w14:textId="77777777" w:rsidR="00B15F7D" w:rsidRPr="00990FB6" w:rsidRDefault="00B15F7D" w:rsidP="00B15F7D">
            <w:pPr>
              <w:rPr>
                <w:sz w:val="22"/>
                <w:szCs w:val="22"/>
                <w:u w:val="single"/>
              </w:rPr>
            </w:pPr>
            <w:r w:rsidRPr="00990FB6">
              <w:rPr>
                <w:sz w:val="22"/>
                <w:szCs w:val="22"/>
                <w:u w:val="single"/>
              </w:rPr>
              <w:t xml:space="preserve">KIT DE MANTENIMIENTO LEXMARK MS 711, 810, 811, 812 </w:t>
            </w:r>
            <w:proofErr w:type="spellStart"/>
            <w:r w:rsidRPr="00990FB6">
              <w:rPr>
                <w:sz w:val="22"/>
                <w:szCs w:val="22"/>
                <w:u w:val="single"/>
              </w:rPr>
              <w:t>N°PARTE</w:t>
            </w:r>
            <w:proofErr w:type="spellEnd"/>
            <w:r w:rsidRPr="00990FB6">
              <w:rPr>
                <w:sz w:val="22"/>
                <w:szCs w:val="22"/>
                <w:u w:val="single"/>
              </w:rPr>
              <w:t xml:space="preserve"> 4</w:t>
            </w:r>
          </w:p>
        </w:tc>
        <w:tc>
          <w:tcPr>
            <w:tcW w:w="550" w:type="pct"/>
            <w:hideMark/>
          </w:tcPr>
          <w:p w14:paraId="678898B7" w14:textId="77777777" w:rsidR="00B15F7D" w:rsidRPr="00990FB6" w:rsidRDefault="00B15F7D" w:rsidP="00B15F7D">
            <w:pPr>
              <w:rPr>
                <w:sz w:val="22"/>
                <w:szCs w:val="22"/>
                <w:u w:val="single"/>
              </w:rPr>
            </w:pPr>
            <w:r w:rsidRPr="00990FB6">
              <w:rPr>
                <w:sz w:val="22"/>
                <w:szCs w:val="22"/>
                <w:u w:val="single"/>
              </w:rPr>
              <w:t>2.821.997,00</w:t>
            </w:r>
          </w:p>
        </w:tc>
        <w:tc>
          <w:tcPr>
            <w:tcW w:w="511" w:type="pct"/>
            <w:noWrap/>
            <w:hideMark/>
          </w:tcPr>
          <w:p w14:paraId="7E57890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F30EEF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34C6BB3"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y prestación del servicio público.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atención de los trámites judiciales. No se dispondrá de recursos para adquirir los kit de mantenimiento para los equipos de impresión Lexmark asignados </w:t>
            </w:r>
            <w:proofErr w:type="gramStart"/>
            <w:r w:rsidRPr="00990FB6">
              <w:rPr>
                <w:sz w:val="22"/>
                <w:szCs w:val="22"/>
                <w:u w:val="single"/>
              </w:rPr>
              <w:t>a  las</w:t>
            </w:r>
            <w:proofErr w:type="gramEnd"/>
            <w:r w:rsidRPr="00990FB6">
              <w:rPr>
                <w:sz w:val="22"/>
                <w:szCs w:val="22"/>
                <w:u w:val="single"/>
              </w:rPr>
              <w:t xml:space="preserve"> fiscalías de  Desamparados, Hatillo, Puriscal, San Ramón, Cartago, Turrialba, Heredia, San Joaquín, Guanacaste, Pérez Zeledón, Limón, </w:t>
            </w:r>
            <w:r w:rsidRPr="00990FB6">
              <w:rPr>
                <w:sz w:val="22"/>
                <w:szCs w:val="22"/>
                <w:u w:val="single"/>
              </w:rPr>
              <w:lastRenderedPageBreak/>
              <w:t xml:space="preserve">Siquirres, Tarrazú, La Unión,  Sarapiquí, Cóbano, IC San José, Guatuso, Coto Brus, Garabito, Puerto Jiménez, Fraudes, Batán, Delincuencia Organizada, otros. Activos: 774511, 774516, 774532, 774534, 777854, 777856, 777867, 777868, 776814, 754112, 747560, 747567, 776813, 754111, 747603, 747611, 754112, 747600, otros. </w:t>
            </w:r>
          </w:p>
        </w:tc>
      </w:tr>
      <w:tr w:rsidR="00B15F7D" w:rsidRPr="00990FB6" w14:paraId="17AD5211" w14:textId="77777777" w:rsidTr="000A0C22">
        <w:trPr>
          <w:trHeight w:val="2900"/>
          <w:jc w:val="center"/>
        </w:trPr>
        <w:tc>
          <w:tcPr>
            <w:tcW w:w="583" w:type="pct"/>
            <w:hideMark/>
          </w:tcPr>
          <w:p w14:paraId="3EF7052C" w14:textId="77777777" w:rsidR="00B15F7D" w:rsidRPr="00990FB6" w:rsidRDefault="00B15F7D" w:rsidP="00B15F7D">
            <w:pPr>
              <w:rPr>
                <w:sz w:val="22"/>
                <w:szCs w:val="22"/>
                <w:u w:val="single"/>
              </w:rPr>
            </w:pPr>
            <w:r w:rsidRPr="00990FB6">
              <w:rPr>
                <w:sz w:val="22"/>
                <w:szCs w:val="22"/>
                <w:u w:val="single"/>
              </w:rPr>
              <w:lastRenderedPageBreak/>
              <w:t>20304</w:t>
            </w:r>
          </w:p>
        </w:tc>
        <w:tc>
          <w:tcPr>
            <w:tcW w:w="578" w:type="pct"/>
            <w:hideMark/>
          </w:tcPr>
          <w:p w14:paraId="258E38A3" w14:textId="77777777" w:rsidR="00B15F7D" w:rsidRPr="00990FB6" w:rsidRDefault="00B15F7D" w:rsidP="00B15F7D">
            <w:pPr>
              <w:rPr>
                <w:sz w:val="22"/>
                <w:szCs w:val="22"/>
                <w:u w:val="single"/>
              </w:rPr>
            </w:pPr>
            <w:r w:rsidRPr="00990FB6">
              <w:rPr>
                <w:sz w:val="22"/>
                <w:szCs w:val="22"/>
                <w:u w:val="single"/>
              </w:rPr>
              <w:t>Materiales y productos eléctricos, telefónicos y de cómputo</w:t>
            </w:r>
          </w:p>
        </w:tc>
        <w:tc>
          <w:tcPr>
            <w:tcW w:w="363" w:type="pct"/>
            <w:hideMark/>
          </w:tcPr>
          <w:p w14:paraId="5C1F7BE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24298</w:t>
            </w:r>
          </w:p>
        </w:tc>
        <w:tc>
          <w:tcPr>
            <w:tcW w:w="1045" w:type="pct"/>
            <w:hideMark/>
          </w:tcPr>
          <w:p w14:paraId="3EE18A69" w14:textId="77777777" w:rsidR="00B15F7D" w:rsidRPr="00990FB6" w:rsidRDefault="00B15F7D" w:rsidP="00B15F7D">
            <w:pPr>
              <w:rPr>
                <w:sz w:val="22"/>
                <w:szCs w:val="22"/>
                <w:u w:val="single"/>
              </w:rPr>
            </w:pPr>
            <w:r w:rsidRPr="00990FB6">
              <w:rPr>
                <w:sz w:val="22"/>
                <w:szCs w:val="22"/>
                <w:u w:val="single"/>
              </w:rPr>
              <w:t>KIT ADF PARA LEXMARK MODELOS MX711-MX811-MS8811</w:t>
            </w:r>
          </w:p>
        </w:tc>
        <w:tc>
          <w:tcPr>
            <w:tcW w:w="550" w:type="pct"/>
            <w:hideMark/>
          </w:tcPr>
          <w:p w14:paraId="6D87C624" w14:textId="77777777" w:rsidR="00B15F7D" w:rsidRPr="00990FB6" w:rsidRDefault="00B15F7D" w:rsidP="00B15F7D">
            <w:pPr>
              <w:rPr>
                <w:sz w:val="22"/>
                <w:szCs w:val="22"/>
                <w:u w:val="single"/>
              </w:rPr>
            </w:pPr>
            <w:r w:rsidRPr="00990FB6">
              <w:rPr>
                <w:sz w:val="22"/>
                <w:szCs w:val="22"/>
                <w:u w:val="single"/>
              </w:rPr>
              <w:t>1.101.750,00</w:t>
            </w:r>
          </w:p>
        </w:tc>
        <w:tc>
          <w:tcPr>
            <w:tcW w:w="511" w:type="pct"/>
            <w:noWrap/>
            <w:hideMark/>
          </w:tcPr>
          <w:p w14:paraId="0CC957C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3393B2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59EC9B7" w14:textId="77777777" w:rsidR="00B15F7D" w:rsidRPr="00990FB6" w:rsidRDefault="00B15F7D" w:rsidP="00F60AA2">
            <w:pPr>
              <w:jc w:val="both"/>
              <w:rPr>
                <w:sz w:val="22"/>
                <w:szCs w:val="22"/>
                <w:u w:val="single"/>
              </w:rPr>
            </w:pPr>
            <w:r w:rsidRPr="00990FB6">
              <w:rPr>
                <w:sz w:val="22"/>
                <w:szCs w:val="22"/>
                <w:u w:val="single"/>
              </w:rPr>
              <w:t xml:space="preserve">Afectación directa a la operatividad del Ministerio Público y prestación del servicio público. 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atención de los trámites judiciales. No se dispondrá de recursos para adquirir los kit de mantenimiento para los equipos de impresión Lexmark asignados </w:t>
            </w:r>
            <w:proofErr w:type="gramStart"/>
            <w:r w:rsidRPr="00990FB6">
              <w:rPr>
                <w:sz w:val="22"/>
                <w:szCs w:val="22"/>
                <w:u w:val="single"/>
              </w:rPr>
              <w:t>a  las</w:t>
            </w:r>
            <w:proofErr w:type="gramEnd"/>
            <w:r w:rsidRPr="00990FB6">
              <w:rPr>
                <w:sz w:val="22"/>
                <w:szCs w:val="22"/>
                <w:u w:val="single"/>
              </w:rPr>
              <w:t xml:space="preserve"> fiscalías de  Desamparados, Hatillo, Puriscal, San Ramón, Cartago, Turrialba, Heredia, San Joaquín, Guanacaste, Pérez Zeledón, Limón, </w:t>
            </w:r>
            <w:r w:rsidRPr="00990FB6">
              <w:rPr>
                <w:sz w:val="22"/>
                <w:szCs w:val="22"/>
                <w:u w:val="single"/>
              </w:rPr>
              <w:lastRenderedPageBreak/>
              <w:t xml:space="preserve">Siquirres, Tarrazú, La Unión,  Sarapiquí, Cóbano, IC San José, Guatuso, Coto Brus, Garabito, Puerto Jiménez, Fraudes, Batán, Delincuencia Organizada, otros. Activos: 774511, 774516, 774532, 774534, 777854, 777856, 777867, 777868, 776814, 754112, 747560, 747567, 776813, 754111, 747603, 747611, 754112, 747600, otros. </w:t>
            </w:r>
          </w:p>
        </w:tc>
      </w:tr>
      <w:tr w:rsidR="00B15F7D" w:rsidRPr="00990FB6" w14:paraId="6B84FB66" w14:textId="77777777" w:rsidTr="000A0C22">
        <w:trPr>
          <w:trHeight w:val="580"/>
          <w:jc w:val="center"/>
        </w:trPr>
        <w:tc>
          <w:tcPr>
            <w:tcW w:w="583" w:type="pct"/>
            <w:hideMark/>
          </w:tcPr>
          <w:p w14:paraId="6F320ED2" w14:textId="77777777" w:rsidR="00B15F7D" w:rsidRPr="00990FB6" w:rsidRDefault="00B15F7D" w:rsidP="00B15F7D">
            <w:pPr>
              <w:rPr>
                <w:sz w:val="22"/>
                <w:szCs w:val="22"/>
                <w:u w:val="single"/>
              </w:rPr>
            </w:pPr>
            <w:r w:rsidRPr="00990FB6">
              <w:rPr>
                <w:sz w:val="22"/>
                <w:szCs w:val="22"/>
                <w:u w:val="single"/>
              </w:rPr>
              <w:lastRenderedPageBreak/>
              <w:t>20305</w:t>
            </w:r>
          </w:p>
        </w:tc>
        <w:tc>
          <w:tcPr>
            <w:tcW w:w="578" w:type="pct"/>
            <w:hideMark/>
          </w:tcPr>
          <w:p w14:paraId="6E6F746A" w14:textId="77777777" w:rsidR="00B15F7D" w:rsidRPr="00990FB6" w:rsidRDefault="00B15F7D" w:rsidP="00B15F7D">
            <w:pPr>
              <w:rPr>
                <w:sz w:val="22"/>
                <w:szCs w:val="22"/>
                <w:u w:val="single"/>
              </w:rPr>
            </w:pPr>
            <w:r w:rsidRPr="00990FB6">
              <w:rPr>
                <w:sz w:val="22"/>
                <w:szCs w:val="22"/>
                <w:u w:val="single"/>
              </w:rPr>
              <w:t>Materiales y productos de vidrio</w:t>
            </w:r>
          </w:p>
        </w:tc>
        <w:tc>
          <w:tcPr>
            <w:tcW w:w="363" w:type="pct"/>
            <w:hideMark/>
          </w:tcPr>
          <w:p w14:paraId="44D1F68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12507</w:t>
            </w:r>
          </w:p>
        </w:tc>
        <w:tc>
          <w:tcPr>
            <w:tcW w:w="1045" w:type="pct"/>
            <w:hideMark/>
          </w:tcPr>
          <w:p w14:paraId="45EB61CC" w14:textId="77777777" w:rsidR="00B15F7D" w:rsidRPr="00990FB6" w:rsidRDefault="00B15F7D" w:rsidP="00B15F7D">
            <w:pPr>
              <w:rPr>
                <w:sz w:val="22"/>
                <w:szCs w:val="22"/>
                <w:u w:val="single"/>
              </w:rPr>
            </w:pPr>
            <w:r w:rsidRPr="00990FB6">
              <w:rPr>
                <w:sz w:val="22"/>
                <w:szCs w:val="22"/>
                <w:u w:val="single"/>
              </w:rPr>
              <w:t>CELOSIA (PALETA)</w:t>
            </w:r>
          </w:p>
        </w:tc>
        <w:tc>
          <w:tcPr>
            <w:tcW w:w="550" w:type="pct"/>
            <w:hideMark/>
          </w:tcPr>
          <w:p w14:paraId="7213B742" w14:textId="77777777" w:rsidR="00B15F7D" w:rsidRPr="00990FB6" w:rsidRDefault="00B15F7D" w:rsidP="00B15F7D">
            <w:pPr>
              <w:rPr>
                <w:sz w:val="22"/>
                <w:szCs w:val="22"/>
                <w:u w:val="single"/>
              </w:rPr>
            </w:pPr>
            <w:r w:rsidRPr="00990FB6">
              <w:rPr>
                <w:sz w:val="22"/>
                <w:szCs w:val="22"/>
                <w:u w:val="single"/>
              </w:rPr>
              <w:t>100.174,00</w:t>
            </w:r>
          </w:p>
        </w:tc>
        <w:tc>
          <w:tcPr>
            <w:tcW w:w="511" w:type="pct"/>
            <w:hideMark/>
          </w:tcPr>
          <w:p w14:paraId="796A4B3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DD59BD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6C91706"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w:t>
            </w:r>
            <w:r w:rsidRPr="00990FB6">
              <w:rPr>
                <w:sz w:val="22"/>
                <w:szCs w:val="22"/>
                <w:u w:val="single"/>
              </w:rPr>
              <w:lastRenderedPageBreak/>
              <w:t xml:space="preserve">posteriori en costos más onerosos. </w:t>
            </w:r>
          </w:p>
        </w:tc>
      </w:tr>
      <w:tr w:rsidR="00B15F7D" w:rsidRPr="00990FB6" w14:paraId="17C59E76" w14:textId="77777777" w:rsidTr="000A0C22">
        <w:trPr>
          <w:trHeight w:val="580"/>
          <w:jc w:val="center"/>
        </w:trPr>
        <w:tc>
          <w:tcPr>
            <w:tcW w:w="583" w:type="pct"/>
            <w:hideMark/>
          </w:tcPr>
          <w:p w14:paraId="67AD5710" w14:textId="77777777" w:rsidR="00B15F7D" w:rsidRPr="00990FB6" w:rsidRDefault="00B15F7D" w:rsidP="00B15F7D">
            <w:pPr>
              <w:rPr>
                <w:sz w:val="22"/>
                <w:szCs w:val="22"/>
                <w:u w:val="single"/>
              </w:rPr>
            </w:pPr>
            <w:r w:rsidRPr="00990FB6">
              <w:rPr>
                <w:sz w:val="22"/>
                <w:szCs w:val="22"/>
                <w:u w:val="single"/>
              </w:rPr>
              <w:lastRenderedPageBreak/>
              <w:t>20306</w:t>
            </w:r>
          </w:p>
        </w:tc>
        <w:tc>
          <w:tcPr>
            <w:tcW w:w="578" w:type="pct"/>
            <w:hideMark/>
          </w:tcPr>
          <w:p w14:paraId="7FF1E6F0" w14:textId="77777777" w:rsidR="00B15F7D" w:rsidRPr="00990FB6" w:rsidRDefault="00B15F7D" w:rsidP="00B15F7D">
            <w:pPr>
              <w:rPr>
                <w:sz w:val="22"/>
                <w:szCs w:val="22"/>
                <w:u w:val="single"/>
              </w:rPr>
            </w:pPr>
            <w:r w:rsidRPr="00990FB6">
              <w:rPr>
                <w:sz w:val="22"/>
                <w:szCs w:val="22"/>
                <w:u w:val="single"/>
              </w:rPr>
              <w:t>Materiales y productos de plástico</w:t>
            </w:r>
          </w:p>
        </w:tc>
        <w:tc>
          <w:tcPr>
            <w:tcW w:w="363" w:type="pct"/>
            <w:hideMark/>
          </w:tcPr>
          <w:p w14:paraId="7E35752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12543</w:t>
            </w:r>
          </w:p>
        </w:tc>
        <w:tc>
          <w:tcPr>
            <w:tcW w:w="1045" w:type="pct"/>
            <w:hideMark/>
          </w:tcPr>
          <w:p w14:paraId="63DB5B36" w14:textId="77777777" w:rsidR="00B15F7D" w:rsidRPr="00990FB6" w:rsidRDefault="00B15F7D" w:rsidP="00B15F7D">
            <w:pPr>
              <w:rPr>
                <w:sz w:val="22"/>
                <w:szCs w:val="22"/>
                <w:u w:val="single"/>
              </w:rPr>
            </w:pPr>
            <w:r w:rsidRPr="00990FB6">
              <w:rPr>
                <w:sz w:val="22"/>
                <w:szCs w:val="22"/>
                <w:u w:val="single"/>
              </w:rPr>
              <w:t>TUBO DE ABASTO PARA LAVATORIO</w:t>
            </w:r>
          </w:p>
        </w:tc>
        <w:tc>
          <w:tcPr>
            <w:tcW w:w="550" w:type="pct"/>
            <w:hideMark/>
          </w:tcPr>
          <w:p w14:paraId="714719EE" w14:textId="77777777" w:rsidR="00B15F7D" w:rsidRPr="00990FB6" w:rsidRDefault="00B15F7D" w:rsidP="00B15F7D">
            <w:pPr>
              <w:rPr>
                <w:sz w:val="22"/>
                <w:szCs w:val="22"/>
                <w:u w:val="single"/>
              </w:rPr>
            </w:pPr>
            <w:r w:rsidRPr="00990FB6">
              <w:rPr>
                <w:sz w:val="22"/>
                <w:szCs w:val="22"/>
                <w:u w:val="single"/>
              </w:rPr>
              <w:t>3.373,00</w:t>
            </w:r>
          </w:p>
        </w:tc>
        <w:tc>
          <w:tcPr>
            <w:tcW w:w="511" w:type="pct"/>
            <w:noWrap/>
            <w:hideMark/>
          </w:tcPr>
          <w:p w14:paraId="4FBAAE34"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7B9ECB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2BAEA91"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32A5DD86" w14:textId="77777777" w:rsidTr="000A0C22">
        <w:trPr>
          <w:trHeight w:val="580"/>
          <w:jc w:val="center"/>
        </w:trPr>
        <w:tc>
          <w:tcPr>
            <w:tcW w:w="583" w:type="pct"/>
            <w:hideMark/>
          </w:tcPr>
          <w:p w14:paraId="135CC9EB" w14:textId="77777777" w:rsidR="00B15F7D" w:rsidRPr="00990FB6" w:rsidRDefault="00B15F7D" w:rsidP="00B15F7D">
            <w:pPr>
              <w:rPr>
                <w:sz w:val="22"/>
                <w:szCs w:val="22"/>
                <w:u w:val="single"/>
              </w:rPr>
            </w:pPr>
            <w:r w:rsidRPr="00990FB6">
              <w:rPr>
                <w:sz w:val="22"/>
                <w:szCs w:val="22"/>
                <w:u w:val="single"/>
              </w:rPr>
              <w:t>20306</w:t>
            </w:r>
          </w:p>
        </w:tc>
        <w:tc>
          <w:tcPr>
            <w:tcW w:w="578" w:type="pct"/>
            <w:hideMark/>
          </w:tcPr>
          <w:p w14:paraId="69BB06EC" w14:textId="77777777" w:rsidR="00B15F7D" w:rsidRPr="00990FB6" w:rsidRDefault="00B15F7D" w:rsidP="00B15F7D">
            <w:pPr>
              <w:rPr>
                <w:sz w:val="22"/>
                <w:szCs w:val="22"/>
                <w:u w:val="single"/>
              </w:rPr>
            </w:pPr>
            <w:r w:rsidRPr="00990FB6">
              <w:rPr>
                <w:sz w:val="22"/>
                <w:szCs w:val="22"/>
                <w:u w:val="single"/>
              </w:rPr>
              <w:t>Materiales y productos de plástico</w:t>
            </w:r>
          </w:p>
        </w:tc>
        <w:tc>
          <w:tcPr>
            <w:tcW w:w="363" w:type="pct"/>
            <w:hideMark/>
          </w:tcPr>
          <w:p w14:paraId="470581A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12550</w:t>
            </w:r>
          </w:p>
        </w:tc>
        <w:tc>
          <w:tcPr>
            <w:tcW w:w="1045" w:type="pct"/>
            <w:hideMark/>
          </w:tcPr>
          <w:p w14:paraId="394C7994" w14:textId="77777777" w:rsidR="00B15F7D" w:rsidRPr="00990FB6" w:rsidRDefault="00B15F7D" w:rsidP="00B15F7D">
            <w:pPr>
              <w:rPr>
                <w:sz w:val="22"/>
                <w:szCs w:val="22"/>
                <w:u w:val="single"/>
              </w:rPr>
            </w:pPr>
            <w:r w:rsidRPr="00990FB6">
              <w:rPr>
                <w:sz w:val="22"/>
                <w:szCs w:val="22"/>
                <w:u w:val="single"/>
              </w:rPr>
              <w:t>SIFON PARA LAVATORIO</w:t>
            </w:r>
          </w:p>
        </w:tc>
        <w:tc>
          <w:tcPr>
            <w:tcW w:w="550" w:type="pct"/>
            <w:hideMark/>
          </w:tcPr>
          <w:p w14:paraId="45E0F14A" w14:textId="77777777" w:rsidR="00B15F7D" w:rsidRPr="00990FB6" w:rsidRDefault="00B15F7D" w:rsidP="00B15F7D">
            <w:pPr>
              <w:rPr>
                <w:sz w:val="22"/>
                <w:szCs w:val="22"/>
                <w:u w:val="single"/>
              </w:rPr>
            </w:pPr>
            <w:r w:rsidRPr="00990FB6">
              <w:rPr>
                <w:sz w:val="22"/>
                <w:szCs w:val="22"/>
                <w:u w:val="single"/>
              </w:rPr>
              <w:t>183.985,00</w:t>
            </w:r>
          </w:p>
        </w:tc>
        <w:tc>
          <w:tcPr>
            <w:tcW w:w="511" w:type="pct"/>
            <w:noWrap/>
            <w:hideMark/>
          </w:tcPr>
          <w:p w14:paraId="61958B8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115DC1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EA8F402"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7BF2ACA9" w14:textId="77777777" w:rsidTr="000A0C22">
        <w:trPr>
          <w:trHeight w:val="580"/>
          <w:jc w:val="center"/>
        </w:trPr>
        <w:tc>
          <w:tcPr>
            <w:tcW w:w="583" w:type="pct"/>
            <w:hideMark/>
          </w:tcPr>
          <w:p w14:paraId="20302DA1" w14:textId="77777777" w:rsidR="00B15F7D" w:rsidRPr="00990FB6" w:rsidRDefault="00B15F7D" w:rsidP="00B15F7D">
            <w:pPr>
              <w:rPr>
                <w:sz w:val="22"/>
                <w:szCs w:val="22"/>
                <w:u w:val="single"/>
              </w:rPr>
            </w:pPr>
            <w:r w:rsidRPr="00990FB6">
              <w:rPr>
                <w:sz w:val="22"/>
                <w:szCs w:val="22"/>
                <w:u w:val="single"/>
              </w:rPr>
              <w:t>20306</w:t>
            </w:r>
          </w:p>
        </w:tc>
        <w:tc>
          <w:tcPr>
            <w:tcW w:w="578" w:type="pct"/>
            <w:hideMark/>
          </w:tcPr>
          <w:p w14:paraId="73534C0E" w14:textId="77777777" w:rsidR="00B15F7D" w:rsidRPr="00990FB6" w:rsidRDefault="00B15F7D" w:rsidP="00B15F7D">
            <w:pPr>
              <w:rPr>
                <w:sz w:val="22"/>
                <w:szCs w:val="22"/>
                <w:u w:val="single"/>
              </w:rPr>
            </w:pPr>
            <w:r w:rsidRPr="00990FB6">
              <w:rPr>
                <w:sz w:val="22"/>
                <w:szCs w:val="22"/>
                <w:u w:val="single"/>
              </w:rPr>
              <w:t>Materiales y productos de plástico</w:t>
            </w:r>
          </w:p>
        </w:tc>
        <w:tc>
          <w:tcPr>
            <w:tcW w:w="363" w:type="pct"/>
            <w:hideMark/>
          </w:tcPr>
          <w:p w14:paraId="5D99BBB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12559</w:t>
            </w:r>
          </w:p>
        </w:tc>
        <w:tc>
          <w:tcPr>
            <w:tcW w:w="1045" w:type="pct"/>
            <w:hideMark/>
          </w:tcPr>
          <w:p w14:paraId="6DC3DE81" w14:textId="77777777" w:rsidR="00B15F7D" w:rsidRPr="00990FB6" w:rsidRDefault="00B15F7D" w:rsidP="00B15F7D">
            <w:pPr>
              <w:rPr>
                <w:sz w:val="22"/>
                <w:szCs w:val="22"/>
                <w:u w:val="single"/>
              </w:rPr>
            </w:pPr>
            <w:r w:rsidRPr="00990FB6">
              <w:rPr>
                <w:sz w:val="22"/>
                <w:szCs w:val="22"/>
                <w:u w:val="single"/>
              </w:rPr>
              <w:t xml:space="preserve">MANGUERA </w:t>
            </w:r>
          </w:p>
        </w:tc>
        <w:tc>
          <w:tcPr>
            <w:tcW w:w="550" w:type="pct"/>
            <w:hideMark/>
          </w:tcPr>
          <w:p w14:paraId="0E3BF872" w14:textId="77777777" w:rsidR="00B15F7D" w:rsidRPr="00990FB6" w:rsidRDefault="00B15F7D" w:rsidP="00B15F7D">
            <w:pPr>
              <w:rPr>
                <w:sz w:val="22"/>
                <w:szCs w:val="22"/>
                <w:u w:val="single"/>
              </w:rPr>
            </w:pPr>
            <w:r w:rsidRPr="00990FB6">
              <w:rPr>
                <w:sz w:val="22"/>
                <w:szCs w:val="22"/>
                <w:u w:val="single"/>
              </w:rPr>
              <w:t>79.193,00</w:t>
            </w:r>
          </w:p>
        </w:tc>
        <w:tc>
          <w:tcPr>
            <w:tcW w:w="511" w:type="pct"/>
            <w:noWrap/>
            <w:hideMark/>
          </w:tcPr>
          <w:p w14:paraId="2DB6F16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E56C00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11273D6"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686FB903" w14:textId="77777777" w:rsidTr="000A0C22">
        <w:trPr>
          <w:trHeight w:val="580"/>
          <w:jc w:val="center"/>
        </w:trPr>
        <w:tc>
          <w:tcPr>
            <w:tcW w:w="583" w:type="pct"/>
            <w:hideMark/>
          </w:tcPr>
          <w:p w14:paraId="27D6BA05" w14:textId="77777777" w:rsidR="00B15F7D" w:rsidRPr="00990FB6" w:rsidRDefault="00B15F7D" w:rsidP="00B15F7D">
            <w:pPr>
              <w:rPr>
                <w:sz w:val="22"/>
                <w:szCs w:val="22"/>
                <w:u w:val="single"/>
              </w:rPr>
            </w:pPr>
            <w:r w:rsidRPr="00990FB6">
              <w:rPr>
                <w:sz w:val="22"/>
                <w:szCs w:val="22"/>
                <w:u w:val="single"/>
              </w:rPr>
              <w:lastRenderedPageBreak/>
              <w:t>20399</w:t>
            </w:r>
          </w:p>
        </w:tc>
        <w:tc>
          <w:tcPr>
            <w:tcW w:w="578" w:type="pct"/>
            <w:hideMark/>
          </w:tcPr>
          <w:p w14:paraId="73AB1792" w14:textId="77777777" w:rsidR="00B15F7D" w:rsidRPr="00990FB6" w:rsidRDefault="00B15F7D" w:rsidP="00B15F7D">
            <w:pPr>
              <w:rPr>
                <w:sz w:val="22"/>
                <w:szCs w:val="22"/>
                <w:u w:val="single"/>
              </w:rPr>
            </w:pPr>
            <w:r w:rsidRPr="00990FB6">
              <w:rPr>
                <w:sz w:val="22"/>
                <w:szCs w:val="22"/>
                <w:u w:val="single"/>
              </w:rPr>
              <w:t>Otros materiales y productos de uso en la construcción</w:t>
            </w:r>
          </w:p>
        </w:tc>
        <w:tc>
          <w:tcPr>
            <w:tcW w:w="363" w:type="pct"/>
            <w:hideMark/>
          </w:tcPr>
          <w:p w14:paraId="05B4405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12800</w:t>
            </w:r>
          </w:p>
        </w:tc>
        <w:tc>
          <w:tcPr>
            <w:tcW w:w="1045" w:type="pct"/>
            <w:hideMark/>
          </w:tcPr>
          <w:p w14:paraId="6F16013B" w14:textId="77777777" w:rsidR="00B15F7D" w:rsidRPr="00990FB6" w:rsidRDefault="00B15F7D" w:rsidP="00B15F7D">
            <w:pPr>
              <w:rPr>
                <w:sz w:val="22"/>
                <w:szCs w:val="22"/>
                <w:u w:val="single"/>
              </w:rPr>
            </w:pPr>
            <w:r w:rsidRPr="00990FB6">
              <w:rPr>
                <w:sz w:val="22"/>
                <w:szCs w:val="22"/>
                <w:u w:val="single"/>
              </w:rPr>
              <w:t xml:space="preserve">LLAVE SENCILLA PARA LAVATORIO </w:t>
            </w:r>
          </w:p>
        </w:tc>
        <w:tc>
          <w:tcPr>
            <w:tcW w:w="550" w:type="pct"/>
            <w:hideMark/>
          </w:tcPr>
          <w:p w14:paraId="3A3A1F48" w14:textId="77777777" w:rsidR="00B15F7D" w:rsidRPr="00990FB6" w:rsidRDefault="00B15F7D" w:rsidP="00B15F7D">
            <w:pPr>
              <w:rPr>
                <w:sz w:val="22"/>
                <w:szCs w:val="22"/>
                <w:u w:val="single"/>
              </w:rPr>
            </w:pPr>
            <w:r w:rsidRPr="00990FB6">
              <w:rPr>
                <w:sz w:val="22"/>
                <w:szCs w:val="22"/>
                <w:u w:val="single"/>
              </w:rPr>
              <w:t>65.088,00</w:t>
            </w:r>
          </w:p>
        </w:tc>
        <w:tc>
          <w:tcPr>
            <w:tcW w:w="511" w:type="pct"/>
            <w:hideMark/>
          </w:tcPr>
          <w:p w14:paraId="62CEE7E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6A314C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96024C7"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5BD520E9" w14:textId="77777777" w:rsidTr="000A0C22">
        <w:trPr>
          <w:trHeight w:val="580"/>
          <w:jc w:val="center"/>
        </w:trPr>
        <w:tc>
          <w:tcPr>
            <w:tcW w:w="583" w:type="pct"/>
            <w:hideMark/>
          </w:tcPr>
          <w:p w14:paraId="21199650" w14:textId="77777777" w:rsidR="00B15F7D" w:rsidRPr="00990FB6" w:rsidRDefault="00B15F7D" w:rsidP="00B15F7D">
            <w:pPr>
              <w:rPr>
                <w:sz w:val="22"/>
                <w:szCs w:val="22"/>
                <w:u w:val="single"/>
              </w:rPr>
            </w:pPr>
            <w:r w:rsidRPr="00990FB6">
              <w:rPr>
                <w:sz w:val="22"/>
                <w:szCs w:val="22"/>
                <w:u w:val="single"/>
              </w:rPr>
              <w:t>20399</w:t>
            </w:r>
          </w:p>
        </w:tc>
        <w:tc>
          <w:tcPr>
            <w:tcW w:w="578" w:type="pct"/>
            <w:hideMark/>
          </w:tcPr>
          <w:p w14:paraId="6DA835F4" w14:textId="77777777" w:rsidR="00B15F7D" w:rsidRPr="00990FB6" w:rsidRDefault="00B15F7D" w:rsidP="00B15F7D">
            <w:pPr>
              <w:rPr>
                <w:sz w:val="22"/>
                <w:szCs w:val="22"/>
                <w:u w:val="single"/>
              </w:rPr>
            </w:pPr>
            <w:r w:rsidRPr="00990FB6">
              <w:rPr>
                <w:sz w:val="22"/>
                <w:szCs w:val="22"/>
                <w:u w:val="single"/>
              </w:rPr>
              <w:t>Otros materiales y productos de uso en la construcción</w:t>
            </w:r>
          </w:p>
        </w:tc>
        <w:tc>
          <w:tcPr>
            <w:tcW w:w="363" w:type="pct"/>
            <w:hideMark/>
          </w:tcPr>
          <w:p w14:paraId="692AC90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13892</w:t>
            </w:r>
          </w:p>
        </w:tc>
        <w:tc>
          <w:tcPr>
            <w:tcW w:w="1045" w:type="pct"/>
            <w:hideMark/>
          </w:tcPr>
          <w:p w14:paraId="296DEC7A" w14:textId="77777777" w:rsidR="00B15F7D" w:rsidRPr="00990FB6" w:rsidRDefault="00B15F7D" w:rsidP="00B15F7D">
            <w:pPr>
              <w:rPr>
                <w:sz w:val="22"/>
                <w:szCs w:val="22"/>
                <w:u w:val="single"/>
              </w:rPr>
            </w:pPr>
            <w:r w:rsidRPr="00990FB6">
              <w:rPr>
                <w:sz w:val="22"/>
                <w:szCs w:val="22"/>
                <w:u w:val="single"/>
              </w:rPr>
              <w:t>ASIENTO INODORO REDONDO</w:t>
            </w:r>
          </w:p>
        </w:tc>
        <w:tc>
          <w:tcPr>
            <w:tcW w:w="550" w:type="pct"/>
            <w:hideMark/>
          </w:tcPr>
          <w:p w14:paraId="7915D83D" w14:textId="77777777" w:rsidR="00B15F7D" w:rsidRPr="00990FB6" w:rsidRDefault="00B15F7D" w:rsidP="00B15F7D">
            <w:pPr>
              <w:rPr>
                <w:sz w:val="22"/>
                <w:szCs w:val="22"/>
                <w:u w:val="single"/>
              </w:rPr>
            </w:pPr>
            <w:r w:rsidRPr="00990FB6">
              <w:rPr>
                <w:sz w:val="22"/>
                <w:szCs w:val="22"/>
                <w:u w:val="single"/>
              </w:rPr>
              <w:t>30.695,00</w:t>
            </w:r>
          </w:p>
        </w:tc>
        <w:tc>
          <w:tcPr>
            <w:tcW w:w="511" w:type="pct"/>
            <w:hideMark/>
          </w:tcPr>
          <w:p w14:paraId="561586C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2E092C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C6BBA41"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50F123DC" w14:textId="77777777" w:rsidTr="000A0C22">
        <w:trPr>
          <w:trHeight w:val="580"/>
          <w:jc w:val="center"/>
        </w:trPr>
        <w:tc>
          <w:tcPr>
            <w:tcW w:w="583" w:type="pct"/>
            <w:hideMark/>
          </w:tcPr>
          <w:p w14:paraId="1A5C678F" w14:textId="77777777" w:rsidR="00B15F7D" w:rsidRPr="00990FB6" w:rsidRDefault="00B15F7D" w:rsidP="00B15F7D">
            <w:pPr>
              <w:rPr>
                <w:sz w:val="22"/>
                <w:szCs w:val="22"/>
                <w:u w:val="single"/>
              </w:rPr>
            </w:pPr>
            <w:r w:rsidRPr="00990FB6">
              <w:rPr>
                <w:sz w:val="22"/>
                <w:szCs w:val="22"/>
                <w:u w:val="single"/>
              </w:rPr>
              <w:t>20399</w:t>
            </w:r>
          </w:p>
        </w:tc>
        <w:tc>
          <w:tcPr>
            <w:tcW w:w="578" w:type="pct"/>
            <w:hideMark/>
          </w:tcPr>
          <w:p w14:paraId="65FD956A" w14:textId="77777777" w:rsidR="00B15F7D" w:rsidRPr="00990FB6" w:rsidRDefault="00B15F7D" w:rsidP="00B15F7D">
            <w:pPr>
              <w:rPr>
                <w:sz w:val="22"/>
                <w:szCs w:val="22"/>
                <w:u w:val="single"/>
              </w:rPr>
            </w:pPr>
            <w:r w:rsidRPr="00990FB6">
              <w:rPr>
                <w:sz w:val="22"/>
                <w:szCs w:val="22"/>
                <w:u w:val="single"/>
              </w:rPr>
              <w:t>Otros materiales y productos de uso en la construcción</w:t>
            </w:r>
          </w:p>
        </w:tc>
        <w:tc>
          <w:tcPr>
            <w:tcW w:w="363" w:type="pct"/>
            <w:hideMark/>
          </w:tcPr>
          <w:p w14:paraId="4C59F3C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19567</w:t>
            </w:r>
          </w:p>
        </w:tc>
        <w:tc>
          <w:tcPr>
            <w:tcW w:w="1045" w:type="pct"/>
            <w:hideMark/>
          </w:tcPr>
          <w:p w14:paraId="31E8EA56" w14:textId="77777777" w:rsidR="00B15F7D" w:rsidRPr="00990FB6" w:rsidRDefault="00B15F7D" w:rsidP="00B15F7D">
            <w:pPr>
              <w:rPr>
                <w:sz w:val="22"/>
                <w:szCs w:val="22"/>
                <w:u w:val="single"/>
              </w:rPr>
            </w:pPr>
            <w:r w:rsidRPr="00990FB6">
              <w:rPr>
                <w:sz w:val="22"/>
                <w:szCs w:val="22"/>
                <w:u w:val="single"/>
              </w:rPr>
              <w:t>OTROS MATERIALES Y PRODUCTOS DE USO EN LA CONSTRUCCION</w:t>
            </w:r>
          </w:p>
        </w:tc>
        <w:tc>
          <w:tcPr>
            <w:tcW w:w="550" w:type="pct"/>
            <w:hideMark/>
          </w:tcPr>
          <w:p w14:paraId="4F72BA0F" w14:textId="77777777" w:rsidR="00B15F7D" w:rsidRPr="00990FB6" w:rsidRDefault="00B15F7D" w:rsidP="00B15F7D">
            <w:pPr>
              <w:rPr>
                <w:sz w:val="22"/>
                <w:szCs w:val="22"/>
                <w:u w:val="single"/>
              </w:rPr>
            </w:pPr>
            <w:r w:rsidRPr="00990FB6">
              <w:rPr>
                <w:sz w:val="22"/>
                <w:szCs w:val="22"/>
                <w:u w:val="single"/>
              </w:rPr>
              <w:t>422.000,00</w:t>
            </w:r>
          </w:p>
        </w:tc>
        <w:tc>
          <w:tcPr>
            <w:tcW w:w="511" w:type="pct"/>
            <w:hideMark/>
          </w:tcPr>
          <w:p w14:paraId="7F58C2F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B3C5EB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6096194"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70C41395" w14:textId="77777777" w:rsidTr="000A0C22">
        <w:trPr>
          <w:trHeight w:val="580"/>
          <w:jc w:val="center"/>
        </w:trPr>
        <w:tc>
          <w:tcPr>
            <w:tcW w:w="583" w:type="pct"/>
            <w:hideMark/>
          </w:tcPr>
          <w:p w14:paraId="4DF9987F" w14:textId="77777777" w:rsidR="00B15F7D" w:rsidRPr="00990FB6" w:rsidRDefault="00B15F7D" w:rsidP="00B15F7D">
            <w:pPr>
              <w:rPr>
                <w:sz w:val="22"/>
                <w:szCs w:val="22"/>
                <w:u w:val="single"/>
              </w:rPr>
            </w:pPr>
            <w:r w:rsidRPr="00990FB6">
              <w:rPr>
                <w:sz w:val="22"/>
                <w:szCs w:val="22"/>
                <w:u w:val="single"/>
              </w:rPr>
              <w:t>20401</w:t>
            </w:r>
          </w:p>
        </w:tc>
        <w:tc>
          <w:tcPr>
            <w:tcW w:w="578" w:type="pct"/>
            <w:hideMark/>
          </w:tcPr>
          <w:p w14:paraId="7B5C175A" w14:textId="77777777" w:rsidR="00B15F7D" w:rsidRPr="00990FB6" w:rsidRDefault="00B15F7D" w:rsidP="00B15F7D">
            <w:pPr>
              <w:rPr>
                <w:sz w:val="22"/>
                <w:szCs w:val="22"/>
                <w:u w:val="single"/>
              </w:rPr>
            </w:pPr>
            <w:r w:rsidRPr="00990FB6">
              <w:rPr>
                <w:sz w:val="22"/>
                <w:szCs w:val="22"/>
                <w:u w:val="single"/>
              </w:rPr>
              <w:t>Herramientas e instrumentos</w:t>
            </w:r>
          </w:p>
        </w:tc>
        <w:tc>
          <w:tcPr>
            <w:tcW w:w="363" w:type="pct"/>
            <w:hideMark/>
          </w:tcPr>
          <w:p w14:paraId="16F8C20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12860</w:t>
            </w:r>
          </w:p>
        </w:tc>
        <w:tc>
          <w:tcPr>
            <w:tcW w:w="1045" w:type="pct"/>
            <w:hideMark/>
          </w:tcPr>
          <w:p w14:paraId="60380A10" w14:textId="77777777" w:rsidR="00B15F7D" w:rsidRPr="00990FB6" w:rsidRDefault="00B15F7D" w:rsidP="00B15F7D">
            <w:pPr>
              <w:rPr>
                <w:sz w:val="22"/>
                <w:szCs w:val="22"/>
                <w:u w:val="single"/>
              </w:rPr>
            </w:pPr>
            <w:r w:rsidRPr="00990FB6">
              <w:rPr>
                <w:sz w:val="22"/>
                <w:szCs w:val="22"/>
                <w:u w:val="single"/>
              </w:rPr>
              <w:t>BROCHA</w:t>
            </w:r>
          </w:p>
        </w:tc>
        <w:tc>
          <w:tcPr>
            <w:tcW w:w="550" w:type="pct"/>
            <w:hideMark/>
          </w:tcPr>
          <w:p w14:paraId="60E6F641" w14:textId="77777777" w:rsidR="00B15F7D" w:rsidRPr="00990FB6" w:rsidRDefault="00B15F7D" w:rsidP="00B15F7D">
            <w:pPr>
              <w:rPr>
                <w:sz w:val="22"/>
                <w:szCs w:val="22"/>
                <w:u w:val="single"/>
              </w:rPr>
            </w:pPr>
            <w:r w:rsidRPr="00990FB6">
              <w:rPr>
                <w:sz w:val="22"/>
                <w:szCs w:val="22"/>
                <w:u w:val="single"/>
              </w:rPr>
              <w:t>17.331,00</w:t>
            </w:r>
          </w:p>
        </w:tc>
        <w:tc>
          <w:tcPr>
            <w:tcW w:w="511" w:type="pct"/>
            <w:hideMark/>
          </w:tcPr>
          <w:p w14:paraId="178211C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3F0C3E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699439F"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w:t>
            </w:r>
            <w:r w:rsidRPr="00990FB6">
              <w:rPr>
                <w:sz w:val="22"/>
                <w:szCs w:val="22"/>
                <w:u w:val="single"/>
              </w:rPr>
              <w:lastRenderedPageBreak/>
              <w:t xml:space="preserve">medios para la atención de reparaciones menores, se traduce a posteriori en costos más onerosos. </w:t>
            </w:r>
          </w:p>
        </w:tc>
      </w:tr>
      <w:tr w:rsidR="00B15F7D" w:rsidRPr="00990FB6" w14:paraId="77D255BF" w14:textId="77777777" w:rsidTr="000A0C22">
        <w:trPr>
          <w:trHeight w:val="290"/>
          <w:jc w:val="center"/>
        </w:trPr>
        <w:tc>
          <w:tcPr>
            <w:tcW w:w="583" w:type="pct"/>
            <w:hideMark/>
          </w:tcPr>
          <w:p w14:paraId="2D303FD4" w14:textId="77777777" w:rsidR="00B15F7D" w:rsidRPr="00990FB6" w:rsidRDefault="00B15F7D" w:rsidP="00B15F7D">
            <w:pPr>
              <w:rPr>
                <w:sz w:val="22"/>
                <w:szCs w:val="22"/>
                <w:u w:val="single"/>
              </w:rPr>
            </w:pPr>
            <w:r w:rsidRPr="00990FB6">
              <w:rPr>
                <w:sz w:val="22"/>
                <w:szCs w:val="22"/>
                <w:u w:val="single"/>
              </w:rPr>
              <w:lastRenderedPageBreak/>
              <w:t>20401</w:t>
            </w:r>
          </w:p>
        </w:tc>
        <w:tc>
          <w:tcPr>
            <w:tcW w:w="578" w:type="pct"/>
            <w:hideMark/>
          </w:tcPr>
          <w:p w14:paraId="2F0D75DE" w14:textId="77777777" w:rsidR="00B15F7D" w:rsidRPr="00990FB6" w:rsidRDefault="00B15F7D" w:rsidP="00B15F7D">
            <w:pPr>
              <w:rPr>
                <w:sz w:val="22"/>
                <w:szCs w:val="22"/>
                <w:u w:val="single"/>
              </w:rPr>
            </w:pPr>
            <w:r w:rsidRPr="00990FB6">
              <w:rPr>
                <w:sz w:val="22"/>
                <w:szCs w:val="22"/>
                <w:u w:val="single"/>
              </w:rPr>
              <w:t>Herramientas e instrumentos</w:t>
            </w:r>
          </w:p>
        </w:tc>
        <w:tc>
          <w:tcPr>
            <w:tcW w:w="363" w:type="pct"/>
            <w:hideMark/>
          </w:tcPr>
          <w:p w14:paraId="326F94E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12875</w:t>
            </w:r>
          </w:p>
        </w:tc>
        <w:tc>
          <w:tcPr>
            <w:tcW w:w="1045" w:type="pct"/>
            <w:hideMark/>
          </w:tcPr>
          <w:p w14:paraId="7DB10250" w14:textId="77777777" w:rsidR="00B15F7D" w:rsidRPr="00990FB6" w:rsidRDefault="00B15F7D" w:rsidP="00B15F7D">
            <w:pPr>
              <w:rPr>
                <w:sz w:val="22"/>
                <w:szCs w:val="22"/>
                <w:u w:val="single"/>
              </w:rPr>
            </w:pPr>
            <w:r w:rsidRPr="00990FB6">
              <w:rPr>
                <w:sz w:val="22"/>
                <w:szCs w:val="22"/>
                <w:u w:val="single"/>
              </w:rPr>
              <w:t>GUILLOTINA DE USO MANUAL</w:t>
            </w:r>
          </w:p>
        </w:tc>
        <w:tc>
          <w:tcPr>
            <w:tcW w:w="550" w:type="pct"/>
            <w:hideMark/>
          </w:tcPr>
          <w:p w14:paraId="0AB2BC70" w14:textId="77777777" w:rsidR="00B15F7D" w:rsidRPr="00990FB6" w:rsidRDefault="00B15F7D" w:rsidP="00B15F7D">
            <w:pPr>
              <w:rPr>
                <w:sz w:val="22"/>
                <w:szCs w:val="22"/>
                <w:u w:val="single"/>
              </w:rPr>
            </w:pPr>
            <w:r w:rsidRPr="00990FB6">
              <w:rPr>
                <w:sz w:val="22"/>
                <w:szCs w:val="22"/>
                <w:u w:val="single"/>
              </w:rPr>
              <w:t>22.059,00</w:t>
            </w:r>
          </w:p>
        </w:tc>
        <w:tc>
          <w:tcPr>
            <w:tcW w:w="511" w:type="pct"/>
            <w:hideMark/>
          </w:tcPr>
          <w:p w14:paraId="05F3D47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62A2FB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B758DEB" w14:textId="77777777" w:rsidR="00B15F7D" w:rsidRPr="00990FB6" w:rsidRDefault="00B15F7D" w:rsidP="00F60AA2">
            <w:pPr>
              <w:jc w:val="both"/>
              <w:rPr>
                <w:sz w:val="22"/>
                <w:szCs w:val="22"/>
                <w:u w:val="single"/>
              </w:rPr>
            </w:pPr>
            <w:r w:rsidRPr="00990FB6">
              <w:rPr>
                <w:sz w:val="22"/>
                <w:szCs w:val="22"/>
                <w:u w:val="single"/>
              </w:rPr>
              <w:t> </w:t>
            </w:r>
          </w:p>
        </w:tc>
      </w:tr>
      <w:tr w:rsidR="00B15F7D" w:rsidRPr="00990FB6" w14:paraId="0293325F" w14:textId="77777777" w:rsidTr="000A0C22">
        <w:trPr>
          <w:trHeight w:val="580"/>
          <w:jc w:val="center"/>
        </w:trPr>
        <w:tc>
          <w:tcPr>
            <w:tcW w:w="583" w:type="pct"/>
            <w:hideMark/>
          </w:tcPr>
          <w:p w14:paraId="5B30775F" w14:textId="77777777" w:rsidR="00B15F7D" w:rsidRPr="00990FB6" w:rsidRDefault="00B15F7D" w:rsidP="00B15F7D">
            <w:pPr>
              <w:rPr>
                <w:sz w:val="22"/>
                <w:szCs w:val="22"/>
                <w:u w:val="single"/>
              </w:rPr>
            </w:pPr>
            <w:r w:rsidRPr="00990FB6">
              <w:rPr>
                <w:sz w:val="22"/>
                <w:szCs w:val="22"/>
                <w:u w:val="single"/>
              </w:rPr>
              <w:t>20401</w:t>
            </w:r>
          </w:p>
        </w:tc>
        <w:tc>
          <w:tcPr>
            <w:tcW w:w="578" w:type="pct"/>
            <w:hideMark/>
          </w:tcPr>
          <w:p w14:paraId="6D60626F" w14:textId="77777777" w:rsidR="00B15F7D" w:rsidRPr="00990FB6" w:rsidRDefault="00B15F7D" w:rsidP="00B15F7D">
            <w:pPr>
              <w:rPr>
                <w:sz w:val="22"/>
                <w:szCs w:val="22"/>
                <w:u w:val="single"/>
              </w:rPr>
            </w:pPr>
            <w:r w:rsidRPr="00990FB6">
              <w:rPr>
                <w:sz w:val="22"/>
                <w:szCs w:val="22"/>
                <w:u w:val="single"/>
              </w:rPr>
              <w:t>Herramientas e instrumentos</w:t>
            </w:r>
          </w:p>
        </w:tc>
        <w:tc>
          <w:tcPr>
            <w:tcW w:w="363" w:type="pct"/>
            <w:hideMark/>
          </w:tcPr>
          <w:p w14:paraId="25AD1DE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13040</w:t>
            </w:r>
          </w:p>
        </w:tc>
        <w:tc>
          <w:tcPr>
            <w:tcW w:w="1045" w:type="pct"/>
            <w:hideMark/>
          </w:tcPr>
          <w:p w14:paraId="7D602DC1" w14:textId="77777777" w:rsidR="00B15F7D" w:rsidRPr="00990FB6" w:rsidRDefault="00B15F7D" w:rsidP="00B15F7D">
            <w:pPr>
              <w:rPr>
                <w:sz w:val="22"/>
                <w:szCs w:val="22"/>
                <w:u w:val="single"/>
              </w:rPr>
            </w:pPr>
            <w:r w:rsidRPr="00990FB6">
              <w:rPr>
                <w:sz w:val="22"/>
                <w:szCs w:val="22"/>
                <w:u w:val="single"/>
              </w:rPr>
              <w:t>LINGA PARA REMOLCAR VEHICULOS</w:t>
            </w:r>
          </w:p>
        </w:tc>
        <w:tc>
          <w:tcPr>
            <w:tcW w:w="550" w:type="pct"/>
            <w:hideMark/>
          </w:tcPr>
          <w:p w14:paraId="6DC85054" w14:textId="77777777" w:rsidR="00B15F7D" w:rsidRPr="00990FB6" w:rsidRDefault="00B15F7D" w:rsidP="00B15F7D">
            <w:pPr>
              <w:rPr>
                <w:sz w:val="22"/>
                <w:szCs w:val="22"/>
                <w:u w:val="single"/>
              </w:rPr>
            </w:pPr>
            <w:r w:rsidRPr="00990FB6">
              <w:rPr>
                <w:sz w:val="22"/>
                <w:szCs w:val="22"/>
                <w:u w:val="single"/>
              </w:rPr>
              <w:t>34.126,00</w:t>
            </w:r>
          </w:p>
        </w:tc>
        <w:tc>
          <w:tcPr>
            <w:tcW w:w="511" w:type="pct"/>
            <w:hideMark/>
          </w:tcPr>
          <w:p w14:paraId="38BE933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223543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0629FA5" w14:textId="77777777" w:rsidR="00B15F7D" w:rsidRPr="00990FB6" w:rsidRDefault="00B15F7D" w:rsidP="00F60AA2">
            <w:pPr>
              <w:jc w:val="both"/>
              <w:rPr>
                <w:sz w:val="22"/>
                <w:szCs w:val="22"/>
                <w:u w:val="single"/>
              </w:rPr>
            </w:pPr>
            <w:r w:rsidRPr="00990FB6">
              <w:rPr>
                <w:sz w:val="22"/>
                <w:szCs w:val="22"/>
                <w:u w:val="single"/>
              </w:rPr>
              <w:t xml:space="preserve">No se dispondría de medio para la atención de eventualidad que se presenten con </w:t>
            </w:r>
            <w:proofErr w:type="spellStart"/>
            <w:r w:rsidRPr="00990FB6">
              <w:rPr>
                <w:sz w:val="22"/>
                <w:szCs w:val="22"/>
                <w:u w:val="single"/>
              </w:rPr>
              <w:t>a</w:t>
            </w:r>
            <w:proofErr w:type="spellEnd"/>
            <w:r w:rsidRPr="00990FB6">
              <w:rPr>
                <w:sz w:val="22"/>
                <w:szCs w:val="22"/>
                <w:u w:val="single"/>
              </w:rPr>
              <w:t xml:space="preserve"> flotilla vehicular. </w:t>
            </w:r>
          </w:p>
        </w:tc>
      </w:tr>
      <w:tr w:rsidR="00B15F7D" w:rsidRPr="00990FB6" w14:paraId="7078B286" w14:textId="77777777" w:rsidTr="000A0C22">
        <w:trPr>
          <w:trHeight w:val="580"/>
          <w:jc w:val="center"/>
        </w:trPr>
        <w:tc>
          <w:tcPr>
            <w:tcW w:w="583" w:type="pct"/>
            <w:hideMark/>
          </w:tcPr>
          <w:p w14:paraId="64001E2E" w14:textId="77777777" w:rsidR="00B15F7D" w:rsidRPr="00990FB6" w:rsidRDefault="00B15F7D" w:rsidP="00B15F7D">
            <w:pPr>
              <w:rPr>
                <w:sz w:val="22"/>
                <w:szCs w:val="22"/>
                <w:u w:val="single"/>
              </w:rPr>
            </w:pPr>
            <w:r w:rsidRPr="00990FB6">
              <w:rPr>
                <w:sz w:val="22"/>
                <w:szCs w:val="22"/>
                <w:u w:val="single"/>
              </w:rPr>
              <w:t>20401</w:t>
            </w:r>
          </w:p>
        </w:tc>
        <w:tc>
          <w:tcPr>
            <w:tcW w:w="578" w:type="pct"/>
            <w:hideMark/>
          </w:tcPr>
          <w:p w14:paraId="7392C957" w14:textId="77777777" w:rsidR="00B15F7D" w:rsidRPr="00990FB6" w:rsidRDefault="00B15F7D" w:rsidP="00B15F7D">
            <w:pPr>
              <w:rPr>
                <w:sz w:val="22"/>
                <w:szCs w:val="22"/>
                <w:u w:val="single"/>
              </w:rPr>
            </w:pPr>
            <w:r w:rsidRPr="00990FB6">
              <w:rPr>
                <w:sz w:val="22"/>
                <w:szCs w:val="22"/>
                <w:u w:val="single"/>
              </w:rPr>
              <w:t>Herramientas e instrumentos</w:t>
            </w:r>
          </w:p>
        </w:tc>
        <w:tc>
          <w:tcPr>
            <w:tcW w:w="363" w:type="pct"/>
            <w:hideMark/>
          </w:tcPr>
          <w:p w14:paraId="6142FE6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13528</w:t>
            </w:r>
          </w:p>
        </w:tc>
        <w:tc>
          <w:tcPr>
            <w:tcW w:w="1045" w:type="pct"/>
            <w:hideMark/>
          </w:tcPr>
          <w:p w14:paraId="62266931" w14:textId="77777777" w:rsidR="00B15F7D" w:rsidRPr="00990FB6" w:rsidRDefault="00B15F7D" w:rsidP="00B15F7D">
            <w:pPr>
              <w:rPr>
                <w:sz w:val="22"/>
                <w:szCs w:val="22"/>
                <w:u w:val="single"/>
              </w:rPr>
            </w:pPr>
            <w:r w:rsidRPr="00990FB6">
              <w:rPr>
                <w:sz w:val="22"/>
                <w:szCs w:val="22"/>
                <w:u w:val="single"/>
              </w:rPr>
              <w:t>ALICATE</w:t>
            </w:r>
          </w:p>
        </w:tc>
        <w:tc>
          <w:tcPr>
            <w:tcW w:w="550" w:type="pct"/>
            <w:hideMark/>
          </w:tcPr>
          <w:p w14:paraId="769E6A58" w14:textId="77777777" w:rsidR="00B15F7D" w:rsidRPr="00990FB6" w:rsidRDefault="00B15F7D" w:rsidP="00B15F7D">
            <w:pPr>
              <w:rPr>
                <w:sz w:val="22"/>
                <w:szCs w:val="22"/>
                <w:u w:val="single"/>
              </w:rPr>
            </w:pPr>
            <w:r w:rsidRPr="00990FB6">
              <w:rPr>
                <w:sz w:val="22"/>
                <w:szCs w:val="22"/>
                <w:u w:val="single"/>
              </w:rPr>
              <w:t>74.625,00</w:t>
            </w:r>
          </w:p>
        </w:tc>
        <w:tc>
          <w:tcPr>
            <w:tcW w:w="511" w:type="pct"/>
            <w:hideMark/>
          </w:tcPr>
          <w:p w14:paraId="3662A13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0D070F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78A5200"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medios para la atención de reparaciones menores, se traduce a posteriori en costos más onerosos. </w:t>
            </w:r>
          </w:p>
        </w:tc>
      </w:tr>
      <w:tr w:rsidR="00B15F7D" w:rsidRPr="00990FB6" w14:paraId="41EEF7DE" w14:textId="77777777" w:rsidTr="000A0C22">
        <w:trPr>
          <w:trHeight w:val="290"/>
          <w:jc w:val="center"/>
        </w:trPr>
        <w:tc>
          <w:tcPr>
            <w:tcW w:w="583" w:type="pct"/>
            <w:hideMark/>
          </w:tcPr>
          <w:p w14:paraId="6165B2E4" w14:textId="77777777" w:rsidR="00B15F7D" w:rsidRPr="00990FB6" w:rsidRDefault="00B15F7D" w:rsidP="00B15F7D">
            <w:pPr>
              <w:rPr>
                <w:sz w:val="22"/>
                <w:szCs w:val="22"/>
                <w:u w:val="single"/>
              </w:rPr>
            </w:pPr>
            <w:r w:rsidRPr="00990FB6">
              <w:rPr>
                <w:sz w:val="22"/>
                <w:szCs w:val="22"/>
                <w:u w:val="single"/>
              </w:rPr>
              <w:t>20401</w:t>
            </w:r>
          </w:p>
        </w:tc>
        <w:tc>
          <w:tcPr>
            <w:tcW w:w="578" w:type="pct"/>
            <w:hideMark/>
          </w:tcPr>
          <w:p w14:paraId="158CCA8B" w14:textId="77777777" w:rsidR="00B15F7D" w:rsidRPr="00990FB6" w:rsidRDefault="00B15F7D" w:rsidP="00B15F7D">
            <w:pPr>
              <w:rPr>
                <w:sz w:val="22"/>
                <w:szCs w:val="22"/>
                <w:u w:val="single"/>
              </w:rPr>
            </w:pPr>
            <w:r w:rsidRPr="00990FB6">
              <w:rPr>
                <w:sz w:val="22"/>
                <w:szCs w:val="22"/>
                <w:u w:val="single"/>
              </w:rPr>
              <w:t>Herramientas e instrumentos</w:t>
            </w:r>
          </w:p>
        </w:tc>
        <w:tc>
          <w:tcPr>
            <w:tcW w:w="363" w:type="pct"/>
            <w:hideMark/>
          </w:tcPr>
          <w:p w14:paraId="5542F7A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16699</w:t>
            </w:r>
          </w:p>
        </w:tc>
        <w:tc>
          <w:tcPr>
            <w:tcW w:w="1045" w:type="pct"/>
            <w:hideMark/>
          </w:tcPr>
          <w:p w14:paraId="0524CF77" w14:textId="77777777" w:rsidR="00B15F7D" w:rsidRPr="00990FB6" w:rsidRDefault="00B15F7D" w:rsidP="00B15F7D">
            <w:pPr>
              <w:rPr>
                <w:sz w:val="22"/>
                <w:szCs w:val="22"/>
                <w:u w:val="single"/>
              </w:rPr>
            </w:pPr>
            <w:r w:rsidRPr="00990FB6">
              <w:rPr>
                <w:sz w:val="22"/>
                <w:szCs w:val="22"/>
                <w:u w:val="single"/>
              </w:rPr>
              <w:t>RELOJ DE PARED</w:t>
            </w:r>
          </w:p>
        </w:tc>
        <w:tc>
          <w:tcPr>
            <w:tcW w:w="550" w:type="pct"/>
            <w:hideMark/>
          </w:tcPr>
          <w:p w14:paraId="7037C85E" w14:textId="77777777" w:rsidR="00B15F7D" w:rsidRPr="00990FB6" w:rsidRDefault="00B15F7D" w:rsidP="00B15F7D">
            <w:pPr>
              <w:rPr>
                <w:sz w:val="22"/>
                <w:szCs w:val="22"/>
                <w:u w:val="single"/>
              </w:rPr>
            </w:pPr>
            <w:r w:rsidRPr="00990FB6">
              <w:rPr>
                <w:sz w:val="22"/>
                <w:szCs w:val="22"/>
                <w:u w:val="single"/>
              </w:rPr>
              <w:t>31.837,00</w:t>
            </w:r>
          </w:p>
        </w:tc>
        <w:tc>
          <w:tcPr>
            <w:tcW w:w="511" w:type="pct"/>
            <w:hideMark/>
          </w:tcPr>
          <w:p w14:paraId="270EAA9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8B2769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17C2045" w14:textId="77777777" w:rsidR="00B15F7D" w:rsidRPr="00990FB6" w:rsidRDefault="00B15F7D" w:rsidP="00F60AA2">
            <w:pPr>
              <w:jc w:val="both"/>
              <w:rPr>
                <w:sz w:val="22"/>
                <w:szCs w:val="22"/>
                <w:u w:val="single"/>
              </w:rPr>
            </w:pPr>
            <w:r w:rsidRPr="00990FB6">
              <w:rPr>
                <w:sz w:val="22"/>
                <w:szCs w:val="22"/>
                <w:u w:val="single"/>
              </w:rPr>
              <w:t> </w:t>
            </w:r>
          </w:p>
        </w:tc>
      </w:tr>
      <w:tr w:rsidR="00B15F7D" w:rsidRPr="00990FB6" w14:paraId="6A9052F7" w14:textId="77777777" w:rsidTr="000A0C22">
        <w:trPr>
          <w:trHeight w:val="580"/>
          <w:jc w:val="center"/>
        </w:trPr>
        <w:tc>
          <w:tcPr>
            <w:tcW w:w="583" w:type="pct"/>
            <w:hideMark/>
          </w:tcPr>
          <w:p w14:paraId="07A7E2C8" w14:textId="77777777" w:rsidR="00B15F7D" w:rsidRPr="00990FB6" w:rsidRDefault="00B15F7D" w:rsidP="00B15F7D">
            <w:pPr>
              <w:rPr>
                <w:sz w:val="22"/>
                <w:szCs w:val="22"/>
                <w:u w:val="single"/>
              </w:rPr>
            </w:pPr>
            <w:r w:rsidRPr="00990FB6">
              <w:rPr>
                <w:sz w:val="22"/>
                <w:szCs w:val="22"/>
                <w:u w:val="single"/>
              </w:rPr>
              <w:t>20401</w:t>
            </w:r>
          </w:p>
        </w:tc>
        <w:tc>
          <w:tcPr>
            <w:tcW w:w="578" w:type="pct"/>
            <w:hideMark/>
          </w:tcPr>
          <w:p w14:paraId="4EB3D20C" w14:textId="77777777" w:rsidR="00B15F7D" w:rsidRPr="00990FB6" w:rsidRDefault="00B15F7D" w:rsidP="00B15F7D">
            <w:pPr>
              <w:rPr>
                <w:sz w:val="22"/>
                <w:szCs w:val="22"/>
                <w:u w:val="single"/>
              </w:rPr>
            </w:pPr>
            <w:r w:rsidRPr="00990FB6">
              <w:rPr>
                <w:sz w:val="22"/>
                <w:szCs w:val="22"/>
                <w:u w:val="single"/>
              </w:rPr>
              <w:t>Herramientas e instrumentos</w:t>
            </w:r>
          </w:p>
        </w:tc>
        <w:tc>
          <w:tcPr>
            <w:tcW w:w="363" w:type="pct"/>
            <w:hideMark/>
          </w:tcPr>
          <w:p w14:paraId="638DE37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18129</w:t>
            </w:r>
          </w:p>
        </w:tc>
        <w:tc>
          <w:tcPr>
            <w:tcW w:w="1045" w:type="pct"/>
            <w:hideMark/>
          </w:tcPr>
          <w:p w14:paraId="555BFC2F" w14:textId="77777777" w:rsidR="00B15F7D" w:rsidRPr="00990FB6" w:rsidRDefault="00B15F7D" w:rsidP="00B15F7D">
            <w:pPr>
              <w:rPr>
                <w:sz w:val="22"/>
                <w:szCs w:val="22"/>
                <w:u w:val="single"/>
              </w:rPr>
            </w:pPr>
            <w:r w:rsidRPr="00990FB6">
              <w:rPr>
                <w:sz w:val="22"/>
                <w:szCs w:val="22"/>
                <w:u w:val="single"/>
              </w:rPr>
              <w:t>BROCA</w:t>
            </w:r>
          </w:p>
        </w:tc>
        <w:tc>
          <w:tcPr>
            <w:tcW w:w="550" w:type="pct"/>
            <w:hideMark/>
          </w:tcPr>
          <w:p w14:paraId="44E67A81" w14:textId="77777777" w:rsidR="00B15F7D" w:rsidRPr="00990FB6" w:rsidRDefault="00B15F7D" w:rsidP="00B15F7D">
            <w:pPr>
              <w:rPr>
                <w:sz w:val="22"/>
                <w:szCs w:val="22"/>
                <w:u w:val="single"/>
              </w:rPr>
            </w:pPr>
            <w:r w:rsidRPr="00990FB6">
              <w:rPr>
                <w:sz w:val="22"/>
                <w:szCs w:val="22"/>
                <w:u w:val="single"/>
              </w:rPr>
              <w:t>11.074,00</w:t>
            </w:r>
          </w:p>
        </w:tc>
        <w:tc>
          <w:tcPr>
            <w:tcW w:w="511" w:type="pct"/>
            <w:hideMark/>
          </w:tcPr>
          <w:p w14:paraId="58F6822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3EAE89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5EA5A1F" w14:textId="77777777" w:rsidR="00B15F7D" w:rsidRPr="00990FB6" w:rsidRDefault="00B15F7D" w:rsidP="00F60AA2">
            <w:pPr>
              <w:jc w:val="both"/>
              <w:rPr>
                <w:sz w:val="22"/>
                <w:szCs w:val="22"/>
                <w:u w:val="single"/>
              </w:rPr>
            </w:pPr>
            <w:r w:rsidRPr="00990FB6">
              <w:rPr>
                <w:sz w:val="22"/>
                <w:szCs w:val="22"/>
                <w:u w:val="single"/>
              </w:rPr>
              <w:t xml:space="preserve">Deterioro de </w:t>
            </w:r>
            <w:proofErr w:type="gramStart"/>
            <w:r w:rsidRPr="00990FB6">
              <w:rPr>
                <w:sz w:val="22"/>
                <w:szCs w:val="22"/>
                <w:u w:val="single"/>
              </w:rPr>
              <w:t>la  infraestructura</w:t>
            </w:r>
            <w:proofErr w:type="gramEnd"/>
            <w:r w:rsidRPr="00990FB6">
              <w:rPr>
                <w:sz w:val="22"/>
                <w:szCs w:val="22"/>
                <w:u w:val="single"/>
              </w:rPr>
              <w:t xml:space="preserve"> de las fiscalías, al no contar con </w:t>
            </w:r>
            <w:r w:rsidRPr="00990FB6">
              <w:rPr>
                <w:sz w:val="22"/>
                <w:szCs w:val="22"/>
                <w:u w:val="single"/>
              </w:rPr>
              <w:lastRenderedPageBreak/>
              <w:t xml:space="preserve">medios para la atención de reparaciones menores, se traduce a posteriori en costos más onerosos. </w:t>
            </w:r>
          </w:p>
        </w:tc>
      </w:tr>
      <w:tr w:rsidR="00B15F7D" w:rsidRPr="00990FB6" w14:paraId="63F965A9" w14:textId="77777777" w:rsidTr="000A0C22">
        <w:trPr>
          <w:trHeight w:val="870"/>
          <w:jc w:val="center"/>
        </w:trPr>
        <w:tc>
          <w:tcPr>
            <w:tcW w:w="583" w:type="pct"/>
            <w:hideMark/>
          </w:tcPr>
          <w:p w14:paraId="3DCBC9AA"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4E0442DE"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14861CC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19569</w:t>
            </w:r>
          </w:p>
        </w:tc>
        <w:tc>
          <w:tcPr>
            <w:tcW w:w="1045" w:type="pct"/>
            <w:hideMark/>
          </w:tcPr>
          <w:p w14:paraId="780A1DB5" w14:textId="77777777" w:rsidR="00B15F7D" w:rsidRPr="00990FB6" w:rsidRDefault="00B15F7D" w:rsidP="00B15F7D">
            <w:pPr>
              <w:rPr>
                <w:sz w:val="22"/>
                <w:szCs w:val="22"/>
                <w:u w:val="single"/>
              </w:rPr>
            </w:pPr>
            <w:r w:rsidRPr="00990FB6">
              <w:rPr>
                <w:sz w:val="22"/>
                <w:szCs w:val="22"/>
                <w:u w:val="single"/>
              </w:rPr>
              <w:t>OTROS, REPUESTOS Y ACCESORIOS</w:t>
            </w:r>
          </w:p>
        </w:tc>
        <w:tc>
          <w:tcPr>
            <w:tcW w:w="550" w:type="pct"/>
            <w:hideMark/>
          </w:tcPr>
          <w:p w14:paraId="3722A3C9" w14:textId="77777777" w:rsidR="00B15F7D" w:rsidRPr="00990FB6" w:rsidRDefault="00B15F7D" w:rsidP="00B15F7D">
            <w:pPr>
              <w:rPr>
                <w:sz w:val="22"/>
                <w:szCs w:val="22"/>
                <w:u w:val="single"/>
              </w:rPr>
            </w:pPr>
            <w:r w:rsidRPr="00990FB6">
              <w:rPr>
                <w:sz w:val="22"/>
                <w:szCs w:val="22"/>
                <w:u w:val="single"/>
              </w:rPr>
              <w:t>2.600.000,00</w:t>
            </w:r>
          </w:p>
        </w:tc>
        <w:tc>
          <w:tcPr>
            <w:tcW w:w="511" w:type="pct"/>
            <w:hideMark/>
          </w:tcPr>
          <w:p w14:paraId="46F239C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59E4B8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4C4262D" w14:textId="77777777" w:rsidR="00B15F7D" w:rsidRPr="00990FB6" w:rsidRDefault="00B15F7D" w:rsidP="00F60AA2">
            <w:pPr>
              <w:jc w:val="both"/>
              <w:rPr>
                <w:sz w:val="22"/>
                <w:szCs w:val="22"/>
                <w:u w:val="single"/>
              </w:rPr>
            </w:pPr>
            <w:r w:rsidRPr="00990FB6">
              <w:rPr>
                <w:sz w:val="22"/>
                <w:szCs w:val="22"/>
                <w:u w:val="single"/>
              </w:rPr>
              <w:t xml:space="preserve">No correcto mantenimiento y reparación de las </w:t>
            </w:r>
            <w:proofErr w:type="gramStart"/>
            <w:r w:rsidRPr="00990FB6">
              <w:rPr>
                <w:sz w:val="22"/>
                <w:szCs w:val="22"/>
                <w:u w:val="single"/>
              </w:rPr>
              <w:t>unidades,  lo</w:t>
            </w:r>
            <w:proofErr w:type="gramEnd"/>
            <w:r w:rsidRPr="00990FB6">
              <w:rPr>
                <w:sz w:val="22"/>
                <w:szCs w:val="22"/>
                <w:u w:val="single"/>
              </w:rPr>
              <w:t xml:space="preserve"> cual se traduce en riesgo para el personal que lo utiliza en la atención de las diferentes diligencias judiciales. Desmejora en valor del </w:t>
            </w:r>
            <w:proofErr w:type="gramStart"/>
            <w:r w:rsidRPr="00990FB6">
              <w:rPr>
                <w:sz w:val="22"/>
                <w:szCs w:val="22"/>
                <w:u w:val="single"/>
              </w:rPr>
              <w:t>activo  para</w:t>
            </w:r>
            <w:proofErr w:type="gramEnd"/>
            <w:r w:rsidRPr="00990FB6">
              <w:rPr>
                <w:sz w:val="22"/>
                <w:szCs w:val="22"/>
                <w:u w:val="single"/>
              </w:rPr>
              <w:t xml:space="preserve"> eventuales sustituciones. </w:t>
            </w:r>
          </w:p>
        </w:tc>
      </w:tr>
      <w:tr w:rsidR="00B15F7D" w:rsidRPr="00990FB6" w14:paraId="46C8A318" w14:textId="77777777" w:rsidTr="000A0C22">
        <w:trPr>
          <w:trHeight w:val="580"/>
          <w:jc w:val="center"/>
        </w:trPr>
        <w:tc>
          <w:tcPr>
            <w:tcW w:w="583" w:type="pct"/>
            <w:hideMark/>
          </w:tcPr>
          <w:p w14:paraId="71BDF203"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1EFA5354"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045B894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23631</w:t>
            </w:r>
          </w:p>
        </w:tc>
        <w:tc>
          <w:tcPr>
            <w:tcW w:w="1045" w:type="pct"/>
            <w:hideMark/>
          </w:tcPr>
          <w:p w14:paraId="46ADE80B" w14:textId="77777777" w:rsidR="00B15F7D" w:rsidRPr="00990FB6" w:rsidRDefault="00B15F7D" w:rsidP="00B15F7D">
            <w:pPr>
              <w:rPr>
                <w:sz w:val="22"/>
                <w:szCs w:val="22"/>
                <w:u w:val="single"/>
              </w:rPr>
            </w:pPr>
            <w:r w:rsidRPr="00990FB6">
              <w:rPr>
                <w:sz w:val="22"/>
                <w:szCs w:val="22"/>
                <w:u w:val="single"/>
              </w:rPr>
              <w:t>UNIDAD DE IMAGEN PARA IMPRESORA LEXMARK MX711</w:t>
            </w:r>
          </w:p>
        </w:tc>
        <w:tc>
          <w:tcPr>
            <w:tcW w:w="550" w:type="pct"/>
            <w:hideMark/>
          </w:tcPr>
          <w:p w14:paraId="18ABCEE2" w14:textId="77777777" w:rsidR="00B15F7D" w:rsidRPr="00990FB6" w:rsidRDefault="00B15F7D" w:rsidP="00B15F7D">
            <w:pPr>
              <w:rPr>
                <w:sz w:val="22"/>
                <w:szCs w:val="22"/>
                <w:u w:val="single"/>
              </w:rPr>
            </w:pPr>
            <w:r w:rsidRPr="00990FB6">
              <w:rPr>
                <w:sz w:val="22"/>
                <w:szCs w:val="22"/>
                <w:u w:val="single"/>
              </w:rPr>
              <w:t>1.943.600,00</w:t>
            </w:r>
          </w:p>
        </w:tc>
        <w:tc>
          <w:tcPr>
            <w:tcW w:w="511" w:type="pct"/>
            <w:hideMark/>
          </w:tcPr>
          <w:p w14:paraId="122C624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BC2539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90EC5D6" w14:textId="77777777" w:rsidR="00B15F7D" w:rsidRPr="00990FB6" w:rsidRDefault="00B15F7D" w:rsidP="00F60AA2">
            <w:pPr>
              <w:jc w:val="both"/>
              <w:rPr>
                <w:sz w:val="22"/>
                <w:szCs w:val="22"/>
                <w:u w:val="single"/>
              </w:rPr>
            </w:pPr>
            <w:r w:rsidRPr="00990FB6">
              <w:rPr>
                <w:sz w:val="22"/>
                <w:szCs w:val="22"/>
                <w:u w:val="single"/>
              </w:rPr>
              <w:t xml:space="preserve">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la atención de los usuarios.  </w:t>
            </w:r>
          </w:p>
        </w:tc>
      </w:tr>
      <w:tr w:rsidR="00B15F7D" w:rsidRPr="00990FB6" w14:paraId="56D01396" w14:textId="77777777" w:rsidTr="000A0C22">
        <w:trPr>
          <w:trHeight w:val="870"/>
          <w:jc w:val="center"/>
        </w:trPr>
        <w:tc>
          <w:tcPr>
            <w:tcW w:w="583" w:type="pct"/>
            <w:hideMark/>
          </w:tcPr>
          <w:p w14:paraId="1A25AF68"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32C6DA89"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11BA84A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24053</w:t>
            </w:r>
          </w:p>
        </w:tc>
        <w:tc>
          <w:tcPr>
            <w:tcW w:w="1045" w:type="pct"/>
            <w:hideMark/>
          </w:tcPr>
          <w:p w14:paraId="3B7EB336" w14:textId="77777777" w:rsidR="00B15F7D" w:rsidRPr="00990FB6" w:rsidRDefault="00B15F7D" w:rsidP="00B15F7D">
            <w:pPr>
              <w:rPr>
                <w:sz w:val="22"/>
                <w:szCs w:val="22"/>
                <w:u w:val="single"/>
              </w:rPr>
            </w:pPr>
            <w:r w:rsidRPr="00990FB6">
              <w:rPr>
                <w:sz w:val="22"/>
                <w:szCs w:val="22"/>
                <w:u w:val="single"/>
              </w:rPr>
              <w:t>LLANTA 255-70-R16</w:t>
            </w:r>
          </w:p>
        </w:tc>
        <w:tc>
          <w:tcPr>
            <w:tcW w:w="550" w:type="pct"/>
            <w:hideMark/>
          </w:tcPr>
          <w:p w14:paraId="06ADE43B" w14:textId="77777777" w:rsidR="00B15F7D" w:rsidRPr="00990FB6" w:rsidRDefault="00B15F7D" w:rsidP="00B15F7D">
            <w:pPr>
              <w:rPr>
                <w:sz w:val="22"/>
                <w:szCs w:val="22"/>
                <w:u w:val="single"/>
              </w:rPr>
            </w:pPr>
            <w:r w:rsidRPr="00990FB6">
              <w:rPr>
                <w:sz w:val="22"/>
                <w:szCs w:val="22"/>
                <w:u w:val="single"/>
              </w:rPr>
              <w:t>1.383.951,00</w:t>
            </w:r>
          </w:p>
        </w:tc>
        <w:tc>
          <w:tcPr>
            <w:tcW w:w="511" w:type="pct"/>
            <w:hideMark/>
          </w:tcPr>
          <w:p w14:paraId="5819551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EE2534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BA0E724"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w:t>
            </w:r>
            <w:r w:rsidRPr="00990FB6">
              <w:rPr>
                <w:sz w:val="22"/>
                <w:szCs w:val="22"/>
                <w:u w:val="single"/>
              </w:rPr>
              <w:lastRenderedPageBreak/>
              <w:t xml:space="preserve">llantas para las unidades de la Fiscalía de Santa Cruz (BPN863), Cañas </w:t>
            </w:r>
            <w:proofErr w:type="gramStart"/>
            <w:r w:rsidRPr="00990FB6">
              <w:rPr>
                <w:sz w:val="22"/>
                <w:szCs w:val="22"/>
                <w:u w:val="single"/>
              </w:rPr>
              <w:t>( CL</w:t>
            </w:r>
            <w:proofErr w:type="gramEnd"/>
            <w:r w:rsidRPr="00990FB6">
              <w:rPr>
                <w:sz w:val="22"/>
                <w:szCs w:val="22"/>
                <w:u w:val="single"/>
              </w:rPr>
              <w:t xml:space="preserve">307394), Golfito (CL303277), Quepos (CL307382). Desmejora en la prestación del servicio público. </w:t>
            </w:r>
          </w:p>
        </w:tc>
      </w:tr>
      <w:tr w:rsidR="00B15F7D" w:rsidRPr="00990FB6" w14:paraId="6B69B8CA" w14:textId="77777777" w:rsidTr="000A0C22">
        <w:trPr>
          <w:trHeight w:val="1450"/>
          <w:jc w:val="center"/>
        </w:trPr>
        <w:tc>
          <w:tcPr>
            <w:tcW w:w="583" w:type="pct"/>
            <w:hideMark/>
          </w:tcPr>
          <w:p w14:paraId="078C5496"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2D95B1F8"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62D948C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24651</w:t>
            </w:r>
          </w:p>
        </w:tc>
        <w:tc>
          <w:tcPr>
            <w:tcW w:w="1045" w:type="pct"/>
            <w:hideMark/>
          </w:tcPr>
          <w:p w14:paraId="44C96098" w14:textId="77777777" w:rsidR="00B15F7D" w:rsidRPr="00990FB6" w:rsidRDefault="00B15F7D" w:rsidP="00B15F7D">
            <w:pPr>
              <w:rPr>
                <w:sz w:val="22"/>
                <w:szCs w:val="22"/>
                <w:u w:val="single"/>
              </w:rPr>
            </w:pPr>
            <w:r w:rsidRPr="00990FB6">
              <w:rPr>
                <w:sz w:val="22"/>
                <w:szCs w:val="22"/>
                <w:u w:val="single"/>
              </w:rPr>
              <w:t>HULES DE ESCOBILLA PARA VEHICULO</w:t>
            </w:r>
          </w:p>
        </w:tc>
        <w:tc>
          <w:tcPr>
            <w:tcW w:w="550" w:type="pct"/>
            <w:hideMark/>
          </w:tcPr>
          <w:p w14:paraId="7C8B7571" w14:textId="77777777" w:rsidR="00B15F7D" w:rsidRPr="00990FB6" w:rsidRDefault="00B15F7D" w:rsidP="00B15F7D">
            <w:pPr>
              <w:rPr>
                <w:sz w:val="22"/>
                <w:szCs w:val="22"/>
                <w:u w:val="single"/>
              </w:rPr>
            </w:pPr>
            <w:r w:rsidRPr="00990FB6">
              <w:rPr>
                <w:sz w:val="22"/>
                <w:szCs w:val="22"/>
                <w:u w:val="single"/>
              </w:rPr>
              <w:t>127.323,00</w:t>
            </w:r>
          </w:p>
        </w:tc>
        <w:tc>
          <w:tcPr>
            <w:tcW w:w="511" w:type="pct"/>
            <w:hideMark/>
          </w:tcPr>
          <w:p w14:paraId="0D25622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E33D7A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5E5C956"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hules para escobillas para las unidades de la Fiscalía de Alajuela (CL275373), Corredores (CL 275372), Limón (CL307372, BCY341), Siquirres (CL321306), Upala (CL 307391), Guatuso (CL 307430), Los Chiles </w:t>
            </w:r>
            <w:proofErr w:type="gramStart"/>
            <w:r w:rsidRPr="00990FB6">
              <w:rPr>
                <w:sz w:val="22"/>
                <w:szCs w:val="22"/>
                <w:u w:val="single"/>
              </w:rPr>
              <w:t>( 306672</w:t>
            </w:r>
            <w:proofErr w:type="gramEnd"/>
            <w:r w:rsidRPr="00990FB6">
              <w:rPr>
                <w:sz w:val="22"/>
                <w:szCs w:val="22"/>
                <w:u w:val="single"/>
              </w:rPr>
              <w:t xml:space="preserve">, CL307366), La Fortuna (CL307369), Batán (CL </w:t>
            </w:r>
            <w:r w:rsidRPr="00990FB6">
              <w:rPr>
                <w:sz w:val="22"/>
                <w:szCs w:val="22"/>
                <w:u w:val="single"/>
              </w:rPr>
              <w:lastRenderedPageBreak/>
              <w:t xml:space="preserve">229487, CL307398).  Desmejora en la prestación del servicio público. </w:t>
            </w:r>
          </w:p>
        </w:tc>
      </w:tr>
      <w:tr w:rsidR="00B15F7D" w:rsidRPr="00990FB6" w14:paraId="374DDFD3" w14:textId="77777777" w:rsidTr="000A0C22">
        <w:trPr>
          <w:trHeight w:val="580"/>
          <w:jc w:val="center"/>
        </w:trPr>
        <w:tc>
          <w:tcPr>
            <w:tcW w:w="583" w:type="pct"/>
            <w:hideMark/>
          </w:tcPr>
          <w:p w14:paraId="51E30156"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0CB72613"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693C549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25437</w:t>
            </w:r>
          </w:p>
        </w:tc>
        <w:tc>
          <w:tcPr>
            <w:tcW w:w="1045" w:type="pct"/>
            <w:hideMark/>
          </w:tcPr>
          <w:p w14:paraId="4A86B6DE" w14:textId="77777777" w:rsidR="00B15F7D" w:rsidRPr="00990FB6" w:rsidRDefault="00B15F7D" w:rsidP="00B15F7D">
            <w:pPr>
              <w:rPr>
                <w:sz w:val="22"/>
                <w:szCs w:val="22"/>
                <w:u w:val="single"/>
              </w:rPr>
            </w:pPr>
            <w:r w:rsidRPr="00990FB6">
              <w:rPr>
                <w:sz w:val="22"/>
                <w:szCs w:val="22"/>
                <w:u w:val="single"/>
              </w:rPr>
              <w:t>ESTUCHE PARA PLACA DE IDENTIFICACION</w:t>
            </w:r>
          </w:p>
        </w:tc>
        <w:tc>
          <w:tcPr>
            <w:tcW w:w="550" w:type="pct"/>
            <w:hideMark/>
          </w:tcPr>
          <w:p w14:paraId="2D224674" w14:textId="77777777" w:rsidR="00B15F7D" w:rsidRPr="00990FB6" w:rsidRDefault="00B15F7D" w:rsidP="00B15F7D">
            <w:pPr>
              <w:rPr>
                <w:sz w:val="22"/>
                <w:szCs w:val="22"/>
                <w:u w:val="single"/>
              </w:rPr>
            </w:pPr>
            <w:r w:rsidRPr="00990FB6">
              <w:rPr>
                <w:sz w:val="22"/>
                <w:szCs w:val="22"/>
                <w:u w:val="single"/>
              </w:rPr>
              <w:t>683.424,00</w:t>
            </w:r>
          </w:p>
        </w:tc>
        <w:tc>
          <w:tcPr>
            <w:tcW w:w="511" w:type="pct"/>
            <w:hideMark/>
          </w:tcPr>
          <w:p w14:paraId="16F5A7E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936577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4C6BD02" w14:textId="77777777" w:rsidR="00B15F7D" w:rsidRPr="00990FB6" w:rsidRDefault="00B15F7D" w:rsidP="00F60AA2">
            <w:pPr>
              <w:jc w:val="both"/>
              <w:rPr>
                <w:sz w:val="22"/>
                <w:szCs w:val="22"/>
                <w:u w:val="single"/>
              </w:rPr>
            </w:pPr>
            <w:r w:rsidRPr="00990FB6">
              <w:rPr>
                <w:sz w:val="22"/>
                <w:szCs w:val="22"/>
                <w:u w:val="single"/>
              </w:rPr>
              <w:t xml:space="preserve">El recorte de presupuesto de esta sub partida no permitirá la adquisición de los medios de identificación del personal de las fiscalías. </w:t>
            </w:r>
          </w:p>
        </w:tc>
      </w:tr>
      <w:tr w:rsidR="00B15F7D" w:rsidRPr="00990FB6" w14:paraId="0533046B" w14:textId="77777777" w:rsidTr="000A0C22">
        <w:trPr>
          <w:trHeight w:val="870"/>
          <w:jc w:val="center"/>
        </w:trPr>
        <w:tc>
          <w:tcPr>
            <w:tcW w:w="583" w:type="pct"/>
            <w:hideMark/>
          </w:tcPr>
          <w:p w14:paraId="41908349"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600954FE"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610E8D6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25442</w:t>
            </w:r>
          </w:p>
        </w:tc>
        <w:tc>
          <w:tcPr>
            <w:tcW w:w="1045" w:type="pct"/>
            <w:hideMark/>
          </w:tcPr>
          <w:p w14:paraId="0654AA27" w14:textId="77777777" w:rsidR="00B15F7D" w:rsidRPr="00990FB6" w:rsidRDefault="00B15F7D" w:rsidP="00B15F7D">
            <w:pPr>
              <w:rPr>
                <w:sz w:val="22"/>
                <w:szCs w:val="22"/>
                <w:u w:val="single"/>
              </w:rPr>
            </w:pPr>
            <w:r w:rsidRPr="00990FB6">
              <w:rPr>
                <w:sz w:val="22"/>
                <w:szCs w:val="22"/>
                <w:u w:val="single"/>
              </w:rPr>
              <w:t>LLANTA PARA VEHICULO</w:t>
            </w:r>
          </w:p>
        </w:tc>
        <w:tc>
          <w:tcPr>
            <w:tcW w:w="550" w:type="pct"/>
            <w:hideMark/>
          </w:tcPr>
          <w:p w14:paraId="791050F0" w14:textId="77777777" w:rsidR="00B15F7D" w:rsidRPr="00990FB6" w:rsidRDefault="00B15F7D" w:rsidP="00B15F7D">
            <w:pPr>
              <w:rPr>
                <w:sz w:val="22"/>
                <w:szCs w:val="22"/>
                <w:u w:val="single"/>
              </w:rPr>
            </w:pPr>
            <w:r w:rsidRPr="00990FB6">
              <w:rPr>
                <w:sz w:val="22"/>
                <w:szCs w:val="22"/>
                <w:u w:val="single"/>
              </w:rPr>
              <w:t>420.000,00</w:t>
            </w:r>
          </w:p>
        </w:tc>
        <w:tc>
          <w:tcPr>
            <w:tcW w:w="511" w:type="pct"/>
            <w:hideMark/>
          </w:tcPr>
          <w:p w14:paraId="01FDFEE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82987C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C4A307D" w14:textId="77777777" w:rsidR="00B15F7D" w:rsidRPr="00990FB6" w:rsidRDefault="00B15F7D" w:rsidP="00F60AA2">
            <w:pPr>
              <w:jc w:val="both"/>
              <w:rPr>
                <w:sz w:val="22"/>
                <w:szCs w:val="22"/>
                <w:u w:val="single"/>
              </w:rPr>
            </w:pPr>
            <w:r w:rsidRPr="00990FB6">
              <w:rPr>
                <w:sz w:val="22"/>
                <w:szCs w:val="22"/>
                <w:u w:val="single"/>
              </w:rPr>
              <w:t xml:space="preserve">No correcto mantenimiento y reparación de las </w:t>
            </w:r>
            <w:proofErr w:type="gramStart"/>
            <w:r w:rsidRPr="00990FB6">
              <w:rPr>
                <w:sz w:val="22"/>
                <w:szCs w:val="22"/>
                <w:u w:val="single"/>
              </w:rPr>
              <w:t>unidades,  lo</w:t>
            </w:r>
            <w:proofErr w:type="gramEnd"/>
            <w:r w:rsidRPr="00990FB6">
              <w:rPr>
                <w:sz w:val="22"/>
                <w:szCs w:val="22"/>
                <w:u w:val="single"/>
              </w:rPr>
              <w:t xml:space="preserve"> cual se traduce en riesgo para el personal que lo utiliza en la atención de las diferentes diligencias judiciales. Desmejora en valor del </w:t>
            </w:r>
            <w:proofErr w:type="gramStart"/>
            <w:r w:rsidRPr="00990FB6">
              <w:rPr>
                <w:sz w:val="22"/>
                <w:szCs w:val="22"/>
                <w:u w:val="single"/>
              </w:rPr>
              <w:t>activo  para</w:t>
            </w:r>
            <w:proofErr w:type="gramEnd"/>
            <w:r w:rsidRPr="00990FB6">
              <w:rPr>
                <w:sz w:val="22"/>
                <w:szCs w:val="22"/>
                <w:u w:val="single"/>
              </w:rPr>
              <w:t xml:space="preserve"> eventuales sustituciones. </w:t>
            </w:r>
          </w:p>
        </w:tc>
      </w:tr>
      <w:tr w:rsidR="00B15F7D" w:rsidRPr="00990FB6" w14:paraId="41C03D1E" w14:textId="77777777" w:rsidTr="000A0C22">
        <w:trPr>
          <w:trHeight w:val="580"/>
          <w:jc w:val="center"/>
        </w:trPr>
        <w:tc>
          <w:tcPr>
            <w:tcW w:w="583" w:type="pct"/>
            <w:hideMark/>
          </w:tcPr>
          <w:p w14:paraId="113D3F56"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75B37E23"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01FAF1E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25714</w:t>
            </w:r>
          </w:p>
        </w:tc>
        <w:tc>
          <w:tcPr>
            <w:tcW w:w="1045" w:type="pct"/>
            <w:hideMark/>
          </w:tcPr>
          <w:p w14:paraId="131E5DF8" w14:textId="77777777" w:rsidR="00B15F7D" w:rsidRPr="00990FB6" w:rsidRDefault="00B15F7D" w:rsidP="00B15F7D">
            <w:pPr>
              <w:rPr>
                <w:sz w:val="22"/>
                <w:szCs w:val="22"/>
                <w:u w:val="single"/>
              </w:rPr>
            </w:pPr>
            <w:r w:rsidRPr="00990FB6">
              <w:rPr>
                <w:sz w:val="22"/>
                <w:szCs w:val="22"/>
                <w:u w:val="single"/>
              </w:rPr>
              <w:t xml:space="preserve">JUEGO DE DESCANSABRAZOS PARA SILLA </w:t>
            </w:r>
          </w:p>
        </w:tc>
        <w:tc>
          <w:tcPr>
            <w:tcW w:w="550" w:type="pct"/>
            <w:hideMark/>
          </w:tcPr>
          <w:p w14:paraId="0F07B809" w14:textId="77777777" w:rsidR="00B15F7D" w:rsidRPr="00990FB6" w:rsidRDefault="00B15F7D" w:rsidP="00B15F7D">
            <w:pPr>
              <w:rPr>
                <w:sz w:val="22"/>
                <w:szCs w:val="22"/>
                <w:u w:val="single"/>
              </w:rPr>
            </w:pPr>
            <w:r w:rsidRPr="00990FB6">
              <w:rPr>
                <w:sz w:val="22"/>
                <w:szCs w:val="22"/>
                <w:u w:val="single"/>
              </w:rPr>
              <w:t>367.250,00</w:t>
            </w:r>
          </w:p>
        </w:tc>
        <w:tc>
          <w:tcPr>
            <w:tcW w:w="511" w:type="pct"/>
            <w:hideMark/>
          </w:tcPr>
          <w:p w14:paraId="362BD99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B46F85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CB18820" w14:textId="77777777" w:rsidR="00B15F7D" w:rsidRPr="00990FB6" w:rsidRDefault="00B15F7D" w:rsidP="00F60AA2">
            <w:pPr>
              <w:jc w:val="both"/>
              <w:rPr>
                <w:sz w:val="22"/>
                <w:szCs w:val="22"/>
                <w:u w:val="single"/>
              </w:rPr>
            </w:pPr>
            <w:r w:rsidRPr="00990FB6">
              <w:rPr>
                <w:sz w:val="22"/>
                <w:szCs w:val="22"/>
                <w:u w:val="single"/>
              </w:rPr>
              <w:t xml:space="preserve">Se traduce en desmejora de las condiciones de trabajo del personal, así como, de atención a la persona usuaria. </w:t>
            </w:r>
          </w:p>
        </w:tc>
      </w:tr>
      <w:tr w:rsidR="00B15F7D" w:rsidRPr="00990FB6" w14:paraId="2BAD73F1" w14:textId="77777777" w:rsidTr="000A0C22">
        <w:trPr>
          <w:trHeight w:val="1160"/>
          <w:jc w:val="center"/>
        </w:trPr>
        <w:tc>
          <w:tcPr>
            <w:tcW w:w="583" w:type="pct"/>
            <w:hideMark/>
          </w:tcPr>
          <w:p w14:paraId="06F58DBB"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154AECA5"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766521C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25877</w:t>
            </w:r>
          </w:p>
        </w:tc>
        <w:tc>
          <w:tcPr>
            <w:tcW w:w="1045" w:type="pct"/>
            <w:hideMark/>
          </w:tcPr>
          <w:p w14:paraId="20CD8CBD" w14:textId="77777777" w:rsidR="00B15F7D" w:rsidRPr="00990FB6" w:rsidRDefault="00B15F7D" w:rsidP="00B15F7D">
            <w:pPr>
              <w:rPr>
                <w:sz w:val="22"/>
                <w:szCs w:val="22"/>
                <w:u w:val="single"/>
              </w:rPr>
            </w:pPr>
            <w:r w:rsidRPr="00990FB6">
              <w:rPr>
                <w:sz w:val="22"/>
                <w:szCs w:val="22"/>
                <w:u w:val="single"/>
              </w:rPr>
              <w:t>UNIDAD DE IMAGEN PARA IMPRESORA LEXMARK MS82X, MX721, MX722,</w:t>
            </w:r>
          </w:p>
        </w:tc>
        <w:tc>
          <w:tcPr>
            <w:tcW w:w="550" w:type="pct"/>
            <w:hideMark/>
          </w:tcPr>
          <w:p w14:paraId="089CE00B" w14:textId="77777777" w:rsidR="00B15F7D" w:rsidRPr="00990FB6" w:rsidRDefault="00B15F7D" w:rsidP="00B15F7D">
            <w:pPr>
              <w:rPr>
                <w:sz w:val="22"/>
                <w:szCs w:val="22"/>
                <w:u w:val="single"/>
              </w:rPr>
            </w:pPr>
            <w:r w:rsidRPr="00990FB6">
              <w:rPr>
                <w:sz w:val="22"/>
                <w:szCs w:val="22"/>
                <w:u w:val="single"/>
              </w:rPr>
              <w:t>4.121.215,00</w:t>
            </w:r>
          </w:p>
        </w:tc>
        <w:tc>
          <w:tcPr>
            <w:tcW w:w="511" w:type="pct"/>
            <w:hideMark/>
          </w:tcPr>
          <w:p w14:paraId="054BAE0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35F5C6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C69389B"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las unidades de imagen para los equipos de impresión asignados a las fiscalías de Puntarenas, Quepos y Garabito, activos 610714, 747560 y 776836. Implica paralización de la operación de los despachos. Desmejora en la prestación del servicio público. </w:t>
            </w:r>
          </w:p>
        </w:tc>
      </w:tr>
      <w:tr w:rsidR="00B15F7D" w:rsidRPr="00990FB6" w14:paraId="4A109C0B" w14:textId="77777777" w:rsidTr="000A0C22">
        <w:trPr>
          <w:trHeight w:val="870"/>
          <w:jc w:val="center"/>
        </w:trPr>
        <w:tc>
          <w:tcPr>
            <w:tcW w:w="583" w:type="pct"/>
            <w:hideMark/>
          </w:tcPr>
          <w:p w14:paraId="3845B207"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64CB8956"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6F609D6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13829</w:t>
            </w:r>
          </w:p>
        </w:tc>
        <w:tc>
          <w:tcPr>
            <w:tcW w:w="1045" w:type="pct"/>
            <w:hideMark/>
          </w:tcPr>
          <w:p w14:paraId="68846218" w14:textId="77777777" w:rsidR="00B15F7D" w:rsidRPr="00990FB6" w:rsidRDefault="00B15F7D" w:rsidP="00B15F7D">
            <w:pPr>
              <w:rPr>
                <w:sz w:val="22"/>
                <w:szCs w:val="22"/>
                <w:u w:val="single"/>
              </w:rPr>
            </w:pPr>
            <w:r w:rsidRPr="00990FB6">
              <w:rPr>
                <w:sz w:val="22"/>
                <w:szCs w:val="22"/>
                <w:u w:val="single"/>
              </w:rPr>
              <w:t>BATERIA 12V N-50 Z</w:t>
            </w:r>
          </w:p>
        </w:tc>
        <w:tc>
          <w:tcPr>
            <w:tcW w:w="550" w:type="pct"/>
            <w:hideMark/>
          </w:tcPr>
          <w:p w14:paraId="39B42A88" w14:textId="77777777" w:rsidR="00B15F7D" w:rsidRPr="00990FB6" w:rsidRDefault="00B15F7D" w:rsidP="00B15F7D">
            <w:pPr>
              <w:rPr>
                <w:sz w:val="22"/>
                <w:szCs w:val="22"/>
                <w:u w:val="single"/>
              </w:rPr>
            </w:pPr>
            <w:r w:rsidRPr="00990FB6">
              <w:rPr>
                <w:sz w:val="22"/>
                <w:szCs w:val="22"/>
                <w:u w:val="single"/>
              </w:rPr>
              <w:t>130.515,00</w:t>
            </w:r>
          </w:p>
        </w:tc>
        <w:tc>
          <w:tcPr>
            <w:tcW w:w="511" w:type="pct"/>
            <w:noWrap/>
            <w:hideMark/>
          </w:tcPr>
          <w:p w14:paraId="4FD067E4"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92E706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59B8380"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batería para las unidades de la Fiscalía General </w:t>
            </w:r>
            <w:proofErr w:type="gramStart"/>
            <w:r w:rsidRPr="00990FB6">
              <w:rPr>
                <w:sz w:val="22"/>
                <w:szCs w:val="22"/>
                <w:u w:val="single"/>
              </w:rPr>
              <w:t>( BPX</w:t>
            </w:r>
            <w:proofErr w:type="gramEnd"/>
            <w:r w:rsidRPr="00990FB6">
              <w:rPr>
                <w:sz w:val="22"/>
                <w:szCs w:val="22"/>
                <w:u w:val="single"/>
              </w:rPr>
              <w:t xml:space="preserve">862, BPZ682). Desmejora en la prestación del servicio público. </w:t>
            </w:r>
          </w:p>
        </w:tc>
      </w:tr>
      <w:tr w:rsidR="00B15F7D" w:rsidRPr="00990FB6" w14:paraId="41226565" w14:textId="77777777" w:rsidTr="000A0C22">
        <w:trPr>
          <w:trHeight w:val="870"/>
          <w:jc w:val="center"/>
        </w:trPr>
        <w:tc>
          <w:tcPr>
            <w:tcW w:w="583" w:type="pct"/>
            <w:hideMark/>
          </w:tcPr>
          <w:p w14:paraId="7A3F23F7"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6353AFFE"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1C93877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13830</w:t>
            </w:r>
          </w:p>
        </w:tc>
        <w:tc>
          <w:tcPr>
            <w:tcW w:w="1045" w:type="pct"/>
            <w:hideMark/>
          </w:tcPr>
          <w:p w14:paraId="62C0415C" w14:textId="77777777" w:rsidR="00B15F7D" w:rsidRPr="00990FB6" w:rsidRDefault="00B15F7D" w:rsidP="00B15F7D">
            <w:pPr>
              <w:rPr>
                <w:sz w:val="22"/>
                <w:szCs w:val="22"/>
                <w:u w:val="single"/>
              </w:rPr>
            </w:pPr>
            <w:r w:rsidRPr="00990FB6">
              <w:rPr>
                <w:sz w:val="22"/>
                <w:szCs w:val="22"/>
                <w:u w:val="single"/>
              </w:rPr>
              <w:t>BATERIA 12V N-70 Z</w:t>
            </w:r>
          </w:p>
        </w:tc>
        <w:tc>
          <w:tcPr>
            <w:tcW w:w="550" w:type="pct"/>
            <w:hideMark/>
          </w:tcPr>
          <w:p w14:paraId="0498468F" w14:textId="77777777" w:rsidR="00B15F7D" w:rsidRPr="00990FB6" w:rsidRDefault="00B15F7D" w:rsidP="00B15F7D">
            <w:pPr>
              <w:rPr>
                <w:sz w:val="22"/>
                <w:szCs w:val="22"/>
                <w:u w:val="single"/>
              </w:rPr>
            </w:pPr>
            <w:r w:rsidRPr="00990FB6">
              <w:rPr>
                <w:sz w:val="22"/>
                <w:szCs w:val="22"/>
                <w:u w:val="single"/>
              </w:rPr>
              <w:t>242.101,00</w:t>
            </w:r>
          </w:p>
        </w:tc>
        <w:tc>
          <w:tcPr>
            <w:tcW w:w="511" w:type="pct"/>
            <w:noWrap/>
            <w:hideMark/>
          </w:tcPr>
          <w:p w14:paraId="60D7912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8E8374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F9E25F2" w14:textId="77777777" w:rsidR="00B15F7D" w:rsidRPr="00990FB6" w:rsidRDefault="00B15F7D" w:rsidP="00F60AA2">
            <w:pPr>
              <w:jc w:val="both"/>
              <w:rPr>
                <w:sz w:val="22"/>
                <w:szCs w:val="22"/>
                <w:u w:val="single"/>
              </w:rPr>
            </w:pPr>
            <w:r w:rsidRPr="00990FB6">
              <w:rPr>
                <w:sz w:val="22"/>
                <w:szCs w:val="22"/>
                <w:u w:val="single"/>
              </w:rPr>
              <w:t xml:space="preserve">No correcto mantenimiento y reparación de las </w:t>
            </w:r>
            <w:proofErr w:type="gramStart"/>
            <w:r w:rsidRPr="00990FB6">
              <w:rPr>
                <w:sz w:val="22"/>
                <w:szCs w:val="22"/>
                <w:u w:val="single"/>
              </w:rPr>
              <w:t>unidades,  lo</w:t>
            </w:r>
            <w:proofErr w:type="gramEnd"/>
            <w:r w:rsidRPr="00990FB6">
              <w:rPr>
                <w:sz w:val="22"/>
                <w:szCs w:val="22"/>
                <w:u w:val="single"/>
              </w:rPr>
              <w:t xml:space="preserve"> </w:t>
            </w:r>
            <w:r w:rsidRPr="00990FB6">
              <w:rPr>
                <w:sz w:val="22"/>
                <w:szCs w:val="22"/>
                <w:u w:val="single"/>
              </w:rPr>
              <w:lastRenderedPageBreak/>
              <w:t xml:space="preserve">cual se traduce en riesgo para el personal que lo utiliza en la atención de las diferentes diligencias judiciales. Desmejora en valor del </w:t>
            </w:r>
            <w:proofErr w:type="gramStart"/>
            <w:r w:rsidRPr="00990FB6">
              <w:rPr>
                <w:sz w:val="22"/>
                <w:szCs w:val="22"/>
                <w:u w:val="single"/>
              </w:rPr>
              <w:t>activo  para</w:t>
            </w:r>
            <w:proofErr w:type="gramEnd"/>
            <w:r w:rsidRPr="00990FB6">
              <w:rPr>
                <w:sz w:val="22"/>
                <w:szCs w:val="22"/>
                <w:u w:val="single"/>
              </w:rPr>
              <w:t xml:space="preserve"> eventuales sustituciones. </w:t>
            </w:r>
          </w:p>
        </w:tc>
      </w:tr>
      <w:tr w:rsidR="00B15F7D" w:rsidRPr="00990FB6" w14:paraId="49212461" w14:textId="77777777" w:rsidTr="000A0C22">
        <w:trPr>
          <w:trHeight w:val="870"/>
          <w:jc w:val="center"/>
        </w:trPr>
        <w:tc>
          <w:tcPr>
            <w:tcW w:w="583" w:type="pct"/>
            <w:hideMark/>
          </w:tcPr>
          <w:p w14:paraId="5F989B2C"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7C85CBC2"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33E6DD7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13836</w:t>
            </w:r>
          </w:p>
        </w:tc>
        <w:tc>
          <w:tcPr>
            <w:tcW w:w="1045" w:type="pct"/>
            <w:hideMark/>
          </w:tcPr>
          <w:p w14:paraId="3ACA1D94" w14:textId="77777777" w:rsidR="00B15F7D" w:rsidRPr="00990FB6" w:rsidRDefault="00B15F7D" w:rsidP="00B15F7D">
            <w:pPr>
              <w:rPr>
                <w:sz w:val="22"/>
                <w:szCs w:val="22"/>
                <w:u w:val="single"/>
                <w:lang w:val="pt-PT"/>
              </w:rPr>
            </w:pPr>
            <w:r w:rsidRPr="00990FB6">
              <w:rPr>
                <w:sz w:val="22"/>
                <w:szCs w:val="22"/>
                <w:u w:val="single"/>
                <w:lang w:val="pt-PT"/>
              </w:rPr>
              <w:t>BATERIA ROCKET ES 40 - 12V 40 A/H</w:t>
            </w:r>
          </w:p>
        </w:tc>
        <w:tc>
          <w:tcPr>
            <w:tcW w:w="550" w:type="pct"/>
            <w:hideMark/>
          </w:tcPr>
          <w:p w14:paraId="76DD9552" w14:textId="77777777" w:rsidR="00B15F7D" w:rsidRPr="00990FB6" w:rsidRDefault="00B15F7D" w:rsidP="00B15F7D">
            <w:pPr>
              <w:rPr>
                <w:sz w:val="22"/>
                <w:szCs w:val="22"/>
                <w:u w:val="single"/>
              </w:rPr>
            </w:pPr>
            <w:r w:rsidRPr="00990FB6">
              <w:rPr>
                <w:sz w:val="22"/>
                <w:szCs w:val="22"/>
                <w:u w:val="single"/>
              </w:rPr>
              <w:t>127.039,00</w:t>
            </w:r>
          </w:p>
        </w:tc>
        <w:tc>
          <w:tcPr>
            <w:tcW w:w="511" w:type="pct"/>
            <w:noWrap/>
            <w:hideMark/>
          </w:tcPr>
          <w:p w14:paraId="2DB673D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B8694C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505C347"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batería para las unidades de la Fiscalía </w:t>
            </w:r>
            <w:proofErr w:type="gramStart"/>
            <w:r w:rsidRPr="00990FB6">
              <w:rPr>
                <w:sz w:val="22"/>
                <w:szCs w:val="22"/>
                <w:u w:val="single"/>
              </w:rPr>
              <w:t>de  Corredores</w:t>
            </w:r>
            <w:proofErr w:type="gramEnd"/>
            <w:r w:rsidRPr="00990FB6">
              <w:rPr>
                <w:sz w:val="22"/>
                <w:szCs w:val="22"/>
                <w:u w:val="single"/>
              </w:rPr>
              <w:t xml:space="preserve"> (CL 275372), Golfito (CL303277), Puerto Jiménez (CL292871). Desmejora en la prestación del servicio público. </w:t>
            </w:r>
          </w:p>
        </w:tc>
      </w:tr>
      <w:tr w:rsidR="00B15F7D" w:rsidRPr="00990FB6" w14:paraId="272C759D" w14:textId="77777777" w:rsidTr="000A0C22">
        <w:trPr>
          <w:trHeight w:val="870"/>
          <w:jc w:val="center"/>
        </w:trPr>
        <w:tc>
          <w:tcPr>
            <w:tcW w:w="583" w:type="pct"/>
            <w:hideMark/>
          </w:tcPr>
          <w:p w14:paraId="177D6FD0"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4237387B"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5B7EB02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13992</w:t>
            </w:r>
          </w:p>
        </w:tc>
        <w:tc>
          <w:tcPr>
            <w:tcW w:w="1045" w:type="pct"/>
            <w:hideMark/>
          </w:tcPr>
          <w:p w14:paraId="2639CB53" w14:textId="77777777" w:rsidR="00B15F7D" w:rsidRPr="00990FB6" w:rsidRDefault="00B15F7D" w:rsidP="00B15F7D">
            <w:pPr>
              <w:rPr>
                <w:sz w:val="22"/>
                <w:szCs w:val="22"/>
                <w:u w:val="single"/>
              </w:rPr>
            </w:pPr>
            <w:r w:rsidRPr="00990FB6">
              <w:rPr>
                <w:sz w:val="22"/>
                <w:szCs w:val="22"/>
                <w:u w:val="single"/>
              </w:rPr>
              <w:t>MANILLA PARA CLUTCH O FRENO</w:t>
            </w:r>
          </w:p>
        </w:tc>
        <w:tc>
          <w:tcPr>
            <w:tcW w:w="550" w:type="pct"/>
            <w:hideMark/>
          </w:tcPr>
          <w:p w14:paraId="1239F73D" w14:textId="77777777" w:rsidR="00B15F7D" w:rsidRPr="00990FB6" w:rsidRDefault="00B15F7D" w:rsidP="00B15F7D">
            <w:pPr>
              <w:rPr>
                <w:sz w:val="22"/>
                <w:szCs w:val="22"/>
                <w:u w:val="single"/>
              </w:rPr>
            </w:pPr>
            <w:r w:rsidRPr="00990FB6">
              <w:rPr>
                <w:sz w:val="22"/>
                <w:szCs w:val="22"/>
                <w:u w:val="single"/>
              </w:rPr>
              <w:t>9.846,00</w:t>
            </w:r>
          </w:p>
        </w:tc>
        <w:tc>
          <w:tcPr>
            <w:tcW w:w="511" w:type="pct"/>
            <w:noWrap/>
            <w:hideMark/>
          </w:tcPr>
          <w:p w14:paraId="54CE889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25B1A3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C099881" w14:textId="77777777" w:rsidR="00B15F7D" w:rsidRPr="00990FB6" w:rsidRDefault="00B15F7D" w:rsidP="00F60AA2">
            <w:pPr>
              <w:jc w:val="both"/>
              <w:rPr>
                <w:sz w:val="22"/>
                <w:szCs w:val="22"/>
                <w:u w:val="single"/>
              </w:rPr>
            </w:pPr>
            <w:r w:rsidRPr="00990FB6">
              <w:rPr>
                <w:sz w:val="22"/>
                <w:szCs w:val="22"/>
                <w:u w:val="single"/>
              </w:rPr>
              <w:t xml:space="preserve">No correcto mantenimiento y reparación de las </w:t>
            </w:r>
            <w:proofErr w:type="gramStart"/>
            <w:r w:rsidRPr="00990FB6">
              <w:rPr>
                <w:sz w:val="22"/>
                <w:szCs w:val="22"/>
                <w:u w:val="single"/>
              </w:rPr>
              <w:t>unidades,  lo</w:t>
            </w:r>
            <w:proofErr w:type="gramEnd"/>
            <w:r w:rsidRPr="00990FB6">
              <w:rPr>
                <w:sz w:val="22"/>
                <w:szCs w:val="22"/>
                <w:u w:val="single"/>
              </w:rPr>
              <w:t xml:space="preserve"> cual se traduce en riesgo para el personal que lo utiliza en la atención de las diferentes diligencias </w:t>
            </w:r>
            <w:r w:rsidRPr="00990FB6">
              <w:rPr>
                <w:sz w:val="22"/>
                <w:szCs w:val="22"/>
                <w:u w:val="single"/>
              </w:rPr>
              <w:lastRenderedPageBreak/>
              <w:t xml:space="preserve">judiciales. Desmejora en valor del </w:t>
            </w:r>
            <w:proofErr w:type="gramStart"/>
            <w:r w:rsidRPr="00990FB6">
              <w:rPr>
                <w:sz w:val="22"/>
                <w:szCs w:val="22"/>
                <w:u w:val="single"/>
              </w:rPr>
              <w:t>activo  para</w:t>
            </w:r>
            <w:proofErr w:type="gramEnd"/>
            <w:r w:rsidRPr="00990FB6">
              <w:rPr>
                <w:sz w:val="22"/>
                <w:szCs w:val="22"/>
                <w:u w:val="single"/>
              </w:rPr>
              <w:t xml:space="preserve"> eventuales sustituciones. </w:t>
            </w:r>
          </w:p>
        </w:tc>
      </w:tr>
      <w:tr w:rsidR="00B15F7D" w:rsidRPr="00990FB6" w14:paraId="1DA0FBEA" w14:textId="77777777" w:rsidTr="000A0C22">
        <w:trPr>
          <w:trHeight w:val="1450"/>
          <w:jc w:val="center"/>
        </w:trPr>
        <w:tc>
          <w:tcPr>
            <w:tcW w:w="583" w:type="pct"/>
            <w:hideMark/>
          </w:tcPr>
          <w:p w14:paraId="6FA8DF53"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3C8C6472"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70F6357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14128</w:t>
            </w:r>
          </w:p>
        </w:tc>
        <w:tc>
          <w:tcPr>
            <w:tcW w:w="1045" w:type="pct"/>
            <w:hideMark/>
          </w:tcPr>
          <w:p w14:paraId="306DFE15" w14:textId="77777777" w:rsidR="00B15F7D" w:rsidRPr="00990FB6" w:rsidRDefault="00B15F7D" w:rsidP="00B15F7D">
            <w:pPr>
              <w:rPr>
                <w:sz w:val="22"/>
                <w:szCs w:val="22"/>
                <w:u w:val="single"/>
              </w:rPr>
            </w:pPr>
            <w:r w:rsidRPr="00990FB6">
              <w:rPr>
                <w:sz w:val="22"/>
                <w:szCs w:val="22"/>
                <w:u w:val="single"/>
              </w:rPr>
              <w:t>FILTRO DE DIESEL</w:t>
            </w:r>
          </w:p>
        </w:tc>
        <w:tc>
          <w:tcPr>
            <w:tcW w:w="550" w:type="pct"/>
            <w:hideMark/>
          </w:tcPr>
          <w:p w14:paraId="06B93C2E" w14:textId="77777777" w:rsidR="00B15F7D" w:rsidRPr="00990FB6" w:rsidRDefault="00B15F7D" w:rsidP="00B15F7D">
            <w:pPr>
              <w:rPr>
                <w:sz w:val="22"/>
                <w:szCs w:val="22"/>
                <w:u w:val="single"/>
              </w:rPr>
            </w:pPr>
            <w:r w:rsidRPr="00990FB6">
              <w:rPr>
                <w:sz w:val="22"/>
                <w:szCs w:val="22"/>
                <w:u w:val="single"/>
              </w:rPr>
              <w:t>2.549.201,00</w:t>
            </w:r>
          </w:p>
        </w:tc>
        <w:tc>
          <w:tcPr>
            <w:tcW w:w="511" w:type="pct"/>
            <w:noWrap/>
            <w:hideMark/>
          </w:tcPr>
          <w:p w14:paraId="0B466E4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80265A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F027DCC"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filtros para las unidades de la Fiscalía </w:t>
            </w:r>
            <w:proofErr w:type="gramStart"/>
            <w:r w:rsidRPr="00990FB6">
              <w:rPr>
                <w:sz w:val="22"/>
                <w:szCs w:val="22"/>
                <w:u w:val="single"/>
              </w:rPr>
              <w:t>de  Pérez</w:t>
            </w:r>
            <w:proofErr w:type="gramEnd"/>
            <w:r w:rsidRPr="00990FB6">
              <w:rPr>
                <w:sz w:val="22"/>
                <w:szCs w:val="22"/>
                <w:u w:val="single"/>
              </w:rPr>
              <w:t xml:space="preserve"> Zeledón (CL303292), Alajuela (CL275373), Osa (CL 307386), Corredores (CL 275372), Limón (CL307372, BCY341),Pococí (BKY749, BNX949),  Siquirres (CL321306), </w:t>
            </w:r>
            <w:proofErr w:type="spellStart"/>
            <w:r w:rsidRPr="00990FB6">
              <w:rPr>
                <w:sz w:val="22"/>
                <w:szCs w:val="22"/>
                <w:u w:val="single"/>
              </w:rPr>
              <w:t>Bribrí</w:t>
            </w:r>
            <w:proofErr w:type="spellEnd"/>
            <w:r w:rsidRPr="00990FB6">
              <w:rPr>
                <w:sz w:val="22"/>
                <w:szCs w:val="22"/>
                <w:u w:val="single"/>
              </w:rPr>
              <w:t xml:space="preserve"> (CL307722), Guatuso (CL 307430), Buenos Aires (CL307452), Coto Brus (CL292868), Puerto Jiménez (CL292871), Batán (CL229487). </w:t>
            </w:r>
          </w:p>
        </w:tc>
      </w:tr>
      <w:tr w:rsidR="00B15F7D" w:rsidRPr="00990FB6" w14:paraId="41488123" w14:textId="77777777" w:rsidTr="000A0C22">
        <w:trPr>
          <w:trHeight w:val="1453"/>
          <w:jc w:val="center"/>
        </w:trPr>
        <w:tc>
          <w:tcPr>
            <w:tcW w:w="583" w:type="pct"/>
            <w:hideMark/>
          </w:tcPr>
          <w:p w14:paraId="43ECFCC6"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75AA1DAE"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1A418FA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14147</w:t>
            </w:r>
          </w:p>
        </w:tc>
        <w:tc>
          <w:tcPr>
            <w:tcW w:w="1045" w:type="pct"/>
            <w:hideMark/>
          </w:tcPr>
          <w:p w14:paraId="6031B63D" w14:textId="77777777" w:rsidR="00B15F7D" w:rsidRPr="00990FB6" w:rsidRDefault="00B15F7D" w:rsidP="00B15F7D">
            <w:pPr>
              <w:rPr>
                <w:sz w:val="22"/>
                <w:szCs w:val="22"/>
                <w:u w:val="single"/>
              </w:rPr>
            </w:pPr>
            <w:r w:rsidRPr="00990FB6">
              <w:rPr>
                <w:sz w:val="22"/>
                <w:szCs w:val="22"/>
                <w:u w:val="single"/>
              </w:rPr>
              <w:t>ESCOBILLA PARA VEHICULO</w:t>
            </w:r>
          </w:p>
        </w:tc>
        <w:tc>
          <w:tcPr>
            <w:tcW w:w="550" w:type="pct"/>
            <w:hideMark/>
          </w:tcPr>
          <w:p w14:paraId="6E292C8E" w14:textId="77777777" w:rsidR="00B15F7D" w:rsidRPr="00990FB6" w:rsidRDefault="00B15F7D" w:rsidP="00B15F7D">
            <w:pPr>
              <w:rPr>
                <w:sz w:val="22"/>
                <w:szCs w:val="22"/>
                <w:u w:val="single"/>
              </w:rPr>
            </w:pPr>
            <w:r w:rsidRPr="00990FB6">
              <w:rPr>
                <w:sz w:val="22"/>
                <w:szCs w:val="22"/>
                <w:u w:val="single"/>
              </w:rPr>
              <w:t>1.289.819,00</w:t>
            </w:r>
          </w:p>
        </w:tc>
        <w:tc>
          <w:tcPr>
            <w:tcW w:w="511" w:type="pct"/>
            <w:noWrap/>
            <w:hideMark/>
          </w:tcPr>
          <w:p w14:paraId="3C9F4117"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490F2C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7BEE449"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w:t>
            </w:r>
            <w:proofErr w:type="gramStart"/>
            <w:r w:rsidRPr="00990FB6">
              <w:rPr>
                <w:sz w:val="22"/>
                <w:szCs w:val="22"/>
                <w:u w:val="single"/>
              </w:rPr>
              <w:t>escobillas  para</w:t>
            </w:r>
            <w:proofErr w:type="gramEnd"/>
            <w:r w:rsidRPr="00990FB6">
              <w:rPr>
                <w:sz w:val="22"/>
                <w:szCs w:val="22"/>
                <w:u w:val="single"/>
              </w:rPr>
              <w:t xml:space="preserve"> las unidades de Fiscalía General (BNQ430, BPX862, BPZ682),  Alajuela (CL275373), Grecia (CL307370),  San Ramón (BLB052), Turrialba (CL306334),  Limón (CL307372, BCY341), Coto Brus (CL292868), Atenas (CL229449),  Golfito (CL303277). Desmejora en la prestación del servicio público. </w:t>
            </w:r>
          </w:p>
        </w:tc>
      </w:tr>
      <w:tr w:rsidR="00B15F7D" w:rsidRPr="00990FB6" w14:paraId="1AB4C631" w14:textId="77777777" w:rsidTr="000A0C22">
        <w:trPr>
          <w:trHeight w:val="870"/>
          <w:jc w:val="center"/>
        </w:trPr>
        <w:tc>
          <w:tcPr>
            <w:tcW w:w="583" w:type="pct"/>
            <w:hideMark/>
          </w:tcPr>
          <w:p w14:paraId="158EF389"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28217DC0"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27E2045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22565</w:t>
            </w:r>
          </w:p>
        </w:tc>
        <w:tc>
          <w:tcPr>
            <w:tcW w:w="1045" w:type="pct"/>
            <w:hideMark/>
          </w:tcPr>
          <w:p w14:paraId="24CC81E7" w14:textId="77777777" w:rsidR="00B15F7D" w:rsidRPr="00990FB6" w:rsidRDefault="00B15F7D" w:rsidP="00B15F7D">
            <w:pPr>
              <w:rPr>
                <w:sz w:val="22"/>
                <w:szCs w:val="22"/>
                <w:u w:val="single"/>
              </w:rPr>
            </w:pPr>
            <w:r w:rsidRPr="00990FB6">
              <w:rPr>
                <w:sz w:val="22"/>
                <w:szCs w:val="22"/>
                <w:u w:val="single"/>
              </w:rPr>
              <w:t>LLANTA 265-65-R17AT</w:t>
            </w:r>
          </w:p>
        </w:tc>
        <w:tc>
          <w:tcPr>
            <w:tcW w:w="550" w:type="pct"/>
            <w:hideMark/>
          </w:tcPr>
          <w:p w14:paraId="54A032AA" w14:textId="77777777" w:rsidR="00B15F7D" w:rsidRPr="00990FB6" w:rsidRDefault="00B15F7D" w:rsidP="00B15F7D">
            <w:pPr>
              <w:rPr>
                <w:sz w:val="22"/>
                <w:szCs w:val="22"/>
                <w:u w:val="single"/>
              </w:rPr>
            </w:pPr>
            <w:r w:rsidRPr="00990FB6">
              <w:rPr>
                <w:sz w:val="22"/>
                <w:szCs w:val="22"/>
                <w:u w:val="single"/>
              </w:rPr>
              <w:t>1.158.055,00</w:t>
            </w:r>
          </w:p>
        </w:tc>
        <w:tc>
          <w:tcPr>
            <w:tcW w:w="511" w:type="pct"/>
            <w:noWrap/>
            <w:hideMark/>
          </w:tcPr>
          <w:p w14:paraId="20C482F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DE21EF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6C9E721" w14:textId="77777777" w:rsidR="00B15F7D" w:rsidRPr="00990FB6" w:rsidRDefault="00B15F7D" w:rsidP="00F60AA2">
            <w:pPr>
              <w:jc w:val="both"/>
              <w:rPr>
                <w:sz w:val="22"/>
                <w:szCs w:val="22"/>
                <w:u w:val="single"/>
              </w:rPr>
            </w:pPr>
            <w:r w:rsidRPr="00990FB6">
              <w:rPr>
                <w:sz w:val="22"/>
                <w:szCs w:val="22"/>
                <w:u w:val="single"/>
              </w:rPr>
              <w:t xml:space="preserve">Sacrificio total de los recursos formulados en el artículo. No se podrá adquirir </w:t>
            </w:r>
            <w:proofErr w:type="gramStart"/>
            <w:r w:rsidRPr="00990FB6">
              <w:rPr>
                <w:sz w:val="22"/>
                <w:szCs w:val="22"/>
                <w:u w:val="single"/>
              </w:rPr>
              <w:t>llantas  para</w:t>
            </w:r>
            <w:proofErr w:type="gramEnd"/>
            <w:r w:rsidRPr="00990FB6">
              <w:rPr>
                <w:sz w:val="22"/>
                <w:szCs w:val="22"/>
                <w:u w:val="single"/>
              </w:rPr>
              <w:t xml:space="preserve"> las unidades de Fiscalía General (BNQ430, </w:t>
            </w:r>
            <w:r w:rsidRPr="00990FB6">
              <w:rPr>
                <w:sz w:val="22"/>
                <w:szCs w:val="22"/>
                <w:u w:val="single"/>
              </w:rPr>
              <w:lastRenderedPageBreak/>
              <w:t xml:space="preserve">BPX862, BPZ682). Desmejora en la prestación del servicio público. </w:t>
            </w:r>
          </w:p>
        </w:tc>
      </w:tr>
      <w:tr w:rsidR="00B15F7D" w:rsidRPr="00990FB6" w14:paraId="6A0837A6" w14:textId="77777777" w:rsidTr="000A0C22">
        <w:trPr>
          <w:trHeight w:val="290"/>
          <w:jc w:val="center"/>
        </w:trPr>
        <w:tc>
          <w:tcPr>
            <w:tcW w:w="583" w:type="pct"/>
            <w:hideMark/>
          </w:tcPr>
          <w:p w14:paraId="2423FA2D" w14:textId="77777777" w:rsidR="00B15F7D" w:rsidRPr="00990FB6" w:rsidRDefault="00B15F7D" w:rsidP="00B15F7D">
            <w:pPr>
              <w:rPr>
                <w:sz w:val="22"/>
                <w:szCs w:val="22"/>
                <w:u w:val="single"/>
              </w:rPr>
            </w:pPr>
            <w:r w:rsidRPr="00990FB6">
              <w:rPr>
                <w:sz w:val="22"/>
                <w:szCs w:val="22"/>
                <w:u w:val="single"/>
              </w:rPr>
              <w:lastRenderedPageBreak/>
              <w:t>20402</w:t>
            </w:r>
          </w:p>
        </w:tc>
        <w:tc>
          <w:tcPr>
            <w:tcW w:w="578" w:type="pct"/>
            <w:hideMark/>
          </w:tcPr>
          <w:p w14:paraId="134168EA"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4F62A74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23116</w:t>
            </w:r>
          </w:p>
        </w:tc>
        <w:tc>
          <w:tcPr>
            <w:tcW w:w="1045" w:type="pct"/>
            <w:hideMark/>
          </w:tcPr>
          <w:p w14:paraId="16B9546C" w14:textId="77777777" w:rsidR="00B15F7D" w:rsidRPr="00990FB6" w:rsidRDefault="00B15F7D" w:rsidP="00B15F7D">
            <w:pPr>
              <w:rPr>
                <w:sz w:val="22"/>
                <w:szCs w:val="22"/>
                <w:u w:val="single"/>
              </w:rPr>
            </w:pPr>
            <w:r w:rsidRPr="00990FB6">
              <w:rPr>
                <w:sz w:val="22"/>
                <w:szCs w:val="22"/>
                <w:u w:val="single"/>
              </w:rPr>
              <w:t>BATERIA AAA RECARGABLE</w:t>
            </w:r>
          </w:p>
        </w:tc>
        <w:tc>
          <w:tcPr>
            <w:tcW w:w="550" w:type="pct"/>
            <w:hideMark/>
          </w:tcPr>
          <w:p w14:paraId="5EE87B17" w14:textId="77777777" w:rsidR="00B15F7D" w:rsidRPr="00990FB6" w:rsidRDefault="00B15F7D" w:rsidP="00B15F7D">
            <w:pPr>
              <w:rPr>
                <w:sz w:val="22"/>
                <w:szCs w:val="22"/>
                <w:u w:val="single"/>
              </w:rPr>
            </w:pPr>
            <w:r w:rsidRPr="00990FB6">
              <w:rPr>
                <w:sz w:val="22"/>
                <w:szCs w:val="22"/>
                <w:u w:val="single"/>
              </w:rPr>
              <w:t>54.353,00</w:t>
            </w:r>
          </w:p>
        </w:tc>
        <w:tc>
          <w:tcPr>
            <w:tcW w:w="511" w:type="pct"/>
            <w:noWrap/>
            <w:hideMark/>
          </w:tcPr>
          <w:p w14:paraId="17C7029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8BC120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20CA44E" w14:textId="77777777" w:rsidR="00B15F7D" w:rsidRPr="00990FB6" w:rsidRDefault="00B15F7D" w:rsidP="00F60AA2">
            <w:pPr>
              <w:jc w:val="both"/>
              <w:rPr>
                <w:sz w:val="22"/>
                <w:szCs w:val="22"/>
                <w:u w:val="single"/>
              </w:rPr>
            </w:pPr>
            <w:r w:rsidRPr="00990FB6">
              <w:rPr>
                <w:sz w:val="22"/>
                <w:szCs w:val="22"/>
                <w:u w:val="single"/>
              </w:rPr>
              <w:t> </w:t>
            </w:r>
          </w:p>
        </w:tc>
      </w:tr>
      <w:tr w:rsidR="00B15F7D" w:rsidRPr="00990FB6" w14:paraId="395D82FE" w14:textId="77777777" w:rsidTr="000A0C22">
        <w:trPr>
          <w:trHeight w:val="580"/>
          <w:jc w:val="center"/>
        </w:trPr>
        <w:tc>
          <w:tcPr>
            <w:tcW w:w="583" w:type="pct"/>
            <w:hideMark/>
          </w:tcPr>
          <w:p w14:paraId="584BCA1F" w14:textId="77777777" w:rsidR="00B15F7D" w:rsidRPr="00990FB6" w:rsidRDefault="00B15F7D" w:rsidP="00B15F7D">
            <w:pPr>
              <w:rPr>
                <w:sz w:val="22"/>
                <w:szCs w:val="22"/>
                <w:u w:val="single"/>
              </w:rPr>
            </w:pPr>
            <w:r w:rsidRPr="00990FB6">
              <w:rPr>
                <w:sz w:val="22"/>
                <w:szCs w:val="22"/>
                <w:u w:val="single"/>
              </w:rPr>
              <w:t>20402</w:t>
            </w:r>
          </w:p>
        </w:tc>
        <w:tc>
          <w:tcPr>
            <w:tcW w:w="578" w:type="pct"/>
            <w:hideMark/>
          </w:tcPr>
          <w:p w14:paraId="6E95F9E6" w14:textId="77777777" w:rsidR="00B15F7D" w:rsidRPr="00990FB6" w:rsidRDefault="00B15F7D" w:rsidP="00B15F7D">
            <w:pPr>
              <w:rPr>
                <w:sz w:val="22"/>
                <w:szCs w:val="22"/>
                <w:u w:val="single"/>
              </w:rPr>
            </w:pPr>
            <w:r w:rsidRPr="00990FB6">
              <w:rPr>
                <w:sz w:val="22"/>
                <w:szCs w:val="22"/>
                <w:u w:val="single"/>
              </w:rPr>
              <w:t>Repuestos y accesorios</w:t>
            </w:r>
          </w:p>
        </w:tc>
        <w:tc>
          <w:tcPr>
            <w:tcW w:w="363" w:type="pct"/>
            <w:hideMark/>
          </w:tcPr>
          <w:p w14:paraId="0AA0E95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25783</w:t>
            </w:r>
          </w:p>
        </w:tc>
        <w:tc>
          <w:tcPr>
            <w:tcW w:w="1045" w:type="pct"/>
            <w:hideMark/>
          </w:tcPr>
          <w:p w14:paraId="5A23662C" w14:textId="77777777" w:rsidR="00B15F7D" w:rsidRPr="00990FB6" w:rsidRDefault="00B15F7D" w:rsidP="00B15F7D">
            <w:pPr>
              <w:rPr>
                <w:sz w:val="22"/>
                <w:szCs w:val="22"/>
                <w:u w:val="single"/>
              </w:rPr>
            </w:pPr>
            <w:r w:rsidRPr="00990FB6">
              <w:rPr>
                <w:sz w:val="22"/>
                <w:szCs w:val="22"/>
                <w:u w:val="single"/>
              </w:rPr>
              <w:t>UNIDAD DE IMAGEN PARA IMPRESORA LEXMARK MS82X, MX721, MX722,</w:t>
            </w:r>
          </w:p>
        </w:tc>
        <w:tc>
          <w:tcPr>
            <w:tcW w:w="550" w:type="pct"/>
            <w:hideMark/>
          </w:tcPr>
          <w:p w14:paraId="1B138419" w14:textId="77777777" w:rsidR="00B15F7D" w:rsidRPr="00990FB6" w:rsidRDefault="00B15F7D" w:rsidP="00B15F7D">
            <w:pPr>
              <w:rPr>
                <w:sz w:val="22"/>
                <w:szCs w:val="22"/>
                <w:u w:val="single"/>
              </w:rPr>
            </w:pPr>
            <w:r w:rsidRPr="00990FB6">
              <w:rPr>
                <w:sz w:val="22"/>
                <w:szCs w:val="22"/>
                <w:u w:val="single"/>
              </w:rPr>
              <w:t>558.808,00</w:t>
            </w:r>
          </w:p>
        </w:tc>
        <w:tc>
          <w:tcPr>
            <w:tcW w:w="511" w:type="pct"/>
            <w:noWrap/>
            <w:hideMark/>
          </w:tcPr>
          <w:p w14:paraId="56BF6BF4"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89D445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4526E48" w14:textId="77777777" w:rsidR="00B15F7D" w:rsidRPr="00990FB6" w:rsidRDefault="00B15F7D" w:rsidP="00F60AA2">
            <w:pPr>
              <w:jc w:val="both"/>
              <w:rPr>
                <w:sz w:val="22"/>
                <w:szCs w:val="22"/>
                <w:u w:val="single"/>
              </w:rPr>
            </w:pPr>
            <w:r w:rsidRPr="00990FB6">
              <w:rPr>
                <w:sz w:val="22"/>
                <w:szCs w:val="22"/>
                <w:u w:val="single"/>
              </w:rPr>
              <w:t xml:space="preserve">Riesgo de no contar con los suministros de </w:t>
            </w:r>
            <w:proofErr w:type="gramStart"/>
            <w:r w:rsidRPr="00990FB6">
              <w:rPr>
                <w:sz w:val="22"/>
                <w:szCs w:val="22"/>
                <w:u w:val="single"/>
              </w:rPr>
              <w:t>oficina  y</w:t>
            </w:r>
            <w:proofErr w:type="gramEnd"/>
            <w:r w:rsidRPr="00990FB6">
              <w:rPr>
                <w:sz w:val="22"/>
                <w:szCs w:val="22"/>
                <w:u w:val="single"/>
              </w:rPr>
              <w:t xml:space="preserve"> consumibles necesarios para la correcta  operación de las oficinas y la atención de los usuarios.  </w:t>
            </w:r>
          </w:p>
        </w:tc>
      </w:tr>
      <w:tr w:rsidR="00B15F7D" w:rsidRPr="00990FB6" w14:paraId="1C64E67D" w14:textId="77777777" w:rsidTr="000A0C22">
        <w:trPr>
          <w:trHeight w:val="580"/>
          <w:jc w:val="center"/>
        </w:trPr>
        <w:tc>
          <w:tcPr>
            <w:tcW w:w="583" w:type="pct"/>
            <w:hideMark/>
          </w:tcPr>
          <w:p w14:paraId="53772503"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1CD3BCA8"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01F9475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14309</w:t>
            </w:r>
          </w:p>
        </w:tc>
        <w:tc>
          <w:tcPr>
            <w:tcW w:w="1045" w:type="pct"/>
            <w:hideMark/>
          </w:tcPr>
          <w:p w14:paraId="53325A99" w14:textId="77777777" w:rsidR="00B15F7D" w:rsidRPr="00990FB6" w:rsidRDefault="00B15F7D" w:rsidP="00B15F7D">
            <w:pPr>
              <w:rPr>
                <w:sz w:val="22"/>
                <w:szCs w:val="22"/>
                <w:u w:val="single"/>
                <w:lang w:val="pt-PT"/>
              </w:rPr>
            </w:pPr>
            <w:r w:rsidRPr="00990FB6">
              <w:rPr>
                <w:sz w:val="22"/>
                <w:szCs w:val="22"/>
                <w:u w:val="single"/>
                <w:lang w:val="pt-PT"/>
              </w:rPr>
              <w:t>CINTA PLAST MAGIC VERDE 12MMX33MM</w:t>
            </w:r>
          </w:p>
        </w:tc>
        <w:tc>
          <w:tcPr>
            <w:tcW w:w="550" w:type="pct"/>
            <w:hideMark/>
          </w:tcPr>
          <w:p w14:paraId="4DCA8DCE" w14:textId="77777777" w:rsidR="00B15F7D" w:rsidRPr="00990FB6" w:rsidRDefault="00B15F7D" w:rsidP="00B15F7D">
            <w:pPr>
              <w:rPr>
                <w:sz w:val="22"/>
                <w:szCs w:val="22"/>
                <w:u w:val="single"/>
              </w:rPr>
            </w:pPr>
            <w:r w:rsidRPr="00990FB6">
              <w:rPr>
                <w:sz w:val="22"/>
                <w:szCs w:val="22"/>
                <w:u w:val="single"/>
              </w:rPr>
              <w:t>652.056,00</w:t>
            </w:r>
          </w:p>
        </w:tc>
        <w:tc>
          <w:tcPr>
            <w:tcW w:w="511" w:type="pct"/>
            <w:hideMark/>
          </w:tcPr>
          <w:p w14:paraId="6EAEE9BB"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749993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D882E4B"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1859F90D" w14:textId="77777777" w:rsidTr="000A0C22">
        <w:trPr>
          <w:trHeight w:val="580"/>
          <w:jc w:val="center"/>
        </w:trPr>
        <w:tc>
          <w:tcPr>
            <w:tcW w:w="583" w:type="pct"/>
            <w:hideMark/>
          </w:tcPr>
          <w:p w14:paraId="65EB0AF8"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0510C9D4"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701B758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14310</w:t>
            </w:r>
          </w:p>
        </w:tc>
        <w:tc>
          <w:tcPr>
            <w:tcW w:w="1045" w:type="pct"/>
            <w:hideMark/>
          </w:tcPr>
          <w:p w14:paraId="68796A27" w14:textId="77777777" w:rsidR="00B15F7D" w:rsidRPr="00990FB6" w:rsidRDefault="00B15F7D" w:rsidP="00B15F7D">
            <w:pPr>
              <w:rPr>
                <w:sz w:val="22"/>
                <w:szCs w:val="22"/>
                <w:u w:val="single"/>
                <w:lang w:val="pt-PT"/>
              </w:rPr>
            </w:pPr>
            <w:r w:rsidRPr="00990FB6">
              <w:rPr>
                <w:sz w:val="22"/>
                <w:szCs w:val="22"/>
                <w:u w:val="single"/>
                <w:lang w:val="pt-PT"/>
              </w:rPr>
              <w:t>CINTA PLAST ENGOMADA P/EMPAQUE 5.08CM</w:t>
            </w:r>
          </w:p>
        </w:tc>
        <w:tc>
          <w:tcPr>
            <w:tcW w:w="550" w:type="pct"/>
            <w:hideMark/>
          </w:tcPr>
          <w:p w14:paraId="14EA4265" w14:textId="77777777" w:rsidR="00B15F7D" w:rsidRPr="00990FB6" w:rsidRDefault="00B15F7D" w:rsidP="00B15F7D">
            <w:pPr>
              <w:rPr>
                <w:sz w:val="22"/>
                <w:szCs w:val="22"/>
                <w:u w:val="single"/>
              </w:rPr>
            </w:pPr>
            <w:r w:rsidRPr="00990FB6">
              <w:rPr>
                <w:sz w:val="22"/>
                <w:szCs w:val="22"/>
                <w:u w:val="single"/>
              </w:rPr>
              <w:t>200.079,00</w:t>
            </w:r>
          </w:p>
        </w:tc>
        <w:tc>
          <w:tcPr>
            <w:tcW w:w="511" w:type="pct"/>
            <w:hideMark/>
          </w:tcPr>
          <w:p w14:paraId="7A01E99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66A477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643F6A6"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3F23005" w14:textId="77777777" w:rsidTr="000A0C22">
        <w:trPr>
          <w:trHeight w:val="580"/>
          <w:jc w:val="center"/>
        </w:trPr>
        <w:tc>
          <w:tcPr>
            <w:tcW w:w="583" w:type="pct"/>
            <w:hideMark/>
          </w:tcPr>
          <w:p w14:paraId="4EB42AC8"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70DA2A4C"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7C95982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14313</w:t>
            </w:r>
          </w:p>
        </w:tc>
        <w:tc>
          <w:tcPr>
            <w:tcW w:w="1045" w:type="pct"/>
            <w:hideMark/>
          </w:tcPr>
          <w:p w14:paraId="11FBC5DA" w14:textId="77777777" w:rsidR="00B15F7D" w:rsidRPr="00990FB6" w:rsidRDefault="00B15F7D" w:rsidP="00B15F7D">
            <w:pPr>
              <w:rPr>
                <w:sz w:val="22"/>
                <w:szCs w:val="22"/>
                <w:u w:val="single"/>
              </w:rPr>
            </w:pPr>
            <w:r w:rsidRPr="00990FB6">
              <w:rPr>
                <w:sz w:val="22"/>
                <w:szCs w:val="22"/>
                <w:u w:val="single"/>
              </w:rPr>
              <w:t>GRAPA ESTANDAR (5000 UN.)</w:t>
            </w:r>
          </w:p>
        </w:tc>
        <w:tc>
          <w:tcPr>
            <w:tcW w:w="550" w:type="pct"/>
            <w:hideMark/>
          </w:tcPr>
          <w:p w14:paraId="02E1E509" w14:textId="77777777" w:rsidR="00B15F7D" w:rsidRPr="00990FB6" w:rsidRDefault="00B15F7D" w:rsidP="00B15F7D">
            <w:pPr>
              <w:rPr>
                <w:sz w:val="22"/>
                <w:szCs w:val="22"/>
                <w:u w:val="single"/>
              </w:rPr>
            </w:pPr>
            <w:r w:rsidRPr="00990FB6">
              <w:rPr>
                <w:sz w:val="22"/>
                <w:szCs w:val="22"/>
                <w:u w:val="single"/>
              </w:rPr>
              <w:t>139.997,00</w:t>
            </w:r>
          </w:p>
        </w:tc>
        <w:tc>
          <w:tcPr>
            <w:tcW w:w="511" w:type="pct"/>
            <w:hideMark/>
          </w:tcPr>
          <w:p w14:paraId="2F1C3D8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970FA7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E44E42C"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3F33575" w14:textId="77777777" w:rsidTr="000A0C22">
        <w:trPr>
          <w:trHeight w:val="580"/>
          <w:jc w:val="center"/>
        </w:trPr>
        <w:tc>
          <w:tcPr>
            <w:tcW w:w="583" w:type="pct"/>
            <w:hideMark/>
          </w:tcPr>
          <w:p w14:paraId="1D2906F6"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49FCC85C"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019F45B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14319</w:t>
            </w:r>
          </w:p>
        </w:tc>
        <w:tc>
          <w:tcPr>
            <w:tcW w:w="1045" w:type="pct"/>
            <w:hideMark/>
          </w:tcPr>
          <w:p w14:paraId="56426495" w14:textId="77777777" w:rsidR="00B15F7D" w:rsidRPr="00990FB6" w:rsidRDefault="00B15F7D" w:rsidP="00B15F7D">
            <w:pPr>
              <w:rPr>
                <w:sz w:val="22"/>
                <w:szCs w:val="22"/>
                <w:u w:val="single"/>
              </w:rPr>
            </w:pPr>
            <w:r w:rsidRPr="00990FB6">
              <w:rPr>
                <w:sz w:val="22"/>
                <w:szCs w:val="22"/>
                <w:u w:val="single"/>
              </w:rPr>
              <w:t>ROTULADOR TINTA NEGRA, GRUESO</w:t>
            </w:r>
          </w:p>
        </w:tc>
        <w:tc>
          <w:tcPr>
            <w:tcW w:w="550" w:type="pct"/>
            <w:hideMark/>
          </w:tcPr>
          <w:p w14:paraId="4C197F92" w14:textId="77777777" w:rsidR="00B15F7D" w:rsidRPr="00990FB6" w:rsidRDefault="00B15F7D" w:rsidP="00B15F7D">
            <w:pPr>
              <w:rPr>
                <w:sz w:val="22"/>
                <w:szCs w:val="22"/>
                <w:u w:val="single"/>
              </w:rPr>
            </w:pPr>
            <w:r w:rsidRPr="00990FB6">
              <w:rPr>
                <w:sz w:val="22"/>
                <w:szCs w:val="22"/>
                <w:u w:val="single"/>
              </w:rPr>
              <w:t>148.887,00</w:t>
            </w:r>
          </w:p>
        </w:tc>
        <w:tc>
          <w:tcPr>
            <w:tcW w:w="511" w:type="pct"/>
            <w:hideMark/>
          </w:tcPr>
          <w:p w14:paraId="093FE85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3C2404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E29C839"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D699668" w14:textId="77777777" w:rsidTr="000A0C22">
        <w:trPr>
          <w:trHeight w:val="580"/>
          <w:jc w:val="center"/>
        </w:trPr>
        <w:tc>
          <w:tcPr>
            <w:tcW w:w="583" w:type="pct"/>
            <w:hideMark/>
          </w:tcPr>
          <w:p w14:paraId="4456A1FF"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4A917AF8"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A2752E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14440</w:t>
            </w:r>
          </w:p>
        </w:tc>
        <w:tc>
          <w:tcPr>
            <w:tcW w:w="1045" w:type="pct"/>
            <w:hideMark/>
          </w:tcPr>
          <w:p w14:paraId="61A588AB" w14:textId="77777777" w:rsidR="00B15F7D" w:rsidRPr="00990FB6" w:rsidRDefault="00B15F7D" w:rsidP="00B15F7D">
            <w:pPr>
              <w:rPr>
                <w:sz w:val="22"/>
                <w:szCs w:val="22"/>
                <w:u w:val="single"/>
              </w:rPr>
            </w:pPr>
            <w:r w:rsidRPr="00990FB6">
              <w:rPr>
                <w:sz w:val="22"/>
                <w:szCs w:val="22"/>
                <w:u w:val="single"/>
              </w:rPr>
              <w:t>SOPORTE PARA SUJETAR DOCUMENTOS</w:t>
            </w:r>
          </w:p>
        </w:tc>
        <w:tc>
          <w:tcPr>
            <w:tcW w:w="550" w:type="pct"/>
            <w:hideMark/>
          </w:tcPr>
          <w:p w14:paraId="2678ECE7" w14:textId="77777777" w:rsidR="00B15F7D" w:rsidRPr="00990FB6" w:rsidRDefault="00B15F7D" w:rsidP="00B15F7D">
            <w:pPr>
              <w:rPr>
                <w:sz w:val="22"/>
                <w:szCs w:val="22"/>
                <w:u w:val="single"/>
              </w:rPr>
            </w:pPr>
            <w:r w:rsidRPr="00990FB6">
              <w:rPr>
                <w:sz w:val="22"/>
                <w:szCs w:val="22"/>
                <w:u w:val="single"/>
              </w:rPr>
              <w:t>144.750,00</w:t>
            </w:r>
          </w:p>
        </w:tc>
        <w:tc>
          <w:tcPr>
            <w:tcW w:w="511" w:type="pct"/>
            <w:hideMark/>
          </w:tcPr>
          <w:p w14:paraId="0825192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242F91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E599303"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6FA2A417" w14:textId="77777777" w:rsidTr="000A0C22">
        <w:trPr>
          <w:trHeight w:val="580"/>
          <w:jc w:val="center"/>
        </w:trPr>
        <w:tc>
          <w:tcPr>
            <w:tcW w:w="583" w:type="pct"/>
            <w:hideMark/>
          </w:tcPr>
          <w:p w14:paraId="16BBF617"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43DC8FD2"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7F863F5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14446</w:t>
            </w:r>
          </w:p>
        </w:tc>
        <w:tc>
          <w:tcPr>
            <w:tcW w:w="1045" w:type="pct"/>
            <w:hideMark/>
          </w:tcPr>
          <w:p w14:paraId="5C397E9E" w14:textId="77777777" w:rsidR="00B15F7D" w:rsidRPr="00990FB6" w:rsidRDefault="00B15F7D" w:rsidP="00B15F7D">
            <w:pPr>
              <w:rPr>
                <w:sz w:val="22"/>
                <w:szCs w:val="22"/>
                <w:u w:val="single"/>
              </w:rPr>
            </w:pPr>
            <w:r w:rsidRPr="00990FB6">
              <w:rPr>
                <w:sz w:val="22"/>
                <w:szCs w:val="22"/>
                <w:u w:val="single"/>
              </w:rPr>
              <w:t>DISCO CD-R 700MB GRABABLE, (DISCO COMPACTO PARA QUEMAR)</w:t>
            </w:r>
          </w:p>
        </w:tc>
        <w:tc>
          <w:tcPr>
            <w:tcW w:w="550" w:type="pct"/>
            <w:hideMark/>
          </w:tcPr>
          <w:p w14:paraId="24BB5748" w14:textId="77777777" w:rsidR="00B15F7D" w:rsidRPr="00990FB6" w:rsidRDefault="00B15F7D" w:rsidP="00B15F7D">
            <w:pPr>
              <w:rPr>
                <w:sz w:val="22"/>
                <w:szCs w:val="22"/>
                <w:u w:val="single"/>
              </w:rPr>
            </w:pPr>
            <w:r w:rsidRPr="00990FB6">
              <w:rPr>
                <w:sz w:val="22"/>
                <w:szCs w:val="22"/>
                <w:u w:val="single"/>
              </w:rPr>
              <w:t>820.374,00</w:t>
            </w:r>
          </w:p>
        </w:tc>
        <w:tc>
          <w:tcPr>
            <w:tcW w:w="511" w:type="pct"/>
            <w:hideMark/>
          </w:tcPr>
          <w:p w14:paraId="42101D8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F48A81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16660F7"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3828364" w14:textId="77777777" w:rsidTr="000A0C22">
        <w:trPr>
          <w:trHeight w:val="580"/>
          <w:jc w:val="center"/>
        </w:trPr>
        <w:tc>
          <w:tcPr>
            <w:tcW w:w="583" w:type="pct"/>
            <w:hideMark/>
          </w:tcPr>
          <w:p w14:paraId="4D7E07AE"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76F98BD4"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5E763A4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18057</w:t>
            </w:r>
          </w:p>
        </w:tc>
        <w:tc>
          <w:tcPr>
            <w:tcW w:w="1045" w:type="pct"/>
            <w:hideMark/>
          </w:tcPr>
          <w:p w14:paraId="78A59B5D" w14:textId="77777777" w:rsidR="00B15F7D" w:rsidRPr="00990FB6" w:rsidRDefault="00B15F7D" w:rsidP="00B15F7D">
            <w:pPr>
              <w:rPr>
                <w:sz w:val="22"/>
                <w:szCs w:val="22"/>
                <w:u w:val="single"/>
              </w:rPr>
            </w:pPr>
            <w:r w:rsidRPr="00990FB6">
              <w:rPr>
                <w:sz w:val="22"/>
                <w:szCs w:val="22"/>
                <w:u w:val="single"/>
              </w:rPr>
              <w:t>BOLIGRAFO TINTA NEGRA</w:t>
            </w:r>
          </w:p>
        </w:tc>
        <w:tc>
          <w:tcPr>
            <w:tcW w:w="550" w:type="pct"/>
            <w:hideMark/>
          </w:tcPr>
          <w:p w14:paraId="04463121" w14:textId="77777777" w:rsidR="00B15F7D" w:rsidRPr="00990FB6" w:rsidRDefault="00B15F7D" w:rsidP="00B15F7D">
            <w:pPr>
              <w:rPr>
                <w:sz w:val="22"/>
                <w:szCs w:val="22"/>
                <w:u w:val="single"/>
              </w:rPr>
            </w:pPr>
            <w:r w:rsidRPr="00990FB6">
              <w:rPr>
                <w:sz w:val="22"/>
                <w:szCs w:val="22"/>
                <w:u w:val="single"/>
              </w:rPr>
              <w:t>562.190,00</w:t>
            </w:r>
          </w:p>
        </w:tc>
        <w:tc>
          <w:tcPr>
            <w:tcW w:w="511" w:type="pct"/>
            <w:hideMark/>
          </w:tcPr>
          <w:p w14:paraId="13D779A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C63047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DAFFCD1"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65532CB4" w14:textId="77777777" w:rsidTr="000A0C22">
        <w:trPr>
          <w:trHeight w:val="580"/>
          <w:jc w:val="center"/>
        </w:trPr>
        <w:tc>
          <w:tcPr>
            <w:tcW w:w="583" w:type="pct"/>
            <w:hideMark/>
          </w:tcPr>
          <w:p w14:paraId="30F76646"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1E1B6831"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1C78F4B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20538</w:t>
            </w:r>
          </w:p>
        </w:tc>
        <w:tc>
          <w:tcPr>
            <w:tcW w:w="1045" w:type="pct"/>
            <w:hideMark/>
          </w:tcPr>
          <w:p w14:paraId="675022C9" w14:textId="77777777" w:rsidR="00B15F7D" w:rsidRPr="00990FB6" w:rsidRDefault="00B15F7D" w:rsidP="00B15F7D">
            <w:pPr>
              <w:rPr>
                <w:sz w:val="22"/>
                <w:szCs w:val="22"/>
                <w:u w:val="single"/>
              </w:rPr>
            </w:pPr>
            <w:r w:rsidRPr="00990FB6">
              <w:rPr>
                <w:sz w:val="22"/>
                <w:szCs w:val="22"/>
                <w:u w:val="single"/>
              </w:rPr>
              <w:t>DISCO DVD GRABABLE CARATULA IMPRESA PODER JUDICIAL CAJA 25 U</w:t>
            </w:r>
          </w:p>
        </w:tc>
        <w:tc>
          <w:tcPr>
            <w:tcW w:w="550" w:type="pct"/>
            <w:hideMark/>
          </w:tcPr>
          <w:p w14:paraId="085355DC" w14:textId="77777777" w:rsidR="00B15F7D" w:rsidRPr="00990FB6" w:rsidRDefault="00B15F7D" w:rsidP="00B15F7D">
            <w:pPr>
              <w:rPr>
                <w:sz w:val="22"/>
                <w:szCs w:val="22"/>
                <w:u w:val="single"/>
              </w:rPr>
            </w:pPr>
            <w:r w:rsidRPr="00990FB6">
              <w:rPr>
                <w:sz w:val="22"/>
                <w:szCs w:val="22"/>
                <w:u w:val="single"/>
              </w:rPr>
              <w:t>4.701.290,00</w:t>
            </w:r>
          </w:p>
        </w:tc>
        <w:tc>
          <w:tcPr>
            <w:tcW w:w="511" w:type="pct"/>
            <w:hideMark/>
          </w:tcPr>
          <w:p w14:paraId="00118E6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C91933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7CA4203"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485429D3" w14:textId="77777777" w:rsidTr="000A0C22">
        <w:trPr>
          <w:trHeight w:val="580"/>
          <w:jc w:val="center"/>
        </w:trPr>
        <w:tc>
          <w:tcPr>
            <w:tcW w:w="583" w:type="pct"/>
            <w:hideMark/>
          </w:tcPr>
          <w:p w14:paraId="42E6D766"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2CE22E03"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7C0BE74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23863</w:t>
            </w:r>
          </w:p>
        </w:tc>
        <w:tc>
          <w:tcPr>
            <w:tcW w:w="1045" w:type="pct"/>
            <w:hideMark/>
          </w:tcPr>
          <w:p w14:paraId="6FB485DA" w14:textId="77777777" w:rsidR="00B15F7D" w:rsidRPr="00990FB6" w:rsidRDefault="00B15F7D" w:rsidP="00B15F7D">
            <w:pPr>
              <w:rPr>
                <w:sz w:val="22"/>
                <w:szCs w:val="22"/>
                <w:u w:val="single"/>
                <w:lang w:val="pt-PT"/>
              </w:rPr>
            </w:pPr>
            <w:r w:rsidRPr="00990FB6">
              <w:rPr>
                <w:sz w:val="22"/>
                <w:szCs w:val="22"/>
                <w:u w:val="single"/>
                <w:lang w:val="pt-PT"/>
              </w:rPr>
              <w:t>CINTA PARA IMPRESORA DE CARNE</w:t>
            </w:r>
          </w:p>
        </w:tc>
        <w:tc>
          <w:tcPr>
            <w:tcW w:w="550" w:type="pct"/>
            <w:hideMark/>
          </w:tcPr>
          <w:p w14:paraId="7B7FEE28" w14:textId="77777777" w:rsidR="00B15F7D" w:rsidRPr="00990FB6" w:rsidRDefault="00B15F7D" w:rsidP="00B15F7D">
            <w:pPr>
              <w:rPr>
                <w:sz w:val="22"/>
                <w:szCs w:val="22"/>
                <w:u w:val="single"/>
              </w:rPr>
            </w:pPr>
            <w:r w:rsidRPr="00990FB6">
              <w:rPr>
                <w:sz w:val="22"/>
                <w:szCs w:val="22"/>
                <w:u w:val="single"/>
              </w:rPr>
              <w:t>267.245,00</w:t>
            </w:r>
          </w:p>
        </w:tc>
        <w:tc>
          <w:tcPr>
            <w:tcW w:w="511" w:type="pct"/>
            <w:hideMark/>
          </w:tcPr>
          <w:p w14:paraId="75E07F5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0834FA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8949CE8"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w:t>
            </w:r>
            <w:r w:rsidRPr="00990FB6">
              <w:rPr>
                <w:sz w:val="22"/>
                <w:szCs w:val="22"/>
                <w:u w:val="single"/>
              </w:rPr>
              <w:lastRenderedPageBreak/>
              <w:t xml:space="preserve">prestación del servicio público. </w:t>
            </w:r>
          </w:p>
        </w:tc>
      </w:tr>
      <w:tr w:rsidR="00B15F7D" w:rsidRPr="00990FB6" w14:paraId="59D0ACE9" w14:textId="77777777" w:rsidTr="000A0C22">
        <w:trPr>
          <w:trHeight w:val="580"/>
          <w:jc w:val="center"/>
        </w:trPr>
        <w:tc>
          <w:tcPr>
            <w:tcW w:w="583" w:type="pct"/>
            <w:hideMark/>
          </w:tcPr>
          <w:p w14:paraId="5FD570AC"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1A505B57"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17CCDED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23962</w:t>
            </w:r>
          </w:p>
        </w:tc>
        <w:tc>
          <w:tcPr>
            <w:tcW w:w="1045" w:type="pct"/>
            <w:hideMark/>
          </w:tcPr>
          <w:p w14:paraId="298CB2F9" w14:textId="77777777" w:rsidR="00B15F7D" w:rsidRPr="00990FB6" w:rsidRDefault="00B15F7D" w:rsidP="00B15F7D">
            <w:pPr>
              <w:rPr>
                <w:sz w:val="22"/>
                <w:szCs w:val="22"/>
                <w:u w:val="single"/>
              </w:rPr>
            </w:pPr>
            <w:r w:rsidRPr="00990FB6">
              <w:rPr>
                <w:sz w:val="22"/>
                <w:szCs w:val="22"/>
                <w:u w:val="single"/>
              </w:rPr>
              <w:t>SELLO REDONDO AUTOMATICO</w:t>
            </w:r>
          </w:p>
        </w:tc>
        <w:tc>
          <w:tcPr>
            <w:tcW w:w="550" w:type="pct"/>
            <w:hideMark/>
          </w:tcPr>
          <w:p w14:paraId="15BAB308" w14:textId="77777777" w:rsidR="00B15F7D" w:rsidRPr="00990FB6" w:rsidRDefault="00B15F7D" w:rsidP="00B15F7D">
            <w:pPr>
              <w:rPr>
                <w:sz w:val="22"/>
                <w:szCs w:val="22"/>
                <w:u w:val="single"/>
              </w:rPr>
            </w:pPr>
            <w:r w:rsidRPr="00990FB6">
              <w:rPr>
                <w:sz w:val="22"/>
                <w:szCs w:val="22"/>
                <w:u w:val="single"/>
              </w:rPr>
              <w:t>361.374,00</w:t>
            </w:r>
          </w:p>
        </w:tc>
        <w:tc>
          <w:tcPr>
            <w:tcW w:w="511" w:type="pct"/>
            <w:hideMark/>
          </w:tcPr>
          <w:p w14:paraId="3672F2B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2D5B11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AF7A70F"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7454270D" w14:textId="77777777" w:rsidTr="000A0C22">
        <w:trPr>
          <w:trHeight w:val="580"/>
          <w:jc w:val="center"/>
        </w:trPr>
        <w:tc>
          <w:tcPr>
            <w:tcW w:w="583" w:type="pct"/>
            <w:hideMark/>
          </w:tcPr>
          <w:p w14:paraId="358644E8"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7B0E3F16"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6C9721C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24143</w:t>
            </w:r>
          </w:p>
        </w:tc>
        <w:tc>
          <w:tcPr>
            <w:tcW w:w="1045" w:type="pct"/>
            <w:hideMark/>
          </w:tcPr>
          <w:p w14:paraId="7CF7D9FB" w14:textId="77777777" w:rsidR="00B15F7D" w:rsidRPr="00990FB6" w:rsidRDefault="00B15F7D" w:rsidP="00B15F7D">
            <w:pPr>
              <w:rPr>
                <w:sz w:val="22"/>
                <w:szCs w:val="22"/>
                <w:u w:val="single"/>
                <w:lang w:val="pt-PT"/>
              </w:rPr>
            </w:pPr>
            <w:r w:rsidRPr="00990FB6">
              <w:rPr>
                <w:sz w:val="22"/>
                <w:szCs w:val="22"/>
                <w:u w:val="single"/>
                <w:lang w:val="pt-PT"/>
              </w:rPr>
              <w:t>PORTA LAPTOP (ATRIL PARA COMPUTADORA PORTATIL)</w:t>
            </w:r>
          </w:p>
        </w:tc>
        <w:tc>
          <w:tcPr>
            <w:tcW w:w="550" w:type="pct"/>
            <w:hideMark/>
          </w:tcPr>
          <w:p w14:paraId="4B727AC7" w14:textId="77777777" w:rsidR="00B15F7D" w:rsidRPr="00990FB6" w:rsidRDefault="00B15F7D" w:rsidP="00B15F7D">
            <w:pPr>
              <w:rPr>
                <w:sz w:val="22"/>
                <w:szCs w:val="22"/>
                <w:u w:val="single"/>
              </w:rPr>
            </w:pPr>
            <w:r w:rsidRPr="00990FB6">
              <w:rPr>
                <w:sz w:val="22"/>
                <w:szCs w:val="22"/>
                <w:u w:val="single"/>
              </w:rPr>
              <w:t>671.220,00</w:t>
            </w:r>
          </w:p>
        </w:tc>
        <w:tc>
          <w:tcPr>
            <w:tcW w:w="511" w:type="pct"/>
            <w:hideMark/>
          </w:tcPr>
          <w:p w14:paraId="01DD033B"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6D1A73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4095024"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02D7D25B" w14:textId="77777777" w:rsidTr="000A0C22">
        <w:trPr>
          <w:trHeight w:val="580"/>
          <w:jc w:val="center"/>
        </w:trPr>
        <w:tc>
          <w:tcPr>
            <w:tcW w:w="583" w:type="pct"/>
            <w:hideMark/>
          </w:tcPr>
          <w:p w14:paraId="5B6B23D8"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384AF4B4"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2E9A721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24211</w:t>
            </w:r>
          </w:p>
        </w:tc>
        <w:tc>
          <w:tcPr>
            <w:tcW w:w="1045" w:type="pct"/>
            <w:hideMark/>
          </w:tcPr>
          <w:p w14:paraId="76168D07" w14:textId="77777777" w:rsidR="00B15F7D" w:rsidRPr="00990FB6" w:rsidRDefault="00B15F7D" w:rsidP="00B15F7D">
            <w:pPr>
              <w:rPr>
                <w:sz w:val="22"/>
                <w:szCs w:val="22"/>
                <w:u w:val="single"/>
              </w:rPr>
            </w:pPr>
            <w:r w:rsidRPr="00990FB6">
              <w:rPr>
                <w:sz w:val="22"/>
                <w:szCs w:val="22"/>
                <w:u w:val="single"/>
              </w:rPr>
              <w:t>KIT COMPLETO DE FIRMA DIGITAL (TARJETA, LECTOR, CERTIFICADO)</w:t>
            </w:r>
          </w:p>
        </w:tc>
        <w:tc>
          <w:tcPr>
            <w:tcW w:w="550" w:type="pct"/>
            <w:hideMark/>
          </w:tcPr>
          <w:p w14:paraId="5A2D2EBE" w14:textId="77777777" w:rsidR="00B15F7D" w:rsidRPr="00990FB6" w:rsidRDefault="00B15F7D" w:rsidP="00B15F7D">
            <w:pPr>
              <w:rPr>
                <w:sz w:val="22"/>
                <w:szCs w:val="22"/>
                <w:u w:val="single"/>
              </w:rPr>
            </w:pPr>
            <w:r w:rsidRPr="00990FB6">
              <w:rPr>
                <w:sz w:val="22"/>
                <w:szCs w:val="22"/>
                <w:u w:val="single"/>
              </w:rPr>
              <w:t>2.298.414,00</w:t>
            </w:r>
          </w:p>
        </w:tc>
        <w:tc>
          <w:tcPr>
            <w:tcW w:w="511" w:type="pct"/>
            <w:hideMark/>
          </w:tcPr>
          <w:p w14:paraId="126709C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5EE566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375A214"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01C5286" w14:textId="77777777" w:rsidTr="000A0C22">
        <w:trPr>
          <w:trHeight w:val="580"/>
          <w:jc w:val="center"/>
        </w:trPr>
        <w:tc>
          <w:tcPr>
            <w:tcW w:w="583" w:type="pct"/>
            <w:hideMark/>
          </w:tcPr>
          <w:p w14:paraId="2CAD8E8E"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1942987C"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2AE08EB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24617</w:t>
            </w:r>
          </w:p>
        </w:tc>
        <w:tc>
          <w:tcPr>
            <w:tcW w:w="1045" w:type="pct"/>
            <w:hideMark/>
          </w:tcPr>
          <w:p w14:paraId="03CEADEA" w14:textId="77777777" w:rsidR="00B15F7D" w:rsidRPr="00990FB6" w:rsidRDefault="00B15F7D" w:rsidP="00B15F7D">
            <w:pPr>
              <w:rPr>
                <w:sz w:val="22"/>
                <w:szCs w:val="22"/>
                <w:u w:val="single"/>
              </w:rPr>
            </w:pPr>
            <w:r w:rsidRPr="00990FB6">
              <w:rPr>
                <w:sz w:val="22"/>
                <w:szCs w:val="22"/>
                <w:u w:val="single"/>
              </w:rPr>
              <w:t>AUDIFONOS CONVENCIONALES</w:t>
            </w:r>
          </w:p>
        </w:tc>
        <w:tc>
          <w:tcPr>
            <w:tcW w:w="550" w:type="pct"/>
            <w:hideMark/>
          </w:tcPr>
          <w:p w14:paraId="2AF2916C" w14:textId="77777777" w:rsidR="00B15F7D" w:rsidRPr="00990FB6" w:rsidRDefault="00B15F7D" w:rsidP="00B15F7D">
            <w:pPr>
              <w:rPr>
                <w:sz w:val="22"/>
                <w:szCs w:val="22"/>
                <w:u w:val="single"/>
              </w:rPr>
            </w:pPr>
            <w:r w:rsidRPr="00990FB6">
              <w:rPr>
                <w:sz w:val="22"/>
                <w:szCs w:val="22"/>
                <w:u w:val="single"/>
              </w:rPr>
              <w:t>65.394,00</w:t>
            </w:r>
          </w:p>
        </w:tc>
        <w:tc>
          <w:tcPr>
            <w:tcW w:w="511" w:type="pct"/>
            <w:hideMark/>
          </w:tcPr>
          <w:p w14:paraId="36C1A48B"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DD226D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228BE60"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7CE1858" w14:textId="77777777" w:rsidTr="000A0C22">
        <w:trPr>
          <w:trHeight w:val="580"/>
          <w:jc w:val="center"/>
        </w:trPr>
        <w:tc>
          <w:tcPr>
            <w:tcW w:w="583" w:type="pct"/>
            <w:hideMark/>
          </w:tcPr>
          <w:p w14:paraId="4996BCDD"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36D8507D"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23949BF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25471</w:t>
            </w:r>
          </w:p>
        </w:tc>
        <w:tc>
          <w:tcPr>
            <w:tcW w:w="1045" w:type="pct"/>
            <w:hideMark/>
          </w:tcPr>
          <w:p w14:paraId="172FE9F6" w14:textId="77777777" w:rsidR="00B15F7D" w:rsidRPr="00990FB6" w:rsidRDefault="00B15F7D" w:rsidP="00B15F7D">
            <w:pPr>
              <w:rPr>
                <w:sz w:val="22"/>
                <w:szCs w:val="22"/>
                <w:u w:val="single"/>
              </w:rPr>
            </w:pPr>
            <w:r w:rsidRPr="00990FB6">
              <w:rPr>
                <w:sz w:val="22"/>
                <w:szCs w:val="22"/>
                <w:u w:val="single"/>
              </w:rPr>
              <w:t>AUDIFONOS</w:t>
            </w:r>
          </w:p>
        </w:tc>
        <w:tc>
          <w:tcPr>
            <w:tcW w:w="550" w:type="pct"/>
            <w:hideMark/>
          </w:tcPr>
          <w:p w14:paraId="242F41AF" w14:textId="77777777" w:rsidR="00B15F7D" w:rsidRPr="00990FB6" w:rsidRDefault="00B15F7D" w:rsidP="00B15F7D">
            <w:pPr>
              <w:rPr>
                <w:sz w:val="22"/>
                <w:szCs w:val="22"/>
                <w:u w:val="single"/>
              </w:rPr>
            </w:pPr>
            <w:r w:rsidRPr="00990FB6">
              <w:rPr>
                <w:sz w:val="22"/>
                <w:szCs w:val="22"/>
                <w:u w:val="single"/>
              </w:rPr>
              <w:t>4.955.117,00</w:t>
            </w:r>
          </w:p>
        </w:tc>
        <w:tc>
          <w:tcPr>
            <w:tcW w:w="511" w:type="pct"/>
            <w:hideMark/>
          </w:tcPr>
          <w:p w14:paraId="43F79CB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D43A63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74B88DA"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6B784ADB" w14:textId="77777777" w:rsidTr="000A0C22">
        <w:trPr>
          <w:trHeight w:val="580"/>
          <w:jc w:val="center"/>
        </w:trPr>
        <w:tc>
          <w:tcPr>
            <w:tcW w:w="583" w:type="pct"/>
            <w:hideMark/>
          </w:tcPr>
          <w:p w14:paraId="2888B945"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2038429E" w14:textId="77777777" w:rsidR="00B15F7D" w:rsidRPr="00990FB6" w:rsidRDefault="00B15F7D" w:rsidP="00B15F7D">
            <w:pPr>
              <w:rPr>
                <w:sz w:val="22"/>
                <w:szCs w:val="22"/>
                <w:u w:val="single"/>
              </w:rPr>
            </w:pPr>
            <w:r w:rsidRPr="00990FB6">
              <w:rPr>
                <w:sz w:val="22"/>
                <w:szCs w:val="22"/>
                <w:u w:val="single"/>
              </w:rPr>
              <w:t xml:space="preserve">Útiles y materiales </w:t>
            </w:r>
            <w:r w:rsidRPr="00990FB6">
              <w:rPr>
                <w:sz w:val="22"/>
                <w:szCs w:val="22"/>
                <w:u w:val="single"/>
              </w:rPr>
              <w:lastRenderedPageBreak/>
              <w:t>de oficina y cómputo</w:t>
            </w:r>
          </w:p>
        </w:tc>
        <w:tc>
          <w:tcPr>
            <w:tcW w:w="363" w:type="pct"/>
            <w:hideMark/>
          </w:tcPr>
          <w:p w14:paraId="296063DE" w14:textId="77777777" w:rsidR="00B15F7D" w:rsidRPr="00990FB6" w:rsidRDefault="00B15F7D" w:rsidP="00B15F7D">
            <w:pPr>
              <w:rPr>
                <w:sz w:val="22"/>
                <w:szCs w:val="22"/>
                <w:u w:val="single"/>
              </w:rPr>
            </w:pPr>
            <w:r w:rsidRPr="00990FB6">
              <w:rPr>
                <w:sz w:val="22"/>
                <w:szCs w:val="22"/>
                <w:u w:val="single"/>
              </w:rPr>
              <w:lastRenderedPageBreak/>
              <w:t xml:space="preserve">       </w:t>
            </w:r>
            <w:proofErr w:type="gramStart"/>
            <w:r w:rsidRPr="00990FB6">
              <w:rPr>
                <w:sz w:val="22"/>
                <w:szCs w:val="22"/>
                <w:u w:val="single"/>
              </w:rPr>
              <w:t>Art. :</w:t>
            </w:r>
            <w:proofErr w:type="gramEnd"/>
            <w:r w:rsidRPr="00990FB6">
              <w:rPr>
                <w:sz w:val="22"/>
                <w:szCs w:val="22"/>
                <w:u w:val="single"/>
              </w:rPr>
              <w:t xml:space="preserve"> 14293</w:t>
            </w:r>
          </w:p>
        </w:tc>
        <w:tc>
          <w:tcPr>
            <w:tcW w:w="1045" w:type="pct"/>
            <w:hideMark/>
          </w:tcPr>
          <w:p w14:paraId="71E40586" w14:textId="77777777" w:rsidR="00B15F7D" w:rsidRPr="00990FB6" w:rsidRDefault="00B15F7D" w:rsidP="00B15F7D">
            <w:pPr>
              <w:rPr>
                <w:sz w:val="22"/>
                <w:szCs w:val="22"/>
                <w:u w:val="single"/>
              </w:rPr>
            </w:pPr>
            <w:r w:rsidRPr="00990FB6">
              <w:rPr>
                <w:sz w:val="22"/>
                <w:szCs w:val="22"/>
                <w:u w:val="single"/>
              </w:rPr>
              <w:t>ENGRAPADORA PARA 120 HOJAS</w:t>
            </w:r>
          </w:p>
        </w:tc>
        <w:tc>
          <w:tcPr>
            <w:tcW w:w="550" w:type="pct"/>
            <w:hideMark/>
          </w:tcPr>
          <w:p w14:paraId="53B4E9A1" w14:textId="77777777" w:rsidR="00B15F7D" w:rsidRPr="00990FB6" w:rsidRDefault="00B15F7D" w:rsidP="00B15F7D">
            <w:pPr>
              <w:rPr>
                <w:sz w:val="22"/>
                <w:szCs w:val="22"/>
                <w:u w:val="single"/>
              </w:rPr>
            </w:pPr>
            <w:r w:rsidRPr="00990FB6">
              <w:rPr>
                <w:sz w:val="22"/>
                <w:szCs w:val="22"/>
                <w:u w:val="single"/>
              </w:rPr>
              <w:t>54.326,00</w:t>
            </w:r>
          </w:p>
        </w:tc>
        <w:tc>
          <w:tcPr>
            <w:tcW w:w="511" w:type="pct"/>
            <w:noWrap/>
            <w:hideMark/>
          </w:tcPr>
          <w:p w14:paraId="5E739A6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3F673B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0C25D0A"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w:t>
            </w:r>
            <w:r w:rsidRPr="00990FB6">
              <w:rPr>
                <w:sz w:val="22"/>
                <w:szCs w:val="22"/>
                <w:u w:val="single"/>
              </w:rPr>
              <w:lastRenderedPageBreak/>
              <w:t xml:space="preserve">fiscalías. Desmejora en la prestación del servicio público. </w:t>
            </w:r>
          </w:p>
        </w:tc>
      </w:tr>
      <w:tr w:rsidR="00B15F7D" w:rsidRPr="00990FB6" w14:paraId="474F7AC0" w14:textId="77777777" w:rsidTr="000A0C22">
        <w:trPr>
          <w:trHeight w:val="580"/>
          <w:jc w:val="center"/>
        </w:trPr>
        <w:tc>
          <w:tcPr>
            <w:tcW w:w="583" w:type="pct"/>
            <w:hideMark/>
          </w:tcPr>
          <w:p w14:paraId="00DCA814"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2C28A5C3"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2E6C00E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14294</w:t>
            </w:r>
          </w:p>
        </w:tc>
        <w:tc>
          <w:tcPr>
            <w:tcW w:w="1045" w:type="pct"/>
            <w:hideMark/>
          </w:tcPr>
          <w:p w14:paraId="006BAC2C" w14:textId="77777777" w:rsidR="00B15F7D" w:rsidRPr="00990FB6" w:rsidRDefault="00B15F7D" w:rsidP="00B15F7D">
            <w:pPr>
              <w:rPr>
                <w:sz w:val="22"/>
                <w:szCs w:val="22"/>
                <w:u w:val="single"/>
              </w:rPr>
            </w:pPr>
            <w:r w:rsidRPr="00990FB6">
              <w:rPr>
                <w:sz w:val="22"/>
                <w:szCs w:val="22"/>
                <w:u w:val="single"/>
              </w:rPr>
              <w:t>ENGRAPADORA MET. ESTANDAR</w:t>
            </w:r>
          </w:p>
        </w:tc>
        <w:tc>
          <w:tcPr>
            <w:tcW w:w="550" w:type="pct"/>
            <w:hideMark/>
          </w:tcPr>
          <w:p w14:paraId="3DB8D4AF" w14:textId="77777777" w:rsidR="00B15F7D" w:rsidRPr="00990FB6" w:rsidRDefault="00B15F7D" w:rsidP="00B15F7D">
            <w:pPr>
              <w:rPr>
                <w:sz w:val="22"/>
                <w:szCs w:val="22"/>
                <w:u w:val="single"/>
              </w:rPr>
            </w:pPr>
            <w:r w:rsidRPr="00990FB6">
              <w:rPr>
                <w:sz w:val="22"/>
                <w:szCs w:val="22"/>
                <w:u w:val="single"/>
              </w:rPr>
              <w:t>69.561,00</w:t>
            </w:r>
          </w:p>
        </w:tc>
        <w:tc>
          <w:tcPr>
            <w:tcW w:w="511" w:type="pct"/>
            <w:noWrap/>
            <w:hideMark/>
          </w:tcPr>
          <w:p w14:paraId="76C424B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DC153B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CB5D8EA"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ECCC359" w14:textId="77777777" w:rsidTr="000A0C22">
        <w:trPr>
          <w:trHeight w:val="580"/>
          <w:jc w:val="center"/>
        </w:trPr>
        <w:tc>
          <w:tcPr>
            <w:tcW w:w="583" w:type="pct"/>
            <w:hideMark/>
          </w:tcPr>
          <w:p w14:paraId="4F24E740"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55C85160"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00E6A28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14297</w:t>
            </w:r>
          </w:p>
        </w:tc>
        <w:tc>
          <w:tcPr>
            <w:tcW w:w="1045" w:type="pct"/>
            <w:hideMark/>
          </w:tcPr>
          <w:p w14:paraId="2AF5AF92" w14:textId="77777777" w:rsidR="00B15F7D" w:rsidRPr="00990FB6" w:rsidRDefault="00B15F7D" w:rsidP="00B15F7D">
            <w:pPr>
              <w:rPr>
                <w:sz w:val="22"/>
                <w:szCs w:val="22"/>
                <w:u w:val="single"/>
              </w:rPr>
            </w:pPr>
            <w:r w:rsidRPr="00990FB6">
              <w:rPr>
                <w:sz w:val="22"/>
                <w:szCs w:val="22"/>
                <w:u w:val="single"/>
              </w:rPr>
              <w:t>PERFORADORA 1 HUECO</w:t>
            </w:r>
          </w:p>
        </w:tc>
        <w:tc>
          <w:tcPr>
            <w:tcW w:w="550" w:type="pct"/>
            <w:hideMark/>
          </w:tcPr>
          <w:p w14:paraId="2E5D330E" w14:textId="77777777" w:rsidR="00B15F7D" w:rsidRPr="00990FB6" w:rsidRDefault="00B15F7D" w:rsidP="00B15F7D">
            <w:pPr>
              <w:rPr>
                <w:sz w:val="22"/>
                <w:szCs w:val="22"/>
                <w:u w:val="single"/>
              </w:rPr>
            </w:pPr>
            <w:r w:rsidRPr="00990FB6">
              <w:rPr>
                <w:sz w:val="22"/>
                <w:szCs w:val="22"/>
                <w:u w:val="single"/>
              </w:rPr>
              <w:t>2.481,00</w:t>
            </w:r>
          </w:p>
        </w:tc>
        <w:tc>
          <w:tcPr>
            <w:tcW w:w="511" w:type="pct"/>
            <w:noWrap/>
            <w:hideMark/>
          </w:tcPr>
          <w:p w14:paraId="487C7C3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AB5F6D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1CADEA8"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6B46498" w14:textId="77777777" w:rsidTr="000A0C22">
        <w:trPr>
          <w:trHeight w:val="580"/>
          <w:jc w:val="center"/>
        </w:trPr>
        <w:tc>
          <w:tcPr>
            <w:tcW w:w="583" w:type="pct"/>
            <w:hideMark/>
          </w:tcPr>
          <w:p w14:paraId="506F11E3"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500E0229"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475D0C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14298</w:t>
            </w:r>
          </w:p>
        </w:tc>
        <w:tc>
          <w:tcPr>
            <w:tcW w:w="1045" w:type="pct"/>
            <w:hideMark/>
          </w:tcPr>
          <w:p w14:paraId="76D78C74" w14:textId="77777777" w:rsidR="00B15F7D" w:rsidRPr="00990FB6" w:rsidRDefault="00B15F7D" w:rsidP="00B15F7D">
            <w:pPr>
              <w:rPr>
                <w:sz w:val="22"/>
                <w:szCs w:val="22"/>
                <w:u w:val="single"/>
              </w:rPr>
            </w:pPr>
            <w:r w:rsidRPr="00990FB6">
              <w:rPr>
                <w:sz w:val="22"/>
                <w:szCs w:val="22"/>
                <w:u w:val="single"/>
              </w:rPr>
              <w:t>PERFORADORA 2 HUECOS</w:t>
            </w:r>
          </w:p>
        </w:tc>
        <w:tc>
          <w:tcPr>
            <w:tcW w:w="550" w:type="pct"/>
            <w:hideMark/>
          </w:tcPr>
          <w:p w14:paraId="46342B63" w14:textId="77777777" w:rsidR="00B15F7D" w:rsidRPr="00990FB6" w:rsidRDefault="00B15F7D" w:rsidP="00B15F7D">
            <w:pPr>
              <w:rPr>
                <w:sz w:val="22"/>
                <w:szCs w:val="22"/>
                <w:u w:val="single"/>
              </w:rPr>
            </w:pPr>
            <w:r w:rsidRPr="00990FB6">
              <w:rPr>
                <w:sz w:val="22"/>
                <w:szCs w:val="22"/>
                <w:u w:val="single"/>
              </w:rPr>
              <w:t>24.948,00</w:t>
            </w:r>
          </w:p>
        </w:tc>
        <w:tc>
          <w:tcPr>
            <w:tcW w:w="511" w:type="pct"/>
            <w:noWrap/>
            <w:hideMark/>
          </w:tcPr>
          <w:p w14:paraId="5A71488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6F7915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290C3CD"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47795D40" w14:textId="77777777" w:rsidTr="000A0C22">
        <w:trPr>
          <w:trHeight w:val="580"/>
          <w:jc w:val="center"/>
        </w:trPr>
        <w:tc>
          <w:tcPr>
            <w:tcW w:w="583" w:type="pct"/>
            <w:hideMark/>
          </w:tcPr>
          <w:p w14:paraId="7183DBE1"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6A973D93"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7220D8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14299</w:t>
            </w:r>
          </w:p>
        </w:tc>
        <w:tc>
          <w:tcPr>
            <w:tcW w:w="1045" w:type="pct"/>
            <w:hideMark/>
          </w:tcPr>
          <w:p w14:paraId="006E3882" w14:textId="77777777" w:rsidR="00B15F7D" w:rsidRPr="00990FB6" w:rsidRDefault="00B15F7D" w:rsidP="00B15F7D">
            <w:pPr>
              <w:rPr>
                <w:sz w:val="22"/>
                <w:szCs w:val="22"/>
                <w:u w:val="single"/>
              </w:rPr>
            </w:pPr>
            <w:r w:rsidRPr="00990FB6">
              <w:rPr>
                <w:sz w:val="22"/>
                <w:szCs w:val="22"/>
                <w:u w:val="single"/>
              </w:rPr>
              <w:t>PERFORADORA 3 HUECOS</w:t>
            </w:r>
          </w:p>
        </w:tc>
        <w:tc>
          <w:tcPr>
            <w:tcW w:w="550" w:type="pct"/>
            <w:hideMark/>
          </w:tcPr>
          <w:p w14:paraId="1F7A90BF" w14:textId="77777777" w:rsidR="00B15F7D" w:rsidRPr="00990FB6" w:rsidRDefault="00B15F7D" w:rsidP="00B15F7D">
            <w:pPr>
              <w:rPr>
                <w:sz w:val="22"/>
                <w:szCs w:val="22"/>
                <w:u w:val="single"/>
              </w:rPr>
            </w:pPr>
            <w:r w:rsidRPr="00990FB6">
              <w:rPr>
                <w:sz w:val="22"/>
                <w:szCs w:val="22"/>
                <w:u w:val="single"/>
              </w:rPr>
              <w:t>112.544,00</w:t>
            </w:r>
          </w:p>
        </w:tc>
        <w:tc>
          <w:tcPr>
            <w:tcW w:w="511" w:type="pct"/>
            <w:noWrap/>
            <w:hideMark/>
          </w:tcPr>
          <w:p w14:paraId="3C0FA7BC"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FA2AD0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ED5B479"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31C7D03" w14:textId="77777777" w:rsidTr="000A0C22">
        <w:trPr>
          <w:trHeight w:val="580"/>
          <w:jc w:val="center"/>
        </w:trPr>
        <w:tc>
          <w:tcPr>
            <w:tcW w:w="583" w:type="pct"/>
            <w:hideMark/>
          </w:tcPr>
          <w:p w14:paraId="15FB2B2E"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5FB44FC3"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2364D3B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14302</w:t>
            </w:r>
          </w:p>
        </w:tc>
        <w:tc>
          <w:tcPr>
            <w:tcW w:w="1045" w:type="pct"/>
            <w:hideMark/>
          </w:tcPr>
          <w:p w14:paraId="6E19FDB2" w14:textId="77777777" w:rsidR="00B15F7D" w:rsidRPr="00990FB6" w:rsidRDefault="00B15F7D" w:rsidP="00B15F7D">
            <w:pPr>
              <w:rPr>
                <w:sz w:val="22"/>
                <w:szCs w:val="22"/>
                <w:u w:val="single"/>
              </w:rPr>
            </w:pPr>
            <w:r w:rsidRPr="00990FB6">
              <w:rPr>
                <w:sz w:val="22"/>
                <w:szCs w:val="22"/>
                <w:u w:val="single"/>
              </w:rPr>
              <w:t>SACAGRAPAS METALICO</w:t>
            </w:r>
          </w:p>
        </w:tc>
        <w:tc>
          <w:tcPr>
            <w:tcW w:w="550" w:type="pct"/>
            <w:hideMark/>
          </w:tcPr>
          <w:p w14:paraId="7626920B" w14:textId="77777777" w:rsidR="00B15F7D" w:rsidRPr="00990FB6" w:rsidRDefault="00B15F7D" w:rsidP="00B15F7D">
            <w:pPr>
              <w:rPr>
                <w:sz w:val="22"/>
                <w:szCs w:val="22"/>
                <w:u w:val="single"/>
              </w:rPr>
            </w:pPr>
            <w:r w:rsidRPr="00990FB6">
              <w:rPr>
                <w:sz w:val="22"/>
                <w:szCs w:val="22"/>
                <w:u w:val="single"/>
              </w:rPr>
              <w:t>1.344,00</w:t>
            </w:r>
          </w:p>
        </w:tc>
        <w:tc>
          <w:tcPr>
            <w:tcW w:w="511" w:type="pct"/>
            <w:noWrap/>
            <w:hideMark/>
          </w:tcPr>
          <w:p w14:paraId="40BD9DE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56005D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FCC7E78"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8CED8DC" w14:textId="77777777" w:rsidTr="000A0C22">
        <w:trPr>
          <w:trHeight w:val="580"/>
          <w:jc w:val="center"/>
        </w:trPr>
        <w:tc>
          <w:tcPr>
            <w:tcW w:w="583" w:type="pct"/>
            <w:hideMark/>
          </w:tcPr>
          <w:p w14:paraId="66F4B780"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55309A6A"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4A0CA7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14303</w:t>
            </w:r>
          </w:p>
        </w:tc>
        <w:tc>
          <w:tcPr>
            <w:tcW w:w="1045" w:type="pct"/>
            <w:hideMark/>
          </w:tcPr>
          <w:p w14:paraId="67834D81" w14:textId="77777777" w:rsidR="00B15F7D" w:rsidRPr="00990FB6" w:rsidRDefault="00B15F7D" w:rsidP="00B15F7D">
            <w:pPr>
              <w:rPr>
                <w:sz w:val="22"/>
                <w:szCs w:val="22"/>
                <w:u w:val="single"/>
              </w:rPr>
            </w:pPr>
            <w:r w:rsidRPr="00990FB6">
              <w:rPr>
                <w:sz w:val="22"/>
                <w:szCs w:val="22"/>
                <w:u w:val="single"/>
              </w:rPr>
              <w:t>TIJERA DE 21 CMS, CON PUÑO PLASTICO</w:t>
            </w:r>
          </w:p>
        </w:tc>
        <w:tc>
          <w:tcPr>
            <w:tcW w:w="550" w:type="pct"/>
            <w:hideMark/>
          </w:tcPr>
          <w:p w14:paraId="334142C1" w14:textId="77777777" w:rsidR="00B15F7D" w:rsidRPr="00990FB6" w:rsidRDefault="00B15F7D" w:rsidP="00B15F7D">
            <w:pPr>
              <w:rPr>
                <w:sz w:val="22"/>
                <w:szCs w:val="22"/>
                <w:u w:val="single"/>
              </w:rPr>
            </w:pPr>
            <w:r w:rsidRPr="00990FB6">
              <w:rPr>
                <w:sz w:val="22"/>
                <w:szCs w:val="22"/>
                <w:u w:val="single"/>
              </w:rPr>
              <w:t>6.168,00</w:t>
            </w:r>
          </w:p>
        </w:tc>
        <w:tc>
          <w:tcPr>
            <w:tcW w:w="511" w:type="pct"/>
            <w:noWrap/>
            <w:hideMark/>
          </w:tcPr>
          <w:p w14:paraId="69AAA76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2E3EFB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D70BB51"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7425B30E" w14:textId="77777777" w:rsidTr="000A0C22">
        <w:trPr>
          <w:trHeight w:val="580"/>
          <w:jc w:val="center"/>
        </w:trPr>
        <w:tc>
          <w:tcPr>
            <w:tcW w:w="583" w:type="pct"/>
            <w:hideMark/>
          </w:tcPr>
          <w:p w14:paraId="72623FDE"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3E392095"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30A3D49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14304</w:t>
            </w:r>
          </w:p>
        </w:tc>
        <w:tc>
          <w:tcPr>
            <w:tcW w:w="1045" w:type="pct"/>
            <w:hideMark/>
          </w:tcPr>
          <w:p w14:paraId="181E6963" w14:textId="77777777" w:rsidR="00B15F7D" w:rsidRPr="00990FB6" w:rsidRDefault="00B15F7D" w:rsidP="00B15F7D">
            <w:pPr>
              <w:rPr>
                <w:sz w:val="22"/>
                <w:szCs w:val="22"/>
                <w:u w:val="single"/>
              </w:rPr>
            </w:pPr>
            <w:r w:rsidRPr="00990FB6">
              <w:rPr>
                <w:sz w:val="22"/>
                <w:szCs w:val="22"/>
                <w:u w:val="single"/>
              </w:rPr>
              <w:t xml:space="preserve">LIGAS N-18 </w:t>
            </w:r>
          </w:p>
        </w:tc>
        <w:tc>
          <w:tcPr>
            <w:tcW w:w="550" w:type="pct"/>
            <w:hideMark/>
          </w:tcPr>
          <w:p w14:paraId="61BDC2F8" w14:textId="77777777" w:rsidR="00B15F7D" w:rsidRPr="00990FB6" w:rsidRDefault="00B15F7D" w:rsidP="00B15F7D">
            <w:pPr>
              <w:rPr>
                <w:sz w:val="22"/>
                <w:szCs w:val="22"/>
                <w:u w:val="single"/>
              </w:rPr>
            </w:pPr>
            <w:r w:rsidRPr="00990FB6">
              <w:rPr>
                <w:sz w:val="22"/>
                <w:szCs w:val="22"/>
                <w:u w:val="single"/>
              </w:rPr>
              <w:t>39.148,00</w:t>
            </w:r>
          </w:p>
        </w:tc>
        <w:tc>
          <w:tcPr>
            <w:tcW w:w="511" w:type="pct"/>
            <w:noWrap/>
            <w:hideMark/>
          </w:tcPr>
          <w:p w14:paraId="47ED934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03846A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9FAC35E"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7C8D7535" w14:textId="77777777" w:rsidTr="000A0C22">
        <w:trPr>
          <w:trHeight w:val="580"/>
          <w:jc w:val="center"/>
        </w:trPr>
        <w:tc>
          <w:tcPr>
            <w:tcW w:w="583" w:type="pct"/>
            <w:hideMark/>
          </w:tcPr>
          <w:p w14:paraId="65531A5C"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402716E9"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36A6BA2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14305</w:t>
            </w:r>
          </w:p>
        </w:tc>
        <w:tc>
          <w:tcPr>
            <w:tcW w:w="1045" w:type="pct"/>
            <w:hideMark/>
          </w:tcPr>
          <w:p w14:paraId="3540CF13" w14:textId="77777777" w:rsidR="00B15F7D" w:rsidRPr="00990FB6" w:rsidRDefault="00B15F7D" w:rsidP="00B15F7D">
            <w:pPr>
              <w:rPr>
                <w:sz w:val="22"/>
                <w:szCs w:val="22"/>
                <w:u w:val="single"/>
              </w:rPr>
            </w:pPr>
            <w:r w:rsidRPr="00990FB6">
              <w:rPr>
                <w:sz w:val="22"/>
                <w:szCs w:val="22"/>
                <w:u w:val="single"/>
              </w:rPr>
              <w:t xml:space="preserve">LIGAS N-32 </w:t>
            </w:r>
          </w:p>
        </w:tc>
        <w:tc>
          <w:tcPr>
            <w:tcW w:w="550" w:type="pct"/>
            <w:hideMark/>
          </w:tcPr>
          <w:p w14:paraId="1254E25F" w14:textId="77777777" w:rsidR="00B15F7D" w:rsidRPr="00990FB6" w:rsidRDefault="00B15F7D" w:rsidP="00B15F7D">
            <w:pPr>
              <w:rPr>
                <w:sz w:val="22"/>
                <w:szCs w:val="22"/>
                <w:u w:val="single"/>
              </w:rPr>
            </w:pPr>
            <w:r w:rsidRPr="00990FB6">
              <w:rPr>
                <w:sz w:val="22"/>
                <w:szCs w:val="22"/>
                <w:u w:val="single"/>
              </w:rPr>
              <w:t>35.303,00</w:t>
            </w:r>
          </w:p>
        </w:tc>
        <w:tc>
          <w:tcPr>
            <w:tcW w:w="511" w:type="pct"/>
            <w:noWrap/>
            <w:hideMark/>
          </w:tcPr>
          <w:p w14:paraId="5D7D218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47B97F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4820F30"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4BA82CBE" w14:textId="77777777" w:rsidTr="000A0C22">
        <w:trPr>
          <w:trHeight w:val="580"/>
          <w:jc w:val="center"/>
        </w:trPr>
        <w:tc>
          <w:tcPr>
            <w:tcW w:w="583" w:type="pct"/>
            <w:hideMark/>
          </w:tcPr>
          <w:p w14:paraId="59D66B1D"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11D810EE"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290E225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14308</w:t>
            </w:r>
          </w:p>
        </w:tc>
        <w:tc>
          <w:tcPr>
            <w:tcW w:w="1045" w:type="pct"/>
            <w:hideMark/>
          </w:tcPr>
          <w:p w14:paraId="1E4795E8" w14:textId="77777777" w:rsidR="00B15F7D" w:rsidRPr="00990FB6" w:rsidRDefault="00B15F7D" w:rsidP="00B15F7D">
            <w:pPr>
              <w:rPr>
                <w:sz w:val="22"/>
                <w:szCs w:val="22"/>
                <w:u w:val="single"/>
              </w:rPr>
            </w:pPr>
            <w:r w:rsidRPr="00990FB6">
              <w:rPr>
                <w:sz w:val="22"/>
                <w:szCs w:val="22"/>
                <w:u w:val="single"/>
              </w:rPr>
              <w:t>BORRADOR DE PIZARRA GRUESO (POLIGRAFICO)</w:t>
            </w:r>
          </w:p>
        </w:tc>
        <w:tc>
          <w:tcPr>
            <w:tcW w:w="550" w:type="pct"/>
            <w:hideMark/>
          </w:tcPr>
          <w:p w14:paraId="3B4EB142" w14:textId="77777777" w:rsidR="00B15F7D" w:rsidRPr="00990FB6" w:rsidRDefault="00B15F7D" w:rsidP="00B15F7D">
            <w:pPr>
              <w:rPr>
                <w:sz w:val="22"/>
                <w:szCs w:val="22"/>
                <w:u w:val="single"/>
              </w:rPr>
            </w:pPr>
            <w:r w:rsidRPr="00990FB6">
              <w:rPr>
                <w:sz w:val="22"/>
                <w:szCs w:val="22"/>
                <w:u w:val="single"/>
              </w:rPr>
              <w:t>507,00</w:t>
            </w:r>
          </w:p>
        </w:tc>
        <w:tc>
          <w:tcPr>
            <w:tcW w:w="511" w:type="pct"/>
            <w:noWrap/>
            <w:hideMark/>
          </w:tcPr>
          <w:p w14:paraId="54F311DC"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C00F97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C6E39B2"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096B4DCF" w14:textId="77777777" w:rsidTr="000A0C22">
        <w:trPr>
          <w:trHeight w:val="580"/>
          <w:jc w:val="center"/>
        </w:trPr>
        <w:tc>
          <w:tcPr>
            <w:tcW w:w="583" w:type="pct"/>
            <w:hideMark/>
          </w:tcPr>
          <w:p w14:paraId="0DC94F04"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7EE905B2"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C8C752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14311</w:t>
            </w:r>
          </w:p>
        </w:tc>
        <w:tc>
          <w:tcPr>
            <w:tcW w:w="1045" w:type="pct"/>
            <w:hideMark/>
          </w:tcPr>
          <w:p w14:paraId="43780E66" w14:textId="77777777" w:rsidR="00B15F7D" w:rsidRPr="00990FB6" w:rsidRDefault="00B15F7D" w:rsidP="00B15F7D">
            <w:pPr>
              <w:rPr>
                <w:sz w:val="22"/>
                <w:szCs w:val="22"/>
                <w:u w:val="single"/>
              </w:rPr>
            </w:pPr>
            <w:r w:rsidRPr="00990FB6">
              <w:rPr>
                <w:sz w:val="22"/>
                <w:szCs w:val="22"/>
                <w:u w:val="single"/>
              </w:rPr>
              <w:t>CLIPS PEQUEÑOS (100 UN.)</w:t>
            </w:r>
          </w:p>
        </w:tc>
        <w:tc>
          <w:tcPr>
            <w:tcW w:w="550" w:type="pct"/>
            <w:hideMark/>
          </w:tcPr>
          <w:p w14:paraId="6FCD2ABB" w14:textId="77777777" w:rsidR="00B15F7D" w:rsidRPr="00990FB6" w:rsidRDefault="00B15F7D" w:rsidP="00B15F7D">
            <w:pPr>
              <w:rPr>
                <w:sz w:val="22"/>
                <w:szCs w:val="22"/>
                <w:u w:val="single"/>
              </w:rPr>
            </w:pPr>
            <w:r w:rsidRPr="00990FB6">
              <w:rPr>
                <w:sz w:val="22"/>
                <w:szCs w:val="22"/>
                <w:u w:val="single"/>
              </w:rPr>
              <w:t>40.137,00</w:t>
            </w:r>
          </w:p>
        </w:tc>
        <w:tc>
          <w:tcPr>
            <w:tcW w:w="511" w:type="pct"/>
            <w:noWrap/>
            <w:hideMark/>
          </w:tcPr>
          <w:p w14:paraId="2CED334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2D61C6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B0CE9A0"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B5D8F88" w14:textId="77777777" w:rsidTr="000A0C22">
        <w:trPr>
          <w:trHeight w:val="580"/>
          <w:jc w:val="center"/>
        </w:trPr>
        <w:tc>
          <w:tcPr>
            <w:tcW w:w="583" w:type="pct"/>
            <w:hideMark/>
          </w:tcPr>
          <w:p w14:paraId="7494B7E4"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085FA0CA"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57A81BB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14312</w:t>
            </w:r>
          </w:p>
        </w:tc>
        <w:tc>
          <w:tcPr>
            <w:tcW w:w="1045" w:type="pct"/>
            <w:hideMark/>
          </w:tcPr>
          <w:p w14:paraId="673BBCAD" w14:textId="77777777" w:rsidR="00B15F7D" w:rsidRPr="00990FB6" w:rsidRDefault="00B15F7D" w:rsidP="00B15F7D">
            <w:pPr>
              <w:rPr>
                <w:sz w:val="22"/>
                <w:szCs w:val="22"/>
                <w:u w:val="single"/>
                <w:lang w:val="pt-PT"/>
              </w:rPr>
            </w:pPr>
            <w:r w:rsidRPr="00990FB6">
              <w:rPr>
                <w:sz w:val="22"/>
                <w:szCs w:val="22"/>
                <w:u w:val="single"/>
                <w:lang w:val="pt-PT"/>
              </w:rPr>
              <w:t>GOMERA DE 120 CC (4 OZ), TIPO ESCOLAR</w:t>
            </w:r>
          </w:p>
        </w:tc>
        <w:tc>
          <w:tcPr>
            <w:tcW w:w="550" w:type="pct"/>
            <w:hideMark/>
          </w:tcPr>
          <w:p w14:paraId="79C23573" w14:textId="77777777" w:rsidR="00B15F7D" w:rsidRPr="00990FB6" w:rsidRDefault="00B15F7D" w:rsidP="00B15F7D">
            <w:pPr>
              <w:rPr>
                <w:sz w:val="22"/>
                <w:szCs w:val="22"/>
                <w:u w:val="single"/>
              </w:rPr>
            </w:pPr>
            <w:r w:rsidRPr="00990FB6">
              <w:rPr>
                <w:sz w:val="22"/>
                <w:szCs w:val="22"/>
                <w:u w:val="single"/>
              </w:rPr>
              <w:t>79.360,00</w:t>
            </w:r>
          </w:p>
        </w:tc>
        <w:tc>
          <w:tcPr>
            <w:tcW w:w="511" w:type="pct"/>
            <w:noWrap/>
            <w:hideMark/>
          </w:tcPr>
          <w:p w14:paraId="2A897F9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7F1167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6F836DC"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w:t>
            </w:r>
            <w:r w:rsidRPr="00990FB6">
              <w:rPr>
                <w:sz w:val="22"/>
                <w:szCs w:val="22"/>
                <w:u w:val="single"/>
              </w:rPr>
              <w:lastRenderedPageBreak/>
              <w:t xml:space="preserve">prestación del servicio público. </w:t>
            </w:r>
          </w:p>
        </w:tc>
      </w:tr>
      <w:tr w:rsidR="00B15F7D" w:rsidRPr="00990FB6" w14:paraId="5C223E43" w14:textId="77777777" w:rsidTr="000A0C22">
        <w:trPr>
          <w:trHeight w:val="580"/>
          <w:jc w:val="center"/>
        </w:trPr>
        <w:tc>
          <w:tcPr>
            <w:tcW w:w="583" w:type="pct"/>
            <w:hideMark/>
          </w:tcPr>
          <w:p w14:paraId="3F5826C1"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33D3857E"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54B5024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14314</w:t>
            </w:r>
          </w:p>
        </w:tc>
        <w:tc>
          <w:tcPr>
            <w:tcW w:w="1045" w:type="pct"/>
            <w:hideMark/>
          </w:tcPr>
          <w:p w14:paraId="3F25068E" w14:textId="77777777" w:rsidR="00B15F7D" w:rsidRPr="00990FB6" w:rsidRDefault="00B15F7D" w:rsidP="00B15F7D">
            <w:pPr>
              <w:rPr>
                <w:sz w:val="22"/>
                <w:szCs w:val="22"/>
                <w:u w:val="single"/>
              </w:rPr>
            </w:pPr>
            <w:r w:rsidRPr="00990FB6">
              <w:rPr>
                <w:sz w:val="22"/>
                <w:szCs w:val="22"/>
                <w:u w:val="single"/>
              </w:rPr>
              <w:t>GRAPA INDUSTRIAL DE 10 MM (1000 UN.)</w:t>
            </w:r>
          </w:p>
        </w:tc>
        <w:tc>
          <w:tcPr>
            <w:tcW w:w="550" w:type="pct"/>
            <w:hideMark/>
          </w:tcPr>
          <w:p w14:paraId="0A79483C" w14:textId="77777777" w:rsidR="00B15F7D" w:rsidRPr="00990FB6" w:rsidRDefault="00B15F7D" w:rsidP="00B15F7D">
            <w:pPr>
              <w:rPr>
                <w:sz w:val="22"/>
                <w:szCs w:val="22"/>
                <w:u w:val="single"/>
              </w:rPr>
            </w:pPr>
            <w:r w:rsidRPr="00990FB6">
              <w:rPr>
                <w:sz w:val="22"/>
                <w:szCs w:val="22"/>
                <w:u w:val="single"/>
              </w:rPr>
              <w:t>7.785,00</w:t>
            </w:r>
          </w:p>
        </w:tc>
        <w:tc>
          <w:tcPr>
            <w:tcW w:w="511" w:type="pct"/>
            <w:noWrap/>
            <w:hideMark/>
          </w:tcPr>
          <w:p w14:paraId="69D4E6A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7A2ACF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6D1DD44"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76DDD087" w14:textId="77777777" w:rsidTr="000A0C22">
        <w:trPr>
          <w:trHeight w:val="580"/>
          <w:jc w:val="center"/>
        </w:trPr>
        <w:tc>
          <w:tcPr>
            <w:tcW w:w="583" w:type="pct"/>
            <w:hideMark/>
          </w:tcPr>
          <w:p w14:paraId="28BB71E6"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3A0D4B10"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2B057BB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14316</w:t>
            </w:r>
          </w:p>
        </w:tc>
        <w:tc>
          <w:tcPr>
            <w:tcW w:w="1045" w:type="pct"/>
            <w:hideMark/>
          </w:tcPr>
          <w:p w14:paraId="0C688363" w14:textId="77777777" w:rsidR="00B15F7D" w:rsidRPr="00990FB6" w:rsidRDefault="00B15F7D" w:rsidP="00B15F7D">
            <w:pPr>
              <w:rPr>
                <w:sz w:val="22"/>
                <w:szCs w:val="22"/>
                <w:u w:val="single"/>
              </w:rPr>
            </w:pPr>
            <w:r w:rsidRPr="00990FB6">
              <w:rPr>
                <w:sz w:val="22"/>
                <w:szCs w:val="22"/>
                <w:u w:val="single"/>
              </w:rPr>
              <w:t>MASKING TAPE DE 2.54 CM</w:t>
            </w:r>
          </w:p>
        </w:tc>
        <w:tc>
          <w:tcPr>
            <w:tcW w:w="550" w:type="pct"/>
            <w:hideMark/>
          </w:tcPr>
          <w:p w14:paraId="20852743" w14:textId="77777777" w:rsidR="00B15F7D" w:rsidRPr="00990FB6" w:rsidRDefault="00B15F7D" w:rsidP="00B15F7D">
            <w:pPr>
              <w:rPr>
                <w:sz w:val="22"/>
                <w:szCs w:val="22"/>
                <w:u w:val="single"/>
              </w:rPr>
            </w:pPr>
            <w:r w:rsidRPr="00990FB6">
              <w:rPr>
                <w:sz w:val="22"/>
                <w:szCs w:val="22"/>
                <w:u w:val="single"/>
              </w:rPr>
              <w:t>20.178,00</w:t>
            </w:r>
          </w:p>
        </w:tc>
        <w:tc>
          <w:tcPr>
            <w:tcW w:w="511" w:type="pct"/>
            <w:noWrap/>
            <w:hideMark/>
          </w:tcPr>
          <w:p w14:paraId="2F3FF4F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3A516A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F62A843"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1E6DE8A3" w14:textId="77777777" w:rsidTr="000A0C22">
        <w:trPr>
          <w:trHeight w:val="580"/>
          <w:jc w:val="center"/>
        </w:trPr>
        <w:tc>
          <w:tcPr>
            <w:tcW w:w="583" w:type="pct"/>
            <w:hideMark/>
          </w:tcPr>
          <w:p w14:paraId="3695C21B"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2A44516A"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19F40D8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14317</w:t>
            </w:r>
          </w:p>
        </w:tc>
        <w:tc>
          <w:tcPr>
            <w:tcW w:w="1045" w:type="pct"/>
            <w:hideMark/>
          </w:tcPr>
          <w:p w14:paraId="42B89CFC" w14:textId="77777777" w:rsidR="00B15F7D" w:rsidRPr="00990FB6" w:rsidRDefault="00B15F7D" w:rsidP="00B15F7D">
            <w:pPr>
              <w:rPr>
                <w:sz w:val="22"/>
                <w:szCs w:val="22"/>
                <w:u w:val="single"/>
              </w:rPr>
            </w:pPr>
            <w:r w:rsidRPr="00990FB6">
              <w:rPr>
                <w:sz w:val="22"/>
                <w:szCs w:val="22"/>
                <w:u w:val="single"/>
              </w:rPr>
              <w:t>MASKING TAPE DE 5.08 CM. (2")</w:t>
            </w:r>
          </w:p>
        </w:tc>
        <w:tc>
          <w:tcPr>
            <w:tcW w:w="550" w:type="pct"/>
            <w:hideMark/>
          </w:tcPr>
          <w:p w14:paraId="3F6B4351" w14:textId="77777777" w:rsidR="00B15F7D" w:rsidRPr="00990FB6" w:rsidRDefault="00B15F7D" w:rsidP="00B15F7D">
            <w:pPr>
              <w:rPr>
                <w:sz w:val="22"/>
                <w:szCs w:val="22"/>
                <w:u w:val="single"/>
              </w:rPr>
            </w:pPr>
            <w:r w:rsidRPr="00990FB6">
              <w:rPr>
                <w:sz w:val="22"/>
                <w:szCs w:val="22"/>
                <w:u w:val="single"/>
              </w:rPr>
              <w:t>128.081,00</w:t>
            </w:r>
          </w:p>
        </w:tc>
        <w:tc>
          <w:tcPr>
            <w:tcW w:w="511" w:type="pct"/>
            <w:noWrap/>
            <w:hideMark/>
          </w:tcPr>
          <w:p w14:paraId="1102571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1D4C17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A0EA21B"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67AAACAF" w14:textId="77777777" w:rsidTr="000A0C22">
        <w:trPr>
          <w:trHeight w:val="580"/>
          <w:jc w:val="center"/>
        </w:trPr>
        <w:tc>
          <w:tcPr>
            <w:tcW w:w="583" w:type="pct"/>
            <w:hideMark/>
          </w:tcPr>
          <w:p w14:paraId="79826E62"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1BD19625"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5279DCB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14318</w:t>
            </w:r>
          </w:p>
        </w:tc>
        <w:tc>
          <w:tcPr>
            <w:tcW w:w="1045" w:type="pct"/>
            <w:hideMark/>
          </w:tcPr>
          <w:p w14:paraId="28141E36" w14:textId="77777777" w:rsidR="00B15F7D" w:rsidRPr="00990FB6" w:rsidRDefault="00B15F7D" w:rsidP="00B15F7D">
            <w:pPr>
              <w:rPr>
                <w:sz w:val="22"/>
                <w:szCs w:val="22"/>
                <w:u w:val="single"/>
              </w:rPr>
            </w:pPr>
            <w:r w:rsidRPr="00990FB6">
              <w:rPr>
                <w:sz w:val="22"/>
                <w:szCs w:val="22"/>
                <w:u w:val="single"/>
              </w:rPr>
              <w:t>PRENSA DE METAL P/FILE (FOLDER), 50 UN.</w:t>
            </w:r>
          </w:p>
        </w:tc>
        <w:tc>
          <w:tcPr>
            <w:tcW w:w="550" w:type="pct"/>
            <w:hideMark/>
          </w:tcPr>
          <w:p w14:paraId="26D7C207" w14:textId="77777777" w:rsidR="00B15F7D" w:rsidRPr="00990FB6" w:rsidRDefault="00B15F7D" w:rsidP="00B15F7D">
            <w:pPr>
              <w:rPr>
                <w:sz w:val="22"/>
                <w:szCs w:val="22"/>
                <w:u w:val="single"/>
              </w:rPr>
            </w:pPr>
            <w:r w:rsidRPr="00990FB6">
              <w:rPr>
                <w:sz w:val="22"/>
                <w:szCs w:val="22"/>
                <w:u w:val="single"/>
              </w:rPr>
              <w:t>9.492,00</w:t>
            </w:r>
          </w:p>
        </w:tc>
        <w:tc>
          <w:tcPr>
            <w:tcW w:w="511" w:type="pct"/>
            <w:noWrap/>
            <w:hideMark/>
          </w:tcPr>
          <w:p w14:paraId="3E3B5A2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5FECC0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AE53EE6"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542C956" w14:textId="77777777" w:rsidTr="000A0C22">
        <w:trPr>
          <w:trHeight w:val="580"/>
          <w:jc w:val="center"/>
        </w:trPr>
        <w:tc>
          <w:tcPr>
            <w:tcW w:w="583" w:type="pct"/>
            <w:hideMark/>
          </w:tcPr>
          <w:p w14:paraId="19AF9915"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00907680"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11EC4F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14320</w:t>
            </w:r>
          </w:p>
        </w:tc>
        <w:tc>
          <w:tcPr>
            <w:tcW w:w="1045" w:type="pct"/>
            <w:hideMark/>
          </w:tcPr>
          <w:p w14:paraId="547842D4" w14:textId="77777777" w:rsidR="00B15F7D" w:rsidRPr="00990FB6" w:rsidRDefault="00B15F7D" w:rsidP="00B15F7D">
            <w:pPr>
              <w:rPr>
                <w:sz w:val="22"/>
                <w:szCs w:val="22"/>
                <w:u w:val="single"/>
              </w:rPr>
            </w:pPr>
            <w:r w:rsidRPr="00990FB6">
              <w:rPr>
                <w:sz w:val="22"/>
                <w:szCs w:val="22"/>
                <w:u w:val="single"/>
              </w:rPr>
              <w:t>ROTULADOR POLIGRAFICO</w:t>
            </w:r>
          </w:p>
        </w:tc>
        <w:tc>
          <w:tcPr>
            <w:tcW w:w="550" w:type="pct"/>
            <w:hideMark/>
          </w:tcPr>
          <w:p w14:paraId="24A89C4E" w14:textId="77777777" w:rsidR="00B15F7D" w:rsidRPr="00990FB6" w:rsidRDefault="00B15F7D" w:rsidP="00B15F7D">
            <w:pPr>
              <w:rPr>
                <w:sz w:val="22"/>
                <w:szCs w:val="22"/>
                <w:u w:val="single"/>
              </w:rPr>
            </w:pPr>
            <w:r w:rsidRPr="00990FB6">
              <w:rPr>
                <w:sz w:val="22"/>
                <w:szCs w:val="22"/>
                <w:u w:val="single"/>
              </w:rPr>
              <w:t>93.048,00</w:t>
            </w:r>
          </w:p>
        </w:tc>
        <w:tc>
          <w:tcPr>
            <w:tcW w:w="511" w:type="pct"/>
            <w:noWrap/>
            <w:hideMark/>
          </w:tcPr>
          <w:p w14:paraId="73811547"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A1A46C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D1AB948"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35CC1D4" w14:textId="77777777" w:rsidTr="000A0C22">
        <w:trPr>
          <w:trHeight w:val="580"/>
          <w:jc w:val="center"/>
        </w:trPr>
        <w:tc>
          <w:tcPr>
            <w:tcW w:w="583" w:type="pct"/>
            <w:hideMark/>
          </w:tcPr>
          <w:p w14:paraId="0E32BB57"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4B49BCF1" w14:textId="77777777" w:rsidR="00B15F7D" w:rsidRPr="00990FB6" w:rsidRDefault="00B15F7D" w:rsidP="00B15F7D">
            <w:pPr>
              <w:rPr>
                <w:sz w:val="22"/>
                <w:szCs w:val="22"/>
                <w:u w:val="single"/>
              </w:rPr>
            </w:pPr>
            <w:r w:rsidRPr="00990FB6">
              <w:rPr>
                <w:sz w:val="22"/>
                <w:szCs w:val="22"/>
                <w:u w:val="single"/>
              </w:rPr>
              <w:t xml:space="preserve">Útiles y materiales </w:t>
            </w:r>
            <w:r w:rsidRPr="00990FB6">
              <w:rPr>
                <w:sz w:val="22"/>
                <w:szCs w:val="22"/>
                <w:u w:val="single"/>
              </w:rPr>
              <w:lastRenderedPageBreak/>
              <w:t>de oficina y cómputo</w:t>
            </w:r>
          </w:p>
        </w:tc>
        <w:tc>
          <w:tcPr>
            <w:tcW w:w="363" w:type="pct"/>
            <w:hideMark/>
          </w:tcPr>
          <w:p w14:paraId="66E23633" w14:textId="77777777" w:rsidR="00B15F7D" w:rsidRPr="00990FB6" w:rsidRDefault="00B15F7D" w:rsidP="00B15F7D">
            <w:pPr>
              <w:rPr>
                <w:sz w:val="22"/>
                <w:szCs w:val="22"/>
                <w:u w:val="single"/>
              </w:rPr>
            </w:pPr>
            <w:r w:rsidRPr="00990FB6">
              <w:rPr>
                <w:sz w:val="22"/>
                <w:szCs w:val="22"/>
                <w:u w:val="single"/>
              </w:rPr>
              <w:lastRenderedPageBreak/>
              <w:t xml:space="preserve">       </w:t>
            </w:r>
            <w:proofErr w:type="gramStart"/>
            <w:r w:rsidRPr="00990FB6">
              <w:rPr>
                <w:sz w:val="22"/>
                <w:szCs w:val="22"/>
                <w:u w:val="single"/>
              </w:rPr>
              <w:t>Art. :</w:t>
            </w:r>
            <w:proofErr w:type="gramEnd"/>
            <w:r w:rsidRPr="00990FB6">
              <w:rPr>
                <w:sz w:val="22"/>
                <w:szCs w:val="22"/>
                <w:u w:val="single"/>
              </w:rPr>
              <w:t xml:space="preserve"> 14321</w:t>
            </w:r>
          </w:p>
        </w:tc>
        <w:tc>
          <w:tcPr>
            <w:tcW w:w="1045" w:type="pct"/>
            <w:hideMark/>
          </w:tcPr>
          <w:p w14:paraId="0F463BC4" w14:textId="77777777" w:rsidR="00B15F7D" w:rsidRPr="00990FB6" w:rsidRDefault="00B15F7D" w:rsidP="00B15F7D">
            <w:pPr>
              <w:rPr>
                <w:sz w:val="22"/>
                <w:szCs w:val="22"/>
                <w:u w:val="single"/>
              </w:rPr>
            </w:pPr>
            <w:r w:rsidRPr="00990FB6">
              <w:rPr>
                <w:sz w:val="22"/>
                <w:szCs w:val="22"/>
                <w:u w:val="single"/>
              </w:rPr>
              <w:t>ROTULADOR FOSFORESCENTE</w:t>
            </w:r>
          </w:p>
        </w:tc>
        <w:tc>
          <w:tcPr>
            <w:tcW w:w="550" w:type="pct"/>
            <w:hideMark/>
          </w:tcPr>
          <w:p w14:paraId="146F7DA3" w14:textId="77777777" w:rsidR="00B15F7D" w:rsidRPr="00990FB6" w:rsidRDefault="00B15F7D" w:rsidP="00B15F7D">
            <w:pPr>
              <w:rPr>
                <w:sz w:val="22"/>
                <w:szCs w:val="22"/>
                <w:u w:val="single"/>
              </w:rPr>
            </w:pPr>
            <w:r w:rsidRPr="00990FB6">
              <w:rPr>
                <w:sz w:val="22"/>
                <w:szCs w:val="22"/>
                <w:u w:val="single"/>
              </w:rPr>
              <w:t>44.063,00</w:t>
            </w:r>
          </w:p>
        </w:tc>
        <w:tc>
          <w:tcPr>
            <w:tcW w:w="511" w:type="pct"/>
            <w:noWrap/>
            <w:hideMark/>
          </w:tcPr>
          <w:p w14:paraId="143388D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8167E6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1FBC90D"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w:t>
            </w:r>
            <w:r w:rsidRPr="00990FB6">
              <w:rPr>
                <w:sz w:val="22"/>
                <w:szCs w:val="22"/>
                <w:u w:val="single"/>
              </w:rPr>
              <w:lastRenderedPageBreak/>
              <w:t xml:space="preserve">fiscalías. Desmejora en la prestación del servicio público. </w:t>
            </w:r>
          </w:p>
        </w:tc>
      </w:tr>
      <w:tr w:rsidR="00B15F7D" w:rsidRPr="00990FB6" w14:paraId="61C06C26" w14:textId="77777777" w:rsidTr="000A0C22">
        <w:trPr>
          <w:trHeight w:val="580"/>
          <w:jc w:val="center"/>
        </w:trPr>
        <w:tc>
          <w:tcPr>
            <w:tcW w:w="583" w:type="pct"/>
            <w:hideMark/>
          </w:tcPr>
          <w:p w14:paraId="3884AE25"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551989E5"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FCC08D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14336</w:t>
            </w:r>
          </w:p>
        </w:tc>
        <w:tc>
          <w:tcPr>
            <w:tcW w:w="1045" w:type="pct"/>
            <w:hideMark/>
          </w:tcPr>
          <w:p w14:paraId="617BA9C5" w14:textId="77777777" w:rsidR="00B15F7D" w:rsidRPr="00990FB6" w:rsidRDefault="00B15F7D" w:rsidP="00B15F7D">
            <w:pPr>
              <w:rPr>
                <w:sz w:val="22"/>
                <w:szCs w:val="22"/>
                <w:u w:val="single"/>
              </w:rPr>
            </w:pPr>
            <w:r w:rsidRPr="00990FB6">
              <w:rPr>
                <w:sz w:val="22"/>
                <w:szCs w:val="22"/>
                <w:u w:val="single"/>
              </w:rPr>
              <w:t>CINTA MAQ ESCRIBIR STANDARD NEGRA, DOS CARRETES</w:t>
            </w:r>
          </w:p>
        </w:tc>
        <w:tc>
          <w:tcPr>
            <w:tcW w:w="550" w:type="pct"/>
            <w:hideMark/>
          </w:tcPr>
          <w:p w14:paraId="602CD4F7" w14:textId="77777777" w:rsidR="00B15F7D" w:rsidRPr="00990FB6" w:rsidRDefault="00B15F7D" w:rsidP="00B15F7D">
            <w:pPr>
              <w:rPr>
                <w:sz w:val="22"/>
                <w:szCs w:val="22"/>
                <w:u w:val="single"/>
              </w:rPr>
            </w:pPr>
            <w:r w:rsidRPr="00990FB6">
              <w:rPr>
                <w:sz w:val="22"/>
                <w:szCs w:val="22"/>
                <w:u w:val="single"/>
              </w:rPr>
              <w:t>19.628,00</w:t>
            </w:r>
          </w:p>
        </w:tc>
        <w:tc>
          <w:tcPr>
            <w:tcW w:w="511" w:type="pct"/>
            <w:noWrap/>
            <w:hideMark/>
          </w:tcPr>
          <w:p w14:paraId="32F2DEE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A5CF45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B178E71"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6F286A26" w14:textId="77777777" w:rsidTr="000A0C22">
        <w:trPr>
          <w:trHeight w:val="580"/>
          <w:jc w:val="center"/>
        </w:trPr>
        <w:tc>
          <w:tcPr>
            <w:tcW w:w="583" w:type="pct"/>
            <w:hideMark/>
          </w:tcPr>
          <w:p w14:paraId="2E01EB9C"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1AB8988A"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36C0A9F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14363</w:t>
            </w:r>
          </w:p>
        </w:tc>
        <w:tc>
          <w:tcPr>
            <w:tcW w:w="1045" w:type="pct"/>
            <w:hideMark/>
          </w:tcPr>
          <w:p w14:paraId="18446B27" w14:textId="77777777" w:rsidR="00B15F7D" w:rsidRPr="00990FB6" w:rsidRDefault="00B15F7D" w:rsidP="00B15F7D">
            <w:pPr>
              <w:rPr>
                <w:sz w:val="22"/>
                <w:szCs w:val="22"/>
                <w:u w:val="single"/>
              </w:rPr>
            </w:pPr>
            <w:r w:rsidRPr="00990FB6">
              <w:rPr>
                <w:sz w:val="22"/>
                <w:szCs w:val="22"/>
                <w:u w:val="single"/>
              </w:rPr>
              <w:t>MARCADOR PUNTA FINA COLOR NEGRO</w:t>
            </w:r>
          </w:p>
        </w:tc>
        <w:tc>
          <w:tcPr>
            <w:tcW w:w="550" w:type="pct"/>
            <w:hideMark/>
          </w:tcPr>
          <w:p w14:paraId="13CF8087" w14:textId="77777777" w:rsidR="00B15F7D" w:rsidRPr="00990FB6" w:rsidRDefault="00B15F7D" w:rsidP="00B15F7D">
            <w:pPr>
              <w:rPr>
                <w:sz w:val="22"/>
                <w:szCs w:val="22"/>
                <w:u w:val="single"/>
              </w:rPr>
            </w:pPr>
            <w:r w:rsidRPr="00990FB6">
              <w:rPr>
                <w:sz w:val="22"/>
                <w:szCs w:val="22"/>
                <w:u w:val="single"/>
              </w:rPr>
              <w:t>108.035,00</w:t>
            </w:r>
          </w:p>
        </w:tc>
        <w:tc>
          <w:tcPr>
            <w:tcW w:w="511" w:type="pct"/>
            <w:noWrap/>
            <w:hideMark/>
          </w:tcPr>
          <w:p w14:paraId="1A8267D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7D6E18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995B408"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3EC79FA" w14:textId="77777777" w:rsidTr="000A0C22">
        <w:trPr>
          <w:trHeight w:val="580"/>
          <w:jc w:val="center"/>
        </w:trPr>
        <w:tc>
          <w:tcPr>
            <w:tcW w:w="583" w:type="pct"/>
            <w:hideMark/>
          </w:tcPr>
          <w:p w14:paraId="7C7D2C70"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691EAF9C"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5943D54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14377</w:t>
            </w:r>
          </w:p>
        </w:tc>
        <w:tc>
          <w:tcPr>
            <w:tcW w:w="1045" w:type="pct"/>
            <w:hideMark/>
          </w:tcPr>
          <w:p w14:paraId="1A5ADED0" w14:textId="77777777" w:rsidR="00B15F7D" w:rsidRPr="00990FB6" w:rsidRDefault="00B15F7D" w:rsidP="00B15F7D">
            <w:pPr>
              <w:rPr>
                <w:sz w:val="22"/>
                <w:szCs w:val="22"/>
                <w:u w:val="single"/>
              </w:rPr>
            </w:pPr>
            <w:r w:rsidRPr="00990FB6">
              <w:rPr>
                <w:sz w:val="22"/>
                <w:szCs w:val="22"/>
                <w:u w:val="single"/>
              </w:rPr>
              <w:t>TIJERAS PUNTA REDONDA</w:t>
            </w:r>
          </w:p>
        </w:tc>
        <w:tc>
          <w:tcPr>
            <w:tcW w:w="550" w:type="pct"/>
            <w:hideMark/>
          </w:tcPr>
          <w:p w14:paraId="2B22A45C" w14:textId="77777777" w:rsidR="00B15F7D" w:rsidRPr="00990FB6" w:rsidRDefault="00B15F7D" w:rsidP="00B15F7D">
            <w:pPr>
              <w:rPr>
                <w:sz w:val="22"/>
                <w:szCs w:val="22"/>
                <w:u w:val="single"/>
              </w:rPr>
            </w:pPr>
            <w:r w:rsidRPr="00990FB6">
              <w:rPr>
                <w:sz w:val="22"/>
                <w:szCs w:val="22"/>
                <w:u w:val="single"/>
              </w:rPr>
              <w:t>54.240,00</w:t>
            </w:r>
          </w:p>
        </w:tc>
        <w:tc>
          <w:tcPr>
            <w:tcW w:w="511" w:type="pct"/>
            <w:noWrap/>
            <w:hideMark/>
          </w:tcPr>
          <w:p w14:paraId="6B082C3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3964A0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7A299A1"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545039FF" w14:textId="77777777" w:rsidTr="000A0C22">
        <w:trPr>
          <w:trHeight w:val="580"/>
          <w:jc w:val="center"/>
        </w:trPr>
        <w:tc>
          <w:tcPr>
            <w:tcW w:w="583" w:type="pct"/>
            <w:hideMark/>
          </w:tcPr>
          <w:p w14:paraId="4210200C"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7FAA36FC"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00C5E7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14378</w:t>
            </w:r>
          </w:p>
        </w:tc>
        <w:tc>
          <w:tcPr>
            <w:tcW w:w="1045" w:type="pct"/>
            <w:hideMark/>
          </w:tcPr>
          <w:p w14:paraId="35905A30" w14:textId="77777777" w:rsidR="00B15F7D" w:rsidRPr="00990FB6" w:rsidRDefault="00B15F7D" w:rsidP="00B15F7D">
            <w:pPr>
              <w:rPr>
                <w:sz w:val="22"/>
                <w:szCs w:val="22"/>
                <w:u w:val="single"/>
              </w:rPr>
            </w:pPr>
            <w:r w:rsidRPr="00990FB6">
              <w:rPr>
                <w:sz w:val="22"/>
                <w:szCs w:val="22"/>
                <w:u w:val="single"/>
              </w:rPr>
              <w:t>CRAYOLAS</w:t>
            </w:r>
          </w:p>
        </w:tc>
        <w:tc>
          <w:tcPr>
            <w:tcW w:w="550" w:type="pct"/>
            <w:hideMark/>
          </w:tcPr>
          <w:p w14:paraId="7DE0B94D" w14:textId="77777777" w:rsidR="00B15F7D" w:rsidRPr="00990FB6" w:rsidRDefault="00B15F7D" w:rsidP="00B15F7D">
            <w:pPr>
              <w:rPr>
                <w:sz w:val="22"/>
                <w:szCs w:val="22"/>
                <w:u w:val="single"/>
              </w:rPr>
            </w:pPr>
            <w:r w:rsidRPr="00990FB6">
              <w:rPr>
                <w:sz w:val="22"/>
                <w:szCs w:val="22"/>
                <w:u w:val="single"/>
              </w:rPr>
              <w:t>11.160,00</w:t>
            </w:r>
          </w:p>
        </w:tc>
        <w:tc>
          <w:tcPr>
            <w:tcW w:w="511" w:type="pct"/>
            <w:noWrap/>
            <w:hideMark/>
          </w:tcPr>
          <w:p w14:paraId="3131C55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D6BA87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62BAB1D"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CE5DC39" w14:textId="77777777" w:rsidTr="000A0C22">
        <w:trPr>
          <w:trHeight w:val="580"/>
          <w:jc w:val="center"/>
        </w:trPr>
        <w:tc>
          <w:tcPr>
            <w:tcW w:w="583" w:type="pct"/>
            <w:hideMark/>
          </w:tcPr>
          <w:p w14:paraId="24CDC9E6"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05C7435E"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870133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14379</w:t>
            </w:r>
          </w:p>
        </w:tc>
        <w:tc>
          <w:tcPr>
            <w:tcW w:w="1045" w:type="pct"/>
            <w:hideMark/>
          </w:tcPr>
          <w:p w14:paraId="0E9DE2F3" w14:textId="77777777" w:rsidR="00B15F7D" w:rsidRPr="00990FB6" w:rsidRDefault="00B15F7D" w:rsidP="00B15F7D">
            <w:pPr>
              <w:rPr>
                <w:sz w:val="22"/>
                <w:szCs w:val="22"/>
                <w:u w:val="single"/>
              </w:rPr>
            </w:pPr>
            <w:r w:rsidRPr="00990FB6">
              <w:rPr>
                <w:sz w:val="22"/>
                <w:szCs w:val="22"/>
                <w:u w:val="single"/>
              </w:rPr>
              <w:t>LAPICES DE COLOR</w:t>
            </w:r>
          </w:p>
        </w:tc>
        <w:tc>
          <w:tcPr>
            <w:tcW w:w="550" w:type="pct"/>
            <w:hideMark/>
          </w:tcPr>
          <w:p w14:paraId="5A184012" w14:textId="77777777" w:rsidR="00B15F7D" w:rsidRPr="00990FB6" w:rsidRDefault="00B15F7D" w:rsidP="00B15F7D">
            <w:pPr>
              <w:rPr>
                <w:sz w:val="22"/>
                <w:szCs w:val="22"/>
                <w:u w:val="single"/>
              </w:rPr>
            </w:pPr>
            <w:r w:rsidRPr="00990FB6">
              <w:rPr>
                <w:sz w:val="22"/>
                <w:szCs w:val="22"/>
                <w:u w:val="single"/>
              </w:rPr>
              <w:t>5.300,00</w:t>
            </w:r>
          </w:p>
        </w:tc>
        <w:tc>
          <w:tcPr>
            <w:tcW w:w="511" w:type="pct"/>
            <w:noWrap/>
            <w:hideMark/>
          </w:tcPr>
          <w:p w14:paraId="6F5ECA6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288BA4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25EE0E0"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3B3B31EB" w14:textId="77777777" w:rsidTr="000A0C22">
        <w:trPr>
          <w:trHeight w:val="580"/>
          <w:jc w:val="center"/>
        </w:trPr>
        <w:tc>
          <w:tcPr>
            <w:tcW w:w="583" w:type="pct"/>
            <w:hideMark/>
          </w:tcPr>
          <w:p w14:paraId="593E5172"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46C75AFB"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68FA1D7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14394</w:t>
            </w:r>
          </w:p>
        </w:tc>
        <w:tc>
          <w:tcPr>
            <w:tcW w:w="1045" w:type="pct"/>
            <w:hideMark/>
          </w:tcPr>
          <w:p w14:paraId="5E49F0C4" w14:textId="77777777" w:rsidR="00B15F7D" w:rsidRPr="00990FB6" w:rsidRDefault="00B15F7D" w:rsidP="00B15F7D">
            <w:pPr>
              <w:rPr>
                <w:sz w:val="22"/>
                <w:szCs w:val="22"/>
                <w:u w:val="single"/>
              </w:rPr>
            </w:pPr>
            <w:r w:rsidRPr="00990FB6">
              <w:rPr>
                <w:sz w:val="22"/>
                <w:szCs w:val="22"/>
                <w:u w:val="single"/>
              </w:rPr>
              <w:t>CORRECTOR LIQUIDO TIPO LAPICERO</w:t>
            </w:r>
          </w:p>
        </w:tc>
        <w:tc>
          <w:tcPr>
            <w:tcW w:w="550" w:type="pct"/>
            <w:hideMark/>
          </w:tcPr>
          <w:p w14:paraId="55A67D6C" w14:textId="77777777" w:rsidR="00B15F7D" w:rsidRPr="00990FB6" w:rsidRDefault="00B15F7D" w:rsidP="00B15F7D">
            <w:pPr>
              <w:rPr>
                <w:sz w:val="22"/>
                <w:szCs w:val="22"/>
                <w:u w:val="single"/>
              </w:rPr>
            </w:pPr>
            <w:r w:rsidRPr="00990FB6">
              <w:rPr>
                <w:sz w:val="22"/>
                <w:szCs w:val="22"/>
                <w:u w:val="single"/>
              </w:rPr>
              <w:t>2.479,00</w:t>
            </w:r>
          </w:p>
        </w:tc>
        <w:tc>
          <w:tcPr>
            <w:tcW w:w="511" w:type="pct"/>
            <w:noWrap/>
            <w:hideMark/>
          </w:tcPr>
          <w:p w14:paraId="6F26797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20FA7C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DA4180B"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1F0D8E9E" w14:textId="77777777" w:rsidTr="000A0C22">
        <w:trPr>
          <w:trHeight w:val="580"/>
          <w:jc w:val="center"/>
        </w:trPr>
        <w:tc>
          <w:tcPr>
            <w:tcW w:w="583" w:type="pct"/>
            <w:hideMark/>
          </w:tcPr>
          <w:p w14:paraId="68F6C8A1"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5E7BB489"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AC9C2C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14415</w:t>
            </w:r>
          </w:p>
        </w:tc>
        <w:tc>
          <w:tcPr>
            <w:tcW w:w="1045" w:type="pct"/>
            <w:hideMark/>
          </w:tcPr>
          <w:p w14:paraId="39418842" w14:textId="77777777" w:rsidR="00B15F7D" w:rsidRPr="00990FB6" w:rsidRDefault="00B15F7D" w:rsidP="00B15F7D">
            <w:pPr>
              <w:rPr>
                <w:sz w:val="22"/>
                <w:szCs w:val="22"/>
                <w:u w:val="single"/>
              </w:rPr>
            </w:pPr>
            <w:r w:rsidRPr="00990FB6">
              <w:rPr>
                <w:sz w:val="22"/>
                <w:szCs w:val="22"/>
                <w:u w:val="single"/>
              </w:rPr>
              <w:t>BORRADOR BLANCO</w:t>
            </w:r>
          </w:p>
        </w:tc>
        <w:tc>
          <w:tcPr>
            <w:tcW w:w="550" w:type="pct"/>
            <w:hideMark/>
          </w:tcPr>
          <w:p w14:paraId="22152884" w14:textId="77777777" w:rsidR="00B15F7D" w:rsidRPr="00990FB6" w:rsidRDefault="00B15F7D" w:rsidP="00B15F7D">
            <w:pPr>
              <w:rPr>
                <w:sz w:val="22"/>
                <w:szCs w:val="22"/>
                <w:u w:val="single"/>
              </w:rPr>
            </w:pPr>
            <w:r w:rsidRPr="00990FB6">
              <w:rPr>
                <w:sz w:val="22"/>
                <w:szCs w:val="22"/>
                <w:u w:val="single"/>
              </w:rPr>
              <w:t>1.000,00</w:t>
            </w:r>
          </w:p>
        </w:tc>
        <w:tc>
          <w:tcPr>
            <w:tcW w:w="511" w:type="pct"/>
            <w:noWrap/>
            <w:hideMark/>
          </w:tcPr>
          <w:p w14:paraId="20C00FF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3306F0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2087FB"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0D522569" w14:textId="77777777" w:rsidTr="000A0C22">
        <w:trPr>
          <w:trHeight w:val="580"/>
          <w:jc w:val="center"/>
        </w:trPr>
        <w:tc>
          <w:tcPr>
            <w:tcW w:w="583" w:type="pct"/>
            <w:hideMark/>
          </w:tcPr>
          <w:p w14:paraId="6624F320"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32900784"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5A7D143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14438</w:t>
            </w:r>
          </w:p>
        </w:tc>
        <w:tc>
          <w:tcPr>
            <w:tcW w:w="1045" w:type="pct"/>
            <w:hideMark/>
          </w:tcPr>
          <w:p w14:paraId="0B7D63D7" w14:textId="77777777" w:rsidR="00B15F7D" w:rsidRPr="00990FB6" w:rsidRDefault="00B15F7D" w:rsidP="00B15F7D">
            <w:pPr>
              <w:rPr>
                <w:sz w:val="22"/>
                <w:szCs w:val="22"/>
                <w:u w:val="single"/>
              </w:rPr>
            </w:pPr>
            <w:r w:rsidRPr="00990FB6">
              <w:rPr>
                <w:sz w:val="22"/>
                <w:szCs w:val="22"/>
                <w:u w:val="single"/>
              </w:rPr>
              <w:t>PILOT ESCOLAR</w:t>
            </w:r>
          </w:p>
        </w:tc>
        <w:tc>
          <w:tcPr>
            <w:tcW w:w="550" w:type="pct"/>
            <w:hideMark/>
          </w:tcPr>
          <w:p w14:paraId="646BEB1F" w14:textId="77777777" w:rsidR="00B15F7D" w:rsidRPr="00990FB6" w:rsidRDefault="00B15F7D" w:rsidP="00B15F7D">
            <w:pPr>
              <w:rPr>
                <w:sz w:val="22"/>
                <w:szCs w:val="22"/>
                <w:u w:val="single"/>
              </w:rPr>
            </w:pPr>
            <w:r w:rsidRPr="00990FB6">
              <w:rPr>
                <w:sz w:val="22"/>
                <w:szCs w:val="22"/>
                <w:u w:val="single"/>
              </w:rPr>
              <w:t>12.656,00</w:t>
            </w:r>
          </w:p>
        </w:tc>
        <w:tc>
          <w:tcPr>
            <w:tcW w:w="511" w:type="pct"/>
            <w:noWrap/>
            <w:hideMark/>
          </w:tcPr>
          <w:p w14:paraId="1B27F10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6579C6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A17C7A0"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10F1837C" w14:textId="77777777" w:rsidTr="000A0C22">
        <w:trPr>
          <w:trHeight w:val="580"/>
          <w:jc w:val="center"/>
        </w:trPr>
        <w:tc>
          <w:tcPr>
            <w:tcW w:w="583" w:type="pct"/>
            <w:hideMark/>
          </w:tcPr>
          <w:p w14:paraId="2371F048"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651BCA67"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7630BFD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18058</w:t>
            </w:r>
          </w:p>
        </w:tc>
        <w:tc>
          <w:tcPr>
            <w:tcW w:w="1045" w:type="pct"/>
            <w:hideMark/>
          </w:tcPr>
          <w:p w14:paraId="473D5115" w14:textId="77777777" w:rsidR="00B15F7D" w:rsidRPr="00990FB6" w:rsidRDefault="00B15F7D" w:rsidP="00B15F7D">
            <w:pPr>
              <w:rPr>
                <w:sz w:val="22"/>
                <w:szCs w:val="22"/>
                <w:u w:val="single"/>
              </w:rPr>
            </w:pPr>
            <w:r w:rsidRPr="00990FB6">
              <w:rPr>
                <w:sz w:val="22"/>
                <w:szCs w:val="22"/>
                <w:u w:val="single"/>
              </w:rPr>
              <w:t>BOLIGRAFO TINTA ROJA</w:t>
            </w:r>
          </w:p>
        </w:tc>
        <w:tc>
          <w:tcPr>
            <w:tcW w:w="550" w:type="pct"/>
            <w:hideMark/>
          </w:tcPr>
          <w:p w14:paraId="165C7DB4" w14:textId="77777777" w:rsidR="00B15F7D" w:rsidRPr="00990FB6" w:rsidRDefault="00B15F7D" w:rsidP="00B15F7D">
            <w:pPr>
              <w:rPr>
                <w:sz w:val="22"/>
                <w:szCs w:val="22"/>
                <w:u w:val="single"/>
              </w:rPr>
            </w:pPr>
            <w:r w:rsidRPr="00990FB6">
              <w:rPr>
                <w:sz w:val="22"/>
                <w:szCs w:val="22"/>
                <w:u w:val="single"/>
              </w:rPr>
              <w:t>79.597,00</w:t>
            </w:r>
          </w:p>
        </w:tc>
        <w:tc>
          <w:tcPr>
            <w:tcW w:w="511" w:type="pct"/>
            <w:noWrap/>
            <w:hideMark/>
          </w:tcPr>
          <w:p w14:paraId="754F2B8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94571F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83128A7"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68FC4001" w14:textId="77777777" w:rsidTr="000A0C22">
        <w:trPr>
          <w:trHeight w:val="580"/>
          <w:jc w:val="center"/>
        </w:trPr>
        <w:tc>
          <w:tcPr>
            <w:tcW w:w="583" w:type="pct"/>
            <w:hideMark/>
          </w:tcPr>
          <w:p w14:paraId="1C4DE66B"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738D5D73"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1147090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18059</w:t>
            </w:r>
          </w:p>
        </w:tc>
        <w:tc>
          <w:tcPr>
            <w:tcW w:w="1045" w:type="pct"/>
            <w:hideMark/>
          </w:tcPr>
          <w:p w14:paraId="6D321BF2" w14:textId="77777777" w:rsidR="00B15F7D" w:rsidRPr="00990FB6" w:rsidRDefault="00B15F7D" w:rsidP="00B15F7D">
            <w:pPr>
              <w:rPr>
                <w:sz w:val="22"/>
                <w:szCs w:val="22"/>
                <w:u w:val="single"/>
              </w:rPr>
            </w:pPr>
            <w:r w:rsidRPr="00990FB6">
              <w:rPr>
                <w:sz w:val="22"/>
                <w:szCs w:val="22"/>
                <w:u w:val="single"/>
              </w:rPr>
              <w:t>LAPIZ NEGRO, CAJA</w:t>
            </w:r>
          </w:p>
        </w:tc>
        <w:tc>
          <w:tcPr>
            <w:tcW w:w="550" w:type="pct"/>
            <w:hideMark/>
          </w:tcPr>
          <w:p w14:paraId="3666FAEA" w14:textId="77777777" w:rsidR="00B15F7D" w:rsidRPr="00990FB6" w:rsidRDefault="00B15F7D" w:rsidP="00B15F7D">
            <w:pPr>
              <w:rPr>
                <w:sz w:val="22"/>
                <w:szCs w:val="22"/>
                <w:u w:val="single"/>
              </w:rPr>
            </w:pPr>
            <w:r w:rsidRPr="00990FB6">
              <w:rPr>
                <w:sz w:val="22"/>
                <w:szCs w:val="22"/>
                <w:u w:val="single"/>
              </w:rPr>
              <w:t>86.299,00</w:t>
            </w:r>
          </w:p>
        </w:tc>
        <w:tc>
          <w:tcPr>
            <w:tcW w:w="511" w:type="pct"/>
            <w:noWrap/>
            <w:hideMark/>
          </w:tcPr>
          <w:p w14:paraId="27B4C15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C6A1AB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D90D9B1"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7DC7831" w14:textId="77777777" w:rsidTr="000A0C22">
        <w:trPr>
          <w:trHeight w:val="580"/>
          <w:jc w:val="center"/>
        </w:trPr>
        <w:tc>
          <w:tcPr>
            <w:tcW w:w="583" w:type="pct"/>
            <w:hideMark/>
          </w:tcPr>
          <w:p w14:paraId="30304500"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46D3D449"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4783D2B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23686</w:t>
            </w:r>
          </w:p>
        </w:tc>
        <w:tc>
          <w:tcPr>
            <w:tcW w:w="1045" w:type="pct"/>
            <w:hideMark/>
          </w:tcPr>
          <w:p w14:paraId="27372998" w14:textId="77777777" w:rsidR="00B15F7D" w:rsidRPr="00990FB6" w:rsidRDefault="00B15F7D" w:rsidP="00B15F7D">
            <w:pPr>
              <w:rPr>
                <w:sz w:val="22"/>
                <w:szCs w:val="22"/>
                <w:u w:val="single"/>
              </w:rPr>
            </w:pPr>
            <w:r w:rsidRPr="00990FB6">
              <w:rPr>
                <w:sz w:val="22"/>
                <w:szCs w:val="22"/>
                <w:u w:val="single"/>
              </w:rPr>
              <w:t>ALMOHADILLA PARA SELLO</w:t>
            </w:r>
          </w:p>
        </w:tc>
        <w:tc>
          <w:tcPr>
            <w:tcW w:w="550" w:type="pct"/>
            <w:hideMark/>
          </w:tcPr>
          <w:p w14:paraId="0A437CC5" w14:textId="77777777" w:rsidR="00B15F7D" w:rsidRPr="00990FB6" w:rsidRDefault="00B15F7D" w:rsidP="00B15F7D">
            <w:pPr>
              <w:rPr>
                <w:sz w:val="22"/>
                <w:szCs w:val="22"/>
                <w:u w:val="single"/>
              </w:rPr>
            </w:pPr>
            <w:r w:rsidRPr="00990FB6">
              <w:rPr>
                <w:sz w:val="22"/>
                <w:szCs w:val="22"/>
                <w:u w:val="single"/>
              </w:rPr>
              <w:t>34.352,00</w:t>
            </w:r>
          </w:p>
        </w:tc>
        <w:tc>
          <w:tcPr>
            <w:tcW w:w="511" w:type="pct"/>
            <w:noWrap/>
            <w:hideMark/>
          </w:tcPr>
          <w:p w14:paraId="5A164F2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4E7973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3A0B8C0"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w:t>
            </w:r>
            <w:r w:rsidRPr="00990FB6">
              <w:rPr>
                <w:sz w:val="22"/>
                <w:szCs w:val="22"/>
                <w:u w:val="single"/>
              </w:rPr>
              <w:lastRenderedPageBreak/>
              <w:t xml:space="preserve">prestación del servicio público. </w:t>
            </w:r>
          </w:p>
        </w:tc>
      </w:tr>
      <w:tr w:rsidR="00B15F7D" w:rsidRPr="00990FB6" w14:paraId="2500256F" w14:textId="77777777" w:rsidTr="000A0C22">
        <w:trPr>
          <w:trHeight w:val="580"/>
          <w:jc w:val="center"/>
        </w:trPr>
        <w:tc>
          <w:tcPr>
            <w:tcW w:w="583" w:type="pct"/>
            <w:hideMark/>
          </w:tcPr>
          <w:p w14:paraId="4FFBAC7E" w14:textId="77777777" w:rsidR="00B15F7D" w:rsidRPr="00990FB6" w:rsidRDefault="00B15F7D" w:rsidP="00B15F7D">
            <w:pPr>
              <w:rPr>
                <w:sz w:val="22"/>
                <w:szCs w:val="22"/>
                <w:u w:val="single"/>
              </w:rPr>
            </w:pPr>
            <w:r w:rsidRPr="00990FB6">
              <w:rPr>
                <w:sz w:val="22"/>
                <w:szCs w:val="22"/>
                <w:u w:val="single"/>
              </w:rPr>
              <w:lastRenderedPageBreak/>
              <w:t>29901</w:t>
            </w:r>
          </w:p>
        </w:tc>
        <w:tc>
          <w:tcPr>
            <w:tcW w:w="578" w:type="pct"/>
            <w:hideMark/>
          </w:tcPr>
          <w:p w14:paraId="05153C90"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1AC10B2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23848</w:t>
            </w:r>
          </w:p>
        </w:tc>
        <w:tc>
          <w:tcPr>
            <w:tcW w:w="1045" w:type="pct"/>
            <w:hideMark/>
          </w:tcPr>
          <w:p w14:paraId="7AD66CED" w14:textId="77777777" w:rsidR="00B15F7D" w:rsidRPr="00990FB6" w:rsidRDefault="00B15F7D" w:rsidP="00B15F7D">
            <w:pPr>
              <w:rPr>
                <w:sz w:val="22"/>
                <w:szCs w:val="22"/>
                <w:u w:val="single"/>
              </w:rPr>
            </w:pPr>
            <w:r w:rsidRPr="00990FB6">
              <w:rPr>
                <w:sz w:val="22"/>
                <w:szCs w:val="22"/>
                <w:u w:val="single"/>
              </w:rPr>
              <w:t>PLANTILLA PARA SELLO</w:t>
            </w:r>
          </w:p>
        </w:tc>
        <w:tc>
          <w:tcPr>
            <w:tcW w:w="550" w:type="pct"/>
            <w:hideMark/>
          </w:tcPr>
          <w:p w14:paraId="0F1DA70D" w14:textId="77777777" w:rsidR="00B15F7D" w:rsidRPr="00990FB6" w:rsidRDefault="00B15F7D" w:rsidP="00B15F7D">
            <w:pPr>
              <w:rPr>
                <w:sz w:val="22"/>
                <w:szCs w:val="22"/>
                <w:u w:val="single"/>
              </w:rPr>
            </w:pPr>
            <w:r w:rsidRPr="00990FB6">
              <w:rPr>
                <w:sz w:val="22"/>
                <w:szCs w:val="22"/>
                <w:u w:val="single"/>
              </w:rPr>
              <w:t>25.764,00</w:t>
            </w:r>
          </w:p>
        </w:tc>
        <w:tc>
          <w:tcPr>
            <w:tcW w:w="511" w:type="pct"/>
            <w:noWrap/>
            <w:hideMark/>
          </w:tcPr>
          <w:p w14:paraId="7F9E676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AF0BCE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08C64B5"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07CE1C08" w14:textId="77777777" w:rsidTr="000A0C22">
        <w:trPr>
          <w:trHeight w:val="580"/>
          <w:jc w:val="center"/>
        </w:trPr>
        <w:tc>
          <w:tcPr>
            <w:tcW w:w="583" w:type="pct"/>
            <w:hideMark/>
          </w:tcPr>
          <w:p w14:paraId="11A8D737" w14:textId="77777777" w:rsidR="00B15F7D" w:rsidRPr="00990FB6" w:rsidRDefault="00B15F7D" w:rsidP="00B15F7D">
            <w:pPr>
              <w:rPr>
                <w:sz w:val="22"/>
                <w:szCs w:val="22"/>
                <w:u w:val="single"/>
              </w:rPr>
            </w:pPr>
            <w:r w:rsidRPr="00990FB6">
              <w:rPr>
                <w:sz w:val="22"/>
                <w:szCs w:val="22"/>
                <w:u w:val="single"/>
              </w:rPr>
              <w:t>29901</w:t>
            </w:r>
          </w:p>
        </w:tc>
        <w:tc>
          <w:tcPr>
            <w:tcW w:w="578" w:type="pct"/>
            <w:hideMark/>
          </w:tcPr>
          <w:p w14:paraId="15550754" w14:textId="77777777" w:rsidR="00B15F7D" w:rsidRPr="00990FB6" w:rsidRDefault="00B15F7D" w:rsidP="00B15F7D">
            <w:pPr>
              <w:rPr>
                <w:sz w:val="22"/>
                <w:szCs w:val="22"/>
                <w:u w:val="single"/>
              </w:rPr>
            </w:pPr>
            <w:r w:rsidRPr="00990FB6">
              <w:rPr>
                <w:sz w:val="22"/>
                <w:szCs w:val="22"/>
                <w:u w:val="single"/>
              </w:rPr>
              <w:t>Útiles y materiales de oficina y cómputo</w:t>
            </w:r>
          </w:p>
        </w:tc>
        <w:tc>
          <w:tcPr>
            <w:tcW w:w="363" w:type="pct"/>
            <w:hideMark/>
          </w:tcPr>
          <w:p w14:paraId="7A06CF0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24725</w:t>
            </w:r>
          </w:p>
        </w:tc>
        <w:tc>
          <w:tcPr>
            <w:tcW w:w="1045" w:type="pct"/>
            <w:hideMark/>
          </w:tcPr>
          <w:p w14:paraId="72416039" w14:textId="77777777" w:rsidR="00B15F7D" w:rsidRPr="00990FB6" w:rsidRDefault="00B15F7D" w:rsidP="00B15F7D">
            <w:pPr>
              <w:rPr>
                <w:sz w:val="22"/>
                <w:szCs w:val="22"/>
                <w:u w:val="single"/>
              </w:rPr>
            </w:pPr>
            <w:r w:rsidRPr="00990FB6">
              <w:rPr>
                <w:sz w:val="22"/>
                <w:szCs w:val="22"/>
                <w:u w:val="single"/>
              </w:rPr>
              <w:t>LAPICERO DE PUNTA DE GOMA</w:t>
            </w:r>
          </w:p>
        </w:tc>
        <w:tc>
          <w:tcPr>
            <w:tcW w:w="550" w:type="pct"/>
            <w:hideMark/>
          </w:tcPr>
          <w:p w14:paraId="51156C1C" w14:textId="77777777" w:rsidR="00B15F7D" w:rsidRPr="00990FB6" w:rsidRDefault="00B15F7D" w:rsidP="00B15F7D">
            <w:pPr>
              <w:rPr>
                <w:sz w:val="22"/>
                <w:szCs w:val="22"/>
                <w:u w:val="single"/>
              </w:rPr>
            </w:pPr>
            <w:r w:rsidRPr="00990FB6">
              <w:rPr>
                <w:sz w:val="22"/>
                <w:szCs w:val="22"/>
                <w:u w:val="single"/>
              </w:rPr>
              <w:t>17.486,00</w:t>
            </w:r>
          </w:p>
        </w:tc>
        <w:tc>
          <w:tcPr>
            <w:tcW w:w="511" w:type="pct"/>
            <w:noWrap/>
            <w:hideMark/>
          </w:tcPr>
          <w:p w14:paraId="3DE13C5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4D400F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434C749"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1A584CB1" w14:textId="77777777" w:rsidTr="000A0C22">
        <w:trPr>
          <w:trHeight w:val="580"/>
          <w:jc w:val="center"/>
        </w:trPr>
        <w:tc>
          <w:tcPr>
            <w:tcW w:w="583" w:type="pct"/>
            <w:hideMark/>
          </w:tcPr>
          <w:p w14:paraId="09161096" w14:textId="77777777" w:rsidR="00B15F7D" w:rsidRPr="00990FB6" w:rsidRDefault="00B15F7D" w:rsidP="00B15F7D">
            <w:pPr>
              <w:rPr>
                <w:sz w:val="22"/>
                <w:szCs w:val="22"/>
                <w:u w:val="single"/>
              </w:rPr>
            </w:pPr>
            <w:r w:rsidRPr="00990FB6">
              <w:rPr>
                <w:sz w:val="22"/>
                <w:szCs w:val="22"/>
                <w:u w:val="single"/>
              </w:rPr>
              <w:t>29902</w:t>
            </w:r>
          </w:p>
        </w:tc>
        <w:tc>
          <w:tcPr>
            <w:tcW w:w="578" w:type="pct"/>
            <w:hideMark/>
          </w:tcPr>
          <w:p w14:paraId="2E870E61" w14:textId="77777777" w:rsidR="00B15F7D" w:rsidRPr="00990FB6" w:rsidRDefault="00B15F7D" w:rsidP="00B15F7D">
            <w:pPr>
              <w:rPr>
                <w:sz w:val="22"/>
                <w:szCs w:val="22"/>
                <w:u w:val="single"/>
              </w:rPr>
            </w:pPr>
            <w:r w:rsidRPr="00990FB6">
              <w:rPr>
                <w:sz w:val="22"/>
                <w:szCs w:val="22"/>
                <w:u w:val="single"/>
              </w:rPr>
              <w:t>Útiles y materiales médico, hospitalario y de investigación</w:t>
            </w:r>
          </w:p>
        </w:tc>
        <w:tc>
          <w:tcPr>
            <w:tcW w:w="363" w:type="pct"/>
            <w:hideMark/>
          </w:tcPr>
          <w:p w14:paraId="0E3F687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14567</w:t>
            </w:r>
          </w:p>
        </w:tc>
        <w:tc>
          <w:tcPr>
            <w:tcW w:w="1045" w:type="pct"/>
            <w:hideMark/>
          </w:tcPr>
          <w:p w14:paraId="3196A2A6" w14:textId="77777777" w:rsidR="00B15F7D" w:rsidRPr="00990FB6" w:rsidRDefault="00B15F7D" w:rsidP="00B15F7D">
            <w:pPr>
              <w:rPr>
                <w:sz w:val="22"/>
                <w:szCs w:val="22"/>
                <w:u w:val="single"/>
              </w:rPr>
            </w:pPr>
            <w:r w:rsidRPr="00990FB6">
              <w:rPr>
                <w:sz w:val="22"/>
                <w:szCs w:val="22"/>
                <w:u w:val="single"/>
              </w:rPr>
              <w:t>BOLSA PARA EMBALAR DROGA</w:t>
            </w:r>
          </w:p>
        </w:tc>
        <w:tc>
          <w:tcPr>
            <w:tcW w:w="550" w:type="pct"/>
            <w:hideMark/>
          </w:tcPr>
          <w:p w14:paraId="7AEA8DD9" w14:textId="77777777" w:rsidR="00B15F7D" w:rsidRPr="00990FB6" w:rsidRDefault="00B15F7D" w:rsidP="00B15F7D">
            <w:pPr>
              <w:rPr>
                <w:sz w:val="22"/>
                <w:szCs w:val="22"/>
                <w:u w:val="single"/>
              </w:rPr>
            </w:pPr>
            <w:r w:rsidRPr="00990FB6">
              <w:rPr>
                <w:sz w:val="22"/>
                <w:szCs w:val="22"/>
                <w:u w:val="single"/>
              </w:rPr>
              <w:t>28.103,00</w:t>
            </w:r>
          </w:p>
        </w:tc>
        <w:tc>
          <w:tcPr>
            <w:tcW w:w="511" w:type="pct"/>
            <w:hideMark/>
          </w:tcPr>
          <w:p w14:paraId="1350ABFB"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8E2704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1F97708" w14:textId="77777777" w:rsidR="00B15F7D" w:rsidRPr="00990FB6" w:rsidRDefault="00B15F7D" w:rsidP="00F60AA2">
            <w:pPr>
              <w:jc w:val="both"/>
              <w:rPr>
                <w:sz w:val="22"/>
                <w:szCs w:val="22"/>
                <w:u w:val="single"/>
              </w:rPr>
            </w:pPr>
            <w:r w:rsidRPr="00990FB6">
              <w:rPr>
                <w:sz w:val="22"/>
                <w:szCs w:val="22"/>
                <w:u w:val="single"/>
              </w:rPr>
              <w:t xml:space="preserve">Afectación en la operación normal de las fiscalías. Desmejora en la prestación del servicio público. </w:t>
            </w:r>
          </w:p>
        </w:tc>
      </w:tr>
      <w:tr w:rsidR="00B15F7D" w:rsidRPr="00990FB6" w14:paraId="2364F49D" w14:textId="77777777" w:rsidTr="000A0C22">
        <w:trPr>
          <w:trHeight w:val="580"/>
          <w:jc w:val="center"/>
        </w:trPr>
        <w:tc>
          <w:tcPr>
            <w:tcW w:w="583" w:type="pct"/>
            <w:hideMark/>
          </w:tcPr>
          <w:p w14:paraId="4882F386" w14:textId="77777777" w:rsidR="00B15F7D" w:rsidRPr="00990FB6" w:rsidRDefault="00B15F7D" w:rsidP="00B15F7D">
            <w:pPr>
              <w:rPr>
                <w:sz w:val="22"/>
                <w:szCs w:val="22"/>
                <w:u w:val="single"/>
              </w:rPr>
            </w:pPr>
            <w:r w:rsidRPr="00990FB6">
              <w:rPr>
                <w:sz w:val="22"/>
                <w:szCs w:val="22"/>
                <w:u w:val="single"/>
              </w:rPr>
              <w:t>29902</w:t>
            </w:r>
          </w:p>
        </w:tc>
        <w:tc>
          <w:tcPr>
            <w:tcW w:w="578" w:type="pct"/>
            <w:hideMark/>
          </w:tcPr>
          <w:p w14:paraId="62C5319F" w14:textId="77777777" w:rsidR="00B15F7D" w:rsidRPr="00990FB6" w:rsidRDefault="00B15F7D" w:rsidP="00B15F7D">
            <w:pPr>
              <w:rPr>
                <w:sz w:val="22"/>
                <w:szCs w:val="22"/>
                <w:u w:val="single"/>
              </w:rPr>
            </w:pPr>
            <w:r w:rsidRPr="00990FB6">
              <w:rPr>
                <w:sz w:val="22"/>
                <w:szCs w:val="22"/>
                <w:u w:val="single"/>
              </w:rPr>
              <w:t>Útiles y materiales médico, hospitalario y de investigación</w:t>
            </w:r>
          </w:p>
        </w:tc>
        <w:tc>
          <w:tcPr>
            <w:tcW w:w="363" w:type="pct"/>
            <w:hideMark/>
          </w:tcPr>
          <w:p w14:paraId="420D87B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25637</w:t>
            </w:r>
          </w:p>
        </w:tc>
        <w:tc>
          <w:tcPr>
            <w:tcW w:w="1045" w:type="pct"/>
            <w:hideMark/>
          </w:tcPr>
          <w:p w14:paraId="1C1C40FD" w14:textId="77777777" w:rsidR="00B15F7D" w:rsidRPr="00990FB6" w:rsidRDefault="00B15F7D" w:rsidP="00B15F7D">
            <w:pPr>
              <w:rPr>
                <w:sz w:val="22"/>
                <w:szCs w:val="22"/>
                <w:u w:val="single"/>
              </w:rPr>
            </w:pPr>
            <w:r w:rsidRPr="00990FB6">
              <w:rPr>
                <w:sz w:val="22"/>
                <w:szCs w:val="22"/>
                <w:u w:val="single"/>
              </w:rPr>
              <w:t>TIJERAS PUNTA ROMA</w:t>
            </w:r>
          </w:p>
        </w:tc>
        <w:tc>
          <w:tcPr>
            <w:tcW w:w="550" w:type="pct"/>
            <w:hideMark/>
          </w:tcPr>
          <w:p w14:paraId="02F5E4A8" w14:textId="77777777" w:rsidR="00B15F7D" w:rsidRPr="00990FB6" w:rsidRDefault="00B15F7D" w:rsidP="00B15F7D">
            <w:pPr>
              <w:rPr>
                <w:sz w:val="22"/>
                <w:szCs w:val="22"/>
                <w:u w:val="single"/>
              </w:rPr>
            </w:pPr>
            <w:r w:rsidRPr="00990FB6">
              <w:rPr>
                <w:sz w:val="22"/>
                <w:szCs w:val="22"/>
                <w:u w:val="single"/>
              </w:rPr>
              <w:t>67.354,00</w:t>
            </w:r>
          </w:p>
        </w:tc>
        <w:tc>
          <w:tcPr>
            <w:tcW w:w="511" w:type="pct"/>
            <w:hideMark/>
          </w:tcPr>
          <w:p w14:paraId="2E51C41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1DC960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6736134" w14:textId="77777777" w:rsidR="00B15F7D" w:rsidRPr="00990FB6" w:rsidRDefault="00B15F7D" w:rsidP="00F60AA2">
            <w:pPr>
              <w:jc w:val="both"/>
              <w:rPr>
                <w:sz w:val="22"/>
                <w:szCs w:val="22"/>
                <w:u w:val="single"/>
              </w:rPr>
            </w:pPr>
            <w:r w:rsidRPr="00990FB6">
              <w:rPr>
                <w:sz w:val="22"/>
                <w:szCs w:val="22"/>
                <w:u w:val="single"/>
              </w:rPr>
              <w:t> </w:t>
            </w:r>
          </w:p>
        </w:tc>
      </w:tr>
      <w:tr w:rsidR="00B15F7D" w:rsidRPr="00990FB6" w14:paraId="46229CF1" w14:textId="77777777" w:rsidTr="000A0C22">
        <w:trPr>
          <w:trHeight w:val="580"/>
          <w:jc w:val="center"/>
        </w:trPr>
        <w:tc>
          <w:tcPr>
            <w:tcW w:w="583" w:type="pct"/>
            <w:hideMark/>
          </w:tcPr>
          <w:p w14:paraId="7308F403"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39861425"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7BFAF6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0002A</w:t>
            </w:r>
          </w:p>
        </w:tc>
        <w:tc>
          <w:tcPr>
            <w:tcW w:w="1045" w:type="pct"/>
            <w:hideMark/>
          </w:tcPr>
          <w:p w14:paraId="3FB9B639" w14:textId="77777777" w:rsidR="00B15F7D" w:rsidRPr="00990FB6" w:rsidRDefault="00B15F7D" w:rsidP="00B15F7D">
            <w:pPr>
              <w:rPr>
                <w:sz w:val="22"/>
                <w:szCs w:val="22"/>
                <w:u w:val="single"/>
              </w:rPr>
            </w:pPr>
            <w:r w:rsidRPr="00990FB6">
              <w:rPr>
                <w:sz w:val="22"/>
                <w:szCs w:val="22"/>
                <w:u w:val="single"/>
              </w:rPr>
              <w:t>CARATULA AMARILLA ESP.(F-2A), MAT PENAL 250 UNI.</w:t>
            </w:r>
          </w:p>
        </w:tc>
        <w:tc>
          <w:tcPr>
            <w:tcW w:w="550" w:type="pct"/>
            <w:hideMark/>
          </w:tcPr>
          <w:p w14:paraId="52908970" w14:textId="77777777" w:rsidR="00B15F7D" w:rsidRPr="00990FB6" w:rsidRDefault="00B15F7D" w:rsidP="00B15F7D">
            <w:pPr>
              <w:rPr>
                <w:sz w:val="22"/>
                <w:szCs w:val="22"/>
                <w:u w:val="single"/>
              </w:rPr>
            </w:pPr>
            <w:r w:rsidRPr="00990FB6">
              <w:rPr>
                <w:sz w:val="22"/>
                <w:szCs w:val="22"/>
                <w:u w:val="single"/>
              </w:rPr>
              <w:t>1.997.010,00</w:t>
            </w:r>
          </w:p>
        </w:tc>
        <w:tc>
          <w:tcPr>
            <w:tcW w:w="511" w:type="pct"/>
            <w:hideMark/>
          </w:tcPr>
          <w:p w14:paraId="0DF57AA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D6E76B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1CDFAFD" w14:textId="77777777" w:rsidR="00B15F7D" w:rsidRPr="00990FB6" w:rsidRDefault="00B15F7D" w:rsidP="00F60AA2">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7982110" w14:textId="77777777" w:rsidTr="000A0C22">
        <w:trPr>
          <w:trHeight w:val="580"/>
          <w:jc w:val="center"/>
        </w:trPr>
        <w:tc>
          <w:tcPr>
            <w:tcW w:w="583" w:type="pct"/>
            <w:hideMark/>
          </w:tcPr>
          <w:p w14:paraId="38EBAC02"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44329621" w14:textId="77777777" w:rsidR="00B15F7D" w:rsidRPr="00990FB6" w:rsidRDefault="00B15F7D" w:rsidP="00B15F7D">
            <w:pPr>
              <w:rPr>
                <w:sz w:val="22"/>
                <w:szCs w:val="22"/>
                <w:u w:val="single"/>
              </w:rPr>
            </w:pPr>
            <w:r w:rsidRPr="00990FB6">
              <w:rPr>
                <w:sz w:val="22"/>
                <w:szCs w:val="22"/>
                <w:u w:val="single"/>
              </w:rPr>
              <w:t xml:space="preserve">Productos de papel, </w:t>
            </w:r>
            <w:r w:rsidRPr="00990FB6">
              <w:rPr>
                <w:sz w:val="22"/>
                <w:szCs w:val="22"/>
                <w:u w:val="single"/>
              </w:rPr>
              <w:lastRenderedPageBreak/>
              <w:t>cartón e impresos</w:t>
            </w:r>
          </w:p>
        </w:tc>
        <w:tc>
          <w:tcPr>
            <w:tcW w:w="363" w:type="pct"/>
            <w:hideMark/>
          </w:tcPr>
          <w:p w14:paraId="63B63BD0" w14:textId="77777777" w:rsidR="00B15F7D" w:rsidRPr="00990FB6" w:rsidRDefault="00B15F7D" w:rsidP="00B15F7D">
            <w:pPr>
              <w:rPr>
                <w:sz w:val="22"/>
                <w:szCs w:val="22"/>
                <w:u w:val="single"/>
              </w:rPr>
            </w:pPr>
            <w:r w:rsidRPr="00990FB6">
              <w:rPr>
                <w:sz w:val="22"/>
                <w:szCs w:val="22"/>
                <w:u w:val="single"/>
              </w:rPr>
              <w:lastRenderedPageBreak/>
              <w:t xml:space="preserve">       </w:t>
            </w:r>
            <w:proofErr w:type="gramStart"/>
            <w:r w:rsidRPr="00990FB6">
              <w:rPr>
                <w:sz w:val="22"/>
                <w:szCs w:val="22"/>
                <w:u w:val="single"/>
              </w:rPr>
              <w:t>Art. :</w:t>
            </w:r>
            <w:proofErr w:type="gramEnd"/>
            <w:r w:rsidRPr="00990FB6">
              <w:rPr>
                <w:sz w:val="22"/>
                <w:szCs w:val="22"/>
                <w:u w:val="single"/>
              </w:rPr>
              <w:t xml:space="preserve"> 00074</w:t>
            </w:r>
          </w:p>
        </w:tc>
        <w:tc>
          <w:tcPr>
            <w:tcW w:w="1045" w:type="pct"/>
            <w:hideMark/>
          </w:tcPr>
          <w:p w14:paraId="612193DF" w14:textId="77777777" w:rsidR="00B15F7D" w:rsidRPr="00990FB6" w:rsidRDefault="00B15F7D" w:rsidP="00B15F7D">
            <w:pPr>
              <w:rPr>
                <w:sz w:val="22"/>
                <w:szCs w:val="22"/>
                <w:u w:val="single"/>
              </w:rPr>
            </w:pPr>
            <w:r w:rsidRPr="00990FB6">
              <w:rPr>
                <w:sz w:val="22"/>
                <w:szCs w:val="22"/>
                <w:u w:val="single"/>
              </w:rPr>
              <w:t>PAPEL DE OFICIO (1000 UN.)</w:t>
            </w:r>
          </w:p>
        </w:tc>
        <w:tc>
          <w:tcPr>
            <w:tcW w:w="550" w:type="pct"/>
            <w:hideMark/>
          </w:tcPr>
          <w:p w14:paraId="6032AEC5" w14:textId="77777777" w:rsidR="00B15F7D" w:rsidRPr="00990FB6" w:rsidRDefault="00B15F7D" w:rsidP="00B15F7D">
            <w:pPr>
              <w:rPr>
                <w:sz w:val="22"/>
                <w:szCs w:val="22"/>
                <w:u w:val="single"/>
              </w:rPr>
            </w:pPr>
            <w:r w:rsidRPr="00990FB6">
              <w:rPr>
                <w:sz w:val="22"/>
                <w:szCs w:val="22"/>
                <w:u w:val="single"/>
              </w:rPr>
              <w:t>8.241.975,00</w:t>
            </w:r>
          </w:p>
        </w:tc>
        <w:tc>
          <w:tcPr>
            <w:tcW w:w="511" w:type="pct"/>
            <w:hideMark/>
          </w:tcPr>
          <w:p w14:paraId="1367B6D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CDD8EC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ABB1EC4" w14:textId="77777777" w:rsidR="00B15F7D" w:rsidRPr="00990FB6" w:rsidRDefault="00B15F7D" w:rsidP="00F60AA2">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w:t>
            </w:r>
            <w:r w:rsidRPr="00990FB6">
              <w:rPr>
                <w:sz w:val="22"/>
                <w:szCs w:val="22"/>
                <w:u w:val="single"/>
              </w:rPr>
              <w:lastRenderedPageBreak/>
              <w:t xml:space="preserve">oficinas. Desmejora en la prestación del servicio público. </w:t>
            </w:r>
          </w:p>
        </w:tc>
      </w:tr>
      <w:tr w:rsidR="00B15F7D" w:rsidRPr="00990FB6" w14:paraId="3A945117" w14:textId="77777777" w:rsidTr="000A0C22">
        <w:trPr>
          <w:trHeight w:val="580"/>
          <w:jc w:val="center"/>
        </w:trPr>
        <w:tc>
          <w:tcPr>
            <w:tcW w:w="583" w:type="pct"/>
            <w:hideMark/>
          </w:tcPr>
          <w:p w14:paraId="5239572D"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7CD2368E"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2783E44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00105</w:t>
            </w:r>
          </w:p>
        </w:tc>
        <w:tc>
          <w:tcPr>
            <w:tcW w:w="1045" w:type="pct"/>
            <w:hideMark/>
          </w:tcPr>
          <w:p w14:paraId="09D9CAB8" w14:textId="77777777" w:rsidR="00B15F7D" w:rsidRPr="00990FB6" w:rsidRDefault="00B15F7D" w:rsidP="00B15F7D">
            <w:pPr>
              <w:rPr>
                <w:sz w:val="22"/>
                <w:szCs w:val="22"/>
                <w:u w:val="single"/>
              </w:rPr>
            </w:pPr>
            <w:r w:rsidRPr="00990FB6">
              <w:rPr>
                <w:sz w:val="22"/>
                <w:szCs w:val="22"/>
                <w:u w:val="single"/>
              </w:rPr>
              <w:t>LEGAJO DE ACCION CIVIL (100 UN.)</w:t>
            </w:r>
          </w:p>
        </w:tc>
        <w:tc>
          <w:tcPr>
            <w:tcW w:w="550" w:type="pct"/>
            <w:hideMark/>
          </w:tcPr>
          <w:p w14:paraId="0342B489" w14:textId="77777777" w:rsidR="00B15F7D" w:rsidRPr="00990FB6" w:rsidRDefault="00B15F7D" w:rsidP="00B15F7D">
            <w:pPr>
              <w:rPr>
                <w:sz w:val="22"/>
                <w:szCs w:val="22"/>
                <w:u w:val="single"/>
              </w:rPr>
            </w:pPr>
            <w:r w:rsidRPr="00990FB6">
              <w:rPr>
                <w:sz w:val="22"/>
                <w:szCs w:val="22"/>
                <w:u w:val="single"/>
              </w:rPr>
              <w:t>331.891,00</w:t>
            </w:r>
          </w:p>
        </w:tc>
        <w:tc>
          <w:tcPr>
            <w:tcW w:w="511" w:type="pct"/>
            <w:hideMark/>
          </w:tcPr>
          <w:p w14:paraId="3114AE6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172AB7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727BD42" w14:textId="77777777" w:rsidR="00B15F7D" w:rsidRPr="00990FB6" w:rsidRDefault="00B15F7D" w:rsidP="00F60AA2">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0D89F25E" w14:textId="77777777" w:rsidTr="000A0C22">
        <w:trPr>
          <w:trHeight w:val="580"/>
          <w:jc w:val="center"/>
        </w:trPr>
        <w:tc>
          <w:tcPr>
            <w:tcW w:w="583" w:type="pct"/>
            <w:hideMark/>
          </w:tcPr>
          <w:p w14:paraId="66F7A29A"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4525DBCA"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586DB92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00140</w:t>
            </w:r>
          </w:p>
        </w:tc>
        <w:tc>
          <w:tcPr>
            <w:tcW w:w="1045" w:type="pct"/>
            <w:hideMark/>
          </w:tcPr>
          <w:p w14:paraId="04653F80" w14:textId="77777777" w:rsidR="00B15F7D" w:rsidRPr="00990FB6" w:rsidRDefault="00B15F7D" w:rsidP="00B15F7D">
            <w:pPr>
              <w:rPr>
                <w:sz w:val="22"/>
                <w:szCs w:val="22"/>
                <w:u w:val="single"/>
              </w:rPr>
            </w:pPr>
            <w:r w:rsidRPr="00990FB6">
              <w:rPr>
                <w:sz w:val="22"/>
                <w:szCs w:val="22"/>
                <w:u w:val="single"/>
              </w:rPr>
              <w:t>CONTROL DE EVIDENCIA (100 UN.)</w:t>
            </w:r>
          </w:p>
        </w:tc>
        <w:tc>
          <w:tcPr>
            <w:tcW w:w="550" w:type="pct"/>
            <w:hideMark/>
          </w:tcPr>
          <w:p w14:paraId="3B41D0AA" w14:textId="77777777" w:rsidR="00B15F7D" w:rsidRPr="00990FB6" w:rsidRDefault="00B15F7D" w:rsidP="00B15F7D">
            <w:pPr>
              <w:rPr>
                <w:sz w:val="22"/>
                <w:szCs w:val="22"/>
                <w:u w:val="single"/>
              </w:rPr>
            </w:pPr>
            <w:r w:rsidRPr="00990FB6">
              <w:rPr>
                <w:sz w:val="22"/>
                <w:szCs w:val="22"/>
                <w:u w:val="single"/>
              </w:rPr>
              <w:t>383.154,00</w:t>
            </w:r>
          </w:p>
        </w:tc>
        <w:tc>
          <w:tcPr>
            <w:tcW w:w="511" w:type="pct"/>
            <w:hideMark/>
          </w:tcPr>
          <w:p w14:paraId="66EEE85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6534E1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E8441D" w14:textId="77777777" w:rsidR="00B15F7D" w:rsidRPr="00990FB6" w:rsidRDefault="00B15F7D" w:rsidP="00F60AA2">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031F46E" w14:textId="77777777" w:rsidTr="000A0C22">
        <w:trPr>
          <w:trHeight w:val="580"/>
          <w:jc w:val="center"/>
        </w:trPr>
        <w:tc>
          <w:tcPr>
            <w:tcW w:w="583" w:type="pct"/>
            <w:hideMark/>
          </w:tcPr>
          <w:p w14:paraId="0023ADEF"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73D45C9F"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4F245D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00195</w:t>
            </w:r>
          </w:p>
        </w:tc>
        <w:tc>
          <w:tcPr>
            <w:tcW w:w="1045" w:type="pct"/>
            <w:hideMark/>
          </w:tcPr>
          <w:p w14:paraId="4D6CFCC7" w14:textId="77777777" w:rsidR="00B15F7D" w:rsidRPr="00990FB6" w:rsidRDefault="00B15F7D" w:rsidP="00B15F7D">
            <w:pPr>
              <w:rPr>
                <w:sz w:val="22"/>
                <w:szCs w:val="22"/>
                <w:u w:val="single"/>
              </w:rPr>
            </w:pPr>
            <w:r w:rsidRPr="00990FB6">
              <w:rPr>
                <w:sz w:val="22"/>
                <w:szCs w:val="22"/>
                <w:u w:val="single"/>
              </w:rPr>
              <w:t>REGISTRO DE ASISTENCIA (100 UN.)</w:t>
            </w:r>
          </w:p>
        </w:tc>
        <w:tc>
          <w:tcPr>
            <w:tcW w:w="550" w:type="pct"/>
            <w:hideMark/>
          </w:tcPr>
          <w:p w14:paraId="692A2B51" w14:textId="77777777" w:rsidR="00B15F7D" w:rsidRPr="00990FB6" w:rsidRDefault="00B15F7D" w:rsidP="00B15F7D">
            <w:pPr>
              <w:rPr>
                <w:sz w:val="22"/>
                <w:szCs w:val="22"/>
                <w:u w:val="single"/>
              </w:rPr>
            </w:pPr>
            <w:r w:rsidRPr="00990FB6">
              <w:rPr>
                <w:sz w:val="22"/>
                <w:szCs w:val="22"/>
                <w:u w:val="single"/>
              </w:rPr>
              <w:t>97.635,00</w:t>
            </w:r>
          </w:p>
        </w:tc>
        <w:tc>
          <w:tcPr>
            <w:tcW w:w="511" w:type="pct"/>
            <w:hideMark/>
          </w:tcPr>
          <w:p w14:paraId="11CCB82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5C0FE4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7E75198"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279C3118" w14:textId="77777777" w:rsidTr="000A0C22">
        <w:trPr>
          <w:trHeight w:val="580"/>
          <w:jc w:val="center"/>
        </w:trPr>
        <w:tc>
          <w:tcPr>
            <w:tcW w:w="583" w:type="pct"/>
            <w:hideMark/>
          </w:tcPr>
          <w:p w14:paraId="277B135A"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37A2330C"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48D148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00293</w:t>
            </w:r>
          </w:p>
        </w:tc>
        <w:tc>
          <w:tcPr>
            <w:tcW w:w="1045" w:type="pct"/>
            <w:hideMark/>
          </w:tcPr>
          <w:p w14:paraId="135A19C0" w14:textId="77777777" w:rsidR="00B15F7D" w:rsidRPr="00990FB6" w:rsidRDefault="00B15F7D" w:rsidP="00B15F7D">
            <w:pPr>
              <w:rPr>
                <w:sz w:val="22"/>
                <w:szCs w:val="22"/>
                <w:u w:val="single"/>
              </w:rPr>
            </w:pPr>
            <w:r w:rsidRPr="00990FB6">
              <w:rPr>
                <w:sz w:val="22"/>
                <w:szCs w:val="22"/>
                <w:u w:val="single"/>
              </w:rPr>
              <w:t>SOLICITUD OFICIAL FOTOCOPIAS (100 JUE/ 2 P.)</w:t>
            </w:r>
          </w:p>
        </w:tc>
        <w:tc>
          <w:tcPr>
            <w:tcW w:w="550" w:type="pct"/>
            <w:hideMark/>
          </w:tcPr>
          <w:p w14:paraId="029A9AE5" w14:textId="77777777" w:rsidR="00B15F7D" w:rsidRPr="00990FB6" w:rsidRDefault="00B15F7D" w:rsidP="00B15F7D">
            <w:pPr>
              <w:rPr>
                <w:sz w:val="22"/>
                <w:szCs w:val="22"/>
                <w:u w:val="single"/>
              </w:rPr>
            </w:pPr>
            <w:r w:rsidRPr="00990FB6">
              <w:rPr>
                <w:sz w:val="22"/>
                <w:szCs w:val="22"/>
                <w:u w:val="single"/>
              </w:rPr>
              <w:t>111.892,00</w:t>
            </w:r>
          </w:p>
        </w:tc>
        <w:tc>
          <w:tcPr>
            <w:tcW w:w="511" w:type="pct"/>
            <w:hideMark/>
          </w:tcPr>
          <w:p w14:paraId="0034E2E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7F0F1F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17E5C00"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202B26B4" w14:textId="77777777" w:rsidTr="000A0C22">
        <w:trPr>
          <w:trHeight w:val="580"/>
          <w:jc w:val="center"/>
        </w:trPr>
        <w:tc>
          <w:tcPr>
            <w:tcW w:w="583" w:type="pct"/>
            <w:hideMark/>
          </w:tcPr>
          <w:p w14:paraId="2E143A9D"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59196B28"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F30BA5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00703</w:t>
            </w:r>
          </w:p>
        </w:tc>
        <w:tc>
          <w:tcPr>
            <w:tcW w:w="1045" w:type="pct"/>
            <w:hideMark/>
          </w:tcPr>
          <w:p w14:paraId="4B6A8403" w14:textId="77777777" w:rsidR="00B15F7D" w:rsidRPr="00990FB6" w:rsidRDefault="00B15F7D" w:rsidP="00B15F7D">
            <w:pPr>
              <w:rPr>
                <w:sz w:val="22"/>
                <w:szCs w:val="22"/>
                <w:u w:val="single"/>
              </w:rPr>
            </w:pPr>
            <w:r w:rsidRPr="00990FB6">
              <w:rPr>
                <w:sz w:val="22"/>
                <w:szCs w:val="22"/>
                <w:u w:val="single"/>
              </w:rPr>
              <w:t xml:space="preserve">CARATULA TERRACOTA </w:t>
            </w:r>
            <w:proofErr w:type="gramStart"/>
            <w:r w:rsidRPr="00990FB6">
              <w:rPr>
                <w:sz w:val="22"/>
                <w:szCs w:val="22"/>
                <w:u w:val="single"/>
              </w:rPr>
              <w:t>( ADULTO</w:t>
            </w:r>
            <w:proofErr w:type="gramEnd"/>
            <w:r w:rsidRPr="00990FB6">
              <w:rPr>
                <w:sz w:val="22"/>
                <w:szCs w:val="22"/>
                <w:u w:val="single"/>
              </w:rPr>
              <w:t xml:space="preserve"> MAYOR) RESMAS DE 100 UNIDADES</w:t>
            </w:r>
          </w:p>
        </w:tc>
        <w:tc>
          <w:tcPr>
            <w:tcW w:w="550" w:type="pct"/>
            <w:hideMark/>
          </w:tcPr>
          <w:p w14:paraId="50573517" w14:textId="77777777" w:rsidR="00B15F7D" w:rsidRPr="00990FB6" w:rsidRDefault="00B15F7D" w:rsidP="00B15F7D">
            <w:pPr>
              <w:rPr>
                <w:sz w:val="22"/>
                <w:szCs w:val="22"/>
                <w:u w:val="single"/>
              </w:rPr>
            </w:pPr>
            <w:r w:rsidRPr="00990FB6">
              <w:rPr>
                <w:sz w:val="22"/>
                <w:szCs w:val="22"/>
                <w:u w:val="single"/>
              </w:rPr>
              <w:t>592.149,00</w:t>
            </w:r>
          </w:p>
        </w:tc>
        <w:tc>
          <w:tcPr>
            <w:tcW w:w="511" w:type="pct"/>
            <w:hideMark/>
          </w:tcPr>
          <w:p w14:paraId="3C9C909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D62E30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5ABF036"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1EC0C15" w14:textId="77777777" w:rsidTr="000A0C22">
        <w:trPr>
          <w:trHeight w:val="580"/>
          <w:jc w:val="center"/>
        </w:trPr>
        <w:tc>
          <w:tcPr>
            <w:tcW w:w="583" w:type="pct"/>
            <w:hideMark/>
          </w:tcPr>
          <w:p w14:paraId="32788E20"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55F12715"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1F75391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00712</w:t>
            </w:r>
          </w:p>
        </w:tc>
        <w:tc>
          <w:tcPr>
            <w:tcW w:w="1045" w:type="pct"/>
            <w:hideMark/>
          </w:tcPr>
          <w:p w14:paraId="6F1B960B" w14:textId="77777777" w:rsidR="00B15F7D" w:rsidRPr="00990FB6" w:rsidRDefault="00B15F7D" w:rsidP="00B15F7D">
            <w:pPr>
              <w:rPr>
                <w:sz w:val="22"/>
                <w:szCs w:val="22"/>
                <w:u w:val="single"/>
              </w:rPr>
            </w:pPr>
            <w:r w:rsidRPr="00990FB6">
              <w:rPr>
                <w:sz w:val="22"/>
                <w:szCs w:val="22"/>
                <w:u w:val="single"/>
              </w:rPr>
              <w:t>BOLETA UNICA DE CADENA DE CUSTODIA DE INDICIOS (500 UNI)</w:t>
            </w:r>
          </w:p>
        </w:tc>
        <w:tc>
          <w:tcPr>
            <w:tcW w:w="550" w:type="pct"/>
            <w:hideMark/>
          </w:tcPr>
          <w:p w14:paraId="105825C6" w14:textId="77777777" w:rsidR="00B15F7D" w:rsidRPr="00990FB6" w:rsidRDefault="00B15F7D" w:rsidP="00B15F7D">
            <w:pPr>
              <w:rPr>
                <w:sz w:val="22"/>
                <w:szCs w:val="22"/>
                <w:u w:val="single"/>
              </w:rPr>
            </w:pPr>
            <w:r w:rsidRPr="00990FB6">
              <w:rPr>
                <w:sz w:val="22"/>
                <w:szCs w:val="22"/>
                <w:u w:val="single"/>
              </w:rPr>
              <w:t>155.309,00</w:t>
            </w:r>
          </w:p>
        </w:tc>
        <w:tc>
          <w:tcPr>
            <w:tcW w:w="511" w:type="pct"/>
            <w:hideMark/>
          </w:tcPr>
          <w:p w14:paraId="20ADE77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A964F9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3795CDC"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0033627F" w14:textId="77777777" w:rsidTr="000A0C22">
        <w:trPr>
          <w:trHeight w:val="580"/>
          <w:jc w:val="center"/>
        </w:trPr>
        <w:tc>
          <w:tcPr>
            <w:tcW w:w="583" w:type="pct"/>
            <w:hideMark/>
          </w:tcPr>
          <w:p w14:paraId="37986941"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6D0AC478"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512011F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14936</w:t>
            </w:r>
          </w:p>
        </w:tc>
        <w:tc>
          <w:tcPr>
            <w:tcW w:w="1045" w:type="pct"/>
            <w:hideMark/>
          </w:tcPr>
          <w:p w14:paraId="565E6A54" w14:textId="77777777" w:rsidR="00B15F7D" w:rsidRPr="00990FB6" w:rsidRDefault="00B15F7D" w:rsidP="00B15F7D">
            <w:pPr>
              <w:rPr>
                <w:sz w:val="22"/>
                <w:szCs w:val="22"/>
                <w:u w:val="single"/>
              </w:rPr>
            </w:pPr>
            <w:r w:rsidRPr="00990FB6">
              <w:rPr>
                <w:sz w:val="22"/>
                <w:szCs w:val="22"/>
                <w:u w:val="single"/>
              </w:rPr>
              <w:t>SOBRE MANILA DE 33X25.5</w:t>
            </w:r>
            <w:proofErr w:type="gramStart"/>
            <w:r w:rsidRPr="00990FB6">
              <w:rPr>
                <w:sz w:val="22"/>
                <w:szCs w:val="22"/>
                <w:u w:val="single"/>
              </w:rPr>
              <w:t>CM,SIN</w:t>
            </w:r>
            <w:proofErr w:type="gramEnd"/>
            <w:r w:rsidRPr="00990FB6">
              <w:rPr>
                <w:sz w:val="22"/>
                <w:szCs w:val="22"/>
                <w:u w:val="single"/>
              </w:rPr>
              <w:t xml:space="preserve"> IMP</w:t>
            </w:r>
          </w:p>
        </w:tc>
        <w:tc>
          <w:tcPr>
            <w:tcW w:w="550" w:type="pct"/>
            <w:hideMark/>
          </w:tcPr>
          <w:p w14:paraId="7F21EF6E" w14:textId="77777777" w:rsidR="00B15F7D" w:rsidRPr="00990FB6" w:rsidRDefault="00B15F7D" w:rsidP="00B15F7D">
            <w:pPr>
              <w:rPr>
                <w:sz w:val="22"/>
                <w:szCs w:val="22"/>
                <w:u w:val="single"/>
              </w:rPr>
            </w:pPr>
            <w:r w:rsidRPr="00990FB6">
              <w:rPr>
                <w:sz w:val="22"/>
                <w:szCs w:val="22"/>
                <w:u w:val="single"/>
              </w:rPr>
              <w:t>1.343.306,00</w:t>
            </w:r>
          </w:p>
        </w:tc>
        <w:tc>
          <w:tcPr>
            <w:tcW w:w="511" w:type="pct"/>
            <w:hideMark/>
          </w:tcPr>
          <w:p w14:paraId="53EB43C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393E3A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B91B757"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D9A61AB" w14:textId="77777777" w:rsidTr="000A0C22">
        <w:trPr>
          <w:trHeight w:val="580"/>
          <w:jc w:val="center"/>
        </w:trPr>
        <w:tc>
          <w:tcPr>
            <w:tcW w:w="583" w:type="pct"/>
            <w:hideMark/>
          </w:tcPr>
          <w:p w14:paraId="4E56461A"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5ECC347A"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5B061D2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18054</w:t>
            </w:r>
          </w:p>
        </w:tc>
        <w:tc>
          <w:tcPr>
            <w:tcW w:w="1045" w:type="pct"/>
            <w:hideMark/>
          </w:tcPr>
          <w:p w14:paraId="14999CDE" w14:textId="77777777" w:rsidR="00B15F7D" w:rsidRPr="00990FB6" w:rsidRDefault="00B15F7D" w:rsidP="00B15F7D">
            <w:pPr>
              <w:rPr>
                <w:sz w:val="22"/>
                <w:szCs w:val="22"/>
                <w:u w:val="single"/>
              </w:rPr>
            </w:pPr>
            <w:r w:rsidRPr="00990FB6">
              <w:rPr>
                <w:sz w:val="22"/>
                <w:szCs w:val="22"/>
                <w:u w:val="single"/>
              </w:rPr>
              <w:t>SOBRE MEMBRETADO MEDIANO, PAQUETE 100 UNIDADES</w:t>
            </w:r>
          </w:p>
        </w:tc>
        <w:tc>
          <w:tcPr>
            <w:tcW w:w="550" w:type="pct"/>
            <w:hideMark/>
          </w:tcPr>
          <w:p w14:paraId="6423A47F" w14:textId="77777777" w:rsidR="00B15F7D" w:rsidRPr="00990FB6" w:rsidRDefault="00B15F7D" w:rsidP="00B15F7D">
            <w:pPr>
              <w:rPr>
                <w:sz w:val="22"/>
                <w:szCs w:val="22"/>
                <w:u w:val="single"/>
              </w:rPr>
            </w:pPr>
            <w:r w:rsidRPr="00990FB6">
              <w:rPr>
                <w:sz w:val="22"/>
                <w:szCs w:val="22"/>
                <w:u w:val="single"/>
              </w:rPr>
              <w:t>219.754,00</w:t>
            </w:r>
          </w:p>
        </w:tc>
        <w:tc>
          <w:tcPr>
            <w:tcW w:w="511" w:type="pct"/>
            <w:hideMark/>
          </w:tcPr>
          <w:p w14:paraId="466A90A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13C1B7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9F6013C"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BE0C3C6" w14:textId="77777777" w:rsidTr="000A0C22">
        <w:trPr>
          <w:trHeight w:val="580"/>
          <w:jc w:val="center"/>
        </w:trPr>
        <w:tc>
          <w:tcPr>
            <w:tcW w:w="583" w:type="pct"/>
            <w:hideMark/>
          </w:tcPr>
          <w:p w14:paraId="56A1C0B3"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166A7C4E"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0E2F77A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18055</w:t>
            </w:r>
          </w:p>
        </w:tc>
        <w:tc>
          <w:tcPr>
            <w:tcW w:w="1045" w:type="pct"/>
            <w:hideMark/>
          </w:tcPr>
          <w:p w14:paraId="4E0F22A8" w14:textId="77777777" w:rsidR="00B15F7D" w:rsidRPr="00990FB6" w:rsidRDefault="00B15F7D" w:rsidP="00B15F7D">
            <w:pPr>
              <w:rPr>
                <w:sz w:val="22"/>
                <w:szCs w:val="22"/>
                <w:u w:val="single"/>
                <w:lang w:val="pt-PT"/>
              </w:rPr>
            </w:pPr>
            <w:r w:rsidRPr="00990FB6">
              <w:rPr>
                <w:sz w:val="22"/>
                <w:szCs w:val="22"/>
                <w:u w:val="single"/>
                <w:lang w:val="pt-PT"/>
              </w:rPr>
              <w:t>SOBRE MEMBRETADO GRANDE, PAQUETE 100 UNIDADES</w:t>
            </w:r>
          </w:p>
        </w:tc>
        <w:tc>
          <w:tcPr>
            <w:tcW w:w="550" w:type="pct"/>
            <w:hideMark/>
          </w:tcPr>
          <w:p w14:paraId="35B155B5" w14:textId="77777777" w:rsidR="00B15F7D" w:rsidRPr="00990FB6" w:rsidRDefault="00B15F7D" w:rsidP="00B15F7D">
            <w:pPr>
              <w:rPr>
                <w:sz w:val="22"/>
                <w:szCs w:val="22"/>
                <w:u w:val="single"/>
              </w:rPr>
            </w:pPr>
            <w:r w:rsidRPr="00990FB6">
              <w:rPr>
                <w:sz w:val="22"/>
                <w:szCs w:val="22"/>
                <w:u w:val="single"/>
              </w:rPr>
              <w:t>404.913,00</w:t>
            </w:r>
          </w:p>
        </w:tc>
        <w:tc>
          <w:tcPr>
            <w:tcW w:w="511" w:type="pct"/>
            <w:hideMark/>
          </w:tcPr>
          <w:p w14:paraId="6F31CFF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5039D4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6B4A9BE"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076D777" w14:textId="77777777" w:rsidTr="000A0C22">
        <w:trPr>
          <w:trHeight w:val="580"/>
          <w:jc w:val="center"/>
        </w:trPr>
        <w:tc>
          <w:tcPr>
            <w:tcW w:w="583" w:type="pct"/>
            <w:hideMark/>
          </w:tcPr>
          <w:p w14:paraId="28C37665"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6DA1D715"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74C52B0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00005</w:t>
            </w:r>
          </w:p>
        </w:tc>
        <w:tc>
          <w:tcPr>
            <w:tcW w:w="1045" w:type="pct"/>
            <w:hideMark/>
          </w:tcPr>
          <w:p w14:paraId="4B1082AF" w14:textId="77777777" w:rsidR="00B15F7D" w:rsidRPr="00990FB6" w:rsidRDefault="00B15F7D" w:rsidP="00B15F7D">
            <w:pPr>
              <w:rPr>
                <w:sz w:val="22"/>
                <w:szCs w:val="22"/>
                <w:u w:val="single"/>
              </w:rPr>
            </w:pPr>
            <w:r w:rsidRPr="00990FB6">
              <w:rPr>
                <w:sz w:val="22"/>
                <w:szCs w:val="22"/>
                <w:u w:val="single"/>
              </w:rPr>
              <w:t>CONTROL DEL INVESTIGADOR (100 UN.)</w:t>
            </w:r>
          </w:p>
        </w:tc>
        <w:tc>
          <w:tcPr>
            <w:tcW w:w="550" w:type="pct"/>
            <w:hideMark/>
          </w:tcPr>
          <w:p w14:paraId="53725701" w14:textId="77777777" w:rsidR="00B15F7D" w:rsidRPr="00990FB6" w:rsidRDefault="00B15F7D" w:rsidP="00B15F7D">
            <w:pPr>
              <w:rPr>
                <w:sz w:val="22"/>
                <w:szCs w:val="22"/>
                <w:u w:val="single"/>
              </w:rPr>
            </w:pPr>
            <w:r w:rsidRPr="00990FB6">
              <w:rPr>
                <w:sz w:val="22"/>
                <w:szCs w:val="22"/>
                <w:u w:val="single"/>
              </w:rPr>
              <w:t>1.132,00</w:t>
            </w:r>
          </w:p>
        </w:tc>
        <w:tc>
          <w:tcPr>
            <w:tcW w:w="511" w:type="pct"/>
            <w:noWrap/>
            <w:hideMark/>
          </w:tcPr>
          <w:p w14:paraId="64809CA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505891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069A8A0"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F1B77C1" w14:textId="77777777" w:rsidTr="000A0C22">
        <w:trPr>
          <w:trHeight w:val="580"/>
          <w:jc w:val="center"/>
        </w:trPr>
        <w:tc>
          <w:tcPr>
            <w:tcW w:w="583" w:type="pct"/>
            <w:hideMark/>
          </w:tcPr>
          <w:p w14:paraId="4A34EC29"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6B54CB5E"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2F0AB34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00006</w:t>
            </w:r>
          </w:p>
        </w:tc>
        <w:tc>
          <w:tcPr>
            <w:tcW w:w="1045" w:type="pct"/>
            <w:hideMark/>
          </w:tcPr>
          <w:p w14:paraId="488BCA36" w14:textId="77777777" w:rsidR="00B15F7D" w:rsidRPr="00990FB6" w:rsidRDefault="00B15F7D" w:rsidP="00B15F7D">
            <w:pPr>
              <w:rPr>
                <w:sz w:val="22"/>
                <w:szCs w:val="22"/>
                <w:u w:val="single"/>
              </w:rPr>
            </w:pPr>
            <w:r w:rsidRPr="00990FB6">
              <w:rPr>
                <w:sz w:val="22"/>
                <w:szCs w:val="22"/>
                <w:u w:val="single"/>
              </w:rPr>
              <w:t>AUTORIZACION ESPECIAL DE INGRESO (25 UN.)</w:t>
            </w:r>
          </w:p>
        </w:tc>
        <w:tc>
          <w:tcPr>
            <w:tcW w:w="550" w:type="pct"/>
            <w:hideMark/>
          </w:tcPr>
          <w:p w14:paraId="35D94E49" w14:textId="77777777" w:rsidR="00B15F7D" w:rsidRPr="00990FB6" w:rsidRDefault="00B15F7D" w:rsidP="00B15F7D">
            <w:pPr>
              <w:rPr>
                <w:sz w:val="22"/>
                <w:szCs w:val="22"/>
                <w:u w:val="single"/>
              </w:rPr>
            </w:pPr>
            <w:r w:rsidRPr="00990FB6">
              <w:rPr>
                <w:sz w:val="22"/>
                <w:szCs w:val="22"/>
                <w:u w:val="single"/>
              </w:rPr>
              <w:t>11.640,00</w:t>
            </w:r>
          </w:p>
        </w:tc>
        <w:tc>
          <w:tcPr>
            <w:tcW w:w="511" w:type="pct"/>
            <w:noWrap/>
            <w:hideMark/>
          </w:tcPr>
          <w:p w14:paraId="6C9D2A1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464EA4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E7CA6E6"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w:t>
            </w:r>
            <w:r w:rsidRPr="00990FB6">
              <w:rPr>
                <w:sz w:val="22"/>
                <w:szCs w:val="22"/>
                <w:u w:val="single"/>
              </w:rPr>
              <w:lastRenderedPageBreak/>
              <w:t xml:space="preserve">prestación del servicio público. </w:t>
            </w:r>
          </w:p>
        </w:tc>
      </w:tr>
      <w:tr w:rsidR="00B15F7D" w:rsidRPr="00990FB6" w14:paraId="168ADC7C" w14:textId="77777777" w:rsidTr="000A0C22">
        <w:trPr>
          <w:trHeight w:val="580"/>
          <w:jc w:val="center"/>
        </w:trPr>
        <w:tc>
          <w:tcPr>
            <w:tcW w:w="583" w:type="pct"/>
            <w:hideMark/>
          </w:tcPr>
          <w:p w14:paraId="3BCE1BC7"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6D0C7403"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11CB855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00012</w:t>
            </w:r>
          </w:p>
        </w:tc>
        <w:tc>
          <w:tcPr>
            <w:tcW w:w="1045" w:type="pct"/>
            <w:hideMark/>
          </w:tcPr>
          <w:p w14:paraId="47C60908" w14:textId="77777777" w:rsidR="00B15F7D" w:rsidRPr="00990FB6" w:rsidRDefault="00B15F7D" w:rsidP="00B15F7D">
            <w:pPr>
              <w:rPr>
                <w:sz w:val="22"/>
                <w:szCs w:val="22"/>
                <w:u w:val="single"/>
              </w:rPr>
            </w:pPr>
            <w:r w:rsidRPr="00990FB6">
              <w:rPr>
                <w:sz w:val="22"/>
                <w:szCs w:val="22"/>
                <w:u w:val="single"/>
              </w:rPr>
              <w:t>DETALLE ACTUACION MATERIA CIVIL (100 UN.)</w:t>
            </w:r>
          </w:p>
        </w:tc>
        <w:tc>
          <w:tcPr>
            <w:tcW w:w="550" w:type="pct"/>
            <w:hideMark/>
          </w:tcPr>
          <w:p w14:paraId="13554FE0" w14:textId="77777777" w:rsidR="00B15F7D" w:rsidRPr="00990FB6" w:rsidRDefault="00B15F7D" w:rsidP="00B15F7D">
            <w:pPr>
              <w:rPr>
                <w:sz w:val="22"/>
                <w:szCs w:val="22"/>
                <w:u w:val="single"/>
              </w:rPr>
            </w:pPr>
            <w:r w:rsidRPr="00990FB6">
              <w:rPr>
                <w:sz w:val="22"/>
                <w:szCs w:val="22"/>
                <w:u w:val="single"/>
              </w:rPr>
              <w:t>4.168,00</w:t>
            </w:r>
          </w:p>
        </w:tc>
        <w:tc>
          <w:tcPr>
            <w:tcW w:w="511" w:type="pct"/>
            <w:noWrap/>
            <w:hideMark/>
          </w:tcPr>
          <w:p w14:paraId="4AE6014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4CC679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0AE3743"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101E8A3" w14:textId="77777777" w:rsidTr="000A0C22">
        <w:trPr>
          <w:trHeight w:val="580"/>
          <w:jc w:val="center"/>
        </w:trPr>
        <w:tc>
          <w:tcPr>
            <w:tcW w:w="583" w:type="pct"/>
            <w:hideMark/>
          </w:tcPr>
          <w:p w14:paraId="68393E09"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770DD9ED"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96E403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0001A</w:t>
            </w:r>
          </w:p>
        </w:tc>
        <w:tc>
          <w:tcPr>
            <w:tcW w:w="1045" w:type="pct"/>
            <w:hideMark/>
          </w:tcPr>
          <w:p w14:paraId="45A1BBF8" w14:textId="77777777" w:rsidR="00B15F7D" w:rsidRPr="00990FB6" w:rsidRDefault="00B15F7D" w:rsidP="00B15F7D">
            <w:pPr>
              <w:rPr>
                <w:sz w:val="22"/>
                <w:szCs w:val="22"/>
                <w:u w:val="single"/>
              </w:rPr>
            </w:pPr>
            <w:r w:rsidRPr="00990FB6">
              <w:rPr>
                <w:sz w:val="22"/>
                <w:szCs w:val="22"/>
                <w:u w:val="single"/>
              </w:rPr>
              <w:t>CARATULA VERDE ESP.(F-1A), MAT CIVIL 500 UN.</w:t>
            </w:r>
          </w:p>
        </w:tc>
        <w:tc>
          <w:tcPr>
            <w:tcW w:w="550" w:type="pct"/>
            <w:hideMark/>
          </w:tcPr>
          <w:p w14:paraId="68B4F1F5" w14:textId="77777777" w:rsidR="00B15F7D" w:rsidRPr="00990FB6" w:rsidRDefault="00B15F7D" w:rsidP="00B15F7D">
            <w:pPr>
              <w:rPr>
                <w:sz w:val="22"/>
                <w:szCs w:val="22"/>
                <w:u w:val="single"/>
              </w:rPr>
            </w:pPr>
            <w:r w:rsidRPr="00990FB6">
              <w:rPr>
                <w:sz w:val="22"/>
                <w:szCs w:val="22"/>
                <w:u w:val="single"/>
              </w:rPr>
              <w:t>96.880,00</w:t>
            </w:r>
          </w:p>
        </w:tc>
        <w:tc>
          <w:tcPr>
            <w:tcW w:w="511" w:type="pct"/>
            <w:noWrap/>
            <w:hideMark/>
          </w:tcPr>
          <w:p w14:paraId="00B32E2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4FF5CF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39D9FA3"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1041517B" w14:textId="77777777" w:rsidTr="000A0C22">
        <w:trPr>
          <w:trHeight w:val="580"/>
          <w:jc w:val="center"/>
        </w:trPr>
        <w:tc>
          <w:tcPr>
            <w:tcW w:w="583" w:type="pct"/>
            <w:hideMark/>
          </w:tcPr>
          <w:p w14:paraId="51468670"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19A04CA2"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5A8A37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00022</w:t>
            </w:r>
          </w:p>
        </w:tc>
        <w:tc>
          <w:tcPr>
            <w:tcW w:w="1045" w:type="pct"/>
            <w:hideMark/>
          </w:tcPr>
          <w:p w14:paraId="2192EF8F" w14:textId="77777777" w:rsidR="00B15F7D" w:rsidRPr="00990FB6" w:rsidRDefault="00B15F7D" w:rsidP="00B15F7D">
            <w:pPr>
              <w:rPr>
                <w:sz w:val="22"/>
                <w:szCs w:val="22"/>
                <w:u w:val="single"/>
              </w:rPr>
            </w:pPr>
            <w:r w:rsidRPr="00990FB6">
              <w:rPr>
                <w:sz w:val="22"/>
                <w:szCs w:val="22"/>
                <w:u w:val="single"/>
              </w:rPr>
              <w:t>LIBRETA DE CONTROL DE VEHICULOS(LIBRO)</w:t>
            </w:r>
          </w:p>
        </w:tc>
        <w:tc>
          <w:tcPr>
            <w:tcW w:w="550" w:type="pct"/>
            <w:hideMark/>
          </w:tcPr>
          <w:p w14:paraId="1CFCFBB2" w14:textId="77777777" w:rsidR="00B15F7D" w:rsidRPr="00990FB6" w:rsidRDefault="00B15F7D" w:rsidP="00B15F7D">
            <w:pPr>
              <w:rPr>
                <w:sz w:val="22"/>
                <w:szCs w:val="22"/>
                <w:u w:val="single"/>
              </w:rPr>
            </w:pPr>
            <w:r w:rsidRPr="00990FB6">
              <w:rPr>
                <w:sz w:val="22"/>
                <w:szCs w:val="22"/>
                <w:u w:val="single"/>
              </w:rPr>
              <w:t>123.221,00</w:t>
            </w:r>
          </w:p>
        </w:tc>
        <w:tc>
          <w:tcPr>
            <w:tcW w:w="511" w:type="pct"/>
            <w:noWrap/>
            <w:hideMark/>
          </w:tcPr>
          <w:p w14:paraId="30509EB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FE60ED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7D48D65"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49520C2C" w14:textId="77777777" w:rsidTr="000A0C22">
        <w:trPr>
          <w:trHeight w:val="580"/>
          <w:jc w:val="center"/>
        </w:trPr>
        <w:tc>
          <w:tcPr>
            <w:tcW w:w="583" w:type="pct"/>
            <w:hideMark/>
          </w:tcPr>
          <w:p w14:paraId="34DFA3D7"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029D45E0"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68E62E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00029</w:t>
            </w:r>
          </w:p>
        </w:tc>
        <w:tc>
          <w:tcPr>
            <w:tcW w:w="1045" w:type="pct"/>
            <w:hideMark/>
          </w:tcPr>
          <w:p w14:paraId="7F74875D" w14:textId="77777777" w:rsidR="00B15F7D" w:rsidRPr="00990FB6" w:rsidRDefault="00B15F7D" w:rsidP="00B15F7D">
            <w:pPr>
              <w:rPr>
                <w:sz w:val="22"/>
                <w:szCs w:val="22"/>
                <w:u w:val="single"/>
              </w:rPr>
            </w:pPr>
            <w:r w:rsidRPr="00990FB6">
              <w:rPr>
                <w:sz w:val="22"/>
                <w:szCs w:val="22"/>
                <w:u w:val="single"/>
              </w:rPr>
              <w:t>CORRESP. CERTIFICADA (100 UN.)</w:t>
            </w:r>
          </w:p>
        </w:tc>
        <w:tc>
          <w:tcPr>
            <w:tcW w:w="550" w:type="pct"/>
            <w:hideMark/>
          </w:tcPr>
          <w:p w14:paraId="3479F704" w14:textId="77777777" w:rsidR="00B15F7D" w:rsidRPr="00990FB6" w:rsidRDefault="00B15F7D" w:rsidP="00B15F7D">
            <w:pPr>
              <w:rPr>
                <w:sz w:val="22"/>
                <w:szCs w:val="22"/>
                <w:u w:val="single"/>
              </w:rPr>
            </w:pPr>
            <w:r w:rsidRPr="00990FB6">
              <w:rPr>
                <w:sz w:val="22"/>
                <w:szCs w:val="22"/>
                <w:u w:val="single"/>
              </w:rPr>
              <w:t>18.386,00</w:t>
            </w:r>
          </w:p>
        </w:tc>
        <w:tc>
          <w:tcPr>
            <w:tcW w:w="511" w:type="pct"/>
            <w:noWrap/>
            <w:hideMark/>
          </w:tcPr>
          <w:p w14:paraId="4606349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71C3A0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0EC0394"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390D478" w14:textId="77777777" w:rsidTr="000A0C22">
        <w:trPr>
          <w:trHeight w:val="580"/>
          <w:jc w:val="center"/>
        </w:trPr>
        <w:tc>
          <w:tcPr>
            <w:tcW w:w="583" w:type="pct"/>
            <w:hideMark/>
          </w:tcPr>
          <w:p w14:paraId="6BA9D1CB"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6CE24278"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F1CDAD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00033</w:t>
            </w:r>
          </w:p>
        </w:tc>
        <w:tc>
          <w:tcPr>
            <w:tcW w:w="1045" w:type="pct"/>
            <w:hideMark/>
          </w:tcPr>
          <w:p w14:paraId="5103936A" w14:textId="77777777" w:rsidR="00B15F7D" w:rsidRPr="00990FB6" w:rsidRDefault="00B15F7D" w:rsidP="00B15F7D">
            <w:pPr>
              <w:rPr>
                <w:sz w:val="22"/>
                <w:szCs w:val="22"/>
                <w:u w:val="single"/>
              </w:rPr>
            </w:pPr>
            <w:r w:rsidRPr="00990FB6">
              <w:rPr>
                <w:sz w:val="22"/>
                <w:szCs w:val="22"/>
                <w:u w:val="single"/>
              </w:rPr>
              <w:t>CARPETA DEF PUB (MAT AGRA/PENS ALI) (50 UN.)</w:t>
            </w:r>
          </w:p>
        </w:tc>
        <w:tc>
          <w:tcPr>
            <w:tcW w:w="550" w:type="pct"/>
            <w:hideMark/>
          </w:tcPr>
          <w:p w14:paraId="113B1D48" w14:textId="77777777" w:rsidR="00B15F7D" w:rsidRPr="00990FB6" w:rsidRDefault="00B15F7D" w:rsidP="00B15F7D">
            <w:pPr>
              <w:rPr>
                <w:sz w:val="22"/>
                <w:szCs w:val="22"/>
                <w:u w:val="single"/>
              </w:rPr>
            </w:pPr>
            <w:r w:rsidRPr="00990FB6">
              <w:rPr>
                <w:sz w:val="22"/>
                <w:szCs w:val="22"/>
                <w:u w:val="single"/>
              </w:rPr>
              <w:t>21.109,00</w:t>
            </w:r>
          </w:p>
        </w:tc>
        <w:tc>
          <w:tcPr>
            <w:tcW w:w="511" w:type="pct"/>
            <w:noWrap/>
            <w:hideMark/>
          </w:tcPr>
          <w:p w14:paraId="23DF097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E7B819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32813EB"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178D9846" w14:textId="77777777" w:rsidTr="000A0C22">
        <w:trPr>
          <w:trHeight w:val="580"/>
          <w:jc w:val="center"/>
        </w:trPr>
        <w:tc>
          <w:tcPr>
            <w:tcW w:w="583" w:type="pct"/>
            <w:hideMark/>
          </w:tcPr>
          <w:p w14:paraId="7633DEF9"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3EFDFF6D" w14:textId="77777777" w:rsidR="00B15F7D" w:rsidRPr="00990FB6" w:rsidRDefault="00B15F7D" w:rsidP="00B15F7D">
            <w:pPr>
              <w:rPr>
                <w:sz w:val="22"/>
                <w:szCs w:val="22"/>
                <w:u w:val="single"/>
              </w:rPr>
            </w:pPr>
            <w:r w:rsidRPr="00990FB6">
              <w:rPr>
                <w:sz w:val="22"/>
                <w:szCs w:val="22"/>
                <w:u w:val="single"/>
              </w:rPr>
              <w:t xml:space="preserve">Productos de papel, </w:t>
            </w:r>
            <w:r w:rsidRPr="00990FB6">
              <w:rPr>
                <w:sz w:val="22"/>
                <w:szCs w:val="22"/>
                <w:u w:val="single"/>
              </w:rPr>
              <w:lastRenderedPageBreak/>
              <w:t>cartón e impresos</w:t>
            </w:r>
          </w:p>
        </w:tc>
        <w:tc>
          <w:tcPr>
            <w:tcW w:w="363" w:type="pct"/>
            <w:hideMark/>
          </w:tcPr>
          <w:p w14:paraId="313CD3F0" w14:textId="77777777" w:rsidR="00B15F7D" w:rsidRPr="00990FB6" w:rsidRDefault="00B15F7D" w:rsidP="00B15F7D">
            <w:pPr>
              <w:rPr>
                <w:sz w:val="22"/>
                <w:szCs w:val="22"/>
                <w:u w:val="single"/>
              </w:rPr>
            </w:pPr>
            <w:r w:rsidRPr="00990FB6">
              <w:rPr>
                <w:sz w:val="22"/>
                <w:szCs w:val="22"/>
                <w:u w:val="single"/>
              </w:rPr>
              <w:lastRenderedPageBreak/>
              <w:t xml:space="preserve">       </w:t>
            </w:r>
            <w:proofErr w:type="gramStart"/>
            <w:r w:rsidRPr="00990FB6">
              <w:rPr>
                <w:sz w:val="22"/>
                <w:szCs w:val="22"/>
                <w:u w:val="single"/>
              </w:rPr>
              <w:t>Art. :</w:t>
            </w:r>
            <w:proofErr w:type="gramEnd"/>
            <w:r w:rsidRPr="00990FB6">
              <w:rPr>
                <w:sz w:val="22"/>
                <w:szCs w:val="22"/>
                <w:u w:val="single"/>
              </w:rPr>
              <w:t xml:space="preserve"> 00040</w:t>
            </w:r>
          </w:p>
        </w:tc>
        <w:tc>
          <w:tcPr>
            <w:tcW w:w="1045" w:type="pct"/>
            <w:hideMark/>
          </w:tcPr>
          <w:p w14:paraId="059B61C7" w14:textId="77777777" w:rsidR="00B15F7D" w:rsidRPr="00990FB6" w:rsidRDefault="00B15F7D" w:rsidP="00B15F7D">
            <w:pPr>
              <w:rPr>
                <w:sz w:val="22"/>
                <w:szCs w:val="22"/>
                <w:u w:val="single"/>
              </w:rPr>
            </w:pPr>
            <w:r w:rsidRPr="00990FB6">
              <w:rPr>
                <w:sz w:val="22"/>
                <w:szCs w:val="22"/>
                <w:u w:val="single"/>
              </w:rPr>
              <w:t xml:space="preserve">CARATULA MATERIA </w:t>
            </w:r>
            <w:proofErr w:type="gramStart"/>
            <w:r w:rsidRPr="00990FB6">
              <w:rPr>
                <w:sz w:val="22"/>
                <w:szCs w:val="22"/>
                <w:u w:val="single"/>
              </w:rPr>
              <w:t>DISCIPL.(</w:t>
            </w:r>
            <w:proofErr w:type="gramEnd"/>
            <w:r w:rsidRPr="00990FB6">
              <w:rPr>
                <w:sz w:val="22"/>
                <w:szCs w:val="22"/>
                <w:u w:val="single"/>
              </w:rPr>
              <w:t>50 UN.)</w:t>
            </w:r>
          </w:p>
        </w:tc>
        <w:tc>
          <w:tcPr>
            <w:tcW w:w="550" w:type="pct"/>
            <w:hideMark/>
          </w:tcPr>
          <w:p w14:paraId="3502BCA0" w14:textId="77777777" w:rsidR="00B15F7D" w:rsidRPr="00990FB6" w:rsidRDefault="00B15F7D" w:rsidP="00B15F7D">
            <w:pPr>
              <w:rPr>
                <w:sz w:val="22"/>
                <w:szCs w:val="22"/>
                <w:u w:val="single"/>
              </w:rPr>
            </w:pPr>
            <w:r w:rsidRPr="00990FB6">
              <w:rPr>
                <w:sz w:val="22"/>
                <w:szCs w:val="22"/>
                <w:u w:val="single"/>
              </w:rPr>
              <w:t>4.386,00</w:t>
            </w:r>
          </w:p>
        </w:tc>
        <w:tc>
          <w:tcPr>
            <w:tcW w:w="511" w:type="pct"/>
            <w:noWrap/>
            <w:hideMark/>
          </w:tcPr>
          <w:p w14:paraId="450B1BD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637FF8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D5240D2"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w:t>
            </w:r>
            <w:r w:rsidRPr="00990FB6">
              <w:rPr>
                <w:sz w:val="22"/>
                <w:szCs w:val="22"/>
                <w:u w:val="single"/>
              </w:rPr>
              <w:lastRenderedPageBreak/>
              <w:t xml:space="preserve">oficinas. Desmejora en la prestación del servicio público. </w:t>
            </w:r>
          </w:p>
        </w:tc>
      </w:tr>
      <w:tr w:rsidR="00B15F7D" w:rsidRPr="00990FB6" w14:paraId="79359D23" w14:textId="77777777" w:rsidTr="000A0C22">
        <w:trPr>
          <w:trHeight w:val="580"/>
          <w:jc w:val="center"/>
        </w:trPr>
        <w:tc>
          <w:tcPr>
            <w:tcW w:w="583" w:type="pct"/>
            <w:hideMark/>
          </w:tcPr>
          <w:p w14:paraId="2E17830F"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570B90D1"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71BF8ED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00049</w:t>
            </w:r>
          </w:p>
        </w:tc>
        <w:tc>
          <w:tcPr>
            <w:tcW w:w="1045" w:type="pct"/>
            <w:hideMark/>
          </w:tcPr>
          <w:p w14:paraId="5CD8DEE5" w14:textId="77777777" w:rsidR="00B15F7D" w:rsidRPr="00990FB6" w:rsidRDefault="00B15F7D" w:rsidP="00B15F7D">
            <w:pPr>
              <w:rPr>
                <w:sz w:val="22"/>
                <w:szCs w:val="22"/>
                <w:u w:val="single"/>
              </w:rPr>
            </w:pPr>
            <w:r w:rsidRPr="00990FB6">
              <w:rPr>
                <w:sz w:val="22"/>
                <w:szCs w:val="22"/>
                <w:u w:val="single"/>
              </w:rPr>
              <w:t>ACTA DE NOTIFICACION (100 UNIDADES)</w:t>
            </w:r>
          </w:p>
        </w:tc>
        <w:tc>
          <w:tcPr>
            <w:tcW w:w="550" w:type="pct"/>
            <w:hideMark/>
          </w:tcPr>
          <w:p w14:paraId="06EBE7F6" w14:textId="77777777" w:rsidR="00B15F7D" w:rsidRPr="00990FB6" w:rsidRDefault="00B15F7D" w:rsidP="00B15F7D">
            <w:pPr>
              <w:rPr>
                <w:sz w:val="22"/>
                <w:szCs w:val="22"/>
                <w:u w:val="single"/>
              </w:rPr>
            </w:pPr>
            <w:r w:rsidRPr="00990FB6">
              <w:rPr>
                <w:sz w:val="22"/>
                <w:szCs w:val="22"/>
                <w:u w:val="single"/>
              </w:rPr>
              <w:t>1.946,00</w:t>
            </w:r>
          </w:p>
        </w:tc>
        <w:tc>
          <w:tcPr>
            <w:tcW w:w="511" w:type="pct"/>
            <w:noWrap/>
            <w:hideMark/>
          </w:tcPr>
          <w:p w14:paraId="232E8A0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B7126B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EE66ECD"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C97D9CA" w14:textId="77777777" w:rsidTr="000A0C22">
        <w:trPr>
          <w:trHeight w:val="580"/>
          <w:jc w:val="center"/>
        </w:trPr>
        <w:tc>
          <w:tcPr>
            <w:tcW w:w="583" w:type="pct"/>
            <w:hideMark/>
          </w:tcPr>
          <w:p w14:paraId="18DA52C9"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0AA6A14B"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5867D8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00084</w:t>
            </w:r>
          </w:p>
        </w:tc>
        <w:tc>
          <w:tcPr>
            <w:tcW w:w="1045" w:type="pct"/>
            <w:hideMark/>
          </w:tcPr>
          <w:p w14:paraId="038AA898" w14:textId="77777777" w:rsidR="00B15F7D" w:rsidRPr="00990FB6" w:rsidRDefault="00B15F7D" w:rsidP="00B15F7D">
            <w:pPr>
              <w:rPr>
                <w:sz w:val="22"/>
                <w:szCs w:val="22"/>
                <w:u w:val="single"/>
              </w:rPr>
            </w:pPr>
            <w:r w:rsidRPr="00990FB6">
              <w:rPr>
                <w:sz w:val="22"/>
                <w:szCs w:val="22"/>
                <w:u w:val="single"/>
              </w:rPr>
              <w:t>CONTROL DE ASUNTOS (100 UN.)</w:t>
            </w:r>
          </w:p>
        </w:tc>
        <w:tc>
          <w:tcPr>
            <w:tcW w:w="550" w:type="pct"/>
            <w:hideMark/>
          </w:tcPr>
          <w:p w14:paraId="79728F0E" w14:textId="77777777" w:rsidR="00B15F7D" w:rsidRPr="00990FB6" w:rsidRDefault="00B15F7D" w:rsidP="00B15F7D">
            <w:pPr>
              <w:rPr>
                <w:sz w:val="22"/>
                <w:szCs w:val="22"/>
                <w:u w:val="single"/>
              </w:rPr>
            </w:pPr>
            <w:r w:rsidRPr="00990FB6">
              <w:rPr>
                <w:sz w:val="22"/>
                <w:szCs w:val="22"/>
                <w:u w:val="single"/>
              </w:rPr>
              <w:t>4.310,00</w:t>
            </w:r>
          </w:p>
        </w:tc>
        <w:tc>
          <w:tcPr>
            <w:tcW w:w="511" w:type="pct"/>
            <w:noWrap/>
            <w:hideMark/>
          </w:tcPr>
          <w:p w14:paraId="3AE702F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B6AD4A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C6D6A67"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0D2B821" w14:textId="77777777" w:rsidTr="000A0C22">
        <w:trPr>
          <w:trHeight w:val="580"/>
          <w:jc w:val="center"/>
        </w:trPr>
        <w:tc>
          <w:tcPr>
            <w:tcW w:w="583" w:type="pct"/>
            <w:hideMark/>
          </w:tcPr>
          <w:p w14:paraId="188B1B90"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2BAD1C7C"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2B2A8B3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00088</w:t>
            </w:r>
          </w:p>
        </w:tc>
        <w:tc>
          <w:tcPr>
            <w:tcW w:w="1045" w:type="pct"/>
            <w:hideMark/>
          </w:tcPr>
          <w:p w14:paraId="1A2C032B" w14:textId="77777777" w:rsidR="00B15F7D" w:rsidRPr="00990FB6" w:rsidRDefault="00B15F7D" w:rsidP="00B15F7D">
            <w:pPr>
              <w:rPr>
                <w:sz w:val="22"/>
                <w:szCs w:val="22"/>
                <w:u w:val="single"/>
              </w:rPr>
            </w:pPr>
            <w:r w:rsidRPr="00990FB6">
              <w:rPr>
                <w:sz w:val="22"/>
                <w:szCs w:val="22"/>
                <w:u w:val="single"/>
              </w:rPr>
              <w:t>LEGAJO MEDIDA CAUTELAR (100 UN.)</w:t>
            </w:r>
          </w:p>
        </w:tc>
        <w:tc>
          <w:tcPr>
            <w:tcW w:w="550" w:type="pct"/>
            <w:hideMark/>
          </w:tcPr>
          <w:p w14:paraId="25824CF5" w14:textId="77777777" w:rsidR="00B15F7D" w:rsidRPr="00990FB6" w:rsidRDefault="00B15F7D" w:rsidP="00B15F7D">
            <w:pPr>
              <w:rPr>
                <w:sz w:val="22"/>
                <w:szCs w:val="22"/>
                <w:u w:val="single"/>
              </w:rPr>
            </w:pPr>
            <w:r w:rsidRPr="00990FB6">
              <w:rPr>
                <w:sz w:val="22"/>
                <w:szCs w:val="22"/>
                <w:u w:val="single"/>
              </w:rPr>
              <w:t>200.892,00</w:t>
            </w:r>
          </w:p>
        </w:tc>
        <w:tc>
          <w:tcPr>
            <w:tcW w:w="511" w:type="pct"/>
            <w:noWrap/>
            <w:hideMark/>
          </w:tcPr>
          <w:p w14:paraId="12CF1FA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EFE42E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B596DB5"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080F95FC" w14:textId="77777777" w:rsidTr="000A0C22">
        <w:trPr>
          <w:trHeight w:val="580"/>
          <w:jc w:val="center"/>
        </w:trPr>
        <w:tc>
          <w:tcPr>
            <w:tcW w:w="583" w:type="pct"/>
            <w:hideMark/>
          </w:tcPr>
          <w:p w14:paraId="0EEEC21A"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78991970"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2471CE2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00163</w:t>
            </w:r>
          </w:p>
        </w:tc>
        <w:tc>
          <w:tcPr>
            <w:tcW w:w="1045" w:type="pct"/>
            <w:hideMark/>
          </w:tcPr>
          <w:p w14:paraId="3CFEA0BC" w14:textId="77777777" w:rsidR="00B15F7D" w:rsidRPr="00990FB6" w:rsidRDefault="00B15F7D" w:rsidP="00B15F7D">
            <w:pPr>
              <w:rPr>
                <w:sz w:val="22"/>
                <w:szCs w:val="22"/>
                <w:u w:val="single"/>
              </w:rPr>
            </w:pPr>
            <w:r w:rsidRPr="00990FB6">
              <w:rPr>
                <w:sz w:val="22"/>
                <w:szCs w:val="22"/>
                <w:u w:val="single"/>
              </w:rPr>
              <w:t>CARATULA DEF PUB (PENAL, PENAL JUV, EJ.), 100 UN.</w:t>
            </w:r>
          </w:p>
        </w:tc>
        <w:tc>
          <w:tcPr>
            <w:tcW w:w="550" w:type="pct"/>
            <w:hideMark/>
          </w:tcPr>
          <w:p w14:paraId="0F691BB9" w14:textId="77777777" w:rsidR="00B15F7D" w:rsidRPr="00990FB6" w:rsidRDefault="00B15F7D" w:rsidP="00B15F7D">
            <w:pPr>
              <w:rPr>
                <w:sz w:val="22"/>
                <w:szCs w:val="22"/>
                <w:u w:val="single"/>
              </w:rPr>
            </w:pPr>
            <w:r w:rsidRPr="00990FB6">
              <w:rPr>
                <w:sz w:val="22"/>
                <w:szCs w:val="22"/>
                <w:u w:val="single"/>
              </w:rPr>
              <w:t>21.083,00</w:t>
            </w:r>
          </w:p>
        </w:tc>
        <w:tc>
          <w:tcPr>
            <w:tcW w:w="511" w:type="pct"/>
            <w:noWrap/>
            <w:hideMark/>
          </w:tcPr>
          <w:p w14:paraId="4E59505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36CD68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16FC61A"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58DFBE4" w14:textId="77777777" w:rsidTr="000A0C22">
        <w:trPr>
          <w:trHeight w:val="580"/>
          <w:jc w:val="center"/>
        </w:trPr>
        <w:tc>
          <w:tcPr>
            <w:tcW w:w="583" w:type="pct"/>
            <w:hideMark/>
          </w:tcPr>
          <w:p w14:paraId="58F9A369"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7BFEDC31"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7B5236F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00178</w:t>
            </w:r>
          </w:p>
        </w:tc>
        <w:tc>
          <w:tcPr>
            <w:tcW w:w="1045" w:type="pct"/>
            <w:hideMark/>
          </w:tcPr>
          <w:p w14:paraId="1C13829E" w14:textId="77777777" w:rsidR="00B15F7D" w:rsidRPr="00990FB6" w:rsidRDefault="00B15F7D" w:rsidP="00B15F7D">
            <w:pPr>
              <w:rPr>
                <w:sz w:val="22"/>
                <w:szCs w:val="22"/>
                <w:u w:val="single"/>
              </w:rPr>
            </w:pPr>
            <w:r w:rsidRPr="00990FB6">
              <w:rPr>
                <w:sz w:val="22"/>
                <w:szCs w:val="22"/>
                <w:u w:val="single"/>
              </w:rPr>
              <w:t>CARATULA ROSADA (MAT LABORAL/ 500 UNI)</w:t>
            </w:r>
          </w:p>
        </w:tc>
        <w:tc>
          <w:tcPr>
            <w:tcW w:w="550" w:type="pct"/>
            <w:hideMark/>
          </w:tcPr>
          <w:p w14:paraId="338695A1" w14:textId="77777777" w:rsidR="00B15F7D" w:rsidRPr="00990FB6" w:rsidRDefault="00B15F7D" w:rsidP="00B15F7D">
            <w:pPr>
              <w:rPr>
                <w:sz w:val="22"/>
                <w:szCs w:val="22"/>
                <w:u w:val="single"/>
              </w:rPr>
            </w:pPr>
            <w:r w:rsidRPr="00990FB6">
              <w:rPr>
                <w:sz w:val="22"/>
                <w:szCs w:val="22"/>
                <w:u w:val="single"/>
              </w:rPr>
              <w:t>8.790,00</w:t>
            </w:r>
          </w:p>
        </w:tc>
        <w:tc>
          <w:tcPr>
            <w:tcW w:w="511" w:type="pct"/>
            <w:noWrap/>
            <w:hideMark/>
          </w:tcPr>
          <w:p w14:paraId="4D271E1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0BA926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08F53C8"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163F645" w14:textId="77777777" w:rsidTr="000A0C22">
        <w:trPr>
          <w:trHeight w:val="580"/>
          <w:jc w:val="center"/>
        </w:trPr>
        <w:tc>
          <w:tcPr>
            <w:tcW w:w="583" w:type="pct"/>
            <w:hideMark/>
          </w:tcPr>
          <w:p w14:paraId="43054AAC"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3D0E7117"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E15599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00183</w:t>
            </w:r>
          </w:p>
        </w:tc>
        <w:tc>
          <w:tcPr>
            <w:tcW w:w="1045" w:type="pct"/>
            <w:hideMark/>
          </w:tcPr>
          <w:p w14:paraId="441A0430" w14:textId="77777777" w:rsidR="00B15F7D" w:rsidRPr="00990FB6" w:rsidRDefault="00B15F7D" w:rsidP="00B15F7D">
            <w:pPr>
              <w:rPr>
                <w:sz w:val="22"/>
                <w:szCs w:val="22"/>
                <w:u w:val="single"/>
              </w:rPr>
            </w:pPr>
            <w:r w:rsidRPr="00990FB6">
              <w:rPr>
                <w:sz w:val="22"/>
                <w:szCs w:val="22"/>
                <w:u w:val="single"/>
              </w:rPr>
              <w:t>CARATULA DE COMISION (100 UN.)</w:t>
            </w:r>
          </w:p>
        </w:tc>
        <w:tc>
          <w:tcPr>
            <w:tcW w:w="550" w:type="pct"/>
            <w:hideMark/>
          </w:tcPr>
          <w:p w14:paraId="351F90A9" w14:textId="77777777" w:rsidR="00B15F7D" w:rsidRPr="00990FB6" w:rsidRDefault="00B15F7D" w:rsidP="00B15F7D">
            <w:pPr>
              <w:rPr>
                <w:sz w:val="22"/>
                <w:szCs w:val="22"/>
                <w:u w:val="single"/>
              </w:rPr>
            </w:pPr>
            <w:r w:rsidRPr="00990FB6">
              <w:rPr>
                <w:sz w:val="22"/>
                <w:szCs w:val="22"/>
                <w:u w:val="single"/>
              </w:rPr>
              <w:t>70.706,00</w:t>
            </w:r>
          </w:p>
        </w:tc>
        <w:tc>
          <w:tcPr>
            <w:tcW w:w="511" w:type="pct"/>
            <w:noWrap/>
            <w:hideMark/>
          </w:tcPr>
          <w:p w14:paraId="16FD7A77"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54FDD4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3E7DF08"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0F7DB2AC" w14:textId="77777777" w:rsidTr="000A0C22">
        <w:trPr>
          <w:trHeight w:val="580"/>
          <w:jc w:val="center"/>
        </w:trPr>
        <w:tc>
          <w:tcPr>
            <w:tcW w:w="583" w:type="pct"/>
            <w:hideMark/>
          </w:tcPr>
          <w:p w14:paraId="52EB9007"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32014A04"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76813D6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00214</w:t>
            </w:r>
          </w:p>
        </w:tc>
        <w:tc>
          <w:tcPr>
            <w:tcW w:w="1045" w:type="pct"/>
            <w:hideMark/>
          </w:tcPr>
          <w:p w14:paraId="571CF92C" w14:textId="77777777" w:rsidR="00B15F7D" w:rsidRPr="00990FB6" w:rsidRDefault="00B15F7D" w:rsidP="00B15F7D">
            <w:pPr>
              <w:rPr>
                <w:sz w:val="22"/>
                <w:szCs w:val="22"/>
                <w:u w:val="single"/>
              </w:rPr>
            </w:pPr>
            <w:r w:rsidRPr="00990FB6">
              <w:rPr>
                <w:sz w:val="22"/>
                <w:szCs w:val="22"/>
                <w:u w:val="single"/>
              </w:rPr>
              <w:t>CONTROL ENTREGA NOTIFICACIONES (100 UN.)</w:t>
            </w:r>
          </w:p>
        </w:tc>
        <w:tc>
          <w:tcPr>
            <w:tcW w:w="550" w:type="pct"/>
            <w:hideMark/>
          </w:tcPr>
          <w:p w14:paraId="0D8FF0B8" w14:textId="77777777" w:rsidR="00B15F7D" w:rsidRPr="00990FB6" w:rsidRDefault="00B15F7D" w:rsidP="00B15F7D">
            <w:pPr>
              <w:rPr>
                <w:sz w:val="22"/>
                <w:szCs w:val="22"/>
                <w:u w:val="single"/>
              </w:rPr>
            </w:pPr>
            <w:r w:rsidRPr="00990FB6">
              <w:rPr>
                <w:sz w:val="22"/>
                <w:szCs w:val="22"/>
                <w:u w:val="single"/>
              </w:rPr>
              <w:t>3.870,00</w:t>
            </w:r>
          </w:p>
        </w:tc>
        <w:tc>
          <w:tcPr>
            <w:tcW w:w="511" w:type="pct"/>
            <w:noWrap/>
            <w:hideMark/>
          </w:tcPr>
          <w:p w14:paraId="66126D4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BF6291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D93F07C"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8778F06" w14:textId="77777777" w:rsidTr="000A0C22">
        <w:trPr>
          <w:trHeight w:val="580"/>
          <w:jc w:val="center"/>
        </w:trPr>
        <w:tc>
          <w:tcPr>
            <w:tcW w:w="583" w:type="pct"/>
            <w:hideMark/>
          </w:tcPr>
          <w:p w14:paraId="643C19FE"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70BE173D"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478E639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00255</w:t>
            </w:r>
          </w:p>
        </w:tc>
        <w:tc>
          <w:tcPr>
            <w:tcW w:w="1045" w:type="pct"/>
            <w:hideMark/>
          </w:tcPr>
          <w:p w14:paraId="3C8E7470" w14:textId="77777777" w:rsidR="00B15F7D" w:rsidRPr="00990FB6" w:rsidRDefault="00B15F7D" w:rsidP="00B15F7D">
            <w:pPr>
              <w:rPr>
                <w:sz w:val="22"/>
                <w:szCs w:val="22"/>
                <w:u w:val="single"/>
              </w:rPr>
            </w:pPr>
            <w:r w:rsidRPr="00990FB6">
              <w:rPr>
                <w:sz w:val="22"/>
                <w:szCs w:val="22"/>
                <w:u w:val="single"/>
              </w:rPr>
              <w:t>CARNE DEPOSITOS Y PAGOS JUD (250 UN.)</w:t>
            </w:r>
          </w:p>
        </w:tc>
        <w:tc>
          <w:tcPr>
            <w:tcW w:w="550" w:type="pct"/>
            <w:hideMark/>
          </w:tcPr>
          <w:p w14:paraId="4015C075" w14:textId="77777777" w:rsidR="00B15F7D" w:rsidRPr="00990FB6" w:rsidRDefault="00B15F7D" w:rsidP="00B15F7D">
            <w:pPr>
              <w:rPr>
                <w:sz w:val="22"/>
                <w:szCs w:val="22"/>
                <w:u w:val="single"/>
              </w:rPr>
            </w:pPr>
            <w:r w:rsidRPr="00990FB6">
              <w:rPr>
                <w:sz w:val="22"/>
                <w:szCs w:val="22"/>
                <w:u w:val="single"/>
              </w:rPr>
              <w:t>9.143,00</w:t>
            </w:r>
          </w:p>
        </w:tc>
        <w:tc>
          <w:tcPr>
            <w:tcW w:w="511" w:type="pct"/>
            <w:noWrap/>
            <w:hideMark/>
          </w:tcPr>
          <w:p w14:paraId="1D85253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7F096B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3D333D1"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14D6AE59" w14:textId="77777777" w:rsidTr="000A0C22">
        <w:trPr>
          <w:trHeight w:val="580"/>
          <w:jc w:val="center"/>
        </w:trPr>
        <w:tc>
          <w:tcPr>
            <w:tcW w:w="583" w:type="pct"/>
            <w:hideMark/>
          </w:tcPr>
          <w:p w14:paraId="7DB6B88F"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65D34EEB"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768768B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0026A</w:t>
            </w:r>
          </w:p>
        </w:tc>
        <w:tc>
          <w:tcPr>
            <w:tcW w:w="1045" w:type="pct"/>
            <w:hideMark/>
          </w:tcPr>
          <w:p w14:paraId="43C8D1B4" w14:textId="77777777" w:rsidR="00B15F7D" w:rsidRPr="00990FB6" w:rsidRDefault="00B15F7D" w:rsidP="00B15F7D">
            <w:pPr>
              <w:rPr>
                <w:sz w:val="22"/>
                <w:szCs w:val="22"/>
                <w:u w:val="single"/>
              </w:rPr>
            </w:pPr>
            <w:r w:rsidRPr="00990FB6">
              <w:rPr>
                <w:sz w:val="22"/>
                <w:szCs w:val="22"/>
                <w:u w:val="single"/>
              </w:rPr>
              <w:t>CARATULA GRIS ESP.(F-26A), VIOLENCIA DOMESTICA 250 UNI</w:t>
            </w:r>
          </w:p>
        </w:tc>
        <w:tc>
          <w:tcPr>
            <w:tcW w:w="550" w:type="pct"/>
            <w:hideMark/>
          </w:tcPr>
          <w:p w14:paraId="0A21BA3D" w14:textId="77777777" w:rsidR="00B15F7D" w:rsidRPr="00990FB6" w:rsidRDefault="00B15F7D" w:rsidP="00B15F7D">
            <w:pPr>
              <w:rPr>
                <w:sz w:val="22"/>
                <w:szCs w:val="22"/>
                <w:u w:val="single"/>
              </w:rPr>
            </w:pPr>
            <w:r w:rsidRPr="00990FB6">
              <w:rPr>
                <w:sz w:val="22"/>
                <w:szCs w:val="22"/>
                <w:u w:val="single"/>
              </w:rPr>
              <w:t>38.790,00</w:t>
            </w:r>
          </w:p>
        </w:tc>
        <w:tc>
          <w:tcPr>
            <w:tcW w:w="511" w:type="pct"/>
            <w:noWrap/>
            <w:hideMark/>
          </w:tcPr>
          <w:p w14:paraId="4AF2737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243F2F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3CC0489"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1C17DBE0" w14:textId="77777777" w:rsidTr="000A0C22">
        <w:trPr>
          <w:trHeight w:val="580"/>
          <w:jc w:val="center"/>
        </w:trPr>
        <w:tc>
          <w:tcPr>
            <w:tcW w:w="583" w:type="pct"/>
            <w:hideMark/>
          </w:tcPr>
          <w:p w14:paraId="0AEB571D"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0179B1A8"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4A11D6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00420</w:t>
            </w:r>
          </w:p>
        </w:tc>
        <w:tc>
          <w:tcPr>
            <w:tcW w:w="1045" w:type="pct"/>
            <w:hideMark/>
          </w:tcPr>
          <w:p w14:paraId="23F1A1B5" w14:textId="77777777" w:rsidR="00B15F7D" w:rsidRPr="00990FB6" w:rsidRDefault="00B15F7D" w:rsidP="00B15F7D">
            <w:pPr>
              <w:rPr>
                <w:sz w:val="22"/>
                <w:szCs w:val="22"/>
                <w:u w:val="single"/>
              </w:rPr>
            </w:pPr>
            <w:r w:rsidRPr="00990FB6">
              <w:rPr>
                <w:sz w:val="22"/>
                <w:szCs w:val="22"/>
                <w:u w:val="single"/>
              </w:rPr>
              <w:t>LIBRO DE CONTROL DE DETENIDOS</w:t>
            </w:r>
          </w:p>
        </w:tc>
        <w:tc>
          <w:tcPr>
            <w:tcW w:w="550" w:type="pct"/>
            <w:hideMark/>
          </w:tcPr>
          <w:p w14:paraId="07D55EF5" w14:textId="77777777" w:rsidR="00B15F7D" w:rsidRPr="00990FB6" w:rsidRDefault="00B15F7D" w:rsidP="00B15F7D">
            <w:pPr>
              <w:rPr>
                <w:sz w:val="22"/>
                <w:szCs w:val="22"/>
                <w:u w:val="single"/>
              </w:rPr>
            </w:pPr>
            <w:r w:rsidRPr="00990FB6">
              <w:rPr>
                <w:sz w:val="22"/>
                <w:szCs w:val="22"/>
                <w:u w:val="single"/>
              </w:rPr>
              <w:t>4.276,00</w:t>
            </w:r>
          </w:p>
        </w:tc>
        <w:tc>
          <w:tcPr>
            <w:tcW w:w="511" w:type="pct"/>
            <w:noWrap/>
            <w:hideMark/>
          </w:tcPr>
          <w:p w14:paraId="1FA88FB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09D61B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0BA7498"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082E3EAE" w14:textId="77777777" w:rsidTr="000A0C22">
        <w:trPr>
          <w:trHeight w:val="580"/>
          <w:jc w:val="center"/>
        </w:trPr>
        <w:tc>
          <w:tcPr>
            <w:tcW w:w="583" w:type="pct"/>
            <w:hideMark/>
          </w:tcPr>
          <w:p w14:paraId="5A5AEAB4"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6CEADC6C"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0916FDB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00427</w:t>
            </w:r>
          </w:p>
        </w:tc>
        <w:tc>
          <w:tcPr>
            <w:tcW w:w="1045" w:type="pct"/>
            <w:hideMark/>
          </w:tcPr>
          <w:p w14:paraId="520F3CDA" w14:textId="77777777" w:rsidR="00B15F7D" w:rsidRPr="00990FB6" w:rsidRDefault="00B15F7D" w:rsidP="00B15F7D">
            <w:pPr>
              <w:rPr>
                <w:sz w:val="22"/>
                <w:szCs w:val="22"/>
                <w:u w:val="single"/>
              </w:rPr>
            </w:pPr>
            <w:r w:rsidRPr="00990FB6">
              <w:rPr>
                <w:sz w:val="22"/>
                <w:szCs w:val="22"/>
                <w:u w:val="single"/>
              </w:rPr>
              <w:t>CARATULA MANILA (MAT PENSIONES ALIMENTARIAS/ 250 UNI)</w:t>
            </w:r>
          </w:p>
        </w:tc>
        <w:tc>
          <w:tcPr>
            <w:tcW w:w="550" w:type="pct"/>
            <w:hideMark/>
          </w:tcPr>
          <w:p w14:paraId="2D9E50F6" w14:textId="77777777" w:rsidR="00B15F7D" w:rsidRPr="00990FB6" w:rsidRDefault="00B15F7D" w:rsidP="00B15F7D">
            <w:pPr>
              <w:rPr>
                <w:sz w:val="22"/>
                <w:szCs w:val="22"/>
                <w:u w:val="single"/>
              </w:rPr>
            </w:pPr>
            <w:r w:rsidRPr="00990FB6">
              <w:rPr>
                <w:sz w:val="22"/>
                <w:szCs w:val="22"/>
                <w:u w:val="single"/>
              </w:rPr>
              <w:t>72.551,00</w:t>
            </w:r>
          </w:p>
        </w:tc>
        <w:tc>
          <w:tcPr>
            <w:tcW w:w="511" w:type="pct"/>
            <w:noWrap/>
            <w:hideMark/>
          </w:tcPr>
          <w:p w14:paraId="2D94B81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D66680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CB28893"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w:t>
            </w:r>
            <w:r w:rsidRPr="00990FB6">
              <w:rPr>
                <w:sz w:val="22"/>
                <w:szCs w:val="22"/>
                <w:u w:val="single"/>
              </w:rPr>
              <w:lastRenderedPageBreak/>
              <w:t xml:space="preserve">prestación del servicio público. </w:t>
            </w:r>
          </w:p>
        </w:tc>
      </w:tr>
      <w:tr w:rsidR="00B15F7D" w:rsidRPr="00990FB6" w14:paraId="4A4F48EB" w14:textId="77777777" w:rsidTr="000A0C22">
        <w:trPr>
          <w:trHeight w:val="580"/>
          <w:jc w:val="center"/>
        </w:trPr>
        <w:tc>
          <w:tcPr>
            <w:tcW w:w="583" w:type="pct"/>
            <w:hideMark/>
          </w:tcPr>
          <w:p w14:paraId="7127536D"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0CB881F9"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1D5EED3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00430</w:t>
            </w:r>
          </w:p>
        </w:tc>
        <w:tc>
          <w:tcPr>
            <w:tcW w:w="1045" w:type="pct"/>
            <w:hideMark/>
          </w:tcPr>
          <w:p w14:paraId="5DBF6D49" w14:textId="77777777" w:rsidR="00B15F7D" w:rsidRPr="00990FB6" w:rsidRDefault="00B15F7D" w:rsidP="00B15F7D">
            <w:pPr>
              <w:rPr>
                <w:sz w:val="22"/>
                <w:szCs w:val="22"/>
                <w:u w:val="single"/>
              </w:rPr>
            </w:pPr>
            <w:r w:rsidRPr="00990FB6">
              <w:rPr>
                <w:sz w:val="22"/>
                <w:szCs w:val="22"/>
                <w:u w:val="single"/>
              </w:rPr>
              <w:t>ETIQUETA ADHESIVA NARANJA, PAQUETE 100 UNI</w:t>
            </w:r>
          </w:p>
        </w:tc>
        <w:tc>
          <w:tcPr>
            <w:tcW w:w="550" w:type="pct"/>
            <w:hideMark/>
          </w:tcPr>
          <w:p w14:paraId="13D07199" w14:textId="77777777" w:rsidR="00B15F7D" w:rsidRPr="00990FB6" w:rsidRDefault="00B15F7D" w:rsidP="00B15F7D">
            <w:pPr>
              <w:rPr>
                <w:sz w:val="22"/>
                <w:szCs w:val="22"/>
                <w:u w:val="single"/>
              </w:rPr>
            </w:pPr>
            <w:r w:rsidRPr="00990FB6">
              <w:rPr>
                <w:sz w:val="22"/>
                <w:szCs w:val="22"/>
                <w:u w:val="single"/>
              </w:rPr>
              <w:t>14.444,00</w:t>
            </w:r>
          </w:p>
        </w:tc>
        <w:tc>
          <w:tcPr>
            <w:tcW w:w="511" w:type="pct"/>
            <w:noWrap/>
            <w:hideMark/>
          </w:tcPr>
          <w:p w14:paraId="3EA2B98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3B4135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E5692ED"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8BC5215" w14:textId="77777777" w:rsidTr="000A0C22">
        <w:trPr>
          <w:trHeight w:val="580"/>
          <w:jc w:val="center"/>
        </w:trPr>
        <w:tc>
          <w:tcPr>
            <w:tcW w:w="583" w:type="pct"/>
            <w:hideMark/>
          </w:tcPr>
          <w:p w14:paraId="5EAD2966"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341A1994"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8540F5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00441</w:t>
            </w:r>
          </w:p>
        </w:tc>
        <w:tc>
          <w:tcPr>
            <w:tcW w:w="1045" w:type="pct"/>
            <w:hideMark/>
          </w:tcPr>
          <w:p w14:paraId="7BDD6EDE" w14:textId="77777777" w:rsidR="00B15F7D" w:rsidRPr="00990FB6" w:rsidRDefault="00B15F7D" w:rsidP="00B15F7D">
            <w:pPr>
              <w:rPr>
                <w:sz w:val="22"/>
                <w:szCs w:val="22"/>
                <w:u w:val="single"/>
              </w:rPr>
            </w:pPr>
            <w:r w:rsidRPr="00990FB6">
              <w:rPr>
                <w:sz w:val="22"/>
                <w:szCs w:val="22"/>
                <w:u w:val="single"/>
              </w:rPr>
              <w:t>PRESTAMO DE EXPEDIENTES, BLOCK 100 UNI</w:t>
            </w:r>
          </w:p>
        </w:tc>
        <w:tc>
          <w:tcPr>
            <w:tcW w:w="550" w:type="pct"/>
            <w:hideMark/>
          </w:tcPr>
          <w:p w14:paraId="78F33AEC" w14:textId="77777777" w:rsidR="00B15F7D" w:rsidRPr="00990FB6" w:rsidRDefault="00B15F7D" w:rsidP="00B15F7D">
            <w:pPr>
              <w:rPr>
                <w:sz w:val="22"/>
                <w:szCs w:val="22"/>
                <w:u w:val="single"/>
              </w:rPr>
            </w:pPr>
            <w:r w:rsidRPr="00990FB6">
              <w:rPr>
                <w:sz w:val="22"/>
                <w:szCs w:val="22"/>
                <w:u w:val="single"/>
              </w:rPr>
              <w:t>26.279,00</w:t>
            </w:r>
          </w:p>
        </w:tc>
        <w:tc>
          <w:tcPr>
            <w:tcW w:w="511" w:type="pct"/>
            <w:noWrap/>
            <w:hideMark/>
          </w:tcPr>
          <w:p w14:paraId="26286EB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82D1E0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5E4E1EE"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7E8EBF8F" w14:textId="77777777" w:rsidTr="000A0C22">
        <w:trPr>
          <w:trHeight w:val="580"/>
          <w:jc w:val="center"/>
        </w:trPr>
        <w:tc>
          <w:tcPr>
            <w:tcW w:w="583" w:type="pct"/>
            <w:hideMark/>
          </w:tcPr>
          <w:p w14:paraId="1BA5DBC1"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44EC32B6"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462416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00443</w:t>
            </w:r>
          </w:p>
        </w:tc>
        <w:tc>
          <w:tcPr>
            <w:tcW w:w="1045" w:type="pct"/>
            <w:hideMark/>
          </w:tcPr>
          <w:p w14:paraId="38745C6B" w14:textId="77777777" w:rsidR="00B15F7D" w:rsidRPr="00990FB6" w:rsidRDefault="00B15F7D" w:rsidP="00B15F7D">
            <w:pPr>
              <w:rPr>
                <w:sz w:val="22"/>
                <w:szCs w:val="22"/>
                <w:u w:val="single"/>
              </w:rPr>
            </w:pPr>
            <w:r w:rsidRPr="00990FB6">
              <w:rPr>
                <w:sz w:val="22"/>
                <w:szCs w:val="22"/>
                <w:u w:val="single"/>
              </w:rPr>
              <w:t>LIBRO CONTROL DE F-199 BOL PRESENT DOC DEL PJ AL REG NAL</w:t>
            </w:r>
          </w:p>
        </w:tc>
        <w:tc>
          <w:tcPr>
            <w:tcW w:w="550" w:type="pct"/>
            <w:hideMark/>
          </w:tcPr>
          <w:p w14:paraId="630A57B3" w14:textId="77777777" w:rsidR="00B15F7D" w:rsidRPr="00990FB6" w:rsidRDefault="00B15F7D" w:rsidP="00B15F7D">
            <w:pPr>
              <w:rPr>
                <w:sz w:val="22"/>
                <w:szCs w:val="22"/>
                <w:u w:val="single"/>
              </w:rPr>
            </w:pPr>
            <w:r w:rsidRPr="00990FB6">
              <w:rPr>
                <w:sz w:val="22"/>
                <w:szCs w:val="22"/>
                <w:u w:val="single"/>
              </w:rPr>
              <w:t>2.460,00</w:t>
            </w:r>
          </w:p>
        </w:tc>
        <w:tc>
          <w:tcPr>
            <w:tcW w:w="511" w:type="pct"/>
            <w:noWrap/>
            <w:hideMark/>
          </w:tcPr>
          <w:p w14:paraId="1ED35E4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DD45AA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6A68D7D"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212C407C" w14:textId="77777777" w:rsidTr="000A0C22">
        <w:trPr>
          <w:trHeight w:val="580"/>
          <w:jc w:val="center"/>
        </w:trPr>
        <w:tc>
          <w:tcPr>
            <w:tcW w:w="583" w:type="pct"/>
            <w:hideMark/>
          </w:tcPr>
          <w:p w14:paraId="4557D845"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5610AAB4"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58719AD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0178A</w:t>
            </w:r>
          </w:p>
        </w:tc>
        <w:tc>
          <w:tcPr>
            <w:tcW w:w="1045" w:type="pct"/>
            <w:hideMark/>
          </w:tcPr>
          <w:p w14:paraId="194E6069" w14:textId="77777777" w:rsidR="00B15F7D" w:rsidRPr="00990FB6" w:rsidRDefault="00B15F7D" w:rsidP="00B15F7D">
            <w:pPr>
              <w:rPr>
                <w:sz w:val="22"/>
                <w:szCs w:val="22"/>
                <w:u w:val="single"/>
              </w:rPr>
            </w:pPr>
            <w:r w:rsidRPr="00990FB6">
              <w:rPr>
                <w:sz w:val="22"/>
                <w:szCs w:val="22"/>
                <w:u w:val="single"/>
              </w:rPr>
              <w:t>CARATULA ROSADA ESP.(F-178A), MAT LABORAL 500 UNI</w:t>
            </w:r>
          </w:p>
        </w:tc>
        <w:tc>
          <w:tcPr>
            <w:tcW w:w="550" w:type="pct"/>
            <w:hideMark/>
          </w:tcPr>
          <w:p w14:paraId="6ED54CFF" w14:textId="77777777" w:rsidR="00B15F7D" w:rsidRPr="00990FB6" w:rsidRDefault="00B15F7D" w:rsidP="00B15F7D">
            <w:pPr>
              <w:rPr>
                <w:sz w:val="22"/>
                <w:szCs w:val="22"/>
                <w:u w:val="single"/>
              </w:rPr>
            </w:pPr>
            <w:r w:rsidRPr="00990FB6">
              <w:rPr>
                <w:sz w:val="22"/>
                <w:szCs w:val="22"/>
                <w:u w:val="single"/>
              </w:rPr>
              <w:t>63.515,00</w:t>
            </w:r>
          </w:p>
        </w:tc>
        <w:tc>
          <w:tcPr>
            <w:tcW w:w="511" w:type="pct"/>
            <w:noWrap/>
            <w:hideMark/>
          </w:tcPr>
          <w:p w14:paraId="07F7BCF7"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618F99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72CEA7B"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6390024" w14:textId="77777777" w:rsidTr="000A0C22">
        <w:trPr>
          <w:trHeight w:val="580"/>
          <w:jc w:val="center"/>
        </w:trPr>
        <w:tc>
          <w:tcPr>
            <w:tcW w:w="583" w:type="pct"/>
            <w:hideMark/>
          </w:tcPr>
          <w:p w14:paraId="39B299AF"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13BE90BD"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10C3650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0712B</w:t>
            </w:r>
          </w:p>
        </w:tc>
        <w:tc>
          <w:tcPr>
            <w:tcW w:w="1045" w:type="pct"/>
            <w:hideMark/>
          </w:tcPr>
          <w:p w14:paraId="330854A7" w14:textId="77777777" w:rsidR="00B15F7D" w:rsidRPr="00990FB6" w:rsidRDefault="00B15F7D" w:rsidP="00B15F7D">
            <w:pPr>
              <w:rPr>
                <w:sz w:val="22"/>
                <w:szCs w:val="22"/>
                <w:u w:val="single"/>
              </w:rPr>
            </w:pPr>
            <w:r w:rsidRPr="00990FB6">
              <w:rPr>
                <w:sz w:val="22"/>
                <w:szCs w:val="22"/>
                <w:u w:val="single"/>
              </w:rPr>
              <w:t>BOLETA UNICA DE CADENA DE CUSTODIA DE INDICIOS ADHESIVO (100</w:t>
            </w:r>
          </w:p>
        </w:tc>
        <w:tc>
          <w:tcPr>
            <w:tcW w:w="550" w:type="pct"/>
            <w:hideMark/>
          </w:tcPr>
          <w:p w14:paraId="61A45598" w14:textId="77777777" w:rsidR="00B15F7D" w:rsidRPr="00990FB6" w:rsidRDefault="00B15F7D" w:rsidP="00B15F7D">
            <w:pPr>
              <w:rPr>
                <w:sz w:val="22"/>
                <w:szCs w:val="22"/>
                <w:u w:val="single"/>
              </w:rPr>
            </w:pPr>
            <w:r w:rsidRPr="00990FB6">
              <w:rPr>
                <w:sz w:val="22"/>
                <w:szCs w:val="22"/>
                <w:u w:val="single"/>
              </w:rPr>
              <w:t>34.431,00</w:t>
            </w:r>
          </w:p>
        </w:tc>
        <w:tc>
          <w:tcPr>
            <w:tcW w:w="511" w:type="pct"/>
            <w:noWrap/>
            <w:hideMark/>
          </w:tcPr>
          <w:p w14:paraId="78749AA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C5D20B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BBC69F1"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71DEB52E" w14:textId="77777777" w:rsidTr="000A0C22">
        <w:trPr>
          <w:trHeight w:val="580"/>
          <w:jc w:val="center"/>
        </w:trPr>
        <w:tc>
          <w:tcPr>
            <w:tcW w:w="583" w:type="pct"/>
            <w:hideMark/>
          </w:tcPr>
          <w:p w14:paraId="63C74AC1"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6F8BBA9B" w14:textId="77777777" w:rsidR="00B15F7D" w:rsidRPr="00990FB6" w:rsidRDefault="00B15F7D" w:rsidP="00B15F7D">
            <w:pPr>
              <w:rPr>
                <w:sz w:val="22"/>
                <w:szCs w:val="22"/>
                <w:u w:val="single"/>
              </w:rPr>
            </w:pPr>
            <w:r w:rsidRPr="00990FB6">
              <w:rPr>
                <w:sz w:val="22"/>
                <w:szCs w:val="22"/>
                <w:u w:val="single"/>
              </w:rPr>
              <w:t xml:space="preserve">Productos de papel, </w:t>
            </w:r>
            <w:r w:rsidRPr="00990FB6">
              <w:rPr>
                <w:sz w:val="22"/>
                <w:szCs w:val="22"/>
                <w:u w:val="single"/>
              </w:rPr>
              <w:lastRenderedPageBreak/>
              <w:t>cartón e impresos</w:t>
            </w:r>
          </w:p>
        </w:tc>
        <w:tc>
          <w:tcPr>
            <w:tcW w:w="363" w:type="pct"/>
            <w:hideMark/>
          </w:tcPr>
          <w:p w14:paraId="5E82CD1C" w14:textId="77777777" w:rsidR="00B15F7D" w:rsidRPr="00990FB6" w:rsidRDefault="00B15F7D" w:rsidP="00B15F7D">
            <w:pPr>
              <w:rPr>
                <w:sz w:val="22"/>
                <w:szCs w:val="22"/>
                <w:u w:val="single"/>
              </w:rPr>
            </w:pPr>
            <w:r w:rsidRPr="00990FB6">
              <w:rPr>
                <w:sz w:val="22"/>
                <w:szCs w:val="22"/>
                <w:u w:val="single"/>
              </w:rPr>
              <w:lastRenderedPageBreak/>
              <w:t xml:space="preserve">       </w:t>
            </w:r>
            <w:proofErr w:type="gramStart"/>
            <w:r w:rsidRPr="00990FB6">
              <w:rPr>
                <w:sz w:val="22"/>
                <w:szCs w:val="22"/>
                <w:u w:val="single"/>
              </w:rPr>
              <w:t>Art. :</w:t>
            </w:r>
            <w:proofErr w:type="gramEnd"/>
            <w:r w:rsidRPr="00990FB6">
              <w:rPr>
                <w:sz w:val="22"/>
                <w:szCs w:val="22"/>
                <w:u w:val="single"/>
              </w:rPr>
              <w:t xml:space="preserve"> 14902</w:t>
            </w:r>
          </w:p>
        </w:tc>
        <w:tc>
          <w:tcPr>
            <w:tcW w:w="1045" w:type="pct"/>
            <w:hideMark/>
          </w:tcPr>
          <w:p w14:paraId="5B038E4D" w14:textId="77777777" w:rsidR="00B15F7D" w:rsidRPr="00990FB6" w:rsidRDefault="00B15F7D" w:rsidP="00B15F7D">
            <w:pPr>
              <w:rPr>
                <w:sz w:val="22"/>
                <w:szCs w:val="22"/>
                <w:u w:val="single"/>
              </w:rPr>
            </w:pPr>
            <w:r w:rsidRPr="00990FB6">
              <w:rPr>
                <w:sz w:val="22"/>
                <w:szCs w:val="22"/>
                <w:u w:val="single"/>
              </w:rPr>
              <w:t>PAPEL BOND BCO 75 GRS. 34 ¼” X 22 ¼” (500 PLI.)</w:t>
            </w:r>
          </w:p>
        </w:tc>
        <w:tc>
          <w:tcPr>
            <w:tcW w:w="550" w:type="pct"/>
            <w:hideMark/>
          </w:tcPr>
          <w:p w14:paraId="327705BA" w14:textId="77777777" w:rsidR="00B15F7D" w:rsidRPr="00990FB6" w:rsidRDefault="00B15F7D" w:rsidP="00B15F7D">
            <w:pPr>
              <w:rPr>
                <w:sz w:val="22"/>
                <w:szCs w:val="22"/>
                <w:u w:val="single"/>
              </w:rPr>
            </w:pPr>
            <w:r w:rsidRPr="00990FB6">
              <w:rPr>
                <w:sz w:val="22"/>
                <w:szCs w:val="22"/>
                <w:u w:val="single"/>
              </w:rPr>
              <w:t>51.591,00</w:t>
            </w:r>
          </w:p>
        </w:tc>
        <w:tc>
          <w:tcPr>
            <w:tcW w:w="511" w:type="pct"/>
            <w:noWrap/>
            <w:hideMark/>
          </w:tcPr>
          <w:p w14:paraId="1B237DA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B9905C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8806CE6"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w:t>
            </w:r>
            <w:r w:rsidRPr="00990FB6">
              <w:rPr>
                <w:sz w:val="22"/>
                <w:szCs w:val="22"/>
                <w:u w:val="single"/>
              </w:rPr>
              <w:lastRenderedPageBreak/>
              <w:t xml:space="preserve">oficinas. Desmejora en la prestación del servicio público. </w:t>
            </w:r>
          </w:p>
        </w:tc>
      </w:tr>
      <w:tr w:rsidR="00B15F7D" w:rsidRPr="00990FB6" w14:paraId="648CAFB2" w14:textId="77777777" w:rsidTr="000A0C22">
        <w:trPr>
          <w:trHeight w:val="580"/>
          <w:jc w:val="center"/>
        </w:trPr>
        <w:tc>
          <w:tcPr>
            <w:tcW w:w="583" w:type="pct"/>
            <w:hideMark/>
          </w:tcPr>
          <w:p w14:paraId="07D988D8"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3F6385EF"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815F5E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14909</w:t>
            </w:r>
          </w:p>
        </w:tc>
        <w:tc>
          <w:tcPr>
            <w:tcW w:w="1045" w:type="pct"/>
            <w:hideMark/>
          </w:tcPr>
          <w:p w14:paraId="2D872464" w14:textId="77777777" w:rsidR="00B15F7D" w:rsidRPr="00990FB6" w:rsidRDefault="00B15F7D" w:rsidP="00B15F7D">
            <w:pPr>
              <w:rPr>
                <w:sz w:val="22"/>
                <w:szCs w:val="22"/>
                <w:u w:val="single"/>
              </w:rPr>
            </w:pPr>
            <w:r w:rsidRPr="00990FB6">
              <w:rPr>
                <w:sz w:val="22"/>
                <w:szCs w:val="22"/>
                <w:u w:val="single"/>
              </w:rPr>
              <w:t>ARCHIVADOR CARTON TAMAÑO OFICIO (AMPOS)</w:t>
            </w:r>
          </w:p>
        </w:tc>
        <w:tc>
          <w:tcPr>
            <w:tcW w:w="550" w:type="pct"/>
            <w:hideMark/>
          </w:tcPr>
          <w:p w14:paraId="348BCDC5" w14:textId="77777777" w:rsidR="00B15F7D" w:rsidRPr="00990FB6" w:rsidRDefault="00B15F7D" w:rsidP="00B15F7D">
            <w:pPr>
              <w:rPr>
                <w:sz w:val="22"/>
                <w:szCs w:val="22"/>
                <w:u w:val="single"/>
              </w:rPr>
            </w:pPr>
            <w:r w:rsidRPr="00990FB6">
              <w:rPr>
                <w:sz w:val="22"/>
                <w:szCs w:val="22"/>
                <w:u w:val="single"/>
              </w:rPr>
              <w:t>28.555,00</w:t>
            </w:r>
          </w:p>
        </w:tc>
        <w:tc>
          <w:tcPr>
            <w:tcW w:w="511" w:type="pct"/>
            <w:noWrap/>
            <w:hideMark/>
          </w:tcPr>
          <w:p w14:paraId="7261D64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E67631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F50A9BE"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10A843C5" w14:textId="77777777" w:rsidTr="000A0C22">
        <w:trPr>
          <w:trHeight w:val="580"/>
          <w:jc w:val="center"/>
        </w:trPr>
        <w:tc>
          <w:tcPr>
            <w:tcW w:w="583" w:type="pct"/>
            <w:hideMark/>
          </w:tcPr>
          <w:p w14:paraId="043D190F"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36F6FC50"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C3A54D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14913</w:t>
            </w:r>
          </w:p>
        </w:tc>
        <w:tc>
          <w:tcPr>
            <w:tcW w:w="1045" w:type="pct"/>
            <w:hideMark/>
          </w:tcPr>
          <w:p w14:paraId="24D4A1E8" w14:textId="77777777" w:rsidR="00B15F7D" w:rsidRPr="00990FB6" w:rsidRDefault="00B15F7D" w:rsidP="00B15F7D">
            <w:pPr>
              <w:rPr>
                <w:sz w:val="22"/>
                <w:szCs w:val="22"/>
                <w:u w:val="single"/>
              </w:rPr>
            </w:pPr>
            <w:r w:rsidRPr="00990FB6">
              <w:rPr>
                <w:sz w:val="22"/>
                <w:szCs w:val="22"/>
                <w:u w:val="single"/>
              </w:rPr>
              <w:t xml:space="preserve">ETIQUETA </w:t>
            </w:r>
            <w:proofErr w:type="gramStart"/>
            <w:r w:rsidRPr="00990FB6">
              <w:rPr>
                <w:sz w:val="22"/>
                <w:szCs w:val="22"/>
                <w:u w:val="single"/>
              </w:rPr>
              <w:t>ADHES.FORM.CONTINUO</w:t>
            </w:r>
            <w:proofErr w:type="gramEnd"/>
            <w:r w:rsidRPr="00990FB6">
              <w:rPr>
                <w:sz w:val="22"/>
                <w:szCs w:val="22"/>
                <w:u w:val="single"/>
              </w:rPr>
              <w:t>, 1000 UN.</w:t>
            </w:r>
          </w:p>
        </w:tc>
        <w:tc>
          <w:tcPr>
            <w:tcW w:w="550" w:type="pct"/>
            <w:hideMark/>
          </w:tcPr>
          <w:p w14:paraId="0C53FBCE" w14:textId="77777777" w:rsidR="00B15F7D" w:rsidRPr="00990FB6" w:rsidRDefault="00B15F7D" w:rsidP="00B15F7D">
            <w:pPr>
              <w:rPr>
                <w:sz w:val="22"/>
                <w:szCs w:val="22"/>
                <w:u w:val="single"/>
              </w:rPr>
            </w:pPr>
            <w:r w:rsidRPr="00990FB6">
              <w:rPr>
                <w:sz w:val="22"/>
                <w:szCs w:val="22"/>
                <w:u w:val="single"/>
              </w:rPr>
              <w:t>14.224,00</w:t>
            </w:r>
          </w:p>
        </w:tc>
        <w:tc>
          <w:tcPr>
            <w:tcW w:w="511" w:type="pct"/>
            <w:noWrap/>
            <w:hideMark/>
          </w:tcPr>
          <w:p w14:paraId="0CEFBBF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40BD4E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4F40673"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3AB542AB" w14:textId="77777777" w:rsidTr="000A0C22">
        <w:trPr>
          <w:trHeight w:val="580"/>
          <w:jc w:val="center"/>
        </w:trPr>
        <w:tc>
          <w:tcPr>
            <w:tcW w:w="583" w:type="pct"/>
            <w:hideMark/>
          </w:tcPr>
          <w:p w14:paraId="223C95D0"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094C1DB7"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481C9E1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14914</w:t>
            </w:r>
          </w:p>
        </w:tc>
        <w:tc>
          <w:tcPr>
            <w:tcW w:w="1045" w:type="pct"/>
            <w:hideMark/>
          </w:tcPr>
          <w:p w14:paraId="0CE9C36E" w14:textId="77777777" w:rsidR="00B15F7D" w:rsidRPr="00990FB6" w:rsidRDefault="00B15F7D" w:rsidP="00B15F7D">
            <w:pPr>
              <w:rPr>
                <w:sz w:val="22"/>
                <w:szCs w:val="22"/>
                <w:u w:val="single"/>
              </w:rPr>
            </w:pPr>
            <w:r w:rsidRPr="00990FB6">
              <w:rPr>
                <w:sz w:val="22"/>
                <w:szCs w:val="22"/>
                <w:u w:val="single"/>
              </w:rPr>
              <w:t>CARPETA COLGANTE TAMAÑO OFICIO, CAJAS 25 UN.</w:t>
            </w:r>
          </w:p>
        </w:tc>
        <w:tc>
          <w:tcPr>
            <w:tcW w:w="550" w:type="pct"/>
            <w:hideMark/>
          </w:tcPr>
          <w:p w14:paraId="7EFB1C16" w14:textId="77777777" w:rsidR="00B15F7D" w:rsidRPr="00990FB6" w:rsidRDefault="00B15F7D" w:rsidP="00B15F7D">
            <w:pPr>
              <w:rPr>
                <w:sz w:val="22"/>
                <w:szCs w:val="22"/>
                <w:u w:val="single"/>
              </w:rPr>
            </w:pPr>
            <w:r w:rsidRPr="00990FB6">
              <w:rPr>
                <w:sz w:val="22"/>
                <w:szCs w:val="22"/>
                <w:u w:val="single"/>
              </w:rPr>
              <w:t>21.010,00</w:t>
            </w:r>
          </w:p>
        </w:tc>
        <w:tc>
          <w:tcPr>
            <w:tcW w:w="511" w:type="pct"/>
            <w:noWrap/>
            <w:hideMark/>
          </w:tcPr>
          <w:p w14:paraId="027182F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7BAD54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5954643"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B326EB9" w14:textId="77777777" w:rsidTr="000A0C22">
        <w:trPr>
          <w:trHeight w:val="580"/>
          <w:jc w:val="center"/>
        </w:trPr>
        <w:tc>
          <w:tcPr>
            <w:tcW w:w="583" w:type="pct"/>
            <w:hideMark/>
          </w:tcPr>
          <w:p w14:paraId="56CB7B27"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5740699F"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5D20EC8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14915</w:t>
            </w:r>
          </w:p>
        </w:tc>
        <w:tc>
          <w:tcPr>
            <w:tcW w:w="1045" w:type="pct"/>
            <w:hideMark/>
          </w:tcPr>
          <w:p w14:paraId="531EC2DF" w14:textId="77777777" w:rsidR="00B15F7D" w:rsidRPr="00990FB6" w:rsidRDefault="00B15F7D" w:rsidP="00B15F7D">
            <w:pPr>
              <w:rPr>
                <w:sz w:val="22"/>
                <w:szCs w:val="22"/>
                <w:u w:val="single"/>
              </w:rPr>
            </w:pPr>
            <w:r w:rsidRPr="00990FB6">
              <w:rPr>
                <w:sz w:val="22"/>
                <w:szCs w:val="22"/>
                <w:u w:val="single"/>
              </w:rPr>
              <w:t>ETIQUETA ADHESIVA (150 UN.)</w:t>
            </w:r>
          </w:p>
        </w:tc>
        <w:tc>
          <w:tcPr>
            <w:tcW w:w="550" w:type="pct"/>
            <w:hideMark/>
          </w:tcPr>
          <w:p w14:paraId="5E26B7F5" w14:textId="77777777" w:rsidR="00B15F7D" w:rsidRPr="00990FB6" w:rsidRDefault="00B15F7D" w:rsidP="00B15F7D">
            <w:pPr>
              <w:rPr>
                <w:sz w:val="22"/>
                <w:szCs w:val="22"/>
                <w:u w:val="single"/>
              </w:rPr>
            </w:pPr>
            <w:r w:rsidRPr="00990FB6">
              <w:rPr>
                <w:sz w:val="22"/>
                <w:szCs w:val="22"/>
                <w:u w:val="single"/>
              </w:rPr>
              <w:t>969,00</w:t>
            </w:r>
          </w:p>
        </w:tc>
        <w:tc>
          <w:tcPr>
            <w:tcW w:w="511" w:type="pct"/>
            <w:noWrap/>
            <w:hideMark/>
          </w:tcPr>
          <w:p w14:paraId="0E6C0EC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27F4A1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84A7334"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4740C9A9" w14:textId="77777777" w:rsidTr="000A0C22">
        <w:trPr>
          <w:trHeight w:val="580"/>
          <w:jc w:val="center"/>
        </w:trPr>
        <w:tc>
          <w:tcPr>
            <w:tcW w:w="583" w:type="pct"/>
            <w:hideMark/>
          </w:tcPr>
          <w:p w14:paraId="08CEB170"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7C79BD79"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566B61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14918</w:t>
            </w:r>
          </w:p>
        </w:tc>
        <w:tc>
          <w:tcPr>
            <w:tcW w:w="1045" w:type="pct"/>
            <w:hideMark/>
          </w:tcPr>
          <w:p w14:paraId="3064FA0F" w14:textId="77777777" w:rsidR="00B15F7D" w:rsidRPr="00990FB6" w:rsidRDefault="00B15F7D" w:rsidP="00B15F7D">
            <w:pPr>
              <w:rPr>
                <w:sz w:val="22"/>
                <w:szCs w:val="22"/>
                <w:u w:val="single"/>
              </w:rPr>
            </w:pPr>
            <w:r w:rsidRPr="00990FB6">
              <w:rPr>
                <w:sz w:val="22"/>
                <w:szCs w:val="22"/>
                <w:u w:val="single"/>
              </w:rPr>
              <w:t>CINTA PAPEL SUMADORA 5.71CMS, BOND BCO</w:t>
            </w:r>
          </w:p>
        </w:tc>
        <w:tc>
          <w:tcPr>
            <w:tcW w:w="550" w:type="pct"/>
            <w:hideMark/>
          </w:tcPr>
          <w:p w14:paraId="2CD9D988" w14:textId="77777777" w:rsidR="00B15F7D" w:rsidRPr="00990FB6" w:rsidRDefault="00B15F7D" w:rsidP="00B15F7D">
            <w:pPr>
              <w:rPr>
                <w:sz w:val="22"/>
                <w:szCs w:val="22"/>
                <w:u w:val="single"/>
              </w:rPr>
            </w:pPr>
            <w:r w:rsidRPr="00990FB6">
              <w:rPr>
                <w:sz w:val="22"/>
                <w:szCs w:val="22"/>
                <w:u w:val="single"/>
              </w:rPr>
              <w:t>196,00</w:t>
            </w:r>
          </w:p>
        </w:tc>
        <w:tc>
          <w:tcPr>
            <w:tcW w:w="511" w:type="pct"/>
            <w:noWrap/>
            <w:hideMark/>
          </w:tcPr>
          <w:p w14:paraId="3C7B063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6A9E3E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E9863FD"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1DBA56E8" w14:textId="77777777" w:rsidTr="000A0C22">
        <w:trPr>
          <w:trHeight w:val="580"/>
          <w:jc w:val="center"/>
        </w:trPr>
        <w:tc>
          <w:tcPr>
            <w:tcW w:w="583" w:type="pct"/>
            <w:hideMark/>
          </w:tcPr>
          <w:p w14:paraId="1B852FB0"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5F833DDD"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48E939B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14919</w:t>
            </w:r>
          </w:p>
        </w:tc>
        <w:tc>
          <w:tcPr>
            <w:tcW w:w="1045" w:type="pct"/>
            <w:hideMark/>
          </w:tcPr>
          <w:p w14:paraId="36576FE1" w14:textId="77777777" w:rsidR="00B15F7D" w:rsidRPr="00990FB6" w:rsidRDefault="00B15F7D" w:rsidP="00B15F7D">
            <w:pPr>
              <w:rPr>
                <w:sz w:val="22"/>
                <w:szCs w:val="22"/>
                <w:u w:val="single"/>
              </w:rPr>
            </w:pPr>
            <w:r w:rsidRPr="00990FB6">
              <w:rPr>
                <w:sz w:val="22"/>
                <w:szCs w:val="22"/>
                <w:u w:val="single"/>
              </w:rPr>
              <w:t>LIBRO DE CAJA DE 500 FOLIOS</w:t>
            </w:r>
          </w:p>
        </w:tc>
        <w:tc>
          <w:tcPr>
            <w:tcW w:w="550" w:type="pct"/>
            <w:hideMark/>
          </w:tcPr>
          <w:p w14:paraId="536BDB23" w14:textId="77777777" w:rsidR="00B15F7D" w:rsidRPr="00990FB6" w:rsidRDefault="00B15F7D" w:rsidP="00B15F7D">
            <w:pPr>
              <w:rPr>
                <w:sz w:val="22"/>
                <w:szCs w:val="22"/>
                <w:u w:val="single"/>
              </w:rPr>
            </w:pPr>
            <w:r w:rsidRPr="00990FB6">
              <w:rPr>
                <w:sz w:val="22"/>
                <w:szCs w:val="22"/>
                <w:u w:val="single"/>
              </w:rPr>
              <w:t>13.756,00</w:t>
            </w:r>
          </w:p>
        </w:tc>
        <w:tc>
          <w:tcPr>
            <w:tcW w:w="511" w:type="pct"/>
            <w:noWrap/>
            <w:hideMark/>
          </w:tcPr>
          <w:p w14:paraId="6BC2A3B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5102AD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848D904"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549FB599" w14:textId="77777777" w:rsidTr="000A0C22">
        <w:trPr>
          <w:trHeight w:val="580"/>
          <w:jc w:val="center"/>
        </w:trPr>
        <w:tc>
          <w:tcPr>
            <w:tcW w:w="583" w:type="pct"/>
            <w:hideMark/>
          </w:tcPr>
          <w:p w14:paraId="10A4BDDA"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1B14172F"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CCA286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15006</w:t>
            </w:r>
          </w:p>
        </w:tc>
        <w:tc>
          <w:tcPr>
            <w:tcW w:w="1045" w:type="pct"/>
            <w:hideMark/>
          </w:tcPr>
          <w:p w14:paraId="227C2E4A" w14:textId="77777777" w:rsidR="00B15F7D" w:rsidRPr="00990FB6" w:rsidRDefault="00B15F7D" w:rsidP="00B15F7D">
            <w:pPr>
              <w:rPr>
                <w:sz w:val="22"/>
                <w:szCs w:val="22"/>
                <w:u w:val="single"/>
              </w:rPr>
            </w:pPr>
            <w:r w:rsidRPr="00990FB6">
              <w:rPr>
                <w:sz w:val="22"/>
                <w:szCs w:val="22"/>
                <w:u w:val="single"/>
              </w:rPr>
              <w:t>SERVILLETAS</w:t>
            </w:r>
          </w:p>
        </w:tc>
        <w:tc>
          <w:tcPr>
            <w:tcW w:w="550" w:type="pct"/>
            <w:hideMark/>
          </w:tcPr>
          <w:p w14:paraId="11089BEF" w14:textId="77777777" w:rsidR="00B15F7D" w:rsidRPr="00990FB6" w:rsidRDefault="00B15F7D" w:rsidP="00B15F7D">
            <w:pPr>
              <w:rPr>
                <w:sz w:val="22"/>
                <w:szCs w:val="22"/>
                <w:u w:val="single"/>
              </w:rPr>
            </w:pPr>
            <w:r w:rsidRPr="00990FB6">
              <w:rPr>
                <w:sz w:val="22"/>
                <w:szCs w:val="22"/>
                <w:u w:val="single"/>
              </w:rPr>
              <w:t>6.527,00</w:t>
            </w:r>
          </w:p>
        </w:tc>
        <w:tc>
          <w:tcPr>
            <w:tcW w:w="511" w:type="pct"/>
            <w:noWrap/>
            <w:hideMark/>
          </w:tcPr>
          <w:p w14:paraId="1252EB8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22178E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926E804"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9899C3D" w14:textId="77777777" w:rsidTr="000A0C22">
        <w:trPr>
          <w:trHeight w:val="580"/>
          <w:jc w:val="center"/>
        </w:trPr>
        <w:tc>
          <w:tcPr>
            <w:tcW w:w="583" w:type="pct"/>
            <w:hideMark/>
          </w:tcPr>
          <w:p w14:paraId="0E0687C0"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2B928A12"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2FC7ACA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15189</w:t>
            </w:r>
          </w:p>
        </w:tc>
        <w:tc>
          <w:tcPr>
            <w:tcW w:w="1045" w:type="pct"/>
            <w:hideMark/>
          </w:tcPr>
          <w:p w14:paraId="1A3773E3" w14:textId="77777777" w:rsidR="00B15F7D" w:rsidRPr="00990FB6" w:rsidRDefault="00B15F7D" w:rsidP="00B15F7D">
            <w:pPr>
              <w:rPr>
                <w:sz w:val="22"/>
                <w:szCs w:val="22"/>
                <w:u w:val="single"/>
              </w:rPr>
            </w:pPr>
            <w:r w:rsidRPr="00990FB6">
              <w:rPr>
                <w:sz w:val="22"/>
                <w:szCs w:val="22"/>
                <w:u w:val="single"/>
              </w:rPr>
              <w:t>PAPEL CONSTRUCCION</w:t>
            </w:r>
          </w:p>
        </w:tc>
        <w:tc>
          <w:tcPr>
            <w:tcW w:w="550" w:type="pct"/>
            <w:hideMark/>
          </w:tcPr>
          <w:p w14:paraId="5C65908C" w14:textId="77777777" w:rsidR="00B15F7D" w:rsidRPr="00990FB6" w:rsidRDefault="00B15F7D" w:rsidP="00B15F7D">
            <w:pPr>
              <w:rPr>
                <w:sz w:val="22"/>
                <w:szCs w:val="22"/>
                <w:u w:val="single"/>
              </w:rPr>
            </w:pPr>
            <w:r w:rsidRPr="00990FB6">
              <w:rPr>
                <w:sz w:val="22"/>
                <w:szCs w:val="22"/>
                <w:u w:val="single"/>
              </w:rPr>
              <w:t>9.153,00</w:t>
            </w:r>
          </w:p>
        </w:tc>
        <w:tc>
          <w:tcPr>
            <w:tcW w:w="511" w:type="pct"/>
            <w:noWrap/>
            <w:hideMark/>
          </w:tcPr>
          <w:p w14:paraId="3F6736D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5AF596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3059DF5"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7B68425B" w14:textId="77777777" w:rsidTr="000A0C22">
        <w:trPr>
          <w:trHeight w:val="580"/>
          <w:jc w:val="center"/>
        </w:trPr>
        <w:tc>
          <w:tcPr>
            <w:tcW w:w="583" w:type="pct"/>
            <w:hideMark/>
          </w:tcPr>
          <w:p w14:paraId="5F3BC100"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12680BF9"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3CA0034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15297</w:t>
            </w:r>
          </w:p>
        </w:tc>
        <w:tc>
          <w:tcPr>
            <w:tcW w:w="1045" w:type="pct"/>
            <w:hideMark/>
          </w:tcPr>
          <w:p w14:paraId="61ABBBD9" w14:textId="77777777" w:rsidR="00B15F7D" w:rsidRPr="00990FB6" w:rsidRDefault="00B15F7D" w:rsidP="00B15F7D">
            <w:pPr>
              <w:rPr>
                <w:sz w:val="22"/>
                <w:szCs w:val="22"/>
                <w:u w:val="single"/>
              </w:rPr>
            </w:pPr>
            <w:r w:rsidRPr="00990FB6">
              <w:rPr>
                <w:sz w:val="22"/>
                <w:szCs w:val="22"/>
                <w:u w:val="single"/>
              </w:rPr>
              <w:t>CUADERNO DE 100 HOJAS</w:t>
            </w:r>
          </w:p>
        </w:tc>
        <w:tc>
          <w:tcPr>
            <w:tcW w:w="550" w:type="pct"/>
            <w:hideMark/>
          </w:tcPr>
          <w:p w14:paraId="14525EFC" w14:textId="77777777" w:rsidR="00B15F7D" w:rsidRPr="00990FB6" w:rsidRDefault="00B15F7D" w:rsidP="00B15F7D">
            <w:pPr>
              <w:rPr>
                <w:sz w:val="22"/>
                <w:szCs w:val="22"/>
                <w:u w:val="single"/>
              </w:rPr>
            </w:pPr>
            <w:r w:rsidRPr="00990FB6">
              <w:rPr>
                <w:sz w:val="22"/>
                <w:szCs w:val="22"/>
                <w:u w:val="single"/>
              </w:rPr>
              <w:t>49.320,00</w:t>
            </w:r>
          </w:p>
        </w:tc>
        <w:tc>
          <w:tcPr>
            <w:tcW w:w="511" w:type="pct"/>
            <w:noWrap/>
            <w:hideMark/>
          </w:tcPr>
          <w:p w14:paraId="3712934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EA911A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7177ECD"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343A9468" w14:textId="77777777" w:rsidTr="000A0C22">
        <w:trPr>
          <w:trHeight w:val="580"/>
          <w:jc w:val="center"/>
        </w:trPr>
        <w:tc>
          <w:tcPr>
            <w:tcW w:w="583" w:type="pct"/>
            <w:hideMark/>
          </w:tcPr>
          <w:p w14:paraId="69C68CA0"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010DC1CD"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07D089A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19626</w:t>
            </w:r>
          </w:p>
        </w:tc>
        <w:tc>
          <w:tcPr>
            <w:tcW w:w="1045" w:type="pct"/>
            <w:hideMark/>
          </w:tcPr>
          <w:p w14:paraId="663C82C9" w14:textId="77777777" w:rsidR="00B15F7D" w:rsidRPr="00990FB6" w:rsidRDefault="00B15F7D" w:rsidP="00B15F7D">
            <w:pPr>
              <w:rPr>
                <w:sz w:val="22"/>
                <w:szCs w:val="22"/>
                <w:u w:val="single"/>
              </w:rPr>
            </w:pPr>
            <w:r w:rsidRPr="00990FB6">
              <w:rPr>
                <w:sz w:val="22"/>
                <w:szCs w:val="22"/>
                <w:u w:val="single"/>
              </w:rPr>
              <w:t>LIBROS INFANTILES</w:t>
            </w:r>
          </w:p>
        </w:tc>
        <w:tc>
          <w:tcPr>
            <w:tcW w:w="550" w:type="pct"/>
            <w:hideMark/>
          </w:tcPr>
          <w:p w14:paraId="3A723F2F" w14:textId="77777777" w:rsidR="00B15F7D" w:rsidRPr="00990FB6" w:rsidRDefault="00B15F7D" w:rsidP="00B15F7D">
            <w:pPr>
              <w:rPr>
                <w:sz w:val="22"/>
                <w:szCs w:val="22"/>
                <w:u w:val="single"/>
              </w:rPr>
            </w:pPr>
            <w:r w:rsidRPr="00990FB6">
              <w:rPr>
                <w:sz w:val="22"/>
                <w:szCs w:val="22"/>
                <w:u w:val="single"/>
              </w:rPr>
              <w:t>10.000,00</w:t>
            </w:r>
          </w:p>
        </w:tc>
        <w:tc>
          <w:tcPr>
            <w:tcW w:w="511" w:type="pct"/>
            <w:noWrap/>
            <w:hideMark/>
          </w:tcPr>
          <w:p w14:paraId="4BEECE4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36C82B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4DE6E4F"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654A4B02" w14:textId="77777777" w:rsidTr="000A0C22">
        <w:trPr>
          <w:trHeight w:val="580"/>
          <w:jc w:val="center"/>
        </w:trPr>
        <w:tc>
          <w:tcPr>
            <w:tcW w:w="583" w:type="pct"/>
            <w:hideMark/>
          </w:tcPr>
          <w:p w14:paraId="465C2D1A" w14:textId="77777777" w:rsidR="00B15F7D" w:rsidRPr="00990FB6" w:rsidRDefault="00B15F7D" w:rsidP="00B15F7D">
            <w:pPr>
              <w:rPr>
                <w:sz w:val="22"/>
                <w:szCs w:val="22"/>
                <w:u w:val="single"/>
              </w:rPr>
            </w:pPr>
            <w:r w:rsidRPr="00990FB6">
              <w:rPr>
                <w:sz w:val="22"/>
                <w:szCs w:val="22"/>
                <w:u w:val="single"/>
              </w:rPr>
              <w:t>29903</w:t>
            </w:r>
          </w:p>
        </w:tc>
        <w:tc>
          <w:tcPr>
            <w:tcW w:w="578" w:type="pct"/>
            <w:hideMark/>
          </w:tcPr>
          <w:p w14:paraId="593B17AF"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4B087B3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22988</w:t>
            </w:r>
          </w:p>
        </w:tc>
        <w:tc>
          <w:tcPr>
            <w:tcW w:w="1045" w:type="pct"/>
            <w:hideMark/>
          </w:tcPr>
          <w:p w14:paraId="1F6C3411" w14:textId="77777777" w:rsidR="00B15F7D" w:rsidRPr="00990FB6" w:rsidRDefault="00B15F7D" w:rsidP="00B15F7D">
            <w:pPr>
              <w:rPr>
                <w:sz w:val="22"/>
                <w:szCs w:val="22"/>
                <w:u w:val="single"/>
              </w:rPr>
            </w:pPr>
            <w:r w:rsidRPr="00990FB6">
              <w:rPr>
                <w:sz w:val="22"/>
                <w:szCs w:val="22"/>
                <w:u w:val="single"/>
              </w:rPr>
              <w:t xml:space="preserve">SOBRE MEMBRETADO GRANDE (DE PAPEL </w:t>
            </w:r>
            <w:r w:rsidRPr="00990FB6">
              <w:rPr>
                <w:sz w:val="22"/>
                <w:szCs w:val="22"/>
                <w:u w:val="single"/>
              </w:rPr>
              <w:lastRenderedPageBreak/>
              <w:t>RECICLADO), PAQUETE 100 UN</w:t>
            </w:r>
          </w:p>
        </w:tc>
        <w:tc>
          <w:tcPr>
            <w:tcW w:w="550" w:type="pct"/>
            <w:hideMark/>
          </w:tcPr>
          <w:p w14:paraId="15163B68" w14:textId="77777777" w:rsidR="00B15F7D" w:rsidRPr="00990FB6" w:rsidRDefault="00B15F7D" w:rsidP="00B15F7D">
            <w:pPr>
              <w:rPr>
                <w:sz w:val="22"/>
                <w:szCs w:val="22"/>
                <w:u w:val="single"/>
              </w:rPr>
            </w:pPr>
            <w:r w:rsidRPr="00990FB6">
              <w:rPr>
                <w:sz w:val="22"/>
                <w:szCs w:val="22"/>
                <w:u w:val="single"/>
              </w:rPr>
              <w:lastRenderedPageBreak/>
              <w:t>18.080,00</w:t>
            </w:r>
          </w:p>
        </w:tc>
        <w:tc>
          <w:tcPr>
            <w:tcW w:w="511" w:type="pct"/>
            <w:noWrap/>
            <w:hideMark/>
          </w:tcPr>
          <w:p w14:paraId="10F1C65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652F55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79AB623"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w:t>
            </w:r>
            <w:r w:rsidRPr="00990FB6">
              <w:rPr>
                <w:sz w:val="22"/>
                <w:szCs w:val="22"/>
                <w:u w:val="single"/>
              </w:rPr>
              <w:lastRenderedPageBreak/>
              <w:t xml:space="preserve">prestación del servicio público. </w:t>
            </w:r>
          </w:p>
        </w:tc>
      </w:tr>
      <w:tr w:rsidR="00B15F7D" w:rsidRPr="00990FB6" w14:paraId="552984D8" w14:textId="77777777" w:rsidTr="000A0C22">
        <w:trPr>
          <w:trHeight w:val="580"/>
          <w:jc w:val="center"/>
        </w:trPr>
        <w:tc>
          <w:tcPr>
            <w:tcW w:w="583" w:type="pct"/>
            <w:hideMark/>
          </w:tcPr>
          <w:p w14:paraId="6E2C73F3" w14:textId="77777777" w:rsidR="00B15F7D" w:rsidRPr="00990FB6" w:rsidRDefault="00B15F7D" w:rsidP="00B15F7D">
            <w:pPr>
              <w:rPr>
                <w:sz w:val="22"/>
                <w:szCs w:val="22"/>
                <w:u w:val="single"/>
              </w:rPr>
            </w:pPr>
            <w:r w:rsidRPr="00990FB6">
              <w:rPr>
                <w:sz w:val="22"/>
                <w:szCs w:val="22"/>
                <w:u w:val="single"/>
              </w:rPr>
              <w:lastRenderedPageBreak/>
              <w:t>29903</w:t>
            </w:r>
          </w:p>
        </w:tc>
        <w:tc>
          <w:tcPr>
            <w:tcW w:w="578" w:type="pct"/>
            <w:hideMark/>
          </w:tcPr>
          <w:p w14:paraId="3A692485" w14:textId="77777777" w:rsidR="00B15F7D" w:rsidRPr="00990FB6" w:rsidRDefault="00B15F7D" w:rsidP="00B15F7D">
            <w:pPr>
              <w:rPr>
                <w:sz w:val="22"/>
                <w:szCs w:val="22"/>
                <w:u w:val="single"/>
              </w:rPr>
            </w:pPr>
            <w:r w:rsidRPr="00990FB6">
              <w:rPr>
                <w:sz w:val="22"/>
                <w:szCs w:val="22"/>
                <w:u w:val="single"/>
              </w:rPr>
              <w:t>Productos de papel, cartón e impresos</w:t>
            </w:r>
          </w:p>
        </w:tc>
        <w:tc>
          <w:tcPr>
            <w:tcW w:w="363" w:type="pct"/>
            <w:hideMark/>
          </w:tcPr>
          <w:p w14:paraId="6EAAC3E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24039</w:t>
            </w:r>
          </w:p>
        </w:tc>
        <w:tc>
          <w:tcPr>
            <w:tcW w:w="1045" w:type="pct"/>
            <w:hideMark/>
          </w:tcPr>
          <w:p w14:paraId="2829661B" w14:textId="77777777" w:rsidR="00B15F7D" w:rsidRPr="00990FB6" w:rsidRDefault="00B15F7D" w:rsidP="00B15F7D">
            <w:pPr>
              <w:rPr>
                <w:sz w:val="22"/>
                <w:szCs w:val="22"/>
                <w:u w:val="single"/>
              </w:rPr>
            </w:pPr>
            <w:r w:rsidRPr="00990FB6">
              <w:rPr>
                <w:sz w:val="22"/>
                <w:szCs w:val="22"/>
                <w:u w:val="single"/>
              </w:rPr>
              <w:t>PAPEL ETIQUETA 90 GR. (PARA ENVOLVER)</w:t>
            </w:r>
          </w:p>
        </w:tc>
        <w:tc>
          <w:tcPr>
            <w:tcW w:w="550" w:type="pct"/>
            <w:hideMark/>
          </w:tcPr>
          <w:p w14:paraId="573EEBDB" w14:textId="77777777" w:rsidR="00B15F7D" w:rsidRPr="00990FB6" w:rsidRDefault="00B15F7D" w:rsidP="00B15F7D">
            <w:pPr>
              <w:rPr>
                <w:sz w:val="22"/>
                <w:szCs w:val="22"/>
                <w:u w:val="single"/>
              </w:rPr>
            </w:pPr>
            <w:r w:rsidRPr="00990FB6">
              <w:rPr>
                <w:sz w:val="22"/>
                <w:szCs w:val="22"/>
                <w:u w:val="single"/>
              </w:rPr>
              <w:t>15.000,00</w:t>
            </w:r>
          </w:p>
        </w:tc>
        <w:tc>
          <w:tcPr>
            <w:tcW w:w="511" w:type="pct"/>
            <w:noWrap/>
            <w:hideMark/>
          </w:tcPr>
          <w:p w14:paraId="23EB066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A62639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B9318C0" w14:textId="77777777" w:rsidR="00B15F7D" w:rsidRPr="00990FB6" w:rsidRDefault="00B15F7D" w:rsidP="00FC2DB5">
            <w:pPr>
              <w:jc w:val="both"/>
              <w:rPr>
                <w:sz w:val="22"/>
                <w:szCs w:val="22"/>
                <w:u w:val="single"/>
              </w:rPr>
            </w:pPr>
            <w:proofErr w:type="gramStart"/>
            <w:r w:rsidRPr="00990FB6">
              <w:rPr>
                <w:sz w:val="22"/>
                <w:szCs w:val="22"/>
                <w:u w:val="single"/>
              </w:rPr>
              <w:t>Afectación  en</w:t>
            </w:r>
            <w:proofErr w:type="gramEnd"/>
            <w:r w:rsidRPr="00990FB6">
              <w:rPr>
                <w:sz w:val="22"/>
                <w:szCs w:val="22"/>
                <w:u w:val="single"/>
              </w:rPr>
              <w:t xml:space="preserve"> la operación normal de las oficinas. Desmejora en la prestación del servicio público. </w:t>
            </w:r>
          </w:p>
        </w:tc>
      </w:tr>
      <w:tr w:rsidR="00B15F7D" w:rsidRPr="00990FB6" w14:paraId="1600165B" w14:textId="77777777" w:rsidTr="000A0C22">
        <w:trPr>
          <w:trHeight w:val="580"/>
          <w:jc w:val="center"/>
        </w:trPr>
        <w:tc>
          <w:tcPr>
            <w:tcW w:w="583" w:type="pct"/>
            <w:hideMark/>
          </w:tcPr>
          <w:p w14:paraId="34DA3F7E"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33C28344"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48328DE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15393</w:t>
            </w:r>
          </w:p>
        </w:tc>
        <w:tc>
          <w:tcPr>
            <w:tcW w:w="1045" w:type="pct"/>
            <w:hideMark/>
          </w:tcPr>
          <w:p w14:paraId="567B050D" w14:textId="77777777" w:rsidR="00B15F7D" w:rsidRPr="00990FB6" w:rsidRDefault="00B15F7D" w:rsidP="00B15F7D">
            <w:pPr>
              <w:rPr>
                <w:sz w:val="22"/>
                <w:szCs w:val="22"/>
                <w:u w:val="single"/>
              </w:rPr>
            </w:pPr>
            <w:r w:rsidRPr="00990FB6">
              <w:rPr>
                <w:sz w:val="22"/>
                <w:szCs w:val="22"/>
                <w:u w:val="single"/>
              </w:rPr>
              <w:t>CORDON DE NYLON (250 METROS)</w:t>
            </w:r>
          </w:p>
        </w:tc>
        <w:tc>
          <w:tcPr>
            <w:tcW w:w="550" w:type="pct"/>
            <w:hideMark/>
          </w:tcPr>
          <w:p w14:paraId="487DA2A8" w14:textId="77777777" w:rsidR="00B15F7D" w:rsidRPr="00990FB6" w:rsidRDefault="00B15F7D" w:rsidP="00B15F7D">
            <w:pPr>
              <w:rPr>
                <w:sz w:val="22"/>
                <w:szCs w:val="22"/>
                <w:u w:val="single"/>
              </w:rPr>
            </w:pPr>
            <w:r w:rsidRPr="00990FB6">
              <w:rPr>
                <w:sz w:val="22"/>
                <w:szCs w:val="22"/>
                <w:u w:val="single"/>
              </w:rPr>
              <w:t>2.977.293,00</w:t>
            </w:r>
          </w:p>
        </w:tc>
        <w:tc>
          <w:tcPr>
            <w:tcW w:w="511" w:type="pct"/>
            <w:hideMark/>
          </w:tcPr>
          <w:p w14:paraId="16D5E63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6ECB38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1AF1D33" w14:textId="77777777" w:rsidR="00B15F7D" w:rsidRPr="00990FB6" w:rsidRDefault="00B15F7D" w:rsidP="00FC2DB5">
            <w:pPr>
              <w:jc w:val="both"/>
              <w:rPr>
                <w:sz w:val="22"/>
                <w:szCs w:val="22"/>
                <w:u w:val="single"/>
              </w:rPr>
            </w:pPr>
            <w:r w:rsidRPr="00990FB6">
              <w:rPr>
                <w:sz w:val="22"/>
                <w:szCs w:val="22"/>
                <w:u w:val="single"/>
              </w:rPr>
              <w:t xml:space="preserve">Se afecta el dotar a las oficinas de suministros necesarios para la atención de las distintas diligencias que se efectúan en las oficinas. </w:t>
            </w:r>
          </w:p>
        </w:tc>
      </w:tr>
      <w:tr w:rsidR="00B15F7D" w:rsidRPr="00990FB6" w14:paraId="39C37CA8" w14:textId="77777777" w:rsidTr="000A0C22">
        <w:trPr>
          <w:trHeight w:val="870"/>
          <w:jc w:val="center"/>
        </w:trPr>
        <w:tc>
          <w:tcPr>
            <w:tcW w:w="583" w:type="pct"/>
            <w:hideMark/>
          </w:tcPr>
          <w:p w14:paraId="1C6658F5"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1D6F75D0"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580778F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15502</w:t>
            </w:r>
          </w:p>
        </w:tc>
        <w:tc>
          <w:tcPr>
            <w:tcW w:w="1045" w:type="pct"/>
            <w:hideMark/>
          </w:tcPr>
          <w:p w14:paraId="31B9663E" w14:textId="77777777" w:rsidR="00B15F7D" w:rsidRPr="00990FB6" w:rsidRDefault="00B15F7D" w:rsidP="00B15F7D">
            <w:pPr>
              <w:rPr>
                <w:sz w:val="22"/>
                <w:szCs w:val="22"/>
                <w:u w:val="single"/>
              </w:rPr>
            </w:pPr>
            <w:r w:rsidRPr="00990FB6">
              <w:rPr>
                <w:sz w:val="22"/>
                <w:szCs w:val="22"/>
                <w:u w:val="single"/>
              </w:rPr>
              <w:t>LONA</w:t>
            </w:r>
          </w:p>
        </w:tc>
        <w:tc>
          <w:tcPr>
            <w:tcW w:w="550" w:type="pct"/>
            <w:hideMark/>
          </w:tcPr>
          <w:p w14:paraId="30941451" w14:textId="77777777" w:rsidR="00B15F7D" w:rsidRPr="00990FB6" w:rsidRDefault="00B15F7D" w:rsidP="00B15F7D">
            <w:pPr>
              <w:rPr>
                <w:sz w:val="22"/>
                <w:szCs w:val="22"/>
                <w:u w:val="single"/>
              </w:rPr>
            </w:pPr>
            <w:r w:rsidRPr="00990FB6">
              <w:rPr>
                <w:sz w:val="22"/>
                <w:szCs w:val="22"/>
                <w:u w:val="single"/>
              </w:rPr>
              <w:t>795.520,00</w:t>
            </w:r>
          </w:p>
        </w:tc>
        <w:tc>
          <w:tcPr>
            <w:tcW w:w="511" w:type="pct"/>
            <w:hideMark/>
          </w:tcPr>
          <w:p w14:paraId="3BDC3F5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B75E2B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4883E1B" w14:textId="77777777" w:rsidR="00B15F7D" w:rsidRPr="00990FB6" w:rsidRDefault="00B15F7D" w:rsidP="00FC2DB5">
            <w:pPr>
              <w:jc w:val="both"/>
              <w:rPr>
                <w:sz w:val="22"/>
                <w:szCs w:val="22"/>
                <w:u w:val="single"/>
              </w:rPr>
            </w:pPr>
            <w:r w:rsidRPr="00990FB6">
              <w:rPr>
                <w:sz w:val="22"/>
                <w:szCs w:val="22"/>
                <w:u w:val="single"/>
              </w:rPr>
              <w:t xml:space="preserve">No se podrá ejecutar la compra de lonas para las unidades de las fiscalías de Pérez Zeledón (CL303292), Cartago (CL 275110), Osa (CL307386), Limón (CL 321303) necesarias para la protección en el traslado de evidencias, activos, otros. </w:t>
            </w:r>
          </w:p>
        </w:tc>
      </w:tr>
      <w:tr w:rsidR="00B15F7D" w:rsidRPr="00990FB6" w14:paraId="08FFA486" w14:textId="77777777" w:rsidTr="000A0C22">
        <w:trPr>
          <w:trHeight w:val="580"/>
          <w:jc w:val="center"/>
        </w:trPr>
        <w:tc>
          <w:tcPr>
            <w:tcW w:w="583" w:type="pct"/>
            <w:hideMark/>
          </w:tcPr>
          <w:p w14:paraId="1B92139F"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4E078564"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119523E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15539</w:t>
            </w:r>
          </w:p>
        </w:tc>
        <w:tc>
          <w:tcPr>
            <w:tcW w:w="1045" w:type="pct"/>
            <w:hideMark/>
          </w:tcPr>
          <w:p w14:paraId="218DF3FC" w14:textId="77777777" w:rsidR="00B15F7D" w:rsidRPr="00990FB6" w:rsidRDefault="00B15F7D" w:rsidP="00B15F7D">
            <w:pPr>
              <w:rPr>
                <w:sz w:val="22"/>
                <w:szCs w:val="22"/>
                <w:u w:val="single"/>
              </w:rPr>
            </w:pPr>
            <w:r w:rsidRPr="00990FB6">
              <w:rPr>
                <w:sz w:val="22"/>
                <w:szCs w:val="22"/>
                <w:u w:val="single"/>
              </w:rPr>
              <w:t>CUBRE ASIENTO PARA AUTOMOVIL</w:t>
            </w:r>
          </w:p>
        </w:tc>
        <w:tc>
          <w:tcPr>
            <w:tcW w:w="550" w:type="pct"/>
            <w:hideMark/>
          </w:tcPr>
          <w:p w14:paraId="5DD5D972" w14:textId="77777777" w:rsidR="00B15F7D" w:rsidRPr="00990FB6" w:rsidRDefault="00B15F7D" w:rsidP="00B15F7D">
            <w:pPr>
              <w:rPr>
                <w:sz w:val="22"/>
                <w:szCs w:val="22"/>
                <w:u w:val="single"/>
              </w:rPr>
            </w:pPr>
            <w:r w:rsidRPr="00990FB6">
              <w:rPr>
                <w:sz w:val="22"/>
                <w:szCs w:val="22"/>
                <w:u w:val="single"/>
              </w:rPr>
              <w:t>361.600,00</w:t>
            </w:r>
          </w:p>
        </w:tc>
        <w:tc>
          <w:tcPr>
            <w:tcW w:w="511" w:type="pct"/>
            <w:hideMark/>
          </w:tcPr>
          <w:p w14:paraId="7003CE8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D16919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5DB4C01" w14:textId="77777777" w:rsidR="00B15F7D" w:rsidRPr="00990FB6" w:rsidRDefault="00B15F7D" w:rsidP="00FC2DB5">
            <w:pPr>
              <w:jc w:val="both"/>
              <w:rPr>
                <w:sz w:val="22"/>
                <w:szCs w:val="22"/>
                <w:u w:val="single"/>
              </w:rPr>
            </w:pPr>
            <w:r w:rsidRPr="00990FB6">
              <w:rPr>
                <w:sz w:val="22"/>
                <w:szCs w:val="22"/>
                <w:u w:val="single"/>
              </w:rPr>
              <w:t xml:space="preserve">No se podrá ejecutar la compra de </w:t>
            </w:r>
            <w:proofErr w:type="gramStart"/>
            <w:r w:rsidRPr="00990FB6">
              <w:rPr>
                <w:sz w:val="22"/>
                <w:szCs w:val="22"/>
                <w:u w:val="single"/>
              </w:rPr>
              <w:t xml:space="preserve">cubre </w:t>
            </w:r>
            <w:r w:rsidRPr="00990FB6">
              <w:rPr>
                <w:sz w:val="22"/>
                <w:szCs w:val="22"/>
                <w:u w:val="single"/>
              </w:rPr>
              <w:lastRenderedPageBreak/>
              <w:t>asiento</w:t>
            </w:r>
            <w:proofErr w:type="gramEnd"/>
            <w:r w:rsidRPr="00990FB6">
              <w:rPr>
                <w:sz w:val="22"/>
                <w:szCs w:val="22"/>
                <w:u w:val="single"/>
              </w:rPr>
              <w:t xml:space="preserve"> para la unidad de las fiscalía de Pérez Zeledón (CL303292) para el mantenimiento del vehículo. </w:t>
            </w:r>
          </w:p>
        </w:tc>
      </w:tr>
      <w:tr w:rsidR="00B15F7D" w:rsidRPr="00990FB6" w14:paraId="1D9C65D2" w14:textId="77777777" w:rsidTr="000A0C22">
        <w:trPr>
          <w:trHeight w:val="580"/>
          <w:jc w:val="center"/>
        </w:trPr>
        <w:tc>
          <w:tcPr>
            <w:tcW w:w="583" w:type="pct"/>
            <w:hideMark/>
          </w:tcPr>
          <w:p w14:paraId="52575A35" w14:textId="77777777" w:rsidR="00B15F7D" w:rsidRPr="00990FB6" w:rsidRDefault="00B15F7D" w:rsidP="00B15F7D">
            <w:pPr>
              <w:rPr>
                <w:sz w:val="22"/>
                <w:szCs w:val="22"/>
                <w:u w:val="single"/>
              </w:rPr>
            </w:pPr>
            <w:r w:rsidRPr="00990FB6">
              <w:rPr>
                <w:sz w:val="22"/>
                <w:szCs w:val="22"/>
                <w:u w:val="single"/>
              </w:rPr>
              <w:lastRenderedPageBreak/>
              <w:t>29904</w:t>
            </w:r>
          </w:p>
        </w:tc>
        <w:tc>
          <w:tcPr>
            <w:tcW w:w="578" w:type="pct"/>
            <w:hideMark/>
          </w:tcPr>
          <w:p w14:paraId="7C2C7F90"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5226AF1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21691</w:t>
            </w:r>
          </w:p>
        </w:tc>
        <w:tc>
          <w:tcPr>
            <w:tcW w:w="1045" w:type="pct"/>
            <w:hideMark/>
          </w:tcPr>
          <w:p w14:paraId="31192330" w14:textId="77777777" w:rsidR="00B15F7D" w:rsidRPr="00990FB6" w:rsidRDefault="00B15F7D" w:rsidP="00B15F7D">
            <w:pPr>
              <w:rPr>
                <w:sz w:val="22"/>
                <w:szCs w:val="22"/>
                <w:u w:val="single"/>
              </w:rPr>
            </w:pPr>
            <w:r w:rsidRPr="00990FB6">
              <w:rPr>
                <w:sz w:val="22"/>
                <w:szCs w:val="22"/>
                <w:u w:val="single"/>
              </w:rPr>
              <w:t>COBERTOR PARA CAJON DE VEHICULOS</w:t>
            </w:r>
          </w:p>
        </w:tc>
        <w:tc>
          <w:tcPr>
            <w:tcW w:w="550" w:type="pct"/>
            <w:hideMark/>
          </w:tcPr>
          <w:p w14:paraId="2C67A3A2" w14:textId="77777777" w:rsidR="00B15F7D" w:rsidRPr="00990FB6" w:rsidRDefault="00B15F7D" w:rsidP="00B15F7D">
            <w:pPr>
              <w:rPr>
                <w:sz w:val="22"/>
                <w:szCs w:val="22"/>
                <w:u w:val="single"/>
              </w:rPr>
            </w:pPr>
            <w:r w:rsidRPr="00990FB6">
              <w:rPr>
                <w:sz w:val="22"/>
                <w:szCs w:val="22"/>
                <w:u w:val="single"/>
              </w:rPr>
              <w:t>840.060,00</w:t>
            </w:r>
          </w:p>
        </w:tc>
        <w:tc>
          <w:tcPr>
            <w:tcW w:w="511" w:type="pct"/>
            <w:hideMark/>
          </w:tcPr>
          <w:p w14:paraId="1EFD445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534545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3945C0D" w14:textId="77777777" w:rsidR="00B15F7D" w:rsidRPr="00990FB6" w:rsidRDefault="00B15F7D" w:rsidP="00FC2DB5">
            <w:pPr>
              <w:jc w:val="both"/>
              <w:rPr>
                <w:sz w:val="22"/>
                <w:szCs w:val="22"/>
                <w:u w:val="single"/>
              </w:rPr>
            </w:pPr>
            <w:r w:rsidRPr="00990FB6">
              <w:rPr>
                <w:sz w:val="22"/>
                <w:szCs w:val="22"/>
                <w:u w:val="single"/>
              </w:rPr>
              <w:t>No se podrá ejecutar la compra de cobertor para la unidad de la fiscalía de Alajuela (CL275373</w:t>
            </w:r>
            <w:proofErr w:type="gramStart"/>
            <w:r w:rsidRPr="00990FB6">
              <w:rPr>
                <w:sz w:val="22"/>
                <w:szCs w:val="22"/>
                <w:u w:val="single"/>
              </w:rPr>
              <w:t>)  necesario</w:t>
            </w:r>
            <w:proofErr w:type="gramEnd"/>
            <w:r w:rsidRPr="00990FB6">
              <w:rPr>
                <w:sz w:val="22"/>
                <w:szCs w:val="22"/>
                <w:u w:val="single"/>
              </w:rPr>
              <w:t xml:space="preserve"> para la protección en el traslado de evidencias, activos, otros. </w:t>
            </w:r>
          </w:p>
        </w:tc>
      </w:tr>
      <w:tr w:rsidR="00B15F7D" w:rsidRPr="00990FB6" w14:paraId="021EC7F0" w14:textId="77777777" w:rsidTr="000A0C22">
        <w:trPr>
          <w:trHeight w:val="290"/>
          <w:jc w:val="center"/>
        </w:trPr>
        <w:tc>
          <w:tcPr>
            <w:tcW w:w="583" w:type="pct"/>
            <w:hideMark/>
          </w:tcPr>
          <w:p w14:paraId="13FAEFF3"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1CD3FBC5"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0B6E7AC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24435</w:t>
            </w:r>
          </w:p>
        </w:tc>
        <w:tc>
          <w:tcPr>
            <w:tcW w:w="1045" w:type="pct"/>
            <w:hideMark/>
          </w:tcPr>
          <w:p w14:paraId="2868DF57" w14:textId="77777777" w:rsidR="00B15F7D" w:rsidRPr="00990FB6" w:rsidRDefault="00B15F7D" w:rsidP="00B15F7D">
            <w:pPr>
              <w:rPr>
                <w:sz w:val="22"/>
                <w:szCs w:val="22"/>
                <w:u w:val="single"/>
              </w:rPr>
            </w:pPr>
            <w:r w:rsidRPr="00990FB6">
              <w:rPr>
                <w:sz w:val="22"/>
                <w:szCs w:val="22"/>
                <w:u w:val="single"/>
              </w:rPr>
              <w:t>PROTECTORES FEMENINOS (DIARIOS)</w:t>
            </w:r>
          </w:p>
        </w:tc>
        <w:tc>
          <w:tcPr>
            <w:tcW w:w="550" w:type="pct"/>
            <w:hideMark/>
          </w:tcPr>
          <w:p w14:paraId="5A4CC52D" w14:textId="77777777" w:rsidR="00B15F7D" w:rsidRPr="00990FB6" w:rsidRDefault="00B15F7D" w:rsidP="00B15F7D">
            <w:pPr>
              <w:rPr>
                <w:sz w:val="22"/>
                <w:szCs w:val="22"/>
                <w:u w:val="single"/>
              </w:rPr>
            </w:pPr>
            <w:r w:rsidRPr="00990FB6">
              <w:rPr>
                <w:sz w:val="22"/>
                <w:szCs w:val="22"/>
                <w:u w:val="single"/>
              </w:rPr>
              <w:t>6.780,00</w:t>
            </w:r>
          </w:p>
        </w:tc>
        <w:tc>
          <w:tcPr>
            <w:tcW w:w="511" w:type="pct"/>
            <w:hideMark/>
          </w:tcPr>
          <w:p w14:paraId="4E352E8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945FEE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D51B1CD"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563A19FA" w14:textId="77777777" w:rsidTr="000A0C22">
        <w:trPr>
          <w:trHeight w:val="290"/>
          <w:jc w:val="center"/>
        </w:trPr>
        <w:tc>
          <w:tcPr>
            <w:tcW w:w="583" w:type="pct"/>
            <w:hideMark/>
          </w:tcPr>
          <w:p w14:paraId="71E8FA15"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11CEE4CE"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492C6FE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15395</w:t>
            </w:r>
          </w:p>
        </w:tc>
        <w:tc>
          <w:tcPr>
            <w:tcW w:w="1045" w:type="pct"/>
            <w:hideMark/>
          </w:tcPr>
          <w:p w14:paraId="48CDCC2E" w14:textId="77777777" w:rsidR="00B15F7D" w:rsidRPr="00990FB6" w:rsidRDefault="00B15F7D" w:rsidP="00B15F7D">
            <w:pPr>
              <w:rPr>
                <w:sz w:val="22"/>
                <w:szCs w:val="22"/>
                <w:u w:val="single"/>
              </w:rPr>
            </w:pPr>
            <w:r w:rsidRPr="00990FB6">
              <w:rPr>
                <w:sz w:val="22"/>
                <w:szCs w:val="22"/>
                <w:u w:val="single"/>
              </w:rPr>
              <w:t xml:space="preserve">MECATE </w:t>
            </w:r>
          </w:p>
        </w:tc>
        <w:tc>
          <w:tcPr>
            <w:tcW w:w="550" w:type="pct"/>
            <w:hideMark/>
          </w:tcPr>
          <w:p w14:paraId="1A1EE3B2" w14:textId="77777777" w:rsidR="00B15F7D" w:rsidRPr="00990FB6" w:rsidRDefault="00B15F7D" w:rsidP="00B15F7D">
            <w:pPr>
              <w:rPr>
                <w:sz w:val="22"/>
                <w:szCs w:val="22"/>
                <w:u w:val="single"/>
              </w:rPr>
            </w:pPr>
            <w:r w:rsidRPr="00990FB6">
              <w:rPr>
                <w:sz w:val="22"/>
                <w:szCs w:val="22"/>
                <w:u w:val="single"/>
              </w:rPr>
              <w:t>23.163,00</w:t>
            </w:r>
          </w:p>
        </w:tc>
        <w:tc>
          <w:tcPr>
            <w:tcW w:w="511" w:type="pct"/>
            <w:noWrap/>
            <w:hideMark/>
          </w:tcPr>
          <w:p w14:paraId="2E11D51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D29B53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41AE117"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0AE36C96" w14:textId="77777777" w:rsidTr="000A0C22">
        <w:trPr>
          <w:trHeight w:val="290"/>
          <w:jc w:val="center"/>
        </w:trPr>
        <w:tc>
          <w:tcPr>
            <w:tcW w:w="583" w:type="pct"/>
            <w:hideMark/>
          </w:tcPr>
          <w:p w14:paraId="0E0377DF"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361A56A4"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2B7AA6F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15397</w:t>
            </w:r>
          </w:p>
        </w:tc>
        <w:tc>
          <w:tcPr>
            <w:tcW w:w="1045" w:type="pct"/>
            <w:hideMark/>
          </w:tcPr>
          <w:p w14:paraId="1B65612D" w14:textId="77777777" w:rsidR="00B15F7D" w:rsidRPr="00990FB6" w:rsidRDefault="00B15F7D" w:rsidP="00B15F7D">
            <w:pPr>
              <w:rPr>
                <w:sz w:val="22"/>
                <w:szCs w:val="22"/>
                <w:u w:val="single"/>
              </w:rPr>
            </w:pPr>
            <w:r w:rsidRPr="00990FB6">
              <w:rPr>
                <w:sz w:val="22"/>
                <w:szCs w:val="22"/>
                <w:u w:val="single"/>
              </w:rPr>
              <w:t>BANDERA NAL COSTA RICA EN LINETA</w:t>
            </w:r>
          </w:p>
        </w:tc>
        <w:tc>
          <w:tcPr>
            <w:tcW w:w="550" w:type="pct"/>
            <w:hideMark/>
          </w:tcPr>
          <w:p w14:paraId="1B4DBB57" w14:textId="77777777" w:rsidR="00B15F7D" w:rsidRPr="00990FB6" w:rsidRDefault="00B15F7D" w:rsidP="00B15F7D">
            <w:pPr>
              <w:rPr>
                <w:sz w:val="22"/>
                <w:szCs w:val="22"/>
                <w:u w:val="single"/>
              </w:rPr>
            </w:pPr>
            <w:r w:rsidRPr="00990FB6">
              <w:rPr>
                <w:sz w:val="22"/>
                <w:szCs w:val="22"/>
                <w:u w:val="single"/>
              </w:rPr>
              <w:t>90.400,00</w:t>
            </w:r>
          </w:p>
        </w:tc>
        <w:tc>
          <w:tcPr>
            <w:tcW w:w="511" w:type="pct"/>
            <w:noWrap/>
            <w:hideMark/>
          </w:tcPr>
          <w:p w14:paraId="1018B0B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E40AB4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1F7CF96"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5374C6F5" w14:textId="77777777" w:rsidTr="000A0C22">
        <w:trPr>
          <w:trHeight w:val="1160"/>
          <w:jc w:val="center"/>
        </w:trPr>
        <w:tc>
          <w:tcPr>
            <w:tcW w:w="583" w:type="pct"/>
            <w:hideMark/>
          </w:tcPr>
          <w:p w14:paraId="51C967B8"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369CE4A5"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3BFC6FE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15411</w:t>
            </w:r>
          </w:p>
        </w:tc>
        <w:tc>
          <w:tcPr>
            <w:tcW w:w="1045" w:type="pct"/>
            <w:hideMark/>
          </w:tcPr>
          <w:p w14:paraId="5E5CA75C" w14:textId="77777777" w:rsidR="00B15F7D" w:rsidRPr="00990FB6" w:rsidRDefault="00B15F7D" w:rsidP="00B15F7D">
            <w:pPr>
              <w:rPr>
                <w:sz w:val="22"/>
                <w:szCs w:val="22"/>
                <w:u w:val="single"/>
              </w:rPr>
            </w:pPr>
            <w:r w:rsidRPr="00990FB6">
              <w:rPr>
                <w:sz w:val="22"/>
                <w:szCs w:val="22"/>
                <w:u w:val="single"/>
              </w:rPr>
              <w:t>CAPA MOTOCICLISTA</w:t>
            </w:r>
          </w:p>
        </w:tc>
        <w:tc>
          <w:tcPr>
            <w:tcW w:w="550" w:type="pct"/>
            <w:hideMark/>
          </w:tcPr>
          <w:p w14:paraId="238D5D19" w14:textId="77777777" w:rsidR="00B15F7D" w:rsidRPr="00990FB6" w:rsidRDefault="00B15F7D" w:rsidP="00B15F7D">
            <w:pPr>
              <w:rPr>
                <w:sz w:val="22"/>
                <w:szCs w:val="22"/>
                <w:u w:val="single"/>
              </w:rPr>
            </w:pPr>
            <w:r w:rsidRPr="00990FB6">
              <w:rPr>
                <w:sz w:val="22"/>
                <w:szCs w:val="22"/>
                <w:u w:val="single"/>
              </w:rPr>
              <w:t>44.070,00</w:t>
            </w:r>
          </w:p>
        </w:tc>
        <w:tc>
          <w:tcPr>
            <w:tcW w:w="511" w:type="pct"/>
            <w:noWrap/>
            <w:hideMark/>
          </w:tcPr>
          <w:p w14:paraId="0139586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0015CD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F53230F" w14:textId="77777777" w:rsidR="00B15F7D" w:rsidRPr="00990FB6" w:rsidRDefault="00B15F7D" w:rsidP="00FC2DB5">
            <w:pPr>
              <w:jc w:val="both"/>
              <w:rPr>
                <w:sz w:val="22"/>
                <w:szCs w:val="22"/>
                <w:u w:val="single"/>
              </w:rPr>
            </w:pPr>
            <w:r w:rsidRPr="00990FB6">
              <w:rPr>
                <w:sz w:val="22"/>
                <w:szCs w:val="22"/>
                <w:u w:val="single"/>
              </w:rPr>
              <w:t xml:space="preserve">Desmejora de condiciones de trabajo del personal. Se sacrifica la totalidad de </w:t>
            </w:r>
            <w:proofErr w:type="gramStart"/>
            <w:r w:rsidRPr="00990FB6">
              <w:rPr>
                <w:sz w:val="22"/>
                <w:szCs w:val="22"/>
                <w:u w:val="single"/>
              </w:rPr>
              <w:t>los  recursos</w:t>
            </w:r>
            <w:proofErr w:type="gramEnd"/>
            <w:r w:rsidRPr="00990FB6">
              <w:rPr>
                <w:sz w:val="22"/>
                <w:szCs w:val="22"/>
                <w:u w:val="single"/>
              </w:rPr>
              <w:t xml:space="preserve"> formulados  en presupuesto para la </w:t>
            </w:r>
            <w:r w:rsidRPr="00990FB6">
              <w:rPr>
                <w:sz w:val="22"/>
                <w:szCs w:val="22"/>
                <w:u w:val="single"/>
              </w:rPr>
              <w:lastRenderedPageBreak/>
              <w:t xml:space="preserve">adquisición de capa y botas para uso del personal de localización de la Fiscalía de Tarrazú, necesaria para su protección y ejecución de funciones en temporada de invierno. </w:t>
            </w:r>
          </w:p>
        </w:tc>
      </w:tr>
      <w:tr w:rsidR="00B15F7D" w:rsidRPr="00990FB6" w14:paraId="5BE1815C" w14:textId="77777777" w:rsidTr="000A0C22">
        <w:trPr>
          <w:trHeight w:val="1160"/>
          <w:jc w:val="center"/>
        </w:trPr>
        <w:tc>
          <w:tcPr>
            <w:tcW w:w="583" w:type="pct"/>
            <w:hideMark/>
          </w:tcPr>
          <w:p w14:paraId="420198A8" w14:textId="77777777" w:rsidR="00B15F7D" w:rsidRPr="00990FB6" w:rsidRDefault="00B15F7D" w:rsidP="00B15F7D">
            <w:pPr>
              <w:rPr>
                <w:sz w:val="22"/>
                <w:szCs w:val="22"/>
                <w:u w:val="single"/>
              </w:rPr>
            </w:pPr>
            <w:r w:rsidRPr="00990FB6">
              <w:rPr>
                <w:sz w:val="22"/>
                <w:szCs w:val="22"/>
                <w:u w:val="single"/>
              </w:rPr>
              <w:lastRenderedPageBreak/>
              <w:t>29904</w:t>
            </w:r>
          </w:p>
        </w:tc>
        <w:tc>
          <w:tcPr>
            <w:tcW w:w="578" w:type="pct"/>
            <w:hideMark/>
          </w:tcPr>
          <w:p w14:paraId="524A398D"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048EABD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15545</w:t>
            </w:r>
          </w:p>
        </w:tc>
        <w:tc>
          <w:tcPr>
            <w:tcW w:w="1045" w:type="pct"/>
            <w:hideMark/>
          </w:tcPr>
          <w:p w14:paraId="70642EB9" w14:textId="77777777" w:rsidR="00B15F7D" w:rsidRPr="00990FB6" w:rsidRDefault="00B15F7D" w:rsidP="00B15F7D">
            <w:pPr>
              <w:rPr>
                <w:sz w:val="22"/>
                <w:szCs w:val="22"/>
                <w:u w:val="single"/>
              </w:rPr>
            </w:pPr>
            <w:r w:rsidRPr="00990FB6">
              <w:rPr>
                <w:sz w:val="22"/>
                <w:szCs w:val="22"/>
                <w:u w:val="single"/>
              </w:rPr>
              <w:t>BOTA DE HULE</w:t>
            </w:r>
          </w:p>
        </w:tc>
        <w:tc>
          <w:tcPr>
            <w:tcW w:w="550" w:type="pct"/>
            <w:hideMark/>
          </w:tcPr>
          <w:p w14:paraId="4E616F8F" w14:textId="77777777" w:rsidR="00B15F7D" w:rsidRPr="00990FB6" w:rsidRDefault="00B15F7D" w:rsidP="00B15F7D">
            <w:pPr>
              <w:rPr>
                <w:sz w:val="22"/>
                <w:szCs w:val="22"/>
                <w:u w:val="single"/>
              </w:rPr>
            </w:pPr>
            <w:r w:rsidRPr="00990FB6">
              <w:rPr>
                <w:sz w:val="22"/>
                <w:szCs w:val="22"/>
                <w:u w:val="single"/>
              </w:rPr>
              <w:t>37.219,00</w:t>
            </w:r>
          </w:p>
        </w:tc>
        <w:tc>
          <w:tcPr>
            <w:tcW w:w="511" w:type="pct"/>
            <w:noWrap/>
            <w:hideMark/>
          </w:tcPr>
          <w:p w14:paraId="0B01A0A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87C3EF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1887AF3" w14:textId="77777777" w:rsidR="00B15F7D" w:rsidRPr="00990FB6" w:rsidRDefault="00B15F7D" w:rsidP="00FC2DB5">
            <w:pPr>
              <w:jc w:val="both"/>
              <w:rPr>
                <w:sz w:val="22"/>
                <w:szCs w:val="22"/>
                <w:u w:val="single"/>
              </w:rPr>
            </w:pPr>
            <w:r w:rsidRPr="00990FB6">
              <w:rPr>
                <w:sz w:val="22"/>
                <w:szCs w:val="22"/>
                <w:u w:val="single"/>
              </w:rPr>
              <w:t xml:space="preserve">Desmejora de condiciones de trabajo del personal. Se sacrifica la totalidad de </w:t>
            </w:r>
            <w:proofErr w:type="gramStart"/>
            <w:r w:rsidRPr="00990FB6">
              <w:rPr>
                <w:sz w:val="22"/>
                <w:szCs w:val="22"/>
                <w:u w:val="single"/>
              </w:rPr>
              <w:t>los  recursos</w:t>
            </w:r>
            <w:proofErr w:type="gramEnd"/>
            <w:r w:rsidRPr="00990FB6">
              <w:rPr>
                <w:sz w:val="22"/>
                <w:szCs w:val="22"/>
                <w:u w:val="single"/>
              </w:rPr>
              <w:t xml:space="preserve"> formulados  en presupuesto para la adquisición de capa y botas para uso del personal de localización de la Fiscalía de Tarrazú, necesaria para su protección y ejecución de funciones en temporada de invierno. </w:t>
            </w:r>
          </w:p>
        </w:tc>
      </w:tr>
      <w:tr w:rsidR="00B15F7D" w:rsidRPr="00990FB6" w14:paraId="749DE05F" w14:textId="77777777" w:rsidTr="000A0C22">
        <w:trPr>
          <w:trHeight w:val="290"/>
          <w:jc w:val="center"/>
        </w:trPr>
        <w:tc>
          <w:tcPr>
            <w:tcW w:w="583" w:type="pct"/>
            <w:hideMark/>
          </w:tcPr>
          <w:p w14:paraId="752C9264"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49F8FCB7"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7003D20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18315</w:t>
            </w:r>
          </w:p>
        </w:tc>
        <w:tc>
          <w:tcPr>
            <w:tcW w:w="1045" w:type="pct"/>
            <w:hideMark/>
          </w:tcPr>
          <w:p w14:paraId="5D9CE5FA" w14:textId="77777777" w:rsidR="00B15F7D" w:rsidRPr="00990FB6" w:rsidRDefault="00B15F7D" w:rsidP="00B15F7D">
            <w:pPr>
              <w:rPr>
                <w:sz w:val="22"/>
                <w:szCs w:val="22"/>
                <w:u w:val="single"/>
              </w:rPr>
            </w:pPr>
            <w:r w:rsidRPr="00990FB6">
              <w:rPr>
                <w:sz w:val="22"/>
                <w:szCs w:val="22"/>
                <w:u w:val="single"/>
              </w:rPr>
              <w:t>FELPA PARA CEPILLO</w:t>
            </w:r>
          </w:p>
        </w:tc>
        <w:tc>
          <w:tcPr>
            <w:tcW w:w="550" w:type="pct"/>
            <w:hideMark/>
          </w:tcPr>
          <w:p w14:paraId="672F91D7" w14:textId="77777777" w:rsidR="00B15F7D" w:rsidRPr="00990FB6" w:rsidRDefault="00B15F7D" w:rsidP="00B15F7D">
            <w:pPr>
              <w:rPr>
                <w:sz w:val="22"/>
                <w:szCs w:val="22"/>
                <w:u w:val="single"/>
              </w:rPr>
            </w:pPr>
            <w:r w:rsidRPr="00990FB6">
              <w:rPr>
                <w:sz w:val="22"/>
                <w:szCs w:val="22"/>
                <w:u w:val="single"/>
              </w:rPr>
              <w:t>45.200,00</w:t>
            </w:r>
          </w:p>
        </w:tc>
        <w:tc>
          <w:tcPr>
            <w:tcW w:w="511" w:type="pct"/>
            <w:noWrap/>
            <w:hideMark/>
          </w:tcPr>
          <w:p w14:paraId="26FAE62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25B77F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A1577B4"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1D583FD2" w14:textId="77777777" w:rsidTr="000A0C22">
        <w:trPr>
          <w:trHeight w:val="290"/>
          <w:jc w:val="center"/>
        </w:trPr>
        <w:tc>
          <w:tcPr>
            <w:tcW w:w="583" w:type="pct"/>
            <w:hideMark/>
          </w:tcPr>
          <w:p w14:paraId="67B5A53F" w14:textId="77777777" w:rsidR="00B15F7D" w:rsidRPr="00990FB6" w:rsidRDefault="00B15F7D" w:rsidP="00B15F7D">
            <w:pPr>
              <w:rPr>
                <w:sz w:val="22"/>
                <w:szCs w:val="22"/>
                <w:u w:val="single"/>
              </w:rPr>
            </w:pPr>
            <w:r w:rsidRPr="00990FB6">
              <w:rPr>
                <w:sz w:val="22"/>
                <w:szCs w:val="22"/>
                <w:u w:val="single"/>
              </w:rPr>
              <w:lastRenderedPageBreak/>
              <w:t>29904</w:t>
            </w:r>
          </w:p>
        </w:tc>
        <w:tc>
          <w:tcPr>
            <w:tcW w:w="578" w:type="pct"/>
            <w:hideMark/>
          </w:tcPr>
          <w:p w14:paraId="3E913F79"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653CD9C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22399</w:t>
            </w:r>
          </w:p>
        </w:tc>
        <w:tc>
          <w:tcPr>
            <w:tcW w:w="1045" w:type="pct"/>
            <w:hideMark/>
          </w:tcPr>
          <w:p w14:paraId="6A7B7272" w14:textId="77777777" w:rsidR="00B15F7D" w:rsidRPr="00990FB6" w:rsidRDefault="00B15F7D" w:rsidP="00B15F7D">
            <w:pPr>
              <w:rPr>
                <w:sz w:val="22"/>
                <w:szCs w:val="22"/>
                <w:u w:val="single"/>
              </w:rPr>
            </w:pPr>
            <w:r w:rsidRPr="00990FB6">
              <w:rPr>
                <w:sz w:val="22"/>
                <w:szCs w:val="22"/>
                <w:u w:val="single"/>
              </w:rPr>
              <w:t>BANDERA PARA EXTERIORES</w:t>
            </w:r>
          </w:p>
        </w:tc>
        <w:tc>
          <w:tcPr>
            <w:tcW w:w="550" w:type="pct"/>
            <w:hideMark/>
          </w:tcPr>
          <w:p w14:paraId="1CE26060" w14:textId="77777777" w:rsidR="00B15F7D" w:rsidRPr="00990FB6" w:rsidRDefault="00B15F7D" w:rsidP="00B15F7D">
            <w:pPr>
              <w:rPr>
                <w:sz w:val="22"/>
                <w:szCs w:val="22"/>
                <w:u w:val="single"/>
              </w:rPr>
            </w:pPr>
            <w:r w:rsidRPr="00990FB6">
              <w:rPr>
                <w:sz w:val="22"/>
                <w:szCs w:val="22"/>
                <w:u w:val="single"/>
              </w:rPr>
              <w:t>43.731,00</w:t>
            </w:r>
          </w:p>
        </w:tc>
        <w:tc>
          <w:tcPr>
            <w:tcW w:w="511" w:type="pct"/>
            <w:noWrap/>
            <w:hideMark/>
          </w:tcPr>
          <w:p w14:paraId="3397F80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811E98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2388523"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5A95F8F2" w14:textId="77777777" w:rsidTr="000A0C22">
        <w:trPr>
          <w:trHeight w:val="290"/>
          <w:jc w:val="center"/>
        </w:trPr>
        <w:tc>
          <w:tcPr>
            <w:tcW w:w="583" w:type="pct"/>
            <w:hideMark/>
          </w:tcPr>
          <w:p w14:paraId="5D95264A" w14:textId="77777777" w:rsidR="00B15F7D" w:rsidRPr="00990FB6" w:rsidRDefault="00B15F7D" w:rsidP="00B15F7D">
            <w:pPr>
              <w:rPr>
                <w:sz w:val="22"/>
                <w:szCs w:val="22"/>
                <w:u w:val="single"/>
              </w:rPr>
            </w:pPr>
            <w:r w:rsidRPr="00990FB6">
              <w:rPr>
                <w:sz w:val="22"/>
                <w:szCs w:val="22"/>
                <w:u w:val="single"/>
              </w:rPr>
              <w:t>29904</w:t>
            </w:r>
          </w:p>
        </w:tc>
        <w:tc>
          <w:tcPr>
            <w:tcW w:w="578" w:type="pct"/>
            <w:hideMark/>
          </w:tcPr>
          <w:p w14:paraId="3DEADE44" w14:textId="77777777" w:rsidR="00B15F7D" w:rsidRPr="00990FB6" w:rsidRDefault="00B15F7D" w:rsidP="00B15F7D">
            <w:pPr>
              <w:rPr>
                <w:sz w:val="22"/>
                <w:szCs w:val="22"/>
                <w:u w:val="single"/>
              </w:rPr>
            </w:pPr>
            <w:r w:rsidRPr="00990FB6">
              <w:rPr>
                <w:sz w:val="22"/>
                <w:szCs w:val="22"/>
                <w:u w:val="single"/>
              </w:rPr>
              <w:t>Textiles y vestuario</w:t>
            </w:r>
          </w:p>
        </w:tc>
        <w:tc>
          <w:tcPr>
            <w:tcW w:w="363" w:type="pct"/>
            <w:hideMark/>
          </w:tcPr>
          <w:p w14:paraId="765DBA6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24411</w:t>
            </w:r>
          </w:p>
        </w:tc>
        <w:tc>
          <w:tcPr>
            <w:tcW w:w="1045" w:type="pct"/>
            <w:hideMark/>
          </w:tcPr>
          <w:p w14:paraId="04C6051A" w14:textId="77777777" w:rsidR="00B15F7D" w:rsidRPr="00990FB6" w:rsidRDefault="00B15F7D" w:rsidP="00B15F7D">
            <w:pPr>
              <w:rPr>
                <w:sz w:val="22"/>
                <w:szCs w:val="22"/>
                <w:u w:val="single"/>
              </w:rPr>
            </w:pPr>
            <w:r w:rsidRPr="00990FB6">
              <w:rPr>
                <w:sz w:val="22"/>
                <w:szCs w:val="22"/>
                <w:u w:val="single"/>
              </w:rPr>
              <w:t>BANDERA PARA INTERIORES</w:t>
            </w:r>
          </w:p>
        </w:tc>
        <w:tc>
          <w:tcPr>
            <w:tcW w:w="550" w:type="pct"/>
            <w:hideMark/>
          </w:tcPr>
          <w:p w14:paraId="3BBE62BB" w14:textId="77777777" w:rsidR="00B15F7D" w:rsidRPr="00990FB6" w:rsidRDefault="00B15F7D" w:rsidP="00B15F7D">
            <w:pPr>
              <w:rPr>
                <w:sz w:val="22"/>
                <w:szCs w:val="22"/>
                <w:u w:val="single"/>
              </w:rPr>
            </w:pPr>
            <w:r w:rsidRPr="00990FB6">
              <w:rPr>
                <w:sz w:val="22"/>
                <w:szCs w:val="22"/>
                <w:u w:val="single"/>
              </w:rPr>
              <w:t>99.119,00</w:t>
            </w:r>
          </w:p>
        </w:tc>
        <w:tc>
          <w:tcPr>
            <w:tcW w:w="511" w:type="pct"/>
            <w:noWrap/>
            <w:hideMark/>
          </w:tcPr>
          <w:p w14:paraId="11DE60D3"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B353DA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48B99BE"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744EA591" w14:textId="77777777" w:rsidTr="000A0C22">
        <w:trPr>
          <w:trHeight w:val="580"/>
          <w:jc w:val="center"/>
        </w:trPr>
        <w:tc>
          <w:tcPr>
            <w:tcW w:w="583" w:type="pct"/>
            <w:hideMark/>
          </w:tcPr>
          <w:p w14:paraId="467C3D78"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274F1177"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1F5DD92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15628</w:t>
            </w:r>
          </w:p>
        </w:tc>
        <w:tc>
          <w:tcPr>
            <w:tcW w:w="1045" w:type="pct"/>
            <w:hideMark/>
          </w:tcPr>
          <w:p w14:paraId="6E605541" w14:textId="77777777" w:rsidR="00B15F7D" w:rsidRPr="00990FB6" w:rsidRDefault="00B15F7D" w:rsidP="00B15F7D">
            <w:pPr>
              <w:rPr>
                <w:sz w:val="22"/>
                <w:szCs w:val="22"/>
                <w:u w:val="single"/>
              </w:rPr>
            </w:pPr>
            <w:r w:rsidRPr="00990FB6">
              <w:rPr>
                <w:sz w:val="22"/>
                <w:szCs w:val="22"/>
                <w:u w:val="single"/>
              </w:rPr>
              <w:t>CERA LIQ. MOSAICO, GALON</w:t>
            </w:r>
          </w:p>
        </w:tc>
        <w:tc>
          <w:tcPr>
            <w:tcW w:w="550" w:type="pct"/>
            <w:hideMark/>
          </w:tcPr>
          <w:p w14:paraId="00B37F46" w14:textId="77777777" w:rsidR="00B15F7D" w:rsidRPr="00990FB6" w:rsidRDefault="00B15F7D" w:rsidP="00B15F7D">
            <w:pPr>
              <w:rPr>
                <w:sz w:val="22"/>
                <w:szCs w:val="22"/>
                <w:u w:val="single"/>
              </w:rPr>
            </w:pPr>
            <w:r w:rsidRPr="00990FB6">
              <w:rPr>
                <w:sz w:val="22"/>
                <w:szCs w:val="22"/>
                <w:u w:val="single"/>
              </w:rPr>
              <w:t>392.318,00</w:t>
            </w:r>
          </w:p>
        </w:tc>
        <w:tc>
          <w:tcPr>
            <w:tcW w:w="511" w:type="pct"/>
            <w:hideMark/>
          </w:tcPr>
          <w:p w14:paraId="0126603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84527B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0129799"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50EDB96B" w14:textId="77777777" w:rsidTr="000A0C22">
        <w:trPr>
          <w:trHeight w:val="580"/>
          <w:jc w:val="center"/>
        </w:trPr>
        <w:tc>
          <w:tcPr>
            <w:tcW w:w="583" w:type="pct"/>
            <w:hideMark/>
          </w:tcPr>
          <w:p w14:paraId="0832957A"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179D2F15"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0423F03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15630</w:t>
            </w:r>
          </w:p>
        </w:tc>
        <w:tc>
          <w:tcPr>
            <w:tcW w:w="1045" w:type="pct"/>
            <w:hideMark/>
          </w:tcPr>
          <w:p w14:paraId="71C3B25D" w14:textId="77777777" w:rsidR="00B15F7D" w:rsidRPr="00990FB6" w:rsidRDefault="00B15F7D" w:rsidP="00B15F7D">
            <w:pPr>
              <w:rPr>
                <w:sz w:val="22"/>
                <w:szCs w:val="22"/>
                <w:u w:val="single"/>
              </w:rPr>
            </w:pPr>
            <w:r w:rsidRPr="00990FB6">
              <w:rPr>
                <w:sz w:val="22"/>
                <w:szCs w:val="22"/>
                <w:u w:val="single"/>
              </w:rPr>
              <w:t>LIMPIA VIDRIOS</w:t>
            </w:r>
          </w:p>
        </w:tc>
        <w:tc>
          <w:tcPr>
            <w:tcW w:w="550" w:type="pct"/>
            <w:hideMark/>
          </w:tcPr>
          <w:p w14:paraId="7B9E9D0E" w14:textId="77777777" w:rsidR="00B15F7D" w:rsidRPr="00990FB6" w:rsidRDefault="00B15F7D" w:rsidP="00B15F7D">
            <w:pPr>
              <w:rPr>
                <w:sz w:val="22"/>
                <w:szCs w:val="22"/>
                <w:u w:val="single"/>
              </w:rPr>
            </w:pPr>
            <w:r w:rsidRPr="00990FB6">
              <w:rPr>
                <w:sz w:val="22"/>
                <w:szCs w:val="22"/>
                <w:u w:val="single"/>
              </w:rPr>
              <w:t>203.922,00</w:t>
            </w:r>
          </w:p>
        </w:tc>
        <w:tc>
          <w:tcPr>
            <w:tcW w:w="511" w:type="pct"/>
            <w:hideMark/>
          </w:tcPr>
          <w:p w14:paraId="0EFC2B4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B15331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7569DB9"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313CA6B2" w14:textId="77777777" w:rsidTr="000A0C22">
        <w:trPr>
          <w:trHeight w:val="580"/>
          <w:jc w:val="center"/>
        </w:trPr>
        <w:tc>
          <w:tcPr>
            <w:tcW w:w="583" w:type="pct"/>
            <w:hideMark/>
          </w:tcPr>
          <w:p w14:paraId="4AEF1769"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5161F34E"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35BFE13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15631</w:t>
            </w:r>
          </w:p>
        </w:tc>
        <w:tc>
          <w:tcPr>
            <w:tcW w:w="1045" w:type="pct"/>
            <w:hideMark/>
          </w:tcPr>
          <w:p w14:paraId="1D2FA159" w14:textId="77777777" w:rsidR="00B15F7D" w:rsidRPr="00990FB6" w:rsidRDefault="00B15F7D" w:rsidP="00B15F7D">
            <w:pPr>
              <w:rPr>
                <w:sz w:val="22"/>
                <w:szCs w:val="22"/>
                <w:u w:val="single"/>
              </w:rPr>
            </w:pPr>
            <w:r w:rsidRPr="00990FB6">
              <w:rPr>
                <w:sz w:val="22"/>
                <w:szCs w:val="22"/>
                <w:u w:val="single"/>
              </w:rPr>
              <w:t>DESINFECTANTE, GALON</w:t>
            </w:r>
          </w:p>
        </w:tc>
        <w:tc>
          <w:tcPr>
            <w:tcW w:w="550" w:type="pct"/>
            <w:hideMark/>
          </w:tcPr>
          <w:p w14:paraId="474D86CF" w14:textId="77777777" w:rsidR="00B15F7D" w:rsidRPr="00990FB6" w:rsidRDefault="00B15F7D" w:rsidP="00B15F7D">
            <w:pPr>
              <w:rPr>
                <w:sz w:val="22"/>
                <w:szCs w:val="22"/>
                <w:u w:val="single"/>
              </w:rPr>
            </w:pPr>
            <w:r w:rsidRPr="00990FB6">
              <w:rPr>
                <w:sz w:val="22"/>
                <w:szCs w:val="22"/>
                <w:u w:val="single"/>
              </w:rPr>
              <w:t>466.665,00</w:t>
            </w:r>
          </w:p>
        </w:tc>
        <w:tc>
          <w:tcPr>
            <w:tcW w:w="511" w:type="pct"/>
            <w:hideMark/>
          </w:tcPr>
          <w:p w14:paraId="043984E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DAB386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C9F95A5"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28E8C50B" w14:textId="77777777" w:rsidTr="000A0C22">
        <w:trPr>
          <w:trHeight w:val="580"/>
          <w:jc w:val="center"/>
        </w:trPr>
        <w:tc>
          <w:tcPr>
            <w:tcW w:w="583" w:type="pct"/>
            <w:hideMark/>
          </w:tcPr>
          <w:p w14:paraId="7ED3C6A3"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1D786276"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2E661D7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15633</w:t>
            </w:r>
          </w:p>
        </w:tc>
        <w:tc>
          <w:tcPr>
            <w:tcW w:w="1045" w:type="pct"/>
            <w:hideMark/>
          </w:tcPr>
          <w:p w14:paraId="1E85147B" w14:textId="77777777" w:rsidR="00B15F7D" w:rsidRPr="00990FB6" w:rsidRDefault="00B15F7D" w:rsidP="00B15F7D">
            <w:pPr>
              <w:rPr>
                <w:sz w:val="22"/>
                <w:szCs w:val="22"/>
                <w:u w:val="single"/>
              </w:rPr>
            </w:pPr>
            <w:r w:rsidRPr="00990FB6">
              <w:rPr>
                <w:sz w:val="22"/>
                <w:szCs w:val="22"/>
                <w:u w:val="single"/>
              </w:rPr>
              <w:t>DESODORANTE AMBIENTAL AEROSOL</w:t>
            </w:r>
          </w:p>
        </w:tc>
        <w:tc>
          <w:tcPr>
            <w:tcW w:w="550" w:type="pct"/>
            <w:hideMark/>
          </w:tcPr>
          <w:p w14:paraId="726F79A3" w14:textId="77777777" w:rsidR="00B15F7D" w:rsidRPr="00990FB6" w:rsidRDefault="00B15F7D" w:rsidP="00B15F7D">
            <w:pPr>
              <w:rPr>
                <w:sz w:val="22"/>
                <w:szCs w:val="22"/>
                <w:u w:val="single"/>
              </w:rPr>
            </w:pPr>
            <w:r w:rsidRPr="00990FB6">
              <w:rPr>
                <w:sz w:val="22"/>
                <w:szCs w:val="22"/>
                <w:u w:val="single"/>
              </w:rPr>
              <w:t>154.181,00</w:t>
            </w:r>
          </w:p>
        </w:tc>
        <w:tc>
          <w:tcPr>
            <w:tcW w:w="511" w:type="pct"/>
            <w:hideMark/>
          </w:tcPr>
          <w:p w14:paraId="399A62F1"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2D293C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37C76DD"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628FC5E8" w14:textId="77777777" w:rsidTr="000A0C22">
        <w:trPr>
          <w:trHeight w:val="580"/>
          <w:jc w:val="center"/>
        </w:trPr>
        <w:tc>
          <w:tcPr>
            <w:tcW w:w="583" w:type="pct"/>
            <w:hideMark/>
          </w:tcPr>
          <w:p w14:paraId="04DBF8C9"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05E3FCEE"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166AFBF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15635</w:t>
            </w:r>
          </w:p>
        </w:tc>
        <w:tc>
          <w:tcPr>
            <w:tcW w:w="1045" w:type="pct"/>
            <w:hideMark/>
          </w:tcPr>
          <w:p w14:paraId="21522EB2" w14:textId="77777777" w:rsidR="00B15F7D" w:rsidRPr="00990FB6" w:rsidRDefault="00B15F7D" w:rsidP="00B15F7D">
            <w:pPr>
              <w:rPr>
                <w:sz w:val="22"/>
                <w:szCs w:val="22"/>
                <w:u w:val="single"/>
              </w:rPr>
            </w:pPr>
            <w:r w:rsidRPr="00990FB6">
              <w:rPr>
                <w:sz w:val="22"/>
                <w:szCs w:val="22"/>
                <w:u w:val="single"/>
              </w:rPr>
              <w:t>JABON DETERGENTE EN POLVO</w:t>
            </w:r>
          </w:p>
        </w:tc>
        <w:tc>
          <w:tcPr>
            <w:tcW w:w="550" w:type="pct"/>
            <w:hideMark/>
          </w:tcPr>
          <w:p w14:paraId="68D619F5" w14:textId="77777777" w:rsidR="00B15F7D" w:rsidRPr="00990FB6" w:rsidRDefault="00B15F7D" w:rsidP="00B15F7D">
            <w:pPr>
              <w:rPr>
                <w:sz w:val="22"/>
                <w:szCs w:val="22"/>
                <w:u w:val="single"/>
              </w:rPr>
            </w:pPr>
            <w:r w:rsidRPr="00990FB6">
              <w:rPr>
                <w:sz w:val="22"/>
                <w:szCs w:val="22"/>
                <w:u w:val="single"/>
              </w:rPr>
              <w:t>243.306,00</w:t>
            </w:r>
          </w:p>
        </w:tc>
        <w:tc>
          <w:tcPr>
            <w:tcW w:w="511" w:type="pct"/>
            <w:hideMark/>
          </w:tcPr>
          <w:p w14:paraId="78AECE2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5279B9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B87C4A5"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w:t>
            </w:r>
            <w:r w:rsidRPr="00990FB6">
              <w:rPr>
                <w:sz w:val="22"/>
                <w:szCs w:val="22"/>
                <w:u w:val="single"/>
              </w:rPr>
              <w:lastRenderedPageBreak/>
              <w:t xml:space="preserve">para el personal y usuarios. </w:t>
            </w:r>
          </w:p>
        </w:tc>
      </w:tr>
      <w:tr w:rsidR="00B15F7D" w:rsidRPr="00990FB6" w14:paraId="2012A973" w14:textId="77777777" w:rsidTr="000A0C22">
        <w:trPr>
          <w:trHeight w:val="580"/>
          <w:jc w:val="center"/>
        </w:trPr>
        <w:tc>
          <w:tcPr>
            <w:tcW w:w="583" w:type="pct"/>
            <w:hideMark/>
          </w:tcPr>
          <w:p w14:paraId="40A83890" w14:textId="77777777" w:rsidR="00B15F7D" w:rsidRPr="00990FB6" w:rsidRDefault="00B15F7D" w:rsidP="00B15F7D">
            <w:pPr>
              <w:rPr>
                <w:sz w:val="22"/>
                <w:szCs w:val="22"/>
                <w:u w:val="single"/>
              </w:rPr>
            </w:pPr>
            <w:r w:rsidRPr="00990FB6">
              <w:rPr>
                <w:sz w:val="22"/>
                <w:szCs w:val="22"/>
                <w:u w:val="single"/>
              </w:rPr>
              <w:lastRenderedPageBreak/>
              <w:t>29905</w:t>
            </w:r>
          </w:p>
        </w:tc>
        <w:tc>
          <w:tcPr>
            <w:tcW w:w="578" w:type="pct"/>
            <w:hideMark/>
          </w:tcPr>
          <w:p w14:paraId="108EB9A4"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4E748D7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20465</w:t>
            </w:r>
          </w:p>
        </w:tc>
        <w:tc>
          <w:tcPr>
            <w:tcW w:w="1045" w:type="pct"/>
            <w:hideMark/>
          </w:tcPr>
          <w:p w14:paraId="6862D8C1" w14:textId="77777777" w:rsidR="00B15F7D" w:rsidRPr="00990FB6" w:rsidRDefault="00B15F7D" w:rsidP="00B15F7D">
            <w:pPr>
              <w:rPr>
                <w:sz w:val="22"/>
                <w:szCs w:val="22"/>
                <w:u w:val="single"/>
              </w:rPr>
            </w:pPr>
            <w:r w:rsidRPr="00990FB6">
              <w:rPr>
                <w:sz w:val="22"/>
                <w:szCs w:val="22"/>
                <w:u w:val="single"/>
              </w:rPr>
              <w:t>JABON DE MANOS LIQ EN SPRAY P/DISPENSADOR</w:t>
            </w:r>
          </w:p>
        </w:tc>
        <w:tc>
          <w:tcPr>
            <w:tcW w:w="550" w:type="pct"/>
            <w:hideMark/>
          </w:tcPr>
          <w:p w14:paraId="33224080" w14:textId="77777777" w:rsidR="00B15F7D" w:rsidRPr="00990FB6" w:rsidRDefault="00B15F7D" w:rsidP="00B15F7D">
            <w:pPr>
              <w:rPr>
                <w:sz w:val="22"/>
                <w:szCs w:val="22"/>
                <w:u w:val="single"/>
              </w:rPr>
            </w:pPr>
            <w:r w:rsidRPr="00990FB6">
              <w:rPr>
                <w:sz w:val="22"/>
                <w:szCs w:val="22"/>
                <w:u w:val="single"/>
              </w:rPr>
              <w:t>3.230.854,00</w:t>
            </w:r>
          </w:p>
        </w:tc>
        <w:tc>
          <w:tcPr>
            <w:tcW w:w="511" w:type="pct"/>
            <w:hideMark/>
          </w:tcPr>
          <w:p w14:paraId="441146E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5DA65B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67DB843"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79A05E2B" w14:textId="77777777" w:rsidTr="000A0C22">
        <w:trPr>
          <w:trHeight w:val="580"/>
          <w:jc w:val="center"/>
        </w:trPr>
        <w:tc>
          <w:tcPr>
            <w:tcW w:w="583" w:type="pct"/>
            <w:hideMark/>
          </w:tcPr>
          <w:p w14:paraId="06FB62B8"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7506DA53"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22F285C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23499</w:t>
            </w:r>
          </w:p>
        </w:tc>
        <w:tc>
          <w:tcPr>
            <w:tcW w:w="1045" w:type="pct"/>
            <w:hideMark/>
          </w:tcPr>
          <w:p w14:paraId="4D042027" w14:textId="77777777" w:rsidR="00B15F7D" w:rsidRPr="00990FB6" w:rsidRDefault="00B15F7D" w:rsidP="00B15F7D">
            <w:pPr>
              <w:rPr>
                <w:sz w:val="22"/>
                <w:szCs w:val="22"/>
                <w:u w:val="single"/>
              </w:rPr>
            </w:pPr>
            <w:r w:rsidRPr="00990FB6">
              <w:rPr>
                <w:sz w:val="22"/>
                <w:szCs w:val="22"/>
                <w:u w:val="single"/>
              </w:rPr>
              <w:t>PAÑO DE MICROFIBRA (4 UNI)</w:t>
            </w:r>
          </w:p>
        </w:tc>
        <w:tc>
          <w:tcPr>
            <w:tcW w:w="550" w:type="pct"/>
            <w:hideMark/>
          </w:tcPr>
          <w:p w14:paraId="32525CB9" w14:textId="77777777" w:rsidR="00B15F7D" w:rsidRPr="00990FB6" w:rsidRDefault="00B15F7D" w:rsidP="00B15F7D">
            <w:pPr>
              <w:rPr>
                <w:sz w:val="22"/>
                <w:szCs w:val="22"/>
                <w:u w:val="single"/>
              </w:rPr>
            </w:pPr>
            <w:r w:rsidRPr="00990FB6">
              <w:rPr>
                <w:sz w:val="22"/>
                <w:szCs w:val="22"/>
                <w:u w:val="single"/>
              </w:rPr>
              <w:t>357.245,00</w:t>
            </w:r>
          </w:p>
        </w:tc>
        <w:tc>
          <w:tcPr>
            <w:tcW w:w="511" w:type="pct"/>
            <w:hideMark/>
          </w:tcPr>
          <w:p w14:paraId="1CBBF5E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1D590C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92132A3"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50B85472" w14:textId="77777777" w:rsidTr="000A0C22">
        <w:trPr>
          <w:trHeight w:val="580"/>
          <w:jc w:val="center"/>
        </w:trPr>
        <w:tc>
          <w:tcPr>
            <w:tcW w:w="583" w:type="pct"/>
            <w:hideMark/>
          </w:tcPr>
          <w:p w14:paraId="1849985A"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5A666A91"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26132D8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23500</w:t>
            </w:r>
          </w:p>
        </w:tc>
        <w:tc>
          <w:tcPr>
            <w:tcW w:w="1045" w:type="pct"/>
            <w:hideMark/>
          </w:tcPr>
          <w:p w14:paraId="48C60FEC" w14:textId="77777777" w:rsidR="00B15F7D" w:rsidRPr="00990FB6" w:rsidRDefault="00B15F7D" w:rsidP="00B15F7D">
            <w:pPr>
              <w:rPr>
                <w:sz w:val="22"/>
                <w:szCs w:val="22"/>
                <w:u w:val="single"/>
              </w:rPr>
            </w:pPr>
            <w:r w:rsidRPr="00990FB6">
              <w:rPr>
                <w:sz w:val="22"/>
                <w:szCs w:val="22"/>
                <w:u w:val="single"/>
              </w:rPr>
              <w:t>MECHA PARA LIMPIAR PISOS DE 600 GRS.</w:t>
            </w:r>
          </w:p>
        </w:tc>
        <w:tc>
          <w:tcPr>
            <w:tcW w:w="550" w:type="pct"/>
            <w:hideMark/>
          </w:tcPr>
          <w:p w14:paraId="715DAAF2" w14:textId="77777777" w:rsidR="00B15F7D" w:rsidRPr="00990FB6" w:rsidRDefault="00B15F7D" w:rsidP="00B15F7D">
            <w:pPr>
              <w:rPr>
                <w:sz w:val="22"/>
                <w:szCs w:val="22"/>
                <w:u w:val="single"/>
              </w:rPr>
            </w:pPr>
            <w:r w:rsidRPr="00990FB6">
              <w:rPr>
                <w:sz w:val="22"/>
                <w:szCs w:val="22"/>
                <w:u w:val="single"/>
              </w:rPr>
              <w:t>128.272,00</w:t>
            </w:r>
          </w:p>
        </w:tc>
        <w:tc>
          <w:tcPr>
            <w:tcW w:w="511" w:type="pct"/>
            <w:hideMark/>
          </w:tcPr>
          <w:p w14:paraId="3173FA6E"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95B12D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5EDD95B"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7357C9E2" w14:textId="77777777" w:rsidTr="000A0C22">
        <w:trPr>
          <w:trHeight w:val="580"/>
          <w:jc w:val="center"/>
        </w:trPr>
        <w:tc>
          <w:tcPr>
            <w:tcW w:w="583" w:type="pct"/>
            <w:hideMark/>
          </w:tcPr>
          <w:p w14:paraId="4A8C71D4"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08F7B8BF"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22772BF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24932</w:t>
            </w:r>
          </w:p>
        </w:tc>
        <w:tc>
          <w:tcPr>
            <w:tcW w:w="1045" w:type="pct"/>
            <w:hideMark/>
          </w:tcPr>
          <w:p w14:paraId="50DF5004" w14:textId="77777777" w:rsidR="00B15F7D" w:rsidRPr="00990FB6" w:rsidRDefault="00B15F7D" w:rsidP="00B15F7D">
            <w:pPr>
              <w:rPr>
                <w:sz w:val="22"/>
                <w:szCs w:val="22"/>
                <w:u w:val="single"/>
              </w:rPr>
            </w:pPr>
            <w:r w:rsidRPr="00990FB6">
              <w:rPr>
                <w:sz w:val="22"/>
                <w:szCs w:val="22"/>
                <w:u w:val="single"/>
              </w:rPr>
              <w:t>PAPEL HIGIENICO PARA DISPENSADOR, PAQUETES DE 6 UNIDADES</w:t>
            </w:r>
          </w:p>
        </w:tc>
        <w:tc>
          <w:tcPr>
            <w:tcW w:w="550" w:type="pct"/>
            <w:hideMark/>
          </w:tcPr>
          <w:p w14:paraId="220D91C1" w14:textId="77777777" w:rsidR="00B15F7D" w:rsidRPr="00990FB6" w:rsidRDefault="00B15F7D" w:rsidP="00B15F7D">
            <w:pPr>
              <w:rPr>
                <w:sz w:val="22"/>
                <w:szCs w:val="22"/>
                <w:u w:val="single"/>
              </w:rPr>
            </w:pPr>
            <w:r w:rsidRPr="00990FB6">
              <w:rPr>
                <w:sz w:val="22"/>
                <w:szCs w:val="22"/>
                <w:u w:val="single"/>
              </w:rPr>
              <w:t>3.560.343,00</w:t>
            </w:r>
          </w:p>
        </w:tc>
        <w:tc>
          <w:tcPr>
            <w:tcW w:w="511" w:type="pct"/>
            <w:hideMark/>
          </w:tcPr>
          <w:p w14:paraId="7D9D6CF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B69D6A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65CDB59"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5033B211" w14:textId="77777777" w:rsidTr="000A0C22">
        <w:trPr>
          <w:trHeight w:val="580"/>
          <w:jc w:val="center"/>
        </w:trPr>
        <w:tc>
          <w:tcPr>
            <w:tcW w:w="583" w:type="pct"/>
            <w:hideMark/>
          </w:tcPr>
          <w:p w14:paraId="09E8DA2B"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450648DC"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1D26045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25222</w:t>
            </w:r>
          </w:p>
        </w:tc>
        <w:tc>
          <w:tcPr>
            <w:tcW w:w="1045" w:type="pct"/>
            <w:hideMark/>
          </w:tcPr>
          <w:p w14:paraId="5680CD47" w14:textId="77777777" w:rsidR="00B15F7D" w:rsidRPr="00990FB6" w:rsidRDefault="00B15F7D" w:rsidP="00B15F7D">
            <w:pPr>
              <w:rPr>
                <w:sz w:val="22"/>
                <w:szCs w:val="22"/>
                <w:u w:val="single"/>
              </w:rPr>
            </w:pPr>
            <w:r w:rsidRPr="00990FB6">
              <w:rPr>
                <w:sz w:val="22"/>
                <w:szCs w:val="22"/>
                <w:u w:val="single"/>
              </w:rPr>
              <w:t>TOALLAS P/ DISPENSADOR</w:t>
            </w:r>
          </w:p>
        </w:tc>
        <w:tc>
          <w:tcPr>
            <w:tcW w:w="550" w:type="pct"/>
            <w:hideMark/>
          </w:tcPr>
          <w:p w14:paraId="264FF091" w14:textId="77777777" w:rsidR="00B15F7D" w:rsidRPr="00990FB6" w:rsidRDefault="00B15F7D" w:rsidP="00B15F7D">
            <w:pPr>
              <w:rPr>
                <w:sz w:val="22"/>
                <w:szCs w:val="22"/>
                <w:u w:val="single"/>
              </w:rPr>
            </w:pPr>
            <w:r w:rsidRPr="00990FB6">
              <w:rPr>
                <w:sz w:val="22"/>
                <w:szCs w:val="22"/>
                <w:u w:val="single"/>
              </w:rPr>
              <w:t>8.216.168,00</w:t>
            </w:r>
          </w:p>
        </w:tc>
        <w:tc>
          <w:tcPr>
            <w:tcW w:w="511" w:type="pct"/>
            <w:hideMark/>
          </w:tcPr>
          <w:p w14:paraId="63CCA0F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C494AE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2CC3C57"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6FF9A3FA" w14:textId="77777777" w:rsidTr="000A0C22">
        <w:trPr>
          <w:trHeight w:val="580"/>
          <w:jc w:val="center"/>
        </w:trPr>
        <w:tc>
          <w:tcPr>
            <w:tcW w:w="583" w:type="pct"/>
            <w:hideMark/>
          </w:tcPr>
          <w:p w14:paraId="6A43158F"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2A9EF18E"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2EA5AFE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15617</w:t>
            </w:r>
          </w:p>
        </w:tc>
        <w:tc>
          <w:tcPr>
            <w:tcW w:w="1045" w:type="pct"/>
            <w:hideMark/>
          </w:tcPr>
          <w:p w14:paraId="255ADAAF" w14:textId="77777777" w:rsidR="00B15F7D" w:rsidRPr="00990FB6" w:rsidRDefault="00B15F7D" w:rsidP="00B15F7D">
            <w:pPr>
              <w:rPr>
                <w:sz w:val="22"/>
                <w:szCs w:val="22"/>
                <w:u w:val="single"/>
              </w:rPr>
            </w:pPr>
            <w:r w:rsidRPr="00990FB6">
              <w:rPr>
                <w:sz w:val="22"/>
                <w:szCs w:val="22"/>
                <w:u w:val="single"/>
              </w:rPr>
              <w:t>DISCO P/ PULIR PISOS</w:t>
            </w:r>
          </w:p>
        </w:tc>
        <w:tc>
          <w:tcPr>
            <w:tcW w:w="550" w:type="pct"/>
            <w:hideMark/>
          </w:tcPr>
          <w:p w14:paraId="29843F45" w14:textId="77777777" w:rsidR="00B15F7D" w:rsidRPr="00990FB6" w:rsidRDefault="00B15F7D" w:rsidP="00B15F7D">
            <w:pPr>
              <w:rPr>
                <w:sz w:val="22"/>
                <w:szCs w:val="22"/>
                <w:u w:val="single"/>
              </w:rPr>
            </w:pPr>
            <w:r w:rsidRPr="00990FB6">
              <w:rPr>
                <w:sz w:val="22"/>
                <w:szCs w:val="22"/>
                <w:u w:val="single"/>
              </w:rPr>
              <w:t>163.782,00</w:t>
            </w:r>
          </w:p>
        </w:tc>
        <w:tc>
          <w:tcPr>
            <w:tcW w:w="511" w:type="pct"/>
            <w:noWrap/>
            <w:hideMark/>
          </w:tcPr>
          <w:p w14:paraId="517C0FC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F76641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BE9B60C"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w:t>
            </w:r>
            <w:r w:rsidRPr="00990FB6">
              <w:rPr>
                <w:sz w:val="22"/>
                <w:szCs w:val="22"/>
                <w:u w:val="single"/>
              </w:rPr>
              <w:lastRenderedPageBreak/>
              <w:t xml:space="preserve">instalaciones. Riesgo de salud para el personal y usuarios. </w:t>
            </w:r>
          </w:p>
        </w:tc>
      </w:tr>
      <w:tr w:rsidR="00B15F7D" w:rsidRPr="00990FB6" w14:paraId="5BD0F526" w14:textId="77777777" w:rsidTr="000A0C22">
        <w:trPr>
          <w:trHeight w:val="580"/>
          <w:jc w:val="center"/>
        </w:trPr>
        <w:tc>
          <w:tcPr>
            <w:tcW w:w="583" w:type="pct"/>
            <w:hideMark/>
          </w:tcPr>
          <w:p w14:paraId="5714A1CF" w14:textId="77777777" w:rsidR="00B15F7D" w:rsidRPr="00990FB6" w:rsidRDefault="00B15F7D" w:rsidP="00B15F7D">
            <w:pPr>
              <w:rPr>
                <w:sz w:val="22"/>
                <w:szCs w:val="22"/>
                <w:u w:val="single"/>
              </w:rPr>
            </w:pPr>
            <w:r w:rsidRPr="00990FB6">
              <w:rPr>
                <w:sz w:val="22"/>
                <w:szCs w:val="22"/>
                <w:u w:val="single"/>
              </w:rPr>
              <w:lastRenderedPageBreak/>
              <w:t>29905</w:t>
            </w:r>
          </w:p>
        </w:tc>
        <w:tc>
          <w:tcPr>
            <w:tcW w:w="578" w:type="pct"/>
            <w:hideMark/>
          </w:tcPr>
          <w:p w14:paraId="4D9062EE"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3730316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15618</w:t>
            </w:r>
          </w:p>
        </w:tc>
        <w:tc>
          <w:tcPr>
            <w:tcW w:w="1045" w:type="pct"/>
            <w:hideMark/>
          </w:tcPr>
          <w:p w14:paraId="4EE440AA" w14:textId="77777777" w:rsidR="00B15F7D" w:rsidRPr="00990FB6" w:rsidRDefault="00B15F7D" w:rsidP="00B15F7D">
            <w:pPr>
              <w:rPr>
                <w:sz w:val="22"/>
                <w:szCs w:val="22"/>
                <w:u w:val="single"/>
              </w:rPr>
            </w:pPr>
            <w:r w:rsidRPr="00990FB6">
              <w:rPr>
                <w:sz w:val="22"/>
                <w:szCs w:val="22"/>
                <w:u w:val="single"/>
              </w:rPr>
              <w:t>DISCO P/ LAVAR PISOS</w:t>
            </w:r>
          </w:p>
        </w:tc>
        <w:tc>
          <w:tcPr>
            <w:tcW w:w="550" w:type="pct"/>
            <w:hideMark/>
          </w:tcPr>
          <w:p w14:paraId="2591AA74" w14:textId="77777777" w:rsidR="00B15F7D" w:rsidRPr="00990FB6" w:rsidRDefault="00B15F7D" w:rsidP="00B15F7D">
            <w:pPr>
              <w:rPr>
                <w:sz w:val="22"/>
                <w:szCs w:val="22"/>
                <w:u w:val="single"/>
              </w:rPr>
            </w:pPr>
            <w:r w:rsidRPr="00990FB6">
              <w:rPr>
                <w:sz w:val="22"/>
                <w:szCs w:val="22"/>
                <w:u w:val="single"/>
              </w:rPr>
              <w:t>67.854,00</w:t>
            </w:r>
          </w:p>
        </w:tc>
        <w:tc>
          <w:tcPr>
            <w:tcW w:w="511" w:type="pct"/>
            <w:noWrap/>
            <w:hideMark/>
          </w:tcPr>
          <w:p w14:paraId="6044DEC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D248DA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E5B336F"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3DF6F397" w14:textId="77777777" w:rsidTr="000A0C22">
        <w:trPr>
          <w:trHeight w:val="580"/>
          <w:jc w:val="center"/>
        </w:trPr>
        <w:tc>
          <w:tcPr>
            <w:tcW w:w="583" w:type="pct"/>
            <w:hideMark/>
          </w:tcPr>
          <w:p w14:paraId="7A59AC1C"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5D2CB14C"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169A85A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15619</w:t>
            </w:r>
          </w:p>
        </w:tc>
        <w:tc>
          <w:tcPr>
            <w:tcW w:w="1045" w:type="pct"/>
            <w:hideMark/>
          </w:tcPr>
          <w:p w14:paraId="410637BA" w14:textId="77777777" w:rsidR="00B15F7D" w:rsidRPr="00990FB6" w:rsidRDefault="00B15F7D" w:rsidP="00B15F7D">
            <w:pPr>
              <w:rPr>
                <w:sz w:val="22"/>
                <w:szCs w:val="22"/>
                <w:u w:val="single"/>
              </w:rPr>
            </w:pPr>
            <w:r w:rsidRPr="00990FB6">
              <w:rPr>
                <w:sz w:val="22"/>
                <w:szCs w:val="22"/>
                <w:u w:val="single"/>
              </w:rPr>
              <w:t>ESCOBA DE FIBRA SINTETICA</w:t>
            </w:r>
          </w:p>
        </w:tc>
        <w:tc>
          <w:tcPr>
            <w:tcW w:w="550" w:type="pct"/>
            <w:hideMark/>
          </w:tcPr>
          <w:p w14:paraId="2694AF2B" w14:textId="77777777" w:rsidR="00B15F7D" w:rsidRPr="00990FB6" w:rsidRDefault="00B15F7D" w:rsidP="00B15F7D">
            <w:pPr>
              <w:rPr>
                <w:sz w:val="22"/>
                <w:szCs w:val="22"/>
                <w:u w:val="single"/>
              </w:rPr>
            </w:pPr>
            <w:r w:rsidRPr="00990FB6">
              <w:rPr>
                <w:sz w:val="22"/>
                <w:szCs w:val="22"/>
                <w:u w:val="single"/>
              </w:rPr>
              <w:t>56.810,00</w:t>
            </w:r>
          </w:p>
        </w:tc>
        <w:tc>
          <w:tcPr>
            <w:tcW w:w="511" w:type="pct"/>
            <w:noWrap/>
            <w:hideMark/>
          </w:tcPr>
          <w:p w14:paraId="3110BAD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9DDC3F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BB3DB74"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350DF907" w14:textId="77777777" w:rsidTr="000A0C22">
        <w:trPr>
          <w:trHeight w:val="580"/>
          <w:jc w:val="center"/>
        </w:trPr>
        <w:tc>
          <w:tcPr>
            <w:tcW w:w="583" w:type="pct"/>
            <w:hideMark/>
          </w:tcPr>
          <w:p w14:paraId="45EBCAD6"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01D14B90"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554C824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15622</w:t>
            </w:r>
          </w:p>
        </w:tc>
        <w:tc>
          <w:tcPr>
            <w:tcW w:w="1045" w:type="pct"/>
            <w:hideMark/>
          </w:tcPr>
          <w:p w14:paraId="732F4CD0" w14:textId="77777777" w:rsidR="00B15F7D" w:rsidRPr="00990FB6" w:rsidRDefault="00B15F7D" w:rsidP="00B15F7D">
            <w:pPr>
              <w:rPr>
                <w:sz w:val="22"/>
                <w:szCs w:val="22"/>
                <w:u w:val="single"/>
              </w:rPr>
            </w:pPr>
            <w:r w:rsidRPr="00990FB6">
              <w:rPr>
                <w:sz w:val="22"/>
                <w:szCs w:val="22"/>
                <w:u w:val="single"/>
              </w:rPr>
              <w:t>HISOPO DE FIBRA SINTETICA</w:t>
            </w:r>
          </w:p>
        </w:tc>
        <w:tc>
          <w:tcPr>
            <w:tcW w:w="550" w:type="pct"/>
            <w:hideMark/>
          </w:tcPr>
          <w:p w14:paraId="78A2C909" w14:textId="77777777" w:rsidR="00B15F7D" w:rsidRPr="00990FB6" w:rsidRDefault="00B15F7D" w:rsidP="00B15F7D">
            <w:pPr>
              <w:rPr>
                <w:sz w:val="22"/>
                <w:szCs w:val="22"/>
                <w:u w:val="single"/>
              </w:rPr>
            </w:pPr>
            <w:r w:rsidRPr="00990FB6">
              <w:rPr>
                <w:sz w:val="22"/>
                <w:szCs w:val="22"/>
                <w:u w:val="single"/>
              </w:rPr>
              <w:t>17.326,00</w:t>
            </w:r>
          </w:p>
        </w:tc>
        <w:tc>
          <w:tcPr>
            <w:tcW w:w="511" w:type="pct"/>
            <w:noWrap/>
            <w:hideMark/>
          </w:tcPr>
          <w:p w14:paraId="180759A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D0821F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C0C75BE"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19D99071" w14:textId="77777777" w:rsidTr="000A0C22">
        <w:trPr>
          <w:trHeight w:val="580"/>
          <w:jc w:val="center"/>
        </w:trPr>
        <w:tc>
          <w:tcPr>
            <w:tcW w:w="583" w:type="pct"/>
            <w:hideMark/>
          </w:tcPr>
          <w:p w14:paraId="741756E2"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3E6D1809"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7A3FD58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15623</w:t>
            </w:r>
          </w:p>
        </w:tc>
        <w:tc>
          <w:tcPr>
            <w:tcW w:w="1045" w:type="pct"/>
            <w:hideMark/>
          </w:tcPr>
          <w:p w14:paraId="7DEF8816" w14:textId="77777777" w:rsidR="00B15F7D" w:rsidRPr="00990FB6" w:rsidRDefault="00B15F7D" w:rsidP="00B15F7D">
            <w:pPr>
              <w:rPr>
                <w:sz w:val="22"/>
                <w:szCs w:val="22"/>
                <w:u w:val="single"/>
              </w:rPr>
            </w:pPr>
            <w:r w:rsidRPr="00990FB6">
              <w:rPr>
                <w:sz w:val="22"/>
                <w:szCs w:val="22"/>
                <w:u w:val="single"/>
              </w:rPr>
              <w:t>PALA PARA RECOGER BASURA</w:t>
            </w:r>
          </w:p>
        </w:tc>
        <w:tc>
          <w:tcPr>
            <w:tcW w:w="550" w:type="pct"/>
            <w:hideMark/>
          </w:tcPr>
          <w:p w14:paraId="6944B17F" w14:textId="77777777" w:rsidR="00B15F7D" w:rsidRPr="00990FB6" w:rsidRDefault="00B15F7D" w:rsidP="00B15F7D">
            <w:pPr>
              <w:rPr>
                <w:sz w:val="22"/>
                <w:szCs w:val="22"/>
                <w:u w:val="single"/>
              </w:rPr>
            </w:pPr>
            <w:r w:rsidRPr="00990FB6">
              <w:rPr>
                <w:sz w:val="22"/>
                <w:szCs w:val="22"/>
                <w:u w:val="single"/>
              </w:rPr>
              <w:t>20.735,00</w:t>
            </w:r>
          </w:p>
        </w:tc>
        <w:tc>
          <w:tcPr>
            <w:tcW w:w="511" w:type="pct"/>
            <w:noWrap/>
            <w:hideMark/>
          </w:tcPr>
          <w:p w14:paraId="0B5A3892"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F38EDF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60CF32A"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7A412B3C" w14:textId="77777777" w:rsidTr="000A0C22">
        <w:trPr>
          <w:trHeight w:val="580"/>
          <w:jc w:val="center"/>
        </w:trPr>
        <w:tc>
          <w:tcPr>
            <w:tcW w:w="583" w:type="pct"/>
            <w:hideMark/>
          </w:tcPr>
          <w:p w14:paraId="4A86EE08"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35667E7A"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380ED26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15624</w:t>
            </w:r>
          </w:p>
        </w:tc>
        <w:tc>
          <w:tcPr>
            <w:tcW w:w="1045" w:type="pct"/>
            <w:hideMark/>
          </w:tcPr>
          <w:p w14:paraId="2BABA413" w14:textId="77777777" w:rsidR="00B15F7D" w:rsidRPr="00990FB6" w:rsidRDefault="00B15F7D" w:rsidP="00B15F7D">
            <w:pPr>
              <w:rPr>
                <w:sz w:val="22"/>
                <w:szCs w:val="22"/>
                <w:u w:val="single"/>
              </w:rPr>
            </w:pPr>
            <w:r w:rsidRPr="00990FB6">
              <w:rPr>
                <w:sz w:val="22"/>
                <w:szCs w:val="22"/>
                <w:u w:val="single"/>
              </w:rPr>
              <w:t xml:space="preserve">BOLSA PLASTICA PARA BASURA </w:t>
            </w:r>
          </w:p>
        </w:tc>
        <w:tc>
          <w:tcPr>
            <w:tcW w:w="550" w:type="pct"/>
            <w:hideMark/>
          </w:tcPr>
          <w:p w14:paraId="72C225C5" w14:textId="77777777" w:rsidR="00B15F7D" w:rsidRPr="00990FB6" w:rsidRDefault="00B15F7D" w:rsidP="00B15F7D">
            <w:pPr>
              <w:rPr>
                <w:sz w:val="22"/>
                <w:szCs w:val="22"/>
                <w:u w:val="single"/>
              </w:rPr>
            </w:pPr>
            <w:r w:rsidRPr="00990FB6">
              <w:rPr>
                <w:sz w:val="22"/>
                <w:szCs w:val="22"/>
                <w:u w:val="single"/>
              </w:rPr>
              <w:t>337.592,00</w:t>
            </w:r>
          </w:p>
        </w:tc>
        <w:tc>
          <w:tcPr>
            <w:tcW w:w="511" w:type="pct"/>
            <w:noWrap/>
            <w:hideMark/>
          </w:tcPr>
          <w:p w14:paraId="1D2FF19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3545E5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6B2F3D5"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134882AE" w14:textId="77777777" w:rsidTr="000A0C22">
        <w:trPr>
          <w:trHeight w:val="580"/>
          <w:jc w:val="center"/>
        </w:trPr>
        <w:tc>
          <w:tcPr>
            <w:tcW w:w="583" w:type="pct"/>
            <w:hideMark/>
          </w:tcPr>
          <w:p w14:paraId="31249C7A" w14:textId="77777777" w:rsidR="00B15F7D" w:rsidRPr="00990FB6" w:rsidRDefault="00B15F7D" w:rsidP="00B15F7D">
            <w:pPr>
              <w:rPr>
                <w:sz w:val="22"/>
                <w:szCs w:val="22"/>
                <w:u w:val="single"/>
              </w:rPr>
            </w:pPr>
            <w:r w:rsidRPr="00990FB6">
              <w:rPr>
                <w:sz w:val="22"/>
                <w:szCs w:val="22"/>
                <w:u w:val="single"/>
              </w:rPr>
              <w:lastRenderedPageBreak/>
              <w:t>29905</w:t>
            </w:r>
          </w:p>
        </w:tc>
        <w:tc>
          <w:tcPr>
            <w:tcW w:w="578" w:type="pct"/>
            <w:hideMark/>
          </w:tcPr>
          <w:p w14:paraId="6493BB93"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128FECA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15627</w:t>
            </w:r>
          </w:p>
        </w:tc>
        <w:tc>
          <w:tcPr>
            <w:tcW w:w="1045" w:type="pct"/>
            <w:hideMark/>
          </w:tcPr>
          <w:p w14:paraId="36761B2F" w14:textId="77777777" w:rsidR="00B15F7D" w:rsidRPr="00990FB6" w:rsidRDefault="00B15F7D" w:rsidP="00B15F7D">
            <w:pPr>
              <w:rPr>
                <w:sz w:val="22"/>
                <w:szCs w:val="22"/>
                <w:u w:val="single"/>
              </w:rPr>
            </w:pPr>
            <w:r w:rsidRPr="00990FB6">
              <w:rPr>
                <w:sz w:val="22"/>
                <w:szCs w:val="22"/>
                <w:u w:val="single"/>
              </w:rPr>
              <w:t>CERA LIQUIDA PARA PISOS DE MADERA (LITRO)</w:t>
            </w:r>
          </w:p>
        </w:tc>
        <w:tc>
          <w:tcPr>
            <w:tcW w:w="550" w:type="pct"/>
            <w:hideMark/>
          </w:tcPr>
          <w:p w14:paraId="6BFD981D" w14:textId="77777777" w:rsidR="00B15F7D" w:rsidRPr="00990FB6" w:rsidRDefault="00B15F7D" w:rsidP="00B15F7D">
            <w:pPr>
              <w:rPr>
                <w:sz w:val="22"/>
                <w:szCs w:val="22"/>
                <w:u w:val="single"/>
              </w:rPr>
            </w:pPr>
            <w:r w:rsidRPr="00990FB6">
              <w:rPr>
                <w:sz w:val="22"/>
                <w:szCs w:val="22"/>
                <w:u w:val="single"/>
              </w:rPr>
              <w:t>139.066,00</w:t>
            </w:r>
          </w:p>
        </w:tc>
        <w:tc>
          <w:tcPr>
            <w:tcW w:w="511" w:type="pct"/>
            <w:noWrap/>
            <w:hideMark/>
          </w:tcPr>
          <w:p w14:paraId="7AC179A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B651C3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0F933E4"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36AA0D7E" w14:textId="77777777" w:rsidTr="000A0C22">
        <w:trPr>
          <w:trHeight w:val="580"/>
          <w:jc w:val="center"/>
        </w:trPr>
        <w:tc>
          <w:tcPr>
            <w:tcW w:w="583" w:type="pct"/>
            <w:hideMark/>
          </w:tcPr>
          <w:p w14:paraId="5FCA004F"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637AD241"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79E0F59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15629</w:t>
            </w:r>
          </w:p>
        </w:tc>
        <w:tc>
          <w:tcPr>
            <w:tcW w:w="1045" w:type="pct"/>
            <w:hideMark/>
          </w:tcPr>
          <w:p w14:paraId="463B2E06" w14:textId="77777777" w:rsidR="00B15F7D" w:rsidRPr="00990FB6" w:rsidRDefault="00B15F7D" w:rsidP="00B15F7D">
            <w:pPr>
              <w:rPr>
                <w:sz w:val="22"/>
                <w:szCs w:val="22"/>
                <w:u w:val="single"/>
              </w:rPr>
            </w:pPr>
            <w:r w:rsidRPr="00990FB6">
              <w:rPr>
                <w:sz w:val="22"/>
                <w:szCs w:val="22"/>
                <w:u w:val="single"/>
              </w:rPr>
              <w:t>CERA PASTA AUTOMOVIL</w:t>
            </w:r>
          </w:p>
        </w:tc>
        <w:tc>
          <w:tcPr>
            <w:tcW w:w="550" w:type="pct"/>
            <w:hideMark/>
          </w:tcPr>
          <w:p w14:paraId="6761799D" w14:textId="77777777" w:rsidR="00B15F7D" w:rsidRPr="00990FB6" w:rsidRDefault="00B15F7D" w:rsidP="00B15F7D">
            <w:pPr>
              <w:rPr>
                <w:sz w:val="22"/>
                <w:szCs w:val="22"/>
                <w:u w:val="single"/>
              </w:rPr>
            </w:pPr>
            <w:r w:rsidRPr="00990FB6">
              <w:rPr>
                <w:sz w:val="22"/>
                <w:szCs w:val="22"/>
                <w:u w:val="single"/>
              </w:rPr>
              <w:t>12.483,00</w:t>
            </w:r>
          </w:p>
        </w:tc>
        <w:tc>
          <w:tcPr>
            <w:tcW w:w="511" w:type="pct"/>
            <w:noWrap/>
            <w:hideMark/>
          </w:tcPr>
          <w:p w14:paraId="2183694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96AC28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FB67B6F"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736A75CF" w14:textId="77777777" w:rsidTr="000A0C22">
        <w:trPr>
          <w:trHeight w:val="580"/>
          <w:jc w:val="center"/>
        </w:trPr>
        <w:tc>
          <w:tcPr>
            <w:tcW w:w="583" w:type="pct"/>
            <w:hideMark/>
          </w:tcPr>
          <w:p w14:paraId="34D46F25"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54B8A626"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4ACAD32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15636</w:t>
            </w:r>
          </w:p>
        </w:tc>
        <w:tc>
          <w:tcPr>
            <w:tcW w:w="1045" w:type="pct"/>
            <w:hideMark/>
          </w:tcPr>
          <w:p w14:paraId="62124BDD" w14:textId="77777777" w:rsidR="00B15F7D" w:rsidRPr="00990FB6" w:rsidRDefault="00B15F7D" w:rsidP="00B15F7D">
            <w:pPr>
              <w:rPr>
                <w:sz w:val="22"/>
                <w:szCs w:val="22"/>
                <w:u w:val="single"/>
              </w:rPr>
            </w:pPr>
            <w:r w:rsidRPr="00990FB6">
              <w:rPr>
                <w:sz w:val="22"/>
                <w:szCs w:val="22"/>
                <w:u w:val="single"/>
              </w:rPr>
              <w:t>JABON LIQ. CON PERFUME</w:t>
            </w:r>
          </w:p>
        </w:tc>
        <w:tc>
          <w:tcPr>
            <w:tcW w:w="550" w:type="pct"/>
            <w:hideMark/>
          </w:tcPr>
          <w:p w14:paraId="72F543EF" w14:textId="77777777" w:rsidR="00B15F7D" w:rsidRPr="00990FB6" w:rsidRDefault="00B15F7D" w:rsidP="00B15F7D">
            <w:pPr>
              <w:rPr>
                <w:sz w:val="22"/>
                <w:szCs w:val="22"/>
                <w:u w:val="single"/>
              </w:rPr>
            </w:pPr>
            <w:r w:rsidRPr="00990FB6">
              <w:rPr>
                <w:sz w:val="22"/>
                <w:szCs w:val="22"/>
                <w:u w:val="single"/>
              </w:rPr>
              <w:t>54.259,00</w:t>
            </w:r>
          </w:p>
        </w:tc>
        <w:tc>
          <w:tcPr>
            <w:tcW w:w="511" w:type="pct"/>
            <w:noWrap/>
            <w:hideMark/>
          </w:tcPr>
          <w:p w14:paraId="463C222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BF8306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B64C1C5"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5403E377" w14:textId="77777777" w:rsidTr="000A0C22">
        <w:trPr>
          <w:trHeight w:val="580"/>
          <w:jc w:val="center"/>
        </w:trPr>
        <w:tc>
          <w:tcPr>
            <w:tcW w:w="583" w:type="pct"/>
            <w:hideMark/>
          </w:tcPr>
          <w:p w14:paraId="56367ED5"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03AC9C4E"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0FF5178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15639</w:t>
            </w:r>
          </w:p>
        </w:tc>
        <w:tc>
          <w:tcPr>
            <w:tcW w:w="1045" w:type="pct"/>
            <w:hideMark/>
          </w:tcPr>
          <w:p w14:paraId="489482EA" w14:textId="77777777" w:rsidR="00B15F7D" w:rsidRPr="00990FB6" w:rsidRDefault="00B15F7D" w:rsidP="00B15F7D">
            <w:pPr>
              <w:rPr>
                <w:sz w:val="22"/>
                <w:szCs w:val="22"/>
                <w:u w:val="single"/>
              </w:rPr>
            </w:pPr>
            <w:r w:rsidRPr="00990FB6">
              <w:rPr>
                <w:sz w:val="22"/>
                <w:szCs w:val="22"/>
                <w:u w:val="single"/>
              </w:rPr>
              <w:t>GUANTES NO DESCARTABLES TALLA M</w:t>
            </w:r>
          </w:p>
        </w:tc>
        <w:tc>
          <w:tcPr>
            <w:tcW w:w="550" w:type="pct"/>
            <w:hideMark/>
          </w:tcPr>
          <w:p w14:paraId="046F21EE" w14:textId="77777777" w:rsidR="00B15F7D" w:rsidRPr="00990FB6" w:rsidRDefault="00B15F7D" w:rsidP="00B15F7D">
            <w:pPr>
              <w:rPr>
                <w:sz w:val="22"/>
                <w:szCs w:val="22"/>
                <w:u w:val="single"/>
              </w:rPr>
            </w:pPr>
            <w:r w:rsidRPr="00990FB6">
              <w:rPr>
                <w:sz w:val="22"/>
                <w:szCs w:val="22"/>
                <w:u w:val="single"/>
              </w:rPr>
              <w:t>43.623,00</w:t>
            </w:r>
          </w:p>
        </w:tc>
        <w:tc>
          <w:tcPr>
            <w:tcW w:w="511" w:type="pct"/>
            <w:noWrap/>
            <w:hideMark/>
          </w:tcPr>
          <w:p w14:paraId="36754F8C"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D798E8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B5D43EE"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4DDB3118" w14:textId="77777777" w:rsidTr="000A0C22">
        <w:trPr>
          <w:trHeight w:val="580"/>
          <w:jc w:val="center"/>
        </w:trPr>
        <w:tc>
          <w:tcPr>
            <w:tcW w:w="583" w:type="pct"/>
            <w:hideMark/>
          </w:tcPr>
          <w:p w14:paraId="343A3C8D"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3931AB6A"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4189D23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15650</w:t>
            </w:r>
          </w:p>
        </w:tc>
        <w:tc>
          <w:tcPr>
            <w:tcW w:w="1045" w:type="pct"/>
            <w:hideMark/>
          </w:tcPr>
          <w:p w14:paraId="5F5206C8" w14:textId="77777777" w:rsidR="00B15F7D" w:rsidRPr="00990FB6" w:rsidRDefault="00B15F7D" w:rsidP="00B15F7D">
            <w:pPr>
              <w:rPr>
                <w:sz w:val="22"/>
                <w:szCs w:val="22"/>
                <w:u w:val="single"/>
              </w:rPr>
            </w:pPr>
            <w:r w:rsidRPr="00990FB6">
              <w:rPr>
                <w:sz w:val="22"/>
                <w:szCs w:val="22"/>
                <w:u w:val="single"/>
              </w:rPr>
              <w:t>DESODORANTE AMBIENTAL VEHICULO</w:t>
            </w:r>
          </w:p>
        </w:tc>
        <w:tc>
          <w:tcPr>
            <w:tcW w:w="550" w:type="pct"/>
            <w:hideMark/>
          </w:tcPr>
          <w:p w14:paraId="68DB0417" w14:textId="77777777" w:rsidR="00B15F7D" w:rsidRPr="00990FB6" w:rsidRDefault="00B15F7D" w:rsidP="00B15F7D">
            <w:pPr>
              <w:rPr>
                <w:sz w:val="22"/>
                <w:szCs w:val="22"/>
                <w:u w:val="single"/>
              </w:rPr>
            </w:pPr>
            <w:r w:rsidRPr="00990FB6">
              <w:rPr>
                <w:sz w:val="22"/>
                <w:szCs w:val="22"/>
                <w:u w:val="single"/>
              </w:rPr>
              <w:t>20.009,00</w:t>
            </w:r>
          </w:p>
        </w:tc>
        <w:tc>
          <w:tcPr>
            <w:tcW w:w="511" w:type="pct"/>
            <w:noWrap/>
            <w:hideMark/>
          </w:tcPr>
          <w:p w14:paraId="3538D39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01A8E5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5D37FCF"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18ED2419" w14:textId="77777777" w:rsidTr="000A0C22">
        <w:trPr>
          <w:trHeight w:val="580"/>
          <w:jc w:val="center"/>
        </w:trPr>
        <w:tc>
          <w:tcPr>
            <w:tcW w:w="583" w:type="pct"/>
            <w:hideMark/>
          </w:tcPr>
          <w:p w14:paraId="6CF73A29"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637F2BEE"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20C53F2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15664</w:t>
            </w:r>
          </w:p>
        </w:tc>
        <w:tc>
          <w:tcPr>
            <w:tcW w:w="1045" w:type="pct"/>
            <w:hideMark/>
          </w:tcPr>
          <w:p w14:paraId="4A156289" w14:textId="77777777" w:rsidR="00B15F7D" w:rsidRPr="00990FB6" w:rsidRDefault="00B15F7D" w:rsidP="00B15F7D">
            <w:pPr>
              <w:rPr>
                <w:sz w:val="22"/>
                <w:szCs w:val="22"/>
                <w:u w:val="single"/>
              </w:rPr>
            </w:pPr>
            <w:r w:rsidRPr="00990FB6">
              <w:rPr>
                <w:sz w:val="22"/>
                <w:szCs w:val="22"/>
                <w:u w:val="single"/>
              </w:rPr>
              <w:t>CHAMPU VEHICULOS, GALON</w:t>
            </w:r>
          </w:p>
        </w:tc>
        <w:tc>
          <w:tcPr>
            <w:tcW w:w="550" w:type="pct"/>
            <w:hideMark/>
          </w:tcPr>
          <w:p w14:paraId="3171FCA9" w14:textId="77777777" w:rsidR="00B15F7D" w:rsidRPr="00990FB6" w:rsidRDefault="00B15F7D" w:rsidP="00B15F7D">
            <w:pPr>
              <w:rPr>
                <w:sz w:val="22"/>
                <w:szCs w:val="22"/>
                <w:u w:val="single"/>
              </w:rPr>
            </w:pPr>
            <w:r w:rsidRPr="00990FB6">
              <w:rPr>
                <w:sz w:val="22"/>
                <w:szCs w:val="22"/>
                <w:u w:val="single"/>
              </w:rPr>
              <w:t>15.664,00</w:t>
            </w:r>
          </w:p>
        </w:tc>
        <w:tc>
          <w:tcPr>
            <w:tcW w:w="511" w:type="pct"/>
            <w:noWrap/>
            <w:hideMark/>
          </w:tcPr>
          <w:p w14:paraId="7CF69F8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C5310D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9B96890"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w:t>
            </w:r>
            <w:r w:rsidRPr="00990FB6">
              <w:rPr>
                <w:sz w:val="22"/>
                <w:szCs w:val="22"/>
                <w:u w:val="single"/>
              </w:rPr>
              <w:lastRenderedPageBreak/>
              <w:t xml:space="preserve">para el personal y usuarios. </w:t>
            </w:r>
          </w:p>
        </w:tc>
      </w:tr>
      <w:tr w:rsidR="00B15F7D" w:rsidRPr="00990FB6" w14:paraId="4A5C863B" w14:textId="77777777" w:rsidTr="000A0C22">
        <w:trPr>
          <w:trHeight w:val="580"/>
          <w:jc w:val="center"/>
        </w:trPr>
        <w:tc>
          <w:tcPr>
            <w:tcW w:w="583" w:type="pct"/>
            <w:hideMark/>
          </w:tcPr>
          <w:p w14:paraId="5C8E8702" w14:textId="77777777" w:rsidR="00B15F7D" w:rsidRPr="00990FB6" w:rsidRDefault="00B15F7D" w:rsidP="00B15F7D">
            <w:pPr>
              <w:rPr>
                <w:sz w:val="22"/>
                <w:szCs w:val="22"/>
                <w:u w:val="single"/>
              </w:rPr>
            </w:pPr>
            <w:r w:rsidRPr="00990FB6">
              <w:rPr>
                <w:sz w:val="22"/>
                <w:szCs w:val="22"/>
                <w:u w:val="single"/>
              </w:rPr>
              <w:lastRenderedPageBreak/>
              <w:t>29905</w:t>
            </w:r>
          </w:p>
        </w:tc>
        <w:tc>
          <w:tcPr>
            <w:tcW w:w="578" w:type="pct"/>
            <w:hideMark/>
          </w:tcPr>
          <w:p w14:paraId="62DE2CD8"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006B418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15671</w:t>
            </w:r>
          </w:p>
        </w:tc>
        <w:tc>
          <w:tcPr>
            <w:tcW w:w="1045" w:type="pct"/>
            <w:hideMark/>
          </w:tcPr>
          <w:p w14:paraId="2DBC759C" w14:textId="77777777" w:rsidR="00B15F7D" w:rsidRPr="00990FB6" w:rsidRDefault="00B15F7D" w:rsidP="00B15F7D">
            <w:pPr>
              <w:rPr>
                <w:sz w:val="22"/>
                <w:szCs w:val="22"/>
                <w:u w:val="single"/>
              </w:rPr>
            </w:pPr>
            <w:r w:rsidRPr="00990FB6">
              <w:rPr>
                <w:sz w:val="22"/>
                <w:szCs w:val="22"/>
                <w:u w:val="single"/>
              </w:rPr>
              <w:t>JABON PARA PARABRISAS</w:t>
            </w:r>
          </w:p>
        </w:tc>
        <w:tc>
          <w:tcPr>
            <w:tcW w:w="550" w:type="pct"/>
            <w:hideMark/>
          </w:tcPr>
          <w:p w14:paraId="31F8BEA9" w14:textId="77777777" w:rsidR="00B15F7D" w:rsidRPr="00990FB6" w:rsidRDefault="00B15F7D" w:rsidP="00B15F7D">
            <w:pPr>
              <w:rPr>
                <w:sz w:val="22"/>
                <w:szCs w:val="22"/>
                <w:u w:val="single"/>
              </w:rPr>
            </w:pPr>
            <w:r w:rsidRPr="00990FB6">
              <w:rPr>
                <w:sz w:val="22"/>
                <w:szCs w:val="22"/>
                <w:u w:val="single"/>
              </w:rPr>
              <w:t>15.995,00</w:t>
            </w:r>
          </w:p>
        </w:tc>
        <w:tc>
          <w:tcPr>
            <w:tcW w:w="511" w:type="pct"/>
            <w:noWrap/>
            <w:hideMark/>
          </w:tcPr>
          <w:p w14:paraId="2EB7285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393194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D3DE3E3"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26E9B1FD" w14:textId="77777777" w:rsidTr="000A0C22">
        <w:trPr>
          <w:trHeight w:val="580"/>
          <w:jc w:val="center"/>
        </w:trPr>
        <w:tc>
          <w:tcPr>
            <w:tcW w:w="583" w:type="pct"/>
            <w:hideMark/>
          </w:tcPr>
          <w:p w14:paraId="5A966E8F"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581C37B8"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4D926A8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20864</w:t>
            </w:r>
          </w:p>
        </w:tc>
        <w:tc>
          <w:tcPr>
            <w:tcW w:w="1045" w:type="pct"/>
            <w:hideMark/>
          </w:tcPr>
          <w:p w14:paraId="050DB156" w14:textId="77777777" w:rsidR="00B15F7D" w:rsidRPr="00990FB6" w:rsidRDefault="00B15F7D" w:rsidP="00B15F7D">
            <w:pPr>
              <w:rPr>
                <w:sz w:val="22"/>
                <w:szCs w:val="22"/>
                <w:u w:val="single"/>
              </w:rPr>
            </w:pPr>
            <w:r w:rsidRPr="00990FB6">
              <w:rPr>
                <w:sz w:val="22"/>
                <w:szCs w:val="22"/>
                <w:u w:val="single"/>
              </w:rPr>
              <w:t>LIMPIADOR DE SUPERFICIES P PANTALLAS DE COMPUTADORAS</w:t>
            </w:r>
          </w:p>
        </w:tc>
        <w:tc>
          <w:tcPr>
            <w:tcW w:w="550" w:type="pct"/>
            <w:hideMark/>
          </w:tcPr>
          <w:p w14:paraId="7958E01E" w14:textId="77777777" w:rsidR="00B15F7D" w:rsidRPr="00990FB6" w:rsidRDefault="00B15F7D" w:rsidP="00B15F7D">
            <w:pPr>
              <w:rPr>
                <w:sz w:val="22"/>
                <w:szCs w:val="22"/>
                <w:u w:val="single"/>
              </w:rPr>
            </w:pPr>
            <w:r w:rsidRPr="00990FB6">
              <w:rPr>
                <w:sz w:val="22"/>
                <w:szCs w:val="22"/>
                <w:u w:val="single"/>
              </w:rPr>
              <w:t>666.700,00</w:t>
            </w:r>
          </w:p>
        </w:tc>
        <w:tc>
          <w:tcPr>
            <w:tcW w:w="511" w:type="pct"/>
            <w:noWrap/>
            <w:hideMark/>
          </w:tcPr>
          <w:p w14:paraId="619AE1B9"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DD255B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9302434"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73046D59" w14:textId="77777777" w:rsidTr="000A0C22">
        <w:trPr>
          <w:trHeight w:val="580"/>
          <w:jc w:val="center"/>
        </w:trPr>
        <w:tc>
          <w:tcPr>
            <w:tcW w:w="583" w:type="pct"/>
            <w:hideMark/>
          </w:tcPr>
          <w:p w14:paraId="6E5DFB3E"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267C6C8A"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0E5CBD1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21179</w:t>
            </w:r>
          </w:p>
        </w:tc>
        <w:tc>
          <w:tcPr>
            <w:tcW w:w="1045" w:type="pct"/>
            <w:hideMark/>
          </w:tcPr>
          <w:p w14:paraId="16CE8508" w14:textId="77777777" w:rsidR="00B15F7D" w:rsidRPr="00990FB6" w:rsidRDefault="00B15F7D" w:rsidP="00B15F7D">
            <w:pPr>
              <w:rPr>
                <w:sz w:val="22"/>
                <w:szCs w:val="22"/>
                <w:u w:val="single"/>
              </w:rPr>
            </w:pPr>
            <w:r w:rsidRPr="00990FB6">
              <w:rPr>
                <w:sz w:val="22"/>
                <w:szCs w:val="22"/>
                <w:u w:val="single"/>
              </w:rPr>
              <w:t>DISPENSADOR PARA PAPEL TOALLA</w:t>
            </w:r>
          </w:p>
        </w:tc>
        <w:tc>
          <w:tcPr>
            <w:tcW w:w="550" w:type="pct"/>
            <w:hideMark/>
          </w:tcPr>
          <w:p w14:paraId="0BD23271" w14:textId="77777777" w:rsidR="00B15F7D" w:rsidRPr="00990FB6" w:rsidRDefault="00B15F7D" w:rsidP="00B15F7D">
            <w:pPr>
              <w:rPr>
                <w:sz w:val="22"/>
                <w:szCs w:val="22"/>
                <w:u w:val="single"/>
              </w:rPr>
            </w:pPr>
            <w:r w:rsidRPr="00990FB6">
              <w:rPr>
                <w:sz w:val="22"/>
                <w:szCs w:val="22"/>
                <w:u w:val="single"/>
              </w:rPr>
              <w:t>79.100,00</w:t>
            </w:r>
          </w:p>
        </w:tc>
        <w:tc>
          <w:tcPr>
            <w:tcW w:w="511" w:type="pct"/>
            <w:noWrap/>
            <w:hideMark/>
          </w:tcPr>
          <w:p w14:paraId="19E5C4D0"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EBC160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0A63322"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6075667C" w14:textId="77777777" w:rsidTr="000A0C22">
        <w:trPr>
          <w:trHeight w:val="580"/>
          <w:jc w:val="center"/>
        </w:trPr>
        <w:tc>
          <w:tcPr>
            <w:tcW w:w="583" w:type="pct"/>
            <w:hideMark/>
          </w:tcPr>
          <w:p w14:paraId="0BE3F2E9"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42EA869F"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3A3B618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21697</w:t>
            </w:r>
          </w:p>
        </w:tc>
        <w:tc>
          <w:tcPr>
            <w:tcW w:w="1045" w:type="pct"/>
            <w:hideMark/>
          </w:tcPr>
          <w:p w14:paraId="13190A67" w14:textId="77777777" w:rsidR="00B15F7D" w:rsidRPr="00990FB6" w:rsidRDefault="00B15F7D" w:rsidP="00B15F7D">
            <w:pPr>
              <w:rPr>
                <w:sz w:val="22"/>
                <w:szCs w:val="22"/>
                <w:u w:val="single"/>
              </w:rPr>
            </w:pPr>
            <w:r w:rsidRPr="00990FB6">
              <w:rPr>
                <w:sz w:val="22"/>
                <w:szCs w:val="22"/>
                <w:u w:val="single"/>
              </w:rPr>
              <w:t>BASURERO RECTANGULAR CON TAPA Y RUEDAS</w:t>
            </w:r>
          </w:p>
        </w:tc>
        <w:tc>
          <w:tcPr>
            <w:tcW w:w="550" w:type="pct"/>
            <w:hideMark/>
          </w:tcPr>
          <w:p w14:paraId="42B0D827" w14:textId="77777777" w:rsidR="00B15F7D" w:rsidRPr="00990FB6" w:rsidRDefault="00B15F7D" w:rsidP="00B15F7D">
            <w:pPr>
              <w:rPr>
                <w:sz w:val="22"/>
                <w:szCs w:val="22"/>
                <w:u w:val="single"/>
              </w:rPr>
            </w:pPr>
            <w:r w:rsidRPr="00990FB6">
              <w:rPr>
                <w:sz w:val="22"/>
                <w:szCs w:val="22"/>
                <w:u w:val="single"/>
              </w:rPr>
              <w:t>228.282,00</w:t>
            </w:r>
          </w:p>
        </w:tc>
        <w:tc>
          <w:tcPr>
            <w:tcW w:w="511" w:type="pct"/>
            <w:noWrap/>
            <w:hideMark/>
          </w:tcPr>
          <w:p w14:paraId="156115A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887839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1CF8030"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0BF430CB" w14:textId="77777777" w:rsidTr="000A0C22">
        <w:trPr>
          <w:trHeight w:val="580"/>
          <w:jc w:val="center"/>
        </w:trPr>
        <w:tc>
          <w:tcPr>
            <w:tcW w:w="583" w:type="pct"/>
            <w:hideMark/>
          </w:tcPr>
          <w:p w14:paraId="12E993F8"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25DE3A4E"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596F986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22602</w:t>
            </w:r>
          </w:p>
        </w:tc>
        <w:tc>
          <w:tcPr>
            <w:tcW w:w="1045" w:type="pct"/>
            <w:hideMark/>
          </w:tcPr>
          <w:p w14:paraId="2937827D" w14:textId="77777777" w:rsidR="00B15F7D" w:rsidRPr="00990FB6" w:rsidRDefault="00B15F7D" w:rsidP="00B15F7D">
            <w:pPr>
              <w:rPr>
                <w:sz w:val="22"/>
                <w:szCs w:val="22"/>
                <w:u w:val="single"/>
              </w:rPr>
            </w:pPr>
            <w:r w:rsidRPr="00990FB6">
              <w:rPr>
                <w:sz w:val="22"/>
                <w:szCs w:val="22"/>
                <w:u w:val="single"/>
              </w:rPr>
              <w:t>LIMPIADOR EN POLVO CON TRICLORIN</w:t>
            </w:r>
          </w:p>
        </w:tc>
        <w:tc>
          <w:tcPr>
            <w:tcW w:w="550" w:type="pct"/>
            <w:hideMark/>
          </w:tcPr>
          <w:p w14:paraId="5195B6AC" w14:textId="77777777" w:rsidR="00B15F7D" w:rsidRPr="00990FB6" w:rsidRDefault="00B15F7D" w:rsidP="00B15F7D">
            <w:pPr>
              <w:rPr>
                <w:sz w:val="22"/>
                <w:szCs w:val="22"/>
                <w:u w:val="single"/>
              </w:rPr>
            </w:pPr>
            <w:r w:rsidRPr="00990FB6">
              <w:rPr>
                <w:sz w:val="22"/>
                <w:szCs w:val="22"/>
                <w:u w:val="single"/>
              </w:rPr>
              <w:t>929.639,00</w:t>
            </w:r>
          </w:p>
        </w:tc>
        <w:tc>
          <w:tcPr>
            <w:tcW w:w="511" w:type="pct"/>
            <w:noWrap/>
            <w:hideMark/>
          </w:tcPr>
          <w:p w14:paraId="778DC65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4FED9F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FFD856C"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0FB528C3" w14:textId="77777777" w:rsidTr="000A0C22">
        <w:trPr>
          <w:trHeight w:val="580"/>
          <w:jc w:val="center"/>
        </w:trPr>
        <w:tc>
          <w:tcPr>
            <w:tcW w:w="583" w:type="pct"/>
            <w:hideMark/>
          </w:tcPr>
          <w:p w14:paraId="320083D5"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58CE6309"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00BA364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23468</w:t>
            </w:r>
          </w:p>
        </w:tc>
        <w:tc>
          <w:tcPr>
            <w:tcW w:w="1045" w:type="pct"/>
            <w:hideMark/>
          </w:tcPr>
          <w:p w14:paraId="02BFF0E6" w14:textId="77777777" w:rsidR="00B15F7D" w:rsidRPr="00990FB6" w:rsidRDefault="00B15F7D" w:rsidP="00B15F7D">
            <w:pPr>
              <w:rPr>
                <w:sz w:val="22"/>
                <w:szCs w:val="22"/>
                <w:u w:val="single"/>
              </w:rPr>
            </w:pPr>
            <w:r w:rsidRPr="00990FB6">
              <w:rPr>
                <w:sz w:val="22"/>
                <w:szCs w:val="22"/>
                <w:u w:val="single"/>
              </w:rPr>
              <w:t>PALO DE PISO</w:t>
            </w:r>
          </w:p>
        </w:tc>
        <w:tc>
          <w:tcPr>
            <w:tcW w:w="550" w:type="pct"/>
            <w:hideMark/>
          </w:tcPr>
          <w:p w14:paraId="18894B26" w14:textId="77777777" w:rsidR="00B15F7D" w:rsidRPr="00990FB6" w:rsidRDefault="00B15F7D" w:rsidP="00B15F7D">
            <w:pPr>
              <w:rPr>
                <w:sz w:val="22"/>
                <w:szCs w:val="22"/>
                <w:u w:val="single"/>
              </w:rPr>
            </w:pPr>
            <w:r w:rsidRPr="00990FB6">
              <w:rPr>
                <w:sz w:val="22"/>
                <w:szCs w:val="22"/>
                <w:u w:val="single"/>
              </w:rPr>
              <w:t>23.165,00</w:t>
            </w:r>
          </w:p>
        </w:tc>
        <w:tc>
          <w:tcPr>
            <w:tcW w:w="511" w:type="pct"/>
            <w:noWrap/>
            <w:hideMark/>
          </w:tcPr>
          <w:p w14:paraId="6614BA7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4443627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825DDA6"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w:t>
            </w:r>
            <w:r w:rsidRPr="00990FB6">
              <w:rPr>
                <w:sz w:val="22"/>
                <w:szCs w:val="22"/>
                <w:u w:val="single"/>
              </w:rPr>
              <w:lastRenderedPageBreak/>
              <w:t xml:space="preserve">instalaciones. Riesgo de salud para el personal y usuarios. </w:t>
            </w:r>
          </w:p>
        </w:tc>
      </w:tr>
      <w:tr w:rsidR="00B15F7D" w:rsidRPr="00990FB6" w14:paraId="5FB8CC66" w14:textId="77777777" w:rsidTr="000A0C22">
        <w:trPr>
          <w:trHeight w:val="580"/>
          <w:jc w:val="center"/>
        </w:trPr>
        <w:tc>
          <w:tcPr>
            <w:tcW w:w="583" w:type="pct"/>
            <w:hideMark/>
          </w:tcPr>
          <w:p w14:paraId="33E97331" w14:textId="77777777" w:rsidR="00B15F7D" w:rsidRPr="00990FB6" w:rsidRDefault="00B15F7D" w:rsidP="00B15F7D">
            <w:pPr>
              <w:rPr>
                <w:sz w:val="22"/>
                <w:szCs w:val="22"/>
                <w:u w:val="single"/>
              </w:rPr>
            </w:pPr>
            <w:r w:rsidRPr="00990FB6">
              <w:rPr>
                <w:sz w:val="22"/>
                <w:szCs w:val="22"/>
                <w:u w:val="single"/>
              </w:rPr>
              <w:lastRenderedPageBreak/>
              <w:t>29905</w:t>
            </w:r>
          </w:p>
        </w:tc>
        <w:tc>
          <w:tcPr>
            <w:tcW w:w="578" w:type="pct"/>
            <w:hideMark/>
          </w:tcPr>
          <w:p w14:paraId="1DF4FB0A"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5A4F791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24933</w:t>
            </w:r>
          </w:p>
        </w:tc>
        <w:tc>
          <w:tcPr>
            <w:tcW w:w="1045" w:type="pct"/>
            <w:hideMark/>
          </w:tcPr>
          <w:p w14:paraId="35E61624" w14:textId="77777777" w:rsidR="00B15F7D" w:rsidRPr="00990FB6" w:rsidRDefault="00B15F7D" w:rsidP="00B15F7D">
            <w:pPr>
              <w:rPr>
                <w:sz w:val="22"/>
                <w:szCs w:val="22"/>
                <w:u w:val="single"/>
              </w:rPr>
            </w:pPr>
            <w:r w:rsidRPr="00990FB6">
              <w:rPr>
                <w:sz w:val="22"/>
                <w:szCs w:val="22"/>
                <w:u w:val="single"/>
              </w:rPr>
              <w:t>PAPEL HIGIENICO SIN ENVOLTURA</w:t>
            </w:r>
          </w:p>
        </w:tc>
        <w:tc>
          <w:tcPr>
            <w:tcW w:w="550" w:type="pct"/>
            <w:hideMark/>
          </w:tcPr>
          <w:p w14:paraId="56EC3D4A" w14:textId="77777777" w:rsidR="00B15F7D" w:rsidRPr="00990FB6" w:rsidRDefault="00B15F7D" w:rsidP="00B15F7D">
            <w:pPr>
              <w:rPr>
                <w:sz w:val="22"/>
                <w:szCs w:val="22"/>
                <w:u w:val="single"/>
              </w:rPr>
            </w:pPr>
            <w:r w:rsidRPr="00990FB6">
              <w:rPr>
                <w:sz w:val="22"/>
                <w:szCs w:val="22"/>
                <w:u w:val="single"/>
              </w:rPr>
              <w:t>7.214,00</w:t>
            </w:r>
          </w:p>
        </w:tc>
        <w:tc>
          <w:tcPr>
            <w:tcW w:w="511" w:type="pct"/>
            <w:noWrap/>
            <w:hideMark/>
          </w:tcPr>
          <w:p w14:paraId="3FF8346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FFEF1D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2909534"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55781992" w14:textId="77777777" w:rsidTr="000A0C22">
        <w:trPr>
          <w:trHeight w:val="580"/>
          <w:jc w:val="center"/>
        </w:trPr>
        <w:tc>
          <w:tcPr>
            <w:tcW w:w="583" w:type="pct"/>
            <w:hideMark/>
          </w:tcPr>
          <w:p w14:paraId="4F863D18"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6BE2ABF7"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71EC124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25197</w:t>
            </w:r>
          </w:p>
        </w:tc>
        <w:tc>
          <w:tcPr>
            <w:tcW w:w="1045" w:type="pct"/>
            <w:hideMark/>
          </w:tcPr>
          <w:p w14:paraId="0886D949" w14:textId="77777777" w:rsidR="00B15F7D" w:rsidRPr="00990FB6" w:rsidRDefault="00B15F7D" w:rsidP="00B15F7D">
            <w:pPr>
              <w:rPr>
                <w:sz w:val="22"/>
                <w:szCs w:val="22"/>
                <w:u w:val="single"/>
              </w:rPr>
            </w:pPr>
            <w:r w:rsidRPr="00990FB6">
              <w:rPr>
                <w:sz w:val="22"/>
                <w:szCs w:val="22"/>
                <w:u w:val="single"/>
              </w:rPr>
              <w:t>DISPENSADOR PARA ALCOHOL SPRAY</w:t>
            </w:r>
          </w:p>
        </w:tc>
        <w:tc>
          <w:tcPr>
            <w:tcW w:w="550" w:type="pct"/>
            <w:hideMark/>
          </w:tcPr>
          <w:p w14:paraId="384A79BF" w14:textId="77777777" w:rsidR="00B15F7D" w:rsidRPr="00990FB6" w:rsidRDefault="00B15F7D" w:rsidP="00B15F7D">
            <w:pPr>
              <w:rPr>
                <w:sz w:val="22"/>
                <w:szCs w:val="22"/>
                <w:u w:val="single"/>
              </w:rPr>
            </w:pPr>
            <w:r w:rsidRPr="00990FB6">
              <w:rPr>
                <w:sz w:val="22"/>
                <w:szCs w:val="22"/>
                <w:u w:val="single"/>
              </w:rPr>
              <w:t>37.572,00</w:t>
            </w:r>
          </w:p>
        </w:tc>
        <w:tc>
          <w:tcPr>
            <w:tcW w:w="511" w:type="pct"/>
            <w:noWrap/>
            <w:hideMark/>
          </w:tcPr>
          <w:p w14:paraId="1C2D5F05"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13A2F30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D50F29B"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03593908" w14:textId="77777777" w:rsidTr="000A0C22">
        <w:trPr>
          <w:trHeight w:val="580"/>
          <w:jc w:val="center"/>
        </w:trPr>
        <w:tc>
          <w:tcPr>
            <w:tcW w:w="583" w:type="pct"/>
            <w:hideMark/>
          </w:tcPr>
          <w:p w14:paraId="7B79DA37"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0CB56A91"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26C5F67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25271</w:t>
            </w:r>
          </w:p>
        </w:tc>
        <w:tc>
          <w:tcPr>
            <w:tcW w:w="1045" w:type="pct"/>
            <w:hideMark/>
          </w:tcPr>
          <w:p w14:paraId="138C4EFB" w14:textId="77777777" w:rsidR="00B15F7D" w:rsidRPr="00990FB6" w:rsidRDefault="00B15F7D" w:rsidP="00B15F7D">
            <w:pPr>
              <w:rPr>
                <w:sz w:val="22"/>
                <w:szCs w:val="22"/>
                <w:u w:val="single"/>
              </w:rPr>
            </w:pPr>
            <w:r w:rsidRPr="00990FB6">
              <w:rPr>
                <w:sz w:val="22"/>
                <w:szCs w:val="22"/>
                <w:u w:val="single"/>
              </w:rPr>
              <w:t>DISPENSADOR PARA JABON</w:t>
            </w:r>
          </w:p>
        </w:tc>
        <w:tc>
          <w:tcPr>
            <w:tcW w:w="550" w:type="pct"/>
            <w:hideMark/>
          </w:tcPr>
          <w:p w14:paraId="08BEA550" w14:textId="77777777" w:rsidR="00B15F7D" w:rsidRPr="00990FB6" w:rsidRDefault="00B15F7D" w:rsidP="00B15F7D">
            <w:pPr>
              <w:rPr>
                <w:sz w:val="22"/>
                <w:szCs w:val="22"/>
                <w:u w:val="single"/>
              </w:rPr>
            </w:pPr>
            <w:r w:rsidRPr="00990FB6">
              <w:rPr>
                <w:sz w:val="22"/>
                <w:szCs w:val="22"/>
                <w:u w:val="single"/>
              </w:rPr>
              <w:t>47.500,00</w:t>
            </w:r>
          </w:p>
        </w:tc>
        <w:tc>
          <w:tcPr>
            <w:tcW w:w="511" w:type="pct"/>
            <w:noWrap/>
            <w:hideMark/>
          </w:tcPr>
          <w:p w14:paraId="14D8B566"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8B3BA8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207E141"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3C6AAD2E" w14:textId="77777777" w:rsidTr="000A0C22">
        <w:trPr>
          <w:trHeight w:val="580"/>
          <w:jc w:val="center"/>
        </w:trPr>
        <w:tc>
          <w:tcPr>
            <w:tcW w:w="583" w:type="pct"/>
            <w:hideMark/>
          </w:tcPr>
          <w:p w14:paraId="10EDA727" w14:textId="77777777" w:rsidR="00B15F7D" w:rsidRPr="00990FB6" w:rsidRDefault="00B15F7D" w:rsidP="00B15F7D">
            <w:pPr>
              <w:rPr>
                <w:sz w:val="22"/>
                <w:szCs w:val="22"/>
                <w:u w:val="single"/>
              </w:rPr>
            </w:pPr>
            <w:r w:rsidRPr="00990FB6">
              <w:rPr>
                <w:sz w:val="22"/>
                <w:szCs w:val="22"/>
                <w:u w:val="single"/>
              </w:rPr>
              <w:t>29905</w:t>
            </w:r>
          </w:p>
        </w:tc>
        <w:tc>
          <w:tcPr>
            <w:tcW w:w="578" w:type="pct"/>
            <w:hideMark/>
          </w:tcPr>
          <w:p w14:paraId="083232F7" w14:textId="77777777" w:rsidR="00B15F7D" w:rsidRPr="00990FB6" w:rsidRDefault="00B15F7D" w:rsidP="00B15F7D">
            <w:pPr>
              <w:rPr>
                <w:sz w:val="22"/>
                <w:szCs w:val="22"/>
                <w:u w:val="single"/>
              </w:rPr>
            </w:pPr>
            <w:r w:rsidRPr="00990FB6">
              <w:rPr>
                <w:sz w:val="22"/>
                <w:szCs w:val="22"/>
                <w:u w:val="single"/>
              </w:rPr>
              <w:t>Útiles y materiales de limpieza</w:t>
            </w:r>
          </w:p>
        </w:tc>
        <w:tc>
          <w:tcPr>
            <w:tcW w:w="363" w:type="pct"/>
            <w:hideMark/>
          </w:tcPr>
          <w:p w14:paraId="08D9F3F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25593</w:t>
            </w:r>
          </w:p>
        </w:tc>
        <w:tc>
          <w:tcPr>
            <w:tcW w:w="1045" w:type="pct"/>
            <w:hideMark/>
          </w:tcPr>
          <w:p w14:paraId="2C718F88" w14:textId="77777777" w:rsidR="00B15F7D" w:rsidRPr="00990FB6" w:rsidRDefault="00B15F7D" w:rsidP="00B15F7D">
            <w:pPr>
              <w:rPr>
                <w:sz w:val="22"/>
                <w:szCs w:val="22"/>
                <w:u w:val="single"/>
              </w:rPr>
            </w:pPr>
            <w:r w:rsidRPr="00990FB6">
              <w:rPr>
                <w:sz w:val="22"/>
                <w:szCs w:val="22"/>
                <w:u w:val="single"/>
              </w:rPr>
              <w:t>JABON AZUL EN BARRA</w:t>
            </w:r>
          </w:p>
        </w:tc>
        <w:tc>
          <w:tcPr>
            <w:tcW w:w="550" w:type="pct"/>
            <w:hideMark/>
          </w:tcPr>
          <w:p w14:paraId="1B9C1E1A" w14:textId="77777777" w:rsidR="00B15F7D" w:rsidRPr="00990FB6" w:rsidRDefault="00B15F7D" w:rsidP="00B15F7D">
            <w:pPr>
              <w:rPr>
                <w:sz w:val="22"/>
                <w:szCs w:val="22"/>
                <w:u w:val="single"/>
              </w:rPr>
            </w:pPr>
            <w:r w:rsidRPr="00990FB6">
              <w:rPr>
                <w:sz w:val="22"/>
                <w:szCs w:val="22"/>
                <w:u w:val="single"/>
              </w:rPr>
              <w:t>35.000,00</w:t>
            </w:r>
          </w:p>
        </w:tc>
        <w:tc>
          <w:tcPr>
            <w:tcW w:w="511" w:type="pct"/>
            <w:noWrap/>
            <w:hideMark/>
          </w:tcPr>
          <w:p w14:paraId="4F3B846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39543BE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F8AD718"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2111EA10" w14:textId="77777777" w:rsidTr="000A0C22">
        <w:trPr>
          <w:trHeight w:val="870"/>
          <w:jc w:val="center"/>
        </w:trPr>
        <w:tc>
          <w:tcPr>
            <w:tcW w:w="583" w:type="pct"/>
            <w:hideMark/>
          </w:tcPr>
          <w:p w14:paraId="6382821E" w14:textId="77777777" w:rsidR="00B15F7D" w:rsidRPr="00990FB6" w:rsidRDefault="00B15F7D" w:rsidP="00B15F7D">
            <w:pPr>
              <w:rPr>
                <w:sz w:val="22"/>
                <w:szCs w:val="22"/>
                <w:u w:val="single"/>
              </w:rPr>
            </w:pPr>
            <w:r w:rsidRPr="00990FB6">
              <w:rPr>
                <w:sz w:val="22"/>
                <w:szCs w:val="22"/>
                <w:u w:val="single"/>
              </w:rPr>
              <w:t>29906</w:t>
            </w:r>
          </w:p>
        </w:tc>
        <w:tc>
          <w:tcPr>
            <w:tcW w:w="578" w:type="pct"/>
            <w:hideMark/>
          </w:tcPr>
          <w:p w14:paraId="20C6B2E2" w14:textId="77777777" w:rsidR="00B15F7D" w:rsidRPr="00990FB6" w:rsidRDefault="00B15F7D" w:rsidP="00B15F7D">
            <w:pPr>
              <w:rPr>
                <w:sz w:val="22"/>
                <w:szCs w:val="22"/>
                <w:u w:val="single"/>
              </w:rPr>
            </w:pPr>
            <w:r w:rsidRPr="00990FB6">
              <w:rPr>
                <w:sz w:val="22"/>
                <w:szCs w:val="22"/>
                <w:u w:val="single"/>
              </w:rPr>
              <w:t>Útiles y materiales de resguardo y seguridad</w:t>
            </w:r>
          </w:p>
        </w:tc>
        <w:tc>
          <w:tcPr>
            <w:tcW w:w="363" w:type="pct"/>
            <w:hideMark/>
          </w:tcPr>
          <w:p w14:paraId="01C956D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15747</w:t>
            </w:r>
          </w:p>
        </w:tc>
        <w:tc>
          <w:tcPr>
            <w:tcW w:w="1045" w:type="pct"/>
            <w:hideMark/>
          </w:tcPr>
          <w:p w14:paraId="2415BF5D" w14:textId="77777777" w:rsidR="00B15F7D" w:rsidRPr="00990FB6" w:rsidRDefault="00B15F7D" w:rsidP="00B15F7D">
            <w:pPr>
              <w:rPr>
                <w:sz w:val="22"/>
                <w:szCs w:val="22"/>
                <w:u w:val="single"/>
              </w:rPr>
            </w:pPr>
            <w:r w:rsidRPr="00990FB6">
              <w:rPr>
                <w:sz w:val="22"/>
                <w:szCs w:val="22"/>
                <w:u w:val="single"/>
              </w:rPr>
              <w:t>CHALECO ANTIBALAS</w:t>
            </w:r>
          </w:p>
        </w:tc>
        <w:tc>
          <w:tcPr>
            <w:tcW w:w="550" w:type="pct"/>
            <w:hideMark/>
          </w:tcPr>
          <w:p w14:paraId="715B2847" w14:textId="77777777" w:rsidR="00B15F7D" w:rsidRPr="00990FB6" w:rsidRDefault="00B15F7D" w:rsidP="00B15F7D">
            <w:pPr>
              <w:rPr>
                <w:sz w:val="22"/>
                <w:szCs w:val="22"/>
                <w:u w:val="single"/>
              </w:rPr>
            </w:pPr>
            <w:r w:rsidRPr="00990FB6">
              <w:rPr>
                <w:sz w:val="22"/>
                <w:szCs w:val="22"/>
                <w:u w:val="single"/>
              </w:rPr>
              <w:t>8.079.500,00</w:t>
            </w:r>
          </w:p>
        </w:tc>
        <w:tc>
          <w:tcPr>
            <w:tcW w:w="511" w:type="pct"/>
            <w:hideMark/>
          </w:tcPr>
          <w:p w14:paraId="5125264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93B313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EDBCB46" w14:textId="77777777" w:rsidR="00B15F7D" w:rsidRPr="00990FB6" w:rsidRDefault="00B15F7D" w:rsidP="00FC2DB5">
            <w:pPr>
              <w:jc w:val="both"/>
              <w:rPr>
                <w:sz w:val="22"/>
                <w:szCs w:val="22"/>
                <w:u w:val="single"/>
              </w:rPr>
            </w:pPr>
            <w:r w:rsidRPr="00990FB6">
              <w:rPr>
                <w:sz w:val="22"/>
                <w:szCs w:val="22"/>
                <w:u w:val="single"/>
              </w:rPr>
              <w:t xml:space="preserve">El no disponer de los recursos limita la adquisición de chalecos antibalas necesarios para la seguridad del </w:t>
            </w:r>
            <w:r w:rsidRPr="00990FB6">
              <w:rPr>
                <w:sz w:val="22"/>
                <w:szCs w:val="22"/>
                <w:u w:val="single"/>
              </w:rPr>
              <w:lastRenderedPageBreak/>
              <w:t xml:space="preserve">personal de la Fiscalía Especializada de Delincuencia Organizada que debe participar en </w:t>
            </w:r>
            <w:proofErr w:type="gramStart"/>
            <w:r w:rsidRPr="00990FB6">
              <w:rPr>
                <w:sz w:val="22"/>
                <w:szCs w:val="22"/>
                <w:u w:val="single"/>
              </w:rPr>
              <w:t>eventuales  allanamientos</w:t>
            </w:r>
            <w:proofErr w:type="gramEnd"/>
            <w:r w:rsidRPr="00990FB6">
              <w:rPr>
                <w:sz w:val="22"/>
                <w:szCs w:val="22"/>
                <w:u w:val="single"/>
              </w:rPr>
              <w:t xml:space="preserve"> de alta peligrosidad.  </w:t>
            </w:r>
          </w:p>
        </w:tc>
      </w:tr>
      <w:tr w:rsidR="00B15F7D" w:rsidRPr="00990FB6" w14:paraId="031E71B1" w14:textId="77777777" w:rsidTr="000A0C22">
        <w:trPr>
          <w:trHeight w:val="870"/>
          <w:jc w:val="center"/>
        </w:trPr>
        <w:tc>
          <w:tcPr>
            <w:tcW w:w="583" w:type="pct"/>
            <w:hideMark/>
          </w:tcPr>
          <w:p w14:paraId="474D330A" w14:textId="77777777" w:rsidR="00B15F7D" w:rsidRPr="00990FB6" w:rsidRDefault="00B15F7D" w:rsidP="00B15F7D">
            <w:pPr>
              <w:rPr>
                <w:sz w:val="22"/>
                <w:szCs w:val="22"/>
                <w:u w:val="single"/>
              </w:rPr>
            </w:pPr>
            <w:r w:rsidRPr="00990FB6">
              <w:rPr>
                <w:sz w:val="22"/>
                <w:szCs w:val="22"/>
                <w:u w:val="single"/>
              </w:rPr>
              <w:lastRenderedPageBreak/>
              <w:t>29906</w:t>
            </w:r>
          </w:p>
        </w:tc>
        <w:tc>
          <w:tcPr>
            <w:tcW w:w="578" w:type="pct"/>
            <w:hideMark/>
          </w:tcPr>
          <w:p w14:paraId="77ABEE8E" w14:textId="77777777" w:rsidR="00B15F7D" w:rsidRPr="00990FB6" w:rsidRDefault="00B15F7D" w:rsidP="00B15F7D">
            <w:pPr>
              <w:rPr>
                <w:sz w:val="22"/>
                <w:szCs w:val="22"/>
                <w:u w:val="single"/>
              </w:rPr>
            </w:pPr>
            <w:r w:rsidRPr="00990FB6">
              <w:rPr>
                <w:sz w:val="22"/>
                <w:szCs w:val="22"/>
                <w:u w:val="single"/>
              </w:rPr>
              <w:t>Útiles y materiales de resguardo y seguridad</w:t>
            </w:r>
          </w:p>
        </w:tc>
        <w:tc>
          <w:tcPr>
            <w:tcW w:w="363" w:type="pct"/>
            <w:hideMark/>
          </w:tcPr>
          <w:p w14:paraId="19EBBB5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25455</w:t>
            </w:r>
          </w:p>
        </w:tc>
        <w:tc>
          <w:tcPr>
            <w:tcW w:w="1045" w:type="pct"/>
            <w:hideMark/>
          </w:tcPr>
          <w:p w14:paraId="037DE47A" w14:textId="77777777" w:rsidR="00B15F7D" w:rsidRPr="00990FB6" w:rsidRDefault="00B15F7D" w:rsidP="00B15F7D">
            <w:pPr>
              <w:rPr>
                <w:sz w:val="22"/>
                <w:szCs w:val="22"/>
                <w:u w:val="single"/>
              </w:rPr>
            </w:pPr>
            <w:r w:rsidRPr="00990FB6">
              <w:rPr>
                <w:sz w:val="22"/>
                <w:szCs w:val="22"/>
                <w:u w:val="single"/>
              </w:rPr>
              <w:t>GUANTES DESCARTABLES NO ESTERILES, TALLA S</w:t>
            </w:r>
          </w:p>
        </w:tc>
        <w:tc>
          <w:tcPr>
            <w:tcW w:w="550" w:type="pct"/>
            <w:hideMark/>
          </w:tcPr>
          <w:p w14:paraId="0FB2CBD4" w14:textId="77777777" w:rsidR="00B15F7D" w:rsidRPr="00990FB6" w:rsidRDefault="00B15F7D" w:rsidP="00B15F7D">
            <w:pPr>
              <w:rPr>
                <w:sz w:val="22"/>
                <w:szCs w:val="22"/>
                <w:u w:val="single"/>
              </w:rPr>
            </w:pPr>
            <w:r w:rsidRPr="00990FB6">
              <w:rPr>
                <w:sz w:val="22"/>
                <w:szCs w:val="22"/>
                <w:u w:val="single"/>
              </w:rPr>
              <w:t>325.186,00</w:t>
            </w:r>
          </w:p>
        </w:tc>
        <w:tc>
          <w:tcPr>
            <w:tcW w:w="511" w:type="pct"/>
            <w:hideMark/>
          </w:tcPr>
          <w:p w14:paraId="59423DA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D4363D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D5A0FD6" w14:textId="77777777" w:rsidR="00B15F7D" w:rsidRPr="00990FB6" w:rsidRDefault="00B15F7D" w:rsidP="00FC2DB5">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de suministros para para la prevención de la COVID-19. </w:t>
            </w:r>
          </w:p>
        </w:tc>
      </w:tr>
      <w:tr w:rsidR="00B15F7D" w:rsidRPr="00990FB6" w14:paraId="6BCEE3AC" w14:textId="77777777" w:rsidTr="000A0C22">
        <w:trPr>
          <w:trHeight w:val="870"/>
          <w:jc w:val="center"/>
        </w:trPr>
        <w:tc>
          <w:tcPr>
            <w:tcW w:w="583" w:type="pct"/>
            <w:hideMark/>
          </w:tcPr>
          <w:p w14:paraId="41FC4AF9" w14:textId="77777777" w:rsidR="00B15F7D" w:rsidRPr="00990FB6" w:rsidRDefault="00B15F7D" w:rsidP="00B15F7D">
            <w:pPr>
              <w:rPr>
                <w:sz w:val="22"/>
                <w:szCs w:val="22"/>
                <w:u w:val="single"/>
              </w:rPr>
            </w:pPr>
            <w:r w:rsidRPr="00990FB6">
              <w:rPr>
                <w:sz w:val="22"/>
                <w:szCs w:val="22"/>
                <w:u w:val="single"/>
              </w:rPr>
              <w:t>29906</w:t>
            </w:r>
          </w:p>
        </w:tc>
        <w:tc>
          <w:tcPr>
            <w:tcW w:w="578" w:type="pct"/>
            <w:hideMark/>
          </w:tcPr>
          <w:p w14:paraId="06D50ABB" w14:textId="77777777" w:rsidR="00B15F7D" w:rsidRPr="00990FB6" w:rsidRDefault="00B15F7D" w:rsidP="00B15F7D">
            <w:pPr>
              <w:rPr>
                <w:sz w:val="22"/>
                <w:szCs w:val="22"/>
                <w:u w:val="single"/>
              </w:rPr>
            </w:pPr>
            <w:r w:rsidRPr="00990FB6">
              <w:rPr>
                <w:sz w:val="22"/>
                <w:szCs w:val="22"/>
                <w:u w:val="single"/>
              </w:rPr>
              <w:t>Útiles y materiales de resguardo y seguridad</w:t>
            </w:r>
          </w:p>
        </w:tc>
        <w:tc>
          <w:tcPr>
            <w:tcW w:w="363" w:type="pct"/>
            <w:hideMark/>
          </w:tcPr>
          <w:p w14:paraId="36094B00"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25470</w:t>
            </w:r>
          </w:p>
        </w:tc>
        <w:tc>
          <w:tcPr>
            <w:tcW w:w="1045" w:type="pct"/>
            <w:hideMark/>
          </w:tcPr>
          <w:p w14:paraId="1D8F1924" w14:textId="77777777" w:rsidR="00B15F7D" w:rsidRPr="00990FB6" w:rsidRDefault="00B15F7D" w:rsidP="00B15F7D">
            <w:pPr>
              <w:rPr>
                <w:sz w:val="22"/>
                <w:szCs w:val="22"/>
                <w:u w:val="single"/>
              </w:rPr>
            </w:pPr>
            <w:r w:rsidRPr="00990FB6">
              <w:rPr>
                <w:sz w:val="22"/>
                <w:szCs w:val="22"/>
                <w:u w:val="single"/>
              </w:rPr>
              <w:t>MASCARILLA DE TELA ANTIFLUIDOS TALLA M</w:t>
            </w:r>
          </w:p>
        </w:tc>
        <w:tc>
          <w:tcPr>
            <w:tcW w:w="550" w:type="pct"/>
            <w:hideMark/>
          </w:tcPr>
          <w:p w14:paraId="15C44143" w14:textId="77777777" w:rsidR="00B15F7D" w:rsidRPr="00990FB6" w:rsidRDefault="00B15F7D" w:rsidP="00B15F7D">
            <w:pPr>
              <w:rPr>
                <w:sz w:val="22"/>
                <w:szCs w:val="22"/>
                <w:u w:val="single"/>
              </w:rPr>
            </w:pPr>
            <w:r w:rsidRPr="00990FB6">
              <w:rPr>
                <w:sz w:val="22"/>
                <w:szCs w:val="22"/>
                <w:u w:val="single"/>
              </w:rPr>
              <w:t>86.688,00</w:t>
            </w:r>
          </w:p>
        </w:tc>
        <w:tc>
          <w:tcPr>
            <w:tcW w:w="511" w:type="pct"/>
            <w:hideMark/>
          </w:tcPr>
          <w:p w14:paraId="2508703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FC6F09C"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E0974B4" w14:textId="77777777" w:rsidR="00B15F7D" w:rsidRPr="00990FB6" w:rsidRDefault="00B15F7D" w:rsidP="00FC2DB5">
            <w:pPr>
              <w:jc w:val="both"/>
              <w:rPr>
                <w:sz w:val="22"/>
                <w:szCs w:val="22"/>
                <w:u w:val="single"/>
              </w:rPr>
            </w:pPr>
            <w:r w:rsidRPr="00990FB6">
              <w:rPr>
                <w:sz w:val="22"/>
                <w:szCs w:val="22"/>
                <w:u w:val="single"/>
              </w:rPr>
              <w:t xml:space="preserve">El rebajo de los recursos en esta sub partida se traduce en un riesgo de salud tanto para los usuarios como de los 1349 funcionarios a nivel nacional, al no contar con presupuesto para la compra </w:t>
            </w:r>
            <w:r w:rsidRPr="00990FB6">
              <w:rPr>
                <w:sz w:val="22"/>
                <w:szCs w:val="22"/>
                <w:u w:val="single"/>
              </w:rPr>
              <w:lastRenderedPageBreak/>
              <w:t xml:space="preserve">de suministros </w:t>
            </w:r>
            <w:proofErr w:type="gramStart"/>
            <w:r w:rsidRPr="00990FB6">
              <w:rPr>
                <w:sz w:val="22"/>
                <w:szCs w:val="22"/>
                <w:u w:val="single"/>
              </w:rPr>
              <w:t>para  para</w:t>
            </w:r>
            <w:proofErr w:type="gramEnd"/>
            <w:r w:rsidRPr="00990FB6">
              <w:rPr>
                <w:sz w:val="22"/>
                <w:szCs w:val="22"/>
                <w:u w:val="single"/>
              </w:rPr>
              <w:t xml:space="preserve"> la prevención de la COVID-19. </w:t>
            </w:r>
          </w:p>
        </w:tc>
      </w:tr>
      <w:tr w:rsidR="00B15F7D" w:rsidRPr="00990FB6" w14:paraId="63344C76" w14:textId="77777777" w:rsidTr="000A0C22">
        <w:trPr>
          <w:trHeight w:val="2030"/>
          <w:jc w:val="center"/>
        </w:trPr>
        <w:tc>
          <w:tcPr>
            <w:tcW w:w="583" w:type="pct"/>
            <w:hideMark/>
          </w:tcPr>
          <w:p w14:paraId="7B0125DB"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761643CF"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4F3442C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15851</w:t>
            </w:r>
          </w:p>
        </w:tc>
        <w:tc>
          <w:tcPr>
            <w:tcW w:w="1045" w:type="pct"/>
            <w:hideMark/>
          </w:tcPr>
          <w:p w14:paraId="22F29965" w14:textId="77777777" w:rsidR="00B15F7D" w:rsidRPr="00990FB6" w:rsidRDefault="00B15F7D" w:rsidP="00B15F7D">
            <w:pPr>
              <w:rPr>
                <w:sz w:val="22"/>
                <w:szCs w:val="22"/>
                <w:u w:val="single"/>
              </w:rPr>
            </w:pPr>
            <w:r w:rsidRPr="00990FB6">
              <w:rPr>
                <w:sz w:val="22"/>
                <w:szCs w:val="22"/>
                <w:u w:val="single"/>
              </w:rPr>
              <w:t>PLATOS DESECHABLES</w:t>
            </w:r>
          </w:p>
        </w:tc>
        <w:tc>
          <w:tcPr>
            <w:tcW w:w="550" w:type="pct"/>
            <w:hideMark/>
          </w:tcPr>
          <w:p w14:paraId="4FF38E02" w14:textId="77777777" w:rsidR="00B15F7D" w:rsidRPr="00990FB6" w:rsidRDefault="00B15F7D" w:rsidP="00B15F7D">
            <w:pPr>
              <w:rPr>
                <w:sz w:val="22"/>
                <w:szCs w:val="22"/>
                <w:u w:val="single"/>
              </w:rPr>
            </w:pPr>
            <w:r w:rsidRPr="00990FB6">
              <w:rPr>
                <w:sz w:val="22"/>
                <w:szCs w:val="22"/>
                <w:u w:val="single"/>
              </w:rPr>
              <w:t>74.185,00</w:t>
            </w:r>
          </w:p>
        </w:tc>
        <w:tc>
          <w:tcPr>
            <w:tcW w:w="511" w:type="pct"/>
            <w:hideMark/>
          </w:tcPr>
          <w:p w14:paraId="4D9BC628"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C0DC7C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7B699B9"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w:t>
            </w:r>
            <w:r w:rsidRPr="00990FB6">
              <w:rPr>
                <w:sz w:val="22"/>
                <w:szCs w:val="22"/>
                <w:u w:val="single"/>
              </w:rPr>
              <w:lastRenderedPageBreak/>
              <w:t xml:space="preserve">Pena, Corredores, Coto Brus,  Puerto Jiménez, Justicia Restaurativa, Probidad, Prensa. </w:t>
            </w:r>
          </w:p>
        </w:tc>
      </w:tr>
      <w:tr w:rsidR="00B15F7D" w:rsidRPr="00990FB6" w14:paraId="17273196" w14:textId="77777777" w:rsidTr="000A0C22">
        <w:trPr>
          <w:trHeight w:val="2030"/>
          <w:jc w:val="center"/>
        </w:trPr>
        <w:tc>
          <w:tcPr>
            <w:tcW w:w="583" w:type="pct"/>
            <w:hideMark/>
          </w:tcPr>
          <w:p w14:paraId="6866272D"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31F9E129"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5A3FA66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15852</w:t>
            </w:r>
          </w:p>
        </w:tc>
        <w:tc>
          <w:tcPr>
            <w:tcW w:w="1045" w:type="pct"/>
            <w:hideMark/>
          </w:tcPr>
          <w:p w14:paraId="56DEB1D3" w14:textId="77777777" w:rsidR="00B15F7D" w:rsidRPr="00990FB6" w:rsidRDefault="00B15F7D" w:rsidP="00B15F7D">
            <w:pPr>
              <w:rPr>
                <w:sz w:val="22"/>
                <w:szCs w:val="22"/>
                <w:u w:val="single"/>
              </w:rPr>
            </w:pPr>
            <w:r w:rsidRPr="00990FB6">
              <w:rPr>
                <w:sz w:val="22"/>
                <w:szCs w:val="22"/>
                <w:u w:val="single"/>
              </w:rPr>
              <w:t>CUCHARAS DESECHABLES</w:t>
            </w:r>
          </w:p>
        </w:tc>
        <w:tc>
          <w:tcPr>
            <w:tcW w:w="550" w:type="pct"/>
            <w:hideMark/>
          </w:tcPr>
          <w:p w14:paraId="3858DCA5" w14:textId="77777777" w:rsidR="00B15F7D" w:rsidRPr="00990FB6" w:rsidRDefault="00B15F7D" w:rsidP="00B15F7D">
            <w:pPr>
              <w:rPr>
                <w:sz w:val="22"/>
                <w:szCs w:val="22"/>
                <w:u w:val="single"/>
              </w:rPr>
            </w:pPr>
            <w:r w:rsidRPr="00990FB6">
              <w:rPr>
                <w:sz w:val="22"/>
                <w:szCs w:val="22"/>
                <w:u w:val="single"/>
              </w:rPr>
              <w:t>13.346,00</w:t>
            </w:r>
          </w:p>
        </w:tc>
        <w:tc>
          <w:tcPr>
            <w:tcW w:w="511" w:type="pct"/>
            <w:hideMark/>
          </w:tcPr>
          <w:p w14:paraId="44157C7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755730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2A55B7"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w:t>
            </w:r>
            <w:r w:rsidRPr="00990FB6">
              <w:rPr>
                <w:sz w:val="22"/>
                <w:szCs w:val="22"/>
                <w:u w:val="single"/>
              </w:rPr>
              <w:lastRenderedPageBreak/>
              <w:t xml:space="preserve">de las fiscalías  de Cartago, Golfito, Ejecución de la Pena, Corredores, Coto Brus,  Puerto Jiménez, Justicia Restaurativa, Probidad, Prensa. </w:t>
            </w:r>
          </w:p>
        </w:tc>
      </w:tr>
      <w:tr w:rsidR="00B15F7D" w:rsidRPr="00990FB6" w14:paraId="5C3BA4D8" w14:textId="77777777" w:rsidTr="000A0C22">
        <w:trPr>
          <w:trHeight w:val="2030"/>
          <w:jc w:val="center"/>
        </w:trPr>
        <w:tc>
          <w:tcPr>
            <w:tcW w:w="583" w:type="pct"/>
            <w:hideMark/>
          </w:tcPr>
          <w:p w14:paraId="55A614BE"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5F76A147"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6515FBF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15853</w:t>
            </w:r>
          </w:p>
        </w:tc>
        <w:tc>
          <w:tcPr>
            <w:tcW w:w="1045" w:type="pct"/>
            <w:hideMark/>
          </w:tcPr>
          <w:p w14:paraId="1770A833" w14:textId="77777777" w:rsidR="00B15F7D" w:rsidRPr="00990FB6" w:rsidRDefault="00B15F7D" w:rsidP="00B15F7D">
            <w:pPr>
              <w:rPr>
                <w:sz w:val="22"/>
                <w:szCs w:val="22"/>
                <w:u w:val="single"/>
              </w:rPr>
            </w:pPr>
            <w:r w:rsidRPr="00990FB6">
              <w:rPr>
                <w:sz w:val="22"/>
                <w:szCs w:val="22"/>
                <w:u w:val="single"/>
              </w:rPr>
              <w:t>FILTRO PARA CAFE</w:t>
            </w:r>
          </w:p>
        </w:tc>
        <w:tc>
          <w:tcPr>
            <w:tcW w:w="550" w:type="pct"/>
            <w:hideMark/>
          </w:tcPr>
          <w:p w14:paraId="57F1621A" w14:textId="77777777" w:rsidR="00B15F7D" w:rsidRPr="00990FB6" w:rsidRDefault="00B15F7D" w:rsidP="00B15F7D">
            <w:pPr>
              <w:rPr>
                <w:sz w:val="22"/>
                <w:szCs w:val="22"/>
                <w:u w:val="single"/>
              </w:rPr>
            </w:pPr>
            <w:r w:rsidRPr="00990FB6">
              <w:rPr>
                <w:sz w:val="22"/>
                <w:szCs w:val="22"/>
                <w:u w:val="single"/>
              </w:rPr>
              <w:t>10.169,00</w:t>
            </w:r>
          </w:p>
        </w:tc>
        <w:tc>
          <w:tcPr>
            <w:tcW w:w="511" w:type="pct"/>
            <w:hideMark/>
          </w:tcPr>
          <w:p w14:paraId="624D546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BAC3F9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A10A94C"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w:t>
            </w:r>
            <w:r w:rsidRPr="00990FB6">
              <w:rPr>
                <w:sz w:val="22"/>
                <w:szCs w:val="22"/>
                <w:u w:val="single"/>
              </w:rPr>
              <w:lastRenderedPageBreak/>
              <w:t xml:space="preserve">viéndose afectada la programación de actividades de las fiscalías  de Cartago, Golfito, Ejecución de la Pena, Corredores, Coto Brus,  Puerto Jiménez, Justicia Restaurativa, Probidad, Prensa. </w:t>
            </w:r>
          </w:p>
        </w:tc>
      </w:tr>
      <w:tr w:rsidR="00B15F7D" w:rsidRPr="00990FB6" w14:paraId="7BF35BD8" w14:textId="77777777" w:rsidTr="000A0C22">
        <w:trPr>
          <w:trHeight w:val="2030"/>
          <w:jc w:val="center"/>
        </w:trPr>
        <w:tc>
          <w:tcPr>
            <w:tcW w:w="583" w:type="pct"/>
            <w:hideMark/>
          </w:tcPr>
          <w:p w14:paraId="772FE34F"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03303CAC"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6C94466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15857</w:t>
            </w:r>
          </w:p>
        </w:tc>
        <w:tc>
          <w:tcPr>
            <w:tcW w:w="1045" w:type="pct"/>
            <w:hideMark/>
          </w:tcPr>
          <w:p w14:paraId="0F5DFF45" w14:textId="77777777" w:rsidR="00B15F7D" w:rsidRPr="00990FB6" w:rsidRDefault="00B15F7D" w:rsidP="00B15F7D">
            <w:pPr>
              <w:rPr>
                <w:sz w:val="22"/>
                <w:szCs w:val="22"/>
                <w:u w:val="single"/>
              </w:rPr>
            </w:pPr>
            <w:r w:rsidRPr="00990FB6">
              <w:rPr>
                <w:sz w:val="22"/>
                <w:szCs w:val="22"/>
                <w:u w:val="single"/>
              </w:rPr>
              <w:t>TAZAS BLANCAS</w:t>
            </w:r>
          </w:p>
        </w:tc>
        <w:tc>
          <w:tcPr>
            <w:tcW w:w="550" w:type="pct"/>
            <w:hideMark/>
          </w:tcPr>
          <w:p w14:paraId="2416AB72" w14:textId="77777777" w:rsidR="00B15F7D" w:rsidRPr="00990FB6" w:rsidRDefault="00B15F7D" w:rsidP="00B15F7D">
            <w:pPr>
              <w:rPr>
                <w:sz w:val="22"/>
                <w:szCs w:val="22"/>
                <w:u w:val="single"/>
              </w:rPr>
            </w:pPr>
            <w:r w:rsidRPr="00990FB6">
              <w:rPr>
                <w:sz w:val="22"/>
                <w:szCs w:val="22"/>
                <w:u w:val="single"/>
              </w:rPr>
              <w:t>32.651,00</w:t>
            </w:r>
          </w:p>
        </w:tc>
        <w:tc>
          <w:tcPr>
            <w:tcW w:w="511" w:type="pct"/>
            <w:hideMark/>
          </w:tcPr>
          <w:p w14:paraId="14BC02CB"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BC3D91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36B71A2"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 xml:space="preserve">presupuestados  </w:t>
            </w:r>
            <w:r w:rsidRPr="00990FB6">
              <w:rPr>
                <w:sz w:val="22"/>
                <w:szCs w:val="22"/>
                <w:u w:val="single"/>
              </w:rPr>
              <w:lastRenderedPageBreak/>
              <w:t>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55EEBD91" w14:textId="77777777" w:rsidTr="000A0C22">
        <w:trPr>
          <w:trHeight w:val="2030"/>
          <w:jc w:val="center"/>
        </w:trPr>
        <w:tc>
          <w:tcPr>
            <w:tcW w:w="583" w:type="pct"/>
            <w:hideMark/>
          </w:tcPr>
          <w:p w14:paraId="42176162"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15FFC672"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106CAEB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15858</w:t>
            </w:r>
          </w:p>
        </w:tc>
        <w:tc>
          <w:tcPr>
            <w:tcW w:w="1045" w:type="pct"/>
            <w:hideMark/>
          </w:tcPr>
          <w:p w14:paraId="3477C899" w14:textId="77777777" w:rsidR="00B15F7D" w:rsidRPr="00990FB6" w:rsidRDefault="00B15F7D" w:rsidP="00B15F7D">
            <w:pPr>
              <w:rPr>
                <w:sz w:val="22"/>
                <w:szCs w:val="22"/>
                <w:u w:val="single"/>
              </w:rPr>
            </w:pPr>
            <w:r w:rsidRPr="00990FB6">
              <w:rPr>
                <w:sz w:val="22"/>
                <w:szCs w:val="22"/>
                <w:u w:val="single"/>
              </w:rPr>
              <w:t>TENEDORES DESECHABLES</w:t>
            </w:r>
          </w:p>
        </w:tc>
        <w:tc>
          <w:tcPr>
            <w:tcW w:w="550" w:type="pct"/>
            <w:hideMark/>
          </w:tcPr>
          <w:p w14:paraId="725763CE" w14:textId="77777777" w:rsidR="00B15F7D" w:rsidRPr="00990FB6" w:rsidRDefault="00B15F7D" w:rsidP="00B15F7D">
            <w:pPr>
              <w:rPr>
                <w:sz w:val="22"/>
                <w:szCs w:val="22"/>
                <w:u w:val="single"/>
              </w:rPr>
            </w:pPr>
            <w:r w:rsidRPr="00990FB6">
              <w:rPr>
                <w:sz w:val="22"/>
                <w:szCs w:val="22"/>
                <w:u w:val="single"/>
              </w:rPr>
              <w:t>15.661,00</w:t>
            </w:r>
          </w:p>
        </w:tc>
        <w:tc>
          <w:tcPr>
            <w:tcW w:w="511" w:type="pct"/>
            <w:hideMark/>
          </w:tcPr>
          <w:p w14:paraId="1D9CC7F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2AFA7B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7C11927"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w:t>
            </w:r>
            <w:r w:rsidRPr="00990FB6">
              <w:rPr>
                <w:sz w:val="22"/>
                <w:szCs w:val="22"/>
                <w:u w:val="single"/>
              </w:rPr>
              <w:lastRenderedPageBreak/>
              <w:t xml:space="preserve">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044BCC92" w14:textId="77777777" w:rsidTr="000A0C22">
        <w:trPr>
          <w:trHeight w:val="2030"/>
          <w:jc w:val="center"/>
        </w:trPr>
        <w:tc>
          <w:tcPr>
            <w:tcW w:w="583" w:type="pct"/>
            <w:hideMark/>
          </w:tcPr>
          <w:p w14:paraId="42EB39B2"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55112938"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0E67351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15869</w:t>
            </w:r>
          </w:p>
        </w:tc>
        <w:tc>
          <w:tcPr>
            <w:tcW w:w="1045" w:type="pct"/>
            <w:hideMark/>
          </w:tcPr>
          <w:p w14:paraId="286C94D7" w14:textId="77777777" w:rsidR="00B15F7D" w:rsidRPr="00990FB6" w:rsidRDefault="00B15F7D" w:rsidP="00B15F7D">
            <w:pPr>
              <w:rPr>
                <w:sz w:val="22"/>
                <w:szCs w:val="22"/>
                <w:u w:val="single"/>
              </w:rPr>
            </w:pPr>
            <w:r w:rsidRPr="00990FB6">
              <w:rPr>
                <w:sz w:val="22"/>
                <w:szCs w:val="22"/>
                <w:u w:val="single"/>
              </w:rPr>
              <w:t>FRASCO PARA COFEE MAKER DE VIDRIO</w:t>
            </w:r>
          </w:p>
        </w:tc>
        <w:tc>
          <w:tcPr>
            <w:tcW w:w="550" w:type="pct"/>
            <w:hideMark/>
          </w:tcPr>
          <w:p w14:paraId="6896BBA4" w14:textId="77777777" w:rsidR="00B15F7D" w:rsidRPr="00990FB6" w:rsidRDefault="00B15F7D" w:rsidP="00B15F7D">
            <w:pPr>
              <w:rPr>
                <w:sz w:val="22"/>
                <w:szCs w:val="22"/>
                <w:u w:val="single"/>
              </w:rPr>
            </w:pPr>
            <w:r w:rsidRPr="00990FB6">
              <w:rPr>
                <w:sz w:val="22"/>
                <w:szCs w:val="22"/>
                <w:u w:val="single"/>
              </w:rPr>
              <w:t>25.012,00</w:t>
            </w:r>
          </w:p>
        </w:tc>
        <w:tc>
          <w:tcPr>
            <w:tcW w:w="511" w:type="pct"/>
            <w:hideMark/>
          </w:tcPr>
          <w:p w14:paraId="79A983F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739024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118824E"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w:t>
            </w:r>
            <w:r w:rsidRPr="00990FB6">
              <w:rPr>
                <w:sz w:val="22"/>
                <w:szCs w:val="22"/>
                <w:u w:val="single"/>
              </w:rPr>
              <w:lastRenderedPageBreak/>
              <w:t xml:space="preserve">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03850C0E" w14:textId="77777777" w:rsidTr="000A0C22">
        <w:trPr>
          <w:trHeight w:val="2030"/>
          <w:jc w:val="center"/>
        </w:trPr>
        <w:tc>
          <w:tcPr>
            <w:tcW w:w="583" w:type="pct"/>
            <w:hideMark/>
          </w:tcPr>
          <w:p w14:paraId="6AF3B588"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228820F6"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5B654F4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15873</w:t>
            </w:r>
          </w:p>
        </w:tc>
        <w:tc>
          <w:tcPr>
            <w:tcW w:w="1045" w:type="pct"/>
            <w:hideMark/>
          </w:tcPr>
          <w:p w14:paraId="589EABA2" w14:textId="77777777" w:rsidR="00B15F7D" w:rsidRPr="00990FB6" w:rsidRDefault="00B15F7D" w:rsidP="00B15F7D">
            <w:pPr>
              <w:rPr>
                <w:sz w:val="22"/>
                <w:szCs w:val="22"/>
                <w:u w:val="single"/>
              </w:rPr>
            </w:pPr>
            <w:r w:rsidRPr="00990FB6">
              <w:rPr>
                <w:sz w:val="22"/>
                <w:szCs w:val="22"/>
                <w:u w:val="single"/>
              </w:rPr>
              <w:t>PICHEL DE ALUMINIO PARA CAFE</w:t>
            </w:r>
          </w:p>
        </w:tc>
        <w:tc>
          <w:tcPr>
            <w:tcW w:w="550" w:type="pct"/>
            <w:hideMark/>
          </w:tcPr>
          <w:p w14:paraId="5A2B4E13" w14:textId="77777777" w:rsidR="00B15F7D" w:rsidRPr="00990FB6" w:rsidRDefault="00B15F7D" w:rsidP="00B15F7D">
            <w:pPr>
              <w:rPr>
                <w:sz w:val="22"/>
                <w:szCs w:val="22"/>
                <w:u w:val="single"/>
              </w:rPr>
            </w:pPr>
            <w:r w:rsidRPr="00990FB6">
              <w:rPr>
                <w:sz w:val="22"/>
                <w:szCs w:val="22"/>
                <w:u w:val="single"/>
              </w:rPr>
              <w:t>7.146,00</w:t>
            </w:r>
          </w:p>
        </w:tc>
        <w:tc>
          <w:tcPr>
            <w:tcW w:w="511" w:type="pct"/>
            <w:hideMark/>
          </w:tcPr>
          <w:p w14:paraId="4A5F222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EADA6D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6E6E8FD"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w:t>
            </w:r>
            <w:r w:rsidRPr="00990FB6">
              <w:rPr>
                <w:sz w:val="22"/>
                <w:szCs w:val="22"/>
                <w:u w:val="single"/>
              </w:rPr>
              <w:lastRenderedPageBreak/>
              <w:t xml:space="preserve">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0C56E3D0" w14:textId="77777777" w:rsidTr="000A0C22">
        <w:trPr>
          <w:trHeight w:val="2030"/>
          <w:jc w:val="center"/>
        </w:trPr>
        <w:tc>
          <w:tcPr>
            <w:tcW w:w="583" w:type="pct"/>
            <w:hideMark/>
          </w:tcPr>
          <w:p w14:paraId="222C15E8"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10512E31"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1565B72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15877</w:t>
            </w:r>
          </w:p>
        </w:tc>
        <w:tc>
          <w:tcPr>
            <w:tcW w:w="1045" w:type="pct"/>
            <w:hideMark/>
          </w:tcPr>
          <w:p w14:paraId="7A3083EC" w14:textId="77777777" w:rsidR="00B15F7D" w:rsidRPr="00990FB6" w:rsidRDefault="00B15F7D" w:rsidP="00B15F7D">
            <w:pPr>
              <w:rPr>
                <w:sz w:val="22"/>
                <w:szCs w:val="22"/>
                <w:u w:val="single"/>
              </w:rPr>
            </w:pPr>
            <w:r w:rsidRPr="00990FB6">
              <w:rPr>
                <w:sz w:val="22"/>
                <w:szCs w:val="22"/>
                <w:u w:val="single"/>
              </w:rPr>
              <w:t>CUCHARA PEQUEÑA (COMER)</w:t>
            </w:r>
          </w:p>
        </w:tc>
        <w:tc>
          <w:tcPr>
            <w:tcW w:w="550" w:type="pct"/>
            <w:hideMark/>
          </w:tcPr>
          <w:p w14:paraId="3241E162" w14:textId="77777777" w:rsidR="00B15F7D" w:rsidRPr="00990FB6" w:rsidRDefault="00B15F7D" w:rsidP="00B15F7D">
            <w:pPr>
              <w:rPr>
                <w:sz w:val="22"/>
                <w:szCs w:val="22"/>
                <w:u w:val="single"/>
              </w:rPr>
            </w:pPr>
            <w:r w:rsidRPr="00990FB6">
              <w:rPr>
                <w:sz w:val="22"/>
                <w:szCs w:val="22"/>
                <w:u w:val="single"/>
              </w:rPr>
              <w:t>6.605,00</w:t>
            </w:r>
          </w:p>
        </w:tc>
        <w:tc>
          <w:tcPr>
            <w:tcW w:w="511" w:type="pct"/>
            <w:hideMark/>
          </w:tcPr>
          <w:p w14:paraId="24702EC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EBED79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A619325"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w:t>
            </w:r>
            <w:r w:rsidRPr="00990FB6">
              <w:rPr>
                <w:sz w:val="22"/>
                <w:szCs w:val="22"/>
                <w:u w:val="single"/>
              </w:rPr>
              <w:lastRenderedPageBreak/>
              <w:t xml:space="preserve">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56D886E8" w14:textId="77777777" w:rsidTr="000A0C22">
        <w:trPr>
          <w:trHeight w:val="2030"/>
          <w:jc w:val="center"/>
        </w:trPr>
        <w:tc>
          <w:tcPr>
            <w:tcW w:w="583" w:type="pct"/>
            <w:hideMark/>
          </w:tcPr>
          <w:p w14:paraId="7C6E4F4B"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2EE4DAF2"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1CB0429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15882</w:t>
            </w:r>
          </w:p>
        </w:tc>
        <w:tc>
          <w:tcPr>
            <w:tcW w:w="1045" w:type="pct"/>
            <w:hideMark/>
          </w:tcPr>
          <w:p w14:paraId="30F6878C" w14:textId="77777777" w:rsidR="00B15F7D" w:rsidRPr="00990FB6" w:rsidRDefault="00B15F7D" w:rsidP="00B15F7D">
            <w:pPr>
              <w:rPr>
                <w:sz w:val="22"/>
                <w:szCs w:val="22"/>
                <w:u w:val="single"/>
              </w:rPr>
            </w:pPr>
            <w:r w:rsidRPr="00990FB6">
              <w:rPr>
                <w:sz w:val="22"/>
                <w:szCs w:val="22"/>
                <w:u w:val="single"/>
              </w:rPr>
              <w:t>TENEDORES</w:t>
            </w:r>
          </w:p>
        </w:tc>
        <w:tc>
          <w:tcPr>
            <w:tcW w:w="550" w:type="pct"/>
            <w:hideMark/>
          </w:tcPr>
          <w:p w14:paraId="7CBADBA6" w14:textId="77777777" w:rsidR="00B15F7D" w:rsidRPr="00990FB6" w:rsidRDefault="00B15F7D" w:rsidP="00B15F7D">
            <w:pPr>
              <w:rPr>
                <w:sz w:val="22"/>
                <w:szCs w:val="22"/>
                <w:u w:val="single"/>
              </w:rPr>
            </w:pPr>
            <w:r w:rsidRPr="00990FB6">
              <w:rPr>
                <w:sz w:val="22"/>
                <w:szCs w:val="22"/>
                <w:u w:val="single"/>
              </w:rPr>
              <w:t>2.562,00</w:t>
            </w:r>
          </w:p>
        </w:tc>
        <w:tc>
          <w:tcPr>
            <w:tcW w:w="511" w:type="pct"/>
            <w:hideMark/>
          </w:tcPr>
          <w:p w14:paraId="27896EA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E68015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7078725"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w:t>
            </w:r>
            <w:r w:rsidRPr="00990FB6">
              <w:rPr>
                <w:sz w:val="22"/>
                <w:szCs w:val="22"/>
                <w:u w:val="single"/>
              </w:rPr>
              <w:lastRenderedPageBreak/>
              <w:t xml:space="preserve">Justicia Restaurativa, Probidad, Prensa. </w:t>
            </w:r>
          </w:p>
        </w:tc>
      </w:tr>
      <w:tr w:rsidR="00B15F7D" w:rsidRPr="00990FB6" w14:paraId="7D7BF6EC" w14:textId="77777777" w:rsidTr="000A0C22">
        <w:trPr>
          <w:trHeight w:val="2030"/>
          <w:jc w:val="center"/>
        </w:trPr>
        <w:tc>
          <w:tcPr>
            <w:tcW w:w="583" w:type="pct"/>
            <w:hideMark/>
          </w:tcPr>
          <w:p w14:paraId="4BBC64C5"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1572C863"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6F7E4A3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15888</w:t>
            </w:r>
          </w:p>
        </w:tc>
        <w:tc>
          <w:tcPr>
            <w:tcW w:w="1045" w:type="pct"/>
            <w:hideMark/>
          </w:tcPr>
          <w:p w14:paraId="5AF302EA" w14:textId="77777777" w:rsidR="00B15F7D" w:rsidRPr="00990FB6" w:rsidRDefault="00B15F7D" w:rsidP="00B15F7D">
            <w:pPr>
              <w:rPr>
                <w:sz w:val="22"/>
                <w:szCs w:val="22"/>
                <w:u w:val="single"/>
              </w:rPr>
            </w:pPr>
            <w:r w:rsidRPr="00990FB6">
              <w:rPr>
                <w:sz w:val="22"/>
                <w:szCs w:val="22"/>
                <w:u w:val="single"/>
              </w:rPr>
              <w:t>FRASCOS PLASTICOS</w:t>
            </w:r>
          </w:p>
        </w:tc>
        <w:tc>
          <w:tcPr>
            <w:tcW w:w="550" w:type="pct"/>
            <w:hideMark/>
          </w:tcPr>
          <w:p w14:paraId="37C3B57B" w14:textId="77777777" w:rsidR="00B15F7D" w:rsidRPr="00990FB6" w:rsidRDefault="00B15F7D" w:rsidP="00B15F7D">
            <w:pPr>
              <w:rPr>
                <w:sz w:val="22"/>
                <w:szCs w:val="22"/>
                <w:u w:val="single"/>
              </w:rPr>
            </w:pPr>
            <w:r w:rsidRPr="00990FB6">
              <w:rPr>
                <w:sz w:val="22"/>
                <w:szCs w:val="22"/>
                <w:u w:val="single"/>
              </w:rPr>
              <w:t>5.000,00</w:t>
            </w:r>
          </w:p>
        </w:tc>
        <w:tc>
          <w:tcPr>
            <w:tcW w:w="511" w:type="pct"/>
            <w:hideMark/>
          </w:tcPr>
          <w:p w14:paraId="6A160DCB"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B1C03F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CD188DB"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w:t>
            </w:r>
            <w:r w:rsidRPr="00990FB6">
              <w:rPr>
                <w:sz w:val="22"/>
                <w:szCs w:val="22"/>
                <w:u w:val="single"/>
              </w:rPr>
              <w:lastRenderedPageBreak/>
              <w:t xml:space="preserve">de las fiscalías  de Cartago, Golfito, Ejecución de la Pena, Corredores, Coto Brus,  Puerto Jiménez, Justicia Restaurativa, Probidad, Prensa. </w:t>
            </w:r>
          </w:p>
        </w:tc>
      </w:tr>
      <w:tr w:rsidR="00B15F7D" w:rsidRPr="00990FB6" w14:paraId="12FBF26A" w14:textId="77777777" w:rsidTr="000A0C22">
        <w:trPr>
          <w:trHeight w:val="2030"/>
          <w:jc w:val="center"/>
        </w:trPr>
        <w:tc>
          <w:tcPr>
            <w:tcW w:w="583" w:type="pct"/>
            <w:hideMark/>
          </w:tcPr>
          <w:p w14:paraId="17BCB2E0"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3D26E7A8"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1891FF4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15889</w:t>
            </w:r>
          </w:p>
        </w:tc>
        <w:tc>
          <w:tcPr>
            <w:tcW w:w="1045" w:type="pct"/>
            <w:hideMark/>
          </w:tcPr>
          <w:p w14:paraId="33FB5289" w14:textId="77777777" w:rsidR="00B15F7D" w:rsidRPr="00990FB6" w:rsidRDefault="00B15F7D" w:rsidP="00B15F7D">
            <w:pPr>
              <w:rPr>
                <w:sz w:val="22"/>
                <w:szCs w:val="22"/>
                <w:u w:val="single"/>
              </w:rPr>
            </w:pPr>
            <w:r w:rsidRPr="00990FB6">
              <w:rPr>
                <w:sz w:val="22"/>
                <w:szCs w:val="22"/>
                <w:u w:val="single"/>
              </w:rPr>
              <w:t>VASOS DE VIDIRIO</w:t>
            </w:r>
          </w:p>
        </w:tc>
        <w:tc>
          <w:tcPr>
            <w:tcW w:w="550" w:type="pct"/>
            <w:hideMark/>
          </w:tcPr>
          <w:p w14:paraId="4B9A2264" w14:textId="77777777" w:rsidR="00B15F7D" w:rsidRPr="00990FB6" w:rsidRDefault="00B15F7D" w:rsidP="00B15F7D">
            <w:pPr>
              <w:rPr>
                <w:sz w:val="22"/>
                <w:szCs w:val="22"/>
                <w:u w:val="single"/>
              </w:rPr>
            </w:pPr>
            <w:r w:rsidRPr="00990FB6">
              <w:rPr>
                <w:sz w:val="22"/>
                <w:szCs w:val="22"/>
                <w:u w:val="single"/>
              </w:rPr>
              <w:t>15.175,00</w:t>
            </w:r>
          </w:p>
        </w:tc>
        <w:tc>
          <w:tcPr>
            <w:tcW w:w="511" w:type="pct"/>
            <w:hideMark/>
          </w:tcPr>
          <w:p w14:paraId="7326413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DA215C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E2B6CDB"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w:t>
            </w:r>
            <w:r w:rsidRPr="00990FB6">
              <w:rPr>
                <w:sz w:val="22"/>
                <w:szCs w:val="22"/>
                <w:u w:val="single"/>
              </w:rPr>
              <w:lastRenderedPageBreak/>
              <w:t xml:space="preserve">viéndose afectada la programación de actividades de las fiscalías  de Cartago, Golfito, Ejecución de la Pena, Corredores, Coto Brus,  Puerto Jiménez, Justicia Restaurativa, Probidad, Prensa. </w:t>
            </w:r>
          </w:p>
        </w:tc>
      </w:tr>
      <w:tr w:rsidR="00B15F7D" w:rsidRPr="00990FB6" w14:paraId="03A726E9" w14:textId="77777777" w:rsidTr="000A0C22">
        <w:trPr>
          <w:trHeight w:val="2030"/>
          <w:jc w:val="center"/>
        </w:trPr>
        <w:tc>
          <w:tcPr>
            <w:tcW w:w="583" w:type="pct"/>
            <w:hideMark/>
          </w:tcPr>
          <w:p w14:paraId="668F92DD"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2D0217A1"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4451522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23493</w:t>
            </w:r>
          </w:p>
        </w:tc>
        <w:tc>
          <w:tcPr>
            <w:tcW w:w="1045" w:type="pct"/>
            <w:hideMark/>
          </w:tcPr>
          <w:p w14:paraId="7ECA8E9E" w14:textId="77777777" w:rsidR="00B15F7D" w:rsidRPr="00990FB6" w:rsidRDefault="00B15F7D" w:rsidP="00B15F7D">
            <w:pPr>
              <w:rPr>
                <w:sz w:val="22"/>
                <w:szCs w:val="22"/>
                <w:u w:val="single"/>
              </w:rPr>
            </w:pPr>
            <w:proofErr w:type="gramStart"/>
            <w:r w:rsidRPr="00990FB6">
              <w:rPr>
                <w:sz w:val="22"/>
                <w:szCs w:val="22"/>
                <w:u w:val="single"/>
              </w:rPr>
              <w:t>VASOS  DESECHABLE</w:t>
            </w:r>
            <w:proofErr w:type="gramEnd"/>
          </w:p>
        </w:tc>
        <w:tc>
          <w:tcPr>
            <w:tcW w:w="550" w:type="pct"/>
            <w:hideMark/>
          </w:tcPr>
          <w:p w14:paraId="3BCE306B" w14:textId="77777777" w:rsidR="00B15F7D" w:rsidRPr="00990FB6" w:rsidRDefault="00B15F7D" w:rsidP="00B15F7D">
            <w:pPr>
              <w:rPr>
                <w:sz w:val="22"/>
                <w:szCs w:val="22"/>
                <w:u w:val="single"/>
              </w:rPr>
            </w:pPr>
            <w:r w:rsidRPr="00990FB6">
              <w:rPr>
                <w:sz w:val="22"/>
                <w:szCs w:val="22"/>
                <w:u w:val="single"/>
              </w:rPr>
              <w:t>52.543,00</w:t>
            </w:r>
          </w:p>
        </w:tc>
        <w:tc>
          <w:tcPr>
            <w:tcW w:w="511" w:type="pct"/>
            <w:hideMark/>
          </w:tcPr>
          <w:p w14:paraId="70245DC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E2F4EA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7E913BE"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 xml:space="preserve">presupuestados  </w:t>
            </w:r>
            <w:r w:rsidRPr="00990FB6">
              <w:rPr>
                <w:sz w:val="22"/>
                <w:szCs w:val="22"/>
                <w:u w:val="single"/>
              </w:rPr>
              <w:lastRenderedPageBreak/>
              <w:t>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6829992D" w14:textId="77777777" w:rsidTr="000A0C22">
        <w:trPr>
          <w:trHeight w:val="2030"/>
          <w:jc w:val="center"/>
        </w:trPr>
        <w:tc>
          <w:tcPr>
            <w:tcW w:w="583" w:type="pct"/>
            <w:hideMark/>
          </w:tcPr>
          <w:p w14:paraId="3E8C65AD"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2B257E0F"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5861C19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23657</w:t>
            </w:r>
          </w:p>
        </w:tc>
        <w:tc>
          <w:tcPr>
            <w:tcW w:w="1045" w:type="pct"/>
            <w:hideMark/>
          </w:tcPr>
          <w:p w14:paraId="394D9EC5" w14:textId="77777777" w:rsidR="00B15F7D" w:rsidRPr="00990FB6" w:rsidRDefault="00B15F7D" w:rsidP="00B15F7D">
            <w:pPr>
              <w:rPr>
                <w:sz w:val="22"/>
                <w:szCs w:val="22"/>
                <w:u w:val="single"/>
              </w:rPr>
            </w:pPr>
            <w:r w:rsidRPr="00990FB6">
              <w:rPr>
                <w:sz w:val="22"/>
                <w:szCs w:val="22"/>
                <w:u w:val="single"/>
              </w:rPr>
              <w:t>REMOVEDOR PARA BEBIDAS</w:t>
            </w:r>
          </w:p>
        </w:tc>
        <w:tc>
          <w:tcPr>
            <w:tcW w:w="550" w:type="pct"/>
            <w:hideMark/>
          </w:tcPr>
          <w:p w14:paraId="71D0B345" w14:textId="77777777" w:rsidR="00B15F7D" w:rsidRPr="00990FB6" w:rsidRDefault="00B15F7D" w:rsidP="00B15F7D">
            <w:pPr>
              <w:rPr>
                <w:sz w:val="22"/>
                <w:szCs w:val="22"/>
                <w:u w:val="single"/>
              </w:rPr>
            </w:pPr>
            <w:r w:rsidRPr="00990FB6">
              <w:rPr>
                <w:sz w:val="22"/>
                <w:szCs w:val="22"/>
                <w:u w:val="single"/>
              </w:rPr>
              <w:t>65.540,00</w:t>
            </w:r>
          </w:p>
        </w:tc>
        <w:tc>
          <w:tcPr>
            <w:tcW w:w="511" w:type="pct"/>
            <w:hideMark/>
          </w:tcPr>
          <w:p w14:paraId="6E7A57B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68539F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00E85A4"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w:t>
            </w:r>
            <w:r w:rsidRPr="00990FB6">
              <w:rPr>
                <w:sz w:val="22"/>
                <w:szCs w:val="22"/>
                <w:u w:val="single"/>
              </w:rPr>
              <w:lastRenderedPageBreak/>
              <w:t xml:space="preserve">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214BC8FA" w14:textId="77777777" w:rsidTr="000A0C22">
        <w:trPr>
          <w:trHeight w:val="2030"/>
          <w:jc w:val="center"/>
        </w:trPr>
        <w:tc>
          <w:tcPr>
            <w:tcW w:w="583" w:type="pct"/>
            <w:hideMark/>
          </w:tcPr>
          <w:p w14:paraId="1EE640D2"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02517A3B"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0ACAD6EB"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23913</w:t>
            </w:r>
          </w:p>
        </w:tc>
        <w:tc>
          <w:tcPr>
            <w:tcW w:w="1045" w:type="pct"/>
            <w:hideMark/>
          </w:tcPr>
          <w:p w14:paraId="22A3B2AB" w14:textId="77777777" w:rsidR="00B15F7D" w:rsidRPr="00990FB6" w:rsidRDefault="00B15F7D" w:rsidP="00B15F7D">
            <w:pPr>
              <w:rPr>
                <w:sz w:val="22"/>
                <w:szCs w:val="22"/>
                <w:u w:val="single"/>
              </w:rPr>
            </w:pPr>
            <w:r w:rsidRPr="00990FB6">
              <w:rPr>
                <w:sz w:val="22"/>
                <w:szCs w:val="22"/>
                <w:u w:val="single"/>
              </w:rPr>
              <w:t>TETERA</w:t>
            </w:r>
          </w:p>
        </w:tc>
        <w:tc>
          <w:tcPr>
            <w:tcW w:w="550" w:type="pct"/>
            <w:hideMark/>
          </w:tcPr>
          <w:p w14:paraId="7D0A048D" w14:textId="77777777" w:rsidR="00B15F7D" w:rsidRPr="00990FB6" w:rsidRDefault="00B15F7D" w:rsidP="00B15F7D">
            <w:pPr>
              <w:rPr>
                <w:sz w:val="22"/>
                <w:szCs w:val="22"/>
                <w:u w:val="single"/>
              </w:rPr>
            </w:pPr>
            <w:r w:rsidRPr="00990FB6">
              <w:rPr>
                <w:sz w:val="22"/>
                <w:szCs w:val="22"/>
                <w:u w:val="single"/>
              </w:rPr>
              <w:t>62.150,00</w:t>
            </w:r>
          </w:p>
        </w:tc>
        <w:tc>
          <w:tcPr>
            <w:tcW w:w="511" w:type="pct"/>
            <w:hideMark/>
          </w:tcPr>
          <w:p w14:paraId="045DA04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6D9A59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6B38D98"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w:t>
            </w:r>
            <w:r w:rsidRPr="00990FB6">
              <w:rPr>
                <w:sz w:val="22"/>
                <w:szCs w:val="22"/>
                <w:u w:val="single"/>
              </w:rPr>
              <w:lastRenderedPageBreak/>
              <w:t xml:space="preserve">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45D859C3" w14:textId="77777777" w:rsidTr="000A0C22">
        <w:trPr>
          <w:trHeight w:val="2030"/>
          <w:jc w:val="center"/>
        </w:trPr>
        <w:tc>
          <w:tcPr>
            <w:tcW w:w="583" w:type="pct"/>
            <w:hideMark/>
          </w:tcPr>
          <w:p w14:paraId="7369E09B"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3FDA8695"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3D69C7BD"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24326</w:t>
            </w:r>
          </w:p>
        </w:tc>
        <w:tc>
          <w:tcPr>
            <w:tcW w:w="1045" w:type="pct"/>
            <w:hideMark/>
          </w:tcPr>
          <w:p w14:paraId="1E206DB0" w14:textId="77777777" w:rsidR="00B15F7D" w:rsidRPr="00990FB6" w:rsidRDefault="00B15F7D" w:rsidP="00B15F7D">
            <w:pPr>
              <w:rPr>
                <w:sz w:val="22"/>
                <w:szCs w:val="22"/>
                <w:u w:val="single"/>
              </w:rPr>
            </w:pPr>
            <w:r w:rsidRPr="00990FB6">
              <w:rPr>
                <w:sz w:val="22"/>
                <w:szCs w:val="22"/>
                <w:u w:val="single"/>
              </w:rPr>
              <w:t xml:space="preserve">PLATO DE PORCELANA O CERAMICA </w:t>
            </w:r>
          </w:p>
        </w:tc>
        <w:tc>
          <w:tcPr>
            <w:tcW w:w="550" w:type="pct"/>
            <w:hideMark/>
          </w:tcPr>
          <w:p w14:paraId="5D1CAC1D" w14:textId="77777777" w:rsidR="00B15F7D" w:rsidRPr="00990FB6" w:rsidRDefault="00B15F7D" w:rsidP="00B15F7D">
            <w:pPr>
              <w:rPr>
                <w:sz w:val="22"/>
                <w:szCs w:val="22"/>
                <w:u w:val="single"/>
              </w:rPr>
            </w:pPr>
            <w:r w:rsidRPr="00990FB6">
              <w:rPr>
                <w:sz w:val="22"/>
                <w:szCs w:val="22"/>
                <w:u w:val="single"/>
              </w:rPr>
              <w:t>25.933,00</w:t>
            </w:r>
          </w:p>
        </w:tc>
        <w:tc>
          <w:tcPr>
            <w:tcW w:w="511" w:type="pct"/>
            <w:hideMark/>
          </w:tcPr>
          <w:p w14:paraId="3003B0B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89E868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49C28DD"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w:t>
            </w:r>
            <w:r w:rsidRPr="00990FB6">
              <w:rPr>
                <w:sz w:val="22"/>
                <w:szCs w:val="22"/>
                <w:u w:val="single"/>
              </w:rPr>
              <w:lastRenderedPageBreak/>
              <w:t xml:space="preserve">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44F55AC8" w14:textId="77777777" w:rsidTr="000A0C22">
        <w:trPr>
          <w:trHeight w:val="2030"/>
          <w:jc w:val="center"/>
        </w:trPr>
        <w:tc>
          <w:tcPr>
            <w:tcW w:w="583" w:type="pct"/>
            <w:hideMark/>
          </w:tcPr>
          <w:p w14:paraId="17F85F84"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2E74FDFB"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5940546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15848</w:t>
            </w:r>
          </w:p>
        </w:tc>
        <w:tc>
          <w:tcPr>
            <w:tcW w:w="1045" w:type="pct"/>
            <w:hideMark/>
          </w:tcPr>
          <w:p w14:paraId="13F30BE6" w14:textId="77777777" w:rsidR="00B15F7D" w:rsidRPr="00990FB6" w:rsidRDefault="00B15F7D" w:rsidP="00B15F7D">
            <w:pPr>
              <w:rPr>
                <w:sz w:val="22"/>
                <w:szCs w:val="22"/>
                <w:u w:val="single"/>
              </w:rPr>
            </w:pPr>
            <w:r w:rsidRPr="00990FB6">
              <w:rPr>
                <w:sz w:val="22"/>
                <w:szCs w:val="22"/>
                <w:u w:val="single"/>
              </w:rPr>
              <w:t>VASOS DE CARTON</w:t>
            </w:r>
          </w:p>
        </w:tc>
        <w:tc>
          <w:tcPr>
            <w:tcW w:w="550" w:type="pct"/>
            <w:hideMark/>
          </w:tcPr>
          <w:p w14:paraId="6E1C4288" w14:textId="77777777" w:rsidR="00B15F7D" w:rsidRPr="00990FB6" w:rsidRDefault="00B15F7D" w:rsidP="00B15F7D">
            <w:pPr>
              <w:rPr>
                <w:sz w:val="22"/>
                <w:szCs w:val="22"/>
                <w:u w:val="single"/>
              </w:rPr>
            </w:pPr>
            <w:r w:rsidRPr="00990FB6">
              <w:rPr>
                <w:sz w:val="22"/>
                <w:szCs w:val="22"/>
                <w:u w:val="single"/>
              </w:rPr>
              <w:t>330.000,00</w:t>
            </w:r>
          </w:p>
        </w:tc>
        <w:tc>
          <w:tcPr>
            <w:tcW w:w="511" w:type="pct"/>
            <w:noWrap/>
            <w:hideMark/>
          </w:tcPr>
          <w:p w14:paraId="4D313C4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4E2B77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8A59FEF"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w:t>
            </w:r>
            <w:r w:rsidRPr="00990FB6">
              <w:rPr>
                <w:sz w:val="22"/>
                <w:szCs w:val="22"/>
                <w:u w:val="single"/>
              </w:rPr>
              <w:lastRenderedPageBreak/>
              <w:t xml:space="preserve">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Justicia Restaurativa, Probidad, Prensa. </w:t>
            </w:r>
          </w:p>
        </w:tc>
      </w:tr>
      <w:tr w:rsidR="00B15F7D" w:rsidRPr="00990FB6" w14:paraId="168288E2" w14:textId="77777777" w:rsidTr="000A0C22">
        <w:trPr>
          <w:trHeight w:val="2030"/>
          <w:jc w:val="center"/>
        </w:trPr>
        <w:tc>
          <w:tcPr>
            <w:tcW w:w="583" w:type="pct"/>
            <w:hideMark/>
          </w:tcPr>
          <w:p w14:paraId="13A88506"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4303ECE7"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08A43CD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19576</w:t>
            </w:r>
          </w:p>
        </w:tc>
        <w:tc>
          <w:tcPr>
            <w:tcW w:w="1045" w:type="pct"/>
            <w:hideMark/>
          </w:tcPr>
          <w:p w14:paraId="1FBE3B81" w14:textId="77777777" w:rsidR="00B15F7D" w:rsidRPr="00990FB6" w:rsidRDefault="00B15F7D" w:rsidP="00B15F7D">
            <w:pPr>
              <w:rPr>
                <w:sz w:val="22"/>
                <w:szCs w:val="22"/>
                <w:u w:val="single"/>
              </w:rPr>
            </w:pPr>
            <w:r w:rsidRPr="00990FB6">
              <w:rPr>
                <w:sz w:val="22"/>
                <w:szCs w:val="22"/>
                <w:u w:val="single"/>
              </w:rPr>
              <w:t>OTROS, UTILES Y MATERIALES DE COCINA Y COMEDOR</w:t>
            </w:r>
          </w:p>
        </w:tc>
        <w:tc>
          <w:tcPr>
            <w:tcW w:w="550" w:type="pct"/>
            <w:hideMark/>
          </w:tcPr>
          <w:p w14:paraId="5FFD76F6" w14:textId="77777777" w:rsidR="00B15F7D" w:rsidRPr="00990FB6" w:rsidRDefault="00B15F7D" w:rsidP="00B15F7D">
            <w:pPr>
              <w:rPr>
                <w:sz w:val="22"/>
                <w:szCs w:val="22"/>
                <w:u w:val="single"/>
              </w:rPr>
            </w:pPr>
            <w:r w:rsidRPr="00990FB6">
              <w:rPr>
                <w:sz w:val="22"/>
                <w:szCs w:val="22"/>
                <w:u w:val="single"/>
              </w:rPr>
              <w:t>221.410,00</w:t>
            </w:r>
          </w:p>
        </w:tc>
        <w:tc>
          <w:tcPr>
            <w:tcW w:w="511" w:type="pct"/>
            <w:noWrap/>
            <w:hideMark/>
          </w:tcPr>
          <w:p w14:paraId="19C9B6ED"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A7B69B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B93F74A"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de las fiscalías  de Cartago, Golfito, Ejecución de la Pena, Corredores, Coto Brus,  Puerto Jiménez, </w:t>
            </w:r>
            <w:r w:rsidRPr="00990FB6">
              <w:rPr>
                <w:sz w:val="22"/>
                <w:szCs w:val="22"/>
                <w:u w:val="single"/>
              </w:rPr>
              <w:lastRenderedPageBreak/>
              <w:t xml:space="preserve">Justicia Restaurativa, Probidad, Prensa. </w:t>
            </w:r>
          </w:p>
        </w:tc>
      </w:tr>
      <w:tr w:rsidR="00B15F7D" w:rsidRPr="00990FB6" w14:paraId="7C569CF0" w14:textId="77777777" w:rsidTr="000A0C22">
        <w:trPr>
          <w:trHeight w:val="2030"/>
          <w:jc w:val="center"/>
        </w:trPr>
        <w:tc>
          <w:tcPr>
            <w:tcW w:w="583" w:type="pct"/>
            <w:hideMark/>
          </w:tcPr>
          <w:p w14:paraId="28CA0604" w14:textId="77777777" w:rsidR="00B15F7D" w:rsidRPr="00990FB6" w:rsidRDefault="00B15F7D" w:rsidP="00B15F7D">
            <w:pPr>
              <w:rPr>
                <w:sz w:val="22"/>
                <w:szCs w:val="22"/>
                <w:u w:val="single"/>
              </w:rPr>
            </w:pPr>
            <w:r w:rsidRPr="00990FB6">
              <w:rPr>
                <w:sz w:val="22"/>
                <w:szCs w:val="22"/>
                <w:u w:val="single"/>
              </w:rPr>
              <w:lastRenderedPageBreak/>
              <w:t>29907</w:t>
            </w:r>
          </w:p>
        </w:tc>
        <w:tc>
          <w:tcPr>
            <w:tcW w:w="578" w:type="pct"/>
            <w:hideMark/>
          </w:tcPr>
          <w:p w14:paraId="69559EF8" w14:textId="77777777" w:rsidR="00B15F7D" w:rsidRPr="00990FB6" w:rsidRDefault="00B15F7D" w:rsidP="00B15F7D">
            <w:pPr>
              <w:rPr>
                <w:sz w:val="22"/>
                <w:szCs w:val="22"/>
                <w:u w:val="single"/>
              </w:rPr>
            </w:pPr>
            <w:r w:rsidRPr="00990FB6">
              <w:rPr>
                <w:sz w:val="22"/>
                <w:szCs w:val="22"/>
                <w:u w:val="single"/>
              </w:rPr>
              <w:t>Útiles y materiales de cocina y comedor</w:t>
            </w:r>
          </w:p>
        </w:tc>
        <w:tc>
          <w:tcPr>
            <w:tcW w:w="363" w:type="pct"/>
            <w:hideMark/>
          </w:tcPr>
          <w:p w14:paraId="14C06FEE"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23061</w:t>
            </w:r>
          </w:p>
        </w:tc>
        <w:tc>
          <w:tcPr>
            <w:tcW w:w="1045" w:type="pct"/>
            <w:hideMark/>
          </w:tcPr>
          <w:p w14:paraId="3592BD27" w14:textId="77777777" w:rsidR="00B15F7D" w:rsidRPr="00990FB6" w:rsidRDefault="00B15F7D" w:rsidP="00B15F7D">
            <w:pPr>
              <w:rPr>
                <w:sz w:val="22"/>
                <w:szCs w:val="22"/>
                <w:u w:val="single"/>
              </w:rPr>
            </w:pPr>
            <w:r w:rsidRPr="00990FB6">
              <w:rPr>
                <w:sz w:val="22"/>
                <w:szCs w:val="22"/>
                <w:u w:val="single"/>
              </w:rPr>
              <w:t>PICHEL DE VIDRIO</w:t>
            </w:r>
          </w:p>
        </w:tc>
        <w:tc>
          <w:tcPr>
            <w:tcW w:w="550" w:type="pct"/>
            <w:hideMark/>
          </w:tcPr>
          <w:p w14:paraId="596F43C7" w14:textId="77777777" w:rsidR="00B15F7D" w:rsidRPr="00990FB6" w:rsidRDefault="00B15F7D" w:rsidP="00B15F7D">
            <w:pPr>
              <w:rPr>
                <w:sz w:val="22"/>
                <w:szCs w:val="22"/>
                <w:u w:val="single"/>
              </w:rPr>
            </w:pPr>
            <w:r w:rsidRPr="00990FB6">
              <w:rPr>
                <w:sz w:val="22"/>
                <w:szCs w:val="22"/>
                <w:u w:val="single"/>
              </w:rPr>
              <w:t>49.720,00</w:t>
            </w:r>
          </w:p>
        </w:tc>
        <w:tc>
          <w:tcPr>
            <w:tcW w:w="511" w:type="pct"/>
            <w:noWrap/>
            <w:hideMark/>
          </w:tcPr>
          <w:p w14:paraId="1C88157E"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2BAD415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0B073C8" w14:textId="77777777" w:rsidR="00B15F7D" w:rsidRPr="00990FB6" w:rsidRDefault="00B15F7D" w:rsidP="00FC2DB5">
            <w:pPr>
              <w:jc w:val="both"/>
              <w:rPr>
                <w:sz w:val="22"/>
                <w:szCs w:val="22"/>
                <w:u w:val="single"/>
              </w:rPr>
            </w:pPr>
            <w:r w:rsidRPr="00990FB6">
              <w:rPr>
                <w:sz w:val="22"/>
                <w:szCs w:val="22"/>
                <w:u w:val="single"/>
              </w:rPr>
              <w:t xml:space="preserve">La disminución de estos recursos afecta la ejecución de actividades relacionadas con rendición de cuentas ante la ciudadanía, reuniones con instancias internas para la ejecución de dirección funcional en los procesos de investigación. Desmejora en la imagen institucional. Se sacrifica la totalidad de los recursos </w:t>
            </w:r>
            <w:proofErr w:type="gramStart"/>
            <w:r w:rsidRPr="00990FB6">
              <w:rPr>
                <w:sz w:val="22"/>
                <w:szCs w:val="22"/>
                <w:u w:val="single"/>
              </w:rPr>
              <w:t>presupuestados  en</w:t>
            </w:r>
            <w:proofErr w:type="gramEnd"/>
            <w:r w:rsidRPr="00990FB6">
              <w:rPr>
                <w:sz w:val="22"/>
                <w:szCs w:val="22"/>
                <w:u w:val="single"/>
              </w:rPr>
              <w:t xml:space="preserve"> la sub partida de Alimentos y Bebidas para el año 2024, viéndose afectada la programación de actividades </w:t>
            </w:r>
            <w:r w:rsidRPr="00990FB6">
              <w:rPr>
                <w:sz w:val="22"/>
                <w:szCs w:val="22"/>
                <w:u w:val="single"/>
              </w:rPr>
              <w:lastRenderedPageBreak/>
              <w:t xml:space="preserve">de las fiscalías  de Cartago, Golfito, Ejecución de la Pena, Corredores, Coto Brus,  Puerto Jiménez, Justicia Restaurativa, Probidad, Prensa. </w:t>
            </w:r>
          </w:p>
        </w:tc>
      </w:tr>
      <w:tr w:rsidR="00B15F7D" w:rsidRPr="00990FB6" w14:paraId="04D0415D" w14:textId="77777777" w:rsidTr="000A0C22">
        <w:trPr>
          <w:trHeight w:val="580"/>
          <w:jc w:val="center"/>
        </w:trPr>
        <w:tc>
          <w:tcPr>
            <w:tcW w:w="583" w:type="pct"/>
            <w:hideMark/>
          </w:tcPr>
          <w:p w14:paraId="21CFA8DD" w14:textId="77777777" w:rsidR="00B15F7D" w:rsidRPr="00990FB6" w:rsidRDefault="00B15F7D" w:rsidP="00B15F7D">
            <w:pPr>
              <w:rPr>
                <w:sz w:val="22"/>
                <w:szCs w:val="22"/>
                <w:u w:val="single"/>
              </w:rPr>
            </w:pPr>
            <w:r w:rsidRPr="00990FB6">
              <w:rPr>
                <w:sz w:val="22"/>
                <w:szCs w:val="22"/>
                <w:u w:val="single"/>
              </w:rPr>
              <w:lastRenderedPageBreak/>
              <w:t>29999</w:t>
            </w:r>
          </w:p>
        </w:tc>
        <w:tc>
          <w:tcPr>
            <w:tcW w:w="578" w:type="pct"/>
            <w:hideMark/>
          </w:tcPr>
          <w:p w14:paraId="368DDB8F"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7B2CDC6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15891</w:t>
            </w:r>
          </w:p>
        </w:tc>
        <w:tc>
          <w:tcPr>
            <w:tcW w:w="1045" w:type="pct"/>
            <w:hideMark/>
          </w:tcPr>
          <w:p w14:paraId="03106B5C" w14:textId="77777777" w:rsidR="00B15F7D" w:rsidRPr="00990FB6" w:rsidRDefault="00B15F7D" w:rsidP="00B15F7D">
            <w:pPr>
              <w:rPr>
                <w:sz w:val="22"/>
                <w:szCs w:val="22"/>
                <w:u w:val="single"/>
              </w:rPr>
            </w:pPr>
            <w:r w:rsidRPr="00990FB6">
              <w:rPr>
                <w:sz w:val="22"/>
                <w:szCs w:val="22"/>
                <w:u w:val="single"/>
              </w:rPr>
              <w:t>BOLSA PLASTICA TRANSP. 20 X 30,5 CM</w:t>
            </w:r>
          </w:p>
        </w:tc>
        <w:tc>
          <w:tcPr>
            <w:tcW w:w="550" w:type="pct"/>
            <w:hideMark/>
          </w:tcPr>
          <w:p w14:paraId="27F3595A" w14:textId="77777777" w:rsidR="00B15F7D" w:rsidRPr="00990FB6" w:rsidRDefault="00B15F7D" w:rsidP="00B15F7D">
            <w:pPr>
              <w:rPr>
                <w:sz w:val="22"/>
                <w:szCs w:val="22"/>
                <w:u w:val="single"/>
              </w:rPr>
            </w:pPr>
            <w:r w:rsidRPr="00990FB6">
              <w:rPr>
                <w:sz w:val="22"/>
                <w:szCs w:val="22"/>
                <w:u w:val="single"/>
              </w:rPr>
              <w:t>307.789,00</w:t>
            </w:r>
          </w:p>
        </w:tc>
        <w:tc>
          <w:tcPr>
            <w:tcW w:w="511" w:type="pct"/>
            <w:hideMark/>
          </w:tcPr>
          <w:p w14:paraId="3DB79CA0"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800892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79B887E"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33A64BFB" w14:textId="77777777" w:rsidTr="000A0C22">
        <w:trPr>
          <w:trHeight w:val="580"/>
          <w:jc w:val="center"/>
        </w:trPr>
        <w:tc>
          <w:tcPr>
            <w:tcW w:w="583" w:type="pct"/>
            <w:hideMark/>
          </w:tcPr>
          <w:p w14:paraId="44683C5D"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6DE0A2BC"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5DCFF62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15894</w:t>
            </w:r>
          </w:p>
        </w:tc>
        <w:tc>
          <w:tcPr>
            <w:tcW w:w="1045" w:type="pct"/>
            <w:hideMark/>
          </w:tcPr>
          <w:p w14:paraId="0E238A71" w14:textId="77777777" w:rsidR="00B15F7D" w:rsidRPr="00990FB6" w:rsidRDefault="00B15F7D" w:rsidP="00B15F7D">
            <w:pPr>
              <w:rPr>
                <w:sz w:val="22"/>
                <w:szCs w:val="22"/>
                <w:u w:val="single"/>
              </w:rPr>
            </w:pPr>
            <w:r w:rsidRPr="00990FB6">
              <w:rPr>
                <w:sz w:val="22"/>
                <w:szCs w:val="22"/>
                <w:u w:val="single"/>
              </w:rPr>
              <w:t>BOLSA PLASTICA PARA EMPAQUE, PAQUETE DE 5 UNIDADES</w:t>
            </w:r>
          </w:p>
        </w:tc>
        <w:tc>
          <w:tcPr>
            <w:tcW w:w="550" w:type="pct"/>
            <w:hideMark/>
          </w:tcPr>
          <w:p w14:paraId="0482DB15" w14:textId="77777777" w:rsidR="00B15F7D" w:rsidRPr="00990FB6" w:rsidRDefault="00B15F7D" w:rsidP="00B15F7D">
            <w:pPr>
              <w:rPr>
                <w:sz w:val="22"/>
                <w:szCs w:val="22"/>
                <w:u w:val="single"/>
              </w:rPr>
            </w:pPr>
            <w:r w:rsidRPr="00990FB6">
              <w:rPr>
                <w:sz w:val="22"/>
                <w:szCs w:val="22"/>
                <w:u w:val="single"/>
              </w:rPr>
              <w:t>172.875,00</w:t>
            </w:r>
          </w:p>
        </w:tc>
        <w:tc>
          <w:tcPr>
            <w:tcW w:w="511" w:type="pct"/>
            <w:hideMark/>
          </w:tcPr>
          <w:p w14:paraId="2B1B79C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581C06F5"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643D745"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238341A3" w14:textId="77777777" w:rsidTr="000A0C22">
        <w:trPr>
          <w:trHeight w:val="1033"/>
          <w:jc w:val="center"/>
        </w:trPr>
        <w:tc>
          <w:tcPr>
            <w:tcW w:w="583" w:type="pct"/>
            <w:hideMark/>
          </w:tcPr>
          <w:p w14:paraId="0DBDB4D4"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41CED7EC"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373E475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15971</w:t>
            </w:r>
          </w:p>
        </w:tc>
        <w:tc>
          <w:tcPr>
            <w:tcW w:w="1045" w:type="pct"/>
            <w:hideMark/>
          </w:tcPr>
          <w:p w14:paraId="6B437679" w14:textId="77777777" w:rsidR="00B15F7D" w:rsidRPr="00990FB6" w:rsidRDefault="00B15F7D" w:rsidP="00B15F7D">
            <w:pPr>
              <w:rPr>
                <w:sz w:val="22"/>
                <w:szCs w:val="22"/>
                <w:u w:val="single"/>
              </w:rPr>
            </w:pPr>
            <w:r w:rsidRPr="00990FB6">
              <w:rPr>
                <w:sz w:val="22"/>
                <w:szCs w:val="22"/>
                <w:u w:val="single"/>
              </w:rPr>
              <w:t>CARRO DE JUGUETE</w:t>
            </w:r>
          </w:p>
        </w:tc>
        <w:tc>
          <w:tcPr>
            <w:tcW w:w="550" w:type="pct"/>
            <w:hideMark/>
          </w:tcPr>
          <w:p w14:paraId="1624DDB2" w14:textId="77777777" w:rsidR="00B15F7D" w:rsidRPr="00990FB6" w:rsidRDefault="00B15F7D" w:rsidP="00B15F7D">
            <w:pPr>
              <w:rPr>
                <w:sz w:val="22"/>
                <w:szCs w:val="22"/>
                <w:u w:val="single"/>
              </w:rPr>
            </w:pPr>
            <w:r w:rsidRPr="00990FB6">
              <w:rPr>
                <w:sz w:val="22"/>
                <w:szCs w:val="22"/>
                <w:u w:val="single"/>
              </w:rPr>
              <w:t>33.504,00</w:t>
            </w:r>
          </w:p>
        </w:tc>
        <w:tc>
          <w:tcPr>
            <w:tcW w:w="511" w:type="pct"/>
            <w:hideMark/>
          </w:tcPr>
          <w:p w14:paraId="1F59B222"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F138C3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BF79105" w14:textId="77777777" w:rsidR="00B15F7D" w:rsidRPr="00990FB6" w:rsidRDefault="00B15F7D" w:rsidP="00FC2DB5">
            <w:pPr>
              <w:jc w:val="both"/>
              <w:rPr>
                <w:sz w:val="22"/>
                <w:szCs w:val="22"/>
                <w:u w:val="single"/>
              </w:rPr>
            </w:pPr>
            <w:r w:rsidRPr="00990FB6">
              <w:rPr>
                <w:sz w:val="22"/>
                <w:szCs w:val="22"/>
                <w:u w:val="single"/>
              </w:rPr>
              <w:t xml:space="preserve">No se contará con los recursos para atender la compra de juguetes solicitados por la Fiscalía de Cartago para para el área de juego del despacho, ya que, ahí se atienden menores de edad </w:t>
            </w:r>
            <w:r w:rsidRPr="00990FB6">
              <w:rPr>
                <w:sz w:val="22"/>
                <w:szCs w:val="22"/>
                <w:u w:val="single"/>
              </w:rPr>
              <w:lastRenderedPageBreak/>
              <w:t>como víctimas, testigos o acompañantes del proceso.</w:t>
            </w:r>
          </w:p>
        </w:tc>
      </w:tr>
      <w:tr w:rsidR="00B15F7D" w:rsidRPr="00990FB6" w14:paraId="7A069129" w14:textId="77777777" w:rsidTr="000A0C22">
        <w:trPr>
          <w:trHeight w:val="1160"/>
          <w:jc w:val="center"/>
        </w:trPr>
        <w:tc>
          <w:tcPr>
            <w:tcW w:w="583" w:type="pct"/>
            <w:hideMark/>
          </w:tcPr>
          <w:p w14:paraId="7D79D55D" w14:textId="77777777" w:rsidR="00B15F7D" w:rsidRPr="00990FB6" w:rsidRDefault="00B15F7D" w:rsidP="00B15F7D">
            <w:pPr>
              <w:rPr>
                <w:sz w:val="22"/>
                <w:szCs w:val="22"/>
                <w:u w:val="single"/>
              </w:rPr>
            </w:pPr>
            <w:r w:rsidRPr="00990FB6">
              <w:rPr>
                <w:sz w:val="22"/>
                <w:szCs w:val="22"/>
                <w:u w:val="single"/>
              </w:rPr>
              <w:lastRenderedPageBreak/>
              <w:t>29999</w:t>
            </w:r>
          </w:p>
        </w:tc>
        <w:tc>
          <w:tcPr>
            <w:tcW w:w="578" w:type="pct"/>
            <w:hideMark/>
          </w:tcPr>
          <w:p w14:paraId="45FB581B"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566FDF7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15976</w:t>
            </w:r>
          </w:p>
        </w:tc>
        <w:tc>
          <w:tcPr>
            <w:tcW w:w="1045" w:type="pct"/>
            <w:hideMark/>
          </w:tcPr>
          <w:p w14:paraId="1CDBF7E0" w14:textId="77777777" w:rsidR="00B15F7D" w:rsidRPr="00990FB6" w:rsidRDefault="00B15F7D" w:rsidP="00B15F7D">
            <w:pPr>
              <w:rPr>
                <w:sz w:val="22"/>
                <w:szCs w:val="22"/>
                <w:u w:val="single"/>
              </w:rPr>
            </w:pPr>
            <w:r w:rsidRPr="00990FB6">
              <w:rPr>
                <w:sz w:val="22"/>
                <w:szCs w:val="22"/>
                <w:u w:val="single"/>
              </w:rPr>
              <w:t>SOBRE PLASTICO PARA CARNET</w:t>
            </w:r>
          </w:p>
        </w:tc>
        <w:tc>
          <w:tcPr>
            <w:tcW w:w="550" w:type="pct"/>
            <w:hideMark/>
          </w:tcPr>
          <w:p w14:paraId="3DC10F96" w14:textId="77777777" w:rsidR="00B15F7D" w:rsidRPr="00990FB6" w:rsidRDefault="00B15F7D" w:rsidP="00B15F7D">
            <w:pPr>
              <w:rPr>
                <w:sz w:val="22"/>
                <w:szCs w:val="22"/>
                <w:u w:val="single"/>
              </w:rPr>
            </w:pPr>
            <w:r w:rsidRPr="00990FB6">
              <w:rPr>
                <w:sz w:val="22"/>
                <w:szCs w:val="22"/>
                <w:u w:val="single"/>
              </w:rPr>
              <w:t>67.800,00</w:t>
            </w:r>
          </w:p>
        </w:tc>
        <w:tc>
          <w:tcPr>
            <w:tcW w:w="511" w:type="pct"/>
            <w:hideMark/>
          </w:tcPr>
          <w:p w14:paraId="327FC4B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AAA3E1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01C5571" w14:textId="77777777" w:rsidR="00B15F7D" w:rsidRPr="00990FB6" w:rsidRDefault="00B15F7D" w:rsidP="00FC2DB5">
            <w:pPr>
              <w:jc w:val="both"/>
              <w:rPr>
                <w:sz w:val="22"/>
                <w:szCs w:val="22"/>
                <w:u w:val="single"/>
              </w:rPr>
            </w:pPr>
            <w:r w:rsidRPr="00990FB6">
              <w:rPr>
                <w:sz w:val="22"/>
                <w:szCs w:val="22"/>
                <w:u w:val="single"/>
              </w:rPr>
              <w:t xml:space="preserve">Que los funcionarios no cuenten con las </w:t>
            </w:r>
            <w:proofErr w:type="gramStart"/>
            <w:r w:rsidRPr="00990FB6">
              <w:rPr>
                <w:sz w:val="22"/>
                <w:szCs w:val="22"/>
                <w:u w:val="single"/>
              </w:rPr>
              <w:t>insignias  de</w:t>
            </w:r>
            <w:proofErr w:type="gramEnd"/>
            <w:r w:rsidRPr="00990FB6">
              <w:rPr>
                <w:sz w:val="22"/>
                <w:szCs w:val="22"/>
                <w:u w:val="single"/>
              </w:rPr>
              <w:t xml:space="preserve"> identificación institucional, con el fin de facilitar su labor tanto ante las distintas autoridades de la República como ante la ciudadanía en general. </w:t>
            </w:r>
          </w:p>
        </w:tc>
      </w:tr>
      <w:tr w:rsidR="00B15F7D" w:rsidRPr="00990FB6" w14:paraId="7AB5141D" w14:textId="77777777" w:rsidTr="000A0C22">
        <w:trPr>
          <w:trHeight w:val="1160"/>
          <w:jc w:val="center"/>
        </w:trPr>
        <w:tc>
          <w:tcPr>
            <w:tcW w:w="583" w:type="pct"/>
            <w:hideMark/>
          </w:tcPr>
          <w:p w14:paraId="68FBCC2D"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1ED4C4F9"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63954A2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16036</w:t>
            </w:r>
          </w:p>
        </w:tc>
        <w:tc>
          <w:tcPr>
            <w:tcW w:w="1045" w:type="pct"/>
            <w:hideMark/>
          </w:tcPr>
          <w:p w14:paraId="714A1E11" w14:textId="77777777" w:rsidR="00B15F7D" w:rsidRPr="00990FB6" w:rsidRDefault="00B15F7D" w:rsidP="00B15F7D">
            <w:pPr>
              <w:rPr>
                <w:sz w:val="22"/>
                <w:szCs w:val="22"/>
                <w:u w:val="single"/>
              </w:rPr>
            </w:pPr>
            <w:r w:rsidRPr="00990FB6">
              <w:rPr>
                <w:sz w:val="22"/>
                <w:szCs w:val="22"/>
                <w:u w:val="single"/>
              </w:rPr>
              <w:t>PLACA DE IDENTIFICACION POLICIAL</w:t>
            </w:r>
          </w:p>
        </w:tc>
        <w:tc>
          <w:tcPr>
            <w:tcW w:w="550" w:type="pct"/>
            <w:hideMark/>
          </w:tcPr>
          <w:p w14:paraId="43706DF5" w14:textId="77777777" w:rsidR="00B15F7D" w:rsidRPr="00990FB6" w:rsidRDefault="00B15F7D" w:rsidP="00B15F7D">
            <w:pPr>
              <w:rPr>
                <w:sz w:val="22"/>
                <w:szCs w:val="22"/>
                <w:u w:val="single"/>
              </w:rPr>
            </w:pPr>
            <w:r w:rsidRPr="00990FB6">
              <w:rPr>
                <w:sz w:val="22"/>
                <w:szCs w:val="22"/>
                <w:u w:val="single"/>
              </w:rPr>
              <w:t>565.000,00</w:t>
            </w:r>
          </w:p>
        </w:tc>
        <w:tc>
          <w:tcPr>
            <w:tcW w:w="511" w:type="pct"/>
            <w:hideMark/>
          </w:tcPr>
          <w:p w14:paraId="4B372C8A"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EB4907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017C389" w14:textId="77777777" w:rsidR="00B15F7D" w:rsidRPr="00990FB6" w:rsidRDefault="00B15F7D" w:rsidP="00FC2DB5">
            <w:pPr>
              <w:jc w:val="both"/>
              <w:rPr>
                <w:sz w:val="22"/>
                <w:szCs w:val="22"/>
                <w:u w:val="single"/>
              </w:rPr>
            </w:pPr>
            <w:r w:rsidRPr="00990FB6">
              <w:rPr>
                <w:sz w:val="22"/>
                <w:szCs w:val="22"/>
                <w:u w:val="single"/>
              </w:rPr>
              <w:t xml:space="preserve">Que los funcionarios no cuenten con las </w:t>
            </w:r>
            <w:proofErr w:type="gramStart"/>
            <w:r w:rsidRPr="00990FB6">
              <w:rPr>
                <w:sz w:val="22"/>
                <w:szCs w:val="22"/>
                <w:u w:val="single"/>
              </w:rPr>
              <w:t>insignias  de</w:t>
            </w:r>
            <w:proofErr w:type="gramEnd"/>
            <w:r w:rsidRPr="00990FB6">
              <w:rPr>
                <w:sz w:val="22"/>
                <w:szCs w:val="22"/>
                <w:u w:val="single"/>
              </w:rPr>
              <w:t xml:space="preserve"> identificación institucional, con el fin de facilitar su labor tanto ante las distintas autoridades de la República como ante la ciudadanía en general. </w:t>
            </w:r>
          </w:p>
        </w:tc>
      </w:tr>
      <w:tr w:rsidR="00B15F7D" w:rsidRPr="00990FB6" w14:paraId="4DF2E05B" w14:textId="77777777" w:rsidTr="000A0C22">
        <w:trPr>
          <w:trHeight w:val="1160"/>
          <w:jc w:val="center"/>
        </w:trPr>
        <w:tc>
          <w:tcPr>
            <w:tcW w:w="583" w:type="pct"/>
            <w:hideMark/>
          </w:tcPr>
          <w:p w14:paraId="0FD1A954"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7959BAAD"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025B83C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20453</w:t>
            </w:r>
          </w:p>
        </w:tc>
        <w:tc>
          <w:tcPr>
            <w:tcW w:w="1045" w:type="pct"/>
            <w:hideMark/>
          </w:tcPr>
          <w:p w14:paraId="0BDAFF66" w14:textId="77777777" w:rsidR="00B15F7D" w:rsidRPr="00990FB6" w:rsidRDefault="00B15F7D" w:rsidP="00B15F7D">
            <w:pPr>
              <w:rPr>
                <w:sz w:val="22"/>
                <w:szCs w:val="22"/>
                <w:u w:val="single"/>
              </w:rPr>
            </w:pPr>
            <w:r w:rsidRPr="00990FB6">
              <w:rPr>
                <w:sz w:val="22"/>
                <w:szCs w:val="22"/>
                <w:u w:val="single"/>
              </w:rPr>
              <w:t>CORDON PARA CARNE DE IDENTIFICACION</w:t>
            </w:r>
          </w:p>
        </w:tc>
        <w:tc>
          <w:tcPr>
            <w:tcW w:w="550" w:type="pct"/>
            <w:hideMark/>
          </w:tcPr>
          <w:p w14:paraId="6B84B5EF" w14:textId="77777777" w:rsidR="00B15F7D" w:rsidRPr="00990FB6" w:rsidRDefault="00B15F7D" w:rsidP="00B15F7D">
            <w:pPr>
              <w:rPr>
                <w:sz w:val="22"/>
                <w:szCs w:val="22"/>
                <w:u w:val="single"/>
              </w:rPr>
            </w:pPr>
            <w:r w:rsidRPr="00990FB6">
              <w:rPr>
                <w:sz w:val="22"/>
                <w:szCs w:val="22"/>
                <w:u w:val="single"/>
              </w:rPr>
              <w:t>179.670,00</w:t>
            </w:r>
          </w:p>
        </w:tc>
        <w:tc>
          <w:tcPr>
            <w:tcW w:w="511" w:type="pct"/>
            <w:hideMark/>
          </w:tcPr>
          <w:p w14:paraId="5D44866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8E50066"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4D20DE" w14:textId="77777777" w:rsidR="00B15F7D" w:rsidRPr="00990FB6" w:rsidRDefault="00B15F7D" w:rsidP="00FC2DB5">
            <w:pPr>
              <w:jc w:val="both"/>
              <w:rPr>
                <w:sz w:val="22"/>
                <w:szCs w:val="22"/>
                <w:u w:val="single"/>
              </w:rPr>
            </w:pPr>
            <w:r w:rsidRPr="00990FB6">
              <w:rPr>
                <w:sz w:val="22"/>
                <w:szCs w:val="22"/>
                <w:u w:val="single"/>
              </w:rPr>
              <w:t xml:space="preserve">Que los funcionarios no cuenten con las </w:t>
            </w:r>
            <w:proofErr w:type="gramStart"/>
            <w:r w:rsidRPr="00990FB6">
              <w:rPr>
                <w:sz w:val="22"/>
                <w:szCs w:val="22"/>
                <w:u w:val="single"/>
              </w:rPr>
              <w:t>insignias  de</w:t>
            </w:r>
            <w:proofErr w:type="gramEnd"/>
            <w:r w:rsidRPr="00990FB6">
              <w:rPr>
                <w:sz w:val="22"/>
                <w:szCs w:val="22"/>
                <w:u w:val="single"/>
              </w:rPr>
              <w:t xml:space="preserve"> identificación institucional, </w:t>
            </w:r>
            <w:r w:rsidRPr="00990FB6">
              <w:rPr>
                <w:sz w:val="22"/>
                <w:szCs w:val="22"/>
                <w:u w:val="single"/>
              </w:rPr>
              <w:lastRenderedPageBreak/>
              <w:t xml:space="preserve">con el fin de facilitar su labor tanto ante las distintas autoridades de la República como ante la ciudadanía en general. </w:t>
            </w:r>
          </w:p>
        </w:tc>
      </w:tr>
      <w:tr w:rsidR="00B15F7D" w:rsidRPr="00990FB6" w14:paraId="22C64CFC" w14:textId="77777777" w:rsidTr="000A0C22">
        <w:trPr>
          <w:trHeight w:val="580"/>
          <w:jc w:val="center"/>
        </w:trPr>
        <w:tc>
          <w:tcPr>
            <w:tcW w:w="583" w:type="pct"/>
            <w:hideMark/>
          </w:tcPr>
          <w:p w14:paraId="7995D8B3" w14:textId="77777777" w:rsidR="00B15F7D" w:rsidRPr="00990FB6" w:rsidRDefault="00B15F7D" w:rsidP="00B15F7D">
            <w:pPr>
              <w:rPr>
                <w:sz w:val="22"/>
                <w:szCs w:val="22"/>
                <w:u w:val="single"/>
              </w:rPr>
            </w:pPr>
            <w:r w:rsidRPr="00990FB6">
              <w:rPr>
                <w:sz w:val="22"/>
                <w:szCs w:val="22"/>
                <w:u w:val="single"/>
              </w:rPr>
              <w:lastRenderedPageBreak/>
              <w:t>29999</w:t>
            </w:r>
          </w:p>
        </w:tc>
        <w:tc>
          <w:tcPr>
            <w:tcW w:w="578" w:type="pct"/>
            <w:hideMark/>
          </w:tcPr>
          <w:p w14:paraId="04A73C79"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1EC7A1BC"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15892</w:t>
            </w:r>
          </w:p>
        </w:tc>
        <w:tc>
          <w:tcPr>
            <w:tcW w:w="1045" w:type="pct"/>
            <w:hideMark/>
          </w:tcPr>
          <w:p w14:paraId="6B94707A" w14:textId="77777777" w:rsidR="00B15F7D" w:rsidRPr="00990FB6" w:rsidRDefault="00B15F7D" w:rsidP="00B15F7D">
            <w:pPr>
              <w:rPr>
                <w:sz w:val="22"/>
                <w:szCs w:val="22"/>
                <w:u w:val="single"/>
              </w:rPr>
            </w:pPr>
            <w:r w:rsidRPr="00990FB6">
              <w:rPr>
                <w:sz w:val="22"/>
                <w:szCs w:val="22"/>
                <w:u w:val="single"/>
              </w:rPr>
              <w:t>BOLSA PLASTICA TRANSP. 35 X 51 CM</w:t>
            </w:r>
          </w:p>
        </w:tc>
        <w:tc>
          <w:tcPr>
            <w:tcW w:w="550" w:type="pct"/>
            <w:hideMark/>
          </w:tcPr>
          <w:p w14:paraId="38ABE797" w14:textId="77777777" w:rsidR="00B15F7D" w:rsidRPr="00990FB6" w:rsidRDefault="00B15F7D" w:rsidP="00B15F7D">
            <w:pPr>
              <w:rPr>
                <w:sz w:val="22"/>
                <w:szCs w:val="22"/>
                <w:u w:val="single"/>
              </w:rPr>
            </w:pPr>
            <w:r w:rsidRPr="00990FB6">
              <w:rPr>
                <w:sz w:val="22"/>
                <w:szCs w:val="22"/>
                <w:u w:val="single"/>
              </w:rPr>
              <w:t>278.473,00</w:t>
            </w:r>
          </w:p>
        </w:tc>
        <w:tc>
          <w:tcPr>
            <w:tcW w:w="511" w:type="pct"/>
            <w:noWrap/>
            <w:hideMark/>
          </w:tcPr>
          <w:p w14:paraId="35E05BA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B2900AA"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F0B6248"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6A0686F0" w14:textId="77777777" w:rsidTr="000A0C22">
        <w:trPr>
          <w:trHeight w:val="580"/>
          <w:jc w:val="center"/>
        </w:trPr>
        <w:tc>
          <w:tcPr>
            <w:tcW w:w="583" w:type="pct"/>
            <w:hideMark/>
          </w:tcPr>
          <w:p w14:paraId="2C841785"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62871717"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738DBC06"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15893</w:t>
            </w:r>
          </w:p>
        </w:tc>
        <w:tc>
          <w:tcPr>
            <w:tcW w:w="1045" w:type="pct"/>
            <w:hideMark/>
          </w:tcPr>
          <w:p w14:paraId="1F7316E3" w14:textId="77777777" w:rsidR="00B15F7D" w:rsidRPr="00990FB6" w:rsidRDefault="00B15F7D" w:rsidP="00B15F7D">
            <w:pPr>
              <w:rPr>
                <w:sz w:val="22"/>
                <w:szCs w:val="22"/>
                <w:u w:val="single"/>
              </w:rPr>
            </w:pPr>
            <w:r w:rsidRPr="00990FB6">
              <w:rPr>
                <w:sz w:val="22"/>
                <w:szCs w:val="22"/>
                <w:u w:val="single"/>
              </w:rPr>
              <w:t>BOLSA PLASTICA TRANSP. 50 X 75 CM</w:t>
            </w:r>
          </w:p>
        </w:tc>
        <w:tc>
          <w:tcPr>
            <w:tcW w:w="550" w:type="pct"/>
            <w:hideMark/>
          </w:tcPr>
          <w:p w14:paraId="1D41BABD" w14:textId="77777777" w:rsidR="00B15F7D" w:rsidRPr="00990FB6" w:rsidRDefault="00B15F7D" w:rsidP="00B15F7D">
            <w:pPr>
              <w:rPr>
                <w:sz w:val="22"/>
                <w:szCs w:val="22"/>
                <w:u w:val="single"/>
              </w:rPr>
            </w:pPr>
            <w:r w:rsidRPr="00990FB6">
              <w:rPr>
                <w:sz w:val="22"/>
                <w:szCs w:val="22"/>
                <w:u w:val="single"/>
              </w:rPr>
              <w:t>310.813,00</w:t>
            </w:r>
          </w:p>
        </w:tc>
        <w:tc>
          <w:tcPr>
            <w:tcW w:w="511" w:type="pct"/>
            <w:noWrap/>
            <w:hideMark/>
          </w:tcPr>
          <w:p w14:paraId="7DA5A7F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728CD1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3511E5C"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40525FA7" w14:textId="77777777" w:rsidTr="000A0C22">
        <w:trPr>
          <w:trHeight w:val="290"/>
          <w:jc w:val="center"/>
        </w:trPr>
        <w:tc>
          <w:tcPr>
            <w:tcW w:w="583" w:type="pct"/>
            <w:hideMark/>
          </w:tcPr>
          <w:p w14:paraId="17738506"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45C2F6DE"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63858B9F"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15897</w:t>
            </w:r>
          </w:p>
        </w:tc>
        <w:tc>
          <w:tcPr>
            <w:tcW w:w="1045" w:type="pct"/>
            <w:hideMark/>
          </w:tcPr>
          <w:p w14:paraId="154A3EF6" w14:textId="77777777" w:rsidR="00B15F7D" w:rsidRPr="00990FB6" w:rsidRDefault="00B15F7D" w:rsidP="00B15F7D">
            <w:pPr>
              <w:rPr>
                <w:sz w:val="22"/>
                <w:szCs w:val="22"/>
                <w:u w:val="single"/>
              </w:rPr>
            </w:pPr>
            <w:r w:rsidRPr="00990FB6">
              <w:rPr>
                <w:sz w:val="22"/>
                <w:szCs w:val="22"/>
                <w:u w:val="single"/>
              </w:rPr>
              <w:t>PILA GRANDE 1.5 VOLTIOS</w:t>
            </w:r>
          </w:p>
        </w:tc>
        <w:tc>
          <w:tcPr>
            <w:tcW w:w="550" w:type="pct"/>
            <w:hideMark/>
          </w:tcPr>
          <w:p w14:paraId="5C5E21EE" w14:textId="77777777" w:rsidR="00B15F7D" w:rsidRPr="00990FB6" w:rsidRDefault="00B15F7D" w:rsidP="00B15F7D">
            <w:pPr>
              <w:rPr>
                <w:sz w:val="22"/>
                <w:szCs w:val="22"/>
                <w:u w:val="single"/>
              </w:rPr>
            </w:pPr>
            <w:r w:rsidRPr="00990FB6">
              <w:rPr>
                <w:sz w:val="22"/>
                <w:szCs w:val="22"/>
                <w:u w:val="single"/>
              </w:rPr>
              <w:t>35.423,00</w:t>
            </w:r>
          </w:p>
        </w:tc>
        <w:tc>
          <w:tcPr>
            <w:tcW w:w="511" w:type="pct"/>
            <w:noWrap/>
            <w:hideMark/>
          </w:tcPr>
          <w:p w14:paraId="22489B01"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66F2C4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202CBD5"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0E20BB6A" w14:textId="77777777" w:rsidTr="000A0C22">
        <w:trPr>
          <w:trHeight w:val="290"/>
          <w:jc w:val="center"/>
        </w:trPr>
        <w:tc>
          <w:tcPr>
            <w:tcW w:w="583" w:type="pct"/>
            <w:hideMark/>
          </w:tcPr>
          <w:p w14:paraId="332C6921"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49C9F134"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6337260A"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16098</w:t>
            </w:r>
          </w:p>
        </w:tc>
        <w:tc>
          <w:tcPr>
            <w:tcW w:w="1045" w:type="pct"/>
            <w:hideMark/>
          </w:tcPr>
          <w:p w14:paraId="55BB38C7" w14:textId="77777777" w:rsidR="00B15F7D" w:rsidRPr="00990FB6" w:rsidRDefault="00B15F7D" w:rsidP="00B15F7D">
            <w:pPr>
              <w:rPr>
                <w:sz w:val="22"/>
                <w:szCs w:val="22"/>
                <w:u w:val="single"/>
              </w:rPr>
            </w:pPr>
            <w:r w:rsidRPr="00990FB6">
              <w:rPr>
                <w:sz w:val="22"/>
                <w:szCs w:val="22"/>
                <w:u w:val="single"/>
              </w:rPr>
              <w:t>PILA ALCALINA 1.5 DOBLE A</w:t>
            </w:r>
          </w:p>
        </w:tc>
        <w:tc>
          <w:tcPr>
            <w:tcW w:w="550" w:type="pct"/>
            <w:hideMark/>
          </w:tcPr>
          <w:p w14:paraId="0A7E20C2" w14:textId="77777777" w:rsidR="00B15F7D" w:rsidRPr="00990FB6" w:rsidRDefault="00B15F7D" w:rsidP="00B15F7D">
            <w:pPr>
              <w:rPr>
                <w:sz w:val="22"/>
                <w:szCs w:val="22"/>
                <w:u w:val="single"/>
              </w:rPr>
            </w:pPr>
            <w:r w:rsidRPr="00990FB6">
              <w:rPr>
                <w:sz w:val="22"/>
                <w:szCs w:val="22"/>
                <w:u w:val="single"/>
              </w:rPr>
              <w:t>36.440,00</w:t>
            </w:r>
          </w:p>
        </w:tc>
        <w:tc>
          <w:tcPr>
            <w:tcW w:w="511" w:type="pct"/>
            <w:noWrap/>
            <w:hideMark/>
          </w:tcPr>
          <w:p w14:paraId="23BB6C9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6842E7C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9C38DB8"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6D44B4B3" w14:textId="77777777" w:rsidTr="000A0C22">
        <w:trPr>
          <w:trHeight w:val="290"/>
          <w:jc w:val="center"/>
        </w:trPr>
        <w:tc>
          <w:tcPr>
            <w:tcW w:w="583" w:type="pct"/>
            <w:hideMark/>
          </w:tcPr>
          <w:p w14:paraId="18C296BF"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7C1DCA91" w14:textId="77777777" w:rsidR="00B15F7D" w:rsidRPr="00990FB6" w:rsidRDefault="00B15F7D" w:rsidP="00B15F7D">
            <w:pPr>
              <w:rPr>
                <w:sz w:val="22"/>
                <w:szCs w:val="22"/>
                <w:u w:val="single"/>
              </w:rPr>
            </w:pPr>
            <w:r w:rsidRPr="00990FB6">
              <w:rPr>
                <w:sz w:val="22"/>
                <w:szCs w:val="22"/>
                <w:u w:val="single"/>
              </w:rPr>
              <w:t xml:space="preserve">Otros útiles, materiales y </w:t>
            </w:r>
            <w:r w:rsidRPr="00990FB6">
              <w:rPr>
                <w:sz w:val="22"/>
                <w:szCs w:val="22"/>
                <w:u w:val="single"/>
              </w:rPr>
              <w:lastRenderedPageBreak/>
              <w:t>suministros diversos</w:t>
            </w:r>
          </w:p>
        </w:tc>
        <w:tc>
          <w:tcPr>
            <w:tcW w:w="363" w:type="pct"/>
            <w:hideMark/>
          </w:tcPr>
          <w:p w14:paraId="1DF10AD3" w14:textId="77777777" w:rsidR="00B15F7D" w:rsidRPr="00990FB6" w:rsidRDefault="00B15F7D" w:rsidP="00B15F7D">
            <w:pPr>
              <w:rPr>
                <w:sz w:val="22"/>
                <w:szCs w:val="22"/>
                <w:u w:val="single"/>
              </w:rPr>
            </w:pPr>
            <w:r w:rsidRPr="00990FB6">
              <w:rPr>
                <w:sz w:val="22"/>
                <w:szCs w:val="22"/>
                <w:u w:val="single"/>
              </w:rPr>
              <w:lastRenderedPageBreak/>
              <w:t xml:space="preserve">       </w:t>
            </w:r>
            <w:proofErr w:type="gramStart"/>
            <w:r w:rsidRPr="00990FB6">
              <w:rPr>
                <w:sz w:val="22"/>
                <w:szCs w:val="22"/>
                <w:u w:val="single"/>
              </w:rPr>
              <w:t>Art. :</w:t>
            </w:r>
            <w:proofErr w:type="gramEnd"/>
            <w:r w:rsidRPr="00990FB6">
              <w:rPr>
                <w:sz w:val="22"/>
                <w:szCs w:val="22"/>
                <w:u w:val="single"/>
              </w:rPr>
              <w:t xml:space="preserve"> 18065</w:t>
            </w:r>
          </w:p>
        </w:tc>
        <w:tc>
          <w:tcPr>
            <w:tcW w:w="1045" w:type="pct"/>
            <w:hideMark/>
          </w:tcPr>
          <w:p w14:paraId="4338F4BA" w14:textId="77777777" w:rsidR="00B15F7D" w:rsidRPr="00990FB6" w:rsidRDefault="00B15F7D" w:rsidP="00B15F7D">
            <w:pPr>
              <w:rPr>
                <w:sz w:val="22"/>
                <w:szCs w:val="22"/>
                <w:u w:val="single"/>
              </w:rPr>
            </w:pPr>
            <w:r w:rsidRPr="00990FB6">
              <w:rPr>
                <w:sz w:val="22"/>
                <w:szCs w:val="22"/>
                <w:u w:val="single"/>
              </w:rPr>
              <w:t>PILA ALCALINA TRIPLE A, PARES</w:t>
            </w:r>
          </w:p>
        </w:tc>
        <w:tc>
          <w:tcPr>
            <w:tcW w:w="550" w:type="pct"/>
            <w:hideMark/>
          </w:tcPr>
          <w:p w14:paraId="7B11669F" w14:textId="77777777" w:rsidR="00B15F7D" w:rsidRPr="00990FB6" w:rsidRDefault="00B15F7D" w:rsidP="00B15F7D">
            <w:pPr>
              <w:rPr>
                <w:sz w:val="22"/>
                <w:szCs w:val="22"/>
                <w:u w:val="single"/>
              </w:rPr>
            </w:pPr>
            <w:r w:rsidRPr="00990FB6">
              <w:rPr>
                <w:sz w:val="22"/>
                <w:szCs w:val="22"/>
                <w:u w:val="single"/>
              </w:rPr>
              <w:t>123.300,00</w:t>
            </w:r>
          </w:p>
        </w:tc>
        <w:tc>
          <w:tcPr>
            <w:tcW w:w="511" w:type="pct"/>
            <w:noWrap/>
            <w:hideMark/>
          </w:tcPr>
          <w:p w14:paraId="659AE6E8"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29949F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DB67F76"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6D41520B" w14:textId="77777777" w:rsidTr="000A0C22">
        <w:trPr>
          <w:trHeight w:val="580"/>
          <w:jc w:val="center"/>
        </w:trPr>
        <w:tc>
          <w:tcPr>
            <w:tcW w:w="583" w:type="pct"/>
            <w:hideMark/>
          </w:tcPr>
          <w:p w14:paraId="7FD517E8"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2D031A3D"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6B1272D8"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21422</w:t>
            </w:r>
          </w:p>
        </w:tc>
        <w:tc>
          <w:tcPr>
            <w:tcW w:w="1045" w:type="pct"/>
            <w:hideMark/>
          </w:tcPr>
          <w:p w14:paraId="3DCCBCC2" w14:textId="77777777" w:rsidR="00B15F7D" w:rsidRPr="00990FB6" w:rsidRDefault="00B15F7D" w:rsidP="00B15F7D">
            <w:pPr>
              <w:rPr>
                <w:sz w:val="22"/>
                <w:szCs w:val="22"/>
                <w:u w:val="single"/>
              </w:rPr>
            </w:pPr>
            <w:r w:rsidRPr="00990FB6">
              <w:rPr>
                <w:sz w:val="22"/>
                <w:szCs w:val="22"/>
                <w:u w:val="single"/>
              </w:rPr>
              <w:t>BOLSA PLASTICA TRANSPARENTE 94CM X 139CM</w:t>
            </w:r>
          </w:p>
        </w:tc>
        <w:tc>
          <w:tcPr>
            <w:tcW w:w="550" w:type="pct"/>
            <w:hideMark/>
          </w:tcPr>
          <w:p w14:paraId="727234B7" w14:textId="77777777" w:rsidR="00B15F7D" w:rsidRPr="00990FB6" w:rsidRDefault="00B15F7D" w:rsidP="00B15F7D">
            <w:pPr>
              <w:rPr>
                <w:sz w:val="22"/>
                <w:szCs w:val="22"/>
                <w:u w:val="single"/>
              </w:rPr>
            </w:pPr>
            <w:r w:rsidRPr="00990FB6">
              <w:rPr>
                <w:sz w:val="22"/>
                <w:szCs w:val="22"/>
                <w:u w:val="single"/>
              </w:rPr>
              <w:t>204.480,00</w:t>
            </w:r>
          </w:p>
        </w:tc>
        <w:tc>
          <w:tcPr>
            <w:tcW w:w="511" w:type="pct"/>
            <w:noWrap/>
            <w:hideMark/>
          </w:tcPr>
          <w:p w14:paraId="225D534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151B6DE"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6E15330" w14:textId="77777777" w:rsidR="00B15F7D" w:rsidRPr="00990FB6" w:rsidRDefault="00B15F7D" w:rsidP="00FC2DB5">
            <w:pPr>
              <w:jc w:val="both"/>
              <w:rPr>
                <w:sz w:val="22"/>
                <w:szCs w:val="22"/>
                <w:u w:val="single"/>
              </w:rPr>
            </w:pPr>
            <w:r w:rsidRPr="00990FB6">
              <w:rPr>
                <w:sz w:val="22"/>
                <w:szCs w:val="22"/>
                <w:u w:val="single"/>
              </w:rPr>
              <w:t xml:space="preserve">Desmejora en las condiciones de higiene de las instalaciones. Riesgo de salud para el personal y usuarios. </w:t>
            </w:r>
          </w:p>
        </w:tc>
      </w:tr>
      <w:tr w:rsidR="00B15F7D" w:rsidRPr="00990FB6" w14:paraId="50EF66E2" w14:textId="77777777" w:rsidTr="000A0C22">
        <w:trPr>
          <w:trHeight w:val="2030"/>
          <w:jc w:val="center"/>
        </w:trPr>
        <w:tc>
          <w:tcPr>
            <w:tcW w:w="583" w:type="pct"/>
            <w:hideMark/>
          </w:tcPr>
          <w:p w14:paraId="7DF568A1"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4ABBD369"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22AA44C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23357</w:t>
            </w:r>
          </w:p>
        </w:tc>
        <w:tc>
          <w:tcPr>
            <w:tcW w:w="1045" w:type="pct"/>
            <w:hideMark/>
          </w:tcPr>
          <w:p w14:paraId="791D53C4" w14:textId="77777777" w:rsidR="00B15F7D" w:rsidRPr="00990FB6" w:rsidRDefault="00B15F7D" w:rsidP="00B15F7D">
            <w:pPr>
              <w:rPr>
                <w:sz w:val="22"/>
                <w:szCs w:val="22"/>
                <w:u w:val="single"/>
              </w:rPr>
            </w:pPr>
            <w:r w:rsidRPr="00990FB6">
              <w:rPr>
                <w:sz w:val="22"/>
                <w:szCs w:val="22"/>
                <w:u w:val="single"/>
              </w:rPr>
              <w:t>CAJA PLASTICA PARA ALMACENAR MATERIALES</w:t>
            </w:r>
          </w:p>
        </w:tc>
        <w:tc>
          <w:tcPr>
            <w:tcW w:w="550" w:type="pct"/>
            <w:hideMark/>
          </w:tcPr>
          <w:p w14:paraId="75237F5C" w14:textId="77777777" w:rsidR="00B15F7D" w:rsidRPr="00990FB6" w:rsidRDefault="00B15F7D" w:rsidP="00B15F7D">
            <w:pPr>
              <w:rPr>
                <w:sz w:val="22"/>
                <w:szCs w:val="22"/>
                <w:u w:val="single"/>
              </w:rPr>
            </w:pPr>
            <w:r w:rsidRPr="00990FB6">
              <w:rPr>
                <w:sz w:val="22"/>
                <w:szCs w:val="22"/>
                <w:u w:val="single"/>
              </w:rPr>
              <w:t>132.944,00</w:t>
            </w:r>
          </w:p>
        </w:tc>
        <w:tc>
          <w:tcPr>
            <w:tcW w:w="511" w:type="pct"/>
            <w:noWrap/>
            <w:hideMark/>
          </w:tcPr>
          <w:p w14:paraId="6DD9E1AF"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5AB3DAC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0DBF268" w14:textId="77777777" w:rsidR="00B15F7D" w:rsidRPr="00990FB6" w:rsidRDefault="00B15F7D" w:rsidP="00FC2DB5">
            <w:pPr>
              <w:jc w:val="both"/>
              <w:rPr>
                <w:sz w:val="22"/>
                <w:szCs w:val="22"/>
                <w:u w:val="single"/>
              </w:rPr>
            </w:pPr>
            <w:r w:rsidRPr="00990FB6">
              <w:rPr>
                <w:sz w:val="22"/>
                <w:szCs w:val="22"/>
                <w:u w:val="single"/>
              </w:rPr>
              <w:t xml:space="preserve">No se podrá adquirir a caja solicitada por la Fiscalía de Golfito para  guardar evidencias y trasladarlas con mayor facilidad al depósito de objetos y Fiscalía  Atención de Hechos Contra Niños, Niñas requerida a efectos de dar una utilidad por largo tiempo al material de apoyo que se adquiera, se requiere de contenedores para almacenar el material, que permitan no solo la protección para su durabilidad, sino para </w:t>
            </w:r>
            <w:r w:rsidRPr="00990FB6">
              <w:rPr>
                <w:sz w:val="22"/>
                <w:szCs w:val="22"/>
                <w:u w:val="single"/>
              </w:rPr>
              <w:lastRenderedPageBreak/>
              <w:t>trasladar a todo el país, al momento de realizar giras a nivel nacional, así como atención de personas menores de edad (PME) usuarias in situ.</w:t>
            </w:r>
          </w:p>
        </w:tc>
      </w:tr>
      <w:tr w:rsidR="00B15F7D" w:rsidRPr="00990FB6" w14:paraId="22CDCB93" w14:textId="77777777" w:rsidTr="000A0C22">
        <w:trPr>
          <w:trHeight w:val="290"/>
          <w:jc w:val="center"/>
        </w:trPr>
        <w:tc>
          <w:tcPr>
            <w:tcW w:w="583" w:type="pct"/>
            <w:hideMark/>
          </w:tcPr>
          <w:p w14:paraId="0B4AC38C" w14:textId="77777777" w:rsidR="00B15F7D" w:rsidRPr="00990FB6" w:rsidRDefault="00B15F7D" w:rsidP="00B15F7D">
            <w:pPr>
              <w:rPr>
                <w:sz w:val="22"/>
                <w:szCs w:val="22"/>
                <w:u w:val="single"/>
              </w:rPr>
            </w:pPr>
            <w:r w:rsidRPr="00990FB6">
              <w:rPr>
                <w:sz w:val="22"/>
                <w:szCs w:val="22"/>
                <w:u w:val="single"/>
              </w:rPr>
              <w:lastRenderedPageBreak/>
              <w:t>29999</w:t>
            </w:r>
          </w:p>
        </w:tc>
        <w:tc>
          <w:tcPr>
            <w:tcW w:w="578" w:type="pct"/>
            <w:hideMark/>
          </w:tcPr>
          <w:p w14:paraId="4E3C845C"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02AEA79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25861</w:t>
            </w:r>
          </w:p>
        </w:tc>
        <w:tc>
          <w:tcPr>
            <w:tcW w:w="1045" w:type="pct"/>
            <w:hideMark/>
          </w:tcPr>
          <w:p w14:paraId="01605AD3" w14:textId="77777777" w:rsidR="00B15F7D" w:rsidRPr="00990FB6" w:rsidRDefault="00B15F7D" w:rsidP="00B15F7D">
            <w:pPr>
              <w:rPr>
                <w:sz w:val="22"/>
                <w:szCs w:val="22"/>
                <w:u w:val="single"/>
              </w:rPr>
            </w:pPr>
            <w:r w:rsidRPr="00990FB6">
              <w:rPr>
                <w:sz w:val="22"/>
                <w:szCs w:val="22"/>
                <w:u w:val="single"/>
              </w:rPr>
              <w:t>CAJA METALICA PARA GUARDAR LLAVES</w:t>
            </w:r>
          </w:p>
        </w:tc>
        <w:tc>
          <w:tcPr>
            <w:tcW w:w="550" w:type="pct"/>
            <w:hideMark/>
          </w:tcPr>
          <w:p w14:paraId="6888F3A5" w14:textId="77777777" w:rsidR="00B15F7D" w:rsidRPr="00990FB6" w:rsidRDefault="00B15F7D" w:rsidP="00B15F7D">
            <w:pPr>
              <w:rPr>
                <w:sz w:val="22"/>
                <w:szCs w:val="22"/>
                <w:u w:val="single"/>
              </w:rPr>
            </w:pPr>
            <w:r w:rsidRPr="00990FB6">
              <w:rPr>
                <w:sz w:val="22"/>
                <w:szCs w:val="22"/>
                <w:u w:val="single"/>
              </w:rPr>
              <w:t>35.000,00</w:t>
            </w:r>
          </w:p>
        </w:tc>
        <w:tc>
          <w:tcPr>
            <w:tcW w:w="511" w:type="pct"/>
            <w:noWrap/>
            <w:hideMark/>
          </w:tcPr>
          <w:p w14:paraId="68F7EB1B"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0A0366A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F866B43"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0C1D6776" w14:textId="77777777" w:rsidTr="000A0C22">
        <w:trPr>
          <w:trHeight w:val="290"/>
          <w:jc w:val="center"/>
        </w:trPr>
        <w:tc>
          <w:tcPr>
            <w:tcW w:w="583" w:type="pct"/>
            <w:hideMark/>
          </w:tcPr>
          <w:p w14:paraId="4C077EE6" w14:textId="77777777" w:rsidR="00B15F7D" w:rsidRPr="00990FB6" w:rsidRDefault="00B15F7D" w:rsidP="00B15F7D">
            <w:pPr>
              <w:rPr>
                <w:sz w:val="22"/>
                <w:szCs w:val="22"/>
                <w:u w:val="single"/>
              </w:rPr>
            </w:pPr>
            <w:r w:rsidRPr="00990FB6">
              <w:rPr>
                <w:sz w:val="22"/>
                <w:szCs w:val="22"/>
                <w:u w:val="single"/>
              </w:rPr>
              <w:t>29999</w:t>
            </w:r>
          </w:p>
        </w:tc>
        <w:tc>
          <w:tcPr>
            <w:tcW w:w="578" w:type="pct"/>
            <w:hideMark/>
          </w:tcPr>
          <w:p w14:paraId="569C15BF" w14:textId="77777777" w:rsidR="00B15F7D" w:rsidRPr="00990FB6" w:rsidRDefault="00B15F7D" w:rsidP="00B15F7D">
            <w:pPr>
              <w:rPr>
                <w:sz w:val="22"/>
                <w:szCs w:val="22"/>
                <w:u w:val="single"/>
              </w:rPr>
            </w:pPr>
            <w:r w:rsidRPr="00990FB6">
              <w:rPr>
                <w:sz w:val="22"/>
                <w:szCs w:val="22"/>
                <w:u w:val="single"/>
              </w:rPr>
              <w:t>Otros útiles, materiales y suministros diversos</w:t>
            </w:r>
          </w:p>
        </w:tc>
        <w:tc>
          <w:tcPr>
            <w:tcW w:w="363" w:type="pct"/>
            <w:hideMark/>
          </w:tcPr>
          <w:p w14:paraId="3CFB1235"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25914</w:t>
            </w:r>
          </w:p>
        </w:tc>
        <w:tc>
          <w:tcPr>
            <w:tcW w:w="1045" w:type="pct"/>
            <w:hideMark/>
          </w:tcPr>
          <w:p w14:paraId="06F66295" w14:textId="77777777" w:rsidR="00B15F7D" w:rsidRPr="00990FB6" w:rsidRDefault="00B15F7D" w:rsidP="00B15F7D">
            <w:pPr>
              <w:rPr>
                <w:sz w:val="22"/>
                <w:szCs w:val="22"/>
                <w:u w:val="single"/>
              </w:rPr>
            </w:pPr>
            <w:r w:rsidRPr="00990FB6">
              <w:rPr>
                <w:sz w:val="22"/>
                <w:szCs w:val="22"/>
                <w:u w:val="single"/>
              </w:rPr>
              <w:t>TOALLA SANITARIA (10 UNIDADES)</w:t>
            </w:r>
          </w:p>
        </w:tc>
        <w:tc>
          <w:tcPr>
            <w:tcW w:w="550" w:type="pct"/>
            <w:hideMark/>
          </w:tcPr>
          <w:p w14:paraId="3530B41D" w14:textId="77777777" w:rsidR="00B15F7D" w:rsidRPr="00990FB6" w:rsidRDefault="00B15F7D" w:rsidP="00B15F7D">
            <w:pPr>
              <w:rPr>
                <w:sz w:val="22"/>
                <w:szCs w:val="22"/>
                <w:u w:val="single"/>
              </w:rPr>
            </w:pPr>
            <w:r w:rsidRPr="00990FB6">
              <w:rPr>
                <w:sz w:val="22"/>
                <w:szCs w:val="22"/>
                <w:u w:val="single"/>
              </w:rPr>
              <w:t>13.530,00</w:t>
            </w:r>
          </w:p>
        </w:tc>
        <w:tc>
          <w:tcPr>
            <w:tcW w:w="511" w:type="pct"/>
            <w:noWrap/>
            <w:hideMark/>
          </w:tcPr>
          <w:p w14:paraId="287A890A" w14:textId="77777777" w:rsidR="00B15F7D" w:rsidRPr="00990FB6" w:rsidRDefault="00B15F7D" w:rsidP="00B15F7D">
            <w:pPr>
              <w:rPr>
                <w:sz w:val="22"/>
                <w:szCs w:val="22"/>
                <w:u w:val="single"/>
              </w:rPr>
            </w:pPr>
            <w:r w:rsidRPr="00990FB6">
              <w:rPr>
                <w:sz w:val="22"/>
                <w:szCs w:val="22"/>
                <w:u w:val="single"/>
              </w:rPr>
              <w:t> </w:t>
            </w:r>
          </w:p>
        </w:tc>
        <w:tc>
          <w:tcPr>
            <w:tcW w:w="589" w:type="pct"/>
            <w:noWrap/>
            <w:hideMark/>
          </w:tcPr>
          <w:p w14:paraId="7FE8099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3C3DDB7" w14:textId="77777777" w:rsidR="00B15F7D" w:rsidRPr="00990FB6" w:rsidRDefault="00B15F7D" w:rsidP="00FC2DB5">
            <w:pPr>
              <w:jc w:val="both"/>
              <w:rPr>
                <w:sz w:val="22"/>
                <w:szCs w:val="22"/>
                <w:u w:val="single"/>
              </w:rPr>
            </w:pPr>
            <w:r w:rsidRPr="00990FB6">
              <w:rPr>
                <w:sz w:val="22"/>
                <w:szCs w:val="22"/>
                <w:u w:val="single"/>
              </w:rPr>
              <w:t> </w:t>
            </w:r>
          </w:p>
        </w:tc>
      </w:tr>
      <w:tr w:rsidR="00B15F7D" w:rsidRPr="00990FB6" w14:paraId="08E712CD" w14:textId="77777777" w:rsidTr="000A0C22">
        <w:trPr>
          <w:trHeight w:val="580"/>
          <w:jc w:val="center"/>
        </w:trPr>
        <w:tc>
          <w:tcPr>
            <w:tcW w:w="583" w:type="pct"/>
            <w:hideMark/>
          </w:tcPr>
          <w:p w14:paraId="5F16D343" w14:textId="77777777" w:rsidR="00B15F7D" w:rsidRPr="00990FB6" w:rsidRDefault="00B15F7D" w:rsidP="00B15F7D">
            <w:pPr>
              <w:rPr>
                <w:sz w:val="22"/>
                <w:szCs w:val="22"/>
                <w:u w:val="single"/>
              </w:rPr>
            </w:pPr>
            <w:r w:rsidRPr="00990FB6">
              <w:rPr>
                <w:sz w:val="22"/>
                <w:szCs w:val="22"/>
                <w:u w:val="single"/>
              </w:rPr>
              <w:t>50101</w:t>
            </w:r>
          </w:p>
        </w:tc>
        <w:tc>
          <w:tcPr>
            <w:tcW w:w="578" w:type="pct"/>
            <w:hideMark/>
          </w:tcPr>
          <w:p w14:paraId="09B3906D" w14:textId="77777777" w:rsidR="00B15F7D" w:rsidRPr="00990FB6" w:rsidRDefault="00B15F7D" w:rsidP="00B15F7D">
            <w:pPr>
              <w:rPr>
                <w:sz w:val="22"/>
                <w:szCs w:val="22"/>
                <w:u w:val="single"/>
              </w:rPr>
            </w:pPr>
            <w:r w:rsidRPr="00990FB6">
              <w:rPr>
                <w:sz w:val="22"/>
                <w:szCs w:val="22"/>
                <w:u w:val="single"/>
              </w:rPr>
              <w:t>Maquinaria y equipo para la producción</w:t>
            </w:r>
          </w:p>
        </w:tc>
        <w:tc>
          <w:tcPr>
            <w:tcW w:w="363" w:type="pct"/>
            <w:hideMark/>
          </w:tcPr>
          <w:p w14:paraId="48B86C54"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14212</w:t>
            </w:r>
          </w:p>
        </w:tc>
        <w:tc>
          <w:tcPr>
            <w:tcW w:w="1045" w:type="pct"/>
            <w:hideMark/>
          </w:tcPr>
          <w:p w14:paraId="6620BE56" w14:textId="77777777" w:rsidR="00B15F7D" w:rsidRPr="00990FB6" w:rsidRDefault="00B15F7D" w:rsidP="00B15F7D">
            <w:pPr>
              <w:rPr>
                <w:sz w:val="22"/>
                <w:szCs w:val="22"/>
                <w:u w:val="single"/>
              </w:rPr>
            </w:pPr>
            <w:r w:rsidRPr="00990FB6">
              <w:rPr>
                <w:sz w:val="22"/>
                <w:szCs w:val="22"/>
                <w:u w:val="single"/>
              </w:rPr>
              <w:t>MOTOR ELECTRICO</w:t>
            </w:r>
          </w:p>
        </w:tc>
        <w:tc>
          <w:tcPr>
            <w:tcW w:w="550" w:type="pct"/>
            <w:hideMark/>
          </w:tcPr>
          <w:p w14:paraId="1132D1B2"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65A35515" w14:textId="77777777" w:rsidR="00B15F7D" w:rsidRPr="00990FB6" w:rsidRDefault="00B15F7D" w:rsidP="00B15F7D">
            <w:pPr>
              <w:rPr>
                <w:sz w:val="22"/>
                <w:szCs w:val="22"/>
                <w:u w:val="single"/>
              </w:rPr>
            </w:pPr>
            <w:r w:rsidRPr="00990FB6">
              <w:rPr>
                <w:sz w:val="22"/>
                <w:szCs w:val="22"/>
                <w:u w:val="single"/>
              </w:rPr>
              <w:t>1.214.298,00</w:t>
            </w:r>
          </w:p>
        </w:tc>
        <w:tc>
          <w:tcPr>
            <w:tcW w:w="589" w:type="pct"/>
            <w:hideMark/>
          </w:tcPr>
          <w:p w14:paraId="4603E20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E038A8D" w14:textId="77777777" w:rsidR="00B15F7D" w:rsidRPr="00990FB6" w:rsidRDefault="00B15F7D" w:rsidP="00FC2DB5">
            <w:pPr>
              <w:jc w:val="both"/>
              <w:rPr>
                <w:sz w:val="22"/>
                <w:szCs w:val="22"/>
                <w:u w:val="single"/>
              </w:rPr>
            </w:pPr>
            <w:r w:rsidRPr="00990FB6">
              <w:rPr>
                <w:sz w:val="22"/>
                <w:szCs w:val="22"/>
                <w:u w:val="single"/>
              </w:rPr>
              <w:t xml:space="preserve">No se dispondrá de recursos para procurar mayor seguridad de infraestructura en la Fiscalía de Coto Brus. </w:t>
            </w:r>
          </w:p>
        </w:tc>
      </w:tr>
      <w:tr w:rsidR="00B15F7D" w:rsidRPr="00990FB6" w14:paraId="6B7F59B7" w14:textId="77777777" w:rsidTr="000A0C22">
        <w:trPr>
          <w:trHeight w:val="1160"/>
          <w:jc w:val="center"/>
        </w:trPr>
        <w:tc>
          <w:tcPr>
            <w:tcW w:w="583" w:type="pct"/>
            <w:hideMark/>
          </w:tcPr>
          <w:p w14:paraId="23C8F234" w14:textId="77777777" w:rsidR="00B15F7D" w:rsidRPr="00990FB6" w:rsidRDefault="00B15F7D" w:rsidP="00B15F7D">
            <w:pPr>
              <w:rPr>
                <w:sz w:val="22"/>
                <w:szCs w:val="22"/>
                <w:u w:val="single"/>
              </w:rPr>
            </w:pPr>
            <w:r w:rsidRPr="00990FB6">
              <w:rPr>
                <w:sz w:val="22"/>
                <w:szCs w:val="22"/>
                <w:u w:val="single"/>
              </w:rPr>
              <w:t>50101</w:t>
            </w:r>
          </w:p>
        </w:tc>
        <w:tc>
          <w:tcPr>
            <w:tcW w:w="578" w:type="pct"/>
            <w:hideMark/>
          </w:tcPr>
          <w:p w14:paraId="6F00836A" w14:textId="77777777" w:rsidR="00B15F7D" w:rsidRPr="00990FB6" w:rsidRDefault="00B15F7D" w:rsidP="00B15F7D">
            <w:pPr>
              <w:rPr>
                <w:sz w:val="22"/>
                <w:szCs w:val="22"/>
                <w:u w:val="single"/>
              </w:rPr>
            </w:pPr>
            <w:r w:rsidRPr="00990FB6">
              <w:rPr>
                <w:sz w:val="22"/>
                <w:szCs w:val="22"/>
                <w:u w:val="single"/>
              </w:rPr>
              <w:t>Maquinaria y equipo para la producción</w:t>
            </w:r>
          </w:p>
        </w:tc>
        <w:tc>
          <w:tcPr>
            <w:tcW w:w="363" w:type="pct"/>
            <w:hideMark/>
          </w:tcPr>
          <w:p w14:paraId="01BE6123"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16236</w:t>
            </w:r>
          </w:p>
        </w:tc>
        <w:tc>
          <w:tcPr>
            <w:tcW w:w="1045" w:type="pct"/>
            <w:hideMark/>
          </w:tcPr>
          <w:p w14:paraId="7FA13747" w14:textId="77777777" w:rsidR="00B15F7D" w:rsidRPr="00990FB6" w:rsidRDefault="00B15F7D" w:rsidP="00B15F7D">
            <w:pPr>
              <w:rPr>
                <w:sz w:val="22"/>
                <w:szCs w:val="22"/>
                <w:u w:val="single"/>
              </w:rPr>
            </w:pPr>
            <w:r w:rsidRPr="00990FB6">
              <w:rPr>
                <w:sz w:val="22"/>
                <w:szCs w:val="22"/>
                <w:u w:val="single"/>
              </w:rPr>
              <w:t>CEPILLO ELECTRICO INDUSTRIAL</w:t>
            </w:r>
          </w:p>
        </w:tc>
        <w:tc>
          <w:tcPr>
            <w:tcW w:w="550" w:type="pct"/>
            <w:hideMark/>
          </w:tcPr>
          <w:p w14:paraId="66D2AE81"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3B7D8A9E" w14:textId="77777777" w:rsidR="00B15F7D" w:rsidRPr="00990FB6" w:rsidRDefault="00B15F7D" w:rsidP="00B15F7D">
            <w:pPr>
              <w:rPr>
                <w:sz w:val="22"/>
                <w:szCs w:val="22"/>
                <w:u w:val="single"/>
              </w:rPr>
            </w:pPr>
            <w:r w:rsidRPr="00990FB6">
              <w:rPr>
                <w:sz w:val="22"/>
                <w:szCs w:val="22"/>
                <w:u w:val="single"/>
              </w:rPr>
              <w:t>472.340,00</w:t>
            </w:r>
          </w:p>
        </w:tc>
        <w:tc>
          <w:tcPr>
            <w:tcW w:w="589" w:type="pct"/>
            <w:hideMark/>
          </w:tcPr>
          <w:p w14:paraId="5A3B9D9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C1ACEE1" w14:textId="77777777" w:rsidR="00B15F7D" w:rsidRPr="00990FB6" w:rsidRDefault="00B15F7D" w:rsidP="00FC2DB5">
            <w:pPr>
              <w:jc w:val="both"/>
              <w:rPr>
                <w:sz w:val="22"/>
                <w:szCs w:val="22"/>
                <w:u w:val="single"/>
              </w:rPr>
            </w:pPr>
            <w:r w:rsidRPr="00990FB6">
              <w:rPr>
                <w:sz w:val="22"/>
                <w:szCs w:val="22"/>
                <w:u w:val="single"/>
              </w:rPr>
              <w:t xml:space="preserve">Se sacrifica la totalidad de los recursos presupuestados para la sustitución del cepillo activo 478962, asignado a la Fiscalía de San </w:t>
            </w:r>
            <w:r w:rsidRPr="00990FB6">
              <w:rPr>
                <w:sz w:val="22"/>
                <w:szCs w:val="22"/>
                <w:u w:val="single"/>
              </w:rPr>
              <w:lastRenderedPageBreak/>
              <w:t xml:space="preserve">Carlos. </w:t>
            </w:r>
            <w:proofErr w:type="gramStart"/>
            <w:r w:rsidRPr="00990FB6">
              <w:rPr>
                <w:sz w:val="22"/>
                <w:szCs w:val="22"/>
                <w:u w:val="single"/>
              </w:rPr>
              <w:t>El  equipo</w:t>
            </w:r>
            <w:proofErr w:type="gramEnd"/>
            <w:r w:rsidRPr="00990FB6">
              <w:rPr>
                <w:sz w:val="22"/>
                <w:szCs w:val="22"/>
                <w:u w:val="single"/>
              </w:rPr>
              <w:t xml:space="preserve"> con que se cuenta actualmente ha cumplido con su vida útil, el mantenimiento y reparación resulta onerosos, es necesario para mantener el aseo de la fiscalía.</w:t>
            </w:r>
          </w:p>
        </w:tc>
      </w:tr>
      <w:tr w:rsidR="00B15F7D" w:rsidRPr="00990FB6" w14:paraId="4868B0EA" w14:textId="77777777" w:rsidTr="000A0C22">
        <w:trPr>
          <w:trHeight w:val="580"/>
          <w:jc w:val="center"/>
        </w:trPr>
        <w:tc>
          <w:tcPr>
            <w:tcW w:w="583" w:type="pct"/>
            <w:hideMark/>
          </w:tcPr>
          <w:p w14:paraId="0FA1A25E" w14:textId="77777777" w:rsidR="00B15F7D" w:rsidRPr="00990FB6" w:rsidRDefault="00B15F7D" w:rsidP="00B15F7D">
            <w:pPr>
              <w:rPr>
                <w:sz w:val="22"/>
                <w:szCs w:val="22"/>
                <w:u w:val="single"/>
              </w:rPr>
            </w:pPr>
            <w:r w:rsidRPr="00990FB6">
              <w:rPr>
                <w:sz w:val="22"/>
                <w:szCs w:val="22"/>
                <w:u w:val="single"/>
              </w:rPr>
              <w:lastRenderedPageBreak/>
              <w:t>50102</w:t>
            </w:r>
          </w:p>
        </w:tc>
        <w:tc>
          <w:tcPr>
            <w:tcW w:w="578" w:type="pct"/>
            <w:hideMark/>
          </w:tcPr>
          <w:p w14:paraId="46DE9E61" w14:textId="77777777" w:rsidR="00B15F7D" w:rsidRPr="00990FB6" w:rsidRDefault="00B15F7D" w:rsidP="00B15F7D">
            <w:pPr>
              <w:rPr>
                <w:sz w:val="22"/>
                <w:szCs w:val="22"/>
                <w:u w:val="single"/>
              </w:rPr>
            </w:pPr>
            <w:r w:rsidRPr="00990FB6">
              <w:rPr>
                <w:sz w:val="22"/>
                <w:szCs w:val="22"/>
                <w:u w:val="single"/>
              </w:rPr>
              <w:t>Equipo de transporte</w:t>
            </w:r>
          </w:p>
        </w:tc>
        <w:tc>
          <w:tcPr>
            <w:tcW w:w="363" w:type="pct"/>
            <w:hideMark/>
          </w:tcPr>
          <w:p w14:paraId="656ECBD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19586</w:t>
            </w:r>
          </w:p>
        </w:tc>
        <w:tc>
          <w:tcPr>
            <w:tcW w:w="1045" w:type="pct"/>
            <w:hideMark/>
          </w:tcPr>
          <w:p w14:paraId="668F3126" w14:textId="77777777" w:rsidR="00B15F7D" w:rsidRPr="00990FB6" w:rsidRDefault="00B15F7D" w:rsidP="00B15F7D">
            <w:pPr>
              <w:rPr>
                <w:sz w:val="22"/>
                <w:szCs w:val="22"/>
                <w:u w:val="single"/>
              </w:rPr>
            </w:pPr>
            <w:r w:rsidRPr="00990FB6">
              <w:rPr>
                <w:sz w:val="22"/>
                <w:szCs w:val="22"/>
                <w:u w:val="single"/>
              </w:rPr>
              <w:t>SUSTITUCION DE VEHICULO PICK UP</w:t>
            </w:r>
          </w:p>
        </w:tc>
        <w:tc>
          <w:tcPr>
            <w:tcW w:w="550" w:type="pct"/>
            <w:hideMark/>
          </w:tcPr>
          <w:p w14:paraId="1E5D7F89"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03F2607F"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46CA4AF" w14:textId="77777777" w:rsidR="00B15F7D" w:rsidRPr="00990FB6" w:rsidRDefault="00B15F7D" w:rsidP="00B15F7D">
            <w:pPr>
              <w:rPr>
                <w:sz w:val="22"/>
                <w:szCs w:val="22"/>
                <w:u w:val="single"/>
              </w:rPr>
            </w:pPr>
            <w:r w:rsidRPr="00990FB6">
              <w:rPr>
                <w:sz w:val="22"/>
                <w:szCs w:val="22"/>
                <w:u w:val="single"/>
              </w:rPr>
              <w:t>21.337.500,00</w:t>
            </w:r>
          </w:p>
        </w:tc>
        <w:tc>
          <w:tcPr>
            <w:tcW w:w="780" w:type="pct"/>
            <w:hideMark/>
          </w:tcPr>
          <w:p w14:paraId="56F6780F" w14:textId="77777777" w:rsidR="00B15F7D" w:rsidRPr="00990FB6" w:rsidRDefault="00B15F7D" w:rsidP="00FC2DB5">
            <w:pPr>
              <w:jc w:val="both"/>
              <w:rPr>
                <w:sz w:val="22"/>
                <w:szCs w:val="22"/>
                <w:u w:val="single"/>
              </w:rPr>
            </w:pPr>
            <w:r w:rsidRPr="00990FB6">
              <w:rPr>
                <w:sz w:val="22"/>
                <w:szCs w:val="22"/>
                <w:u w:val="single"/>
              </w:rPr>
              <w:t>Deterioro de la flotilla vehicular, no sustitución de la unidad asignada a la Fiscalía de Upala (CL307391)</w:t>
            </w:r>
          </w:p>
        </w:tc>
      </w:tr>
      <w:tr w:rsidR="00B15F7D" w:rsidRPr="00990FB6" w14:paraId="123027A3" w14:textId="77777777" w:rsidTr="000A0C22">
        <w:trPr>
          <w:trHeight w:val="580"/>
          <w:jc w:val="center"/>
        </w:trPr>
        <w:tc>
          <w:tcPr>
            <w:tcW w:w="583" w:type="pct"/>
            <w:hideMark/>
          </w:tcPr>
          <w:p w14:paraId="7357D633" w14:textId="77777777" w:rsidR="00B15F7D" w:rsidRPr="00990FB6" w:rsidRDefault="00B15F7D" w:rsidP="00B15F7D">
            <w:pPr>
              <w:rPr>
                <w:sz w:val="22"/>
                <w:szCs w:val="22"/>
                <w:u w:val="single"/>
              </w:rPr>
            </w:pPr>
            <w:r w:rsidRPr="00990FB6">
              <w:rPr>
                <w:sz w:val="22"/>
                <w:szCs w:val="22"/>
                <w:u w:val="single"/>
              </w:rPr>
              <w:t>50102</w:t>
            </w:r>
          </w:p>
        </w:tc>
        <w:tc>
          <w:tcPr>
            <w:tcW w:w="578" w:type="pct"/>
            <w:hideMark/>
          </w:tcPr>
          <w:p w14:paraId="0BC15087" w14:textId="77777777" w:rsidR="00B15F7D" w:rsidRPr="00990FB6" w:rsidRDefault="00B15F7D" w:rsidP="00B15F7D">
            <w:pPr>
              <w:rPr>
                <w:sz w:val="22"/>
                <w:szCs w:val="22"/>
                <w:u w:val="single"/>
              </w:rPr>
            </w:pPr>
            <w:r w:rsidRPr="00990FB6">
              <w:rPr>
                <w:sz w:val="22"/>
                <w:szCs w:val="22"/>
                <w:u w:val="single"/>
              </w:rPr>
              <w:t>Equipo de transporte</w:t>
            </w:r>
          </w:p>
        </w:tc>
        <w:tc>
          <w:tcPr>
            <w:tcW w:w="363" w:type="pct"/>
            <w:hideMark/>
          </w:tcPr>
          <w:p w14:paraId="123AF109"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19587</w:t>
            </w:r>
          </w:p>
        </w:tc>
        <w:tc>
          <w:tcPr>
            <w:tcW w:w="1045" w:type="pct"/>
            <w:hideMark/>
          </w:tcPr>
          <w:p w14:paraId="7A3D9D44" w14:textId="77777777" w:rsidR="00B15F7D" w:rsidRPr="00990FB6" w:rsidRDefault="00B15F7D" w:rsidP="00B15F7D">
            <w:pPr>
              <w:rPr>
                <w:sz w:val="22"/>
                <w:szCs w:val="22"/>
                <w:u w:val="single"/>
              </w:rPr>
            </w:pPr>
            <w:r w:rsidRPr="00990FB6">
              <w:rPr>
                <w:sz w:val="22"/>
                <w:szCs w:val="22"/>
                <w:u w:val="single"/>
              </w:rPr>
              <w:t>SUSTITUCION DE VEHICULO RURAL</w:t>
            </w:r>
          </w:p>
        </w:tc>
        <w:tc>
          <w:tcPr>
            <w:tcW w:w="550" w:type="pct"/>
            <w:hideMark/>
          </w:tcPr>
          <w:p w14:paraId="28C71FFB"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7A22B7C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0F10DBC" w14:textId="77777777" w:rsidR="00B15F7D" w:rsidRPr="00990FB6" w:rsidRDefault="00B15F7D" w:rsidP="00B15F7D">
            <w:pPr>
              <w:rPr>
                <w:sz w:val="22"/>
                <w:szCs w:val="22"/>
                <w:u w:val="single"/>
              </w:rPr>
            </w:pPr>
            <w:r w:rsidRPr="00990FB6">
              <w:rPr>
                <w:sz w:val="22"/>
                <w:szCs w:val="22"/>
                <w:u w:val="single"/>
              </w:rPr>
              <w:t>26.161.500,00</w:t>
            </w:r>
          </w:p>
        </w:tc>
        <w:tc>
          <w:tcPr>
            <w:tcW w:w="780" w:type="pct"/>
            <w:hideMark/>
          </w:tcPr>
          <w:p w14:paraId="5AA8A0DD" w14:textId="77777777" w:rsidR="00B15F7D" w:rsidRPr="00990FB6" w:rsidRDefault="00B15F7D" w:rsidP="00FC2DB5">
            <w:pPr>
              <w:jc w:val="both"/>
              <w:rPr>
                <w:sz w:val="22"/>
                <w:szCs w:val="22"/>
                <w:u w:val="single"/>
              </w:rPr>
            </w:pPr>
            <w:r w:rsidRPr="00990FB6">
              <w:rPr>
                <w:sz w:val="22"/>
                <w:szCs w:val="22"/>
                <w:u w:val="single"/>
              </w:rPr>
              <w:t>Deterioro de la flotilla vehicular, no sustitución de la unidad asignada a la Fiscalía de Bribri (CL307792)</w:t>
            </w:r>
          </w:p>
        </w:tc>
      </w:tr>
      <w:tr w:rsidR="00B15F7D" w:rsidRPr="00990FB6" w14:paraId="5E0772B6" w14:textId="77777777" w:rsidTr="000A0C22">
        <w:trPr>
          <w:trHeight w:val="1740"/>
          <w:jc w:val="center"/>
        </w:trPr>
        <w:tc>
          <w:tcPr>
            <w:tcW w:w="583" w:type="pct"/>
            <w:hideMark/>
          </w:tcPr>
          <w:p w14:paraId="5C6D5A86" w14:textId="77777777" w:rsidR="00B15F7D" w:rsidRPr="00990FB6" w:rsidRDefault="00B15F7D" w:rsidP="00B15F7D">
            <w:pPr>
              <w:rPr>
                <w:sz w:val="22"/>
                <w:szCs w:val="22"/>
                <w:u w:val="single"/>
              </w:rPr>
            </w:pPr>
            <w:r w:rsidRPr="00990FB6">
              <w:rPr>
                <w:sz w:val="22"/>
                <w:szCs w:val="22"/>
                <w:u w:val="single"/>
              </w:rPr>
              <w:t>50103</w:t>
            </w:r>
          </w:p>
        </w:tc>
        <w:tc>
          <w:tcPr>
            <w:tcW w:w="578" w:type="pct"/>
            <w:hideMark/>
          </w:tcPr>
          <w:p w14:paraId="6A36BD5D" w14:textId="77777777" w:rsidR="00B15F7D" w:rsidRPr="00990FB6" w:rsidRDefault="00B15F7D" w:rsidP="00B15F7D">
            <w:pPr>
              <w:rPr>
                <w:sz w:val="22"/>
                <w:szCs w:val="22"/>
                <w:u w:val="single"/>
              </w:rPr>
            </w:pPr>
            <w:r w:rsidRPr="00990FB6">
              <w:rPr>
                <w:sz w:val="22"/>
                <w:szCs w:val="22"/>
                <w:u w:val="single"/>
              </w:rPr>
              <w:t>Equipo de comunicación</w:t>
            </w:r>
          </w:p>
        </w:tc>
        <w:tc>
          <w:tcPr>
            <w:tcW w:w="363" w:type="pct"/>
            <w:hideMark/>
          </w:tcPr>
          <w:p w14:paraId="510B8E32"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16576</w:t>
            </w:r>
          </w:p>
        </w:tc>
        <w:tc>
          <w:tcPr>
            <w:tcW w:w="1045" w:type="pct"/>
            <w:hideMark/>
          </w:tcPr>
          <w:p w14:paraId="435B0634" w14:textId="77777777" w:rsidR="00B15F7D" w:rsidRPr="00990FB6" w:rsidRDefault="00B15F7D" w:rsidP="00B15F7D">
            <w:pPr>
              <w:rPr>
                <w:sz w:val="22"/>
                <w:szCs w:val="22"/>
                <w:u w:val="single"/>
              </w:rPr>
            </w:pPr>
            <w:r w:rsidRPr="00990FB6">
              <w:rPr>
                <w:sz w:val="22"/>
                <w:szCs w:val="22"/>
                <w:u w:val="single"/>
              </w:rPr>
              <w:t>MEZCLADOR DE AUDIO</w:t>
            </w:r>
          </w:p>
        </w:tc>
        <w:tc>
          <w:tcPr>
            <w:tcW w:w="550" w:type="pct"/>
            <w:hideMark/>
          </w:tcPr>
          <w:p w14:paraId="1609E444"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486C35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100DB1E" w14:textId="77777777" w:rsidR="00B15F7D" w:rsidRPr="00990FB6" w:rsidRDefault="00B15F7D" w:rsidP="00B15F7D">
            <w:pPr>
              <w:rPr>
                <w:sz w:val="22"/>
                <w:szCs w:val="22"/>
                <w:u w:val="single"/>
              </w:rPr>
            </w:pPr>
            <w:r w:rsidRPr="00990FB6">
              <w:rPr>
                <w:sz w:val="22"/>
                <w:szCs w:val="22"/>
                <w:u w:val="single"/>
              </w:rPr>
              <w:t>287.682,00</w:t>
            </w:r>
          </w:p>
        </w:tc>
        <w:tc>
          <w:tcPr>
            <w:tcW w:w="780" w:type="pct"/>
            <w:hideMark/>
          </w:tcPr>
          <w:p w14:paraId="68E2C0B3" w14:textId="77777777" w:rsidR="00B15F7D" w:rsidRPr="00990FB6" w:rsidRDefault="00B15F7D" w:rsidP="00FC2DB5">
            <w:pPr>
              <w:jc w:val="both"/>
              <w:rPr>
                <w:sz w:val="22"/>
                <w:szCs w:val="22"/>
                <w:u w:val="single"/>
              </w:rPr>
            </w:pPr>
            <w:r w:rsidRPr="00990FB6">
              <w:rPr>
                <w:sz w:val="22"/>
                <w:szCs w:val="22"/>
                <w:u w:val="single"/>
              </w:rPr>
              <w:t xml:space="preserve">Desmejora en la atención de diligencias judiciales, como consecuencia desmejora en la prestación del servicio público e imagen institucional. Producto del </w:t>
            </w:r>
            <w:r w:rsidRPr="00990FB6">
              <w:rPr>
                <w:sz w:val="22"/>
                <w:szCs w:val="22"/>
                <w:u w:val="single"/>
              </w:rPr>
              <w:lastRenderedPageBreak/>
              <w:t xml:space="preserve">recorte de presupuesto no se podrá adquirir la mezcladora de audio solicitada por la Fiscalía de Pérez Zeledón </w:t>
            </w:r>
            <w:proofErr w:type="gramStart"/>
            <w:r w:rsidRPr="00990FB6">
              <w:rPr>
                <w:sz w:val="22"/>
                <w:szCs w:val="22"/>
                <w:u w:val="single"/>
              </w:rPr>
              <w:t>para  la</w:t>
            </w:r>
            <w:proofErr w:type="gramEnd"/>
            <w:r w:rsidRPr="00990FB6">
              <w:rPr>
                <w:sz w:val="22"/>
                <w:szCs w:val="22"/>
                <w:u w:val="single"/>
              </w:rPr>
              <w:t xml:space="preserve"> sustitución de del equipo  utilizado por las fiscales de Flagrancia (555278 / 555331), esto en razón de que los mismos ya cumplieron su vida su vida útil, los mismos son requeridos para el buen funcionamiento de las grabaciones de causas de la fiscalía de flagrancia. </w:t>
            </w:r>
          </w:p>
        </w:tc>
      </w:tr>
      <w:tr w:rsidR="00B15F7D" w:rsidRPr="00990FB6" w14:paraId="2F649A28" w14:textId="77777777" w:rsidTr="000A0C22">
        <w:trPr>
          <w:trHeight w:val="2030"/>
          <w:jc w:val="center"/>
        </w:trPr>
        <w:tc>
          <w:tcPr>
            <w:tcW w:w="583" w:type="pct"/>
            <w:hideMark/>
          </w:tcPr>
          <w:p w14:paraId="5EC8883B" w14:textId="77777777" w:rsidR="00B15F7D" w:rsidRPr="00990FB6" w:rsidRDefault="00B15F7D" w:rsidP="00B15F7D">
            <w:pPr>
              <w:rPr>
                <w:sz w:val="22"/>
                <w:szCs w:val="22"/>
                <w:u w:val="single"/>
              </w:rPr>
            </w:pPr>
            <w:r w:rsidRPr="00990FB6">
              <w:rPr>
                <w:sz w:val="22"/>
                <w:szCs w:val="22"/>
                <w:u w:val="single"/>
              </w:rPr>
              <w:lastRenderedPageBreak/>
              <w:t>50103</w:t>
            </w:r>
          </w:p>
        </w:tc>
        <w:tc>
          <w:tcPr>
            <w:tcW w:w="578" w:type="pct"/>
            <w:hideMark/>
          </w:tcPr>
          <w:p w14:paraId="4E1F30A6" w14:textId="77777777" w:rsidR="00B15F7D" w:rsidRPr="00990FB6" w:rsidRDefault="00B15F7D" w:rsidP="00B15F7D">
            <w:pPr>
              <w:rPr>
                <w:sz w:val="22"/>
                <w:szCs w:val="22"/>
                <w:u w:val="single"/>
              </w:rPr>
            </w:pPr>
            <w:r w:rsidRPr="00990FB6">
              <w:rPr>
                <w:sz w:val="22"/>
                <w:szCs w:val="22"/>
                <w:u w:val="single"/>
              </w:rPr>
              <w:t>Equipo de comunicación</w:t>
            </w:r>
          </w:p>
        </w:tc>
        <w:tc>
          <w:tcPr>
            <w:tcW w:w="363" w:type="pct"/>
            <w:hideMark/>
          </w:tcPr>
          <w:p w14:paraId="1D9A3BC1"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16671</w:t>
            </w:r>
          </w:p>
        </w:tc>
        <w:tc>
          <w:tcPr>
            <w:tcW w:w="1045" w:type="pct"/>
            <w:hideMark/>
          </w:tcPr>
          <w:p w14:paraId="40F320B9" w14:textId="77777777" w:rsidR="00B15F7D" w:rsidRPr="00990FB6" w:rsidRDefault="00B15F7D" w:rsidP="00B15F7D">
            <w:pPr>
              <w:rPr>
                <w:sz w:val="22"/>
                <w:szCs w:val="22"/>
                <w:u w:val="single"/>
              </w:rPr>
            </w:pPr>
            <w:r w:rsidRPr="00990FB6">
              <w:rPr>
                <w:sz w:val="22"/>
                <w:szCs w:val="22"/>
                <w:u w:val="single"/>
              </w:rPr>
              <w:t>GRABADORA AUDIO DIGITAL PORTATIL</w:t>
            </w:r>
          </w:p>
        </w:tc>
        <w:tc>
          <w:tcPr>
            <w:tcW w:w="550" w:type="pct"/>
            <w:hideMark/>
          </w:tcPr>
          <w:p w14:paraId="4A3B293B"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AA995F9"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6EB4D9F" w14:textId="77777777" w:rsidR="00B15F7D" w:rsidRPr="00990FB6" w:rsidRDefault="00B15F7D" w:rsidP="00B15F7D">
            <w:pPr>
              <w:rPr>
                <w:sz w:val="22"/>
                <w:szCs w:val="22"/>
                <w:u w:val="single"/>
              </w:rPr>
            </w:pPr>
            <w:r w:rsidRPr="00990FB6">
              <w:rPr>
                <w:sz w:val="22"/>
                <w:szCs w:val="22"/>
                <w:u w:val="single"/>
              </w:rPr>
              <w:t>737.890,00</w:t>
            </w:r>
          </w:p>
        </w:tc>
        <w:tc>
          <w:tcPr>
            <w:tcW w:w="780" w:type="pct"/>
            <w:hideMark/>
          </w:tcPr>
          <w:p w14:paraId="7C0D9045" w14:textId="77777777" w:rsidR="00B15F7D" w:rsidRPr="00990FB6" w:rsidRDefault="00B15F7D" w:rsidP="00FC2DB5">
            <w:pPr>
              <w:jc w:val="both"/>
              <w:rPr>
                <w:sz w:val="22"/>
                <w:szCs w:val="22"/>
                <w:u w:val="single"/>
              </w:rPr>
            </w:pPr>
            <w:r w:rsidRPr="00990FB6">
              <w:rPr>
                <w:sz w:val="22"/>
                <w:szCs w:val="22"/>
                <w:u w:val="single"/>
              </w:rPr>
              <w:t xml:space="preserve">Desmejora en la atención de diligencias judiciales, como consecuencia desmejora en la prestación del servicio público e imagen institucional. No se contará con </w:t>
            </w:r>
            <w:r w:rsidRPr="00990FB6">
              <w:rPr>
                <w:sz w:val="22"/>
                <w:szCs w:val="22"/>
                <w:u w:val="single"/>
              </w:rPr>
              <w:lastRenderedPageBreak/>
              <w:t xml:space="preserve">los recurso </w:t>
            </w:r>
            <w:proofErr w:type="spellStart"/>
            <w:r w:rsidRPr="00990FB6">
              <w:rPr>
                <w:sz w:val="22"/>
                <w:szCs w:val="22"/>
                <w:u w:val="single"/>
              </w:rPr>
              <w:t>par</w:t>
            </w:r>
            <w:proofErr w:type="spellEnd"/>
            <w:r w:rsidRPr="00990FB6">
              <w:rPr>
                <w:sz w:val="22"/>
                <w:szCs w:val="22"/>
                <w:u w:val="single"/>
              </w:rPr>
              <w:t xml:space="preserve"> la compra de grabadora solicitada por la Fiscalía de San Carlos </w:t>
            </w:r>
            <w:proofErr w:type="gramStart"/>
            <w:r w:rsidRPr="00990FB6">
              <w:rPr>
                <w:sz w:val="22"/>
                <w:szCs w:val="22"/>
                <w:u w:val="single"/>
              </w:rPr>
              <w:t>y  Upala</w:t>
            </w:r>
            <w:proofErr w:type="gramEnd"/>
            <w:r w:rsidRPr="00990FB6">
              <w:rPr>
                <w:sz w:val="22"/>
                <w:szCs w:val="22"/>
                <w:u w:val="single"/>
              </w:rPr>
              <w:t xml:space="preserve">, necesaria  en la toma de denuncias fuera del despacho, así como también para la toma de denuncias que se trasladan a la Fiscalía de Flagrancia de San Carlos, al ser la Fiscalía de Flagrancia digital y la Fiscalía de Upala de papel. Por lo que la grabadora sería utiliza para las entrevistas orales de testigos, ofendidos. </w:t>
            </w:r>
          </w:p>
        </w:tc>
      </w:tr>
      <w:tr w:rsidR="00B15F7D" w:rsidRPr="00990FB6" w14:paraId="130B322C" w14:textId="77777777" w:rsidTr="000A0C22">
        <w:trPr>
          <w:trHeight w:val="1160"/>
          <w:jc w:val="center"/>
        </w:trPr>
        <w:tc>
          <w:tcPr>
            <w:tcW w:w="583" w:type="pct"/>
            <w:hideMark/>
          </w:tcPr>
          <w:p w14:paraId="417ACA5F" w14:textId="77777777" w:rsidR="00B15F7D" w:rsidRPr="00990FB6" w:rsidRDefault="00B15F7D" w:rsidP="00B15F7D">
            <w:pPr>
              <w:rPr>
                <w:sz w:val="22"/>
                <w:szCs w:val="22"/>
                <w:u w:val="single"/>
              </w:rPr>
            </w:pPr>
            <w:r w:rsidRPr="00990FB6">
              <w:rPr>
                <w:sz w:val="22"/>
                <w:szCs w:val="22"/>
                <w:u w:val="single"/>
              </w:rPr>
              <w:lastRenderedPageBreak/>
              <w:t>50103</w:t>
            </w:r>
          </w:p>
        </w:tc>
        <w:tc>
          <w:tcPr>
            <w:tcW w:w="578" w:type="pct"/>
            <w:hideMark/>
          </w:tcPr>
          <w:p w14:paraId="1EB27030" w14:textId="77777777" w:rsidR="00B15F7D" w:rsidRPr="00990FB6" w:rsidRDefault="00B15F7D" w:rsidP="00B15F7D">
            <w:pPr>
              <w:rPr>
                <w:sz w:val="22"/>
                <w:szCs w:val="22"/>
                <w:u w:val="single"/>
              </w:rPr>
            </w:pPr>
            <w:r w:rsidRPr="00990FB6">
              <w:rPr>
                <w:sz w:val="22"/>
                <w:szCs w:val="22"/>
                <w:u w:val="single"/>
              </w:rPr>
              <w:t>Equipo de comunicación</w:t>
            </w:r>
          </w:p>
        </w:tc>
        <w:tc>
          <w:tcPr>
            <w:tcW w:w="363" w:type="pct"/>
            <w:hideMark/>
          </w:tcPr>
          <w:p w14:paraId="3E869477" w14:textId="77777777" w:rsidR="00B15F7D" w:rsidRPr="00990FB6" w:rsidRDefault="00B15F7D" w:rsidP="00B15F7D">
            <w:pPr>
              <w:rPr>
                <w:sz w:val="22"/>
                <w:szCs w:val="22"/>
                <w:u w:val="single"/>
              </w:rPr>
            </w:pPr>
            <w:r w:rsidRPr="00990FB6">
              <w:rPr>
                <w:sz w:val="22"/>
                <w:szCs w:val="22"/>
                <w:u w:val="single"/>
              </w:rPr>
              <w:t xml:space="preserve">       </w:t>
            </w:r>
            <w:proofErr w:type="gramStart"/>
            <w:r w:rsidRPr="00990FB6">
              <w:rPr>
                <w:sz w:val="22"/>
                <w:szCs w:val="22"/>
                <w:u w:val="single"/>
              </w:rPr>
              <w:t>Art. :</w:t>
            </w:r>
            <w:proofErr w:type="gramEnd"/>
            <w:r w:rsidRPr="00990FB6">
              <w:rPr>
                <w:sz w:val="22"/>
                <w:szCs w:val="22"/>
                <w:u w:val="single"/>
              </w:rPr>
              <w:t xml:space="preserve"> 25619</w:t>
            </w:r>
          </w:p>
        </w:tc>
        <w:tc>
          <w:tcPr>
            <w:tcW w:w="1045" w:type="pct"/>
            <w:hideMark/>
          </w:tcPr>
          <w:p w14:paraId="4BFA6775" w14:textId="77777777" w:rsidR="00B15F7D" w:rsidRPr="00990FB6" w:rsidRDefault="00B15F7D" w:rsidP="00B15F7D">
            <w:pPr>
              <w:rPr>
                <w:sz w:val="22"/>
                <w:szCs w:val="22"/>
                <w:u w:val="single"/>
              </w:rPr>
            </w:pPr>
            <w:r w:rsidRPr="00990FB6">
              <w:rPr>
                <w:sz w:val="22"/>
                <w:szCs w:val="22"/>
                <w:u w:val="single"/>
              </w:rPr>
              <w:t xml:space="preserve">CAMARA DIGITAL COMPACTA (VIDEO Y </w:t>
            </w:r>
            <w:proofErr w:type="gramStart"/>
            <w:r w:rsidRPr="00990FB6">
              <w:rPr>
                <w:sz w:val="22"/>
                <w:szCs w:val="22"/>
                <w:u w:val="single"/>
              </w:rPr>
              <w:t xml:space="preserve">FOTOGRAFIA)   </w:t>
            </w:r>
            <w:proofErr w:type="gramEnd"/>
          </w:p>
        </w:tc>
        <w:tc>
          <w:tcPr>
            <w:tcW w:w="550" w:type="pct"/>
            <w:hideMark/>
          </w:tcPr>
          <w:p w14:paraId="605FBF41"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43912F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C98FB86" w14:textId="77777777" w:rsidR="00B15F7D" w:rsidRPr="00990FB6" w:rsidRDefault="00B15F7D" w:rsidP="00B15F7D">
            <w:pPr>
              <w:rPr>
                <w:sz w:val="22"/>
                <w:szCs w:val="22"/>
                <w:u w:val="single"/>
              </w:rPr>
            </w:pPr>
            <w:r w:rsidRPr="00990FB6">
              <w:rPr>
                <w:sz w:val="22"/>
                <w:szCs w:val="22"/>
                <w:u w:val="single"/>
              </w:rPr>
              <w:t>366.120,00</w:t>
            </w:r>
          </w:p>
        </w:tc>
        <w:tc>
          <w:tcPr>
            <w:tcW w:w="780" w:type="pct"/>
            <w:hideMark/>
          </w:tcPr>
          <w:p w14:paraId="03F61834" w14:textId="77777777" w:rsidR="00B15F7D" w:rsidRPr="00990FB6" w:rsidRDefault="00B15F7D" w:rsidP="00FC2DB5">
            <w:pPr>
              <w:jc w:val="both"/>
              <w:rPr>
                <w:sz w:val="22"/>
                <w:szCs w:val="22"/>
                <w:u w:val="single"/>
              </w:rPr>
            </w:pPr>
            <w:r w:rsidRPr="00990FB6">
              <w:rPr>
                <w:sz w:val="22"/>
                <w:szCs w:val="22"/>
                <w:u w:val="single"/>
              </w:rPr>
              <w:t xml:space="preserve">Desmejora en la atención de diligencias judiciales, como consecuencia desmejora en la prestación del servicio público e imagen institucional. El </w:t>
            </w:r>
            <w:r w:rsidRPr="00990FB6">
              <w:rPr>
                <w:sz w:val="22"/>
                <w:szCs w:val="22"/>
                <w:u w:val="single"/>
              </w:rPr>
              <w:lastRenderedPageBreak/>
              <w:t xml:space="preserve">sacrificio de los recursos no permitirá la adquisición de cámara digital requerida por la Fiscalía de Limón para la atención y recopilación de información de casos complejos. </w:t>
            </w:r>
          </w:p>
        </w:tc>
      </w:tr>
      <w:tr w:rsidR="00B15F7D" w:rsidRPr="00990FB6" w14:paraId="5BF5CD52" w14:textId="77777777" w:rsidTr="000A0C22">
        <w:trPr>
          <w:trHeight w:val="2320"/>
          <w:jc w:val="center"/>
        </w:trPr>
        <w:tc>
          <w:tcPr>
            <w:tcW w:w="583" w:type="pct"/>
            <w:hideMark/>
          </w:tcPr>
          <w:p w14:paraId="2F908D10" w14:textId="77777777" w:rsidR="00B15F7D" w:rsidRPr="00990FB6" w:rsidRDefault="00B15F7D" w:rsidP="00B15F7D">
            <w:pPr>
              <w:rPr>
                <w:sz w:val="22"/>
                <w:szCs w:val="22"/>
                <w:u w:val="single"/>
              </w:rPr>
            </w:pPr>
            <w:r w:rsidRPr="00990FB6">
              <w:rPr>
                <w:sz w:val="22"/>
                <w:szCs w:val="22"/>
                <w:u w:val="single"/>
              </w:rPr>
              <w:lastRenderedPageBreak/>
              <w:t>50103</w:t>
            </w:r>
          </w:p>
        </w:tc>
        <w:tc>
          <w:tcPr>
            <w:tcW w:w="578" w:type="pct"/>
            <w:hideMark/>
          </w:tcPr>
          <w:p w14:paraId="578078CD" w14:textId="77777777" w:rsidR="00B15F7D" w:rsidRPr="00990FB6" w:rsidRDefault="00B15F7D" w:rsidP="00B15F7D">
            <w:pPr>
              <w:rPr>
                <w:sz w:val="22"/>
                <w:szCs w:val="22"/>
                <w:u w:val="single"/>
              </w:rPr>
            </w:pPr>
            <w:r w:rsidRPr="00990FB6">
              <w:rPr>
                <w:sz w:val="22"/>
                <w:szCs w:val="22"/>
                <w:u w:val="single"/>
              </w:rPr>
              <w:t>Equipo de comunicación</w:t>
            </w:r>
          </w:p>
        </w:tc>
        <w:tc>
          <w:tcPr>
            <w:tcW w:w="363" w:type="pct"/>
            <w:hideMark/>
          </w:tcPr>
          <w:p w14:paraId="76A73014" w14:textId="77777777" w:rsidR="00B15F7D" w:rsidRPr="00990FB6" w:rsidRDefault="00B15F7D" w:rsidP="00B15F7D">
            <w:pPr>
              <w:rPr>
                <w:sz w:val="22"/>
                <w:szCs w:val="22"/>
                <w:u w:val="single"/>
              </w:rPr>
            </w:pPr>
            <w:r w:rsidRPr="00990FB6">
              <w:rPr>
                <w:sz w:val="22"/>
                <w:szCs w:val="22"/>
                <w:u w:val="single"/>
              </w:rPr>
              <w:t xml:space="preserve">       Art.: 25713</w:t>
            </w:r>
          </w:p>
        </w:tc>
        <w:tc>
          <w:tcPr>
            <w:tcW w:w="1045" w:type="pct"/>
            <w:hideMark/>
          </w:tcPr>
          <w:p w14:paraId="06EC66C8" w14:textId="77777777" w:rsidR="00B15F7D" w:rsidRPr="00990FB6" w:rsidRDefault="00B15F7D" w:rsidP="00B15F7D">
            <w:pPr>
              <w:rPr>
                <w:sz w:val="22"/>
                <w:szCs w:val="22"/>
                <w:u w:val="single"/>
              </w:rPr>
            </w:pPr>
            <w:r w:rsidRPr="00990FB6">
              <w:rPr>
                <w:sz w:val="22"/>
                <w:szCs w:val="22"/>
                <w:u w:val="single"/>
              </w:rPr>
              <w:t>CAMARA WEB</w:t>
            </w:r>
          </w:p>
        </w:tc>
        <w:tc>
          <w:tcPr>
            <w:tcW w:w="550" w:type="pct"/>
            <w:hideMark/>
          </w:tcPr>
          <w:p w14:paraId="362FAF58"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E668EA5"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F7B3B51" w14:textId="77777777" w:rsidR="00B15F7D" w:rsidRPr="00990FB6" w:rsidRDefault="00B15F7D" w:rsidP="00B15F7D">
            <w:pPr>
              <w:rPr>
                <w:sz w:val="22"/>
                <w:szCs w:val="22"/>
                <w:u w:val="single"/>
              </w:rPr>
            </w:pPr>
            <w:r w:rsidRPr="00990FB6">
              <w:rPr>
                <w:sz w:val="22"/>
                <w:szCs w:val="22"/>
                <w:u w:val="single"/>
              </w:rPr>
              <w:t>4.248.347,00</w:t>
            </w:r>
          </w:p>
        </w:tc>
        <w:tc>
          <w:tcPr>
            <w:tcW w:w="780" w:type="pct"/>
            <w:hideMark/>
          </w:tcPr>
          <w:p w14:paraId="559F5111"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cámaras web para uso del personal profesional de las fiscalías de Alajuela, San Carlos, San Ramón, Guanacaste, Santa Cruz, Cañas, Puntarenas, Corredores, Quepos, Limón, Pococí, Atenas, Upala, </w:t>
            </w:r>
            <w:proofErr w:type="spellStart"/>
            <w:r w:rsidRPr="00990FB6">
              <w:rPr>
                <w:sz w:val="22"/>
                <w:szCs w:val="22"/>
                <w:u w:val="single"/>
              </w:rPr>
              <w:t>Cóbano</w:t>
            </w:r>
            <w:proofErr w:type="spellEnd"/>
            <w:r w:rsidRPr="00990FB6">
              <w:rPr>
                <w:sz w:val="22"/>
                <w:szCs w:val="22"/>
                <w:u w:val="single"/>
              </w:rPr>
              <w:t xml:space="preserve">, </w:t>
            </w:r>
            <w:proofErr w:type="spellStart"/>
            <w:r w:rsidRPr="00990FB6">
              <w:rPr>
                <w:sz w:val="22"/>
                <w:szCs w:val="22"/>
                <w:u w:val="single"/>
              </w:rPr>
              <w:t>Bribrí</w:t>
            </w:r>
            <w:proofErr w:type="spellEnd"/>
            <w:r w:rsidRPr="00990FB6">
              <w:rPr>
                <w:sz w:val="22"/>
                <w:szCs w:val="22"/>
                <w:u w:val="single"/>
              </w:rPr>
              <w:t xml:space="preserve">, Ejecución de la Pena, Guatuso, Garabito, Los Chiles, La </w:t>
            </w:r>
            <w:r w:rsidRPr="00990FB6">
              <w:rPr>
                <w:sz w:val="22"/>
                <w:szCs w:val="22"/>
                <w:u w:val="single"/>
              </w:rPr>
              <w:lastRenderedPageBreak/>
              <w:t>Fortuna, Legitimación de Capitales, Batán y Fiscalía General. Equipo necesario para la atención de diligencias programadas de manera virtual. Desmejora en la atención de diligencias judiciales, como consecuencia desmejora en la prestación del servicio público e imagen institucional.</w:t>
            </w:r>
          </w:p>
        </w:tc>
      </w:tr>
      <w:tr w:rsidR="00B15F7D" w:rsidRPr="00990FB6" w14:paraId="1870C9A8" w14:textId="77777777" w:rsidTr="000A0C22">
        <w:trPr>
          <w:trHeight w:val="580"/>
          <w:jc w:val="center"/>
        </w:trPr>
        <w:tc>
          <w:tcPr>
            <w:tcW w:w="583" w:type="pct"/>
            <w:hideMark/>
          </w:tcPr>
          <w:p w14:paraId="7FD29BF3"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4DB5BF53"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5079AB58" w14:textId="77777777" w:rsidR="00B15F7D" w:rsidRPr="00990FB6" w:rsidRDefault="00B15F7D" w:rsidP="00B15F7D">
            <w:pPr>
              <w:rPr>
                <w:sz w:val="22"/>
                <w:szCs w:val="22"/>
                <w:u w:val="single"/>
              </w:rPr>
            </w:pPr>
            <w:r w:rsidRPr="00990FB6">
              <w:rPr>
                <w:sz w:val="22"/>
                <w:szCs w:val="22"/>
                <w:u w:val="single"/>
              </w:rPr>
              <w:t xml:space="preserve">       Art.: 16680</w:t>
            </w:r>
          </w:p>
        </w:tc>
        <w:tc>
          <w:tcPr>
            <w:tcW w:w="1045" w:type="pct"/>
            <w:hideMark/>
          </w:tcPr>
          <w:p w14:paraId="66AF20CA" w14:textId="77777777" w:rsidR="00B15F7D" w:rsidRPr="00990FB6" w:rsidRDefault="00B15F7D" w:rsidP="00B15F7D">
            <w:pPr>
              <w:rPr>
                <w:sz w:val="22"/>
                <w:szCs w:val="22"/>
                <w:u w:val="single"/>
              </w:rPr>
            </w:pPr>
            <w:r w:rsidRPr="00990FB6">
              <w:rPr>
                <w:sz w:val="22"/>
                <w:szCs w:val="22"/>
                <w:u w:val="single"/>
              </w:rPr>
              <w:t>ARCHIVADOR METAL TIPO LEGAL 4 GAVETAS</w:t>
            </w:r>
          </w:p>
        </w:tc>
        <w:tc>
          <w:tcPr>
            <w:tcW w:w="550" w:type="pct"/>
            <w:hideMark/>
          </w:tcPr>
          <w:p w14:paraId="6789CCB5"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2C7F281A" w14:textId="77777777" w:rsidR="00B15F7D" w:rsidRPr="00990FB6" w:rsidRDefault="00B15F7D" w:rsidP="00B15F7D">
            <w:pPr>
              <w:rPr>
                <w:sz w:val="22"/>
                <w:szCs w:val="22"/>
                <w:u w:val="single"/>
              </w:rPr>
            </w:pPr>
            <w:r w:rsidRPr="00990FB6">
              <w:rPr>
                <w:sz w:val="22"/>
                <w:szCs w:val="22"/>
                <w:u w:val="single"/>
              </w:rPr>
              <w:t>480.363,00</w:t>
            </w:r>
          </w:p>
        </w:tc>
        <w:tc>
          <w:tcPr>
            <w:tcW w:w="589" w:type="pct"/>
            <w:hideMark/>
          </w:tcPr>
          <w:p w14:paraId="253239F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2E5E437" w14:textId="77777777" w:rsidR="00B15F7D" w:rsidRPr="00990FB6" w:rsidRDefault="00B15F7D" w:rsidP="00FC2DB5">
            <w:pPr>
              <w:jc w:val="both"/>
              <w:rPr>
                <w:sz w:val="22"/>
                <w:szCs w:val="22"/>
                <w:u w:val="single"/>
              </w:rPr>
            </w:pPr>
            <w:r w:rsidRPr="00990FB6">
              <w:rPr>
                <w:sz w:val="22"/>
                <w:szCs w:val="22"/>
                <w:u w:val="single"/>
              </w:rPr>
              <w:t xml:space="preserve">Se traduce en desmejora de las condiciones de trabajo del personal, así como, de atención a la persona usuaria. </w:t>
            </w:r>
          </w:p>
        </w:tc>
      </w:tr>
      <w:tr w:rsidR="00B15F7D" w:rsidRPr="00990FB6" w14:paraId="7E2D1794" w14:textId="77777777" w:rsidTr="000A0C22">
        <w:trPr>
          <w:trHeight w:val="1160"/>
          <w:jc w:val="center"/>
        </w:trPr>
        <w:tc>
          <w:tcPr>
            <w:tcW w:w="583" w:type="pct"/>
            <w:hideMark/>
          </w:tcPr>
          <w:p w14:paraId="39F4E3EF"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02D9209E"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5EC50A3D" w14:textId="77777777" w:rsidR="00B15F7D" w:rsidRPr="00990FB6" w:rsidRDefault="00B15F7D" w:rsidP="00B15F7D">
            <w:pPr>
              <w:rPr>
                <w:sz w:val="22"/>
                <w:szCs w:val="22"/>
                <w:u w:val="single"/>
              </w:rPr>
            </w:pPr>
            <w:r w:rsidRPr="00990FB6">
              <w:rPr>
                <w:sz w:val="22"/>
                <w:szCs w:val="22"/>
                <w:u w:val="single"/>
              </w:rPr>
              <w:t xml:space="preserve">       Art.: 16687</w:t>
            </w:r>
          </w:p>
        </w:tc>
        <w:tc>
          <w:tcPr>
            <w:tcW w:w="1045" w:type="pct"/>
            <w:hideMark/>
          </w:tcPr>
          <w:p w14:paraId="4826B2E2" w14:textId="77777777" w:rsidR="00B15F7D" w:rsidRPr="00990FB6" w:rsidRDefault="00B15F7D" w:rsidP="00B15F7D">
            <w:pPr>
              <w:rPr>
                <w:sz w:val="22"/>
                <w:szCs w:val="22"/>
                <w:u w:val="single"/>
              </w:rPr>
            </w:pPr>
            <w:r w:rsidRPr="00990FB6">
              <w:rPr>
                <w:sz w:val="22"/>
                <w:szCs w:val="22"/>
                <w:u w:val="single"/>
              </w:rPr>
              <w:t>ESCRITORIO EJECUTIVO</w:t>
            </w:r>
          </w:p>
        </w:tc>
        <w:tc>
          <w:tcPr>
            <w:tcW w:w="550" w:type="pct"/>
            <w:hideMark/>
          </w:tcPr>
          <w:p w14:paraId="0FA96817"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710AE19D" w14:textId="77777777" w:rsidR="00B15F7D" w:rsidRPr="00990FB6" w:rsidRDefault="00B15F7D" w:rsidP="00B15F7D">
            <w:pPr>
              <w:rPr>
                <w:sz w:val="22"/>
                <w:szCs w:val="22"/>
                <w:u w:val="single"/>
              </w:rPr>
            </w:pPr>
            <w:r w:rsidRPr="00990FB6">
              <w:rPr>
                <w:sz w:val="22"/>
                <w:szCs w:val="22"/>
                <w:u w:val="single"/>
              </w:rPr>
              <w:t>2.854.208,00</w:t>
            </w:r>
          </w:p>
        </w:tc>
        <w:tc>
          <w:tcPr>
            <w:tcW w:w="589" w:type="pct"/>
            <w:hideMark/>
          </w:tcPr>
          <w:p w14:paraId="497E4B21"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D151E03"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escritorios ejecutivos para uso del personal profesional de las fiscalías de Alajuela, </w:t>
            </w:r>
            <w:r w:rsidRPr="00990FB6">
              <w:rPr>
                <w:sz w:val="22"/>
                <w:szCs w:val="22"/>
                <w:u w:val="single"/>
              </w:rPr>
              <w:lastRenderedPageBreak/>
              <w:t xml:space="preserve">Limón, Pococí y la Fortuna. Se traduce en desmejora de las condiciones de trabajo del personal, así como, de atención a la persona usuaria. </w:t>
            </w:r>
          </w:p>
        </w:tc>
      </w:tr>
      <w:tr w:rsidR="00B15F7D" w:rsidRPr="00990FB6" w14:paraId="326D46C4" w14:textId="77777777" w:rsidTr="000A0C22">
        <w:trPr>
          <w:trHeight w:val="1160"/>
          <w:jc w:val="center"/>
        </w:trPr>
        <w:tc>
          <w:tcPr>
            <w:tcW w:w="583" w:type="pct"/>
            <w:hideMark/>
          </w:tcPr>
          <w:p w14:paraId="22EE7557"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311845BA"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0B37B01D" w14:textId="77777777" w:rsidR="00B15F7D" w:rsidRPr="00990FB6" w:rsidRDefault="00B15F7D" w:rsidP="00B15F7D">
            <w:pPr>
              <w:rPr>
                <w:sz w:val="22"/>
                <w:szCs w:val="22"/>
                <w:u w:val="single"/>
              </w:rPr>
            </w:pPr>
            <w:r w:rsidRPr="00990FB6">
              <w:rPr>
                <w:sz w:val="22"/>
                <w:szCs w:val="22"/>
                <w:u w:val="single"/>
              </w:rPr>
              <w:t xml:space="preserve">       Art.: 16696</w:t>
            </w:r>
          </w:p>
        </w:tc>
        <w:tc>
          <w:tcPr>
            <w:tcW w:w="1045" w:type="pct"/>
            <w:hideMark/>
          </w:tcPr>
          <w:p w14:paraId="726BFD35" w14:textId="77777777" w:rsidR="00B15F7D" w:rsidRPr="00990FB6" w:rsidRDefault="00B15F7D" w:rsidP="00B15F7D">
            <w:pPr>
              <w:rPr>
                <w:sz w:val="22"/>
                <w:szCs w:val="22"/>
                <w:u w:val="single"/>
              </w:rPr>
            </w:pPr>
            <w:r w:rsidRPr="00990FB6">
              <w:rPr>
                <w:sz w:val="22"/>
                <w:szCs w:val="22"/>
                <w:u w:val="single"/>
              </w:rPr>
              <w:t>MESA PARA COMPUTADORA</w:t>
            </w:r>
          </w:p>
        </w:tc>
        <w:tc>
          <w:tcPr>
            <w:tcW w:w="550" w:type="pct"/>
            <w:hideMark/>
          </w:tcPr>
          <w:p w14:paraId="33DDCEB2"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F4F40A1" w14:textId="77777777" w:rsidR="00B15F7D" w:rsidRPr="00990FB6" w:rsidRDefault="00B15F7D" w:rsidP="00B15F7D">
            <w:pPr>
              <w:rPr>
                <w:sz w:val="22"/>
                <w:szCs w:val="22"/>
                <w:u w:val="single"/>
              </w:rPr>
            </w:pPr>
            <w:r w:rsidRPr="00990FB6">
              <w:rPr>
                <w:sz w:val="22"/>
                <w:szCs w:val="22"/>
                <w:u w:val="single"/>
              </w:rPr>
              <w:t>406.800,00</w:t>
            </w:r>
          </w:p>
        </w:tc>
        <w:tc>
          <w:tcPr>
            <w:tcW w:w="589" w:type="pct"/>
            <w:hideMark/>
          </w:tcPr>
          <w:p w14:paraId="7E6F42A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D5C8BD6"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mesa para computadora para uso del personal profesional de las fiscalías de Upala y Los Chiles. Se traduce en desmejora de las condiciones de trabajo del personal, así como, de atención a la persona usuaria. </w:t>
            </w:r>
          </w:p>
        </w:tc>
      </w:tr>
      <w:tr w:rsidR="00B15F7D" w:rsidRPr="00990FB6" w14:paraId="0833E38E" w14:textId="77777777" w:rsidTr="000A0C22">
        <w:trPr>
          <w:trHeight w:val="1160"/>
          <w:jc w:val="center"/>
        </w:trPr>
        <w:tc>
          <w:tcPr>
            <w:tcW w:w="583" w:type="pct"/>
            <w:hideMark/>
          </w:tcPr>
          <w:p w14:paraId="2540A59F"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3C1E8520"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79E5F796" w14:textId="77777777" w:rsidR="00B15F7D" w:rsidRPr="00990FB6" w:rsidRDefault="00B15F7D" w:rsidP="00B15F7D">
            <w:pPr>
              <w:rPr>
                <w:sz w:val="22"/>
                <w:szCs w:val="22"/>
                <w:u w:val="single"/>
              </w:rPr>
            </w:pPr>
            <w:r w:rsidRPr="00990FB6">
              <w:rPr>
                <w:sz w:val="22"/>
                <w:szCs w:val="22"/>
                <w:u w:val="single"/>
              </w:rPr>
              <w:t xml:space="preserve">       Art.: 16709</w:t>
            </w:r>
          </w:p>
        </w:tc>
        <w:tc>
          <w:tcPr>
            <w:tcW w:w="1045" w:type="pct"/>
            <w:hideMark/>
          </w:tcPr>
          <w:p w14:paraId="065822F7" w14:textId="77777777" w:rsidR="00B15F7D" w:rsidRPr="00990FB6" w:rsidRDefault="00B15F7D" w:rsidP="00B15F7D">
            <w:pPr>
              <w:rPr>
                <w:sz w:val="22"/>
                <w:szCs w:val="22"/>
                <w:u w:val="single"/>
              </w:rPr>
            </w:pPr>
            <w:r w:rsidRPr="00990FB6">
              <w:rPr>
                <w:sz w:val="22"/>
                <w:szCs w:val="22"/>
                <w:u w:val="single"/>
              </w:rPr>
              <w:t>MESA PARA IMPRESORA</w:t>
            </w:r>
          </w:p>
        </w:tc>
        <w:tc>
          <w:tcPr>
            <w:tcW w:w="550" w:type="pct"/>
            <w:hideMark/>
          </w:tcPr>
          <w:p w14:paraId="7E421FBD"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49C896D6" w14:textId="77777777" w:rsidR="00B15F7D" w:rsidRPr="00990FB6" w:rsidRDefault="00B15F7D" w:rsidP="00B15F7D">
            <w:pPr>
              <w:rPr>
                <w:sz w:val="22"/>
                <w:szCs w:val="22"/>
                <w:u w:val="single"/>
              </w:rPr>
            </w:pPr>
            <w:r w:rsidRPr="00990FB6">
              <w:rPr>
                <w:sz w:val="22"/>
                <w:szCs w:val="22"/>
                <w:u w:val="single"/>
              </w:rPr>
              <w:t>270.457,00</w:t>
            </w:r>
          </w:p>
        </w:tc>
        <w:tc>
          <w:tcPr>
            <w:tcW w:w="589" w:type="pct"/>
            <w:hideMark/>
          </w:tcPr>
          <w:p w14:paraId="2F4F6F4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156CC0FA"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mesa para impresora para </w:t>
            </w:r>
            <w:r w:rsidRPr="00990FB6">
              <w:rPr>
                <w:sz w:val="22"/>
                <w:szCs w:val="22"/>
                <w:u w:val="single"/>
              </w:rPr>
              <w:lastRenderedPageBreak/>
              <w:t xml:space="preserve">uso del personal profesional de las fiscalías de San Carlos, Guatuso y Upala. Se traduce en desmejora de las condiciones de trabajo del personal, así como, de atención a la persona usuaria. </w:t>
            </w:r>
          </w:p>
        </w:tc>
      </w:tr>
      <w:tr w:rsidR="00B15F7D" w:rsidRPr="00990FB6" w14:paraId="1D92F913" w14:textId="77777777" w:rsidTr="000A0C22">
        <w:trPr>
          <w:trHeight w:val="1160"/>
          <w:jc w:val="center"/>
        </w:trPr>
        <w:tc>
          <w:tcPr>
            <w:tcW w:w="583" w:type="pct"/>
            <w:hideMark/>
          </w:tcPr>
          <w:p w14:paraId="49AD82EC"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20846463"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120BFCD7" w14:textId="77777777" w:rsidR="00B15F7D" w:rsidRPr="00990FB6" w:rsidRDefault="00B15F7D" w:rsidP="00B15F7D">
            <w:pPr>
              <w:rPr>
                <w:sz w:val="22"/>
                <w:szCs w:val="22"/>
                <w:u w:val="single"/>
              </w:rPr>
            </w:pPr>
            <w:r w:rsidRPr="00990FB6">
              <w:rPr>
                <w:sz w:val="22"/>
                <w:szCs w:val="22"/>
                <w:u w:val="single"/>
              </w:rPr>
              <w:t xml:space="preserve">       Art.: 16710</w:t>
            </w:r>
          </w:p>
        </w:tc>
        <w:tc>
          <w:tcPr>
            <w:tcW w:w="1045" w:type="pct"/>
            <w:hideMark/>
          </w:tcPr>
          <w:p w14:paraId="70EF7388" w14:textId="77777777" w:rsidR="00B15F7D" w:rsidRPr="00990FB6" w:rsidRDefault="00B15F7D" w:rsidP="00B15F7D">
            <w:pPr>
              <w:rPr>
                <w:sz w:val="22"/>
                <w:szCs w:val="22"/>
                <w:u w:val="single"/>
              </w:rPr>
            </w:pPr>
            <w:r w:rsidRPr="00990FB6">
              <w:rPr>
                <w:sz w:val="22"/>
                <w:szCs w:val="22"/>
                <w:u w:val="single"/>
              </w:rPr>
              <w:t>VENTILADOR DE PARED</w:t>
            </w:r>
          </w:p>
        </w:tc>
        <w:tc>
          <w:tcPr>
            <w:tcW w:w="550" w:type="pct"/>
            <w:hideMark/>
          </w:tcPr>
          <w:p w14:paraId="2D3027C9"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2B731BC5" w14:textId="77777777" w:rsidR="00B15F7D" w:rsidRPr="00990FB6" w:rsidRDefault="00B15F7D" w:rsidP="00B15F7D">
            <w:pPr>
              <w:rPr>
                <w:sz w:val="22"/>
                <w:szCs w:val="22"/>
                <w:u w:val="single"/>
              </w:rPr>
            </w:pPr>
            <w:r w:rsidRPr="00990FB6">
              <w:rPr>
                <w:sz w:val="22"/>
                <w:szCs w:val="22"/>
                <w:u w:val="single"/>
              </w:rPr>
              <w:t>1.484.424,00</w:t>
            </w:r>
          </w:p>
        </w:tc>
        <w:tc>
          <w:tcPr>
            <w:tcW w:w="589" w:type="pct"/>
            <w:hideMark/>
          </w:tcPr>
          <w:p w14:paraId="79FD0E8F"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C24746A"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ventiladores para uso del personal profesional de las fiscalías de Heredia y Limón. Se traduce en desmejora de las condiciones de trabajo del personal, así como, de atención a la persona usuaria. </w:t>
            </w:r>
          </w:p>
        </w:tc>
      </w:tr>
      <w:tr w:rsidR="00B15F7D" w:rsidRPr="00990FB6" w14:paraId="6DDE31C1" w14:textId="77777777" w:rsidTr="000A0C22">
        <w:trPr>
          <w:trHeight w:val="870"/>
          <w:jc w:val="center"/>
        </w:trPr>
        <w:tc>
          <w:tcPr>
            <w:tcW w:w="583" w:type="pct"/>
            <w:hideMark/>
          </w:tcPr>
          <w:p w14:paraId="2A6A1D67"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43F6C78B"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6D51F224" w14:textId="77777777" w:rsidR="00B15F7D" w:rsidRPr="00990FB6" w:rsidRDefault="00B15F7D" w:rsidP="00B15F7D">
            <w:pPr>
              <w:rPr>
                <w:sz w:val="22"/>
                <w:szCs w:val="22"/>
                <w:u w:val="single"/>
              </w:rPr>
            </w:pPr>
            <w:r w:rsidRPr="00990FB6">
              <w:rPr>
                <w:sz w:val="22"/>
                <w:szCs w:val="22"/>
                <w:u w:val="single"/>
              </w:rPr>
              <w:t xml:space="preserve">       Art.: 16711</w:t>
            </w:r>
          </w:p>
        </w:tc>
        <w:tc>
          <w:tcPr>
            <w:tcW w:w="1045" w:type="pct"/>
            <w:hideMark/>
          </w:tcPr>
          <w:p w14:paraId="7BC33653" w14:textId="77777777" w:rsidR="00B15F7D" w:rsidRPr="00990FB6" w:rsidRDefault="00B15F7D" w:rsidP="00B15F7D">
            <w:pPr>
              <w:rPr>
                <w:sz w:val="22"/>
                <w:szCs w:val="22"/>
                <w:u w:val="single"/>
              </w:rPr>
            </w:pPr>
            <w:r w:rsidRPr="00990FB6">
              <w:rPr>
                <w:sz w:val="22"/>
                <w:szCs w:val="22"/>
                <w:u w:val="single"/>
              </w:rPr>
              <w:t>VENTILADOR DE PIE</w:t>
            </w:r>
          </w:p>
        </w:tc>
        <w:tc>
          <w:tcPr>
            <w:tcW w:w="550" w:type="pct"/>
            <w:hideMark/>
          </w:tcPr>
          <w:p w14:paraId="0B081A0C"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0DBF6A1" w14:textId="77777777" w:rsidR="00B15F7D" w:rsidRPr="00990FB6" w:rsidRDefault="00B15F7D" w:rsidP="00B15F7D">
            <w:pPr>
              <w:rPr>
                <w:sz w:val="22"/>
                <w:szCs w:val="22"/>
                <w:u w:val="single"/>
              </w:rPr>
            </w:pPr>
            <w:r w:rsidRPr="00990FB6">
              <w:rPr>
                <w:sz w:val="22"/>
                <w:szCs w:val="22"/>
                <w:u w:val="single"/>
              </w:rPr>
              <w:t>534.348,00</w:t>
            </w:r>
          </w:p>
        </w:tc>
        <w:tc>
          <w:tcPr>
            <w:tcW w:w="589" w:type="pct"/>
            <w:hideMark/>
          </w:tcPr>
          <w:p w14:paraId="21916824"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254E4E6"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w:t>
            </w:r>
            <w:r w:rsidRPr="00990FB6">
              <w:rPr>
                <w:sz w:val="22"/>
                <w:szCs w:val="22"/>
                <w:u w:val="single"/>
              </w:rPr>
              <w:lastRenderedPageBreak/>
              <w:t xml:space="preserve">adquisición de ventiladores para uso del personal profesional de las fiscalías de Pococí. Se traduce en desmejora de las condiciones de trabajo del personal, así como, de atención a la persona usuaria. </w:t>
            </w:r>
          </w:p>
        </w:tc>
      </w:tr>
      <w:tr w:rsidR="00B15F7D" w:rsidRPr="00990FB6" w14:paraId="01DCD984" w14:textId="77777777" w:rsidTr="000A0C22">
        <w:trPr>
          <w:trHeight w:val="1450"/>
          <w:jc w:val="center"/>
        </w:trPr>
        <w:tc>
          <w:tcPr>
            <w:tcW w:w="583" w:type="pct"/>
            <w:hideMark/>
          </w:tcPr>
          <w:p w14:paraId="0027B007"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0D98BA36"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372C6FE7" w14:textId="77777777" w:rsidR="00B15F7D" w:rsidRPr="00990FB6" w:rsidRDefault="00B15F7D" w:rsidP="00B15F7D">
            <w:pPr>
              <w:rPr>
                <w:sz w:val="22"/>
                <w:szCs w:val="22"/>
                <w:u w:val="single"/>
              </w:rPr>
            </w:pPr>
            <w:r w:rsidRPr="00990FB6">
              <w:rPr>
                <w:sz w:val="22"/>
                <w:szCs w:val="22"/>
                <w:u w:val="single"/>
              </w:rPr>
              <w:t xml:space="preserve">       Art.: 16761</w:t>
            </w:r>
          </w:p>
        </w:tc>
        <w:tc>
          <w:tcPr>
            <w:tcW w:w="1045" w:type="pct"/>
            <w:hideMark/>
          </w:tcPr>
          <w:p w14:paraId="3ECDC14C" w14:textId="77777777" w:rsidR="00B15F7D" w:rsidRPr="00990FB6" w:rsidRDefault="00B15F7D" w:rsidP="00B15F7D">
            <w:pPr>
              <w:rPr>
                <w:sz w:val="22"/>
                <w:szCs w:val="22"/>
                <w:u w:val="single"/>
              </w:rPr>
            </w:pPr>
            <w:r w:rsidRPr="00990FB6">
              <w:rPr>
                <w:sz w:val="22"/>
                <w:szCs w:val="22"/>
                <w:u w:val="single"/>
              </w:rPr>
              <w:t>SILLON DE JUEGO DE SALA</w:t>
            </w:r>
          </w:p>
        </w:tc>
        <w:tc>
          <w:tcPr>
            <w:tcW w:w="550" w:type="pct"/>
            <w:hideMark/>
          </w:tcPr>
          <w:p w14:paraId="767D5E7E"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429EF877" w14:textId="77777777" w:rsidR="00B15F7D" w:rsidRPr="00990FB6" w:rsidRDefault="00B15F7D" w:rsidP="00B15F7D">
            <w:pPr>
              <w:rPr>
                <w:sz w:val="22"/>
                <w:szCs w:val="22"/>
                <w:u w:val="single"/>
              </w:rPr>
            </w:pPr>
            <w:r w:rsidRPr="00990FB6">
              <w:rPr>
                <w:sz w:val="22"/>
                <w:szCs w:val="22"/>
                <w:u w:val="single"/>
              </w:rPr>
              <w:t>509.769,00</w:t>
            </w:r>
          </w:p>
        </w:tc>
        <w:tc>
          <w:tcPr>
            <w:tcW w:w="589" w:type="pct"/>
            <w:hideMark/>
          </w:tcPr>
          <w:p w14:paraId="67AECE4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382BC2CC"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juego de sala de la Fiscalía de Guatuso, requeridos para sustitución de activos dañados 410541 y 410542, los cuales se dañaron producto de una llena que se produjo en la oficina, en el 2021; por lo que se dieron de baja.  Se traduce en desmejora de las condiciones </w:t>
            </w:r>
            <w:r w:rsidRPr="00990FB6">
              <w:rPr>
                <w:sz w:val="22"/>
                <w:szCs w:val="22"/>
                <w:u w:val="single"/>
              </w:rPr>
              <w:lastRenderedPageBreak/>
              <w:t xml:space="preserve">de trabajo del personal, así como, de atención a la persona usuaria. </w:t>
            </w:r>
          </w:p>
        </w:tc>
      </w:tr>
      <w:tr w:rsidR="00B15F7D" w:rsidRPr="00990FB6" w14:paraId="0B8FBCD5" w14:textId="77777777" w:rsidTr="000A0C22">
        <w:trPr>
          <w:trHeight w:val="290"/>
          <w:jc w:val="center"/>
        </w:trPr>
        <w:tc>
          <w:tcPr>
            <w:tcW w:w="583" w:type="pct"/>
            <w:hideMark/>
          </w:tcPr>
          <w:p w14:paraId="1091426C"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2FADD5D2"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3AF0A6B1" w14:textId="77777777" w:rsidR="00B15F7D" w:rsidRPr="00990FB6" w:rsidRDefault="00B15F7D" w:rsidP="00B15F7D">
            <w:pPr>
              <w:rPr>
                <w:sz w:val="22"/>
                <w:szCs w:val="22"/>
                <w:u w:val="single"/>
              </w:rPr>
            </w:pPr>
            <w:r w:rsidRPr="00990FB6">
              <w:rPr>
                <w:sz w:val="22"/>
                <w:szCs w:val="22"/>
                <w:u w:val="single"/>
              </w:rPr>
              <w:t xml:space="preserve">       Art.: 16820</w:t>
            </w:r>
          </w:p>
        </w:tc>
        <w:tc>
          <w:tcPr>
            <w:tcW w:w="1045" w:type="pct"/>
            <w:hideMark/>
          </w:tcPr>
          <w:p w14:paraId="3D37A021" w14:textId="77777777" w:rsidR="00B15F7D" w:rsidRPr="00990FB6" w:rsidRDefault="00B15F7D" w:rsidP="00B15F7D">
            <w:pPr>
              <w:rPr>
                <w:sz w:val="22"/>
                <w:szCs w:val="22"/>
                <w:u w:val="single"/>
              </w:rPr>
            </w:pPr>
            <w:r w:rsidRPr="00990FB6">
              <w:rPr>
                <w:sz w:val="22"/>
                <w:szCs w:val="22"/>
                <w:u w:val="single"/>
              </w:rPr>
              <w:t>ESTANTE</w:t>
            </w:r>
          </w:p>
        </w:tc>
        <w:tc>
          <w:tcPr>
            <w:tcW w:w="550" w:type="pct"/>
            <w:hideMark/>
          </w:tcPr>
          <w:p w14:paraId="1A06E4F0"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5898197" w14:textId="77777777" w:rsidR="00B15F7D" w:rsidRPr="00990FB6" w:rsidRDefault="00B15F7D" w:rsidP="00B15F7D">
            <w:pPr>
              <w:rPr>
                <w:sz w:val="22"/>
                <w:szCs w:val="22"/>
                <w:u w:val="single"/>
              </w:rPr>
            </w:pPr>
            <w:r w:rsidRPr="00990FB6">
              <w:rPr>
                <w:sz w:val="22"/>
                <w:szCs w:val="22"/>
                <w:u w:val="single"/>
              </w:rPr>
              <w:t>4.599.100,00</w:t>
            </w:r>
          </w:p>
        </w:tc>
        <w:tc>
          <w:tcPr>
            <w:tcW w:w="589" w:type="pct"/>
            <w:hideMark/>
          </w:tcPr>
          <w:p w14:paraId="573D2C63"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60DCA416" w14:textId="77777777" w:rsidR="00B15F7D" w:rsidRPr="00990FB6" w:rsidRDefault="00B15F7D" w:rsidP="00FC2DB5">
            <w:pPr>
              <w:jc w:val="both"/>
              <w:rPr>
                <w:sz w:val="22"/>
                <w:szCs w:val="22"/>
                <w:u w:val="single"/>
              </w:rPr>
            </w:pPr>
            <w:r w:rsidRPr="00990FB6">
              <w:rPr>
                <w:sz w:val="22"/>
                <w:szCs w:val="22"/>
                <w:u w:val="single"/>
              </w:rPr>
              <w:t xml:space="preserve">Se traduce en desmejora de las condiciones de trabajo del personal. </w:t>
            </w:r>
          </w:p>
        </w:tc>
      </w:tr>
      <w:tr w:rsidR="00B15F7D" w:rsidRPr="00990FB6" w14:paraId="0CE17CB3" w14:textId="77777777" w:rsidTr="000A0C22">
        <w:trPr>
          <w:trHeight w:val="870"/>
          <w:jc w:val="center"/>
        </w:trPr>
        <w:tc>
          <w:tcPr>
            <w:tcW w:w="583" w:type="pct"/>
            <w:hideMark/>
          </w:tcPr>
          <w:p w14:paraId="244BECE1"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0FCB41BE"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03A5CCE0" w14:textId="77777777" w:rsidR="00B15F7D" w:rsidRPr="00990FB6" w:rsidRDefault="00B15F7D" w:rsidP="00B15F7D">
            <w:pPr>
              <w:rPr>
                <w:sz w:val="22"/>
                <w:szCs w:val="22"/>
                <w:u w:val="single"/>
              </w:rPr>
            </w:pPr>
            <w:r w:rsidRPr="00990FB6">
              <w:rPr>
                <w:sz w:val="22"/>
                <w:szCs w:val="22"/>
                <w:u w:val="single"/>
              </w:rPr>
              <w:t xml:space="preserve">       Art.: 16881</w:t>
            </w:r>
          </w:p>
        </w:tc>
        <w:tc>
          <w:tcPr>
            <w:tcW w:w="1045" w:type="pct"/>
            <w:hideMark/>
          </w:tcPr>
          <w:p w14:paraId="0AB15F5B" w14:textId="77777777" w:rsidR="00B15F7D" w:rsidRPr="00990FB6" w:rsidRDefault="00B15F7D" w:rsidP="00B15F7D">
            <w:pPr>
              <w:rPr>
                <w:sz w:val="22"/>
                <w:szCs w:val="22"/>
                <w:u w:val="single"/>
              </w:rPr>
            </w:pPr>
            <w:r w:rsidRPr="00990FB6">
              <w:rPr>
                <w:sz w:val="22"/>
                <w:szCs w:val="22"/>
                <w:u w:val="single"/>
              </w:rPr>
              <w:t>SILLA MESA DE CONFERENCIA</w:t>
            </w:r>
          </w:p>
        </w:tc>
        <w:tc>
          <w:tcPr>
            <w:tcW w:w="550" w:type="pct"/>
            <w:hideMark/>
          </w:tcPr>
          <w:p w14:paraId="51A3DF74"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6C0443A" w14:textId="77777777" w:rsidR="00B15F7D" w:rsidRPr="00990FB6" w:rsidRDefault="00B15F7D" w:rsidP="00B15F7D">
            <w:pPr>
              <w:rPr>
                <w:sz w:val="22"/>
                <w:szCs w:val="22"/>
                <w:u w:val="single"/>
              </w:rPr>
            </w:pPr>
            <w:r w:rsidRPr="00990FB6">
              <w:rPr>
                <w:sz w:val="22"/>
                <w:szCs w:val="22"/>
                <w:u w:val="single"/>
              </w:rPr>
              <w:t>610.200,00</w:t>
            </w:r>
          </w:p>
        </w:tc>
        <w:tc>
          <w:tcPr>
            <w:tcW w:w="589" w:type="pct"/>
            <w:hideMark/>
          </w:tcPr>
          <w:p w14:paraId="69062BCD"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CCB434C"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sillas mesa de conferencia para la Fiscalía Delincuencia Organizada., necesaria para la organización de mesas de trabajo, dirección funcional de los casos en investigación. </w:t>
            </w:r>
          </w:p>
        </w:tc>
      </w:tr>
      <w:tr w:rsidR="00B15F7D" w:rsidRPr="00990FB6" w14:paraId="2276E045" w14:textId="77777777" w:rsidTr="000A0C22">
        <w:trPr>
          <w:trHeight w:val="870"/>
          <w:jc w:val="center"/>
        </w:trPr>
        <w:tc>
          <w:tcPr>
            <w:tcW w:w="583" w:type="pct"/>
            <w:hideMark/>
          </w:tcPr>
          <w:p w14:paraId="41799A72"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7126E2D3"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7BD8A991" w14:textId="77777777" w:rsidR="00B15F7D" w:rsidRPr="00990FB6" w:rsidRDefault="00B15F7D" w:rsidP="00B15F7D">
            <w:pPr>
              <w:rPr>
                <w:sz w:val="22"/>
                <w:szCs w:val="22"/>
                <w:u w:val="single"/>
              </w:rPr>
            </w:pPr>
            <w:r w:rsidRPr="00990FB6">
              <w:rPr>
                <w:sz w:val="22"/>
                <w:szCs w:val="22"/>
                <w:u w:val="single"/>
              </w:rPr>
              <w:t xml:space="preserve">       Art.: 17423</w:t>
            </w:r>
          </w:p>
        </w:tc>
        <w:tc>
          <w:tcPr>
            <w:tcW w:w="1045" w:type="pct"/>
            <w:hideMark/>
          </w:tcPr>
          <w:p w14:paraId="41EE15B0" w14:textId="77777777" w:rsidR="00B15F7D" w:rsidRPr="00990FB6" w:rsidRDefault="00B15F7D" w:rsidP="00B15F7D">
            <w:pPr>
              <w:rPr>
                <w:sz w:val="22"/>
                <w:szCs w:val="22"/>
                <w:u w:val="single"/>
              </w:rPr>
            </w:pPr>
            <w:r w:rsidRPr="00990FB6">
              <w:rPr>
                <w:sz w:val="22"/>
                <w:szCs w:val="22"/>
                <w:u w:val="single"/>
              </w:rPr>
              <w:t>BIBLIOTECA DE METAL</w:t>
            </w:r>
          </w:p>
        </w:tc>
        <w:tc>
          <w:tcPr>
            <w:tcW w:w="550" w:type="pct"/>
            <w:hideMark/>
          </w:tcPr>
          <w:p w14:paraId="65C2DE12"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7FCE5045" w14:textId="77777777" w:rsidR="00B15F7D" w:rsidRPr="00990FB6" w:rsidRDefault="00B15F7D" w:rsidP="00B15F7D">
            <w:pPr>
              <w:rPr>
                <w:sz w:val="22"/>
                <w:szCs w:val="22"/>
                <w:u w:val="single"/>
              </w:rPr>
            </w:pPr>
            <w:r w:rsidRPr="00990FB6">
              <w:rPr>
                <w:sz w:val="22"/>
                <w:szCs w:val="22"/>
                <w:u w:val="single"/>
              </w:rPr>
              <w:t>304.196,00</w:t>
            </w:r>
          </w:p>
        </w:tc>
        <w:tc>
          <w:tcPr>
            <w:tcW w:w="589" w:type="pct"/>
            <w:hideMark/>
          </w:tcPr>
          <w:p w14:paraId="28EA715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509C27C"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ventiladores para uso del personal profesional de </w:t>
            </w:r>
            <w:r w:rsidRPr="00990FB6">
              <w:rPr>
                <w:sz w:val="22"/>
                <w:szCs w:val="22"/>
                <w:u w:val="single"/>
              </w:rPr>
              <w:lastRenderedPageBreak/>
              <w:t xml:space="preserve">las fiscalías de Pococí. Se traduce en desmejora de las condiciones de trabajo del personal, así como, de atención a la persona usuaria. </w:t>
            </w:r>
          </w:p>
        </w:tc>
      </w:tr>
      <w:tr w:rsidR="00B15F7D" w:rsidRPr="00990FB6" w14:paraId="294BB317" w14:textId="77777777" w:rsidTr="000A0C22">
        <w:trPr>
          <w:trHeight w:val="1450"/>
          <w:jc w:val="center"/>
        </w:trPr>
        <w:tc>
          <w:tcPr>
            <w:tcW w:w="583" w:type="pct"/>
            <w:hideMark/>
          </w:tcPr>
          <w:p w14:paraId="45868D02"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55DC6CAD"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044218B8" w14:textId="77777777" w:rsidR="00B15F7D" w:rsidRPr="00990FB6" w:rsidRDefault="00B15F7D" w:rsidP="00B15F7D">
            <w:pPr>
              <w:rPr>
                <w:sz w:val="22"/>
                <w:szCs w:val="22"/>
                <w:u w:val="single"/>
              </w:rPr>
            </w:pPr>
            <w:r w:rsidRPr="00990FB6">
              <w:rPr>
                <w:sz w:val="22"/>
                <w:szCs w:val="22"/>
                <w:u w:val="single"/>
              </w:rPr>
              <w:t xml:space="preserve">       Art.: 17561</w:t>
            </w:r>
          </w:p>
        </w:tc>
        <w:tc>
          <w:tcPr>
            <w:tcW w:w="1045" w:type="pct"/>
            <w:hideMark/>
          </w:tcPr>
          <w:p w14:paraId="76BB0596" w14:textId="77777777" w:rsidR="00B15F7D" w:rsidRPr="00990FB6" w:rsidRDefault="00B15F7D" w:rsidP="00B15F7D">
            <w:pPr>
              <w:rPr>
                <w:sz w:val="22"/>
                <w:szCs w:val="22"/>
                <w:u w:val="single"/>
              </w:rPr>
            </w:pPr>
            <w:r w:rsidRPr="00990FB6">
              <w:rPr>
                <w:sz w:val="22"/>
                <w:szCs w:val="22"/>
                <w:u w:val="single"/>
              </w:rPr>
              <w:t>SOFA DE JUEGO DE SALA</w:t>
            </w:r>
          </w:p>
        </w:tc>
        <w:tc>
          <w:tcPr>
            <w:tcW w:w="550" w:type="pct"/>
            <w:hideMark/>
          </w:tcPr>
          <w:p w14:paraId="7FD234EA"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3E44E4BA" w14:textId="77777777" w:rsidR="00B15F7D" w:rsidRPr="00990FB6" w:rsidRDefault="00B15F7D" w:rsidP="00B15F7D">
            <w:pPr>
              <w:rPr>
                <w:sz w:val="22"/>
                <w:szCs w:val="22"/>
                <w:u w:val="single"/>
              </w:rPr>
            </w:pPr>
            <w:r w:rsidRPr="00990FB6">
              <w:rPr>
                <w:sz w:val="22"/>
                <w:szCs w:val="22"/>
                <w:u w:val="single"/>
              </w:rPr>
              <w:t>223.175,00</w:t>
            </w:r>
          </w:p>
        </w:tc>
        <w:tc>
          <w:tcPr>
            <w:tcW w:w="589" w:type="pct"/>
            <w:hideMark/>
          </w:tcPr>
          <w:p w14:paraId="740786D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FCBD232"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juego de sala de la Fiscalía de Guatuso, requeridos para sustitución de activos dañados 410541 y 410542, los cuales se dañaron producto de una llena que se produjo en la oficina, en el 2021; por lo que se dieron de baja.  Se traduce en desmejora de las condiciones de trabajo del personal, así como, de atención a la persona usuaria. </w:t>
            </w:r>
          </w:p>
        </w:tc>
      </w:tr>
      <w:tr w:rsidR="00B15F7D" w:rsidRPr="00990FB6" w14:paraId="4E108D73" w14:textId="77777777" w:rsidTr="000A0C22">
        <w:trPr>
          <w:trHeight w:val="1160"/>
          <w:jc w:val="center"/>
        </w:trPr>
        <w:tc>
          <w:tcPr>
            <w:tcW w:w="583" w:type="pct"/>
            <w:hideMark/>
          </w:tcPr>
          <w:p w14:paraId="5822348C"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3346CBBB"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3E029BDA" w14:textId="77777777" w:rsidR="00B15F7D" w:rsidRPr="00990FB6" w:rsidRDefault="00B15F7D" w:rsidP="00B15F7D">
            <w:pPr>
              <w:rPr>
                <w:sz w:val="22"/>
                <w:szCs w:val="22"/>
                <w:u w:val="single"/>
              </w:rPr>
            </w:pPr>
            <w:r w:rsidRPr="00990FB6">
              <w:rPr>
                <w:sz w:val="22"/>
                <w:szCs w:val="22"/>
                <w:u w:val="single"/>
              </w:rPr>
              <w:t xml:space="preserve">       Art.: 20488</w:t>
            </w:r>
          </w:p>
        </w:tc>
        <w:tc>
          <w:tcPr>
            <w:tcW w:w="1045" w:type="pct"/>
            <w:hideMark/>
          </w:tcPr>
          <w:p w14:paraId="0521C8A6" w14:textId="77777777" w:rsidR="00B15F7D" w:rsidRPr="00990FB6" w:rsidRDefault="00B15F7D" w:rsidP="00B15F7D">
            <w:pPr>
              <w:rPr>
                <w:sz w:val="22"/>
                <w:szCs w:val="22"/>
                <w:u w:val="single"/>
              </w:rPr>
            </w:pPr>
            <w:r w:rsidRPr="00990FB6">
              <w:rPr>
                <w:sz w:val="22"/>
                <w:szCs w:val="22"/>
                <w:u w:val="single"/>
              </w:rPr>
              <w:t>MODULOS ESTANTERIA EN MELAMINA (1.22 X 2.12)</w:t>
            </w:r>
          </w:p>
        </w:tc>
        <w:tc>
          <w:tcPr>
            <w:tcW w:w="550" w:type="pct"/>
            <w:hideMark/>
          </w:tcPr>
          <w:p w14:paraId="7C1B4298"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3CD6CD8F" w14:textId="77777777" w:rsidR="00B15F7D" w:rsidRPr="00990FB6" w:rsidRDefault="00B15F7D" w:rsidP="00B15F7D">
            <w:pPr>
              <w:rPr>
                <w:sz w:val="22"/>
                <w:szCs w:val="22"/>
                <w:u w:val="single"/>
              </w:rPr>
            </w:pPr>
            <w:r w:rsidRPr="00990FB6">
              <w:rPr>
                <w:sz w:val="22"/>
                <w:szCs w:val="22"/>
                <w:u w:val="single"/>
              </w:rPr>
              <w:t>3.133.341,00</w:t>
            </w:r>
          </w:p>
        </w:tc>
        <w:tc>
          <w:tcPr>
            <w:tcW w:w="589" w:type="pct"/>
            <w:hideMark/>
          </w:tcPr>
          <w:p w14:paraId="1798C90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B6508D4"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estantería para uso del personal profesional de las fiscalías de Cartago, Turrialba, Heredia, La Unión Se traduce en desmejora de las condiciones de trabajo del personal, así como, de atención a la persona usuaria. </w:t>
            </w:r>
          </w:p>
        </w:tc>
      </w:tr>
      <w:tr w:rsidR="00B15F7D" w:rsidRPr="00990FB6" w14:paraId="1D8E3F9A" w14:textId="77777777" w:rsidTr="000A0C22">
        <w:trPr>
          <w:trHeight w:val="870"/>
          <w:jc w:val="center"/>
        </w:trPr>
        <w:tc>
          <w:tcPr>
            <w:tcW w:w="583" w:type="pct"/>
            <w:hideMark/>
          </w:tcPr>
          <w:p w14:paraId="6C0F45D9"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20F78434"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529787CC" w14:textId="77777777" w:rsidR="00B15F7D" w:rsidRPr="00990FB6" w:rsidRDefault="00B15F7D" w:rsidP="00B15F7D">
            <w:pPr>
              <w:rPr>
                <w:sz w:val="22"/>
                <w:szCs w:val="22"/>
                <w:u w:val="single"/>
              </w:rPr>
            </w:pPr>
            <w:r w:rsidRPr="00990FB6">
              <w:rPr>
                <w:sz w:val="22"/>
                <w:szCs w:val="22"/>
                <w:u w:val="single"/>
              </w:rPr>
              <w:t xml:space="preserve">       Art.: 20490</w:t>
            </w:r>
          </w:p>
        </w:tc>
        <w:tc>
          <w:tcPr>
            <w:tcW w:w="1045" w:type="pct"/>
            <w:hideMark/>
          </w:tcPr>
          <w:p w14:paraId="1A416CD6" w14:textId="77777777" w:rsidR="00B15F7D" w:rsidRPr="00990FB6" w:rsidRDefault="00B15F7D" w:rsidP="00B15F7D">
            <w:pPr>
              <w:rPr>
                <w:sz w:val="22"/>
                <w:szCs w:val="22"/>
                <w:u w:val="single"/>
              </w:rPr>
            </w:pPr>
            <w:r w:rsidRPr="00990FB6">
              <w:rPr>
                <w:sz w:val="22"/>
                <w:szCs w:val="22"/>
                <w:u w:val="single"/>
              </w:rPr>
              <w:t>ESTANTERIA METALICA MODULAR EN PERFILES (SENCILLO)</w:t>
            </w:r>
          </w:p>
        </w:tc>
        <w:tc>
          <w:tcPr>
            <w:tcW w:w="550" w:type="pct"/>
            <w:hideMark/>
          </w:tcPr>
          <w:p w14:paraId="5AF90B68"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F37816E" w14:textId="77777777" w:rsidR="00B15F7D" w:rsidRPr="00990FB6" w:rsidRDefault="00B15F7D" w:rsidP="00B15F7D">
            <w:pPr>
              <w:rPr>
                <w:sz w:val="22"/>
                <w:szCs w:val="22"/>
                <w:u w:val="single"/>
              </w:rPr>
            </w:pPr>
            <w:r w:rsidRPr="00990FB6">
              <w:rPr>
                <w:sz w:val="22"/>
                <w:szCs w:val="22"/>
                <w:u w:val="single"/>
              </w:rPr>
              <w:t>180.009,00</w:t>
            </w:r>
          </w:p>
        </w:tc>
        <w:tc>
          <w:tcPr>
            <w:tcW w:w="589" w:type="pct"/>
            <w:hideMark/>
          </w:tcPr>
          <w:p w14:paraId="2F6D1AF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7B09D46"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estantería para uso del personal profesional de las fiscalías de La Fortuna. Se traduce en desmejora de las condiciones de trabajo del personal, así como, de </w:t>
            </w:r>
            <w:r w:rsidRPr="00990FB6">
              <w:rPr>
                <w:sz w:val="22"/>
                <w:szCs w:val="22"/>
                <w:u w:val="single"/>
              </w:rPr>
              <w:lastRenderedPageBreak/>
              <w:t xml:space="preserve">atención a la persona usuaria. </w:t>
            </w:r>
          </w:p>
        </w:tc>
      </w:tr>
      <w:tr w:rsidR="00B15F7D" w:rsidRPr="00990FB6" w14:paraId="423FCF3E" w14:textId="77777777" w:rsidTr="000A0C22">
        <w:trPr>
          <w:trHeight w:val="870"/>
          <w:jc w:val="center"/>
        </w:trPr>
        <w:tc>
          <w:tcPr>
            <w:tcW w:w="583" w:type="pct"/>
            <w:hideMark/>
          </w:tcPr>
          <w:p w14:paraId="752AC11F"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043FBBB9"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1C116C9E" w14:textId="77777777" w:rsidR="00B15F7D" w:rsidRPr="00990FB6" w:rsidRDefault="00B15F7D" w:rsidP="00B15F7D">
            <w:pPr>
              <w:rPr>
                <w:sz w:val="22"/>
                <w:szCs w:val="22"/>
                <w:u w:val="single"/>
              </w:rPr>
            </w:pPr>
            <w:r w:rsidRPr="00990FB6">
              <w:rPr>
                <w:sz w:val="22"/>
                <w:szCs w:val="22"/>
                <w:u w:val="single"/>
              </w:rPr>
              <w:t xml:space="preserve">       Art.: 20580</w:t>
            </w:r>
          </w:p>
        </w:tc>
        <w:tc>
          <w:tcPr>
            <w:tcW w:w="1045" w:type="pct"/>
            <w:hideMark/>
          </w:tcPr>
          <w:p w14:paraId="6380BD04" w14:textId="77777777" w:rsidR="00B15F7D" w:rsidRPr="00990FB6" w:rsidRDefault="00B15F7D" w:rsidP="00B15F7D">
            <w:pPr>
              <w:rPr>
                <w:sz w:val="22"/>
                <w:szCs w:val="22"/>
                <w:u w:val="single"/>
              </w:rPr>
            </w:pPr>
            <w:r w:rsidRPr="00990FB6">
              <w:rPr>
                <w:sz w:val="22"/>
                <w:szCs w:val="22"/>
                <w:u w:val="single"/>
              </w:rPr>
              <w:t>MESA PARA CONFERENCIAS DE 12 SILLAS</w:t>
            </w:r>
          </w:p>
        </w:tc>
        <w:tc>
          <w:tcPr>
            <w:tcW w:w="550" w:type="pct"/>
            <w:hideMark/>
          </w:tcPr>
          <w:p w14:paraId="5CE03791"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20C08BD8" w14:textId="77777777" w:rsidR="00B15F7D" w:rsidRPr="00990FB6" w:rsidRDefault="00B15F7D" w:rsidP="00B15F7D">
            <w:pPr>
              <w:rPr>
                <w:sz w:val="22"/>
                <w:szCs w:val="22"/>
                <w:u w:val="single"/>
              </w:rPr>
            </w:pPr>
            <w:r w:rsidRPr="00990FB6">
              <w:rPr>
                <w:sz w:val="22"/>
                <w:szCs w:val="22"/>
                <w:u w:val="single"/>
              </w:rPr>
              <w:t>635.713,00</w:t>
            </w:r>
          </w:p>
        </w:tc>
        <w:tc>
          <w:tcPr>
            <w:tcW w:w="589" w:type="pct"/>
            <w:hideMark/>
          </w:tcPr>
          <w:p w14:paraId="15C1B2F7"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2FB6ADF"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mesa de conferencia para la Fiscalía Delincuencia Organizada., necesaria para la organización de mesas de trabajo, dirección funcional de los casos en investigación. </w:t>
            </w:r>
          </w:p>
        </w:tc>
      </w:tr>
      <w:tr w:rsidR="00B15F7D" w:rsidRPr="00990FB6" w14:paraId="54F3F2C6" w14:textId="77777777" w:rsidTr="000A0C22">
        <w:trPr>
          <w:trHeight w:val="870"/>
          <w:jc w:val="center"/>
        </w:trPr>
        <w:tc>
          <w:tcPr>
            <w:tcW w:w="583" w:type="pct"/>
            <w:hideMark/>
          </w:tcPr>
          <w:p w14:paraId="24FE5C62"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4D2AF3CB"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03D78492" w14:textId="77777777" w:rsidR="00B15F7D" w:rsidRPr="00990FB6" w:rsidRDefault="00B15F7D" w:rsidP="00B15F7D">
            <w:pPr>
              <w:rPr>
                <w:sz w:val="22"/>
                <w:szCs w:val="22"/>
                <w:u w:val="single"/>
              </w:rPr>
            </w:pPr>
            <w:r w:rsidRPr="00990FB6">
              <w:rPr>
                <w:sz w:val="22"/>
                <w:szCs w:val="22"/>
                <w:u w:val="single"/>
              </w:rPr>
              <w:t xml:space="preserve">       Art.: 2216</w:t>
            </w:r>
          </w:p>
        </w:tc>
        <w:tc>
          <w:tcPr>
            <w:tcW w:w="1045" w:type="pct"/>
            <w:hideMark/>
          </w:tcPr>
          <w:p w14:paraId="7E059600" w14:textId="77777777" w:rsidR="00B15F7D" w:rsidRPr="00990FB6" w:rsidRDefault="00B15F7D" w:rsidP="00B15F7D">
            <w:pPr>
              <w:rPr>
                <w:sz w:val="22"/>
                <w:szCs w:val="22"/>
                <w:u w:val="single"/>
              </w:rPr>
            </w:pPr>
            <w:r w:rsidRPr="00990FB6">
              <w:rPr>
                <w:sz w:val="22"/>
                <w:szCs w:val="22"/>
                <w:u w:val="single"/>
              </w:rPr>
              <w:t>SILLA ERGONOMICA SPACER CON BRAZOS</w:t>
            </w:r>
          </w:p>
        </w:tc>
        <w:tc>
          <w:tcPr>
            <w:tcW w:w="550" w:type="pct"/>
            <w:hideMark/>
          </w:tcPr>
          <w:p w14:paraId="37586A59"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5F4A4FC" w14:textId="77777777" w:rsidR="00B15F7D" w:rsidRPr="00990FB6" w:rsidRDefault="00B15F7D" w:rsidP="00B15F7D">
            <w:pPr>
              <w:rPr>
                <w:sz w:val="22"/>
                <w:szCs w:val="22"/>
                <w:u w:val="single"/>
              </w:rPr>
            </w:pPr>
            <w:r w:rsidRPr="00990FB6">
              <w:rPr>
                <w:sz w:val="22"/>
                <w:szCs w:val="22"/>
                <w:u w:val="single"/>
              </w:rPr>
              <w:t>546.299,00</w:t>
            </w:r>
          </w:p>
        </w:tc>
        <w:tc>
          <w:tcPr>
            <w:tcW w:w="589" w:type="pct"/>
            <w:hideMark/>
          </w:tcPr>
          <w:p w14:paraId="256A2A6B"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74EA20A9"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sillas para uso del personal profesional de las fiscalías de Pococí. Se traduce en desmejora de las condiciones de trabajo del personal, así como, de </w:t>
            </w:r>
            <w:r w:rsidRPr="00990FB6">
              <w:rPr>
                <w:sz w:val="22"/>
                <w:szCs w:val="22"/>
                <w:u w:val="single"/>
              </w:rPr>
              <w:lastRenderedPageBreak/>
              <w:t xml:space="preserve">atención a la persona usuaria. </w:t>
            </w:r>
          </w:p>
        </w:tc>
      </w:tr>
      <w:tr w:rsidR="00B15F7D" w:rsidRPr="00990FB6" w14:paraId="24530F40" w14:textId="77777777" w:rsidTr="000A0C22">
        <w:trPr>
          <w:trHeight w:val="870"/>
          <w:jc w:val="center"/>
        </w:trPr>
        <w:tc>
          <w:tcPr>
            <w:tcW w:w="583" w:type="pct"/>
            <w:hideMark/>
          </w:tcPr>
          <w:p w14:paraId="2DB567AE"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23573835"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6414135B" w14:textId="77777777" w:rsidR="00B15F7D" w:rsidRPr="00990FB6" w:rsidRDefault="00B15F7D" w:rsidP="00B15F7D">
            <w:pPr>
              <w:rPr>
                <w:sz w:val="22"/>
                <w:szCs w:val="22"/>
                <w:u w:val="single"/>
              </w:rPr>
            </w:pPr>
            <w:r w:rsidRPr="00990FB6">
              <w:rPr>
                <w:sz w:val="22"/>
                <w:szCs w:val="22"/>
                <w:u w:val="single"/>
              </w:rPr>
              <w:t xml:space="preserve">       Art.: 23858</w:t>
            </w:r>
          </w:p>
        </w:tc>
        <w:tc>
          <w:tcPr>
            <w:tcW w:w="1045" w:type="pct"/>
            <w:hideMark/>
          </w:tcPr>
          <w:p w14:paraId="71377C8C" w14:textId="77777777" w:rsidR="00B15F7D" w:rsidRPr="00990FB6" w:rsidRDefault="00B15F7D" w:rsidP="00B15F7D">
            <w:pPr>
              <w:rPr>
                <w:sz w:val="22"/>
                <w:szCs w:val="22"/>
                <w:u w:val="single"/>
              </w:rPr>
            </w:pPr>
            <w:r w:rsidRPr="00990FB6">
              <w:rPr>
                <w:sz w:val="22"/>
                <w:szCs w:val="22"/>
                <w:u w:val="single"/>
              </w:rPr>
              <w:t>DESTRUCTORA DE PAPEL SEMI INDUSTRIAL</w:t>
            </w:r>
          </w:p>
        </w:tc>
        <w:tc>
          <w:tcPr>
            <w:tcW w:w="550" w:type="pct"/>
            <w:hideMark/>
          </w:tcPr>
          <w:p w14:paraId="78B1F5AD"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E2AE090" w14:textId="77777777" w:rsidR="00B15F7D" w:rsidRPr="00990FB6" w:rsidRDefault="00B15F7D" w:rsidP="00B15F7D">
            <w:pPr>
              <w:rPr>
                <w:sz w:val="22"/>
                <w:szCs w:val="22"/>
                <w:u w:val="single"/>
              </w:rPr>
            </w:pPr>
            <w:r w:rsidRPr="00990FB6">
              <w:rPr>
                <w:sz w:val="22"/>
                <w:szCs w:val="22"/>
                <w:u w:val="single"/>
              </w:rPr>
              <w:t>1.243.000,00</w:t>
            </w:r>
          </w:p>
        </w:tc>
        <w:tc>
          <w:tcPr>
            <w:tcW w:w="589" w:type="pct"/>
            <w:hideMark/>
          </w:tcPr>
          <w:p w14:paraId="2DF5D1C0"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4A7C79A2"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destructora de papel para la Fiscalía Delincuencia Organizada, necesaria para la eliminación de información y documentación sensible.  </w:t>
            </w:r>
          </w:p>
        </w:tc>
      </w:tr>
      <w:tr w:rsidR="00B15F7D" w:rsidRPr="00990FB6" w14:paraId="5015534A" w14:textId="77777777" w:rsidTr="000A0C22">
        <w:trPr>
          <w:trHeight w:val="870"/>
          <w:jc w:val="center"/>
        </w:trPr>
        <w:tc>
          <w:tcPr>
            <w:tcW w:w="583" w:type="pct"/>
            <w:hideMark/>
          </w:tcPr>
          <w:p w14:paraId="217CC419"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4A7BAF40"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05FEFEA0" w14:textId="77777777" w:rsidR="00B15F7D" w:rsidRPr="00990FB6" w:rsidRDefault="00B15F7D" w:rsidP="00B15F7D">
            <w:pPr>
              <w:rPr>
                <w:sz w:val="22"/>
                <w:szCs w:val="22"/>
                <w:u w:val="single"/>
              </w:rPr>
            </w:pPr>
            <w:r w:rsidRPr="00990FB6">
              <w:rPr>
                <w:sz w:val="22"/>
                <w:szCs w:val="22"/>
                <w:u w:val="single"/>
              </w:rPr>
              <w:t xml:space="preserve">       Art.: 23999</w:t>
            </w:r>
          </w:p>
        </w:tc>
        <w:tc>
          <w:tcPr>
            <w:tcW w:w="1045" w:type="pct"/>
            <w:hideMark/>
          </w:tcPr>
          <w:p w14:paraId="227AE178" w14:textId="77777777" w:rsidR="00B15F7D" w:rsidRPr="00990FB6" w:rsidRDefault="00B15F7D" w:rsidP="00B15F7D">
            <w:pPr>
              <w:rPr>
                <w:sz w:val="22"/>
                <w:szCs w:val="22"/>
                <w:u w:val="single"/>
              </w:rPr>
            </w:pPr>
            <w:r w:rsidRPr="00990FB6">
              <w:rPr>
                <w:sz w:val="22"/>
                <w:szCs w:val="22"/>
                <w:u w:val="single"/>
              </w:rPr>
              <w:t>ARCHIVADOR METAL TIPO LEGAL 4 GAVETAS CON CIERRE DE SEGURIDA</w:t>
            </w:r>
          </w:p>
        </w:tc>
        <w:tc>
          <w:tcPr>
            <w:tcW w:w="550" w:type="pct"/>
            <w:hideMark/>
          </w:tcPr>
          <w:p w14:paraId="5F288BEA"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318C6940" w14:textId="77777777" w:rsidR="00B15F7D" w:rsidRPr="00990FB6" w:rsidRDefault="00B15F7D" w:rsidP="00B15F7D">
            <w:pPr>
              <w:rPr>
                <w:sz w:val="22"/>
                <w:szCs w:val="22"/>
                <w:u w:val="single"/>
              </w:rPr>
            </w:pPr>
            <w:r w:rsidRPr="00990FB6">
              <w:rPr>
                <w:sz w:val="22"/>
                <w:szCs w:val="22"/>
                <w:u w:val="single"/>
              </w:rPr>
              <w:t>1.028.300,00</w:t>
            </w:r>
          </w:p>
        </w:tc>
        <w:tc>
          <w:tcPr>
            <w:tcW w:w="589" w:type="pct"/>
            <w:hideMark/>
          </w:tcPr>
          <w:p w14:paraId="72AE7C89"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2AEC8E21"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archivador de seguridad para la Fiscalía Delincuencia Organizada, necesaria para la eliminación de información y documentación sensible.  </w:t>
            </w:r>
          </w:p>
        </w:tc>
      </w:tr>
      <w:tr w:rsidR="00B15F7D" w:rsidRPr="00990FB6" w14:paraId="153004F7" w14:textId="77777777" w:rsidTr="000A0C22">
        <w:trPr>
          <w:trHeight w:val="870"/>
          <w:jc w:val="center"/>
        </w:trPr>
        <w:tc>
          <w:tcPr>
            <w:tcW w:w="583" w:type="pct"/>
            <w:hideMark/>
          </w:tcPr>
          <w:p w14:paraId="5D292CC6" w14:textId="77777777" w:rsidR="00B15F7D" w:rsidRPr="00990FB6" w:rsidRDefault="00B15F7D" w:rsidP="00B15F7D">
            <w:pPr>
              <w:rPr>
                <w:sz w:val="22"/>
                <w:szCs w:val="22"/>
                <w:u w:val="single"/>
              </w:rPr>
            </w:pPr>
            <w:r w:rsidRPr="00990FB6">
              <w:rPr>
                <w:sz w:val="22"/>
                <w:szCs w:val="22"/>
                <w:u w:val="single"/>
              </w:rPr>
              <w:t>50104</w:t>
            </w:r>
          </w:p>
        </w:tc>
        <w:tc>
          <w:tcPr>
            <w:tcW w:w="578" w:type="pct"/>
            <w:hideMark/>
          </w:tcPr>
          <w:p w14:paraId="0FA7A18B"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2CECFD68" w14:textId="77777777" w:rsidR="00B15F7D" w:rsidRPr="00990FB6" w:rsidRDefault="00B15F7D" w:rsidP="00B15F7D">
            <w:pPr>
              <w:rPr>
                <w:sz w:val="22"/>
                <w:szCs w:val="22"/>
                <w:u w:val="single"/>
              </w:rPr>
            </w:pPr>
            <w:r w:rsidRPr="00990FB6">
              <w:rPr>
                <w:sz w:val="22"/>
                <w:szCs w:val="22"/>
                <w:u w:val="single"/>
              </w:rPr>
              <w:t xml:space="preserve">       Art.: 24000</w:t>
            </w:r>
          </w:p>
        </w:tc>
        <w:tc>
          <w:tcPr>
            <w:tcW w:w="1045" w:type="pct"/>
            <w:hideMark/>
          </w:tcPr>
          <w:p w14:paraId="1AC24332" w14:textId="77777777" w:rsidR="00B15F7D" w:rsidRPr="00990FB6" w:rsidRDefault="00B15F7D" w:rsidP="00B15F7D">
            <w:pPr>
              <w:rPr>
                <w:sz w:val="22"/>
                <w:szCs w:val="22"/>
                <w:u w:val="single"/>
              </w:rPr>
            </w:pPr>
            <w:r w:rsidRPr="00990FB6">
              <w:rPr>
                <w:sz w:val="22"/>
                <w:szCs w:val="22"/>
                <w:u w:val="single"/>
              </w:rPr>
              <w:t>SILLA DE VISITA SIN TAPIZAR</w:t>
            </w:r>
          </w:p>
        </w:tc>
        <w:tc>
          <w:tcPr>
            <w:tcW w:w="550" w:type="pct"/>
            <w:hideMark/>
          </w:tcPr>
          <w:p w14:paraId="2998826C"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AD037FC" w14:textId="77777777" w:rsidR="00B15F7D" w:rsidRPr="00990FB6" w:rsidRDefault="00B15F7D" w:rsidP="00B15F7D">
            <w:pPr>
              <w:rPr>
                <w:sz w:val="22"/>
                <w:szCs w:val="22"/>
                <w:u w:val="single"/>
              </w:rPr>
            </w:pPr>
            <w:r w:rsidRPr="00990FB6">
              <w:rPr>
                <w:sz w:val="22"/>
                <w:szCs w:val="22"/>
                <w:u w:val="single"/>
              </w:rPr>
              <w:t>576.300,00</w:t>
            </w:r>
          </w:p>
        </w:tc>
        <w:tc>
          <w:tcPr>
            <w:tcW w:w="589" w:type="pct"/>
            <w:hideMark/>
          </w:tcPr>
          <w:p w14:paraId="010094B8"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0E5605FA"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w:t>
            </w:r>
            <w:r w:rsidRPr="00990FB6">
              <w:rPr>
                <w:sz w:val="22"/>
                <w:szCs w:val="22"/>
                <w:u w:val="single"/>
              </w:rPr>
              <w:lastRenderedPageBreak/>
              <w:t xml:space="preserve">adquisición de silla de visita para la Fiscalía de San Carlos, Corredores y La Fortuna. Se traduce en desmejora de las condiciones de trabajo del personal, así como, de atención a la persona usuaria. </w:t>
            </w:r>
          </w:p>
        </w:tc>
      </w:tr>
      <w:tr w:rsidR="00B15F7D" w:rsidRPr="00990FB6" w14:paraId="5D4D893B" w14:textId="77777777" w:rsidTr="000A0C22">
        <w:trPr>
          <w:trHeight w:val="870"/>
          <w:jc w:val="center"/>
        </w:trPr>
        <w:tc>
          <w:tcPr>
            <w:tcW w:w="583" w:type="pct"/>
            <w:hideMark/>
          </w:tcPr>
          <w:p w14:paraId="6E3B3F19" w14:textId="77777777" w:rsidR="00B15F7D" w:rsidRPr="00990FB6" w:rsidRDefault="00B15F7D" w:rsidP="00B15F7D">
            <w:pPr>
              <w:rPr>
                <w:sz w:val="22"/>
                <w:szCs w:val="22"/>
                <w:u w:val="single"/>
              </w:rPr>
            </w:pPr>
            <w:r w:rsidRPr="00990FB6">
              <w:rPr>
                <w:sz w:val="22"/>
                <w:szCs w:val="22"/>
                <w:u w:val="single"/>
              </w:rPr>
              <w:lastRenderedPageBreak/>
              <w:t>50104</w:t>
            </w:r>
          </w:p>
        </w:tc>
        <w:tc>
          <w:tcPr>
            <w:tcW w:w="578" w:type="pct"/>
            <w:hideMark/>
          </w:tcPr>
          <w:p w14:paraId="71F08F96" w14:textId="77777777" w:rsidR="00B15F7D" w:rsidRPr="00990FB6" w:rsidRDefault="00B15F7D" w:rsidP="00B15F7D">
            <w:pPr>
              <w:rPr>
                <w:sz w:val="22"/>
                <w:szCs w:val="22"/>
                <w:u w:val="single"/>
              </w:rPr>
            </w:pPr>
            <w:r w:rsidRPr="00990FB6">
              <w:rPr>
                <w:sz w:val="22"/>
                <w:szCs w:val="22"/>
                <w:u w:val="single"/>
              </w:rPr>
              <w:t>Equipo y mobiliario de oficina</w:t>
            </w:r>
          </w:p>
        </w:tc>
        <w:tc>
          <w:tcPr>
            <w:tcW w:w="363" w:type="pct"/>
            <w:hideMark/>
          </w:tcPr>
          <w:p w14:paraId="34C16C7F" w14:textId="77777777" w:rsidR="00B15F7D" w:rsidRPr="00990FB6" w:rsidRDefault="00B15F7D" w:rsidP="00B15F7D">
            <w:pPr>
              <w:rPr>
                <w:sz w:val="22"/>
                <w:szCs w:val="22"/>
                <w:u w:val="single"/>
              </w:rPr>
            </w:pPr>
            <w:r w:rsidRPr="00990FB6">
              <w:rPr>
                <w:sz w:val="22"/>
                <w:szCs w:val="22"/>
                <w:u w:val="single"/>
              </w:rPr>
              <w:t xml:space="preserve">       Art.: 24001</w:t>
            </w:r>
          </w:p>
        </w:tc>
        <w:tc>
          <w:tcPr>
            <w:tcW w:w="1045" w:type="pct"/>
            <w:hideMark/>
          </w:tcPr>
          <w:p w14:paraId="7B6C197A" w14:textId="77777777" w:rsidR="00B15F7D" w:rsidRPr="00990FB6" w:rsidRDefault="00B15F7D" w:rsidP="00B15F7D">
            <w:pPr>
              <w:rPr>
                <w:sz w:val="22"/>
                <w:szCs w:val="22"/>
                <w:u w:val="single"/>
              </w:rPr>
            </w:pPr>
            <w:r w:rsidRPr="00990FB6">
              <w:rPr>
                <w:sz w:val="22"/>
                <w:szCs w:val="22"/>
                <w:u w:val="single"/>
              </w:rPr>
              <w:t>MODULOS ESTANTERIA EN MELAMINA DE 6 COMPARTIMENTOS</w:t>
            </w:r>
          </w:p>
        </w:tc>
        <w:tc>
          <w:tcPr>
            <w:tcW w:w="550" w:type="pct"/>
            <w:hideMark/>
          </w:tcPr>
          <w:p w14:paraId="7D1A5940"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76DED6DF" w14:textId="77777777" w:rsidR="00B15F7D" w:rsidRPr="00990FB6" w:rsidRDefault="00B15F7D" w:rsidP="00B15F7D">
            <w:pPr>
              <w:rPr>
                <w:sz w:val="22"/>
                <w:szCs w:val="22"/>
                <w:u w:val="single"/>
              </w:rPr>
            </w:pPr>
            <w:r w:rsidRPr="00990FB6">
              <w:rPr>
                <w:sz w:val="22"/>
                <w:szCs w:val="22"/>
                <w:u w:val="single"/>
              </w:rPr>
              <w:t>129.950,00</w:t>
            </w:r>
          </w:p>
        </w:tc>
        <w:tc>
          <w:tcPr>
            <w:tcW w:w="589" w:type="pct"/>
            <w:hideMark/>
          </w:tcPr>
          <w:p w14:paraId="5DE61522" w14:textId="77777777" w:rsidR="00B15F7D" w:rsidRPr="00990FB6" w:rsidRDefault="00B15F7D" w:rsidP="00B15F7D">
            <w:pPr>
              <w:rPr>
                <w:sz w:val="22"/>
                <w:szCs w:val="22"/>
                <w:u w:val="single"/>
              </w:rPr>
            </w:pPr>
            <w:r w:rsidRPr="00990FB6">
              <w:rPr>
                <w:sz w:val="22"/>
                <w:szCs w:val="22"/>
                <w:u w:val="single"/>
              </w:rPr>
              <w:t> </w:t>
            </w:r>
          </w:p>
        </w:tc>
        <w:tc>
          <w:tcPr>
            <w:tcW w:w="780" w:type="pct"/>
            <w:hideMark/>
          </w:tcPr>
          <w:p w14:paraId="5EC59763" w14:textId="77777777" w:rsidR="00B15F7D" w:rsidRPr="00990FB6" w:rsidRDefault="00B15F7D" w:rsidP="00FC2DB5">
            <w:pPr>
              <w:jc w:val="both"/>
              <w:rPr>
                <w:sz w:val="22"/>
                <w:szCs w:val="22"/>
                <w:u w:val="single"/>
              </w:rPr>
            </w:pPr>
            <w:r w:rsidRPr="00990FB6">
              <w:rPr>
                <w:sz w:val="22"/>
                <w:szCs w:val="22"/>
                <w:u w:val="single"/>
              </w:rPr>
              <w:t xml:space="preserve">Sacrificio de la totalidad de recursos presupuestados para la adquisición de estantería para la Fiscalía de Alajuela. Se traduce en desmejora de las condiciones de trabajo del personal, así como, de atención a la persona usuaria. </w:t>
            </w:r>
          </w:p>
        </w:tc>
      </w:tr>
      <w:tr w:rsidR="00B15F7D" w:rsidRPr="00990FB6" w14:paraId="1859E18F" w14:textId="77777777" w:rsidTr="000A0C22">
        <w:trPr>
          <w:trHeight w:val="1160"/>
          <w:jc w:val="center"/>
        </w:trPr>
        <w:tc>
          <w:tcPr>
            <w:tcW w:w="583" w:type="pct"/>
            <w:hideMark/>
          </w:tcPr>
          <w:p w14:paraId="0296753A" w14:textId="77777777" w:rsidR="00B15F7D" w:rsidRPr="00990FB6" w:rsidRDefault="00B15F7D" w:rsidP="00B15F7D">
            <w:pPr>
              <w:rPr>
                <w:sz w:val="22"/>
                <w:szCs w:val="22"/>
                <w:u w:val="single"/>
              </w:rPr>
            </w:pPr>
            <w:r w:rsidRPr="00990FB6">
              <w:rPr>
                <w:sz w:val="22"/>
                <w:szCs w:val="22"/>
                <w:u w:val="single"/>
              </w:rPr>
              <w:t>50105</w:t>
            </w:r>
          </w:p>
        </w:tc>
        <w:tc>
          <w:tcPr>
            <w:tcW w:w="578" w:type="pct"/>
            <w:hideMark/>
          </w:tcPr>
          <w:p w14:paraId="611BEEE9" w14:textId="77777777" w:rsidR="00B15F7D" w:rsidRPr="00990FB6" w:rsidRDefault="00B15F7D" w:rsidP="00B15F7D">
            <w:pPr>
              <w:rPr>
                <w:sz w:val="22"/>
                <w:szCs w:val="22"/>
                <w:u w:val="single"/>
              </w:rPr>
            </w:pPr>
            <w:r w:rsidRPr="00990FB6">
              <w:rPr>
                <w:sz w:val="22"/>
                <w:szCs w:val="22"/>
                <w:u w:val="single"/>
              </w:rPr>
              <w:t>Equipo de cómputo</w:t>
            </w:r>
          </w:p>
        </w:tc>
        <w:tc>
          <w:tcPr>
            <w:tcW w:w="363" w:type="pct"/>
            <w:hideMark/>
          </w:tcPr>
          <w:p w14:paraId="07A94D5F" w14:textId="77777777" w:rsidR="00B15F7D" w:rsidRPr="00990FB6" w:rsidRDefault="00B15F7D" w:rsidP="00B15F7D">
            <w:pPr>
              <w:rPr>
                <w:sz w:val="22"/>
                <w:szCs w:val="22"/>
                <w:u w:val="single"/>
              </w:rPr>
            </w:pPr>
            <w:r w:rsidRPr="00990FB6">
              <w:rPr>
                <w:sz w:val="22"/>
                <w:szCs w:val="22"/>
                <w:u w:val="single"/>
              </w:rPr>
              <w:t xml:space="preserve">       Art.: 17061</w:t>
            </w:r>
          </w:p>
        </w:tc>
        <w:tc>
          <w:tcPr>
            <w:tcW w:w="1045" w:type="pct"/>
            <w:hideMark/>
          </w:tcPr>
          <w:p w14:paraId="0509EF23" w14:textId="77777777" w:rsidR="00B15F7D" w:rsidRPr="00990FB6" w:rsidRDefault="00B15F7D" w:rsidP="00B15F7D">
            <w:pPr>
              <w:rPr>
                <w:sz w:val="22"/>
                <w:szCs w:val="22"/>
                <w:u w:val="single"/>
              </w:rPr>
            </w:pPr>
            <w:r w:rsidRPr="00990FB6">
              <w:rPr>
                <w:sz w:val="22"/>
                <w:szCs w:val="22"/>
                <w:u w:val="single"/>
              </w:rPr>
              <w:t>UPS PARA MICROCOMPUTADORA</w:t>
            </w:r>
          </w:p>
        </w:tc>
        <w:tc>
          <w:tcPr>
            <w:tcW w:w="550" w:type="pct"/>
            <w:hideMark/>
          </w:tcPr>
          <w:p w14:paraId="6927B8FA"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33F02F8E"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05D212C" w14:textId="77777777" w:rsidR="00B15F7D" w:rsidRPr="00990FB6" w:rsidRDefault="00B15F7D" w:rsidP="00B15F7D">
            <w:pPr>
              <w:rPr>
                <w:sz w:val="22"/>
                <w:szCs w:val="22"/>
                <w:u w:val="single"/>
              </w:rPr>
            </w:pPr>
            <w:r w:rsidRPr="00990FB6">
              <w:rPr>
                <w:sz w:val="22"/>
                <w:szCs w:val="22"/>
                <w:u w:val="single"/>
              </w:rPr>
              <w:t>2.661.653,00</w:t>
            </w:r>
          </w:p>
        </w:tc>
        <w:tc>
          <w:tcPr>
            <w:tcW w:w="780" w:type="pct"/>
            <w:hideMark/>
          </w:tcPr>
          <w:p w14:paraId="2FCE4C82"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presupuestados para la compra de UPS de las Fiscalías Hatillo, San Ramón, San </w:t>
            </w:r>
            <w:r w:rsidRPr="00990FB6">
              <w:rPr>
                <w:sz w:val="22"/>
                <w:szCs w:val="22"/>
                <w:u w:val="single"/>
              </w:rPr>
              <w:lastRenderedPageBreak/>
              <w:t xml:space="preserve">Joaquín, Golfito, Corredores, Siquirres, Atenas, La Unión, Sarapiquí, Buenos Aires, Coto Brus, Los Chiles, Puerto Jiménez, La Fortuna, Fiscalía General. No sustitución de activos dañados. </w:t>
            </w:r>
          </w:p>
        </w:tc>
      </w:tr>
      <w:tr w:rsidR="00B15F7D" w:rsidRPr="00990FB6" w14:paraId="6BEBCB90" w14:textId="77777777" w:rsidTr="000A0C22">
        <w:trPr>
          <w:trHeight w:val="870"/>
          <w:jc w:val="center"/>
        </w:trPr>
        <w:tc>
          <w:tcPr>
            <w:tcW w:w="583" w:type="pct"/>
            <w:hideMark/>
          </w:tcPr>
          <w:p w14:paraId="4B2EE59E" w14:textId="77777777" w:rsidR="00B15F7D" w:rsidRPr="00990FB6" w:rsidRDefault="00B15F7D" w:rsidP="00B15F7D">
            <w:pPr>
              <w:rPr>
                <w:sz w:val="22"/>
                <w:szCs w:val="22"/>
                <w:u w:val="single"/>
              </w:rPr>
            </w:pPr>
            <w:r w:rsidRPr="00990FB6">
              <w:rPr>
                <w:sz w:val="22"/>
                <w:szCs w:val="22"/>
                <w:u w:val="single"/>
              </w:rPr>
              <w:lastRenderedPageBreak/>
              <w:t>50105</w:t>
            </w:r>
          </w:p>
        </w:tc>
        <w:tc>
          <w:tcPr>
            <w:tcW w:w="578" w:type="pct"/>
            <w:hideMark/>
          </w:tcPr>
          <w:p w14:paraId="612BC0DA" w14:textId="77777777" w:rsidR="00B15F7D" w:rsidRPr="00990FB6" w:rsidRDefault="00B15F7D" w:rsidP="00B15F7D">
            <w:pPr>
              <w:rPr>
                <w:sz w:val="22"/>
                <w:szCs w:val="22"/>
                <w:u w:val="single"/>
              </w:rPr>
            </w:pPr>
            <w:r w:rsidRPr="00990FB6">
              <w:rPr>
                <w:sz w:val="22"/>
                <w:szCs w:val="22"/>
                <w:u w:val="single"/>
              </w:rPr>
              <w:t>Equipo de cómputo</w:t>
            </w:r>
          </w:p>
        </w:tc>
        <w:tc>
          <w:tcPr>
            <w:tcW w:w="363" w:type="pct"/>
            <w:hideMark/>
          </w:tcPr>
          <w:p w14:paraId="66925EF5" w14:textId="77777777" w:rsidR="00B15F7D" w:rsidRPr="00990FB6" w:rsidRDefault="00B15F7D" w:rsidP="00B15F7D">
            <w:pPr>
              <w:rPr>
                <w:sz w:val="22"/>
                <w:szCs w:val="22"/>
                <w:u w:val="single"/>
              </w:rPr>
            </w:pPr>
            <w:r w:rsidRPr="00990FB6">
              <w:rPr>
                <w:sz w:val="22"/>
                <w:szCs w:val="22"/>
                <w:u w:val="single"/>
              </w:rPr>
              <w:t xml:space="preserve">       Art.: 19990</w:t>
            </w:r>
          </w:p>
        </w:tc>
        <w:tc>
          <w:tcPr>
            <w:tcW w:w="1045" w:type="pct"/>
            <w:hideMark/>
          </w:tcPr>
          <w:p w14:paraId="1851CF33" w14:textId="77777777" w:rsidR="00B15F7D" w:rsidRPr="00990FB6" w:rsidRDefault="00B15F7D" w:rsidP="00B15F7D">
            <w:pPr>
              <w:rPr>
                <w:sz w:val="22"/>
                <w:szCs w:val="22"/>
                <w:u w:val="single"/>
              </w:rPr>
            </w:pPr>
            <w:r w:rsidRPr="00990FB6">
              <w:rPr>
                <w:sz w:val="22"/>
                <w:szCs w:val="22"/>
                <w:u w:val="single"/>
              </w:rPr>
              <w:t>UPS PARA CENTRAL TELEFONICA</w:t>
            </w:r>
          </w:p>
        </w:tc>
        <w:tc>
          <w:tcPr>
            <w:tcW w:w="550" w:type="pct"/>
            <w:hideMark/>
          </w:tcPr>
          <w:p w14:paraId="1586841D"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648702EE"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A885FB8" w14:textId="77777777" w:rsidR="00B15F7D" w:rsidRPr="00990FB6" w:rsidRDefault="00B15F7D" w:rsidP="00B15F7D">
            <w:pPr>
              <w:rPr>
                <w:sz w:val="22"/>
                <w:szCs w:val="22"/>
                <w:u w:val="single"/>
              </w:rPr>
            </w:pPr>
            <w:r w:rsidRPr="00990FB6">
              <w:rPr>
                <w:sz w:val="22"/>
                <w:szCs w:val="22"/>
                <w:u w:val="single"/>
              </w:rPr>
              <w:t>3.054.313,00</w:t>
            </w:r>
          </w:p>
        </w:tc>
        <w:tc>
          <w:tcPr>
            <w:tcW w:w="780" w:type="pct"/>
            <w:hideMark/>
          </w:tcPr>
          <w:p w14:paraId="4CCCE7F7"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presupuestados para la compra de UPS de las Fiscalías de Desamparados, Pavas, ODCV y Unidad de Capacitación. No sustitución de activos dañados. </w:t>
            </w:r>
          </w:p>
        </w:tc>
      </w:tr>
      <w:tr w:rsidR="00B15F7D" w:rsidRPr="00990FB6" w14:paraId="1D9340E8" w14:textId="77777777" w:rsidTr="000A0C22">
        <w:trPr>
          <w:trHeight w:val="580"/>
          <w:jc w:val="center"/>
        </w:trPr>
        <w:tc>
          <w:tcPr>
            <w:tcW w:w="583" w:type="pct"/>
            <w:hideMark/>
          </w:tcPr>
          <w:p w14:paraId="4FED558A" w14:textId="77777777" w:rsidR="00B15F7D" w:rsidRPr="00990FB6" w:rsidRDefault="00B15F7D" w:rsidP="00B15F7D">
            <w:pPr>
              <w:rPr>
                <w:sz w:val="22"/>
                <w:szCs w:val="22"/>
                <w:u w:val="single"/>
              </w:rPr>
            </w:pPr>
            <w:r w:rsidRPr="00990FB6">
              <w:rPr>
                <w:sz w:val="22"/>
                <w:szCs w:val="22"/>
                <w:u w:val="single"/>
              </w:rPr>
              <w:t>50105</w:t>
            </w:r>
          </w:p>
        </w:tc>
        <w:tc>
          <w:tcPr>
            <w:tcW w:w="578" w:type="pct"/>
            <w:hideMark/>
          </w:tcPr>
          <w:p w14:paraId="5EF75D48" w14:textId="77777777" w:rsidR="00B15F7D" w:rsidRPr="00990FB6" w:rsidRDefault="00B15F7D" w:rsidP="00B15F7D">
            <w:pPr>
              <w:rPr>
                <w:sz w:val="22"/>
                <w:szCs w:val="22"/>
                <w:u w:val="single"/>
              </w:rPr>
            </w:pPr>
            <w:r w:rsidRPr="00990FB6">
              <w:rPr>
                <w:sz w:val="22"/>
                <w:szCs w:val="22"/>
                <w:u w:val="single"/>
              </w:rPr>
              <w:t>Equipo de cómputo</w:t>
            </w:r>
          </w:p>
        </w:tc>
        <w:tc>
          <w:tcPr>
            <w:tcW w:w="363" w:type="pct"/>
            <w:hideMark/>
          </w:tcPr>
          <w:p w14:paraId="52C27E4E" w14:textId="77777777" w:rsidR="00B15F7D" w:rsidRPr="00990FB6" w:rsidRDefault="00B15F7D" w:rsidP="00B15F7D">
            <w:pPr>
              <w:rPr>
                <w:sz w:val="22"/>
                <w:szCs w:val="22"/>
                <w:u w:val="single"/>
              </w:rPr>
            </w:pPr>
            <w:r w:rsidRPr="00990FB6">
              <w:rPr>
                <w:sz w:val="22"/>
                <w:szCs w:val="22"/>
                <w:u w:val="single"/>
              </w:rPr>
              <w:t xml:space="preserve">       Art.: 21088</w:t>
            </w:r>
          </w:p>
        </w:tc>
        <w:tc>
          <w:tcPr>
            <w:tcW w:w="1045" w:type="pct"/>
            <w:hideMark/>
          </w:tcPr>
          <w:p w14:paraId="0A744670" w14:textId="77777777" w:rsidR="00B15F7D" w:rsidRPr="00990FB6" w:rsidRDefault="00B15F7D" w:rsidP="00B15F7D">
            <w:pPr>
              <w:rPr>
                <w:sz w:val="22"/>
                <w:szCs w:val="22"/>
                <w:u w:val="single"/>
              </w:rPr>
            </w:pPr>
            <w:r w:rsidRPr="00990FB6">
              <w:rPr>
                <w:sz w:val="22"/>
                <w:szCs w:val="22"/>
                <w:u w:val="single"/>
              </w:rPr>
              <w:t>IMPRESORA PORTATIL</w:t>
            </w:r>
          </w:p>
        </w:tc>
        <w:tc>
          <w:tcPr>
            <w:tcW w:w="550" w:type="pct"/>
            <w:hideMark/>
          </w:tcPr>
          <w:p w14:paraId="29BEF0D5"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D29F36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D6C3A1E" w14:textId="77777777" w:rsidR="00B15F7D" w:rsidRPr="00990FB6" w:rsidRDefault="00B15F7D" w:rsidP="00B15F7D">
            <w:pPr>
              <w:rPr>
                <w:sz w:val="22"/>
                <w:szCs w:val="22"/>
                <w:u w:val="single"/>
              </w:rPr>
            </w:pPr>
            <w:r w:rsidRPr="00990FB6">
              <w:rPr>
                <w:sz w:val="22"/>
                <w:szCs w:val="22"/>
                <w:u w:val="single"/>
              </w:rPr>
              <w:t>190.602,00</w:t>
            </w:r>
          </w:p>
        </w:tc>
        <w:tc>
          <w:tcPr>
            <w:tcW w:w="780" w:type="pct"/>
            <w:hideMark/>
          </w:tcPr>
          <w:p w14:paraId="6BFE8077"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presupuestados para la compra de impresora portátil de la Fiscalía de Cóbano.  No </w:t>
            </w:r>
            <w:r w:rsidRPr="00990FB6">
              <w:rPr>
                <w:sz w:val="22"/>
                <w:szCs w:val="22"/>
                <w:u w:val="single"/>
              </w:rPr>
              <w:lastRenderedPageBreak/>
              <w:t xml:space="preserve">sustitución de activos dañados. </w:t>
            </w:r>
          </w:p>
        </w:tc>
      </w:tr>
      <w:tr w:rsidR="00B15F7D" w:rsidRPr="00990FB6" w14:paraId="46E9FF69" w14:textId="77777777" w:rsidTr="000A0C22">
        <w:trPr>
          <w:trHeight w:val="870"/>
          <w:jc w:val="center"/>
        </w:trPr>
        <w:tc>
          <w:tcPr>
            <w:tcW w:w="583" w:type="pct"/>
            <w:hideMark/>
          </w:tcPr>
          <w:p w14:paraId="352DB882" w14:textId="77777777" w:rsidR="00B15F7D" w:rsidRPr="00990FB6" w:rsidRDefault="00B15F7D" w:rsidP="00B15F7D">
            <w:pPr>
              <w:rPr>
                <w:sz w:val="22"/>
                <w:szCs w:val="22"/>
                <w:u w:val="single"/>
              </w:rPr>
            </w:pPr>
            <w:r w:rsidRPr="00990FB6">
              <w:rPr>
                <w:sz w:val="22"/>
                <w:szCs w:val="22"/>
                <w:u w:val="single"/>
              </w:rPr>
              <w:lastRenderedPageBreak/>
              <w:t>50105</w:t>
            </w:r>
          </w:p>
        </w:tc>
        <w:tc>
          <w:tcPr>
            <w:tcW w:w="578" w:type="pct"/>
            <w:hideMark/>
          </w:tcPr>
          <w:p w14:paraId="360C1DDB" w14:textId="77777777" w:rsidR="00B15F7D" w:rsidRPr="00990FB6" w:rsidRDefault="00B15F7D" w:rsidP="00B15F7D">
            <w:pPr>
              <w:rPr>
                <w:sz w:val="22"/>
                <w:szCs w:val="22"/>
                <w:u w:val="single"/>
              </w:rPr>
            </w:pPr>
            <w:r w:rsidRPr="00990FB6">
              <w:rPr>
                <w:sz w:val="22"/>
                <w:szCs w:val="22"/>
                <w:u w:val="single"/>
              </w:rPr>
              <w:t>Equipo de cómputo</w:t>
            </w:r>
          </w:p>
        </w:tc>
        <w:tc>
          <w:tcPr>
            <w:tcW w:w="363" w:type="pct"/>
            <w:hideMark/>
          </w:tcPr>
          <w:p w14:paraId="09E2311B" w14:textId="77777777" w:rsidR="00B15F7D" w:rsidRPr="00990FB6" w:rsidRDefault="00B15F7D" w:rsidP="00B15F7D">
            <w:pPr>
              <w:rPr>
                <w:sz w:val="22"/>
                <w:szCs w:val="22"/>
                <w:u w:val="single"/>
              </w:rPr>
            </w:pPr>
            <w:r w:rsidRPr="00990FB6">
              <w:rPr>
                <w:sz w:val="22"/>
                <w:szCs w:val="22"/>
                <w:u w:val="single"/>
              </w:rPr>
              <w:t xml:space="preserve">       Art.: 22619</w:t>
            </w:r>
          </w:p>
        </w:tc>
        <w:tc>
          <w:tcPr>
            <w:tcW w:w="1045" w:type="pct"/>
            <w:hideMark/>
          </w:tcPr>
          <w:p w14:paraId="4582846B" w14:textId="77777777" w:rsidR="00B15F7D" w:rsidRPr="00990FB6" w:rsidRDefault="00B15F7D" w:rsidP="00B15F7D">
            <w:pPr>
              <w:rPr>
                <w:sz w:val="22"/>
                <w:szCs w:val="22"/>
                <w:u w:val="single"/>
              </w:rPr>
            </w:pPr>
            <w:r w:rsidRPr="00990FB6">
              <w:rPr>
                <w:sz w:val="22"/>
                <w:szCs w:val="22"/>
                <w:u w:val="single"/>
              </w:rPr>
              <w:t xml:space="preserve">COMPUTADOR TIPO TABLETA </w:t>
            </w:r>
          </w:p>
        </w:tc>
        <w:tc>
          <w:tcPr>
            <w:tcW w:w="550" w:type="pct"/>
            <w:hideMark/>
          </w:tcPr>
          <w:p w14:paraId="3B1ECBC5"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277C28AC"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1311BBC" w14:textId="77777777" w:rsidR="00B15F7D" w:rsidRPr="00990FB6" w:rsidRDefault="00B15F7D" w:rsidP="00B15F7D">
            <w:pPr>
              <w:rPr>
                <w:sz w:val="22"/>
                <w:szCs w:val="22"/>
                <w:u w:val="single"/>
              </w:rPr>
            </w:pPr>
            <w:r w:rsidRPr="00990FB6">
              <w:rPr>
                <w:sz w:val="22"/>
                <w:szCs w:val="22"/>
                <w:u w:val="single"/>
              </w:rPr>
              <w:t>14.667.400,00</w:t>
            </w:r>
          </w:p>
        </w:tc>
        <w:tc>
          <w:tcPr>
            <w:tcW w:w="780" w:type="pct"/>
            <w:hideMark/>
          </w:tcPr>
          <w:p w14:paraId="3401DF8D"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presupuestados para la compra de computadoras tipo tableta de las Fiscalía de Puntarenas, Golfito, Corredores, Ejecución de la Pena, Penal Juvenil, Unidad de Capacitación, Fiscalía General. No sustitución de activos dañados. </w:t>
            </w:r>
          </w:p>
        </w:tc>
      </w:tr>
      <w:tr w:rsidR="00B15F7D" w:rsidRPr="00990FB6" w14:paraId="495D430C" w14:textId="77777777" w:rsidTr="000A0C22">
        <w:trPr>
          <w:trHeight w:val="580"/>
          <w:jc w:val="center"/>
        </w:trPr>
        <w:tc>
          <w:tcPr>
            <w:tcW w:w="583" w:type="pct"/>
            <w:hideMark/>
          </w:tcPr>
          <w:p w14:paraId="19F83B29" w14:textId="77777777" w:rsidR="00B15F7D" w:rsidRPr="00990FB6" w:rsidRDefault="00B15F7D" w:rsidP="00B15F7D">
            <w:pPr>
              <w:rPr>
                <w:sz w:val="22"/>
                <w:szCs w:val="22"/>
                <w:u w:val="single"/>
              </w:rPr>
            </w:pPr>
            <w:r w:rsidRPr="00990FB6">
              <w:rPr>
                <w:sz w:val="22"/>
                <w:szCs w:val="22"/>
                <w:u w:val="single"/>
              </w:rPr>
              <w:t>50105</w:t>
            </w:r>
          </w:p>
        </w:tc>
        <w:tc>
          <w:tcPr>
            <w:tcW w:w="578" w:type="pct"/>
            <w:hideMark/>
          </w:tcPr>
          <w:p w14:paraId="63024977" w14:textId="77777777" w:rsidR="00B15F7D" w:rsidRPr="00990FB6" w:rsidRDefault="00B15F7D" w:rsidP="00B15F7D">
            <w:pPr>
              <w:rPr>
                <w:sz w:val="22"/>
                <w:szCs w:val="22"/>
                <w:u w:val="single"/>
              </w:rPr>
            </w:pPr>
            <w:r w:rsidRPr="00990FB6">
              <w:rPr>
                <w:sz w:val="22"/>
                <w:szCs w:val="22"/>
                <w:u w:val="single"/>
              </w:rPr>
              <w:t>Equipo de cómputo</w:t>
            </w:r>
          </w:p>
        </w:tc>
        <w:tc>
          <w:tcPr>
            <w:tcW w:w="363" w:type="pct"/>
            <w:hideMark/>
          </w:tcPr>
          <w:p w14:paraId="69C9558F" w14:textId="77777777" w:rsidR="00B15F7D" w:rsidRPr="00990FB6" w:rsidRDefault="00B15F7D" w:rsidP="00B15F7D">
            <w:pPr>
              <w:rPr>
                <w:sz w:val="22"/>
                <w:szCs w:val="22"/>
                <w:u w:val="single"/>
              </w:rPr>
            </w:pPr>
            <w:r w:rsidRPr="00990FB6">
              <w:rPr>
                <w:sz w:val="22"/>
                <w:szCs w:val="22"/>
                <w:u w:val="single"/>
              </w:rPr>
              <w:t xml:space="preserve">       Art: 24246</w:t>
            </w:r>
          </w:p>
        </w:tc>
        <w:tc>
          <w:tcPr>
            <w:tcW w:w="1045" w:type="pct"/>
            <w:hideMark/>
          </w:tcPr>
          <w:p w14:paraId="6BE44E66" w14:textId="77777777" w:rsidR="00B15F7D" w:rsidRPr="00990FB6" w:rsidRDefault="00B15F7D" w:rsidP="00B15F7D">
            <w:pPr>
              <w:rPr>
                <w:sz w:val="22"/>
                <w:szCs w:val="22"/>
                <w:u w:val="single"/>
              </w:rPr>
            </w:pPr>
            <w:r w:rsidRPr="00990FB6">
              <w:rPr>
                <w:sz w:val="22"/>
                <w:szCs w:val="22"/>
                <w:u w:val="single"/>
              </w:rPr>
              <w:t>ESTACION DE ACOPLAMIENTO (DOCKING STATION)</w:t>
            </w:r>
          </w:p>
        </w:tc>
        <w:tc>
          <w:tcPr>
            <w:tcW w:w="550" w:type="pct"/>
            <w:hideMark/>
          </w:tcPr>
          <w:p w14:paraId="30A09E22"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CDF5A9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3FA31D56" w14:textId="77777777" w:rsidR="00B15F7D" w:rsidRPr="00990FB6" w:rsidRDefault="00B15F7D" w:rsidP="00B15F7D">
            <w:pPr>
              <w:rPr>
                <w:sz w:val="22"/>
                <w:szCs w:val="22"/>
                <w:u w:val="single"/>
              </w:rPr>
            </w:pPr>
            <w:r w:rsidRPr="00990FB6">
              <w:rPr>
                <w:sz w:val="22"/>
                <w:szCs w:val="22"/>
                <w:u w:val="single"/>
              </w:rPr>
              <w:t>996.660,00</w:t>
            </w:r>
          </w:p>
        </w:tc>
        <w:tc>
          <w:tcPr>
            <w:tcW w:w="780" w:type="pct"/>
            <w:hideMark/>
          </w:tcPr>
          <w:p w14:paraId="6FA934D8"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presupuestados para la compra de </w:t>
            </w:r>
            <w:proofErr w:type="spellStart"/>
            <w:r w:rsidRPr="00990FB6">
              <w:rPr>
                <w:sz w:val="22"/>
                <w:szCs w:val="22"/>
                <w:u w:val="single"/>
              </w:rPr>
              <w:t>docking</w:t>
            </w:r>
            <w:proofErr w:type="spellEnd"/>
            <w:r w:rsidRPr="00990FB6">
              <w:rPr>
                <w:sz w:val="22"/>
                <w:szCs w:val="22"/>
                <w:u w:val="single"/>
              </w:rPr>
              <w:t xml:space="preserve"> a de las Fiscalía de Alajuela y Atenas. No sustitución de activos dañados. </w:t>
            </w:r>
          </w:p>
        </w:tc>
      </w:tr>
      <w:tr w:rsidR="00B15F7D" w:rsidRPr="00990FB6" w14:paraId="41395151" w14:textId="77777777" w:rsidTr="000A0C22">
        <w:trPr>
          <w:trHeight w:val="580"/>
          <w:jc w:val="center"/>
        </w:trPr>
        <w:tc>
          <w:tcPr>
            <w:tcW w:w="583" w:type="pct"/>
            <w:hideMark/>
          </w:tcPr>
          <w:p w14:paraId="19E1F183" w14:textId="77777777" w:rsidR="00B15F7D" w:rsidRPr="00990FB6" w:rsidRDefault="00B15F7D" w:rsidP="00B15F7D">
            <w:pPr>
              <w:rPr>
                <w:sz w:val="22"/>
                <w:szCs w:val="22"/>
                <w:u w:val="single"/>
              </w:rPr>
            </w:pPr>
            <w:r w:rsidRPr="00990FB6">
              <w:rPr>
                <w:sz w:val="22"/>
                <w:szCs w:val="22"/>
                <w:u w:val="single"/>
              </w:rPr>
              <w:t>50105</w:t>
            </w:r>
          </w:p>
        </w:tc>
        <w:tc>
          <w:tcPr>
            <w:tcW w:w="578" w:type="pct"/>
            <w:hideMark/>
          </w:tcPr>
          <w:p w14:paraId="0BFAF361" w14:textId="77777777" w:rsidR="00B15F7D" w:rsidRPr="00990FB6" w:rsidRDefault="00B15F7D" w:rsidP="00B15F7D">
            <w:pPr>
              <w:rPr>
                <w:sz w:val="22"/>
                <w:szCs w:val="22"/>
                <w:u w:val="single"/>
              </w:rPr>
            </w:pPr>
            <w:r w:rsidRPr="00990FB6">
              <w:rPr>
                <w:sz w:val="22"/>
                <w:szCs w:val="22"/>
                <w:u w:val="single"/>
              </w:rPr>
              <w:t>Equipo de cómputo</w:t>
            </w:r>
          </w:p>
        </w:tc>
        <w:tc>
          <w:tcPr>
            <w:tcW w:w="363" w:type="pct"/>
            <w:hideMark/>
          </w:tcPr>
          <w:p w14:paraId="355779F9" w14:textId="77777777" w:rsidR="00B15F7D" w:rsidRPr="00990FB6" w:rsidRDefault="00B15F7D" w:rsidP="00B15F7D">
            <w:pPr>
              <w:rPr>
                <w:sz w:val="22"/>
                <w:szCs w:val="22"/>
                <w:u w:val="single"/>
              </w:rPr>
            </w:pPr>
            <w:r w:rsidRPr="00990FB6">
              <w:rPr>
                <w:sz w:val="22"/>
                <w:szCs w:val="22"/>
                <w:u w:val="single"/>
              </w:rPr>
              <w:t xml:space="preserve">       Art: 25493</w:t>
            </w:r>
          </w:p>
        </w:tc>
        <w:tc>
          <w:tcPr>
            <w:tcW w:w="1045" w:type="pct"/>
            <w:hideMark/>
          </w:tcPr>
          <w:p w14:paraId="77EF25F6" w14:textId="77777777" w:rsidR="00B15F7D" w:rsidRPr="00990FB6" w:rsidRDefault="00B15F7D" w:rsidP="00B15F7D">
            <w:pPr>
              <w:rPr>
                <w:sz w:val="22"/>
                <w:szCs w:val="22"/>
                <w:u w:val="single"/>
              </w:rPr>
            </w:pPr>
            <w:r w:rsidRPr="00990FB6">
              <w:rPr>
                <w:sz w:val="22"/>
                <w:szCs w:val="22"/>
                <w:u w:val="single"/>
              </w:rPr>
              <w:t>TABLETA PARA NOTIFICACIONES</w:t>
            </w:r>
          </w:p>
        </w:tc>
        <w:tc>
          <w:tcPr>
            <w:tcW w:w="550" w:type="pct"/>
            <w:hideMark/>
          </w:tcPr>
          <w:p w14:paraId="2C904CC6"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36DE0BE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7F7AF9FF" w14:textId="77777777" w:rsidR="00B15F7D" w:rsidRPr="00990FB6" w:rsidRDefault="00B15F7D" w:rsidP="00B15F7D">
            <w:pPr>
              <w:rPr>
                <w:sz w:val="22"/>
                <w:szCs w:val="22"/>
                <w:u w:val="single"/>
              </w:rPr>
            </w:pPr>
            <w:r w:rsidRPr="00990FB6">
              <w:rPr>
                <w:sz w:val="22"/>
                <w:szCs w:val="22"/>
                <w:u w:val="single"/>
              </w:rPr>
              <w:t>1.165.460,00</w:t>
            </w:r>
          </w:p>
        </w:tc>
        <w:tc>
          <w:tcPr>
            <w:tcW w:w="780" w:type="pct"/>
            <w:hideMark/>
          </w:tcPr>
          <w:p w14:paraId="2BD5B97A"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presupuestados para la compra de tableta para notificaciones </w:t>
            </w:r>
            <w:r w:rsidRPr="00990FB6">
              <w:rPr>
                <w:sz w:val="22"/>
                <w:szCs w:val="22"/>
                <w:u w:val="single"/>
              </w:rPr>
              <w:lastRenderedPageBreak/>
              <w:t xml:space="preserve">de la Fiscalía de Santa Cruz. No sustitución de activos dañados. </w:t>
            </w:r>
          </w:p>
        </w:tc>
      </w:tr>
      <w:tr w:rsidR="00B15F7D" w:rsidRPr="00990FB6" w14:paraId="52AF5881" w14:textId="77777777" w:rsidTr="000A0C22">
        <w:trPr>
          <w:trHeight w:val="580"/>
          <w:jc w:val="center"/>
        </w:trPr>
        <w:tc>
          <w:tcPr>
            <w:tcW w:w="583" w:type="pct"/>
            <w:hideMark/>
          </w:tcPr>
          <w:p w14:paraId="4EF15BA7" w14:textId="77777777" w:rsidR="00B15F7D" w:rsidRPr="00990FB6" w:rsidRDefault="00B15F7D" w:rsidP="00B15F7D">
            <w:pPr>
              <w:rPr>
                <w:sz w:val="22"/>
                <w:szCs w:val="22"/>
                <w:u w:val="single"/>
              </w:rPr>
            </w:pPr>
            <w:r w:rsidRPr="00990FB6">
              <w:rPr>
                <w:sz w:val="22"/>
                <w:szCs w:val="22"/>
                <w:u w:val="single"/>
              </w:rPr>
              <w:lastRenderedPageBreak/>
              <w:t>50107</w:t>
            </w:r>
          </w:p>
        </w:tc>
        <w:tc>
          <w:tcPr>
            <w:tcW w:w="578" w:type="pct"/>
            <w:hideMark/>
          </w:tcPr>
          <w:p w14:paraId="1C55FD99" w14:textId="77777777" w:rsidR="00B15F7D" w:rsidRPr="00990FB6" w:rsidRDefault="00B15F7D" w:rsidP="00B15F7D">
            <w:pPr>
              <w:rPr>
                <w:sz w:val="22"/>
                <w:szCs w:val="22"/>
                <w:u w:val="single"/>
              </w:rPr>
            </w:pPr>
            <w:r w:rsidRPr="00990FB6">
              <w:rPr>
                <w:sz w:val="22"/>
                <w:szCs w:val="22"/>
                <w:u w:val="single"/>
              </w:rPr>
              <w:t>Equipo y mobiliario educacional, deportivo y recreativo</w:t>
            </w:r>
          </w:p>
        </w:tc>
        <w:tc>
          <w:tcPr>
            <w:tcW w:w="363" w:type="pct"/>
            <w:hideMark/>
          </w:tcPr>
          <w:p w14:paraId="29EE8796" w14:textId="77777777" w:rsidR="00B15F7D" w:rsidRPr="00990FB6" w:rsidRDefault="00B15F7D" w:rsidP="00B15F7D">
            <w:pPr>
              <w:rPr>
                <w:sz w:val="22"/>
                <w:szCs w:val="22"/>
                <w:u w:val="single"/>
              </w:rPr>
            </w:pPr>
            <w:r w:rsidRPr="00990FB6">
              <w:rPr>
                <w:sz w:val="22"/>
                <w:szCs w:val="22"/>
                <w:u w:val="single"/>
              </w:rPr>
              <w:t xml:space="preserve">       Art: 17425</w:t>
            </w:r>
          </w:p>
        </w:tc>
        <w:tc>
          <w:tcPr>
            <w:tcW w:w="1045" w:type="pct"/>
            <w:hideMark/>
          </w:tcPr>
          <w:p w14:paraId="3ED45764" w14:textId="77777777" w:rsidR="00B15F7D" w:rsidRPr="00990FB6" w:rsidRDefault="00B15F7D" w:rsidP="00B15F7D">
            <w:pPr>
              <w:rPr>
                <w:sz w:val="22"/>
                <w:szCs w:val="22"/>
                <w:u w:val="single"/>
              </w:rPr>
            </w:pPr>
            <w:r w:rsidRPr="00990FB6">
              <w:rPr>
                <w:sz w:val="22"/>
                <w:szCs w:val="22"/>
                <w:u w:val="single"/>
              </w:rPr>
              <w:t>PIZARRA ACRILICA</w:t>
            </w:r>
          </w:p>
        </w:tc>
        <w:tc>
          <w:tcPr>
            <w:tcW w:w="550" w:type="pct"/>
            <w:hideMark/>
          </w:tcPr>
          <w:p w14:paraId="73295F42"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5384F34"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2C434AD8" w14:textId="77777777" w:rsidR="00B15F7D" w:rsidRPr="00990FB6" w:rsidRDefault="00B15F7D" w:rsidP="00B15F7D">
            <w:pPr>
              <w:rPr>
                <w:sz w:val="22"/>
                <w:szCs w:val="22"/>
                <w:u w:val="single"/>
              </w:rPr>
            </w:pPr>
            <w:r w:rsidRPr="00990FB6">
              <w:rPr>
                <w:sz w:val="22"/>
                <w:szCs w:val="22"/>
                <w:u w:val="single"/>
              </w:rPr>
              <w:t>291.482,00</w:t>
            </w:r>
          </w:p>
        </w:tc>
        <w:tc>
          <w:tcPr>
            <w:tcW w:w="780" w:type="pct"/>
            <w:hideMark/>
          </w:tcPr>
          <w:p w14:paraId="2C9B08DA"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formulados para la adquisición de pizarra para la Fiscalía de Golfito, Corredores, Limón, Puerto Jiménez, Batán. </w:t>
            </w:r>
          </w:p>
        </w:tc>
      </w:tr>
      <w:tr w:rsidR="00B15F7D" w:rsidRPr="00990FB6" w14:paraId="4C660FCF" w14:textId="77777777" w:rsidTr="000A0C22">
        <w:trPr>
          <w:trHeight w:val="580"/>
          <w:jc w:val="center"/>
        </w:trPr>
        <w:tc>
          <w:tcPr>
            <w:tcW w:w="583" w:type="pct"/>
            <w:hideMark/>
          </w:tcPr>
          <w:p w14:paraId="2BE32761" w14:textId="77777777" w:rsidR="00B15F7D" w:rsidRPr="00990FB6" w:rsidRDefault="00B15F7D" w:rsidP="00B15F7D">
            <w:pPr>
              <w:rPr>
                <w:sz w:val="22"/>
                <w:szCs w:val="22"/>
                <w:u w:val="single"/>
              </w:rPr>
            </w:pPr>
            <w:r w:rsidRPr="00990FB6">
              <w:rPr>
                <w:sz w:val="22"/>
                <w:szCs w:val="22"/>
                <w:u w:val="single"/>
              </w:rPr>
              <w:t>50107</w:t>
            </w:r>
          </w:p>
        </w:tc>
        <w:tc>
          <w:tcPr>
            <w:tcW w:w="578" w:type="pct"/>
            <w:hideMark/>
          </w:tcPr>
          <w:p w14:paraId="446A77E6" w14:textId="77777777" w:rsidR="00B15F7D" w:rsidRPr="00990FB6" w:rsidRDefault="00B15F7D" w:rsidP="00B15F7D">
            <w:pPr>
              <w:rPr>
                <w:sz w:val="22"/>
                <w:szCs w:val="22"/>
                <w:u w:val="single"/>
              </w:rPr>
            </w:pPr>
            <w:r w:rsidRPr="00990FB6">
              <w:rPr>
                <w:sz w:val="22"/>
                <w:szCs w:val="22"/>
                <w:u w:val="single"/>
              </w:rPr>
              <w:t>Equipo y mobiliario educacional, deportivo y recreativo</w:t>
            </w:r>
          </w:p>
        </w:tc>
        <w:tc>
          <w:tcPr>
            <w:tcW w:w="363" w:type="pct"/>
            <w:hideMark/>
          </w:tcPr>
          <w:p w14:paraId="43868D38" w14:textId="77777777" w:rsidR="00B15F7D" w:rsidRPr="00990FB6" w:rsidRDefault="00B15F7D" w:rsidP="00B15F7D">
            <w:pPr>
              <w:rPr>
                <w:sz w:val="22"/>
                <w:szCs w:val="22"/>
                <w:u w:val="single"/>
              </w:rPr>
            </w:pPr>
            <w:r w:rsidRPr="00990FB6">
              <w:rPr>
                <w:sz w:val="22"/>
                <w:szCs w:val="22"/>
                <w:u w:val="single"/>
              </w:rPr>
              <w:t xml:space="preserve">       Art: 23457</w:t>
            </w:r>
          </w:p>
        </w:tc>
        <w:tc>
          <w:tcPr>
            <w:tcW w:w="1045" w:type="pct"/>
            <w:hideMark/>
          </w:tcPr>
          <w:p w14:paraId="1BE46EF1" w14:textId="77777777" w:rsidR="00B15F7D" w:rsidRPr="00990FB6" w:rsidRDefault="00B15F7D" w:rsidP="00B15F7D">
            <w:pPr>
              <w:rPr>
                <w:sz w:val="22"/>
                <w:szCs w:val="22"/>
                <w:u w:val="single"/>
              </w:rPr>
            </w:pPr>
            <w:r w:rsidRPr="00990FB6">
              <w:rPr>
                <w:sz w:val="22"/>
                <w:szCs w:val="22"/>
                <w:u w:val="single"/>
              </w:rPr>
              <w:t>PIZARRA ACRILICA PEQUEÑA</w:t>
            </w:r>
          </w:p>
        </w:tc>
        <w:tc>
          <w:tcPr>
            <w:tcW w:w="550" w:type="pct"/>
            <w:hideMark/>
          </w:tcPr>
          <w:p w14:paraId="2580E5F9"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5D0353C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3B2D136" w14:textId="77777777" w:rsidR="00B15F7D" w:rsidRPr="00990FB6" w:rsidRDefault="00B15F7D" w:rsidP="00B15F7D">
            <w:pPr>
              <w:rPr>
                <w:sz w:val="22"/>
                <w:szCs w:val="22"/>
                <w:u w:val="single"/>
              </w:rPr>
            </w:pPr>
            <w:r w:rsidRPr="00990FB6">
              <w:rPr>
                <w:sz w:val="22"/>
                <w:szCs w:val="22"/>
                <w:u w:val="single"/>
              </w:rPr>
              <w:t>70.060,00</w:t>
            </w:r>
          </w:p>
        </w:tc>
        <w:tc>
          <w:tcPr>
            <w:tcW w:w="780" w:type="pct"/>
            <w:hideMark/>
          </w:tcPr>
          <w:p w14:paraId="5E10FA7A" w14:textId="77777777" w:rsidR="00B15F7D" w:rsidRPr="00990FB6" w:rsidRDefault="00B15F7D" w:rsidP="00FC2DB5">
            <w:pPr>
              <w:jc w:val="both"/>
              <w:rPr>
                <w:sz w:val="22"/>
                <w:szCs w:val="22"/>
                <w:u w:val="single"/>
              </w:rPr>
            </w:pPr>
            <w:r w:rsidRPr="00990FB6">
              <w:rPr>
                <w:sz w:val="22"/>
                <w:szCs w:val="22"/>
                <w:u w:val="single"/>
              </w:rPr>
              <w:t xml:space="preserve">Sacrificio de la totalidad de los recursos formulados para la adquisición de pizarra para la Oficina de Defensa Civil de la Víctima. </w:t>
            </w:r>
          </w:p>
        </w:tc>
      </w:tr>
      <w:tr w:rsidR="00B15F7D" w:rsidRPr="00990FB6" w14:paraId="5F114FD6" w14:textId="77777777" w:rsidTr="000A0C22">
        <w:trPr>
          <w:trHeight w:val="580"/>
          <w:jc w:val="center"/>
        </w:trPr>
        <w:tc>
          <w:tcPr>
            <w:tcW w:w="583" w:type="pct"/>
            <w:hideMark/>
          </w:tcPr>
          <w:p w14:paraId="02794AD9" w14:textId="77777777" w:rsidR="00B15F7D" w:rsidRPr="00990FB6" w:rsidRDefault="00B15F7D" w:rsidP="00B15F7D">
            <w:pPr>
              <w:rPr>
                <w:sz w:val="22"/>
                <w:szCs w:val="22"/>
                <w:u w:val="single"/>
              </w:rPr>
            </w:pPr>
            <w:r w:rsidRPr="00990FB6">
              <w:rPr>
                <w:sz w:val="22"/>
                <w:szCs w:val="22"/>
                <w:u w:val="single"/>
              </w:rPr>
              <w:t>50199</w:t>
            </w:r>
          </w:p>
        </w:tc>
        <w:tc>
          <w:tcPr>
            <w:tcW w:w="578" w:type="pct"/>
            <w:hideMark/>
          </w:tcPr>
          <w:p w14:paraId="023927B9" w14:textId="77777777" w:rsidR="00B15F7D" w:rsidRPr="00990FB6" w:rsidRDefault="00B15F7D" w:rsidP="00B15F7D">
            <w:pPr>
              <w:rPr>
                <w:sz w:val="22"/>
                <w:szCs w:val="22"/>
                <w:u w:val="single"/>
              </w:rPr>
            </w:pPr>
            <w:r w:rsidRPr="00990FB6">
              <w:rPr>
                <w:sz w:val="22"/>
                <w:szCs w:val="22"/>
                <w:u w:val="single"/>
              </w:rPr>
              <w:t>Maquinaria y equipo diverso</w:t>
            </w:r>
          </w:p>
        </w:tc>
        <w:tc>
          <w:tcPr>
            <w:tcW w:w="363" w:type="pct"/>
            <w:hideMark/>
          </w:tcPr>
          <w:p w14:paraId="65B5A339" w14:textId="77777777" w:rsidR="00B15F7D" w:rsidRPr="00990FB6" w:rsidRDefault="00B15F7D" w:rsidP="00B15F7D">
            <w:pPr>
              <w:rPr>
                <w:sz w:val="22"/>
                <w:szCs w:val="22"/>
                <w:u w:val="single"/>
              </w:rPr>
            </w:pPr>
            <w:r w:rsidRPr="00990FB6">
              <w:rPr>
                <w:sz w:val="22"/>
                <w:szCs w:val="22"/>
                <w:u w:val="single"/>
              </w:rPr>
              <w:t xml:space="preserve">       Art.: 17494</w:t>
            </w:r>
          </w:p>
        </w:tc>
        <w:tc>
          <w:tcPr>
            <w:tcW w:w="1045" w:type="pct"/>
            <w:hideMark/>
          </w:tcPr>
          <w:p w14:paraId="0443A955" w14:textId="77777777" w:rsidR="00B15F7D" w:rsidRPr="00990FB6" w:rsidRDefault="00B15F7D" w:rsidP="00B15F7D">
            <w:pPr>
              <w:rPr>
                <w:sz w:val="22"/>
                <w:szCs w:val="22"/>
                <w:u w:val="single"/>
              </w:rPr>
            </w:pPr>
            <w:r w:rsidRPr="00990FB6">
              <w:rPr>
                <w:sz w:val="22"/>
                <w:szCs w:val="22"/>
                <w:u w:val="single"/>
              </w:rPr>
              <w:t>EXTINTOR DE INCENDIOS</w:t>
            </w:r>
          </w:p>
        </w:tc>
        <w:tc>
          <w:tcPr>
            <w:tcW w:w="550" w:type="pct"/>
            <w:hideMark/>
          </w:tcPr>
          <w:p w14:paraId="32C3D5BB"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DEB3516"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636051C6" w14:textId="77777777" w:rsidR="00B15F7D" w:rsidRPr="00990FB6" w:rsidRDefault="00B15F7D" w:rsidP="00B15F7D">
            <w:pPr>
              <w:rPr>
                <w:sz w:val="22"/>
                <w:szCs w:val="22"/>
                <w:u w:val="single"/>
              </w:rPr>
            </w:pPr>
            <w:r w:rsidRPr="00990FB6">
              <w:rPr>
                <w:sz w:val="22"/>
                <w:szCs w:val="22"/>
                <w:u w:val="single"/>
              </w:rPr>
              <w:t>149.160,00</w:t>
            </w:r>
          </w:p>
        </w:tc>
        <w:tc>
          <w:tcPr>
            <w:tcW w:w="780" w:type="pct"/>
            <w:hideMark/>
          </w:tcPr>
          <w:p w14:paraId="012E0F65" w14:textId="77777777" w:rsidR="00B15F7D" w:rsidRPr="00990FB6" w:rsidRDefault="00B15F7D" w:rsidP="00FC2DB5">
            <w:pPr>
              <w:jc w:val="both"/>
              <w:rPr>
                <w:sz w:val="22"/>
                <w:szCs w:val="22"/>
                <w:u w:val="single"/>
              </w:rPr>
            </w:pPr>
            <w:r w:rsidRPr="00990FB6">
              <w:rPr>
                <w:sz w:val="22"/>
                <w:szCs w:val="22"/>
                <w:u w:val="single"/>
              </w:rPr>
              <w:t>Desmejora en la atención de diligencias judiciales, como consecuencia desmejora en la prestación del servicio público e imagen institucional.</w:t>
            </w:r>
          </w:p>
        </w:tc>
      </w:tr>
      <w:tr w:rsidR="00B15F7D" w:rsidRPr="00990FB6" w14:paraId="3BC44C80" w14:textId="77777777" w:rsidTr="000A0C22">
        <w:trPr>
          <w:trHeight w:val="580"/>
          <w:jc w:val="center"/>
        </w:trPr>
        <w:tc>
          <w:tcPr>
            <w:tcW w:w="583" w:type="pct"/>
            <w:hideMark/>
          </w:tcPr>
          <w:p w14:paraId="36309CC9" w14:textId="77777777" w:rsidR="00B15F7D" w:rsidRPr="00990FB6" w:rsidRDefault="00B15F7D" w:rsidP="00B15F7D">
            <w:pPr>
              <w:rPr>
                <w:sz w:val="22"/>
                <w:szCs w:val="22"/>
                <w:u w:val="single"/>
              </w:rPr>
            </w:pPr>
            <w:r w:rsidRPr="00990FB6">
              <w:rPr>
                <w:sz w:val="22"/>
                <w:szCs w:val="22"/>
                <w:u w:val="single"/>
              </w:rPr>
              <w:t>50199</w:t>
            </w:r>
          </w:p>
        </w:tc>
        <w:tc>
          <w:tcPr>
            <w:tcW w:w="578" w:type="pct"/>
            <w:hideMark/>
          </w:tcPr>
          <w:p w14:paraId="01FB9A5F" w14:textId="77777777" w:rsidR="00B15F7D" w:rsidRPr="00990FB6" w:rsidRDefault="00B15F7D" w:rsidP="00B15F7D">
            <w:pPr>
              <w:rPr>
                <w:sz w:val="22"/>
                <w:szCs w:val="22"/>
                <w:u w:val="single"/>
              </w:rPr>
            </w:pPr>
            <w:r w:rsidRPr="00990FB6">
              <w:rPr>
                <w:sz w:val="22"/>
                <w:szCs w:val="22"/>
                <w:u w:val="single"/>
              </w:rPr>
              <w:t>Maquinaria y equipo diverso</w:t>
            </w:r>
          </w:p>
        </w:tc>
        <w:tc>
          <w:tcPr>
            <w:tcW w:w="363" w:type="pct"/>
            <w:hideMark/>
          </w:tcPr>
          <w:p w14:paraId="2C5DEFB3" w14:textId="77777777" w:rsidR="00B15F7D" w:rsidRPr="00990FB6" w:rsidRDefault="00B15F7D" w:rsidP="00B15F7D">
            <w:pPr>
              <w:rPr>
                <w:sz w:val="22"/>
                <w:szCs w:val="22"/>
                <w:u w:val="single"/>
              </w:rPr>
            </w:pPr>
            <w:r w:rsidRPr="00990FB6">
              <w:rPr>
                <w:sz w:val="22"/>
                <w:szCs w:val="22"/>
                <w:u w:val="single"/>
              </w:rPr>
              <w:t xml:space="preserve">       Art.: 21305</w:t>
            </w:r>
          </w:p>
        </w:tc>
        <w:tc>
          <w:tcPr>
            <w:tcW w:w="1045" w:type="pct"/>
            <w:hideMark/>
          </w:tcPr>
          <w:p w14:paraId="2AC180EB" w14:textId="77777777" w:rsidR="00B15F7D" w:rsidRPr="00990FB6" w:rsidRDefault="00B15F7D" w:rsidP="00B15F7D">
            <w:pPr>
              <w:rPr>
                <w:sz w:val="22"/>
                <w:szCs w:val="22"/>
                <w:u w:val="single"/>
              </w:rPr>
            </w:pPr>
            <w:r w:rsidRPr="00990FB6">
              <w:rPr>
                <w:sz w:val="22"/>
                <w:szCs w:val="22"/>
                <w:u w:val="single"/>
              </w:rPr>
              <w:t>CAMARA FOTOGRAFICA DIGITAL</w:t>
            </w:r>
          </w:p>
        </w:tc>
        <w:tc>
          <w:tcPr>
            <w:tcW w:w="550" w:type="pct"/>
            <w:hideMark/>
          </w:tcPr>
          <w:p w14:paraId="5C7B8E83"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0B171AF3"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10718A36" w14:textId="77777777" w:rsidR="00B15F7D" w:rsidRPr="00990FB6" w:rsidRDefault="00B15F7D" w:rsidP="00B15F7D">
            <w:pPr>
              <w:rPr>
                <w:sz w:val="22"/>
                <w:szCs w:val="22"/>
                <w:u w:val="single"/>
              </w:rPr>
            </w:pPr>
            <w:r w:rsidRPr="00990FB6">
              <w:rPr>
                <w:sz w:val="22"/>
                <w:szCs w:val="22"/>
                <w:u w:val="single"/>
              </w:rPr>
              <w:t>1.157.120,00</w:t>
            </w:r>
          </w:p>
        </w:tc>
        <w:tc>
          <w:tcPr>
            <w:tcW w:w="780" w:type="pct"/>
            <w:hideMark/>
          </w:tcPr>
          <w:p w14:paraId="6ECFFA5A" w14:textId="77777777" w:rsidR="00B15F7D" w:rsidRPr="00990FB6" w:rsidRDefault="00B15F7D" w:rsidP="00FC2DB5">
            <w:pPr>
              <w:jc w:val="both"/>
              <w:rPr>
                <w:sz w:val="22"/>
                <w:szCs w:val="22"/>
                <w:u w:val="single"/>
              </w:rPr>
            </w:pPr>
            <w:r w:rsidRPr="00990FB6">
              <w:rPr>
                <w:sz w:val="22"/>
                <w:szCs w:val="22"/>
                <w:u w:val="single"/>
              </w:rPr>
              <w:t xml:space="preserve">Desmejora en la atención de diligencias judiciales, como consecuencia desmejora en la </w:t>
            </w:r>
            <w:r w:rsidRPr="00990FB6">
              <w:rPr>
                <w:sz w:val="22"/>
                <w:szCs w:val="22"/>
                <w:u w:val="single"/>
              </w:rPr>
              <w:lastRenderedPageBreak/>
              <w:t>prestación del servicio público e imagen institucional.</w:t>
            </w:r>
          </w:p>
        </w:tc>
      </w:tr>
      <w:tr w:rsidR="00B15F7D" w:rsidRPr="00990FB6" w14:paraId="488C9214" w14:textId="77777777" w:rsidTr="000A0C22">
        <w:trPr>
          <w:trHeight w:val="870"/>
          <w:jc w:val="center"/>
        </w:trPr>
        <w:tc>
          <w:tcPr>
            <w:tcW w:w="583" w:type="pct"/>
            <w:hideMark/>
          </w:tcPr>
          <w:p w14:paraId="74B7A370" w14:textId="77777777" w:rsidR="00B15F7D" w:rsidRPr="00990FB6" w:rsidRDefault="00B15F7D" w:rsidP="00B15F7D">
            <w:pPr>
              <w:rPr>
                <w:sz w:val="22"/>
                <w:szCs w:val="22"/>
                <w:u w:val="single"/>
              </w:rPr>
            </w:pPr>
            <w:r w:rsidRPr="00990FB6">
              <w:rPr>
                <w:sz w:val="22"/>
                <w:szCs w:val="22"/>
                <w:u w:val="single"/>
              </w:rPr>
              <w:lastRenderedPageBreak/>
              <w:t>50201</w:t>
            </w:r>
          </w:p>
        </w:tc>
        <w:tc>
          <w:tcPr>
            <w:tcW w:w="578" w:type="pct"/>
            <w:hideMark/>
          </w:tcPr>
          <w:p w14:paraId="4405F0D4" w14:textId="77777777" w:rsidR="00B15F7D" w:rsidRPr="00990FB6" w:rsidRDefault="00B15F7D" w:rsidP="00B15F7D">
            <w:pPr>
              <w:rPr>
                <w:sz w:val="22"/>
                <w:szCs w:val="22"/>
                <w:u w:val="single"/>
              </w:rPr>
            </w:pPr>
            <w:r w:rsidRPr="00990FB6">
              <w:rPr>
                <w:sz w:val="22"/>
                <w:szCs w:val="22"/>
                <w:u w:val="single"/>
              </w:rPr>
              <w:t>Edificios</w:t>
            </w:r>
          </w:p>
        </w:tc>
        <w:tc>
          <w:tcPr>
            <w:tcW w:w="363" w:type="pct"/>
            <w:hideMark/>
          </w:tcPr>
          <w:p w14:paraId="32F4D9A5" w14:textId="77777777" w:rsidR="00B15F7D" w:rsidRPr="00990FB6" w:rsidRDefault="00B15F7D" w:rsidP="00B15F7D">
            <w:pPr>
              <w:rPr>
                <w:sz w:val="22"/>
                <w:szCs w:val="22"/>
                <w:u w:val="single"/>
              </w:rPr>
            </w:pPr>
            <w:r w:rsidRPr="00990FB6">
              <w:rPr>
                <w:sz w:val="22"/>
                <w:szCs w:val="22"/>
                <w:u w:val="single"/>
              </w:rPr>
              <w:t xml:space="preserve">      Art.: 22922</w:t>
            </w:r>
          </w:p>
        </w:tc>
        <w:tc>
          <w:tcPr>
            <w:tcW w:w="1045" w:type="pct"/>
            <w:hideMark/>
          </w:tcPr>
          <w:p w14:paraId="764E669B" w14:textId="77777777" w:rsidR="00B15F7D" w:rsidRPr="00990FB6" w:rsidRDefault="00B15F7D" w:rsidP="00B15F7D">
            <w:pPr>
              <w:rPr>
                <w:sz w:val="22"/>
                <w:szCs w:val="22"/>
                <w:u w:val="single"/>
              </w:rPr>
            </w:pPr>
            <w:r w:rsidRPr="00990FB6">
              <w:rPr>
                <w:sz w:val="22"/>
                <w:szCs w:val="22"/>
                <w:u w:val="single"/>
              </w:rPr>
              <w:t>ACONDICIONAMIENTO ELECTRICO</w:t>
            </w:r>
          </w:p>
        </w:tc>
        <w:tc>
          <w:tcPr>
            <w:tcW w:w="550" w:type="pct"/>
            <w:hideMark/>
          </w:tcPr>
          <w:p w14:paraId="38C33614"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33FE7B27"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44C7517F" w14:textId="77777777" w:rsidR="00B15F7D" w:rsidRPr="00990FB6" w:rsidRDefault="00B15F7D" w:rsidP="00B15F7D">
            <w:pPr>
              <w:rPr>
                <w:sz w:val="22"/>
                <w:szCs w:val="22"/>
                <w:u w:val="single"/>
              </w:rPr>
            </w:pPr>
            <w:r w:rsidRPr="00990FB6">
              <w:rPr>
                <w:sz w:val="22"/>
                <w:szCs w:val="22"/>
                <w:u w:val="single"/>
              </w:rPr>
              <w:t>166.647.767,00</w:t>
            </w:r>
          </w:p>
        </w:tc>
        <w:tc>
          <w:tcPr>
            <w:tcW w:w="780" w:type="pct"/>
            <w:hideMark/>
          </w:tcPr>
          <w:p w14:paraId="2D8E562C" w14:textId="77777777" w:rsidR="00B15F7D" w:rsidRPr="00990FB6" w:rsidRDefault="00B15F7D" w:rsidP="00FC2DB5">
            <w:pPr>
              <w:jc w:val="both"/>
              <w:rPr>
                <w:sz w:val="22"/>
                <w:szCs w:val="22"/>
                <w:u w:val="single"/>
              </w:rPr>
            </w:pPr>
            <w:r w:rsidRPr="00990FB6">
              <w:rPr>
                <w:sz w:val="22"/>
                <w:szCs w:val="22"/>
                <w:u w:val="single"/>
              </w:rPr>
              <w:t xml:space="preserve">El sacrificio de los recursos no permitirá atender la III Etapa de Reacondicionamiento eléctrico, segundo piso del Edificio de Tribunales de San José. Se traduce en desmejora de las condiciones de infraestructura. Eventual riesgo para personal y usuarios. </w:t>
            </w:r>
          </w:p>
        </w:tc>
      </w:tr>
      <w:tr w:rsidR="00B15F7D" w:rsidRPr="00990FB6" w14:paraId="3710A0DF" w14:textId="77777777" w:rsidTr="000A0C22">
        <w:trPr>
          <w:trHeight w:val="1160"/>
          <w:jc w:val="center"/>
        </w:trPr>
        <w:tc>
          <w:tcPr>
            <w:tcW w:w="583" w:type="pct"/>
            <w:hideMark/>
          </w:tcPr>
          <w:p w14:paraId="53CCD6AA" w14:textId="77777777" w:rsidR="00B15F7D" w:rsidRPr="00990FB6" w:rsidRDefault="00B15F7D" w:rsidP="00B15F7D">
            <w:pPr>
              <w:rPr>
                <w:sz w:val="22"/>
                <w:szCs w:val="22"/>
                <w:u w:val="single"/>
              </w:rPr>
            </w:pPr>
            <w:r w:rsidRPr="00990FB6">
              <w:rPr>
                <w:sz w:val="22"/>
                <w:szCs w:val="22"/>
                <w:u w:val="single"/>
              </w:rPr>
              <w:t>59903</w:t>
            </w:r>
          </w:p>
        </w:tc>
        <w:tc>
          <w:tcPr>
            <w:tcW w:w="578" w:type="pct"/>
            <w:hideMark/>
          </w:tcPr>
          <w:p w14:paraId="745429F2" w14:textId="77777777" w:rsidR="00B15F7D" w:rsidRPr="00990FB6" w:rsidRDefault="00B15F7D" w:rsidP="00B15F7D">
            <w:pPr>
              <w:rPr>
                <w:sz w:val="22"/>
                <w:szCs w:val="22"/>
                <w:u w:val="single"/>
              </w:rPr>
            </w:pPr>
            <w:r w:rsidRPr="00990FB6">
              <w:rPr>
                <w:sz w:val="22"/>
                <w:szCs w:val="22"/>
                <w:u w:val="single"/>
              </w:rPr>
              <w:t>Bienes intangibles</w:t>
            </w:r>
          </w:p>
        </w:tc>
        <w:tc>
          <w:tcPr>
            <w:tcW w:w="363" w:type="pct"/>
            <w:hideMark/>
          </w:tcPr>
          <w:p w14:paraId="5BDA2239" w14:textId="77777777" w:rsidR="00B15F7D" w:rsidRPr="00990FB6" w:rsidRDefault="00B15F7D" w:rsidP="00B15F7D">
            <w:pPr>
              <w:rPr>
                <w:sz w:val="22"/>
                <w:szCs w:val="22"/>
                <w:u w:val="single"/>
              </w:rPr>
            </w:pPr>
            <w:r w:rsidRPr="00990FB6">
              <w:rPr>
                <w:sz w:val="22"/>
                <w:szCs w:val="22"/>
                <w:u w:val="single"/>
              </w:rPr>
              <w:t xml:space="preserve">       Art.: 23409</w:t>
            </w:r>
          </w:p>
        </w:tc>
        <w:tc>
          <w:tcPr>
            <w:tcW w:w="1045" w:type="pct"/>
            <w:hideMark/>
          </w:tcPr>
          <w:p w14:paraId="5A5FC18B" w14:textId="77777777" w:rsidR="00B15F7D" w:rsidRPr="00990FB6" w:rsidRDefault="00B15F7D" w:rsidP="00B15F7D">
            <w:pPr>
              <w:rPr>
                <w:sz w:val="22"/>
                <w:szCs w:val="22"/>
                <w:u w:val="single"/>
              </w:rPr>
            </w:pPr>
            <w:r w:rsidRPr="00990FB6">
              <w:rPr>
                <w:sz w:val="22"/>
                <w:szCs w:val="22"/>
                <w:u w:val="single"/>
              </w:rPr>
              <w:t>LICENCIAS DE SOFTWARE O RENOVACION</w:t>
            </w:r>
          </w:p>
        </w:tc>
        <w:tc>
          <w:tcPr>
            <w:tcW w:w="550" w:type="pct"/>
            <w:hideMark/>
          </w:tcPr>
          <w:p w14:paraId="2690CD5C" w14:textId="77777777" w:rsidR="00B15F7D" w:rsidRPr="00990FB6" w:rsidRDefault="00B15F7D" w:rsidP="00B15F7D">
            <w:pPr>
              <w:rPr>
                <w:sz w:val="22"/>
                <w:szCs w:val="22"/>
                <w:u w:val="single"/>
              </w:rPr>
            </w:pPr>
            <w:r w:rsidRPr="00990FB6">
              <w:rPr>
                <w:sz w:val="22"/>
                <w:szCs w:val="22"/>
                <w:u w:val="single"/>
              </w:rPr>
              <w:t> </w:t>
            </w:r>
          </w:p>
        </w:tc>
        <w:tc>
          <w:tcPr>
            <w:tcW w:w="511" w:type="pct"/>
            <w:hideMark/>
          </w:tcPr>
          <w:p w14:paraId="1C23106D" w14:textId="77777777" w:rsidR="00B15F7D" w:rsidRPr="00990FB6" w:rsidRDefault="00B15F7D" w:rsidP="00B15F7D">
            <w:pPr>
              <w:rPr>
                <w:sz w:val="22"/>
                <w:szCs w:val="22"/>
                <w:u w:val="single"/>
              </w:rPr>
            </w:pPr>
            <w:r w:rsidRPr="00990FB6">
              <w:rPr>
                <w:sz w:val="22"/>
                <w:szCs w:val="22"/>
                <w:u w:val="single"/>
              </w:rPr>
              <w:t> </w:t>
            </w:r>
          </w:p>
        </w:tc>
        <w:tc>
          <w:tcPr>
            <w:tcW w:w="589" w:type="pct"/>
            <w:hideMark/>
          </w:tcPr>
          <w:p w14:paraId="0839DC73" w14:textId="77777777" w:rsidR="00B15F7D" w:rsidRPr="00990FB6" w:rsidRDefault="00B15F7D" w:rsidP="00B15F7D">
            <w:pPr>
              <w:rPr>
                <w:sz w:val="22"/>
                <w:szCs w:val="22"/>
                <w:u w:val="single"/>
              </w:rPr>
            </w:pPr>
            <w:r w:rsidRPr="00990FB6">
              <w:rPr>
                <w:sz w:val="22"/>
                <w:szCs w:val="22"/>
                <w:u w:val="single"/>
              </w:rPr>
              <w:t>969.724,00</w:t>
            </w:r>
          </w:p>
        </w:tc>
        <w:tc>
          <w:tcPr>
            <w:tcW w:w="780" w:type="pct"/>
            <w:hideMark/>
          </w:tcPr>
          <w:p w14:paraId="2ECAD9C2" w14:textId="77777777" w:rsidR="00B15F7D" w:rsidRPr="00990FB6" w:rsidRDefault="00B15F7D" w:rsidP="00FC2DB5">
            <w:pPr>
              <w:jc w:val="both"/>
              <w:rPr>
                <w:sz w:val="22"/>
                <w:szCs w:val="22"/>
                <w:u w:val="single"/>
              </w:rPr>
            </w:pPr>
            <w:r w:rsidRPr="00990FB6">
              <w:rPr>
                <w:sz w:val="22"/>
                <w:szCs w:val="22"/>
                <w:u w:val="single"/>
              </w:rPr>
              <w:t xml:space="preserve">La unidad de Capacitación no podrá dar continuidad al Proyecto 0717-MP-P02, se requieren licencias para Equipo de Profesionales (Fiscal, Coordinador de Unidad 3 y Gestor de Capacitación 2) y mantener suscripciones </w:t>
            </w:r>
            <w:r w:rsidRPr="00990FB6">
              <w:rPr>
                <w:sz w:val="22"/>
                <w:szCs w:val="22"/>
                <w:u w:val="single"/>
              </w:rPr>
              <w:lastRenderedPageBreak/>
              <w:t>actuales: 1 LICENCIA DE PROJECT ONLINE PROFESIONAL. 3 SUSCRIPCIONES MICROSOFT OFFICE 365 E3.</w:t>
            </w:r>
          </w:p>
        </w:tc>
      </w:tr>
    </w:tbl>
    <w:p w14:paraId="13F86A19" w14:textId="77777777" w:rsidR="00B15F7D" w:rsidRPr="00990FB6" w:rsidRDefault="00B15F7D" w:rsidP="00B15F7D">
      <w:pPr>
        <w:rPr>
          <w:b/>
          <w:bCs/>
          <w:i/>
          <w:iCs/>
          <w:color w:val="0070C0"/>
          <w:sz w:val="22"/>
          <w:szCs w:val="22"/>
          <w:u w:val="single"/>
        </w:rPr>
      </w:pPr>
    </w:p>
    <w:p w14:paraId="3C0B07D1" w14:textId="77777777" w:rsidR="00B15F7D" w:rsidRPr="00990FB6" w:rsidRDefault="00B15F7D" w:rsidP="00B15F7D">
      <w:pPr>
        <w:jc w:val="center"/>
        <w:rPr>
          <w:b/>
          <w:bCs/>
          <w:i/>
          <w:iCs/>
          <w:color w:val="0070C0"/>
          <w:sz w:val="22"/>
          <w:szCs w:val="22"/>
          <w:u w:val="single"/>
        </w:rPr>
      </w:pPr>
      <w:r w:rsidRPr="00990FB6">
        <w:rPr>
          <w:sz w:val="22"/>
          <w:szCs w:val="22"/>
        </w:rPr>
        <w:object w:dxaOrig="1513" w:dyaOrig="989" w14:anchorId="027BDB18">
          <v:shape id="_x0000_i1068" type="#_x0000_t75" style="width:77pt;height:51.5pt" o:ole="">
            <v:imagedata r:id="rId158" o:title=""/>
          </v:shape>
          <o:OLEObject Type="Embed" ProgID="Package" ShapeID="_x0000_i1068" DrawAspect="Icon" ObjectID="_1748679196" r:id="rId159"/>
        </w:object>
      </w:r>
    </w:p>
    <w:p w14:paraId="0E37A263" w14:textId="77777777" w:rsidR="00B15F7D" w:rsidRPr="00990FB6" w:rsidRDefault="00B15F7D" w:rsidP="00B15F7D">
      <w:pPr>
        <w:numPr>
          <w:ilvl w:val="0"/>
          <w:numId w:val="196"/>
        </w:numPr>
        <w:suppressAutoHyphens w:val="0"/>
        <w:ind w:left="851" w:right="851" w:firstLine="709"/>
        <w:contextualSpacing/>
        <w:jc w:val="both"/>
        <w:rPr>
          <w:b/>
          <w:i/>
          <w:sz w:val="22"/>
          <w:szCs w:val="22"/>
          <w:u w:val="single"/>
        </w:rPr>
      </w:pPr>
      <w:r w:rsidRPr="00990FB6">
        <w:rPr>
          <w:b/>
          <w:i/>
          <w:sz w:val="22"/>
          <w:szCs w:val="22"/>
          <w:u w:val="single"/>
        </w:rPr>
        <w:t>Defensa Pública:</w:t>
      </w:r>
    </w:p>
    <w:p w14:paraId="075D720E" w14:textId="77777777" w:rsidR="00B15F7D" w:rsidRPr="00990FB6" w:rsidRDefault="00B15F7D" w:rsidP="00B15F7D">
      <w:pPr>
        <w:ind w:left="851" w:right="851" w:firstLine="709"/>
        <w:contextualSpacing/>
        <w:jc w:val="both"/>
        <w:rPr>
          <w:b/>
          <w:i/>
          <w:sz w:val="22"/>
          <w:szCs w:val="22"/>
          <w:u w:val="single"/>
        </w:rPr>
      </w:pPr>
    </w:p>
    <w:p w14:paraId="26ED3E82" w14:textId="77777777" w:rsidR="00B15F7D" w:rsidRPr="00990FB6" w:rsidRDefault="00B15F7D" w:rsidP="00B15F7D">
      <w:pPr>
        <w:ind w:left="851" w:right="851" w:firstLine="709"/>
        <w:jc w:val="both"/>
        <w:rPr>
          <w:sz w:val="22"/>
          <w:szCs w:val="22"/>
          <w:lang w:eastAsia="es-CR"/>
        </w:rPr>
      </w:pPr>
      <w:r w:rsidRPr="00990FB6">
        <w:rPr>
          <w:sz w:val="22"/>
          <w:szCs w:val="22"/>
        </w:rPr>
        <w:t xml:space="preserve">Mediante correo electrónico del viernes 12 de mayo, la Defensa Pública remite una propuesta de afectaciones por un monto de </w:t>
      </w:r>
      <w:r w:rsidRPr="00990FB6">
        <w:rPr>
          <w:sz w:val="22"/>
          <w:szCs w:val="22"/>
          <w:lang w:eastAsia="es-CR"/>
        </w:rPr>
        <w:t>₡385.245.444.50:</w:t>
      </w:r>
    </w:p>
    <w:p w14:paraId="7683B646" w14:textId="77777777" w:rsidR="00B15F7D" w:rsidRPr="00990FB6" w:rsidRDefault="00B15F7D" w:rsidP="00B15F7D">
      <w:pPr>
        <w:ind w:left="851" w:right="851" w:firstLine="709"/>
        <w:jc w:val="both"/>
        <w:rPr>
          <w:sz w:val="22"/>
          <w:szCs w:val="22"/>
          <w:lang w:eastAsia="es-CR"/>
        </w:rPr>
      </w:pPr>
    </w:p>
    <w:tbl>
      <w:tblPr>
        <w:tblW w:w="5540" w:type="pct"/>
        <w:tblInd w:w="-289" w:type="dxa"/>
        <w:tblCellMar>
          <w:left w:w="70" w:type="dxa"/>
          <w:right w:w="70" w:type="dxa"/>
        </w:tblCellMar>
        <w:tblLook w:val="04A0" w:firstRow="1" w:lastRow="0" w:firstColumn="1" w:lastColumn="0" w:noHBand="0" w:noVBand="1"/>
      </w:tblPr>
      <w:tblGrid>
        <w:gridCol w:w="2113"/>
        <w:gridCol w:w="5432"/>
        <w:gridCol w:w="2865"/>
      </w:tblGrid>
      <w:tr w:rsidR="00B15F7D" w:rsidRPr="00990FB6" w14:paraId="2987564B" w14:textId="77777777" w:rsidTr="000A0C22">
        <w:trPr>
          <w:trHeight w:val="288"/>
          <w:tblHeader/>
        </w:trPr>
        <w:tc>
          <w:tcPr>
            <w:tcW w:w="3623" w:type="pct"/>
            <w:gridSpan w:val="2"/>
            <w:tcBorders>
              <w:top w:val="single" w:sz="4" w:space="0" w:color="auto"/>
              <w:left w:val="single" w:sz="4" w:space="0" w:color="auto"/>
              <w:bottom w:val="single" w:sz="4" w:space="0" w:color="auto"/>
              <w:right w:val="single" w:sz="4" w:space="0" w:color="auto"/>
            </w:tcBorders>
            <w:shd w:val="clear" w:color="auto" w:fill="0070C0"/>
            <w:vAlign w:val="center"/>
            <w:hideMark/>
          </w:tcPr>
          <w:p w14:paraId="35F48C59" w14:textId="77777777" w:rsidR="00B15F7D" w:rsidRPr="00990FB6" w:rsidRDefault="00B15F7D" w:rsidP="00B15F7D">
            <w:pPr>
              <w:jc w:val="both"/>
              <w:rPr>
                <w:b/>
                <w:bCs/>
                <w:color w:val="FFFFFF"/>
                <w:sz w:val="22"/>
                <w:szCs w:val="22"/>
                <w:lang w:eastAsia="es-CR"/>
              </w:rPr>
            </w:pPr>
          </w:p>
          <w:p w14:paraId="01B901FC"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Subpartida 1 y 2</w:t>
            </w:r>
          </w:p>
        </w:tc>
        <w:tc>
          <w:tcPr>
            <w:tcW w:w="1377" w:type="pct"/>
            <w:tcBorders>
              <w:top w:val="single" w:sz="4" w:space="0" w:color="auto"/>
              <w:left w:val="nil"/>
              <w:bottom w:val="single" w:sz="4" w:space="0" w:color="auto"/>
              <w:right w:val="single" w:sz="4" w:space="0" w:color="auto"/>
            </w:tcBorders>
            <w:shd w:val="clear" w:color="auto" w:fill="0070C0"/>
            <w:noWrap/>
            <w:vAlign w:val="center"/>
            <w:hideMark/>
          </w:tcPr>
          <w:p w14:paraId="318DD73F" w14:textId="77777777" w:rsidR="00B15F7D" w:rsidRPr="00990FB6" w:rsidRDefault="00B15F7D" w:rsidP="00B15F7D">
            <w:pPr>
              <w:jc w:val="right"/>
              <w:rPr>
                <w:b/>
                <w:bCs/>
                <w:color w:val="FFFFFF"/>
                <w:sz w:val="22"/>
                <w:szCs w:val="22"/>
                <w:lang w:eastAsia="es-CR"/>
              </w:rPr>
            </w:pPr>
            <w:r w:rsidRPr="00990FB6">
              <w:rPr>
                <w:b/>
                <w:bCs/>
                <w:color w:val="FFFFFF"/>
                <w:sz w:val="22"/>
                <w:szCs w:val="22"/>
                <w:lang w:eastAsia="es-CR"/>
              </w:rPr>
              <w:t>₡192.869.992,50</w:t>
            </w:r>
          </w:p>
        </w:tc>
      </w:tr>
      <w:tr w:rsidR="00B15F7D" w:rsidRPr="00990FB6" w14:paraId="252311CA" w14:textId="77777777" w:rsidTr="000A0C22">
        <w:trPr>
          <w:trHeight w:val="413"/>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80653E3" w14:textId="77777777" w:rsidR="00B15F7D" w:rsidRPr="00990FB6" w:rsidRDefault="00B15F7D" w:rsidP="00B15F7D">
            <w:pPr>
              <w:tabs>
                <w:tab w:val="left" w:pos="2220"/>
              </w:tabs>
              <w:jc w:val="both"/>
              <w:rPr>
                <w:color w:val="000000"/>
                <w:sz w:val="22"/>
                <w:szCs w:val="22"/>
                <w:lang w:eastAsia="es-CR"/>
              </w:rPr>
            </w:pPr>
            <w:r w:rsidRPr="00990FB6">
              <w:rPr>
                <w:color w:val="000000"/>
                <w:sz w:val="22"/>
                <w:szCs w:val="22"/>
                <w:lang w:eastAsia="es-CR"/>
              </w:rPr>
              <w:t xml:space="preserve">   Subpartida: 10101</w:t>
            </w:r>
          </w:p>
        </w:tc>
        <w:tc>
          <w:tcPr>
            <w:tcW w:w="2609" w:type="pct"/>
            <w:tcBorders>
              <w:top w:val="single" w:sz="4" w:space="0" w:color="auto"/>
              <w:left w:val="nil"/>
              <w:bottom w:val="single" w:sz="4" w:space="0" w:color="auto"/>
              <w:right w:val="single" w:sz="4" w:space="0" w:color="auto"/>
            </w:tcBorders>
            <w:shd w:val="clear" w:color="auto" w:fill="auto"/>
            <w:hideMark/>
          </w:tcPr>
          <w:p w14:paraId="35CD00BC" w14:textId="77777777" w:rsidR="00B15F7D" w:rsidRPr="00990FB6" w:rsidRDefault="00B15F7D" w:rsidP="00B15F7D">
            <w:pPr>
              <w:jc w:val="both"/>
              <w:rPr>
                <w:color w:val="000000"/>
                <w:sz w:val="22"/>
                <w:szCs w:val="22"/>
                <w:lang w:eastAsia="es-CR"/>
              </w:rPr>
            </w:pPr>
            <w:r w:rsidRPr="00990FB6">
              <w:rPr>
                <w:color w:val="000000"/>
                <w:sz w:val="22"/>
                <w:szCs w:val="22"/>
                <w:lang w:eastAsia="es-CR"/>
              </w:rPr>
              <w:t>Alquiler de edificios, locales y terrenos</w:t>
            </w:r>
          </w:p>
        </w:tc>
        <w:tc>
          <w:tcPr>
            <w:tcW w:w="1377" w:type="pct"/>
            <w:tcBorders>
              <w:top w:val="nil"/>
              <w:left w:val="nil"/>
              <w:bottom w:val="single" w:sz="4" w:space="0" w:color="auto"/>
              <w:right w:val="single" w:sz="4" w:space="0" w:color="auto"/>
            </w:tcBorders>
            <w:shd w:val="clear" w:color="auto" w:fill="auto"/>
            <w:noWrap/>
            <w:vAlign w:val="bottom"/>
            <w:hideMark/>
          </w:tcPr>
          <w:p w14:paraId="14A1FAE6" w14:textId="77777777" w:rsidR="00B15F7D" w:rsidRPr="00990FB6" w:rsidRDefault="00B15F7D" w:rsidP="00B15F7D">
            <w:pPr>
              <w:jc w:val="right"/>
              <w:rPr>
                <w:sz w:val="22"/>
                <w:szCs w:val="22"/>
                <w:lang w:eastAsia="es-CR"/>
              </w:rPr>
            </w:pPr>
            <w:r w:rsidRPr="00990FB6">
              <w:rPr>
                <w:sz w:val="22"/>
                <w:szCs w:val="22"/>
                <w:lang w:eastAsia="es-CR"/>
              </w:rPr>
              <w:t>₡56.499.297,00</w:t>
            </w:r>
          </w:p>
        </w:tc>
      </w:tr>
      <w:tr w:rsidR="00B15F7D" w:rsidRPr="00990FB6" w14:paraId="16BC2372" w14:textId="77777777" w:rsidTr="000A0C22">
        <w:trPr>
          <w:trHeight w:val="276"/>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D6E29C1"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10102 </w:t>
            </w:r>
          </w:p>
        </w:tc>
        <w:tc>
          <w:tcPr>
            <w:tcW w:w="2609" w:type="pct"/>
            <w:tcBorders>
              <w:top w:val="single" w:sz="4" w:space="0" w:color="auto"/>
              <w:left w:val="nil"/>
              <w:bottom w:val="single" w:sz="4" w:space="0" w:color="auto"/>
              <w:right w:val="single" w:sz="4" w:space="0" w:color="auto"/>
            </w:tcBorders>
            <w:shd w:val="clear" w:color="auto" w:fill="auto"/>
            <w:hideMark/>
          </w:tcPr>
          <w:p w14:paraId="1644B3DF" w14:textId="77777777" w:rsidR="00B15F7D" w:rsidRPr="00990FB6" w:rsidRDefault="00B15F7D" w:rsidP="00B15F7D">
            <w:pPr>
              <w:jc w:val="both"/>
              <w:rPr>
                <w:color w:val="000000"/>
                <w:sz w:val="22"/>
                <w:szCs w:val="22"/>
                <w:lang w:eastAsia="es-CR"/>
              </w:rPr>
            </w:pPr>
            <w:r w:rsidRPr="00990FB6">
              <w:rPr>
                <w:color w:val="000000"/>
                <w:sz w:val="22"/>
                <w:szCs w:val="22"/>
                <w:lang w:eastAsia="es-CR"/>
              </w:rPr>
              <w:t>Alquiler de maquinaria, equipo y mobiliario</w:t>
            </w:r>
          </w:p>
        </w:tc>
        <w:tc>
          <w:tcPr>
            <w:tcW w:w="1377" w:type="pct"/>
            <w:tcBorders>
              <w:top w:val="nil"/>
              <w:left w:val="nil"/>
              <w:bottom w:val="single" w:sz="4" w:space="0" w:color="auto"/>
              <w:right w:val="single" w:sz="4" w:space="0" w:color="auto"/>
            </w:tcBorders>
            <w:shd w:val="clear" w:color="auto" w:fill="auto"/>
            <w:noWrap/>
            <w:vAlign w:val="bottom"/>
            <w:hideMark/>
          </w:tcPr>
          <w:p w14:paraId="64B534EC" w14:textId="77777777" w:rsidR="00B15F7D" w:rsidRPr="00990FB6" w:rsidRDefault="00B15F7D" w:rsidP="00B15F7D">
            <w:pPr>
              <w:jc w:val="right"/>
              <w:rPr>
                <w:sz w:val="22"/>
                <w:szCs w:val="22"/>
                <w:lang w:eastAsia="es-CR"/>
              </w:rPr>
            </w:pPr>
            <w:r w:rsidRPr="00990FB6">
              <w:rPr>
                <w:sz w:val="22"/>
                <w:szCs w:val="22"/>
                <w:lang w:eastAsia="es-CR"/>
              </w:rPr>
              <w:t>₡4.000.000,00</w:t>
            </w:r>
          </w:p>
        </w:tc>
      </w:tr>
      <w:tr w:rsidR="00B15F7D" w:rsidRPr="00990FB6" w14:paraId="1AD74C75"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AA87A7F"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102 </w:t>
            </w:r>
          </w:p>
        </w:tc>
        <w:tc>
          <w:tcPr>
            <w:tcW w:w="2609" w:type="pct"/>
            <w:tcBorders>
              <w:top w:val="single" w:sz="4" w:space="0" w:color="auto"/>
              <w:left w:val="nil"/>
              <w:bottom w:val="single" w:sz="4" w:space="0" w:color="auto"/>
              <w:right w:val="single" w:sz="4" w:space="0" w:color="auto"/>
            </w:tcBorders>
            <w:shd w:val="clear" w:color="auto" w:fill="auto"/>
            <w:hideMark/>
          </w:tcPr>
          <w:p w14:paraId="3C7028D0"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SERVICIOS BÁSICOS</w:t>
            </w:r>
          </w:p>
        </w:tc>
        <w:tc>
          <w:tcPr>
            <w:tcW w:w="1377" w:type="pct"/>
            <w:tcBorders>
              <w:top w:val="nil"/>
              <w:left w:val="nil"/>
              <w:bottom w:val="single" w:sz="4" w:space="0" w:color="auto"/>
              <w:right w:val="single" w:sz="4" w:space="0" w:color="auto"/>
            </w:tcBorders>
            <w:shd w:val="clear" w:color="auto" w:fill="auto"/>
            <w:noWrap/>
            <w:vAlign w:val="bottom"/>
            <w:hideMark/>
          </w:tcPr>
          <w:p w14:paraId="35DA82C3"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52D164A5"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09CE145"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10203 </w:t>
            </w:r>
          </w:p>
        </w:tc>
        <w:tc>
          <w:tcPr>
            <w:tcW w:w="2609" w:type="pct"/>
            <w:tcBorders>
              <w:top w:val="single" w:sz="4" w:space="0" w:color="auto"/>
              <w:left w:val="nil"/>
              <w:bottom w:val="single" w:sz="4" w:space="0" w:color="auto"/>
              <w:right w:val="single" w:sz="4" w:space="0" w:color="auto"/>
            </w:tcBorders>
            <w:shd w:val="clear" w:color="auto" w:fill="auto"/>
            <w:hideMark/>
          </w:tcPr>
          <w:p w14:paraId="2D7AF9D2" w14:textId="77777777" w:rsidR="00B15F7D" w:rsidRPr="00990FB6" w:rsidRDefault="00B15F7D" w:rsidP="00B15F7D">
            <w:pPr>
              <w:jc w:val="both"/>
              <w:rPr>
                <w:color w:val="000000"/>
                <w:sz w:val="22"/>
                <w:szCs w:val="22"/>
                <w:lang w:eastAsia="es-CR"/>
              </w:rPr>
            </w:pPr>
            <w:r w:rsidRPr="00990FB6">
              <w:rPr>
                <w:color w:val="000000"/>
                <w:sz w:val="22"/>
                <w:szCs w:val="22"/>
                <w:lang w:eastAsia="es-CR"/>
              </w:rPr>
              <w:t>Servicio de correo</w:t>
            </w:r>
          </w:p>
        </w:tc>
        <w:tc>
          <w:tcPr>
            <w:tcW w:w="1377" w:type="pct"/>
            <w:tcBorders>
              <w:top w:val="nil"/>
              <w:left w:val="nil"/>
              <w:bottom w:val="single" w:sz="4" w:space="0" w:color="auto"/>
              <w:right w:val="single" w:sz="4" w:space="0" w:color="auto"/>
            </w:tcBorders>
            <w:shd w:val="clear" w:color="auto" w:fill="auto"/>
            <w:noWrap/>
            <w:vAlign w:val="bottom"/>
            <w:hideMark/>
          </w:tcPr>
          <w:p w14:paraId="61CEBA63" w14:textId="77777777" w:rsidR="00B15F7D" w:rsidRPr="00990FB6" w:rsidRDefault="00B15F7D" w:rsidP="00B15F7D">
            <w:pPr>
              <w:jc w:val="right"/>
              <w:rPr>
                <w:sz w:val="22"/>
                <w:szCs w:val="22"/>
                <w:lang w:eastAsia="es-CR"/>
              </w:rPr>
            </w:pPr>
            <w:r w:rsidRPr="00990FB6">
              <w:rPr>
                <w:sz w:val="22"/>
                <w:szCs w:val="22"/>
                <w:lang w:eastAsia="es-CR"/>
              </w:rPr>
              <w:t>₡50.000,00</w:t>
            </w:r>
          </w:p>
        </w:tc>
      </w:tr>
      <w:tr w:rsidR="00B15F7D" w:rsidRPr="00990FB6" w14:paraId="698C1C75"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60EF15F"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10204 </w:t>
            </w:r>
          </w:p>
        </w:tc>
        <w:tc>
          <w:tcPr>
            <w:tcW w:w="2609" w:type="pct"/>
            <w:tcBorders>
              <w:top w:val="single" w:sz="4" w:space="0" w:color="auto"/>
              <w:left w:val="nil"/>
              <w:bottom w:val="single" w:sz="4" w:space="0" w:color="auto"/>
              <w:right w:val="single" w:sz="4" w:space="0" w:color="auto"/>
            </w:tcBorders>
            <w:shd w:val="clear" w:color="auto" w:fill="auto"/>
            <w:hideMark/>
          </w:tcPr>
          <w:p w14:paraId="464EA4C6" w14:textId="77777777" w:rsidR="00B15F7D" w:rsidRPr="00990FB6" w:rsidRDefault="00B15F7D" w:rsidP="00B15F7D">
            <w:pPr>
              <w:jc w:val="both"/>
              <w:rPr>
                <w:color w:val="000000"/>
                <w:sz w:val="22"/>
                <w:szCs w:val="22"/>
                <w:lang w:eastAsia="es-CR"/>
              </w:rPr>
            </w:pPr>
            <w:r w:rsidRPr="00990FB6">
              <w:rPr>
                <w:color w:val="000000"/>
                <w:sz w:val="22"/>
                <w:szCs w:val="22"/>
                <w:lang w:eastAsia="es-CR"/>
              </w:rPr>
              <w:t>Servicio de telecomunicaciones</w:t>
            </w:r>
          </w:p>
        </w:tc>
        <w:tc>
          <w:tcPr>
            <w:tcW w:w="1377" w:type="pct"/>
            <w:tcBorders>
              <w:top w:val="nil"/>
              <w:left w:val="nil"/>
              <w:bottom w:val="single" w:sz="4" w:space="0" w:color="auto"/>
              <w:right w:val="single" w:sz="4" w:space="0" w:color="auto"/>
            </w:tcBorders>
            <w:shd w:val="clear" w:color="auto" w:fill="auto"/>
            <w:noWrap/>
            <w:vAlign w:val="bottom"/>
            <w:hideMark/>
          </w:tcPr>
          <w:p w14:paraId="521422E9" w14:textId="77777777" w:rsidR="00B15F7D" w:rsidRPr="00990FB6" w:rsidRDefault="00B15F7D" w:rsidP="00B15F7D">
            <w:pPr>
              <w:jc w:val="right"/>
              <w:rPr>
                <w:sz w:val="22"/>
                <w:szCs w:val="22"/>
                <w:lang w:eastAsia="es-CR"/>
              </w:rPr>
            </w:pPr>
            <w:r w:rsidRPr="00990FB6">
              <w:rPr>
                <w:sz w:val="22"/>
                <w:szCs w:val="22"/>
                <w:lang w:eastAsia="es-CR"/>
              </w:rPr>
              <w:t>₡2.500.000,00</w:t>
            </w:r>
          </w:p>
        </w:tc>
      </w:tr>
      <w:tr w:rsidR="00B15F7D" w:rsidRPr="00990FB6" w14:paraId="26865EF9"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3F2CB036"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10299 </w:t>
            </w:r>
          </w:p>
        </w:tc>
        <w:tc>
          <w:tcPr>
            <w:tcW w:w="2609" w:type="pct"/>
            <w:tcBorders>
              <w:top w:val="single" w:sz="4" w:space="0" w:color="auto"/>
              <w:left w:val="nil"/>
              <w:bottom w:val="single" w:sz="4" w:space="0" w:color="auto"/>
              <w:right w:val="single" w:sz="4" w:space="0" w:color="auto"/>
            </w:tcBorders>
            <w:shd w:val="clear" w:color="auto" w:fill="auto"/>
            <w:hideMark/>
          </w:tcPr>
          <w:p w14:paraId="3070DD30"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Otros servicios básicos </w:t>
            </w:r>
          </w:p>
        </w:tc>
        <w:tc>
          <w:tcPr>
            <w:tcW w:w="1377" w:type="pct"/>
            <w:tcBorders>
              <w:top w:val="nil"/>
              <w:left w:val="nil"/>
              <w:bottom w:val="single" w:sz="4" w:space="0" w:color="auto"/>
              <w:right w:val="single" w:sz="4" w:space="0" w:color="auto"/>
            </w:tcBorders>
            <w:shd w:val="clear" w:color="auto" w:fill="auto"/>
            <w:noWrap/>
            <w:vAlign w:val="bottom"/>
            <w:hideMark/>
          </w:tcPr>
          <w:p w14:paraId="74E23E8B" w14:textId="77777777" w:rsidR="00B15F7D" w:rsidRPr="00990FB6" w:rsidRDefault="00B15F7D" w:rsidP="00B15F7D">
            <w:pPr>
              <w:jc w:val="right"/>
              <w:rPr>
                <w:sz w:val="22"/>
                <w:szCs w:val="22"/>
                <w:lang w:eastAsia="es-CR"/>
              </w:rPr>
            </w:pPr>
            <w:r w:rsidRPr="00990FB6">
              <w:rPr>
                <w:sz w:val="22"/>
                <w:szCs w:val="22"/>
                <w:lang w:eastAsia="es-CR"/>
              </w:rPr>
              <w:t>₡6.000.000,00</w:t>
            </w:r>
          </w:p>
        </w:tc>
      </w:tr>
      <w:tr w:rsidR="00B15F7D" w:rsidRPr="00990FB6" w14:paraId="143253F2"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BF62F55"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103 </w:t>
            </w:r>
          </w:p>
        </w:tc>
        <w:tc>
          <w:tcPr>
            <w:tcW w:w="2609" w:type="pct"/>
            <w:tcBorders>
              <w:top w:val="single" w:sz="4" w:space="0" w:color="auto"/>
              <w:left w:val="nil"/>
              <w:bottom w:val="single" w:sz="4" w:space="0" w:color="auto"/>
              <w:right w:val="single" w:sz="4" w:space="0" w:color="auto"/>
            </w:tcBorders>
            <w:shd w:val="clear" w:color="auto" w:fill="auto"/>
            <w:hideMark/>
          </w:tcPr>
          <w:p w14:paraId="7E827E2E"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SERVICIOS COMERCIALES Y FINANCIEROS</w:t>
            </w:r>
          </w:p>
        </w:tc>
        <w:tc>
          <w:tcPr>
            <w:tcW w:w="1377" w:type="pct"/>
            <w:tcBorders>
              <w:top w:val="nil"/>
              <w:left w:val="nil"/>
              <w:bottom w:val="single" w:sz="4" w:space="0" w:color="auto"/>
              <w:right w:val="single" w:sz="4" w:space="0" w:color="auto"/>
            </w:tcBorders>
            <w:shd w:val="clear" w:color="auto" w:fill="auto"/>
            <w:noWrap/>
            <w:vAlign w:val="bottom"/>
            <w:hideMark/>
          </w:tcPr>
          <w:p w14:paraId="6F2FB4A7"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30E8290C" w14:textId="77777777" w:rsidTr="000A0C22">
        <w:trPr>
          <w:trHeight w:val="345"/>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69CB2654"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10303 </w:t>
            </w:r>
          </w:p>
        </w:tc>
        <w:tc>
          <w:tcPr>
            <w:tcW w:w="2609" w:type="pct"/>
            <w:tcBorders>
              <w:top w:val="single" w:sz="4" w:space="0" w:color="auto"/>
              <w:left w:val="nil"/>
              <w:bottom w:val="single" w:sz="4" w:space="0" w:color="auto"/>
              <w:right w:val="single" w:sz="4" w:space="0" w:color="auto"/>
            </w:tcBorders>
            <w:shd w:val="clear" w:color="auto" w:fill="auto"/>
            <w:hideMark/>
          </w:tcPr>
          <w:p w14:paraId="318A664B" w14:textId="77777777" w:rsidR="00B15F7D" w:rsidRPr="00990FB6" w:rsidRDefault="00B15F7D" w:rsidP="00B15F7D">
            <w:pPr>
              <w:jc w:val="both"/>
              <w:rPr>
                <w:color w:val="000000"/>
                <w:sz w:val="22"/>
                <w:szCs w:val="22"/>
                <w:lang w:eastAsia="es-CR"/>
              </w:rPr>
            </w:pPr>
            <w:r w:rsidRPr="00990FB6">
              <w:rPr>
                <w:color w:val="000000"/>
                <w:sz w:val="22"/>
                <w:szCs w:val="22"/>
                <w:lang w:eastAsia="es-CR"/>
              </w:rPr>
              <w:t>Impresión, encuadernación y otros</w:t>
            </w:r>
          </w:p>
        </w:tc>
        <w:tc>
          <w:tcPr>
            <w:tcW w:w="1377" w:type="pct"/>
            <w:tcBorders>
              <w:top w:val="nil"/>
              <w:left w:val="nil"/>
              <w:bottom w:val="single" w:sz="4" w:space="0" w:color="auto"/>
              <w:right w:val="single" w:sz="4" w:space="0" w:color="auto"/>
            </w:tcBorders>
            <w:shd w:val="clear" w:color="auto" w:fill="auto"/>
            <w:noWrap/>
            <w:vAlign w:val="bottom"/>
            <w:hideMark/>
          </w:tcPr>
          <w:p w14:paraId="258315CD" w14:textId="77777777" w:rsidR="00B15F7D" w:rsidRPr="00990FB6" w:rsidRDefault="00B15F7D" w:rsidP="00B15F7D">
            <w:pPr>
              <w:jc w:val="right"/>
              <w:rPr>
                <w:sz w:val="22"/>
                <w:szCs w:val="22"/>
                <w:lang w:eastAsia="es-CR"/>
              </w:rPr>
            </w:pPr>
            <w:r w:rsidRPr="00990FB6">
              <w:rPr>
                <w:sz w:val="22"/>
                <w:szCs w:val="22"/>
                <w:lang w:eastAsia="es-CR"/>
              </w:rPr>
              <w:t>₡5.000.000,00</w:t>
            </w:r>
          </w:p>
        </w:tc>
      </w:tr>
      <w:tr w:rsidR="00B15F7D" w:rsidRPr="00990FB6" w14:paraId="00782189"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57B8773"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104 </w:t>
            </w:r>
          </w:p>
        </w:tc>
        <w:tc>
          <w:tcPr>
            <w:tcW w:w="2609" w:type="pct"/>
            <w:tcBorders>
              <w:top w:val="single" w:sz="4" w:space="0" w:color="auto"/>
              <w:left w:val="nil"/>
              <w:bottom w:val="single" w:sz="4" w:space="0" w:color="auto"/>
              <w:right w:val="single" w:sz="4" w:space="0" w:color="auto"/>
            </w:tcBorders>
            <w:shd w:val="clear" w:color="auto" w:fill="auto"/>
            <w:hideMark/>
          </w:tcPr>
          <w:p w14:paraId="7F083BA9"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SERVICIOS DE GESTIÓN Y APOYO</w:t>
            </w:r>
          </w:p>
        </w:tc>
        <w:tc>
          <w:tcPr>
            <w:tcW w:w="1377" w:type="pct"/>
            <w:tcBorders>
              <w:top w:val="nil"/>
              <w:left w:val="nil"/>
              <w:bottom w:val="single" w:sz="4" w:space="0" w:color="auto"/>
              <w:right w:val="single" w:sz="4" w:space="0" w:color="auto"/>
            </w:tcBorders>
            <w:shd w:val="clear" w:color="auto" w:fill="auto"/>
            <w:noWrap/>
            <w:vAlign w:val="bottom"/>
            <w:hideMark/>
          </w:tcPr>
          <w:p w14:paraId="79E5D061" w14:textId="77777777" w:rsidR="00B15F7D" w:rsidRPr="00990FB6" w:rsidRDefault="00B15F7D" w:rsidP="00B15F7D">
            <w:pPr>
              <w:jc w:val="right"/>
              <w:rPr>
                <w:sz w:val="22"/>
                <w:szCs w:val="22"/>
                <w:lang w:eastAsia="es-CR"/>
              </w:rPr>
            </w:pPr>
          </w:p>
        </w:tc>
      </w:tr>
      <w:tr w:rsidR="00B15F7D" w:rsidRPr="00990FB6" w14:paraId="241DF328" w14:textId="77777777" w:rsidTr="000A0C22">
        <w:trPr>
          <w:trHeight w:val="255"/>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BAB47D5"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10406 </w:t>
            </w:r>
          </w:p>
        </w:tc>
        <w:tc>
          <w:tcPr>
            <w:tcW w:w="2609" w:type="pct"/>
            <w:tcBorders>
              <w:top w:val="single" w:sz="4" w:space="0" w:color="auto"/>
              <w:left w:val="nil"/>
              <w:bottom w:val="single" w:sz="4" w:space="0" w:color="auto"/>
              <w:right w:val="single" w:sz="4" w:space="0" w:color="auto"/>
            </w:tcBorders>
            <w:shd w:val="clear" w:color="auto" w:fill="auto"/>
            <w:hideMark/>
          </w:tcPr>
          <w:p w14:paraId="14EF7FAA"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Servicios generales </w:t>
            </w:r>
          </w:p>
        </w:tc>
        <w:tc>
          <w:tcPr>
            <w:tcW w:w="1377" w:type="pct"/>
            <w:tcBorders>
              <w:top w:val="nil"/>
              <w:left w:val="nil"/>
              <w:bottom w:val="single" w:sz="4" w:space="0" w:color="auto"/>
              <w:right w:val="single" w:sz="4" w:space="0" w:color="auto"/>
            </w:tcBorders>
            <w:shd w:val="clear" w:color="auto" w:fill="auto"/>
            <w:noWrap/>
            <w:vAlign w:val="bottom"/>
            <w:hideMark/>
          </w:tcPr>
          <w:p w14:paraId="43014E19" w14:textId="77777777" w:rsidR="00B15F7D" w:rsidRPr="00990FB6" w:rsidRDefault="00B15F7D" w:rsidP="00B15F7D">
            <w:pPr>
              <w:jc w:val="right"/>
              <w:rPr>
                <w:sz w:val="22"/>
                <w:szCs w:val="22"/>
                <w:lang w:eastAsia="es-CR"/>
              </w:rPr>
            </w:pPr>
            <w:r w:rsidRPr="00990FB6">
              <w:rPr>
                <w:sz w:val="22"/>
                <w:szCs w:val="22"/>
                <w:lang w:eastAsia="es-CR"/>
              </w:rPr>
              <w:t>₡2.596.601,00</w:t>
            </w:r>
          </w:p>
        </w:tc>
      </w:tr>
      <w:tr w:rsidR="00B15F7D" w:rsidRPr="00990FB6" w14:paraId="503EB1C4" w14:textId="77777777" w:rsidTr="000A0C22">
        <w:trPr>
          <w:trHeight w:val="272"/>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2C060E10"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10499</w:t>
            </w:r>
          </w:p>
        </w:tc>
        <w:tc>
          <w:tcPr>
            <w:tcW w:w="2609" w:type="pct"/>
            <w:tcBorders>
              <w:top w:val="single" w:sz="4" w:space="0" w:color="auto"/>
              <w:left w:val="nil"/>
              <w:bottom w:val="single" w:sz="4" w:space="0" w:color="auto"/>
              <w:right w:val="single" w:sz="4" w:space="0" w:color="auto"/>
            </w:tcBorders>
            <w:shd w:val="clear" w:color="auto" w:fill="auto"/>
            <w:hideMark/>
          </w:tcPr>
          <w:p w14:paraId="7F564F0E" w14:textId="77777777" w:rsidR="00B15F7D" w:rsidRPr="00990FB6" w:rsidRDefault="00B15F7D" w:rsidP="00B15F7D">
            <w:pPr>
              <w:jc w:val="both"/>
              <w:rPr>
                <w:color w:val="000000"/>
                <w:sz w:val="22"/>
                <w:szCs w:val="22"/>
                <w:lang w:eastAsia="es-CR"/>
              </w:rPr>
            </w:pPr>
            <w:r w:rsidRPr="00990FB6">
              <w:rPr>
                <w:color w:val="000000"/>
                <w:sz w:val="22"/>
                <w:szCs w:val="22"/>
                <w:lang w:eastAsia="es-CR"/>
              </w:rPr>
              <w:t>Otros servicios de gestión y apoyo</w:t>
            </w:r>
          </w:p>
        </w:tc>
        <w:tc>
          <w:tcPr>
            <w:tcW w:w="1377" w:type="pct"/>
            <w:tcBorders>
              <w:top w:val="nil"/>
              <w:left w:val="nil"/>
              <w:bottom w:val="single" w:sz="4" w:space="0" w:color="auto"/>
              <w:right w:val="single" w:sz="4" w:space="0" w:color="auto"/>
            </w:tcBorders>
            <w:shd w:val="clear" w:color="auto" w:fill="auto"/>
            <w:noWrap/>
            <w:vAlign w:val="bottom"/>
            <w:hideMark/>
          </w:tcPr>
          <w:p w14:paraId="2D23C4B9" w14:textId="77777777" w:rsidR="00B15F7D" w:rsidRPr="00990FB6" w:rsidRDefault="00B15F7D" w:rsidP="00B15F7D">
            <w:pPr>
              <w:jc w:val="right"/>
              <w:rPr>
                <w:sz w:val="22"/>
                <w:szCs w:val="22"/>
                <w:lang w:eastAsia="es-CR"/>
              </w:rPr>
            </w:pPr>
            <w:r w:rsidRPr="00990FB6">
              <w:rPr>
                <w:sz w:val="22"/>
                <w:szCs w:val="22"/>
                <w:lang w:eastAsia="es-CR"/>
              </w:rPr>
              <w:t>₡4.637.166,00</w:t>
            </w:r>
          </w:p>
        </w:tc>
      </w:tr>
      <w:tr w:rsidR="00B15F7D" w:rsidRPr="00990FB6" w14:paraId="12BBB6B4"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0368DC3"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105 </w:t>
            </w:r>
          </w:p>
        </w:tc>
        <w:tc>
          <w:tcPr>
            <w:tcW w:w="2609" w:type="pct"/>
            <w:tcBorders>
              <w:top w:val="single" w:sz="4" w:space="0" w:color="auto"/>
              <w:left w:val="nil"/>
              <w:bottom w:val="single" w:sz="4" w:space="0" w:color="auto"/>
              <w:right w:val="single" w:sz="4" w:space="0" w:color="auto"/>
            </w:tcBorders>
            <w:shd w:val="clear" w:color="auto" w:fill="auto"/>
            <w:hideMark/>
          </w:tcPr>
          <w:p w14:paraId="17E9385A"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GASTOS DE VIAJE Y DE TRANSPORTE</w:t>
            </w:r>
          </w:p>
        </w:tc>
        <w:tc>
          <w:tcPr>
            <w:tcW w:w="1377" w:type="pct"/>
            <w:tcBorders>
              <w:top w:val="nil"/>
              <w:left w:val="nil"/>
              <w:bottom w:val="single" w:sz="4" w:space="0" w:color="auto"/>
              <w:right w:val="single" w:sz="4" w:space="0" w:color="auto"/>
            </w:tcBorders>
            <w:shd w:val="clear" w:color="auto" w:fill="auto"/>
            <w:noWrap/>
            <w:vAlign w:val="bottom"/>
            <w:hideMark/>
          </w:tcPr>
          <w:p w14:paraId="6923853F"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7D952462" w14:textId="77777777" w:rsidTr="000A0C22">
        <w:trPr>
          <w:trHeight w:val="255"/>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65CD1AF"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10503 </w:t>
            </w:r>
          </w:p>
        </w:tc>
        <w:tc>
          <w:tcPr>
            <w:tcW w:w="2609" w:type="pct"/>
            <w:tcBorders>
              <w:top w:val="single" w:sz="4" w:space="0" w:color="auto"/>
              <w:left w:val="nil"/>
              <w:bottom w:val="single" w:sz="4" w:space="0" w:color="auto"/>
              <w:right w:val="single" w:sz="4" w:space="0" w:color="auto"/>
            </w:tcBorders>
            <w:shd w:val="clear" w:color="auto" w:fill="auto"/>
            <w:hideMark/>
          </w:tcPr>
          <w:p w14:paraId="71E50C8D" w14:textId="77777777" w:rsidR="00B15F7D" w:rsidRPr="00990FB6" w:rsidRDefault="00B15F7D" w:rsidP="00B15F7D">
            <w:pPr>
              <w:jc w:val="both"/>
              <w:rPr>
                <w:color w:val="000000"/>
                <w:sz w:val="22"/>
                <w:szCs w:val="22"/>
                <w:lang w:eastAsia="es-CR"/>
              </w:rPr>
            </w:pPr>
            <w:r w:rsidRPr="00990FB6">
              <w:rPr>
                <w:color w:val="000000"/>
                <w:sz w:val="22"/>
                <w:szCs w:val="22"/>
                <w:lang w:eastAsia="es-CR"/>
              </w:rPr>
              <w:t>Transporte en el exterior</w:t>
            </w:r>
          </w:p>
        </w:tc>
        <w:tc>
          <w:tcPr>
            <w:tcW w:w="1377" w:type="pct"/>
            <w:tcBorders>
              <w:top w:val="nil"/>
              <w:left w:val="nil"/>
              <w:bottom w:val="single" w:sz="4" w:space="0" w:color="auto"/>
              <w:right w:val="single" w:sz="4" w:space="0" w:color="auto"/>
            </w:tcBorders>
            <w:shd w:val="clear" w:color="auto" w:fill="auto"/>
            <w:noWrap/>
            <w:vAlign w:val="bottom"/>
            <w:hideMark/>
          </w:tcPr>
          <w:p w14:paraId="7B1F5F3A" w14:textId="77777777" w:rsidR="00B15F7D" w:rsidRPr="00990FB6" w:rsidRDefault="00B15F7D" w:rsidP="00B15F7D">
            <w:pPr>
              <w:jc w:val="right"/>
              <w:rPr>
                <w:sz w:val="22"/>
                <w:szCs w:val="22"/>
                <w:lang w:eastAsia="es-CR"/>
              </w:rPr>
            </w:pPr>
            <w:r w:rsidRPr="00990FB6">
              <w:rPr>
                <w:sz w:val="22"/>
                <w:szCs w:val="22"/>
                <w:lang w:eastAsia="es-CR"/>
              </w:rPr>
              <w:t>₡4.862.942,00</w:t>
            </w:r>
          </w:p>
        </w:tc>
      </w:tr>
      <w:tr w:rsidR="00B15F7D" w:rsidRPr="00990FB6" w14:paraId="5F4C85B6" w14:textId="77777777" w:rsidTr="000A0C22">
        <w:trPr>
          <w:trHeight w:val="287"/>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DA1CE98"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10504 </w:t>
            </w:r>
          </w:p>
        </w:tc>
        <w:tc>
          <w:tcPr>
            <w:tcW w:w="2609" w:type="pct"/>
            <w:tcBorders>
              <w:top w:val="single" w:sz="4" w:space="0" w:color="auto"/>
              <w:left w:val="nil"/>
              <w:bottom w:val="single" w:sz="4" w:space="0" w:color="auto"/>
              <w:right w:val="single" w:sz="4" w:space="0" w:color="auto"/>
            </w:tcBorders>
            <w:shd w:val="clear" w:color="auto" w:fill="auto"/>
            <w:hideMark/>
          </w:tcPr>
          <w:p w14:paraId="237F74F6" w14:textId="77777777" w:rsidR="00B15F7D" w:rsidRPr="00990FB6" w:rsidRDefault="00B15F7D" w:rsidP="00B15F7D">
            <w:pPr>
              <w:jc w:val="both"/>
              <w:rPr>
                <w:color w:val="000000"/>
                <w:sz w:val="22"/>
                <w:szCs w:val="22"/>
                <w:lang w:eastAsia="es-CR"/>
              </w:rPr>
            </w:pPr>
            <w:r w:rsidRPr="00990FB6">
              <w:rPr>
                <w:color w:val="000000"/>
                <w:sz w:val="22"/>
                <w:szCs w:val="22"/>
                <w:lang w:eastAsia="es-CR"/>
              </w:rPr>
              <w:t>Viáticos en el exterior</w:t>
            </w:r>
          </w:p>
        </w:tc>
        <w:tc>
          <w:tcPr>
            <w:tcW w:w="1377" w:type="pct"/>
            <w:tcBorders>
              <w:top w:val="nil"/>
              <w:left w:val="nil"/>
              <w:bottom w:val="single" w:sz="4" w:space="0" w:color="auto"/>
              <w:right w:val="single" w:sz="4" w:space="0" w:color="auto"/>
            </w:tcBorders>
            <w:shd w:val="clear" w:color="auto" w:fill="auto"/>
            <w:noWrap/>
            <w:vAlign w:val="bottom"/>
            <w:hideMark/>
          </w:tcPr>
          <w:p w14:paraId="6BB6CFBD" w14:textId="77777777" w:rsidR="00B15F7D" w:rsidRPr="00990FB6" w:rsidRDefault="00B15F7D" w:rsidP="00B15F7D">
            <w:pPr>
              <w:jc w:val="right"/>
              <w:rPr>
                <w:sz w:val="22"/>
                <w:szCs w:val="22"/>
                <w:lang w:eastAsia="es-CR"/>
              </w:rPr>
            </w:pPr>
            <w:r w:rsidRPr="00990FB6">
              <w:rPr>
                <w:sz w:val="22"/>
                <w:szCs w:val="22"/>
                <w:lang w:eastAsia="es-CR"/>
              </w:rPr>
              <w:t>₡2.828.193,00</w:t>
            </w:r>
          </w:p>
        </w:tc>
      </w:tr>
      <w:tr w:rsidR="00B15F7D" w:rsidRPr="00990FB6" w14:paraId="0FD424AB"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5B2814B"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lastRenderedPageBreak/>
              <w:t xml:space="preserve">  Grupo: 107 </w:t>
            </w:r>
          </w:p>
        </w:tc>
        <w:tc>
          <w:tcPr>
            <w:tcW w:w="2609" w:type="pct"/>
            <w:tcBorders>
              <w:top w:val="single" w:sz="4" w:space="0" w:color="auto"/>
              <w:left w:val="nil"/>
              <w:bottom w:val="single" w:sz="4" w:space="0" w:color="auto"/>
              <w:right w:val="single" w:sz="4" w:space="0" w:color="auto"/>
            </w:tcBorders>
            <w:shd w:val="clear" w:color="auto" w:fill="auto"/>
            <w:hideMark/>
          </w:tcPr>
          <w:p w14:paraId="7C16DC7B"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CAPACITACIÓN Y PROTOCOLO</w:t>
            </w:r>
          </w:p>
        </w:tc>
        <w:tc>
          <w:tcPr>
            <w:tcW w:w="1377" w:type="pct"/>
            <w:tcBorders>
              <w:top w:val="nil"/>
              <w:left w:val="nil"/>
              <w:bottom w:val="single" w:sz="4" w:space="0" w:color="auto"/>
              <w:right w:val="single" w:sz="4" w:space="0" w:color="auto"/>
            </w:tcBorders>
            <w:shd w:val="clear" w:color="auto" w:fill="auto"/>
            <w:noWrap/>
            <w:vAlign w:val="bottom"/>
            <w:hideMark/>
          </w:tcPr>
          <w:p w14:paraId="14154A68"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5BE9251C" w14:textId="77777777" w:rsidTr="000A0C22">
        <w:trPr>
          <w:trHeight w:val="253"/>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88F6007"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10701 </w:t>
            </w:r>
          </w:p>
        </w:tc>
        <w:tc>
          <w:tcPr>
            <w:tcW w:w="2609" w:type="pct"/>
            <w:tcBorders>
              <w:top w:val="single" w:sz="4" w:space="0" w:color="auto"/>
              <w:left w:val="nil"/>
              <w:bottom w:val="single" w:sz="4" w:space="0" w:color="auto"/>
              <w:right w:val="single" w:sz="4" w:space="0" w:color="auto"/>
            </w:tcBorders>
            <w:shd w:val="clear" w:color="auto" w:fill="auto"/>
            <w:hideMark/>
          </w:tcPr>
          <w:p w14:paraId="0F63D752" w14:textId="77777777" w:rsidR="00B15F7D" w:rsidRPr="00990FB6" w:rsidRDefault="00B15F7D" w:rsidP="00B15F7D">
            <w:pPr>
              <w:jc w:val="both"/>
              <w:rPr>
                <w:color w:val="000000"/>
                <w:sz w:val="22"/>
                <w:szCs w:val="22"/>
                <w:lang w:eastAsia="es-CR"/>
              </w:rPr>
            </w:pPr>
            <w:r w:rsidRPr="00990FB6">
              <w:rPr>
                <w:color w:val="000000"/>
                <w:sz w:val="22"/>
                <w:szCs w:val="22"/>
                <w:lang w:eastAsia="es-CR"/>
              </w:rPr>
              <w:t>Actividades de capacitación</w:t>
            </w:r>
          </w:p>
        </w:tc>
        <w:tc>
          <w:tcPr>
            <w:tcW w:w="1377" w:type="pct"/>
            <w:tcBorders>
              <w:top w:val="nil"/>
              <w:left w:val="nil"/>
              <w:bottom w:val="single" w:sz="4" w:space="0" w:color="auto"/>
              <w:right w:val="single" w:sz="4" w:space="0" w:color="auto"/>
            </w:tcBorders>
            <w:shd w:val="clear" w:color="auto" w:fill="auto"/>
            <w:noWrap/>
            <w:vAlign w:val="bottom"/>
            <w:hideMark/>
          </w:tcPr>
          <w:p w14:paraId="0448120D" w14:textId="77777777" w:rsidR="00B15F7D" w:rsidRPr="00990FB6" w:rsidRDefault="00B15F7D" w:rsidP="00B15F7D">
            <w:pPr>
              <w:jc w:val="right"/>
              <w:rPr>
                <w:sz w:val="22"/>
                <w:szCs w:val="22"/>
                <w:lang w:eastAsia="es-CR"/>
              </w:rPr>
            </w:pPr>
            <w:r w:rsidRPr="00990FB6">
              <w:rPr>
                <w:sz w:val="22"/>
                <w:szCs w:val="22"/>
                <w:lang w:eastAsia="es-CR"/>
              </w:rPr>
              <w:t>₡8.352.000,00</w:t>
            </w:r>
          </w:p>
        </w:tc>
      </w:tr>
      <w:tr w:rsidR="00B15F7D" w:rsidRPr="00990FB6" w14:paraId="0EFCAABA"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A417958"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108 </w:t>
            </w:r>
          </w:p>
        </w:tc>
        <w:tc>
          <w:tcPr>
            <w:tcW w:w="2609" w:type="pct"/>
            <w:tcBorders>
              <w:top w:val="single" w:sz="4" w:space="0" w:color="auto"/>
              <w:left w:val="nil"/>
              <w:bottom w:val="single" w:sz="4" w:space="0" w:color="auto"/>
              <w:right w:val="single" w:sz="4" w:space="0" w:color="auto"/>
            </w:tcBorders>
            <w:shd w:val="clear" w:color="auto" w:fill="auto"/>
            <w:hideMark/>
          </w:tcPr>
          <w:p w14:paraId="5CD8D419"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MANTENIMIENTO Y REPARACIÓN</w:t>
            </w:r>
          </w:p>
        </w:tc>
        <w:tc>
          <w:tcPr>
            <w:tcW w:w="1377" w:type="pct"/>
            <w:tcBorders>
              <w:top w:val="nil"/>
              <w:left w:val="nil"/>
              <w:bottom w:val="single" w:sz="4" w:space="0" w:color="auto"/>
              <w:right w:val="single" w:sz="4" w:space="0" w:color="auto"/>
            </w:tcBorders>
            <w:shd w:val="clear" w:color="auto" w:fill="auto"/>
            <w:noWrap/>
            <w:vAlign w:val="bottom"/>
            <w:hideMark/>
          </w:tcPr>
          <w:p w14:paraId="054DA697"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5563426B" w14:textId="77777777" w:rsidTr="000A0C22">
        <w:trPr>
          <w:trHeight w:val="235"/>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E2E5A12"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10801 </w:t>
            </w:r>
          </w:p>
        </w:tc>
        <w:tc>
          <w:tcPr>
            <w:tcW w:w="2609" w:type="pct"/>
            <w:tcBorders>
              <w:top w:val="single" w:sz="4" w:space="0" w:color="auto"/>
              <w:left w:val="nil"/>
              <w:bottom w:val="single" w:sz="4" w:space="0" w:color="auto"/>
              <w:right w:val="single" w:sz="4" w:space="0" w:color="auto"/>
            </w:tcBorders>
            <w:shd w:val="clear" w:color="auto" w:fill="auto"/>
            <w:hideMark/>
          </w:tcPr>
          <w:p w14:paraId="2342165E" w14:textId="77777777" w:rsidR="00B15F7D" w:rsidRPr="00990FB6" w:rsidRDefault="00B15F7D" w:rsidP="00B15F7D">
            <w:pPr>
              <w:jc w:val="both"/>
              <w:rPr>
                <w:color w:val="000000"/>
                <w:sz w:val="22"/>
                <w:szCs w:val="22"/>
                <w:lang w:eastAsia="es-CR"/>
              </w:rPr>
            </w:pPr>
            <w:r w:rsidRPr="00990FB6">
              <w:rPr>
                <w:color w:val="000000"/>
                <w:sz w:val="22"/>
                <w:szCs w:val="22"/>
                <w:lang w:eastAsia="es-CR"/>
              </w:rPr>
              <w:t>Mantenimiento de edificios y locales</w:t>
            </w:r>
          </w:p>
        </w:tc>
        <w:tc>
          <w:tcPr>
            <w:tcW w:w="1377" w:type="pct"/>
            <w:tcBorders>
              <w:top w:val="nil"/>
              <w:left w:val="nil"/>
              <w:bottom w:val="single" w:sz="4" w:space="0" w:color="auto"/>
              <w:right w:val="single" w:sz="4" w:space="0" w:color="auto"/>
            </w:tcBorders>
            <w:shd w:val="clear" w:color="auto" w:fill="auto"/>
            <w:noWrap/>
            <w:vAlign w:val="bottom"/>
            <w:hideMark/>
          </w:tcPr>
          <w:p w14:paraId="3960E5F9" w14:textId="77777777" w:rsidR="00B15F7D" w:rsidRPr="00990FB6" w:rsidRDefault="00B15F7D" w:rsidP="00B15F7D">
            <w:pPr>
              <w:jc w:val="right"/>
              <w:rPr>
                <w:sz w:val="22"/>
                <w:szCs w:val="22"/>
                <w:lang w:eastAsia="es-CR"/>
              </w:rPr>
            </w:pPr>
            <w:r w:rsidRPr="00990FB6">
              <w:rPr>
                <w:sz w:val="22"/>
                <w:szCs w:val="22"/>
                <w:lang w:eastAsia="es-CR"/>
              </w:rPr>
              <w:t>₡18.000.000,00</w:t>
            </w:r>
          </w:p>
        </w:tc>
      </w:tr>
      <w:tr w:rsidR="00B15F7D" w:rsidRPr="00990FB6" w14:paraId="67161D3C" w14:textId="77777777" w:rsidTr="000A0C22">
        <w:trPr>
          <w:trHeight w:val="377"/>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BF7EF37"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10805 </w:t>
            </w:r>
          </w:p>
        </w:tc>
        <w:tc>
          <w:tcPr>
            <w:tcW w:w="2609" w:type="pct"/>
            <w:tcBorders>
              <w:top w:val="single" w:sz="4" w:space="0" w:color="auto"/>
              <w:left w:val="nil"/>
              <w:bottom w:val="single" w:sz="4" w:space="0" w:color="auto"/>
              <w:right w:val="single" w:sz="4" w:space="0" w:color="auto"/>
            </w:tcBorders>
            <w:shd w:val="clear" w:color="auto" w:fill="auto"/>
            <w:hideMark/>
          </w:tcPr>
          <w:p w14:paraId="51A103D8" w14:textId="77777777" w:rsidR="00B15F7D" w:rsidRPr="00990FB6" w:rsidRDefault="00B15F7D" w:rsidP="00B15F7D">
            <w:pPr>
              <w:jc w:val="both"/>
              <w:rPr>
                <w:color w:val="000000"/>
                <w:sz w:val="22"/>
                <w:szCs w:val="22"/>
                <w:lang w:eastAsia="es-CR"/>
              </w:rPr>
            </w:pPr>
            <w:r w:rsidRPr="00990FB6">
              <w:rPr>
                <w:color w:val="000000"/>
                <w:sz w:val="22"/>
                <w:szCs w:val="22"/>
                <w:lang w:eastAsia="es-CR"/>
              </w:rPr>
              <w:t>Mantenimiento y reparación de equipo de transporte</w:t>
            </w:r>
          </w:p>
        </w:tc>
        <w:tc>
          <w:tcPr>
            <w:tcW w:w="1377" w:type="pct"/>
            <w:tcBorders>
              <w:top w:val="nil"/>
              <w:left w:val="nil"/>
              <w:bottom w:val="single" w:sz="4" w:space="0" w:color="auto"/>
              <w:right w:val="single" w:sz="4" w:space="0" w:color="auto"/>
            </w:tcBorders>
            <w:shd w:val="clear" w:color="auto" w:fill="auto"/>
            <w:noWrap/>
            <w:vAlign w:val="bottom"/>
            <w:hideMark/>
          </w:tcPr>
          <w:p w14:paraId="291D60C5" w14:textId="77777777" w:rsidR="00B15F7D" w:rsidRPr="00990FB6" w:rsidRDefault="00B15F7D" w:rsidP="00B15F7D">
            <w:pPr>
              <w:jc w:val="right"/>
              <w:rPr>
                <w:sz w:val="22"/>
                <w:szCs w:val="22"/>
                <w:lang w:eastAsia="es-CR"/>
              </w:rPr>
            </w:pPr>
            <w:r w:rsidRPr="00990FB6">
              <w:rPr>
                <w:sz w:val="22"/>
                <w:szCs w:val="22"/>
                <w:lang w:eastAsia="es-CR"/>
              </w:rPr>
              <w:t>₡3.355.200,00</w:t>
            </w:r>
          </w:p>
        </w:tc>
      </w:tr>
      <w:tr w:rsidR="00B15F7D" w:rsidRPr="00990FB6" w14:paraId="4F814A57" w14:textId="77777777" w:rsidTr="000A0C22">
        <w:trPr>
          <w:trHeight w:val="377"/>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66C856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10807 </w:t>
            </w:r>
          </w:p>
        </w:tc>
        <w:tc>
          <w:tcPr>
            <w:tcW w:w="2609" w:type="pct"/>
            <w:tcBorders>
              <w:top w:val="single" w:sz="4" w:space="0" w:color="auto"/>
              <w:left w:val="nil"/>
              <w:bottom w:val="single" w:sz="4" w:space="0" w:color="auto"/>
              <w:right w:val="single" w:sz="4" w:space="0" w:color="auto"/>
            </w:tcBorders>
            <w:shd w:val="clear" w:color="auto" w:fill="auto"/>
            <w:hideMark/>
          </w:tcPr>
          <w:p w14:paraId="1C477F64" w14:textId="77777777" w:rsidR="00B15F7D" w:rsidRPr="00990FB6" w:rsidRDefault="00B15F7D" w:rsidP="00B15F7D">
            <w:pPr>
              <w:jc w:val="both"/>
              <w:rPr>
                <w:color w:val="000000"/>
                <w:sz w:val="22"/>
                <w:szCs w:val="22"/>
                <w:lang w:eastAsia="es-CR"/>
              </w:rPr>
            </w:pPr>
            <w:r w:rsidRPr="00990FB6">
              <w:rPr>
                <w:color w:val="000000"/>
                <w:sz w:val="22"/>
                <w:szCs w:val="22"/>
                <w:lang w:eastAsia="es-CR"/>
              </w:rPr>
              <w:t>Mantenimiento y reparación de equipo y mobiliario de oficina</w:t>
            </w:r>
          </w:p>
        </w:tc>
        <w:tc>
          <w:tcPr>
            <w:tcW w:w="1377" w:type="pct"/>
            <w:tcBorders>
              <w:top w:val="nil"/>
              <w:left w:val="nil"/>
              <w:bottom w:val="single" w:sz="4" w:space="0" w:color="auto"/>
              <w:right w:val="single" w:sz="4" w:space="0" w:color="auto"/>
            </w:tcBorders>
            <w:shd w:val="clear" w:color="auto" w:fill="auto"/>
            <w:noWrap/>
            <w:vAlign w:val="bottom"/>
            <w:hideMark/>
          </w:tcPr>
          <w:p w14:paraId="7DEEDC2B" w14:textId="77777777" w:rsidR="00B15F7D" w:rsidRPr="00990FB6" w:rsidRDefault="00B15F7D" w:rsidP="00B15F7D">
            <w:pPr>
              <w:jc w:val="right"/>
              <w:rPr>
                <w:sz w:val="22"/>
                <w:szCs w:val="22"/>
                <w:lang w:eastAsia="es-CR"/>
              </w:rPr>
            </w:pPr>
            <w:r w:rsidRPr="00990FB6">
              <w:rPr>
                <w:sz w:val="22"/>
                <w:szCs w:val="22"/>
                <w:lang w:eastAsia="es-CR"/>
              </w:rPr>
              <w:t>₡4.000.000,00</w:t>
            </w:r>
          </w:p>
        </w:tc>
      </w:tr>
      <w:tr w:rsidR="00B15F7D" w:rsidRPr="00990FB6" w14:paraId="49836139"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2E0DDB06"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Partida: 2 </w:t>
            </w:r>
          </w:p>
        </w:tc>
        <w:tc>
          <w:tcPr>
            <w:tcW w:w="2609" w:type="pct"/>
            <w:tcBorders>
              <w:top w:val="single" w:sz="4" w:space="0" w:color="auto"/>
              <w:left w:val="nil"/>
              <w:bottom w:val="single" w:sz="4" w:space="0" w:color="auto"/>
              <w:right w:val="single" w:sz="4" w:space="0" w:color="auto"/>
            </w:tcBorders>
            <w:shd w:val="clear" w:color="auto" w:fill="auto"/>
            <w:hideMark/>
          </w:tcPr>
          <w:p w14:paraId="649852D7"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Materiales y Suministros</w:t>
            </w:r>
          </w:p>
        </w:tc>
        <w:tc>
          <w:tcPr>
            <w:tcW w:w="1377" w:type="pct"/>
            <w:tcBorders>
              <w:top w:val="nil"/>
              <w:left w:val="nil"/>
              <w:bottom w:val="single" w:sz="4" w:space="0" w:color="auto"/>
              <w:right w:val="single" w:sz="4" w:space="0" w:color="auto"/>
            </w:tcBorders>
            <w:shd w:val="clear" w:color="auto" w:fill="auto"/>
            <w:noWrap/>
            <w:vAlign w:val="bottom"/>
            <w:hideMark/>
          </w:tcPr>
          <w:p w14:paraId="42AEDDE5"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4DA2179C"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035A90A"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201 </w:t>
            </w:r>
          </w:p>
        </w:tc>
        <w:tc>
          <w:tcPr>
            <w:tcW w:w="2609" w:type="pct"/>
            <w:tcBorders>
              <w:top w:val="single" w:sz="4" w:space="0" w:color="auto"/>
              <w:left w:val="nil"/>
              <w:bottom w:val="single" w:sz="4" w:space="0" w:color="auto"/>
              <w:right w:val="single" w:sz="4" w:space="0" w:color="auto"/>
            </w:tcBorders>
            <w:shd w:val="clear" w:color="auto" w:fill="auto"/>
            <w:hideMark/>
          </w:tcPr>
          <w:p w14:paraId="35A2BC99"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PRODUCTOS QUÍMICOS Y CONEXOS</w:t>
            </w:r>
          </w:p>
        </w:tc>
        <w:tc>
          <w:tcPr>
            <w:tcW w:w="1377" w:type="pct"/>
            <w:tcBorders>
              <w:top w:val="nil"/>
              <w:left w:val="nil"/>
              <w:bottom w:val="single" w:sz="4" w:space="0" w:color="auto"/>
              <w:right w:val="single" w:sz="4" w:space="0" w:color="auto"/>
            </w:tcBorders>
            <w:shd w:val="clear" w:color="auto" w:fill="auto"/>
            <w:noWrap/>
            <w:vAlign w:val="bottom"/>
            <w:hideMark/>
          </w:tcPr>
          <w:p w14:paraId="3F2A1CDD"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7F502E32" w14:textId="77777777" w:rsidTr="000A0C22">
        <w:trPr>
          <w:trHeight w:val="343"/>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E70A6E5"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20101 </w:t>
            </w:r>
          </w:p>
        </w:tc>
        <w:tc>
          <w:tcPr>
            <w:tcW w:w="2609" w:type="pct"/>
            <w:tcBorders>
              <w:top w:val="single" w:sz="4" w:space="0" w:color="auto"/>
              <w:left w:val="nil"/>
              <w:bottom w:val="single" w:sz="4" w:space="0" w:color="auto"/>
              <w:right w:val="single" w:sz="4" w:space="0" w:color="auto"/>
            </w:tcBorders>
            <w:shd w:val="clear" w:color="auto" w:fill="auto"/>
            <w:hideMark/>
          </w:tcPr>
          <w:p w14:paraId="22BF7643" w14:textId="77777777" w:rsidR="00B15F7D" w:rsidRPr="00990FB6" w:rsidRDefault="00B15F7D" w:rsidP="00B15F7D">
            <w:pPr>
              <w:jc w:val="both"/>
              <w:rPr>
                <w:color w:val="000000"/>
                <w:sz w:val="22"/>
                <w:szCs w:val="22"/>
                <w:lang w:eastAsia="es-CR"/>
              </w:rPr>
            </w:pPr>
            <w:r w:rsidRPr="00990FB6">
              <w:rPr>
                <w:color w:val="000000"/>
                <w:sz w:val="22"/>
                <w:szCs w:val="22"/>
                <w:lang w:eastAsia="es-CR"/>
              </w:rPr>
              <w:t>Combustibles y lubricantes</w:t>
            </w:r>
          </w:p>
        </w:tc>
        <w:tc>
          <w:tcPr>
            <w:tcW w:w="1377" w:type="pct"/>
            <w:tcBorders>
              <w:top w:val="nil"/>
              <w:left w:val="nil"/>
              <w:bottom w:val="single" w:sz="4" w:space="0" w:color="auto"/>
              <w:right w:val="single" w:sz="4" w:space="0" w:color="auto"/>
            </w:tcBorders>
            <w:shd w:val="clear" w:color="auto" w:fill="auto"/>
            <w:noWrap/>
            <w:vAlign w:val="bottom"/>
            <w:hideMark/>
          </w:tcPr>
          <w:p w14:paraId="26289E5D" w14:textId="77777777" w:rsidR="00B15F7D" w:rsidRPr="00990FB6" w:rsidRDefault="00B15F7D" w:rsidP="00B15F7D">
            <w:pPr>
              <w:jc w:val="right"/>
              <w:rPr>
                <w:sz w:val="22"/>
                <w:szCs w:val="22"/>
                <w:lang w:eastAsia="es-CR"/>
              </w:rPr>
            </w:pPr>
            <w:r w:rsidRPr="00990FB6">
              <w:rPr>
                <w:sz w:val="22"/>
                <w:szCs w:val="22"/>
                <w:lang w:eastAsia="es-CR"/>
              </w:rPr>
              <w:t>₡7.607.393,00</w:t>
            </w:r>
          </w:p>
        </w:tc>
      </w:tr>
      <w:tr w:rsidR="00B15F7D" w:rsidRPr="00990FB6" w14:paraId="084AFE5B" w14:textId="77777777" w:rsidTr="000A0C22">
        <w:trPr>
          <w:trHeight w:val="277"/>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2094141"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20102 </w:t>
            </w:r>
          </w:p>
        </w:tc>
        <w:tc>
          <w:tcPr>
            <w:tcW w:w="2609" w:type="pct"/>
            <w:tcBorders>
              <w:top w:val="single" w:sz="4" w:space="0" w:color="auto"/>
              <w:left w:val="nil"/>
              <w:bottom w:val="single" w:sz="4" w:space="0" w:color="auto"/>
              <w:right w:val="single" w:sz="4" w:space="0" w:color="auto"/>
            </w:tcBorders>
            <w:shd w:val="clear" w:color="auto" w:fill="auto"/>
            <w:hideMark/>
          </w:tcPr>
          <w:p w14:paraId="781935A6" w14:textId="77777777" w:rsidR="00B15F7D" w:rsidRPr="00990FB6" w:rsidRDefault="00B15F7D" w:rsidP="00B15F7D">
            <w:pPr>
              <w:jc w:val="both"/>
              <w:rPr>
                <w:color w:val="000000"/>
                <w:sz w:val="22"/>
                <w:szCs w:val="22"/>
                <w:lang w:eastAsia="es-CR"/>
              </w:rPr>
            </w:pPr>
            <w:r w:rsidRPr="00990FB6">
              <w:rPr>
                <w:color w:val="000000"/>
                <w:sz w:val="22"/>
                <w:szCs w:val="22"/>
                <w:lang w:eastAsia="es-CR"/>
              </w:rPr>
              <w:t>Productos farmacéuticos y medicinales</w:t>
            </w:r>
          </w:p>
        </w:tc>
        <w:tc>
          <w:tcPr>
            <w:tcW w:w="1377" w:type="pct"/>
            <w:tcBorders>
              <w:top w:val="nil"/>
              <w:left w:val="nil"/>
              <w:bottom w:val="single" w:sz="4" w:space="0" w:color="auto"/>
              <w:right w:val="single" w:sz="4" w:space="0" w:color="auto"/>
            </w:tcBorders>
            <w:shd w:val="clear" w:color="auto" w:fill="auto"/>
            <w:noWrap/>
            <w:vAlign w:val="bottom"/>
            <w:hideMark/>
          </w:tcPr>
          <w:p w14:paraId="7A2C15BD" w14:textId="77777777" w:rsidR="00B15F7D" w:rsidRPr="00990FB6" w:rsidRDefault="00B15F7D" w:rsidP="00B15F7D">
            <w:pPr>
              <w:jc w:val="right"/>
              <w:rPr>
                <w:sz w:val="22"/>
                <w:szCs w:val="22"/>
                <w:lang w:eastAsia="es-CR"/>
              </w:rPr>
            </w:pPr>
            <w:r w:rsidRPr="00990FB6">
              <w:rPr>
                <w:sz w:val="22"/>
                <w:szCs w:val="22"/>
                <w:lang w:eastAsia="es-CR"/>
              </w:rPr>
              <w:t>₡1.550.956,00</w:t>
            </w:r>
          </w:p>
        </w:tc>
      </w:tr>
      <w:tr w:rsidR="00B15F7D" w:rsidRPr="00990FB6" w14:paraId="530568FC" w14:textId="77777777" w:rsidTr="000A0C22">
        <w:trPr>
          <w:trHeight w:val="267"/>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00CA4E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20104 </w:t>
            </w:r>
          </w:p>
        </w:tc>
        <w:tc>
          <w:tcPr>
            <w:tcW w:w="2609" w:type="pct"/>
            <w:tcBorders>
              <w:top w:val="single" w:sz="4" w:space="0" w:color="auto"/>
              <w:left w:val="nil"/>
              <w:bottom w:val="single" w:sz="4" w:space="0" w:color="auto"/>
              <w:right w:val="single" w:sz="4" w:space="0" w:color="auto"/>
            </w:tcBorders>
            <w:shd w:val="clear" w:color="auto" w:fill="auto"/>
            <w:hideMark/>
          </w:tcPr>
          <w:p w14:paraId="401FF6F5"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Tintas, pinturas y diluyentes </w:t>
            </w:r>
          </w:p>
        </w:tc>
        <w:tc>
          <w:tcPr>
            <w:tcW w:w="1377" w:type="pct"/>
            <w:tcBorders>
              <w:top w:val="nil"/>
              <w:left w:val="nil"/>
              <w:bottom w:val="single" w:sz="4" w:space="0" w:color="auto"/>
              <w:right w:val="single" w:sz="4" w:space="0" w:color="auto"/>
            </w:tcBorders>
            <w:shd w:val="clear" w:color="auto" w:fill="auto"/>
            <w:noWrap/>
            <w:vAlign w:val="bottom"/>
            <w:hideMark/>
          </w:tcPr>
          <w:p w14:paraId="2551ED32" w14:textId="77777777" w:rsidR="00B15F7D" w:rsidRPr="00990FB6" w:rsidRDefault="00B15F7D" w:rsidP="00B15F7D">
            <w:pPr>
              <w:jc w:val="right"/>
              <w:rPr>
                <w:sz w:val="22"/>
                <w:szCs w:val="22"/>
                <w:lang w:eastAsia="es-CR"/>
              </w:rPr>
            </w:pPr>
            <w:r w:rsidRPr="00990FB6">
              <w:rPr>
                <w:sz w:val="22"/>
                <w:szCs w:val="22"/>
                <w:lang w:eastAsia="es-CR"/>
              </w:rPr>
              <w:t>₡7.000.000,00</w:t>
            </w:r>
          </w:p>
        </w:tc>
      </w:tr>
      <w:tr w:rsidR="00B15F7D" w:rsidRPr="00990FB6" w14:paraId="0BA2F309"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19972E0"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20199 </w:t>
            </w:r>
          </w:p>
        </w:tc>
        <w:tc>
          <w:tcPr>
            <w:tcW w:w="2609" w:type="pct"/>
            <w:tcBorders>
              <w:top w:val="single" w:sz="4" w:space="0" w:color="auto"/>
              <w:left w:val="nil"/>
              <w:bottom w:val="single" w:sz="4" w:space="0" w:color="auto"/>
              <w:right w:val="single" w:sz="4" w:space="0" w:color="auto"/>
            </w:tcBorders>
            <w:shd w:val="clear" w:color="auto" w:fill="auto"/>
            <w:hideMark/>
          </w:tcPr>
          <w:p w14:paraId="46D8C15C" w14:textId="77777777" w:rsidR="00B15F7D" w:rsidRPr="00990FB6" w:rsidRDefault="00B15F7D" w:rsidP="00B15F7D">
            <w:pPr>
              <w:jc w:val="both"/>
              <w:rPr>
                <w:color w:val="000000"/>
                <w:sz w:val="22"/>
                <w:szCs w:val="22"/>
                <w:lang w:eastAsia="es-CR"/>
              </w:rPr>
            </w:pPr>
            <w:r w:rsidRPr="00990FB6">
              <w:rPr>
                <w:color w:val="000000"/>
                <w:sz w:val="22"/>
                <w:szCs w:val="22"/>
                <w:lang w:eastAsia="es-CR"/>
              </w:rPr>
              <w:t>Otros productos químicos y conexos</w:t>
            </w:r>
          </w:p>
        </w:tc>
        <w:tc>
          <w:tcPr>
            <w:tcW w:w="1377" w:type="pct"/>
            <w:tcBorders>
              <w:top w:val="nil"/>
              <w:left w:val="nil"/>
              <w:bottom w:val="single" w:sz="4" w:space="0" w:color="auto"/>
              <w:right w:val="single" w:sz="4" w:space="0" w:color="auto"/>
            </w:tcBorders>
            <w:shd w:val="clear" w:color="auto" w:fill="auto"/>
            <w:noWrap/>
            <w:vAlign w:val="bottom"/>
            <w:hideMark/>
          </w:tcPr>
          <w:p w14:paraId="047EB2ED" w14:textId="77777777" w:rsidR="00B15F7D" w:rsidRPr="00990FB6" w:rsidRDefault="00B15F7D" w:rsidP="00B15F7D">
            <w:pPr>
              <w:jc w:val="right"/>
              <w:rPr>
                <w:sz w:val="22"/>
                <w:szCs w:val="22"/>
                <w:lang w:eastAsia="es-CR"/>
              </w:rPr>
            </w:pPr>
            <w:r w:rsidRPr="00990FB6">
              <w:rPr>
                <w:sz w:val="22"/>
                <w:szCs w:val="22"/>
                <w:lang w:eastAsia="es-CR"/>
              </w:rPr>
              <w:t>₡358.436,00</w:t>
            </w:r>
          </w:p>
        </w:tc>
      </w:tr>
      <w:tr w:rsidR="00B15F7D" w:rsidRPr="00990FB6" w14:paraId="7554A1AF"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55257F2"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202 </w:t>
            </w:r>
          </w:p>
        </w:tc>
        <w:tc>
          <w:tcPr>
            <w:tcW w:w="2609" w:type="pct"/>
            <w:tcBorders>
              <w:top w:val="single" w:sz="4" w:space="0" w:color="auto"/>
              <w:left w:val="nil"/>
              <w:bottom w:val="single" w:sz="4" w:space="0" w:color="auto"/>
              <w:right w:val="single" w:sz="4" w:space="0" w:color="auto"/>
            </w:tcBorders>
            <w:shd w:val="clear" w:color="auto" w:fill="auto"/>
            <w:hideMark/>
          </w:tcPr>
          <w:p w14:paraId="430490D1"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ALIMENTOS Y PRODUCTOS AGROPECUARIOS</w:t>
            </w:r>
          </w:p>
        </w:tc>
        <w:tc>
          <w:tcPr>
            <w:tcW w:w="1377" w:type="pct"/>
            <w:tcBorders>
              <w:top w:val="nil"/>
              <w:left w:val="nil"/>
              <w:bottom w:val="single" w:sz="4" w:space="0" w:color="auto"/>
              <w:right w:val="single" w:sz="4" w:space="0" w:color="auto"/>
            </w:tcBorders>
            <w:shd w:val="clear" w:color="auto" w:fill="auto"/>
            <w:noWrap/>
            <w:vAlign w:val="bottom"/>
            <w:hideMark/>
          </w:tcPr>
          <w:p w14:paraId="21347AB8"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01BD3AAA"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ACBA34B"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203 </w:t>
            </w:r>
          </w:p>
        </w:tc>
        <w:tc>
          <w:tcPr>
            <w:tcW w:w="2609" w:type="pct"/>
            <w:tcBorders>
              <w:top w:val="single" w:sz="4" w:space="0" w:color="auto"/>
              <w:left w:val="nil"/>
              <w:bottom w:val="single" w:sz="4" w:space="0" w:color="auto"/>
              <w:right w:val="single" w:sz="4" w:space="0" w:color="auto"/>
            </w:tcBorders>
            <w:shd w:val="clear" w:color="auto" w:fill="auto"/>
            <w:hideMark/>
          </w:tcPr>
          <w:p w14:paraId="014463AB"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MATERIALES Y PRODUCTOS DE USO EN LA CONSTRUCCIÓN Y</w:t>
            </w:r>
          </w:p>
        </w:tc>
        <w:tc>
          <w:tcPr>
            <w:tcW w:w="1377" w:type="pct"/>
            <w:tcBorders>
              <w:top w:val="nil"/>
              <w:left w:val="nil"/>
              <w:bottom w:val="single" w:sz="4" w:space="0" w:color="auto"/>
              <w:right w:val="single" w:sz="4" w:space="0" w:color="auto"/>
            </w:tcBorders>
            <w:shd w:val="clear" w:color="auto" w:fill="auto"/>
            <w:noWrap/>
            <w:vAlign w:val="bottom"/>
            <w:hideMark/>
          </w:tcPr>
          <w:p w14:paraId="37B04E6B"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57C51C59" w14:textId="77777777" w:rsidTr="000A0C22">
        <w:trPr>
          <w:trHeight w:val="342"/>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38037E4"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20301 </w:t>
            </w:r>
          </w:p>
        </w:tc>
        <w:tc>
          <w:tcPr>
            <w:tcW w:w="2609" w:type="pct"/>
            <w:tcBorders>
              <w:top w:val="single" w:sz="4" w:space="0" w:color="auto"/>
              <w:left w:val="nil"/>
              <w:bottom w:val="single" w:sz="4" w:space="0" w:color="auto"/>
              <w:right w:val="single" w:sz="4" w:space="0" w:color="auto"/>
            </w:tcBorders>
            <w:shd w:val="clear" w:color="auto" w:fill="auto"/>
            <w:hideMark/>
          </w:tcPr>
          <w:p w14:paraId="78ECFF24" w14:textId="77777777" w:rsidR="00B15F7D" w:rsidRPr="00990FB6" w:rsidRDefault="00B15F7D" w:rsidP="00B15F7D">
            <w:pPr>
              <w:jc w:val="both"/>
              <w:rPr>
                <w:color w:val="000000"/>
                <w:sz w:val="22"/>
                <w:szCs w:val="22"/>
                <w:lang w:eastAsia="es-CR"/>
              </w:rPr>
            </w:pPr>
            <w:r w:rsidRPr="00990FB6">
              <w:rPr>
                <w:color w:val="000000"/>
                <w:sz w:val="22"/>
                <w:szCs w:val="22"/>
                <w:lang w:eastAsia="es-CR"/>
              </w:rPr>
              <w:t>Materiales y productos metálicos</w:t>
            </w:r>
          </w:p>
        </w:tc>
        <w:tc>
          <w:tcPr>
            <w:tcW w:w="1377" w:type="pct"/>
            <w:tcBorders>
              <w:top w:val="nil"/>
              <w:left w:val="nil"/>
              <w:bottom w:val="single" w:sz="4" w:space="0" w:color="auto"/>
              <w:right w:val="single" w:sz="4" w:space="0" w:color="auto"/>
            </w:tcBorders>
            <w:shd w:val="clear" w:color="auto" w:fill="auto"/>
            <w:noWrap/>
            <w:vAlign w:val="bottom"/>
            <w:hideMark/>
          </w:tcPr>
          <w:p w14:paraId="37050CB4" w14:textId="77777777" w:rsidR="00B15F7D" w:rsidRPr="00990FB6" w:rsidRDefault="00B15F7D" w:rsidP="00B15F7D">
            <w:pPr>
              <w:jc w:val="right"/>
              <w:rPr>
                <w:sz w:val="22"/>
                <w:szCs w:val="22"/>
                <w:lang w:eastAsia="es-CR"/>
              </w:rPr>
            </w:pPr>
            <w:r w:rsidRPr="00990FB6">
              <w:rPr>
                <w:sz w:val="22"/>
                <w:szCs w:val="22"/>
                <w:lang w:eastAsia="es-CR"/>
              </w:rPr>
              <w:t>₡450.000,00</w:t>
            </w:r>
          </w:p>
        </w:tc>
      </w:tr>
      <w:tr w:rsidR="00B15F7D" w:rsidRPr="00990FB6" w14:paraId="24DC99E2" w14:textId="77777777" w:rsidTr="000A0C22">
        <w:trPr>
          <w:trHeight w:val="276"/>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3FDD5CB2"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20302 </w:t>
            </w:r>
          </w:p>
        </w:tc>
        <w:tc>
          <w:tcPr>
            <w:tcW w:w="2609" w:type="pct"/>
            <w:tcBorders>
              <w:top w:val="single" w:sz="4" w:space="0" w:color="auto"/>
              <w:left w:val="nil"/>
              <w:bottom w:val="single" w:sz="4" w:space="0" w:color="auto"/>
              <w:right w:val="single" w:sz="4" w:space="0" w:color="auto"/>
            </w:tcBorders>
            <w:shd w:val="clear" w:color="auto" w:fill="auto"/>
            <w:hideMark/>
          </w:tcPr>
          <w:p w14:paraId="2A39F4C1" w14:textId="77777777" w:rsidR="00B15F7D" w:rsidRPr="00990FB6" w:rsidRDefault="00B15F7D" w:rsidP="00B15F7D">
            <w:pPr>
              <w:jc w:val="both"/>
              <w:rPr>
                <w:color w:val="000000"/>
                <w:sz w:val="22"/>
                <w:szCs w:val="22"/>
                <w:lang w:eastAsia="es-CR"/>
              </w:rPr>
            </w:pPr>
            <w:r w:rsidRPr="00990FB6">
              <w:rPr>
                <w:color w:val="000000"/>
                <w:sz w:val="22"/>
                <w:szCs w:val="22"/>
                <w:lang w:eastAsia="es-CR"/>
              </w:rPr>
              <w:t>Materiales y productos minerales y asfálticos</w:t>
            </w:r>
          </w:p>
        </w:tc>
        <w:tc>
          <w:tcPr>
            <w:tcW w:w="1377" w:type="pct"/>
            <w:tcBorders>
              <w:top w:val="nil"/>
              <w:left w:val="nil"/>
              <w:bottom w:val="single" w:sz="4" w:space="0" w:color="auto"/>
              <w:right w:val="single" w:sz="4" w:space="0" w:color="auto"/>
            </w:tcBorders>
            <w:shd w:val="clear" w:color="auto" w:fill="auto"/>
            <w:noWrap/>
            <w:vAlign w:val="bottom"/>
            <w:hideMark/>
          </w:tcPr>
          <w:p w14:paraId="0C6F4CA9" w14:textId="77777777" w:rsidR="00B15F7D" w:rsidRPr="00990FB6" w:rsidRDefault="00B15F7D" w:rsidP="00B15F7D">
            <w:pPr>
              <w:jc w:val="right"/>
              <w:rPr>
                <w:sz w:val="22"/>
                <w:szCs w:val="22"/>
                <w:lang w:eastAsia="es-CR"/>
              </w:rPr>
            </w:pPr>
            <w:r w:rsidRPr="00990FB6">
              <w:rPr>
                <w:sz w:val="22"/>
                <w:szCs w:val="22"/>
                <w:lang w:eastAsia="es-CR"/>
              </w:rPr>
              <w:t>₡543.959,00</w:t>
            </w:r>
          </w:p>
        </w:tc>
      </w:tr>
      <w:tr w:rsidR="00B15F7D" w:rsidRPr="00990FB6" w14:paraId="15F80B7B" w14:textId="77777777" w:rsidTr="000A0C22">
        <w:trPr>
          <w:trHeight w:val="280"/>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3E082634"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20303 </w:t>
            </w:r>
          </w:p>
        </w:tc>
        <w:tc>
          <w:tcPr>
            <w:tcW w:w="2609" w:type="pct"/>
            <w:tcBorders>
              <w:top w:val="single" w:sz="4" w:space="0" w:color="auto"/>
              <w:left w:val="nil"/>
              <w:bottom w:val="single" w:sz="4" w:space="0" w:color="auto"/>
              <w:right w:val="single" w:sz="4" w:space="0" w:color="auto"/>
            </w:tcBorders>
            <w:shd w:val="clear" w:color="auto" w:fill="auto"/>
            <w:hideMark/>
          </w:tcPr>
          <w:p w14:paraId="59AE6E15" w14:textId="77777777" w:rsidR="00B15F7D" w:rsidRPr="00990FB6" w:rsidRDefault="00B15F7D" w:rsidP="00B15F7D">
            <w:pPr>
              <w:jc w:val="both"/>
              <w:rPr>
                <w:color w:val="000000"/>
                <w:sz w:val="22"/>
                <w:szCs w:val="22"/>
                <w:lang w:eastAsia="es-CR"/>
              </w:rPr>
            </w:pPr>
            <w:r w:rsidRPr="00990FB6">
              <w:rPr>
                <w:color w:val="000000"/>
                <w:sz w:val="22"/>
                <w:szCs w:val="22"/>
                <w:lang w:eastAsia="es-CR"/>
              </w:rPr>
              <w:t>Madera y sus derivados</w:t>
            </w:r>
          </w:p>
        </w:tc>
        <w:tc>
          <w:tcPr>
            <w:tcW w:w="1377" w:type="pct"/>
            <w:tcBorders>
              <w:top w:val="nil"/>
              <w:left w:val="nil"/>
              <w:bottom w:val="single" w:sz="4" w:space="0" w:color="auto"/>
              <w:right w:val="single" w:sz="4" w:space="0" w:color="auto"/>
            </w:tcBorders>
            <w:shd w:val="clear" w:color="auto" w:fill="auto"/>
            <w:noWrap/>
            <w:vAlign w:val="bottom"/>
            <w:hideMark/>
          </w:tcPr>
          <w:p w14:paraId="13C209A0" w14:textId="77777777" w:rsidR="00B15F7D" w:rsidRPr="00990FB6" w:rsidRDefault="00B15F7D" w:rsidP="00B15F7D">
            <w:pPr>
              <w:jc w:val="right"/>
              <w:rPr>
                <w:sz w:val="22"/>
                <w:szCs w:val="22"/>
                <w:lang w:eastAsia="es-CR"/>
              </w:rPr>
            </w:pPr>
            <w:r w:rsidRPr="00990FB6">
              <w:rPr>
                <w:sz w:val="22"/>
                <w:szCs w:val="22"/>
                <w:lang w:eastAsia="es-CR"/>
              </w:rPr>
              <w:t>₡235.200,00</w:t>
            </w:r>
          </w:p>
        </w:tc>
      </w:tr>
      <w:tr w:rsidR="00B15F7D" w:rsidRPr="00990FB6" w14:paraId="7B34A2ED" w14:textId="77777777" w:rsidTr="000A0C22">
        <w:trPr>
          <w:trHeight w:val="413"/>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67DD24AE"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20304 </w:t>
            </w:r>
          </w:p>
        </w:tc>
        <w:tc>
          <w:tcPr>
            <w:tcW w:w="2609" w:type="pct"/>
            <w:tcBorders>
              <w:top w:val="single" w:sz="4" w:space="0" w:color="auto"/>
              <w:left w:val="nil"/>
              <w:bottom w:val="single" w:sz="4" w:space="0" w:color="auto"/>
              <w:right w:val="single" w:sz="4" w:space="0" w:color="auto"/>
            </w:tcBorders>
            <w:shd w:val="clear" w:color="auto" w:fill="auto"/>
            <w:hideMark/>
          </w:tcPr>
          <w:p w14:paraId="29D50D7D" w14:textId="77777777" w:rsidR="00B15F7D" w:rsidRPr="00990FB6" w:rsidRDefault="00B15F7D" w:rsidP="00B15F7D">
            <w:pPr>
              <w:jc w:val="both"/>
              <w:rPr>
                <w:color w:val="000000"/>
                <w:sz w:val="22"/>
                <w:szCs w:val="22"/>
                <w:lang w:eastAsia="es-CR"/>
              </w:rPr>
            </w:pPr>
            <w:r w:rsidRPr="00990FB6">
              <w:rPr>
                <w:color w:val="000000"/>
                <w:sz w:val="22"/>
                <w:szCs w:val="22"/>
                <w:lang w:eastAsia="es-CR"/>
              </w:rPr>
              <w:t>Materiales y productos eléctricos, telefónicos y de cómputo</w:t>
            </w:r>
          </w:p>
        </w:tc>
        <w:tc>
          <w:tcPr>
            <w:tcW w:w="1377" w:type="pct"/>
            <w:tcBorders>
              <w:top w:val="nil"/>
              <w:left w:val="nil"/>
              <w:bottom w:val="single" w:sz="4" w:space="0" w:color="auto"/>
              <w:right w:val="single" w:sz="4" w:space="0" w:color="auto"/>
            </w:tcBorders>
            <w:shd w:val="clear" w:color="auto" w:fill="auto"/>
            <w:noWrap/>
            <w:vAlign w:val="bottom"/>
            <w:hideMark/>
          </w:tcPr>
          <w:p w14:paraId="6D734BED" w14:textId="77777777" w:rsidR="00B15F7D" w:rsidRPr="00990FB6" w:rsidRDefault="00B15F7D" w:rsidP="00B15F7D">
            <w:pPr>
              <w:jc w:val="right"/>
              <w:rPr>
                <w:sz w:val="22"/>
                <w:szCs w:val="22"/>
                <w:lang w:eastAsia="es-CR"/>
              </w:rPr>
            </w:pPr>
            <w:r w:rsidRPr="00990FB6">
              <w:rPr>
                <w:sz w:val="22"/>
                <w:szCs w:val="22"/>
                <w:lang w:eastAsia="es-CR"/>
              </w:rPr>
              <w:t>₡5.418.000,00</w:t>
            </w:r>
          </w:p>
        </w:tc>
      </w:tr>
      <w:tr w:rsidR="00B15F7D" w:rsidRPr="00990FB6" w14:paraId="7B43063F" w14:textId="77777777" w:rsidTr="000A0C22">
        <w:trPr>
          <w:trHeight w:val="276"/>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2D5B6A97"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20305 </w:t>
            </w:r>
          </w:p>
        </w:tc>
        <w:tc>
          <w:tcPr>
            <w:tcW w:w="2609" w:type="pct"/>
            <w:tcBorders>
              <w:top w:val="single" w:sz="4" w:space="0" w:color="auto"/>
              <w:left w:val="nil"/>
              <w:bottom w:val="single" w:sz="4" w:space="0" w:color="auto"/>
              <w:right w:val="single" w:sz="4" w:space="0" w:color="auto"/>
            </w:tcBorders>
            <w:shd w:val="clear" w:color="auto" w:fill="auto"/>
            <w:hideMark/>
          </w:tcPr>
          <w:p w14:paraId="2714EC83" w14:textId="77777777" w:rsidR="00B15F7D" w:rsidRPr="00990FB6" w:rsidRDefault="00B15F7D" w:rsidP="00B15F7D">
            <w:pPr>
              <w:jc w:val="both"/>
              <w:rPr>
                <w:color w:val="000000"/>
                <w:sz w:val="22"/>
                <w:szCs w:val="22"/>
                <w:lang w:eastAsia="es-CR"/>
              </w:rPr>
            </w:pPr>
            <w:r w:rsidRPr="00990FB6">
              <w:rPr>
                <w:color w:val="000000"/>
                <w:sz w:val="22"/>
                <w:szCs w:val="22"/>
                <w:lang w:eastAsia="es-CR"/>
              </w:rPr>
              <w:t>Materiales y productos de vidrio</w:t>
            </w:r>
          </w:p>
        </w:tc>
        <w:tc>
          <w:tcPr>
            <w:tcW w:w="1377" w:type="pct"/>
            <w:tcBorders>
              <w:top w:val="nil"/>
              <w:left w:val="nil"/>
              <w:bottom w:val="single" w:sz="4" w:space="0" w:color="auto"/>
              <w:right w:val="single" w:sz="4" w:space="0" w:color="auto"/>
            </w:tcBorders>
            <w:shd w:val="clear" w:color="auto" w:fill="auto"/>
            <w:noWrap/>
            <w:vAlign w:val="bottom"/>
            <w:hideMark/>
          </w:tcPr>
          <w:p w14:paraId="68C22645" w14:textId="77777777" w:rsidR="00B15F7D" w:rsidRPr="00990FB6" w:rsidRDefault="00B15F7D" w:rsidP="00B15F7D">
            <w:pPr>
              <w:jc w:val="right"/>
              <w:rPr>
                <w:sz w:val="22"/>
                <w:szCs w:val="22"/>
                <w:lang w:eastAsia="es-CR"/>
              </w:rPr>
            </w:pPr>
            <w:r w:rsidRPr="00990FB6">
              <w:rPr>
                <w:sz w:val="22"/>
                <w:szCs w:val="22"/>
                <w:lang w:eastAsia="es-CR"/>
              </w:rPr>
              <w:t>₡1.632.400,00</w:t>
            </w:r>
          </w:p>
        </w:tc>
      </w:tr>
      <w:tr w:rsidR="00B15F7D" w:rsidRPr="00990FB6" w14:paraId="51283444" w14:textId="77777777" w:rsidTr="000A0C22">
        <w:trPr>
          <w:trHeight w:val="409"/>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5538F47"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20306 </w:t>
            </w:r>
          </w:p>
        </w:tc>
        <w:tc>
          <w:tcPr>
            <w:tcW w:w="2609" w:type="pct"/>
            <w:tcBorders>
              <w:top w:val="single" w:sz="4" w:space="0" w:color="auto"/>
              <w:left w:val="nil"/>
              <w:bottom w:val="single" w:sz="4" w:space="0" w:color="auto"/>
              <w:right w:val="single" w:sz="4" w:space="0" w:color="auto"/>
            </w:tcBorders>
            <w:shd w:val="clear" w:color="auto" w:fill="auto"/>
            <w:hideMark/>
          </w:tcPr>
          <w:p w14:paraId="01AC8252" w14:textId="77777777" w:rsidR="00B15F7D" w:rsidRPr="00990FB6" w:rsidRDefault="00B15F7D" w:rsidP="00B15F7D">
            <w:pPr>
              <w:jc w:val="both"/>
              <w:rPr>
                <w:color w:val="000000"/>
                <w:sz w:val="22"/>
                <w:szCs w:val="22"/>
                <w:lang w:eastAsia="es-CR"/>
              </w:rPr>
            </w:pPr>
            <w:r w:rsidRPr="00990FB6">
              <w:rPr>
                <w:color w:val="000000"/>
                <w:sz w:val="22"/>
                <w:szCs w:val="22"/>
                <w:lang w:eastAsia="es-CR"/>
              </w:rPr>
              <w:t>Materiales y productos de plástico</w:t>
            </w:r>
          </w:p>
        </w:tc>
        <w:tc>
          <w:tcPr>
            <w:tcW w:w="1377" w:type="pct"/>
            <w:tcBorders>
              <w:top w:val="nil"/>
              <w:left w:val="nil"/>
              <w:bottom w:val="single" w:sz="4" w:space="0" w:color="auto"/>
              <w:right w:val="single" w:sz="4" w:space="0" w:color="auto"/>
            </w:tcBorders>
            <w:shd w:val="clear" w:color="auto" w:fill="auto"/>
            <w:noWrap/>
            <w:vAlign w:val="bottom"/>
            <w:hideMark/>
          </w:tcPr>
          <w:p w14:paraId="52102A00" w14:textId="77777777" w:rsidR="00B15F7D" w:rsidRPr="00990FB6" w:rsidRDefault="00B15F7D" w:rsidP="00B15F7D">
            <w:pPr>
              <w:jc w:val="right"/>
              <w:rPr>
                <w:sz w:val="22"/>
                <w:szCs w:val="22"/>
                <w:lang w:eastAsia="es-CR"/>
              </w:rPr>
            </w:pPr>
            <w:r w:rsidRPr="00990FB6">
              <w:rPr>
                <w:sz w:val="22"/>
                <w:szCs w:val="22"/>
                <w:lang w:eastAsia="es-CR"/>
              </w:rPr>
              <w:t>₡259.000,00</w:t>
            </w:r>
          </w:p>
        </w:tc>
      </w:tr>
      <w:tr w:rsidR="00B15F7D" w:rsidRPr="00990FB6" w14:paraId="78FCFAC4" w14:textId="77777777" w:rsidTr="000A0C22">
        <w:trPr>
          <w:trHeight w:val="286"/>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E6A05A0"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20399 </w:t>
            </w:r>
          </w:p>
        </w:tc>
        <w:tc>
          <w:tcPr>
            <w:tcW w:w="2609" w:type="pct"/>
            <w:tcBorders>
              <w:top w:val="single" w:sz="4" w:space="0" w:color="auto"/>
              <w:left w:val="nil"/>
              <w:bottom w:val="single" w:sz="4" w:space="0" w:color="auto"/>
              <w:right w:val="single" w:sz="4" w:space="0" w:color="auto"/>
            </w:tcBorders>
            <w:shd w:val="clear" w:color="auto" w:fill="auto"/>
            <w:hideMark/>
          </w:tcPr>
          <w:p w14:paraId="14667457" w14:textId="77777777" w:rsidR="00B15F7D" w:rsidRPr="00990FB6" w:rsidRDefault="00B15F7D" w:rsidP="00B15F7D">
            <w:pPr>
              <w:jc w:val="both"/>
              <w:rPr>
                <w:color w:val="000000"/>
                <w:sz w:val="22"/>
                <w:szCs w:val="22"/>
                <w:lang w:eastAsia="es-CR"/>
              </w:rPr>
            </w:pPr>
            <w:r w:rsidRPr="00990FB6">
              <w:rPr>
                <w:color w:val="000000"/>
                <w:sz w:val="22"/>
                <w:szCs w:val="22"/>
                <w:lang w:eastAsia="es-CR"/>
              </w:rPr>
              <w:t>Otros materiales y productos de uso en la construcción</w:t>
            </w:r>
          </w:p>
        </w:tc>
        <w:tc>
          <w:tcPr>
            <w:tcW w:w="1377" w:type="pct"/>
            <w:tcBorders>
              <w:top w:val="nil"/>
              <w:left w:val="nil"/>
              <w:bottom w:val="single" w:sz="4" w:space="0" w:color="auto"/>
              <w:right w:val="single" w:sz="4" w:space="0" w:color="auto"/>
            </w:tcBorders>
            <w:shd w:val="clear" w:color="auto" w:fill="auto"/>
            <w:noWrap/>
            <w:vAlign w:val="bottom"/>
            <w:hideMark/>
          </w:tcPr>
          <w:p w14:paraId="3989DD56" w14:textId="77777777" w:rsidR="00B15F7D" w:rsidRPr="00990FB6" w:rsidRDefault="00B15F7D" w:rsidP="00B15F7D">
            <w:pPr>
              <w:jc w:val="right"/>
              <w:rPr>
                <w:sz w:val="22"/>
                <w:szCs w:val="22"/>
                <w:lang w:eastAsia="es-CR"/>
              </w:rPr>
            </w:pPr>
            <w:r w:rsidRPr="00990FB6">
              <w:rPr>
                <w:sz w:val="22"/>
                <w:szCs w:val="22"/>
                <w:lang w:eastAsia="es-CR"/>
              </w:rPr>
              <w:t>₡1.402.600,00</w:t>
            </w:r>
          </w:p>
        </w:tc>
      </w:tr>
      <w:tr w:rsidR="00B15F7D" w:rsidRPr="00990FB6" w14:paraId="7EE01A03"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C2D18D5"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204 </w:t>
            </w:r>
          </w:p>
        </w:tc>
        <w:tc>
          <w:tcPr>
            <w:tcW w:w="2609" w:type="pct"/>
            <w:tcBorders>
              <w:top w:val="single" w:sz="4" w:space="0" w:color="auto"/>
              <w:left w:val="nil"/>
              <w:bottom w:val="single" w:sz="4" w:space="0" w:color="auto"/>
              <w:right w:val="single" w:sz="4" w:space="0" w:color="auto"/>
            </w:tcBorders>
            <w:shd w:val="clear" w:color="auto" w:fill="auto"/>
            <w:hideMark/>
          </w:tcPr>
          <w:p w14:paraId="091E5EF3" w14:textId="77777777" w:rsidR="00B15F7D" w:rsidRPr="00990FB6" w:rsidRDefault="00B15F7D" w:rsidP="00B15F7D">
            <w:pPr>
              <w:tabs>
                <w:tab w:val="left" w:pos="4910"/>
              </w:tabs>
              <w:jc w:val="both"/>
              <w:rPr>
                <w:b/>
                <w:bCs/>
                <w:color w:val="000000"/>
                <w:sz w:val="22"/>
                <w:szCs w:val="22"/>
                <w:lang w:eastAsia="es-CR"/>
              </w:rPr>
            </w:pPr>
            <w:r w:rsidRPr="00990FB6">
              <w:rPr>
                <w:b/>
                <w:bCs/>
                <w:color w:val="000000"/>
                <w:sz w:val="22"/>
                <w:szCs w:val="22"/>
                <w:lang w:eastAsia="es-CR"/>
              </w:rPr>
              <w:t>HERRAMIENTAS, REPUESTOS Y ACCESORIOS</w:t>
            </w:r>
            <w:r w:rsidRPr="00990FB6">
              <w:rPr>
                <w:b/>
                <w:bCs/>
                <w:color w:val="000000"/>
                <w:sz w:val="22"/>
                <w:szCs w:val="22"/>
                <w:lang w:eastAsia="es-CR"/>
              </w:rPr>
              <w:tab/>
            </w:r>
          </w:p>
        </w:tc>
        <w:tc>
          <w:tcPr>
            <w:tcW w:w="1377" w:type="pct"/>
            <w:tcBorders>
              <w:top w:val="nil"/>
              <w:left w:val="nil"/>
              <w:bottom w:val="single" w:sz="4" w:space="0" w:color="auto"/>
              <w:right w:val="single" w:sz="4" w:space="0" w:color="auto"/>
            </w:tcBorders>
            <w:shd w:val="clear" w:color="auto" w:fill="auto"/>
            <w:noWrap/>
            <w:vAlign w:val="bottom"/>
            <w:hideMark/>
          </w:tcPr>
          <w:p w14:paraId="6D2D5343"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38791E47" w14:textId="77777777" w:rsidTr="000A0C22">
        <w:trPr>
          <w:trHeight w:val="395"/>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7652DBD9"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20402 </w:t>
            </w:r>
          </w:p>
        </w:tc>
        <w:tc>
          <w:tcPr>
            <w:tcW w:w="2609" w:type="pct"/>
            <w:tcBorders>
              <w:top w:val="single" w:sz="4" w:space="0" w:color="auto"/>
              <w:left w:val="nil"/>
              <w:bottom w:val="single" w:sz="4" w:space="0" w:color="auto"/>
              <w:right w:val="single" w:sz="4" w:space="0" w:color="auto"/>
            </w:tcBorders>
            <w:shd w:val="clear" w:color="auto" w:fill="auto"/>
            <w:hideMark/>
          </w:tcPr>
          <w:p w14:paraId="63C91049" w14:textId="77777777" w:rsidR="00B15F7D" w:rsidRPr="00990FB6" w:rsidRDefault="00B15F7D" w:rsidP="00B15F7D">
            <w:pPr>
              <w:jc w:val="both"/>
              <w:rPr>
                <w:color w:val="000000"/>
                <w:sz w:val="22"/>
                <w:szCs w:val="22"/>
                <w:lang w:eastAsia="es-CR"/>
              </w:rPr>
            </w:pPr>
            <w:r w:rsidRPr="00990FB6">
              <w:rPr>
                <w:color w:val="000000"/>
                <w:sz w:val="22"/>
                <w:szCs w:val="22"/>
                <w:lang w:eastAsia="es-CR"/>
              </w:rPr>
              <w:t>Repuestos y accesorios</w:t>
            </w:r>
          </w:p>
        </w:tc>
        <w:tc>
          <w:tcPr>
            <w:tcW w:w="1377" w:type="pct"/>
            <w:tcBorders>
              <w:top w:val="nil"/>
              <w:left w:val="nil"/>
              <w:bottom w:val="single" w:sz="4" w:space="0" w:color="auto"/>
              <w:right w:val="single" w:sz="4" w:space="0" w:color="auto"/>
            </w:tcBorders>
            <w:shd w:val="clear" w:color="auto" w:fill="auto"/>
            <w:noWrap/>
            <w:vAlign w:val="bottom"/>
            <w:hideMark/>
          </w:tcPr>
          <w:p w14:paraId="3382B57C" w14:textId="77777777" w:rsidR="00B15F7D" w:rsidRPr="00990FB6" w:rsidRDefault="00B15F7D" w:rsidP="00B15F7D">
            <w:pPr>
              <w:jc w:val="right"/>
              <w:rPr>
                <w:sz w:val="22"/>
                <w:szCs w:val="22"/>
                <w:lang w:eastAsia="es-CR"/>
              </w:rPr>
            </w:pPr>
            <w:r w:rsidRPr="00990FB6">
              <w:rPr>
                <w:sz w:val="22"/>
                <w:szCs w:val="22"/>
                <w:lang w:eastAsia="es-CR"/>
              </w:rPr>
              <w:t>₡1.750.000,00</w:t>
            </w:r>
          </w:p>
        </w:tc>
      </w:tr>
      <w:tr w:rsidR="00B15F7D" w:rsidRPr="00990FB6" w14:paraId="1DC3084F"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98B6788"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299 </w:t>
            </w:r>
          </w:p>
        </w:tc>
        <w:tc>
          <w:tcPr>
            <w:tcW w:w="2609" w:type="pct"/>
            <w:tcBorders>
              <w:top w:val="single" w:sz="4" w:space="0" w:color="auto"/>
              <w:left w:val="nil"/>
              <w:bottom w:val="single" w:sz="4" w:space="0" w:color="auto"/>
              <w:right w:val="single" w:sz="4" w:space="0" w:color="auto"/>
            </w:tcBorders>
            <w:shd w:val="clear" w:color="auto" w:fill="auto"/>
            <w:hideMark/>
          </w:tcPr>
          <w:p w14:paraId="140F88CD"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ÚTILES, MATERIALES Y SUMINISTROS DIVERSOS</w:t>
            </w:r>
          </w:p>
        </w:tc>
        <w:tc>
          <w:tcPr>
            <w:tcW w:w="1377" w:type="pct"/>
            <w:tcBorders>
              <w:top w:val="nil"/>
              <w:left w:val="nil"/>
              <w:bottom w:val="single" w:sz="4" w:space="0" w:color="auto"/>
              <w:right w:val="single" w:sz="4" w:space="0" w:color="auto"/>
            </w:tcBorders>
            <w:shd w:val="clear" w:color="auto" w:fill="auto"/>
            <w:noWrap/>
            <w:vAlign w:val="bottom"/>
            <w:hideMark/>
          </w:tcPr>
          <w:p w14:paraId="32FFE362"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784D77C5"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E229324"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29901 </w:t>
            </w:r>
          </w:p>
        </w:tc>
        <w:tc>
          <w:tcPr>
            <w:tcW w:w="2609" w:type="pct"/>
            <w:tcBorders>
              <w:top w:val="single" w:sz="4" w:space="0" w:color="auto"/>
              <w:left w:val="nil"/>
              <w:bottom w:val="single" w:sz="4" w:space="0" w:color="auto"/>
              <w:right w:val="single" w:sz="4" w:space="0" w:color="auto"/>
            </w:tcBorders>
            <w:shd w:val="clear" w:color="auto" w:fill="auto"/>
            <w:hideMark/>
          </w:tcPr>
          <w:p w14:paraId="6F73C11D" w14:textId="77777777" w:rsidR="00B15F7D" w:rsidRPr="00990FB6" w:rsidRDefault="00B15F7D" w:rsidP="00B15F7D">
            <w:pPr>
              <w:jc w:val="both"/>
              <w:rPr>
                <w:color w:val="000000"/>
                <w:sz w:val="22"/>
                <w:szCs w:val="22"/>
                <w:lang w:eastAsia="es-CR"/>
              </w:rPr>
            </w:pPr>
            <w:r w:rsidRPr="00990FB6">
              <w:rPr>
                <w:color w:val="000000"/>
                <w:sz w:val="22"/>
                <w:szCs w:val="22"/>
                <w:lang w:eastAsia="es-CR"/>
              </w:rPr>
              <w:t>Útiles y materiales de oficina y cómputo</w:t>
            </w:r>
          </w:p>
        </w:tc>
        <w:tc>
          <w:tcPr>
            <w:tcW w:w="1377" w:type="pct"/>
            <w:tcBorders>
              <w:top w:val="nil"/>
              <w:left w:val="nil"/>
              <w:bottom w:val="single" w:sz="4" w:space="0" w:color="auto"/>
              <w:right w:val="single" w:sz="4" w:space="0" w:color="auto"/>
            </w:tcBorders>
            <w:shd w:val="clear" w:color="auto" w:fill="auto"/>
            <w:noWrap/>
            <w:vAlign w:val="bottom"/>
            <w:hideMark/>
          </w:tcPr>
          <w:p w14:paraId="46C46B19" w14:textId="77777777" w:rsidR="00B15F7D" w:rsidRPr="00990FB6" w:rsidRDefault="00B15F7D" w:rsidP="00B15F7D">
            <w:pPr>
              <w:jc w:val="right"/>
              <w:rPr>
                <w:sz w:val="22"/>
                <w:szCs w:val="22"/>
                <w:lang w:eastAsia="es-CR"/>
              </w:rPr>
            </w:pPr>
            <w:r w:rsidRPr="00990FB6">
              <w:rPr>
                <w:sz w:val="22"/>
                <w:szCs w:val="22"/>
                <w:lang w:eastAsia="es-CR"/>
              </w:rPr>
              <w:t>₡16.962.649,50</w:t>
            </w:r>
          </w:p>
        </w:tc>
      </w:tr>
      <w:tr w:rsidR="00B15F7D" w:rsidRPr="00990FB6" w14:paraId="09117BA3"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4EF8AAAA"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29902 </w:t>
            </w:r>
          </w:p>
        </w:tc>
        <w:tc>
          <w:tcPr>
            <w:tcW w:w="2609" w:type="pct"/>
            <w:tcBorders>
              <w:top w:val="single" w:sz="4" w:space="0" w:color="auto"/>
              <w:left w:val="nil"/>
              <w:bottom w:val="single" w:sz="4" w:space="0" w:color="auto"/>
              <w:right w:val="single" w:sz="4" w:space="0" w:color="auto"/>
            </w:tcBorders>
            <w:shd w:val="clear" w:color="auto" w:fill="auto"/>
            <w:hideMark/>
          </w:tcPr>
          <w:p w14:paraId="34B81D64" w14:textId="77777777" w:rsidR="00B15F7D" w:rsidRPr="00990FB6" w:rsidRDefault="00B15F7D" w:rsidP="00B15F7D">
            <w:pPr>
              <w:jc w:val="both"/>
              <w:rPr>
                <w:color w:val="000000"/>
                <w:sz w:val="22"/>
                <w:szCs w:val="22"/>
                <w:lang w:eastAsia="es-CR"/>
              </w:rPr>
            </w:pPr>
            <w:r w:rsidRPr="00990FB6">
              <w:rPr>
                <w:color w:val="000000"/>
                <w:sz w:val="22"/>
                <w:szCs w:val="22"/>
                <w:lang w:eastAsia="es-CR"/>
              </w:rPr>
              <w:t>Útiles y materiales médicos, hospitalario y de investigación</w:t>
            </w:r>
          </w:p>
        </w:tc>
        <w:tc>
          <w:tcPr>
            <w:tcW w:w="1377" w:type="pct"/>
            <w:tcBorders>
              <w:top w:val="nil"/>
              <w:left w:val="nil"/>
              <w:bottom w:val="single" w:sz="4" w:space="0" w:color="auto"/>
              <w:right w:val="single" w:sz="4" w:space="0" w:color="auto"/>
            </w:tcBorders>
            <w:shd w:val="clear" w:color="auto" w:fill="auto"/>
            <w:noWrap/>
            <w:vAlign w:val="bottom"/>
            <w:hideMark/>
          </w:tcPr>
          <w:p w14:paraId="164C52CF" w14:textId="77777777" w:rsidR="00B15F7D" w:rsidRPr="00990FB6" w:rsidRDefault="00B15F7D" w:rsidP="00B15F7D">
            <w:pPr>
              <w:jc w:val="right"/>
              <w:rPr>
                <w:sz w:val="22"/>
                <w:szCs w:val="22"/>
                <w:lang w:eastAsia="es-CR"/>
              </w:rPr>
            </w:pPr>
            <w:r w:rsidRPr="00990FB6">
              <w:rPr>
                <w:sz w:val="22"/>
                <w:szCs w:val="22"/>
                <w:lang w:eastAsia="es-CR"/>
              </w:rPr>
              <w:t>₡351.018,00</w:t>
            </w:r>
          </w:p>
        </w:tc>
      </w:tr>
      <w:tr w:rsidR="00B15F7D" w:rsidRPr="00990FB6" w14:paraId="08476420"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7EC0C4AC"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29903 </w:t>
            </w:r>
          </w:p>
        </w:tc>
        <w:tc>
          <w:tcPr>
            <w:tcW w:w="2609" w:type="pct"/>
            <w:tcBorders>
              <w:top w:val="single" w:sz="4" w:space="0" w:color="auto"/>
              <w:left w:val="nil"/>
              <w:bottom w:val="single" w:sz="4" w:space="0" w:color="auto"/>
              <w:right w:val="single" w:sz="4" w:space="0" w:color="auto"/>
            </w:tcBorders>
            <w:shd w:val="clear" w:color="auto" w:fill="auto"/>
            <w:hideMark/>
          </w:tcPr>
          <w:p w14:paraId="4445FDFC" w14:textId="77777777" w:rsidR="00B15F7D" w:rsidRPr="00990FB6" w:rsidRDefault="00B15F7D" w:rsidP="00B15F7D">
            <w:pPr>
              <w:jc w:val="both"/>
              <w:rPr>
                <w:color w:val="000000"/>
                <w:sz w:val="22"/>
                <w:szCs w:val="22"/>
                <w:lang w:eastAsia="es-CR"/>
              </w:rPr>
            </w:pPr>
            <w:r w:rsidRPr="00990FB6">
              <w:rPr>
                <w:color w:val="000000"/>
                <w:sz w:val="22"/>
                <w:szCs w:val="22"/>
                <w:lang w:eastAsia="es-CR"/>
              </w:rPr>
              <w:t>Productos de papel, cartón e impresos</w:t>
            </w:r>
          </w:p>
        </w:tc>
        <w:tc>
          <w:tcPr>
            <w:tcW w:w="1377" w:type="pct"/>
            <w:tcBorders>
              <w:top w:val="nil"/>
              <w:left w:val="nil"/>
              <w:bottom w:val="single" w:sz="4" w:space="0" w:color="auto"/>
              <w:right w:val="single" w:sz="4" w:space="0" w:color="auto"/>
            </w:tcBorders>
            <w:shd w:val="clear" w:color="auto" w:fill="auto"/>
            <w:noWrap/>
            <w:vAlign w:val="bottom"/>
            <w:hideMark/>
          </w:tcPr>
          <w:p w14:paraId="4C2D7DFE" w14:textId="77777777" w:rsidR="00B15F7D" w:rsidRPr="00990FB6" w:rsidRDefault="00B15F7D" w:rsidP="00B15F7D">
            <w:pPr>
              <w:jc w:val="right"/>
              <w:rPr>
                <w:sz w:val="22"/>
                <w:szCs w:val="22"/>
                <w:lang w:eastAsia="es-CR"/>
              </w:rPr>
            </w:pPr>
            <w:r w:rsidRPr="00990FB6">
              <w:rPr>
                <w:sz w:val="22"/>
                <w:szCs w:val="22"/>
                <w:lang w:eastAsia="es-CR"/>
              </w:rPr>
              <w:t>₡3.502.321,00</w:t>
            </w:r>
          </w:p>
        </w:tc>
      </w:tr>
      <w:tr w:rsidR="00B15F7D" w:rsidRPr="00990FB6" w14:paraId="1FBECD23"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35D8D3DA"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29904 </w:t>
            </w:r>
          </w:p>
        </w:tc>
        <w:tc>
          <w:tcPr>
            <w:tcW w:w="2609" w:type="pct"/>
            <w:tcBorders>
              <w:top w:val="single" w:sz="4" w:space="0" w:color="auto"/>
              <w:left w:val="nil"/>
              <w:bottom w:val="single" w:sz="4" w:space="0" w:color="auto"/>
              <w:right w:val="single" w:sz="4" w:space="0" w:color="auto"/>
            </w:tcBorders>
            <w:shd w:val="clear" w:color="auto" w:fill="auto"/>
            <w:hideMark/>
          </w:tcPr>
          <w:p w14:paraId="5A441CD3" w14:textId="77777777" w:rsidR="00B15F7D" w:rsidRPr="00990FB6" w:rsidRDefault="00B15F7D" w:rsidP="00B15F7D">
            <w:pPr>
              <w:jc w:val="both"/>
              <w:rPr>
                <w:color w:val="000000"/>
                <w:sz w:val="22"/>
                <w:szCs w:val="22"/>
                <w:lang w:eastAsia="es-CR"/>
              </w:rPr>
            </w:pPr>
            <w:r w:rsidRPr="00990FB6">
              <w:rPr>
                <w:color w:val="000000"/>
                <w:sz w:val="22"/>
                <w:szCs w:val="22"/>
                <w:lang w:eastAsia="es-CR"/>
              </w:rPr>
              <w:t>Textiles y vestuario</w:t>
            </w:r>
          </w:p>
        </w:tc>
        <w:tc>
          <w:tcPr>
            <w:tcW w:w="1377" w:type="pct"/>
            <w:tcBorders>
              <w:top w:val="nil"/>
              <w:left w:val="nil"/>
              <w:bottom w:val="single" w:sz="4" w:space="0" w:color="auto"/>
              <w:right w:val="single" w:sz="4" w:space="0" w:color="auto"/>
            </w:tcBorders>
            <w:shd w:val="clear" w:color="auto" w:fill="auto"/>
            <w:noWrap/>
            <w:vAlign w:val="bottom"/>
            <w:hideMark/>
          </w:tcPr>
          <w:p w14:paraId="0212A133" w14:textId="77777777" w:rsidR="00B15F7D" w:rsidRPr="00990FB6" w:rsidRDefault="00B15F7D" w:rsidP="00B15F7D">
            <w:pPr>
              <w:jc w:val="right"/>
              <w:rPr>
                <w:sz w:val="22"/>
                <w:szCs w:val="22"/>
                <w:lang w:eastAsia="es-CR"/>
              </w:rPr>
            </w:pPr>
            <w:r w:rsidRPr="00990FB6">
              <w:rPr>
                <w:sz w:val="22"/>
                <w:szCs w:val="22"/>
                <w:lang w:eastAsia="es-CR"/>
              </w:rPr>
              <w:t>₡11.160.249,00</w:t>
            </w:r>
          </w:p>
        </w:tc>
      </w:tr>
      <w:tr w:rsidR="00B15F7D" w:rsidRPr="00990FB6" w14:paraId="11EF2214"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75D0869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29905 </w:t>
            </w:r>
          </w:p>
        </w:tc>
        <w:tc>
          <w:tcPr>
            <w:tcW w:w="2609" w:type="pct"/>
            <w:tcBorders>
              <w:top w:val="single" w:sz="4" w:space="0" w:color="auto"/>
              <w:left w:val="nil"/>
              <w:bottom w:val="single" w:sz="4" w:space="0" w:color="auto"/>
              <w:right w:val="single" w:sz="4" w:space="0" w:color="auto"/>
            </w:tcBorders>
            <w:shd w:val="clear" w:color="auto" w:fill="auto"/>
            <w:hideMark/>
          </w:tcPr>
          <w:p w14:paraId="5BC93024" w14:textId="77777777" w:rsidR="00B15F7D" w:rsidRPr="00990FB6" w:rsidRDefault="00B15F7D" w:rsidP="00B15F7D">
            <w:pPr>
              <w:jc w:val="both"/>
              <w:rPr>
                <w:color w:val="000000"/>
                <w:sz w:val="22"/>
                <w:szCs w:val="22"/>
                <w:lang w:eastAsia="es-CR"/>
              </w:rPr>
            </w:pPr>
            <w:r w:rsidRPr="00990FB6">
              <w:rPr>
                <w:color w:val="000000"/>
                <w:sz w:val="22"/>
                <w:szCs w:val="22"/>
                <w:lang w:eastAsia="es-CR"/>
              </w:rPr>
              <w:t>Útiles y materiales de limpieza</w:t>
            </w:r>
          </w:p>
        </w:tc>
        <w:tc>
          <w:tcPr>
            <w:tcW w:w="1377" w:type="pct"/>
            <w:tcBorders>
              <w:top w:val="nil"/>
              <w:left w:val="nil"/>
              <w:bottom w:val="single" w:sz="4" w:space="0" w:color="auto"/>
              <w:right w:val="single" w:sz="4" w:space="0" w:color="auto"/>
            </w:tcBorders>
            <w:shd w:val="clear" w:color="auto" w:fill="auto"/>
            <w:noWrap/>
            <w:vAlign w:val="bottom"/>
            <w:hideMark/>
          </w:tcPr>
          <w:p w14:paraId="5048BFB3" w14:textId="77777777" w:rsidR="00B15F7D" w:rsidRPr="00990FB6" w:rsidRDefault="00B15F7D" w:rsidP="00B15F7D">
            <w:pPr>
              <w:jc w:val="right"/>
              <w:rPr>
                <w:sz w:val="22"/>
                <w:szCs w:val="22"/>
                <w:lang w:eastAsia="es-CR"/>
              </w:rPr>
            </w:pPr>
            <w:r w:rsidRPr="00990FB6">
              <w:rPr>
                <w:sz w:val="22"/>
                <w:szCs w:val="22"/>
                <w:lang w:eastAsia="es-CR"/>
              </w:rPr>
              <w:t>₡2.633.292,00</w:t>
            </w:r>
          </w:p>
        </w:tc>
      </w:tr>
      <w:tr w:rsidR="00B15F7D" w:rsidRPr="00990FB6" w14:paraId="794F039A"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DFB09E6"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29906 </w:t>
            </w:r>
          </w:p>
        </w:tc>
        <w:tc>
          <w:tcPr>
            <w:tcW w:w="2609" w:type="pct"/>
            <w:tcBorders>
              <w:top w:val="single" w:sz="4" w:space="0" w:color="auto"/>
              <w:left w:val="nil"/>
              <w:bottom w:val="single" w:sz="4" w:space="0" w:color="auto"/>
              <w:right w:val="single" w:sz="4" w:space="0" w:color="auto"/>
            </w:tcBorders>
            <w:shd w:val="clear" w:color="auto" w:fill="auto"/>
            <w:hideMark/>
          </w:tcPr>
          <w:p w14:paraId="42B76B9C" w14:textId="77777777" w:rsidR="00B15F7D" w:rsidRPr="00990FB6" w:rsidRDefault="00B15F7D" w:rsidP="00B15F7D">
            <w:pPr>
              <w:jc w:val="both"/>
              <w:rPr>
                <w:color w:val="000000"/>
                <w:sz w:val="22"/>
                <w:szCs w:val="22"/>
                <w:lang w:eastAsia="es-CR"/>
              </w:rPr>
            </w:pPr>
            <w:r w:rsidRPr="00990FB6">
              <w:rPr>
                <w:color w:val="000000"/>
                <w:sz w:val="22"/>
                <w:szCs w:val="22"/>
                <w:lang w:eastAsia="es-CR"/>
              </w:rPr>
              <w:t>Útiles y materiales de resguardo y seguridad</w:t>
            </w:r>
          </w:p>
        </w:tc>
        <w:tc>
          <w:tcPr>
            <w:tcW w:w="1377" w:type="pct"/>
            <w:tcBorders>
              <w:top w:val="nil"/>
              <w:left w:val="nil"/>
              <w:bottom w:val="single" w:sz="4" w:space="0" w:color="auto"/>
              <w:right w:val="single" w:sz="4" w:space="0" w:color="auto"/>
            </w:tcBorders>
            <w:shd w:val="clear" w:color="auto" w:fill="auto"/>
            <w:noWrap/>
            <w:vAlign w:val="bottom"/>
            <w:hideMark/>
          </w:tcPr>
          <w:p w14:paraId="11A81C36" w14:textId="77777777" w:rsidR="00B15F7D" w:rsidRPr="00990FB6" w:rsidRDefault="00B15F7D" w:rsidP="00B15F7D">
            <w:pPr>
              <w:jc w:val="right"/>
              <w:rPr>
                <w:sz w:val="22"/>
                <w:szCs w:val="22"/>
                <w:lang w:eastAsia="es-CR"/>
              </w:rPr>
            </w:pPr>
            <w:r w:rsidRPr="00990FB6">
              <w:rPr>
                <w:sz w:val="22"/>
                <w:szCs w:val="22"/>
                <w:lang w:eastAsia="es-CR"/>
              </w:rPr>
              <w:t>₡6.182.360,00</w:t>
            </w:r>
          </w:p>
        </w:tc>
      </w:tr>
      <w:tr w:rsidR="00B15F7D" w:rsidRPr="00990FB6" w14:paraId="5F6999CE"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674A2FCB"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29907 </w:t>
            </w:r>
          </w:p>
        </w:tc>
        <w:tc>
          <w:tcPr>
            <w:tcW w:w="2609" w:type="pct"/>
            <w:tcBorders>
              <w:top w:val="single" w:sz="4" w:space="0" w:color="auto"/>
              <w:left w:val="nil"/>
              <w:bottom w:val="single" w:sz="4" w:space="0" w:color="auto"/>
              <w:right w:val="single" w:sz="4" w:space="0" w:color="auto"/>
            </w:tcBorders>
            <w:shd w:val="clear" w:color="auto" w:fill="auto"/>
            <w:hideMark/>
          </w:tcPr>
          <w:p w14:paraId="24185A89" w14:textId="77777777" w:rsidR="00B15F7D" w:rsidRPr="00990FB6" w:rsidRDefault="00B15F7D" w:rsidP="00B15F7D">
            <w:pPr>
              <w:jc w:val="both"/>
              <w:rPr>
                <w:color w:val="000000"/>
                <w:sz w:val="22"/>
                <w:szCs w:val="22"/>
                <w:lang w:eastAsia="es-CR"/>
              </w:rPr>
            </w:pPr>
            <w:r w:rsidRPr="00990FB6">
              <w:rPr>
                <w:color w:val="000000"/>
                <w:sz w:val="22"/>
                <w:szCs w:val="22"/>
                <w:lang w:eastAsia="es-CR"/>
              </w:rPr>
              <w:t>Útiles y materiales de cocina y comedor</w:t>
            </w:r>
          </w:p>
        </w:tc>
        <w:tc>
          <w:tcPr>
            <w:tcW w:w="1377" w:type="pct"/>
            <w:tcBorders>
              <w:top w:val="nil"/>
              <w:left w:val="nil"/>
              <w:bottom w:val="single" w:sz="4" w:space="0" w:color="auto"/>
              <w:right w:val="single" w:sz="4" w:space="0" w:color="auto"/>
            </w:tcBorders>
            <w:shd w:val="clear" w:color="auto" w:fill="auto"/>
            <w:noWrap/>
            <w:vAlign w:val="bottom"/>
            <w:hideMark/>
          </w:tcPr>
          <w:p w14:paraId="555600CD" w14:textId="77777777" w:rsidR="00B15F7D" w:rsidRPr="00990FB6" w:rsidRDefault="00B15F7D" w:rsidP="00B15F7D">
            <w:pPr>
              <w:jc w:val="right"/>
              <w:rPr>
                <w:sz w:val="22"/>
                <w:szCs w:val="22"/>
                <w:lang w:eastAsia="es-CR"/>
              </w:rPr>
            </w:pPr>
            <w:r w:rsidRPr="00990FB6">
              <w:rPr>
                <w:sz w:val="22"/>
                <w:szCs w:val="22"/>
                <w:lang w:eastAsia="es-CR"/>
              </w:rPr>
              <w:t>₡110.740,00</w:t>
            </w:r>
          </w:p>
        </w:tc>
      </w:tr>
      <w:tr w:rsidR="00B15F7D" w:rsidRPr="00990FB6" w14:paraId="0839F2DC"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713E4BC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29999 </w:t>
            </w:r>
          </w:p>
        </w:tc>
        <w:tc>
          <w:tcPr>
            <w:tcW w:w="2609" w:type="pct"/>
            <w:tcBorders>
              <w:top w:val="single" w:sz="4" w:space="0" w:color="auto"/>
              <w:left w:val="nil"/>
              <w:bottom w:val="single" w:sz="4" w:space="0" w:color="auto"/>
              <w:right w:val="single" w:sz="4" w:space="0" w:color="auto"/>
            </w:tcBorders>
            <w:shd w:val="clear" w:color="auto" w:fill="auto"/>
            <w:hideMark/>
          </w:tcPr>
          <w:p w14:paraId="7DEEDAC0" w14:textId="77777777" w:rsidR="00B15F7D" w:rsidRPr="00990FB6" w:rsidRDefault="00B15F7D" w:rsidP="00B15F7D">
            <w:pPr>
              <w:jc w:val="both"/>
              <w:rPr>
                <w:color w:val="000000"/>
                <w:sz w:val="22"/>
                <w:szCs w:val="22"/>
                <w:lang w:eastAsia="es-CR"/>
              </w:rPr>
            </w:pPr>
            <w:r w:rsidRPr="00990FB6">
              <w:rPr>
                <w:color w:val="000000"/>
                <w:sz w:val="22"/>
                <w:szCs w:val="22"/>
                <w:lang w:eastAsia="es-CR"/>
              </w:rPr>
              <w:t>Otros útiles, materiales y suministros diversos</w:t>
            </w:r>
          </w:p>
        </w:tc>
        <w:tc>
          <w:tcPr>
            <w:tcW w:w="1377" w:type="pct"/>
            <w:tcBorders>
              <w:top w:val="nil"/>
              <w:left w:val="nil"/>
              <w:bottom w:val="single" w:sz="4" w:space="0" w:color="auto"/>
              <w:right w:val="single" w:sz="4" w:space="0" w:color="auto"/>
            </w:tcBorders>
            <w:shd w:val="clear" w:color="auto" w:fill="auto"/>
            <w:noWrap/>
            <w:vAlign w:val="bottom"/>
            <w:hideMark/>
          </w:tcPr>
          <w:p w14:paraId="4F4AEB83" w14:textId="77777777" w:rsidR="00B15F7D" w:rsidRPr="00990FB6" w:rsidRDefault="00B15F7D" w:rsidP="00B15F7D">
            <w:pPr>
              <w:jc w:val="right"/>
              <w:rPr>
                <w:sz w:val="22"/>
                <w:szCs w:val="22"/>
                <w:lang w:eastAsia="es-CR"/>
              </w:rPr>
            </w:pPr>
            <w:r w:rsidRPr="00990FB6">
              <w:rPr>
                <w:sz w:val="22"/>
                <w:szCs w:val="22"/>
                <w:lang w:eastAsia="es-CR"/>
              </w:rPr>
              <w:t>₡1.078.020,00</w:t>
            </w:r>
          </w:p>
        </w:tc>
      </w:tr>
      <w:tr w:rsidR="00B15F7D" w:rsidRPr="00990FB6" w14:paraId="0E512858"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0070C0"/>
            <w:vAlign w:val="center"/>
          </w:tcPr>
          <w:p w14:paraId="32269579" w14:textId="77777777" w:rsidR="00B15F7D" w:rsidRPr="00990FB6" w:rsidRDefault="00B15F7D" w:rsidP="00B15F7D">
            <w:pPr>
              <w:jc w:val="both"/>
              <w:rPr>
                <w:color w:val="000000"/>
                <w:sz w:val="22"/>
                <w:szCs w:val="22"/>
                <w:lang w:eastAsia="es-CR"/>
              </w:rPr>
            </w:pPr>
          </w:p>
        </w:tc>
        <w:tc>
          <w:tcPr>
            <w:tcW w:w="2609" w:type="pct"/>
            <w:tcBorders>
              <w:top w:val="single" w:sz="4" w:space="0" w:color="auto"/>
              <w:left w:val="nil"/>
              <w:bottom w:val="single" w:sz="4" w:space="0" w:color="auto"/>
              <w:right w:val="single" w:sz="4" w:space="0" w:color="auto"/>
            </w:tcBorders>
            <w:shd w:val="clear" w:color="auto" w:fill="0070C0"/>
            <w:vAlign w:val="center"/>
          </w:tcPr>
          <w:p w14:paraId="0D411B9A" w14:textId="77777777" w:rsidR="00B15F7D" w:rsidRPr="00990FB6" w:rsidRDefault="00B15F7D" w:rsidP="00B15F7D">
            <w:pPr>
              <w:jc w:val="both"/>
              <w:rPr>
                <w:b/>
                <w:bCs/>
                <w:color w:val="FFFFFF"/>
                <w:sz w:val="22"/>
                <w:szCs w:val="22"/>
                <w:lang w:eastAsia="es-CR"/>
              </w:rPr>
            </w:pPr>
          </w:p>
          <w:p w14:paraId="15CC91DA" w14:textId="77777777" w:rsidR="00B15F7D" w:rsidRPr="00990FB6" w:rsidRDefault="00B15F7D" w:rsidP="00B15F7D">
            <w:pPr>
              <w:jc w:val="both"/>
              <w:rPr>
                <w:color w:val="000000"/>
                <w:sz w:val="22"/>
                <w:szCs w:val="22"/>
                <w:lang w:eastAsia="es-CR"/>
              </w:rPr>
            </w:pPr>
            <w:r w:rsidRPr="00990FB6">
              <w:rPr>
                <w:b/>
                <w:bCs/>
                <w:color w:val="FFFFFF"/>
                <w:sz w:val="22"/>
                <w:szCs w:val="22"/>
                <w:lang w:eastAsia="es-CR"/>
              </w:rPr>
              <w:t>Subpartida 5 y 6</w:t>
            </w:r>
          </w:p>
        </w:tc>
        <w:tc>
          <w:tcPr>
            <w:tcW w:w="1377" w:type="pct"/>
            <w:tcBorders>
              <w:top w:val="nil"/>
              <w:left w:val="nil"/>
              <w:bottom w:val="single" w:sz="4" w:space="0" w:color="auto"/>
              <w:right w:val="single" w:sz="4" w:space="0" w:color="auto"/>
            </w:tcBorders>
            <w:shd w:val="clear" w:color="auto" w:fill="0070C0"/>
            <w:noWrap/>
            <w:vAlign w:val="center"/>
          </w:tcPr>
          <w:p w14:paraId="640426CB" w14:textId="77777777" w:rsidR="00B15F7D" w:rsidRPr="00990FB6" w:rsidRDefault="00B15F7D" w:rsidP="00B15F7D">
            <w:pPr>
              <w:jc w:val="right"/>
              <w:rPr>
                <w:sz w:val="22"/>
                <w:szCs w:val="22"/>
                <w:lang w:eastAsia="es-CR"/>
              </w:rPr>
            </w:pPr>
            <w:r w:rsidRPr="00990FB6">
              <w:rPr>
                <w:b/>
                <w:bCs/>
                <w:color w:val="FFFFFF"/>
                <w:sz w:val="22"/>
                <w:szCs w:val="22"/>
                <w:lang w:eastAsia="es-CR"/>
              </w:rPr>
              <w:t>₡192.375.452,00</w:t>
            </w:r>
          </w:p>
        </w:tc>
      </w:tr>
      <w:tr w:rsidR="00B15F7D" w:rsidRPr="00990FB6" w14:paraId="692FAF5E"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A856F57"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Partida: 5 </w:t>
            </w:r>
          </w:p>
        </w:tc>
        <w:tc>
          <w:tcPr>
            <w:tcW w:w="2609" w:type="pct"/>
            <w:tcBorders>
              <w:top w:val="single" w:sz="4" w:space="0" w:color="auto"/>
              <w:left w:val="nil"/>
              <w:bottom w:val="single" w:sz="4" w:space="0" w:color="auto"/>
              <w:right w:val="single" w:sz="4" w:space="0" w:color="auto"/>
            </w:tcBorders>
            <w:shd w:val="clear" w:color="auto" w:fill="auto"/>
            <w:hideMark/>
          </w:tcPr>
          <w:p w14:paraId="4C0D3F5C"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Bienes Duraderos</w:t>
            </w:r>
          </w:p>
        </w:tc>
        <w:tc>
          <w:tcPr>
            <w:tcW w:w="1377" w:type="pct"/>
            <w:tcBorders>
              <w:top w:val="nil"/>
              <w:left w:val="nil"/>
              <w:bottom w:val="single" w:sz="4" w:space="0" w:color="auto"/>
              <w:right w:val="single" w:sz="4" w:space="0" w:color="auto"/>
            </w:tcBorders>
            <w:shd w:val="clear" w:color="auto" w:fill="auto"/>
            <w:noWrap/>
            <w:vAlign w:val="bottom"/>
            <w:hideMark/>
          </w:tcPr>
          <w:p w14:paraId="334495B2"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2D394BC3"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6567A3F4"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501 </w:t>
            </w:r>
          </w:p>
        </w:tc>
        <w:tc>
          <w:tcPr>
            <w:tcW w:w="2609" w:type="pct"/>
            <w:tcBorders>
              <w:top w:val="single" w:sz="4" w:space="0" w:color="auto"/>
              <w:left w:val="nil"/>
              <w:bottom w:val="single" w:sz="4" w:space="0" w:color="auto"/>
              <w:right w:val="single" w:sz="4" w:space="0" w:color="auto"/>
            </w:tcBorders>
            <w:shd w:val="clear" w:color="auto" w:fill="auto"/>
            <w:hideMark/>
          </w:tcPr>
          <w:p w14:paraId="5409BCAD"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MAQUINARIA, EQUIPO Y MOBILIARIO</w:t>
            </w:r>
          </w:p>
        </w:tc>
        <w:tc>
          <w:tcPr>
            <w:tcW w:w="1377" w:type="pct"/>
            <w:tcBorders>
              <w:top w:val="nil"/>
              <w:left w:val="nil"/>
              <w:bottom w:val="single" w:sz="4" w:space="0" w:color="auto"/>
              <w:right w:val="single" w:sz="4" w:space="0" w:color="auto"/>
            </w:tcBorders>
            <w:shd w:val="clear" w:color="auto" w:fill="auto"/>
            <w:noWrap/>
            <w:vAlign w:val="bottom"/>
            <w:hideMark/>
          </w:tcPr>
          <w:p w14:paraId="14982E6A" w14:textId="77777777" w:rsidR="00B15F7D" w:rsidRPr="00990FB6" w:rsidRDefault="00B15F7D" w:rsidP="00B15F7D">
            <w:pPr>
              <w:jc w:val="right"/>
              <w:rPr>
                <w:b/>
                <w:bCs/>
                <w:color w:val="FF0000"/>
                <w:sz w:val="22"/>
                <w:szCs w:val="22"/>
                <w:lang w:eastAsia="es-CR"/>
              </w:rPr>
            </w:pPr>
          </w:p>
        </w:tc>
      </w:tr>
      <w:tr w:rsidR="00B15F7D" w:rsidRPr="00990FB6" w14:paraId="234B3567" w14:textId="77777777" w:rsidTr="000A0C22">
        <w:trPr>
          <w:trHeight w:val="24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A1C349C"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50102 </w:t>
            </w:r>
          </w:p>
        </w:tc>
        <w:tc>
          <w:tcPr>
            <w:tcW w:w="2609" w:type="pct"/>
            <w:tcBorders>
              <w:top w:val="single" w:sz="4" w:space="0" w:color="auto"/>
              <w:left w:val="nil"/>
              <w:bottom w:val="single" w:sz="4" w:space="0" w:color="auto"/>
              <w:right w:val="single" w:sz="4" w:space="0" w:color="auto"/>
            </w:tcBorders>
            <w:shd w:val="clear" w:color="auto" w:fill="auto"/>
            <w:hideMark/>
          </w:tcPr>
          <w:p w14:paraId="771B040F" w14:textId="77777777" w:rsidR="00B15F7D" w:rsidRPr="00990FB6" w:rsidRDefault="00B15F7D" w:rsidP="00B15F7D">
            <w:pPr>
              <w:jc w:val="both"/>
              <w:rPr>
                <w:color w:val="000000"/>
                <w:sz w:val="22"/>
                <w:szCs w:val="22"/>
                <w:lang w:eastAsia="es-CR"/>
              </w:rPr>
            </w:pPr>
            <w:r w:rsidRPr="00990FB6">
              <w:rPr>
                <w:color w:val="000000"/>
                <w:sz w:val="22"/>
                <w:szCs w:val="22"/>
                <w:lang w:eastAsia="es-CR"/>
              </w:rPr>
              <w:t>Equipo de transporte</w:t>
            </w:r>
          </w:p>
        </w:tc>
        <w:tc>
          <w:tcPr>
            <w:tcW w:w="1377" w:type="pct"/>
            <w:tcBorders>
              <w:top w:val="nil"/>
              <w:left w:val="nil"/>
              <w:bottom w:val="single" w:sz="4" w:space="0" w:color="auto"/>
              <w:right w:val="single" w:sz="4" w:space="0" w:color="auto"/>
            </w:tcBorders>
            <w:shd w:val="clear" w:color="auto" w:fill="auto"/>
            <w:noWrap/>
            <w:vAlign w:val="bottom"/>
            <w:hideMark/>
          </w:tcPr>
          <w:p w14:paraId="6277A6E9" w14:textId="77777777" w:rsidR="00B15F7D" w:rsidRPr="00990FB6" w:rsidRDefault="00B15F7D" w:rsidP="00B15F7D">
            <w:pPr>
              <w:jc w:val="right"/>
              <w:rPr>
                <w:sz w:val="22"/>
                <w:szCs w:val="22"/>
                <w:lang w:eastAsia="es-CR"/>
              </w:rPr>
            </w:pPr>
            <w:r w:rsidRPr="00990FB6">
              <w:rPr>
                <w:sz w:val="22"/>
                <w:szCs w:val="22"/>
                <w:lang w:eastAsia="es-CR"/>
              </w:rPr>
              <w:t>₡40.230.000,00</w:t>
            </w:r>
          </w:p>
        </w:tc>
      </w:tr>
      <w:tr w:rsidR="00B15F7D" w:rsidRPr="00990FB6" w14:paraId="63565408"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74C7475"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50103 </w:t>
            </w:r>
          </w:p>
        </w:tc>
        <w:tc>
          <w:tcPr>
            <w:tcW w:w="2609" w:type="pct"/>
            <w:tcBorders>
              <w:top w:val="single" w:sz="4" w:space="0" w:color="auto"/>
              <w:left w:val="nil"/>
              <w:bottom w:val="single" w:sz="4" w:space="0" w:color="auto"/>
              <w:right w:val="single" w:sz="4" w:space="0" w:color="auto"/>
            </w:tcBorders>
            <w:shd w:val="clear" w:color="auto" w:fill="auto"/>
            <w:hideMark/>
          </w:tcPr>
          <w:p w14:paraId="6B1C5D48" w14:textId="77777777" w:rsidR="00B15F7D" w:rsidRPr="00990FB6" w:rsidRDefault="00B15F7D" w:rsidP="00B15F7D">
            <w:pPr>
              <w:jc w:val="both"/>
              <w:rPr>
                <w:color w:val="000000"/>
                <w:sz w:val="22"/>
                <w:szCs w:val="22"/>
                <w:lang w:eastAsia="es-CR"/>
              </w:rPr>
            </w:pPr>
            <w:r w:rsidRPr="00990FB6">
              <w:rPr>
                <w:color w:val="000000"/>
                <w:sz w:val="22"/>
                <w:szCs w:val="22"/>
                <w:lang w:eastAsia="es-CR"/>
              </w:rPr>
              <w:t>Equipo de comunicación</w:t>
            </w:r>
          </w:p>
        </w:tc>
        <w:tc>
          <w:tcPr>
            <w:tcW w:w="1377" w:type="pct"/>
            <w:tcBorders>
              <w:top w:val="nil"/>
              <w:left w:val="nil"/>
              <w:bottom w:val="single" w:sz="4" w:space="0" w:color="auto"/>
              <w:right w:val="single" w:sz="4" w:space="0" w:color="auto"/>
            </w:tcBorders>
            <w:shd w:val="clear" w:color="auto" w:fill="auto"/>
            <w:noWrap/>
            <w:vAlign w:val="bottom"/>
            <w:hideMark/>
          </w:tcPr>
          <w:p w14:paraId="3A337683" w14:textId="77777777" w:rsidR="00B15F7D" w:rsidRPr="00990FB6" w:rsidRDefault="00B15F7D" w:rsidP="00B15F7D">
            <w:pPr>
              <w:jc w:val="right"/>
              <w:rPr>
                <w:sz w:val="22"/>
                <w:szCs w:val="22"/>
                <w:lang w:eastAsia="es-CR"/>
              </w:rPr>
            </w:pPr>
            <w:r w:rsidRPr="00990FB6">
              <w:rPr>
                <w:sz w:val="22"/>
                <w:szCs w:val="22"/>
                <w:lang w:eastAsia="es-CR"/>
              </w:rPr>
              <w:t>₡10.685.253,50</w:t>
            </w:r>
          </w:p>
        </w:tc>
      </w:tr>
      <w:tr w:rsidR="00B15F7D" w:rsidRPr="00990FB6" w14:paraId="4F521803"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1E2ABF3"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50104 </w:t>
            </w:r>
          </w:p>
        </w:tc>
        <w:tc>
          <w:tcPr>
            <w:tcW w:w="2609" w:type="pct"/>
            <w:tcBorders>
              <w:top w:val="single" w:sz="4" w:space="0" w:color="auto"/>
              <w:left w:val="nil"/>
              <w:bottom w:val="single" w:sz="4" w:space="0" w:color="auto"/>
              <w:right w:val="single" w:sz="4" w:space="0" w:color="auto"/>
            </w:tcBorders>
            <w:shd w:val="clear" w:color="auto" w:fill="auto"/>
            <w:hideMark/>
          </w:tcPr>
          <w:p w14:paraId="6FEB321C" w14:textId="77777777" w:rsidR="00B15F7D" w:rsidRPr="00990FB6" w:rsidRDefault="00B15F7D" w:rsidP="00B15F7D">
            <w:pPr>
              <w:jc w:val="both"/>
              <w:rPr>
                <w:color w:val="000000"/>
                <w:sz w:val="22"/>
                <w:szCs w:val="22"/>
                <w:lang w:eastAsia="es-CR"/>
              </w:rPr>
            </w:pPr>
            <w:r w:rsidRPr="00990FB6">
              <w:rPr>
                <w:color w:val="000000"/>
                <w:sz w:val="22"/>
                <w:szCs w:val="22"/>
                <w:lang w:eastAsia="es-CR"/>
              </w:rPr>
              <w:t>Equipo y mobiliario de oficina</w:t>
            </w:r>
          </w:p>
        </w:tc>
        <w:tc>
          <w:tcPr>
            <w:tcW w:w="1377" w:type="pct"/>
            <w:tcBorders>
              <w:top w:val="nil"/>
              <w:left w:val="nil"/>
              <w:bottom w:val="single" w:sz="4" w:space="0" w:color="auto"/>
              <w:right w:val="single" w:sz="4" w:space="0" w:color="auto"/>
            </w:tcBorders>
            <w:shd w:val="clear" w:color="auto" w:fill="auto"/>
            <w:noWrap/>
            <w:vAlign w:val="bottom"/>
            <w:hideMark/>
          </w:tcPr>
          <w:p w14:paraId="2CEE5C27" w14:textId="77777777" w:rsidR="00B15F7D" w:rsidRPr="00990FB6" w:rsidRDefault="00B15F7D" w:rsidP="00B15F7D">
            <w:pPr>
              <w:jc w:val="right"/>
              <w:rPr>
                <w:sz w:val="22"/>
                <w:szCs w:val="22"/>
                <w:lang w:eastAsia="es-CR"/>
              </w:rPr>
            </w:pPr>
            <w:r w:rsidRPr="00990FB6">
              <w:rPr>
                <w:sz w:val="22"/>
                <w:szCs w:val="22"/>
                <w:lang w:eastAsia="es-CR"/>
              </w:rPr>
              <w:t>₡73.077.203,50</w:t>
            </w:r>
          </w:p>
        </w:tc>
      </w:tr>
      <w:tr w:rsidR="00B15F7D" w:rsidRPr="00990FB6" w14:paraId="4B6E4ED0"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1B700EBF"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50105 </w:t>
            </w:r>
          </w:p>
        </w:tc>
        <w:tc>
          <w:tcPr>
            <w:tcW w:w="2609" w:type="pct"/>
            <w:tcBorders>
              <w:top w:val="single" w:sz="4" w:space="0" w:color="auto"/>
              <w:left w:val="nil"/>
              <w:bottom w:val="single" w:sz="4" w:space="0" w:color="auto"/>
              <w:right w:val="single" w:sz="4" w:space="0" w:color="auto"/>
            </w:tcBorders>
            <w:shd w:val="clear" w:color="auto" w:fill="auto"/>
            <w:hideMark/>
          </w:tcPr>
          <w:p w14:paraId="34F27F31" w14:textId="77777777" w:rsidR="00B15F7D" w:rsidRPr="00990FB6" w:rsidRDefault="00B15F7D" w:rsidP="00B15F7D">
            <w:pPr>
              <w:jc w:val="both"/>
              <w:rPr>
                <w:color w:val="000000"/>
                <w:sz w:val="22"/>
                <w:szCs w:val="22"/>
                <w:lang w:eastAsia="es-CR"/>
              </w:rPr>
            </w:pPr>
            <w:r w:rsidRPr="00990FB6">
              <w:rPr>
                <w:color w:val="000000"/>
                <w:sz w:val="22"/>
                <w:szCs w:val="22"/>
                <w:lang w:eastAsia="es-CR"/>
              </w:rPr>
              <w:t>Equipo de cómputo</w:t>
            </w:r>
          </w:p>
        </w:tc>
        <w:tc>
          <w:tcPr>
            <w:tcW w:w="1377" w:type="pct"/>
            <w:tcBorders>
              <w:top w:val="nil"/>
              <w:left w:val="nil"/>
              <w:bottom w:val="single" w:sz="4" w:space="0" w:color="auto"/>
              <w:right w:val="single" w:sz="4" w:space="0" w:color="auto"/>
            </w:tcBorders>
            <w:shd w:val="clear" w:color="auto" w:fill="auto"/>
            <w:noWrap/>
            <w:vAlign w:val="bottom"/>
            <w:hideMark/>
          </w:tcPr>
          <w:p w14:paraId="5606516B" w14:textId="77777777" w:rsidR="00B15F7D" w:rsidRPr="00990FB6" w:rsidRDefault="00B15F7D" w:rsidP="00B15F7D">
            <w:pPr>
              <w:jc w:val="right"/>
              <w:rPr>
                <w:sz w:val="22"/>
                <w:szCs w:val="22"/>
                <w:lang w:eastAsia="es-CR"/>
              </w:rPr>
            </w:pPr>
            <w:r w:rsidRPr="00990FB6">
              <w:rPr>
                <w:sz w:val="22"/>
                <w:szCs w:val="22"/>
                <w:lang w:eastAsia="es-CR"/>
              </w:rPr>
              <w:t>₡55.712.167,50</w:t>
            </w:r>
          </w:p>
        </w:tc>
      </w:tr>
      <w:tr w:rsidR="00B15F7D" w:rsidRPr="00990FB6" w14:paraId="29AB83DC"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61D24C57"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50106 </w:t>
            </w:r>
          </w:p>
        </w:tc>
        <w:tc>
          <w:tcPr>
            <w:tcW w:w="2609" w:type="pct"/>
            <w:tcBorders>
              <w:top w:val="single" w:sz="4" w:space="0" w:color="auto"/>
              <w:left w:val="nil"/>
              <w:bottom w:val="single" w:sz="4" w:space="0" w:color="auto"/>
              <w:right w:val="single" w:sz="4" w:space="0" w:color="auto"/>
            </w:tcBorders>
            <w:shd w:val="clear" w:color="auto" w:fill="auto"/>
            <w:hideMark/>
          </w:tcPr>
          <w:p w14:paraId="5BC78A15" w14:textId="77777777" w:rsidR="00B15F7D" w:rsidRPr="00990FB6" w:rsidRDefault="00B15F7D" w:rsidP="00B15F7D">
            <w:pPr>
              <w:jc w:val="both"/>
              <w:rPr>
                <w:color w:val="000000"/>
                <w:sz w:val="22"/>
                <w:szCs w:val="22"/>
                <w:lang w:eastAsia="es-CR"/>
              </w:rPr>
            </w:pPr>
            <w:r w:rsidRPr="00990FB6">
              <w:rPr>
                <w:color w:val="000000"/>
                <w:sz w:val="22"/>
                <w:szCs w:val="22"/>
                <w:lang w:eastAsia="es-CR"/>
              </w:rPr>
              <w:t>Equipo sanitario, de laboratorio e investigación</w:t>
            </w:r>
          </w:p>
        </w:tc>
        <w:tc>
          <w:tcPr>
            <w:tcW w:w="1377" w:type="pct"/>
            <w:tcBorders>
              <w:top w:val="nil"/>
              <w:left w:val="nil"/>
              <w:bottom w:val="single" w:sz="4" w:space="0" w:color="auto"/>
              <w:right w:val="single" w:sz="4" w:space="0" w:color="auto"/>
            </w:tcBorders>
            <w:shd w:val="clear" w:color="auto" w:fill="auto"/>
            <w:noWrap/>
            <w:vAlign w:val="bottom"/>
            <w:hideMark/>
          </w:tcPr>
          <w:p w14:paraId="110937BA" w14:textId="77777777" w:rsidR="00B15F7D" w:rsidRPr="00990FB6" w:rsidRDefault="00B15F7D" w:rsidP="00B15F7D">
            <w:pPr>
              <w:jc w:val="right"/>
              <w:rPr>
                <w:sz w:val="22"/>
                <w:szCs w:val="22"/>
                <w:lang w:eastAsia="es-CR"/>
              </w:rPr>
            </w:pPr>
            <w:r w:rsidRPr="00990FB6">
              <w:rPr>
                <w:sz w:val="22"/>
                <w:szCs w:val="22"/>
                <w:lang w:eastAsia="es-CR"/>
              </w:rPr>
              <w:t>₡1.000.000,00</w:t>
            </w:r>
          </w:p>
        </w:tc>
      </w:tr>
      <w:tr w:rsidR="00B15F7D" w:rsidRPr="00990FB6" w14:paraId="0D97B051"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33EE459F"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50199 </w:t>
            </w:r>
          </w:p>
        </w:tc>
        <w:tc>
          <w:tcPr>
            <w:tcW w:w="2609" w:type="pct"/>
            <w:tcBorders>
              <w:top w:val="single" w:sz="4" w:space="0" w:color="auto"/>
              <w:left w:val="nil"/>
              <w:bottom w:val="single" w:sz="4" w:space="0" w:color="auto"/>
              <w:right w:val="single" w:sz="4" w:space="0" w:color="auto"/>
            </w:tcBorders>
            <w:shd w:val="clear" w:color="auto" w:fill="auto"/>
            <w:hideMark/>
          </w:tcPr>
          <w:p w14:paraId="56F1AF2A" w14:textId="77777777" w:rsidR="00B15F7D" w:rsidRPr="00990FB6" w:rsidRDefault="00B15F7D" w:rsidP="00B15F7D">
            <w:pPr>
              <w:jc w:val="both"/>
              <w:rPr>
                <w:color w:val="000000"/>
                <w:sz w:val="22"/>
                <w:szCs w:val="22"/>
                <w:lang w:eastAsia="es-CR"/>
              </w:rPr>
            </w:pPr>
            <w:r w:rsidRPr="00990FB6">
              <w:rPr>
                <w:color w:val="000000"/>
                <w:sz w:val="22"/>
                <w:szCs w:val="22"/>
                <w:lang w:eastAsia="es-CR"/>
              </w:rPr>
              <w:t>Maquinaria y equipo diverso</w:t>
            </w:r>
          </w:p>
        </w:tc>
        <w:tc>
          <w:tcPr>
            <w:tcW w:w="1377" w:type="pct"/>
            <w:tcBorders>
              <w:top w:val="nil"/>
              <w:left w:val="nil"/>
              <w:bottom w:val="single" w:sz="4" w:space="0" w:color="auto"/>
              <w:right w:val="single" w:sz="4" w:space="0" w:color="auto"/>
            </w:tcBorders>
            <w:shd w:val="clear" w:color="auto" w:fill="auto"/>
            <w:noWrap/>
            <w:vAlign w:val="bottom"/>
            <w:hideMark/>
          </w:tcPr>
          <w:p w14:paraId="10D9C643" w14:textId="77777777" w:rsidR="00B15F7D" w:rsidRPr="00990FB6" w:rsidRDefault="00B15F7D" w:rsidP="00B15F7D">
            <w:pPr>
              <w:jc w:val="right"/>
              <w:rPr>
                <w:sz w:val="22"/>
                <w:szCs w:val="22"/>
                <w:lang w:eastAsia="es-CR"/>
              </w:rPr>
            </w:pPr>
            <w:r w:rsidRPr="00990FB6">
              <w:rPr>
                <w:sz w:val="22"/>
                <w:szCs w:val="22"/>
                <w:lang w:eastAsia="es-CR"/>
              </w:rPr>
              <w:t>₡6.234.063,50</w:t>
            </w:r>
          </w:p>
        </w:tc>
      </w:tr>
      <w:tr w:rsidR="00B15F7D" w:rsidRPr="00990FB6" w14:paraId="479B2577"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F53BAD7"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599 </w:t>
            </w:r>
          </w:p>
        </w:tc>
        <w:tc>
          <w:tcPr>
            <w:tcW w:w="2609" w:type="pct"/>
            <w:tcBorders>
              <w:top w:val="single" w:sz="4" w:space="0" w:color="auto"/>
              <w:left w:val="nil"/>
              <w:bottom w:val="single" w:sz="4" w:space="0" w:color="auto"/>
              <w:right w:val="single" w:sz="4" w:space="0" w:color="auto"/>
            </w:tcBorders>
            <w:shd w:val="clear" w:color="auto" w:fill="auto"/>
            <w:hideMark/>
          </w:tcPr>
          <w:p w14:paraId="1A33926A"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BIENES DURADEROS DIVERSOS</w:t>
            </w:r>
          </w:p>
        </w:tc>
        <w:tc>
          <w:tcPr>
            <w:tcW w:w="1377" w:type="pct"/>
            <w:tcBorders>
              <w:top w:val="nil"/>
              <w:left w:val="nil"/>
              <w:bottom w:val="single" w:sz="4" w:space="0" w:color="auto"/>
              <w:right w:val="single" w:sz="4" w:space="0" w:color="auto"/>
            </w:tcBorders>
            <w:shd w:val="clear" w:color="auto" w:fill="auto"/>
            <w:noWrap/>
            <w:vAlign w:val="bottom"/>
            <w:hideMark/>
          </w:tcPr>
          <w:p w14:paraId="4784AAD9"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33D506BD" w14:textId="77777777" w:rsidTr="000A0C22">
        <w:trPr>
          <w:trHeight w:val="335"/>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25F92FE2"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59903 </w:t>
            </w:r>
          </w:p>
        </w:tc>
        <w:tc>
          <w:tcPr>
            <w:tcW w:w="2609" w:type="pct"/>
            <w:tcBorders>
              <w:top w:val="single" w:sz="4" w:space="0" w:color="auto"/>
              <w:left w:val="nil"/>
              <w:bottom w:val="single" w:sz="4" w:space="0" w:color="auto"/>
              <w:right w:val="single" w:sz="4" w:space="0" w:color="auto"/>
            </w:tcBorders>
            <w:shd w:val="clear" w:color="auto" w:fill="auto"/>
            <w:hideMark/>
          </w:tcPr>
          <w:p w14:paraId="63AEA8EC" w14:textId="77777777" w:rsidR="00B15F7D" w:rsidRPr="00990FB6" w:rsidRDefault="00B15F7D" w:rsidP="00B15F7D">
            <w:pPr>
              <w:jc w:val="both"/>
              <w:rPr>
                <w:color w:val="000000"/>
                <w:sz w:val="22"/>
                <w:szCs w:val="22"/>
                <w:lang w:eastAsia="es-CR"/>
              </w:rPr>
            </w:pPr>
            <w:r w:rsidRPr="00990FB6">
              <w:rPr>
                <w:color w:val="000000"/>
                <w:sz w:val="22"/>
                <w:szCs w:val="22"/>
                <w:lang w:eastAsia="es-CR"/>
              </w:rPr>
              <w:t>Bienes intangibles</w:t>
            </w:r>
          </w:p>
        </w:tc>
        <w:tc>
          <w:tcPr>
            <w:tcW w:w="1377" w:type="pct"/>
            <w:tcBorders>
              <w:top w:val="nil"/>
              <w:left w:val="nil"/>
              <w:bottom w:val="single" w:sz="4" w:space="0" w:color="auto"/>
              <w:right w:val="single" w:sz="4" w:space="0" w:color="auto"/>
            </w:tcBorders>
            <w:shd w:val="clear" w:color="auto" w:fill="auto"/>
            <w:noWrap/>
            <w:vAlign w:val="bottom"/>
            <w:hideMark/>
          </w:tcPr>
          <w:p w14:paraId="3E934BF0" w14:textId="77777777" w:rsidR="00B15F7D" w:rsidRPr="00990FB6" w:rsidRDefault="00B15F7D" w:rsidP="00B15F7D">
            <w:pPr>
              <w:jc w:val="right"/>
              <w:rPr>
                <w:sz w:val="22"/>
                <w:szCs w:val="22"/>
                <w:lang w:eastAsia="es-CR"/>
              </w:rPr>
            </w:pPr>
            <w:r w:rsidRPr="00990FB6">
              <w:rPr>
                <w:sz w:val="22"/>
                <w:szCs w:val="22"/>
                <w:lang w:eastAsia="es-CR"/>
              </w:rPr>
              <w:t>₡682.489,00</w:t>
            </w:r>
          </w:p>
        </w:tc>
      </w:tr>
      <w:tr w:rsidR="00B15F7D" w:rsidRPr="00990FB6" w14:paraId="2130E3A9"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0E703E41"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Partida: 6 </w:t>
            </w:r>
          </w:p>
        </w:tc>
        <w:tc>
          <w:tcPr>
            <w:tcW w:w="2609" w:type="pct"/>
            <w:tcBorders>
              <w:top w:val="single" w:sz="4" w:space="0" w:color="auto"/>
              <w:left w:val="nil"/>
              <w:bottom w:val="single" w:sz="4" w:space="0" w:color="auto"/>
              <w:right w:val="single" w:sz="4" w:space="0" w:color="auto"/>
            </w:tcBorders>
            <w:shd w:val="clear" w:color="auto" w:fill="auto"/>
            <w:hideMark/>
          </w:tcPr>
          <w:p w14:paraId="031102EF"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Transferencias Corrientes</w:t>
            </w:r>
          </w:p>
        </w:tc>
        <w:tc>
          <w:tcPr>
            <w:tcW w:w="1377" w:type="pct"/>
            <w:tcBorders>
              <w:top w:val="nil"/>
              <w:left w:val="nil"/>
              <w:bottom w:val="single" w:sz="4" w:space="0" w:color="auto"/>
              <w:right w:val="single" w:sz="4" w:space="0" w:color="auto"/>
            </w:tcBorders>
            <w:shd w:val="clear" w:color="auto" w:fill="auto"/>
            <w:noWrap/>
            <w:vAlign w:val="bottom"/>
            <w:hideMark/>
          </w:tcPr>
          <w:p w14:paraId="3EAA2A98"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5F83A025"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6B9A9E16"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 xml:space="preserve">  Grupo: 602 </w:t>
            </w:r>
          </w:p>
        </w:tc>
        <w:tc>
          <w:tcPr>
            <w:tcW w:w="2609" w:type="pct"/>
            <w:tcBorders>
              <w:top w:val="single" w:sz="4" w:space="0" w:color="auto"/>
              <w:left w:val="nil"/>
              <w:bottom w:val="single" w:sz="4" w:space="0" w:color="auto"/>
              <w:right w:val="single" w:sz="4" w:space="0" w:color="auto"/>
            </w:tcBorders>
            <w:shd w:val="clear" w:color="auto" w:fill="auto"/>
            <w:hideMark/>
          </w:tcPr>
          <w:p w14:paraId="25AFAE13" w14:textId="77777777" w:rsidR="00B15F7D" w:rsidRPr="00990FB6" w:rsidRDefault="00B15F7D" w:rsidP="00B15F7D">
            <w:pPr>
              <w:jc w:val="both"/>
              <w:rPr>
                <w:b/>
                <w:bCs/>
                <w:color w:val="000000"/>
                <w:sz w:val="22"/>
                <w:szCs w:val="22"/>
                <w:lang w:eastAsia="es-CR"/>
              </w:rPr>
            </w:pPr>
            <w:r w:rsidRPr="00990FB6">
              <w:rPr>
                <w:b/>
                <w:bCs/>
                <w:color w:val="000000"/>
                <w:sz w:val="22"/>
                <w:szCs w:val="22"/>
                <w:lang w:eastAsia="es-CR"/>
              </w:rPr>
              <w:t>TRANSFERENCIAS CORRIENTES A PERSONAS</w:t>
            </w:r>
          </w:p>
        </w:tc>
        <w:tc>
          <w:tcPr>
            <w:tcW w:w="1377" w:type="pct"/>
            <w:tcBorders>
              <w:top w:val="nil"/>
              <w:left w:val="nil"/>
              <w:bottom w:val="single" w:sz="4" w:space="0" w:color="auto"/>
              <w:right w:val="single" w:sz="4" w:space="0" w:color="auto"/>
            </w:tcBorders>
            <w:shd w:val="clear" w:color="auto" w:fill="auto"/>
            <w:noWrap/>
            <w:vAlign w:val="bottom"/>
            <w:hideMark/>
          </w:tcPr>
          <w:p w14:paraId="5FB5E0F2" w14:textId="77777777" w:rsidR="00B15F7D" w:rsidRPr="00990FB6" w:rsidRDefault="00B15F7D" w:rsidP="00B15F7D">
            <w:pPr>
              <w:jc w:val="right"/>
              <w:rPr>
                <w:sz w:val="22"/>
                <w:szCs w:val="22"/>
                <w:lang w:eastAsia="es-CR"/>
              </w:rPr>
            </w:pPr>
            <w:r w:rsidRPr="00990FB6">
              <w:rPr>
                <w:sz w:val="22"/>
                <w:szCs w:val="22"/>
                <w:lang w:eastAsia="es-CR"/>
              </w:rPr>
              <w:t> </w:t>
            </w:r>
          </w:p>
        </w:tc>
      </w:tr>
      <w:tr w:rsidR="00B15F7D" w:rsidRPr="00990FB6" w14:paraId="1548C6A3"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hideMark/>
          </w:tcPr>
          <w:p w14:paraId="57A38B6C"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   Subpartida: 60201 </w:t>
            </w:r>
          </w:p>
        </w:tc>
        <w:tc>
          <w:tcPr>
            <w:tcW w:w="2609" w:type="pct"/>
            <w:tcBorders>
              <w:top w:val="single" w:sz="4" w:space="0" w:color="auto"/>
              <w:left w:val="nil"/>
              <w:bottom w:val="single" w:sz="4" w:space="0" w:color="auto"/>
              <w:right w:val="single" w:sz="4" w:space="0" w:color="auto"/>
            </w:tcBorders>
            <w:shd w:val="clear" w:color="auto" w:fill="auto"/>
            <w:hideMark/>
          </w:tcPr>
          <w:p w14:paraId="3828A239" w14:textId="77777777" w:rsidR="00B15F7D" w:rsidRPr="00990FB6" w:rsidRDefault="00B15F7D" w:rsidP="00B15F7D">
            <w:pPr>
              <w:jc w:val="both"/>
              <w:rPr>
                <w:color w:val="000000"/>
                <w:sz w:val="22"/>
                <w:szCs w:val="22"/>
                <w:lang w:eastAsia="es-CR"/>
              </w:rPr>
            </w:pPr>
            <w:r w:rsidRPr="00990FB6">
              <w:rPr>
                <w:color w:val="000000"/>
                <w:sz w:val="22"/>
                <w:szCs w:val="22"/>
                <w:lang w:eastAsia="es-CR"/>
              </w:rPr>
              <w:t>Becas a funcionarios</w:t>
            </w:r>
          </w:p>
        </w:tc>
        <w:tc>
          <w:tcPr>
            <w:tcW w:w="1377" w:type="pct"/>
            <w:tcBorders>
              <w:top w:val="single" w:sz="4" w:space="0" w:color="auto"/>
              <w:left w:val="nil"/>
              <w:bottom w:val="single" w:sz="4" w:space="0" w:color="auto"/>
              <w:right w:val="single" w:sz="4" w:space="0" w:color="auto"/>
            </w:tcBorders>
            <w:shd w:val="clear" w:color="auto" w:fill="auto"/>
            <w:noWrap/>
            <w:vAlign w:val="bottom"/>
            <w:hideMark/>
          </w:tcPr>
          <w:p w14:paraId="09E44571" w14:textId="77777777" w:rsidR="00B15F7D" w:rsidRPr="00990FB6" w:rsidRDefault="00B15F7D" w:rsidP="00B15F7D">
            <w:pPr>
              <w:jc w:val="right"/>
              <w:rPr>
                <w:sz w:val="22"/>
                <w:szCs w:val="22"/>
                <w:lang w:eastAsia="es-CR"/>
              </w:rPr>
            </w:pPr>
            <w:r w:rsidRPr="00990FB6">
              <w:rPr>
                <w:sz w:val="22"/>
                <w:szCs w:val="22"/>
                <w:lang w:eastAsia="es-CR"/>
              </w:rPr>
              <w:t>₡4.754.275,00</w:t>
            </w:r>
          </w:p>
        </w:tc>
      </w:tr>
      <w:tr w:rsidR="00B15F7D" w:rsidRPr="00990FB6" w14:paraId="3780B802" w14:textId="77777777" w:rsidTr="000A0C22">
        <w:trPr>
          <w:trHeight w:val="288"/>
        </w:trPr>
        <w:tc>
          <w:tcPr>
            <w:tcW w:w="1015" w:type="pct"/>
            <w:tcBorders>
              <w:top w:val="single" w:sz="4" w:space="0" w:color="auto"/>
              <w:left w:val="single" w:sz="4" w:space="0" w:color="auto"/>
              <w:bottom w:val="single" w:sz="4" w:space="0" w:color="auto"/>
              <w:right w:val="single" w:sz="4" w:space="0" w:color="auto"/>
            </w:tcBorders>
            <w:shd w:val="clear" w:color="auto" w:fill="auto"/>
          </w:tcPr>
          <w:p w14:paraId="23F912BD" w14:textId="77777777" w:rsidR="00B15F7D" w:rsidRPr="00990FB6" w:rsidRDefault="00B15F7D" w:rsidP="00B15F7D">
            <w:pPr>
              <w:jc w:val="both"/>
              <w:rPr>
                <w:color w:val="000000"/>
                <w:sz w:val="22"/>
                <w:szCs w:val="22"/>
                <w:lang w:eastAsia="es-CR"/>
              </w:rPr>
            </w:pPr>
          </w:p>
        </w:tc>
        <w:tc>
          <w:tcPr>
            <w:tcW w:w="2609" w:type="pct"/>
            <w:tcBorders>
              <w:top w:val="single" w:sz="4" w:space="0" w:color="auto"/>
              <w:left w:val="nil"/>
              <w:bottom w:val="single" w:sz="4" w:space="0" w:color="auto"/>
              <w:right w:val="single" w:sz="4" w:space="0" w:color="auto"/>
            </w:tcBorders>
            <w:shd w:val="clear" w:color="auto" w:fill="auto"/>
          </w:tcPr>
          <w:p w14:paraId="2550A6FE" w14:textId="77777777" w:rsidR="00B15F7D" w:rsidRPr="00990FB6" w:rsidRDefault="00B15F7D" w:rsidP="00B15F7D">
            <w:pPr>
              <w:jc w:val="center"/>
              <w:rPr>
                <w:color w:val="000000"/>
                <w:sz w:val="22"/>
                <w:szCs w:val="22"/>
                <w:lang w:eastAsia="es-CR"/>
              </w:rPr>
            </w:pPr>
            <w:r w:rsidRPr="00990FB6">
              <w:rPr>
                <w:b/>
                <w:bCs/>
                <w:color w:val="000000"/>
                <w:sz w:val="22"/>
                <w:szCs w:val="22"/>
                <w:lang w:eastAsia="es-CR"/>
              </w:rPr>
              <w:t>Total</w:t>
            </w:r>
          </w:p>
        </w:tc>
        <w:tc>
          <w:tcPr>
            <w:tcW w:w="1377" w:type="pct"/>
            <w:tcBorders>
              <w:top w:val="single" w:sz="4" w:space="0" w:color="auto"/>
              <w:left w:val="nil"/>
              <w:bottom w:val="single" w:sz="4" w:space="0" w:color="auto"/>
              <w:right w:val="single" w:sz="4" w:space="0" w:color="auto"/>
            </w:tcBorders>
            <w:shd w:val="clear" w:color="auto" w:fill="auto"/>
            <w:noWrap/>
            <w:vAlign w:val="bottom"/>
          </w:tcPr>
          <w:p w14:paraId="222318F2" w14:textId="77777777" w:rsidR="00B15F7D" w:rsidRPr="00990FB6" w:rsidRDefault="00B15F7D" w:rsidP="00B15F7D">
            <w:pPr>
              <w:jc w:val="right"/>
              <w:rPr>
                <w:b/>
                <w:bCs/>
                <w:sz w:val="22"/>
                <w:szCs w:val="22"/>
                <w:lang w:eastAsia="es-CR"/>
              </w:rPr>
            </w:pPr>
            <w:r w:rsidRPr="00990FB6">
              <w:rPr>
                <w:b/>
                <w:bCs/>
                <w:sz w:val="22"/>
                <w:szCs w:val="22"/>
                <w:lang w:eastAsia="es-CR"/>
              </w:rPr>
              <w:t>¢385.245.444.50</w:t>
            </w:r>
          </w:p>
        </w:tc>
      </w:tr>
    </w:tbl>
    <w:p w14:paraId="601FF220" w14:textId="77777777" w:rsidR="00B15F7D" w:rsidRPr="00990FB6" w:rsidRDefault="00B15F7D" w:rsidP="00B15F7D">
      <w:pPr>
        <w:jc w:val="both"/>
        <w:rPr>
          <w:sz w:val="22"/>
          <w:szCs w:val="22"/>
        </w:rPr>
      </w:pPr>
    </w:p>
    <w:p w14:paraId="4498A7D1" w14:textId="77777777" w:rsidR="00B15F7D" w:rsidRPr="00990FB6" w:rsidRDefault="00B15F7D" w:rsidP="00B15F7D">
      <w:pPr>
        <w:jc w:val="center"/>
        <w:rPr>
          <w:sz w:val="22"/>
          <w:szCs w:val="22"/>
        </w:rPr>
      </w:pPr>
      <w:r w:rsidRPr="00990FB6">
        <w:rPr>
          <w:sz w:val="22"/>
          <w:szCs w:val="22"/>
        </w:rPr>
        <w:object w:dxaOrig="1513" w:dyaOrig="989" w14:anchorId="6490DF50">
          <v:shape id="_x0000_i1069" type="#_x0000_t75" style="width:77pt;height:51.5pt" o:ole="">
            <v:imagedata r:id="rId160" o:title=""/>
          </v:shape>
          <o:OLEObject Type="Embed" ProgID="Package" ShapeID="_x0000_i1069" DrawAspect="Icon" ObjectID="_1748679197" r:id="rId161"/>
        </w:object>
      </w:r>
    </w:p>
    <w:p w14:paraId="2F6ACFDF" w14:textId="77777777" w:rsidR="00B15F7D" w:rsidRPr="00990FB6" w:rsidRDefault="00B15F7D" w:rsidP="00B15F7D">
      <w:pPr>
        <w:jc w:val="both"/>
        <w:rPr>
          <w:sz w:val="22"/>
          <w:szCs w:val="22"/>
        </w:rPr>
      </w:pPr>
    </w:p>
    <w:p w14:paraId="2FB57AC6" w14:textId="77777777" w:rsidR="00B15F7D" w:rsidRPr="00990FB6" w:rsidRDefault="00B15F7D" w:rsidP="00B15F7D">
      <w:pPr>
        <w:numPr>
          <w:ilvl w:val="0"/>
          <w:numId w:val="196"/>
        </w:numPr>
        <w:suppressAutoHyphens w:val="0"/>
        <w:ind w:left="851" w:right="851" w:firstLine="709"/>
        <w:contextualSpacing/>
        <w:jc w:val="both"/>
        <w:rPr>
          <w:b/>
          <w:i/>
          <w:sz w:val="22"/>
          <w:szCs w:val="22"/>
          <w:u w:val="single"/>
        </w:rPr>
      </w:pPr>
      <w:r w:rsidRPr="00990FB6">
        <w:rPr>
          <w:b/>
          <w:i/>
          <w:sz w:val="22"/>
          <w:szCs w:val="22"/>
          <w:u w:val="single"/>
        </w:rPr>
        <w:t>Oficina Atención y Protección a las Víctimas de Delitos:</w:t>
      </w:r>
    </w:p>
    <w:p w14:paraId="6033D2D2" w14:textId="77777777" w:rsidR="00B15F7D" w:rsidRPr="00990FB6" w:rsidRDefault="00B15F7D" w:rsidP="00B15F7D">
      <w:pPr>
        <w:ind w:left="851" w:right="851" w:firstLine="709"/>
        <w:contextualSpacing/>
        <w:jc w:val="both"/>
        <w:rPr>
          <w:b/>
          <w:i/>
          <w:sz w:val="22"/>
          <w:szCs w:val="22"/>
          <w:u w:val="single"/>
        </w:rPr>
      </w:pPr>
    </w:p>
    <w:p w14:paraId="3F2BBAC6" w14:textId="77777777" w:rsidR="00B15F7D" w:rsidRPr="00990FB6" w:rsidRDefault="00B15F7D" w:rsidP="00B15F7D">
      <w:pPr>
        <w:ind w:left="851" w:right="851" w:firstLine="709"/>
        <w:jc w:val="both"/>
        <w:rPr>
          <w:sz w:val="22"/>
          <w:szCs w:val="22"/>
        </w:rPr>
      </w:pPr>
      <w:r w:rsidRPr="00990FB6">
        <w:rPr>
          <w:sz w:val="22"/>
          <w:szCs w:val="22"/>
        </w:rPr>
        <w:t>Mediante correo electrónico del viernes 12 de mayo, la Oficina Atención a la Víctima de Delito remite correo electrónico con oficio No 713-OAPVD-Sede Central-2023, indicando que mantiene el criterio señalado en el oficio 671-OAPVD-2023 del pasado 05 de mayo:</w:t>
      </w:r>
    </w:p>
    <w:p w14:paraId="0BA91AC5" w14:textId="77777777" w:rsidR="00B15F7D" w:rsidRPr="00990FB6" w:rsidRDefault="00B15F7D" w:rsidP="00B15F7D">
      <w:pPr>
        <w:ind w:left="851" w:right="851" w:firstLine="709"/>
        <w:jc w:val="both"/>
        <w:rPr>
          <w:sz w:val="22"/>
          <w:szCs w:val="22"/>
        </w:rPr>
      </w:pPr>
    </w:p>
    <w:p w14:paraId="7174AD10" w14:textId="77777777" w:rsidR="00B15F7D" w:rsidRPr="00990FB6" w:rsidRDefault="00B15F7D" w:rsidP="00B15F7D">
      <w:pPr>
        <w:ind w:left="851" w:right="851" w:firstLine="709"/>
        <w:jc w:val="both"/>
        <w:rPr>
          <w:i/>
          <w:iCs/>
          <w:sz w:val="22"/>
          <w:szCs w:val="22"/>
          <w:lang w:val="es-CR" w:eastAsia="en-US"/>
        </w:rPr>
      </w:pPr>
      <w:r w:rsidRPr="00990FB6">
        <w:rPr>
          <w:i/>
          <w:iCs/>
          <w:sz w:val="22"/>
          <w:szCs w:val="22"/>
          <w:lang w:val="es-CR" w:eastAsia="en-US"/>
        </w:rPr>
        <w:t>“…El programa 950 “Servicio a Víctimas” mantiene el criterio señalado en el oficio 671- OAPVD-2023 remitido el pasado 05 de mayo un recorte al presupuesto 2024 significaría una afectación directa a la persona usuaria, así como un incumplimiento a las exigencias de las Ley 8720 Ley de Protección a víctimas, testigos y demás sujetos intervinientes en el proceso penal...”.</w:t>
      </w:r>
    </w:p>
    <w:p w14:paraId="2420332E" w14:textId="77777777" w:rsidR="00B15F7D" w:rsidRPr="00990FB6" w:rsidRDefault="00B15F7D" w:rsidP="00B15F7D">
      <w:pPr>
        <w:ind w:left="851" w:right="851" w:firstLine="709"/>
        <w:jc w:val="both"/>
        <w:rPr>
          <w:i/>
          <w:iCs/>
          <w:sz w:val="22"/>
          <w:szCs w:val="22"/>
        </w:rPr>
      </w:pPr>
    </w:p>
    <w:p w14:paraId="025822A3" w14:textId="77777777" w:rsidR="00B15F7D" w:rsidRPr="00990FB6" w:rsidRDefault="00B15F7D" w:rsidP="00B15F7D">
      <w:pPr>
        <w:ind w:left="851" w:right="851" w:firstLine="709"/>
        <w:jc w:val="both"/>
        <w:rPr>
          <w:i/>
          <w:iCs/>
          <w:sz w:val="22"/>
          <w:szCs w:val="22"/>
        </w:rPr>
      </w:pPr>
    </w:p>
    <w:p w14:paraId="0A35802A" w14:textId="77777777" w:rsidR="00B15F7D" w:rsidRPr="00990FB6" w:rsidRDefault="00B15F7D" w:rsidP="00B15F7D">
      <w:pPr>
        <w:ind w:left="851" w:right="851" w:firstLine="709"/>
        <w:jc w:val="both"/>
        <w:rPr>
          <w:i/>
          <w:iCs/>
          <w:sz w:val="22"/>
          <w:szCs w:val="22"/>
        </w:rPr>
      </w:pPr>
    </w:p>
    <w:tbl>
      <w:tblPr>
        <w:tblW w:w="50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4"/>
        <w:gridCol w:w="1204"/>
        <w:gridCol w:w="1523"/>
        <w:gridCol w:w="923"/>
        <w:gridCol w:w="1656"/>
        <w:gridCol w:w="2660"/>
      </w:tblGrid>
      <w:tr w:rsidR="00B15F7D" w:rsidRPr="00990FB6" w14:paraId="51414F76" w14:textId="77777777" w:rsidTr="000A0C22">
        <w:trPr>
          <w:trHeight w:val="660"/>
        </w:trPr>
        <w:tc>
          <w:tcPr>
            <w:tcW w:w="768" w:type="pct"/>
            <w:shd w:val="clear" w:color="000000" w:fill="0070C0"/>
            <w:vAlign w:val="center"/>
            <w:hideMark/>
          </w:tcPr>
          <w:p w14:paraId="41828089"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Centro Gestor/Oficina</w:t>
            </w:r>
          </w:p>
        </w:tc>
        <w:tc>
          <w:tcPr>
            <w:tcW w:w="605" w:type="pct"/>
            <w:shd w:val="clear" w:color="000000" w:fill="0070C0"/>
            <w:vAlign w:val="center"/>
            <w:hideMark/>
          </w:tcPr>
          <w:p w14:paraId="4689D7DC"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Subpartida</w:t>
            </w:r>
          </w:p>
        </w:tc>
        <w:tc>
          <w:tcPr>
            <w:tcW w:w="868" w:type="pct"/>
            <w:shd w:val="clear" w:color="000000" w:fill="0070C0"/>
            <w:vAlign w:val="center"/>
            <w:hideMark/>
          </w:tcPr>
          <w:p w14:paraId="312AE425"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Monto</w:t>
            </w:r>
          </w:p>
        </w:tc>
        <w:tc>
          <w:tcPr>
            <w:tcW w:w="464" w:type="pct"/>
            <w:shd w:val="clear" w:color="000000" w:fill="0070C0"/>
            <w:vAlign w:val="center"/>
            <w:hideMark/>
          </w:tcPr>
          <w:p w14:paraId="557F3562"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Artículo</w:t>
            </w:r>
          </w:p>
        </w:tc>
        <w:tc>
          <w:tcPr>
            <w:tcW w:w="829" w:type="pct"/>
            <w:shd w:val="clear" w:color="000000" w:fill="0070C0"/>
            <w:vAlign w:val="center"/>
            <w:hideMark/>
          </w:tcPr>
          <w:p w14:paraId="0C2FD78E"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Nombre de artículo</w:t>
            </w:r>
          </w:p>
        </w:tc>
        <w:tc>
          <w:tcPr>
            <w:tcW w:w="1466" w:type="pct"/>
            <w:shd w:val="clear" w:color="000000" w:fill="0070C0"/>
            <w:vAlign w:val="center"/>
            <w:hideMark/>
          </w:tcPr>
          <w:p w14:paraId="226D2C18" w14:textId="77777777" w:rsidR="00B15F7D" w:rsidRPr="00990FB6" w:rsidRDefault="00B15F7D" w:rsidP="00B15F7D">
            <w:pPr>
              <w:jc w:val="center"/>
              <w:rPr>
                <w:b/>
                <w:bCs/>
                <w:color w:val="FFFFFF"/>
                <w:sz w:val="22"/>
                <w:szCs w:val="22"/>
                <w:lang w:eastAsia="es-CR"/>
              </w:rPr>
            </w:pPr>
            <w:r w:rsidRPr="00990FB6">
              <w:rPr>
                <w:b/>
                <w:bCs/>
                <w:color w:val="FFFFFF"/>
                <w:sz w:val="22"/>
                <w:szCs w:val="22"/>
                <w:lang w:eastAsia="es-CR"/>
              </w:rPr>
              <w:t>Impacto Institucional</w:t>
            </w:r>
          </w:p>
        </w:tc>
      </w:tr>
      <w:tr w:rsidR="00B15F7D" w:rsidRPr="00990FB6" w14:paraId="38CF5D40" w14:textId="77777777" w:rsidTr="000A0C22">
        <w:trPr>
          <w:trHeight w:val="1500"/>
        </w:trPr>
        <w:tc>
          <w:tcPr>
            <w:tcW w:w="768" w:type="pct"/>
            <w:shd w:val="clear" w:color="auto" w:fill="auto"/>
            <w:vAlign w:val="center"/>
            <w:hideMark/>
          </w:tcPr>
          <w:p w14:paraId="51924B4A"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745F45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10304</w:t>
            </w:r>
          </w:p>
        </w:tc>
        <w:tc>
          <w:tcPr>
            <w:tcW w:w="868" w:type="pct"/>
            <w:shd w:val="clear" w:color="auto" w:fill="auto"/>
            <w:vAlign w:val="center"/>
            <w:hideMark/>
          </w:tcPr>
          <w:p w14:paraId="05FB1840"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3.830.000,00 </w:t>
            </w:r>
          </w:p>
        </w:tc>
        <w:tc>
          <w:tcPr>
            <w:tcW w:w="464" w:type="pct"/>
            <w:shd w:val="clear" w:color="auto" w:fill="auto"/>
            <w:vAlign w:val="center"/>
            <w:hideMark/>
          </w:tcPr>
          <w:p w14:paraId="0CDDF8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23232</w:t>
            </w:r>
          </w:p>
        </w:tc>
        <w:tc>
          <w:tcPr>
            <w:tcW w:w="829" w:type="pct"/>
            <w:shd w:val="clear" w:color="auto" w:fill="auto"/>
            <w:vAlign w:val="center"/>
            <w:hideMark/>
          </w:tcPr>
          <w:p w14:paraId="3A8EBD1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Ayudas económicas</w:t>
            </w:r>
          </w:p>
        </w:tc>
        <w:tc>
          <w:tcPr>
            <w:tcW w:w="1466" w:type="pct"/>
            <w:shd w:val="clear" w:color="auto" w:fill="auto"/>
            <w:vAlign w:val="center"/>
            <w:hideMark/>
          </w:tcPr>
          <w:p w14:paraId="10F8EE01" w14:textId="77777777" w:rsidR="00B15F7D" w:rsidRPr="00990FB6" w:rsidRDefault="00B15F7D" w:rsidP="00B15F7D">
            <w:pPr>
              <w:jc w:val="both"/>
              <w:rPr>
                <w:color w:val="000000"/>
                <w:sz w:val="22"/>
                <w:szCs w:val="22"/>
                <w:lang w:eastAsia="es-CR"/>
              </w:rPr>
            </w:pPr>
            <w:r w:rsidRPr="00990FB6">
              <w:rPr>
                <w:color w:val="000000"/>
                <w:sz w:val="22"/>
                <w:szCs w:val="22"/>
                <w:lang w:eastAsia="es-CR"/>
              </w:rPr>
              <w:t>La afectación   presupuestario conlleva a la desatención del servicio de las personas víctimas, testigos que acuden a la OAPVD y al Poder Judicial para salvaguardar su vida e integridad física. Los recursos formulados, se incluyeron para el pago por servicio de traslado de menaje de las personas víctimas y testigos que forman parte del programa de protección y que se acogen a la medida extraprocesal de reubicación, la disminución del contenido limitaría el acceso al pago de esos traslados de menaje para las personas usuarias.</w:t>
            </w:r>
          </w:p>
        </w:tc>
      </w:tr>
      <w:tr w:rsidR="00B15F7D" w:rsidRPr="00990FB6" w14:paraId="530AFC47" w14:textId="77777777" w:rsidTr="000A0C22">
        <w:trPr>
          <w:trHeight w:val="1185"/>
        </w:trPr>
        <w:tc>
          <w:tcPr>
            <w:tcW w:w="768" w:type="pct"/>
            <w:shd w:val="clear" w:color="auto" w:fill="auto"/>
            <w:vAlign w:val="center"/>
            <w:hideMark/>
          </w:tcPr>
          <w:p w14:paraId="063945A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1979</w:t>
            </w:r>
          </w:p>
        </w:tc>
        <w:tc>
          <w:tcPr>
            <w:tcW w:w="605" w:type="pct"/>
            <w:shd w:val="clear" w:color="auto" w:fill="auto"/>
            <w:vAlign w:val="center"/>
            <w:hideMark/>
          </w:tcPr>
          <w:p w14:paraId="5E3102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10502</w:t>
            </w:r>
          </w:p>
        </w:tc>
        <w:tc>
          <w:tcPr>
            <w:tcW w:w="868" w:type="pct"/>
            <w:shd w:val="clear" w:color="auto" w:fill="auto"/>
            <w:vAlign w:val="center"/>
            <w:hideMark/>
          </w:tcPr>
          <w:p w14:paraId="192AD71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6.000.000,00 </w:t>
            </w:r>
          </w:p>
        </w:tc>
        <w:tc>
          <w:tcPr>
            <w:tcW w:w="464" w:type="pct"/>
            <w:shd w:val="clear" w:color="auto" w:fill="auto"/>
            <w:vAlign w:val="center"/>
            <w:hideMark/>
          </w:tcPr>
          <w:p w14:paraId="1B8A954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19622</w:t>
            </w:r>
          </w:p>
        </w:tc>
        <w:tc>
          <w:tcPr>
            <w:tcW w:w="829" w:type="pct"/>
            <w:shd w:val="clear" w:color="auto" w:fill="auto"/>
            <w:vAlign w:val="center"/>
            <w:hideMark/>
          </w:tcPr>
          <w:p w14:paraId="2E8D8B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Viáticos para empleados</w:t>
            </w:r>
          </w:p>
        </w:tc>
        <w:tc>
          <w:tcPr>
            <w:tcW w:w="1466" w:type="pct"/>
            <w:shd w:val="clear" w:color="auto" w:fill="auto"/>
            <w:vAlign w:val="center"/>
            <w:hideMark/>
          </w:tcPr>
          <w:p w14:paraId="0725DFE5"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en cuanto al pago del derecho por concepto de alimentación a las personas agentes de protección ejecutantes de determinada diligencia. Atenta contra las adecuadas condiciones laborales a nivel patronal y se torna incumplimiento de lo que estima el Código de Trabajo y acuerdos internacionales, imposibilitando la realización de trabajos de campo dentro de los cuales se desatacan actividades en lugares lejanos ya que no es posible generar gastos de hospedaje cuando así lo amerite, por ejemplo. </w:t>
            </w:r>
          </w:p>
        </w:tc>
      </w:tr>
      <w:tr w:rsidR="00B15F7D" w:rsidRPr="00990FB6" w14:paraId="26AD512A" w14:textId="77777777" w:rsidTr="000A0C22">
        <w:trPr>
          <w:trHeight w:val="1245"/>
        </w:trPr>
        <w:tc>
          <w:tcPr>
            <w:tcW w:w="768" w:type="pct"/>
            <w:shd w:val="clear" w:color="auto" w:fill="auto"/>
            <w:vAlign w:val="center"/>
            <w:hideMark/>
          </w:tcPr>
          <w:p w14:paraId="677D10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1106</w:t>
            </w:r>
          </w:p>
        </w:tc>
        <w:tc>
          <w:tcPr>
            <w:tcW w:w="605" w:type="pct"/>
            <w:shd w:val="clear" w:color="auto" w:fill="auto"/>
            <w:vAlign w:val="center"/>
            <w:hideMark/>
          </w:tcPr>
          <w:p w14:paraId="43ECF1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10502</w:t>
            </w:r>
          </w:p>
        </w:tc>
        <w:tc>
          <w:tcPr>
            <w:tcW w:w="868" w:type="pct"/>
            <w:shd w:val="clear" w:color="auto" w:fill="auto"/>
            <w:vAlign w:val="center"/>
            <w:hideMark/>
          </w:tcPr>
          <w:p w14:paraId="74035B1E"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15.000.000,00 </w:t>
            </w:r>
          </w:p>
        </w:tc>
        <w:tc>
          <w:tcPr>
            <w:tcW w:w="464" w:type="pct"/>
            <w:shd w:val="clear" w:color="auto" w:fill="auto"/>
            <w:vAlign w:val="center"/>
            <w:hideMark/>
          </w:tcPr>
          <w:p w14:paraId="3FCB7E3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19622</w:t>
            </w:r>
          </w:p>
        </w:tc>
        <w:tc>
          <w:tcPr>
            <w:tcW w:w="829" w:type="pct"/>
            <w:shd w:val="clear" w:color="auto" w:fill="auto"/>
            <w:vAlign w:val="center"/>
            <w:hideMark/>
          </w:tcPr>
          <w:p w14:paraId="7CB5E8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Viáticos para empleados</w:t>
            </w:r>
          </w:p>
        </w:tc>
        <w:tc>
          <w:tcPr>
            <w:tcW w:w="1466" w:type="pct"/>
            <w:shd w:val="clear" w:color="auto" w:fill="auto"/>
            <w:vAlign w:val="center"/>
            <w:hideMark/>
          </w:tcPr>
          <w:p w14:paraId="69A98056"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en cuanto al pago del derecho por concepto de alimentación a las personas agentes de protección ejecutantes de determinada diligencia. Atenta contra las adecuadas condiciones laborales a nivel patronal y se torna incumplimiento de lo que estima el Código de Trabajo y acuerdos internacionales, imposibilitando la realización de trabajos de campo dentro de los cuales se desatacan actividades en lugares lejanos ya que no es posible generar gastos de hospedaje cuando así lo amerite, por ejemplo. </w:t>
            </w:r>
          </w:p>
        </w:tc>
      </w:tr>
      <w:tr w:rsidR="00B15F7D" w:rsidRPr="00990FB6" w14:paraId="77EE7242" w14:textId="77777777" w:rsidTr="000A0C22">
        <w:trPr>
          <w:trHeight w:val="1970"/>
        </w:trPr>
        <w:tc>
          <w:tcPr>
            <w:tcW w:w="768" w:type="pct"/>
            <w:shd w:val="clear" w:color="auto" w:fill="auto"/>
            <w:vAlign w:val="center"/>
            <w:hideMark/>
          </w:tcPr>
          <w:p w14:paraId="620F7DA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0753DE1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10502</w:t>
            </w:r>
          </w:p>
        </w:tc>
        <w:tc>
          <w:tcPr>
            <w:tcW w:w="868" w:type="pct"/>
            <w:shd w:val="clear" w:color="auto" w:fill="auto"/>
            <w:vAlign w:val="center"/>
            <w:hideMark/>
          </w:tcPr>
          <w:p w14:paraId="377ACB5A"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10.000.000,00 </w:t>
            </w:r>
          </w:p>
        </w:tc>
        <w:tc>
          <w:tcPr>
            <w:tcW w:w="464" w:type="pct"/>
            <w:shd w:val="clear" w:color="auto" w:fill="auto"/>
            <w:vAlign w:val="center"/>
            <w:hideMark/>
          </w:tcPr>
          <w:p w14:paraId="7CD816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6461</w:t>
            </w:r>
          </w:p>
        </w:tc>
        <w:tc>
          <w:tcPr>
            <w:tcW w:w="829" w:type="pct"/>
            <w:shd w:val="clear" w:color="auto" w:fill="auto"/>
            <w:vAlign w:val="center"/>
            <w:hideMark/>
          </w:tcPr>
          <w:p w14:paraId="08ECF86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Ayudas económicas</w:t>
            </w:r>
          </w:p>
        </w:tc>
        <w:tc>
          <w:tcPr>
            <w:tcW w:w="1466" w:type="pct"/>
            <w:shd w:val="clear" w:color="auto" w:fill="auto"/>
            <w:vAlign w:val="center"/>
            <w:hideMark/>
          </w:tcPr>
          <w:p w14:paraId="060138D8"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los recursos se incorporaron para cubrir los gastos de protección y ayudas económicas de las personas </w:t>
            </w:r>
            <w:proofErr w:type="spellStart"/>
            <w:r w:rsidRPr="00990FB6">
              <w:rPr>
                <w:color w:val="000000"/>
                <w:sz w:val="22"/>
                <w:szCs w:val="22"/>
                <w:lang w:eastAsia="es-CR"/>
              </w:rPr>
              <w:t>victimas</w:t>
            </w:r>
            <w:proofErr w:type="spellEnd"/>
            <w:r w:rsidRPr="00990FB6">
              <w:rPr>
                <w:color w:val="000000"/>
                <w:sz w:val="22"/>
                <w:szCs w:val="22"/>
                <w:lang w:eastAsia="es-CR"/>
              </w:rPr>
              <w:t xml:space="preserve"> y testigos, quienes no cuenta con recursos para cancelar lo referente alimentación, hospedaje, alquiler de vivienda, en aquellos casos en que forman parte del programa de protección y toman la medida extraprocesal de reubicación para salvar su vida e integridad física. Con el recorte se afecta el servicio a las personas usuarias, e incluso se estaría afectando el cumplimiento de la Ley 8720, Reglas de Brasilia y Guías de Santiago. La afectación se da a las personas usuarias que acude </w:t>
            </w:r>
            <w:r w:rsidRPr="00990FB6">
              <w:rPr>
                <w:color w:val="000000"/>
                <w:sz w:val="22"/>
                <w:szCs w:val="22"/>
                <w:lang w:eastAsia="es-CR"/>
              </w:rPr>
              <w:lastRenderedPageBreak/>
              <w:t>a la OAPVD al Poder Judicial para que le protejan su vida e integridad física ya que debido a un delito penal resultó víctima, testigo etc. El recorte presupuestario limita el accionar técnico de la OAPVD para salvaguardar la vida de las personas protegidas. La disminución en los recursos imposibilita cubrir el servicio de hospedaje, alimentación de todo el 2024</w:t>
            </w:r>
          </w:p>
        </w:tc>
      </w:tr>
      <w:tr w:rsidR="00B15F7D" w:rsidRPr="00990FB6" w14:paraId="5262C9A1" w14:textId="77777777" w:rsidTr="000A0C22">
        <w:trPr>
          <w:trHeight w:val="998"/>
        </w:trPr>
        <w:tc>
          <w:tcPr>
            <w:tcW w:w="768" w:type="pct"/>
            <w:shd w:val="clear" w:color="auto" w:fill="auto"/>
            <w:vAlign w:val="center"/>
            <w:hideMark/>
          </w:tcPr>
          <w:p w14:paraId="11A24C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1978</w:t>
            </w:r>
          </w:p>
        </w:tc>
        <w:tc>
          <w:tcPr>
            <w:tcW w:w="605" w:type="pct"/>
            <w:shd w:val="clear" w:color="auto" w:fill="auto"/>
            <w:vAlign w:val="center"/>
            <w:hideMark/>
          </w:tcPr>
          <w:p w14:paraId="1A534FD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10502</w:t>
            </w:r>
          </w:p>
        </w:tc>
        <w:tc>
          <w:tcPr>
            <w:tcW w:w="868" w:type="pct"/>
            <w:shd w:val="clear" w:color="auto" w:fill="auto"/>
            <w:vAlign w:val="center"/>
            <w:hideMark/>
          </w:tcPr>
          <w:p w14:paraId="092A03B5"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1.500.000,00 </w:t>
            </w:r>
          </w:p>
        </w:tc>
        <w:tc>
          <w:tcPr>
            <w:tcW w:w="464" w:type="pct"/>
            <w:shd w:val="clear" w:color="auto" w:fill="auto"/>
            <w:vAlign w:val="center"/>
            <w:hideMark/>
          </w:tcPr>
          <w:p w14:paraId="2BDCF71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6461</w:t>
            </w:r>
          </w:p>
        </w:tc>
        <w:tc>
          <w:tcPr>
            <w:tcW w:w="829" w:type="pct"/>
            <w:shd w:val="clear" w:color="auto" w:fill="auto"/>
            <w:vAlign w:val="center"/>
            <w:hideMark/>
          </w:tcPr>
          <w:p w14:paraId="570114D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Ayudas económicas</w:t>
            </w:r>
          </w:p>
        </w:tc>
        <w:tc>
          <w:tcPr>
            <w:tcW w:w="1466" w:type="pct"/>
            <w:shd w:val="clear" w:color="auto" w:fill="auto"/>
            <w:vAlign w:val="center"/>
            <w:hideMark/>
          </w:tcPr>
          <w:p w14:paraId="5F8A2964" w14:textId="77777777" w:rsidR="00B15F7D" w:rsidRPr="00990FB6" w:rsidRDefault="00B15F7D" w:rsidP="00B15F7D">
            <w:pPr>
              <w:jc w:val="both"/>
              <w:rPr>
                <w:color w:val="000000"/>
                <w:sz w:val="22"/>
                <w:szCs w:val="22"/>
                <w:lang w:eastAsia="es-CR"/>
              </w:rPr>
            </w:pPr>
            <w:r w:rsidRPr="00990FB6">
              <w:rPr>
                <w:color w:val="000000"/>
                <w:sz w:val="22"/>
                <w:szCs w:val="22"/>
                <w:lang w:eastAsia="es-CR"/>
              </w:rPr>
              <w:t>Afectación del servicio que se brinda a las personas que cuentan con expediente JEDO y recurren a solicitar protección a la OAPVD. La disminución en los recursos imposibilita cubrir el servicio de hospedaje, alimentación de todo el 2024</w:t>
            </w:r>
          </w:p>
        </w:tc>
      </w:tr>
      <w:tr w:rsidR="00B15F7D" w:rsidRPr="00990FB6" w14:paraId="231D2B18" w14:textId="77777777" w:rsidTr="000A0C22">
        <w:trPr>
          <w:trHeight w:val="823"/>
        </w:trPr>
        <w:tc>
          <w:tcPr>
            <w:tcW w:w="768" w:type="pct"/>
            <w:shd w:val="clear" w:color="auto" w:fill="auto"/>
            <w:vAlign w:val="center"/>
            <w:hideMark/>
          </w:tcPr>
          <w:p w14:paraId="32DDF95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08B315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10701</w:t>
            </w:r>
          </w:p>
        </w:tc>
        <w:tc>
          <w:tcPr>
            <w:tcW w:w="868" w:type="pct"/>
            <w:shd w:val="clear" w:color="auto" w:fill="auto"/>
            <w:vAlign w:val="center"/>
            <w:hideMark/>
          </w:tcPr>
          <w:p w14:paraId="594DF293"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2.000.000,00 </w:t>
            </w:r>
          </w:p>
        </w:tc>
        <w:tc>
          <w:tcPr>
            <w:tcW w:w="464" w:type="pct"/>
            <w:shd w:val="clear" w:color="auto" w:fill="auto"/>
            <w:vAlign w:val="center"/>
            <w:hideMark/>
          </w:tcPr>
          <w:p w14:paraId="1E5FC80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19543</w:t>
            </w:r>
          </w:p>
        </w:tc>
        <w:tc>
          <w:tcPr>
            <w:tcW w:w="829" w:type="pct"/>
            <w:shd w:val="clear" w:color="auto" w:fill="auto"/>
            <w:vAlign w:val="center"/>
            <w:hideMark/>
          </w:tcPr>
          <w:p w14:paraId="5B8940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Actividades de Capacitación y Materiales</w:t>
            </w:r>
          </w:p>
        </w:tc>
        <w:tc>
          <w:tcPr>
            <w:tcW w:w="1466" w:type="pct"/>
            <w:shd w:val="clear" w:color="auto" w:fill="auto"/>
            <w:vAlign w:val="center"/>
            <w:hideMark/>
          </w:tcPr>
          <w:p w14:paraId="3B861D41"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Los recursos se incorporaron para gestionar la capacitación y actualización del conocimiento del personal del despacho. La afectación se da en el área de actualización del personal encargado de desarrollar los planes de protección para víctimas y testigos. </w:t>
            </w:r>
          </w:p>
        </w:tc>
      </w:tr>
      <w:tr w:rsidR="00B15F7D" w:rsidRPr="00990FB6" w14:paraId="29098E14" w14:textId="77777777" w:rsidTr="000A0C22">
        <w:trPr>
          <w:trHeight w:val="1493"/>
        </w:trPr>
        <w:tc>
          <w:tcPr>
            <w:tcW w:w="768" w:type="pct"/>
            <w:shd w:val="clear" w:color="auto" w:fill="auto"/>
            <w:vAlign w:val="center"/>
            <w:hideMark/>
          </w:tcPr>
          <w:p w14:paraId="310B017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0E43686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10805</w:t>
            </w:r>
          </w:p>
        </w:tc>
        <w:tc>
          <w:tcPr>
            <w:tcW w:w="868" w:type="pct"/>
            <w:shd w:val="clear" w:color="auto" w:fill="auto"/>
            <w:vAlign w:val="center"/>
            <w:hideMark/>
          </w:tcPr>
          <w:p w14:paraId="4B09FAA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1.000.000,00 </w:t>
            </w:r>
          </w:p>
        </w:tc>
        <w:tc>
          <w:tcPr>
            <w:tcW w:w="464" w:type="pct"/>
            <w:shd w:val="clear" w:color="auto" w:fill="auto"/>
            <w:vAlign w:val="center"/>
            <w:hideMark/>
          </w:tcPr>
          <w:p w14:paraId="58E1EFC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7418</w:t>
            </w:r>
          </w:p>
        </w:tc>
        <w:tc>
          <w:tcPr>
            <w:tcW w:w="829" w:type="pct"/>
            <w:shd w:val="clear" w:color="auto" w:fill="auto"/>
            <w:vAlign w:val="center"/>
            <w:hideMark/>
          </w:tcPr>
          <w:p w14:paraId="6EB94D1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Reparación de Vehículo</w:t>
            </w:r>
          </w:p>
        </w:tc>
        <w:tc>
          <w:tcPr>
            <w:tcW w:w="1466" w:type="pct"/>
            <w:shd w:val="clear" w:color="auto" w:fill="auto"/>
            <w:vAlign w:val="center"/>
            <w:hideMark/>
          </w:tcPr>
          <w:p w14:paraId="55D00981"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El recorte presupuestario imposibilita brindar un mantenimiento y reparación de los vehículos de la OAPVD un total de 33 unidades.  Dichos vehículos permiten el traslado de personas usuarias que son protegidas, se requiere que los automotores permanezcan en perfecto estado y evitar así cualquier </w:t>
            </w:r>
            <w:r w:rsidRPr="00990FB6">
              <w:rPr>
                <w:color w:val="000000"/>
                <w:sz w:val="22"/>
                <w:szCs w:val="22"/>
                <w:lang w:eastAsia="es-CR"/>
              </w:rPr>
              <w:lastRenderedPageBreak/>
              <w:t>riesgo para las personas usuarias y funcionarias que los utilizan para reubicaciones, juicios, visitas domiciliarias. La afectación se tendría a las personas usuarias que se reubican para salvaguardar su vida e integridad física, traslados para participación en juicios, audiencias.</w:t>
            </w:r>
          </w:p>
        </w:tc>
      </w:tr>
      <w:tr w:rsidR="00B15F7D" w:rsidRPr="00990FB6" w14:paraId="74AF1CBE" w14:textId="77777777" w:rsidTr="000A0C22">
        <w:trPr>
          <w:trHeight w:val="1403"/>
        </w:trPr>
        <w:tc>
          <w:tcPr>
            <w:tcW w:w="768" w:type="pct"/>
            <w:shd w:val="clear" w:color="auto" w:fill="auto"/>
            <w:vAlign w:val="center"/>
            <w:hideMark/>
          </w:tcPr>
          <w:p w14:paraId="6E9C64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00C9E2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10805</w:t>
            </w:r>
          </w:p>
        </w:tc>
        <w:tc>
          <w:tcPr>
            <w:tcW w:w="868" w:type="pct"/>
            <w:shd w:val="clear" w:color="auto" w:fill="auto"/>
            <w:vAlign w:val="center"/>
            <w:hideMark/>
          </w:tcPr>
          <w:p w14:paraId="5C0B6590"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1.000.000,00 </w:t>
            </w:r>
          </w:p>
        </w:tc>
        <w:tc>
          <w:tcPr>
            <w:tcW w:w="464" w:type="pct"/>
            <w:shd w:val="clear" w:color="auto" w:fill="auto"/>
            <w:vAlign w:val="center"/>
            <w:hideMark/>
          </w:tcPr>
          <w:p w14:paraId="3C44326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19549</w:t>
            </w:r>
          </w:p>
        </w:tc>
        <w:tc>
          <w:tcPr>
            <w:tcW w:w="829" w:type="pct"/>
            <w:shd w:val="clear" w:color="auto" w:fill="auto"/>
            <w:vAlign w:val="center"/>
            <w:hideMark/>
          </w:tcPr>
          <w:p w14:paraId="1F4EB71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Mantenimiento de equipo de transporte</w:t>
            </w:r>
          </w:p>
        </w:tc>
        <w:tc>
          <w:tcPr>
            <w:tcW w:w="1466" w:type="pct"/>
            <w:shd w:val="clear" w:color="auto" w:fill="auto"/>
            <w:vAlign w:val="center"/>
            <w:hideMark/>
          </w:tcPr>
          <w:p w14:paraId="29D1E79C" w14:textId="77777777" w:rsidR="00B15F7D" w:rsidRPr="00990FB6" w:rsidRDefault="00B15F7D" w:rsidP="00B15F7D">
            <w:pPr>
              <w:jc w:val="both"/>
              <w:rPr>
                <w:color w:val="000000"/>
                <w:sz w:val="22"/>
                <w:szCs w:val="22"/>
                <w:lang w:eastAsia="es-CR"/>
              </w:rPr>
            </w:pPr>
            <w:r w:rsidRPr="00990FB6">
              <w:rPr>
                <w:color w:val="000000"/>
                <w:sz w:val="22"/>
                <w:szCs w:val="22"/>
                <w:lang w:eastAsia="es-CR"/>
              </w:rPr>
              <w:t>El recorte presupuestario imposibilita brindar un mantenimiento y reparación de los vehículos de la OAPVD un total de 33 unidades.  Dichos vehículos permiten el traslado de personas usuarias que son protegidas, se requiere que los automotores permanezcan en perfecto estado y evitar así cualquier riesgo para las personas usuarias y funcionarias que los utilizan para reubicaciones, juicios, visitas domiciliarias. La afectación se tendría a las personas usuarias que se reubican para salvaguardar su vida e integridad física, traslados para participación en juicios, audiencias.</w:t>
            </w:r>
          </w:p>
        </w:tc>
      </w:tr>
      <w:tr w:rsidR="00B15F7D" w:rsidRPr="00990FB6" w14:paraId="38528880" w14:textId="77777777" w:rsidTr="000A0C22">
        <w:trPr>
          <w:trHeight w:val="3210"/>
        </w:trPr>
        <w:tc>
          <w:tcPr>
            <w:tcW w:w="768" w:type="pct"/>
            <w:shd w:val="clear" w:color="auto" w:fill="auto"/>
            <w:vAlign w:val="center"/>
            <w:hideMark/>
          </w:tcPr>
          <w:p w14:paraId="7CEE93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1106</w:t>
            </w:r>
          </w:p>
        </w:tc>
        <w:tc>
          <w:tcPr>
            <w:tcW w:w="605" w:type="pct"/>
            <w:shd w:val="clear" w:color="auto" w:fill="auto"/>
            <w:vAlign w:val="center"/>
            <w:hideMark/>
          </w:tcPr>
          <w:p w14:paraId="679952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10805</w:t>
            </w:r>
          </w:p>
        </w:tc>
        <w:tc>
          <w:tcPr>
            <w:tcW w:w="868" w:type="pct"/>
            <w:shd w:val="clear" w:color="auto" w:fill="auto"/>
            <w:vAlign w:val="center"/>
            <w:hideMark/>
          </w:tcPr>
          <w:p w14:paraId="00028763"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4.000.000,00 </w:t>
            </w:r>
          </w:p>
        </w:tc>
        <w:tc>
          <w:tcPr>
            <w:tcW w:w="464" w:type="pct"/>
            <w:shd w:val="clear" w:color="auto" w:fill="auto"/>
            <w:vAlign w:val="center"/>
            <w:hideMark/>
          </w:tcPr>
          <w:p w14:paraId="7C107F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19549</w:t>
            </w:r>
          </w:p>
        </w:tc>
        <w:tc>
          <w:tcPr>
            <w:tcW w:w="829" w:type="pct"/>
            <w:shd w:val="clear" w:color="auto" w:fill="auto"/>
            <w:vAlign w:val="center"/>
            <w:hideMark/>
          </w:tcPr>
          <w:p w14:paraId="1FEE095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Mantenimiento de equipo de transporte</w:t>
            </w:r>
          </w:p>
        </w:tc>
        <w:tc>
          <w:tcPr>
            <w:tcW w:w="1466" w:type="pct"/>
            <w:shd w:val="clear" w:color="auto" w:fill="auto"/>
            <w:vAlign w:val="center"/>
            <w:hideMark/>
          </w:tcPr>
          <w:p w14:paraId="09E88567"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imposibilidad de dar mantenimiento y reparación de la flotilla vehicular de la Unidad de Protección generando un colapso de servicios y la desatención de las necesidades de las personas victimas en todo el territorio nacional. Lo anterior ya sea por sustitución de llantas, baterías, cambios de aceite, parabrisas, escobillas, repuestos o bien enderezado y pintura u otros, y ante lo cual quedarán fuera de circulación las unidades </w:t>
            </w:r>
            <w:proofErr w:type="gramStart"/>
            <w:r w:rsidRPr="00990FB6">
              <w:rPr>
                <w:color w:val="000000"/>
                <w:sz w:val="22"/>
                <w:szCs w:val="22"/>
                <w:lang w:eastAsia="es-CR"/>
              </w:rPr>
              <w:t>policiales,  ya</w:t>
            </w:r>
            <w:proofErr w:type="gramEnd"/>
            <w:r w:rsidRPr="00990FB6">
              <w:rPr>
                <w:color w:val="000000"/>
                <w:sz w:val="22"/>
                <w:szCs w:val="22"/>
                <w:lang w:eastAsia="es-CR"/>
              </w:rPr>
              <w:t xml:space="preserve"> sea por incumplimiento de las condiciones de seguridad vial o bien por la imposibilidad de tránsito por aspectos mecánicos.</w:t>
            </w:r>
          </w:p>
        </w:tc>
      </w:tr>
      <w:tr w:rsidR="00B15F7D" w:rsidRPr="00990FB6" w14:paraId="2BCE1C0C" w14:textId="77777777" w:rsidTr="000A0C22">
        <w:trPr>
          <w:trHeight w:val="1680"/>
        </w:trPr>
        <w:tc>
          <w:tcPr>
            <w:tcW w:w="768" w:type="pct"/>
            <w:shd w:val="clear" w:color="auto" w:fill="auto"/>
            <w:vAlign w:val="center"/>
            <w:hideMark/>
          </w:tcPr>
          <w:p w14:paraId="514B66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54A05C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10806</w:t>
            </w:r>
          </w:p>
        </w:tc>
        <w:tc>
          <w:tcPr>
            <w:tcW w:w="868" w:type="pct"/>
            <w:shd w:val="clear" w:color="auto" w:fill="auto"/>
            <w:vAlign w:val="center"/>
            <w:hideMark/>
          </w:tcPr>
          <w:p w14:paraId="270D8ED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1.800.000,00 </w:t>
            </w:r>
          </w:p>
        </w:tc>
        <w:tc>
          <w:tcPr>
            <w:tcW w:w="464" w:type="pct"/>
            <w:shd w:val="clear" w:color="auto" w:fill="auto"/>
            <w:vAlign w:val="center"/>
            <w:hideMark/>
          </w:tcPr>
          <w:p w14:paraId="4E2D6A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1487</w:t>
            </w:r>
          </w:p>
        </w:tc>
        <w:tc>
          <w:tcPr>
            <w:tcW w:w="829" w:type="pct"/>
            <w:shd w:val="clear" w:color="auto" w:fill="auto"/>
            <w:vAlign w:val="center"/>
            <w:hideMark/>
          </w:tcPr>
          <w:p w14:paraId="3F4D4B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Mantenimiento de equipo de comunicación</w:t>
            </w:r>
          </w:p>
        </w:tc>
        <w:tc>
          <w:tcPr>
            <w:tcW w:w="1466" w:type="pct"/>
            <w:shd w:val="clear" w:color="auto" w:fill="auto"/>
            <w:vAlign w:val="center"/>
            <w:hideMark/>
          </w:tcPr>
          <w:p w14:paraId="134DD416"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El recorte presupuestario imposibilita brindar un mantenimiento a las cámaras de vigilancia con que cuenta la OAPVD en los diversos locales, dichas cámaras han sido ubicadas con la finalidad de incrementar la seguridad   del despacho, previendo que se reciben personas que pueden resultar violentas o </w:t>
            </w:r>
            <w:proofErr w:type="gramStart"/>
            <w:r w:rsidRPr="00990FB6">
              <w:rPr>
                <w:color w:val="000000"/>
                <w:sz w:val="22"/>
                <w:szCs w:val="22"/>
                <w:lang w:eastAsia="es-CR"/>
              </w:rPr>
              <w:t>presentar  comportamientos</w:t>
            </w:r>
            <w:proofErr w:type="gramEnd"/>
            <w:r w:rsidRPr="00990FB6">
              <w:rPr>
                <w:color w:val="000000"/>
                <w:sz w:val="22"/>
                <w:szCs w:val="22"/>
                <w:lang w:eastAsia="es-CR"/>
              </w:rPr>
              <w:t xml:space="preserve"> poco adecuados. Las cámaras requieren estar en perfecto estado para prestar la vigilancia requerida el no realizar el mantenimiento podría conducir a que dejen de funcionar debido a que son de vieja data y por </w:t>
            </w:r>
            <w:r w:rsidRPr="00990FB6">
              <w:rPr>
                <w:color w:val="000000"/>
                <w:sz w:val="22"/>
                <w:szCs w:val="22"/>
                <w:lang w:eastAsia="es-CR"/>
              </w:rPr>
              <w:lastRenderedPageBreak/>
              <w:t xml:space="preserve">limitaciones presupuestarias no se han podido cambiar </w:t>
            </w:r>
          </w:p>
        </w:tc>
      </w:tr>
      <w:tr w:rsidR="00B15F7D" w:rsidRPr="00990FB6" w14:paraId="24FE0D08" w14:textId="77777777" w:rsidTr="000A0C22">
        <w:trPr>
          <w:trHeight w:val="1200"/>
        </w:trPr>
        <w:tc>
          <w:tcPr>
            <w:tcW w:w="768" w:type="pct"/>
            <w:shd w:val="clear" w:color="auto" w:fill="auto"/>
            <w:vAlign w:val="center"/>
            <w:hideMark/>
          </w:tcPr>
          <w:p w14:paraId="1D16B9D9"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0BE48A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20101</w:t>
            </w:r>
          </w:p>
        </w:tc>
        <w:tc>
          <w:tcPr>
            <w:tcW w:w="868" w:type="pct"/>
            <w:shd w:val="clear" w:color="auto" w:fill="auto"/>
            <w:vAlign w:val="center"/>
            <w:hideMark/>
          </w:tcPr>
          <w:p w14:paraId="5997CF73"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1.955.760,00 </w:t>
            </w:r>
          </w:p>
        </w:tc>
        <w:tc>
          <w:tcPr>
            <w:tcW w:w="464" w:type="pct"/>
            <w:shd w:val="clear" w:color="auto" w:fill="auto"/>
            <w:vAlign w:val="center"/>
            <w:hideMark/>
          </w:tcPr>
          <w:p w14:paraId="2FFE5CB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23744</w:t>
            </w:r>
          </w:p>
        </w:tc>
        <w:tc>
          <w:tcPr>
            <w:tcW w:w="829" w:type="pct"/>
            <w:shd w:val="clear" w:color="auto" w:fill="auto"/>
            <w:vAlign w:val="center"/>
            <w:hideMark/>
          </w:tcPr>
          <w:p w14:paraId="4C370469" w14:textId="77777777" w:rsidR="00B15F7D" w:rsidRPr="00990FB6" w:rsidRDefault="00B15F7D" w:rsidP="00B15F7D">
            <w:pPr>
              <w:jc w:val="center"/>
              <w:rPr>
                <w:color w:val="000000"/>
                <w:sz w:val="22"/>
                <w:szCs w:val="22"/>
                <w:lang w:eastAsia="es-CR"/>
              </w:rPr>
            </w:pPr>
            <w:proofErr w:type="spellStart"/>
            <w:r w:rsidRPr="00990FB6">
              <w:rPr>
                <w:color w:val="000000"/>
                <w:sz w:val="22"/>
                <w:szCs w:val="22"/>
                <w:lang w:eastAsia="es-CR"/>
              </w:rPr>
              <w:t>Disel</w:t>
            </w:r>
            <w:proofErr w:type="spellEnd"/>
            <w:r w:rsidRPr="00990FB6">
              <w:rPr>
                <w:color w:val="000000"/>
                <w:sz w:val="22"/>
                <w:szCs w:val="22"/>
                <w:lang w:eastAsia="es-CR"/>
              </w:rPr>
              <w:t xml:space="preserve"> flota 2.0</w:t>
            </w:r>
          </w:p>
        </w:tc>
        <w:tc>
          <w:tcPr>
            <w:tcW w:w="1466" w:type="pct"/>
            <w:shd w:val="clear" w:color="auto" w:fill="auto"/>
            <w:vAlign w:val="center"/>
            <w:hideMark/>
          </w:tcPr>
          <w:p w14:paraId="75B111A0"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Imposibilidad de atender los casos de protección y atención a nivel </w:t>
            </w:r>
            <w:proofErr w:type="gramStart"/>
            <w:r w:rsidRPr="00990FB6">
              <w:rPr>
                <w:color w:val="000000"/>
                <w:sz w:val="22"/>
                <w:szCs w:val="22"/>
                <w:lang w:eastAsia="es-CR"/>
              </w:rPr>
              <w:t>país,  antes</w:t>
            </w:r>
            <w:proofErr w:type="gramEnd"/>
            <w:r w:rsidRPr="00990FB6">
              <w:rPr>
                <w:color w:val="000000"/>
                <w:sz w:val="22"/>
                <w:szCs w:val="22"/>
                <w:lang w:eastAsia="es-CR"/>
              </w:rPr>
              <w:t xml:space="preserve"> de cierre de primer semestre del año, ante el desabastecimiento de combustible de los vehículos OAPVD </w:t>
            </w:r>
          </w:p>
        </w:tc>
      </w:tr>
      <w:tr w:rsidR="00B15F7D" w:rsidRPr="00990FB6" w14:paraId="04711B29" w14:textId="77777777" w:rsidTr="000A0C22">
        <w:trPr>
          <w:trHeight w:val="1320"/>
        </w:trPr>
        <w:tc>
          <w:tcPr>
            <w:tcW w:w="768" w:type="pct"/>
            <w:shd w:val="clear" w:color="auto" w:fill="auto"/>
            <w:vAlign w:val="center"/>
            <w:hideMark/>
          </w:tcPr>
          <w:p w14:paraId="4146A09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1106</w:t>
            </w:r>
          </w:p>
        </w:tc>
        <w:tc>
          <w:tcPr>
            <w:tcW w:w="605" w:type="pct"/>
            <w:shd w:val="clear" w:color="auto" w:fill="auto"/>
            <w:vAlign w:val="center"/>
            <w:hideMark/>
          </w:tcPr>
          <w:p w14:paraId="4D8B423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20101</w:t>
            </w:r>
          </w:p>
        </w:tc>
        <w:tc>
          <w:tcPr>
            <w:tcW w:w="868" w:type="pct"/>
            <w:shd w:val="clear" w:color="auto" w:fill="auto"/>
            <w:vAlign w:val="center"/>
            <w:hideMark/>
          </w:tcPr>
          <w:p w14:paraId="7277A911"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10.294.547,40 </w:t>
            </w:r>
          </w:p>
        </w:tc>
        <w:tc>
          <w:tcPr>
            <w:tcW w:w="464" w:type="pct"/>
            <w:shd w:val="clear" w:color="auto" w:fill="auto"/>
            <w:vAlign w:val="center"/>
            <w:hideMark/>
          </w:tcPr>
          <w:p w14:paraId="739DEB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23744</w:t>
            </w:r>
          </w:p>
        </w:tc>
        <w:tc>
          <w:tcPr>
            <w:tcW w:w="829" w:type="pct"/>
            <w:shd w:val="clear" w:color="auto" w:fill="auto"/>
            <w:vAlign w:val="center"/>
            <w:hideMark/>
          </w:tcPr>
          <w:p w14:paraId="0C6A519D" w14:textId="77777777" w:rsidR="00B15F7D" w:rsidRPr="00990FB6" w:rsidRDefault="00B15F7D" w:rsidP="00B15F7D">
            <w:pPr>
              <w:jc w:val="center"/>
              <w:rPr>
                <w:color w:val="000000"/>
                <w:sz w:val="22"/>
                <w:szCs w:val="22"/>
                <w:lang w:eastAsia="es-CR"/>
              </w:rPr>
            </w:pPr>
            <w:proofErr w:type="spellStart"/>
            <w:r w:rsidRPr="00990FB6">
              <w:rPr>
                <w:color w:val="000000"/>
                <w:sz w:val="22"/>
                <w:szCs w:val="22"/>
                <w:lang w:eastAsia="es-CR"/>
              </w:rPr>
              <w:t>Disel</w:t>
            </w:r>
            <w:proofErr w:type="spellEnd"/>
            <w:r w:rsidRPr="00990FB6">
              <w:rPr>
                <w:color w:val="000000"/>
                <w:sz w:val="22"/>
                <w:szCs w:val="22"/>
                <w:lang w:eastAsia="es-CR"/>
              </w:rPr>
              <w:t xml:space="preserve"> flota 2.0</w:t>
            </w:r>
          </w:p>
        </w:tc>
        <w:tc>
          <w:tcPr>
            <w:tcW w:w="1466" w:type="pct"/>
            <w:shd w:val="clear" w:color="auto" w:fill="auto"/>
            <w:vAlign w:val="center"/>
            <w:hideMark/>
          </w:tcPr>
          <w:p w14:paraId="65C9A94F" w14:textId="77777777" w:rsidR="00B15F7D" w:rsidRPr="00990FB6" w:rsidRDefault="00B15F7D" w:rsidP="00B15F7D">
            <w:pPr>
              <w:jc w:val="both"/>
              <w:rPr>
                <w:color w:val="000000"/>
                <w:sz w:val="22"/>
                <w:szCs w:val="22"/>
                <w:lang w:eastAsia="es-CR"/>
              </w:rPr>
            </w:pPr>
            <w:r w:rsidRPr="00990FB6">
              <w:rPr>
                <w:color w:val="000000"/>
                <w:sz w:val="22"/>
                <w:szCs w:val="22"/>
                <w:lang w:eastAsia="es-CR"/>
              </w:rPr>
              <w:t>Imposibilidad de atender operaciones policiales de protección a nivel país antes de cierre de primer semestre del año, ante el desabastecimiento de combustible de las unidades policiales.</w:t>
            </w:r>
          </w:p>
        </w:tc>
      </w:tr>
      <w:tr w:rsidR="00B15F7D" w:rsidRPr="00990FB6" w14:paraId="5C3EC919" w14:textId="77777777" w:rsidTr="000A0C22">
        <w:trPr>
          <w:trHeight w:val="2205"/>
        </w:trPr>
        <w:tc>
          <w:tcPr>
            <w:tcW w:w="768" w:type="pct"/>
            <w:shd w:val="clear" w:color="auto" w:fill="auto"/>
            <w:vAlign w:val="center"/>
            <w:hideMark/>
          </w:tcPr>
          <w:p w14:paraId="022BB7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1979</w:t>
            </w:r>
          </w:p>
        </w:tc>
        <w:tc>
          <w:tcPr>
            <w:tcW w:w="605" w:type="pct"/>
            <w:shd w:val="clear" w:color="auto" w:fill="auto"/>
            <w:vAlign w:val="center"/>
            <w:hideMark/>
          </w:tcPr>
          <w:p w14:paraId="621C5E0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20101</w:t>
            </w:r>
          </w:p>
        </w:tc>
        <w:tc>
          <w:tcPr>
            <w:tcW w:w="868" w:type="pct"/>
            <w:shd w:val="clear" w:color="auto" w:fill="auto"/>
            <w:vAlign w:val="center"/>
            <w:hideMark/>
          </w:tcPr>
          <w:p w14:paraId="754FF681"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4.221.000,00 </w:t>
            </w:r>
          </w:p>
        </w:tc>
        <w:tc>
          <w:tcPr>
            <w:tcW w:w="464" w:type="pct"/>
            <w:shd w:val="clear" w:color="auto" w:fill="auto"/>
            <w:vAlign w:val="center"/>
            <w:hideMark/>
          </w:tcPr>
          <w:p w14:paraId="17B09A0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19583</w:t>
            </w:r>
          </w:p>
        </w:tc>
        <w:tc>
          <w:tcPr>
            <w:tcW w:w="829" w:type="pct"/>
            <w:shd w:val="clear" w:color="auto" w:fill="auto"/>
            <w:vAlign w:val="center"/>
            <w:hideMark/>
          </w:tcPr>
          <w:p w14:paraId="6D12501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Otros combustibles y lubricantes</w:t>
            </w:r>
          </w:p>
        </w:tc>
        <w:tc>
          <w:tcPr>
            <w:tcW w:w="1466" w:type="pct"/>
            <w:shd w:val="clear" w:color="auto" w:fill="auto"/>
            <w:vAlign w:val="center"/>
            <w:hideMark/>
          </w:tcPr>
          <w:p w14:paraId="72986A9C"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imposibilidad de dar mantenimiento y reparación de la flotilla vehicular de la Unidad de Protección generando un colapso de servicios y la desatención de las necesidades de las personas victimas en todo el territorio nacional. Lo anterior ya sea por sustitución de llantas, baterías, cambios de aceite, parabrisas, escobillas, repuestos o bien enderezado y pintura u otros, y ante lo cual quedarán fuera de circulación las unidades </w:t>
            </w:r>
            <w:proofErr w:type="gramStart"/>
            <w:r w:rsidRPr="00990FB6">
              <w:rPr>
                <w:color w:val="000000"/>
                <w:sz w:val="22"/>
                <w:szCs w:val="22"/>
                <w:lang w:eastAsia="es-CR"/>
              </w:rPr>
              <w:t>policiales,  ya</w:t>
            </w:r>
            <w:proofErr w:type="gramEnd"/>
            <w:r w:rsidRPr="00990FB6">
              <w:rPr>
                <w:color w:val="000000"/>
                <w:sz w:val="22"/>
                <w:szCs w:val="22"/>
                <w:lang w:eastAsia="es-CR"/>
              </w:rPr>
              <w:t xml:space="preserve"> sea por incumplimiento de las condiciones de seguridad vial o bien por la imposibilidad de tránsito por aspectos mecánicos.</w:t>
            </w:r>
          </w:p>
        </w:tc>
      </w:tr>
      <w:tr w:rsidR="00B15F7D" w:rsidRPr="00990FB6" w14:paraId="4E61FB20" w14:textId="77777777" w:rsidTr="000A0C22">
        <w:trPr>
          <w:trHeight w:val="778"/>
        </w:trPr>
        <w:tc>
          <w:tcPr>
            <w:tcW w:w="768" w:type="pct"/>
            <w:shd w:val="clear" w:color="auto" w:fill="auto"/>
            <w:vAlign w:val="center"/>
            <w:hideMark/>
          </w:tcPr>
          <w:p w14:paraId="6FB5A99B"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2738A4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20102</w:t>
            </w:r>
          </w:p>
        </w:tc>
        <w:tc>
          <w:tcPr>
            <w:tcW w:w="868" w:type="pct"/>
            <w:shd w:val="clear" w:color="auto" w:fill="auto"/>
            <w:vAlign w:val="center"/>
            <w:hideMark/>
          </w:tcPr>
          <w:p w14:paraId="43014E44"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501.600,00 </w:t>
            </w:r>
          </w:p>
        </w:tc>
        <w:tc>
          <w:tcPr>
            <w:tcW w:w="464" w:type="pct"/>
            <w:shd w:val="clear" w:color="auto" w:fill="auto"/>
            <w:vAlign w:val="center"/>
            <w:hideMark/>
          </w:tcPr>
          <w:p w14:paraId="2424509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25216</w:t>
            </w:r>
          </w:p>
        </w:tc>
        <w:tc>
          <w:tcPr>
            <w:tcW w:w="829" w:type="pct"/>
            <w:shd w:val="clear" w:color="auto" w:fill="auto"/>
            <w:vAlign w:val="center"/>
            <w:hideMark/>
          </w:tcPr>
          <w:p w14:paraId="203441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ALCOHOL EN DISPENSADOR</w:t>
            </w:r>
          </w:p>
        </w:tc>
        <w:tc>
          <w:tcPr>
            <w:tcW w:w="1466" w:type="pct"/>
            <w:shd w:val="clear" w:color="auto" w:fill="auto"/>
            <w:vAlign w:val="center"/>
            <w:hideMark/>
          </w:tcPr>
          <w:p w14:paraId="0FC9DE4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la imposibilidad de adquirir </w:t>
            </w:r>
            <w:proofErr w:type="gramStart"/>
            <w:r w:rsidRPr="00990FB6">
              <w:rPr>
                <w:color w:val="000000"/>
                <w:sz w:val="22"/>
                <w:szCs w:val="22"/>
                <w:lang w:eastAsia="es-CR"/>
              </w:rPr>
              <w:t>alcohol  en</w:t>
            </w:r>
            <w:proofErr w:type="gramEnd"/>
            <w:r w:rsidRPr="00990FB6">
              <w:rPr>
                <w:color w:val="000000"/>
                <w:sz w:val="22"/>
                <w:szCs w:val="22"/>
                <w:lang w:eastAsia="es-CR"/>
              </w:rPr>
              <w:t xml:space="preserve"> dispensador limita  contar con lo necesario para la  desinfección de manos al ingresar a las instalaciones de la OAPVD.  Se corre riesgo de afectación de salud de usuarios/as e incluso funcionarios/as</w:t>
            </w:r>
          </w:p>
        </w:tc>
      </w:tr>
      <w:tr w:rsidR="00B15F7D" w:rsidRPr="00990FB6" w14:paraId="4901C69D" w14:textId="77777777" w:rsidTr="000A0C22">
        <w:trPr>
          <w:trHeight w:val="943"/>
        </w:trPr>
        <w:tc>
          <w:tcPr>
            <w:tcW w:w="768" w:type="pct"/>
            <w:shd w:val="clear" w:color="auto" w:fill="auto"/>
            <w:vAlign w:val="center"/>
            <w:hideMark/>
          </w:tcPr>
          <w:p w14:paraId="1FEBDB9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1978</w:t>
            </w:r>
          </w:p>
        </w:tc>
        <w:tc>
          <w:tcPr>
            <w:tcW w:w="605" w:type="pct"/>
            <w:shd w:val="clear" w:color="auto" w:fill="auto"/>
            <w:vAlign w:val="center"/>
            <w:hideMark/>
          </w:tcPr>
          <w:p w14:paraId="3653BE9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20104</w:t>
            </w:r>
          </w:p>
        </w:tc>
        <w:tc>
          <w:tcPr>
            <w:tcW w:w="868" w:type="pct"/>
            <w:shd w:val="clear" w:color="auto" w:fill="auto"/>
            <w:vAlign w:val="center"/>
            <w:hideMark/>
          </w:tcPr>
          <w:p w14:paraId="45C484E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250.000,00 </w:t>
            </w:r>
          </w:p>
        </w:tc>
        <w:tc>
          <w:tcPr>
            <w:tcW w:w="464" w:type="pct"/>
            <w:shd w:val="clear" w:color="auto" w:fill="auto"/>
            <w:vAlign w:val="center"/>
            <w:hideMark/>
          </w:tcPr>
          <w:p w14:paraId="1F2C1D3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10701</w:t>
            </w:r>
          </w:p>
        </w:tc>
        <w:tc>
          <w:tcPr>
            <w:tcW w:w="829" w:type="pct"/>
            <w:shd w:val="clear" w:color="auto" w:fill="auto"/>
            <w:vAlign w:val="center"/>
            <w:hideMark/>
          </w:tcPr>
          <w:p w14:paraId="7A6890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Pintura Base en Agua</w:t>
            </w:r>
          </w:p>
        </w:tc>
        <w:tc>
          <w:tcPr>
            <w:tcW w:w="1466" w:type="pct"/>
            <w:shd w:val="clear" w:color="auto" w:fill="auto"/>
            <w:vAlign w:val="center"/>
            <w:hideMark/>
          </w:tcPr>
          <w:p w14:paraId="188BDF4A"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se </w:t>
            </w:r>
            <w:proofErr w:type="gramStart"/>
            <w:r w:rsidRPr="00990FB6">
              <w:rPr>
                <w:color w:val="000000"/>
                <w:sz w:val="22"/>
                <w:szCs w:val="22"/>
                <w:lang w:eastAsia="es-CR"/>
              </w:rPr>
              <w:t>limita  el</w:t>
            </w:r>
            <w:proofErr w:type="gramEnd"/>
            <w:r w:rsidRPr="00990FB6">
              <w:rPr>
                <w:color w:val="000000"/>
                <w:sz w:val="22"/>
                <w:szCs w:val="22"/>
                <w:lang w:eastAsia="es-CR"/>
              </w:rPr>
              <w:t xml:space="preserve"> contar con  espacio con  buena presentación, áreas acorde a las necesidades del servicio público que se brinda </w:t>
            </w:r>
          </w:p>
        </w:tc>
      </w:tr>
      <w:tr w:rsidR="00B15F7D" w:rsidRPr="00990FB6" w14:paraId="6BF29EDF" w14:textId="77777777" w:rsidTr="000A0C22">
        <w:trPr>
          <w:trHeight w:val="1463"/>
        </w:trPr>
        <w:tc>
          <w:tcPr>
            <w:tcW w:w="768" w:type="pct"/>
            <w:shd w:val="clear" w:color="auto" w:fill="auto"/>
            <w:vAlign w:val="center"/>
            <w:hideMark/>
          </w:tcPr>
          <w:p w14:paraId="642D5F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3BBE7B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20203</w:t>
            </w:r>
          </w:p>
        </w:tc>
        <w:tc>
          <w:tcPr>
            <w:tcW w:w="868" w:type="pct"/>
            <w:shd w:val="clear" w:color="auto" w:fill="auto"/>
            <w:vAlign w:val="center"/>
            <w:hideMark/>
          </w:tcPr>
          <w:p w14:paraId="15A5EC27"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2.325.000,00 </w:t>
            </w:r>
          </w:p>
        </w:tc>
        <w:tc>
          <w:tcPr>
            <w:tcW w:w="464" w:type="pct"/>
            <w:shd w:val="clear" w:color="auto" w:fill="auto"/>
            <w:vAlign w:val="center"/>
            <w:hideMark/>
          </w:tcPr>
          <w:p w14:paraId="1961439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23236</w:t>
            </w:r>
          </w:p>
        </w:tc>
        <w:tc>
          <w:tcPr>
            <w:tcW w:w="829" w:type="pct"/>
            <w:shd w:val="clear" w:color="auto" w:fill="auto"/>
            <w:vAlign w:val="center"/>
            <w:hideMark/>
          </w:tcPr>
          <w:p w14:paraId="436B1D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 Económica para victima</w:t>
            </w:r>
          </w:p>
        </w:tc>
        <w:tc>
          <w:tcPr>
            <w:tcW w:w="1466" w:type="pct"/>
            <w:shd w:val="clear" w:color="auto" w:fill="auto"/>
            <w:vAlign w:val="center"/>
            <w:hideMark/>
          </w:tcPr>
          <w:p w14:paraId="7F5B4853"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el recorte presupuestario limita la adquisición de víveres para las personas usuarias protegidas que se acogen a la medida extraprocesal de reubicación para salvaguardar su vida e integridad física. Al realizar ajuste a presupuesto de la sub partida quedaría contenido para cubrir aproximadamente entre 9 y </w:t>
            </w:r>
            <w:proofErr w:type="gramStart"/>
            <w:r w:rsidRPr="00990FB6">
              <w:rPr>
                <w:color w:val="000000"/>
                <w:sz w:val="22"/>
                <w:szCs w:val="22"/>
                <w:lang w:eastAsia="es-CR"/>
              </w:rPr>
              <w:t>10  meses</w:t>
            </w:r>
            <w:proofErr w:type="gramEnd"/>
            <w:r w:rsidRPr="00990FB6">
              <w:rPr>
                <w:color w:val="000000"/>
                <w:sz w:val="22"/>
                <w:szCs w:val="22"/>
                <w:lang w:eastAsia="es-CR"/>
              </w:rPr>
              <w:t xml:space="preserve"> del 2024 lo que  estaría afectando el cumplimiento de la Ley 8720, Reglas de Brasilia y Guías de Santiago que se  tienen como fin principal garantizar las condiciones de acceso efectivo a la justicia de las personas en condición de vulnerabilidad</w:t>
            </w:r>
          </w:p>
        </w:tc>
      </w:tr>
      <w:tr w:rsidR="00B15F7D" w:rsidRPr="00990FB6" w14:paraId="133E4966" w14:textId="77777777" w:rsidTr="000A0C22">
        <w:trPr>
          <w:trHeight w:val="1448"/>
        </w:trPr>
        <w:tc>
          <w:tcPr>
            <w:tcW w:w="768" w:type="pct"/>
            <w:shd w:val="clear" w:color="auto" w:fill="auto"/>
            <w:vAlign w:val="center"/>
            <w:hideMark/>
          </w:tcPr>
          <w:p w14:paraId="55C5C1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1978</w:t>
            </w:r>
          </w:p>
        </w:tc>
        <w:tc>
          <w:tcPr>
            <w:tcW w:w="605" w:type="pct"/>
            <w:shd w:val="clear" w:color="auto" w:fill="auto"/>
            <w:vAlign w:val="center"/>
            <w:hideMark/>
          </w:tcPr>
          <w:p w14:paraId="1EA217A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20203</w:t>
            </w:r>
          </w:p>
        </w:tc>
        <w:tc>
          <w:tcPr>
            <w:tcW w:w="868" w:type="pct"/>
            <w:shd w:val="clear" w:color="auto" w:fill="auto"/>
            <w:vAlign w:val="center"/>
            <w:hideMark/>
          </w:tcPr>
          <w:p w14:paraId="4B7142AB"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150.000,00 </w:t>
            </w:r>
          </w:p>
        </w:tc>
        <w:tc>
          <w:tcPr>
            <w:tcW w:w="464" w:type="pct"/>
            <w:shd w:val="clear" w:color="auto" w:fill="auto"/>
            <w:vAlign w:val="center"/>
            <w:hideMark/>
          </w:tcPr>
          <w:p w14:paraId="531789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23236</w:t>
            </w:r>
          </w:p>
        </w:tc>
        <w:tc>
          <w:tcPr>
            <w:tcW w:w="829" w:type="pct"/>
            <w:shd w:val="clear" w:color="auto" w:fill="auto"/>
            <w:vAlign w:val="center"/>
            <w:hideMark/>
          </w:tcPr>
          <w:p w14:paraId="48FE910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 Económica para victima</w:t>
            </w:r>
          </w:p>
        </w:tc>
        <w:tc>
          <w:tcPr>
            <w:tcW w:w="1466" w:type="pct"/>
            <w:shd w:val="clear" w:color="auto" w:fill="auto"/>
            <w:vAlign w:val="center"/>
            <w:hideMark/>
          </w:tcPr>
          <w:p w14:paraId="690F83C0"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JEDO el recorte presupuestario limita la adquisición de víveres para las personas usuarias protegidas que se acogen a la medida extraprocesal de reubicación para salvaguardar su vida e integridad física. Al realizar ajuste a presupuesto de la sub partida quedaría contenido para cubrir solo algunos meses del 2024 lo </w:t>
            </w:r>
            <w:proofErr w:type="gramStart"/>
            <w:r w:rsidRPr="00990FB6">
              <w:rPr>
                <w:color w:val="000000"/>
                <w:sz w:val="22"/>
                <w:szCs w:val="22"/>
                <w:lang w:eastAsia="es-CR"/>
              </w:rPr>
              <w:t>que  estaría</w:t>
            </w:r>
            <w:proofErr w:type="gramEnd"/>
            <w:r w:rsidRPr="00990FB6">
              <w:rPr>
                <w:color w:val="000000"/>
                <w:sz w:val="22"/>
                <w:szCs w:val="22"/>
                <w:lang w:eastAsia="es-CR"/>
              </w:rPr>
              <w:t xml:space="preserve"> afectando el cumplimiento de la Ley 8720, Reglas de Brasilia y Guías de Santiago que se  tienen como fin principal garantizar las condiciones de acceso efectivo a la justicia de las personas en condición de vulnerabilidad</w:t>
            </w:r>
          </w:p>
        </w:tc>
      </w:tr>
      <w:tr w:rsidR="00B15F7D" w:rsidRPr="00990FB6" w14:paraId="33C1CC7E" w14:textId="77777777" w:rsidTr="000A0C22">
        <w:trPr>
          <w:trHeight w:val="1463"/>
        </w:trPr>
        <w:tc>
          <w:tcPr>
            <w:tcW w:w="768" w:type="pct"/>
            <w:shd w:val="clear" w:color="auto" w:fill="auto"/>
            <w:vAlign w:val="center"/>
            <w:hideMark/>
          </w:tcPr>
          <w:p w14:paraId="579290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2CADB6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20304</w:t>
            </w:r>
          </w:p>
        </w:tc>
        <w:tc>
          <w:tcPr>
            <w:tcW w:w="868" w:type="pct"/>
            <w:shd w:val="clear" w:color="auto" w:fill="auto"/>
            <w:vAlign w:val="center"/>
            <w:hideMark/>
          </w:tcPr>
          <w:p w14:paraId="1F51E77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197.450,00 </w:t>
            </w:r>
          </w:p>
        </w:tc>
        <w:tc>
          <w:tcPr>
            <w:tcW w:w="464" w:type="pct"/>
            <w:shd w:val="clear" w:color="auto" w:fill="auto"/>
            <w:vAlign w:val="center"/>
            <w:hideMark/>
          </w:tcPr>
          <w:p w14:paraId="2428CA9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12140</w:t>
            </w:r>
          </w:p>
        </w:tc>
        <w:tc>
          <w:tcPr>
            <w:tcW w:w="829" w:type="pct"/>
            <w:shd w:val="clear" w:color="auto" w:fill="auto"/>
            <w:vAlign w:val="center"/>
            <w:hideMark/>
          </w:tcPr>
          <w:p w14:paraId="4BF0FC5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lámpara de emergencia</w:t>
            </w:r>
          </w:p>
        </w:tc>
        <w:tc>
          <w:tcPr>
            <w:tcW w:w="1466" w:type="pct"/>
            <w:shd w:val="clear" w:color="auto" w:fill="auto"/>
            <w:vAlign w:val="center"/>
            <w:hideMark/>
          </w:tcPr>
          <w:p w14:paraId="770C73C2"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Se requieren para colocar en los locales arrendados de la OAPVD, cabe indicar que el servicio se presta 24/7 y en horas de la noche pueden presentarse apagones de energía eléctrica, las lámparas de emergencia contribuyen a iluminar la ruta para salir de las instalaciones con las personas usuarias que se están atendiendo. </w:t>
            </w:r>
          </w:p>
        </w:tc>
      </w:tr>
      <w:tr w:rsidR="00B15F7D" w:rsidRPr="00990FB6" w14:paraId="0051985F" w14:textId="77777777" w:rsidTr="000A0C22">
        <w:trPr>
          <w:trHeight w:val="780"/>
        </w:trPr>
        <w:tc>
          <w:tcPr>
            <w:tcW w:w="768" w:type="pct"/>
            <w:shd w:val="clear" w:color="auto" w:fill="auto"/>
            <w:vAlign w:val="center"/>
            <w:hideMark/>
          </w:tcPr>
          <w:p w14:paraId="2CCED0B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1978</w:t>
            </w:r>
          </w:p>
        </w:tc>
        <w:tc>
          <w:tcPr>
            <w:tcW w:w="605" w:type="pct"/>
            <w:shd w:val="clear" w:color="auto" w:fill="auto"/>
            <w:vAlign w:val="center"/>
            <w:hideMark/>
          </w:tcPr>
          <w:p w14:paraId="1529FF9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20304</w:t>
            </w:r>
          </w:p>
        </w:tc>
        <w:tc>
          <w:tcPr>
            <w:tcW w:w="868" w:type="pct"/>
            <w:shd w:val="clear" w:color="auto" w:fill="auto"/>
            <w:vAlign w:val="center"/>
            <w:hideMark/>
          </w:tcPr>
          <w:p w14:paraId="073FB235"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65.816,00 </w:t>
            </w:r>
          </w:p>
        </w:tc>
        <w:tc>
          <w:tcPr>
            <w:tcW w:w="464" w:type="pct"/>
            <w:shd w:val="clear" w:color="auto" w:fill="auto"/>
            <w:vAlign w:val="center"/>
            <w:hideMark/>
          </w:tcPr>
          <w:p w14:paraId="31A447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12140</w:t>
            </w:r>
          </w:p>
        </w:tc>
        <w:tc>
          <w:tcPr>
            <w:tcW w:w="829" w:type="pct"/>
            <w:shd w:val="clear" w:color="auto" w:fill="auto"/>
            <w:vAlign w:val="center"/>
            <w:hideMark/>
          </w:tcPr>
          <w:p w14:paraId="06451AE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lámpara de emergencia</w:t>
            </w:r>
          </w:p>
        </w:tc>
        <w:tc>
          <w:tcPr>
            <w:tcW w:w="1466" w:type="pct"/>
            <w:shd w:val="clear" w:color="auto" w:fill="auto"/>
            <w:vAlign w:val="center"/>
            <w:hideMark/>
          </w:tcPr>
          <w:p w14:paraId="2426D1F6" w14:textId="77777777" w:rsidR="00B15F7D" w:rsidRPr="00990FB6" w:rsidRDefault="00B15F7D" w:rsidP="00B15F7D">
            <w:pPr>
              <w:jc w:val="both"/>
              <w:rPr>
                <w:color w:val="000000"/>
                <w:sz w:val="22"/>
                <w:szCs w:val="22"/>
                <w:lang w:eastAsia="es-CR"/>
              </w:rPr>
            </w:pPr>
            <w:r w:rsidRPr="00990FB6">
              <w:rPr>
                <w:color w:val="000000"/>
                <w:sz w:val="22"/>
                <w:szCs w:val="22"/>
                <w:lang w:eastAsia="es-CR"/>
              </w:rPr>
              <w:t>Se requieren para colocar oficinas de JEDO, cabe indicar que el servicio se presta 24/</w:t>
            </w:r>
            <w:proofErr w:type="gramStart"/>
            <w:r w:rsidRPr="00990FB6">
              <w:rPr>
                <w:color w:val="000000"/>
                <w:sz w:val="22"/>
                <w:szCs w:val="22"/>
                <w:lang w:eastAsia="es-CR"/>
              </w:rPr>
              <w:t>7  y</w:t>
            </w:r>
            <w:proofErr w:type="gramEnd"/>
            <w:r w:rsidRPr="00990FB6">
              <w:rPr>
                <w:color w:val="000000"/>
                <w:sz w:val="22"/>
                <w:szCs w:val="22"/>
                <w:lang w:eastAsia="es-CR"/>
              </w:rPr>
              <w:t xml:space="preserve"> en horas de la noche pueden presentarse apagones de energía eléctrica, las lámparas de emergencia contribuyen a iluminar la ruta para salir de </w:t>
            </w:r>
            <w:r w:rsidRPr="00990FB6">
              <w:rPr>
                <w:color w:val="000000"/>
                <w:sz w:val="22"/>
                <w:szCs w:val="22"/>
                <w:lang w:eastAsia="es-CR"/>
              </w:rPr>
              <w:lastRenderedPageBreak/>
              <w:t xml:space="preserve">las instalaciones con las personas usuarias que se están atendiendo. </w:t>
            </w:r>
          </w:p>
        </w:tc>
      </w:tr>
      <w:tr w:rsidR="00B15F7D" w:rsidRPr="00990FB6" w14:paraId="4EC3CDC0" w14:textId="77777777" w:rsidTr="000A0C22">
        <w:trPr>
          <w:trHeight w:val="780"/>
        </w:trPr>
        <w:tc>
          <w:tcPr>
            <w:tcW w:w="768" w:type="pct"/>
            <w:shd w:val="clear" w:color="auto" w:fill="auto"/>
            <w:vAlign w:val="center"/>
            <w:hideMark/>
          </w:tcPr>
          <w:p w14:paraId="554F2B5C"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593F40C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20304</w:t>
            </w:r>
          </w:p>
        </w:tc>
        <w:tc>
          <w:tcPr>
            <w:tcW w:w="868" w:type="pct"/>
            <w:shd w:val="clear" w:color="auto" w:fill="auto"/>
            <w:vAlign w:val="center"/>
            <w:hideMark/>
          </w:tcPr>
          <w:p w14:paraId="6AA466FB"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264.668,00 </w:t>
            </w:r>
          </w:p>
        </w:tc>
        <w:tc>
          <w:tcPr>
            <w:tcW w:w="464" w:type="pct"/>
            <w:shd w:val="clear" w:color="auto" w:fill="auto"/>
            <w:vAlign w:val="center"/>
            <w:hideMark/>
          </w:tcPr>
          <w:p w14:paraId="400FABD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20408</w:t>
            </w:r>
          </w:p>
        </w:tc>
        <w:tc>
          <w:tcPr>
            <w:tcW w:w="829" w:type="pct"/>
            <w:shd w:val="clear" w:color="auto" w:fill="auto"/>
            <w:vAlign w:val="center"/>
            <w:hideMark/>
          </w:tcPr>
          <w:p w14:paraId="344005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Disco duro externo</w:t>
            </w:r>
          </w:p>
        </w:tc>
        <w:tc>
          <w:tcPr>
            <w:tcW w:w="1466" w:type="pct"/>
            <w:shd w:val="clear" w:color="auto" w:fill="auto"/>
            <w:vAlign w:val="center"/>
            <w:hideMark/>
          </w:tcPr>
          <w:p w14:paraId="172DAFF3"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Limitación al respaldo de información: previendo el tema de ataques cibernéticos se gestionó compra de discos duros para asignar a despachos OAPVD y de este modo respaldar datos periódicamente. Un recorte a la subpartida estaría impidiendo la compra de discos y por ende limitándose el respaldo de la información </w:t>
            </w:r>
          </w:p>
        </w:tc>
      </w:tr>
      <w:tr w:rsidR="00B15F7D" w:rsidRPr="00990FB6" w14:paraId="2A8B107D" w14:textId="77777777" w:rsidTr="000A0C22">
        <w:trPr>
          <w:trHeight w:val="960"/>
        </w:trPr>
        <w:tc>
          <w:tcPr>
            <w:tcW w:w="768" w:type="pct"/>
            <w:shd w:val="clear" w:color="auto" w:fill="auto"/>
            <w:vAlign w:val="center"/>
            <w:hideMark/>
          </w:tcPr>
          <w:p w14:paraId="48B91B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1978</w:t>
            </w:r>
          </w:p>
        </w:tc>
        <w:tc>
          <w:tcPr>
            <w:tcW w:w="605" w:type="pct"/>
            <w:shd w:val="clear" w:color="auto" w:fill="auto"/>
            <w:vAlign w:val="center"/>
            <w:hideMark/>
          </w:tcPr>
          <w:p w14:paraId="0069E51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20304</w:t>
            </w:r>
          </w:p>
        </w:tc>
        <w:tc>
          <w:tcPr>
            <w:tcW w:w="868" w:type="pct"/>
            <w:shd w:val="clear" w:color="auto" w:fill="auto"/>
            <w:vAlign w:val="center"/>
            <w:hideMark/>
          </w:tcPr>
          <w:p w14:paraId="7986B5D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176.445,00 </w:t>
            </w:r>
          </w:p>
        </w:tc>
        <w:tc>
          <w:tcPr>
            <w:tcW w:w="464" w:type="pct"/>
            <w:shd w:val="clear" w:color="auto" w:fill="auto"/>
            <w:vAlign w:val="center"/>
            <w:hideMark/>
          </w:tcPr>
          <w:p w14:paraId="3FFAD71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20408</w:t>
            </w:r>
          </w:p>
        </w:tc>
        <w:tc>
          <w:tcPr>
            <w:tcW w:w="829" w:type="pct"/>
            <w:shd w:val="clear" w:color="auto" w:fill="auto"/>
            <w:vAlign w:val="center"/>
            <w:hideMark/>
          </w:tcPr>
          <w:p w14:paraId="151986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Disco duro externo</w:t>
            </w:r>
          </w:p>
        </w:tc>
        <w:tc>
          <w:tcPr>
            <w:tcW w:w="1466" w:type="pct"/>
            <w:shd w:val="clear" w:color="auto" w:fill="auto"/>
            <w:vAlign w:val="center"/>
            <w:hideMark/>
          </w:tcPr>
          <w:p w14:paraId="0F577E0A"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Limitación al respaldo de información: previendo el tema de ataques cibernéticos se gestionó compra de discos duros para JEDO OAPVD y de este modo respaldar datos periódicamente. Un recorte a la subpartida estaría impidiendo la compra de discos y por ende limitándose el respaldo de la información </w:t>
            </w:r>
          </w:p>
        </w:tc>
      </w:tr>
      <w:tr w:rsidR="00B15F7D" w:rsidRPr="00990FB6" w14:paraId="3F5100C9" w14:textId="77777777" w:rsidTr="000A0C22">
        <w:trPr>
          <w:trHeight w:val="1050"/>
        </w:trPr>
        <w:tc>
          <w:tcPr>
            <w:tcW w:w="768" w:type="pct"/>
            <w:shd w:val="clear" w:color="auto" w:fill="auto"/>
            <w:vAlign w:val="center"/>
            <w:hideMark/>
          </w:tcPr>
          <w:p w14:paraId="3404507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2490DD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20402</w:t>
            </w:r>
          </w:p>
        </w:tc>
        <w:tc>
          <w:tcPr>
            <w:tcW w:w="868" w:type="pct"/>
            <w:shd w:val="clear" w:color="auto" w:fill="auto"/>
            <w:vAlign w:val="center"/>
            <w:hideMark/>
          </w:tcPr>
          <w:p w14:paraId="6497B86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640.000,00 </w:t>
            </w:r>
          </w:p>
        </w:tc>
        <w:tc>
          <w:tcPr>
            <w:tcW w:w="464" w:type="pct"/>
            <w:shd w:val="clear" w:color="auto" w:fill="auto"/>
            <w:vAlign w:val="center"/>
            <w:hideMark/>
          </w:tcPr>
          <w:p w14:paraId="2B8A6DA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25825</w:t>
            </w:r>
          </w:p>
        </w:tc>
        <w:tc>
          <w:tcPr>
            <w:tcW w:w="829" w:type="pct"/>
            <w:shd w:val="clear" w:color="auto" w:fill="auto"/>
            <w:vAlign w:val="center"/>
            <w:hideMark/>
          </w:tcPr>
          <w:p w14:paraId="789EAEB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unidad de imagen para </w:t>
            </w:r>
            <w:proofErr w:type="spellStart"/>
            <w:r w:rsidRPr="00990FB6">
              <w:rPr>
                <w:color w:val="000000"/>
                <w:sz w:val="22"/>
                <w:szCs w:val="22"/>
                <w:lang w:eastAsia="es-CR"/>
              </w:rPr>
              <w:t>lexmark</w:t>
            </w:r>
            <w:proofErr w:type="spellEnd"/>
          </w:p>
        </w:tc>
        <w:tc>
          <w:tcPr>
            <w:tcW w:w="1466" w:type="pct"/>
            <w:shd w:val="clear" w:color="auto" w:fill="auto"/>
            <w:vAlign w:val="center"/>
            <w:hideMark/>
          </w:tcPr>
          <w:p w14:paraId="7AA24C2B"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a la persona usuaria:  se formula por requerirse para las impresoras del despacho las cuales son de antigua data. Sin impresoras no es posible brindar al usuario documentación impresa para el proceso, para presentar como respaldo ante su centro de trabajo, referencias para asistir a centros hospitalarios </w:t>
            </w:r>
            <w:proofErr w:type="spellStart"/>
            <w:r w:rsidRPr="00990FB6">
              <w:rPr>
                <w:color w:val="000000"/>
                <w:sz w:val="22"/>
                <w:szCs w:val="22"/>
                <w:lang w:eastAsia="es-CR"/>
              </w:rPr>
              <w:t>etc</w:t>
            </w:r>
            <w:proofErr w:type="spellEnd"/>
          </w:p>
        </w:tc>
      </w:tr>
      <w:tr w:rsidR="00B15F7D" w:rsidRPr="00990FB6" w14:paraId="39C7A440" w14:textId="77777777" w:rsidTr="000A0C22">
        <w:trPr>
          <w:trHeight w:val="1320"/>
        </w:trPr>
        <w:tc>
          <w:tcPr>
            <w:tcW w:w="768" w:type="pct"/>
            <w:shd w:val="clear" w:color="auto" w:fill="auto"/>
            <w:vAlign w:val="center"/>
            <w:hideMark/>
          </w:tcPr>
          <w:p w14:paraId="2197FFE7"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5F41156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20402</w:t>
            </w:r>
          </w:p>
        </w:tc>
        <w:tc>
          <w:tcPr>
            <w:tcW w:w="868" w:type="pct"/>
            <w:shd w:val="clear" w:color="auto" w:fill="auto"/>
            <w:vAlign w:val="center"/>
            <w:hideMark/>
          </w:tcPr>
          <w:p w14:paraId="5EE03F54"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1.500.000,00 </w:t>
            </w:r>
          </w:p>
        </w:tc>
        <w:tc>
          <w:tcPr>
            <w:tcW w:w="464" w:type="pct"/>
            <w:shd w:val="clear" w:color="auto" w:fill="auto"/>
            <w:vAlign w:val="center"/>
            <w:hideMark/>
          </w:tcPr>
          <w:p w14:paraId="5BEA6AF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19569</w:t>
            </w:r>
          </w:p>
        </w:tc>
        <w:tc>
          <w:tcPr>
            <w:tcW w:w="829" w:type="pct"/>
            <w:shd w:val="clear" w:color="auto" w:fill="auto"/>
            <w:vAlign w:val="center"/>
            <w:hideMark/>
          </w:tcPr>
          <w:p w14:paraId="4B1612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otros repuestos y accesorios</w:t>
            </w:r>
          </w:p>
        </w:tc>
        <w:tc>
          <w:tcPr>
            <w:tcW w:w="1466" w:type="pct"/>
            <w:shd w:val="clear" w:color="auto" w:fill="auto"/>
            <w:vAlign w:val="center"/>
            <w:hideMark/>
          </w:tcPr>
          <w:p w14:paraId="28E379E2"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Imposibilidad de dar mantenimiento y reparación de la flotilla vehicular de la OAPVD generando un colapso de servicios, limitación en la atención expedita de las necesidades de las personas victimas en todo el territorio nacional. Lo anterior ya sea por sustitución de llantas, baterías, cambios de aceite, parabrisas, escobillas, repuestos o bien enderezado y pintura u otros, y ante lo cual quedarán fuera de circulación las unidades </w:t>
            </w:r>
            <w:proofErr w:type="gramStart"/>
            <w:r w:rsidRPr="00990FB6">
              <w:rPr>
                <w:color w:val="000000"/>
                <w:sz w:val="22"/>
                <w:szCs w:val="22"/>
                <w:lang w:eastAsia="es-CR"/>
              </w:rPr>
              <w:t>policiales,  ya</w:t>
            </w:r>
            <w:proofErr w:type="gramEnd"/>
            <w:r w:rsidRPr="00990FB6">
              <w:rPr>
                <w:color w:val="000000"/>
                <w:sz w:val="22"/>
                <w:szCs w:val="22"/>
                <w:lang w:eastAsia="es-CR"/>
              </w:rPr>
              <w:t xml:space="preserve"> sea por incumplimiento de las condiciones de seguridad vial o bien por la imposibilidad de tránsito por aspectos mecánicos.</w:t>
            </w:r>
          </w:p>
        </w:tc>
      </w:tr>
      <w:tr w:rsidR="00B15F7D" w:rsidRPr="00990FB6" w14:paraId="4415612C" w14:textId="77777777" w:rsidTr="000A0C22">
        <w:trPr>
          <w:trHeight w:val="3300"/>
        </w:trPr>
        <w:tc>
          <w:tcPr>
            <w:tcW w:w="768" w:type="pct"/>
            <w:shd w:val="clear" w:color="auto" w:fill="auto"/>
            <w:vAlign w:val="center"/>
            <w:hideMark/>
          </w:tcPr>
          <w:p w14:paraId="3AF4FA3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1106</w:t>
            </w:r>
          </w:p>
        </w:tc>
        <w:tc>
          <w:tcPr>
            <w:tcW w:w="605" w:type="pct"/>
            <w:shd w:val="clear" w:color="auto" w:fill="auto"/>
            <w:vAlign w:val="center"/>
            <w:hideMark/>
          </w:tcPr>
          <w:p w14:paraId="633047C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20402</w:t>
            </w:r>
          </w:p>
        </w:tc>
        <w:tc>
          <w:tcPr>
            <w:tcW w:w="868" w:type="pct"/>
            <w:shd w:val="clear" w:color="auto" w:fill="auto"/>
            <w:vAlign w:val="center"/>
            <w:hideMark/>
          </w:tcPr>
          <w:p w14:paraId="4E3E8CC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3.000.000,00 </w:t>
            </w:r>
          </w:p>
        </w:tc>
        <w:tc>
          <w:tcPr>
            <w:tcW w:w="464" w:type="pct"/>
            <w:shd w:val="clear" w:color="auto" w:fill="auto"/>
            <w:vAlign w:val="center"/>
            <w:hideMark/>
          </w:tcPr>
          <w:p w14:paraId="50ABDF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19569</w:t>
            </w:r>
          </w:p>
        </w:tc>
        <w:tc>
          <w:tcPr>
            <w:tcW w:w="829" w:type="pct"/>
            <w:shd w:val="clear" w:color="auto" w:fill="auto"/>
            <w:vAlign w:val="center"/>
            <w:hideMark/>
          </w:tcPr>
          <w:p w14:paraId="6CAFBAF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otros repuestos y accesorios</w:t>
            </w:r>
          </w:p>
        </w:tc>
        <w:tc>
          <w:tcPr>
            <w:tcW w:w="1466" w:type="pct"/>
            <w:shd w:val="clear" w:color="auto" w:fill="auto"/>
            <w:vAlign w:val="center"/>
            <w:hideMark/>
          </w:tcPr>
          <w:p w14:paraId="2CA4A9D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imposibilidad de dar mantenimiento y reparación de la flotilla vehicular de la Unidad de Protección generando un colapso de servicios y la desatención de las necesidades de las personas victimas en todo el territorio nacional. Lo anterior ya sea por sustitución de llantas, baterías, cambios de aceite, parabrisas, escobillas, repuestos o bien enderezado y pintura u otros, y ante lo cual quedarán fuera de circulación las unidades </w:t>
            </w:r>
            <w:proofErr w:type="gramStart"/>
            <w:r w:rsidRPr="00990FB6">
              <w:rPr>
                <w:color w:val="000000"/>
                <w:sz w:val="22"/>
                <w:szCs w:val="22"/>
                <w:lang w:eastAsia="es-CR"/>
              </w:rPr>
              <w:t>policiales,  ya</w:t>
            </w:r>
            <w:proofErr w:type="gramEnd"/>
            <w:r w:rsidRPr="00990FB6">
              <w:rPr>
                <w:color w:val="000000"/>
                <w:sz w:val="22"/>
                <w:szCs w:val="22"/>
                <w:lang w:eastAsia="es-CR"/>
              </w:rPr>
              <w:t xml:space="preserve"> sea por incumplimiento de las condiciones de seguridad vial o bien por la </w:t>
            </w:r>
            <w:r w:rsidRPr="00990FB6">
              <w:rPr>
                <w:color w:val="000000"/>
                <w:sz w:val="22"/>
                <w:szCs w:val="22"/>
                <w:lang w:eastAsia="es-CR"/>
              </w:rPr>
              <w:lastRenderedPageBreak/>
              <w:t>imposibilidad de tránsito por aspectos mecánicos.</w:t>
            </w:r>
          </w:p>
        </w:tc>
      </w:tr>
      <w:tr w:rsidR="00B15F7D" w:rsidRPr="00990FB6" w14:paraId="048CA956" w14:textId="77777777" w:rsidTr="000A0C22">
        <w:trPr>
          <w:trHeight w:val="1418"/>
        </w:trPr>
        <w:tc>
          <w:tcPr>
            <w:tcW w:w="768" w:type="pct"/>
            <w:shd w:val="clear" w:color="auto" w:fill="auto"/>
            <w:vAlign w:val="center"/>
            <w:hideMark/>
          </w:tcPr>
          <w:p w14:paraId="033D9F51"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1978</w:t>
            </w:r>
          </w:p>
        </w:tc>
        <w:tc>
          <w:tcPr>
            <w:tcW w:w="605" w:type="pct"/>
            <w:shd w:val="clear" w:color="auto" w:fill="auto"/>
            <w:vAlign w:val="center"/>
            <w:hideMark/>
          </w:tcPr>
          <w:p w14:paraId="6E15A11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20402</w:t>
            </w:r>
          </w:p>
        </w:tc>
        <w:tc>
          <w:tcPr>
            <w:tcW w:w="868" w:type="pct"/>
            <w:shd w:val="clear" w:color="auto" w:fill="auto"/>
            <w:vAlign w:val="center"/>
            <w:hideMark/>
          </w:tcPr>
          <w:p w14:paraId="4ED1F82D"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200.000,00 </w:t>
            </w:r>
          </w:p>
        </w:tc>
        <w:tc>
          <w:tcPr>
            <w:tcW w:w="464" w:type="pct"/>
            <w:shd w:val="clear" w:color="auto" w:fill="auto"/>
            <w:vAlign w:val="center"/>
            <w:hideMark/>
          </w:tcPr>
          <w:p w14:paraId="682ABAD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19569</w:t>
            </w:r>
          </w:p>
        </w:tc>
        <w:tc>
          <w:tcPr>
            <w:tcW w:w="829" w:type="pct"/>
            <w:shd w:val="clear" w:color="auto" w:fill="auto"/>
            <w:vAlign w:val="center"/>
            <w:hideMark/>
          </w:tcPr>
          <w:p w14:paraId="4A4E20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otros repuestos y accesorios</w:t>
            </w:r>
          </w:p>
        </w:tc>
        <w:tc>
          <w:tcPr>
            <w:tcW w:w="1466" w:type="pct"/>
            <w:shd w:val="clear" w:color="auto" w:fill="auto"/>
            <w:vAlign w:val="center"/>
            <w:hideMark/>
          </w:tcPr>
          <w:p w14:paraId="324B0F09"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Imposibilidad de dar mantenimiento y reparación de vehículo utilizado por JEDO </w:t>
            </w:r>
            <w:proofErr w:type="gramStart"/>
            <w:r w:rsidRPr="00990FB6">
              <w:rPr>
                <w:color w:val="000000"/>
                <w:sz w:val="22"/>
                <w:szCs w:val="22"/>
                <w:lang w:eastAsia="es-CR"/>
              </w:rPr>
              <w:t>OAPVD  generando</w:t>
            </w:r>
            <w:proofErr w:type="gramEnd"/>
            <w:r w:rsidRPr="00990FB6">
              <w:rPr>
                <w:color w:val="000000"/>
                <w:sz w:val="22"/>
                <w:szCs w:val="22"/>
                <w:lang w:eastAsia="es-CR"/>
              </w:rPr>
              <w:t xml:space="preserve"> un colapso de servicios, limitación en la atención expedita de las necesidades de las personas victimas en todo el territorio nacional. Lo anterior ya sea por sustitución de llantas, baterías, cambios de aceite, parabrisas, escobillas, repuestos o bien enderezado y pintura u otros, y ante lo cual quedarán fuera de circulación las unidades </w:t>
            </w:r>
            <w:proofErr w:type="gramStart"/>
            <w:r w:rsidRPr="00990FB6">
              <w:rPr>
                <w:color w:val="000000"/>
                <w:sz w:val="22"/>
                <w:szCs w:val="22"/>
                <w:lang w:eastAsia="es-CR"/>
              </w:rPr>
              <w:t>policiales,  ya</w:t>
            </w:r>
            <w:proofErr w:type="gramEnd"/>
            <w:r w:rsidRPr="00990FB6">
              <w:rPr>
                <w:color w:val="000000"/>
                <w:sz w:val="22"/>
                <w:szCs w:val="22"/>
                <w:lang w:eastAsia="es-CR"/>
              </w:rPr>
              <w:t xml:space="preserve"> sea por incumplimiento de las condiciones de seguridad vial o bien por la imposibilidad de tránsito por aspectos mecánicos.</w:t>
            </w:r>
          </w:p>
        </w:tc>
      </w:tr>
      <w:tr w:rsidR="00B15F7D" w:rsidRPr="00990FB6" w14:paraId="46615D44" w14:textId="77777777" w:rsidTr="000A0C22">
        <w:trPr>
          <w:trHeight w:val="823"/>
        </w:trPr>
        <w:tc>
          <w:tcPr>
            <w:tcW w:w="768" w:type="pct"/>
            <w:shd w:val="clear" w:color="auto" w:fill="auto"/>
            <w:vAlign w:val="center"/>
            <w:hideMark/>
          </w:tcPr>
          <w:p w14:paraId="2348EC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3F9D6E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29901</w:t>
            </w:r>
          </w:p>
        </w:tc>
        <w:tc>
          <w:tcPr>
            <w:tcW w:w="868" w:type="pct"/>
            <w:shd w:val="clear" w:color="auto" w:fill="auto"/>
            <w:vAlign w:val="center"/>
            <w:hideMark/>
          </w:tcPr>
          <w:p w14:paraId="1597D2DE"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548.722,00 </w:t>
            </w:r>
          </w:p>
        </w:tc>
        <w:tc>
          <w:tcPr>
            <w:tcW w:w="464" w:type="pct"/>
            <w:shd w:val="clear" w:color="auto" w:fill="auto"/>
            <w:vAlign w:val="center"/>
            <w:hideMark/>
          </w:tcPr>
          <w:p w14:paraId="7C815C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25471</w:t>
            </w:r>
          </w:p>
        </w:tc>
        <w:tc>
          <w:tcPr>
            <w:tcW w:w="829" w:type="pct"/>
            <w:shd w:val="clear" w:color="auto" w:fill="auto"/>
            <w:vAlign w:val="center"/>
            <w:hideMark/>
          </w:tcPr>
          <w:p w14:paraId="09C389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audífonos</w:t>
            </w:r>
          </w:p>
        </w:tc>
        <w:tc>
          <w:tcPr>
            <w:tcW w:w="1466" w:type="pct"/>
            <w:shd w:val="clear" w:color="auto" w:fill="auto"/>
            <w:vAlign w:val="center"/>
            <w:hideMark/>
          </w:tcPr>
          <w:p w14:paraId="2D8E47B3"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para la prestación de servicio de </w:t>
            </w:r>
            <w:proofErr w:type="spellStart"/>
            <w:r w:rsidRPr="00990FB6">
              <w:rPr>
                <w:color w:val="000000"/>
                <w:sz w:val="22"/>
                <w:szCs w:val="22"/>
                <w:lang w:eastAsia="es-CR"/>
              </w:rPr>
              <w:t>Telepsicología</w:t>
            </w:r>
            <w:proofErr w:type="spellEnd"/>
            <w:r w:rsidRPr="00990FB6">
              <w:rPr>
                <w:color w:val="000000"/>
                <w:sz w:val="22"/>
                <w:szCs w:val="22"/>
                <w:lang w:eastAsia="es-CR"/>
              </w:rPr>
              <w:t xml:space="preserve"> que se brindar a las personas usuarias del Programa de Atención y Protección vía </w:t>
            </w:r>
            <w:proofErr w:type="spellStart"/>
            <w:r w:rsidRPr="00990FB6">
              <w:rPr>
                <w:color w:val="000000"/>
                <w:sz w:val="22"/>
                <w:szCs w:val="22"/>
                <w:lang w:eastAsia="es-CR"/>
              </w:rPr>
              <w:t>teams</w:t>
            </w:r>
            <w:proofErr w:type="spellEnd"/>
            <w:r w:rsidRPr="00990FB6">
              <w:rPr>
                <w:color w:val="000000"/>
                <w:sz w:val="22"/>
                <w:szCs w:val="22"/>
                <w:lang w:eastAsia="es-CR"/>
              </w:rPr>
              <w:t>, vía zoom</w:t>
            </w:r>
          </w:p>
        </w:tc>
      </w:tr>
      <w:tr w:rsidR="00B15F7D" w:rsidRPr="00990FB6" w14:paraId="1A2FB8EB" w14:textId="77777777" w:rsidTr="000A0C22">
        <w:trPr>
          <w:trHeight w:val="1493"/>
        </w:trPr>
        <w:tc>
          <w:tcPr>
            <w:tcW w:w="768" w:type="pct"/>
            <w:shd w:val="clear" w:color="auto" w:fill="auto"/>
            <w:vAlign w:val="center"/>
            <w:hideMark/>
          </w:tcPr>
          <w:p w14:paraId="2043DF3C"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66D7B8F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29904</w:t>
            </w:r>
          </w:p>
        </w:tc>
        <w:tc>
          <w:tcPr>
            <w:tcW w:w="868" w:type="pct"/>
            <w:shd w:val="clear" w:color="auto" w:fill="auto"/>
            <w:vAlign w:val="center"/>
            <w:hideMark/>
          </w:tcPr>
          <w:p w14:paraId="7CE0CAF3"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300.128,00 </w:t>
            </w:r>
          </w:p>
        </w:tc>
        <w:tc>
          <w:tcPr>
            <w:tcW w:w="464" w:type="pct"/>
            <w:shd w:val="clear" w:color="auto" w:fill="auto"/>
            <w:vAlign w:val="center"/>
            <w:hideMark/>
          </w:tcPr>
          <w:p w14:paraId="56D6D4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15582</w:t>
            </w:r>
          </w:p>
        </w:tc>
        <w:tc>
          <w:tcPr>
            <w:tcW w:w="829" w:type="pct"/>
            <w:shd w:val="clear" w:color="auto" w:fill="auto"/>
            <w:vAlign w:val="center"/>
            <w:hideMark/>
          </w:tcPr>
          <w:p w14:paraId="0AB42D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sabanas</w:t>
            </w:r>
          </w:p>
        </w:tc>
        <w:tc>
          <w:tcPr>
            <w:tcW w:w="1466" w:type="pct"/>
            <w:shd w:val="clear" w:color="auto" w:fill="auto"/>
            <w:vAlign w:val="center"/>
            <w:hideMark/>
          </w:tcPr>
          <w:p w14:paraId="3D4BA618"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el recorte presupuestario limita la adquisición de sábanas para las personas usuarias protegida que se acogen a la medida extraprocesal de reubicación para salvaguardar su vida e integridad física. Al realizar ajuste a presupuesto de la sub partida quedaría contenido para cubrir aproximadamente unos 6 meses del 2024 lo que estaría afectando el cumplimiento de la Ley 8720, Reglas de Brasilia y Guías de Santiago que </w:t>
            </w:r>
            <w:proofErr w:type="gramStart"/>
            <w:r w:rsidRPr="00990FB6">
              <w:rPr>
                <w:color w:val="000000"/>
                <w:sz w:val="22"/>
                <w:szCs w:val="22"/>
                <w:lang w:eastAsia="es-CR"/>
              </w:rPr>
              <w:t>se  tienen</w:t>
            </w:r>
            <w:proofErr w:type="gramEnd"/>
            <w:r w:rsidRPr="00990FB6">
              <w:rPr>
                <w:color w:val="000000"/>
                <w:sz w:val="22"/>
                <w:szCs w:val="22"/>
                <w:lang w:eastAsia="es-CR"/>
              </w:rPr>
              <w:t xml:space="preserve"> como fin principal garantizar las condiciones de acceso efectivo a la justicia de las personas en condición de vulnerabilidad</w:t>
            </w:r>
          </w:p>
        </w:tc>
      </w:tr>
      <w:tr w:rsidR="00B15F7D" w:rsidRPr="00990FB6" w14:paraId="028833FC" w14:textId="77777777" w:rsidTr="000A0C22">
        <w:trPr>
          <w:trHeight w:val="1403"/>
        </w:trPr>
        <w:tc>
          <w:tcPr>
            <w:tcW w:w="768" w:type="pct"/>
            <w:shd w:val="clear" w:color="auto" w:fill="auto"/>
            <w:vAlign w:val="center"/>
            <w:hideMark/>
          </w:tcPr>
          <w:p w14:paraId="33D5CC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2C1F1F4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29904</w:t>
            </w:r>
          </w:p>
        </w:tc>
        <w:tc>
          <w:tcPr>
            <w:tcW w:w="868" w:type="pct"/>
            <w:shd w:val="clear" w:color="auto" w:fill="auto"/>
            <w:vAlign w:val="center"/>
            <w:hideMark/>
          </w:tcPr>
          <w:p w14:paraId="4100C1B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101.009,00 </w:t>
            </w:r>
          </w:p>
        </w:tc>
        <w:tc>
          <w:tcPr>
            <w:tcW w:w="464" w:type="pct"/>
            <w:shd w:val="clear" w:color="auto" w:fill="auto"/>
            <w:vAlign w:val="center"/>
            <w:hideMark/>
          </w:tcPr>
          <w:p w14:paraId="55143CC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15570</w:t>
            </w:r>
          </w:p>
        </w:tc>
        <w:tc>
          <w:tcPr>
            <w:tcW w:w="829" w:type="pct"/>
            <w:shd w:val="clear" w:color="auto" w:fill="auto"/>
            <w:vAlign w:val="center"/>
            <w:hideMark/>
          </w:tcPr>
          <w:p w14:paraId="046D94F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cobija</w:t>
            </w:r>
          </w:p>
        </w:tc>
        <w:tc>
          <w:tcPr>
            <w:tcW w:w="1466" w:type="pct"/>
            <w:shd w:val="clear" w:color="auto" w:fill="auto"/>
            <w:vAlign w:val="center"/>
            <w:hideMark/>
          </w:tcPr>
          <w:p w14:paraId="7AF77674"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el recorte presupuestario limita la adquisición de cobijas para las personas usuarias protegidas que se acogen a la medida extraprocesal de reubicación para salvaguardar su vida e integridad física. Al realizar ajuste a presupuesto de la sub partida quedaría contenido para cubrir aproximadamente unos 6 meses del 2024 lo que estaría afectando el cumplimiento de la Ley 8720, Reglas de Brasilia y Guías de Santiago que </w:t>
            </w:r>
            <w:proofErr w:type="gramStart"/>
            <w:r w:rsidRPr="00990FB6">
              <w:rPr>
                <w:color w:val="000000"/>
                <w:sz w:val="22"/>
                <w:szCs w:val="22"/>
                <w:lang w:eastAsia="es-CR"/>
              </w:rPr>
              <w:t>se  tienen</w:t>
            </w:r>
            <w:proofErr w:type="gramEnd"/>
            <w:r w:rsidRPr="00990FB6">
              <w:rPr>
                <w:color w:val="000000"/>
                <w:sz w:val="22"/>
                <w:szCs w:val="22"/>
                <w:lang w:eastAsia="es-CR"/>
              </w:rPr>
              <w:t xml:space="preserve"> como fin principal garantizar las condiciones de acceso </w:t>
            </w:r>
            <w:r w:rsidRPr="00990FB6">
              <w:rPr>
                <w:color w:val="000000"/>
                <w:sz w:val="22"/>
                <w:szCs w:val="22"/>
                <w:lang w:eastAsia="es-CR"/>
              </w:rPr>
              <w:lastRenderedPageBreak/>
              <w:t>efectivo a la justicia de las personas en condición de vulnerabilidad</w:t>
            </w:r>
          </w:p>
        </w:tc>
      </w:tr>
      <w:tr w:rsidR="00B15F7D" w:rsidRPr="00990FB6" w14:paraId="66E9EEFA" w14:textId="77777777" w:rsidTr="000A0C22">
        <w:trPr>
          <w:trHeight w:val="1493"/>
        </w:trPr>
        <w:tc>
          <w:tcPr>
            <w:tcW w:w="768" w:type="pct"/>
            <w:shd w:val="clear" w:color="auto" w:fill="auto"/>
            <w:vAlign w:val="center"/>
            <w:hideMark/>
          </w:tcPr>
          <w:p w14:paraId="3E3EF7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109B89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29904</w:t>
            </w:r>
          </w:p>
        </w:tc>
        <w:tc>
          <w:tcPr>
            <w:tcW w:w="868" w:type="pct"/>
            <w:shd w:val="clear" w:color="auto" w:fill="auto"/>
            <w:vAlign w:val="center"/>
            <w:hideMark/>
          </w:tcPr>
          <w:p w14:paraId="3A0076A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400.000,00 </w:t>
            </w:r>
          </w:p>
        </w:tc>
        <w:tc>
          <w:tcPr>
            <w:tcW w:w="464" w:type="pct"/>
            <w:shd w:val="clear" w:color="auto" w:fill="auto"/>
            <w:vAlign w:val="center"/>
            <w:hideMark/>
          </w:tcPr>
          <w:p w14:paraId="3ED4875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23240</w:t>
            </w:r>
          </w:p>
        </w:tc>
        <w:tc>
          <w:tcPr>
            <w:tcW w:w="829" w:type="pct"/>
            <w:shd w:val="clear" w:color="auto" w:fill="auto"/>
            <w:vAlign w:val="center"/>
            <w:hideMark/>
          </w:tcPr>
          <w:p w14:paraId="7A59B21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 Económica para victima</w:t>
            </w:r>
          </w:p>
        </w:tc>
        <w:tc>
          <w:tcPr>
            <w:tcW w:w="1466" w:type="pct"/>
            <w:shd w:val="clear" w:color="auto" w:fill="auto"/>
            <w:vAlign w:val="center"/>
            <w:hideMark/>
          </w:tcPr>
          <w:p w14:paraId="5E11AB6A"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el recorte presupuestario limita la adquisición de textiles para las personas usuarias protegidas que se acogen a la medida extraprocesal de reubicación para salvaguardar su vida e integridad física. Al realizar ajuste a presupuesto de la sub partida quedaría contenido para cubrir aproximadamente unos 6 meses del 2024 lo que estaría afectando el cumplimiento de la Ley 8720, Reglas de Brasilia y Guías de Santiago que </w:t>
            </w:r>
            <w:proofErr w:type="gramStart"/>
            <w:r w:rsidRPr="00990FB6">
              <w:rPr>
                <w:color w:val="000000"/>
                <w:sz w:val="22"/>
                <w:szCs w:val="22"/>
                <w:lang w:eastAsia="es-CR"/>
              </w:rPr>
              <w:t>se  tienen</w:t>
            </w:r>
            <w:proofErr w:type="gramEnd"/>
            <w:r w:rsidRPr="00990FB6">
              <w:rPr>
                <w:color w:val="000000"/>
                <w:sz w:val="22"/>
                <w:szCs w:val="22"/>
                <w:lang w:eastAsia="es-CR"/>
              </w:rPr>
              <w:t xml:space="preserve"> como fin principal garantizar las condiciones de acceso efectivo a la justicia de las personas en condición de vulnerabilidad</w:t>
            </w:r>
          </w:p>
        </w:tc>
      </w:tr>
      <w:tr w:rsidR="00B15F7D" w:rsidRPr="00990FB6" w14:paraId="355A9C90" w14:textId="77777777" w:rsidTr="000A0C22">
        <w:trPr>
          <w:trHeight w:val="1553"/>
        </w:trPr>
        <w:tc>
          <w:tcPr>
            <w:tcW w:w="768" w:type="pct"/>
            <w:shd w:val="clear" w:color="auto" w:fill="auto"/>
            <w:vAlign w:val="center"/>
            <w:hideMark/>
          </w:tcPr>
          <w:p w14:paraId="3781D51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1978</w:t>
            </w:r>
          </w:p>
        </w:tc>
        <w:tc>
          <w:tcPr>
            <w:tcW w:w="605" w:type="pct"/>
            <w:shd w:val="clear" w:color="auto" w:fill="auto"/>
            <w:vAlign w:val="center"/>
            <w:hideMark/>
          </w:tcPr>
          <w:p w14:paraId="0AD9DA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29904</w:t>
            </w:r>
          </w:p>
        </w:tc>
        <w:tc>
          <w:tcPr>
            <w:tcW w:w="868" w:type="pct"/>
            <w:shd w:val="clear" w:color="auto" w:fill="auto"/>
            <w:vAlign w:val="center"/>
            <w:hideMark/>
          </w:tcPr>
          <w:p w14:paraId="6291217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75.000,00 </w:t>
            </w:r>
          </w:p>
        </w:tc>
        <w:tc>
          <w:tcPr>
            <w:tcW w:w="464" w:type="pct"/>
            <w:shd w:val="clear" w:color="auto" w:fill="auto"/>
            <w:vAlign w:val="center"/>
            <w:hideMark/>
          </w:tcPr>
          <w:p w14:paraId="74BD9C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23240</w:t>
            </w:r>
          </w:p>
        </w:tc>
        <w:tc>
          <w:tcPr>
            <w:tcW w:w="829" w:type="pct"/>
            <w:shd w:val="clear" w:color="auto" w:fill="auto"/>
            <w:vAlign w:val="center"/>
            <w:hideMark/>
          </w:tcPr>
          <w:p w14:paraId="2917DBE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 Económica para victima</w:t>
            </w:r>
          </w:p>
        </w:tc>
        <w:tc>
          <w:tcPr>
            <w:tcW w:w="1466" w:type="pct"/>
            <w:shd w:val="clear" w:color="auto" w:fill="auto"/>
            <w:vAlign w:val="center"/>
            <w:hideMark/>
          </w:tcPr>
          <w:p w14:paraId="135B6C68"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JEDO, el recorte presupuestario limita la adquisición de </w:t>
            </w:r>
            <w:proofErr w:type="gramStart"/>
            <w:r w:rsidRPr="00990FB6">
              <w:rPr>
                <w:color w:val="000000"/>
                <w:sz w:val="22"/>
                <w:szCs w:val="22"/>
                <w:lang w:eastAsia="es-CR"/>
              </w:rPr>
              <w:t>textiles  para</w:t>
            </w:r>
            <w:proofErr w:type="gramEnd"/>
            <w:r w:rsidRPr="00990FB6">
              <w:rPr>
                <w:color w:val="000000"/>
                <w:sz w:val="22"/>
                <w:szCs w:val="22"/>
                <w:lang w:eastAsia="es-CR"/>
              </w:rPr>
              <w:t xml:space="preserve"> las personas usuarias protegidas que se acogen a la medida extraprocesal de reubicación para salvaguardar su vida e integridad física. Al realizar ajuste a presupuesto de la sub partida quedaría contenido para cubrir aproximadamente unos 6 meses del 2024 lo que estaría afectando el cumplimiento </w:t>
            </w:r>
            <w:r w:rsidRPr="00990FB6">
              <w:rPr>
                <w:color w:val="000000"/>
                <w:sz w:val="22"/>
                <w:szCs w:val="22"/>
                <w:lang w:eastAsia="es-CR"/>
              </w:rPr>
              <w:lastRenderedPageBreak/>
              <w:t xml:space="preserve">de la Ley 8720, Reglas de Brasilia y Guías de Santiago que </w:t>
            </w:r>
            <w:proofErr w:type="gramStart"/>
            <w:r w:rsidRPr="00990FB6">
              <w:rPr>
                <w:color w:val="000000"/>
                <w:sz w:val="22"/>
                <w:szCs w:val="22"/>
                <w:lang w:eastAsia="es-CR"/>
              </w:rPr>
              <w:t>se  tienen</w:t>
            </w:r>
            <w:proofErr w:type="gramEnd"/>
            <w:r w:rsidRPr="00990FB6">
              <w:rPr>
                <w:color w:val="000000"/>
                <w:sz w:val="22"/>
                <w:szCs w:val="22"/>
                <w:lang w:eastAsia="es-CR"/>
              </w:rPr>
              <w:t xml:space="preserve"> como fin principal garantizar las condiciones de acceso efectivo a la justicia de las personas en condición de vulnerabilidad</w:t>
            </w:r>
          </w:p>
        </w:tc>
      </w:tr>
      <w:tr w:rsidR="00B15F7D" w:rsidRPr="00990FB6" w14:paraId="0C878CE9" w14:textId="77777777" w:rsidTr="000A0C22">
        <w:trPr>
          <w:trHeight w:val="1523"/>
        </w:trPr>
        <w:tc>
          <w:tcPr>
            <w:tcW w:w="768" w:type="pct"/>
            <w:shd w:val="clear" w:color="auto" w:fill="auto"/>
            <w:vAlign w:val="center"/>
            <w:hideMark/>
          </w:tcPr>
          <w:p w14:paraId="7034FE6D"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3C118BB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29905</w:t>
            </w:r>
          </w:p>
        </w:tc>
        <w:tc>
          <w:tcPr>
            <w:tcW w:w="868" w:type="pct"/>
            <w:shd w:val="clear" w:color="auto" w:fill="auto"/>
            <w:vAlign w:val="center"/>
            <w:hideMark/>
          </w:tcPr>
          <w:p w14:paraId="0828D4F4"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375.000,00 </w:t>
            </w:r>
          </w:p>
        </w:tc>
        <w:tc>
          <w:tcPr>
            <w:tcW w:w="464" w:type="pct"/>
            <w:shd w:val="clear" w:color="auto" w:fill="auto"/>
            <w:vAlign w:val="center"/>
            <w:hideMark/>
          </w:tcPr>
          <w:p w14:paraId="217E4B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23241</w:t>
            </w:r>
          </w:p>
        </w:tc>
        <w:tc>
          <w:tcPr>
            <w:tcW w:w="829" w:type="pct"/>
            <w:shd w:val="clear" w:color="auto" w:fill="auto"/>
            <w:vAlign w:val="center"/>
            <w:hideMark/>
          </w:tcPr>
          <w:p w14:paraId="051D13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 Económica para victima</w:t>
            </w:r>
          </w:p>
        </w:tc>
        <w:tc>
          <w:tcPr>
            <w:tcW w:w="1466" w:type="pct"/>
            <w:shd w:val="clear" w:color="auto" w:fill="auto"/>
            <w:vAlign w:val="center"/>
            <w:hideMark/>
          </w:tcPr>
          <w:p w14:paraId="476F1BBA"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el recorte presupuestario limita la adquisición de artículos de limpieza   para las personas usuarias protegidas que se acogen a la medida extraprocesal de reubicación para salvaguardar su vida e integridad física. Al realizar ajuste a presupuesto de la sub partida quedaría contenido para cubrir aproximadamente unos 6 meses del 2024 lo que estaría afectando el cumplimiento de la Ley 8720, Reglas de Brasilia y Guías de Santiago que </w:t>
            </w:r>
            <w:proofErr w:type="gramStart"/>
            <w:r w:rsidRPr="00990FB6">
              <w:rPr>
                <w:color w:val="000000"/>
                <w:sz w:val="22"/>
                <w:szCs w:val="22"/>
                <w:lang w:eastAsia="es-CR"/>
              </w:rPr>
              <w:t>se  tienen</w:t>
            </w:r>
            <w:proofErr w:type="gramEnd"/>
            <w:r w:rsidRPr="00990FB6">
              <w:rPr>
                <w:color w:val="000000"/>
                <w:sz w:val="22"/>
                <w:szCs w:val="22"/>
                <w:lang w:eastAsia="es-CR"/>
              </w:rPr>
              <w:t xml:space="preserve"> como fin principal garantizar las condiciones de acceso efectivo a la justicia de las personas en condición de vulnerabilidad</w:t>
            </w:r>
          </w:p>
        </w:tc>
      </w:tr>
      <w:tr w:rsidR="00B15F7D" w:rsidRPr="00990FB6" w14:paraId="51534C68" w14:textId="77777777" w:rsidTr="000A0C22">
        <w:trPr>
          <w:trHeight w:val="928"/>
        </w:trPr>
        <w:tc>
          <w:tcPr>
            <w:tcW w:w="768" w:type="pct"/>
            <w:shd w:val="clear" w:color="auto" w:fill="auto"/>
            <w:vAlign w:val="center"/>
            <w:hideMark/>
          </w:tcPr>
          <w:p w14:paraId="47356E0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67CBFD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29905</w:t>
            </w:r>
          </w:p>
        </w:tc>
        <w:tc>
          <w:tcPr>
            <w:tcW w:w="868" w:type="pct"/>
            <w:shd w:val="clear" w:color="auto" w:fill="auto"/>
            <w:vAlign w:val="center"/>
            <w:hideMark/>
          </w:tcPr>
          <w:p w14:paraId="17D2B9D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464.519,00 </w:t>
            </w:r>
          </w:p>
        </w:tc>
        <w:tc>
          <w:tcPr>
            <w:tcW w:w="464" w:type="pct"/>
            <w:shd w:val="clear" w:color="auto" w:fill="auto"/>
            <w:vAlign w:val="center"/>
            <w:hideMark/>
          </w:tcPr>
          <w:p w14:paraId="0A2F65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25222</w:t>
            </w:r>
          </w:p>
        </w:tc>
        <w:tc>
          <w:tcPr>
            <w:tcW w:w="829" w:type="pct"/>
            <w:shd w:val="clear" w:color="auto" w:fill="auto"/>
            <w:vAlign w:val="center"/>
            <w:hideMark/>
          </w:tcPr>
          <w:p w14:paraId="575808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toallas para dispensador</w:t>
            </w:r>
          </w:p>
        </w:tc>
        <w:tc>
          <w:tcPr>
            <w:tcW w:w="1466" w:type="pct"/>
            <w:shd w:val="clear" w:color="auto" w:fill="auto"/>
            <w:vAlign w:val="center"/>
            <w:hideMark/>
          </w:tcPr>
          <w:p w14:paraId="674EB3C4"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imposibilidad de contar con toallas en los sanitarios de los locales de la OAPVD, asimismo en el lavatorio de ingreso a las instalaciones, todo lo anterior se utiliza a fin de contribuir a la higiene y prevenir virus. </w:t>
            </w:r>
          </w:p>
        </w:tc>
      </w:tr>
      <w:tr w:rsidR="00B15F7D" w:rsidRPr="00990FB6" w14:paraId="6022479E" w14:textId="77777777" w:rsidTr="000A0C22">
        <w:trPr>
          <w:trHeight w:val="883"/>
        </w:trPr>
        <w:tc>
          <w:tcPr>
            <w:tcW w:w="768" w:type="pct"/>
            <w:shd w:val="clear" w:color="auto" w:fill="auto"/>
            <w:vAlign w:val="center"/>
            <w:hideMark/>
          </w:tcPr>
          <w:p w14:paraId="03A7025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1106</w:t>
            </w:r>
          </w:p>
        </w:tc>
        <w:tc>
          <w:tcPr>
            <w:tcW w:w="605" w:type="pct"/>
            <w:shd w:val="clear" w:color="auto" w:fill="auto"/>
            <w:vAlign w:val="center"/>
            <w:hideMark/>
          </w:tcPr>
          <w:p w14:paraId="3911347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29905</w:t>
            </w:r>
          </w:p>
        </w:tc>
        <w:tc>
          <w:tcPr>
            <w:tcW w:w="868" w:type="pct"/>
            <w:shd w:val="clear" w:color="auto" w:fill="auto"/>
            <w:vAlign w:val="center"/>
            <w:hideMark/>
          </w:tcPr>
          <w:p w14:paraId="6416C545"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180.001,00 </w:t>
            </w:r>
          </w:p>
        </w:tc>
        <w:tc>
          <w:tcPr>
            <w:tcW w:w="464" w:type="pct"/>
            <w:shd w:val="clear" w:color="auto" w:fill="auto"/>
            <w:vAlign w:val="center"/>
            <w:hideMark/>
          </w:tcPr>
          <w:p w14:paraId="589AD49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25222</w:t>
            </w:r>
          </w:p>
        </w:tc>
        <w:tc>
          <w:tcPr>
            <w:tcW w:w="829" w:type="pct"/>
            <w:shd w:val="clear" w:color="auto" w:fill="auto"/>
            <w:vAlign w:val="center"/>
            <w:hideMark/>
          </w:tcPr>
          <w:p w14:paraId="46D972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toallas para dispensador</w:t>
            </w:r>
          </w:p>
        </w:tc>
        <w:tc>
          <w:tcPr>
            <w:tcW w:w="1466" w:type="pct"/>
            <w:shd w:val="clear" w:color="auto" w:fill="auto"/>
            <w:vAlign w:val="center"/>
            <w:hideMark/>
          </w:tcPr>
          <w:p w14:paraId="1F1412CF"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En este caso la afectación pese a no ser de orden operativo eventualmente </w:t>
            </w:r>
            <w:r w:rsidRPr="00990FB6">
              <w:rPr>
                <w:color w:val="000000"/>
                <w:sz w:val="22"/>
                <w:szCs w:val="22"/>
                <w:lang w:eastAsia="es-CR"/>
              </w:rPr>
              <w:lastRenderedPageBreak/>
              <w:t>podría ser de higiene y cuidado personal como condiciones mínimas de higiene y sujetas a la supervisión del Ministerio de Salud, posible ejecución de Orden Sanitaria.</w:t>
            </w:r>
          </w:p>
        </w:tc>
      </w:tr>
      <w:tr w:rsidR="00B15F7D" w:rsidRPr="00990FB6" w14:paraId="34DD9D99" w14:textId="77777777" w:rsidTr="000A0C22">
        <w:trPr>
          <w:trHeight w:val="898"/>
        </w:trPr>
        <w:tc>
          <w:tcPr>
            <w:tcW w:w="768" w:type="pct"/>
            <w:shd w:val="clear" w:color="auto" w:fill="auto"/>
            <w:vAlign w:val="center"/>
            <w:hideMark/>
          </w:tcPr>
          <w:p w14:paraId="1E226F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2A2EEC7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29905</w:t>
            </w:r>
          </w:p>
        </w:tc>
        <w:tc>
          <w:tcPr>
            <w:tcW w:w="868" w:type="pct"/>
            <w:shd w:val="clear" w:color="auto" w:fill="auto"/>
            <w:vAlign w:val="center"/>
            <w:hideMark/>
          </w:tcPr>
          <w:p w14:paraId="65335E5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220.062,00 </w:t>
            </w:r>
          </w:p>
        </w:tc>
        <w:tc>
          <w:tcPr>
            <w:tcW w:w="464" w:type="pct"/>
            <w:shd w:val="clear" w:color="auto" w:fill="auto"/>
            <w:vAlign w:val="center"/>
            <w:hideMark/>
          </w:tcPr>
          <w:p w14:paraId="7EB7DF4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25840</w:t>
            </w:r>
          </w:p>
        </w:tc>
        <w:tc>
          <w:tcPr>
            <w:tcW w:w="829" w:type="pct"/>
            <w:shd w:val="clear" w:color="auto" w:fill="auto"/>
            <w:vAlign w:val="center"/>
            <w:hideMark/>
          </w:tcPr>
          <w:p w14:paraId="6EFDFAF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toallas para tareas delicadas</w:t>
            </w:r>
          </w:p>
        </w:tc>
        <w:tc>
          <w:tcPr>
            <w:tcW w:w="1466" w:type="pct"/>
            <w:shd w:val="clear" w:color="auto" w:fill="auto"/>
            <w:vAlign w:val="center"/>
            <w:hideMark/>
          </w:tcPr>
          <w:p w14:paraId="2092A556"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imposibilidad de contar con </w:t>
            </w:r>
            <w:proofErr w:type="spellStart"/>
            <w:r w:rsidRPr="00990FB6">
              <w:rPr>
                <w:color w:val="000000"/>
                <w:sz w:val="22"/>
                <w:szCs w:val="22"/>
                <w:lang w:eastAsia="es-CR"/>
              </w:rPr>
              <w:t>klenex</w:t>
            </w:r>
            <w:proofErr w:type="spellEnd"/>
            <w:r w:rsidRPr="00990FB6">
              <w:rPr>
                <w:color w:val="000000"/>
                <w:sz w:val="22"/>
                <w:szCs w:val="22"/>
                <w:lang w:eastAsia="es-CR"/>
              </w:rPr>
              <w:t xml:space="preserve"> para las personas usuarias que acuden a la OAPVD para recibir la psicoterapia breve, asesoría legal, entre otros</w:t>
            </w:r>
          </w:p>
        </w:tc>
      </w:tr>
      <w:tr w:rsidR="00B15F7D" w:rsidRPr="00990FB6" w14:paraId="7EDF550B" w14:textId="77777777" w:rsidTr="000A0C22">
        <w:trPr>
          <w:trHeight w:val="793"/>
        </w:trPr>
        <w:tc>
          <w:tcPr>
            <w:tcW w:w="768" w:type="pct"/>
            <w:shd w:val="clear" w:color="auto" w:fill="auto"/>
            <w:vAlign w:val="center"/>
            <w:hideMark/>
          </w:tcPr>
          <w:p w14:paraId="34F3C9C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1978</w:t>
            </w:r>
          </w:p>
        </w:tc>
        <w:tc>
          <w:tcPr>
            <w:tcW w:w="605" w:type="pct"/>
            <w:shd w:val="clear" w:color="auto" w:fill="auto"/>
            <w:vAlign w:val="center"/>
            <w:hideMark/>
          </w:tcPr>
          <w:p w14:paraId="078FBC6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29905</w:t>
            </w:r>
          </w:p>
        </w:tc>
        <w:tc>
          <w:tcPr>
            <w:tcW w:w="868" w:type="pct"/>
            <w:shd w:val="clear" w:color="auto" w:fill="auto"/>
            <w:vAlign w:val="center"/>
            <w:hideMark/>
          </w:tcPr>
          <w:p w14:paraId="303C1D67"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110.031,00 </w:t>
            </w:r>
          </w:p>
        </w:tc>
        <w:tc>
          <w:tcPr>
            <w:tcW w:w="464" w:type="pct"/>
            <w:shd w:val="clear" w:color="auto" w:fill="auto"/>
            <w:vAlign w:val="center"/>
            <w:hideMark/>
          </w:tcPr>
          <w:p w14:paraId="0D40CB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25833</w:t>
            </w:r>
          </w:p>
        </w:tc>
        <w:tc>
          <w:tcPr>
            <w:tcW w:w="829" w:type="pct"/>
            <w:shd w:val="clear" w:color="auto" w:fill="auto"/>
            <w:vAlign w:val="center"/>
            <w:hideMark/>
          </w:tcPr>
          <w:p w14:paraId="09D20B0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toallas faciales de papel</w:t>
            </w:r>
          </w:p>
        </w:tc>
        <w:tc>
          <w:tcPr>
            <w:tcW w:w="1466" w:type="pct"/>
            <w:shd w:val="clear" w:color="auto" w:fill="auto"/>
            <w:vAlign w:val="center"/>
            <w:hideMark/>
          </w:tcPr>
          <w:p w14:paraId="59FDF651"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imposibilidad de contar con </w:t>
            </w:r>
            <w:proofErr w:type="spellStart"/>
            <w:r w:rsidRPr="00990FB6">
              <w:rPr>
                <w:color w:val="000000"/>
                <w:sz w:val="22"/>
                <w:szCs w:val="22"/>
                <w:lang w:eastAsia="es-CR"/>
              </w:rPr>
              <w:t>klenex</w:t>
            </w:r>
            <w:proofErr w:type="spellEnd"/>
            <w:r w:rsidRPr="00990FB6">
              <w:rPr>
                <w:color w:val="000000"/>
                <w:sz w:val="22"/>
                <w:szCs w:val="22"/>
                <w:lang w:eastAsia="es-CR"/>
              </w:rPr>
              <w:t xml:space="preserve"> para las personas usuarias que acuden a la JEDO - OAPVD para recibir la psicoterapia breve, asesoría legal, entre otros</w:t>
            </w:r>
          </w:p>
        </w:tc>
      </w:tr>
      <w:tr w:rsidR="00B15F7D" w:rsidRPr="00990FB6" w14:paraId="27BDD846" w14:textId="77777777" w:rsidTr="000A0C22">
        <w:trPr>
          <w:trHeight w:val="1133"/>
        </w:trPr>
        <w:tc>
          <w:tcPr>
            <w:tcW w:w="768" w:type="pct"/>
            <w:shd w:val="clear" w:color="auto" w:fill="auto"/>
            <w:vAlign w:val="center"/>
            <w:hideMark/>
          </w:tcPr>
          <w:p w14:paraId="58CE7C1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047C146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29905</w:t>
            </w:r>
          </w:p>
        </w:tc>
        <w:tc>
          <w:tcPr>
            <w:tcW w:w="868" w:type="pct"/>
            <w:shd w:val="clear" w:color="auto" w:fill="auto"/>
            <w:vAlign w:val="center"/>
            <w:hideMark/>
          </w:tcPr>
          <w:p w14:paraId="272802F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407.124,00 </w:t>
            </w:r>
          </w:p>
        </w:tc>
        <w:tc>
          <w:tcPr>
            <w:tcW w:w="464" w:type="pct"/>
            <w:shd w:val="clear" w:color="auto" w:fill="auto"/>
            <w:vAlign w:val="center"/>
            <w:hideMark/>
          </w:tcPr>
          <w:p w14:paraId="4506C37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25470</w:t>
            </w:r>
          </w:p>
        </w:tc>
        <w:tc>
          <w:tcPr>
            <w:tcW w:w="829" w:type="pct"/>
            <w:shd w:val="clear" w:color="auto" w:fill="auto"/>
            <w:vAlign w:val="center"/>
            <w:hideMark/>
          </w:tcPr>
          <w:p w14:paraId="2F8601E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mascarillas de tela </w:t>
            </w:r>
            <w:proofErr w:type="spellStart"/>
            <w:r w:rsidRPr="00990FB6">
              <w:rPr>
                <w:color w:val="000000"/>
                <w:sz w:val="22"/>
                <w:szCs w:val="22"/>
                <w:lang w:eastAsia="es-CR"/>
              </w:rPr>
              <w:t>antifluidos</w:t>
            </w:r>
            <w:proofErr w:type="spellEnd"/>
            <w:r w:rsidRPr="00990FB6">
              <w:rPr>
                <w:color w:val="000000"/>
                <w:sz w:val="22"/>
                <w:szCs w:val="22"/>
                <w:lang w:eastAsia="es-CR"/>
              </w:rPr>
              <w:t xml:space="preserve"> talla M</w:t>
            </w:r>
          </w:p>
        </w:tc>
        <w:tc>
          <w:tcPr>
            <w:tcW w:w="1466" w:type="pct"/>
            <w:shd w:val="clear" w:color="auto" w:fill="auto"/>
            <w:vAlign w:val="center"/>
            <w:hideMark/>
          </w:tcPr>
          <w:p w14:paraId="4304BC6F" w14:textId="77777777" w:rsidR="00B15F7D" w:rsidRPr="00990FB6" w:rsidRDefault="00B15F7D" w:rsidP="00B15F7D">
            <w:pPr>
              <w:jc w:val="both"/>
              <w:rPr>
                <w:color w:val="000000"/>
                <w:sz w:val="22"/>
                <w:szCs w:val="22"/>
                <w:lang w:eastAsia="es-CR"/>
              </w:rPr>
            </w:pPr>
            <w:r w:rsidRPr="00990FB6">
              <w:rPr>
                <w:color w:val="000000"/>
                <w:sz w:val="22"/>
                <w:szCs w:val="22"/>
                <w:lang w:eastAsia="es-CR"/>
              </w:rPr>
              <w:t>Las mascarillas se solicitan para ser utilizadas cuando resulta necesario ingreso a los centros médicos con las personas usuarias, casos de 72 horas, atenciones médicas urgentes derivadas de un caso violento en el que la persona usuaria requiere trasladarse a hospital, clínica, considerando que en esos lugares actualmente se requiere para el ingreso mascarilla</w:t>
            </w:r>
          </w:p>
        </w:tc>
      </w:tr>
      <w:tr w:rsidR="00B15F7D" w:rsidRPr="00990FB6" w14:paraId="09BD1986" w14:textId="77777777" w:rsidTr="000A0C22">
        <w:trPr>
          <w:trHeight w:val="1058"/>
        </w:trPr>
        <w:tc>
          <w:tcPr>
            <w:tcW w:w="768" w:type="pct"/>
            <w:shd w:val="clear" w:color="auto" w:fill="auto"/>
            <w:vAlign w:val="center"/>
            <w:hideMark/>
          </w:tcPr>
          <w:p w14:paraId="391EC9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1106</w:t>
            </w:r>
          </w:p>
        </w:tc>
        <w:tc>
          <w:tcPr>
            <w:tcW w:w="605" w:type="pct"/>
            <w:shd w:val="clear" w:color="auto" w:fill="auto"/>
            <w:vAlign w:val="center"/>
            <w:hideMark/>
          </w:tcPr>
          <w:p w14:paraId="6D16A65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29906</w:t>
            </w:r>
          </w:p>
        </w:tc>
        <w:tc>
          <w:tcPr>
            <w:tcW w:w="868" w:type="pct"/>
            <w:shd w:val="clear" w:color="auto" w:fill="auto"/>
            <w:vAlign w:val="center"/>
            <w:hideMark/>
          </w:tcPr>
          <w:p w14:paraId="18F85005"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1.000.000,00 </w:t>
            </w:r>
          </w:p>
        </w:tc>
        <w:tc>
          <w:tcPr>
            <w:tcW w:w="464" w:type="pct"/>
            <w:shd w:val="clear" w:color="auto" w:fill="auto"/>
            <w:vAlign w:val="center"/>
            <w:hideMark/>
          </w:tcPr>
          <w:p w14:paraId="09227F6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15792</w:t>
            </w:r>
          </w:p>
        </w:tc>
        <w:tc>
          <w:tcPr>
            <w:tcW w:w="829" w:type="pct"/>
            <w:shd w:val="clear" w:color="auto" w:fill="auto"/>
            <w:vAlign w:val="center"/>
            <w:hideMark/>
          </w:tcPr>
          <w:p w14:paraId="0B7E2CA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munición</w:t>
            </w:r>
          </w:p>
        </w:tc>
        <w:tc>
          <w:tcPr>
            <w:tcW w:w="1466" w:type="pct"/>
            <w:shd w:val="clear" w:color="auto" w:fill="auto"/>
            <w:vAlign w:val="center"/>
            <w:hideMark/>
          </w:tcPr>
          <w:p w14:paraId="02837F73"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Reducción en prácticas de tiro en polígono donde los agentes de protección entrenan para perfeccionar técnicas y operaciones en combate cercano, además se ve afectada la capacitación de personal de nuevo </w:t>
            </w:r>
            <w:r w:rsidRPr="00990FB6">
              <w:rPr>
                <w:color w:val="000000"/>
                <w:sz w:val="22"/>
                <w:szCs w:val="22"/>
                <w:lang w:eastAsia="es-CR"/>
              </w:rPr>
              <w:lastRenderedPageBreak/>
              <w:t xml:space="preserve">ingreso, así como la eventual reducción de la destreza desarrollada por los operadores de protección, generando una </w:t>
            </w:r>
            <w:proofErr w:type="spellStart"/>
            <w:r w:rsidRPr="00990FB6">
              <w:rPr>
                <w:color w:val="000000"/>
                <w:sz w:val="22"/>
                <w:szCs w:val="22"/>
                <w:lang w:eastAsia="es-CR"/>
              </w:rPr>
              <w:t>linea</w:t>
            </w:r>
            <w:proofErr w:type="spellEnd"/>
            <w:r w:rsidRPr="00990FB6">
              <w:rPr>
                <w:color w:val="000000"/>
                <w:sz w:val="22"/>
                <w:szCs w:val="22"/>
                <w:lang w:eastAsia="es-CR"/>
              </w:rPr>
              <w:t xml:space="preserve"> de vulnerabilidad en los servicios que se brindan para la Protección a la vida de las personas.</w:t>
            </w:r>
          </w:p>
        </w:tc>
      </w:tr>
      <w:tr w:rsidR="00B15F7D" w:rsidRPr="00990FB6" w14:paraId="009E646F" w14:textId="77777777" w:rsidTr="000A0C22">
        <w:trPr>
          <w:trHeight w:val="1058"/>
        </w:trPr>
        <w:tc>
          <w:tcPr>
            <w:tcW w:w="768" w:type="pct"/>
            <w:shd w:val="clear" w:color="auto" w:fill="auto"/>
            <w:vAlign w:val="center"/>
            <w:hideMark/>
          </w:tcPr>
          <w:p w14:paraId="3688EC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1979</w:t>
            </w:r>
          </w:p>
        </w:tc>
        <w:tc>
          <w:tcPr>
            <w:tcW w:w="605" w:type="pct"/>
            <w:shd w:val="clear" w:color="auto" w:fill="auto"/>
            <w:vAlign w:val="center"/>
            <w:hideMark/>
          </w:tcPr>
          <w:p w14:paraId="3DEF154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29906</w:t>
            </w:r>
          </w:p>
        </w:tc>
        <w:tc>
          <w:tcPr>
            <w:tcW w:w="868" w:type="pct"/>
            <w:shd w:val="clear" w:color="auto" w:fill="auto"/>
            <w:vAlign w:val="center"/>
            <w:hideMark/>
          </w:tcPr>
          <w:p w14:paraId="1810DED3"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500.000,00 </w:t>
            </w:r>
          </w:p>
        </w:tc>
        <w:tc>
          <w:tcPr>
            <w:tcW w:w="464" w:type="pct"/>
            <w:shd w:val="clear" w:color="auto" w:fill="auto"/>
            <w:vAlign w:val="center"/>
            <w:hideMark/>
          </w:tcPr>
          <w:p w14:paraId="5A4112C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19575</w:t>
            </w:r>
          </w:p>
        </w:tc>
        <w:tc>
          <w:tcPr>
            <w:tcW w:w="829" w:type="pct"/>
            <w:shd w:val="clear" w:color="auto" w:fill="auto"/>
            <w:vAlign w:val="center"/>
            <w:hideMark/>
          </w:tcPr>
          <w:p w14:paraId="0D7B2DA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otros útiles de resguardo</w:t>
            </w:r>
          </w:p>
        </w:tc>
        <w:tc>
          <w:tcPr>
            <w:tcW w:w="1466" w:type="pct"/>
            <w:shd w:val="clear" w:color="auto" w:fill="auto"/>
            <w:vAlign w:val="center"/>
            <w:hideMark/>
          </w:tcPr>
          <w:p w14:paraId="4991FCDC" w14:textId="77777777" w:rsidR="00B15F7D" w:rsidRPr="00990FB6" w:rsidRDefault="00B15F7D" w:rsidP="00B15F7D">
            <w:pPr>
              <w:jc w:val="both"/>
              <w:rPr>
                <w:color w:val="000000"/>
                <w:sz w:val="22"/>
                <w:szCs w:val="22"/>
                <w:lang w:eastAsia="es-CR"/>
              </w:rPr>
            </w:pPr>
            <w:r w:rsidRPr="00990FB6">
              <w:rPr>
                <w:color w:val="000000"/>
                <w:sz w:val="22"/>
                <w:szCs w:val="22"/>
                <w:lang w:eastAsia="es-CR"/>
              </w:rPr>
              <w:t>Propiamente en el artículo de munición, reducción en prácticas de tiro en polígono donde los agentes de protección entrenan para perfeccionar técnicas y operaciones en combate cercano, además se ve afectada la capacitación de personal de nuevo ingreso, así como la eventual reducción de la destreza desarrollada por los operadores de protección.</w:t>
            </w:r>
          </w:p>
        </w:tc>
      </w:tr>
      <w:tr w:rsidR="00B15F7D" w:rsidRPr="00990FB6" w14:paraId="70F0E103" w14:textId="77777777" w:rsidTr="000A0C22">
        <w:trPr>
          <w:trHeight w:val="973"/>
        </w:trPr>
        <w:tc>
          <w:tcPr>
            <w:tcW w:w="768" w:type="pct"/>
            <w:shd w:val="clear" w:color="auto" w:fill="auto"/>
            <w:vAlign w:val="center"/>
            <w:hideMark/>
          </w:tcPr>
          <w:p w14:paraId="577FA80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575CF24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29906</w:t>
            </w:r>
          </w:p>
        </w:tc>
        <w:tc>
          <w:tcPr>
            <w:tcW w:w="868" w:type="pct"/>
            <w:shd w:val="clear" w:color="auto" w:fill="auto"/>
            <w:vAlign w:val="center"/>
            <w:hideMark/>
          </w:tcPr>
          <w:p w14:paraId="23C655E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5.817.240,00 </w:t>
            </w:r>
          </w:p>
        </w:tc>
        <w:tc>
          <w:tcPr>
            <w:tcW w:w="464" w:type="pct"/>
            <w:shd w:val="clear" w:color="auto" w:fill="auto"/>
            <w:vAlign w:val="center"/>
            <w:hideMark/>
          </w:tcPr>
          <w:p w14:paraId="0ADAFBF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15747</w:t>
            </w:r>
          </w:p>
        </w:tc>
        <w:tc>
          <w:tcPr>
            <w:tcW w:w="829" w:type="pct"/>
            <w:shd w:val="clear" w:color="auto" w:fill="auto"/>
            <w:vAlign w:val="center"/>
            <w:hideMark/>
          </w:tcPr>
          <w:p w14:paraId="0E00827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chaleco antibalas</w:t>
            </w:r>
          </w:p>
        </w:tc>
        <w:tc>
          <w:tcPr>
            <w:tcW w:w="1466" w:type="pct"/>
            <w:shd w:val="clear" w:color="auto" w:fill="auto"/>
            <w:vAlign w:val="center"/>
            <w:hideMark/>
          </w:tcPr>
          <w:p w14:paraId="449A5D0F" w14:textId="77777777" w:rsidR="00B15F7D" w:rsidRPr="00990FB6" w:rsidRDefault="00B15F7D" w:rsidP="00B15F7D">
            <w:pPr>
              <w:jc w:val="both"/>
              <w:rPr>
                <w:color w:val="000000"/>
                <w:sz w:val="22"/>
                <w:szCs w:val="22"/>
                <w:lang w:eastAsia="es-CR"/>
              </w:rPr>
            </w:pPr>
            <w:r w:rsidRPr="00990FB6">
              <w:rPr>
                <w:color w:val="000000"/>
                <w:sz w:val="22"/>
                <w:szCs w:val="22"/>
                <w:lang w:eastAsia="es-CR"/>
              </w:rPr>
              <w:t>Afectación a la persona usuario: los chalecos se requieren para ser utilizados con las personas usuarias de OAPVD cuando se movilizan a sitio seguro, cuando asisten a audiencias, juicios. La no adquisición de chalecos limita la protección a las personas usuarias</w:t>
            </w:r>
          </w:p>
        </w:tc>
      </w:tr>
      <w:tr w:rsidR="00B15F7D" w:rsidRPr="00990FB6" w14:paraId="2D29C495" w14:textId="77777777" w:rsidTr="000A0C22">
        <w:trPr>
          <w:trHeight w:val="838"/>
        </w:trPr>
        <w:tc>
          <w:tcPr>
            <w:tcW w:w="768" w:type="pct"/>
            <w:shd w:val="clear" w:color="auto" w:fill="auto"/>
            <w:vAlign w:val="center"/>
            <w:hideMark/>
          </w:tcPr>
          <w:p w14:paraId="63F524C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1978</w:t>
            </w:r>
          </w:p>
        </w:tc>
        <w:tc>
          <w:tcPr>
            <w:tcW w:w="605" w:type="pct"/>
            <w:shd w:val="clear" w:color="auto" w:fill="auto"/>
            <w:vAlign w:val="center"/>
            <w:hideMark/>
          </w:tcPr>
          <w:p w14:paraId="4E8FD2E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29906</w:t>
            </w:r>
          </w:p>
        </w:tc>
        <w:tc>
          <w:tcPr>
            <w:tcW w:w="868" w:type="pct"/>
            <w:shd w:val="clear" w:color="auto" w:fill="auto"/>
            <w:vAlign w:val="center"/>
            <w:hideMark/>
          </w:tcPr>
          <w:p w14:paraId="7E9B0377"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1.292.720,00 </w:t>
            </w:r>
          </w:p>
        </w:tc>
        <w:tc>
          <w:tcPr>
            <w:tcW w:w="464" w:type="pct"/>
            <w:shd w:val="clear" w:color="auto" w:fill="auto"/>
            <w:vAlign w:val="center"/>
            <w:hideMark/>
          </w:tcPr>
          <w:p w14:paraId="1BE0EFB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15747</w:t>
            </w:r>
          </w:p>
        </w:tc>
        <w:tc>
          <w:tcPr>
            <w:tcW w:w="829" w:type="pct"/>
            <w:shd w:val="clear" w:color="auto" w:fill="auto"/>
            <w:vAlign w:val="center"/>
            <w:hideMark/>
          </w:tcPr>
          <w:p w14:paraId="1F59AA6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chaleco antibalas</w:t>
            </w:r>
          </w:p>
        </w:tc>
        <w:tc>
          <w:tcPr>
            <w:tcW w:w="1466" w:type="pct"/>
            <w:shd w:val="clear" w:color="auto" w:fill="auto"/>
            <w:vAlign w:val="center"/>
            <w:hideMark/>
          </w:tcPr>
          <w:p w14:paraId="4DEA3616" w14:textId="77777777" w:rsidR="00B15F7D" w:rsidRPr="00990FB6" w:rsidRDefault="00B15F7D" w:rsidP="00B15F7D">
            <w:pPr>
              <w:jc w:val="both"/>
              <w:rPr>
                <w:color w:val="000000"/>
                <w:sz w:val="22"/>
                <w:szCs w:val="22"/>
                <w:lang w:eastAsia="es-CR"/>
              </w:rPr>
            </w:pPr>
            <w:r w:rsidRPr="00990FB6">
              <w:rPr>
                <w:color w:val="000000"/>
                <w:sz w:val="22"/>
                <w:szCs w:val="22"/>
                <w:lang w:eastAsia="es-CR"/>
              </w:rPr>
              <w:t>Afectación a la persona usuario: los chalecos se requieren para ser utilizados con las personas usuarias de JEDO cuando se movilizan a sitio seguro, cuando asisten a audiencias, juicios. La no adquisición de chalecos limita la protección a las personas usuarias</w:t>
            </w:r>
          </w:p>
        </w:tc>
      </w:tr>
      <w:tr w:rsidR="00B15F7D" w:rsidRPr="00990FB6" w14:paraId="67E8BA1B" w14:textId="77777777" w:rsidTr="000A0C22">
        <w:trPr>
          <w:trHeight w:val="868"/>
        </w:trPr>
        <w:tc>
          <w:tcPr>
            <w:tcW w:w="768" w:type="pct"/>
            <w:shd w:val="clear" w:color="auto" w:fill="auto"/>
            <w:vAlign w:val="center"/>
            <w:hideMark/>
          </w:tcPr>
          <w:p w14:paraId="366752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1106</w:t>
            </w:r>
          </w:p>
        </w:tc>
        <w:tc>
          <w:tcPr>
            <w:tcW w:w="605" w:type="pct"/>
            <w:shd w:val="clear" w:color="auto" w:fill="auto"/>
            <w:vAlign w:val="center"/>
            <w:hideMark/>
          </w:tcPr>
          <w:p w14:paraId="34DEB30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29906</w:t>
            </w:r>
          </w:p>
        </w:tc>
        <w:tc>
          <w:tcPr>
            <w:tcW w:w="868" w:type="pct"/>
            <w:shd w:val="clear" w:color="auto" w:fill="auto"/>
            <w:vAlign w:val="center"/>
            <w:hideMark/>
          </w:tcPr>
          <w:p w14:paraId="5E8698C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351.905,00 </w:t>
            </w:r>
          </w:p>
        </w:tc>
        <w:tc>
          <w:tcPr>
            <w:tcW w:w="464" w:type="pct"/>
            <w:shd w:val="clear" w:color="auto" w:fill="auto"/>
            <w:vAlign w:val="center"/>
            <w:hideMark/>
          </w:tcPr>
          <w:p w14:paraId="6CA04C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20884</w:t>
            </w:r>
          </w:p>
        </w:tc>
        <w:tc>
          <w:tcPr>
            <w:tcW w:w="829" w:type="pct"/>
            <w:shd w:val="clear" w:color="auto" w:fill="auto"/>
            <w:vAlign w:val="center"/>
            <w:hideMark/>
          </w:tcPr>
          <w:p w14:paraId="5C9B4A4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mochila táctica</w:t>
            </w:r>
          </w:p>
        </w:tc>
        <w:tc>
          <w:tcPr>
            <w:tcW w:w="1466" w:type="pct"/>
            <w:shd w:val="clear" w:color="auto" w:fill="auto"/>
            <w:vAlign w:val="center"/>
            <w:hideMark/>
          </w:tcPr>
          <w:p w14:paraId="4C7CB997" w14:textId="77777777" w:rsidR="00B15F7D" w:rsidRPr="00990FB6" w:rsidRDefault="00B15F7D" w:rsidP="00B15F7D">
            <w:pPr>
              <w:jc w:val="both"/>
              <w:rPr>
                <w:color w:val="000000"/>
                <w:sz w:val="22"/>
                <w:szCs w:val="22"/>
                <w:lang w:eastAsia="es-CR"/>
              </w:rPr>
            </w:pPr>
            <w:r w:rsidRPr="00990FB6">
              <w:rPr>
                <w:color w:val="000000"/>
                <w:sz w:val="22"/>
                <w:szCs w:val="22"/>
                <w:lang w:eastAsia="es-CR"/>
              </w:rPr>
              <w:t>Afectación para el transporte y resguardo de equipo policial que portan los agentes de protección en el desarrollo de labores propias del cargo tanto en sitios rurales como urbanos.</w:t>
            </w:r>
          </w:p>
        </w:tc>
      </w:tr>
      <w:tr w:rsidR="00B15F7D" w:rsidRPr="00990FB6" w14:paraId="4AC16952" w14:textId="77777777" w:rsidTr="000A0C22">
        <w:trPr>
          <w:trHeight w:val="1493"/>
        </w:trPr>
        <w:tc>
          <w:tcPr>
            <w:tcW w:w="768" w:type="pct"/>
            <w:shd w:val="clear" w:color="auto" w:fill="auto"/>
            <w:vAlign w:val="center"/>
            <w:hideMark/>
          </w:tcPr>
          <w:p w14:paraId="66389F5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254668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29907</w:t>
            </w:r>
          </w:p>
        </w:tc>
        <w:tc>
          <w:tcPr>
            <w:tcW w:w="868" w:type="pct"/>
            <w:shd w:val="clear" w:color="auto" w:fill="auto"/>
            <w:vAlign w:val="center"/>
            <w:hideMark/>
          </w:tcPr>
          <w:p w14:paraId="19214644"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100.000,00 </w:t>
            </w:r>
          </w:p>
        </w:tc>
        <w:tc>
          <w:tcPr>
            <w:tcW w:w="464" w:type="pct"/>
            <w:shd w:val="clear" w:color="auto" w:fill="auto"/>
            <w:vAlign w:val="center"/>
            <w:hideMark/>
          </w:tcPr>
          <w:p w14:paraId="2C914D4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23242</w:t>
            </w:r>
          </w:p>
        </w:tc>
        <w:tc>
          <w:tcPr>
            <w:tcW w:w="829" w:type="pct"/>
            <w:shd w:val="clear" w:color="auto" w:fill="auto"/>
            <w:vAlign w:val="center"/>
            <w:hideMark/>
          </w:tcPr>
          <w:p w14:paraId="5D4FA8C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 Económica para victima</w:t>
            </w:r>
          </w:p>
        </w:tc>
        <w:tc>
          <w:tcPr>
            <w:tcW w:w="1466" w:type="pct"/>
            <w:shd w:val="clear" w:color="auto" w:fill="auto"/>
            <w:vAlign w:val="center"/>
            <w:hideMark/>
          </w:tcPr>
          <w:p w14:paraId="540B2619"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el recorte presupuestario limita la adquisición de artículos de cocina para las personas usuarias protegidas que se acogen a la medida extraprocesal de reubicación para salvaguardar su vida e integridad física. Al realizar ajuste a presupuesto de la sub partida quedaría contenido para cubrir aproximadamente 8 meses del 2024 lo </w:t>
            </w:r>
            <w:proofErr w:type="gramStart"/>
            <w:r w:rsidRPr="00990FB6">
              <w:rPr>
                <w:color w:val="000000"/>
                <w:sz w:val="22"/>
                <w:szCs w:val="22"/>
                <w:lang w:eastAsia="es-CR"/>
              </w:rPr>
              <w:t>que  estaría</w:t>
            </w:r>
            <w:proofErr w:type="gramEnd"/>
            <w:r w:rsidRPr="00990FB6">
              <w:rPr>
                <w:color w:val="000000"/>
                <w:sz w:val="22"/>
                <w:szCs w:val="22"/>
                <w:lang w:eastAsia="es-CR"/>
              </w:rPr>
              <w:t xml:space="preserve"> afectando el cumplimiento de la Ley 8720, Reglas de Brasilia y Guías de Santiago que se  tienen como fin principal garantizar las condiciones de acceso efectivo a la justicia de las personas en condición de vulnerabilidad</w:t>
            </w:r>
          </w:p>
        </w:tc>
      </w:tr>
      <w:tr w:rsidR="00B15F7D" w:rsidRPr="00990FB6" w14:paraId="587337F3" w14:textId="77777777" w:rsidTr="000A0C22">
        <w:trPr>
          <w:trHeight w:val="928"/>
        </w:trPr>
        <w:tc>
          <w:tcPr>
            <w:tcW w:w="768" w:type="pct"/>
            <w:shd w:val="clear" w:color="auto" w:fill="auto"/>
            <w:vAlign w:val="center"/>
            <w:hideMark/>
          </w:tcPr>
          <w:p w14:paraId="78F2394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7F8BD4A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29999</w:t>
            </w:r>
          </w:p>
        </w:tc>
        <w:tc>
          <w:tcPr>
            <w:tcW w:w="868" w:type="pct"/>
            <w:shd w:val="clear" w:color="auto" w:fill="auto"/>
            <w:vAlign w:val="center"/>
            <w:hideMark/>
          </w:tcPr>
          <w:p w14:paraId="326AA4C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66.472,00 </w:t>
            </w:r>
          </w:p>
        </w:tc>
        <w:tc>
          <w:tcPr>
            <w:tcW w:w="464" w:type="pct"/>
            <w:shd w:val="clear" w:color="auto" w:fill="auto"/>
            <w:vAlign w:val="center"/>
            <w:hideMark/>
          </w:tcPr>
          <w:p w14:paraId="4040152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23357</w:t>
            </w:r>
          </w:p>
        </w:tc>
        <w:tc>
          <w:tcPr>
            <w:tcW w:w="829" w:type="pct"/>
            <w:shd w:val="clear" w:color="auto" w:fill="auto"/>
            <w:vAlign w:val="center"/>
            <w:hideMark/>
          </w:tcPr>
          <w:p w14:paraId="7577344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caja plástica para almacenar materiales</w:t>
            </w:r>
          </w:p>
        </w:tc>
        <w:tc>
          <w:tcPr>
            <w:tcW w:w="1466" w:type="pct"/>
            <w:shd w:val="clear" w:color="auto" w:fill="auto"/>
            <w:vAlign w:val="center"/>
            <w:hideMark/>
          </w:tcPr>
          <w:p w14:paraId="791C9453" w14:textId="77777777" w:rsidR="00B15F7D" w:rsidRPr="00990FB6" w:rsidRDefault="00B15F7D" w:rsidP="00B15F7D">
            <w:pPr>
              <w:jc w:val="both"/>
              <w:rPr>
                <w:color w:val="000000"/>
                <w:sz w:val="22"/>
                <w:szCs w:val="22"/>
                <w:lang w:eastAsia="es-CR"/>
              </w:rPr>
            </w:pPr>
            <w:r w:rsidRPr="00990FB6">
              <w:rPr>
                <w:color w:val="000000"/>
                <w:sz w:val="22"/>
                <w:szCs w:val="22"/>
                <w:lang w:eastAsia="es-CR"/>
              </w:rPr>
              <w:t>Las cajas son utilizadas para resguardar los materiales requeridos para la atención de personas usuarias en psicoterapia, talleres, capacitaciones que se realizan para brindar a las personas protegidas herramientas para retomar su ritmo de vida luego de un delito, un duelo entre otros</w:t>
            </w:r>
          </w:p>
        </w:tc>
      </w:tr>
      <w:tr w:rsidR="00B15F7D" w:rsidRPr="00990FB6" w14:paraId="7710BA55" w14:textId="77777777" w:rsidTr="000A0C22">
        <w:trPr>
          <w:trHeight w:val="975"/>
        </w:trPr>
        <w:tc>
          <w:tcPr>
            <w:tcW w:w="768" w:type="pct"/>
            <w:shd w:val="clear" w:color="auto" w:fill="auto"/>
            <w:vAlign w:val="center"/>
            <w:hideMark/>
          </w:tcPr>
          <w:p w14:paraId="57365299"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1978</w:t>
            </w:r>
          </w:p>
        </w:tc>
        <w:tc>
          <w:tcPr>
            <w:tcW w:w="605" w:type="pct"/>
            <w:shd w:val="clear" w:color="auto" w:fill="auto"/>
            <w:vAlign w:val="center"/>
            <w:hideMark/>
          </w:tcPr>
          <w:p w14:paraId="5A0B91F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29999</w:t>
            </w:r>
          </w:p>
        </w:tc>
        <w:tc>
          <w:tcPr>
            <w:tcW w:w="868" w:type="pct"/>
            <w:shd w:val="clear" w:color="auto" w:fill="auto"/>
            <w:vAlign w:val="center"/>
            <w:hideMark/>
          </w:tcPr>
          <w:p w14:paraId="08EACD01"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132.944,00 </w:t>
            </w:r>
          </w:p>
        </w:tc>
        <w:tc>
          <w:tcPr>
            <w:tcW w:w="464" w:type="pct"/>
            <w:shd w:val="clear" w:color="auto" w:fill="auto"/>
            <w:vAlign w:val="center"/>
            <w:hideMark/>
          </w:tcPr>
          <w:p w14:paraId="32C75BE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23357</w:t>
            </w:r>
          </w:p>
        </w:tc>
        <w:tc>
          <w:tcPr>
            <w:tcW w:w="829" w:type="pct"/>
            <w:shd w:val="clear" w:color="auto" w:fill="auto"/>
            <w:vAlign w:val="center"/>
            <w:hideMark/>
          </w:tcPr>
          <w:p w14:paraId="251DA42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caja plástica para almacenar materiales</w:t>
            </w:r>
          </w:p>
        </w:tc>
        <w:tc>
          <w:tcPr>
            <w:tcW w:w="1466" w:type="pct"/>
            <w:shd w:val="clear" w:color="auto" w:fill="auto"/>
            <w:vAlign w:val="center"/>
            <w:hideMark/>
          </w:tcPr>
          <w:p w14:paraId="7D2E5F73" w14:textId="77777777" w:rsidR="00B15F7D" w:rsidRPr="00990FB6" w:rsidRDefault="00B15F7D" w:rsidP="00B15F7D">
            <w:pPr>
              <w:jc w:val="both"/>
              <w:rPr>
                <w:color w:val="000000"/>
                <w:sz w:val="22"/>
                <w:szCs w:val="22"/>
                <w:lang w:eastAsia="es-CR"/>
              </w:rPr>
            </w:pPr>
            <w:r w:rsidRPr="00990FB6">
              <w:rPr>
                <w:color w:val="000000"/>
                <w:sz w:val="22"/>
                <w:szCs w:val="22"/>
                <w:lang w:eastAsia="es-CR"/>
              </w:rPr>
              <w:t>Las cajas son utilizadas para resguardar los materiales requeridos para la atención de personas usuarias en psicoterapia, talleres, capacitaciones que se realizan para brindar a las personas protegidas herramientas para retomar su ritmo de vida luego de un delito, un duelo entre otros</w:t>
            </w:r>
          </w:p>
        </w:tc>
      </w:tr>
      <w:tr w:rsidR="00B15F7D" w:rsidRPr="00990FB6" w14:paraId="0F6E6EE7" w14:textId="77777777" w:rsidTr="000A0C22">
        <w:trPr>
          <w:trHeight w:val="1380"/>
        </w:trPr>
        <w:tc>
          <w:tcPr>
            <w:tcW w:w="768" w:type="pct"/>
            <w:shd w:val="clear" w:color="auto" w:fill="auto"/>
            <w:vAlign w:val="center"/>
            <w:hideMark/>
          </w:tcPr>
          <w:p w14:paraId="57C93CF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5E3409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29999</w:t>
            </w:r>
          </w:p>
        </w:tc>
        <w:tc>
          <w:tcPr>
            <w:tcW w:w="868" w:type="pct"/>
            <w:shd w:val="clear" w:color="auto" w:fill="auto"/>
            <w:vAlign w:val="center"/>
            <w:hideMark/>
          </w:tcPr>
          <w:p w14:paraId="0D63EBB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100.000,00 </w:t>
            </w:r>
          </w:p>
        </w:tc>
        <w:tc>
          <w:tcPr>
            <w:tcW w:w="464" w:type="pct"/>
            <w:shd w:val="clear" w:color="auto" w:fill="auto"/>
            <w:vAlign w:val="center"/>
            <w:hideMark/>
          </w:tcPr>
          <w:p w14:paraId="4D55C7D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23243</w:t>
            </w:r>
          </w:p>
        </w:tc>
        <w:tc>
          <w:tcPr>
            <w:tcW w:w="829" w:type="pct"/>
            <w:shd w:val="clear" w:color="auto" w:fill="auto"/>
            <w:vAlign w:val="center"/>
            <w:hideMark/>
          </w:tcPr>
          <w:p w14:paraId="6EE00AB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Ayuda Económica para victima</w:t>
            </w:r>
          </w:p>
        </w:tc>
        <w:tc>
          <w:tcPr>
            <w:tcW w:w="1466" w:type="pct"/>
            <w:shd w:val="clear" w:color="auto" w:fill="auto"/>
            <w:vAlign w:val="center"/>
            <w:hideMark/>
          </w:tcPr>
          <w:p w14:paraId="24092F75"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directa a la persona usuaria, el recorte presupuestario limita la adquisición de artículos para las personas usuarias protegidas que se acogen a la medida extraprocesal de reubicación para salvaguardar su vida e integridad física. Al realizar ajuste a presupuesto de la subpartida quedaría limitada para cubrir necesidades de todo el año. </w:t>
            </w:r>
          </w:p>
        </w:tc>
      </w:tr>
      <w:tr w:rsidR="00B15F7D" w:rsidRPr="00990FB6" w14:paraId="40F1DE3D" w14:textId="77777777" w:rsidTr="000A0C22">
        <w:trPr>
          <w:trHeight w:val="1478"/>
        </w:trPr>
        <w:tc>
          <w:tcPr>
            <w:tcW w:w="768" w:type="pct"/>
            <w:shd w:val="clear" w:color="auto" w:fill="auto"/>
            <w:vAlign w:val="center"/>
            <w:hideMark/>
          </w:tcPr>
          <w:p w14:paraId="1AA14DC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1106</w:t>
            </w:r>
          </w:p>
        </w:tc>
        <w:tc>
          <w:tcPr>
            <w:tcW w:w="605" w:type="pct"/>
            <w:shd w:val="clear" w:color="auto" w:fill="auto"/>
            <w:vAlign w:val="center"/>
            <w:hideMark/>
          </w:tcPr>
          <w:p w14:paraId="3931145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90101</w:t>
            </w:r>
          </w:p>
        </w:tc>
        <w:tc>
          <w:tcPr>
            <w:tcW w:w="868" w:type="pct"/>
            <w:shd w:val="clear" w:color="auto" w:fill="auto"/>
            <w:vAlign w:val="center"/>
            <w:hideMark/>
          </w:tcPr>
          <w:p w14:paraId="2AE754E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15.000.000,00 </w:t>
            </w:r>
          </w:p>
        </w:tc>
        <w:tc>
          <w:tcPr>
            <w:tcW w:w="464" w:type="pct"/>
            <w:shd w:val="clear" w:color="auto" w:fill="auto"/>
            <w:vAlign w:val="center"/>
            <w:hideMark/>
          </w:tcPr>
          <w:p w14:paraId="07B029D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19975</w:t>
            </w:r>
          </w:p>
        </w:tc>
        <w:tc>
          <w:tcPr>
            <w:tcW w:w="829" w:type="pct"/>
            <w:shd w:val="clear" w:color="auto" w:fill="auto"/>
            <w:vAlign w:val="center"/>
            <w:hideMark/>
          </w:tcPr>
          <w:p w14:paraId="0C40BD8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Gastos confidenciales</w:t>
            </w:r>
          </w:p>
        </w:tc>
        <w:tc>
          <w:tcPr>
            <w:tcW w:w="1466" w:type="pct"/>
            <w:shd w:val="clear" w:color="auto" w:fill="auto"/>
            <w:vAlign w:val="center"/>
            <w:hideMark/>
          </w:tcPr>
          <w:p w14:paraId="2AB3708F"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La disminución de esta sub- partida presupuestaria afectará directamente las persona victimas que requieren protección por parte de la policía , imposibilitando atender alimentación, hospedaje y la adquisición de artículos de higiene y vestimenta, así como su resguardo en  a sitios de seguridad permanente donde se resguarde a personas y grupos familiares durante lapsos de tiempo indeterminados, comprometiendo de esta manera su vida así como la de terceros que puedan </w:t>
            </w:r>
            <w:r w:rsidRPr="00990FB6">
              <w:rPr>
                <w:color w:val="000000"/>
                <w:sz w:val="22"/>
                <w:szCs w:val="22"/>
                <w:lang w:eastAsia="es-CR"/>
              </w:rPr>
              <w:lastRenderedPageBreak/>
              <w:t>vincularse al riesgo generado por la actividad criminal en su contra.</w:t>
            </w:r>
          </w:p>
        </w:tc>
      </w:tr>
      <w:tr w:rsidR="00B15F7D" w:rsidRPr="00990FB6" w14:paraId="78EF33EC" w14:textId="77777777" w:rsidTr="000A0C22">
        <w:trPr>
          <w:trHeight w:val="557"/>
        </w:trPr>
        <w:tc>
          <w:tcPr>
            <w:tcW w:w="768" w:type="pct"/>
            <w:shd w:val="clear" w:color="auto" w:fill="auto"/>
            <w:vAlign w:val="center"/>
            <w:hideMark/>
          </w:tcPr>
          <w:p w14:paraId="19E79E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1979</w:t>
            </w:r>
          </w:p>
        </w:tc>
        <w:tc>
          <w:tcPr>
            <w:tcW w:w="605" w:type="pct"/>
            <w:shd w:val="clear" w:color="auto" w:fill="auto"/>
            <w:vAlign w:val="center"/>
            <w:hideMark/>
          </w:tcPr>
          <w:p w14:paraId="65AB2FC2" w14:textId="77777777" w:rsidR="00B15F7D" w:rsidRPr="00990FB6" w:rsidRDefault="00B15F7D" w:rsidP="00B15F7D">
            <w:pPr>
              <w:jc w:val="center"/>
              <w:rPr>
                <w:color w:val="000000"/>
                <w:sz w:val="22"/>
                <w:szCs w:val="22"/>
                <w:lang w:eastAsia="es-CR"/>
              </w:rPr>
            </w:pPr>
            <w:r w:rsidRPr="00990FB6">
              <w:rPr>
                <w:color w:val="000000"/>
                <w:sz w:val="22"/>
                <w:szCs w:val="22"/>
                <w:lang w:eastAsia="es-CR"/>
              </w:rPr>
              <w:t>90101</w:t>
            </w:r>
          </w:p>
        </w:tc>
        <w:tc>
          <w:tcPr>
            <w:tcW w:w="868" w:type="pct"/>
            <w:shd w:val="clear" w:color="auto" w:fill="auto"/>
            <w:vAlign w:val="center"/>
            <w:hideMark/>
          </w:tcPr>
          <w:p w14:paraId="73540D6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8.436.533,60 </w:t>
            </w:r>
          </w:p>
        </w:tc>
        <w:tc>
          <w:tcPr>
            <w:tcW w:w="464" w:type="pct"/>
            <w:shd w:val="clear" w:color="auto" w:fill="auto"/>
            <w:vAlign w:val="center"/>
            <w:hideMark/>
          </w:tcPr>
          <w:p w14:paraId="7A92FFC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19975</w:t>
            </w:r>
          </w:p>
        </w:tc>
        <w:tc>
          <w:tcPr>
            <w:tcW w:w="829" w:type="pct"/>
            <w:shd w:val="clear" w:color="auto" w:fill="auto"/>
            <w:vAlign w:val="center"/>
            <w:hideMark/>
          </w:tcPr>
          <w:p w14:paraId="746B941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Gastos confidenciales</w:t>
            </w:r>
          </w:p>
        </w:tc>
        <w:tc>
          <w:tcPr>
            <w:tcW w:w="1466" w:type="pct"/>
            <w:shd w:val="clear" w:color="auto" w:fill="auto"/>
            <w:vAlign w:val="center"/>
            <w:hideMark/>
          </w:tcPr>
          <w:p w14:paraId="5E1C261E" w14:textId="77777777" w:rsidR="00B15F7D" w:rsidRPr="00990FB6" w:rsidRDefault="00B15F7D" w:rsidP="00B15F7D">
            <w:pPr>
              <w:jc w:val="both"/>
              <w:rPr>
                <w:color w:val="000000"/>
                <w:sz w:val="22"/>
                <w:szCs w:val="22"/>
                <w:lang w:eastAsia="es-CR"/>
              </w:rPr>
            </w:pPr>
            <w:r w:rsidRPr="00990FB6">
              <w:rPr>
                <w:color w:val="000000"/>
                <w:sz w:val="22"/>
                <w:szCs w:val="22"/>
                <w:lang w:eastAsia="es-CR"/>
              </w:rPr>
              <w:t>La disminución de esta sub- partida presupuestaria afectará directamente las persona victimas que requieren protección por parte de la policía , imposibilitando atender alimentación, hospedaje y la adquisición de artículos de higiene y vestimenta, así como su resguardo en  a sitios de seguridad permanente donde se resguarde a personas y grupos familiares durante lapsos de tiempo indeterminados, comprometiendo de esta manera su vida así como la de terceros que puedan vincularse al riesgo generado por la actividad criminal en su contra.</w:t>
            </w:r>
          </w:p>
        </w:tc>
      </w:tr>
      <w:tr w:rsidR="00B15F7D" w:rsidRPr="00990FB6" w14:paraId="61961630" w14:textId="77777777" w:rsidTr="000A0C22">
        <w:trPr>
          <w:trHeight w:val="260"/>
        </w:trPr>
        <w:tc>
          <w:tcPr>
            <w:tcW w:w="768" w:type="pct"/>
            <w:shd w:val="clear" w:color="auto" w:fill="auto"/>
            <w:vAlign w:val="center"/>
            <w:hideMark/>
          </w:tcPr>
          <w:p w14:paraId="0BA7DB9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605" w:type="pct"/>
            <w:shd w:val="clear" w:color="CCCCFF" w:fill="BFBFBF"/>
            <w:vAlign w:val="center"/>
            <w:hideMark/>
          </w:tcPr>
          <w:p w14:paraId="419F4D2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868" w:type="pct"/>
            <w:shd w:val="clear" w:color="CCCCFF" w:fill="BFBFBF"/>
            <w:vAlign w:val="center"/>
            <w:hideMark/>
          </w:tcPr>
          <w:p w14:paraId="176088B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107.851.697,00 </w:t>
            </w:r>
          </w:p>
        </w:tc>
        <w:tc>
          <w:tcPr>
            <w:tcW w:w="464" w:type="pct"/>
            <w:shd w:val="clear" w:color="CCCCFF" w:fill="BFBFBF"/>
            <w:vAlign w:val="center"/>
            <w:hideMark/>
          </w:tcPr>
          <w:p w14:paraId="6D69DEB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829" w:type="pct"/>
            <w:shd w:val="clear" w:color="CCCCFF" w:fill="BFBFBF"/>
            <w:vAlign w:val="center"/>
            <w:hideMark/>
          </w:tcPr>
          <w:p w14:paraId="11923D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466" w:type="pct"/>
            <w:shd w:val="clear" w:color="CCCCFF" w:fill="BFBFBF"/>
            <w:vAlign w:val="center"/>
            <w:hideMark/>
          </w:tcPr>
          <w:p w14:paraId="325E2AA0" w14:textId="77777777" w:rsidR="00B15F7D" w:rsidRPr="00990FB6" w:rsidRDefault="00B15F7D" w:rsidP="00B15F7D">
            <w:pPr>
              <w:jc w:val="both"/>
              <w:rPr>
                <w:color w:val="000000"/>
                <w:sz w:val="22"/>
                <w:szCs w:val="22"/>
                <w:lang w:eastAsia="es-CR"/>
              </w:rPr>
            </w:pPr>
            <w:r w:rsidRPr="00990FB6">
              <w:rPr>
                <w:color w:val="000000"/>
                <w:sz w:val="22"/>
                <w:szCs w:val="22"/>
                <w:lang w:eastAsia="es-CR"/>
              </w:rPr>
              <w:t> </w:t>
            </w:r>
          </w:p>
        </w:tc>
      </w:tr>
      <w:tr w:rsidR="00B15F7D" w:rsidRPr="00990FB6" w14:paraId="17B63A71" w14:textId="77777777" w:rsidTr="000A0C22">
        <w:trPr>
          <w:trHeight w:val="260"/>
        </w:trPr>
        <w:tc>
          <w:tcPr>
            <w:tcW w:w="768" w:type="pct"/>
            <w:shd w:val="clear" w:color="auto" w:fill="auto"/>
            <w:vAlign w:val="center"/>
            <w:hideMark/>
          </w:tcPr>
          <w:p w14:paraId="55DE1603"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605" w:type="pct"/>
            <w:shd w:val="clear" w:color="auto" w:fill="auto"/>
            <w:vAlign w:val="center"/>
            <w:hideMark/>
          </w:tcPr>
          <w:p w14:paraId="43FF647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868" w:type="pct"/>
            <w:shd w:val="clear" w:color="auto" w:fill="auto"/>
            <w:vAlign w:val="center"/>
            <w:hideMark/>
          </w:tcPr>
          <w:p w14:paraId="37BE9209"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c>
          <w:tcPr>
            <w:tcW w:w="464" w:type="pct"/>
            <w:shd w:val="clear" w:color="auto" w:fill="auto"/>
            <w:vAlign w:val="center"/>
            <w:hideMark/>
          </w:tcPr>
          <w:p w14:paraId="24F5247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829" w:type="pct"/>
            <w:shd w:val="clear" w:color="auto" w:fill="auto"/>
            <w:vAlign w:val="center"/>
            <w:hideMark/>
          </w:tcPr>
          <w:p w14:paraId="6B847764"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466" w:type="pct"/>
            <w:shd w:val="clear" w:color="auto" w:fill="auto"/>
            <w:vAlign w:val="center"/>
            <w:hideMark/>
          </w:tcPr>
          <w:p w14:paraId="53E51DD4" w14:textId="77777777" w:rsidR="00B15F7D" w:rsidRPr="00990FB6" w:rsidRDefault="00B15F7D" w:rsidP="00B15F7D">
            <w:pPr>
              <w:jc w:val="both"/>
              <w:rPr>
                <w:color w:val="000000"/>
                <w:sz w:val="22"/>
                <w:szCs w:val="22"/>
                <w:lang w:eastAsia="es-CR"/>
              </w:rPr>
            </w:pPr>
            <w:r w:rsidRPr="00990FB6">
              <w:rPr>
                <w:color w:val="000000"/>
                <w:sz w:val="22"/>
                <w:szCs w:val="22"/>
                <w:lang w:eastAsia="es-CR"/>
              </w:rPr>
              <w:t> </w:t>
            </w:r>
          </w:p>
        </w:tc>
      </w:tr>
      <w:tr w:rsidR="00B15F7D" w:rsidRPr="00990FB6" w14:paraId="2823F658" w14:textId="77777777" w:rsidTr="000A0C22">
        <w:trPr>
          <w:trHeight w:val="1155"/>
        </w:trPr>
        <w:tc>
          <w:tcPr>
            <w:tcW w:w="768" w:type="pct"/>
            <w:shd w:val="clear" w:color="auto" w:fill="auto"/>
            <w:vAlign w:val="center"/>
            <w:hideMark/>
          </w:tcPr>
          <w:p w14:paraId="44ECAE2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46E21BB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50102</w:t>
            </w:r>
          </w:p>
        </w:tc>
        <w:tc>
          <w:tcPr>
            <w:tcW w:w="868" w:type="pct"/>
            <w:shd w:val="clear" w:color="auto" w:fill="auto"/>
            <w:vAlign w:val="center"/>
            <w:hideMark/>
          </w:tcPr>
          <w:p w14:paraId="6B4DCD29"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12.852.750,00 </w:t>
            </w:r>
          </w:p>
        </w:tc>
        <w:tc>
          <w:tcPr>
            <w:tcW w:w="464" w:type="pct"/>
            <w:shd w:val="clear" w:color="auto" w:fill="auto"/>
            <w:vAlign w:val="center"/>
            <w:hideMark/>
          </w:tcPr>
          <w:p w14:paraId="22C4990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19582</w:t>
            </w:r>
          </w:p>
        </w:tc>
        <w:tc>
          <w:tcPr>
            <w:tcW w:w="829" w:type="pct"/>
            <w:shd w:val="clear" w:color="auto" w:fill="auto"/>
            <w:vAlign w:val="center"/>
            <w:hideMark/>
          </w:tcPr>
          <w:p w14:paraId="6B2E7F9F"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sustitución de vehículo sedan</w:t>
            </w:r>
          </w:p>
        </w:tc>
        <w:tc>
          <w:tcPr>
            <w:tcW w:w="1466" w:type="pct"/>
            <w:shd w:val="clear" w:color="auto" w:fill="auto"/>
            <w:vAlign w:val="center"/>
            <w:hideMark/>
          </w:tcPr>
          <w:p w14:paraId="71E2E2CE"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a la persona usuaria: la OAPVD requiere cambio de vehículo en virtud de que los automotores actuales son de vieja data. Por la naturaleza del despacho se requiere contar con automotores en perfectas condiciones y las unidades actuales ya presentan desgasta, kilometraje avanzado lo que genera un riesgo a que los </w:t>
            </w:r>
            <w:r w:rsidRPr="00990FB6">
              <w:rPr>
                <w:color w:val="000000"/>
                <w:sz w:val="22"/>
                <w:szCs w:val="22"/>
                <w:lang w:eastAsia="es-CR"/>
              </w:rPr>
              <w:lastRenderedPageBreak/>
              <w:t xml:space="preserve">vehículos tengan que detenerse para reparaciones constantes afectando así el servicio público </w:t>
            </w:r>
          </w:p>
        </w:tc>
      </w:tr>
      <w:tr w:rsidR="00B15F7D" w:rsidRPr="00990FB6" w14:paraId="4A9E2026" w14:textId="77777777" w:rsidTr="000A0C22">
        <w:trPr>
          <w:trHeight w:val="1478"/>
        </w:trPr>
        <w:tc>
          <w:tcPr>
            <w:tcW w:w="768" w:type="pct"/>
            <w:shd w:val="clear" w:color="auto" w:fill="auto"/>
            <w:vAlign w:val="center"/>
            <w:hideMark/>
          </w:tcPr>
          <w:p w14:paraId="06AE4B0A"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1106</w:t>
            </w:r>
          </w:p>
        </w:tc>
        <w:tc>
          <w:tcPr>
            <w:tcW w:w="605" w:type="pct"/>
            <w:shd w:val="clear" w:color="auto" w:fill="auto"/>
            <w:vAlign w:val="center"/>
            <w:hideMark/>
          </w:tcPr>
          <w:p w14:paraId="6781738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50102</w:t>
            </w:r>
          </w:p>
        </w:tc>
        <w:tc>
          <w:tcPr>
            <w:tcW w:w="868" w:type="pct"/>
            <w:shd w:val="clear" w:color="auto" w:fill="auto"/>
            <w:vAlign w:val="center"/>
            <w:hideMark/>
          </w:tcPr>
          <w:p w14:paraId="6C3A0B6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92.467.990,50 </w:t>
            </w:r>
          </w:p>
        </w:tc>
        <w:tc>
          <w:tcPr>
            <w:tcW w:w="464" w:type="pct"/>
            <w:shd w:val="clear" w:color="auto" w:fill="auto"/>
            <w:vAlign w:val="center"/>
            <w:hideMark/>
          </w:tcPr>
          <w:p w14:paraId="09D3ACC9"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23584</w:t>
            </w:r>
          </w:p>
        </w:tc>
        <w:tc>
          <w:tcPr>
            <w:tcW w:w="829" w:type="pct"/>
            <w:shd w:val="clear" w:color="auto" w:fill="auto"/>
            <w:vAlign w:val="center"/>
            <w:hideMark/>
          </w:tcPr>
          <w:p w14:paraId="18984A0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sustitución de vehículo todo terreno</w:t>
            </w:r>
          </w:p>
        </w:tc>
        <w:tc>
          <w:tcPr>
            <w:tcW w:w="1466" w:type="pct"/>
            <w:shd w:val="clear" w:color="auto" w:fill="auto"/>
            <w:vAlign w:val="center"/>
            <w:hideMark/>
          </w:tcPr>
          <w:p w14:paraId="255BB792" w14:textId="77777777" w:rsidR="00B15F7D" w:rsidRPr="00990FB6" w:rsidRDefault="00B15F7D" w:rsidP="00B15F7D">
            <w:pPr>
              <w:jc w:val="both"/>
              <w:rPr>
                <w:color w:val="000000"/>
                <w:sz w:val="22"/>
                <w:szCs w:val="22"/>
                <w:lang w:eastAsia="es-CR"/>
              </w:rPr>
            </w:pPr>
            <w:r w:rsidRPr="00990FB6">
              <w:rPr>
                <w:color w:val="000000"/>
                <w:sz w:val="22"/>
                <w:szCs w:val="22"/>
                <w:lang w:eastAsia="es-CR"/>
              </w:rPr>
              <w:t>Recorte significativo ante la renovación de la flotilla vehicular de la Unidad, cambio necesario debido al modelo de data antigua, desgaste por uso, acumulación de kilómetros a lo largo de la vida útil y deterioro del bien mueble, que como resultado directo generará una flotilla sujeta a constantes reparaciones e imposibilitarán la atención adecuada para las personas que bajo protección requieren los servicios que garanticen mantener condiciones limitantes a eventos de amenaza o que atenten contra su vida, inclusive.</w:t>
            </w:r>
          </w:p>
        </w:tc>
      </w:tr>
      <w:tr w:rsidR="00B15F7D" w:rsidRPr="00990FB6" w14:paraId="3D49242A" w14:textId="77777777" w:rsidTr="000A0C22">
        <w:trPr>
          <w:trHeight w:val="1300"/>
        </w:trPr>
        <w:tc>
          <w:tcPr>
            <w:tcW w:w="768" w:type="pct"/>
            <w:shd w:val="clear" w:color="auto" w:fill="auto"/>
            <w:vAlign w:val="center"/>
            <w:hideMark/>
          </w:tcPr>
          <w:p w14:paraId="2F442FE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65EF03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50103</w:t>
            </w:r>
          </w:p>
        </w:tc>
        <w:tc>
          <w:tcPr>
            <w:tcW w:w="868" w:type="pct"/>
            <w:shd w:val="clear" w:color="auto" w:fill="auto"/>
            <w:vAlign w:val="center"/>
            <w:hideMark/>
          </w:tcPr>
          <w:p w14:paraId="1D5C363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390.654,00 </w:t>
            </w:r>
          </w:p>
        </w:tc>
        <w:tc>
          <w:tcPr>
            <w:tcW w:w="464" w:type="pct"/>
            <w:shd w:val="clear" w:color="auto" w:fill="auto"/>
            <w:vAlign w:val="center"/>
            <w:hideMark/>
          </w:tcPr>
          <w:p w14:paraId="7597D961"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25713</w:t>
            </w:r>
          </w:p>
        </w:tc>
        <w:tc>
          <w:tcPr>
            <w:tcW w:w="829" w:type="pct"/>
            <w:shd w:val="clear" w:color="auto" w:fill="auto"/>
            <w:vAlign w:val="center"/>
            <w:hideMark/>
          </w:tcPr>
          <w:p w14:paraId="5D7B47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cámara web</w:t>
            </w:r>
          </w:p>
        </w:tc>
        <w:tc>
          <w:tcPr>
            <w:tcW w:w="1466" w:type="pct"/>
            <w:shd w:val="clear" w:color="auto" w:fill="auto"/>
            <w:vAlign w:val="center"/>
            <w:hideMark/>
          </w:tcPr>
          <w:p w14:paraId="5D706E6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a la seguridad en oficinas OAPVD:  Es urgente cambiar cámaras de despacho por la naturaleza del servicio el despacho El recorte presupuestario imposibilita brindar un mantenimiento a las cámaras de vigilancia con que cuenta la OAPVD en los diversos locales, ha ubicado cámaras </w:t>
            </w:r>
            <w:proofErr w:type="gramStart"/>
            <w:r w:rsidRPr="00990FB6">
              <w:rPr>
                <w:color w:val="000000"/>
                <w:sz w:val="22"/>
                <w:szCs w:val="22"/>
                <w:lang w:eastAsia="es-CR"/>
              </w:rPr>
              <w:t>para  incrementar</w:t>
            </w:r>
            <w:proofErr w:type="gramEnd"/>
            <w:r w:rsidRPr="00990FB6">
              <w:rPr>
                <w:color w:val="000000"/>
                <w:sz w:val="22"/>
                <w:szCs w:val="22"/>
                <w:lang w:eastAsia="es-CR"/>
              </w:rPr>
              <w:t xml:space="preserve"> la seguridad   ello previendo que en ocasiones  se reciben personas que pueden resultar violentas o presentar  comportamientos poco adecuados. Las cámaras actuales resultan de vieja data, el recorte de </w:t>
            </w:r>
            <w:r w:rsidRPr="00990FB6">
              <w:rPr>
                <w:color w:val="000000"/>
                <w:sz w:val="22"/>
                <w:szCs w:val="22"/>
                <w:lang w:eastAsia="es-CR"/>
              </w:rPr>
              <w:lastRenderedPageBreak/>
              <w:t xml:space="preserve">presupuesto impide la compra y afecta la seguridad </w:t>
            </w:r>
          </w:p>
        </w:tc>
      </w:tr>
      <w:tr w:rsidR="00B15F7D" w:rsidRPr="00990FB6" w14:paraId="1F7353E7" w14:textId="77777777" w:rsidTr="000A0C22">
        <w:trPr>
          <w:trHeight w:val="1103"/>
        </w:trPr>
        <w:tc>
          <w:tcPr>
            <w:tcW w:w="768" w:type="pct"/>
            <w:shd w:val="clear" w:color="auto" w:fill="auto"/>
            <w:vAlign w:val="center"/>
            <w:hideMark/>
          </w:tcPr>
          <w:p w14:paraId="39FD2D8F"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40C999AC"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50104</w:t>
            </w:r>
          </w:p>
        </w:tc>
        <w:tc>
          <w:tcPr>
            <w:tcW w:w="868" w:type="pct"/>
            <w:shd w:val="clear" w:color="auto" w:fill="auto"/>
            <w:vAlign w:val="center"/>
            <w:hideMark/>
          </w:tcPr>
          <w:p w14:paraId="11192358"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1.081.661,50 </w:t>
            </w:r>
          </w:p>
        </w:tc>
        <w:tc>
          <w:tcPr>
            <w:tcW w:w="464" w:type="pct"/>
            <w:shd w:val="clear" w:color="auto" w:fill="auto"/>
            <w:vAlign w:val="center"/>
            <w:hideMark/>
          </w:tcPr>
          <w:p w14:paraId="0C6DA1D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16781</w:t>
            </w:r>
          </w:p>
        </w:tc>
        <w:tc>
          <w:tcPr>
            <w:tcW w:w="829" w:type="pct"/>
            <w:shd w:val="clear" w:color="auto" w:fill="auto"/>
            <w:vAlign w:val="center"/>
            <w:hideMark/>
          </w:tcPr>
          <w:p w14:paraId="64E76C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aire acondicionado</w:t>
            </w:r>
          </w:p>
        </w:tc>
        <w:tc>
          <w:tcPr>
            <w:tcW w:w="1466" w:type="pct"/>
            <w:shd w:val="clear" w:color="auto" w:fill="auto"/>
            <w:vAlign w:val="center"/>
            <w:hideMark/>
          </w:tcPr>
          <w:p w14:paraId="1D31ED8F"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Afectación del servicio: los aires se formulan para colocarlo en oficinas de zonas costeras, zonas cálidas que requiere justamente de aire acondicionado en las área de atención </w:t>
            </w:r>
            <w:proofErr w:type="spellStart"/>
            <w:r w:rsidRPr="00990FB6">
              <w:rPr>
                <w:color w:val="000000"/>
                <w:sz w:val="22"/>
                <w:szCs w:val="22"/>
                <w:lang w:eastAsia="es-CR"/>
              </w:rPr>
              <w:t>a</w:t>
            </w:r>
            <w:proofErr w:type="spellEnd"/>
            <w:r w:rsidRPr="00990FB6">
              <w:rPr>
                <w:color w:val="000000"/>
                <w:sz w:val="22"/>
                <w:szCs w:val="22"/>
                <w:lang w:eastAsia="es-CR"/>
              </w:rPr>
              <w:t xml:space="preserve"> público.</w:t>
            </w:r>
          </w:p>
        </w:tc>
      </w:tr>
      <w:tr w:rsidR="00B15F7D" w:rsidRPr="00990FB6" w14:paraId="59BD4533" w14:textId="77777777" w:rsidTr="000A0C22">
        <w:trPr>
          <w:trHeight w:val="793"/>
        </w:trPr>
        <w:tc>
          <w:tcPr>
            <w:tcW w:w="768" w:type="pct"/>
            <w:shd w:val="clear" w:color="auto" w:fill="auto"/>
            <w:vAlign w:val="center"/>
            <w:hideMark/>
          </w:tcPr>
          <w:p w14:paraId="26668D4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1978</w:t>
            </w:r>
          </w:p>
        </w:tc>
        <w:tc>
          <w:tcPr>
            <w:tcW w:w="605" w:type="pct"/>
            <w:shd w:val="clear" w:color="auto" w:fill="auto"/>
            <w:vAlign w:val="center"/>
            <w:hideMark/>
          </w:tcPr>
          <w:p w14:paraId="47478848"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50104</w:t>
            </w:r>
          </w:p>
        </w:tc>
        <w:tc>
          <w:tcPr>
            <w:tcW w:w="868" w:type="pct"/>
            <w:shd w:val="clear" w:color="auto" w:fill="auto"/>
            <w:vAlign w:val="center"/>
            <w:hideMark/>
          </w:tcPr>
          <w:p w14:paraId="1E440CAC"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247.187,00 </w:t>
            </w:r>
          </w:p>
        </w:tc>
        <w:tc>
          <w:tcPr>
            <w:tcW w:w="464" w:type="pct"/>
            <w:shd w:val="clear" w:color="auto" w:fill="auto"/>
            <w:vAlign w:val="center"/>
            <w:hideMark/>
          </w:tcPr>
          <w:p w14:paraId="33A6E62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21428</w:t>
            </w:r>
          </w:p>
        </w:tc>
        <w:tc>
          <w:tcPr>
            <w:tcW w:w="829" w:type="pct"/>
            <w:shd w:val="clear" w:color="auto" w:fill="auto"/>
            <w:vAlign w:val="center"/>
            <w:hideMark/>
          </w:tcPr>
          <w:p w14:paraId="24D7F41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mueble</w:t>
            </w:r>
          </w:p>
        </w:tc>
        <w:tc>
          <w:tcPr>
            <w:tcW w:w="1466" w:type="pct"/>
            <w:shd w:val="clear" w:color="auto" w:fill="auto"/>
            <w:vAlign w:val="center"/>
            <w:hideMark/>
          </w:tcPr>
          <w:p w14:paraId="0BBC8169"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Requerido para el resguardo de materiales requeridos por las personas usuarias tales como sábanas, cobijas, ropa entre otros </w:t>
            </w:r>
          </w:p>
        </w:tc>
      </w:tr>
      <w:tr w:rsidR="00B15F7D" w:rsidRPr="00990FB6" w14:paraId="608CA80F" w14:textId="77777777" w:rsidTr="000A0C22">
        <w:trPr>
          <w:trHeight w:val="1298"/>
        </w:trPr>
        <w:tc>
          <w:tcPr>
            <w:tcW w:w="768" w:type="pct"/>
            <w:shd w:val="clear" w:color="auto" w:fill="auto"/>
            <w:vAlign w:val="center"/>
            <w:hideMark/>
          </w:tcPr>
          <w:p w14:paraId="4D14AE3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2D6D258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50104</w:t>
            </w:r>
          </w:p>
        </w:tc>
        <w:tc>
          <w:tcPr>
            <w:tcW w:w="868" w:type="pct"/>
            <w:shd w:val="clear" w:color="auto" w:fill="auto"/>
            <w:vAlign w:val="center"/>
            <w:hideMark/>
          </w:tcPr>
          <w:p w14:paraId="4F45EEA2"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120.345,00 </w:t>
            </w:r>
          </w:p>
        </w:tc>
        <w:tc>
          <w:tcPr>
            <w:tcW w:w="464" w:type="pct"/>
            <w:shd w:val="clear" w:color="auto" w:fill="auto"/>
            <w:vAlign w:val="center"/>
            <w:hideMark/>
          </w:tcPr>
          <w:p w14:paraId="48E08BFA"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16704</w:t>
            </w:r>
          </w:p>
        </w:tc>
        <w:tc>
          <w:tcPr>
            <w:tcW w:w="829" w:type="pct"/>
            <w:shd w:val="clear" w:color="auto" w:fill="auto"/>
            <w:vAlign w:val="center"/>
            <w:hideMark/>
          </w:tcPr>
          <w:p w14:paraId="6966C87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sillón ejecutivo</w:t>
            </w:r>
          </w:p>
        </w:tc>
        <w:tc>
          <w:tcPr>
            <w:tcW w:w="1466" w:type="pct"/>
            <w:shd w:val="clear" w:color="auto" w:fill="auto"/>
            <w:vAlign w:val="center"/>
            <w:hideMark/>
          </w:tcPr>
          <w:p w14:paraId="2725647C" w14:textId="77777777" w:rsidR="00B15F7D" w:rsidRPr="00990FB6" w:rsidRDefault="00B15F7D" w:rsidP="00B15F7D">
            <w:pPr>
              <w:jc w:val="both"/>
              <w:rPr>
                <w:color w:val="000000"/>
                <w:sz w:val="22"/>
                <w:szCs w:val="22"/>
                <w:lang w:eastAsia="es-CR"/>
              </w:rPr>
            </w:pPr>
            <w:r w:rsidRPr="00990FB6">
              <w:rPr>
                <w:color w:val="000000"/>
                <w:sz w:val="22"/>
                <w:szCs w:val="22"/>
                <w:lang w:eastAsia="es-CR"/>
              </w:rPr>
              <w:t>Por un tema de seguridad ocupacional, se requiere contar con mobiliario en perfectas condiciones para que el personal que presta el servicio púbico requerido. Actualmente es necesario cambio de mobiliario de antigua data. Un recorte presupuestario estaría limitando adquisición de estos bienes en el 2024 lo que podría afectar incluso la salud de los colaboradores</w:t>
            </w:r>
          </w:p>
        </w:tc>
      </w:tr>
      <w:tr w:rsidR="00B15F7D" w:rsidRPr="00990FB6" w14:paraId="0A3464A2" w14:textId="77777777" w:rsidTr="000A0C22">
        <w:trPr>
          <w:trHeight w:val="973"/>
        </w:trPr>
        <w:tc>
          <w:tcPr>
            <w:tcW w:w="768" w:type="pct"/>
            <w:shd w:val="clear" w:color="auto" w:fill="auto"/>
            <w:vAlign w:val="center"/>
            <w:hideMark/>
          </w:tcPr>
          <w:p w14:paraId="0F183E7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718</w:t>
            </w:r>
          </w:p>
        </w:tc>
        <w:tc>
          <w:tcPr>
            <w:tcW w:w="605" w:type="pct"/>
            <w:shd w:val="clear" w:color="auto" w:fill="auto"/>
            <w:vAlign w:val="center"/>
            <w:hideMark/>
          </w:tcPr>
          <w:p w14:paraId="3020134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50104</w:t>
            </w:r>
          </w:p>
        </w:tc>
        <w:tc>
          <w:tcPr>
            <w:tcW w:w="868" w:type="pct"/>
            <w:shd w:val="clear" w:color="auto" w:fill="auto"/>
            <w:vAlign w:val="center"/>
            <w:hideMark/>
          </w:tcPr>
          <w:p w14:paraId="598F3971"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81.360,00 </w:t>
            </w:r>
          </w:p>
        </w:tc>
        <w:tc>
          <w:tcPr>
            <w:tcW w:w="464" w:type="pct"/>
            <w:shd w:val="clear" w:color="auto" w:fill="auto"/>
            <w:vAlign w:val="center"/>
            <w:hideMark/>
          </w:tcPr>
          <w:p w14:paraId="669B90EB" w14:textId="77777777" w:rsidR="00B15F7D" w:rsidRPr="00990FB6" w:rsidRDefault="00B15F7D" w:rsidP="00B15F7D">
            <w:pPr>
              <w:jc w:val="center"/>
              <w:rPr>
                <w:color w:val="000000"/>
                <w:sz w:val="22"/>
                <w:szCs w:val="22"/>
                <w:lang w:eastAsia="es-CR"/>
              </w:rPr>
            </w:pPr>
            <w:r w:rsidRPr="00990FB6">
              <w:rPr>
                <w:color w:val="000000"/>
                <w:sz w:val="22"/>
                <w:szCs w:val="22"/>
                <w:lang w:eastAsia="es-CR"/>
              </w:rPr>
              <w:t>16753</w:t>
            </w:r>
          </w:p>
        </w:tc>
        <w:tc>
          <w:tcPr>
            <w:tcW w:w="829" w:type="pct"/>
            <w:shd w:val="clear" w:color="auto" w:fill="auto"/>
            <w:vAlign w:val="center"/>
            <w:hideMark/>
          </w:tcPr>
          <w:p w14:paraId="791384A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xml:space="preserve">silla giratoria </w:t>
            </w:r>
          </w:p>
        </w:tc>
        <w:tc>
          <w:tcPr>
            <w:tcW w:w="1466" w:type="pct"/>
            <w:shd w:val="clear" w:color="auto" w:fill="auto"/>
            <w:vAlign w:val="center"/>
            <w:hideMark/>
          </w:tcPr>
          <w:p w14:paraId="7CD4C91D"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Por un tema de seguridad ocupacional, se requiere contar con mobiliario en perfectas condiciones para que el personal que presta el servicio púbico requerido. Actualmente es necesario cambio de mobiliario de antigua data. Un recorte presupuestario estaría limitando adquisición de estos bienes en el </w:t>
            </w:r>
            <w:proofErr w:type="gramStart"/>
            <w:r w:rsidRPr="00990FB6">
              <w:rPr>
                <w:color w:val="000000"/>
                <w:sz w:val="22"/>
                <w:szCs w:val="22"/>
                <w:lang w:eastAsia="es-CR"/>
              </w:rPr>
              <w:t>2024  lo</w:t>
            </w:r>
            <w:proofErr w:type="gramEnd"/>
            <w:r w:rsidRPr="00990FB6">
              <w:rPr>
                <w:color w:val="000000"/>
                <w:sz w:val="22"/>
                <w:szCs w:val="22"/>
                <w:lang w:eastAsia="es-CR"/>
              </w:rPr>
              <w:t xml:space="preserve"> que podría afectar incluso la salud de los colaboradores</w:t>
            </w:r>
          </w:p>
        </w:tc>
      </w:tr>
      <w:tr w:rsidR="00B15F7D" w:rsidRPr="00990FB6" w14:paraId="716015FD" w14:textId="77777777" w:rsidTr="000A0C22">
        <w:trPr>
          <w:trHeight w:val="1223"/>
        </w:trPr>
        <w:tc>
          <w:tcPr>
            <w:tcW w:w="768" w:type="pct"/>
            <w:shd w:val="clear" w:color="auto" w:fill="auto"/>
            <w:vAlign w:val="center"/>
            <w:hideMark/>
          </w:tcPr>
          <w:p w14:paraId="17056183" w14:textId="77777777" w:rsidR="00B15F7D" w:rsidRPr="00990FB6" w:rsidRDefault="00B15F7D" w:rsidP="00B15F7D">
            <w:pPr>
              <w:jc w:val="center"/>
              <w:rPr>
                <w:color w:val="000000"/>
                <w:sz w:val="22"/>
                <w:szCs w:val="22"/>
                <w:lang w:eastAsia="es-CR"/>
              </w:rPr>
            </w:pPr>
            <w:r w:rsidRPr="00990FB6">
              <w:rPr>
                <w:color w:val="000000"/>
                <w:sz w:val="22"/>
                <w:szCs w:val="22"/>
                <w:lang w:eastAsia="es-CR"/>
              </w:rPr>
              <w:lastRenderedPageBreak/>
              <w:t>718</w:t>
            </w:r>
          </w:p>
        </w:tc>
        <w:tc>
          <w:tcPr>
            <w:tcW w:w="605" w:type="pct"/>
            <w:shd w:val="clear" w:color="auto" w:fill="auto"/>
            <w:vAlign w:val="center"/>
            <w:hideMark/>
          </w:tcPr>
          <w:p w14:paraId="447A9D15" w14:textId="77777777" w:rsidR="00B15F7D" w:rsidRPr="00990FB6" w:rsidRDefault="00B15F7D" w:rsidP="00B15F7D">
            <w:pPr>
              <w:jc w:val="center"/>
              <w:rPr>
                <w:color w:val="000000"/>
                <w:sz w:val="22"/>
                <w:szCs w:val="22"/>
                <w:lang w:eastAsia="es-CR"/>
              </w:rPr>
            </w:pPr>
            <w:r w:rsidRPr="00990FB6">
              <w:rPr>
                <w:color w:val="000000"/>
                <w:sz w:val="22"/>
                <w:szCs w:val="22"/>
                <w:lang w:eastAsia="es-CR"/>
              </w:rPr>
              <w:t>50104</w:t>
            </w:r>
          </w:p>
        </w:tc>
        <w:tc>
          <w:tcPr>
            <w:tcW w:w="868" w:type="pct"/>
            <w:shd w:val="clear" w:color="auto" w:fill="auto"/>
            <w:vAlign w:val="center"/>
            <w:hideMark/>
          </w:tcPr>
          <w:p w14:paraId="2EE8F4D7"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364.199,00 </w:t>
            </w:r>
          </w:p>
        </w:tc>
        <w:tc>
          <w:tcPr>
            <w:tcW w:w="464" w:type="pct"/>
            <w:shd w:val="clear" w:color="auto" w:fill="auto"/>
            <w:vAlign w:val="center"/>
            <w:hideMark/>
          </w:tcPr>
          <w:p w14:paraId="3A059726" w14:textId="77777777" w:rsidR="00B15F7D" w:rsidRPr="00990FB6" w:rsidRDefault="00B15F7D" w:rsidP="00B15F7D">
            <w:pPr>
              <w:jc w:val="center"/>
              <w:rPr>
                <w:color w:val="000000"/>
                <w:sz w:val="22"/>
                <w:szCs w:val="22"/>
                <w:lang w:eastAsia="es-CR"/>
              </w:rPr>
            </w:pPr>
            <w:r w:rsidRPr="00990FB6">
              <w:rPr>
                <w:color w:val="000000"/>
                <w:sz w:val="22"/>
                <w:szCs w:val="22"/>
                <w:lang w:eastAsia="es-CR"/>
              </w:rPr>
              <w:t>22160</w:t>
            </w:r>
          </w:p>
        </w:tc>
        <w:tc>
          <w:tcPr>
            <w:tcW w:w="829" w:type="pct"/>
            <w:shd w:val="clear" w:color="auto" w:fill="auto"/>
            <w:vAlign w:val="center"/>
            <w:hideMark/>
          </w:tcPr>
          <w:p w14:paraId="03846BBE" w14:textId="77777777" w:rsidR="00B15F7D" w:rsidRPr="00990FB6" w:rsidRDefault="00B15F7D" w:rsidP="00B15F7D">
            <w:pPr>
              <w:jc w:val="center"/>
              <w:rPr>
                <w:color w:val="000000"/>
                <w:sz w:val="22"/>
                <w:szCs w:val="22"/>
                <w:lang w:eastAsia="es-CR"/>
              </w:rPr>
            </w:pPr>
            <w:r w:rsidRPr="00990FB6">
              <w:rPr>
                <w:color w:val="000000"/>
                <w:sz w:val="22"/>
                <w:szCs w:val="22"/>
                <w:lang w:eastAsia="es-CR"/>
              </w:rPr>
              <w:t>silla ergonómica</w:t>
            </w:r>
          </w:p>
        </w:tc>
        <w:tc>
          <w:tcPr>
            <w:tcW w:w="1466" w:type="pct"/>
            <w:shd w:val="clear" w:color="auto" w:fill="auto"/>
            <w:vAlign w:val="center"/>
            <w:hideMark/>
          </w:tcPr>
          <w:p w14:paraId="0A2610D3" w14:textId="77777777" w:rsidR="00B15F7D" w:rsidRPr="00990FB6" w:rsidRDefault="00B15F7D" w:rsidP="00B15F7D">
            <w:pPr>
              <w:jc w:val="both"/>
              <w:rPr>
                <w:color w:val="000000"/>
                <w:sz w:val="22"/>
                <w:szCs w:val="22"/>
                <w:lang w:eastAsia="es-CR"/>
              </w:rPr>
            </w:pPr>
            <w:r w:rsidRPr="00990FB6">
              <w:rPr>
                <w:color w:val="000000"/>
                <w:sz w:val="22"/>
                <w:szCs w:val="22"/>
                <w:lang w:eastAsia="es-CR"/>
              </w:rPr>
              <w:t xml:space="preserve">Por un tema de seguridad ocupacional, se requiere contar con mobiliario en perfectas condiciones para que el personal que presta el servicio púbico requerido. Actualmente es necesario cambio de mobiliario de antigua data. Un recorte presupuestario estaría limitando adquisición de estos bienes en el </w:t>
            </w:r>
            <w:proofErr w:type="gramStart"/>
            <w:r w:rsidRPr="00990FB6">
              <w:rPr>
                <w:color w:val="000000"/>
                <w:sz w:val="22"/>
                <w:szCs w:val="22"/>
                <w:lang w:eastAsia="es-CR"/>
              </w:rPr>
              <w:t>2024  lo</w:t>
            </w:r>
            <w:proofErr w:type="gramEnd"/>
            <w:r w:rsidRPr="00990FB6">
              <w:rPr>
                <w:color w:val="000000"/>
                <w:sz w:val="22"/>
                <w:szCs w:val="22"/>
                <w:lang w:eastAsia="es-CR"/>
              </w:rPr>
              <w:t xml:space="preserve"> que podría afectar incluso la salud de los colaboradores</w:t>
            </w:r>
          </w:p>
        </w:tc>
      </w:tr>
      <w:tr w:rsidR="00B15F7D" w:rsidRPr="00990FB6" w14:paraId="2AEFBB92" w14:textId="77777777" w:rsidTr="000A0C22">
        <w:trPr>
          <w:trHeight w:val="260"/>
        </w:trPr>
        <w:tc>
          <w:tcPr>
            <w:tcW w:w="768" w:type="pct"/>
            <w:shd w:val="clear" w:color="auto" w:fill="auto"/>
            <w:vAlign w:val="center"/>
            <w:hideMark/>
          </w:tcPr>
          <w:p w14:paraId="0E38729D" w14:textId="77777777" w:rsidR="00B15F7D" w:rsidRPr="00990FB6" w:rsidRDefault="00B15F7D" w:rsidP="00B15F7D">
            <w:pPr>
              <w:rPr>
                <w:color w:val="000000"/>
                <w:sz w:val="22"/>
                <w:szCs w:val="22"/>
                <w:lang w:eastAsia="es-CR"/>
              </w:rPr>
            </w:pPr>
          </w:p>
        </w:tc>
        <w:tc>
          <w:tcPr>
            <w:tcW w:w="605" w:type="pct"/>
            <w:shd w:val="clear" w:color="CCCCFF" w:fill="BFBFBF"/>
            <w:vAlign w:val="center"/>
            <w:hideMark/>
          </w:tcPr>
          <w:p w14:paraId="2691B380"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868" w:type="pct"/>
            <w:shd w:val="clear" w:color="CCCCFF" w:fill="BFBFBF"/>
            <w:vAlign w:val="center"/>
            <w:hideMark/>
          </w:tcPr>
          <w:p w14:paraId="3E9FED66" w14:textId="77777777" w:rsidR="00B15F7D" w:rsidRPr="00990FB6" w:rsidRDefault="00B15F7D" w:rsidP="00B15F7D">
            <w:pPr>
              <w:rPr>
                <w:color w:val="000000"/>
                <w:sz w:val="22"/>
                <w:szCs w:val="22"/>
                <w:lang w:eastAsia="es-CR"/>
              </w:rPr>
            </w:pPr>
            <w:r w:rsidRPr="00990FB6">
              <w:rPr>
                <w:color w:val="000000"/>
                <w:sz w:val="22"/>
                <w:szCs w:val="22"/>
                <w:lang w:eastAsia="es-CR"/>
              </w:rPr>
              <w:t xml:space="preserve"> ₡ 107.606.147,00 </w:t>
            </w:r>
          </w:p>
        </w:tc>
        <w:tc>
          <w:tcPr>
            <w:tcW w:w="464" w:type="pct"/>
            <w:shd w:val="clear" w:color="CCCCFF" w:fill="BFBFBF"/>
            <w:vAlign w:val="center"/>
            <w:hideMark/>
          </w:tcPr>
          <w:p w14:paraId="186328DD"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829" w:type="pct"/>
            <w:shd w:val="clear" w:color="CCCCFF" w:fill="BFBFBF"/>
            <w:vAlign w:val="center"/>
            <w:hideMark/>
          </w:tcPr>
          <w:p w14:paraId="2F2372B7" w14:textId="77777777" w:rsidR="00B15F7D" w:rsidRPr="00990FB6" w:rsidRDefault="00B15F7D" w:rsidP="00B15F7D">
            <w:pPr>
              <w:jc w:val="center"/>
              <w:rPr>
                <w:color w:val="000000"/>
                <w:sz w:val="22"/>
                <w:szCs w:val="22"/>
                <w:lang w:eastAsia="es-CR"/>
              </w:rPr>
            </w:pPr>
            <w:r w:rsidRPr="00990FB6">
              <w:rPr>
                <w:color w:val="000000"/>
                <w:sz w:val="22"/>
                <w:szCs w:val="22"/>
                <w:lang w:eastAsia="es-CR"/>
              </w:rPr>
              <w:t> </w:t>
            </w:r>
          </w:p>
        </w:tc>
        <w:tc>
          <w:tcPr>
            <w:tcW w:w="1466" w:type="pct"/>
            <w:shd w:val="clear" w:color="CCCCFF" w:fill="BFBFBF"/>
            <w:vAlign w:val="center"/>
            <w:hideMark/>
          </w:tcPr>
          <w:p w14:paraId="7DF49471" w14:textId="77777777" w:rsidR="00B15F7D" w:rsidRPr="00990FB6" w:rsidRDefault="00B15F7D" w:rsidP="00B15F7D">
            <w:pPr>
              <w:rPr>
                <w:color w:val="000000"/>
                <w:sz w:val="22"/>
                <w:szCs w:val="22"/>
                <w:lang w:eastAsia="es-CR"/>
              </w:rPr>
            </w:pPr>
            <w:r w:rsidRPr="00990FB6">
              <w:rPr>
                <w:color w:val="000000"/>
                <w:sz w:val="22"/>
                <w:szCs w:val="22"/>
                <w:lang w:eastAsia="es-CR"/>
              </w:rPr>
              <w:t> </w:t>
            </w:r>
          </w:p>
        </w:tc>
      </w:tr>
    </w:tbl>
    <w:p w14:paraId="49FBA814" w14:textId="77777777" w:rsidR="00B15F7D" w:rsidRPr="00990FB6" w:rsidRDefault="00B15F7D" w:rsidP="00B15F7D">
      <w:pPr>
        <w:ind w:left="708"/>
        <w:jc w:val="both"/>
        <w:rPr>
          <w:i/>
          <w:iCs/>
          <w:sz w:val="22"/>
          <w:szCs w:val="22"/>
        </w:rPr>
      </w:pPr>
    </w:p>
    <w:p w14:paraId="566BF183" w14:textId="77777777" w:rsidR="00B15F7D" w:rsidRPr="00990FB6" w:rsidRDefault="00B15F7D" w:rsidP="00B15F7D">
      <w:pPr>
        <w:ind w:left="708"/>
        <w:jc w:val="both"/>
        <w:rPr>
          <w:sz w:val="22"/>
          <w:szCs w:val="22"/>
        </w:rPr>
      </w:pPr>
      <w:r w:rsidRPr="00990FB6">
        <w:rPr>
          <w:noProof/>
          <w:sz w:val="22"/>
          <w:szCs w:val="22"/>
          <w:lang w:eastAsia="es-CR"/>
        </w:rPr>
        <w:drawing>
          <wp:anchor distT="0" distB="0" distL="114300" distR="114300" simplePos="0" relativeHeight="251655680" behindDoc="0" locked="0" layoutInCell="1" allowOverlap="1" wp14:anchorId="2463ABAB" wp14:editId="1EBD7B11">
            <wp:simplePos x="0" y="0"/>
            <wp:positionH relativeFrom="column">
              <wp:posOffset>1650365</wp:posOffset>
            </wp:positionH>
            <wp:positionV relativeFrom="paragraph">
              <wp:posOffset>231775</wp:posOffset>
            </wp:positionV>
            <wp:extent cx="901700" cy="594360"/>
            <wp:effectExtent l="0" t="0" r="0" b="0"/>
            <wp:wrapSquare wrapText="right"/>
            <wp:docPr id="1851707183" name="Imagen 185170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01700" cy="594360"/>
                    </a:xfrm>
                    <a:prstGeom prst="rect">
                      <a:avLst/>
                    </a:prstGeom>
                    <a:noFill/>
                  </pic:spPr>
                </pic:pic>
              </a:graphicData>
            </a:graphic>
            <wp14:sizeRelH relativeFrom="page">
              <wp14:pctWidth>0</wp14:pctWidth>
            </wp14:sizeRelH>
            <wp14:sizeRelV relativeFrom="page">
              <wp14:pctHeight>0</wp14:pctHeight>
            </wp14:sizeRelV>
          </wp:anchor>
        </w:drawing>
      </w:r>
      <w:r w:rsidRPr="00990FB6">
        <w:rPr>
          <w:sz w:val="22"/>
          <w:szCs w:val="22"/>
        </w:rPr>
        <w:t>Se adjuntan correos.</w:t>
      </w:r>
    </w:p>
    <w:p w14:paraId="061D1E29" w14:textId="77777777" w:rsidR="00B15F7D" w:rsidRPr="00990FB6" w:rsidRDefault="00B15F7D" w:rsidP="00B15F7D">
      <w:pPr>
        <w:tabs>
          <w:tab w:val="left" w:pos="5387"/>
          <w:tab w:val="left" w:pos="7797"/>
        </w:tabs>
        <w:jc w:val="center"/>
        <w:rPr>
          <w:b/>
          <w:bCs/>
          <w:i/>
          <w:iCs/>
          <w:color w:val="0070C0"/>
          <w:sz w:val="22"/>
          <w:szCs w:val="22"/>
          <w:u w:val="single"/>
        </w:rPr>
      </w:pPr>
      <w:r w:rsidRPr="00990FB6">
        <w:rPr>
          <w:sz w:val="22"/>
          <w:szCs w:val="22"/>
        </w:rPr>
        <w:object w:dxaOrig="2274" w:dyaOrig="1485" w14:anchorId="24D3F7BA">
          <v:shape id="_x0000_i1070" type="#_x0000_t75" style="width:51.5pt;height:36pt" o:ole="">
            <v:imagedata r:id="rId163" o:title=""/>
          </v:shape>
          <o:OLEObject Type="Embed" ProgID="Package" ShapeID="_x0000_i1070" DrawAspect="Icon" ObjectID="_1748679198" r:id="rId164"/>
        </w:object>
      </w:r>
      <w:r w:rsidRPr="00990FB6">
        <w:rPr>
          <w:sz w:val="22"/>
          <w:szCs w:val="22"/>
        </w:rPr>
        <w:br w:type="textWrapping" w:clear="all"/>
      </w:r>
    </w:p>
    <w:p w14:paraId="261AD021" w14:textId="77777777" w:rsidR="00B15F7D" w:rsidRPr="00990FB6" w:rsidRDefault="00B15F7D" w:rsidP="00B15F7D">
      <w:pPr>
        <w:jc w:val="center"/>
        <w:rPr>
          <w:sz w:val="22"/>
          <w:szCs w:val="22"/>
        </w:rPr>
      </w:pPr>
      <w:r w:rsidRPr="00990FB6">
        <w:rPr>
          <w:sz w:val="22"/>
          <w:szCs w:val="22"/>
        </w:rPr>
        <w:t>- 0 -</w:t>
      </w:r>
    </w:p>
    <w:p w14:paraId="6DAF5588" w14:textId="77777777" w:rsidR="00B15F7D" w:rsidRPr="00990FB6" w:rsidRDefault="00B15F7D" w:rsidP="00B15F7D">
      <w:pPr>
        <w:shd w:val="clear" w:color="auto" w:fill="FFFFFF"/>
        <w:ind w:left="851" w:right="900" w:firstLine="565"/>
        <w:jc w:val="both"/>
        <w:rPr>
          <w:b/>
          <w:bCs/>
          <w:sz w:val="22"/>
          <w:szCs w:val="22"/>
        </w:rPr>
      </w:pPr>
    </w:p>
    <w:p w14:paraId="7A71308C" w14:textId="77777777" w:rsidR="00B15F7D" w:rsidRPr="00990FB6" w:rsidRDefault="00B15F7D" w:rsidP="00B15F7D">
      <w:pPr>
        <w:shd w:val="clear" w:color="auto" w:fill="FFFFFF"/>
        <w:ind w:left="851" w:right="900" w:firstLine="565"/>
        <w:jc w:val="both"/>
        <w:rPr>
          <w:sz w:val="22"/>
          <w:szCs w:val="22"/>
        </w:rPr>
      </w:pPr>
      <w:r w:rsidRPr="00990FB6">
        <w:rPr>
          <w:sz w:val="22"/>
          <w:szCs w:val="22"/>
        </w:rPr>
        <w:t xml:space="preserve">En síntesis, de los ¢10.367 millones se presenta el cuadro de las afectaciones por programa, lo cual evidentemente resulta inviable por las afectaciones que se visualizan a la prestación del servicio público, situación ya detallada mediante el oficio 120-P-2023, dirigido al Ministerio de Hacienda el pasado 17 de abril por parte de la Presidencia de la Corte. </w:t>
      </w:r>
    </w:p>
    <w:p w14:paraId="63606BA9" w14:textId="77777777" w:rsidR="00B15F7D" w:rsidRPr="00990FB6" w:rsidRDefault="00B15F7D" w:rsidP="00B15F7D">
      <w:pPr>
        <w:widowControl w:val="0"/>
        <w:autoSpaceDE w:val="0"/>
        <w:autoSpaceDN w:val="0"/>
        <w:adjustRightInd w:val="0"/>
        <w:ind w:left="720"/>
        <w:jc w:val="center"/>
        <w:rPr>
          <w:i/>
          <w:iCs/>
          <w:sz w:val="22"/>
          <w:szCs w:val="22"/>
          <w:lang w:eastAsia="es-CR"/>
        </w:rPr>
      </w:pPr>
    </w:p>
    <w:p w14:paraId="050F1587" w14:textId="77777777" w:rsidR="00B15F7D" w:rsidRPr="00990FB6" w:rsidRDefault="00B15F7D" w:rsidP="00B15F7D">
      <w:pPr>
        <w:widowControl w:val="0"/>
        <w:autoSpaceDE w:val="0"/>
        <w:autoSpaceDN w:val="0"/>
        <w:adjustRightInd w:val="0"/>
        <w:jc w:val="center"/>
        <w:rPr>
          <w:i/>
          <w:iCs/>
          <w:sz w:val="22"/>
          <w:szCs w:val="22"/>
          <w:lang w:eastAsia="es-CR"/>
        </w:rPr>
      </w:pPr>
      <w:r w:rsidRPr="00990FB6">
        <w:rPr>
          <w:i/>
          <w:iCs/>
          <w:sz w:val="22"/>
          <w:szCs w:val="22"/>
          <w:lang w:eastAsia="es-CR"/>
        </w:rPr>
        <w:object w:dxaOrig="1508" w:dyaOrig="984" w14:anchorId="72D3681E">
          <v:shape id="_x0000_i1071" type="#_x0000_t75" style="width:1in;height:51.5pt" o:ole="">
            <v:imagedata r:id="rId165" o:title=""/>
          </v:shape>
          <o:OLEObject Type="Embed" ProgID="Acrobat.Document.DC" ShapeID="_x0000_i1071" DrawAspect="Icon" ObjectID="_1748679199" r:id="rId166"/>
        </w:object>
      </w:r>
    </w:p>
    <w:p w14:paraId="2EB99B6F" w14:textId="77777777" w:rsidR="00B15F7D" w:rsidRPr="00990FB6" w:rsidRDefault="00B15F7D" w:rsidP="00B15F7D">
      <w:pPr>
        <w:widowControl w:val="0"/>
        <w:autoSpaceDE w:val="0"/>
        <w:autoSpaceDN w:val="0"/>
        <w:adjustRightInd w:val="0"/>
        <w:ind w:left="720"/>
        <w:jc w:val="center"/>
        <w:rPr>
          <w:i/>
          <w:iCs/>
          <w:sz w:val="22"/>
          <w:szCs w:val="22"/>
          <w:lang w:eastAsia="es-CR"/>
        </w:rPr>
      </w:pPr>
    </w:p>
    <w:p w14:paraId="218CBE6D" w14:textId="77777777" w:rsidR="00B15F7D" w:rsidRPr="00990FB6" w:rsidRDefault="00B15F7D" w:rsidP="00B15F7D">
      <w:pPr>
        <w:jc w:val="center"/>
        <w:rPr>
          <w:b/>
          <w:iCs/>
          <w:sz w:val="22"/>
          <w:szCs w:val="22"/>
          <w:lang w:eastAsia="es-CR"/>
        </w:rPr>
      </w:pPr>
      <w:r w:rsidRPr="00990FB6">
        <w:rPr>
          <w:b/>
          <w:iCs/>
          <w:sz w:val="22"/>
          <w:szCs w:val="22"/>
          <w:lang w:eastAsia="es-CR"/>
        </w:rPr>
        <w:t>Tabla resumen de rebajos por programa, según gasto corriente y de capital</w:t>
      </w:r>
    </w:p>
    <w:p w14:paraId="2F7231EB" w14:textId="77777777" w:rsidR="00B15F7D" w:rsidRPr="00990FB6" w:rsidRDefault="00B15F7D" w:rsidP="00B15F7D">
      <w:pPr>
        <w:rPr>
          <w:b/>
          <w:bCs/>
          <w:i/>
          <w:iCs/>
          <w:sz w:val="22"/>
          <w:szCs w:val="22"/>
          <w:lang w:eastAsia="es-ES"/>
        </w:rPr>
      </w:pPr>
    </w:p>
    <w:p w14:paraId="4AF1C170" w14:textId="77777777" w:rsidR="00B15F7D" w:rsidRPr="00990FB6" w:rsidRDefault="00B15F7D" w:rsidP="00B15F7D">
      <w:pPr>
        <w:rPr>
          <w:b/>
          <w:bCs/>
          <w:i/>
          <w:iCs/>
          <w:sz w:val="22"/>
          <w:szCs w:val="22"/>
          <w:lang w:eastAsia="es-ES"/>
        </w:rPr>
      </w:pPr>
      <w:r w:rsidRPr="00990FB6">
        <w:rPr>
          <w:noProof/>
          <w:sz w:val="22"/>
          <w:szCs w:val="22"/>
          <w:lang w:eastAsia="es-CR"/>
        </w:rPr>
        <w:lastRenderedPageBreak/>
        <w:drawing>
          <wp:inline distT="0" distB="0" distL="0" distR="0" wp14:anchorId="6626FAA3" wp14:editId="006A39A7">
            <wp:extent cx="5829300" cy="1498600"/>
            <wp:effectExtent l="0" t="0" r="0" b="6350"/>
            <wp:docPr id="1616339607" name="Imagen 161633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29300" cy="1498600"/>
                    </a:xfrm>
                    <a:prstGeom prst="rect">
                      <a:avLst/>
                    </a:prstGeom>
                    <a:noFill/>
                    <a:ln>
                      <a:noFill/>
                    </a:ln>
                  </pic:spPr>
                </pic:pic>
              </a:graphicData>
            </a:graphic>
          </wp:inline>
        </w:drawing>
      </w:r>
    </w:p>
    <w:p w14:paraId="3796C0F3" w14:textId="77777777" w:rsidR="00B15F7D" w:rsidRPr="00990FB6" w:rsidRDefault="00B15F7D" w:rsidP="00B15F7D">
      <w:pPr>
        <w:rPr>
          <w:b/>
          <w:bCs/>
          <w:i/>
          <w:iCs/>
          <w:sz w:val="22"/>
          <w:szCs w:val="22"/>
          <w:lang w:eastAsia="es-ES"/>
        </w:rPr>
      </w:pPr>
    </w:p>
    <w:p w14:paraId="2D750D42" w14:textId="77777777" w:rsidR="00B15F7D" w:rsidRPr="00990FB6" w:rsidRDefault="00B15F7D" w:rsidP="00B15F7D">
      <w:pPr>
        <w:widowControl w:val="0"/>
        <w:autoSpaceDE w:val="0"/>
        <w:autoSpaceDN w:val="0"/>
        <w:adjustRightInd w:val="0"/>
        <w:ind w:firstLine="709"/>
        <w:jc w:val="both"/>
        <w:rPr>
          <w:b/>
          <w:sz w:val="22"/>
          <w:szCs w:val="22"/>
        </w:rPr>
      </w:pPr>
    </w:p>
    <w:p w14:paraId="7E8A74CA" w14:textId="77777777" w:rsidR="00B15F7D" w:rsidRPr="00990FB6" w:rsidRDefault="00B15F7D" w:rsidP="00B15F7D">
      <w:pPr>
        <w:widowControl w:val="0"/>
        <w:autoSpaceDE w:val="0"/>
        <w:autoSpaceDN w:val="0"/>
        <w:adjustRightInd w:val="0"/>
        <w:jc w:val="center"/>
        <w:rPr>
          <w:bCs/>
          <w:sz w:val="22"/>
          <w:szCs w:val="22"/>
        </w:rPr>
      </w:pPr>
      <w:r w:rsidRPr="00990FB6">
        <w:rPr>
          <w:bCs/>
          <w:sz w:val="22"/>
          <w:szCs w:val="22"/>
        </w:rPr>
        <w:t>- 0 -</w:t>
      </w:r>
    </w:p>
    <w:p w14:paraId="20AF6517" w14:textId="77777777" w:rsidR="00B15F7D" w:rsidRPr="00990FB6" w:rsidRDefault="00B15F7D" w:rsidP="00B15F7D">
      <w:pPr>
        <w:jc w:val="both"/>
        <w:rPr>
          <w:b/>
          <w:sz w:val="22"/>
          <w:szCs w:val="22"/>
        </w:rPr>
      </w:pPr>
    </w:p>
    <w:p w14:paraId="03C5F901" w14:textId="77777777" w:rsidR="00B15F7D" w:rsidRPr="00990FB6" w:rsidRDefault="00B15F7D" w:rsidP="00B15F7D">
      <w:pPr>
        <w:ind w:left="851" w:right="900" w:firstLine="708"/>
        <w:jc w:val="both"/>
        <w:rPr>
          <w:sz w:val="22"/>
          <w:szCs w:val="22"/>
        </w:rPr>
      </w:pPr>
      <w:r w:rsidRPr="00990FB6">
        <w:rPr>
          <w:b/>
          <w:sz w:val="22"/>
          <w:szCs w:val="22"/>
        </w:rPr>
        <w:t>Se acordó: 1)</w:t>
      </w:r>
      <w:r w:rsidRPr="00990FB6">
        <w:rPr>
          <w:sz w:val="22"/>
          <w:szCs w:val="22"/>
        </w:rPr>
        <w:t xml:space="preserve"> Tomar nota del análisis realizado por el Organismo de Investigación Judicial, el Ministerio Público, la Defensa Pública, la Dirección de Tecnología de la Información y la Dirección Ejecutiva. </w:t>
      </w:r>
      <w:r w:rsidRPr="00990FB6">
        <w:rPr>
          <w:b/>
          <w:sz w:val="22"/>
          <w:szCs w:val="22"/>
        </w:rPr>
        <w:t>2)</w:t>
      </w:r>
      <w:r w:rsidRPr="00990FB6">
        <w:rPr>
          <w:sz w:val="22"/>
          <w:szCs w:val="22"/>
        </w:rPr>
        <w:t xml:space="preserve"> Reiterar que la solicitud planteada por el Ministerio de Hacienda de rebajar al presupuesto del Poder Judicial la suma de ¢10.367.</w:t>
      </w:r>
      <w:r w:rsidRPr="00990FB6">
        <w:rPr>
          <w:bCs/>
          <w:sz w:val="22"/>
          <w:szCs w:val="22"/>
        </w:rPr>
        <w:t>280.538</w:t>
      </w:r>
      <w:r w:rsidRPr="00990FB6">
        <w:rPr>
          <w:sz w:val="22"/>
          <w:szCs w:val="22"/>
        </w:rPr>
        <w:t xml:space="preserve">.00 </w:t>
      </w:r>
      <w:r w:rsidRPr="00990FB6">
        <w:rPr>
          <w:b/>
          <w:bCs/>
          <w:sz w:val="22"/>
          <w:szCs w:val="22"/>
        </w:rPr>
        <w:t>resulta inviable</w:t>
      </w:r>
      <w:r w:rsidRPr="00990FB6">
        <w:rPr>
          <w:sz w:val="22"/>
          <w:szCs w:val="22"/>
        </w:rPr>
        <w:t xml:space="preserve">, ya que el análisis realizado por cada jefatura demuestra la afectación en la prestación de los servicios básicos del Poder Judicial. </w:t>
      </w:r>
      <w:r w:rsidRPr="00990FB6">
        <w:rPr>
          <w:b/>
          <w:sz w:val="22"/>
          <w:szCs w:val="22"/>
        </w:rPr>
        <w:t>3)</w:t>
      </w:r>
      <w:r w:rsidRPr="00990FB6">
        <w:rPr>
          <w:sz w:val="22"/>
          <w:szCs w:val="22"/>
        </w:rPr>
        <w:t xml:space="preserve"> Se reitera lo comunicado mediante el oficio 120-P-2024 de la Presidencia de la Corte, en el que se sustentan las razones de la inviabilidad del recorte solicitado, lo cual se visualiza con más detalle su afectación en la “</w:t>
      </w:r>
      <w:r w:rsidRPr="00990FB6">
        <w:rPr>
          <w:b/>
          <w:bCs/>
          <w:i/>
          <w:iCs/>
          <w:sz w:val="22"/>
          <w:szCs w:val="22"/>
          <w:lang w:eastAsia="es-CR"/>
        </w:rPr>
        <w:t>Tabla resumen de rebajos por programa, según gasto corriente y de capital</w:t>
      </w:r>
      <w:r w:rsidRPr="00990FB6">
        <w:rPr>
          <w:bCs/>
          <w:sz w:val="22"/>
          <w:szCs w:val="22"/>
          <w:lang w:eastAsia="es-CR"/>
        </w:rPr>
        <w:t>”</w:t>
      </w:r>
      <w:r w:rsidRPr="00990FB6">
        <w:rPr>
          <w:bCs/>
          <w:sz w:val="22"/>
          <w:szCs w:val="22"/>
        </w:rPr>
        <w:t>. I</w:t>
      </w:r>
      <w:r w:rsidRPr="00990FB6">
        <w:rPr>
          <w:sz w:val="22"/>
          <w:szCs w:val="22"/>
        </w:rPr>
        <w:t xml:space="preserve">gualmente, se reitera que la ejecución presupuestaria del Poder Judicial históricamente ha superado más del 95%, lo que demuestra el grado de compromiso y utilización de los recursos en la Institución. </w:t>
      </w:r>
      <w:r w:rsidRPr="00990FB6">
        <w:rPr>
          <w:b/>
          <w:bCs/>
          <w:sz w:val="22"/>
          <w:szCs w:val="22"/>
        </w:rPr>
        <w:t>4)</w:t>
      </w:r>
      <w:r w:rsidRPr="00990FB6">
        <w:rPr>
          <w:sz w:val="22"/>
          <w:szCs w:val="22"/>
        </w:rPr>
        <w:t xml:space="preserve"> En línea con lo anterior </w:t>
      </w:r>
      <w:r w:rsidRPr="00990FB6">
        <w:rPr>
          <w:sz w:val="22"/>
          <w:szCs w:val="22"/>
          <w:shd w:val="clear" w:color="auto" w:fill="FFFFFF"/>
        </w:rPr>
        <w:t xml:space="preserve">aprobar el Anteproyecto de Presupuesto 2024 conforme el escenario 1 conocido y aprobado por el Consejo Superior en la sesión </w:t>
      </w:r>
      <w:r w:rsidRPr="00990FB6">
        <w:rPr>
          <w:snapToGrid w:val="0"/>
          <w:color w:val="000000"/>
          <w:sz w:val="22"/>
          <w:szCs w:val="22"/>
        </w:rPr>
        <w:t xml:space="preserve">39-2023, artículo I, denominado: </w:t>
      </w:r>
      <w:r w:rsidRPr="00990FB6">
        <w:rPr>
          <w:b/>
          <w:bCs/>
          <w:snapToGrid w:val="0"/>
          <w:color w:val="000000"/>
          <w:sz w:val="22"/>
          <w:szCs w:val="22"/>
        </w:rPr>
        <w:t>Presupuesto del Poder Judicial sin ningún crecimiento presupuestario</w:t>
      </w:r>
      <w:r w:rsidRPr="00990FB6">
        <w:rPr>
          <w:snapToGrid w:val="0"/>
          <w:color w:val="000000"/>
          <w:sz w:val="22"/>
          <w:szCs w:val="22"/>
        </w:rPr>
        <w:t xml:space="preserve">, el cual se elaboró ajustado al monto de Ley aprobado para el 2023 </w:t>
      </w:r>
      <w:r w:rsidRPr="00990FB6">
        <w:rPr>
          <w:sz w:val="22"/>
          <w:szCs w:val="22"/>
          <w:shd w:val="clear" w:color="auto" w:fill="FFFFFF"/>
        </w:rPr>
        <w:t>y remitir a la Corte Plena para su discusión y aprobación</w:t>
      </w:r>
      <w:r w:rsidRPr="00990FB6">
        <w:rPr>
          <w:b/>
          <w:bCs/>
          <w:sz w:val="22"/>
          <w:szCs w:val="22"/>
          <w:shd w:val="clear" w:color="auto" w:fill="FFFFFF"/>
        </w:rPr>
        <w:t>.  5)</w:t>
      </w:r>
      <w:r w:rsidRPr="00990FB6">
        <w:rPr>
          <w:sz w:val="22"/>
          <w:szCs w:val="22"/>
          <w:shd w:val="clear" w:color="auto" w:fill="FFFFFF"/>
        </w:rPr>
        <w:t xml:space="preserve"> </w:t>
      </w:r>
      <w:r w:rsidRPr="00990FB6">
        <w:rPr>
          <w:sz w:val="22"/>
          <w:szCs w:val="22"/>
        </w:rPr>
        <w:t>Hacer atenta instancia a la Corte Plena para que el contenido económico actualizado y requerido por las Reformas Legales y otros Informes que se considere pertinentes, se remitan de forma independiente al presupuesto ordinario por la no posibilidad de asignarles recursos dentro del límite presupuestario establecido al Poder Judicial para el 2024.</w:t>
      </w:r>
    </w:p>
    <w:p w14:paraId="5CEE4014" w14:textId="77777777" w:rsidR="00B15F7D" w:rsidRPr="00990FB6" w:rsidRDefault="00B15F7D" w:rsidP="00B15F7D">
      <w:pPr>
        <w:ind w:left="851" w:right="900"/>
        <w:jc w:val="both"/>
        <w:rPr>
          <w:sz w:val="22"/>
          <w:szCs w:val="22"/>
        </w:rPr>
      </w:pPr>
    </w:p>
    <w:p w14:paraId="3B1D1941" w14:textId="17E54140" w:rsidR="00B15F7D" w:rsidRPr="00990FB6" w:rsidRDefault="00B15F7D" w:rsidP="00B15F7D">
      <w:pPr>
        <w:widowControl w:val="0"/>
        <w:autoSpaceDE w:val="0"/>
        <w:autoSpaceDN w:val="0"/>
        <w:adjustRightInd w:val="0"/>
        <w:ind w:left="851" w:right="900" w:firstLine="709"/>
        <w:jc w:val="both"/>
        <w:rPr>
          <w:bCs/>
          <w:sz w:val="22"/>
          <w:szCs w:val="22"/>
          <w:lang w:eastAsia="es-ES"/>
        </w:rPr>
      </w:pPr>
      <w:r w:rsidRPr="00990FB6">
        <w:rPr>
          <w:sz w:val="22"/>
          <w:szCs w:val="22"/>
        </w:rPr>
        <w:t>Hacer este acuerdo de conocimiento de la Corte Plena.</w:t>
      </w:r>
      <w:r w:rsidRPr="00990FB6">
        <w:rPr>
          <w:b/>
          <w:sz w:val="22"/>
          <w:szCs w:val="22"/>
        </w:rPr>
        <w:t xml:space="preserve"> Se declara acuerdo firme.</w:t>
      </w:r>
      <w:bookmarkEnd w:id="73"/>
      <w:bookmarkEnd w:id="74"/>
      <w:r w:rsidRPr="00990FB6">
        <w:rPr>
          <w:bCs/>
          <w:sz w:val="22"/>
          <w:szCs w:val="22"/>
          <w:lang w:eastAsia="es-ES"/>
        </w:rPr>
        <w:t>”</w:t>
      </w:r>
    </w:p>
    <w:p w14:paraId="5104E2C8" w14:textId="77777777" w:rsidR="006E4ED2" w:rsidRPr="00990FB6" w:rsidRDefault="006E4ED2" w:rsidP="00B15F7D">
      <w:pPr>
        <w:widowControl w:val="0"/>
        <w:autoSpaceDE w:val="0"/>
        <w:autoSpaceDN w:val="0"/>
        <w:adjustRightInd w:val="0"/>
        <w:ind w:left="851" w:right="900" w:firstLine="709"/>
        <w:jc w:val="both"/>
        <w:rPr>
          <w:bCs/>
          <w:sz w:val="22"/>
          <w:szCs w:val="22"/>
          <w:lang w:eastAsia="es-ES"/>
        </w:rPr>
      </w:pPr>
    </w:p>
    <w:p w14:paraId="665EB238" w14:textId="0D5BC581" w:rsidR="00B15F7D" w:rsidRPr="00990FB6" w:rsidRDefault="00B15F7D" w:rsidP="00B15F7D">
      <w:pPr>
        <w:jc w:val="center"/>
        <w:rPr>
          <w:bCs/>
          <w:sz w:val="22"/>
          <w:szCs w:val="22"/>
          <w:lang w:val="es-CR"/>
        </w:rPr>
      </w:pPr>
      <w:r w:rsidRPr="00990FB6">
        <w:rPr>
          <w:bCs/>
          <w:sz w:val="22"/>
          <w:szCs w:val="22"/>
          <w:lang w:val="es-CR"/>
        </w:rPr>
        <w:t xml:space="preserve">- 0 </w:t>
      </w:r>
      <w:r w:rsidR="006E4ED2" w:rsidRPr="00990FB6">
        <w:rPr>
          <w:bCs/>
          <w:sz w:val="22"/>
          <w:szCs w:val="22"/>
          <w:lang w:val="es-CR"/>
        </w:rPr>
        <w:t>–</w:t>
      </w:r>
    </w:p>
    <w:p w14:paraId="71DD3F36" w14:textId="77777777" w:rsidR="006E4ED2" w:rsidRPr="00990FB6" w:rsidRDefault="006E4ED2" w:rsidP="00B15F7D">
      <w:pPr>
        <w:jc w:val="center"/>
        <w:rPr>
          <w:bCs/>
          <w:sz w:val="22"/>
          <w:szCs w:val="22"/>
          <w:lang w:val="es-CR"/>
        </w:rPr>
      </w:pPr>
    </w:p>
    <w:p w14:paraId="59E805DA" w14:textId="77777777" w:rsidR="00B15F7D" w:rsidRPr="00990FB6" w:rsidRDefault="00B15F7D" w:rsidP="00B15F7D">
      <w:pPr>
        <w:rPr>
          <w:b/>
          <w:sz w:val="22"/>
          <w:szCs w:val="22"/>
          <w:lang w:val="es-CR"/>
        </w:rPr>
      </w:pPr>
    </w:p>
    <w:p w14:paraId="35357189" w14:textId="14B4A8B4" w:rsidR="00B15F7D" w:rsidRPr="00990FB6" w:rsidRDefault="00B15F7D" w:rsidP="00B15F7D">
      <w:pPr>
        <w:suppressAutoHyphens w:val="0"/>
        <w:ind w:firstLine="709"/>
        <w:jc w:val="both"/>
        <w:rPr>
          <w:bCs/>
          <w:sz w:val="22"/>
          <w:szCs w:val="22"/>
        </w:rPr>
      </w:pPr>
      <w:r w:rsidRPr="00990FB6">
        <w:rPr>
          <w:bCs/>
          <w:sz w:val="22"/>
          <w:szCs w:val="22"/>
        </w:rPr>
        <w:t xml:space="preserve">El Consejo Superior, en sesión </w:t>
      </w:r>
      <w:proofErr w:type="spellStart"/>
      <w:r w:rsidRPr="00990FB6">
        <w:rPr>
          <w:bCs/>
          <w:sz w:val="22"/>
          <w:szCs w:val="22"/>
        </w:rPr>
        <w:t>N°</w:t>
      </w:r>
      <w:proofErr w:type="spellEnd"/>
      <w:r w:rsidRPr="00990FB6">
        <w:rPr>
          <w:bCs/>
          <w:sz w:val="22"/>
          <w:szCs w:val="22"/>
        </w:rPr>
        <w:t xml:space="preserve"> 42-2023 celebrada el 18 de mayo de 2023, artículo XVII, tomó el acuerdo que literalmente dice:</w:t>
      </w:r>
    </w:p>
    <w:p w14:paraId="71B8B5C3" w14:textId="77777777" w:rsidR="006E4ED2" w:rsidRPr="00990FB6" w:rsidRDefault="006E4ED2" w:rsidP="00B15F7D">
      <w:pPr>
        <w:suppressAutoHyphens w:val="0"/>
        <w:ind w:firstLine="709"/>
        <w:jc w:val="both"/>
        <w:rPr>
          <w:bCs/>
          <w:sz w:val="22"/>
          <w:szCs w:val="22"/>
        </w:rPr>
      </w:pPr>
    </w:p>
    <w:p w14:paraId="5E51597A" w14:textId="77777777" w:rsidR="00B15F7D" w:rsidRPr="00990FB6" w:rsidRDefault="00B15F7D" w:rsidP="00B15F7D">
      <w:pPr>
        <w:ind w:left="851" w:right="851" w:firstLine="709"/>
        <w:jc w:val="both"/>
        <w:rPr>
          <w:bCs/>
          <w:sz w:val="22"/>
          <w:szCs w:val="22"/>
        </w:rPr>
      </w:pPr>
      <w:r w:rsidRPr="00990FB6">
        <w:rPr>
          <w:bCs/>
          <w:sz w:val="22"/>
          <w:szCs w:val="22"/>
        </w:rPr>
        <w:lastRenderedPageBreak/>
        <w:t xml:space="preserve">“(…) </w:t>
      </w:r>
      <w:r w:rsidRPr="00990FB6">
        <w:rPr>
          <w:sz w:val="22"/>
          <w:szCs w:val="22"/>
        </w:rPr>
        <w:t xml:space="preserve">Este cambio junto a otros aplicados tanto en la Programación 2023 del Programa 950 como también en los Programas 927 Servicio Jurisdiccional y 930 Defensa Pública, fue puesto en conocimiento del Consejo Superior mediante oficio 242-PLA-PP-2023, el que fue conocido por ese Órgano en sesión N°29-2023, de fecha 13 de abril de 2023, artículo XXXIII y al respecto se dispuso: </w:t>
      </w:r>
    </w:p>
    <w:p w14:paraId="71E28CD0" w14:textId="77777777" w:rsidR="00B15F7D" w:rsidRPr="00990FB6" w:rsidRDefault="00B15F7D" w:rsidP="00B15F7D">
      <w:pPr>
        <w:ind w:left="851" w:right="851" w:firstLine="709"/>
        <w:jc w:val="both"/>
        <w:rPr>
          <w:sz w:val="22"/>
          <w:szCs w:val="22"/>
        </w:rPr>
      </w:pPr>
    </w:p>
    <w:p w14:paraId="1B40EC32" w14:textId="77777777" w:rsidR="00B15F7D" w:rsidRPr="00990FB6" w:rsidRDefault="00B15F7D" w:rsidP="00B15F7D">
      <w:pPr>
        <w:ind w:left="851" w:right="851" w:firstLine="709"/>
        <w:jc w:val="both"/>
        <w:rPr>
          <w:i/>
          <w:iCs/>
          <w:sz w:val="22"/>
          <w:szCs w:val="22"/>
        </w:rPr>
      </w:pPr>
      <w:r w:rsidRPr="00990FB6">
        <w:rPr>
          <w:b/>
          <w:bCs/>
          <w:i/>
          <w:iCs/>
          <w:sz w:val="22"/>
          <w:szCs w:val="22"/>
        </w:rPr>
        <w:t xml:space="preserve">Se acordó: 1.) </w:t>
      </w:r>
      <w:r w:rsidRPr="00990FB6">
        <w:rPr>
          <w:i/>
          <w:iCs/>
          <w:sz w:val="22"/>
          <w:szCs w:val="22"/>
        </w:rPr>
        <w:t xml:space="preserve">Tener por conocido el oficio </w:t>
      </w:r>
      <w:proofErr w:type="spellStart"/>
      <w:r w:rsidRPr="00990FB6">
        <w:rPr>
          <w:i/>
          <w:iCs/>
          <w:sz w:val="22"/>
          <w:szCs w:val="22"/>
        </w:rPr>
        <w:t>N°</w:t>
      </w:r>
      <w:proofErr w:type="spellEnd"/>
      <w:r w:rsidRPr="00990FB6">
        <w:rPr>
          <w:i/>
          <w:iCs/>
          <w:sz w:val="22"/>
          <w:szCs w:val="22"/>
        </w:rPr>
        <w:t xml:space="preserve"> 242-PLA-PP-2023 del 28 de marzo de 2023, suscrito por el máster Erick Antonio Mora Leiva, Jefe del Proceso Planeación y Evaluación y el licenciado Minor Alvarado Chaves, Jefe del Subproceso de Formulación de Presupuesto y Portafolio de Proyectos Institucional, ambos de la Dirección de Planificación, referente a las modificaciones por reprogramación presupuestaria. </w:t>
      </w:r>
      <w:r w:rsidRPr="00990FB6">
        <w:rPr>
          <w:b/>
          <w:bCs/>
          <w:i/>
          <w:iCs/>
          <w:sz w:val="22"/>
          <w:szCs w:val="22"/>
        </w:rPr>
        <w:t>2.)</w:t>
      </w:r>
      <w:r w:rsidRPr="00990FB6">
        <w:rPr>
          <w:i/>
          <w:iCs/>
          <w:sz w:val="22"/>
          <w:szCs w:val="22"/>
        </w:rPr>
        <w:t xml:space="preserve"> Acoger en todos sus extremos las recomendaciones sugeridas, en consecuencia: Aprobar la reprogramación de los programas 927 Servicio Jurisdiccional, 930 Defensa Pública y 950 Servicio de Atención y Protección de Víctimas y Testigos, conforme al detalle que se incorpora en las tablas aportadas. </w:t>
      </w:r>
      <w:r w:rsidRPr="00990FB6">
        <w:rPr>
          <w:b/>
          <w:bCs/>
          <w:i/>
          <w:iCs/>
          <w:sz w:val="22"/>
          <w:szCs w:val="22"/>
        </w:rPr>
        <w:t>3.)</w:t>
      </w:r>
      <w:r w:rsidRPr="00990FB6">
        <w:rPr>
          <w:i/>
          <w:iCs/>
          <w:sz w:val="22"/>
          <w:szCs w:val="22"/>
        </w:rPr>
        <w:t xml:space="preserve"> Notifíquese a la Dirección General de Presupuesto Nacional del Ministerio de Hacienda. </w:t>
      </w:r>
      <w:r w:rsidRPr="00990FB6">
        <w:rPr>
          <w:b/>
          <w:bCs/>
          <w:i/>
          <w:iCs/>
          <w:sz w:val="22"/>
          <w:szCs w:val="22"/>
        </w:rPr>
        <w:t>4.)</w:t>
      </w:r>
      <w:r w:rsidRPr="00990FB6">
        <w:rPr>
          <w:i/>
          <w:iCs/>
          <w:sz w:val="22"/>
          <w:szCs w:val="22"/>
        </w:rPr>
        <w:t xml:space="preserve"> Hacer este acuerdo de conocimiento de la Dirección de Gestión Humana y de la Dirección Ejecutiva.</w:t>
      </w:r>
    </w:p>
    <w:p w14:paraId="24B1EB8B" w14:textId="77777777" w:rsidR="00B15F7D" w:rsidRPr="00990FB6" w:rsidRDefault="00B15F7D" w:rsidP="00B15F7D">
      <w:pPr>
        <w:ind w:left="851" w:right="851" w:firstLine="709"/>
        <w:jc w:val="both"/>
        <w:rPr>
          <w:b/>
          <w:bCs/>
          <w:i/>
          <w:iCs/>
          <w:sz w:val="22"/>
          <w:szCs w:val="22"/>
        </w:rPr>
      </w:pPr>
    </w:p>
    <w:p w14:paraId="58A601DF" w14:textId="77777777" w:rsidR="00B15F7D" w:rsidRPr="00990FB6" w:rsidRDefault="00B15F7D" w:rsidP="00B15F7D">
      <w:pPr>
        <w:ind w:left="851" w:right="851" w:firstLine="709"/>
        <w:jc w:val="both"/>
        <w:rPr>
          <w:sz w:val="22"/>
          <w:szCs w:val="22"/>
        </w:rPr>
      </w:pPr>
      <w:r w:rsidRPr="00990FB6">
        <w:rPr>
          <w:sz w:val="22"/>
          <w:szCs w:val="22"/>
        </w:rPr>
        <w:t>El nuevo indicador originalmente se había planteado de la siguiente forma:</w:t>
      </w:r>
    </w:p>
    <w:p w14:paraId="73A2A1B3" w14:textId="77777777" w:rsidR="00B15F7D" w:rsidRPr="00990FB6" w:rsidRDefault="00B15F7D" w:rsidP="00B15F7D">
      <w:pPr>
        <w:ind w:left="851" w:right="851" w:firstLine="709"/>
        <w:jc w:val="both"/>
        <w:rPr>
          <w:sz w:val="22"/>
          <w:szCs w:val="22"/>
        </w:rPr>
      </w:pPr>
    </w:p>
    <w:tbl>
      <w:tblPr>
        <w:tblW w:w="0" w:type="auto"/>
        <w:jc w:val="center"/>
        <w:tblCellMar>
          <w:left w:w="70" w:type="dxa"/>
          <w:right w:w="70" w:type="dxa"/>
        </w:tblCellMar>
        <w:tblLook w:val="04A0" w:firstRow="1" w:lastRow="0" w:firstColumn="1" w:lastColumn="0" w:noHBand="0" w:noVBand="1"/>
      </w:tblPr>
      <w:tblGrid>
        <w:gridCol w:w="990"/>
        <w:gridCol w:w="868"/>
        <w:gridCol w:w="1271"/>
        <w:gridCol w:w="1230"/>
        <w:gridCol w:w="1231"/>
        <w:gridCol w:w="414"/>
        <w:gridCol w:w="1231"/>
        <w:gridCol w:w="310"/>
        <w:gridCol w:w="310"/>
        <w:gridCol w:w="310"/>
        <w:gridCol w:w="310"/>
        <w:gridCol w:w="310"/>
        <w:gridCol w:w="310"/>
        <w:gridCol w:w="310"/>
      </w:tblGrid>
      <w:tr w:rsidR="00B15F7D" w:rsidRPr="00990FB6" w14:paraId="25275E04" w14:textId="77777777" w:rsidTr="000A0C22">
        <w:trPr>
          <w:trHeight w:val="239"/>
          <w:jc w:val="center"/>
        </w:trPr>
        <w:tc>
          <w:tcPr>
            <w:tcW w:w="0" w:type="auto"/>
            <w:tcBorders>
              <w:top w:val="nil"/>
              <w:left w:val="nil"/>
              <w:bottom w:val="nil"/>
              <w:right w:val="nil"/>
            </w:tcBorders>
            <w:shd w:val="clear" w:color="auto" w:fill="auto"/>
            <w:hideMark/>
          </w:tcPr>
          <w:p w14:paraId="41223A20" w14:textId="77777777" w:rsidR="00B15F7D" w:rsidRPr="00990FB6" w:rsidRDefault="00B15F7D" w:rsidP="00B15F7D">
            <w:pPr>
              <w:jc w:val="center"/>
              <w:rPr>
                <w:b/>
                <w:bCs/>
                <w:sz w:val="22"/>
                <w:szCs w:val="22"/>
                <w:lang w:eastAsia="es-CR"/>
              </w:rPr>
            </w:pPr>
            <w:r w:rsidRPr="00990FB6">
              <w:rPr>
                <w:b/>
                <w:bCs/>
                <w:sz w:val="22"/>
                <w:szCs w:val="22"/>
                <w:lang w:eastAsia="es-CR"/>
              </w:rPr>
              <w:t>#</w:t>
            </w:r>
          </w:p>
        </w:tc>
        <w:tc>
          <w:tcPr>
            <w:tcW w:w="0" w:type="auto"/>
            <w:tcBorders>
              <w:top w:val="nil"/>
              <w:left w:val="nil"/>
              <w:bottom w:val="nil"/>
              <w:right w:val="nil"/>
            </w:tcBorders>
            <w:shd w:val="clear" w:color="auto" w:fill="auto"/>
            <w:hideMark/>
          </w:tcPr>
          <w:p w14:paraId="591CBF41" w14:textId="77777777" w:rsidR="00B15F7D" w:rsidRPr="00990FB6" w:rsidRDefault="00B15F7D" w:rsidP="00B15F7D">
            <w:pPr>
              <w:rPr>
                <w:b/>
                <w:bCs/>
                <w:sz w:val="22"/>
                <w:szCs w:val="22"/>
                <w:lang w:eastAsia="es-CR"/>
              </w:rPr>
            </w:pPr>
            <w:r w:rsidRPr="00990FB6">
              <w:rPr>
                <w:b/>
                <w:bCs/>
                <w:sz w:val="22"/>
                <w:szCs w:val="22"/>
                <w:lang w:eastAsia="es-CR"/>
              </w:rPr>
              <w:t>Tipo</w:t>
            </w:r>
          </w:p>
        </w:tc>
        <w:tc>
          <w:tcPr>
            <w:tcW w:w="0" w:type="auto"/>
            <w:tcBorders>
              <w:top w:val="nil"/>
              <w:left w:val="nil"/>
              <w:bottom w:val="nil"/>
              <w:right w:val="nil"/>
            </w:tcBorders>
            <w:shd w:val="clear" w:color="auto" w:fill="auto"/>
            <w:hideMark/>
          </w:tcPr>
          <w:p w14:paraId="3EE21474" w14:textId="77777777" w:rsidR="00B15F7D" w:rsidRPr="00990FB6" w:rsidRDefault="00B15F7D" w:rsidP="00B15F7D">
            <w:pPr>
              <w:rPr>
                <w:b/>
                <w:bCs/>
                <w:sz w:val="22"/>
                <w:szCs w:val="22"/>
                <w:lang w:eastAsia="es-CR"/>
              </w:rPr>
            </w:pPr>
            <w:r w:rsidRPr="00990FB6">
              <w:rPr>
                <w:b/>
                <w:bCs/>
                <w:sz w:val="22"/>
                <w:szCs w:val="22"/>
                <w:lang w:eastAsia="es-CR"/>
              </w:rPr>
              <w:t>Dimensión</w:t>
            </w:r>
          </w:p>
        </w:tc>
        <w:tc>
          <w:tcPr>
            <w:tcW w:w="0" w:type="auto"/>
            <w:gridSpan w:val="11"/>
            <w:tcBorders>
              <w:top w:val="nil"/>
              <w:left w:val="nil"/>
              <w:bottom w:val="nil"/>
              <w:right w:val="nil"/>
            </w:tcBorders>
            <w:shd w:val="clear" w:color="auto" w:fill="auto"/>
            <w:hideMark/>
          </w:tcPr>
          <w:p w14:paraId="023778F1" w14:textId="77777777" w:rsidR="00B15F7D" w:rsidRPr="00990FB6" w:rsidRDefault="00B15F7D" w:rsidP="00B15F7D">
            <w:pPr>
              <w:rPr>
                <w:b/>
                <w:bCs/>
                <w:sz w:val="22"/>
                <w:szCs w:val="22"/>
                <w:lang w:eastAsia="es-CR"/>
              </w:rPr>
            </w:pPr>
            <w:r w:rsidRPr="00990FB6">
              <w:rPr>
                <w:b/>
                <w:bCs/>
                <w:sz w:val="22"/>
                <w:szCs w:val="22"/>
                <w:lang w:eastAsia="es-CR"/>
              </w:rPr>
              <w:t>Indicador</w:t>
            </w:r>
          </w:p>
        </w:tc>
      </w:tr>
      <w:tr w:rsidR="00B15F7D" w:rsidRPr="00990FB6" w14:paraId="3FE939B5" w14:textId="77777777" w:rsidTr="000A0C22">
        <w:trPr>
          <w:trHeight w:val="883"/>
          <w:jc w:val="center"/>
        </w:trPr>
        <w:tc>
          <w:tcPr>
            <w:tcW w:w="0" w:type="auto"/>
            <w:tcBorders>
              <w:top w:val="single" w:sz="8" w:space="0" w:color="000000"/>
              <w:left w:val="nil"/>
              <w:bottom w:val="nil"/>
              <w:right w:val="nil"/>
            </w:tcBorders>
            <w:shd w:val="clear" w:color="auto" w:fill="auto"/>
            <w:hideMark/>
          </w:tcPr>
          <w:p w14:paraId="724E763A" w14:textId="77777777" w:rsidR="00B15F7D" w:rsidRPr="00990FB6" w:rsidRDefault="00B15F7D" w:rsidP="00B15F7D">
            <w:pPr>
              <w:rPr>
                <w:sz w:val="22"/>
                <w:szCs w:val="22"/>
                <w:lang w:eastAsia="es-CR"/>
              </w:rPr>
            </w:pPr>
            <w:r w:rsidRPr="00990FB6">
              <w:rPr>
                <w:sz w:val="22"/>
                <w:szCs w:val="22"/>
                <w:lang w:eastAsia="es-CR"/>
              </w:rPr>
              <w:t>PF.01.04.</w:t>
            </w:r>
          </w:p>
        </w:tc>
        <w:tc>
          <w:tcPr>
            <w:tcW w:w="0" w:type="auto"/>
            <w:tcBorders>
              <w:top w:val="single" w:sz="8" w:space="0" w:color="000000"/>
              <w:left w:val="nil"/>
              <w:bottom w:val="nil"/>
              <w:right w:val="nil"/>
            </w:tcBorders>
            <w:shd w:val="clear" w:color="auto" w:fill="auto"/>
            <w:hideMark/>
          </w:tcPr>
          <w:p w14:paraId="471A7772" w14:textId="77777777" w:rsidR="00B15F7D" w:rsidRPr="00990FB6" w:rsidRDefault="00B15F7D" w:rsidP="00B15F7D">
            <w:pPr>
              <w:rPr>
                <w:sz w:val="22"/>
                <w:szCs w:val="22"/>
                <w:lang w:eastAsia="es-CR"/>
              </w:rPr>
            </w:pPr>
            <w:r w:rsidRPr="00990FB6">
              <w:rPr>
                <w:sz w:val="22"/>
                <w:szCs w:val="22"/>
                <w:lang w:eastAsia="es-CR"/>
              </w:rPr>
              <w:t>Gestión</w:t>
            </w:r>
          </w:p>
        </w:tc>
        <w:tc>
          <w:tcPr>
            <w:tcW w:w="0" w:type="auto"/>
            <w:tcBorders>
              <w:top w:val="single" w:sz="8" w:space="0" w:color="000000"/>
              <w:left w:val="nil"/>
              <w:bottom w:val="nil"/>
              <w:right w:val="nil"/>
            </w:tcBorders>
            <w:shd w:val="clear" w:color="auto" w:fill="auto"/>
            <w:hideMark/>
          </w:tcPr>
          <w:p w14:paraId="5D652B4D" w14:textId="77777777" w:rsidR="00B15F7D" w:rsidRPr="00990FB6" w:rsidRDefault="00B15F7D" w:rsidP="00B15F7D">
            <w:pPr>
              <w:rPr>
                <w:sz w:val="22"/>
                <w:szCs w:val="22"/>
                <w:lang w:eastAsia="es-CR"/>
              </w:rPr>
            </w:pPr>
            <w:r w:rsidRPr="00990FB6">
              <w:rPr>
                <w:sz w:val="22"/>
                <w:szCs w:val="22"/>
                <w:lang w:eastAsia="es-CR"/>
              </w:rPr>
              <w:t>Eficacia</w:t>
            </w:r>
          </w:p>
        </w:tc>
        <w:tc>
          <w:tcPr>
            <w:tcW w:w="0" w:type="auto"/>
            <w:gridSpan w:val="11"/>
            <w:tcBorders>
              <w:top w:val="single" w:sz="8" w:space="0" w:color="000000"/>
              <w:left w:val="nil"/>
              <w:bottom w:val="nil"/>
              <w:right w:val="nil"/>
            </w:tcBorders>
            <w:shd w:val="clear" w:color="auto" w:fill="auto"/>
            <w:hideMark/>
          </w:tcPr>
          <w:p w14:paraId="0D3B0F7A" w14:textId="77777777" w:rsidR="00B15F7D" w:rsidRPr="00990FB6" w:rsidRDefault="00B15F7D" w:rsidP="00B15F7D">
            <w:pPr>
              <w:ind w:right="-40"/>
              <w:jc w:val="both"/>
              <w:rPr>
                <w:sz w:val="22"/>
                <w:szCs w:val="22"/>
              </w:rPr>
            </w:pPr>
            <w:r w:rsidRPr="00990FB6">
              <w:rPr>
                <w:sz w:val="22"/>
                <w:szCs w:val="22"/>
              </w:rPr>
              <w:t>Monitoreo presencial a por lo menos uno de los líderes indígenas víctimas depositarios de medidas cautelares, por parte del personal de la Unidad de Protección de Víctimas.</w:t>
            </w:r>
          </w:p>
          <w:p w14:paraId="2DCD8161" w14:textId="77777777" w:rsidR="00B15F7D" w:rsidRPr="00990FB6" w:rsidRDefault="00B15F7D" w:rsidP="00B15F7D">
            <w:pPr>
              <w:rPr>
                <w:sz w:val="22"/>
                <w:szCs w:val="22"/>
                <w:lang w:eastAsia="es-CR"/>
              </w:rPr>
            </w:pPr>
          </w:p>
        </w:tc>
      </w:tr>
      <w:tr w:rsidR="00B15F7D" w:rsidRPr="00990FB6" w14:paraId="77F07AC1" w14:textId="77777777" w:rsidTr="000A0C22">
        <w:trPr>
          <w:trHeight w:val="239"/>
          <w:jc w:val="center"/>
        </w:trPr>
        <w:tc>
          <w:tcPr>
            <w:tcW w:w="0" w:type="auto"/>
            <w:tcBorders>
              <w:top w:val="nil"/>
              <w:left w:val="nil"/>
              <w:bottom w:val="nil"/>
              <w:right w:val="nil"/>
            </w:tcBorders>
            <w:shd w:val="clear" w:color="auto" w:fill="auto"/>
            <w:hideMark/>
          </w:tcPr>
          <w:p w14:paraId="7157BBED" w14:textId="77777777" w:rsidR="00B15F7D" w:rsidRPr="00990FB6" w:rsidRDefault="00B15F7D" w:rsidP="00B15F7D">
            <w:pPr>
              <w:rPr>
                <w:sz w:val="22"/>
                <w:szCs w:val="22"/>
                <w:lang w:eastAsia="es-CR"/>
              </w:rPr>
            </w:pPr>
          </w:p>
        </w:tc>
        <w:tc>
          <w:tcPr>
            <w:tcW w:w="0" w:type="auto"/>
            <w:gridSpan w:val="13"/>
            <w:tcBorders>
              <w:top w:val="nil"/>
              <w:left w:val="nil"/>
              <w:bottom w:val="single" w:sz="8" w:space="0" w:color="000000"/>
              <w:right w:val="nil"/>
            </w:tcBorders>
            <w:shd w:val="clear" w:color="auto" w:fill="auto"/>
            <w:hideMark/>
          </w:tcPr>
          <w:p w14:paraId="4DD177DF" w14:textId="77777777" w:rsidR="00B15F7D" w:rsidRPr="00990FB6" w:rsidRDefault="00B15F7D" w:rsidP="00B15F7D">
            <w:pPr>
              <w:jc w:val="center"/>
              <w:rPr>
                <w:b/>
                <w:bCs/>
                <w:sz w:val="22"/>
                <w:szCs w:val="22"/>
                <w:lang w:eastAsia="es-CR"/>
              </w:rPr>
            </w:pPr>
            <w:r w:rsidRPr="00990FB6">
              <w:rPr>
                <w:b/>
                <w:bCs/>
                <w:sz w:val="22"/>
                <w:szCs w:val="22"/>
                <w:lang w:eastAsia="es-CR"/>
              </w:rPr>
              <w:t>Metas</w:t>
            </w:r>
          </w:p>
        </w:tc>
      </w:tr>
      <w:tr w:rsidR="00B15F7D" w:rsidRPr="00990FB6" w14:paraId="49689A33" w14:textId="77777777" w:rsidTr="000A0C22">
        <w:trPr>
          <w:trHeight w:val="239"/>
          <w:jc w:val="center"/>
        </w:trPr>
        <w:tc>
          <w:tcPr>
            <w:tcW w:w="0" w:type="auto"/>
            <w:tcBorders>
              <w:top w:val="nil"/>
              <w:left w:val="nil"/>
              <w:bottom w:val="nil"/>
              <w:right w:val="nil"/>
            </w:tcBorders>
            <w:shd w:val="clear" w:color="auto" w:fill="auto"/>
            <w:hideMark/>
          </w:tcPr>
          <w:p w14:paraId="5FA228A9" w14:textId="77777777" w:rsidR="00B15F7D" w:rsidRPr="00990FB6" w:rsidRDefault="00B15F7D" w:rsidP="00B15F7D">
            <w:pPr>
              <w:jc w:val="center"/>
              <w:rPr>
                <w:b/>
                <w:bCs/>
                <w:sz w:val="22"/>
                <w:szCs w:val="22"/>
                <w:lang w:eastAsia="es-CR"/>
              </w:rPr>
            </w:pPr>
          </w:p>
        </w:tc>
        <w:tc>
          <w:tcPr>
            <w:tcW w:w="0" w:type="auto"/>
            <w:tcBorders>
              <w:top w:val="single" w:sz="8" w:space="0" w:color="000000"/>
              <w:left w:val="nil"/>
              <w:bottom w:val="single" w:sz="8" w:space="0" w:color="000000"/>
              <w:right w:val="nil"/>
            </w:tcBorders>
            <w:shd w:val="clear" w:color="auto" w:fill="auto"/>
            <w:hideMark/>
          </w:tcPr>
          <w:p w14:paraId="6AFEC09F" w14:textId="77777777" w:rsidR="00B15F7D" w:rsidRPr="00990FB6" w:rsidRDefault="00B15F7D" w:rsidP="00B15F7D">
            <w:pPr>
              <w:jc w:val="center"/>
              <w:rPr>
                <w:b/>
                <w:bCs/>
                <w:sz w:val="22"/>
                <w:szCs w:val="22"/>
                <w:lang w:eastAsia="es-CR"/>
              </w:rPr>
            </w:pPr>
            <w:r w:rsidRPr="00990FB6">
              <w:rPr>
                <w:b/>
                <w:bCs/>
                <w:sz w:val="22"/>
                <w:szCs w:val="22"/>
                <w:lang w:eastAsia="es-CR"/>
              </w:rPr>
              <w:t xml:space="preserve">Línea Base </w:t>
            </w:r>
          </w:p>
        </w:tc>
        <w:tc>
          <w:tcPr>
            <w:tcW w:w="0" w:type="auto"/>
            <w:tcBorders>
              <w:top w:val="single" w:sz="8" w:space="0" w:color="000000"/>
              <w:left w:val="nil"/>
              <w:bottom w:val="single" w:sz="8" w:space="0" w:color="000000"/>
              <w:right w:val="nil"/>
            </w:tcBorders>
            <w:shd w:val="clear" w:color="auto" w:fill="auto"/>
            <w:vAlign w:val="bottom"/>
            <w:hideMark/>
          </w:tcPr>
          <w:p w14:paraId="4A307CD0" w14:textId="77777777" w:rsidR="00B15F7D" w:rsidRPr="00990FB6" w:rsidRDefault="00B15F7D" w:rsidP="00B15F7D">
            <w:pPr>
              <w:jc w:val="center"/>
              <w:rPr>
                <w:b/>
                <w:bCs/>
                <w:sz w:val="22"/>
                <w:szCs w:val="22"/>
                <w:lang w:eastAsia="es-CR"/>
              </w:rPr>
            </w:pPr>
            <w:r w:rsidRPr="00990FB6">
              <w:rPr>
                <w:b/>
                <w:bCs/>
                <w:sz w:val="22"/>
                <w:szCs w:val="22"/>
                <w:lang w:eastAsia="es-CR"/>
              </w:rPr>
              <w:t>2023</w:t>
            </w:r>
          </w:p>
        </w:tc>
        <w:tc>
          <w:tcPr>
            <w:tcW w:w="0" w:type="auto"/>
            <w:tcBorders>
              <w:top w:val="single" w:sz="8" w:space="0" w:color="000000"/>
              <w:left w:val="nil"/>
              <w:bottom w:val="single" w:sz="8" w:space="0" w:color="000000"/>
              <w:right w:val="nil"/>
            </w:tcBorders>
            <w:shd w:val="clear" w:color="auto" w:fill="auto"/>
            <w:vAlign w:val="bottom"/>
            <w:hideMark/>
          </w:tcPr>
          <w:p w14:paraId="41310484" w14:textId="77777777" w:rsidR="00B15F7D" w:rsidRPr="00990FB6" w:rsidRDefault="00B15F7D" w:rsidP="00B15F7D">
            <w:pPr>
              <w:jc w:val="center"/>
              <w:rPr>
                <w:b/>
                <w:bCs/>
                <w:sz w:val="22"/>
                <w:szCs w:val="22"/>
                <w:lang w:eastAsia="es-CR"/>
              </w:rPr>
            </w:pPr>
            <w:r w:rsidRPr="00990FB6">
              <w:rPr>
                <w:b/>
                <w:bCs/>
                <w:sz w:val="22"/>
                <w:szCs w:val="22"/>
                <w:lang w:eastAsia="es-CR"/>
              </w:rPr>
              <w:t>2024</w:t>
            </w:r>
          </w:p>
        </w:tc>
        <w:tc>
          <w:tcPr>
            <w:tcW w:w="0" w:type="auto"/>
            <w:tcBorders>
              <w:top w:val="single" w:sz="8" w:space="0" w:color="000000"/>
              <w:left w:val="nil"/>
              <w:bottom w:val="single" w:sz="8" w:space="0" w:color="000000"/>
              <w:right w:val="nil"/>
            </w:tcBorders>
            <w:shd w:val="clear" w:color="auto" w:fill="auto"/>
            <w:vAlign w:val="bottom"/>
            <w:hideMark/>
          </w:tcPr>
          <w:p w14:paraId="10870456" w14:textId="77777777" w:rsidR="00B15F7D" w:rsidRPr="00990FB6" w:rsidRDefault="00B15F7D" w:rsidP="00B15F7D">
            <w:pPr>
              <w:jc w:val="center"/>
              <w:rPr>
                <w:b/>
                <w:bCs/>
                <w:sz w:val="22"/>
                <w:szCs w:val="22"/>
                <w:lang w:eastAsia="es-CR"/>
              </w:rPr>
            </w:pPr>
            <w:r w:rsidRPr="00990FB6">
              <w:rPr>
                <w:b/>
                <w:bCs/>
                <w:sz w:val="22"/>
                <w:szCs w:val="22"/>
                <w:lang w:eastAsia="es-CR"/>
              </w:rPr>
              <w:t>2025</w:t>
            </w:r>
          </w:p>
        </w:tc>
        <w:tc>
          <w:tcPr>
            <w:tcW w:w="0" w:type="auto"/>
            <w:tcBorders>
              <w:top w:val="single" w:sz="8" w:space="0" w:color="000000"/>
              <w:left w:val="nil"/>
              <w:bottom w:val="single" w:sz="8" w:space="0" w:color="000000"/>
              <w:right w:val="nil"/>
            </w:tcBorders>
            <w:shd w:val="clear" w:color="auto" w:fill="auto"/>
            <w:vAlign w:val="bottom"/>
            <w:hideMark/>
          </w:tcPr>
          <w:p w14:paraId="26BE1C8D" w14:textId="77777777" w:rsidR="00B15F7D" w:rsidRPr="00990FB6" w:rsidRDefault="00B15F7D" w:rsidP="00B15F7D">
            <w:pPr>
              <w:rPr>
                <w:b/>
                <w:bCs/>
                <w:sz w:val="22"/>
                <w:szCs w:val="22"/>
                <w:lang w:eastAsia="es-CR"/>
              </w:rPr>
            </w:pPr>
            <w:r w:rsidRPr="00990FB6">
              <w:rPr>
                <w:b/>
                <w:bCs/>
                <w:sz w:val="22"/>
                <w:szCs w:val="22"/>
                <w:lang w:eastAsia="es-CR"/>
              </w:rPr>
              <w:t> </w:t>
            </w:r>
          </w:p>
        </w:tc>
        <w:tc>
          <w:tcPr>
            <w:tcW w:w="0" w:type="auto"/>
            <w:tcBorders>
              <w:top w:val="single" w:sz="8" w:space="0" w:color="auto"/>
              <w:left w:val="nil"/>
              <w:bottom w:val="single" w:sz="8" w:space="0" w:color="auto"/>
              <w:right w:val="nil"/>
            </w:tcBorders>
            <w:shd w:val="clear" w:color="auto" w:fill="auto"/>
            <w:vAlign w:val="bottom"/>
            <w:hideMark/>
          </w:tcPr>
          <w:p w14:paraId="665A27BC" w14:textId="77777777" w:rsidR="00B15F7D" w:rsidRPr="00990FB6" w:rsidRDefault="00B15F7D" w:rsidP="00B15F7D">
            <w:pPr>
              <w:jc w:val="center"/>
              <w:rPr>
                <w:b/>
                <w:bCs/>
                <w:sz w:val="22"/>
                <w:szCs w:val="22"/>
                <w:lang w:eastAsia="es-CR"/>
              </w:rPr>
            </w:pPr>
            <w:r w:rsidRPr="00990FB6">
              <w:rPr>
                <w:b/>
                <w:bCs/>
                <w:sz w:val="22"/>
                <w:szCs w:val="22"/>
                <w:lang w:eastAsia="es-CR"/>
              </w:rPr>
              <w:t>2026</w:t>
            </w:r>
          </w:p>
        </w:tc>
        <w:tc>
          <w:tcPr>
            <w:tcW w:w="0" w:type="auto"/>
            <w:tcBorders>
              <w:top w:val="nil"/>
              <w:left w:val="nil"/>
              <w:bottom w:val="nil"/>
              <w:right w:val="nil"/>
            </w:tcBorders>
            <w:shd w:val="clear" w:color="auto" w:fill="auto"/>
            <w:vAlign w:val="bottom"/>
            <w:hideMark/>
          </w:tcPr>
          <w:p w14:paraId="2BB34152" w14:textId="77777777" w:rsidR="00B15F7D" w:rsidRPr="00990FB6" w:rsidRDefault="00B15F7D" w:rsidP="00B15F7D">
            <w:pPr>
              <w:jc w:val="center"/>
              <w:rPr>
                <w:b/>
                <w:bCs/>
                <w:sz w:val="22"/>
                <w:szCs w:val="22"/>
                <w:lang w:eastAsia="es-CR"/>
              </w:rPr>
            </w:pPr>
          </w:p>
        </w:tc>
        <w:tc>
          <w:tcPr>
            <w:tcW w:w="0" w:type="auto"/>
            <w:tcBorders>
              <w:top w:val="nil"/>
              <w:left w:val="nil"/>
              <w:bottom w:val="nil"/>
              <w:right w:val="nil"/>
            </w:tcBorders>
            <w:shd w:val="clear" w:color="auto" w:fill="auto"/>
            <w:vAlign w:val="bottom"/>
            <w:hideMark/>
          </w:tcPr>
          <w:p w14:paraId="16DDC175"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vAlign w:val="bottom"/>
            <w:hideMark/>
          </w:tcPr>
          <w:p w14:paraId="545350BD" w14:textId="77777777" w:rsidR="00B15F7D" w:rsidRPr="00990FB6" w:rsidRDefault="00B15F7D" w:rsidP="00B15F7D">
            <w:pPr>
              <w:rPr>
                <w:sz w:val="22"/>
                <w:szCs w:val="22"/>
                <w:lang w:eastAsia="es-CR"/>
              </w:rPr>
            </w:pPr>
          </w:p>
        </w:tc>
        <w:tc>
          <w:tcPr>
            <w:tcW w:w="0" w:type="auto"/>
            <w:gridSpan w:val="2"/>
            <w:tcBorders>
              <w:top w:val="nil"/>
              <w:left w:val="nil"/>
              <w:bottom w:val="nil"/>
              <w:right w:val="nil"/>
            </w:tcBorders>
            <w:shd w:val="clear" w:color="auto" w:fill="auto"/>
            <w:hideMark/>
          </w:tcPr>
          <w:p w14:paraId="1B4D3515" w14:textId="77777777" w:rsidR="00B15F7D" w:rsidRPr="00990FB6" w:rsidRDefault="00B15F7D" w:rsidP="00B15F7D">
            <w:pPr>
              <w:rPr>
                <w:sz w:val="22"/>
                <w:szCs w:val="22"/>
                <w:lang w:eastAsia="es-CR"/>
              </w:rPr>
            </w:pPr>
          </w:p>
        </w:tc>
        <w:tc>
          <w:tcPr>
            <w:tcW w:w="0" w:type="auto"/>
            <w:gridSpan w:val="2"/>
            <w:tcBorders>
              <w:top w:val="nil"/>
              <w:left w:val="nil"/>
              <w:bottom w:val="nil"/>
              <w:right w:val="nil"/>
            </w:tcBorders>
            <w:shd w:val="clear" w:color="auto" w:fill="auto"/>
            <w:hideMark/>
          </w:tcPr>
          <w:p w14:paraId="7BFA38F9" w14:textId="77777777" w:rsidR="00B15F7D" w:rsidRPr="00990FB6" w:rsidRDefault="00B15F7D" w:rsidP="00B15F7D">
            <w:pPr>
              <w:rPr>
                <w:sz w:val="22"/>
                <w:szCs w:val="22"/>
                <w:lang w:eastAsia="es-CR"/>
              </w:rPr>
            </w:pPr>
          </w:p>
        </w:tc>
      </w:tr>
      <w:tr w:rsidR="00B15F7D" w:rsidRPr="00990FB6" w14:paraId="062F94AA" w14:textId="77777777" w:rsidTr="000A0C22">
        <w:trPr>
          <w:trHeight w:val="249"/>
          <w:jc w:val="center"/>
        </w:trPr>
        <w:tc>
          <w:tcPr>
            <w:tcW w:w="0" w:type="auto"/>
            <w:tcBorders>
              <w:top w:val="nil"/>
              <w:left w:val="nil"/>
              <w:bottom w:val="nil"/>
              <w:right w:val="nil"/>
            </w:tcBorders>
            <w:shd w:val="clear" w:color="auto" w:fill="auto"/>
            <w:hideMark/>
          </w:tcPr>
          <w:p w14:paraId="4CF0662D"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vAlign w:val="bottom"/>
            <w:hideMark/>
          </w:tcPr>
          <w:p w14:paraId="3D8CA969" w14:textId="77777777" w:rsidR="00B15F7D" w:rsidRPr="00990FB6" w:rsidRDefault="00B15F7D" w:rsidP="00B15F7D">
            <w:pPr>
              <w:jc w:val="center"/>
              <w:rPr>
                <w:sz w:val="22"/>
                <w:szCs w:val="22"/>
                <w:lang w:eastAsia="es-CR"/>
              </w:rPr>
            </w:pPr>
            <w:r w:rsidRPr="00990FB6">
              <w:rPr>
                <w:sz w:val="22"/>
                <w:szCs w:val="22"/>
                <w:lang w:eastAsia="es-CR"/>
              </w:rPr>
              <w:t>75,0</w:t>
            </w:r>
          </w:p>
        </w:tc>
        <w:tc>
          <w:tcPr>
            <w:tcW w:w="0" w:type="auto"/>
            <w:tcBorders>
              <w:top w:val="nil"/>
              <w:left w:val="nil"/>
              <w:bottom w:val="nil"/>
              <w:right w:val="nil"/>
            </w:tcBorders>
            <w:shd w:val="clear" w:color="auto" w:fill="auto"/>
            <w:vAlign w:val="bottom"/>
            <w:hideMark/>
          </w:tcPr>
          <w:p w14:paraId="584BEB8C" w14:textId="77777777" w:rsidR="00B15F7D" w:rsidRPr="00990FB6" w:rsidRDefault="00B15F7D" w:rsidP="00B15F7D">
            <w:pPr>
              <w:jc w:val="center"/>
              <w:rPr>
                <w:sz w:val="22"/>
                <w:szCs w:val="22"/>
                <w:lang w:eastAsia="es-CR"/>
              </w:rPr>
            </w:pPr>
            <w:r w:rsidRPr="00990FB6">
              <w:rPr>
                <w:sz w:val="22"/>
                <w:szCs w:val="22"/>
                <w:lang w:eastAsia="es-CR"/>
              </w:rPr>
              <w:t>50,0</w:t>
            </w:r>
          </w:p>
        </w:tc>
        <w:tc>
          <w:tcPr>
            <w:tcW w:w="0" w:type="auto"/>
            <w:tcBorders>
              <w:top w:val="nil"/>
              <w:left w:val="nil"/>
              <w:bottom w:val="nil"/>
              <w:right w:val="nil"/>
            </w:tcBorders>
            <w:shd w:val="clear" w:color="auto" w:fill="auto"/>
            <w:vAlign w:val="bottom"/>
            <w:hideMark/>
          </w:tcPr>
          <w:p w14:paraId="739841DB" w14:textId="77777777" w:rsidR="00B15F7D" w:rsidRPr="00990FB6" w:rsidRDefault="00B15F7D" w:rsidP="00B15F7D">
            <w:pPr>
              <w:jc w:val="center"/>
              <w:rPr>
                <w:sz w:val="22"/>
                <w:szCs w:val="22"/>
                <w:lang w:eastAsia="es-CR"/>
              </w:rPr>
            </w:pPr>
            <w:r w:rsidRPr="00990FB6">
              <w:rPr>
                <w:sz w:val="22"/>
                <w:szCs w:val="22"/>
                <w:lang w:eastAsia="es-CR"/>
              </w:rPr>
              <w:t>60,0</w:t>
            </w:r>
          </w:p>
        </w:tc>
        <w:tc>
          <w:tcPr>
            <w:tcW w:w="0" w:type="auto"/>
            <w:tcBorders>
              <w:top w:val="nil"/>
              <w:left w:val="nil"/>
              <w:bottom w:val="nil"/>
              <w:right w:val="nil"/>
            </w:tcBorders>
            <w:shd w:val="clear" w:color="auto" w:fill="auto"/>
            <w:vAlign w:val="bottom"/>
            <w:hideMark/>
          </w:tcPr>
          <w:p w14:paraId="33237342" w14:textId="77777777" w:rsidR="00B15F7D" w:rsidRPr="00990FB6" w:rsidRDefault="00B15F7D" w:rsidP="00B15F7D">
            <w:pPr>
              <w:jc w:val="center"/>
              <w:rPr>
                <w:sz w:val="22"/>
                <w:szCs w:val="22"/>
                <w:lang w:eastAsia="es-CR"/>
              </w:rPr>
            </w:pPr>
            <w:r w:rsidRPr="00990FB6">
              <w:rPr>
                <w:sz w:val="22"/>
                <w:szCs w:val="22"/>
                <w:lang w:eastAsia="es-CR"/>
              </w:rPr>
              <w:t>-</w:t>
            </w:r>
          </w:p>
        </w:tc>
        <w:tc>
          <w:tcPr>
            <w:tcW w:w="0" w:type="auto"/>
            <w:tcBorders>
              <w:top w:val="nil"/>
              <w:left w:val="nil"/>
              <w:bottom w:val="nil"/>
              <w:right w:val="nil"/>
            </w:tcBorders>
            <w:shd w:val="clear" w:color="auto" w:fill="auto"/>
            <w:vAlign w:val="bottom"/>
            <w:hideMark/>
          </w:tcPr>
          <w:p w14:paraId="720978D3" w14:textId="77777777" w:rsidR="00B15F7D" w:rsidRPr="00990FB6" w:rsidRDefault="00B15F7D" w:rsidP="00B15F7D">
            <w:pPr>
              <w:jc w:val="center"/>
              <w:rPr>
                <w:sz w:val="22"/>
                <w:szCs w:val="22"/>
                <w:lang w:eastAsia="es-CR"/>
              </w:rPr>
            </w:pPr>
          </w:p>
        </w:tc>
        <w:tc>
          <w:tcPr>
            <w:tcW w:w="0" w:type="auto"/>
            <w:tcBorders>
              <w:top w:val="nil"/>
              <w:left w:val="nil"/>
              <w:bottom w:val="nil"/>
              <w:right w:val="nil"/>
            </w:tcBorders>
            <w:shd w:val="clear" w:color="auto" w:fill="auto"/>
            <w:vAlign w:val="bottom"/>
            <w:hideMark/>
          </w:tcPr>
          <w:p w14:paraId="706D2C4A" w14:textId="77777777" w:rsidR="00B15F7D" w:rsidRPr="00990FB6" w:rsidRDefault="00B15F7D" w:rsidP="00B15F7D">
            <w:pPr>
              <w:jc w:val="center"/>
              <w:rPr>
                <w:sz w:val="22"/>
                <w:szCs w:val="22"/>
                <w:lang w:eastAsia="es-CR"/>
              </w:rPr>
            </w:pPr>
            <w:r w:rsidRPr="00990FB6">
              <w:rPr>
                <w:sz w:val="22"/>
                <w:szCs w:val="22"/>
                <w:lang w:eastAsia="es-CR"/>
              </w:rPr>
              <w:t>-</w:t>
            </w:r>
          </w:p>
        </w:tc>
        <w:tc>
          <w:tcPr>
            <w:tcW w:w="0" w:type="auto"/>
            <w:tcBorders>
              <w:top w:val="nil"/>
              <w:left w:val="nil"/>
              <w:bottom w:val="nil"/>
              <w:right w:val="nil"/>
            </w:tcBorders>
            <w:shd w:val="clear" w:color="auto" w:fill="auto"/>
            <w:vAlign w:val="bottom"/>
            <w:hideMark/>
          </w:tcPr>
          <w:p w14:paraId="2748F39E" w14:textId="77777777" w:rsidR="00B15F7D" w:rsidRPr="00990FB6" w:rsidRDefault="00B15F7D" w:rsidP="00B15F7D">
            <w:pPr>
              <w:jc w:val="center"/>
              <w:rPr>
                <w:sz w:val="22"/>
                <w:szCs w:val="22"/>
                <w:lang w:eastAsia="es-CR"/>
              </w:rPr>
            </w:pPr>
          </w:p>
        </w:tc>
        <w:tc>
          <w:tcPr>
            <w:tcW w:w="0" w:type="auto"/>
            <w:tcBorders>
              <w:top w:val="nil"/>
              <w:left w:val="nil"/>
              <w:bottom w:val="nil"/>
              <w:right w:val="nil"/>
            </w:tcBorders>
            <w:shd w:val="clear" w:color="auto" w:fill="auto"/>
            <w:vAlign w:val="bottom"/>
            <w:hideMark/>
          </w:tcPr>
          <w:p w14:paraId="34B6BB0F"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vAlign w:val="bottom"/>
            <w:hideMark/>
          </w:tcPr>
          <w:p w14:paraId="6132ECF0"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hideMark/>
          </w:tcPr>
          <w:p w14:paraId="79B89FC1"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hideMark/>
          </w:tcPr>
          <w:p w14:paraId="3AD5B6E2" w14:textId="77777777" w:rsidR="00B15F7D" w:rsidRPr="00990FB6" w:rsidRDefault="00B15F7D" w:rsidP="00B15F7D">
            <w:pPr>
              <w:jc w:val="right"/>
              <w:rPr>
                <w:sz w:val="22"/>
                <w:szCs w:val="22"/>
                <w:lang w:eastAsia="es-CR"/>
              </w:rPr>
            </w:pPr>
          </w:p>
        </w:tc>
        <w:tc>
          <w:tcPr>
            <w:tcW w:w="0" w:type="auto"/>
            <w:tcBorders>
              <w:top w:val="nil"/>
              <w:left w:val="nil"/>
              <w:bottom w:val="nil"/>
              <w:right w:val="nil"/>
            </w:tcBorders>
            <w:shd w:val="clear" w:color="auto" w:fill="auto"/>
            <w:hideMark/>
          </w:tcPr>
          <w:p w14:paraId="33D5DB09" w14:textId="77777777" w:rsidR="00B15F7D" w:rsidRPr="00990FB6" w:rsidRDefault="00B15F7D" w:rsidP="00B15F7D">
            <w:pPr>
              <w:jc w:val="right"/>
              <w:rPr>
                <w:sz w:val="22"/>
                <w:szCs w:val="22"/>
                <w:lang w:eastAsia="es-CR"/>
              </w:rPr>
            </w:pPr>
          </w:p>
        </w:tc>
        <w:tc>
          <w:tcPr>
            <w:tcW w:w="0" w:type="auto"/>
            <w:tcBorders>
              <w:top w:val="nil"/>
              <w:left w:val="nil"/>
              <w:bottom w:val="nil"/>
              <w:right w:val="nil"/>
            </w:tcBorders>
            <w:shd w:val="clear" w:color="auto" w:fill="auto"/>
            <w:hideMark/>
          </w:tcPr>
          <w:p w14:paraId="2E40C76E" w14:textId="77777777" w:rsidR="00B15F7D" w:rsidRPr="00990FB6" w:rsidRDefault="00B15F7D" w:rsidP="00B15F7D">
            <w:pPr>
              <w:jc w:val="right"/>
              <w:rPr>
                <w:sz w:val="22"/>
                <w:szCs w:val="22"/>
                <w:lang w:eastAsia="es-CR"/>
              </w:rPr>
            </w:pPr>
          </w:p>
        </w:tc>
      </w:tr>
      <w:tr w:rsidR="00B15F7D" w:rsidRPr="00990FB6" w14:paraId="7C7FB33D" w14:textId="77777777" w:rsidTr="000A0C22">
        <w:trPr>
          <w:trHeight w:val="330"/>
          <w:jc w:val="center"/>
        </w:trPr>
        <w:tc>
          <w:tcPr>
            <w:tcW w:w="0" w:type="auto"/>
            <w:gridSpan w:val="2"/>
            <w:tcBorders>
              <w:top w:val="nil"/>
              <w:left w:val="nil"/>
              <w:bottom w:val="nil"/>
              <w:right w:val="nil"/>
            </w:tcBorders>
            <w:shd w:val="clear" w:color="auto" w:fill="auto"/>
            <w:hideMark/>
          </w:tcPr>
          <w:p w14:paraId="6A66FF18" w14:textId="77777777" w:rsidR="00B15F7D" w:rsidRPr="00990FB6" w:rsidRDefault="00B15F7D" w:rsidP="00B15F7D">
            <w:pPr>
              <w:rPr>
                <w:b/>
                <w:bCs/>
                <w:sz w:val="22"/>
                <w:szCs w:val="22"/>
                <w:lang w:eastAsia="es-CR"/>
              </w:rPr>
            </w:pPr>
          </w:p>
          <w:p w14:paraId="0C55248C" w14:textId="77777777" w:rsidR="00B15F7D" w:rsidRPr="00990FB6" w:rsidRDefault="00B15F7D" w:rsidP="00B15F7D">
            <w:pPr>
              <w:rPr>
                <w:b/>
                <w:bCs/>
                <w:sz w:val="22"/>
                <w:szCs w:val="22"/>
                <w:lang w:eastAsia="es-CR"/>
              </w:rPr>
            </w:pPr>
            <w:r w:rsidRPr="00990FB6">
              <w:rPr>
                <w:b/>
                <w:bCs/>
                <w:sz w:val="22"/>
                <w:szCs w:val="22"/>
                <w:lang w:eastAsia="es-CR"/>
              </w:rPr>
              <w:t>Fuente de Datos:</w:t>
            </w:r>
          </w:p>
        </w:tc>
        <w:tc>
          <w:tcPr>
            <w:tcW w:w="0" w:type="auto"/>
            <w:gridSpan w:val="12"/>
            <w:tcBorders>
              <w:top w:val="nil"/>
              <w:left w:val="nil"/>
              <w:bottom w:val="nil"/>
              <w:right w:val="nil"/>
            </w:tcBorders>
            <w:shd w:val="clear" w:color="auto" w:fill="auto"/>
            <w:vAlign w:val="bottom"/>
            <w:hideMark/>
          </w:tcPr>
          <w:p w14:paraId="3967C6C2" w14:textId="77777777" w:rsidR="00B15F7D" w:rsidRPr="00990FB6" w:rsidRDefault="00B15F7D" w:rsidP="00B15F7D">
            <w:pPr>
              <w:widowControl w:val="0"/>
              <w:suppressAutoHyphens w:val="0"/>
              <w:autoSpaceDE w:val="0"/>
              <w:autoSpaceDN w:val="0"/>
              <w:adjustRightInd w:val="0"/>
              <w:jc w:val="both"/>
              <w:rPr>
                <w:sz w:val="22"/>
                <w:szCs w:val="22"/>
                <w:lang w:eastAsia="es-ES"/>
              </w:rPr>
            </w:pPr>
          </w:p>
          <w:p w14:paraId="5D40C748" w14:textId="77777777" w:rsidR="00B15F7D" w:rsidRPr="00990FB6" w:rsidRDefault="00B15F7D" w:rsidP="00B15F7D">
            <w:pPr>
              <w:widowControl w:val="0"/>
              <w:suppressAutoHyphens w:val="0"/>
              <w:autoSpaceDE w:val="0"/>
              <w:autoSpaceDN w:val="0"/>
              <w:adjustRightInd w:val="0"/>
              <w:jc w:val="both"/>
              <w:rPr>
                <w:sz w:val="22"/>
                <w:szCs w:val="22"/>
                <w:lang w:eastAsia="es-ES"/>
              </w:rPr>
            </w:pPr>
            <w:r w:rsidRPr="00990FB6">
              <w:rPr>
                <w:sz w:val="22"/>
                <w:szCs w:val="22"/>
                <w:lang w:eastAsia="es-ES"/>
              </w:rPr>
              <w:t xml:space="preserve">Se consigna la información en la tabla de registro denominada: libro control estadístico de la Unidad de Protección a las Víctimas. </w:t>
            </w:r>
          </w:p>
          <w:p w14:paraId="192A07F3" w14:textId="77777777" w:rsidR="00B15F7D" w:rsidRPr="00990FB6" w:rsidRDefault="00B15F7D" w:rsidP="00B15F7D">
            <w:pPr>
              <w:jc w:val="both"/>
              <w:rPr>
                <w:sz w:val="22"/>
                <w:szCs w:val="22"/>
                <w:lang w:eastAsia="es-CR"/>
              </w:rPr>
            </w:pPr>
          </w:p>
        </w:tc>
      </w:tr>
      <w:tr w:rsidR="00B15F7D" w:rsidRPr="00990FB6" w14:paraId="6249F753" w14:textId="77777777" w:rsidTr="000A0C22">
        <w:trPr>
          <w:trHeight w:val="2169"/>
          <w:jc w:val="center"/>
        </w:trPr>
        <w:tc>
          <w:tcPr>
            <w:tcW w:w="0" w:type="auto"/>
            <w:gridSpan w:val="2"/>
            <w:tcBorders>
              <w:top w:val="nil"/>
              <w:left w:val="nil"/>
              <w:bottom w:val="single" w:sz="8" w:space="0" w:color="000000"/>
              <w:right w:val="nil"/>
            </w:tcBorders>
            <w:shd w:val="clear" w:color="auto" w:fill="auto"/>
            <w:hideMark/>
          </w:tcPr>
          <w:p w14:paraId="4A0C33AE" w14:textId="77777777" w:rsidR="00B15F7D" w:rsidRPr="00990FB6" w:rsidRDefault="00B15F7D" w:rsidP="00B15F7D">
            <w:pPr>
              <w:rPr>
                <w:b/>
                <w:bCs/>
                <w:sz w:val="22"/>
                <w:szCs w:val="22"/>
                <w:lang w:eastAsia="es-CR"/>
              </w:rPr>
            </w:pPr>
          </w:p>
          <w:p w14:paraId="51277240" w14:textId="77777777" w:rsidR="00B15F7D" w:rsidRPr="00990FB6" w:rsidRDefault="00B15F7D" w:rsidP="00B15F7D">
            <w:pPr>
              <w:rPr>
                <w:b/>
                <w:bCs/>
                <w:sz w:val="22"/>
                <w:szCs w:val="22"/>
                <w:lang w:eastAsia="es-CR"/>
              </w:rPr>
            </w:pPr>
            <w:r w:rsidRPr="00990FB6">
              <w:rPr>
                <w:b/>
                <w:bCs/>
                <w:sz w:val="22"/>
                <w:szCs w:val="22"/>
                <w:lang w:eastAsia="es-CR"/>
              </w:rPr>
              <w:t>Notas Técnicas:</w:t>
            </w:r>
          </w:p>
        </w:tc>
        <w:tc>
          <w:tcPr>
            <w:tcW w:w="0" w:type="auto"/>
            <w:gridSpan w:val="12"/>
            <w:tcBorders>
              <w:top w:val="nil"/>
              <w:left w:val="nil"/>
              <w:bottom w:val="single" w:sz="8" w:space="0" w:color="000000"/>
              <w:right w:val="nil"/>
            </w:tcBorders>
            <w:shd w:val="clear" w:color="auto" w:fill="auto"/>
            <w:hideMark/>
          </w:tcPr>
          <w:p w14:paraId="7156EB7F" w14:textId="77777777" w:rsidR="00B15F7D" w:rsidRPr="00990FB6" w:rsidRDefault="00B15F7D" w:rsidP="00B15F7D">
            <w:pPr>
              <w:jc w:val="both"/>
              <w:rPr>
                <w:b/>
                <w:bCs/>
                <w:sz w:val="22"/>
                <w:szCs w:val="22"/>
              </w:rPr>
            </w:pPr>
          </w:p>
          <w:p w14:paraId="2E9556B5" w14:textId="77777777" w:rsidR="00B15F7D" w:rsidRPr="00990FB6" w:rsidRDefault="00B15F7D" w:rsidP="00B15F7D">
            <w:pPr>
              <w:jc w:val="both"/>
              <w:rPr>
                <w:sz w:val="22"/>
                <w:szCs w:val="22"/>
              </w:rPr>
            </w:pPr>
            <w:r w:rsidRPr="00990FB6">
              <w:rPr>
                <w:sz w:val="22"/>
                <w:szCs w:val="22"/>
              </w:rPr>
              <w:t xml:space="preserve">Víctimas indígenas depositarios de medidas cautelares: Persona indígena habitante de los territorios Bribri de Salitre o Térraba, pueblos involucrados en denuncia internacional de la que la Corte Interamericana de los Derechos Humanos emite medida cautelar internacional bajo el numeral 321-12 que pesa sobre el estado de la República de Costa Rica.  </w:t>
            </w:r>
          </w:p>
          <w:p w14:paraId="322C2310" w14:textId="77777777" w:rsidR="00B15F7D" w:rsidRPr="00990FB6" w:rsidRDefault="00B15F7D" w:rsidP="00B15F7D">
            <w:pPr>
              <w:jc w:val="both"/>
              <w:rPr>
                <w:sz w:val="22"/>
                <w:szCs w:val="22"/>
                <w:lang w:eastAsia="es-CR"/>
              </w:rPr>
            </w:pPr>
          </w:p>
        </w:tc>
      </w:tr>
    </w:tbl>
    <w:p w14:paraId="4AA2152D" w14:textId="77777777" w:rsidR="00B15F7D" w:rsidRPr="00990FB6" w:rsidRDefault="00B15F7D" w:rsidP="00B15F7D">
      <w:pPr>
        <w:jc w:val="both"/>
        <w:rPr>
          <w:sz w:val="22"/>
          <w:szCs w:val="22"/>
        </w:rPr>
      </w:pPr>
    </w:p>
    <w:p w14:paraId="47133A03" w14:textId="77777777" w:rsidR="00B15F7D" w:rsidRPr="00990FB6" w:rsidRDefault="00B15F7D" w:rsidP="00B15F7D">
      <w:pPr>
        <w:ind w:left="851" w:right="851" w:firstLine="709"/>
        <w:jc w:val="both"/>
        <w:rPr>
          <w:sz w:val="22"/>
          <w:szCs w:val="22"/>
        </w:rPr>
      </w:pPr>
      <w:r w:rsidRPr="00990FB6">
        <w:rPr>
          <w:sz w:val="22"/>
          <w:szCs w:val="22"/>
        </w:rPr>
        <w:t xml:space="preserve">Una vez que el acuerdo fue puesto en conocimiento del Ministerio de Hacienda, la Unidad de Análisis de Poderes de la República, de la Dirección General de Presupuesto Nacional, procedió con la revisión de las modificaciones solicitadas por </w:t>
      </w:r>
      <w:r w:rsidRPr="00990FB6">
        <w:rPr>
          <w:sz w:val="22"/>
          <w:szCs w:val="22"/>
        </w:rPr>
        <w:lastRenderedPageBreak/>
        <w:t>parte del Poder Judicial y en el caso específico de este nuevo indicador surgieron algunas dudas sobre su planteamiento por parte del  Ministerio de Hacienda, por lo que se realizó la coordinación directa con el personal del Programa 950 para aclarar esas inquietudes. Producto de esta retroalimentación, finalmente se acordó entre ambas partes modificar tanto la redacción del indicador, como el valor del año base de la meta de cumplimiento, quedando de la siguiente forma:</w:t>
      </w:r>
    </w:p>
    <w:p w14:paraId="47A556B0" w14:textId="77777777" w:rsidR="00B15F7D" w:rsidRPr="00990FB6" w:rsidRDefault="00B15F7D" w:rsidP="00B15F7D">
      <w:pPr>
        <w:jc w:val="both"/>
        <w:rPr>
          <w:sz w:val="22"/>
          <w:szCs w:val="22"/>
        </w:rPr>
      </w:pPr>
    </w:p>
    <w:tbl>
      <w:tblPr>
        <w:tblW w:w="0" w:type="auto"/>
        <w:jc w:val="center"/>
        <w:tblCellMar>
          <w:left w:w="70" w:type="dxa"/>
          <w:right w:w="70" w:type="dxa"/>
        </w:tblCellMar>
        <w:tblLook w:val="04A0" w:firstRow="1" w:lastRow="0" w:firstColumn="1" w:lastColumn="0" w:noHBand="0" w:noVBand="1"/>
      </w:tblPr>
      <w:tblGrid>
        <w:gridCol w:w="990"/>
        <w:gridCol w:w="868"/>
        <w:gridCol w:w="1193"/>
        <w:gridCol w:w="1245"/>
        <w:gridCol w:w="1246"/>
        <w:gridCol w:w="419"/>
        <w:gridCol w:w="1246"/>
        <w:gridCol w:w="314"/>
        <w:gridCol w:w="314"/>
        <w:gridCol w:w="314"/>
        <w:gridCol w:w="314"/>
        <w:gridCol w:w="314"/>
        <w:gridCol w:w="314"/>
        <w:gridCol w:w="314"/>
      </w:tblGrid>
      <w:tr w:rsidR="00B15F7D" w:rsidRPr="00990FB6" w14:paraId="7AFEDFA1" w14:textId="77777777" w:rsidTr="000A0C22">
        <w:trPr>
          <w:trHeight w:val="240"/>
          <w:jc w:val="center"/>
        </w:trPr>
        <w:tc>
          <w:tcPr>
            <w:tcW w:w="0" w:type="auto"/>
            <w:tcBorders>
              <w:top w:val="nil"/>
              <w:left w:val="nil"/>
              <w:bottom w:val="nil"/>
              <w:right w:val="nil"/>
            </w:tcBorders>
            <w:shd w:val="clear" w:color="auto" w:fill="auto"/>
            <w:hideMark/>
          </w:tcPr>
          <w:p w14:paraId="2CFB705C" w14:textId="77777777" w:rsidR="00B15F7D" w:rsidRPr="00990FB6" w:rsidRDefault="00B15F7D" w:rsidP="00B15F7D">
            <w:pPr>
              <w:jc w:val="center"/>
              <w:rPr>
                <w:b/>
                <w:bCs/>
                <w:sz w:val="22"/>
                <w:szCs w:val="22"/>
                <w:lang w:eastAsia="es-CR"/>
              </w:rPr>
            </w:pPr>
            <w:r w:rsidRPr="00990FB6">
              <w:rPr>
                <w:b/>
                <w:bCs/>
                <w:sz w:val="22"/>
                <w:szCs w:val="22"/>
                <w:lang w:eastAsia="es-CR"/>
              </w:rPr>
              <w:t>#</w:t>
            </w:r>
          </w:p>
        </w:tc>
        <w:tc>
          <w:tcPr>
            <w:tcW w:w="0" w:type="auto"/>
            <w:tcBorders>
              <w:top w:val="nil"/>
              <w:left w:val="nil"/>
              <w:bottom w:val="nil"/>
              <w:right w:val="nil"/>
            </w:tcBorders>
            <w:shd w:val="clear" w:color="auto" w:fill="auto"/>
            <w:hideMark/>
          </w:tcPr>
          <w:p w14:paraId="45124BC5" w14:textId="77777777" w:rsidR="00B15F7D" w:rsidRPr="00990FB6" w:rsidRDefault="00B15F7D" w:rsidP="00B15F7D">
            <w:pPr>
              <w:rPr>
                <w:b/>
                <w:bCs/>
                <w:sz w:val="22"/>
                <w:szCs w:val="22"/>
                <w:lang w:eastAsia="es-CR"/>
              </w:rPr>
            </w:pPr>
            <w:r w:rsidRPr="00990FB6">
              <w:rPr>
                <w:b/>
                <w:bCs/>
                <w:sz w:val="22"/>
                <w:szCs w:val="22"/>
                <w:lang w:eastAsia="es-CR"/>
              </w:rPr>
              <w:t>Tipo</w:t>
            </w:r>
          </w:p>
        </w:tc>
        <w:tc>
          <w:tcPr>
            <w:tcW w:w="0" w:type="auto"/>
            <w:tcBorders>
              <w:top w:val="nil"/>
              <w:left w:val="nil"/>
              <w:bottom w:val="nil"/>
              <w:right w:val="nil"/>
            </w:tcBorders>
            <w:shd w:val="clear" w:color="auto" w:fill="auto"/>
            <w:hideMark/>
          </w:tcPr>
          <w:p w14:paraId="69F18FF1" w14:textId="77777777" w:rsidR="00B15F7D" w:rsidRPr="00990FB6" w:rsidRDefault="00B15F7D" w:rsidP="00B15F7D">
            <w:pPr>
              <w:rPr>
                <w:b/>
                <w:bCs/>
                <w:sz w:val="22"/>
                <w:szCs w:val="22"/>
                <w:lang w:eastAsia="es-CR"/>
              </w:rPr>
            </w:pPr>
            <w:r w:rsidRPr="00990FB6">
              <w:rPr>
                <w:b/>
                <w:bCs/>
                <w:sz w:val="22"/>
                <w:szCs w:val="22"/>
                <w:lang w:eastAsia="es-CR"/>
              </w:rPr>
              <w:t>Dimensión</w:t>
            </w:r>
          </w:p>
        </w:tc>
        <w:tc>
          <w:tcPr>
            <w:tcW w:w="0" w:type="auto"/>
            <w:gridSpan w:val="11"/>
            <w:tcBorders>
              <w:top w:val="nil"/>
              <w:left w:val="nil"/>
              <w:bottom w:val="nil"/>
              <w:right w:val="nil"/>
            </w:tcBorders>
            <w:shd w:val="clear" w:color="auto" w:fill="auto"/>
            <w:hideMark/>
          </w:tcPr>
          <w:p w14:paraId="732C0669" w14:textId="77777777" w:rsidR="00B15F7D" w:rsidRPr="00990FB6" w:rsidRDefault="00B15F7D" w:rsidP="00B15F7D">
            <w:pPr>
              <w:rPr>
                <w:b/>
                <w:bCs/>
                <w:sz w:val="22"/>
                <w:szCs w:val="22"/>
                <w:lang w:eastAsia="es-CR"/>
              </w:rPr>
            </w:pPr>
            <w:r w:rsidRPr="00990FB6">
              <w:rPr>
                <w:b/>
                <w:bCs/>
                <w:sz w:val="22"/>
                <w:szCs w:val="22"/>
                <w:lang w:eastAsia="es-CR"/>
              </w:rPr>
              <w:t>Indicador</w:t>
            </w:r>
          </w:p>
        </w:tc>
      </w:tr>
      <w:tr w:rsidR="00B15F7D" w:rsidRPr="00990FB6" w14:paraId="3F66BC38" w14:textId="77777777" w:rsidTr="000A0C22">
        <w:trPr>
          <w:trHeight w:val="884"/>
          <w:jc w:val="center"/>
        </w:trPr>
        <w:tc>
          <w:tcPr>
            <w:tcW w:w="0" w:type="auto"/>
            <w:tcBorders>
              <w:top w:val="single" w:sz="8" w:space="0" w:color="000000"/>
              <w:left w:val="nil"/>
              <w:bottom w:val="nil"/>
              <w:right w:val="nil"/>
            </w:tcBorders>
            <w:shd w:val="clear" w:color="auto" w:fill="auto"/>
            <w:hideMark/>
          </w:tcPr>
          <w:p w14:paraId="1ED61C80" w14:textId="77777777" w:rsidR="00B15F7D" w:rsidRPr="00990FB6" w:rsidRDefault="00B15F7D" w:rsidP="00B15F7D">
            <w:pPr>
              <w:rPr>
                <w:sz w:val="22"/>
                <w:szCs w:val="22"/>
                <w:lang w:eastAsia="es-CR"/>
              </w:rPr>
            </w:pPr>
            <w:r w:rsidRPr="00990FB6">
              <w:rPr>
                <w:sz w:val="22"/>
                <w:szCs w:val="22"/>
                <w:lang w:eastAsia="es-CR"/>
              </w:rPr>
              <w:t>PF.01.04.</w:t>
            </w:r>
          </w:p>
        </w:tc>
        <w:tc>
          <w:tcPr>
            <w:tcW w:w="0" w:type="auto"/>
            <w:tcBorders>
              <w:top w:val="single" w:sz="8" w:space="0" w:color="000000"/>
              <w:left w:val="nil"/>
              <w:bottom w:val="nil"/>
              <w:right w:val="nil"/>
            </w:tcBorders>
            <w:shd w:val="clear" w:color="auto" w:fill="auto"/>
            <w:hideMark/>
          </w:tcPr>
          <w:p w14:paraId="17101B77" w14:textId="77777777" w:rsidR="00B15F7D" w:rsidRPr="00990FB6" w:rsidRDefault="00B15F7D" w:rsidP="00B15F7D">
            <w:pPr>
              <w:rPr>
                <w:sz w:val="22"/>
                <w:szCs w:val="22"/>
                <w:lang w:eastAsia="es-CR"/>
              </w:rPr>
            </w:pPr>
            <w:r w:rsidRPr="00990FB6">
              <w:rPr>
                <w:sz w:val="22"/>
                <w:szCs w:val="22"/>
                <w:lang w:eastAsia="es-CR"/>
              </w:rPr>
              <w:t>Gestión</w:t>
            </w:r>
          </w:p>
        </w:tc>
        <w:tc>
          <w:tcPr>
            <w:tcW w:w="0" w:type="auto"/>
            <w:tcBorders>
              <w:top w:val="single" w:sz="8" w:space="0" w:color="000000"/>
              <w:left w:val="nil"/>
              <w:bottom w:val="nil"/>
              <w:right w:val="nil"/>
            </w:tcBorders>
            <w:shd w:val="clear" w:color="auto" w:fill="auto"/>
            <w:hideMark/>
          </w:tcPr>
          <w:p w14:paraId="5FFA6A36" w14:textId="77777777" w:rsidR="00B15F7D" w:rsidRPr="00990FB6" w:rsidRDefault="00B15F7D" w:rsidP="00B15F7D">
            <w:pPr>
              <w:rPr>
                <w:sz w:val="22"/>
                <w:szCs w:val="22"/>
                <w:lang w:eastAsia="es-CR"/>
              </w:rPr>
            </w:pPr>
            <w:r w:rsidRPr="00990FB6">
              <w:rPr>
                <w:sz w:val="22"/>
                <w:szCs w:val="22"/>
                <w:lang w:eastAsia="es-CR"/>
              </w:rPr>
              <w:t>Eficacia</w:t>
            </w:r>
          </w:p>
        </w:tc>
        <w:tc>
          <w:tcPr>
            <w:tcW w:w="0" w:type="auto"/>
            <w:gridSpan w:val="11"/>
            <w:tcBorders>
              <w:top w:val="single" w:sz="8" w:space="0" w:color="000000"/>
              <w:left w:val="nil"/>
              <w:bottom w:val="nil"/>
              <w:right w:val="nil"/>
            </w:tcBorders>
            <w:shd w:val="clear" w:color="auto" w:fill="auto"/>
            <w:hideMark/>
          </w:tcPr>
          <w:p w14:paraId="24C98C7C" w14:textId="77777777" w:rsidR="00B15F7D" w:rsidRPr="00990FB6" w:rsidRDefault="00B15F7D" w:rsidP="00B15F7D">
            <w:pPr>
              <w:ind w:right="-40"/>
              <w:jc w:val="both"/>
              <w:rPr>
                <w:sz w:val="22"/>
                <w:szCs w:val="22"/>
              </w:rPr>
            </w:pPr>
            <w:r w:rsidRPr="00990FB6">
              <w:rPr>
                <w:sz w:val="22"/>
                <w:szCs w:val="22"/>
              </w:rPr>
              <w:t>Número de visitas de monitoreo de la Unidad de Protección de Víctimas a líderes indígenas víctimas depositarios de medidas cautelares emitidas por la Corte Interamericana de los Derechos Humanos contra el Estado de la República de Costa Rica.</w:t>
            </w:r>
          </w:p>
          <w:p w14:paraId="631F35FB" w14:textId="77777777" w:rsidR="00B15F7D" w:rsidRPr="00990FB6" w:rsidRDefault="00B15F7D" w:rsidP="00B15F7D">
            <w:pPr>
              <w:rPr>
                <w:sz w:val="22"/>
                <w:szCs w:val="22"/>
                <w:lang w:eastAsia="es-CR"/>
              </w:rPr>
            </w:pPr>
          </w:p>
        </w:tc>
      </w:tr>
      <w:tr w:rsidR="00B15F7D" w:rsidRPr="00990FB6" w14:paraId="00970F14" w14:textId="77777777" w:rsidTr="000A0C22">
        <w:trPr>
          <w:trHeight w:val="240"/>
          <w:jc w:val="center"/>
        </w:trPr>
        <w:tc>
          <w:tcPr>
            <w:tcW w:w="0" w:type="auto"/>
            <w:tcBorders>
              <w:top w:val="nil"/>
              <w:left w:val="nil"/>
              <w:bottom w:val="nil"/>
              <w:right w:val="nil"/>
            </w:tcBorders>
            <w:shd w:val="clear" w:color="auto" w:fill="auto"/>
            <w:hideMark/>
          </w:tcPr>
          <w:p w14:paraId="634F889C" w14:textId="77777777" w:rsidR="00B15F7D" w:rsidRPr="00990FB6" w:rsidRDefault="00B15F7D" w:rsidP="00B15F7D">
            <w:pPr>
              <w:rPr>
                <w:sz w:val="22"/>
                <w:szCs w:val="22"/>
                <w:lang w:eastAsia="es-CR"/>
              </w:rPr>
            </w:pPr>
          </w:p>
        </w:tc>
        <w:tc>
          <w:tcPr>
            <w:tcW w:w="0" w:type="auto"/>
            <w:gridSpan w:val="13"/>
            <w:tcBorders>
              <w:top w:val="nil"/>
              <w:left w:val="nil"/>
              <w:bottom w:val="single" w:sz="8" w:space="0" w:color="000000"/>
              <w:right w:val="nil"/>
            </w:tcBorders>
            <w:shd w:val="clear" w:color="auto" w:fill="auto"/>
            <w:hideMark/>
          </w:tcPr>
          <w:p w14:paraId="7D38A175" w14:textId="77777777" w:rsidR="00B15F7D" w:rsidRPr="00990FB6" w:rsidRDefault="00B15F7D" w:rsidP="00B15F7D">
            <w:pPr>
              <w:jc w:val="center"/>
              <w:rPr>
                <w:b/>
                <w:bCs/>
                <w:sz w:val="22"/>
                <w:szCs w:val="22"/>
                <w:lang w:eastAsia="es-CR"/>
              </w:rPr>
            </w:pPr>
            <w:r w:rsidRPr="00990FB6">
              <w:rPr>
                <w:b/>
                <w:bCs/>
                <w:sz w:val="22"/>
                <w:szCs w:val="22"/>
                <w:lang w:eastAsia="es-CR"/>
              </w:rPr>
              <w:t>Metas</w:t>
            </w:r>
          </w:p>
        </w:tc>
      </w:tr>
      <w:tr w:rsidR="00B15F7D" w:rsidRPr="00990FB6" w14:paraId="3BB433E0" w14:textId="77777777" w:rsidTr="000A0C22">
        <w:trPr>
          <w:trHeight w:val="240"/>
          <w:jc w:val="center"/>
        </w:trPr>
        <w:tc>
          <w:tcPr>
            <w:tcW w:w="0" w:type="auto"/>
            <w:tcBorders>
              <w:top w:val="nil"/>
              <w:left w:val="nil"/>
              <w:bottom w:val="nil"/>
              <w:right w:val="nil"/>
            </w:tcBorders>
            <w:shd w:val="clear" w:color="auto" w:fill="auto"/>
            <w:hideMark/>
          </w:tcPr>
          <w:p w14:paraId="3E2A1243" w14:textId="77777777" w:rsidR="00B15F7D" w:rsidRPr="00990FB6" w:rsidRDefault="00B15F7D" w:rsidP="00B15F7D">
            <w:pPr>
              <w:jc w:val="center"/>
              <w:rPr>
                <w:b/>
                <w:bCs/>
                <w:sz w:val="22"/>
                <w:szCs w:val="22"/>
                <w:lang w:eastAsia="es-CR"/>
              </w:rPr>
            </w:pPr>
          </w:p>
        </w:tc>
        <w:tc>
          <w:tcPr>
            <w:tcW w:w="0" w:type="auto"/>
            <w:tcBorders>
              <w:top w:val="single" w:sz="8" w:space="0" w:color="000000"/>
              <w:left w:val="nil"/>
              <w:bottom w:val="single" w:sz="8" w:space="0" w:color="000000"/>
              <w:right w:val="nil"/>
            </w:tcBorders>
            <w:shd w:val="clear" w:color="auto" w:fill="auto"/>
            <w:hideMark/>
          </w:tcPr>
          <w:p w14:paraId="6F0B5D52" w14:textId="77777777" w:rsidR="00B15F7D" w:rsidRPr="00990FB6" w:rsidRDefault="00B15F7D" w:rsidP="00B15F7D">
            <w:pPr>
              <w:jc w:val="center"/>
              <w:rPr>
                <w:b/>
                <w:bCs/>
                <w:sz w:val="22"/>
                <w:szCs w:val="22"/>
                <w:lang w:eastAsia="es-CR"/>
              </w:rPr>
            </w:pPr>
            <w:r w:rsidRPr="00990FB6">
              <w:rPr>
                <w:b/>
                <w:bCs/>
                <w:sz w:val="22"/>
                <w:szCs w:val="22"/>
                <w:lang w:eastAsia="es-CR"/>
              </w:rPr>
              <w:t xml:space="preserve">Línea Base </w:t>
            </w:r>
          </w:p>
        </w:tc>
        <w:tc>
          <w:tcPr>
            <w:tcW w:w="0" w:type="auto"/>
            <w:tcBorders>
              <w:top w:val="single" w:sz="8" w:space="0" w:color="000000"/>
              <w:left w:val="nil"/>
              <w:bottom w:val="single" w:sz="8" w:space="0" w:color="000000"/>
              <w:right w:val="nil"/>
            </w:tcBorders>
            <w:shd w:val="clear" w:color="auto" w:fill="auto"/>
            <w:vAlign w:val="bottom"/>
            <w:hideMark/>
          </w:tcPr>
          <w:p w14:paraId="2207F4F3" w14:textId="77777777" w:rsidR="00B15F7D" w:rsidRPr="00990FB6" w:rsidRDefault="00B15F7D" w:rsidP="00B15F7D">
            <w:pPr>
              <w:jc w:val="center"/>
              <w:rPr>
                <w:b/>
                <w:bCs/>
                <w:sz w:val="22"/>
                <w:szCs w:val="22"/>
                <w:lang w:eastAsia="es-CR"/>
              </w:rPr>
            </w:pPr>
            <w:r w:rsidRPr="00990FB6">
              <w:rPr>
                <w:b/>
                <w:bCs/>
                <w:sz w:val="22"/>
                <w:szCs w:val="22"/>
                <w:lang w:eastAsia="es-CR"/>
              </w:rPr>
              <w:t>2023</w:t>
            </w:r>
          </w:p>
        </w:tc>
        <w:tc>
          <w:tcPr>
            <w:tcW w:w="0" w:type="auto"/>
            <w:tcBorders>
              <w:top w:val="single" w:sz="8" w:space="0" w:color="000000"/>
              <w:left w:val="nil"/>
              <w:bottom w:val="single" w:sz="8" w:space="0" w:color="000000"/>
              <w:right w:val="nil"/>
            </w:tcBorders>
            <w:shd w:val="clear" w:color="auto" w:fill="auto"/>
            <w:vAlign w:val="bottom"/>
            <w:hideMark/>
          </w:tcPr>
          <w:p w14:paraId="264CBFF5" w14:textId="77777777" w:rsidR="00B15F7D" w:rsidRPr="00990FB6" w:rsidRDefault="00B15F7D" w:rsidP="00B15F7D">
            <w:pPr>
              <w:jc w:val="center"/>
              <w:rPr>
                <w:b/>
                <w:bCs/>
                <w:sz w:val="22"/>
                <w:szCs w:val="22"/>
                <w:lang w:eastAsia="es-CR"/>
              </w:rPr>
            </w:pPr>
            <w:r w:rsidRPr="00990FB6">
              <w:rPr>
                <w:b/>
                <w:bCs/>
                <w:sz w:val="22"/>
                <w:szCs w:val="22"/>
                <w:lang w:eastAsia="es-CR"/>
              </w:rPr>
              <w:t>2024</w:t>
            </w:r>
          </w:p>
        </w:tc>
        <w:tc>
          <w:tcPr>
            <w:tcW w:w="0" w:type="auto"/>
            <w:tcBorders>
              <w:top w:val="single" w:sz="8" w:space="0" w:color="000000"/>
              <w:left w:val="nil"/>
              <w:bottom w:val="single" w:sz="8" w:space="0" w:color="000000"/>
              <w:right w:val="nil"/>
            </w:tcBorders>
            <w:shd w:val="clear" w:color="auto" w:fill="auto"/>
            <w:vAlign w:val="bottom"/>
            <w:hideMark/>
          </w:tcPr>
          <w:p w14:paraId="696CDDE3" w14:textId="77777777" w:rsidR="00B15F7D" w:rsidRPr="00990FB6" w:rsidRDefault="00B15F7D" w:rsidP="00B15F7D">
            <w:pPr>
              <w:jc w:val="center"/>
              <w:rPr>
                <w:b/>
                <w:bCs/>
                <w:sz w:val="22"/>
                <w:szCs w:val="22"/>
                <w:lang w:eastAsia="es-CR"/>
              </w:rPr>
            </w:pPr>
            <w:r w:rsidRPr="00990FB6">
              <w:rPr>
                <w:b/>
                <w:bCs/>
                <w:sz w:val="22"/>
                <w:szCs w:val="22"/>
                <w:lang w:eastAsia="es-CR"/>
              </w:rPr>
              <w:t>2025</w:t>
            </w:r>
          </w:p>
        </w:tc>
        <w:tc>
          <w:tcPr>
            <w:tcW w:w="0" w:type="auto"/>
            <w:tcBorders>
              <w:top w:val="single" w:sz="8" w:space="0" w:color="000000"/>
              <w:left w:val="nil"/>
              <w:bottom w:val="single" w:sz="8" w:space="0" w:color="000000"/>
              <w:right w:val="nil"/>
            </w:tcBorders>
            <w:shd w:val="clear" w:color="auto" w:fill="auto"/>
            <w:vAlign w:val="bottom"/>
            <w:hideMark/>
          </w:tcPr>
          <w:p w14:paraId="10893D09" w14:textId="77777777" w:rsidR="00B15F7D" w:rsidRPr="00990FB6" w:rsidRDefault="00B15F7D" w:rsidP="00B15F7D">
            <w:pPr>
              <w:rPr>
                <w:b/>
                <w:bCs/>
                <w:sz w:val="22"/>
                <w:szCs w:val="22"/>
                <w:lang w:eastAsia="es-CR"/>
              </w:rPr>
            </w:pPr>
            <w:r w:rsidRPr="00990FB6">
              <w:rPr>
                <w:b/>
                <w:bCs/>
                <w:sz w:val="22"/>
                <w:szCs w:val="22"/>
                <w:lang w:eastAsia="es-CR"/>
              </w:rPr>
              <w:t> </w:t>
            </w:r>
          </w:p>
        </w:tc>
        <w:tc>
          <w:tcPr>
            <w:tcW w:w="0" w:type="auto"/>
            <w:tcBorders>
              <w:top w:val="single" w:sz="8" w:space="0" w:color="auto"/>
              <w:left w:val="nil"/>
              <w:bottom w:val="single" w:sz="8" w:space="0" w:color="auto"/>
              <w:right w:val="nil"/>
            </w:tcBorders>
            <w:shd w:val="clear" w:color="auto" w:fill="auto"/>
            <w:vAlign w:val="bottom"/>
            <w:hideMark/>
          </w:tcPr>
          <w:p w14:paraId="7BF74780" w14:textId="77777777" w:rsidR="00B15F7D" w:rsidRPr="00990FB6" w:rsidRDefault="00B15F7D" w:rsidP="00B15F7D">
            <w:pPr>
              <w:jc w:val="center"/>
              <w:rPr>
                <w:b/>
                <w:bCs/>
                <w:sz w:val="22"/>
                <w:szCs w:val="22"/>
                <w:lang w:eastAsia="es-CR"/>
              </w:rPr>
            </w:pPr>
            <w:r w:rsidRPr="00990FB6">
              <w:rPr>
                <w:b/>
                <w:bCs/>
                <w:sz w:val="22"/>
                <w:szCs w:val="22"/>
                <w:lang w:eastAsia="es-CR"/>
              </w:rPr>
              <w:t>2026</w:t>
            </w:r>
          </w:p>
        </w:tc>
        <w:tc>
          <w:tcPr>
            <w:tcW w:w="0" w:type="auto"/>
            <w:tcBorders>
              <w:top w:val="nil"/>
              <w:left w:val="nil"/>
              <w:bottom w:val="nil"/>
              <w:right w:val="nil"/>
            </w:tcBorders>
            <w:shd w:val="clear" w:color="auto" w:fill="auto"/>
            <w:vAlign w:val="bottom"/>
            <w:hideMark/>
          </w:tcPr>
          <w:p w14:paraId="587EF368" w14:textId="77777777" w:rsidR="00B15F7D" w:rsidRPr="00990FB6" w:rsidRDefault="00B15F7D" w:rsidP="00B15F7D">
            <w:pPr>
              <w:jc w:val="center"/>
              <w:rPr>
                <w:b/>
                <w:bCs/>
                <w:sz w:val="22"/>
                <w:szCs w:val="22"/>
                <w:lang w:eastAsia="es-CR"/>
              </w:rPr>
            </w:pPr>
          </w:p>
        </w:tc>
        <w:tc>
          <w:tcPr>
            <w:tcW w:w="0" w:type="auto"/>
            <w:tcBorders>
              <w:top w:val="nil"/>
              <w:left w:val="nil"/>
              <w:bottom w:val="nil"/>
              <w:right w:val="nil"/>
            </w:tcBorders>
            <w:shd w:val="clear" w:color="auto" w:fill="auto"/>
            <w:vAlign w:val="bottom"/>
            <w:hideMark/>
          </w:tcPr>
          <w:p w14:paraId="194CCB01"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vAlign w:val="bottom"/>
            <w:hideMark/>
          </w:tcPr>
          <w:p w14:paraId="3214A042" w14:textId="77777777" w:rsidR="00B15F7D" w:rsidRPr="00990FB6" w:rsidRDefault="00B15F7D" w:rsidP="00B15F7D">
            <w:pPr>
              <w:rPr>
                <w:sz w:val="22"/>
                <w:szCs w:val="22"/>
                <w:lang w:eastAsia="es-CR"/>
              </w:rPr>
            </w:pPr>
          </w:p>
        </w:tc>
        <w:tc>
          <w:tcPr>
            <w:tcW w:w="0" w:type="auto"/>
            <w:gridSpan w:val="2"/>
            <w:tcBorders>
              <w:top w:val="nil"/>
              <w:left w:val="nil"/>
              <w:bottom w:val="nil"/>
              <w:right w:val="nil"/>
            </w:tcBorders>
            <w:shd w:val="clear" w:color="auto" w:fill="auto"/>
            <w:hideMark/>
          </w:tcPr>
          <w:p w14:paraId="5C54D4F9" w14:textId="77777777" w:rsidR="00B15F7D" w:rsidRPr="00990FB6" w:rsidRDefault="00B15F7D" w:rsidP="00B15F7D">
            <w:pPr>
              <w:rPr>
                <w:sz w:val="22"/>
                <w:szCs w:val="22"/>
                <w:lang w:eastAsia="es-CR"/>
              </w:rPr>
            </w:pPr>
          </w:p>
        </w:tc>
        <w:tc>
          <w:tcPr>
            <w:tcW w:w="0" w:type="auto"/>
            <w:gridSpan w:val="2"/>
            <w:tcBorders>
              <w:top w:val="nil"/>
              <w:left w:val="nil"/>
              <w:bottom w:val="nil"/>
              <w:right w:val="nil"/>
            </w:tcBorders>
            <w:shd w:val="clear" w:color="auto" w:fill="auto"/>
            <w:hideMark/>
          </w:tcPr>
          <w:p w14:paraId="3D7B3BDC" w14:textId="77777777" w:rsidR="00B15F7D" w:rsidRPr="00990FB6" w:rsidRDefault="00B15F7D" w:rsidP="00B15F7D">
            <w:pPr>
              <w:rPr>
                <w:sz w:val="22"/>
                <w:szCs w:val="22"/>
                <w:lang w:eastAsia="es-CR"/>
              </w:rPr>
            </w:pPr>
          </w:p>
        </w:tc>
      </w:tr>
      <w:tr w:rsidR="00B15F7D" w:rsidRPr="00990FB6" w14:paraId="05FB70FD" w14:textId="77777777" w:rsidTr="000A0C22">
        <w:trPr>
          <w:trHeight w:val="249"/>
          <w:jc w:val="center"/>
        </w:trPr>
        <w:tc>
          <w:tcPr>
            <w:tcW w:w="0" w:type="auto"/>
            <w:tcBorders>
              <w:top w:val="nil"/>
              <w:left w:val="nil"/>
              <w:bottom w:val="nil"/>
              <w:right w:val="nil"/>
            </w:tcBorders>
            <w:shd w:val="clear" w:color="auto" w:fill="auto"/>
            <w:hideMark/>
          </w:tcPr>
          <w:p w14:paraId="0B36E0C2"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vAlign w:val="bottom"/>
            <w:hideMark/>
          </w:tcPr>
          <w:p w14:paraId="535937C9" w14:textId="77777777" w:rsidR="00B15F7D" w:rsidRPr="00990FB6" w:rsidRDefault="00B15F7D" w:rsidP="00B15F7D">
            <w:pPr>
              <w:jc w:val="center"/>
              <w:rPr>
                <w:sz w:val="22"/>
                <w:szCs w:val="22"/>
                <w:lang w:eastAsia="es-CR"/>
              </w:rPr>
            </w:pPr>
            <w:r w:rsidRPr="00990FB6">
              <w:rPr>
                <w:sz w:val="22"/>
                <w:szCs w:val="22"/>
                <w:lang w:eastAsia="es-CR"/>
              </w:rPr>
              <w:t>40,0</w:t>
            </w:r>
          </w:p>
        </w:tc>
        <w:tc>
          <w:tcPr>
            <w:tcW w:w="0" w:type="auto"/>
            <w:tcBorders>
              <w:top w:val="nil"/>
              <w:left w:val="nil"/>
              <w:bottom w:val="nil"/>
              <w:right w:val="nil"/>
            </w:tcBorders>
            <w:shd w:val="clear" w:color="auto" w:fill="auto"/>
            <w:vAlign w:val="bottom"/>
            <w:hideMark/>
          </w:tcPr>
          <w:p w14:paraId="20BDF489" w14:textId="77777777" w:rsidR="00B15F7D" w:rsidRPr="00990FB6" w:rsidRDefault="00B15F7D" w:rsidP="00B15F7D">
            <w:pPr>
              <w:jc w:val="center"/>
              <w:rPr>
                <w:sz w:val="22"/>
                <w:szCs w:val="22"/>
                <w:lang w:eastAsia="es-CR"/>
              </w:rPr>
            </w:pPr>
            <w:r w:rsidRPr="00990FB6">
              <w:rPr>
                <w:sz w:val="22"/>
                <w:szCs w:val="22"/>
                <w:lang w:eastAsia="es-CR"/>
              </w:rPr>
              <w:t>50,0</w:t>
            </w:r>
          </w:p>
        </w:tc>
        <w:tc>
          <w:tcPr>
            <w:tcW w:w="0" w:type="auto"/>
            <w:tcBorders>
              <w:top w:val="nil"/>
              <w:left w:val="nil"/>
              <w:bottom w:val="nil"/>
              <w:right w:val="nil"/>
            </w:tcBorders>
            <w:shd w:val="clear" w:color="auto" w:fill="auto"/>
            <w:vAlign w:val="bottom"/>
            <w:hideMark/>
          </w:tcPr>
          <w:p w14:paraId="325AEF6E" w14:textId="77777777" w:rsidR="00B15F7D" w:rsidRPr="00990FB6" w:rsidRDefault="00B15F7D" w:rsidP="00B15F7D">
            <w:pPr>
              <w:jc w:val="center"/>
              <w:rPr>
                <w:sz w:val="22"/>
                <w:szCs w:val="22"/>
                <w:lang w:eastAsia="es-CR"/>
              </w:rPr>
            </w:pPr>
            <w:r w:rsidRPr="00990FB6">
              <w:rPr>
                <w:sz w:val="22"/>
                <w:szCs w:val="22"/>
                <w:lang w:eastAsia="es-CR"/>
              </w:rPr>
              <w:t>60,0</w:t>
            </w:r>
          </w:p>
        </w:tc>
        <w:tc>
          <w:tcPr>
            <w:tcW w:w="0" w:type="auto"/>
            <w:tcBorders>
              <w:top w:val="nil"/>
              <w:left w:val="nil"/>
              <w:bottom w:val="nil"/>
              <w:right w:val="nil"/>
            </w:tcBorders>
            <w:shd w:val="clear" w:color="auto" w:fill="auto"/>
            <w:vAlign w:val="bottom"/>
            <w:hideMark/>
          </w:tcPr>
          <w:p w14:paraId="65A0299F" w14:textId="77777777" w:rsidR="00B15F7D" w:rsidRPr="00990FB6" w:rsidRDefault="00B15F7D" w:rsidP="00B15F7D">
            <w:pPr>
              <w:jc w:val="center"/>
              <w:rPr>
                <w:sz w:val="22"/>
                <w:szCs w:val="22"/>
                <w:lang w:eastAsia="es-CR"/>
              </w:rPr>
            </w:pPr>
            <w:r w:rsidRPr="00990FB6">
              <w:rPr>
                <w:sz w:val="22"/>
                <w:szCs w:val="22"/>
                <w:lang w:eastAsia="es-CR"/>
              </w:rPr>
              <w:t>-</w:t>
            </w:r>
          </w:p>
        </w:tc>
        <w:tc>
          <w:tcPr>
            <w:tcW w:w="0" w:type="auto"/>
            <w:tcBorders>
              <w:top w:val="nil"/>
              <w:left w:val="nil"/>
              <w:bottom w:val="nil"/>
              <w:right w:val="nil"/>
            </w:tcBorders>
            <w:shd w:val="clear" w:color="auto" w:fill="auto"/>
            <w:vAlign w:val="bottom"/>
            <w:hideMark/>
          </w:tcPr>
          <w:p w14:paraId="4C69B0B9" w14:textId="77777777" w:rsidR="00B15F7D" w:rsidRPr="00990FB6" w:rsidRDefault="00B15F7D" w:rsidP="00B15F7D">
            <w:pPr>
              <w:jc w:val="center"/>
              <w:rPr>
                <w:sz w:val="22"/>
                <w:szCs w:val="22"/>
                <w:lang w:eastAsia="es-CR"/>
              </w:rPr>
            </w:pPr>
          </w:p>
        </w:tc>
        <w:tc>
          <w:tcPr>
            <w:tcW w:w="0" w:type="auto"/>
            <w:tcBorders>
              <w:top w:val="nil"/>
              <w:left w:val="nil"/>
              <w:bottom w:val="nil"/>
              <w:right w:val="nil"/>
            </w:tcBorders>
            <w:shd w:val="clear" w:color="auto" w:fill="auto"/>
            <w:vAlign w:val="bottom"/>
            <w:hideMark/>
          </w:tcPr>
          <w:p w14:paraId="0DAD7BA2" w14:textId="77777777" w:rsidR="00B15F7D" w:rsidRPr="00990FB6" w:rsidRDefault="00B15F7D" w:rsidP="00B15F7D">
            <w:pPr>
              <w:jc w:val="center"/>
              <w:rPr>
                <w:sz w:val="22"/>
                <w:szCs w:val="22"/>
                <w:lang w:eastAsia="es-CR"/>
              </w:rPr>
            </w:pPr>
            <w:r w:rsidRPr="00990FB6">
              <w:rPr>
                <w:sz w:val="22"/>
                <w:szCs w:val="22"/>
                <w:lang w:eastAsia="es-CR"/>
              </w:rPr>
              <w:t>-</w:t>
            </w:r>
          </w:p>
        </w:tc>
        <w:tc>
          <w:tcPr>
            <w:tcW w:w="0" w:type="auto"/>
            <w:tcBorders>
              <w:top w:val="nil"/>
              <w:left w:val="nil"/>
              <w:bottom w:val="nil"/>
              <w:right w:val="nil"/>
            </w:tcBorders>
            <w:shd w:val="clear" w:color="auto" w:fill="auto"/>
            <w:vAlign w:val="bottom"/>
            <w:hideMark/>
          </w:tcPr>
          <w:p w14:paraId="536CA1D5" w14:textId="77777777" w:rsidR="00B15F7D" w:rsidRPr="00990FB6" w:rsidRDefault="00B15F7D" w:rsidP="00B15F7D">
            <w:pPr>
              <w:jc w:val="center"/>
              <w:rPr>
                <w:sz w:val="22"/>
                <w:szCs w:val="22"/>
                <w:lang w:eastAsia="es-CR"/>
              </w:rPr>
            </w:pPr>
          </w:p>
        </w:tc>
        <w:tc>
          <w:tcPr>
            <w:tcW w:w="0" w:type="auto"/>
            <w:tcBorders>
              <w:top w:val="nil"/>
              <w:left w:val="nil"/>
              <w:bottom w:val="nil"/>
              <w:right w:val="nil"/>
            </w:tcBorders>
            <w:shd w:val="clear" w:color="auto" w:fill="auto"/>
            <w:vAlign w:val="bottom"/>
            <w:hideMark/>
          </w:tcPr>
          <w:p w14:paraId="09895A20"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vAlign w:val="bottom"/>
            <w:hideMark/>
          </w:tcPr>
          <w:p w14:paraId="755326C2"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hideMark/>
          </w:tcPr>
          <w:p w14:paraId="1202D5F8" w14:textId="77777777" w:rsidR="00B15F7D" w:rsidRPr="00990FB6" w:rsidRDefault="00B15F7D" w:rsidP="00B15F7D">
            <w:pPr>
              <w:rPr>
                <w:sz w:val="22"/>
                <w:szCs w:val="22"/>
                <w:lang w:eastAsia="es-CR"/>
              </w:rPr>
            </w:pPr>
          </w:p>
        </w:tc>
        <w:tc>
          <w:tcPr>
            <w:tcW w:w="0" w:type="auto"/>
            <w:tcBorders>
              <w:top w:val="nil"/>
              <w:left w:val="nil"/>
              <w:bottom w:val="nil"/>
              <w:right w:val="nil"/>
            </w:tcBorders>
            <w:shd w:val="clear" w:color="auto" w:fill="auto"/>
            <w:hideMark/>
          </w:tcPr>
          <w:p w14:paraId="11D73761" w14:textId="77777777" w:rsidR="00B15F7D" w:rsidRPr="00990FB6" w:rsidRDefault="00B15F7D" w:rsidP="00B15F7D">
            <w:pPr>
              <w:jc w:val="right"/>
              <w:rPr>
                <w:sz w:val="22"/>
                <w:szCs w:val="22"/>
                <w:lang w:eastAsia="es-CR"/>
              </w:rPr>
            </w:pPr>
          </w:p>
        </w:tc>
        <w:tc>
          <w:tcPr>
            <w:tcW w:w="0" w:type="auto"/>
            <w:tcBorders>
              <w:top w:val="nil"/>
              <w:left w:val="nil"/>
              <w:bottom w:val="nil"/>
              <w:right w:val="nil"/>
            </w:tcBorders>
            <w:shd w:val="clear" w:color="auto" w:fill="auto"/>
            <w:hideMark/>
          </w:tcPr>
          <w:p w14:paraId="08744521" w14:textId="77777777" w:rsidR="00B15F7D" w:rsidRPr="00990FB6" w:rsidRDefault="00B15F7D" w:rsidP="00B15F7D">
            <w:pPr>
              <w:jc w:val="right"/>
              <w:rPr>
                <w:sz w:val="22"/>
                <w:szCs w:val="22"/>
                <w:lang w:eastAsia="es-CR"/>
              </w:rPr>
            </w:pPr>
          </w:p>
        </w:tc>
        <w:tc>
          <w:tcPr>
            <w:tcW w:w="0" w:type="auto"/>
            <w:tcBorders>
              <w:top w:val="nil"/>
              <w:left w:val="nil"/>
              <w:bottom w:val="nil"/>
              <w:right w:val="nil"/>
            </w:tcBorders>
            <w:shd w:val="clear" w:color="auto" w:fill="auto"/>
            <w:hideMark/>
          </w:tcPr>
          <w:p w14:paraId="6F8CC200" w14:textId="77777777" w:rsidR="00B15F7D" w:rsidRPr="00990FB6" w:rsidRDefault="00B15F7D" w:rsidP="00B15F7D">
            <w:pPr>
              <w:jc w:val="right"/>
              <w:rPr>
                <w:sz w:val="22"/>
                <w:szCs w:val="22"/>
                <w:lang w:eastAsia="es-CR"/>
              </w:rPr>
            </w:pPr>
          </w:p>
        </w:tc>
      </w:tr>
      <w:tr w:rsidR="00B15F7D" w:rsidRPr="00990FB6" w14:paraId="5EB7E453" w14:textId="77777777" w:rsidTr="000A0C22">
        <w:trPr>
          <w:trHeight w:val="331"/>
          <w:jc w:val="center"/>
        </w:trPr>
        <w:tc>
          <w:tcPr>
            <w:tcW w:w="0" w:type="auto"/>
            <w:gridSpan w:val="2"/>
            <w:tcBorders>
              <w:top w:val="nil"/>
              <w:left w:val="nil"/>
              <w:bottom w:val="nil"/>
              <w:right w:val="nil"/>
            </w:tcBorders>
            <w:shd w:val="clear" w:color="auto" w:fill="auto"/>
            <w:hideMark/>
          </w:tcPr>
          <w:p w14:paraId="1A2A5E79" w14:textId="77777777" w:rsidR="00B15F7D" w:rsidRPr="00990FB6" w:rsidRDefault="00B15F7D" w:rsidP="00B15F7D">
            <w:pPr>
              <w:rPr>
                <w:b/>
                <w:bCs/>
                <w:sz w:val="22"/>
                <w:szCs w:val="22"/>
                <w:lang w:eastAsia="es-CR"/>
              </w:rPr>
            </w:pPr>
          </w:p>
          <w:p w14:paraId="66770326" w14:textId="77777777" w:rsidR="00B15F7D" w:rsidRPr="00990FB6" w:rsidRDefault="00B15F7D" w:rsidP="00B15F7D">
            <w:pPr>
              <w:rPr>
                <w:b/>
                <w:bCs/>
                <w:sz w:val="22"/>
                <w:szCs w:val="22"/>
                <w:lang w:eastAsia="es-CR"/>
              </w:rPr>
            </w:pPr>
            <w:r w:rsidRPr="00990FB6">
              <w:rPr>
                <w:b/>
                <w:bCs/>
                <w:sz w:val="22"/>
                <w:szCs w:val="22"/>
                <w:lang w:eastAsia="es-CR"/>
              </w:rPr>
              <w:t>Fuente de Datos:</w:t>
            </w:r>
          </w:p>
        </w:tc>
        <w:tc>
          <w:tcPr>
            <w:tcW w:w="0" w:type="auto"/>
            <w:gridSpan w:val="12"/>
            <w:tcBorders>
              <w:top w:val="nil"/>
              <w:left w:val="nil"/>
              <w:bottom w:val="nil"/>
              <w:right w:val="nil"/>
            </w:tcBorders>
            <w:shd w:val="clear" w:color="auto" w:fill="auto"/>
            <w:vAlign w:val="bottom"/>
            <w:hideMark/>
          </w:tcPr>
          <w:p w14:paraId="7EC0B5AC" w14:textId="77777777" w:rsidR="00B15F7D" w:rsidRPr="00990FB6" w:rsidRDefault="00B15F7D" w:rsidP="00B15F7D">
            <w:pPr>
              <w:widowControl w:val="0"/>
              <w:suppressAutoHyphens w:val="0"/>
              <w:autoSpaceDE w:val="0"/>
              <w:autoSpaceDN w:val="0"/>
              <w:adjustRightInd w:val="0"/>
              <w:jc w:val="both"/>
              <w:rPr>
                <w:sz w:val="22"/>
                <w:szCs w:val="22"/>
                <w:lang w:eastAsia="es-ES"/>
              </w:rPr>
            </w:pPr>
          </w:p>
          <w:p w14:paraId="420684C4" w14:textId="77777777" w:rsidR="00B15F7D" w:rsidRPr="00990FB6" w:rsidRDefault="00B15F7D" w:rsidP="00B15F7D">
            <w:pPr>
              <w:widowControl w:val="0"/>
              <w:suppressAutoHyphens w:val="0"/>
              <w:autoSpaceDE w:val="0"/>
              <w:autoSpaceDN w:val="0"/>
              <w:adjustRightInd w:val="0"/>
              <w:jc w:val="both"/>
              <w:rPr>
                <w:sz w:val="22"/>
                <w:szCs w:val="22"/>
                <w:lang w:eastAsia="es-ES"/>
              </w:rPr>
            </w:pPr>
            <w:r w:rsidRPr="00990FB6">
              <w:rPr>
                <w:sz w:val="22"/>
                <w:szCs w:val="22"/>
                <w:lang w:eastAsia="es-ES"/>
              </w:rPr>
              <w:t xml:space="preserve">Se consigna la información en la tabla de registro denominada: libro control estadístico de la Unidad de Protección a las Víctimas. </w:t>
            </w:r>
          </w:p>
          <w:p w14:paraId="0F2021A8" w14:textId="77777777" w:rsidR="00B15F7D" w:rsidRPr="00990FB6" w:rsidRDefault="00B15F7D" w:rsidP="00B15F7D">
            <w:pPr>
              <w:jc w:val="both"/>
              <w:rPr>
                <w:sz w:val="22"/>
                <w:szCs w:val="22"/>
                <w:lang w:eastAsia="es-CR"/>
              </w:rPr>
            </w:pPr>
          </w:p>
        </w:tc>
      </w:tr>
      <w:tr w:rsidR="00B15F7D" w:rsidRPr="00990FB6" w14:paraId="2AF2020A" w14:textId="77777777" w:rsidTr="000A0C22">
        <w:trPr>
          <w:trHeight w:val="2173"/>
          <w:jc w:val="center"/>
        </w:trPr>
        <w:tc>
          <w:tcPr>
            <w:tcW w:w="0" w:type="auto"/>
            <w:gridSpan w:val="2"/>
            <w:tcBorders>
              <w:top w:val="nil"/>
              <w:left w:val="nil"/>
              <w:bottom w:val="single" w:sz="8" w:space="0" w:color="000000"/>
              <w:right w:val="nil"/>
            </w:tcBorders>
            <w:shd w:val="clear" w:color="auto" w:fill="auto"/>
            <w:hideMark/>
          </w:tcPr>
          <w:p w14:paraId="4FBF2A21" w14:textId="77777777" w:rsidR="00B15F7D" w:rsidRPr="00990FB6" w:rsidRDefault="00B15F7D" w:rsidP="00B15F7D">
            <w:pPr>
              <w:rPr>
                <w:b/>
                <w:bCs/>
                <w:sz w:val="22"/>
                <w:szCs w:val="22"/>
                <w:lang w:eastAsia="es-CR"/>
              </w:rPr>
            </w:pPr>
          </w:p>
          <w:p w14:paraId="73C015FE" w14:textId="77777777" w:rsidR="00B15F7D" w:rsidRPr="00990FB6" w:rsidRDefault="00B15F7D" w:rsidP="00B15F7D">
            <w:pPr>
              <w:rPr>
                <w:b/>
                <w:bCs/>
                <w:sz w:val="22"/>
                <w:szCs w:val="22"/>
                <w:lang w:eastAsia="es-CR"/>
              </w:rPr>
            </w:pPr>
            <w:r w:rsidRPr="00990FB6">
              <w:rPr>
                <w:b/>
                <w:bCs/>
                <w:sz w:val="22"/>
                <w:szCs w:val="22"/>
                <w:lang w:eastAsia="es-CR"/>
              </w:rPr>
              <w:t>Notas Técnicas:</w:t>
            </w:r>
          </w:p>
        </w:tc>
        <w:tc>
          <w:tcPr>
            <w:tcW w:w="0" w:type="auto"/>
            <w:gridSpan w:val="12"/>
            <w:tcBorders>
              <w:top w:val="nil"/>
              <w:left w:val="nil"/>
              <w:bottom w:val="single" w:sz="8" w:space="0" w:color="000000"/>
              <w:right w:val="nil"/>
            </w:tcBorders>
            <w:shd w:val="clear" w:color="auto" w:fill="auto"/>
            <w:hideMark/>
          </w:tcPr>
          <w:p w14:paraId="2B18A198" w14:textId="77777777" w:rsidR="00B15F7D" w:rsidRPr="00990FB6" w:rsidRDefault="00B15F7D" w:rsidP="00B15F7D">
            <w:pPr>
              <w:jc w:val="both"/>
              <w:rPr>
                <w:b/>
                <w:bCs/>
                <w:sz w:val="22"/>
                <w:szCs w:val="22"/>
              </w:rPr>
            </w:pPr>
          </w:p>
          <w:p w14:paraId="6AFC027B" w14:textId="77777777" w:rsidR="00B15F7D" w:rsidRPr="00990FB6" w:rsidRDefault="00B15F7D" w:rsidP="00B15F7D">
            <w:pPr>
              <w:jc w:val="both"/>
              <w:rPr>
                <w:sz w:val="22"/>
                <w:szCs w:val="22"/>
              </w:rPr>
            </w:pPr>
            <w:r w:rsidRPr="00990FB6">
              <w:rPr>
                <w:sz w:val="22"/>
                <w:szCs w:val="22"/>
              </w:rPr>
              <w:t xml:space="preserve">Víctimas indígenas depositarios de medidas cautelares: Persona indígena habitante de los territorios Bribri de Salitre o Térraba, pueblos involucrados en denuncia internacional de la que la Corte Interamericana de los Derechos Humanos emite medida cautelar internacional bajo el numeral 321-12 que pesa sobre el estado de la República de Costa Rica.  </w:t>
            </w:r>
          </w:p>
          <w:p w14:paraId="60F826B6" w14:textId="77777777" w:rsidR="00B15F7D" w:rsidRPr="00990FB6" w:rsidRDefault="00B15F7D" w:rsidP="00B15F7D">
            <w:pPr>
              <w:jc w:val="both"/>
              <w:rPr>
                <w:sz w:val="22"/>
                <w:szCs w:val="22"/>
                <w:lang w:eastAsia="es-CR"/>
              </w:rPr>
            </w:pPr>
          </w:p>
        </w:tc>
      </w:tr>
    </w:tbl>
    <w:p w14:paraId="2144FF05" w14:textId="77777777" w:rsidR="00B15F7D" w:rsidRPr="00990FB6" w:rsidRDefault="00B15F7D" w:rsidP="00B15F7D">
      <w:pPr>
        <w:jc w:val="both"/>
        <w:rPr>
          <w:sz w:val="22"/>
          <w:szCs w:val="22"/>
        </w:rPr>
      </w:pPr>
    </w:p>
    <w:p w14:paraId="6EF81DEF" w14:textId="77777777" w:rsidR="00B15F7D" w:rsidRPr="00990FB6" w:rsidRDefault="00B15F7D" w:rsidP="00B15F7D">
      <w:pPr>
        <w:ind w:left="851" w:right="851" w:firstLine="709"/>
        <w:jc w:val="both"/>
        <w:rPr>
          <w:sz w:val="22"/>
          <w:szCs w:val="22"/>
        </w:rPr>
      </w:pPr>
      <w:r w:rsidRPr="00990FB6">
        <w:rPr>
          <w:sz w:val="22"/>
          <w:szCs w:val="22"/>
        </w:rPr>
        <w:t>De acuerdo con lo anterior se comunica por cuanto esta modificación también se debe aplicar en la Programación Presupuestaria del 2024 de este Programa.</w:t>
      </w:r>
    </w:p>
    <w:p w14:paraId="3FA13FBA" w14:textId="77777777" w:rsidR="00B15F7D" w:rsidRPr="00990FB6" w:rsidRDefault="00B15F7D" w:rsidP="00B15F7D">
      <w:pPr>
        <w:ind w:left="851" w:right="851" w:firstLine="709"/>
        <w:jc w:val="both"/>
        <w:rPr>
          <w:sz w:val="22"/>
          <w:szCs w:val="22"/>
        </w:rPr>
      </w:pPr>
    </w:p>
    <w:p w14:paraId="28169D9C" w14:textId="77777777" w:rsidR="00B15F7D" w:rsidRPr="00990FB6" w:rsidRDefault="00B15F7D" w:rsidP="00B15F7D">
      <w:pPr>
        <w:ind w:left="851" w:right="851"/>
        <w:jc w:val="center"/>
        <w:rPr>
          <w:sz w:val="22"/>
          <w:szCs w:val="22"/>
        </w:rPr>
      </w:pPr>
      <w:r w:rsidRPr="00990FB6">
        <w:rPr>
          <w:sz w:val="22"/>
          <w:szCs w:val="22"/>
        </w:rPr>
        <w:t>- 0 -</w:t>
      </w:r>
    </w:p>
    <w:p w14:paraId="06A937C0" w14:textId="77777777" w:rsidR="00B15F7D" w:rsidRPr="00990FB6" w:rsidRDefault="00B15F7D" w:rsidP="00B15F7D">
      <w:pPr>
        <w:ind w:left="851" w:right="851" w:firstLine="709"/>
        <w:jc w:val="center"/>
        <w:rPr>
          <w:sz w:val="22"/>
          <w:szCs w:val="22"/>
        </w:rPr>
      </w:pPr>
    </w:p>
    <w:p w14:paraId="24CC7E91" w14:textId="77777777" w:rsidR="00B15F7D" w:rsidRPr="00990FB6" w:rsidRDefault="00B15F7D" w:rsidP="00B15F7D">
      <w:pPr>
        <w:suppressAutoHyphens w:val="0"/>
        <w:ind w:left="851" w:right="851" w:firstLine="709"/>
        <w:jc w:val="both"/>
        <w:rPr>
          <w:bCs/>
          <w:sz w:val="22"/>
          <w:szCs w:val="22"/>
        </w:rPr>
      </w:pPr>
      <w:r w:rsidRPr="00990FB6">
        <w:rPr>
          <w:b/>
          <w:bCs/>
          <w:sz w:val="22"/>
          <w:szCs w:val="22"/>
        </w:rPr>
        <w:t>Se acuerda: 1)</w:t>
      </w:r>
      <w:r w:rsidRPr="00990FB6">
        <w:rPr>
          <w:sz w:val="22"/>
          <w:szCs w:val="22"/>
        </w:rPr>
        <w:t xml:space="preserve"> Se toma nota de la modificación realizada al indicador PF.01.04. del Programa 950 Servicio de Atención y Protección de Víctimas y Testigos. </w:t>
      </w:r>
      <w:r w:rsidRPr="00990FB6">
        <w:rPr>
          <w:b/>
          <w:bCs/>
          <w:sz w:val="22"/>
          <w:szCs w:val="22"/>
        </w:rPr>
        <w:t>2)</w:t>
      </w:r>
      <w:r w:rsidRPr="00990FB6">
        <w:rPr>
          <w:sz w:val="22"/>
          <w:szCs w:val="22"/>
        </w:rPr>
        <w:t xml:space="preserve"> Se autoriza realizar esta modificación tanto en la Programación Presupuestaria 2023 como también en la del 2024 que se estará remitiendo a conocimiento y aprobación de Corte Plena.</w:t>
      </w:r>
      <w:r w:rsidRPr="00990FB6">
        <w:rPr>
          <w:b/>
          <w:bCs/>
          <w:sz w:val="22"/>
          <w:szCs w:val="22"/>
        </w:rPr>
        <w:t xml:space="preserve"> Se declara acuerdo firme.</w:t>
      </w:r>
      <w:r w:rsidRPr="00990FB6">
        <w:rPr>
          <w:bCs/>
          <w:sz w:val="22"/>
          <w:szCs w:val="22"/>
        </w:rPr>
        <w:t>”</w:t>
      </w:r>
    </w:p>
    <w:p w14:paraId="542054E5" w14:textId="77777777" w:rsidR="00B15F7D" w:rsidRPr="00990FB6" w:rsidRDefault="00B15F7D" w:rsidP="00B15F7D">
      <w:pPr>
        <w:suppressAutoHyphens w:val="0"/>
        <w:ind w:right="851"/>
        <w:jc w:val="both"/>
        <w:rPr>
          <w:b/>
          <w:bCs/>
          <w:sz w:val="22"/>
          <w:szCs w:val="22"/>
        </w:rPr>
      </w:pPr>
    </w:p>
    <w:p w14:paraId="7765B552" w14:textId="77777777" w:rsidR="00B15F7D" w:rsidRPr="00990FB6" w:rsidRDefault="00B15F7D" w:rsidP="00B15F7D">
      <w:pPr>
        <w:ind w:left="851" w:right="851"/>
        <w:jc w:val="center"/>
        <w:rPr>
          <w:sz w:val="22"/>
          <w:szCs w:val="22"/>
        </w:rPr>
      </w:pPr>
      <w:r w:rsidRPr="00990FB6">
        <w:rPr>
          <w:sz w:val="22"/>
          <w:szCs w:val="22"/>
        </w:rPr>
        <w:t>- 0 -</w:t>
      </w:r>
    </w:p>
    <w:p w14:paraId="13EA0CB8" w14:textId="77777777" w:rsidR="00B15F7D" w:rsidRPr="00990FB6" w:rsidRDefault="00B15F7D" w:rsidP="00B15F7D">
      <w:pPr>
        <w:suppressAutoHyphens w:val="0"/>
        <w:ind w:left="851" w:right="851" w:firstLine="709"/>
        <w:jc w:val="both"/>
        <w:rPr>
          <w:bCs/>
          <w:sz w:val="22"/>
          <w:szCs w:val="22"/>
        </w:rPr>
      </w:pPr>
    </w:p>
    <w:p w14:paraId="14F6A120" w14:textId="5621F8C4" w:rsidR="00B15F7D" w:rsidRPr="00990FB6" w:rsidRDefault="00B15F7D" w:rsidP="00B15F7D">
      <w:pPr>
        <w:suppressAutoHyphens w:val="0"/>
        <w:ind w:firstLine="709"/>
        <w:jc w:val="both"/>
        <w:rPr>
          <w:bCs/>
          <w:sz w:val="22"/>
          <w:szCs w:val="22"/>
        </w:rPr>
      </w:pPr>
      <w:r w:rsidRPr="00990FB6">
        <w:rPr>
          <w:bCs/>
          <w:sz w:val="22"/>
          <w:szCs w:val="22"/>
        </w:rPr>
        <w:t xml:space="preserve">El Consejo Superior, remite el acuerdo tomado en sesión extraordinaria de presupuesto </w:t>
      </w:r>
      <w:proofErr w:type="spellStart"/>
      <w:r w:rsidRPr="00990FB6">
        <w:rPr>
          <w:bCs/>
          <w:sz w:val="22"/>
          <w:szCs w:val="22"/>
        </w:rPr>
        <w:t>N°</w:t>
      </w:r>
      <w:proofErr w:type="spellEnd"/>
      <w:r w:rsidRPr="00990FB6">
        <w:rPr>
          <w:bCs/>
          <w:sz w:val="22"/>
          <w:szCs w:val="22"/>
        </w:rPr>
        <w:t xml:space="preserve"> 32-2023 celebrada el 19 de abril del 2023, artículo XXXVI, que literalmente dice:</w:t>
      </w:r>
    </w:p>
    <w:p w14:paraId="70516C04" w14:textId="77777777" w:rsidR="006E4ED2" w:rsidRPr="00990FB6" w:rsidRDefault="006E4ED2" w:rsidP="00B15F7D">
      <w:pPr>
        <w:suppressAutoHyphens w:val="0"/>
        <w:ind w:firstLine="709"/>
        <w:jc w:val="both"/>
        <w:rPr>
          <w:bCs/>
          <w:sz w:val="22"/>
          <w:szCs w:val="22"/>
        </w:rPr>
      </w:pPr>
    </w:p>
    <w:p w14:paraId="548FF787" w14:textId="77777777" w:rsidR="00B15F7D" w:rsidRPr="00990FB6" w:rsidRDefault="00B15F7D" w:rsidP="00B15F7D">
      <w:pPr>
        <w:keepNext/>
        <w:keepLines/>
        <w:ind w:left="851" w:right="851" w:firstLine="709"/>
        <w:jc w:val="both"/>
        <w:rPr>
          <w:sz w:val="22"/>
          <w:szCs w:val="22"/>
        </w:rPr>
      </w:pPr>
      <w:r w:rsidRPr="00990FB6">
        <w:rPr>
          <w:bCs/>
          <w:sz w:val="22"/>
          <w:szCs w:val="22"/>
        </w:rPr>
        <w:lastRenderedPageBreak/>
        <w:t>“</w:t>
      </w:r>
      <w:r w:rsidRPr="00990FB6">
        <w:rPr>
          <w:rFonts w:eastAsiaTheme="majorEastAsia"/>
          <w:sz w:val="22"/>
          <w:szCs w:val="22"/>
        </w:rPr>
        <w:t>(…)</w:t>
      </w:r>
    </w:p>
    <w:p w14:paraId="3217EB02" w14:textId="77777777" w:rsidR="00B15F7D" w:rsidRPr="00990FB6" w:rsidRDefault="00B15F7D" w:rsidP="00B15F7D">
      <w:pPr>
        <w:ind w:left="851" w:right="851" w:firstLine="709"/>
        <w:jc w:val="both"/>
        <w:rPr>
          <w:b/>
          <w:bCs/>
          <w:sz w:val="22"/>
          <w:szCs w:val="22"/>
        </w:rPr>
      </w:pPr>
    </w:p>
    <w:p w14:paraId="5A9F73F5" w14:textId="77777777" w:rsidR="00B15F7D" w:rsidRPr="00990FB6" w:rsidRDefault="00B15F7D" w:rsidP="00B15F7D">
      <w:pPr>
        <w:ind w:left="851" w:right="851" w:firstLine="709"/>
        <w:jc w:val="both"/>
        <w:rPr>
          <w:b/>
          <w:bCs/>
          <w:sz w:val="22"/>
          <w:szCs w:val="22"/>
        </w:rPr>
      </w:pPr>
      <w:r w:rsidRPr="00990FB6">
        <w:rPr>
          <w:b/>
          <w:bCs/>
          <w:sz w:val="22"/>
          <w:szCs w:val="22"/>
        </w:rPr>
        <w:t xml:space="preserve">DOCUMENTO </w:t>
      </w:r>
      <w:proofErr w:type="spellStart"/>
      <w:r w:rsidRPr="00990FB6">
        <w:rPr>
          <w:b/>
          <w:bCs/>
          <w:sz w:val="22"/>
          <w:szCs w:val="22"/>
        </w:rPr>
        <w:t>N°</w:t>
      </w:r>
      <w:proofErr w:type="spellEnd"/>
      <w:r w:rsidRPr="00990FB6">
        <w:rPr>
          <w:b/>
          <w:bCs/>
          <w:sz w:val="22"/>
          <w:szCs w:val="22"/>
        </w:rPr>
        <w:t xml:space="preserve"> 4189-2023</w:t>
      </w:r>
    </w:p>
    <w:p w14:paraId="32305BBE" w14:textId="77777777" w:rsidR="00B15F7D" w:rsidRPr="00990FB6" w:rsidRDefault="00B15F7D" w:rsidP="00B15F7D">
      <w:pPr>
        <w:ind w:left="851" w:right="851" w:firstLine="709"/>
        <w:jc w:val="both"/>
        <w:rPr>
          <w:b/>
          <w:bCs/>
          <w:sz w:val="22"/>
          <w:szCs w:val="22"/>
        </w:rPr>
      </w:pPr>
    </w:p>
    <w:p w14:paraId="043C446B" w14:textId="77777777" w:rsidR="00B15F7D" w:rsidRPr="00990FB6" w:rsidRDefault="00B15F7D" w:rsidP="00B15F7D">
      <w:pPr>
        <w:ind w:left="851" w:right="851" w:firstLine="709"/>
        <w:jc w:val="both"/>
        <w:rPr>
          <w:sz w:val="22"/>
          <w:szCs w:val="22"/>
          <w:lang w:val="es-MX"/>
        </w:rPr>
      </w:pPr>
      <w:r w:rsidRPr="00990FB6">
        <w:rPr>
          <w:sz w:val="22"/>
          <w:szCs w:val="22"/>
          <w:lang w:val="es-MX"/>
        </w:rPr>
        <w:t>La licenciada Nacira Valverde Bermúdez, Directora de Planificación, presentó el informe 268- PLA-RH-MI(NPL)-2023 Actualización costos de implementación de la Ley 9458 -Ley de Bienestar de los Animales para 2024, que dice:</w:t>
      </w:r>
    </w:p>
    <w:p w14:paraId="17197FC9" w14:textId="77777777" w:rsidR="00B15F7D" w:rsidRPr="00990FB6" w:rsidRDefault="00B15F7D" w:rsidP="00B15F7D">
      <w:pPr>
        <w:ind w:left="851" w:right="851" w:firstLine="709"/>
        <w:jc w:val="both"/>
        <w:rPr>
          <w:sz w:val="22"/>
          <w:szCs w:val="22"/>
          <w:lang w:val="es-MX"/>
        </w:rPr>
      </w:pPr>
    </w:p>
    <w:p w14:paraId="4847FD5D" w14:textId="77777777" w:rsidR="00B15F7D" w:rsidRPr="00990FB6" w:rsidRDefault="00B15F7D" w:rsidP="00254CD4">
      <w:pPr>
        <w:numPr>
          <w:ilvl w:val="0"/>
          <w:numId w:val="203"/>
        </w:numPr>
        <w:suppressAutoHyphens w:val="0"/>
        <w:ind w:left="851" w:right="851" w:firstLine="709"/>
        <w:jc w:val="both"/>
        <w:rPr>
          <w:rFonts w:eastAsiaTheme="majorEastAsia"/>
          <w:b/>
          <w:bCs/>
          <w:sz w:val="22"/>
          <w:szCs w:val="22"/>
        </w:rPr>
      </w:pPr>
      <w:bookmarkStart w:id="75" w:name="_Toc37670444"/>
      <w:r w:rsidRPr="00990FB6">
        <w:rPr>
          <w:rFonts w:eastAsiaTheme="majorEastAsia"/>
          <w:b/>
          <w:bCs/>
          <w:sz w:val="22"/>
          <w:szCs w:val="22"/>
        </w:rPr>
        <w:t>“Antecedentes</w:t>
      </w:r>
      <w:bookmarkEnd w:id="75"/>
    </w:p>
    <w:p w14:paraId="0CCFAD3C" w14:textId="77777777" w:rsidR="00B15F7D" w:rsidRPr="00990FB6" w:rsidRDefault="00B15F7D" w:rsidP="00B15F7D">
      <w:pPr>
        <w:suppressAutoHyphens w:val="0"/>
        <w:ind w:left="851" w:right="851" w:firstLine="709"/>
        <w:jc w:val="both"/>
        <w:rPr>
          <w:rFonts w:eastAsiaTheme="majorEastAsia"/>
          <w:b/>
          <w:bCs/>
          <w:sz w:val="22"/>
          <w:szCs w:val="22"/>
        </w:rPr>
      </w:pPr>
    </w:p>
    <w:p w14:paraId="16357F1C" w14:textId="77777777" w:rsidR="00B15F7D" w:rsidRPr="00990FB6" w:rsidRDefault="00B15F7D" w:rsidP="00254CD4">
      <w:pPr>
        <w:numPr>
          <w:ilvl w:val="1"/>
          <w:numId w:val="203"/>
        </w:numPr>
        <w:suppressAutoHyphens w:val="0"/>
        <w:ind w:left="851" w:right="851" w:firstLine="709"/>
        <w:jc w:val="both"/>
        <w:rPr>
          <w:sz w:val="22"/>
          <w:szCs w:val="22"/>
        </w:rPr>
      </w:pPr>
      <w:r w:rsidRPr="00990FB6">
        <w:rPr>
          <w:sz w:val="22"/>
          <w:szCs w:val="22"/>
        </w:rPr>
        <w:t>Desde el 2016 se han realizado estudios para analizar el impacto presupuestario de implementar la Ley de Bienestar Animal:</w:t>
      </w:r>
    </w:p>
    <w:p w14:paraId="1D5A2460" w14:textId="77777777" w:rsidR="00B15F7D" w:rsidRPr="00990FB6" w:rsidRDefault="00B15F7D" w:rsidP="00B15F7D">
      <w:pPr>
        <w:ind w:left="851" w:right="851" w:firstLine="709"/>
        <w:jc w:val="both"/>
        <w:rPr>
          <w:sz w:val="22"/>
          <w:szCs w:val="22"/>
        </w:rPr>
      </w:pPr>
    </w:p>
    <w:p w14:paraId="26322A21" w14:textId="77777777" w:rsidR="00B15F7D" w:rsidRPr="00990FB6" w:rsidRDefault="00B15F7D" w:rsidP="00254CD4">
      <w:pPr>
        <w:numPr>
          <w:ilvl w:val="0"/>
          <w:numId w:val="208"/>
        </w:numPr>
        <w:shd w:val="clear" w:color="auto" w:fill="FFFFFF"/>
        <w:suppressAutoHyphens w:val="0"/>
        <w:ind w:left="851" w:right="851" w:firstLine="709"/>
        <w:jc w:val="both"/>
        <w:rPr>
          <w:sz w:val="22"/>
          <w:szCs w:val="22"/>
          <w:lang w:eastAsia="es-CR"/>
        </w:rPr>
      </w:pPr>
      <w:r w:rsidRPr="00990FB6">
        <w:rPr>
          <w:sz w:val="22"/>
          <w:szCs w:val="22"/>
          <w:lang w:eastAsia="es-CR"/>
        </w:rPr>
        <w:t>Oficio de la Secretaría General de la Corte 5060-16 de mayo de 2016 donde “</w:t>
      </w:r>
      <w:r w:rsidRPr="00990FB6">
        <w:rPr>
          <w:i/>
          <w:iCs/>
          <w:sz w:val="22"/>
          <w:szCs w:val="22"/>
          <w:lang w:eastAsia="es-CR"/>
        </w:rPr>
        <w:t>con el fin de que se rinda el informe correspondiente adjunto le remito, oficio AG-093-2016 de fecha 4 de mayo del año en curso, en que el Diputado Otto Guevara Guth, Jefe de Fracción del Movimiento Libertario, solicita un informe sobre el impacto económico para el Poder Judicial en caso de aprobarse la Ley de Bienestar Animal, expediente No.18298</w:t>
      </w:r>
      <w:r w:rsidRPr="00990FB6">
        <w:rPr>
          <w:sz w:val="22"/>
          <w:szCs w:val="22"/>
          <w:lang w:eastAsia="es-CR"/>
        </w:rPr>
        <w:t xml:space="preserve">.”. La solicitud se atendió por parte de la Dirección de Planificación mediante informe 1092-PLA-2016 del 04 de julio de 2016 adicionado mediante oficio </w:t>
      </w:r>
      <w:r w:rsidRPr="00990FB6">
        <w:rPr>
          <w:sz w:val="22"/>
          <w:szCs w:val="22"/>
          <w:shd w:val="clear" w:color="auto" w:fill="FFFFFF"/>
        </w:rPr>
        <w:t>1156-PLA-2016-B del 20 de julio de 2016.</w:t>
      </w:r>
    </w:p>
    <w:p w14:paraId="6D86F0C1" w14:textId="77777777" w:rsidR="00B15F7D" w:rsidRPr="00990FB6" w:rsidRDefault="00B15F7D" w:rsidP="00B15F7D">
      <w:pPr>
        <w:shd w:val="clear" w:color="auto" w:fill="FFFFFF"/>
        <w:ind w:left="851" w:right="851" w:firstLine="709"/>
        <w:jc w:val="both"/>
        <w:rPr>
          <w:sz w:val="22"/>
          <w:szCs w:val="22"/>
          <w:lang w:eastAsia="es-CR"/>
        </w:rPr>
      </w:pPr>
    </w:p>
    <w:p w14:paraId="6CCF01DD" w14:textId="77777777" w:rsidR="00B15F7D" w:rsidRPr="00990FB6" w:rsidRDefault="00B15F7D" w:rsidP="00B15F7D">
      <w:pPr>
        <w:shd w:val="clear" w:color="auto" w:fill="FFFFFF"/>
        <w:ind w:left="851" w:right="851" w:firstLine="709"/>
        <w:jc w:val="both"/>
        <w:rPr>
          <w:sz w:val="22"/>
          <w:szCs w:val="22"/>
          <w:shd w:val="clear" w:color="auto" w:fill="FFFFFF"/>
        </w:rPr>
      </w:pPr>
      <w:r w:rsidRPr="00990FB6">
        <w:rPr>
          <w:sz w:val="22"/>
          <w:szCs w:val="22"/>
          <w:lang w:eastAsia="es-CR"/>
        </w:rPr>
        <w:t>Ese informe fue remitido al diputado Guevara Guth en respuesta al oficio AG-093-2016</w:t>
      </w:r>
      <w:r w:rsidRPr="00990FB6">
        <w:rPr>
          <w:i/>
          <w:iCs/>
          <w:sz w:val="22"/>
          <w:szCs w:val="22"/>
          <w:lang w:eastAsia="es-CR"/>
        </w:rPr>
        <w:t xml:space="preserve"> </w:t>
      </w:r>
      <w:r w:rsidRPr="00990FB6">
        <w:rPr>
          <w:sz w:val="22"/>
          <w:szCs w:val="22"/>
          <w:shd w:val="clear" w:color="auto" w:fill="FFFFFF"/>
        </w:rPr>
        <w:t>por parte de la Secretaría General de la Corte mediante oficio SP-194-16 del 21 de julio de 2016.</w:t>
      </w:r>
    </w:p>
    <w:p w14:paraId="5C876EE6" w14:textId="77777777" w:rsidR="00B15F7D" w:rsidRPr="00990FB6" w:rsidRDefault="00B15F7D" w:rsidP="00B15F7D">
      <w:pPr>
        <w:shd w:val="clear" w:color="auto" w:fill="FFFFFF"/>
        <w:ind w:left="851" w:right="851" w:firstLine="709"/>
        <w:jc w:val="both"/>
        <w:rPr>
          <w:sz w:val="22"/>
          <w:szCs w:val="22"/>
          <w:shd w:val="clear" w:color="auto" w:fill="FFFFFF"/>
        </w:rPr>
      </w:pPr>
    </w:p>
    <w:p w14:paraId="52B651E2" w14:textId="77777777" w:rsidR="00B15F7D" w:rsidRPr="00990FB6" w:rsidRDefault="00B15F7D" w:rsidP="00254CD4">
      <w:pPr>
        <w:numPr>
          <w:ilvl w:val="0"/>
          <w:numId w:val="208"/>
        </w:numPr>
        <w:shd w:val="clear" w:color="auto" w:fill="FFFFFF"/>
        <w:suppressAutoHyphens w:val="0"/>
        <w:ind w:left="851" w:right="851" w:firstLine="709"/>
        <w:jc w:val="both"/>
        <w:rPr>
          <w:sz w:val="22"/>
          <w:szCs w:val="22"/>
          <w:shd w:val="clear" w:color="auto" w:fill="FFFFFF"/>
        </w:rPr>
      </w:pPr>
      <w:r w:rsidRPr="00990FB6">
        <w:rPr>
          <w:sz w:val="22"/>
          <w:szCs w:val="22"/>
          <w:shd w:val="clear" w:color="auto" w:fill="FFFFFF"/>
        </w:rPr>
        <w:t>El 22 de mayo del 2017, se publicó en la Gaceta 95, la Ley 9458 que reforma la Ley 4573, Código Penal y la Ley 7451, Ley de Bienestar de los Animales.</w:t>
      </w:r>
    </w:p>
    <w:p w14:paraId="37702D42" w14:textId="77777777" w:rsidR="00B15F7D" w:rsidRPr="00990FB6" w:rsidRDefault="00B15F7D" w:rsidP="00B15F7D">
      <w:pPr>
        <w:shd w:val="clear" w:color="auto" w:fill="FFFFFF"/>
        <w:ind w:left="851" w:right="851" w:firstLine="709"/>
        <w:jc w:val="both"/>
        <w:rPr>
          <w:sz w:val="22"/>
          <w:szCs w:val="22"/>
          <w:lang w:eastAsia="es-CR"/>
        </w:rPr>
      </w:pPr>
    </w:p>
    <w:p w14:paraId="658514DE" w14:textId="77777777" w:rsidR="00B15F7D" w:rsidRPr="00990FB6" w:rsidRDefault="00B15F7D" w:rsidP="00254CD4">
      <w:pPr>
        <w:numPr>
          <w:ilvl w:val="0"/>
          <w:numId w:val="208"/>
        </w:numPr>
        <w:shd w:val="clear" w:color="auto" w:fill="FFFFFF"/>
        <w:suppressAutoHyphens w:val="0"/>
        <w:ind w:left="851" w:right="851" w:firstLine="709"/>
        <w:jc w:val="both"/>
        <w:rPr>
          <w:sz w:val="22"/>
          <w:szCs w:val="22"/>
          <w:lang w:eastAsia="es-CR"/>
        </w:rPr>
      </w:pPr>
      <w:r w:rsidRPr="00990FB6">
        <w:rPr>
          <w:sz w:val="22"/>
          <w:szCs w:val="22"/>
          <w:lang w:eastAsia="es-CR"/>
        </w:rPr>
        <w:t xml:space="preserve">Mediante el oficio 1142-PLA-2017 del 7 de julio de 2017, se realizó la siguiente petición al Director General del Organismo de Investigación Judicial: </w:t>
      </w:r>
      <w:r w:rsidRPr="00990FB6">
        <w:rPr>
          <w:i/>
          <w:iCs/>
          <w:sz w:val="22"/>
          <w:szCs w:val="22"/>
          <w:lang w:eastAsia="es-CR"/>
        </w:rPr>
        <w:t>“En relación con la aprobación de la Ley 18.298, denominado Modificación de la Ley 7451, Ley de Bienestar de los animales del 16 de noviembre de 1994, y modificación de la Ley 4573, Código Penal del 4 de mayo de 1970, firmada por el Presidente de la República, el pasado 11 de junio del 2017, con instrucciones del señor Presidente Dr. Carlos Chinchilla Sandí, me permito solicitarle el detalle de los recursos solicitados de acuerdo a la técnica presupuestaria, indicando por partida, subpartida y línea el detalle de la cifra indicada”.</w:t>
      </w:r>
    </w:p>
    <w:p w14:paraId="3D7E64F6" w14:textId="77777777" w:rsidR="00B15F7D" w:rsidRPr="00990FB6" w:rsidRDefault="00B15F7D" w:rsidP="00B15F7D">
      <w:pPr>
        <w:shd w:val="clear" w:color="auto" w:fill="FFFFFF"/>
        <w:ind w:left="851" w:right="851" w:firstLine="709"/>
        <w:jc w:val="both"/>
        <w:rPr>
          <w:sz w:val="22"/>
          <w:szCs w:val="22"/>
          <w:lang w:eastAsia="es-CR"/>
        </w:rPr>
      </w:pPr>
    </w:p>
    <w:p w14:paraId="34F402D1" w14:textId="77777777" w:rsidR="00B15F7D" w:rsidRPr="00990FB6" w:rsidRDefault="00B15F7D" w:rsidP="00B15F7D">
      <w:pPr>
        <w:shd w:val="clear" w:color="auto" w:fill="FFFFFF"/>
        <w:ind w:left="851" w:right="851" w:firstLine="709"/>
        <w:jc w:val="both"/>
        <w:rPr>
          <w:sz w:val="22"/>
          <w:szCs w:val="22"/>
          <w:lang w:eastAsia="es-CR"/>
        </w:rPr>
      </w:pPr>
      <w:r w:rsidRPr="00990FB6">
        <w:rPr>
          <w:sz w:val="22"/>
          <w:szCs w:val="22"/>
          <w:lang w:eastAsia="es-CR"/>
        </w:rPr>
        <w:t>La solicitud de presupuesto del OIJ fue conocida por la Corte Plena, en la sesión 24-18 celebrada el 30 de mayo del 2018 donde acordó:</w:t>
      </w:r>
    </w:p>
    <w:p w14:paraId="101CD06A" w14:textId="77777777" w:rsidR="00B15F7D" w:rsidRPr="00990FB6" w:rsidRDefault="00B15F7D" w:rsidP="00B15F7D">
      <w:pPr>
        <w:shd w:val="clear" w:color="auto" w:fill="FFFFFF"/>
        <w:ind w:left="851" w:right="851" w:firstLine="709"/>
        <w:jc w:val="both"/>
        <w:rPr>
          <w:sz w:val="22"/>
          <w:szCs w:val="22"/>
          <w:lang w:eastAsia="es-CR"/>
        </w:rPr>
      </w:pPr>
    </w:p>
    <w:p w14:paraId="3C7426BC" w14:textId="77777777" w:rsidR="00B15F7D" w:rsidRPr="00990FB6" w:rsidRDefault="00B15F7D" w:rsidP="00B15F7D">
      <w:pPr>
        <w:shd w:val="clear" w:color="auto" w:fill="FFFFFF"/>
        <w:ind w:left="851" w:right="851" w:firstLine="709"/>
        <w:jc w:val="both"/>
        <w:rPr>
          <w:sz w:val="22"/>
          <w:szCs w:val="22"/>
          <w:lang w:eastAsia="es-CR"/>
        </w:rPr>
      </w:pPr>
      <w:r w:rsidRPr="00990FB6">
        <w:rPr>
          <w:i/>
          <w:iCs/>
          <w:sz w:val="22"/>
          <w:szCs w:val="22"/>
          <w:lang w:eastAsia="es-CR"/>
        </w:rPr>
        <w:t xml:space="preserve">“ ... En atención al oficio de la Secretaria General de la Corte No. 4922-18, del 14 de mayo de 2018, en el cual nos solicita referirnos a la solicitud que había realizado la Dirección General en el oficio No. 0567-DG-2017, sobre los requerimientos básicos </w:t>
      </w:r>
      <w:r w:rsidRPr="00990FB6">
        <w:rPr>
          <w:i/>
          <w:iCs/>
          <w:sz w:val="22"/>
          <w:szCs w:val="22"/>
          <w:lang w:eastAsia="es-CR"/>
        </w:rPr>
        <w:lastRenderedPageBreak/>
        <w:t>por parte del Organismo de Investigación Judicial para la atención de la Ley No. 18.298, Ley de Bienestar de los Animales del 16 de noviembre de 1994, y se nos pide indicar si dicho oficio mantiene interés o si los recursos se están considerando dentro del presupuesto del 2019…”</w:t>
      </w:r>
    </w:p>
    <w:p w14:paraId="4EFEC4ED" w14:textId="77777777" w:rsidR="00B15F7D" w:rsidRPr="00990FB6" w:rsidRDefault="00B15F7D" w:rsidP="00B15F7D">
      <w:pPr>
        <w:shd w:val="clear" w:color="auto" w:fill="FFFFFF"/>
        <w:ind w:left="851" w:right="851" w:firstLine="709"/>
        <w:jc w:val="both"/>
        <w:rPr>
          <w:i/>
          <w:iCs/>
          <w:sz w:val="22"/>
          <w:szCs w:val="22"/>
          <w:lang w:eastAsia="es-CR"/>
        </w:rPr>
      </w:pPr>
    </w:p>
    <w:p w14:paraId="1ED58EA4" w14:textId="77777777" w:rsidR="00B15F7D" w:rsidRPr="00990FB6" w:rsidRDefault="00B15F7D" w:rsidP="00B15F7D">
      <w:pPr>
        <w:shd w:val="clear" w:color="auto" w:fill="FFFFFF"/>
        <w:ind w:left="851" w:right="851" w:firstLine="709"/>
        <w:jc w:val="both"/>
        <w:rPr>
          <w:i/>
          <w:iCs/>
          <w:sz w:val="22"/>
          <w:szCs w:val="22"/>
          <w:lang w:eastAsia="es-CR"/>
        </w:rPr>
      </w:pPr>
      <w:r w:rsidRPr="00990FB6">
        <w:rPr>
          <w:i/>
          <w:iCs/>
          <w:sz w:val="22"/>
          <w:szCs w:val="22"/>
          <w:lang w:eastAsia="es-CR"/>
        </w:rPr>
        <w:t xml:space="preserve">“… se acordó: Trasladar el oficio </w:t>
      </w:r>
      <w:proofErr w:type="spellStart"/>
      <w:r w:rsidRPr="00990FB6">
        <w:rPr>
          <w:i/>
          <w:iCs/>
          <w:sz w:val="22"/>
          <w:szCs w:val="22"/>
          <w:lang w:eastAsia="es-CR"/>
        </w:rPr>
        <w:t>Nº</w:t>
      </w:r>
      <w:proofErr w:type="spellEnd"/>
      <w:r w:rsidRPr="00990FB6">
        <w:rPr>
          <w:i/>
          <w:iCs/>
          <w:sz w:val="22"/>
          <w:szCs w:val="22"/>
          <w:lang w:eastAsia="es-CR"/>
        </w:rPr>
        <w:t xml:space="preserve"> 590-DG-2018 de la Dirección del Organismo de Investigación Judicial, a la Dirección de Planificación para que efectúe un estudio técnico de lo solicitado e informe lo que corresponda en la sesión del próximo lunes 4 de junio en curso. Se declara acuerdo firme.”.</w:t>
      </w:r>
    </w:p>
    <w:p w14:paraId="01CDFB8E" w14:textId="77777777" w:rsidR="00B15F7D" w:rsidRPr="00990FB6" w:rsidRDefault="00B15F7D" w:rsidP="00B15F7D">
      <w:pPr>
        <w:shd w:val="clear" w:color="auto" w:fill="FFFFFF"/>
        <w:ind w:left="851" w:right="851" w:firstLine="709"/>
        <w:jc w:val="both"/>
        <w:rPr>
          <w:sz w:val="22"/>
          <w:szCs w:val="22"/>
          <w:shd w:val="clear" w:color="auto" w:fill="FFFFFF"/>
        </w:rPr>
      </w:pPr>
    </w:p>
    <w:p w14:paraId="56381F1F" w14:textId="77777777" w:rsidR="00B15F7D" w:rsidRPr="00990FB6" w:rsidRDefault="00B15F7D" w:rsidP="00254CD4">
      <w:pPr>
        <w:numPr>
          <w:ilvl w:val="0"/>
          <w:numId w:val="209"/>
        </w:numPr>
        <w:shd w:val="clear" w:color="auto" w:fill="FFFFFF"/>
        <w:suppressAutoHyphens w:val="0"/>
        <w:ind w:left="851" w:right="851" w:firstLine="709"/>
        <w:jc w:val="both"/>
        <w:rPr>
          <w:sz w:val="22"/>
          <w:szCs w:val="22"/>
          <w:shd w:val="clear" w:color="auto" w:fill="FFFFFF"/>
        </w:rPr>
      </w:pPr>
      <w:r w:rsidRPr="00990FB6">
        <w:rPr>
          <w:sz w:val="22"/>
          <w:szCs w:val="22"/>
          <w:lang w:eastAsia="es-CR"/>
        </w:rPr>
        <w:t>531-PLA-2018 relacionado con el impacto organizacional y presupuestario para el 2019, a partir de la Ley 9458 que reforma la Ley 4573, Código Penal y Ley 7451, Ley de Bienestar de los Animales 9458, presentado el 1 de Junio del 2018 a la Secretaria General de la Corte y aprobado en sesión de presupuesto de Corte Plena 25-18 del 04 de junio de 2018, artículo VI.</w:t>
      </w:r>
    </w:p>
    <w:p w14:paraId="420ECC5E" w14:textId="77777777" w:rsidR="00B15F7D" w:rsidRPr="00990FB6" w:rsidRDefault="00B15F7D" w:rsidP="00B15F7D">
      <w:pPr>
        <w:shd w:val="clear" w:color="auto" w:fill="FFFFFF"/>
        <w:ind w:left="851" w:right="851" w:firstLine="709"/>
        <w:jc w:val="both"/>
        <w:rPr>
          <w:sz w:val="22"/>
          <w:szCs w:val="22"/>
          <w:shd w:val="clear" w:color="auto" w:fill="FFFFFF"/>
        </w:rPr>
      </w:pPr>
    </w:p>
    <w:p w14:paraId="4CC31667" w14:textId="77777777" w:rsidR="00B15F7D" w:rsidRPr="00990FB6" w:rsidRDefault="00B15F7D" w:rsidP="00254CD4">
      <w:pPr>
        <w:numPr>
          <w:ilvl w:val="0"/>
          <w:numId w:val="205"/>
        </w:numPr>
        <w:suppressAutoHyphens w:val="0"/>
        <w:ind w:left="851" w:right="851" w:firstLine="709"/>
        <w:jc w:val="both"/>
        <w:rPr>
          <w:sz w:val="22"/>
          <w:szCs w:val="22"/>
        </w:rPr>
      </w:pPr>
      <w:r w:rsidRPr="00990FB6">
        <w:rPr>
          <w:sz w:val="22"/>
          <w:szCs w:val="22"/>
        </w:rPr>
        <w:t>558-PLA-RH-MI-2019, aprobado por el Consejo Superior en sesión 42-19 (Presupuesto 2020), del 09 de mayo de 2019, artículo I y por Corte Plena en sesión 22-19 celebrada el 6 de junio del 2019, artículo II.</w:t>
      </w:r>
    </w:p>
    <w:p w14:paraId="733F489A" w14:textId="77777777" w:rsidR="00B15F7D" w:rsidRPr="00990FB6" w:rsidRDefault="00B15F7D" w:rsidP="00B15F7D">
      <w:pPr>
        <w:ind w:left="851" w:right="851" w:firstLine="709"/>
        <w:jc w:val="both"/>
        <w:rPr>
          <w:sz w:val="22"/>
          <w:szCs w:val="22"/>
        </w:rPr>
      </w:pPr>
    </w:p>
    <w:p w14:paraId="5DD13E52" w14:textId="77777777" w:rsidR="00B15F7D" w:rsidRPr="00990FB6" w:rsidRDefault="00B15F7D" w:rsidP="00254CD4">
      <w:pPr>
        <w:numPr>
          <w:ilvl w:val="0"/>
          <w:numId w:val="205"/>
        </w:numPr>
        <w:suppressAutoHyphens w:val="0"/>
        <w:ind w:left="851" w:right="851" w:firstLine="709"/>
        <w:jc w:val="both"/>
        <w:rPr>
          <w:sz w:val="22"/>
          <w:szCs w:val="22"/>
        </w:rPr>
      </w:pPr>
      <w:r w:rsidRPr="00990FB6">
        <w:rPr>
          <w:sz w:val="22"/>
          <w:szCs w:val="22"/>
        </w:rPr>
        <w:t xml:space="preserve">433-PLA-RH-MI-2021, actualización de costos del estudio de Impacto organizacional y presupuestario en el Poder Judicial a partir de la promulgación de la Ley 9458 -Ley de Bienestar de los Animales para 2022 aprobado por Consejo Superior en sesión 30-2021 celebrada el 16 abril del 2021, artículo XXIV y por Corte Plena en sesión 27-2022 del 1 de junio del 2022. </w:t>
      </w:r>
    </w:p>
    <w:p w14:paraId="3F50ABBA" w14:textId="77777777" w:rsidR="00B15F7D" w:rsidRPr="00990FB6" w:rsidRDefault="00B15F7D" w:rsidP="00B15F7D">
      <w:pPr>
        <w:ind w:left="851" w:right="851" w:firstLine="709"/>
        <w:jc w:val="both"/>
        <w:rPr>
          <w:sz w:val="22"/>
          <w:szCs w:val="22"/>
        </w:rPr>
      </w:pPr>
    </w:p>
    <w:p w14:paraId="14D8D38B" w14:textId="77777777" w:rsidR="00B15F7D" w:rsidRPr="00990FB6" w:rsidRDefault="00B15F7D" w:rsidP="00254CD4">
      <w:pPr>
        <w:numPr>
          <w:ilvl w:val="0"/>
          <w:numId w:val="205"/>
        </w:numPr>
        <w:suppressAutoHyphens w:val="0"/>
        <w:ind w:left="851" w:right="851" w:firstLine="709"/>
        <w:jc w:val="both"/>
        <w:rPr>
          <w:sz w:val="22"/>
          <w:szCs w:val="22"/>
        </w:rPr>
      </w:pPr>
      <w:r w:rsidRPr="00990FB6">
        <w:rPr>
          <w:sz w:val="22"/>
          <w:szCs w:val="22"/>
        </w:rPr>
        <w:t>275-PLA-RH-MI-2022, actualización de costos del estudio de Impacto organizacional y presupuestario en el Poder Judicial a partir de la promulgación de la Ley 9458 -Ley de Bienestar de los Animales para 2023, aprobado en sesión Extraordinaria (Presupuesto) del Consejo Superior 36-2022 celebrada el 29 de abril de 2022, artículo XVII y por Corte Plena en sesión del primero de junio 2022, artículo II.</w:t>
      </w:r>
    </w:p>
    <w:p w14:paraId="5D382E39" w14:textId="77777777" w:rsidR="00B15F7D" w:rsidRPr="00990FB6" w:rsidRDefault="00B15F7D" w:rsidP="00B15F7D">
      <w:pPr>
        <w:tabs>
          <w:tab w:val="left" w:pos="8364"/>
        </w:tabs>
        <w:ind w:left="851" w:right="851" w:firstLine="709"/>
        <w:jc w:val="both"/>
        <w:rPr>
          <w:rFonts w:eastAsia="Calibri"/>
          <w:bCs/>
          <w:i/>
          <w:sz w:val="22"/>
          <w:szCs w:val="22"/>
        </w:rPr>
      </w:pPr>
      <w:r w:rsidRPr="00990FB6">
        <w:rPr>
          <w:rFonts w:eastAsia="Calibri"/>
          <w:bCs/>
          <w:i/>
          <w:sz w:val="22"/>
          <w:szCs w:val="22"/>
        </w:rPr>
        <w:t xml:space="preserve"> </w:t>
      </w:r>
    </w:p>
    <w:p w14:paraId="4F52196C" w14:textId="77777777" w:rsidR="00B15F7D" w:rsidRPr="00990FB6" w:rsidRDefault="00B15F7D" w:rsidP="00254CD4">
      <w:pPr>
        <w:numPr>
          <w:ilvl w:val="0"/>
          <w:numId w:val="203"/>
        </w:numPr>
        <w:suppressAutoHyphens w:val="0"/>
        <w:ind w:left="851" w:right="851" w:firstLine="709"/>
        <w:jc w:val="both"/>
        <w:rPr>
          <w:rFonts w:eastAsiaTheme="majorEastAsia"/>
          <w:b/>
          <w:bCs/>
          <w:sz w:val="22"/>
          <w:szCs w:val="22"/>
        </w:rPr>
      </w:pPr>
      <w:r w:rsidRPr="00990FB6">
        <w:rPr>
          <w:rFonts w:eastAsiaTheme="majorEastAsia"/>
          <w:b/>
          <w:bCs/>
          <w:sz w:val="22"/>
          <w:szCs w:val="22"/>
        </w:rPr>
        <w:t>Justificación</w:t>
      </w:r>
    </w:p>
    <w:p w14:paraId="1BA62079" w14:textId="77777777" w:rsidR="00B15F7D" w:rsidRPr="00990FB6" w:rsidRDefault="00B15F7D" w:rsidP="00B15F7D">
      <w:pPr>
        <w:suppressAutoHyphens w:val="0"/>
        <w:ind w:left="851" w:right="851" w:firstLine="709"/>
        <w:jc w:val="both"/>
        <w:rPr>
          <w:rFonts w:eastAsiaTheme="majorEastAsia"/>
          <w:b/>
          <w:bCs/>
          <w:sz w:val="22"/>
          <w:szCs w:val="22"/>
        </w:rPr>
      </w:pPr>
    </w:p>
    <w:p w14:paraId="4F388C6F" w14:textId="77777777" w:rsidR="00B15F7D" w:rsidRPr="00990FB6" w:rsidRDefault="00B15F7D" w:rsidP="00B15F7D">
      <w:pPr>
        <w:ind w:left="851" w:right="851" w:firstLine="709"/>
        <w:jc w:val="both"/>
        <w:rPr>
          <w:sz w:val="22"/>
          <w:szCs w:val="22"/>
          <w:lang w:val="es-MX"/>
        </w:rPr>
      </w:pPr>
      <w:r w:rsidRPr="00990FB6">
        <w:rPr>
          <w:sz w:val="22"/>
          <w:szCs w:val="22"/>
          <w:lang w:val="es-MX"/>
        </w:rPr>
        <w:t>La Ley 9458 reformó la Ley 4573, Código Penal y Ley 7451, Ley de Bienestar de los Animales 9458 publicada en la Gaceta 95 el 22 de mayo del 2017.</w:t>
      </w:r>
    </w:p>
    <w:p w14:paraId="47706D4B" w14:textId="77777777" w:rsidR="00B15F7D" w:rsidRPr="00990FB6" w:rsidRDefault="00B15F7D" w:rsidP="00B15F7D">
      <w:pPr>
        <w:ind w:left="851" w:right="851" w:firstLine="709"/>
        <w:jc w:val="both"/>
        <w:rPr>
          <w:sz w:val="22"/>
          <w:szCs w:val="22"/>
          <w:lang w:val="es-MX"/>
        </w:rPr>
      </w:pPr>
    </w:p>
    <w:p w14:paraId="3F1DB076" w14:textId="77777777" w:rsidR="00B15F7D" w:rsidRPr="00990FB6" w:rsidRDefault="00B15F7D" w:rsidP="00B15F7D">
      <w:pPr>
        <w:ind w:left="851" w:right="851" w:firstLine="709"/>
        <w:jc w:val="both"/>
        <w:rPr>
          <w:sz w:val="22"/>
          <w:szCs w:val="22"/>
          <w:lang w:val="es-MX"/>
        </w:rPr>
      </w:pPr>
      <w:r w:rsidRPr="00990FB6">
        <w:rPr>
          <w:sz w:val="22"/>
          <w:szCs w:val="22"/>
          <w:lang w:val="es-MX"/>
        </w:rPr>
        <w:t>Esta reforma trajo consigo una serie de variantes en la tramitación e investigación de Crueldad contra los animales, al ser normado como delito.</w:t>
      </w:r>
    </w:p>
    <w:p w14:paraId="71076D04" w14:textId="77777777" w:rsidR="00B15F7D" w:rsidRPr="00990FB6" w:rsidRDefault="00B15F7D" w:rsidP="00B15F7D">
      <w:pPr>
        <w:ind w:left="851" w:right="851" w:firstLine="709"/>
        <w:jc w:val="both"/>
        <w:rPr>
          <w:sz w:val="22"/>
          <w:szCs w:val="22"/>
        </w:rPr>
      </w:pPr>
    </w:p>
    <w:p w14:paraId="44EE1D9A" w14:textId="77777777" w:rsidR="00B15F7D" w:rsidRPr="00990FB6" w:rsidRDefault="00B15F7D" w:rsidP="00B15F7D">
      <w:pPr>
        <w:ind w:left="851" w:right="851" w:firstLine="709"/>
        <w:jc w:val="both"/>
        <w:rPr>
          <w:sz w:val="22"/>
          <w:szCs w:val="22"/>
        </w:rPr>
      </w:pPr>
      <w:r w:rsidRPr="00990FB6">
        <w:rPr>
          <w:sz w:val="22"/>
          <w:szCs w:val="22"/>
        </w:rPr>
        <w:t>Pese a que la Ley entró en vigencia desde el 2017 a la fecha no se han dado recursos para su implementación, sino que ha debido ser asumida con recurso ordinario de la Institución, inicialmente destinado a cubrir otras necesidades.</w:t>
      </w:r>
    </w:p>
    <w:p w14:paraId="7DF26D31" w14:textId="77777777" w:rsidR="00B15F7D" w:rsidRPr="00990FB6" w:rsidRDefault="00B15F7D" w:rsidP="00B15F7D">
      <w:pPr>
        <w:ind w:left="851" w:right="851" w:firstLine="709"/>
        <w:jc w:val="both"/>
        <w:rPr>
          <w:sz w:val="22"/>
          <w:szCs w:val="22"/>
        </w:rPr>
      </w:pPr>
    </w:p>
    <w:p w14:paraId="5853DF3E" w14:textId="77777777" w:rsidR="00B15F7D" w:rsidRPr="00990FB6" w:rsidRDefault="00B15F7D" w:rsidP="00254CD4">
      <w:pPr>
        <w:numPr>
          <w:ilvl w:val="0"/>
          <w:numId w:val="203"/>
        </w:numPr>
        <w:suppressAutoHyphens w:val="0"/>
        <w:ind w:left="851" w:right="851" w:firstLine="709"/>
        <w:jc w:val="both"/>
        <w:rPr>
          <w:rFonts w:eastAsiaTheme="majorEastAsia"/>
          <w:b/>
          <w:bCs/>
          <w:sz w:val="22"/>
          <w:szCs w:val="22"/>
        </w:rPr>
      </w:pPr>
      <w:r w:rsidRPr="00990FB6">
        <w:rPr>
          <w:rFonts w:eastAsiaTheme="majorEastAsia"/>
          <w:b/>
          <w:bCs/>
          <w:sz w:val="22"/>
          <w:szCs w:val="22"/>
        </w:rPr>
        <w:t>Principales implicaciones de la Ley 9458 en el Poder Judicial</w:t>
      </w:r>
    </w:p>
    <w:p w14:paraId="24A843D6" w14:textId="77777777" w:rsidR="00B15F7D" w:rsidRPr="00990FB6" w:rsidRDefault="00B15F7D" w:rsidP="00B15F7D">
      <w:pPr>
        <w:suppressAutoHyphens w:val="0"/>
        <w:ind w:left="851" w:right="851" w:firstLine="709"/>
        <w:jc w:val="both"/>
        <w:rPr>
          <w:rFonts w:eastAsiaTheme="majorEastAsia"/>
          <w:b/>
          <w:bCs/>
          <w:sz w:val="22"/>
          <w:szCs w:val="22"/>
        </w:rPr>
      </w:pPr>
    </w:p>
    <w:p w14:paraId="663F3B50" w14:textId="77777777" w:rsidR="00B15F7D" w:rsidRPr="00990FB6" w:rsidRDefault="00B15F7D" w:rsidP="00B15F7D">
      <w:pPr>
        <w:ind w:left="851" w:right="851" w:firstLine="709"/>
        <w:jc w:val="both"/>
        <w:rPr>
          <w:sz w:val="22"/>
          <w:szCs w:val="22"/>
        </w:rPr>
      </w:pPr>
      <w:r w:rsidRPr="00990FB6">
        <w:rPr>
          <w:sz w:val="22"/>
          <w:szCs w:val="22"/>
        </w:rPr>
        <w:t>Dentro de las particularidades de la Ley, se identificó cambios que impactan en el Poder Judicial:</w:t>
      </w:r>
    </w:p>
    <w:p w14:paraId="22D34C59" w14:textId="77777777" w:rsidR="00B15F7D" w:rsidRPr="00990FB6" w:rsidRDefault="00B15F7D" w:rsidP="00B15F7D">
      <w:pPr>
        <w:ind w:left="851" w:right="851" w:firstLine="709"/>
        <w:jc w:val="both"/>
        <w:rPr>
          <w:sz w:val="22"/>
          <w:szCs w:val="22"/>
        </w:rPr>
      </w:pPr>
    </w:p>
    <w:p w14:paraId="1F24B578" w14:textId="77777777" w:rsidR="00B15F7D" w:rsidRPr="00990FB6" w:rsidRDefault="00B15F7D" w:rsidP="00254CD4">
      <w:pPr>
        <w:numPr>
          <w:ilvl w:val="0"/>
          <w:numId w:val="204"/>
        </w:numPr>
        <w:suppressAutoHyphens w:val="0"/>
        <w:ind w:left="851" w:right="851" w:firstLine="709"/>
        <w:jc w:val="both"/>
        <w:rPr>
          <w:sz w:val="22"/>
          <w:szCs w:val="22"/>
          <w:u w:val="single"/>
          <w:lang w:eastAsia="es-CR"/>
        </w:rPr>
      </w:pPr>
      <w:r w:rsidRPr="00990FB6">
        <w:rPr>
          <w:sz w:val="22"/>
          <w:szCs w:val="22"/>
          <w:lang w:val="es-MX"/>
        </w:rPr>
        <w:t>El artículo 2 adicionó una sección V al título IX "Delitos contra la seguridad común" de la Ley 4573, Código Penal, de 4 de mayo de 1970, los cuales son el artículo</w:t>
      </w:r>
      <w:r w:rsidRPr="00990FB6">
        <w:rPr>
          <w:sz w:val="22"/>
          <w:szCs w:val="22"/>
          <w:lang w:eastAsia="es-CR"/>
        </w:rPr>
        <w:t xml:space="preserve"> </w:t>
      </w:r>
      <w:r w:rsidRPr="00990FB6">
        <w:rPr>
          <w:i/>
          <w:sz w:val="22"/>
          <w:szCs w:val="22"/>
          <w:lang w:eastAsia="es-CR"/>
        </w:rPr>
        <w:t xml:space="preserve">279 bis, 279 ter, 279 ter, 279 </w:t>
      </w:r>
      <w:proofErr w:type="spellStart"/>
      <w:r w:rsidRPr="00990FB6">
        <w:rPr>
          <w:i/>
          <w:sz w:val="22"/>
          <w:szCs w:val="22"/>
          <w:lang w:eastAsia="es-CR"/>
        </w:rPr>
        <w:t>quáter</w:t>
      </w:r>
      <w:proofErr w:type="spellEnd"/>
      <w:r w:rsidRPr="00990FB6">
        <w:rPr>
          <w:i/>
          <w:sz w:val="22"/>
          <w:szCs w:val="22"/>
          <w:lang w:eastAsia="es-CR"/>
        </w:rPr>
        <w:t xml:space="preserve">, 279 quinquies y 279 </w:t>
      </w:r>
      <w:proofErr w:type="spellStart"/>
      <w:r w:rsidRPr="00990FB6">
        <w:rPr>
          <w:i/>
          <w:sz w:val="22"/>
          <w:szCs w:val="22"/>
          <w:lang w:eastAsia="es-CR"/>
        </w:rPr>
        <w:t>sexies</w:t>
      </w:r>
      <w:proofErr w:type="spellEnd"/>
      <w:r w:rsidRPr="00990FB6">
        <w:rPr>
          <w:sz w:val="22"/>
          <w:szCs w:val="22"/>
          <w:lang w:eastAsia="es-CR"/>
        </w:rPr>
        <w:t xml:space="preserve">, </w:t>
      </w:r>
      <w:r w:rsidRPr="00990FB6">
        <w:rPr>
          <w:i/>
          <w:sz w:val="22"/>
          <w:szCs w:val="22"/>
          <w:lang w:eastAsia="es-CR"/>
        </w:rPr>
        <w:t>“Crueldad contra los animales” “Muerte del animal”, “Actividades exceptuadas”, “Peleas entre animales” y “Pena alternativa”,</w:t>
      </w:r>
      <w:r w:rsidRPr="00990FB6">
        <w:rPr>
          <w:sz w:val="22"/>
          <w:szCs w:val="22"/>
          <w:lang w:eastAsia="es-CR"/>
        </w:rPr>
        <w:t xml:space="preserve"> </w:t>
      </w:r>
      <w:r w:rsidRPr="00990FB6">
        <w:rPr>
          <w:sz w:val="22"/>
          <w:szCs w:val="22"/>
          <w:u w:val="single"/>
          <w:lang w:eastAsia="es-CR"/>
        </w:rPr>
        <w:t>delitos que son competencia de las instancias judiciales.</w:t>
      </w:r>
    </w:p>
    <w:p w14:paraId="5E528CD7" w14:textId="77777777" w:rsidR="00B15F7D" w:rsidRPr="00990FB6" w:rsidRDefault="00B15F7D" w:rsidP="00254CD4">
      <w:pPr>
        <w:numPr>
          <w:ilvl w:val="0"/>
          <w:numId w:val="204"/>
        </w:numPr>
        <w:suppressAutoHyphens w:val="0"/>
        <w:ind w:left="851" w:right="851" w:firstLine="709"/>
        <w:jc w:val="both"/>
        <w:rPr>
          <w:sz w:val="22"/>
          <w:szCs w:val="22"/>
          <w:lang w:val="es-MX"/>
        </w:rPr>
      </w:pPr>
      <w:r w:rsidRPr="00990FB6">
        <w:rPr>
          <w:sz w:val="22"/>
          <w:szCs w:val="22"/>
          <w:lang w:val="es-MX"/>
        </w:rPr>
        <w:t xml:space="preserve">Asimismo, el artículo 3, adiciona un nuevo artículo, el 405 bis, “Maltrato de animales” en que se castiga con multa el “Maltrato animal”. </w:t>
      </w:r>
    </w:p>
    <w:p w14:paraId="1FF2028D" w14:textId="77777777" w:rsidR="00B15F7D" w:rsidRPr="00990FB6" w:rsidRDefault="00B15F7D" w:rsidP="00B15F7D">
      <w:pPr>
        <w:suppressAutoHyphens w:val="0"/>
        <w:ind w:left="851" w:right="851" w:firstLine="709"/>
        <w:jc w:val="both"/>
        <w:rPr>
          <w:sz w:val="22"/>
          <w:szCs w:val="22"/>
          <w:lang w:val="es-MX"/>
        </w:rPr>
      </w:pPr>
    </w:p>
    <w:p w14:paraId="2258AB06" w14:textId="77777777" w:rsidR="00B15F7D" w:rsidRPr="00990FB6" w:rsidRDefault="00B15F7D" w:rsidP="00254CD4">
      <w:pPr>
        <w:numPr>
          <w:ilvl w:val="0"/>
          <w:numId w:val="204"/>
        </w:numPr>
        <w:suppressAutoHyphens w:val="0"/>
        <w:ind w:left="851" w:right="851" w:firstLine="709"/>
        <w:jc w:val="both"/>
        <w:rPr>
          <w:sz w:val="22"/>
          <w:szCs w:val="22"/>
          <w:lang w:eastAsia="es-CR"/>
        </w:rPr>
      </w:pPr>
      <w:r w:rsidRPr="00990FB6">
        <w:rPr>
          <w:sz w:val="22"/>
          <w:szCs w:val="22"/>
          <w:lang w:val="es-MX"/>
        </w:rPr>
        <w:t>En los artículos 2 y 3 de la reforma de Ley 9458 en estudio, en su parte dispositiva final establecen:</w:t>
      </w:r>
      <w:r w:rsidRPr="00990FB6">
        <w:rPr>
          <w:sz w:val="22"/>
          <w:szCs w:val="22"/>
          <w:lang w:eastAsia="es-CR"/>
        </w:rPr>
        <w:t xml:space="preserve"> </w:t>
      </w:r>
      <w:r w:rsidRPr="00990FB6">
        <w:rPr>
          <w:i/>
          <w:sz w:val="22"/>
          <w:szCs w:val="22"/>
          <w:lang w:eastAsia="es-CR"/>
        </w:rPr>
        <w:t>“Las organizaciones debidamente inscritas en el Registro Judicial podrán representar los intereses difusos de los animales afectados por las conductas descritas en esta norma”</w:t>
      </w:r>
      <w:r w:rsidRPr="00990FB6">
        <w:rPr>
          <w:sz w:val="22"/>
          <w:szCs w:val="22"/>
          <w:lang w:eastAsia="es-CR"/>
        </w:rPr>
        <w:t>. Por lo que e</w:t>
      </w:r>
      <w:r w:rsidRPr="00990FB6">
        <w:rPr>
          <w:sz w:val="22"/>
          <w:szCs w:val="22"/>
        </w:rPr>
        <w:t>l Registro Judicial debe registrar aquellas instituciones que representen los intereses difusos de los animales, por lo que debe crearse un módulo en el Sistema de Registro.</w:t>
      </w:r>
    </w:p>
    <w:p w14:paraId="3EA5C9D0" w14:textId="77777777" w:rsidR="00B15F7D" w:rsidRPr="00990FB6" w:rsidRDefault="00B15F7D" w:rsidP="00B15F7D">
      <w:pPr>
        <w:ind w:left="851" w:right="851" w:firstLine="709"/>
        <w:jc w:val="both"/>
        <w:rPr>
          <w:sz w:val="22"/>
          <w:szCs w:val="22"/>
        </w:rPr>
      </w:pPr>
    </w:p>
    <w:p w14:paraId="793C1916" w14:textId="77777777" w:rsidR="00B15F7D" w:rsidRPr="00990FB6" w:rsidRDefault="00B15F7D" w:rsidP="00254CD4">
      <w:pPr>
        <w:numPr>
          <w:ilvl w:val="1"/>
          <w:numId w:val="202"/>
        </w:numPr>
        <w:shd w:val="clear" w:color="auto" w:fill="D5DCE4" w:themeFill="text2" w:themeFillTint="33"/>
        <w:suppressAutoHyphens w:val="0"/>
        <w:ind w:left="851" w:right="851" w:firstLine="709"/>
        <w:jc w:val="both"/>
        <w:rPr>
          <w:rFonts w:eastAsiaTheme="majorEastAsia"/>
          <w:b/>
          <w:sz w:val="22"/>
          <w:szCs w:val="22"/>
        </w:rPr>
      </w:pPr>
      <w:r w:rsidRPr="00990FB6">
        <w:rPr>
          <w:rFonts w:eastAsiaTheme="majorEastAsia"/>
          <w:b/>
          <w:sz w:val="22"/>
          <w:szCs w:val="22"/>
        </w:rPr>
        <w:t>Creación módulo de registro de organizaciones representantes de intereses difusos de los animales</w:t>
      </w:r>
    </w:p>
    <w:p w14:paraId="119B49BF" w14:textId="77777777" w:rsidR="00B15F7D" w:rsidRPr="00990FB6" w:rsidRDefault="00B15F7D" w:rsidP="00B15F7D">
      <w:pPr>
        <w:ind w:left="851" w:right="851" w:firstLine="709"/>
        <w:jc w:val="both"/>
        <w:rPr>
          <w:rFonts w:eastAsia="Calibri"/>
          <w:sz w:val="22"/>
          <w:szCs w:val="22"/>
        </w:rPr>
      </w:pPr>
    </w:p>
    <w:p w14:paraId="0D68D578" w14:textId="77777777" w:rsidR="00B15F7D" w:rsidRPr="00990FB6" w:rsidRDefault="00B15F7D" w:rsidP="00B15F7D">
      <w:pPr>
        <w:ind w:left="851" w:right="851" w:firstLine="709"/>
        <w:jc w:val="both"/>
        <w:rPr>
          <w:sz w:val="22"/>
          <w:szCs w:val="22"/>
        </w:rPr>
      </w:pPr>
      <w:r w:rsidRPr="00990FB6">
        <w:rPr>
          <w:rFonts w:eastAsia="Calibri"/>
          <w:sz w:val="22"/>
          <w:szCs w:val="22"/>
        </w:rPr>
        <w:t xml:space="preserve">La Lay 9458 estableció al Poder Judicial la obligación de disponer de un registro de las </w:t>
      </w:r>
      <w:r w:rsidRPr="00990FB6">
        <w:rPr>
          <w:sz w:val="22"/>
          <w:szCs w:val="22"/>
        </w:rPr>
        <w:t xml:space="preserve">instituciones que representen los intereses difusos de los animales. </w:t>
      </w:r>
    </w:p>
    <w:p w14:paraId="09D20F19" w14:textId="77777777" w:rsidR="00B15F7D" w:rsidRPr="00990FB6" w:rsidRDefault="00B15F7D" w:rsidP="00B15F7D">
      <w:pPr>
        <w:ind w:left="851" w:right="851" w:firstLine="709"/>
        <w:jc w:val="both"/>
        <w:rPr>
          <w:sz w:val="22"/>
          <w:szCs w:val="22"/>
        </w:rPr>
      </w:pPr>
    </w:p>
    <w:p w14:paraId="5A99F5E4"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El Consejo Superior en sesión 69-2017 del 26 de julio del 2017, artículo XXII dispuso la creación de un módulo en el Sistema de Administración y Control Electrónico de Juzgamientos (SACEJ) para mantener la lista de organizaciones inscritas para la defensa de intereses difusos de los animales: </w:t>
      </w:r>
    </w:p>
    <w:p w14:paraId="5F7B146D" w14:textId="77777777" w:rsidR="00B15F7D" w:rsidRPr="00990FB6" w:rsidRDefault="00B15F7D" w:rsidP="00B15F7D">
      <w:pPr>
        <w:ind w:left="851" w:right="851" w:firstLine="709"/>
        <w:jc w:val="both"/>
        <w:rPr>
          <w:rFonts w:eastAsia="Calibri"/>
          <w:sz w:val="22"/>
          <w:szCs w:val="22"/>
        </w:rPr>
      </w:pPr>
    </w:p>
    <w:p w14:paraId="0FCB8952" w14:textId="77777777" w:rsidR="00B15F7D" w:rsidRPr="00990FB6" w:rsidRDefault="00B15F7D" w:rsidP="00B15F7D">
      <w:pPr>
        <w:shd w:val="clear" w:color="auto" w:fill="FFFFFF"/>
        <w:ind w:left="851" w:right="851" w:firstLine="709"/>
        <w:jc w:val="both"/>
        <w:rPr>
          <w:i/>
          <w:iCs/>
          <w:sz w:val="22"/>
          <w:szCs w:val="22"/>
          <w:lang w:eastAsia="es-CR"/>
        </w:rPr>
      </w:pPr>
      <w:r w:rsidRPr="00990FB6">
        <w:rPr>
          <w:b/>
          <w:bCs/>
          <w:i/>
          <w:iCs/>
          <w:sz w:val="22"/>
          <w:szCs w:val="22"/>
          <w:lang w:eastAsia="es-CR"/>
        </w:rPr>
        <w:t>Se acordó: 1.) </w:t>
      </w:r>
      <w:r w:rsidRPr="00990FB6">
        <w:rPr>
          <w:i/>
          <w:iCs/>
          <w:sz w:val="22"/>
          <w:szCs w:val="22"/>
          <w:lang w:eastAsia="es-CR"/>
        </w:rPr>
        <w:t xml:space="preserve">Tomar nota del oficio </w:t>
      </w:r>
      <w:proofErr w:type="spellStart"/>
      <w:r w:rsidRPr="00990FB6">
        <w:rPr>
          <w:i/>
          <w:iCs/>
          <w:sz w:val="22"/>
          <w:szCs w:val="22"/>
          <w:lang w:eastAsia="es-CR"/>
        </w:rPr>
        <w:t>N°</w:t>
      </w:r>
      <w:proofErr w:type="spellEnd"/>
      <w:r w:rsidRPr="00990FB6">
        <w:rPr>
          <w:i/>
          <w:iCs/>
          <w:sz w:val="22"/>
          <w:szCs w:val="22"/>
          <w:lang w:eastAsia="es-CR"/>
        </w:rPr>
        <w:t xml:space="preserve"> 3443-DE-2017, suscrito por la máster Ana Eugenia Romero Jenkins, Directora Ejecutiva. </w:t>
      </w:r>
      <w:r w:rsidRPr="00990FB6">
        <w:rPr>
          <w:b/>
          <w:bCs/>
          <w:i/>
          <w:iCs/>
          <w:sz w:val="22"/>
          <w:szCs w:val="22"/>
          <w:lang w:eastAsia="es-CR"/>
        </w:rPr>
        <w:t>2.)</w:t>
      </w:r>
      <w:r w:rsidRPr="00990FB6">
        <w:rPr>
          <w:i/>
          <w:iCs/>
          <w:sz w:val="22"/>
          <w:szCs w:val="22"/>
          <w:lang w:eastAsia="es-CR"/>
        </w:rPr>
        <w:t> La Dirección Jurídica en coordinación con el Registro Judicial realizará una propuesta de Reglamento que regule las acciones que deben ejecutarse conforme a la legislación contra el maltrato animal. </w:t>
      </w:r>
      <w:r w:rsidRPr="00990FB6">
        <w:rPr>
          <w:b/>
          <w:bCs/>
          <w:i/>
          <w:iCs/>
          <w:sz w:val="22"/>
          <w:szCs w:val="22"/>
          <w:lang w:eastAsia="es-CR"/>
        </w:rPr>
        <w:t>3.) </w:t>
      </w:r>
      <w:r w:rsidRPr="00990FB6">
        <w:rPr>
          <w:i/>
          <w:iCs/>
          <w:sz w:val="22"/>
          <w:szCs w:val="22"/>
          <w:lang w:eastAsia="es-CR"/>
        </w:rPr>
        <w:t>Solicitar a la Dirección de Tecnología de la Información que diseñe, con el apoyo del personal del Registro Judicial, un módulo en el Sistema de Administración y Control Electrónico de Juzgamientos (SACEJ) para mantener la lista de organizaciones inscritas.</w:t>
      </w:r>
      <w:r w:rsidRPr="00990FB6">
        <w:rPr>
          <w:b/>
          <w:bCs/>
          <w:i/>
          <w:iCs/>
          <w:sz w:val="22"/>
          <w:szCs w:val="22"/>
          <w:lang w:eastAsia="es-CR"/>
        </w:rPr>
        <w:t> 4.) </w:t>
      </w:r>
      <w:r w:rsidRPr="00990FB6">
        <w:rPr>
          <w:i/>
          <w:iCs/>
          <w:sz w:val="22"/>
          <w:szCs w:val="22"/>
          <w:lang w:eastAsia="es-CR"/>
        </w:rPr>
        <w:t>Deberá el licenciado Saúl Arce Brenes, Jefe del Registro Judicial, atender la gestión de la Asociación para el Bienestar y Amparo de los Animales (A.B.A.A.) por lo que llevará el control respectivo en algún medio electrónico, hasta tanto se cuente con el referido sistema.</w:t>
      </w:r>
    </w:p>
    <w:p w14:paraId="0E5FBB99" w14:textId="77777777" w:rsidR="00B15F7D" w:rsidRPr="00990FB6" w:rsidRDefault="00B15F7D" w:rsidP="00B15F7D">
      <w:pPr>
        <w:shd w:val="clear" w:color="auto" w:fill="FFFFFF"/>
        <w:ind w:left="851" w:right="851" w:firstLine="709"/>
        <w:jc w:val="both"/>
        <w:rPr>
          <w:i/>
          <w:iCs/>
          <w:sz w:val="22"/>
          <w:szCs w:val="22"/>
          <w:lang w:eastAsia="es-CR"/>
        </w:rPr>
      </w:pPr>
    </w:p>
    <w:p w14:paraId="09ACA7E3" w14:textId="77777777" w:rsidR="00B15F7D" w:rsidRPr="00990FB6" w:rsidRDefault="00B15F7D" w:rsidP="00B15F7D">
      <w:pPr>
        <w:shd w:val="clear" w:color="auto" w:fill="FFFFFF"/>
        <w:ind w:left="851" w:right="851" w:firstLine="709"/>
        <w:jc w:val="both"/>
        <w:rPr>
          <w:i/>
          <w:iCs/>
          <w:sz w:val="22"/>
          <w:szCs w:val="22"/>
          <w:lang w:eastAsia="es-CR"/>
        </w:rPr>
      </w:pPr>
      <w:r w:rsidRPr="00990FB6">
        <w:rPr>
          <w:b/>
          <w:bCs/>
          <w:i/>
          <w:iCs/>
          <w:sz w:val="22"/>
          <w:szCs w:val="22"/>
          <w:lang w:eastAsia="es-CR"/>
        </w:rPr>
        <w:t>            </w:t>
      </w:r>
      <w:r w:rsidRPr="00990FB6">
        <w:rPr>
          <w:i/>
          <w:iCs/>
          <w:sz w:val="22"/>
          <w:szCs w:val="22"/>
          <w:lang w:eastAsia="es-CR"/>
        </w:rPr>
        <w:t>Las Direcciones Jurídica, Ejecutiva y de Tecnología de la Información, así como el Registro Judicial tomar nota para lo que corresponda.”.</w:t>
      </w:r>
    </w:p>
    <w:p w14:paraId="3FB177FF" w14:textId="77777777" w:rsidR="00B15F7D" w:rsidRPr="00990FB6" w:rsidRDefault="00B15F7D" w:rsidP="00B15F7D">
      <w:pPr>
        <w:ind w:left="851" w:right="851" w:firstLine="709"/>
        <w:jc w:val="both"/>
        <w:rPr>
          <w:rFonts w:eastAsia="Calibri"/>
          <w:sz w:val="22"/>
          <w:szCs w:val="22"/>
        </w:rPr>
      </w:pPr>
    </w:p>
    <w:p w14:paraId="165544E3"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Se consultó al Registro Judicial quién mediante correo electrónico del 7 de febrero 2023 (anexo 1) indicó: </w:t>
      </w:r>
    </w:p>
    <w:p w14:paraId="6040645F" w14:textId="77777777" w:rsidR="00B15F7D" w:rsidRPr="00990FB6" w:rsidRDefault="00B15F7D" w:rsidP="00B15F7D">
      <w:pPr>
        <w:autoSpaceDE w:val="0"/>
        <w:autoSpaceDN w:val="0"/>
        <w:adjustRightInd w:val="0"/>
        <w:ind w:left="851" w:right="851" w:firstLine="709"/>
        <w:jc w:val="both"/>
        <w:rPr>
          <w:rFonts w:eastAsia="Calibri"/>
          <w:i/>
          <w:iCs/>
          <w:sz w:val="22"/>
          <w:szCs w:val="22"/>
        </w:rPr>
      </w:pPr>
    </w:p>
    <w:p w14:paraId="21577B49" w14:textId="77777777" w:rsidR="00B15F7D" w:rsidRPr="00990FB6" w:rsidRDefault="00B15F7D" w:rsidP="00B15F7D">
      <w:pPr>
        <w:autoSpaceDE w:val="0"/>
        <w:autoSpaceDN w:val="0"/>
        <w:adjustRightInd w:val="0"/>
        <w:ind w:left="851" w:right="851" w:firstLine="709"/>
        <w:jc w:val="both"/>
        <w:rPr>
          <w:rFonts w:eastAsia="Calibri"/>
          <w:i/>
          <w:iCs/>
          <w:sz w:val="22"/>
          <w:szCs w:val="22"/>
        </w:rPr>
      </w:pPr>
      <w:r w:rsidRPr="00990FB6">
        <w:rPr>
          <w:rFonts w:eastAsia="Calibri"/>
          <w:i/>
          <w:iCs/>
          <w:sz w:val="22"/>
          <w:szCs w:val="22"/>
        </w:rPr>
        <w:t>“…</w:t>
      </w:r>
    </w:p>
    <w:p w14:paraId="34217324" w14:textId="77777777" w:rsidR="00B15F7D" w:rsidRPr="00990FB6" w:rsidRDefault="00B15F7D" w:rsidP="00B15F7D">
      <w:pPr>
        <w:autoSpaceDE w:val="0"/>
        <w:autoSpaceDN w:val="0"/>
        <w:adjustRightInd w:val="0"/>
        <w:ind w:left="851" w:right="851" w:firstLine="709"/>
        <w:jc w:val="both"/>
        <w:rPr>
          <w:rFonts w:eastAsia="Calibri"/>
          <w:i/>
          <w:iCs/>
          <w:sz w:val="22"/>
          <w:szCs w:val="22"/>
        </w:rPr>
      </w:pPr>
    </w:p>
    <w:p w14:paraId="024AFAD5" w14:textId="77777777" w:rsidR="00B15F7D" w:rsidRPr="00990FB6" w:rsidRDefault="00B15F7D" w:rsidP="00B15F7D">
      <w:pPr>
        <w:autoSpaceDE w:val="0"/>
        <w:autoSpaceDN w:val="0"/>
        <w:adjustRightInd w:val="0"/>
        <w:ind w:left="851" w:right="851" w:firstLine="709"/>
        <w:jc w:val="both"/>
        <w:rPr>
          <w:i/>
          <w:iCs/>
          <w:sz w:val="22"/>
          <w:szCs w:val="22"/>
        </w:rPr>
      </w:pPr>
      <w:r w:rsidRPr="00990FB6">
        <w:rPr>
          <w:i/>
          <w:iCs/>
          <w:sz w:val="22"/>
          <w:szCs w:val="22"/>
        </w:rPr>
        <w:t>En atención a lo consultado, conforme lo indica el licenciado Germán Viales, el módulo para la inscripción de las instituciones ya se encuentra creado y en funcionamiento en el Sistema SACEJ, mediante la cual el Registro realiza el registro con la información de la institución en el módulo, para ser consultado por los despachos judiciales competentes, sin que de parte de esta oficina se detecté alguna mejora por incorporar.</w:t>
      </w:r>
    </w:p>
    <w:p w14:paraId="11856D30" w14:textId="77777777" w:rsidR="00B15F7D" w:rsidRPr="00990FB6" w:rsidRDefault="00B15F7D" w:rsidP="00B15F7D">
      <w:pPr>
        <w:autoSpaceDE w:val="0"/>
        <w:autoSpaceDN w:val="0"/>
        <w:adjustRightInd w:val="0"/>
        <w:ind w:left="851" w:right="851" w:firstLine="709"/>
        <w:jc w:val="both"/>
        <w:rPr>
          <w:i/>
          <w:iCs/>
          <w:sz w:val="22"/>
          <w:szCs w:val="22"/>
        </w:rPr>
      </w:pPr>
    </w:p>
    <w:p w14:paraId="46BA7992" w14:textId="77777777" w:rsidR="00B15F7D" w:rsidRPr="00990FB6" w:rsidRDefault="00B15F7D" w:rsidP="00B15F7D">
      <w:pPr>
        <w:autoSpaceDE w:val="0"/>
        <w:autoSpaceDN w:val="0"/>
        <w:adjustRightInd w:val="0"/>
        <w:ind w:left="851" w:right="851" w:firstLine="709"/>
        <w:jc w:val="both"/>
        <w:rPr>
          <w:i/>
          <w:iCs/>
          <w:sz w:val="22"/>
          <w:szCs w:val="22"/>
        </w:rPr>
      </w:pPr>
      <w:r w:rsidRPr="00990FB6">
        <w:rPr>
          <w:i/>
          <w:iCs/>
          <w:sz w:val="22"/>
          <w:szCs w:val="22"/>
        </w:rPr>
        <w:t>Para tales efectos, se emitió la Circular No. 126-2021 del 29 de setiembre de 2021 de la Dirección Ejecutiva, la cual se adjunta.”</w:t>
      </w:r>
    </w:p>
    <w:p w14:paraId="7AD6AA2E" w14:textId="77777777" w:rsidR="00B15F7D" w:rsidRPr="00990FB6" w:rsidRDefault="00B15F7D" w:rsidP="00B15F7D">
      <w:pPr>
        <w:ind w:left="851" w:right="851" w:firstLine="709"/>
        <w:jc w:val="both"/>
        <w:rPr>
          <w:rFonts w:eastAsia="Calibri"/>
          <w:i/>
          <w:iCs/>
          <w:sz w:val="22"/>
          <w:szCs w:val="22"/>
        </w:rPr>
      </w:pPr>
      <w:r w:rsidRPr="00990FB6">
        <w:rPr>
          <w:i/>
          <w:iCs/>
          <w:sz w:val="22"/>
          <w:szCs w:val="22"/>
        </w:rPr>
        <w:t>…</w:t>
      </w:r>
      <w:r w:rsidRPr="00990FB6">
        <w:rPr>
          <w:rFonts w:eastAsia="Calibri"/>
          <w:i/>
          <w:iCs/>
          <w:sz w:val="22"/>
          <w:szCs w:val="22"/>
        </w:rPr>
        <w:t>”</w:t>
      </w:r>
    </w:p>
    <w:p w14:paraId="184BA63E" w14:textId="77777777" w:rsidR="00B15F7D" w:rsidRPr="00990FB6" w:rsidRDefault="00B15F7D" w:rsidP="00B15F7D">
      <w:pPr>
        <w:ind w:left="851" w:right="851" w:firstLine="709"/>
        <w:jc w:val="both"/>
        <w:rPr>
          <w:rFonts w:eastAsia="Calibri"/>
          <w:sz w:val="22"/>
          <w:szCs w:val="22"/>
        </w:rPr>
      </w:pPr>
    </w:p>
    <w:p w14:paraId="293551FF"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Igualmente, por parte de la Dirección de Tecnología de la Información y las Comunicaciones (anexo 2) se indicó: </w:t>
      </w:r>
    </w:p>
    <w:p w14:paraId="7D976353" w14:textId="77777777" w:rsidR="00B15F7D" w:rsidRPr="00990FB6" w:rsidRDefault="00B15F7D" w:rsidP="00B15F7D">
      <w:pPr>
        <w:ind w:left="851" w:right="851" w:firstLine="709"/>
        <w:jc w:val="both"/>
        <w:rPr>
          <w:rFonts w:eastAsia="Calibri"/>
          <w:sz w:val="22"/>
          <w:szCs w:val="22"/>
        </w:rPr>
      </w:pPr>
    </w:p>
    <w:p w14:paraId="33CA5021" w14:textId="77777777" w:rsidR="00B15F7D" w:rsidRPr="00990FB6" w:rsidRDefault="00B15F7D" w:rsidP="00B15F7D">
      <w:pPr>
        <w:ind w:left="851" w:right="851" w:firstLine="709"/>
        <w:jc w:val="both"/>
        <w:rPr>
          <w:rFonts w:eastAsia="Calibri"/>
          <w:i/>
          <w:iCs/>
          <w:sz w:val="22"/>
          <w:szCs w:val="22"/>
        </w:rPr>
      </w:pPr>
      <w:r w:rsidRPr="00990FB6">
        <w:rPr>
          <w:rFonts w:eastAsia="Calibri"/>
          <w:i/>
          <w:iCs/>
          <w:sz w:val="22"/>
          <w:szCs w:val="22"/>
        </w:rPr>
        <w:t>“…</w:t>
      </w:r>
    </w:p>
    <w:p w14:paraId="7370C7E5" w14:textId="77777777" w:rsidR="00B15F7D" w:rsidRPr="00990FB6" w:rsidRDefault="00B15F7D" w:rsidP="00B15F7D">
      <w:pPr>
        <w:autoSpaceDE w:val="0"/>
        <w:autoSpaceDN w:val="0"/>
        <w:ind w:left="851" w:right="851" w:firstLine="709"/>
        <w:jc w:val="both"/>
        <w:rPr>
          <w:i/>
          <w:iCs/>
          <w:sz w:val="22"/>
          <w:szCs w:val="22"/>
        </w:rPr>
      </w:pPr>
    </w:p>
    <w:p w14:paraId="48B18817" w14:textId="77777777" w:rsidR="00B15F7D" w:rsidRPr="00990FB6" w:rsidRDefault="00B15F7D" w:rsidP="00B15F7D">
      <w:pPr>
        <w:autoSpaceDE w:val="0"/>
        <w:autoSpaceDN w:val="0"/>
        <w:ind w:left="851" w:right="851" w:firstLine="709"/>
        <w:jc w:val="both"/>
        <w:rPr>
          <w:i/>
          <w:iCs/>
          <w:sz w:val="22"/>
          <w:szCs w:val="22"/>
        </w:rPr>
      </w:pPr>
      <w:r w:rsidRPr="00990FB6">
        <w:rPr>
          <w:i/>
          <w:iCs/>
          <w:sz w:val="22"/>
          <w:szCs w:val="22"/>
        </w:rPr>
        <w:t xml:space="preserve">Al respecto es necesario indicar que la DTIC desarrolló e instaló en producción aproximadamente en el año 2019 una funcionalidad en SACEJ que permite dicho registro de empresas representantes de intereses difusos de los animales, la cual se muestra a continuación: </w:t>
      </w:r>
    </w:p>
    <w:p w14:paraId="5DBEA369" w14:textId="77777777" w:rsidR="00B15F7D" w:rsidRPr="00990FB6" w:rsidRDefault="00B15F7D" w:rsidP="00B15F7D">
      <w:pPr>
        <w:autoSpaceDE w:val="0"/>
        <w:autoSpaceDN w:val="0"/>
        <w:ind w:left="851" w:right="851" w:firstLine="709"/>
        <w:jc w:val="both"/>
        <w:rPr>
          <w:sz w:val="22"/>
          <w:szCs w:val="22"/>
        </w:rPr>
      </w:pPr>
    </w:p>
    <w:p w14:paraId="758FD0CD" w14:textId="77777777" w:rsidR="00B15F7D" w:rsidRPr="00990FB6" w:rsidRDefault="00B15F7D" w:rsidP="00B15F7D">
      <w:pPr>
        <w:autoSpaceDE w:val="0"/>
        <w:autoSpaceDN w:val="0"/>
        <w:ind w:left="851" w:right="851" w:firstLine="709"/>
        <w:jc w:val="center"/>
        <w:rPr>
          <w:sz w:val="22"/>
          <w:szCs w:val="22"/>
        </w:rPr>
      </w:pPr>
      <w:r w:rsidRPr="00990FB6">
        <w:rPr>
          <w:noProof/>
          <w:sz w:val="22"/>
          <w:szCs w:val="22"/>
        </w:rPr>
        <w:drawing>
          <wp:inline distT="0" distB="0" distL="0" distR="0" wp14:anchorId="06326781" wp14:editId="56B97D4E">
            <wp:extent cx="3585444" cy="2355850"/>
            <wp:effectExtent l="0" t="0" r="0" b="6350"/>
            <wp:docPr id="196262840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 Word&#10;&#10;Descripción generada automáticamente"/>
                    <pic:cNvPicPr>
                      <a:picLocks noChangeAspect="1" noChangeArrowheads="1"/>
                    </pic:cNvPicPr>
                  </pic:nvPicPr>
                  <pic:blipFill>
                    <a:blip r:embed="rId168" r:link="rId169" cstate="print">
                      <a:extLst>
                        <a:ext uri="{28A0092B-C50C-407E-A947-70E740481C1C}">
                          <a14:useLocalDpi xmlns:a14="http://schemas.microsoft.com/office/drawing/2010/main" val="0"/>
                        </a:ext>
                      </a:extLst>
                    </a:blip>
                    <a:srcRect/>
                    <a:stretch>
                      <a:fillRect/>
                    </a:stretch>
                  </pic:blipFill>
                  <pic:spPr bwMode="auto">
                    <a:xfrm>
                      <a:off x="0" y="0"/>
                      <a:ext cx="3599909" cy="2365354"/>
                    </a:xfrm>
                    <a:prstGeom prst="rect">
                      <a:avLst/>
                    </a:prstGeom>
                    <a:noFill/>
                    <a:ln>
                      <a:noFill/>
                    </a:ln>
                  </pic:spPr>
                </pic:pic>
              </a:graphicData>
            </a:graphic>
          </wp:inline>
        </w:drawing>
      </w:r>
    </w:p>
    <w:p w14:paraId="294A4AA0" w14:textId="77777777" w:rsidR="00B15F7D" w:rsidRPr="00990FB6" w:rsidRDefault="00B15F7D" w:rsidP="00B15F7D">
      <w:pPr>
        <w:autoSpaceDE w:val="0"/>
        <w:autoSpaceDN w:val="0"/>
        <w:ind w:left="851" w:right="851" w:firstLine="709"/>
        <w:jc w:val="center"/>
        <w:rPr>
          <w:sz w:val="22"/>
          <w:szCs w:val="22"/>
        </w:rPr>
      </w:pPr>
    </w:p>
    <w:p w14:paraId="221DA33C" w14:textId="77777777" w:rsidR="00B15F7D" w:rsidRPr="00990FB6" w:rsidRDefault="00B15F7D" w:rsidP="00B15F7D">
      <w:pPr>
        <w:autoSpaceDE w:val="0"/>
        <w:autoSpaceDN w:val="0"/>
        <w:ind w:left="851" w:right="851" w:firstLine="709"/>
        <w:jc w:val="center"/>
        <w:rPr>
          <w:sz w:val="22"/>
          <w:szCs w:val="22"/>
        </w:rPr>
      </w:pPr>
    </w:p>
    <w:p w14:paraId="660BF6BB" w14:textId="77777777" w:rsidR="00B15F7D" w:rsidRPr="00990FB6" w:rsidRDefault="00B15F7D" w:rsidP="00B15F7D">
      <w:pPr>
        <w:autoSpaceDE w:val="0"/>
        <w:autoSpaceDN w:val="0"/>
        <w:ind w:left="851" w:right="851" w:firstLine="709"/>
        <w:jc w:val="center"/>
        <w:rPr>
          <w:sz w:val="22"/>
          <w:szCs w:val="22"/>
        </w:rPr>
      </w:pPr>
      <w:r w:rsidRPr="00990FB6">
        <w:rPr>
          <w:noProof/>
          <w:sz w:val="22"/>
          <w:szCs w:val="22"/>
        </w:rPr>
        <w:lastRenderedPageBreak/>
        <w:drawing>
          <wp:inline distT="0" distB="0" distL="0" distR="0" wp14:anchorId="2508FC93" wp14:editId="64CE68D2">
            <wp:extent cx="3917602" cy="2787650"/>
            <wp:effectExtent l="0" t="0" r="6985" b="0"/>
            <wp:docPr id="1102565780"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65780" name="Imagen 2" descr="Interfaz de usuario gráfica, Aplicación&#10;&#10;Descripción generada automáticamente"/>
                    <pic:cNvPicPr>
                      <a:picLocks noChangeAspect="1" noChangeArrowheads="1"/>
                    </pic:cNvPicPr>
                  </pic:nvPicPr>
                  <pic:blipFill>
                    <a:blip r:embed="rId170" r:link="rId171" cstate="print">
                      <a:extLst>
                        <a:ext uri="{28A0092B-C50C-407E-A947-70E740481C1C}">
                          <a14:useLocalDpi xmlns:a14="http://schemas.microsoft.com/office/drawing/2010/main" val="0"/>
                        </a:ext>
                      </a:extLst>
                    </a:blip>
                    <a:srcRect/>
                    <a:stretch>
                      <a:fillRect/>
                    </a:stretch>
                  </pic:blipFill>
                  <pic:spPr bwMode="auto">
                    <a:xfrm>
                      <a:off x="0" y="0"/>
                      <a:ext cx="3925824" cy="2793500"/>
                    </a:xfrm>
                    <a:prstGeom prst="rect">
                      <a:avLst/>
                    </a:prstGeom>
                    <a:noFill/>
                    <a:ln>
                      <a:noFill/>
                    </a:ln>
                  </pic:spPr>
                </pic:pic>
              </a:graphicData>
            </a:graphic>
          </wp:inline>
        </w:drawing>
      </w:r>
    </w:p>
    <w:p w14:paraId="74055E24" w14:textId="77777777" w:rsidR="00B15F7D" w:rsidRPr="00990FB6" w:rsidRDefault="00B15F7D" w:rsidP="00B15F7D">
      <w:pPr>
        <w:autoSpaceDE w:val="0"/>
        <w:autoSpaceDN w:val="0"/>
        <w:ind w:left="851" w:right="851" w:firstLine="709"/>
        <w:rPr>
          <w:sz w:val="22"/>
          <w:szCs w:val="22"/>
        </w:rPr>
      </w:pPr>
    </w:p>
    <w:p w14:paraId="0CF96EBC" w14:textId="7EA9B61B" w:rsidR="00B15F7D" w:rsidRPr="00990FB6" w:rsidRDefault="00B15F7D" w:rsidP="00B15F7D">
      <w:pPr>
        <w:autoSpaceDE w:val="0"/>
        <w:autoSpaceDN w:val="0"/>
        <w:ind w:left="851" w:right="851" w:firstLine="709"/>
        <w:rPr>
          <w:i/>
          <w:iCs/>
          <w:sz w:val="22"/>
          <w:szCs w:val="22"/>
        </w:rPr>
      </w:pPr>
      <w:r w:rsidRPr="00990FB6">
        <w:rPr>
          <w:i/>
          <w:iCs/>
          <w:sz w:val="22"/>
          <w:szCs w:val="22"/>
        </w:rPr>
        <w:t xml:space="preserve">Adicionalmente, se creó un reporte para que pueda ser consultado por otras oficinas: </w:t>
      </w:r>
    </w:p>
    <w:p w14:paraId="4FBC364C" w14:textId="77777777" w:rsidR="006E4ED2" w:rsidRPr="00990FB6" w:rsidRDefault="006E4ED2" w:rsidP="00B15F7D">
      <w:pPr>
        <w:autoSpaceDE w:val="0"/>
        <w:autoSpaceDN w:val="0"/>
        <w:ind w:left="851" w:right="851" w:firstLine="709"/>
        <w:rPr>
          <w:i/>
          <w:iCs/>
          <w:sz w:val="22"/>
          <w:szCs w:val="22"/>
        </w:rPr>
      </w:pPr>
    </w:p>
    <w:p w14:paraId="5819EC40" w14:textId="77777777" w:rsidR="00B15F7D" w:rsidRPr="00990FB6" w:rsidRDefault="00B15F7D" w:rsidP="00B15F7D">
      <w:pPr>
        <w:autoSpaceDE w:val="0"/>
        <w:autoSpaceDN w:val="0"/>
        <w:ind w:left="851" w:right="851" w:firstLine="709"/>
        <w:jc w:val="center"/>
        <w:rPr>
          <w:sz w:val="22"/>
          <w:szCs w:val="22"/>
        </w:rPr>
      </w:pPr>
      <w:r w:rsidRPr="00990FB6">
        <w:rPr>
          <w:noProof/>
          <w:sz w:val="22"/>
          <w:szCs w:val="22"/>
        </w:rPr>
        <w:lastRenderedPageBreak/>
        <w:drawing>
          <wp:inline distT="0" distB="0" distL="0" distR="0" wp14:anchorId="5D981CD3" wp14:editId="2F96B101">
            <wp:extent cx="4248150" cy="4635500"/>
            <wp:effectExtent l="0" t="0" r="0" b="0"/>
            <wp:docPr id="189906582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65823" name="Imagen 3" descr="Tabla&#10;&#10;Descripción generada automáticamente"/>
                    <pic:cNvPicPr>
                      <a:picLocks noChangeAspect="1" noChangeArrowheads="1"/>
                    </pic:cNvPicPr>
                  </pic:nvPicPr>
                  <pic:blipFill>
                    <a:blip r:embed="rId172" r:link="rId173">
                      <a:extLst>
                        <a:ext uri="{28A0092B-C50C-407E-A947-70E740481C1C}">
                          <a14:useLocalDpi xmlns:a14="http://schemas.microsoft.com/office/drawing/2010/main" val="0"/>
                        </a:ext>
                      </a:extLst>
                    </a:blip>
                    <a:srcRect/>
                    <a:stretch>
                      <a:fillRect/>
                    </a:stretch>
                  </pic:blipFill>
                  <pic:spPr bwMode="auto">
                    <a:xfrm>
                      <a:off x="0" y="0"/>
                      <a:ext cx="4248150" cy="4635500"/>
                    </a:xfrm>
                    <a:prstGeom prst="rect">
                      <a:avLst/>
                    </a:prstGeom>
                    <a:noFill/>
                    <a:ln>
                      <a:noFill/>
                    </a:ln>
                  </pic:spPr>
                </pic:pic>
              </a:graphicData>
            </a:graphic>
          </wp:inline>
        </w:drawing>
      </w:r>
    </w:p>
    <w:p w14:paraId="67F1762B" w14:textId="77777777" w:rsidR="006E4ED2" w:rsidRPr="00990FB6" w:rsidRDefault="006E4ED2" w:rsidP="00B15F7D">
      <w:pPr>
        <w:autoSpaceDE w:val="0"/>
        <w:autoSpaceDN w:val="0"/>
        <w:ind w:left="851" w:right="851" w:firstLine="709"/>
        <w:jc w:val="both"/>
        <w:rPr>
          <w:i/>
          <w:iCs/>
          <w:sz w:val="22"/>
          <w:szCs w:val="22"/>
        </w:rPr>
      </w:pPr>
    </w:p>
    <w:p w14:paraId="758937CD" w14:textId="027BF1A2" w:rsidR="00B15F7D" w:rsidRPr="00990FB6" w:rsidRDefault="00B15F7D" w:rsidP="00B15F7D">
      <w:pPr>
        <w:autoSpaceDE w:val="0"/>
        <w:autoSpaceDN w:val="0"/>
        <w:ind w:left="851" w:right="851" w:firstLine="709"/>
        <w:jc w:val="both"/>
        <w:rPr>
          <w:i/>
          <w:iCs/>
          <w:sz w:val="22"/>
          <w:szCs w:val="22"/>
        </w:rPr>
      </w:pPr>
      <w:r w:rsidRPr="00990FB6">
        <w:rPr>
          <w:i/>
          <w:iCs/>
          <w:sz w:val="22"/>
          <w:szCs w:val="22"/>
        </w:rPr>
        <w:t xml:space="preserve">Por lo anterior, se considera que el requerimiento está atendido y no sería necesaria la plaza extraordinaria, a no ser que el Registro Judicial considere que existe algún tema pendiente relacionado con Bienestar Animal, para lo cual sí sería necesaria la plaza extraordinaria considerando que existen grandes complicaciones para contratar personal. En caso contrario, si no se cuenta con recurso adicional, sería necesaria la priorización correspondiente de la necesidad por parte de la Dirección Ejecutiva. Dependiendo del alcance de los nuevos requerimientos deberían ser tratados como un proyecto por parte del Registro Judicial acorde a la Metodología. </w:t>
      </w:r>
    </w:p>
    <w:p w14:paraId="2C2EAA89" w14:textId="77777777" w:rsidR="00B15F7D" w:rsidRPr="00990FB6" w:rsidRDefault="00B15F7D" w:rsidP="00B15F7D">
      <w:pPr>
        <w:autoSpaceDE w:val="0"/>
        <w:autoSpaceDN w:val="0"/>
        <w:ind w:left="851" w:right="851" w:firstLine="709"/>
        <w:jc w:val="both"/>
        <w:rPr>
          <w:rFonts w:eastAsia="Calibri"/>
          <w:i/>
          <w:iCs/>
          <w:sz w:val="22"/>
          <w:szCs w:val="22"/>
        </w:rPr>
      </w:pPr>
    </w:p>
    <w:p w14:paraId="15511560" w14:textId="77777777" w:rsidR="00B15F7D" w:rsidRPr="00990FB6" w:rsidRDefault="00B15F7D" w:rsidP="00B15F7D">
      <w:pPr>
        <w:ind w:left="851" w:right="851" w:firstLine="709"/>
        <w:jc w:val="right"/>
        <w:rPr>
          <w:rFonts w:eastAsia="Calibri"/>
          <w:i/>
          <w:iCs/>
          <w:sz w:val="22"/>
          <w:szCs w:val="22"/>
        </w:rPr>
      </w:pPr>
      <w:r w:rsidRPr="00990FB6">
        <w:rPr>
          <w:rFonts w:eastAsia="Calibri"/>
          <w:i/>
          <w:iCs/>
          <w:sz w:val="22"/>
          <w:szCs w:val="22"/>
        </w:rPr>
        <w:t>…”</w:t>
      </w:r>
    </w:p>
    <w:p w14:paraId="62ADC1EA" w14:textId="77777777" w:rsidR="00B15F7D" w:rsidRPr="00990FB6" w:rsidRDefault="00B15F7D" w:rsidP="00B15F7D">
      <w:pPr>
        <w:ind w:left="851" w:right="851" w:firstLine="709"/>
        <w:jc w:val="both"/>
        <w:rPr>
          <w:rFonts w:eastAsia="Calibri"/>
          <w:b/>
          <w:bCs/>
          <w:sz w:val="22"/>
          <w:szCs w:val="22"/>
        </w:rPr>
      </w:pPr>
    </w:p>
    <w:p w14:paraId="3EF51722" w14:textId="77777777" w:rsidR="00B15F7D" w:rsidRPr="00990FB6" w:rsidRDefault="00B15F7D" w:rsidP="00254CD4">
      <w:pPr>
        <w:numPr>
          <w:ilvl w:val="1"/>
          <w:numId w:val="202"/>
        </w:numPr>
        <w:shd w:val="clear" w:color="auto" w:fill="D5DCE4" w:themeFill="text2" w:themeFillTint="33"/>
        <w:suppressAutoHyphens w:val="0"/>
        <w:ind w:left="851" w:right="851" w:firstLine="709"/>
        <w:contextualSpacing/>
        <w:jc w:val="both"/>
        <w:rPr>
          <w:rFonts w:eastAsiaTheme="majorEastAsia"/>
          <w:b/>
          <w:sz w:val="22"/>
          <w:szCs w:val="22"/>
        </w:rPr>
      </w:pPr>
      <w:r w:rsidRPr="00990FB6">
        <w:rPr>
          <w:rFonts w:eastAsiaTheme="majorEastAsia"/>
          <w:b/>
          <w:sz w:val="22"/>
          <w:szCs w:val="22"/>
        </w:rPr>
        <w:t xml:space="preserve">Registro de la información 2019 - 2023: </w:t>
      </w:r>
    </w:p>
    <w:p w14:paraId="5B85471F" w14:textId="77777777" w:rsidR="00B15F7D" w:rsidRPr="00990FB6" w:rsidRDefault="00B15F7D" w:rsidP="00B15F7D">
      <w:pPr>
        <w:ind w:left="851" w:right="851" w:firstLine="709"/>
        <w:jc w:val="both"/>
        <w:rPr>
          <w:rFonts w:eastAsia="Calibri"/>
          <w:sz w:val="22"/>
          <w:szCs w:val="22"/>
        </w:rPr>
      </w:pPr>
    </w:p>
    <w:p w14:paraId="23064CF3"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El Registró Judicial mediante correo electrónico del 1 de febrero 2023 (anexo 1) informó la cantidad de organizaciones adscritas a esa fecha para defensa de intereses difusos de los animales:  </w:t>
      </w:r>
    </w:p>
    <w:p w14:paraId="43C2D434" w14:textId="77777777" w:rsidR="00B15F7D" w:rsidRPr="00990FB6" w:rsidRDefault="00B15F7D" w:rsidP="00B15F7D">
      <w:pPr>
        <w:ind w:left="851" w:right="851" w:firstLine="709"/>
        <w:jc w:val="both"/>
        <w:rPr>
          <w:rFonts w:eastAsia="Calibri"/>
          <w:i/>
          <w:iCs/>
          <w:sz w:val="22"/>
          <w:szCs w:val="22"/>
        </w:rPr>
      </w:pPr>
      <w:r w:rsidRPr="00990FB6">
        <w:rPr>
          <w:rFonts w:eastAsia="Calibri"/>
          <w:i/>
          <w:iCs/>
          <w:sz w:val="22"/>
          <w:szCs w:val="22"/>
        </w:rPr>
        <w:lastRenderedPageBreak/>
        <w:t>“…</w:t>
      </w:r>
    </w:p>
    <w:tbl>
      <w:tblPr>
        <w:tblW w:w="0" w:type="auto"/>
        <w:jc w:val="center"/>
        <w:shd w:val="clear" w:color="auto" w:fill="FFFFFF"/>
        <w:tblCellMar>
          <w:left w:w="0" w:type="dxa"/>
          <w:right w:w="0" w:type="dxa"/>
        </w:tblCellMar>
        <w:tblLook w:val="04A0" w:firstRow="1" w:lastRow="0" w:firstColumn="1" w:lastColumn="0" w:noHBand="0" w:noVBand="1"/>
      </w:tblPr>
      <w:tblGrid>
        <w:gridCol w:w="1322"/>
        <w:gridCol w:w="1195"/>
        <w:gridCol w:w="1195"/>
        <w:gridCol w:w="1195"/>
        <w:gridCol w:w="1196"/>
        <w:gridCol w:w="1196"/>
      </w:tblGrid>
      <w:tr w:rsidR="00B15F7D" w:rsidRPr="00990FB6" w14:paraId="4A596B18" w14:textId="77777777" w:rsidTr="000A0C22">
        <w:trPr>
          <w:trHeight w:val="280"/>
          <w:jc w:val="center"/>
        </w:trPr>
        <w:tc>
          <w:tcPr>
            <w:tcW w:w="1322"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453A523" w14:textId="77777777" w:rsidR="00B15F7D" w:rsidRPr="00990FB6" w:rsidRDefault="00B15F7D" w:rsidP="00B15F7D">
            <w:pPr>
              <w:jc w:val="both"/>
              <w:rPr>
                <w:rFonts w:eastAsiaTheme="minorHAnsi"/>
                <w:i/>
                <w:iCs/>
                <w:sz w:val="22"/>
                <w:szCs w:val="22"/>
                <w:lang w:eastAsia="es-CR"/>
              </w:rPr>
            </w:pPr>
            <w:r w:rsidRPr="00990FB6">
              <w:rPr>
                <w:rFonts w:eastAsiaTheme="minorHAnsi"/>
                <w:i/>
                <w:iCs/>
                <w:sz w:val="22"/>
                <w:szCs w:val="22"/>
                <w:lang w:eastAsia="es-CR"/>
              </w:rPr>
              <w:t>Año</w:t>
            </w:r>
          </w:p>
        </w:tc>
        <w:tc>
          <w:tcPr>
            <w:tcW w:w="119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7F2E5D0" w14:textId="77777777" w:rsidR="00B15F7D" w:rsidRPr="00990FB6" w:rsidRDefault="00B15F7D" w:rsidP="00B15F7D">
            <w:pPr>
              <w:jc w:val="center"/>
              <w:rPr>
                <w:rFonts w:eastAsiaTheme="minorHAnsi"/>
                <w:i/>
                <w:iCs/>
                <w:sz w:val="22"/>
                <w:szCs w:val="22"/>
                <w:lang w:eastAsia="es-CR"/>
              </w:rPr>
            </w:pPr>
            <w:r w:rsidRPr="00990FB6">
              <w:rPr>
                <w:rFonts w:eastAsiaTheme="minorHAnsi"/>
                <w:b/>
                <w:bCs/>
                <w:i/>
                <w:iCs/>
                <w:sz w:val="22"/>
                <w:szCs w:val="22"/>
                <w:lang w:eastAsia="es-CR"/>
              </w:rPr>
              <w:t>2019</w:t>
            </w:r>
          </w:p>
        </w:tc>
        <w:tc>
          <w:tcPr>
            <w:tcW w:w="119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C673BF1" w14:textId="77777777" w:rsidR="00B15F7D" w:rsidRPr="00990FB6" w:rsidRDefault="00B15F7D" w:rsidP="00B15F7D">
            <w:pPr>
              <w:jc w:val="center"/>
              <w:rPr>
                <w:rFonts w:eastAsiaTheme="minorHAnsi"/>
                <w:i/>
                <w:iCs/>
                <w:sz w:val="22"/>
                <w:szCs w:val="22"/>
                <w:lang w:eastAsia="es-CR"/>
              </w:rPr>
            </w:pPr>
            <w:r w:rsidRPr="00990FB6">
              <w:rPr>
                <w:rFonts w:eastAsiaTheme="minorHAnsi"/>
                <w:b/>
                <w:bCs/>
                <w:i/>
                <w:iCs/>
                <w:sz w:val="22"/>
                <w:szCs w:val="22"/>
                <w:lang w:eastAsia="es-CR"/>
              </w:rPr>
              <w:t>2020</w:t>
            </w:r>
          </w:p>
        </w:tc>
        <w:tc>
          <w:tcPr>
            <w:tcW w:w="119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F739586" w14:textId="77777777" w:rsidR="00B15F7D" w:rsidRPr="00990FB6" w:rsidRDefault="00B15F7D" w:rsidP="00B15F7D">
            <w:pPr>
              <w:jc w:val="center"/>
              <w:rPr>
                <w:rFonts w:eastAsiaTheme="minorHAnsi"/>
                <w:i/>
                <w:iCs/>
                <w:sz w:val="22"/>
                <w:szCs w:val="22"/>
                <w:lang w:eastAsia="es-CR"/>
              </w:rPr>
            </w:pPr>
            <w:r w:rsidRPr="00990FB6">
              <w:rPr>
                <w:rFonts w:eastAsiaTheme="minorHAnsi"/>
                <w:b/>
                <w:bCs/>
                <w:i/>
                <w:iCs/>
                <w:sz w:val="22"/>
                <w:szCs w:val="22"/>
                <w:lang w:eastAsia="es-CR"/>
              </w:rPr>
              <w:t>2021</w:t>
            </w:r>
          </w:p>
        </w:tc>
        <w:tc>
          <w:tcPr>
            <w:tcW w:w="119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03BEAA8" w14:textId="77777777" w:rsidR="00B15F7D" w:rsidRPr="00990FB6" w:rsidRDefault="00B15F7D" w:rsidP="00B15F7D">
            <w:pPr>
              <w:jc w:val="center"/>
              <w:rPr>
                <w:rFonts w:eastAsiaTheme="minorHAnsi"/>
                <w:i/>
                <w:iCs/>
                <w:sz w:val="22"/>
                <w:szCs w:val="22"/>
                <w:lang w:eastAsia="es-CR"/>
              </w:rPr>
            </w:pPr>
            <w:r w:rsidRPr="00990FB6">
              <w:rPr>
                <w:rFonts w:eastAsiaTheme="minorHAnsi"/>
                <w:b/>
                <w:bCs/>
                <w:i/>
                <w:iCs/>
                <w:sz w:val="22"/>
                <w:szCs w:val="22"/>
                <w:lang w:eastAsia="es-CR"/>
              </w:rPr>
              <w:t>2022</w:t>
            </w:r>
          </w:p>
        </w:tc>
        <w:tc>
          <w:tcPr>
            <w:tcW w:w="119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5A5F29F" w14:textId="77777777" w:rsidR="00B15F7D" w:rsidRPr="00990FB6" w:rsidRDefault="00B15F7D" w:rsidP="00B15F7D">
            <w:pPr>
              <w:jc w:val="center"/>
              <w:rPr>
                <w:rFonts w:eastAsiaTheme="minorHAnsi"/>
                <w:i/>
                <w:iCs/>
                <w:sz w:val="22"/>
                <w:szCs w:val="22"/>
                <w:lang w:eastAsia="es-CR"/>
              </w:rPr>
            </w:pPr>
            <w:r w:rsidRPr="00990FB6">
              <w:rPr>
                <w:rFonts w:eastAsiaTheme="minorHAnsi"/>
                <w:b/>
                <w:bCs/>
                <w:i/>
                <w:iCs/>
                <w:sz w:val="22"/>
                <w:szCs w:val="22"/>
                <w:lang w:eastAsia="es-CR"/>
              </w:rPr>
              <w:t>2023</w:t>
            </w:r>
          </w:p>
        </w:tc>
      </w:tr>
      <w:tr w:rsidR="00B15F7D" w:rsidRPr="00990FB6" w14:paraId="65B2E6B7" w14:textId="77777777" w:rsidTr="000A0C22">
        <w:trPr>
          <w:trHeight w:val="1134"/>
          <w:jc w:val="center"/>
        </w:trPr>
        <w:tc>
          <w:tcPr>
            <w:tcW w:w="132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36E4D6F" w14:textId="77777777" w:rsidR="00B15F7D" w:rsidRPr="00990FB6" w:rsidRDefault="00B15F7D" w:rsidP="00B15F7D">
            <w:pPr>
              <w:jc w:val="both"/>
              <w:rPr>
                <w:rFonts w:eastAsiaTheme="minorHAnsi"/>
                <w:i/>
                <w:iCs/>
                <w:sz w:val="22"/>
                <w:szCs w:val="22"/>
                <w:lang w:eastAsia="es-CR"/>
              </w:rPr>
            </w:pPr>
            <w:r w:rsidRPr="00990FB6">
              <w:rPr>
                <w:rFonts w:eastAsiaTheme="minorHAnsi"/>
                <w:i/>
                <w:iCs/>
                <w:sz w:val="22"/>
                <w:szCs w:val="22"/>
                <w:lang w:eastAsia="es-CR"/>
              </w:rPr>
              <w:t>Cantidad de empresas inscritas</w:t>
            </w:r>
          </w:p>
        </w:tc>
        <w:tc>
          <w:tcPr>
            <w:tcW w:w="119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99D93BD" w14:textId="77777777" w:rsidR="00B15F7D" w:rsidRPr="00990FB6" w:rsidRDefault="00B15F7D" w:rsidP="00B15F7D">
            <w:pPr>
              <w:jc w:val="center"/>
              <w:rPr>
                <w:rFonts w:eastAsiaTheme="minorHAnsi"/>
                <w:i/>
                <w:iCs/>
                <w:sz w:val="22"/>
                <w:szCs w:val="22"/>
                <w:lang w:eastAsia="es-CR"/>
              </w:rPr>
            </w:pPr>
            <w:r w:rsidRPr="00990FB6">
              <w:rPr>
                <w:rFonts w:eastAsiaTheme="minorHAnsi"/>
                <w:i/>
                <w:iCs/>
                <w:sz w:val="22"/>
                <w:szCs w:val="22"/>
                <w:lang w:eastAsia="es-CR"/>
              </w:rPr>
              <w:t> 6*</w:t>
            </w:r>
          </w:p>
        </w:tc>
        <w:tc>
          <w:tcPr>
            <w:tcW w:w="119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D39692A" w14:textId="77777777" w:rsidR="00B15F7D" w:rsidRPr="00990FB6" w:rsidRDefault="00B15F7D" w:rsidP="00B15F7D">
            <w:pPr>
              <w:jc w:val="both"/>
              <w:rPr>
                <w:rFonts w:eastAsiaTheme="minorHAnsi"/>
                <w:i/>
                <w:iCs/>
                <w:sz w:val="22"/>
                <w:szCs w:val="22"/>
                <w:lang w:eastAsia="es-CR"/>
              </w:rPr>
            </w:pPr>
            <w:r w:rsidRPr="00990FB6">
              <w:rPr>
                <w:rFonts w:eastAsiaTheme="minorHAnsi"/>
                <w:i/>
                <w:iCs/>
                <w:sz w:val="22"/>
                <w:szCs w:val="22"/>
                <w:lang w:eastAsia="es-CR"/>
              </w:rPr>
              <w:t> N.R.</w:t>
            </w:r>
          </w:p>
        </w:tc>
        <w:tc>
          <w:tcPr>
            <w:tcW w:w="119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E84503E" w14:textId="77777777" w:rsidR="00B15F7D" w:rsidRPr="00990FB6" w:rsidRDefault="00B15F7D" w:rsidP="00B15F7D">
            <w:pPr>
              <w:jc w:val="both"/>
              <w:rPr>
                <w:rFonts w:eastAsiaTheme="minorHAnsi"/>
                <w:i/>
                <w:iCs/>
                <w:sz w:val="22"/>
                <w:szCs w:val="22"/>
                <w:lang w:eastAsia="es-CR"/>
              </w:rPr>
            </w:pPr>
            <w:r w:rsidRPr="00990FB6">
              <w:rPr>
                <w:rFonts w:eastAsiaTheme="minorHAnsi"/>
                <w:i/>
                <w:iCs/>
                <w:sz w:val="22"/>
                <w:szCs w:val="22"/>
                <w:lang w:eastAsia="es-CR"/>
              </w:rPr>
              <w:t> 1</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5072827" w14:textId="77777777" w:rsidR="00B15F7D" w:rsidRPr="00990FB6" w:rsidRDefault="00B15F7D" w:rsidP="00B15F7D">
            <w:pPr>
              <w:jc w:val="both"/>
              <w:rPr>
                <w:rFonts w:eastAsiaTheme="minorHAnsi"/>
                <w:i/>
                <w:iCs/>
                <w:sz w:val="22"/>
                <w:szCs w:val="22"/>
                <w:lang w:eastAsia="es-CR"/>
              </w:rPr>
            </w:pPr>
            <w:r w:rsidRPr="00990FB6">
              <w:rPr>
                <w:rFonts w:eastAsiaTheme="minorHAnsi"/>
                <w:i/>
                <w:iCs/>
                <w:sz w:val="22"/>
                <w:szCs w:val="22"/>
                <w:lang w:eastAsia="es-CR"/>
              </w:rPr>
              <w:t> 2</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9C1A8A" w14:textId="77777777" w:rsidR="00B15F7D" w:rsidRPr="00990FB6" w:rsidRDefault="00B15F7D" w:rsidP="00B15F7D">
            <w:pPr>
              <w:jc w:val="both"/>
              <w:rPr>
                <w:rFonts w:eastAsiaTheme="minorHAnsi"/>
                <w:i/>
                <w:iCs/>
                <w:sz w:val="22"/>
                <w:szCs w:val="22"/>
                <w:lang w:eastAsia="es-CR"/>
              </w:rPr>
            </w:pPr>
            <w:r w:rsidRPr="00990FB6">
              <w:rPr>
                <w:rFonts w:eastAsiaTheme="minorHAnsi"/>
                <w:i/>
                <w:iCs/>
                <w:sz w:val="22"/>
                <w:szCs w:val="22"/>
                <w:lang w:eastAsia="es-CR"/>
              </w:rPr>
              <w:t> N.R.</w:t>
            </w:r>
          </w:p>
        </w:tc>
      </w:tr>
    </w:tbl>
    <w:p w14:paraId="1B49D85E" w14:textId="77777777" w:rsidR="00B15F7D" w:rsidRPr="00990FB6" w:rsidRDefault="00B15F7D" w:rsidP="00B15F7D">
      <w:pPr>
        <w:shd w:val="clear" w:color="auto" w:fill="FFFFFF"/>
        <w:ind w:left="851" w:right="758" w:firstLine="565"/>
        <w:jc w:val="both"/>
        <w:rPr>
          <w:rFonts w:eastAsiaTheme="minorHAnsi"/>
          <w:i/>
          <w:iCs/>
          <w:sz w:val="22"/>
          <w:szCs w:val="22"/>
          <w:lang w:eastAsia="es-CR"/>
        </w:rPr>
      </w:pPr>
      <w:r w:rsidRPr="00990FB6">
        <w:rPr>
          <w:rFonts w:eastAsiaTheme="minorHAnsi"/>
          <w:i/>
          <w:iCs/>
          <w:sz w:val="22"/>
          <w:szCs w:val="22"/>
          <w:lang w:eastAsia="es-CR"/>
        </w:rPr>
        <w:t> * En el año 2019 se inscribieron 2 organizaciones más, esto debido a que se presentaron en fecha posterior al corte.</w:t>
      </w:r>
    </w:p>
    <w:p w14:paraId="7AFE5879" w14:textId="77777777" w:rsidR="00B15F7D" w:rsidRPr="00990FB6" w:rsidRDefault="00B15F7D" w:rsidP="00B15F7D">
      <w:pPr>
        <w:jc w:val="both"/>
        <w:rPr>
          <w:rFonts w:eastAsia="Calibri"/>
          <w:i/>
          <w:iCs/>
          <w:sz w:val="22"/>
          <w:szCs w:val="22"/>
        </w:rPr>
      </w:pPr>
    </w:p>
    <w:p w14:paraId="0A95215B" w14:textId="77777777" w:rsidR="00B15F7D" w:rsidRPr="00990FB6" w:rsidRDefault="00B15F7D" w:rsidP="00B15F7D">
      <w:pPr>
        <w:autoSpaceDE w:val="0"/>
        <w:autoSpaceDN w:val="0"/>
        <w:adjustRightInd w:val="0"/>
        <w:ind w:left="851" w:right="851" w:firstLine="709"/>
        <w:jc w:val="both"/>
        <w:rPr>
          <w:i/>
          <w:iCs/>
          <w:sz w:val="22"/>
          <w:szCs w:val="22"/>
        </w:rPr>
      </w:pPr>
      <w:r w:rsidRPr="00990FB6">
        <w:rPr>
          <w:i/>
          <w:iCs/>
          <w:sz w:val="22"/>
          <w:szCs w:val="22"/>
        </w:rPr>
        <w:t>En cuanto al control que se lleva en esta oficina, existe un módulo en el sistema SACEJ que se denomina "catálogos" en un apartado específico para organizaciones, este permite incluir toda la información necesaria y que cumple con los lineamientos establecidos para dichos fines. Por otra parte, se lleva un registro físico donde se resguarda toda la documentación presentada por la organización ante el Registro Judicial para su inscripción.</w:t>
      </w:r>
    </w:p>
    <w:p w14:paraId="162D5C3B" w14:textId="77777777" w:rsidR="00B15F7D" w:rsidRPr="00990FB6" w:rsidRDefault="00B15F7D" w:rsidP="00B15F7D">
      <w:pPr>
        <w:autoSpaceDE w:val="0"/>
        <w:autoSpaceDN w:val="0"/>
        <w:adjustRightInd w:val="0"/>
        <w:ind w:left="851" w:right="851" w:firstLine="709"/>
        <w:jc w:val="both"/>
        <w:rPr>
          <w:rFonts w:eastAsia="Calibri"/>
          <w:i/>
          <w:iCs/>
          <w:sz w:val="22"/>
          <w:szCs w:val="22"/>
        </w:rPr>
      </w:pPr>
      <w:r w:rsidRPr="00990FB6">
        <w:rPr>
          <w:i/>
          <w:iCs/>
          <w:sz w:val="22"/>
          <w:szCs w:val="22"/>
        </w:rPr>
        <w:t>…”</w:t>
      </w:r>
    </w:p>
    <w:p w14:paraId="6537F170" w14:textId="77777777" w:rsidR="00B15F7D" w:rsidRPr="00990FB6" w:rsidRDefault="00B15F7D" w:rsidP="00B15F7D">
      <w:pPr>
        <w:ind w:left="851" w:right="851" w:firstLine="709"/>
        <w:jc w:val="both"/>
        <w:rPr>
          <w:rFonts w:eastAsia="Calibri"/>
          <w:sz w:val="22"/>
          <w:szCs w:val="22"/>
        </w:rPr>
      </w:pPr>
    </w:p>
    <w:p w14:paraId="2E3643C2"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La Dirección de Tecnología de la Información y las Comunicaciones reiteró que el módulo ya está desarrollado, por lo que no tienen requerimientos para la implementación de la Ley 9458 para 2024 (anexo 2). </w:t>
      </w:r>
    </w:p>
    <w:p w14:paraId="72D23CCB" w14:textId="77777777" w:rsidR="00B15F7D" w:rsidRPr="00990FB6" w:rsidRDefault="00B15F7D" w:rsidP="00B15F7D">
      <w:pPr>
        <w:ind w:left="851" w:right="851" w:firstLine="709"/>
        <w:jc w:val="both"/>
        <w:rPr>
          <w:rFonts w:eastAsia="Calibri"/>
          <w:sz w:val="22"/>
          <w:szCs w:val="22"/>
        </w:rPr>
      </w:pPr>
    </w:p>
    <w:p w14:paraId="0673375A" w14:textId="77777777" w:rsidR="00B15F7D" w:rsidRPr="00990FB6" w:rsidRDefault="00B15F7D" w:rsidP="00254CD4">
      <w:pPr>
        <w:numPr>
          <w:ilvl w:val="1"/>
          <w:numId w:val="202"/>
        </w:numPr>
        <w:shd w:val="clear" w:color="auto" w:fill="D5DCE4" w:themeFill="text2" w:themeFillTint="33"/>
        <w:suppressAutoHyphens w:val="0"/>
        <w:ind w:left="851" w:right="851" w:firstLine="709"/>
        <w:contextualSpacing/>
        <w:jc w:val="both"/>
        <w:rPr>
          <w:rFonts w:eastAsiaTheme="majorEastAsia"/>
          <w:b/>
          <w:sz w:val="22"/>
          <w:szCs w:val="22"/>
        </w:rPr>
      </w:pPr>
      <w:r w:rsidRPr="00990FB6">
        <w:rPr>
          <w:rFonts w:eastAsiaTheme="majorEastAsia"/>
          <w:b/>
          <w:sz w:val="22"/>
          <w:szCs w:val="22"/>
        </w:rPr>
        <w:t>Recurso humano necesario en el OIJ para la implementación de la Ley 9458</w:t>
      </w:r>
    </w:p>
    <w:p w14:paraId="0D1F3810" w14:textId="77777777" w:rsidR="00B15F7D" w:rsidRPr="00990FB6" w:rsidRDefault="00B15F7D" w:rsidP="00B15F7D">
      <w:pPr>
        <w:ind w:left="851" w:right="851" w:firstLine="709"/>
        <w:jc w:val="both"/>
        <w:rPr>
          <w:rFonts w:eastAsia="Calibri"/>
          <w:sz w:val="22"/>
          <w:szCs w:val="22"/>
        </w:rPr>
      </w:pPr>
    </w:p>
    <w:p w14:paraId="01B6726B" w14:textId="77777777" w:rsidR="00B15F7D" w:rsidRPr="00990FB6" w:rsidRDefault="00B15F7D" w:rsidP="00B15F7D">
      <w:pPr>
        <w:ind w:left="851" w:right="851" w:firstLine="709"/>
        <w:jc w:val="both"/>
        <w:rPr>
          <w:sz w:val="22"/>
          <w:szCs w:val="22"/>
        </w:rPr>
      </w:pPr>
      <w:r w:rsidRPr="00990FB6">
        <w:rPr>
          <w:rFonts w:eastAsia="Calibri"/>
          <w:sz w:val="22"/>
          <w:szCs w:val="22"/>
        </w:rPr>
        <w:t xml:space="preserve">Se mantiene para 2024 la misma recomendación de 20 puestos el informe </w:t>
      </w:r>
      <w:r w:rsidRPr="00990FB6">
        <w:rPr>
          <w:sz w:val="22"/>
          <w:szCs w:val="22"/>
        </w:rPr>
        <w:t>275-PLA-RH-MI-2022, actualización de costos del estudio de Impacto organizacional y presupuestario en el Poder Judicial a partir de la promulgación de la Ley 9458 -Ley de Bienestar de los Animales para 2024.</w:t>
      </w:r>
    </w:p>
    <w:p w14:paraId="4F50139D" w14:textId="77777777" w:rsidR="00B15F7D" w:rsidRPr="00990FB6" w:rsidRDefault="00B15F7D" w:rsidP="00B15F7D">
      <w:pPr>
        <w:ind w:left="851" w:right="851" w:firstLine="709"/>
        <w:jc w:val="both"/>
        <w:rPr>
          <w:sz w:val="22"/>
          <w:szCs w:val="22"/>
        </w:rPr>
      </w:pPr>
    </w:p>
    <w:p w14:paraId="4E0D5656"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 continuación, se muestra el detalle de las plazas, tipo de puesto y categoría, oficina que se requieren para la correcta implementación de la Ley 9458</w:t>
      </w:r>
    </w:p>
    <w:p w14:paraId="70B60C16" w14:textId="77777777" w:rsidR="00B15F7D" w:rsidRPr="00990FB6" w:rsidRDefault="00B15F7D" w:rsidP="00B15F7D">
      <w:pPr>
        <w:ind w:left="851" w:right="851" w:firstLine="709"/>
        <w:jc w:val="both"/>
        <w:rPr>
          <w:rFonts w:eastAsia="Calibri"/>
          <w:sz w:val="22"/>
          <w:szCs w:val="22"/>
        </w:rPr>
      </w:pPr>
    </w:p>
    <w:tbl>
      <w:tblPr>
        <w:tblW w:w="7544" w:type="dxa"/>
        <w:jc w:val="center"/>
        <w:tblCellMar>
          <w:left w:w="70" w:type="dxa"/>
          <w:right w:w="70" w:type="dxa"/>
        </w:tblCellMar>
        <w:tblLook w:val="04A0" w:firstRow="1" w:lastRow="0" w:firstColumn="1" w:lastColumn="0" w:noHBand="0" w:noVBand="1"/>
      </w:tblPr>
      <w:tblGrid>
        <w:gridCol w:w="3397"/>
        <w:gridCol w:w="1276"/>
        <w:gridCol w:w="2871"/>
      </w:tblGrid>
      <w:tr w:rsidR="00B15F7D" w:rsidRPr="00990FB6" w14:paraId="10F12080" w14:textId="77777777" w:rsidTr="000A0C22">
        <w:trPr>
          <w:trHeight w:val="20"/>
          <w:jc w:val="center"/>
        </w:trPr>
        <w:tc>
          <w:tcPr>
            <w:tcW w:w="3397"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12FAA8F2" w14:textId="77777777" w:rsidR="00B15F7D" w:rsidRPr="00990FB6" w:rsidRDefault="00B15F7D" w:rsidP="00B15F7D">
            <w:pPr>
              <w:jc w:val="center"/>
              <w:rPr>
                <w:b/>
                <w:bCs/>
                <w:sz w:val="22"/>
                <w:szCs w:val="22"/>
                <w:lang w:eastAsia="es-CR"/>
              </w:rPr>
            </w:pPr>
            <w:r w:rsidRPr="00990FB6">
              <w:rPr>
                <w:b/>
                <w:bCs/>
                <w:sz w:val="22"/>
                <w:szCs w:val="22"/>
                <w:lang w:eastAsia="es-CR"/>
              </w:rPr>
              <w:t>Despacho</w:t>
            </w:r>
          </w:p>
        </w:tc>
        <w:tc>
          <w:tcPr>
            <w:tcW w:w="1276" w:type="dxa"/>
            <w:tcBorders>
              <w:top w:val="single" w:sz="4" w:space="0" w:color="auto"/>
              <w:left w:val="nil"/>
              <w:bottom w:val="single" w:sz="4" w:space="0" w:color="auto"/>
              <w:right w:val="single" w:sz="4" w:space="0" w:color="auto"/>
            </w:tcBorders>
            <w:shd w:val="clear" w:color="000000" w:fill="0070C0"/>
            <w:vAlign w:val="center"/>
            <w:hideMark/>
          </w:tcPr>
          <w:p w14:paraId="3530169E" w14:textId="77777777" w:rsidR="00B15F7D" w:rsidRPr="00990FB6" w:rsidRDefault="00B15F7D" w:rsidP="00B15F7D">
            <w:pPr>
              <w:jc w:val="center"/>
              <w:rPr>
                <w:b/>
                <w:bCs/>
                <w:sz w:val="22"/>
                <w:szCs w:val="22"/>
                <w:lang w:eastAsia="es-CR"/>
              </w:rPr>
            </w:pPr>
            <w:r w:rsidRPr="00990FB6">
              <w:rPr>
                <w:b/>
                <w:bCs/>
                <w:sz w:val="22"/>
                <w:szCs w:val="22"/>
                <w:lang w:eastAsia="es-CR"/>
              </w:rPr>
              <w:t>Cantidad</w:t>
            </w:r>
          </w:p>
        </w:tc>
        <w:tc>
          <w:tcPr>
            <w:tcW w:w="2871" w:type="dxa"/>
            <w:tcBorders>
              <w:top w:val="single" w:sz="4" w:space="0" w:color="auto"/>
              <w:left w:val="nil"/>
              <w:bottom w:val="single" w:sz="4" w:space="0" w:color="auto"/>
              <w:right w:val="single" w:sz="4" w:space="0" w:color="auto"/>
            </w:tcBorders>
            <w:shd w:val="clear" w:color="000000" w:fill="0070C0"/>
            <w:vAlign w:val="center"/>
            <w:hideMark/>
          </w:tcPr>
          <w:p w14:paraId="10E088EA" w14:textId="77777777" w:rsidR="00B15F7D" w:rsidRPr="00990FB6" w:rsidRDefault="00B15F7D" w:rsidP="00B15F7D">
            <w:pPr>
              <w:jc w:val="center"/>
              <w:rPr>
                <w:b/>
                <w:bCs/>
                <w:sz w:val="22"/>
                <w:szCs w:val="22"/>
                <w:lang w:eastAsia="es-CR"/>
              </w:rPr>
            </w:pPr>
            <w:r w:rsidRPr="00990FB6">
              <w:rPr>
                <w:b/>
                <w:bCs/>
                <w:sz w:val="22"/>
                <w:szCs w:val="22"/>
                <w:lang w:eastAsia="es-CR"/>
              </w:rPr>
              <w:t>Tipo de plaza</w:t>
            </w:r>
          </w:p>
        </w:tc>
      </w:tr>
      <w:tr w:rsidR="00B15F7D" w:rsidRPr="00990FB6" w14:paraId="4718E8E5" w14:textId="77777777" w:rsidTr="000A0C22">
        <w:trPr>
          <w:trHeight w:val="20"/>
          <w:jc w:val="center"/>
        </w:trPr>
        <w:tc>
          <w:tcPr>
            <w:tcW w:w="3397" w:type="dxa"/>
            <w:vMerge w:val="restart"/>
            <w:tcBorders>
              <w:top w:val="nil"/>
              <w:left w:val="single" w:sz="4" w:space="0" w:color="auto"/>
              <w:bottom w:val="single" w:sz="4" w:space="0" w:color="000000"/>
              <w:right w:val="single" w:sz="4" w:space="0" w:color="auto"/>
            </w:tcBorders>
            <w:shd w:val="clear" w:color="auto" w:fill="auto"/>
            <w:vAlign w:val="center"/>
            <w:hideMark/>
          </w:tcPr>
          <w:p w14:paraId="0D78776A" w14:textId="77777777" w:rsidR="00B15F7D" w:rsidRPr="00990FB6" w:rsidRDefault="00B15F7D" w:rsidP="00B15F7D">
            <w:pPr>
              <w:rPr>
                <w:sz w:val="22"/>
                <w:szCs w:val="22"/>
                <w:lang w:eastAsia="es-CR"/>
              </w:rPr>
            </w:pPr>
            <w:r w:rsidRPr="00990FB6">
              <w:rPr>
                <w:sz w:val="22"/>
                <w:szCs w:val="22"/>
                <w:lang w:eastAsia="es-CR"/>
              </w:rPr>
              <w:t xml:space="preserve">OIJ-Sección de Delitos Varios del Departamento de Investigaciones Criminales </w:t>
            </w:r>
          </w:p>
        </w:tc>
        <w:tc>
          <w:tcPr>
            <w:tcW w:w="1276" w:type="dxa"/>
            <w:tcBorders>
              <w:top w:val="nil"/>
              <w:left w:val="nil"/>
              <w:bottom w:val="single" w:sz="4" w:space="0" w:color="auto"/>
              <w:right w:val="single" w:sz="4" w:space="0" w:color="auto"/>
            </w:tcBorders>
            <w:shd w:val="clear" w:color="auto" w:fill="auto"/>
            <w:vAlign w:val="center"/>
            <w:hideMark/>
          </w:tcPr>
          <w:p w14:paraId="6189D7BA" w14:textId="77777777" w:rsidR="00B15F7D" w:rsidRPr="00990FB6" w:rsidRDefault="00B15F7D" w:rsidP="00B15F7D">
            <w:pPr>
              <w:jc w:val="center"/>
              <w:rPr>
                <w:sz w:val="22"/>
                <w:szCs w:val="22"/>
                <w:lang w:eastAsia="es-CR"/>
              </w:rPr>
            </w:pPr>
            <w:r w:rsidRPr="00990FB6">
              <w:rPr>
                <w:sz w:val="22"/>
                <w:szCs w:val="22"/>
                <w:lang w:eastAsia="es-CR"/>
              </w:rPr>
              <w:t>2</w:t>
            </w:r>
          </w:p>
        </w:tc>
        <w:tc>
          <w:tcPr>
            <w:tcW w:w="2871" w:type="dxa"/>
            <w:tcBorders>
              <w:top w:val="nil"/>
              <w:left w:val="nil"/>
              <w:bottom w:val="single" w:sz="4" w:space="0" w:color="auto"/>
              <w:right w:val="single" w:sz="4" w:space="0" w:color="auto"/>
            </w:tcBorders>
            <w:shd w:val="clear" w:color="auto" w:fill="auto"/>
            <w:vAlign w:val="center"/>
            <w:hideMark/>
          </w:tcPr>
          <w:p w14:paraId="0025D995" w14:textId="77777777" w:rsidR="00B15F7D" w:rsidRPr="00990FB6" w:rsidRDefault="00B15F7D" w:rsidP="00B15F7D">
            <w:pPr>
              <w:jc w:val="center"/>
              <w:rPr>
                <w:sz w:val="22"/>
                <w:szCs w:val="22"/>
                <w:lang w:eastAsia="es-CR"/>
              </w:rPr>
            </w:pPr>
            <w:r w:rsidRPr="00990FB6">
              <w:rPr>
                <w:sz w:val="22"/>
                <w:szCs w:val="22"/>
                <w:lang w:eastAsia="es-CR"/>
              </w:rPr>
              <w:t>Investigador 1</w:t>
            </w:r>
          </w:p>
        </w:tc>
      </w:tr>
      <w:tr w:rsidR="00B15F7D" w:rsidRPr="00990FB6" w14:paraId="091C29C4" w14:textId="77777777" w:rsidTr="000A0C22">
        <w:trPr>
          <w:trHeight w:val="20"/>
          <w:jc w:val="center"/>
        </w:trPr>
        <w:tc>
          <w:tcPr>
            <w:tcW w:w="3397" w:type="dxa"/>
            <w:vMerge/>
            <w:tcBorders>
              <w:top w:val="nil"/>
              <w:left w:val="single" w:sz="4" w:space="0" w:color="auto"/>
              <w:bottom w:val="single" w:sz="4" w:space="0" w:color="000000"/>
              <w:right w:val="single" w:sz="4" w:space="0" w:color="auto"/>
            </w:tcBorders>
            <w:vAlign w:val="center"/>
            <w:hideMark/>
          </w:tcPr>
          <w:p w14:paraId="21AB62C6" w14:textId="77777777" w:rsidR="00B15F7D" w:rsidRPr="00990FB6" w:rsidRDefault="00B15F7D" w:rsidP="00B15F7D">
            <w:pPr>
              <w:rPr>
                <w:sz w:val="22"/>
                <w:szCs w:val="22"/>
                <w:lang w:eastAsia="es-CR"/>
              </w:rPr>
            </w:pPr>
          </w:p>
        </w:tc>
        <w:tc>
          <w:tcPr>
            <w:tcW w:w="1276" w:type="dxa"/>
            <w:tcBorders>
              <w:top w:val="nil"/>
              <w:left w:val="nil"/>
              <w:bottom w:val="single" w:sz="4" w:space="0" w:color="auto"/>
              <w:right w:val="single" w:sz="4" w:space="0" w:color="auto"/>
            </w:tcBorders>
            <w:shd w:val="clear" w:color="auto" w:fill="auto"/>
            <w:vAlign w:val="center"/>
            <w:hideMark/>
          </w:tcPr>
          <w:p w14:paraId="46F91607" w14:textId="77777777" w:rsidR="00B15F7D" w:rsidRPr="00990FB6" w:rsidRDefault="00B15F7D" w:rsidP="00B15F7D">
            <w:pPr>
              <w:jc w:val="center"/>
              <w:rPr>
                <w:sz w:val="22"/>
                <w:szCs w:val="22"/>
                <w:lang w:eastAsia="es-CR"/>
              </w:rPr>
            </w:pPr>
            <w:r w:rsidRPr="00990FB6">
              <w:rPr>
                <w:sz w:val="22"/>
                <w:szCs w:val="22"/>
                <w:lang w:eastAsia="es-CR"/>
              </w:rPr>
              <w:t>1</w:t>
            </w:r>
          </w:p>
        </w:tc>
        <w:tc>
          <w:tcPr>
            <w:tcW w:w="2871" w:type="dxa"/>
            <w:tcBorders>
              <w:top w:val="nil"/>
              <w:left w:val="nil"/>
              <w:bottom w:val="single" w:sz="4" w:space="0" w:color="auto"/>
              <w:right w:val="single" w:sz="4" w:space="0" w:color="auto"/>
            </w:tcBorders>
            <w:shd w:val="clear" w:color="auto" w:fill="auto"/>
            <w:vAlign w:val="center"/>
            <w:hideMark/>
          </w:tcPr>
          <w:p w14:paraId="5CCEEB0D" w14:textId="77777777" w:rsidR="00B15F7D" w:rsidRPr="00990FB6" w:rsidRDefault="00B15F7D" w:rsidP="00B15F7D">
            <w:pPr>
              <w:jc w:val="center"/>
              <w:rPr>
                <w:sz w:val="22"/>
                <w:szCs w:val="22"/>
                <w:lang w:eastAsia="es-CR"/>
              </w:rPr>
            </w:pPr>
            <w:r w:rsidRPr="00990FB6">
              <w:rPr>
                <w:sz w:val="22"/>
                <w:szCs w:val="22"/>
                <w:lang w:eastAsia="es-CR"/>
              </w:rPr>
              <w:t>Jefe Administrativo 1</w:t>
            </w:r>
          </w:p>
        </w:tc>
      </w:tr>
      <w:tr w:rsidR="00B15F7D" w:rsidRPr="00990FB6" w14:paraId="00C69E69" w14:textId="77777777" w:rsidTr="000A0C22">
        <w:trPr>
          <w:trHeight w:val="20"/>
          <w:jc w:val="center"/>
        </w:trPr>
        <w:tc>
          <w:tcPr>
            <w:tcW w:w="3397" w:type="dxa"/>
            <w:vMerge w:val="restart"/>
            <w:tcBorders>
              <w:top w:val="nil"/>
              <w:left w:val="single" w:sz="4" w:space="0" w:color="auto"/>
              <w:bottom w:val="single" w:sz="4" w:space="0" w:color="000000"/>
              <w:right w:val="single" w:sz="4" w:space="0" w:color="auto"/>
            </w:tcBorders>
            <w:shd w:val="clear" w:color="auto" w:fill="auto"/>
            <w:vAlign w:val="center"/>
            <w:hideMark/>
          </w:tcPr>
          <w:p w14:paraId="187B0817" w14:textId="77777777" w:rsidR="00B15F7D" w:rsidRPr="00990FB6" w:rsidRDefault="00B15F7D" w:rsidP="00B15F7D">
            <w:pPr>
              <w:rPr>
                <w:sz w:val="22"/>
                <w:szCs w:val="22"/>
                <w:lang w:eastAsia="es-CR"/>
              </w:rPr>
            </w:pPr>
            <w:r w:rsidRPr="00990FB6">
              <w:rPr>
                <w:sz w:val="22"/>
                <w:szCs w:val="22"/>
                <w:lang w:eastAsia="es-CR"/>
              </w:rPr>
              <w:t xml:space="preserve">Departamento de Ciencias Forenses </w:t>
            </w:r>
          </w:p>
        </w:tc>
        <w:tc>
          <w:tcPr>
            <w:tcW w:w="1276" w:type="dxa"/>
            <w:tcBorders>
              <w:top w:val="nil"/>
              <w:left w:val="nil"/>
              <w:bottom w:val="single" w:sz="4" w:space="0" w:color="auto"/>
              <w:right w:val="single" w:sz="4" w:space="0" w:color="auto"/>
            </w:tcBorders>
            <w:shd w:val="clear" w:color="auto" w:fill="auto"/>
            <w:vAlign w:val="center"/>
            <w:hideMark/>
          </w:tcPr>
          <w:p w14:paraId="42F22390" w14:textId="77777777" w:rsidR="00B15F7D" w:rsidRPr="00990FB6" w:rsidRDefault="00B15F7D" w:rsidP="00B15F7D">
            <w:pPr>
              <w:jc w:val="center"/>
              <w:rPr>
                <w:sz w:val="22"/>
                <w:szCs w:val="22"/>
                <w:lang w:eastAsia="es-CR"/>
              </w:rPr>
            </w:pPr>
            <w:r w:rsidRPr="00990FB6">
              <w:rPr>
                <w:sz w:val="22"/>
                <w:szCs w:val="22"/>
                <w:lang w:eastAsia="es-CR"/>
              </w:rPr>
              <w:t>2</w:t>
            </w:r>
          </w:p>
        </w:tc>
        <w:tc>
          <w:tcPr>
            <w:tcW w:w="2871" w:type="dxa"/>
            <w:tcBorders>
              <w:top w:val="nil"/>
              <w:left w:val="nil"/>
              <w:bottom w:val="single" w:sz="4" w:space="0" w:color="auto"/>
              <w:right w:val="single" w:sz="4" w:space="0" w:color="auto"/>
            </w:tcBorders>
            <w:shd w:val="clear" w:color="auto" w:fill="auto"/>
            <w:vAlign w:val="center"/>
            <w:hideMark/>
          </w:tcPr>
          <w:p w14:paraId="5E4B108B" w14:textId="77777777" w:rsidR="00B15F7D" w:rsidRPr="00990FB6" w:rsidRDefault="00B15F7D" w:rsidP="00B15F7D">
            <w:pPr>
              <w:jc w:val="center"/>
              <w:rPr>
                <w:sz w:val="22"/>
                <w:szCs w:val="22"/>
                <w:lang w:eastAsia="es-CR"/>
              </w:rPr>
            </w:pPr>
            <w:r w:rsidRPr="00990FB6">
              <w:rPr>
                <w:sz w:val="22"/>
                <w:szCs w:val="22"/>
                <w:lang w:eastAsia="es-CR"/>
              </w:rPr>
              <w:t>Peritos Judiciales 2B</w:t>
            </w:r>
          </w:p>
        </w:tc>
      </w:tr>
      <w:tr w:rsidR="00B15F7D" w:rsidRPr="00990FB6" w14:paraId="3B95EB0D" w14:textId="77777777" w:rsidTr="000A0C22">
        <w:trPr>
          <w:trHeight w:val="20"/>
          <w:jc w:val="center"/>
        </w:trPr>
        <w:tc>
          <w:tcPr>
            <w:tcW w:w="3397" w:type="dxa"/>
            <w:vMerge/>
            <w:tcBorders>
              <w:top w:val="nil"/>
              <w:left w:val="single" w:sz="4" w:space="0" w:color="auto"/>
              <w:bottom w:val="single" w:sz="4" w:space="0" w:color="000000"/>
              <w:right w:val="single" w:sz="4" w:space="0" w:color="auto"/>
            </w:tcBorders>
            <w:vAlign w:val="center"/>
            <w:hideMark/>
          </w:tcPr>
          <w:p w14:paraId="5EB7C390" w14:textId="77777777" w:rsidR="00B15F7D" w:rsidRPr="00990FB6" w:rsidRDefault="00B15F7D" w:rsidP="00B15F7D">
            <w:pPr>
              <w:rPr>
                <w:sz w:val="22"/>
                <w:szCs w:val="22"/>
                <w:lang w:eastAsia="es-CR"/>
              </w:rPr>
            </w:pPr>
          </w:p>
        </w:tc>
        <w:tc>
          <w:tcPr>
            <w:tcW w:w="1276" w:type="dxa"/>
            <w:tcBorders>
              <w:top w:val="nil"/>
              <w:left w:val="nil"/>
              <w:bottom w:val="single" w:sz="4" w:space="0" w:color="auto"/>
              <w:right w:val="single" w:sz="4" w:space="0" w:color="auto"/>
            </w:tcBorders>
            <w:shd w:val="clear" w:color="auto" w:fill="auto"/>
            <w:vAlign w:val="center"/>
            <w:hideMark/>
          </w:tcPr>
          <w:p w14:paraId="4AD6459A" w14:textId="77777777" w:rsidR="00B15F7D" w:rsidRPr="00990FB6" w:rsidRDefault="00B15F7D" w:rsidP="00B15F7D">
            <w:pPr>
              <w:jc w:val="center"/>
              <w:rPr>
                <w:sz w:val="22"/>
                <w:szCs w:val="22"/>
                <w:lang w:eastAsia="es-CR"/>
              </w:rPr>
            </w:pPr>
            <w:r w:rsidRPr="00990FB6">
              <w:rPr>
                <w:sz w:val="22"/>
                <w:szCs w:val="22"/>
                <w:lang w:eastAsia="es-CR"/>
              </w:rPr>
              <w:t>1</w:t>
            </w:r>
          </w:p>
        </w:tc>
        <w:tc>
          <w:tcPr>
            <w:tcW w:w="2871" w:type="dxa"/>
            <w:tcBorders>
              <w:top w:val="nil"/>
              <w:left w:val="nil"/>
              <w:bottom w:val="single" w:sz="4" w:space="0" w:color="auto"/>
              <w:right w:val="single" w:sz="4" w:space="0" w:color="auto"/>
            </w:tcBorders>
            <w:shd w:val="clear" w:color="auto" w:fill="auto"/>
            <w:vAlign w:val="center"/>
            <w:hideMark/>
          </w:tcPr>
          <w:p w14:paraId="19390588" w14:textId="77777777" w:rsidR="00B15F7D" w:rsidRPr="00990FB6" w:rsidRDefault="00B15F7D" w:rsidP="00B15F7D">
            <w:pPr>
              <w:jc w:val="center"/>
              <w:rPr>
                <w:sz w:val="22"/>
                <w:szCs w:val="22"/>
                <w:lang w:eastAsia="es-CR"/>
              </w:rPr>
            </w:pPr>
            <w:r w:rsidRPr="00990FB6">
              <w:rPr>
                <w:sz w:val="22"/>
                <w:szCs w:val="22"/>
                <w:lang w:eastAsia="es-CR"/>
              </w:rPr>
              <w:t>Perito 2</w:t>
            </w:r>
          </w:p>
        </w:tc>
      </w:tr>
      <w:tr w:rsidR="00B15F7D" w:rsidRPr="00990FB6" w14:paraId="3BCD0248" w14:textId="77777777" w:rsidTr="000A0C22">
        <w:trPr>
          <w:trHeight w:val="20"/>
          <w:jc w:val="center"/>
        </w:trPr>
        <w:tc>
          <w:tcPr>
            <w:tcW w:w="3397" w:type="dxa"/>
            <w:vMerge/>
            <w:tcBorders>
              <w:top w:val="nil"/>
              <w:left w:val="single" w:sz="4" w:space="0" w:color="auto"/>
              <w:bottom w:val="single" w:sz="4" w:space="0" w:color="000000"/>
              <w:right w:val="single" w:sz="4" w:space="0" w:color="auto"/>
            </w:tcBorders>
            <w:vAlign w:val="center"/>
            <w:hideMark/>
          </w:tcPr>
          <w:p w14:paraId="016737DB" w14:textId="77777777" w:rsidR="00B15F7D" w:rsidRPr="00990FB6" w:rsidRDefault="00B15F7D" w:rsidP="00B15F7D">
            <w:pPr>
              <w:rPr>
                <w:sz w:val="22"/>
                <w:szCs w:val="22"/>
                <w:lang w:eastAsia="es-CR"/>
              </w:rPr>
            </w:pPr>
          </w:p>
        </w:tc>
        <w:tc>
          <w:tcPr>
            <w:tcW w:w="1276" w:type="dxa"/>
            <w:tcBorders>
              <w:top w:val="nil"/>
              <w:left w:val="nil"/>
              <w:bottom w:val="single" w:sz="4" w:space="0" w:color="auto"/>
              <w:right w:val="single" w:sz="4" w:space="0" w:color="auto"/>
            </w:tcBorders>
            <w:shd w:val="clear" w:color="auto" w:fill="auto"/>
            <w:vAlign w:val="center"/>
            <w:hideMark/>
          </w:tcPr>
          <w:p w14:paraId="6FD66FC6" w14:textId="77777777" w:rsidR="00B15F7D" w:rsidRPr="00990FB6" w:rsidRDefault="00B15F7D" w:rsidP="00B15F7D">
            <w:pPr>
              <w:jc w:val="center"/>
              <w:rPr>
                <w:sz w:val="22"/>
                <w:szCs w:val="22"/>
                <w:lang w:eastAsia="es-CR"/>
              </w:rPr>
            </w:pPr>
            <w:r w:rsidRPr="00990FB6">
              <w:rPr>
                <w:sz w:val="22"/>
                <w:szCs w:val="22"/>
                <w:lang w:eastAsia="es-CR"/>
              </w:rPr>
              <w:t>1</w:t>
            </w:r>
          </w:p>
        </w:tc>
        <w:tc>
          <w:tcPr>
            <w:tcW w:w="2871" w:type="dxa"/>
            <w:tcBorders>
              <w:top w:val="nil"/>
              <w:left w:val="nil"/>
              <w:bottom w:val="single" w:sz="4" w:space="0" w:color="auto"/>
              <w:right w:val="single" w:sz="4" w:space="0" w:color="auto"/>
            </w:tcBorders>
            <w:shd w:val="clear" w:color="auto" w:fill="auto"/>
            <w:vAlign w:val="center"/>
            <w:hideMark/>
          </w:tcPr>
          <w:p w14:paraId="108AE702" w14:textId="77777777" w:rsidR="00B15F7D" w:rsidRPr="00990FB6" w:rsidRDefault="00B15F7D" w:rsidP="00B15F7D">
            <w:pPr>
              <w:jc w:val="center"/>
              <w:rPr>
                <w:sz w:val="22"/>
                <w:szCs w:val="22"/>
                <w:lang w:eastAsia="es-CR"/>
              </w:rPr>
            </w:pPr>
            <w:r w:rsidRPr="00990FB6">
              <w:rPr>
                <w:sz w:val="22"/>
                <w:szCs w:val="22"/>
                <w:lang w:eastAsia="es-CR"/>
              </w:rPr>
              <w:t>Técnico Especializado 6</w:t>
            </w:r>
          </w:p>
        </w:tc>
      </w:tr>
      <w:tr w:rsidR="00B15F7D" w:rsidRPr="00990FB6" w14:paraId="3F455DCD" w14:textId="77777777" w:rsidTr="000A0C22">
        <w:trPr>
          <w:trHeight w:val="20"/>
          <w:jc w:val="center"/>
        </w:trPr>
        <w:tc>
          <w:tcPr>
            <w:tcW w:w="3397" w:type="dxa"/>
            <w:vMerge/>
            <w:tcBorders>
              <w:top w:val="nil"/>
              <w:left w:val="single" w:sz="4" w:space="0" w:color="auto"/>
              <w:bottom w:val="single" w:sz="4" w:space="0" w:color="000000"/>
              <w:right w:val="single" w:sz="4" w:space="0" w:color="auto"/>
            </w:tcBorders>
            <w:vAlign w:val="center"/>
            <w:hideMark/>
          </w:tcPr>
          <w:p w14:paraId="42DD53BB" w14:textId="77777777" w:rsidR="00B15F7D" w:rsidRPr="00990FB6" w:rsidRDefault="00B15F7D" w:rsidP="00B15F7D">
            <w:pPr>
              <w:rPr>
                <w:sz w:val="22"/>
                <w:szCs w:val="22"/>
                <w:lang w:eastAsia="es-CR"/>
              </w:rPr>
            </w:pPr>
          </w:p>
        </w:tc>
        <w:tc>
          <w:tcPr>
            <w:tcW w:w="1276" w:type="dxa"/>
            <w:tcBorders>
              <w:top w:val="nil"/>
              <w:left w:val="nil"/>
              <w:bottom w:val="single" w:sz="4" w:space="0" w:color="auto"/>
              <w:right w:val="single" w:sz="4" w:space="0" w:color="auto"/>
            </w:tcBorders>
            <w:shd w:val="clear" w:color="auto" w:fill="auto"/>
            <w:vAlign w:val="center"/>
            <w:hideMark/>
          </w:tcPr>
          <w:p w14:paraId="3FE20307" w14:textId="77777777" w:rsidR="00B15F7D" w:rsidRPr="00990FB6" w:rsidRDefault="00B15F7D" w:rsidP="00B15F7D">
            <w:pPr>
              <w:jc w:val="center"/>
              <w:rPr>
                <w:sz w:val="22"/>
                <w:szCs w:val="22"/>
                <w:lang w:eastAsia="es-CR"/>
              </w:rPr>
            </w:pPr>
            <w:r w:rsidRPr="00990FB6">
              <w:rPr>
                <w:sz w:val="22"/>
                <w:szCs w:val="22"/>
                <w:lang w:eastAsia="es-CR"/>
              </w:rPr>
              <w:t>1</w:t>
            </w:r>
          </w:p>
        </w:tc>
        <w:tc>
          <w:tcPr>
            <w:tcW w:w="2871" w:type="dxa"/>
            <w:tcBorders>
              <w:top w:val="nil"/>
              <w:left w:val="nil"/>
              <w:bottom w:val="single" w:sz="4" w:space="0" w:color="auto"/>
              <w:right w:val="single" w:sz="4" w:space="0" w:color="auto"/>
            </w:tcBorders>
            <w:shd w:val="clear" w:color="auto" w:fill="auto"/>
            <w:vAlign w:val="center"/>
            <w:hideMark/>
          </w:tcPr>
          <w:p w14:paraId="5C9AF211" w14:textId="77777777" w:rsidR="00B15F7D" w:rsidRPr="00990FB6" w:rsidRDefault="00B15F7D" w:rsidP="00B15F7D">
            <w:pPr>
              <w:jc w:val="center"/>
              <w:rPr>
                <w:sz w:val="22"/>
                <w:szCs w:val="22"/>
                <w:lang w:eastAsia="es-CR"/>
              </w:rPr>
            </w:pPr>
            <w:r w:rsidRPr="00990FB6">
              <w:rPr>
                <w:sz w:val="22"/>
                <w:szCs w:val="22"/>
                <w:lang w:eastAsia="es-CR"/>
              </w:rPr>
              <w:t>Perito Judicial 1</w:t>
            </w:r>
          </w:p>
        </w:tc>
      </w:tr>
      <w:tr w:rsidR="00B15F7D" w:rsidRPr="00990FB6" w14:paraId="513709DC" w14:textId="77777777" w:rsidTr="000A0C2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2C6354" w14:textId="77777777" w:rsidR="00B15F7D" w:rsidRPr="00990FB6" w:rsidRDefault="00B15F7D" w:rsidP="00B15F7D">
            <w:pPr>
              <w:rPr>
                <w:sz w:val="22"/>
                <w:szCs w:val="22"/>
                <w:lang w:eastAsia="es-CR"/>
              </w:rPr>
            </w:pPr>
            <w:r w:rsidRPr="00990FB6">
              <w:rPr>
                <w:sz w:val="22"/>
                <w:szCs w:val="22"/>
                <w:lang w:eastAsia="es-CR"/>
              </w:rPr>
              <w:t xml:space="preserve">Delegaciones Regionales del OIJ </w:t>
            </w:r>
          </w:p>
        </w:tc>
        <w:tc>
          <w:tcPr>
            <w:tcW w:w="1276" w:type="dxa"/>
            <w:tcBorders>
              <w:top w:val="nil"/>
              <w:left w:val="nil"/>
              <w:bottom w:val="single" w:sz="4" w:space="0" w:color="auto"/>
              <w:right w:val="single" w:sz="4" w:space="0" w:color="auto"/>
            </w:tcBorders>
            <w:shd w:val="clear" w:color="auto" w:fill="auto"/>
            <w:vAlign w:val="center"/>
            <w:hideMark/>
          </w:tcPr>
          <w:p w14:paraId="38EB6FE6" w14:textId="77777777" w:rsidR="00B15F7D" w:rsidRPr="00990FB6" w:rsidRDefault="00B15F7D" w:rsidP="00B15F7D">
            <w:pPr>
              <w:jc w:val="center"/>
              <w:rPr>
                <w:sz w:val="22"/>
                <w:szCs w:val="22"/>
                <w:lang w:eastAsia="es-CR"/>
              </w:rPr>
            </w:pPr>
            <w:r w:rsidRPr="00990FB6">
              <w:rPr>
                <w:sz w:val="22"/>
                <w:szCs w:val="22"/>
                <w:lang w:eastAsia="es-CR"/>
              </w:rPr>
              <w:t>11</w:t>
            </w:r>
          </w:p>
        </w:tc>
        <w:tc>
          <w:tcPr>
            <w:tcW w:w="2871" w:type="dxa"/>
            <w:tcBorders>
              <w:top w:val="nil"/>
              <w:left w:val="nil"/>
              <w:bottom w:val="single" w:sz="4" w:space="0" w:color="auto"/>
              <w:right w:val="single" w:sz="4" w:space="0" w:color="auto"/>
            </w:tcBorders>
            <w:shd w:val="clear" w:color="auto" w:fill="auto"/>
            <w:vAlign w:val="center"/>
            <w:hideMark/>
          </w:tcPr>
          <w:p w14:paraId="3B3090FD" w14:textId="77777777" w:rsidR="00B15F7D" w:rsidRPr="00990FB6" w:rsidRDefault="00B15F7D" w:rsidP="00B15F7D">
            <w:pPr>
              <w:jc w:val="center"/>
              <w:rPr>
                <w:sz w:val="22"/>
                <w:szCs w:val="22"/>
                <w:lang w:eastAsia="es-CR"/>
              </w:rPr>
            </w:pPr>
            <w:r w:rsidRPr="00990FB6">
              <w:rPr>
                <w:sz w:val="22"/>
                <w:szCs w:val="22"/>
                <w:lang w:eastAsia="es-CR"/>
              </w:rPr>
              <w:t>Investigador 1</w:t>
            </w:r>
          </w:p>
        </w:tc>
      </w:tr>
      <w:tr w:rsidR="00B15F7D" w:rsidRPr="00990FB6" w14:paraId="044EA1BF" w14:textId="77777777" w:rsidTr="000A0C2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7820F7E" w14:textId="77777777" w:rsidR="00B15F7D" w:rsidRPr="00990FB6" w:rsidRDefault="00B15F7D" w:rsidP="00B15F7D">
            <w:pPr>
              <w:rPr>
                <w:sz w:val="22"/>
                <w:szCs w:val="22"/>
                <w:lang w:eastAsia="es-CR"/>
              </w:rPr>
            </w:pPr>
            <w:r w:rsidRPr="00990FB6">
              <w:rPr>
                <w:sz w:val="22"/>
                <w:szCs w:val="22"/>
                <w:lang w:eastAsia="es-CR"/>
              </w:rPr>
              <w:t>Administración del OIJ</w:t>
            </w:r>
          </w:p>
        </w:tc>
        <w:tc>
          <w:tcPr>
            <w:tcW w:w="1276" w:type="dxa"/>
            <w:tcBorders>
              <w:top w:val="nil"/>
              <w:left w:val="nil"/>
              <w:bottom w:val="single" w:sz="4" w:space="0" w:color="auto"/>
              <w:right w:val="single" w:sz="4" w:space="0" w:color="auto"/>
            </w:tcBorders>
            <w:shd w:val="clear" w:color="auto" w:fill="auto"/>
            <w:vAlign w:val="center"/>
            <w:hideMark/>
          </w:tcPr>
          <w:p w14:paraId="6399350E" w14:textId="77777777" w:rsidR="00B15F7D" w:rsidRPr="00990FB6" w:rsidRDefault="00B15F7D" w:rsidP="00B15F7D">
            <w:pPr>
              <w:jc w:val="center"/>
              <w:rPr>
                <w:sz w:val="22"/>
                <w:szCs w:val="22"/>
                <w:lang w:eastAsia="es-CR"/>
              </w:rPr>
            </w:pPr>
            <w:r w:rsidRPr="00990FB6">
              <w:rPr>
                <w:sz w:val="22"/>
                <w:szCs w:val="22"/>
                <w:lang w:eastAsia="es-CR"/>
              </w:rPr>
              <w:t>1</w:t>
            </w:r>
          </w:p>
        </w:tc>
        <w:tc>
          <w:tcPr>
            <w:tcW w:w="2871" w:type="dxa"/>
            <w:tcBorders>
              <w:top w:val="nil"/>
              <w:left w:val="nil"/>
              <w:bottom w:val="single" w:sz="4" w:space="0" w:color="auto"/>
              <w:right w:val="single" w:sz="4" w:space="0" w:color="auto"/>
            </w:tcBorders>
            <w:shd w:val="clear" w:color="auto" w:fill="auto"/>
            <w:vAlign w:val="center"/>
            <w:hideMark/>
          </w:tcPr>
          <w:p w14:paraId="07954397" w14:textId="77777777" w:rsidR="00B15F7D" w:rsidRPr="00990FB6" w:rsidRDefault="00B15F7D" w:rsidP="00B15F7D">
            <w:pPr>
              <w:jc w:val="center"/>
              <w:rPr>
                <w:sz w:val="22"/>
                <w:szCs w:val="22"/>
                <w:lang w:eastAsia="es-CR"/>
              </w:rPr>
            </w:pPr>
            <w:r w:rsidRPr="00990FB6">
              <w:rPr>
                <w:sz w:val="22"/>
                <w:szCs w:val="22"/>
                <w:lang w:eastAsia="es-CR"/>
              </w:rPr>
              <w:t>Profesional 2</w:t>
            </w:r>
          </w:p>
        </w:tc>
      </w:tr>
      <w:tr w:rsidR="00B15F7D" w:rsidRPr="00990FB6" w14:paraId="0831B2DD" w14:textId="77777777" w:rsidTr="000A0C22">
        <w:trPr>
          <w:trHeight w:val="20"/>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tcPr>
          <w:p w14:paraId="579FBE1A"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1276" w:type="dxa"/>
            <w:tcBorders>
              <w:top w:val="single" w:sz="4" w:space="0" w:color="auto"/>
              <w:left w:val="nil"/>
              <w:bottom w:val="single" w:sz="4" w:space="0" w:color="auto"/>
              <w:right w:val="single" w:sz="4" w:space="0" w:color="auto"/>
            </w:tcBorders>
            <w:shd w:val="clear" w:color="auto" w:fill="auto"/>
            <w:vAlign w:val="center"/>
          </w:tcPr>
          <w:p w14:paraId="264CE19C" w14:textId="77777777" w:rsidR="00B15F7D" w:rsidRPr="00990FB6" w:rsidRDefault="00B15F7D" w:rsidP="00B15F7D">
            <w:pPr>
              <w:jc w:val="center"/>
              <w:rPr>
                <w:b/>
                <w:bCs/>
                <w:sz w:val="22"/>
                <w:szCs w:val="22"/>
                <w:lang w:eastAsia="es-CR"/>
              </w:rPr>
            </w:pPr>
            <w:r w:rsidRPr="00990FB6">
              <w:rPr>
                <w:b/>
                <w:bCs/>
                <w:sz w:val="22"/>
                <w:szCs w:val="22"/>
                <w:lang w:eastAsia="es-CR"/>
              </w:rPr>
              <w:t>20 plazas</w:t>
            </w:r>
          </w:p>
        </w:tc>
        <w:tc>
          <w:tcPr>
            <w:tcW w:w="2871" w:type="dxa"/>
            <w:tcBorders>
              <w:top w:val="single" w:sz="4" w:space="0" w:color="auto"/>
              <w:left w:val="nil"/>
              <w:bottom w:val="single" w:sz="4" w:space="0" w:color="auto"/>
              <w:right w:val="single" w:sz="4" w:space="0" w:color="auto"/>
            </w:tcBorders>
            <w:shd w:val="clear" w:color="auto" w:fill="auto"/>
            <w:vAlign w:val="center"/>
          </w:tcPr>
          <w:p w14:paraId="6E77E24E" w14:textId="77777777" w:rsidR="00B15F7D" w:rsidRPr="00990FB6" w:rsidRDefault="00B15F7D" w:rsidP="00B15F7D">
            <w:pPr>
              <w:jc w:val="center"/>
              <w:rPr>
                <w:sz w:val="22"/>
                <w:szCs w:val="22"/>
                <w:lang w:eastAsia="es-CR"/>
              </w:rPr>
            </w:pPr>
          </w:p>
        </w:tc>
      </w:tr>
    </w:tbl>
    <w:p w14:paraId="75A78ABE" w14:textId="77777777" w:rsidR="00B15F7D" w:rsidRPr="00990FB6" w:rsidRDefault="00B15F7D" w:rsidP="00B15F7D">
      <w:pPr>
        <w:jc w:val="both"/>
        <w:rPr>
          <w:sz w:val="22"/>
          <w:szCs w:val="22"/>
        </w:rPr>
      </w:pPr>
    </w:p>
    <w:p w14:paraId="37829FA6" w14:textId="77777777" w:rsidR="00B15F7D" w:rsidRPr="00990FB6" w:rsidRDefault="00B15F7D" w:rsidP="00254CD4">
      <w:pPr>
        <w:numPr>
          <w:ilvl w:val="1"/>
          <w:numId w:val="202"/>
        </w:numPr>
        <w:shd w:val="clear" w:color="auto" w:fill="D5DCE4" w:themeFill="text2" w:themeFillTint="33"/>
        <w:suppressAutoHyphens w:val="0"/>
        <w:ind w:left="851" w:right="851" w:firstLine="709"/>
        <w:contextualSpacing/>
        <w:jc w:val="both"/>
        <w:rPr>
          <w:rFonts w:eastAsiaTheme="majorEastAsia"/>
          <w:b/>
          <w:sz w:val="22"/>
          <w:szCs w:val="22"/>
        </w:rPr>
      </w:pPr>
      <w:r w:rsidRPr="00990FB6">
        <w:rPr>
          <w:rFonts w:eastAsiaTheme="majorEastAsia"/>
          <w:b/>
          <w:sz w:val="22"/>
          <w:szCs w:val="22"/>
        </w:rPr>
        <w:lastRenderedPageBreak/>
        <w:t>Costos asociados a la implementación de la Ley 9458</w:t>
      </w:r>
    </w:p>
    <w:p w14:paraId="29336A43" w14:textId="77777777" w:rsidR="00B15F7D" w:rsidRPr="00990FB6" w:rsidRDefault="00B15F7D" w:rsidP="00B15F7D">
      <w:pPr>
        <w:ind w:left="851" w:right="851" w:firstLine="709"/>
        <w:jc w:val="both"/>
        <w:rPr>
          <w:rFonts w:eastAsia="Calibri"/>
          <w:sz w:val="22"/>
          <w:szCs w:val="22"/>
        </w:rPr>
      </w:pPr>
    </w:p>
    <w:p w14:paraId="348066B4"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A continuación, se muestra el detalle de los costos asociados a la implementación de la Ley además del recurso humano. </w:t>
      </w:r>
    </w:p>
    <w:p w14:paraId="3CF0E37A" w14:textId="77777777" w:rsidR="00B15F7D" w:rsidRPr="00990FB6" w:rsidRDefault="00B15F7D" w:rsidP="00B15F7D">
      <w:pPr>
        <w:ind w:left="851" w:right="851" w:firstLine="709"/>
        <w:jc w:val="both"/>
        <w:rPr>
          <w:rFonts w:eastAsia="Calibri"/>
          <w:sz w:val="22"/>
          <w:szCs w:val="22"/>
        </w:rPr>
      </w:pPr>
    </w:p>
    <w:p w14:paraId="0053A23B"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Para el desglose de los costos se realizó una sesión de trabajo con la Administración del Organismo de Investigación Judicial del 30 de enero 2024 (minuta 52-PLA-MI(NPL)-2023- anexo 3). Posterior a la reunión el OIJ compartió el requerimiento presupuestario para el programa 928:</w:t>
      </w:r>
    </w:p>
    <w:p w14:paraId="23835BEC" w14:textId="77777777" w:rsidR="00B15F7D" w:rsidRPr="00990FB6" w:rsidRDefault="00B15F7D" w:rsidP="00B15F7D">
      <w:pPr>
        <w:ind w:left="851" w:right="851" w:firstLine="709"/>
        <w:jc w:val="both"/>
        <w:rPr>
          <w:rFonts w:eastAsia="Calibri"/>
          <w:i/>
          <w:iCs/>
          <w:sz w:val="22"/>
          <w:szCs w:val="22"/>
        </w:rPr>
      </w:pPr>
      <w:r w:rsidRPr="00990FB6">
        <w:rPr>
          <w:rFonts w:eastAsia="Calibri"/>
          <w:i/>
          <w:iCs/>
          <w:sz w:val="22"/>
          <w:szCs w:val="22"/>
        </w:rPr>
        <w:t>“…</w:t>
      </w:r>
    </w:p>
    <w:tbl>
      <w:tblPr>
        <w:tblW w:w="8954" w:type="dxa"/>
        <w:tblCellMar>
          <w:left w:w="70" w:type="dxa"/>
          <w:right w:w="70" w:type="dxa"/>
        </w:tblCellMar>
        <w:tblLook w:val="04A0" w:firstRow="1" w:lastRow="0" w:firstColumn="1" w:lastColumn="0" w:noHBand="0" w:noVBand="1"/>
      </w:tblPr>
      <w:tblGrid>
        <w:gridCol w:w="3397"/>
        <w:gridCol w:w="1134"/>
        <w:gridCol w:w="2420"/>
        <w:gridCol w:w="2003"/>
      </w:tblGrid>
      <w:tr w:rsidR="00B15F7D" w:rsidRPr="00990FB6" w14:paraId="067E1316" w14:textId="77777777" w:rsidTr="000A0C22">
        <w:trPr>
          <w:trHeight w:val="300"/>
        </w:trPr>
        <w:tc>
          <w:tcPr>
            <w:tcW w:w="3397" w:type="dxa"/>
            <w:tcBorders>
              <w:top w:val="single" w:sz="4" w:space="0" w:color="auto"/>
              <w:left w:val="single" w:sz="4" w:space="0" w:color="auto"/>
              <w:bottom w:val="single" w:sz="4" w:space="0" w:color="auto"/>
              <w:right w:val="single" w:sz="4" w:space="0" w:color="auto"/>
            </w:tcBorders>
            <w:shd w:val="clear" w:color="000000" w:fill="0070C0"/>
            <w:noWrap/>
            <w:vAlign w:val="center"/>
            <w:hideMark/>
          </w:tcPr>
          <w:p w14:paraId="016A1FD7" w14:textId="77777777" w:rsidR="00B15F7D" w:rsidRPr="00990FB6" w:rsidRDefault="00B15F7D" w:rsidP="00B15F7D">
            <w:pPr>
              <w:jc w:val="center"/>
              <w:rPr>
                <w:b/>
                <w:bCs/>
                <w:i/>
                <w:iCs/>
                <w:sz w:val="22"/>
                <w:szCs w:val="22"/>
                <w:lang w:eastAsia="es-CR"/>
              </w:rPr>
            </w:pPr>
            <w:r w:rsidRPr="00990FB6">
              <w:rPr>
                <w:b/>
                <w:bCs/>
                <w:i/>
                <w:iCs/>
                <w:sz w:val="22"/>
                <w:szCs w:val="22"/>
                <w:lang w:eastAsia="es-CR"/>
              </w:rPr>
              <w:t>Requerimiento</w:t>
            </w:r>
          </w:p>
        </w:tc>
        <w:tc>
          <w:tcPr>
            <w:tcW w:w="1134" w:type="dxa"/>
            <w:tcBorders>
              <w:top w:val="single" w:sz="4" w:space="0" w:color="auto"/>
              <w:left w:val="nil"/>
              <w:bottom w:val="single" w:sz="4" w:space="0" w:color="auto"/>
              <w:right w:val="single" w:sz="4" w:space="0" w:color="auto"/>
            </w:tcBorders>
            <w:shd w:val="clear" w:color="000000" w:fill="0070C0"/>
            <w:noWrap/>
            <w:vAlign w:val="center"/>
            <w:hideMark/>
          </w:tcPr>
          <w:p w14:paraId="5F543852" w14:textId="77777777" w:rsidR="00B15F7D" w:rsidRPr="00990FB6" w:rsidRDefault="00B15F7D" w:rsidP="00B15F7D">
            <w:pPr>
              <w:jc w:val="center"/>
              <w:rPr>
                <w:b/>
                <w:bCs/>
                <w:i/>
                <w:iCs/>
                <w:sz w:val="22"/>
                <w:szCs w:val="22"/>
                <w:lang w:eastAsia="es-CR"/>
              </w:rPr>
            </w:pPr>
            <w:r w:rsidRPr="00990FB6">
              <w:rPr>
                <w:b/>
                <w:bCs/>
                <w:i/>
                <w:iCs/>
                <w:sz w:val="22"/>
                <w:szCs w:val="22"/>
                <w:lang w:eastAsia="es-CR"/>
              </w:rPr>
              <w:t>Cantidad</w:t>
            </w:r>
          </w:p>
        </w:tc>
        <w:tc>
          <w:tcPr>
            <w:tcW w:w="2420" w:type="dxa"/>
            <w:tcBorders>
              <w:top w:val="single" w:sz="4" w:space="0" w:color="auto"/>
              <w:left w:val="nil"/>
              <w:bottom w:val="single" w:sz="4" w:space="0" w:color="auto"/>
              <w:right w:val="single" w:sz="4" w:space="0" w:color="auto"/>
            </w:tcBorders>
            <w:shd w:val="clear" w:color="000000" w:fill="0070C0"/>
            <w:noWrap/>
            <w:vAlign w:val="center"/>
            <w:hideMark/>
          </w:tcPr>
          <w:p w14:paraId="3D018AFD" w14:textId="77777777" w:rsidR="00B15F7D" w:rsidRPr="00990FB6" w:rsidRDefault="00B15F7D" w:rsidP="00B15F7D">
            <w:pPr>
              <w:jc w:val="center"/>
              <w:rPr>
                <w:b/>
                <w:bCs/>
                <w:i/>
                <w:iCs/>
                <w:sz w:val="22"/>
                <w:szCs w:val="22"/>
                <w:lang w:eastAsia="es-CR"/>
              </w:rPr>
            </w:pPr>
            <w:r w:rsidRPr="00990FB6">
              <w:rPr>
                <w:b/>
                <w:bCs/>
                <w:i/>
                <w:iCs/>
                <w:sz w:val="22"/>
                <w:szCs w:val="22"/>
                <w:lang w:eastAsia="es-CR"/>
              </w:rPr>
              <w:t>Monto Unitario</w:t>
            </w:r>
          </w:p>
        </w:tc>
        <w:tc>
          <w:tcPr>
            <w:tcW w:w="2000" w:type="dxa"/>
            <w:tcBorders>
              <w:top w:val="single" w:sz="4" w:space="0" w:color="auto"/>
              <w:left w:val="nil"/>
              <w:bottom w:val="single" w:sz="4" w:space="0" w:color="auto"/>
              <w:right w:val="single" w:sz="4" w:space="0" w:color="auto"/>
            </w:tcBorders>
            <w:shd w:val="clear" w:color="000000" w:fill="0070C0"/>
            <w:vAlign w:val="center"/>
            <w:hideMark/>
          </w:tcPr>
          <w:p w14:paraId="7F3DF21C" w14:textId="77777777" w:rsidR="00B15F7D" w:rsidRPr="00990FB6" w:rsidRDefault="00B15F7D" w:rsidP="00B15F7D">
            <w:pPr>
              <w:jc w:val="center"/>
              <w:rPr>
                <w:b/>
                <w:bCs/>
                <w:i/>
                <w:iCs/>
                <w:sz w:val="22"/>
                <w:szCs w:val="22"/>
                <w:lang w:eastAsia="es-CR"/>
              </w:rPr>
            </w:pPr>
            <w:r w:rsidRPr="00990FB6">
              <w:rPr>
                <w:b/>
                <w:bCs/>
                <w:i/>
                <w:iCs/>
                <w:sz w:val="22"/>
                <w:szCs w:val="22"/>
                <w:lang w:eastAsia="es-CR"/>
              </w:rPr>
              <w:t>Monto total</w:t>
            </w:r>
          </w:p>
        </w:tc>
      </w:tr>
      <w:tr w:rsidR="00B15F7D" w:rsidRPr="00990FB6" w14:paraId="1B4B28DA"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2DAEF0A9" w14:textId="77777777" w:rsidR="00B15F7D" w:rsidRPr="00990FB6" w:rsidRDefault="00B15F7D" w:rsidP="00B15F7D">
            <w:pPr>
              <w:rPr>
                <w:i/>
                <w:iCs/>
                <w:sz w:val="22"/>
                <w:szCs w:val="22"/>
                <w:lang w:eastAsia="es-CR"/>
              </w:rPr>
            </w:pPr>
            <w:bookmarkStart w:id="76" w:name="RANGE!E6"/>
            <w:r w:rsidRPr="00990FB6">
              <w:rPr>
                <w:i/>
                <w:iCs/>
                <w:sz w:val="22"/>
                <w:szCs w:val="22"/>
                <w:lang w:eastAsia="es-CR"/>
              </w:rPr>
              <w:t xml:space="preserve">Recurso humano </w:t>
            </w:r>
            <w:bookmarkEnd w:id="76"/>
          </w:p>
        </w:tc>
        <w:tc>
          <w:tcPr>
            <w:tcW w:w="1134" w:type="dxa"/>
            <w:tcBorders>
              <w:top w:val="nil"/>
              <w:left w:val="nil"/>
              <w:bottom w:val="single" w:sz="4" w:space="0" w:color="auto"/>
              <w:right w:val="single" w:sz="4" w:space="0" w:color="auto"/>
            </w:tcBorders>
            <w:shd w:val="clear" w:color="auto" w:fill="auto"/>
            <w:noWrap/>
            <w:vAlign w:val="center"/>
            <w:hideMark/>
          </w:tcPr>
          <w:p w14:paraId="2B5349AE"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420" w:type="dxa"/>
            <w:tcBorders>
              <w:top w:val="nil"/>
              <w:left w:val="nil"/>
              <w:bottom w:val="single" w:sz="4" w:space="0" w:color="auto"/>
              <w:right w:val="single" w:sz="4" w:space="0" w:color="auto"/>
            </w:tcBorders>
            <w:shd w:val="clear" w:color="auto" w:fill="auto"/>
            <w:noWrap/>
            <w:vAlign w:val="center"/>
            <w:hideMark/>
          </w:tcPr>
          <w:p w14:paraId="353E5A39"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000" w:type="dxa"/>
            <w:tcBorders>
              <w:top w:val="nil"/>
              <w:left w:val="nil"/>
              <w:bottom w:val="single" w:sz="4" w:space="0" w:color="auto"/>
              <w:right w:val="single" w:sz="4" w:space="0" w:color="auto"/>
            </w:tcBorders>
            <w:shd w:val="clear" w:color="auto" w:fill="auto"/>
            <w:noWrap/>
            <w:vAlign w:val="center"/>
            <w:hideMark/>
          </w:tcPr>
          <w:p w14:paraId="34181785" w14:textId="77777777" w:rsidR="00B15F7D" w:rsidRPr="00990FB6" w:rsidRDefault="00B15F7D" w:rsidP="00B15F7D">
            <w:pPr>
              <w:jc w:val="center"/>
              <w:rPr>
                <w:i/>
                <w:iCs/>
                <w:sz w:val="22"/>
                <w:szCs w:val="22"/>
                <w:lang w:eastAsia="es-CR"/>
              </w:rPr>
            </w:pPr>
            <w:r w:rsidRPr="00990FB6">
              <w:rPr>
                <w:i/>
                <w:iCs/>
                <w:sz w:val="22"/>
                <w:szCs w:val="22"/>
                <w:lang w:eastAsia="es-CR"/>
              </w:rPr>
              <w:t> </w:t>
            </w:r>
          </w:p>
        </w:tc>
      </w:tr>
      <w:tr w:rsidR="00B15F7D" w:rsidRPr="00990FB6" w14:paraId="5B48BDED"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6AFD60" w14:textId="77777777" w:rsidR="00B15F7D" w:rsidRPr="00990FB6" w:rsidRDefault="00B15F7D" w:rsidP="00B15F7D">
            <w:pPr>
              <w:jc w:val="both"/>
              <w:rPr>
                <w:b/>
                <w:bCs/>
                <w:i/>
                <w:iCs/>
                <w:sz w:val="22"/>
                <w:szCs w:val="22"/>
                <w:lang w:eastAsia="es-CR"/>
              </w:rPr>
            </w:pPr>
            <w:r w:rsidRPr="00990FB6">
              <w:rPr>
                <w:b/>
                <w:bCs/>
                <w:i/>
                <w:iCs/>
                <w:sz w:val="22"/>
                <w:szCs w:val="22"/>
                <w:lang w:eastAsia="es-CR"/>
              </w:rPr>
              <w:t xml:space="preserve">5.01.04 Equipo y mobiliario de oficina </w:t>
            </w:r>
          </w:p>
        </w:tc>
        <w:tc>
          <w:tcPr>
            <w:tcW w:w="1134" w:type="dxa"/>
            <w:tcBorders>
              <w:top w:val="nil"/>
              <w:left w:val="nil"/>
              <w:bottom w:val="single" w:sz="4" w:space="0" w:color="auto"/>
              <w:right w:val="single" w:sz="4" w:space="0" w:color="auto"/>
            </w:tcBorders>
            <w:shd w:val="clear" w:color="auto" w:fill="auto"/>
            <w:vAlign w:val="center"/>
            <w:hideMark/>
          </w:tcPr>
          <w:p w14:paraId="7C871EF8"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420" w:type="dxa"/>
            <w:tcBorders>
              <w:top w:val="nil"/>
              <w:left w:val="nil"/>
              <w:bottom w:val="single" w:sz="4" w:space="0" w:color="auto"/>
              <w:right w:val="single" w:sz="4" w:space="0" w:color="auto"/>
            </w:tcBorders>
            <w:shd w:val="clear" w:color="auto" w:fill="auto"/>
            <w:noWrap/>
            <w:vAlign w:val="center"/>
            <w:hideMark/>
          </w:tcPr>
          <w:p w14:paraId="66BBFACA"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000" w:type="dxa"/>
            <w:tcBorders>
              <w:top w:val="nil"/>
              <w:left w:val="nil"/>
              <w:bottom w:val="single" w:sz="4" w:space="0" w:color="auto"/>
              <w:right w:val="single" w:sz="4" w:space="0" w:color="auto"/>
            </w:tcBorders>
            <w:shd w:val="clear" w:color="auto" w:fill="auto"/>
            <w:noWrap/>
            <w:vAlign w:val="center"/>
            <w:hideMark/>
          </w:tcPr>
          <w:p w14:paraId="54910A66" w14:textId="77777777" w:rsidR="00B15F7D" w:rsidRPr="00990FB6" w:rsidRDefault="00B15F7D" w:rsidP="00B15F7D">
            <w:pPr>
              <w:jc w:val="center"/>
              <w:rPr>
                <w:i/>
                <w:iCs/>
                <w:sz w:val="22"/>
                <w:szCs w:val="22"/>
                <w:lang w:eastAsia="es-CR"/>
              </w:rPr>
            </w:pPr>
            <w:r w:rsidRPr="00990FB6">
              <w:rPr>
                <w:i/>
                <w:iCs/>
                <w:sz w:val="22"/>
                <w:szCs w:val="22"/>
                <w:lang w:eastAsia="es-CR"/>
              </w:rPr>
              <w:t> </w:t>
            </w:r>
          </w:p>
        </w:tc>
      </w:tr>
      <w:tr w:rsidR="00B15F7D" w:rsidRPr="00990FB6" w14:paraId="7BD21AB5"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0AB02E5" w14:textId="77777777" w:rsidR="00B15F7D" w:rsidRPr="00990FB6" w:rsidRDefault="00B15F7D" w:rsidP="00B15F7D">
            <w:pPr>
              <w:jc w:val="both"/>
              <w:rPr>
                <w:i/>
                <w:iCs/>
                <w:sz w:val="22"/>
                <w:szCs w:val="22"/>
                <w:lang w:eastAsia="es-CR"/>
              </w:rPr>
            </w:pPr>
            <w:r w:rsidRPr="00990FB6">
              <w:rPr>
                <w:i/>
                <w:iCs/>
                <w:sz w:val="22"/>
                <w:szCs w:val="22"/>
                <w:lang w:eastAsia="es-CR"/>
              </w:rPr>
              <w:t>50104 Silla Secretarial</w:t>
            </w:r>
          </w:p>
        </w:tc>
        <w:tc>
          <w:tcPr>
            <w:tcW w:w="1134" w:type="dxa"/>
            <w:tcBorders>
              <w:top w:val="nil"/>
              <w:left w:val="nil"/>
              <w:bottom w:val="single" w:sz="4" w:space="0" w:color="auto"/>
              <w:right w:val="single" w:sz="4" w:space="0" w:color="auto"/>
            </w:tcBorders>
            <w:shd w:val="clear" w:color="auto" w:fill="auto"/>
            <w:vAlign w:val="center"/>
            <w:hideMark/>
          </w:tcPr>
          <w:p w14:paraId="0B9ABDD9" w14:textId="77777777" w:rsidR="00B15F7D" w:rsidRPr="00990FB6" w:rsidRDefault="00B15F7D" w:rsidP="00B15F7D">
            <w:pPr>
              <w:jc w:val="center"/>
              <w:rPr>
                <w:i/>
                <w:iCs/>
                <w:sz w:val="22"/>
                <w:szCs w:val="22"/>
                <w:lang w:eastAsia="es-CR"/>
              </w:rPr>
            </w:pPr>
            <w:r w:rsidRPr="00990FB6">
              <w:rPr>
                <w:i/>
                <w:iCs/>
                <w:sz w:val="22"/>
                <w:szCs w:val="22"/>
                <w:lang w:eastAsia="es-CR"/>
              </w:rPr>
              <w:t>20</w:t>
            </w:r>
          </w:p>
        </w:tc>
        <w:tc>
          <w:tcPr>
            <w:tcW w:w="2420" w:type="dxa"/>
            <w:tcBorders>
              <w:top w:val="nil"/>
              <w:left w:val="nil"/>
              <w:bottom w:val="single" w:sz="4" w:space="0" w:color="auto"/>
              <w:right w:val="single" w:sz="4" w:space="0" w:color="auto"/>
            </w:tcBorders>
            <w:shd w:val="clear" w:color="auto" w:fill="auto"/>
            <w:noWrap/>
            <w:vAlign w:val="center"/>
            <w:hideMark/>
          </w:tcPr>
          <w:p w14:paraId="4A71D937" w14:textId="77777777" w:rsidR="00B15F7D" w:rsidRPr="00990FB6" w:rsidRDefault="00B15F7D" w:rsidP="00B15F7D">
            <w:pPr>
              <w:jc w:val="center"/>
              <w:rPr>
                <w:i/>
                <w:iCs/>
                <w:sz w:val="22"/>
                <w:szCs w:val="22"/>
                <w:lang w:eastAsia="es-CR"/>
              </w:rPr>
            </w:pPr>
            <w:r w:rsidRPr="00990FB6">
              <w:rPr>
                <w:i/>
                <w:iCs/>
                <w:sz w:val="22"/>
                <w:szCs w:val="22"/>
                <w:lang w:eastAsia="es-CR"/>
              </w:rPr>
              <w:t xml:space="preserve">                    85 000,00 </w:t>
            </w:r>
          </w:p>
        </w:tc>
        <w:tc>
          <w:tcPr>
            <w:tcW w:w="2000" w:type="dxa"/>
            <w:tcBorders>
              <w:top w:val="nil"/>
              <w:left w:val="nil"/>
              <w:bottom w:val="single" w:sz="4" w:space="0" w:color="auto"/>
              <w:right w:val="single" w:sz="4" w:space="0" w:color="auto"/>
            </w:tcBorders>
            <w:shd w:val="clear" w:color="auto" w:fill="auto"/>
            <w:noWrap/>
            <w:vAlign w:val="bottom"/>
            <w:hideMark/>
          </w:tcPr>
          <w:p w14:paraId="0CA6F357" w14:textId="77777777" w:rsidR="00B15F7D" w:rsidRPr="00990FB6" w:rsidRDefault="00B15F7D" w:rsidP="00B15F7D">
            <w:pPr>
              <w:jc w:val="center"/>
              <w:rPr>
                <w:i/>
                <w:iCs/>
                <w:sz w:val="22"/>
                <w:szCs w:val="22"/>
                <w:lang w:eastAsia="es-CR"/>
              </w:rPr>
            </w:pPr>
            <w:r w:rsidRPr="00990FB6">
              <w:rPr>
                <w:i/>
                <w:iCs/>
                <w:sz w:val="22"/>
                <w:szCs w:val="22"/>
                <w:lang w:eastAsia="es-CR"/>
              </w:rPr>
              <w:t xml:space="preserve">         1 700 000,00 </w:t>
            </w:r>
          </w:p>
        </w:tc>
      </w:tr>
      <w:tr w:rsidR="00B15F7D" w:rsidRPr="00990FB6" w14:paraId="3DB21631"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657843F" w14:textId="77777777" w:rsidR="00B15F7D" w:rsidRPr="00990FB6" w:rsidRDefault="00B15F7D" w:rsidP="00B15F7D">
            <w:pPr>
              <w:jc w:val="both"/>
              <w:rPr>
                <w:i/>
                <w:iCs/>
                <w:sz w:val="22"/>
                <w:szCs w:val="22"/>
                <w:lang w:eastAsia="es-CR"/>
              </w:rPr>
            </w:pPr>
            <w:r w:rsidRPr="00990FB6">
              <w:rPr>
                <w:i/>
                <w:iCs/>
                <w:sz w:val="22"/>
                <w:szCs w:val="22"/>
                <w:lang w:eastAsia="es-CR"/>
              </w:rPr>
              <w:t>50104 Estación de servicio</w:t>
            </w:r>
          </w:p>
        </w:tc>
        <w:tc>
          <w:tcPr>
            <w:tcW w:w="1134" w:type="dxa"/>
            <w:tcBorders>
              <w:top w:val="nil"/>
              <w:left w:val="nil"/>
              <w:bottom w:val="single" w:sz="4" w:space="0" w:color="auto"/>
              <w:right w:val="single" w:sz="4" w:space="0" w:color="auto"/>
            </w:tcBorders>
            <w:shd w:val="clear" w:color="auto" w:fill="auto"/>
            <w:vAlign w:val="center"/>
            <w:hideMark/>
          </w:tcPr>
          <w:p w14:paraId="26792D58" w14:textId="77777777" w:rsidR="00B15F7D" w:rsidRPr="00990FB6" w:rsidRDefault="00B15F7D" w:rsidP="00B15F7D">
            <w:pPr>
              <w:jc w:val="center"/>
              <w:rPr>
                <w:i/>
                <w:iCs/>
                <w:sz w:val="22"/>
                <w:szCs w:val="22"/>
                <w:lang w:eastAsia="es-CR"/>
              </w:rPr>
            </w:pPr>
            <w:r w:rsidRPr="00990FB6">
              <w:rPr>
                <w:i/>
                <w:iCs/>
                <w:sz w:val="22"/>
                <w:szCs w:val="22"/>
                <w:lang w:eastAsia="es-CR"/>
              </w:rPr>
              <w:t>20</w:t>
            </w:r>
          </w:p>
        </w:tc>
        <w:tc>
          <w:tcPr>
            <w:tcW w:w="2420" w:type="dxa"/>
            <w:tcBorders>
              <w:top w:val="nil"/>
              <w:left w:val="nil"/>
              <w:bottom w:val="single" w:sz="4" w:space="0" w:color="auto"/>
              <w:right w:val="single" w:sz="4" w:space="0" w:color="auto"/>
            </w:tcBorders>
            <w:shd w:val="clear" w:color="auto" w:fill="auto"/>
            <w:noWrap/>
            <w:vAlign w:val="center"/>
            <w:hideMark/>
          </w:tcPr>
          <w:p w14:paraId="11CD5540" w14:textId="77777777" w:rsidR="00B15F7D" w:rsidRPr="00990FB6" w:rsidRDefault="00B15F7D" w:rsidP="00B15F7D">
            <w:pPr>
              <w:jc w:val="center"/>
              <w:rPr>
                <w:i/>
                <w:iCs/>
                <w:sz w:val="22"/>
                <w:szCs w:val="22"/>
                <w:lang w:eastAsia="es-CR"/>
              </w:rPr>
            </w:pPr>
            <w:r w:rsidRPr="00990FB6">
              <w:rPr>
                <w:i/>
                <w:iCs/>
                <w:sz w:val="22"/>
                <w:szCs w:val="22"/>
                <w:lang w:eastAsia="es-CR"/>
              </w:rPr>
              <w:t xml:space="preserve">                   155 000,00 </w:t>
            </w:r>
          </w:p>
        </w:tc>
        <w:tc>
          <w:tcPr>
            <w:tcW w:w="2000" w:type="dxa"/>
            <w:tcBorders>
              <w:top w:val="nil"/>
              <w:left w:val="nil"/>
              <w:bottom w:val="single" w:sz="4" w:space="0" w:color="auto"/>
              <w:right w:val="single" w:sz="4" w:space="0" w:color="auto"/>
            </w:tcBorders>
            <w:shd w:val="clear" w:color="auto" w:fill="auto"/>
            <w:noWrap/>
            <w:vAlign w:val="bottom"/>
            <w:hideMark/>
          </w:tcPr>
          <w:p w14:paraId="0D4C2848" w14:textId="77777777" w:rsidR="00B15F7D" w:rsidRPr="00990FB6" w:rsidRDefault="00B15F7D" w:rsidP="00B15F7D">
            <w:pPr>
              <w:jc w:val="center"/>
              <w:rPr>
                <w:i/>
                <w:iCs/>
                <w:sz w:val="22"/>
                <w:szCs w:val="22"/>
                <w:lang w:eastAsia="es-CR"/>
              </w:rPr>
            </w:pPr>
            <w:r w:rsidRPr="00990FB6">
              <w:rPr>
                <w:i/>
                <w:iCs/>
                <w:sz w:val="22"/>
                <w:szCs w:val="22"/>
                <w:lang w:eastAsia="es-CR"/>
              </w:rPr>
              <w:t xml:space="preserve">         3 100 000,00 </w:t>
            </w:r>
          </w:p>
        </w:tc>
      </w:tr>
      <w:tr w:rsidR="00B15F7D" w:rsidRPr="00990FB6" w14:paraId="0A3EBA17" w14:textId="77777777" w:rsidTr="000A0C22">
        <w:trPr>
          <w:trHeight w:val="600"/>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0A2CF1" w14:textId="77777777" w:rsidR="00B15F7D" w:rsidRPr="00990FB6" w:rsidRDefault="00B15F7D" w:rsidP="00B15F7D">
            <w:pPr>
              <w:jc w:val="both"/>
              <w:rPr>
                <w:b/>
                <w:bCs/>
                <w:i/>
                <w:iCs/>
                <w:sz w:val="22"/>
                <w:szCs w:val="22"/>
                <w:lang w:eastAsia="es-CR"/>
              </w:rPr>
            </w:pPr>
            <w:r w:rsidRPr="00990FB6">
              <w:rPr>
                <w:b/>
                <w:bCs/>
                <w:i/>
                <w:iCs/>
                <w:sz w:val="22"/>
                <w:szCs w:val="22"/>
                <w:lang w:eastAsia="es-CR"/>
              </w:rPr>
              <w:t xml:space="preserve">50105 Equipo de cómputo y licencias -Dirección de Tecnología de la Información </w:t>
            </w:r>
          </w:p>
        </w:tc>
        <w:tc>
          <w:tcPr>
            <w:tcW w:w="1134" w:type="dxa"/>
            <w:tcBorders>
              <w:top w:val="nil"/>
              <w:left w:val="nil"/>
              <w:bottom w:val="single" w:sz="4" w:space="0" w:color="auto"/>
              <w:right w:val="single" w:sz="4" w:space="0" w:color="auto"/>
            </w:tcBorders>
            <w:shd w:val="clear" w:color="auto" w:fill="auto"/>
            <w:vAlign w:val="center"/>
            <w:hideMark/>
          </w:tcPr>
          <w:p w14:paraId="456AFCE8"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420" w:type="dxa"/>
            <w:tcBorders>
              <w:top w:val="nil"/>
              <w:left w:val="nil"/>
              <w:bottom w:val="single" w:sz="4" w:space="0" w:color="auto"/>
              <w:right w:val="single" w:sz="4" w:space="0" w:color="auto"/>
            </w:tcBorders>
            <w:shd w:val="clear" w:color="auto" w:fill="auto"/>
            <w:vAlign w:val="center"/>
            <w:hideMark/>
          </w:tcPr>
          <w:p w14:paraId="347524BA"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000" w:type="dxa"/>
            <w:tcBorders>
              <w:top w:val="nil"/>
              <w:left w:val="nil"/>
              <w:bottom w:val="single" w:sz="4" w:space="0" w:color="auto"/>
              <w:right w:val="single" w:sz="4" w:space="0" w:color="auto"/>
            </w:tcBorders>
            <w:shd w:val="clear" w:color="auto" w:fill="auto"/>
            <w:vAlign w:val="center"/>
            <w:hideMark/>
          </w:tcPr>
          <w:p w14:paraId="0D0EC240" w14:textId="77777777" w:rsidR="00B15F7D" w:rsidRPr="00990FB6" w:rsidRDefault="00B15F7D" w:rsidP="00B15F7D">
            <w:pPr>
              <w:jc w:val="center"/>
              <w:rPr>
                <w:i/>
                <w:iCs/>
                <w:sz w:val="22"/>
                <w:szCs w:val="22"/>
                <w:lang w:eastAsia="es-CR"/>
              </w:rPr>
            </w:pPr>
            <w:r w:rsidRPr="00990FB6">
              <w:rPr>
                <w:i/>
                <w:iCs/>
                <w:sz w:val="22"/>
                <w:szCs w:val="22"/>
                <w:lang w:eastAsia="es-CR"/>
              </w:rPr>
              <w:t> </w:t>
            </w:r>
          </w:p>
        </w:tc>
      </w:tr>
      <w:tr w:rsidR="00B15F7D" w:rsidRPr="00990FB6" w14:paraId="39A9503A"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2375B79C" w14:textId="77777777" w:rsidR="00B15F7D" w:rsidRPr="00990FB6" w:rsidRDefault="00B15F7D" w:rsidP="00B15F7D">
            <w:pPr>
              <w:rPr>
                <w:i/>
                <w:iCs/>
                <w:sz w:val="22"/>
                <w:szCs w:val="22"/>
                <w:lang w:eastAsia="es-CR"/>
              </w:rPr>
            </w:pPr>
            <w:r w:rsidRPr="00990FB6">
              <w:rPr>
                <w:i/>
                <w:iCs/>
                <w:sz w:val="22"/>
                <w:szCs w:val="22"/>
                <w:lang w:eastAsia="es-CR"/>
              </w:rPr>
              <w:t>50105 Licencias de equipo de cómputo</w:t>
            </w:r>
          </w:p>
        </w:tc>
        <w:tc>
          <w:tcPr>
            <w:tcW w:w="1134" w:type="dxa"/>
            <w:tcBorders>
              <w:top w:val="nil"/>
              <w:left w:val="nil"/>
              <w:bottom w:val="single" w:sz="4" w:space="0" w:color="auto"/>
              <w:right w:val="single" w:sz="4" w:space="0" w:color="auto"/>
            </w:tcBorders>
            <w:shd w:val="clear" w:color="auto" w:fill="auto"/>
            <w:noWrap/>
            <w:vAlign w:val="bottom"/>
            <w:hideMark/>
          </w:tcPr>
          <w:p w14:paraId="76119870" w14:textId="77777777" w:rsidR="00B15F7D" w:rsidRPr="00990FB6" w:rsidRDefault="00B15F7D" w:rsidP="00B15F7D">
            <w:pPr>
              <w:jc w:val="center"/>
              <w:rPr>
                <w:i/>
                <w:iCs/>
                <w:sz w:val="22"/>
                <w:szCs w:val="22"/>
                <w:lang w:eastAsia="es-CR"/>
              </w:rPr>
            </w:pPr>
            <w:r w:rsidRPr="00990FB6">
              <w:rPr>
                <w:i/>
                <w:iCs/>
                <w:sz w:val="22"/>
                <w:szCs w:val="22"/>
                <w:lang w:eastAsia="es-CR"/>
              </w:rPr>
              <w:t>20</w:t>
            </w:r>
          </w:p>
        </w:tc>
        <w:tc>
          <w:tcPr>
            <w:tcW w:w="2420" w:type="dxa"/>
            <w:tcBorders>
              <w:top w:val="nil"/>
              <w:left w:val="nil"/>
              <w:bottom w:val="single" w:sz="4" w:space="0" w:color="auto"/>
              <w:right w:val="single" w:sz="4" w:space="0" w:color="auto"/>
            </w:tcBorders>
            <w:shd w:val="clear" w:color="auto" w:fill="auto"/>
            <w:noWrap/>
            <w:vAlign w:val="bottom"/>
            <w:hideMark/>
          </w:tcPr>
          <w:p w14:paraId="1C11E671" w14:textId="77777777" w:rsidR="00B15F7D" w:rsidRPr="00990FB6" w:rsidRDefault="00B15F7D" w:rsidP="00B15F7D">
            <w:pPr>
              <w:jc w:val="center"/>
              <w:rPr>
                <w:i/>
                <w:iCs/>
                <w:sz w:val="22"/>
                <w:szCs w:val="22"/>
                <w:lang w:eastAsia="es-CR"/>
              </w:rPr>
            </w:pPr>
            <w:r w:rsidRPr="00990FB6">
              <w:rPr>
                <w:i/>
                <w:iCs/>
                <w:sz w:val="22"/>
                <w:szCs w:val="22"/>
                <w:lang w:eastAsia="es-CR"/>
              </w:rPr>
              <w:t xml:space="preserve">                   148 200,00 </w:t>
            </w:r>
          </w:p>
        </w:tc>
        <w:tc>
          <w:tcPr>
            <w:tcW w:w="2000" w:type="dxa"/>
            <w:tcBorders>
              <w:top w:val="nil"/>
              <w:left w:val="nil"/>
              <w:bottom w:val="single" w:sz="4" w:space="0" w:color="auto"/>
              <w:right w:val="single" w:sz="4" w:space="0" w:color="auto"/>
            </w:tcBorders>
            <w:shd w:val="clear" w:color="auto" w:fill="auto"/>
            <w:noWrap/>
            <w:vAlign w:val="bottom"/>
            <w:hideMark/>
          </w:tcPr>
          <w:p w14:paraId="75C24A4D" w14:textId="77777777" w:rsidR="00B15F7D" w:rsidRPr="00990FB6" w:rsidRDefault="00B15F7D" w:rsidP="00B15F7D">
            <w:pPr>
              <w:jc w:val="center"/>
              <w:rPr>
                <w:i/>
                <w:iCs/>
                <w:sz w:val="22"/>
                <w:szCs w:val="22"/>
                <w:lang w:eastAsia="es-CR"/>
              </w:rPr>
            </w:pPr>
            <w:r w:rsidRPr="00990FB6">
              <w:rPr>
                <w:i/>
                <w:iCs/>
                <w:sz w:val="22"/>
                <w:szCs w:val="22"/>
                <w:lang w:eastAsia="es-CR"/>
              </w:rPr>
              <w:t xml:space="preserve">         2 964 000,00 </w:t>
            </w:r>
          </w:p>
        </w:tc>
      </w:tr>
      <w:tr w:rsidR="00B15F7D" w:rsidRPr="00990FB6" w14:paraId="2E7E594D"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2F779C69" w14:textId="77777777" w:rsidR="00B15F7D" w:rsidRPr="00990FB6" w:rsidRDefault="00B15F7D" w:rsidP="00B15F7D">
            <w:pPr>
              <w:rPr>
                <w:i/>
                <w:iCs/>
                <w:sz w:val="22"/>
                <w:szCs w:val="22"/>
                <w:lang w:eastAsia="es-CR"/>
              </w:rPr>
            </w:pPr>
            <w:r w:rsidRPr="00990FB6">
              <w:rPr>
                <w:i/>
                <w:iCs/>
                <w:sz w:val="22"/>
                <w:szCs w:val="22"/>
                <w:lang w:eastAsia="es-CR"/>
              </w:rPr>
              <w:t>50105 Computadora de escritorio</w:t>
            </w:r>
          </w:p>
        </w:tc>
        <w:tc>
          <w:tcPr>
            <w:tcW w:w="1134" w:type="dxa"/>
            <w:tcBorders>
              <w:top w:val="nil"/>
              <w:left w:val="nil"/>
              <w:bottom w:val="single" w:sz="4" w:space="0" w:color="auto"/>
              <w:right w:val="single" w:sz="4" w:space="0" w:color="auto"/>
            </w:tcBorders>
            <w:shd w:val="clear" w:color="auto" w:fill="auto"/>
            <w:noWrap/>
            <w:vAlign w:val="bottom"/>
            <w:hideMark/>
          </w:tcPr>
          <w:p w14:paraId="1AB82BBC" w14:textId="77777777" w:rsidR="00B15F7D" w:rsidRPr="00990FB6" w:rsidRDefault="00B15F7D" w:rsidP="00B15F7D">
            <w:pPr>
              <w:jc w:val="center"/>
              <w:rPr>
                <w:i/>
                <w:iCs/>
                <w:sz w:val="22"/>
                <w:szCs w:val="22"/>
                <w:lang w:eastAsia="es-CR"/>
              </w:rPr>
            </w:pPr>
            <w:r w:rsidRPr="00990FB6">
              <w:rPr>
                <w:i/>
                <w:iCs/>
                <w:sz w:val="22"/>
                <w:szCs w:val="22"/>
                <w:lang w:eastAsia="es-CR"/>
              </w:rPr>
              <w:t>14</w:t>
            </w:r>
          </w:p>
        </w:tc>
        <w:tc>
          <w:tcPr>
            <w:tcW w:w="2420" w:type="dxa"/>
            <w:tcBorders>
              <w:top w:val="nil"/>
              <w:left w:val="nil"/>
              <w:bottom w:val="single" w:sz="4" w:space="0" w:color="auto"/>
              <w:right w:val="single" w:sz="4" w:space="0" w:color="auto"/>
            </w:tcBorders>
            <w:shd w:val="clear" w:color="auto" w:fill="auto"/>
            <w:noWrap/>
            <w:vAlign w:val="bottom"/>
            <w:hideMark/>
          </w:tcPr>
          <w:p w14:paraId="267278A1" w14:textId="77777777" w:rsidR="00B15F7D" w:rsidRPr="00990FB6" w:rsidRDefault="00B15F7D" w:rsidP="00B15F7D">
            <w:pPr>
              <w:jc w:val="center"/>
              <w:rPr>
                <w:i/>
                <w:iCs/>
                <w:sz w:val="22"/>
                <w:szCs w:val="22"/>
                <w:lang w:eastAsia="es-CR"/>
              </w:rPr>
            </w:pPr>
            <w:r w:rsidRPr="00990FB6">
              <w:rPr>
                <w:i/>
                <w:iCs/>
                <w:sz w:val="22"/>
                <w:szCs w:val="22"/>
                <w:lang w:eastAsia="es-CR"/>
              </w:rPr>
              <w:t xml:space="preserve">                   701 350,00 </w:t>
            </w:r>
          </w:p>
        </w:tc>
        <w:tc>
          <w:tcPr>
            <w:tcW w:w="2000" w:type="dxa"/>
            <w:tcBorders>
              <w:top w:val="nil"/>
              <w:left w:val="nil"/>
              <w:bottom w:val="single" w:sz="4" w:space="0" w:color="auto"/>
              <w:right w:val="single" w:sz="4" w:space="0" w:color="auto"/>
            </w:tcBorders>
            <w:shd w:val="clear" w:color="auto" w:fill="auto"/>
            <w:noWrap/>
            <w:vAlign w:val="bottom"/>
            <w:hideMark/>
          </w:tcPr>
          <w:p w14:paraId="108A8E36" w14:textId="77777777" w:rsidR="00B15F7D" w:rsidRPr="00990FB6" w:rsidRDefault="00B15F7D" w:rsidP="00B15F7D">
            <w:pPr>
              <w:jc w:val="center"/>
              <w:rPr>
                <w:i/>
                <w:iCs/>
                <w:sz w:val="22"/>
                <w:szCs w:val="22"/>
                <w:lang w:eastAsia="es-CR"/>
              </w:rPr>
            </w:pPr>
            <w:r w:rsidRPr="00990FB6">
              <w:rPr>
                <w:i/>
                <w:iCs/>
                <w:sz w:val="22"/>
                <w:szCs w:val="22"/>
                <w:lang w:eastAsia="es-CR"/>
              </w:rPr>
              <w:t xml:space="preserve">         9 818 900,00 </w:t>
            </w:r>
          </w:p>
        </w:tc>
      </w:tr>
      <w:tr w:rsidR="00B15F7D" w:rsidRPr="00990FB6" w14:paraId="646E49F4"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4034B4D7" w14:textId="77777777" w:rsidR="00B15F7D" w:rsidRPr="00990FB6" w:rsidRDefault="00B15F7D" w:rsidP="00B15F7D">
            <w:pPr>
              <w:rPr>
                <w:i/>
                <w:iCs/>
                <w:sz w:val="22"/>
                <w:szCs w:val="22"/>
                <w:lang w:eastAsia="es-CR"/>
              </w:rPr>
            </w:pPr>
            <w:r w:rsidRPr="00990FB6">
              <w:rPr>
                <w:i/>
                <w:iCs/>
                <w:sz w:val="22"/>
                <w:szCs w:val="22"/>
                <w:lang w:eastAsia="es-CR"/>
              </w:rPr>
              <w:t>50105 Computadora portátil</w:t>
            </w:r>
          </w:p>
        </w:tc>
        <w:tc>
          <w:tcPr>
            <w:tcW w:w="1134" w:type="dxa"/>
            <w:tcBorders>
              <w:top w:val="nil"/>
              <w:left w:val="nil"/>
              <w:bottom w:val="single" w:sz="4" w:space="0" w:color="auto"/>
              <w:right w:val="single" w:sz="4" w:space="0" w:color="auto"/>
            </w:tcBorders>
            <w:shd w:val="clear" w:color="auto" w:fill="auto"/>
            <w:noWrap/>
            <w:vAlign w:val="bottom"/>
            <w:hideMark/>
          </w:tcPr>
          <w:p w14:paraId="410A7C17" w14:textId="77777777" w:rsidR="00B15F7D" w:rsidRPr="00990FB6" w:rsidRDefault="00B15F7D" w:rsidP="00B15F7D">
            <w:pPr>
              <w:jc w:val="center"/>
              <w:rPr>
                <w:i/>
                <w:iCs/>
                <w:sz w:val="22"/>
                <w:szCs w:val="22"/>
                <w:lang w:eastAsia="es-CR"/>
              </w:rPr>
            </w:pPr>
            <w:r w:rsidRPr="00990FB6">
              <w:rPr>
                <w:i/>
                <w:iCs/>
                <w:sz w:val="22"/>
                <w:szCs w:val="22"/>
                <w:lang w:eastAsia="es-CR"/>
              </w:rPr>
              <w:t>6</w:t>
            </w:r>
          </w:p>
        </w:tc>
        <w:tc>
          <w:tcPr>
            <w:tcW w:w="2420" w:type="dxa"/>
            <w:tcBorders>
              <w:top w:val="nil"/>
              <w:left w:val="nil"/>
              <w:bottom w:val="single" w:sz="4" w:space="0" w:color="auto"/>
              <w:right w:val="single" w:sz="4" w:space="0" w:color="auto"/>
            </w:tcBorders>
            <w:shd w:val="clear" w:color="auto" w:fill="auto"/>
            <w:noWrap/>
            <w:vAlign w:val="bottom"/>
            <w:hideMark/>
          </w:tcPr>
          <w:p w14:paraId="4A474BFB" w14:textId="77777777" w:rsidR="00B15F7D" w:rsidRPr="00990FB6" w:rsidRDefault="00B15F7D" w:rsidP="00B15F7D">
            <w:pPr>
              <w:jc w:val="center"/>
              <w:rPr>
                <w:i/>
                <w:iCs/>
                <w:sz w:val="22"/>
                <w:szCs w:val="22"/>
                <w:lang w:eastAsia="es-CR"/>
              </w:rPr>
            </w:pPr>
            <w:r w:rsidRPr="00990FB6">
              <w:rPr>
                <w:i/>
                <w:iCs/>
                <w:sz w:val="22"/>
                <w:szCs w:val="22"/>
                <w:lang w:eastAsia="es-CR"/>
              </w:rPr>
              <w:t xml:space="preserve">                1 013 350,00 </w:t>
            </w:r>
          </w:p>
        </w:tc>
        <w:tc>
          <w:tcPr>
            <w:tcW w:w="2000" w:type="dxa"/>
            <w:tcBorders>
              <w:top w:val="nil"/>
              <w:left w:val="nil"/>
              <w:bottom w:val="single" w:sz="4" w:space="0" w:color="auto"/>
              <w:right w:val="single" w:sz="4" w:space="0" w:color="auto"/>
            </w:tcBorders>
            <w:shd w:val="clear" w:color="auto" w:fill="auto"/>
            <w:noWrap/>
            <w:vAlign w:val="bottom"/>
            <w:hideMark/>
          </w:tcPr>
          <w:p w14:paraId="2C3ABCEB" w14:textId="77777777" w:rsidR="00B15F7D" w:rsidRPr="00990FB6" w:rsidRDefault="00B15F7D" w:rsidP="00B15F7D">
            <w:pPr>
              <w:jc w:val="center"/>
              <w:rPr>
                <w:i/>
                <w:iCs/>
                <w:sz w:val="22"/>
                <w:szCs w:val="22"/>
                <w:lang w:eastAsia="es-CR"/>
              </w:rPr>
            </w:pPr>
            <w:r w:rsidRPr="00990FB6">
              <w:rPr>
                <w:i/>
                <w:iCs/>
                <w:sz w:val="22"/>
                <w:szCs w:val="22"/>
                <w:lang w:eastAsia="es-CR"/>
              </w:rPr>
              <w:t xml:space="preserve">         6 080 100,00 </w:t>
            </w:r>
          </w:p>
        </w:tc>
      </w:tr>
      <w:tr w:rsidR="00B15F7D" w:rsidRPr="00990FB6" w14:paraId="4606BD0B" w14:textId="77777777" w:rsidTr="000A0C22">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7617F386" w14:textId="77777777" w:rsidR="00B15F7D" w:rsidRPr="00990FB6" w:rsidRDefault="00B15F7D" w:rsidP="00B15F7D">
            <w:pPr>
              <w:rPr>
                <w:b/>
                <w:bCs/>
                <w:i/>
                <w:iCs/>
                <w:sz w:val="22"/>
                <w:szCs w:val="22"/>
                <w:lang w:eastAsia="es-CR"/>
              </w:rPr>
            </w:pPr>
            <w:r w:rsidRPr="00990FB6">
              <w:rPr>
                <w:b/>
                <w:bCs/>
                <w:i/>
                <w:iCs/>
                <w:sz w:val="22"/>
                <w:szCs w:val="22"/>
                <w:lang w:eastAsia="es-CR"/>
              </w:rPr>
              <w:t>10401 Servicios Médicos y de Laboratorio</w:t>
            </w:r>
          </w:p>
        </w:tc>
        <w:tc>
          <w:tcPr>
            <w:tcW w:w="1134" w:type="dxa"/>
            <w:tcBorders>
              <w:top w:val="nil"/>
              <w:left w:val="nil"/>
              <w:bottom w:val="single" w:sz="4" w:space="0" w:color="auto"/>
              <w:right w:val="single" w:sz="4" w:space="0" w:color="auto"/>
            </w:tcBorders>
            <w:shd w:val="clear" w:color="auto" w:fill="auto"/>
            <w:noWrap/>
            <w:vAlign w:val="bottom"/>
            <w:hideMark/>
          </w:tcPr>
          <w:p w14:paraId="0FE64C60"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420" w:type="dxa"/>
            <w:tcBorders>
              <w:top w:val="nil"/>
              <w:left w:val="nil"/>
              <w:bottom w:val="single" w:sz="4" w:space="0" w:color="auto"/>
              <w:right w:val="single" w:sz="4" w:space="0" w:color="auto"/>
            </w:tcBorders>
            <w:shd w:val="clear" w:color="auto" w:fill="auto"/>
            <w:noWrap/>
            <w:vAlign w:val="bottom"/>
            <w:hideMark/>
          </w:tcPr>
          <w:p w14:paraId="110CB98C" w14:textId="77777777" w:rsidR="00B15F7D" w:rsidRPr="00990FB6" w:rsidRDefault="00B15F7D" w:rsidP="00B15F7D">
            <w:pPr>
              <w:jc w:val="center"/>
              <w:rPr>
                <w:i/>
                <w:iCs/>
                <w:sz w:val="22"/>
                <w:szCs w:val="22"/>
                <w:lang w:eastAsia="es-CR"/>
              </w:rPr>
            </w:pPr>
            <w:r w:rsidRPr="00990FB6">
              <w:rPr>
                <w:i/>
                <w:iCs/>
                <w:sz w:val="22"/>
                <w:szCs w:val="22"/>
                <w:lang w:eastAsia="es-CR"/>
              </w:rPr>
              <w:t> </w:t>
            </w:r>
          </w:p>
        </w:tc>
        <w:tc>
          <w:tcPr>
            <w:tcW w:w="2000" w:type="dxa"/>
            <w:tcBorders>
              <w:top w:val="nil"/>
              <w:left w:val="nil"/>
              <w:bottom w:val="single" w:sz="4" w:space="0" w:color="auto"/>
              <w:right w:val="single" w:sz="4" w:space="0" w:color="auto"/>
            </w:tcBorders>
            <w:shd w:val="clear" w:color="auto" w:fill="auto"/>
            <w:noWrap/>
            <w:vAlign w:val="bottom"/>
            <w:hideMark/>
          </w:tcPr>
          <w:p w14:paraId="3036EBF4" w14:textId="77777777" w:rsidR="00B15F7D" w:rsidRPr="00990FB6" w:rsidRDefault="00B15F7D" w:rsidP="00B15F7D">
            <w:pPr>
              <w:jc w:val="center"/>
              <w:rPr>
                <w:i/>
                <w:iCs/>
                <w:sz w:val="22"/>
                <w:szCs w:val="22"/>
                <w:lang w:eastAsia="es-CR"/>
              </w:rPr>
            </w:pPr>
            <w:r w:rsidRPr="00990FB6">
              <w:rPr>
                <w:i/>
                <w:iCs/>
                <w:sz w:val="22"/>
                <w:szCs w:val="22"/>
                <w:lang w:eastAsia="es-CR"/>
              </w:rPr>
              <w:t> </w:t>
            </w:r>
          </w:p>
        </w:tc>
      </w:tr>
      <w:tr w:rsidR="00B15F7D" w:rsidRPr="00990FB6" w14:paraId="67E56D68" w14:textId="77777777" w:rsidTr="000A0C22">
        <w:trPr>
          <w:trHeight w:val="972"/>
        </w:trPr>
        <w:tc>
          <w:tcPr>
            <w:tcW w:w="3397" w:type="dxa"/>
            <w:tcBorders>
              <w:top w:val="nil"/>
              <w:left w:val="single" w:sz="4" w:space="0" w:color="auto"/>
              <w:bottom w:val="single" w:sz="4" w:space="0" w:color="auto"/>
              <w:right w:val="single" w:sz="4" w:space="0" w:color="auto"/>
            </w:tcBorders>
            <w:shd w:val="clear" w:color="auto" w:fill="auto"/>
            <w:hideMark/>
          </w:tcPr>
          <w:p w14:paraId="0B8F1AD4" w14:textId="77777777" w:rsidR="00B15F7D" w:rsidRPr="00990FB6" w:rsidRDefault="00B15F7D" w:rsidP="00B15F7D">
            <w:pPr>
              <w:rPr>
                <w:i/>
                <w:iCs/>
                <w:sz w:val="22"/>
                <w:szCs w:val="22"/>
                <w:lang w:eastAsia="es-CR"/>
              </w:rPr>
            </w:pPr>
            <w:r w:rsidRPr="00990FB6">
              <w:rPr>
                <w:i/>
                <w:iCs/>
                <w:sz w:val="22"/>
                <w:szCs w:val="22"/>
                <w:lang w:eastAsia="es-CR"/>
              </w:rPr>
              <w:t>Pago de atención veterinaria (a una razón de costo de 125.000 mensuales por 12 meses por 35 oficinas que se encargan de atender la ley de Bienestar Animal en todo el país)</w:t>
            </w:r>
          </w:p>
        </w:tc>
        <w:tc>
          <w:tcPr>
            <w:tcW w:w="1134" w:type="dxa"/>
            <w:tcBorders>
              <w:top w:val="nil"/>
              <w:left w:val="nil"/>
              <w:bottom w:val="single" w:sz="4" w:space="0" w:color="auto"/>
              <w:right w:val="single" w:sz="4" w:space="0" w:color="auto"/>
            </w:tcBorders>
            <w:shd w:val="clear" w:color="auto" w:fill="auto"/>
            <w:noWrap/>
            <w:vAlign w:val="bottom"/>
            <w:hideMark/>
          </w:tcPr>
          <w:p w14:paraId="0C04E39A" w14:textId="77777777" w:rsidR="00B15F7D" w:rsidRPr="00990FB6" w:rsidRDefault="00B15F7D" w:rsidP="00B15F7D">
            <w:pPr>
              <w:jc w:val="center"/>
              <w:rPr>
                <w:i/>
                <w:iCs/>
                <w:sz w:val="22"/>
                <w:szCs w:val="22"/>
                <w:lang w:eastAsia="es-CR"/>
              </w:rPr>
            </w:pPr>
            <w:r w:rsidRPr="00990FB6">
              <w:rPr>
                <w:i/>
                <w:iCs/>
                <w:sz w:val="22"/>
                <w:szCs w:val="22"/>
                <w:lang w:eastAsia="es-CR"/>
              </w:rPr>
              <w:t>1</w:t>
            </w:r>
          </w:p>
        </w:tc>
        <w:tc>
          <w:tcPr>
            <w:tcW w:w="2420" w:type="dxa"/>
            <w:tcBorders>
              <w:top w:val="nil"/>
              <w:left w:val="nil"/>
              <w:bottom w:val="single" w:sz="4" w:space="0" w:color="auto"/>
              <w:right w:val="single" w:sz="4" w:space="0" w:color="auto"/>
            </w:tcBorders>
            <w:shd w:val="clear" w:color="auto" w:fill="auto"/>
            <w:noWrap/>
            <w:vAlign w:val="bottom"/>
            <w:hideMark/>
          </w:tcPr>
          <w:p w14:paraId="329C4158" w14:textId="77777777" w:rsidR="00B15F7D" w:rsidRPr="00990FB6" w:rsidRDefault="00B15F7D" w:rsidP="00B15F7D">
            <w:pPr>
              <w:jc w:val="center"/>
              <w:rPr>
                <w:i/>
                <w:iCs/>
                <w:sz w:val="22"/>
                <w:szCs w:val="22"/>
                <w:lang w:eastAsia="es-CR"/>
              </w:rPr>
            </w:pPr>
            <w:r w:rsidRPr="00990FB6">
              <w:rPr>
                <w:i/>
                <w:iCs/>
                <w:sz w:val="22"/>
                <w:szCs w:val="22"/>
                <w:lang w:eastAsia="es-CR"/>
              </w:rPr>
              <w:t xml:space="preserve">              52 500 000,00 </w:t>
            </w:r>
          </w:p>
        </w:tc>
        <w:tc>
          <w:tcPr>
            <w:tcW w:w="2000" w:type="dxa"/>
            <w:tcBorders>
              <w:top w:val="nil"/>
              <w:left w:val="nil"/>
              <w:bottom w:val="single" w:sz="4" w:space="0" w:color="auto"/>
              <w:right w:val="single" w:sz="4" w:space="0" w:color="auto"/>
            </w:tcBorders>
            <w:shd w:val="clear" w:color="auto" w:fill="auto"/>
            <w:noWrap/>
            <w:vAlign w:val="bottom"/>
            <w:hideMark/>
          </w:tcPr>
          <w:p w14:paraId="2F83A1DD" w14:textId="77777777" w:rsidR="00B15F7D" w:rsidRPr="00990FB6" w:rsidRDefault="00B15F7D" w:rsidP="00B15F7D">
            <w:pPr>
              <w:jc w:val="center"/>
              <w:rPr>
                <w:i/>
                <w:iCs/>
                <w:sz w:val="22"/>
                <w:szCs w:val="22"/>
                <w:lang w:eastAsia="es-CR"/>
              </w:rPr>
            </w:pPr>
            <w:r w:rsidRPr="00990FB6">
              <w:rPr>
                <w:i/>
                <w:iCs/>
                <w:sz w:val="22"/>
                <w:szCs w:val="22"/>
                <w:lang w:eastAsia="es-CR"/>
              </w:rPr>
              <w:t xml:space="preserve">       52 500 000,00 </w:t>
            </w:r>
          </w:p>
        </w:tc>
      </w:tr>
      <w:tr w:rsidR="00B15F7D" w:rsidRPr="00990FB6" w14:paraId="296AD823" w14:textId="77777777" w:rsidTr="000A0C22">
        <w:trPr>
          <w:trHeight w:val="300"/>
        </w:trPr>
        <w:tc>
          <w:tcPr>
            <w:tcW w:w="3397" w:type="dxa"/>
            <w:tcBorders>
              <w:top w:val="nil"/>
              <w:left w:val="single" w:sz="4" w:space="0" w:color="auto"/>
              <w:bottom w:val="single" w:sz="4" w:space="0" w:color="auto"/>
              <w:right w:val="single" w:sz="4" w:space="0" w:color="auto"/>
            </w:tcBorders>
            <w:shd w:val="clear" w:color="000000" w:fill="DDEBF7"/>
            <w:vAlign w:val="center"/>
            <w:hideMark/>
          </w:tcPr>
          <w:p w14:paraId="67A30B9E" w14:textId="77777777" w:rsidR="00B15F7D" w:rsidRPr="00990FB6" w:rsidRDefault="00B15F7D" w:rsidP="00B15F7D">
            <w:pPr>
              <w:jc w:val="center"/>
              <w:rPr>
                <w:b/>
                <w:bCs/>
                <w:i/>
                <w:iCs/>
                <w:sz w:val="22"/>
                <w:szCs w:val="22"/>
                <w:lang w:eastAsia="es-CR"/>
              </w:rPr>
            </w:pPr>
            <w:r w:rsidRPr="00990FB6">
              <w:rPr>
                <w:b/>
                <w:bCs/>
                <w:i/>
                <w:iCs/>
                <w:sz w:val="22"/>
                <w:szCs w:val="22"/>
                <w:lang w:eastAsia="es-CR"/>
              </w:rPr>
              <w:t>Total</w:t>
            </w:r>
          </w:p>
        </w:tc>
        <w:tc>
          <w:tcPr>
            <w:tcW w:w="1134" w:type="dxa"/>
            <w:tcBorders>
              <w:top w:val="nil"/>
              <w:left w:val="nil"/>
              <w:bottom w:val="single" w:sz="4" w:space="0" w:color="auto"/>
              <w:right w:val="single" w:sz="4" w:space="0" w:color="auto"/>
            </w:tcBorders>
            <w:shd w:val="clear" w:color="000000" w:fill="DDEBF7"/>
            <w:vAlign w:val="center"/>
            <w:hideMark/>
          </w:tcPr>
          <w:p w14:paraId="75018842" w14:textId="77777777" w:rsidR="00B15F7D" w:rsidRPr="00990FB6" w:rsidRDefault="00B15F7D" w:rsidP="00B15F7D">
            <w:pPr>
              <w:jc w:val="center"/>
              <w:rPr>
                <w:b/>
                <w:bCs/>
                <w:i/>
                <w:iCs/>
                <w:sz w:val="22"/>
                <w:szCs w:val="22"/>
                <w:lang w:eastAsia="es-CR"/>
              </w:rPr>
            </w:pPr>
            <w:r w:rsidRPr="00990FB6">
              <w:rPr>
                <w:b/>
                <w:bCs/>
                <w:i/>
                <w:iCs/>
                <w:sz w:val="22"/>
                <w:szCs w:val="22"/>
                <w:lang w:eastAsia="es-CR"/>
              </w:rPr>
              <w:t> </w:t>
            </w:r>
          </w:p>
        </w:tc>
        <w:tc>
          <w:tcPr>
            <w:tcW w:w="2420" w:type="dxa"/>
            <w:tcBorders>
              <w:top w:val="nil"/>
              <w:left w:val="nil"/>
              <w:bottom w:val="single" w:sz="4" w:space="0" w:color="auto"/>
              <w:right w:val="single" w:sz="4" w:space="0" w:color="auto"/>
            </w:tcBorders>
            <w:shd w:val="clear" w:color="000000" w:fill="DDEBF7"/>
            <w:vAlign w:val="center"/>
            <w:hideMark/>
          </w:tcPr>
          <w:p w14:paraId="56D54057" w14:textId="77777777" w:rsidR="00B15F7D" w:rsidRPr="00990FB6" w:rsidRDefault="00B15F7D" w:rsidP="00B15F7D">
            <w:pPr>
              <w:jc w:val="center"/>
              <w:rPr>
                <w:b/>
                <w:bCs/>
                <w:i/>
                <w:iCs/>
                <w:sz w:val="22"/>
                <w:szCs w:val="22"/>
                <w:lang w:eastAsia="es-CR"/>
              </w:rPr>
            </w:pPr>
            <w:r w:rsidRPr="00990FB6">
              <w:rPr>
                <w:b/>
                <w:bCs/>
                <w:i/>
                <w:iCs/>
                <w:sz w:val="22"/>
                <w:szCs w:val="22"/>
                <w:lang w:eastAsia="es-CR"/>
              </w:rPr>
              <w:t> </w:t>
            </w:r>
          </w:p>
        </w:tc>
        <w:tc>
          <w:tcPr>
            <w:tcW w:w="2000" w:type="dxa"/>
            <w:tcBorders>
              <w:top w:val="nil"/>
              <w:left w:val="nil"/>
              <w:bottom w:val="single" w:sz="4" w:space="0" w:color="auto"/>
              <w:right w:val="single" w:sz="4" w:space="0" w:color="auto"/>
            </w:tcBorders>
            <w:shd w:val="clear" w:color="000000" w:fill="DDEBF7"/>
            <w:vAlign w:val="center"/>
            <w:hideMark/>
          </w:tcPr>
          <w:p w14:paraId="4E1226E4" w14:textId="77777777" w:rsidR="00B15F7D" w:rsidRPr="00990FB6" w:rsidRDefault="00B15F7D" w:rsidP="00B15F7D">
            <w:pPr>
              <w:jc w:val="both"/>
              <w:rPr>
                <w:b/>
                <w:bCs/>
                <w:i/>
                <w:iCs/>
                <w:sz w:val="22"/>
                <w:szCs w:val="22"/>
                <w:lang w:eastAsia="es-CR"/>
              </w:rPr>
            </w:pPr>
            <w:r w:rsidRPr="00990FB6">
              <w:rPr>
                <w:b/>
                <w:bCs/>
                <w:i/>
                <w:iCs/>
                <w:sz w:val="22"/>
                <w:szCs w:val="22"/>
                <w:lang w:eastAsia="es-CR"/>
              </w:rPr>
              <w:t xml:space="preserve"> ₡    76 163 000,00 </w:t>
            </w:r>
          </w:p>
        </w:tc>
      </w:tr>
      <w:tr w:rsidR="00B15F7D" w:rsidRPr="00990FB6" w14:paraId="2EE56628" w14:textId="77777777" w:rsidTr="000A0C22">
        <w:trPr>
          <w:trHeight w:val="300"/>
        </w:trPr>
        <w:tc>
          <w:tcPr>
            <w:tcW w:w="8954" w:type="dxa"/>
            <w:gridSpan w:val="4"/>
            <w:tcBorders>
              <w:top w:val="nil"/>
              <w:left w:val="nil"/>
              <w:bottom w:val="nil"/>
              <w:right w:val="nil"/>
            </w:tcBorders>
            <w:shd w:val="clear" w:color="auto" w:fill="auto"/>
            <w:noWrap/>
            <w:vAlign w:val="bottom"/>
            <w:hideMark/>
          </w:tcPr>
          <w:p w14:paraId="02F2925B" w14:textId="77777777" w:rsidR="00B15F7D" w:rsidRPr="00990FB6" w:rsidRDefault="00B15F7D" w:rsidP="00B15F7D">
            <w:pPr>
              <w:rPr>
                <w:b/>
                <w:bCs/>
                <w:i/>
                <w:iCs/>
                <w:sz w:val="22"/>
                <w:szCs w:val="22"/>
                <w:lang w:eastAsia="es-CR"/>
              </w:rPr>
            </w:pPr>
            <w:r w:rsidRPr="00990FB6">
              <w:rPr>
                <w:b/>
                <w:bCs/>
                <w:i/>
                <w:iCs/>
                <w:sz w:val="22"/>
                <w:szCs w:val="22"/>
                <w:lang w:eastAsia="es-CR"/>
              </w:rPr>
              <w:t>*No se incluye la plaza del Registro Judicial debido a que la misma no pertenece al programa 928 y se desconocen sus requerimientos.</w:t>
            </w:r>
          </w:p>
        </w:tc>
      </w:tr>
    </w:tbl>
    <w:p w14:paraId="318CCFBF" w14:textId="77777777" w:rsidR="00B15F7D" w:rsidRPr="00990FB6" w:rsidRDefault="00B15F7D" w:rsidP="00B15F7D">
      <w:pPr>
        <w:jc w:val="right"/>
        <w:rPr>
          <w:rFonts w:eastAsia="Calibri"/>
          <w:i/>
          <w:iCs/>
          <w:sz w:val="22"/>
          <w:szCs w:val="22"/>
        </w:rPr>
      </w:pPr>
      <w:r w:rsidRPr="00990FB6">
        <w:rPr>
          <w:rFonts w:eastAsia="Calibri"/>
          <w:i/>
          <w:iCs/>
          <w:sz w:val="22"/>
          <w:szCs w:val="22"/>
        </w:rPr>
        <w:t>…”</w:t>
      </w:r>
    </w:p>
    <w:p w14:paraId="020A9A3F"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 xml:space="preserve">El Organismo de Investigación Judicial indicó que con su presupuesto ordinario asume costos asociados al nuevo recurso para materiales, suministros (Gorras, camisetas, Jacques, munición, esposas, chalecos antibalas, </w:t>
      </w:r>
      <w:proofErr w:type="spellStart"/>
      <w:r w:rsidRPr="00990FB6">
        <w:rPr>
          <w:rFonts w:eastAsia="Calibri"/>
          <w:sz w:val="22"/>
          <w:szCs w:val="22"/>
        </w:rPr>
        <w:t>kennel</w:t>
      </w:r>
      <w:proofErr w:type="spellEnd"/>
      <w:r w:rsidRPr="00990FB6">
        <w:rPr>
          <w:rFonts w:eastAsia="Calibri"/>
          <w:sz w:val="22"/>
          <w:szCs w:val="22"/>
        </w:rPr>
        <w:t xml:space="preserve"> de transporte, pistolas), así como aditivos necesarios funcionamiento ordinario del Cromatógrafo de gases y el Microscopio de comparación que ya tiene en funcionamiento el OIJ. </w:t>
      </w:r>
    </w:p>
    <w:p w14:paraId="6BCC1DC7" w14:textId="77777777" w:rsidR="00B15F7D" w:rsidRPr="00990FB6" w:rsidRDefault="00B15F7D" w:rsidP="00B15F7D">
      <w:pPr>
        <w:ind w:left="851" w:right="851" w:firstLine="709"/>
        <w:jc w:val="both"/>
        <w:rPr>
          <w:rFonts w:eastAsia="Calibri"/>
          <w:sz w:val="22"/>
          <w:szCs w:val="22"/>
        </w:rPr>
      </w:pPr>
    </w:p>
    <w:p w14:paraId="109F52A9" w14:textId="77777777" w:rsidR="00B15F7D" w:rsidRPr="00990FB6" w:rsidRDefault="00B15F7D" w:rsidP="00254CD4">
      <w:pPr>
        <w:numPr>
          <w:ilvl w:val="0"/>
          <w:numId w:val="203"/>
        </w:numPr>
        <w:suppressAutoHyphens w:val="0"/>
        <w:ind w:left="851" w:right="851" w:firstLine="709"/>
        <w:contextualSpacing/>
        <w:jc w:val="both"/>
        <w:rPr>
          <w:rFonts w:eastAsiaTheme="majorEastAsia"/>
          <w:b/>
          <w:bCs/>
          <w:sz w:val="22"/>
          <w:szCs w:val="22"/>
        </w:rPr>
      </w:pPr>
      <w:bookmarkStart w:id="77" w:name="_Hlk97234454"/>
      <w:bookmarkStart w:id="78" w:name="_Hlk97234500"/>
      <w:r w:rsidRPr="00990FB6">
        <w:rPr>
          <w:rFonts w:eastAsiaTheme="majorEastAsia"/>
          <w:b/>
          <w:bCs/>
          <w:sz w:val="22"/>
          <w:szCs w:val="22"/>
        </w:rPr>
        <w:t>4. Conclusiones</w:t>
      </w:r>
      <w:bookmarkEnd w:id="77"/>
    </w:p>
    <w:p w14:paraId="4B32CF12" w14:textId="77777777" w:rsidR="00B15F7D" w:rsidRPr="00990FB6" w:rsidRDefault="00B15F7D" w:rsidP="00B15F7D">
      <w:pPr>
        <w:suppressAutoHyphens w:val="0"/>
        <w:ind w:left="1560" w:right="851"/>
        <w:contextualSpacing/>
        <w:jc w:val="both"/>
        <w:rPr>
          <w:rFonts w:eastAsiaTheme="majorEastAsia"/>
          <w:b/>
          <w:bCs/>
          <w:sz w:val="22"/>
          <w:szCs w:val="22"/>
        </w:rPr>
      </w:pPr>
    </w:p>
    <w:bookmarkEnd w:id="78"/>
    <w:p w14:paraId="773ECFC9" w14:textId="77777777" w:rsidR="00B15F7D" w:rsidRPr="00990FB6" w:rsidRDefault="00B15F7D" w:rsidP="00254CD4">
      <w:pPr>
        <w:numPr>
          <w:ilvl w:val="1"/>
          <w:numId w:val="206"/>
        </w:numPr>
        <w:tabs>
          <w:tab w:val="left" w:pos="426"/>
        </w:tabs>
        <w:suppressAutoHyphens w:val="0"/>
        <w:ind w:left="851" w:right="851" w:firstLine="709"/>
        <w:contextualSpacing/>
        <w:jc w:val="both"/>
        <w:rPr>
          <w:rFonts w:eastAsia="Calibri"/>
          <w:b/>
          <w:sz w:val="22"/>
          <w:szCs w:val="22"/>
        </w:rPr>
      </w:pPr>
      <w:r w:rsidRPr="00990FB6">
        <w:rPr>
          <w:rFonts w:eastAsia="Calibri"/>
          <w:sz w:val="22"/>
          <w:szCs w:val="22"/>
          <w:lang w:eastAsia="es-CR"/>
        </w:rPr>
        <w:lastRenderedPageBreak/>
        <w:t xml:space="preserve"> La Ley 9458 “</w:t>
      </w:r>
      <w:r w:rsidRPr="00990FB6">
        <w:rPr>
          <w:rFonts w:eastAsia="Calibri"/>
          <w:i/>
          <w:iCs/>
          <w:sz w:val="22"/>
          <w:szCs w:val="22"/>
          <w:lang w:eastAsia="es-CR"/>
        </w:rPr>
        <w:t>Bienestar de los Animales</w:t>
      </w:r>
      <w:r w:rsidRPr="00990FB6">
        <w:rPr>
          <w:rFonts w:eastAsia="Calibri"/>
          <w:sz w:val="22"/>
          <w:szCs w:val="22"/>
          <w:lang w:eastAsia="es-CR"/>
        </w:rPr>
        <w:t xml:space="preserve">” entró en vigencia en 2017 pero a la fecha </w:t>
      </w:r>
      <w:r w:rsidRPr="00990FB6">
        <w:rPr>
          <w:sz w:val="22"/>
          <w:szCs w:val="22"/>
        </w:rPr>
        <w:t xml:space="preserve">no cuenta con contenido presupuestario para su implementación, sino que debió ser asumida con recursos ordinario de la Institución, inicialmente destinado a cubrir otras necesidades. </w:t>
      </w:r>
    </w:p>
    <w:p w14:paraId="3FB64197" w14:textId="77777777" w:rsidR="00B15F7D" w:rsidRPr="00990FB6" w:rsidRDefault="00B15F7D" w:rsidP="00B15F7D">
      <w:pPr>
        <w:tabs>
          <w:tab w:val="left" w:pos="426"/>
        </w:tabs>
        <w:ind w:left="851" w:right="851" w:firstLine="709"/>
        <w:contextualSpacing/>
        <w:jc w:val="both"/>
        <w:rPr>
          <w:rFonts w:eastAsia="Calibri"/>
          <w:b/>
          <w:sz w:val="22"/>
          <w:szCs w:val="22"/>
        </w:rPr>
      </w:pPr>
    </w:p>
    <w:p w14:paraId="4DFF032A" w14:textId="77777777" w:rsidR="00B15F7D" w:rsidRPr="00990FB6" w:rsidRDefault="00B15F7D" w:rsidP="00254CD4">
      <w:pPr>
        <w:numPr>
          <w:ilvl w:val="1"/>
          <w:numId w:val="206"/>
        </w:numPr>
        <w:tabs>
          <w:tab w:val="left" w:pos="426"/>
        </w:tabs>
        <w:suppressAutoHyphens w:val="0"/>
        <w:ind w:left="851" w:right="851" w:firstLine="709"/>
        <w:contextualSpacing/>
        <w:jc w:val="both"/>
        <w:rPr>
          <w:rFonts w:eastAsia="Calibri"/>
          <w:b/>
          <w:sz w:val="22"/>
          <w:szCs w:val="22"/>
        </w:rPr>
      </w:pPr>
      <w:r w:rsidRPr="00990FB6">
        <w:rPr>
          <w:rFonts w:eastAsia="Calibri"/>
          <w:sz w:val="22"/>
          <w:szCs w:val="22"/>
          <w:lang w:eastAsia="es-CR"/>
        </w:rPr>
        <w:t xml:space="preserve">Para 2024, la estimación del presupuesto necesario para la implementación de la Ley 9458 es de ₡586 212 000,00 que incluye recurso humano, equipo, mobiliario, pago de atención veterinaria.  </w:t>
      </w:r>
    </w:p>
    <w:p w14:paraId="4B293CC5" w14:textId="77777777" w:rsidR="00B15F7D" w:rsidRPr="00990FB6" w:rsidRDefault="00B15F7D" w:rsidP="00B15F7D">
      <w:pPr>
        <w:tabs>
          <w:tab w:val="left" w:pos="426"/>
        </w:tabs>
        <w:ind w:left="851" w:right="851" w:firstLine="709"/>
        <w:contextualSpacing/>
        <w:jc w:val="both"/>
        <w:rPr>
          <w:rFonts w:eastAsia="Calibri"/>
          <w:b/>
          <w:sz w:val="22"/>
          <w:szCs w:val="22"/>
        </w:rPr>
      </w:pPr>
    </w:p>
    <w:p w14:paraId="080D3B98" w14:textId="77777777" w:rsidR="00B15F7D" w:rsidRPr="00990FB6" w:rsidRDefault="00B15F7D" w:rsidP="00254CD4">
      <w:pPr>
        <w:numPr>
          <w:ilvl w:val="1"/>
          <w:numId w:val="206"/>
        </w:numPr>
        <w:suppressAutoHyphens w:val="0"/>
        <w:ind w:right="851" w:firstLine="709"/>
        <w:contextualSpacing/>
        <w:jc w:val="both"/>
        <w:rPr>
          <w:rFonts w:eastAsia="Calibri"/>
          <w:i/>
          <w:iCs/>
          <w:sz w:val="22"/>
          <w:szCs w:val="22"/>
          <w:lang w:eastAsia="es-CR"/>
        </w:rPr>
      </w:pPr>
      <w:r w:rsidRPr="00990FB6">
        <w:rPr>
          <w:rFonts w:eastAsia="Calibri"/>
          <w:sz w:val="22"/>
          <w:szCs w:val="22"/>
          <w:lang w:eastAsia="es-CR"/>
        </w:rPr>
        <w:t xml:space="preserve">Los gastos para creación del módulo de registro de organización que representan intereses difusos de los animales ya </w:t>
      </w:r>
      <w:proofErr w:type="gramStart"/>
      <w:r w:rsidRPr="00990FB6">
        <w:rPr>
          <w:rFonts w:eastAsia="Calibri"/>
          <w:sz w:val="22"/>
          <w:szCs w:val="22"/>
          <w:lang w:eastAsia="es-CR"/>
        </w:rPr>
        <w:t>fue</w:t>
      </w:r>
      <w:proofErr w:type="gramEnd"/>
      <w:r w:rsidRPr="00990FB6">
        <w:rPr>
          <w:rFonts w:eastAsia="Calibri"/>
          <w:sz w:val="22"/>
          <w:szCs w:val="22"/>
          <w:lang w:eastAsia="es-CR"/>
        </w:rPr>
        <w:t xml:space="preserve"> asumido por el Poder Judicial con recurso ordinario, y consta en el Registro Judicial el módulo correspondiente. Lo anterior fue comunicado mediante circular 126-2021 </w:t>
      </w:r>
      <w:r w:rsidRPr="00990FB6">
        <w:rPr>
          <w:rFonts w:eastAsia="Calibri"/>
          <w:i/>
          <w:iCs/>
          <w:sz w:val="22"/>
          <w:szCs w:val="22"/>
          <w:lang w:eastAsia="es-CR"/>
        </w:rPr>
        <w:t xml:space="preserve">“Habilitación del módulo de consulta en el SACEJ, de las organizaciones inscritas que desean representar los intereses difusos de los animales afectados por las conductas descritas en la Ley No. 9458, denominada “Ley contra el maltrato animal” </w:t>
      </w:r>
      <w:r w:rsidRPr="00990FB6">
        <w:rPr>
          <w:rFonts w:eastAsia="Calibri"/>
          <w:sz w:val="22"/>
          <w:szCs w:val="22"/>
          <w:lang w:eastAsia="es-CR"/>
        </w:rPr>
        <w:t>(anexo 4).</w:t>
      </w:r>
      <w:r w:rsidRPr="00990FB6">
        <w:rPr>
          <w:rFonts w:eastAsia="Calibri"/>
          <w:i/>
          <w:iCs/>
          <w:sz w:val="22"/>
          <w:szCs w:val="22"/>
          <w:lang w:eastAsia="es-CR"/>
        </w:rPr>
        <w:t xml:space="preserve"> </w:t>
      </w:r>
    </w:p>
    <w:p w14:paraId="7EB3EA84" w14:textId="77777777" w:rsidR="00B15F7D" w:rsidRPr="00990FB6" w:rsidRDefault="00B15F7D" w:rsidP="00B15F7D">
      <w:pPr>
        <w:tabs>
          <w:tab w:val="left" w:pos="426"/>
        </w:tabs>
        <w:ind w:left="851" w:right="851" w:firstLine="709"/>
        <w:jc w:val="both"/>
        <w:rPr>
          <w:rFonts w:eastAsia="Calibri"/>
          <w:b/>
          <w:sz w:val="22"/>
          <w:szCs w:val="22"/>
        </w:rPr>
      </w:pPr>
    </w:p>
    <w:p w14:paraId="5738C1EA" w14:textId="77777777" w:rsidR="00B15F7D" w:rsidRPr="00990FB6" w:rsidRDefault="00B15F7D" w:rsidP="00254CD4">
      <w:pPr>
        <w:numPr>
          <w:ilvl w:val="0"/>
          <w:numId w:val="203"/>
        </w:numPr>
        <w:suppressAutoHyphens w:val="0"/>
        <w:ind w:left="851" w:right="851" w:firstLine="709"/>
        <w:contextualSpacing/>
        <w:jc w:val="both"/>
        <w:rPr>
          <w:rFonts w:eastAsiaTheme="majorEastAsia"/>
          <w:b/>
          <w:bCs/>
          <w:sz w:val="22"/>
          <w:szCs w:val="22"/>
        </w:rPr>
      </w:pPr>
      <w:r w:rsidRPr="00990FB6">
        <w:rPr>
          <w:rFonts w:eastAsiaTheme="majorEastAsia"/>
          <w:b/>
          <w:bCs/>
          <w:sz w:val="22"/>
          <w:szCs w:val="22"/>
        </w:rPr>
        <w:t>5. Recomendaciones</w:t>
      </w:r>
    </w:p>
    <w:p w14:paraId="37740081" w14:textId="77777777" w:rsidR="00B15F7D" w:rsidRPr="00990FB6" w:rsidRDefault="00B15F7D" w:rsidP="00B15F7D">
      <w:pPr>
        <w:suppressAutoHyphens w:val="0"/>
        <w:ind w:left="1560" w:right="851"/>
        <w:contextualSpacing/>
        <w:jc w:val="both"/>
        <w:rPr>
          <w:rFonts w:eastAsiaTheme="majorEastAsia"/>
          <w:b/>
          <w:bCs/>
          <w:sz w:val="22"/>
          <w:szCs w:val="22"/>
        </w:rPr>
      </w:pPr>
    </w:p>
    <w:p w14:paraId="78442E2D"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t>A continuación, se presentan las recomendaciones del informe:</w:t>
      </w:r>
    </w:p>
    <w:p w14:paraId="6AAC61F7" w14:textId="77777777" w:rsidR="00B15F7D" w:rsidRPr="00990FB6" w:rsidRDefault="00B15F7D" w:rsidP="00B15F7D">
      <w:pPr>
        <w:ind w:left="851" w:right="851" w:firstLine="709"/>
        <w:jc w:val="both"/>
        <w:rPr>
          <w:rFonts w:eastAsia="Calibri"/>
          <w:sz w:val="22"/>
          <w:szCs w:val="22"/>
        </w:rPr>
      </w:pPr>
    </w:p>
    <w:p w14:paraId="7237370A" w14:textId="77777777" w:rsidR="00B15F7D" w:rsidRPr="00990FB6" w:rsidRDefault="00B15F7D" w:rsidP="00254CD4">
      <w:pPr>
        <w:numPr>
          <w:ilvl w:val="1"/>
          <w:numId w:val="202"/>
        </w:numPr>
        <w:shd w:val="clear" w:color="auto" w:fill="D5DCE4" w:themeFill="text2" w:themeFillTint="33"/>
        <w:suppressAutoHyphens w:val="0"/>
        <w:ind w:left="851" w:right="851" w:firstLine="709"/>
        <w:contextualSpacing/>
        <w:jc w:val="both"/>
        <w:rPr>
          <w:rFonts w:eastAsiaTheme="majorEastAsia"/>
          <w:b/>
          <w:sz w:val="22"/>
          <w:szCs w:val="22"/>
        </w:rPr>
      </w:pPr>
      <w:r w:rsidRPr="00990FB6">
        <w:rPr>
          <w:rFonts w:eastAsiaTheme="majorEastAsia"/>
          <w:b/>
          <w:sz w:val="22"/>
          <w:szCs w:val="22"/>
        </w:rPr>
        <w:t>A Consejo Superior y Corte Plena</w:t>
      </w:r>
    </w:p>
    <w:p w14:paraId="4B477391" w14:textId="77777777" w:rsidR="00B15F7D" w:rsidRPr="00990FB6" w:rsidRDefault="00B15F7D" w:rsidP="00B15F7D">
      <w:pPr>
        <w:ind w:left="851" w:right="851" w:firstLine="709"/>
        <w:contextualSpacing/>
        <w:jc w:val="both"/>
        <w:rPr>
          <w:rFonts w:eastAsiaTheme="majorEastAsia"/>
          <w:b/>
          <w:caps/>
          <w:spacing w:val="-15"/>
          <w:sz w:val="22"/>
          <w:szCs w:val="22"/>
        </w:rPr>
      </w:pPr>
    </w:p>
    <w:p w14:paraId="0F29621D" w14:textId="77777777" w:rsidR="00B15F7D" w:rsidRPr="00990FB6" w:rsidRDefault="00B15F7D" w:rsidP="00254CD4">
      <w:pPr>
        <w:numPr>
          <w:ilvl w:val="1"/>
          <w:numId w:val="207"/>
        </w:numPr>
        <w:suppressAutoHyphens w:val="0"/>
        <w:ind w:left="851" w:right="851" w:firstLine="709"/>
        <w:jc w:val="both"/>
        <w:rPr>
          <w:rFonts w:eastAsiaTheme="majorEastAsia"/>
          <w:b/>
          <w:caps/>
          <w:spacing w:val="-15"/>
          <w:sz w:val="22"/>
          <w:szCs w:val="22"/>
        </w:rPr>
      </w:pPr>
      <w:r w:rsidRPr="00990FB6">
        <w:rPr>
          <w:rFonts w:eastAsia="Calibri"/>
          <w:caps/>
          <w:sz w:val="22"/>
          <w:szCs w:val="22"/>
        </w:rPr>
        <w:t>Aprobar la propuesta de incorporar los siguientes rubros a nivel del presupuesto para la implementación de la Ley 9458 de Bienestar Animal, para remitirlo en forma separada del presupuesto ordinario institucional al Ministerio de Hacienda para el 2024:</w:t>
      </w:r>
    </w:p>
    <w:p w14:paraId="41A59D3F" w14:textId="77777777" w:rsidR="00B15F7D" w:rsidRPr="00990FB6" w:rsidRDefault="00B15F7D" w:rsidP="00B15F7D">
      <w:pPr>
        <w:ind w:left="851" w:right="851" w:firstLine="709"/>
        <w:jc w:val="both"/>
        <w:rPr>
          <w:rFonts w:eastAsia="Calibri"/>
          <w:sz w:val="22"/>
          <w:szCs w:val="22"/>
        </w:rPr>
      </w:pPr>
    </w:p>
    <w:p w14:paraId="098E41E5" w14:textId="77777777" w:rsidR="00B15F7D" w:rsidRPr="00990FB6" w:rsidRDefault="00B15F7D" w:rsidP="00254CD4">
      <w:pPr>
        <w:numPr>
          <w:ilvl w:val="0"/>
          <w:numId w:val="210"/>
        </w:numPr>
        <w:suppressAutoHyphens w:val="0"/>
        <w:ind w:left="851" w:right="851" w:firstLine="709"/>
        <w:contextualSpacing/>
        <w:jc w:val="both"/>
        <w:rPr>
          <w:rFonts w:eastAsia="Calibri"/>
          <w:sz w:val="22"/>
          <w:szCs w:val="22"/>
        </w:rPr>
      </w:pPr>
      <w:r w:rsidRPr="00990FB6">
        <w:rPr>
          <w:rFonts w:eastAsia="Calibri"/>
          <w:sz w:val="22"/>
          <w:szCs w:val="22"/>
        </w:rPr>
        <w:t xml:space="preserve">Aprobar la incorporación a nivel de recurso humano de un total de 20 plazas para el Organismo de Investigación Judicial, con un costo de </w:t>
      </w:r>
      <w:r w:rsidRPr="00990FB6">
        <w:rPr>
          <w:rFonts w:eastAsia="Calibri"/>
          <w:b/>
          <w:bCs/>
          <w:sz w:val="22"/>
          <w:szCs w:val="22"/>
        </w:rPr>
        <w:t>₡510 049 000,00</w:t>
      </w:r>
      <w:r w:rsidRPr="00990FB6">
        <w:rPr>
          <w:rFonts w:eastAsia="Calibri"/>
          <w:sz w:val="22"/>
          <w:szCs w:val="22"/>
        </w:rPr>
        <w:t xml:space="preserve"> para la implementación en 2024 de la Ley 9458 en 2024 así:</w:t>
      </w:r>
    </w:p>
    <w:p w14:paraId="3182B706" w14:textId="77777777" w:rsidR="00B15F7D" w:rsidRPr="00990FB6" w:rsidRDefault="00B15F7D" w:rsidP="00B15F7D">
      <w:pPr>
        <w:ind w:left="851" w:right="851" w:firstLine="709"/>
        <w:jc w:val="both"/>
        <w:rPr>
          <w:rFonts w:eastAsia="Calibri"/>
          <w:sz w:val="22"/>
          <w:szCs w:val="22"/>
        </w:rPr>
      </w:pPr>
    </w:p>
    <w:tbl>
      <w:tblPr>
        <w:tblW w:w="5000" w:type="pct"/>
        <w:jc w:val="center"/>
        <w:tblCellMar>
          <w:left w:w="70" w:type="dxa"/>
          <w:right w:w="70" w:type="dxa"/>
        </w:tblCellMar>
        <w:tblLook w:val="04A0" w:firstRow="1" w:lastRow="0" w:firstColumn="1" w:lastColumn="0" w:noHBand="0" w:noVBand="1"/>
      </w:tblPr>
      <w:tblGrid>
        <w:gridCol w:w="1499"/>
        <w:gridCol w:w="602"/>
        <w:gridCol w:w="1464"/>
        <w:gridCol w:w="1099"/>
        <w:gridCol w:w="1621"/>
        <w:gridCol w:w="869"/>
        <w:gridCol w:w="741"/>
        <w:gridCol w:w="1500"/>
      </w:tblGrid>
      <w:tr w:rsidR="00B15F7D" w:rsidRPr="00990FB6" w14:paraId="125CD0D9" w14:textId="77777777" w:rsidTr="000A0C22">
        <w:trPr>
          <w:trHeight w:val="930"/>
          <w:tblHeader/>
          <w:jc w:val="center"/>
        </w:trPr>
        <w:tc>
          <w:tcPr>
            <w:tcW w:w="712" w:type="pct"/>
            <w:tcBorders>
              <w:top w:val="single" w:sz="4" w:space="0" w:color="auto"/>
              <w:left w:val="single" w:sz="4" w:space="0" w:color="auto"/>
              <w:bottom w:val="single" w:sz="4" w:space="0" w:color="auto"/>
              <w:right w:val="single" w:sz="4" w:space="0" w:color="auto"/>
            </w:tcBorders>
            <w:shd w:val="clear" w:color="000000" w:fill="0070C0"/>
            <w:vAlign w:val="center"/>
            <w:hideMark/>
          </w:tcPr>
          <w:p w14:paraId="7EB429EE" w14:textId="77777777" w:rsidR="00B15F7D" w:rsidRPr="00990FB6" w:rsidRDefault="00B15F7D" w:rsidP="00B15F7D">
            <w:pPr>
              <w:jc w:val="center"/>
              <w:rPr>
                <w:b/>
                <w:bCs/>
                <w:sz w:val="22"/>
                <w:szCs w:val="22"/>
                <w:lang w:eastAsia="es-CR"/>
              </w:rPr>
            </w:pPr>
            <w:r w:rsidRPr="00990FB6">
              <w:rPr>
                <w:b/>
                <w:bCs/>
                <w:sz w:val="22"/>
                <w:szCs w:val="22"/>
                <w:lang w:eastAsia="es-CR"/>
              </w:rPr>
              <w:t>Despacho</w:t>
            </w:r>
          </w:p>
        </w:tc>
        <w:tc>
          <w:tcPr>
            <w:tcW w:w="249" w:type="pct"/>
            <w:tcBorders>
              <w:top w:val="single" w:sz="4" w:space="0" w:color="auto"/>
              <w:left w:val="nil"/>
              <w:bottom w:val="single" w:sz="4" w:space="0" w:color="auto"/>
              <w:right w:val="single" w:sz="4" w:space="0" w:color="auto"/>
            </w:tcBorders>
            <w:shd w:val="clear" w:color="000000" w:fill="0070C0"/>
            <w:vAlign w:val="center"/>
            <w:hideMark/>
          </w:tcPr>
          <w:p w14:paraId="60B99DF9" w14:textId="77777777" w:rsidR="00B15F7D" w:rsidRPr="00990FB6" w:rsidRDefault="00B15F7D" w:rsidP="00B15F7D">
            <w:pPr>
              <w:jc w:val="center"/>
              <w:rPr>
                <w:b/>
                <w:bCs/>
                <w:sz w:val="22"/>
                <w:szCs w:val="22"/>
                <w:lang w:eastAsia="es-CR"/>
              </w:rPr>
            </w:pPr>
            <w:proofErr w:type="spellStart"/>
            <w:r w:rsidRPr="00990FB6">
              <w:rPr>
                <w:b/>
                <w:bCs/>
                <w:sz w:val="22"/>
                <w:szCs w:val="22"/>
                <w:lang w:eastAsia="es-CR"/>
              </w:rPr>
              <w:t>Cant</w:t>
            </w:r>
            <w:proofErr w:type="spellEnd"/>
          </w:p>
        </w:tc>
        <w:tc>
          <w:tcPr>
            <w:tcW w:w="652" w:type="pct"/>
            <w:tcBorders>
              <w:top w:val="single" w:sz="4" w:space="0" w:color="auto"/>
              <w:left w:val="nil"/>
              <w:bottom w:val="single" w:sz="4" w:space="0" w:color="auto"/>
              <w:right w:val="single" w:sz="4" w:space="0" w:color="auto"/>
            </w:tcBorders>
            <w:shd w:val="clear" w:color="000000" w:fill="0070C0"/>
            <w:vAlign w:val="center"/>
            <w:hideMark/>
          </w:tcPr>
          <w:p w14:paraId="4BEE45E1" w14:textId="77777777" w:rsidR="00B15F7D" w:rsidRPr="00990FB6" w:rsidRDefault="00B15F7D" w:rsidP="00B15F7D">
            <w:pPr>
              <w:jc w:val="center"/>
              <w:rPr>
                <w:b/>
                <w:bCs/>
                <w:sz w:val="22"/>
                <w:szCs w:val="22"/>
                <w:lang w:eastAsia="es-CR"/>
              </w:rPr>
            </w:pPr>
            <w:r w:rsidRPr="00990FB6">
              <w:rPr>
                <w:b/>
                <w:bCs/>
                <w:sz w:val="22"/>
                <w:szCs w:val="22"/>
                <w:lang w:eastAsia="es-CR"/>
              </w:rPr>
              <w:t>Tipo de plaza</w:t>
            </w:r>
          </w:p>
        </w:tc>
        <w:tc>
          <w:tcPr>
            <w:tcW w:w="521" w:type="pct"/>
            <w:tcBorders>
              <w:top w:val="single" w:sz="4" w:space="0" w:color="auto"/>
              <w:left w:val="nil"/>
              <w:bottom w:val="single" w:sz="4" w:space="0" w:color="auto"/>
              <w:right w:val="single" w:sz="4" w:space="0" w:color="auto"/>
            </w:tcBorders>
            <w:shd w:val="clear" w:color="000000" w:fill="0070C0"/>
            <w:vAlign w:val="center"/>
            <w:hideMark/>
          </w:tcPr>
          <w:p w14:paraId="0EFB9C36" w14:textId="77777777" w:rsidR="00B15F7D" w:rsidRPr="00990FB6" w:rsidRDefault="00B15F7D" w:rsidP="00B15F7D">
            <w:pPr>
              <w:jc w:val="center"/>
              <w:rPr>
                <w:b/>
                <w:bCs/>
                <w:sz w:val="22"/>
                <w:szCs w:val="22"/>
                <w:lang w:eastAsia="es-CR"/>
              </w:rPr>
            </w:pPr>
            <w:r w:rsidRPr="00990FB6">
              <w:rPr>
                <w:b/>
                <w:bCs/>
                <w:sz w:val="22"/>
                <w:szCs w:val="22"/>
                <w:lang w:eastAsia="es-CR"/>
              </w:rPr>
              <w:t>Condición actual</w:t>
            </w:r>
          </w:p>
        </w:tc>
        <w:tc>
          <w:tcPr>
            <w:tcW w:w="692" w:type="pct"/>
            <w:tcBorders>
              <w:top w:val="single" w:sz="4" w:space="0" w:color="auto"/>
              <w:left w:val="nil"/>
              <w:bottom w:val="single" w:sz="4" w:space="0" w:color="auto"/>
              <w:right w:val="single" w:sz="4" w:space="0" w:color="auto"/>
            </w:tcBorders>
            <w:shd w:val="clear" w:color="000000" w:fill="0070C0"/>
            <w:vAlign w:val="center"/>
            <w:hideMark/>
          </w:tcPr>
          <w:p w14:paraId="65A4846E" w14:textId="77777777" w:rsidR="00B15F7D" w:rsidRPr="00990FB6" w:rsidRDefault="00B15F7D" w:rsidP="00B15F7D">
            <w:pPr>
              <w:jc w:val="center"/>
              <w:rPr>
                <w:b/>
                <w:bCs/>
                <w:sz w:val="22"/>
                <w:szCs w:val="22"/>
                <w:lang w:eastAsia="es-CR"/>
              </w:rPr>
            </w:pPr>
            <w:r w:rsidRPr="00990FB6">
              <w:rPr>
                <w:b/>
                <w:bCs/>
                <w:sz w:val="22"/>
                <w:szCs w:val="22"/>
                <w:lang w:eastAsia="es-CR"/>
              </w:rPr>
              <w:t>Recomendación</w:t>
            </w:r>
          </w:p>
        </w:tc>
        <w:tc>
          <w:tcPr>
            <w:tcW w:w="496" w:type="pct"/>
            <w:tcBorders>
              <w:top w:val="single" w:sz="4" w:space="0" w:color="auto"/>
              <w:left w:val="nil"/>
              <w:bottom w:val="single" w:sz="4" w:space="0" w:color="auto"/>
              <w:right w:val="single" w:sz="4" w:space="0" w:color="auto"/>
            </w:tcBorders>
            <w:shd w:val="clear" w:color="000000" w:fill="0070C0"/>
            <w:vAlign w:val="center"/>
            <w:hideMark/>
          </w:tcPr>
          <w:p w14:paraId="73794E5E" w14:textId="77777777" w:rsidR="00B15F7D" w:rsidRPr="00990FB6" w:rsidRDefault="00B15F7D" w:rsidP="00B15F7D">
            <w:pPr>
              <w:jc w:val="center"/>
              <w:rPr>
                <w:b/>
                <w:bCs/>
                <w:sz w:val="22"/>
                <w:szCs w:val="22"/>
                <w:lang w:eastAsia="es-CR"/>
              </w:rPr>
            </w:pPr>
            <w:r w:rsidRPr="00990FB6">
              <w:rPr>
                <w:b/>
                <w:bCs/>
                <w:sz w:val="22"/>
                <w:szCs w:val="22"/>
                <w:lang w:eastAsia="es-CR"/>
              </w:rPr>
              <w:t>Periodo</w:t>
            </w:r>
          </w:p>
        </w:tc>
        <w:tc>
          <w:tcPr>
            <w:tcW w:w="736" w:type="pct"/>
            <w:tcBorders>
              <w:top w:val="single" w:sz="4" w:space="0" w:color="auto"/>
              <w:left w:val="nil"/>
              <w:bottom w:val="single" w:sz="4" w:space="0" w:color="auto"/>
              <w:right w:val="single" w:sz="4" w:space="0" w:color="auto"/>
            </w:tcBorders>
            <w:shd w:val="clear" w:color="000000" w:fill="0070C0"/>
            <w:vAlign w:val="center"/>
            <w:hideMark/>
          </w:tcPr>
          <w:p w14:paraId="0FC06742" w14:textId="77777777" w:rsidR="00B15F7D" w:rsidRPr="00990FB6" w:rsidRDefault="00B15F7D" w:rsidP="00B15F7D">
            <w:pPr>
              <w:jc w:val="center"/>
              <w:rPr>
                <w:b/>
                <w:bCs/>
                <w:sz w:val="22"/>
                <w:szCs w:val="22"/>
                <w:lang w:eastAsia="es-CR"/>
              </w:rPr>
            </w:pPr>
            <w:r w:rsidRPr="00990FB6">
              <w:rPr>
                <w:b/>
                <w:bCs/>
                <w:sz w:val="22"/>
                <w:szCs w:val="22"/>
                <w:lang w:eastAsia="es-CR"/>
              </w:rPr>
              <w:t>Costo total para 2024</w:t>
            </w:r>
          </w:p>
        </w:tc>
        <w:tc>
          <w:tcPr>
            <w:tcW w:w="943" w:type="pct"/>
            <w:tcBorders>
              <w:top w:val="single" w:sz="4" w:space="0" w:color="auto"/>
              <w:left w:val="nil"/>
              <w:bottom w:val="single" w:sz="4" w:space="0" w:color="auto"/>
              <w:right w:val="single" w:sz="4" w:space="0" w:color="auto"/>
            </w:tcBorders>
            <w:shd w:val="clear" w:color="000000" w:fill="0070C0"/>
            <w:vAlign w:val="center"/>
            <w:hideMark/>
          </w:tcPr>
          <w:p w14:paraId="6346133C" w14:textId="77777777" w:rsidR="00B15F7D" w:rsidRPr="00990FB6" w:rsidRDefault="00B15F7D" w:rsidP="00B15F7D">
            <w:pPr>
              <w:jc w:val="center"/>
              <w:rPr>
                <w:b/>
                <w:bCs/>
                <w:sz w:val="22"/>
                <w:szCs w:val="22"/>
                <w:lang w:eastAsia="es-CR"/>
              </w:rPr>
            </w:pPr>
            <w:r w:rsidRPr="00990FB6">
              <w:rPr>
                <w:b/>
                <w:bCs/>
                <w:sz w:val="22"/>
                <w:szCs w:val="22"/>
                <w:lang w:eastAsia="es-CR"/>
              </w:rPr>
              <w:t>Observaciones</w:t>
            </w:r>
          </w:p>
        </w:tc>
      </w:tr>
      <w:tr w:rsidR="00B15F7D" w:rsidRPr="00990FB6" w14:paraId="367C49CB" w14:textId="77777777" w:rsidTr="000A0C22">
        <w:trPr>
          <w:trHeight w:val="917"/>
          <w:jc w:val="center"/>
        </w:trPr>
        <w:tc>
          <w:tcPr>
            <w:tcW w:w="712" w:type="pct"/>
            <w:vMerge w:val="restart"/>
            <w:tcBorders>
              <w:top w:val="nil"/>
              <w:left w:val="single" w:sz="4" w:space="0" w:color="auto"/>
              <w:bottom w:val="single" w:sz="4" w:space="0" w:color="000000"/>
              <w:right w:val="single" w:sz="4" w:space="0" w:color="auto"/>
            </w:tcBorders>
            <w:shd w:val="clear" w:color="auto" w:fill="auto"/>
            <w:vAlign w:val="center"/>
            <w:hideMark/>
          </w:tcPr>
          <w:p w14:paraId="0DC4C577" w14:textId="77777777" w:rsidR="00B15F7D" w:rsidRPr="00990FB6" w:rsidRDefault="00B15F7D" w:rsidP="00B15F7D">
            <w:pPr>
              <w:jc w:val="center"/>
              <w:rPr>
                <w:sz w:val="22"/>
                <w:szCs w:val="22"/>
                <w:lang w:eastAsia="es-CR"/>
              </w:rPr>
            </w:pPr>
            <w:r w:rsidRPr="00990FB6">
              <w:rPr>
                <w:sz w:val="22"/>
                <w:szCs w:val="22"/>
                <w:lang w:eastAsia="es-CR"/>
              </w:rPr>
              <w:t xml:space="preserve">OIJ-Sección de Delitos Varios del Departamento de Investigaciones Criminales </w:t>
            </w:r>
          </w:p>
        </w:tc>
        <w:tc>
          <w:tcPr>
            <w:tcW w:w="249" w:type="pct"/>
            <w:tcBorders>
              <w:top w:val="nil"/>
              <w:left w:val="nil"/>
              <w:bottom w:val="single" w:sz="4" w:space="0" w:color="auto"/>
              <w:right w:val="single" w:sz="4" w:space="0" w:color="auto"/>
            </w:tcBorders>
            <w:shd w:val="clear" w:color="auto" w:fill="auto"/>
            <w:vAlign w:val="center"/>
            <w:hideMark/>
          </w:tcPr>
          <w:p w14:paraId="50D81549" w14:textId="77777777" w:rsidR="00B15F7D" w:rsidRPr="00990FB6" w:rsidRDefault="00B15F7D" w:rsidP="00B15F7D">
            <w:pPr>
              <w:jc w:val="center"/>
              <w:rPr>
                <w:sz w:val="22"/>
                <w:szCs w:val="22"/>
                <w:lang w:eastAsia="es-CR"/>
              </w:rPr>
            </w:pPr>
            <w:r w:rsidRPr="00990FB6">
              <w:rPr>
                <w:sz w:val="22"/>
                <w:szCs w:val="22"/>
                <w:lang w:eastAsia="es-CR"/>
              </w:rPr>
              <w:t>2</w:t>
            </w:r>
          </w:p>
        </w:tc>
        <w:tc>
          <w:tcPr>
            <w:tcW w:w="652" w:type="pct"/>
            <w:tcBorders>
              <w:top w:val="nil"/>
              <w:left w:val="nil"/>
              <w:bottom w:val="single" w:sz="4" w:space="0" w:color="auto"/>
              <w:right w:val="single" w:sz="4" w:space="0" w:color="auto"/>
            </w:tcBorders>
            <w:shd w:val="clear" w:color="auto" w:fill="auto"/>
            <w:vAlign w:val="center"/>
            <w:hideMark/>
          </w:tcPr>
          <w:p w14:paraId="0CB56E0F" w14:textId="77777777" w:rsidR="00B15F7D" w:rsidRPr="00990FB6" w:rsidRDefault="00B15F7D" w:rsidP="00B15F7D">
            <w:pPr>
              <w:jc w:val="center"/>
              <w:rPr>
                <w:sz w:val="22"/>
                <w:szCs w:val="22"/>
                <w:lang w:eastAsia="es-CR"/>
              </w:rPr>
            </w:pPr>
            <w:r w:rsidRPr="00990FB6">
              <w:rPr>
                <w:sz w:val="22"/>
                <w:szCs w:val="22"/>
                <w:lang w:eastAsia="es-CR"/>
              </w:rPr>
              <w:t>Investigador 1</w:t>
            </w:r>
          </w:p>
        </w:tc>
        <w:tc>
          <w:tcPr>
            <w:tcW w:w="521" w:type="pct"/>
            <w:tcBorders>
              <w:top w:val="nil"/>
              <w:left w:val="nil"/>
              <w:bottom w:val="single" w:sz="4" w:space="0" w:color="auto"/>
              <w:right w:val="single" w:sz="4" w:space="0" w:color="auto"/>
            </w:tcBorders>
            <w:shd w:val="clear" w:color="auto" w:fill="auto"/>
            <w:vAlign w:val="center"/>
            <w:hideMark/>
          </w:tcPr>
          <w:p w14:paraId="274BF571"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2813A82D" w14:textId="77777777" w:rsidR="00B15F7D" w:rsidRPr="00990FB6" w:rsidRDefault="00B15F7D" w:rsidP="00B15F7D">
            <w:pPr>
              <w:jc w:val="center"/>
              <w:rPr>
                <w:sz w:val="22"/>
                <w:szCs w:val="22"/>
                <w:lang w:eastAsia="es-CR"/>
              </w:rPr>
            </w:pPr>
            <w:r w:rsidRPr="00990FB6">
              <w:rPr>
                <w:sz w:val="22"/>
                <w:szCs w:val="22"/>
                <w:lang w:eastAsia="es-CR"/>
              </w:rPr>
              <w:t>Extraordinario</w:t>
            </w:r>
          </w:p>
        </w:tc>
        <w:tc>
          <w:tcPr>
            <w:tcW w:w="496" w:type="pct"/>
            <w:tcBorders>
              <w:top w:val="nil"/>
              <w:left w:val="nil"/>
              <w:bottom w:val="single" w:sz="4" w:space="0" w:color="auto"/>
              <w:right w:val="single" w:sz="4" w:space="0" w:color="auto"/>
            </w:tcBorders>
            <w:shd w:val="clear" w:color="auto" w:fill="auto"/>
            <w:vAlign w:val="center"/>
            <w:hideMark/>
          </w:tcPr>
          <w:p w14:paraId="15277BB3"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26C14218" w14:textId="77777777" w:rsidR="00B15F7D" w:rsidRPr="00990FB6" w:rsidRDefault="00B15F7D" w:rsidP="00B15F7D">
            <w:pPr>
              <w:jc w:val="center"/>
              <w:rPr>
                <w:sz w:val="22"/>
                <w:szCs w:val="22"/>
                <w:lang w:eastAsia="es-CR"/>
              </w:rPr>
            </w:pPr>
            <w:r w:rsidRPr="00990FB6">
              <w:rPr>
                <w:sz w:val="22"/>
                <w:szCs w:val="22"/>
                <w:lang w:eastAsia="es-CR"/>
              </w:rPr>
              <w:t>₡43 292 000,00</w:t>
            </w:r>
          </w:p>
        </w:tc>
        <w:tc>
          <w:tcPr>
            <w:tcW w:w="943" w:type="pct"/>
            <w:tcBorders>
              <w:top w:val="nil"/>
              <w:left w:val="nil"/>
              <w:bottom w:val="single" w:sz="4" w:space="0" w:color="auto"/>
              <w:right w:val="single" w:sz="4" w:space="0" w:color="auto"/>
            </w:tcBorders>
            <w:shd w:val="clear" w:color="auto" w:fill="auto"/>
            <w:vAlign w:val="center"/>
            <w:hideMark/>
          </w:tcPr>
          <w:p w14:paraId="5F1151CF" w14:textId="77777777" w:rsidR="00B15F7D" w:rsidRPr="00990FB6" w:rsidRDefault="00B15F7D" w:rsidP="00B15F7D">
            <w:pPr>
              <w:jc w:val="both"/>
              <w:rPr>
                <w:sz w:val="22"/>
                <w:szCs w:val="22"/>
                <w:lang w:eastAsia="es-CR"/>
              </w:rPr>
            </w:pPr>
            <w:r w:rsidRPr="00990FB6">
              <w:rPr>
                <w:sz w:val="22"/>
                <w:szCs w:val="22"/>
                <w:lang w:eastAsia="es-CR"/>
              </w:rPr>
              <w:t> </w:t>
            </w:r>
          </w:p>
        </w:tc>
      </w:tr>
      <w:tr w:rsidR="00B15F7D" w:rsidRPr="00990FB6" w14:paraId="68216F4C" w14:textId="77777777" w:rsidTr="000A0C22">
        <w:trPr>
          <w:trHeight w:val="540"/>
          <w:jc w:val="center"/>
        </w:trPr>
        <w:tc>
          <w:tcPr>
            <w:tcW w:w="712" w:type="pct"/>
            <w:vMerge/>
            <w:tcBorders>
              <w:top w:val="nil"/>
              <w:left w:val="single" w:sz="4" w:space="0" w:color="auto"/>
              <w:bottom w:val="single" w:sz="4" w:space="0" w:color="000000"/>
              <w:right w:val="single" w:sz="4" w:space="0" w:color="auto"/>
            </w:tcBorders>
            <w:vAlign w:val="center"/>
            <w:hideMark/>
          </w:tcPr>
          <w:p w14:paraId="5927B12F" w14:textId="77777777" w:rsidR="00B15F7D" w:rsidRPr="00990FB6" w:rsidRDefault="00B15F7D" w:rsidP="00B15F7D">
            <w:pPr>
              <w:rPr>
                <w:sz w:val="22"/>
                <w:szCs w:val="22"/>
                <w:lang w:eastAsia="es-CR"/>
              </w:rPr>
            </w:pPr>
          </w:p>
        </w:tc>
        <w:tc>
          <w:tcPr>
            <w:tcW w:w="249" w:type="pct"/>
            <w:tcBorders>
              <w:top w:val="nil"/>
              <w:left w:val="nil"/>
              <w:bottom w:val="single" w:sz="4" w:space="0" w:color="auto"/>
              <w:right w:val="single" w:sz="4" w:space="0" w:color="auto"/>
            </w:tcBorders>
            <w:shd w:val="clear" w:color="auto" w:fill="auto"/>
            <w:vAlign w:val="center"/>
            <w:hideMark/>
          </w:tcPr>
          <w:p w14:paraId="62C53A01" w14:textId="77777777" w:rsidR="00B15F7D" w:rsidRPr="00990FB6" w:rsidRDefault="00B15F7D" w:rsidP="00B15F7D">
            <w:pPr>
              <w:jc w:val="center"/>
              <w:rPr>
                <w:sz w:val="22"/>
                <w:szCs w:val="22"/>
                <w:lang w:eastAsia="es-CR"/>
              </w:rPr>
            </w:pPr>
            <w:r w:rsidRPr="00990FB6">
              <w:rPr>
                <w:sz w:val="22"/>
                <w:szCs w:val="22"/>
                <w:lang w:eastAsia="es-CR"/>
              </w:rPr>
              <w:t>1</w:t>
            </w:r>
          </w:p>
        </w:tc>
        <w:tc>
          <w:tcPr>
            <w:tcW w:w="652" w:type="pct"/>
            <w:tcBorders>
              <w:top w:val="nil"/>
              <w:left w:val="nil"/>
              <w:bottom w:val="single" w:sz="4" w:space="0" w:color="auto"/>
              <w:right w:val="single" w:sz="4" w:space="0" w:color="auto"/>
            </w:tcBorders>
            <w:shd w:val="clear" w:color="auto" w:fill="auto"/>
            <w:vAlign w:val="center"/>
            <w:hideMark/>
          </w:tcPr>
          <w:p w14:paraId="434F21B6" w14:textId="77777777" w:rsidR="00B15F7D" w:rsidRPr="00990FB6" w:rsidRDefault="00B15F7D" w:rsidP="00B15F7D">
            <w:pPr>
              <w:jc w:val="center"/>
              <w:rPr>
                <w:sz w:val="22"/>
                <w:szCs w:val="22"/>
                <w:lang w:eastAsia="es-CR"/>
              </w:rPr>
            </w:pPr>
            <w:r w:rsidRPr="00990FB6">
              <w:rPr>
                <w:sz w:val="22"/>
                <w:szCs w:val="22"/>
                <w:lang w:eastAsia="es-CR"/>
              </w:rPr>
              <w:t>Jefe Administrativo 1</w:t>
            </w:r>
          </w:p>
        </w:tc>
        <w:tc>
          <w:tcPr>
            <w:tcW w:w="521" w:type="pct"/>
            <w:tcBorders>
              <w:top w:val="nil"/>
              <w:left w:val="nil"/>
              <w:bottom w:val="single" w:sz="4" w:space="0" w:color="auto"/>
              <w:right w:val="single" w:sz="4" w:space="0" w:color="auto"/>
            </w:tcBorders>
            <w:shd w:val="clear" w:color="auto" w:fill="auto"/>
            <w:vAlign w:val="center"/>
            <w:hideMark/>
          </w:tcPr>
          <w:p w14:paraId="4DCD2BCB"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5315DB12" w14:textId="77777777" w:rsidR="00B15F7D" w:rsidRPr="00990FB6" w:rsidRDefault="00B15F7D" w:rsidP="00B15F7D">
            <w:pPr>
              <w:jc w:val="center"/>
              <w:rPr>
                <w:sz w:val="22"/>
                <w:szCs w:val="22"/>
                <w:lang w:eastAsia="es-CR"/>
              </w:rPr>
            </w:pPr>
            <w:r w:rsidRPr="00990FB6">
              <w:rPr>
                <w:sz w:val="22"/>
                <w:szCs w:val="22"/>
                <w:lang w:eastAsia="es-CR"/>
              </w:rPr>
              <w:t>Extraordinario</w:t>
            </w:r>
          </w:p>
        </w:tc>
        <w:tc>
          <w:tcPr>
            <w:tcW w:w="496" w:type="pct"/>
            <w:tcBorders>
              <w:top w:val="nil"/>
              <w:left w:val="nil"/>
              <w:bottom w:val="single" w:sz="4" w:space="0" w:color="auto"/>
              <w:right w:val="single" w:sz="4" w:space="0" w:color="auto"/>
            </w:tcBorders>
            <w:shd w:val="clear" w:color="auto" w:fill="auto"/>
            <w:vAlign w:val="center"/>
            <w:hideMark/>
          </w:tcPr>
          <w:p w14:paraId="08821098"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00C33C8A" w14:textId="77777777" w:rsidR="00B15F7D" w:rsidRPr="00990FB6" w:rsidRDefault="00B15F7D" w:rsidP="00B15F7D">
            <w:pPr>
              <w:jc w:val="center"/>
              <w:rPr>
                <w:sz w:val="22"/>
                <w:szCs w:val="22"/>
                <w:lang w:eastAsia="es-CR"/>
              </w:rPr>
            </w:pPr>
            <w:r w:rsidRPr="00990FB6">
              <w:rPr>
                <w:sz w:val="22"/>
                <w:szCs w:val="22"/>
                <w:lang w:eastAsia="es-CR"/>
              </w:rPr>
              <w:t>₡20 740 000,00</w:t>
            </w:r>
          </w:p>
        </w:tc>
        <w:tc>
          <w:tcPr>
            <w:tcW w:w="943" w:type="pct"/>
            <w:tcBorders>
              <w:top w:val="nil"/>
              <w:left w:val="nil"/>
              <w:bottom w:val="single" w:sz="4" w:space="0" w:color="auto"/>
              <w:right w:val="single" w:sz="4" w:space="0" w:color="auto"/>
            </w:tcBorders>
            <w:shd w:val="clear" w:color="auto" w:fill="auto"/>
            <w:vAlign w:val="center"/>
            <w:hideMark/>
          </w:tcPr>
          <w:p w14:paraId="5CF618C7" w14:textId="77777777" w:rsidR="00B15F7D" w:rsidRPr="00990FB6" w:rsidRDefault="00B15F7D" w:rsidP="00B15F7D">
            <w:pPr>
              <w:jc w:val="both"/>
              <w:rPr>
                <w:sz w:val="22"/>
                <w:szCs w:val="22"/>
                <w:lang w:eastAsia="es-CR"/>
              </w:rPr>
            </w:pPr>
            <w:r w:rsidRPr="00990FB6">
              <w:rPr>
                <w:sz w:val="22"/>
                <w:szCs w:val="22"/>
                <w:lang w:eastAsia="es-CR"/>
              </w:rPr>
              <w:t> </w:t>
            </w:r>
          </w:p>
        </w:tc>
      </w:tr>
      <w:tr w:rsidR="00B15F7D" w:rsidRPr="00990FB6" w14:paraId="414F82FF" w14:textId="77777777" w:rsidTr="000A0C22">
        <w:trPr>
          <w:trHeight w:val="1395"/>
          <w:jc w:val="center"/>
        </w:trPr>
        <w:tc>
          <w:tcPr>
            <w:tcW w:w="712" w:type="pct"/>
            <w:vMerge w:val="restart"/>
            <w:tcBorders>
              <w:top w:val="nil"/>
              <w:left w:val="single" w:sz="4" w:space="0" w:color="auto"/>
              <w:bottom w:val="single" w:sz="4" w:space="0" w:color="000000"/>
              <w:right w:val="single" w:sz="4" w:space="0" w:color="auto"/>
            </w:tcBorders>
            <w:shd w:val="clear" w:color="auto" w:fill="auto"/>
            <w:vAlign w:val="center"/>
            <w:hideMark/>
          </w:tcPr>
          <w:p w14:paraId="65B79637" w14:textId="77777777" w:rsidR="00B15F7D" w:rsidRPr="00990FB6" w:rsidRDefault="00B15F7D" w:rsidP="00B15F7D">
            <w:pPr>
              <w:jc w:val="center"/>
              <w:rPr>
                <w:sz w:val="22"/>
                <w:szCs w:val="22"/>
                <w:lang w:eastAsia="es-CR"/>
              </w:rPr>
            </w:pPr>
            <w:r w:rsidRPr="00990FB6">
              <w:rPr>
                <w:sz w:val="22"/>
                <w:szCs w:val="22"/>
                <w:lang w:eastAsia="es-CR"/>
              </w:rPr>
              <w:lastRenderedPageBreak/>
              <w:t xml:space="preserve">Departamento de Ciencias Forenses </w:t>
            </w:r>
          </w:p>
        </w:tc>
        <w:tc>
          <w:tcPr>
            <w:tcW w:w="249" w:type="pct"/>
            <w:tcBorders>
              <w:top w:val="nil"/>
              <w:left w:val="nil"/>
              <w:bottom w:val="single" w:sz="4" w:space="0" w:color="auto"/>
              <w:right w:val="single" w:sz="4" w:space="0" w:color="auto"/>
            </w:tcBorders>
            <w:shd w:val="clear" w:color="auto" w:fill="auto"/>
            <w:vAlign w:val="center"/>
            <w:hideMark/>
          </w:tcPr>
          <w:p w14:paraId="4F0AB37E" w14:textId="77777777" w:rsidR="00B15F7D" w:rsidRPr="00990FB6" w:rsidRDefault="00B15F7D" w:rsidP="00B15F7D">
            <w:pPr>
              <w:jc w:val="center"/>
              <w:rPr>
                <w:sz w:val="22"/>
                <w:szCs w:val="22"/>
                <w:lang w:eastAsia="es-CR"/>
              </w:rPr>
            </w:pPr>
            <w:r w:rsidRPr="00990FB6">
              <w:rPr>
                <w:sz w:val="22"/>
                <w:szCs w:val="22"/>
                <w:lang w:eastAsia="es-CR"/>
              </w:rPr>
              <w:t>2</w:t>
            </w:r>
          </w:p>
        </w:tc>
        <w:tc>
          <w:tcPr>
            <w:tcW w:w="652" w:type="pct"/>
            <w:tcBorders>
              <w:top w:val="nil"/>
              <w:left w:val="nil"/>
              <w:bottom w:val="single" w:sz="4" w:space="0" w:color="auto"/>
              <w:right w:val="single" w:sz="4" w:space="0" w:color="auto"/>
            </w:tcBorders>
            <w:shd w:val="clear" w:color="auto" w:fill="auto"/>
            <w:vAlign w:val="center"/>
            <w:hideMark/>
          </w:tcPr>
          <w:p w14:paraId="6894B7BF" w14:textId="77777777" w:rsidR="00B15F7D" w:rsidRPr="00990FB6" w:rsidRDefault="00B15F7D" w:rsidP="00B15F7D">
            <w:pPr>
              <w:jc w:val="center"/>
              <w:rPr>
                <w:sz w:val="22"/>
                <w:szCs w:val="22"/>
                <w:lang w:eastAsia="es-CR"/>
              </w:rPr>
            </w:pPr>
            <w:r w:rsidRPr="00990FB6">
              <w:rPr>
                <w:sz w:val="22"/>
                <w:szCs w:val="22"/>
                <w:lang w:eastAsia="es-CR"/>
              </w:rPr>
              <w:t>Peritos Judiciales 2B</w:t>
            </w:r>
          </w:p>
        </w:tc>
        <w:tc>
          <w:tcPr>
            <w:tcW w:w="521" w:type="pct"/>
            <w:tcBorders>
              <w:top w:val="nil"/>
              <w:left w:val="nil"/>
              <w:bottom w:val="single" w:sz="4" w:space="0" w:color="auto"/>
              <w:right w:val="single" w:sz="4" w:space="0" w:color="auto"/>
            </w:tcBorders>
            <w:shd w:val="clear" w:color="auto" w:fill="auto"/>
            <w:vAlign w:val="center"/>
            <w:hideMark/>
          </w:tcPr>
          <w:p w14:paraId="2C5A0576"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14904900" w14:textId="77777777" w:rsidR="00B15F7D" w:rsidRPr="00990FB6" w:rsidRDefault="00B15F7D" w:rsidP="00B15F7D">
            <w:pPr>
              <w:jc w:val="center"/>
              <w:rPr>
                <w:sz w:val="22"/>
                <w:szCs w:val="22"/>
                <w:lang w:eastAsia="es-CR"/>
              </w:rPr>
            </w:pPr>
            <w:r w:rsidRPr="00990FB6">
              <w:rPr>
                <w:sz w:val="22"/>
                <w:szCs w:val="22"/>
                <w:lang w:eastAsia="es-CR"/>
              </w:rPr>
              <w:t>Extraordinario</w:t>
            </w:r>
          </w:p>
        </w:tc>
        <w:tc>
          <w:tcPr>
            <w:tcW w:w="496" w:type="pct"/>
            <w:tcBorders>
              <w:top w:val="nil"/>
              <w:left w:val="nil"/>
              <w:bottom w:val="single" w:sz="4" w:space="0" w:color="auto"/>
              <w:right w:val="single" w:sz="4" w:space="0" w:color="auto"/>
            </w:tcBorders>
            <w:shd w:val="clear" w:color="auto" w:fill="auto"/>
            <w:vAlign w:val="center"/>
            <w:hideMark/>
          </w:tcPr>
          <w:p w14:paraId="7E4D4343"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751A5F5E" w14:textId="77777777" w:rsidR="00B15F7D" w:rsidRPr="00990FB6" w:rsidRDefault="00B15F7D" w:rsidP="00B15F7D">
            <w:pPr>
              <w:jc w:val="center"/>
              <w:rPr>
                <w:sz w:val="22"/>
                <w:szCs w:val="22"/>
                <w:lang w:eastAsia="es-CR"/>
              </w:rPr>
            </w:pPr>
            <w:r w:rsidRPr="00990FB6">
              <w:rPr>
                <w:sz w:val="22"/>
                <w:szCs w:val="22"/>
                <w:lang w:eastAsia="es-CR"/>
              </w:rPr>
              <w:t>₡89 056 000,00</w:t>
            </w:r>
          </w:p>
        </w:tc>
        <w:tc>
          <w:tcPr>
            <w:tcW w:w="943" w:type="pct"/>
            <w:vMerge w:val="restart"/>
            <w:tcBorders>
              <w:top w:val="nil"/>
              <w:left w:val="single" w:sz="4" w:space="0" w:color="auto"/>
              <w:bottom w:val="nil"/>
              <w:right w:val="single" w:sz="4" w:space="0" w:color="auto"/>
            </w:tcBorders>
            <w:shd w:val="clear" w:color="auto" w:fill="auto"/>
            <w:vAlign w:val="center"/>
            <w:hideMark/>
          </w:tcPr>
          <w:p w14:paraId="0FC98712" w14:textId="77777777" w:rsidR="00B15F7D" w:rsidRPr="00990FB6" w:rsidRDefault="00B15F7D" w:rsidP="00B15F7D">
            <w:pPr>
              <w:jc w:val="both"/>
              <w:rPr>
                <w:sz w:val="22"/>
                <w:szCs w:val="22"/>
                <w:lang w:eastAsia="es-CR"/>
              </w:rPr>
            </w:pPr>
            <w:r w:rsidRPr="00990FB6">
              <w:rPr>
                <w:sz w:val="22"/>
                <w:szCs w:val="22"/>
                <w:lang w:eastAsia="es-CR"/>
              </w:rPr>
              <w:t xml:space="preserve">Para el análisis de las pruebas derivadas de los delitos contra los animales. Se requiere de dos Peritos Judiciales 2B: uno para la sección de Bioquímica y otro para la sección de Toxicología. Un Perito 2 y un Técnico especializado 6 para la sección de Química Analítica y un Perito Judicial 1 para la sección de Pericias físicas, quienes se encargarán no solo de la atención y el mejoramiento en el servicio, como en capacidad de respuesta, sino en la atención de los casos que se deben atender por la Ley de Bienestar animal. </w:t>
            </w:r>
          </w:p>
        </w:tc>
      </w:tr>
      <w:tr w:rsidR="00B15F7D" w:rsidRPr="00990FB6" w14:paraId="5D3E95BA" w14:textId="77777777" w:rsidTr="000A0C22">
        <w:trPr>
          <w:trHeight w:val="1200"/>
          <w:jc w:val="center"/>
        </w:trPr>
        <w:tc>
          <w:tcPr>
            <w:tcW w:w="712" w:type="pct"/>
            <w:vMerge/>
            <w:tcBorders>
              <w:top w:val="nil"/>
              <w:left w:val="single" w:sz="4" w:space="0" w:color="auto"/>
              <w:bottom w:val="single" w:sz="4" w:space="0" w:color="000000"/>
              <w:right w:val="single" w:sz="4" w:space="0" w:color="auto"/>
            </w:tcBorders>
            <w:vAlign w:val="center"/>
            <w:hideMark/>
          </w:tcPr>
          <w:p w14:paraId="22615917" w14:textId="77777777" w:rsidR="00B15F7D" w:rsidRPr="00990FB6" w:rsidRDefault="00B15F7D" w:rsidP="00B15F7D">
            <w:pPr>
              <w:rPr>
                <w:sz w:val="22"/>
                <w:szCs w:val="22"/>
                <w:lang w:eastAsia="es-CR"/>
              </w:rPr>
            </w:pPr>
          </w:p>
        </w:tc>
        <w:tc>
          <w:tcPr>
            <w:tcW w:w="249" w:type="pct"/>
            <w:tcBorders>
              <w:top w:val="nil"/>
              <w:left w:val="nil"/>
              <w:bottom w:val="single" w:sz="4" w:space="0" w:color="auto"/>
              <w:right w:val="single" w:sz="4" w:space="0" w:color="auto"/>
            </w:tcBorders>
            <w:shd w:val="clear" w:color="auto" w:fill="auto"/>
            <w:vAlign w:val="center"/>
            <w:hideMark/>
          </w:tcPr>
          <w:p w14:paraId="0BA382C7" w14:textId="77777777" w:rsidR="00B15F7D" w:rsidRPr="00990FB6" w:rsidRDefault="00B15F7D" w:rsidP="00B15F7D">
            <w:pPr>
              <w:jc w:val="center"/>
              <w:rPr>
                <w:sz w:val="22"/>
                <w:szCs w:val="22"/>
                <w:lang w:eastAsia="es-CR"/>
              </w:rPr>
            </w:pPr>
            <w:r w:rsidRPr="00990FB6">
              <w:rPr>
                <w:sz w:val="22"/>
                <w:szCs w:val="22"/>
                <w:lang w:eastAsia="es-CR"/>
              </w:rPr>
              <w:t>1</w:t>
            </w:r>
          </w:p>
        </w:tc>
        <w:tc>
          <w:tcPr>
            <w:tcW w:w="652" w:type="pct"/>
            <w:tcBorders>
              <w:top w:val="nil"/>
              <w:left w:val="nil"/>
              <w:bottom w:val="single" w:sz="4" w:space="0" w:color="auto"/>
              <w:right w:val="single" w:sz="4" w:space="0" w:color="auto"/>
            </w:tcBorders>
            <w:shd w:val="clear" w:color="auto" w:fill="auto"/>
            <w:vAlign w:val="center"/>
            <w:hideMark/>
          </w:tcPr>
          <w:p w14:paraId="1ADCC158" w14:textId="77777777" w:rsidR="00B15F7D" w:rsidRPr="00990FB6" w:rsidRDefault="00B15F7D" w:rsidP="00B15F7D">
            <w:pPr>
              <w:jc w:val="center"/>
              <w:rPr>
                <w:sz w:val="22"/>
                <w:szCs w:val="22"/>
                <w:lang w:eastAsia="es-CR"/>
              </w:rPr>
            </w:pPr>
            <w:r w:rsidRPr="00990FB6">
              <w:rPr>
                <w:sz w:val="22"/>
                <w:szCs w:val="22"/>
                <w:lang w:eastAsia="es-CR"/>
              </w:rPr>
              <w:t>Perito 2</w:t>
            </w:r>
          </w:p>
        </w:tc>
        <w:tc>
          <w:tcPr>
            <w:tcW w:w="521" w:type="pct"/>
            <w:tcBorders>
              <w:top w:val="nil"/>
              <w:left w:val="nil"/>
              <w:bottom w:val="single" w:sz="4" w:space="0" w:color="auto"/>
              <w:right w:val="single" w:sz="4" w:space="0" w:color="auto"/>
            </w:tcBorders>
            <w:shd w:val="clear" w:color="auto" w:fill="auto"/>
            <w:vAlign w:val="center"/>
            <w:hideMark/>
          </w:tcPr>
          <w:p w14:paraId="21F21786"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5F7D3F40" w14:textId="77777777" w:rsidR="00B15F7D" w:rsidRPr="00990FB6" w:rsidRDefault="00B15F7D" w:rsidP="00B15F7D">
            <w:pPr>
              <w:jc w:val="center"/>
              <w:rPr>
                <w:sz w:val="22"/>
                <w:szCs w:val="22"/>
                <w:lang w:eastAsia="es-CR"/>
              </w:rPr>
            </w:pPr>
            <w:r w:rsidRPr="00990FB6">
              <w:rPr>
                <w:sz w:val="22"/>
                <w:szCs w:val="22"/>
                <w:lang w:eastAsia="es-CR"/>
              </w:rPr>
              <w:t>Extraordinario</w:t>
            </w:r>
          </w:p>
        </w:tc>
        <w:tc>
          <w:tcPr>
            <w:tcW w:w="496" w:type="pct"/>
            <w:tcBorders>
              <w:top w:val="nil"/>
              <w:left w:val="nil"/>
              <w:bottom w:val="single" w:sz="4" w:space="0" w:color="auto"/>
              <w:right w:val="single" w:sz="4" w:space="0" w:color="auto"/>
            </w:tcBorders>
            <w:shd w:val="clear" w:color="auto" w:fill="auto"/>
            <w:vAlign w:val="center"/>
            <w:hideMark/>
          </w:tcPr>
          <w:p w14:paraId="62F076B4"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3E06CC47" w14:textId="77777777" w:rsidR="00B15F7D" w:rsidRPr="00990FB6" w:rsidRDefault="00B15F7D" w:rsidP="00B15F7D">
            <w:pPr>
              <w:jc w:val="center"/>
              <w:rPr>
                <w:sz w:val="22"/>
                <w:szCs w:val="22"/>
                <w:lang w:eastAsia="es-CR"/>
              </w:rPr>
            </w:pPr>
            <w:r w:rsidRPr="00990FB6">
              <w:rPr>
                <w:sz w:val="22"/>
                <w:szCs w:val="22"/>
                <w:lang w:eastAsia="es-CR"/>
              </w:rPr>
              <w:t>₡37 960 000,00</w:t>
            </w:r>
          </w:p>
        </w:tc>
        <w:tc>
          <w:tcPr>
            <w:tcW w:w="943" w:type="pct"/>
            <w:vMerge/>
            <w:tcBorders>
              <w:top w:val="nil"/>
              <w:left w:val="single" w:sz="4" w:space="0" w:color="auto"/>
              <w:bottom w:val="nil"/>
              <w:right w:val="single" w:sz="4" w:space="0" w:color="auto"/>
            </w:tcBorders>
            <w:vAlign w:val="center"/>
            <w:hideMark/>
          </w:tcPr>
          <w:p w14:paraId="25D7A76C" w14:textId="77777777" w:rsidR="00B15F7D" w:rsidRPr="00990FB6" w:rsidRDefault="00B15F7D" w:rsidP="00B15F7D">
            <w:pPr>
              <w:rPr>
                <w:sz w:val="22"/>
                <w:szCs w:val="22"/>
                <w:lang w:eastAsia="es-CR"/>
              </w:rPr>
            </w:pPr>
          </w:p>
        </w:tc>
      </w:tr>
      <w:tr w:rsidR="00B15F7D" w:rsidRPr="00990FB6" w14:paraId="3BFE0D6A" w14:textId="77777777" w:rsidTr="000A0C22">
        <w:trPr>
          <w:trHeight w:val="1215"/>
          <w:jc w:val="center"/>
        </w:trPr>
        <w:tc>
          <w:tcPr>
            <w:tcW w:w="712" w:type="pct"/>
            <w:vMerge/>
            <w:tcBorders>
              <w:top w:val="nil"/>
              <w:left w:val="single" w:sz="4" w:space="0" w:color="auto"/>
              <w:bottom w:val="single" w:sz="4" w:space="0" w:color="000000"/>
              <w:right w:val="single" w:sz="4" w:space="0" w:color="auto"/>
            </w:tcBorders>
            <w:vAlign w:val="center"/>
            <w:hideMark/>
          </w:tcPr>
          <w:p w14:paraId="4502E2F4" w14:textId="77777777" w:rsidR="00B15F7D" w:rsidRPr="00990FB6" w:rsidRDefault="00B15F7D" w:rsidP="00B15F7D">
            <w:pPr>
              <w:rPr>
                <w:sz w:val="22"/>
                <w:szCs w:val="22"/>
                <w:lang w:eastAsia="es-CR"/>
              </w:rPr>
            </w:pPr>
          </w:p>
        </w:tc>
        <w:tc>
          <w:tcPr>
            <w:tcW w:w="249" w:type="pct"/>
            <w:tcBorders>
              <w:top w:val="nil"/>
              <w:left w:val="nil"/>
              <w:bottom w:val="single" w:sz="4" w:space="0" w:color="auto"/>
              <w:right w:val="single" w:sz="4" w:space="0" w:color="auto"/>
            </w:tcBorders>
            <w:shd w:val="clear" w:color="auto" w:fill="auto"/>
            <w:vAlign w:val="center"/>
            <w:hideMark/>
          </w:tcPr>
          <w:p w14:paraId="1AC97113" w14:textId="77777777" w:rsidR="00B15F7D" w:rsidRPr="00990FB6" w:rsidRDefault="00B15F7D" w:rsidP="00B15F7D">
            <w:pPr>
              <w:jc w:val="center"/>
              <w:rPr>
                <w:sz w:val="22"/>
                <w:szCs w:val="22"/>
                <w:lang w:eastAsia="es-CR"/>
              </w:rPr>
            </w:pPr>
            <w:r w:rsidRPr="00990FB6">
              <w:rPr>
                <w:sz w:val="22"/>
                <w:szCs w:val="22"/>
                <w:lang w:eastAsia="es-CR"/>
              </w:rPr>
              <w:t>1</w:t>
            </w:r>
          </w:p>
        </w:tc>
        <w:tc>
          <w:tcPr>
            <w:tcW w:w="652" w:type="pct"/>
            <w:tcBorders>
              <w:top w:val="nil"/>
              <w:left w:val="nil"/>
              <w:bottom w:val="single" w:sz="4" w:space="0" w:color="auto"/>
              <w:right w:val="single" w:sz="4" w:space="0" w:color="auto"/>
            </w:tcBorders>
            <w:shd w:val="clear" w:color="auto" w:fill="auto"/>
            <w:vAlign w:val="center"/>
            <w:hideMark/>
          </w:tcPr>
          <w:p w14:paraId="3D03B5DA" w14:textId="77777777" w:rsidR="00B15F7D" w:rsidRPr="00990FB6" w:rsidRDefault="00B15F7D" w:rsidP="00B15F7D">
            <w:pPr>
              <w:jc w:val="center"/>
              <w:rPr>
                <w:sz w:val="22"/>
                <w:szCs w:val="22"/>
                <w:lang w:eastAsia="es-CR"/>
              </w:rPr>
            </w:pPr>
            <w:r w:rsidRPr="00990FB6">
              <w:rPr>
                <w:sz w:val="22"/>
                <w:szCs w:val="22"/>
                <w:lang w:eastAsia="es-CR"/>
              </w:rPr>
              <w:t>Técnico Especializado 6</w:t>
            </w:r>
          </w:p>
        </w:tc>
        <w:tc>
          <w:tcPr>
            <w:tcW w:w="521" w:type="pct"/>
            <w:tcBorders>
              <w:top w:val="nil"/>
              <w:left w:val="nil"/>
              <w:bottom w:val="single" w:sz="4" w:space="0" w:color="auto"/>
              <w:right w:val="single" w:sz="4" w:space="0" w:color="auto"/>
            </w:tcBorders>
            <w:shd w:val="clear" w:color="auto" w:fill="auto"/>
            <w:vAlign w:val="center"/>
            <w:hideMark/>
          </w:tcPr>
          <w:p w14:paraId="52643EC4"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6AC8C57C" w14:textId="77777777" w:rsidR="00B15F7D" w:rsidRPr="00990FB6" w:rsidRDefault="00B15F7D" w:rsidP="00B15F7D">
            <w:pPr>
              <w:jc w:val="center"/>
              <w:rPr>
                <w:sz w:val="22"/>
                <w:szCs w:val="22"/>
                <w:lang w:eastAsia="es-CR"/>
              </w:rPr>
            </w:pPr>
            <w:r w:rsidRPr="00990FB6">
              <w:rPr>
                <w:sz w:val="22"/>
                <w:szCs w:val="22"/>
                <w:lang w:eastAsia="es-CR"/>
              </w:rPr>
              <w:t>Extraordinario</w:t>
            </w:r>
          </w:p>
        </w:tc>
        <w:tc>
          <w:tcPr>
            <w:tcW w:w="496" w:type="pct"/>
            <w:tcBorders>
              <w:top w:val="nil"/>
              <w:left w:val="nil"/>
              <w:bottom w:val="single" w:sz="4" w:space="0" w:color="auto"/>
              <w:right w:val="single" w:sz="4" w:space="0" w:color="auto"/>
            </w:tcBorders>
            <w:shd w:val="clear" w:color="auto" w:fill="auto"/>
            <w:vAlign w:val="center"/>
            <w:hideMark/>
          </w:tcPr>
          <w:p w14:paraId="334D0F8C"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2E5A3E1C" w14:textId="77777777" w:rsidR="00B15F7D" w:rsidRPr="00990FB6" w:rsidRDefault="00B15F7D" w:rsidP="00B15F7D">
            <w:pPr>
              <w:jc w:val="center"/>
              <w:rPr>
                <w:sz w:val="22"/>
                <w:szCs w:val="22"/>
                <w:lang w:eastAsia="es-CR"/>
              </w:rPr>
            </w:pPr>
            <w:r w:rsidRPr="00990FB6">
              <w:rPr>
                <w:sz w:val="22"/>
                <w:szCs w:val="22"/>
                <w:lang w:eastAsia="es-CR"/>
              </w:rPr>
              <w:t>₡17 429 000,00</w:t>
            </w:r>
          </w:p>
        </w:tc>
        <w:tc>
          <w:tcPr>
            <w:tcW w:w="943" w:type="pct"/>
            <w:vMerge/>
            <w:tcBorders>
              <w:top w:val="nil"/>
              <w:left w:val="single" w:sz="4" w:space="0" w:color="auto"/>
              <w:bottom w:val="nil"/>
              <w:right w:val="single" w:sz="4" w:space="0" w:color="auto"/>
            </w:tcBorders>
            <w:vAlign w:val="center"/>
            <w:hideMark/>
          </w:tcPr>
          <w:p w14:paraId="570D8040" w14:textId="77777777" w:rsidR="00B15F7D" w:rsidRPr="00990FB6" w:rsidRDefault="00B15F7D" w:rsidP="00B15F7D">
            <w:pPr>
              <w:rPr>
                <w:sz w:val="22"/>
                <w:szCs w:val="22"/>
                <w:lang w:eastAsia="es-CR"/>
              </w:rPr>
            </w:pPr>
          </w:p>
        </w:tc>
      </w:tr>
      <w:tr w:rsidR="00B15F7D" w:rsidRPr="00990FB6" w14:paraId="013387C9" w14:textId="77777777" w:rsidTr="000A0C22">
        <w:trPr>
          <w:trHeight w:val="1545"/>
          <w:jc w:val="center"/>
        </w:trPr>
        <w:tc>
          <w:tcPr>
            <w:tcW w:w="712" w:type="pct"/>
            <w:vMerge/>
            <w:tcBorders>
              <w:top w:val="nil"/>
              <w:left w:val="single" w:sz="4" w:space="0" w:color="auto"/>
              <w:bottom w:val="single" w:sz="4" w:space="0" w:color="000000"/>
              <w:right w:val="single" w:sz="4" w:space="0" w:color="auto"/>
            </w:tcBorders>
            <w:vAlign w:val="center"/>
            <w:hideMark/>
          </w:tcPr>
          <w:p w14:paraId="1C556025" w14:textId="77777777" w:rsidR="00B15F7D" w:rsidRPr="00990FB6" w:rsidRDefault="00B15F7D" w:rsidP="00B15F7D">
            <w:pPr>
              <w:rPr>
                <w:sz w:val="22"/>
                <w:szCs w:val="22"/>
                <w:lang w:eastAsia="es-CR"/>
              </w:rPr>
            </w:pPr>
          </w:p>
        </w:tc>
        <w:tc>
          <w:tcPr>
            <w:tcW w:w="249" w:type="pct"/>
            <w:tcBorders>
              <w:top w:val="nil"/>
              <w:left w:val="nil"/>
              <w:bottom w:val="single" w:sz="4" w:space="0" w:color="auto"/>
              <w:right w:val="single" w:sz="4" w:space="0" w:color="auto"/>
            </w:tcBorders>
            <w:shd w:val="clear" w:color="auto" w:fill="auto"/>
            <w:vAlign w:val="center"/>
            <w:hideMark/>
          </w:tcPr>
          <w:p w14:paraId="12562D9B" w14:textId="77777777" w:rsidR="00B15F7D" w:rsidRPr="00990FB6" w:rsidRDefault="00B15F7D" w:rsidP="00B15F7D">
            <w:pPr>
              <w:jc w:val="center"/>
              <w:rPr>
                <w:sz w:val="22"/>
                <w:szCs w:val="22"/>
                <w:lang w:eastAsia="es-CR"/>
              </w:rPr>
            </w:pPr>
            <w:r w:rsidRPr="00990FB6">
              <w:rPr>
                <w:sz w:val="22"/>
                <w:szCs w:val="22"/>
                <w:lang w:eastAsia="es-CR"/>
              </w:rPr>
              <w:t>1</w:t>
            </w:r>
          </w:p>
        </w:tc>
        <w:tc>
          <w:tcPr>
            <w:tcW w:w="652" w:type="pct"/>
            <w:tcBorders>
              <w:top w:val="nil"/>
              <w:left w:val="nil"/>
              <w:bottom w:val="single" w:sz="4" w:space="0" w:color="auto"/>
              <w:right w:val="single" w:sz="4" w:space="0" w:color="auto"/>
            </w:tcBorders>
            <w:shd w:val="clear" w:color="auto" w:fill="auto"/>
            <w:vAlign w:val="center"/>
            <w:hideMark/>
          </w:tcPr>
          <w:p w14:paraId="0F2055B3" w14:textId="77777777" w:rsidR="00B15F7D" w:rsidRPr="00990FB6" w:rsidRDefault="00B15F7D" w:rsidP="00B15F7D">
            <w:pPr>
              <w:jc w:val="center"/>
              <w:rPr>
                <w:sz w:val="22"/>
                <w:szCs w:val="22"/>
                <w:lang w:eastAsia="es-CR"/>
              </w:rPr>
            </w:pPr>
            <w:r w:rsidRPr="00990FB6">
              <w:rPr>
                <w:sz w:val="22"/>
                <w:szCs w:val="22"/>
                <w:lang w:eastAsia="es-CR"/>
              </w:rPr>
              <w:t>Perito Judicial 1</w:t>
            </w:r>
          </w:p>
        </w:tc>
        <w:tc>
          <w:tcPr>
            <w:tcW w:w="521" w:type="pct"/>
            <w:tcBorders>
              <w:top w:val="nil"/>
              <w:left w:val="nil"/>
              <w:bottom w:val="single" w:sz="4" w:space="0" w:color="auto"/>
              <w:right w:val="single" w:sz="4" w:space="0" w:color="auto"/>
            </w:tcBorders>
            <w:shd w:val="clear" w:color="auto" w:fill="auto"/>
            <w:vAlign w:val="center"/>
            <w:hideMark/>
          </w:tcPr>
          <w:p w14:paraId="668464F4"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0021D5F0" w14:textId="77777777" w:rsidR="00B15F7D" w:rsidRPr="00990FB6" w:rsidRDefault="00B15F7D" w:rsidP="00B15F7D">
            <w:pPr>
              <w:jc w:val="center"/>
              <w:rPr>
                <w:sz w:val="22"/>
                <w:szCs w:val="22"/>
                <w:lang w:eastAsia="es-CR"/>
              </w:rPr>
            </w:pPr>
            <w:r w:rsidRPr="00990FB6">
              <w:rPr>
                <w:sz w:val="22"/>
                <w:szCs w:val="22"/>
                <w:lang w:eastAsia="es-CR"/>
              </w:rPr>
              <w:t>Extraordinario</w:t>
            </w:r>
          </w:p>
        </w:tc>
        <w:tc>
          <w:tcPr>
            <w:tcW w:w="496" w:type="pct"/>
            <w:tcBorders>
              <w:top w:val="nil"/>
              <w:left w:val="nil"/>
              <w:bottom w:val="single" w:sz="4" w:space="0" w:color="auto"/>
              <w:right w:val="single" w:sz="4" w:space="0" w:color="auto"/>
            </w:tcBorders>
            <w:shd w:val="clear" w:color="auto" w:fill="auto"/>
            <w:vAlign w:val="center"/>
            <w:hideMark/>
          </w:tcPr>
          <w:p w14:paraId="2D18FDE1"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32D0623A" w14:textId="77777777" w:rsidR="00B15F7D" w:rsidRPr="00990FB6" w:rsidRDefault="00B15F7D" w:rsidP="00B15F7D">
            <w:pPr>
              <w:jc w:val="center"/>
              <w:rPr>
                <w:sz w:val="22"/>
                <w:szCs w:val="22"/>
                <w:lang w:eastAsia="es-CR"/>
              </w:rPr>
            </w:pPr>
            <w:r w:rsidRPr="00990FB6">
              <w:rPr>
                <w:sz w:val="22"/>
                <w:szCs w:val="22"/>
                <w:lang w:eastAsia="es-CR"/>
              </w:rPr>
              <w:t>₡26 671 000,00</w:t>
            </w:r>
          </w:p>
        </w:tc>
        <w:tc>
          <w:tcPr>
            <w:tcW w:w="943" w:type="pct"/>
            <w:vMerge/>
            <w:tcBorders>
              <w:top w:val="nil"/>
              <w:left w:val="single" w:sz="4" w:space="0" w:color="auto"/>
              <w:bottom w:val="nil"/>
              <w:right w:val="single" w:sz="4" w:space="0" w:color="auto"/>
            </w:tcBorders>
            <w:vAlign w:val="center"/>
            <w:hideMark/>
          </w:tcPr>
          <w:p w14:paraId="7F5529DA" w14:textId="77777777" w:rsidR="00B15F7D" w:rsidRPr="00990FB6" w:rsidRDefault="00B15F7D" w:rsidP="00B15F7D">
            <w:pPr>
              <w:rPr>
                <w:sz w:val="22"/>
                <w:szCs w:val="22"/>
                <w:lang w:eastAsia="es-CR"/>
              </w:rPr>
            </w:pPr>
          </w:p>
        </w:tc>
      </w:tr>
      <w:tr w:rsidR="00B15F7D" w:rsidRPr="00990FB6" w14:paraId="4D720F12" w14:textId="77777777" w:rsidTr="000A0C22">
        <w:trPr>
          <w:trHeight w:val="810"/>
          <w:jc w:val="center"/>
        </w:trPr>
        <w:tc>
          <w:tcPr>
            <w:tcW w:w="712" w:type="pct"/>
            <w:tcBorders>
              <w:top w:val="nil"/>
              <w:left w:val="single" w:sz="4" w:space="0" w:color="auto"/>
              <w:bottom w:val="single" w:sz="4" w:space="0" w:color="auto"/>
              <w:right w:val="single" w:sz="4" w:space="0" w:color="auto"/>
            </w:tcBorders>
            <w:shd w:val="clear" w:color="auto" w:fill="auto"/>
            <w:vAlign w:val="center"/>
            <w:hideMark/>
          </w:tcPr>
          <w:p w14:paraId="30ECD99A" w14:textId="77777777" w:rsidR="00B15F7D" w:rsidRPr="00990FB6" w:rsidRDefault="00B15F7D" w:rsidP="00B15F7D">
            <w:pPr>
              <w:rPr>
                <w:sz w:val="22"/>
                <w:szCs w:val="22"/>
                <w:lang w:eastAsia="es-CR"/>
              </w:rPr>
            </w:pPr>
            <w:r w:rsidRPr="00990FB6">
              <w:rPr>
                <w:sz w:val="22"/>
                <w:szCs w:val="22"/>
                <w:lang w:eastAsia="es-CR"/>
              </w:rPr>
              <w:lastRenderedPageBreak/>
              <w:t xml:space="preserve">Delegaciones Regionales del OIJ </w:t>
            </w:r>
          </w:p>
        </w:tc>
        <w:tc>
          <w:tcPr>
            <w:tcW w:w="249" w:type="pct"/>
            <w:tcBorders>
              <w:top w:val="nil"/>
              <w:left w:val="nil"/>
              <w:bottom w:val="single" w:sz="4" w:space="0" w:color="auto"/>
              <w:right w:val="single" w:sz="4" w:space="0" w:color="auto"/>
            </w:tcBorders>
            <w:shd w:val="clear" w:color="auto" w:fill="auto"/>
            <w:vAlign w:val="center"/>
            <w:hideMark/>
          </w:tcPr>
          <w:p w14:paraId="0964A98A" w14:textId="77777777" w:rsidR="00B15F7D" w:rsidRPr="00990FB6" w:rsidRDefault="00B15F7D" w:rsidP="00B15F7D">
            <w:pPr>
              <w:jc w:val="center"/>
              <w:rPr>
                <w:sz w:val="22"/>
                <w:szCs w:val="22"/>
                <w:lang w:eastAsia="es-CR"/>
              </w:rPr>
            </w:pPr>
            <w:r w:rsidRPr="00990FB6">
              <w:rPr>
                <w:sz w:val="22"/>
                <w:szCs w:val="22"/>
                <w:lang w:eastAsia="es-CR"/>
              </w:rPr>
              <w:t>11</w:t>
            </w:r>
          </w:p>
        </w:tc>
        <w:tc>
          <w:tcPr>
            <w:tcW w:w="652" w:type="pct"/>
            <w:tcBorders>
              <w:top w:val="nil"/>
              <w:left w:val="nil"/>
              <w:bottom w:val="single" w:sz="4" w:space="0" w:color="auto"/>
              <w:right w:val="single" w:sz="4" w:space="0" w:color="auto"/>
            </w:tcBorders>
            <w:shd w:val="clear" w:color="auto" w:fill="auto"/>
            <w:vAlign w:val="center"/>
            <w:hideMark/>
          </w:tcPr>
          <w:p w14:paraId="75C8C1C6" w14:textId="77777777" w:rsidR="00B15F7D" w:rsidRPr="00990FB6" w:rsidRDefault="00B15F7D" w:rsidP="00B15F7D">
            <w:pPr>
              <w:jc w:val="center"/>
              <w:rPr>
                <w:sz w:val="22"/>
                <w:szCs w:val="22"/>
                <w:lang w:eastAsia="es-CR"/>
              </w:rPr>
            </w:pPr>
            <w:r w:rsidRPr="00990FB6">
              <w:rPr>
                <w:sz w:val="22"/>
                <w:szCs w:val="22"/>
                <w:lang w:eastAsia="es-CR"/>
              </w:rPr>
              <w:t>Investigador 1</w:t>
            </w:r>
          </w:p>
        </w:tc>
        <w:tc>
          <w:tcPr>
            <w:tcW w:w="521" w:type="pct"/>
            <w:tcBorders>
              <w:top w:val="nil"/>
              <w:left w:val="nil"/>
              <w:bottom w:val="single" w:sz="4" w:space="0" w:color="auto"/>
              <w:right w:val="single" w:sz="4" w:space="0" w:color="auto"/>
            </w:tcBorders>
            <w:shd w:val="clear" w:color="auto" w:fill="auto"/>
            <w:vAlign w:val="center"/>
            <w:hideMark/>
          </w:tcPr>
          <w:p w14:paraId="31BEB8B0"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7CBFFB72" w14:textId="77777777" w:rsidR="00B15F7D" w:rsidRPr="00990FB6" w:rsidRDefault="00B15F7D" w:rsidP="00B15F7D">
            <w:pPr>
              <w:jc w:val="center"/>
              <w:rPr>
                <w:sz w:val="22"/>
                <w:szCs w:val="22"/>
                <w:lang w:eastAsia="es-CR"/>
              </w:rPr>
            </w:pPr>
            <w:r w:rsidRPr="00990FB6">
              <w:rPr>
                <w:sz w:val="22"/>
                <w:szCs w:val="22"/>
                <w:lang w:eastAsia="es-CR"/>
              </w:rPr>
              <w:t>Extraordinarias</w:t>
            </w:r>
          </w:p>
        </w:tc>
        <w:tc>
          <w:tcPr>
            <w:tcW w:w="496" w:type="pct"/>
            <w:tcBorders>
              <w:top w:val="nil"/>
              <w:left w:val="nil"/>
              <w:bottom w:val="single" w:sz="4" w:space="0" w:color="auto"/>
              <w:right w:val="single" w:sz="4" w:space="0" w:color="auto"/>
            </w:tcBorders>
            <w:shd w:val="clear" w:color="auto" w:fill="auto"/>
            <w:vAlign w:val="center"/>
            <w:hideMark/>
          </w:tcPr>
          <w:p w14:paraId="6C1E3780"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5E4429B3" w14:textId="77777777" w:rsidR="00B15F7D" w:rsidRPr="00990FB6" w:rsidRDefault="00B15F7D" w:rsidP="00B15F7D">
            <w:pPr>
              <w:jc w:val="center"/>
              <w:rPr>
                <w:sz w:val="22"/>
                <w:szCs w:val="22"/>
                <w:lang w:eastAsia="es-CR"/>
              </w:rPr>
            </w:pPr>
            <w:r w:rsidRPr="00990FB6">
              <w:rPr>
                <w:sz w:val="22"/>
                <w:szCs w:val="22"/>
                <w:lang w:eastAsia="es-CR"/>
              </w:rPr>
              <w:t>₡238 106 000,00</w:t>
            </w:r>
          </w:p>
        </w:tc>
        <w:tc>
          <w:tcPr>
            <w:tcW w:w="943" w:type="pct"/>
            <w:tcBorders>
              <w:top w:val="single" w:sz="4" w:space="0" w:color="auto"/>
              <w:left w:val="nil"/>
              <w:bottom w:val="single" w:sz="4" w:space="0" w:color="auto"/>
              <w:right w:val="single" w:sz="4" w:space="0" w:color="auto"/>
            </w:tcBorders>
            <w:shd w:val="clear" w:color="auto" w:fill="auto"/>
            <w:vAlign w:val="center"/>
            <w:hideMark/>
          </w:tcPr>
          <w:p w14:paraId="7800B022" w14:textId="77777777" w:rsidR="00B15F7D" w:rsidRPr="00990FB6" w:rsidRDefault="00B15F7D" w:rsidP="00B15F7D">
            <w:pPr>
              <w:jc w:val="both"/>
              <w:rPr>
                <w:sz w:val="22"/>
                <w:szCs w:val="22"/>
                <w:lang w:eastAsia="es-CR"/>
              </w:rPr>
            </w:pPr>
            <w:r w:rsidRPr="00990FB6">
              <w:rPr>
                <w:sz w:val="22"/>
                <w:szCs w:val="22"/>
                <w:lang w:eastAsia="es-CR"/>
              </w:rPr>
              <w:t> </w:t>
            </w:r>
          </w:p>
        </w:tc>
      </w:tr>
      <w:tr w:rsidR="00B15F7D" w:rsidRPr="00990FB6" w14:paraId="434D5DE0" w14:textId="77777777" w:rsidTr="000A0C22">
        <w:trPr>
          <w:trHeight w:val="540"/>
          <w:jc w:val="center"/>
        </w:trPr>
        <w:tc>
          <w:tcPr>
            <w:tcW w:w="712" w:type="pct"/>
            <w:tcBorders>
              <w:top w:val="nil"/>
              <w:left w:val="single" w:sz="4" w:space="0" w:color="auto"/>
              <w:bottom w:val="single" w:sz="4" w:space="0" w:color="auto"/>
              <w:right w:val="single" w:sz="4" w:space="0" w:color="auto"/>
            </w:tcBorders>
            <w:shd w:val="clear" w:color="auto" w:fill="auto"/>
            <w:vAlign w:val="center"/>
            <w:hideMark/>
          </w:tcPr>
          <w:p w14:paraId="2BB91628" w14:textId="77777777" w:rsidR="00B15F7D" w:rsidRPr="00990FB6" w:rsidRDefault="00B15F7D" w:rsidP="00B15F7D">
            <w:pPr>
              <w:rPr>
                <w:sz w:val="22"/>
                <w:szCs w:val="22"/>
                <w:lang w:eastAsia="es-CR"/>
              </w:rPr>
            </w:pPr>
            <w:r w:rsidRPr="00990FB6">
              <w:rPr>
                <w:sz w:val="22"/>
                <w:szCs w:val="22"/>
                <w:lang w:eastAsia="es-CR"/>
              </w:rPr>
              <w:t>Administración del OIJ</w:t>
            </w:r>
          </w:p>
        </w:tc>
        <w:tc>
          <w:tcPr>
            <w:tcW w:w="249" w:type="pct"/>
            <w:tcBorders>
              <w:top w:val="nil"/>
              <w:left w:val="nil"/>
              <w:bottom w:val="single" w:sz="4" w:space="0" w:color="auto"/>
              <w:right w:val="single" w:sz="4" w:space="0" w:color="auto"/>
            </w:tcBorders>
            <w:shd w:val="clear" w:color="auto" w:fill="auto"/>
            <w:vAlign w:val="center"/>
            <w:hideMark/>
          </w:tcPr>
          <w:p w14:paraId="7693D698" w14:textId="77777777" w:rsidR="00B15F7D" w:rsidRPr="00990FB6" w:rsidRDefault="00B15F7D" w:rsidP="00B15F7D">
            <w:pPr>
              <w:jc w:val="center"/>
              <w:rPr>
                <w:sz w:val="22"/>
                <w:szCs w:val="22"/>
                <w:lang w:eastAsia="es-CR"/>
              </w:rPr>
            </w:pPr>
            <w:r w:rsidRPr="00990FB6">
              <w:rPr>
                <w:sz w:val="22"/>
                <w:szCs w:val="22"/>
                <w:lang w:eastAsia="es-CR"/>
              </w:rPr>
              <w:t>1</w:t>
            </w:r>
          </w:p>
        </w:tc>
        <w:tc>
          <w:tcPr>
            <w:tcW w:w="652" w:type="pct"/>
            <w:tcBorders>
              <w:top w:val="nil"/>
              <w:left w:val="nil"/>
              <w:bottom w:val="single" w:sz="4" w:space="0" w:color="auto"/>
              <w:right w:val="single" w:sz="4" w:space="0" w:color="auto"/>
            </w:tcBorders>
            <w:shd w:val="clear" w:color="auto" w:fill="auto"/>
            <w:vAlign w:val="center"/>
            <w:hideMark/>
          </w:tcPr>
          <w:p w14:paraId="209C6BCC" w14:textId="77777777" w:rsidR="00B15F7D" w:rsidRPr="00990FB6" w:rsidRDefault="00B15F7D" w:rsidP="00B15F7D">
            <w:pPr>
              <w:jc w:val="center"/>
              <w:rPr>
                <w:sz w:val="22"/>
                <w:szCs w:val="22"/>
                <w:lang w:eastAsia="es-CR"/>
              </w:rPr>
            </w:pPr>
            <w:r w:rsidRPr="00990FB6">
              <w:rPr>
                <w:sz w:val="22"/>
                <w:szCs w:val="22"/>
                <w:lang w:eastAsia="es-CR"/>
              </w:rPr>
              <w:t>Profesional 2</w:t>
            </w:r>
          </w:p>
        </w:tc>
        <w:tc>
          <w:tcPr>
            <w:tcW w:w="521" w:type="pct"/>
            <w:tcBorders>
              <w:top w:val="nil"/>
              <w:left w:val="nil"/>
              <w:bottom w:val="single" w:sz="4" w:space="0" w:color="auto"/>
              <w:right w:val="single" w:sz="4" w:space="0" w:color="auto"/>
            </w:tcBorders>
            <w:shd w:val="clear" w:color="auto" w:fill="auto"/>
            <w:vAlign w:val="center"/>
            <w:hideMark/>
          </w:tcPr>
          <w:p w14:paraId="2BE03E36" w14:textId="77777777" w:rsidR="00B15F7D" w:rsidRPr="00990FB6" w:rsidRDefault="00B15F7D" w:rsidP="00B15F7D">
            <w:pPr>
              <w:jc w:val="center"/>
              <w:rPr>
                <w:sz w:val="22"/>
                <w:szCs w:val="22"/>
                <w:lang w:eastAsia="es-CR"/>
              </w:rPr>
            </w:pPr>
            <w:r w:rsidRPr="00990FB6">
              <w:rPr>
                <w:sz w:val="22"/>
                <w:szCs w:val="22"/>
                <w:lang w:eastAsia="es-CR"/>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54BF73EF" w14:textId="77777777" w:rsidR="00B15F7D" w:rsidRPr="00990FB6" w:rsidRDefault="00B15F7D" w:rsidP="00B15F7D">
            <w:pPr>
              <w:jc w:val="center"/>
              <w:rPr>
                <w:sz w:val="22"/>
                <w:szCs w:val="22"/>
                <w:lang w:eastAsia="es-CR"/>
              </w:rPr>
            </w:pPr>
            <w:r w:rsidRPr="00990FB6">
              <w:rPr>
                <w:sz w:val="22"/>
                <w:szCs w:val="22"/>
                <w:lang w:eastAsia="es-CR"/>
              </w:rPr>
              <w:t>Extraordinarias</w:t>
            </w:r>
          </w:p>
        </w:tc>
        <w:tc>
          <w:tcPr>
            <w:tcW w:w="496" w:type="pct"/>
            <w:tcBorders>
              <w:top w:val="nil"/>
              <w:left w:val="nil"/>
              <w:bottom w:val="single" w:sz="4" w:space="0" w:color="auto"/>
              <w:right w:val="single" w:sz="4" w:space="0" w:color="auto"/>
            </w:tcBorders>
            <w:shd w:val="clear" w:color="auto" w:fill="auto"/>
            <w:vAlign w:val="center"/>
            <w:hideMark/>
          </w:tcPr>
          <w:p w14:paraId="4FCF7B41" w14:textId="77777777" w:rsidR="00B15F7D" w:rsidRPr="00990FB6" w:rsidRDefault="00B15F7D" w:rsidP="00B15F7D">
            <w:pPr>
              <w:jc w:val="center"/>
              <w:rPr>
                <w:sz w:val="22"/>
                <w:szCs w:val="22"/>
                <w:lang w:eastAsia="es-CR"/>
              </w:rPr>
            </w:pPr>
            <w:r w:rsidRPr="00990FB6">
              <w:rPr>
                <w:sz w:val="22"/>
                <w:szCs w:val="22"/>
                <w:lang w:eastAsia="es-CR"/>
              </w:rPr>
              <w:t>2024</w:t>
            </w:r>
          </w:p>
        </w:tc>
        <w:tc>
          <w:tcPr>
            <w:tcW w:w="736" w:type="pct"/>
            <w:tcBorders>
              <w:top w:val="nil"/>
              <w:left w:val="nil"/>
              <w:bottom w:val="single" w:sz="4" w:space="0" w:color="auto"/>
              <w:right w:val="single" w:sz="4" w:space="0" w:color="auto"/>
            </w:tcBorders>
            <w:shd w:val="clear" w:color="auto" w:fill="auto"/>
            <w:vAlign w:val="center"/>
            <w:hideMark/>
          </w:tcPr>
          <w:p w14:paraId="65B847E0" w14:textId="77777777" w:rsidR="00B15F7D" w:rsidRPr="00990FB6" w:rsidRDefault="00B15F7D" w:rsidP="00B15F7D">
            <w:pPr>
              <w:jc w:val="center"/>
              <w:rPr>
                <w:sz w:val="22"/>
                <w:szCs w:val="22"/>
                <w:lang w:eastAsia="es-CR"/>
              </w:rPr>
            </w:pPr>
            <w:r w:rsidRPr="00990FB6">
              <w:rPr>
                <w:sz w:val="22"/>
                <w:szCs w:val="22"/>
                <w:lang w:eastAsia="es-CR"/>
              </w:rPr>
              <w:t>₡36 795 000,00</w:t>
            </w:r>
          </w:p>
        </w:tc>
        <w:tc>
          <w:tcPr>
            <w:tcW w:w="943" w:type="pct"/>
            <w:tcBorders>
              <w:top w:val="nil"/>
              <w:left w:val="nil"/>
              <w:bottom w:val="single" w:sz="4" w:space="0" w:color="auto"/>
              <w:right w:val="single" w:sz="4" w:space="0" w:color="auto"/>
            </w:tcBorders>
            <w:shd w:val="clear" w:color="auto" w:fill="auto"/>
            <w:vAlign w:val="center"/>
            <w:hideMark/>
          </w:tcPr>
          <w:p w14:paraId="69AA3F5A" w14:textId="77777777" w:rsidR="00B15F7D" w:rsidRPr="00990FB6" w:rsidRDefault="00B15F7D" w:rsidP="00B15F7D">
            <w:pPr>
              <w:jc w:val="both"/>
              <w:rPr>
                <w:sz w:val="22"/>
                <w:szCs w:val="22"/>
                <w:lang w:eastAsia="es-CR"/>
              </w:rPr>
            </w:pPr>
            <w:r w:rsidRPr="00990FB6">
              <w:rPr>
                <w:sz w:val="22"/>
                <w:szCs w:val="22"/>
                <w:lang w:eastAsia="es-CR"/>
              </w:rPr>
              <w:t>Administración y ejecución presupuestaria</w:t>
            </w:r>
          </w:p>
        </w:tc>
      </w:tr>
      <w:tr w:rsidR="00B15F7D" w:rsidRPr="00990FB6" w14:paraId="3B9A018A" w14:textId="77777777" w:rsidTr="000A0C22">
        <w:trPr>
          <w:trHeight w:val="300"/>
          <w:jc w:val="center"/>
        </w:trPr>
        <w:tc>
          <w:tcPr>
            <w:tcW w:w="712" w:type="pct"/>
            <w:tcBorders>
              <w:top w:val="nil"/>
              <w:left w:val="single" w:sz="4" w:space="0" w:color="auto"/>
              <w:bottom w:val="single" w:sz="4" w:space="0" w:color="auto"/>
              <w:right w:val="single" w:sz="4" w:space="0" w:color="auto"/>
            </w:tcBorders>
            <w:shd w:val="clear" w:color="auto" w:fill="auto"/>
            <w:noWrap/>
            <w:vAlign w:val="center"/>
            <w:hideMark/>
          </w:tcPr>
          <w:p w14:paraId="0A172FB9"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249" w:type="pct"/>
            <w:tcBorders>
              <w:top w:val="nil"/>
              <w:left w:val="nil"/>
              <w:bottom w:val="single" w:sz="4" w:space="0" w:color="auto"/>
              <w:right w:val="single" w:sz="4" w:space="0" w:color="auto"/>
            </w:tcBorders>
            <w:shd w:val="clear" w:color="auto" w:fill="auto"/>
            <w:noWrap/>
            <w:vAlign w:val="center"/>
            <w:hideMark/>
          </w:tcPr>
          <w:p w14:paraId="368E7B6A" w14:textId="77777777" w:rsidR="00B15F7D" w:rsidRPr="00990FB6" w:rsidRDefault="00B15F7D" w:rsidP="00B15F7D">
            <w:pPr>
              <w:jc w:val="center"/>
              <w:rPr>
                <w:b/>
                <w:bCs/>
                <w:sz w:val="22"/>
                <w:szCs w:val="22"/>
                <w:lang w:eastAsia="es-CR"/>
              </w:rPr>
            </w:pPr>
            <w:r w:rsidRPr="00990FB6">
              <w:rPr>
                <w:b/>
                <w:bCs/>
                <w:sz w:val="22"/>
                <w:szCs w:val="22"/>
                <w:lang w:eastAsia="es-CR"/>
              </w:rPr>
              <w:t>20</w:t>
            </w:r>
          </w:p>
        </w:tc>
        <w:tc>
          <w:tcPr>
            <w:tcW w:w="2364" w:type="pct"/>
            <w:gridSpan w:val="4"/>
            <w:tcBorders>
              <w:top w:val="single" w:sz="4" w:space="0" w:color="auto"/>
              <w:left w:val="nil"/>
              <w:bottom w:val="single" w:sz="4" w:space="0" w:color="auto"/>
              <w:right w:val="single" w:sz="4" w:space="0" w:color="auto"/>
            </w:tcBorders>
            <w:shd w:val="clear" w:color="auto" w:fill="auto"/>
            <w:noWrap/>
            <w:vAlign w:val="center"/>
            <w:hideMark/>
          </w:tcPr>
          <w:p w14:paraId="1321559F" w14:textId="77777777" w:rsidR="00B15F7D" w:rsidRPr="00990FB6" w:rsidRDefault="00B15F7D" w:rsidP="00B15F7D">
            <w:pPr>
              <w:jc w:val="center"/>
              <w:rPr>
                <w:b/>
                <w:bCs/>
                <w:sz w:val="22"/>
                <w:szCs w:val="22"/>
                <w:lang w:eastAsia="es-CR"/>
              </w:rPr>
            </w:pPr>
            <w:r w:rsidRPr="00990FB6">
              <w:rPr>
                <w:b/>
                <w:bCs/>
                <w:sz w:val="22"/>
                <w:szCs w:val="22"/>
                <w:lang w:eastAsia="es-CR"/>
              </w:rPr>
              <w:t> </w:t>
            </w:r>
          </w:p>
        </w:tc>
        <w:tc>
          <w:tcPr>
            <w:tcW w:w="732" w:type="pct"/>
            <w:tcBorders>
              <w:top w:val="nil"/>
              <w:left w:val="nil"/>
              <w:bottom w:val="single" w:sz="4" w:space="0" w:color="auto"/>
              <w:right w:val="single" w:sz="4" w:space="0" w:color="auto"/>
            </w:tcBorders>
            <w:shd w:val="clear" w:color="auto" w:fill="auto"/>
            <w:vAlign w:val="center"/>
            <w:hideMark/>
          </w:tcPr>
          <w:p w14:paraId="00DE6C83" w14:textId="77777777" w:rsidR="00B15F7D" w:rsidRPr="00990FB6" w:rsidRDefault="00B15F7D" w:rsidP="00B15F7D">
            <w:pPr>
              <w:jc w:val="center"/>
              <w:rPr>
                <w:b/>
                <w:bCs/>
                <w:sz w:val="22"/>
                <w:szCs w:val="22"/>
                <w:lang w:eastAsia="es-CR"/>
              </w:rPr>
            </w:pPr>
            <w:r w:rsidRPr="00990FB6">
              <w:rPr>
                <w:b/>
                <w:bCs/>
                <w:sz w:val="22"/>
                <w:szCs w:val="22"/>
                <w:lang w:eastAsia="es-CR"/>
              </w:rPr>
              <w:t>₡510 049 000,00</w:t>
            </w:r>
          </w:p>
        </w:tc>
        <w:tc>
          <w:tcPr>
            <w:tcW w:w="939" w:type="pct"/>
            <w:tcBorders>
              <w:top w:val="nil"/>
              <w:left w:val="nil"/>
              <w:bottom w:val="single" w:sz="4" w:space="0" w:color="auto"/>
              <w:right w:val="single" w:sz="4" w:space="0" w:color="auto"/>
            </w:tcBorders>
            <w:shd w:val="clear" w:color="auto" w:fill="auto"/>
            <w:noWrap/>
            <w:vAlign w:val="center"/>
            <w:hideMark/>
          </w:tcPr>
          <w:p w14:paraId="6FF59675" w14:textId="77777777" w:rsidR="00B15F7D" w:rsidRPr="00990FB6" w:rsidRDefault="00B15F7D" w:rsidP="00B15F7D">
            <w:pPr>
              <w:rPr>
                <w:sz w:val="22"/>
                <w:szCs w:val="22"/>
                <w:lang w:eastAsia="es-CR"/>
              </w:rPr>
            </w:pPr>
            <w:r w:rsidRPr="00990FB6">
              <w:rPr>
                <w:sz w:val="22"/>
                <w:szCs w:val="22"/>
                <w:lang w:eastAsia="es-CR"/>
              </w:rPr>
              <w:t> </w:t>
            </w:r>
          </w:p>
        </w:tc>
      </w:tr>
    </w:tbl>
    <w:p w14:paraId="1E39D3E4" w14:textId="77777777" w:rsidR="00B15F7D" w:rsidRPr="00990FB6" w:rsidRDefault="00B15F7D" w:rsidP="00B15F7D">
      <w:pPr>
        <w:jc w:val="both"/>
        <w:rPr>
          <w:rFonts w:eastAsia="Calibri"/>
          <w:sz w:val="22"/>
          <w:szCs w:val="22"/>
        </w:rPr>
      </w:pPr>
    </w:p>
    <w:p w14:paraId="2B82939E" w14:textId="77777777" w:rsidR="00B15F7D" w:rsidRPr="00990FB6" w:rsidRDefault="00B15F7D" w:rsidP="00254CD4">
      <w:pPr>
        <w:numPr>
          <w:ilvl w:val="0"/>
          <w:numId w:val="210"/>
        </w:numPr>
        <w:suppressAutoHyphens w:val="0"/>
        <w:ind w:left="851" w:right="851" w:firstLine="709"/>
        <w:contextualSpacing/>
        <w:jc w:val="both"/>
        <w:rPr>
          <w:rFonts w:eastAsia="Calibri"/>
          <w:sz w:val="22"/>
          <w:szCs w:val="22"/>
        </w:rPr>
      </w:pPr>
      <w:r w:rsidRPr="00990FB6">
        <w:rPr>
          <w:rFonts w:eastAsia="Calibri"/>
          <w:sz w:val="22"/>
          <w:szCs w:val="22"/>
        </w:rPr>
        <w:t xml:space="preserve">Aprobar el presupuesto para 2024 solicitado por el OIJ que asciende a            ₡76 163 000,00 por concepto de gastos variables por suministros, mobiliario y equipo-licencias para las 20 plazas citadas en el párrafo anterior más el pago de atención veterinaria con el siguiente desglose por programa: </w:t>
      </w:r>
    </w:p>
    <w:p w14:paraId="4B65DA4E" w14:textId="77777777" w:rsidR="00B15F7D" w:rsidRPr="00990FB6" w:rsidRDefault="00B15F7D" w:rsidP="00B15F7D">
      <w:pPr>
        <w:ind w:left="851" w:right="851" w:firstLine="709"/>
        <w:contextualSpacing/>
        <w:jc w:val="both"/>
        <w:rPr>
          <w:rFonts w:eastAsia="Calibri"/>
          <w:sz w:val="22"/>
          <w:szCs w:val="22"/>
        </w:rPr>
      </w:pP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4"/>
        <w:gridCol w:w="1843"/>
        <w:gridCol w:w="1985"/>
      </w:tblGrid>
      <w:tr w:rsidR="00B15F7D" w:rsidRPr="00990FB6" w14:paraId="6C669158" w14:textId="77777777" w:rsidTr="000A0C22">
        <w:trPr>
          <w:trHeight w:val="300"/>
          <w:jc w:val="center"/>
        </w:trPr>
        <w:tc>
          <w:tcPr>
            <w:tcW w:w="3964" w:type="dxa"/>
            <w:shd w:val="clear" w:color="000000" w:fill="0070C0"/>
            <w:noWrap/>
            <w:vAlign w:val="center"/>
            <w:hideMark/>
          </w:tcPr>
          <w:p w14:paraId="1D74CE3C" w14:textId="77777777" w:rsidR="00B15F7D" w:rsidRPr="00990FB6" w:rsidRDefault="00B15F7D" w:rsidP="00B15F7D">
            <w:pPr>
              <w:jc w:val="center"/>
              <w:rPr>
                <w:b/>
                <w:bCs/>
                <w:sz w:val="22"/>
                <w:szCs w:val="22"/>
                <w:lang w:eastAsia="es-CR"/>
              </w:rPr>
            </w:pPr>
            <w:r w:rsidRPr="00990FB6">
              <w:rPr>
                <w:b/>
                <w:bCs/>
                <w:sz w:val="22"/>
                <w:szCs w:val="22"/>
                <w:lang w:eastAsia="es-CR"/>
              </w:rPr>
              <w:t>Requerimiento</w:t>
            </w:r>
          </w:p>
        </w:tc>
        <w:tc>
          <w:tcPr>
            <w:tcW w:w="1843" w:type="dxa"/>
            <w:shd w:val="clear" w:color="000000" w:fill="0070C0"/>
            <w:noWrap/>
            <w:vAlign w:val="center"/>
            <w:hideMark/>
          </w:tcPr>
          <w:p w14:paraId="25189CDB" w14:textId="77777777" w:rsidR="00B15F7D" w:rsidRPr="00990FB6" w:rsidRDefault="00B15F7D" w:rsidP="00B15F7D">
            <w:pPr>
              <w:jc w:val="center"/>
              <w:rPr>
                <w:b/>
                <w:bCs/>
                <w:sz w:val="22"/>
                <w:szCs w:val="22"/>
                <w:lang w:eastAsia="es-CR"/>
              </w:rPr>
            </w:pPr>
            <w:r w:rsidRPr="00990FB6">
              <w:rPr>
                <w:b/>
                <w:bCs/>
                <w:sz w:val="22"/>
                <w:szCs w:val="22"/>
                <w:lang w:eastAsia="es-CR"/>
              </w:rPr>
              <w:t>Programa 928</w:t>
            </w:r>
          </w:p>
        </w:tc>
        <w:tc>
          <w:tcPr>
            <w:tcW w:w="1985" w:type="dxa"/>
            <w:shd w:val="clear" w:color="000000" w:fill="0070C0"/>
            <w:noWrap/>
            <w:vAlign w:val="center"/>
            <w:hideMark/>
          </w:tcPr>
          <w:p w14:paraId="3C4634DB" w14:textId="77777777" w:rsidR="00B15F7D" w:rsidRPr="00990FB6" w:rsidRDefault="00B15F7D" w:rsidP="00B15F7D">
            <w:pPr>
              <w:jc w:val="center"/>
              <w:rPr>
                <w:b/>
                <w:bCs/>
                <w:sz w:val="22"/>
                <w:szCs w:val="22"/>
                <w:lang w:eastAsia="es-CR"/>
              </w:rPr>
            </w:pPr>
            <w:r w:rsidRPr="00990FB6">
              <w:rPr>
                <w:b/>
                <w:bCs/>
                <w:sz w:val="22"/>
                <w:szCs w:val="22"/>
                <w:lang w:eastAsia="es-CR"/>
              </w:rPr>
              <w:t>Subtotal</w:t>
            </w:r>
          </w:p>
        </w:tc>
      </w:tr>
      <w:tr w:rsidR="00B15F7D" w:rsidRPr="00990FB6" w14:paraId="3FD74A91" w14:textId="77777777" w:rsidTr="000A0C22">
        <w:trPr>
          <w:trHeight w:val="330"/>
          <w:jc w:val="center"/>
        </w:trPr>
        <w:tc>
          <w:tcPr>
            <w:tcW w:w="3964" w:type="dxa"/>
            <w:shd w:val="clear" w:color="auto" w:fill="auto"/>
            <w:noWrap/>
            <w:vAlign w:val="center"/>
            <w:hideMark/>
          </w:tcPr>
          <w:p w14:paraId="35E2CA5D" w14:textId="77777777" w:rsidR="00B15F7D" w:rsidRPr="00990FB6" w:rsidRDefault="00B15F7D" w:rsidP="00B15F7D">
            <w:pPr>
              <w:jc w:val="both"/>
              <w:rPr>
                <w:sz w:val="22"/>
                <w:szCs w:val="22"/>
                <w:lang w:eastAsia="es-CR"/>
              </w:rPr>
            </w:pPr>
            <w:r w:rsidRPr="00990FB6">
              <w:rPr>
                <w:sz w:val="22"/>
                <w:szCs w:val="22"/>
                <w:lang w:eastAsia="es-CR"/>
              </w:rPr>
              <w:t xml:space="preserve">Recurso humano </w:t>
            </w:r>
          </w:p>
        </w:tc>
        <w:tc>
          <w:tcPr>
            <w:tcW w:w="1843" w:type="dxa"/>
            <w:shd w:val="clear" w:color="auto" w:fill="auto"/>
            <w:noWrap/>
            <w:vAlign w:val="center"/>
            <w:hideMark/>
          </w:tcPr>
          <w:p w14:paraId="587A331E" w14:textId="77777777" w:rsidR="00B15F7D" w:rsidRPr="00990FB6" w:rsidRDefault="00B15F7D" w:rsidP="00B15F7D">
            <w:pPr>
              <w:jc w:val="center"/>
              <w:rPr>
                <w:sz w:val="22"/>
                <w:szCs w:val="22"/>
                <w:lang w:eastAsia="es-CR"/>
              </w:rPr>
            </w:pPr>
            <w:r w:rsidRPr="00990FB6">
              <w:rPr>
                <w:sz w:val="22"/>
                <w:szCs w:val="22"/>
                <w:lang w:eastAsia="es-CR"/>
              </w:rPr>
              <w:t>₡510 049 000</w:t>
            </w:r>
          </w:p>
        </w:tc>
        <w:tc>
          <w:tcPr>
            <w:tcW w:w="1985" w:type="dxa"/>
            <w:shd w:val="clear" w:color="auto" w:fill="auto"/>
            <w:noWrap/>
            <w:vAlign w:val="center"/>
            <w:hideMark/>
          </w:tcPr>
          <w:p w14:paraId="6307DDDD" w14:textId="77777777" w:rsidR="00B15F7D" w:rsidRPr="00990FB6" w:rsidRDefault="00B15F7D" w:rsidP="00B15F7D">
            <w:pPr>
              <w:jc w:val="center"/>
              <w:rPr>
                <w:sz w:val="22"/>
                <w:szCs w:val="22"/>
                <w:lang w:eastAsia="es-CR"/>
              </w:rPr>
            </w:pPr>
            <w:r w:rsidRPr="00990FB6">
              <w:rPr>
                <w:sz w:val="22"/>
                <w:szCs w:val="22"/>
                <w:lang w:eastAsia="es-CR"/>
              </w:rPr>
              <w:t>₡510 049 000,00</w:t>
            </w:r>
          </w:p>
        </w:tc>
      </w:tr>
      <w:tr w:rsidR="00B15F7D" w:rsidRPr="00990FB6" w14:paraId="516E5A51" w14:textId="77777777" w:rsidTr="000A0C22">
        <w:trPr>
          <w:trHeight w:val="300"/>
          <w:jc w:val="center"/>
        </w:trPr>
        <w:tc>
          <w:tcPr>
            <w:tcW w:w="3964" w:type="dxa"/>
            <w:shd w:val="clear" w:color="auto" w:fill="auto"/>
            <w:vAlign w:val="center"/>
            <w:hideMark/>
          </w:tcPr>
          <w:p w14:paraId="41546A01" w14:textId="77777777" w:rsidR="00B15F7D" w:rsidRPr="00990FB6" w:rsidRDefault="00B15F7D" w:rsidP="00B15F7D">
            <w:pPr>
              <w:jc w:val="both"/>
              <w:rPr>
                <w:b/>
                <w:bCs/>
                <w:sz w:val="22"/>
                <w:szCs w:val="22"/>
                <w:lang w:eastAsia="es-CR"/>
              </w:rPr>
            </w:pPr>
            <w:r w:rsidRPr="00990FB6">
              <w:rPr>
                <w:b/>
                <w:bCs/>
                <w:sz w:val="22"/>
                <w:szCs w:val="22"/>
                <w:lang w:eastAsia="es-CR"/>
              </w:rPr>
              <w:t xml:space="preserve">5.01.04 Equipo y mobiliario de oficina </w:t>
            </w:r>
          </w:p>
        </w:tc>
        <w:tc>
          <w:tcPr>
            <w:tcW w:w="1843" w:type="dxa"/>
            <w:shd w:val="clear" w:color="auto" w:fill="auto"/>
            <w:noWrap/>
            <w:vAlign w:val="center"/>
            <w:hideMark/>
          </w:tcPr>
          <w:p w14:paraId="5E736D39" w14:textId="77777777" w:rsidR="00B15F7D" w:rsidRPr="00990FB6" w:rsidRDefault="00B15F7D" w:rsidP="00B15F7D">
            <w:pPr>
              <w:jc w:val="center"/>
              <w:rPr>
                <w:b/>
                <w:bCs/>
                <w:sz w:val="22"/>
                <w:szCs w:val="22"/>
                <w:lang w:eastAsia="es-CR"/>
              </w:rPr>
            </w:pPr>
          </w:p>
        </w:tc>
        <w:tc>
          <w:tcPr>
            <w:tcW w:w="1985" w:type="dxa"/>
            <w:vMerge w:val="restart"/>
            <w:shd w:val="clear" w:color="auto" w:fill="auto"/>
            <w:noWrap/>
            <w:vAlign w:val="center"/>
            <w:hideMark/>
          </w:tcPr>
          <w:p w14:paraId="0D31FAC7" w14:textId="77777777" w:rsidR="00B15F7D" w:rsidRPr="00990FB6" w:rsidRDefault="00B15F7D" w:rsidP="00B15F7D">
            <w:pPr>
              <w:jc w:val="center"/>
              <w:rPr>
                <w:sz w:val="22"/>
                <w:szCs w:val="22"/>
                <w:lang w:eastAsia="es-CR"/>
              </w:rPr>
            </w:pPr>
            <w:r w:rsidRPr="00990FB6">
              <w:rPr>
                <w:sz w:val="22"/>
                <w:szCs w:val="22"/>
                <w:lang w:eastAsia="es-CR"/>
              </w:rPr>
              <w:t>₡ 4 800 000,00</w:t>
            </w:r>
          </w:p>
        </w:tc>
      </w:tr>
      <w:tr w:rsidR="00B15F7D" w:rsidRPr="00990FB6" w14:paraId="3536D414" w14:textId="77777777" w:rsidTr="000A0C22">
        <w:trPr>
          <w:trHeight w:val="300"/>
          <w:jc w:val="center"/>
        </w:trPr>
        <w:tc>
          <w:tcPr>
            <w:tcW w:w="3964" w:type="dxa"/>
            <w:shd w:val="clear" w:color="auto" w:fill="auto"/>
            <w:vAlign w:val="center"/>
            <w:hideMark/>
          </w:tcPr>
          <w:p w14:paraId="118BADD8" w14:textId="77777777" w:rsidR="00B15F7D" w:rsidRPr="00990FB6" w:rsidRDefault="00B15F7D" w:rsidP="00B15F7D">
            <w:pPr>
              <w:ind w:firstLineChars="100" w:firstLine="220"/>
              <w:jc w:val="both"/>
              <w:rPr>
                <w:sz w:val="22"/>
                <w:szCs w:val="22"/>
                <w:lang w:eastAsia="es-CR"/>
              </w:rPr>
            </w:pPr>
            <w:r w:rsidRPr="00990FB6">
              <w:rPr>
                <w:sz w:val="22"/>
                <w:szCs w:val="22"/>
                <w:lang w:eastAsia="es-CR"/>
              </w:rPr>
              <w:t>50104 Silla Secretarial</w:t>
            </w:r>
          </w:p>
        </w:tc>
        <w:tc>
          <w:tcPr>
            <w:tcW w:w="1843" w:type="dxa"/>
            <w:shd w:val="clear" w:color="auto" w:fill="auto"/>
            <w:noWrap/>
            <w:vAlign w:val="center"/>
            <w:hideMark/>
          </w:tcPr>
          <w:p w14:paraId="3698F7D5" w14:textId="77777777" w:rsidR="00B15F7D" w:rsidRPr="00990FB6" w:rsidRDefault="00B15F7D" w:rsidP="00B15F7D">
            <w:pPr>
              <w:jc w:val="center"/>
              <w:rPr>
                <w:sz w:val="22"/>
                <w:szCs w:val="22"/>
                <w:lang w:eastAsia="es-CR"/>
              </w:rPr>
            </w:pPr>
            <w:r w:rsidRPr="00990FB6">
              <w:rPr>
                <w:sz w:val="22"/>
                <w:szCs w:val="22"/>
                <w:lang w:eastAsia="es-CR"/>
              </w:rPr>
              <w:t>₡1 700 000,00</w:t>
            </w:r>
          </w:p>
        </w:tc>
        <w:tc>
          <w:tcPr>
            <w:tcW w:w="1985" w:type="dxa"/>
            <w:vMerge/>
            <w:vAlign w:val="center"/>
            <w:hideMark/>
          </w:tcPr>
          <w:p w14:paraId="25688158" w14:textId="77777777" w:rsidR="00B15F7D" w:rsidRPr="00990FB6" w:rsidRDefault="00B15F7D" w:rsidP="00B15F7D">
            <w:pPr>
              <w:jc w:val="center"/>
              <w:rPr>
                <w:sz w:val="22"/>
                <w:szCs w:val="22"/>
                <w:lang w:eastAsia="es-CR"/>
              </w:rPr>
            </w:pPr>
          </w:p>
        </w:tc>
      </w:tr>
      <w:tr w:rsidR="00B15F7D" w:rsidRPr="00990FB6" w14:paraId="5951B472" w14:textId="77777777" w:rsidTr="000A0C22">
        <w:trPr>
          <w:trHeight w:val="300"/>
          <w:jc w:val="center"/>
        </w:trPr>
        <w:tc>
          <w:tcPr>
            <w:tcW w:w="3964" w:type="dxa"/>
            <w:shd w:val="clear" w:color="auto" w:fill="auto"/>
            <w:vAlign w:val="center"/>
            <w:hideMark/>
          </w:tcPr>
          <w:p w14:paraId="1372C535" w14:textId="77777777" w:rsidR="00B15F7D" w:rsidRPr="00990FB6" w:rsidRDefault="00B15F7D" w:rsidP="00B15F7D">
            <w:pPr>
              <w:ind w:firstLineChars="100" w:firstLine="220"/>
              <w:jc w:val="both"/>
              <w:rPr>
                <w:sz w:val="22"/>
                <w:szCs w:val="22"/>
                <w:lang w:eastAsia="es-CR"/>
              </w:rPr>
            </w:pPr>
            <w:r w:rsidRPr="00990FB6">
              <w:rPr>
                <w:sz w:val="22"/>
                <w:szCs w:val="22"/>
                <w:lang w:eastAsia="es-CR"/>
              </w:rPr>
              <w:t>50104 Estación de servicio</w:t>
            </w:r>
          </w:p>
        </w:tc>
        <w:tc>
          <w:tcPr>
            <w:tcW w:w="1843" w:type="dxa"/>
            <w:shd w:val="clear" w:color="auto" w:fill="auto"/>
            <w:noWrap/>
            <w:vAlign w:val="center"/>
            <w:hideMark/>
          </w:tcPr>
          <w:p w14:paraId="35042FBD" w14:textId="77777777" w:rsidR="00B15F7D" w:rsidRPr="00990FB6" w:rsidRDefault="00B15F7D" w:rsidP="00B15F7D">
            <w:pPr>
              <w:jc w:val="center"/>
              <w:rPr>
                <w:sz w:val="22"/>
                <w:szCs w:val="22"/>
                <w:lang w:eastAsia="es-CR"/>
              </w:rPr>
            </w:pPr>
            <w:r w:rsidRPr="00990FB6">
              <w:rPr>
                <w:sz w:val="22"/>
                <w:szCs w:val="22"/>
                <w:lang w:eastAsia="es-CR"/>
              </w:rPr>
              <w:t>₡ 3 100 000,00</w:t>
            </w:r>
          </w:p>
        </w:tc>
        <w:tc>
          <w:tcPr>
            <w:tcW w:w="1985" w:type="dxa"/>
            <w:vMerge/>
            <w:vAlign w:val="center"/>
            <w:hideMark/>
          </w:tcPr>
          <w:p w14:paraId="7CA822F3" w14:textId="77777777" w:rsidR="00B15F7D" w:rsidRPr="00990FB6" w:rsidRDefault="00B15F7D" w:rsidP="00B15F7D">
            <w:pPr>
              <w:jc w:val="center"/>
              <w:rPr>
                <w:sz w:val="22"/>
                <w:szCs w:val="22"/>
                <w:lang w:eastAsia="es-CR"/>
              </w:rPr>
            </w:pPr>
          </w:p>
        </w:tc>
      </w:tr>
      <w:tr w:rsidR="00B15F7D" w:rsidRPr="00990FB6" w14:paraId="3FDB7B5B" w14:textId="77777777" w:rsidTr="000A0C22">
        <w:trPr>
          <w:trHeight w:val="600"/>
          <w:jc w:val="center"/>
        </w:trPr>
        <w:tc>
          <w:tcPr>
            <w:tcW w:w="3964" w:type="dxa"/>
            <w:shd w:val="clear" w:color="auto" w:fill="auto"/>
            <w:vAlign w:val="center"/>
            <w:hideMark/>
          </w:tcPr>
          <w:p w14:paraId="2E84501C" w14:textId="77777777" w:rsidR="00B15F7D" w:rsidRPr="00990FB6" w:rsidRDefault="00B15F7D" w:rsidP="00B15F7D">
            <w:pPr>
              <w:jc w:val="both"/>
              <w:rPr>
                <w:b/>
                <w:bCs/>
                <w:sz w:val="22"/>
                <w:szCs w:val="22"/>
                <w:lang w:eastAsia="es-CR"/>
              </w:rPr>
            </w:pPr>
            <w:r w:rsidRPr="00990FB6">
              <w:rPr>
                <w:b/>
                <w:bCs/>
                <w:sz w:val="22"/>
                <w:szCs w:val="22"/>
                <w:lang w:eastAsia="es-CR"/>
              </w:rPr>
              <w:t xml:space="preserve">50105 Equipo de cómputo y licencias -Dirección de Tecnología de la Información </w:t>
            </w:r>
          </w:p>
        </w:tc>
        <w:tc>
          <w:tcPr>
            <w:tcW w:w="1843" w:type="dxa"/>
            <w:shd w:val="clear" w:color="auto" w:fill="auto"/>
            <w:noWrap/>
            <w:vAlign w:val="center"/>
            <w:hideMark/>
          </w:tcPr>
          <w:p w14:paraId="2501FBB8" w14:textId="77777777" w:rsidR="00B15F7D" w:rsidRPr="00990FB6" w:rsidRDefault="00B15F7D" w:rsidP="00B15F7D">
            <w:pPr>
              <w:jc w:val="center"/>
              <w:rPr>
                <w:b/>
                <w:bCs/>
                <w:sz w:val="22"/>
                <w:szCs w:val="22"/>
                <w:lang w:eastAsia="es-CR"/>
              </w:rPr>
            </w:pPr>
          </w:p>
        </w:tc>
        <w:tc>
          <w:tcPr>
            <w:tcW w:w="1985" w:type="dxa"/>
            <w:vMerge w:val="restart"/>
            <w:shd w:val="clear" w:color="auto" w:fill="auto"/>
            <w:noWrap/>
            <w:vAlign w:val="center"/>
            <w:hideMark/>
          </w:tcPr>
          <w:p w14:paraId="58228880" w14:textId="77777777" w:rsidR="00B15F7D" w:rsidRPr="00990FB6" w:rsidRDefault="00B15F7D" w:rsidP="00B15F7D">
            <w:pPr>
              <w:jc w:val="center"/>
              <w:rPr>
                <w:sz w:val="22"/>
                <w:szCs w:val="22"/>
                <w:lang w:eastAsia="es-CR"/>
              </w:rPr>
            </w:pPr>
            <w:r w:rsidRPr="00990FB6">
              <w:rPr>
                <w:sz w:val="22"/>
                <w:szCs w:val="22"/>
                <w:lang w:eastAsia="es-CR"/>
              </w:rPr>
              <w:t>₡18 863 000,00</w:t>
            </w:r>
          </w:p>
        </w:tc>
      </w:tr>
      <w:tr w:rsidR="00B15F7D" w:rsidRPr="00990FB6" w14:paraId="3969B1F8" w14:textId="77777777" w:rsidTr="000A0C22">
        <w:trPr>
          <w:trHeight w:val="300"/>
          <w:jc w:val="center"/>
        </w:trPr>
        <w:tc>
          <w:tcPr>
            <w:tcW w:w="3964" w:type="dxa"/>
            <w:shd w:val="clear" w:color="auto" w:fill="auto"/>
            <w:noWrap/>
            <w:vAlign w:val="center"/>
            <w:hideMark/>
          </w:tcPr>
          <w:p w14:paraId="62181844" w14:textId="77777777" w:rsidR="00B15F7D" w:rsidRPr="00990FB6" w:rsidRDefault="00B15F7D" w:rsidP="00B15F7D">
            <w:pPr>
              <w:ind w:firstLineChars="100" w:firstLine="220"/>
              <w:jc w:val="both"/>
              <w:rPr>
                <w:sz w:val="22"/>
                <w:szCs w:val="22"/>
                <w:lang w:eastAsia="es-CR"/>
              </w:rPr>
            </w:pPr>
            <w:r w:rsidRPr="00990FB6">
              <w:rPr>
                <w:sz w:val="22"/>
                <w:szCs w:val="22"/>
                <w:lang w:eastAsia="es-CR"/>
              </w:rPr>
              <w:t>50105 Licencias de equipo de cómputo</w:t>
            </w:r>
          </w:p>
        </w:tc>
        <w:tc>
          <w:tcPr>
            <w:tcW w:w="1843" w:type="dxa"/>
            <w:shd w:val="clear" w:color="auto" w:fill="auto"/>
            <w:noWrap/>
            <w:vAlign w:val="center"/>
            <w:hideMark/>
          </w:tcPr>
          <w:p w14:paraId="5167CA1C" w14:textId="77777777" w:rsidR="00B15F7D" w:rsidRPr="00990FB6" w:rsidRDefault="00B15F7D" w:rsidP="00B15F7D">
            <w:pPr>
              <w:jc w:val="center"/>
              <w:rPr>
                <w:sz w:val="22"/>
                <w:szCs w:val="22"/>
                <w:lang w:eastAsia="es-CR"/>
              </w:rPr>
            </w:pPr>
            <w:r w:rsidRPr="00990FB6">
              <w:rPr>
                <w:sz w:val="22"/>
                <w:szCs w:val="22"/>
                <w:lang w:eastAsia="es-CR"/>
              </w:rPr>
              <w:t>₡ 2 964 000,00</w:t>
            </w:r>
          </w:p>
        </w:tc>
        <w:tc>
          <w:tcPr>
            <w:tcW w:w="1985" w:type="dxa"/>
            <w:vMerge/>
            <w:vAlign w:val="center"/>
            <w:hideMark/>
          </w:tcPr>
          <w:p w14:paraId="15C1731C" w14:textId="77777777" w:rsidR="00B15F7D" w:rsidRPr="00990FB6" w:rsidRDefault="00B15F7D" w:rsidP="00B15F7D">
            <w:pPr>
              <w:jc w:val="center"/>
              <w:rPr>
                <w:sz w:val="22"/>
                <w:szCs w:val="22"/>
                <w:lang w:eastAsia="es-CR"/>
              </w:rPr>
            </w:pPr>
          </w:p>
        </w:tc>
      </w:tr>
      <w:tr w:rsidR="00B15F7D" w:rsidRPr="00990FB6" w14:paraId="526CC76B" w14:textId="77777777" w:rsidTr="000A0C22">
        <w:trPr>
          <w:trHeight w:val="300"/>
          <w:jc w:val="center"/>
        </w:trPr>
        <w:tc>
          <w:tcPr>
            <w:tcW w:w="3964" w:type="dxa"/>
            <w:shd w:val="clear" w:color="auto" w:fill="auto"/>
            <w:noWrap/>
            <w:vAlign w:val="center"/>
            <w:hideMark/>
          </w:tcPr>
          <w:p w14:paraId="26DD44CC" w14:textId="77777777" w:rsidR="00B15F7D" w:rsidRPr="00990FB6" w:rsidRDefault="00B15F7D" w:rsidP="00B15F7D">
            <w:pPr>
              <w:ind w:firstLineChars="100" w:firstLine="220"/>
              <w:jc w:val="both"/>
              <w:rPr>
                <w:sz w:val="22"/>
                <w:szCs w:val="22"/>
                <w:lang w:eastAsia="es-CR"/>
              </w:rPr>
            </w:pPr>
            <w:r w:rsidRPr="00990FB6">
              <w:rPr>
                <w:sz w:val="22"/>
                <w:szCs w:val="22"/>
                <w:lang w:eastAsia="es-CR"/>
              </w:rPr>
              <w:t>50105 Computadora de escritorio</w:t>
            </w:r>
          </w:p>
        </w:tc>
        <w:tc>
          <w:tcPr>
            <w:tcW w:w="1843" w:type="dxa"/>
            <w:shd w:val="clear" w:color="auto" w:fill="auto"/>
            <w:noWrap/>
            <w:vAlign w:val="center"/>
            <w:hideMark/>
          </w:tcPr>
          <w:p w14:paraId="11A50773" w14:textId="77777777" w:rsidR="00B15F7D" w:rsidRPr="00990FB6" w:rsidRDefault="00B15F7D" w:rsidP="00B15F7D">
            <w:pPr>
              <w:jc w:val="center"/>
              <w:rPr>
                <w:sz w:val="22"/>
                <w:szCs w:val="22"/>
                <w:lang w:eastAsia="es-CR"/>
              </w:rPr>
            </w:pPr>
            <w:r w:rsidRPr="00990FB6">
              <w:rPr>
                <w:sz w:val="22"/>
                <w:szCs w:val="22"/>
                <w:lang w:eastAsia="es-CR"/>
              </w:rPr>
              <w:t>₡ 9 818 900,00</w:t>
            </w:r>
          </w:p>
        </w:tc>
        <w:tc>
          <w:tcPr>
            <w:tcW w:w="1985" w:type="dxa"/>
            <w:vMerge/>
            <w:vAlign w:val="center"/>
            <w:hideMark/>
          </w:tcPr>
          <w:p w14:paraId="031B893E" w14:textId="77777777" w:rsidR="00B15F7D" w:rsidRPr="00990FB6" w:rsidRDefault="00B15F7D" w:rsidP="00B15F7D">
            <w:pPr>
              <w:jc w:val="center"/>
              <w:rPr>
                <w:sz w:val="22"/>
                <w:szCs w:val="22"/>
                <w:lang w:eastAsia="es-CR"/>
              </w:rPr>
            </w:pPr>
          </w:p>
        </w:tc>
      </w:tr>
      <w:tr w:rsidR="00B15F7D" w:rsidRPr="00990FB6" w14:paraId="531720E7" w14:textId="77777777" w:rsidTr="000A0C22">
        <w:trPr>
          <w:trHeight w:val="300"/>
          <w:jc w:val="center"/>
        </w:trPr>
        <w:tc>
          <w:tcPr>
            <w:tcW w:w="3964" w:type="dxa"/>
            <w:shd w:val="clear" w:color="auto" w:fill="auto"/>
            <w:noWrap/>
            <w:vAlign w:val="center"/>
            <w:hideMark/>
          </w:tcPr>
          <w:p w14:paraId="322B410C" w14:textId="77777777" w:rsidR="00B15F7D" w:rsidRPr="00990FB6" w:rsidRDefault="00B15F7D" w:rsidP="00B15F7D">
            <w:pPr>
              <w:ind w:firstLineChars="100" w:firstLine="220"/>
              <w:jc w:val="both"/>
              <w:rPr>
                <w:sz w:val="22"/>
                <w:szCs w:val="22"/>
                <w:lang w:eastAsia="es-CR"/>
              </w:rPr>
            </w:pPr>
            <w:r w:rsidRPr="00990FB6">
              <w:rPr>
                <w:sz w:val="22"/>
                <w:szCs w:val="22"/>
                <w:lang w:eastAsia="es-CR"/>
              </w:rPr>
              <w:t>50105 Computadora portátil</w:t>
            </w:r>
          </w:p>
        </w:tc>
        <w:tc>
          <w:tcPr>
            <w:tcW w:w="1843" w:type="dxa"/>
            <w:shd w:val="clear" w:color="auto" w:fill="auto"/>
            <w:noWrap/>
            <w:vAlign w:val="center"/>
            <w:hideMark/>
          </w:tcPr>
          <w:p w14:paraId="406B266D" w14:textId="77777777" w:rsidR="00B15F7D" w:rsidRPr="00990FB6" w:rsidRDefault="00B15F7D" w:rsidP="00B15F7D">
            <w:pPr>
              <w:jc w:val="center"/>
              <w:rPr>
                <w:sz w:val="22"/>
                <w:szCs w:val="22"/>
                <w:lang w:eastAsia="es-CR"/>
              </w:rPr>
            </w:pPr>
            <w:r w:rsidRPr="00990FB6">
              <w:rPr>
                <w:sz w:val="22"/>
                <w:szCs w:val="22"/>
                <w:lang w:eastAsia="es-CR"/>
              </w:rPr>
              <w:t>₡ 6 080 100,00</w:t>
            </w:r>
          </w:p>
        </w:tc>
        <w:tc>
          <w:tcPr>
            <w:tcW w:w="1985" w:type="dxa"/>
            <w:vMerge/>
            <w:vAlign w:val="center"/>
            <w:hideMark/>
          </w:tcPr>
          <w:p w14:paraId="69ADFEDC" w14:textId="77777777" w:rsidR="00B15F7D" w:rsidRPr="00990FB6" w:rsidRDefault="00B15F7D" w:rsidP="00B15F7D">
            <w:pPr>
              <w:jc w:val="center"/>
              <w:rPr>
                <w:sz w:val="22"/>
                <w:szCs w:val="22"/>
                <w:lang w:eastAsia="es-CR"/>
              </w:rPr>
            </w:pPr>
          </w:p>
        </w:tc>
      </w:tr>
      <w:tr w:rsidR="00B15F7D" w:rsidRPr="00990FB6" w14:paraId="0B44CCEB" w14:textId="77777777" w:rsidTr="000A0C22">
        <w:trPr>
          <w:trHeight w:val="300"/>
          <w:jc w:val="center"/>
        </w:trPr>
        <w:tc>
          <w:tcPr>
            <w:tcW w:w="3964" w:type="dxa"/>
            <w:shd w:val="clear" w:color="auto" w:fill="auto"/>
            <w:noWrap/>
            <w:vAlign w:val="center"/>
            <w:hideMark/>
          </w:tcPr>
          <w:p w14:paraId="395615BC" w14:textId="77777777" w:rsidR="00B15F7D" w:rsidRPr="00990FB6" w:rsidRDefault="00B15F7D" w:rsidP="00B15F7D">
            <w:pPr>
              <w:jc w:val="both"/>
              <w:rPr>
                <w:b/>
                <w:bCs/>
                <w:sz w:val="22"/>
                <w:szCs w:val="22"/>
                <w:lang w:eastAsia="es-CR"/>
              </w:rPr>
            </w:pPr>
            <w:r w:rsidRPr="00990FB6">
              <w:rPr>
                <w:b/>
                <w:bCs/>
                <w:sz w:val="22"/>
                <w:szCs w:val="22"/>
                <w:lang w:eastAsia="es-CR"/>
              </w:rPr>
              <w:t>10401 Servicios Médicos y de Laboratorio</w:t>
            </w:r>
          </w:p>
        </w:tc>
        <w:tc>
          <w:tcPr>
            <w:tcW w:w="1843" w:type="dxa"/>
            <w:shd w:val="clear" w:color="auto" w:fill="auto"/>
            <w:noWrap/>
            <w:vAlign w:val="center"/>
            <w:hideMark/>
          </w:tcPr>
          <w:p w14:paraId="368CA2A4" w14:textId="77777777" w:rsidR="00B15F7D" w:rsidRPr="00990FB6" w:rsidRDefault="00B15F7D" w:rsidP="00B15F7D">
            <w:pPr>
              <w:jc w:val="center"/>
              <w:rPr>
                <w:b/>
                <w:bCs/>
                <w:sz w:val="22"/>
                <w:szCs w:val="22"/>
                <w:lang w:eastAsia="es-CR"/>
              </w:rPr>
            </w:pPr>
          </w:p>
        </w:tc>
        <w:tc>
          <w:tcPr>
            <w:tcW w:w="1985" w:type="dxa"/>
            <w:vMerge w:val="restart"/>
            <w:shd w:val="clear" w:color="auto" w:fill="auto"/>
            <w:noWrap/>
            <w:vAlign w:val="center"/>
            <w:hideMark/>
          </w:tcPr>
          <w:p w14:paraId="4C484325" w14:textId="77777777" w:rsidR="00B15F7D" w:rsidRPr="00990FB6" w:rsidRDefault="00B15F7D" w:rsidP="00B15F7D">
            <w:pPr>
              <w:jc w:val="center"/>
              <w:rPr>
                <w:sz w:val="22"/>
                <w:szCs w:val="22"/>
                <w:lang w:eastAsia="es-CR"/>
              </w:rPr>
            </w:pPr>
            <w:r w:rsidRPr="00990FB6">
              <w:rPr>
                <w:sz w:val="22"/>
                <w:szCs w:val="22"/>
                <w:lang w:eastAsia="es-CR"/>
              </w:rPr>
              <w:t>₡52 500 000,00</w:t>
            </w:r>
          </w:p>
        </w:tc>
      </w:tr>
      <w:tr w:rsidR="00B15F7D" w:rsidRPr="00990FB6" w14:paraId="27ADC18C" w14:textId="77777777" w:rsidTr="000A0C22">
        <w:trPr>
          <w:trHeight w:val="855"/>
          <w:jc w:val="center"/>
        </w:trPr>
        <w:tc>
          <w:tcPr>
            <w:tcW w:w="3964" w:type="dxa"/>
            <w:shd w:val="clear" w:color="auto" w:fill="auto"/>
            <w:vAlign w:val="center"/>
            <w:hideMark/>
          </w:tcPr>
          <w:p w14:paraId="69760B1E" w14:textId="77777777" w:rsidR="00B15F7D" w:rsidRPr="00990FB6" w:rsidRDefault="00B15F7D" w:rsidP="00B15F7D">
            <w:pPr>
              <w:ind w:firstLineChars="100" w:firstLine="220"/>
              <w:jc w:val="both"/>
              <w:rPr>
                <w:sz w:val="22"/>
                <w:szCs w:val="22"/>
                <w:lang w:eastAsia="es-CR"/>
              </w:rPr>
            </w:pPr>
            <w:r w:rsidRPr="00990FB6">
              <w:rPr>
                <w:sz w:val="22"/>
                <w:szCs w:val="22"/>
                <w:lang w:eastAsia="es-CR"/>
              </w:rPr>
              <w:t>Pago de atención veterinaria (a una razón de costo de 125.000 mensuales por 12 meses por 35 oficinas que se encargan de atender la ley de Bienestar Animal en todo el país)</w:t>
            </w:r>
          </w:p>
        </w:tc>
        <w:tc>
          <w:tcPr>
            <w:tcW w:w="1843" w:type="dxa"/>
            <w:shd w:val="clear" w:color="auto" w:fill="auto"/>
            <w:noWrap/>
            <w:vAlign w:val="center"/>
            <w:hideMark/>
          </w:tcPr>
          <w:p w14:paraId="70955D21" w14:textId="77777777" w:rsidR="00B15F7D" w:rsidRPr="00990FB6" w:rsidRDefault="00B15F7D" w:rsidP="00B15F7D">
            <w:pPr>
              <w:jc w:val="center"/>
              <w:rPr>
                <w:sz w:val="22"/>
                <w:szCs w:val="22"/>
                <w:lang w:eastAsia="es-CR"/>
              </w:rPr>
            </w:pPr>
            <w:r w:rsidRPr="00990FB6">
              <w:rPr>
                <w:sz w:val="22"/>
                <w:szCs w:val="22"/>
                <w:lang w:eastAsia="es-CR"/>
              </w:rPr>
              <w:t>₡ 52 500 000,00</w:t>
            </w:r>
          </w:p>
        </w:tc>
        <w:tc>
          <w:tcPr>
            <w:tcW w:w="1985" w:type="dxa"/>
            <w:vMerge/>
            <w:vAlign w:val="center"/>
            <w:hideMark/>
          </w:tcPr>
          <w:p w14:paraId="2D22B606" w14:textId="77777777" w:rsidR="00B15F7D" w:rsidRPr="00990FB6" w:rsidRDefault="00B15F7D" w:rsidP="00B15F7D">
            <w:pPr>
              <w:jc w:val="center"/>
              <w:rPr>
                <w:sz w:val="22"/>
                <w:szCs w:val="22"/>
                <w:lang w:eastAsia="es-CR"/>
              </w:rPr>
            </w:pPr>
          </w:p>
        </w:tc>
      </w:tr>
      <w:tr w:rsidR="00B15F7D" w:rsidRPr="00990FB6" w14:paraId="5DFAE38F" w14:textId="77777777" w:rsidTr="000A0C22">
        <w:trPr>
          <w:trHeight w:val="300"/>
          <w:jc w:val="center"/>
        </w:trPr>
        <w:tc>
          <w:tcPr>
            <w:tcW w:w="3964" w:type="dxa"/>
            <w:shd w:val="clear" w:color="000000" w:fill="DDEBF7"/>
            <w:vAlign w:val="center"/>
            <w:hideMark/>
          </w:tcPr>
          <w:p w14:paraId="4FE6E8A2" w14:textId="77777777" w:rsidR="00B15F7D" w:rsidRPr="00990FB6" w:rsidRDefault="00B15F7D" w:rsidP="00B15F7D">
            <w:pPr>
              <w:jc w:val="center"/>
              <w:rPr>
                <w:b/>
                <w:bCs/>
                <w:sz w:val="22"/>
                <w:szCs w:val="22"/>
                <w:lang w:eastAsia="es-CR"/>
              </w:rPr>
            </w:pPr>
            <w:r w:rsidRPr="00990FB6">
              <w:rPr>
                <w:b/>
                <w:bCs/>
                <w:sz w:val="22"/>
                <w:szCs w:val="22"/>
                <w:lang w:eastAsia="es-CR"/>
              </w:rPr>
              <w:t>Total</w:t>
            </w:r>
          </w:p>
        </w:tc>
        <w:tc>
          <w:tcPr>
            <w:tcW w:w="1843" w:type="dxa"/>
            <w:shd w:val="clear" w:color="000000" w:fill="DDEBF7"/>
            <w:vAlign w:val="center"/>
            <w:hideMark/>
          </w:tcPr>
          <w:p w14:paraId="68776158" w14:textId="77777777" w:rsidR="00B15F7D" w:rsidRPr="00990FB6" w:rsidRDefault="00B15F7D" w:rsidP="00B15F7D">
            <w:pPr>
              <w:jc w:val="center"/>
              <w:rPr>
                <w:b/>
                <w:bCs/>
                <w:sz w:val="22"/>
                <w:szCs w:val="22"/>
                <w:lang w:eastAsia="es-CR"/>
              </w:rPr>
            </w:pPr>
            <w:r w:rsidRPr="00990FB6">
              <w:rPr>
                <w:b/>
                <w:bCs/>
                <w:sz w:val="22"/>
                <w:szCs w:val="22"/>
                <w:lang w:eastAsia="es-CR"/>
              </w:rPr>
              <w:t>₡586 212 000,00</w:t>
            </w:r>
          </w:p>
        </w:tc>
        <w:tc>
          <w:tcPr>
            <w:tcW w:w="1985" w:type="dxa"/>
            <w:shd w:val="clear" w:color="000000" w:fill="DDEBF7"/>
            <w:vAlign w:val="center"/>
            <w:hideMark/>
          </w:tcPr>
          <w:p w14:paraId="46DE6CA5" w14:textId="77777777" w:rsidR="00B15F7D" w:rsidRPr="00990FB6" w:rsidRDefault="00B15F7D" w:rsidP="00B15F7D">
            <w:pPr>
              <w:jc w:val="center"/>
              <w:rPr>
                <w:b/>
                <w:bCs/>
                <w:sz w:val="22"/>
                <w:szCs w:val="22"/>
                <w:lang w:eastAsia="es-CR"/>
              </w:rPr>
            </w:pPr>
            <w:r w:rsidRPr="00990FB6">
              <w:rPr>
                <w:b/>
                <w:bCs/>
                <w:sz w:val="22"/>
                <w:szCs w:val="22"/>
                <w:lang w:eastAsia="es-CR"/>
              </w:rPr>
              <w:t>₡586 212 000,00</w:t>
            </w:r>
          </w:p>
        </w:tc>
      </w:tr>
    </w:tbl>
    <w:p w14:paraId="7CF8DB2F" w14:textId="77777777" w:rsidR="00B15F7D" w:rsidRPr="00990FB6" w:rsidRDefault="00B15F7D" w:rsidP="00B15F7D">
      <w:pPr>
        <w:ind w:left="720"/>
        <w:contextualSpacing/>
        <w:jc w:val="both"/>
        <w:rPr>
          <w:rFonts w:eastAsia="Calibri"/>
          <w:sz w:val="22"/>
          <w:szCs w:val="22"/>
        </w:rPr>
      </w:pPr>
    </w:p>
    <w:p w14:paraId="71FD8C0A" w14:textId="77777777" w:rsidR="00B15F7D" w:rsidRPr="00990FB6" w:rsidRDefault="00B15F7D" w:rsidP="00B15F7D">
      <w:pPr>
        <w:ind w:left="851" w:right="851" w:firstLine="709"/>
        <w:jc w:val="both"/>
        <w:rPr>
          <w:rFonts w:eastAsia="Calibri"/>
          <w:sz w:val="22"/>
          <w:szCs w:val="22"/>
        </w:rPr>
      </w:pPr>
      <w:r w:rsidRPr="00990FB6">
        <w:rPr>
          <w:rFonts w:eastAsia="Calibri"/>
          <w:sz w:val="22"/>
          <w:szCs w:val="22"/>
        </w:rPr>
        <w:lastRenderedPageBreak/>
        <w:t>El costo de la implementación para el 2024 de la Ley de Bienestar Animal, se estimó en ₡586 212 000,00.</w:t>
      </w:r>
    </w:p>
    <w:p w14:paraId="26F2401D" w14:textId="77777777" w:rsidR="00B15F7D" w:rsidRPr="00990FB6" w:rsidRDefault="00B15F7D" w:rsidP="00B15F7D">
      <w:pPr>
        <w:ind w:left="851" w:right="851" w:firstLine="709"/>
        <w:jc w:val="both"/>
        <w:rPr>
          <w:rFonts w:eastAsia="Calibri"/>
          <w:sz w:val="22"/>
          <w:szCs w:val="22"/>
        </w:rPr>
      </w:pPr>
    </w:p>
    <w:p w14:paraId="36926257" w14:textId="77777777" w:rsidR="00B15F7D" w:rsidRPr="00990FB6" w:rsidRDefault="00B15F7D" w:rsidP="00254CD4">
      <w:pPr>
        <w:numPr>
          <w:ilvl w:val="0"/>
          <w:numId w:val="203"/>
        </w:numPr>
        <w:suppressAutoHyphens w:val="0"/>
        <w:ind w:left="851" w:right="851" w:firstLine="709"/>
        <w:jc w:val="both"/>
        <w:rPr>
          <w:rFonts w:eastAsiaTheme="majorEastAsia"/>
          <w:b/>
          <w:bCs/>
          <w:sz w:val="22"/>
          <w:szCs w:val="22"/>
        </w:rPr>
      </w:pPr>
      <w:bookmarkStart w:id="79" w:name="_Hlk97225201"/>
      <w:r w:rsidRPr="00990FB6">
        <w:rPr>
          <w:rFonts w:eastAsiaTheme="majorEastAsia"/>
          <w:b/>
          <w:bCs/>
          <w:sz w:val="22"/>
          <w:szCs w:val="22"/>
        </w:rPr>
        <w:t>Anexos</w:t>
      </w:r>
    </w:p>
    <w:p w14:paraId="28D37A39" w14:textId="77777777" w:rsidR="00B15F7D" w:rsidRPr="00990FB6" w:rsidRDefault="00B15F7D" w:rsidP="00B15F7D">
      <w:pPr>
        <w:suppressAutoHyphens w:val="0"/>
        <w:ind w:left="1560" w:right="851"/>
        <w:contextualSpacing/>
        <w:jc w:val="both"/>
        <w:rPr>
          <w:rFonts w:eastAsiaTheme="majorEastAsia"/>
          <w:b/>
          <w:bCs/>
          <w:sz w:val="22"/>
          <w:szCs w:val="22"/>
        </w:rPr>
      </w:pPr>
    </w:p>
    <w:tbl>
      <w:tblPr>
        <w:tblW w:w="84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896"/>
        <w:gridCol w:w="3893"/>
        <w:gridCol w:w="2701"/>
      </w:tblGrid>
      <w:tr w:rsidR="00B15F7D" w:rsidRPr="00990FB6" w14:paraId="06B269E8" w14:textId="77777777" w:rsidTr="000A0C22">
        <w:trPr>
          <w:trHeight w:val="335"/>
          <w:tblHeader/>
          <w:jc w:val="center"/>
        </w:trPr>
        <w:tc>
          <w:tcPr>
            <w:tcW w:w="0" w:type="auto"/>
            <w:shd w:val="clear" w:color="auto" w:fill="002060"/>
            <w:noWrap/>
            <w:vAlign w:val="center"/>
            <w:hideMark/>
          </w:tcPr>
          <w:bookmarkEnd w:id="79"/>
          <w:p w14:paraId="5404B5A5" w14:textId="77777777" w:rsidR="00B15F7D" w:rsidRPr="00990FB6" w:rsidRDefault="00B15F7D" w:rsidP="00B15F7D">
            <w:pPr>
              <w:jc w:val="center"/>
              <w:rPr>
                <w:b/>
                <w:bCs/>
                <w:sz w:val="22"/>
                <w:szCs w:val="22"/>
                <w:lang w:eastAsia="es-CR"/>
              </w:rPr>
            </w:pPr>
            <w:r w:rsidRPr="00990FB6">
              <w:rPr>
                <w:b/>
                <w:bCs/>
                <w:sz w:val="22"/>
                <w:szCs w:val="22"/>
                <w:lang w:eastAsia="es-CR"/>
              </w:rPr>
              <w:t>Anexo</w:t>
            </w:r>
          </w:p>
        </w:tc>
        <w:tc>
          <w:tcPr>
            <w:tcW w:w="3893" w:type="dxa"/>
            <w:shd w:val="clear" w:color="auto" w:fill="002060"/>
            <w:noWrap/>
            <w:vAlign w:val="center"/>
            <w:hideMark/>
          </w:tcPr>
          <w:p w14:paraId="53B96C15" w14:textId="77777777" w:rsidR="00B15F7D" w:rsidRPr="00990FB6" w:rsidRDefault="00B15F7D" w:rsidP="00B15F7D">
            <w:pPr>
              <w:jc w:val="center"/>
              <w:rPr>
                <w:b/>
                <w:bCs/>
                <w:sz w:val="22"/>
                <w:szCs w:val="22"/>
                <w:lang w:eastAsia="es-CR"/>
              </w:rPr>
            </w:pPr>
            <w:r w:rsidRPr="00990FB6">
              <w:rPr>
                <w:b/>
                <w:bCs/>
                <w:sz w:val="22"/>
                <w:szCs w:val="22"/>
                <w:lang w:eastAsia="es-CR"/>
              </w:rPr>
              <w:t>Nombre</w:t>
            </w:r>
          </w:p>
        </w:tc>
        <w:tc>
          <w:tcPr>
            <w:tcW w:w="2701" w:type="dxa"/>
            <w:shd w:val="clear" w:color="auto" w:fill="002060"/>
            <w:noWrap/>
            <w:vAlign w:val="center"/>
            <w:hideMark/>
          </w:tcPr>
          <w:p w14:paraId="0B74461C" w14:textId="77777777" w:rsidR="00B15F7D" w:rsidRPr="00990FB6" w:rsidRDefault="00B15F7D" w:rsidP="00B15F7D">
            <w:pPr>
              <w:jc w:val="center"/>
              <w:rPr>
                <w:b/>
                <w:bCs/>
                <w:sz w:val="22"/>
                <w:szCs w:val="22"/>
                <w:lang w:eastAsia="es-CR"/>
              </w:rPr>
            </w:pPr>
            <w:r w:rsidRPr="00990FB6">
              <w:rPr>
                <w:b/>
                <w:bCs/>
                <w:sz w:val="22"/>
                <w:szCs w:val="22"/>
                <w:lang w:eastAsia="es-CR"/>
              </w:rPr>
              <w:t>Documento</w:t>
            </w:r>
          </w:p>
        </w:tc>
      </w:tr>
      <w:tr w:rsidR="00B15F7D" w:rsidRPr="00990FB6" w14:paraId="5FEC3FD0" w14:textId="77777777" w:rsidTr="000A0C22">
        <w:trPr>
          <w:trHeight w:val="459"/>
          <w:jc w:val="center"/>
        </w:trPr>
        <w:tc>
          <w:tcPr>
            <w:tcW w:w="0" w:type="auto"/>
            <w:shd w:val="clear" w:color="auto" w:fill="FFFFFF" w:themeFill="background1"/>
            <w:noWrap/>
            <w:vAlign w:val="center"/>
          </w:tcPr>
          <w:p w14:paraId="05959292" w14:textId="77777777" w:rsidR="00B15F7D" w:rsidRPr="00990FB6" w:rsidRDefault="00B15F7D" w:rsidP="00B15F7D">
            <w:pPr>
              <w:jc w:val="center"/>
              <w:rPr>
                <w:rFonts w:eastAsia="Calibri"/>
                <w:sz w:val="22"/>
                <w:szCs w:val="22"/>
              </w:rPr>
            </w:pPr>
            <w:r w:rsidRPr="00990FB6">
              <w:rPr>
                <w:rFonts w:eastAsia="Calibri"/>
                <w:sz w:val="22"/>
                <w:szCs w:val="22"/>
              </w:rPr>
              <w:t>Anexo 1</w:t>
            </w:r>
          </w:p>
        </w:tc>
        <w:tc>
          <w:tcPr>
            <w:tcW w:w="3893" w:type="dxa"/>
            <w:shd w:val="clear" w:color="auto" w:fill="FFFFFF" w:themeFill="background1"/>
            <w:vAlign w:val="center"/>
          </w:tcPr>
          <w:p w14:paraId="5624A1BC" w14:textId="77777777" w:rsidR="00B15F7D" w:rsidRPr="00990FB6" w:rsidRDefault="00B15F7D" w:rsidP="00B15F7D">
            <w:pPr>
              <w:jc w:val="both"/>
              <w:rPr>
                <w:sz w:val="22"/>
                <w:szCs w:val="22"/>
              </w:rPr>
            </w:pPr>
            <w:r w:rsidRPr="00990FB6">
              <w:rPr>
                <w:sz w:val="22"/>
                <w:szCs w:val="22"/>
              </w:rPr>
              <w:t>Información aportada por el Registro Judicial</w:t>
            </w:r>
          </w:p>
        </w:tc>
        <w:tc>
          <w:tcPr>
            <w:tcW w:w="2701" w:type="dxa"/>
            <w:shd w:val="clear" w:color="auto" w:fill="FFFFFF" w:themeFill="background1"/>
            <w:noWrap/>
            <w:vAlign w:val="center"/>
          </w:tcPr>
          <w:p w14:paraId="565D9A10" w14:textId="77777777" w:rsidR="00B15F7D" w:rsidRPr="00990FB6" w:rsidRDefault="00B15F7D" w:rsidP="00B15F7D">
            <w:pPr>
              <w:jc w:val="center"/>
              <w:rPr>
                <w:sz w:val="22"/>
                <w:szCs w:val="22"/>
              </w:rPr>
            </w:pPr>
            <w:r w:rsidRPr="00990FB6">
              <w:rPr>
                <w:sz w:val="22"/>
                <w:szCs w:val="22"/>
              </w:rPr>
              <w:object w:dxaOrig="1454" w:dyaOrig="905" w14:anchorId="334E4707">
                <v:shape id="_x0000_i1072" type="#_x0000_t75" style="width:71.95pt;height:41pt" o:ole="">
                  <v:imagedata r:id="rId174" o:title=""/>
                </v:shape>
                <o:OLEObject Type="Embed" ProgID="Acrobat.Document.DC" ShapeID="_x0000_i1072" DrawAspect="Icon" ObjectID="_1748679200" r:id="rId175"/>
              </w:object>
            </w:r>
          </w:p>
        </w:tc>
      </w:tr>
      <w:tr w:rsidR="00B15F7D" w:rsidRPr="00990FB6" w14:paraId="0D4209C8" w14:textId="77777777" w:rsidTr="000A0C22">
        <w:trPr>
          <w:trHeight w:val="650"/>
          <w:jc w:val="center"/>
        </w:trPr>
        <w:tc>
          <w:tcPr>
            <w:tcW w:w="0" w:type="auto"/>
            <w:shd w:val="clear" w:color="auto" w:fill="FFFFFF" w:themeFill="background1"/>
            <w:noWrap/>
            <w:vAlign w:val="center"/>
          </w:tcPr>
          <w:p w14:paraId="0558ECE7" w14:textId="77777777" w:rsidR="00B15F7D" w:rsidRPr="00990FB6" w:rsidRDefault="00B15F7D" w:rsidP="00B15F7D">
            <w:pPr>
              <w:jc w:val="center"/>
              <w:rPr>
                <w:rFonts w:eastAsia="Calibri"/>
                <w:sz w:val="22"/>
                <w:szCs w:val="22"/>
              </w:rPr>
            </w:pPr>
            <w:r w:rsidRPr="00990FB6">
              <w:rPr>
                <w:rFonts w:eastAsia="Calibri"/>
                <w:sz w:val="22"/>
                <w:szCs w:val="22"/>
              </w:rPr>
              <w:t>Anexo 2</w:t>
            </w:r>
          </w:p>
        </w:tc>
        <w:tc>
          <w:tcPr>
            <w:tcW w:w="3893" w:type="dxa"/>
            <w:shd w:val="clear" w:color="auto" w:fill="FFFFFF" w:themeFill="background1"/>
            <w:vAlign w:val="center"/>
          </w:tcPr>
          <w:p w14:paraId="3F850155" w14:textId="77777777" w:rsidR="00B15F7D" w:rsidRPr="00990FB6" w:rsidRDefault="00B15F7D" w:rsidP="00B15F7D">
            <w:pPr>
              <w:jc w:val="both"/>
              <w:rPr>
                <w:sz w:val="22"/>
                <w:szCs w:val="22"/>
              </w:rPr>
            </w:pPr>
            <w:r w:rsidRPr="00990FB6">
              <w:rPr>
                <w:sz w:val="22"/>
                <w:szCs w:val="22"/>
              </w:rPr>
              <w:t>Respuesta DTIC respecto al módulo en el Registro Judicial</w:t>
            </w:r>
          </w:p>
        </w:tc>
        <w:tc>
          <w:tcPr>
            <w:tcW w:w="2701" w:type="dxa"/>
            <w:shd w:val="clear" w:color="auto" w:fill="FFFFFF" w:themeFill="background1"/>
            <w:noWrap/>
            <w:vAlign w:val="center"/>
          </w:tcPr>
          <w:p w14:paraId="6C90E22F" w14:textId="77777777" w:rsidR="00B15F7D" w:rsidRPr="00990FB6" w:rsidRDefault="00B15F7D" w:rsidP="00B15F7D">
            <w:pPr>
              <w:jc w:val="center"/>
              <w:rPr>
                <w:sz w:val="22"/>
                <w:szCs w:val="22"/>
              </w:rPr>
            </w:pPr>
            <w:r w:rsidRPr="00990FB6">
              <w:rPr>
                <w:sz w:val="22"/>
                <w:szCs w:val="22"/>
              </w:rPr>
              <w:object w:dxaOrig="1454" w:dyaOrig="905" w14:anchorId="5D07A265">
                <v:shape id="_x0000_i1073" type="#_x0000_t75" style="width:71.95pt;height:41pt" o:ole="">
                  <v:imagedata r:id="rId176" o:title=""/>
                </v:shape>
                <o:OLEObject Type="Embed" ProgID="Acrobat.Document.DC" ShapeID="_x0000_i1073" DrawAspect="Icon" ObjectID="_1748679201" r:id="rId177"/>
              </w:object>
            </w:r>
          </w:p>
        </w:tc>
      </w:tr>
      <w:tr w:rsidR="00B15F7D" w:rsidRPr="00990FB6" w14:paraId="041F8E3F" w14:textId="77777777" w:rsidTr="000A0C22">
        <w:trPr>
          <w:trHeight w:val="425"/>
          <w:jc w:val="center"/>
        </w:trPr>
        <w:tc>
          <w:tcPr>
            <w:tcW w:w="0" w:type="auto"/>
            <w:shd w:val="clear" w:color="auto" w:fill="FFFFFF" w:themeFill="background1"/>
            <w:noWrap/>
            <w:vAlign w:val="center"/>
            <w:hideMark/>
          </w:tcPr>
          <w:p w14:paraId="397DF5EE" w14:textId="77777777" w:rsidR="00B15F7D" w:rsidRPr="00990FB6" w:rsidRDefault="00B15F7D" w:rsidP="00B15F7D">
            <w:pPr>
              <w:jc w:val="center"/>
              <w:rPr>
                <w:rFonts w:eastAsia="Calibri"/>
                <w:sz w:val="22"/>
                <w:szCs w:val="22"/>
              </w:rPr>
            </w:pPr>
            <w:r w:rsidRPr="00990FB6">
              <w:rPr>
                <w:rFonts w:eastAsia="Calibri"/>
                <w:sz w:val="22"/>
                <w:szCs w:val="22"/>
              </w:rPr>
              <w:t>Anexo 3</w:t>
            </w:r>
          </w:p>
        </w:tc>
        <w:tc>
          <w:tcPr>
            <w:tcW w:w="3893" w:type="dxa"/>
            <w:shd w:val="clear" w:color="auto" w:fill="FFFFFF" w:themeFill="background1"/>
            <w:vAlign w:val="center"/>
          </w:tcPr>
          <w:p w14:paraId="30506EBF" w14:textId="77777777" w:rsidR="00B15F7D" w:rsidRPr="00990FB6" w:rsidRDefault="00B15F7D" w:rsidP="00B15F7D">
            <w:pPr>
              <w:jc w:val="both"/>
              <w:rPr>
                <w:sz w:val="22"/>
                <w:szCs w:val="22"/>
              </w:rPr>
            </w:pPr>
            <w:r w:rsidRPr="00990FB6">
              <w:rPr>
                <w:sz w:val="22"/>
                <w:szCs w:val="22"/>
              </w:rPr>
              <w:t>Minuta 52-PLA-MI(NPL)MNTA-2023</w:t>
            </w:r>
          </w:p>
        </w:tc>
        <w:tc>
          <w:tcPr>
            <w:tcW w:w="2701" w:type="dxa"/>
            <w:shd w:val="clear" w:color="auto" w:fill="FFFFFF" w:themeFill="background1"/>
            <w:noWrap/>
            <w:vAlign w:val="center"/>
          </w:tcPr>
          <w:p w14:paraId="18B57393" w14:textId="77777777" w:rsidR="00B15F7D" w:rsidRPr="00990FB6" w:rsidRDefault="00B15F7D" w:rsidP="00B15F7D">
            <w:pPr>
              <w:jc w:val="center"/>
              <w:rPr>
                <w:sz w:val="22"/>
                <w:szCs w:val="22"/>
              </w:rPr>
            </w:pPr>
            <w:r w:rsidRPr="00990FB6">
              <w:rPr>
                <w:sz w:val="22"/>
                <w:szCs w:val="22"/>
              </w:rPr>
              <w:object w:dxaOrig="1454" w:dyaOrig="905" w14:anchorId="08EDE824">
                <v:shape id="_x0000_i1074" type="#_x0000_t75" style="width:71.95pt;height:41pt" o:ole="">
                  <v:imagedata r:id="rId178" o:title=""/>
                </v:shape>
                <o:OLEObject Type="Embed" ProgID="Acrobat.Document.DC" ShapeID="_x0000_i1074" DrawAspect="Icon" ObjectID="_1748679202" r:id="rId179"/>
              </w:object>
            </w:r>
          </w:p>
        </w:tc>
      </w:tr>
      <w:tr w:rsidR="00B15F7D" w:rsidRPr="00990FB6" w14:paraId="3599AE46" w14:textId="77777777" w:rsidTr="000A0C22">
        <w:trPr>
          <w:trHeight w:val="425"/>
          <w:jc w:val="center"/>
        </w:trPr>
        <w:tc>
          <w:tcPr>
            <w:tcW w:w="0" w:type="auto"/>
            <w:shd w:val="clear" w:color="auto" w:fill="FFFFFF" w:themeFill="background1"/>
            <w:noWrap/>
            <w:vAlign w:val="center"/>
          </w:tcPr>
          <w:p w14:paraId="49A0B112" w14:textId="77777777" w:rsidR="00B15F7D" w:rsidRPr="00990FB6" w:rsidRDefault="00B15F7D" w:rsidP="00B15F7D">
            <w:pPr>
              <w:jc w:val="center"/>
              <w:rPr>
                <w:rFonts w:eastAsia="Calibri"/>
                <w:sz w:val="22"/>
                <w:szCs w:val="22"/>
              </w:rPr>
            </w:pPr>
            <w:r w:rsidRPr="00990FB6">
              <w:rPr>
                <w:rFonts w:eastAsia="Calibri"/>
                <w:sz w:val="22"/>
                <w:szCs w:val="22"/>
              </w:rPr>
              <w:t>Anexo 4</w:t>
            </w:r>
          </w:p>
        </w:tc>
        <w:tc>
          <w:tcPr>
            <w:tcW w:w="3893" w:type="dxa"/>
            <w:shd w:val="clear" w:color="auto" w:fill="FFFFFF" w:themeFill="background1"/>
            <w:vAlign w:val="center"/>
          </w:tcPr>
          <w:p w14:paraId="34B5E37F" w14:textId="77777777" w:rsidR="00B15F7D" w:rsidRPr="00990FB6" w:rsidRDefault="00B15F7D" w:rsidP="00B15F7D">
            <w:pPr>
              <w:jc w:val="both"/>
              <w:rPr>
                <w:sz w:val="22"/>
                <w:szCs w:val="22"/>
              </w:rPr>
            </w:pPr>
            <w:r w:rsidRPr="00990FB6">
              <w:rPr>
                <w:sz w:val="22"/>
                <w:szCs w:val="22"/>
              </w:rPr>
              <w:t>Circular 126-2021</w:t>
            </w:r>
          </w:p>
        </w:tc>
        <w:tc>
          <w:tcPr>
            <w:tcW w:w="2701" w:type="dxa"/>
            <w:shd w:val="clear" w:color="auto" w:fill="FFFFFF" w:themeFill="background1"/>
            <w:noWrap/>
            <w:vAlign w:val="center"/>
          </w:tcPr>
          <w:p w14:paraId="40E53E74" w14:textId="77777777" w:rsidR="00B15F7D" w:rsidRPr="00990FB6" w:rsidRDefault="00B15F7D" w:rsidP="00B15F7D">
            <w:pPr>
              <w:jc w:val="center"/>
              <w:rPr>
                <w:sz w:val="22"/>
                <w:szCs w:val="22"/>
              </w:rPr>
            </w:pPr>
            <w:r w:rsidRPr="00990FB6">
              <w:rPr>
                <w:sz w:val="22"/>
                <w:szCs w:val="22"/>
              </w:rPr>
              <w:object w:dxaOrig="1454" w:dyaOrig="905" w14:anchorId="29EF72B0">
                <v:shape id="_x0000_i1075" type="#_x0000_t75" style="width:71.95pt;height:41pt" o:ole="">
                  <v:imagedata r:id="rId180" o:title=""/>
                </v:shape>
                <o:OLEObject Type="Embed" ProgID="Acrobat.Document.DC" ShapeID="_x0000_i1075" DrawAspect="Icon" ObjectID="_1748679203" r:id="rId181"/>
              </w:object>
            </w:r>
          </w:p>
        </w:tc>
      </w:tr>
    </w:tbl>
    <w:p w14:paraId="63BF8DDE" w14:textId="77777777" w:rsidR="00B15F7D" w:rsidRPr="00990FB6" w:rsidRDefault="00B15F7D" w:rsidP="00B15F7D">
      <w:pPr>
        <w:jc w:val="both"/>
        <w:rPr>
          <w:i/>
          <w:iCs/>
          <w:sz w:val="22"/>
          <w:szCs w:val="22"/>
        </w:rPr>
      </w:pPr>
    </w:p>
    <w:p w14:paraId="46B260B4" w14:textId="354F30CE" w:rsidR="00B15F7D" w:rsidRPr="00990FB6" w:rsidRDefault="00B15F7D" w:rsidP="00B15F7D">
      <w:pPr>
        <w:ind w:left="851" w:right="851" w:firstLine="709"/>
        <w:jc w:val="both"/>
        <w:rPr>
          <w:rFonts w:eastAsia="Calibri"/>
          <w:sz w:val="22"/>
          <w:szCs w:val="22"/>
        </w:rPr>
      </w:pPr>
      <w:r w:rsidRPr="00990FB6">
        <w:rPr>
          <w:rFonts w:eastAsia="Calibri"/>
          <w:sz w:val="22"/>
          <w:szCs w:val="22"/>
        </w:rPr>
        <w:t>Este informe cuenta con las revisiones y ajustes correspondientes de las jefaturas indicadas.</w:t>
      </w:r>
    </w:p>
    <w:p w14:paraId="3A102FDE" w14:textId="77777777" w:rsidR="006E4ED2" w:rsidRPr="00990FB6" w:rsidRDefault="006E4ED2" w:rsidP="00B15F7D">
      <w:pPr>
        <w:ind w:left="851" w:right="851" w:firstLine="709"/>
        <w:jc w:val="both"/>
        <w:rPr>
          <w:rFonts w:eastAsia="Calibri"/>
          <w:sz w:val="22"/>
          <w:szCs w:val="22"/>
        </w:rPr>
      </w:pPr>
    </w:p>
    <w:p w14:paraId="4434B82D" w14:textId="77777777" w:rsidR="00B15F7D" w:rsidRPr="00990FB6" w:rsidRDefault="00B15F7D" w:rsidP="00B15F7D">
      <w:pPr>
        <w:ind w:left="851" w:right="851"/>
        <w:jc w:val="center"/>
        <w:rPr>
          <w:sz w:val="22"/>
          <w:szCs w:val="22"/>
          <w:u w:color="000000"/>
          <w:lang w:eastAsia="es-CR"/>
        </w:rPr>
      </w:pPr>
      <w:r w:rsidRPr="00990FB6">
        <w:rPr>
          <w:sz w:val="22"/>
          <w:szCs w:val="22"/>
          <w:u w:color="000000"/>
          <w:lang w:eastAsia="es-CR"/>
        </w:rPr>
        <w:t>- 0 -</w:t>
      </w:r>
    </w:p>
    <w:p w14:paraId="358A6792" w14:textId="77777777" w:rsidR="00B15F7D" w:rsidRPr="00990FB6" w:rsidRDefault="00B15F7D" w:rsidP="00B15F7D">
      <w:pPr>
        <w:ind w:left="851" w:right="851" w:firstLine="709"/>
        <w:jc w:val="both"/>
        <w:rPr>
          <w:sz w:val="22"/>
          <w:szCs w:val="22"/>
          <w:u w:color="000000"/>
          <w:lang w:eastAsia="es-CR"/>
        </w:rPr>
      </w:pPr>
    </w:p>
    <w:p w14:paraId="19B421FC" w14:textId="77777777" w:rsidR="00B15F7D" w:rsidRPr="00990FB6" w:rsidRDefault="00B15F7D" w:rsidP="00B15F7D">
      <w:pPr>
        <w:suppressAutoHyphens w:val="0"/>
        <w:ind w:left="851" w:right="851" w:firstLine="709"/>
        <w:jc w:val="both"/>
        <w:rPr>
          <w:sz w:val="22"/>
          <w:szCs w:val="22"/>
        </w:rPr>
      </w:pPr>
      <w:r w:rsidRPr="00990FB6">
        <w:rPr>
          <w:b/>
          <w:bCs/>
          <w:sz w:val="22"/>
          <w:szCs w:val="22"/>
        </w:rPr>
        <w:t xml:space="preserve">Se acordó: 1.) </w:t>
      </w:r>
      <w:r w:rsidRPr="00990FB6">
        <w:rPr>
          <w:sz w:val="22"/>
          <w:szCs w:val="22"/>
        </w:rPr>
        <w:t xml:space="preserve">Aprobar el informe </w:t>
      </w:r>
      <w:r w:rsidRPr="00990FB6">
        <w:rPr>
          <w:sz w:val="22"/>
          <w:szCs w:val="22"/>
          <w:lang w:val="es-MX"/>
        </w:rPr>
        <w:t>268-PLA-RH-MI(NPL)-2023</w:t>
      </w:r>
      <w:r w:rsidRPr="00990FB6">
        <w:rPr>
          <w:sz w:val="22"/>
          <w:szCs w:val="22"/>
        </w:rPr>
        <w:t xml:space="preserve">, relacionado con la Formulación Presupuestaria 2024- Ley 9458 que reforma la Ley 4573, Código Penal y Ley 7451, Ley de Bienestar de los Animales 9458 y sus recomendaciones. </w:t>
      </w:r>
      <w:r w:rsidRPr="00990FB6">
        <w:rPr>
          <w:b/>
          <w:bCs/>
          <w:sz w:val="22"/>
          <w:szCs w:val="22"/>
        </w:rPr>
        <w:t xml:space="preserve">2.) </w:t>
      </w:r>
      <w:r w:rsidRPr="00990FB6">
        <w:rPr>
          <w:sz w:val="22"/>
          <w:szCs w:val="22"/>
        </w:rPr>
        <w:t>Hacer del conocimiento de la Corte Plena para que valore remitir al Ministerio de Hacienda el contenido económico actualizado y requerido se remitirá de forma independiente al presupuesto ordinario, ya que responde a una necesidad producto de una ley especial, que a la fecha se encuentra vigente y que la Asamblea Legislativa no ha asignado ningún recurso económico adicional para su implementación.</w:t>
      </w:r>
      <w:r w:rsidRPr="00990FB6">
        <w:rPr>
          <w:b/>
          <w:bCs/>
          <w:sz w:val="22"/>
          <w:szCs w:val="22"/>
        </w:rPr>
        <w:t xml:space="preserve"> Se declara este acuerdo firme.</w:t>
      </w:r>
      <w:r w:rsidRPr="00990FB6">
        <w:rPr>
          <w:sz w:val="22"/>
          <w:szCs w:val="22"/>
        </w:rPr>
        <w:t>”</w:t>
      </w:r>
    </w:p>
    <w:p w14:paraId="2E888123" w14:textId="77777777" w:rsidR="00B15F7D" w:rsidRPr="00990FB6" w:rsidRDefault="00B15F7D" w:rsidP="00B15F7D">
      <w:pPr>
        <w:suppressAutoHyphens w:val="0"/>
        <w:jc w:val="both"/>
        <w:rPr>
          <w:sz w:val="22"/>
          <w:szCs w:val="22"/>
        </w:rPr>
      </w:pPr>
    </w:p>
    <w:p w14:paraId="45CEE538" w14:textId="77777777" w:rsidR="00B15F7D" w:rsidRPr="00990FB6" w:rsidRDefault="00B15F7D" w:rsidP="00B15F7D">
      <w:pPr>
        <w:ind w:left="851" w:right="851"/>
        <w:jc w:val="center"/>
        <w:rPr>
          <w:sz w:val="22"/>
          <w:szCs w:val="22"/>
          <w:u w:color="000000"/>
          <w:lang w:eastAsia="es-CR"/>
        </w:rPr>
      </w:pPr>
      <w:r w:rsidRPr="00990FB6">
        <w:rPr>
          <w:sz w:val="22"/>
          <w:szCs w:val="22"/>
          <w:u w:color="000000"/>
          <w:lang w:eastAsia="es-CR"/>
        </w:rPr>
        <w:t>- 0 -</w:t>
      </w:r>
    </w:p>
    <w:p w14:paraId="2D3C7674" w14:textId="77777777" w:rsidR="00B15F7D" w:rsidRPr="00990FB6" w:rsidRDefault="00B15F7D" w:rsidP="00B15F7D">
      <w:pPr>
        <w:ind w:left="851" w:right="851"/>
        <w:jc w:val="center"/>
        <w:rPr>
          <w:b/>
          <w:bCs/>
          <w:color w:val="000000"/>
          <w:sz w:val="22"/>
          <w:szCs w:val="22"/>
          <w:shd w:val="clear" w:color="auto" w:fill="FFFFFF"/>
          <w:lang w:val="es-CR"/>
        </w:rPr>
      </w:pPr>
    </w:p>
    <w:p w14:paraId="03990335" w14:textId="5C91EC24" w:rsidR="00B15F7D" w:rsidRDefault="00B15F7D" w:rsidP="00B15F7D">
      <w:pPr>
        <w:widowControl w:val="0"/>
        <w:suppressAutoHyphens w:val="0"/>
        <w:autoSpaceDE w:val="0"/>
        <w:autoSpaceDN w:val="0"/>
        <w:adjustRightInd w:val="0"/>
        <w:ind w:firstLine="708"/>
        <w:jc w:val="both"/>
        <w:rPr>
          <w:sz w:val="22"/>
          <w:szCs w:val="22"/>
          <w:lang w:val="es-CR" w:eastAsia="es-CR"/>
        </w:rPr>
      </w:pPr>
      <w:r w:rsidRPr="00990FB6">
        <w:rPr>
          <w:rFonts w:eastAsia="Calibri"/>
          <w:sz w:val="22"/>
          <w:szCs w:val="22"/>
          <w:lang w:val="es-CR" w:eastAsia="es-CR"/>
        </w:rPr>
        <w:t>Expresa el se</w:t>
      </w:r>
      <w:r w:rsidRPr="00990FB6">
        <w:rPr>
          <w:sz w:val="22"/>
          <w:szCs w:val="22"/>
          <w:lang w:val="es-CR" w:eastAsia="es-CR"/>
        </w:rPr>
        <w:t xml:space="preserve">ñor Presidente, magistrado Aguirre: "Vamos a </w:t>
      </w:r>
      <w:proofErr w:type="gramStart"/>
      <w:r w:rsidRPr="00990FB6">
        <w:rPr>
          <w:sz w:val="22"/>
          <w:szCs w:val="22"/>
          <w:lang w:val="es-CR" w:eastAsia="es-CR"/>
        </w:rPr>
        <w:t>dar inicio a</w:t>
      </w:r>
      <w:proofErr w:type="gramEnd"/>
      <w:r w:rsidRPr="00990FB6">
        <w:rPr>
          <w:sz w:val="22"/>
          <w:szCs w:val="22"/>
          <w:lang w:val="es-CR" w:eastAsia="es-CR"/>
        </w:rPr>
        <w:t xml:space="preserve"> la sesión extraordinaria de hoy, treinta de setiembre, perdón, de mayo, yo estoy adelantándome, de dos mil veintitrés; que ha sido convocada para conocer del presupuesto o del proyecto de presupuesto para el próximo año.</w:t>
      </w:r>
    </w:p>
    <w:p w14:paraId="651D166A" w14:textId="77777777" w:rsidR="003B03CF" w:rsidRPr="00990FB6" w:rsidRDefault="003B03CF" w:rsidP="00B15F7D">
      <w:pPr>
        <w:widowControl w:val="0"/>
        <w:suppressAutoHyphens w:val="0"/>
        <w:autoSpaceDE w:val="0"/>
        <w:autoSpaceDN w:val="0"/>
        <w:adjustRightInd w:val="0"/>
        <w:ind w:firstLine="708"/>
        <w:jc w:val="both"/>
        <w:rPr>
          <w:sz w:val="22"/>
          <w:szCs w:val="22"/>
          <w:lang w:val="es-CR" w:eastAsia="es-CR"/>
        </w:rPr>
      </w:pPr>
    </w:p>
    <w:p w14:paraId="201CAB2C" w14:textId="1A093A1B"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Le vamos a dar la palabra a la señora directora de planificación, doña Nacira, para que nos haga la exposición correspondiente, iniciando por el artículo uno, sería. Tiene usted la palabra, doña Nacira".</w:t>
      </w:r>
    </w:p>
    <w:p w14:paraId="6F06EB35"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6DF8331" w14:textId="777A4271" w:rsidR="00B15F7D" w:rsidRPr="00990FB6" w:rsidRDefault="00B15F7D" w:rsidP="00B15F7D">
      <w:pPr>
        <w:ind w:firstLine="708"/>
        <w:jc w:val="both"/>
        <w:rPr>
          <w:b/>
          <w:bCs/>
          <w:color w:val="000000"/>
          <w:sz w:val="22"/>
          <w:szCs w:val="22"/>
          <w:shd w:val="clear" w:color="auto" w:fill="FFFFFF"/>
          <w:lang w:val="es-CR"/>
        </w:rPr>
      </w:pPr>
      <w:r w:rsidRPr="00990FB6">
        <w:rPr>
          <w:b/>
          <w:bCs/>
          <w:color w:val="000000"/>
          <w:sz w:val="22"/>
          <w:szCs w:val="22"/>
          <w:shd w:val="clear" w:color="auto" w:fill="FFFFFF"/>
          <w:lang w:val="es-CR"/>
        </w:rPr>
        <w:lastRenderedPageBreak/>
        <w:t>ENTRA EL MAGISTRADO CRUZ A LA SESIÓN POR VIDEOCONFERENCIA.</w:t>
      </w:r>
    </w:p>
    <w:p w14:paraId="2853E25D" w14:textId="77777777" w:rsidR="006E4ED2" w:rsidRPr="00990FB6" w:rsidRDefault="006E4ED2" w:rsidP="00B15F7D">
      <w:pPr>
        <w:ind w:firstLine="708"/>
        <w:jc w:val="both"/>
        <w:rPr>
          <w:b/>
          <w:bCs/>
          <w:color w:val="000000"/>
          <w:sz w:val="22"/>
          <w:szCs w:val="22"/>
          <w:shd w:val="clear" w:color="auto" w:fill="FFFFFF"/>
          <w:lang w:val="es-CR"/>
        </w:rPr>
      </w:pPr>
    </w:p>
    <w:p w14:paraId="47B897DD" w14:textId="7777777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Señala la máster Valverde Bermúdez, directora de planificación: "Buenas tardes don Orlando, señoras y señores magistrados, señoras y señores directores administrativos de los diferentes ámbitos de la institución, así como también los señores y señoras del Consejo Superior.</w:t>
      </w:r>
    </w:p>
    <w:p w14:paraId="51CDCE05"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0FA6C172" w14:textId="3978291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Bueno, esta presentación refiere al anteproyecto de presupuesto para el año dos mil veinticuatro. Este anteproyecto de presupuesto se ha caracterizado como todo un proceso de discusión y estudio por parte de la Dirección de Planificación, las diferentes áreas administrativas, los diferentes ámbitos de la institución, así como el Consejo Superior.</w:t>
      </w:r>
    </w:p>
    <w:p w14:paraId="1E1F7FD7"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0B57E2D2" w14:textId="5F656E2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En lo que les vamos a presentar en este detalle está lo que es propiamente el resumen del anteproyecto, el detalle de requerimientos, algunos presupuestos específicos relacionados con leyes, reformas y otros informes.</w:t>
      </w:r>
    </w:p>
    <w:p w14:paraId="513FD44A"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45A552CD" w14:textId="18BFF9F8"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Comentarles muy brevemente que, el proceso este año fue distinto al realizado en años anteriores, dado que, en el primer trimestre se lograron consolidar todas las necesidades propuestas por las oficinas, se analizaron en conjunto y después de ese análisis en conjunto, pues se dieron las sesiones de trabajo con las direcciones administrativas y posteriormente con el Consejo ya la discusión.</w:t>
      </w:r>
    </w:p>
    <w:p w14:paraId="17E565D4"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2666B5F" w14:textId="56803B79"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Bueno, hubo directrices que fueron dadas desde noviembre del dos mil veintidós, dado que el proceso de formulación en el Poder Judicial es sumamente complejo y amplio; entonces se tuvo que realizar desde noviembre del dos mil veintidós bajo todas las directrices que aprobó tanto el Consejo Superior como la Corte, con un cronograma de actividades que se viene desarrollando paso a paso y que hoy se culmina con esta presentación.</w:t>
      </w:r>
    </w:p>
    <w:p w14:paraId="1076796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5E3200BD" w14:textId="2C1C6C90"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Las solicitudes que recibimos fueron de todos los centros de responsabilidad, programas, consejos de administración, quienes tienen una participación importante; los consejos, también aprobando los presupuestos que se remiten de cada una de las zonas y fundamentando también cada una de las necesidades con sus metas a realizar para el año dos mil veinticuatro.</w:t>
      </w:r>
    </w:p>
    <w:p w14:paraId="597DABB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F533BC9" w14:textId="4531C920"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Bueno, todos estos análisis se dieron entonces en el Consejo Superior, hoy se da aquí en la Corte Plena, cumpliendo también con el cronograma, dado que está la sesión de trabajo del día de ayer y la sesión formal que se está realizando es parte del cronograma que también ya previamente había autorizado esta corte.</w:t>
      </w:r>
    </w:p>
    <w:p w14:paraId="21FDA033"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72961C9" w14:textId="19F79A9F"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 igualmente, como fecha límite para la presentación del presupuesto, se tiene, al Ministerio de Hacienda, el quince de junio de cada año como fecha legal ya establecida por ley, bueno, el proceso de formulación presupuestaria del dos mil veintitrés, perdón, del dos mil veinticuatro, se ha caracterizado por un proceso sumamente restrictivo desde las directrices y todas esas directrices, pues nos daban un crecimiento cero en las diferentes subpartidas, pues previniendo también toda la situación económica con la que está partiendo hoy el país.</w:t>
      </w:r>
    </w:p>
    <w:p w14:paraId="4AF3944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9995F13" w14:textId="7D8C9C24"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Esto es importante porque, bueno, a partir de ya, ese lineamiento que tenía el Poder Judicial, con el que veníamos trabajando, de al menos mantener el mismo presupuesto, partiendo de que teníamos que cubrir </w:t>
      </w:r>
      <w:r w:rsidRPr="00990FB6">
        <w:rPr>
          <w:sz w:val="22"/>
          <w:szCs w:val="22"/>
          <w:lang w:val="es-CR" w:eastAsia="es-CR"/>
        </w:rPr>
        <w:lastRenderedPageBreak/>
        <w:t>ciertas obligaciones presupuestarias que ya se venían ejecutando, como, por ejemplo, mantener lo que es la jurisdicción especializada crimen organizado; mantener el pago anualizado de tan importante construcción para el Poder Judicial como son las nuevas instalaciones en la provincia de Puntarenas, que si Dios lo permite pues para el año dos mil veinticuatro se tendría todo que pagar el monto anualizado por la entrega del fideicomiso de esas instalaciones. Montos que se deben de cubrir con el presupuesto ordinario e igualmente también se tenían que cubrir montos importantes a nivel de tecnología de la información para, este, cubrir ciertos rubros en obsolescencia y en temas de seguridad informática.</w:t>
      </w:r>
    </w:p>
    <w:p w14:paraId="164F194D"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BE1038A" w14:textId="738A5B23"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A partir de todo esto pues se recibió un comunicado del Ministerio de Hacienda, el Ministerio de Hacienda nos remite un monto máximo a cancelar, perdón, a presupuestar, de cuatrocientos ochenta mil quinientos sesenta y siete millones; nos identifica también un límite en el gasto corriente, ya que debemos de recordar que, a partir de la regla fiscal, estamos topados tanto en gasto corriente como en gasto de capital.</w:t>
      </w:r>
    </w:p>
    <w:p w14:paraId="1DD74873"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251A258" w14:textId="67032BA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Entonces, se nos indica también que el gasto de capital era de veintidós mil trescientos treinta y nueve millones, dentro del monto máximo debíamos incorporar los gastos de carácter ineludible que cubriera las operaciones de la institución, no se creaban plazas nuevas, no se da la autorización para la creación y el financiamiento del gasto considera, y esto es importante, porque dentro del límite el impuesto a personas jurídicas, los honorarios de la oficina de Defensa Civil, la Plataforma de Información Policial y el Centro Judicial la Intervención de las Comunicaciones.</w:t>
      </w:r>
    </w:p>
    <w:p w14:paraId="7FADC71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0CDE24E" w14:textId="27F1CB95" w:rsidR="00B15F7D"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Bajo ese lineamiento que nos llega del Ministerio de Hacienda, es importante indicar, que se genera una solicitud de la Presidencia de la Corte, dado que el monto límite que nos remiten pues significaba un rebajo de más de diez mil millones de colones al presupuesto del Poder Judicial.</w:t>
      </w:r>
    </w:p>
    <w:p w14:paraId="021BDC43" w14:textId="77777777" w:rsidR="003B03CF" w:rsidRPr="00990FB6" w:rsidRDefault="003B03CF" w:rsidP="00B15F7D">
      <w:pPr>
        <w:widowControl w:val="0"/>
        <w:suppressAutoHyphens w:val="0"/>
        <w:autoSpaceDE w:val="0"/>
        <w:autoSpaceDN w:val="0"/>
        <w:adjustRightInd w:val="0"/>
        <w:ind w:firstLine="708"/>
        <w:jc w:val="both"/>
        <w:rPr>
          <w:sz w:val="22"/>
          <w:szCs w:val="22"/>
          <w:lang w:val="es-CR" w:eastAsia="es-CR"/>
        </w:rPr>
      </w:pPr>
    </w:p>
    <w:p w14:paraId="256FD076" w14:textId="48BC4E2B"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Como les expliqué, pues, veníamos partiendo de al menos mantener el mismo monto del presupuesto del dos mil veintitrés y el lineamiento generaba esa disposición. Bueno, fue recibida, ese lineamiento fue recibido acá, en el Poder Judicial, establecimos lo que podíamos realizar, que era apegarnos al tipo de cambio que nos habían remitido para poder formular. </w:t>
      </w:r>
    </w:p>
    <w:p w14:paraId="7B0FAF18"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D9CF7BD" w14:textId="23BD2601"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También nos indicaron, bueno, que los rebajos que se iban a realizar en los diferentes ministerios, poderes judiciales debía de considerar la ejecución histórica de las distintas subpartidas e igualmente el máximo monto ajustado pues este debía incluir de forma prioritaria, les decía, los gastos ineludibles.</w:t>
      </w:r>
    </w:p>
    <w:p w14:paraId="2A67B8A0"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19D8E255" w14:textId="682297CE"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Bajo estos lineamientos del Ministerio de Hacienda hubo una participación de los diferentes programas, jefaturas de programas y se estableció la visita al Ministerio de Hacienda, tanto de la presidencia, las jefaturas administrativas, en donde se les explica que el presupuesto del Poder Judicial ha sido administrado de forma eficiente, dado que, el lineamiento del Ministerio de Hacienda decía, y nos parece muy positivo, que se esté planteando la forma de revisar de que realmente pues las instituciones ejecuten de forma eficiente sus recursos.</w:t>
      </w:r>
    </w:p>
    <w:p w14:paraId="1226B732"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06F9419" w14:textId="724EA83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Bueno, para el Poder Judicial, les indicamos que, para el 2022 la ejecución presupuestaria fue del 96.73 % y bueno, desde el 2015 al 2021, ahí se visualiza que la ejecución histórica del Poder Judicial ha superado el 92%, el 93%, y ahí sucesivamente hasta el 2022 un 96.73%. </w:t>
      </w:r>
    </w:p>
    <w:p w14:paraId="4E9848E1"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39145EB" w14:textId="4330C62A"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Esto, de forma se explicó también, se les explicó las necesidades con las que está urgido el Poder </w:t>
      </w:r>
      <w:r w:rsidRPr="00990FB6">
        <w:rPr>
          <w:sz w:val="22"/>
          <w:szCs w:val="22"/>
          <w:lang w:val="es-CR" w:eastAsia="es-CR"/>
        </w:rPr>
        <w:lastRenderedPageBreak/>
        <w:t>Judicial y el por qué no se podían rebajar los diez mil millones que originalmente se nos indicaban en el lineamiento.</w:t>
      </w:r>
    </w:p>
    <w:p w14:paraId="412F1EB6"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734231C" w14:textId="47BA03B5"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Bajo ese lineamiento, tal vez aquí es importante recordar, que la aplicación de la regla fiscal también tiene su explicación y Hacienda nos remite una tasa de crecimiento entre gasto corriente y gasto total, esto porque así se explica en el dato que nos remiten. Y hay un crecimiento por regla fiscal, una tasa de crecimiento del 3.53 %, ese 3.53 %.  Hacienda lo explica y lo indica que, el cálculo que ellos realizan lo realizan de forma agregada, entonces no es un aumento independiente para cada una de las instituciones, dado que, así ellos lo tienen estipulado en el reglamento.</w:t>
      </w:r>
    </w:p>
    <w:p w14:paraId="462D1D8E"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6633C1BC" w14:textId="4BD3B284"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Bueno, nosotros bajo ese principio hemos insistido en que este crecimiento se debía de haber realizado de forma independiente para el Poder Judicial, sin embargo, ellos mantienen el criterio de hacerlo de forma agregada. </w:t>
      </w:r>
    </w:p>
    <w:p w14:paraId="13745B4E"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A9C3DF5" w14:textId="71DF81A5"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Después de este comunicado que se recibe, la visita de explicación que se realiza al Ministerio de Hacienda, volvemos a reiterar entonces, que este decrecimiento para el Poder Judicial o este escenario para el Poder Judicial resulta ser de forma inviable.</w:t>
      </w:r>
    </w:p>
    <w:p w14:paraId="267D8DA1"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0701D918" w14:textId="39AF288A"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Hicimos un escenario responsable de qué significaría ese rebajo, y bueno, trabajamos con todos los jefes de programa, como los administrativos, Ministerio Público, Organismo de Investigación Judicial y bueno, proporcionalmente vemos, y aquí en este cuadro se visualiza la afectación en el caso de que se hubiese dado, en el administrativo significaba rebajar cuatro mil trescientos sesenta y tres millones, en el ámbito jurisdiccional dos mil cien millones, en el Organismo de Investigación Judicial dos mil setecientos cuarenta y un millones, en el Ministerio Público quinientos treinta y ocho millones, en Defensa Pública cuatrocientos seis millones, en Atención de Víctimas y Testigos doscientos cincuenta y seis millones y en Administración del Fondo de Jubilaciones un proporcional de ciento cincuenta y seis mil seiscientos treinta y ocho millones.</w:t>
      </w:r>
    </w:p>
    <w:p w14:paraId="0FB301D0"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CF20F36" w14:textId="61594D9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Esto, definitivamente resultaban afectaciones muy importantes para el Poder Judicial, desde tener que quitar contratos de enlaces, de mantenimientos telefónicos, contratos de servicios de escaneo, de mantenimientos de edificios, en el Organismo de Investigación Judicial significaba eliminar combustible, lubricantes, repuestos, chalecos antibalas, armas, radios de comunicación, disminuir viáticos. En fin, significaba cierre técnico por varios meses.</w:t>
      </w:r>
    </w:p>
    <w:p w14:paraId="3A01BF0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1D3E6BE0" w14:textId="700ADD23"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En el Ministerio Público también afectación grandísima, en peritajes, traducciones, ayudas económicas; en Defensa Pública también y en Atención de Víctimas y Testigos.</w:t>
      </w:r>
    </w:p>
    <w:p w14:paraId="6BD2873E"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EBD4185" w14:textId="069B355C"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Bajo este escenario se tuvo entonces la explicación y se tuvo la fundamentación al Ministerio de Hacienda, y bueno, se recibió entonces una aprobación verbal, hasta la fecha, por parte del Ministerio de Hacienda, en donde se nos indicaba que se restituía el monto de los diez mil y resto de millones de colones.</w:t>
      </w:r>
    </w:p>
    <w:p w14:paraId="0B5ACA30"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D8780A8" w14:textId="350B5D05"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rFonts w:eastAsia="Calibri"/>
          <w:sz w:val="22"/>
          <w:szCs w:val="22"/>
          <w:lang w:val="es-CR" w:eastAsia="es-CR"/>
        </w:rPr>
        <w:tab/>
        <w:t>Bajo ese principio entonces el escenario que se est</w:t>
      </w:r>
      <w:r w:rsidRPr="00990FB6">
        <w:rPr>
          <w:sz w:val="22"/>
          <w:szCs w:val="22"/>
          <w:lang w:val="es-CR" w:eastAsia="es-CR"/>
        </w:rPr>
        <w:t>á presentado ante esta Corte es mantener el mismo monto del presupuesto del año dos mil veintitrés, para cumplir al menos con las mínimas obligaciones con las que tiene hoy el Poder Judicial. Esta comunicación verbal la realizó el señor ministro al señor presidente, el señor ministro de Hacienda al señor presidente de la Corte.</w:t>
      </w:r>
    </w:p>
    <w:p w14:paraId="0FFC4A88"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125F71E5" w14:textId="5CC40258"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Es importante informarles también que, esta presupuestación está totalmente consolidada con la programación de objetivos y metas que sustentan el planteamiento de este presupuesto. Tenemos planteadas cinco mil quinientas setenta y cinco metas a nivel institucional, tenemos ya doscientas treinta y ocho metas asociadas a los ODS</w:t>
      </w:r>
      <w:r w:rsidRPr="00990FB6">
        <w:rPr>
          <w:rFonts w:eastAsia="Calibri"/>
          <w:sz w:val="22"/>
          <w:szCs w:val="22"/>
          <w:lang w:val="es-CR" w:eastAsia="es-CR"/>
        </w:rPr>
        <w:t xml:space="preserve"> y tenemos ochocientos cuarenta y nueve oficinas mapeadas a nivel nacional y que est</w:t>
      </w:r>
      <w:r w:rsidRPr="00990FB6">
        <w:rPr>
          <w:sz w:val="22"/>
          <w:szCs w:val="22"/>
          <w:lang w:val="es-CR" w:eastAsia="es-CR"/>
        </w:rPr>
        <w:t xml:space="preserve">án consolidadas en nuestro sistema informático que hoy sustentan la presupuestación. </w:t>
      </w:r>
    </w:p>
    <w:p w14:paraId="669AD9FC"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2A10EE4" w14:textId="5DA9879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Yo quiero dar una noticia que hoy es de primicia, porque tuvimos también hoy una sesión de trabajo con la Contraloría General de la República en donde estaba realizando un estudio al Poder Judicial en relación con todo lo que tiene que ver con la administración de los recursos visto en administración y en gestión por resultados.</w:t>
      </w:r>
    </w:p>
    <w:p w14:paraId="4BC38D0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7C54394" w14:textId="280682AA"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Hoy en la mañana tuvimos esa sesión y el informe salió positivo, fue muy positiva la sesión con la Contraloría y bueno, ahí está plasmado cómo el Poder Judicial viene de forma eficiente, con su modelo de gestión, orientando esta forma de trabajo y buscando realmente la mejora de sus resultados a partir de los planteamientos y programaciones que hoy está realizando el Poder Judicial dentro de su sistema para gerenciar los recursos que tiene asignados. </w:t>
      </w:r>
    </w:p>
    <w:p w14:paraId="1CCF78E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55BE5D41" w14:textId="5E5E9BF2"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Entonces, para nosotros es muy satisfactorio que también hoy se haya realizado esa comparecencia ante la Contraloría General de la República.</w:t>
      </w:r>
    </w:p>
    <w:p w14:paraId="6E91852D"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030C7450" w14:textId="5FAF0FA0"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Bueno, estas directrices, es importante que retomemos que para el 2024 ya esta institución había tomado directrices en cuanto al área de construcciones, dadas las limitaciones, solamente la Dirección Ejecutiva en coordinación con la Comisión de Construcciones deberían revisar las distintas necesidades institucionales con particular énfasis en proyectos de mantenimiento. </w:t>
      </w:r>
    </w:p>
    <w:p w14:paraId="59F745C4"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FD6D18B" w14:textId="7E3C457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Tecnología de la Información debía realizar también la carga de proyectos estratégicos para consignar también en lo que mayor se pueda en el sistema plurianual para asignar los recursos.</w:t>
      </w:r>
    </w:p>
    <w:p w14:paraId="6942018E"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F3188FB" w14:textId="2442934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En limpieza y seguridad no se podían ampliar los servicios por conceptos de seguridad y limpieza, de igual manera por el impacto que generaban los gastos corrientes, ya que estamos limitados en gasto corriente y el presupuesto máximo autorizado por el Consejo Superior para el 2024 debía ser igual o menor al aprobado en el 2023. Bajo estos lineamientos es que entonces venimos trabajando. </w:t>
      </w:r>
    </w:p>
    <w:p w14:paraId="29180952"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A60DA99" w14:textId="1A2A4710"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Sí queremos hacer énfasis y es muy importante para conocimiento de ustedes, que llegar al mismo monto del presupuesto 2023 al 2024 para esta institución tampoco fue sencillo, hubo que realizar rebajos a lo interno de la institución, reacomodos internos para lograr ingresar en ese monto, sin crecimiento alguno.</w:t>
      </w:r>
    </w:p>
    <w:p w14:paraId="62F4F41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0AF227C" w14:textId="6A454144"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Bueno, desde acá podemos decir que la partida de salarios, de remuneraciones, se tuvo que realizar un rebajo de seiscientos treinta y seis millones, sin afectar al presupuesto ordinario de remuneraciones; en prestaciones legales se rebajó la suma de trescientos dos millones, ajustándola a la ejecución presupuestaria; en vehículos se aplicó una nueva metodología propuesta por la Dirección Ejecutiva, con la finalidad de ampliar los aspectos a tomar en consideración para cambiar los vehículos, entonces ya no se considera solo la antigüedad sino también desgaste, uso, kilometraje, mantenimiento y se logra también a lo interno ajustar la suma de cuatrocientos millones. </w:t>
      </w:r>
    </w:p>
    <w:p w14:paraId="7DE5B3E7"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9CAAF08" w14:textId="70339BD4"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La Dirección de Gestión Humana también, dentro de sus análisis, rebaja la coletilla de reasignaciones por cien millones de colones, que ajustándolas con cargas sociales y aguinaldo proporcional totalizaron ciento treinta y ocho millones de colones; el Organismo de Investigación Judicial propuso una reestructuración que fue aprobada por el Consejo Superior para darle mayor sostenibilidad a su estructura para aplicar la jurisdicción de crimen organizado; bueno, esta reestructuración se está proponiendo con los mismos recursos internos del Organismo de Investigación Judicial para buscar implementar de la mejor manera y no tener crecimiento adicional de sus recursos. </w:t>
      </w:r>
    </w:p>
    <w:p w14:paraId="06EDF80C"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FA9CAC0" w14:textId="7251AAB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El área de Informática se ajustó en mil doscientos trece millones, en diferentes subpartidas, situación que también fue informada, y aquí es importante indicar que, de estos mil doscientos, seiscientos cincuenta y siete millones fueron aprobados para poder cancelar los recursos por el fideicomiso de emergencia, dada la urgencia que tiene el Poder Judicial de seguir fortaleciendo todas las normas en seguridad de todos los sistemas del Poder Judicial.</w:t>
      </w:r>
    </w:p>
    <w:p w14:paraId="420F1DD3"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FD429E6" w14:textId="58F7FE7E"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Siendo así cada una de estas áreas ha tenido que rebajar recursos para poder fortalecer las diferentes áreas que así fueron también dadas como prioritarias en la institución. </w:t>
      </w:r>
    </w:p>
    <w:p w14:paraId="3CEB159E"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9584A06" w14:textId="21A9332E"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El área de construcciones tuvo que ajustar en la suma de cuatrocientos cincuenta millones un proyecto de medio de egresos en el OIJ en San Joaquín de Flores, así que se asignó el proyecto por etapas. </w:t>
      </w:r>
    </w:p>
    <w:p w14:paraId="731D2AF3"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B1CB07A" w14:textId="410591CE"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Los recursos para aporte de cesantías se ajustaron quedando también de la misma forma presupuestados que el 2023. </w:t>
      </w:r>
    </w:p>
    <w:p w14:paraId="0DB76A7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16AB3288" w14:textId="507C673E"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Se logra un ajuste de la cuota de fideicomiso por ahorro en tipos de cambio y rebaja también la suma de cien millones.</w:t>
      </w:r>
    </w:p>
    <w:p w14:paraId="4F9193B5"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40BE48C6" w14:textId="1EDC6CF5"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La póliza de riesgos de trabajo también se ajusta a la ejecución presupuestaria del 2022 y se tiene un ahorro de ciento setenta y un </w:t>
      </w:r>
      <w:proofErr w:type="spellStart"/>
      <w:r w:rsidRPr="00990FB6">
        <w:rPr>
          <w:sz w:val="22"/>
          <w:szCs w:val="22"/>
          <w:lang w:val="es-CR" w:eastAsia="es-CR"/>
        </w:rPr>
        <w:t>millones</w:t>
      </w:r>
      <w:proofErr w:type="spellEnd"/>
      <w:r w:rsidRPr="00990FB6">
        <w:rPr>
          <w:sz w:val="22"/>
          <w:szCs w:val="22"/>
          <w:lang w:val="es-CR" w:eastAsia="es-CR"/>
        </w:rPr>
        <w:t xml:space="preserve"> de colones. </w:t>
      </w:r>
    </w:p>
    <w:p w14:paraId="094CC38E"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EFAA4B3" w14:textId="60F6DC2D"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Se elimina la cuota de seguro de enfermedad, que corresponde a la cuota estatal por pensionados y jubilados, por doscientos cincuenta y ocho millones, atendiendo un comunicado recibido en el Departamento Financiero Contable. </w:t>
      </w:r>
    </w:p>
    <w:p w14:paraId="79699006"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08D5FE3" w14:textId="61C722AD"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El programa del FIAJ se ajusta en menos cinco millones de colones, coordinación realizada con la Escuela Judicial y se aplica también un ajuste del tipo de cambio de acuerdo al nuevo monto establecido por Hacienda y se ajusta en doscientos cincuenta y ocho millones de colones. </w:t>
      </w:r>
    </w:p>
    <w:p w14:paraId="2F8A214A"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AA460C7" w14:textId="612BD093"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Si ustedes ven, todos estos movimientos que se realizaron a lo interno de la institución fueron para llegar al mismo monto presupuestado que en el 2023, esto para darle contenido sobre todo al área de informática, que requería crecer en un monto importante dada la priorización que se tiene en esta particularidad de la institución por todo el fortalecimiento tecnológico que se debe de tener.</w:t>
      </w:r>
    </w:p>
    <w:p w14:paraId="68ED762F"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F219FE9" w14:textId="78DBE0A8"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Propiamente, en la formulación presupuestaria, entonces, en gasto corriente y en gastos de capital totalizado tenemos cuatrocientos ochenta y nueve mil ciento veinticuatro millones de colones como </w:t>
      </w:r>
      <w:r w:rsidRPr="00990FB6">
        <w:rPr>
          <w:sz w:val="22"/>
          <w:szCs w:val="22"/>
          <w:lang w:val="es-CR" w:eastAsia="es-CR"/>
        </w:rPr>
        <w:lastRenderedPageBreak/>
        <w:t xml:space="preserve">anteproyecto de presupuesto desagregado en los diferentes programas, establecido también el monto de la administración del Fondo de Jubilaciones y Pensiones dentro de lo que aporta hoy el Poder Judicial. </w:t>
      </w:r>
    </w:p>
    <w:p w14:paraId="26468957"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800A3E1" w14:textId="7B0F8F44"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Bajo este principio, la siguiente tabla es importante también mencionar que la venimos presentando dado que, el 6% constitucional que corresponde al Poder Judicial lo hemos calculado con respecto a los ingresos corrientes y para el 2024, según los datos de ingreso corriente que se tienen hasta la fecha conocidos, estaría representando un 6.2% de los ingresos corrientes.</w:t>
      </w:r>
    </w:p>
    <w:p w14:paraId="1EF81A8B"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4B9BE0DB" w14:textId="2F1EFD45"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En esta filmina hemos querido presentar un histórico del presupuesto del Poder Judicial versus los ingresos corrientes, ustedes verán o en la anterior filmina les comenté que en el 2024 tenemos un 6.2%, ese 6.2% es el más bajo desde el 2018, 8 perdón, comparativamente, entonces, pues en esto evidenciamos que hemos tenido una contracción pues en el presupuesto también en el tiempo en relación a los ingresos corrientes. </w:t>
      </w:r>
    </w:p>
    <w:p w14:paraId="52E71170"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60DFD9D" w14:textId="0594D992"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Con respecto a la distribución de recurso humano y gasto variable por programa, podemos visibilizar que el recurso humano en el ámbito jurisdiccional pues evidentemente, por ser la razón sustantiva del Poder Judicial, es el que tiene mayor peso y en el ámbito Organismo de Investigación Judicial es el que tiene el segundo mayor peso en el recurso humano.</w:t>
      </w:r>
    </w:p>
    <w:p w14:paraId="3A6B6E63"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1C73186" w14:textId="46769638"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En el presupuesto 2024 tenemos una variación, lo hicimos en tres rubros para mayor entendimiento, en inversión tenemos un crecimiento de dos mil seiscientos diecisiete millones, en gasto variable una disminución de mil seiscientos setenta y tres y en recurso humano menos ochocientos cuarenta y cuatro millones. </w:t>
      </w:r>
    </w:p>
    <w:p w14:paraId="4E6DBC68"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1C3B213" w14:textId="62E1C85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Aquí es importante visibilizar que, aunque hay un cambio o un aumento en inversión no significa que hay más recursos, significa que hay revaloración o reclasificación, esto sobre todo en el contrato de alquiler de equipos de computadoras, dado que, con los estudios realizados por la Dirección de Tecnología pues se evidenció que correspondía o era más beneficioso para el Poder Judicial volver a la compra de computadoras y desistir de los contratos de alquiler de equipo de cómputo, entonces pues se cambia la fuente de financiamiento.</w:t>
      </w:r>
    </w:p>
    <w:p w14:paraId="0AD03E74"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B937F49" w14:textId="71F89120"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En esta tabla, pues, se evidencia lo que les estaba comentando, en donde en equipo de cómputo se ve un crecimiento importante, pero obedece principalmente a la sustitución del contrato de computadoras y ahora, pues, se aumenta a la compra. </w:t>
      </w:r>
    </w:p>
    <w:p w14:paraId="67E4602C"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5486DB13" w14:textId="3F4A7963"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En bienes intangibles es un incremento que obedece a las renovaciones de licencias, sobre todo del firewall en internet, que son soluciones y módulos en la nube, en plataforma de VPN, en las garantías de </w:t>
      </w:r>
      <w:proofErr w:type="spellStart"/>
      <w:r w:rsidRPr="00990FB6">
        <w:rPr>
          <w:sz w:val="22"/>
          <w:szCs w:val="22"/>
          <w:lang w:val="es-CR" w:eastAsia="es-CR"/>
        </w:rPr>
        <w:t>router</w:t>
      </w:r>
      <w:proofErr w:type="spellEnd"/>
      <w:r w:rsidRPr="00990FB6">
        <w:rPr>
          <w:sz w:val="22"/>
          <w:szCs w:val="22"/>
          <w:lang w:val="es-CR" w:eastAsia="es-CR"/>
        </w:rPr>
        <w:t>, licencias, soportes y garantías, en fin, regulaciones o licencias de renovación de la Dirección de Tecnología para la institución, sobre todo a nivel nacional, pues ahora que tenemos prácticamente electrónicos muchísimos despachos a nivel nacional.</w:t>
      </w:r>
    </w:p>
    <w:p w14:paraId="271F990B"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48F53A6" w14:textId="023EF8D1"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La tercera subpartida en importancia es alquiler de edificios, locales y terrenos, aquí es importante mencionarles, y creo que a como lo hemos explicado, que la subpartida por sí sola no es que el Poder Judicial aumenta en alquiler, sino que en esta misma subpartida se canalizan los recursos que responden a la cuota de pago propiamente ya del fideicomiso del Poder Judicial y esto refiere a las instalaciones, a las nuevas </w:t>
      </w:r>
      <w:r w:rsidRPr="00990FB6">
        <w:rPr>
          <w:sz w:val="22"/>
          <w:szCs w:val="22"/>
          <w:lang w:val="es-CR" w:eastAsia="es-CR"/>
        </w:rPr>
        <w:lastRenderedPageBreak/>
        <w:t xml:space="preserve">instalaciones que se tendrán en los Tribunales de Puntarenas. Esto, por clasificación presupuestaria pues se tiene que realizar en esa subpartida; sin embargo, serán instalaciones que en el futuro serán parte ya de los activos del Poder Judicial. </w:t>
      </w:r>
      <w:r w:rsidRPr="00990FB6">
        <w:rPr>
          <w:rFonts w:eastAsia="Calibri"/>
          <w:sz w:val="22"/>
          <w:szCs w:val="22"/>
          <w:lang w:val="es-CR" w:eastAsia="es-CR"/>
        </w:rPr>
        <w:t>Esas son las tres subpartidas de mayor variaci</w:t>
      </w:r>
      <w:r w:rsidRPr="00990FB6">
        <w:rPr>
          <w:sz w:val="22"/>
          <w:szCs w:val="22"/>
          <w:lang w:val="es-CR" w:eastAsia="es-CR"/>
        </w:rPr>
        <w:t xml:space="preserve">ón en relación con el presupuesto del año anterior. </w:t>
      </w:r>
    </w:p>
    <w:p w14:paraId="44DC17C8"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1988E8CA" w14:textId="4A8933C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Importante, les decía, que el Poder Judicial crece en la buena gestión de sus recursos y tenemos asociados 62 proyectos con cronogramas establecidos en recursos formulados por ocho mil seiscientos millones dentro de propiamente los sistemas plurianuales del Poder Judicial. </w:t>
      </w:r>
    </w:p>
    <w:p w14:paraId="0C94BEF4"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4574CEC" w14:textId="416E3FB4"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Tenemos aspectos relevantes en el comportamiento histórico del área de vehículos, ustedes podrán visualizar cómo para el 2024 se tuvieron que realizar priorizaciones y esta subpartida sufrió una disminución importante de alrededor de cuatrocientos millones de colones, es del 21.25%, aquí solamente se da la inclusión de dos vehículos de primer ingreso, es un </w:t>
      </w:r>
      <w:proofErr w:type="spellStart"/>
      <w:r w:rsidRPr="00990FB6">
        <w:rPr>
          <w:sz w:val="22"/>
          <w:szCs w:val="22"/>
          <w:lang w:val="es-CR" w:eastAsia="es-CR"/>
        </w:rPr>
        <w:t>cuadraciclo</w:t>
      </w:r>
      <w:proofErr w:type="spellEnd"/>
      <w:r w:rsidRPr="00990FB6">
        <w:rPr>
          <w:sz w:val="22"/>
          <w:szCs w:val="22"/>
          <w:lang w:val="es-CR" w:eastAsia="es-CR"/>
        </w:rPr>
        <w:t xml:space="preserve"> y una bicimoto eléctrica, precisamente para apoyar a la Oficina de Comunicaciones de Puntarenas, dado que ahora, pues, de trasladarse del Roble al centro, a hacer la diligencias, pues se ocupará esta nueva forma de trasladarse y se está buscando pues que sea más barata.</w:t>
      </w:r>
    </w:p>
    <w:p w14:paraId="3D8EA48C"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142ED4C6" w14:textId="244B65A1"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 igualmente, en el 928, que es el área en donde mayor necesidad de recursos se da en vehículos, ahí se está dando no vehículos nuevos, sino sustitución de flotilla. </w:t>
      </w:r>
    </w:p>
    <w:p w14:paraId="7B869200"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3A57E01" w14:textId="749BF2E6"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Acá, en el 927, se están consignando cuatro vehículos también asignados a magistratura, que pasaron los filtros de la nueva política de sustitución de vehículos, que refiere no solo a kilometrajes, sino distancias, desgastes, años, antigüedad. </w:t>
      </w:r>
    </w:p>
    <w:p w14:paraId="1DC246C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EDFD08A" w14:textId="41224FC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Les decíamos entonces, que los vehículos del Organismo de Investigación Judicial son la mayor parte en la flotilla, en este caso 53, no hay vehículos nuevos, solamente prácticamente sustitución por desgaste. </w:t>
      </w:r>
    </w:p>
    <w:p w14:paraId="5C5B7F6D"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4B5038B7" w14:textId="3D345549"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Aquí tenemos un rubro importante en cuanto al gasto en tecnología a nivel institucional; en recurso humano tenemos once mil quinientos ochenta millones de colones; en gasto variable catorce mil seiscientos ochenta y cinco millones. Esto refleja un 5.37% de la inversión del Poder Judicial en temas propios en materia tecnológica, que realmente, pues, ha retomado o retoma muchísima importancia por la sostenibilidad que se requiere dar a los sistemas institucionales.</w:t>
      </w:r>
    </w:p>
    <w:p w14:paraId="1BB89F73"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5F9CA49D" w14:textId="14C9AEA9"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En la distribución por áreas tenemos: en operación ocho mil cuarenta y un millones y en proyectos cinco mil quinientos quince millones, en proyectos constructivos de alto impacto, aquí tenemos un monto importante de cinco mil novecientos veintiséis millones, esto es la torre anexa y reacondicionamiento en el edificio del tercer circuito judicial en Alajuela, es la torre anexa de San Ramón, que ya está salida la licitación, en el la ampliación del área de recepción de la delegación de la Delegación del OIJ de Corredores y la construcción del edificio de Cañas por ochocientos cuarenta millones, un inicio para poder dar la el inicio de la contratación.</w:t>
      </w:r>
    </w:p>
    <w:p w14:paraId="183E3F7F"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1763F69A" w14:textId="2716A429"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Bajo este principio, ustedes podrán ver en ese gráfico 2022, 2023 y 2024, prácticamente, entre 2023 y 2024 no hay un gran incremento comparativo ¿verdad?, solamente hay, pues, mantener el mismo monto e ir readecuando los proyectos a las prioridades institucionales, dado que, por ejemplo, en Cañas se tienen </w:t>
      </w:r>
      <w:r w:rsidRPr="00990FB6">
        <w:rPr>
          <w:sz w:val="22"/>
          <w:szCs w:val="22"/>
          <w:lang w:val="es-CR" w:eastAsia="es-CR"/>
        </w:rPr>
        <w:lastRenderedPageBreak/>
        <w:t>órdenes sanitarias y recursos de amparo establecidos dadas las malas condiciones que se tienen en esa zona.</w:t>
      </w:r>
    </w:p>
    <w:p w14:paraId="2AA47523"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0F82412" w14:textId="022E9B0E"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En el área de seguridad tenemos designados los recursos sin crecimiento en el 2024, comparativamente 2023, 2024, prácticamente son los mismos. Hay tres áreas, reforzamiento de seguridad de los despachos judiciales, modernización de los sistemas de seguridad electrónicas del Poder Judicial y el control de acceso inteligente.</w:t>
      </w:r>
    </w:p>
    <w:p w14:paraId="50FF2BAC"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A8CB43B" w14:textId="683B392E"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También tenemos el apartado de lo que corresponde a la capacitación a nivel institucional, eso corresponde a una asignación de tres mil doscientos cincuenta millones, 0.66% representativo en el presupuesto institucional, este ha sido uno de los rubros que, con el tiempo, pues ha tenido mayor sacrificio y ahí ha ido disminuyendo los recursos en capacitación dadas las prioridades institucionales en otras áreas.</w:t>
      </w:r>
    </w:p>
    <w:p w14:paraId="430D866F"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2EB38A5" w14:textId="78EB194D"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En el requerimiento humano, acá es importante mencionar que el Poder Judicial no tiene crecimiento de plazas nuevas, mantiene las mismas plazas ordinarias que en el dos mil veintitrés, hay solamente dos plazas extraordinarias que son del juzgado de lo contencioso, que se vienen dando ya de hace años atrás y que mantienen su condición a partir del análisis técnico que se realizó. Con esto sí es importante tal vez tomarles en consideración que, dadas las disposiciones del Ministerio de Hacienda, lo que es el presupuesto de la Junta Administradora del Fondo de Jubilaciones se tiene que consolidar con el presupuesto del Poder Judicial.</w:t>
      </w:r>
    </w:p>
    <w:p w14:paraId="6E369C07"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14E8B323" w14:textId="400C988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Siendo así, el fondo de jubilaciones se tiene presupuestado, con recursos propios, diez plazas, a la hora de consolidarlo con el presupuesto ordinario del Poder Judicial parecería que tendríamos plazas nuevas, sin embargo, aquí hacemos la consideración que esas plazas son con recursos propios del fondo de jubilaciones y que por norma técnica y presupuestaria se realiza la consolidación y por eso se ve esa asignación de plazas nuevas.</w:t>
      </w:r>
    </w:p>
    <w:p w14:paraId="3E4440BE"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E2D0B1A" w14:textId="5B74A0B9"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Hay algunas necesidades que también están planteadas en los diferentes artículos que ustedes tienen en la agenda, esas necesidades que están planteadas hoy son sin contenido presupuestario, por ejemplo, tenemos el presupuesto requerido para la atención y acceso a la justicia de personas relacionadas con asuntos de pensiones alimentarias, son las plazas de defensores públicos, de dieciocho plazas, la necesidad de veintidós plazas de custodios, en diferentes oficinas a nivel nacional, el acceso a justicia en zonas de Puerto Jiménez, le llamamos los tribunales peninsulares.</w:t>
      </w:r>
    </w:p>
    <w:p w14:paraId="2446C20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10FB691" w14:textId="498E8B2A"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También tenemos requerimientos de personal del Ministerio Público en fiscales de juicio, tenemos el requerimiento de tribunales de juicio a nivel penal, a nivel nacional, para completar estructuras mínimas de cuatro mil trescientos millones de colones; se realizó el informe relacionado con la posibilidad de establecer una jurisdicción en materia especializada indígena, que también se remitió acá a conocimiento; tenemos el informe solicitando el recurso para el Juzgado Contravencional de Acosta, de una persona técnica judicial, también está visibilizado.</w:t>
      </w:r>
    </w:p>
    <w:p w14:paraId="7C7DB76D"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2DBB583" w14:textId="7DF2C36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Tenemos el estudio que contempla, para atender Código Procesal de Familia, Código Procesal Agrario, mejora integral del proceso penal, ejecución de la pena, tribunales peninsulares, por dos mil seiscientos treinta y ocho millones de colones. </w:t>
      </w:r>
    </w:p>
    <w:p w14:paraId="653E914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1CF3E74" w14:textId="2C58CC7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Tenemos las necesidades también en reformas legales, tenemos la Ley de Bienestar Animal, que </w:t>
      </w:r>
      <w:r w:rsidRPr="00990FB6">
        <w:rPr>
          <w:sz w:val="22"/>
          <w:szCs w:val="22"/>
          <w:lang w:val="es-CR" w:eastAsia="es-CR"/>
        </w:rPr>
        <w:lastRenderedPageBreak/>
        <w:t>empezó a regir desde el dos mil diecisiete y no se asignaron recursos.</w:t>
      </w:r>
    </w:p>
    <w:p w14:paraId="65A9432D"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69BB623" w14:textId="298313E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Tenemos la Ley de Justicia Restaurativa, que empezó a regir también desde el dos mil diecinueve y no se han brindado recursos adicionales para poder implementarla; Código Procesal de Familia, que ingresará a partir del primero de octubre del dos mil veinticuatro y no tenemos a la fecha recursos adicionales; nuevo código procesal agrario que empezará también a partir del veintiocho de febrero del dos mil veinticinco y pues no hay recursos adicionales.</w:t>
      </w:r>
    </w:p>
    <w:p w14:paraId="249F56BE"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EA7604A" w14:textId="0FCF77FD"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Estas necesidades de cada una de las reformas están planteadas como presupuestos adicionales y en total tenemos un costo asociado o contemplado de cinco mil quinientos setenta millones de colones. </w:t>
      </w:r>
    </w:p>
    <w:p w14:paraId="253AEAE5"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625CF3A" w14:textId="60521FB1"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Habrá quien no indique ¿por qué el Poder Judicial pues no asigna prioritariamente a las necesidades que aquí se indican? Hay que indicar que el presupuesto del Poder Judicial, conforme se está planteando, prácticamente solo alcanza para el presupuesto ordinario del Poder Judicial, con lo que tenemos estamos prácticamente sustentando las necesidades básicas y mínimas y el generar nuevos requerimientos y necesidades que están aquí planteadas con el mismo presupuesto, pues es completamente imposible.</w:t>
      </w:r>
    </w:p>
    <w:p w14:paraId="4996B49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38B9D76" w14:textId="359B2F9E"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Acá un acuerdo que también está planteado en agenda y que quisimos también resaltar, es el proyecto que ya se venía desde hace años atrás trabajando, con gobiernos anteriores, qué se refiere al complejo judicial de Buenos Aires, allá en la zona de Osa, en donde se venía trabajando con pensamiento de que se iba a realizar con un empréstito, sin embargo, se recibió un comunicado del Ministerio de Hacienda y también se tuvo una reunión, tanto de la Presidencia como de la Dirección Ejecutiva, en donde se establece por parte del Ministerio de Hacienda que para el 2024 no va a ser posible cubrir este proyecto con el empréstito y, pues, que tendrá que ser planteado con el presupuesto ordinario del Poder Judicial.</w:t>
      </w:r>
    </w:p>
    <w:p w14:paraId="1D7E98A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2ED70011" w14:textId="77777777" w:rsidR="006E4ED2"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Situación que también fue manifestada a la señora Diputada Sonia Rojas Méndez, quien estaba dando impulso al proyecto, sin embargo, este proyecto suma más de veinte mil millones de colones, lo cual, para el Poder Judicial dentro de su presupuesto ordinario pues es inviable poder cubrirlo; entonces, se trae acá a conocimiento de esta Corte, dado que no fue posible tampoco incorporar los recursos adicionales. </w:t>
      </w:r>
      <w:r w:rsidRPr="00990FB6">
        <w:rPr>
          <w:sz w:val="22"/>
          <w:szCs w:val="22"/>
          <w:lang w:val="es-CR" w:eastAsia="es-CR"/>
        </w:rPr>
        <w:tab/>
      </w:r>
    </w:p>
    <w:p w14:paraId="4E24BD50" w14:textId="1CB38A8D"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r>
    </w:p>
    <w:p w14:paraId="727F933B" w14:textId="092A528A"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Un apartado que también está considerado es el del Fondo de Jubilaciones y Pensiones, a partir de los antecedentes que se tienen ya de años anteriores, en donde, con un criterio de la Procuraduría General de la República, esta Corte dispone también del conocimiento del presupuesto remitido y aprobado por la junta para la consolidación en el presupuesto ordinario del Poder Judicial.</w:t>
      </w:r>
    </w:p>
    <w:p w14:paraId="37AD1AC0"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340313A" w14:textId="06E80E7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Es así entonces como se trae a conocimiento la incorporación de estos recursos del fondo de jubilaciones y estos recursos pues vienen financiados, como ya lo explicamos en la primera parte, alrededor de quinientos millones con el presupuesto ordinario del Poder Judicial y los siguientes con presupuestos propios de terceros.</w:t>
      </w:r>
    </w:p>
    <w:p w14:paraId="0F7EE4F6"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70AD3C09" w14:textId="1222780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Esto fue conocido también por el Consejo Superior y es remitido acá a la Corte Plena, aquí está el cuadro, el monto total del presupuesto remitido por la Junta Administradora del Fondo Jubilaciones es de dos mil ciento sesenta y seis millones de colones, novecientos noventa mil, setecientos veinticuatro, distribuido en diferentes partidas: remuneraciones, servicios, materiales y suministros, bienes duraderos y transferencias corrientes.</w:t>
      </w:r>
    </w:p>
    <w:p w14:paraId="4F636308"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0E5076D" w14:textId="32DB167A"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Como les indicábamos, la Junta Administradora aprobó la inclusión de plazas extraordinarias para este periodo de diez plazas extraordinarias, estas plazas refieren a un jefe administrativo 4, a un asesor jurídico, a tres profesionales en informática, a dos en informática, a dos profesionales, a un asistente de prosecretario, un técnico administrativo 1, un asistente administrativo 3. </w:t>
      </w:r>
      <w:r w:rsidRPr="00990FB6">
        <w:rPr>
          <w:rFonts w:eastAsia="Calibri"/>
          <w:sz w:val="22"/>
          <w:szCs w:val="22"/>
          <w:lang w:val="es-CR" w:eastAsia="es-CR"/>
        </w:rPr>
        <w:t>Bajo estas categor</w:t>
      </w:r>
      <w:r w:rsidRPr="00990FB6">
        <w:rPr>
          <w:sz w:val="22"/>
          <w:szCs w:val="22"/>
          <w:lang w:val="es-CR" w:eastAsia="es-CR"/>
        </w:rPr>
        <w:t>ías de plazas que se presentan en estas cuarenta y ocho plazas, ya hoy existentes en el presupuesto ordinario.</w:t>
      </w:r>
    </w:p>
    <w:p w14:paraId="19FA27B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2D5AB8A4" w14:textId="2CD2E982"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Siendo así, el presupuesto, ya, en resumen, el anteproyecto del Poder Judicial está estipulado, adicionando las sumas del fondo de jubilaciones en cuatrocientos noventa mil setecientos sesenta y cuatro millones quinientos setenta y siete mil doscientos cinco.</w:t>
      </w:r>
    </w:p>
    <w:p w14:paraId="3254D906"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0C6A2F77" w14:textId="7C1688E1"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Esto a partir del mismo monto presupuestado del 2023, es decir, sin crecimiento. Esperaríamos las comunicaciones ya formales de parte del Ministerio de Hacienda en donde se formalice la comunicación al señor presidente y también esperaríamos la comunicación ya formal de lo que corresponde a gasto corriente y gasto de capital.</w:t>
      </w:r>
    </w:p>
    <w:p w14:paraId="078E0771"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0ABB16F" w14:textId="6EC03C8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Por último, comentarles, que, llegó la comunicación también del Ministerio de Hacienda en donde ya giran directrices de los efectos de la formulación de empleo público. Esto se los comentamos acá porque ya generaron la directriz en cómo se debía de formular, en qué subpartidas y en qué coletillas se debían de formular los recursos. Esto todavía no lo teníamos en el momento de la formulación del Consejo Superior y entonces, lo remitimos aquí hoy a conocimiento de ustedes, para que se </w:t>
      </w:r>
      <w:proofErr w:type="gramStart"/>
      <w:r w:rsidRPr="00990FB6">
        <w:rPr>
          <w:sz w:val="22"/>
          <w:szCs w:val="22"/>
          <w:lang w:val="es-CR" w:eastAsia="es-CR"/>
        </w:rPr>
        <w:t>le</w:t>
      </w:r>
      <w:proofErr w:type="gramEnd"/>
      <w:r w:rsidRPr="00990FB6">
        <w:rPr>
          <w:sz w:val="22"/>
          <w:szCs w:val="22"/>
          <w:lang w:val="es-CR" w:eastAsia="es-CR"/>
        </w:rPr>
        <w:t xml:space="preserve"> autorice también a los compañeros de Gestión Humana realizar los ajustes en la subpartidas y en las colectillas de presupuesto de salarios para ajustarlos al lineamiento en el tema de salario global. Eso sí, dentro de los mismos límites establecidos y conocidos acá por esta Corte, sino que solamente internamente se realice el cambio entre subpartidas para poder ajustarlos al lineamiento establecido por el Ministerio de Hacienda y que tenga que ver con todo lo que es la implementación del salario global.</w:t>
      </w:r>
    </w:p>
    <w:p w14:paraId="5FDE4BD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5C2DAEC" w14:textId="6E10B126"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En resumen, esta es la presentación del presupuesto y del cual contiene los artículos que ustedes tienen referidos en la agenda. Muchas gracias".</w:t>
      </w:r>
    </w:p>
    <w:p w14:paraId="1168FF8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F556348" w14:textId="77777777" w:rsidR="00B15F7D" w:rsidRPr="00990FB6" w:rsidRDefault="00B15F7D" w:rsidP="00B15F7D">
      <w:pPr>
        <w:ind w:firstLine="708"/>
        <w:jc w:val="both"/>
        <w:rPr>
          <w:b/>
          <w:bCs/>
          <w:color w:val="000000"/>
          <w:sz w:val="22"/>
          <w:szCs w:val="22"/>
          <w:shd w:val="clear" w:color="auto" w:fill="FFFFFF"/>
          <w:lang w:val="es-CR"/>
        </w:rPr>
      </w:pPr>
      <w:r w:rsidRPr="00990FB6">
        <w:rPr>
          <w:b/>
          <w:bCs/>
          <w:color w:val="000000"/>
          <w:sz w:val="22"/>
          <w:szCs w:val="22"/>
          <w:shd w:val="clear" w:color="auto" w:fill="FFFFFF"/>
          <w:lang w:val="es-CR"/>
        </w:rPr>
        <w:t>MIENTRAS ESTABA EN EL USO DE LA PALABRA LA MÁSTER VALVERDE BERMÚDEZ ENTRAN A LA SESIÓN LA MAGISTRADA SOLANO POR VIDEOCONFERENCIA Y EL MAGISTRADO ALFARO DE MANERA PRESENCIAL.</w:t>
      </w:r>
    </w:p>
    <w:p w14:paraId="55F9E46B" w14:textId="77777777" w:rsidR="006E4ED2" w:rsidRPr="00990FB6" w:rsidRDefault="006E4ED2" w:rsidP="00B15F7D">
      <w:pPr>
        <w:ind w:firstLine="708"/>
        <w:jc w:val="both"/>
        <w:rPr>
          <w:b/>
          <w:bCs/>
          <w:color w:val="000000"/>
          <w:sz w:val="22"/>
          <w:szCs w:val="22"/>
          <w:shd w:val="clear" w:color="auto" w:fill="FFFFFF"/>
          <w:lang w:val="es-CR"/>
        </w:rPr>
      </w:pPr>
    </w:p>
    <w:p w14:paraId="59CE88F0" w14:textId="6EBCCBD6" w:rsidR="00B15F7D" w:rsidRPr="00990FB6" w:rsidRDefault="00B15F7D" w:rsidP="00B15F7D">
      <w:pPr>
        <w:ind w:firstLine="708"/>
        <w:jc w:val="both"/>
        <w:rPr>
          <w:b/>
          <w:bCs/>
          <w:color w:val="000000"/>
          <w:sz w:val="22"/>
          <w:szCs w:val="22"/>
          <w:shd w:val="clear" w:color="auto" w:fill="FFFFFF"/>
          <w:lang w:val="es-CR"/>
        </w:rPr>
      </w:pPr>
      <w:r w:rsidRPr="00990FB6">
        <w:rPr>
          <w:b/>
          <w:bCs/>
          <w:color w:val="000000"/>
          <w:sz w:val="22"/>
          <w:szCs w:val="22"/>
          <w:shd w:val="clear" w:color="auto" w:fill="FFFFFF"/>
          <w:lang w:val="es-CR"/>
        </w:rPr>
        <w:t xml:space="preserve">ENTRA EL MÁSTER CARLO DÍAZ SÁNCHEZ, FISCAL GENERAL DE LA REPÚBLICA, A LA SESIÓN POR VIDEOCONFERENCIA. </w:t>
      </w:r>
    </w:p>
    <w:p w14:paraId="5BE4D151" w14:textId="77777777" w:rsidR="006E4ED2" w:rsidRPr="00990FB6" w:rsidRDefault="006E4ED2" w:rsidP="00B15F7D">
      <w:pPr>
        <w:ind w:firstLine="708"/>
        <w:jc w:val="both"/>
        <w:rPr>
          <w:b/>
          <w:bCs/>
          <w:color w:val="000000"/>
          <w:sz w:val="22"/>
          <w:szCs w:val="22"/>
          <w:shd w:val="clear" w:color="auto" w:fill="FFFFFF"/>
          <w:lang w:val="es-CR"/>
        </w:rPr>
      </w:pPr>
    </w:p>
    <w:p w14:paraId="63683979" w14:textId="743F04F0"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Manifiesta el señor Presidente, magistrado Aguirre: "Gracias a usted, doña Nacira. Las compañeras y compañeros magistrados que deseen hacer alguna solicitud de aclaración o alguna observación pueden hacerlo a partir de este momento. Doña Roxana, usted tiene la palabra".</w:t>
      </w:r>
    </w:p>
    <w:p w14:paraId="30AD5656"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071D271" w14:textId="04D5F17F"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Dice la magistrada Chacón: "Muchas gracias. Buenas tardes señores magistrados, buenas tardes señoras magistradas. Quería hacerle una pregunta a doña Nacira, especialmente sobre ese ajuste presupuestal para el pago del salario global, que es un salario que se ha definido por parte de la Corte como un salario provisional.</w:t>
      </w:r>
    </w:p>
    <w:p w14:paraId="1E9E36DB"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19A2F9B7" w14:textId="36AB3F5C"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Quisiera preguntarle que, como la Corte ha aprobado ese salario provisional, que ya está rigiendo, a partir de marzo de este año, y obviamente se les ajustaría a las personas que tuvieron un ingreso de primer ingreso al Poder Judicial, es el salario que quedó claramente establecido en las tablas como tal, en cada una de las diferentes categorías. </w:t>
      </w:r>
    </w:p>
    <w:p w14:paraId="62AA710E"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1C52B1F5" w14:textId="3FC00E9C"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Quisiera preguntarle si en el dado caso de que el próximo año variara la escala, por algún ajuste que hubiese que hacerse ¿si el nuevo presupuesto del año 2024 tiene contemplada esa situación? </w:t>
      </w:r>
    </w:p>
    <w:p w14:paraId="45FD5F6C"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B81BAA1" w14:textId="01DDB49C" w:rsidR="00B15F7D"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Y lo segundo que quiero preguntarle es con relación a las anualidades, que efectivamente la Ley de Empleo Público, entiendo yo, que tiene la posibilidad de reconocer las anualidades de personas que vengan de otras instituciones, cuando ha habido continuidad en el sector público. Entonces, quisiera saber si esos dos rubros, tanto el de anualidades como una variación en la escala de salarios global ¿podrían estar contemplados para los pagos que eventualmente pudieran darse?</w:t>
      </w:r>
    </w:p>
    <w:p w14:paraId="316675FA" w14:textId="77777777" w:rsidR="003B03CF" w:rsidRPr="00990FB6" w:rsidRDefault="003B03CF" w:rsidP="00B15F7D">
      <w:pPr>
        <w:widowControl w:val="0"/>
        <w:suppressAutoHyphens w:val="0"/>
        <w:autoSpaceDE w:val="0"/>
        <w:autoSpaceDN w:val="0"/>
        <w:adjustRightInd w:val="0"/>
        <w:ind w:firstLine="708"/>
        <w:jc w:val="both"/>
        <w:rPr>
          <w:sz w:val="22"/>
          <w:szCs w:val="22"/>
          <w:lang w:val="es-CR" w:eastAsia="es-CR"/>
        </w:rPr>
      </w:pPr>
    </w:p>
    <w:p w14:paraId="2AE175ED" w14:textId="2442898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Sé que, efectivamente, con el caso de la anualidades en el reconocimiento de otras dependencias la ley lo establece y lo habilita como tal, pero quisiera saber si el Poder Judicial está contemplando esos rubros, porque sabemos que la posibilidad de que personas que vengan de otros lugares a trabajar aquí está más reducida que en cualquier otro momento, porque estos momentos no son para que las personas de otras instituciones se pasen acá, con un salario menor, porque no se conserva el salario que se tiene en el sector público y, entonces, yo quisiera saber si presupuestalmente estamos considerando esos detalles para un presupuesto del año 2024. Gracias".</w:t>
      </w:r>
    </w:p>
    <w:p w14:paraId="27A2CAF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2675CADC" w14:textId="2B517E83"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Señala el Presidente, magistrado Aguirre: "Tiene usted la palabra doña Nacira".</w:t>
      </w:r>
    </w:p>
    <w:p w14:paraId="706F2913"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0FF41186" w14:textId="7387B4A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Indica la máster Valverde Bermúdez: "Sí, en relación al lineamiento del Ministerio de Hacienda lo que dice claramente es que las subpartidas se deben modificar con respecto a darle contenido a una previsión para el ajuste salarial que corresponda a la condición de pago de la escala salarial a la que tengan derecho las personas nombradas en cada puesto. </w:t>
      </w:r>
    </w:p>
    <w:p w14:paraId="382AB3DA"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150EC9E" w14:textId="594280C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Lo que nos indicó doña Roxana es que se está haciendo el recorrido para determinar las plazas que, a esta fecha, podrían entrar en salario global para determinar esas estimaciones iniciales, más allá de eso pues no podríamos realizar, porque no se tiene claro cómo va a estar en el año siguiente. Entonces, estas previsiones son iniciales y partirían de la condición de las plazas de las que hoy se tiene conocimiento. </w:t>
      </w:r>
    </w:p>
    <w:p w14:paraId="6753DA57"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8921FF2" w14:textId="16EC195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Con respecto a las previsiones el Poder Judicial presupuesta a pleno empleo, al tener pleno empleo estamos tomando previsiones de que como tal se está planteando la planilla cubierta a como hoy está; entonces, esperaríamos no tener mayores incidencias en lo que usted nos está indicando doña Roxana".</w:t>
      </w:r>
    </w:p>
    <w:p w14:paraId="7A95015C"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8E069BE" w14:textId="41620FB2" w:rsidR="00B15F7D" w:rsidRPr="00990FB6" w:rsidRDefault="00B15F7D" w:rsidP="00B15F7D">
      <w:pPr>
        <w:ind w:firstLine="708"/>
        <w:jc w:val="both"/>
        <w:rPr>
          <w:sz w:val="22"/>
          <w:szCs w:val="22"/>
          <w:lang w:val="es-CR" w:eastAsia="es-CR"/>
        </w:rPr>
      </w:pPr>
      <w:r w:rsidRPr="00990FB6">
        <w:rPr>
          <w:sz w:val="22"/>
          <w:szCs w:val="22"/>
          <w:lang w:val="es-CR" w:eastAsia="es-CR"/>
        </w:rPr>
        <w:t>Menciona el Presidente, magistrado Aguirre: "Magistrada Rojas Morales, tiene usted la palabra".</w:t>
      </w:r>
    </w:p>
    <w:p w14:paraId="6A010171" w14:textId="77777777" w:rsidR="006E4ED2" w:rsidRPr="00990FB6" w:rsidRDefault="006E4ED2" w:rsidP="00B15F7D">
      <w:pPr>
        <w:ind w:firstLine="708"/>
        <w:jc w:val="both"/>
        <w:rPr>
          <w:sz w:val="22"/>
          <w:szCs w:val="22"/>
          <w:lang w:val="es-CR" w:eastAsia="es-CR"/>
        </w:rPr>
      </w:pPr>
    </w:p>
    <w:p w14:paraId="34458E44" w14:textId="43A14DD4"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Dice la magistrada Rojas: "Gracias, señor presidente. Buenas tardes a los señores magistrados, a las señoras magistradas y a los que nos están escuchando a través de los medios electrónicos. </w:t>
      </w:r>
    </w:p>
    <w:p w14:paraId="1E338892"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6B6FA449" w14:textId="3A0B189D"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Yo, en razón de las vacaciones que disfruté no he estado siguiendo, hoy me reincorporo y no he </w:t>
      </w:r>
      <w:r w:rsidRPr="00990FB6">
        <w:rPr>
          <w:sz w:val="22"/>
          <w:szCs w:val="22"/>
          <w:lang w:val="es-CR" w:eastAsia="es-CR"/>
        </w:rPr>
        <w:lastRenderedPageBreak/>
        <w:t xml:space="preserve">estado siguiendo de manera puntual toda la situación presupuestaria, acepto la condición en la que estoy recibiendo esta información, sin embargo, sí tengo algunas dudas y por eso aclaro que puede ser porque no he estado que se me genera esta situación, pero para efectos de votación yo querría ver si puedo tener alguna respuesta; de no ser posible para obtener respuestas a mis inquietudes yo estaría responsablemente votando en contra, porque no tendría una información veraz ni contaría con actualización informada para emitir un voto por el presupuesto del Poder Judicial. </w:t>
      </w:r>
    </w:p>
    <w:p w14:paraId="56BC1520"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4FE7FB4" w14:textId="08836184"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Hecha esta aclaración quería señalar lo siguiente de lo que he escuchado. Me preocupa muchísimo el aspecto de los alquileres, yo ya he planteado ante esta Corte que hay alquileres excesivos que en el transcurso de los años han pagado, un edificio que se sigue alquilando y que está subutilizado y a mí me parece que esta situación en la situación fiscal del país no se puede asumir y creo que yo no podría decir que ese rubro estaría votando porque se mantenga.</w:t>
      </w:r>
    </w:p>
    <w:p w14:paraId="3340C637"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275E78C" w14:textId="57010DD6"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Creo que hay que jurídicamente revisar estos alquileres y buscar contenidos más bajos para la clase de ocupación que tienen los edificios luego del teletrabajo. </w:t>
      </w:r>
    </w:p>
    <w:p w14:paraId="5E7CAD1F"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2040A075" w14:textId="700A6B0E"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Luego, me preocupa que escuché una mezcla entre plazas que se crean, pero unas son del Ministerio Público, otras son de custodios y otras son de la defensa, ninguna de esas involucra administración de justicia, siempre he tenido claro que el 6% se refiere a administración de justicia, eso es función administrativa no jurisdiccional del Poder Judicial, no es el bloque duro, el núcleo duro de la administración de justicia, por tanto, no debería estar en un presupuesto del Poder Judicial.</w:t>
      </w:r>
    </w:p>
    <w:p w14:paraId="5AB9EE65"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6A585DA0" w14:textId="29FB91B4"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Con respecto a la plaza que se crea del Tribunal Contencioso Administrativo, estoy informada de que, bueno, hay una situación que tiene Corte que resolver con respecto a la Comisión de Contencioso; sin embargo, desde la época de don Fernando Cruz se había requerido un informe técnico y quisiera saber si esa es la plaza de expropiaciones que no han dado los resultados que se espera, el país sigue esperando que las expropiaciones caminen, los costos de estas personas son muy altos. </w:t>
      </w:r>
    </w:p>
    <w:p w14:paraId="33116748"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5B0CBB02" w14:textId="3DB3F42C"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Yo quisiera ver si, efectivamente, se ha hecho un estudio actualizado, si la Comisión de lo Contencioso lo ha conocido y si tenemos números reales de que la inversión que el país está haciendo cambió, porque don Roger Mata se comprometió en Corte Plena a rendir informes y yo no recuerdo haberlos recibido, que fue quien hice la gestión.</w:t>
      </w:r>
    </w:p>
    <w:p w14:paraId="3BAB0C9C"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126F2D8C" w14:textId="2C0F813C"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Entonces, tampoco me parece que deben mantenerse recursos que no acreditan una utilización y una movilización de toda la masa de expropiaciones de la que depende la actualización de la red vial nacional y que eso significa progreso y desarrollo. </w:t>
      </w:r>
    </w:p>
    <w:p w14:paraId="69DD95FD"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E3303F6" w14:textId="74CFF7C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Luego, con respecto al Fondo de Pensiones, nuevamente no estoy de acuerdo, es un órgano de desconcentración máxima, pero ya la Contraloría y la Sala Constitucional habían dicho, desde vieja data, que no era la Contraloría la que aprobaba estos presupuestos, sino que iban incorporados, porque no significa que son un órgano aparte o un ente aparte, son un órgano de una estructura que se llama Poder Judicial. </w:t>
      </w:r>
    </w:p>
    <w:p w14:paraId="69618A92"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162BE5BD" w14:textId="5E0DF7DA"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Se crean un montón de plazas en el momento en que se da la audiencia y la noticia al país de las pérdidas millonarias que tiene el Fondo, y entonces yo me pregunto, eso lo dispuso la Junta Directiva, me imagino yo, la Junta que dirige el Fondo ¿cuál es el criterio técnico para crear esas plazas de administrador, </w:t>
      </w:r>
      <w:r w:rsidRPr="00990FB6">
        <w:rPr>
          <w:sz w:val="22"/>
          <w:szCs w:val="22"/>
          <w:lang w:val="es-CR" w:eastAsia="es-CR"/>
        </w:rPr>
        <w:lastRenderedPageBreak/>
        <w:t>de etcétera? ¿de qué van a servir en un momento en que el Fondo, más bien, tiene una situación de deficiencia?</w:t>
      </w:r>
    </w:p>
    <w:p w14:paraId="58EA46DA"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D193052" w14:textId="2EACFF2D"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¿Por qué? Porque el hecho de que sea un órgano de desconcentración máxima no significa que esté exento de las reglas de la técnica y de la ciencia y tiene que haber un estudio técnico que señale que ese gasto que va a hacer la Junta, que está en situaciones económicas lamentables, según un informe actuarial, realmente es necesario. Yo no podría simplemente tomar nota que ellos crearon esas plazas y que van en el Poder Judicial y que el Poder Judicial dice que sí.</w:t>
      </w:r>
    </w:p>
    <w:p w14:paraId="3DC61CFE"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A5F7728" w14:textId="7453063A"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Igual está pendiente de determinar cómo está la situación de la presidencia del Fondo y de la no aceptación por parte de los miembros que pertenecen a las instituciones, perdón, que no pertenecen al área patronal, del plazo y de la rotación de la presidencia.</w:t>
      </w:r>
    </w:p>
    <w:p w14:paraId="3022C3A0"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B6B0A4D" w14:textId="40B7A1F9"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Con respecto al Fondo, aquí hay que ser muy cautelosos en la aprobación de estas plazas con los resultados que está dando el Fondo ¿cuál es el criterio técnico para pagar eso de más en la condición que tiene el Fondo, según estudio actuarial? Entonces, quisiera saber si es nada más que están tomando nota o si realmente se hizo un estudio que justifique esa necesidad. </w:t>
      </w:r>
    </w:p>
    <w:p w14:paraId="5FCDA6E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547724D5" w14:textId="6F8980ED"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Con los estudios de capacitación, desde que el Poder Judicial decidió no aprobar más las plazas y la carrera en la Universidad Nacional, se había determinado la posibilidad de hacer convenios institucionales para la capacitación al FIAJ. No veo que esta posibilidad haya sido explorada, simplemente se carga al gasto, y eso me preocupa, sobre todo, ¿por qué?, porque perfectamente podría ser gente del Poder Judicial, pero podría ser gente que no venga del Poder Judicial ¿y qué ha sucedido en la práctica? y lo vemos en las acciones de lo Contencioso Administrativo, que como los exámenes psicológicos son los últimos que se hacen, eso por disposición de la Sala Constitucional, entonces, ya el Poder Judicial ha gastado un montón de recursos en formación de personas que al final no le están dando el recurso humano adecuado de idoneidad comprobada total para nombrarlas y designarlas en plaza.</w:t>
      </w:r>
    </w:p>
    <w:p w14:paraId="0923F21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9CCD8C4" w14:textId="430B4F1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rFonts w:eastAsia="Calibri"/>
          <w:sz w:val="22"/>
          <w:szCs w:val="22"/>
          <w:lang w:val="es-CR" w:eastAsia="es-CR"/>
        </w:rPr>
        <w:tab/>
        <w:t>Aqu</w:t>
      </w:r>
      <w:r w:rsidRPr="00990FB6">
        <w:rPr>
          <w:sz w:val="22"/>
          <w:szCs w:val="22"/>
          <w:lang w:val="es-CR" w:eastAsia="es-CR"/>
        </w:rPr>
        <w:t xml:space="preserve">í hay un riesgo de inversión institucional, riesgo que debería valorarse, porque son muchos millones, a pesar de que se está haciendo una rebaja hay una apuesta por un gasto institucional que a mí me parece que ante ese riesgo podría ser irrazonable. </w:t>
      </w:r>
    </w:p>
    <w:p w14:paraId="23E542E7"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2A4CBCB" w14:textId="2D4457D5"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Los códigos procesales, quiero decir que nada pasa, o sea, la responsabilidad de los códigos la Constitución dice que la Asamblea Legislativa para crear nuevos gastos tiene que dar los recursos y nosotros en todas las reformas procesales lo hemos advertido. Si la Asamblea Legislativa no da los recursos nosotros no podemos implementar las reformas, pero nada pasa, tenemos toda la vida de tener las leyes y ya habrán las normas que las han dirigido siempre, que las han aplicado siempre y, entonces, simplemente yo lo que quiero que quede claro es que no es responsabilidad del Poder Judicial implementar las reformas, es responsabilidad de la Asamblea Legislativa y nosotros responsablemente estamos aplicando la normativa que queda, que es la que siempre ha regido y no está pasando nada, o sea, las jurisdicciones no están paralizadas. </w:t>
      </w:r>
    </w:p>
    <w:p w14:paraId="31EA5DE5"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472AF680" w14:textId="0720FA0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Básicamente, me parece que debe haber una diferenciación entre plazas que son jurisdiccionales, no jurisdiccionales y me preocupa el informe técnico de la situación de la jurisdicción contenciosa. También me preocupa montones el que haya un tribunal que tiene, eventualmente, un dictamen de que no tiene, </w:t>
      </w:r>
      <w:r w:rsidRPr="00990FB6">
        <w:rPr>
          <w:sz w:val="22"/>
          <w:szCs w:val="22"/>
          <w:lang w:val="es-CR" w:eastAsia="es-CR"/>
        </w:rPr>
        <w:lastRenderedPageBreak/>
        <w:t>digamos, adecuado desarrollo o utilización, que es de juez 5 y que pasan los meses y que la Corte no programa en agenda, y esto yo creo que sí le corresponde a presidencia, ver cómo se hace la mejor utilización de esos recursos.</w:t>
      </w:r>
    </w:p>
    <w:p w14:paraId="17249E3C"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63F587A" w14:textId="72D72668"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Creo que hay muchas cosas que aún se pueden mejorar de la rápida escucha que he hecho, si no es posible que en detalle se me den tantos informes, lo entiendo, totalmente razonable, no es mi culpa, tampoco es de la administración, ni de doña Nacira, ni de Corte, entonces, en ese caso, si no fuera posible obtener una respuesta yo estaría votando en contra, por no tener la información adecuada para votar el presupuesto, que yo creo que todavía se puede hacer más porque sea razonable. Gracias".</w:t>
      </w:r>
    </w:p>
    <w:p w14:paraId="42E94FFA"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57322134" w14:textId="0BAE0EC1" w:rsidR="00B15F7D" w:rsidRPr="00990FB6" w:rsidRDefault="00B15F7D" w:rsidP="00B15F7D">
      <w:pPr>
        <w:ind w:firstLine="709"/>
        <w:jc w:val="both"/>
        <w:rPr>
          <w:sz w:val="22"/>
          <w:szCs w:val="22"/>
          <w:lang w:val="es-CR" w:eastAsia="es-CR"/>
        </w:rPr>
      </w:pPr>
      <w:r w:rsidRPr="00990FB6">
        <w:rPr>
          <w:sz w:val="22"/>
          <w:szCs w:val="22"/>
          <w:lang w:val="es-CR" w:eastAsia="es-CR"/>
        </w:rPr>
        <w:t>Manifiesta el Presidente, magistrado Aguirre: "Gracias a usted. Le damos la palabra a doña Nacira".</w:t>
      </w:r>
      <w:r w:rsidRPr="00990FB6">
        <w:rPr>
          <w:sz w:val="22"/>
          <w:szCs w:val="22"/>
          <w:lang w:val="es-CR" w:eastAsia="es-CR"/>
        </w:rPr>
        <w:tab/>
      </w:r>
    </w:p>
    <w:p w14:paraId="2F78A8ED" w14:textId="77777777" w:rsidR="006E4ED2" w:rsidRPr="00990FB6" w:rsidRDefault="006E4ED2" w:rsidP="00B15F7D">
      <w:pPr>
        <w:ind w:firstLine="709"/>
        <w:jc w:val="both"/>
        <w:rPr>
          <w:sz w:val="22"/>
          <w:szCs w:val="22"/>
          <w:lang w:val="es-CR" w:eastAsia="es-CR"/>
        </w:rPr>
      </w:pPr>
    </w:p>
    <w:p w14:paraId="39309C69" w14:textId="42F56962"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Interviene la máster Valverde Bermúdez: "Bueno, buenas tardes a doña Rocío. Creo haber tomado nota de todo y, entonces, espero poderle dar respuesta. </w:t>
      </w:r>
    </w:p>
    <w:p w14:paraId="5BD8B3E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18ED3DCA" w14:textId="237ACD4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En la subpartida de alquileres, comentarles que no hay crecimiento en la subpartida de alquileres, los lineamientos están dados en que la subpartida de alquileres no debía de tener crecimiento, sino al contrario, los contratos de alquiler tienen que ir a la baja; sin embargo, el aumento en la subpartida de alquileres, como expliqué, se ve indirectamente afectado por la reclasificación o la clasificación de los recursos para pagar la cuota de mantenimiento de los alquileres.</w:t>
      </w:r>
    </w:p>
    <w:p w14:paraId="3922229E"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60683976" w14:textId="7777777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Con respecto a la creación de plazas nuevas de otros ámbitos, aquí tal vez clarificar que, en el presupuesto ordinario del Poder Judicial no van plazas nuevas, son necesidades detectadas en los diferentes ámbitos que pertenecen al Poder Judicial y al título 301, bajo ese principio es que están planteadas las diferentes necesidades. En nuestro presupuesto pues no van recursos nuevos.</w:t>
      </w:r>
    </w:p>
    <w:p w14:paraId="4CE799E3" w14:textId="77777777" w:rsidR="006E4ED2"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r>
    </w:p>
    <w:p w14:paraId="19713DDC" w14:textId="6C0783C9" w:rsidR="00B15F7D" w:rsidRPr="00990FB6" w:rsidRDefault="00B15F7D" w:rsidP="006E4ED2">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Con respecto a las expropiaciones, el proyecto de expropiaciones tenía 6 plazas, ese proyecto de expropiaciones se le rebajaron 4 plazas y solamente quedan 2 plazas, que son lo mínimo, que es una persona juzgadora y un técnico, para poder atender lo que ha llegado de las expropiaciones. </w:t>
      </w:r>
    </w:p>
    <w:p w14:paraId="7757AC8E" w14:textId="77777777" w:rsidR="006E4ED2" w:rsidRPr="00990FB6" w:rsidRDefault="006E4ED2" w:rsidP="006E4ED2">
      <w:pPr>
        <w:widowControl w:val="0"/>
        <w:suppressAutoHyphens w:val="0"/>
        <w:autoSpaceDE w:val="0"/>
        <w:autoSpaceDN w:val="0"/>
        <w:adjustRightInd w:val="0"/>
        <w:ind w:firstLine="708"/>
        <w:jc w:val="both"/>
        <w:rPr>
          <w:sz w:val="22"/>
          <w:szCs w:val="22"/>
          <w:lang w:val="es-CR" w:eastAsia="es-CR"/>
        </w:rPr>
      </w:pPr>
    </w:p>
    <w:p w14:paraId="285EDA2B" w14:textId="7983AB35"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Aquí hay que indicar que sí existe el informe técnico elaborado y que porque existe el informe técnico se rebajó de las seis plazas que existían y hoy quedan dos plazas.</w:t>
      </w:r>
    </w:p>
    <w:p w14:paraId="4B4C188C"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59E474C4" w14:textId="41569C4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Con respecto al presupuesto del fondo de jubilaciones, efectivamente es un criterio de la Procuraduría General de la República y del Ministerio de Hacienda, en donde el presupuesto debe estar consolidado en el presupuesto ordinario del Poder Judicial. Es así como, entonces, pues nosotros consolidamos el presupuesto.</w:t>
      </w:r>
    </w:p>
    <w:p w14:paraId="32B665CD"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C60788B" w14:textId="1A6C35AD"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Con respecto al criterio técnico con el que se creó la estructura del fondo de jubilaciones, se realizó un pago, una consultoría externa, en donde a partir de esa consultoría externa se realizó la propuesta de estructura y con eso es que ellos han venido sustentando sus necesidades.</w:t>
      </w:r>
    </w:p>
    <w:p w14:paraId="4453FD46"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0BFD3135" w14:textId="65282E95"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Esto porque, al no contar con un criterio técnico de la Dirección de Planificación, eso no significa que no tengan el criterio sustentado y canalizado por medio de una consultoría externa.</w:t>
      </w:r>
    </w:p>
    <w:p w14:paraId="51900742"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B558763" w14:textId="1D7355D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Con el FIAJ, precisamente el Consejo Superior, en este proceso de análisis presupuestario, el Consejo Superior le solicitó a la Escuela Judicial el fortalecimiento o explicación del fortalecimiento de este sistema de capacitación del FIAJ, en donde, bueno, se recibió comunicación de la Escuela Judicial en ese análisis, en donde se indicó que se está fortaleciendo todavía más el FIAJ para darle especialización a esas personas que se están capacitando.</w:t>
      </w:r>
    </w:p>
    <w:p w14:paraId="6CB17518"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6B379F3A" w14:textId="6EE5FEF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Adicionalmente, se le está solicitando a la Escuela Judicial que estabilice sus cronogramas de trabajo, para que sean de tal forma que sean anualizados los recursos y se pueda visualizar una mejor ejecución del recurso anualizado.</w:t>
      </w:r>
    </w:p>
    <w:p w14:paraId="0872730B"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FE47219" w14:textId="29B41A7B"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Y, con respecto a los recursos solicitados por las diferentes reformas procesales, efectivamente, lamentablemente al Poder Judicial se le han impuesto nuevas obligaciones y nuevas necesidades legales, sin embargo, no tenemos forma o no ha habido tampoco la norma legal que sustente el financiamiento específico para esas implementaciones. Con los recursos particulares o propios que tiene el Poder Judicial ha venido haciendo lo que ha podido, ha venido implementando mejoras a lo interno, sin embargo, hay limitaciones con las que evidentemente llegamos a un tope y esas limitaciones topadas son las que el Poder Judicial pues plantea de forma reiterada al Ministerio de Hacienda para poder hacer visibles las necesidades con las que tiene el Poder Judicial. Creo que en resumen esos son mis aportes".</w:t>
      </w:r>
    </w:p>
    <w:p w14:paraId="7D689DF9"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09FA1701" w14:textId="318149A0" w:rsidR="00B15F7D" w:rsidRPr="00990FB6" w:rsidRDefault="00B15F7D" w:rsidP="00B15F7D">
      <w:pPr>
        <w:ind w:firstLine="709"/>
        <w:jc w:val="both"/>
        <w:rPr>
          <w:sz w:val="22"/>
          <w:szCs w:val="22"/>
          <w:lang w:val="es-CR" w:eastAsia="es-CR"/>
        </w:rPr>
      </w:pPr>
      <w:r w:rsidRPr="00990FB6">
        <w:rPr>
          <w:sz w:val="22"/>
          <w:szCs w:val="22"/>
          <w:lang w:val="es-CR" w:eastAsia="es-CR"/>
        </w:rPr>
        <w:t>Refiere el señor Presidente, magistrado Aguirre: "Gracias doña Nacira. Doña Roxana Chacón".</w:t>
      </w:r>
    </w:p>
    <w:p w14:paraId="47F255D1" w14:textId="77777777" w:rsidR="006E4ED2" w:rsidRPr="00990FB6" w:rsidRDefault="006E4ED2" w:rsidP="00B15F7D">
      <w:pPr>
        <w:ind w:firstLine="709"/>
        <w:jc w:val="both"/>
        <w:rPr>
          <w:sz w:val="22"/>
          <w:szCs w:val="22"/>
          <w:lang w:val="es-CR" w:eastAsia="es-CR"/>
        </w:rPr>
      </w:pPr>
    </w:p>
    <w:p w14:paraId="5A5146BF" w14:textId="36D312D6"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Añade la magistrada Chacón: "Gracias. Sí ...".</w:t>
      </w:r>
    </w:p>
    <w:p w14:paraId="5A866266"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7B13EEDD" w14:textId="7079C7E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Agrega la magistrada Rojas: "Don Orlando, doña Roxana ¿usted me da un chancecito para hacerle una pregunta de aclaración a doña Nacira?".</w:t>
      </w:r>
    </w:p>
    <w:p w14:paraId="0AF6FBDB"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46BFA08D" w14:textId="4028BBAD"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Expresa la magistrada Chacón: "Sí doña Rocío, con gusto".</w:t>
      </w:r>
    </w:p>
    <w:p w14:paraId="75B4C1BF"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407F1C43" w14:textId="3279BDCA"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Señala la magistrada Rojas: "Gracias. Doña Nacira, es que, lo que me queda la duda, porque es mucho dinero el que el Fondo está invirtiendo en nuevas …, en la situación en la que está el fondo yo no estoy dispuesta a darle un cinco más la verdad, y quería preguntar ¿por qué planificación no ha hecho el recurso? porque si usted me está diciendo que pagaron además una consultoría para que privadamente les dijeran qué plazas podían crear en una condición en la que tiene el Fondo.</w:t>
      </w:r>
    </w:p>
    <w:p w14:paraId="0372BC89"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676C046A" w14:textId="63B7988D"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Yo realmente, no sé, dudaría ¿ustedes tuvieron a la vista ese estudio técnico? qué clase de formulación se preguntó, yo tengo mi duda del alcance de ese estudio técnico, me pregunto por qué, si está dentro del presupuesto del Poder Judicial no lo hizo la Dirección de Planificación, ¿por qué se gastan recursos públicos que se necesitan para que se les dé a ellos una justificación de unas plazas?, me parece terrible, la verdad, y yo quisiera una explicación de por qué planificación no incorporó eso.</w:t>
      </w:r>
    </w:p>
    <w:p w14:paraId="15644FB0"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35F23AB0" w14:textId="4451CD15"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Y con respecto a las plazas del FIAJ, entonces, lo que pasa aquí es que la Escuela Judicial dice que, bueno, que lo quiere fortalecer, que lo quiere dar en especialidad y eso es suficiente para que se diga que sí, es eso es suficiente y lo que Corte dijo, de que se podían hacer convenios institucionales con universidades para bajar costos, de cuáles son las necesidades, qué es lo que se va a fortalecer, o sea, eso no es un criterio </w:t>
      </w:r>
      <w:r w:rsidRPr="00990FB6">
        <w:rPr>
          <w:sz w:val="22"/>
          <w:szCs w:val="22"/>
          <w:lang w:val="es-CR" w:eastAsia="es-CR"/>
        </w:rPr>
        <w:lastRenderedPageBreak/>
        <w:t>técnico en mi humilde opinión y me preocupa.</w:t>
      </w:r>
    </w:p>
    <w:p w14:paraId="113576AC"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28C24629" w14:textId="4B16685E"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Bueno, efectivamente, me queda claro lo de los alquileres, pero creo que hay unos alquileres que no cumplen con lo que la ley ordenó y es que no han ido a la baja y todos los conocemos, cuáles son los casos. Es más, está renegociado por una persona que no tiene capacidad para haber intervenido en la negociación de ese contrato, yo me lo estudié, y hay contratos que no han ido a la baja, porque entonces los mantenemos y la ley decía que todos los contratos tenían que ir a la baja.</w:t>
      </w:r>
    </w:p>
    <w:p w14:paraId="35AECDB8"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400A4CAA" w14:textId="0E16D115"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Yo entiendo claramente lo de la justificación del cambio, pero no que haya contratos administrativos que se mantienen, bueno, perdón, que no son contratos administrativos, la Sala Primera ha dicho, aplicando la ley, que estos son contratos de arrendamientos puros y simples que se rigen por la ley de arrendamientos urbanos y suburbanos, no es un contrato administrativo. Así que un alquiler se termina como se empieza y aquí siguen pagándose alquileres en edificios subutilizados sin que se haya cumplido con la orden de ir a la baja. Esa es mi inquietud y eso también me preocupa muchísimo. Gracias”. </w:t>
      </w:r>
    </w:p>
    <w:p w14:paraId="1C5FBFD0" w14:textId="77777777" w:rsidR="006E4ED2" w:rsidRPr="00990FB6" w:rsidRDefault="006E4ED2" w:rsidP="00B15F7D">
      <w:pPr>
        <w:widowControl w:val="0"/>
        <w:suppressAutoHyphens w:val="0"/>
        <w:autoSpaceDE w:val="0"/>
        <w:autoSpaceDN w:val="0"/>
        <w:adjustRightInd w:val="0"/>
        <w:jc w:val="both"/>
        <w:rPr>
          <w:sz w:val="22"/>
          <w:szCs w:val="22"/>
          <w:lang w:val="es-CR" w:eastAsia="es-CR"/>
        </w:rPr>
      </w:pPr>
    </w:p>
    <w:p w14:paraId="662BF151" w14:textId="204E565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Indica el señor Presidente, magistrado Aguirre: "Doña Nacira".</w:t>
      </w:r>
    </w:p>
    <w:p w14:paraId="78534841"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3ED5AF48" w14:textId="2E07E11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Manifiesta la máster Valverde Bermúdez: "Sí, con respecto al fondo de jubilaciones sí tenemos que aclarar que los recursos son derechos, son recursos privados y bajo los recursos privados han sido administrados por el fondo de jubilaciones, ese es el principio por el que ha privado este presupuesto presentado por la Junta Administrativa del Fondo de Jubilaciones. Con respecto ...".</w:t>
      </w:r>
    </w:p>
    <w:p w14:paraId="7F533CBE" w14:textId="77777777" w:rsidR="006E4ED2" w:rsidRPr="00990FB6" w:rsidRDefault="006E4ED2" w:rsidP="00B15F7D">
      <w:pPr>
        <w:widowControl w:val="0"/>
        <w:suppressAutoHyphens w:val="0"/>
        <w:autoSpaceDE w:val="0"/>
        <w:autoSpaceDN w:val="0"/>
        <w:adjustRightInd w:val="0"/>
        <w:ind w:firstLine="708"/>
        <w:jc w:val="both"/>
        <w:rPr>
          <w:sz w:val="22"/>
          <w:szCs w:val="22"/>
          <w:lang w:val="es-CR" w:eastAsia="es-CR"/>
        </w:rPr>
      </w:pPr>
    </w:p>
    <w:p w14:paraId="26B2247D" w14:textId="374E3BDC" w:rsidR="00B15F7D" w:rsidRPr="00990FB6" w:rsidRDefault="00B15F7D" w:rsidP="00B15F7D">
      <w:pPr>
        <w:pStyle w:val="Normal0"/>
        <w:ind w:firstLine="708"/>
        <w:jc w:val="both"/>
        <w:rPr>
          <w:rFonts w:ascii="Times New Roman" w:eastAsia="Times New Roman" w:hAnsi="Times New Roman" w:cs="Times New Roman"/>
          <w:sz w:val="22"/>
          <w:szCs w:val="22"/>
          <w:lang w:eastAsia="es-CR"/>
        </w:rPr>
      </w:pPr>
      <w:r w:rsidRPr="00990FB6">
        <w:rPr>
          <w:rFonts w:ascii="Times New Roman" w:eastAsia="Times New Roman" w:hAnsi="Times New Roman" w:cs="Times New Roman"/>
          <w:sz w:val="22"/>
          <w:szCs w:val="22"/>
          <w:lang w:eastAsia="es-CR"/>
        </w:rPr>
        <w:t>Dice la magistrada Rojas: "Perdón ¿de dónde saca, de dónde saca ese criterio de que los fondos de los recursos del fondo son privados, doña Nacira?".</w:t>
      </w:r>
    </w:p>
    <w:p w14:paraId="4F5B440F" w14:textId="77777777" w:rsidR="006E4ED2" w:rsidRPr="00990FB6" w:rsidRDefault="006E4ED2" w:rsidP="00B15F7D">
      <w:pPr>
        <w:pStyle w:val="Normal0"/>
        <w:ind w:firstLine="708"/>
        <w:jc w:val="both"/>
        <w:rPr>
          <w:rFonts w:ascii="Times New Roman" w:eastAsia="Times New Roman" w:hAnsi="Times New Roman" w:cs="Times New Roman"/>
          <w:sz w:val="22"/>
          <w:szCs w:val="22"/>
          <w:lang w:eastAsia="es-CR"/>
        </w:rPr>
      </w:pPr>
    </w:p>
    <w:p w14:paraId="1B2EA641" w14:textId="7B4EC4D1" w:rsidR="00B15F7D" w:rsidRPr="00990FB6" w:rsidRDefault="00B15F7D" w:rsidP="00B15F7D">
      <w:pPr>
        <w:ind w:firstLine="709"/>
        <w:jc w:val="both"/>
        <w:rPr>
          <w:b/>
          <w:bCs/>
          <w:color w:val="000000"/>
          <w:sz w:val="22"/>
          <w:szCs w:val="22"/>
          <w:shd w:val="clear" w:color="auto" w:fill="FFFFFF"/>
          <w:lang w:val="es-CR"/>
        </w:rPr>
      </w:pPr>
      <w:r w:rsidRPr="00990FB6">
        <w:rPr>
          <w:b/>
          <w:bCs/>
          <w:color w:val="000000"/>
          <w:sz w:val="22"/>
          <w:szCs w:val="22"/>
          <w:shd w:val="clear" w:color="auto" w:fill="FFFFFF"/>
          <w:lang w:val="es-CR"/>
        </w:rPr>
        <w:t>SALE EL MAGISTRADO SEGURA BONILLA DE LA SESIÓN.</w:t>
      </w:r>
    </w:p>
    <w:p w14:paraId="17E1902C" w14:textId="77777777" w:rsidR="006E4ED2" w:rsidRPr="00990FB6" w:rsidRDefault="006E4ED2" w:rsidP="00B15F7D">
      <w:pPr>
        <w:ind w:firstLine="709"/>
        <w:jc w:val="both"/>
        <w:rPr>
          <w:b/>
          <w:bCs/>
          <w:color w:val="000000"/>
          <w:sz w:val="22"/>
          <w:szCs w:val="22"/>
          <w:shd w:val="clear" w:color="auto" w:fill="FFFFFF"/>
          <w:lang w:val="es-CR"/>
        </w:rPr>
      </w:pPr>
    </w:p>
    <w:p w14:paraId="67ACD318" w14:textId="4364A068" w:rsidR="00B15F7D" w:rsidRPr="00990FB6" w:rsidRDefault="00B15F7D" w:rsidP="00B15F7D">
      <w:pPr>
        <w:ind w:firstLine="709"/>
        <w:jc w:val="both"/>
        <w:rPr>
          <w:sz w:val="22"/>
          <w:szCs w:val="22"/>
          <w:lang w:val="es-CR" w:eastAsia="es-CR"/>
        </w:rPr>
      </w:pPr>
      <w:r w:rsidRPr="00990FB6">
        <w:rPr>
          <w:sz w:val="22"/>
          <w:szCs w:val="22"/>
          <w:lang w:val="es-CR" w:eastAsia="es-CR"/>
        </w:rPr>
        <w:t>Interviene la máster Valverde Bermúdez: "Es de terceros doña Rocío, se paga ... lo que es la estructura ...".</w:t>
      </w:r>
    </w:p>
    <w:p w14:paraId="066A8702" w14:textId="77777777" w:rsidR="006E4ED2" w:rsidRPr="00990FB6" w:rsidRDefault="006E4ED2" w:rsidP="00B15F7D">
      <w:pPr>
        <w:ind w:firstLine="709"/>
        <w:jc w:val="both"/>
        <w:rPr>
          <w:sz w:val="22"/>
          <w:szCs w:val="22"/>
          <w:lang w:val="es-CR" w:eastAsia="es-CR"/>
        </w:rPr>
      </w:pPr>
    </w:p>
    <w:p w14:paraId="6C2B247F" w14:textId="3FCA074E" w:rsidR="00B15F7D" w:rsidRPr="00990FB6" w:rsidRDefault="00B15F7D" w:rsidP="00B15F7D">
      <w:pPr>
        <w:ind w:firstLine="709"/>
        <w:jc w:val="both"/>
        <w:rPr>
          <w:sz w:val="22"/>
          <w:szCs w:val="22"/>
          <w:lang w:val="es-CR" w:eastAsia="es-CR"/>
        </w:rPr>
      </w:pPr>
      <w:r w:rsidRPr="00990FB6">
        <w:rPr>
          <w:sz w:val="22"/>
          <w:szCs w:val="22"/>
          <w:lang w:val="es-CR" w:eastAsia="es-CR"/>
        </w:rPr>
        <w:t>Refiere la magistrada Rojas: "No señora, los fondos de pensiones son fondos públicos al que entran los dineros del Estado, o sea ¿de dónde saca usted el criterio de que los fondos de pensiones son fondos privados? Hágame el favor y me aclara, me sorprende".</w:t>
      </w:r>
    </w:p>
    <w:p w14:paraId="4487224A" w14:textId="77777777" w:rsidR="006E4ED2" w:rsidRPr="00990FB6" w:rsidRDefault="006E4ED2" w:rsidP="00B15F7D">
      <w:pPr>
        <w:ind w:firstLine="709"/>
        <w:jc w:val="both"/>
        <w:rPr>
          <w:sz w:val="22"/>
          <w:szCs w:val="22"/>
          <w:lang w:val="es-CR" w:eastAsia="es-CR"/>
        </w:rPr>
      </w:pPr>
    </w:p>
    <w:p w14:paraId="4E2401BD" w14:textId="12297DB2"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Añade la máster Valverde Bermúdez: "Tal vez para clarificar el tema, el presupuesto que se está presentando aquí es de la cuota de aporte de los jubilados del 0.5%, sobre eso es que se está presupuestando la estructura de lo que aquí se está planteando por la Junta Administradora ...". </w:t>
      </w:r>
    </w:p>
    <w:p w14:paraId="5CC7D175"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56639530" w14:textId="77777777" w:rsidR="00B15F7D" w:rsidRPr="00990FB6" w:rsidRDefault="00B15F7D" w:rsidP="00B15F7D">
      <w:pPr>
        <w:ind w:firstLine="709"/>
        <w:jc w:val="both"/>
        <w:rPr>
          <w:sz w:val="22"/>
          <w:szCs w:val="22"/>
          <w:lang w:val="es-CR" w:eastAsia="es-CR"/>
        </w:rPr>
      </w:pPr>
      <w:r w:rsidRPr="00990FB6">
        <w:rPr>
          <w:sz w:val="22"/>
          <w:szCs w:val="22"/>
          <w:lang w:val="es-CR" w:eastAsia="es-CR"/>
        </w:rPr>
        <w:t>Agrega la magistrada Rojas: "Ok, ese aporte jurídicamente se llama contribución parafiscal y se rige por el derecho tributario y jamás podría darle la consideración de fondo privado. Gracias".</w:t>
      </w:r>
    </w:p>
    <w:p w14:paraId="4494F801" w14:textId="77777777" w:rsidR="00A62080" w:rsidRPr="00990FB6" w:rsidRDefault="00A62080" w:rsidP="00B15F7D">
      <w:pPr>
        <w:ind w:firstLine="709"/>
        <w:jc w:val="both"/>
        <w:rPr>
          <w:sz w:val="22"/>
          <w:szCs w:val="22"/>
          <w:lang w:val="es-CR" w:eastAsia="es-CR"/>
        </w:rPr>
      </w:pPr>
    </w:p>
    <w:p w14:paraId="455F30FF" w14:textId="21FB0FD0" w:rsidR="00B15F7D" w:rsidRPr="00990FB6" w:rsidRDefault="00B15F7D" w:rsidP="00B15F7D">
      <w:pPr>
        <w:ind w:firstLine="709"/>
        <w:jc w:val="both"/>
        <w:rPr>
          <w:sz w:val="22"/>
          <w:szCs w:val="22"/>
          <w:lang w:val="es-CR" w:eastAsia="es-CR"/>
        </w:rPr>
      </w:pPr>
      <w:r w:rsidRPr="00990FB6">
        <w:rPr>
          <w:sz w:val="22"/>
          <w:szCs w:val="22"/>
          <w:lang w:val="es-CR" w:eastAsia="es-CR"/>
        </w:rPr>
        <w:t>Expresa el señor Presidente, magistrado Aguirre: "Doña Sandra Eugenia ¿Doña Roxana, usted ya había terminado? Bueno, entonces concluya usted".</w:t>
      </w:r>
    </w:p>
    <w:p w14:paraId="379A630C" w14:textId="77777777" w:rsidR="00A62080" w:rsidRPr="00990FB6" w:rsidRDefault="00A62080" w:rsidP="00B15F7D">
      <w:pPr>
        <w:ind w:firstLine="709"/>
        <w:jc w:val="both"/>
        <w:rPr>
          <w:sz w:val="22"/>
          <w:szCs w:val="22"/>
          <w:lang w:val="es-CR" w:eastAsia="es-CR"/>
        </w:rPr>
      </w:pPr>
    </w:p>
    <w:p w14:paraId="6FE78951" w14:textId="38D69DF3"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Señala la magistrada Chacón: "Gracias, señor presidente. Volví a solicitar la palabra para indicar </w:t>
      </w:r>
      <w:r w:rsidRPr="00990FB6">
        <w:rPr>
          <w:sz w:val="22"/>
          <w:szCs w:val="22"/>
          <w:lang w:val="es-CR" w:eastAsia="es-CR"/>
        </w:rPr>
        <w:lastRenderedPageBreak/>
        <w:t xml:space="preserve">que con relación al Código Procesal de Familia, que hemos pedido la última vacancia y la definitiva, porque no pensamos, </w:t>
      </w:r>
      <w:proofErr w:type="gramStart"/>
      <w:r w:rsidRPr="00990FB6">
        <w:rPr>
          <w:sz w:val="22"/>
          <w:szCs w:val="22"/>
          <w:lang w:val="es-CR" w:eastAsia="es-CR"/>
        </w:rPr>
        <w:t>bajo ninguna circunstancia</w:t>
      </w:r>
      <w:proofErr w:type="gramEnd"/>
      <w:r w:rsidRPr="00990FB6">
        <w:rPr>
          <w:sz w:val="22"/>
          <w:szCs w:val="22"/>
          <w:lang w:val="es-CR" w:eastAsia="es-CR"/>
        </w:rPr>
        <w:t>, que podríamos solicitar una nueva, sino que al contrario, estamos haciendo todo lo necesario desde la Comisión de niñez familia y adolescencia, todo lo necesario para que la implementación del Código se pueda dar a partir del primero de octubre del veinte veinticuatro.</w:t>
      </w:r>
    </w:p>
    <w:p w14:paraId="1C763DE9"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208BCABC" w14:textId="7F31C3D2"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De hecho, es una reforma procesal que ha costado muy poco y que va a costar muy poco, porque tenemos muy claro que no hay recursos presupuestados y que no los van a haber. Realmente, todo lo que se ha hecho ha sido con recursos institucionales, con un proyecto establecido desde la Dirección de Planificación institucional y que tiene que ver con un proyecto por administración, que hemos caído en la clasificación de administración de proyectos autorizados para ir avanzando en una serie de objetivos.</w:t>
      </w:r>
    </w:p>
    <w:p w14:paraId="333247A0"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2DED4DC3" w14:textId="2AF2942D"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A hoy, por lo menos con relación a esa Reforma Procesal de Familia, tenemos más del 85% ya acreditado en todos los objetivos. En algunos estamos mejor, en algunos ya hemos alcanzado el 100%, para garantizar que la reforma va a entrar en vigencia el primero de octubre del veinte veinticuatro. </w:t>
      </w:r>
    </w:p>
    <w:p w14:paraId="372B4E07"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03CD05EA" w14:textId="135D278E"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Yo pienso que ahí lo vamos a sacar así, sin recurso, porque sabemos que el Ministerio de Hacienda no nos va a dar la plata y se ha invertido muy poco en la capacitación. El hecho de que haya caído una pandemia nos sirvió para hacer capacitaciones en línea y eso redujo los costos en forma considerable. Seguimos con la capacitación de jueces y juezas en las tres áreas, en violencia doméstica, en familia y en pensiones alimentarias, vamos a continuar todo este tiempo hasta que venga el 2024.</w:t>
      </w:r>
    </w:p>
    <w:p w14:paraId="77C33139"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6B688DD7" w14:textId="16445238"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Así es que, nosotros realmente, la necesidad en estos momentos, y doña Nacira, doña Nacira lo sabe, que es las plazas después de que entre a regir la reforma, que eso va a ser en octubre 2024 y las plazas las consideramos como una necesidad por los diferentes procesos que establece el Código Procesal de Familia, que son procesos innovadores, que se requieren jueces 4, que se requieren técnicos para reforzar algunos despachos, que hemos estado reestructurando la jurisdicción de familia, de pensiones alimentarias y de la misma violencia doméstica, para que no nos agarre de aviso, o sea, estamos trabajando a muy largo plazo con los mismos recursos institucionales.</w:t>
      </w:r>
    </w:p>
    <w:p w14:paraId="5612E138"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251654E9" w14:textId="2D5707FF"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Entonces, yo sí quiero hacer un especial énfasis, decir que esto lo vamos a sacar, porque vamos a llegar a ese 100%, con recursos propios, esto no va a costar mucha plata, lo único que sí vamos a necesitar y que sí lo decimos en la opinión pública es una suma de plazas que son necesarias para ya fortalecer la jurisdicción de familia, de violencia doméstica y de pensiones alimentarias, que no llegan a noventa jueces o entre, digamos, noventa plazas, no llegamos a noventa plazas distribuidas entre los jueces 4, en los técnicos judiciales que necesitamos para reforzar algunas, algunos juzgados sí se necesita, por la innovación de los procesos que está regulando la nueva entrada del Código Procesal de Familia.</w:t>
      </w:r>
    </w:p>
    <w:p w14:paraId="7EDA95A1"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64C44662" w14:textId="22AB3315"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Entonces, quiero decirlo, porque yo creo que el decir que si no tenemos la plata no lo podemos hacer, eso no es cierto, o sea, esto se ha hecho así, sin plata, lo que nos han dado son si acaso ochenta millones para una capacitación, que se implementaron muy bien y se capacitó muchas personas de la jurisdicción en este nuevo Código Procesal de Familia.</w:t>
      </w:r>
    </w:p>
    <w:p w14:paraId="1CD36E32"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58CD1257" w14:textId="7637252A"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Lo que quiero decir es que sí sabemos que en esas necesidades que habla doña Nacira van contempladas estas plazas como una necesidad para después del año, o sea, de octubre 2024, que ya no será en ese presupuesto, que probablemente entren hasta el 2025, pero que sí las necesitamos. porque es, </w:t>
      </w:r>
      <w:r w:rsidRPr="00990FB6">
        <w:rPr>
          <w:sz w:val="22"/>
          <w:szCs w:val="22"/>
          <w:lang w:val="es-CR" w:eastAsia="es-CR"/>
        </w:rPr>
        <w:lastRenderedPageBreak/>
        <w:t xml:space="preserve">digamos, de acuerdo con las necesidades ya estudiadas de los diferentes despachos y a lo </w:t>
      </w:r>
      <w:proofErr w:type="spellStart"/>
      <w:r w:rsidRPr="00990FB6">
        <w:rPr>
          <w:sz w:val="22"/>
          <w:szCs w:val="22"/>
          <w:lang w:val="es-CR" w:eastAsia="es-CR"/>
        </w:rPr>
        <w:t>innovante</w:t>
      </w:r>
      <w:proofErr w:type="spellEnd"/>
      <w:r w:rsidRPr="00990FB6">
        <w:rPr>
          <w:rFonts w:eastAsia="Calibri"/>
          <w:sz w:val="22"/>
          <w:szCs w:val="22"/>
          <w:lang w:val="es-CR" w:eastAsia="es-CR"/>
        </w:rPr>
        <w:t xml:space="preserve"> de los procesos que se van a ejecutar, porque los plazos se disminuyen y para dar una efectividad y una disminuci</w:t>
      </w:r>
      <w:r w:rsidRPr="00990FB6">
        <w:rPr>
          <w:sz w:val="22"/>
          <w:szCs w:val="22"/>
          <w:lang w:val="es-CR" w:eastAsia="es-CR"/>
        </w:rPr>
        <w:t>ón de la mora judicial sí necesitamos las plazas que ahí están contempladas.</w:t>
      </w:r>
    </w:p>
    <w:p w14:paraId="3C99B485"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4E456D4B" w14:textId="6FAF1A52"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Lo dejo dicho porque no es que estamos renunciando a que no vamos a entrar en vigencia a partir del primero de octubre, al contrario, vamos a entrar, pero sí después necesitaríamos eso. Gracias".</w:t>
      </w:r>
    </w:p>
    <w:p w14:paraId="2B91AAFC"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587EC058" w14:textId="0E594E4E" w:rsidR="00B15F7D" w:rsidRPr="00990FB6" w:rsidRDefault="00B15F7D" w:rsidP="00B15F7D">
      <w:pPr>
        <w:ind w:firstLine="709"/>
        <w:jc w:val="both"/>
        <w:rPr>
          <w:sz w:val="22"/>
          <w:szCs w:val="22"/>
          <w:lang w:val="es-CR" w:eastAsia="es-CR"/>
        </w:rPr>
      </w:pPr>
      <w:r w:rsidRPr="00990FB6">
        <w:rPr>
          <w:sz w:val="22"/>
          <w:szCs w:val="22"/>
          <w:lang w:val="es-CR" w:eastAsia="es-CR"/>
        </w:rPr>
        <w:t>Indica el señor Presidente, magistrado Aguirre: "Gracias a usted. Doña Sandra".</w:t>
      </w:r>
    </w:p>
    <w:p w14:paraId="131DC820" w14:textId="77777777" w:rsidR="00A62080" w:rsidRPr="00990FB6" w:rsidRDefault="00A62080" w:rsidP="00B15F7D">
      <w:pPr>
        <w:ind w:firstLine="709"/>
        <w:jc w:val="both"/>
        <w:rPr>
          <w:sz w:val="22"/>
          <w:szCs w:val="22"/>
          <w:lang w:val="es-CR" w:eastAsia="es-CR"/>
        </w:rPr>
      </w:pPr>
    </w:p>
    <w:p w14:paraId="11A5D19A" w14:textId="7893398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Manifiesta la magistrada Zúñiga "Muchas gracias, señor presidente, compañeras magistradas, compañeros magistrados y personas que nos siguen por los medios virtuales. </w:t>
      </w:r>
    </w:p>
    <w:p w14:paraId="4313024E"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2166CE6C" w14:textId="4B4C3364"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Después de escuchar el sin número de inquietudes que tiene la magistrada Iris Rocío Rojas, a mí realmente me parece que quizás la opción más prudente sería que se abstenga de votar o que, como ha manifestado, pues, vote en contra.</w:t>
      </w:r>
    </w:p>
    <w:p w14:paraId="455C60FD"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0009D809" w14:textId="0401A5B4"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Hay una cantidad de temas que se formulan en sus objeciones, pero me voy a referir únicamente al tema del Fondo, por ejemplo, a mí me sorprende que se critique las plazas propuestas para ayudar en la administración de los fondos de las pensiones de las personas que han trabajado durante años en esta institución y de las futuras pensiones que se van a obtener, sabemos que se tiene que reforzar, de eso se ha hablado en sesiones de Corte Plena. Pero se contesta diciendo que se elaboraron estudios técnicos, como lo aclaró doña Nacira, y entonces vienen cuestionamientos al contenido del estudio técnico y otros que me parece que no es el momento oportuno. Esos cuestionamientos debieron de presentarse en otro momento, aquí estamos en una discusión del presupuesto sobre estudios que ya se han realizado con anterioridad.</w:t>
      </w:r>
    </w:p>
    <w:p w14:paraId="4E3E8B0F"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14B179BC" w14:textId="50699FC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Con respecto al FIAJ, también yo le invito a doña Iris Rocío que todas esas ideas útiles que nos formula el día de hoy, gustosos, nosotros los podríamos recibir en el Consejo Directivo de la Escuela Judicial, pero sí le aclaro que hemos trabajado y hemos trabajado mucho, del Consejo Directivo de la Escuela Judicial y del Consejo de la Judicatura para realizar coordinaciones y mejorar, porque no hay procesos acabados, no hay una excelencia en todo lo que nosotros podamos realizar, siempre estamos trabajando en equipos que de verdad son muy comprometidos, de las personas que trabajan en el Consejo Directivo de la Escuela Judicial, de las personas que trabajan en el Consejo de la Judicatura, que lo hacen como un recargo de sus funciones, yo solo puedo tener palabras de agradecimiento por una labor responsable.</w:t>
      </w:r>
    </w:p>
    <w:p w14:paraId="7F23939E"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7797D811" w14:textId="12E31E0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Precisamente las evaluaciones, por ejemplo, que mencionaba y que se hacen posteriormente, eso se ha corregido, ya las evaluaciones se van a seguir realizando de previo a que las personas realicen toda la capacitación, pero esos detalles, precisamente, pues son, como decimos los costarricenses, de esa letra menuda que tal vez se escapa del conocimiento de doña Iris Rocío, pero créanme que nosotros estamos haciendo lo posible porque este proceso sea lo más eficiente posible, pues se han limitado recursos que tenemos en la institución, porque el ideal de nosotros es que, efectivamente, el FIAJ se convierta en la entrada de los profesionales que administran justicia en este país y que se haga con altos estándares de calidad.</w:t>
      </w:r>
    </w:p>
    <w:p w14:paraId="2E045966"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17490992" w14:textId="77E669E1"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Así es que, sí quería hacer una intervención sobre esos dos puntos en concreto, porque no me parece </w:t>
      </w:r>
      <w:r w:rsidRPr="00990FB6">
        <w:rPr>
          <w:sz w:val="22"/>
          <w:szCs w:val="22"/>
          <w:lang w:val="es-CR" w:eastAsia="es-CR"/>
        </w:rPr>
        <w:lastRenderedPageBreak/>
        <w:t>justo que en este momento se venga a descalificar con expresiones que, si se escucha por cualquier otra persona, pueden dar una idea falsa de realmente el trabajo y el compromiso que se realiza. Muchas gracias".</w:t>
      </w:r>
    </w:p>
    <w:p w14:paraId="5D78D60C"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6800DE02" w14:textId="7FB86731" w:rsidR="00B15F7D" w:rsidRPr="00990FB6" w:rsidRDefault="00B15F7D" w:rsidP="00B15F7D">
      <w:pPr>
        <w:ind w:firstLine="709"/>
        <w:jc w:val="both"/>
        <w:rPr>
          <w:sz w:val="22"/>
          <w:szCs w:val="22"/>
          <w:lang w:val="es-CR" w:eastAsia="es-CR"/>
        </w:rPr>
      </w:pPr>
      <w:r w:rsidRPr="00990FB6">
        <w:rPr>
          <w:sz w:val="22"/>
          <w:szCs w:val="22"/>
          <w:lang w:val="es-CR" w:eastAsia="es-CR"/>
        </w:rPr>
        <w:t>Señala el Presidente, magistrado Aguirre: "Gracias a usted, magistrada. Don Gerardo Rubén".</w:t>
      </w:r>
    </w:p>
    <w:p w14:paraId="605BC506" w14:textId="77777777" w:rsidR="00A62080" w:rsidRPr="00990FB6" w:rsidRDefault="00A62080" w:rsidP="00B15F7D">
      <w:pPr>
        <w:ind w:firstLine="709"/>
        <w:jc w:val="both"/>
        <w:rPr>
          <w:sz w:val="22"/>
          <w:szCs w:val="22"/>
          <w:lang w:val="es-CR" w:eastAsia="es-CR"/>
        </w:rPr>
      </w:pPr>
    </w:p>
    <w:p w14:paraId="0451E6DF" w14:textId="3BA26BB2"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Indica el magistrado Alfaro: "Gracias, señor magistrado presidente, compañeras magistradas, compañeros magistrados. Yo quiero dirigir estas palabras y abordar dos temas. </w:t>
      </w:r>
    </w:p>
    <w:p w14:paraId="610A5072"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55129AF4" w14:textId="63BD1BE0"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El primero, tiene que ver con una responsabilidad que esta Corte me asignó en diciembre de 2019, cuando asumí como magistrado de la Corte Suprema de Justicia, en la siguiente sesión en que asumí, por recomendación de la presidencia de la Sala y por acuerdo de esta Corte, se me nombró rector de Justicia Restaurativa. </w:t>
      </w:r>
    </w:p>
    <w:p w14:paraId="68E340E1"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45CF6758" w14:textId="713CF624"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La Ley de Justicia Restaurativa había entrado en vigencia en enero de 2019, con un mandato muy particular de extender la justicia restaurativa dentro de la encomienda de los procedimientos establecidos en la ley a lo largo y ancho del país. </w:t>
      </w:r>
    </w:p>
    <w:p w14:paraId="4ABBAD53"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40BC799A" w14:textId="1CF538DF"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La Justicia Restaurativa cumplió el año pasado diez años en el Poder Judicial y los recursos que tiene justicia restaurativa hoy son menos que los recursos que tenía cuando el programa se echó a andar y cuando se agregó justicia penal juvenil en el 2015. </w:t>
      </w:r>
    </w:p>
    <w:p w14:paraId="06939630"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1991F299" w14:textId="66F55460"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Yo tengo que agradecer profundamente el respaldo que esta Corte ha dado, el respaldo que el Consejo Superior ha dado, el respaldo de la Presidencia, pero el trabajo que se hace a lo largo y ancho del país en justicia restaurativa es de mucho corazón y de muy pocos recursos.</w:t>
      </w:r>
    </w:p>
    <w:p w14:paraId="6CB2D5C4"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0F148F68" w14:textId="23BFB9D0"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Este es, me parece, que el cuarto año, doña Nacira me corregirá, en que se dice que hay necesidades, que se presupuestan necesidades, pero que no pueden ir en el presupuesto del Poder Judicial porque corresponden a una ley que se aprobó sin fondos, sin recursos. </w:t>
      </w:r>
    </w:p>
    <w:p w14:paraId="0D4832EA"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22CE489F" w14:textId="25D5E006"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Entonces, yo no quería dejar pasar por alto el reconocimiento, en primer lugar, a todos los que trabajan a lo largo y ancho del país y a la oficina rectora, pero también hacer ver que mucho, mucho podríamos hacer por cumplir las metas y los fines del Poder Judicial, que sabemos que la justicia restaurativa pone en el centro a la persona usuaria o a las personas en conflicto, mucho podríamos hacer llevando justicia restaurativa a otras materias.</w:t>
      </w:r>
    </w:p>
    <w:p w14:paraId="190015AE"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5EC4CC4F" w14:textId="334C8356"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Sin recursos hemos trabajo y hemos completado un proyecto de bienestar del personal judicial, que volvió los ojos hacia adentro, pero más allá de eso, es imposible que podamos crecer si no tenemos esos recursos y, entonces, es claro, es claro que, yo abogo por que hagamos saber sobre esas necesidades que no pueden presupuestarse, porque tengo clarísimo el ajuste y el poquísimo margen de acción que nosotros tenemos para poder presupuestar en el presupuesto nacional, pero sí quería dejar patentizado eso en esta sesión. </w:t>
      </w:r>
    </w:p>
    <w:p w14:paraId="19574CE4"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3EDED6A7" w14:textId="452D87B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En el otro orden, lo que quería era mostrar mi agradecimiento profundo a este proceso que culmina con la puesta en conocimiento de Corte de este proceso de formulación presupuestaria 2024, este proceso que comienza en cada oficina, que luego pasa a planificación y que se trabaja durante muchos meses, con </w:t>
      </w:r>
      <w:r w:rsidRPr="00990FB6">
        <w:rPr>
          <w:sz w:val="22"/>
          <w:szCs w:val="22"/>
          <w:lang w:val="es-CR" w:eastAsia="es-CR"/>
        </w:rPr>
        <w:lastRenderedPageBreak/>
        <w:t xml:space="preserve">muchas horas, que trabaja planificación con todas las direcciones, que trabaja planificación hombro a hombro con el Consejo Superior, que son muchas horas y, entonces, yo creo que no podríamos hoy, con independencia de que sabemos que la administración de la pobreza, como se ha dicho, es muy difícil, o sea, hay muchas necesidades, muchísimas necesidades y yo me alegro de que planificación y quienes han formulado este anteproyecto puedan visualizarlas y exponerlas, aunque no podamos mandarlo en un presupuesto acotado en el cual nosotros no podemos agregar ni un céntimo más allá de lo que Hacienda nos autoriza poder formular. </w:t>
      </w:r>
    </w:p>
    <w:p w14:paraId="7EBC5CDB"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05DDAA59" w14:textId="1B43348C"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Muchísimas gracias doña Nacira, extienda ese agradecimiento de este servidor a su equipo y a todos los que han participado en este proceso. Gracias, magistrado presidente, compañeros y compañeras".</w:t>
      </w:r>
    </w:p>
    <w:p w14:paraId="7C43A36A"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23DCDE78" w14:textId="49E1216D" w:rsidR="00B15F7D" w:rsidRPr="00990FB6" w:rsidRDefault="00B15F7D" w:rsidP="00B15F7D">
      <w:pPr>
        <w:ind w:firstLine="709"/>
        <w:jc w:val="both"/>
        <w:rPr>
          <w:b/>
          <w:bCs/>
          <w:color w:val="000000"/>
          <w:sz w:val="22"/>
          <w:szCs w:val="22"/>
          <w:shd w:val="clear" w:color="auto" w:fill="FFFFFF"/>
          <w:lang w:val="es-CR"/>
        </w:rPr>
      </w:pPr>
      <w:r w:rsidRPr="00990FB6">
        <w:rPr>
          <w:b/>
          <w:bCs/>
          <w:color w:val="000000"/>
          <w:sz w:val="22"/>
          <w:szCs w:val="22"/>
          <w:shd w:val="clear" w:color="auto" w:fill="FFFFFF"/>
          <w:lang w:val="es-CR"/>
        </w:rPr>
        <w:t>ENTRA LA MAGISTRADA SOLÍS MADRIGAL A LA SESIÓN EN SUSTITUCIÓN DE LA MAGISTRADA VARELA.</w:t>
      </w:r>
    </w:p>
    <w:p w14:paraId="5CCC3F9E" w14:textId="77777777" w:rsidR="00A62080" w:rsidRPr="00990FB6" w:rsidRDefault="00A62080" w:rsidP="00B15F7D">
      <w:pPr>
        <w:ind w:firstLine="709"/>
        <w:jc w:val="both"/>
        <w:rPr>
          <w:b/>
          <w:bCs/>
          <w:color w:val="000000"/>
          <w:sz w:val="22"/>
          <w:szCs w:val="22"/>
          <w:shd w:val="clear" w:color="auto" w:fill="FFFFFF"/>
          <w:lang w:val="es-CR"/>
        </w:rPr>
      </w:pPr>
    </w:p>
    <w:p w14:paraId="6B4F55AB" w14:textId="22B17541" w:rsidR="00B15F7D" w:rsidRPr="00990FB6" w:rsidRDefault="00B15F7D" w:rsidP="00B15F7D">
      <w:pPr>
        <w:ind w:firstLine="709"/>
        <w:jc w:val="both"/>
        <w:rPr>
          <w:sz w:val="22"/>
          <w:szCs w:val="22"/>
          <w:lang w:val="es-CR" w:eastAsia="es-CR"/>
        </w:rPr>
      </w:pPr>
      <w:r w:rsidRPr="00990FB6">
        <w:rPr>
          <w:sz w:val="22"/>
          <w:szCs w:val="22"/>
          <w:lang w:val="es-CR" w:eastAsia="es-CR"/>
        </w:rPr>
        <w:t>Menciona el Presidente, magistrado Aguirre: "Gracias a usted. Bueno, no hay más personas que hayan pedido el uso de la palabra, entonces vamos a poner ...".</w:t>
      </w:r>
    </w:p>
    <w:p w14:paraId="0CEC04D3" w14:textId="77777777" w:rsidR="00A62080" w:rsidRPr="00990FB6" w:rsidRDefault="00A62080" w:rsidP="00B15F7D">
      <w:pPr>
        <w:ind w:firstLine="709"/>
        <w:jc w:val="both"/>
        <w:rPr>
          <w:sz w:val="22"/>
          <w:szCs w:val="22"/>
          <w:lang w:val="es-CR" w:eastAsia="es-CR"/>
        </w:rPr>
      </w:pPr>
    </w:p>
    <w:p w14:paraId="5D96642D" w14:textId="5581CDB2" w:rsidR="00B15F7D" w:rsidRPr="00990FB6" w:rsidRDefault="00B15F7D" w:rsidP="00B15F7D">
      <w:pPr>
        <w:ind w:firstLine="709"/>
        <w:jc w:val="both"/>
        <w:rPr>
          <w:sz w:val="22"/>
          <w:szCs w:val="22"/>
          <w:lang w:val="es-CR" w:eastAsia="es-CR"/>
        </w:rPr>
      </w:pPr>
      <w:r w:rsidRPr="00990FB6">
        <w:rPr>
          <w:sz w:val="22"/>
          <w:szCs w:val="22"/>
          <w:lang w:val="es-CR" w:eastAsia="es-CR"/>
        </w:rPr>
        <w:t>Dice la magistrada Solano: "Don Orlando, tal vez si es posible, es porque no sé por qué no logro conectarme al sistema, hasta ahora logré conectarme al sistema de votación, porque no me lo permitía".</w:t>
      </w:r>
    </w:p>
    <w:p w14:paraId="6FBD0498" w14:textId="77777777" w:rsidR="00A62080" w:rsidRPr="00990FB6" w:rsidRDefault="00A62080" w:rsidP="00B15F7D">
      <w:pPr>
        <w:ind w:firstLine="709"/>
        <w:jc w:val="both"/>
        <w:rPr>
          <w:sz w:val="22"/>
          <w:szCs w:val="22"/>
          <w:lang w:val="es-CR" w:eastAsia="es-CR"/>
        </w:rPr>
      </w:pPr>
    </w:p>
    <w:p w14:paraId="0ACE86E1" w14:textId="77777777" w:rsidR="00A62080" w:rsidRPr="00990FB6" w:rsidRDefault="00B15F7D" w:rsidP="00B15F7D">
      <w:pPr>
        <w:ind w:firstLine="709"/>
        <w:jc w:val="both"/>
        <w:rPr>
          <w:sz w:val="22"/>
          <w:szCs w:val="22"/>
        </w:rPr>
      </w:pPr>
      <w:r w:rsidRPr="00990FB6">
        <w:rPr>
          <w:sz w:val="22"/>
          <w:szCs w:val="22"/>
        </w:rPr>
        <w:t>Manifiesta el Presidente, magistrado Aguirre: "Sí, tiene usted la palabra doña Patricia".</w:t>
      </w:r>
    </w:p>
    <w:p w14:paraId="6D8DF148" w14:textId="416640BE" w:rsidR="00B15F7D" w:rsidRPr="00990FB6" w:rsidRDefault="00B15F7D" w:rsidP="00B15F7D">
      <w:pPr>
        <w:ind w:firstLine="709"/>
        <w:jc w:val="both"/>
        <w:rPr>
          <w:sz w:val="22"/>
          <w:szCs w:val="22"/>
        </w:rPr>
      </w:pPr>
      <w:r w:rsidRPr="00990FB6">
        <w:rPr>
          <w:sz w:val="22"/>
          <w:szCs w:val="22"/>
        </w:rPr>
        <w:tab/>
      </w:r>
    </w:p>
    <w:p w14:paraId="796E3650" w14:textId="30190EA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Interviene la magistrada Solano: "Muchas gracias, señor presidente, compañeras y compañeros. </w:t>
      </w:r>
    </w:p>
    <w:p w14:paraId="4C53D6E3"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14268F47" w14:textId="4767A17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Hay algunos aspectos a los que sí quisiera referirme y de alguna manera retomar las palabras de mi compañero magistrado, don Gerardo Alfaro, en el sentido de que, el trabajo que realiza la Dirección de Planificación como encargada institucional para presentarle en su momento el anteproyecto de presupuesto al Consejo Superior y poder construirlo con el Consejo Superior es una labor muy comprometida.</w:t>
      </w:r>
    </w:p>
    <w:p w14:paraId="6DAA8515"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26536625" w14:textId="7777777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Hay acciones que no se visualizan acá cuando ya a nosotros nos presentan el producto final; sin embargo, como exponía doña Nacira, que en un primero momento, cuando el Ministerio de Hacienda nos comunica al Poder Judicial que se va a realizar ese recorte de más de diez mil millones en el presupuesto institucional, el que vuelva, y hace ver doña Nacira que fue en forma verbal que señalaron que el recorte no se nos iba a hacer, no hay ningún documento de compromiso aún en ese sentido, salvo la palabra, pero entonces, poder ver en cada de las partidas cómo se afecta según el documento que se remite del rebajo, lograr a que eso dineros se devuelvan y que tienen que ver en la parte operativa, porque nunca nos tocan salarios, lo que tocan es la parte operativa, que hace inviable la prosecución de la ejecución del presupuesto y de las diferentes acciones y despachos que conformamos el Poder Judicial, es un trabajo muy, muy desgastante, de estar un día y otro también, durante ese período, sacando cuentas de ver cómo se pueden reajustar los recursos.</w:t>
      </w:r>
    </w:p>
    <w:p w14:paraId="0D2BD745" w14:textId="77777777" w:rsidR="00A62080"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r>
    </w:p>
    <w:p w14:paraId="68825AA0" w14:textId="65EE1894" w:rsidR="00B15F7D" w:rsidRPr="00990FB6" w:rsidRDefault="00B15F7D" w:rsidP="00A62080">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De manera que, yo destaco esa labor comprometida que finalmente aquí no se ve, salvo cuando nos hacen la referencia de lo que sucedió, conozco que eso se ha llevado horas y horas de trabajo de las diferentes direcciones, tanto de doña Ana Eugenia, como de doña Nacira y de quienes están al mando, el señor presidente, el Despacho de la Presidencia, para lograr que un recurso nos lo vuelvan a dar.</w:t>
      </w:r>
    </w:p>
    <w:p w14:paraId="7A31CD8A" w14:textId="77777777" w:rsidR="00A62080" w:rsidRPr="00990FB6" w:rsidRDefault="00A62080" w:rsidP="00A62080">
      <w:pPr>
        <w:widowControl w:val="0"/>
        <w:suppressAutoHyphens w:val="0"/>
        <w:autoSpaceDE w:val="0"/>
        <w:autoSpaceDN w:val="0"/>
        <w:adjustRightInd w:val="0"/>
        <w:ind w:firstLine="708"/>
        <w:jc w:val="both"/>
        <w:rPr>
          <w:sz w:val="22"/>
          <w:szCs w:val="22"/>
          <w:lang w:val="es-CR" w:eastAsia="es-CR"/>
        </w:rPr>
      </w:pPr>
    </w:p>
    <w:p w14:paraId="6BDBAD60" w14:textId="63A716ED"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Lo ideal sería, y en esto de que el 6% constitucional estuviese destinado solo a la labor de la judicatura, que es el tema asignado prioritariamente a este poder de la República; sin embargo, desde el momento mismo en que nos asignaron otras funciones, como son los órganos auxiliares de justicia, no es posible que podamos decir que es que el presupuesto que nos dan lo vamos a asignar únicamente al área de la judicatura, porque eso no es posible. </w:t>
      </w:r>
    </w:p>
    <w:p w14:paraId="1C275C3D"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65972260" w14:textId="2D0A5758"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Mientras el Poder Judicial esté conformado de la manera particular que tenemos, único en el mundo, continuaremos, no habrá otra solución, a que el presupuesto que se nos asigna pueda estar distribuido entre todas las áreas, la administrativa, la jurisdiccional, el Ministerio Público, el Organismo de Investigación Judicial, la Defensa Pública, Víctimas y Testigos, porque no hay otra manera de realizarlo.</w:t>
      </w:r>
    </w:p>
    <w:p w14:paraId="00C593E1"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720EA94B" w14:textId="36C6C819"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Por eso es de que siempre nos hemos visto en la necesidad de visualizar cuáles son las necesidades que quedan descubiertas, porque pese, y en la esperanza de que efectivamente esos diez mil y resto de millones no nos lo recorten, siempre quedan algunas áreas en descubierto que son necesarias. Por eso no puedo dejar la oportunidad para darle las gracias a todas las personas que han estado detrás de la construcción de este anteproyecto. La semana pasada nos lo enviaron con la agenda, cada uno de los rubros y de los apartes en exposición que tanto el día de ayer en la tarde como esta tarde, nos ha expuesto la señora directora de planificación.</w:t>
      </w:r>
    </w:p>
    <w:p w14:paraId="02F74B1E"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37819C15" w14:textId="64096948"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Por eso es que nada más pedí la palabra, visualizar estos elementos, creo que cada una de las personas que tenemos bajo la responsabilidad los recursos institucionales, tratamos de optimizarlas de la mejor manera. </w:t>
      </w:r>
    </w:p>
    <w:p w14:paraId="5818CF84"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024D9299" w14:textId="4ADDDC0F"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Por eso es que quería simplemente agradecer esas acciones comprometidas de parte de las direcciones y de sus equipos de trabajo. Muchas gracias, señor presidente y compañeras y compañeros".</w:t>
      </w:r>
    </w:p>
    <w:p w14:paraId="3C5014E0"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74FD9733" w14:textId="673D9EA7" w:rsidR="00B15F7D" w:rsidRPr="00990FB6" w:rsidRDefault="00B15F7D" w:rsidP="00B15F7D">
      <w:pPr>
        <w:ind w:firstLine="709"/>
        <w:jc w:val="both"/>
        <w:rPr>
          <w:b/>
          <w:bCs/>
          <w:color w:val="000000"/>
          <w:sz w:val="22"/>
          <w:szCs w:val="22"/>
          <w:shd w:val="clear" w:color="auto" w:fill="FFFFFF"/>
          <w:lang w:val="es-CR"/>
        </w:rPr>
      </w:pPr>
      <w:r w:rsidRPr="00990FB6">
        <w:rPr>
          <w:b/>
          <w:bCs/>
          <w:color w:val="000000"/>
          <w:sz w:val="22"/>
          <w:szCs w:val="22"/>
          <w:shd w:val="clear" w:color="auto" w:fill="FFFFFF"/>
          <w:lang w:val="es-CR"/>
        </w:rPr>
        <w:t>ENTRA EL MÁSTER JUAN CARLOS PÉREZ MURILLO, DIRECTOR DE LA DEFENSA PÚBLICA, A LA SESIÓN POR VIDEOCONFERENICA.</w:t>
      </w:r>
    </w:p>
    <w:p w14:paraId="41FC5F3C" w14:textId="77777777" w:rsidR="00A62080" w:rsidRPr="00990FB6" w:rsidRDefault="00A62080" w:rsidP="00B15F7D">
      <w:pPr>
        <w:ind w:firstLine="709"/>
        <w:jc w:val="both"/>
        <w:rPr>
          <w:b/>
          <w:bCs/>
          <w:color w:val="000000"/>
          <w:sz w:val="22"/>
          <w:szCs w:val="22"/>
          <w:shd w:val="clear" w:color="auto" w:fill="FFFFFF"/>
          <w:lang w:val="es-CR"/>
        </w:rPr>
      </w:pPr>
    </w:p>
    <w:p w14:paraId="3F9E7265" w14:textId="09DE5039" w:rsidR="00B15F7D" w:rsidRPr="00990FB6" w:rsidRDefault="00B15F7D" w:rsidP="00B15F7D">
      <w:pPr>
        <w:ind w:firstLine="709"/>
        <w:jc w:val="both"/>
        <w:rPr>
          <w:b/>
          <w:bCs/>
          <w:color w:val="000000"/>
          <w:sz w:val="22"/>
          <w:szCs w:val="22"/>
          <w:shd w:val="clear" w:color="auto" w:fill="FFFFFF"/>
          <w:lang w:val="es-CR"/>
        </w:rPr>
      </w:pPr>
      <w:r w:rsidRPr="00990FB6">
        <w:rPr>
          <w:b/>
          <w:bCs/>
          <w:color w:val="000000"/>
          <w:sz w:val="22"/>
          <w:szCs w:val="22"/>
          <w:shd w:val="clear" w:color="auto" w:fill="FFFFFF"/>
          <w:lang w:val="es-CR"/>
        </w:rPr>
        <w:t>ENTRA EL MAGISTRADO SEGURA BONILLA A LA SESIÓN.</w:t>
      </w:r>
    </w:p>
    <w:p w14:paraId="30B862DD" w14:textId="77777777" w:rsidR="00A62080" w:rsidRPr="00990FB6" w:rsidRDefault="00A62080" w:rsidP="00B15F7D">
      <w:pPr>
        <w:ind w:firstLine="709"/>
        <w:jc w:val="both"/>
        <w:rPr>
          <w:b/>
          <w:bCs/>
          <w:color w:val="000000"/>
          <w:sz w:val="22"/>
          <w:szCs w:val="22"/>
          <w:shd w:val="clear" w:color="auto" w:fill="FFFFFF"/>
          <w:lang w:val="es-CR"/>
        </w:rPr>
      </w:pPr>
    </w:p>
    <w:p w14:paraId="3C9768A1" w14:textId="2CB58F0E"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Expresa el Presidente, magistrado Aguirre: "Gracias a usted doña Patricia. Quería informarles que sí, que efectivamente, el señor ministro o de parte del Ministerio no han enviado un oficio, pero sí el señor ministro me envió un WhatsApp donde dice que se nos van a respetar esos diez mil y resto de millones, para que el presupuesto quede como estaba con anterioridad. Yo entiendo que eso es un documento, ahí ya está dicho por él, por eso es que estamos trabajando en ese sentido. </w:t>
      </w:r>
    </w:p>
    <w:p w14:paraId="4C3DCC99"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1795BD76" w14:textId="79DEF27A"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Lo que está pendiente de resolver por parte del Ministerio es un agregado a estos dos mil seiscientos y resto de millones para cubrir unas ... no sé si vale la pena indicar qué es lo que se pretende cubrir, pero esto está pendiente todavía de resolución.</w:t>
      </w:r>
    </w:p>
    <w:p w14:paraId="79093DE9"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66920A97" w14:textId="7298FCC4"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Lo último que tengo, bueno, yo pretendí conversar con el señor ministro, me dijo que en ese momento estaba en una reunión, me parece que, en la casa presidencial, y quedó de responderme posteriormente sobre este tema. </w:t>
      </w:r>
    </w:p>
    <w:p w14:paraId="7225E569"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0BAD41F0" w14:textId="32DED0E0"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Yo no sé si doña Nacira habló con el señor Araya en el Ministerio, y lo que pasa es que sí, esto está pendiente verdad, eventualmente, podría que se nos reconozca para cubrir algunos de esos gastos que ustedes dicen que existen y que nosotros necesitaríamos presupuestarlos, pero eso lo tenemos, como dicen, en suspenso, en stand </w:t>
      </w:r>
      <w:proofErr w:type="spellStart"/>
      <w:r w:rsidRPr="00990FB6">
        <w:rPr>
          <w:sz w:val="22"/>
          <w:szCs w:val="22"/>
          <w:lang w:val="es-CR" w:eastAsia="es-CR"/>
        </w:rPr>
        <w:t>by</w:t>
      </w:r>
      <w:proofErr w:type="spellEnd"/>
      <w:r w:rsidRPr="00990FB6">
        <w:rPr>
          <w:sz w:val="22"/>
          <w:szCs w:val="22"/>
          <w:lang w:val="es-CR" w:eastAsia="es-CR"/>
        </w:rPr>
        <w:t>, esperando a ver el momento en que ellos nos den la comunicación. Doña Nacira".</w:t>
      </w:r>
    </w:p>
    <w:p w14:paraId="28FFF239"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10C74A10" w14:textId="7DFC4E2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Interviene la máster Valverde Bermúdez: "Sí, muchas gracias don Orlando por su comunicación en relación a la confirmación del Ministerio de Hacienda con los diez mil millones. Eso es importante porque creo que es el paso que necesitaba el Poder Judicial para seguir yendo hacia la ruta correcta, por lo menos en mantener el presupuesto ordinario y eso es bastante importante.</w:t>
      </w:r>
    </w:p>
    <w:p w14:paraId="534FC32D"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4871124B" w14:textId="35FF836B"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En relación a lo demás, don Orlando en la comunicación inicial que realizó al señor ministro, pues estas necesidades adicionales también han sido comunicadas y lo que se está esperando es, como en otros años, pues la viabilidad de que nos den algún recurso adicional. Pero como dice don Orlando, esperaríamos que eso se dé en el proceso de discusión ¿verdad? y partir de la entrega también de la formalidad del presupuesto. </w:t>
      </w:r>
    </w:p>
    <w:p w14:paraId="26617331"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34D78FDA" w14:textId="038CF80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Todas las necesidades están planteadas y esperaríamos que pues el Ministerio de Hacienda tenga alguna posibilidad de brindar ese recurso al Poder Judicial".</w:t>
      </w:r>
    </w:p>
    <w:p w14:paraId="52147E49"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4CB67869" w14:textId="77777777" w:rsidR="00B15F7D" w:rsidRPr="00990FB6" w:rsidRDefault="00B15F7D" w:rsidP="00B15F7D">
      <w:pPr>
        <w:ind w:firstLine="709"/>
        <w:jc w:val="both"/>
        <w:rPr>
          <w:sz w:val="22"/>
          <w:szCs w:val="22"/>
          <w:lang w:val="es-CR" w:eastAsia="es-CR"/>
        </w:rPr>
      </w:pPr>
      <w:r w:rsidRPr="00990FB6">
        <w:rPr>
          <w:sz w:val="22"/>
          <w:szCs w:val="22"/>
          <w:lang w:val="es-CR" w:eastAsia="es-CR"/>
        </w:rPr>
        <w:t>Refiere el señor Presidente, magistrado Aguirre: "Vamos a poner a votación la propuesta".</w:t>
      </w:r>
    </w:p>
    <w:p w14:paraId="0EF7B52F"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0F36224C" w14:textId="4FEE8DA3"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Añade la licenciada Navarro: "Le solicito a los señores magistrados y a las señoras magistradas que no se han conectado al sistema de votación que por favor se conecten.</w:t>
      </w:r>
    </w:p>
    <w:p w14:paraId="0DBC7D96"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2ACE8265" w14:textId="132A8F0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Todavía tengo sin conectar al magistrado Salazar Murillo y al magistrado Salazar Alvarado. Don Ronald Salazar, nada más.</w:t>
      </w:r>
    </w:p>
    <w:p w14:paraId="62BDC779"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2CC2B8F4" w14:textId="77777777" w:rsidR="00A62080"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Voy a iniciar la votación, votar uno es por aprobar el proyecto de presupuesto del Poder Judicial para el 2024; o dos, no aprobar el proyecto de presupuesto del Poder Judicial para el 2024. </w:t>
      </w:r>
    </w:p>
    <w:p w14:paraId="7CE02483"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4F6D2CCA" w14:textId="3DE5B618" w:rsidR="00B15F7D" w:rsidRPr="00990FB6" w:rsidRDefault="00B15F7D" w:rsidP="00A62080">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Ya pueden votar.</w:t>
      </w:r>
    </w:p>
    <w:p w14:paraId="30877DFA" w14:textId="77777777" w:rsidR="00A62080" w:rsidRPr="00990FB6" w:rsidRDefault="00A62080" w:rsidP="00A62080">
      <w:pPr>
        <w:widowControl w:val="0"/>
        <w:suppressAutoHyphens w:val="0"/>
        <w:autoSpaceDE w:val="0"/>
        <w:autoSpaceDN w:val="0"/>
        <w:adjustRightInd w:val="0"/>
        <w:ind w:firstLine="708"/>
        <w:jc w:val="both"/>
        <w:rPr>
          <w:sz w:val="22"/>
          <w:szCs w:val="22"/>
          <w:lang w:val="es-CR" w:eastAsia="es-CR"/>
        </w:rPr>
      </w:pPr>
    </w:p>
    <w:p w14:paraId="2A5C21E4" w14:textId="58F8AFB1"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Voy a cerrar la votación, no les dije, pero hay veintidós señoras y señores magistrados en la sesión y votando. Voy a cerrar la votación. </w:t>
      </w:r>
    </w:p>
    <w:p w14:paraId="57790B44"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2B8CFFDF" w14:textId="59B2141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Veintiún votos por aprobar el proyecto de presupuesto del Poder Judicial para el dos mil veinticuatro, un voto por no aprobarlo”.</w:t>
      </w:r>
    </w:p>
    <w:p w14:paraId="1FBA38EF"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5B40D1E5" w14:textId="4626FC98" w:rsidR="00B15F7D" w:rsidRPr="00990FB6" w:rsidRDefault="00B15F7D" w:rsidP="00B15F7D">
      <w:pPr>
        <w:ind w:firstLine="709"/>
        <w:jc w:val="both"/>
        <w:rPr>
          <w:color w:val="000000"/>
          <w:sz w:val="22"/>
          <w:szCs w:val="22"/>
          <w:shd w:val="clear" w:color="auto" w:fill="FFFFFF"/>
          <w:lang w:val="es-CR"/>
        </w:rPr>
      </w:pPr>
      <w:r w:rsidRPr="00990FB6">
        <w:rPr>
          <w:color w:val="000000"/>
          <w:sz w:val="22"/>
          <w:szCs w:val="22"/>
          <w:shd w:val="clear" w:color="auto" w:fill="FFFFFF"/>
          <w:lang w:val="es-CR"/>
        </w:rPr>
        <w:t xml:space="preserve">Por mayoría de veintiún votos, </w:t>
      </w:r>
      <w:r w:rsidRPr="00990FB6">
        <w:rPr>
          <w:b/>
          <w:bCs/>
          <w:color w:val="000000"/>
          <w:sz w:val="22"/>
          <w:szCs w:val="22"/>
          <w:shd w:val="clear" w:color="auto" w:fill="FFFFFF"/>
          <w:lang w:val="es-CR"/>
        </w:rPr>
        <w:t>se dispuso:</w:t>
      </w:r>
      <w:r w:rsidRPr="00990FB6">
        <w:rPr>
          <w:color w:val="000000"/>
          <w:sz w:val="22"/>
          <w:szCs w:val="22"/>
          <w:shd w:val="clear" w:color="auto" w:fill="FFFFFF"/>
          <w:lang w:val="es-CR"/>
        </w:rPr>
        <w:t xml:space="preserve"> </w:t>
      </w:r>
      <w:r w:rsidRPr="00990FB6">
        <w:rPr>
          <w:b/>
          <w:bCs/>
          <w:color w:val="000000"/>
          <w:sz w:val="22"/>
          <w:szCs w:val="22"/>
          <w:shd w:val="clear" w:color="auto" w:fill="FFFFFF"/>
          <w:lang w:val="es-CR"/>
        </w:rPr>
        <w:t>1.</w:t>
      </w:r>
      <w:r w:rsidRPr="00990FB6">
        <w:rPr>
          <w:color w:val="000000"/>
          <w:sz w:val="22"/>
          <w:szCs w:val="22"/>
          <w:shd w:val="clear" w:color="auto" w:fill="FFFFFF"/>
          <w:lang w:val="es-CR"/>
        </w:rPr>
        <w:t xml:space="preserve"> Tener por aprobado el proyecto de presupuesto del Poder Judicial para el 2024, en los términos que ha quedado expuesto por la señora directora de Planificación. </w:t>
      </w:r>
      <w:r w:rsidRPr="00990FB6">
        <w:rPr>
          <w:b/>
          <w:bCs/>
          <w:color w:val="000000"/>
          <w:sz w:val="22"/>
          <w:szCs w:val="22"/>
          <w:shd w:val="clear" w:color="auto" w:fill="FFFFFF"/>
          <w:lang w:val="es-CR"/>
        </w:rPr>
        <w:t>2.</w:t>
      </w:r>
      <w:r w:rsidRPr="00990FB6">
        <w:rPr>
          <w:color w:val="000000"/>
          <w:sz w:val="22"/>
          <w:szCs w:val="22"/>
          <w:shd w:val="clear" w:color="auto" w:fill="FFFFFF"/>
          <w:lang w:val="es-CR"/>
        </w:rPr>
        <w:t xml:space="preserve"> Agradecer y reconocer el trabajo realizado por los integrantes del Consejo Superior, las Direcciones de Planificación, Ejecutiva, Jurídica, Gestión Humana, Tecnología de la Información, a la Fiscalía General de la República, a la Defensa Pública, al Organismo de Investigación Judicial y al Despacho de la Presidencia, que colaboraron en la elaboración del Proyecto de Presupuesto del Poder Judicial para el </w:t>
      </w:r>
      <w:r w:rsidRPr="00990FB6">
        <w:rPr>
          <w:color w:val="000000"/>
          <w:sz w:val="22"/>
          <w:szCs w:val="22"/>
          <w:shd w:val="clear" w:color="auto" w:fill="FFFFFF"/>
          <w:lang w:val="es-CR"/>
        </w:rPr>
        <w:lastRenderedPageBreak/>
        <w:t xml:space="preserve">2024. Así votaron las magistradas y los magistrados Aguirre, Rivas, Vargas, Sánchez, Chacón, Solano, Alfaro, Zúñiga, Castillo, Cruz, Salazar Alvarado, Araya, Garro, los magistrados y las magistradas suplentes Vargas </w:t>
      </w:r>
      <w:proofErr w:type="spellStart"/>
      <w:r w:rsidRPr="00990FB6">
        <w:rPr>
          <w:color w:val="000000"/>
          <w:sz w:val="22"/>
          <w:szCs w:val="22"/>
          <w:shd w:val="clear" w:color="auto" w:fill="FFFFFF"/>
          <w:lang w:val="es-CR"/>
        </w:rPr>
        <w:t>Vargas</w:t>
      </w:r>
      <w:proofErr w:type="spellEnd"/>
      <w:r w:rsidRPr="00990FB6">
        <w:rPr>
          <w:color w:val="000000"/>
          <w:sz w:val="22"/>
          <w:szCs w:val="22"/>
          <w:shd w:val="clear" w:color="auto" w:fill="FFFFFF"/>
          <w:lang w:val="es-CR"/>
        </w:rPr>
        <w:t>, Jiménez Ramírez, Solís Madrigal, Vargas Soto, Segura Bonilla, Dumani Stradtman, Garita Navarro y Salazar Murillo.</w:t>
      </w:r>
    </w:p>
    <w:p w14:paraId="60B52FE7" w14:textId="77777777" w:rsidR="00A62080" w:rsidRPr="00990FB6" w:rsidRDefault="00A62080" w:rsidP="00B15F7D">
      <w:pPr>
        <w:ind w:firstLine="709"/>
        <w:jc w:val="both"/>
        <w:rPr>
          <w:color w:val="000000"/>
          <w:sz w:val="22"/>
          <w:szCs w:val="22"/>
          <w:shd w:val="clear" w:color="auto" w:fill="FFFFFF"/>
          <w:lang w:val="es-CR"/>
        </w:rPr>
      </w:pPr>
    </w:p>
    <w:p w14:paraId="60C12DC2" w14:textId="21FBA535" w:rsidR="00B15F7D" w:rsidRPr="00990FB6" w:rsidRDefault="00B15F7D" w:rsidP="00B15F7D">
      <w:pPr>
        <w:ind w:firstLine="709"/>
        <w:jc w:val="both"/>
        <w:rPr>
          <w:color w:val="000000"/>
          <w:sz w:val="22"/>
          <w:szCs w:val="22"/>
          <w:shd w:val="clear" w:color="auto" w:fill="FFFFFF"/>
          <w:lang w:val="es-CR"/>
        </w:rPr>
      </w:pPr>
      <w:r w:rsidRPr="00990FB6">
        <w:rPr>
          <w:color w:val="000000"/>
          <w:sz w:val="22"/>
          <w:szCs w:val="22"/>
          <w:shd w:val="clear" w:color="auto" w:fill="FFFFFF"/>
          <w:lang w:val="es-CR"/>
        </w:rPr>
        <w:t xml:space="preserve">La magistrada Rojas emitió su voto por no aprobar el proyecto de presupuesto del Poder Judicial para el 2024. </w:t>
      </w:r>
    </w:p>
    <w:p w14:paraId="4DFDB87F" w14:textId="77777777" w:rsidR="00A62080" w:rsidRPr="00990FB6" w:rsidRDefault="00A62080" w:rsidP="00B15F7D">
      <w:pPr>
        <w:ind w:firstLine="709"/>
        <w:jc w:val="both"/>
        <w:rPr>
          <w:color w:val="000000"/>
          <w:sz w:val="22"/>
          <w:szCs w:val="22"/>
          <w:shd w:val="clear" w:color="auto" w:fill="FFFFFF"/>
          <w:lang w:val="es-CR"/>
        </w:rPr>
      </w:pPr>
    </w:p>
    <w:p w14:paraId="6E055712" w14:textId="199BBC9A" w:rsidR="00B15F7D" w:rsidRPr="00990FB6" w:rsidRDefault="00B15F7D" w:rsidP="00B15F7D">
      <w:pPr>
        <w:ind w:firstLine="709"/>
        <w:jc w:val="both"/>
        <w:rPr>
          <w:color w:val="000000"/>
          <w:sz w:val="22"/>
          <w:szCs w:val="22"/>
          <w:shd w:val="clear" w:color="auto" w:fill="FFFFFF"/>
          <w:lang w:val="es-CR"/>
        </w:rPr>
      </w:pPr>
      <w:r w:rsidRPr="00990FB6">
        <w:rPr>
          <w:color w:val="000000"/>
          <w:sz w:val="22"/>
          <w:szCs w:val="22"/>
          <w:shd w:val="clear" w:color="auto" w:fill="FFFFFF"/>
          <w:lang w:val="es-CR"/>
        </w:rPr>
        <w:t>La Dirección de Planificación tomará nota para lo de su cargo.</w:t>
      </w:r>
    </w:p>
    <w:p w14:paraId="069F18F8" w14:textId="77777777" w:rsidR="00A62080" w:rsidRPr="00990FB6" w:rsidRDefault="00A62080" w:rsidP="00B15F7D">
      <w:pPr>
        <w:ind w:firstLine="709"/>
        <w:jc w:val="both"/>
        <w:rPr>
          <w:color w:val="000000"/>
          <w:sz w:val="22"/>
          <w:szCs w:val="22"/>
          <w:shd w:val="clear" w:color="auto" w:fill="FFFFFF"/>
          <w:lang w:val="es-CR"/>
        </w:rPr>
      </w:pPr>
    </w:p>
    <w:p w14:paraId="5DEA4772" w14:textId="3701DF53" w:rsidR="00B15F7D" w:rsidRPr="00990FB6" w:rsidRDefault="00B15F7D" w:rsidP="00B15F7D">
      <w:pPr>
        <w:jc w:val="center"/>
        <w:rPr>
          <w:color w:val="000000"/>
          <w:sz w:val="22"/>
          <w:szCs w:val="22"/>
          <w:shd w:val="clear" w:color="auto" w:fill="FFFFFF"/>
          <w:lang w:val="es-CR"/>
        </w:rPr>
      </w:pPr>
      <w:r w:rsidRPr="00990FB6">
        <w:rPr>
          <w:color w:val="000000"/>
          <w:sz w:val="22"/>
          <w:szCs w:val="22"/>
          <w:shd w:val="clear" w:color="auto" w:fill="FFFFFF"/>
          <w:lang w:val="es-CR"/>
        </w:rPr>
        <w:t xml:space="preserve">- 0 </w:t>
      </w:r>
      <w:r w:rsidR="00A62080" w:rsidRPr="00990FB6">
        <w:rPr>
          <w:color w:val="000000"/>
          <w:sz w:val="22"/>
          <w:szCs w:val="22"/>
          <w:shd w:val="clear" w:color="auto" w:fill="FFFFFF"/>
          <w:lang w:val="es-CR"/>
        </w:rPr>
        <w:t>–</w:t>
      </w:r>
    </w:p>
    <w:p w14:paraId="74002494" w14:textId="77777777" w:rsidR="00A62080" w:rsidRPr="00990FB6" w:rsidRDefault="00A62080" w:rsidP="00B15F7D">
      <w:pPr>
        <w:jc w:val="center"/>
        <w:rPr>
          <w:color w:val="000000"/>
          <w:sz w:val="22"/>
          <w:szCs w:val="22"/>
          <w:shd w:val="clear" w:color="auto" w:fill="FFFFFF"/>
          <w:lang w:val="es-CR"/>
        </w:rPr>
      </w:pPr>
    </w:p>
    <w:p w14:paraId="7FC3CEA1" w14:textId="5DE156CE" w:rsidR="00B15F7D" w:rsidRPr="00990FB6" w:rsidRDefault="00B15F7D" w:rsidP="00B15F7D">
      <w:pPr>
        <w:ind w:firstLine="709"/>
        <w:jc w:val="both"/>
        <w:rPr>
          <w:sz w:val="22"/>
          <w:szCs w:val="22"/>
          <w:lang w:val="es-CR" w:eastAsia="es-CR"/>
        </w:rPr>
      </w:pPr>
      <w:r w:rsidRPr="00990FB6">
        <w:rPr>
          <w:sz w:val="22"/>
          <w:szCs w:val="22"/>
          <w:lang w:val="es-CR" w:eastAsia="es-CR"/>
        </w:rPr>
        <w:t xml:space="preserve">Agrega el señor Presidente, magistrado Aguirre: "En consecuencia, se tiene por aprobado el proyecto de presupuesto en los términos que han sido presentados esta tarde en la Corte. Tiene la palabra el magistrado Salazar". </w:t>
      </w:r>
    </w:p>
    <w:p w14:paraId="28CC0D01" w14:textId="77777777" w:rsidR="00A62080" w:rsidRPr="00990FB6" w:rsidRDefault="00A62080" w:rsidP="00B15F7D">
      <w:pPr>
        <w:ind w:firstLine="709"/>
        <w:jc w:val="both"/>
        <w:rPr>
          <w:sz w:val="22"/>
          <w:szCs w:val="22"/>
          <w:lang w:val="es-CR" w:eastAsia="es-CR"/>
        </w:rPr>
      </w:pPr>
    </w:p>
    <w:p w14:paraId="15DAFE1D" w14:textId="371BB5FB"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Expresa el magistrado Salazar: "Gracias, señor presidente. Yo creo que el acuerdo, si urge empezar con la negociación, podría declararse en firme, si fuera necesario, para llevar a buen puerto este presupuesto. </w:t>
      </w:r>
    </w:p>
    <w:p w14:paraId="3D213720"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0D534953" w14:textId="3E4C916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Yo nada más, como lo he hecho en otras ocasiones, agradecerle a los integrantes del Consejo Superior y a las diversas jefaturas que participaron en la elaboración de este presupuesto que fue presentado, y ahora sí, aprobado por esta Corte y mocionar en el sentido de que tanto el señor presidente de la Corte como la señora vicepresidenta, puedan llevar a cabo todas aquellas gestiones de negociación de defensa del presupuesto, tanto ante el Ministerio de Hacienda como ante la Asamblea Legislativa, según corresponda y en cada momento oportuno de la fases hasta que se llegue a aprobar. Muchas gracias".</w:t>
      </w:r>
    </w:p>
    <w:p w14:paraId="1A7300E6"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4F309DC3" w14:textId="48F6414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Señala el señor Presidente, magistrado Aguirre: "Gracias a usted. Entonces la propuesta sería para declarar firme este acuerdo y la autorización que nos ha … muchas gracias. ¡Entonces estamos de acuerdo? De acuerdo, bueno, eso sería todo”. </w:t>
      </w:r>
    </w:p>
    <w:p w14:paraId="2A335D2C"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17212CEA" w14:textId="0F8A17AF" w:rsidR="00B15F7D" w:rsidRPr="00990FB6" w:rsidRDefault="00B15F7D" w:rsidP="00B15F7D">
      <w:pPr>
        <w:widowControl w:val="0"/>
        <w:suppressAutoHyphens w:val="0"/>
        <w:autoSpaceDE w:val="0"/>
        <w:autoSpaceDN w:val="0"/>
        <w:adjustRightInd w:val="0"/>
        <w:ind w:firstLine="708"/>
        <w:jc w:val="both"/>
        <w:rPr>
          <w:color w:val="000000"/>
          <w:sz w:val="22"/>
          <w:szCs w:val="22"/>
          <w:shd w:val="clear" w:color="auto" w:fill="FFFFFF"/>
        </w:rPr>
      </w:pPr>
      <w:r w:rsidRPr="00990FB6">
        <w:rPr>
          <w:color w:val="000000"/>
          <w:sz w:val="22"/>
          <w:szCs w:val="22"/>
          <w:shd w:val="clear" w:color="auto" w:fill="FFFFFF"/>
        </w:rPr>
        <w:t>Por unanimidad, </w:t>
      </w:r>
      <w:r w:rsidRPr="00990FB6">
        <w:rPr>
          <w:b/>
          <w:bCs/>
          <w:sz w:val="22"/>
          <w:szCs w:val="22"/>
          <w:shd w:val="clear" w:color="auto" w:fill="FFFFFF"/>
        </w:rPr>
        <w:t>se acordó:</w:t>
      </w:r>
      <w:r w:rsidRPr="00990FB6">
        <w:rPr>
          <w:sz w:val="22"/>
          <w:szCs w:val="22"/>
          <w:shd w:val="clear" w:color="auto" w:fill="FFFFFF"/>
        </w:rPr>
        <w:t> </w:t>
      </w:r>
      <w:r w:rsidRPr="00990FB6">
        <w:rPr>
          <w:color w:val="000000"/>
          <w:sz w:val="22"/>
          <w:szCs w:val="22"/>
          <w:shd w:val="clear" w:color="auto" w:fill="FFFFFF"/>
        </w:rPr>
        <w:t xml:space="preserve">Aprobar la propuesta planteada por el magistrado Salazar Alvarado, en el sentido de autorizar al señor presidente y a la señora vicepresidenta de la Corte para que tomen las decisiones que estimen pertinentes, </w:t>
      </w:r>
      <w:r w:rsidRPr="00990FB6">
        <w:rPr>
          <w:color w:val="000000"/>
          <w:sz w:val="22"/>
          <w:szCs w:val="22"/>
          <w:shd w:val="clear" w:color="auto" w:fill="FFFFFF"/>
          <w:lang w:val="es-CR"/>
        </w:rPr>
        <w:t>puedan llevar a cabo todas aquellas gestiones de negociación de defensa del presupuesto, tanto ante el Ministerio de Hacienda como ante la Asamblea Legislativa, según corresponda y en cada momento oportuno de la fases hasta que se llegue a aprobar el presupuesto para el año 2024</w:t>
      </w:r>
      <w:r w:rsidRPr="00990FB6">
        <w:rPr>
          <w:color w:val="000000"/>
          <w:sz w:val="22"/>
          <w:szCs w:val="22"/>
          <w:shd w:val="clear" w:color="auto" w:fill="FFFFFF"/>
        </w:rPr>
        <w:t>. Lo anterior, en el entendido de que posteriormente se hará de conocimiento de esta Corte. </w:t>
      </w:r>
      <w:r w:rsidRPr="00990FB6">
        <w:rPr>
          <w:color w:val="000000"/>
          <w:sz w:val="22"/>
          <w:szCs w:val="22"/>
          <w:shd w:val="clear" w:color="auto" w:fill="FFFFFF"/>
          <w:lang w:val="es-CR"/>
        </w:rPr>
        <w:t xml:space="preserve">Así votaron las magistradas y los magistrados Aguirre, Rivas, Rojas, Vargas, Sánchez, Chacón, Solano, Alfaro, Zúñiga, Castillo, Cruz, Salazar Alvarado, Araya, Garro, los magistrados y las magistradas suplentes Vargas </w:t>
      </w:r>
      <w:proofErr w:type="spellStart"/>
      <w:r w:rsidRPr="00990FB6">
        <w:rPr>
          <w:color w:val="000000"/>
          <w:sz w:val="22"/>
          <w:szCs w:val="22"/>
          <w:shd w:val="clear" w:color="auto" w:fill="FFFFFF"/>
          <w:lang w:val="es-CR"/>
        </w:rPr>
        <w:t>Vargas</w:t>
      </w:r>
      <w:proofErr w:type="spellEnd"/>
      <w:r w:rsidRPr="00990FB6">
        <w:rPr>
          <w:color w:val="000000"/>
          <w:sz w:val="22"/>
          <w:szCs w:val="22"/>
          <w:shd w:val="clear" w:color="auto" w:fill="FFFFFF"/>
          <w:lang w:val="es-CR"/>
        </w:rPr>
        <w:t>, Jiménez Ramírez, Solís Madrigal, Vargas Soto, Segura Bonilla, Dumani Stradtman, Garita Navarro y Salazar Murillo</w:t>
      </w:r>
      <w:r w:rsidRPr="00990FB6">
        <w:rPr>
          <w:color w:val="000000"/>
          <w:sz w:val="22"/>
          <w:szCs w:val="22"/>
          <w:shd w:val="clear" w:color="auto" w:fill="FFFFFF"/>
        </w:rPr>
        <w:t>. </w:t>
      </w:r>
    </w:p>
    <w:p w14:paraId="3FBB5EFA" w14:textId="77777777" w:rsidR="00A62080" w:rsidRPr="00990FB6" w:rsidRDefault="00A62080" w:rsidP="00B15F7D">
      <w:pPr>
        <w:widowControl w:val="0"/>
        <w:suppressAutoHyphens w:val="0"/>
        <w:autoSpaceDE w:val="0"/>
        <w:autoSpaceDN w:val="0"/>
        <w:adjustRightInd w:val="0"/>
        <w:ind w:firstLine="708"/>
        <w:jc w:val="both"/>
        <w:rPr>
          <w:color w:val="000000"/>
          <w:sz w:val="22"/>
          <w:szCs w:val="22"/>
          <w:shd w:val="clear" w:color="auto" w:fill="FFFFFF"/>
        </w:rPr>
      </w:pPr>
    </w:p>
    <w:p w14:paraId="6EC4D623" w14:textId="123784D3" w:rsidR="00B15F7D" w:rsidRPr="00990FB6" w:rsidRDefault="00B15F7D" w:rsidP="00B15F7D">
      <w:pPr>
        <w:widowControl w:val="0"/>
        <w:suppressAutoHyphens w:val="0"/>
        <w:autoSpaceDE w:val="0"/>
        <w:autoSpaceDN w:val="0"/>
        <w:adjustRightInd w:val="0"/>
        <w:ind w:firstLine="708"/>
        <w:jc w:val="center"/>
        <w:rPr>
          <w:color w:val="000000"/>
          <w:sz w:val="22"/>
          <w:szCs w:val="22"/>
          <w:shd w:val="clear" w:color="auto" w:fill="FFFFFF"/>
        </w:rPr>
      </w:pPr>
      <w:r w:rsidRPr="00990FB6">
        <w:rPr>
          <w:color w:val="000000"/>
          <w:sz w:val="22"/>
          <w:szCs w:val="22"/>
          <w:shd w:val="clear" w:color="auto" w:fill="FFFFFF"/>
        </w:rPr>
        <w:t>-0-</w:t>
      </w:r>
    </w:p>
    <w:p w14:paraId="76EF4A9F" w14:textId="77777777" w:rsidR="00A62080" w:rsidRPr="00990FB6" w:rsidRDefault="00A62080" w:rsidP="00B15F7D">
      <w:pPr>
        <w:widowControl w:val="0"/>
        <w:suppressAutoHyphens w:val="0"/>
        <w:autoSpaceDE w:val="0"/>
        <w:autoSpaceDN w:val="0"/>
        <w:adjustRightInd w:val="0"/>
        <w:ind w:firstLine="708"/>
        <w:jc w:val="center"/>
        <w:rPr>
          <w:color w:val="000000"/>
          <w:sz w:val="22"/>
          <w:szCs w:val="22"/>
          <w:shd w:val="clear" w:color="auto" w:fill="FFFFFF"/>
        </w:rPr>
      </w:pPr>
    </w:p>
    <w:p w14:paraId="1057E159" w14:textId="550EA9E6"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color w:val="000000"/>
          <w:sz w:val="22"/>
          <w:szCs w:val="22"/>
          <w:shd w:val="clear" w:color="auto" w:fill="FFFFFF"/>
        </w:rPr>
        <w:t>Agrega el Presidente, magistrado Aguirre: “</w:t>
      </w:r>
      <w:r w:rsidRPr="00990FB6">
        <w:rPr>
          <w:sz w:val="22"/>
          <w:szCs w:val="22"/>
          <w:lang w:val="es-CR" w:eastAsia="es-CR"/>
        </w:rPr>
        <w:t xml:space="preserve">Como presidente de la Corte sería agradecerle a las compañeras y compañeros del área administrativa, que han trabajado en la elaboración de este proyecto de </w:t>
      </w:r>
      <w:r w:rsidRPr="00990FB6">
        <w:rPr>
          <w:sz w:val="22"/>
          <w:szCs w:val="22"/>
          <w:lang w:val="es-CR" w:eastAsia="es-CR"/>
        </w:rPr>
        <w:lastRenderedPageBreak/>
        <w:t>la mano de doña Nacira. En realidad, ha sido un trabajo arduo, durante bastantes, bastantes meses, diría yo, y desde luego, a todos los que colaboraron en lograr este resultado.</w:t>
      </w:r>
    </w:p>
    <w:p w14:paraId="2E98CB60"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166CC4B6" w14:textId="36BEEE27"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 xml:space="preserve">Vamos a darle la palabra a doña Patricia Solano".  </w:t>
      </w:r>
    </w:p>
    <w:p w14:paraId="55C3248F"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65C3487D" w14:textId="3A5E6C59"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Indica la magistrada Solano: "Muchas gracias, señor presidente. También, don Orlando, agradecer a su persona como presidente también del Consejo Superior y a las personas integrantes del Consejo Superior, porque la construcción de todo el proyecto del presupuesto es muy ardua. Conocemos que significa un esfuerzo y también bajo su presidencia y bajo su mando, don Orlando, darle las gracias por todo ese esfuerzo.</w:t>
      </w:r>
    </w:p>
    <w:p w14:paraId="536F6979"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0FC0E377" w14:textId="742E2A4F" w:rsidR="00B15F7D" w:rsidRPr="00990FB6" w:rsidRDefault="00B15F7D" w:rsidP="00B15F7D">
      <w:pPr>
        <w:widowControl w:val="0"/>
        <w:suppressAutoHyphens w:val="0"/>
        <w:autoSpaceDE w:val="0"/>
        <w:autoSpaceDN w:val="0"/>
        <w:adjustRightInd w:val="0"/>
        <w:jc w:val="both"/>
        <w:rPr>
          <w:sz w:val="22"/>
          <w:szCs w:val="22"/>
          <w:lang w:val="es-CR" w:eastAsia="es-CR"/>
        </w:rPr>
      </w:pPr>
      <w:r w:rsidRPr="00990FB6">
        <w:rPr>
          <w:sz w:val="22"/>
          <w:szCs w:val="22"/>
          <w:lang w:val="es-CR" w:eastAsia="es-CR"/>
        </w:rPr>
        <w:tab/>
        <w:t>Eso quería destacar, porque son muchas las personas las que participan en la elaboración de los diferentes ítems del presupuesto. En esto también tiene una intervención importante la Dirección de Gestión Humana, porque la mayor parte del presupuesto se nos va en salarios. Muchas gracias, señor presidente".</w:t>
      </w:r>
    </w:p>
    <w:p w14:paraId="2A1A135C" w14:textId="77777777" w:rsidR="00A62080" w:rsidRPr="00990FB6" w:rsidRDefault="00A62080" w:rsidP="00B15F7D">
      <w:pPr>
        <w:widowControl w:val="0"/>
        <w:suppressAutoHyphens w:val="0"/>
        <w:autoSpaceDE w:val="0"/>
        <w:autoSpaceDN w:val="0"/>
        <w:adjustRightInd w:val="0"/>
        <w:jc w:val="both"/>
        <w:rPr>
          <w:sz w:val="22"/>
          <w:szCs w:val="22"/>
          <w:lang w:val="es-CR" w:eastAsia="es-CR"/>
        </w:rPr>
      </w:pPr>
    </w:p>
    <w:p w14:paraId="75E30FF6" w14:textId="4565713C" w:rsidR="00B15F7D" w:rsidRPr="00990FB6" w:rsidRDefault="00B15F7D" w:rsidP="00B15F7D">
      <w:pPr>
        <w:ind w:firstLine="709"/>
        <w:jc w:val="both"/>
        <w:rPr>
          <w:sz w:val="22"/>
          <w:szCs w:val="22"/>
          <w:lang w:val="es-CR" w:eastAsia="es-CR"/>
        </w:rPr>
      </w:pPr>
      <w:r w:rsidRPr="00990FB6">
        <w:rPr>
          <w:sz w:val="22"/>
          <w:szCs w:val="22"/>
          <w:lang w:val="es-CR" w:eastAsia="es-CR"/>
        </w:rPr>
        <w:t>Manifiesta el señor Presidente, magistrado Aguirre:  "Gracias a usted. Doña Iris Rocío".</w:t>
      </w:r>
    </w:p>
    <w:p w14:paraId="5FB5E934" w14:textId="77777777" w:rsidR="00A62080" w:rsidRPr="00990FB6" w:rsidRDefault="00A62080" w:rsidP="00B15F7D">
      <w:pPr>
        <w:ind w:firstLine="709"/>
        <w:jc w:val="both"/>
        <w:rPr>
          <w:sz w:val="22"/>
          <w:szCs w:val="22"/>
          <w:lang w:val="es-CR" w:eastAsia="es-CR"/>
        </w:rPr>
      </w:pPr>
    </w:p>
    <w:p w14:paraId="22E8585D" w14:textId="60C06AFF"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 xml:space="preserve">Dice la magistrada Rojas: "Bueno, don Orlando, es una solicitud vieja, únicamente, por las razones que expuse, no considero que estén claras las inquietudes que tengo y por esa razón estoy procediendo a votar en contra, porque la información cabal para emitir con responsabilidad el voto no la poseo. </w:t>
      </w:r>
    </w:p>
    <w:p w14:paraId="50D5A32F"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4692B556" w14:textId="2EE22727" w:rsidR="00B15F7D" w:rsidRPr="00990FB6" w:rsidRDefault="00B15F7D" w:rsidP="00B15F7D">
      <w:pPr>
        <w:widowControl w:val="0"/>
        <w:suppressAutoHyphens w:val="0"/>
        <w:autoSpaceDE w:val="0"/>
        <w:autoSpaceDN w:val="0"/>
        <w:adjustRightInd w:val="0"/>
        <w:ind w:firstLine="708"/>
        <w:jc w:val="both"/>
        <w:rPr>
          <w:sz w:val="22"/>
          <w:szCs w:val="22"/>
          <w:lang w:val="es-CR" w:eastAsia="es-CR"/>
        </w:rPr>
      </w:pPr>
      <w:r w:rsidRPr="00990FB6">
        <w:rPr>
          <w:sz w:val="22"/>
          <w:szCs w:val="22"/>
          <w:lang w:val="es-CR" w:eastAsia="es-CR"/>
        </w:rPr>
        <w:t>Darle gracias a usted por la forma en que ha conducido la sesión y ha logrado pues llegar a este término y felicitarlo porque la verdad es que me parece que su forma de conducirlo ha logrado que este resultado en Corte sea posible".</w:t>
      </w:r>
    </w:p>
    <w:p w14:paraId="3504DE48" w14:textId="77777777" w:rsidR="00A62080" w:rsidRPr="00990FB6" w:rsidRDefault="00A62080" w:rsidP="00B15F7D">
      <w:pPr>
        <w:widowControl w:val="0"/>
        <w:suppressAutoHyphens w:val="0"/>
        <w:autoSpaceDE w:val="0"/>
        <w:autoSpaceDN w:val="0"/>
        <w:adjustRightInd w:val="0"/>
        <w:ind w:firstLine="708"/>
        <w:jc w:val="both"/>
        <w:rPr>
          <w:sz w:val="22"/>
          <w:szCs w:val="22"/>
          <w:lang w:val="es-CR" w:eastAsia="es-CR"/>
        </w:rPr>
      </w:pPr>
    </w:p>
    <w:p w14:paraId="05437E03" w14:textId="16D04534" w:rsidR="00B15F7D" w:rsidRPr="00990FB6" w:rsidRDefault="00B15F7D" w:rsidP="00B15F7D">
      <w:pPr>
        <w:ind w:firstLine="709"/>
        <w:jc w:val="both"/>
        <w:rPr>
          <w:sz w:val="22"/>
          <w:szCs w:val="22"/>
          <w:lang w:val="es-CR" w:eastAsia="es-CR"/>
        </w:rPr>
      </w:pPr>
      <w:r w:rsidRPr="00990FB6">
        <w:rPr>
          <w:sz w:val="22"/>
          <w:szCs w:val="22"/>
          <w:lang w:val="es-CR" w:eastAsia="es-CR"/>
        </w:rPr>
        <w:t>Señala el Presidente, magistrado Aguirre: "Gracias, doña Iris Rocío. Entonces, vamos a dar por concluida la sesión".</w:t>
      </w:r>
    </w:p>
    <w:p w14:paraId="4EFB9596" w14:textId="77777777" w:rsidR="00A62080" w:rsidRPr="00990FB6" w:rsidRDefault="00A62080" w:rsidP="00B15F7D">
      <w:pPr>
        <w:ind w:firstLine="709"/>
        <w:jc w:val="both"/>
        <w:rPr>
          <w:sz w:val="22"/>
          <w:szCs w:val="22"/>
          <w:lang w:val="es-CR" w:eastAsia="es-CR"/>
        </w:rPr>
      </w:pPr>
    </w:p>
    <w:p w14:paraId="319AFDAE" w14:textId="2F468BC8" w:rsidR="002C22FB" w:rsidRPr="00990FB6" w:rsidRDefault="00B15F7D" w:rsidP="00A62080">
      <w:pPr>
        <w:ind w:firstLine="709"/>
        <w:jc w:val="both"/>
        <w:rPr>
          <w:sz w:val="22"/>
          <w:szCs w:val="22"/>
          <w:lang w:val="es-CR"/>
        </w:rPr>
      </w:pPr>
      <w:r w:rsidRPr="00990FB6">
        <w:rPr>
          <w:b/>
          <w:bCs/>
          <w:color w:val="000000"/>
          <w:sz w:val="22"/>
          <w:szCs w:val="22"/>
          <w:shd w:val="clear" w:color="auto" w:fill="FFFFFF"/>
        </w:rPr>
        <w:t>Se declara acuerdo firme.</w:t>
      </w:r>
      <w:r w:rsidR="005B0640" w:rsidRPr="00990FB6">
        <w:rPr>
          <w:b/>
          <w:bCs/>
          <w:sz w:val="22"/>
          <w:szCs w:val="22"/>
        </w:rPr>
        <w:t>”</w:t>
      </w:r>
    </w:p>
    <w:p w14:paraId="62B0DD1D" w14:textId="77777777" w:rsidR="00990FB6" w:rsidRDefault="00990FB6" w:rsidP="00A62080">
      <w:pPr>
        <w:tabs>
          <w:tab w:val="left" w:pos="4295"/>
        </w:tabs>
        <w:ind w:firstLine="4253"/>
        <w:jc w:val="both"/>
        <w:rPr>
          <w:b/>
          <w:bCs/>
          <w:sz w:val="22"/>
          <w:szCs w:val="22"/>
        </w:rPr>
      </w:pPr>
    </w:p>
    <w:p w14:paraId="5F3420EA" w14:textId="300C4B48" w:rsidR="002C22FB" w:rsidRPr="00990FB6" w:rsidRDefault="002C22FB" w:rsidP="00A62080">
      <w:pPr>
        <w:tabs>
          <w:tab w:val="left" w:pos="4295"/>
        </w:tabs>
        <w:ind w:firstLine="4253"/>
        <w:jc w:val="both"/>
        <w:rPr>
          <w:b/>
          <w:bCs/>
          <w:sz w:val="22"/>
          <w:szCs w:val="22"/>
        </w:rPr>
      </w:pPr>
      <w:r w:rsidRPr="00990FB6">
        <w:rPr>
          <w:b/>
          <w:bCs/>
          <w:sz w:val="22"/>
          <w:szCs w:val="22"/>
        </w:rPr>
        <w:t xml:space="preserve">Atentamente, </w:t>
      </w:r>
    </w:p>
    <w:p w14:paraId="6DDF97E2" w14:textId="77777777" w:rsidR="002C22FB" w:rsidRPr="00990FB6" w:rsidRDefault="002C22FB" w:rsidP="00B15F7D">
      <w:pPr>
        <w:ind w:left="-708"/>
        <w:jc w:val="both"/>
        <w:rPr>
          <w:b/>
          <w:bCs/>
          <w:sz w:val="22"/>
          <w:szCs w:val="22"/>
        </w:rPr>
      </w:pPr>
    </w:p>
    <w:p w14:paraId="35D2A201" w14:textId="6640CE19" w:rsidR="002C22FB" w:rsidRDefault="002C22FB" w:rsidP="00B15F7D">
      <w:pPr>
        <w:ind w:left="-708"/>
        <w:jc w:val="both"/>
        <w:rPr>
          <w:b/>
          <w:bCs/>
          <w:sz w:val="22"/>
          <w:szCs w:val="22"/>
        </w:rPr>
      </w:pPr>
    </w:p>
    <w:p w14:paraId="5F2F92BC" w14:textId="77777777" w:rsidR="00B80C57" w:rsidRPr="00990FB6" w:rsidRDefault="00B80C57" w:rsidP="00B15F7D">
      <w:pPr>
        <w:ind w:left="-708"/>
        <w:jc w:val="both"/>
        <w:rPr>
          <w:b/>
          <w:bCs/>
          <w:sz w:val="22"/>
          <w:szCs w:val="22"/>
        </w:rPr>
      </w:pPr>
    </w:p>
    <w:p w14:paraId="7ABDFD1E" w14:textId="2FB350D9" w:rsidR="002C22FB" w:rsidRDefault="002C22FB" w:rsidP="00B15F7D">
      <w:pPr>
        <w:ind w:left="708"/>
        <w:jc w:val="both"/>
        <w:rPr>
          <w:b/>
          <w:bCs/>
          <w:sz w:val="22"/>
          <w:szCs w:val="22"/>
          <w:lang w:val="es-ES_tradnl"/>
        </w:rPr>
      </w:pPr>
    </w:p>
    <w:p w14:paraId="0D31604A" w14:textId="77777777" w:rsidR="00990FB6" w:rsidRPr="00990FB6" w:rsidRDefault="00990FB6" w:rsidP="00B15F7D">
      <w:pPr>
        <w:ind w:left="708"/>
        <w:jc w:val="both"/>
        <w:rPr>
          <w:b/>
          <w:bCs/>
          <w:sz w:val="22"/>
          <w:szCs w:val="22"/>
          <w:lang w:val="es-ES_tradnl"/>
        </w:rPr>
      </w:pPr>
    </w:p>
    <w:p w14:paraId="65A45B36" w14:textId="77777777" w:rsidR="002C22FB" w:rsidRPr="00990FB6" w:rsidRDefault="002C22FB" w:rsidP="00B15F7D">
      <w:pPr>
        <w:pStyle w:val="Ttulo54"/>
        <w:keepNext w:val="0"/>
        <w:tabs>
          <w:tab w:val="clear" w:pos="0"/>
        </w:tabs>
        <w:ind w:left="4248"/>
        <w:jc w:val="left"/>
        <w:rPr>
          <w:rFonts w:eastAsia="Times New Roman"/>
          <w:i w:val="0"/>
          <w:sz w:val="22"/>
          <w:szCs w:val="22"/>
          <w:u w:val="none"/>
          <w:shd w:val="clear" w:color="auto" w:fill="auto"/>
          <w:lang w:val="es-CR"/>
        </w:rPr>
      </w:pPr>
      <w:r w:rsidRPr="00990FB6">
        <w:rPr>
          <w:rFonts w:eastAsia="Times New Roman"/>
          <w:i w:val="0"/>
          <w:sz w:val="22"/>
          <w:szCs w:val="22"/>
          <w:u w:val="none"/>
          <w:shd w:val="clear" w:color="auto" w:fill="auto"/>
          <w:lang w:val="es-CR"/>
        </w:rPr>
        <w:t>Licda. Silvia Navarro Romanini</w:t>
      </w:r>
    </w:p>
    <w:p w14:paraId="6D4C156F" w14:textId="77777777" w:rsidR="002C22FB" w:rsidRPr="00990FB6" w:rsidRDefault="002C22FB" w:rsidP="00B15F7D">
      <w:pPr>
        <w:pStyle w:val="Ttulo54"/>
        <w:keepNext w:val="0"/>
        <w:tabs>
          <w:tab w:val="clear" w:pos="0"/>
        </w:tabs>
        <w:ind w:left="4248"/>
        <w:jc w:val="left"/>
        <w:rPr>
          <w:rFonts w:eastAsia="Times New Roman"/>
          <w:i w:val="0"/>
          <w:sz w:val="22"/>
          <w:szCs w:val="22"/>
          <w:u w:val="none"/>
          <w:shd w:val="clear" w:color="auto" w:fill="auto"/>
          <w:lang w:val="es-CR"/>
        </w:rPr>
      </w:pPr>
      <w:r w:rsidRPr="00990FB6">
        <w:rPr>
          <w:rFonts w:eastAsia="Times New Roman"/>
          <w:i w:val="0"/>
          <w:sz w:val="22"/>
          <w:szCs w:val="22"/>
          <w:u w:val="none"/>
          <w:shd w:val="clear" w:color="auto" w:fill="auto"/>
          <w:lang w:val="es-CR"/>
        </w:rPr>
        <w:t>Secretaria General</w:t>
      </w:r>
    </w:p>
    <w:p w14:paraId="1ADF35F8" w14:textId="77777777" w:rsidR="002C22FB" w:rsidRPr="00990FB6" w:rsidRDefault="002C22FB" w:rsidP="00B15F7D">
      <w:pPr>
        <w:rPr>
          <w:b/>
          <w:bCs/>
          <w:iCs/>
          <w:sz w:val="22"/>
          <w:szCs w:val="22"/>
          <w:lang w:val="es-CR"/>
        </w:rPr>
      </w:pPr>
      <w:r w:rsidRPr="00990FB6">
        <w:rPr>
          <w:sz w:val="22"/>
          <w:szCs w:val="22"/>
          <w:lang w:val="es-CR"/>
        </w:rPr>
        <w:tab/>
      </w:r>
      <w:r w:rsidRPr="00990FB6">
        <w:rPr>
          <w:sz w:val="22"/>
          <w:szCs w:val="22"/>
          <w:lang w:val="es-CR"/>
        </w:rPr>
        <w:tab/>
      </w:r>
      <w:r w:rsidRPr="00990FB6">
        <w:rPr>
          <w:sz w:val="22"/>
          <w:szCs w:val="22"/>
          <w:lang w:val="es-CR"/>
        </w:rPr>
        <w:tab/>
      </w:r>
      <w:r w:rsidRPr="00990FB6">
        <w:rPr>
          <w:sz w:val="22"/>
          <w:szCs w:val="22"/>
          <w:lang w:val="es-CR"/>
        </w:rPr>
        <w:tab/>
      </w:r>
      <w:r w:rsidRPr="00990FB6">
        <w:rPr>
          <w:sz w:val="22"/>
          <w:szCs w:val="22"/>
          <w:lang w:val="es-CR"/>
        </w:rPr>
        <w:tab/>
      </w:r>
      <w:r w:rsidRPr="00990FB6">
        <w:rPr>
          <w:sz w:val="22"/>
          <w:szCs w:val="22"/>
          <w:lang w:val="es-CR"/>
        </w:rPr>
        <w:tab/>
      </w:r>
      <w:r w:rsidRPr="00990FB6">
        <w:rPr>
          <w:b/>
          <w:bCs/>
          <w:iCs/>
          <w:sz w:val="22"/>
          <w:szCs w:val="22"/>
          <w:lang w:val="es-CR"/>
        </w:rPr>
        <w:t>Corte Suprema de Justicia</w:t>
      </w:r>
    </w:p>
    <w:p w14:paraId="4D282452" w14:textId="77777777" w:rsidR="002C22FB" w:rsidRPr="00990FB6" w:rsidRDefault="002C22FB" w:rsidP="004942F5">
      <w:pPr>
        <w:pStyle w:val="Ttulo51"/>
        <w:keepNext w:val="0"/>
        <w:tabs>
          <w:tab w:val="clear" w:pos="0"/>
        </w:tabs>
        <w:jc w:val="both"/>
        <w:rPr>
          <w:rFonts w:eastAsia="Times New Roman"/>
          <w:i w:val="0"/>
          <w:iCs w:val="0"/>
          <w:sz w:val="22"/>
          <w:szCs w:val="22"/>
          <w:u w:val="none"/>
          <w:shd w:val="clear" w:color="auto" w:fill="auto"/>
          <w:lang w:val="es-CR"/>
        </w:rPr>
      </w:pPr>
      <w:r w:rsidRPr="00990FB6">
        <w:rPr>
          <w:rFonts w:eastAsia="Times New Roman"/>
          <w:i w:val="0"/>
          <w:iCs w:val="0"/>
          <w:sz w:val="22"/>
          <w:szCs w:val="22"/>
          <w:u w:val="none"/>
          <w:shd w:val="clear" w:color="auto" w:fill="auto"/>
          <w:lang w:val="es-CR"/>
        </w:rPr>
        <w:t xml:space="preserve"> </w:t>
      </w:r>
    </w:p>
    <w:p w14:paraId="3F0A2D43" w14:textId="0977E3DB" w:rsidR="00A22C0D" w:rsidRDefault="00A22C0D" w:rsidP="00990FB6">
      <w:pPr>
        <w:jc w:val="both"/>
        <w:rPr>
          <w:sz w:val="21"/>
          <w:szCs w:val="21"/>
        </w:rPr>
      </w:pPr>
      <w:proofErr w:type="spellStart"/>
      <w:r w:rsidRPr="00990FB6">
        <w:rPr>
          <w:sz w:val="21"/>
          <w:szCs w:val="21"/>
        </w:rPr>
        <w:t>C</w:t>
      </w:r>
      <w:r w:rsidR="002C22FB" w:rsidRPr="00990FB6">
        <w:rPr>
          <w:sz w:val="21"/>
          <w:szCs w:val="21"/>
        </w:rPr>
        <w:t>c</w:t>
      </w:r>
      <w:proofErr w:type="spellEnd"/>
      <w:r w:rsidR="002C22FB" w:rsidRPr="00990FB6">
        <w:rPr>
          <w:sz w:val="21"/>
          <w:szCs w:val="21"/>
        </w:rPr>
        <w:t>:</w:t>
      </w:r>
    </w:p>
    <w:p w14:paraId="357E6E55" w14:textId="23E8925D" w:rsidR="00B80C57" w:rsidRDefault="00B80C57" w:rsidP="00B80C57">
      <w:pPr>
        <w:jc w:val="both"/>
        <w:rPr>
          <w:sz w:val="21"/>
          <w:szCs w:val="21"/>
        </w:rPr>
      </w:pPr>
      <w:r>
        <w:rPr>
          <w:sz w:val="21"/>
          <w:szCs w:val="21"/>
        </w:rPr>
        <w:t>Fiscalía General de la República</w:t>
      </w:r>
    </w:p>
    <w:p w14:paraId="2C43C863" w14:textId="5EB51DEE" w:rsidR="00B80C57" w:rsidRPr="00B80C57" w:rsidRDefault="00B80C57" w:rsidP="00B80C57">
      <w:pPr>
        <w:jc w:val="both"/>
        <w:rPr>
          <w:sz w:val="21"/>
          <w:szCs w:val="21"/>
        </w:rPr>
      </w:pPr>
      <w:r>
        <w:rPr>
          <w:sz w:val="21"/>
          <w:szCs w:val="21"/>
        </w:rPr>
        <w:t>Organismo de Investigación Judicial</w:t>
      </w:r>
    </w:p>
    <w:p w14:paraId="4E5B77BD" w14:textId="77777777" w:rsidR="00B80C57" w:rsidRPr="00B80C57" w:rsidRDefault="00B80C57" w:rsidP="00B80C57">
      <w:pPr>
        <w:jc w:val="both"/>
        <w:rPr>
          <w:sz w:val="21"/>
          <w:szCs w:val="21"/>
        </w:rPr>
      </w:pPr>
      <w:r w:rsidRPr="00B80C57">
        <w:rPr>
          <w:sz w:val="21"/>
          <w:szCs w:val="21"/>
        </w:rPr>
        <w:t>Defensa Pública</w:t>
      </w:r>
    </w:p>
    <w:p w14:paraId="260D64BB" w14:textId="77777777" w:rsidR="00B80C57" w:rsidRPr="00B80C57" w:rsidRDefault="00B80C57" w:rsidP="00B80C57">
      <w:pPr>
        <w:jc w:val="both"/>
        <w:rPr>
          <w:sz w:val="21"/>
          <w:szCs w:val="21"/>
        </w:rPr>
      </w:pPr>
      <w:r w:rsidRPr="00B80C57">
        <w:rPr>
          <w:sz w:val="21"/>
          <w:szCs w:val="21"/>
        </w:rPr>
        <w:t>Despacho de la Presidencia</w:t>
      </w:r>
    </w:p>
    <w:p w14:paraId="6ADE0FF4" w14:textId="77777777" w:rsidR="00B80C57" w:rsidRPr="00B80C57" w:rsidRDefault="00B80C57" w:rsidP="00B80C57">
      <w:pPr>
        <w:jc w:val="both"/>
        <w:rPr>
          <w:sz w:val="21"/>
          <w:szCs w:val="21"/>
        </w:rPr>
      </w:pPr>
      <w:r w:rsidRPr="00B80C57">
        <w:rPr>
          <w:sz w:val="21"/>
          <w:szCs w:val="21"/>
        </w:rPr>
        <w:t>Dirección Ejecutiva</w:t>
      </w:r>
    </w:p>
    <w:p w14:paraId="61C4A999" w14:textId="58A89CA5" w:rsidR="00B80C57" w:rsidRDefault="00B80C57" w:rsidP="00B80C57">
      <w:pPr>
        <w:jc w:val="both"/>
        <w:rPr>
          <w:sz w:val="21"/>
          <w:szCs w:val="21"/>
        </w:rPr>
      </w:pPr>
      <w:r w:rsidRPr="00B80C57">
        <w:rPr>
          <w:sz w:val="21"/>
          <w:szCs w:val="21"/>
        </w:rPr>
        <w:lastRenderedPageBreak/>
        <w:t>Dirección de Gestión Humana</w:t>
      </w:r>
    </w:p>
    <w:p w14:paraId="578E5881" w14:textId="7F7578BE" w:rsidR="00B80C57" w:rsidRPr="00B80C57" w:rsidRDefault="00B80C57" w:rsidP="00B80C57">
      <w:pPr>
        <w:jc w:val="both"/>
        <w:rPr>
          <w:sz w:val="21"/>
          <w:szCs w:val="21"/>
        </w:rPr>
      </w:pPr>
      <w:r w:rsidRPr="00B80C57">
        <w:rPr>
          <w:sz w:val="21"/>
          <w:szCs w:val="21"/>
        </w:rPr>
        <w:t>Dirección Jurídica</w:t>
      </w:r>
    </w:p>
    <w:p w14:paraId="50AB2D8B" w14:textId="6CCB413B" w:rsidR="00B80C57" w:rsidRPr="00B80C57" w:rsidRDefault="00B80C57" w:rsidP="00B80C57">
      <w:pPr>
        <w:jc w:val="both"/>
        <w:rPr>
          <w:sz w:val="21"/>
          <w:szCs w:val="21"/>
        </w:rPr>
      </w:pPr>
      <w:r w:rsidRPr="00B80C57">
        <w:rPr>
          <w:sz w:val="21"/>
          <w:szCs w:val="21"/>
        </w:rPr>
        <w:t>Dirección de Tecnología de la Información</w:t>
      </w:r>
      <w:r>
        <w:rPr>
          <w:sz w:val="21"/>
          <w:szCs w:val="21"/>
        </w:rPr>
        <w:t xml:space="preserve"> y Comunicaciones</w:t>
      </w:r>
    </w:p>
    <w:p w14:paraId="42BA5E08" w14:textId="07C33123" w:rsidR="00B80C57" w:rsidRPr="00B80C57" w:rsidRDefault="00B80C57" w:rsidP="00B80C57">
      <w:pPr>
        <w:jc w:val="both"/>
        <w:rPr>
          <w:sz w:val="21"/>
          <w:szCs w:val="21"/>
        </w:rPr>
      </w:pPr>
      <w:r w:rsidRPr="00B80C57">
        <w:rPr>
          <w:sz w:val="21"/>
          <w:szCs w:val="21"/>
        </w:rPr>
        <w:t xml:space="preserve">Dra. Ana Isabel Orozco Álvarez, Integrante del Consejo Superior del Poder Judicial </w:t>
      </w:r>
    </w:p>
    <w:p w14:paraId="02B62CC1" w14:textId="09F93835" w:rsidR="00B80C57" w:rsidRPr="00B80C57" w:rsidRDefault="00B80C57" w:rsidP="00B80C57">
      <w:pPr>
        <w:jc w:val="both"/>
        <w:rPr>
          <w:sz w:val="21"/>
          <w:szCs w:val="21"/>
        </w:rPr>
      </w:pPr>
      <w:proofErr w:type="spellStart"/>
      <w:r w:rsidRPr="00B80C57">
        <w:rPr>
          <w:sz w:val="21"/>
          <w:szCs w:val="21"/>
        </w:rPr>
        <w:t>M.Sc</w:t>
      </w:r>
      <w:proofErr w:type="spellEnd"/>
      <w:r w:rsidRPr="00B80C57">
        <w:rPr>
          <w:sz w:val="21"/>
          <w:szCs w:val="21"/>
        </w:rPr>
        <w:t xml:space="preserve">. Siria Carmona Castro, Integrante del Consejo Superior del Poder Judicial </w:t>
      </w:r>
    </w:p>
    <w:p w14:paraId="21DFA568" w14:textId="384E562C" w:rsidR="00B80C57" w:rsidRPr="00B80C57" w:rsidRDefault="00B80C57" w:rsidP="00B80C57">
      <w:pPr>
        <w:jc w:val="both"/>
        <w:rPr>
          <w:sz w:val="21"/>
          <w:szCs w:val="21"/>
        </w:rPr>
      </w:pPr>
      <w:proofErr w:type="spellStart"/>
      <w:r w:rsidRPr="00B80C57">
        <w:rPr>
          <w:sz w:val="21"/>
          <w:szCs w:val="21"/>
        </w:rPr>
        <w:t>Msc</w:t>
      </w:r>
      <w:proofErr w:type="spellEnd"/>
      <w:r w:rsidRPr="00B80C57">
        <w:rPr>
          <w:sz w:val="21"/>
          <w:szCs w:val="21"/>
        </w:rPr>
        <w:t xml:space="preserve">. Gary Bonilla Garro, Integrante del Consejo Superior del Poder Judicial </w:t>
      </w:r>
    </w:p>
    <w:p w14:paraId="576CF511" w14:textId="4C92613B" w:rsidR="00B80C57" w:rsidRPr="00990FB6" w:rsidRDefault="00B80C57" w:rsidP="00B80C57">
      <w:pPr>
        <w:jc w:val="both"/>
        <w:rPr>
          <w:sz w:val="21"/>
          <w:szCs w:val="21"/>
        </w:rPr>
      </w:pPr>
      <w:r w:rsidRPr="00B80C57">
        <w:rPr>
          <w:sz w:val="21"/>
          <w:szCs w:val="21"/>
        </w:rPr>
        <w:t xml:space="preserve">Licda. Sandra Pizarro Gutiérrez, Integrante del Consejo Superior del Poder Judicial </w:t>
      </w:r>
    </w:p>
    <w:p w14:paraId="3F82E4D4" w14:textId="68FB6178" w:rsidR="002C22FB" w:rsidRPr="00990FB6" w:rsidRDefault="002C22FB" w:rsidP="00990FB6">
      <w:pPr>
        <w:jc w:val="both"/>
        <w:rPr>
          <w:sz w:val="21"/>
          <w:szCs w:val="21"/>
        </w:rPr>
      </w:pPr>
      <w:r w:rsidRPr="00990FB6">
        <w:rPr>
          <w:sz w:val="21"/>
          <w:szCs w:val="21"/>
        </w:rPr>
        <w:t xml:space="preserve">Diligencias / </w:t>
      </w:r>
      <w:proofErr w:type="spellStart"/>
      <w:r w:rsidRPr="00990FB6">
        <w:rPr>
          <w:sz w:val="21"/>
          <w:szCs w:val="21"/>
        </w:rPr>
        <w:t>Refs</w:t>
      </w:r>
      <w:proofErr w:type="spellEnd"/>
      <w:r w:rsidRPr="00990FB6">
        <w:rPr>
          <w:sz w:val="21"/>
          <w:szCs w:val="21"/>
        </w:rPr>
        <w:t>: (</w:t>
      </w:r>
      <w:r w:rsidR="00B15F7D" w:rsidRPr="00990FB6">
        <w:rPr>
          <w:b/>
          <w:bCs/>
          <w:sz w:val="21"/>
          <w:szCs w:val="21"/>
        </w:rPr>
        <w:t>9373-2016 / 10774-2022 / 1839-2023 / 3946-2023 / 3999-2023 / 4188-2023 / 4189-2023 / 4192-2023 / 4193-2023 / 4196-2023 / 4306-2023 / 4307-2023 / 4308-2023 / 4329-2023 / 4354-2023 / 4426-2023 / 4494-2023 / 4502-2023 / 4519-2023 / 4529-2023 / 4840-2023 / 5155-2023 / 5165-2023 / 5270-2023 / 5386-2023 / 5367-2023 / 5389-2023 / 5404-2023 / 5406-2023 / 5436-2023</w:t>
      </w:r>
      <w:r w:rsidRPr="00990FB6">
        <w:rPr>
          <w:sz w:val="21"/>
          <w:szCs w:val="21"/>
        </w:rPr>
        <w:t xml:space="preserve">) </w:t>
      </w:r>
    </w:p>
    <w:p w14:paraId="1B91654C" w14:textId="1176F81E" w:rsidR="00AD35C2" w:rsidRPr="00990FB6" w:rsidRDefault="00FC1D7C" w:rsidP="00990FB6">
      <w:pPr>
        <w:jc w:val="both"/>
        <w:rPr>
          <w:i/>
          <w:iCs/>
          <w:color w:val="7F7F7F" w:themeColor="text1" w:themeTint="80"/>
          <w:sz w:val="21"/>
          <w:szCs w:val="21"/>
        </w:rPr>
      </w:pPr>
      <w:r w:rsidRPr="00990FB6">
        <w:rPr>
          <w:i/>
          <w:iCs/>
          <w:color w:val="7F7F7F" w:themeColor="text1" w:themeTint="80"/>
          <w:sz w:val="21"/>
          <w:szCs w:val="21"/>
        </w:rPr>
        <w:t>pcastros</w:t>
      </w:r>
    </w:p>
    <w:sectPr w:rsidR="00AD35C2" w:rsidRPr="00990FB6" w:rsidSect="00990FB6">
      <w:headerReference w:type="default" r:id="rId182"/>
      <w:footerReference w:type="default" r:id="rId183"/>
      <w:footnotePr>
        <w:pos w:val="beneathText"/>
      </w:footnotePr>
      <w:pgSz w:w="12240" w:h="15840"/>
      <w:pgMar w:top="2268" w:right="1418" w:bottom="1843" w:left="1417" w:header="1843" w:footer="116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34D451" w14:textId="77777777" w:rsidR="00C61941" w:rsidRDefault="00C61941">
      <w:r>
        <w:separator/>
      </w:r>
    </w:p>
  </w:endnote>
  <w:endnote w:type="continuationSeparator" w:id="0">
    <w:p w14:paraId="64314A83" w14:textId="77777777" w:rsidR="00C61941" w:rsidRDefault="00C619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Negrita">
    <w:altName w:val="Arial"/>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OpenSymbol">
    <w:panose1 w:val="05010000000000000000"/>
    <w:charset w:val="00"/>
    <w:family w:val="auto"/>
    <w:pitch w:val="variable"/>
    <w:sig w:usb0="800000AF" w:usb1="1001ECEA"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StarSymbol">
    <w:altName w:val="Calibri"/>
    <w:charset w:val="00"/>
    <w:family w:val="auto"/>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urier 10cp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Lucida Bright">
    <w:panose1 w:val="020406020505050203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Helvetica Neue">
    <w:altName w:val="Times New Roman"/>
    <w:charset w:val="00"/>
    <w:family w:val="auto"/>
    <w:pitch w:val="default"/>
  </w:font>
  <w:font w:name="Nimbus Roman No9 L">
    <w:altName w:val="Times New Roman"/>
    <w:charset w:val="00"/>
    <w:family w:val="roman"/>
    <w:pitch w:val="variable"/>
  </w:font>
  <w:font w:name="Century Gothic">
    <w:panose1 w:val="020B0502020202020204"/>
    <w:charset w:val="00"/>
    <w:family w:val="swiss"/>
    <w:pitch w:val="variable"/>
    <w:sig w:usb0="00000287" w:usb1="00000000" w:usb2="00000000" w:usb3="00000000" w:csb0="0000009F" w:csb1="00000000"/>
  </w:font>
  <w:font w:name="Times">
    <w:altName w:val="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Cooper Md BT">
    <w:altName w:val="Bookman Old Style"/>
    <w:charset w:val="00"/>
    <w:family w:val="roman"/>
    <w:pitch w:val="variable"/>
  </w:font>
  <w:font w:name="Helvetica Neue Light">
    <w:altName w:val="Arial Nova Light"/>
    <w:panose1 w:val="00000000000000000000"/>
    <w:charset w:val="00"/>
    <w:family w:val="roman"/>
    <w:notTrueType/>
    <w:pitch w:val="default"/>
    <w:sig w:usb0="00000003" w:usb1="00000000" w:usb2="00000000" w:usb3="00000000" w:csb0="00000001" w:csb1="00000000"/>
  </w:font>
  <w:font w:name="Liberation Sans">
    <w:panose1 w:val="020B0604020202020204"/>
    <w:charset w:val="00"/>
    <w:family w:val="swiss"/>
    <w:pitch w:val="variable"/>
    <w:sig w:usb0="E0000AFF" w:usb1="500078FF" w:usb2="00000021" w:usb3="00000000" w:csb0="000001BF" w:csb1="00000000"/>
  </w:font>
  <w:font w:name="BauerBodni BT">
    <w:altName w:val="Times New Roman"/>
    <w:charset w:val="00"/>
    <w:family w:val="auto"/>
    <w:pitch w:val="default"/>
  </w:font>
  <w:font w:name="Myriad Pro">
    <w:altName w:val="Segoe U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onotype Corsiva">
    <w:panose1 w:val="03010101010201010101"/>
    <w:charset w:val="00"/>
    <w:family w:val="script"/>
    <w:pitch w:val="variable"/>
    <w:sig w:usb0="00000287" w:usb1="00000000" w:usb2="00000000" w:usb3="00000000" w:csb0="0000009F" w:csb1="00000000"/>
  </w:font>
  <w:font w:name="Vrinda">
    <w:panose1 w:val="00000400000000000000"/>
    <w:charset w:val="00"/>
    <w:family w:val="swiss"/>
    <w:pitch w:val="variable"/>
    <w:sig w:usb0="00010003" w:usb1="00000000" w:usb2="00000000" w:usb3="00000000" w:csb0="00000001" w:csb1="00000000"/>
  </w:font>
  <w:font w:name="ITC New Baskerville Std">
    <w:altName w:val="Cambria"/>
    <w:charset w:val="00"/>
    <w:family w:val="auto"/>
    <w:pitch w:val="default"/>
  </w:font>
  <w:font w:name="@Malgun Gothic">
    <w:charset w:val="81"/>
    <w:family w:val="swiss"/>
    <w:pitch w:val="variable"/>
    <w:sig w:usb0="9000002F" w:usb1="29D77CFB" w:usb2="00000012" w:usb3="00000000" w:csb0="00080001" w:csb1="00000000"/>
  </w:font>
  <w:font w:name="Bahnschrift SemiBold Condensed">
    <w:panose1 w:val="020B0502040204020203"/>
    <w:charset w:val="00"/>
    <w:family w:val="swiss"/>
    <w:pitch w:val="variable"/>
    <w:sig w:usb0="A00002C7" w:usb1="00000002" w:usb2="00000000" w:usb3="00000000" w:csb0="0000019F" w:csb1="00000000"/>
  </w:font>
  <w:font w:name="Candara Light">
    <w:panose1 w:val="020E0502030303020204"/>
    <w:charset w:val="00"/>
    <w:family w:val="swiss"/>
    <w:pitch w:val="variable"/>
    <w:sig w:usb0="A00002FF" w:usb1="00000002" w:usb2="00000000" w:usb3="00000000" w:csb0="0000019F" w:csb1="00000000"/>
  </w:font>
  <w:font w:name="Malgun Gothic Semilight">
    <w:panose1 w:val="020B0502040204020203"/>
    <w:charset w:val="80"/>
    <w:family w:val="swiss"/>
    <w:pitch w:val="variable"/>
    <w:sig w:usb0="B0000AAF" w:usb1="09DF7CFB" w:usb2="00000012" w:usb3="00000000" w:csb0="003E01BD" w:csb1="00000000"/>
  </w:font>
  <w:font w:name="@Malgun Gothic Semilight">
    <w:charset w:val="80"/>
    <w:family w:val="swiss"/>
    <w:pitch w:val="variable"/>
    <w:sig w:usb0="B0000AAF" w:usb1="09DF7CFB" w:usb2="00000012" w:usb3="00000000" w:csb0="003E01BD" w:csb1="00000000"/>
  </w:font>
  <w:font w:name="Microsoft Himalaya">
    <w:panose1 w:val="01010100010101010101"/>
    <w:charset w:val="00"/>
    <w:family w:val="auto"/>
    <w:pitch w:val="variable"/>
    <w:sig w:usb0="80000003" w:usb1="00010000" w:usb2="00000040" w:usb3="00000000" w:csb0="00000001" w:csb1="00000000"/>
  </w:font>
  <w:font w:name="Microsoft JhengHei">
    <w:panose1 w:val="020B0604030504040204"/>
    <w:charset w:val="88"/>
    <w:family w:val="swiss"/>
    <w:pitch w:val="variable"/>
    <w:sig w:usb0="000002A7" w:usb1="28CF4400" w:usb2="00000016" w:usb3="00000000" w:csb0="00100009" w:csb1="00000000"/>
  </w:font>
  <w:font w:name="@Microsoft JhengHei">
    <w:charset w:val="88"/>
    <w:family w:val="swiss"/>
    <w:pitch w:val="variable"/>
    <w:sig w:usb0="000002A7" w:usb1="28CF4400" w:usb2="00000016" w:usb3="00000000" w:csb0="00100009" w:csb1="00000000"/>
  </w:font>
  <w:font w:name="Microsoft JhengHei UI">
    <w:panose1 w:val="020B0604030504040204"/>
    <w:charset w:val="88"/>
    <w:family w:val="swiss"/>
    <w:pitch w:val="variable"/>
    <w:sig w:usb0="000002A7" w:usb1="28CF4400" w:usb2="00000016" w:usb3="00000000" w:csb0="00100009" w:csb1="00000000"/>
  </w:font>
  <w:font w:name="Bahnschrift SemiBold SemiConden">
    <w:panose1 w:val="020B0502040204020203"/>
    <w:charset w:val="00"/>
    <w:family w:val="swiss"/>
    <w:pitch w:val="variable"/>
    <w:sig w:usb0="A00002C7" w:usb1="00000002"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Bahnschrift SemiLight Condensed">
    <w:panose1 w:val="020B0502040204020203"/>
    <w:charset w:val="00"/>
    <w:family w:val="swiss"/>
    <w:pitch w:val="variable"/>
    <w:sig w:usb0="A00002C7" w:usb1="00000002"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Bahnschrift Condensed">
    <w:panose1 w:val="020B0502040204020203"/>
    <w:charset w:val="00"/>
    <w:family w:val="swiss"/>
    <w:pitch w:val="variable"/>
    <w:sig w:usb0="A00002C7" w:usb1="00000002" w:usb2="00000000" w:usb3="00000000" w:csb0="0000019F" w:csb1="00000000"/>
  </w:font>
  <w:font w:name="NSimSun">
    <w:panose1 w:val="02010609030101010101"/>
    <w:charset w:val="86"/>
    <w:family w:val="modern"/>
    <w:pitch w:val="fixed"/>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MS PGothic">
    <w:panose1 w:val="020B0600070205080204"/>
    <w:charset w:val="80"/>
    <w:family w:val="swiss"/>
    <w:pitch w:val="variable"/>
    <w:sig w:usb0="E00002FF" w:usb1="6AC7FDFB" w:usb2="08000012" w:usb3="00000000" w:csb0="0002009F" w:csb1="00000000"/>
  </w:font>
  <w:font w:name="TeXGyrePagella">
    <w:altName w:val="Calibri"/>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2045918"/>
      <w:docPartObj>
        <w:docPartGallery w:val="Page Numbers (Bottom of Page)"/>
        <w:docPartUnique/>
      </w:docPartObj>
    </w:sdtPr>
    <w:sdtEndPr>
      <w:rPr>
        <w:sz w:val="18"/>
        <w:szCs w:val="18"/>
        <w:u w:val="none"/>
      </w:rPr>
    </w:sdtEndPr>
    <w:sdtContent>
      <w:p w14:paraId="51FD762E" w14:textId="77777777" w:rsidR="00B15F7D" w:rsidRDefault="00B15F7D">
        <w:pPr>
          <w:pStyle w:val="Piedepgina"/>
          <w:jc w:val="center"/>
        </w:pPr>
      </w:p>
      <w:p w14:paraId="2ECE8C0B" w14:textId="77777777" w:rsidR="00B15F7D" w:rsidRDefault="00B15F7D" w:rsidP="00B15F7D">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 //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6A11F76D" w14:textId="77777777" w:rsidR="00B15F7D" w:rsidRDefault="00B15F7D" w:rsidP="00B15F7D">
        <w:pPr>
          <w:pStyle w:val="Piedepgina"/>
        </w:pPr>
      </w:p>
      <w:p w14:paraId="25414D22" w14:textId="086371D0" w:rsidR="00B15F7D" w:rsidRPr="00B15F7D" w:rsidRDefault="00B15F7D">
        <w:pPr>
          <w:pStyle w:val="Piedepgina"/>
          <w:jc w:val="center"/>
          <w:rPr>
            <w:sz w:val="18"/>
            <w:szCs w:val="18"/>
            <w:u w:val="none"/>
          </w:rPr>
        </w:pPr>
        <w:r w:rsidRPr="00B15F7D">
          <w:rPr>
            <w:sz w:val="18"/>
            <w:szCs w:val="18"/>
            <w:u w:val="none"/>
          </w:rPr>
          <w:fldChar w:fldCharType="begin"/>
        </w:r>
        <w:r w:rsidRPr="00B15F7D">
          <w:rPr>
            <w:sz w:val="18"/>
            <w:szCs w:val="18"/>
            <w:u w:val="none"/>
          </w:rPr>
          <w:instrText>PAGE   \* MERGEFORMAT</w:instrText>
        </w:r>
        <w:r w:rsidRPr="00B15F7D">
          <w:rPr>
            <w:sz w:val="18"/>
            <w:szCs w:val="18"/>
            <w:u w:val="none"/>
          </w:rPr>
          <w:fldChar w:fldCharType="separate"/>
        </w:r>
        <w:r w:rsidRPr="00B15F7D">
          <w:rPr>
            <w:sz w:val="18"/>
            <w:szCs w:val="18"/>
            <w:u w:val="none"/>
          </w:rPr>
          <w:t>2</w:t>
        </w:r>
        <w:r w:rsidRPr="00B15F7D">
          <w:rPr>
            <w:sz w:val="18"/>
            <w:szCs w:val="18"/>
            <w:u w:val="none"/>
          </w:rPr>
          <w:fldChar w:fldCharType="end"/>
        </w:r>
      </w:p>
    </w:sdtContent>
  </w:sdt>
  <w:p w14:paraId="54B657DC" w14:textId="77777777" w:rsidR="00B15F7D" w:rsidRDefault="00B15F7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0268005"/>
      <w:docPartObj>
        <w:docPartGallery w:val="Page Numbers (Bottom of Page)"/>
        <w:docPartUnique/>
      </w:docPartObj>
    </w:sdtPr>
    <w:sdtEndPr>
      <w:rPr>
        <w:sz w:val="20"/>
        <w:szCs w:val="20"/>
        <w:u w:val="none"/>
      </w:rPr>
    </w:sdtEndPr>
    <w:sdtContent>
      <w:p w14:paraId="1E3D9C0D" w14:textId="20FDBBB2" w:rsidR="004D284E" w:rsidRPr="004D284E" w:rsidRDefault="004D284E" w:rsidP="004D284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 //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30CE74EC" w14:textId="26296CBF" w:rsidR="004D284E" w:rsidRPr="004D284E" w:rsidRDefault="004D284E">
        <w:pPr>
          <w:pStyle w:val="Piedepgina"/>
          <w:jc w:val="center"/>
          <w:rPr>
            <w:sz w:val="20"/>
            <w:szCs w:val="20"/>
            <w:u w:val="none"/>
          </w:rPr>
        </w:pPr>
        <w:r w:rsidRPr="004D284E">
          <w:rPr>
            <w:sz w:val="20"/>
            <w:szCs w:val="20"/>
            <w:u w:val="none"/>
          </w:rPr>
          <w:fldChar w:fldCharType="begin"/>
        </w:r>
        <w:r w:rsidRPr="004D284E">
          <w:rPr>
            <w:sz w:val="20"/>
            <w:szCs w:val="20"/>
            <w:u w:val="none"/>
          </w:rPr>
          <w:instrText>PAGE   \* MERGEFORMAT</w:instrText>
        </w:r>
        <w:r w:rsidRPr="004D284E">
          <w:rPr>
            <w:sz w:val="20"/>
            <w:szCs w:val="20"/>
            <w:u w:val="none"/>
          </w:rPr>
          <w:fldChar w:fldCharType="separate"/>
        </w:r>
        <w:r w:rsidRPr="004D284E">
          <w:rPr>
            <w:sz w:val="20"/>
            <w:szCs w:val="20"/>
            <w:u w:val="none"/>
          </w:rPr>
          <w:t>2</w:t>
        </w:r>
        <w:r w:rsidRPr="004D284E">
          <w:rPr>
            <w:sz w:val="20"/>
            <w:szCs w:val="20"/>
            <w:u w:val="none"/>
          </w:rPr>
          <w:fldChar w:fldCharType="end"/>
        </w:r>
      </w:p>
    </w:sdtContent>
  </w:sdt>
  <w:p w14:paraId="082BCA31" w14:textId="77777777" w:rsidR="00B15F7D" w:rsidRDefault="00B15F7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D4415" w14:textId="77777777" w:rsidR="00186ADE" w:rsidRDefault="002C22FB">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 //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07D9BC04" w14:textId="77777777" w:rsidR="00186ADE" w:rsidRDefault="00164DB7">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70E9C86" w14:textId="77777777" w:rsidR="00186ADE" w:rsidRDefault="002C22FB">
    <w:pPr>
      <w:jc w:val="center"/>
    </w:pPr>
    <w:r>
      <w:rPr>
        <w:b/>
        <w:sz w:val="16"/>
        <w:szCs w:val="16"/>
        <w:lang w:val="es-CR"/>
      </w:rPr>
      <w:fldChar w:fldCharType="begin"/>
    </w:r>
    <w:r>
      <w:rPr>
        <w:b/>
        <w:sz w:val="16"/>
        <w:szCs w:val="16"/>
        <w:lang w:val="es-CR"/>
      </w:rPr>
      <w:instrText xml:space="preserve"> PAGE </w:instrText>
    </w:r>
    <w:r>
      <w:rPr>
        <w:b/>
        <w:sz w:val="16"/>
        <w:szCs w:val="16"/>
        <w:lang w:val="es-CR"/>
      </w:rPr>
      <w:fldChar w:fldCharType="separate"/>
    </w:r>
    <w:r>
      <w:rPr>
        <w:b/>
        <w:noProof/>
        <w:sz w:val="16"/>
        <w:szCs w:val="16"/>
        <w:lang w:val="es-CR"/>
      </w:rPr>
      <w:t>1</w:t>
    </w:r>
    <w:r>
      <w:rPr>
        <w:b/>
        <w:sz w:val="16"/>
        <w:szCs w:val="16"/>
        <w:lang w:val="es-C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520073" w14:textId="77777777" w:rsidR="00C61941" w:rsidRDefault="00C61941">
      <w:r>
        <w:separator/>
      </w:r>
    </w:p>
  </w:footnote>
  <w:footnote w:type="continuationSeparator" w:id="0">
    <w:p w14:paraId="782E89A7" w14:textId="77777777" w:rsidR="00C61941" w:rsidRDefault="00C61941">
      <w:r>
        <w:continuationSeparator/>
      </w:r>
    </w:p>
  </w:footnote>
  <w:footnote w:id="1">
    <w:p w14:paraId="431151D9" w14:textId="77777777" w:rsidR="00B15F7D" w:rsidRPr="00D00E25" w:rsidRDefault="00B15F7D" w:rsidP="00B15F7D">
      <w:pPr>
        <w:pStyle w:val="Textonotapie"/>
        <w:rPr>
          <w:rFonts w:ascii="Book Antiqua" w:hAnsi="Book Antiqua"/>
          <w:lang w:val="es-MX"/>
        </w:rPr>
      </w:pPr>
      <w:r w:rsidRPr="00D00E25">
        <w:rPr>
          <w:rStyle w:val="Refdenotaalpie"/>
          <w:rFonts w:ascii="Book Antiqua" w:hAnsi="Book Antiqua"/>
          <w:sz w:val="18"/>
          <w:szCs w:val="18"/>
        </w:rPr>
        <w:footnoteRef/>
      </w:r>
      <w:r w:rsidRPr="00D00E25">
        <w:rPr>
          <w:rFonts w:ascii="Book Antiqua" w:hAnsi="Book Antiqua"/>
          <w:sz w:val="18"/>
          <w:szCs w:val="18"/>
        </w:rPr>
        <w:t xml:space="preserve"> </w:t>
      </w:r>
      <w:r w:rsidRPr="00D00E25">
        <w:rPr>
          <w:rFonts w:ascii="Book Antiqua" w:hAnsi="Book Antiqua"/>
          <w:b/>
          <w:bCs/>
          <w:sz w:val="18"/>
          <w:szCs w:val="18"/>
          <w:lang w:val="es-MX"/>
        </w:rPr>
        <w:t>Simbología:</w:t>
      </w:r>
      <w:r w:rsidRPr="00D00E25">
        <w:rPr>
          <w:rFonts w:ascii="Book Antiqua" w:hAnsi="Book Antiqua"/>
          <w:sz w:val="18"/>
          <w:szCs w:val="18"/>
          <w:lang w:val="es-MX"/>
        </w:rPr>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A547C" w14:textId="739EE333" w:rsidR="00B15F7D" w:rsidRDefault="00B15F7D">
    <w:pPr>
      <w:pStyle w:val="Encabezado"/>
    </w:pPr>
  </w:p>
  <w:p w14:paraId="317F2313" w14:textId="75715A01" w:rsidR="00B15F7D" w:rsidRDefault="00B15F7D">
    <w:pPr>
      <w:pStyle w:val="Encabezado"/>
    </w:pPr>
  </w:p>
  <w:p w14:paraId="070DEF26" w14:textId="77777777" w:rsidR="00B15F7D" w:rsidRDefault="00B15F7D" w:rsidP="00B15F7D">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6704" behindDoc="1" locked="0" layoutInCell="1" allowOverlap="1" wp14:anchorId="51B1C21C" wp14:editId="2B70906D">
              <wp:simplePos x="0" y="0"/>
              <wp:positionH relativeFrom="column">
                <wp:posOffset>0</wp:posOffset>
              </wp:positionH>
              <wp:positionV relativeFrom="paragraph">
                <wp:posOffset>-358140</wp:posOffset>
              </wp:positionV>
              <wp:extent cx="615315" cy="662940"/>
              <wp:effectExtent l="0" t="381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F0FC03" w14:textId="77777777" w:rsidR="00B15F7D" w:rsidRDefault="00B15F7D" w:rsidP="00B15F7D">
                          <w:pPr>
                            <w:ind w:right="3"/>
                          </w:pPr>
                          <w:r>
                            <w:rPr>
                              <w:noProof/>
                              <w:lang w:eastAsia="es-ES"/>
                            </w:rPr>
                            <w:drawing>
                              <wp:inline distT="0" distB="0" distL="0" distR="0" wp14:anchorId="1A46697A" wp14:editId="1A493F4B">
                                <wp:extent cx="594360" cy="66294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1B1C21C" id="_x0000_t202" coordsize="21600,21600" o:spt="202" path="m,l,21600r21600,l21600,xe">
              <v:stroke joinstyle="miter"/>
              <v:path gradientshapeok="t" o:connecttype="rect"/>
            </v:shapetype>
            <v:shape id="Text Box 1" o:spid="_x0000_s1026" type="#_x0000_t202" style="position:absolute;margin-left:0;margin-top:-28.2pt;width:48.45pt;height:52.2pt;z-index:-251659776;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" stroked="f">
              <v:textbox style="mso-fit-shape-to-text:t" inset="0,0,0,0">
                <w:txbxContent>
                  <w:p w14:paraId="6BF0FC03" w14:textId="77777777" w:rsidR="00B15F7D" w:rsidRDefault="00B15F7D" w:rsidP="00B15F7D">
                    <w:pPr>
                      <w:ind w:right="3"/>
                    </w:pPr>
                    <w:r>
                      <w:rPr>
                        <w:noProof/>
                        <w:lang w:eastAsia="es-ES"/>
                      </w:rPr>
                      <w:drawing>
                        <wp:inline distT="0" distB="0" distL="0" distR="0" wp14:anchorId="1A46697A" wp14:editId="1A493F4B">
                          <wp:extent cx="594360" cy="66294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Pr>
        <w:rFonts w:cs="Times New Roman"/>
        <w:u w:val="none"/>
        <w:shd w:val="clear" w:color="auto" w:fill="auto"/>
      </w:rPr>
      <w:t xml:space="preserve">                    </w:t>
    </w:r>
    <w:r>
      <w:rPr>
        <w:rFonts w:ascii="Times New Roman" w:hAnsi="Times New Roman" w:cs="Times New Roman"/>
        <w:b/>
        <w:i/>
        <w:u w:val="none"/>
        <w:shd w:val="clear" w:color="auto" w:fill="auto"/>
        <w:lang w:val="es-CR"/>
      </w:rPr>
      <w:t>Corte Suprema de Justicia</w:t>
    </w:r>
  </w:p>
  <w:p w14:paraId="3C9C428C" w14:textId="77777777" w:rsidR="00B15F7D" w:rsidRDefault="00B15F7D" w:rsidP="00B15F7D">
    <w:pPr>
      <w:rPr>
        <w:b/>
        <w:bCs/>
        <w:i/>
        <w:iCs/>
        <w:lang w:val="es-ES_tradnl"/>
      </w:rPr>
    </w:pPr>
    <w:r>
      <w:rPr>
        <w:b/>
        <w:bCs/>
        <w:i/>
        <w:iCs/>
        <w:lang w:val="es-ES_tradnl"/>
      </w:rPr>
      <w:t xml:space="preserve">                           Secretaría General</w:t>
    </w:r>
  </w:p>
  <w:p w14:paraId="1896CADB" w14:textId="77777777" w:rsidR="00B15F7D" w:rsidRDefault="00B15F7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93BE2" w14:textId="77777777" w:rsidR="004D284E" w:rsidRDefault="004D284E" w:rsidP="004D284E">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8752" behindDoc="1" locked="0" layoutInCell="1" allowOverlap="1" wp14:anchorId="2A5C3FB3" wp14:editId="3004714C">
              <wp:simplePos x="0" y="0"/>
              <wp:positionH relativeFrom="column">
                <wp:posOffset>0</wp:posOffset>
              </wp:positionH>
              <wp:positionV relativeFrom="paragraph">
                <wp:posOffset>-358140</wp:posOffset>
              </wp:positionV>
              <wp:extent cx="615315" cy="662940"/>
              <wp:effectExtent l="0" t="3810" r="0"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3A352" w14:textId="77777777" w:rsidR="004D284E" w:rsidRDefault="004D284E" w:rsidP="004D284E">
                          <w:pPr>
                            <w:ind w:right="3"/>
                          </w:pPr>
                          <w:r>
                            <w:rPr>
                              <w:noProof/>
                              <w:lang w:eastAsia="es-ES"/>
                            </w:rPr>
                            <w:drawing>
                              <wp:inline distT="0" distB="0" distL="0" distR="0" wp14:anchorId="3DD52F23" wp14:editId="367E2975">
                                <wp:extent cx="594360" cy="66294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A5C3FB3" id="_x0000_t202" coordsize="21600,21600" o:spt="202" path="m,l,21600r21600,l21600,xe">
              <v:stroke joinstyle="miter"/>
              <v:path gradientshapeok="t" o:connecttype="rect"/>
            </v:shapetype>
            <v:shape id="_x0000_s1027" type="#_x0000_t202" style="position:absolute;margin-left:0;margin-top:-28.2pt;width:48.45pt;height:52.2pt;z-index:-251657728;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" stroked="f">
              <v:textbox style="mso-fit-shape-to-text:t" inset="0,0,0,0">
                <w:txbxContent>
                  <w:p w14:paraId="6713A352" w14:textId="77777777" w:rsidR="004D284E" w:rsidRDefault="004D284E" w:rsidP="004D284E">
                    <w:pPr>
                      <w:ind w:right="3"/>
                    </w:pPr>
                    <w:r>
                      <w:rPr>
                        <w:noProof/>
                        <w:lang w:eastAsia="es-ES"/>
                      </w:rPr>
                      <w:drawing>
                        <wp:inline distT="0" distB="0" distL="0" distR="0" wp14:anchorId="3DD52F23" wp14:editId="367E2975">
                          <wp:extent cx="594360" cy="66294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Pr>
        <w:rFonts w:cs="Times New Roman"/>
        <w:u w:val="none"/>
        <w:shd w:val="clear" w:color="auto" w:fill="auto"/>
      </w:rPr>
      <w:t xml:space="preserve">                    </w:t>
    </w:r>
    <w:r>
      <w:rPr>
        <w:rFonts w:ascii="Times New Roman" w:hAnsi="Times New Roman" w:cs="Times New Roman"/>
        <w:b/>
        <w:i/>
        <w:u w:val="none"/>
        <w:shd w:val="clear" w:color="auto" w:fill="auto"/>
        <w:lang w:val="es-CR"/>
      </w:rPr>
      <w:t>Corte Suprema de Justicia</w:t>
    </w:r>
  </w:p>
  <w:p w14:paraId="7A4B006D" w14:textId="77777777" w:rsidR="004D284E" w:rsidRDefault="004D284E" w:rsidP="004D284E">
    <w:pPr>
      <w:rPr>
        <w:b/>
        <w:bCs/>
        <w:i/>
        <w:iCs/>
        <w:lang w:val="es-ES_tradnl"/>
      </w:rPr>
    </w:pPr>
    <w:r>
      <w:rPr>
        <w:b/>
        <w:bCs/>
        <w:i/>
        <w:iCs/>
        <w:lang w:val="es-ES_tradnl"/>
      </w:rPr>
      <w:t xml:space="preserve">                           Secretaría General</w:t>
    </w:r>
  </w:p>
  <w:p w14:paraId="245830F6" w14:textId="77777777" w:rsidR="004D284E" w:rsidRPr="009C6085" w:rsidRDefault="004D284E" w:rsidP="009C608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92900" w14:textId="77777777" w:rsidR="00FD1E73" w:rsidRDefault="00FD1E73" w:rsidP="00FD1E73">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63872" behindDoc="1" locked="0" layoutInCell="1" allowOverlap="1" wp14:anchorId="35000BA4" wp14:editId="5DCB5B2F">
              <wp:simplePos x="0" y="0"/>
              <wp:positionH relativeFrom="column">
                <wp:posOffset>0</wp:posOffset>
              </wp:positionH>
              <wp:positionV relativeFrom="paragraph">
                <wp:posOffset>-358140</wp:posOffset>
              </wp:positionV>
              <wp:extent cx="615315" cy="662940"/>
              <wp:effectExtent l="0" t="3810" r="0"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A50DA6" w14:textId="77777777" w:rsidR="00FD1E73" w:rsidRDefault="00FD1E73" w:rsidP="00FD1E73">
                          <w:pPr>
                            <w:ind w:right="3"/>
                          </w:pPr>
                          <w:r>
                            <w:rPr>
                              <w:noProof/>
                              <w:lang w:eastAsia="es-ES"/>
                            </w:rPr>
                            <w:drawing>
                              <wp:inline distT="0" distB="0" distL="0" distR="0" wp14:anchorId="60E3A07E" wp14:editId="1790DADE">
                                <wp:extent cx="594360" cy="66294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5000BA4" id="_x0000_t202" coordsize="21600,21600" o:spt="202" path="m,l,21600r21600,l21600,xe">
              <v:stroke joinstyle="miter"/>
              <v:path gradientshapeok="t" o:connecttype="rect"/>
            </v:shapetype>
            <v:shape id="_x0000_s1028" type="#_x0000_t202" style="position:absolute;margin-left:0;margin-top:-28.2pt;width:48.45pt;height:52.2pt;z-index:-251652608;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" stroked="f">
              <v:textbox style="mso-fit-shape-to-text:t" inset="0,0,0,0">
                <w:txbxContent>
                  <w:p w14:paraId="40A50DA6" w14:textId="77777777" w:rsidR="00FD1E73" w:rsidRDefault="00FD1E73" w:rsidP="00FD1E73">
                    <w:pPr>
                      <w:ind w:right="3"/>
                    </w:pPr>
                    <w:r>
                      <w:rPr>
                        <w:noProof/>
                        <w:lang w:eastAsia="es-ES"/>
                      </w:rPr>
                      <w:drawing>
                        <wp:inline distT="0" distB="0" distL="0" distR="0" wp14:anchorId="60E3A07E" wp14:editId="1790DADE">
                          <wp:extent cx="594360" cy="66294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Pr>
        <w:rFonts w:cs="Times New Roman"/>
        <w:u w:val="none"/>
        <w:shd w:val="clear" w:color="auto" w:fill="auto"/>
      </w:rPr>
      <w:t xml:space="preserve">                    </w:t>
    </w:r>
    <w:r>
      <w:rPr>
        <w:rFonts w:ascii="Times New Roman" w:hAnsi="Times New Roman" w:cs="Times New Roman"/>
        <w:b/>
        <w:i/>
        <w:u w:val="none"/>
        <w:shd w:val="clear" w:color="auto" w:fill="auto"/>
        <w:lang w:val="es-CR"/>
      </w:rPr>
      <w:t>Corte Suprema de Justicia</w:t>
    </w:r>
  </w:p>
  <w:p w14:paraId="6516C13C" w14:textId="77777777" w:rsidR="00FD1E73" w:rsidRDefault="00FD1E73" w:rsidP="00FD1E73">
    <w:pPr>
      <w:rPr>
        <w:b/>
        <w:bCs/>
        <w:i/>
        <w:iCs/>
        <w:lang w:val="es-ES_tradnl"/>
      </w:rPr>
    </w:pPr>
    <w:r>
      <w:rPr>
        <w:b/>
        <w:bCs/>
        <w:i/>
        <w:iCs/>
        <w:lang w:val="es-ES_tradnl"/>
      </w:rPr>
      <w:t xml:space="preserve">                           Secretaría General</w:t>
    </w:r>
  </w:p>
  <w:p w14:paraId="5F2ED258" w14:textId="77777777" w:rsidR="00B15F7D" w:rsidRDefault="00B15F7D" w:rsidP="00A37E8D">
    <w:pPr>
      <w:pStyle w:val="Encabezado"/>
    </w:pPr>
  </w:p>
  <w:p w14:paraId="22485BE7" w14:textId="77777777" w:rsidR="00B15F7D" w:rsidRPr="00A37E8D" w:rsidRDefault="00B15F7D" w:rsidP="00A37E8D">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3D998" w14:textId="77777777" w:rsidR="00B15F7D" w:rsidRDefault="00B15F7D">
    <w:pPr>
      <w:pStyle w:val="Textoindependiente"/>
      <w:spacing w:line="14"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6DFB5" w14:textId="77777777" w:rsidR="00186ADE" w:rsidRDefault="002C22FB">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1584" behindDoc="1" locked="0" layoutInCell="1" allowOverlap="1" wp14:anchorId="736931FB" wp14:editId="25AF4CB7">
              <wp:simplePos x="0" y="0"/>
              <wp:positionH relativeFrom="column">
                <wp:posOffset>0</wp:posOffset>
              </wp:positionH>
              <wp:positionV relativeFrom="paragraph">
                <wp:posOffset>-358140</wp:posOffset>
              </wp:positionV>
              <wp:extent cx="615315" cy="662940"/>
              <wp:effectExtent l="0" t="3810" r="0" b="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1EDCED" w14:textId="77777777" w:rsidR="00186ADE" w:rsidRDefault="002C22FB" w:rsidP="00186ADE">
                          <w:pPr>
                            <w:ind w:right="3"/>
                          </w:pPr>
                          <w:r>
                            <w:rPr>
                              <w:noProof/>
                              <w:lang w:eastAsia="es-ES"/>
                            </w:rPr>
                            <w:drawing>
                              <wp:inline distT="0" distB="0" distL="0" distR="0" wp14:anchorId="00B7289B" wp14:editId="0D9D7F14">
                                <wp:extent cx="594360" cy="662940"/>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36931FB" id="_x0000_t202" coordsize="21600,21600" o:spt="202" path="m,l,21600r21600,l21600,xe">
              <v:stroke joinstyle="miter"/>
              <v:path gradientshapeok="t" o:connecttype="rect"/>
            </v:shapetype>
            <v:shape id="Cuadro de texto 2" o:spid="_x0000_s1029" type="#_x0000_t202" style="position:absolute;margin-left:0;margin-top:-28.2pt;width:48.45pt;height:52.2pt;z-index:-251664896;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511EDCED" w14:textId="77777777" w:rsidR="00186ADE" w:rsidRDefault="002C22FB" w:rsidP="00186ADE">
                    <w:pPr>
                      <w:ind w:right="3"/>
                    </w:pPr>
                    <w:r>
                      <w:rPr>
                        <w:noProof/>
                        <w:lang w:eastAsia="es-ES"/>
                      </w:rPr>
                      <w:drawing>
                        <wp:inline distT="0" distB="0" distL="0" distR="0" wp14:anchorId="00B7289B" wp14:editId="0D9D7F14">
                          <wp:extent cx="594360" cy="662940"/>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Pr>
        <w:rFonts w:cs="Times New Roman"/>
        <w:u w:val="none"/>
        <w:shd w:val="clear" w:color="auto" w:fill="auto"/>
      </w:rPr>
      <w:t xml:space="preserve">                    </w:t>
    </w:r>
    <w:r>
      <w:rPr>
        <w:rFonts w:ascii="Times New Roman" w:hAnsi="Times New Roman" w:cs="Times New Roman"/>
        <w:b/>
        <w:i/>
        <w:u w:val="none"/>
        <w:shd w:val="clear" w:color="auto" w:fill="auto"/>
        <w:lang w:val="es-CR"/>
      </w:rPr>
      <w:t>Corte Suprema de Justicia</w:t>
    </w:r>
  </w:p>
  <w:p w14:paraId="4311194A" w14:textId="77777777" w:rsidR="00186ADE" w:rsidRDefault="002C22FB">
    <w:pPr>
      <w:rPr>
        <w:b/>
        <w:bCs/>
        <w:i/>
        <w:iCs/>
        <w:lang w:val="es-ES_tradnl"/>
      </w:rPr>
    </w:pPr>
    <w:r>
      <w:rPr>
        <w:b/>
        <w:bCs/>
        <w:i/>
        <w:iCs/>
        <w:lang w:val="es-ES_tradnl"/>
      </w:rPr>
      <w:t xml:space="preserve">                           Secretaría General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CDF5087"/>
    <w:multiLevelType w:val="hybridMultilevel"/>
    <w:tmpl w:val="698E13E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1"/>
    <w:multiLevelType w:val="singleLevel"/>
    <w:tmpl w:val="C26AD052"/>
    <w:styleLink w:val="WWNum101123111"/>
    <w:lvl w:ilvl="0">
      <w:start w:val="1"/>
      <w:numFmt w:val="bullet"/>
      <w:pStyle w:val="Encabezado10"/>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4"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E4916"/>
    <w:multiLevelType w:val="hybridMultilevel"/>
    <w:tmpl w:val="A0D8FCB8"/>
    <w:styleLink w:val="WWNum61511111"/>
    <w:lvl w:ilvl="0" w:tplc="FFFFFFFF">
      <w:start w:val="1"/>
      <w:numFmt w:val="bullet"/>
      <w:pStyle w:val="Listaconvietas41"/>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008E66A1"/>
    <w:multiLevelType w:val="hybridMultilevel"/>
    <w:tmpl w:val="83BC22BA"/>
    <w:styleLink w:val="Estilo42121"/>
    <w:lvl w:ilvl="0" w:tplc="1A745DBC">
      <w:start w:val="1"/>
      <w:numFmt w:val="lowerLetter"/>
      <w:lvlText w:val="%1)"/>
      <w:lvlJc w:val="left"/>
      <w:pPr>
        <w:ind w:left="108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7" w15:restartNumberingAfterBreak="0">
    <w:nsid w:val="00A42FC6"/>
    <w:multiLevelType w:val="hybridMultilevel"/>
    <w:tmpl w:val="A78C3846"/>
    <w:styleLink w:val="WWNum614111"/>
    <w:lvl w:ilvl="0" w:tplc="66647610">
      <w:start w:val="1"/>
      <w:numFmt w:val="decimal"/>
      <w:lvlText w:val="%1-"/>
      <w:lvlJc w:val="left"/>
      <w:pPr>
        <w:ind w:left="750" w:hanging="390"/>
      </w:pPr>
      <w:rPr>
        <w:rFonts w:cs="Times New Roman"/>
        <w:b/>
        <w:color w:val="auto"/>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 w15:restartNumberingAfterBreak="0">
    <w:nsid w:val="00FB5135"/>
    <w:multiLevelType w:val="hybridMultilevel"/>
    <w:tmpl w:val="F9A4961A"/>
    <w:lvl w:ilvl="0" w:tplc="2486A2C6">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 w15:restartNumberingAfterBreak="0">
    <w:nsid w:val="01263F6C"/>
    <w:multiLevelType w:val="multilevel"/>
    <w:tmpl w:val="817C032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01776D86"/>
    <w:multiLevelType w:val="hybridMultilevel"/>
    <w:tmpl w:val="EA80D93E"/>
    <w:lvl w:ilvl="0" w:tplc="140A0017">
      <w:start w:val="1"/>
      <w:numFmt w:val="lowerLetter"/>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1" w15:restartNumberingAfterBreak="0">
    <w:nsid w:val="023F6359"/>
    <w:multiLevelType w:val="hybridMultilevel"/>
    <w:tmpl w:val="E1505500"/>
    <w:styleLink w:val="WWNum714112111"/>
    <w:lvl w:ilvl="0" w:tplc="140A0001">
      <w:numFmt w:val="decimal"/>
      <w:lvlText w:val=""/>
      <w:lvlJc w:val="left"/>
      <w:pPr>
        <w:ind w:left="1068"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12" w15:restartNumberingAfterBreak="0">
    <w:nsid w:val="029D7234"/>
    <w:multiLevelType w:val="hybridMultilevel"/>
    <w:tmpl w:val="E49A8D94"/>
    <w:lvl w:ilvl="0" w:tplc="E3700314">
      <w:start w:val="1"/>
      <w:numFmt w:val="decimal"/>
      <w:lvlText w:val="%1."/>
      <w:lvlJc w:val="left"/>
      <w:pPr>
        <w:ind w:left="720" w:hanging="360"/>
      </w:pPr>
      <w:rPr>
        <w:i w:val="0"/>
        <w:iCs w:val="0"/>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3" w15:restartNumberingAfterBreak="0">
    <w:nsid w:val="02AA57E2"/>
    <w:multiLevelType w:val="hybridMultilevel"/>
    <w:tmpl w:val="2E36557A"/>
    <w:styleLink w:val="WWNum51111"/>
    <w:lvl w:ilvl="0" w:tplc="C55862C8">
      <w:start w:val="1"/>
      <w:numFmt w:val="upperRoman"/>
      <w:lvlText w:val="%1."/>
      <w:lvlJc w:val="left"/>
      <w:pPr>
        <w:tabs>
          <w:tab w:val="num" w:pos="1620"/>
        </w:tabs>
        <w:ind w:left="1620" w:hanging="720"/>
      </w:pPr>
      <w:rPr>
        <w:b/>
        <w:bCs/>
      </w:rPr>
    </w:lvl>
    <w:lvl w:ilvl="1" w:tplc="0C0A0019">
      <w:start w:val="1"/>
      <w:numFmt w:val="lowerLetter"/>
      <w:lvlText w:val="%2."/>
      <w:lvlJc w:val="left"/>
      <w:pPr>
        <w:tabs>
          <w:tab w:val="num" w:pos="1788"/>
        </w:tabs>
        <w:ind w:left="1788" w:hanging="360"/>
      </w:pPr>
    </w:lvl>
    <w:lvl w:ilvl="2" w:tplc="0C0A001B">
      <w:start w:val="1"/>
      <w:numFmt w:val="lowerRoman"/>
      <w:lvlText w:val="%3."/>
      <w:lvlJc w:val="right"/>
      <w:pPr>
        <w:tabs>
          <w:tab w:val="num" w:pos="2508"/>
        </w:tabs>
        <w:ind w:left="2508" w:hanging="180"/>
      </w:pPr>
    </w:lvl>
    <w:lvl w:ilvl="3" w:tplc="0C0A000F">
      <w:start w:val="1"/>
      <w:numFmt w:val="decimal"/>
      <w:lvlText w:val="%4."/>
      <w:lvlJc w:val="left"/>
      <w:pPr>
        <w:tabs>
          <w:tab w:val="num" w:pos="3228"/>
        </w:tabs>
        <w:ind w:left="3228" w:hanging="360"/>
      </w:pPr>
    </w:lvl>
    <w:lvl w:ilvl="4" w:tplc="0C0A0019">
      <w:start w:val="1"/>
      <w:numFmt w:val="lowerLetter"/>
      <w:lvlText w:val="%5."/>
      <w:lvlJc w:val="left"/>
      <w:pPr>
        <w:tabs>
          <w:tab w:val="num" w:pos="3948"/>
        </w:tabs>
        <w:ind w:left="3948" w:hanging="360"/>
      </w:pPr>
    </w:lvl>
    <w:lvl w:ilvl="5" w:tplc="0C0A001B">
      <w:start w:val="1"/>
      <w:numFmt w:val="lowerRoman"/>
      <w:lvlText w:val="%6."/>
      <w:lvlJc w:val="right"/>
      <w:pPr>
        <w:tabs>
          <w:tab w:val="num" w:pos="4668"/>
        </w:tabs>
        <w:ind w:left="4668" w:hanging="180"/>
      </w:pPr>
    </w:lvl>
    <w:lvl w:ilvl="6" w:tplc="0C0A000F">
      <w:start w:val="1"/>
      <w:numFmt w:val="decimal"/>
      <w:lvlText w:val="%7."/>
      <w:lvlJc w:val="left"/>
      <w:pPr>
        <w:tabs>
          <w:tab w:val="num" w:pos="5388"/>
        </w:tabs>
        <w:ind w:left="5388" w:hanging="360"/>
      </w:pPr>
    </w:lvl>
    <w:lvl w:ilvl="7" w:tplc="0C0A0019">
      <w:start w:val="1"/>
      <w:numFmt w:val="lowerLetter"/>
      <w:lvlText w:val="%8."/>
      <w:lvlJc w:val="left"/>
      <w:pPr>
        <w:tabs>
          <w:tab w:val="num" w:pos="6108"/>
        </w:tabs>
        <w:ind w:left="6108" w:hanging="360"/>
      </w:pPr>
    </w:lvl>
    <w:lvl w:ilvl="8" w:tplc="0C0A001B">
      <w:start w:val="1"/>
      <w:numFmt w:val="lowerRoman"/>
      <w:lvlText w:val="%9."/>
      <w:lvlJc w:val="right"/>
      <w:pPr>
        <w:tabs>
          <w:tab w:val="num" w:pos="6828"/>
        </w:tabs>
        <w:ind w:left="6828" w:hanging="180"/>
      </w:pPr>
    </w:lvl>
  </w:abstractNum>
  <w:abstractNum w:abstractNumId="14" w15:restartNumberingAfterBreak="0">
    <w:nsid w:val="02AF113E"/>
    <w:multiLevelType w:val="hybridMultilevel"/>
    <w:tmpl w:val="93F25992"/>
    <w:styleLink w:val="WWNum411321111"/>
    <w:lvl w:ilvl="0" w:tplc="140A000F">
      <w:start w:val="1"/>
      <w:numFmt w:val="decimal"/>
      <w:lvlText w:val="%1."/>
      <w:lvlJc w:val="left"/>
      <w:pPr>
        <w:ind w:left="768" w:hanging="360"/>
      </w:pPr>
    </w:lvl>
    <w:lvl w:ilvl="1" w:tplc="140A0019">
      <w:start w:val="1"/>
      <w:numFmt w:val="lowerLetter"/>
      <w:lvlText w:val="%2."/>
      <w:lvlJc w:val="left"/>
      <w:pPr>
        <w:ind w:left="1488" w:hanging="360"/>
      </w:pPr>
    </w:lvl>
    <w:lvl w:ilvl="2" w:tplc="140A001B">
      <w:start w:val="1"/>
      <w:numFmt w:val="lowerRoman"/>
      <w:lvlText w:val="%3."/>
      <w:lvlJc w:val="right"/>
      <w:pPr>
        <w:ind w:left="2208" w:hanging="180"/>
      </w:pPr>
    </w:lvl>
    <w:lvl w:ilvl="3" w:tplc="140A000F">
      <w:start w:val="1"/>
      <w:numFmt w:val="decimal"/>
      <w:lvlText w:val="%4."/>
      <w:lvlJc w:val="left"/>
      <w:pPr>
        <w:ind w:left="2928" w:hanging="360"/>
      </w:pPr>
    </w:lvl>
    <w:lvl w:ilvl="4" w:tplc="140A0019">
      <w:start w:val="1"/>
      <w:numFmt w:val="lowerLetter"/>
      <w:lvlText w:val="%5."/>
      <w:lvlJc w:val="left"/>
      <w:pPr>
        <w:ind w:left="3648" w:hanging="360"/>
      </w:pPr>
    </w:lvl>
    <w:lvl w:ilvl="5" w:tplc="140A001B">
      <w:start w:val="1"/>
      <w:numFmt w:val="lowerRoman"/>
      <w:lvlText w:val="%6."/>
      <w:lvlJc w:val="right"/>
      <w:pPr>
        <w:ind w:left="4368" w:hanging="180"/>
      </w:pPr>
    </w:lvl>
    <w:lvl w:ilvl="6" w:tplc="140A000F">
      <w:start w:val="1"/>
      <w:numFmt w:val="decimal"/>
      <w:lvlText w:val="%7."/>
      <w:lvlJc w:val="left"/>
      <w:pPr>
        <w:ind w:left="5088" w:hanging="360"/>
      </w:pPr>
    </w:lvl>
    <w:lvl w:ilvl="7" w:tplc="140A0019">
      <w:start w:val="1"/>
      <w:numFmt w:val="lowerLetter"/>
      <w:lvlText w:val="%8."/>
      <w:lvlJc w:val="left"/>
      <w:pPr>
        <w:ind w:left="5808" w:hanging="360"/>
      </w:pPr>
    </w:lvl>
    <w:lvl w:ilvl="8" w:tplc="140A001B">
      <w:start w:val="1"/>
      <w:numFmt w:val="lowerRoman"/>
      <w:lvlText w:val="%9."/>
      <w:lvlJc w:val="right"/>
      <w:pPr>
        <w:ind w:left="6528" w:hanging="180"/>
      </w:pPr>
    </w:lvl>
  </w:abstractNum>
  <w:abstractNum w:abstractNumId="15" w15:restartNumberingAfterBreak="0">
    <w:nsid w:val="0320BA70"/>
    <w:multiLevelType w:val="singleLevel"/>
    <w:tmpl w:val="725B8421"/>
    <w:styleLink w:val="WWNum7131121"/>
    <w:lvl w:ilvl="0">
      <w:start w:val="10"/>
      <w:numFmt w:val="decimal"/>
      <w:lvlText w:val="%1)"/>
      <w:lvlJc w:val="left"/>
      <w:pPr>
        <w:tabs>
          <w:tab w:val="num" w:pos="288"/>
        </w:tabs>
        <w:ind w:left="1296" w:hanging="288"/>
      </w:pPr>
      <w:rPr>
        <w:i/>
        <w:iCs/>
        <w:spacing w:val="14"/>
        <w:sz w:val="24"/>
        <w:szCs w:val="24"/>
      </w:rPr>
    </w:lvl>
  </w:abstractNum>
  <w:abstractNum w:abstractNumId="16" w15:restartNumberingAfterBreak="0">
    <w:nsid w:val="032562DA"/>
    <w:multiLevelType w:val="hybridMultilevel"/>
    <w:tmpl w:val="B1B055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036E373D"/>
    <w:multiLevelType w:val="hybridMultilevel"/>
    <w:tmpl w:val="ABFC7D4A"/>
    <w:styleLink w:val="WWNum914121"/>
    <w:lvl w:ilvl="0" w:tplc="FFFFFFFF">
      <w:start w:val="1"/>
      <w:numFmt w:val="bullet"/>
      <w:pStyle w:val="Ttulo2Procedimiento"/>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Times New Roman"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Times New Roman"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03A637A8"/>
    <w:multiLevelType w:val="hybridMultilevel"/>
    <w:tmpl w:val="BCDCCF66"/>
    <w:lvl w:ilvl="0" w:tplc="1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3F75789"/>
    <w:multiLevelType w:val="hybridMultilevel"/>
    <w:tmpl w:val="E3560986"/>
    <w:lvl w:ilvl="0" w:tplc="665C5C94">
      <w:start w:val="1"/>
      <w:numFmt w:val="lowerLetter"/>
      <w:lvlText w:val="%1)"/>
      <w:lvlJc w:val="left"/>
      <w:pPr>
        <w:ind w:left="1146"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04C7748C"/>
    <w:multiLevelType w:val="multilevel"/>
    <w:tmpl w:val="FF528A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057E6B01"/>
    <w:multiLevelType w:val="hybridMultilevel"/>
    <w:tmpl w:val="92F8BD0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05A540ED"/>
    <w:multiLevelType w:val="hybridMultilevel"/>
    <w:tmpl w:val="9E280FEA"/>
    <w:lvl w:ilvl="0" w:tplc="FAB0EFB2">
      <w:start w:val="1"/>
      <w:numFmt w:val="bullet"/>
      <w:lvlText w:val=""/>
      <w:lvlJc w:val="left"/>
      <w:pPr>
        <w:ind w:left="360" w:hanging="360"/>
      </w:pPr>
      <w:rPr>
        <w:rFonts w:ascii="Symbol" w:hAnsi="Symbol" w:hint="default"/>
        <w:color w:val="0070C0"/>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3" w15:restartNumberingAfterBreak="0">
    <w:nsid w:val="05EC62F2"/>
    <w:multiLevelType w:val="hybridMultilevel"/>
    <w:tmpl w:val="4898827E"/>
    <w:styleLink w:val="WWNum91221111"/>
    <w:lvl w:ilvl="0" w:tplc="A44ECA18">
      <w:start w:val="1"/>
      <w:numFmt w:val="decimal"/>
      <w:lvlText w:val="%1."/>
      <w:lvlJc w:val="left"/>
      <w:pPr>
        <w:ind w:left="720" w:hanging="360"/>
      </w:pPr>
      <w:rPr>
        <w:rFonts w:ascii="Times New Roman" w:eastAsia="Calibri" w:hAnsi="Times New Roman" w:cs="Times New Roman" w:hint="default"/>
        <w:sz w:val="26"/>
        <w:szCs w:val="26"/>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4" w15:restartNumberingAfterBreak="0">
    <w:nsid w:val="06297388"/>
    <w:multiLevelType w:val="multilevel"/>
    <w:tmpl w:val="FFFFFFFF"/>
    <w:name w:val="WW8Num19"/>
    <w:styleLink w:val="WWNum911222111"/>
    <w:lvl w:ilvl="0">
      <w:start w:val="1"/>
      <w:numFmt w:val="decimal"/>
      <w:suff w:val="nothing"/>
      <w:lvlText w:val=""/>
      <w:lvlJc w:val="left"/>
      <w:pPr>
        <w:tabs>
          <w:tab w:val="num" w:pos="432"/>
        </w:tabs>
        <w:ind w:left="432" w:hanging="432"/>
      </w:pPr>
      <w:rPr>
        <w:rFonts w:cs="Times New Roman"/>
      </w:rPr>
    </w:lvl>
    <w:lvl w:ilvl="1">
      <w:start w:val="1"/>
      <w:numFmt w:val="decimal"/>
      <w:suff w:val="nothing"/>
      <w:lvlText w:val=""/>
      <w:lvlJc w:val="left"/>
      <w:pPr>
        <w:tabs>
          <w:tab w:val="num" w:pos="576"/>
        </w:tabs>
        <w:ind w:left="576" w:hanging="576"/>
      </w:pPr>
      <w:rPr>
        <w:rFonts w:cs="Times New Roman"/>
      </w:rPr>
    </w:lvl>
    <w:lvl w:ilvl="2">
      <w:start w:val="1"/>
      <w:numFmt w:val="decimal"/>
      <w:suff w:val="nothing"/>
      <w:lvlText w:val=""/>
      <w:lvlJc w:val="left"/>
      <w:pPr>
        <w:tabs>
          <w:tab w:val="num" w:pos="720"/>
        </w:tabs>
        <w:ind w:left="720" w:hanging="720"/>
      </w:pPr>
      <w:rPr>
        <w:rFonts w:cs="Times New Roman"/>
      </w:rPr>
    </w:lvl>
    <w:lvl w:ilvl="3">
      <w:start w:val="1"/>
      <w:numFmt w:val="decimal"/>
      <w:suff w:val="nothing"/>
      <w:lvlText w:val=""/>
      <w:lvlJc w:val="left"/>
      <w:pPr>
        <w:tabs>
          <w:tab w:val="num" w:pos="864"/>
        </w:tabs>
        <w:ind w:left="864" w:hanging="864"/>
      </w:pPr>
      <w:rPr>
        <w:rFonts w:cs="Times New Roman"/>
      </w:rPr>
    </w:lvl>
    <w:lvl w:ilvl="4">
      <w:start w:val="1"/>
      <w:numFmt w:val="decimal"/>
      <w:suff w:val="nothing"/>
      <w:lvlText w:val=""/>
      <w:lvlJc w:val="left"/>
      <w:pPr>
        <w:tabs>
          <w:tab w:val="num" w:pos="1008"/>
        </w:tabs>
        <w:ind w:left="1008" w:hanging="1008"/>
      </w:pPr>
      <w:rPr>
        <w:rFonts w:cs="Times New Roman"/>
      </w:rPr>
    </w:lvl>
    <w:lvl w:ilvl="5">
      <w:start w:val="1"/>
      <w:numFmt w:val="decimal"/>
      <w:suff w:val="nothing"/>
      <w:lvlText w:val=""/>
      <w:lvlJc w:val="left"/>
      <w:pPr>
        <w:tabs>
          <w:tab w:val="num" w:pos="1152"/>
        </w:tabs>
        <w:ind w:left="1152" w:hanging="1152"/>
      </w:pPr>
      <w:rPr>
        <w:rFonts w:cs="Times New Roman"/>
      </w:rPr>
    </w:lvl>
    <w:lvl w:ilvl="6">
      <w:start w:val="1"/>
      <w:numFmt w:val="decimal"/>
      <w:pStyle w:val="Encabezado7"/>
      <w:suff w:val="nothing"/>
      <w:lvlText w:val=""/>
      <w:lvlJc w:val="left"/>
      <w:pPr>
        <w:tabs>
          <w:tab w:val="num" w:pos="1296"/>
        </w:tabs>
        <w:ind w:left="1296" w:hanging="1296"/>
      </w:pPr>
      <w:rPr>
        <w:rFonts w:cs="Times New Roman"/>
      </w:rPr>
    </w:lvl>
    <w:lvl w:ilvl="7">
      <w:start w:val="1"/>
      <w:numFmt w:val="decimal"/>
      <w:suff w:val="nothing"/>
      <w:lvlText w:val=""/>
      <w:lvlJc w:val="left"/>
      <w:pPr>
        <w:tabs>
          <w:tab w:val="num" w:pos="1440"/>
        </w:tabs>
        <w:ind w:left="1440" w:hanging="1440"/>
      </w:pPr>
      <w:rPr>
        <w:rFonts w:cs="Times New Roman"/>
      </w:rPr>
    </w:lvl>
    <w:lvl w:ilvl="8">
      <w:start w:val="1"/>
      <w:numFmt w:val="decimal"/>
      <w:suff w:val="nothing"/>
      <w:lvlText w:val=""/>
      <w:lvlJc w:val="left"/>
      <w:pPr>
        <w:tabs>
          <w:tab w:val="num" w:pos="1584"/>
        </w:tabs>
        <w:ind w:left="1584" w:hanging="1584"/>
      </w:pPr>
      <w:rPr>
        <w:rFonts w:cs="Times New Roman"/>
      </w:rPr>
    </w:lvl>
  </w:abstractNum>
  <w:abstractNum w:abstractNumId="25" w15:restartNumberingAfterBreak="0">
    <w:nsid w:val="08A54C86"/>
    <w:multiLevelType w:val="hybridMultilevel"/>
    <w:tmpl w:val="E61C62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0B4F14E1"/>
    <w:multiLevelType w:val="hybridMultilevel"/>
    <w:tmpl w:val="6458E4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0BAE4245"/>
    <w:multiLevelType w:val="multilevel"/>
    <w:tmpl w:val="746A9F94"/>
    <w:lvl w:ilvl="0">
      <w:start w:val="1"/>
      <w:numFmt w:val="decimal"/>
      <w:lvlText w:val="Gráfico %1"/>
      <w:lvlJc w:val="left"/>
      <w:pPr>
        <w:ind w:left="6171" w:hanging="360"/>
      </w:pPr>
      <w:rPr>
        <w:rFonts w:ascii="Book Antiqua" w:hAnsi="Book Antiqua" w:hint="default"/>
        <w:b/>
        <w:bCs/>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0C542B33"/>
    <w:multiLevelType w:val="multilevel"/>
    <w:tmpl w:val="F1C0EAFA"/>
    <w:styleLink w:val="WWNum711111"/>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CDF7B29"/>
    <w:multiLevelType w:val="multilevel"/>
    <w:tmpl w:val="12C2F514"/>
    <w:styleLink w:val="WWNum4113221"/>
    <w:lvl w:ilvl="0">
      <w:start w:val="1"/>
      <w:numFmt w:val="decimal"/>
      <w:lvlText w:val="%1."/>
      <w:lvlJc w:val="left"/>
      <w:pPr>
        <w:ind w:left="720" w:hanging="360"/>
      </w:pPr>
    </w:lvl>
    <w:lvl w:ilvl="1">
      <w:start w:val="1"/>
      <w:numFmt w:val="decimal"/>
      <w:isLgl/>
      <w:lvlText w:val="%1.%2"/>
      <w:lvlJc w:val="left"/>
      <w:pPr>
        <w:ind w:left="1080" w:hanging="360"/>
      </w:pPr>
      <w:rPr>
        <w:rFonts w:eastAsia="Times New Roman"/>
        <w:color w:val="000000" w:themeColor="text1"/>
      </w:rPr>
    </w:lvl>
    <w:lvl w:ilvl="2">
      <w:start w:val="1"/>
      <w:numFmt w:val="decimal"/>
      <w:isLgl/>
      <w:lvlText w:val="%1.%2.%3"/>
      <w:lvlJc w:val="left"/>
      <w:pPr>
        <w:ind w:left="1800" w:hanging="720"/>
      </w:pPr>
      <w:rPr>
        <w:rFonts w:eastAsia="Times New Roman"/>
        <w:color w:val="000000" w:themeColor="text1"/>
      </w:rPr>
    </w:lvl>
    <w:lvl w:ilvl="3">
      <w:start w:val="1"/>
      <w:numFmt w:val="decimal"/>
      <w:isLgl/>
      <w:lvlText w:val="%1.%2.%3.%4"/>
      <w:lvlJc w:val="left"/>
      <w:pPr>
        <w:ind w:left="2160" w:hanging="720"/>
      </w:pPr>
      <w:rPr>
        <w:rFonts w:eastAsia="Times New Roman"/>
        <w:color w:val="000000" w:themeColor="text1"/>
      </w:rPr>
    </w:lvl>
    <w:lvl w:ilvl="4">
      <w:start w:val="1"/>
      <w:numFmt w:val="decimal"/>
      <w:isLgl/>
      <w:lvlText w:val="%1.%2.%3.%4.%5"/>
      <w:lvlJc w:val="left"/>
      <w:pPr>
        <w:ind w:left="2880" w:hanging="1080"/>
      </w:pPr>
      <w:rPr>
        <w:rFonts w:eastAsia="Times New Roman"/>
        <w:color w:val="000000" w:themeColor="text1"/>
      </w:rPr>
    </w:lvl>
    <w:lvl w:ilvl="5">
      <w:start w:val="1"/>
      <w:numFmt w:val="decimal"/>
      <w:isLgl/>
      <w:lvlText w:val="%1.%2.%3.%4.%5.%6"/>
      <w:lvlJc w:val="left"/>
      <w:pPr>
        <w:ind w:left="3240" w:hanging="1080"/>
      </w:pPr>
      <w:rPr>
        <w:rFonts w:eastAsia="Times New Roman"/>
        <w:color w:val="000000" w:themeColor="text1"/>
      </w:rPr>
    </w:lvl>
    <w:lvl w:ilvl="6">
      <w:start w:val="1"/>
      <w:numFmt w:val="decimal"/>
      <w:isLgl/>
      <w:lvlText w:val="%1.%2.%3.%4.%5.%6.%7"/>
      <w:lvlJc w:val="left"/>
      <w:pPr>
        <w:ind w:left="3960" w:hanging="1440"/>
      </w:pPr>
      <w:rPr>
        <w:rFonts w:eastAsia="Times New Roman"/>
        <w:color w:val="000000" w:themeColor="text1"/>
      </w:rPr>
    </w:lvl>
    <w:lvl w:ilvl="7">
      <w:start w:val="1"/>
      <w:numFmt w:val="decimal"/>
      <w:isLgl/>
      <w:lvlText w:val="%1.%2.%3.%4.%5.%6.%7.%8"/>
      <w:lvlJc w:val="left"/>
      <w:pPr>
        <w:ind w:left="4320" w:hanging="1440"/>
      </w:pPr>
      <w:rPr>
        <w:rFonts w:eastAsia="Times New Roman"/>
        <w:color w:val="000000" w:themeColor="text1"/>
      </w:rPr>
    </w:lvl>
    <w:lvl w:ilvl="8">
      <w:start w:val="1"/>
      <w:numFmt w:val="decimal"/>
      <w:isLgl/>
      <w:lvlText w:val="%1.%2.%3.%4.%5.%6.%7.%8.%9"/>
      <w:lvlJc w:val="left"/>
      <w:pPr>
        <w:ind w:left="5040" w:hanging="1800"/>
      </w:pPr>
      <w:rPr>
        <w:rFonts w:eastAsia="Times New Roman"/>
        <w:color w:val="000000" w:themeColor="text1"/>
      </w:rPr>
    </w:lvl>
  </w:abstractNum>
  <w:abstractNum w:abstractNumId="30" w15:restartNumberingAfterBreak="0">
    <w:nsid w:val="0D105000"/>
    <w:multiLevelType w:val="hybridMultilevel"/>
    <w:tmpl w:val="997A57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0E102151"/>
    <w:multiLevelType w:val="hybridMultilevel"/>
    <w:tmpl w:val="6186C996"/>
    <w:styleLink w:val="WWNum712121"/>
    <w:lvl w:ilvl="0" w:tplc="F604AF8E">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2" w15:restartNumberingAfterBreak="0">
    <w:nsid w:val="0F0D2287"/>
    <w:multiLevelType w:val="hybridMultilevel"/>
    <w:tmpl w:val="9F1A5164"/>
    <w:lvl w:ilvl="0" w:tplc="E018ADA4">
      <w:start w:val="1"/>
      <w:numFmt w:val="lowerLetter"/>
      <w:lvlText w:val="%1)"/>
      <w:lvlJc w:val="left"/>
      <w:pPr>
        <w:ind w:left="1146"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0F764900"/>
    <w:multiLevelType w:val="multilevel"/>
    <w:tmpl w:val="3E7A263E"/>
    <w:lvl w:ilvl="0">
      <w:start w:val="1"/>
      <w:numFmt w:val="decimal"/>
      <w:lvlText w:val="%1."/>
      <w:lvlJc w:val="left"/>
      <w:pPr>
        <w:ind w:left="720" w:hanging="360"/>
      </w:pPr>
    </w:lvl>
    <w:lvl w:ilvl="1">
      <w:start w:val="1"/>
      <w:numFmt w:val="decimal"/>
      <w:isLgl/>
      <w:lvlText w:val="%1.%2"/>
      <w:lvlJc w:val="left"/>
      <w:pPr>
        <w:ind w:left="720" w:hanging="360"/>
      </w:pPr>
      <w:rPr>
        <w:rFonts w:hint="default"/>
        <w:b/>
        <w:bCs/>
        <w:i w:val="0"/>
        <w:i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0FFA2E4D"/>
    <w:multiLevelType w:val="hybridMultilevel"/>
    <w:tmpl w:val="0EB815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112E57C8"/>
    <w:multiLevelType w:val="hybridMultilevel"/>
    <w:tmpl w:val="B586880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14CF7894"/>
    <w:multiLevelType w:val="multilevel"/>
    <w:tmpl w:val="48B80D48"/>
    <w:lvl w:ilvl="0">
      <w:start w:val="1"/>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152E3B0A"/>
    <w:multiLevelType w:val="hybridMultilevel"/>
    <w:tmpl w:val="219228A2"/>
    <w:lvl w:ilvl="0" w:tplc="29C00D48">
      <w:start w:val="4"/>
      <w:numFmt w:val="decimal"/>
      <w:lvlText w:val="%1."/>
      <w:lvlJc w:val="left"/>
      <w:pPr>
        <w:ind w:left="644" w:hanging="360"/>
      </w:pPr>
    </w:lvl>
    <w:lvl w:ilvl="1" w:tplc="140A0019">
      <w:start w:val="1"/>
      <w:numFmt w:val="lowerLetter"/>
      <w:lvlText w:val="%2."/>
      <w:lvlJc w:val="left"/>
      <w:pPr>
        <w:ind w:left="1364" w:hanging="360"/>
      </w:pPr>
    </w:lvl>
    <w:lvl w:ilvl="2" w:tplc="140A001B">
      <w:start w:val="1"/>
      <w:numFmt w:val="lowerRoman"/>
      <w:lvlText w:val="%3."/>
      <w:lvlJc w:val="right"/>
      <w:pPr>
        <w:ind w:left="2084" w:hanging="180"/>
      </w:pPr>
    </w:lvl>
    <w:lvl w:ilvl="3" w:tplc="140A000F">
      <w:start w:val="1"/>
      <w:numFmt w:val="decimal"/>
      <w:lvlText w:val="%4."/>
      <w:lvlJc w:val="left"/>
      <w:pPr>
        <w:ind w:left="2804" w:hanging="360"/>
      </w:pPr>
    </w:lvl>
    <w:lvl w:ilvl="4" w:tplc="140A0019">
      <w:start w:val="1"/>
      <w:numFmt w:val="lowerLetter"/>
      <w:lvlText w:val="%5."/>
      <w:lvlJc w:val="left"/>
      <w:pPr>
        <w:ind w:left="3524" w:hanging="360"/>
      </w:pPr>
    </w:lvl>
    <w:lvl w:ilvl="5" w:tplc="140A001B">
      <w:start w:val="1"/>
      <w:numFmt w:val="lowerRoman"/>
      <w:lvlText w:val="%6."/>
      <w:lvlJc w:val="right"/>
      <w:pPr>
        <w:ind w:left="4244" w:hanging="180"/>
      </w:pPr>
    </w:lvl>
    <w:lvl w:ilvl="6" w:tplc="140A000F">
      <w:start w:val="1"/>
      <w:numFmt w:val="decimal"/>
      <w:lvlText w:val="%7."/>
      <w:lvlJc w:val="left"/>
      <w:pPr>
        <w:ind w:left="4964" w:hanging="360"/>
      </w:pPr>
    </w:lvl>
    <w:lvl w:ilvl="7" w:tplc="140A0019">
      <w:start w:val="1"/>
      <w:numFmt w:val="lowerLetter"/>
      <w:lvlText w:val="%8."/>
      <w:lvlJc w:val="left"/>
      <w:pPr>
        <w:ind w:left="5684" w:hanging="360"/>
      </w:pPr>
    </w:lvl>
    <w:lvl w:ilvl="8" w:tplc="140A001B">
      <w:start w:val="1"/>
      <w:numFmt w:val="lowerRoman"/>
      <w:lvlText w:val="%9."/>
      <w:lvlJc w:val="right"/>
      <w:pPr>
        <w:ind w:left="6404" w:hanging="180"/>
      </w:pPr>
    </w:lvl>
  </w:abstractNum>
  <w:abstractNum w:abstractNumId="38" w15:restartNumberingAfterBreak="0">
    <w:nsid w:val="15673C96"/>
    <w:multiLevelType w:val="hybridMultilevel"/>
    <w:tmpl w:val="2978515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16416336"/>
    <w:multiLevelType w:val="multilevel"/>
    <w:tmpl w:val="D7C09292"/>
    <w:lvl w:ilvl="0">
      <w:start w:val="1"/>
      <w:numFmt w:val="upperRoman"/>
      <w:lvlText w:val="%1."/>
      <w:lvlJc w:val="left"/>
      <w:pPr>
        <w:ind w:left="0" w:firstLine="0"/>
      </w:pPr>
      <w:rPr>
        <w:color w:val="auto"/>
      </w:rPr>
    </w:lvl>
    <w:lvl w:ilvl="1">
      <w:start w:val="1"/>
      <w:numFmt w:val="low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0" w15:restartNumberingAfterBreak="0">
    <w:nsid w:val="17247B93"/>
    <w:multiLevelType w:val="hybridMultilevel"/>
    <w:tmpl w:val="6D5A88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1727568D"/>
    <w:multiLevelType w:val="multilevel"/>
    <w:tmpl w:val="66B00D4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1750053E"/>
    <w:multiLevelType w:val="multilevel"/>
    <w:tmpl w:val="9872E6D2"/>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18094604"/>
    <w:multiLevelType w:val="multilevel"/>
    <w:tmpl w:val="1C02F070"/>
    <w:lvl w:ilvl="0">
      <w:start w:val="1"/>
      <w:numFmt w:val="decimal"/>
      <w:lvlText w:val="%1."/>
      <w:lvlJc w:val="left"/>
      <w:pPr>
        <w:ind w:left="-207" w:hanging="360"/>
      </w:pPr>
      <w:rPr>
        <w:rFonts w:hint="default"/>
        <w:b w:val="0"/>
        <w:sz w:val="24"/>
        <w:u w:val="none"/>
      </w:rPr>
    </w:lvl>
    <w:lvl w:ilvl="1">
      <w:start w:val="1"/>
      <w:numFmt w:val="decimal"/>
      <w:isLgl/>
      <w:lvlText w:val="%1.%2."/>
      <w:lvlJc w:val="left"/>
      <w:pPr>
        <w:ind w:left="720"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781" w:hanging="1080"/>
      </w:pPr>
      <w:rPr>
        <w:rFonts w:hint="default"/>
      </w:rPr>
    </w:lvl>
    <w:lvl w:ilvl="5">
      <w:start w:val="1"/>
      <w:numFmt w:val="decimal"/>
      <w:isLgl/>
      <w:lvlText w:val="%1.%2.%3.%4.%5.%6."/>
      <w:lvlJc w:val="left"/>
      <w:pPr>
        <w:ind w:left="3708" w:hanging="1440"/>
      </w:pPr>
      <w:rPr>
        <w:rFonts w:hint="default"/>
      </w:rPr>
    </w:lvl>
    <w:lvl w:ilvl="6">
      <w:start w:val="1"/>
      <w:numFmt w:val="decimal"/>
      <w:isLgl/>
      <w:lvlText w:val="%1.%2.%3.%4.%5.%6.%7."/>
      <w:lvlJc w:val="left"/>
      <w:pPr>
        <w:ind w:left="4275" w:hanging="1440"/>
      </w:pPr>
      <w:rPr>
        <w:rFonts w:hint="default"/>
      </w:rPr>
    </w:lvl>
    <w:lvl w:ilvl="7">
      <w:start w:val="1"/>
      <w:numFmt w:val="decimal"/>
      <w:isLgl/>
      <w:lvlText w:val="%1.%2.%3.%4.%5.%6.%7.%8."/>
      <w:lvlJc w:val="left"/>
      <w:pPr>
        <w:ind w:left="5202" w:hanging="1800"/>
      </w:pPr>
      <w:rPr>
        <w:rFonts w:hint="default"/>
      </w:rPr>
    </w:lvl>
    <w:lvl w:ilvl="8">
      <w:start w:val="1"/>
      <w:numFmt w:val="decimal"/>
      <w:isLgl/>
      <w:lvlText w:val="%1.%2.%3.%4.%5.%6.%7.%8.%9."/>
      <w:lvlJc w:val="left"/>
      <w:pPr>
        <w:ind w:left="5769" w:hanging="1800"/>
      </w:pPr>
      <w:rPr>
        <w:rFonts w:hint="default"/>
      </w:rPr>
    </w:lvl>
  </w:abstractNum>
  <w:abstractNum w:abstractNumId="44" w15:restartNumberingAfterBreak="0">
    <w:nsid w:val="186812AD"/>
    <w:multiLevelType w:val="hybridMultilevel"/>
    <w:tmpl w:val="79C60C1C"/>
    <w:styleLink w:val="WWNum3142111"/>
    <w:lvl w:ilvl="0" w:tplc="44A4AA60">
      <w:start w:val="1"/>
      <w:numFmt w:val="bullet"/>
      <w:pStyle w:val="xl40"/>
      <w:lvlText w:val=""/>
      <w:lvlJc w:val="left"/>
      <w:pPr>
        <w:tabs>
          <w:tab w:val="num" w:pos="540"/>
        </w:tabs>
        <w:ind w:left="540" w:hanging="360"/>
      </w:pPr>
      <w:rPr>
        <w:rFonts w:ascii="Wingdings" w:hAnsi="Wingdings" w:hint="default"/>
      </w:rPr>
    </w:lvl>
    <w:lvl w:ilvl="1" w:tplc="A51A51AC">
      <w:start w:val="1"/>
      <w:numFmt w:val="bullet"/>
      <w:lvlText w:val="o"/>
      <w:lvlJc w:val="left"/>
      <w:pPr>
        <w:tabs>
          <w:tab w:val="num" w:pos="1440"/>
        </w:tabs>
        <w:ind w:left="1440" w:hanging="360"/>
      </w:pPr>
      <w:rPr>
        <w:rFonts w:ascii="Courier New" w:hAnsi="Courier New" w:cs="Times New Roman" w:hint="default"/>
      </w:rPr>
    </w:lvl>
    <w:lvl w:ilvl="2" w:tplc="CE68E41A">
      <w:start w:val="1"/>
      <w:numFmt w:val="bullet"/>
      <w:lvlText w:val=""/>
      <w:lvlJc w:val="left"/>
      <w:pPr>
        <w:tabs>
          <w:tab w:val="num" w:pos="2160"/>
        </w:tabs>
        <w:ind w:left="2160" w:hanging="360"/>
      </w:pPr>
      <w:rPr>
        <w:rFonts w:ascii="Wingdings" w:hAnsi="Wingdings" w:hint="default"/>
      </w:rPr>
    </w:lvl>
    <w:lvl w:ilvl="3" w:tplc="5B3A1EC6">
      <w:start w:val="1"/>
      <w:numFmt w:val="bullet"/>
      <w:lvlText w:val=""/>
      <w:lvlJc w:val="left"/>
      <w:pPr>
        <w:tabs>
          <w:tab w:val="num" w:pos="2880"/>
        </w:tabs>
        <w:ind w:left="2880" w:hanging="360"/>
      </w:pPr>
      <w:rPr>
        <w:rFonts w:ascii="Symbol" w:hAnsi="Symbol" w:hint="default"/>
      </w:rPr>
    </w:lvl>
    <w:lvl w:ilvl="4" w:tplc="DF86C780">
      <w:start w:val="1"/>
      <w:numFmt w:val="bullet"/>
      <w:lvlText w:val="o"/>
      <w:lvlJc w:val="left"/>
      <w:pPr>
        <w:tabs>
          <w:tab w:val="num" w:pos="3600"/>
        </w:tabs>
        <w:ind w:left="3600" w:hanging="360"/>
      </w:pPr>
      <w:rPr>
        <w:rFonts w:ascii="Courier New" w:hAnsi="Courier New" w:cs="Times New Roman" w:hint="default"/>
      </w:rPr>
    </w:lvl>
    <w:lvl w:ilvl="5" w:tplc="F714501E">
      <w:start w:val="1"/>
      <w:numFmt w:val="bullet"/>
      <w:lvlText w:val=""/>
      <w:lvlJc w:val="left"/>
      <w:pPr>
        <w:tabs>
          <w:tab w:val="num" w:pos="4320"/>
        </w:tabs>
        <w:ind w:left="4320" w:hanging="360"/>
      </w:pPr>
      <w:rPr>
        <w:rFonts w:ascii="Wingdings" w:hAnsi="Wingdings" w:hint="default"/>
      </w:rPr>
    </w:lvl>
    <w:lvl w:ilvl="6" w:tplc="17AEBD92">
      <w:start w:val="1"/>
      <w:numFmt w:val="bullet"/>
      <w:lvlText w:val=""/>
      <w:lvlJc w:val="left"/>
      <w:pPr>
        <w:tabs>
          <w:tab w:val="num" w:pos="5040"/>
        </w:tabs>
        <w:ind w:left="5040" w:hanging="360"/>
      </w:pPr>
      <w:rPr>
        <w:rFonts w:ascii="Symbol" w:hAnsi="Symbol" w:hint="default"/>
      </w:rPr>
    </w:lvl>
    <w:lvl w:ilvl="7" w:tplc="26A6FA92">
      <w:start w:val="1"/>
      <w:numFmt w:val="bullet"/>
      <w:lvlText w:val="o"/>
      <w:lvlJc w:val="left"/>
      <w:pPr>
        <w:tabs>
          <w:tab w:val="num" w:pos="5760"/>
        </w:tabs>
        <w:ind w:left="5760" w:hanging="360"/>
      </w:pPr>
      <w:rPr>
        <w:rFonts w:ascii="Courier New" w:hAnsi="Courier New" w:cs="Times New Roman" w:hint="default"/>
      </w:rPr>
    </w:lvl>
    <w:lvl w:ilvl="8" w:tplc="62526F48">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8F53507"/>
    <w:multiLevelType w:val="hybridMultilevel"/>
    <w:tmpl w:val="E4E48C1C"/>
    <w:styleLink w:val="WWNum41321211"/>
    <w:lvl w:ilvl="0" w:tplc="140A0011">
      <w:start w:val="1"/>
      <w:numFmt w:val="decimal"/>
      <w:lvlText w:val="%1)"/>
      <w:lvlJc w:val="left"/>
      <w:pPr>
        <w:ind w:left="360" w:hanging="360"/>
      </w:pPr>
      <w:rPr>
        <w:b/>
      </w:rPr>
    </w:lvl>
    <w:lvl w:ilvl="1" w:tplc="140A0019">
      <w:start w:val="1"/>
      <w:numFmt w:val="lowerLetter"/>
      <w:lvlText w:val="%2."/>
      <w:lvlJc w:val="left"/>
      <w:pPr>
        <w:ind w:left="1800" w:hanging="360"/>
      </w:pPr>
    </w:lvl>
    <w:lvl w:ilvl="2" w:tplc="140A001B">
      <w:start w:val="1"/>
      <w:numFmt w:val="lowerRoman"/>
      <w:lvlText w:val="%3."/>
      <w:lvlJc w:val="right"/>
      <w:pPr>
        <w:ind w:left="2520" w:hanging="180"/>
      </w:pPr>
    </w:lvl>
    <w:lvl w:ilvl="3" w:tplc="140A000F">
      <w:start w:val="1"/>
      <w:numFmt w:val="decimal"/>
      <w:lvlText w:val="%4."/>
      <w:lvlJc w:val="left"/>
      <w:pPr>
        <w:ind w:left="3240" w:hanging="360"/>
      </w:pPr>
    </w:lvl>
    <w:lvl w:ilvl="4" w:tplc="140A0019">
      <w:start w:val="1"/>
      <w:numFmt w:val="lowerLetter"/>
      <w:lvlText w:val="%5."/>
      <w:lvlJc w:val="left"/>
      <w:pPr>
        <w:ind w:left="3960" w:hanging="360"/>
      </w:pPr>
    </w:lvl>
    <w:lvl w:ilvl="5" w:tplc="140A001B">
      <w:start w:val="1"/>
      <w:numFmt w:val="lowerRoman"/>
      <w:lvlText w:val="%6."/>
      <w:lvlJc w:val="right"/>
      <w:pPr>
        <w:ind w:left="4680" w:hanging="180"/>
      </w:pPr>
    </w:lvl>
    <w:lvl w:ilvl="6" w:tplc="140A000F">
      <w:start w:val="1"/>
      <w:numFmt w:val="decimal"/>
      <w:lvlText w:val="%7."/>
      <w:lvlJc w:val="left"/>
      <w:pPr>
        <w:ind w:left="5400" w:hanging="360"/>
      </w:pPr>
    </w:lvl>
    <w:lvl w:ilvl="7" w:tplc="140A0019">
      <w:start w:val="1"/>
      <w:numFmt w:val="lowerLetter"/>
      <w:lvlText w:val="%8."/>
      <w:lvlJc w:val="left"/>
      <w:pPr>
        <w:ind w:left="6120" w:hanging="360"/>
      </w:pPr>
    </w:lvl>
    <w:lvl w:ilvl="8" w:tplc="140A001B">
      <w:start w:val="1"/>
      <w:numFmt w:val="lowerRoman"/>
      <w:lvlText w:val="%9."/>
      <w:lvlJc w:val="right"/>
      <w:pPr>
        <w:ind w:left="6840" w:hanging="180"/>
      </w:pPr>
    </w:lvl>
  </w:abstractNum>
  <w:abstractNum w:abstractNumId="46" w15:restartNumberingAfterBreak="0">
    <w:nsid w:val="19E23356"/>
    <w:multiLevelType w:val="hybridMultilevel"/>
    <w:tmpl w:val="1A8A82CE"/>
    <w:styleLink w:val="WWNum211111111"/>
    <w:lvl w:ilvl="0" w:tplc="140A0011">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47" w15:restartNumberingAfterBreak="0">
    <w:nsid w:val="19F74937"/>
    <w:multiLevelType w:val="hybridMultilevel"/>
    <w:tmpl w:val="F22C42E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1CFA4B73"/>
    <w:multiLevelType w:val="hybridMultilevel"/>
    <w:tmpl w:val="6B622458"/>
    <w:styleLink w:val="WWNum511212111"/>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1D82384B"/>
    <w:multiLevelType w:val="hybridMultilevel"/>
    <w:tmpl w:val="D948568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1EC65A00"/>
    <w:multiLevelType w:val="hybridMultilevel"/>
    <w:tmpl w:val="E9DC5E8C"/>
    <w:styleLink w:val="WWNum3112231111"/>
    <w:lvl w:ilvl="0" w:tplc="140A0011">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1" w15:restartNumberingAfterBreak="0">
    <w:nsid w:val="1F92605E"/>
    <w:multiLevelType w:val="multilevel"/>
    <w:tmpl w:val="A810E542"/>
    <w:styleLink w:val="WWNum71411111"/>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0E95336"/>
    <w:multiLevelType w:val="hybridMultilevel"/>
    <w:tmpl w:val="95402FF8"/>
    <w:lvl w:ilvl="0" w:tplc="140A000F">
      <w:start w:val="3"/>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2192170A"/>
    <w:multiLevelType w:val="hybridMultilevel"/>
    <w:tmpl w:val="424A73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21E514BA"/>
    <w:multiLevelType w:val="hybridMultilevel"/>
    <w:tmpl w:val="A78C3846"/>
    <w:styleLink w:val="WWNum1141211"/>
    <w:lvl w:ilvl="0" w:tplc="66647610">
      <w:start w:val="1"/>
      <w:numFmt w:val="decimal"/>
      <w:lvlText w:val="%1-"/>
      <w:lvlJc w:val="left"/>
      <w:pPr>
        <w:ind w:left="750" w:hanging="390"/>
      </w:pPr>
      <w:rPr>
        <w:rFonts w:cs="Times New Roman"/>
        <w:b/>
        <w:color w:val="auto"/>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5" w15:restartNumberingAfterBreak="0">
    <w:nsid w:val="229D14D0"/>
    <w:multiLevelType w:val="hybridMultilevel"/>
    <w:tmpl w:val="66647D40"/>
    <w:lvl w:ilvl="0" w:tplc="140A000D">
      <w:start w:val="1"/>
      <w:numFmt w:val="bullet"/>
      <w:lvlText w:val=""/>
      <w:lvlJc w:val="left"/>
      <w:pPr>
        <w:ind w:left="780" w:hanging="360"/>
      </w:pPr>
      <w:rPr>
        <w:rFonts w:ascii="Wingdings" w:hAnsi="Wingdings"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56" w15:restartNumberingAfterBreak="0">
    <w:nsid w:val="22C80A3F"/>
    <w:multiLevelType w:val="hybridMultilevel"/>
    <w:tmpl w:val="C792B2B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23966853"/>
    <w:multiLevelType w:val="multilevel"/>
    <w:tmpl w:val="4AD0A07A"/>
    <w:styleLink w:val="WWNum101311111"/>
    <w:lvl w:ilvl="0">
      <w:start w:val="1"/>
      <w:numFmt w:val="decimal"/>
      <w:lvlText w:val="%1."/>
      <w:lvlJc w:val="left"/>
      <w:pPr>
        <w:ind w:left="1633" w:hanging="708"/>
      </w:pPr>
    </w:lvl>
    <w:lvl w:ilvl="1">
      <w:start w:val="1"/>
      <w:numFmt w:val="decimal"/>
      <w:isLgl/>
      <w:lvlText w:val="%1.%2."/>
      <w:lvlJc w:val="left"/>
      <w:pPr>
        <w:ind w:left="1285" w:hanging="360"/>
      </w:pPr>
      <w:rPr>
        <w:rFonts w:eastAsia="Times New Roman"/>
        <w:color w:val="000000" w:themeColor="text1"/>
      </w:rPr>
    </w:lvl>
    <w:lvl w:ilvl="2">
      <w:start w:val="1"/>
      <w:numFmt w:val="decimal"/>
      <w:isLgl/>
      <w:lvlText w:val="%1.%2.%3."/>
      <w:lvlJc w:val="left"/>
      <w:pPr>
        <w:ind w:left="1645" w:hanging="720"/>
      </w:pPr>
      <w:rPr>
        <w:rFonts w:eastAsia="Times New Roman"/>
        <w:color w:val="000000" w:themeColor="text1"/>
      </w:rPr>
    </w:lvl>
    <w:lvl w:ilvl="3">
      <w:start w:val="1"/>
      <w:numFmt w:val="decimal"/>
      <w:isLgl/>
      <w:lvlText w:val="%1.%2.%3.%4."/>
      <w:lvlJc w:val="left"/>
      <w:pPr>
        <w:ind w:left="1645" w:hanging="720"/>
      </w:pPr>
      <w:rPr>
        <w:rFonts w:eastAsia="Times New Roman"/>
        <w:color w:val="000000" w:themeColor="text1"/>
      </w:rPr>
    </w:lvl>
    <w:lvl w:ilvl="4">
      <w:start w:val="1"/>
      <w:numFmt w:val="decimal"/>
      <w:isLgl/>
      <w:lvlText w:val="%1.%2.%3.%4.%5."/>
      <w:lvlJc w:val="left"/>
      <w:pPr>
        <w:ind w:left="2005" w:hanging="1080"/>
      </w:pPr>
      <w:rPr>
        <w:rFonts w:eastAsia="Times New Roman"/>
        <w:color w:val="000000" w:themeColor="text1"/>
      </w:rPr>
    </w:lvl>
    <w:lvl w:ilvl="5">
      <w:start w:val="1"/>
      <w:numFmt w:val="decimal"/>
      <w:isLgl/>
      <w:lvlText w:val="%1.%2.%3.%4.%5.%6."/>
      <w:lvlJc w:val="left"/>
      <w:pPr>
        <w:ind w:left="2005" w:hanging="1080"/>
      </w:pPr>
      <w:rPr>
        <w:rFonts w:eastAsia="Times New Roman"/>
        <w:color w:val="000000" w:themeColor="text1"/>
      </w:rPr>
    </w:lvl>
    <w:lvl w:ilvl="6">
      <w:start w:val="1"/>
      <w:numFmt w:val="decimal"/>
      <w:isLgl/>
      <w:lvlText w:val="%1.%2.%3.%4.%5.%6.%7."/>
      <w:lvlJc w:val="left"/>
      <w:pPr>
        <w:ind w:left="2365" w:hanging="1440"/>
      </w:pPr>
      <w:rPr>
        <w:rFonts w:eastAsia="Times New Roman"/>
        <w:color w:val="000000" w:themeColor="text1"/>
      </w:rPr>
    </w:lvl>
    <w:lvl w:ilvl="7">
      <w:start w:val="1"/>
      <w:numFmt w:val="decimal"/>
      <w:isLgl/>
      <w:lvlText w:val="%1.%2.%3.%4.%5.%6.%7.%8."/>
      <w:lvlJc w:val="left"/>
      <w:pPr>
        <w:ind w:left="2365" w:hanging="1440"/>
      </w:pPr>
      <w:rPr>
        <w:rFonts w:eastAsia="Times New Roman"/>
        <w:color w:val="000000" w:themeColor="text1"/>
      </w:rPr>
    </w:lvl>
    <w:lvl w:ilvl="8">
      <w:start w:val="1"/>
      <w:numFmt w:val="decimal"/>
      <w:isLgl/>
      <w:lvlText w:val="%1.%2.%3.%4.%5.%6.%7.%8.%9."/>
      <w:lvlJc w:val="left"/>
      <w:pPr>
        <w:ind w:left="2725" w:hanging="1800"/>
      </w:pPr>
      <w:rPr>
        <w:rFonts w:eastAsia="Times New Roman"/>
        <w:color w:val="000000" w:themeColor="text1"/>
      </w:rPr>
    </w:lvl>
  </w:abstractNum>
  <w:abstractNum w:abstractNumId="58" w15:restartNumberingAfterBreak="0">
    <w:nsid w:val="23D269AD"/>
    <w:multiLevelType w:val="hybridMultilevel"/>
    <w:tmpl w:val="FC4EF12C"/>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9" w15:restartNumberingAfterBreak="0">
    <w:nsid w:val="24951967"/>
    <w:multiLevelType w:val="hybridMultilevel"/>
    <w:tmpl w:val="F886DE48"/>
    <w:lvl w:ilvl="0" w:tplc="140A000F">
      <w:start w:val="4"/>
      <w:numFmt w:val="decimal"/>
      <w:lvlText w:val="%1."/>
      <w:lvlJc w:val="left"/>
      <w:pPr>
        <w:ind w:left="720"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0" w15:restartNumberingAfterBreak="0">
    <w:nsid w:val="254C1E94"/>
    <w:multiLevelType w:val="hybridMultilevel"/>
    <w:tmpl w:val="7A38280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1" w15:restartNumberingAfterBreak="0">
    <w:nsid w:val="25572900"/>
    <w:multiLevelType w:val="hybridMultilevel"/>
    <w:tmpl w:val="2570979C"/>
    <w:styleLink w:val="WWNum613111111"/>
    <w:lvl w:ilvl="0" w:tplc="140A0001">
      <w:start w:val="1"/>
      <w:numFmt w:val="bullet"/>
      <w:lvlText w:val=""/>
      <w:lvlJc w:val="left"/>
      <w:pPr>
        <w:ind w:left="2136" w:hanging="360"/>
      </w:pPr>
      <w:rPr>
        <w:rFonts w:ascii="Symbol" w:hAnsi="Symbol"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62" w15:restartNumberingAfterBreak="0">
    <w:nsid w:val="256D050B"/>
    <w:multiLevelType w:val="hybridMultilevel"/>
    <w:tmpl w:val="72D24F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269270CA"/>
    <w:multiLevelType w:val="hybridMultilevel"/>
    <w:tmpl w:val="2AF8F326"/>
    <w:lvl w:ilvl="0" w:tplc="7C66D0F0">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64" w15:restartNumberingAfterBreak="0">
    <w:nsid w:val="278971EC"/>
    <w:multiLevelType w:val="hybridMultilevel"/>
    <w:tmpl w:val="44A82DDE"/>
    <w:styleLink w:val="WWNum4111112111"/>
    <w:lvl w:ilvl="0" w:tplc="CB7045CC">
      <w:start w:val="1"/>
      <w:numFmt w:val="bullet"/>
      <w:lvlText w:val=""/>
      <w:lvlJc w:val="left"/>
      <w:pPr>
        <w:tabs>
          <w:tab w:val="num" w:pos="720"/>
        </w:tabs>
        <w:ind w:left="720" w:hanging="360"/>
      </w:pPr>
      <w:rPr>
        <w:rFonts w:ascii="Symbol" w:hAnsi="Symbol" w:hint="default"/>
        <w:color w:val="80808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27B869BB"/>
    <w:multiLevelType w:val="hybridMultilevel"/>
    <w:tmpl w:val="A5320D74"/>
    <w:lvl w:ilvl="0" w:tplc="5FD84A44">
      <w:start w:val="1"/>
      <w:numFmt w:val="lowerRoman"/>
      <w:lvlText w:val="%1."/>
      <w:lvlJc w:val="left"/>
      <w:pPr>
        <w:ind w:left="1080" w:hanging="720"/>
      </w:pPr>
      <w:rPr>
        <w:rFonts w:cs="Times New Roman"/>
        <w:sz w:val="26"/>
        <w:szCs w:val="26"/>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6" w15:restartNumberingAfterBreak="0">
    <w:nsid w:val="28B90BDC"/>
    <w:multiLevelType w:val="hybridMultilevel"/>
    <w:tmpl w:val="6ACA26EE"/>
    <w:lvl w:ilvl="0" w:tplc="140A0001">
      <w:start w:val="1"/>
      <w:numFmt w:val="bullet"/>
      <w:pStyle w:val="Listaconvietas52"/>
      <w:lvlText w:val=""/>
      <w:lvlJc w:val="left"/>
      <w:pPr>
        <w:ind w:left="1431"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67" w15:restartNumberingAfterBreak="0">
    <w:nsid w:val="29DD4D31"/>
    <w:multiLevelType w:val="hybridMultilevel"/>
    <w:tmpl w:val="0CD0DF2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68" w15:restartNumberingAfterBreak="0">
    <w:nsid w:val="2A023BEE"/>
    <w:multiLevelType w:val="hybridMultilevel"/>
    <w:tmpl w:val="DA80F4FA"/>
    <w:lvl w:ilvl="0" w:tplc="140A0017">
      <w:start w:val="1"/>
      <w:numFmt w:val="lowerLetter"/>
      <w:lvlText w:val="%1)"/>
      <w:lvlJc w:val="left"/>
      <w:pPr>
        <w:ind w:left="1146" w:hanging="360"/>
      </w:pPr>
      <w:rPr>
        <w:rFont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69"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2B6A37CC"/>
    <w:multiLevelType w:val="hybridMultilevel"/>
    <w:tmpl w:val="D01C65FC"/>
    <w:styleLink w:val="1111111112122"/>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1" w15:restartNumberingAfterBreak="0">
    <w:nsid w:val="2C590D3F"/>
    <w:multiLevelType w:val="hybridMultilevel"/>
    <w:tmpl w:val="DA80F4FA"/>
    <w:lvl w:ilvl="0" w:tplc="140A0017">
      <w:start w:val="1"/>
      <w:numFmt w:val="lowerLetter"/>
      <w:lvlText w:val="%1)"/>
      <w:lvlJc w:val="left"/>
      <w:pPr>
        <w:ind w:left="1146" w:hanging="360"/>
      </w:pPr>
      <w:rPr>
        <w:rFont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72" w15:restartNumberingAfterBreak="0">
    <w:nsid w:val="2CBD7CF7"/>
    <w:multiLevelType w:val="hybridMultilevel"/>
    <w:tmpl w:val="D242BCB6"/>
    <w:lvl w:ilvl="0" w:tplc="1E74AC3A">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73" w15:restartNumberingAfterBreak="0">
    <w:nsid w:val="2D221C15"/>
    <w:multiLevelType w:val="hybridMultilevel"/>
    <w:tmpl w:val="6BCAC23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2D2769AB"/>
    <w:multiLevelType w:val="hybridMultilevel"/>
    <w:tmpl w:val="06B83398"/>
    <w:styleLink w:val="WWNum1013111111"/>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75" w15:restartNumberingAfterBreak="0">
    <w:nsid w:val="2D3C066D"/>
    <w:multiLevelType w:val="hybridMultilevel"/>
    <w:tmpl w:val="8A68411C"/>
    <w:lvl w:ilvl="0" w:tplc="26EA659A">
      <w:start w:val="1"/>
      <w:numFmt w:val="lowerLetter"/>
      <w:lvlText w:val="%1)"/>
      <w:lvlJc w:val="left"/>
      <w:pPr>
        <w:ind w:left="1146"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6"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2F225A1C"/>
    <w:multiLevelType w:val="multilevel"/>
    <w:tmpl w:val="6098344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2FF0424B"/>
    <w:multiLevelType w:val="hybridMultilevel"/>
    <w:tmpl w:val="BC98A2C8"/>
    <w:styleLink w:val="111111111311112211"/>
    <w:lvl w:ilvl="0" w:tplc="A32C4806">
      <w:start w:val="1"/>
      <w:numFmt w:val="decimal"/>
      <w:pStyle w:val="ww-tablecontents12345678910111213"/>
      <w:lvlText w:val="%1."/>
      <w:lvlJc w:val="left"/>
      <w:pPr>
        <w:tabs>
          <w:tab w:val="num" w:pos="720"/>
        </w:tabs>
        <w:ind w:left="720" w:hanging="360"/>
      </w:pPr>
      <w:rPr>
        <w:rFonts w:cs="Times New Roman"/>
      </w:rPr>
    </w:lvl>
    <w:lvl w:ilvl="1" w:tplc="140A0003">
      <w:start w:val="1"/>
      <w:numFmt w:val="lowerLetter"/>
      <w:lvlText w:val="%2."/>
      <w:lvlJc w:val="left"/>
      <w:pPr>
        <w:tabs>
          <w:tab w:val="num" w:pos="1440"/>
        </w:tabs>
        <w:ind w:left="1440" w:hanging="360"/>
      </w:pPr>
      <w:rPr>
        <w:rFonts w:cs="Times New Roman"/>
      </w:rPr>
    </w:lvl>
    <w:lvl w:ilvl="2" w:tplc="140A0005">
      <w:start w:val="1"/>
      <w:numFmt w:val="lowerRoman"/>
      <w:lvlText w:val="%3."/>
      <w:lvlJc w:val="right"/>
      <w:pPr>
        <w:tabs>
          <w:tab w:val="num" w:pos="2160"/>
        </w:tabs>
        <w:ind w:left="2160" w:hanging="180"/>
      </w:pPr>
      <w:rPr>
        <w:rFonts w:cs="Times New Roman"/>
      </w:rPr>
    </w:lvl>
    <w:lvl w:ilvl="3" w:tplc="140A0001">
      <w:start w:val="1"/>
      <w:numFmt w:val="decimal"/>
      <w:lvlText w:val="%4."/>
      <w:lvlJc w:val="left"/>
      <w:pPr>
        <w:tabs>
          <w:tab w:val="num" w:pos="2880"/>
        </w:tabs>
        <w:ind w:left="2880" w:hanging="360"/>
      </w:pPr>
      <w:rPr>
        <w:rFonts w:cs="Times New Roman"/>
      </w:rPr>
    </w:lvl>
    <w:lvl w:ilvl="4" w:tplc="140A0003">
      <w:start w:val="1"/>
      <w:numFmt w:val="lowerLetter"/>
      <w:lvlText w:val="%5."/>
      <w:lvlJc w:val="left"/>
      <w:pPr>
        <w:tabs>
          <w:tab w:val="num" w:pos="3600"/>
        </w:tabs>
        <w:ind w:left="3600" w:hanging="360"/>
      </w:pPr>
      <w:rPr>
        <w:rFonts w:cs="Times New Roman"/>
      </w:rPr>
    </w:lvl>
    <w:lvl w:ilvl="5" w:tplc="140A0005">
      <w:start w:val="1"/>
      <w:numFmt w:val="lowerRoman"/>
      <w:lvlText w:val="%6."/>
      <w:lvlJc w:val="right"/>
      <w:pPr>
        <w:tabs>
          <w:tab w:val="num" w:pos="4320"/>
        </w:tabs>
        <w:ind w:left="4320" w:hanging="180"/>
      </w:pPr>
      <w:rPr>
        <w:rFonts w:cs="Times New Roman"/>
      </w:rPr>
    </w:lvl>
    <w:lvl w:ilvl="6" w:tplc="140A0001">
      <w:start w:val="1"/>
      <w:numFmt w:val="decimal"/>
      <w:lvlText w:val="%7."/>
      <w:lvlJc w:val="left"/>
      <w:pPr>
        <w:tabs>
          <w:tab w:val="num" w:pos="5040"/>
        </w:tabs>
        <w:ind w:left="5040" w:hanging="360"/>
      </w:pPr>
      <w:rPr>
        <w:rFonts w:cs="Times New Roman"/>
      </w:rPr>
    </w:lvl>
    <w:lvl w:ilvl="7" w:tplc="140A0003">
      <w:start w:val="1"/>
      <w:numFmt w:val="lowerLetter"/>
      <w:lvlText w:val="%8."/>
      <w:lvlJc w:val="left"/>
      <w:pPr>
        <w:tabs>
          <w:tab w:val="num" w:pos="5760"/>
        </w:tabs>
        <w:ind w:left="5760" w:hanging="360"/>
      </w:pPr>
      <w:rPr>
        <w:rFonts w:cs="Times New Roman"/>
      </w:rPr>
    </w:lvl>
    <w:lvl w:ilvl="8" w:tplc="140A0005">
      <w:start w:val="1"/>
      <w:numFmt w:val="lowerRoman"/>
      <w:lvlText w:val="%9."/>
      <w:lvlJc w:val="right"/>
      <w:pPr>
        <w:tabs>
          <w:tab w:val="num" w:pos="6480"/>
        </w:tabs>
        <w:ind w:left="6480" w:hanging="180"/>
      </w:pPr>
      <w:rPr>
        <w:rFonts w:cs="Times New Roman"/>
      </w:rPr>
    </w:lvl>
  </w:abstractNum>
  <w:abstractNum w:abstractNumId="79" w15:restartNumberingAfterBreak="0">
    <w:nsid w:val="30225275"/>
    <w:multiLevelType w:val="hybridMultilevel"/>
    <w:tmpl w:val="70F6244E"/>
    <w:lvl w:ilvl="0" w:tplc="33769B2C">
      <w:start w:val="27"/>
      <w:numFmt w:val="bullet"/>
      <w:lvlText w:val="-"/>
      <w:lvlJc w:val="left"/>
      <w:pPr>
        <w:ind w:left="720" w:hanging="360"/>
      </w:pPr>
      <w:rPr>
        <w:rFonts w:ascii="Book Antiqua" w:eastAsia="Times New Roman" w:hAnsi="Book Antiqua" w:cs="Aria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0" w15:restartNumberingAfterBreak="0">
    <w:nsid w:val="31333AE1"/>
    <w:multiLevelType w:val="multilevel"/>
    <w:tmpl w:val="1204772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31681A9E"/>
    <w:multiLevelType w:val="hybridMultilevel"/>
    <w:tmpl w:val="E476248C"/>
    <w:lvl w:ilvl="0" w:tplc="60341F36">
      <w:start w:val="1"/>
      <w:numFmt w:val="decimal"/>
      <w:lvlText w:val="%1."/>
      <w:lvlJc w:val="left"/>
      <w:pPr>
        <w:ind w:left="720" w:hanging="360"/>
      </w:pPr>
      <w:rPr>
        <w:rFonts w:hint="default"/>
        <w:color w:val="00000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2" w15:restartNumberingAfterBreak="0">
    <w:nsid w:val="31733D79"/>
    <w:multiLevelType w:val="hybridMultilevel"/>
    <w:tmpl w:val="ECD64B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31763F1A"/>
    <w:multiLevelType w:val="hybridMultilevel"/>
    <w:tmpl w:val="0164B516"/>
    <w:lvl w:ilvl="0" w:tplc="140A000B">
      <w:start w:val="1"/>
      <w:numFmt w:val="bullet"/>
      <w:lvlText w:val=""/>
      <w:lvlJc w:val="left"/>
      <w:pPr>
        <w:ind w:left="720" w:hanging="360"/>
      </w:pPr>
      <w:rPr>
        <w:rFonts w:ascii="Wingdings" w:hAnsi="Wingdings" w:hint="default"/>
      </w:rPr>
    </w:lvl>
    <w:lvl w:ilvl="1" w:tplc="C5CE0F6C">
      <w:start w:val="1"/>
      <w:numFmt w:val="bullet"/>
      <w:lvlText w:val=""/>
      <w:lvlJc w:val="left"/>
      <w:pPr>
        <w:ind w:left="1440" w:hanging="360"/>
      </w:pPr>
      <w:rPr>
        <w:rFonts w:ascii="Symbol" w:hAnsi="Symbol" w:hint="default"/>
        <w:color w:val="auto"/>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4" w15:restartNumberingAfterBreak="0">
    <w:nsid w:val="34E439CC"/>
    <w:multiLevelType w:val="hybridMultilevel"/>
    <w:tmpl w:val="649AE102"/>
    <w:lvl w:ilvl="0" w:tplc="9C98E466">
      <w:start w:val="1"/>
      <w:numFmt w:val="lowerLetter"/>
      <w:lvlText w:val="%1."/>
      <w:lvlJc w:val="left"/>
      <w:pPr>
        <w:ind w:left="720" w:hanging="360"/>
      </w:pPr>
      <w:rPr>
        <w:rFonts w:ascii="Book Antiqua" w:eastAsiaTheme="minorHAnsi" w:hAnsi="Book Antiqua" w:cs="Arial"/>
        <w:u w:val="none"/>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5" w15:restartNumberingAfterBreak="0">
    <w:nsid w:val="359F4933"/>
    <w:multiLevelType w:val="multilevel"/>
    <w:tmpl w:val="ED9891D0"/>
    <w:styleLink w:val="WWNum1013111"/>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6" w15:restartNumberingAfterBreak="0">
    <w:nsid w:val="37335F49"/>
    <w:multiLevelType w:val="hybridMultilevel"/>
    <w:tmpl w:val="2A847B0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7" w15:restartNumberingAfterBreak="0">
    <w:nsid w:val="37BB2DE3"/>
    <w:multiLevelType w:val="hybridMultilevel"/>
    <w:tmpl w:val="298EA442"/>
    <w:lvl w:ilvl="0" w:tplc="F5EE3EFC">
      <w:start w:val="1"/>
      <w:numFmt w:val="decimal"/>
      <w:lvlText w:val="%1."/>
      <w:lvlJc w:val="left"/>
      <w:pPr>
        <w:ind w:left="720" w:hanging="360"/>
      </w:pPr>
    </w:lvl>
    <w:lvl w:ilvl="1" w:tplc="B212F496">
      <w:start w:val="1"/>
      <w:numFmt w:val="lowerLetter"/>
      <w:lvlText w:val="%2."/>
      <w:lvlJc w:val="left"/>
      <w:pPr>
        <w:ind w:left="1440" w:hanging="360"/>
      </w:pPr>
    </w:lvl>
    <w:lvl w:ilvl="2" w:tplc="CE3C78FE">
      <w:start w:val="1"/>
      <w:numFmt w:val="lowerRoman"/>
      <w:lvlText w:val="%3."/>
      <w:lvlJc w:val="right"/>
      <w:pPr>
        <w:ind w:left="2160" w:hanging="180"/>
      </w:pPr>
    </w:lvl>
    <w:lvl w:ilvl="3" w:tplc="20E2D7BE">
      <w:start w:val="1"/>
      <w:numFmt w:val="decimal"/>
      <w:lvlText w:val="%4."/>
      <w:lvlJc w:val="left"/>
      <w:pPr>
        <w:ind w:left="2880" w:hanging="360"/>
      </w:pPr>
    </w:lvl>
    <w:lvl w:ilvl="4" w:tplc="19ECF6B2">
      <w:start w:val="1"/>
      <w:numFmt w:val="lowerLetter"/>
      <w:lvlText w:val="%5."/>
      <w:lvlJc w:val="left"/>
      <w:pPr>
        <w:ind w:left="3600" w:hanging="360"/>
      </w:pPr>
    </w:lvl>
    <w:lvl w:ilvl="5" w:tplc="D410154A">
      <w:start w:val="1"/>
      <w:numFmt w:val="lowerRoman"/>
      <w:lvlText w:val="%6."/>
      <w:lvlJc w:val="right"/>
      <w:pPr>
        <w:ind w:left="4320" w:hanging="180"/>
      </w:pPr>
    </w:lvl>
    <w:lvl w:ilvl="6" w:tplc="FBF6D7A8">
      <w:start w:val="1"/>
      <w:numFmt w:val="decimal"/>
      <w:lvlText w:val="%7."/>
      <w:lvlJc w:val="left"/>
      <w:pPr>
        <w:ind w:left="5040" w:hanging="360"/>
      </w:pPr>
    </w:lvl>
    <w:lvl w:ilvl="7" w:tplc="D0B06B0A">
      <w:start w:val="1"/>
      <w:numFmt w:val="lowerLetter"/>
      <w:lvlText w:val="%8."/>
      <w:lvlJc w:val="left"/>
      <w:pPr>
        <w:ind w:left="5760" w:hanging="360"/>
      </w:pPr>
    </w:lvl>
    <w:lvl w:ilvl="8" w:tplc="CBD8AA72">
      <w:start w:val="1"/>
      <w:numFmt w:val="lowerRoman"/>
      <w:lvlText w:val="%9."/>
      <w:lvlJc w:val="right"/>
      <w:pPr>
        <w:ind w:left="6480" w:hanging="180"/>
      </w:pPr>
    </w:lvl>
  </w:abstractNum>
  <w:abstractNum w:abstractNumId="88" w15:restartNumberingAfterBreak="0">
    <w:nsid w:val="37BC6670"/>
    <w:multiLevelType w:val="hybridMultilevel"/>
    <w:tmpl w:val="A350DF48"/>
    <w:lvl w:ilvl="0" w:tplc="63BA4CA4">
      <w:start w:val="36"/>
      <w:numFmt w:val="bullet"/>
      <w:lvlText w:val="-"/>
      <w:lvlJc w:val="left"/>
      <w:pPr>
        <w:ind w:left="720" w:hanging="360"/>
      </w:pPr>
      <w:rPr>
        <w:rFonts w:ascii="Book Antiqua" w:eastAsia="Calibri" w:hAnsi="Book Antiqua" w:cs="ArialNegrit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9" w15:restartNumberingAfterBreak="0">
    <w:nsid w:val="3C4E4657"/>
    <w:multiLevelType w:val="hybridMultilevel"/>
    <w:tmpl w:val="7F80F0B8"/>
    <w:styleLink w:val="1111111112121111"/>
    <w:lvl w:ilvl="0" w:tplc="FFFFFFFF">
      <w:start w:val="1"/>
      <w:numFmt w:val="bullet"/>
      <w:pStyle w:val="xmsoautosig"/>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Times New Roman"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Times New Roman" w:hint="default"/>
      </w:rPr>
    </w:lvl>
    <w:lvl w:ilvl="8" w:tplc="FFFFFFFF">
      <w:start w:val="1"/>
      <w:numFmt w:val="bullet"/>
      <w:lvlText w:val=""/>
      <w:lvlJc w:val="left"/>
      <w:pPr>
        <w:ind w:left="6480" w:hanging="360"/>
      </w:pPr>
      <w:rPr>
        <w:rFonts w:ascii="Wingdings" w:hAnsi="Wingdings" w:hint="default"/>
      </w:rPr>
    </w:lvl>
  </w:abstractNum>
  <w:abstractNum w:abstractNumId="90" w15:restartNumberingAfterBreak="0">
    <w:nsid w:val="3C926778"/>
    <w:multiLevelType w:val="multilevel"/>
    <w:tmpl w:val="5AB6567E"/>
    <w:lvl w:ilvl="0">
      <w:start w:val="1"/>
      <w:numFmt w:val="decimal"/>
      <w:pStyle w:val="EstiloTtulo114ptCentradoInterlineadoMnimo24ptoDis"/>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91" w15:restartNumberingAfterBreak="0">
    <w:nsid w:val="3CBA5A1D"/>
    <w:multiLevelType w:val="multilevel"/>
    <w:tmpl w:val="1152DA6C"/>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3E701611"/>
    <w:multiLevelType w:val="hybridMultilevel"/>
    <w:tmpl w:val="5DC25188"/>
    <w:styleLink w:val="WWNum51312211"/>
    <w:lvl w:ilvl="0" w:tplc="9006DF10">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3" w15:restartNumberingAfterBreak="0">
    <w:nsid w:val="3FB23F53"/>
    <w:multiLevelType w:val="hybridMultilevel"/>
    <w:tmpl w:val="7F1AA632"/>
    <w:styleLink w:val="WWNum4111112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4" w15:restartNumberingAfterBreak="0">
    <w:nsid w:val="3FD06107"/>
    <w:multiLevelType w:val="hybridMultilevel"/>
    <w:tmpl w:val="BD40CDD2"/>
    <w:styleLink w:val="WWNum41112311"/>
    <w:lvl w:ilvl="0" w:tplc="65306D3C">
      <w:start w:val="1"/>
      <w:numFmt w:val="lowerLetter"/>
      <w:lvlText w:val="%1-"/>
      <w:lvlJc w:val="left"/>
      <w:pPr>
        <w:ind w:left="720" w:hanging="360"/>
      </w:pPr>
      <w:rPr>
        <w:rFonts w:ascii="Times New Roman" w:eastAsia="Calibri" w:hAnsi="Times New Roman" w:cs="Times New Roman"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5" w15:restartNumberingAfterBreak="0">
    <w:nsid w:val="3FE610D6"/>
    <w:multiLevelType w:val="hybridMultilevel"/>
    <w:tmpl w:val="B5A65772"/>
    <w:styleLink w:val="111111111313111"/>
    <w:lvl w:ilvl="0" w:tplc="C0E803AE">
      <w:start w:val="1"/>
      <w:numFmt w:val="upperLetter"/>
      <w:lvlText w:val="%1."/>
      <w:lvlJc w:val="left"/>
      <w:pPr>
        <w:ind w:left="720" w:hanging="360"/>
      </w:pPr>
      <w:rPr>
        <w:b/>
        <w:bCs/>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6" w15:restartNumberingAfterBreak="0">
    <w:nsid w:val="42393BCD"/>
    <w:multiLevelType w:val="hybridMultilevel"/>
    <w:tmpl w:val="CB36622E"/>
    <w:styleLink w:val="WWNum61122221"/>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7" w15:restartNumberingAfterBreak="0">
    <w:nsid w:val="427546A3"/>
    <w:multiLevelType w:val="hybridMultilevel"/>
    <w:tmpl w:val="25A203DC"/>
    <w:lvl w:ilvl="0" w:tplc="663C77C0">
      <w:start w:val="1"/>
      <w:numFmt w:val="lowerLetter"/>
      <w:lvlText w:val="%1)"/>
      <w:lvlJc w:val="left"/>
      <w:pPr>
        <w:ind w:left="1146"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8" w15:restartNumberingAfterBreak="0">
    <w:nsid w:val="42C82BD9"/>
    <w:multiLevelType w:val="hybridMultilevel"/>
    <w:tmpl w:val="9D0EAAE4"/>
    <w:styleLink w:val="WWNum31131211"/>
    <w:lvl w:ilvl="0" w:tplc="140A0001">
      <w:numFmt w:val="decimal"/>
      <w:lvlText w:val=""/>
      <w:lvlJc w:val="left"/>
      <w:pPr>
        <w:ind w:left="720"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99" w15:restartNumberingAfterBreak="0">
    <w:nsid w:val="42E040D3"/>
    <w:multiLevelType w:val="hybridMultilevel"/>
    <w:tmpl w:val="5B4CEBC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42FB5849"/>
    <w:multiLevelType w:val="hybridMultilevel"/>
    <w:tmpl w:val="6B504F02"/>
    <w:styleLink w:val="1111111111212111"/>
    <w:lvl w:ilvl="0" w:tplc="2EF0068C">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1" w15:restartNumberingAfterBreak="0">
    <w:nsid w:val="43A5463E"/>
    <w:multiLevelType w:val="hybridMultilevel"/>
    <w:tmpl w:val="F5D0C4D4"/>
    <w:styleLink w:val="WWNum6141211"/>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2" w15:restartNumberingAfterBreak="0">
    <w:nsid w:val="43F30500"/>
    <w:multiLevelType w:val="multilevel"/>
    <w:tmpl w:val="2278CEF2"/>
    <w:styleLink w:val="WWNum31212111"/>
    <w:lvl w:ilvl="0">
      <w:start w:val="1"/>
      <w:numFmt w:val="bullet"/>
      <w:lvlText w:val="•"/>
      <w:lvlJc w:val="left"/>
      <w:pPr>
        <w:ind w:left="0" w:firstLine="0"/>
      </w:pPr>
    </w:lvl>
    <w:lvl w:ilvl="1">
      <w:numFmt w:val="decimal"/>
      <w:lvlText w:val=""/>
      <w:lvlJc w:val="left"/>
      <w:pPr>
        <w:ind w:left="0" w:firstLine="0"/>
      </w:pPr>
      <w:rPr>
        <w:rFonts w:cs="Times New Roman"/>
      </w:rPr>
    </w:lvl>
    <w:lvl w:ilvl="2">
      <w:numFmt w:val="decimal"/>
      <w:lvlText w:val=""/>
      <w:lvlJc w:val="left"/>
      <w:pPr>
        <w:ind w:left="0" w:firstLine="0"/>
      </w:pPr>
      <w:rPr>
        <w:rFonts w:cs="Times New Roman"/>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pStyle w:val="Ttulo71"/>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103" w15:restartNumberingAfterBreak="0">
    <w:nsid w:val="444D1177"/>
    <w:multiLevelType w:val="hybridMultilevel"/>
    <w:tmpl w:val="646CF40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4" w15:restartNumberingAfterBreak="0">
    <w:nsid w:val="445E13F1"/>
    <w:multiLevelType w:val="multilevel"/>
    <w:tmpl w:val="9A38055A"/>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05" w15:restartNumberingAfterBreak="0">
    <w:nsid w:val="44D01922"/>
    <w:multiLevelType w:val="hybridMultilevel"/>
    <w:tmpl w:val="33D60A16"/>
    <w:lvl w:ilvl="0" w:tplc="50C882A8">
      <w:start w:val="1"/>
      <w:numFmt w:val="lowerLetter"/>
      <w:lvlText w:val="%1."/>
      <w:lvlJc w:val="left"/>
      <w:pPr>
        <w:ind w:left="720" w:hanging="360"/>
      </w:pPr>
      <w:rPr>
        <w:rFonts w:ascii="Book Antiqua" w:eastAsia="Calibri" w:hAnsi="Book Antiqua" w:cs="ArialNegrita"/>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6" w15:restartNumberingAfterBreak="0">
    <w:nsid w:val="44E30D32"/>
    <w:multiLevelType w:val="hybridMultilevel"/>
    <w:tmpl w:val="B4689F9E"/>
    <w:lvl w:ilvl="0" w:tplc="140A000B">
      <w:start w:val="1"/>
      <w:numFmt w:val="bullet"/>
      <w:lvlText w:val=""/>
      <w:lvlJc w:val="left"/>
      <w:pPr>
        <w:ind w:left="513" w:hanging="360"/>
      </w:pPr>
      <w:rPr>
        <w:rFonts w:ascii="Wingdings" w:hAnsi="Wingdings" w:hint="default"/>
      </w:rPr>
    </w:lvl>
    <w:lvl w:ilvl="1" w:tplc="140A0003" w:tentative="1">
      <w:start w:val="1"/>
      <w:numFmt w:val="bullet"/>
      <w:lvlText w:val="o"/>
      <w:lvlJc w:val="left"/>
      <w:pPr>
        <w:ind w:left="1233" w:hanging="360"/>
      </w:pPr>
      <w:rPr>
        <w:rFonts w:ascii="Courier New" w:hAnsi="Courier New" w:cs="Courier New" w:hint="default"/>
      </w:rPr>
    </w:lvl>
    <w:lvl w:ilvl="2" w:tplc="140A0005" w:tentative="1">
      <w:start w:val="1"/>
      <w:numFmt w:val="bullet"/>
      <w:lvlText w:val=""/>
      <w:lvlJc w:val="left"/>
      <w:pPr>
        <w:ind w:left="1953" w:hanging="360"/>
      </w:pPr>
      <w:rPr>
        <w:rFonts w:ascii="Wingdings" w:hAnsi="Wingdings" w:hint="default"/>
      </w:rPr>
    </w:lvl>
    <w:lvl w:ilvl="3" w:tplc="140A0001" w:tentative="1">
      <w:start w:val="1"/>
      <w:numFmt w:val="bullet"/>
      <w:lvlText w:val=""/>
      <w:lvlJc w:val="left"/>
      <w:pPr>
        <w:ind w:left="2673" w:hanging="360"/>
      </w:pPr>
      <w:rPr>
        <w:rFonts w:ascii="Symbol" w:hAnsi="Symbol" w:hint="default"/>
      </w:rPr>
    </w:lvl>
    <w:lvl w:ilvl="4" w:tplc="140A0003" w:tentative="1">
      <w:start w:val="1"/>
      <w:numFmt w:val="bullet"/>
      <w:lvlText w:val="o"/>
      <w:lvlJc w:val="left"/>
      <w:pPr>
        <w:ind w:left="3393" w:hanging="360"/>
      </w:pPr>
      <w:rPr>
        <w:rFonts w:ascii="Courier New" w:hAnsi="Courier New" w:cs="Courier New" w:hint="default"/>
      </w:rPr>
    </w:lvl>
    <w:lvl w:ilvl="5" w:tplc="140A0005" w:tentative="1">
      <w:start w:val="1"/>
      <w:numFmt w:val="bullet"/>
      <w:lvlText w:val=""/>
      <w:lvlJc w:val="left"/>
      <w:pPr>
        <w:ind w:left="4113" w:hanging="360"/>
      </w:pPr>
      <w:rPr>
        <w:rFonts w:ascii="Wingdings" w:hAnsi="Wingdings" w:hint="default"/>
      </w:rPr>
    </w:lvl>
    <w:lvl w:ilvl="6" w:tplc="140A0001" w:tentative="1">
      <w:start w:val="1"/>
      <w:numFmt w:val="bullet"/>
      <w:lvlText w:val=""/>
      <w:lvlJc w:val="left"/>
      <w:pPr>
        <w:ind w:left="4833" w:hanging="360"/>
      </w:pPr>
      <w:rPr>
        <w:rFonts w:ascii="Symbol" w:hAnsi="Symbol" w:hint="default"/>
      </w:rPr>
    </w:lvl>
    <w:lvl w:ilvl="7" w:tplc="140A0003" w:tentative="1">
      <w:start w:val="1"/>
      <w:numFmt w:val="bullet"/>
      <w:lvlText w:val="o"/>
      <w:lvlJc w:val="left"/>
      <w:pPr>
        <w:ind w:left="5553" w:hanging="360"/>
      </w:pPr>
      <w:rPr>
        <w:rFonts w:ascii="Courier New" w:hAnsi="Courier New" w:cs="Courier New" w:hint="default"/>
      </w:rPr>
    </w:lvl>
    <w:lvl w:ilvl="8" w:tplc="140A0005" w:tentative="1">
      <w:start w:val="1"/>
      <w:numFmt w:val="bullet"/>
      <w:lvlText w:val=""/>
      <w:lvlJc w:val="left"/>
      <w:pPr>
        <w:ind w:left="6273" w:hanging="360"/>
      </w:pPr>
      <w:rPr>
        <w:rFonts w:ascii="Wingdings" w:hAnsi="Wingdings" w:hint="default"/>
      </w:rPr>
    </w:lvl>
  </w:abstractNum>
  <w:abstractNum w:abstractNumId="107" w15:restartNumberingAfterBreak="0">
    <w:nsid w:val="46520654"/>
    <w:multiLevelType w:val="hybridMultilevel"/>
    <w:tmpl w:val="15AA5D20"/>
    <w:styleLink w:val="WWNum211121211"/>
    <w:lvl w:ilvl="0" w:tplc="0866A72E">
      <w:start w:val="1"/>
      <w:numFmt w:val="lowerLetter"/>
      <w:lvlText w:val="%1)"/>
      <w:lvlJc w:val="left"/>
      <w:pPr>
        <w:ind w:left="360" w:hanging="360"/>
      </w:pPr>
      <w:rPr>
        <w:color w:val="C12026"/>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108" w15:restartNumberingAfterBreak="0">
    <w:nsid w:val="472E0066"/>
    <w:multiLevelType w:val="hybridMultilevel"/>
    <w:tmpl w:val="B428DAA6"/>
    <w:styleLink w:val="WWNum6111111311"/>
    <w:lvl w:ilvl="0" w:tplc="140A000F">
      <w:start w:val="1"/>
      <w:numFmt w:val="decimal"/>
      <w:lvlText w:val="%1."/>
      <w:lvlJc w:val="left"/>
      <w:pPr>
        <w:ind w:left="720" w:hanging="360"/>
      </w:pPr>
      <w:rPr>
        <w:b w:val="0"/>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09"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0" w15:restartNumberingAfterBreak="0">
    <w:nsid w:val="47710ABD"/>
    <w:multiLevelType w:val="hybridMultilevel"/>
    <w:tmpl w:val="28B2B870"/>
    <w:styleLink w:val="WWNum61111311"/>
    <w:lvl w:ilvl="0" w:tplc="140A0017">
      <w:start w:val="1"/>
      <w:numFmt w:val="lowerLetter"/>
      <w:lvlText w:val="%1)"/>
      <w:lvlJc w:val="left"/>
      <w:pPr>
        <w:ind w:left="1004" w:hanging="360"/>
      </w:pPr>
    </w:lvl>
    <w:lvl w:ilvl="1" w:tplc="140A0019">
      <w:start w:val="1"/>
      <w:numFmt w:val="decimal"/>
      <w:lvlText w:val="%2."/>
      <w:lvlJc w:val="left"/>
      <w:pPr>
        <w:tabs>
          <w:tab w:val="num" w:pos="1440"/>
        </w:tabs>
        <w:ind w:left="1440" w:hanging="360"/>
      </w:pPr>
    </w:lvl>
    <w:lvl w:ilvl="2" w:tplc="140A0017">
      <w:start w:val="1"/>
      <w:numFmt w:val="lowerLetter"/>
      <w:lvlText w:val="%3)"/>
      <w:lvlJc w:val="left"/>
      <w:pPr>
        <w:ind w:left="605" w:hanging="18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11" w15:restartNumberingAfterBreak="0">
    <w:nsid w:val="47A959BD"/>
    <w:multiLevelType w:val="hybridMultilevel"/>
    <w:tmpl w:val="F17602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2" w15:restartNumberingAfterBreak="0">
    <w:nsid w:val="47D91048"/>
    <w:multiLevelType w:val="hybridMultilevel"/>
    <w:tmpl w:val="B1F45C92"/>
    <w:styleLink w:val="WWNum91121"/>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13" w15:restartNumberingAfterBreak="0">
    <w:nsid w:val="487E5B78"/>
    <w:multiLevelType w:val="hybridMultilevel"/>
    <w:tmpl w:val="85CA1148"/>
    <w:styleLink w:val="WWNum21112122"/>
    <w:lvl w:ilvl="0" w:tplc="5E963784">
      <w:start w:val="1"/>
      <w:numFmt w:val="bullet"/>
      <w:lvlText w:val=""/>
      <w:lvlJc w:val="left"/>
      <w:pPr>
        <w:ind w:left="720" w:hanging="360"/>
      </w:pPr>
      <w:rPr>
        <w:rFonts w:ascii="Symbol" w:hAnsi="Symbol" w:hint="default"/>
        <w:color w:val="1F4E79"/>
        <w:sz w:val="28"/>
        <w:szCs w:val="28"/>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14" w15:restartNumberingAfterBreak="0">
    <w:nsid w:val="49DE1EDD"/>
    <w:multiLevelType w:val="hybridMultilevel"/>
    <w:tmpl w:val="F9E2D9B6"/>
    <w:styleLink w:val="WWNum611111132"/>
    <w:lvl w:ilvl="0" w:tplc="28D62288">
      <w:numFmt w:val="decimal"/>
      <w:lvlText w:val=""/>
      <w:lvlJc w:val="left"/>
      <w:pPr>
        <w:tabs>
          <w:tab w:val="num" w:pos="720"/>
        </w:tabs>
        <w:ind w:left="720" w:hanging="360"/>
      </w:pPr>
      <w:rPr>
        <w:rFonts w:ascii="Wingdings 2" w:hAnsi="Wingdings 2" w:hint="default"/>
      </w:rPr>
    </w:lvl>
    <w:lvl w:ilvl="1" w:tplc="2BEE91E8">
      <w:numFmt w:val="decimal"/>
      <w:lvlText w:val=""/>
      <w:lvlJc w:val="left"/>
      <w:pPr>
        <w:tabs>
          <w:tab w:val="num" w:pos="1440"/>
        </w:tabs>
        <w:ind w:left="1440" w:hanging="360"/>
      </w:pPr>
      <w:rPr>
        <w:rFonts w:ascii="Wingdings 2" w:hAnsi="Wingdings 2" w:hint="default"/>
      </w:rPr>
    </w:lvl>
    <w:lvl w:ilvl="2" w:tplc="140A0017">
      <w:start w:val="1"/>
      <w:numFmt w:val="lowerLetter"/>
      <w:lvlText w:val="%3)"/>
      <w:lvlJc w:val="left"/>
      <w:pPr>
        <w:tabs>
          <w:tab w:val="num" w:pos="502"/>
        </w:tabs>
        <w:ind w:left="502" w:hanging="360"/>
      </w:pPr>
    </w:lvl>
    <w:lvl w:ilvl="3" w:tplc="A0DA625C">
      <w:start w:val="1"/>
      <w:numFmt w:val="upperRoman"/>
      <w:lvlText w:val="%4-"/>
      <w:lvlJc w:val="left"/>
      <w:pPr>
        <w:ind w:left="3240" w:hanging="720"/>
      </w:pPr>
    </w:lvl>
    <w:lvl w:ilvl="4" w:tplc="AB2C5CEC">
      <w:numFmt w:val="bullet"/>
      <w:lvlText w:val="-"/>
      <w:lvlJc w:val="left"/>
      <w:pPr>
        <w:ind w:left="3600" w:hanging="360"/>
      </w:pPr>
      <w:rPr>
        <w:rFonts w:ascii="Bookman Old Style" w:eastAsia="Times New Roman" w:hAnsi="Bookman Old Style" w:cs="Times New Roman" w:hint="default"/>
      </w:rPr>
    </w:lvl>
    <w:lvl w:ilvl="5" w:tplc="8C18EDBA">
      <w:start w:val="1"/>
      <w:numFmt w:val="decimal"/>
      <w:lvlText w:val="%6."/>
      <w:lvlJc w:val="left"/>
      <w:pPr>
        <w:tabs>
          <w:tab w:val="num" w:pos="4320"/>
        </w:tabs>
        <w:ind w:left="4320" w:hanging="360"/>
      </w:pPr>
    </w:lvl>
    <w:lvl w:ilvl="6" w:tplc="9C54C330">
      <w:start w:val="1"/>
      <w:numFmt w:val="decimal"/>
      <w:lvlText w:val="%7."/>
      <w:lvlJc w:val="left"/>
      <w:pPr>
        <w:tabs>
          <w:tab w:val="num" w:pos="5040"/>
        </w:tabs>
        <w:ind w:left="5040" w:hanging="360"/>
      </w:pPr>
    </w:lvl>
    <w:lvl w:ilvl="7" w:tplc="C4069BD2">
      <w:start w:val="1"/>
      <w:numFmt w:val="decimal"/>
      <w:lvlText w:val="%8."/>
      <w:lvlJc w:val="left"/>
      <w:pPr>
        <w:tabs>
          <w:tab w:val="num" w:pos="5760"/>
        </w:tabs>
        <w:ind w:left="5760" w:hanging="360"/>
      </w:pPr>
    </w:lvl>
    <w:lvl w:ilvl="8" w:tplc="581C93EC">
      <w:start w:val="1"/>
      <w:numFmt w:val="decimal"/>
      <w:lvlText w:val="%9."/>
      <w:lvlJc w:val="left"/>
      <w:pPr>
        <w:tabs>
          <w:tab w:val="num" w:pos="6480"/>
        </w:tabs>
        <w:ind w:left="6480" w:hanging="360"/>
      </w:pPr>
    </w:lvl>
  </w:abstractNum>
  <w:abstractNum w:abstractNumId="115" w15:restartNumberingAfterBreak="0">
    <w:nsid w:val="4ACF3865"/>
    <w:multiLevelType w:val="multilevel"/>
    <w:tmpl w:val="86305E8A"/>
    <w:styleLink w:val="WWNum511221111"/>
    <w:lvl w:ilvl="0">
      <w:start w:val="4"/>
      <w:numFmt w:val="decimal"/>
      <w:pStyle w:val="Prrafodelista4"/>
      <w:lvlText w:val="%1."/>
      <w:lvlJc w:val="right"/>
      <w:pPr>
        <w:ind w:left="720" w:hanging="360"/>
      </w:pPr>
      <w:rPr>
        <w:b/>
      </w:rPr>
    </w:lvl>
    <w:lvl w:ilvl="1">
      <w:start w:val="1"/>
      <w:numFmt w:val="decimal"/>
      <w:isLgl/>
      <w:lvlText w:val="%1.%2."/>
      <w:lvlJc w:val="left"/>
      <w:pPr>
        <w:ind w:left="862" w:hanging="720"/>
      </w:pPr>
      <w:rPr>
        <w:b/>
      </w:rPr>
    </w:lvl>
    <w:lvl w:ilvl="2">
      <w:start w:val="1"/>
      <w:numFmt w:val="decimal"/>
      <w:isLgl/>
      <w:lvlText w:val="%1.%2.%3."/>
      <w:lvlJc w:val="left"/>
      <w:pPr>
        <w:ind w:left="1288" w:hanging="720"/>
      </w:pPr>
      <w:rPr>
        <w:b/>
        <w:sz w:val="24"/>
        <w:lang w:val="es-CR"/>
      </w:rPr>
    </w:lvl>
    <w:lvl w:ilvl="3">
      <w:start w:val="1"/>
      <w:numFmt w:val="decimal"/>
      <w:isLgl/>
      <w:lvlText w:val="%1.%2.%3.%4."/>
      <w:lvlJc w:val="left"/>
      <w:pPr>
        <w:ind w:left="1440" w:hanging="1080"/>
      </w:pPr>
      <w:rPr>
        <w:lang w:val="es-ES"/>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16" w15:restartNumberingAfterBreak="0">
    <w:nsid w:val="4BC74716"/>
    <w:multiLevelType w:val="hybridMultilevel"/>
    <w:tmpl w:val="BFD000D8"/>
    <w:styleLink w:val="WWNum51312111"/>
    <w:lvl w:ilvl="0" w:tplc="140A0001">
      <w:numFmt w:val="decimal"/>
      <w:lvlText w:val=""/>
      <w:lvlJc w:val="left"/>
      <w:pPr>
        <w:ind w:left="1080"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117" w15:restartNumberingAfterBreak="0">
    <w:nsid w:val="4BCA511A"/>
    <w:multiLevelType w:val="hybridMultilevel"/>
    <w:tmpl w:val="A3FECD40"/>
    <w:styleLink w:val="WWNum6111132"/>
    <w:lvl w:ilvl="0" w:tplc="140A0011">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8" w15:restartNumberingAfterBreak="0">
    <w:nsid w:val="4C151240"/>
    <w:multiLevelType w:val="hybridMultilevel"/>
    <w:tmpl w:val="9FC49760"/>
    <w:styleLink w:val="WWNum5131212"/>
    <w:lvl w:ilvl="0" w:tplc="BAAA935E">
      <w:start w:val="1"/>
      <w:numFmt w:val="decimal"/>
      <w:lvlText w:val="%1."/>
      <w:lvlJc w:val="left"/>
      <w:pPr>
        <w:ind w:left="720" w:hanging="360"/>
      </w:pPr>
      <w:rPr>
        <w:b/>
      </w:r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19" w15:restartNumberingAfterBreak="0">
    <w:nsid w:val="4CF87BC1"/>
    <w:multiLevelType w:val="hybridMultilevel"/>
    <w:tmpl w:val="B9F46D00"/>
    <w:lvl w:ilvl="0" w:tplc="140A000B">
      <w:start w:val="1"/>
      <w:numFmt w:val="bullet"/>
      <w:lvlText w:val=""/>
      <w:lvlJc w:val="left"/>
      <w:pPr>
        <w:ind w:left="513" w:hanging="360"/>
      </w:pPr>
      <w:rPr>
        <w:rFonts w:ascii="Wingdings" w:hAnsi="Wingdings" w:hint="default"/>
      </w:rPr>
    </w:lvl>
    <w:lvl w:ilvl="1" w:tplc="140A0003" w:tentative="1">
      <w:start w:val="1"/>
      <w:numFmt w:val="bullet"/>
      <w:lvlText w:val="o"/>
      <w:lvlJc w:val="left"/>
      <w:pPr>
        <w:ind w:left="1233" w:hanging="360"/>
      </w:pPr>
      <w:rPr>
        <w:rFonts w:ascii="Courier New" w:hAnsi="Courier New" w:cs="Courier New" w:hint="default"/>
      </w:rPr>
    </w:lvl>
    <w:lvl w:ilvl="2" w:tplc="140A0005" w:tentative="1">
      <w:start w:val="1"/>
      <w:numFmt w:val="bullet"/>
      <w:lvlText w:val=""/>
      <w:lvlJc w:val="left"/>
      <w:pPr>
        <w:ind w:left="1953" w:hanging="360"/>
      </w:pPr>
      <w:rPr>
        <w:rFonts w:ascii="Wingdings" w:hAnsi="Wingdings" w:hint="default"/>
      </w:rPr>
    </w:lvl>
    <w:lvl w:ilvl="3" w:tplc="140A0001" w:tentative="1">
      <w:start w:val="1"/>
      <w:numFmt w:val="bullet"/>
      <w:lvlText w:val=""/>
      <w:lvlJc w:val="left"/>
      <w:pPr>
        <w:ind w:left="2673" w:hanging="360"/>
      </w:pPr>
      <w:rPr>
        <w:rFonts w:ascii="Symbol" w:hAnsi="Symbol" w:hint="default"/>
      </w:rPr>
    </w:lvl>
    <w:lvl w:ilvl="4" w:tplc="140A0003" w:tentative="1">
      <w:start w:val="1"/>
      <w:numFmt w:val="bullet"/>
      <w:lvlText w:val="o"/>
      <w:lvlJc w:val="left"/>
      <w:pPr>
        <w:ind w:left="3393" w:hanging="360"/>
      </w:pPr>
      <w:rPr>
        <w:rFonts w:ascii="Courier New" w:hAnsi="Courier New" w:cs="Courier New" w:hint="default"/>
      </w:rPr>
    </w:lvl>
    <w:lvl w:ilvl="5" w:tplc="140A0005" w:tentative="1">
      <w:start w:val="1"/>
      <w:numFmt w:val="bullet"/>
      <w:lvlText w:val=""/>
      <w:lvlJc w:val="left"/>
      <w:pPr>
        <w:ind w:left="4113" w:hanging="360"/>
      </w:pPr>
      <w:rPr>
        <w:rFonts w:ascii="Wingdings" w:hAnsi="Wingdings" w:hint="default"/>
      </w:rPr>
    </w:lvl>
    <w:lvl w:ilvl="6" w:tplc="140A0001" w:tentative="1">
      <w:start w:val="1"/>
      <w:numFmt w:val="bullet"/>
      <w:lvlText w:val=""/>
      <w:lvlJc w:val="left"/>
      <w:pPr>
        <w:ind w:left="4833" w:hanging="360"/>
      </w:pPr>
      <w:rPr>
        <w:rFonts w:ascii="Symbol" w:hAnsi="Symbol" w:hint="default"/>
      </w:rPr>
    </w:lvl>
    <w:lvl w:ilvl="7" w:tplc="140A0003" w:tentative="1">
      <w:start w:val="1"/>
      <w:numFmt w:val="bullet"/>
      <w:lvlText w:val="o"/>
      <w:lvlJc w:val="left"/>
      <w:pPr>
        <w:ind w:left="5553" w:hanging="360"/>
      </w:pPr>
      <w:rPr>
        <w:rFonts w:ascii="Courier New" w:hAnsi="Courier New" w:cs="Courier New" w:hint="default"/>
      </w:rPr>
    </w:lvl>
    <w:lvl w:ilvl="8" w:tplc="140A0005" w:tentative="1">
      <w:start w:val="1"/>
      <w:numFmt w:val="bullet"/>
      <w:lvlText w:val=""/>
      <w:lvlJc w:val="left"/>
      <w:pPr>
        <w:ind w:left="6273" w:hanging="360"/>
      </w:pPr>
      <w:rPr>
        <w:rFonts w:ascii="Wingdings" w:hAnsi="Wingdings" w:hint="default"/>
      </w:rPr>
    </w:lvl>
  </w:abstractNum>
  <w:abstractNum w:abstractNumId="120" w15:restartNumberingAfterBreak="0">
    <w:nsid w:val="4E037F98"/>
    <w:multiLevelType w:val="hybridMultilevel"/>
    <w:tmpl w:val="511651CE"/>
    <w:styleLink w:val="WWNum61311111"/>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1" w15:restartNumberingAfterBreak="0">
    <w:nsid w:val="4FB51D95"/>
    <w:multiLevelType w:val="hybridMultilevel"/>
    <w:tmpl w:val="5F581CD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2" w15:restartNumberingAfterBreak="0">
    <w:nsid w:val="4FBC1C5E"/>
    <w:multiLevelType w:val="hybridMultilevel"/>
    <w:tmpl w:val="FDAC64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3" w15:restartNumberingAfterBreak="0">
    <w:nsid w:val="4FE95260"/>
    <w:multiLevelType w:val="multilevel"/>
    <w:tmpl w:val="EF261CC8"/>
    <w:styleLink w:val="WWNum10113212111"/>
    <w:lvl w:ilvl="0">
      <w:start w:val="5"/>
      <w:numFmt w:val="decimal"/>
      <w:lvlText w:val="%1"/>
      <w:lvlJc w:val="left"/>
      <w:pPr>
        <w:ind w:left="360" w:hanging="360"/>
      </w:pPr>
      <w:rPr>
        <w:b/>
        <w:i w:val="0"/>
      </w:rPr>
    </w:lvl>
    <w:lvl w:ilvl="1">
      <w:start w:val="4"/>
      <w:numFmt w:val="decimal"/>
      <w:lvlText w:val="%1.%2"/>
      <w:lvlJc w:val="left"/>
      <w:pPr>
        <w:ind w:left="360" w:hanging="360"/>
      </w:pPr>
      <w:rPr>
        <w:b/>
        <w:i w:val="0"/>
      </w:rPr>
    </w:lvl>
    <w:lvl w:ilvl="2">
      <w:start w:val="1"/>
      <w:numFmt w:val="decimal"/>
      <w:lvlText w:val="%1.%2.%3"/>
      <w:lvlJc w:val="left"/>
      <w:pPr>
        <w:ind w:left="720" w:hanging="720"/>
      </w:pPr>
      <w:rPr>
        <w:b/>
        <w:i w:val="0"/>
      </w:rPr>
    </w:lvl>
    <w:lvl w:ilvl="3">
      <w:start w:val="1"/>
      <w:numFmt w:val="decimal"/>
      <w:lvlText w:val="%1.%2.%3.%4"/>
      <w:lvlJc w:val="left"/>
      <w:pPr>
        <w:ind w:left="1080" w:hanging="1080"/>
      </w:pPr>
      <w:rPr>
        <w:b/>
        <w:i w:val="0"/>
      </w:rPr>
    </w:lvl>
    <w:lvl w:ilvl="4">
      <w:start w:val="1"/>
      <w:numFmt w:val="decimal"/>
      <w:lvlText w:val="%1.%2.%3.%4.%5"/>
      <w:lvlJc w:val="left"/>
      <w:pPr>
        <w:ind w:left="1080" w:hanging="1080"/>
      </w:pPr>
      <w:rPr>
        <w:b/>
        <w:i w:val="0"/>
      </w:rPr>
    </w:lvl>
    <w:lvl w:ilvl="5">
      <w:start w:val="1"/>
      <w:numFmt w:val="decimal"/>
      <w:lvlText w:val="%1.%2.%3.%4.%5.%6"/>
      <w:lvlJc w:val="left"/>
      <w:pPr>
        <w:ind w:left="1440" w:hanging="1440"/>
      </w:pPr>
      <w:rPr>
        <w:b/>
        <w:i w:val="0"/>
      </w:rPr>
    </w:lvl>
    <w:lvl w:ilvl="6">
      <w:start w:val="1"/>
      <w:numFmt w:val="decimal"/>
      <w:lvlText w:val="%1.%2.%3.%4.%5.%6.%7"/>
      <w:lvlJc w:val="left"/>
      <w:pPr>
        <w:ind w:left="1440" w:hanging="1440"/>
      </w:pPr>
      <w:rPr>
        <w:b/>
        <w:i w:val="0"/>
      </w:rPr>
    </w:lvl>
    <w:lvl w:ilvl="7">
      <w:start w:val="1"/>
      <w:numFmt w:val="decimal"/>
      <w:lvlText w:val="%1.%2.%3.%4.%5.%6.%7.%8"/>
      <w:lvlJc w:val="left"/>
      <w:pPr>
        <w:ind w:left="1800" w:hanging="1800"/>
      </w:pPr>
      <w:rPr>
        <w:b/>
        <w:i w:val="0"/>
      </w:rPr>
    </w:lvl>
    <w:lvl w:ilvl="8">
      <w:start w:val="1"/>
      <w:numFmt w:val="decimal"/>
      <w:lvlText w:val="%1.%2.%3.%4.%5.%6.%7.%8.%9"/>
      <w:lvlJc w:val="left"/>
      <w:pPr>
        <w:ind w:left="1800" w:hanging="1800"/>
      </w:pPr>
      <w:rPr>
        <w:b/>
        <w:i w:val="0"/>
      </w:rPr>
    </w:lvl>
  </w:abstractNum>
  <w:abstractNum w:abstractNumId="124" w15:restartNumberingAfterBreak="0">
    <w:nsid w:val="50B27C7F"/>
    <w:multiLevelType w:val="hybridMultilevel"/>
    <w:tmpl w:val="D3D42910"/>
    <w:name w:val="List1339519059_1"/>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125" w15:restartNumberingAfterBreak="0">
    <w:nsid w:val="50B610F9"/>
    <w:multiLevelType w:val="hybridMultilevel"/>
    <w:tmpl w:val="B3460D44"/>
    <w:styleLink w:val="WWNum9141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6" w15:restartNumberingAfterBreak="0">
    <w:nsid w:val="50BE5FBF"/>
    <w:multiLevelType w:val="hybridMultilevel"/>
    <w:tmpl w:val="9DB6BF38"/>
    <w:styleLink w:val="WWNum314211"/>
    <w:lvl w:ilvl="0" w:tplc="140A0001">
      <w:numFmt w:val="decimal"/>
      <w:lvlText w:val=""/>
      <w:lvlJc w:val="left"/>
      <w:pPr>
        <w:ind w:left="1068"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127" w15:restartNumberingAfterBreak="0">
    <w:nsid w:val="50C55A7C"/>
    <w:multiLevelType w:val="hybridMultilevel"/>
    <w:tmpl w:val="FEE40C8C"/>
    <w:styleLink w:val="WWNum91133111"/>
    <w:lvl w:ilvl="0" w:tplc="140A0001">
      <w:start w:val="1"/>
      <w:numFmt w:val="bullet"/>
      <w:lvlText w:val=""/>
      <w:lvlJc w:val="left"/>
      <w:pPr>
        <w:ind w:left="2136" w:hanging="360"/>
      </w:pPr>
      <w:rPr>
        <w:rFonts w:ascii="Symbol" w:hAnsi="Symbol"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128" w15:restartNumberingAfterBreak="0">
    <w:nsid w:val="515D1433"/>
    <w:multiLevelType w:val="multilevel"/>
    <w:tmpl w:val="1D48CF4E"/>
    <w:name w:val="List1333989561_1"/>
    <w:styleLink w:val="11111111131111221"/>
    <w:lvl w:ilvl="0">
      <w:numFmt w:val="bullet"/>
      <w:lvlText w:val=""/>
      <w:lvlJc w:val="left"/>
      <w:pPr>
        <w:ind w:left="0" w:firstLine="0"/>
      </w:pPr>
      <w:rPr>
        <w:rFonts w:ascii="Wingdings" w:hAnsi="Wingdings"/>
        <w:b/>
      </w:rPr>
    </w:lvl>
    <w:lvl w:ilvl="1">
      <w:start w:val="1"/>
      <w:numFmt w:val="lowerLetter"/>
      <w:lvlText w:val="%2."/>
      <w:lvlJc w:val="left"/>
      <w:pPr>
        <w:ind w:left="0" w:firstLine="0"/>
      </w:pPr>
      <w:rPr>
        <w:rFonts w:cs="Times New Roman"/>
      </w:rPr>
    </w:lvl>
    <w:lvl w:ilvl="2">
      <w:start w:val="1"/>
      <w:numFmt w:val="lowerRoman"/>
      <w:lvlText w:val="%3."/>
      <w:lvlJc w:val="righ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righ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right"/>
      <w:pPr>
        <w:ind w:left="0" w:firstLine="0"/>
      </w:pPr>
      <w:rPr>
        <w:rFonts w:cs="Times New Roman"/>
      </w:rPr>
    </w:lvl>
  </w:abstractNum>
  <w:abstractNum w:abstractNumId="129" w15:restartNumberingAfterBreak="0">
    <w:nsid w:val="51C9407B"/>
    <w:multiLevelType w:val="hybridMultilevel"/>
    <w:tmpl w:val="D324B7A6"/>
    <w:styleLink w:val="WWNum1114211"/>
    <w:lvl w:ilvl="0" w:tplc="CBE6E990">
      <w:start w:val="1"/>
      <w:numFmt w:val="upperRoman"/>
      <w:lvlText w:val="%1."/>
      <w:lvlJc w:val="left"/>
      <w:pPr>
        <w:ind w:left="1080" w:hanging="72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30" w15:restartNumberingAfterBreak="0">
    <w:nsid w:val="527C1EEF"/>
    <w:multiLevelType w:val="hybridMultilevel"/>
    <w:tmpl w:val="248A258E"/>
    <w:styleLink w:val="WWNum111211"/>
    <w:lvl w:ilvl="0" w:tplc="32AEC680">
      <w:start w:val="1"/>
      <w:numFmt w:val="decimal"/>
      <w:lvlText w:val="%1."/>
      <w:lvlJc w:val="left"/>
      <w:pPr>
        <w:ind w:left="720" w:hanging="360"/>
      </w:pPr>
      <w:rPr>
        <w:rFonts w:ascii="Times New Roman" w:eastAsia="Times New Roman" w:hAnsi="Times New Roman" w:cs="Times New Roman"/>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31" w15:restartNumberingAfterBreak="0">
    <w:nsid w:val="52F839E2"/>
    <w:multiLevelType w:val="hybridMultilevel"/>
    <w:tmpl w:val="0F8026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2" w15:restartNumberingAfterBreak="0">
    <w:nsid w:val="5315203E"/>
    <w:multiLevelType w:val="hybridMultilevel"/>
    <w:tmpl w:val="E0F6BE60"/>
    <w:styleLink w:val="WWNum513311"/>
    <w:lvl w:ilvl="0" w:tplc="1C8A4F26">
      <w:start w:val="1"/>
      <w:numFmt w:val="lowerLetter"/>
      <w:lvlText w:val="%1)"/>
      <w:lvlJc w:val="left"/>
      <w:pPr>
        <w:ind w:left="720" w:hanging="360"/>
      </w:pPr>
      <w:rPr>
        <w:b/>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33" w15:restartNumberingAfterBreak="0">
    <w:nsid w:val="537D3BF5"/>
    <w:multiLevelType w:val="hybridMultilevel"/>
    <w:tmpl w:val="27FEB74A"/>
    <w:styleLink w:val="WWNum21511"/>
    <w:lvl w:ilvl="0" w:tplc="5C96736C">
      <w:numFmt w:val="decimal"/>
      <w:lvlText w:val=""/>
      <w:lvlJc w:val="left"/>
      <w:pPr>
        <w:ind w:left="1440" w:hanging="360"/>
      </w:pPr>
      <w:rPr>
        <w:rFonts w:ascii="Wingdings 3" w:hAnsi="Wingdings 3"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134" w15:restartNumberingAfterBreak="0">
    <w:nsid w:val="539A7CF3"/>
    <w:multiLevelType w:val="multilevel"/>
    <w:tmpl w:val="27A4415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cs="Arial" w:hint="default"/>
        <w:b/>
      </w:rPr>
    </w:lvl>
    <w:lvl w:ilvl="2">
      <w:start w:val="1"/>
      <w:numFmt w:val="decimal"/>
      <w:isLgl/>
      <w:lvlText w:val="%1.%2.%3."/>
      <w:lvlJc w:val="left"/>
      <w:pPr>
        <w:ind w:left="1080" w:hanging="720"/>
      </w:pPr>
      <w:rPr>
        <w:rFonts w:cs="Arial" w:hint="default"/>
        <w:b/>
      </w:rPr>
    </w:lvl>
    <w:lvl w:ilvl="3">
      <w:start w:val="1"/>
      <w:numFmt w:val="decimal"/>
      <w:isLgl/>
      <w:lvlText w:val="%1.%2.%3.%4."/>
      <w:lvlJc w:val="left"/>
      <w:pPr>
        <w:ind w:left="1440" w:hanging="1080"/>
      </w:pPr>
      <w:rPr>
        <w:rFonts w:cs="Arial" w:hint="default"/>
        <w:b/>
      </w:rPr>
    </w:lvl>
    <w:lvl w:ilvl="4">
      <w:start w:val="1"/>
      <w:numFmt w:val="decimal"/>
      <w:isLgl/>
      <w:lvlText w:val="%1.%2.%3.%4.%5."/>
      <w:lvlJc w:val="left"/>
      <w:pPr>
        <w:ind w:left="1440" w:hanging="1080"/>
      </w:pPr>
      <w:rPr>
        <w:rFonts w:cs="Arial" w:hint="default"/>
        <w:b/>
      </w:rPr>
    </w:lvl>
    <w:lvl w:ilvl="5">
      <w:start w:val="1"/>
      <w:numFmt w:val="decimal"/>
      <w:isLgl/>
      <w:lvlText w:val="%1.%2.%3.%4.%5.%6."/>
      <w:lvlJc w:val="left"/>
      <w:pPr>
        <w:ind w:left="1800" w:hanging="1440"/>
      </w:pPr>
      <w:rPr>
        <w:rFonts w:cs="Arial" w:hint="default"/>
        <w:b/>
      </w:rPr>
    </w:lvl>
    <w:lvl w:ilvl="6">
      <w:start w:val="1"/>
      <w:numFmt w:val="decimal"/>
      <w:isLgl/>
      <w:lvlText w:val="%1.%2.%3.%4.%5.%6.%7."/>
      <w:lvlJc w:val="left"/>
      <w:pPr>
        <w:ind w:left="1800" w:hanging="1440"/>
      </w:pPr>
      <w:rPr>
        <w:rFonts w:cs="Arial" w:hint="default"/>
        <w:b/>
      </w:rPr>
    </w:lvl>
    <w:lvl w:ilvl="7">
      <w:start w:val="1"/>
      <w:numFmt w:val="decimal"/>
      <w:isLgl/>
      <w:lvlText w:val="%1.%2.%3.%4.%5.%6.%7.%8."/>
      <w:lvlJc w:val="left"/>
      <w:pPr>
        <w:ind w:left="2160" w:hanging="1800"/>
      </w:pPr>
      <w:rPr>
        <w:rFonts w:cs="Arial" w:hint="default"/>
        <w:b/>
      </w:rPr>
    </w:lvl>
    <w:lvl w:ilvl="8">
      <w:start w:val="1"/>
      <w:numFmt w:val="decimal"/>
      <w:isLgl/>
      <w:lvlText w:val="%1.%2.%3.%4.%5.%6.%7.%8.%9."/>
      <w:lvlJc w:val="left"/>
      <w:pPr>
        <w:ind w:left="2520" w:hanging="2160"/>
      </w:pPr>
      <w:rPr>
        <w:rFonts w:cs="Arial" w:hint="default"/>
        <w:b/>
      </w:rPr>
    </w:lvl>
  </w:abstractNum>
  <w:abstractNum w:abstractNumId="135" w15:restartNumberingAfterBreak="0">
    <w:nsid w:val="53D379FB"/>
    <w:multiLevelType w:val="hybridMultilevel"/>
    <w:tmpl w:val="F0988A8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36" w15:restartNumberingAfterBreak="0">
    <w:nsid w:val="53EF483D"/>
    <w:multiLevelType w:val="hybridMultilevel"/>
    <w:tmpl w:val="742C2166"/>
    <w:styleLink w:val="Estilo42111"/>
    <w:lvl w:ilvl="0" w:tplc="C19C1ECA">
      <w:numFmt w:val="bullet"/>
      <w:lvlText w:val="-"/>
      <w:lvlJc w:val="left"/>
      <w:pPr>
        <w:ind w:left="420" w:hanging="360"/>
      </w:pPr>
      <w:rPr>
        <w:rFonts w:ascii="Times New Roman" w:eastAsia="Calibri" w:hAnsi="Times New Roman" w:cs="Times New Roman" w:hint="default"/>
        <w:b/>
      </w:rPr>
    </w:lvl>
    <w:lvl w:ilvl="1" w:tplc="8CBC6AF8">
      <w:start w:val="1"/>
      <w:numFmt w:val="decimal"/>
      <w:lvlText w:val="%2."/>
      <w:lvlJc w:val="left"/>
      <w:pPr>
        <w:tabs>
          <w:tab w:val="num" w:pos="1440"/>
        </w:tabs>
        <w:ind w:left="1440" w:hanging="360"/>
      </w:pPr>
    </w:lvl>
    <w:lvl w:ilvl="2" w:tplc="421817A0">
      <w:start w:val="1"/>
      <w:numFmt w:val="decimal"/>
      <w:lvlText w:val="%3."/>
      <w:lvlJc w:val="left"/>
      <w:pPr>
        <w:tabs>
          <w:tab w:val="num" w:pos="2160"/>
        </w:tabs>
        <w:ind w:left="2160" w:hanging="360"/>
      </w:pPr>
    </w:lvl>
    <w:lvl w:ilvl="3" w:tplc="C492B168">
      <w:start w:val="1"/>
      <w:numFmt w:val="decimal"/>
      <w:lvlText w:val="%4."/>
      <w:lvlJc w:val="left"/>
      <w:pPr>
        <w:tabs>
          <w:tab w:val="num" w:pos="2880"/>
        </w:tabs>
        <w:ind w:left="2880" w:hanging="360"/>
      </w:pPr>
    </w:lvl>
    <w:lvl w:ilvl="4" w:tplc="52EEEFDA">
      <w:start w:val="1"/>
      <w:numFmt w:val="decimal"/>
      <w:lvlText w:val="%5."/>
      <w:lvlJc w:val="left"/>
      <w:pPr>
        <w:tabs>
          <w:tab w:val="num" w:pos="3600"/>
        </w:tabs>
        <w:ind w:left="3600" w:hanging="360"/>
      </w:pPr>
    </w:lvl>
    <w:lvl w:ilvl="5" w:tplc="46BC241C">
      <w:start w:val="1"/>
      <w:numFmt w:val="decimal"/>
      <w:lvlText w:val="%6."/>
      <w:lvlJc w:val="left"/>
      <w:pPr>
        <w:tabs>
          <w:tab w:val="num" w:pos="4320"/>
        </w:tabs>
        <w:ind w:left="4320" w:hanging="360"/>
      </w:pPr>
    </w:lvl>
    <w:lvl w:ilvl="6" w:tplc="9CC82E82">
      <w:start w:val="1"/>
      <w:numFmt w:val="decimal"/>
      <w:lvlText w:val="%7."/>
      <w:lvlJc w:val="left"/>
      <w:pPr>
        <w:tabs>
          <w:tab w:val="num" w:pos="5040"/>
        </w:tabs>
        <w:ind w:left="5040" w:hanging="360"/>
      </w:pPr>
    </w:lvl>
    <w:lvl w:ilvl="7" w:tplc="9FE45760">
      <w:start w:val="1"/>
      <w:numFmt w:val="decimal"/>
      <w:lvlText w:val="%8."/>
      <w:lvlJc w:val="left"/>
      <w:pPr>
        <w:tabs>
          <w:tab w:val="num" w:pos="5760"/>
        </w:tabs>
        <w:ind w:left="5760" w:hanging="360"/>
      </w:pPr>
    </w:lvl>
    <w:lvl w:ilvl="8" w:tplc="770EE44C">
      <w:start w:val="1"/>
      <w:numFmt w:val="decimal"/>
      <w:lvlText w:val="%9."/>
      <w:lvlJc w:val="left"/>
      <w:pPr>
        <w:tabs>
          <w:tab w:val="num" w:pos="6480"/>
        </w:tabs>
        <w:ind w:left="6480" w:hanging="360"/>
      </w:pPr>
    </w:lvl>
  </w:abstractNum>
  <w:abstractNum w:abstractNumId="137" w15:restartNumberingAfterBreak="0">
    <w:nsid w:val="54B154F8"/>
    <w:multiLevelType w:val="multilevel"/>
    <w:tmpl w:val="C8FE6164"/>
    <w:lvl w:ilvl="0">
      <w:start w:val="7"/>
      <w:numFmt w:val="decimal"/>
      <w:lvlText w:val="%1"/>
      <w:lvlJc w:val="left"/>
      <w:pPr>
        <w:ind w:left="36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040" w:hanging="1800"/>
      </w:pPr>
      <w:rPr>
        <w:rFonts w:hint="default"/>
      </w:rPr>
    </w:lvl>
  </w:abstractNum>
  <w:abstractNum w:abstractNumId="138" w15:restartNumberingAfterBreak="0">
    <w:nsid w:val="55711F83"/>
    <w:multiLevelType w:val="hybridMultilevel"/>
    <w:tmpl w:val="29C8552A"/>
    <w:styleLink w:val="WWNum5133111"/>
    <w:lvl w:ilvl="0" w:tplc="140A0001">
      <w:start w:val="1"/>
      <w:numFmt w:val="bullet"/>
      <w:pStyle w:val="Listaconnmeros23"/>
      <w:lvlText w:val=""/>
      <w:lvlJc w:val="left"/>
      <w:pPr>
        <w:ind w:left="720"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139" w15:restartNumberingAfterBreak="0">
    <w:nsid w:val="56C5169F"/>
    <w:multiLevelType w:val="hybridMultilevel"/>
    <w:tmpl w:val="3336F1F4"/>
    <w:styleLink w:val="WWNum611111112111"/>
    <w:lvl w:ilvl="0" w:tplc="34D193F1">
      <w:start w:val="1"/>
      <w:numFmt w:val="lowerLetter"/>
      <w:lvlText w:val="%1)"/>
      <w:lvlJc w:val="left"/>
      <w:pPr>
        <w:ind w:left="720" w:hanging="360"/>
      </w:pPr>
      <w:rPr>
        <w:rFonts w:ascii="Arial" w:hAnsi="Arial" w:cs="Arial"/>
        <w:spacing w:val="5"/>
        <w:sz w:val="23"/>
        <w:szCs w:val="23"/>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40" w15:restartNumberingAfterBreak="0">
    <w:nsid w:val="56E2533C"/>
    <w:multiLevelType w:val="hybridMultilevel"/>
    <w:tmpl w:val="C87026FC"/>
    <w:styleLink w:val="WWNum2111122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1" w15:restartNumberingAfterBreak="0">
    <w:nsid w:val="578375B2"/>
    <w:multiLevelType w:val="hybridMultilevel"/>
    <w:tmpl w:val="26142C6E"/>
    <w:styleLink w:val="Estilo421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2" w15:restartNumberingAfterBreak="0">
    <w:nsid w:val="581B5BE9"/>
    <w:multiLevelType w:val="hybridMultilevel"/>
    <w:tmpl w:val="9B2091D2"/>
    <w:styleLink w:val="WWNum61411"/>
    <w:lvl w:ilvl="0" w:tplc="140A000F">
      <w:start w:val="1"/>
      <w:numFmt w:val="decimal"/>
      <w:lvlText w:val="%1."/>
      <w:lvlJc w:val="left"/>
      <w:pPr>
        <w:ind w:left="720" w:hanging="360"/>
      </w:p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3" w15:restartNumberingAfterBreak="0">
    <w:nsid w:val="58B56337"/>
    <w:multiLevelType w:val="multilevel"/>
    <w:tmpl w:val="EF74B380"/>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4" w15:restartNumberingAfterBreak="0">
    <w:nsid w:val="5945715F"/>
    <w:multiLevelType w:val="hybridMultilevel"/>
    <w:tmpl w:val="8A58EA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5" w15:restartNumberingAfterBreak="0">
    <w:nsid w:val="596D04E6"/>
    <w:multiLevelType w:val="hybridMultilevel"/>
    <w:tmpl w:val="24A65240"/>
    <w:styleLink w:val="WWNum71411211"/>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6" w15:restartNumberingAfterBreak="0">
    <w:nsid w:val="5A677014"/>
    <w:multiLevelType w:val="hybridMultilevel"/>
    <w:tmpl w:val="5EAE8DD2"/>
    <w:styleLink w:val="WWNum5111"/>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7" w15:restartNumberingAfterBreak="0">
    <w:nsid w:val="5B0C2AA3"/>
    <w:multiLevelType w:val="hybridMultilevel"/>
    <w:tmpl w:val="CACCAD5E"/>
    <w:lvl w:ilvl="0" w:tplc="140A000D">
      <w:start w:val="1"/>
      <w:numFmt w:val="bullet"/>
      <w:lvlText w:val=""/>
      <w:lvlJc w:val="left"/>
      <w:pPr>
        <w:ind w:left="1068" w:hanging="360"/>
      </w:pPr>
      <w:rPr>
        <w:rFonts w:ascii="Wingdings" w:hAnsi="Wingdings"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48" w15:restartNumberingAfterBreak="0">
    <w:nsid w:val="5C5167B3"/>
    <w:multiLevelType w:val="hybridMultilevel"/>
    <w:tmpl w:val="6B82E03C"/>
    <w:lvl w:ilvl="0" w:tplc="525E3104">
      <w:start w:val="1"/>
      <w:numFmt w:val="lowerLetter"/>
      <w:lvlText w:val="%1)"/>
      <w:lvlJc w:val="left"/>
      <w:pPr>
        <w:ind w:left="1146"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9"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0" w15:restartNumberingAfterBreak="0">
    <w:nsid w:val="5E830958"/>
    <w:multiLevelType w:val="hybridMultilevel"/>
    <w:tmpl w:val="4C0E48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1" w15:restartNumberingAfterBreak="0">
    <w:nsid w:val="5F417C28"/>
    <w:multiLevelType w:val="hybridMultilevel"/>
    <w:tmpl w:val="5BDA49C0"/>
    <w:lvl w:ilvl="0" w:tplc="140A000F">
      <w:start w:val="4"/>
      <w:numFmt w:val="decimal"/>
      <w:lvlText w:val="%1."/>
      <w:lvlJc w:val="left"/>
      <w:pPr>
        <w:ind w:left="720"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2" w15:restartNumberingAfterBreak="0">
    <w:nsid w:val="5F877A8B"/>
    <w:multiLevelType w:val="hybridMultilevel"/>
    <w:tmpl w:val="FBBE43D6"/>
    <w:styleLink w:val="Nmero"/>
    <w:lvl w:ilvl="0" w:tplc="EDCEBC26">
      <w:start w:val="1"/>
      <w:numFmt w:val="decimal"/>
      <w:lvlText w:val="%1."/>
      <w:lvlJc w:val="left"/>
      <w:pPr>
        <w:ind w:left="36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1" w:tplc="82D83B74">
      <w:start w:val="1"/>
      <w:numFmt w:val="decimal"/>
      <w:lvlText w:val="%2."/>
      <w:lvlJc w:val="left"/>
      <w:pPr>
        <w:ind w:left="1137" w:hanging="337"/>
      </w:pPr>
      <w:rPr>
        <w:rFonts w:hAnsi="Arial Unicode MS"/>
        <w:i/>
        <w:iCs/>
        <w:caps w:val="0"/>
        <w:smallCaps w:val="0"/>
        <w:strike w:val="0"/>
        <w:dstrike w:val="0"/>
        <w:outline w:val="0"/>
        <w:emboss w:val="0"/>
        <w:imprint w:val="0"/>
        <w:spacing w:val="0"/>
        <w:w w:val="100"/>
        <w:kern w:val="0"/>
        <w:position w:val="0"/>
        <w:highlight w:val="none"/>
        <w:vertAlign w:val="baseline"/>
      </w:rPr>
    </w:lvl>
    <w:lvl w:ilvl="2" w:tplc="3D764CFC">
      <w:start w:val="1"/>
      <w:numFmt w:val="decimal"/>
      <w:lvlText w:val="%3."/>
      <w:lvlJc w:val="left"/>
      <w:pPr>
        <w:ind w:left="1832" w:hanging="232"/>
      </w:pPr>
      <w:rPr>
        <w:rFonts w:hAnsi="Arial Unicode MS"/>
        <w:i/>
        <w:iCs/>
        <w:caps w:val="0"/>
        <w:smallCaps w:val="0"/>
        <w:strike w:val="0"/>
        <w:dstrike w:val="0"/>
        <w:outline w:val="0"/>
        <w:emboss w:val="0"/>
        <w:imprint w:val="0"/>
        <w:spacing w:val="0"/>
        <w:w w:val="100"/>
        <w:kern w:val="0"/>
        <w:position w:val="0"/>
        <w:highlight w:val="none"/>
        <w:vertAlign w:val="baseline"/>
      </w:rPr>
    </w:lvl>
    <w:lvl w:ilvl="3" w:tplc="BEE60E4E">
      <w:start w:val="1"/>
      <w:numFmt w:val="decimal"/>
      <w:lvlText w:val="%4."/>
      <w:lvlJc w:val="left"/>
      <w:pPr>
        <w:ind w:left="2632" w:hanging="232"/>
      </w:pPr>
      <w:rPr>
        <w:rFonts w:hAnsi="Arial Unicode MS"/>
        <w:i/>
        <w:iCs/>
        <w:caps w:val="0"/>
        <w:smallCaps w:val="0"/>
        <w:strike w:val="0"/>
        <w:dstrike w:val="0"/>
        <w:outline w:val="0"/>
        <w:emboss w:val="0"/>
        <w:imprint w:val="0"/>
        <w:spacing w:val="0"/>
        <w:w w:val="100"/>
        <w:kern w:val="0"/>
        <w:position w:val="0"/>
        <w:highlight w:val="none"/>
        <w:vertAlign w:val="baseline"/>
      </w:rPr>
    </w:lvl>
    <w:lvl w:ilvl="4" w:tplc="3B38379E">
      <w:start w:val="1"/>
      <w:numFmt w:val="decimal"/>
      <w:lvlText w:val="%5."/>
      <w:lvlJc w:val="left"/>
      <w:pPr>
        <w:ind w:left="3432" w:hanging="232"/>
      </w:pPr>
      <w:rPr>
        <w:rFonts w:hAnsi="Arial Unicode MS"/>
        <w:i/>
        <w:iCs/>
        <w:caps w:val="0"/>
        <w:smallCaps w:val="0"/>
        <w:strike w:val="0"/>
        <w:dstrike w:val="0"/>
        <w:outline w:val="0"/>
        <w:emboss w:val="0"/>
        <w:imprint w:val="0"/>
        <w:spacing w:val="0"/>
        <w:w w:val="100"/>
        <w:kern w:val="0"/>
        <w:position w:val="0"/>
        <w:highlight w:val="none"/>
        <w:vertAlign w:val="baseline"/>
      </w:rPr>
    </w:lvl>
    <w:lvl w:ilvl="5" w:tplc="162E4712">
      <w:start w:val="1"/>
      <w:numFmt w:val="decimal"/>
      <w:lvlText w:val="%6."/>
      <w:lvlJc w:val="left"/>
      <w:pPr>
        <w:ind w:left="4232" w:hanging="232"/>
      </w:pPr>
      <w:rPr>
        <w:rFonts w:hAnsi="Arial Unicode MS"/>
        <w:i/>
        <w:iCs/>
        <w:caps w:val="0"/>
        <w:smallCaps w:val="0"/>
        <w:strike w:val="0"/>
        <w:dstrike w:val="0"/>
        <w:outline w:val="0"/>
        <w:emboss w:val="0"/>
        <w:imprint w:val="0"/>
        <w:spacing w:val="0"/>
        <w:w w:val="100"/>
        <w:kern w:val="0"/>
        <w:position w:val="0"/>
        <w:highlight w:val="none"/>
        <w:vertAlign w:val="baseline"/>
      </w:rPr>
    </w:lvl>
    <w:lvl w:ilvl="6" w:tplc="D29ADADA">
      <w:start w:val="1"/>
      <w:numFmt w:val="decimal"/>
      <w:lvlText w:val="%7."/>
      <w:lvlJc w:val="left"/>
      <w:pPr>
        <w:ind w:left="5032" w:hanging="232"/>
      </w:pPr>
      <w:rPr>
        <w:rFonts w:hAnsi="Arial Unicode MS"/>
        <w:i/>
        <w:iCs/>
        <w:caps w:val="0"/>
        <w:smallCaps w:val="0"/>
        <w:strike w:val="0"/>
        <w:dstrike w:val="0"/>
        <w:outline w:val="0"/>
        <w:emboss w:val="0"/>
        <w:imprint w:val="0"/>
        <w:spacing w:val="0"/>
        <w:w w:val="100"/>
        <w:kern w:val="0"/>
        <w:position w:val="0"/>
        <w:highlight w:val="none"/>
        <w:vertAlign w:val="baseline"/>
      </w:rPr>
    </w:lvl>
    <w:lvl w:ilvl="7" w:tplc="91EA62E2">
      <w:start w:val="1"/>
      <w:numFmt w:val="decimal"/>
      <w:lvlText w:val="%8."/>
      <w:lvlJc w:val="left"/>
      <w:pPr>
        <w:ind w:left="5832" w:hanging="232"/>
      </w:pPr>
      <w:rPr>
        <w:rFonts w:hAnsi="Arial Unicode MS"/>
        <w:i/>
        <w:iCs/>
        <w:caps w:val="0"/>
        <w:smallCaps w:val="0"/>
        <w:strike w:val="0"/>
        <w:dstrike w:val="0"/>
        <w:outline w:val="0"/>
        <w:emboss w:val="0"/>
        <w:imprint w:val="0"/>
        <w:spacing w:val="0"/>
        <w:w w:val="100"/>
        <w:kern w:val="0"/>
        <w:position w:val="0"/>
        <w:highlight w:val="none"/>
        <w:vertAlign w:val="baseline"/>
      </w:rPr>
    </w:lvl>
    <w:lvl w:ilvl="8" w:tplc="CE0C25DC">
      <w:start w:val="1"/>
      <w:numFmt w:val="decimal"/>
      <w:lvlText w:val="%9."/>
      <w:lvlJc w:val="left"/>
      <w:pPr>
        <w:ind w:left="6632" w:hanging="232"/>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60266D54"/>
    <w:multiLevelType w:val="hybridMultilevel"/>
    <w:tmpl w:val="018483D2"/>
    <w:lvl w:ilvl="0" w:tplc="73389F70">
      <w:start w:val="1"/>
      <w:numFmt w:val="lowerLetter"/>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54" w15:restartNumberingAfterBreak="0">
    <w:nsid w:val="60C41CCA"/>
    <w:multiLevelType w:val="hybridMultilevel"/>
    <w:tmpl w:val="E9DC5E8C"/>
    <w:styleLink w:val="WWNum41132111"/>
    <w:lvl w:ilvl="0" w:tplc="140A0011">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55" w15:restartNumberingAfterBreak="0">
    <w:nsid w:val="60C65E47"/>
    <w:multiLevelType w:val="hybridMultilevel"/>
    <w:tmpl w:val="04E2B594"/>
    <w:lvl w:ilvl="0" w:tplc="5B6809C6">
      <w:start w:val="1"/>
      <w:numFmt w:val="bullet"/>
      <w:pStyle w:val="Listaconnmeros33"/>
      <w:lvlText w:val=""/>
      <w:lvlJc w:val="left"/>
      <w:pPr>
        <w:ind w:left="720" w:hanging="360"/>
      </w:pPr>
      <w:rPr>
        <w:rFonts w:ascii="Symbol" w:hAnsi="Symbol" w:hint="default"/>
      </w:rPr>
    </w:lvl>
    <w:lvl w:ilvl="1" w:tplc="4538C8F6">
      <w:start w:val="1"/>
      <w:numFmt w:val="bullet"/>
      <w:lvlText w:val="o"/>
      <w:lvlJc w:val="left"/>
      <w:pPr>
        <w:ind w:left="1440" w:hanging="360"/>
      </w:pPr>
      <w:rPr>
        <w:rFonts w:ascii="Courier New" w:hAnsi="Courier New" w:cs="Courier New" w:hint="default"/>
      </w:rPr>
    </w:lvl>
    <w:lvl w:ilvl="2" w:tplc="3E1C13C4">
      <w:start w:val="1"/>
      <w:numFmt w:val="bullet"/>
      <w:lvlText w:val=""/>
      <w:lvlJc w:val="left"/>
      <w:pPr>
        <w:ind w:left="2160" w:hanging="360"/>
      </w:pPr>
      <w:rPr>
        <w:rFonts w:ascii="Wingdings" w:hAnsi="Wingdings" w:hint="default"/>
      </w:rPr>
    </w:lvl>
    <w:lvl w:ilvl="3" w:tplc="9CF61BA8">
      <w:start w:val="1"/>
      <w:numFmt w:val="bullet"/>
      <w:lvlText w:val=""/>
      <w:lvlJc w:val="left"/>
      <w:pPr>
        <w:ind w:left="2880" w:hanging="360"/>
      </w:pPr>
      <w:rPr>
        <w:rFonts w:ascii="Symbol" w:hAnsi="Symbol" w:hint="default"/>
      </w:rPr>
    </w:lvl>
    <w:lvl w:ilvl="4" w:tplc="4F2EE7DE">
      <w:start w:val="1"/>
      <w:numFmt w:val="bullet"/>
      <w:lvlText w:val="o"/>
      <w:lvlJc w:val="left"/>
      <w:pPr>
        <w:ind w:left="3600" w:hanging="360"/>
      </w:pPr>
      <w:rPr>
        <w:rFonts w:ascii="Courier New" w:hAnsi="Courier New" w:cs="Courier New" w:hint="default"/>
      </w:rPr>
    </w:lvl>
    <w:lvl w:ilvl="5" w:tplc="B476BDC8">
      <w:start w:val="1"/>
      <w:numFmt w:val="bullet"/>
      <w:lvlText w:val=""/>
      <w:lvlJc w:val="left"/>
      <w:pPr>
        <w:ind w:left="4320" w:hanging="360"/>
      </w:pPr>
      <w:rPr>
        <w:rFonts w:ascii="Wingdings" w:hAnsi="Wingdings" w:hint="default"/>
      </w:rPr>
    </w:lvl>
    <w:lvl w:ilvl="6" w:tplc="5128055C">
      <w:start w:val="1"/>
      <w:numFmt w:val="bullet"/>
      <w:lvlText w:val=""/>
      <w:lvlJc w:val="left"/>
      <w:pPr>
        <w:ind w:left="5040" w:hanging="360"/>
      </w:pPr>
      <w:rPr>
        <w:rFonts w:ascii="Symbol" w:hAnsi="Symbol" w:hint="default"/>
      </w:rPr>
    </w:lvl>
    <w:lvl w:ilvl="7" w:tplc="E3F24512">
      <w:start w:val="1"/>
      <w:numFmt w:val="bullet"/>
      <w:lvlText w:val="o"/>
      <w:lvlJc w:val="left"/>
      <w:pPr>
        <w:ind w:left="5760" w:hanging="360"/>
      </w:pPr>
      <w:rPr>
        <w:rFonts w:ascii="Courier New" w:hAnsi="Courier New" w:cs="Courier New" w:hint="default"/>
      </w:rPr>
    </w:lvl>
    <w:lvl w:ilvl="8" w:tplc="34EA48B2">
      <w:start w:val="1"/>
      <w:numFmt w:val="bullet"/>
      <w:lvlText w:val=""/>
      <w:lvlJc w:val="left"/>
      <w:pPr>
        <w:ind w:left="6480" w:hanging="360"/>
      </w:pPr>
      <w:rPr>
        <w:rFonts w:ascii="Wingdings" w:hAnsi="Wingdings" w:hint="default"/>
      </w:rPr>
    </w:lvl>
  </w:abstractNum>
  <w:abstractNum w:abstractNumId="156" w15:restartNumberingAfterBreak="0">
    <w:nsid w:val="61C638B9"/>
    <w:multiLevelType w:val="multilevel"/>
    <w:tmpl w:val="B7B8A092"/>
    <w:lvl w:ilvl="0">
      <w:start w:val="5"/>
      <w:numFmt w:val="decimal"/>
      <w:lvlText w:val="%1."/>
      <w:lvlJc w:val="left"/>
      <w:pPr>
        <w:ind w:left="360" w:hanging="360"/>
      </w:pPr>
      <w:rPr>
        <w:rFonts w:eastAsia="Calibri" w:cs="Arial" w:hint="default"/>
      </w:rPr>
    </w:lvl>
    <w:lvl w:ilvl="1">
      <w:start w:val="1"/>
      <w:numFmt w:val="decimal"/>
      <w:lvlText w:val="%1.%2."/>
      <w:lvlJc w:val="left"/>
      <w:pPr>
        <w:ind w:left="720" w:hanging="720"/>
      </w:pPr>
      <w:rPr>
        <w:rFonts w:eastAsia="Calibri" w:cs="Arial" w:hint="default"/>
      </w:rPr>
    </w:lvl>
    <w:lvl w:ilvl="2">
      <w:start w:val="1"/>
      <w:numFmt w:val="decimal"/>
      <w:lvlText w:val="%1.%2.%3."/>
      <w:lvlJc w:val="left"/>
      <w:pPr>
        <w:ind w:left="720" w:hanging="720"/>
      </w:pPr>
      <w:rPr>
        <w:rFonts w:eastAsia="Calibri" w:cs="Arial" w:hint="default"/>
      </w:rPr>
    </w:lvl>
    <w:lvl w:ilvl="3">
      <w:start w:val="1"/>
      <w:numFmt w:val="decimal"/>
      <w:lvlText w:val="%1.%2.%3.%4."/>
      <w:lvlJc w:val="left"/>
      <w:pPr>
        <w:ind w:left="1080" w:hanging="1080"/>
      </w:pPr>
      <w:rPr>
        <w:rFonts w:eastAsia="Calibri" w:cs="Arial" w:hint="default"/>
      </w:rPr>
    </w:lvl>
    <w:lvl w:ilvl="4">
      <w:start w:val="1"/>
      <w:numFmt w:val="decimal"/>
      <w:lvlText w:val="%1.%2.%3.%4.%5."/>
      <w:lvlJc w:val="left"/>
      <w:pPr>
        <w:ind w:left="1440" w:hanging="1440"/>
      </w:pPr>
      <w:rPr>
        <w:rFonts w:eastAsia="Calibri" w:cs="Arial" w:hint="default"/>
      </w:rPr>
    </w:lvl>
    <w:lvl w:ilvl="5">
      <w:start w:val="1"/>
      <w:numFmt w:val="decimal"/>
      <w:lvlText w:val="%1.%2.%3.%4.%5.%6."/>
      <w:lvlJc w:val="left"/>
      <w:pPr>
        <w:ind w:left="1440" w:hanging="1440"/>
      </w:pPr>
      <w:rPr>
        <w:rFonts w:eastAsia="Calibri" w:cs="Arial" w:hint="default"/>
      </w:rPr>
    </w:lvl>
    <w:lvl w:ilvl="6">
      <w:start w:val="1"/>
      <w:numFmt w:val="decimal"/>
      <w:lvlText w:val="%1.%2.%3.%4.%5.%6.%7."/>
      <w:lvlJc w:val="left"/>
      <w:pPr>
        <w:ind w:left="1800" w:hanging="1800"/>
      </w:pPr>
      <w:rPr>
        <w:rFonts w:eastAsia="Calibri" w:cs="Arial" w:hint="default"/>
      </w:rPr>
    </w:lvl>
    <w:lvl w:ilvl="7">
      <w:start w:val="1"/>
      <w:numFmt w:val="decimal"/>
      <w:lvlText w:val="%1.%2.%3.%4.%5.%6.%7.%8."/>
      <w:lvlJc w:val="left"/>
      <w:pPr>
        <w:ind w:left="2160" w:hanging="2160"/>
      </w:pPr>
      <w:rPr>
        <w:rFonts w:eastAsia="Calibri" w:cs="Arial" w:hint="default"/>
      </w:rPr>
    </w:lvl>
    <w:lvl w:ilvl="8">
      <w:start w:val="1"/>
      <w:numFmt w:val="decimal"/>
      <w:lvlText w:val="%1.%2.%3.%4.%5.%6.%7.%8.%9."/>
      <w:lvlJc w:val="left"/>
      <w:pPr>
        <w:ind w:left="2160" w:hanging="2160"/>
      </w:pPr>
      <w:rPr>
        <w:rFonts w:eastAsia="Calibri" w:cs="Arial" w:hint="default"/>
      </w:rPr>
    </w:lvl>
  </w:abstractNum>
  <w:abstractNum w:abstractNumId="157" w15:restartNumberingAfterBreak="0">
    <w:nsid w:val="61E9637E"/>
    <w:multiLevelType w:val="multilevel"/>
    <w:tmpl w:val="A30A5490"/>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ascii="Book Antiqua" w:hAnsi="Book Antiqua" w:cs="Arial" w:hint="default"/>
        <w:b w:val="0"/>
        <w:color w:val="auto"/>
        <w:sz w:val="24"/>
      </w:rPr>
    </w:lvl>
    <w:lvl w:ilvl="2">
      <w:start w:val="1"/>
      <w:numFmt w:val="decimal"/>
      <w:isLgl/>
      <w:lvlText w:val="%1.%2.%3."/>
      <w:lvlJc w:val="left"/>
      <w:pPr>
        <w:ind w:left="1080" w:hanging="720"/>
      </w:pPr>
      <w:rPr>
        <w:rFonts w:ascii="Book Antiqua" w:hAnsi="Book Antiqua" w:cs="Arial" w:hint="default"/>
        <w:b w:val="0"/>
        <w:color w:val="auto"/>
        <w:sz w:val="24"/>
      </w:rPr>
    </w:lvl>
    <w:lvl w:ilvl="3">
      <w:start w:val="1"/>
      <w:numFmt w:val="decimal"/>
      <w:isLgl/>
      <w:lvlText w:val="%1.%2.%3.%4."/>
      <w:lvlJc w:val="left"/>
      <w:pPr>
        <w:ind w:left="1080" w:hanging="720"/>
      </w:pPr>
      <w:rPr>
        <w:rFonts w:ascii="Book Antiqua" w:hAnsi="Book Antiqua" w:cs="Arial" w:hint="default"/>
        <w:b w:val="0"/>
        <w:color w:val="auto"/>
        <w:sz w:val="24"/>
      </w:rPr>
    </w:lvl>
    <w:lvl w:ilvl="4">
      <w:start w:val="1"/>
      <w:numFmt w:val="decimal"/>
      <w:isLgl/>
      <w:lvlText w:val="%1.%2.%3.%4.%5."/>
      <w:lvlJc w:val="left"/>
      <w:pPr>
        <w:ind w:left="1440" w:hanging="1080"/>
      </w:pPr>
      <w:rPr>
        <w:rFonts w:ascii="Book Antiqua" w:hAnsi="Book Antiqua" w:cs="Arial" w:hint="default"/>
        <w:b w:val="0"/>
        <w:color w:val="auto"/>
        <w:sz w:val="24"/>
      </w:rPr>
    </w:lvl>
    <w:lvl w:ilvl="5">
      <w:start w:val="1"/>
      <w:numFmt w:val="decimal"/>
      <w:isLgl/>
      <w:lvlText w:val="%1.%2.%3.%4.%5.%6."/>
      <w:lvlJc w:val="left"/>
      <w:pPr>
        <w:ind w:left="1440" w:hanging="1080"/>
      </w:pPr>
      <w:rPr>
        <w:rFonts w:ascii="Book Antiqua" w:hAnsi="Book Antiqua" w:cs="Arial" w:hint="default"/>
        <w:b w:val="0"/>
        <w:color w:val="auto"/>
        <w:sz w:val="24"/>
      </w:rPr>
    </w:lvl>
    <w:lvl w:ilvl="6">
      <w:start w:val="1"/>
      <w:numFmt w:val="decimal"/>
      <w:isLgl/>
      <w:lvlText w:val="%1.%2.%3.%4.%5.%6.%7."/>
      <w:lvlJc w:val="left"/>
      <w:pPr>
        <w:ind w:left="1800" w:hanging="1440"/>
      </w:pPr>
      <w:rPr>
        <w:rFonts w:ascii="Book Antiqua" w:hAnsi="Book Antiqua" w:cs="Arial" w:hint="default"/>
        <w:b w:val="0"/>
        <w:color w:val="auto"/>
        <w:sz w:val="24"/>
      </w:rPr>
    </w:lvl>
    <w:lvl w:ilvl="7">
      <w:start w:val="1"/>
      <w:numFmt w:val="decimal"/>
      <w:isLgl/>
      <w:lvlText w:val="%1.%2.%3.%4.%5.%6.%7.%8."/>
      <w:lvlJc w:val="left"/>
      <w:pPr>
        <w:ind w:left="1800" w:hanging="1440"/>
      </w:pPr>
      <w:rPr>
        <w:rFonts w:ascii="Book Antiqua" w:hAnsi="Book Antiqua" w:cs="Arial" w:hint="default"/>
        <w:b w:val="0"/>
        <w:color w:val="auto"/>
        <w:sz w:val="24"/>
      </w:rPr>
    </w:lvl>
    <w:lvl w:ilvl="8">
      <w:start w:val="1"/>
      <w:numFmt w:val="decimal"/>
      <w:isLgl/>
      <w:lvlText w:val="%1.%2.%3.%4.%5.%6.%7.%8.%9."/>
      <w:lvlJc w:val="left"/>
      <w:pPr>
        <w:ind w:left="2160" w:hanging="1800"/>
      </w:pPr>
      <w:rPr>
        <w:rFonts w:ascii="Book Antiqua" w:hAnsi="Book Antiqua" w:cs="Arial" w:hint="default"/>
        <w:b w:val="0"/>
        <w:color w:val="auto"/>
        <w:sz w:val="24"/>
      </w:rPr>
    </w:lvl>
  </w:abstractNum>
  <w:abstractNum w:abstractNumId="158" w15:restartNumberingAfterBreak="0">
    <w:nsid w:val="624C38DC"/>
    <w:multiLevelType w:val="hybridMultilevel"/>
    <w:tmpl w:val="3FAAE7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9" w15:restartNumberingAfterBreak="0">
    <w:nsid w:val="624F474C"/>
    <w:multiLevelType w:val="multilevel"/>
    <w:tmpl w:val="026EB250"/>
    <w:lvl w:ilvl="0">
      <w:start w:val="12"/>
      <w:numFmt w:val="decimal"/>
      <w:lvlText w:val="%1."/>
      <w:lvlJc w:val="left"/>
      <w:pPr>
        <w:ind w:left="480" w:hanging="480"/>
      </w:pPr>
      <w:rPr>
        <w:rFonts w:eastAsia="Calibri" w:cs="Arial" w:hint="default"/>
      </w:rPr>
    </w:lvl>
    <w:lvl w:ilvl="1">
      <w:start w:val="1"/>
      <w:numFmt w:val="decimal"/>
      <w:lvlText w:val="%1.%2."/>
      <w:lvlJc w:val="left"/>
      <w:pPr>
        <w:ind w:left="720" w:hanging="720"/>
      </w:pPr>
      <w:rPr>
        <w:rFonts w:eastAsia="Calibri" w:cs="Arial" w:hint="default"/>
      </w:rPr>
    </w:lvl>
    <w:lvl w:ilvl="2">
      <w:start w:val="1"/>
      <w:numFmt w:val="decimal"/>
      <w:lvlText w:val="%1.%2.%3."/>
      <w:lvlJc w:val="left"/>
      <w:pPr>
        <w:ind w:left="720" w:hanging="720"/>
      </w:pPr>
      <w:rPr>
        <w:rFonts w:eastAsia="Calibri" w:cs="Arial" w:hint="default"/>
      </w:rPr>
    </w:lvl>
    <w:lvl w:ilvl="3">
      <w:start w:val="1"/>
      <w:numFmt w:val="decimal"/>
      <w:lvlText w:val="%1.%2.%3.%4."/>
      <w:lvlJc w:val="left"/>
      <w:pPr>
        <w:ind w:left="1080" w:hanging="1080"/>
      </w:pPr>
      <w:rPr>
        <w:rFonts w:eastAsia="Calibri" w:cs="Arial" w:hint="default"/>
      </w:rPr>
    </w:lvl>
    <w:lvl w:ilvl="4">
      <w:start w:val="1"/>
      <w:numFmt w:val="decimal"/>
      <w:lvlText w:val="%1.%2.%3.%4.%5."/>
      <w:lvlJc w:val="left"/>
      <w:pPr>
        <w:ind w:left="1440" w:hanging="1440"/>
      </w:pPr>
      <w:rPr>
        <w:rFonts w:eastAsia="Calibri" w:cs="Arial" w:hint="default"/>
      </w:rPr>
    </w:lvl>
    <w:lvl w:ilvl="5">
      <w:start w:val="1"/>
      <w:numFmt w:val="decimal"/>
      <w:lvlText w:val="%1.%2.%3.%4.%5.%6."/>
      <w:lvlJc w:val="left"/>
      <w:pPr>
        <w:ind w:left="1440" w:hanging="1440"/>
      </w:pPr>
      <w:rPr>
        <w:rFonts w:eastAsia="Calibri" w:cs="Arial" w:hint="default"/>
      </w:rPr>
    </w:lvl>
    <w:lvl w:ilvl="6">
      <w:start w:val="1"/>
      <w:numFmt w:val="decimal"/>
      <w:lvlText w:val="%1.%2.%3.%4.%5.%6.%7."/>
      <w:lvlJc w:val="left"/>
      <w:pPr>
        <w:ind w:left="1800" w:hanging="1800"/>
      </w:pPr>
      <w:rPr>
        <w:rFonts w:eastAsia="Calibri" w:cs="Arial" w:hint="default"/>
      </w:rPr>
    </w:lvl>
    <w:lvl w:ilvl="7">
      <w:start w:val="1"/>
      <w:numFmt w:val="decimal"/>
      <w:lvlText w:val="%1.%2.%3.%4.%5.%6.%7.%8."/>
      <w:lvlJc w:val="left"/>
      <w:pPr>
        <w:ind w:left="2160" w:hanging="2160"/>
      </w:pPr>
      <w:rPr>
        <w:rFonts w:eastAsia="Calibri" w:cs="Arial" w:hint="default"/>
      </w:rPr>
    </w:lvl>
    <w:lvl w:ilvl="8">
      <w:start w:val="1"/>
      <w:numFmt w:val="decimal"/>
      <w:lvlText w:val="%1.%2.%3.%4.%5.%6.%7.%8.%9."/>
      <w:lvlJc w:val="left"/>
      <w:pPr>
        <w:ind w:left="2160" w:hanging="2160"/>
      </w:pPr>
      <w:rPr>
        <w:rFonts w:eastAsia="Calibri" w:cs="Arial" w:hint="default"/>
      </w:rPr>
    </w:lvl>
  </w:abstractNum>
  <w:abstractNum w:abstractNumId="160" w15:restartNumberingAfterBreak="0">
    <w:nsid w:val="64375AC7"/>
    <w:multiLevelType w:val="hybridMultilevel"/>
    <w:tmpl w:val="588A099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1" w15:restartNumberingAfterBreak="0">
    <w:nsid w:val="654F51DA"/>
    <w:multiLevelType w:val="multilevel"/>
    <w:tmpl w:val="97E814A6"/>
    <w:styleLink w:val="Estilo421111"/>
    <w:lvl w:ilvl="0">
      <w:numFmt w:val="bullet"/>
      <w:pStyle w:val="Listaconnmeros24"/>
      <w:lvlText w:val="•"/>
      <w:lvlJc w:val="left"/>
      <w:pPr>
        <w:ind w:left="0" w:firstLine="0"/>
      </w:pPr>
      <w:rPr>
        <w:rFonts w:ascii="OpenSymbol" w:hAnsi="OpenSymbol" w:cs="OpenSymbol"/>
      </w:rPr>
    </w:lvl>
    <w:lvl w:ilvl="1">
      <w:numFmt w:val="bullet"/>
      <w:lvlText w:val="•"/>
      <w:lvlJc w:val="left"/>
      <w:pPr>
        <w:ind w:left="0" w:firstLine="0"/>
      </w:pPr>
      <w:rPr>
        <w:rFonts w:ascii="OpenSymbol" w:hAnsi="OpenSymbol" w:cs="OpenSymbol"/>
      </w:rPr>
    </w:lvl>
    <w:lvl w:ilvl="2">
      <w:numFmt w:val="bullet"/>
      <w:lvlText w:val="•"/>
      <w:lvlJc w:val="left"/>
      <w:pPr>
        <w:ind w:left="0" w:firstLine="0"/>
      </w:pPr>
      <w:rPr>
        <w:rFonts w:ascii="OpenSymbol" w:hAnsi="OpenSymbol" w:cs="OpenSymbol"/>
      </w:rPr>
    </w:lvl>
    <w:lvl w:ilvl="3">
      <w:numFmt w:val="bullet"/>
      <w:lvlText w:val="•"/>
      <w:lvlJc w:val="left"/>
      <w:pPr>
        <w:ind w:left="0" w:firstLine="0"/>
      </w:pPr>
      <w:rPr>
        <w:rFonts w:ascii="OpenSymbol" w:hAnsi="OpenSymbol" w:cs="OpenSymbol"/>
      </w:rPr>
    </w:lvl>
    <w:lvl w:ilvl="4">
      <w:numFmt w:val="bullet"/>
      <w:lvlText w:val="•"/>
      <w:lvlJc w:val="left"/>
      <w:pPr>
        <w:ind w:left="0" w:firstLine="0"/>
      </w:pPr>
      <w:rPr>
        <w:rFonts w:ascii="OpenSymbol" w:hAnsi="OpenSymbol" w:cs="OpenSymbol"/>
      </w:rPr>
    </w:lvl>
    <w:lvl w:ilvl="5">
      <w:numFmt w:val="bullet"/>
      <w:lvlText w:val="•"/>
      <w:lvlJc w:val="left"/>
      <w:pPr>
        <w:ind w:left="0" w:firstLine="0"/>
      </w:pPr>
      <w:rPr>
        <w:rFonts w:ascii="OpenSymbol" w:hAnsi="OpenSymbol" w:cs="OpenSymbol"/>
      </w:rPr>
    </w:lvl>
    <w:lvl w:ilvl="6">
      <w:numFmt w:val="bullet"/>
      <w:lvlText w:val="•"/>
      <w:lvlJc w:val="left"/>
      <w:pPr>
        <w:ind w:left="0" w:firstLine="0"/>
      </w:pPr>
      <w:rPr>
        <w:rFonts w:ascii="OpenSymbol" w:hAnsi="OpenSymbol" w:cs="OpenSymbol"/>
      </w:rPr>
    </w:lvl>
    <w:lvl w:ilvl="7">
      <w:numFmt w:val="bullet"/>
      <w:lvlText w:val="•"/>
      <w:lvlJc w:val="left"/>
      <w:pPr>
        <w:ind w:left="0" w:firstLine="0"/>
      </w:pPr>
      <w:rPr>
        <w:rFonts w:ascii="OpenSymbol" w:hAnsi="OpenSymbol" w:cs="OpenSymbol"/>
      </w:rPr>
    </w:lvl>
    <w:lvl w:ilvl="8">
      <w:numFmt w:val="bullet"/>
      <w:lvlText w:val="•"/>
      <w:lvlJc w:val="left"/>
      <w:pPr>
        <w:ind w:left="0" w:firstLine="0"/>
      </w:pPr>
      <w:rPr>
        <w:rFonts w:ascii="OpenSymbol" w:hAnsi="OpenSymbol" w:cs="OpenSymbol"/>
      </w:rPr>
    </w:lvl>
  </w:abstractNum>
  <w:abstractNum w:abstractNumId="162" w15:restartNumberingAfterBreak="0">
    <w:nsid w:val="679936C7"/>
    <w:multiLevelType w:val="hybridMultilevel"/>
    <w:tmpl w:val="06869FC4"/>
    <w:styleLink w:val="1111111113131111"/>
    <w:lvl w:ilvl="0" w:tplc="C8260CF8">
      <w:start w:val="1"/>
      <w:numFmt w:val="decimal"/>
      <w:lvlText w:val="5.%1."/>
      <w:lvlJc w:val="left"/>
      <w:pPr>
        <w:ind w:left="644" w:hanging="360"/>
      </w:pPr>
      <w:rPr>
        <w:b/>
        <w:bCs/>
        <w:sz w:val="22"/>
        <w:szCs w:val="22"/>
      </w:rPr>
    </w:lvl>
    <w:lvl w:ilvl="1" w:tplc="140A0019">
      <w:start w:val="1"/>
      <w:numFmt w:val="lowerLetter"/>
      <w:lvlText w:val="%2."/>
      <w:lvlJc w:val="left"/>
      <w:pPr>
        <w:ind w:left="1364" w:hanging="360"/>
      </w:pPr>
    </w:lvl>
    <w:lvl w:ilvl="2" w:tplc="140A001B">
      <w:start w:val="1"/>
      <w:numFmt w:val="lowerRoman"/>
      <w:lvlText w:val="%3."/>
      <w:lvlJc w:val="right"/>
      <w:pPr>
        <w:ind w:left="2084" w:hanging="180"/>
      </w:pPr>
    </w:lvl>
    <w:lvl w:ilvl="3" w:tplc="140A000F">
      <w:start w:val="1"/>
      <w:numFmt w:val="decimal"/>
      <w:lvlText w:val="%4."/>
      <w:lvlJc w:val="left"/>
      <w:pPr>
        <w:ind w:left="2804" w:hanging="360"/>
      </w:pPr>
    </w:lvl>
    <w:lvl w:ilvl="4" w:tplc="140A0019">
      <w:start w:val="1"/>
      <w:numFmt w:val="lowerLetter"/>
      <w:lvlText w:val="%5."/>
      <w:lvlJc w:val="left"/>
      <w:pPr>
        <w:ind w:left="3524" w:hanging="360"/>
      </w:pPr>
    </w:lvl>
    <w:lvl w:ilvl="5" w:tplc="140A001B">
      <w:start w:val="1"/>
      <w:numFmt w:val="lowerRoman"/>
      <w:lvlText w:val="%6."/>
      <w:lvlJc w:val="right"/>
      <w:pPr>
        <w:ind w:left="4244" w:hanging="180"/>
      </w:pPr>
    </w:lvl>
    <w:lvl w:ilvl="6" w:tplc="140A000F">
      <w:start w:val="1"/>
      <w:numFmt w:val="decimal"/>
      <w:lvlText w:val="%7."/>
      <w:lvlJc w:val="left"/>
      <w:pPr>
        <w:ind w:left="4964" w:hanging="360"/>
      </w:pPr>
    </w:lvl>
    <w:lvl w:ilvl="7" w:tplc="140A0019">
      <w:start w:val="1"/>
      <w:numFmt w:val="lowerLetter"/>
      <w:lvlText w:val="%8."/>
      <w:lvlJc w:val="left"/>
      <w:pPr>
        <w:ind w:left="5684" w:hanging="360"/>
      </w:pPr>
    </w:lvl>
    <w:lvl w:ilvl="8" w:tplc="140A001B">
      <w:start w:val="1"/>
      <w:numFmt w:val="lowerRoman"/>
      <w:lvlText w:val="%9."/>
      <w:lvlJc w:val="right"/>
      <w:pPr>
        <w:ind w:left="6404" w:hanging="180"/>
      </w:pPr>
    </w:lvl>
  </w:abstractNum>
  <w:abstractNum w:abstractNumId="163" w15:restartNumberingAfterBreak="0">
    <w:nsid w:val="68BA7951"/>
    <w:multiLevelType w:val="hybridMultilevel"/>
    <w:tmpl w:val="E49A9306"/>
    <w:styleLink w:val="WWNum411121111"/>
    <w:lvl w:ilvl="0" w:tplc="140A0017">
      <w:start w:val="1"/>
      <w:numFmt w:val="bullet"/>
      <w:pStyle w:val="Listaconvietas31"/>
      <w:lvlText w:val=""/>
      <w:lvlJc w:val="left"/>
      <w:pPr>
        <w:ind w:left="720" w:hanging="360"/>
      </w:pPr>
      <w:rPr>
        <w:rFonts w:ascii="Wingdings" w:hAnsi="Wingdings" w:hint="default"/>
      </w:rPr>
    </w:lvl>
    <w:lvl w:ilvl="1" w:tplc="140A0019">
      <w:start w:val="1"/>
      <w:numFmt w:val="bullet"/>
      <w:lvlText w:val="o"/>
      <w:lvlJc w:val="left"/>
      <w:pPr>
        <w:ind w:left="1440" w:hanging="360"/>
      </w:pPr>
      <w:rPr>
        <w:rFonts w:ascii="Courier New" w:hAnsi="Courier New" w:cs="Times New Roman"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Times New Roman"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Times New Roman" w:hint="default"/>
      </w:rPr>
    </w:lvl>
    <w:lvl w:ilvl="8" w:tplc="140A001B">
      <w:start w:val="1"/>
      <w:numFmt w:val="bullet"/>
      <w:lvlText w:val=""/>
      <w:lvlJc w:val="left"/>
      <w:pPr>
        <w:ind w:left="6480" w:hanging="360"/>
      </w:pPr>
      <w:rPr>
        <w:rFonts w:ascii="Wingdings" w:hAnsi="Wingdings" w:hint="default"/>
      </w:rPr>
    </w:lvl>
  </w:abstractNum>
  <w:abstractNum w:abstractNumId="164" w15:restartNumberingAfterBreak="0">
    <w:nsid w:val="68D33CE5"/>
    <w:multiLevelType w:val="hybridMultilevel"/>
    <w:tmpl w:val="8EF28668"/>
    <w:lvl w:ilvl="0" w:tplc="D0DAB822">
      <w:start w:val="1"/>
      <w:numFmt w:val="decimal"/>
      <w:lvlText w:val="%1."/>
      <w:lvlJc w:val="left"/>
      <w:pPr>
        <w:ind w:left="720" w:hanging="360"/>
      </w:pPr>
      <w:rPr>
        <w:rFonts w:hint="default"/>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5" w15:restartNumberingAfterBreak="0">
    <w:nsid w:val="69BA594F"/>
    <w:multiLevelType w:val="hybridMultilevel"/>
    <w:tmpl w:val="96D28A2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6" w15:restartNumberingAfterBreak="0">
    <w:nsid w:val="69F23A16"/>
    <w:multiLevelType w:val="hybridMultilevel"/>
    <w:tmpl w:val="5E3A64A0"/>
    <w:styleLink w:val="WWNum215111"/>
    <w:lvl w:ilvl="0" w:tplc="0C0A0001">
      <w:start w:val="1"/>
      <w:numFmt w:val="bullet"/>
      <w:pStyle w:val="Listaconnmeros32"/>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67" w15:restartNumberingAfterBreak="0">
    <w:nsid w:val="6A3F48F3"/>
    <w:multiLevelType w:val="hybridMultilevel"/>
    <w:tmpl w:val="4F946330"/>
    <w:styleLink w:val="WWNum5121"/>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68" w15:restartNumberingAfterBreak="0">
    <w:nsid w:val="6C403453"/>
    <w:multiLevelType w:val="hybridMultilevel"/>
    <w:tmpl w:val="060EC440"/>
    <w:styleLink w:val="WWNum4152111"/>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69" w15:restartNumberingAfterBreak="0">
    <w:nsid w:val="6C5A7A22"/>
    <w:multiLevelType w:val="hybridMultilevel"/>
    <w:tmpl w:val="58181E90"/>
    <w:lvl w:ilvl="0" w:tplc="560A39B2">
      <w:start w:val="1"/>
      <w:numFmt w:val="decimal"/>
      <w:pStyle w:val="Listaconnmeros53"/>
      <w:lvlText w:val="%1)"/>
      <w:lvlJc w:val="left"/>
      <w:pPr>
        <w:ind w:left="1211"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70" w15:restartNumberingAfterBreak="0">
    <w:nsid w:val="6EF57797"/>
    <w:multiLevelType w:val="hybridMultilevel"/>
    <w:tmpl w:val="669AA57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71" w15:restartNumberingAfterBreak="0">
    <w:nsid w:val="6F351A21"/>
    <w:multiLevelType w:val="hybridMultilevel"/>
    <w:tmpl w:val="33941A84"/>
    <w:lvl w:ilvl="0" w:tplc="BAB2D1D6">
      <w:start w:val="1"/>
      <w:numFmt w:val="lowerLetter"/>
      <w:lvlText w:val="%1."/>
      <w:lvlJc w:val="left"/>
      <w:pPr>
        <w:ind w:left="720" w:hanging="360"/>
      </w:pPr>
      <w:rPr>
        <w:rFonts w:ascii="Book Antiqua" w:eastAsia="Times New Roman" w:hAnsi="Book Antiqua"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2" w15:restartNumberingAfterBreak="0">
    <w:nsid w:val="6F433EA5"/>
    <w:multiLevelType w:val="hybridMultilevel"/>
    <w:tmpl w:val="E4E48C1C"/>
    <w:styleLink w:val="WWNum9122111"/>
    <w:lvl w:ilvl="0" w:tplc="140A0011">
      <w:start w:val="1"/>
      <w:numFmt w:val="decimal"/>
      <w:lvlText w:val="%1)"/>
      <w:lvlJc w:val="left"/>
      <w:pPr>
        <w:ind w:left="360" w:hanging="360"/>
      </w:pPr>
      <w:rPr>
        <w:b/>
      </w:rPr>
    </w:lvl>
    <w:lvl w:ilvl="1" w:tplc="140A0019">
      <w:start w:val="1"/>
      <w:numFmt w:val="lowerLetter"/>
      <w:lvlText w:val="%2."/>
      <w:lvlJc w:val="left"/>
      <w:pPr>
        <w:ind w:left="1800" w:hanging="360"/>
      </w:pPr>
    </w:lvl>
    <w:lvl w:ilvl="2" w:tplc="140A001B">
      <w:start w:val="1"/>
      <w:numFmt w:val="lowerRoman"/>
      <w:lvlText w:val="%3."/>
      <w:lvlJc w:val="right"/>
      <w:pPr>
        <w:ind w:left="2520" w:hanging="180"/>
      </w:pPr>
    </w:lvl>
    <w:lvl w:ilvl="3" w:tplc="140A000F">
      <w:start w:val="1"/>
      <w:numFmt w:val="decimal"/>
      <w:lvlText w:val="%4."/>
      <w:lvlJc w:val="left"/>
      <w:pPr>
        <w:ind w:left="3240" w:hanging="360"/>
      </w:pPr>
    </w:lvl>
    <w:lvl w:ilvl="4" w:tplc="140A0019">
      <w:start w:val="1"/>
      <w:numFmt w:val="lowerLetter"/>
      <w:lvlText w:val="%5."/>
      <w:lvlJc w:val="left"/>
      <w:pPr>
        <w:ind w:left="3960" w:hanging="360"/>
      </w:pPr>
    </w:lvl>
    <w:lvl w:ilvl="5" w:tplc="140A001B">
      <w:start w:val="1"/>
      <w:numFmt w:val="lowerRoman"/>
      <w:lvlText w:val="%6."/>
      <w:lvlJc w:val="right"/>
      <w:pPr>
        <w:ind w:left="4680" w:hanging="180"/>
      </w:pPr>
    </w:lvl>
    <w:lvl w:ilvl="6" w:tplc="140A000F">
      <w:start w:val="1"/>
      <w:numFmt w:val="decimal"/>
      <w:lvlText w:val="%7."/>
      <w:lvlJc w:val="left"/>
      <w:pPr>
        <w:ind w:left="5400" w:hanging="360"/>
      </w:pPr>
    </w:lvl>
    <w:lvl w:ilvl="7" w:tplc="140A0019">
      <w:start w:val="1"/>
      <w:numFmt w:val="lowerLetter"/>
      <w:lvlText w:val="%8."/>
      <w:lvlJc w:val="left"/>
      <w:pPr>
        <w:ind w:left="6120" w:hanging="360"/>
      </w:pPr>
    </w:lvl>
    <w:lvl w:ilvl="8" w:tplc="140A001B">
      <w:start w:val="1"/>
      <w:numFmt w:val="lowerRoman"/>
      <w:lvlText w:val="%9."/>
      <w:lvlJc w:val="right"/>
      <w:pPr>
        <w:ind w:left="6840" w:hanging="180"/>
      </w:pPr>
    </w:lvl>
  </w:abstractNum>
  <w:abstractNum w:abstractNumId="173" w15:restartNumberingAfterBreak="0">
    <w:nsid w:val="6F8E73D4"/>
    <w:multiLevelType w:val="hybridMultilevel"/>
    <w:tmpl w:val="A4F4C16E"/>
    <w:lvl w:ilvl="0" w:tplc="140A0017">
      <w:start w:val="1"/>
      <w:numFmt w:val="lowerLetter"/>
      <w:lvlText w:val="%1)"/>
      <w:lvlJc w:val="left"/>
      <w:pPr>
        <w:ind w:left="1146" w:hanging="360"/>
      </w:pPr>
      <w:rPr>
        <w:rFont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74" w15:restartNumberingAfterBreak="0">
    <w:nsid w:val="6FAA259F"/>
    <w:multiLevelType w:val="hybridMultilevel"/>
    <w:tmpl w:val="2061ADD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5" w15:restartNumberingAfterBreak="0">
    <w:nsid w:val="70430A66"/>
    <w:multiLevelType w:val="multilevel"/>
    <w:tmpl w:val="27B4827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6" w15:restartNumberingAfterBreak="0">
    <w:nsid w:val="718B33D2"/>
    <w:multiLevelType w:val="hybridMultilevel"/>
    <w:tmpl w:val="67D85FC0"/>
    <w:styleLink w:val="111111111212111"/>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7" w15:restartNumberingAfterBreak="0">
    <w:nsid w:val="728C2D95"/>
    <w:multiLevelType w:val="hybridMultilevel"/>
    <w:tmpl w:val="D2ACBC46"/>
    <w:styleLink w:val="WWNum3121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78" w15:restartNumberingAfterBreak="0">
    <w:nsid w:val="728D5854"/>
    <w:multiLevelType w:val="hybridMultilevel"/>
    <w:tmpl w:val="81482774"/>
    <w:lvl w:ilvl="0" w:tplc="2BC0EE62">
      <w:start w:val="1"/>
      <w:numFmt w:val="lowerLetter"/>
      <w:lvlText w:val="%1)"/>
      <w:lvlJc w:val="left"/>
      <w:pPr>
        <w:ind w:left="1146" w:hanging="360"/>
      </w:pPr>
      <w:rPr>
        <w:rFont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79" w15:restartNumberingAfterBreak="0">
    <w:nsid w:val="72A163CA"/>
    <w:multiLevelType w:val="hybridMultilevel"/>
    <w:tmpl w:val="87C04F96"/>
    <w:lvl w:ilvl="0" w:tplc="140A000B">
      <w:start w:val="1"/>
      <w:numFmt w:val="bullet"/>
      <w:lvlText w:val=""/>
      <w:lvlJc w:val="left"/>
      <w:pPr>
        <w:ind w:left="720" w:hanging="360"/>
      </w:pPr>
      <w:rPr>
        <w:rFonts w:ascii="Wingdings" w:hAnsi="Wingding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0" w15:restartNumberingAfterBreak="0">
    <w:nsid w:val="72A3371D"/>
    <w:multiLevelType w:val="hybridMultilevel"/>
    <w:tmpl w:val="048016D0"/>
    <w:styleLink w:val="WWNum413112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81" w15:restartNumberingAfterBreak="0">
    <w:nsid w:val="731C5895"/>
    <w:multiLevelType w:val="hybridMultilevel"/>
    <w:tmpl w:val="32C6371C"/>
    <w:styleLink w:val="WWNum4132121"/>
    <w:lvl w:ilvl="0" w:tplc="7286DD8E">
      <w:start w:val="1"/>
      <w:numFmt w:val="bullet"/>
      <w:lvlText w:val=""/>
      <w:lvlJc w:val="left"/>
      <w:pPr>
        <w:ind w:left="360" w:hanging="360"/>
      </w:pPr>
      <w:rPr>
        <w:rFonts w:ascii="Symbol" w:hAnsi="Symbol" w:hint="default"/>
      </w:rPr>
    </w:lvl>
    <w:lvl w:ilvl="1" w:tplc="2B18C4DA">
      <w:start w:val="1"/>
      <w:numFmt w:val="bullet"/>
      <w:lvlText w:val="o"/>
      <w:lvlJc w:val="left"/>
      <w:pPr>
        <w:ind w:left="1080" w:hanging="360"/>
      </w:pPr>
      <w:rPr>
        <w:rFonts w:ascii="Courier New" w:hAnsi="Courier New" w:cs="Courier New" w:hint="default"/>
      </w:rPr>
    </w:lvl>
    <w:lvl w:ilvl="2" w:tplc="8B4C5B7E">
      <w:start w:val="1"/>
      <w:numFmt w:val="bullet"/>
      <w:lvlText w:val=""/>
      <w:lvlJc w:val="left"/>
      <w:pPr>
        <w:ind w:left="1800" w:hanging="360"/>
      </w:pPr>
      <w:rPr>
        <w:rFonts w:ascii="Wingdings" w:hAnsi="Wingdings" w:hint="default"/>
      </w:rPr>
    </w:lvl>
    <w:lvl w:ilvl="3" w:tplc="646CECC2">
      <w:start w:val="1"/>
      <w:numFmt w:val="bullet"/>
      <w:lvlText w:val=""/>
      <w:lvlJc w:val="left"/>
      <w:pPr>
        <w:ind w:left="2520" w:hanging="360"/>
      </w:pPr>
      <w:rPr>
        <w:rFonts w:ascii="Symbol" w:hAnsi="Symbol" w:hint="default"/>
      </w:rPr>
    </w:lvl>
    <w:lvl w:ilvl="4" w:tplc="4CB05798">
      <w:start w:val="1"/>
      <w:numFmt w:val="bullet"/>
      <w:lvlText w:val="o"/>
      <w:lvlJc w:val="left"/>
      <w:pPr>
        <w:ind w:left="3240" w:hanging="360"/>
      </w:pPr>
      <w:rPr>
        <w:rFonts w:ascii="Courier New" w:hAnsi="Courier New" w:cs="Courier New" w:hint="default"/>
      </w:rPr>
    </w:lvl>
    <w:lvl w:ilvl="5" w:tplc="BB5C5EEA">
      <w:start w:val="1"/>
      <w:numFmt w:val="bullet"/>
      <w:lvlText w:val=""/>
      <w:lvlJc w:val="left"/>
      <w:pPr>
        <w:ind w:left="3960" w:hanging="360"/>
      </w:pPr>
      <w:rPr>
        <w:rFonts w:ascii="Wingdings" w:hAnsi="Wingdings" w:hint="default"/>
      </w:rPr>
    </w:lvl>
    <w:lvl w:ilvl="6" w:tplc="C310F9FA">
      <w:start w:val="1"/>
      <w:numFmt w:val="bullet"/>
      <w:lvlText w:val=""/>
      <w:lvlJc w:val="left"/>
      <w:pPr>
        <w:ind w:left="4680" w:hanging="360"/>
      </w:pPr>
      <w:rPr>
        <w:rFonts w:ascii="Symbol" w:hAnsi="Symbol" w:hint="default"/>
      </w:rPr>
    </w:lvl>
    <w:lvl w:ilvl="7" w:tplc="7266262E">
      <w:start w:val="1"/>
      <w:numFmt w:val="bullet"/>
      <w:lvlText w:val="o"/>
      <w:lvlJc w:val="left"/>
      <w:pPr>
        <w:ind w:left="5400" w:hanging="360"/>
      </w:pPr>
      <w:rPr>
        <w:rFonts w:ascii="Courier New" w:hAnsi="Courier New" w:cs="Courier New" w:hint="default"/>
      </w:rPr>
    </w:lvl>
    <w:lvl w:ilvl="8" w:tplc="06927A60">
      <w:start w:val="1"/>
      <w:numFmt w:val="bullet"/>
      <w:lvlText w:val=""/>
      <w:lvlJc w:val="left"/>
      <w:pPr>
        <w:ind w:left="6120" w:hanging="360"/>
      </w:pPr>
      <w:rPr>
        <w:rFonts w:ascii="Wingdings" w:hAnsi="Wingdings" w:hint="default"/>
      </w:rPr>
    </w:lvl>
  </w:abstractNum>
  <w:abstractNum w:abstractNumId="182" w15:restartNumberingAfterBreak="0">
    <w:nsid w:val="733208BE"/>
    <w:multiLevelType w:val="multilevel"/>
    <w:tmpl w:val="DA906E50"/>
    <w:lvl w:ilvl="0">
      <w:start w:val="1"/>
      <w:numFmt w:val="decimal"/>
      <w:lvlText w:val="%1."/>
      <w:lvlJc w:val="left"/>
      <w:pPr>
        <w:ind w:left="430" w:hanging="360"/>
      </w:pPr>
      <w:rPr>
        <w:rFonts w:eastAsia="Calibri" w:hint="default"/>
        <w:sz w:val="26"/>
      </w:rPr>
    </w:lvl>
    <w:lvl w:ilvl="1">
      <w:start w:val="1"/>
      <w:numFmt w:val="decimal"/>
      <w:isLgl/>
      <w:lvlText w:val="%1.%2."/>
      <w:lvlJc w:val="left"/>
      <w:pPr>
        <w:ind w:left="790" w:hanging="720"/>
      </w:pPr>
      <w:rPr>
        <w:rFonts w:hint="default"/>
      </w:rPr>
    </w:lvl>
    <w:lvl w:ilvl="2">
      <w:start w:val="1"/>
      <w:numFmt w:val="decimal"/>
      <w:isLgl/>
      <w:lvlText w:val="%1.%2.%3."/>
      <w:lvlJc w:val="left"/>
      <w:pPr>
        <w:ind w:left="790" w:hanging="720"/>
      </w:pPr>
      <w:rPr>
        <w:rFonts w:hint="default"/>
      </w:rPr>
    </w:lvl>
    <w:lvl w:ilvl="3">
      <w:start w:val="1"/>
      <w:numFmt w:val="decimal"/>
      <w:isLgl/>
      <w:lvlText w:val="%1.%2.%3.%4."/>
      <w:lvlJc w:val="left"/>
      <w:pPr>
        <w:ind w:left="1150" w:hanging="1080"/>
      </w:pPr>
      <w:rPr>
        <w:rFonts w:hint="default"/>
      </w:rPr>
    </w:lvl>
    <w:lvl w:ilvl="4">
      <w:start w:val="1"/>
      <w:numFmt w:val="decimal"/>
      <w:isLgl/>
      <w:lvlText w:val="%1.%2.%3.%4.%5."/>
      <w:lvlJc w:val="left"/>
      <w:pPr>
        <w:ind w:left="1150" w:hanging="1080"/>
      </w:pPr>
      <w:rPr>
        <w:rFonts w:hint="default"/>
      </w:rPr>
    </w:lvl>
    <w:lvl w:ilvl="5">
      <w:start w:val="1"/>
      <w:numFmt w:val="decimal"/>
      <w:isLgl/>
      <w:lvlText w:val="%1.%2.%3.%4.%5.%6."/>
      <w:lvlJc w:val="left"/>
      <w:pPr>
        <w:ind w:left="1510" w:hanging="1440"/>
      </w:pPr>
      <w:rPr>
        <w:rFonts w:hint="default"/>
      </w:rPr>
    </w:lvl>
    <w:lvl w:ilvl="6">
      <w:start w:val="1"/>
      <w:numFmt w:val="decimal"/>
      <w:isLgl/>
      <w:lvlText w:val="%1.%2.%3.%4.%5.%6.%7."/>
      <w:lvlJc w:val="left"/>
      <w:pPr>
        <w:ind w:left="1510" w:hanging="1440"/>
      </w:pPr>
      <w:rPr>
        <w:rFonts w:hint="default"/>
      </w:rPr>
    </w:lvl>
    <w:lvl w:ilvl="7">
      <w:start w:val="1"/>
      <w:numFmt w:val="decimal"/>
      <w:isLgl/>
      <w:lvlText w:val="%1.%2.%3.%4.%5.%6.%7.%8."/>
      <w:lvlJc w:val="left"/>
      <w:pPr>
        <w:ind w:left="1870" w:hanging="1800"/>
      </w:pPr>
      <w:rPr>
        <w:rFonts w:hint="default"/>
      </w:rPr>
    </w:lvl>
    <w:lvl w:ilvl="8">
      <w:start w:val="1"/>
      <w:numFmt w:val="decimal"/>
      <w:isLgl/>
      <w:lvlText w:val="%1.%2.%3.%4.%5.%6.%7.%8.%9."/>
      <w:lvlJc w:val="left"/>
      <w:pPr>
        <w:ind w:left="2230" w:hanging="2160"/>
      </w:pPr>
      <w:rPr>
        <w:rFonts w:hint="default"/>
      </w:rPr>
    </w:lvl>
  </w:abstractNum>
  <w:abstractNum w:abstractNumId="183" w15:restartNumberingAfterBreak="0">
    <w:nsid w:val="7372262B"/>
    <w:multiLevelType w:val="multilevel"/>
    <w:tmpl w:val="FA1CB3E0"/>
    <w:styleLink w:val="WWNum311223111"/>
    <w:lvl w:ilvl="0">
      <w:start w:val="1"/>
      <w:numFmt w:val="decimal"/>
      <w:lvlText w:val="%1."/>
      <w:lvlJc w:val="left"/>
      <w:pPr>
        <w:ind w:left="720" w:hanging="360"/>
      </w:pPr>
    </w:lvl>
    <w:lvl w:ilvl="1">
      <w:start w:val="8"/>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84" w15:restartNumberingAfterBreak="0">
    <w:nsid w:val="737F257E"/>
    <w:multiLevelType w:val="hybridMultilevel"/>
    <w:tmpl w:val="26BEBF5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85" w15:restartNumberingAfterBreak="0">
    <w:nsid w:val="73AB27C7"/>
    <w:multiLevelType w:val="hybridMultilevel"/>
    <w:tmpl w:val="7C06690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6" w15:restartNumberingAfterBreak="0">
    <w:nsid w:val="73F5486C"/>
    <w:multiLevelType w:val="hybridMultilevel"/>
    <w:tmpl w:val="18D28E2A"/>
    <w:styleLink w:val="WWNum114121"/>
    <w:lvl w:ilvl="0" w:tplc="BB44AA68">
      <w:start w:val="1"/>
      <w:numFmt w:val="bullet"/>
      <w:lvlText w:val=""/>
      <w:lvlJc w:val="left"/>
      <w:pPr>
        <w:ind w:left="720" w:hanging="360"/>
      </w:pPr>
      <w:rPr>
        <w:rFonts w:ascii="Symbol" w:hAnsi="Symbol" w:hint="default"/>
      </w:rPr>
    </w:lvl>
    <w:lvl w:ilvl="1" w:tplc="E6862A86">
      <w:start w:val="1"/>
      <w:numFmt w:val="decimal"/>
      <w:lvlText w:val="%2."/>
      <w:lvlJc w:val="left"/>
      <w:pPr>
        <w:tabs>
          <w:tab w:val="num" w:pos="1440"/>
        </w:tabs>
        <w:ind w:left="1440" w:hanging="360"/>
      </w:pPr>
    </w:lvl>
    <w:lvl w:ilvl="2" w:tplc="B39ACFAE">
      <w:start w:val="1"/>
      <w:numFmt w:val="decimal"/>
      <w:lvlText w:val="%3."/>
      <w:lvlJc w:val="left"/>
      <w:pPr>
        <w:tabs>
          <w:tab w:val="num" w:pos="2160"/>
        </w:tabs>
        <w:ind w:left="2160" w:hanging="360"/>
      </w:pPr>
    </w:lvl>
    <w:lvl w:ilvl="3" w:tplc="05E47D7A">
      <w:start w:val="1"/>
      <w:numFmt w:val="decimal"/>
      <w:lvlText w:val="%4."/>
      <w:lvlJc w:val="left"/>
      <w:pPr>
        <w:tabs>
          <w:tab w:val="num" w:pos="2880"/>
        </w:tabs>
        <w:ind w:left="2880" w:hanging="360"/>
      </w:pPr>
    </w:lvl>
    <w:lvl w:ilvl="4" w:tplc="51BC06C2">
      <w:start w:val="1"/>
      <w:numFmt w:val="decimal"/>
      <w:lvlText w:val="%5."/>
      <w:lvlJc w:val="left"/>
      <w:pPr>
        <w:tabs>
          <w:tab w:val="num" w:pos="3600"/>
        </w:tabs>
        <w:ind w:left="3600" w:hanging="360"/>
      </w:pPr>
    </w:lvl>
    <w:lvl w:ilvl="5" w:tplc="7F405164">
      <w:start w:val="1"/>
      <w:numFmt w:val="decimal"/>
      <w:lvlText w:val="%6."/>
      <w:lvlJc w:val="left"/>
      <w:pPr>
        <w:tabs>
          <w:tab w:val="num" w:pos="4320"/>
        </w:tabs>
        <w:ind w:left="4320" w:hanging="360"/>
      </w:pPr>
    </w:lvl>
    <w:lvl w:ilvl="6" w:tplc="C1F44382">
      <w:start w:val="1"/>
      <w:numFmt w:val="decimal"/>
      <w:lvlText w:val="%7."/>
      <w:lvlJc w:val="left"/>
      <w:pPr>
        <w:tabs>
          <w:tab w:val="num" w:pos="5040"/>
        </w:tabs>
        <w:ind w:left="5040" w:hanging="360"/>
      </w:pPr>
    </w:lvl>
    <w:lvl w:ilvl="7" w:tplc="4E28B42A">
      <w:start w:val="1"/>
      <w:numFmt w:val="decimal"/>
      <w:lvlText w:val="%8."/>
      <w:lvlJc w:val="left"/>
      <w:pPr>
        <w:tabs>
          <w:tab w:val="num" w:pos="5760"/>
        </w:tabs>
        <w:ind w:left="5760" w:hanging="360"/>
      </w:pPr>
    </w:lvl>
    <w:lvl w:ilvl="8" w:tplc="3A50835A">
      <w:start w:val="1"/>
      <w:numFmt w:val="decimal"/>
      <w:lvlText w:val="%9."/>
      <w:lvlJc w:val="left"/>
      <w:pPr>
        <w:tabs>
          <w:tab w:val="num" w:pos="6480"/>
        </w:tabs>
        <w:ind w:left="6480" w:hanging="360"/>
      </w:pPr>
    </w:lvl>
  </w:abstractNum>
  <w:abstractNum w:abstractNumId="187" w15:restartNumberingAfterBreak="0">
    <w:nsid w:val="7497130B"/>
    <w:multiLevelType w:val="multilevel"/>
    <w:tmpl w:val="76E8072E"/>
    <w:styleLink w:val="WWNum5131221"/>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88" w15:restartNumberingAfterBreak="0">
    <w:nsid w:val="74C44847"/>
    <w:multiLevelType w:val="multilevel"/>
    <w:tmpl w:val="B0CE448E"/>
    <w:styleLink w:val="WWNum4111112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15:restartNumberingAfterBreak="0">
    <w:nsid w:val="75201F4E"/>
    <w:multiLevelType w:val="multilevel"/>
    <w:tmpl w:val="FF528AF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0" w15:restartNumberingAfterBreak="0">
    <w:nsid w:val="762404BA"/>
    <w:multiLevelType w:val="hybridMultilevel"/>
    <w:tmpl w:val="14100084"/>
    <w:styleLink w:val="WWNum4111231"/>
    <w:lvl w:ilvl="0" w:tplc="9530E0A0">
      <w:start w:val="1"/>
      <w:numFmt w:val="lowerLetter"/>
      <w:lvlText w:val="%1)"/>
      <w:lvlJc w:val="left"/>
      <w:pPr>
        <w:ind w:left="19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91" w15:restartNumberingAfterBreak="0">
    <w:nsid w:val="76335D5B"/>
    <w:multiLevelType w:val="hybridMultilevel"/>
    <w:tmpl w:val="6F70B8CC"/>
    <w:styleLink w:val="WWNum6112222"/>
    <w:lvl w:ilvl="0" w:tplc="60B09A78">
      <w:start w:val="1"/>
      <w:numFmt w:val="decimal"/>
      <w:lvlText w:val="%1."/>
      <w:lvlJc w:val="left"/>
      <w:pPr>
        <w:ind w:left="121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92" w15:restartNumberingAfterBreak="0">
    <w:nsid w:val="7644624B"/>
    <w:multiLevelType w:val="multilevel"/>
    <w:tmpl w:val="BB287356"/>
    <w:styleLink w:val="WWNum3113121"/>
    <w:lvl w:ilvl="0">
      <w:numFmt w:val="decimal"/>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15:restartNumberingAfterBreak="0">
    <w:nsid w:val="767B0B59"/>
    <w:multiLevelType w:val="hybridMultilevel"/>
    <w:tmpl w:val="287EEAA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4" w15:restartNumberingAfterBreak="0">
    <w:nsid w:val="76AB542A"/>
    <w:multiLevelType w:val="hybridMultilevel"/>
    <w:tmpl w:val="786C304A"/>
    <w:styleLink w:val="WWNum614121"/>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95" w15:restartNumberingAfterBreak="0">
    <w:nsid w:val="76D92A43"/>
    <w:multiLevelType w:val="multilevel"/>
    <w:tmpl w:val="EBD6EDEE"/>
    <w:styleLink w:val="WWNum21112121"/>
    <w:lvl w:ilvl="0">
      <w:start w:val="1"/>
      <w:numFmt w:val="lowerLetter"/>
      <w:lvlText w:val="%1."/>
      <w:lvlJc w:val="left"/>
      <w:pPr>
        <w:ind w:left="0" w:firstLine="0"/>
      </w:pPr>
      <w:rPr>
        <w:rFonts w:cs="Times New Roman"/>
        <w:b/>
      </w:rPr>
    </w:lvl>
    <w:lvl w:ilvl="1">
      <w:start w:val="1"/>
      <w:numFmt w:val="lowerLetter"/>
      <w:lvlText w:val="%2."/>
      <w:lvlJc w:val="left"/>
      <w:pPr>
        <w:ind w:left="0" w:firstLine="0"/>
      </w:pPr>
      <w:rPr>
        <w:rFonts w:cs="Times New Roman"/>
      </w:rPr>
    </w:lvl>
    <w:lvl w:ilvl="2">
      <w:start w:val="1"/>
      <w:numFmt w:val="lowerRoman"/>
      <w:lvlText w:val="%3."/>
      <w:lvlJc w:val="righ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righ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right"/>
      <w:pPr>
        <w:ind w:left="0" w:firstLine="0"/>
      </w:pPr>
      <w:rPr>
        <w:rFonts w:cs="Times New Roman"/>
      </w:rPr>
    </w:lvl>
  </w:abstractNum>
  <w:abstractNum w:abstractNumId="196"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97" w15:restartNumberingAfterBreak="0">
    <w:nsid w:val="77B23E64"/>
    <w:multiLevelType w:val="hybridMultilevel"/>
    <w:tmpl w:val="D264C35A"/>
    <w:lvl w:ilvl="0" w:tplc="5F78E76C">
      <w:start w:val="2"/>
      <w:numFmt w:val="decimal"/>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8" w15:restartNumberingAfterBreak="0">
    <w:nsid w:val="785E7425"/>
    <w:multiLevelType w:val="multilevel"/>
    <w:tmpl w:val="BAC80B4C"/>
    <w:styleLink w:val="WWNum611111131"/>
    <w:lvl w:ilvl="0">
      <w:start w:val="5"/>
      <w:numFmt w:val="decimal"/>
      <w:lvlText w:val="%1"/>
      <w:lvlJc w:val="left"/>
      <w:pPr>
        <w:ind w:left="480" w:hanging="480"/>
      </w:pPr>
    </w:lvl>
    <w:lvl w:ilvl="1">
      <w:start w:val="1"/>
      <w:numFmt w:val="decimal"/>
      <w:lvlText w:val="%1.%2"/>
      <w:lvlJc w:val="left"/>
      <w:pPr>
        <w:ind w:left="764" w:hanging="48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99" w15:restartNumberingAfterBreak="0">
    <w:nsid w:val="78E07B85"/>
    <w:multiLevelType w:val="hybridMultilevel"/>
    <w:tmpl w:val="F448318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0" w15:restartNumberingAfterBreak="0">
    <w:nsid w:val="7A6713DC"/>
    <w:multiLevelType w:val="multilevel"/>
    <w:tmpl w:val="33B27CBE"/>
    <w:styleLink w:val="WWNum6111131"/>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01" w15:restartNumberingAfterBreak="0">
    <w:nsid w:val="7B2E722B"/>
    <w:multiLevelType w:val="hybridMultilevel"/>
    <w:tmpl w:val="67B61DBA"/>
    <w:styleLink w:val="WWNum9112"/>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02" w15:restartNumberingAfterBreak="0">
    <w:nsid w:val="7BAB32AC"/>
    <w:multiLevelType w:val="hybridMultilevel"/>
    <w:tmpl w:val="A45AAF32"/>
    <w:styleLink w:val="WWNum2111212"/>
    <w:lvl w:ilvl="0" w:tplc="ABF200F8">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3" w15:restartNumberingAfterBreak="0">
    <w:nsid w:val="7BCB6B9E"/>
    <w:multiLevelType w:val="hybridMultilevel"/>
    <w:tmpl w:val="6B7E49D2"/>
    <w:lvl w:ilvl="0" w:tplc="D598E08E">
      <w:start w:val="1"/>
      <w:numFmt w:val="upperRoman"/>
      <w:lvlText w:val="%1."/>
      <w:lvlJc w:val="left"/>
      <w:pPr>
        <w:ind w:left="1080" w:hanging="72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4" w15:restartNumberingAfterBreak="0">
    <w:nsid w:val="7C9A6CF3"/>
    <w:multiLevelType w:val="multilevel"/>
    <w:tmpl w:val="C5F01A1A"/>
    <w:styleLink w:val="WWNum61111113"/>
    <w:lvl w:ilvl="0">
      <w:start w:val="1"/>
      <w:numFmt w:val="lowerLetter"/>
      <w:lvlText w:val="%1."/>
      <w:lvlJc w:val="left"/>
      <w:pPr>
        <w:ind w:left="0" w:firstLine="0"/>
      </w:pPr>
      <w:rPr>
        <w:rFonts w:cs="Times New Roman"/>
        <w:b/>
      </w:rPr>
    </w:lvl>
    <w:lvl w:ilvl="1">
      <w:start w:val="1"/>
      <w:numFmt w:val="lowerLetter"/>
      <w:lvlText w:val="%2."/>
      <w:lvlJc w:val="left"/>
      <w:pPr>
        <w:ind w:left="0" w:firstLine="0"/>
      </w:pPr>
      <w:rPr>
        <w:rFonts w:cs="Times New Roman"/>
      </w:rPr>
    </w:lvl>
    <w:lvl w:ilvl="2">
      <w:start w:val="1"/>
      <w:numFmt w:val="lowerRoman"/>
      <w:lvlText w:val="%3."/>
      <w:lvlJc w:val="righ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righ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right"/>
      <w:pPr>
        <w:ind w:left="0" w:firstLine="0"/>
      </w:pPr>
      <w:rPr>
        <w:rFonts w:cs="Times New Roman"/>
      </w:rPr>
    </w:lvl>
  </w:abstractNum>
  <w:abstractNum w:abstractNumId="205" w15:restartNumberingAfterBreak="0">
    <w:nsid w:val="7CB90F4C"/>
    <w:multiLevelType w:val="multilevel"/>
    <w:tmpl w:val="2C3A1862"/>
    <w:styleLink w:val="WWNum5131211"/>
    <w:lvl w:ilvl="0">
      <w:numFmt w:val="decimal"/>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15:restartNumberingAfterBreak="0">
    <w:nsid w:val="7D057DAA"/>
    <w:multiLevelType w:val="hybridMultilevel"/>
    <w:tmpl w:val="63EA8B14"/>
    <w:styleLink w:val="WWNum611113"/>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07" w15:restartNumberingAfterBreak="0">
    <w:nsid w:val="7DB72102"/>
    <w:multiLevelType w:val="hybridMultilevel"/>
    <w:tmpl w:val="DD0A6788"/>
    <w:lvl w:ilvl="0" w:tplc="0DFA7BEE">
      <w:start w:val="4"/>
      <w:numFmt w:val="decimal"/>
      <w:lvlText w:val="%1."/>
      <w:lvlJc w:val="left"/>
      <w:pPr>
        <w:ind w:left="720" w:hanging="360"/>
      </w:pPr>
      <w:rPr>
        <w:rFonts w:ascii="Book Antiqua" w:eastAsiaTheme="minorEastAsia" w:hAnsi="Book Antiqua" w:cs="Book Antiqua" w:hint="default"/>
        <w:i w:val="0"/>
        <w:color w:val="auto"/>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8" w15:restartNumberingAfterBreak="0">
    <w:nsid w:val="7F8C6A00"/>
    <w:multiLevelType w:val="hybridMultilevel"/>
    <w:tmpl w:val="A776E20A"/>
    <w:styleLink w:val="WWNum41421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09" w15:restartNumberingAfterBreak="0">
    <w:nsid w:val="7FFB0539"/>
    <w:multiLevelType w:val="hybridMultilevel"/>
    <w:tmpl w:val="E26275AC"/>
    <w:styleLink w:val="WWNum511412111"/>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num w:numId="1" w16cid:durableId="1948078760">
    <w:abstractNumId w:val="4"/>
  </w:num>
  <w:num w:numId="2" w16cid:durableId="1120686443">
    <w:abstractNumId w:val="3"/>
  </w:num>
  <w:num w:numId="3" w16cid:durableId="560403578">
    <w:abstractNumId w:val="2"/>
  </w:num>
  <w:num w:numId="4" w16cid:durableId="1781759588">
    <w:abstractNumId w:val="124"/>
  </w:num>
  <w:num w:numId="5" w16cid:durableId="1709840401">
    <w:abstractNumId w:val="64"/>
  </w:num>
  <w:num w:numId="6" w16cid:durableId="1265578677">
    <w:abstractNumId w:val="177"/>
  </w:num>
  <w:num w:numId="7" w16cid:durableId="341856692">
    <w:abstractNumId w:val="100"/>
  </w:num>
  <w:num w:numId="8" w16cid:durableId="178618109">
    <w:abstractNumId w:val="48"/>
  </w:num>
  <w:num w:numId="9" w16cid:durableId="1933125939">
    <w:abstractNumId w:val="85"/>
  </w:num>
  <w:num w:numId="10" w16cid:durableId="889270773">
    <w:abstractNumId w:val="61"/>
  </w:num>
  <w:num w:numId="11" w16cid:durableId="402726206">
    <w:abstractNumId w:val="127"/>
  </w:num>
  <w:num w:numId="12" w16cid:durableId="979070316">
    <w:abstractNumId w:val="163"/>
  </w:num>
  <w:num w:numId="13" w16cid:durableId="1352335479">
    <w:abstractNumId w:val="5"/>
  </w:num>
  <w:num w:numId="14" w16cid:durableId="2003124060">
    <w:abstractNumId w:val="1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76121778">
    <w:abstractNumId w:val="102"/>
  </w:num>
  <w:num w:numId="16" w16cid:durableId="475343701">
    <w:abstractNumId w:val="89"/>
  </w:num>
  <w:num w:numId="17" w16cid:durableId="14010597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92961476">
    <w:abstractNumId w:val="1"/>
  </w:num>
  <w:num w:numId="19" w16cid:durableId="1053037981">
    <w:abstractNumId w:val="17"/>
  </w:num>
  <w:num w:numId="20" w16cid:durableId="682634947">
    <w:abstractNumId w:val="44"/>
  </w:num>
  <w:num w:numId="21" w16cid:durableId="868759701">
    <w:abstractNumId w:val="78"/>
  </w:num>
  <w:num w:numId="22" w16cid:durableId="139122175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5321275">
    <w:abstractNumId w:val="66"/>
  </w:num>
  <w:num w:numId="24" w16cid:durableId="463276329">
    <w:abstractNumId w:val="138"/>
  </w:num>
  <w:num w:numId="25" w16cid:durableId="963075333">
    <w:abstractNumId w:val="166"/>
  </w:num>
  <w:num w:numId="26" w16cid:durableId="1918595176">
    <w:abstractNumId w:val="161"/>
  </w:num>
  <w:num w:numId="27" w16cid:durableId="1761833088">
    <w:abstractNumId w:val="155"/>
  </w:num>
  <w:num w:numId="28" w16cid:durableId="356851790">
    <w:abstractNumId w:val="169"/>
  </w:num>
  <w:num w:numId="29" w16cid:durableId="16583804">
    <w:abstractNumId w:val="6"/>
  </w:num>
  <w:num w:numId="30" w16cid:durableId="1506286581">
    <w:abstractNumId w:val="7"/>
  </w:num>
  <w:num w:numId="31" w16cid:durableId="301616319">
    <w:abstractNumId w:val="11"/>
  </w:num>
  <w:num w:numId="32" w16cid:durableId="1203712837">
    <w:abstractNumId w:val="13"/>
  </w:num>
  <w:num w:numId="33" w16cid:durableId="687364579">
    <w:abstractNumId w:val="14"/>
  </w:num>
  <w:num w:numId="34" w16cid:durableId="1307855195">
    <w:abstractNumId w:val="15"/>
  </w:num>
  <w:num w:numId="35" w16cid:durableId="571307892">
    <w:abstractNumId w:val="23"/>
  </w:num>
  <w:num w:numId="36" w16cid:durableId="2120175558">
    <w:abstractNumId w:val="31"/>
  </w:num>
  <w:num w:numId="37" w16cid:durableId="1138568066">
    <w:abstractNumId w:val="45"/>
  </w:num>
  <w:num w:numId="38" w16cid:durableId="832795101">
    <w:abstractNumId w:val="50"/>
  </w:num>
  <w:num w:numId="39" w16cid:durableId="2101757548">
    <w:abstractNumId w:val="54"/>
  </w:num>
  <w:num w:numId="40" w16cid:durableId="1571235824">
    <w:abstractNumId w:val="92"/>
  </w:num>
  <w:num w:numId="41" w16cid:durableId="2020112827">
    <w:abstractNumId w:val="94"/>
  </w:num>
  <w:num w:numId="42" w16cid:durableId="1007564028">
    <w:abstractNumId w:val="96"/>
  </w:num>
  <w:num w:numId="43" w16cid:durableId="1441994788">
    <w:abstractNumId w:val="98"/>
  </w:num>
  <w:num w:numId="44" w16cid:durableId="766341187">
    <w:abstractNumId w:val="101"/>
  </w:num>
  <w:num w:numId="45" w16cid:durableId="2071881374">
    <w:abstractNumId w:val="107"/>
  </w:num>
  <w:num w:numId="46" w16cid:durableId="277371740">
    <w:abstractNumId w:val="108"/>
  </w:num>
  <w:num w:numId="47" w16cid:durableId="722942935">
    <w:abstractNumId w:val="110"/>
  </w:num>
  <w:num w:numId="48" w16cid:durableId="1233155206">
    <w:abstractNumId w:val="112"/>
  </w:num>
  <w:num w:numId="49" w16cid:durableId="1694459058">
    <w:abstractNumId w:val="113"/>
  </w:num>
  <w:num w:numId="50" w16cid:durableId="276721655">
    <w:abstractNumId w:val="114"/>
  </w:num>
  <w:num w:numId="51" w16cid:durableId="243036166">
    <w:abstractNumId w:val="116"/>
  </w:num>
  <w:num w:numId="52" w16cid:durableId="110518528">
    <w:abstractNumId w:val="117"/>
  </w:num>
  <w:num w:numId="53" w16cid:durableId="911352750">
    <w:abstractNumId w:val="118"/>
  </w:num>
  <w:num w:numId="54" w16cid:durableId="810947472">
    <w:abstractNumId w:val="123"/>
  </w:num>
  <w:num w:numId="55" w16cid:durableId="1160658238">
    <w:abstractNumId w:val="125"/>
  </w:num>
  <w:num w:numId="56" w16cid:durableId="319962566">
    <w:abstractNumId w:val="126"/>
  </w:num>
  <w:num w:numId="57" w16cid:durableId="183519987">
    <w:abstractNumId w:val="128"/>
  </w:num>
  <w:num w:numId="58" w16cid:durableId="974338150">
    <w:abstractNumId w:val="129"/>
  </w:num>
  <w:num w:numId="59" w16cid:durableId="835539104">
    <w:abstractNumId w:val="130"/>
  </w:num>
  <w:num w:numId="60" w16cid:durableId="565536514">
    <w:abstractNumId w:val="132"/>
  </w:num>
  <w:num w:numId="61" w16cid:durableId="2076974431">
    <w:abstractNumId w:val="133"/>
  </w:num>
  <w:num w:numId="62" w16cid:durableId="548035168">
    <w:abstractNumId w:val="136"/>
  </w:num>
  <w:num w:numId="63" w16cid:durableId="1163928627">
    <w:abstractNumId w:val="139"/>
  </w:num>
  <w:num w:numId="64" w16cid:durableId="493297346">
    <w:abstractNumId w:val="140"/>
  </w:num>
  <w:num w:numId="65" w16cid:durableId="2061859015">
    <w:abstractNumId w:val="141"/>
  </w:num>
  <w:num w:numId="66" w16cid:durableId="1144741514">
    <w:abstractNumId w:val="142"/>
  </w:num>
  <w:num w:numId="67" w16cid:durableId="1568567796">
    <w:abstractNumId w:val="145"/>
  </w:num>
  <w:num w:numId="68" w16cid:durableId="1081223266">
    <w:abstractNumId w:val="146"/>
  </w:num>
  <w:num w:numId="69" w16cid:durableId="2092508258">
    <w:abstractNumId w:val="154"/>
  </w:num>
  <w:num w:numId="70" w16cid:durableId="978069867">
    <w:abstractNumId w:val="167"/>
  </w:num>
  <w:num w:numId="71" w16cid:durableId="1216620271">
    <w:abstractNumId w:val="172"/>
  </w:num>
  <w:num w:numId="72" w16cid:durableId="551890561">
    <w:abstractNumId w:val="180"/>
  </w:num>
  <w:num w:numId="73" w16cid:durableId="447824119">
    <w:abstractNumId w:val="181"/>
  </w:num>
  <w:num w:numId="74" w16cid:durableId="2041053548">
    <w:abstractNumId w:val="183"/>
  </w:num>
  <w:num w:numId="75" w16cid:durableId="1480616533">
    <w:abstractNumId w:val="186"/>
  </w:num>
  <w:num w:numId="76" w16cid:durableId="1233463888">
    <w:abstractNumId w:val="187"/>
  </w:num>
  <w:num w:numId="77" w16cid:durableId="872157234">
    <w:abstractNumId w:val="188"/>
  </w:num>
  <w:num w:numId="78" w16cid:durableId="1400396000">
    <w:abstractNumId w:val="190"/>
  </w:num>
  <w:num w:numId="79" w16cid:durableId="1861430306">
    <w:abstractNumId w:val="191"/>
  </w:num>
  <w:num w:numId="80" w16cid:durableId="456920644">
    <w:abstractNumId w:val="192"/>
  </w:num>
  <w:num w:numId="81" w16cid:durableId="1699502199">
    <w:abstractNumId w:val="194"/>
  </w:num>
  <w:num w:numId="82" w16cid:durableId="13843616">
    <w:abstractNumId w:val="195"/>
  </w:num>
  <w:num w:numId="83" w16cid:durableId="727144901">
    <w:abstractNumId w:val="198"/>
  </w:num>
  <w:num w:numId="84" w16cid:durableId="748037415">
    <w:abstractNumId w:val="200"/>
  </w:num>
  <w:num w:numId="85" w16cid:durableId="191917125">
    <w:abstractNumId w:val="201"/>
  </w:num>
  <w:num w:numId="86" w16cid:durableId="2129545059">
    <w:abstractNumId w:val="202"/>
  </w:num>
  <w:num w:numId="87" w16cid:durableId="1371493158">
    <w:abstractNumId w:val="204"/>
  </w:num>
  <w:num w:numId="88" w16cid:durableId="1560674592">
    <w:abstractNumId w:val="205"/>
  </w:num>
  <w:num w:numId="89" w16cid:durableId="626089005">
    <w:abstractNumId w:val="206"/>
  </w:num>
  <w:num w:numId="90" w16cid:durableId="941182598">
    <w:abstractNumId w:val="208"/>
  </w:num>
  <w:num w:numId="91" w16cid:durableId="1916627779">
    <w:abstractNumId w:val="209"/>
  </w:num>
  <w:num w:numId="92" w16cid:durableId="1425420019">
    <w:abstractNumId w:val="70"/>
  </w:num>
  <w:num w:numId="93" w16cid:durableId="1479882232">
    <w:abstractNumId w:val="93"/>
  </w:num>
  <w:num w:numId="94" w16cid:durableId="1558589284">
    <w:abstractNumId w:val="29"/>
  </w:num>
  <w:num w:numId="95" w16cid:durableId="1122111387">
    <w:abstractNumId w:val="46"/>
  </w:num>
  <w:num w:numId="96" w16cid:durableId="133840011">
    <w:abstractNumId w:val="57"/>
  </w:num>
  <w:num w:numId="97" w16cid:durableId="1986886384">
    <w:abstractNumId w:val="168"/>
  </w:num>
  <w:num w:numId="98" w16cid:durableId="2011716156">
    <w:abstractNumId w:val="95"/>
  </w:num>
  <w:num w:numId="99" w16cid:durableId="1566797241">
    <w:abstractNumId w:val="120"/>
  </w:num>
  <w:num w:numId="100" w16cid:durableId="897276639">
    <w:abstractNumId w:val="176"/>
  </w:num>
  <w:num w:numId="101" w16cid:durableId="534580674">
    <w:abstractNumId w:val="152"/>
  </w:num>
  <w:num w:numId="102" w16cid:durableId="1343891814">
    <w:abstractNumId w:val="150"/>
  </w:num>
  <w:num w:numId="103" w16cid:durableId="1403673722">
    <w:abstractNumId w:val="131"/>
  </w:num>
  <w:num w:numId="104" w16cid:durableId="1825007420">
    <w:abstractNumId w:val="33"/>
  </w:num>
  <w:num w:numId="105" w16cid:durableId="837815276">
    <w:abstractNumId w:val="83"/>
  </w:num>
  <w:num w:numId="106" w16cid:durableId="1509247052">
    <w:abstractNumId w:val="173"/>
  </w:num>
  <w:num w:numId="107" w16cid:durableId="1602686294">
    <w:abstractNumId w:val="71"/>
  </w:num>
  <w:num w:numId="108" w16cid:durableId="925458698">
    <w:abstractNumId w:val="10"/>
  </w:num>
  <w:num w:numId="109" w16cid:durableId="1291744769">
    <w:abstractNumId w:val="153"/>
  </w:num>
  <w:num w:numId="110" w16cid:durableId="236020798">
    <w:abstractNumId w:val="19"/>
  </w:num>
  <w:num w:numId="111" w16cid:durableId="235864590">
    <w:abstractNumId w:val="148"/>
  </w:num>
  <w:num w:numId="112" w16cid:durableId="681976317">
    <w:abstractNumId w:val="97"/>
  </w:num>
  <w:num w:numId="113" w16cid:durableId="861240982">
    <w:abstractNumId w:val="68"/>
  </w:num>
  <w:num w:numId="114" w16cid:durableId="1152209391">
    <w:abstractNumId w:val="178"/>
  </w:num>
  <w:num w:numId="115" w16cid:durableId="796028352">
    <w:abstractNumId w:val="32"/>
  </w:num>
  <w:num w:numId="116" w16cid:durableId="1069613962">
    <w:abstractNumId w:val="75"/>
  </w:num>
  <w:num w:numId="117" w16cid:durableId="1601402885">
    <w:abstractNumId w:val="103"/>
  </w:num>
  <w:num w:numId="118" w16cid:durableId="1188712862">
    <w:abstractNumId w:val="25"/>
  </w:num>
  <w:num w:numId="119" w16cid:durableId="1668049169">
    <w:abstractNumId w:val="134"/>
  </w:num>
  <w:num w:numId="120" w16cid:durableId="1633094977">
    <w:abstractNumId w:val="47"/>
  </w:num>
  <w:num w:numId="121" w16cid:durableId="41372698">
    <w:abstractNumId w:val="111"/>
  </w:num>
  <w:num w:numId="122" w16cid:durableId="2095856604">
    <w:abstractNumId w:val="79"/>
  </w:num>
  <w:num w:numId="123" w16cid:durableId="565845615">
    <w:abstractNumId w:val="135"/>
  </w:num>
  <w:num w:numId="124" w16cid:durableId="116878366">
    <w:abstractNumId w:val="12"/>
  </w:num>
  <w:num w:numId="125" w16cid:durableId="510216365">
    <w:abstractNumId w:val="65"/>
  </w:num>
  <w:num w:numId="126" w16cid:durableId="1914006015">
    <w:abstractNumId w:val="72"/>
  </w:num>
  <w:num w:numId="127" w16cid:durableId="15172620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541789412">
    <w:abstractNumId w:val="9"/>
  </w:num>
  <w:num w:numId="129" w16cid:durableId="1561361692">
    <w:abstractNumId w:val="105"/>
  </w:num>
  <w:num w:numId="130" w16cid:durableId="1112095508">
    <w:abstractNumId w:val="164"/>
  </w:num>
  <w:num w:numId="131" w16cid:durableId="933318693">
    <w:abstractNumId w:val="171"/>
  </w:num>
  <w:num w:numId="132" w16cid:durableId="664674517">
    <w:abstractNumId w:val="179"/>
  </w:num>
  <w:num w:numId="133" w16cid:durableId="72242930">
    <w:abstractNumId w:val="60"/>
  </w:num>
  <w:num w:numId="134" w16cid:durableId="666133440">
    <w:abstractNumId w:val="43"/>
  </w:num>
  <w:num w:numId="135" w16cid:durableId="1788968440">
    <w:abstractNumId w:val="99"/>
  </w:num>
  <w:num w:numId="136" w16cid:durableId="1342392870">
    <w:abstractNumId w:val="55"/>
  </w:num>
  <w:num w:numId="137" w16cid:durableId="2030713215">
    <w:abstractNumId w:val="185"/>
  </w:num>
  <w:num w:numId="138" w16cid:durableId="223107205">
    <w:abstractNumId w:val="27"/>
  </w:num>
  <w:num w:numId="139" w16cid:durableId="1910722591">
    <w:abstractNumId w:val="121"/>
  </w:num>
  <w:num w:numId="140" w16cid:durableId="940188771">
    <w:abstractNumId w:val="119"/>
  </w:num>
  <w:num w:numId="141" w16cid:durableId="1967160259">
    <w:abstractNumId w:val="106"/>
  </w:num>
  <w:num w:numId="142" w16cid:durableId="837813869">
    <w:abstractNumId w:val="199"/>
  </w:num>
  <w:num w:numId="143" w16cid:durableId="2101097879">
    <w:abstractNumId w:val="175"/>
  </w:num>
  <w:num w:numId="144" w16cid:durableId="2020159408">
    <w:abstractNumId w:val="174"/>
  </w:num>
  <w:num w:numId="145" w16cid:durableId="1757020526">
    <w:abstractNumId w:val="0"/>
  </w:num>
  <w:num w:numId="146" w16cid:durableId="1430471256">
    <w:abstractNumId w:val="36"/>
  </w:num>
  <w:num w:numId="147" w16cid:durableId="1999534523">
    <w:abstractNumId w:val="52"/>
  </w:num>
  <w:num w:numId="148" w16cid:durableId="1655136975">
    <w:abstractNumId w:val="77"/>
  </w:num>
  <w:num w:numId="149" w16cid:durableId="876698561">
    <w:abstractNumId w:val="41"/>
  </w:num>
  <w:num w:numId="150" w16cid:durableId="1189031221">
    <w:abstractNumId w:val="59"/>
  </w:num>
  <w:num w:numId="151" w16cid:durableId="897783725">
    <w:abstractNumId w:val="207"/>
  </w:num>
  <w:num w:numId="152" w16cid:durableId="932131645">
    <w:abstractNumId w:val="151"/>
  </w:num>
  <w:num w:numId="153" w16cid:durableId="545877133">
    <w:abstractNumId w:val="80"/>
  </w:num>
  <w:num w:numId="154" w16cid:durableId="255796562">
    <w:abstractNumId w:val="39"/>
  </w:num>
  <w:num w:numId="155" w16cid:durableId="1714576621">
    <w:abstractNumId w:val="20"/>
  </w:num>
  <w:num w:numId="156" w16cid:durableId="1882285401">
    <w:abstractNumId w:val="189"/>
  </w:num>
  <w:num w:numId="157" w16cid:durableId="237403510">
    <w:abstractNumId w:val="40"/>
  </w:num>
  <w:num w:numId="158" w16cid:durableId="1021008061">
    <w:abstractNumId w:val="137"/>
  </w:num>
  <w:num w:numId="159" w16cid:durableId="1615089861">
    <w:abstractNumId w:val="91"/>
  </w:num>
  <w:num w:numId="160" w16cid:durableId="1841853090">
    <w:abstractNumId w:val="42"/>
  </w:num>
  <w:num w:numId="161" w16cid:durableId="423379057">
    <w:abstractNumId w:val="203"/>
  </w:num>
  <w:num w:numId="162" w16cid:durableId="68041512">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977883122">
    <w:abstractNumId w:val="69"/>
  </w:num>
  <w:num w:numId="164" w16cid:durableId="2131508683">
    <w:abstractNumId w:val="38"/>
  </w:num>
  <w:num w:numId="165" w16cid:durableId="251473271">
    <w:abstractNumId w:val="21"/>
  </w:num>
  <w:num w:numId="166" w16cid:durableId="1062945351">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267084204">
    <w:abstractNumId w:val="58"/>
  </w:num>
  <w:num w:numId="168" w16cid:durableId="222833247">
    <w:abstractNumId w:val="34"/>
  </w:num>
  <w:num w:numId="169" w16cid:durableId="1448239496">
    <w:abstractNumId w:val="67"/>
  </w:num>
  <w:num w:numId="170" w16cid:durableId="1747336107">
    <w:abstractNumId w:val="197"/>
  </w:num>
  <w:num w:numId="171" w16cid:durableId="1762488168">
    <w:abstractNumId w:val="81"/>
  </w:num>
  <w:num w:numId="172" w16cid:durableId="341469711">
    <w:abstractNumId w:val="193"/>
  </w:num>
  <w:num w:numId="173" w16cid:durableId="1370640528">
    <w:abstractNumId w:val="160"/>
  </w:num>
  <w:num w:numId="174" w16cid:durableId="670136710">
    <w:abstractNumId w:val="73"/>
  </w:num>
  <w:num w:numId="175" w16cid:durableId="1387947839">
    <w:abstractNumId w:val="122"/>
  </w:num>
  <w:num w:numId="176" w16cid:durableId="805662772">
    <w:abstractNumId w:val="147"/>
  </w:num>
  <w:num w:numId="177" w16cid:durableId="1426072783">
    <w:abstractNumId w:val="18"/>
  </w:num>
  <w:num w:numId="178" w16cid:durableId="288827098">
    <w:abstractNumId w:val="104"/>
  </w:num>
  <w:num w:numId="179" w16cid:durableId="1787919333">
    <w:abstractNumId w:val="184"/>
  </w:num>
  <w:num w:numId="180" w16cid:durableId="103811443">
    <w:abstractNumId w:val="158"/>
  </w:num>
  <w:num w:numId="181" w16cid:durableId="722410823">
    <w:abstractNumId w:val="49"/>
  </w:num>
  <w:num w:numId="182" w16cid:durableId="1787852373">
    <w:abstractNumId w:val="87"/>
  </w:num>
  <w:num w:numId="183" w16cid:durableId="189806652">
    <w:abstractNumId w:val="16"/>
  </w:num>
  <w:num w:numId="184" w16cid:durableId="1083068109">
    <w:abstractNumId w:val="144"/>
  </w:num>
  <w:num w:numId="185" w16cid:durableId="612633488">
    <w:abstractNumId w:val="196"/>
  </w:num>
  <w:num w:numId="186" w16cid:durableId="669452319">
    <w:abstractNumId w:val="82"/>
  </w:num>
  <w:num w:numId="187" w16cid:durableId="1166021797">
    <w:abstractNumId w:val="30"/>
  </w:num>
  <w:num w:numId="188" w16cid:durableId="1790973253">
    <w:abstractNumId w:val="143"/>
  </w:num>
  <w:num w:numId="189" w16cid:durableId="1945840484">
    <w:abstractNumId w:val="62"/>
  </w:num>
  <w:num w:numId="190" w16cid:durableId="1198469303">
    <w:abstractNumId w:val="159"/>
  </w:num>
  <w:num w:numId="191" w16cid:durableId="328019118">
    <w:abstractNumId w:val="22"/>
  </w:num>
  <w:num w:numId="192" w16cid:durableId="575827459">
    <w:abstractNumId w:val="35"/>
  </w:num>
  <w:num w:numId="193" w16cid:durableId="335156379">
    <w:abstractNumId w:val="88"/>
  </w:num>
  <w:num w:numId="194" w16cid:durableId="345836683">
    <w:abstractNumId w:val="8"/>
  </w:num>
  <w:num w:numId="195" w16cid:durableId="2087726787">
    <w:abstractNumId w:val="56"/>
  </w:num>
  <w:num w:numId="196" w16cid:durableId="1673752966">
    <w:abstractNumId w:val="63"/>
  </w:num>
  <w:num w:numId="197" w16cid:durableId="88477457">
    <w:abstractNumId w:val="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1138257090">
    <w:abstractNumId w:val="28"/>
  </w:num>
  <w:num w:numId="199" w16cid:durableId="264465489">
    <w:abstractNumId w:val="51"/>
  </w:num>
  <w:num w:numId="200" w16cid:durableId="443380155">
    <w:abstractNumId w:val="74"/>
  </w:num>
  <w:num w:numId="201" w16cid:durableId="1112676231">
    <w:abstractNumId w:val="162"/>
  </w:num>
  <w:num w:numId="202" w16cid:durableId="2060130237">
    <w:abstractNumId w:val="182"/>
  </w:num>
  <w:num w:numId="203" w16cid:durableId="1725786377">
    <w:abstractNumId w:val="76"/>
  </w:num>
  <w:num w:numId="204" w16cid:durableId="719330381">
    <w:abstractNumId w:val="84"/>
  </w:num>
  <w:num w:numId="205" w16cid:durableId="921837193">
    <w:abstractNumId w:val="170"/>
  </w:num>
  <w:num w:numId="206" w16cid:durableId="1500927131">
    <w:abstractNumId w:val="157"/>
  </w:num>
  <w:num w:numId="207" w16cid:durableId="1363939764">
    <w:abstractNumId w:val="156"/>
  </w:num>
  <w:num w:numId="208" w16cid:durableId="737554650">
    <w:abstractNumId w:val="26"/>
  </w:num>
  <w:num w:numId="209" w16cid:durableId="1393045361">
    <w:abstractNumId w:val="53"/>
  </w:num>
  <w:num w:numId="210" w16cid:durableId="1832402743">
    <w:abstractNumId w:val="165"/>
  </w:num>
  <w:num w:numId="211" w16cid:durableId="728457905">
    <w:abstractNumId w:val="24"/>
  </w:num>
  <w:num w:numId="212" w16cid:durableId="1567258834">
    <w:abstractNumId w:val="115"/>
  </w:num>
  <w:numIdMacAtCleanup w:val="2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1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22FB"/>
    <w:rsid w:val="000112C0"/>
    <w:rsid w:val="00012E10"/>
    <w:rsid w:val="000301C9"/>
    <w:rsid w:val="00030B85"/>
    <w:rsid w:val="000311CC"/>
    <w:rsid w:val="00052B50"/>
    <w:rsid w:val="0005394E"/>
    <w:rsid w:val="00063E21"/>
    <w:rsid w:val="000662E2"/>
    <w:rsid w:val="00073B4F"/>
    <w:rsid w:val="00092E97"/>
    <w:rsid w:val="0009537D"/>
    <w:rsid w:val="00095491"/>
    <w:rsid w:val="000A47F1"/>
    <w:rsid w:val="000B1F18"/>
    <w:rsid w:val="000B3F56"/>
    <w:rsid w:val="000E1D57"/>
    <w:rsid w:val="000E33ED"/>
    <w:rsid w:val="00101B4A"/>
    <w:rsid w:val="00153D29"/>
    <w:rsid w:val="00164DB7"/>
    <w:rsid w:val="0017215B"/>
    <w:rsid w:val="001A4268"/>
    <w:rsid w:val="001A45DF"/>
    <w:rsid w:val="001B4BF7"/>
    <w:rsid w:val="001C76DC"/>
    <w:rsid w:val="001D376C"/>
    <w:rsid w:val="001E277E"/>
    <w:rsid w:val="001F142E"/>
    <w:rsid w:val="00201AD4"/>
    <w:rsid w:val="00204A7B"/>
    <w:rsid w:val="00227FFB"/>
    <w:rsid w:val="00230680"/>
    <w:rsid w:val="00252F99"/>
    <w:rsid w:val="00254CD4"/>
    <w:rsid w:val="0026252C"/>
    <w:rsid w:val="002767E7"/>
    <w:rsid w:val="002816CF"/>
    <w:rsid w:val="002A5832"/>
    <w:rsid w:val="002B1733"/>
    <w:rsid w:val="002B7B45"/>
    <w:rsid w:val="002C22FB"/>
    <w:rsid w:val="002D1DCA"/>
    <w:rsid w:val="002E1E32"/>
    <w:rsid w:val="002E461F"/>
    <w:rsid w:val="002F2815"/>
    <w:rsid w:val="00320E01"/>
    <w:rsid w:val="00341B10"/>
    <w:rsid w:val="003500BF"/>
    <w:rsid w:val="003675EA"/>
    <w:rsid w:val="00377DF9"/>
    <w:rsid w:val="00391EFE"/>
    <w:rsid w:val="00395387"/>
    <w:rsid w:val="003A03E7"/>
    <w:rsid w:val="003B03CF"/>
    <w:rsid w:val="003D1E6D"/>
    <w:rsid w:val="003D6E57"/>
    <w:rsid w:val="00414BD8"/>
    <w:rsid w:val="00423F7E"/>
    <w:rsid w:val="0042713B"/>
    <w:rsid w:val="0045290B"/>
    <w:rsid w:val="00461CA1"/>
    <w:rsid w:val="00491316"/>
    <w:rsid w:val="004934A1"/>
    <w:rsid w:val="004942F5"/>
    <w:rsid w:val="004A5681"/>
    <w:rsid w:val="004A7B21"/>
    <w:rsid w:val="004B09E5"/>
    <w:rsid w:val="004B7E18"/>
    <w:rsid w:val="004D284E"/>
    <w:rsid w:val="004D517F"/>
    <w:rsid w:val="004E10C4"/>
    <w:rsid w:val="00504D3D"/>
    <w:rsid w:val="005407E7"/>
    <w:rsid w:val="00550FDB"/>
    <w:rsid w:val="00554AE4"/>
    <w:rsid w:val="00562B3C"/>
    <w:rsid w:val="00565590"/>
    <w:rsid w:val="005717C7"/>
    <w:rsid w:val="00573B01"/>
    <w:rsid w:val="0057429C"/>
    <w:rsid w:val="0059783F"/>
    <w:rsid w:val="005B0640"/>
    <w:rsid w:val="005E341F"/>
    <w:rsid w:val="005E374B"/>
    <w:rsid w:val="00601E15"/>
    <w:rsid w:val="0061007B"/>
    <w:rsid w:val="006104F2"/>
    <w:rsid w:val="00635AAC"/>
    <w:rsid w:val="00686B49"/>
    <w:rsid w:val="00693756"/>
    <w:rsid w:val="006E4ED2"/>
    <w:rsid w:val="0070592F"/>
    <w:rsid w:val="00705D3A"/>
    <w:rsid w:val="007119A0"/>
    <w:rsid w:val="00745725"/>
    <w:rsid w:val="00772B23"/>
    <w:rsid w:val="00790585"/>
    <w:rsid w:val="007B2513"/>
    <w:rsid w:val="008132F6"/>
    <w:rsid w:val="008206DE"/>
    <w:rsid w:val="0083139A"/>
    <w:rsid w:val="0083411E"/>
    <w:rsid w:val="00834AA7"/>
    <w:rsid w:val="00865728"/>
    <w:rsid w:val="00876826"/>
    <w:rsid w:val="0088132F"/>
    <w:rsid w:val="00881F35"/>
    <w:rsid w:val="008A2BC8"/>
    <w:rsid w:val="008A627B"/>
    <w:rsid w:val="008A761B"/>
    <w:rsid w:val="008B0D2A"/>
    <w:rsid w:val="008B16E6"/>
    <w:rsid w:val="008C4BA0"/>
    <w:rsid w:val="008D7634"/>
    <w:rsid w:val="008E5BE7"/>
    <w:rsid w:val="008F7A26"/>
    <w:rsid w:val="00901E9C"/>
    <w:rsid w:val="009032FF"/>
    <w:rsid w:val="009060E8"/>
    <w:rsid w:val="009331EB"/>
    <w:rsid w:val="009377DF"/>
    <w:rsid w:val="00940352"/>
    <w:rsid w:val="00944EE6"/>
    <w:rsid w:val="00947516"/>
    <w:rsid w:val="00951DCE"/>
    <w:rsid w:val="0097140A"/>
    <w:rsid w:val="00990FB6"/>
    <w:rsid w:val="0099311B"/>
    <w:rsid w:val="0099403D"/>
    <w:rsid w:val="009B3423"/>
    <w:rsid w:val="009F29F2"/>
    <w:rsid w:val="00A0733B"/>
    <w:rsid w:val="00A1413E"/>
    <w:rsid w:val="00A20D5A"/>
    <w:rsid w:val="00A22C0D"/>
    <w:rsid w:val="00A26C18"/>
    <w:rsid w:val="00A46B24"/>
    <w:rsid w:val="00A62080"/>
    <w:rsid w:val="00A812BE"/>
    <w:rsid w:val="00A84ECB"/>
    <w:rsid w:val="00A86BA3"/>
    <w:rsid w:val="00A94E79"/>
    <w:rsid w:val="00AA13E1"/>
    <w:rsid w:val="00AC0BDC"/>
    <w:rsid w:val="00AD35C2"/>
    <w:rsid w:val="00AD5CAA"/>
    <w:rsid w:val="00AF18AB"/>
    <w:rsid w:val="00AF431B"/>
    <w:rsid w:val="00B004F7"/>
    <w:rsid w:val="00B0571D"/>
    <w:rsid w:val="00B15F7D"/>
    <w:rsid w:val="00B305D7"/>
    <w:rsid w:val="00B41DAE"/>
    <w:rsid w:val="00B52C8A"/>
    <w:rsid w:val="00B60EF5"/>
    <w:rsid w:val="00B80C57"/>
    <w:rsid w:val="00B8191B"/>
    <w:rsid w:val="00B85515"/>
    <w:rsid w:val="00B866C0"/>
    <w:rsid w:val="00BB785E"/>
    <w:rsid w:val="00BC2C56"/>
    <w:rsid w:val="00BC6035"/>
    <w:rsid w:val="00BF2D2C"/>
    <w:rsid w:val="00BF7854"/>
    <w:rsid w:val="00C045D1"/>
    <w:rsid w:val="00C126DF"/>
    <w:rsid w:val="00C460BD"/>
    <w:rsid w:val="00C56F60"/>
    <w:rsid w:val="00C61619"/>
    <w:rsid w:val="00C61941"/>
    <w:rsid w:val="00C82E32"/>
    <w:rsid w:val="00C9724B"/>
    <w:rsid w:val="00CB3F79"/>
    <w:rsid w:val="00CB61AF"/>
    <w:rsid w:val="00D01C59"/>
    <w:rsid w:val="00D02250"/>
    <w:rsid w:val="00D042B1"/>
    <w:rsid w:val="00D06938"/>
    <w:rsid w:val="00D07A2F"/>
    <w:rsid w:val="00D30D0D"/>
    <w:rsid w:val="00D31063"/>
    <w:rsid w:val="00D346C1"/>
    <w:rsid w:val="00D577EB"/>
    <w:rsid w:val="00D57B34"/>
    <w:rsid w:val="00D80774"/>
    <w:rsid w:val="00D9535B"/>
    <w:rsid w:val="00DA02E2"/>
    <w:rsid w:val="00DA5F72"/>
    <w:rsid w:val="00DA7214"/>
    <w:rsid w:val="00DC3427"/>
    <w:rsid w:val="00DC668F"/>
    <w:rsid w:val="00DF0E2A"/>
    <w:rsid w:val="00DF0E3E"/>
    <w:rsid w:val="00E023E8"/>
    <w:rsid w:val="00E06178"/>
    <w:rsid w:val="00E13C73"/>
    <w:rsid w:val="00E32BEE"/>
    <w:rsid w:val="00E4614F"/>
    <w:rsid w:val="00E51651"/>
    <w:rsid w:val="00E622A9"/>
    <w:rsid w:val="00E719E2"/>
    <w:rsid w:val="00E8021F"/>
    <w:rsid w:val="00EA4782"/>
    <w:rsid w:val="00EA7B4C"/>
    <w:rsid w:val="00EC0602"/>
    <w:rsid w:val="00EC24DB"/>
    <w:rsid w:val="00EE3ED3"/>
    <w:rsid w:val="00EE7DC9"/>
    <w:rsid w:val="00EF4381"/>
    <w:rsid w:val="00F00ECB"/>
    <w:rsid w:val="00F135B3"/>
    <w:rsid w:val="00F24C56"/>
    <w:rsid w:val="00F47346"/>
    <w:rsid w:val="00F60AA2"/>
    <w:rsid w:val="00F60C15"/>
    <w:rsid w:val="00F62F13"/>
    <w:rsid w:val="00F65B2B"/>
    <w:rsid w:val="00F65FE5"/>
    <w:rsid w:val="00F723CD"/>
    <w:rsid w:val="00FA675D"/>
    <w:rsid w:val="00FC1D7C"/>
    <w:rsid w:val="00FC2DB5"/>
    <w:rsid w:val="00FC5CDD"/>
    <w:rsid w:val="00FD18B0"/>
    <w:rsid w:val="00FD1E73"/>
    <w:rsid w:val="00FE407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101"/>
    <o:shapelayout v:ext="edit">
      <o:idmap v:ext="edit" data="2"/>
    </o:shapelayout>
  </w:shapeDefaults>
  <w:decimalSymbol w:val=","/>
  <w:listSeparator w:val=";"/>
  <w14:docId w14:val="7E7DC2A1"/>
  <w15:chartTrackingRefBased/>
  <w15:docId w15:val="{FEA846A3-CD73-4D8D-BA1B-EADD7DEB5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iPriority="0" w:unhideWhenUsed="1" w:qFormat="1"/>
    <w:lsdException w:name="annotation text" w:semiHidden="1" w:uiPriority="0" w:unhideWhenUsed="1" w:qFormat="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qFormat="1"/>
    <w:lsdException w:name="footnote reference" w:semiHidden="1" w:uiPriority="0" w:unhideWhenUsed="1" w:qFormat="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qFormat="1"/>
    <w:lsdException w:name="Body Text Indent" w:semiHidden="1" w:uiPriority="0" w:unhideWhenUsed="1" w:qFormat="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2FB"/>
    <w:pPr>
      <w:suppressAutoHyphens/>
      <w:spacing w:after="0" w:line="240" w:lineRule="auto"/>
    </w:pPr>
    <w:rPr>
      <w:rFonts w:ascii="Times New Roman" w:eastAsia="Times New Roman" w:hAnsi="Times New Roman" w:cs="Times New Roman"/>
      <w:sz w:val="24"/>
      <w:szCs w:val="24"/>
      <w:lang w:val="es-ES" w:eastAsia="ar-SA"/>
    </w:rPr>
  </w:style>
  <w:style w:type="paragraph" w:styleId="Ttulo1">
    <w:name w:val="heading 1"/>
    <w:aliases w:val="Título Principal,000000,1. Texto Base,CAPITULO 1,heading 1"/>
    <w:basedOn w:val="Normal"/>
    <w:next w:val="Normal"/>
    <w:link w:val="Ttulo1Car"/>
    <w:qFormat/>
    <w:rsid w:val="002C22F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aliases w:val="Títulos de Hallazgo e Introducción,CAPITULO 2,H21,TÍTULO CORTE,Heading 2 Char2 Char,Heading 2 Char Char1 Char,Headin,3. Subtitulos,TITULO CORTE,CHICO,SUBTITULOS,heading 2"/>
    <w:basedOn w:val="Normal"/>
    <w:next w:val="Normal"/>
    <w:link w:val="Ttulo2Car"/>
    <w:qFormat/>
    <w:rsid w:val="002C22FB"/>
    <w:pPr>
      <w:keepNext/>
      <w:spacing w:before="240" w:after="60"/>
      <w:outlineLvl w:val="1"/>
    </w:pPr>
    <w:rPr>
      <w:rFonts w:ascii="Arial" w:hAnsi="Arial" w:cs="Arial"/>
      <w:b/>
      <w:bCs/>
      <w:i/>
      <w:iCs/>
      <w:sz w:val="28"/>
      <w:szCs w:val="28"/>
    </w:rPr>
  </w:style>
  <w:style w:type="paragraph" w:styleId="Ttulo3">
    <w:name w:val="heading 3"/>
    <w:aliases w:val="Subtítulos de Hallazgo,Graficos,otros,SUBTÍTULO CORTE,SUBTITULO CORTE,MATÍAS,heading 3"/>
    <w:basedOn w:val="Normal"/>
    <w:next w:val="Normal"/>
    <w:link w:val="Ttulo3Car"/>
    <w:qFormat/>
    <w:rsid w:val="00B15F7D"/>
    <w:pPr>
      <w:keepNext/>
      <w:ind w:firstLine="709"/>
      <w:jc w:val="both"/>
      <w:outlineLvl w:val="2"/>
    </w:pPr>
    <w:rPr>
      <w:rFonts w:cs="Arial"/>
      <w:bCs/>
      <w:color w:val="0000FF"/>
      <w:szCs w:val="26"/>
      <w:lang w:val="es-ES_tradnl"/>
    </w:rPr>
  </w:style>
  <w:style w:type="paragraph" w:styleId="Ttulo4">
    <w:name w:val="heading 4"/>
    <w:aliases w:val="h4,Título 4.2,H41,2. Titulo I-II-III ect."/>
    <w:basedOn w:val="Normal"/>
    <w:next w:val="Normal"/>
    <w:link w:val="Ttulo4Car"/>
    <w:qFormat/>
    <w:rsid w:val="00B15F7D"/>
    <w:pPr>
      <w:keepNext/>
      <w:spacing w:before="240" w:after="60"/>
      <w:outlineLvl w:val="3"/>
    </w:pPr>
    <w:rPr>
      <w:b/>
      <w:bCs/>
      <w:sz w:val="28"/>
      <w:szCs w:val="28"/>
      <w:lang w:val="es-ES_tradnl"/>
    </w:rPr>
  </w:style>
  <w:style w:type="paragraph" w:styleId="Ttulo5">
    <w:name w:val="heading 5"/>
    <w:aliases w:val="4.Cuadros"/>
    <w:basedOn w:val="Normal"/>
    <w:next w:val="Normal"/>
    <w:link w:val="Ttulo5Car"/>
    <w:qFormat/>
    <w:rsid w:val="00B15F7D"/>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qFormat/>
    <w:rsid w:val="00B15F7D"/>
    <w:pPr>
      <w:spacing w:before="240" w:after="60"/>
      <w:outlineLvl w:val="5"/>
    </w:pPr>
    <w:rPr>
      <w:b/>
      <w:bCs/>
      <w:sz w:val="22"/>
      <w:szCs w:val="22"/>
    </w:rPr>
  </w:style>
  <w:style w:type="paragraph" w:styleId="Ttulo7">
    <w:name w:val="heading 7"/>
    <w:basedOn w:val="Normal"/>
    <w:next w:val="Normal"/>
    <w:link w:val="Ttulo7Car1"/>
    <w:qFormat/>
    <w:rsid w:val="002C22FB"/>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B15F7D"/>
    <w:pPr>
      <w:spacing w:before="240" w:after="60"/>
      <w:outlineLvl w:val="7"/>
    </w:pPr>
    <w:rPr>
      <w:rFonts w:ascii="Calibri" w:hAnsi="Calibri"/>
      <w:i/>
      <w:iCs/>
    </w:rPr>
  </w:style>
  <w:style w:type="paragraph" w:styleId="Ttulo9">
    <w:name w:val="heading 9"/>
    <w:basedOn w:val="Normal"/>
    <w:next w:val="Normal"/>
    <w:link w:val="Ttulo9Car"/>
    <w:qFormat/>
    <w:rsid w:val="00B15F7D"/>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aliases w:val="Títulos de Hallazgo e Introducción Car,CAPITULO 2 Car,H21 Car,TÍTULO CORTE Car,Heading 2 Char2 Char Car,Heading 2 Char Char1 Char Car,Headin Car,3. Subtitulos Car,TITULO CORTE Car,CHICO Car,SUBTITULOS Car,heading 2 Car"/>
    <w:basedOn w:val="Fuentedeprrafopredeter"/>
    <w:link w:val="Ttulo2"/>
    <w:qFormat/>
    <w:rsid w:val="002C22FB"/>
    <w:rPr>
      <w:rFonts w:ascii="Arial" w:eastAsia="Times New Roman" w:hAnsi="Arial" w:cs="Arial"/>
      <w:b/>
      <w:bCs/>
      <w:i/>
      <w:iCs/>
      <w:sz w:val="28"/>
      <w:szCs w:val="28"/>
      <w:lang w:val="es-ES" w:eastAsia="ar-SA"/>
    </w:rPr>
  </w:style>
  <w:style w:type="character" w:customStyle="1" w:styleId="Ttulo7Car">
    <w:name w:val="Título 7 Car"/>
    <w:basedOn w:val="Fuentedeprrafopredeter"/>
    <w:qFormat/>
    <w:rsid w:val="002C22FB"/>
    <w:rPr>
      <w:rFonts w:asciiTheme="majorHAnsi" w:eastAsiaTheme="majorEastAsia" w:hAnsiTheme="majorHAnsi" w:cstheme="majorBidi"/>
      <w:i/>
      <w:iCs/>
      <w:color w:val="1F3763" w:themeColor="accent1" w:themeShade="7F"/>
      <w:sz w:val="24"/>
      <w:szCs w:val="24"/>
      <w:lang w:val="es-ES" w:eastAsia="ar-SA"/>
    </w:rPr>
  </w:style>
  <w:style w:type="character" w:customStyle="1" w:styleId="Ttulo7Car1">
    <w:name w:val="Título 7 Car1"/>
    <w:link w:val="Ttulo7"/>
    <w:rsid w:val="002C22FB"/>
    <w:rPr>
      <w:rFonts w:ascii="Arial" w:eastAsia="Times New Roman" w:hAnsi="Arial" w:cs="Times New Roman"/>
      <w:b/>
      <w:bCs/>
      <w:sz w:val="24"/>
      <w:szCs w:val="24"/>
      <w:u w:val="single"/>
      <w:lang w:val="es-ES" w:eastAsia="ar-SA"/>
    </w:rPr>
  </w:style>
  <w:style w:type="character" w:styleId="Hipervnculo">
    <w:name w:val="Hyperlink"/>
    <w:uiPriority w:val="99"/>
    <w:qFormat/>
    <w:rsid w:val="002C22FB"/>
    <w:rPr>
      <w:color w:val="000080"/>
      <w:u w:val="single"/>
    </w:rPr>
  </w:style>
  <w:style w:type="paragraph" w:styleId="Encabezado">
    <w:name w:val="header"/>
    <w:aliases w:val="encabezado,h,header"/>
    <w:basedOn w:val="Normal"/>
    <w:link w:val="EncabezadoCar1"/>
    <w:qFormat/>
    <w:rsid w:val="002C22FB"/>
    <w:pPr>
      <w:widowControl w:val="0"/>
      <w:tabs>
        <w:tab w:val="center" w:pos="4320"/>
        <w:tab w:val="right" w:pos="8640"/>
      </w:tabs>
      <w:autoSpaceDE w:val="0"/>
    </w:pPr>
    <w:rPr>
      <w:rFonts w:ascii="Arial" w:hAnsi="Arial" w:cs="Arial"/>
      <w:u w:val="single"/>
      <w:shd w:val="clear" w:color="auto" w:fill="FFFFFF"/>
    </w:rPr>
  </w:style>
  <w:style w:type="character" w:customStyle="1" w:styleId="EncabezadoCar">
    <w:name w:val="Encabezado Car"/>
    <w:aliases w:val="header Car,h Car1,h Car Car1"/>
    <w:basedOn w:val="Fuentedeprrafopredeter"/>
    <w:qFormat/>
    <w:rsid w:val="002C22FB"/>
    <w:rPr>
      <w:rFonts w:ascii="Times New Roman" w:eastAsia="Times New Roman" w:hAnsi="Times New Roman" w:cs="Times New Roman"/>
      <w:sz w:val="24"/>
      <w:szCs w:val="24"/>
      <w:lang w:val="es-ES" w:eastAsia="ar-SA"/>
    </w:rPr>
  </w:style>
  <w:style w:type="character" w:customStyle="1" w:styleId="EncabezadoCar1">
    <w:name w:val="Encabezado Car1"/>
    <w:aliases w:val="encabezado Car,h Car,header Car1"/>
    <w:link w:val="Encabezado"/>
    <w:rsid w:val="002C22FB"/>
    <w:rPr>
      <w:rFonts w:ascii="Arial" w:eastAsia="Times New Roman" w:hAnsi="Arial" w:cs="Arial"/>
      <w:sz w:val="24"/>
      <w:szCs w:val="24"/>
      <w:u w:val="single"/>
      <w:lang w:val="es-ES" w:eastAsia="ar-SA"/>
    </w:rPr>
  </w:style>
  <w:style w:type="paragraph" w:styleId="Piedepgina">
    <w:name w:val="footer"/>
    <w:basedOn w:val="Normal"/>
    <w:link w:val="PiedepginaCar"/>
    <w:qFormat/>
    <w:rsid w:val="002C22FB"/>
    <w:pPr>
      <w:widowControl w:val="0"/>
      <w:tabs>
        <w:tab w:val="center" w:pos="4320"/>
        <w:tab w:val="right" w:pos="8640"/>
      </w:tabs>
      <w:autoSpaceDE w:val="0"/>
    </w:pPr>
    <w:rPr>
      <w:rFonts w:ascii="Arial" w:hAnsi="Arial" w:cs="Arial"/>
      <w:u w:val="single"/>
      <w:shd w:val="clear" w:color="auto" w:fill="FFFFFF"/>
    </w:rPr>
  </w:style>
  <w:style w:type="character" w:customStyle="1" w:styleId="PiedepginaCar">
    <w:name w:val="Pie de página Car"/>
    <w:basedOn w:val="Fuentedeprrafopredeter"/>
    <w:link w:val="Piedepgina"/>
    <w:qFormat/>
    <w:rsid w:val="002C22FB"/>
    <w:rPr>
      <w:rFonts w:ascii="Arial" w:eastAsia="Times New Roman" w:hAnsi="Arial" w:cs="Arial"/>
      <w:sz w:val="24"/>
      <w:szCs w:val="24"/>
      <w:u w:val="single"/>
      <w:lang w:val="es-ES" w:eastAsia="ar-SA"/>
    </w:rPr>
  </w:style>
  <w:style w:type="paragraph" w:customStyle="1" w:styleId="Ttulo51">
    <w:name w:val="Título 51"/>
    <w:next w:val="Normal"/>
    <w:uiPriority w:val="99"/>
    <w:qFormat/>
    <w:rsid w:val="002C22FB"/>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Ttulo31">
    <w:name w:val="Título 31"/>
    <w:next w:val="Normal"/>
    <w:qFormat/>
    <w:rsid w:val="002C22FB"/>
    <w:pPr>
      <w:widowControl w:val="0"/>
      <w:numPr>
        <w:ilvl w:val="2"/>
        <w:numId w:val="1"/>
      </w:numPr>
      <w:suppressAutoHyphens/>
      <w:spacing w:after="0" w:line="240" w:lineRule="auto"/>
      <w:outlineLvl w:val="2"/>
    </w:pPr>
    <w:rPr>
      <w:rFonts w:ascii="Times New Roman" w:eastAsia="Arial Unicode MS" w:hAnsi="Times New Roman" w:cs="Times New Roman"/>
      <w:sz w:val="24"/>
      <w:szCs w:val="24"/>
      <w:u w:val="single"/>
      <w:shd w:val="clear" w:color="auto" w:fill="FFFFFF"/>
      <w:lang w:val="es-ES_tradnl" w:eastAsia="es-ES"/>
    </w:rPr>
  </w:style>
  <w:style w:type="paragraph" w:customStyle="1" w:styleId="SUBPROGRAMA">
    <w:name w:val="SUBPROGRAMA"/>
    <w:basedOn w:val="Ttulo1"/>
    <w:next w:val="Normal"/>
    <w:qFormat/>
    <w:rsid w:val="002C22FB"/>
    <w:pPr>
      <w:keepLines w:val="0"/>
      <w:numPr>
        <w:numId w:val="1"/>
      </w:numPr>
      <w:suppressAutoHyphens w:val="0"/>
      <w:spacing w:after="60"/>
      <w:jc w:val="both"/>
    </w:pPr>
    <w:rPr>
      <w:rFonts w:ascii="Bookman Old Style" w:eastAsia="Times New Roman" w:hAnsi="Bookman Old Style" w:cs="Times New Roman"/>
      <w:b/>
      <w:smallCaps/>
      <w:color w:val="000080"/>
      <w:kern w:val="28"/>
      <w:sz w:val="28"/>
      <w:szCs w:val="20"/>
      <w:u w:val="single"/>
      <w:lang w:eastAsia="es-ES"/>
    </w:rPr>
  </w:style>
  <w:style w:type="paragraph" w:customStyle="1" w:styleId="Ttulo54">
    <w:name w:val="Título 54"/>
    <w:next w:val="Normal"/>
    <w:uiPriority w:val="99"/>
    <w:qFormat/>
    <w:rsid w:val="002C22FB"/>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character" w:customStyle="1" w:styleId="Ttulo1Car">
    <w:name w:val="Título 1 Car"/>
    <w:aliases w:val="Título Principal Car,000000 Car,1. Texto Base Car,CAPITULO 1 Car,heading 1 Car"/>
    <w:basedOn w:val="Fuentedeprrafopredeter"/>
    <w:link w:val="Ttulo1"/>
    <w:qFormat/>
    <w:rsid w:val="002C22FB"/>
    <w:rPr>
      <w:rFonts w:asciiTheme="majorHAnsi" w:eastAsiaTheme="majorEastAsia" w:hAnsiTheme="majorHAnsi" w:cstheme="majorBidi"/>
      <w:color w:val="2F5496" w:themeColor="accent1" w:themeShade="BF"/>
      <w:sz w:val="32"/>
      <w:szCs w:val="32"/>
      <w:lang w:val="es-ES" w:eastAsia="ar-SA"/>
    </w:rPr>
  </w:style>
  <w:style w:type="paragraph" w:styleId="NormalWeb">
    <w:name w:val="Normal (Web)"/>
    <w:basedOn w:val="Normal"/>
    <w:link w:val="NormalWebCar"/>
    <w:uiPriority w:val="99"/>
    <w:qFormat/>
    <w:rsid w:val="005B0640"/>
    <w:pPr>
      <w:spacing w:before="100" w:after="100"/>
    </w:pPr>
  </w:style>
  <w:style w:type="character" w:customStyle="1" w:styleId="NormalWebCar">
    <w:name w:val="Normal (Web) Car"/>
    <w:link w:val="NormalWeb"/>
    <w:uiPriority w:val="99"/>
    <w:qFormat/>
    <w:locked/>
    <w:rsid w:val="005B0640"/>
    <w:rPr>
      <w:rFonts w:ascii="Times New Roman" w:eastAsia="Times New Roman" w:hAnsi="Times New Roman" w:cs="Times New Roman"/>
      <w:sz w:val="24"/>
      <w:szCs w:val="24"/>
      <w:lang w:val="es-ES" w:eastAsia="ar-SA"/>
    </w:rPr>
  </w:style>
  <w:style w:type="character" w:customStyle="1" w:styleId="Ttulo3Car">
    <w:name w:val="Título 3 Car"/>
    <w:aliases w:val="Subtítulos de Hallazgo Car,Graficos Car,otros Car,SUBTÍTULO CORTE Car,SUBTITULO CORTE Car,MATÍAS Car,heading 3 Car"/>
    <w:basedOn w:val="Fuentedeprrafopredeter"/>
    <w:link w:val="Ttulo3"/>
    <w:qFormat/>
    <w:rsid w:val="00B15F7D"/>
    <w:rPr>
      <w:rFonts w:ascii="Times New Roman" w:eastAsia="Times New Roman" w:hAnsi="Times New Roman" w:cs="Arial"/>
      <w:bCs/>
      <w:color w:val="0000FF"/>
      <w:sz w:val="24"/>
      <w:szCs w:val="26"/>
      <w:lang w:val="es-ES_tradnl" w:eastAsia="ar-SA"/>
    </w:rPr>
  </w:style>
  <w:style w:type="character" w:customStyle="1" w:styleId="Ttulo4Car">
    <w:name w:val="Título 4 Car"/>
    <w:aliases w:val="h4 Car,Título 4.2 Car,H41 Car,2. Titulo I-II-III ect. Car"/>
    <w:basedOn w:val="Fuentedeprrafopredeter"/>
    <w:link w:val="Ttulo4"/>
    <w:qFormat/>
    <w:rsid w:val="00B15F7D"/>
    <w:rPr>
      <w:rFonts w:ascii="Times New Roman" w:eastAsia="Times New Roman" w:hAnsi="Times New Roman" w:cs="Times New Roman"/>
      <w:b/>
      <w:bCs/>
      <w:sz w:val="28"/>
      <w:szCs w:val="28"/>
      <w:lang w:val="es-ES_tradnl" w:eastAsia="ar-SA"/>
    </w:rPr>
  </w:style>
  <w:style w:type="character" w:customStyle="1" w:styleId="Ttulo5Car">
    <w:name w:val="Título 5 Car"/>
    <w:aliases w:val="4.Cuadros Car"/>
    <w:basedOn w:val="Fuentedeprrafopredeter"/>
    <w:link w:val="Ttulo5"/>
    <w:qFormat/>
    <w:rsid w:val="00B15F7D"/>
    <w:rPr>
      <w:rFonts w:ascii="Times New Roman" w:eastAsia="Times New Roman" w:hAnsi="Times New Roman" w:cs="Times New Roman"/>
      <w:b/>
      <w:bCs/>
      <w:iCs/>
      <w:sz w:val="44"/>
      <w:szCs w:val="26"/>
      <w:u w:val="single"/>
      <w:lang w:val="es-ES_tradnl" w:eastAsia="ar-SA"/>
    </w:rPr>
  </w:style>
  <w:style w:type="character" w:customStyle="1" w:styleId="Ttulo6Car">
    <w:name w:val="Título 6 Car"/>
    <w:aliases w:val="5.Fuente Car"/>
    <w:basedOn w:val="Fuentedeprrafopredeter"/>
    <w:link w:val="Ttulo6"/>
    <w:qFormat/>
    <w:rsid w:val="00B15F7D"/>
    <w:rPr>
      <w:rFonts w:ascii="Times New Roman" w:eastAsia="Times New Roman" w:hAnsi="Times New Roman" w:cs="Times New Roman"/>
      <w:b/>
      <w:bCs/>
      <w:lang w:val="es-ES" w:eastAsia="ar-SA"/>
    </w:rPr>
  </w:style>
  <w:style w:type="character" w:customStyle="1" w:styleId="Ttulo8Car">
    <w:name w:val="Título 8 Car"/>
    <w:basedOn w:val="Fuentedeprrafopredeter"/>
    <w:link w:val="Ttulo8"/>
    <w:qFormat/>
    <w:rsid w:val="00B15F7D"/>
    <w:rPr>
      <w:rFonts w:ascii="Calibri" w:eastAsia="Times New Roman" w:hAnsi="Calibri" w:cs="Times New Roman"/>
      <w:i/>
      <w:iCs/>
      <w:sz w:val="24"/>
      <w:szCs w:val="24"/>
      <w:lang w:val="es-ES" w:eastAsia="ar-SA"/>
    </w:rPr>
  </w:style>
  <w:style w:type="character" w:customStyle="1" w:styleId="Ttulo9Car">
    <w:name w:val="Título 9 Car"/>
    <w:basedOn w:val="Fuentedeprrafopredeter"/>
    <w:link w:val="Ttulo9"/>
    <w:qFormat/>
    <w:rsid w:val="00B15F7D"/>
    <w:rPr>
      <w:rFonts w:ascii="Arial" w:eastAsia="Times New Roman" w:hAnsi="Arial" w:cs="Arial"/>
      <w:lang w:val="es-ES" w:eastAsia="ar-SA"/>
    </w:rPr>
  </w:style>
  <w:style w:type="paragraph" w:styleId="TDC1">
    <w:name w:val="toc 1"/>
    <w:basedOn w:val="Normal"/>
    <w:next w:val="Normal"/>
    <w:link w:val="TDC1Car"/>
    <w:autoRedefine/>
    <w:uiPriority w:val="39"/>
    <w:qFormat/>
    <w:rsid w:val="00B15F7D"/>
    <w:pPr>
      <w:spacing w:before="120" w:after="120"/>
      <w:jc w:val="both"/>
    </w:pPr>
    <w:rPr>
      <w:b/>
      <w:color w:val="000080"/>
      <w:sz w:val="28"/>
      <w:szCs w:val="20"/>
      <w:u w:val="single"/>
      <w:lang w:val="es-ES_tradnl"/>
    </w:rPr>
  </w:style>
  <w:style w:type="character" w:customStyle="1" w:styleId="TDC1Car">
    <w:name w:val="TDC 1 Car"/>
    <w:link w:val="TDC1"/>
    <w:uiPriority w:val="39"/>
    <w:rsid w:val="00B15F7D"/>
    <w:rPr>
      <w:rFonts w:ascii="Times New Roman" w:eastAsia="Times New Roman" w:hAnsi="Times New Roman" w:cs="Times New Roman"/>
      <w:b/>
      <w:color w:val="000080"/>
      <w:sz w:val="28"/>
      <w:szCs w:val="20"/>
      <w:u w:val="single"/>
      <w:lang w:val="es-ES_tradnl" w:eastAsia="ar-SA"/>
    </w:rPr>
  </w:style>
  <w:style w:type="paragraph" w:styleId="Textoindependiente">
    <w:name w:val="Body Text"/>
    <w:basedOn w:val="Normal"/>
    <w:link w:val="TextoindependienteCar"/>
    <w:uiPriority w:val="99"/>
    <w:qFormat/>
    <w:rsid w:val="00B15F7D"/>
    <w:pPr>
      <w:jc w:val="both"/>
    </w:pPr>
    <w:rPr>
      <w:sz w:val="28"/>
      <w:szCs w:val="28"/>
    </w:rPr>
  </w:style>
  <w:style w:type="character" w:customStyle="1" w:styleId="TextoindependienteCar">
    <w:name w:val="Texto independiente Car"/>
    <w:basedOn w:val="Fuentedeprrafopredeter"/>
    <w:link w:val="Textoindependiente"/>
    <w:uiPriority w:val="99"/>
    <w:qFormat/>
    <w:rsid w:val="00B15F7D"/>
    <w:rPr>
      <w:rFonts w:ascii="Times New Roman" w:eastAsia="Times New Roman" w:hAnsi="Times New Roman" w:cs="Times New Roman"/>
      <w:sz w:val="28"/>
      <w:szCs w:val="28"/>
      <w:lang w:val="es-ES" w:eastAsia="ar-SA"/>
    </w:rPr>
  </w:style>
  <w:style w:type="paragraph" w:customStyle="1" w:styleId="CharChar">
    <w:name w:val="Char Char"/>
    <w:basedOn w:val="Normal"/>
    <w:rsid w:val="00B15F7D"/>
    <w:pPr>
      <w:suppressAutoHyphens w:val="0"/>
      <w:spacing w:after="160" w:line="240" w:lineRule="exact"/>
    </w:pPr>
    <w:rPr>
      <w:rFonts w:ascii="Verdana" w:hAnsi="Verdana"/>
      <w:sz w:val="20"/>
      <w:szCs w:val="21"/>
      <w:lang w:val="en-AU" w:eastAsia="en-US"/>
    </w:rPr>
  </w:style>
  <w:style w:type="character" w:customStyle="1" w:styleId="Fuentedeprrafopredeter3">
    <w:name w:val="Fuente de párrafo predeter.3"/>
    <w:qFormat/>
    <w:rsid w:val="00B15F7D"/>
  </w:style>
  <w:style w:type="character" w:customStyle="1" w:styleId="Absatz-Standardschriftart">
    <w:name w:val="Absatz-Standardschriftart"/>
    <w:qFormat/>
    <w:rsid w:val="00B15F7D"/>
  </w:style>
  <w:style w:type="character" w:customStyle="1" w:styleId="WW-Absatz-Standardschriftart">
    <w:name w:val="WW-Absatz-Standardschriftart"/>
    <w:qFormat/>
    <w:rsid w:val="00B15F7D"/>
  </w:style>
  <w:style w:type="character" w:customStyle="1" w:styleId="Fuentedeprrafopredeter2">
    <w:name w:val="Fuente de párrafo predeter.2"/>
    <w:qFormat/>
    <w:rsid w:val="00B15F7D"/>
  </w:style>
  <w:style w:type="character" w:customStyle="1" w:styleId="WW8Num1z0">
    <w:name w:val="WW8Num1z0"/>
    <w:qFormat/>
    <w:rsid w:val="00B15F7D"/>
    <w:rPr>
      <w:rFonts w:ascii="Symbol" w:hAnsi="Symbol"/>
    </w:rPr>
  </w:style>
  <w:style w:type="character" w:customStyle="1" w:styleId="Fuentedeprrafopredeter1">
    <w:name w:val="Fuente de párrafo predeter.1"/>
    <w:qFormat/>
    <w:rsid w:val="00B15F7D"/>
  </w:style>
  <w:style w:type="character" w:customStyle="1" w:styleId="Vietas">
    <w:name w:val="Viñetas"/>
    <w:qFormat/>
    <w:rsid w:val="00B15F7D"/>
    <w:rPr>
      <w:rFonts w:ascii="StarSymbol" w:eastAsia="StarSymbol" w:hAnsi="StarSymbol" w:cs="StarSymbol"/>
      <w:sz w:val="18"/>
      <w:szCs w:val="18"/>
    </w:rPr>
  </w:style>
  <w:style w:type="paragraph" w:customStyle="1" w:styleId="Encabezado3">
    <w:name w:val="Encabezado3"/>
    <w:basedOn w:val="Normal"/>
    <w:next w:val="Textoindependiente"/>
    <w:uiPriority w:val="99"/>
    <w:qFormat/>
    <w:rsid w:val="00B15F7D"/>
    <w:pPr>
      <w:keepNext/>
      <w:spacing w:before="240" w:after="120"/>
    </w:pPr>
    <w:rPr>
      <w:rFonts w:ascii="Arial" w:eastAsia="Arial Unicode MS" w:hAnsi="Arial" w:cs="Tahoma"/>
      <w:sz w:val="28"/>
      <w:szCs w:val="28"/>
      <w:lang w:val="es-ES_tradnl"/>
    </w:rPr>
  </w:style>
  <w:style w:type="paragraph" w:styleId="Lista">
    <w:name w:val="List"/>
    <w:basedOn w:val="Textoindependiente"/>
    <w:qFormat/>
    <w:rsid w:val="00B15F7D"/>
    <w:rPr>
      <w:rFonts w:cs="Tahoma"/>
    </w:rPr>
  </w:style>
  <w:style w:type="paragraph" w:customStyle="1" w:styleId="Etiqueta">
    <w:name w:val="Etiqueta"/>
    <w:basedOn w:val="Normal"/>
    <w:uiPriority w:val="99"/>
    <w:qFormat/>
    <w:rsid w:val="00B15F7D"/>
    <w:pPr>
      <w:suppressLineNumbers/>
      <w:spacing w:before="120" w:after="120"/>
    </w:pPr>
    <w:rPr>
      <w:rFonts w:cs="Tahoma"/>
      <w:i/>
      <w:iCs/>
      <w:lang w:val="es-ES_tradnl"/>
    </w:rPr>
  </w:style>
  <w:style w:type="paragraph" w:customStyle="1" w:styleId="ndice">
    <w:name w:val="Índice"/>
    <w:basedOn w:val="Normal"/>
    <w:uiPriority w:val="99"/>
    <w:qFormat/>
    <w:rsid w:val="00B15F7D"/>
    <w:pPr>
      <w:suppressLineNumbers/>
    </w:pPr>
    <w:rPr>
      <w:rFonts w:cs="Tahoma"/>
      <w:sz w:val="20"/>
      <w:szCs w:val="20"/>
      <w:lang w:val="es-ES_tradnl"/>
    </w:rPr>
  </w:style>
  <w:style w:type="paragraph" w:customStyle="1" w:styleId="Encabezado2">
    <w:name w:val="Encabezado2"/>
    <w:basedOn w:val="Normal"/>
    <w:next w:val="Textoindependiente"/>
    <w:uiPriority w:val="99"/>
    <w:qFormat/>
    <w:rsid w:val="00B15F7D"/>
    <w:pPr>
      <w:keepNext/>
      <w:spacing w:before="240" w:after="120"/>
    </w:pPr>
    <w:rPr>
      <w:rFonts w:ascii="Arial" w:eastAsia="Arial Unicode MS" w:hAnsi="Arial" w:cs="Tahoma"/>
      <w:sz w:val="28"/>
      <w:szCs w:val="28"/>
      <w:lang w:val="es-ES_tradnl"/>
    </w:rPr>
  </w:style>
  <w:style w:type="paragraph" w:customStyle="1" w:styleId="Encabezado1">
    <w:name w:val="Encabezado1"/>
    <w:basedOn w:val="Normal"/>
    <w:next w:val="Textoindependiente"/>
    <w:uiPriority w:val="99"/>
    <w:qFormat/>
    <w:rsid w:val="00B15F7D"/>
    <w:pPr>
      <w:keepNext/>
      <w:spacing w:before="240" w:after="120"/>
    </w:pPr>
    <w:rPr>
      <w:rFonts w:ascii="Arial" w:eastAsia="Arial Unicode MS" w:hAnsi="Arial" w:cs="Tahoma"/>
      <w:sz w:val="28"/>
      <w:szCs w:val="28"/>
      <w:lang w:val="es-ES_tradnl"/>
    </w:rPr>
  </w:style>
  <w:style w:type="character" w:customStyle="1" w:styleId="NormalWebCar1">
    <w:name w:val="Normal (Web) Car1"/>
    <w:uiPriority w:val="99"/>
    <w:qFormat/>
    <w:locked/>
    <w:rsid w:val="00B15F7D"/>
    <w:rPr>
      <w:sz w:val="24"/>
      <w:szCs w:val="24"/>
      <w:lang w:val="es-ES" w:eastAsia="ar-SA" w:bidi="ar-SA"/>
    </w:rPr>
  </w:style>
  <w:style w:type="paragraph" w:styleId="Subttulo">
    <w:name w:val="Subtitle"/>
    <w:aliases w:val="Cuadros"/>
    <w:basedOn w:val="Normal"/>
    <w:next w:val="Textoindependiente"/>
    <w:link w:val="SubttuloCar3"/>
    <w:qFormat/>
    <w:rsid w:val="00B15F7D"/>
    <w:pPr>
      <w:jc w:val="center"/>
    </w:pPr>
    <w:rPr>
      <w:rFonts w:ascii="Arial" w:hAnsi="Arial" w:cs="Arial"/>
      <w:b/>
      <w:bCs/>
      <w:sz w:val="28"/>
      <w:szCs w:val="28"/>
      <w:u w:val="single"/>
    </w:rPr>
  </w:style>
  <w:style w:type="character" w:customStyle="1" w:styleId="SubttuloCar">
    <w:name w:val="Subtítulo Car"/>
    <w:aliases w:val="Cuadros Car"/>
    <w:basedOn w:val="Fuentedeprrafopredeter"/>
    <w:qFormat/>
    <w:rsid w:val="00B15F7D"/>
    <w:rPr>
      <w:rFonts w:eastAsiaTheme="minorEastAsia"/>
      <w:color w:val="5A5A5A" w:themeColor="text1" w:themeTint="A5"/>
      <w:spacing w:val="15"/>
      <w:lang w:val="es-ES" w:eastAsia="ar-SA"/>
    </w:rPr>
  </w:style>
  <w:style w:type="paragraph" w:customStyle="1" w:styleId="Car">
    <w:name w:val="Car"/>
    <w:basedOn w:val="Normal"/>
    <w:uiPriority w:val="99"/>
    <w:rsid w:val="00B15F7D"/>
    <w:pPr>
      <w:spacing w:after="160" w:line="240" w:lineRule="exact"/>
    </w:pPr>
    <w:rPr>
      <w:rFonts w:ascii="Verdana" w:hAnsi="Verdana" w:cs="Verdana"/>
      <w:sz w:val="20"/>
      <w:szCs w:val="20"/>
      <w:lang w:val="en-AU"/>
    </w:rPr>
  </w:style>
  <w:style w:type="paragraph" w:styleId="Sangradetextonormal">
    <w:name w:val="Body Text Indent"/>
    <w:basedOn w:val="Normal"/>
    <w:link w:val="SangradetextonormalCar"/>
    <w:qFormat/>
    <w:rsid w:val="00B15F7D"/>
    <w:pPr>
      <w:spacing w:after="120"/>
      <w:ind w:left="283"/>
    </w:pPr>
    <w:rPr>
      <w:sz w:val="20"/>
      <w:szCs w:val="20"/>
      <w:lang w:val="es-ES_tradnl"/>
    </w:rPr>
  </w:style>
  <w:style w:type="character" w:customStyle="1" w:styleId="SangradetextonormalCar">
    <w:name w:val="Sangría de texto normal Car"/>
    <w:basedOn w:val="Fuentedeprrafopredeter"/>
    <w:link w:val="Sangradetextonormal"/>
    <w:qFormat/>
    <w:rsid w:val="00B15F7D"/>
    <w:rPr>
      <w:rFonts w:ascii="Times New Roman" w:eastAsia="Times New Roman" w:hAnsi="Times New Roman" w:cs="Times New Roman"/>
      <w:sz w:val="20"/>
      <w:szCs w:val="20"/>
      <w:lang w:val="es-ES_tradnl" w:eastAsia="ar-SA"/>
    </w:rPr>
  </w:style>
  <w:style w:type="paragraph" w:styleId="Prrafodelista">
    <w:name w:val="List Paragraph"/>
    <w:aliases w:val="Bullet 1,Use Case List Paragraph,Lista vistosa - Énfasis 11,Párrafo de lista Car Car Car,Footnote,List Paragraph2,Informe,Lista multicolor - Énfasis 11,Segundo nivel de viñetas,Bullet List,numbered,FooterText,Titulo 1,lp1,列出段落,VIÑETA,lp"/>
    <w:basedOn w:val="Normal"/>
    <w:uiPriority w:val="34"/>
    <w:qFormat/>
    <w:rsid w:val="00B15F7D"/>
    <w:pPr>
      <w:ind w:left="708"/>
    </w:pPr>
  </w:style>
  <w:style w:type="paragraph" w:styleId="Sangra2detindependiente">
    <w:name w:val="Body Text Indent 2"/>
    <w:basedOn w:val="Normal"/>
    <w:link w:val="Sangra2detindependienteCar"/>
    <w:qFormat/>
    <w:rsid w:val="00B15F7D"/>
    <w:pPr>
      <w:spacing w:after="120" w:line="480" w:lineRule="auto"/>
      <w:ind w:left="283"/>
    </w:pPr>
    <w:rPr>
      <w:sz w:val="20"/>
      <w:szCs w:val="20"/>
      <w:lang w:val="es-ES_tradnl"/>
    </w:rPr>
  </w:style>
  <w:style w:type="character" w:customStyle="1" w:styleId="Sangra2detindependienteCar">
    <w:name w:val="Sangría 2 de t. independiente Car"/>
    <w:basedOn w:val="Fuentedeprrafopredeter"/>
    <w:link w:val="Sangra2detindependiente"/>
    <w:rsid w:val="00B15F7D"/>
    <w:rPr>
      <w:rFonts w:ascii="Times New Roman" w:eastAsia="Times New Roman" w:hAnsi="Times New Roman" w:cs="Times New Roman"/>
      <w:sz w:val="20"/>
      <w:szCs w:val="20"/>
      <w:lang w:val="es-ES_tradnl" w:eastAsia="ar-SA"/>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Footnote Te"/>
    <w:basedOn w:val="Normal"/>
    <w:link w:val="TextonotapieCar"/>
    <w:qFormat/>
    <w:rsid w:val="00B15F7D"/>
    <w:pPr>
      <w:suppressAutoHyphens w:val="0"/>
    </w:pPr>
    <w:rPr>
      <w:sz w:val="20"/>
      <w:szCs w:val="20"/>
      <w:lang w:eastAsia="es-ES"/>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Texto Car,nota Car,al Car"/>
    <w:basedOn w:val="Fuentedeprrafopredeter"/>
    <w:link w:val="Textonotapie"/>
    <w:qFormat/>
    <w:rsid w:val="00B15F7D"/>
    <w:rPr>
      <w:rFonts w:ascii="Times New Roman" w:eastAsia="Times New Roman" w:hAnsi="Times New Roman" w:cs="Times New Roman"/>
      <w:sz w:val="20"/>
      <w:szCs w:val="20"/>
      <w:lang w:val="es-ES" w:eastAsia="es-ES"/>
    </w:rPr>
  </w:style>
  <w:style w:type="paragraph" w:customStyle="1" w:styleId="style3">
    <w:name w:val="style3"/>
    <w:basedOn w:val="Normal"/>
    <w:uiPriority w:val="99"/>
    <w:qFormat/>
    <w:rsid w:val="00B15F7D"/>
    <w:pPr>
      <w:suppressAutoHyphens w:val="0"/>
      <w:spacing w:before="280" w:after="280"/>
    </w:pPr>
    <w:rPr>
      <w:b/>
      <w:bCs/>
      <w:color w:val="000000"/>
      <w:lang w:eastAsia="es-ES"/>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4_G"/>
    <w:qFormat/>
    <w:rsid w:val="00B15F7D"/>
    <w:rPr>
      <w:vertAlign w:val="superscript"/>
    </w:rPr>
  </w:style>
  <w:style w:type="paragraph" w:styleId="Listaconvietas">
    <w:name w:val="List Bullet"/>
    <w:aliases w:val="UL"/>
    <w:basedOn w:val="Normal"/>
    <w:uiPriority w:val="99"/>
    <w:qFormat/>
    <w:rsid w:val="00B15F7D"/>
    <w:pPr>
      <w:tabs>
        <w:tab w:val="num" w:pos="1080"/>
      </w:tabs>
      <w:suppressAutoHyphens w:val="0"/>
      <w:ind w:left="1080" w:hanging="360"/>
    </w:pPr>
    <w:rPr>
      <w:rFonts w:ascii="Arial" w:hAnsi="Arial" w:cs="Arial"/>
      <w:lang w:val="es-CR" w:eastAsia="es-ES"/>
    </w:rPr>
  </w:style>
  <w:style w:type="character" w:styleId="Textoennegrita">
    <w:name w:val="Strong"/>
    <w:aliases w:val="Texto tabla Informe,apartados"/>
    <w:qFormat/>
    <w:rsid w:val="00B15F7D"/>
    <w:rPr>
      <w:rFonts w:cs="Times New Roman"/>
      <w:b/>
      <w:bCs/>
    </w:rPr>
  </w:style>
  <w:style w:type="paragraph" w:styleId="Textodeglobo">
    <w:name w:val="Balloon Text"/>
    <w:basedOn w:val="Normal"/>
    <w:link w:val="TextodegloboCar"/>
    <w:uiPriority w:val="99"/>
    <w:qFormat/>
    <w:rsid w:val="00B15F7D"/>
    <w:rPr>
      <w:rFonts w:ascii="Tahoma" w:hAnsi="Tahoma" w:cs="Tahoma"/>
      <w:sz w:val="16"/>
      <w:szCs w:val="16"/>
      <w:lang w:val="es-ES_tradnl"/>
    </w:rPr>
  </w:style>
  <w:style w:type="character" w:customStyle="1" w:styleId="TextodegloboCar">
    <w:name w:val="Texto de globo Car"/>
    <w:basedOn w:val="Fuentedeprrafopredeter"/>
    <w:link w:val="Textodeglobo"/>
    <w:uiPriority w:val="99"/>
    <w:qFormat/>
    <w:rsid w:val="00B15F7D"/>
    <w:rPr>
      <w:rFonts w:ascii="Tahoma" w:eastAsia="Times New Roman" w:hAnsi="Tahoma" w:cs="Tahoma"/>
      <w:sz w:val="16"/>
      <w:szCs w:val="16"/>
      <w:lang w:val="es-ES_tradnl" w:eastAsia="ar-SA"/>
    </w:rPr>
  </w:style>
  <w:style w:type="character" w:customStyle="1" w:styleId="WW8Num46z0">
    <w:name w:val="WW8Num46z0"/>
    <w:qFormat/>
    <w:rsid w:val="00B15F7D"/>
    <w:rPr>
      <w:rFonts w:ascii="Symbol" w:hAnsi="Symbol" w:cs="Symbol"/>
    </w:rPr>
  </w:style>
  <w:style w:type="character" w:customStyle="1" w:styleId="Caracteresdenotaalpie">
    <w:name w:val="Caracteres de nota al pie"/>
    <w:qFormat/>
    <w:rsid w:val="00B15F7D"/>
    <w:rPr>
      <w:vertAlign w:val="superscript"/>
    </w:rPr>
  </w:style>
  <w:style w:type="paragraph" w:styleId="Textocomentario">
    <w:name w:val="annotation text"/>
    <w:basedOn w:val="Normal"/>
    <w:link w:val="TextocomentarioCar"/>
    <w:qFormat/>
    <w:rsid w:val="00B15F7D"/>
    <w:rPr>
      <w:sz w:val="20"/>
      <w:szCs w:val="20"/>
    </w:rPr>
  </w:style>
  <w:style w:type="character" w:customStyle="1" w:styleId="TextocomentarioCar">
    <w:name w:val="Texto comentario Car"/>
    <w:basedOn w:val="Fuentedeprrafopredeter"/>
    <w:link w:val="Textocomentario"/>
    <w:qFormat/>
    <w:rsid w:val="00B15F7D"/>
    <w:rPr>
      <w:rFonts w:ascii="Times New Roman" w:eastAsia="Times New Roman" w:hAnsi="Times New Roman" w:cs="Times New Roman"/>
      <w:sz w:val="20"/>
      <w:szCs w:val="20"/>
      <w:lang w:val="es-ES" w:eastAsia="ar-SA"/>
    </w:rPr>
  </w:style>
  <w:style w:type="paragraph" w:styleId="Sinespaciado">
    <w:name w:val="No Spacing"/>
    <w:aliases w:val="Pilares"/>
    <w:link w:val="SinespaciadoCar"/>
    <w:uiPriority w:val="1"/>
    <w:qFormat/>
    <w:rsid w:val="00B15F7D"/>
    <w:pPr>
      <w:suppressAutoHyphens/>
      <w:spacing w:after="0" w:line="240" w:lineRule="auto"/>
    </w:pPr>
    <w:rPr>
      <w:rFonts w:ascii="Calibri" w:eastAsia="Calibri" w:hAnsi="Calibri" w:cs="Calibri"/>
      <w:lang w:val="es-ES" w:eastAsia="ar-SA"/>
    </w:rPr>
  </w:style>
  <w:style w:type="character" w:customStyle="1" w:styleId="SinespaciadoCar">
    <w:name w:val="Sin espaciado Car"/>
    <w:aliases w:val="Pilares Car"/>
    <w:link w:val="Sinespaciado"/>
    <w:uiPriority w:val="1"/>
    <w:qFormat/>
    <w:rsid w:val="00B15F7D"/>
    <w:rPr>
      <w:rFonts w:ascii="Calibri" w:eastAsia="Calibri" w:hAnsi="Calibri" w:cs="Calibri"/>
      <w:lang w:val="es-ES" w:eastAsia="ar-SA"/>
    </w:rPr>
  </w:style>
  <w:style w:type="paragraph" w:customStyle="1" w:styleId="CarCarCarCar">
    <w:name w:val="Car Car Car Car"/>
    <w:basedOn w:val="Normal"/>
    <w:uiPriority w:val="99"/>
    <w:qFormat/>
    <w:rsid w:val="00B15F7D"/>
    <w:pPr>
      <w:suppressAutoHyphens w:val="0"/>
      <w:spacing w:after="160" w:line="240" w:lineRule="exact"/>
    </w:pPr>
    <w:rPr>
      <w:rFonts w:ascii="Verdana" w:hAnsi="Verdana" w:cs="Verdana"/>
      <w:sz w:val="20"/>
      <w:szCs w:val="20"/>
      <w:lang w:val="en-AU" w:eastAsia="en-US"/>
    </w:rPr>
  </w:style>
  <w:style w:type="paragraph" w:customStyle="1" w:styleId="CarCarCarCarCarCar">
    <w:name w:val="Car Car Car Car Car Car"/>
    <w:basedOn w:val="Normal"/>
    <w:uiPriority w:val="99"/>
    <w:rsid w:val="00B15F7D"/>
    <w:pPr>
      <w:suppressAutoHyphens w:val="0"/>
      <w:spacing w:after="160" w:line="240" w:lineRule="exact"/>
    </w:pPr>
    <w:rPr>
      <w:rFonts w:ascii="Verdana" w:hAnsi="Verdana" w:cs="Verdana"/>
      <w:sz w:val="20"/>
      <w:szCs w:val="20"/>
      <w:lang w:val="en-AU" w:eastAsia="en-US"/>
    </w:rPr>
  </w:style>
  <w:style w:type="table" w:styleId="Tablaconcuadrcula">
    <w:name w:val="Table Grid"/>
    <w:basedOn w:val="Tablanormal"/>
    <w:uiPriority w:val="39"/>
    <w:qFormat/>
    <w:rsid w:val="00B15F7D"/>
    <w:pPr>
      <w:suppressAutoHyphens/>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2">
    <w:name w:val="Body Text 22"/>
    <w:basedOn w:val="Normal"/>
    <w:qFormat/>
    <w:rsid w:val="00B15F7D"/>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uiPriority w:val="99"/>
    <w:qFormat/>
    <w:rsid w:val="00B15F7D"/>
    <w:pPr>
      <w:suppressAutoHyphens w:val="0"/>
      <w:spacing w:before="100" w:beforeAutospacing="1" w:after="100" w:afterAutospacing="1"/>
    </w:pPr>
    <w:rPr>
      <w:lang w:eastAsia="es-ES"/>
    </w:rPr>
  </w:style>
  <w:style w:type="paragraph" w:styleId="TDC2">
    <w:name w:val="toc 2"/>
    <w:basedOn w:val="Normal"/>
    <w:next w:val="Normal"/>
    <w:autoRedefine/>
    <w:uiPriority w:val="39"/>
    <w:qFormat/>
    <w:rsid w:val="00B15F7D"/>
    <w:pPr>
      <w:tabs>
        <w:tab w:val="right" w:leader="dot" w:pos="9396"/>
      </w:tabs>
      <w:jc w:val="both"/>
    </w:pPr>
    <w:rPr>
      <w:b/>
      <w:noProof/>
      <w:color w:val="000099"/>
      <w:sz w:val="28"/>
      <w:szCs w:val="28"/>
      <w:u w:val="single"/>
      <w:lang w:val="es-ES_tradnl"/>
    </w:rPr>
  </w:style>
  <w:style w:type="paragraph" w:styleId="TDC3">
    <w:name w:val="toc 3"/>
    <w:basedOn w:val="Normal"/>
    <w:next w:val="Normal"/>
    <w:autoRedefine/>
    <w:uiPriority w:val="39"/>
    <w:qFormat/>
    <w:rsid w:val="00B15F7D"/>
    <w:pPr>
      <w:widowControl w:val="0"/>
      <w:tabs>
        <w:tab w:val="right" w:leader="dot" w:pos="9964"/>
      </w:tabs>
      <w:suppressAutoHyphens w:val="0"/>
      <w:spacing w:before="120" w:after="240"/>
      <w:jc w:val="both"/>
    </w:pPr>
    <w:rPr>
      <w:sz w:val="28"/>
      <w:szCs w:val="20"/>
      <w:lang w:val="es-ES_tradnl"/>
    </w:rPr>
  </w:style>
  <w:style w:type="paragraph" w:styleId="TDC5">
    <w:name w:val="toc 5"/>
    <w:basedOn w:val="Normal"/>
    <w:next w:val="Normal"/>
    <w:autoRedefine/>
    <w:uiPriority w:val="39"/>
    <w:qFormat/>
    <w:rsid w:val="00B15F7D"/>
    <w:pPr>
      <w:tabs>
        <w:tab w:val="right" w:leader="dot" w:pos="8828"/>
      </w:tabs>
      <w:spacing w:before="360" w:after="240"/>
      <w:jc w:val="center"/>
    </w:pPr>
    <w:rPr>
      <w:rFonts w:eastAsia="StarSymbol"/>
      <w:b/>
      <w:noProof/>
      <w:color w:val="000080"/>
      <w:sz w:val="40"/>
      <w:szCs w:val="20"/>
      <w:u w:val="single"/>
      <w:lang w:val="es-ES_tradnl"/>
    </w:rPr>
  </w:style>
  <w:style w:type="character" w:customStyle="1" w:styleId="CarCar">
    <w:name w:val="Car Car"/>
    <w:qFormat/>
    <w:locked/>
    <w:rsid w:val="00B15F7D"/>
    <w:rPr>
      <w:lang w:val="es-ES" w:eastAsia="es-ES" w:bidi="ar-SA"/>
    </w:rPr>
  </w:style>
  <w:style w:type="character" w:customStyle="1" w:styleId="EstiloCorreo77">
    <w:name w:val="EstiloCorreo77"/>
    <w:rsid w:val="00B15F7D"/>
    <w:rPr>
      <w:rFonts w:ascii="Arial" w:hAnsi="Arial" w:cs="Arial"/>
      <w:color w:val="000080"/>
      <w:sz w:val="20"/>
      <w:szCs w:val="20"/>
    </w:rPr>
  </w:style>
  <w:style w:type="paragraph" w:styleId="TDC4">
    <w:name w:val="toc 4"/>
    <w:basedOn w:val="Normal"/>
    <w:next w:val="Normal"/>
    <w:autoRedefine/>
    <w:uiPriority w:val="39"/>
    <w:qFormat/>
    <w:rsid w:val="00B15F7D"/>
    <w:pPr>
      <w:spacing w:before="360" w:after="240"/>
      <w:jc w:val="center"/>
    </w:pPr>
    <w:rPr>
      <w:b/>
      <w:color w:val="000080"/>
      <w:sz w:val="36"/>
      <w:szCs w:val="22"/>
      <w:u w:val="single"/>
      <w:lang w:val="es-ES_tradnl"/>
    </w:rPr>
  </w:style>
  <w:style w:type="paragraph" w:styleId="TDC6">
    <w:name w:val="toc 6"/>
    <w:basedOn w:val="Normal"/>
    <w:next w:val="Normal"/>
    <w:autoRedefine/>
    <w:uiPriority w:val="39"/>
    <w:qFormat/>
    <w:rsid w:val="00B15F7D"/>
    <w:rPr>
      <w:sz w:val="22"/>
      <w:szCs w:val="22"/>
      <w:lang w:val="es-ES_tradnl"/>
    </w:rPr>
  </w:style>
  <w:style w:type="paragraph" w:styleId="TDC7">
    <w:name w:val="toc 7"/>
    <w:basedOn w:val="Normal"/>
    <w:next w:val="Normal"/>
    <w:autoRedefine/>
    <w:uiPriority w:val="39"/>
    <w:qFormat/>
    <w:rsid w:val="00B15F7D"/>
    <w:rPr>
      <w:sz w:val="22"/>
      <w:szCs w:val="22"/>
      <w:lang w:val="es-ES_tradnl"/>
    </w:rPr>
  </w:style>
  <w:style w:type="paragraph" w:styleId="TDC8">
    <w:name w:val="toc 8"/>
    <w:basedOn w:val="Normal"/>
    <w:next w:val="Normal"/>
    <w:autoRedefine/>
    <w:uiPriority w:val="39"/>
    <w:qFormat/>
    <w:rsid w:val="00B15F7D"/>
    <w:rPr>
      <w:sz w:val="22"/>
      <w:szCs w:val="22"/>
      <w:lang w:val="es-ES_tradnl"/>
    </w:rPr>
  </w:style>
  <w:style w:type="paragraph" w:styleId="TDC9">
    <w:name w:val="toc 9"/>
    <w:basedOn w:val="Normal"/>
    <w:next w:val="Normal"/>
    <w:autoRedefine/>
    <w:uiPriority w:val="39"/>
    <w:qFormat/>
    <w:rsid w:val="00B15F7D"/>
    <w:rPr>
      <w:sz w:val="22"/>
      <w:szCs w:val="22"/>
      <w:lang w:val="es-ES_tradnl"/>
    </w:rPr>
  </w:style>
  <w:style w:type="paragraph" w:styleId="Textodebloque">
    <w:name w:val="Block Text"/>
    <w:basedOn w:val="Normal"/>
    <w:qFormat/>
    <w:rsid w:val="00B15F7D"/>
    <w:pPr>
      <w:widowControl w:val="0"/>
      <w:suppressAutoHyphens w:val="0"/>
      <w:ind w:left="851" w:right="851" w:firstLine="709"/>
      <w:jc w:val="both"/>
    </w:pPr>
    <w:rPr>
      <w:lang w:eastAsia="es-ES"/>
    </w:rPr>
  </w:style>
  <w:style w:type="paragraph" w:customStyle="1" w:styleId="Predeterminado0">
    <w:name w:val="Predeterminado"/>
    <w:qFormat/>
    <w:rsid w:val="00B15F7D"/>
    <w:pPr>
      <w:widowControl w:val="0"/>
      <w:autoSpaceDE w:val="0"/>
      <w:autoSpaceDN w:val="0"/>
      <w:adjustRightInd w:val="0"/>
      <w:spacing w:after="0" w:line="240" w:lineRule="auto"/>
    </w:pPr>
    <w:rPr>
      <w:rFonts w:ascii="Trebuchet MS" w:eastAsia="Times New Roman" w:hAnsi="Trebuchet MS" w:cs="Trebuchet MS"/>
      <w:color w:val="000000"/>
      <w:sz w:val="48"/>
      <w:szCs w:val="48"/>
      <w:lang w:val="es-ES" w:eastAsia="es-ES"/>
    </w:rPr>
  </w:style>
  <w:style w:type="paragraph" w:customStyle="1" w:styleId="EstiloTtulo3Rojo">
    <w:name w:val="Estilo Título 3 + Rojo"/>
    <w:basedOn w:val="Ttulo3"/>
    <w:link w:val="EstiloTtulo3RojoCar"/>
    <w:qFormat/>
    <w:rsid w:val="00B15F7D"/>
    <w:pPr>
      <w:spacing w:before="240" w:after="60"/>
    </w:pPr>
    <w:rPr>
      <w:color w:val="000080"/>
    </w:rPr>
  </w:style>
  <w:style w:type="character" w:customStyle="1" w:styleId="EstiloTtulo3RojoCar">
    <w:name w:val="Estilo Título 3 + Rojo Car"/>
    <w:link w:val="EstiloTtulo3Rojo"/>
    <w:rsid w:val="00B15F7D"/>
    <w:rPr>
      <w:rFonts w:ascii="Times New Roman" w:eastAsia="Times New Roman" w:hAnsi="Times New Roman" w:cs="Arial"/>
      <w:bCs/>
      <w:color w:val="000080"/>
      <w:sz w:val="24"/>
      <w:szCs w:val="26"/>
      <w:lang w:val="es-ES_tradnl" w:eastAsia="ar-SA"/>
    </w:rPr>
  </w:style>
  <w:style w:type="paragraph" w:customStyle="1" w:styleId="Estilo14ptNegritaCentrado">
    <w:name w:val="Estilo 14 pt Negrita Centrado"/>
    <w:basedOn w:val="Normal"/>
    <w:uiPriority w:val="99"/>
    <w:qFormat/>
    <w:rsid w:val="00B15F7D"/>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uiPriority w:val="99"/>
    <w:qFormat/>
    <w:rsid w:val="00B15F7D"/>
    <w:pPr>
      <w:spacing w:line="480" w:lineRule="auto"/>
      <w:jc w:val="center"/>
    </w:pPr>
    <w:rPr>
      <w:b/>
      <w:bCs/>
      <w:sz w:val="40"/>
      <w:szCs w:val="20"/>
      <w:u w:val="single"/>
      <w:lang w:val="es-ES_tradnl"/>
    </w:rPr>
  </w:style>
  <w:style w:type="paragraph" w:customStyle="1" w:styleId="Textoindependiente21">
    <w:name w:val="Texto independiente 21"/>
    <w:basedOn w:val="Normal"/>
    <w:uiPriority w:val="99"/>
    <w:qFormat/>
    <w:rsid w:val="00B15F7D"/>
    <w:pPr>
      <w:jc w:val="both"/>
    </w:pPr>
    <w:rPr>
      <w:rFonts w:ascii="Verdana" w:hAnsi="Verdana"/>
      <w:i/>
      <w:szCs w:val="20"/>
      <w:lang w:val="es-ES_tradnl"/>
    </w:rPr>
  </w:style>
  <w:style w:type="paragraph" w:customStyle="1" w:styleId="Titulo6">
    <w:name w:val="Titulo 6"/>
    <w:basedOn w:val="TDC1"/>
    <w:uiPriority w:val="99"/>
    <w:qFormat/>
    <w:rsid w:val="00B15F7D"/>
    <w:pPr>
      <w:tabs>
        <w:tab w:val="right" w:leader="dot" w:pos="8828"/>
      </w:tabs>
    </w:pPr>
    <w:rPr>
      <w:b w:val="0"/>
      <w:bCs/>
      <w:caps/>
      <w:noProof/>
    </w:rPr>
  </w:style>
  <w:style w:type="paragraph" w:customStyle="1" w:styleId="Estilo18ptNegritaSubrayadoCentrado">
    <w:name w:val="Estilo 18 pt Negrita Subrayado Centrado"/>
    <w:basedOn w:val="Normal"/>
    <w:uiPriority w:val="99"/>
    <w:qFormat/>
    <w:rsid w:val="00B15F7D"/>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uiPriority w:val="99"/>
    <w:qFormat/>
    <w:rsid w:val="00B15F7D"/>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uiPriority w:val="99"/>
    <w:qFormat/>
    <w:rsid w:val="00B15F7D"/>
    <w:pPr>
      <w:spacing w:line="480" w:lineRule="auto"/>
      <w:ind w:firstLine="708"/>
      <w:jc w:val="both"/>
    </w:pPr>
    <w:rPr>
      <w:sz w:val="28"/>
      <w:szCs w:val="20"/>
      <w:lang w:val="es-ES_tradnl"/>
    </w:rPr>
  </w:style>
  <w:style w:type="character" w:styleId="Nmerodepgina">
    <w:name w:val="page number"/>
    <w:basedOn w:val="Fuentedeprrafopredeter"/>
    <w:qFormat/>
    <w:rsid w:val="00B15F7D"/>
  </w:style>
  <w:style w:type="paragraph" w:customStyle="1" w:styleId="Prrafodelista1">
    <w:name w:val="Párrafo de lista1"/>
    <w:basedOn w:val="Normal"/>
    <w:uiPriority w:val="34"/>
    <w:qFormat/>
    <w:rsid w:val="00B15F7D"/>
    <w:pPr>
      <w:suppressAutoHyphens w:val="0"/>
      <w:ind w:left="720"/>
      <w:contextualSpacing/>
    </w:pPr>
    <w:rPr>
      <w:lang w:eastAsia="es-ES"/>
    </w:rPr>
  </w:style>
  <w:style w:type="paragraph" w:styleId="HTMLconformatoprevio">
    <w:name w:val="HTML Preformatted"/>
    <w:basedOn w:val="Normal"/>
    <w:link w:val="HTMLconformatoprevioCar"/>
    <w:uiPriority w:val="99"/>
    <w:qFormat/>
    <w:rsid w:val="00B15F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character" w:customStyle="1" w:styleId="HTMLconformatoprevioCar">
    <w:name w:val="HTML con formato previo Car"/>
    <w:basedOn w:val="Fuentedeprrafopredeter"/>
    <w:link w:val="HTMLconformatoprevio"/>
    <w:uiPriority w:val="99"/>
    <w:qFormat/>
    <w:rsid w:val="00B15F7D"/>
    <w:rPr>
      <w:rFonts w:ascii="Courier New" w:eastAsia="Times New Roman" w:hAnsi="Courier New" w:cs="Courier New"/>
      <w:color w:val="000000"/>
      <w:sz w:val="20"/>
      <w:szCs w:val="20"/>
      <w:lang w:val="es-ES" w:eastAsia="es-ES"/>
    </w:rPr>
  </w:style>
  <w:style w:type="paragraph" w:styleId="Textoindependiente2">
    <w:name w:val="Body Text 2"/>
    <w:basedOn w:val="Normal"/>
    <w:link w:val="Textoindependiente2Car"/>
    <w:qFormat/>
    <w:rsid w:val="00B15F7D"/>
    <w:pPr>
      <w:spacing w:after="120" w:line="480" w:lineRule="auto"/>
    </w:pPr>
    <w:rPr>
      <w:sz w:val="20"/>
      <w:szCs w:val="20"/>
    </w:rPr>
  </w:style>
  <w:style w:type="character" w:customStyle="1" w:styleId="Textoindependiente2Car">
    <w:name w:val="Texto independiente 2 Car"/>
    <w:basedOn w:val="Fuentedeprrafopredeter"/>
    <w:link w:val="Textoindependiente2"/>
    <w:qFormat/>
    <w:rsid w:val="00B15F7D"/>
    <w:rPr>
      <w:rFonts w:ascii="Times New Roman" w:eastAsia="Times New Roman" w:hAnsi="Times New Roman" w:cs="Times New Roman"/>
      <w:sz w:val="20"/>
      <w:szCs w:val="20"/>
      <w:lang w:val="es-ES" w:eastAsia="ar-SA"/>
    </w:rPr>
  </w:style>
  <w:style w:type="character" w:customStyle="1" w:styleId="wjimenez">
    <w:name w:val="wjimenez"/>
    <w:rsid w:val="00B15F7D"/>
    <w:rPr>
      <w:rFonts w:ascii="Arial" w:hAnsi="Arial" w:cs="Arial"/>
      <w:color w:val="auto"/>
      <w:sz w:val="20"/>
      <w:szCs w:val="20"/>
    </w:rPr>
  </w:style>
  <w:style w:type="paragraph" w:customStyle="1" w:styleId="western">
    <w:name w:val="western"/>
    <w:basedOn w:val="Normal"/>
    <w:qFormat/>
    <w:rsid w:val="00B15F7D"/>
    <w:pPr>
      <w:suppressAutoHyphens w:val="0"/>
      <w:spacing w:before="100" w:beforeAutospacing="1"/>
    </w:pPr>
    <w:rPr>
      <w:sz w:val="18"/>
      <w:szCs w:val="18"/>
      <w:lang w:eastAsia="es-ES"/>
    </w:rPr>
  </w:style>
  <w:style w:type="character" w:customStyle="1" w:styleId="mherreras">
    <w:name w:val="mherreras"/>
    <w:rsid w:val="00B15F7D"/>
    <w:rPr>
      <w:rFonts w:ascii="Arial" w:hAnsi="Arial" w:cs="Arial"/>
      <w:color w:val="000080"/>
      <w:sz w:val="20"/>
      <w:szCs w:val="20"/>
    </w:rPr>
  </w:style>
  <w:style w:type="paragraph" w:customStyle="1" w:styleId="Contenidodelatabla">
    <w:name w:val="Contenido de la tabla"/>
    <w:basedOn w:val="Normal"/>
    <w:qFormat/>
    <w:rsid w:val="00B15F7D"/>
    <w:pPr>
      <w:suppressLineNumbers/>
      <w:ind w:firstLine="709"/>
      <w:jc w:val="both"/>
    </w:pPr>
    <w:rPr>
      <w:szCs w:val="20"/>
      <w:lang w:val="es-CR"/>
    </w:rPr>
  </w:style>
  <w:style w:type="character" w:customStyle="1" w:styleId="Refdenotaalpie1">
    <w:name w:val="Ref. de nota al pie1"/>
    <w:rsid w:val="00B15F7D"/>
    <w:rPr>
      <w:vertAlign w:val="superscript"/>
    </w:rPr>
  </w:style>
  <w:style w:type="paragraph" w:styleId="Textosinformato">
    <w:name w:val="Plain Text"/>
    <w:basedOn w:val="Normal"/>
    <w:link w:val="TextosinformatoCar"/>
    <w:uiPriority w:val="99"/>
    <w:qFormat/>
    <w:rsid w:val="00B15F7D"/>
    <w:pPr>
      <w:suppressAutoHyphens w:val="0"/>
    </w:pPr>
    <w:rPr>
      <w:rFonts w:ascii="Bookman Old Style" w:hAnsi="Bookman Old Style"/>
      <w:i/>
      <w:iCs/>
      <w:lang w:eastAsia="es-ES"/>
    </w:rPr>
  </w:style>
  <w:style w:type="character" w:customStyle="1" w:styleId="TextosinformatoCar">
    <w:name w:val="Texto sin formato Car"/>
    <w:basedOn w:val="Fuentedeprrafopredeter"/>
    <w:link w:val="Textosinformato"/>
    <w:uiPriority w:val="99"/>
    <w:rsid w:val="00B15F7D"/>
    <w:rPr>
      <w:rFonts w:ascii="Bookman Old Style" w:eastAsia="Times New Roman" w:hAnsi="Bookman Old Style" w:cs="Times New Roman"/>
      <w:i/>
      <w:iCs/>
      <w:sz w:val="24"/>
      <w:szCs w:val="24"/>
      <w:lang w:val="es-ES" w:eastAsia="es-ES"/>
    </w:rPr>
  </w:style>
  <w:style w:type="paragraph" w:customStyle="1" w:styleId="Normal2">
    <w:name w:val="Normal2"/>
    <w:uiPriority w:val="99"/>
    <w:qFormat/>
    <w:rsid w:val="00B15F7D"/>
    <w:pPr>
      <w:suppressAutoHyphens/>
      <w:spacing w:after="0" w:line="240" w:lineRule="auto"/>
    </w:pPr>
    <w:rPr>
      <w:rFonts w:ascii="Times New Roman" w:eastAsia="Times New Roman" w:hAnsi="Times New Roman" w:cs="Times New Roman"/>
      <w:sz w:val="24"/>
      <w:szCs w:val="20"/>
      <w:lang w:eastAsia="ar-SA"/>
    </w:rPr>
  </w:style>
  <w:style w:type="paragraph" w:customStyle="1" w:styleId="Sangra3detindependiente1">
    <w:name w:val="Sangría 3 de t. independiente1"/>
    <w:basedOn w:val="Normal"/>
    <w:uiPriority w:val="99"/>
    <w:qFormat/>
    <w:rsid w:val="00B15F7D"/>
    <w:pPr>
      <w:spacing w:after="120"/>
      <w:ind w:left="283"/>
    </w:pPr>
    <w:rPr>
      <w:sz w:val="16"/>
      <w:szCs w:val="16"/>
    </w:rPr>
  </w:style>
  <w:style w:type="paragraph" w:styleId="Remitedesobre">
    <w:name w:val="envelope return"/>
    <w:basedOn w:val="Normal"/>
    <w:uiPriority w:val="99"/>
    <w:qFormat/>
    <w:rsid w:val="00B15F7D"/>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uiPriority w:val="99"/>
    <w:qFormat/>
    <w:rsid w:val="00B15F7D"/>
    <w:pPr>
      <w:widowControl w:val="0"/>
      <w:autoSpaceDE w:val="0"/>
      <w:autoSpaceDN w:val="0"/>
      <w:adjustRightInd w:val="0"/>
      <w:spacing w:after="0" w:line="240" w:lineRule="auto"/>
      <w:jc w:val="both"/>
    </w:pPr>
    <w:rPr>
      <w:rFonts w:ascii="Courier New" w:eastAsia="Times New Roman" w:hAnsi="Courier New" w:cs="Courier New"/>
      <w:spacing w:val="-3"/>
      <w:sz w:val="24"/>
      <w:szCs w:val="24"/>
      <w:lang w:eastAsia="es-CR"/>
    </w:rPr>
  </w:style>
  <w:style w:type="paragraph" w:customStyle="1" w:styleId="CaracterCaracterCharCharCaracterCaracterCarCarCarCarChar">
    <w:name w:val="Caracter Caracter Char Char Caracter Caracter Car Car Car Car Char"/>
    <w:basedOn w:val="Normal"/>
    <w:uiPriority w:val="99"/>
    <w:qFormat/>
    <w:rsid w:val="00B15F7D"/>
    <w:pPr>
      <w:suppressAutoHyphens w:val="0"/>
      <w:jc w:val="both"/>
    </w:pPr>
    <w:rPr>
      <w:rFonts w:ascii="Arial" w:hAnsi="Arial" w:cs="Arial"/>
      <w:lang w:val="pl-PL" w:eastAsia="pl-PL"/>
    </w:rPr>
  </w:style>
  <w:style w:type="paragraph" w:customStyle="1" w:styleId="H5">
    <w:name w:val="H5"/>
    <w:next w:val="Normal"/>
    <w:qFormat/>
    <w:rsid w:val="00B15F7D"/>
    <w:pPr>
      <w:keepNext/>
      <w:widowControl w:val="0"/>
      <w:autoSpaceDE w:val="0"/>
      <w:autoSpaceDN w:val="0"/>
      <w:adjustRightInd w:val="0"/>
      <w:spacing w:before="100" w:after="100" w:line="240" w:lineRule="auto"/>
      <w:outlineLvl w:val="5"/>
    </w:pPr>
    <w:rPr>
      <w:rFonts w:ascii="Arial" w:eastAsia="Times New Roman" w:hAnsi="Arial" w:cs="Arial"/>
      <w:b/>
      <w:bCs/>
      <w:sz w:val="20"/>
      <w:szCs w:val="20"/>
      <w:lang w:val="es-ES" w:eastAsia="es-ES"/>
    </w:rPr>
  </w:style>
  <w:style w:type="paragraph" w:customStyle="1" w:styleId="estilo2">
    <w:name w:val="estilo2"/>
    <w:qFormat/>
    <w:rsid w:val="00B15F7D"/>
    <w:pPr>
      <w:widowControl w:val="0"/>
      <w:autoSpaceDE w:val="0"/>
      <w:autoSpaceDN w:val="0"/>
      <w:adjustRightInd w:val="0"/>
      <w:spacing w:before="100" w:after="100" w:line="240" w:lineRule="auto"/>
    </w:pPr>
    <w:rPr>
      <w:rFonts w:ascii="Verdana" w:eastAsia="Times New Roman" w:hAnsi="Verdana" w:cs="Verdana"/>
      <w:sz w:val="24"/>
      <w:szCs w:val="24"/>
      <w:lang w:val="es-ES" w:eastAsia="es-ES"/>
    </w:rPr>
  </w:style>
  <w:style w:type="paragraph" w:customStyle="1" w:styleId="Estilo1">
    <w:name w:val="Estilo1"/>
    <w:qFormat/>
    <w:rsid w:val="00B15F7D"/>
    <w:pPr>
      <w:autoSpaceDE w:val="0"/>
      <w:autoSpaceDN w:val="0"/>
      <w:adjustRightInd w:val="0"/>
      <w:spacing w:after="0" w:line="240" w:lineRule="auto"/>
    </w:pPr>
    <w:rPr>
      <w:rFonts w:ascii="Times New Roman" w:eastAsia="Times New Roman" w:hAnsi="Times New Roman" w:cs="Times New Roman"/>
      <w:sz w:val="24"/>
      <w:szCs w:val="24"/>
      <w:lang w:val="en-US" w:eastAsia="es-ES"/>
    </w:rPr>
  </w:style>
  <w:style w:type="paragraph" w:customStyle="1" w:styleId="3">
    <w:name w:val="3"/>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1">
    <w:name w:val="1"/>
    <w:basedOn w:val="Normal"/>
    <w:uiPriority w:val="99"/>
    <w:qFormat/>
    <w:rsid w:val="00B15F7D"/>
    <w:pPr>
      <w:suppressAutoHyphens w:val="0"/>
      <w:spacing w:after="160" w:line="240" w:lineRule="exact"/>
    </w:pPr>
    <w:rPr>
      <w:rFonts w:ascii="Verdana" w:hAnsi="Verdana"/>
      <w:sz w:val="20"/>
      <w:szCs w:val="21"/>
      <w:lang w:val="en-AU" w:eastAsia="en-US"/>
    </w:rPr>
  </w:style>
  <w:style w:type="paragraph" w:styleId="Textoindependiente3">
    <w:name w:val="Body Text 3"/>
    <w:basedOn w:val="Normal"/>
    <w:link w:val="Textoindependiente3Car"/>
    <w:qFormat/>
    <w:rsid w:val="00B15F7D"/>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basedOn w:val="Fuentedeprrafopredeter"/>
    <w:link w:val="Textoindependiente3"/>
    <w:qFormat/>
    <w:rsid w:val="00B15F7D"/>
    <w:rPr>
      <w:rFonts w:ascii="Arial" w:eastAsia="Times New Roman" w:hAnsi="Arial" w:cs="Times New Roman"/>
      <w:sz w:val="24"/>
      <w:szCs w:val="20"/>
      <w:lang w:val="es-ES_tradnl" w:eastAsia="es-ES"/>
    </w:rPr>
  </w:style>
  <w:style w:type="paragraph" w:customStyle="1" w:styleId="Textoindependiente22">
    <w:name w:val="Texto independiente 22"/>
    <w:basedOn w:val="Normal"/>
    <w:uiPriority w:val="99"/>
    <w:rsid w:val="00B15F7D"/>
    <w:pPr>
      <w:widowControl w:val="0"/>
      <w:suppressAutoHyphens w:val="0"/>
      <w:jc w:val="both"/>
    </w:pPr>
    <w:rPr>
      <w:szCs w:val="20"/>
      <w:lang w:val="en-US" w:eastAsia="es-ES"/>
    </w:rPr>
  </w:style>
  <w:style w:type="paragraph" w:styleId="Sangra3detindependiente">
    <w:name w:val="Body Text Indent 3"/>
    <w:basedOn w:val="Normal"/>
    <w:link w:val="Sangra3detindependienteCar"/>
    <w:qFormat/>
    <w:rsid w:val="00B15F7D"/>
    <w:pPr>
      <w:suppressAutoHyphens w:val="0"/>
      <w:spacing w:after="120"/>
      <w:ind w:left="283"/>
    </w:pPr>
    <w:rPr>
      <w:sz w:val="16"/>
      <w:szCs w:val="16"/>
      <w:lang w:val="es-CR" w:eastAsia="es-ES"/>
    </w:rPr>
  </w:style>
  <w:style w:type="character" w:customStyle="1" w:styleId="Sangra3detindependienteCar">
    <w:name w:val="Sangría 3 de t. independiente Car"/>
    <w:basedOn w:val="Fuentedeprrafopredeter"/>
    <w:link w:val="Sangra3detindependiente"/>
    <w:rsid w:val="00B15F7D"/>
    <w:rPr>
      <w:rFonts w:ascii="Times New Roman" w:eastAsia="Times New Roman" w:hAnsi="Times New Roman" w:cs="Times New Roman"/>
      <w:sz w:val="16"/>
      <w:szCs w:val="16"/>
      <w:lang w:eastAsia="es-ES"/>
    </w:rPr>
  </w:style>
  <w:style w:type="paragraph" w:customStyle="1" w:styleId="Style1">
    <w:name w:val="Style 1"/>
    <w:basedOn w:val="Normal"/>
    <w:uiPriority w:val="99"/>
    <w:qFormat/>
    <w:rsid w:val="00B15F7D"/>
    <w:pPr>
      <w:widowControl w:val="0"/>
      <w:suppressAutoHyphens w:val="0"/>
      <w:autoSpaceDE w:val="0"/>
      <w:autoSpaceDN w:val="0"/>
      <w:adjustRightInd w:val="0"/>
    </w:pPr>
    <w:rPr>
      <w:lang w:val="en-US" w:eastAsia="es-ES"/>
    </w:rPr>
  </w:style>
  <w:style w:type="paragraph" w:customStyle="1" w:styleId="bodytext2">
    <w:name w:val="bodytext2"/>
    <w:basedOn w:val="Normal"/>
    <w:uiPriority w:val="99"/>
    <w:qFormat/>
    <w:rsid w:val="00B15F7D"/>
    <w:pPr>
      <w:suppressAutoHyphens w:val="0"/>
      <w:ind w:right="334" w:hanging="283"/>
      <w:jc w:val="both"/>
    </w:pPr>
    <w:rPr>
      <w:rFonts w:ascii="Arial" w:hAnsi="Arial" w:cs="Arial"/>
      <w:lang w:eastAsia="es-ES"/>
    </w:rPr>
  </w:style>
  <w:style w:type="paragraph" w:styleId="Ttulo">
    <w:name w:val="Title"/>
    <w:aliases w:val="artículo,Título niv 3"/>
    <w:basedOn w:val="Normal"/>
    <w:link w:val="TtuloCar"/>
    <w:qFormat/>
    <w:rsid w:val="00B15F7D"/>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character" w:customStyle="1" w:styleId="TtuloCar">
    <w:name w:val="Título Car"/>
    <w:aliases w:val="artículo Car,Título niv 3 Car"/>
    <w:basedOn w:val="Fuentedeprrafopredeter"/>
    <w:link w:val="Ttulo"/>
    <w:qFormat/>
    <w:rsid w:val="00B15F7D"/>
    <w:rPr>
      <w:rFonts w:ascii="Arial" w:eastAsia="Times New Roman" w:hAnsi="Arial" w:cs="Arial"/>
      <w:b/>
      <w:bCs/>
      <w:sz w:val="28"/>
      <w:szCs w:val="28"/>
      <w:lang w:val="es-ES" w:eastAsia="es-ES"/>
    </w:rPr>
  </w:style>
  <w:style w:type="character" w:customStyle="1" w:styleId="CarCar4">
    <w:name w:val="Car Car4"/>
    <w:qFormat/>
    <w:rsid w:val="00B15F7D"/>
    <w:rPr>
      <w:rFonts w:ascii="Calibri" w:eastAsia="Times New Roman" w:hAnsi="Calibri" w:cs="Times New Roman"/>
      <w:b/>
      <w:bCs/>
      <w:sz w:val="28"/>
      <w:szCs w:val="28"/>
      <w:lang w:val="es-ES_tradnl" w:eastAsia="ar-SA"/>
    </w:rPr>
  </w:style>
  <w:style w:type="paragraph" w:customStyle="1" w:styleId="WW-Predeterminado">
    <w:name w:val="WW-Predeterminado"/>
    <w:uiPriority w:val="99"/>
    <w:qFormat/>
    <w:rsid w:val="00B15F7D"/>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WW-Predeterminado1">
    <w:name w:val="WW-Predeterminado1"/>
    <w:uiPriority w:val="99"/>
    <w:qFormat/>
    <w:rsid w:val="00B15F7D"/>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Sangra2detindependiente1">
    <w:name w:val="Sangría 2 de t. independiente1"/>
    <w:uiPriority w:val="99"/>
    <w:rsid w:val="00B15F7D"/>
    <w:pPr>
      <w:widowControl w:val="0"/>
      <w:suppressAutoHyphens/>
      <w:autoSpaceDE w:val="0"/>
      <w:spacing w:after="0" w:line="480" w:lineRule="auto"/>
      <w:ind w:firstLine="708"/>
      <w:jc w:val="both"/>
    </w:pPr>
    <w:rPr>
      <w:rFonts w:ascii="Arial" w:eastAsia="Arial" w:hAnsi="Arial" w:cs="Arial"/>
      <w:sz w:val="24"/>
      <w:szCs w:val="24"/>
      <w:u w:val="single"/>
      <w:lang w:val="es-ES" w:eastAsia="es-ES" w:bidi="es-ES"/>
    </w:rPr>
  </w:style>
  <w:style w:type="paragraph" w:customStyle="1" w:styleId="Cuerpodetexto">
    <w:name w:val="Cuerpo de texto"/>
    <w:basedOn w:val="Predeterminado0"/>
    <w:uiPriority w:val="99"/>
    <w:qFormat/>
    <w:rsid w:val="00B15F7D"/>
    <w:pPr>
      <w:autoSpaceDE/>
      <w:autoSpaceDN/>
      <w:adjustRightInd/>
    </w:pPr>
    <w:rPr>
      <w:rFonts w:ascii="Times New Roman" w:hAnsi="Times New Roman" w:cs="Times New Roman"/>
      <w:snapToGrid w:val="0"/>
      <w:color w:val="auto"/>
      <w:sz w:val="20"/>
      <w:szCs w:val="20"/>
    </w:rPr>
  </w:style>
  <w:style w:type="paragraph" w:customStyle="1" w:styleId="Normal1">
    <w:name w:val="Normal1"/>
    <w:basedOn w:val="Normal"/>
    <w:qFormat/>
    <w:rsid w:val="00B15F7D"/>
    <w:pPr>
      <w:autoSpaceDE w:val="0"/>
    </w:pPr>
    <w:rPr>
      <w:color w:val="000000"/>
      <w:lang w:eastAsia="zh-CN" w:bidi="hi-IN"/>
    </w:rPr>
  </w:style>
  <w:style w:type="paragraph" w:customStyle="1" w:styleId="Default">
    <w:name w:val="Default"/>
    <w:qFormat/>
    <w:rsid w:val="00B15F7D"/>
    <w:pPr>
      <w:widowControl w:val="0"/>
      <w:autoSpaceDE w:val="0"/>
      <w:autoSpaceDN w:val="0"/>
      <w:adjustRightInd w:val="0"/>
      <w:spacing w:after="0" w:line="240" w:lineRule="auto"/>
    </w:pPr>
    <w:rPr>
      <w:rFonts w:ascii="Verdana" w:eastAsia="Times New Roman" w:hAnsi="Verdana" w:cs="Verdana"/>
      <w:color w:val="000000"/>
      <w:sz w:val="24"/>
      <w:szCs w:val="24"/>
      <w:lang w:val="es-ES" w:eastAsia="es-ES"/>
    </w:rPr>
  </w:style>
  <w:style w:type="paragraph" w:customStyle="1" w:styleId="CM1">
    <w:name w:val="CM1"/>
    <w:basedOn w:val="Default"/>
    <w:next w:val="Default"/>
    <w:uiPriority w:val="99"/>
    <w:qFormat/>
    <w:rsid w:val="00B15F7D"/>
    <w:pPr>
      <w:spacing w:after="225"/>
    </w:pPr>
    <w:rPr>
      <w:rFonts w:cs="Times New Roman"/>
      <w:color w:val="auto"/>
    </w:rPr>
  </w:style>
  <w:style w:type="paragraph" w:customStyle="1" w:styleId="Prrafodelista2">
    <w:name w:val="Párrafo de lista2"/>
    <w:basedOn w:val="Normal"/>
    <w:link w:val="PrrafodelistaCar"/>
    <w:qFormat/>
    <w:rsid w:val="00B15F7D"/>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Bullet 1 Car,Use Case List Paragraph Car,Lista vistosa - Énfasis 11 Car,Párrafo de lista Car Car Car Car,Footnote Car,List Paragraph2 Car,Informe Car,3 Car,Lista multicolor - Énfasis 11 Car,Segundo nivel de viñetas Car,numbered Car"/>
    <w:link w:val="Prrafodelista2"/>
    <w:qFormat/>
    <w:rsid w:val="00B15F7D"/>
    <w:rPr>
      <w:rFonts w:ascii="Calibri" w:eastAsia="Times New Roman" w:hAnsi="Calibri" w:cs="Times New Roman"/>
      <w:sz w:val="24"/>
      <w:szCs w:val="24"/>
      <w:lang w:eastAsia="es-ES"/>
    </w:rPr>
  </w:style>
  <w:style w:type="paragraph" w:customStyle="1" w:styleId="prrafodelista0">
    <w:name w:val="prrafodelista"/>
    <w:basedOn w:val="Normal"/>
    <w:uiPriority w:val="99"/>
    <w:qFormat/>
    <w:rsid w:val="00B15F7D"/>
    <w:pPr>
      <w:suppressAutoHyphens w:val="0"/>
      <w:spacing w:before="100" w:beforeAutospacing="1" w:after="100" w:afterAutospacing="1"/>
    </w:pPr>
    <w:rPr>
      <w:lang w:eastAsia="es-ES"/>
    </w:rPr>
  </w:style>
  <w:style w:type="paragraph" w:customStyle="1" w:styleId="normalprueba1">
    <w:name w:val="normalprueba1"/>
    <w:basedOn w:val="Normal"/>
    <w:uiPriority w:val="99"/>
    <w:qFormat/>
    <w:rsid w:val="00B15F7D"/>
    <w:pPr>
      <w:suppressAutoHyphens w:val="0"/>
      <w:spacing w:before="100" w:beforeAutospacing="1" w:after="100" w:afterAutospacing="1"/>
    </w:pPr>
    <w:rPr>
      <w:lang w:eastAsia="es-ES"/>
    </w:rPr>
  </w:style>
  <w:style w:type="character" w:customStyle="1" w:styleId="Nivel4Char">
    <w:name w:val="Nivel 4 Char"/>
    <w:link w:val="Nivel4"/>
    <w:locked/>
    <w:rsid w:val="00B15F7D"/>
    <w:rPr>
      <w:lang w:val="es-ES"/>
    </w:rPr>
  </w:style>
  <w:style w:type="paragraph" w:customStyle="1" w:styleId="Nivel4">
    <w:name w:val="Nivel 4"/>
    <w:basedOn w:val="Normal"/>
    <w:link w:val="Nivel4Char"/>
    <w:qFormat/>
    <w:rsid w:val="00B15F7D"/>
    <w:pPr>
      <w:suppressAutoHyphens w:val="0"/>
      <w:spacing w:before="240" w:after="240" w:line="276" w:lineRule="auto"/>
      <w:jc w:val="both"/>
    </w:pPr>
    <w:rPr>
      <w:rFonts w:asciiTheme="minorHAnsi" w:eastAsiaTheme="minorHAnsi" w:hAnsiTheme="minorHAnsi" w:cstheme="minorBidi"/>
      <w:sz w:val="22"/>
      <w:szCs w:val="22"/>
      <w:lang w:eastAsia="en-US"/>
    </w:rPr>
  </w:style>
  <w:style w:type="paragraph" w:customStyle="1" w:styleId="Body1">
    <w:name w:val="Body 1"/>
    <w:uiPriority w:val="99"/>
    <w:qFormat/>
    <w:rsid w:val="00B15F7D"/>
    <w:pPr>
      <w:spacing w:after="0" w:line="240" w:lineRule="auto"/>
    </w:pPr>
    <w:rPr>
      <w:rFonts w:ascii="Helvetica" w:eastAsia="Arial Unicode MS" w:hAnsi="Helvetica" w:cs="Times New Roman"/>
      <w:color w:val="000000"/>
      <w:sz w:val="24"/>
      <w:szCs w:val="20"/>
      <w:lang w:eastAsia="es-CR"/>
    </w:rPr>
  </w:style>
  <w:style w:type="character" w:customStyle="1" w:styleId="Destacado">
    <w:name w:val="Destacado"/>
    <w:qFormat/>
    <w:rsid w:val="00B15F7D"/>
    <w:rPr>
      <w:i/>
      <w:iCs/>
    </w:rPr>
  </w:style>
  <w:style w:type="character" w:customStyle="1" w:styleId="CarCar2">
    <w:name w:val="Car Car2"/>
    <w:qFormat/>
    <w:locked/>
    <w:rsid w:val="00B15F7D"/>
    <w:rPr>
      <w:lang w:val="es-ES" w:eastAsia="es-ES" w:bidi="ar-SA"/>
    </w:rPr>
  </w:style>
  <w:style w:type="character" w:customStyle="1" w:styleId="EstiloCorreo17">
    <w:name w:val="EstiloCorreo17"/>
    <w:rsid w:val="00B15F7D"/>
    <w:rPr>
      <w:rFonts w:ascii="Arial" w:hAnsi="Arial" w:cs="Arial"/>
      <w:color w:val="auto"/>
      <w:sz w:val="20"/>
      <w:szCs w:val="20"/>
    </w:rPr>
  </w:style>
  <w:style w:type="character" w:customStyle="1" w:styleId="EstiloCorreo171">
    <w:name w:val="EstiloCorreo171"/>
    <w:rsid w:val="00B15F7D"/>
    <w:rPr>
      <w:rFonts w:ascii="Arial" w:hAnsi="Arial" w:cs="Arial"/>
      <w:color w:val="auto"/>
      <w:sz w:val="20"/>
      <w:szCs w:val="20"/>
    </w:rPr>
  </w:style>
  <w:style w:type="character" w:styleId="nfasis">
    <w:name w:val="Emphasis"/>
    <w:qFormat/>
    <w:rsid w:val="00B15F7D"/>
    <w:rPr>
      <w:i/>
      <w:iCs/>
    </w:rPr>
  </w:style>
  <w:style w:type="paragraph" w:customStyle="1" w:styleId="bodytext220">
    <w:name w:val="bodytext22"/>
    <w:basedOn w:val="Normal"/>
    <w:uiPriority w:val="99"/>
    <w:qFormat/>
    <w:rsid w:val="00B15F7D"/>
    <w:pPr>
      <w:suppressAutoHyphens w:val="0"/>
      <w:autoSpaceDE w:val="0"/>
      <w:autoSpaceDN w:val="0"/>
      <w:jc w:val="both"/>
    </w:pPr>
    <w:rPr>
      <w:rFonts w:ascii="Arial" w:hAnsi="Arial" w:cs="Arial"/>
      <w:lang w:eastAsia="es-ES"/>
    </w:rPr>
  </w:style>
  <w:style w:type="character" w:customStyle="1" w:styleId="tittextos1">
    <w:name w:val="tittextos1"/>
    <w:rsid w:val="00B15F7D"/>
    <w:rPr>
      <w:rFonts w:ascii="Arial" w:hAnsi="Arial" w:cs="Arial" w:hint="default"/>
      <w:b/>
      <w:bCs/>
      <w:strike w:val="0"/>
      <w:dstrike w:val="0"/>
      <w:color w:val="4C2E24"/>
      <w:sz w:val="20"/>
      <w:szCs w:val="20"/>
      <w:u w:val="none"/>
      <w:effect w:val="none"/>
    </w:rPr>
  </w:style>
  <w:style w:type="character" w:customStyle="1" w:styleId="apple-style-span">
    <w:name w:val="apple-style-span"/>
    <w:rsid w:val="00B15F7D"/>
  </w:style>
  <w:style w:type="character" w:customStyle="1" w:styleId="apple-converted-space">
    <w:name w:val="apple-converted-space"/>
    <w:qFormat/>
    <w:rsid w:val="00B15F7D"/>
  </w:style>
  <w:style w:type="character" w:customStyle="1" w:styleId="Carcterdecarcter">
    <w:name w:val="Carácter de carácter"/>
    <w:rsid w:val="00B15F7D"/>
    <w:rPr>
      <w:rFonts w:ascii="Tahoma" w:hAnsi="Tahoma" w:cs="Tahoma"/>
      <w:b/>
      <w:bCs/>
      <w:color w:val="FFFFFF"/>
    </w:rPr>
  </w:style>
  <w:style w:type="character" w:customStyle="1" w:styleId="Programa">
    <w:name w:val="Programa"/>
    <w:rsid w:val="00B15F7D"/>
    <w:rPr>
      <w:rFonts w:ascii="Tahoma" w:hAnsi="Tahoma" w:cs="Tahoma"/>
      <w:color w:val="000000"/>
    </w:rPr>
  </w:style>
  <w:style w:type="character" w:customStyle="1" w:styleId="WW8Num1z1">
    <w:name w:val="WW8Num1z1"/>
    <w:qFormat/>
    <w:rsid w:val="00B15F7D"/>
    <w:rPr>
      <w:rFonts w:ascii="Courier New" w:hAnsi="Courier New" w:cs="Courier New"/>
    </w:rPr>
  </w:style>
  <w:style w:type="character" w:customStyle="1" w:styleId="WW8Num1z2">
    <w:name w:val="WW8Num1z2"/>
    <w:qFormat/>
    <w:rsid w:val="00B15F7D"/>
    <w:rPr>
      <w:rFonts w:ascii="Wingdings" w:hAnsi="Wingdings" w:cs="Wingdings"/>
    </w:rPr>
  </w:style>
  <w:style w:type="character" w:customStyle="1" w:styleId="WW8Num1z3">
    <w:name w:val="WW8Num1z3"/>
    <w:qFormat/>
    <w:rsid w:val="00B15F7D"/>
    <w:rPr>
      <w:rFonts w:ascii="Symbol" w:hAnsi="Symbol" w:cs="Symbol"/>
    </w:rPr>
  </w:style>
  <w:style w:type="paragraph" w:customStyle="1" w:styleId="DefinitionTerm">
    <w:name w:val="Definition Term"/>
    <w:next w:val="DefinitionList"/>
    <w:uiPriority w:val="99"/>
    <w:qFormat/>
    <w:rsid w:val="00B15F7D"/>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DefinitionList">
    <w:name w:val="Definition List"/>
    <w:next w:val="DefinitionTerm"/>
    <w:uiPriority w:val="99"/>
    <w:qFormat/>
    <w:rsid w:val="00B15F7D"/>
    <w:pPr>
      <w:widowControl w:val="0"/>
      <w:autoSpaceDE w:val="0"/>
      <w:autoSpaceDN w:val="0"/>
      <w:adjustRightInd w:val="0"/>
      <w:spacing w:after="0" w:line="240" w:lineRule="auto"/>
      <w:ind w:left="360"/>
    </w:pPr>
    <w:rPr>
      <w:rFonts w:ascii="Arial" w:eastAsia="Times New Roman" w:hAnsi="Arial" w:cs="Arial"/>
      <w:sz w:val="24"/>
      <w:szCs w:val="24"/>
      <w:lang w:val="es-ES" w:eastAsia="es-ES"/>
    </w:rPr>
  </w:style>
  <w:style w:type="character" w:customStyle="1" w:styleId="Definition">
    <w:name w:val="Definition"/>
    <w:rsid w:val="00B15F7D"/>
    <w:rPr>
      <w:i/>
      <w:iCs/>
    </w:rPr>
  </w:style>
  <w:style w:type="paragraph" w:customStyle="1" w:styleId="H1">
    <w:name w:val="H1"/>
    <w:next w:val="Normal"/>
    <w:uiPriority w:val="99"/>
    <w:qFormat/>
    <w:rsid w:val="00B15F7D"/>
    <w:pPr>
      <w:keepNext/>
      <w:widowControl w:val="0"/>
      <w:autoSpaceDE w:val="0"/>
      <w:autoSpaceDN w:val="0"/>
      <w:adjustRightInd w:val="0"/>
      <w:spacing w:before="100" w:after="100" w:line="240" w:lineRule="auto"/>
      <w:outlineLvl w:val="1"/>
    </w:pPr>
    <w:rPr>
      <w:rFonts w:ascii="Arial" w:eastAsia="Times New Roman" w:hAnsi="Arial" w:cs="Arial"/>
      <w:b/>
      <w:bCs/>
      <w:sz w:val="48"/>
      <w:szCs w:val="48"/>
      <w:lang w:val="es-ES" w:eastAsia="es-ES"/>
    </w:rPr>
  </w:style>
  <w:style w:type="paragraph" w:customStyle="1" w:styleId="H2">
    <w:name w:val="H2"/>
    <w:next w:val="Normal"/>
    <w:uiPriority w:val="99"/>
    <w:qFormat/>
    <w:rsid w:val="00B15F7D"/>
    <w:pPr>
      <w:keepNext/>
      <w:widowControl w:val="0"/>
      <w:autoSpaceDE w:val="0"/>
      <w:autoSpaceDN w:val="0"/>
      <w:adjustRightInd w:val="0"/>
      <w:spacing w:before="100" w:after="100" w:line="240" w:lineRule="auto"/>
      <w:outlineLvl w:val="2"/>
    </w:pPr>
    <w:rPr>
      <w:rFonts w:ascii="Arial" w:eastAsia="Times New Roman" w:hAnsi="Arial" w:cs="Arial"/>
      <w:b/>
      <w:bCs/>
      <w:sz w:val="36"/>
      <w:szCs w:val="36"/>
      <w:lang w:val="es-ES" w:eastAsia="es-ES"/>
    </w:rPr>
  </w:style>
  <w:style w:type="paragraph" w:customStyle="1" w:styleId="H3">
    <w:name w:val="H3"/>
    <w:next w:val="Normal"/>
    <w:uiPriority w:val="99"/>
    <w:qFormat/>
    <w:rsid w:val="00B15F7D"/>
    <w:pPr>
      <w:keepNext/>
      <w:widowControl w:val="0"/>
      <w:autoSpaceDE w:val="0"/>
      <w:autoSpaceDN w:val="0"/>
      <w:adjustRightInd w:val="0"/>
      <w:spacing w:before="100" w:after="100" w:line="240" w:lineRule="auto"/>
      <w:outlineLvl w:val="3"/>
    </w:pPr>
    <w:rPr>
      <w:rFonts w:ascii="Arial" w:eastAsia="Times New Roman" w:hAnsi="Arial" w:cs="Arial"/>
      <w:b/>
      <w:bCs/>
      <w:sz w:val="28"/>
      <w:szCs w:val="28"/>
      <w:lang w:val="es-ES" w:eastAsia="es-ES"/>
    </w:rPr>
  </w:style>
  <w:style w:type="paragraph" w:customStyle="1" w:styleId="H4">
    <w:name w:val="H4"/>
    <w:next w:val="Normal"/>
    <w:uiPriority w:val="99"/>
    <w:qFormat/>
    <w:rsid w:val="00B15F7D"/>
    <w:pPr>
      <w:keepNext/>
      <w:widowControl w:val="0"/>
      <w:autoSpaceDE w:val="0"/>
      <w:autoSpaceDN w:val="0"/>
      <w:adjustRightInd w:val="0"/>
      <w:spacing w:before="100" w:after="100" w:line="240" w:lineRule="auto"/>
      <w:outlineLvl w:val="4"/>
    </w:pPr>
    <w:rPr>
      <w:rFonts w:ascii="Arial" w:eastAsia="Times New Roman" w:hAnsi="Arial" w:cs="Arial"/>
      <w:b/>
      <w:bCs/>
      <w:sz w:val="24"/>
      <w:szCs w:val="24"/>
      <w:lang w:val="es-ES" w:eastAsia="es-ES"/>
    </w:rPr>
  </w:style>
  <w:style w:type="paragraph" w:customStyle="1" w:styleId="H6">
    <w:name w:val="H6"/>
    <w:next w:val="Normal"/>
    <w:uiPriority w:val="99"/>
    <w:qFormat/>
    <w:rsid w:val="00B15F7D"/>
    <w:pPr>
      <w:keepNext/>
      <w:widowControl w:val="0"/>
      <w:autoSpaceDE w:val="0"/>
      <w:autoSpaceDN w:val="0"/>
      <w:adjustRightInd w:val="0"/>
      <w:spacing w:before="100" w:after="100" w:line="240" w:lineRule="auto"/>
      <w:outlineLvl w:val="6"/>
    </w:pPr>
    <w:rPr>
      <w:rFonts w:ascii="Arial" w:eastAsia="Times New Roman" w:hAnsi="Arial" w:cs="Arial"/>
      <w:b/>
      <w:bCs/>
      <w:sz w:val="16"/>
      <w:szCs w:val="16"/>
      <w:lang w:val="es-ES" w:eastAsia="es-ES"/>
    </w:rPr>
  </w:style>
  <w:style w:type="paragraph" w:customStyle="1" w:styleId="Address">
    <w:name w:val="Address"/>
    <w:next w:val="Normal"/>
    <w:uiPriority w:val="99"/>
    <w:qFormat/>
    <w:rsid w:val="00B15F7D"/>
    <w:pPr>
      <w:widowControl w:val="0"/>
      <w:autoSpaceDE w:val="0"/>
      <w:autoSpaceDN w:val="0"/>
      <w:adjustRightInd w:val="0"/>
      <w:spacing w:after="0" w:line="240" w:lineRule="auto"/>
    </w:pPr>
    <w:rPr>
      <w:rFonts w:ascii="Arial" w:eastAsia="Times New Roman" w:hAnsi="Arial" w:cs="Arial"/>
      <w:i/>
      <w:iCs/>
      <w:sz w:val="24"/>
      <w:szCs w:val="24"/>
      <w:lang w:val="es-ES" w:eastAsia="es-ES"/>
    </w:rPr>
  </w:style>
  <w:style w:type="paragraph" w:customStyle="1" w:styleId="Blockquote">
    <w:name w:val="Blockquote"/>
    <w:next w:val="Normal"/>
    <w:uiPriority w:val="99"/>
    <w:qFormat/>
    <w:rsid w:val="00B15F7D"/>
    <w:pPr>
      <w:widowControl w:val="0"/>
      <w:autoSpaceDE w:val="0"/>
      <w:autoSpaceDN w:val="0"/>
      <w:adjustRightInd w:val="0"/>
      <w:spacing w:before="100" w:after="100" w:line="240" w:lineRule="auto"/>
      <w:ind w:left="360" w:right="360"/>
    </w:pPr>
    <w:rPr>
      <w:rFonts w:ascii="Arial" w:eastAsia="Times New Roman" w:hAnsi="Arial" w:cs="Arial"/>
      <w:sz w:val="24"/>
      <w:szCs w:val="24"/>
      <w:lang w:val="es-ES" w:eastAsia="es-ES"/>
    </w:rPr>
  </w:style>
  <w:style w:type="character" w:customStyle="1" w:styleId="CITE">
    <w:name w:val="CITE"/>
    <w:qFormat/>
    <w:rsid w:val="00B15F7D"/>
    <w:rPr>
      <w:i/>
      <w:iCs/>
    </w:rPr>
  </w:style>
  <w:style w:type="character" w:customStyle="1" w:styleId="CODE">
    <w:name w:val="CODE"/>
    <w:qFormat/>
    <w:rsid w:val="00B15F7D"/>
    <w:rPr>
      <w:rFonts w:ascii="Courier New" w:hAnsi="Courier New" w:cs="Courier New"/>
      <w:sz w:val="20"/>
      <w:szCs w:val="20"/>
    </w:rPr>
  </w:style>
  <w:style w:type="character" w:styleId="Hipervnculovisitado">
    <w:name w:val="FollowedHyperlink"/>
    <w:uiPriority w:val="99"/>
    <w:rsid w:val="00B15F7D"/>
    <w:rPr>
      <w:color w:val="800080"/>
      <w:u w:val="single"/>
    </w:rPr>
  </w:style>
  <w:style w:type="character" w:customStyle="1" w:styleId="Keyboard">
    <w:name w:val="Keyboard"/>
    <w:qFormat/>
    <w:rsid w:val="00B15F7D"/>
    <w:rPr>
      <w:rFonts w:ascii="Courier New" w:hAnsi="Courier New" w:cs="Courier New"/>
      <w:b/>
      <w:bCs/>
      <w:sz w:val="20"/>
      <w:szCs w:val="20"/>
    </w:rPr>
  </w:style>
  <w:style w:type="paragraph" w:customStyle="1" w:styleId="Preformatted">
    <w:name w:val="Preformatted"/>
    <w:next w:val="Normal"/>
    <w:uiPriority w:val="99"/>
    <w:qFormat/>
    <w:rsid w:val="00B15F7D"/>
    <w:pPr>
      <w:widowControl w:val="0"/>
      <w:autoSpaceDE w:val="0"/>
      <w:autoSpaceDN w:val="0"/>
      <w:adjustRightInd w:val="0"/>
      <w:spacing w:after="0" w:line="240" w:lineRule="auto"/>
    </w:pPr>
    <w:rPr>
      <w:rFonts w:ascii="Courier New" w:eastAsia="Times New Roman" w:hAnsi="Courier New" w:cs="Courier New"/>
      <w:sz w:val="20"/>
      <w:szCs w:val="20"/>
      <w:lang w:val="es-ES" w:eastAsia="es-ES"/>
    </w:rPr>
  </w:style>
  <w:style w:type="paragraph" w:customStyle="1" w:styleId="z-BottomofForm">
    <w:name w:val="z-Bottom of Form"/>
    <w:next w:val="Normal"/>
    <w:uiPriority w:val="99"/>
    <w:qFormat/>
    <w:rsid w:val="00B15F7D"/>
    <w:pPr>
      <w:widowControl w:val="0"/>
      <w:pBdr>
        <w:top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 w:type="paragraph" w:customStyle="1" w:styleId="z-TopofForm">
    <w:name w:val="z-Top of Form"/>
    <w:next w:val="Normal"/>
    <w:uiPriority w:val="99"/>
    <w:qFormat/>
    <w:rsid w:val="00B15F7D"/>
    <w:pPr>
      <w:widowControl w:val="0"/>
      <w:pBdr>
        <w:bottom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 w:type="character" w:customStyle="1" w:styleId="Sample">
    <w:name w:val="Sample"/>
    <w:qFormat/>
    <w:rsid w:val="00B15F7D"/>
    <w:rPr>
      <w:rFonts w:ascii="Courier New" w:hAnsi="Courier New" w:cs="Courier New"/>
    </w:rPr>
  </w:style>
  <w:style w:type="character" w:customStyle="1" w:styleId="Typewriter">
    <w:name w:val="Typewriter"/>
    <w:qFormat/>
    <w:rsid w:val="00B15F7D"/>
    <w:rPr>
      <w:rFonts w:ascii="Courier New" w:hAnsi="Courier New" w:cs="Courier New"/>
      <w:sz w:val="20"/>
      <w:szCs w:val="20"/>
    </w:rPr>
  </w:style>
  <w:style w:type="character" w:customStyle="1" w:styleId="Variable">
    <w:name w:val="Variable"/>
    <w:rsid w:val="00B15F7D"/>
    <w:rPr>
      <w:i/>
      <w:iCs/>
    </w:rPr>
  </w:style>
  <w:style w:type="character" w:customStyle="1" w:styleId="HTMLMarkup">
    <w:name w:val="HTML Markup"/>
    <w:qFormat/>
    <w:rsid w:val="00B15F7D"/>
    <w:rPr>
      <w:vanish/>
      <w:color w:val="FF0000"/>
    </w:rPr>
  </w:style>
  <w:style w:type="character" w:customStyle="1" w:styleId="Comment">
    <w:name w:val="Comment"/>
    <w:qFormat/>
    <w:rsid w:val="00B15F7D"/>
    <w:rPr>
      <w:vanish/>
    </w:rPr>
  </w:style>
  <w:style w:type="paragraph" w:customStyle="1" w:styleId="Estilo">
    <w:name w:val="Estilo"/>
    <w:next w:val="Normal"/>
    <w:qFormat/>
    <w:rsid w:val="00B15F7D"/>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TableContents">
    <w:name w:val="Table Contents"/>
    <w:uiPriority w:val="99"/>
    <w:qFormat/>
    <w:rsid w:val="00B15F7D"/>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TableHeading">
    <w:name w:val="Table Heading"/>
    <w:uiPriority w:val="99"/>
    <w:qFormat/>
    <w:rsid w:val="00B15F7D"/>
    <w:pPr>
      <w:widowControl w:val="0"/>
      <w:autoSpaceDE w:val="0"/>
      <w:autoSpaceDN w:val="0"/>
      <w:adjustRightInd w:val="0"/>
      <w:spacing w:after="0" w:line="240" w:lineRule="auto"/>
      <w:jc w:val="center"/>
    </w:pPr>
    <w:rPr>
      <w:rFonts w:ascii="Arial" w:eastAsia="Times New Roman" w:hAnsi="Arial" w:cs="Arial"/>
      <w:b/>
      <w:bCs/>
      <w:color w:val="000000"/>
      <w:sz w:val="24"/>
      <w:szCs w:val="24"/>
      <w:lang w:val="es-ES" w:eastAsia="es-ES"/>
    </w:rPr>
  </w:style>
  <w:style w:type="paragraph" w:customStyle="1" w:styleId="titulomembrete">
    <w:name w:val="titulomembrete"/>
    <w:uiPriority w:val="99"/>
    <w:qFormat/>
    <w:rsid w:val="00B15F7D"/>
    <w:pPr>
      <w:keepNext/>
      <w:widowControl w:val="0"/>
      <w:autoSpaceDE w:val="0"/>
      <w:autoSpaceDN w:val="0"/>
      <w:adjustRightInd w:val="0"/>
      <w:spacing w:after="0" w:line="240" w:lineRule="auto"/>
      <w:jc w:val="center"/>
    </w:pPr>
    <w:rPr>
      <w:rFonts w:ascii="Arial" w:eastAsia="Times New Roman" w:hAnsi="Arial" w:cs="Arial"/>
      <w:b/>
      <w:bCs/>
      <w:sz w:val="20"/>
      <w:szCs w:val="20"/>
      <w:lang w:val="es-ES" w:eastAsia="es-ES"/>
    </w:rPr>
  </w:style>
  <w:style w:type="paragraph" w:customStyle="1" w:styleId="membrete">
    <w:name w:val="membrete"/>
    <w:uiPriority w:val="99"/>
    <w:qFormat/>
    <w:rsid w:val="00B15F7D"/>
    <w:pPr>
      <w:widowControl w:val="0"/>
      <w:autoSpaceDE w:val="0"/>
      <w:autoSpaceDN w:val="0"/>
      <w:adjustRightInd w:val="0"/>
      <w:spacing w:after="0" w:line="240" w:lineRule="auto"/>
      <w:jc w:val="center"/>
    </w:pPr>
    <w:rPr>
      <w:rFonts w:ascii="Arial" w:eastAsia="Times New Roman" w:hAnsi="Arial" w:cs="Arial"/>
      <w:sz w:val="18"/>
      <w:szCs w:val="18"/>
      <w:lang w:val="es-ES" w:eastAsia="es-ES"/>
    </w:rPr>
  </w:style>
  <w:style w:type="paragraph" w:customStyle="1" w:styleId="fomulas">
    <w:name w:val="fomulas"/>
    <w:uiPriority w:val="99"/>
    <w:qFormat/>
    <w:rsid w:val="00B15F7D"/>
    <w:pPr>
      <w:widowControl w:val="0"/>
      <w:autoSpaceDE w:val="0"/>
      <w:autoSpaceDN w:val="0"/>
      <w:adjustRightInd w:val="0"/>
      <w:spacing w:after="0" w:line="432" w:lineRule="auto"/>
      <w:jc w:val="both"/>
    </w:pPr>
    <w:rPr>
      <w:rFonts w:ascii="Arial" w:eastAsia="Times New Roman" w:hAnsi="Arial" w:cs="Arial"/>
      <w:b/>
      <w:bCs/>
      <w:lang w:val="es-ES" w:eastAsia="es-ES"/>
    </w:rPr>
  </w:style>
  <w:style w:type="paragraph" w:customStyle="1" w:styleId="WW-TableContents12345">
    <w:name w:val="WW-Table Contents12345"/>
    <w:basedOn w:val="Normal"/>
    <w:uiPriority w:val="99"/>
    <w:qFormat/>
    <w:rsid w:val="00B15F7D"/>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Normalprueba10">
    <w:name w:val="Normal.prueba1"/>
    <w:uiPriority w:val="99"/>
    <w:qFormat/>
    <w:rsid w:val="00B15F7D"/>
    <w:pPr>
      <w:widowControl w:val="0"/>
      <w:spacing w:after="0" w:line="240" w:lineRule="auto"/>
    </w:pPr>
    <w:rPr>
      <w:rFonts w:ascii="Times New Roman" w:eastAsia="Times New Roman" w:hAnsi="Times New Roman" w:cs="Times New Roman"/>
      <w:sz w:val="28"/>
      <w:szCs w:val="28"/>
      <w:lang w:val="es-ES_tradnl" w:eastAsia="es-ES"/>
    </w:rPr>
  </w:style>
  <w:style w:type="table" w:styleId="Tablaprofesional">
    <w:name w:val="Table Professional"/>
    <w:basedOn w:val="Tablanormal"/>
    <w:rsid w:val="00B15F7D"/>
    <w:pPr>
      <w:suppressAutoHyphens/>
      <w:spacing w:after="0" w:line="240" w:lineRule="auto"/>
    </w:pPr>
    <w:rPr>
      <w:rFonts w:ascii="Times New Roman" w:eastAsia="Times New Roman" w:hAnsi="Times New Roman" w:cs="Times New Roman"/>
      <w:sz w:val="20"/>
      <w:szCs w:val="20"/>
      <w:lang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Ttulo41">
    <w:name w:val="Título 41"/>
    <w:next w:val="Normal"/>
    <w:uiPriority w:val="99"/>
    <w:qFormat/>
    <w:rsid w:val="00B15F7D"/>
    <w:pPr>
      <w:keepNext/>
      <w:widowControl w:val="0"/>
      <w:tabs>
        <w:tab w:val="num" w:pos="2880"/>
      </w:tabs>
      <w:suppressAutoHyphens/>
      <w:autoSpaceDE w:val="0"/>
      <w:spacing w:after="0" w:line="480" w:lineRule="auto"/>
      <w:ind w:left="2880" w:hanging="360"/>
      <w:jc w:val="center"/>
      <w:outlineLvl w:val="3"/>
    </w:pPr>
    <w:rPr>
      <w:rFonts w:ascii="Arial" w:eastAsia="Times New Roman" w:hAnsi="Arial" w:cs="Times New Roman"/>
      <w:b/>
      <w:bCs/>
      <w:sz w:val="24"/>
      <w:szCs w:val="24"/>
      <w:u w:val="single"/>
      <w:shd w:val="clear" w:color="auto" w:fill="FFFFFF"/>
      <w:lang w:val="es-ES"/>
    </w:rPr>
  </w:style>
  <w:style w:type="character" w:customStyle="1" w:styleId="hps">
    <w:name w:val="hps"/>
    <w:basedOn w:val="Fuentedeprrafopredeter"/>
    <w:rsid w:val="00B15F7D"/>
  </w:style>
  <w:style w:type="paragraph" w:customStyle="1" w:styleId="arial">
    <w:name w:val="arial"/>
    <w:uiPriority w:val="99"/>
    <w:qFormat/>
    <w:rsid w:val="00B15F7D"/>
    <w:pPr>
      <w:keepNext/>
      <w:widowControl w:val="0"/>
      <w:autoSpaceDE w:val="0"/>
      <w:autoSpaceDN w:val="0"/>
      <w:adjustRightInd w:val="0"/>
      <w:spacing w:after="0" w:line="240" w:lineRule="auto"/>
      <w:jc w:val="both"/>
    </w:pPr>
    <w:rPr>
      <w:rFonts w:ascii="Arial" w:eastAsia="Times New Roman" w:hAnsi="Arial" w:cs="Times New Roman"/>
      <w:i/>
      <w:iCs/>
      <w:sz w:val="28"/>
      <w:szCs w:val="28"/>
      <w:lang w:val="es-ES" w:eastAsia="es-ES"/>
    </w:rPr>
  </w:style>
  <w:style w:type="paragraph" w:styleId="Descripcin">
    <w:name w:val="caption"/>
    <w:aliases w:val="Epígrafe"/>
    <w:basedOn w:val="Normal"/>
    <w:next w:val="Normal"/>
    <w:qFormat/>
    <w:rsid w:val="00B15F7D"/>
    <w:pPr>
      <w:widowControl w:val="0"/>
      <w:suppressAutoHyphens w:val="0"/>
      <w:autoSpaceDE w:val="0"/>
      <w:autoSpaceDN w:val="0"/>
      <w:adjustRightInd w:val="0"/>
    </w:pPr>
    <w:rPr>
      <w:rFonts w:ascii="Arial" w:hAnsi="Arial" w:cs="Arial"/>
      <w:b/>
      <w:bCs/>
      <w:color w:val="000000"/>
      <w:sz w:val="16"/>
      <w:szCs w:val="16"/>
      <w:lang w:eastAsia="es-ES"/>
    </w:rPr>
  </w:style>
  <w:style w:type="paragraph" w:customStyle="1" w:styleId="standard">
    <w:name w:val="standard"/>
    <w:basedOn w:val="Normal"/>
    <w:uiPriority w:val="99"/>
    <w:qFormat/>
    <w:rsid w:val="00B15F7D"/>
    <w:pPr>
      <w:suppressAutoHyphens w:val="0"/>
      <w:autoSpaceDN w:val="0"/>
    </w:pPr>
    <w:rPr>
      <w:lang w:eastAsia="es-ES"/>
    </w:rPr>
  </w:style>
  <w:style w:type="paragraph" w:customStyle="1" w:styleId="heading11">
    <w:name w:val="heading11"/>
    <w:basedOn w:val="Normal"/>
    <w:uiPriority w:val="99"/>
    <w:qFormat/>
    <w:rsid w:val="00B15F7D"/>
    <w:pPr>
      <w:keepNext/>
      <w:suppressAutoHyphens w:val="0"/>
      <w:autoSpaceDN w:val="0"/>
      <w:jc w:val="right"/>
    </w:pPr>
    <w:rPr>
      <w:b/>
      <w:bCs/>
      <w:sz w:val="21"/>
      <w:szCs w:val="21"/>
      <w:lang w:eastAsia="es-ES"/>
    </w:rPr>
  </w:style>
  <w:style w:type="paragraph" w:styleId="Lista2">
    <w:name w:val="List 2"/>
    <w:basedOn w:val="Normal"/>
    <w:uiPriority w:val="99"/>
    <w:qFormat/>
    <w:rsid w:val="00B15F7D"/>
    <w:pPr>
      <w:ind w:left="566" w:hanging="283"/>
    </w:pPr>
    <w:rPr>
      <w:sz w:val="20"/>
      <w:szCs w:val="20"/>
      <w:lang w:val="es-ES_tradnl"/>
    </w:rPr>
  </w:style>
  <w:style w:type="paragraph" w:styleId="ndice1">
    <w:name w:val="index 1"/>
    <w:aliases w:val="0"/>
    <w:basedOn w:val="Normal"/>
    <w:next w:val="Normal"/>
    <w:autoRedefine/>
    <w:uiPriority w:val="99"/>
    <w:qFormat/>
    <w:rsid w:val="00B15F7D"/>
    <w:pPr>
      <w:ind w:left="200" w:hanging="200"/>
    </w:pPr>
    <w:rPr>
      <w:b/>
      <w:color w:val="000080"/>
      <w:sz w:val="28"/>
      <w:szCs w:val="20"/>
      <w:u w:val="single"/>
      <w:lang w:val="es-ES_tradnl"/>
    </w:rPr>
  </w:style>
  <w:style w:type="paragraph" w:styleId="Textoindependienteprimerasangra">
    <w:name w:val="Body Text First Indent"/>
    <w:basedOn w:val="Textoindependiente"/>
    <w:link w:val="TextoindependienteprimerasangraCar"/>
    <w:uiPriority w:val="99"/>
    <w:qFormat/>
    <w:rsid w:val="00B15F7D"/>
    <w:pPr>
      <w:spacing w:after="120"/>
      <w:ind w:firstLine="210"/>
      <w:jc w:val="left"/>
    </w:pPr>
    <w:rPr>
      <w:sz w:val="20"/>
      <w:szCs w:val="20"/>
      <w:lang w:val="es-ES_tradnl"/>
    </w:rPr>
  </w:style>
  <w:style w:type="character" w:customStyle="1" w:styleId="TextoindependienteprimerasangraCar">
    <w:name w:val="Texto independiente primera sangría Car"/>
    <w:basedOn w:val="TextoindependienteCar"/>
    <w:link w:val="Textoindependienteprimerasangra"/>
    <w:uiPriority w:val="99"/>
    <w:rsid w:val="00B15F7D"/>
    <w:rPr>
      <w:rFonts w:ascii="Times New Roman" w:eastAsia="Times New Roman" w:hAnsi="Times New Roman" w:cs="Times New Roman"/>
      <w:sz w:val="20"/>
      <w:szCs w:val="20"/>
      <w:lang w:val="es-ES_tradnl" w:eastAsia="ar-SA"/>
    </w:rPr>
  </w:style>
  <w:style w:type="paragraph" w:styleId="Textoindependienteprimerasangra2">
    <w:name w:val="Body Text First Indent 2"/>
    <w:basedOn w:val="Sangradetextonormal"/>
    <w:link w:val="Textoindependienteprimerasangra2Car"/>
    <w:uiPriority w:val="99"/>
    <w:qFormat/>
    <w:rsid w:val="00B15F7D"/>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B15F7D"/>
    <w:rPr>
      <w:rFonts w:ascii="Times New Roman" w:eastAsia="Times New Roman" w:hAnsi="Times New Roman" w:cs="Times New Roman"/>
      <w:sz w:val="20"/>
      <w:szCs w:val="20"/>
      <w:lang w:val="es-ES_tradnl" w:eastAsia="ar-SA"/>
    </w:rPr>
  </w:style>
  <w:style w:type="paragraph" w:styleId="Lista3">
    <w:name w:val="List 3"/>
    <w:basedOn w:val="Normal"/>
    <w:uiPriority w:val="99"/>
    <w:qFormat/>
    <w:rsid w:val="00B15F7D"/>
    <w:pPr>
      <w:ind w:left="849" w:hanging="283"/>
    </w:pPr>
    <w:rPr>
      <w:sz w:val="20"/>
      <w:szCs w:val="20"/>
      <w:lang w:val="es-ES_tradnl"/>
    </w:rPr>
  </w:style>
  <w:style w:type="character" w:customStyle="1" w:styleId="CarCar6">
    <w:name w:val="Car Car6"/>
    <w:qFormat/>
    <w:locked/>
    <w:rsid w:val="00B15F7D"/>
    <w:rPr>
      <w:rFonts w:cs="Arial"/>
      <w:color w:val="000000"/>
      <w:lang w:val="es-ES_tradnl" w:eastAsia="es-ES" w:bidi="ar-SA"/>
    </w:rPr>
  </w:style>
  <w:style w:type="paragraph" w:customStyle="1" w:styleId="xl63">
    <w:name w:val="xl63"/>
    <w:basedOn w:val="Normal"/>
    <w:uiPriority w:val="99"/>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uiPriority w:val="99"/>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qFormat/>
    <w:rsid w:val="00B15F7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paragraph" w:styleId="Textonotaalfinal">
    <w:name w:val="endnote text"/>
    <w:basedOn w:val="Normal"/>
    <w:link w:val="TextonotaalfinalCar"/>
    <w:uiPriority w:val="99"/>
    <w:unhideWhenUsed/>
    <w:qFormat/>
    <w:rsid w:val="00B15F7D"/>
    <w:pPr>
      <w:suppressAutoHyphens w:val="0"/>
      <w:spacing w:after="200" w:line="276" w:lineRule="auto"/>
    </w:pPr>
    <w:rPr>
      <w:rFonts w:ascii="Calibri" w:eastAsia="Calibri" w:hAnsi="Calibri"/>
      <w:sz w:val="20"/>
      <w:szCs w:val="20"/>
      <w:lang w:val="en-US" w:eastAsia="en-US"/>
    </w:rPr>
  </w:style>
  <w:style w:type="character" w:customStyle="1" w:styleId="TextonotaalfinalCar">
    <w:name w:val="Texto nota al final Car"/>
    <w:basedOn w:val="Fuentedeprrafopredeter"/>
    <w:link w:val="Textonotaalfinal"/>
    <w:uiPriority w:val="99"/>
    <w:qFormat/>
    <w:rsid w:val="00B15F7D"/>
    <w:rPr>
      <w:rFonts w:ascii="Calibri" w:eastAsia="Calibri" w:hAnsi="Calibri" w:cs="Times New Roman"/>
      <w:sz w:val="20"/>
      <w:szCs w:val="20"/>
      <w:lang w:val="en-US"/>
    </w:rPr>
  </w:style>
  <w:style w:type="character" w:styleId="Refdenotaalfinal">
    <w:name w:val="endnote reference"/>
    <w:uiPriority w:val="99"/>
    <w:unhideWhenUsed/>
    <w:rsid w:val="00B15F7D"/>
    <w:rPr>
      <w:vertAlign w:val="superscript"/>
    </w:rPr>
  </w:style>
  <w:style w:type="character" w:customStyle="1" w:styleId="spelle">
    <w:name w:val="spelle"/>
    <w:qFormat/>
    <w:rsid w:val="00B15F7D"/>
  </w:style>
  <w:style w:type="paragraph" w:customStyle="1" w:styleId="Pa3">
    <w:name w:val="Pa3"/>
    <w:basedOn w:val="Normal"/>
    <w:next w:val="Normal"/>
    <w:uiPriority w:val="99"/>
    <w:qFormat/>
    <w:rsid w:val="00B15F7D"/>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uiPriority w:val="99"/>
    <w:qFormat/>
    <w:rsid w:val="00B15F7D"/>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uiPriority w:val="99"/>
    <w:qFormat/>
    <w:rsid w:val="00B15F7D"/>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uiPriority w:val="99"/>
    <w:rsid w:val="00B15F7D"/>
    <w:pPr>
      <w:widowControl w:val="0"/>
      <w:suppressAutoHyphens/>
      <w:autoSpaceDE w:val="0"/>
      <w:spacing w:after="0" w:line="240" w:lineRule="auto"/>
      <w:ind w:firstLine="709"/>
      <w:jc w:val="both"/>
    </w:pPr>
    <w:rPr>
      <w:rFonts w:ascii="Century" w:eastAsia="Century" w:hAnsi="Century" w:cs="Times New Roman"/>
      <w:color w:val="000000"/>
      <w:kern w:val="1"/>
      <w:sz w:val="24"/>
      <w:szCs w:val="24"/>
      <w:u w:val="single"/>
      <w:lang w:eastAsia="es-CR"/>
    </w:rPr>
  </w:style>
  <w:style w:type="paragraph" w:customStyle="1" w:styleId="Ttulo30">
    <w:name w:val="TÍtulo 3"/>
    <w:next w:val="Normal"/>
    <w:qFormat/>
    <w:rsid w:val="00B15F7D"/>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customStyle="1" w:styleId="textos">
    <w:name w:val="textos"/>
    <w:basedOn w:val="Normal"/>
    <w:uiPriority w:val="99"/>
    <w:qFormat/>
    <w:rsid w:val="00B15F7D"/>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uiPriority w:val="99"/>
    <w:qFormat/>
    <w:rsid w:val="00B15F7D"/>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uiPriority w:val="99"/>
    <w:qFormat/>
    <w:rsid w:val="00B15F7D"/>
    <w:pPr>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customStyle="1" w:styleId="ecxjuris">
    <w:name w:val="ecxjuris"/>
    <w:uiPriority w:val="99"/>
    <w:qFormat/>
    <w:rsid w:val="00B15F7D"/>
    <w:pPr>
      <w:widowControl w:val="0"/>
      <w:autoSpaceDE w:val="0"/>
      <w:autoSpaceDN w:val="0"/>
      <w:adjustRightInd w:val="0"/>
      <w:spacing w:after="324" w:line="240" w:lineRule="auto"/>
    </w:pPr>
    <w:rPr>
      <w:rFonts w:ascii="Arial" w:eastAsia="Times New Roman" w:hAnsi="Arial" w:cs="Times New Roman"/>
      <w:sz w:val="24"/>
      <w:szCs w:val="24"/>
      <w:lang w:val="es-ES" w:eastAsia="es-ES"/>
    </w:rPr>
  </w:style>
  <w:style w:type="paragraph" w:styleId="Fecha">
    <w:name w:val="Date"/>
    <w:basedOn w:val="Normal"/>
    <w:link w:val="FechaCar"/>
    <w:uiPriority w:val="99"/>
    <w:qFormat/>
    <w:rsid w:val="00B15F7D"/>
    <w:pPr>
      <w:suppressAutoHyphens w:val="0"/>
    </w:pPr>
    <w:rPr>
      <w:rFonts w:ascii="Courier New" w:hAnsi="Courier New"/>
      <w:szCs w:val="20"/>
      <w:lang w:val="es-ES_tradnl" w:eastAsia="es-ES"/>
    </w:rPr>
  </w:style>
  <w:style w:type="character" w:customStyle="1" w:styleId="FechaCar">
    <w:name w:val="Fecha Car"/>
    <w:basedOn w:val="Fuentedeprrafopredeter"/>
    <w:link w:val="Fecha"/>
    <w:uiPriority w:val="99"/>
    <w:rsid w:val="00B15F7D"/>
    <w:rPr>
      <w:rFonts w:ascii="Courier New" w:eastAsia="Times New Roman" w:hAnsi="Courier New" w:cs="Times New Roman"/>
      <w:sz w:val="24"/>
      <w:szCs w:val="20"/>
      <w:lang w:val="es-ES_tradnl" w:eastAsia="es-ES"/>
    </w:rPr>
  </w:style>
  <w:style w:type="table" w:styleId="Tablaweb1">
    <w:name w:val="Table Web 1"/>
    <w:basedOn w:val="Tablanormal"/>
    <w:rsid w:val="00B15F7D"/>
    <w:pPr>
      <w:spacing w:after="0" w:line="240" w:lineRule="auto"/>
    </w:pPr>
    <w:rPr>
      <w:rFonts w:ascii="Times New Roman" w:eastAsia="Times New Roman" w:hAnsi="Times New Roman" w:cs="Times New Roman"/>
      <w:sz w:val="20"/>
      <w:szCs w:val="20"/>
      <w:lang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rsid w:val="00B15F7D"/>
    <w:rPr>
      <w:rFonts w:ascii="Palatino Linotype" w:hAnsi="Palatino Linotype" w:cs="Arial" w:hint="default"/>
      <w:b/>
      <w:bCs w:val="0"/>
      <w:color w:val="auto"/>
      <w:sz w:val="26"/>
      <w:szCs w:val="26"/>
    </w:rPr>
  </w:style>
  <w:style w:type="paragraph" w:customStyle="1" w:styleId="msolistparagraph0">
    <w:name w:val="msolistparagraph"/>
    <w:basedOn w:val="Normal"/>
    <w:uiPriority w:val="99"/>
    <w:qFormat/>
    <w:rsid w:val="00B15F7D"/>
    <w:pPr>
      <w:suppressAutoHyphens w:val="0"/>
      <w:ind w:left="708"/>
    </w:pPr>
    <w:rPr>
      <w:rFonts w:ascii="Courier 10cpi" w:hAnsi="Courier 10cpi"/>
      <w:sz w:val="20"/>
      <w:szCs w:val="20"/>
      <w:lang w:eastAsia="es-ES"/>
    </w:rPr>
  </w:style>
  <w:style w:type="paragraph" w:customStyle="1" w:styleId="textosinformato1">
    <w:name w:val="textosinformato1"/>
    <w:uiPriority w:val="99"/>
    <w:qFormat/>
    <w:rsid w:val="00B15F7D"/>
    <w:pPr>
      <w:widowControl w:val="0"/>
      <w:autoSpaceDE w:val="0"/>
      <w:autoSpaceDN w:val="0"/>
      <w:adjustRightInd w:val="0"/>
      <w:spacing w:after="0" w:line="240" w:lineRule="auto"/>
    </w:pPr>
    <w:rPr>
      <w:rFonts w:ascii="Courier New" w:eastAsia="Times New Roman" w:hAnsi="Courier New" w:cs="Courier New"/>
      <w:sz w:val="20"/>
      <w:szCs w:val="20"/>
      <w:lang w:val="es-ES" w:eastAsia="es-ES"/>
    </w:rPr>
  </w:style>
  <w:style w:type="paragraph" w:customStyle="1" w:styleId="listparagraph">
    <w:name w:val="listparagraph"/>
    <w:basedOn w:val="Normal"/>
    <w:uiPriority w:val="99"/>
    <w:qFormat/>
    <w:rsid w:val="00B15F7D"/>
    <w:pPr>
      <w:suppressAutoHyphens w:val="0"/>
      <w:ind w:left="720"/>
    </w:pPr>
    <w:rPr>
      <w:lang w:eastAsia="es-ES"/>
    </w:rPr>
  </w:style>
  <w:style w:type="paragraph" w:customStyle="1" w:styleId="Encabezado11">
    <w:name w:val="Encabezado 1"/>
    <w:next w:val="Normal"/>
    <w:uiPriority w:val="99"/>
    <w:qFormat/>
    <w:rsid w:val="00B15F7D"/>
    <w:pPr>
      <w:keepNext/>
      <w:widowControl w:val="0"/>
      <w:autoSpaceDE w:val="0"/>
      <w:autoSpaceDN w:val="0"/>
      <w:adjustRightInd w:val="0"/>
      <w:spacing w:after="0" w:line="240" w:lineRule="auto"/>
      <w:jc w:val="both"/>
      <w:outlineLvl w:val="0"/>
    </w:pPr>
    <w:rPr>
      <w:rFonts w:ascii="Comic Sans MS" w:eastAsia="Times New Roman" w:hAnsi="Comic Sans MS" w:cs="Comic Sans MS"/>
      <w:b/>
      <w:bCs/>
      <w:sz w:val="28"/>
      <w:szCs w:val="28"/>
      <w:lang w:val="es-ES" w:eastAsia="es-ES"/>
    </w:rPr>
  </w:style>
  <w:style w:type="character" w:customStyle="1" w:styleId="Muydestacado">
    <w:name w:val="Muy destacado"/>
    <w:rsid w:val="00B15F7D"/>
    <w:rPr>
      <w:b/>
      <w:bCs/>
    </w:rPr>
  </w:style>
  <w:style w:type="paragraph" w:customStyle="1" w:styleId="encabezado20">
    <w:name w:val="encabezado2"/>
    <w:basedOn w:val="Normal"/>
    <w:uiPriority w:val="99"/>
    <w:qFormat/>
    <w:rsid w:val="00B15F7D"/>
    <w:pPr>
      <w:keepNext/>
      <w:suppressAutoHyphens w:val="0"/>
    </w:pPr>
    <w:rPr>
      <w:b/>
      <w:bCs/>
      <w:sz w:val="18"/>
      <w:szCs w:val="18"/>
      <w:lang w:eastAsia="es-ES"/>
    </w:rPr>
  </w:style>
  <w:style w:type="paragraph" w:customStyle="1" w:styleId="encabezado30">
    <w:name w:val="encabezado3"/>
    <w:basedOn w:val="Normal"/>
    <w:uiPriority w:val="99"/>
    <w:qFormat/>
    <w:rsid w:val="00B15F7D"/>
    <w:pPr>
      <w:keepNext/>
      <w:suppressAutoHyphens w:val="0"/>
      <w:jc w:val="center"/>
    </w:pPr>
    <w:rPr>
      <w:b/>
      <w:bCs/>
      <w:sz w:val="18"/>
      <w:szCs w:val="18"/>
      <w:lang w:eastAsia="es-ES"/>
    </w:rPr>
  </w:style>
  <w:style w:type="character" w:customStyle="1" w:styleId="a">
    <w:name w:val="."/>
    <w:rsid w:val="00B15F7D"/>
    <w:rPr>
      <w:color w:val="000000"/>
    </w:rPr>
  </w:style>
  <w:style w:type="paragraph" w:customStyle="1" w:styleId="estilo14ptazuloscurojustificadoprimeralnea125cmant0">
    <w:name w:val="estilo14ptazuloscurojustificadoprimeralnea125cmant"/>
    <w:basedOn w:val="Normal"/>
    <w:uiPriority w:val="99"/>
    <w:qFormat/>
    <w:rsid w:val="00B15F7D"/>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uiPriority w:val="99"/>
    <w:qFormat/>
    <w:rsid w:val="00B15F7D"/>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uiPriority w:val="99"/>
    <w:qFormat/>
    <w:rsid w:val="00B15F7D"/>
    <w:pPr>
      <w:keepNext/>
      <w:jc w:val="center"/>
    </w:pPr>
    <w:rPr>
      <w:rFonts w:ascii="Times New Roman" w:hAnsi="Times New Roman" w:cs="Times New Roman"/>
      <w:b/>
      <w:bCs/>
      <w:color w:val="auto"/>
      <w:sz w:val="18"/>
      <w:szCs w:val="18"/>
    </w:rPr>
  </w:style>
  <w:style w:type="paragraph" w:customStyle="1" w:styleId="Fecha1">
    <w:name w:val="Fecha1"/>
    <w:basedOn w:val="Normal"/>
    <w:uiPriority w:val="99"/>
    <w:qFormat/>
    <w:rsid w:val="00B15F7D"/>
    <w:pPr>
      <w:suppressAutoHyphens w:val="0"/>
    </w:pPr>
    <w:rPr>
      <w:rFonts w:ascii="Courier New" w:hAnsi="Courier New"/>
      <w:szCs w:val="20"/>
    </w:rPr>
  </w:style>
  <w:style w:type="paragraph" w:customStyle="1" w:styleId="Sinespaciado1">
    <w:name w:val="Sin espaciado1"/>
    <w:link w:val="NoSpacingChar"/>
    <w:uiPriority w:val="99"/>
    <w:qFormat/>
    <w:rsid w:val="00B15F7D"/>
    <w:pPr>
      <w:spacing w:after="0" w:line="240" w:lineRule="auto"/>
    </w:pPr>
    <w:rPr>
      <w:rFonts w:ascii="Calibri" w:eastAsia="Times New Roman" w:hAnsi="Calibri" w:cs="Times New Roman"/>
      <w:lang w:val="en-US"/>
    </w:rPr>
  </w:style>
  <w:style w:type="paragraph" w:customStyle="1" w:styleId="framecontents">
    <w:name w:val="framecontents"/>
    <w:basedOn w:val="Normal"/>
    <w:uiPriority w:val="99"/>
    <w:qFormat/>
    <w:rsid w:val="00B15F7D"/>
    <w:pPr>
      <w:suppressAutoHyphens w:val="0"/>
      <w:spacing w:before="100" w:beforeAutospacing="1" w:after="100" w:afterAutospacing="1"/>
    </w:pPr>
    <w:rPr>
      <w:lang w:eastAsia="es-ES"/>
    </w:rPr>
  </w:style>
  <w:style w:type="paragraph" w:customStyle="1" w:styleId="contenidodelatabla0">
    <w:name w:val="contenidodelatabla"/>
    <w:basedOn w:val="Normal"/>
    <w:uiPriority w:val="99"/>
    <w:qFormat/>
    <w:rsid w:val="00B15F7D"/>
    <w:rPr>
      <w:rFonts w:eastAsia="Calibri"/>
      <w:lang w:val="es-CR"/>
    </w:rPr>
  </w:style>
  <w:style w:type="paragraph" w:styleId="Listaconnmeros">
    <w:name w:val="List Number"/>
    <w:basedOn w:val="Normal"/>
    <w:uiPriority w:val="99"/>
    <w:qFormat/>
    <w:rsid w:val="00B15F7D"/>
    <w:pPr>
      <w:numPr>
        <w:numId w:val="2"/>
      </w:numPr>
    </w:pPr>
    <w:rPr>
      <w:sz w:val="20"/>
      <w:szCs w:val="20"/>
      <w:lang w:val="es-ES_tradnl"/>
    </w:rPr>
  </w:style>
  <w:style w:type="character" w:customStyle="1" w:styleId="encabezadoCarCar1">
    <w:name w:val="encabezado Car Car1"/>
    <w:locked/>
    <w:rsid w:val="00B15F7D"/>
    <w:rPr>
      <w:sz w:val="24"/>
      <w:szCs w:val="24"/>
      <w:lang w:val="es-CR" w:eastAsia="es-ES" w:bidi="ar-SA"/>
    </w:rPr>
  </w:style>
  <w:style w:type="paragraph" w:customStyle="1" w:styleId="ww-predeterminado0">
    <w:name w:val="ww-predeterminado0"/>
    <w:basedOn w:val="Normal"/>
    <w:uiPriority w:val="99"/>
    <w:qFormat/>
    <w:rsid w:val="00B15F7D"/>
    <w:pPr>
      <w:suppressAutoHyphens w:val="0"/>
    </w:pPr>
    <w:rPr>
      <w:lang w:eastAsia="es-ES"/>
    </w:rPr>
  </w:style>
  <w:style w:type="paragraph" w:customStyle="1" w:styleId="ww-encabezado20">
    <w:name w:val="ww-encabezado20"/>
    <w:basedOn w:val="Normal"/>
    <w:uiPriority w:val="99"/>
    <w:qFormat/>
    <w:rsid w:val="00B15F7D"/>
    <w:pPr>
      <w:keepNext/>
      <w:suppressAutoHyphens w:val="0"/>
      <w:autoSpaceDE w:val="0"/>
    </w:pPr>
    <w:rPr>
      <w:b/>
      <w:bCs/>
      <w:sz w:val="18"/>
      <w:szCs w:val="18"/>
      <w:lang w:eastAsia="es-ES"/>
    </w:rPr>
  </w:style>
  <w:style w:type="paragraph" w:customStyle="1" w:styleId="ww-encabezado30">
    <w:name w:val="ww-encabezado30"/>
    <w:basedOn w:val="Normal"/>
    <w:uiPriority w:val="99"/>
    <w:qFormat/>
    <w:rsid w:val="00B15F7D"/>
    <w:pPr>
      <w:keepNext/>
      <w:suppressAutoHyphens w:val="0"/>
      <w:autoSpaceDE w:val="0"/>
      <w:jc w:val="center"/>
    </w:pPr>
    <w:rPr>
      <w:b/>
      <w:bCs/>
      <w:sz w:val="18"/>
      <w:szCs w:val="18"/>
      <w:lang w:eastAsia="es-ES"/>
    </w:rPr>
  </w:style>
  <w:style w:type="paragraph" w:customStyle="1" w:styleId="Encabezadoencabezado">
    <w:name w:val="Encabezado.encabezado"/>
    <w:basedOn w:val="Normal"/>
    <w:uiPriority w:val="99"/>
    <w:qFormat/>
    <w:rsid w:val="00B15F7D"/>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uiPriority w:val="99"/>
    <w:qFormat/>
    <w:rsid w:val="00B15F7D"/>
    <w:pPr>
      <w:widowControl w:val="0"/>
      <w:ind w:left="1080"/>
      <w:jc w:val="both"/>
    </w:pPr>
    <w:rPr>
      <w:rFonts w:ascii="Toronto" w:hAnsi="Toronto"/>
      <w:i/>
      <w:szCs w:val="20"/>
      <w:lang w:val="es-CR"/>
    </w:rPr>
  </w:style>
  <w:style w:type="paragraph" w:customStyle="1" w:styleId="sangra2detindependiente10">
    <w:name w:val="sangra2detindependiente1"/>
    <w:basedOn w:val="Normal"/>
    <w:uiPriority w:val="99"/>
    <w:qFormat/>
    <w:rsid w:val="00B15F7D"/>
    <w:pPr>
      <w:suppressAutoHyphens w:val="0"/>
      <w:spacing w:before="100" w:beforeAutospacing="1" w:after="100" w:afterAutospacing="1"/>
    </w:pPr>
    <w:rPr>
      <w:lang w:eastAsia="es-ES"/>
    </w:rPr>
  </w:style>
  <w:style w:type="paragraph" w:styleId="TtuloTDC">
    <w:name w:val="TOC Heading"/>
    <w:basedOn w:val="Ttulo1"/>
    <w:next w:val="Normal"/>
    <w:uiPriority w:val="39"/>
    <w:qFormat/>
    <w:rsid w:val="00B15F7D"/>
    <w:pPr>
      <w:keepNext w:val="0"/>
      <w:keepLines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outlineLvl w:val="9"/>
    </w:pPr>
    <w:rPr>
      <w:rFonts w:ascii="Arial" w:eastAsia="Times New Roman" w:hAnsi="Arial" w:cs="Times New Roman"/>
      <w:b/>
      <w:bCs/>
      <w:smallCaps/>
      <w:color w:val="000080"/>
      <w:spacing w:val="15"/>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uiPriority w:val="99"/>
    <w:qFormat/>
    <w:rsid w:val="00B15F7D"/>
    <w:pPr>
      <w:widowControl w:val="0"/>
      <w:autoSpaceDE w:val="0"/>
      <w:autoSpaceDN w:val="0"/>
      <w:adjustRightInd w:val="0"/>
      <w:spacing w:after="0" w:line="240" w:lineRule="auto"/>
    </w:pPr>
    <w:rPr>
      <w:rFonts w:ascii="Verdana" w:eastAsia="Times New Roman" w:hAnsi="Verdana" w:cs="Verdana"/>
      <w:sz w:val="20"/>
      <w:szCs w:val="20"/>
      <w:lang w:val="es-ES" w:eastAsia="es-ES"/>
    </w:rPr>
  </w:style>
  <w:style w:type="character" w:customStyle="1" w:styleId="apple-tab-span">
    <w:name w:val="apple-tab-span"/>
    <w:basedOn w:val="Fuentedeprrafopredeter"/>
    <w:rsid w:val="00B15F7D"/>
  </w:style>
  <w:style w:type="paragraph" w:customStyle="1" w:styleId="ListBulletBold">
    <w:name w:val="List Bullet Bold"/>
    <w:basedOn w:val="Listaconvietas"/>
    <w:next w:val="Continuarlista"/>
    <w:uiPriority w:val="99"/>
    <w:qFormat/>
    <w:rsid w:val="00B15F7D"/>
    <w:pPr>
      <w:keepNext/>
      <w:keepLines/>
      <w:tabs>
        <w:tab w:val="num" w:pos="717"/>
      </w:tabs>
      <w:spacing w:before="60" w:after="60"/>
      <w:ind w:left="714"/>
      <w:jc w:val="both"/>
    </w:pPr>
    <w:rPr>
      <w:rFonts w:ascii="Tahoma" w:hAnsi="Tahoma" w:cs="Tahoma"/>
      <w:b/>
      <w:bCs/>
      <w:sz w:val="20"/>
      <w:szCs w:val="20"/>
      <w:lang w:val="es-CL" w:eastAsia="en-US"/>
    </w:rPr>
  </w:style>
  <w:style w:type="paragraph" w:styleId="Continuarlista">
    <w:name w:val="List Continue"/>
    <w:basedOn w:val="Normal"/>
    <w:uiPriority w:val="99"/>
    <w:qFormat/>
    <w:rsid w:val="00B15F7D"/>
    <w:pPr>
      <w:spacing w:after="120"/>
      <w:ind w:left="283"/>
    </w:pPr>
    <w:rPr>
      <w:sz w:val="20"/>
      <w:szCs w:val="20"/>
    </w:rPr>
  </w:style>
  <w:style w:type="paragraph" w:customStyle="1" w:styleId="Estilopredeterminado">
    <w:name w:val="Estilo predeterminado"/>
    <w:next w:val="Normal"/>
    <w:uiPriority w:val="99"/>
    <w:qFormat/>
    <w:rsid w:val="00B15F7D"/>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styleId="Listaconvietas2">
    <w:name w:val="List Bullet 2"/>
    <w:basedOn w:val="Normal"/>
    <w:uiPriority w:val="99"/>
    <w:qFormat/>
    <w:rsid w:val="00B15F7D"/>
    <w:pPr>
      <w:numPr>
        <w:numId w:val="3"/>
      </w:numPr>
    </w:pPr>
    <w:rPr>
      <w:sz w:val="20"/>
      <w:szCs w:val="20"/>
      <w:lang w:val="es-ES_tradnl"/>
    </w:rPr>
  </w:style>
  <w:style w:type="paragraph" w:customStyle="1" w:styleId="Encabezadodelatabla">
    <w:name w:val="Encabezado de la tabla"/>
    <w:basedOn w:val="Contenidodelatabla"/>
    <w:uiPriority w:val="99"/>
    <w:qFormat/>
    <w:rsid w:val="00B15F7D"/>
    <w:pPr>
      <w:widowControl w:val="0"/>
      <w:suppressLineNumbers w:val="0"/>
      <w:autoSpaceDE w:val="0"/>
      <w:ind w:firstLine="0"/>
      <w:jc w:val="center"/>
    </w:pPr>
    <w:rPr>
      <w:b/>
      <w:bCs/>
      <w:i/>
      <w:iCs/>
      <w:kern w:val="1"/>
      <w:szCs w:val="24"/>
      <w:lang w:val="en-US" w:eastAsia="en-US" w:bidi="en-US"/>
    </w:rPr>
  </w:style>
  <w:style w:type="paragraph" w:customStyle="1" w:styleId="epgrafe">
    <w:name w:val="epígrafe"/>
    <w:basedOn w:val="Normal"/>
    <w:uiPriority w:val="99"/>
    <w:qFormat/>
    <w:rsid w:val="00B15F7D"/>
    <w:pPr>
      <w:widowControl w:val="0"/>
      <w:suppressAutoHyphens w:val="0"/>
    </w:pPr>
    <w:rPr>
      <w:snapToGrid w:val="0"/>
      <w:szCs w:val="20"/>
      <w:lang w:val="es-ES_tradnl" w:eastAsia="es-ES"/>
    </w:rPr>
  </w:style>
  <w:style w:type="character" w:customStyle="1" w:styleId="estilocorreo21">
    <w:name w:val="estilocorreo21"/>
    <w:rsid w:val="00B15F7D"/>
    <w:rPr>
      <w:rFonts w:ascii="Arial" w:hAnsi="Arial" w:cs="Arial" w:hint="default"/>
      <w:color w:val="000080"/>
    </w:rPr>
  </w:style>
  <w:style w:type="character" w:customStyle="1" w:styleId="yvalverdech">
    <w:name w:val="yvalverdech"/>
    <w:rsid w:val="00B15F7D"/>
    <w:rPr>
      <w:rFonts w:ascii="Arial" w:hAnsi="Arial" w:cs="Arial"/>
      <w:color w:val="auto"/>
      <w:sz w:val="20"/>
      <w:szCs w:val="20"/>
    </w:rPr>
  </w:style>
  <w:style w:type="character" w:customStyle="1" w:styleId="estilocorreo22">
    <w:name w:val="estilocorreo22"/>
    <w:rsid w:val="00B15F7D"/>
    <w:rPr>
      <w:rFonts w:ascii="Arial" w:hAnsi="Arial" w:cs="Arial" w:hint="default"/>
      <w:color w:val="000080"/>
    </w:rPr>
  </w:style>
  <w:style w:type="paragraph" w:customStyle="1" w:styleId="Style10">
    <w:name w:val="Style1"/>
    <w:basedOn w:val="Prrafodelista1"/>
    <w:uiPriority w:val="99"/>
    <w:qFormat/>
    <w:rsid w:val="00B15F7D"/>
    <w:pPr>
      <w:suppressAutoHyphens/>
      <w:spacing w:line="276" w:lineRule="auto"/>
      <w:ind w:left="561"/>
      <w:contextualSpacing w:val="0"/>
      <w:jc w:val="both"/>
    </w:pPr>
    <w:rPr>
      <w:rFonts w:ascii="Calibri" w:hAnsi="Calibri"/>
      <w:kern w:val="1"/>
      <w:lang w:val="es-CR" w:eastAsia="ar-SA"/>
    </w:rPr>
  </w:style>
  <w:style w:type="character" w:customStyle="1" w:styleId="CarCar13">
    <w:name w:val="Car Car13"/>
    <w:locked/>
    <w:rsid w:val="00B15F7D"/>
    <w:rPr>
      <w:sz w:val="28"/>
      <w:szCs w:val="28"/>
      <w:lang w:val="es-ES" w:eastAsia="ar-SA" w:bidi="ar-SA"/>
    </w:rPr>
  </w:style>
  <w:style w:type="paragraph" w:customStyle="1" w:styleId="CarCarCarCarCarCarCarCar">
    <w:name w:val="Car Car Car Car Car Car Car Car"/>
    <w:basedOn w:val="Normal"/>
    <w:uiPriority w:val="99"/>
    <w:qFormat/>
    <w:rsid w:val="00B15F7D"/>
    <w:pPr>
      <w:suppressAutoHyphens w:val="0"/>
      <w:spacing w:after="160" w:line="240" w:lineRule="exact"/>
    </w:pPr>
    <w:rPr>
      <w:rFonts w:ascii="Verdana" w:hAnsi="Verdana" w:cs="Verdana"/>
      <w:sz w:val="20"/>
      <w:szCs w:val="20"/>
      <w:lang w:val="en-AU" w:eastAsia="en-US"/>
    </w:rPr>
  </w:style>
  <w:style w:type="character" w:customStyle="1" w:styleId="TtuloPrincipalCarCar">
    <w:name w:val="Título Principal Car Car"/>
    <w:rsid w:val="00B15F7D"/>
    <w:rPr>
      <w:rFonts w:ascii="Arial" w:hAnsi="Arial" w:cs="Arial"/>
      <w:b/>
      <w:bCs/>
      <w:kern w:val="1"/>
      <w:sz w:val="28"/>
      <w:szCs w:val="28"/>
      <w:lang w:val="es-ES" w:eastAsia="ar-SA" w:bidi="ar-SA"/>
    </w:rPr>
  </w:style>
  <w:style w:type="character" w:customStyle="1" w:styleId="CarCar20">
    <w:name w:val="Car Car20"/>
    <w:rsid w:val="00B15F7D"/>
    <w:rPr>
      <w:b/>
      <w:bCs/>
      <w:sz w:val="28"/>
      <w:szCs w:val="28"/>
      <w:u w:val="single"/>
      <w:lang w:val="es-ES" w:eastAsia="ar-SA" w:bidi="ar-SA"/>
    </w:rPr>
  </w:style>
  <w:style w:type="character" w:customStyle="1" w:styleId="SubttulosdeHallazgoCarCar">
    <w:name w:val="Subtítulos de Hallazgo Car Car"/>
    <w:rsid w:val="00B15F7D"/>
    <w:rPr>
      <w:rFonts w:ascii="Arial" w:hAnsi="Arial" w:cs="Arial"/>
      <w:b/>
      <w:bCs/>
      <w:sz w:val="26"/>
      <w:szCs w:val="26"/>
      <w:lang w:val="es-ES" w:eastAsia="ar-SA" w:bidi="ar-SA"/>
    </w:rPr>
  </w:style>
  <w:style w:type="character" w:customStyle="1" w:styleId="CarCar15">
    <w:name w:val="Car Car15"/>
    <w:rsid w:val="00B15F7D"/>
    <w:rPr>
      <w:i/>
      <w:iCs/>
      <w:sz w:val="24"/>
      <w:szCs w:val="24"/>
      <w:lang w:val="es-ES" w:eastAsia="ar-SA" w:bidi="ar-SA"/>
    </w:rPr>
  </w:style>
  <w:style w:type="character" w:customStyle="1" w:styleId="CarCar9">
    <w:name w:val="Car Car9"/>
    <w:qFormat/>
    <w:locked/>
    <w:rsid w:val="00B15F7D"/>
    <w:rPr>
      <w:lang w:val="es-ES" w:eastAsia="es-ES" w:bidi="ar-SA"/>
    </w:rPr>
  </w:style>
  <w:style w:type="paragraph" w:customStyle="1" w:styleId="BodyTextIndent21">
    <w:name w:val="Body Text Indent 21"/>
    <w:uiPriority w:val="99"/>
    <w:qFormat/>
    <w:rsid w:val="00B15F7D"/>
    <w:pPr>
      <w:widowControl w:val="0"/>
      <w:suppressAutoHyphens/>
      <w:autoSpaceDE w:val="0"/>
      <w:spacing w:after="0" w:line="480" w:lineRule="auto"/>
      <w:ind w:firstLine="708"/>
      <w:jc w:val="both"/>
    </w:pPr>
    <w:rPr>
      <w:rFonts w:ascii="Arial" w:eastAsia="Arial" w:hAnsi="Arial" w:cs="Arial"/>
      <w:sz w:val="24"/>
      <w:szCs w:val="24"/>
      <w:u w:val="single"/>
      <w:lang w:val="es-ES" w:eastAsia="es-ES" w:bidi="es-ES"/>
    </w:rPr>
  </w:style>
  <w:style w:type="character" w:customStyle="1" w:styleId="grame">
    <w:name w:val="grame"/>
    <w:basedOn w:val="Fuentedeprrafopredeter"/>
    <w:rsid w:val="00B15F7D"/>
  </w:style>
  <w:style w:type="character" w:customStyle="1" w:styleId="h4CarCar">
    <w:name w:val="h4 Car Car"/>
    <w:rsid w:val="00B15F7D"/>
    <w:rPr>
      <w:rFonts w:ascii="Book Antiqua" w:hAnsi="Book Antiqua" w:cs="Book Antiqua"/>
      <w:b/>
      <w:bCs/>
      <w:sz w:val="24"/>
      <w:szCs w:val="24"/>
      <w:u w:color="000000"/>
      <w:lang w:val="es-ES" w:eastAsia="es-ES" w:bidi="ar-SA"/>
    </w:rPr>
  </w:style>
  <w:style w:type="character" w:customStyle="1" w:styleId="CarCar18">
    <w:name w:val="Car Car18"/>
    <w:rsid w:val="00B15F7D"/>
    <w:rPr>
      <w:rFonts w:ascii="Arial" w:hAnsi="Arial" w:cs="Arial"/>
      <w:sz w:val="24"/>
      <w:szCs w:val="24"/>
      <w:lang w:val="es-ES" w:eastAsia="es-ES" w:bidi="ar-SA"/>
    </w:rPr>
  </w:style>
  <w:style w:type="character" w:customStyle="1" w:styleId="CarCar10">
    <w:name w:val="Car Car10"/>
    <w:qFormat/>
    <w:rsid w:val="00B15F7D"/>
    <w:rPr>
      <w:rFonts w:ascii="Arial" w:hAnsi="Arial" w:cs="Arial"/>
      <w:lang w:val="es-ES" w:eastAsia="es-ES" w:bidi="ar-SA"/>
    </w:rPr>
  </w:style>
  <w:style w:type="paragraph" w:styleId="Mapadeldocumento">
    <w:name w:val="Document Map"/>
    <w:basedOn w:val="Normal"/>
    <w:link w:val="MapadeldocumentoCar"/>
    <w:qFormat/>
    <w:rsid w:val="00B15F7D"/>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rPr>
  </w:style>
  <w:style w:type="character" w:customStyle="1" w:styleId="MapadeldocumentoCar">
    <w:name w:val="Mapa del documento Car"/>
    <w:basedOn w:val="Fuentedeprrafopredeter"/>
    <w:link w:val="Mapadeldocumento"/>
    <w:rsid w:val="00B15F7D"/>
    <w:rPr>
      <w:rFonts w:ascii="Tahoma" w:eastAsia="Times New Roman" w:hAnsi="Tahoma" w:cs="Tahoma"/>
      <w:color w:val="000000"/>
      <w:sz w:val="20"/>
      <w:szCs w:val="20"/>
      <w:u w:color="000000"/>
      <w:shd w:val="clear" w:color="auto" w:fill="000080"/>
      <w:lang w:val="es-ES" w:eastAsia="es-ES"/>
    </w:rPr>
  </w:style>
  <w:style w:type="character" w:customStyle="1" w:styleId="estilo51">
    <w:name w:val="estilo51"/>
    <w:qFormat/>
    <w:rsid w:val="00B15F7D"/>
    <w:rPr>
      <w:b/>
      <w:bCs/>
    </w:rPr>
  </w:style>
  <w:style w:type="character" w:customStyle="1" w:styleId="estilo41">
    <w:name w:val="estilo41"/>
    <w:basedOn w:val="Fuentedeprrafopredeter"/>
    <w:qFormat/>
    <w:rsid w:val="00B15F7D"/>
  </w:style>
  <w:style w:type="paragraph" w:styleId="Saludo">
    <w:name w:val="Salutation"/>
    <w:basedOn w:val="Normal"/>
    <w:next w:val="Normal"/>
    <w:link w:val="SaludoCar"/>
    <w:uiPriority w:val="99"/>
    <w:qFormat/>
    <w:rsid w:val="00B15F7D"/>
    <w:pPr>
      <w:suppressAutoHyphens w:val="0"/>
    </w:pPr>
    <w:rPr>
      <w:rFonts w:ascii="Calibri" w:hAnsi="Calibri"/>
      <w:sz w:val="20"/>
      <w:szCs w:val="20"/>
      <w:lang w:val="es-CR" w:eastAsia="en-US"/>
    </w:rPr>
  </w:style>
  <w:style w:type="character" w:customStyle="1" w:styleId="SaludoCar">
    <w:name w:val="Saludo Car"/>
    <w:basedOn w:val="Fuentedeprrafopredeter"/>
    <w:link w:val="Saludo"/>
    <w:uiPriority w:val="99"/>
    <w:qFormat/>
    <w:rsid w:val="00B15F7D"/>
    <w:rPr>
      <w:rFonts w:ascii="Calibri" w:eastAsia="Times New Roman" w:hAnsi="Calibri" w:cs="Times New Roman"/>
      <w:sz w:val="20"/>
      <w:szCs w:val="20"/>
    </w:rPr>
  </w:style>
  <w:style w:type="paragraph" w:styleId="z-Finaldelformulario">
    <w:name w:val="HTML Bottom of Form"/>
    <w:basedOn w:val="Normal"/>
    <w:next w:val="Normal"/>
    <w:link w:val="z-FinaldelformularioCar"/>
    <w:hidden/>
    <w:uiPriority w:val="99"/>
    <w:rsid w:val="00B15F7D"/>
    <w:pPr>
      <w:widowControl w:val="0"/>
      <w:pBdr>
        <w:top w:val="double" w:sz="6" w:space="0" w:color="000000"/>
      </w:pBdr>
      <w:suppressAutoHyphens w:val="0"/>
      <w:autoSpaceDE w:val="0"/>
      <w:autoSpaceDN w:val="0"/>
      <w:adjustRightInd w:val="0"/>
      <w:jc w:val="center"/>
    </w:pPr>
    <w:rPr>
      <w:rFonts w:ascii="Arial" w:hAnsi="Arial" w:cs="Arial"/>
      <w:vanish/>
      <w:sz w:val="16"/>
      <w:szCs w:val="16"/>
      <w:shd w:val="clear" w:color="auto" w:fill="FFFFFF"/>
      <w:lang w:eastAsia="es-ES"/>
    </w:rPr>
  </w:style>
  <w:style w:type="character" w:customStyle="1" w:styleId="z-FinaldelformularioCar">
    <w:name w:val="z-Final del formulario Car"/>
    <w:basedOn w:val="Fuentedeprrafopredeter"/>
    <w:link w:val="z-Finaldelformulario"/>
    <w:uiPriority w:val="99"/>
    <w:rsid w:val="00B15F7D"/>
    <w:rPr>
      <w:rFonts w:ascii="Arial" w:eastAsia="Times New Roman" w:hAnsi="Arial" w:cs="Arial"/>
      <w:vanish/>
      <w:sz w:val="16"/>
      <w:szCs w:val="16"/>
      <w:lang w:val="es-ES" w:eastAsia="es-ES"/>
    </w:rPr>
  </w:style>
  <w:style w:type="paragraph" w:styleId="z-Principiodelformulario">
    <w:name w:val="HTML Top of Form"/>
    <w:basedOn w:val="Normal"/>
    <w:next w:val="Normal"/>
    <w:link w:val="z-PrincipiodelformularioCar"/>
    <w:hidden/>
    <w:uiPriority w:val="99"/>
    <w:rsid w:val="00B15F7D"/>
    <w:pPr>
      <w:widowControl w:val="0"/>
      <w:pBdr>
        <w:bottom w:val="double" w:sz="6" w:space="0" w:color="000000"/>
      </w:pBdr>
      <w:suppressAutoHyphens w:val="0"/>
      <w:autoSpaceDE w:val="0"/>
      <w:autoSpaceDN w:val="0"/>
      <w:adjustRightInd w:val="0"/>
      <w:jc w:val="center"/>
    </w:pPr>
    <w:rPr>
      <w:rFonts w:ascii="Arial" w:hAnsi="Arial" w:cs="Arial"/>
      <w:vanish/>
      <w:sz w:val="16"/>
      <w:szCs w:val="16"/>
      <w:shd w:val="clear" w:color="auto" w:fill="FFFFFF"/>
      <w:lang w:eastAsia="es-ES"/>
    </w:rPr>
  </w:style>
  <w:style w:type="character" w:customStyle="1" w:styleId="z-PrincipiodelformularioCar">
    <w:name w:val="z-Principio del formulario Car"/>
    <w:basedOn w:val="Fuentedeprrafopredeter"/>
    <w:link w:val="z-Principiodelformulario"/>
    <w:uiPriority w:val="99"/>
    <w:rsid w:val="00B15F7D"/>
    <w:rPr>
      <w:rFonts w:ascii="Arial" w:eastAsia="Times New Roman" w:hAnsi="Arial" w:cs="Arial"/>
      <w:vanish/>
      <w:sz w:val="16"/>
      <w:szCs w:val="16"/>
      <w:lang w:val="es-ES" w:eastAsia="es-ES"/>
    </w:rPr>
  </w:style>
  <w:style w:type="paragraph" w:customStyle="1" w:styleId="ListaconvietasTabla">
    <w:name w:val="Lista con viñetas Tabla"/>
    <w:basedOn w:val="Listaconvietas"/>
    <w:uiPriority w:val="99"/>
    <w:qFormat/>
    <w:rsid w:val="00B15F7D"/>
    <w:pPr>
      <w:keepLines/>
      <w:numPr>
        <w:numId w:val="4"/>
      </w:numPr>
      <w:tabs>
        <w:tab w:val="num" w:pos="720"/>
      </w:tabs>
      <w:spacing w:before="60" w:after="60"/>
      <w:jc w:val="both"/>
    </w:pPr>
    <w:rPr>
      <w:rFonts w:ascii="Tahoma" w:eastAsia="MS Mincho" w:hAnsi="Tahoma" w:cs="Tahoma"/>
      <w:sz w:val="20"/>
      <w:szCs w:val="20"/>
      <w:lang w:val="es-CL"/>
    </w:rPr>
  </w:style>
  <w:style w:type="character" w:customStyle="1" w:styleId="SaludoCar1">
    <w:name w:val="Saludo Car1"/>
    <w:rsid w:val="00B15F7D"/>
    <w:rPr>
      <w:sz w:val="24"/>
      <w:szCs w:val="24"/>
      <w:lang w:val="es-ES" w:eastAsia="es-ES"/>
    </w:rPr>
  </w:style>
  <w:style w:type="paragraph" w:customStyle="1" w:styleId="BodyText21">
    <w:name w:val="Body Text 21"/>
    <w:basedOn w:val="Normal"/>
    <w:uiPriority w:val="99"/>
    <w:qFormat/>
    <w:rsid w:val="00B15F7D"/>
    <w:pPr>
      <w:suppressAutoHyphens w:val="0"/>
      <w:ind w:right="334" w:hanging="283"/>
      <w:jc w:val="both"/>
    </w:pPr>
    <w:rPr>
      <w:rFonts w:ascii="Arial" w:hAnsi="Arial"/>
      <w:szCs w:val="20"/>
      <w:lang w:val="es-CR" w:eastAsia="es-ES"/>
    </w:rPr>
  </w:style>
  <w:style w:type="paragraph" w:customStyle="1" w:styleId="BlockText1">
    <w:name w:val="Block Text1"/>
    <w:basedOn w:val="Normal"/>
    <w:uiPriority w:val="99"/>
    <w:qFormat/>
    <w:rsid w:val="00B15F7D"/>
    <w:pPr>
      <w:suppressAutoHyphens w:val="0"/>
      <w:ind w:left="283" w:right="334" w:hanging="283"/>
      <w:jc w:val="both"/>
    </w:pPr>
    <w:rPr>
      <w:rFonts w:ascii="Arial" w:hAnsi="Arial"/>
      <w:szCs w:val="20"/>
      <w:lang w:val="es-CR" w:eastAsia="es-ES"/>
    </w:rPr>
  </w:style>
  <w:style w:type="paragraph" w:customStyle="1" w:styleId="BodyText31">
    <w:name w:val="Body Text 31"/>
    <w:basedOn w:val="Normal"/>
    <w:uiPriority w:val="99"/>
    <w:qFormat/>
    <w:rsid w:val="00B15F7D"/>
    <w:pPr>
      <w:suppressAutoHyphens w:val="0"/>
      <w:ind w:right="334"/>
      <w:jc w:val="both"/>
    </w:pPr>
    <w:rPr>
      <w:rFonts w:ascii="Arial" w:hAnsi="Arial"/>
      <w:b/>
      <w:szCs w:val="20"/>
      <w:lang w:val="es-CR" w:eastAsia="es-ES"/>
    </w:rPr>
  </w:style>
  <w:style w:type="paragraph" w:styleId="Cierre">
    <w:name w:val="Closing"/>
    <w:basedOn w:val="Normal"/>
    <w:link w:val="CierreCar"/>
    <w:uiPriority w:val="99"/>
    <w:qFormat/>
    <w:rsid w:val="00B15F7D"/>
    <w:pPr>
      <w:suppressAutoHyphens w:val="0"/>
      <w:ind w:left="4252"/>
    </w:pPr>
    <w:rPr>
      <w:rFonts w:ascii="Century Schoolbook" w:hAnsi="Century Schoolbook"/>
      <w:i/>
      <w:szCs w:val="20"/>
      <w:lang w:val="es-CR" w:eastAsia="es-ES"/>
    </w:rPr>
  </w:style>
  <w:style w:type="character" w:customStyle="1" w:styleId="CierreCar">
    <w:name w:val="Cierre Car"/>
    <w:basedOn w:val="Fuentedeprrafopredeter"/>
    <w:link w:val="Cierre"/>
    <w:uiPriority w:val="99"/>
    <w:rsid w:val="00B15F7D"/>
    <w:rPr>
      <w:rFonts w:ascii="Century Schoolbook" w:eastAsia="Times New Roman" w:hAnsi="Century Schoolbook" w:cs="Times New Roman"/>
      <w:i/>
      <w:sz w:val="24"/>
      <w:szCs w:val="20"/>
      <w:lang w:eastAsia="es-ES"/>
    </w:rPr>
  </w:style>
  <w:style w:type="paragraph" w:styleId="Firma">
    <w:name w:val="Signature"/>
    <w:basedOn w:val="Normal"/>
    <w:link w:val="FirmaCar"/>
    <w:uiPriority w:val="99"/>
    <w:qFormat/>
    <w:rsid w:val="00B15F7D"/>
    <w:pPr>
      <w:suppressAutoHyphens w:val="0"/>
      <w:ind w:left="4252"/>
    </w:pPr>
    <w:rPr>
      <w:rFonts w:ascii="Century Schoolbook" w:hAnsi="Century Schoolbook"/>
      <w:i/>
      <w:szCs w:val="20"/>
      <w:lang w:val="es-CR" w:eastAsia="es-ES"/>
    </w:rPr>
  </w:style>
  <w:style w:type="character" w:customStyle="1" w:styleId="FirmaCar">
    <w:name w:val="Firma Car"/>
    <w:basedOn w:val="Fuentedeprrafopredeter"/>
    <w:link w:val="Firma"/>
    <w:uiPriority w:val="99"/>
    <w:rsid w:val="00B15F7D"/>
    <w:rPr>
      <w:rFonts w:ascii="Century Schoolbook" w:eastAsia="Times New Roman" w:hAnsi="Century Schoolbook" w:cs="Times New Roman"/>
      <w:i/>
      <w:sz w:val="24"/>
      <w:szCs w:val="20"/>
      <w:lang w:eastAsia="es-ES"/>
    </w:rPr>
  </w:style>
  <w:style w:type="paragraph" w:customStyle="1" w:styleId="Listaconvietas1">
    <w:name w:val="Lista con viñetas1"/>
    <w:uiPriority w:val="99"/>
    <w:qFormat/>
    <w:rsid w:val="00B15F7D"/>
    <w:pPr>
      <w:widowControl w:val="0"/>
      <w:autoSpaceDE w:val="0"/>
      <w:autoSpaceDN w:val="0"/>
      <w:adjustRightInd w:val="0"/>
      <w:spacing w:after="0" w:line="240" w:lineRule="auto"/>
      <w:ind w:firstLine="708"/>
      <w:jc w:val="both"/>
    </w:pPr>
    <w:rPr>
      <w:rFonts w:ascii="Arial" w:eastAsia="Times New Roman" w:hAnsi="Arial" w:cs="Arial"/>
      <w:sz w:val="24"/>
      <w:szCs w:val="24"/>
      <w:u w:color="000000"/>
      <w:shd w:val="clear" w:color="auto" w:fill="FFFFFF"/>
      <w:lang w:val="es-ES" w:eastAsia="es-ES"/>
    </w:rPr>
  </w:style>
  <w:style w:type="paragraph" w:customStyle="1" w:styleId="toa">
    <w:name w:val="toa"/>
    <w:basedOn w:val="Normal"/>
    <w:uiPriority w:val="99"/>
    <w:qFormat/>
    <w:rsid w:val="00B15F7D"/>
    <w:pPr>
      <w:tabs>
        <w:tab w:val="left" w:pos="9000"/>
        <w:tab w:val="right" w:pos="9360"/>
      </w:tabs>
    </w:pPr>
    <w:rPr>
      <w:rFonts w:ascii="Courier New" w:hAnsi="Courier New"/>
      <w:szCs w:val="20"/>
      <w:lang w:val="en-US" w:eastAsia="es-ES"/>
    </w:rPr>
  </w:style>
  <w:style w:type="paragraph" w:styleId="Continuarlista2">
    <w:name w:val="List Continue 2"/>
    <w:basedOn w:val="Normal"/>
    <w:uiPriority w:val="99"/>
    <w:qFormat/>
    <w:rsid w:val="00B15F7D"/>
    <w:pPr>
      <w:suppressAutoHyphens w:val="0"/>
      <w:spacing w:after="120"/>
      <w:ind w:left="566"/>
    </w:pPr>
    <w:rPr>
      <w:lang w:val="es-CR" w:eastAsia="es-ES"/>
    </w:rPr>
  </w:style>
  <w:style w:type="paragraph" w:customStyle="1" w:styleId="Lneadeasunto">
    <w:name w:val="Línea de asunto"/>
    <w:basedOn w:val="Normal"/>
    <w:uiPriority w:val="99"/>
    <w:qFormat/>
    <w:rsid w:val="00B15F7D"/>
    <w:pPr>
      <w:widowControl w:val="0"/>
      <w:suppressAutoHyphens w:val="0"/>
      <w:overflowPunct w:val="0"/>
      <w:autoSpaceDE w:val="0"/>
      <w:autoSpaceDN w:val="0"/>
      <w:adjustRightInd w:val="0"/>
      <w:textAlignment w:val="baseline"/>
    </w:pPr>
    <w:rPr>
      <w:rFonts w:ascii="Courier" w:hAnsi="Courier"/>
      <w:sz w:val="20"/>
      <w:szCs w:val="20"/>
      <w:lang w:eastAsia="es-ES"/>
    </w:rPr>
  </w:style>
  <w:style w:type="character" w:customStyle="1" w:styleId="estilocorreo25">
    <w:name w:val="estilocorreo25"/>
    <w:rsid w:val="00B15F7D"/>
    <w:rPr>
      <w:rFonts w:ascii="Tahoma" w:hAnsi="Tahoma" w:cs="Tahoma" w:hint="default"/>
      <w:b w:val="0"/>
      <w:bCs w:val="0"/>
      <w:i w:val="0"/>
      <w:iCs w:val="0"/>
      <w:color w:val="auto"/>
    </w:rPr>
  </w:style>
  <w:style w:type="character" w:customStyle="1" w:styleId="estilocorreo23">
    <w:name w:val="estilocorreo23"/>
    <w:rsid w:val="00B15F7D"/>
    <w:rPr>
      <w:rFonts w:ascii="Tahoma" w:hAnsi="Tahoma" w:cs="Tahoma" w:hint="default"/>
      <w:b w:val="0"/>
      <w:bCs w:val="0"/>
      <w:i w:val="0"/>
      <w:iCs w:val="0"/>
      <w:color w:val="auto"/>
    </w:rPr>
  </w:style>
  <w:style w:type="paragraph" w:customStyle="1" w:styleId="antecedente">
    <w:name w:val="antecedente"/>
    <w:basedOn w:val="Normal"/>
    <w:link w:val="antecedenteCar"/>
    <w:qFormat/>
    <w:rsid w:val="00B15F7D"/>
    <w:pPr>
      <w:spacing w:before="100" w:beforeAutospacing="1" w:after="100" w:afterAutospacing="1" w:line="480" w:lineRule="auto"/>
      <w:ind w:firstLine="708"/>
      <w:jc w:val="both"/>
    </w:pPr>
    <w:rPr>
      <w:bCs/>
      <w:sz w:val="28"/>
      <w:szCs w:val="28"/>
      <w:lang w:eastAsia="es-CR"/>
    </w:rPr>
  </w:style>
  <w:style w:type="character" w:customStyle="1" w:styleId="antecedenteCar">
    <w:name w:val="antecedente Car"/>
    <w:basedOn w:val="Fuentedeprrafopredeter"/>
    <w:link w:val="antecedente"/>
    <w:qFormat/>
    <w:rsid w:val="00B15F7D"/>
    <w:rPr>
      <w:rFonts w:ascii="Times New Roman" w:eastAsia="Times New Roman" w:hAnsi="Times New Roman" w:cs="Times New Roman"/>
      <w:bCs/>
      <w:sz w:val="28"/>
      <w:szCs w:val="28"/>
      <w:lang w:val="es-ES" w:eastAsia="es-CR"/>
    </w:rPr>
  </w:style>
  <w:style w:type="paragraph" w:customStyle="1" w:styleId="Antecedente0">
    <w:name w:val="Antecedente"/>
    <w:basedOn w:val="antecedente"/>
    <w:link w:val="AntecedenteCar0"/>
    <w:qFormat/>
    <w:rsid w:val="00B15F7D"/>
  </w:style>
  <w:style w:type="character" w:customStyle="1" w:styleId="AntecedenteCar0">
    <w:name w:val="Antecedente Car"/>
    <w:basedOn w:val="antecedenteCar"/>
    <w:link w:val="Antecedente0"/>
    <w:rsid w:val="00B15F7D"/>
    <w:rPr>
      <w:rFonts w:ascii="Times New Roman" w:eastAsia="Times New Roman" w:hAnsi="Times New Roman" w:cs="Times New Roman"/>
      <w:bCs/>
      <w:sz w:val="28"/>
      <w:szCs w:val="28"/>
      <w:lang w:val="es-ES" w:eastAsia="es-CR"/>
    </w:rPr>
  </w:style>
  <w:style w:type="paragraph" w:customStyle="1" w:styleId="dispositiva">
    <w:name w:val="dispositiva"/>
    <w:basedOn w:val="Normal"/>
    <w:link w:val="dispositivaCar"/>
    <w:qFormat/>
    <w:rsid w:val="00B15F7D"/>
    <w:pPr>
      <w:spacing w:line="480" w:lineRule="auto"/>
      <w:ind w:firstLine="709"/>
      <w:jc w:val="both"/>
    </w:pPr>
    <w:rPr>
      <w:sz w:val="28"/>
      <w:szCs w:val="28"/>
      <w:lang w:val="es-ES_tradnl"/>
    </w:rPr>
  </w:style>
  <w:style w:type="character" w:customStyle="1" w:styleId="dispositivaCar">
    <w:name w:val="dispositiva Car"/>
    <w:basedOn w:val="Fuentedeprrafopredeter"/>
    <w:link w:val="dispositiva"/>
    <w:qFormat/>
    <w:rsid w:val="00B15F7D"/>
    <w:rPr>
      <w:rFonts w:ascii="Times New Roman" w:eastAsia="Times New Roman" w:hAnsi="Times New Roman" w:cs="Times New Roman"/>
      <w:sz w:val="28"/>
      <w:szCs w:val="28"/>
      <w:lang w:val="es-ES_tradnl" w:eastAsia="ar-SA"/>
    </w:rPr>
  </w:style>
  <w:style w:type="paragraph" w:customStyle="1" w:styleId="encabezadodela">
    <w:name w:val="encabezado de la"/>
    <w:basedOn w:val="Normal"/>
    <w:link w:val="encabezadodelaCar"/>
    <w:qFormat/>
    <w:rsid w:val="00B15F7D"/>
    <w:pPr>
      <w:spacing w:line="480" w:lineRule="auto"/>
      <w:ind w:firstLine="708"/>
      <w:jc w:val="both"/>
    </w:pPr>
    <w:rPr>
      <w:color w:val="000099"/>
      <w:sz w:val="28"/>
      <w:szCs w:val="28"/>
      <w:lang w:val="es-ES_tradnl"/>
    </w:rPr>
  </w:style>
  <w:style w:type="character" w:customStyle="1" w:styleId="encabezadodelaCar">
    <w:name w:val="encabezado de la Car"/>
    <w:basedOn w:val="Fuentedeprrafopredeter"/>
    <w:link w:val="encabezadodela"/>
    <w:qFormat/>
    <w:rsid w:val="00B15F7D"/>
    <w:rPr>
      <w:rFonts w:ascii="Times New Roman" w:eastAsia="Times New Roman" w:hAnsi="Times New Roman" w:cs="Times New Roman"/>
      <w:color w:val="000099"/>
      <w:sz w:val="28"/>
      <w:szCs w:val="28"/>
      <w:lang w:val="es-ES_tradnl" w:eastAsia="ar-SA"/>
    </w:rPr>
  </w:style>
  <w:style w:type="paragraph" w:customStyle="1" w:styleId="gestion">
    <w:name w:val="gestion"/>
    <w:basedOn w:val="Normal"/>
    <w:link w:val="gestionCar"/>
    <w:qFormat/>
    <w:rsid w:val="00B15F7D"/>
    <w:pPr>
      <w:spacing w:before="120" w:after="120"/>
      <w:ind w:left="851" w:right="851" w:firstLine="709"/>
      <w:jc w:val="both"/>
    </w:pPr>
    <w:rPr>
      <w:color w:val="000099"/>
      <w:sz w:val="26"/>
      <w:szCs w:val="26"/>
      <w:lang w:val="es-ES_tradnl"/>
    </w:rPr>
  </w:style>
  <w:style w:type="character" w:customStyle="1" w:styleId="gestionCar">
    <w:name w:val="gestion Car"/>
    <w:basedOn w:val="Fuentedeprrafopredeter"/>
    <w:link w:val="gestion"/>
    <w:qFormat/>
    <w:rsid w:val="00B15F7D"/>
    <w:rPr>
      <w:rFonts w:ascii="Times New Roman" w:eastAsia="Times New Roman" w:hAnsi="Times New Roman" w:cs="Times New Roman"/>
      <w:color w:val="000099"/>
      <w:sz w:val="26"/>
      <w:szCs w:val="26"/>
      <w:lang w:val="es-ES_tradnl" w:eastAsia="ar-SA"/>
    </w:rPr>
  </w:style>
  <w:style w:type="paragraph" w:customStyle="1" w:styleId="resumen">
    <w:name w:val="resumen"/>
    <w:basedOn w:val="Ttulo3"/>
    <w:link w:val="resumenCar"/>
    <w:qFormat/>
    <w:rsid w:val="00B15F7D"/>
  </w:style>
  <w:style w:type="character" w:customStyle="1" w:styleId="resumenCar">
    <w:name w:val="resumen Car"/>
    <w:basedOn w:val="Ttulo3Car"/>
    <w:link w:val="resumen"/>
    <w:rsid w:val="00B15F7D"/>
    <w:rPr>
      <w:rFonts w:ascii="Times New Roman" w:eastAsia="Times New Roman" w:hAnsi="Times New Roman" w:cs="Arial"/>
      <w:bCs/>
      <w:color w:val="0000FF"/>
      <w:sz w:val="24"/>
      <w:szCs w:val="26"/>
      <w:lang w:val="es-ES_tradnl" w:eastAsia="ar-SA"/>
    </w:rPr>
  </w:style>
  <w:style w:type="paragraph" w:customStyle="1" w:styleId="articulo">
    <w:name w:val="articulo"/>
    <w:basedOn w:val="Ttulo2"/>
    <w:link w:val="articuloCar"/>
    <w:qFormat/>
    <w:rsid w:val="00B15F7D"/>
    <w:pPr>
      <w:tabs>
        <w:tab w:val="num" w:pos="0"/>
      </w:tabs>
      <w:spacing w:before="120" w:after="120" w:line="480" w:lineRule="auto"/>
      <w:jc w:val="center"/>
    </w:pPr>
    <w:rPr>
      <w:rFonts w:ascii="Times New Roman" w:hAnsi="Times New Roman" w:cs="Times New Roman"/>
      <w:i w:val="0"/>
      <w:iCs w:val="0"/>
      <w:sz w:val="32"/>
      <w:u w:val="single"/>
    </w:rPr>
  </w:style>
  <w:style w:type="character" w:customStyle="1" w:styleId="articuloCar">
    <w:name w:val="articulo Car"/>
    <w:basedOn w:val="Ttulo2Car"/>
    <w:link w:val="articulo"/>
    <w:rsid w:val="00B15F7D"/>
    <w:rPr>
      <w:rFonts w:ascii="Times New Roman" w:eastAsia="Times New Roman" w:hAnsi="Times New Roman" w:cs="Times New Roman"/>
      <w:b/>
      <w:bCs/>
      <w:i w:val="0"/>
      <w:iCs w:val="0"/>
      <w:sz w:val="32"/>
      <w:szCs w:val="28"/>
      <w:u w:val="single"/>
      <w:lang w:val="es-ES" w:eastAsia="ar-SA"/>
    </w:rPr>
  </w:style>
  <w:style w:type="character" w:customStyle="1" w:styleId="EstiloCorreo29">
    <w:name w:val="EstiloCorreo29"/>
    <w:rsid w:val="00B15F7D"/>
    <w:rPr>
      <w:rFonts w:ascii="Arial" w:hAnsi="Arial" w:cs="Arial" w:hint="default"/>
      <w:color w:val="000080"/>
      <w:sz w:val="20"/>
      <w:szCs w:val="20"/>
    </w:rPr>
  </w:style>
  <w:style w:type="character" w:customStyle="1" w:styleId="EstiloCorreo30">
    <w:name w:val="EstiloCorreo30"/>
    <w:rsid w:val="00B15F7D"/>
    <w:rPr>
      <w:rFonts w:ascii="Arial" w:hAnsi="Arial" w:cs="Arial" w:hint="default"/>
      <w:color w:val="000080"/>
      <w:sz w:val="20"/>
      <w:szCs w:val="20"/>
    </w:rPr>
  </w:style>
  <w:style w:type="table" w:customStyle="1" w:styleId="Cuadrculaclara-nfasis11">
    <w:name w:val="Cuadrícula clara - Énfasis 11"/>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Art">
    <w:name w:val="Art."/>
    <w:qFormat/>
    <w:rsid w:val="00B15F7D"/>
    <w:pPr>
      <w:suppressAutoHyphens/>
      <w:spacing w:after="0" w:line="240" w:lineRule="auto"/>
    </w:pPr>
    <w:rPr>
      <w:rFonts w:ascii="Times New Roman" w:eastAsia="Times New Roman" w:hAnsi="Times New Roman" w:cs="Times New Roman"/>
      <w:sz w:val="20"/>
      <w:szCs w:val="20"/>
      <w:lang w:val="es-ES_tradnl" w:eastAsia="ar-SA"/>
    </w:rPr>
  </w:style>
  <w:style w:type="paragraph" w:customStyle="1" w:styleId="13E1774F58A8470FA8D2413307C39336">
    <w:name w:val="13E1774F58A8470FA8D2413307C39336"/>
    <w:qFormat/>
    <w:rsid w:val="00B15F7D"/>
    <w:pPr>
      <w:spacing w:after="200" w:line="276" w:lineRule="auto"/>
    </w:pPr>
    <w:rPr>
      <w:rFonts w:eastAsiaTheme="minorEastAsia"/>
      <w:lang w:val="en-US"/>
    </w:rPr>
  </w:style>
  <w:style w:type="character" w:customStyle="1" w:styleId="EstiloCorreo771">
    <w:name w:val="EstiloCorreo771"/>
    <w:rsid w:val="00B15F7D"/>
    <w:rPr>
      <w:rFonts w:ascii="Arial" w:hAnsi="Arial" w:cs="Arial"/>
      <w:color w:val="000080"/>
      <w:sz w:val="20"/>
      <w:szCs w:val="20"/>
    </w:rPr>
  </w:style>
  <w:style w:type="paragraph" w:customStyle="1" w:styleId="Car0">
    <w:name w:val="Car0"/>
    <w:basedOn w:val="Normal"/>
    <w:qFormat/>
    <w:rsid w:val="00B15F7D"/>
    <w:pPr>
      <w:spacing w:after="160" w:line="240" w:lineRule="exact"/>
    </w:pPr>
    <w:rPr>
      <w:rFonts w:ascii="Verdana" w:hAnsi="Verdana"/>
      <w:sz w:val="20"/>
      <w:szCs w:val="21"/>
      <w:lang w:val="en-AU"/>
    </w:rPr>
  </w:style>
  <w:style w:type="paragraph" w:customStyle="1" w:styleId="CharChar0">
    <w:name w:val="Char Char0"/>
    <w:basedOn w:val="Normal"/>
    <w:qFormat/>
    <w:rsid w:val="00B15F7D"/>
    <w:pPr>
      <w:suppressAutoHyphens w:val="0"/>
      <w:spacing w:after="160" w:line="240" w:lineRule="exact"/>
    </w:pPr>
    <w:rPr>
      <w:rFonts w:ascii="Verdana" w:hAnsi="Verdana"/>
      <w:sz w:val="20"/>
      <w:szCs w:val="21"/>
      <w:lang w:val="en-AU" w:eastAsia="en-US"/>
    </w:rPr>
  </w:style>
  <w:style w:type="paragraph" w:customStyle="1" w:styleId="Prrafodelista10">
    <w:name w:val="Párrafo de lista10"/>
    <w:basedOn w:val="Normal"/>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0">
    <w:name w:val="Car Car Car Car Car Car0"/>
    <w:basedOn w:val="Normal"/>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0">
    <w:name w:val="Texto de bloque10"/>
    <w:basedOn w:val="Normal"/>
    <w:qFormat/>
    <w:rsid w:val="00B15F7D"/>
    <w:pPr>
      <w:widowControl w:val="0"/>
      <w:autoSpaceDE w:val="0"/>
      <w:ind w:left="-540" w:right="-415" w:firstLine="1248"/>
      <w:jc w:val="both"/>
    </w:pPr>
    <w:rPr>
      <w:rFonts w:ascii="Arial" w:hAnsi="Arial" w:cs="Arial"/>
      <w:lang w:eastAsia="zh-CN"/>
    </w:rPr>
  </w:style>
  <w:style w:type="paragraph" w:customStyle="1" w:styleId="Textoindependiente220">
    <w:name w:val="Texto independiente 220"/>
    <w:basedOn w:val="Normal"/>
    <w:qFormat/>
    <w:rsid w:val="00B15F7D"/>
    <w:pPr>
      <w:spacing w:line="360" w:lineRule="auto"/>
      <w:jc w:val="both"/>
    </w:pPr>
    <w:rPr>
      <w:rFonts w:ascii="Arial" w:hAnsi="Arial" w:cs="Arial"/>
      <w:kern w:val="1"/>
      <w:szCs w:val="20"/>
      <w:lang w:val="es-CR"/>
    </w:rPr>
  </w:style>
  <w:style w:type="paragraph" w:customStyle="1" w:styleId="Sangra2detindependiente100">
    <w:name w:val="Sangría 2 de t. independiente10"/>
    <w:basedOn w:val="Normal"/>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1">
    <w:name w:val="Char Char1"/>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Car41">
    <w:name w:val="Car41"/>
    <w:basedOn w:val="Normal"/>
    <w:uiPriority w:val="99"/>
    <w:qFormat/>
    <w:rsid w:val="00B15F7D"/>
    <w:pPr>
      <w:spacing w:after="160" w:line="240" w:lineRule="exact"/>
    </w:pPr>
    <w:rPr>
      <w:rFonts w:ascii="Verdana" w:hAnsi="Verdana"/>
      <w:sz w:val="20"/>
      <w:szCs w:val="21"/>
      <w:lang w:val="en-AU"/>
    </w:rPr>
  </w:style>
  <w:style w:type="paragraph" w:customStyle="1" w:styleId="CharChar62">
    <w:name w:val="Char Char62"/>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9">
    <w:name w:val="Párrafo de lista129"/>
    <w:basedOn w:val="Normal"/>
    <w:uiPriority w:val="99"/>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7">
    <w:name w:val="Car Car Car Car Car Car27"/>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5">
    <w:name w:val="Texto de bloque125"/>
    <w:basedOn w:val="Normal"/>
    <w:uiPriority w:val="99"/>
    <w:qFormat/>
    <w:rsid w:val="00B15F7D"/>
    <w:pPr>
      <w:widowControl w:val="0"/>
      <w:autoSpaceDE w:val="0"/>
      <w:ind w:left="-540" w:right="-415" w:firstLine="1248"/>
      <w:jc w:val="both"/>
    </w:pPr>
    <w:rPr>
      <w:rFonts w:ascii="Arial" w:hAnsi="Arial" w:cs="Arial"/>
      <w:lang w:eastAsia="zh-CN"/>
    </w:rPr>
  </w:style>
  <w:style w:type="paragraph" w:customStyle="1" w:styleId="Textoindependiente2226">
    <w:name w:val="Texto independiente 2226"/>
    <w:basedOn w:val="Normal"/>
    <w:uiPriority w:val="99"/>
    <w:qFormat/>
    <w:rsid w:val="00B15F7D"/>
    <w:pPr>
      <w:spacing w:line="360" w:lineRule="auto"/>
      <w:jc w:val="both"/>
    </w:pPr>
    <w:rPr>
      <w:rFonts w:ascii="Arial" w:hAnsi="Arial" w:cs="Arial"/>
      <w:kern w:val="1"/>
      <w:szCs w:val="20"/>
      <w:lang w:val="es-CR"/>
    </w:rPr>
  </w:style>
  <w:style w:type="paragraph" w:customStyle="1" w:styleId="Sangra2detindependiente125">
    <w:name w:val="Sangría 2 de t. independiente125"/>
    <w:basedOn w:val="Normal"/>
    <w:uiPriority w:val="99"/>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1">
    <w:name w:val="Char Char61"/>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paragraph">
    <w:name w:val="paragraph"/>
    <w:basedOn w:val="Normal"/>
    <w:uiPriority w:val="99"/>
    <w:qFormat/>
    <w:rsid w:val="00B15F7D"/>
    <w:pPr>
      <w:suppressAutoHyphens w:val="0"/>
      <w:spacing w:before="100" w:beforeAutospacing="1" w:after="100" w:afterAutospacing="1"/>
    </w:pPr>
    <w:rPr>
      <w:lang w:val="es-CR" w:eastAsia="es-CR"/>
    </w:rPr>
  </w:style>
  <w:style w:type="character" w:customStyle="1" w:styleId="eop">
    <w:name w:val="eop"/>
    <w:basedOn w:val="Fuentedeprrafopredeter"/>
    <w:qFormat/>
    <w:rsid w:val="00B15F7D"/>
  </w:style>
  <w:style w:type="character" w:customStyle="1" w:styleId="normaltextrun">
    <w:name w:val="normaltextrun"/>
    <w:basedOn w:val="Fuentedeprrafopredeter"/>
    <w:qFormat/>
    <w:rsid w:val="00B15F7D"/>
  </w:style>
  <w:style w:type="character" w:customStyle="1" w:styleId="contentpasted0">
    <w:name w:val="contentpasted0"/>
    <w:basedOn w:val="Fuentedeprrafopredeter"/>
    <w:rsid w:val="00B15F7D"/>
  </w:style>
  <w:style w:type="character" w:customStyle="1" w:styleId="contentpasted1">
    <w:name w:val="contentpasted1"/>
    <w:basedOn w:val="Fuentedeprrafopredeter"/>
    <w:rsid w:val="00B15F7D"/>
  </w:style>
  <w:style w:type="table" w:customStyle="1" w:styleId="Tablaconcuadrcula13">
    <w:name w:val="Tabla con cuadrícula13"/>
    <w:basedOn w:val="Tablanormal"/>
    <w:next w:val="Tablaconcuadrcula"/>
    <w:uiPriority w:val="39"/>
    <w:rsid w:val="00B15F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00">
    <w:name w:val="Car00"/>
    <w:basedOn w:val="Normal"/>
    <w:qFormat/>
    <w:rsid w:val="00B15F7D"/>
    <w:pPr>
      <w:spacing w:after="160" w:line="240" w:lineRule="exact"/>
    </w:pPr>
    <w:rPr>
      <w:rFonts w:ascii="Verdana" w:hAnsi="Verdana"/>
      <w:sz w:val="20"/>
      <w:szCs w:val="21"/>
      <w:lang w:val="en-AU"/>
    </w:rPr>
  </w:style>
  <w:style w:type="paragraph" w:customStyle="1" w:styleId="CharChar00">
    <w:name w:val="Char Char00"/>
    <w:basedOn w:val="Normal"/>
    <w:qFormat/>
    <w:rsid w:val="00B15F7D"/>
    <w:pPr>
      <w:suppressAutoHyphens w:val="0"/>
      <w:spacing w:after="160" w:line="240" w:lineRule="exact"/>
    </w:pPr>
    <w:rPr>
      <w:rFonts w:ascii="Verdana" w:hAnsi="Verdana"/>
      <w:sz w:val="20"/>
      <w:szCs w:val="21"/>
      <w:lang w:val="en-AU" w:eastAsia="en-US"/>
    </w:rPr>
  </w:style>
  <w:style w:type="paragraph" w:customStyle="1" w:styleId="Prrafodelista100">
    <w:name w:val="Párrafo de lista100"/>
    <w:basedOn w:val="Normal"/>
    <w:uiPriority w:val="34"/>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00">
    <w:name w:val="Car Car Car Car Car Car00"/>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00">
    <w:name w:val="Texto de bloque100"/>
    <w:basedOn w:val="Normal"/>
    <w:uiPriority w:val="99"/>
    <w:qFormat/>
    <w:rsid w:val="00B15F7D"/>
    <w:pPr>
      <w:widowControl w:val="0"/>
      <w:autoSpaceDE w:val="0"/>
      <w:ind w:left="-540" w:right="-415" w:firstLine="1248"/>
      <w:jc w:val="both"/>
    </w:pPr>
    <w:rPr>
      <w:rFonts w:ascii="Arial" w:hAnsi="Arial" w:cs="Arial"/>
      <w:lang w:eastAsia="zh-CN"/>
    </w:rPr>
  </w:style>
  <w:style w:type="paragraph" w:customStyle="1" w:styleId="Textoindependiente2200">
    <w:name w:val="Texto independiente 2200"/>
    <w:basedOn w:val="Normal"/>
    <w:uiPriority w:val="99"/>
    <w:qFormat/>
    <w:rsid w:val="00B15F7D"/>
    <w:pPr>
      <w:spacing w:line="360" w:lineRule="auto"/>
      <w:jc w:val="both"/>
    </w:pPr>
    <w:rPr>
      <w:rFonts w:ascii="Arial" w:hAnsi="Arial" w:cs="Arial"/>
      <w:kern w:val="1"/>
      <w:szCs w:val="20"/>
      <w:lang w:val="es-CR"/>
    </w:rPr>
  </w:style>
  <w:style w:type="paragraph" w:customStyle="1" w:styleId="Sangra2detindependiente1000">
    <w:name w:val="Sangría 2 de t. independiente100"/>
    <w:basedOn w:val="Normal"/>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10">
    <w:name w:val="Char Char10"/>
    <w:basedOn w:val="Normal"/>
    <w:uiPriority w:val="99"/>
    <w:qFormat/>
    <w:rsid w:val="00B15F7D"/>
    <w:pPr>
      <w:suppressAutoHyphens w:val="0"/>
      <w:spacing w:after="160" w:line="240" w:lineRule="exact"/>
    </w:pPr>
    <w:rPr>
      <w:rFonts w:ascii="Verdana" w:hAnsi="Verdana"/>
      <w:sz w:val="20"/>
      <w:szCs w:val="21"/>
      <w:lang w:val="en-AU" w:eastAsia="en-US"/>
    </w:rPr>
  </w:style>
  <w:style w:type="table" w:customStyle="1" w:styleId="Tablaconcuadrcula10">
    <w:name w:val="Tabla con cuadrícula10"/>
    <w:basedOn w:val="Tablanormal"/>
    <w:next w:val="Tablaconcuadrcula"/>
    <w:uiPriority w:val="39"/>
    <w:rsid w:val="00B15F7D"/>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000">
    <w:name w:val="Car000"/>
    <w:basedOn w:val="Normal"/>
    <w:qFormat/>
    <w:rsid w:val="00B15F7D"/>
    <w:pPr>
      <w:spacing w:after="160" w:line="240" w:lineRule="exact"/>
    </w:pPr>
    <w:rPr>
      <w:rFonts w:ascii="Verdana" w:hAnsi="Verdana"/>
      <w:sz w:val="20"/>
      <w:szCs w:val="21"/>
      <w:lang w:val="en-AU"/>
    </w:rPr>
  </w:style>
  <w:style w:type="paragraph" w:customStyle="1" w:styleId="CharChar000">
    <w:name w:val="Char Char000"/>
    <w:basedOn w:val="Normal"/>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000">
    <w:name w:val="Párrafo de lista1000"/>
    <w:basedOn w:val="Normal"/>
    <w:uiPriority w:val="34"/>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000">
    <w:name w:val="Car Car Car Car Car Car000"/>
    <w:basedOn w:val="Normal"/>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000">
    <w:name w:val="Texto de bloque1000"/>
    <w:basedOn w:val="Normal"/>
    <w:qFormat/>
    <w:rsid w:val="00B15F7D"/>
    <w:pPr>
      <w:widowControl w:val="0"/>
      <w:autoSpaceDE w:val="0"/>
      <w:ind w:left="-540" w:right="-415" w:firstLine="1248"/>
      <w:jc w:val="both"/>
    </w:pPr>
    <w:rPr>
      <w:rFonts w:ascii="Arial" w:hAnsi="Arial" w:cs="Arial"/>
      <w:lang w:eastAsia="zh-CN"/>
    </w:rPr>
  </w:style>
  <w:style w:type="paragraph" w:customStyle="1" w:styleId="Textoindependiente22000">
    <w:name w:val="Texto independiente 22000"/>
    <w:basedOn w:val="Normal"/>
    <w:qFormat/>
    <w:rsid w:val="00B15F7D"/>
    <w:pPr>
      <w:spacing w:line="360" w:lineRule="auto"/>
      <w:jc w:val="both"/>
    </w:pPr>
    <w:rPr>
      <w:rFonts w:ascii="Arial" w:hAnsi="Arial" w:cs="Arial"/>
      <w:kern w:val="1"/>
      <w:szCs w:val="20"/>
      <w:lang w:val="es-CR"/>
    </w:rPr>
  </w:style>
  <w:style w:type="paragraph" w:customStyle="1" w:styleId="Sangra2detindependiente10000">
    <w:name w:val="Sangría 2 de t. independiente1000"/>
    <w:basedOn w:val="Normal"/>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100">
    <w:name w:val="Char Char100"/>
    <w:basedOn w:val="Normal"/>
    <w:qFormat/>
    <w:rsid w:val="00B15F7D"/>
    <w:pPr>
      <w:suppressAutoHyphens w:val="0"/>
      <w:spacing w:after="160" w:line="240" w:lineRule="exact"/>
    </w:pPr>
    <w:rPr>
      <w:rFonts w:ascii="Verdana" w:hAnsi="Verdana"/>
      <w:sz w:val="20"/>
      <w:szCs w:val="21"/>
      <w:lang w:val="en-AU" w:eastAsia="en-US"/>
    </w:rPr>
  </w:style>
  <w:style w:type="paragraph" w:customStyle="1" w:styleId="Standard0">
    <w:name w:val="Standard"/>
    <w:qFormat/>
    <w:rsid w:val="00B15F7D"/>
    <w:pPr>
      <w:widowControl w:val="0"/>
      <w:suppressAutoHyphens/>
      <w:autoSpaceDE w:val="0"/>
      <w:spacing w:after="0" w:line="240" w:lineRule="auto"/>
      <w:ind w:left="357"/>
      <w:jc w:val="both"/>
      <w:textAlignment w:val="baseline"/>
    </w:pPr>
    <w:rPr>
      <w:rFonts w:ascii="Arial" w:eastAsia="Times New Roman" w:hAnsi="Arial" w:cs="Arial"/>
      <w:kern w:val="2"/>
      <w:sz w:val="24"/>
      <w:szCs w:val="24"/>
      <w:lang w:val="es-ES" w:eastAsia="zh-CN"/>
    </w:rPr>
  </w:style>
  <w:style w:type="paragraph" w:customStyle="1" w:styleId="Ttulo11">
    <w:name w:val="Título 11"/>
    <w:basedOn w:val="Normal"/>
    <w:next w:val="Normal"/>
    <w:uiPriority w:val="99"/>
    <w:qFormat/>
    <w:rsid w:val="00B15F7D"/>
    <w:pPr>
      <w:keepNext/>
      <w:keepLines/>
      <w:suppressAutoHyphens w:val="0"/>
      <w:spacing w:before="240" w:line="259" w:lineRule="auto"/>
      <w:outlineLvl w:val="0"/>
    </w:pPr>
    <w:rPr>
      <w:rFonts w:ascii="Cambria" w:hAnsi="Cambria"/>
      <w:color w:val="365F91"/>
      <w:sz w:val="32"/>
      <w:szCs w:val="32"/>
      <w:lang w:val="es-CR" w:eastAsia="es-CR"/>
    </w:rPr>
  </w:style>
  <w:style w:type="character" w:customStyle="1" w:styleId="Ttulo1Car1">
    <w:name w:val="Título 1 Car1"/>
    <w:aliases w:val="Título Principal Car1,000000 Car1,1. Texto Base Car1,CAPITULO 1 Car1,heading 1 Car1"/>
    <w:basedOn w:val="Fuentedeprrafopredeter"/>
    <w:rsid w:val="00B15F7D"/>
    <w:rPr>
      <w:rFonts w:ascii="Cambria" w:eastAsia="Times New Roman" w:hAnsi="Cambria" w:cs="Times New Roman"/>
      <w:color w:val="365F91"/>
      <w:sz w:val="32"/>
      <w:szCs w:val="32"/>
    </w:rPr>
  </w:style>
  <w:style w:type="character" w:customStyle="1" w:styleId="fluidplugincopy">
    <w:name w:val="fluidplugincopy"/>
    <w:basedOn w:val="Fuentedeprrafopredeter"/>
    <w:rsid w:val="00B15F7D"/>
  </w:style>
  <w:style w:type="character" w:customStyle="1" w:styleId="xelementtoproof">
    <w:name w:val="x_elementtoproof"/>
    <w:basedOn w:val="Fuentedeprrafopredeter"/>
    <w:rsid w:val="00B15F7D"/>
  </w:style>
  <w:style w:type="table" w:customStyle="1" w:styleId="Tablaconcuadrcula1clara-nfasis51">
    <w:name w:val="Tabla con cuadrícula 1 clara - Énfasis 51"/>
    <w:basedOn w:val="Tablanormal"/>
    <w:uiPriority w:val="46"/>
    <w:rsid w:val="00B15F7D"/>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Normal0">
    <w:name w:val="[Normal]"/>
    <w:qFormat/>
    <w:rsid w:val="00B15F7D"/>
    <w:pPr>
      <w:widowControl w:val="0"/>
      <w:autoSpaceDE w:val="0"/>
      <w:autoSpaceDN w:val="0"/>
      <w:adjustRightInd w:val="0"/>
      <w:spacing w:after="0" w:line="240" w:lineRule="auto"/>
    </w:pPr>
    <w:rPr>
      <w:rFonts w:ascii="Arial" w:eastAsia="Calibri" w:hAnsi="Arial" w:cs="Arial"/>
      <w:sz w:val="24"/>
      <w:szCs w:val="24"/>
    </w:rPr>
  </w:style>
  <w:style w:type="paragraph" w:customStyle="1" w:styleId="xmsonormal">
    <w:name w:val="x_msonormal"/>
    <w:basedOn w:val="Normal"/>
    <w:qFormat/>
    <w:rsid w:val="00B15F7D"/>
    <w:pPr>
      <w:suppressAutoHyphens w:val="0"/>
    </w:pPr>
    <w:rPr>
      <w:rFonts w:ascii="Calibri" w:eastAsia="Calibri" w:hAnsi="Calibri" w:cs="Calibri"/>
      <w:sz w:val="22"/>
      <w:szCs w:val="22"/>
      <w:lang w:val="es-CR" w:eastAsia="es-CR"/>
    </w:rPr>
  </w:style>
  <w:style w:type="table" w:customStyle="1" w:styleId="Tablaconcuadrcula1">
    <w:name w:val="Tabla con cuadrícula1"/>
    <w:basedOn w:val="Tablanormal"/>
    <w:next w:val="Tablaconcuadrcula"/>
    <w:uiPriority w:val="39"/>
    <w:rsid w:val="00B15F7D"/>
    <w:pPr>
      <w:suppressAutoHyphens/>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qFormat/>
    <w:rsid w:val="00B15F7D"/>
    <w:rPr>
      <w:color w:val="605E5C"/>
      <w:shd w:val="clear" w:color="auto" w:fill="E1DFDD"/>
    </w:rPr>
  </w:style>
  <w:style w:type="table" w:customStyle="1" w:styleId="Tablaconcuadrcula4">
    <w:name w:val="Tabla con cuadrícula4"/>
    <w:basedOn w:val="Tablanormal"/>
    <w:next w:val="Tablaconcuadrcula"/>
    <w:uiPriority w:val="39"/>
    <w:rsid w:val="00B15F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mpedfont15">
    <w:name w:val="bumpedfont15"/>
    <w:basedOn w:val="Fuentedeprrafopredeter"/>
    <w:rsid w:val="00B15F7D"/>
  </w:style>
  <w:style w:type="character" w:customStyle="1" w:styleId="marku54qq8ak6">
    <w:name w:val="marku54qq8ak6"/>
    <w:basedOn w:val="Fuentedeprrafopredeter"/>
    <w:rsid w:val="00B15F7D"/>
  </w:style>
  <w:style w:type="character" w:customStyle="1" w:styleId="html">
    <w:name w:val="html"/>
    <w:basedOn w:val="Fuentedeprrafopredeter"/>
    <w:qFormat/>
    <w:rsid w:val="00B15F7D"/>
  </w:style>
  <w:style w:type="character" w:styleId="CdigoHTML">
    <w:name w:val="HTML Code"/>
    <w:basedOn w:val="Fuentedeprrafopredeter"/>
    <w:uiPriority w:val="99"/>
    <w:unhideWhenUsed/>
    <w:rsid w:val="00B15F7D"/>
    <w:rPr>
      <w:rFonts w:ascii="Consolas" w:eastAsia="Times New Roman" w:hAnsi="Consolas" w:cs="Consolas" w:hint="default"/>
      <w:sz w:val="20"/>
      <w:szCs w:val="20"/>
    </w:rPr>
  </w:style>
  <w:style w:type="character" w:customStyle="1" w:styleId="Ttulo2Car1">
    <w:name w:val="Título 2 Car1"/>
    <w:aliases w:val="Títulos de Hallazgo e Introducción Car1,CAPITULO 2 Car1,H21 Car1,3. Subtitulos Car1,Heading 2 Char2 Char Car1,Heading 2 Char Char1 Char Car1,Headin Car1,TÍTULO CORTE Car1,TITULO CORTE Car1,CHICO Car1,H2 Car1,SUBTITULOS Car1,heading 2 Car1"/>
    <w:basedOn w:val="Fuentedeprrafopredeter"/>
    <w:rsid w:val="00B15F7D"/>
    <w:rPr>
      <w:rFonts w:ascii="Cambria" w:hAnsi="Cambria" w:hint="default"/>
      <w:b/>
      <w:bCs/>
      <w:color w:val="4F81BD"/>
    </w:rPr>
  </w:style>
  <w:style w:type="character" w:customStyle="1" w:styleId="Ttulo4Car1">
    <w:name w:val="Título 4 Car1"/>
    <w:aliases w:val="h4 Car1,Título 4.2 Car1,H41 Car1,2. Titulo I-II-III ect. Car1"/>
    <w:basedOn w:val="Fuentedeprrafopredeter"/>
    <w:semiHidden/>
    <w:rsid w:val="00B15F7D"/>
    <w:rPr>
      <w:rFonts w:ascii="Cambria" w:hAnsi="Cambria" w:hint="default"/>
      <w:b/>
      <w:bCs/>
      <w:i/>
      <w:iCs/>
      <w:color w:val="4F81BD"/>
    </w:rPr>
  </w:style>
  <w:style w:type="character" w:customStyle="1" w:styleId="Ttulo5Car1">
    <w:name w:val="Título 5 Car1"/>
    <w:aliases w:val="4.Cuadros Car1"/>
    <w:basedOn w:val="Fuentedeprrafopredeter"/>
    <w:semiHidden/>
    <w:rsid w:val="00B15F7D"/>
    <w:rPr>
      <w:rFonts w:ascii="Cambria" w:hAnsi="Cambria" w:hint="default"/>
      <w:color w:val="243F60"/>
    </w:rPr>
  </w:style>
  <w:style w:type="character" w:customStyle="1" w:styleId="Ttulo6Car1">
    <w:name w:val="Título 6 Car1"/>
    <w:aliases w:val="5.Fuente Car1"/>
    <w:basedOn w:val="Fuentedeprrafopredeter"/>
    <w:semiHidden/>
    <w:rsid w:val="00B15F7D"/>
    <w:rPr>
      <w:rFonts w:ascii="Cambria" w:hAnsi="Cambria" w:hint="default"/>
      <w:i/>
      <w:iCs/>
      <w:color w:val="243F60"/>
    </w:rPr>
  </w:style>
  <w:style w:type="character" w:styleId="TecladoHTML">
    <w:name w:val="HTML Keyboard"/>
    <w:basedOn w:val="Fuentedeprrafopredeter"/>
    <w:uiPriority w:val="99"/>
    <w:unhideWhenUsed/>
    <w:rsid w:val="00B15F7D"/>
    <w:rPr>
      <w:rFonts w:ascii="Consolas" w:eastAsia="Times New Roman" w:hAnsi="Consolas" w:cs="Consolas" w:hint="default"/>
      <w:sz w:val="20"/>
      <w:szCs w:val="20"/>
    </w:rPr>
  </w:style>
  <w:style w:type="character" w:styleId="EjemplodeHTML">
    <w:name w:val="HTML Sample"/>
    <w:basedOn w:val="Fuentedeprrafopredeter"/>
    <w:uiPriority w:val="99"/>
    <w:unhideWhenUsed/>
    <w:rsid w:val="00B15F7D"/>
    <w:rPr>
      <w:rFonts w:ascii="Consolas" w:eastAsia="Times New Roman" w:hAnsi="Consolas" w:cs="Consolas" w:hint="default"/>
      <w:sz w:val="24"/>
      <w:szCs w:val="24"/>
    </w:rPr>
  </w:style>
  <w:style w:type="character" w:styleId="MquinadeescribirHTML">
    <w:name w:val="HTML Typewriter"/>
    <w:basedOn w:val="Fuentedeprrafopredeter"/>
    <w:uiPriority w:val="99"/>
    <w:unhideWhenUsed/>
    <w:rsid w:val="00B15F7D"/>
    <w:rPr>
      <w:rFonts w:ascii="Consolas" w:eastAsia="Times New Roman" w:hAnsi="Consolas" w:cs="Consolas" w:hint="default"/>
      <w:sz w:val="20"/>
      <w:szCs w:val="20"/>
    </w:rPr>
  </w:style>
  <w:style w:type="paragraph" w:customStyle="1" w:styleId="msonormal0">
    <w:name w:val="msonormal"/>
    <w:basedOn w:val="Normal"/>
    <w:qFormat/>
    <w:rsid w:val="00B15F7D"/>
    <w:pPr>
      <w:suppressAutoHyphens w:val="0"/>
      <w:autoSpaceDE w:val="0"/>
      <w:autoSpaceDN w:val="0"/>
      <w:spacing w:after="200" w:line="288" w:lineRule="auto"/>
    </w:pPr>
    <w:rPr>
      <w:rFonts w:ascii="Arial Unicode MS" w:eastAsia="Arial Unicode MS" w:hAnsi="Arial Unicode MS" w:cs="Arial Unicode MS"/>
      <w:color w:val="000000"/>
      <w:lang w:val="es-CR" w:eastAsia="en-US"/>
    </w:rPr>
  </w:style>
  <w:style w:type="character" w:customStyle="1" w:styleId="TextonotapieCar1">
    <w:name w:val="Texto nota pie Car1"/>
    <w:aliases w:val="Footnote reference Car1,FA Fu Car1,Footnote Text Char Char Char Char Char Car1,Footnote Text Char Char Char Char Car1,Footnote Text Char Char Char Car1,Footnote Text Cha Car1,FA Fußnotentext Car1,FA Fuﬂnotentext Car1,Texto Car1"/>
    <w:basedOn w:val="Fuentedeprrafopredeter"/>
    <w:uiPriority w:val="99"/>
    <w:qFormat/>
    <w:rsid w:val="00B15F7D"/>
    <w:rPr>
      <w:rFonts w:ascii="Times New Roman" w:eastAsia="Times New Roman" w:hAnsi="Times New Roman" w:cs="Times New Roman"/>
      <w:sz w:val="20"/>
      <w:szCs w:val="20"/>
      <w:lang w:val="es-ES_tradnl" w:eastAsia="ar-SA"/>
    </w:rPr>
  </w:style>
  <w:style w:type="character" w:customStyle="1" w:styleId="TtuloCar1">
    <w:name w:val="Título Car1"/>
    <w:aliases w:val="artículo Car1,Puesto Car1"/>
    <w:basedOn w:val="Fuentedeprrafopredeter"/>
    <w:uiPriority w:val="10"/>
    <w:qFormat/>
    <w:rsid w:val="00B15F7D"/>
    <w:rPr>
      <w:rFonts w:ascii="Calibri Light" w:eastAsia="Times New Roman" w:hAnsi="Calibri Light" w:cs="Times New Roman"/>
      <w:spacing w:val="-10"/>
      <w:kern w:val="28"/>
      <w:sz w:val="56"/>
      <w:szCs w:val="56"/>
      <w:lang w:val="es-ES_tradnl" w:eastAsia="ar-SA"/>
    </w:rPr>
  </w:style>
  <w:style w:type="character" w:customStyle="1" w:styleId="SubttuloCar3">
    <w:name w:val="Subtítulo Car3"/>
    <w:aliases w:val="Cuadros Car2"/>
    <w:basedOn w:val="Fuentedeprrafopredeter"/>
    <w:link w:val="Subttulo"/>
    <w:locked/>
    <w:rsid w:val="00B15F7D"/>
    <w:rPr>
      <w:rFonts w:ascii="Arial" w:eastAsia="Times New Roman" w:hAnsi="Arial" w:cs="Arial"/>
      <w:b/>
      <w:bCs/>
      <w:sz w:val="28"/>
      <w:szCs w:val="28"/>
      <w:u w:val="single"/>
      <w:lang w:val="es-ES" w:eastAsia="ar-SA"/>
    </w:rPr>
  </w:style>
  <w:style w:type="paragraph" w:customStyle="1" w:styleId="Prrafodelista1CxSpFirst">
    <w:name w:val="Párrafo de lista1CxSpFirst"/>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Prrafodelista1CxSpMiddle">
    <w:name w:val="Párrafo de lista1CxSpMiddle"/>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Prrafodelista1CxSpLast">
    <w:name w:val="Párrafo de lista1CxSpLast"/>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Prrafodelista2CxSpFirst">
    <w:name w:val="Párrafo de lista2CxSpFirst"/>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Prrafodelista2CxSpMiddle">
    <w:name w:val="Párrafo de lista2CxSpMiddle"/>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Prrafodelista2CxSpLast">
    <w:name w:val="Párrafo de lista2CxSpLast"/>
    <w:basedOn w:val="Normal"/>
    <w:uiPriority w:val="99"/>
    <w:qFormat/>
    <w:rsid w:val="00B15F7D"/>
    <w:pPr>
      <w:suppressAutoHyphens w:val="0"/>
      <w:spacing w:before="100" w:beforeAutospacing="1" w:after="100" w:afterAutospacing="1"/>
    </w:pPr>
    <w:rPr>
      <w:rFonts w:eastAsia="Calibri"/>
      <w:lang w:val="es-CR" w:eastAsia="es-CR"/>
    </w:rPr>
  </w:style>
  <w:style w:type="character" w:customStyle="1" w:styleId="NoSpacingChar">
    <w:name w:val="No Spacing Char"/>
    <w:basedOn w:val="Fuentedeprrafopredeter"/>
    <w:link w:val="Sinespaciado1"/>
    <w:uiPriority w:val="99"/>
    <w:qFormat/>
    <w:locked/>
    <w:rsid w:val="00B15F7D"/>
    <w:rPr>
      <w:rFonts w:ascii="Calibri" w:eastAsia="Times New Roman" w:hAnsi="Calibri" w:cs="Times New Roman"/>
      <w:lang w:val="en-US"/>
    </w:rPr>
  </w:style>
  <w:style w:type="paragraph" w:customStyle="1" w:styleId="h10">
    <w:name w:val="h1"/>
    <w:basedOn w:val="Normal"/>
    <w:next w:val="Encabezado"/>
    <w:uiPriority w:val="99"/>
    <w:qFormat/>
    <w:rsid w:val="00B15F7D"/>
    <w:pPr>
      <w:tabs>
        <w:tab w:val="center" w:pos="4252"/>
        <w:tab w:val="right" w:pos="8504"/>
      </w:tabs>
      <w:suppressAutoHyphens w:val="0"/>
    </w:pPr>
    <w:rPr>
      <w:rFonts w:ascii="Calibri" w:eastAsia="Calibri" w:hAnsi="Calibri"/>
      <w:lang w:val="es-ES_tradnl" w:eastAsia="en-US"/>
    </w:rPr>
  </w:style>
  <w:style w:type="paragraph" w:customStyle="1" w:styleId="Piedepgina1">
    <w:name w:val="Pie de página1"/>
    <w:basedOn w:val="Normal"/>
    <w:next w:val="Piedepgina"/>
    <w:uiPriority w:val="99"/>
    <w:qFormat/>
    <w:rsid w:val="00B15F7D"/>
    <w:pPr>
      <w:tabs>
        <w:tab w:val="center" w:pos="4252"/>
        <w:tab w:val="right" w:pos="8504"/>
      </w:tabs>
      <w:suppressAutoHyphens w:val="0"/>
    </w:pPr>
    <w:rPr>
      <w:rFonts w:ascii="Calibri" w:eastAsia="Calibri" w:hAnsi="Calibri"/>
      <w:lang w:val="es-ES_tradnl" w:eastAsia="en-US"/>
    </w:rPr>
  </w:style>
  <w:style w:type="paragraph" w:customStyle="1" w:styleId="Car40">
    <w:name w:val="Car40"/>
    <w:basedOn w:val="Normal"/>
    <w:uiPriority w:val="99"/>
    <w:qFormat/>
    <w:rsid w:val="00B15F7D"/>
    <w:pPr>
      <w:spacing w:after="160" w:line="240" w:lineRule="exact"/>
    </w:pPr>
    <w:rPr>
      <w:rFonts w:ascii="Verdana" w:hAnsi="Verdana"/>
      <w:sz w:val="20"/>
      <w:szCs w:val="21"/>
      <w:lang w:val="en-AU"/>
    </w:rPr>
  </w:style>
  <w:style w:type="paragraph" w:customStyle="1" w:styleId="CharChar60">
    <w:name w:val="Char Char60"/>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8">
    <w:name w:val="Párrafo de lista128"/>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6">
    <w:name w:val="Car Car Car Car Car Car26"/>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4">
    <w:name w:val="Texto de bloque124"/>
    <w:basedOn w:val="Normal"/>
    <w:uiPriority w:val="99"/>
    <w:qFormat/>
    <w:rsid w:val="00B15F7D"/>
    <w:pPr>
      <w:widowControl w:val="0"/>
      <w:autoSpaceDE w:val="0"/>
      <w:ind w:left="-540" w:right="-415" w:firstLine="1248"/>
      <w:jc w:val="both"/>
    </w:pPr>
    <w:rPr>
      <w:rFonts w:ascii="Arial" w:hAnsi="Arial" w:cs="Arial"/>
      <w:lang w:eastAsia="zh-CN"/>
    </w:rPr>
  </w:style>
  <w:style w:type="paragraph" w:customStyle="1" w:styleId="Textoindependiente2225">
    <w:name w:val="Texto independiente 2225"/>
    <w:basedOn w:val="Normal"/>
    <w:uiPriority w:val="99"/>
    <w:qFormat/>
    <w:rsid w:val="00B15F7D"/>
    <w:pPr>
      <w:spacing w:line="360" w:lineRule="auto"/>
      <w:jc w:val="both"/>
    </w:pPr>
    <w:rPr>
      <w:rFonts w:ascii="Arial" w:hAnsi="Arial" w:cs="Arial"/>
      <w:kern w:val="2"/>
      <w:szCs w:val="20"/>
      <w:lang w:val="es-CR"/>
    </w:rPr>
  </w:style>
  <w:style w:type="paragraph" w:customStyle="1" w:styleId="Sangra2detindependiente124">
    <w:name w:val="Sangría 2 de t. independiente124"/>
    <w:basedOn w:val="Normal"/>
    <w:uiPriority w:val="99"/>
    <w:qFormat/>
    <w:rsid w:val="00B15F7D"/>
    <w:pPr>
      <w:tabs>
        <w:tab w:val="left" w:pos="2835"/>
      </w:tabs>
      <w:overflowPunct w:val="0"/>
      <w:autoSpaceDE w:val="0"/>
      <w:ind w:left="2835" w:hanging="2835"/>
      <w:jc w:val="both"/>
    </w:pPr>
    <w:rPr>
      <w:rFonts w:ascii="Georgia" w:hAnsi="Georgia" w:cs="Georgia"/>
      <w:sz w:val="28"/>
      <w:szCs w:val="20"/>
      <w:lang w:val="es-ES_tradnl" w:eastAsia="zh-CN"/>
    </w:rPr>
  </w:style>
  <w:style w:type="paragraph" w:customStyle="1" w:styleId="CharChar59">
    <w:name w:val="Char Char59"/>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z-BottomofForm1">
    <w:name w:val="z-Bottom of Form1"/>
    <w:next w:val="Normal"/>
    <w:uiPriority w:val="99"/>
    <w:qFormat/>
    <w:rsid w:val="00B15F7D"/>
    <w:pPr>
      <w:widowControl w:val="0"/>
      <w:pBdr>
        <w:top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 w:type="paragraph" w:customStyle="1" w:styleId="z-TopofForm1">
    <w:name w:val="z-Top of Form1"/>
    <w:next w:val="Normal"/>
    <w:uiPriority w:val="99"/>
    <w:qFormat/>
    <w:rsid w:val="00B15F7D"/>
    <w:pPr>
      <w:widowControl w:val="0"/>
      <w:pBdr>
        <w:bottom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 w:type="paragraph" w:customStyle="1" w:styleId="Car39">
    <w:name w:val="Car39"/>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58">
    <w:name w:val="Char Char58"/>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7">
    <w:name w:val="Párrafo de lista127"/>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5">
    <w:name w:val="Car Car Car Car Car Car25"/>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3">
    <w:name w:val="Texto de bloque123"/>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24">
    <w:name w:val="Texto independiente 2224"/>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23">
    <w:name w:val="Sangría 2 de t. independiente123"/>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7">
    <w:name w:val="Char Char57"/>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38">
    <w:name w:val="Car38"/>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56">
    <w:name w:val="Char Char56"/>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6">
    <w:name w:val="Párrafo de lista126"/>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4">
    <w:name w:val="Car Car Car Car Car Car24"/>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2">
    <w:name w:val="Texto de bloque122"/>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23">
    <w:name w:val="Texto independiente 2223"/>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22">
    <w:name w:val="Sangría 2 de t. independiente122"/>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5">
    <w:name w:val="Char Char55"/>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37">
    <w:name w:val="Car37"/>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54">
    <w:name w:val="Char Char54"/>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5">
    <w:name w:val="Párrafo de lista125"/>
    <w:basedOn w:val="Normal"/>
    <w:uiPriority w:val="34"/>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3">
    <w:name w:val="Car Car Car Car Car Car23"/>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1">
    <w:name w:val="Texto de bloque121"/>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22">
    <w:name w:val="Texto independiente 2222"/>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21">
    <w:name w:val="Sangría 2 de t. independiente121"/>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3">
    <w:name w:val="Char Char53"/>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36">
    <w:name w:val="Car36"/>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52">
    <w:name w:val="Char Char52"/>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4">
    <w:name w:val="Párrafo de lista124"/>
    <w:basedOn w:val="Normal"/>
    <w:uiPriority w:val="34"/>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2">
    <w:name w:val="Car Car Car Car Car Car22"/>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0">
    <w:name w:val="Texto de bloque120"/>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21">
    <w:name w:val="Texto independiente 2221"/>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20">
    <w:name w:val="Sangría 2 de t. independiente120"/>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1">
    <w:name w:val="Char Char51"/>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35">
    <w:name w:val="Car35"/>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50">
    <w:name w:val="Char Char50"/>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3">
    <w:name w:val="Párrafo de lista123"/>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1">
    <w:name w:val="Car Car Car Car Car Car21"/>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9">
    <w:name w:val="Texto de bloque119"/>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20">
    <w:name w:val="Texto independiente 2220"/>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9">
    <w:name w:val="Sangría 2 de t. independiente119"/>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9">
    <w:name w:val="Char Char49"/>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34">
    <w:name w:val="Car34"/>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48">
    <w:name w:val="Char Char48"/>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2">
    <w:name w:val="Párrafo de lista122"/>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0">
    <w:name w:val="Car Car Car Car Car Car20"/>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8">
    <w:name w:val="Texto de bloque118"/>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9">
    <w:name w:val="Texto independiente 2219"/>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8">
    <w:name w:val="Sangría 2 de t. independiente118"/>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7">
    <w:name w:val="Char Char47"/>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Ttulo53">
    <w:name w:val="Título 53"/>
    <w:next w:val="Normal"/>
    <w:qFormat/>
    <w:rsid w:val="00B15F7D"/>
    <w:pPr>
      <w:keepNext/>
      <w:widowControl w:val="0"/>
      <w:shd w:val="clear" w:color="auto" w:fill="FFFFFF"/>
      <w:tabs>
        <w:tab w:val="left" w:pos="0"/>
      </w:tabs>
      <w:suppressAutoHyphens/>
      <w:spacing w:after="0" w:line="240" w:lineRule="auto"/>
      <w:jc w:val="center"/>
    </w:pPr>
    <w:rPr>
      <w:rFonts w:ascii="Times New Roman" w:eastAsia="Lucida Sans Unicode" w:hAnsi="Times New Roman" w:cs="Times New Roman"/>
      <w:b/>
      <w:bCs/>
      <w:i/>
      <w:iCs/>
      <w:sz w:val="26"/>
      <w:szCs w:val="26"/>
      <w:u w:val="single"/>
      <w:lang w:val="es-ES" w:eastAsia="ar-SA"/>
    </w:rPr>
  </w:style>
  <w:style w:type="paragraph" w:customStyle="1" w:styleId="FootnoteTe1">
    <w:name w:val="Footnote Te1"/>
    <w:basedOn w:val="Normal"/>
    <w:uiPriority w:val="99"/>
    <w:qFormat/>
    <w:rsid w:val="00B15F7D"/>
    <w:pPr>
      <w:suppressAutoHyphens w:val="0"/>
    </w:pPr>
    <w:rPr>
      <w:rFonts w:ascii="Calibri" w:eastAsia="Calibri" w:hAnsi="Calibri" w:cs="Calibri"/>
      <w:sz w:val="22"/>
      <w:szCs w:val="22"/>
      <w:lang w:val="es-CR" w:eastAsia="es-ES"/>
    </w:rPr>
  </w:style>
  <w:style w:type="paragraph" w:customStyle="1" w:styleId="Car33">
    <w:name w:val="Car33"/>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46">
    <w:name w:val="Char Char46"/>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1">
    <w:name w:val="Párrafo de lista121"/>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9">
    <w:name w:val="Car Car Car Car Car Car19"/>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7">
    <w:name w:val="Texto de bloque117"/>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8">
    <w:name w:val="Texto independiente 2218"/>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7">
    <w:name w:val="Sangría 2 de t. independiente117"/>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5">
    <w:name w:val="Char Char45"/>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msolistparagraphcxspmiddle">
    <w:name w:val="msolistparagraphcxspmiddle"/>
    <w:basedOn w:val="Normal"/>
    <w:uiPriority w:val="99"/>
    <w:qFormat/>
    <w:rsid w:val="00B15F7D"/>
    <w:pPr>
      <w:suppressAutoHyphens w:val="0"/>
      <w:ind w:left="720"/>
    </w:pPr>
    <w:rPr>
      <w:rFonts w:eastAsia="Calibri"/>
      <w:lang w:val="es-CR" w:eastAsia="zh-CN"/>
    </w:rPr>
  </w:style>
  <w:style w:type="paragraph" w:customStyle="1" w:styleId="msolistparagraphcxsplast">
    <w:name w:val="msolistparagraphcxsplast"/>
    <w:basedOn w:val="Normal"/>
    <w:uiPriority w:val="99"/>
    <w:qFormat/>
    <w:rsid w:val="00B15F7D"/>
    <w:pPr>
      <w:suppressAutoHyphens w:val="0"/>
      <w:ind w:left="720"/>
    </w:pPr>
    <w:rPr>
      <w:rFonts w:eastAsia="Calibri"/>
      <w:lang w:val="es-CR" w:eastAsia="zh-CN"/>
    </w:rPr>
  </w:style>
  <w:style w:type="paragraph" w:customStyle="1" w:styleId="Car32">
    <w:name w:val="Car32"/>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44">
    <w:name w:val="Char Char44"/>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20">
    <w:name w:val="Párrafo de lista120"/>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8">
    <w:name w:val="Car Car Car Car Car Car18"/>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6">
    <w:name w:val="Texto de bloque116"/>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7">
    <w:name w:val="Texto independiente 2217"/>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6">
    <w:name w:val="Sangría 2 de t. independiente116"/>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3">
    <w:name w:val="Char Char43"/>
    <w:basedOn w:val="Normal"/>
    <w:uiPriority w:val="99"/>
    <w:semiHidden/>
    <w:qFormat/>
    <w:rsid w:val="00B15F7D"/>
    <w:pPr>
      <w:suppressAutoHyphens w:val="0"/>
      <w:spacing w:after="160" w:line="240" w:lineRule="exact"/>
    </w:pPr>
    <w:rPr>
      <w:rFonts w:ascii="Verdana" w:hAnsi="Verdana"/>
      <w:sz w:val="20"/>
      <w:szCs w:val="21"/>
      <w:lang w:val="en-AU" w:eastAsia="en-US"/>
    </w:rPr>
  </w:style>
  <w:style w:type="character" w:customStyle="1" w:styleId="CitatextualCar">
    <w:name w:val="Cita textual Car"/>
    <w:basedOn w:val="Fuentedeprrafopredeter"/>
    <w:link w:val="Citatextual"/>
    <w:locked/>
    <w:rsid w:val="00B15F7D"/>
    <w:rPr>
      <w:rFonts w:ascii="Lucida Bright" w:hAnsi="Lucida Bright"/>
      <w:i/>
      <w:iCs/>
    </w:rPr>
  </w:style>
  <w:style w:type="paragraph" w:customStyle="1" w:styleId="Citatextual">
    <w:name w:val="Cita textual"/>
    <w:basedOn w:val="Normal"/>
    <w:next w:val="Normal"/>
    <w:link w:val="CitatextualCar"/>
    <w:qFormat/>
    <w:rsid w:val="00B15F7D"/>
    <w:pPr>
      <w:suppressAutoHyphens w:val="0"/>
      <w:spacing w:before="120" w:after="120"/>
      <w:ind w:left="567" w:right="567"/>
      <w:jc w:val="both"/>
    </w:pPr>
    <w:rPr>
      <w:rFonts w:ascii="Lucida Bright" w:eastAsiaTheme="minorHAnsi" w:hAnsi="Lucida Bright" w:cstheme="minorBidi"/>
      <w:i/>
      <w:iCs/>
      <w:sz w:val="22"/>
      <w:szCs w:val="22"/>
      <w:lang w:val="es-CR" w:eastAsia="en-US"/>
    </w:rPr>
  </w:style>
  <w:style w:type="paragraph" w:customStyle="1" w:styleId="Car31">
    <w:name w:val="Car31"/>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42">
    <w:name w:val="Char Char42"/>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9">
    <w:name w:val="Párrafo de lista119"/>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7">
    <w:name w:val="Car Car Car Car Car Car17"/>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5">
    <w:name w:val="Texto de bloque115"/>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6">
    <w:name w:val="Texto independiente 2216"/>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5">
    <w:name w:val="Sangría 2 de t. independiente115"/>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1">
    <w:name w:val="Char Char41"/>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30">
    <w:name w:val="Car30"/>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40">
    <w:name w:val="Char Char40"/>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8">
    <w:name w:val="Párrafo de lista118"/>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6">
    <w:name w:val="Car Car Car Car Car Car16"/>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4">
    <w:name w:val="Texto de bloque114"/>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5">
    <w:name w:val="Texto independiente 2215"/>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4">
    <w:name w:val="Sangría 2 de t. independiente114"/>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9">
    <w:name w:val="Char Char39"/>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29">
    <w:name w:val="Car29"/>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38">
    <w:name w:val="Char Char38"/>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7">
    <w:name w:val="Párrafo de lista117"/>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5">
    <w:name w:val="Car Car Car Car Car Car15"/>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3">
    <w:name w:val="Texto de bloque113"/>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4">
    <w:name w:val="Texto independiente 2214"/>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3">
    <w:name w:val="Sangría 2 de t. independiente113"/>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7">
    <w:name w:val="Char Char37"/>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28">
    <w:name w:val="Car28"/>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36">
    <w:name w:val="Char Char36"/>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6">
    <w:name w:val="Párrafo de lista116"/>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4">
    <w:name w:val="Car Car Car Car Car Car14"/>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2">
    <w:name w:val="Texto de bloque112"/>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3">
    <w:name w:val="Texto independiente 2213"/>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2">
    <w:name w:val="Sangría 2 de t. independiente112"/>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5">
    <w:name w:val="Char Char35"/>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Car27">
    <w:name w:val="Car27"/>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34">
    <w:name w:val="Char Char34"/>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5">
    <w:name w:val="Párrafo de lista115"/>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3">
    <w:name w:val="Car Car Car Car Car Car13"/>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1">
    <w:name w:val="Texto de bloque111"/>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2">
    <w:name w:val="Texto independiente 2212"/>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1">
    <w:name w:val="Sangría 2 de t. independiente111"/>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3">
    <w:name w:val="Char Char33"/>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26">
    <w:name w:val="Car26"/>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32">
    <w:name w:val="Char Char32"/>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4">
    <w:name w:val="Párrafo de lista114"/>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2">
    <w:name w:val="Car Car Car Car Car Car12"/>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10">
    <w:name w:val="Texto de bloque110"/>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1">
    <w:name w:val="Texto independiente 2211"/>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10">
    <w:name w:val="Sangría 2 de t. independiente110"/>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1">
    <w:name w:val="Char Char31"/>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25">
    <w:name w:val="Car25"/>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30">
    <w:name w:val="Char Char30"/>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3">
    <w:name w:val="Párrafo de lista113"/>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1">
    <w:name w:val="Car Car Car Car Car Car11"/>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9">
    <w:name w:val="Texto de bloque19"/>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10">
    <w:name w:val="Texto independiente 2210"/>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9">
    <w:name w:val="Sangría 2 de t. independiente19"/>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9">
    <w:name w:val="Char Char29"/>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24">
    <w:name w:val="Car24"/>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28">
    <w:name w:val="Char Char28"/>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2">
    <w:name w:val="Párrafo de lista112"/>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0">
    <w:name w:val="Car Car Car Car Car Car10"/>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8">
    <w:name w:val="Texto de bloque18"/>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9">
    <w:name w:val="Texto independiente 229"/>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8">
    <w:name w:val="Sangría 2 de t. independiente18"/>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7">
    <w:name w:val="Char Char27"/>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Car23">
    <w:name w:val="Car23"/>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26">
    <w:name w:val="Char Char26"/>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1">
    <w:name w:val="Párrafo de lista111"/>
    <w:basedOn w:val="Normal"/>
    <w:uiPriority w:val="34"/>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9">
    <w:name w:val="Car Car Car Car Car Car9"/>
    <w:basedOn w:val="Normal"/>
    <w:uiPriority w:val="99"/>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7">
    <w:name w:val="Texto de bloque17"/>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8">
    <w:name w:val="Texto independiente 228"/>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7">
    <w:name w:val="Sangría 2 de t. independiente17"/>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5">
    <w:name w:val="Char Char25"/>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Pa9">
    <w:name w:val="Pa9"/>
    <w:basedOn w:val="Normal"/>
    <w:next w:val="Normal"/>
    <w:uiPriority w:val="99"/>
    <w:qFormat/>
    <w:rsid w:val="00B15F7D"/>
    <w:pPr>
      <w:suppressAutoHyphens w:val="0"/>
      <w:autoSpaceDE w:val="0"/>
      <w:autoSpaceDN w:val="0"/>
      <w:adjustRightInd w:val="0"/>
      <w:spacing w:line="201" w:lineRule="atLeast"/>
    </w:pPr>
    <w:rPr>
      <w:lang w:eastAsia="en-US"/>
    </w:rPr>
  </w:style>
  <w:style w:type="paragraph" w:customStyle="1" w:styleId="Car22">
    <w:name w:val="Car22"/>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24">
    <w:name w:val="Char Char24"/>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10">
    <w:name w:val="Párrafo de lista110"/>
    <w:basedOn w:val="Normal"/>
    <w:uiPriority w:val="99"/>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8">
    <w:name w:val="Car Car Car Car Car Car8"/>
    <w:basedOn w:val="Normal"/>
    <w:uiPriority w:val="99"/>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6">
    <w:name w:val="Texto de bloque16"/>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7">
    <w:name w:val="Texto independiente 227"/>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6">
    <w:name w:val="Sangría 2 de t. independiente16"/>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3">
    <w:name w:val="Char Char23"/>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Car21">
    <w:name w:val="Car21"/>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22">
    <w:name w:val="Char Char22"/>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9">
    <w:name w:val="Párrafo de lista19"/>
    <w:basedOn w:val="Normal"/>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7">
    <w:name w:val="Car Car Car Car Car Car7"/>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5">
    <w:name w:val="Texto de bloque15"/>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6">
    <w:name w:val="Texto independiente 226"/>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5">
    <w:name w:val="Sangría 2 de t. independiente15"/>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1">
    <w:name w:val="Char Char21"/>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Listaconvietas31">
    <w:name w:val="Lista con viñetas 31"/>
    <w:basedOn w:val="Normal"/>
    <w:next w:val="Normal"/>
    <w:uiPriority w:val="99"/>
    <w:semiHidden/>
    <w:qFormat/>
    <w:rsid w:val="00B15F7D"/>
    <w:pPr>
      <w:numPr>
        <w:numId w:val="12"/>
      </w:numPr>
      <w:suppressAutoHyphens w:val="0"/>
      <w:spacing w:after="160" w:line="252" w:lineRule="auto"/>
      <w:ind w:left="1211"/>
      <w:contextualSpacing/>
    </w:pPr>
    <w:rPr>
      <w:rFonts w:ascii="Calibri" w:eastAsia="Calibri" w:hAnsi="Calibri"/>
      <w:sz w:val="22"/>
      <w:szCs w:val="22"/>
      <w:lang w:val="es-CR" w:eastAsia="en-US"/>
    </w:rPr>
  </w:style>
  <w:style w:type="paragraph" w:customStyle="1" w:styleId="Listaconvietas41">
    <w:name w:val="Lista con viñetas 41"/>
    <w:basedOn w:val="Normal"/>
    <w:next w:val="Normal"/>
    <w:uiPriority w:val="99"/>
    <w:semiHidden/>
    <w:qFormat/>
    <w:rsid w:val="00B15F7D"/>
    <w:pPr>
      <w:numPr>
        <w:numId w:val="13"/>
      </w:numPr>
      <w:tabs>
        <w:tab w:val="num" w:pos="360"/>
      </w:tabs>
      <w:suppressAutoHyphens w:val="0"/>
      <w:spacing w:after="160" w:line="252" w:lineRule="auto"/>
      <w:ind w:left="1068"/>
      <w:contextualSpacing/>
    </w:pPr>
    <w:rPr>
      <w:rFonts w:ascii="Calibri" w:eastAsia="Calibri" w:hAnsi="Calibri"/>
      <w:sz w:val="22"/>
      <w:szCs w:val="22"/>
      <w:lang w:val="es-CR" w:eastAsia="en-US"/>
    </w:rPr>
  </w:style>
  <w:style w:type="paragraph" w:customStyle="1" w:styleId="Car19">
    <w:name w:val="Car19"/>
    <w:basedOn w:val="Normal"/>
    <w:uiPriority w:val="99"/>
    <w:qFormat/>
    <w:rsid w:val="00B15F7D"/>
    <w:pPr>
      <w:suppressAutoHyphens w:val="0"/>
      <w:spacing w:after="160" w:line="240" w:lineRule="exact"/>
    </w:pPr>
    <w:rPr>
      <w:rFonts w:ascii="Verdana" w:hAnsi="Verdana"/>
      <w:sz w:val="20"/>
      <w:szCs w:val="21"/>
      <w:lang w:val="en-AU" w:eastAsia="es-ES"/>
    </w:rPr>
  </w:style>
  <w:style w:type="paragraph" w:customStyle="1" w:styleId="CharChar20">
    <w:name w:val="Char Char20"/>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8">
    <w:name w:val="Párrafo de lista18"/>
    <w:basedOn w:val="Normal"/>
    <w:qFormat/>
    <w:rsid w:val="00B15F7D"/>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6">
    <w:name w:val="Car Car Car Car Car Car6"/>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4">
    <w:name w:val="Texto de bloque14"/>
    <w:basedOn w:val="Normal"/>
    <w:uiPriority w:val="99"/>
    <w:qFormat/>
    <w:rsid w:val="00B15F7D"/>
    <w:pPr>
      <w:widowControl w:val="0"/>
      <w:suppressAutoHyphens w:val="0"/>
      <w:autoSpaceDE w:val="0"/>
      <w:ind w:left="-540" w:right="-415" w:firstLine="1248"/>
      <w:jc w:val="both"/>
    </w:pPr>
    <w:rPr>
      <w:rFonts w:ascii="Arial" w:hAnsi="Arial" w:cs="Arial"/>
      <w:lang w:eastAsia="zh-CN"/>
    </w:rPr>
  </w:style>
  <w:style w:type="paragraph" w:customStyle="1" w:styleId="Textoindependiente225">
    <w:name w:val="Texto independiente 225"/>
    <w:basedOn w:val="Normal"/>
    <w:uiPriority w:val="99"/>
    <w:qFormat/>
    <w:rsid w:val="00B15F7D"/>
    <w:pPr>
      <w:suppressAutoHyphens w:val="0"/>
      <w:spacing w:line="360" w:lineRule="auto"/>
      <w:jc w:val="both"/>
    </w:pPr>
    <w:rPr>
      <w:rFonts w:ascii="Arial" w:hAnsi="Arial" w:cs="Arial"/>
      <w:kern w:val="2"/>
      <w:szCs w:val="20"/>
      <w:lang w:val="es-CR" w:eastAsia="es-ES"/>
    </w:rPr>
  </w:style>
  <w:style w:type="paragraph" w:customStyle="1" w:styleId="Sangra2detindependiente14">
    <w:name w:val="Sangría 2 de t. independiente14"/>
    <w:basedOn w:val="Normal"/>
    <w:uiPriority w:val="99"/>
    <w:qFormat/>
    <w:rsid w:val="00B15F7D"/>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19">
    <w:name w:val="Char Char19"/>
    <w:basedOn w:val="Normal"/>
    <w:uiPriority w:val="99"/>
    <w:semiHidden/>
    <w:qFormat/>
    <w:rsid w:val="00B15F7D"/>
    <w:pPr>
      <w:suppressAutoHyphens w:val="0"/>
      <w:spacing w:after="160" w:line="240" w:lineRule="exact"/>
    </w:pPr>
    <w:rPr>
      <w:rFonts w:ascii="Verdana" w:hAnsi="Verdana"/>
      <w:sz w:val="20"/>
      <w:szCs w:val="21"/>
      <w:lang w:val="en-AU" w:eastAsia="en-US"/>
    </w:rPr>
  </w:style>
  <w:style w:type="character" w:customStyle="1" w:styleId="DireccinHTMLCar">
    <w:name w:val="Dirección HTML Car"/>
    <w:basedOn w:val="Fuentedeprrafopredeter"/>
    <w:link w:val="DireccinHTML1"/>
    <w:uiPriority w:val="99"/>
    <w:semiHidden/>
    <w:locked/>
    <w:rsid w:val="00B15F7D"/>
    <w:rPr>
      <w:rFonts w:ascii="Calibri" w:eastAsia="Calibri" w:hAnsi="Calibri" w:cs="Calibri"/>
      <w:i/>
      <w:iCs/>
      <w:color w:val="000000"/>
      <w:sz w:val="24"/>
      <w:szCs w:val="24"/>
      <w:lang w:eastAsia="zh-CN"/>
    </w:rPr>
  </w:style>
  <w:style w:type="paragraph" w:customStyle="1" w:styleId="DireccinHTML1">
    <w:name w:val="Dirección HTML1"/>
    <w:basedOn w:val="Normal"/>
    <w:next w:val="Normal"/>
    <w:link w:val="DireccinHTMLCar"/>
    <w:uiPriority w:val="99"/>
    <w:semiHidden/>
    <w:qFormat/>
    <w:rsid w:val="00B15F7D"/>
    <w:pPr>
      <w:suppressAutoHyphens w:val="0"/>
    </w:pPr>
    <w:rPr>
      <w:rFonts w:ascii="Calibri" w:eastAsia="Calibri" w:hAnsi="Calibri" w:cs="Calibri"/>
      <w:i/>
      <w:iCs/>
      <w:color w:val="000000"/>
      <w:lang w:val="es-CR" w:eastAsia="zh-CN"/>
    </w:rPr>
  </w:style>
  <w:style w:type="paragraph" w:customStyle="1" w:styleId="ndice21">
    <w:name w:val="Índice 21"/>
    <w:basedOn w:val="Normal"/>
    <w:next w:val="Normal"/>
    <w:autoRedefine/>
    <w:uiPriority w:val="99"/>
    <w:qFormat/>
    <w:rsid w:val="00B15F7D"/>
    <w:pPr>
      <w:suppressAutoHyphens w:val="0"/>
      <w:ind w:left="400" w:hanging="200"/>
    </w:pPr>
    <w:rPr>
      <w:rFonts w:eastAsia="Calibri"/>
      <w:spacing w:val="-5"/>
      <w:sz w:val="20"/>
      <w:szCs w:val="20"/>
      <w:lang w:val="es-CR" w:eastAsia="en-US"/>
    </w:rPr>
  </w:style>
  <w:style w:type="paragraph" w:customStyle="1" w:styleId="ndice31">
    <w:name w:val="Índice 31"/>
    <w:basedOn w:val="Normal"/>
    <w:next w:val="Normal"/>
    <w:autoRedefine/>
    <w:uiPriority w:val="99"/>
    <w:qFormat/>
    <w:rsid w:val="00B15F7D"/>
    <w:pPr>
      <w:suppressAutoHyphens w:val="0"/>
      <w:ind w:left="600" w:hanging="200"/>
    </w:pPr>
    <w:rPr>
      <w:rFonts w:eastAsia="Calibri"/>
      <w:spacing w:val="-5"/>
      <w:sz w:val="20"/>
      <w:szCs w:val="20"/>
      <w:lang w:val="es-CR" w:eastAsia="en-US"/>
    </w:rPr>
  </w:style>
  <w:style w:type="paragraph" w:customStyle="1" w:styleId="ndice41">
    <w:name w:val="Índice 41"/>
    <w:basedOn w:val="Normal"/>
    <w:next w:val="Normal"/>
    <w:autoRedefine/>
    <w:uiPriority w:val="99"/>
    <w:qFormat/>
    <w:rsid w:val="00B15F7D"/>
    <w:pPr>
      <w:suppressAutoHyphens w:val="0"/>
      <w:ind w:left="800" w:hanging="200"/>
    </w:pPr>
    <w:rPr>
      <w:rFonts w:eastAsia="Calibri"/>
      <w:spacing w:val="-5"/>
      <w:sz w:val="20"/>
      <w:szCs w:val="20"/>
      <w:lang w:val="es-CR" w:eastAsia="en-US"/>
    </w:rPr>
  </w:style>
  <w:style w:type="paragraph" w:customStyle="1" w:styleId="ndice51">
    <w:name w:val="Índice 51"/>
    <w:basedOn w:val="Normal"/>
    <w:next w:val="Normal"/>
    <w:autoRedefine/>
    <w:uiPriority w:val="99"/>
    <w:qFormat/>
    <w:rsid w:val="00B15F7D"/>
    <w:pPr>
      <w:suppressAutoHyphens w:val="0"/>
      <w:ind w:left="1000" w:hanging="200"/>
    </w:pPr>
    <w:rPr>
      <w:rFonts w:eastAsia="Calibri"/>
      <w:spacing w:val="-5"/>
      <w:sz w:val="20"/>
      <w:szCs w:val="20"/>
      <w:lang w:val="es-CR" w:eastAsia="en-US"/>
    </w:rPr>
  </w:style>
  <w:style w:type="paragraph" w:customStyle="1" w:styleId="ndice61">
    <w:name w:val="Índice 61"/>
    <w:basedOn w:val="Normal"/>
    <w:next w:val="Normal"/>
    <w:autoRedefine/>
    <w:uiPriority w:val="99"/>
    <w:qFormat/>
    <w:rsid w:val="00B15F7D"/>
    <w:pPr>
      <w:suppressAutoHyphens w:val="0"/>
      <w:ind w:left="851" w:right="851" w:firstLine="567"/>
      <w:jc w:val="both"/>
    </w:pPr>
    <w:rPr>
      <w:rFonts w:eastAsia="Calibri"/>
      <w:spacing w:val="-5"/>
      <w:sz w:val="28"/>
      <w:szCs w:val="28"/>
      <w:lang w:val="es-CR" w:eastAsia="en-US"/>
    </w:rPr>
  </w:style>
  <w:style w:type="paragraph" w:customStyle="1" w:styleId="ndice71">
    <w:name w:val="Índice 71"/>
    <w:basedOn w:val="Normal"/>
    <w:next w:val="Normal"/>
    <w:autoRedefine/>
    <w:uiPriority w:val="99"/>
    <w:qFormat/>
    <w:rsid w:val="00B15F7D"/>
    <w:pPr>
      <w:suppressAutoHyphens w:val="0"/>
      <w:ind w:left="1400" w:hanging="200"/>
    </w:pPr>
    <w:rPr>
      <w:rFonts w:eastAsia="Calibri"/>
      <w:spacing w:val="-5"/>
      <w:lang w:val="es-CR" w:eastAsia="en-US"/>
    </w:rPr>
  </w:style>
  <w:style w:type="paragraph" w:customStyle="1" w:styleId="ndice81">
    <w:name w:val="Índice 81"/>
    <w:basedOn w:val="Normal"/>
    <w:next w:val="Normal"/>
    <w:autoRedefine/>
    <w:uiPriority w:val="99"/>
    <w:qFormat/>
    <w:rsid w:val="00B15F7D"/>
    <w:pPr>
      <w:suppressAutoHyphens w:val="0"/>
      <w:ind w:left="1600" w:hanging="200"/>
    </w:pPr>
    <w:rPr>
      <w:rFonts w:eastAsia="Calibri"/>
      <w:spacing w:val="-5"/>
      <w:lang w:val="es-CR" w:eastAsia="en-US"/>
    </w:rPr>
  </w:style>
  <w:style w:type="paragraph" w:customStyle="1" w:styleId="ndice91">
    <w:name w:val="Índice 91"/>
    <w:basedOn w:val="Normal"/>
    <w:next w:val="Normal"/>
    <w:autoRedefine/>
    <w:uiPriority w:val="99"/>
    <w:qFormat/>
    <w:rsid w:val="00B15F7D"/>
    <w:pPr>
      <w:suppressAutoHyphens w:val="0"/>
      <w:ind w:left="1800" w:hanging="200"/>
    </w:pPr>
    <w:rPr>
      <w:rFonts w:eastAsia="Calibri"/>
      <w:spacing w:val="-5"/>
      <w:lang w:val="es-CR" w:eastAsia="en-US"/>
    </w:rPr>
  </w:style>
  <w:style w:type="paragraph" w:customStyle="1" w:styleId="Sangranormal1">
    <w:name w:val="Sangría normal1"/>
    <w:basedOn w:val="Normal"/>
    <w:next w:val="Normal"/>
    <w:uiPriority w:val="99"/>
    <w:qFormat/>
    <w:rsid w:val="00B15F7D"/>
    <w:pPr>
      <w:suppressAutoHyphens w:val="0"/>
      <w:ind w:left="708"/>
    </w:pPr>
    <w:rPr>
      <w:rFonts w:eastAsia="Calibri"/>
      <w:lang w:val="es-CR" w:eastAsia="en-US"/>
    </w:rPr>
  </w:style>
  <w:style w:type="paragraph" w:customStyle="1" w:styleId="Ttulodendice1">
    <w:name w:val="Título de índice1"/>
    <w:basedOn w:val="Normal"/>
    <w:next w:val="Normal"/>
    <w:uiPriority w:val="99"/>
    <w:qFormat/>
    <w:rsid w:val="00B15F7D"/>
    <w:pPr>
      <w:suppressAutoHyphens w:val="0"/>
      <w:spacing w:before="120" w:after="120"/>
      <w:ind w:left="1080"/>
    </w:pPr>
    <w:rPr>
      <w:rFonts w:eastAsia="Calibri"/>
      <w:b/>
      <w:bCs/>
      <w:i/>
      <w:iCs/>
      <w:spacing w:val="-5"/>
      <w:sz w:val="20"/>
      <w:szCs w:val="20"/>
      <w:lang w:val="es-CR" w:eastAsia="en-US"/>
    </w:rPr>
  </w:style>
  <w:style w:type="paragraph" w:customStyle="1" w:styleId="Tabladeilustraciones1">
    <w:name w:val="Tabla de ilustraciones1"/>
    <w:basedOn w:val="Normal"/>
    <w:next w:val="Normal"/>
    <w:uiPriority w:val="99"/>
    <w:qFormat/>
    <w:rsid w:val="00B15F7D"/>
    <w:pPr>
      <w:suppressAutoHyphens w:val="0"/>
      <w:autoSpaceDE w:val="0"/>
      <w:autoSpaceDN w:val="0"/>
      <w:spacing w:line="360" w:lineRule="auto"/>
      <w:jc w:val="both"/>
    </w:pPr>
    <w:rPr>
      <w:rFonts w:ascii="Book Antiqua" w:eastAsia="Calibri" w:hAnsi="Book Antiqua" w:cs="Calibri"/>
      <w:lang w:val="es-CR" w:eastAsia="es-ES"/>
    </w:rPr>
  </w:style>
  <w:style w:type="paragraph" w:customStyle="1" w:styleId="Direccinsobre1">
    <w:name w:val="Dirección sobre1"/>
    <w:basedOn w:val="Normal"/>
    <w:next w:val="Normal"/>
    <w:uiPriority w:val="99"/>
    <w:semiHidden/>
    <w:qFormat/>
    <w:rsid w:val="00B15F7D"/>
    <w:pPr>
      <w:framePr w:w="7920" w:h="1980" w:hSpace="141" w:wrap="auto" w:hAnchor="page" w:xAlign="center" w:yAlign="bottom"/>
      <w:suppressAutoHyphens w:val="0"/>
      <w:ind w:left="2880"/>
    </w:pPr>
    <w:rPr>
      <w:rFonts w:ascii="Arial" w:eastAsia="Calibri" w:hAnsi="Arial" w:cs="Arial"/>
      <w:spacing w:val="-5"/>
      <w:lang w:val="es-CR" w:eastAsia="en-US"/>
    </w:rPr>
  </w:style>
  <w:style w:type="paragraph" w:customStyle="1" w:styleId="Textoconsangra1">
    <w:name w:val="Texto con sangría1"/>
    <w:basedOn w:val="Normal"/>
    <w:next w:val="Normal"/>
    <w:uiPriority w:val="99"/>
    <w:qFormat/>
    <w:rsid w:val="00B15F7D"/>
    <w:pPr>
      <w:suppressAutoHyphens w:val="0"/>
      <w:ind w:left="1440" w:hanging="360"/>
    </w:pPr>
    <w:rPr>
      <w:rFonts w:ascii="Arial" w:eastAsia="Calibri" w:hAnsi="Arial" w:cs="Arial"/>
      <w:spacing w:val="-5"/>
      <w:lang w:val="es-CR" w:eastAsia="en-US"/>
    </w:rPr>
  </w:style>
  <w:style w:type="character" w:customStyle="1" w:styleId="TextomacroCar">
    <w:name w:val="Texto macro Car"/>
    <w:basedOn w:val="Fuentedeprrafopredeter"/>
    <w:link w:val="Textomacro1"/>
    <w:uiPriority w:val="99"/>
    <w:locked/>
    <w:rsid w:val="00B15F7D"/>
    <w:rPr>
      <w:rFonts w:ascii="Courier New" w:eastAsia="Calibri" w:hAnsi="Courier New" w:cs="Courier New"/>
      <w:spacing w:val="-5"/>
    </w:rPr>
  </w:style>
  <w:style w:type="paragraph" w:customStyle="1" w:styleId="Textomacro1">
    <w:name w:val="Texto macro1"/>
    <w:basedOn w:val="Normal"/>
    <w:next w:val="Normal"/>
    <w:link w:val="TextomacroCar"/>
    <w:uiPriority w:val="99"/>
    <w:qFormat/>
    <w:rsid w:val="00B15F7D"/>
    <w:pPr>
      <w:suppressAutoHyphens w:val="0"/>
      <w:ind w:left="1080"/>
    </w:pPr>
    <w:rPr>
      <w:rFonts w:ascii="Courier New" w:eastAsia="Calibri" w:hAnsi="Courier New" w:cs="Courier New"/>
      <w:spacing w:val="-5"/>
      <w:sz w:val="22"/>
      <w:szCs w:val="22"/>
      <w:lang w:val="es-CR" w:eastAsia="en-US"/>
    </w:rPr>
  </w:style>
  <w:style w:type="paragraph" w:customStyle="1" w:styleId="Encabezadodelista1">
    <w:name w:val="Encabezado de lista1"/>
    <w:basedOn w:val="Normal"/>
    <w:next w:val="Normal"/>
    <w:uiPriority w:val="99"/>
    <w:semiHidden/>
    <w:qFormat/>
    <w:rsid w:val="00B15F7D"/>
    <w:pPr>
      <w:keepNext/>
      <w:suppressAutoHyphens w:val="0"/>
      <w:spacing w:line="480" w:lineRule="atLeast"/>
      <w:ind w:left="1080"/>
    </w:pPr>
    <w:rPr>
      <w:rFonts w:ascii="Arial Black" w:eastAsia="Calibri" w:hAnsi="Arial Black" w:cs="Calibri"/>
      <w:b/>
      <w:bCs/>
      <w:spacing w:val="-10"/>
      <w:lang w:val="es-CR" w:eastAsia="en-US"/>
    </w:rPr>
  </w:style>
  <w:style w:type="paragraph" w:customStyle="1" w:styleId="Lista41">
    <w:name w:val="Lista 41"/>
    <w:basedOn w:val="Normal"/>
    <w:next w:val="Normal"/>
    <w:uiPriority w:val="99"/>
    <w:semiHidden/>
    <w:qFormat/>
    <w:rsid w:val="00B15F7D"/>
    <w:pPr>
      <w:suppressAutoHyphens w:val="0"/>
      <w:spacing w:after="240" w:line="240" w:lineRule="atLeast"/>
      <w:ind w:left="2520" w:hanging="360"/>
      <w:jc w:val="both"/>
    </w:pPr>
    <w:rPr>
      <w:rFonts w:ascii="Arial" w:eastAsia="Calibri" w:hAnsi="Arial" w:cs="Arial"/>
      <w:spacing w:val="-5"/>
      <w:sz w:val="20"/>
      <w:szCs w:val="20"/>
      <w:lang w:val="es-CR" w:eastAsia="en-US"/>
    </w:rPr>
  </w:style>
  <w:style w:type="paragraph" w:customStyle="1" w:styleId="Lista51">
    <w:name w:val="Lista 51"/>
    <w:basedOn w:val="Normal"/>
    <w:next w:val="Normal"/>
    <w:uiPriority w:val="99"/>
    <w:semiHidden/>
    <w:qFormat/>
    <w:rsid w:val="00B15F7D"/>
    <w:pPr>
      <w:suppressAutoHyphens w:val="0"/>
      <w:spacing w:after="240" w:line="240" w:lineRule="atLeast"/>
      <w:ind w:left="2880" w:hanging="360"/>
      <w:jc w:val="both"/>
    </w:pPr>
    <w:rPr>
      <w:rFonts w:ascii="Arial" w:eastAsia="Calibri" w:hAnsi="Arial" w:cs="Arial"/>
      <w:spacing w:val="-5"/>
      <w:sz w:val="20"/>
      <w:szCs w:val="20"/>
      <w:lang w:val="es-CR" w:eastAsia="en-US"/>
    </w:rPr>
  </w:style>
  <w:style w:type="paragraph" w:customStyle="1" w:styleId="Listaconvietas51">
    <w:name w:val="Lista con viñetas 51"/>
    <w:basedOn w:val="Normal"/>
    <w:next w:val="Normal"/>
    <w:uiPriority w:val="99"/>
    <w:semiHidden/>
    <w:qFormat/>
    <w:rsid w:val="00B15F7D"/>
    <w:pPr>
      <w:suppressAutoHyphens w:val="0"/>
      <w:ind w:left="1415" w:hanging="283"/>
    </w:pPr>
    <w:rPr>
      <w:rFonts w:eastAsia="Calibri"/>
      <w:lang w:val="es-CR" w:eastAsia="zh-CN"/>
    </w:rPr>
  </w:style>
  <w:style w:type="paragraph" w:customStyle="1" w:styleId="Listaconnmeros21">
    <w:name w:val="Lista con números 21"/>
    <w:basedOn w:val="Normal"/>
    <w:next w:val="Normal"/>
    <w:uiPriority w:val="99"/>
    <w:qFormat/>
    <w:rsid w:val="00B15F7D"/>
    <w:pPr>
      <w:suppressAutoHyphens w:val="0"/>
      <w:spacing w:after="240" w:line="240" w:lineRule="atLeast"/>
      <w:ind w:left="1800" w:hanging="360"/>
      <w:jc w:val="both"/>
    </w:pPr>
    <w:rPr>
      <w:rFonts w:ascii="Arial" w:eastAsia="Calibri" w:hAnsi="Arial" w:cs="Arial"/>
      <w:spacing w:val="-5"/>
      <w:lang w:val="es-CR" w:eastAsia="en-US"/>
    </w:rPr>
  </w:style>
  <w:style w:type="paragraph" w:customStyle="1" w:styleId="Listaconnmeros31">
    <w:name w:val="Lista con números 31"/>
    <w:basedOn w:val="Normal"/>
    <w:next w:val="Normal"/>
    <w:uiPriority w:val="99"/>
    <w:semiHidden/>
    <w:qFormat/>
    <w:rsid w:val="00B15F7D"/>
    <w:pPr>
      <w:suppressAutoHyphens w:val="0"/>
      <w:spacing w:after="240" w:line="240" w:lineRule="atLeast"/>
      <w:ind w:left="2160" w:hanging="360"/>
      <w:jc w:val="both"/>
    </w:pPr>
    <w:rPr>
      <w:rFonts w:ascii="Arial" w:eastAsia="Calibri" w:hAnsi="Arial" w:cs="Arial"/>
      <w:spacing w:val="-5"/>
      <w:lang w:val="es-CR" w:eastAsia="en-US"/>
    </w:rPr>
  </w:style>
  <w:style w:type="paragraph" w:customStyle="1" w:styleId="Listaconnmeros41">
    <w:name w:val="Lista con números 41"/>
    <w:basedOn w:val="Normal"/>
    <w:next w:val="Normal"/>
    <w:uiPriority w:val="99"/>
    <w:semiHidden/>
    <w:qFormat/>
    <w:rsid w:val="00B15F7D"/>
    <w:pPr>
      <w:suppressAutoHyphens w:val="0"/>
      <w:spacing w:after="240" w:line="240" w:lineRule="atLeast"/>
      <w:ind w:left="2520" w:hanging="360"/>
      <w:jc w:val="both"/>
    </w:pPr>
    <w:rPr>
      <w:rFonts w:ascii="Arial" w:eastAsia="Calibri" w:hAnsi="Arial" w:cs="Arial"/>
      <w:spacing w:val="-5"/>
      <w:lang w:val="es-CR" w:eastAsia="en-US"/>
    </w:rPr>
  </w:style>
  <w:style w:type="paragraph" w:customStyle="1" w:styleId="Listaconnmeros51">
    <w:name w:val="Lista con números 51"/>
    <w:basedOn w:val="Normal"/>
    <w:next w:val="Normal"/>
    <w:uiPriority w:val="99"/>
    <w:qFormat/>
    <w:rsid w:val="00B15F7D"/>
    <w:pPr>
      <w:suppressAutoHyphens w:val="0"/>
      <w:spacing w:after="240" w:line="240" w:lineRule="atLeast"/>
      <w:ind w:left="2880" w:hanging="360"/>
      <w:jc w:val="both"/>
    </w:pPr>
    <w:rPr>
      <w:rFonts w:ascii="Arial" w:eastAsia="Calibri" w:hAnsi="Arial" w:cs="Arial"/>
      <w:spacing w:val="-5"/>
      <w:lang w:val="es-CR" w:eastAsia="en-US"/>
    </w:rPr>
  </w:style>
  <w:style w:type="paragraph" w:customStyle="1" w:styleId="Continuarlista31">
    <w:name w:val="Continuar lista 31"/>
    <w:basedOn w:val="Normal"/>
    <w:next w:val="Normal"/>
    <w:uiPriority w:val="99"/>
    <w:qFormat/>
    <w:rsid w:val="00B15F7D"/>
    <w:pPr>
      <w:suppressAutoHyphens w:val="0"/>
      <w:spacing w:after="240" w:line="240" w:lineRule="atLeast"/>
      <w:ind w:left="2520"/>
      <w:jc w:val="both"/>
    </w:pPr>
    <w:rPr>
      <w:rFonts w:ascii="Arial" w:eastAsia="Calibri" w:hAnsi="Arial" w:cs="Arial"/>
      <w:spacing w:val="-5"/>
      <w:lang w:val="es-CR" w:eastAsia="en-US"/>
    </w:rPr>
  </w:style>
  <w:style w:type="paragraph" w:customStyle="1" w:styleId="Continuarlista41">
    <w:name w:val="Continuar lista 41"/>
    <w:basedOn w:val="Normal"/>
    <w:next w:val="Normal"/>
    <w:uiPriority w:val="99"/>
    <w:qFormat/>
    <w:rsid w:val="00B15F7D"/>
    <w:pPr>
      <w:suppressAutoHyphens w:val="0"/>
      <w:spacing w:after="240" w:line="240" w:lineRule="atLeast"/>
      <w:ind w:left="2880"/>
      <w:jc w:val="both"/>
    </w:pPr>
    <w:rPr>
      <w:rFonts w:ascii="Arial" w:eastAsia="Calibri" w:hAnsi="Arial" w:cs="Arial"/>
      <w:spacing w:val="-5"/>
      <w:lang w:val="es-CR" w:eastAsia="en-US"/>
    </w:rPr>
  </w:style>
  <w:style w:type="paragraph" w:customStyle="1" w:styleId="Continuarlista51">
    <w:name w:val="Continuar lista 51"/>
    <w:basedOn w:val="Normal"/>
    <w:next w:val="Normal"/>
    <w:uiPriority w:val="99"/>
    <w:qFormat/>
    <w:rsid w:val="00B15F7D"/>
    <w:pPr>
      <w:suppressAutoHyphens w:val="0"/>
      <w:spacing w:after="240" w:line="240" w:lineRule="atLeast"/>
      <w:ind w:left="3240"/>
      <w:jc w:val="both"/>
    </w:pPr>
    <w:rPr>
      <w:rFonts w:ascii="Arial" w:eastAsia="Calibri" w:hAnsi="Arial" w:cs="Arial"/>
      <w:spacing w:val="-5"/>
      <w:lang w:val="es-CR" w:eastAsia="en-US"/>
    </w:rPr>
  </w:style>
  <w:style w:type="character" w:customStyle="1" w:styleId="EncabezadodemensajeCar">
    <w:name w:val="Encabezado de mensaje Car"/>
    <w:basedOn w:val="Fuentedeprrafopredeter"/>
    <w:link w:val="Encabezadodemensaje1"/>
    <w:uiPriority w:val="99"/>
    <w:locked/>
    <w:rsid w:val="00B15F7D"/>
    <w:rPr>
      <w:rFonts w:ascii="Arial" w:eastAsia="Calibri" w:hAnsi="Arial" w:cs="Arial"/>
    </w:rPr>
  </w:style>
  <w:style w:type="paragraph" w:customStyle="1" w:styleId="Encabezadodemensaje1">
    <w:name w:val="Encabezado de mensaje1"/>
    <w:basedOn w:val="Normal"/>
    <w:next w:val="Normal"/>
    <w:link w:val="EncabezadodemensajeCar"/>
    <w:uiPriority w:val="99"/>
    <w:qFormat/>
    <w:rsid w:val="00B15F7D"/>
    <w:pPr>
      <w:suppressAutoHyphens w:val="0"/>
      <w:spacing w:after="120" w:line="280" w:lineRule="exact"/>
      <w:ind w:left="1080" w:right="2160" w:hanging="1080"/>
    </w:pPr>
    <w:rPr>
      <w:rFonts w:ascii="Arial" w:eastAsia="Calibri" w:hAnsi="Arial" w:cs="Arial"/>
      <w:sz w:val="22"/>
      <w:szCs w:val="22"/>
      <w:lang w:val="es-CR" w:eastAsia="en-US"/>
    </w:rPr>
  </w:style>
  <w:style w:type="character" w:customStyle="1" w:styleId="EncabezadodenotaCar">
    <w:name w:val="Encabezado de nota Car"/>
    <w:basedOn w:val="Fuentedeprrafopredeter"/>
    <w:link w:val="Encabezadodenota1"/>
    <w:uiPriority w:val="99"/>
    <w:semiHidden/>
    <w:locked/>
    <w:rsid w:val="00B15F7D"/>
    <w:rPr>
      <w:rFonts w:ascii="Arial" w:eastAsia="Calibri" w:hAnsi="Arial" w:cs="Arial"/>
      <w:spacing w:val="-5"/>
      <w:sz w:val="24"/>
      <w:szCs w:val="24"/>
    </w:rPr>
  </w:style>
  <w:style w:type="paragraph" w:customStyle="1" w:styleId="Encabezadodenota1">
    <w:name w:val="Encabezado de nota1"/>
    <w:basedOn w:val="Normal"/>
    <w:next w:val="Normal"/>
    <w:link w:val="EncabezadodenotaCar"/>
    <w:uiPriority w:val="99"/>
    <w:semiHidden/>
    <w:qFormat/>
    <w:rsid w:val="00B15F7D"/>
    <w:pPr>
      <w:suppressAutoHyphens w:val="0"/>
      <w:ind w:left="1080"/>
    </w:pPr>
    <w:rPr>
      <w:rFonts w:ascii="Arial" w:eastAsia="Calibri" w:hAnsi="Arial" w:cs="Arial"/>
      <w:spacing w:val="-5"/>
      <w:lang w:val="es-CR" w:eastAsia="en-US"/>
    </w:rPr>
  </w:style>
  <w:style w:type="character" w:customStyle="1" w:styleId="FirmadecorreoelectrnicoCar">
    <w:name w:val="Firma de correo electrónico Car"/>
    <w:basedOn w:val="Fuentedeprrafopredeter"/>
    <w:link w:val="Firmadecorreoelectrnico1"/>
    <w:uiPriority w:val="99"/>
    <w:locked/>
    <w:rsid w:val="00B15F7D"/>
    <w:rPr>
      <w:rFonts w:ascii="Calibri" w:eastAsia="Calibri" w:hAnsi="Calibri" w:cs="Calibri"/>
      <w:sz w:val="24"/>
      <w:szCs w:val="24"/>
    </w:rPr>
  </w:style>
  <w:style w:type="paragraph" w:customStyle="1" w:styleId="Firmadecorreoelectrnico1">
    <w:name w:val="Firma de correo electrónico1"/>
    <w:basedOn w:val="Normal"/>
    <w:next w:val="Normal"/>
    <w:link w:val="FirmadecorreoelectrnicoCar"/>
    <w:uiPriority w:val="99"/>
    <w:qFormat/>
    <w:rsid w:val="00B15F7D"/>
    <w:pPr>
      <w:suppressAutoHyphens w:val="0"/>
    </w:pPr>
    <w:rPr>
      <w:rFonts w:ascii="Calibri" w:eastAsia="Calibri" w:hAnsi="Calibri" w:cs="Calibri"/>
      <w:lang w:val="es-CR" w:eastAsia="en-US"/>
    </w:rPr>
  </w:style>
  <w:style w:type="character" w:customStyle="1" w:styleId="AsuntodelcomentarioCar">
    <w:name w:val="Asunto del comentario Car"/>
    <w:basedOn w:val="TextocomentarioCar"/>
    <w:link w:val="Asuntodelcomentario1"/>
    <w:qFormat/>
    <w:locked/>
    <w:rsid w:val="00B15F7D"/>
    <w:rPr>
      <w:rFonts w:ascii="Times New Roman" w:eastAsia="Times New Roman" w:hAnsi="Times New Roman" w:cs="Times New Roman"/>
      <w:sz w:val="20"/>
      <w:szCs w:val="20"/>
      <w:lang w:val="es-ES" w:eastAsia="ar-SA"/>
    </w:rPr>
  </w:style>
  <w:style w:type="paragraph" w:customStyle="1" w:styleId="Asuntodelcomentario1">
    <w:name w:val="Asunto del comentario1"/>
    <w:basedOn w:val="Normal"/>
    <w:next w:val="Normal"/>
    <w:link w:val="AsuntodelcomentarioCar"/>
    <w:qFormat/>
    <w:rsid w:val="00B15F7D"/>
    <w:pPr>
      <w:suppressAutoHyphens w:val="0"/>
      <w:autoSpaceDN w:val="0"/>
    </w:pPr>
    <w:rPr>
      <w:sz w:val="20"/>
      <w:szCs w:val="20"/>
    </w:rPr>
  </w:style>
  <w:style w:type="paragraph" w:customStyle="1" w:styleId="Revisin1">
    <w:name w:val="Revisión1"/>
    <w:basedOn w:val="Normal"/>
    <w:next w:val="Normal"/>
    <w:qFormat/>
    <w:rsid w:val="00B15F7D"/>
    <w:pPr>
      <w:suppressAutoHyphens w:val="0"/>
      <w:autoSpaceDN w:val="0"/>
    </w:pPr>
    <w:rPr>
      <w:rFonts w:eastAsia="Calibri"/>
      <w:lang w:val="es-CR" w:eastAsia="es-ES"/>
    </w:rPr>
  </w:style>
  <w:style w:type="character" w:customStyle="1" w:styleId="CitaCar">
    <w:name w:val="Cita Car"/>
    <w:basedOn w:val="Fuentedeprrafopredeter"/>
    <w:link w:val="Cita1"/>
    <w:locked/>
    <w:rsid w:val="00B15F7D"/>
    <w:rPr>
      <w:rFonts w:ascii="Calibri" w:eastAsia="Calibri" w:hAnsi="Calibri" w:cs="Calibri"/>
      <w:i/>
      <w:iCs/>
      <w:color w:val="262626"/>
      <w:lang w:eastAsia="es-ES"/>
    </w:rPr>
  </w:style>
  <w:style w:type="paragraph" w:customStyle="1" w:styleId="Cita1">
    <w:name w:val="Cita1"/>
    <w:basedOn w:val="Normal"/>
    <w:next w:val="Normal"/>
    <w:link w:val="CitaCar"/>
    <w:qFormat/>
    <w:rsid w:val="00B15F7D"/>
    <w:pPr>
      <w:suppressAutoHyphens w:val="0"/>
      <w:autoSpaceDN w:val="0"/>
      <w:spacing w:before="160" w:after="200" w:line="288" w:lineRule="auto"/>
      <w:ind w:left="720" w:right="720"/>
      <w:jc w:val="center"/>
    </w:pPr>
    <w:rPr>
      <w:rFonts w:ascii="Calibri" w:eastAsia="Calibri" w:hAnsi="Calibri" w:cs="Calibri"/>
      <w:i/>
      <w:iCs/>
      <w:color w:val="262626"/>
      <w:sz w:val="22"/>
      <w:szCs w:val="22"/>
      <w:lang w:val="es-CR" w:eastAsia="es-ES"/>
    </w:rPr>
  </w:style>
  <w:style w:type="character" w:customStyle="1" w:styleId="CitadestacadaCar">
    <w:name w:val="Cita destacada Car"/>
    <w:basedOn w:val="Fuentedeprrafopredeter"/>
    <w:link w:val="Citadestacada1"/>
    <w:uiPriority w:val="30"/>
    <w:locked/>
    <w:rsid w:val="00B15F7D"/>
    <w:rPr>
      <w:rFonts w:ascii="Calibri Light" w:eastAsia="Calibri" w:hAnsi="Calibri Light" w:cs="Calibri"/>
      <w:i/>
      <w:iCs/>
      <w:color w:val="70AD47"/>
      <w:sz w:val="32"/>
      <w:szCs w:val="32"/>
      <w:lang w:eastAsia="es-ES"/>
    </w:rPr>
  </w:style>
  <w:style w:type="paragraph" w:customStyle="1" w:styleId="Citadestacada1">
    <w:name w:val="Cita destacada1"/>
    <w:basedOn w:val="Normal"/>
    <w:next w:val="Normal"/>
    <w:link w:val="CitadestacadaCar"/>
    <w:uiPriority w:val="30"/>
    <w:qFormat/>
    <w:rsid w:val="00B15F7D"/>
    <w:pPr>
      <w:suppressAutoHyphens w:val="0"/>
      <w:autoSpaceDN w:val="0"/>
      <w:spacing w:before="160" w:after="160" w:line="264" w:lineRule="auto"/>
      <w:ind w:left="720" w:right="720"/>
      <w:jc w:val="center"/>
    </w:pPr>
    <w:rPr>
      <w:rFonts w:ascii="Calibri Light" w:eastAsia="Calibri" w:hAnsi="Calibri Light" w:cs="Calibri"/>
      <w:i/>
      <w:iCs/>
      <w:color w:val="70AD47"/>
      <w:sz w:val="32"/>
      <w:szCs w:val="32"/>
      <w:lang w:val="es-CR" w:eastAsia="es-ES"/>
    </w:rPr>
  </w:style>
  <w:style w:type="paragraph" w:customStyle="1" w:styleId="NormalWeb1">
    <w:name w:val="Normal (Web)1"/>
    <w:basedOn w:val="Normal"/>
    <w:uiPriority w:val="99"/>
    <w:qFormat/>
    <w:rsid w:val="00B15F7D"/>
    <w:pPr>
      <w:suppressAutoHyphens w:val="0"/>
      <w:spacing w:before="100" w:after="100"/>
    </w:pPr>
    <w:rPr>
      <w:rFonts w:ascii="Calibri" w:eastAsia="Calibri" w:hAnsi="Calibri" w:cs="Calibri"/>
      <w:lang w:val="es-CR" w:eastAsia="es-ES"/>
    </w:rPr>
  </w:style>
  <w:style w:type="paragraph" w:customStyle="1" w:styleId="artculo1">
    <w:name w:val="artículo1"/>
    <w:basedOn w:val="Normal"/>
    <w:uiPriority w:val="99"/>
    <w:semiHidden/>
    <w:qFormat/>
    <w:rsid w:val="00B15F7D"/>
    <w:pPr>
      <w:shd w:val="clear" w:color="auto" w:fill="FFFFFF"/>
      <w:suppressAutoHyphens w:val="0"/>
      <w:autoSpaceDE w:val="0"/>
      <w:autoSpaceDN w:val="0"/>
      <w:jc w:val="center"/>
    </w:pPr>
    <w:rPr>
      <w:rFonts w:ascii="Arial" w:eastAsia="Calibri" w:hAnsi="Arial" w:cs="Arial"/>
      <w:b/>
      <w:bCs/>
      <w:sz w:val="28"/>
      <w:szCs w:val="28"/>
      <w:lang w:val="es-CR" w:eastAsia="es-ES"/>
    </w:rPr>
  </w:style>
  <w:style w:type="paragraph" w:customStyle="1" w:styleId="Cuadros1">
    <w:name w:val="Cuadros1"/>
    <w:basedOn w:val="Normal"/>
    <w:uiPriority w:val="99"/>
    <w:semiHidden/>
    <w:qFormat/>
    <w:rsid w:val="00B15F7D"/>
    <w:pPr>
      <w:suppressAutoHyphens w:val="0"/>
      <w:jc w:val="center"/>
    </w:pPr>
    <w:rPr>
      <w:rFonts w:ascii="Arial" w:eastAsia="Calibri" w:hAnsi="Arial" w:cs="Arial"/>
      <w:b/>
      <w:bCs/>
      <w:sz w:val="28"/>
      <w:szCs w:val="28"/>
      <w:u w:val="single"/>
      <w:lang w:val="es-CR" w:eastAsia="es-ES"/>
    </w:rPr>
  </w:style>
  <w:style w:type="paragraph" w:customStyle="1" w:styleId="Estilo3">
    <w:name w:val="Estilo3"/>
    <w:basedOn w:val="Normal"/>
    <w:uiPriority w:val="99"/>
    <w:qFormat/>
    <w:rsid w:val="00B15F7D"/>
    <w:pPr>
      <w:suppressAutoHyphens w:val="0"/>
      <w:autoSpaceDE w:val="0"/>
      <w:autoSpaceDN w:val="0"/>
    </w:pPr>
    <w:rPr>
      <w:rFonts w:ascii="Arial" w:eastAsia="Calibri" w:hAnsi="Arial" w:cs="Arial"/>
      <w:lang w:val="es-CR" w:eastAsia="es-ES"/>
    </w:rPr>
  </w:style>
  <w:style w:type="paragraph" w:customStyle="1" w:styleId="Estilo20">
    <w:name w:val="Estilo2"/>
    <w:basedOn w:val="Normal"/>
    <w:qFormat/>
    <w:rsid w:val="00B15F7D"/>
    <w:pPr>
      <w:suppressAutoHyphens w:val="0"/>
      <w:autoSpaceDE w:val="0"/>
      <w:autoSpaceDN w:val="0"/>
    </w:pPr>
    <w:rPr>
      <w:rFonts w:ascii="Arial" w:eastAsia="Calibri" w:hAnsi="Arial" w:cs="Arial"/>
      <w:lang w:val="es-CR" w:eastAsia="es-ES"/>
    </w:rPr>
  </w:style>
  <w:style w:type="paragraph" w:customStyle="1" w:styleId="formulario">
    <w:name w:val="formulario"/>
    <w:basedOn w:val="Normal"/>
    <w:uiPriority w:val="99"/>
    <w:qFormat/>
    <w:rsid w:val="00B15F7D"/>
    <w:pPr>
      <w:suppressAutoHyphens w:val="0"/>
      <w:autoSpaceDE w:val="0"/>
      <w:autoSpaceDN w:val="0"/>
      <w:spacing w:before="100" w:after="100"/>
      <w:jc w:val="both"/>
    </w:pPr>
    <w:rPr>
      <w:rFonts w:ascii="Verdana" w:eastAsia="Calibri" w:hAnsi="Verdana" w:cs="Calibri"/>
      <w:color w:val="333333"/>
      <w:sz w:val="18"/>
      <w:szCs w:val="18"/>
      <w:lang w:val="es-CR" w:eastAsia="es-ES"/>
    </w:rPr>
  </w:style>
  <w:style w:type="paragraph" w:customStyle="1" w:styleId="xl26">
    <w:name w:val="xl26"/>
    <w:basedOn w:val="Normal"/>
    <w:uiPriority w:val="99"/>
    <w:qFormat/>
    <w:rsid w:val="00B15F7D"/>
    <w:pPr>
      <w:suppressAutoHyphens w:val="0"/>
      <w:autoSpaceDN w:val="0"/>
      <w:spacing w:before="100" w:beforeAutospacing="1" w:after="100" w:afterAutospacing="1"/>
      <w:jc w:val="center"/>
    </w:pPr>
    <w:rPr>
      <w:rFonts w:ascii="Arial" w:eastAsia="Calibri" w:hAnsi="Arial" w:cs="Arial"/>
      <w:b/>
      <w:bCs/>
      <w:lang w:val="es-CR" w:eastAsia="es-ES"/>
    </w:rPr>
  </w:style>
  <w:style w:type="paragraph" w:customStyle="1" w:styleId="Prrafodelista3">
    <w:name w:val="Párrafo de lista3"/>
    <w:basedOn w:val="Normal"/>
    <w:uiPriority w:val="34"/>
    <w:qFormat/>
    <w:rsid w:val="00B15F7D"/>
    <w:pPr>
      <w:suppressAutoHyphens w:val="0"/>
      <w:autoSpaceDN w:val="0"/>
      <w:spacing w:after="200" w:line="276" w:lineRule="auto"/>
      <w:ind w:left="720"/>
      <w:contextualSpacing/>
    </w:pPr>
    <w:rPr>
      <w:rFonts w:ascii="Liberation Serif" w:eastAsia="Calibri" w:hAnsi="Liberation Serif" w:cs="Liberation Serif"/>
      <w:sz w:val="22"/>
      <w:szCs w:val="22"/>
      <w:lang w:val="es-CR" w:eastAsia="zh-CN"/>
    </w:rPr>
  </w:style>
  <w:style w:type="paragraph" w:customStyle="1" w:styleId="Prrafodelista3CxSpFirst">
    <w:name w:val="Párrafo de lista3CxSpFirst"/>
    <w:basedOn w:val="Normal"/>
    <w:uiPriority w:val="99"/>
    <w:qFormat/>
    <w:rsid w:val="00B15F7D"/>
    <w:pPr>
      <w:suppressAutoHyphens w:val="0"/>
      <w:spacing w:before="100" w:beforeAutospacing="1" w:after="100" w:afterAutospacing="1" w:line="252" w:lineRule="auto"/>
    </w:pPr>
    <w:rPr>
      <w:rFonts w:eastAsia="Calibri"/>
      <w:lang w:val="es-CR" w:eastAsia="es-CR"/>
    </w:rPr>
  </w:style>
  <w:style w:type="paragraph" w:customStyle="1" w:styleId="Prrafodelista3CxSpMiddle">
    <w:name w:val="Párrafo de lista3CxSpMiddle"/>
    <w:basedOn w:val="Normal"/>
    <w:uiPriority w:val="99"/>
    <w:qFormat/>
    <w:rsid w:val="00B15F7D"/>
    <w:pPr>
      <w:suppressAutoHyphens w:val="0"/>
      <w:spacing w:before="100" w:beforeAutospacing="1" w:after="100" w:afterAutospacing="1" w:line="252" w:lineRule="auto"/>
    </w:pPr>
    <w:rPr>
      <w:rFonts w:eastAsia="Calibri"/>
      <w:lang w:val="es-CR" w:eastAsia="es-CR"/>
    </w:rPr>
  </w:style>
  <w:style w:type="paragraph" w:customStyle="1" w:styleId="Prrafodelista3CxSpLast">
    <w:name w:val="Párrafo de lista3CxSpLast"/>
    <w:basedOn w:val="Normal"/>
    <w:uiPriority w:val="99"/>
    <w:qFormat/>
    <w:rsid w:val="00B15F7D"/>
    <w:pPr>
      <w:suppressAutoHyphens w:val="0"/>
      <w:spacing w:before="100" w:beforeAutospacing="1" w:after="100" w:afterAutospacing="1" w:line="252" w:lineRule="auto"/>
    </w:pPr>
    <w:rPr>
      <w:rFonts w:eastAsia="Calibri"/>
      <w:lang w:val="es-CR" w:eastAsia="es-CR"/>
    </w:rPr>
  </w:style>
  <w:style w:type="paragraph" w:customStyle="1" w:styleId="CarCar1">
    <w:name w:val="Car Car1"/>
    <w:basedOn w:val="Normal"/>
    <w:uiPriority w:val="99"/>
    <w:qFormat/>
    <w:rsid w:val="00B15F7D"/>
    <w:pPr>
      <w:suppressAutoHyphens w:val="0"/>
      <w:autoSpaceDN w:val="0"/>
      <w:spacing w:after="160" w:line="240" w:lineRule="exact"/>
    </w:pPr>
    <w:rPr>
      <w:rFonts w:ascii="Verdana" w:eastAsia="Calibri" w:hAnsi="Verdana" w:cs="Calibri"/>
      <w:sz w:val="20"/>
      <w:szCs w:val="20"/>
      <w:lang w:val="es-CR" w:eastAsia="en-US"/>
    </w:rPr>
  </w:style>
  <w:style w:type="paragraph" w:customStyle="1" w:styleId="Arial0">
    <w:name w:val="Arial"/>
    <w:basedOn w:val="Normal"/>
    <w:uiPriority w:val="99"/>
    <w:qFormat/>
    <w:rsid w:val="00B15F7D"/>
    <w:pPr>
      <w:suppressAutoHyphens w:val="0"/>
      <w:autoSpaceDN w:val="0"/>
      <w:spacing w:after="200" w:line="360" w:lineRule="auto"/>
      <w:jc w:val="both"/>
    </w:pPr>
    <w:rPr>
      <w:rFonts w:ascii="Calibri" w:eastAsia="Calibri" w:hAnsi="Calibri" w:cs="Calibri"/>
      <w:b/>
      <w:bCs/>
      <w:color w:val="000080"/>
      <w:lang w:val="es-CR" w:eastAsia="en-US"/>
    </w:rPr>
  </w:style>
  <w:style w:type="paragraph" w:customStyle="1" w:styleId="CarCar2CarCarCarCarCarCar">
    <w:name w:val="Car Car2 Car Car Car Car Car Car"/>
    <w:basedOn w:val="Normal"/>
    <w:qFormat/>
    <w:rsid w:val="00B15F7D"/>
    <w:pPr>
      <w:suppressAutoHyphens w:val="0"/>
      <w:autoSpaceDN w:val="0"/>
      <w:spacing w:after="160" w:line="240" w:lineRule="exact"/>
    </w:pPr>
    <w:rPr>
      <w:rFonts w:ascii="Verdana" w:eastAsia="Calibri" w:hAnsi="Verdana" w:cs="Calibri"/>
      <w:sz w:val="20"/>
      <w:szCs w:val="20"/>
      <w:lang w:val="es-CR" w:eastAsia="en-US"/>
    </w:rPr>
  </w:style>
  <w:style w:type="paragraph" w:customStyle="1" w:styleId="WW-Cuerpodetexto">
    <w:name w:val="WW-Cuerpo de texto"/>
    <w:basedOn w:val="Normal"/>
    <w:uiPriority w:val="99"/>
    <w:qFormat/>
    <w:rsid w:val="00B15F7D"/>
    <w:pPr>
      <w:suppressAutoHyphens w:val="0"/>
      <w:autoSpaceDN w:val="0"/>
      <w:spacing w:after="120" w:line="100" w:lineRule="atLeast"/>
    </w:pPr>
    <w:rPr>
      <w:rFonts w:eastAsia="Calibri"/>
      <w:lang w:val="es-CR" w:eastAsia="hi-IN"/>
    </w:rPr>
  </w:style>
  <w:style w:type="paragraph" w:customStyle="1" w:styleId="Cuerpo2">
    <w:name w:val="Cuerpo 2"/>
    <w:basedOn w:val="Normal"/>
    <w:uiPriority w:val="99"/>
    <w:qFormat/>
    <w:rsid w:val="00B15F7D"/>
    <w:pPr>
      <w:suppressAutoHyphens w:val="0"/>
      <w:autoSpaceDN w:val="0"/>
      <w:spacing w:line="288" w:lineRule="auto"/>
    </w:pPr>
    <w:rPr>
      <w:rFonts w:ascii="Helvetica Neue" w:eastAsia="Calibri" w:hAnsi="Helvetica Neue" w:cs="Calibri"/>
      <w:color w:val="000000"/>
      <w:sz w:val="20"/>
      <w:szCs w:val="20"/>
      <w:lang w:val="es-CR" w:eastAsia="zh-CN"/>
    </w:rPr>
  </w:style>
  <w:style w:type="paragraph" w:customStyle="1" w:styleId="Prrafodelista4">
    <w:name w:val="Párrafo de lista4"/>
    <w:basedOn w:val="Normal"/>
    <w:uiPriority w:val="99"/>
    <w:qFormat/>
    <w:rsid w:val="00B15F7D"/>
    <w:pPr>
      <w:numPr>
        <w:numId w:val="14"/>
      </w:numPr>
      <w:suppressAutoHyphens w:val="0"/>
      <w:autoSpaceDN w:val="0"/>
      <w:spacing w:after="200" w:line="276" w:lineRule="auto"/>
      <w:ind w:left="1431"/>
      <w:contextualSpacing/>
    </w:pPr>
    <w:rPr>
      <w:rFonts w:ascii="Calibri" w:eastAsia="Calibri" w:hAnsi="Calibri" w:cs="Calibri"/>
      <w:sz w:val="22"/>
      <w:szCs w:val="22"/>
      <w:lang w:val="es-CR" w:eastAsia="en-US"/>
    </w:rPr>
  </w:style>
  <w:style w:type="paragraph" w:customStyle="1" w:styleId="Car1">
    <w:name w:val="Car1"/>
    <w:basedOn w:val="Normal"/>
    <w:qFormat/>
    <w:rsid w:val="00B15F7D"/>
    <w:pPr>
      <w:suppressAutoHyphens w:val="0"/>
      <w:autoSpaceDN w:val="0"/>
      <w:spacing w:after="160" w:line="240" w:lineRule="exact"/>
    </w:pPr>
    <w:rPr>
      <w:rFonts w:ascii="Verdana" w:eastAsia="Calibri" w:hAnsi="Verdana" w:cs="Calibri"/>
      <w:sz w:val="20"/>
      <w:szCs w:val="20"/>
      <w:lang w:val="es-CR" w:eastAsia="en-US"/>
    </w:rPr>
  </w:style>
  <w:style w:type="paragraph" w:customStyle="1" w:styleId="ListParagraph1">
    <w:name w:val="List Paragraph1"/>
    <w:basedOn w:val="Normal"/>
    <w:qFormat/>
    <w:rsid w:val="00B15F7D"/>
    <w:pPr>
      <w:suppressAutoHyphens w:val="0"/>
      <w:autoSpaceDN w:val="0"/>
      <w:ind w:left="720"/>
    </w:pPr>
    <w:rPr>
      <w:rFonts w:eastAsia="Calibri"/>
      <w:lang w:val="es-CR" w:eastAsia="es-ES"/>
    </w:rPr>
  </w:style>
  <w:style w:type="paragraph" w:customStyle="1" w:styleId="Ttulo60">
    <w:name w:val="TÍtulo 6"/>
    <w:basedOn w:val="Normal"/>
    <w:qFormat/>
    <w:rsid w:val="00B15F7D"/>
    <w:pPr>
      <w:keepNext/>
      <w:suppressAutoHyphens w:val="0"/>
      <w:overflowPunct w:val="0"/>
      <w:autoSpaceDE w:val="0"/>
      <w:autoSpaceDN w:val="0"/>
      <w:jc w:val="both"/>
    </w:pPr>
    <w:rPr>
      <w:rFonts w:ascii="Bookman Old Style" w:eastAsia="Calibri" w:hAnsi="Bookman Old Style" w:cs="Calibri"/>
      <w:spacing w:val="-3"/>
      <w:lang w:val="es-CR" w:eastAsia="es-ES"/>
    </w:rPr>
  </w:style>
  <w:style w:type="paragraph" w:customStyle="1" w:styleId="Ttulo90">
    <w:name w:val="TÕtulo 9"/>
    <w:basedOn w:val="Normal"/>
    <w:qFormat/>
    <w:rsid w:val="00B15F7D"/>
    <w:pPr>
      <w:keepNext/>
      <w:suppressAutoHyphens w:val="0"/>
      <w:overflowPunct w:val="0"/>
      <w:autoSpaceDE w:val="0"/>
      <w:autoSpaceDN w:val="0"/>
      <w:jc w:val="both"/>
    </w:pPr>
    <w:rPr>
      <w:rFonts w:ascii="Book Antiqua" w:eastAsia="Calibri" w:hAnsi="Book Antiqua" w:cs="Calibri"/>
      <w:b/>
      <w:bCs/>
      <w:sz w:val="22"/>
      <w:szCs w:val="22"/>
      <w:lang w:val="es-CR" w:eastAsia="es-ES"/>
    </w:rPr>
  </w:style>
  <w:style w:type="paragraph" w:customStyle="1" w:styleId="xl24">
    <w:name w:val="xl24"/>
    <w:basedOn w:val="Normal"/>
    <w:qFormat/>
    <w:rsid w:val="00B15F7D"/>
    <w:pPr>
      <w:suppressAutoHyphens w:val="0"/>
      <w:autoSpaceDN w:val="0"/>
      <w:spacing w:before="100" w:beforeAutospacing="1" w:after="100" w:afterAutospacing="1"/>
      <w:jc w:val="center"/>
    </w:pPr>
    <w:rPr>
      <w:rFonts w:ascii="Arial Unicode MS" w:eastAsia="Arial Unicode MS" w:hAnsi="Arial Unicode MS" w:cs="Arial Unicode MS"/>
      <w:lang w:val="es-CR" w:eastAsia="es-ES"/>
    </w:rPr>
  </w:style>
  <w:style w:type="paragraph" w:customStyle="1" w:styleId="Cpi">
    <w:name w:val="Cpi"/>
    <w:basedOn w:val="Normal"/>
    <w:qFormat/>
    <w:rsid w:val="00B15F7D"/>
    <w:pPr>
      <w:shd w:val="clear" w:color="auto" w:fill="FFFFFF"/>
      <w:suppressAutoHyphens w:val="0"/>
      <w:autoSpaceDE w:val="0"/>
      <w:autoSpaceDN w:val="0"/>
      <w:spacing w:line="360" w:lineRule="auto"/>
    </w:pPr>
    <w:rPr>
      <w:rFonts w:eastAsia="Calibri"/>
      <w:sz w:val="28"/>
      <w:szCs w:val="28"/>
      <w:lang w:val="es-CR" w:eastAsia="es-ES"/>
    </w:rPr>
  </w:style>
  <w:style w:type="paragraph" w:customStyle="1" w:styleId="Epgrafe1">
    <w:name w:val="Epígrafe1"/>
    <w:basedOn w:val="Normal"/>
    <w:uiPriority w:val="35"/>
    <w:qFormat/>
    <w:rsid w:val="00B15F7D"/>
    <w:pPr>
      <w:numPr>
        <w:ilvl w:val="12"/>
      </w:numPr>
      <w:suppressAutoHyphens w:val="0"/>
      <w:autoSpaceDN w:val="0"/>
      <w:spacing w:line="360" w:lineRule="auto"/>
      <w:jc w:val="both"/>
    </w:pPr>
    <w:rPr>
      <w:rFonts w:eastAsia="Calibri"/>
      <w:b/>
      <w:bCs/>
      <w:sz w:val="26"/>
      <w:szCs w:val="26"/>
      <w:lang w:val="es-CR" w:eastAsia="es-ES"/>
    </w:rPr>
  </w:style>
  <w:style w:type="paragraph" w:customStyle="1" w:styleId="CharChar1000">
    <w:name w:val="Char Char1000"/>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Car18">
    <w:name w:val="Car18"/>
    <w:basedOn w:val="Normal"/>
    <w:uiPriority w:val="99"/>
    <w:semiHidden/>
    <w:qFormat/>
    <w:rsid w:val="00B15F7D"/>
    <w:pPr>
      <w:suppressAutoHyphens w:val="0"/>
      <w:spacing w:after="160" w:line="240" w:lineRule="exact"/>
    </w:pPr>
    <w:rPr>
      <w:rFonts w:ascii="Verdana" w:eastAsia="Calibri" w:hAnsi="Verdana" w:cs="Calibri"/>
      <w:sz w:val="20"/>
      <w:szCs w:val="20"/>
      <w:lang w:val="es-CR" w:eastAsia="es-ES"/>
    </w:rPr>
  </w:style>
  <w:style w:type="paragraph" w:customStyle="1" w:styleId="CharChar18">
    <w:name w:val="Char Char18"/>
    <w:basedOn w:val="Normal"/>
    <w:uiPriority w:val="99"/>
    <w:semiHidden/>
    <w:qFormat/>
    <w:rsid w:val="00B15F7D"/>
    <w:pPr>
      <w:suppressAutoHyphens w:val="0"/>
      <w:spacing w:after="160" w:line="240" w:lineRule="exact"/>
    </w:pPr>
    <w:rPr>
      <w:rFonts w:ascii="Verdana" w:eastAsia="Calibri" w:hAnsi="Verdana" w:cs="Calibri"/>
      <w:sz w:val="20"/>
      <w:szCs w:val="20"/>
      <w:lang w:val="es-CR" w:eastAsia="en-US"/>
    </w:rPr>
  </w:style>
  <w:style w:type="paragraph" w:customStyle="1" w:styleId="Prrafodelista17">
    <w:name w:val="Párrafo de lista17"/>
    <w:basedOn w:val="Normal"/>
    <w:qFormat/>
    <w:rsid w:val="00B15F7D"/>
    <w:pPr>
      <w:shd w:val="clear" w:color="auto" w:fill="FFFFFF"/>
      <w:suppressAutoHyphens w:val="0"/>
      <w:autoSpaceDE w:val="0"/>
      <w:autoSpaceDN w:val="0"/>
      <w:ind w:left="708"/>
    </w:pPr>
    <w:rPr>
      <w:rFonts w:ascii="Arial" w:eastAsia="Calibri" w:hAnsi="Arial" w:cs="Arial"/>
      <w:sz w:val="20"/>
      <w:szCs w:val="20"/>
      <w:lang w:val="es-CR" w:eastAsia="es-ES"/>
    </w:rPr>
  </w:style>
  <w:style w:type="paragraph" w:customStyle="1" w:styleId="CarCarCarCarCarCar5">
    <w:name w:val="Car Car Car Car Car Car5"/>
    <w:basedOn w:val="Normal"/>
    <w:uiPriority w:val="99"/>
    <w:semiHidden/>
    <w:qFormat/>
    <w:rsid w:val="00B15F7D"/>
    <w:pPr>
      <w:suppressAutoHyphens w:val="0"/>
      <w:spacing w:after="160" w:line="240" w:lineRule="exact"/>
    </w:pPr>
    <w:rPr>
      <w:rFonts w:ascii="Verdana" w:eastAsia="Calibri" w:hAnsi="Verdana" w:cs="Calibri"/>
      <w:sz w:val="20"/>
      <w:szCs w:val="20"/>
      <w:lang w:val="es-CR" w:eastAsia="en-US"/>
    </w:rPr>
  </w:style>
  <w:style w:type="paragraph" w:customStyle="1" w:styleId="Textodebloque13">
    <w:name w:val="Texto de bloque13"/>
    <w:basedOn w:val="Normal"/>
    <w:uiPriority w:val="99"/>
    <w:semiHidden/>
    <w:qFormat/>
    <w:rsid w:val="00B15F7D"/>
    <w:pPr>
      <w:suppressAutoHyphens w:val="0"/>
      <w:autoSpaceDE w:val="0"/>
      <w:ind w:left="-540" w:right="-415" w:firstLine="1248"/>
      <w:jc w:val="both"/>
    </w:pPr>
    <w:rPr>
      <w:rFonts w:ascii="Arial" w:eastAsia="Calibri" w:hAnsi="Arial" w:cs="Arial"/>
      <w:lang w:val="es-CR" w:eastAsia="zh-CN"/>
    </w:rPr>
  </w:style>
  <w:style w:type="paragraph" w:customStyle="1" w:styleId="Textoindependiente224">
    <w:name w:val="Texto independiente 224"/>
    <w:basedOn w:val="Normal"/>
    <w:uiPriority w:val="99"/>
    <w:semiHidden/>
    <w:qFormat/>
    <w:rsid w:val="00B15F7D"/>
    <w:pPr>
      <w:suppressAutoHyphens w:val="0"/>
      <w:spacing w:line="360" w:lineRule="auto"/>
      <w:jc w:val="both"/>
    </w:pPr>
    <w:rPr>
      <w:rFonts w:ascii="Arial" w:eastAsia="Calibri" w:hAnsi="Arial" w:cs="Arial"/>
      <w:lang w:val="es-CR" w:eastAsia="es-ES"/>
    </w:rPr>
  </w:style>
  <w:style w:type="paragraph" w:customStyle="1" w:styleId="Sangra2detindependiente13">
    <w:name w:val="Sangría 2 de t. independiente13"/>
    <w:basedOn w:val="Normal"/>
    <w:uiPriority w:val="99"/>
    <w:semiHidden/>
    <w:qFormat/>
    <w:rsid w:val="00B15F7D"/>
    <w:pPr>
      <w:suppressAutoHyphens w:val="0"/>
      <w:overflowPunct w:val="0"/>
      <w:autoSpaceDE w:val="0"/>
      <w:ind w:left="2835" w:hanging="2835"/>
      <w:jc w:val="both"/>
    </w:pPr>
    <w:rPr>
      <w:rFonts w:ascii="Georgia" w:eastAsia="Calibri" w:hAnsi="Georgia" w:cs="Calibri"/>
      <w:sz w:val="28"/>
      <w:szCs w:val="28"/>
      <w:lang w:val="es-CR" w:eastAsia="zh-CN"/>
    </w:rPr>
  </w:style>
  <w:style w:type="paragraph" w:customStyle="1" w:styleId="CharChar17">
    <w:name w:val="Char Char17"/>
    <w:basedOn w:val="Normal"/>
    <w:uiPriority w:val="99"/>
    <w:semiHidden/>
    <w:qFormat/>
    <w:rsid w:val="00B15F7D"/>
    <w:pPr>
      <w:suppressAutoHyphens w:val="0"/>
      <w:spacing w:after="160" w:line="240" w:lineRule="exact"/>
    </w:pPr>
    <w:rPr>
      <w:rFonts w:ascii="Verdana" w:eastAsia="Calibri" w:hAnsi="Verdana" w:cs="Calibri"/>
      <w:sz w:val="20"/>
      <w:szCs w:val="20"/>
      <w:lang w:val="es-CR" w:eastAsia="en-US"/>
    </w:rPr>
  </w:style>
  <w:style w:type="paragraph" w:customStyle="1" w:styleId="xmsolistparagraph">
    <w:name w:val="x_msolistparagraph"/>
    <w:basedOn w:val="Normal"/>
    <w:qFormat/>
    <w:rsid w:val="00B15F7D"/>
    <w:pPr>
      <w:suppressAutoHyphens w:val="0"/>
      <w:spacing w:before="100" w:beforeAutospacing="1" w:after="100" w:afterAutospacing="1"/>
    </w:pPr>
    <w:rPr>
      <w:rFonts w:eastAsia="Calibri"/>
      <w:lang w:val="es-CR" w:eastAsia="es-CR"/>
    </w:rPr>
  </w:style>
  <w:style w:type="paragraph" w:customStyle="1" w:styleId="Prrafodelista11">
    <w:name w:val="Párrafo de lista11"/>
    <w:basedOn w:val="Normal"/>
    <w:uiPriority w:val="34"/>
    <w:qFormat/>
    <w:rsid w:val="00B15F7D"/>
    <w:pPr>
      <w:shd w:val="clear" w:color="auto" w:fill="FFFFFF"/>
      <w:suppressAutoHyphens w:val="0"/>
      <w:autoSpaceDE w:val="0"/>
      <w:autoSpaceDN w:val="0"/>
      <w:ind w:left="708"/>
    </w:pPr>
    <w:rPr>
      <w:rFonts w:ascii="Arial" w:eastAsia="Calibri" w:hAnsi="Arial" w:cs="Arial"/>
      <w:lang w:val="es-CR" w:eastAsia="es-ES"/>
    </w:rPr>
  </w:style>
  <w:style w:type="paragraph" w:customStyle="1" w:styleId="Ttulo4-1">
    <w:name w:val="Título 4-1"/>
    <w:basedOn w:val="Normal"/>
    <w:uiPriority w:val="99"/>
    <w:qFormat/>
    <w:rsid w:val="00B15F7D"/>
    <w:pPr>
      <w:keepNext/>
      <w:shd w:val="clear" w:color="auto" w:fill="FFFFFF"/>
      <w:suppressAutoHyphens w:val="0"/>
      <w:autoSpaceDE w:val="0"/>
      <w:ind w:left="2880" w:hanging="360"/>
      <w:jc w:val="center"/>
    </w:pPr>
    <w:rPr>
      <w:rFonts w:eastAsia="Calibri"/>
      <w:b/>
      <w:bCs/>
      <w:sz w:val="32"/>
      <w:szCs w:val="32"/>
      <w:lang w:val="es-CR" w:eastAsia="en-US"/>
    </w:rPr>
  </w:style>
  <w:style w:type="paragraph" w:customStyle="1" w:styleId="Sinespaciado2">
    <w:name w:val="Sin espaciado2"/>
    <w:basedOn w:val="Normal"/>
    <w:uiPriority w:val="99"/>
    <w:qFormat/>
    <w:rsid w:val="00B15F7D"/>
    <w:pPr>
      <w:suppressAutoHyphens w:val="0"/>
    </w:pPr>
    <w:rPr>
      <w:rFonts w:ascii="Calibri" w:eastAsia="Calibri" w:hAnsi="Calibri" w:cs="Calibri"/>
      <w:sz w:val="22"/>
      <w:szCs w:val="22"/>
      <w:lang w:val="es-CR" w:eastAsia="en-US"/>
    </w:rPr>
  </w:style>
  <w:style w:type="paragraph" w:customStyle="1" w:styleId="Estilo5">
    <w:name w:val="Estilo5"/>
    <w:basedOn w:val="Normal"/>
    <w:uiPriority w:val="99"/>
    <w:qFormat/>
    <w:rsid w:val="00B15F7D"/>
    <w:pPr>
      <w:suppressAutoHyphens w:val="0"/>
      <w:ind w:firstLine="680"/>
    </w:pPr>
    <w:rPr>
      <w:rFonts w:eastAsia="Calibri"/>
      <w:b/>
      <w:bCs/>
      <w:sz w:val="32"/>
      <w:szCs w:val="32"/>
      <w:lang w:val="es-CR" w:eastAsia="es-ES"/>
    </w:rPr>
  </w:style>
  <w:style w:type="paragraph" w:customStyle="1" w:styleId="TtulodeTDC1">
    <w:name w:val="Título de TDC1"/>
    <w:basedOn w:val="Normal"/>
    <w:uiPriority w:val="99"/>
    <w:qFormat/>
    <w:rsid w:val="00B15F7D"/>
    <w:pPr>
      <w:keepNext/>
      <w:suppressAutoHyphens w:val="0"/>
      <w:spacing w:before="480" w:line="276" w:lineRule="auto"/>
    </w:pPr>
    <w:rPr>
      <w:rFonts w:ascii="Calibri" w:eastAsia="Calibri" w:hAnsi="Calibri" w:cs="Calibri"/>
      <w:b/>
      <w:bCs/>
      <w:color w:val="365F91"/>
      <w:sz w:val="28"/>
      <w:szCs w:val="28"/>
      <w:lang w:val="es-CR" w:eastAsia="es-CR"/>
    </w:rPr>
  </w:style>
  <w:style w:type="paragraph" w:customStyle="1" w:styleId="Titulo2">
    <w:name w:val="Titulo 2"/>
    <w:basedOn w:val="Normal"/>
    <w:uiPriority w:val="99"/>
    <w:qFormat/>
    <w:rsid w:val="00B15F7D"/>
    <w:pPr>
      <w:suppressAutoHyphens w:val="0"/>
      <w:ind w:firstLine="680"/>
    </w:pPr>
    <w:rPr>
      <w:rFonts w:eastAsia="Calibri"/>
      <w:b/>
      <w:bCs/>
      <w:sz w:val="32"/>
      <w:szCs w:val="32"/>
      <w:lang w:val="es-CR" w:eastAsia="es-ES"/>
    </w:rPr>
  </w:style>
  <w:style w:type="paragraph" w:customStyle="1" w:styleId="TDocCover02Subtitle">
    <w:name w:val="TDoc_Cover 02_Subtitle"/>
    <w:basedOn w:val="Normal"/>
    <w:uiPriority w:val="99"/>
    <w:qFormat/>
    <w:rsid w:val="00B15F7D"/>
    <w:pPr>
      <w:framePr w:hSpace="187" w:wrap="around" w:vAnchor="page" w:hAnchor="margin" w:y="865"/>
      <w:suppressAutoHyphens w:val="0"/>
      <w:jc w:val="right"/>
    </w:pPr>
    <w:rPr>
      <w:rFonts w:ascii="Arial Black" w:eastAsia="Calibri" w:hAnsi="Arial Black" w:cs="Calibri"/>
      <w:color w:val="808080"/>
      <w:sz w:val="18"/>
      <w:szCs w:val="18"/>
      <w:lang w:val="es-CR" w:eastAsia="en-US"/>
    </w:rPr>
  </w:style>
  <w:style w:type="paragraph" w:customStyle="1" w:styleId="TDocCover05Header-Footer">
    <w:name w:val="TDoc_Cover 05_Header-Footer"/>
    <w:basedOn w:val="Normal"/>
    <w:uiPriority w:val="99"/>
    <w:qFormat/>
    <w:rsid w:val="00B15F7D"/>
    <w:pPr>
      <w:suppressAutoHyphens w:val="0"/>
    </w:pPr>
    <w:rPr>
      <w:rFonts w:ascii="Arial" w:eastAsia="Calibri" w:hAnsi="Arial" w:cs="Arial"/>
      <w:b/>
      <w:bCs/>
      <w:color w:val="808080"/>
      <w:sz w:val="16"/>
      <w:szCs w:val="16"/>
      <w:lang w:val="es-CR" w:eastAsia="en-US"/>
    </w:rPr>
  </w:style>
  <w:style w:type="paragraph" w:customStyle="1" w:styleId="Ttulo2-Vale">
    <w:name w:val="Título 2-Vale"/>
    <w:basedOn w:val="Normal"/>
    <w:uiPriority w:val="99"/>
    <w:qFormat/>
    <w:rsid w:val="00B15F7D"/>
    <w:pPr>
      <w:keepNext/>
      <w:suppressAutoHyphens w:val="0"/>
      <w:ind w:firstLine="709"/>
      <w:jc w:val="center"/>
    </w:pPr>
    <w:rPr>
      <w:rFonts w:eastAsia="Calibri"/>
      <w:b/>
      <w:bCs/>
      <w:sz w:val="32"/>
      <w:szCs w:val="32"/>
      <w:u w:val="single"/>
      <w:lang w:val="es-CR" w:eastAsia="es-ES"/>
    </w:rPr>
  </w:style>
  <w:style w:type="paragraph" w:customStyle="1" w:styleId="Contenidodelista">
    <w:name w:val="Contenido de lista"/>
    <w:basedOn w:val="Normal"/>
    <w:uiPriority w:val="99"/>
    <w:qFormat/>
    <w:rsid w:val="00B15F7D"/>
    <w:pPr>
      <w:suppressAutoHyphens w:val="0"/>
      <w:overflowPunct w:val="0"/>
      <w:autoSpaceDE w:val="0"/>
      <w:autoSpaceDN w:val="0"/>
      <w:ind w:left="567"/>
    </w:pPr>
    <w:rPr>
      <w:rFonts w:ascii="Nimbus Roman No9 L" w:eastAsia="Calibri" w:hAnsi="Nimbus Roman No9 L" w:cs="Calibri"/>
      <w:lang w:val="es-CR" w:eastAsia="es-ES"/>
    </w:rPr>
  </w:style>
  <w:style w:type="paragraph" w:customStyle="1" w:styleId="Encabezamientodelista">
    <w:name w:val="Encabezamiento de lista"/>
    <w:basedOn w:val="Normal"/>
    <w:uiPriority w:val="99"/>
    <w:qFormat/>
    <w:rsid w:val="00B15F7D"/>
    <w:pPr>
      <w:suppressAutoHyphens w:val="0"/>
      <w:overflowPunct w:val="0"/>
      <w:autoSpaceDE w:val="0"/>
      <w:autoSpaceDN w:val="0"/>
    </w:pPr>
    <w:rPr>
      <w:rFonts w:ascii="Nimbus Roman No9 L" w:eastAsia="Calibri" w:hAnsi="Nimbus Roman No9 L" w:cs="Calibri"/>
      <w:lang w:val="es-CR" w:eastAsia="es-ES"/>
    </w:rPr>
  </w:style>
  <w:style w:type="paragraph" w:customStyle="1" w:styleId="NormaldespesTabla">
    <w:name w:val="Normal despúes Tabla"/>
    <w:basedOn w:val="Normal"/>
    <w:uiPriority w:val="99"/>
    <w:qFormat/>
    <w:rsid w:val="00B15F7D"/>
    <w:pPr>
      <w:suppressAutoHyphens w:val="0"/>
      <w:autoSpaceDE w:val="0"/>
      <w:autoSpaceDN w:val="0"/>
      <w:spacing w:before="120" w:after="120"/>
      <w:ind w:left="851"/>
      <w:jc w:val="both"/>
    </w:pPr>
    <w:rPr>
      <w:rFonts w:ascii="Tahoma" w:eastAsia="Calibri" w:hAnsi="Tahoma" w:cs="Tahoma"/>
      <w:sz w:val="20"/>
      <w:szCs w:val="20"/>
      <w:lang w:val="es-CR" w:eastAsia="es-ES"/>
    </w:rPr>
  </w:style>
  <w:style w:type="paragraph" w:customStyle="1" w:styleId="Ttulo61">
    <w:name w:val="T’tulo 6"/>
    <w:basedOn w:val="Normal"/>
    <w:uiPriority w:val="99"/>
    <w:qFormat/>
    <w:rsid w:val="00B15F7D"/>
    <w:pPr>
      <w:keepNext/>
      <w:suppressAutoHyphens w:val="0"/>
      <w:autoSpaceDE w:val="0"/>
      <w:autoSpaceDN w:val="0"/>
      <w:jc w:val="center"/>
    </w:pPr>
    <w:rPr>
      <w:rFonts w:ascii="Arial" w:eastAsia="Calibri" w:hAnsi="Arial" w:cs="Arial"/>
      <w:b/>
      <w:bCs/>
      <w:spacing w:val="-3"/>
      <w:sz w:val="22"/>
      <w:szCs w:val="22"/>
      <w:lang w:val="es-CR" w:eastAsia="es-ES"/>
    </w:rPr>
  </w:style>
  <w:style w:type="paragraph" w:customStyle="1" w:styleId="Piedepgina0">
    <w:name w:val="Pie de p‡gina"/>
    <w:basedOn w:val="Normal"/>
    <w:uiPriority w:val="99"/>
    <w:qFormat/>
    <w:rsid w:val="00B15F7D"/>
    <w:pPr>
      <w:suppressAutoHyphens w:val="0"/>
      <w:autoSpaceDE w:val="0"/>
      <w:autoSpaceDN w:val="0"/>
    </w:pPr>
    <w:rPr>
      <w:rFonts w:ascii="Arial" w:eastAsia="Calibri" w:hAnsi="Arial" w:cs="Arial"/>
      <w:lang w:val="es-CR" w:eastAsia="es-ES"/>
    </w:rPr>
  </w:style>
  <w:style w:type="paragraph" w:customStyle="1" w:styleId="NormalTabla">
    <w:name w:val="Normal Tabla"/>
    <w:basedOn w:val="Normal"/>
    <w:uiPriority w:val="99"/>
    <w:qFormat/>
    <w:rsid w:val="00B15F7D"/>
    <w:pPr>
      <w:suppressAutoHyphens w:val="0"/>
      <w:autoSpaceDE w:val="0"/>
      <w:autoSpaceDN w:val="0"/>
      <w:spacing w:before="60" w:after="60"/>
    </w:pPr>
    <w:rPr>
      <w:rFonts w:ascii="Tahoma" w:eastAsia="Calibri" w:hAnsi="Tahoma" w:cs="Tahoma"/>
      <w:sz w:val="18"/>
      <w:szCs w:val="18"/>
      <w:lang w:val="es-CR" w:eastAsia="es-ES"/>
    </w:rPr>
  </w:style>
  <w:style w:type="paragraph" w:customStyle="1" w:styleId="NormalTabla10">
    <w:name w:val="Normal Tabla 10"/>
    <w:basedOn w:val="Normal"/>
    <w:uiPriority w:val="99"/>
    <w:qFormat/>
    <w:rsid w:val="00B15F7D"/>
    <w:pPr>
      <w:suppressAutoHyphens w:val="0"/>
      <w:autoSpaceDE w:val="0"/>
      <w:autoSpaceDN w:val="0"/>
      <w:spacing w:before="60" w:after="60"/>
    </w:pPr>
    <w:rPr>
      <w:rFonts w:ascii="Tahoma" w:eastAsia="Calibri" w:hAnsi="Tahoma" w:cs="Tahoma"/>
      <w:sz w:val="20"/>
      <w:szCs w:val="20"/>
      <w:lang w:val="es-CR" w:eastAsia="es-ES"/>
    </w:rPr>
  </w:style>
  <w:style w:type="paragraph" w:customStyle="1" w:styleId="Ttulo50">
    <w:name w:val="T’tulo 5"/>
    <w:basedOn w:val="Normal"/>
    <w:uiPriority w:val="99"/>
    <w:qFormat/>
    <w:rsid w:val="00B15F7D"/>
    <w:pPr>
      <w:keepNext/>
      <w:suppressAutoHyphens w:val="0"/>
      <w:autoSpaceDE w:val="0"/>
      <w:autoSpaceDN w:val="0"/>
      <w:jc w:val="both"/>
    </w:pPr>
    <w:rPr>
      <w:rFonts w:ascii="Arial" w:eastAsia="Calibri" w:hAnsi="Arial" w:cs="Arial"/>
      <w:b/>
      <w:bCs/>
      <w:spacing w:val="-3"/>
      <w:lang w:val="es-CR" w:eastAsia="es-ES"/>
    </w:rPr>
  </w:style>
  <w:style w:type="paragraph" w:customStyle="1" w:styleId="CapituloNombre">
    <w:name w:val="Capitulo Nombre"/>
    <w:basedOn w:val="Normal"/>
    <w:uiPriority w:val="99"/>
    <w:qFormat/>
    <w:rsid w:val="00B15F7D"/>
    <w:pPr>
      <w:suppressAutoHyphens w:val="0"/>
      <w:autoSpaceDE w:val="0"/>
      <w:autoSpaceDN w:val="0"/>
      <w:spacing w:before="120" w:after="480"/>
      <w:jc w:val="center"/>
    </w:pPr>
    <w:rPr>
      <w:rFonts w:ascii="Tahoma" w:eastAsia="Calibri" w:hAnsi="Tahoma" w:cs="Tahoma"/>
      <w:b/>
      <w:bCs/>
      <w:smallCaps/>
      <w:color w:val="800000"/>
      <w:sz w:val="40"/>
      <w:szCs w:val="40"/>
      <w:lang w:val="es-CR" w:eastAsia="es-ES"/>
    </w:rPr>
  </w:style>
  <w:style w:type="paragraph" w:customStyle="1" w:styleId="NormalNegrita">
    <w:name w:val="Normal Negrita"/>
    <w:basedOn w:val="Normal"/>
    <w:uiPriority w:val="99"/>
    <w:qFormat/>
    <w:rsid w:val="00B15F7D"/>
    <w:pPr>
      <w:keepNext/>
      <w:suppressAutoHyphens w:val="0"/>
      <w:autoSpaceDE w:val="0"/>
      <w:autoSpaceDN w:val="0"/>
      <w:spacing w:before="120" w:after="120"/>
      <w:ind w:left="851"/>
      <w:jc w:val="both"/>
    </w:pPr>
    <w:rPr>
      <w:rFonts w:ascii="Tahoma" w:eastAsia="Calibri" w:hAnsi="Tahoma" w:cs="Tahoma"/>
      <w:b/>
      <w:bCs/>
      <w:sz w:val="20"/>
      <w:szCs w:val="20"/>
      <w:lang w:val="es-CR" w:eastAsia="es-ES"/>
    </w:rPr>
  </w:style>
  <w:style w:type="paragraph" w:customStyle="1" w:styleId="Figura">
    <w:name w:val="Figura"/>
    <w:basedOn w:val="Normal"/>
    <w:uiPriority w:val="99"/>
    <w:qFormat/>
    <w:rsid w:val="00B15F7D"/>
    <w:pPr>
      <w:suppressAutoHyphens w:val="0"/>
      <w:autoSpaceDE w:val="0"/>
      <w:autoSpaceDN w:val="0"/>
      <w:spacing w:before="60"/>
      <w:ind w:left="851"/>
      <w:jc w:val="center"/>
    </w:pPr>
    <w:rPr>
      <w:rFonts w:ascii="Tahoma" w:eastAsia="Calibri" w:hAnsi="Tahoma" w:cs="Tahoma"/>
      <w:sz w:val="20"/>
      <w:szCs w:val="20"/>
      <w:lang w:val="es-CR" w:eastAsia="es-ES"/>
    </w:rPr>
  </w:style>
  <w:style w:type="paragraph" w:customStyle="1" w:styleId="Textoindependiente23">
    <w:name w:val="Texto independiente 23"/>
    <w:basedOn w:val="Normal"/>
    <w:uiPriority w:val="99"/>
    <w:qFormat/>
    <w:rsid w:val="00B15F7D"/>
    <w:pPr>
      <w:suppressAutoHyphens w:val="0"/>
      <w:overflowPunct w:val="0"/>
      <w:autoSpaceDE w:val="0"/>
      <w:autoSpaceDN w:val="0"/>
      <w:jc w:val="both"/>
    </w:pPr>
    <w:rPr>
      <w:rFonts w:ascii="Arial" w:eastAsia="Calibri" w:hAnsi="Arial" w:cs="Arial"/>
      <w:i/>
      <w:iCs/>
      <w:lang w:val="es-CR" w:eastAsia="es-ES"/>
    </w:rPr>
  </w:style>
  <w:style w:type="paragraph" w:customStyle="1" w:styleId="Nombredireccininterior">
    <w:name w:val="Nombre dirección interior"/>
    <w:basedOn w:val="Normal"/>
    <w:uiPriority w:val="99"/>
    <w:qFormat/>
    <w:rsid w:val="00B15F7D"/>
    <w:pPr>
      <w:suppressAutoHyphens w:val="0"/>
      <w:spacing w:before="220" w:line="240" w:lineRule="atLeast"/>
      <w:jc w:val="both"/>
    </w:pPr>
    <w:rPr>
      <w:rFonts w:ascii="Arial" w:eastAsia="Calibri" w:hAnsi="Arial" w:cs="Arial"/>
      <w:lang w:val="es-CR" w:eastAsia="es-ES"/>
    </w:rPr>
  </w:style>
  <w:style w:type="paragraph" w:customStyle="1" w:styleId="gmail-msolistparagraph">
    <w:name w:val="gmail-msolistparagraph"/>
    <w:basedOn w:val="Normal"/>
    <w:uiPriority w:val="99"/>
    <w:qFormat/>
    <w:rsid w:val="00B15F7D"/>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Ttulo52">
    <w:name w:val="Título 52"/>
    <w:basedOn w:val="Normal"/>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Car17">
    <w:name w:val="Car17"/>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CharChar16">
    <w:name w:val="Char Char16"/>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5">
    <w:name w:val="5"/>
    <w:basedOn w:val="Normal"/>
    <w:uiPriority w:val="39"/>
    <w:qFormat/>
    <w:rsid w:val="00B15F7D"/>
    <w:pPr>
      <w:shd w:val="clear" w:color="auto" w:fill="4F81BD"/>
      <w:suppressAutoHyphens w:val="0"/>
    </w:pPr>
    <w:rPr>
      <w:rFonts w:ascii="Arial" w:eastAsia="Calibri" w:hAnsi="Arial" w:cs="Arial"/>
      <w:b/>
      <w:bCs/>
      <w:smallCaps/>
      <w:color w:val="000080"/>
      <w:spacing w:val="15"/>
      <w:sz w:val="28"/>
      <w:szCs w:val="28"/>
      <w:lang w:val="es-CR" w:eastAsia="en-US"/>
    </w:rPr>
  </w:style>
  <w:style w:type="paragraph" w:customStyle="1" w:styleId="Textoindependiente211">
    <w:name w:val="Texto independiente 211"/>
    <w:basedOn w:val="Normal"/>
    <w:uiPriority w:val="99"/>
    <w:qFormat/>
    <w:rsid w:val="00B15F7D"/>
    <w:pPr>
      <w:suppressAutoHyphens w:val="0"/>
      <w:overflowPunct w:val="0"/>
      <w:autoSpaceDE w:val="0"/>
      <w:autoSpaceDN w:val="0"/>
      <w:jc w:val="both"/>
    </w:pPr>
    <w:rPr>
      <w:rFonts w:ascii="Arial" w:eastAsia="Calibri" w:hAnsi="Arial" w:cs="Arial"/>
      <w:i/>
      <w:iCs/>
      <w:lang w:val="es-CR" w:eastAsia="es-ES"/>
    </w:rPr>
  </w:style>
  <w:style w:type="paragraph" w:customStyle="1" w:styleId="CarCarCarCarCarCar4">
    <w:name w:val="Car Car Car Car Car Car4"/>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Ttulo25">
    <w:name w:val="Título 25"/>
    <w:basedOn w:val="Normal"/>
    <w:qFormat/>
    <w:rsid w:val="00B15F7D"/>
    <w:pPr>
      <w:keepNext/>
      <w:shd w:val="clear" w:color="auto" w:fill="FFFFFF"/>
      <w:suppressAutoHyphens w:val="0"/>
      <w:autoSpaceDE w:val="0"/>
      <w:spacing w:line="480" w:lineRule="auto"/>
      <w:jc w:val="both"/>
    </w:pPr>
    <w:rPr>
      <w:rFonts w:ascii="Arial" w:eastAsia="Calibri" w:hAnsi="Arial" w:cs="Arial"/>
      <w:b/>
      <w:bCs/>
      <w:u w:val="single"/>
      <w:lang w:val="es-CR" w:eastAsia="es-CR"/>
    </w:rPr>
  </w:style>
  <w:style w:type="paragraph" w:customStyle="1" w:styleId="Style5">
    <w:name w:val="Style 5"/>
    <w:basedOn w:val="Normal"/>
    <w:qFormat/>
    <w:rsid w:val="00B15F7D"/>
    <w:pPr>
      <w:suppressAutoHyphens w:val="0"/>
      <w:autoSpaceDE w:val="0"/>
    </w:pPr>
    <w:rPr>
      <w:rFonts w:ascii="Verdana" w:eastAsia="Calibri" w:hAnsi="Verdana" w:cs="Calibri"/>
      <w:i/>
      <w:iCs/>
      <w:sz w:val="22"/>
      <w:szCs w:val="22"/>
      <w:lang w:val="es-CR" w:eastAsia="zh-CN"/>
    </w:rPr>
  </w:style>
  <w:style w:type="paragraph" w:customStyle="1" w:styleId="Style2">
    <w:name w:val="Style 2"/>
    <w:basedOn w:val="Normal"/>
    <w:uiPriority w:val="99"/>
    <w:qFormat/>
    <w:rsid w:val="00B15F7D"/>
    <w:pPr>
      <w:suppressAutoHyphens w:val="0"/>
      <w:autoSpaceDE w:val="0"/>
      <w:autoSpaceDN w:val="0"/>
      <w:spacing w:line="348" w:lineRule="auto"/>
      <w:ind w:right="72"/>
      <w:jc w:val="both"/>
    </w:pPr>
    <w:rPr>
      <w:rFonts w:eastAsia="Calibri"/>
      <w:i/>
      <w:iCs/>
      <w:sz w:val="29"/>
      <w:szCs w:val="29"/>
      <w:lang w:val="es-CR" w:eastAsia="en-US"/>
    </w:rPr>
  </w:style>
  <w:style w:type="paragraph" w:customStyle="1" w:styleId="Style6">
    <w:name w:val="Style 6"/>
    <w:basedOn w:val="Normal"/>
    <w:uiPriority w:val="99"/>
    <w:qFormat/>
    <w:rsid w:val="00B15F7D"/>
    <w:pPr>
      <w:suppressAutoHyphens w:val="0"/>
      <w:autoSpaceDE w:val="0"/>
      <w:autoSpaceDN w:val="0"/>
    </w:pPr>
    <w:rPr>
      <w:rFonts w:eastAsia="Calibri"/>
      <w:sz w:val="29"/>
      <w:szCs w:val="29"/>
      <w:lang w:val="es-CR" w:eastAsia="en-US"/>
    </w:rPr>
  </w:style>
  <w:style w:type="paragraph" w:customStyle="1" w:styleId="Style30">
    <w:name w:val="Style 3"/>
    <w:basedOn w:val="Normal"/>
    <w:uiPriority w:val="99"/>
    <w:qFormat/>
    <w:rsid w:val="00B15F7D"/>
    <w:pPr>
      <w:suppressAutoHyphens w:val="0"/>
      <w:autoSpaceDE w:val="0"/>
      <w:autoSpaceDN w:val="0"/>
      <w:spacing w:line="456" w:lineRule="exact"/>
      <w:ind w:left="1728" w:hanging="288"/>
      <w:jc w:val="both"/>
    </w:pPr>
    <w:rPr>
      <w:rFonts w:eastAsia="Calibri"/>
      <w:sz w:val="29"/>
      <w:szCs w:val="29"/>
      <w:lang w:val="es-CR" w:eastAsia="es-CR"/>
    </w:rPr>
  </w:style>
  <w:style w:type="paragraph" w:customStyle="1" w:styleId="Style4">
    <w:name w:val="Style 4"/>
    <w:basedOn w:val="Normal"/>
    <w:uiPriority w:val="99"/>
    <w:qFormat/>
    <w:rsid w:val="00B15F7D"/>
    <w:pPr>
      <w:suppressAutoHyphens w:val="0"/>
      <w:autoSpaceDE w:val="0"/>
      <w:autoSpaceDN w:val="0"/>
      <w:spacing w:before="684" w:line="432" w:lineRule="exact"/>
      <w:jc w:val="center"/>
    </w:pPr>
    <w:rPr>
      <w:rFonts w:eastAsia="Calibri"/>
      <w:sz w:val="29"/>
      <w:szCs w:val="29"/>
      <w:lang w:val="es-CR" w:eastAsia="es-CR"/>
    </w:rPr>
  </w:style>
  <w:style w:type="paragraph" w:customStyle="1" w:styleId="Style7">
    <w:name w:val="Style 7"/>
    <w:basedOn w:val="Normal"/>
    <w:uiPriority w:val="99"/>
    <w:qFormat/>
    <w:rsid w:val="00B15F7D"/>
    <w:pPr>
      <w:suppressAutoHyphens w:val="0"/>
      <w:autoSpaceDE w:val="0"/>
      <w:autoSpaceDN w:val="0"/>
      <w:spacing w:before="252" w:after="1440" w:line="360" w:lineRule="auto"/>
      <w:ind w:left="1800" w:right="936" w:hanging="360"/>
      <w:jc w:val="both"/>
    </w:pPr>
    <w:rPr>
      <w:rFonts w:eastAsia="Calibri"/>
      <w:sz w:val="29"/>
      <w:szCs w:val="29"/>
      <w:lang w:val="es-CR" w:eastAsia="es-CR"/>
    </w:rPr>
  </w:style>
  <w:style w:type="paragraph" w:customStyle="1" w:styleId="Style9">
    <w:name w:val="Style 9"/>
    <w:basedOn w:val="Normal"/>
    <w:uiPriority w:val="99"/>
    <w:qFormat/>
    <w:rsid w:val="00B15F7D"/>
    <w:pPr>
      <w:suppressAutoHyphens w:val="0"/>
      <w:autoSpaceDE w:val="0"/>
      <w:autoSpaceDN w:val="0"/>
      <w:spacing w:before="252" w:line="348" w:lineRule="auto"/>
      <w:jc w:val="both"/>
    </w:pPr>
    <w:rPr>
      <w:rFonts w:eastAsia="Calibri"/>
      <w:b/>
      <w:bCs/>
      <w:sz w:val="29"/>
      <w:szCs w:val="29"/>
      <w:u w:val="single"/>
      <w:lang w:val="es-CR" w:eastAsia="es-CR"/>
    </w:rPr>
  </w:style>
  <w:style w:type="paragraph" w:customStyle="1" w:styleId="Style100">
    <w:name w:val="Style 10"/>
    <w:basedOn w:val="Normal"/>
    <w:uiPriority w:val="99"/>
    <w:qFormat/>
    <w:rsid w:val="00B15F7D"/>
    <w:pPr>
      <w:suppressAutoHyphens w:val="0"/>
      <w:autoSpaceDE w:val="0"/>
      <w:autoSpaceDN w:val="0"/>
      <w:spacing w:before="252" w:after="108" w:line="336" w:lineRule="auto"/>
      <w:jc w:val="both"/>
    </w:pPr>
    <w:rPr>
      <w:rFonts w:eastAsia="Calibri"/>
      <w:sz w:val="29"/>
      <w:szCs w:val="29"/>
      <w:lang w:val="es-CR" w:eastAsia="es-CR"/>
    </w:rPr>
  </w:style>
  <w:style w:type="paragraph" w:customStyle="1" w:styleId="Style12">
    <w:name w:val="Style 12"/>
    <w:basedOn w:val="Normal"/>
    <w:uiPriority w:val="99"/>
    <w:qFormat/>
    <w:rsid w:val="00B15F7D"/>
    <w:pPr>
      <w:suppressAutoHyphens w:val="0"/>
      <w:autoSpaceDE w:val="0"/>
      <w:autoSpaceDN w:val="0"/>
      <w:spacing w:line="480" w:lineRule="exact"/>
      <w:ind w:right="216"/>
      <w:jc w:val="both"/>
    </w:pPr>
    <w:rPr>
      <w:rFonts w:eastAsia="Calibri"/>
      <w:sz w:val="29"/>
      <w:szCs w:val="29"/>
      <w:lang w:val="es-CR" w:eastAsia="es-CR"/>
    </w:rPr>
  </w:style>
  <w:style w:type="paragraph" w:customStyle="1" w:styleId="Style13">
    <w:name w:val="Style 13"/>
    <w:basedOn w:val="Normal"/>
    <w:uiPriority w:val="99"/>
    <w:qFormat/>
    <w:rsid w:val="00B15F7D"/>
    <w:pPr>
      <w:suppressAutoHyphens w:val="0"/>
      <w:autoSpaceDE w:val="0"/>
      <w:autoSpaceDN w:val="0"/>
      <w:spacing w:before="252" w:line="360" w:lineRule="auto"/>
      <w:ind w:left="432" w:hanging="360"/>
    </w:pPr>
    <w:rPr>
      <w:rFonts w:eastAsia="Calibri"/>
      <w:sz w:val="29"/>
      <w:szCs w:val="29"/>
      <w:lang w:val="es-CR" w:eastAsia="es-CR"/>
    </w:rPr>
  </w:style>
  <w:style w:type="paragraph" w:customStyle="1" w:styleId="Style14">
    <w:name w:val="Style 14"/>
    <w:basedOn w:val="Normal"/>
    <w:uiPriority w:val="99"/>
    <w:qFormat/>
    <w:rsid w:val="00B15F7D"/>
    <w:pPr>
      <w:suppressAutoHyphens w:val="0"/>
      <w:autoSpaceDE w:val="0"/>
      <w:autoSpaceDN w:val="0"/>
      <w:spacing w:line="456" w:lineRule="exact"/>
      <w:ind w:left="720" w:hanging="360"/>
      <w:jc w:val="both"/>
    </w:pPr>
    <w:rPr>
      <w:rFonts w:eastAsia="Calibri"/>
      <w:sz w:val="29"/>
      <w:szCs w:val="29"/>
      <w:lang w:val="es-CR" w:eastAsia="es-CR"/>
    </w:rPr>
  </w:style>
  <w:style w:type="paragraph" w:customStyle="1" w:styleId="Style15">
    <w:name w:val="Style 15"/>
    <w:basedOn w:val="Normal"/>
    <w:uiPriority w:val="99"/>
    <w:qFormat/>
    <w:rsid w:val="00B15F7D"/>
    <w:pPr>
      <w:suppressAutoHyphens w:val="0"/>
      <w:autoSpaceDE w:val="0"/>
      <w:autoSpaceDN w:val="0"/>
      <w:spacing w:before="612" w:line="468" w:lineRule="exact"/>
      <w:jc w:val="both"/>
    </w:pPr>
    <w:rPr>
      <w:rFonts w:eastAsia="Calibri"/>
      <w:i/>
      <w:iCs/>
      <w:sz w:val="29"/>
      <w:szCs w:val="29"/>
      <w:lang w:val="es-CR" w:eastAsia="es-CR"/>
    </w:rPr>
  </w:style>
  <w:style w:type="paragraph" w:customStyle="1" w:styleId="Style17">
    <w:name w:val="Style 17"/>
    <w:basedOn w:val="Normal"/>
    <w:uiPriority w:val="99"/>
    <w:qFormat/>
    <w:rsid w:val="00B15F7D"/>
    <w:pPr>
      <w:suppressAutoHyphens w:val="0"/>
      <w:autoSpaceDE w:val="0"/>
      <w:autoSpaceDN w:val="0"/>
      <w:spacing w:line="300" w:lineRule="exact"/>
      <w:jc w:val="center"/>
    </w:pPr>
    <w:rPr>
      <w:rFonts w:eastAsia="Calibri"/>
      <w:b/>
      <w:bCs/>
      <w:sz w:val="30"/>
      <w:szCs w:val="30"/>
      <w:u w:val="single"/>
      <w:lang w:val="es-CR" w:eastAsia="es-CR"/>
    </w:rPr>
  </w:style>
  <w:style w:type="paragraph" w:customStyle="1" w:styleId="Style18">
    <w:name w:val="Style 18"/>
    <w:basedOn w:val="Normal"/>
    <w:uiPriority w:val="99"/>
    <w:qFormat/>
    <w:rsid w:val="00B15F7D"/>
    <w:pPr>
      <w:suppressAutoHyphens w:val="0"/>
      <w:autoSpaceDE w:val="0"/>
      <w:autoSpaceDN w:val="0"/>
      <w:spacing w:before="252" w:line="552" w:lineRule="exact"/>
      <w:jc w:val="both"/>
    </w:pPr>
    <w:rPr>
      <w:rFonts w:eastAsia="Calibri"/>
      <w:sz w:val="29"/>
      <w:szCs w:val="29"/>
      <w:lang w:val="es-CR" w:eastAsia="es-CR"/>
    </w:rPr>
  </w:style>
  <w:style w:type="paragraph" w:customStyle="1" w:styleId="Style19">
    <w:name w:val="Style 19"/>
    <w:basedOn w:val="Normal"/>
    <w:uiPriority w:val="99"/>
    <w:qFormat/>
    <w:rsid w:val="00B15F7D"/>
    <w:pPr>
      <w:suppressAutoHyphens w:val="0"/>
      <w:autoSpaceDE w:val="0"/>
      <w:autoSpaceDN w:val="0"/>
      <w:spacing w:before="360" w:after="396" w:line="588" w:lineRule="exact"/>
      <w:jc w:val="both"/>
    </w:pPr>
    <w:rPr>
      <w:rFonts w:eastAsia="Calibri"/>
      <w:sz w:val="29"/>
      <w:szCs w:val="29"/>
      <w:lang w:val="es-CR" w:eastAsia="es-CR"/>
    </w:rPr>
  </w:style>
  <w:style w:type="paragraph" w:customStyle="1" w:styleId="xxxmsonormal">
    <w:name w:val="xxxmsonormal"/>
    <w:basedOn w:val="Normal"/>
    <w:uiPriority w:val="99"/>
    <w:qFormat/>
    <w:rsid w:val="00B15F7D"/>
    <w:pPr>
      <w:suppressAutoHyphens w:val="0"/>
    </w:pPr>
    <w:rPr>
      <w:rFonts w:eastAsia="Calibri"/>
      <w:lang w:val="es-CR" w:eastAsia="es-CR"/>
    </w:rPr>
  </w:style>
  <w:style w:type="paragraph" w:customStyle="1" w:styleId="Prrafodelista16">
    <w:name w:val="Párrafo de lista16"/>
    <w:aliases w:val="List Paragraph,Normal 01"/>
    <w:basedOn w:val="Normal"/>
    <w:qFormat/>
    <w:rsid w:val="00B15F7D"/>
    <w:pPr>
      <w:shd w:val="clear" w:color="auto" w:fill="FFFFFF"/>
      <w:suppressAutoHyphens w:val="0"/>
      <w:autoSpaceDE w:val="0"/>
      <w:autoSpaceDN w:val="0"/>
      <w:spacing w:before="120"/>
      <w:ind w:left="708" w:firstLine="709"/>
      <w:jc w:val="both"/>
    </w:pPr>
    <w:rPr>
      <w:rFonts w:ascii="Arial" w:eastAsia="Calibri" w:hAnsi="Arial" w:cs="Arial"/>
      <w:lang w:val="es-CR" w:eastAsia="es-ES"/>
    </w:rPr>
  </w:style>
  <w:style w:type="paragraph" w:customStyle="1" w:styleId="Sinespaciado12">
    <w:name w:val="Sin espaciado12"/>
    <w:basedOn w:val="Normal"/>
    <w:qFormat/>
    <w:rsid w:val="00B15F7D"/>
    <w:pPr>
      <w:suppressAutoHyphens w:val="0"/>
      <w:autoSpaceDE w:val="0"/>
      <w:autoSpaceDN w:val="0"/>
      <w:spacing w:before="120" w:line="100" w:lineRule="atLeast"/>
      <w:ind w:firstLine="709"/>
      <w:jc w:val="both"/>
    </w:pPr>
    <w:rPr>
      <w:rFonts w:ascii="Arial" w:eastAsia="Calibri" w:hAnsi="Arial" w:cs="Arial"/>
      <w:color w:val="000000"/>
      <w:lang w:val="es-CR" w:eastAsia="es-ES"/>
    </w:rPr>
  </w:style>
  <w:style w:type="paragraph" w:customStyle="1" w:styleId="Car15">
    <w:name w:val="Car15"/>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CharChar14">
    <w:name w:val="Char Char14"/>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Car12">
    <w:name w:val="Car12"/>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CharChar13">
    <w:name w:val="Char Char13"/>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extoindependiente221">
    <w:name w:val="Texto independiente 221"/>
    <w:basedOn w:val="Normal"/>
    <w:uiPriority w:val="99"/>
    <w:qFormat/>
    <w:rsid w:val="00B15F7D"/>
    <w:pPr>
      <w:suppressAutoHyphens w:val="0"/>
      <w:spacing w:line="360" w:lineRule="auto"/>
      <w:jc w:val="both"/>
    </w:pPr>
    <w:rPr>
      <w:rFonts w:ascii="Arial" w:eastAsia="Calibri" w:hAnsi="Arial" w:cs="Arial"/>
      <w:lang w:val="es-CR" w:eastAsia="es-ES"/>
    </w:rPr>
  </w:style>
  <w:style w:type="paragraph" w:customStyle="1" w:styleId="Car10">
    <w:name w:val="Car10"/>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CharChar12">
    <w:name w:val="Char Char12"/>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Sinespaciado11">
    <w:name w:val="Sin espaciado11"/>
    <w:basedOn w:val="Normal"/>
    <w:qFormat/>
    <w:rsid w:val="00B15F7D"/>
    <w:pPr>
      <w:suppressAutoHyphens w:val="0"/>
      <w:autoSpaceDE w:val="0"/>
      <w:autoSpaceDN w:val="0"/>
      <w:spacing w:line="100" w:lineRule="atLeast"/>
    </w:pPr>
    <w:rPr>
      <w:rFonts w:ascii="Arial" w:eastAsia="Calibri" w:hAnsi="Arial" w:cs="Arial"/>
      <w:color w:val="000000"/>
      <w:lang w:val="es-CR" w:eastAsia="es-ES"/>
    </w:rPr>
  </w:style>
  <w:style w:type="character" w:customStyle="1" w:styleId="ARTCULOCar">
    <w:name w:val="ARTÍCULO Car"/>
    <w:basedOn w:val="Fuentedeprrafopredeter"/>
    <w:link w:val="ARTCULO"/>
    <w:uiPriority w:val="99"/>
    <w:locked/>
    <w:rsid w:val="00B15F7D"/>
    <w:rPr>
      <w:b/>
      <w:bCs/>
      <w:u w:val="single"/>
      <w:lang w:eastAsia="ar-SA"/>
    </w:rPr>
  </w:style>
  <w:style w:type="paragraph" w:customStyle="1" w:styleId="ARTCULO">
    <w:name w:val="ARTÍCULO"/>
    <w:basedOn w:val="Normal"/>
    <w:link w:val="ARTCULOCar"/>
    <w:uiPriority w:val="99"/>
    <w:qFormat/>
    <w:rsid w:val="00B15F7D"/>
    <w:pPr>
      <w:suppressAutoHyphens w:val="0"/>
      <w:spacing w:line="480" w:lineRule="auto"/>
      <w:jc w:val="center"/>
    </w:pPr>
    <w:rPr>
      <w:rFonts w:asciiTheme="minorHAnsi" w:eastAsiaTheme="minorHAnsi" w:hAnsiTheme="minorHAnsi" w:cstheme="minorBidi"/>
      <w:b/>
      <w:bCs/>
      <w:sz w:val="22"/>
      <w:szCs w:val="22"/>
      <w:u w:val="single"/>
      <w:lang w:val="es-CR"/>
    </w:rPr>
  </w:style>
  <w:style w:type="character" w:customStyle="1" w:styleId="ResumendeacuerdoCar">
    <w:name w:val="Resumen de acuerdo Car"/>
    <w:basedOn w:val="Fuentedeprrafopredeter"/>
    <w:link w:val="Resumendeacuerdo"/>
    <w:uiPriority w:val="99"/>
    <w:locked/>
    <w:rsid w:val="00B15F7D"/>
    <w:rPr>
      <w:color w:val="0000FF"/>
      <w:lang w:eastAsia="ar-SA"/>
    </w:rPr>
  </w:style>
  <w:style w:type="paragraph" w:customStyle="1" w:styleId="Resumendeacuerdo">
    <w:name w:val="Resumen de acuerdo"/>
    <w:basedOn w:val="Normal"/>
    <w:link w:val="ResumendeacuerdoCar"/>
    <w:uiPriority w:val="99"/>
    <w:qFormat/>
    <w:rsid w:val="00B15F7D"/>
    <w:pPr>
      <w:suppressAutoHyphens w:val="0"/>
      <w:ind w:left="708"/>
      <w:jc w:val="both"/>
    </w:pPr>
    <w:rPr>
      <w:rFonts w:asciiTheme="minorHAnsi" w:eastAsiaTheme="minorHAnsi" w:hAnsiTheme="minorHAnsi" w:cstheme="minorBidi"/>
      <w:color w:val="0000FF"/>
      <w:sz w:val="22"/>
      <w:szCs w:val="22"/>
      <w:lang w:val="es-CR"/>
    </w:rPr>
  </w:style>
  <w:style w:type="character" w:customStyle="1" w:styleId="RESUMENCar0">
    <w:name w:val="RESUMEN Car"/>
    <w:basedOn w:val="Fuentedeprrafopredeter"/>
    <w:link w:val="RESUMEN0"/>
    <w:uiPriority w:val="99"/>
    <w:locked/>
    <w:rsid w:val="00B15F7D"/>
    <w:rPr>
      <w:rFonts w:ascii="Arial" w:hAnsi="Arial" w:cs="Arial"/>
      <w:b/>
      <w:bCs/>
      <w:i/>
      <w:iCs/>
      <w:color w:val="0000FF"/>
      <w:lang w:eastAsia="ar-SA"/>
    </w:rPr>
  </w:style>
  <w:style w:type="paragraph" w:customStyle="1" w:styleId="RESUMEN0">
    <w:name w:val="RESUMEN"/>
    <w:basedOn w:val="Normal"/>
    <w:link w:val="RESUMENCar0"/>
    <w:uiPriority w:val="99"/>
    <w:qFormat/>
    <w:rsid w:val="00B15F7D"/>
    <w:pPr>
      <w:keepNext/>
      <w:suppressAutoHyphens w:val="0"/>
      <w:spacing w:line="480" w:lineRule="auto"/>
      <w:ind w:firstLine="709"/>
    </w:pPr>
    <w:rPr>
      <w:rFonts w:ascii="Arial" w:eastAsiaTheme="minorHAnsi" w:hAnsi="Arial" w:cs="Arial"/>
      <w:b/>
      <w:bCs/>
      <w:i/>
      <w:iCs/>
      <w:color w:val="0000FF"/>
      <w:sz w:val="22"/>
      <w:szCs w:val="22"/>
      <w:lang w:val="es-CR"/>
    </w:rPr>
  </w:style>
  <w:style w:type="paragraph" w:customStyle="1" w:styleId="Car9">
    <w:name w:val="Car9"/>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CharChar11">
    <w:name w:val="Char Char11"/>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Car8">
    <w:name w:val="Car8"/>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CharChar10000">
    <w:name w:val="Char Char10000"/>
    <w:basedOn w:val="Normal"/>
    <w:uiPriority w:val="99"/>
    <w:qFormat/>
    <w:rsid w:val="00B15F7D"/>
    <w:pPr>
      <w:suppressAutoHyphens w:val="0"/>
      <w:autoSpaceDN w:val="0"/>
      <w:spacing w:after="160" w:line="240" w:lineRule="exact"/>
    </w:pPr>
    <w:rPr>
      <w:rFonts w:ascii="Verdana" w:eastAsia="Calibri" w:hAnsi="Verdana" w:cs="Calibri"/>
      <w:sz w:val="20"/>
      <w:szCs w:val="20"/>
      <w:lang w:val="es-CR" w:eastAsia="en-US"/>
    </w:rPr>
  </w:style>
  <w:style w:type="paragraph" w:customStyle="1" w:styleId="CarCarCarCarCarCar3">
    <w:name w:val="Car Car Car Car Car Car3"/>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extoindependiente223">
    <w:name w:val="Texto independiente 223"/>
    <w:basedOn w:val="Normal"/>
    <w:uiPriority w:val="99"/>
    <w:qFormat/>
    <w:rsid w:val="00B15F7D"/>
    <w:pPr>
      <w:suppressAutoHyphens w:val="0"/>
      <w:overflowPunct w:val="0"/>
      <w:autoSpaceDE w:val="0"/>
      <w:autoSpaceDN w:val="0"/>
      <w:jc w:val="both"/>
    </w:pPr>
    <w:rPr>
      <w:rFonts w:ascii="Arial" w:eastAsia="Calibri" w:hAnsi="Arial" w:cs="Arial"/>
      <w:i/>
      <w:iCs/>
      <w:lang w:val="es-CR" w:eastAsia="es-ES"/>
    </w:rPr>
  </w:style>
  <w:style w:type="paragraph" w:customStyle="1" w:styleId="Informal1">
    <w:name w:val="Informal1"/>
    <w:basedOn w:val="Normal"/>
    <w:qFormat/>
    <w:rsid w:val="00B15F7D"/>
    <w:pPr>
      <w:suppressAutoHyphens w:val="0"/>
      <w:autoSpaceDE w:val="0"/>
      <w:autoSpaceDN w:val="0"/>
      <w:spacing w:before="60" w:after="60"/>
    </w:pPr>
    <w:rPr>
      <w:rFonts w:ascii="Arial" w:eastAsia="Calibri" w:hAnsi="Arial" w:cs="Arial"/>
      <w:sz w:val="20"/>
      <w:szCs w:val="20"/>
      <w:lang w:val="es-CR" w:eastAsia="es-CR"/>
    </w:rPr>
  </w:style>
  <w:style w:type="paragraph" w:customStyle="1" w:styleId="Car6">
    <w:name w:val="Car6"/>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CharChar7">
    <w:name w:val="Char Char7"/>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CharChar4">
    <w:name w:val="Char Char4"/>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xmsonormal0">
    <w:name w:val="xmsonormal"/>
    <w:basedOn w:val="Normal"/>
    <w:uiPriority w:val="99"/>
    <w:qFormat/>
    <w:rsid w:val="00B15F7D"/>
    <w:pPr>
      <w:suppressAutoHyphens w:val="0"/>
    </w:pPr>
    <w:rPr>
      <w:rFonts w:eastAsia="Calibri"/>
      <w:lang w:val="es-CR" w:eastAsia="es-CR"/>
    </w:rPr>
  </w:style>
  <w:style w:type="paragraph" w:customStyle="1" w:styleId="Ttulo10">
    <w:name w:val="Título1"/>
    <w:basedOn w:val="Normal"/>
    <w:uiPriority w:val="10"/>
    <w:qFormat/>
    <w:rsid w:val="00B15F7D"/>
    <w:pPr>
      <w:suppressAutoHyphens w:val="0"/>
      <w:overflowPunct w:val="0"/>
      <w:autoSpaceDE w:val="0"/>
      <w:autoSpaceDN w:val="0"/>
      <w:spacing w:line="360" w:lineRule="auto"/>
      <w:jc w:val="center"/>
    </w:pPr>
    <w:rPr>
      <w:rFonts w:ascii="Cambria" w:eastAsia="Calibri" w:hAnsi="Cambria" w:cs="Calibri"/>
      <w:color w:val="17365D"/>
      <w:spacing w:val="5"/>
      <w:sz w:val="52"/>
      <w:szCs w:val="52"/>
      <w:lang w:val="es-CR" w:eastAsia="es-ES"/>
    </w:rPr>
  </w:style>
  <w:style w:type="character" w:customStyle="1" w:styleId="Aencabezado2Car">
    <w:name w:val="A encabezado 2 Car"/>
    <w:basedOn w:val="Fuentedeprrafopredeter"/>
    <w:link w:val="Aencabezado2"/>
    <w:uiPriority w:val="99"/>
    <w:locked/>
    <w:rsid w:val="00B15F7D"/>
    <w:rPr>
      <w:color w:val="000099"/>
      <w:lang w:eastAsia="ar-SA"/>
    </w:rPr>
  </w:style>
  <w:style w:type="paragraph" w:customStyle="1" w:styleId="Aencabezado2">
    <w:name w:val="A encabezado 2"/>
    <w:basedOn w:val="Normal"/>
    <w:link w:val="Aencabezado2Car"/>
    <w:uiPriority w:val="99"/>
    <w:qFormat/>
    <w:rsid w:val="00B15F7D"/>
    <w:pPr>
      <w:suppressAutoHyphens w:val="0"/>
      <w:spacing w:line="480" w:lineRule="auto"/>
      <w:ind w:firstLine="708"/>
      <w:jc w:val="both"/>
    </w:pPr>
    <w:rPr>
      <w:rFonts w:asciiTheme="minorHAnsi" w:eastAsiaTheme="minorHAnsi" w:hAnsiTheme="minorHAnsi" w:cstheme="minorBidi"/>
      <w:color w:val="000099"/>
      <w:sz w:val="22"/>
      <w:szCs w:val="22"/>
      <w:lang w:val="es-CR"/>
    </w:rPr>
  </w:style>
  <w:style w:type="paragraph" w:customStyle="1" w:styleId="heading5">
    <w:name w:val="heading5"/>
    <w:basedOn w:val="Normal"/>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Tulo1">
    <w:name w:val="T稚ulo 1"/>
    <w:basedOn w:val="Normal"/>
    <w:qFormat/>
    <w:rsid w:val="00B15F7D"/>
    <w:pPr>
      <w:keepNext/>
      <w:shd w:val="clear" w:color="auto" w:fill="FFFFFF"/>
      <w:suppressAutoHyphens w:val="0"/>
      <w:autoSpaceDE w:val="0"/>
      <w:jc w:val="both"/>
    </w:pPr>
    <w:rPr>
      <w:rFonts w:ascii="Arial" w:eastAsia="Calibri" w:hAnsi="Arial" w:cs="Arial"/>
      <w:b/>
      <w:bCs/>
      <w:sz w:val="22"/>
      <w:szCs w:val="22"/>
      <w:u w:val="single"/>
      <w:lang w:val="es-CR" w:eastAsia="es-ES"/>
    </w:rPr>
  </w:style>
  <w:style w:type="paragraph" w:customStyle="1" w:styleId="Ttulo71">
    <w:name w:val="Título 71"/>
    <w:basedOn w:val="Normal"/>
    <w:qFormat/>
    <w:rsid w:val="00B15F7D"/>
    <w:pPr>
      <w:numPr>
        <w:ilvl w:val="6"/>
        <w:numId w:val="15"/>
      </w:numPr>
      <w:suppressAutoHyphens w:val="0"/>
      <w:spacing w:after="160" w:line="252" w:lineRule="auto"/>
    </w:pPr>
    <w:rPr>
      <w:rFonts w:ascii="Calibri" w:eastAsia="Calibri" w:hAnsi="Calibri" w:cs="Calibri"/>
      <w:sz w:val="22"/>
      <w:szCs w:val="22"/>
      <w:lang w:val="es-CR" w:eastAsia="es-CR"/>
    </w:rPr>
  </w:style>
  <w:style w:type="paragraph" w:customStyle="1" w:styleId="ecxmsonormal">
    <w:name w:val="ecxmsonormal"/>
    <w:basedOn w:val="Normal"/>
    <w:qFormat/>
    <w:rsid w:val="00B15F7D"/>
    <w:pPr>
      <w:suppressAutoHyphens w:val="0"/>
      <w:spacing w:before="100" w:beforeAutospacing="1" w:after="100" w:afterAutospacing="1"/>
    </w:pPr>
    <w:rPr>
      <w:rFonts w:eastAsia="Calibri"/>
      <w:lang w:val="es-CR" w:eastAsia="es-CR"/>
    </w:rPr>
  </w:style>
  <w:style w:type="paragraph" w:customStyle="1" w:styleId="Prrafodelista5">
    <w:name w:val="Párrafo de lista5"/>
    <w:basedOn w:val="Normal"/>
    <w:uiPriority w:val="99"/>
    <w:qFormat/>
    <w:rsid w:val="00B15F7D"/>
    <w:pPr>
      <w:suppressAutoHyphens w:val="0"/>
      <w:ind w:left="720"/>
      <w:contextualSpacing/>
    </w:pPr>
    <w:rPr>
      <w:rFonts w:eastAsia="Calibri"/>
      <w:lang w:val="es-CR" w:eastAsia="es-ES"/>
    </w:rPr>
  </w:style>
  <w:style w:type="paragraph" w:customStyle="1" w:styleId="m-5725260109694739150msolistparagraph">
    <w:name w:val="m_-5725260109694739150msolistparagraph"/>
    <w:basedOn w:val="Normal"/>
    <w:uiPriority w:val="99"/>
    <w:qFormat/>
    <w:rsid w:val="00B15F7D"/>
    <w:pPr>
      <w:suppressAutoHyphens w:val="0"/>
      <w:spacing w:before="100" w:beforeAutospacing="1" w:after="100" w:afterAutospacing="1"/>
    </w:pPr>
    <w:rPr>
      <w:rFonts w:eastAsia="Calibri"/>
      <w:lang w:val="es-CR" w:eastAsia="es-ES"/>
    </w:rPr>
  </w:style>
  <w:style w:type="paragraph" w:customStyle="1" w:styleId="H-Subtitle01Italics">
    <w:name w:val="H-Subtitle 01_Italics"/>
    <w:basedOn w:val="Normal"/>
    <w:uiPriority w:val="99"/>
    <w:qFormat/>
    <w:rsid w:val="00B15F7D"/>
    <w:pPr>
      <w:keepNext/>
      <w:suppressAutoHyphens w:val="0"/>
      <w:autoSpaceDN w:val="0"/>
      <w:spacing w:before="240" w:after="120"/>
    </w:pPr>
    <w:rPr>
      <w:rFonts w:ascii="Arial" w:eastAsia="Calibri" w:hAnsi="Arial" w:cs="Arial"/>
      <w:i/>
      <w:iCs/>
      <w:sz w:val="20"/>
      <w:szCs w:val="20"/>
      <w:lang w:val="es-CR" w:eastAsia="en-US"/>
    </w:rPr>
  </w:style>
  <w:style w:type="paragraph" w:customStyle="1" w:styleId="T3fulo7">
    <w:name w:val="T稚3fulo 7"/>
    <w:basedOn w:val="Normal"/>
    <w:qFormat/>
    <w:rsid w:val="00B15F7D"/>
    <w:pPr>
      <w:keepNext/>
      <w:shd w:val="clear" w:color="auto" w:fill="FFFFFF"/>
      <w:suppressAutoHyphens w:val="0"/>
      <w:autoSpaceDE w:val="0"/>
      <w:jc w:val="both"/>
    </w:pPr>
    <w:rPr>
      <w:rFonts w:ascii="Arial" w:eastAsia="Calibri" w:hAnsi="Arial" w:cs="Arial"/>
      <w:b/>
      <w:bCs/>
      <w:u w:val="single"/>
      <w:lang w:val="es-CR" w:eastAsia="es-ES"/>
    </w:rPr>
  </w:style>
  <w:style w:type="paragraph" w:customStyle="1" w:styleId="Autocorrecci3f">
    <w:name w:val="Autocorrecci3f"/>
    <w:basedOn w:val="Normal"/>
    <w:qFormat/>
    <w:rsid w:val="00B15F7D"/>
    <w:pPr>
      <w:shd w:val="clear" w:color="auto" w:fill="FFFFFF"/>
      <w:suppressAutoHyphens w:val="0"/>
      <w:autoSpaceDE w:val="0"/>
    </w:pPr>
    <w:rPr>
      <w:rFonts w:ascii="Arial" w:eastAsia="Calibri" w:hAnsi="Arial" w:cs="Arial"/>
      <w:sz w:val="20"/>
      <w:szCs w:val="20"/>
      <w:u w:val="single"/>
      <w:lang w:val="es-CR" w:eastAsia="es-ES"/>
    </w:rPr>
  </w:style>
  <w:style w:type="paragraph" w:customStyle="1" w:styleId="Contenidodelmarco">
    <w:name w:val="Contenido del marco"/>
    <w:basedOn w:val="Normal"/>
    <w:uiPriority w:val="99"/>
    <w:qFormat/>
    <w:rsid w:val="00B15F7D"/>
    <w:pPr>
      <w:suppressAutoHyphens w:val="0"/>
      <w:autoSpaceDN w:val="0"/>
      <w:spacing w:before="120" w:after="120" w:line="276" w:lineRule="auto"/>
      <w:ind w:firstLine="709"/>
      <w:jc w:val="both"/>
    </w:pPr>
    <w:rPr>
      <w:rFonts w:ascii="Calibri" w:eastAsia="Calibri" w:hAnsi="Calibri" w:cs="Calibri"/>
      <w:lang w:val="es-CR" w:eastAsia="en-US"/>
    </w:rPr>
  </w:style>
  <w:style w:type="paragraph" w:customStyle="1" w:styleId="Direccininterior">
    <w:name w:val="Dirección interior"/>
    <w:basedOn w:val="Normal"/>
    <w:uiPriority w:val="99"/>
    <w:qFormat/>
    <w:rsid w:val="00B15F7D"/>
    <w:pPr>
      <w:suppressAutoHyphens w:val="0"/>
      <w:autoSpaceDN w:val="0"/>
    </w:pPr>
    <w:rPr>
      <w:rFonts w:ascii="Arial" w:eastAsia="Calibri" w:hAnsi="Arial" w:cs="Arial"/>
      <w:lang w:val="es-CR" w:eastAsia="zh-CN"/>
    </w:rPr>
  </w:style>
  <w:style w:type="paragraph" w:customStyle="1" w:styleId="WW-Predeterminado1234">
    <w:name w:val="WW-Predeterminado1234"/>
    <w:basedOn w:val="Normal"/>
    <w:uiPriority w:val="99"/>
    <w:qFormat/>
    <w:rsid w:val="00B15F7D"/>
    <w:pPr>
      <w:suppressAutoHyphens w:val="0"/>
      <w:autoSpaceDE w:val="0"/>
      <w:autoSpaceDN w:val="0"/>
    </w:pPr>
    <w:rPr>
      <w:rFonts w:ascii="Arial" w:eastAsia="Calibri" w:hAnsi="Arial" w:cs="Arial"/>
      <w:color w:val="000000"/>
      <w:lang w:val="es-CR" w:eastAsia="es-ES"/>
    </w:rPr>
  </w:style>
  <w:style w:type="paragraph" w:customStyle="1" w:styleId="WW-Predeterminado123">
    <w:name w:val="WW-Predeterminado123"/>
    <w:basedOn w:val="Normal"/>
    <w:uiPriority w:val="99"/>
    <w:qFormat/>
    <w:rsid w:val="00B15F7D"/>
    <w:pPr>
      <w:suppressAutoHyphens w:val="0"/>
      <w:autoSpaceDE w:val="0"/>
      <w:autoSpaceDN w:val="0"/>
    </w:pPr>
    <w:rPr>
      <w:rFonts w:ascii="Arial" w:eastAsia="Calibri" w:hAnsi="Arial" w:cs="Arial"/>
      <w:color w:val="000000"/>
      <w:lang w:val="es-CR" w:eastAsia="es-ES"/>
    </w:rPr>
  </w:style>
  <w:style w:type="paragraph" w:customStyle="1" w:styleId="yiv1958001505msonormal">
    <w:name w:val="yiv1958001505msonormal"/>
    <w:basedOn w:val="Normal"/>
    <w:uiPriority w:val="99"/>
    <w:qFormat/>
    <w:rsid w:val="00B15F7D"/>
    <w:pPr>
      <w:suppressAutoHyphens w:val="0"/>
      <w:autoSpaceDE w:val="0"/>
      <w:autoSpaceDN w:val="0"/>
      <w:spacing w:before="28" w:after="28" w:line="100" w:lineRule="atLeast"/>
    </w:pPr>
    <w:rPr>
      <w:rFonts w:eastAsia="Calibri"/>
      <w:color w:val="000000"/>
      <w:lang w:val="es-CR" w:eastAsia="es-ES"/>
    </w:rPr>
  </w:style>
  <w:style w:type="paragraph" w:customStyle="1" w:styleId="Textoindependiente32">
    <w:name w:val="Texto independiente 32"/>
    <w:basedOn w:val="Normal"/>
    <w:uiPriority w:val="99"/>
    <w:qFormat/>
    <w:rsid w:val="00B15F7D"/>
    <w:pPr>
      <w:suppressAutoHyphens w:val="0"/>
      <w:autoSpaceDN w:val="0"/>
      <w:ind w:right="334"/>
      <w:jc w:val="both"/>
    </w:pPr>
    <w:rPr>
      <w:rFonts w:ascii="Arial" w:eastAsia="Calibri" w:hAnsi="Arial" w:cs="Arial"/>
      <w:b/>
      <w:bCs/>
      <w:lang w:val="es-CR" w:eastAsia="es-ES"/>
    </w:rPr>
  </w:style>
  <w:style w:type="paragraph" w:customStyle="1" w:styleId="msonospacing0">
    <w:name w:val="msonospacing"/>
    <w:basedOn w:val="Normal"/>
    <w:uiPriority w:val="99"/>
    <w:qFormat/>
    <w:rsid w:val="00B15F7D"/>
    <w:pPr>
      <w:suppressAutoHyphens w:val="0"/>
      <w:autoSpaceDN w:val="0"/>
      <w:spacing w:before="100" w:beforeAutospacing="1" w:after="100" w:afterAutospacing="1"/>
    </w:pPr>
    <w:rPr>
      <w:rFonts w:eastAsia="Calibri"/>
      <w:lang w:val="es-CR" w:eastAsia="es-ES"/>
    </w:rPr>
  </w:style>
  <w:style w:type="paragraph" w:customStyle="1" w:styleId="LO-Normal">
    <w:name w:val="LO-Normal"/>
    <w:basedOn w:val="Normal"/>
    <w:uiPriority w:val="99"/>
    <w:qFormat/>
    <w:rsid w:val="00B15F7D"/>
    <w:pPr>
      <w:suppressAutoHyphens w:val="0"/>
      <w:autoSpaceDE w:val="0"/>
      <w:autoSpaceDN w:val="0"/>
    </w:pPr>
    <w:rPr>
      <w:rFonts w:ascii="Arial" w:eastAsia="Calibri" w:hAnsi="Arial" w:cs="Arial"/>
      <w:color w:val="000000"/>
      <w:lang w:val="es-CR" w:eastAsia="es-ES"/>
    </w:rPr>
  </w:style>
  <w:style w:type="paragraph" w:customStyle="1" w:styleId="Ttulo21">
    <w:name w:val="Título 21"/>
    <w:basedOn w:val="Normal"/>
    <w:uiPriority w:val="99"/>
    <w:qFormat/>
    <w:rsid w:val="00B15F7D"/>
    <w:pPr>
      <w:keepNext/>
      <w:shd w:val="clear" w:color="auto" w:fill="FFFFFF"/>
      <w:suppressAutoHyphens w:val="0"/>
      <w:autoSpaceDE w:val="0"/>
      <w:spacing w:line="480" w:lineRule="auto"/>
      <w:jc w:val="both"/>
    </w:pPr>
    <w:rPr>
      <w:rFonts w:ascii="Arial" w:eastAsia="Calibri" w:hAnsi="Arial" w:cs="Arial"/>
      <w:b/>
      <w:bCs/>
      <w:u w:val="single"/>
      <w:lang w:val="es-CR" w:eastAsia="en-US"/>
    </w:rPr>
  </w:style>
  <w:style w:type="paragraph" w:customStyle="1" w:styleId="Firmapuesto">
    <w:name w:val="Firma puesto"/>
    <w:basedOn w:val="Normal"/>
    <w:uiPriority w:val="99"/>
    <w:qFormat/>
    <w:rsid w:val="00B15F7D"/>
    <w:pPr>
      <w:suppressAutoHyphens w:val="0"/>
      <w:autoSpaceDN w:val="0"/>
      <w:ind w:left="4252"/>
    </w:pPr>
    <w:rPr>
      <w:rFonts w:ascii="Century Schoolbook" w:eastAsia="Calibri" w:hAnsi="Century Schoolbook" w:cs="Calibri"/>
      <w:i/>
      <w:iCs/>
      <w:lang w:val="es-CR" w:eastAsia="es-ES"/>
    </w:rPr>
  </w:style>
  <w:style w:type="paragraph" w:customStyle="1" w:styleId="Lneadereferencia">
    <w:name w:val="Línea de referencia"/>
    <w:basedOn w:val="Normal"/>
    <w:uiPriority w:val="99"/>
    <w:qFormat/>
    <w:rsid w:val="00B15F7D"/>
    <w:pPr>
      <w:suppressAutoHyphens w:val="0"/>
      <w:autoSpaceDE w:val="0"/>
      <w:autoSpaceDN w:val="0"/>
      <w:spacing w:before="120" w:line="276" w:lineRule="auto"/>
      <w:ind w:firstLine="709"/>
      <w:jc w:val="both"/>
    </w:pPr>
    <w:rPr>
      <w:rFonts w:ascii="Book Antiqua" w:eastAsia="Calibri" w:hAnsi="Book Antiqua" w:cs="Calibri"/>
      <w:sz w:val="22"/>
      <w:szCs w:val="22"/>
      <w:lang w:val="es-CR" w:eastAsia="es-ES"/>
    </w:rPr>
  </w:style>
  <w:style w:type="paragraph" w:customStyle="1" w:styleId="xmsoautosig">
    <w:name w:val="x_msoautosig"/>
    <w:basedOn w:val="Normal"/>
    <w:uiPriority w:val="99"/>
    <w:qFormat/>
    <w:rsid w:val="00B15F7D"/>
    <w:pPr>
      <w:numPr>
        <w:numId w:val="16"/>
      </w:numPr>
      <w:suppressAutoHyphens w:val="0"/>
      <w:autoSpaceDN w:val="0"/>
      <w:spacing w:before="100" w:beforeAutospacing="1" w:after="100" w:afterAutospacing="1"/>
      <w:ind w:left="0" w:firstLine="0"/>
    </w:pPr>
    <w:rPr>
      <w:rFonts w:eastAsia="Calibri"/>
      <w:lang w:val="es-CR" w:eastAsia="en-US"/>
    </w:rPr>
  </w:style>
  <w:style w:type="paragraph" w:customStyle="1" w:styleId="Prrafodelista6">
    <w:name w:val="Párrafo de lista6"/>
    <w:basedOn w:val="Normal"/>
    <w:uiPriority w:val="99"/>
    <w:qFormat/>
    <w:rsid w:val="00B15F7D"/>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Textbody">
    <w:name w:val="Text body"/>
    <w:basedOn w:val="Normal"/>
    <w:qFormat/>
    <w:rsid w:val="00B15F7D"/>
    <w:pPr>
      <w:suppressAutoHyphens w:val="0"/>
      <w:autoSpaceDN w:val="0"/>
      <w:jc w:val="both"/>
    </w:pPr>
    <w:rPr>
      <w:rFonts w:ascii="Calibri" w:eastAsia="Calibri" w:hAnsi="Calibri" w:cs="Calibri"/>
      <w:b/>
      <w:bCs/>
      <w:color w:val="00000A"/>
      <w:lang w:val="es-CR" w:eastAsia="es-ES"/>
    </w:rPr>
  </w:style>
  <w:style w:type="paragraph" w:customStyle="1" w:styleId="Prrafodelista7">
    <w:name w:val="Párrafo de lista7"/>
    <w:basedOn w:val="Normal"/>
    <w:qFormat/>
    <w:rsid w:val="00B15F7D"/>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Car11">
    <w:name w:val="Car11"/>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Descripcin1">
    <w:name w:val="Descripción1"/>
    <w:aliases w:val="Descripción11"/>
    <w:basedOn w:val="Normal"/>
    <w:uiPriority w:val="99"/>
    <w:qFormat/>
    <w:rsid w:val="00B15F7D"/>
    <w:pPr>
      <w:suppressAutoHyphens w:val="0"/>
      <w:spacing w:before="120" w:after="120"/>
    </w:pPr>
    <w:rPr>
      <w:rFonts w:eastAsia="Calibri"/>
      <w:i/>
      <w:iCs/>
      <w:lang w:val="es-CR" w:eastAsia="zh-CN"/>
    </w:rPr>
  </w:style>
  <w:style w:type="paragraph" w:customStyle="1" w:styleId="Normal3">
    <w:name w:val="Normal3"/>
    <w:basedOn w:val="Normal"/>
    <w:qFormat/>
    <w:rsid w:val="00B15F7D"/>
    <w:pPr>
      <w:suppressAutoHyphens w:val="0"/>
      <w:autoSpaceDE w:val="0"/>
      <w:autoSpaceDN w:val="0"/>
      <w:spacing w:after="200" w:line="276" w:lineRule="auto"/>
    </w:pPr>
    <w:rPr>
      <w:rFonts w:ascii="Calibri" w:eastAsia="Calibri" w:hAnsi="Calibri" w:cs="Calibri"/>
      <w:color w:val="000000"/>
      <w:sz w:val="22"/>
      <w:szCs w:val="22"/>
      <w:lang w:val="es-CR" w:eastAsia="es-CR"/>
    </w:rPr>
  </w:style>
  <w:style w:type="paragraph" w:customStyle="1" w:styleId="Sinespaciado3">
    <w:name w:val="Sin espaciado3"/>
    <w:basedOn w:val="Normal"/>
    <w:uiPriority w:val="99"/>
    <w:qFormat/>
    <w:rsid w:val="00B15F7D"/>
    <w:pPr>
      <w:suppressAutoHyphens w:val="0"/>
      <w:spacing w:line="100" w:lineRule="atLeast"/>
    </w:pPr>
    <w:rPr>
      <w:rFonts w:ascii="Calibri" w:eastAsia="Calibri" w:hAnsi="Calibri" w:cs="Calibri"/>
      <w:sz w:val="22"/>
      <w:szCs w:val="22"/>
      <w:lang w:val="es-CR" w:eastAsia="es-ES"/>
    </w:rPr>
  </w:style>
  <w:style w:type="paragraph" w:customStyle="1" w:styleId="Pa23">
    <w:name w:val="Pa23"/>
    <w:basedOn w:val="Normal"/>
    <w:uiPriority w:val="99"/>
    <w:qFormat/>
    <w:rsid w:val="00B15F7D"/>
    <w:pPr>
      <w:suppressAutoHyphens w:val="0"/>
      <w:autoSpaceDE w:val="0"/>
      <w:autoSpaceDN w:val="0"/>
      <w:spacing w:line="181" w:lineRule="atLeast"/>
    </w:pPr>
    <w:rPr>
      <w:rFonts w:eastAsia="Calibri"/>
      <w:lang w:val="es-CR" w:eastAsia="es-CR"/>
    </w:rPr>
  </w:style>
  <w:style w:type="paragraph" w:customStyle="1" w:styleId="Pa10">
    <w:name w:val="Pa10"/>
    <w:basedOn w:val="Normal"/>
    <w:uiPriority w:val="99"/>
    <w:qFormat/>
    <w:rsid w:val="00B15F7D"/>
    <w:pPr>
      <w:suppressAutoHyphens w:val="0"/>
      <w:autoSpaceDE w:val="0"/>
      <w:autoSpaceDN w:val="0"/>
      <w:spacing w:line="181" w:lineRule="atLeast"/>
    </w:pPr>
    <w:rPr>
      <w:rFonts w:eastAsia="Calibri"/>
      <w:lang w:val="es-CR" w:eastAsia="es-CR"/>
    </w:rPr>
  </w:style>
  <w:style w:type="paragraph" w:customStyle="1" w:styleId="Pa32">
    <w:name w:val="Pa32"/>
    <w:basedOn w:val="Normal"/>
    <w:uiPriority w:val="99"/>
    <w:qFormat/>
    <w:rsid w:val="00B15F7D"/>
    <w:pPr>
      <w:suppressAutoHyphens w:val="0"/>
      <w:autoSpaceDE w:val="0"/>
      <w:autoSpaceDN w:val="0"/>
      <w:spacing w:line="181" w:lineRule="atLeast"/>
    </w:pPr>
    <w:rPr>
      <w:rFonts w:eastAsia="Calibri"/>
      <w:lang w:val="es-CR" w:eastAsia="es-CR"/>
    </w:rPr>
  </w:style>
  <w:style w:type="paragraph" w:customStyle="1" w:styleId="Cuadroletra">
    <w:name w:val="Cuadro_letra"/>
    <w:basedOn w:val="Normal"/>
    <w:uiPriority w:val="99"/>
    <w:qFormat/>
    <w:rsid w:val="00B15F7D"/>
    <w:pPr>
      <w:suppressAutoHyphens w:val="0"/>
    </w:pPr>
    <w:rPr>
      <w:rFonts w:ascii="Cambria" w:eastAsia="Calibri" w:hAnsi="Cambria" w:cs="Calibri"/>
      <w:color w:val="000000"/>
      <w:sz w:val="22"/>
      <w:szCs w:val="22"/>
      <w:lang w:val="es-CR" w:eastAsia="es-CR"/>
    </w:rPr>
  </w:style>
  <w:style w:type="paragraph" w:customStyle="1" w:styleId="Cuadrocifras">
    <w:name w:val="Cuadro_cifras"/>
    <w:basedOn w:val="Normal"/>
    <w:uiPriority w:val="99"/>
    <w:qFormat/>
    <w:rsid w:val="00B15F7D"/>
    <w:pPr>
      <w:suppressAutoHyphens w:val="0"/>
      <w:jc w:val="right"/>
    </w:pPr>
    <w:rPr>
      <w:rFonts w:ascii="Cambria" w:eastAsia="Calibri" w:hAnsi="Cambria" w:cs="Calibri"/>
      <w:color w:val="000000"/>
      <w:sz w:val="22"/>
      <w:szCs w:val="22"/>
      <w:lang w:val="es-CR" w:eastAsia="es-CR"/>
    </w:rPr>
  </w:style>
  <w:style w:type="paragraph" w:customStyle="1" w:styleId="NormalArial">
    <w:name w:val="Normal + Arial"/>
    <w:aliases w:val="Interlineado:  1,5 líneas"/>
    <w:basedOn w:val="Normal"/>
    <w:uiPriority w:val="99"/>
    <w:qFormat/>
    <w:rsid w:val="00B15F7D"/>
    <w:pPr>
      <w:suppressAutoHyphens w:val="0"/>
      <w:spacing w:line="360" w:lineRule="auto"/>
    </w:pPr>
    <w:rPr>
      <w:rFonts w:ascii="Arial" w:eastAsia="Calibri" w:hAnsi="Arial" w:cs="Arial"/>
      <w:lang w:val="es-CR" w:eastAsia="es-ES"/>
    </w:rPr>
  </w:style>
  <w:style w:type="paragraph" w:customStyle="1" w:styleId="default0">
    <w:name w:val="default"/>
    <w:basedOn w:val="Normal"/>
    <w:uiPriority w:val="99"/>
    <w:qFormat/>
    <w:rsid w:val="00B15F7D"/>
    <w:pPr>
      <w:suppressAutoHyphens w:val="0"/>
      <w:spacing w:before="100" w:beforeAutospacing="1" w:after="100" w:afterAutospacing="1"/>
    </w:pPr>
    <w:rPr>
      <w:rFonts w:ascii="Calibri" w:eastAsia="Calibri" w:hAnsi="Calibri" w:cs="Calibri"/>
      <w:color w:val="000000"/>
      <w:lang w:val="es-CR" w:eastAsia="es-ES"/>
    </w:rPr>
  </w:style>
  <w:style w:type="paragraph" w:customStyle="1" w:styleId="Prrafodelista8">
    <w:name w:val="Párrafo de lista8"/>
    <w:basedOn w:val="Normal"/>
    <w:qFormat/>
    <w:rsid w:val="00B15F7D"/>
    <w:pPr>
      <w:suppressAutoHyphens w:val="0"/>
      <w:ind w:left="720"/>
    </w:pPr>
    <w:rPr>
      <w:rFonts w:eastAsia="Calibri"/>
      <w:lang w:val="es-CR" w:eastAsia="es-ES"/>
    </w:rPr>
  </w:style>
  <w:style w:type="paragraph" w:customStyle="1" w:styleId="Trabajo2">
    <w:name w:val="Trabajo2"/>
    <w:basedOn w:val="Normal"/>
    <w:qFormat/>
    <w:rsid w:val="00B15F7D"/>
    <w:pPr>
      <w:suppressAutoHyphens w:val="0"/>
      <w:spacing w:line="360" w:lineRule="auto"/>
      <w:jc w:val="both"/>
    </w:pPr>
    <w:rPr>
      <w:rFonts w:ascii="Arial" w:eastAsia="Calibri" w:hAnsi="Arial" w:cs="Arial"/>
      <w:sz w:val="20"/>
      <w:szCs w:val="20"/>
      <w:lang w:val="es-CR" w:eastAsia="es-ES"/>
    </w:rPr>
  </w:style>
  <w:style w:type="paragraph" w:customStyle="1" w:styleId="Textocomentario1">
    <w:name w:val="Texto comentario1"/>
    <w:basedOn w:val="Normal"/>
    <w:uiPriority w:val="99"/>
    <w:qFormat/>
    <w:rsid w:val="00B15F7D"/>
    <w:pPr>
      <w:suppressAutoHyphens w:val="0"/>
    </w:pPr>
    <w:rPr>
      <w:rFonts w:eastAsia="Calibri"/>
      <w:sz w:val="20"/>
      <w:szCs w:val="20"/>
      <w:lang w:val="es-CR" w:eastAsia="es-ES"/>
    </w:rPr>
  </w:style>
  <w:style w:type="paragraph" w:customStyle="1" w:styleId="CommentText1">
    <w:name w:val="Comment Text1"/>
    <w:basedOn w:val="Normal"/>
    <w:uiPriority w:val="99"/>
    <w:qFormat/>
    <w:rsid w:val="00B15F7D"/>
    <w:pPr>
      <w:suppressAutoHyphens w:val="0"/>
      <w:spacing w:after="160"/>
    </w:pPr>
    <w:rPr>
      <w:rFonts w:ascii="Calibri" w:eastAsia="Calibri" w:hAnsi="Calibri" w:cs="Calibri"/>
      <w:sz w:val="20"/>
      <w:szCs w:val="20"/>
      <w:lang w:val="es-CR" w:eastAsia="en-US"/>
    </w:rPr>
  </w:style>
  <w:style w:type="paragraph" w:customStyle="1" w:styleId="Style20">
    <w:name w:val="Style2"/>
    <w:basedOn w:val="Normal"/>
    <w:uiPriority w:val="99"/>
    <w:qFormat/>
    <w:rsid w:val="00B15F7D"/>
    <w:pPr>
      <w:keepNext/>
      <w:suppressAutoHyphens w:val="0"/>
      <w:spacing w:before="40"/>
    </w:pPr>
    <w:rPr>
      <w:rFonts w:ascii="Arial" w:eastAsia="Calibri" w:hAnsi="Arial" w:cs="Arial"/>
      <w:color w:val="000000"/>
      <w:lang w:val="es-CR" w:eastAsia="en-US"/>
    </w:rPr>
  </w:style>
  <w:style w:type="paragraph" w:customStyle="1" w:styleId="LO-Normal1">
    <w:name w:val="LO-Normal1"/>
    <w:basedOn w:val="Normal"/>
    <w:uiPriority w:val="99"/>
    <w:qFormat/>
    <w:rsid w:val="00B15F7D"/>
    <w:pPr>
      <w:suppressAutoHyphens w:val="0"/>
    </w:pPr>
    <w:rPr>
      <w:rFonts w:ascii="Liberation Serif" w:eastAsia="Calibri" w:hAnsi="Liberation Serif" w:cs="Liberation Serif"/>
      <w:lang w:val="es-CR" w:eastAsia="zh-CN"/>
    </w:rPr>
  </w:style>
  <w:style w:type="paragraph" w:customStyle="1" w:styleId="WW-TableContents1234567891011121314">
    <w:name w:val="WW-Table Contents1234567891011121314"/>
    <w:basedOn w:val="Normal"/>
    <w:qFormat/>
    <w:rsid w:val="00B15F7D"/>
    <w:pPr>
      <w:shd w:val="clear" w:color="auto" w:fill="FFFFFF"/>
      <w:suppressAutoHyphens w:val="0"/>
      <w:autoSpaceDE w:val="0"/>
      <w:autoSpaceDN w:val="0"/>
    </w:pPr>
    <w:rPr>
      <w:rFonts w:ascii="Arial" w:eastAsia="Calibri" w:hAnsi="Arial" w:cs="Arial"/>
      <w:u w:val="single"/>
      <w:lang w:val="es-CR" w:eastAsia="es-ES"/>
    </w:rPr>
  </w:style>
  <w:style w:type="paragraph" w:customStyle="1" w:styleId="Heading">
    <w:name w:val="Heading"/>
    <w:basedOn w:val="Normal"/>
    <w:uiPriority w:val="99"/>
    <w:qFormat/>
    <w:rsid w:val="00B15F7D"/>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Index">
    <w:name w:val="Index"/>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WW-Heading">
    <w:name w:val="WW-Heading"/>
    <w:basedOn w:val="Normal"/>
    <w:uiPriority w:val="99"/>
    <w:qFormat/>
    <w:rsid w:val="00B15F7D"/>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WW-caption">
    <w:name w:val="WW-caption"/>
    <w:basedOn w:val="Normal"/>
    <w:uiPriority w:val="99"/>
    <w:qFormat/>
    <w:rsid w:val="00B15F7D"/>
    <w:pPr>
      <w:suppressAutoHyphens w:val="0"/>
      <w:autoSpaceDE w:val="0"/>
      <w:spacing w:before="120" w:after="120" w:line="240" w:lineRule="atLeast"/>
    </w:pPr>
    <w:rPr>
      <w:rFonts w:ascii="Book Antiqua" w:eastAsia="Calibri" w:hAnsi="Book Antiqua" w:cs="Calibri"/>
      <w:i/>
      <w:iCs/>
      <w:lang w:val="es-CR" w:eastAsia="es-CR"/>
    </w:rPr>
  </w:style>
  <w:style w:type="paragraph" w:customStyle="1" w:styleId="WW-Index">
    <w:name w:val="WW-Index"/>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WW-Heading1">
    <w:name w:val="WW-Heading1"/>
    <w:basedOn w:val="Normal"/>
    <w:uiPriority w:val="99"/>
    <w:qFormat/>
    <w:rsid w:val="00B15F7D"/>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WW-caption1">
    <w:name w:val="WW-caption1"/>
    <w:basedOn w:val="Normal"/>
    <w:uiPriority w:val="99"/>
    <w:qFormat/>
    <w:rsid w:val="00B15F7D"/>
    <w:pPr>
      <w:suppressAutoHyphens w:val="0"/>
      <w:autoSpaceDE w:val="0"/>
      <w:spacing w:before="120" w:after="120" w:line="240" w:lineRule="atLeast"/>
    </w:pPr>
    <w:rPr>
      <w:rFonts w:ascii="Book Antiqua" w:eastAsia="Calibri" w:hAnsi="Book Antiqua" w:cs="Calibri"/>
      <w:i/>
      <w:iCs/>
      <w:lang w:val="es-CR" w:eastAsia="es-CR"/>
    </w:rPr>
  </w:style>
  <w:style w:type="paragraph" w:customStyle="1" w:styleId="WW-Index1">
    <w:name w:val="WW-Index1"/>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Ttulo42">
    <w:name w:val="Título 42"/>
    <w:basedOn w:val="Normal"/>
    <w:uiPriority w:val="99"/>
    <w:qFormat/>
    <w:rsid w:val="00B15F7D"/>
    <w:pPr>
      <w:keepNext/>
      <w:suppressAutoHyphens w:val="0"/>
      <w:autoSpaceDE w:val="0"/>
      <w:jc w:val="center"/>
    </w:pPr>
    <w:rPr>
      <w:rFonts w:eastAsia="Calibri"/>
      <w:b/>
      <w:bCs/>
      <w:sz w:val="32"/>
      <w:szCs w:val="32"/>
      <w:lang w:val="es-CR" w:eastAsia="es-CR"/>
    </w:rPr>
  </w:style>
  <w:style w:type="paragraph" w:customStyle="1" w:styleId="Ttulo610">
    <w:name w:val="Título 61"/>
    <w:basedOn w:val="Normal"/>
    <w:qFormat/>
    <w:rsid w:val="00B15F7D"/>
    <w:pPr>
      <w:keepNext/>
      <w:suppressAutoHyphens w:val="0"/>
      <w:autoSpaceDE w:val="0"/>
      <w:jc w:val="center"/>
    </w:pPr>
    <w:rPr>
      <w:rFonts w:ascii="Book Antiqua" w:eastAsia="Calibri" w:hAnsi="Book Antiqua" w:cs="Calibri"/>
      <w:b/>
      <w:bCs/>
      <w:i/>
      <w:iCs/>
      <w:sz w:val="22"/>
      <w:szCs w:val="22"/>
      <w:u w:val="single"/>
      <w:lang w:val="es-CR" w:eastAsia="es-CR"/>
    </w:rPr>
  </w:style>
  <w:style w:type="paragraph" w:customStyle="1" w:styleId="Ttulo81">
    <w:name w:val="Título 81"/>
    <w:basedOn w:val="Normal"/>
    <w:uiPriority w:val="99"/>
    <w:qFormat/>
    <w:rsid w:val="00B15F7D"/>
    <w:pPr>
      <w:keepNext/>
      <w:suppressAutoHyphens w:val="0"/>
      <w:autoSpaceDE w:val="0"/>
    </w:pPr>
    <w:rPr>
      <w:rFonts w:eastAsia="Calibri"/>
      <w:b/>
      <w:bCs/>
      <w:sz w:val="20"/>
      <w:szCs w:val="20"/>
      <w:lang w:val="es-CR" w:eastAsia="es-CR"/>
    </w:rPr>
  </w:style>
  <w:style w:type="paragraph" w:customStyle="1" w:styleId="Ttulo91">
    <w:name w:val="Título 91"/>
    <w:basedOn w:val="Normal"/>
    <w:qFormat/>
    <w:rsid w:val="00B15F7D"/>
    <w:pPr>
      <w:keepNext/>
      <w:suppressAutoHyphens w:val="0"/>
      <w:autoSpaceDE w:val="0"/>
      <w:ind w:left="360"/>
      <w:jc w:val="center"/>
    </w:pPr>
    <w:rPr>
      <w:rFonts w:ascii="Book Antiqua" w:eastAsia="Calibri" w:hAnsi="Book Antiqua" w:cs="Calibri"/>
      <w:b/>
      <w:bCs/>
      <w:sz w:val="22"/>
      <w:szCs w:val="22"/>
      <w:u w:val="single"/>
      <w:lang w:val="es-CR" w:eastAsia="es-CR"/>
    </w:rPr>
  </w:style>
  <w:style w:type="paragraph" w:customStyle="1" w:styleId="Encabezado4">
    <w:name w:val="Encabezado4"/>
    <w:basedOn w:val="Normal"/>
    <w:uiPriority w:val="99"/>
    <w:qFormat/>
    <w:rsid w:val="00B15F7D"/>
    <w:pPr>
      <w:suppressAutoHyphens w:val="0"/>
      <w:autoSpaceDE w:val="0"/>
      <w:spacing w:line="360" w:lineRule="auto"/>
      <w:jc w:val="both"/>
    </w:pPr>
    <w:rPr>
      <w:rFonts w:ascii="Book Antiqua" w:eastAsia="Calibri" w:hAnsi="Book Antiqua" w:cs="Calibri"/>
      <w:sz w:val="22"/>
      <w:szCs w:val="22"/>
      <w:lang w:val="es-CR" w:eastAsia="es-CR"/>
    </w:rPr>
  </w:style>
  <w:style w:type="paragraph" w:customStyle="1" w:styleId="TableContents1">
    <w:name w:val="Table Contents1"/>
    <w:basedOn w:val="Normal"/>
    <w:uiPriority w:val="99"/>
    <w:qFormat/>
    <w:rsid w:val="00B15F7D"/>
    <w:pPr>
      <w:suppressAutoHyphens w:val="0"/>
      <w:autoSpaceDE w:val="0"/>
      <w:jc w:val="both"/>
    </w:pPr>
    <w:rPr>
      <w:rFonts w:ascii="Book Antiqua" w:eastAsia="Calibri" w:hAnsi="Book Antiqua" w:cs="Calibri"/>
      <w:sz w:val="22"/>
      <w:szCs w:val="22"/>
      <w:lang w:val="es-CR" w:eastAsia="es-CR"/>
    </w:rPr>
  </w:style>
  <w:style w:type="paragraph" w:customStyle="1" w:styleId="Framecontents0">
    <w:name w:val="Frame contents"/>
    <w:basedOn w:val="Normal"/>
    <w:qFormat/>
    <w:rsid w:val="00B15F7D"/>
    <w:pPr>
      <w:suppressAutoHyphens w:val="0"/>
      <w:autoSpaceDE w:val="0"/>
      <w:jc w:val="both"/>
    </w:pPr>
    <w:rPr>
      <w:rFonts w:eastAsia="Calibri"/>
      <w:color w:val="993300"/>
      <w:sz w:val="22"/>
      <w:szCs w:val="22"/>
      <w:lang w:val="es-CR" w:eastAsia="es-CR"/>
    </w:rPr>
  </w:style>
  <w:style w:type="paragraph" w:customStyle="1" w:styleId="WW-footer">
    <w:name w:val="WW-footer"/>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WW-TableContents">
    <w:name w:val="WW-Table Contents"/>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WW-TableHeading">
    <w:name w:val="WW-Table Heading"/>
    <w:basedOn w:val="Normal"/>
    <w:uiPriority w:val="99"/>
    <w:qFormat/>
    <w:rsid w:val="00B15F7D"/>
    <w:pPr>
      <w:suppressAutoHyphens w:val="0"/>
      <w:autoSpaceDE w:val="0"/>
      <w:jc w:val="center"/>
    </w:pPr>
    <w:rPr>
      <w:rFonts w:ascii="Book Antiqua" w:eastAsia="Calibri" w:hAnsi="Book Antiqua" w:cs="Calibri"/>
      <w:b/>
      <w:bCs/>
      <w:sz w:val="22"/>
      <w:szCs w:val="22"/>
      <w:lang w:val="es-CR" w:eastAsia="es-CR"/>
    </w:rPr>
  </w:style>
  <w:style w:type="paragraph" w:customStyle="1" w:styleId="WW-footer1">
    <w:name w:val="WW-footer1"/>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WW-TableContents1">
    <w:name w:val="WW-Table Contents1"/>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WW-TableHeading1">
    <w:name w:val="WW-Table Heading1"/>
    <w:basedOn w:val="Normal"/>
    <w:uiPriority w:val="99"/>
    <w:qFormat/>
    <w:rsid w:val="00B15F7D"/>
    <w:pPr>
      <w:suppressAutoHyphens w:val="0"/>
      <w:autoSpaceDE w:val="0"/>
      <w:jc w:val="center"/>
    </w:pPr>
    <w:rPr>
      <w:rFonts w:ascii="Book Antiqua" w:eastAsia="Calibri" w:hAnsi="Book Antiqua" w:cs="Calibri"/>
      <w:b/>
      <w:bCs/>
      <w:sz w:val="22"/>
      <w:szCs w:val="22"/>
      <w:lang w:val="es-CR" w:eastAsia="es-CR"/>
    </w:rPr>
  </w:style>
  <w:style w:type="paragraph" w:customStyle="1" w:styleId="TableContentsuser">
    <w:name w:val="Table Contents (user)"/>
    <w:basedOn w:val="Normal"/>
    <w:uiPriority w:val="99"/>
    <w:qFormat/>
    <w:rsid w:val="00B15F7D"/>
    <w:pPr>
      <w:suppressAutoHyphens w:val="0"/>
      <w:autoSpaceDE w:val="0"/>
    </w:pPr>
    <w:rPr>
      <w:rFonts w:ascii="Book Antiqua" w:eastAsia="Calibri" w:hAnsi="Book Antiqua" w:cs="Calibri"/>
      <w:sz w:val="22"/>
      <w:szCs w:val="22"/>
      <w:lang w:val="es-CR" w:eastAsia="es-CR"/>
    </w:rPr>
  </w:style>
  <w:style w:type="paragraph" w:customStyle="1" w:styleId="western1">
    <w:name w:val="western1"/>
    <w:basedOn w:val="Normal"/>
    <w:uiPriority w:val="99"/>
    <w:qFormat/>
    <w:rsid w:val="00B15F7D"/>
    <w:pPr>
      <w:suppressAutoHyphens w:val="0"/>
      <w:spacing w:before="280" w:line="288" w:lineRule="auto"/>
    </w:pPr>
    <w:rPr>
      <w:rFonts w:eastAsia="Calibri"/>
      <w:color w:val="993300"/>
      <w:lang w:val="es-CR" w:eastAsia="es-ES"/>
    </w:rPr>
  </w:style>
  <w:style w:type="paragraph" w:customStyle="1" w:styleId="Encabezado7">
    <w:name w:val="Encabezado 7"/>
    <w:basedOn w:val="Normal"/>
    <w:uiPriority w:val="99"/>
    <w:qFormat/>
    <w:rsid w:val="00B15F7D"/>
    <w:pPr>
      <w:keepNext/>
      <w:numPr>
        <w:ilvl w:val="6"/>
        <w:numId w:val="17"/>
      </w:numPr>
      <w:suppressAutoHyphens w:val="0"/>
      <w:autoSpaceDE w:val="0"/>
      <w:ind w:left="0" w:firstLine="0"/>
      <w:jc w:val="right"/>
    </w:pPr>
    <w:rPr>
      <w:rFonts w:ascii="Calibri" w:eastAsia="Calibri" w:hAnsi="Calibri" w:cs="Calibri"/>
      <w:sz w:val="22"/>
      <w:szCs w:val="22"/>
      <w:lang w:val="es-CR" w:eastAsia="en-US"/>
    </w:rPr>
  </w:style>
  <w:style w:type="paragraph" w:customStyle="1" w:styleId="4">
    <w:name w:val="4"/>
    <w:basedOn w:val="Normal"/>
    <w:uiPriority w:val="99"/>
    <w:qFormat/>
    <w:rsid w:val="00B15F7D"/>
    <w:pPr>
      <w:suppressAutoHyphens w:val="0"/>
      <w:autoSpaceDE w:val="0"/>
      <w:spacing w:before="120" w:after="120"/>
    </w:pPr>
    <w:rPr>
      <w:rFonts w:ascii="Book Antiqua" w:eastAsia="Calibri" w:hAnsi="Book Antiqua" w:cs="Calibri"/>
      <w:i/>
      <w:iCs/>
      <w:lang w:val="es-CR" w:eastAsia="zh-CN"/>
    </w:rPr>
  </w:style>
  <w:style w:type="paragraph" w:customStyle="1" w:styleId="Epgrafe2">
    <w:name w:val="Epígrafe2"/>
    <w:basedOn w:val="Normal"/>
    <w:uiPriority w:val="35"/>
    <w:qFormat/>
    <w:rsid w:val="00B15F7D"/>
    <w:pPr>
      <w:suppressAutoHyphens w:val="0"/>
      <w:autoSpaceDE w:val="0"/>
      <w:spacing w:before="120" w:after="120" w:line="240" w:lineRule="atLeast"/>
    </w:pPr>
    <w:rPr>
      <w:rFonts w:ascii="Book Antiqua" w:eastAsia="Calibri" w:hAnsi="Book Antiqua" w:cs="Calibri"/>
      <w:i/>
      <w:iCs/>
      <w:lang w:val="es-CR" w:eastAsia="zh-CN"/>
    </w:rPr>
  </w:style>
  <w:style w:type="paragraph" w:customStyle="1" w:styleId="Ttulo12">
    <w:name w:val="Título 12"/>
    <w:basedOn w:val="Normal"/>
    <w:qFormat/>
    <w:rsid w:val="00B15F7D"/>
    <w:pPr>
      <w:keepNext/>
      <w:suppressAutoHyphens w:val="0"/>
      <w:autoSpaceDE w:val="0"/>
      <w:jc w:val="center"/>
    </w:pPr>
    <w:rPr>
      <w:rFonts w:eastAsia="Calibri"/>
      <w:b/>
      <w:bCs/>
      <w:sz w:val="22"/>
      <w:szCs w:val="22"/>
      <w:lang w:val="es-CR" w:eastAsia="zh-CN"/>
    </w:rPr>
  </w:style>
  <w:style w:type="paragraph" w:customStyle="1" w:styleId="Ttulo22">
    <w:name w:val="Título 22"/>
    <w:basedOn w:val="Normal"/>
    <w:uiPriority w:val="99"/>
    <w:qFormat/>
    <w:rsid w:val="00B15F7D"/>
    <w:pPr>
      <w:keepNext/>
      <w:suppressAutoHyphens w:val="0"/>
      <w:autoSpaceDE w:val="0"/>
      <w:spacing w:before="240" w:after="60" w:line="240" w:lineRule="atLeast"/>
      <w:jc w:val="center"/>
    </w:pPr>
    <w:rPr>
      <w:rFonts w:ascii="Book Antiqua" w:eastAsia="Calibri" w:hAnsi="Book Antiqua" w:cs="Calibri"/>
      <w:b/>
      <w:bCs/>
      <w:i/>
      <w:iCs/>
      <w:sz w:val="28"/>
      <w:szCs w:val="28"/>
      <w:u w:val="single"/>
      <w:lang w:val="es-CR" w:eastAsia="zh-CN"/>
    </w:rPr>
  </w:style>
  <w:style w:type="paragraph" w:customStyle="1" w:styleId="Ttulo32">
    <w:name w:val="Título 32"/>
    <w:basedOn w:val="Normal"/>
    <w:qFormat/>
    <w:rsid w:val="00B15F7D"/>
    <w:pPr>
      <w:keepNext/>
      <w:suppressAutoHyphens w:val="0"/>
      <w:autoSpaceDE w:val="0"/>
      <w:spacing w:before="240" w:after="60" w:line="240" w:lineRule="atLeast"/>
      <w:jc w:val="center"/>
    </w:pPr>
    <w:rPr>
      <w:rFonts w:ascii="Book Antiqua" w:eastAsia="Calibri" w:hAnsi="Book Antiqua" w:cs="Calibri"/>
      <w:b/>
      <w:bCs/>
      <w:i/>
      <w:iCs/>
      <w:u w:val="single"/>
      <w:lang w:val="es-CR" w:eastAsia="zh-CN"/>
    </w:rPr>
  </w:style>
  <w:style w:type="paragraph" w:customStyle="1" w:styleId="Ttulo43">
    <w:name w:val="Título 43"/>
    <w:basedOn w:val="Normal"/>
    <w:uiPriority w:val="99"/>
    <w:qFormat/>
    <w:rsid w:val="00B15F7D"/>
    <w:pPr>
      <w:keepNext/>
      <w:suppressAutoHyphens w:val="0"/>
      <w:autoSpaceDE w:val="0"/>
      <w:jc w:val="center"/>
    </w:pPr>
    <w:rPr>
      <w:rFonts w:eastAsia="Calibri"/>
      <w:b/>
      <w:bCs/>
      <w:sz w:val="32"/>
      <w:szCs w:val="32"/>
      <w:lang w:val="es-CR" w:eastAsia="zh-CN"/>
    </w:rPr>
  </w:style>
  <w:style w:type="paragraph" w:customStyle="1" w:styleId="Ttulo62">
    <w:name w:val="Título 62"/>
    <w:basedOn w:val="Normal"/>
    <w:uiPriority w:val="99"/>
    <w:qFormat/>
    <w:rsid w:val="00B15F7D"/>
    <w:pPr>
      <w:keepNext/>
      <w:suppressAutoHyphens w:val="0"/>
      <w:autoSpaceDE w:val="0"/>
      <w:jc w:val="center"/>
    </w:pPr>
    <w:rPr>
      <w:rFonts w:ascii="Book Antiqua" w:eastAsia="Calibri" w:hAnsi="Book Antiqua" w:cs="Calibri"/>
      <w:b/>
      <w:bCs/>
      <w:i/>
      <w:iCs/>
      <w:sz w:val="22"/>
      <w:szCs w:val="22"/>
      <w:u w:val="single"/>
      <w:lang w:val="es-CR" w:eastAsia="zh-CN"/>
    </w:rPr>
  </w:style>
  <w:style w:type="paragraph" w:customStyle="1" w:styleId="Ttulo72">
    <w:name w:val="Título 72"/>
    <w:basedOn w:val="Normal"/>
    <w:uiPriority w:val="99"/>
    <w:qFormat/>
    <w:rsid w:val="00B15F7D"/>
    <w:pPr>
      <w:keepNext/>
      <w:suppressAutoHyphens w:val="0"/>
      <w:autoSpaceDE w:val="0"/>
      <w:jc w:val="center"/>
    </w:pPr>
    <w:rPr>
      <w:rFonts w:eastAsia="Calibri"/>
      <w:b/>
      <w:bCs/>
      <w:sz w:val="22"/>
      <w:szCs w:val="22"/>
      <w:lang w:val="es-CR" w:eastAsia="zh-CN"/>
    </w:rPr>
  </w:style>
  <w:style w:type="paragraph" w:customStyle="1" w:styleId="Ttulo82">
    <w:name w:val="Título 82"/>
    <w:basedOn w:val="Normal"/>
    <w:uiPriority w:val="99"/>
    <w:qFormat/>
    <w:rsid w:val="00B15F7D"/>
    <w:pPr>
      <w:keepNext/>
      <w:suppressAutoHyphens w:val="0"/>
      <w:autoSpaceDE w:val="0"/>
    </w:pPr>
    <w:rPr>
      <w:rFonts w:eastAsia="Calibri"/>
      <w:b/>
      <w:bCs/>
      <w:sz w:val="20"/>
      <w:szCs w:val="20"/>
      <w:lang w:val="es-CR" w:eastAsia="zh-CN"/>
    </w:rPr>
  </w:style>
  <w:style w:type="paragraph" w:customStyle="1" w:styleId="Ttulo92">
    <w:name w:val="Título 92"/>
    <w:basedOn w:val="Normal"/>
    <w:uiPriority w:val="99"/>
    <w:qFormat/>
    <w:rsid w:val="00B15F7D"/>
    <w:pPr>
      <w:keepNext/>
      <w:suppressAutoHyphens w:val="0"/>
      <w:autoSpaceDE w:val="0"/>
      <w:ind w:left="360"/>
      <w:jc w:val="center"/>
    </w:pPr>
    <w:rPr>
      <w:rFonts w:ascii="Book Antiqua" w:eastAsia="Calibri" w:hAnsi="Book Antiqua" w:cs="Calibri"/>
      <w:b/>
      <w:bCs/>
      <w:sz w:val="22"/>
      <w:szCs w:val="22"/>
      <w:u w:val="single"/>
      <w:lang w:val="es-CR" w:eastAsia="zh-CN"/>
    </w:rPr>
  </w:style>
  <w:style w:type="paragraph" w:customStyle="1" w:styleId="Encabezado5">
    <w:name w:val="Encabezado5"/>
    <w:basedOn w:val="Normal"/>
    <w:qFormat/>
    <w:rsid w:val="00B15F7D"/>
    <w:pPr>
      <w:suppressAutoHyphens w:val="0"/>
      <w:autoSpaceDE w:val="0"/>
      <w:spacing w:line="360" w:lineRule="auto"/>
      <w:jc w:val="both"/>
    </w:pPr>
    <w:rPr>
      <w:rFonts w:ascii="Book Antiqua" w:eastAsia="Calibri" w:hAnsi="Book Antiqua" w:cs="Calibri"/>
      <w:sz w:val="22"/>
      <w:szCs w:val="22"/>
      <w:lang w:val="es-CR" w:eastAsia="zh-CN"/>
    </w:rPr>
  </w:style>
  <w:style w:type="paragraph" w:customStyle="1" w:styleId="Piedepgina2">
    <w:name w:val="Pie de página2"/>
    <w:basedOn w:val="Normal"/>
    <w:uiPriority w:val="99"/>
    <w:qFormat/>
    <w:rsid w:val="00B15F7D"/>
    <w:pPr>
      <w:suppressAutoHyphens w:val="0"/>
      <w:autoSpaceDE w:val="0"/>
    </w:pPr>
    <w:rPr>
      <w:rFonts w:ascii="Book Antiqua" w:eastAsia="Calibri" w:hAnsi="Book Antiqua" w:cs="Calibri"/>
      <w:sz w:val="22"/>
      <w:szCs w:val="22"/>
      <w:lang w:val="es-CR" w:eastAsia="zh-CN"/>
    </w:rPr>
  </w:style>
  <w:style w:type="paragraph" w:customStyle="1" w:styleId="Sangr2detindependiente">
    <w:name w:val="Sangr? 2 de t. independiente"/>
    <w:basedOn w:val="Normal"/>
    <w:uiPriority w:val="99"/>
    <w:qFormat/>
    <w:rsid w:val="00B15F7D"/>
    <w:pPr>
      <w:suppressAutoHyphens w:val="0"/>
      <w:autoSpaceDE w:val="0"/>
      <w:ind w:firstLine="708"/>
    </w:pPr>
    <w:rPr>
      <w:rFonts w:eastAsia="Calibri"/>
      <w:i/>
      <w:iCs/>
      <w:sz w:val="22"/>
      <w:szCs w:val="22"/>
      <w:lang w:val="es-CR" w:eastAsia="zh-CN"/>
    </w:rPr>
  </w:style>
  <w:style w:type="paragraph" w:customStyle="1" w:styleId="gmail-msonospacing">
    <w:name w:val="gmail-msonospacing"/>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gmail-msobodytext">
    <w:name w:val="gmail-msobodytext"/>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Encabezado10">
    <w:name w:val="Encabezado 10"/>
    <w:basedOn w:val="Normal"/>
    <w:uiPriority w:val="99"/>
    <w:qFormat/>
    <w:rsid w:val="00B15F7D"/>
    <w:pPr>
      <w:keepNext/>
      <w:numPr>
        <w:numId w:val="18"/>
      </w:numPr>
      <w:shd w:val="clear" w:color="auto" w:fill="FFFFFF"/>
      <w:suppressAutoHyphens w:val="0"/>
      <w:autoSpaceDE w:val="0"/>
      <w:autoSpaceDN w:val="0"/>
      <w:spacing w:before="240" w:after="120"/>
      <w:ind w:left="720"/>
    </w:pPr>
    <w:rPr>
      <w:rFonts w:ascii="Arial" w:eastAsia="Calibri" w:hAnsi="Arial" w:cs="Arial"/>
      <w:b/>
      <w:bCs/>
      <w:color w:val="000000"/>
      <w:sz w:val="21"/>
      <w:szCs w:val="21"/>
      <w:lang w:val="es-CR" w:eastAsia="es-CR"/>
    </w:rPr>
  </w:style>
  <w:style w:type="paragraph" w:customStyle="1" w:styleId="Sangra2detindependiente2">
    <w:name w:val="Sangría 2 de t. independiente2"/>
    <w:basedOn w:val="Normal"/>
    <w:uiPriority w:val="99"/>
    <w:qFormat/>
    <w:rsid w:val="00B15F7D"/>
    <w:pPr>
      <w:suppressAutoHyphens w:val="0"/>
      <w:spacing w:after="120" w:line="480" w:lineRule="auto"/>
      <w:ind w:left="283"/>
    </w:pPr>
    <w:rPr>
      <w:rFonts w:eastAsia="Calibri"/>
      <w:lang w:val="es-CR" w:eastAsia="zh-CN"/>
    </w:rPr>
  </w:style>
  <w:style w:type="paragraph" w:customStyle="1" w:styleId="Listaconvietas20">
    <w:name w:val="Lista con viñetas2"/>
    <w:basedOn w:val="Normal"/>
    <w:uiPriority w:val="99"/>
    <w:qFormat/>
    <w:rsid w:val="00B15F7D"/>
    <w:pPr>
      <w:suppressAutoHyphens w:val="0"/>
      <w:ind w:left="1080" w:hanging="360"/>
    </w:pPr>
    <w:rPr>
      <w:rFonts w:ascii="Arial" w:eastAsia="Calibri" w:hAnsi="Arial" w:cs="Arial"/>
      <w:lang w:val="es-CR" w:eastAsia="zh-CN"/>
    </w:rPr>
  </w:style>
  <w:style w:type="paragraph" w:customStyle="1" w:styleId="Textodebloque2">
    <w:name w:val="Texto de bloque2"/>
    <w:basedOn w:val="Normal"/>
    <w:uiPriority w:val="99"/>
    <w:qFormat/>
    <w:rsid w:val="00B15F7D"/>
    <w:pPr>
      <w:suppressAutoHyphens w:val="0"/>
      <w:ind w:left="851" w:right="851" w:firstLine="709"/>
      <w:jc w:val="both"/>
    </w:pPr>
    <w:rPr>
      <w:rFonts w:eastAsia="Calibri"/>
      <w:lang w:val="es-CR" w:eastAsia="zh-CN"/>
    </w:rPr>
  </w:style>
  <w:style w:type="paragraph" w:customStyle="1" w:styleId="Textosinformato2">
    <w:name w:val="Texto sin formato2"/>
    <w:basedOn w:val="Normal"/>
    <w:qFormat/>
    <w:rsid w:val="00B15F7D"/>
    <w:pPr>
      <w:suppressAutoHyphens w:val="0"/>
    </w:pPr>
    <w:rPr>
      <w:rFonts w:ascii="Bookman Old Style" w:eastAsia="Calibri" w:hAnsi="Bookman Old Style" w:cs="Calibri"/>
      <w:i/>
      <w:iCs/>
      <w:lang w:val="es-CR" w:eastAsia="zh-CN"/>
    </w:rPr>
  </w:style>
  <w:style w:type="paragraph" w:customStyle="1" w:styleId="Sangra3detindependiente2">
    <w:name w:val="Sangría 3 de t. independiente2"/>
    <w:basedOn w:val="Normal"/>
    <w:uiPriority w:val="99"/>
    <w:qFormat/>
    <w:rsid w:val="00B15F7D"/>
    <w:pPr>
      <w:suppressAutoHyphens w:val="0"/>
      <w:spacing w:after="120"/>
      <w:ind w:left="283"/>
    </w:pPr>
    <w:rPr>
      <w:rFonts w:eastAsia="Calibri"/>
      <w:sz w:val="16"/>
      <w:szCs w:val="16"/>
      <w:lang w:val="es-CR" w:eastAsia="zh-CN"/>
    </w:rPr>
  </w:style>
  <w:style w:type="paragraph" w:customStyle="1" w:styleId="Textoindependienteprimerasangra1">
    <w:name w:val="Texto independiente primera sangría1"/>
    <w:basedOn w:val="Normal"/>
    <w:uiPriority w:val="99"/>
    <w:qFormat/>
    <w:rsid w:val="00B15F7D"/>
    <w:pPr>
      <w:suppressAutoHyphens w:val="0"/>
      <w:spacing w:before="120" w:after="120"/>
      <w:ind w:firstLine="210"/>
      <w:jc w:val="both"/>
    </w:pPr>
    <w:rPr>
      <w:rFonts w:eastAsia="Calibri"/>
      <w:lang w:val="es-CR" w:eastAsia="zh-CN"/>
    </w:rPr>
  </w:style>
  <w:style w:type="paragraph" w:customStyle="1" w:styleId="Textoindependienteprimerasangra21">
    <w:name w:val="Texto independiente primera sangría 21"/>
    <w:basedOn w:val="Normal"/>
    <w:uiPriority w:val="99"/>
    <w:qFormat/>
    <w:rsid w:val="00B15F7D"/>
    <w:pPr>
      <w:suppressAutoHyphens w:val="0"/>
      <w:spacing w:after="120"/>
      <w:ind w:left="283" w:firstLine="210"/>
    </w:pPr>
    <w:rPr>
      <w:rFonts w:eastAsia="Calibri"/>
      <w:lang w:val="es-CR" w:eastAsia="zh-CN"/>
    </w:rPr>
  </w:style>
  <w:style w:type="paragraph" w:customStyle="1" w:styleId="Fecha2">
    <w:name w:val="Fecha2"/>
    <w:basedOn w:val="Normal"/>
    <w:uiPriority w:val="99"/>
    <w:qFormat/>
    <w:rsid w:val="00B15F7D"/>
    <w:pPr>
      <w:suppressAutoHyphens w:val="0"/>
    </w:pPr>
    <w:rPr>
      <w:rFonts w:ascii="Courier New" w:eastAsia="Calibri" w:hAnsi="Courier New" w:cs="Courier New"/>
      <w:lang w:val="es-CR" w:eastAsia="zh-CN"/>
    </w:rPr>
  </w:style>
  <w:style w:type="paragraph" w:customStyle="1" w:styleId="WW-Encabezado1">
    <w:name w:val="WW-Encabezado 1"/>
    <w:basedOn w:val="Normal"/>
    <w:uiPriority w:val="99"/>
    <w:qFormat/>
    <w:rsid w:val="00B15F7D"/>
    <w:pPr>
      <w:keepNext/>
      <w:suppressAutoHyphens w:val="0"/>
      <w:autoSpaceDE w:val="0"/>
      <w:jc w:val="both"/>
    </w:pPr>
    <w:rPr>
      <w:rFonts w:ascii="Comic Sans MS" w:eastAsia="Calibri" w:hAnsi="Comic Sans MS" w:cs="Calibri"/>
      <w:b/>
      <w:bCs/>
      <w:sz w:val="28"/>
      <w:szCs w:val="28"/>
      <w:lang w:val="es-CR" w:eastAsia="zh-CN"/>
    </w:rPr>
  </w:style>
  <w:style w:type="paragraph" w:customStyle="1" w:styleId="WW-Encabezado2">
    <w:name w:val="WW-Encabezado 2"/>
    <w:basedOn w:val="Normal"/>
    <w:uiPriority w:val="99"/>
    <w:qFormat/>
    <w:rsid w:val="00B15F7D"/>
    <w:pPr>
      <w:keepNext/>
      <w:suppressAutoHyphens w:val="0"/>
      <w:autoSpaceDE w:val="0"/>
    </w:pPr>
    <w:rPr>
      <w:rFonts w:eastAsia="Calibri"/>
      <w:b/>
      <w:bCs/>
      <w:sz w:val="18"/>
      <w:szCs w:val="18"/>
      <w:lang w:val="es-CR" w:eastAsia="zh-CN"/>
    </w:rPr>
  </w:style>
  <w:style w:type="paragraph" w:customStyle="1" w:styleId="WW-Encabezado3">
    <w:name w:val="WW-Encabezado 3"/>
    <w:basedOn w:val="Normal"/>
    <w:uiPriority w:val="99"/>
    <w:qFormat/>
    <w:rsid w:val="00B15F7D"/>
    <w:pPr>
      <w:keepNext/>
      <w:suppressAutoHyphens w:val="0"/>
      <w:autoSpaceDE w:val="0"/>
      <w:jc w:val="center"/>
    </w:pPr>
    <w:rPr>
      <w:rFonts w:eastAsia="Calibri"/>
      <w:b/>
      <w:bCs/>
      <w:sz w:val="18"/>
      <w:szCs w:val="18"/>
      <w:lang w:val="es-CR" w:eastAsia="zh-CN"/>
    </w:rPr>
  </w:style>
  <w:style w:type="paragraph" w:customStyle="1" w:styleId="Listaconnmeros1">
    <w:name w:val="Lista con números1"/>
    <w:basedOn w:val="Normal"/>
    <w:uiPriority w:val="99"/>
    <w:qFormat/>
    <w:rsid w:val="00B15F7D"/>
    <w:pPr>
      <w:suppressAutoHyphens w:val="0"/>
      <w:ind w:left="1281" w:hanging="360"/>
    </w:pPr>
    <w:rPr>
      <w:rFonts w:eastAsia="Calibri"/>
      <w:lang w:val="es-CR" w:eastAsia="zh-CN"/>
    </w:rPr>
  </w:style>
  <w:style w:type="paragraph" w:customStyle="1" w:styleId="Continuarlista1">
    <w:name w:val="Continuar lista1"/>
    <w:basedOn w:val="Normal"/>
    <w:uiPriority w:val="99"/>
    <w:qFormat/>
    <w:rsid w:val="00B15F7D"/>
    <w:pPr>
      <w:suppressAutoHyphens w:val="0"/>
      <w:spacing w:after="120"/>
      <w:ind w:left="283"/>
    </w:pPr>
    <w:rPr>
      <w:rFonts w:eastAsia="Calibri"/>
      <w:lang w:val="es-CR" w:eastAsia="zh-CN"/>
    </w:rPr>
  </w:style>
  <w:style w:type="paragraph" w:customStyle="1" w:styleId="WW-Estilopredeterminado">
    <w:name w:val="WW-Estilo predeterminado"/>
    <w:basedOn w:val="Normal"/>
    <w:uiPriority w:val="99"/>
    <w:qFormat/>
    <w:rsid w:val="00B15F7D"/>
    <w:pPr>
      <w:suppressAutoHyphens w:val="0"/>
      <w:autoSpaceDE w:val="0"/>
    </w:pPr>
    <w:rPr>
      <w:rFonts w:ascii="Arial" w:eastAsia="Calibri" w:hAnsi="Arial" w:cs="Arial"/>
      <w:lang w:val="es-CR" w:eastAsia="zh-CN"/>
    </w:rPr>
  </w:style>
  <w:style w:type="paragraph" w:customStyle="1" w:styleId="Listaconvietas21">
    <w:name w:val="Lista con viñetas 21"/>
    <w:basedOn w:val="Normal"/>
    <w:uiPriority w:val="99"/>
    <w:qFormat/>
    <w:rsid w:val="00B15F7D"/>
    <w:pPr>
      <w:suppressAutoHyphens w:val="0"/>
      <w:ind w:left="643" w:hanging="360"/>
    </w:pPr>
    <w:rPr>
      <w:rFonts w:eastAsia="Calibri"/>
      <w:lang w:val="es-CR" w:eastAsia="zh-CN"/>
    </w:rPr>
  </w:style>
  <w:style w:type="paragraph" w:customStyle="1" w:styleId="Mapadeldocumento1">
    <w:name w:val="Mapa del documento1"/>
    <w:basedOn w:val="Normal"/>
    <w:uiPriority w:val="99"/>
    <w:qFormat/>
    <w:rsid w:val="00B15F7D"/>
    <w:pPr>
      <w:shd w:val="clear" w:color="auto" w:fill="000080"/>
      <w:suppressAutoHyphens w:val="0"/>
      <w:autoSpaceDE w:val="0"/>
    </w:pPr>
    <w:rPr>
      <w:rFonts w:ascii="Tahoma" w:eastAsia="Calibri" w:hAnsi="Tahoma" w:cs="Tahoma"/>
      <w:color w:val="000000"/>
      <w:lang w:val="es-CR" w:eastAsia="zh-CN"/>
    </w:rPr>
  </w:style>
  <w:style w:type="paragraph" w:customStyle="1" w:styleId="Saludo1">
    <w:name w:val="Saludo1"/>
    <w:basedOn w:val="Normal"/>
    <w:uiPriority w:val="99"/>
    <w:qFormat/>
    <w:rsid w:val="00B15F7D"/>
    <w:pPr>
      <w:suppressAutoHyphens w:val="0"/>
    </w:pPr>
    <w:rPr>
      <w:rFonts w:ascii="Calibri" w:eastAsia="Calibri" w:hAnsi="Calibri" w:cs="Calibri"/>
      <w:lang w:val="es-CR" w:eastAsia="zh-CN"/>
    </w:rPr>
  </w:style>
  <w:style w:type="paragraph" w:customStyle="1" w:styleId="Cierre1">
    <w:name w:val="Cierre1"/>
    <w:basedOn w:val="Normal"/>
    <w:uiPriority w:val="99"/>
    <w:qFormat/>
    <w:rsid w:val="00B15F7D"/>
    <w:pPr>
      <w:suppressAutoHyphens w:val="0"/>
      <w:ind w:left="4252"/>
    </w:pPr>
    <w:rPr>
      <w:rFonts w:ascii="Century Schoolbook" w:eastAsia="Calibri" w:hAnsi="Century Schoolbook" w:cs="Calibri"/>
      <w:i/>
      <w:iCs/>
      <w:lang w:val="es-CR" w:eastAsia="zh-CN"/>
    </w:rPr>
  </w:style>
  <w:style w:type="paragraph" w:customStyle="1" w:styleId="Continuarlista21">
    <w:name w:val="Continuar lista 21"/>
    <w:basedOn w:val="Normal"/>
    <w:uiPriority w:val="99"/>
    <w:qFormat/>
    <w:rsid w:val="00B15F7D"/>
    <w:pPr>
      <w:suppressAutoHyphens w:val="0"/>
      <w:spacing w:after="120"/>
      <w:ind w:left="566"/>
    </w:pPr>
    <w:rPr>
      <w:rFonts w:eastAsia="Calibri"/>
      <w:lang w:val="es-CR" w:eastAsia="zh-CN"/>
    </w:rPr>
  </w:style>
  <w:style w:type="paragraph" w:customStyle="1" w:styleId="xl76">
    <w:name w:val="xl76"/>
    <w:basedOn w:val="Normal"/>
    <w:qFormat/>
    <w:rsid w:val="00B15F7D"/>
    <w:pPr>
      <w:suppressAutoHyphens w:val="0"/>
      <w:spacing w:before="100" w:after="100"/>
    </w:pPr>
    <w:rPr>
      <w:rFonts w:ascii="Tahoma" w:eastAsia="Calibri" w:hAnsi="Tahoma" w:cs="Tahoma"/>
      <w:color w:val="000000"/>
      <w:sz w:val="16"/>
      <w:szCs w:val="16"/>
      <w:lang w:val="es-CR" w:eastAsia="zh-CN"/>
    </w:rPr>
  </w:style>
  <w:style w:type="paragraph" w:customStyle="1" w:styleId="xl77">
    <w:name w:val="xl77"/>
    <w:basedOn w:val="Normal"/>
    <w:qFormat/>
    <w:rsid w:val="00B15F7D"/>
    <w:pPr>
      <w:suppressAutoHyphens w:val="0"/>
      <w:spacing w:before="100" w:after="100"/>
      <w:jc w:val="center"/>
    </w:pPr>
    <w:rPr>
      <w:rFonts w:ascii="Tahoma" w:eastAsia="Calibri" w:hAnsi="Tahoma" w:cs="Tahoma"/>
      <w:color w:val="000000"/>
      <w:sz w:val="16"/>
      <w:szCs w:val="16"/>
      <w:lang w:val="es-CR" w:eastAsia="zh-CN"/>
    </w:rPr>
  </w:style>
  <w:style w:type="paragraph" w:customStyle="1" w:styleId="xl78">
    <w:name w:val="xl78"/>
    <w:basedOn w:val="Normal"/>
    <w:qFormat/>
    <w:rsid w:val="00B15F7D"/>
    <w:pPr>
      <w:suppressAutoHyphens w:val="0"/>
      <w:spacing w:before="100" w:after="100"/>
      <w:jc w:val="right"/>
    </w:pPr>
    <w:rPr>
      <w:rFonts w:ascii="Tahoma" w:eastAsia="Calibri" w:hAnsi="Tahoma" w:cs="Tahoma"/>
      <w:color w:val="000000"/>
      <w:sz w:val="16"/>
      <w:szCs w:val="16"/>
      <w:lang w:val="es-CR" w:eastAsia="zh-CN"/>
    </w:rPr>
  </w:style>
  <w:style w:type="paragraph" w:customStyle="1" w:styleId="xl79">
    <w:name w:val="xl79"/>
    <w:basedOn w:val="Normal"/>
    <w:qFormat/>
    <w:rsid w:val="00B15F7D"/>
    <w:pPr>
      <w:suppressAutoHyphens w:val="0"/>
      <w:spacing w:before="100" w:after="100"/>
      <w:jc w:val="center"/>
    </w:pPr>
    <w:rPr>
      <w:rFonts w:ascii="Tahoma" w:eastAsia="Calibri" w:hAnsi="Tahoma" w:cs="Tahoma"/>
      <w:b/>
      <w:bCs/>
      <w:color w:val="000000"/>
      <w:lang w:val="es-CR" w:eastAsia="zh-CN"/>
    </w:rPr>
  </w:style>
  <w:style w:type="paragraph" w:customStyle="1" w:styleId="xl80">
    <w:name w:val="xl80"/>
    <w:basedOn w:val="Normal"/>
    <w:qFormat/>
    <w:rsid w:val="00B15F7D"/>
    <w:pPr>
      <w:suppressAutoHyphens w:val="0"/>
      <w:spacing w:before="100" w:after="100"/>
    </w:pPr>
    <w:rPr>
      <w:rFonts w:ascii="Tahoma" w:eastAsia="Calibri" w:hAnsi="Tahoma" w:cs="Tahoma"/>
      <w:b/>
      <w:bCs/>
      <w:color w:val="000000"/>
      <w:sz w:val="16"/>
      <w:szCs w:val="16"/>
      <w:lang w:val="es-CR" w:eastAsia="zh-CN"/>
    </w:rPr>
  </w:style>
  <w:style w:type="paragraph" w:customStyle="1" w:styleId="xl81">
    <w:name w:val="xl81"/>
    <w:basedOn w:val="Normal"/>
    <w:qFormat/>
    <w:rsid w:val="00B15F7D"/>
    <w:pPr>
      <w:suppressAutoHyphens w:val="0"/>
      <w:spacing w:before="100" w:after="100"/>
    </w:pPr>
    <w:rPr>
      <w:rFonts w:ascii="Tahoma" w:eastAsia="Calibri" w:hAnsi="Tahoma" w:cs="Tahoma"/>
      <w:b/>
      <w:bCs/>
      <w:color w:val="000000"/>
      <w:sz w:val="16"/>
      <w:szCs w:val="16"/>
      <w:lang w:val="es-CR" w:eastAsia="zh-CN"/>
    </w:rPr>
  </w:style>
  <w:style w:type="paragraph" w:customStyle="1" w:styleId="xl82">
    <w:name w:val="xl82"/>
    <w:basedOn w:val="Normal"/>
    <w:qFormat/>
    <w:rsid w:val="00B15F7D"/>
    <w:pPr>
      <w:suppressAutoHyphens w:val="0"/>
      <w:spacing w:before="100" w:after="100"/>
    </w:pPr>
    <w:rPr>
      <w:rFonts w:ascii="Tahoma" w:eastAsia="Calibri" w:hAnsi="Tahoma" w:cs="Tahoma"/>
      <w:b/>
      <w:bCs/>
      <w:color w:val="000000"/>
      <w:sz w:val="16"/>
      <w:szCs w:val="16"/>
      <w:lang w:val="es-CR" w:eastAsia="zh-CN"/>
    </w:rPr>
  </w:style>
  <w:style w:type="paragraph" w:customStyle="1" w:styleId="xl83">
    <w:name w:val="xl83"/>
    <w:basedOn w:val="Normal"/>
    <w:qFormat/>
    <w:rsid w:val="00B15F7D"/>
    <w:pPr>
      <w:suppressAutoHyphens w:val="0"/>
      <w:spacing w:before="100" w:after="100"/>
    </w:pPr>
    <w:rPr>
      <w:rFonts w:ascii="Tahoma" w:eastAsia="Calibri" w:hAnsi="Tahoma" w:cs="Tahoma"/>
      <w:b/>
      <w:bCs/>
      <w:color w:val="000000"/>
      <w:sz w:val="16"/>
      <w:szCs w:val="16"/>
      <w:lang w:val="es-CR" w:eastAsia="zh-CN"/>
    </w:rPr>
  </w:style>
  <w:style w:type="paragraph" w:customStyle="1" w:styleId="xl84">
    <w:name w:val="xl84"/>
    <w:basedOn w:val="Normal"/>
    <w:qFormat/>
    <w:rsid w:val="00B15F7D"/>
    <w:pPr>
      <w:shd w:val="clear" w:color="auto" w:fill="708090"/>
      <w:suppressAutoHyphens w:val="0"/>
      <w:spacing w:before="100" w:after="100"/>
      <w:jc w:val="right"/>
    </w:pPr>
    <w:rPr>
      <w:rFonts w:ascii="Arial" w:eastAsia="Calibri" w:hAnsi="Arial" w:cs="Arial"/>
      <w:b/>
      <w:bCs/>
      <w:color w:val="000000"/>
      <w:sz w:val="16"/>
      <w:szCs w:val="16"/>
      <w:lang w:val="es-CR" w:eastAsia="zh-CN"/>
    </w:rPr>
  </w:style>
  <w:style w:type="paragraph" w:customStyle="1" w:styleId="xl85">
    <w:name w:val="xl85"/>
    <w:basedOn w:val="Normal"/>
    <w:qFormat/>
    <w:rsid w:val="00B15F7D"/>
    <w:pPr>
      <w:shd w:val="clear" w:color="auto" w:fill="708090"/>
      <w:suppressAutoHyphens w:val="0"/>
      <w:spacing w:before="100" w:after="100"/>
      <w:jc w:val="right"/>
    </w:pPr>
    <w:rPr>
      <w:rFonts w:ascii="Arial" w:eastAsia="Calibri" w:hAnsi="Arial" w:cs="Arial"/>
      <w:b/>
      <w:bCs/>
      <w:color w:val="000000"/>
      <w:sz w:val="16"/>
      <w:szCs w:val="16"/>
      <w:lang w:val="es-CR" w:eastAsia="zh-CN"/>
    </w:rPr>
  </w:style>
  <w:style w:type="paragraph" w:customStyle="1" w:styleId="xl86">
    <w:name w:val="xl86"/>
    <w:basedOn w:val="Normal"/>
    <w:qFormat/>
    <w:rsid w:val="00B15F7D"/>
    <w:pPr>
      <w:shd w:val="clear" w:color="auto" w:fill="A9A9A9"/>
      <w:suppressAutoHyphens w:val="0"/>
      <w:spacing w:before="100" w:after="100"/>
    </w:pPr>
    <w:rPr>
      <w:rFonts w:ascii="Arial" w:eastAsia="Calibri" w:hAnsi="Arial" w:cs="Arial"/>
      <w:b/>
      <w:bCs/>
      <w:color w:val="000000"/>
      <w:sz w:val="16"/>
      <w:szCs w:val="16"/>
      <w:lang w:val="es-CR" w:eastAsia="zh-CN"/>
    </w:rPr>
  </w:style>
  <w:style w:type="paragraph" w:customStyle="1" w:styleId="xl87">
    <w:name w:val="xl87"/>
    <w:basedOn w:val="Normal"/>
    <w:qFormat/>
    <w:rsid w:val="00B15F7D"/>
    <w:pPr>
      <w:shd w:val="clear" w:color="auto" w:fill="A9A9A9"/>
      <w:suppressAutoHyphens w:val="0"/>
      <w:spacing w:before="100" w:after="100"/>
    </w:pPr>
    <w:rPr>
      <w:rFonts w:ascii="Arial" w:eastAsia="Calibri" w:hAnsi="Arial" w:cs="Arial"/>
      <w:b/>
      <w:bCs/>
      <w:color w:val="000000"/>
      <w:sz w:val="16"/>
      <w:szCs w:val="16"/>
      <w:lang w:val="es-CR" w:eastAsia="zh-CN"/>
    </w:rPr>
  </w:style>
  <w:style w:type="paragraph" w:customStyle="1" w:styleId="xl88">
    <w:name w:val="xl88"/>
    <w:basedOn w:val="Normal"/>
    <w:qFormat/>
    <w:rsid w:val="00B15F7D"/>
    <w:pPr>
      <w:shd w:val="clear" w:color="auto" w:fill="DCDCDC"/>
      <w:suppressAutoHyphens w:val="0"/>
      <w:spacing w:before="100" w:after="100"/>
    </w:pPr>
    <w:rPr>
      <w:rFonts w:ascii="Arial" w:eastAsia="Calibri" w:hAnsi="Arial" w:cs="Arial"/>
      <w:b/>
      <w:bCs/>
      <w:color w:val="000000"/>
      <w:sz w:val="16"/>
      <w:szCs w:val="16"/>
      <w:lang w:val="es-CR" w:eastAsia="zh-CN"/>
    </w:rPr>
  </w:style>
  <w:style w:type="paragraph" w:customStyle="1" w:styleId="xl89">
    <w:name w:val="xl89"/>
    <w:basedOn w:val="Normal"/>
    <w:qFormat/>
    <w:rsid w:val="00B15F7D"/>
    <w:pPr>
      <w:shd w:val="clear" w:color="auto" w:fill="B0C4DE"/>
      <w:suppressAutoHyphens w:val="0"/>
      <w:spacing w:before="100" w:after="100"/>
    </w:pPr>
    <w:rPr>
      <w:rFonts w:ascii="Arial" w:eastAsia="Calibri" w:hAnsi="Arial" w:cs="Arial"/>
      <w:b/>
      <w:bCs/>
      <w:color w:val="000000"/>
      <w:sz w:val="16"/>
      <w:szCs w:val="16"/>
      <w:lang w:val="es-CR" w:eastAsia="zh-CN"/>
    </w:rPr>
  </w:style>
  <w:style w:type="paragraph" w:customStyle="1" w:styleId="xl90">
    <w:name w:val="xl90"/>
    <w:basedOn w:val="Normal"/>
    <w:qFormat/>
    <w:rsid w:val="00B15F7D"/>
    <w:pPr>
      <w:shd w:val="clear" w:color="auto" w:fill="E0FFFF"/>
      <w:suppressAutoHyphens w:val="0"/>
      <w:spacing w:before="100" w:after="100"/>
    </w:pPr>
    <w:rPr>
      <w:rFonts w:ascii="Arial" w:eastAsia="Calibri" w:hAnsi="Arial" w:cs="Arial"/>
      <w:b/>
      <w:bCs/>
      <w:color w:val="000000"/>
      <w:sz w:val="16"/>
      <w:szCs w:val="16"/>
      <w:lang w:val="es-CR" w:eastAsia="zh-CN"/>
    </w:rPr>
  </w:style>
  <w:style w:type="paragraph" w:customStyle="1" w:styleId="xl91">
    <w:name w:val="xl91"/>
    <w:basedOn w:val="Normal"/>
    <w:qFormat/>
    <w:rsid w:val="00B15F7D"/>
    <w:pPr>
      <w:suppressAutoHyphens w:val="0"/>
      <w:spacing w:before="100" w:after="100"/>
    </w:pPr>
    <w:rPr>
      <w:rFonts w:ascii="Arial" w:eastAsia="Calibri" w:hAnsi="Arial" w:cs="Arial"/>
      <w:b/>
      <w:bCs/>
      <w:color w:val="000000"/>
      <w:lang w:val="es-CR" w:eastAsia="zh-CN"/>
    </w:rPr>
  </w:style>
  <w:style w:type="paragraph" w:customStyle="1" w:styleId="xl92">
    <w:name w:val="xl92"/>
    <w:basedOn w:val="Normal"/>
    <w:uiPriority w:val="99"/>
    <w:qFormat/>
    <w:rsid w:val="00B15F7D"/>
    <w:pPr>
      <w:suppressAutoHyphens w:val="0"/>
      <w:spacing w:before="100" w:after="100"/>
    </w:pPr>
    <w:rPr>
      <w:rFonts w:ascii="Arial" w:eastAsia="Calibri" w:hAnsi="Arial" w:cs="Arial"/>
      <w:lang w:val="es-CR" w:eastAsia="zh-CN"/>
    </w:rPr>
  </w:style>
  <w:style w:type="paragraph" w:customStyle="1" w:styleId="xl93">
    <w:name w:val="xl93"/>
    <w:basedOn w:val="Normal"/>
    <w:uiPriority w:val="99"/>
    <w:qFormat/>
    <w:rsid w:val="00B15F7D"/>
    <w:pPr>
      <w:suppressAutoHyphens w:val="0"/>
      <w:spacing w:before="100" w:after="100"/>
    </w:pPr>
    <w:rPr>
      <w:rFonts w:ascii="Arial" w:eastAsia="Calibri" w:hAnsi="Arial" w:cs="Arial"/>
      <w:b/>
      <w:bCs/>
      <w:color w:val="000000"/>
      <w:lang w:val="es-CR" w:eastAsia="zh-CN"/>
    </w:rPr>
  </w:style>
  <w:style w:type="paragraph" w:customStyle="1" w:styleId="xl94">
    <w:name w:val="xl94"/>
    <w:basedOn w:val="Normal"/>
    <w:uiPriority w:val="99"/>
    <w:qFormat/>
    <w:rsid w:val="00B15F7D"/>
    <w:pPr>
      <w:shd w:val="clear" w:color="auto" w:fill="FFFF00"/>
      <w:suppressAutoHyphens w:val="0"/>
      <w:spacing w:before="100" w:after="100"/>
    </w:pPr>
    <w:rPr>
      <w:rFonts w:ascii="Tahoma" w:eastAsia="Calibri" w:hAnsi="Tahoma" w:cs="Tahoma"/>
      <w:b/>
      <w:bCs/>
      <w:color w:val="000000"/>
      <w:sz w:val="16"/>
      <w:szCs w:val="16"/>
      <w:lang w:val="es-CR" w:eastAsia="zh-CN"/>
    </w:rPr>
  </w:style>
  <w:style w:type="paragraph" w:customStyle="1" w:styleId="font5">
    <w:name w:val="font5"/>
    <w:basedOn w:val="Normal"/>
    <w:qFormat/>
    <w:rsid w:val="00B15F7D"/>
    <w:pPr>
      <w:suppressAutoHyphens w:val="0"/>
      <w:spacing w:before="100" w:after="100"/>
    </w:pPr>
    <w:rPr>
      <w:rFonts w:ascii="Arial" w:eastAsia="Calibri" w:hAnsi="Arial" w:cs="Arial"/>
      <w:b/>
      <w:bCs/>
      <w:color w:val="000000"/>
      <w:sz w:val="16"/>
      <w:szCs w:val="16"/>
      <w:lang w:val="es-CR" w:eastAsia="zh-CN"/>
    </w:rPr>
  </w:style>
  <w:style w:type="paragraph" w:customStyle="1" w:styleId="font6">
    <w:name w:val="font6"/>
    <w:basedOn w:val="Normal"/>
    <w:qFormat/>
    <w:rsid w:val="00B15F7D"/>
    <w:pPr>
      <w:suppressAutoHyphens w:val="0"/>
      <w:spacing w:before="100" w:after="100"/>
    </w:pPr>
    <w:rPr>
      <w:rFonts w:ascii="Arial" w:eastAsia="Calibri" w:hAnsi="Arial" w:cs="Arial"/>
      <w:b/>
      <w:bCs/>
      <w:color w:val="000000"/>
      <w:sz w:val="16"/>
      <w:szCs w:val="16"/>
      <w:lang w:val="es-CR" w:eastAsia="zh-CN"/>
    </w:rPr>
  </w:style>
  <w:style w:type="paragraph" w:customStyle="1" w:styleId="xl95">
    <w:name w:val="xl95"/>
    <w:basedOn w:val="Normal"/>
    <w:uiPriority w:val="99"/>
    <w:qFormat/>
    <w:rsid w:val="00B15F7D"/>
    <w:pPr>
      <w:shd w:val="clear" w:color="auto" w:fill="E0FFFF"/>
      <w:suppressAutoHyphens w:val="0"/>
      <w:spacing w:before="100" w:after="100"/>
      <w:jc w:val="both"/>
    </w:pPr>
    <w:rPr>
      <w:rFonts w:ascii="Arial" w:eastAsia="Calibri" w:hAnsi="Arial" w:cs="Arial"/>
      <w:b/>
      <w:bCs/>
      <w:color w:val="000000"/>
      <w:sz w:val="16"/>
      <w:szCs w:val="16"/>
      <w:lang w:val="es-CR" w:eastAsia="zh-CN"/>
    </w:rPr>
  </w:style>
  <w:style w:type="paragraph" w:customStyle="1" w:styleId="xl96">
    <w:name w:val="xl96"/>
    <w:basedOn w:val="Normal"/>
    <w:uiPriority w:val="99"/>
    <w:qFormat/>
    <w:rsid w:val="00B15F7D"/>
    <w:pPr>
      <w:suppressAutoHyphens w:val="0"/>
      <w:spacing w:before="100" w:after="100"/>
      <w:jc w:val="both"/>
    </w:pPr>
    <w:rPr>
      <w:rFonts w:ascii="Arial" w:eastAsia="Calibri" w:hAnsi="Arial" w:cs="Arial"/>
      <w:b/>
      <w:bCs/>
      <w:color w:val="000000"/>
      <w:sz w:val="16"/>
      <w:szCs w:val="16"/>
      <w:lang w:val="es-CR" w:eastAsia="zh-CN"/>
    </w:rPr>
  </w:style>
  <w:style w:type="paragraph" w:customStyle="1" w:styleId="xl97">
    <w:name w:val="xl97"/>
    <w:basedOn w:val="Normal"/>
    <w:uiPriority w:val="99"/>
    <w:qFormat/>
    <w:rsid w:val="00B15F7D"/>
    <w:pPr>
      <w:shd w:val="clear" w:color="auto" w:fill="DCDCDC"/>
      <w:suppressAutoHyphens w:val="0"/>
      <w:spacing w:before="100" w:after="100"/>
    </w:pPr>
    <w:rPr>
      <w:rFonts w:ascii="Arial" w:eastAsia="Calibri" w:hAnsi="Arial" w:cs="Arial"/>
      <w:b/>
      <w:bCs/>
      <w:color w:val="000000"/>
      <w:sz w:val="16"/>
      <w:szCs w:val="16"/>
      <w:lang w:val="es-CR" w:eastAsia="zh-CN"/>
    </w:rPr>
  </w:style>
  <w:style w:type="paragraph" w:customStyle="1" w:styleId="xl98">
    <w:name w:val="xl98"/>
    <w:basedOn w:val="Normal"/>
    <w:uiPriority w:val="99"/>
    <w:qFormat/>
    <w:rsid w:val="00B15F7D"/>
    <w:pPr>
      <w:shd w:val="clear" w:color="auto" w:fill="DCDCDC"/>
      <w:suppressAutoHyphens w:val="0"/>
      <w:spacing w:before="100" w:after="100"/>
      <w:jc w:val="both"/>
    </w:pPr>
    <w:rPr>
      <w:rFonts w:ascii="Arial" w:eastAsia="Calibri" w:hAnsi="Arial" w:cs="Arial"/>
      <w:b/>
      <w:bCs/>
      <w:color w:val="000000"/>
      <w:sz w:val="16"/>
      <w:szCs w:val="16"/>
      <w:lang w:val="es-CR" w:eastAsia="zh-CN"/>
    </w:rPr>
  </w:style>
  <w:style w:type="paragraph" w:customStyle="1" w:styleId="xl99">
    <w:name w:val="xl99"/>
    <w:basedOn w:val="Normal"/>
    <w:uiPriority w:val="99"/>
    <w:qFormat/>
    <w:rsid w:val="00B15F7D"/>
    <w:pPr>
      <w:shd w:val="clear" w:color="auto" w:fill="B0C4DE"/>
      <w:suppressAutoHyphens w:val="0"/>
      <w:spacing w:before="100" w:after="100"/>
    </w:pPr>
    <w:rPr>
      <w:rFonts w:ascii="Arial" w:eastAsia="Calibri" w:hAnsi="Arial" w:cs="Arial"/>
      <w:b/>
      <w:bCs/>
      <w:color w:val="000000"/>
      <w:sz w:val="16"/>
      <w:szCs w:val="16"/>
      <w:lang w:val="es-CR" w:eastAsia="zh-CN"/>
    </w:rPr>
  </w:style>
  <w:style w:type="paragraph" w:customStyle="1" w:styleId="xl100">
    <w:name w:val="xl100"/>
    <w:basedOn w:val="Normal"/>
    <w:uiPriority w:val="99"/>
    <w:qFormat/>
    <w:rsid w:val="00B15F7D"/>
    <w:pPr>
      <w:shd w:val="clear" w:color="auto" w:fill="B0C4DE"/>
      <w:suppressAutoHyphens w:val="0"/>
      <w:spacing w:before="100" w:after="100"/>
      <w:jc w:val="both"/>
    </w:pPr>
    <w:rPr>
      <w:rFonts w:ascii="Arial" w:eastAsia="Calibri" w:hAnsi="Arial" w:cs="Arial"/>
      <w:b/>
      <w:bCs/>
      <w:color w:val="000000"/>
      <w:sz w:val="16"/>
      <w:szCs w:val="16"/>
      <w:lang w:val="es-CR" w:eastAsia="zh-CN"/>
    </w:rPr>
  </w:style>
  <w:style w:type="paragraph" w:customStyle="1" w:styleId="xl101">
    <w:name w:val="xl101"/>
    <w:basedOn w:val="Normal"/>
    <w:uiPriority w:val="99"/>
    <w:qFormat/>
    <w:rsid w:val="00B15F7D"/>
    <w:pPr>
      <w:suppressAutoHyphens w:val="0"/>
      <w:spacing w:before="100" w:after="100"/>
      <w:jc w:val="both"/>
    </w:pPr>
    <w:rPr>
      <w:rFonts w:ascii="Arial" w:eastAsia="Calibri" w:hAnsi="Arial" w:cs="Arial"/>
      <w:b/>
      <w:bCs/>
      <w:color w:val="000000"/>
      <w:sz w:val="16"/>
      <w:szCs w:val="16"/>
      <w:lang w:val="es-CR" w:eastAsia="zh-CN"/>
    </w:rPr>
  </w:style>
  <w:style w:type="paragraph" w:customStyle="1" w:styleId="xl102">
    <w:name w:val="xl102"/>
    <w:basedOn w:val="Normal"/>
    <w:uiPriority w:val="99"/>
    <w:qFormat/>
    <w:rsid w:val="00B15F7D"/>
    <w:pPr>
      <w:shd w:val="clear" w:color="auto" w:fill="A9A9A9"/>
      <w:suppressAutoHyphens w:val="0"/>
      <w:spacing w:before="100" w:after="100"/>
    </w:pPr>
    <w:rPr>
      <w:rFonts w:ascii="Arial" w:eastAsia="Calibri" w:hAnsi="Arial" w:cs="Arial"/>
      <w:b/>
      <w:bCs/>
      <w:color w:val="000000"/>
      <w:sz w:val="16"/>
      <w:szCs w:val="16"/>
      <w:lang w:val="es-CR" w:eastAsia="zh-CN"/>
    </w:rPr>
  </w:style>
  <w:style w:type="paragraph" w:customStyle="1" w:styleId="xl103">
    <w:name w:val="xl103"/>
    <w:basedOn w:val="Normal"/>
    <w:uiPriority w:val="99"/>
    <w:qFormat/>
    <w:rsid w:val="00B15F7D"/>
    <w:pPr>
      <w:shd w:val="clear" w:color="auto" w:fill="A9A9A9"/>
      <w:suppressAutoHyphens w:val="0"/>
      <w:spacing w:before="100" w:after="100"/>
      <w:jc w:val="both"/>
    </w:pPr>
    <w:rPr>
      <w:rFonts w:ascii="Arial" w:eastAsia="Calibri" w:hAnsi="Arial" w:cs="Arial"/>
      <w:b/>
      <w:bCs/>
      <w:color w:val="000000"/>
      <w:sz w:val="16"/>
      <w:szCs w:val="16"/>
      <w:lang w:val="es-CR" w:eastAsia="zh-CN"/>
    </w:rPr>
  </w:style>
  <w:style w:type="paragraph" w:customStyle="1" w:styleId="xl104">
    <w:name w:val="xl104"/>
    <w:basedOn w:val="Normal"/>
    <w:uiPriority w:val="99"/>
    <w:qFormat/>
    <w:rsid w:val="00B15F7D"/>
    <w:pPr>
      <w:suppressAutoHyphens w:val="0"/>
      <w:spacing w:before="100" w:after="100"/>
    </w:pPr>
    <w:rPr>
      <w:rFonts w:ascii="Arial" w:eastAsia="Calibri" w:hAnsi="Arial" w:cs="Arial"/>
      <w:b/>
      <w:bCs/>
      <w:color w:val="000000"/>
      <w:sz w:val="16"/>
      <w:szCs w:val="16"/>
      <w:lang w:val="es-CR" w:eastAsia="zh-CN"/>
    </w:rPr>
  </w:style>
  <w:style w:type="paragraph" w:customStyle="1" w:styleId="xl105">
    <w:name w:val="xl105"/>
    <w:basedOn w:val="Normal"/>
    <w:uiPriority w:val="99"/>
    <w:qFormat/>
    <w:rsid w:val="00B15F7D"/>
    <w:pPr>
      <w:shd w:val="clear" w:color="auto" w:fill="FFFF00"/>
      <w:suppressAutoHyphens w:val="0"/>
      <w:spacing w:before="100" w:after="100"/>
    </w:pPr>
    <w:rPr>
      <w:rFonts w:ascii="Tahoma" w:eastAsia="Calibri" w:hAnsi="Tahoma" w:cs="Tahoma"/>
      <w:b/>
      <w:bCs/>
      <w:color w:val="000000"/>
      <w:sz w:val="16"/>
      <w:szCs w:val="16"/>
      <w:lang w:val="es-CR" w:eastAsia="zh-CN"/>
    </w:rPr>
  </w:style>
  <w:style w:type="paragraph" w:customStyle="1" w:styleId="xl106">
    <w:name w:val="xl106"/>
    <w:basedOn w:val="Normal"/>
    <w:uiPriority w:val="99"/>
    <w:qFormat/>
    <w:rsid w:val="00B15F7D"/>
    <w:pPr>
      <w:shd w:val="clear" w:color="auto" w:fill="708090"/>
      <w:suppressAutoHyphens w:val="0"/>
      <w:spacing w:before="100" w:after="100"/>
    </w:pPr>
    <w:rPr>
      <w:rFonts w:ascii="Arial" w:eastAsia="Calibri" w:hAnsi="Arial" w:cs="Arial"/>
      <w:b/>
      <w:bCs/>
      <w:color w:val="000000"/>
      <w:sz w:val="16"/>
      <w:szCs w:val="16"/>
      <w:lang w:val="es-CR" w:eastAsia="zh-CN"/>
    </w:rPr>
  </w:style>
  <w:style w:type="paragraph" w:customStyle="1" w:styleId="xl107">
    <w:name w:val="xl107"/>
    <w:basedOn w:val="Normal"/>
    <w:uiPriority w:val="99"/>
    <w:qFormat/>
    <w:rsid w:val="00B15F7D"/>
    <w:pPr>
      <w:shd w:val="clear" w:color="auto" w:fill="708090"/>
      <w:suppressAutoHyphens w:val="0"/>
      <w:spacing w:before="100" w:after="100"/>
      <w:jc w:val="both"/>
    </w:pPr>
    <w:rPr>
      <w:rFonts w:ascii="Arial" w:eastAsia="Calibri" w:hAnsi="Arial" w:cs="Arial"/>
      <w:b/>
      <w:bCs/>
      <w:color w:val="000000"/>
      <w:sz w:val="16"/>
      <w:szCs w:val="16"/>
      <w:lang w:val="es-CR" w:eastAsia="zh-CN"/>
    </w:rPr>
  </w:style>
  <w:style w:type="paragraph" w:customStyle="1" w:styleId="xl108">
    <w:name w:val="xl108"/>
    <w:basedOn w:val="Normal"/>
    <w:uiPriority w:val="99"/>
    <w:qFormat/>
    <w:rsid w:val="00B15F7D"/>
    <w:pPr>
      <w:suppressAutoHyphens w:val="0"/>
      <w:spacing w:before="100" w:after="100"/>
    </w:pPr>
    <w:rPr>
      <w:rFonts w:ascii="Arial" w:eastAsia="Calibri" w:hAnsi="Arial" w:cs="Arial"/>
      <w:color w:val="000000"/>
      <w:lang w:val="es-CR" w:eastAsia="zh-CN"/>
    </w:rPr>
  </w:style>
  <w:style w:type="paragraph" w:customStyle="1" w:styleId="xl109">
    <w:name w:val="xl109"/>
    <w:basedOn w:val="Normal"/>
    <w:uiPriority w:val="99"/>
    <w:qFormat/>
    <w:rsid w:val="00B15F7D"/>
    <w:pPr>
      <w:suppressAutoHyphens w:val="0"/>
      <w:spacing w:before="100" w:after="100"/>
      <w:jc w:val="both"/>
    </w:pPr>
    <w:rPr>
      <w:rFonts w:ascii="Arial" w:eastAsia="Calibri" w:hAnsi="Arial" w:cs="Arial"/>
      <w:color w:val="000000"/>
      <w:lang w:val="es-CR" w:eastAsia="zh-CN"/>
    </w:rPr>
  </w:style>
  <w:style w:type="paragraph" w:customStyle="1" w:styleId="xl110">
    <w:name w:val="xl110"/>
    <w:basedOn w:val="Normal"/>
    <w:uiPriority w:val="99"/>
    <w:qFormat/>
    <w:rsid w:val="00B15F7D"/>
    <w:pPr>
      <w:suppressAutoHyphens w:val="0"/>
      <w:spacing w:before="100" w:after="100"/>
    </w:pPr>
    <w:rPr>
      <w:rFonts w:ascii="Tahoma" w:eastAsia="Calibri" w:hAnsi="Tahoma" w:cs="Tahoma"/>
      <w:b/>
      <w:bCs/>
      <w:color w:val="000000"/>
      <w:sz w:val="16"/>
      <w:szCs w:val="16"/>
      <w:lang w:val="es-CR" w:eastAsia="zh-CN"/>
    </w:rPr>
  </w:style>
  <w:style w:type="paragraph" w:customStyle="1" w:styleId="xl111">
    <w:name w:val="xl111"/>
    <w:basedOn w:val="Normal"/>
    <w:uiPriority w:val="99"/>
    <w:qFormat/>
    <w:rsid w:val="00B15F7D"/>
    <w:pPr>
      <w:suppressAutoHyphens w:val="0"/>
      <w:spacing w:before="100" w:after="100"/>
    </w:pPr>
    <w:rPr>
      <w:rFonts w:ascii="Tahoma" w:eastAsia="Calibri" w:hAnsi="Tahoma" w:cs="Tahoma"/>
      <w:b/>
      <w:bCs/>
      <w:color w:val="000000"/>
      <w:sz w:val="16"/>
      <w:szCs w:val="16"/>
      <w:lang w:val="es-CR" w:eastAsia="zh-CN"/>
    </w:rPr>
  </w:style>
  <w:style w:type="paragraph" w:customStyle="1" w:styleId="xl112">
    <w:name w:val="xl112"/>
    <w:basedOn w:val="Normal"/>
    <w:uiPriority w:val="99"/>
    <w:qFormat/>
    <w:rsid w:val="00B15F7D"/>
    <w:pPr>
      <w:suppressAutoHyphens w:val="0"/>
      <w:spacing w:before="100" w:after="100"/>
    </w:pPr>
    <w:rPr>
      <w:rFonts w:ascii="Tahoma" w:eastAsia="Calibri" w:hAnsi="Tahoma" w:cs="Tahoma"/>
      <w:b/>
      <w:bCs/>
      <w:color w:val="000000"/>
      <w:sz w:val="16"/>
      <w:szCs w:val="16"/>
      <w:lang w:val="es-CR" w:eastAsia="zh-CN"/>
    </w:rPr>
  </w:style>
  <w:style w:type="paragraph" w:customStyle="1" w:styleId="xl113">
    <w:name w:val="xl113"/>
    <w:basedOn w:val="Normal"/>
    <w:uiPriority w:val="99"/>
    <w:qFormat/>
    <w:rsid w:val="00B15F7D"/>
    <w:pPr>
      <w:suppressAutoHyphens w:val="0"/>
      <w:spacing w:before="100" w:after="100"/>
      <w:jc w:val="center"/>
    </w:pPr>
    <w:rPr>
      <w:rFonts w:ascii="Tahoma" w:eastAsia="Calibri" w:hAnsi="Tahoma" w:cs="Tahoma"/>
      <w:b/>
      <w:bCs/>
      <w:color w:val="000000"/>
      <w:lang w:val="es-CR" w:eastAsia="zh-CN"/>
    </w:rPr>
  </w:style>
  <w:style w:type="paragraph" w:customStyle="1" w:styleId="xl114">
    <w:name w:val="xl114"/>
    <w:basedOn w:val="Normal"/>
    <w:uiPriority w:val="99"/>
    <w:qFormat/>
    <w:rsid w:val="00B15F7D"/>
    <w:pPr>
      <w:suppressAutoHyphens w:val="0"/>
      <w:spacing w:before="100" w:after="100"/>
      <w:jc w:val="center"/>
    </w:pPr>
    <w:rPr>
      <w:rFonts w:ascii="Tahoma" w:eastAsia="Calibri" w:hAnsi="Tahoma" w:cs="Tahoma"/>
      <w:color w:val="000000"/>
      <w:sz w:val="16"/>
      <w:szCs w:val="16"/>
      <w:lang w:val="es-CR" w:eastAsia="zh-CN"/>
    </w:rPr>
  </w:style>
  <w:style w:type="paragraph" w:customStyle="1" w:styleId="xl115">
    <w:name w:val="xl115"/>
    <w:basedOn w:val="Normal"/>
    <w:uiPriority w:val="99"/>
    <w:qFormat/>
    <w:rsid w:val="00B15F7D"/>
    <w:pPr>
      <w:suppressAutoHyphens w:val="0"/>
      <w:spacing w:before="100" w:after="100"/>
      <w:jc w:val="right"/>
    </w:pPr>
    <w:rPr>
      <w:rFonts w:ascii="Tahoma" w:eastAsia="Calibri" w:hAnsi="Tahoma" w:cs="Tahoma"/>
      <w:color w:val="000000"/>
      <w:sz w:val="16"/>
      <w:szCs w:val="16"/>
      <w:lang w:val="es-CR" w:eastAsia="zh-CN"/>
    </w:rPr>
  </w:style>
  <w:style w:type="paragraph" w:customStyle="1" w:styleId="xl116">
    <w:name w:val="xl116"/>
    <w:basedOn w:val="Normal"/>
    <w:uiPriority w:val="99"/>
    <w:qFormat/>
    <w:rsid w:val="00B15F7D"/>
    <w:pPr>
      <w:suppressAutoHyphens w:val="0"/>
      <w:spacing w:before="100" w:after="100"/>
      <w:jc w:val="right"/>
    </w:pPr>
    <w:rPr>
      <w:rFonts w:ascii="Tahoma" w:eastAsia="Calibri" w:hAnsi="Tahoma" w:cs="Tahoma"/>
      <w:color w:val="000000"/>
      <w:sz w:val="16"/>
      <w:szCs w:val="16"/>
      <w:lang w:val="es-CR" w:eastAsia="zh-CN"/>
    </w:rPr>
  </w:style>
  <w:style w:type="paragraph" w:customStyle="1" w:styleId="xl117">
    <w:name w:val="xl117"/>
    <w:basedOn w:val="Normal"/>
    <w:uiPriority w:val="99"/>
    <w:qFormat/>
    <w:rsid w:val="00B15F7D"/>
    <w:pPr>
      <w:suppressAutoHyphens w:val="0"/>
      <w:spacing w:before="100" w:after="100"/>
      <w:jc w:val="right"/>
    </w:pPr>
    <w:rPr>
      <w:rFonts w:ascii="Tahoma" w:eastAsia="Calibri" w:hAnsi="Tahoma" w:cs="Tahoma"/>
      <w:color w:val="000000"/>
      <w:sz w:val="16"/>
      <w:szCs w:val="16"/>
      <w:lang w:val="es-CR" w:eastAsia="zh-CN"/>
    </w:rPr>
  </w:style>
  <w:style w:type="paragraph" w:customStyle="1" w:styleId="Heading10">
    <w:name w:val="Heading 10"/>
    <w:basedOn w:val="Normal"/>
    <w:uiPriority w:val="99"/>
    <w:qFormat/>
    <w:rsid w:val="00B15F7D"/>
    <w:pPr>
      <w:keepNext/>
      <w:suppressAutoHyphens w:val="0"/>
      <w:autoSpaceDE w:val="0"/>
      <w:spacing w:before="240" w:after="120"/>
    </w:pPr>
    <w:rPr>
      <w:rFonts w:ascii="Arial" w:eastAsia="Calibri" w:hAnsi="Arial" w:cs="Arial"/>
      <w:b/>
      <w:bCs/>
      <w:sz w:val="21"/>
      <w:szCs w:val="21"/>
      <w:lang w:val="es-CR" w:eastAsia="zh-CN"/>
    </w:rPr>
  </w:style>
  <w:style w:type="paragraph" w:customStyle="1" w:styleId="ndice10">
    <w:name w:val="índice 1"/>
    <w:basedOn w:val="Normal"/>
    <w:uiPriority w:val="99"/>
    <w:qFormat/>
    <w:rsid w:val="00B15F7D"/>
    <w:pPr>
      <w:suppressAutoHyphens w:val="0"/>
      <w:ind w:left="1440" w:right="720" w:hanging="1440"/>
    </w:pPr>
    <w:rPr>
      <w:rFonts w:ascii="Courier New" w:eastAsia="Calibri" w:hAnsi="Courier New" w:cs="Courier New"/>
      <w:lang w:val="es-CR" w:eastAsia="zh-CN"/>
    </w:rPr>
  </w:style>
  <w:style w:type="paragraph" w:customStyle="1" w:styleId="ndice2">
    <w:name w:val="índice 2"/>
    <w:basedOn w:val="Normal"/>
    <w:uiPriority w:val="99"/>
    <w:qFormat/>
    <w:rsid w:val="00B15F7D"/>
    <w:pPr>
      <w:suppressAutoHyphens w:val="0"/>
      <w:ind w:left="1440" w:right="720" w:hanging="720"/>
    </w:pPr>
    <w:rPr>
      <w:rFonts w:ascii="Courier New" w:eastAsia="Calibri" w:hAnsi="Courier New" w:cs="Courier New"/>
      <w:lang w:val="es-CR" w:eastAsia="zh-CN"/>
    </w:rPr>
  </w:style>
  <w:style w:type="paragraph" w:customStyle="1" w:styleId="normal10">
    <w:name w:val="normal1"/>
    <w:basedOn w:val="Normal"/>
    <w:uiPriority w:val="99"/>
    <w:qFormat/>
    <w:rsid w:val="00B15F7D"/>
    <w:pPr>
      <w:suppressAutoHyphens w:val="0"/>
      <w:autoSpaceDE w:val="0"/>
    </w:pPr>
    <w:rPr>
      <w:rFonts w:ascii="Bookman Old Style" w:eastAsia="Calibri" w:hAnsi="Bookman Old Style" w:cs="Calibri"/>
      <w:color w:val="000000"/>
      <w:lang w:val="es-CR" w:eastAsia="es-ES"/>
    </w:rPr>
  </w:style>
  <w:style w:type="paragraph" w:customStyle="1" w:styleId="xl118">
    <w:name w:val="xl118"/>
    <w:basedOn w:val="Normal"/>
    <w:uiPriority w:val="99"/>
    <w:qFormat/>
    <w:rsid w:val="00B15F7D"/>
    <w:pPr>
      <w:suppressAutoHyphens w:val="0"/>
      <w:spacing w:before="100" w:beforeAutospacing="1" w:after="100" w:afterAutospacing="1"/>
    </w:pPr>
    <w:rPr>
      <w:rFonts w:ascii="Arial" w:eastAsia="Calibri" w:hAnsi="Arial" w:cs="Arial"/>
      <w:b/>
      <w:bCs/>
      <w:color w:val="000000"/>
      <w:lang w:val="es-CR" w:eastAsia="es-CR"/>
    </w:rPr>
  </w:style>
  <w:style w:type="paragraph" w:customStyle="1" w:styleId="xl119">
    <w:name w:val="xl119"/>
    <w:basedOn w:val="Normal"/>
    <w:uiPriority w:val="99"/>
    <w:qFormat/>
    <w:rsid w:val="00B15F7D"/>
    <w:pPr>
      <w:suppressAutoHyphens w:val="0"/>
      <w:spacing w:before="100" w:beforeAutospacing="1" w:after="100" w:afterAutospacing="1"/>
    </w:pPr>
    <w:rPr>
      <w:rFonts w:ascii="Arial" w:eastAsia="Calibri" w:hAnsi="Arial" w:cs="Arial"/>
      <w:lang w:val="es-CR" w:eastAsia="es-CR"/>
    </w:rPr>
  </w:style>
  <w:style w:type="paragraph" w:customStyle="1" w:styleId="standard00">
    <w:name w:val="standard0"/>
    <w:basedOn w:val="Normal"/>
    <w:qFormat/>
    <w:rsid w:val="00B15F7D"/>
    <w:pPr>
      <w:suppressAutoHyphens w:val="0"/>
      <w:autoSpaceDE w:val="0"/>
    </w:pPr>
    <w:rPr>
      <w:rFonts w:ascii="Book Antiqua" w:eastAsia="Calibri" w:hAnsi="Book Antiqua" w:cs="Calibri"/>
      <w:sz w:val="22"/>
      <w:szCs w:val="22"/>
      <w:lang w:val="es-CR" w:eastAsia="es-CR"/>
    </w:rPr>
  </w:style>
  <w:style w:type="paragraph" w:customStyle="1" w:styleId="Headinguser">
    <w:name w:val="Heading (user)"/>
    <w:basedOn w:val="Normal"/>
    <w:qFormat/>
    <w:rsid w:val="00B15F7D"/>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Indexuser">
    <w:name w:val="Index (user)"/>
    <w:basedOn w:val="Normal"/>
    <w:qFormat/>
    <w:rsid w:val="00B15F7D"/>
    <w:pPr>
      <w:suppressAutoHyphens w:val="0"/>
      <w:autoSpaceDE w:val="0"/>
    </w:pPr>
    <w:rPr>
      <w:rFonts w:ascii="Book Antiqua" w:eastAsia="Calibri" w:hAnsi="Book Antiqua" w:cs="Calibri"/>
      <w:sz w:val="22"/>
      <w:szCs w:val="22"/>
      <w:lang w:val="es-CR" w:eastAsia="es-CR"/>
    </w:rPr>
  </w:style>
  <w:style w:type="paragraph" w:customStyle="1" w:styleId="Textbodyindent">
    <w:name w:val="Text body indent"/>
    <w:basedOn w:val="Normal"/>
    <w:uiPriority w:val="99"/>
    <w:qFormat/>
    <w:rsid w:val="00B15F7D"/>
    <w:pPr>
      <w:suppressAutoHyphens w:val="0"/>
      <w:autoSpaceDE w:val="0"/>
      <w:jc w:val="both"/>
    </w:pPr>
    <w:rPr>
      <w:rFonts w:ascii="Arial" w:eastAsia="Calibri" w:hAnsi="Arial" w:cs="Arial"/>
      <w:sz w:val="19"/>
      <w:szCs w:val="19"/>
      <w:lang w:val="es-CR" w:eastAsia="es-CR"/>
    </w:rPr>
  </w:style>
  <w:style w:type="paragraph" w:customStyle="1" w:styleId="TableHeadinguser">
    <w:name w:val="Table Heading (user)"/>
    <w:basedOn w:val="Normal"/>
    <w:qFormat/>
    <w:rsid w:val="00B15F7D"/>
    <w:pPr>
      <w:suppressAutoHyphens w:val="0"/>
      <w:autoSpaceDE w:val="0"/>
      <w:jc w:val="center"/>
    </w:pPr>
    <w:rPr>
      <w:rFonts w:ascii="Book Antiqua" w:eastAsia="Calibri" w:hAnsi="Book Antiqua" w:cs="Calibri"/>
      <w:b/>
      <w:bCs/>
      <w:sz w:val="22"/>
      <w:szCs w:val="22"/>
      <w:lang w:val="es-CR" w:eastAsia="es-CR"/>
    </w:rPr>
  </w:style>
  <w:style w:type="paragraph" w:customStyle="1" w:styleId="Framecontentsuser">
    <w:name w:val="Frame contents (user)"/>
    <w:basedOn w:val="Normal"/>
    <w:qFormat/>
    <w:rsid w:val="00B15F7D"/>
    <w:pPr>
      <w:suppressAutoHyphens w:val="0"/>
      <w:autoSpaceDE w:val="0"/>
      <w:jc w:val="both"/>
    </w:pPr>
    <w:rPr>
      <w:rFonts w:eastAsia="Calibri"/>
      <w:color w:val="993300"/>
      <w:sz w:val="22"/>
      <w:szCs w:val="22"/>
      <w:lang w:val="es-CR" w:eastAsia="es-CR"/>
    </w:rPr>
  </w:style>
  <w:style w:type="paragraph" w:customStyle="1" w:styleId="STCEspaoEmBranco">
    <w:name w:val="STC Espaço Em Branco"/>
    <w:basedOn w:val="Normal"/>
    <w:uiPriority w:val="99"/>
    <w:qFormat/>
    <w:rsid w:val="00B15F7D"/>
    <w:pPr>
      <w:suppressAutoHyphens w:val="0"/>
    </w:pPr>
    <w:rPr>
      <w:rFonts w:eastAsia="Calibri"/>
      <w:lang w:val="es-CR" w:eastAsia="es-ES"/>
    </w:rPr>
  </w:style>
  <w:style w:type="paragraph" w:customStyle="1" w:styleId="CarCarCarCarCarCarCarCarCarCarCarCarCarCar">
    <w:name w:val="Car Car Car Car Car Car Car Car Car Car Car Car Car Car"/>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vspace2">
    <w:name w:val="vspace2"/>
    <w:basedOn w:val="Normal"/>
    <w:uiPriority w:val="99"/>
    <w:qFormat/>
    <w:rsid w:val="00B15F7D"/>
    <w:pPr>
      <w:suppressAutoHyphens w:val="0"/>
      <w:spacing w:before="319"/>
    </w:pPr>
    <w:rPr>
      <w:rFonts w:eastAsia="Calibri"/>
      <w:lang w:val="es-CR" w:eastAsia="es-ES"/>
    </w:rPr>
  </w:style>
  <w:style w:type="paragraph" w:customStyle="1" w:styleId="Ttulo1Procedimientos">
    <w:name w:val="Título 1 Procedimientos"/>
    <w:basedOn w:val="Normal"/>
    <w:uiPriority w:val="99"/>
    <w:qFormat/>
    <w:rsid w:val="00B15F7D"/>
    <w:pPr>
      <w:keepNext/>
      <w:suppressAutoHyphens w:val="0"/>
      <w:spacing w:before="240" w:after="240"/>
      <w:ind w:firstLine="709"/>
      <w:jc w:val="both"/>
    </w:pPr>
    <w:rPr>
      <w:rFonts w:ascii="Arial" w:eastAsia="Calibri" w:hAnsi="Arial" w:cs="Arial"/>
      <w:b/>
      <w:bCs/>
      <w:caps/>
      <w:smallCaps/>
      <w:sz w:val="26"/>
      <w:szCs w:val="26"/>
      <w:lang w:val="es-CR" w:eastAsia="zh-CN"/>
    </w:rPr>
  </w:style>
  <w:style w:type="paragraph" w:customStyle="1" w:styleId="Ttulo2Procedimiento">
    <w:name w:val="Título 2 Procedimiento"/>
    <w:basedOn w:val="Normal"/>
    <w:uiPriority w:val="99"/>
    <w:qFormat/>
    <w:rsid w:val="00B15F7D"/>
    <w:pPr>
      <w:numPr>
        <w:numId w:val="19"/>
      </w:numPr>
      <w:suppressAutoHyphens w:val="0"/>
      <w:spacing w:before="240" w:after="360"/>
      <w:ind w:left="0" w:firstLine="0"/>
      <w:jc w:val="both"/>
    </w:pPr>
    <w:rPr>
      <w:rFonts w:ascii="Arial" w:eastAsia="Calibri" w:hAnsi="Arial" w:cs="Arial"/>
      <w:i/>
      <w:iCs/>
      <w:lang w:val="es-CR" w:eastAsia="zh-CN"/>
    </w:rPr>
  </w:style>
  <w:style w:type="paragraph" w:customStyle="1" w:styleId="Ttulo3Procedimiento">
    <w:name w:val="Título 3 Procedimiento"/>
    <w:basedOn w:val="Normal"/>
    <w:uiPriority w:val="99"/>
    <w:qFormat/>
    <w:rsid w:val="00B15F7D"/>
    <w:pPr>
      <w:suppressAutoHyphens w:val="0"/>
      <w:spacing w:before="240" w:after="360"/>
      <w:ind w:left="360" w:hanging="360"/>
      <w:jc w:val="both"/>
    </w:pPr>
    <w:rPr>
      <w:rFonts w:ascii="Arial" w:eastAsia="Calibri" w:hAnsi="Arial" w:cs="Arial"/>
      <w:i/>
      <w:iCs/>
      <w:sz w:val="22"/>
      <w:szCs w:val="22"/>
      <w:lang w:val="es-CR" w:eastAsia="zh-CN"/>
    </w:rPr>
  </w:style>
  <w:style w:type="paragraph" w:customStyle="1" w:styleId="CarCar10CarCar">
    <w:name w:val="Car Car10 Car Car"/>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Lista21">
    <w:name w:val="Lista 21"/>
    <w:basedOn w:val="Normal"/>
    <w:uiPriority w:val="99"/>
    <w:qFormat/>
    <w:rsid w:val="00B15F7D"/>
    <w:pPr>
      <w:suppressAutoHyphens w:val="0"/>
      <w:spacing w:before="240" w:after="360"/>
      <w:ind w:left="566" w:hanging="283"/>
      <w:jc w:val="both"/>
    </w:pPr>
    <w:rPr>
      <w:rFonts w:ascii="Book Antiqua" w:eastAsia="Calibri" w:hAnsi="Book Antiqua" w:cs="Calibri"/>
      <w:lang w:val="es-CR" w:eastAsia="zh-CN"/>
    </w:rPr>
  </w:style>
  <w:style w:type="paragraph" w:customStyle="1" w:styleId="sdfootnote">
    <w:name w:val="sdfootnote"/>
    <w:basedOn w:val="Normal"/>
    <w:uiPriority w:val="99"/>
    <w:qFormat/>
    <w:rsid w:val="00B15F7D"/>
    <w:pPr>
      <w:suppressAutoHyphens w:val="0"/>
      <w:spacing w:before="100" w:beforeAutospacing="1"/>
      <w:ind w:left="284" w:hanging="284"/>
    </w:pPr>
    <w:rPr>
      <w:rFonts w:eastAsia="Calibri"/>
      <w:lang w:val="es-CR" w:eastAsia="es-CR"/>
    </w:rPr>
  </w:style>
  <w:style w:type="paragraph" w:customStyle="1" w:styleId="Remitedesobre1">
    <w:name w:val="Remite de sobre1"/>
    <w:basedOn w:val="Normal"/>
    <w:uiPriority w:val="99"/>
    <w:qFormat/>
    <w:rsid w:val="00B15F7D"/>
    <w:pPr>
      <w:suppressAutoHyphens w:val="0"/>
      <w:autoSpaceDE w:val="0"/>
    </w:pPr>
    <w:rPr>
      <w:rFonts w:ascii="Arial" w:eastAsia="Calibri" w:hAnsi="Arial" w:cs="Arial"/>
      <w:color w:val="000000"/>
      <w:spacing w:val="-3"/>
      <w:lang w:val="es-CR" w:eastAsia="hi-IN"/>
    </w:rPr>
  </w:style>
  <w:style w:type="paragraph" w:customStyle="1" w:styleId="xmsobodytext">
    <w:name w:val="x_msobodytext"/>
    <w:basedOn w:val="Normal"/>
    <w:uiPriority w:val="99"/>
    <w:qFormat/>
    <w:rsid w:val="00B15F7D"/>
    <w:pPr>
      <w:suppressAutoHyphens w:val="0"/>
      <w:spacing w:before="100" w:beforeAutospacing="1" w:after="100" w:afterAutospacing="1"/>
    </w:pPr>
    <w:rPr>
      <w:rFonts w:eastAsia="Calibri"/>
      <w:lang w:val="es-CR" w:eastAsia="es-ES"/>
    </w:rPr>
  </w:style>
  <w:style w:type="paragraph" w:customStyle="1" w:styleId="Lista31">
    <w:name w:val="Lista 31"/>
    <w:basedOn w:val="Normal"/>
    <w:uiPriority w:val="99"/>
    <w:qFormat/>
    <w:rsid w:val="00B15F7D"/>
    <w:pPr>
      <w:shd w:val="clear" w:color="auto" w:fill="FFFFFF"/>
      <w:suppressAutoHyphens w:val="0"/>
      <w:autoSpaceDE w:val="0"/>
      <w:jc w:val="both"/>
    </w:pPr>
    <w:rPr>
      <w:rFonts w:ascii="Arial" w:eastAsia="Calibri" w:hAnsi="Arial" w:cs="Arial"/>
      <w:lang w:val="es-CR" w:eastAsia="zh-CN"/>
    </w:rPr>
  </w:style>
  <w:style w:type="paragraph" w:customStyle="1" w:styleId="Car3">
    <w:name w:val="Car3"/>
    <w:basedOn w:val="Normal"/>
    <w:uiPriority w:val="99"/>
    <w:qFormat/>
    <w:rsid w:val="00B15F7D"/>
    <w:pPr>
      <w:suppressAutoHyphens w:val="0"/>
      <w:spacing w:after="160" w:line="240" w:lineRule="exact"/>
    </w:pPr>
    <w:rPr>
      <w:rFonts w:ascii="Verdana" w:eastAsia="Calibri" w:hAnsi="Verdana" w:cs="Calibri"/>
      <w:lang w:val="es-CR" w:eastAsia="es-ES"/>
    </w:rPr>
  </w:style>
  <w:style w:type="paragraph" w:customStyle="1" w:styleId="CharChar3">
    <w:name w:val="Char Char3"/>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z-BottomofForm12">
    <w:name w:val="z-Bottom of Form12"/>
    <w:basedOn w:val="Normal"/>
    <w:uiPriority w:val="99"/>
    <w:qFormat/>
    <w:rsid w:val="00B15F7D"/>
    <w:pPr>
      <w:suppressAutoHyphens w:val="0"/>
      <w:autoSpaceDE w:val="0"/>
      <w:autoSpaceDN w:val="0"/>
      <w:jc w:val="center"/>
    </w:pPr>
    <w:rPr>
      <w:rFonts w:ascii="Arial" w:eastAsia="Calibri" w:hAnsi="Arial" w:cs="Arial"/>
      <w:vanish/>
      <w:sz w:val="16"/>
      <w:szCs w:val="16"/>
      <w:lang w:val="es-CR" w:eastAsia="es-ES"/>
    </w:rPr>
  </w:style>
  <w:style w:type="paragraph" w:customStyle="1" w:styleId="z-TopofForm12">
    <w:name w:val="z-Top of Form12"/>
    <w:basedOn w:val="Normal"/>
    <w:uiPriority w:val="99"/>
    <w:qFormat/>
    <w:rsid w:val="00B15F7D"/>
    <w:pPr>
      <w:suppressAutoHyphens w:val="0"/>
      <w:autoSpaceDE w:val="0"/>
      <w:autoSpaceDN w:val="0"/>
      <w:jc w:val="center"/>
    </w:pPr>
    <w:rPr>
      <w:rFonts w:ascii="Arial" w:eastAsia="Calibri" w:hAnsi="Arial" w:cs="Arial"/>
      <w:vanish/>
      <w:sz w:val="16"/>
      <w:szCs w:val="16"/>
      <w:lang w:val="es-CR" w:eastAsia="es-ES"/>
    </w:rPr>
  </w:style>
  <w:style w:type="paragraph" w:customStyle="1" w:styleId="Prrafodelista12">
    <w:name w:val="Párrafo de lista12"/>
    <w:basedOn w:val="Normal"/>
    <w:uiPriority w:val="99"/>
    <w:qFormat/>
    <w:rsid w:val="00B15F7D"/>
    <w:pPr>
      <w:shd w:val="clear" w:color="auto" w:fill="FFFFFF"/>
      <w:suppressAutoHyphens w:val="0"/>
      <w:autoSpaceDE w:val="0"/>
      <w:autoSpaceDN w:val="0"/>
      <w:ind w:left="708"/>
    </w:pPr>
    <w:rPr>
      <w:rFonts w:ascii="Arial" w:eastAsia="Calibri" w:hAnsi="Arial" w:cs="Arial"/>
      <w:lang w:val="es-CR" w:eastAsia="es-ES"/>
    </w:rPr>
  </w:style>
  <w:style w:type="paragraph" w:customStyle="1" w:styleId="Textodebloque12">
    <w:name w:val="Texto de bloque12"/>
    <w:basedOn w:val="Normal"/>
    <w:uiPriority w:val="99"/>
    <w:qFormat/>
    <w:rsid w:val="00B15F7D"/>
    <w:pPr>
      <w:suppressAutoHyphens w:val="0"/>
      <w:autoSpaceDE w:val="0"/>
      <w:ind w:left="-540" w:right="-415" w:firstLine="1248"/>
      <w:jc w:val="both"/>
    </w:pPr>
    <w:rPr>
      <w:rFonts w:ascii="Arial" w:eastAsia="Calibri" w:hAnsi="Arial" w:cs="Arial"/>
      <w:lang w:val="es-CR" w:eastAsia="zh-CN"/>
    </w:rPr>
  </w:style>
  <w:style w:type="paragraph" w:customStyle="1" w:styleId="Textoindependiente222">
    <w:name w:val="Texto independiente 222"/>
    <w:basedOn w:val="Normal"/>
    <w:uiPriority w:val="99"/>
    <w:qFormat/>
    <w:rsid w:val="00B15F7D"/>
    <w:pPr>
      <w:suppressAutoHyphens w:val="0"/>
      <w:spacing w:line="360" w:lineRule="auto"/>
      <w:jc w:val="both"/>
    </w:pPr>
    <w:rPr>
      <w:rFonts w:ascii="Arial" w:eastAsia="Calibri" w:hAnsi="Arial" w:cs="Arial"/>
      <w:lang w:val="es-CR" w:eastAsia="es-ES"/>
    </w:rPr>
  </w:style>
  <w:style w:type="paragraph" w:customStyle="1" w:styleId="Sangra2detindependiente12">
    <w:name w:val="Sangría 2 de t. independiente12"/>
    <w:basedOn w:val="Normal"/>
    <w:uiPriority w:val="99"/>
    <w:qFormat/>
    <w:rsid w:val="00B15F7D"/>
    <w:pPr>
      <w:suppressAutoHyphens w:val="0"/>
      <w:overflowPunct w:val="0"/>
      <w:autoSpaceDE w:val="0"/>
      <w:ind w:left="2835" w:hanging="2835"/>
      <w:jc w:val="both"/>
    </w:pPr>
    <w:rPr>
      <w:rFonts w:ascii="Georgia" w:eastAsia="Calibri" w:hAnsi="Georgia" w:cs="Calibri"/>
      <w:sz w:val="28"/>
      <w:szCs w:val="28"/>
      <w:lang w:val="es-CR" w:eastAsia="zh-CN"/>
    </w:rPr>
  </w:style>
  <w:style w:type="paragraph" w:customStyle="1" w:styleId="Car2">
    <w:name w:val="Car2"/>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CharChar2">
    <w:name w:val="Char Char2"/>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Textosinformato3">
    <w:name w:val="Texto sin formato3"/>
    <w:basedOn w:val="Normal"/>
    <w:uiPriority w:val="99"/>
    <w:qFormat/>
    <w:rsid w:val="00B15F7D"/>
    <w:pPr>
      <w:suppressAutoHyphens w:val="0"/>
    </w:pPr>
    <w:rPr>
      <w:rFonts w:ascii="Bookman Old Style" w:eastAsia="Calibri" w:hAnsi="Bookman Old Style" w:cs="Calibri"/>
      <w:i/>
      <w:iCs/>
      <w:lang w:val="es-CR" w:eastAsia="zh-CN"/>
    </w:rPr>
  </w:style>
  <w:style w:type="paragraph" w:customStyle="1" w:styleId="Textoindependiente24">
    <w:name w:val="Texto independiente 24"/>
    <w:basedOn w:val="Normal"/>
    <w:uiPriority w:val="99"/>
    <w:qFormat/>
    <w:rsid w:val="00B15F7D"/>
    <w:pPr>
      <w:suppressAutoHyphens w:val="0"/>
      <w:jc w:val="both"/>
    </w:pPr>
    <w:rPr>
      <w:rFonts w:eastAsia="Calibri"/>
      <w:lang w:val="es-CR" w:eastAsia="zh-CN"/>
    </w:rPr>
  </w:style>
  <w:style w:type="paragraph" w:customStyle="1" w:styleId="Sangra2detindependiente3">
    <w:name w:val="Sangría 2 de t. independiente3"/>
    <w:basedOn w:val="Normal"/>
    <w:uiPriority w:val="99"/>
    <w:qFormat/>
    <w:rsid w:val="00B15F7D"/>
    <w:pPr>
      <w:suppressAutoHyphens w:val="0"/>
      <w:autoSpaceDE w:val="0"/>
      <w:spacing w:line="480" w:lineRule="auto"/>
      <w:ind w:firstLine="708"/>
      <w:jc w:val="both"/>
    </w:pPr>
    <w:rPr>
      <w:rFonts w:ascii="Arial" w:eastAsia="Calibri" w:hAnsi="Arial" w:cs="Arial"/>
      <w:u w:val="single"/>
      <w:lang w:val="es-CR" w:eastAsia="zh-CN"/>
    </w:rPr>
  </w:style>
  <w:style w:type="paragraph" w:customStyle="1" w:styleId="Textodebloque3">
    <w:name w:val="Texto de bloque3"/>
    <w:basedOn w:val="Normal"/>
    <w:uiPriority w:val="99"/>
    <w:qFormat/>
    <w:rsid w:val="00B15F7D"/>
    <w:pPr>
      <w:suppressAutoHyphens w:val="0"/>
      <w:autoSpaceDE w:val="0"/>
      <w:ind w:firstLine="709"/>
      <w:jc w:val="both"/>
    </w:pPr>
    <w:rPr>
      <w:rFonts w:ascii="Century" w:eastAsia="Calibri" w:hAnsi="Century" w:cs="Calibri"/>
      <w:color w:val="000000"/>
      <w:u w:val="single"/>
      <w:lang w:val="es-CR" w:eastAsia="zh-CN"/>
    </w:rPr>
  </w:style>
  <w:style w:type="paragraph" w:customStyle="1" w:styleId="CalendarInformation">
    <w:name w:val="Calendar Information"/>
    <w:basedOn w:val="Normal"/>
    <w:qFormat/>
    <w:rsid w:val="00B15F7D"/>
    <w:pPr>
      <w:suppressAutoHyphens w:val="0"/>
    </w:pPr>
    <w:rPr>
      <w:rFonts w:ascii="Century Gothic" w:eastAsia="Calibri" w:hAnsi="Century Gothic" w:cs="Calibri"/>
      <w:lang w:val="es-CR" w:eastAsia="zh-CN"/>
    </w:rPr>
  </w:style>
  <w:style w:type="paragraph" w:customStyle="1" w:styleId="WW-TableContents123456789101112130">
    <w:name w:val="WW-Table Contents12345678910111213"/>
    <w:basedOn w:val="Normal"/>
    <w:qFormat/>
    <w:rsid w:val="00B15F7D"/>
    <w:pPr>
      <w:shd w:val="clear" w:color="auto" w:fill="FFFFFF"/>
      <w:suppressAutoHyphens w:val="0"/>
      <w:autoSpaceDE w:val="0"/>
    </w:pPr>
    <w:rPr>
      <w:rFonts w:ascii="Arial" w:eastAsia="Calibri" w:hAnsi="Arial" w:cs="Arial"/>
      <w:u w:val="single"/>
      <w:lang w:val="es-CR" w:eastAsia="zh-CN"/>
    </w:rPr>
  </w:style>
  <w:style w:type="paragraph" w:customStyle="1" w:styleId="ww-tablecontents123450">
    <w:name w:val="ww-tablecontents12345"/>
    <w:basedOn w:val="Normal"/>
    <w:qFormat/>
    <w:rsid w:val="00B15F7D"/>
    <w:pPr>
      <w:shd w:val="clear" w:color="auto" w:fill="FFFFFF"/>
      <w:suppressAutoHyphens w:val="0"/>
      <w:autoSpaceDE w:val="0"/>
    </w:pPr>
    <w:rPr>
      <w:rFonts w:ascii="Arial" w:eastAsia="Calibri" w:hAnsi="Arial" w:cs="Arial"/>
      <w:u w:val="single"/>
      <w:lang w:val="es-CR" w:eastAsia="zh-CN"/>
    </w:rPr>
  </w:style>
  <w:style w:type="paragraph" w:customStyle="1" w:styleId="xl40">
    <w:name w:val="xl40"/>
    <w:basedOn w:val="Normal"/>
    <w:qFormat/>
    <w:rsid w:val="00B15F7D"/>
    <w:pPr>
      <w:numPr>
        <w:numId w:val="20"/>
      </w:numPr>
      <w:suppressAutoHyphens w:val="0"/>
      <w:spacing w:before="280" w:after="280"/>
      <w:ind w:left="0" w:firstLine="0"/>
      <w:jc w:val="center"/>
    </w:pPr>
    <w:rPr>
      <w:rFonts w:ascii="Arial" w:eastAsia="Calibri" w:hAnsi="Arial" w:cs="Arial"/>
      <w:b/>
      <w:bCs/>
      <w:lang w:val="es-CR" w:eastAsia="zh-CN"/>
    </w:rPr>
  </w:style>
  <w:style w:type="paragraph" w:customStyle="1" w:styleId="informal10">
    <w:name w:val="informal1"/>
    <w:basedOn w:val="Normal"/>
    <w:qFormat/>
    <w:rsid w:val="00B15F7D"/>
    <w:pPr>
      <w:suppressAutoHyphens w:val="0"/>
      <w:spacing w:before="280" w:after="280"/>
    </w:pPr>
    <w:rPr>
      <w:rFonts w:eastAsia="Calibri"/>
      <w:lang w:val="es-CR" w:eastAsia="zh-CN"/>
    </w:rPr>
  </w:style>
  <w:style w:type="paragraph" w:customStyle="1" w:styleId="autocorrecci3f0">
    <w:name w:val="autocorrecci3f"/>
    <w:basedOn w:val="Normal"/>
    <w:qFormat/>
    <w:rsid w:val="00B15F7D"/>
    <w:pPr>
      <w:shd w:val="clear" w:color="auto" w:fill="FFFFFF"/>
      <w:suppressAutoHyphens w:val="0"/>
      <w:autoSpaceDE w:val="0"/>
    </w:pPr>
    <w:rPr>
      <w:rFonts w:ascii="Arial" w:eastAsia="Calibri" w:hAnsi="Arial" w:cs="Arial"/>
      <w:u w:val="single"/>
      <w:lang w:val="es-CR" w:eastAsia="zh-CN"/>
    </w:rPr>
  </w:style>
  <w:style w:type="paragraph" w:customStyle="1" w:styleId="ww-tablecontents12345678910111213">
    <w:name w:val="ww-tablecontents12345678910111213"/>
    <w:basedOn w:val="Normal"/>
    <w:qFormat/>
    <w:rsid w:val="00B15F7D"/>
    <w:pPr>
      <w:numPr>
        <w:numId w:val="21"/>
      </w:numPr>
      <w:shd w:val="clear" w:color="auto" w:fill="FFFFFF"/>
      <w:tabs>
        <w:tab w:val="num" w:pos="432"/>
      </w:tabs>
      <w:suppressAutoHyphens w:val="0"/>
      <w:autoSpaceDE w:val="0"/>
    </w:pPr>
    <w:rPr>
      <w:rFonts w:ascii="Arial" w:eastAsia="Calibri" w:hAnsi="Arial" w:cs="Arial"/>
      <w:u w:val="single"/>
      <w:lang w:val="es-CR" w:eastAsia="zh-CN"/>
    </w:rPr>
  </w:style>
  <w:style w:type="paragraph" w:customStyle="1" w:styleId="car110">
    <w:name w:val="car11"/>
    <w:basedOn w:val="Normal"/>
    <w:qFormat/>
    <w:rsid w:val="00B15F7D"/>
    <w:pPr>
      <w:suppressAutoHyphens w:val="0"/>
      <w:autoSpaceDE w:val="0"/>
      <w:spacing w:after="160" w:line="240" w:lineRule="atLeast"/>
    </w:pPr>
    <w:rPr>
      <w:rFonts w:ascii="Verdana" w:eastAsia="Calibri" w:hAnsi="Verdana" w:cs="Calibri"/>
      <w:lang w:val="es-CR" w:eastAsia="zh-CN"/>
    </w:rPr>
  </w:style>
  <w:style w:type="paragraph" w:customStyle="1" w:styleId="subprograma0">
    <w:name w:val="subprograma"/>
    <w:basedOn w:val="Normal"/>
    <w:qFormat/>
    <w:rsid w:val="00B15F7D"/>
    <w:pPr>
      <w:keepNext/>
      <w:suppressAutoHyphens w:val="0"/>
      <w:spacing w:before="240" w:after="60"/>
      <w:ind w:left="360" w:hanging="360"/>
      <w:jc w:val="both"/>
    </w:pPr>
    <w:rPr>
      <w:rFonts w:ascii="Bookman Old Style" w:eastAsia="Calibri" w:hAnsi="Bookman Old Style" w:cs="Calibri"/>
      <w:b/>
      <w:bCs/>
      <w:smallCaps/>
      <w:sz w:val="28"/>
      <w:szCs w:val="28"/>
      <w:lang w:val="es-CR" w:eastAsia="zh-CN"/>
    </w:rPr>
  </w:style>
  <w:style w:type="paragraph" w:customStyle="1" w:styleId="car4">
    <w:name w:val="car"/>
    <w:basedOn w:val="Normal"/>
    <w:qFormat/>
    <w:rsid w:val="00B15F7D"/>
    <w:pPr>
      <w:suppressAutoHyphens w:val="0"/>
      <w:spacing w:after="160" w:line="240" w:lineRule="atLeast"/>
    </w:pPr>
    <w:rPr>
      <w:rFonts w:ascii="Verdana" w:eastAsia="Calibri" w:hAnsi="Verdana" w:cs="Calibri"/>
      <w:lang w:val="es-CR" w:eastAsia="zh-CN"/>
    </w:rPr>
  </w:style>
  <w:style w:type="paragraph" w:customStyle="1" w:styleId="style11">
    <w:name w:val="style1"/>
    <w:basedOn w:val="Normal"/>
    <w:qFormat/>
    <w:rsid w:val="00B15F7D"/>
    <w:pPr>
      <w:suppressAutoHyphens w:val="0"/>
      <w:autoSpaceDE w:val="0"/>
    </w:pPr>
    <w:rPr>
      <w:rFonts w:eastAsia="Calibri"/>
      <w:lang w:val="es-CR" w:eastAsia="zh-CN"/>
    </w:rPr>
  </w:style>
  <w:style w:type="paragraph" w:customStyle="1" w:styleId="car1100">
    <w:name w:val="car110"/>
    <w:basedOn w:val="Normal"/>
    <w:qFormat/>
    <w:rsid w:val="00B15F7D"/>
    <w:pPr>
      <w:suppressAutoHyphens w:val="0"/>
      <w:autoSpaceDE w:val="0"/>
      <w:spacing w:after="160" w:line="240" w:lineRule="atLeast"/>
    </w:pPr>
    <w:rPr>
      <w:rFonts w:ascii="Verdana" w:eastAsia="Calibri" w:hAnsi="Verdana" w:cs="Calibri"/>
      <w:lang w:val="es-CR" w:eastAsia="zh-CN"/>
    </w:rPr>
  </w:style>
  <w:style w:type="paragraph" w:customStyle="1" w:styleId="default00">
    <w:name w:val="default0"/>
    <w:basedOn w:val="Normal"/>
    <w:qFormat/>
    <w:rsid w:val="00B15F7D"/>
    <w:pPr>
      <w:suppressAutoHyphens w:val="0"/>
      <w:autoSpaceDE w:val="0"/>
    </w:pPr>
    <w:rPr>
      <w:rFonts w:ascii="Book Antiqua" w:eastAsia="Calibri" w:hAnsi="Book Antiqua" w:cs="Calibri"/>
      <w:color w:val="000000"/>
      <w:lang w:val="es-CR" w:eastAsia="zh-CN"/>
    </w:rPr>
  </w:style>
  <w:style w:type="paragraph" w:customStyle="1" w:styleId="charchar5">
    <w:name w:val="charchar"/>
    <w:basedOn w:val="Normal"/>
    <w:qFormat/>
    <w:rsid w:val="00B15F7D"/>
    <w:pPr>
      <w:suppressAutoHyphens w:val="0"/>
      <w:spacing w:after="160" w:line="240" w:lineRule="atLeast"/>
    </w:pPr>
    <w:rPr>
      <w:rFonts w:ascii="Verdana" w:eastAsia="Calibri" w:hAnsi="Verdana" w:cs="Calibri"/>
      <w:lang w:val="es-CR" w:eastAsia="zh-CN"/>
    </w:rPr>
  </w:style>
  <w:style w:type="paragraph" w:customStyle="1" w:styleId="ww-tablecontents12">
    <w:name w:val="ww-tablecontents12"/>
    <w:basedOn w:val="Normal"/>
    <w:qFormat/>
    <w:rsid w:val="00B15F7D"/>
    <w:pPr>
      <w:suppressAutoHyphens w:val="0"/>
      <w:autoSpaceDE w:val="0"/>
    </w:pPr>
    <w:rPr>
      <w:rFonts w:ascii="Book Antiqua" w:eastAsia="Calibri" w:hAnsi="Book Antiqua" w:cs="Calibri"/>
      <w:lang w:val="es-CR" w:eastAsia="zh-CN"/>
    </w:rPr>
  </w:style>
  <w:style w:type="paragraph" w:customStyle="1" w:styleId="car01">
    <w:name w:val="car0"/>
    <w:basedOn w:val="Normal"/>
    <w:qFormat/>
    <w:rsid w:val="00B15F7D"/>
    <w:pPr>
      <w:suppressAutoHyphens w:val="0"/>
      <w:spacing w:after="160" w:line="240" w:lineRule="atLeast"/>
    </w:pPr>
    <w:rPr>
      <w:rFonts w:ascii="Verdana" w:eastAsia="Calibri" w:hAnsi="Verdana" w:cs="Calibri"/>
      <w:lang w:val="es-CR" w:eastAsia="zh-CN"/>
    </w:rPr>
  </w:style>
  <w:style w:type="paragraph" w:customStyle="1" w:styleId="ww-tablecontents123456">
    <w:name w:val="ww-tablecontents123456"/>
    <w:basedOn w:val="Normal"/>
    <w:qFormat/>
    <w:rsid w:val="00B15F7D"/>
    <w:pPr>
      <w:shd w:val="clear" w:color="auto" w:fill="FFFFFF"/>
      <w:suppressAutoHyphens w:val="0"/>
      <w:autoSpaceDE w:val="0"/>
    </w:pPr>
    <w:rPr>
      <w:rFonts w:ascii="Arial" w:eastAsia="Calibri" w:hAnsi="Arial" w:cs="Arial"/>
      <w:u w:val="single"/>
      <w:lang w:val="es-CR" w:eastAsia="zh-CN"/>
    </w:rPr>
  </w:style>
  <w:style w:type="paragraph" w:customStyle="1" w:styleId="ww-tablecontents123456789">
    <w:name w:val="ww-tablecontents123456789"/>
    <w:basedOn w:val="Normal"/>
    <w:qFormat/>
    <w:rsid w:val="00B15F7D"/>
    <w:pPr>
      <w:shd w:val="clear" w:color="auto" w:fill="FFFFFF"/>
      <w:suppressAutoHyphens w:val="0"/>
      <w:autoSpaceDE w:val="0"/>
    </w:pPr>
    <w:rPr>
      <w:rFonts w:ascii="Arial" w:eastAsia="Calibri" w:hAnsi="Arial" w:cs="Arial"/>
      <w:u w:val="single"/>
      <w:lang w:val="es-CR" w:eastAsia="zh-CN"/>
    </w:rPr>
  </w:style>
  <w:style w:type="paragraph" w:customStyle="1" w:styleId="ww-tablecontents10">
    <w:name w:val="ww-tablecontents1"/>
    <w:basedOn w:val="Normal"/>
    <w:qFormat/>
    <w:rsid w:val="00B15F7D"/>
    <w:pPr>
      <w:shd w:val="clear" w:color="auto" w:fill="FFFFFF"/>
      <w:suppressAutoHyphens w:val="0"/>
      <w:autoSpaceDE w:val="0"/>
    </w:pPr>
    <w:rPr>
      <w:rFonts w:ascii="Arial" w:eastAsia="Calibri" w:hAnsi="Arial" w:cs="Arial"/>
      <w:u w:val="single"/>
      <w:lang w:val="es-CR" w:eastAsia="zh-CN"/>
    </w:rPr>
  </w:style>
  <w:style w:type="paragraph" w:customStyle="1" w:styleId="style21">
    <w:name w:val="style2"/>
    <w:basedOn w:val="Normal"/>
    <w:qFormat/>
    <w:rsid w:val="00B15F7D"/>
    <w:pPr>
      <w:suppressAutoHyphens w:val="0"/>
      <w:autoSpaceDE w:val="0"/>
    </w:pPr>
    <w:rPr>
      <w:rFonts w:eastAsia="Calibri"/>
      <w:lang w:val="es-CR" w:eastAsia="zh-CN"/>
    </w:rPr>
  </w:style>
  <w:style w:type="paragraph" w:customStyle="1" w:styleId="style40">
    <w:name w:val="style4"/>
    <w:basedOn w:val="Normal"/>
    <w:qFormat/>
    <w:rsid w:val="00B15F7D"/>
    <w:pPr>
      <w:suppressAutoHyphens w:val="0"/>
      <w:autoSpaceDE w:val="0"/>
      <w:spacing w:before="288"/>
      <w:ind w:left="72" w:right="72" w:firstLine="576"/>
      <w:jc w:val="both"/>
    </w:pPr>
    <w:rPr>
      <w:rFonts w:ascii="Arial" w:eastAsia="Calibri" w:hAnsi="Arial" w:cs="Arial"/>
      <w:sz w:val="26"/>
      <w:szCs w:val="26"/>
      <w:lang w:val="es-CR" w:eastAsia="zh-CN"/>
    </w:rPr>
  </w:style>
  <w:style w:type="paragraph" w:customStyle="1" w:styleId="heading2">
    <w:name w:val="heading2"/>
    <w:basedOn w:val="Normal"/>
    <w:qFormat/>
    <w:rsid w:val="00B15F7D"/>
    <w:pPr>
      <w:keepNext/>
      <w:shd w:val="clear" w:color="auto" w:fill="FFFFFF"/>
      <w:suppressAutoHyphens w:val="0"/>
      <w:autoSpaceDE w:val="0"/>
      <w:spacing w:line="480" w:lineRule="auto"/>
      <w:ind w:left="540" w:hanging="360"/>
      <w:jc w:val="both"/>
    </w:pPr>
    <w:rPr>
      <w:rFonts w:ascii="Arial" w:eastAsia="Calibri" w:hAnsi="Arial" w:cs="Arial"/>
      <w:b/>
      <w:bCs/>
      <w:u w:val="single"/>
      <w:lang w:val="es-CR" w:eastAsia="zh-CN"/>
    </w:rPr>
  </w:style>
  <w:style w:type="paragraph" w:customStyle="1" w:styleId="charchar01">
    <w:name w:val="charchar0"/>
    <w:basedOn w:val="Normal"/>
    <w:qFormat/>
    <w:rsid w:val="00B15F7D"/>
    <w:pPr>
      <w:suppressAutoHyphens w:val="0"/>
      <w:spacing w:after="160" w:line="240" w:lineRule="atLeast"/>
    </w:pPr>
    <w:rPr>
      <w:rFonts w:ascii="Verdana" w:eastAsia="Calibri" w:hAnsi="Verdana" w:cs="Calibri"/>
      <w:lang w:val="es-CR" w:eastAsia="zh-CN"/>
    </w:rPr>
  </w:style>
  <w:style w:type="paragraph" w:customStyle="1" w:styleId="style190">
    <w:name w:val="style19"/>
    <w:basedOn w:val="Normal"/>
    <w:qFormat/>
    <w:rsid w:val="00B15F7D"/>
    <w:pPr>
      <w:suppressAutoHyphens w:val="0"/>
      <w:autoSpaceDE w:val="0"/>
      <w:spacing w:before="540" w:line="360" w:lineRule="auto"/>
      <w:ind w:right="144"/>
      <w:jc w:val="both"/>
    </w:pPr>
    <w:rPr>
      <w:rFonts w:eastAsia="Calibri"/>
      <w:lang w:val="es-CR" w:eastAsia="zh-CN"/>
    </w:rPr>
  </w:style>
  <w:style w:type="paragraph" w:customStyle="1" w:styleId="style200">
    <w:name w:val="style20"/>
    <w:basedOn w:val="Normal"/>
    <w:qFormat/>
    <w:rsid w:val="00B15F7D"/>
    <w:pPr>
      <w:suppressAutoHyphens w:val="0"/>
      <w:autoSpaceDE w:val="0"/>
      <w:spacing w:before="360" w:after="864" w:line="360" w:lineRule="auto"/>
      <w:ind w:right="144"/>
      <w:jc w:val="both"/>
    </w:pPr>
    <w:rPr>
      <w:rFonts w:eastAsia="Calibri"/>
      <w:lang w:val="es-CR" w:eastAsia="zh-CN"/>
    </w:rPr>
  </w:style>
  <w:style w:type="paragraph" w:customStyle="1" w:styleId="style8">
    <w:name w:val="style8"/>
    <w:basedOn w:val="Normal"/>
    <w:qFormat/>
    <w:rsid w:val="00B15F7D"/>
    <w:pPr>
      <w:suppressAutoHyphens w:val="0"/>
      <w:autoSpaceDE w:val="0"/>
      <w:spacing w:before="504" w:after="1260" w:line="360" w:lineRule="auto"/>
      <w:ind w:left="1512"/>
      <w:jc w:val="both"/>
    </w:pPr>
    <w:rPr>
      <w:rFonts w:eastAsia="Calibri"/>
      <w:sz w:val="23"/>
      <w:szCs w:val="23"/>
      <w:lang w:val="es-CR" w:eastAsia="zh-CN"/>
    </w:rPr>
  </w:style>
  <w:style w:type="paragraph" w:customStyle="1" w:styleId="style130">
    <w:name w:val="style13"/>
    <w:basedOn w:val="Normal"/>
    <w:qFormat/>
    <w:rsid w:val="00B15F7D"/>
    <w:pPr>
      <w:suppressAutoHyphens w:val="0"/>
      <w:autoSpaceDE w:val="0"/>
      <w:spacing w:line="360" w:lineRule="auto"/>
      <w:ind w:left="1584" w:right="1512"/>
      <w:jc w:val="both"/>
    </w:pPr>
    <w:rPr>
      <w:rFonts w:eastAsia="Calibri"/>
      <w:i/>
      <w:iCs/>
      <w:sz w:val="19"/>
      <w:szCs w:val="19"/>
      <w:lang w:val="es-CR" w:eastAsia="zh-CN"/>
    </w:rPr>
  </w:style>
  <w:style w:type="paragraph" w:customStyle="1" w:styleId="style101">
    <w:name w:val="style10"/>
    <w:basedOn w:val="Normal"/>
    <w:qFormat/>
    <w:rsid w:val="00B15F7D"/>
    <w:pPr>
      <w:suppressAutoHyphens w:val="0"/>
      <w:autoSpaceDE w:val="0"/>
    </w:pPr>
    <w:rPr>
      <w:rFonts w:eastAsia="Calibri"/>
      <w:lang w:val="es-CR" w:eastAsia="zh-CN"/>
    </w:rPr>
  </w:style>
  <w:style w:type="paragraph" w:customStyle="1" w:styleId="charchar15">
    <w:name w:val="charchar1"/>
    <w:basedOn w:val="Normal"/>
    <w:qFormat/>
    <w:rsid w:val="00B15F7D"/>
    <w:pPr>
      <w:suppressAutoHyphens w:val="0"/>
      <w:spacing w:after="160" w:line="240" w:lineRule="atLeast"/>
    </w:pPr>
    <w:rPr>
      <w:rFonts w:ascii="Verdana" w:eastAsia="Calibri" w:hAnsi="Verdana" w:cs="Calibri"/>
      <w:lang w:val="es-CR" w:eastAsia="zh-CN"/>
    </w:rPr>
  </w:style>
  <w:style w:type="paragraph" w:customStyle="1" w:styleId="textopreformateado">
    <w:name w:val="textopreformateado"/>
    <w:basedOn w:val="Normal"/>
    <w:qFormat/>
    <w:rsid w:val="00B15F7D"/>
    <w:pPr>
      <w:suppressAutoHyphens w:val="0"/>
    </w:pPr>
    <w:rPr>
      <w:rFonts w:ascii="Courier New" w:eastAsia="Calibri" w:hAnsi="Courier New" w:cs="Courier New"/>
      <w:lang w:val="es-CR" w:eastAsia="zh-CN"/>
    </w:rPr>
  </w:style>
  <w:style w:type="paragraph" w:customStyle="1" w:styleId="style90">
    <w:name w:val="style9"/>
    <w:basedOn w:val="Normal"/>
    <w:qFormat/>
    <w:rsid w:val="00B15F7D"/>
    <w:pPr>
      <w:suppressAutoHyphens w:val="0"/>
      <w:autoSpaceDE w:val="0"/>
      <w:spacing w:before="144" w:line="360" w:lineRule="auto"/>
      <w:ind w:left="72" w:right="72" w:firstLine="720"/>
      <w:jc w:val="both"/>
    </w:pPr>
    <w:rPr>
      <w:rFonts w:ascii="Arial" w:eastAsia="Calibri" w:hAnsi="Arial" w:cs="Arial"/>
      <w:lang w:val="es-CR" w:eastAsia="zh-CN"/>
    </w:rPr>
  </w:style>
  <w:style w:type="paragraph" w:customStyle="1" w:styleId="style140">
    <w:name w:val="style14"/>
    <w:basedOn w:val="Normal"/>
    <w:qFormat/>
    <w:rsid w:val="00B15F7D"/>
    <w:pPr>
      <w:suppressAutoHyphens w:val="0"/>
      <w:autoSpaceDE w:val="0"/>
      <w:spacing w:before="432" w:line="360" w:lineRule="auto"/>
      <w:ind w:firstLine="720"/>
      <w:jc w:val="both"/>
    </w:pPr>
    <w:rPr>
      <w:rFonts w:ascii="Arial" w:eastAsia="Calibri" w:hAnsi="Arial" w:cs="Arial"/>
      <w:lang w:val="es-CR" w:eastAsia="zh-CN"/>
    </w:rPr>
  </w:style>
  <w:style w:type="paragraph" w:customStyle="1" w:styleId="style16">
    <w:name w:val="style16"/>
    <w:basedOn w:val="Normal"/>
    <w:qFormat/>
    <w:rsid w:val="00B15F7D"/>
    <w:pPr>
      <w:suppressAutoHyphens w:val="0"/>
      <w:autoSpaceDE w:val="0"/>
      <w:spacing w:before="432" w:line="360" w:lineRule="auto"/>
      <w:jc w:val="both"/>
    </w:pPr>
    <w:rPr>
      <w:rFonts w:ascii="Verdana" w:eastAsia="Calibri" w:hAnsi="Verdana" w:cs="Calibri"/>
      <w:i/>
      <w:iCs/>
      <w:sz w:val="23"/>
      <w:szCs w:val="23"/>
      <w:lang w:val="es-CR" w:eastAsia="zh-CN"/>
    </w:rPr>
  </w:style>
  <w:style w:type="paragraph" w:customStyle="1" w:styleId="style170">
    <w:name w:val="style17"/>
    <w:basedOn w:val="Normal"/>
    <w:qFormat/>
    <w:rsid w:val="00B15F7D"/>
    <w:pPr>
      <w:suppressAutoHyphens w:val="0"/>
      <w:autoSpaceDE w:val="0"/>
      <w:spacing w:before="360" w:line="372" w:lineRule="atLeast"/>
      <w:ind w:firstLine="720"/>
      <w:jc w:val="both"/>
    </w:pPr>
    <w:rPr>
      <w:rFonts w:ascii="Tahoma" w:eastAsia="Calibri" w:hAnsi="Tahoma" w:cs="Tahoma"/>
      <w:sz w:val="23"/>
      <w:szCs w:val="23"/>
      <w:lang w:val="es-CR" w:eastAsia="zh-CN"/>
    </w:rPr>
  </w:style>
  <w:style w:type="paragraph" w:customStyle="1" w:styleId="style180">
    <w:name w:val="style18"/>
    <w:basedOn w:val="Normal"/>
    <w:qFormat/>
    <w:rsid w:val="00B15F7D"/>
    <w:pPr>
      <w:suppressAutoHyphens w:val="0"/>
      <w:autoSpaceDE w:val="0"/>
    </w:pPr>
    <w:rPr>
      <w:rFonts w:eastAsia="Calibri"/>
      <w:lang w:val="es-CR" w:eastAsia="zh-CN"/>
    </w:rPr>
  </w:style>
  <w:style w:type="paragraph" w:customStyle="1" w:styleId="heading50">
    <w:name w:val="heading50"/>
    <w:basedOn w:val="Normal"/>
    <w:qFormat/>
    <w:rsid w:val="00B15F7D"/>
    <w:pPr>
      <w:keepNext/>
      <w:shd w:val="clear" w:color="auto" w:fill="FFFFFF"/>
      <w:suppressAutoHyphens w:val="0"/>
      <w:jc w:val="center"/>
    </w:pPr>
    <w:rPr>
      <w:rFonts w:eastAsia="Calibri"/>
      <w:b/>
      <w:bCs/>
      <w:i/>
      <w:iCs/>
      <w:sz w:val="26"/>
      <w:szCs w:val="26"/>
      <w:u w:val="single"/>
      <w:lang w:val="es-CR" w:eastAsia="zh-CN"/>
    </w:rPr>
  </w:style>
  <w:style w:type="paragraph" w:customStyle="1" w:styleId="tulo10">
    <w:name w:val="tulo1"/>
    <w:basedOn w:val="Normal"/>
    <w:qFormat/>
    <w:rsid w:val="00B15F7D"/>
    <w:pPr>
      <w:keepNext/>
      <w:shd w:val="clear" w:color="auto" w:fill="FFFFFF"/>
      <w:suppressAutoHyphens w:val="0"/>
      <w:autoSpaceDE w:val="0"/>
      <w:jc w:val="both"/>
    </w:pPr>
    <w:rPr>
      <w:rFonts w:ascii="Arial" w:eastAsia="Calibri" w:hAnsi="Arial" w:cs="Arial"/>
      <w:b/>
      <w:bCs/>
      <w:sz w:val="22"/>
      <w:szCs w:val="22"/>
      <w:u w:val="single"/>
      <w:lang w:val="es-CR" w:eastAsia="zh-CN"/>
    </w:rPr>
  </w:style>
  <w:style w:type="paragraph" w:customStyle="1" w:styleId="style210">
    <w:name w:val="style21"/>
    <w:basedOn w:val="Normal"/>
    <w:qFormat/>
    <w:rsid w:val="00B15F7D"/>
    <w:pPr>
      <w:suppressAutoHyphens w:val="0"/>
      <w:autoSpaceDE w:val="0"/>
      <w:spacing w:line="336" w:lineRule="auto"/>
      <w:ind w:right="72" w:firstLine="720"/>
      <w:jc w:val="both"/>
    </w:pPr>
    <w:rPr>
      <w:rFonts w:eastAsia="Calibri"/>
      <w:lang w:val="es-CR" w:eastAsia="zh-CN"/>
    </w:rPr>
  </w:style>
  <w:style w:type="paragraph" w:customStyle="1" w:styleId="p">
    <w:name w:val="p"/>
    <w:basedOn w:val="Normal"/>
    <w:qFormat/>
    <w:rsid w:val="00B15F7D"/>
    <w:pPr>
      <w:suppressAutoHyphens w:val="0"/>
      <w:spacing w:before="280" w:after="280"/>
    </w:pPr>
    <w:rPr>
      <w:rFonts w:eastAsia="Calibri"/>
      <w:lang w:val="es-CR" w:eastAsia="zh-CN"/>
    </w:rPr>
  </w:style>
  <w:style w:type="paragraph" w:customStyle="1" w:styleId="charchar2a">
    <w:name w:val="charchar2"/>
    <w:basedOn w:val="Normal"/>
    <w:qFormat/>
    <w:rsid w:val="00B15F7D"/>
    <w:pPr>
      <w:suppressAutoHyphens w:val="0"/>
      <w:spacing w:after="160" w:line="240" w:lineRule="atLeast"/>
    </w:pPr>
    <w:rPr>
      <w:rFonts w:ascii="Verdana" w:eastAsia="Calibri" w:hAnsi="Verdana" w:cs="Calibri"/>
      <w:lang w:val="es-CR" w:eastAsia="zh-CN"/>
    </w:rPr>
  </w:style>
  <w:style w:type="paragraph" w:customStyle="1" w:styleId="style60">
    <w:name w:val="style6"/>
    <w:basedOn w:val="Normal"/>
    <w:qFormat/>
    <w:rsid w:val="00B15F7D"/>
    <w:pPr>
      <w:suppressAutoHyphens w:val="0"/>
      <w:autoSpaceDE w:val="0"/>
      <w:spacing w:before="180"/>
      <w:ind w:left="72"/>
    </w:pPr>
    <w:rPr>
      <w:rFonts w:eastAsia="Calibri"/>
      <w:sz w:val="27"/>
      <w:szCs w:val="27"/>
      <w:lang w:val="es-CR" w:eastAsia="zh-CN"/>
    </w:rPr>
  </w:style>
  <w:style w:type="paragraph" w:customStyle="1" w:styleId="style50">
    <w:name w:val="style5"/>
    <w:basedOn w:val="Normal"/>
    <w:qFormat/>
    <w:rsid w:val="00B15F7D"/>
    <w:pPr>
      <w:suppressAutoHyphens w:val="0"/>
      <w:autoSpaceDE w:val="0"/>
      <w:spacing w:before="576" w:line="360" w:lineRule="auto"/>
      <w:ind w:firstLine="792"/>
      <w:jc w:val="both"/>
    </w:pPr>
    <w:rPr>
      <w:rFonts w:eastAsia="Calibri"/>
      <w:sz w:val="27"/>
      <w:szCs w:val="27"/>
      <w:lang w:val="es-CR" w:eastAsia="zh-CN"/>
    </w:rPr>
  </w:style>
  <w:style w:type="paragraph" w:customStyle="1" w:styleId="style300">
    <w:name w:val="style30"/>
    <w:basedOn w:val="Normal"/>
    <w:qFormat/>
    <w:rsid w:val="00B15F7D"/>
    <w:pPr>
      <w:suppressAutoHyphens w:val="0"/>
      <w:autoSpaceDE w:val="0"/>
      <w:spacing w:before="144" w:line="432" w:lineRule="atLeast"/>
      <w:ind w:firstLine="792"/>
      <w:jc w:val="both"/>
    </w:pPr>
    <w:rPr>
      <w:rFonts w:eastAsia="Calibri"/>
      <w:sz w:val="27"/>
      <w:szCs w:val="27"/>
      <w:lang w:val="es-CR" w:eastAsia="zh-CN"/>
    </w:rPr>
  </w:style>
  <w:style w:type="paragraph" w:customStyle="1" w:styleId="prrafodelista00">
    <w:name w:val="prrafodelista0"/>
    <w:basedOn w:val="Normal"/>
    <w:qFormat/>
    <w:rsid w:val="00B15F7D"/>
    <w:pPr>
      <w:suppressAutoHyphens w:val="0"/>
      <w:ind w:left="708"/>
    </w:pPr>
    <w:rPr>
      <w:rFonts w:eastAsia="Calibri"/>
      <w:sz w:val="26"/>
      <w:szCs w:val="26"/>
      <w:lang w:val="es-CR" w:eastAsia="zh-CN"/>
    </w:rPr>
  </w:style>
  <w:style w:type="paragraph" w:customStyle="1" w:styleId="LO-normal0">
    <w:name w:val="LO-normal"/>
    <w:basedOn w:val="Normal"/>
    <w:uiPriority w:val="99"/>
    <w:qFormat/>
    <w:rsid w:val="00B15F7D"/>
    <w:pPr>
      <w:suppressAutoHyphens w:val="0"/>
      <w:spacing w:line="276" w:lineRule="auto"/>
    </w:pPr>
    <w:rPr>
      <w:rFonts w:ascii="Arial" w:eastAsia="Calibri" w:hAnsi="Arial" w:cs="Arial"/>
      <w:color w:val="000000"/>
      <w:sz w:val="22"/>
      <w:szCs w:val="22"/>
      <w:lang w:val="es-CR" w:eastAsia="zh-CN"/>
    </w:rPr>
  </w:style>
  <w:style w:type="paragraph" w:customStyle="1" w:styleId="z-BottomofForm11">
    <w:name w:val="z-Bottom of Form11"/>
    <w:basedOn w:val="Normal"/>
    <w:uiPriority w:val="99"/>
    <w:qFormat/>
    <w:rsid w:val="00B15F7D"/>
    <w:pPr>
      <w:suppressAutoHyphens w:val="0"/>
      <w:autoSpaceDE w:val="0"/>
      <w:jc w:val="center"/>
    </w:pPr>
    <w:rPr>
      <w:rFonts w:ascii="Arial" w:eastAsia="Calibri" w:hAnsi="Arial" w:cs="Arial"/>
      <w:vanish/>
      <w:sz w:val="16"/>
      <w:szCs w:val="16"/>
      <w:lang w:val="es-CR" w:eastAsia="zh-CN"/>
    </w:rPr>
  </w:style>
  <w:style w:type="paragraph" w:customStyle="1" w:styleId="z-TopofForm11">
    <w:name w:val="z-Top of Form11"/>
    <w:basedOn w:val="Normal"/>
    <w:uiPriority w:val="99"/>
    <w:qFormat/>
    <w:rsid w:val="00B15F7D"/>
    <w:pPr>
      <w:suppressAutoHyphens w:val="0"/>
      <w:autoSpaceDE w:val="0"/>
      <w:jc w:val="center"/>
    </w:pPr>
    <w:rPr>
      <w:rFonts w:ascii="Arial" w:eastAsia="Calibri" w:hAnsi="Arial" w:cs="Arial"/>
      <w:vanish/>
      <w:sz w:val="16"/>
      <w:szCs w:val="16"/>
      <w:lang w:val="es-CR" w:eastAsia="zh-CN"/>
    </w:rPr>
  </w:style>
  <w:style w:type="paragraph" w:customStyle="1" w:styleId="Textodebloque11">
    <w:name w:val="Texto de bloque11"/>
    <w:basedOn w:val="Normal"/>
    <w:uiPriority w:val="99"/>
    <w:qFormat/>
    <w:rsid w:val="00B15F7D"/>
    <w:pPr>
      <w:suppressAutoHyphens w:val="0"/>
      <w:autoSpaceDE w:val="0"/>
      <w:ind w:left="-540" w:right="-415" w:firstLine="1248"/>
      <w:jc w:val="both"/>
    </w:pPr>
    <w:rPr>
      <w:rFonts w:ascii="Arial" w:eastAsia="Calibri" w:hAnsi="Arial" w:cs="Arial"/>
      <w:lang w:val="es-CR" w:eastAsia="zh-CN"/>
    </w:rPr>
  </w:style>
  <w:style w:type="paragraph" w:customStyle="1" w:styleId="Sangra2detindependiente11">
    <w:name w:val="Sangría 2 de t. independiente11"/>
    <w:basedOn w:val="Normal"/>
    <w:uiPriority w:val="99"/>
    <w:qFormat/>
    <w:rsid w:val="00B15F7D"/>
    <w:pPr>
      <w:suppressAutoHyphens w:val="0"/>
      <w:overflowPunct w:val="0"/>
      <w:autoSpaceDE w:val="0"/>
      <w:ind w:left="2835" w:hanging="2835"/>
      <w:jc w:val="both"/>
    </w:pPr>
    <w:rPr>
      <w:rFonts w:ascii="Georgia" w:eastAsia="Calibri" w:hAnsi="Georgia" w:cs="Calibri"/>
      <w:sz w:val="28"/>
      <w:szCs w:val="28"/>
      <w:lang w:val="es-CR" w:eastAsia="zh-CN"/>
    </w:rPr>
  </w:style>
  <w:style w:type="paragraph" w:customStyle="1" w:styleId="Mapadeldocumento2">
    <w:name w:val="Mapa del documento2"/>
    <w:basedOn w:val="Normal"/>
    <w:uiPriority w:val="99"/>
    <w:qFormat/>
    <w:rsid w:val="00B15F7D"/>
    <w:pPr>
      <w:shd w:val="clear" w:color="auto" w:fill="000080"/>
      <w:suppressAutoHyphens w:val="0"/>
      <w:autoSpaceDE w:val="0"/>
    </w:pPr>
    <w:rPr>
      <w:rFonts w:ascii="Tahoma" w:eastAsia="Calibri" w:hAnsi="Tahoma" w:cs="Tahoma"/>
      <w:color w:val="000000"/>
      <w:lang w:val="es-CR" w:eastAsia="zh-CN"/>
    </w:rPr>
  </w:style>
  <w:style w:type="paragraph" w:customStyle="1" w:styleId="Saludo2">
    <w:name w:val="Saludo2"/>
    <w:basedOn w:val="Normal"/>
    <w:uiPriority w:val="99"/>
    <w:qFormat/>
    <w:rsid w:val="00B15F7D"/>
    <w:pPr>
      <w:suppressAutoHyphens w:val="0"/>
    </w:pPr>
    <w:rPr>
      <w:rFonts w:ascii="Calibri" w:eastAsia="Calibri" w:hAnsi="Calibri" w:cs="Calibri"/>
      <w:lang w:val="es-CR" w:eastAsia="zh-CN"/>
    </w:rPr>
  </w:style>
  <w:style w:type="paragraph" w:customStyle="1" w:styleId="Prrafodelista31">
    <w:name w:val="Párrafo de lista31"/>
    <w:basedOn w:val="Normal"/>
    <w:uiPriority w:val="99"/>
    <w:qFormat/>
    <w:rsid w:val="00B15F7D"/>
    <w:pPr>
      <w:suppressAutoHyphens w:val="0"/>
      <w:spacing w:after="160" w:line="252" w:lineRule="auto"/>
      <w:ind w:left="720"/>
      <w:contextualSpacing/>
    </w:pPr>
    <w:rPr>
      <w:rFonts w:ascii="Calibri" w:eastAsia="Calibri" w:hAnsi="Calibri" w:cs="Calibri"/>
      <w:color w:val="00000A"/>
      <w:sz w:val="22"/>
      <w:szCs w:val="22"/>
      <w:lang w:val="es-CR" w:eastAsia="zh-CN"/>
    </w:rPr>
  </w:style>
  <w:style w:type="paragraph" w:customStyle="1" w:styleId="Ttulo311">
    <w:name w:val="Título 311"/>
    <w:basedOn w:val="Normal"/>
    <w:uiPriority w:val="99"/>
    <w:qFormat/>
    <w:rsid w:val="00B15F7D"/>
    <w:pPr>
      <w:keepNext/>
      <w:suppressAutoHyphens w:val="0"/>
      <w:spacing w:before="240" w:after="60"/>
      <w:jc w:val="center"/>
    </w:pPr>
    <w:rPr>
      <w:rFonts w:ascii="Book Antiqua" w:eastAsia="Calibri" w:hAnsi="Book Antiqua" w:cs="Calibri"/>
      <w:b/>
      <w:bCs/>
      <w:i/>
      <w:iCs/>
      <w:color w:val="00000A"/>
      <w:u w:val="single"/>
      <w:lang w:val="es-CR" w:eastAsia="zh-CN"/>
    </w:rPr>
  </w:style>
  <w:style w:type="paragraph" w:customStyle="1" w:styleId="encabezado6">
    <w:name w:val="encabezado6"/>
    <w:basedOn w:val="Normal"/>
    <w:uiPriority w:val="99"/>
    <w:qFormat/>
    <w:rsid w:val="00B15F7D"/>
    <w:pPr>
      <w:suppressAutoHyphens w:val="0"/>
      <w:autoSpaceDE w:val="0"/>
      <w:ind w:right="51"/>
      <w:jc w:val="center"/>
    </w:pPr>
    <w:rPr>
      <w:rFonts w:ascii="Arial" w:eastAsia="Calibri" w:hAnsi="Arial" w:cs="Arial"/>
      <w:b/>
      <w:bCs/>
      <w:color w:val="000000"/>
      <w:spacing w:val="-3"/>
      <w:vertAlign w:val="subscript"/>
      <w:lang w:val="es-CR" w:eastAsia="zh-CN"/>
    </w:rPr>
  </w:style>
  <w:style w:type="paragraph" w:customStyle="1" w:styleId="CarCarCar1Car">
    <w:name w:val="Car Car Car1 Car"/>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CarCar5CarCarCarCar">
    <w:name w:val="Car Car5 Car Car Car Car"/>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CarCar6CarCar">
    <w:name w:val="Car Car6 Car Car"/>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CarCarCarCarCarCarCarCarCarCar">
    <w:name w:val="Car Car Car Car Car Car Car Car Car Car"/>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WW-CharChar">
    <w:name w:val="WW-Char Char"/>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WW-Car">
    <w:name w:val="WW-Car"/>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WW-CarCar6CarCar">
    <w:name w:val="WW-Car Car6 Car Car"/>
    <w:basedOn w:val="Normal"/>
    <w:uiPriority w:val="99"/>
    <w:qFormat/>
    <w:rsid w:val="00B15F7D"/>
    <w:pPr>
      <w:suppressAutoHyphens w:val="0"/>
      <w:spacing w:after="160" w:line="240" w:lineRule="exact"/>
    </w:pPr>
    <w:rPr>
      <w:rFonts w:ascii="Verdana" w:eastAsia="Calibri" w:hAnsi="Verdana" w:cs="Calibri"/>
      <w:lang w:val="es-CR" w:eastAsia="zh-CN"/>
    </w:rPr>
  </w:style>
  <w:style w:type="character" w:customStyle="1" w:styleId="AGestinCar">
    <w:name w:val="A Gestión Car"/>
    <w:basedOn w:val="Fuentedeprrafopredeter"/>
    <w:link w:val="AGestin"/>
    <w:uiPriority w:val="99"/>
    <w:locked/>
    <w:rsid w:val="00B15F7D"/>
    <w:rPr>
      <w:color w:val="000099"/>
      <w:lang w:eastAsia="ar-SA"/>
    </w:rPr>
  </w:style>
  <w:style w:type="paragraph" w:customStyle="1" w:styleId="AGestin">
    <w:name w:val="A Gestión"/>
    <w:basedOn w:val="Normal"/>
    <w:link w:val="AGestinCar"/>
    <w:uiPriority w:val="99"/>
    <w:qFormat/>
    <w:rsid w:val="00B15F7D"/>
    <w:pPr>
      <w:suppressAutoHyphens w:val="0"/>
      <w:spacing w:before="120" w:after="120"/>
      <w:ind w:left="851" w:right="851" w:firstLine="709"/>
      <w:jc w:val="both"/>
    </w:pPr>
    <w:rPr>
      <w:rFonts w:asciiTheme="minorHAnsi" w:eastAsiaTheme="minorHAnsi" w:hAnsiTheme="minorHAnsi" w:cstheme="minorBidi"/>
      <w:color w:val="000099"/>
      <w:sz w:val="22"/>
      <w:szCs w:val="22"/>
      <w:lang w:val="es-CR"/>
    </w:rPr>
  </w:style>
  <w:style w:type="paragraph" w:customStyle="1" w:styleId="Encabezado60">
    <w:name w:val="Encabezado6"/>
    <w:basedOn w:val="Normal"/>
    <w:qFormat/>
    <w:rsid w:val="00B15F7D"/>
    <w:pPr>
      <w:suppressAutoHyphens w:val="0"/>
    </w:pPr>
    <w:rPr>
      <w:rFonts w:ascii="Arial" w:eastAsia="Calibri" w:hAnsi="Arial" w:cs="Arial"/>
      <w:lang w:val="es-CR" w:eastAsia="es-ES"/>
    </w:rPr>
  </w:style>
  <w:style w:type="paragraph" w:customStyle="1" w:styleId="zz">
    <w:name w:val="zz"/>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zz2">
    <w:name w:val="zz2"/>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CarCarCarCarCarCar1">
    <w:name w:val="Car Car Car Car Car Car1"/>
    <w:basedOn w:val="Normal"/>
    <w:uiPriority w:val="99"/>
    <w:qFormat/>
    <w:rsid w:val="00B15F7D"/>
    <w:pPr>
      <w:suppressAutoHyphens w:val="0"/>
      <w:spacing w:before="100" w:beforeAutospacing="1" w:after="100" w:afterAutospacing="1" w:line="240" w:lineRule="atLeast"/>
    </w:pPr>
    <w:rPr>
      <w:rFonts w:eastAsia="Calibri"/>
      <w:lang w:val="es-CR" w:eastAsia="es-CR"/>
    </w:rPr>
  </w:style>
  <w:style w:type="paragraph" w:customStyle="1" w:styleId="WW-Predeterminado12">
    <w:name w:val="WW-Predeterminado12"/>
    <w:basedOn w:val="Normal"/>
    <w:uiPriority w:val="99"/>
    <w:qFormat/>
    <w:rsid w:val="00B15F7D"/>
    <w:pPr>
      <w:suppressAutoHyphens w:val="0"/>
      <w:spacing w:before="100" w:beforeAutospacing="1" w:after="100" w:afterAutospacing="1"/>
    </w:pPr>
    <w:rPr>
      <w:rFonts w:eastAsia="Calibri"/>
      <w:lang w:val="es-CR" w:eastAsia="es-CR"/>
    </w:rPr>
  </w:style>
  <w:style w:type="character" w:customStyle="1" w:styleId="H4Char">
    <w:name w:val="_ H_4 Char"/>
    <w:basedOn w:val="Fuentedeprrafopredeter"/>
    <w:link w:val="H40"/>
    <w:uiPriority w:val="99"/>
    <w:locked/>
    <w:rsid w:val="00B15F7D"/>
    <w:rPr>
      <w:spacing w:val="3"/>
    </w:rPr>
  </w:style>
  <w:style w:type="paragraph" w:customStyle="1" w:styleId="H40">
    <w:name w:val="_ H_4"/>
    <w:basedOn w:val="Normal"/>
    <w:link w:val="H4Char"/>
    <w:uiPriority w:val="99"/>
    <w:qFormat/>
    <w:rsid w:val="00B15F7D"/>
    <w:pPr>
      <w:keepNext/>
      <w:suppressAutoHyphens w:val="0"/>
      <w:spacing w:before="100" w:beforeAutospacing="1" w:after="100" w:afterAutospacing="1" w:line="240" w:lineRule="atLeast"/>
    </w:pPr>
    <w:rPr>
      <w:rFonts w:asciiTheme="minorHAnsi" w:eastAsiaTheme="minorHAnsi" w:hAnsiTheme="minorHAnsi" w:cstheme="minorBidi"/>
      <w:spacing w:val="3"/>
      <w:sz w:val="22"/>
      <w:szCs w:val="22"/>
      <w:lang w:val="es-CR" w:eastAsia="en-US"/>
    </w:rPr>
  </w:style>
  <w:style w:type="character" w:customStyle="1" w:styleId="SingleTxtChar">
    <w:name w:val="__Single Txt Char"/>
    <w:basedOn w:val="Fuentedeprrafopredeter"/>
    <w:link w:val="SingleTxt"/>
    <w:uiPriority w:val="99"/>
    <w:locked/>
    <w:rsid w:val="00B15F7D"/>
    <w:rPr>
      <w:spacing w:val="4"/>
    </w:rPr>
  </w:style>
  <w:style w:type="paragraph" w:customStyle="1" w:styleId="SingleTxt">
    <w:name w:val="__Single Txt"/>
    <w:basedOn w:val="Normal"/>
    <w:link w:val="SingleTxtChar"/>
    <w:uiPriority w:val="99"/>
    <w:qFormat/>
    <w:rsid w:val="00B15F7D"/>
    <w:pPr>
      <w:suppressAutoHyphens w:val="0"/>
      <w:spacing w:before="100" w:beforeAutospacing="1" w:after="100" w:afterAutospacing="1" w:line="240" w:lineRule="atLeast"/>
    </w:pPr>
    <w:rPr>
      <w:rFonts w:asciiTheme="minorHAnsi" w:eastAsiaTheme="minorHAnsi" w:hAnsiTheme="minorHAnsi" w:cstheme="minorBidi"/>
      <w:spacing w:val="4"/>
      <w:sz w:val="22"/>
      <w:szCs w:val="22"/>
      <w:lang w:val="es-CR" w:eastAsia="en-US"/>
    </w:rPr>
  </w:style>
  <w:style w:type="character" w:customStyle="1" w:styleId="H23Char">
    <w:name w:val="_ H_2/3 Char"/>
    <w:basedOn w:val="Fuentedeprrafopredeter"/>
    <w:link w:val="H23"/>
    <w:uiPriority w:val="99"/>
    <w:locked/>
    <w:rsid w:val="00B15F7D"/>
    <w:rPr>
      <w:b/>
      <w:bCs/>
      <w:spacing w:val="2"/>
    </w:rPr>
  </w:style>
  <w:style w:type="paragraph" w:customStyle="1" w:styleId="H23">
    <w:name w:val="_ H_2/3"/>
    <w:basedOn w:val="Normal"/>
    <w:link w:val="H23Char"/>
    <w:uiPriority w:val="99"/>
    <w:qFormat/>
    <w:rsid w:val="00B15F7D"/>
    <w:pPr>
      <w:keepNext/>
      <w:suppressAutoHyphens w:val="0"/>
      <w:spacing w:before="100" w:beforeAutospacing="1" w:after="100" w:afterAutospacing="1" w:line="240" w:lineRule="atLeast"/>
    </w:pPr>
    <w:rPr>
      <w:rFonts w:asciiTheme="minorHAnsi" w:eastAsiaTheme="minorHAnsi" w:hAnsiTheme="minorHAnsi" w:cstheme="minorBidi"/>
      <w:b/>
      <w:bCs/>
      <w:spacing w:val="2"/>
      <w:sz w:val="22"/>
      <w:szCs w:val="22"/>
      <w:lang w:val="es-CR" w:eastAsia="en-US"/>
    </w:rPr>
  </w:style>
  <w:style w:type="paragraph" w:customStyle="1" w:styleId="Ttulo23">
    <w:name w:val="Título 23"/>
    <w:basedOn w:val="Normal"/>
    <w:qFormat/>
    <w:rsid w:val="00B15F7D"/>
    <w:pPr>
      <w:keepNext/>
      <w:suppressAutoHyphens w:val="0"/>
      <w:spacing w:before="100" w:beforeAutospacing="1" w:after="100" w:afterAutospacing="1"/>
    </w:pPr>
    <w:rPr>
      <w:rFonts w:eastAsia="Calibri"/>
      <w:b/>
      <w:bCs/>
      <w:lang w:val="es-CR" w:eastAsia="es-CR"/>
    </w:rPr>
  </w:style>
  <w:style w:type="paragraph" w:customStyle="1" w:styleId="Ttulo33">
    <w:name w:val="Título 33"/>
    <w:basedOn w:val="Normal"/>
    <w:qFormat/>
    <w:rsid w:val="00B15F7D"/>
    <w:pPr>
      <w:keepNext/>
      <w:suppressAutoHyphens w:val="0"/>
      <w:spacing w:before="100" w:beforeAutospacing="1" w:after="100" w:afterAutospacing="1" w:line="240" w:lineRule="atLeast"/>
    </w:pPr>
    <w:rPr>
      <w:rFonts w:eastAsia="Calibri"/>
      <w:b/>
      <w:bCs/>
      <w:lang w:val="es-CR" w:eastAsia="es-CR"/>
    </w:rPr>
  </w:style>
  <w:style w:type="paragraph" w:customStyle="1" w:styleId="Cuerpo">
    <w:name w:val="Cuerpo"/>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Poromisin">
    <w:name w:val="Por omisión"/>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msopapdefault">
    <w:name w:val="msopapdefault"/>
    <w:basedOn w:val="Normal"/>
    <w:uiPriority w:val="99"/>
    <w:qFormat/>
    <w:rsid w:val="00B15F7D"/>
    <w:pPr>
      <w:suppressAutoHyphens w:val="0"/>
      <w:spacing w:before="100" w:beforeAutospacing="1" w:after="100" w:afterAutospacing="1" w:line="276" w:lineRule="auto"/>
    </w:pPr>
    <w:rPr>
      <w:rFonts w:eastAsia="Calibri"/>
      <w:lang w:val="es-CR" w:eastAsia="es-CR"/>
    </w:rPr>
  </w:style>
  <w:style w:type="paragraph" w:customStyle="1" w:styleId="section1">
    <w:name w:val="section1"/>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Car5">
    <w:name w:val="Car5"/>
    <w:basedOn w:val="Normal"/>
    <w:uiPriority w:val="99"/>
    <w:qFormat/>
    <w:rsid w:val="00B15F7D"/>
    <w:pPr>
      <w:suppressAutoHyphens w:val="0"/>
      <w:spacing w:after="160" w:line="240" w:lineRule="exact"/>
    </w:pPr>
    <w:rPr>
      <w:rFonts w:ascii="Verdana" w:eastAsia="Calibri" w:hAnsi="Verdana" w:cs="Calibri"/>
      <w:lang w:val="es-CR" w:eastAsia="es-ES"/>
    </w:rPr>
  </w:style>
  <w:style w:type="paragraph" w:customStyle="1" w:styleId="CharChar6">
    <w:name w:val="Char Char6"/>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tulo55">
    <w:name w:val="Título 55"/>
    <w:basedOn w:val="Normal"/>
    <w:uiPriority w:val="99"/>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Ttulo34">
    <w:name w:val="Título 34"/>
    <w:basedOn w:val="Normal"/>
    <w:uiPriority w:val="99"/>
    <w:qFormat/>
    <w:rsid w:val="00B15F7D"/>
    <w:pPr>
      <w:shd w:val="clear" w:color="auto" w:fill="FFFFFF"/>
      <w:suppressAutoHyphens w:val="0"/>
      <w:ind w:left="2160" w:hanging="180"/>
    </w:pPr>
    <w:rPr>
      <w:rFonts w:eastAsia="Calibri"/>
      <w:u w:val="single"/>
      <w:lang w:val="es-CR" w:eastAsia="es-ES"/>
    </w:rPr>
  </w:style>
  <w:style w:type="paragraph" w:customStyle="1" w:styleId="Prrafodelista9">
    <w:name w:val="Párrafo de lista9"/>
    <w:basedOn w:val="Normal"/>
    <w:qFormat/>
    <w:rsid w:val="00B15F7D"/>
    <w:pPr>
      <w:suppressAutoHyphens w:val="0"/>
      <w:ind w:left="720"/>
      <w:contextualSpacing/>
    </w:pPr>
    <w:rPr>
      <w:rFonts w:eastAsia="Calibri"/>
      <w:lang w:val="es-CR" w:eastAsia="es-ES"/>
    </w:rPr>
  </w:style>
  <w:style w:type="paragraph" w:customStyle="1" w:styleId="Textoindependiente25">
    <w:name w:val="Texto independiente 25"/>
    <w:basedOn w:val="Normal"/>
    <w:uiPriority w:val="99"/>
    <w:qFormat/>
    <w:rsid w:val="00B15F7D"/>
    <w:pPr>
      <w:suppressAutoHyphens w:val="0"/>
      <w:jc w:val="both"/>
    </w:pPr>
    <w:rPr>
      <w:rFonts w:eastAsia="Calibri"/>
      <w:lang w:val="es-CR" w:eastAsia="es-ES"/>
    </w:rPr>
  </w:style>
  <w:style w:type="paragraph" w:customStyle="1" w:styleId="Sangra2detindependiente4">
    <w:name w:val="Sangría 2 de t. independiente4"/>
    <w:basedOn w:val="Normal"/>
    <w:uiPriority w:val="99"/>
    <w:qFormat/>
    <w:rsid w:val="00B15F7D"/>
    <w:pPr>
      <w:suppressAutoHyphens w:val="0"/>
      <w:autoSpaceDE w:val="0"/>
      <w:spacing w:line="480" w:lineRule="auto"/>
      <w:ind w:firstLine="708"/>
      <w:jc w:val="both"/>
    </w:pPr>
    <w:rPr>
      <w:rFonts w:ascii="Arial" w:eastAsia="Calibri" w:hAnsi="Arial" w:cs="Arial"/>
      <w:u w:val="single"/>
      <w:lang w:val="es-CR" w:eastAsia="es-ES"/>
    </w:rPr>
  </w:style>
  <w:style w:type="paragraph" w:customStyle="1" w:styleId="Textodebloque4">
    <w:name w:val="Texto de bloque4"/>
    <w:basedOn w:val="Normal"/>
    <w:uiPriority w:val="99"/>
    <w:qFormat/>
    <w:rsid w:val="00B15F7D"/>
    <w:pPr>
      <w:suppressAutoHyphens w:val="0"/>
      <w:autoSpaceDE w:val="0"/>
      <w:ind w:firstLine="709"/>
      <w:jc w:val="both"/>
    </w:pPr>
    <w:rPr>
      <w:rFonts w:ascii="Century" w:eastAsia="Calibri" w:hAnsi="Century" w:cs="Calibri"/>
      <w:color w:val="000000"/>
      <w:u w:val="single"/>
      <w:lang w:val="es-CR" w:eastAsia="es-ES"/>
    </w:rPr>
  </w:style>
  <w:style w:type="paragraph" w:customStyle="1" w:styleId="Sinespaciado4">
    <w:name w:val="Sin espaciado4"/>
    <w:basedOn w:val="Normal"/>
    <w:uiPriority w:val="99"/>
    <w:qFormat/>
    <w:rsid w:val="00B15F7D"/>
    <w:pPr>
      <w:suppressAutoHyphens w:val="0"/>
    </w:pPr>
    <w:rPr>
      <w:rFonts w:ascii="Calibri" w:eastAsia="Calibri" w:hAnsi="Calibri" w:cs="Calibri"/>
      <w:sz w:val="22"/>
      <w:szCs w:val="22"/>
      <w:lang w:val="es-CR" w:eastAsia="en-US"/>
    </w:rPr>
  </w:style>
  <w:style w:type="paragraph" w:customStyle="1" w:styleId="Normal4">
    <w:name w:val="Normal4"/>
    <w:basedOn w:val="Normal"/>
    <w:uiPriority w:val="99"/>
    <w:qFormat/>
    <w:rsid w:val="00B15F7D"/>
    <w:pPr>
      <w:suppressAutoHyphens w:val="0"/>
      <w:spacing w:line="276" w:lineRule="auto"/>
    </w:pPr>
    <w:rPr>
      <w:rFonts w:ascii="Arial" w:eastAsia="Calibri" w:hAnsi="Arial" w:cs="Arial"/>
      <w:color w:val="000000"/>
      <w:sz w:val="22"/>
      <w:szCs w:val="22"/>
      <w:lang w:val="es-CR" w:eastAsia="es-ES"/>
    </w:rPr>
  </w:style>
  <w:style w:type="paragraph" w:customStyle="1" w:styleId="Textoindependiente1">
    <w:name w:val="Texto independiente1"/>
    <w:basedOn w:val="Normal"/>
    <w:uiPriority w:val="99"/>
    <w:qFormat/>
    <w:rsid w:val="00B15F7D"/>
    <w:pPr>
      <w:suppressAutoHyphens w:val="0"/>
    </w:pPr>
    <w:rPr>
      <w:rFonts w:eastAsia="Calibri"/>
      <w:color w:val="00000A"/>
      <w:lang w:val="es-CR" w:eastAsia="es-CR"/>
    </w:rPr>
  </w:style>
  <w:style w:type="paragraph" w:customStyle="1" w:styleId="Textopreformateado0">
    <w:name w:val="Texto preformateado"/>
    <w:basedOn w:val="Normal"/>
    <w:qFormat/>
    <w:rsid w:val="00B15F7D"/>
    <w:pPr>
      <w:suppressAutoHyphens w:val="0"/>
      <w:autoSpaceDE w:val="0"/>
      <w:autoSpaceDN w:val="0"/>
    </w:pPr>
    <w:rPr>
      <w:rFonts w:ascii="Courier New" w:eastAsia="Calibri" w:hAnsi="Courier New" w:cs="Courier New"/>
      <w:color w:val="000000"/>
      <w:sz w:val="20"/>
      <w:szCs w:val="20"/>
      <w:lang w:val="es-CR" w:eastAsia="es-ES"/>
    </w:rPr>
  </w:style>
  <w:style w:type="paragraph" w:customStyle="1" w:styleId="Estilorecomendaciones">
    <w:name w:val="Estilo recomendaciones"/>
    <w:basedOn w:val="Normal"/>
    <w:uiPriority w:val="99"/>
    <w:qFormat/>
    <w:rsid w:val="00B15F7D"/>
    <w:pPr>
      <w:suppressAutoHyphens w:val="0"/>
      <w:autoSpaceDE w:val="0"/>
      <w:autoSpaceDN w:val="0"/>
      <w:jc w:val="both"/>
    </w:pPr>
    <w:rPr>
      <w:rFonts w:ascii="Arial" w:eastAsia="Calibri" w:hAnsi="Arial" w:cs="Arial"/>
      <w:sz w:val="23"/>
      <w:szCs w:val="23"/>
      <w:lang w:val="es-CR" w:eastAsia="en-US"/>
    </w:rPr>
  </w:style>
  <w:style w:type="paragraph" w:customStyle="1" w:styleId="Prrafobsico">
    <w:name w:val="[Párrafo básico]"/>
    <w:basedOn w:val="Normal"/>
    <w:uiPriority w:val="99"/>
    <w:qFormat/>
    <w:rsid w:val="00B15F7D"/>
    <w:pPr>
      <w:suppressAutoHyphens w:val="0"/>
      <w:autoSpaceDE w:val="0"/>
      <w:autoSpaceDN w:val="0"/>
      <w:spacing w:line="288" w:lineRule="auto"/>
    </w:pPr>
    <w:rPr>
      <w:rFonts w:ascii="Times" w:eastAsia="Calibri" w:hAnsi="Times"/>
      <w:color w:val="000000"/>
      <w:lang w:val="es-CR" w:eastAsia="en-US"/>
    </w:rPr>
  </w:style>
  <w:style w:type="paragraph" w:customStyle="1" w:styleId="ListParagraph0">
    <w:name w:val="ListParagraph"/>
    <w:basedOn w:val="Normal"/>
    <w:uiPriority w:val="99"/>
    <w:qFormat/>
    <w:rsid w:val="00B15F7D"/>
    <w:pPr>
      <w:tabs>
        <w:tab w:val="num" w:pos="1571"/>
      </w:tabs>
      <w:suppressAutoHyphens w:val="0"/>
      <w:autoSpaceDE w:val="0"/>
      <w:autoSpaceDN w:val="0"/>
      <w:spacing w:line="276" w:lineRule="auto"/>
      <w:ind w:left="708"/>
    </w:pPr>
    <w:rPr>
      <w:rFonts w:ascii="Verdana" w:eastAsia="Calibri" w:hAnsi="Verdana" w:cs="Calibri"/>
      <w:lang w:val="es-CR" w:eastAsia="es-CR"/>
    </w:rPr>
  </w:style>
  <w:style w:type="paragraph" w:customStyle="1" w:styleId="PginaXdeY">
    <w:name w:val="Página X de Y"/>
    <w:basedOn w:val="Normal"/>
    <w:uiPriority w:val="99"/>
    <w:qFormat/>
    <w:rsid w:val="00B15F7D"/>
    <w:pPr>
      <w:suppressAutoHyphens w:val="0"/>
    </w:pPr>
    <w:rPr>
      <w:rFonts w:eastAsia="Calibri"/>
      <w:lang w:val="es-CR" w:eastAsia="es-ES"/>
    </w:rPr>
  </w:style>
  <w:style w:type="paragraph" w:customStyle="1" w:styleId="Notaalpie">
    <w:name w:val="Nota al pie"/>
    <w:basedOn w:val="Normal"/>
    <w:uiPriority w:val="99"/>
    <w:qFormat/>
    <w:rsid w:val="00B15F7D"/>
    <w:pPr>
      <w:suppressAutoHyphens w:val="0"/>
      <w:spacing w:line="276" w:lineRule="auto"/>
      <w:ind w:left="283" w:hanging="283"/>
    </w:pPr>
    <w:rPr>
      <w:rFonts w:eastAsia="Calibri"/>
      <w:sz w:val="20"/>
      <w:szCs w:val="20"/>
      <w:lang w:val="es-CR" w:eastAsia="es-ES"/>
    </w:rPr>
  </w:style>
  <w:style w:type="paragraph" w:customStyle="1" w:styleId="Car42">
    <w:name w:val="Car4"/>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CharChar5a">
    <w:name w:val="Char Char5"/>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extoindependiente26">
    <w:name w:val="Texto independiente 26"/>
    <w:basedOn w:val="Normal"/>
    <w:uiPriority w:val="99"/>
    <w:qFormat/>
    <w:rsid w:val="00B15F7D"/>
    <w:pPr>
      <w:suppressAutoHyphens w:val="0"/>
      <w:overflowPunct w:val="0"/>
      <w:autoSpaceDE w:val="0"/>
      <w:autoSpaceDN w:val="0"/>
      <w:jc w:val="both"/>
    </w:pPr>
    <w:rPr>
      <w:rFonts w:ascii="Arial" w:eastAsia="Calibri" w:hAnsi="Arial" w:cs="Arial"/>
      <w:i/>
      <w:iCs/>
      <w:lang w:val="es-CR" w:eastAsia="es-ES"/>
    </w:rPr>
  </w:style>
  <w:style w:type="paragraph" w:customStyle="1" w:styleId="CarCarCarCarCarCar2">
    <w:name w:val="Car Car Car Car Car Car2"/>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tulo56">
    <w:name w:val="Título 56"/>
    <w:basedOn w:val="Normal"/>
    <w:uiPriority w:val="99"/>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Prrafodelista10000">
    <w:name w:val="Párrafo de lista10000"/>
    <w:basedOn w:val="Normal"/>
    <w:uiPriority w:val="34"/>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itulos">
    <w:name w:val="titulos"/>
    <w:basedOn w:val="Normal"/>
    <w:uiPriority w:val="99"/>
    <w:qFormat/>
    <w:rsid w:val="00B15F7D"/>
    <w:pPr>
      <w:suppressAutoHyphens w:val="0"/>
      <w:spacing w:before="280" w:after="280"/>
    </w:pPr>
    <w:rPr>
      <w:rFonts w:ascii="Arial" w:eastAsia="Calibri" w:hAnsi="Arial" w:cs="Arial"/>
      <w:b/>
      <w:bCs/>
      <w:caps/>
      <w:color w:val="006563"/>
      <w:sz w:val="21"/>
      <w:szCs w:val="21"/>
      <w:lang w:val="es-CR" w:eastAsia="es-ES"/>
    </w:rPr>
  </w:style>
  <w:style w:type="paragraph" w:customStyle="1" w:styleId="Ttulo57">
    <w:name w:val="Título 57"/>
    <w:basedOn w:val="Normal"/>
    <w:uiPriority w:val="99"/>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CharCarCarChar">
    <w:name w:val="Char Car Car Char"/>
    <w:basedOn w:val="Normal"/>
    <w:uiPriority w:val="99"/>
    <w:qFormat/>
    <w:rsid w:val="00B15F7D"/>
    <w:pPr>
      <w:suppressAutoHyphens w:val="0"/>
      <w:spacing w:after="160" w:line="240" w:lineRule="exact"/>
    </w:pPr>
    <w:rPr>
      <w:rFonts w:eastAsia="Calibri"/>
      <w:lang w:val="es-CR" w:eastAsia="en-US"/>
    </w:rPr>
  </w:style>
  <w:style w:type="paragraph" w:customStyle="1" w:styleId="CharCarCarChar1">
    <w:name w:val="Char Car Car Char1"/>
    <w:basedOn w:val="Normal"/>
    <w:uiPriority w:val="99"/>
    <w:qFormat/>
    <w:rsid w:val="00B15F7D"/>
    <w:pPr>
      <w:suppressAutoHyphens w:val="0"/>
      <w:spacing w:after="160" w:line="240" w:lineRule="exact"/>
    </w:pPr>
    <w:rPr>
      <w:rFonts w:eastAsia="Calibri"/>
      <w:lang w:val="es-CR" w:eastAsia="en-US"/>
    </w:rPr>
  </w:style>
  <w:style w:type="paragraph" w:customStyle="1" w:styleId="xxmsonormal">
    <w:name w:val="x_xmsonormal"/>
    <w:basedOn w:val="Normal"/>
    <w:uiPriority w:val="99"/>
    <w:qFormat/>
    <w:rsid w:val="00B15F7D"/>
    <w:pPr>
      <w:suppressAutoHyphens w:val="0"/>
      <w:spacing w:before="100" w:beforeAutospacing="1" w:after="100" w:afterAutospacing="1"/>
    </w:pPr>
    <w:rPr>
      <w:rFonts w:eastAsia="Calibri"/>
      <w:lang w:val="es-CR" w:eastAsia="es-ES"/>
    </w:rPr>
  </w:style>
  <w:style w:type="paragraph" w:customStyle="1" w:styleId="Car7">
    <w:name w:val="Car7"/>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CarCarCarCarCarCarCarCarCarCar1">
    <w:name w:val="Car Car Car Car Car Car Car Car Car Car1"/>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Lista27">
    <w:name w:val="Lista 27"/>
    <w:basedOn w:val="Normal"/>
    <w:uiPriority w:val="99"/>
    <w:qFormat/>
    <w:rsid w:val="00B15F7D"/>
    <w:pPr>
      <w:suppressAutoHyphens w:val="0"/>
      <w:ind w:left="566" w:hanging="283"/>
    </w:pPr>
    <w:rPr>
      <w:rFonts w:eastAsia="Calibri"/>
      <w:lang w:val="es-CR" w:eastAsia="zh-CN"/>
    </w:rPr>
  </w:style>
  <w:style w:type="paragraph" w:customStyle="1" w:styleId="Ttulo13">
    <w:name w:val="Título 13"/>
    <w:basedOn w:val="Normal"/>
    <w:qFormat/>
    <w:rsid w:val="00B15F7D"/>
    <w:pPr>
      <w:suppressAutoHyphens w:val="0"/>
      <w:autoSpaceDE w:val="0"/>
    </w:pPr>
    <w:rPr>
      <w:rFonts w:eastAsia="Calibri"/>
      <w:lang w:val="es-CR" w:eastAsia="zh-CN"/>
    </w:rPr>
  </w:style>
  <w:style w:type="paragraph" w:customStyle="1" w:styleId="Ttulo24">
    <w:name w:val="Título 24"/>
    <w:basedOn w:val="Normal"/>
    <w:qFormat/>
    <w:rsid w:val="00B15F7D"/>
    <w:pPr>
      <w:suppressAutoHyphens w:val="0"/>
      <w:autoSpaceDE w:val="0"/>
    </w:pPr>
    <w:rPr>
      <w:rFonts w:eastAsia="Calibri"/>
      <w:lang w:val="es-CR" w:eastAsia="zh-CN"/>
    </w:rPr>
  </w:style>
  <w:style w:type="paragraph" w:customStyle="1" w:styleId="Ttulo35">
    <w:name w:val="Título 35"/>
    <w:basedOn w:val="Normal"/>
    <w:uiPriority w:val="99"/>
    <w:qFormat/>
    <w:rsid w:val="00B15F7D"/>
    <w:pPr>
      <w:suppressAutoHyphens w:val="0"/>
      <w:autoSpaceDE w:val="0"/>
    </w:pPr>
    <w:rPr>
      <w:rFonts w:eastAsia="Calibri"/>
      <w:lang w:val="es-CR" w:eastAsia="zh-CN"/>
    </w:rPr>
  </w:style>
  <w:style w:type="paragraph" w:customStyle="1" w:styleId="Ttulo44">
    <w:name w:val="Título 44"/>
    <w:basedOn w:val="Normal"/>
    <w:uiPriority w:val="99"/>
    <w:qFormat/>
    <w:rsid w:val="00B15F7D"/>
    <w:pPr>
      <w:suppressAutoHyphens w:val="0"/>
      <w:autoSpaceDE w:val="0"/>
    </w:pPr>
    <w:rPr>
      <w:rFonts w:eastAsia="Calibri"/>
      <w:lang w:val="es-CR" w:eastAsia="zh-CN"/>
    </w:rPr>
  </w:style>
  <w:style w:type="paragraph" w:customStyle="1" w:styleId="Ttulo58">
    <w:name w:val="Título 58"/>
    <w:basedOn w:val="Normal"/>
    <w:uiPriority w:val="99"/>
    <w:qFormat/>
    <w:rsid w:val="00B15F7D"/>
    <w:pPr>
      <w:suppressAutoHyphens w:val="0"/>
      <w:autoSpaceDE w:val="0"/>
    </w:pPr>
    <w:rPr>
      <w:rFonts w:eastAsia="Calibri"/>
      <w:lang w:val="es-CR" w:eastAsia="zh-CN"/>
    </w:rPr>
  </w:style>
  <w:style w:type="paragraph" w:customStyle="1" w:styleId="Ttulo63">
    <w:name w:val="Título 63"/>
    <w:basedOn w:val="Normal"/>
    <w:uiPriority w:val="99"/>
    <w:qFormat/>
    <w:rsid w:val="00B15F7D"/>
    <w:pPr>
      <w:suppressAutoHyphens w:val="0"/>
      <w:autoSpaceDE w:val="0"/>
    </w:pPr>
    <w:rPr>
      <w:rFonts w:eastAsia="Calibri"/>
      <w:lang w:val="es-CR" w:eastAsia="zh-CN"/>
    </w:rPr>
  </w:style>
  <w:style w:type="paragraph" w:customStyle="1" w:styleId="Ttulo73">
    <w:name w:val="Título 73"/>
    <w:basedOn w:val="Normal"/>
    <w:uiPriority w:val="99"/>
    <w:qFormat/>
    <w:rsid w:val="00B15F7D"/>
    <w:pPr>
      <w:suppressAutoHyphens w:val="0"/>
      <w:autoSpaceDE w:val="0"/>
    </w:pPr>
    <w:rPr>
      <w:rFonts w:eastAsia="Calibri"/>
      <w:lang w:val="es-CR" w:eastAsia="zh-CN"/>
    </w:rPr>
  </w:style>
  <w:style w:type="paragraph" w:customStyle="1" w:styleId="CharChar9">
    <w:name w:val="Char Char9"/>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poromisin0">
    <w:name w:val="poromisin"/>
    <w:basedOn w:val="Normal"/>
    <w:uiPriority w:val="99"/>
    <w:qFormat/>
    <w:rsid w:val="00B15F7D"/>
    <w:pPr>
      <w:suppressAutoHyphens w:val="0"/>
    </w:pPr>
    <w:rPr>
      <w:rFonts w:ascii="Helvetica" w:eastAsia="Calibri" w:hAnsi="Helvetica"/>
      <w:color w:val="000000"/>
      <w:sz w:val="22"/>
      <w:szCs w:val="22"/>
      <w:lang w:val="es-CR" w:eastAsia="zh-CN"/>
    </w:rPr>
  </w:style>
  <w:style w:type="paragraph" w:customStyle="1" w:styleId="CarCar19">
    <w:name w:val="Car Car19"/>
    <w:basedOn w:val="Normal"/>
    <w:uiPriority w:val="99"/>
    <w:qFormat/>
    <w:rsid w:val="00B15F7D"/>
    <w:pPr>
      <w:suppressAutoHyphens w:val="0"/>
      <w:spacing w:after="160" w:line="240" w:lineRule="exact"/>
    </w:pPr>
    <w:rPr>
      <w:rFonts w:ascii="Verdana" w:eastAsia="Calibri" w:hAnsi="Verdana" w:cs="Calibri"/>
      <w:lang w:val="es-CR" w:eastAsia="zh-CN"/>
    </w:rPr>
  </w:style>
  <w:style w:type="paragraph" w:customStyle="1" w:styleId="body10">
    <w:name w:val="body1"/>
    <w:basedOn w:val="Normal"/>
    <w:qFormat/>
    <w:rsid w:val="00B15F7D"/>
    <w:pPr>
      <w:suppressAutoHyphens w:val="0"/>
      <w:spacing w:before="100" w:after="100"/>
    </w:pPr>
    <w:rPr>
      <w:rFonts w:eastAsia="Calibri"/>
      <w:color w:val="000000"/>
      <w:lang w:val="es-CR" w:eastAsia="zh-CN"/>
    </w:rPr>
  </w:style>
  <w:style w:type="paragraph" w:customStyle="1" w:styleId="Prrafodelista13">
    <w:name w:val="Párrafo de lista13"/>
    <w:basedOn w:val="Normal"/>
    <w:qFormat/>
    <w:rsid w:val="00B15F7D"/>
    <w:pPr>
      <w:suppressAutoHyphens w:val="0"/>
      <w:spacing w:after="200" w:line="276" w:lineRule="auto"/>
      <w:ind w:left="720"/>
      <w:contextualSpacing/>
    </w:pPr>
    <w:rPr>
      <w:rFonts w:ascii="Calibri" w:eastAsia="Calibri" w:hAnsi="Calibri" w:cs="Calibri"/>
      <w:sz w:val="22"/>
      <w:szCs w:val="22"/>
      <w:lang w:val="es-CR" w:eastAsia="zh-CN"/>
    </w:rPr>
  </w:style>
  <w:style w:type="paragraph" w:customStyle="1" w:styleId="Informacindecontacto">
    <w:name w:val="Información de contacto"/>
    <w:basedOn w:val="Normal"/>
    <w:uiPriority w:val="99"/>
    <w:qFormat/>
    <w:rsid w:val="00B15F7D"/>
    <w:pPr>
      <w:suppressAutoHyphens w:val="0"/>
      <w:spacing w:line="300" w:lineRule="auto"/>
    </w:pPr>
    <w:rPr>
      <w:rFonts w:ascii="Georgia" w:eastAsia="Calibri" w:hAnsi="Georgia" w:cs="Calibri"/>
      <w:color w:val="404040"/>
      <w:lang w:val="es-CR" w:eastAsia="ja-JP"/>
    </w:rPr>
  </w:style>
  <w:style w:type="paragraph" w:customStyle="1" w:styleId="msobodytextcxspmiddle">
    <w:name w:val="msobodytextcxspmiddle"/>
    <w:basedOn w:val="Normal"/>
    <w:uiPriority w:val="99"/>
    <w:qFormat/>
    <w:rsid w:val="00B15F7D"/>
    <w:pPr>
      <w:suppressAutoHyphens w:val="0"/>
      <w:spacing w:before="100" w:after="100"/>
    </w:pPr>
    <w:rPr>
      <w:rFonts w:eastAsia="Calibri"/>
      <w:color w:val="000000"/>
      <w:lang w:val="es-CR" w:eastAsia="zh-CN"/>
    </w:rPr>
  </w:style>
  <w:style w:type="paragraph" w:customStyle="1" w:styleId="msobodytextcxsplast">
    <w:name w:val="msobodytextcxsplast"/>
    <w:basedOn w:val="Normal"/>
    <w:uiPriority w:val="99"/>
    <w:qFormat/>
    <w:rsid w:val="00B15F7D"/>
    <w:pPr>
      <w:suppressAutoHyphens w:val="0"/>
      <w:spacing w:before="100" w:after="100"/>
    </w:pPr>
    <w:rPr>
      <w:rFonts w:eastAsia="Calibri"/>
      <w:color w:val="000000"/>
      <w:lang w:val="es-CR" w:eastAsia="zh-CN"/>
    </w:rPr>
  </w:style>
  <w:style w:type="paragraph" w:customStyle="1" w:styleId="ttulo510">
    <w:name w:val="ttulo51"/>
    <w:basedOn w:val="Normal"/>
    <w:uiPriority w:val="99"/>
    <w:qFormat/>
    <w:rsid w:val="00B15F7D"/>
    <w:pPr>
      <w:suppressAutoHyphens w:val="0"/>
      <w:spacing w:before="100" w:after="100"/>
    </w:pPr>
    <w:rPr>
      <w:rFonts w:eastAsia="Calibri"/>
      <w:color w:val="000000"/>
      <w:lang w:val="es-CR" w:eastAsia="zh-CN"/>
    </w:rPr>
  </w:style>
  <w:style w:type="paragraph" w:customStyle="1" w:styleId="Sinespaciado5">
    <w:name w:val="Sin espaciado5"/>
    <w:basedOn w:val="Normal"/>
    <w:uiPriority w:val="99"/>
    <w:qFormat/>
    <w:rsid w:val="00B15F7D"/>
    <w:pPr>
      <w:suppressAutoHyphens w:val="0"/>
    </w:pPr>
    <w:rPr>
      <w:rFonts w:ascii="Calibri" w:eastAsia="Calibri" w:hAnsi="Calibri" w:cs="Calibri"/>
      <w:sz w:val="22"/>
      <w:szCs w:val="22"/>
      <w:lang w:val="es-CR" w:eastAsia="zh-CN"/>
    </w:rPr>
  </w:style>
  <w:style w:type="paragraph" w:customStyle="1" w:styleId="Normalprueba">
    <w:name w:val="Normal.prueba"/>
    <w:basedOn w:val="Normal"/>
    <w:uiPriority w:val="99"/>
    <w:qFormat/>
    <w:rsid w:val="00B15F7D"/>
    <w:pPr>
      <w:suppressAutoHyphens w:val="0"/>
    </w:pPr>
    <w:rPr>
      <w:rFonts w:ascii="Arial" w:eastAsia="Calibri" w:hAnsi="Arial" w:cs="Arial"/>
      <w:color w:val="000000"/>
      <w:lang w:val="es-CR" w:eastAsia="hi-IN"/>
    </w:rPr>
  </w:style>
  <w:style w:type="paragraph" w:customStyle="1" w:styleId="CharChar8">
    <w:name w:val="Char Char8"/>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CarCar16">
    <w:name w:val="Car Car16"/>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Prrafodelista14">
    <w:name w:val="Párrafo de lista14"/>
    <w:basedOn w:val="Normal"/>
    <w:qFormat/>
    <w:rsid w:val="00B15F7D"/>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CarCarCarCarCarCarCarCarCarCarCarCarCarCar1">
    <w:name w:val="Car Car Car Car Car Car Car Car Car Car Car Car Car Car1"/>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mce">
    <w:name w:val="mce"/>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Prrafodelista15">
    <w:name w:val="Párrafo de lista15"/>
    <w:basedOn w:val="Normal"/>
    <w:qFormat/>
    <w:rsid w:val="00B15F7D"/>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gmail-msonormal">
    <w:name w:val="gmail-msonormal"/>
    <w:basedOn w:val="Normal"/>
    <w:uiPriority w:val="99"/>
    <w:qFormat/>
    <w:rsid w:val="00B15F7D"/>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font7">
    <w:name w:val="font7"/>
    <w:basedOn w:val="Normal"/>
    <w:uiPriority w:val="99"/>
    <w:qFormat/>
    <w:rsid w:val="00B15F7D"/>
    <w:pPr>
      <w:suppressAutoHyphens w:val="0"/>
      <w:spacing w:before="100" w:beforeAutospacing="1" w:after="100" w:afterAutospacing="1"/>
    </w:pPr>
    <w:rPr>
      <w:rFonts w:ascii="Tahoma" w:eastAsia="Calibri" w:hAnsi="Tahoma" w:cs="Tahoma"/>
      <w:color w:val="000000"/>
      <w:sz w:val="18"/>
      <w:szCs w:val="18"/>
      <w:lang w:val="es-CR" w:eastAsia="es-CR"/>
    </w:rPr>
  </w:style>
  <w:style w:type="paragraph" w:customStyle="1" w:styleId="font8">
    <w:name w:val="font8"/>
    <w:basedOn w:val="Normal"/>
    <w:uiPriority w:val="99"/>
    <w:qFormat/>
    <w:rsid w:val="00B15F7D"/>
    <w:pPr>
      <w:suppressAutoHyphens w:val="0"/>
      <w:spacing w:before="100" w:beforeAutospacing="1" w:after="100" w:afterAutospacing="1"/>
    </w:pPr>
    <w:rPr>
      <w:rFonts w:ascii="Tahoma" w:eastAsia="Calibri" w:hAnsi="Tahoma" w:cs="Tahoma"/>
      <w:b/>
      <w:bCs/>
      <w:color w:val="000000"/>
      <w:sz w:val="18"/>
      <w:szCs w:val="18"/>
      <w:lang w:val="es-CR" w:eastAsia="es-CR"/>
    </w:rPr>
  </w:style>
  <w:style w:type="paragraph" w:customStyle="1" w:styleId="xl120">
    <w:name w:val="xl120"/>
    <w:basedOn w:val="Normal"/>
    <w:uiPriority w:val="99"/>
    <w:qFormat/>
    <w:rsid w:val="00B15F7D"/>
    <w:pPr>
      <w:shd w:val="clear" w:color="auto" w:fill="C5D9F1"/>
      <w:suppressAutoHyphens w:val="0"/>
      <w:spacing w:before="100" w:beforeAutospacing="1" w:after="100" w:afterAutospacing="1"/>
      <w:jc w:val="center"/>
    </w:pPr>
    <w:rPr>
      <w:rFonts w:ascii="Cambria" w:eastAsia="Calibri" w:hAnsi="Cambria" w:cs="Calibri"/>
      <w:b/>
      <w:bCs/>
      <w:sz w:val="26"/>
      <w:szCs w:val="26"/>
      <w:lang w:val="es-CR" w:eastAsia="es-CR"/>
    </w:rPr>
  </w:style>
  <w:style w:type="paragraph" w:customStyle="1" w:styleId="Ttulo59">
    <w:name w:val="Título 59"/>
    <w:basedOn w:val="Normal"/>
    <w:uiPriority w:val="99"/>
    <w:qFormat/>
    <w:rsid w:val="00B15F7D"/>
    <w:pPr>
      <w:keepNext/>
      <w:shd w:val="clear" w:color="auto" w:fill="FFFFFF"/>
      <w:suppressAutoHyphens w:val="0"/>
      <w:jc w:val="center"/>
    </w:pPr>
    <w:rPr>
      <w:rFonts w:eastAsia="Calibri"/>
      <w:b/>
      <w:bCs/>
      <w:i/>
      <w:iCs/>
      <w:sz w:val="26"/>
      <w:szCs w:val="26"/>
      <w:u w:val="single"/>
      <w:lang w:val="es-CR" w:eastAsia="zh-CN"/>
    </w:rPr>
  </w:style>
  <w:style w:type="paragraph" w:customStyle="1" w:styleId="Car14">
    <w:name w:val="Car14"/>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tulo5100">
    <w:name w:val="Título 510"/>
    <w:basedOn w:val="Normal"/>
    <w:uiPriority w:val="99"/>
    <w:qFormat/>
    <w:rsid w:val="00B15F7D"/>
    <w:pPr>
      <w:keepNext/>
      <w:shd w:val="clear" w:color="auto" w:fill="FFFFFF"/>
      <w:suppressAutoHyphens w:val="0"/>
      <w:jc w:val="center"/>
    </w:pPr>
    <w:rPr>
      <w:rFonts w:eastAsia="Calibri"/>
      <w:b/>
      <w:bCs/>
      <w:i/>
      <w:iCs/>
      <w:sz w:val="26"/>
      <w:szCs w:val="26"/>
      <w:u w:val="single"/>
      <w:lang w:val="es-CR" w:eastAsia="es-CR"/>
    </w:rPr>
  </w:style>
  <w:style w:type="paragraph" w:customStyle="1" w:styleId="yiv33492148msolistparagraph">
    <w:name w:val="yiv33492148msolistparagraph"/>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xlistparagraph">
    <w:name w:val="x_listparagraph"/>
    <w:basedOn w:val="Normal"/>
    <w:uiPriority w:val="99"/>
    <w:qFormat/>
    <w:rsid w:val="00B15F7D"/>
    <w:pPr>
      <w:suppressAutoHyphens w:val="0"/>
      <w:spacing w:before="100" w:beforeAutospacing="1" w:after="100" w:afterAutospacing="1"/>
    </w:pPr>
    <w:rPr>
      <w:rFonts w:eastAsia="Calibri"/>
      <w:lang w:val="es-CR" w:eastAsia="es-ES"/>
    </w:rPr>
  </w:style>
  <w:style w:type="paragraph" w:customStyle="1" w:styleId="xyiv33492148default">
    <w:name w:val="x_yiv33492148default"/>
    <w:basedOn w:val="Normal"/>
    <w:uiPriority w:val="99"/>
    <w:qFormat/>
    <w:rsid w:val="00B15F7D"/>
    <w:pPr>
      <w:suppressAutoHyphens w:val="0"/>
      <w:spacing w:before="100" w:beforeAutospacing="1" w:after="100" w:afterAutospacing="1"/>
    </w:pPr>
    <w:rPr>
      <w:rFonts w:eastAsia="Calibri"/>
      <w:lang w:val="es-CR" w:eastAsia="es-ES"/>
    </w:rPr>
  </w:style>
  <w:style w:type="paragraph" w:customStyle="1" w:styleId="Car13">
    <w:name w:val="Car13"/>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xplaintext">
    <w:name w:val="x_plaintext"/>
    <w:basedOn w:val="Normal"/>
    <w:uiPriority w:val="99"/>
    <w:semiHidden/>
    <w:qFormat/>
    <w:rsid w:val="00B15F7D"/>
    <w:pPr>
      <w:suppressAutoHyphens w:val="0"/>
      <w:spacing w:before="100" w:beforeAutospacing="1" w:after="100" w:afterAutospacing="1"/>
    </w:pPr>
    <w:rPr>
      <w:rFonts w:eastAsia="Calibri"/>
      <w:lang w:val="es-CR" w:eastAsia="es-ES"/>
    </w:rPr>
  </w:style>
  <w:style w:type="paragraph" w:customStyle="1" w:styleId="ARIAL1">
    <w:name w:val="ARIAL"/>
    <w:basedOn w:val="Normal"/>
    <w:uiPriority w:val="99"/>
    <w:qFormat/>
    <w:rsid w:val="00B15F7D"/>
    <w:pPr>
      <w:suppressAutoHyphens w:val="0"/>
    </w:pPr>
    <w:rPr>
      <w:rFonts w:ascii="Calibri" w:eastAsia="Calibri" w:hAnsi="Calibri" w:cs="Calibri"/>
      <w:color w:val="000000"/>
      <w:sz w:val="22"/>
      <w:szCs w:val="22"/>
      <w:lang w:val="es-CR" w:eastAsia="es-CR"/>
    </w:rPr>
  </w:style>
  <w:style w:type="paragraph" w:customStyle="1" w:styleId="Infodocumentosadjuntos">
    <w:name w:val="Info documentos adjuntos"/>
    <w:basedOn w:val="Normal"/>
    <w:uiPriority w:val="99"/>
    <w:qFormat/>
    <w:rsid w:val="00B15F7D"/>
    <w:pPr>
      <w:suppressAutoHyphens w:val="0"/>
    </w:pPr>
    <w:rPr>
      <w:rFonts w:eastAsia="Calibri"/>
      <w:lang w:val="es-CR" w:eastAsia="es-ES"/>
    </w:rPr>
  </w:style>
  <w:style w:type="paragraph" w:customStyle="1" w:styleId="ydp17c9ec1cmsonormal">
    <w:name w:val="ydp17c9ec1cmsonormal"/>
    <w:basedOn w:val="Normal"/>
    <w:uiPriority w:val="99"/>
    <w:semiHidden/>
    <w:qFormat/>
    <w:rsid w:val="00B15F7D"/>
    <w:pPr>
      <w:suppressAutoHyphens w:val="0"/>
      <w:spacing w:before="100" w:beforeAutospacing="1" w:after="100" w:afterAutospacing="1"/>
    </w:pPr>
    <w:rPr>
      <w:rFonts w:eastAsia="Calibri"/>
      <w:lang w:val="es-CR" w:eastAsia="es-CR"/>
    </w:rPr>
  </w:style>
  <w:style w:type="paragraph" w:customStyle="1" w:styleId="TableParagraph">
    <w:name w:val="Table Paragraph"/>
    <w:basedOn w:val="Normal"/>
    <w:uiPriority w:val="1"/>
    <w:qFormat/>
    <w:rsid w:val="00B15F7D"/>
    <w:pPr>
      <w:suppressAutoHyphens w:val="0"/>
    </w:pPr>
    <w:rPr>
      <w:rFonts w:ascii="Calibri" w:eastAsia="Calibri" w:hAnsi="Calibri" w:cs="Calibri"/>
      <w:sz w:val="22"/>
      <w:szCs w:val="22"/>
      <w:lang w:val="es-CR" w:eastAsia="en-US"/>
    </w:rPr>
  </w:style>
  <w:style w:type="paragraph" w:customStyle="1" w:styleId="DefaultParagraphFontParaCharCharCharCharCharCharCharCharCharCharCharCharChar">
    <w:name w:val="Default Paragraph Font Para Char Char Char Char Char Char Char Char Char Char Char Char Char"/>
    <w:basedOn w:val="Normal"/>
    <w:uiPriority w:val="99"/>
    <w:qFormat/>
    <w:rsid w:val="00B15F7D"/>
    <w:pPr>
      <w:suppressAutoHyphens w:val="0"/>
      <w:spacing w:after="160" w:line="240" w:lineRule="exact"/>
    </w:pPr>
    <w:rPr>
      <w:rFonts w:ascii="Verdana" w:eastAsia="Calibri" w:hAnsi="Verdana" w:cs="Calibri"/>
      <w:lang w:val="es-CR" w:eastAsia="en-US"/>
    </w:rPr>
  </w:style>
  <w:style w:type="paragraph" w:customStyle="1" w:styleId="xdefault">
    <w:name w:val="x_default"/>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Ttulo511">
    <w:name w:val="Título 511"/>
    <w:basedOn w:val="Normal"/>
    <w:uiPriority w:val="99"/>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preformattedtext">
    <w:name w:val="preformattedtext"/>
    <w:basedOn w:val="Normal"/>
    <w:uiPriority w:val="99"/>
    <w:qFormat/>
    <w:rsid w:val="00B15F7D"/>
    <w:pPr>
      <w:suppressAutoHyphens w:val="0"/>
      <w:autoSpaceDE w:val="0"/>
      <w:autoSpaceDN w:val="0"/>
    </w:pPr>
    <w:rPr>
      <w:rFonts w:ascii="Courier New" w:eastAsia="Calibri" w:hAnsi="Courier New" w:cs="Courier New"/>
      <w:lang w:val="es-CR" w:eastAsia="es-ES"/>
    </w:rPr>
  </w:style>
  <w:style w:type="paragraph" w:customStyle="1" w:styleId="cont">
    <w:name w:val="cont"/>
    <w:basedOn w:val="Normal"/>
    <w:uiPriority w:val="99"/>
    <w:qFormat/>
    <w:rsid w:val="00B15F7D"/>
    <w:pPr>
      <w:suppressAutoHyphens w:val="0"/>
      <w:spacing w:before="100" w:beforeAutospacing="1" w:after="100" w:afterAutospacing="1"/>
    </w:pPr>
    <w:rPr>
      <w:rFonts w:eastAsia="Calibri"/>
      <w:color w:val="000000"/>
      <w:lang w:val="es-CR" w:eastAsia="es-ES"/>
    </w:rPr>
  </w:style>
  <w:style w:type="paragraph" w:customStyle="1" w:styleId="listparagraphcxspmiddle">
    <w:name w:val="listparagraphcxspmiddle"/>
    <w:basedOn w:val="Normal"/>
    <w:uiPriority w:val="99"/>
    <w:qFormat/>
    <w:rsid w:val="00B15F7D"/>
    <w:pPr>
      <w:suppressAutoHyphens w:val="0"/>
      <w:spacing w:before="100" w:after="100"/>
    </w:pPr>
    <w:rPr>
      <w:rFonts w:eastAsia="Calibri"/>
      <w:lang w:val="es-CR" w:eastAsia="es-ES"/>
    </w:rPr>
  </w:style>
  <w:style w:type="paragraph" w:customStyle="1" w:styleId="listparagraphcxsplast">
    <w:name w:val="listparagraphcxsplast"/>
    <w:basedOn w:val="Normal"/>
    <w:uiPriority w:val="99"/>
    <w:qFormat/>
    <w:rsid w:val="00B15F7D"/>
    <w:pPr>
      <w:suppressAutoHyphens w:val="0"/>
      <w:spacing w:before="100" w:after="100"/>
    </w:pPr>
    <w:rPr>
      <w:rFonts w:eastAsia="Calibri"/>
      <w:lang w:val="es-CR" w:eastAsia="es-ES"/>
    </w:rPr>
  </w:style>
  <w:style w:type="paragraph" w:customStyle="1" w:styleId="Ttulo512">
    <w:name w:val="Título 512"/>
    <w:basedOn w:val="Normal"/>
    <w:uiPriority w:val="99"/>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xxmsonormal0">
    <w:name w:val="x_x_msonormal"/>
    <w:basedOn w:val="Normal"/>
    <w:uiPriority w:val="99"/>
    <w:qFormat/>
    <w:rsid w:val="00B15F7D"/>
    <w:pPr>
      <w:suppressAutoHyphens w:val="0"/>
    </w:pPr>
    <w:rPr>
      <w:rFonts w:eastAsia="Calibri"/>
      <w:lang w:val="es-CR" w:eastAsia="es-CR"/>
    </w:rPr>
  </w:style>
  <w:style w:type="paragraph" w:customStyle="1" w:styleId="xxmsobodytext">
    <w:name w:val="x_x_msobodytext"/>
    <w:basedOn w:val="Normal"/>
    <w:uiPriority w:val="99"/>
    <w:qFormat/>
    <w:rsid w:val="00B15F7D"/>
    <w:pPr>
      <w:suppressAutoHyphens w:val="0"/>
    </w:pPr>
    <w:rPr>
      <w:rFonts w:eastAsia="Calibri"/>
      <w:lang w:val="es-CR" w:eastAsia="es-CR"/>
    </w:rPr>
  </w:style>
  <w:style w:type="paragraph" w:customStyle="1" w:styleId="Encabezamiento">
    <w:name w:val="Encabezamiento"/>
    <w:basedOn w:val="Normal"/>
    <w:uiPriority w:val="99"/>
    <w:qFormat/>
    <w:rsid w:val="00B15F7D"/>
    <w:pPr>
      <w:suppressAutoHyphens w:val="0"/>
      <w:overflowPunct w:val="0"/>
    </w:pPr>
    <w:rPr>
      <w:rFonts w:ascii="Calibri" w:eastAsia="Calibri" w:hAnsi="Calibri" w:cs="Calibri"/>
      <w:color w:val="00000A"/>
      <w:sz w:val="22"/>
      <w:szCs w:val="22"/>
      <w:lang w:val="es-CR" w:eastAsia="en-US"/>
    </w:rPr>
  </w:style>
  <w:style w:type="paragraph" w:customStyle="1" w:styleId="m-5189513177746464322xxmsoheading7">
    <w:name w:val="m_-5189513177746464322x_x_msoheading7"/>
    <w:basedOn w:val="Normal"/>
    <w:uiPriority w:val="99"/>
    <w:qFormat/>
    <w:rsid w:val="00B15F7D"/>
    <w:pPr>
      <w:suppressAutoHyphens w:val="0"/>
      <w:overflowPunct w:val="0"/>
      <w:spacing w:before="280" w:after="280"/>
    </w:pPr>
    <w:rPr>
      <w:rFonts w:eastAsia="Calibri"/>
      <w:color w:val="00000A"/>
      <w:lang w:val="es-CR" w:eastAsia="es-ES"/>
    </w:rPr>
  </w:style>
  <w:style w:type="paragraph" w:customStyle="1" w:styleId="element">
    <w:name w:val="element"/>
    <w:basedOn w:val="Normal"/>
    <w:uiPriority w:val="99"/>
    <w:qFormat/>
    <w:rsid w:val="00B15F7D"/>
    <w:pPr>
      <w:suppressAutoHyphens w:val="0"/>
      <w:spacing w:before="280" w:after="280"/>
    </w:pPr>
    <w:rPr>
      <w:rFonts w:eastAsia="Calibri"/>
      <w:lang w:val="es-CR" w:eastAsia="zh-CN"/>
    </w:rPr>
  </w:style>
  <w:style w:type="paragraph" w:customStyle="1" w:styleId="Style22">
    <w:name w:val="Style 22"/>
    <w:basedOn w:val="Normal"/>
    <w:uiPriority w:val="99"/>
    <w:qFormat/>
    <w:rsid w:val="00B15F7D"/>
    <w:pPr>
      <w:suppressAutoHyphens w:val="0"/>
      <w:autoSpaceDE w:val="0"/>
      <w:autoSpaceDN w:val="0"/>
    </w:pPr>
    <w:rPr>
      <w:rFonts w:eastAsia="Calibri"/>
      <w:lang w:val="es-CR" w:eastAsia="es-CR"/>
    </w:rPr>
  </w:style>
  <w:style w:type="paragraph" w:customStyle="1" w:styleId="Style211">
    <w:name w:val="Style 21"/>
    <w:basedOn w:val="Normal"/>
    <w:uiPriority w:val="99"/>
    <w:qFormat/>
    <w:rsid w:val="00B15F7D"/>
    <w:pPr>
      <w:suppressAutoHyphens w:val="0"/>
      <w:autoSpaceDE w:val="0"/>
      <w:autoSpaceDN w:val="0"/>
      <w:spacing w:before="288" w:line="360" w:lineRule="auto"/>
      <w:ind w:left="144" w:right="144" w:firstLine="504"/>
      <w:jc w:val="both"/>
    </w:pPr>
    <w:rPr>
      <w:rFonts w:eastAsia="Calibri"/>
      <w:b/>
      <w:bCs/>
      <w:sz w:val="26"/>
      <w:szCs w:val="26"/>
      <w:lang w:val="es-CR" w:eastAsia="es-CR"/>
    </w:rPr>
  </w:style>
  <w:style w:type="paragraph" w:customStyle="1" w:styleId="Style201">
    <w:name w:val="Style 20"/>
    <w:basedOn w:val="Normal"/>
    <w:uiPriority w:val="99"/>
    <w:qFormat/>
    <w:rsid w:val="00B15F7D"/>
    <w:pPr>
      <w:suppressAutoHyphens w:val="0"/>
      <w:autoSpaceDE w:val="0"/>
      <w:autoSpaceDN w:val="0"/>
      <w:spacing w:before="324"/>
      <w:ind w:left="144" w:right="144" w:firstLine="72"/>
      <w:jc w:val="both"/>
    </w:pPr>
    <w:rPr>
      <w:rFonts w:eastAsia="Calibri"/>
      <w:color w:val="000000"/>
      <w:sz w:val="26"/>
      <w:szCs w:val="26"/>
      <w:lang w:val="es-CR" w:eastAsia="es-CR"/>
    </w:rPr>
  </w:style>
  <w:style w:type="paragraph" w:customStyle="1" w:styleId="Style26">
    <w:name w:val="Style 26"/>
    <w:basedOn w:val="Normal"/>
    <w:uiPriority w:val="99"/>
    <w:qFormat/>
    <w:rsid w:val="00B15F7D"/>
    <w:pPr>
      <w:suppressAutoHyphens w:val="0"/>
      <w:autoSpaceDE w:val="0"/>
      <w:autoSpaceDN w:val="0"/>
      <w:spacing w:before="324" w:line="360" w:lineRule="auto"/>
      <w:ind w:left="144" w:right="144" w:firstLine="504"/>
      <w:jc w:val="both"/>
    </w:pPr>
    <w:rPr>
      <w:rFonts w:eastAsia="Calibri"/>
      <w:color w:val="000000"/>
      <w:sz w:val="26"/>
      <w:szCs w:val="26"/>
      <w:lang w:val="es-CR" w:eastAsia="es-CR"/>
    </w:rPr>
  </w:style>
  <w:style w:type="paragraph" w:customStyle="1" w:styleId="Style160">
    <w:name w:val="Style 16"/>
    <w:basedOn w:val="Normal"/>
    <w:uiPriority w:val="99"/>
    <w:qFormat/>
    <w:rsid w:val="00B15F7D"/>
    <w:pPr>
      <w:suppressAutoHyphens w:val="0"/>
      <w:autoSpaceDE w:val="0"/>
      <w:autoSpaceDN w:val="0"/>
      <w:spacing w:before="144"/>
      <w:ind w:left="1008" w:hanging="360"/>
    </w:pPr>
    <w:rPr>
      <w:rFonts w:eastAsia="Calibri"/>
      <w:sz w:val="26"/>
      <w:szCs w:val="26"/>
      <w:lang w:val="es-CR" w:eastAsia="es-CR"/>
    </w:rPr>
  </w:style>
  <w:style w:type="paragraph" w:customStyle="1" w:styleId="Ttulo26">
    <w:name w:val="Título 26"/>
    <w:basedOn w:val="Normal"/>
    <w:uiPriority w:val="99"/>
    <w:qFormat/>
    <w:rsid w:val="00B15F7D"/>
    <w:pPr>
      <w:keepNext/>
      <w:shd w:val="clear" w:color="auto" w:fill="FFFFFF"/>
      <w:suppressAutoHyphens w:val="0"/>
      <w:autoSpaceDE w:val="0"/>
      <w:spacing w:line="480" w:lineRule="auto"/>
      <w:ind w:left="360"/>
      <w:jc w:val="both"/>
    </w:pPr>
    <w:rPr>
      <w:rFonts w:ascii="Arial" w:eastAsia="Calibri" w:hAnsi="Arial" w:cs="Arial"/>
      <w:b/>
      <w:bCs/>
      <w:u w:val="single"/>
      <w:lang w:val="es-CR" w:eastAsia="es-CR"/>
    </w:rPr>
  </w:style>
  <w:style w:type="paragraph" w:customStyle="1" w:styleId="Sinespaciado6">
    <w:name w:val="Sin espaciado6"/>
    <w:basedOn w:val="Normal"/>
    <w:qFormat/>
    <w:rsid w:val="00B15F7D"/>
    <w:pPr>
      <w:suppressAutoHyphens w:val="0"/>
    </w:pPr>
    <w:rPr>
      <w:rFonts w:ascii="Calibri" w:eastAsia="Calibri" w:hAnsi="Calibri" w:cs="Calibri"/>
      <w:sz w:val="22"/>
      <w:szCs w:val="22"/>
      <w:lang w:val="es-CR" w:eastAsia="en-US"/>
    </w:rPr>
  </w:style>
  <w:style w:type="paragraph" w:customStyle="1" w:styleId="Ttulo513">
    <w:name w:val="Título 513"/>
    <w:basedOn w:val="Normal"/>
    <w:uiPriority w:val="99"/>
    <w:qFormat/>
    <w:rsid w:val="00B15F7D"/>
    <w:pPr>
      <w:keepNext/>
      <w:shd w:val="clear" w:color="auto" w:fill="FFFFFF"/>
      <w:suppressAutoHyphens w:val="0"/>
      <w:jc w:val="center"/>
    </w:pPr>
    <w:rPr>
      <w:rFonts w:eastAsia="Calibri"/>
      <w:b/>
      <w:bCs/>
      <w:i/>
      <w:iCs/>
      <w:sz w:val="26"/>
      <w:szCs w:val="26"/>
      <w:u w:val="single"/>
      <w:lang w:val="es-CR" w:eastAsia="zh-CN"/>
    </w:rPr>
  </w:style>
  <w:style w:type="paragraph" w:customStyle="1" w:styleId="Ttulo36">
    <w:name w:val="Título 36"/>
    <w:basedOn w:val="Normal"/>
    <w:uiPriority w:val="99"/>
    <w:qFormat/>
    <w:rsid w:val="00B15F7D"/>
    <w:pPr>
      <w:shd w:val="clear" w:color="auto" w:fill="FFFFFF"/>
      <w:suppressAutoHyphens w:val="0"/>
      <w:ind w:left="720" w:hanging="360"/>
    </w:pPr>
    <w:rPr>
      <w:rFonts w:eastAsia="Calibri"/>
      <w:u w:val="single"/>
      <w:lang w:val="es-CR" w:eastAsia="zh-CN"/>
    </w:rPr>
  </w:style>
  <w:style w:type="paragraph" w:customStyle="1" w:styleId="Textocomentario2">
    <w:name w:val="Texto comentario2"/>
    <w:basedOn w:val="Normal"/>
    <w:qFormat/>
    <w:rsid w:val="00B15F7D"/>
    <w:pPr>
      <w:suppressAutoHyphens w:val="0"/>
    </w:pPr>
    <w:rPr>
      <w:rFonts w:eastAsia="Calibri"/>
      <w:lang w:val="es-CR" w:eastAsia="zh-CN"/>
    </w:rPr>
  </w:style>
  <w:style w:type="paragraph" w:customStyle="1" w:styleId="Sangra2detindependiente5">
    <w:name w:val="Sangría 2 de t. independiente5"/>
    <w:basedOn w:val="Normal"/>
    <w:uiPriority w:val="99"/>
    <w:qFormat/>
    <w:rsid w:val="00B15F7D"/>
    <w:pPr>
      <w:suppressAutoHyphens w:val="0"/>
      <w:autoSpaceDE w:val="0"/>
      <w:spacing w:line="480" w:lineRule="auto"/>
      <w:ind w:firstLine="708"/>
      <w:jc w:val="both"/>
    </w:pPr>
    <w:rPr>
      <w:rFonts w:ascii="Arial" w:eastAsia="Calibri" w:hAnsi="Arial" w:cs="Arial"/>
      <w:u w:val="single"/>
      <w:lang w:val="es-CR" w:eastAsia="zh-CN"/>
    </w:rPr>
  </w:style>
  <w:style w:type="paragraph" w:customStyle="1" w:styleId="Textodebloque5">
    <w:name w:val="Texto de bloque5"/>
    <w:basedOn w:val="Normal"/>
    <w:uiPriority w:val="99"/>
    <w:qFormat/>
    <w:rsid w:val="00B15F7D"/>
    <w:pPr>
      <w:suppressAutoHyphens w:val="0"/>
      <w:autoSpaceDE w:val="0"/>
      <w:ind w:firstLine="709"/>
      <w:jc w:val="both"/>
    </w:pPr>
    <w:rPr>
      <w:rFonts w:ascii="Century" w:eastAsia="Calibri" w:hAnsi="Century" w:cs="Calibri"/>
      <w:color w:val="000000"/>
      <w:u w:val="single"/>
      <w:lang w:val="es-CR" w:eastAsia="zh-CN"/>
    </w:rPr>
  </w:style>
  <w:style w:type="paragraph" w:customStyle="1" w:styleId="Epgrafe4">
    <w:name w:val="Epígrafe4"/>
    <w:basedOn w:val="Normal"/>
    <w:qFormat/>
    <w:rsid w:val="00B15F7D"/>
    <w:pPr>
      <w:suppressAutoHyphens w:val="0"/>
      <w:autoSpaceDE w:val="0"/>
    </w:pPr>
    <w:rPr>
      <w:rFonts w:ascii="Arial" w:eastAsia="Calibri" w:hAnsi="Arial" w:cs="Arial"/>
      <w:b/>
      <w:bCs/>
      <w:color w:val="000000"/>
      <w:sz w:val="16"/>
      <w:szCs w:val="16"/>
      <w:lang w:val="es-CR" w:eastAsia="zh-CN"/>
    </w:rPr>
  </w:style>
  <w:style w:type="paragraph" w:customStyle="1" w:styleId="Cierre2">
    <w:name w:val="Cierre2"/>
    <w:basedOn w:val="Normal"/>
    <w:uiPriority w:val="99"/>
    <w:qFormat/>
    <w:rsid w:val="00B15F7D"/>
    <w:pPr>
      <w:suppressAutoHyphens w:val="0"/>
      <w:ind w:left="4252"/>
    </w:pPr>
    <w:rPr>
      <w:rFonts w:ascii="Century Schoolbook" w:eastAsia="Calibri" w:hAnsi="Century Schoolbook" w:cs="Calibri"/>
      <w:i/>
      <w:iCs/>
      <w:lang w:val="es-CR" w:eastAsia="zh-CN"/>
    </w:rPr>
  </w:style>
  <w:style w:type="paragraph" w:customStyle="1" w:styleId="xtrabajo2">
    <w:name w:val="x_trabajo2"/>
    <w:basedOn w:val="Normal"/>
    <w:uiPriority w:val="99"/>
    <w:qFormat/>
    <w:rsid w:val="00B15F7D"/>
    <w:pPr>
      <w:suppressAutoHyphens w:val="0"/>
    </w:pPr>
    <w:rPr>
      <w:rFonts w:ascii="Calibri" w:eastAsia="Calibri" w:hAnsi="Calibri" w:cs="Calibri"/>
      <w:sz w:val="22"/>
      <w:szCs w:val="22"/>
      <w:lang w:val="es-CR" w:eastAsia="zh-CN"/>
    </w:rPr>
  </w:style>
  <w:style w:type="paragraph" w:customStyle="1" w:styleId="Ttulodelatabla">
    <w:name w:val="Título de la tabla"/>
    <w:basedOn w:val="Normal"/>
    <w:uiPriority w:val="99"/>
    <w:qFormat/>
    <w:rsid w:val="00B15F7D"/>
    <w:pPr>
      <w:suppressAutoHyphens w:val="0"/>
      <w:jc w:val="center"/>
    </w:pPr>
    <w:rPr>
      <w:rFonts w:eastAsia="Calibri"/>
      <w:b/>
      <w:bCs/>
      <w:lang w:val="es-CR" w:eastAsia="zh-CN"/>
    </w:rPr>
  </w:style>
  <w:style w:type="paragraph" w:customStyle="1" w:styleId="Textodeglobo1">
    <w:name w:val="Texto de globo1"/>
    <w:basedOn w:val="Normal"/>
    <w:qFormat/>
    <w:rsid w:val="00B15F7D"/>
    <w:pPr>
      <w:suppressAutoHyphens w:val="0"/>
    </w:pPr>
    <w:rPr>
      <w:rFonts w:ascii="Segoe UI" w:eastAsia="Calibri" w:hAnsi="Segoe UI" w:cs="Segoe UI"/>
      <w:sz w:val="18"/>
      <w:szCs w:val="18"/>
      <w:lang w:val="es-CR" w:eastAsia="zh-CN"/>
    </w:rPr>
  </w:style>
  <w:style w:type="paragraph" w:customStyle="1" w:styleId="Epgrafe3">
    <w:name w:val="Epígrafe3"/>
    <w:basedOn w:val="Normal"/>
    <w:uiPriority w:val="99"/>
    <w:qFormat/>
    <w:rsid w:val="00B15F7D"/>
    <w:pPr>
      <w:suppressAutoHyphens w:val="0"/>
      <w:spacing w:before="120" w:after="120"/>
    </w:pPr>
    <w:rPr>
      <w:rFonts w:eastAsia="Calibri"/>
      <w:i/>
      <w:iCs/>
      <w:lang w:val="es-CR" w:eastAsia="zh-CN"/>
    </w:rPr>
  </w:style>
  <w:style w:type="paragraph" w:customStyle="1" w:styleId="WW-Encabezado11">
    <w:name w:val="WW-Encabezado 11"/>
    <w:basedOn w:val="Normal"/>
    <w:uiPriority w:val="99"/>
    <w:qFormat/>
    <w:rsid w:val="00B15F7D"/>
    <w:pPr>
      <w:keepNext/>
      <w:suppressAutoHyphens w:val="0"/>
      <w:spacing w:before="480" w:line="276" w:lineRule="auto"/>
    </w:pPr>
    <w:rPr>
      <w:rFonts w:ascii="Cambria" w:eastAsia="Calibri" w:hAnsi="Cambria" w:cs="Calibri"/>
      <w:b/>
      <w:bCs/>
      <w:color w:val="365F91"/>
      <w:sz w:val="28"/>
      <w:szCs w:val="28"/>
      <w:lang w:val="es-CR" w:eastAsia="zh-CN"/>
    </w:rPr>
  </w:style>
  <w:style w:type="paragraph" w:customStyle="1" w:styleId="Textodecampo">
    <w:name w:val="Texto de campo"/>
    <w:basedOn w:val="Normal"/>
    <w:uiPriority w:val="99"/>
    <w:qFormat/>
    <w:rsid w:val="00B15F7D"/>
    <w:pPr>
      <w:suppressAutoHyphens w:val="0"/>
      <w:spacing w:before="60" w:after="60"/>
    </w:pPr>
    <w:rPr>
      <w:rFonts w:ascii="Arial" w:eastAsia="Calibri" w:hAnsi="Arial" w:cs="Arial"/>
      <w:sz w:val="19"/>
      <w:szCs w:val="19"/>
      <w:lang w:val="es-CR" w:eastAsia="zh-CN"/>
    </w:rPr>
  </w:style>
  <w:style w:type="paragraph" w:customStyle="1" w:styleId="Etiquetadecampo">
    <w:name w:val="Etiqueta de campo"/>
    <w:basedOn w:val="Normal"/>
    <w:uiPriority w:val="99"/>
    <w:qFormat/>
    <w:rsid w:val="00B15F7D"/>
    <w:pPr>
      <w:suppressAutoHyphens w:val="0"/>
      <w:spacing w:before="60" w:after="60"/>
    </w:pPr>
    <w:rPr>
      <w:rFonts w:ascii="Arial" w:eastAsia="Calibri" w:hAnsi="Arial" w:cs="Arial"/>
      <w:b/>
      <w:bCs/>
      <w:sz w:val="19"/>
      <w:szCs w:val="19"/>
      <w:lang w:val="es-CR" w:eastAsia="zh-CN"/>
    </w:rPr>
  </w:style>
  <w:style w:type="paragraph" w:customStyle="1" w:styleId="xxxxmsonormal">
    <w:name w:val="x_x_x_xmsonormal"/>
    <w:basedOn w:val="Normal"/>
    <w:uiPriority w:val="99"/>
    <w:qFormat/>
    <w:rsid w:val="00B15F7D"/>
    <w:pPr>
      <w:suppressAutoHyphens w:val="0"/>
      <w:spacing w:before="280" w:after="280"/>
    </w:pPr>
    <w:rPr>
      <w:rFonts w:eastAsia="Calibri"/>
      <w:lang w:val="es-CR" w:eastAsia="zh-CN"/>
    </w:rPr>
  </w:style>
  <w:style w:type="paragraph" w:customStyle="1" w:styleId="Headings">
    <w:name w:val="Headings"/>
    <w:basedOn w:val="Normal"/>
    <w:uiPriority w:val="99"/>
    <w:qFormat/>
    <w:rsid w:val="00B15F7D"/>
    <w:pPr>
      <w:suppressAutoHyphens w:val="0"/>
      <w:spacing w:after="40"/>
    </w:pPr>
    <w:rPr>
      <w:rFonts w:ascii="Tahoma" w:eastAsia="Calibri" w:hAnsi="Tahoma" w:cs="Tahoma"/>
      <w:b/>
      <w:bCs/>
      <w:lang w:val="es-CR" w:eastAsia="zh-CN"/>
    </w:rPr>
  </w:style>
  <w:style w:type="paragraph" w:customStyle="1" w:styleId="xxxxdispositiva">
    <w:name w:val="x_x_x_x_dispositiva"/>
    <w:basedOn w:val="Normal"/>
    <w:uiPriority w:val="99"/>
    <w:qFormat/>
    <w:rsid w:val="00B15F7D"/>
    <w:pPr>
      <w:suppressAutoHyphens w:val="0"/>
      <w:spacing w:before="280" w:after="280"/>
    </w:pPr>
    <w:rPr>
      <w:rFonts w:eastAsia="Calibri"/>
      <w:lang w:val="es-CR" w:eastAsia="zh-CN"/>
    </w:rPr>
  </w:style>
  <w:style w:type="paragraph" w:customStyle="1" w:styleId="Cuerpodeltexto">
    <w:name w:val="Cuerpo del texto"/>
    <w:basedOn w:val="Normal"/>
    <w:qFormat/>
    <w:rsid w:val="00B15F7D"/>
    <w:pPr>
      <w:shd w:val="clear" w:color="auto" w:fill="FFFFFF"/>
      <w:suppressAutoHyphens w:val="0"/>
      <w:spacing w:before="60" w:after="120" w:line="216" w:lineRule="exact"/>
      <w:ind w:hanging="860"/>
      <w:jc w:val="both"/>
    </w:pPr>
    <w:rPr>
      <w:rFonts w:ascii="Microsoft Sans Serif" w:eastAsia="Calibri" w:hAnsi="Microsoft Sans Serif" w:cs="Microsoft Sans Serif"/>
      <w:sz w:val="17"/>
      <w:szCs w:val="17"/>
      <w:lang w:val="es-CR" w:eastAsia="zh-CN"/>
    </w:rPr>
  </w:style>
  <w:style w:type="paragraph" w:customStyle="1" w:styleId="Cuerpodeltexto2">
    <w:name w:val="Cuerpo del texto (2)"/>
    <w:basedOn w:val="Normal"/>
    <w:qFormat/>
    <w:rsid w:val="00B15F7D"/>
    <w:pPr>
      <w:shd w:val="clear" w:color="auto" w:fill="FFFFFF"/>
      <w:suppressAutoHyphens w:val="0"/>
      <w:spacing w:before="480" w:after="120" w:line="240" w:lineRule="atLeast"/>
      <w:ind w:hanging="860"/>
      <w:jc w:val="both"/>
    </w:pPr>
    <w:rPr>
      <w:rFonts w:ascii="Microsoft Sans Serif" w:eastAsia="Calibri" w:hAnsi="Microsoft Sans Serif" w:cs="Microsoft Sans Serif"/>
      <w:sz w:val="19"/>
      <w:szCs w:val="19"/>
      <w:lang w:val="es-CR" w:eastAsia="zh-CN"/>
    </w:rPr>
  </w:style>
  <w:style w:type="paragraph" w:customStyle="1" w:styleId="EmptyLayoutCell">
    <w:name w:val="EmptyLayoutCell"/>
    <w:basedOn w:val="Normal"/>
    <w:uiPriority w:val="99"/>
    <w:qFormat/>
    <w:rsid w:val="00B15F7D"/>
    <w:pPr>
      <w:suppressAutoHyphens w:val="0"/>
    </w:pPr>
    <w:rPr>
      <w:rFonts w:eastAsia="Calibri"/>
      <w:sz w:val="2"/>
      <w:szCs w:val="2"/>
      <w:lang w:val="es-CR" w:eastAsia="zh-CN"/>
    </w:rPr>
  </w:style>
  <w:style w:type="paragraph" w:customStyle="1" w:styleId="Listaconvietas3">
    <w:name w:val="Lista con viñetas3"/>
    <w:basedOn w:val="Normal"/>
    <w:uiPriority w:val="99"/>
    <w:qFormat/>
    <w:rsid w:val="00B15F7D"/>
    <w:pPr>
      <w:suppressAutoHyphens w:val="0"/>
      <w:ind w:left="1080" w:hanging="360"/>
    </w:pPr>
    <w:rPr>
      <w:rFonts w:ascii="Arial" w:eastAsia="Calibri" w:hAnsi="Arial" w:cs="Arial"/>
      <w:lang w:val="es-CR" w:eastAsia="zh-CN"/>
    </w:rPr>
  </w:style>
  <w:style w:type="paragraph" w:customStyle="1" w:styleId="Fecha3">
    <w:name w:val="Fecha3"/>
    <w:basedOn w:val="Normal"/>
    <w:uiPriority w:val="99"/>
    <w:qFormat/>
    <w:rsid w:val="00B15F7D"/>
    <w:pPr>
      <w:suppressAutoHyphens w:val="0"/>
    </w:pPr>
    <w:rPr>
      <w:rFonts w:ascii="Courier New" w:eastAsia="Calibri" w:hAnsi="Courier New" w:cs="Courier New"/>
      <w:lang w:val="es-CR" w:eastAsia="zh-CN"/>
    </w:rPr>
  </w:style>
  <w:style w:type="paragraph" w:customStyle="1" w:styleId="Negrita">
    <w:name w:val="Negrita"/>
    <w:basedOn w:val="Normal"/>
    <w:uiPriority w:val="99"/>
    <w:qFormat/>
    <w:rsid w:val="00B15F7D"/>
    <w:pPr>
      <w:suppressAutoHyphens w:val="0"/>
      <w:spacing w:before="120" w:after="120"/>
      <w:jc w:val="both"/>
    </w:pPr>
    <w:rPr>
      <w:rFonts w:ascii="Franklin Gothic Book" w:eastAsia="Calibri" w:hAnsi="Franklin Gothic Book" w:cs="Calibri"/>
      <w:b/>
      <w:bCs/>
      <w:sz w:val="22"/>
      <w:szCs w:val="22"/>
      <w:lang w:val="es-CR" w:eastAsia="zh-CN"/>
    </w:rPr>
  </w:style>
  <w:style w:type="paragraph" w:customStyle="1" w:styleId="Textoindependiente33">
    <w:name w:val="Texto independiente 33"/>
    <w:basedOn w:val="Normal"/>
    <w:uiPriority w:val="99"/>
    <w:qFormat/>
    <w:rsid w:val="00B15F7D"/>
    <w:pPr>
      <w:suppressAutoHyphens w:val="0"/>
      <w:jc w:val="both"/>
    </w:pPr>
    <w:rPr>
      <w:rFonts w:ascii="Arial" w:eastAsia="Calibri" w:hAnsi="Arial" w:cs="Arial"/>
      <w:lang w:val="es-CR" w:eastAsia="zh-CN"/>
    </w:rPr>
  </w:style>
  <w:style w:type="paragraph" w:customStyle="1" w:styleId="Sangra3detindependiente3">
    <w:name w:val="Sangría 3 de t. independiente3"/>
    <w:basedOn w:val="Normal"/>
    <w:uiPriority w:val="99"/>
    <w:qFormat/>
    <w:rsid w:val="00B15F7D"/>
    <w:pPr>
      <w:suppressAutoHyphens w:val="0"/>
      <w:spacing w:after="120"/>
      <w:ind w:left="283"/>
    </w:pPr>
    <w:rPr>
      <w:rFonts w:eastAsia="Calibri"/>
      <w:sz w:val="16"/>
      <w:szCs w:val="16"/>
      <w:lang w:val="es-CR" w:eastAsia="zh-CN"/>
    </w:rPr>
  </w:style>
  <w:style w:type="paragraph" w:customStyle="1" w:styleId="Textoindependienteprimerasangra20">
    <w:name w:val="Texto independiente primera sangría2"/>
    <w:basedOn w:val="Normal"/>
    <w:uiPriority w:val="99"/>
    <w:qFormat/>
    <w:rsid w:val="00B15F7D"/>
    <w:pPr>
      <w:suppressAutoHyphens w:val="0"/>
      <w:spacing w:after="120"/>
      <w:ind w:firstLine="210"/>
    </w:pPr>
    <w:rPr>
      <w:rFonts w:eastAsia="Calibri"/>
      <w:lang w:val="es-CR" w:eastAsia="zh-CN"/>
    </w:rPr>
  </w:style>
  <w:style w:type="paragraph" w:customStyle="1" w:styleId="Textoindependienteprimerasangra22">
    <w:name w:val="Texto independiente primera sangría 22"/>
    <w:basedOn w:val="Normal"/>
    <w:uiPriority w:val="99"/>
    <w:qFormat/>
    <w:rsid w:val="00B15F7D"/>
    <w:pPr>
      <w:suppressAutoHyphens w:val="0"/>
      <w:spacing w:after="120"/>
      <w:ind w:left="283" w:firstLine="210"/>
    </w:pPr>
    <w:rPr>
      <w:rFonts w:eastAsia="Calibri"/>
      <w:lang w:val="es-CR" w:eastAsia="zh-CN"/>
    </w:rPr>
  </w:style>
  <w:style w:type="paragraph" w:customStyle="1" w:styleId="Listaconnmeros2">
    <w:name w:val="Lista con números2"/>
    <w:basedOn w:val="Normal"/>
    <w:uiPriority w:val="99"/>
    <w:qFormat/>
    <w:rsid w:val="00B15F7D"/>
    <w:pPr>
      <w:suppressAutoHyphens w:val="0"/>
      <w:ind w:left="360" w:hanging="360"/>
    </w:pPr>
    <w:rPr>
      <w:rFonts w:eastAsia="Calibri"/>
      <w:lang w:val="es-CR" w:eastAsia="zh-CN"/>
    </w:rPr>
  </w:style>
  <w:style w:type="paragraph" w:customStyle="1" w:styleId="Continuarlista20">
    <w:name w:val="Continuar lista2"/>
    <w:basedOn w:val="Normal"/>
    <w:uiPriority w:val="99"/>
    <w:qFormat/>
    <w:rsid w:val="00B15F7D"/>
    <w:pPr>
      <w:suppressAutoHyphens w:val="0"/>
      <w:spacing w:after="120"/>
      <w:ind w:left="283"/>
    </w:pPr>
    <w:rPr>
      <w:rFonts w:eastAsia="Calibri"/>
      <w:lang w:val="es-CR" w:eastAsia="zh-CN"/>
    </w:rPr>
  </w:style>
  <w:style w:type="paragraph" w:customStyle="1" w:styleId="Listaconvietas22">
    <w:name w:val="Lista con viñetas 22"/>
    <w:basedOn w:val="Normal"/>
    <w:uiPriority w:val="99"/>
    <w:qFormat/>
    <w:rsid w:val="00B15F7D"/>
    <w:pPr>
      <w:suppressAutoHyphens w:val="0"/>
      <w:ind w:left="643" w:hanging="360"/>
    </w:pPr>
    <w:rPr>
      <w:rFonts w:eastAsia="Calibri"/>
      <w:lang w:val="es-CR" w:eastAsia="zh-CN"/>
    </w:rPr>
  </w:style>
  <w:style w:type="paragraph" w:customStyle="1" w:styleId="Continuarlista22">
    <w:name w:val="Continuar lista 22"/>
    <w:basedOn w:val="Normal"/>
    <w:uiPriority w:val="99"/>
    <w:qFormat/>
    <w:rsid w:val="00B15F7D"/>
    <w:pPr>
      <w:suppressAutoHyphens w:val="0"/>
      <w:spacing w:after="120"/>
      <w:ind w:left="566"/>
    </w:pPr>
    <w:rPr>
      <w:rFonts w:eastAsia="Calibri"/>
      <w:lang w:val="es-CR" w:eastAsia="zh-CN"/>
    </w:rPr>
  </w:style>
  <w:style w:type="paragraph" w:customStyle="1" w:styleId="estilo7">
    <w:name w:val="estilo7"/>
    <w:basedOn w:val="Normal"/>
    <w:uiPriority w:val="99"/>
    <w:qFormat/>
    <w:rsid w:val="00B15F7D"/>
    <w:pPr>
      <w:suppressAutoHyphens w:val="0"/>
      <w:spacing w:before="280" w:after="280"/>
    </w:pPr>
    <w:rPr>
      <w:rFonts w:eastAsia="Calibri"/>
      <w:i/>
      <w:iCs/>
      <w:sz w:val="21"/>
      <w:szCs w:val="21"/>
      <w:lang w:val="es-CR" w:eastAsia="zh-CN"/>
    </w:rPr>
  </w:style>
  <w:style w:type="paragraph" w:customStyle="1" w:styleId="h50">
    <w:name w:val="h5"/>
    <w:basedOn w:val="Normal"/>
    <w:uiPriority w:val="99"/>
    <w:qFormat/>
    <w:rsid w:val="00B15F7D"/>
    <w:pPr>
      <w:keepNext/>
      <w:suppressAutoHyphens w:val="0"/>
      <w:autoSpaceDE w:val="0"/>
      <w:spacing w:before="100" w:after="100"/>
    </w:pPr>
    <w:rPr>
      <w:rFonts w:ascii="Arial" w:eastAsia="Calibri" w:hAnsi="Arial" w:cs="Arial"/>
      <w:b/>
      <w:bCs/>
      <w:lang w:val="es-CR" w:eastAsia="zh-CN"/>
    </w:rPr>
  </w:style>
  <w:style w:type="paragraph" w:customStyle="1" w:styleId="sangra3detindependiente10">
    <w:name w:val="sangra3detindependiente1"/>
    <w:basedOn w:val="Normal"/>
    <w:uiPriority w:val="99"/>
    <w:qFormat/>
    <w:rsid w:val="00B15F7D"/>
    <w:pPr>
      <w:suppressAutoHyphens w:val="0"/>
      <w:autoSpaceDE w:val="0"/>
      <w:spacing w:after="120"/>
      <w:ind w:left="283"/>
    </w:pPr>
    <w:rPr>
      <w:rFonts w:ascii="Arial" w:eastAsia="Calibri" w:hAnsi="Arial" w:cs="Arial"/>
      <w:sz w:val="16"/>
      <w:szCs w:val="16"/>
      <w:lang w:val="es-CR" w:eastAsia="zh-CN"/>
    </w:rPr>
  </w:style>
  <w:style w:type="paragraph" w:customStyle="1" w:styleId="tabul1">
    <w:name w:val="tabul1"/>
    <w:basedOn w:val="Normal"/>
    <w:uiPriority w:val="99"/>
    <w:qFormat/>
    <w:rsid w:val="00B15F7D"/>
    <w:pPr>
      <w:shd w:val="clear" w:color="auto" w:fill="FFFFFF"/>
      <w:suppressAutoHyphens w:val="0"/>
      <w:autoSpaceDE w:val="0"/>
      <w:ind w:left="1200" w:right="2" w:hanging="420"/>
      <w:jc w:val="both"/>
    </w:pPr>
    <w:rPr>
      <w:rFonts w:ascii="Helvetica" w:eastAsia="Calibri" w:hAnsi="Helvetica"/>
      <w:lang w:val="es-CR" w:eastAsia="zh-CN"/>
    </w:rPr>
  </w:style>
  <w:style w:type="paragraph" w:customStyle="1" w:styleId="style500">
    <w:name w:val="style50"/>
    <w:basedOn w:val="Normal"/>
    <w:uiPriority w:val="99"/>
    <w:qFormat/>
    <w:rsid w:val="00B15F7D"/>
    <w:pPr>
      <w:suppressAutoHyphens w:val="0"/>
      <w:autoSpaceDE w:val="0"/>
    </w:pPr>
    <w:rPr>
      <w:rFonts w:eastAsia="Calibri"/>
      <w:lang w:val="es-CR" w:eastAsia="zh-CN"/>
    </w:rPr>
  </w:style>
  <w:style w:type="paragraph" w:customStyle="1" w:styleId="style110">
    <w:name w:val="style11"/>
    <w:basedOn w:val="Normal"/>
    <w:uiPriority w:val="99"/>
    <w:qFormat/>
    <w:rsid w:val="00B15F7D"/>
    <w:pPr>
      <w:suppressAutoHyphens w:val="0"/>
      <w:autoSpaceDE w:val="0"/>
    </w:pPr>
    <w:rPr>
      <w:rFonts w:eastAsia="Calibri"/>
      <w:lang w:val="es-CR" w:eastAsia="zh-CN"/>
    </w:rPr>
  </w:style>
  <w:style w:type="paragraph" w:customStyle="1" w:styleId="informal100">
    <w:name w:val="informal10"/>
    <w:basedOn w:val="Normal"/>
    <w:uiPriority w:val="99"/>
    <w:qFormat/>
    <w:rsid w:val="00B15F7D"/>
    <w:pPr>
      <w:suppressAutoHyphens w:val="0"/>
      <w:overflowPunct w:val="0"/>
      <w:autoSpaceDE w:val="0"/>
      <w:spacing w:before="60" w:after="60"/>
    </w:pPr>
    <w:rPr>
      <w:rFonts w:ascii="Arial" w:eastAsia="Calibri" w:hAnsi="Arial" w:cs="Arial"/>
      <w:lang w:val="es-CR" w:eastAsia="zh-CN"/>
    </w:rPr>
  </w:style>
  <w:style w:type="paragraph" w:customStyle="1" w:styleId="style400">
    <w:name w:val="style40"/>
    <w:basedOn w:val="Normal"/>
    <w:uiPriority w:val="99"/>
    <w:qFormat/>
    <w:rsid w:val="00B15F7D"/>
    <w:pPr>
      <w:suppressAutoHyphens w:val="0"/>
      <w:autoSpaceDE w:val="0"/>
      <w:spacing w:before="108" w:line="360" w:lineRule="auto"/>
      <w:ind w:left="936" w:hanging="432"/>
      <w:jc w:val="both"/>
    </w:pPr>
    <w:rPr>
      <w:rFonts w:ascii="Tahoma" w:eastAsia="Calibri" w:hAnsi="Tahoma" w:cs="Tahoma"/>
      <w:sz w:val="23"/>
      <w:szCs w:val="23"/>
      <w:lang w:val="es-CR" w:eastAsia="zh-CN"/>
    </w:rPr>
  </w:style>
  <w:style w:type="paragraph" w:customStyle="1" w:styleId="style1000">
    <w:name w:val="style100"/>
    <w:basedOn w:val="Normal"/>
    <w:uiPriority w:val="99"/>
    <w:qFormat/>
    <w:rsid w:val="00B15F7D"/>
    <w:pPr>
      <w:suppressAutoHyphens w:val="0"/>
      <w:autoSpaceDE w:val="0"/>
    </w:pPr>
    <w:rPr>
      <w:rFonts w:eastAsia="Calibri"/>
      <w:lang w:val="es-CR" w:eastAsia="zh-CN"/>
    </w:rPr>
  </w:style>
  <w:style w:type="paragraph" w:customStyle="1" w:styleId="style2000">
    <w:name w:val="style200"/>
    <w:basedOn w:val="Normal"/>
    <w:uiPriority w:val="99"/>
    <w:qFormat/>
    <w:rsid w:val="00B15F7D"/>
    <w:pPr>
      <w:suppressAutoHyphens w:val="0"/>
      <w:autoSpaceDE w:val="0"/>
      <w:spacing w:before="216"/>
      <w:ind w:left="936" w:right="576" w:firstLine="720"/>
      <w:jc w:val="both"/>
    </w:pPr>
    <w:rPr>
      <w:rFonts w:eastAsia="Calibri"/>
      <w:b/>
      <w:bCs/>
      <w:lang w:val="es-CR" w:eastAsia="zh-CN"/>
    </w:rPr>
  </w:style>
  <w:style w:type="paragraph" w:customStyle="1" w:styleId="listparagraph00">
    <w:name w:val="listparagraph0"/>
    <w:basedOn w:val="Normal"/>
    <w:uiPriority w:val="99"/>
    <w:qFormat/>
    <w:rsid w:val="00B15F7D"/>
    <w:pPr>
      <w:suppressAutoHyphens w:val="0"/>
      <w:spacing w:after="200" w:line="276" w:lineRule="auto"/>
      <w:ind w:left="720"/>
    </w:pPr>
    <w:rPr>
      <w:rFonts w:ascii="Calibri" w:eastAsia="Calibri" w:hAnsi="Calibri" w:cs="Calibri"/>
      <w:sz w:val="22"/>
      <w:szCs w:val="22"/>
      <w:lang w:val="es-CR" w:eastAsia="zh-CN"/>
    </w:rPr>
  </w:style>
  <w:style w:type="paragraph" w:customStyle="1" w:styleId="style41">
    <w:name w:val="style41"/>
    <w:basedOn w:val="Normal"/>
    <w:uiPriority w:val="99"/>
    <w:qFormat/>
    <w:rsid w:val="00B15F7D"/>
    <w:pPr>
      <w:suppressAutoHyphens w:val="0"/>
      <w:autoSpaceDE w:val="0"/>
      <w:spacing w:line="388" w:lineRule="atLeast"/>
      <w:jc w:val="both"/>
    </w:pPr>
    <w:rPr>
      <w:rFonts w:ascii="Bookman Old Style" w:eastAsia="Calibri" w:hAnsi="Bookman Old Style" w:cs="Calibri"/>
      <w:lang w:val="es-CR" w:eastAsia="zh-CN"/>
    </w:rPr>
  </w:style>
  <w:style w:type="paragraph" w:customStyle="1" w:styleId="car16">
    <w:name w:val="car1"/>
    <w:basedOn w:val="Normal"/>
    <w:uiPriority w:val="99"/>
    <w:qFormat/>
    <w:rsid w:val="00B15F7D"/>
    <w:pPr>
      <w:suppressAutoHyphens w:val="0"/>
      <w:spacing w:after="160" w:line="240" w:lineRule="atLeast"/>
    </w:pPr>
    <w:rPr>
      <w:rFonts w:ascii="Verdana" w:eastAsia="Calibri" w:hAnsi="Verdana" w:cs="Calibri"/>
      <w:lang w:val="es-CR" w:eastAsia="zh-CN"/>
    </w:rPr>
  </w:style>
  <w:style w:type="paragraph" w:customStyle="1" w:styleId="prrafodelista1a">
    <w:name w:val="prrafodelista1"/>
    <w:basedOn w:val="Normal"/>
    <w:uiPriority w:val="99"/>
    <w:qFormat/>
    <w:rsid w:val="00B15F7D"/>
    <w:pPr>
      <w:shd w:val="clear" w:color="auto" w:fill="FFFFFF"/>
      <w:suppressAutoHyphens w:val="0"/>
      <w:autoSpaceDE w:val="0"/>
      <w:ind w:left="708"/>
    </w:pPr>
    <w:rPr>
      <w:rFonts w:ascii="Arial" w:eastAsia="Calibri" w:hAnsi="Arial" w:cs="Arial"/>
      <w:lang w:val="es-CR" w:eastAsia="zh-CN"/>
    </w:rPr>
  </w:style>
  <w:style w:type="paragraph" w:customStyle="1" w:styleId="Style80">
    <w:name w:val="Style 8"/>
    <w:basedOn w:val="Normal"/>
    <w:uiPriority w:val="99"/>
    <w:qFormat/>
    <w:rsid w:val="00B15F7D"/>
    <w:pPr>
      <w:suppressAutoHyphens w:val="0"/>
      <w:autoSpaceDE w:val="0"/>
      <w:spacing w:before="108" w:line="360" w:lineRule="auto"/>
      <w:jc w:val="both"/>
    </w:pPr>
    <w:rPr>
      <w:rFonts w:ascii="Arial" w:eastAsia="Calibri" w:hAnsi="Arial" w:cs="Arial"/>
      <w:sz w:val="21"/>
      <w:szCs w:val="21"/>
      <w:lang w:val="es-CR" w:eastAsia="zh-CN"/>
    </w:rPr>
  </w:style>
  <w:style w:type="paragraph" w:customStyle="1" w:styleId="Listaconnmeros22">
    <w:name w:val="Lista con números 22"/>
    <w:basedOn w:val="Normal"/>
    <w:uiPriority w:val="99"/>
    <w:qFormat/>
    <w:rsid w:val="00B15F7D"/>
    <w:pPr>
      <w:tabs>
        <w:tab w:val="num" w:pos="643"/>
      </w:tabs>
      <w:suppressAutoHyphens w:val="0"/>
    </w:pPr>
    <w:rPr>
      <w:rFonts w:eastAsia="Calibri"/>
      <w:lang w:val="es-CR" w:eastAsia="zh-CN"/>
    </w:rPr>
  </w:style>
  <w:style w:type="paragraph" w:customStyle="1" w:styleId="encabezamientodelista0">
    <w:name w:val="encabezamientodelista"/>
    <w:basedOn w:val="Normal"/>
    <w:uiPriority w:val="99"/>
    <w:qFormat/>
    <w:rsid w:val="00B15F7D"/>
    <w:pPr>
      <w:suppressAutoHyphens w:val="0"/>
      <w:overflowPunct w:val="0"/>
      <w:autoSpaceDE w:val="0"/>
    </w:pPr>
    <w:rPr>
      <w:rFonts w:ascii="Nimbus Roman No9 L" w:eastAsia="Calibri" w:hAnsi="Nimbus Roman No9 L" w:cs="Calibri"/>
      <w:lang w:val="es-CR" w:eastAsia="zh-CN"/>
    </w:rPr>
  </w:style>
  <w:style w:type="paragraph" w:customStyle="1" w:styleId="contenidodelista0">
    <w:name w:val="contenidodelista"/>
    <w:basedOn w:val="Normal"/>
    <w:uiPriority w:val="99"/>
    <w:qFormat/>
    <w:rsid w:val="00B15F7D"/>
    <w:pPr>
      <w:suppressAutoHyphens w:val="0"/>
      <w:overflowPunct w:val="0"/>
      <w:autoSpaceDE w:val="0"/>
      <w:ind w:left="567"/>
    </w:pPr>
    <w:rPr>
      <w:rFonts w:ascii="Nimbus Roman No9 L" w:eastAsia="Calibri" w:hAnsi="Nimbus Roman No9 L" w:cs="Calibri"/>
      <w:lang w:val="es-CR" w:eastAsia="zh-CN"/>
    </w:rPr>
  </w:style>
  <w:style w:type="paragraph" w:customStyle="1" w:styleId="estilo0">
    <w:name w:val="estilo"/>
    <w:basedOn w:val="Normal"/>
    <w:uiPriority w:val="99"/>
    <w:qFormat/>
    <w:rsid w:val="00B15F7D"/>
    <w:pPr>
      <w:suppressAutoHyphens w:val="0"/>
      <w:autoSpaceDE w:val="0"/>
    </w:pPr>
    <w:rPr>
      <w:rFonts w:ascii="Arial" w:eastAsia="Calibri" w:hAnsi="Arial" w:cs="Arial"/>
      <w:lang w:val="es-CR" w:eastAsia="zh-CN"/>
    </w:rPr>
  </w:style>
  <w:style w:type="paragraph" w:customStyle="1" w:styleId="estilo10">
    <w:name w:val="estilo1"/>
    <w:basedOn w:val="Normal"/>
    <w:uiPriority w:val="99"/>
    <w:qFormat/>
    <w:rsid w:val="00B15F7D"/>
    <w:pPr>
      <w:suppressAutoHyphens w:val="0"/>
      <w:autoSpaceDE w:val="0"/>
    </w:pPr>
    <w:rPr>
      <w:rFonts w:ascii="Arial" w:eastAsia="Calibri" w:hAnsi="Arial" w:cs="Arial"/>
      <w:lang w:val="es-CR" w:eastAsia="zh-CN"/>
    </w:rPr>
  </w:style>
  <w:style w:type="paragraph" w:customStyle="1" w:styleId="ttulo37">
    <w:name w:val="ttulo3"/>
    <w:basedOn w:val="Normal"/>
    <w:uiPriority w:val="99"/>
    <w:qFormat/>
    <w:rsid w:val="00B15F7D"/>
    <w:pPr>
      <w:keepNext/>
      <w:suppressAutoHyphens w:val="0"/>
      <w:autoSpaceDE w:val="0"/>
      <w:jc w:val="both"/>
    </w:pPr>
    <w:rPr>
      <w:rFonts w:ascii="Arial" w:eastAsia="Calibri" w:hAnsi="Arial" w:cs="Arial"/>
      <w:lang w:val="es-CR" w:eastAsia="zh-CN"/>
    </w:rPr>
  </w:style>
  <w:style w:type="paragraph" w:customStyle="1" w:styleId="definitionterm0">
    <w:name w:val="definitionterm"/>
    <w:basedOn w:val="Normal"/>
    <w:uiPriority w:val="99"/>
    <w:qFormat/>
    <w:rsid w:val="00B15F7D"/>
    <w:pPr>
      <w:suppressAutoHyphens w:val="0"/>
      <w:autoSpaceDE w:val="0"/>
    </w:pPr>
    <w:rPr>
      <w:rFonts w:ascii="Arial" w:eastAsia="Calibri" w:hAnsi="Arial" w:cs="Arial"/>
      <w:lang w:val="es-CR" w:eastAsia="zh-CN"/>
    </w:rPr>
  </w:style>
  <w:style w:type="paragraph" w:customStyle="1" w:styleId="definitionlist0">
    <w:name w:val="definitionlist"/>
    <w:basedOn w:val="Normal"/>
    <w:uiPriority w:val="99"/>
    <w:qFormat/>
    <w:rsid w:val="00B15F7D"/>
    <w:pPr>
      <w:suppressAutoHyphens w:val="0"/>
      <w:autoSpaceDE w:val="0"/>
      <w:ind w:left="360"/>
    </w:pPr>
    <w:rPr>
      <w:rFonts w:ascii="Arial" w:eastAsia="Calibri" w:hAnsi="Arial" w:cs="Arial"/>
      <w:lang w:val="es-CR" w:eastAsia="zh-CN"/>
    </w:rPr>
  </w:style>
  <w:style w:type="paragraph" w:customStyle="1" w:styleId="h30">
    <w:name w:val="h3"/>
    <w:basedOn w:val="Normal"/>
    <w:uiPriority w:val="99"/>
    <w:qFormat/>
    <w:rsid w:val="00B15F7D"/>
    <w:pPr>
      <w:keepNext/>
      <w:suppressAutoHyphens w:val="0"/>
      <w:autoSpaceDE w:val="0"/>
      <w:spacing w:before="100" w:after="100"/>
    </w:pPr>
    <w:rPr>
      <w:rFonts w:ascii="Arial" w:eastAsia="Calibri" w:hAnsi="Arial" w:cs="Arial"/>
      <w:b/>
      <w:bCs/>
      <w:sz w:val="28"/>
      <w:szCs w:val="28"/>
      <w:lang w:val="es-CR" w:eastAsia="zh-CN"/>
    </w:rPr>
  </w:style>
  <w:style w:type="paragraph" w:customStyle="1" w:styleId="h60">
    <w:name w:val="h6"/>
    <w:basedOn w:val="Normal"/>
    <w:uiPriority w:val="99"/>
    <w:qFormat/>
    <w:rsid w:val="00B15F7D"/>
    <w:pPr>
      <w:keepNext/>
      <w:suppressAutoHyphens w:val="0"/>
      <w:autoSpaceDE w:val="0"/>
      <w:spacing w:before="100" w:after="100"/>
    </w:pPr>
    <w:rPr>
      <w:rFonts w:ascii="Arial" w:eastAsia="Calibri" w:hAnsi="Arial" w:cs="Arial"/>
      <w:b/>
      <w:bCs/>
      <w:sz w:val="16"/>
      <w:szCs w:val="16"/>
      <w:lang w:val="es-CR" w:eastAsia="zh-CN"/>
    </w:rPr>
  </w:style>
  <w:style w:type="paragraph" w:customStyle="1" w:styleId="address0">
    <w:name w:val="address"/>
    <w:basedOn w:val="Normal"/>
    <w:uiPriority w:val="99"/>
    <w:qFormat/>
    <w:rsid w:val="00B15F7D"/>
    <w:pPr>
      <w:suppressAutoHyphens w:val="0"/>
      <w:autoSpaceDE w:val="0"/>
    </w:pPr>
    <w:rPr>
      <w:rFonts w:ascii="Arial" w:eastAsia="Calibri" w:hAnsi="Arial" w:cs="Arial"/>
      <w:i/>
      <w:iCs/>
      <w:lang w:val="es-CR" w:eastAsia="zh-CN"/>
    </w:rPr>
  </w:style>
  <w:style w:type="paragraph" w:customStyle="1" w:styleId="blockquote0">
    <w:name w:val="blockquote"/>
    <w:basedOn w:val="Normal"/>
    <w:uiPriority w:val="99"/>
    <w:qFormat/>
    <w:rsid w:val="00B15F7D"/>
    <w:pPr>
      <w:suppressAutoHyphens w:val="0"/>
      <w:autoSpaceDE w:val="0"/>
      <w:spacing w:before="100" w:after="100"/>
      <w:ind w:left="360" w:right="360"/>
    </w:pPr>
    <w:rPr>
      <w:rFonts w:ascii="Arial" w:eastAsia="Calibri" w:hAnsi="Arial" w:cs="Arial"/>
      <w:lang w:val="es-CR" w:eastAsia="zh-CN"/>
    </w:rPr>
  </w:style>
  <w:style w:type="paragraph" w:customStyle="1" w:styleId="preformatted0">
    <w:name w:val="preformatted"/>
    <w:basedOn w:val="Normal"/>
    <w:uiPriority w:val="99"/>
    <w:qFormat/>
    <w:rsid w:val="00B15F7D"/>
    <w:pPr>
      <w:suppressAutoHyphens w:val="0"/>
      <w:autoSpaceDE w:val="0"/>
    </w:pPr>
    <w:rPr>
      <w:rFonts w:ascii="Courier New" w:eastAsia="Calibri" w:hAnsi="Courier New" w:cs="Courier New"/>
      <w:lang w:val="es-CR" w:eastAsia="zh-CN"/>
    </w:rPr>
  </w:style>
  <w:style w:type="paragraph" w:customStyle="1" w:styleId="z-bottomofform0">
    <w:name w:val="z-bottomofform"/>
    <w:basedOn w:val="Normal"/>
    <w:uiPriority w:val="99"/>
    <w:qFormat/>
    <w:rsid w:val="00B15F7D"/>
    <w:pPr>
      <w:suppressAutoHyphens w:val="0"/>
      <w:autoSpaceDE w:val="0"/>
      <w:jc w:val="center"/>
    </w:pPr>
    <w:rPr>
      <w:rFonts w:ascii="Arial" w:eastAsia="Calibri" w:hAnsi="Arial" w:cs="Arial"/>
      <w:vanish/>
      <w:sz w:val="16"/>
      <w:szCs w:val="16"/>
      <w:lang w:val="es-CR" w:eastAsia="zh-CN"/>
    </w:rPr>
  </w:style>
  <w:style w:type="paragraph" w:customStyle="1" w:styleId="z-topofform0">
    <w:name w:val="z-topofform"/>
    <w:basedOn w:val="Normal"/>
    <w:uiPriority w:val="99"/>
    <w:qFormat/>
    <w:rsid w:val="00B15F7D"/>
    <w:pPr>
      <w:suppressAutoHyphens w:val="0"/>
      <w:autoSpaceDE w:val="0"/>
      <w:jc w:val="center"/>
    </w:pPr>
    <w:rPr>
      <w:rFonts w:ascii="Arial" w:eastAsia="Calibri" w:hAnsi="Arial" w:cs="Arial"/>
      <w:vanish/>
      <w:sz w:val="16"/>
      <w:szCs w:val="16"/>
      <w:lang w:val="es-CR" w:eastAsia="zh-CN"/>
    </w:rPr>
  </w:style>
  <w:style w:type="paragraph" w:customStyle="1" w:styleId="normaldespestabla0">
    <w:name w:val="normaldespestabla"/>
    <w:basedOn w:val="Normal"/>
    <w:uiPriority w:val="99"/>
    <w:qFormat/>
    <w:rsid w:val="00B15F7D"/>
    <w:pPr>
      <w:suppressAutoHyphens w:val="0"/>
      <w:autoSpaceDE w:val="0"/>
      <w:spacing w:before="120" w:after="120"/>
      <w:ind w:left="851"/>
      <w:jc w:val="both"/>
    </w:pPr>
    <w:rPr>
      <w:rFonts w:ascii="Tahoma" w:eastAsia="Calibri" w:hAnsi="Tahoma" w:cs="Tahoma"/>
      <w:lang w:val="es-CR" w:eastAsia="zh-CN"/>
    </w:rPr>
  </w:style>
  <w:style w:type="paragraph" w:customStyle="1" w:styleId="listbulletbold0">
    <w:name w:val="listbulletbold"/>
    <w:basedOn w:val="Normal"/>
    <w:uiPriority w:val="99"/>
    <w:qFormat/>
    <w:rsid w:val="00B15F7D"/>
    <w:pPr>
      <w:keepNext/>
      <w:suppressAutoHyphens w:val="0"/>
      <w:autoSpaceDE w:val="0"/>
      <w:spacing w:before="60" w:after="60"/>
      <w:ind w:left="714"/>
      <w:jc w:val="both"/>
    </w:pPr>
    <w:rPr>
      <w:rFonts w:ascii="Tahoma" w:eastAsia="Calibri" w:hAnsi="Tahoma" w:cs="Tahoma"/>
      <w:b/>
      <w:bCs/>
      <w:lang w:val="es-CR" w:eastAsia="zh-CN"/>
    </w:rPr>
  </w:style>
  <w:style w:type="paragraph" w:customStyle="1" w:styleId="ttulo64">
    <w:name w:val="ttulo6"/>
    <w:basedOn w:val="Normal"/>
    <w:uiPriority w:val="99"/>
    <w:qFormat/>
    <w:rsid w:val="00B15F7D"/>
    <w:pPr>
      <w:keepNext/>
      <w:suppressAutoHyphens w:val="0"/>
      <w:autoSpaceDE w:val="0"/>
      <w:jc w:val="center"/>
    </w:pPr>
    <w:rPr>
      <w:rFonts w:ascii="Arial" w:eastAsia="Calibri" w:hAnsi="Arial" w:cs="Arial"/>
      <w:b/>
      <w:bCs/>
      <w:spacing w:val="-3"/>
      <w:sz w:val="22"/>
      <w:szCs w:val="22"/>
      <w:lang w:val="es-CR" w:eastAsia="zh-CN"/>
    </w:rPr>
  </w:style>
  <w:style w:type="paragraph" w:customStyle="1" w:styleId="piedepgina3">
    <w:name w:val="piedepgina"/>
    <w:basedOn w:val="Normal"/>
    <w:uiPriority w:val="99"/>
    <w:qFormat/>
    <w:rsid w:val="00B15F7D"/>
    <w:pPr>
      <w:suppressAutoHyphens w:val="0"/>
      <w:autoSpaceDE w:val="0"/>
    </w:pPr>
    <w:rPr>
      <w:rFonts w:ascii="Arial" w:eastAsia="Calibri" w:hAnsi="Arial" w:cs="Arial"/>
      <w:lang w:val="es-CR" w:eastAsia="zh-CN"/>
    </w:rPr>
  </w:style>
  <w:style w:type="paragraph" w:customStyle="1" w:styleId="normaltabla0">
    <w:name w:val="normaltabla"/>
    <w:basedOn w:val="Normal"/>
    <w:uiPriority w:val="99"/>
    <w:qFormat/>
    <w:rsid w:val="00B15F7D"/>
    <w:pPr>
      <w:suppressAutoHyphens w:val="0"/>
      <w:autoSpaceDE w:val="0"/>
      <w:spacing w:before="60" w:after="60"/>
    </w:pPr>
    <w:rPr>
      <w:rFonts w:ascii="Tahoma" w:eastAsia="Calibri" w:hAnsi="Tahoma" w:cs="Tahoma"/>
      <w:sz w:val="18"/>
      <w:szCs w:val="18"/>
      <w:lang w:val="es-CR" w:eastAsia="zh-CN"/>
    </w:rPr>
  </w:style>
  <w:style w:type="paragraph" w:customStyle="1" w:styleId="normaltabla100">
    <w:name w:val="normaltabla10"/>
    <w:basedOn w:val="Normal"/>
    <w:uiPriority w:val="99"/>
    <w:qFormat/>
    <w:rsid w:val="00B15F7D"/>
    <w:pPr>
      <w:suppressAutoHyphens w:val="0"/>
      <w:autoSpaceDE w:val="0"/>
      <w:spacing w:before="60" w:after="60"/>
    </w:pPr>
    <w:rPr>
      <w:rFonts w:ascii="Tahoma" w:eastAsia="Calibri" w:hAnsi="Tahoma" w:cs="Tahoma"/>
      <w:lang w:val="es-CR" w:eastAsia="zh-CN"/>
    </w:rPr>
  </w:style>
  <w:style w:type="paragraph" w:customStyle="1" w:styleId="ttulo5a">
    <w:name w:val="ttulo5"/>
    <w:basedOn w:val="Normal"/>
    <w:uiPriority w:val="99"/>
    <w:qFormat/>
    <w:rsid w:val="00B15F7D"/>
    <w:pPr>
      <w:keepNext/>
      <w:suppressAutoHyphens w:val="0"/>
      <w:autoSpaceDE w:val="0"/>
      <w:jc w:val="both"/>
    </w:pPr>
    <w:rPr>
      <w:rFonts w:ascii="Arial" w:eastAsia="Calibri" w:hAnsi="Arial" w:cs="Arial"/>
      <w:b/>
      <w:bCs/>
      <w:spacing w:val="-3"/>
      <w:lang w:val="es-CR" w:eastAsia="zh-CN"/>
    </w:rPr>
  </w:style>
  <w:style w:type="paragraph" w:customStyle="1" w:styleId="capitulonombre0">
    <w:name w:val="capitulonombre"/>
    <w:basedOn w:val="Normal"/>
    <w:uiPriority w:val="99"/>
    <w:qFormat/>
    <w:rsid w:val="00B15F7D"/>
    <w:pPr>
      <w:suppressAutoHyphens w:val="0"/>
      <w:autoSpaceDE w:val="0"/>
      <w:spacing w:before="120" w:after="480"/>
      <w:jc w:val="center"/>
    </w:pPr>
    <w:rPr>
      <w:rFonts w:ascii="Tahoma" w:eastAsia="Calibri" w:hAnsi="Tahoma" w:cs="Tahoma"/>
      <w:b/>
      <w:bCs/>
      <w:smallCaps/>
      <w:color w:val="800000"/>
      <w:sz w:val="40"/>
      <w:szCs w:val="40"/>
      <w:lang w:val="es-CR" w:eastAsia="zh-CN"/>
    </w:rPr>
  </w:style>
  <w:style w:type="paragraph" w:customStyle="1" w:styleId="cita">
    <w:name w:val="cita"/>
    <w:basedOn w:val="Normal"/>
    <w:uiPriority w:val="99"/>
    <w:qFormat/>
    <w:rsid w:val="00B15F7D"/>
    <w:pPr>
      <w:suppressAutoHyphens w:val="0"/>
      <w:autoSpaceDE w:val="0"/>
      <w:ind w:left="851" w:right="851"/>
      <w:jc w:val="both"/>
    </w:pPr>
    <w:rPr>
      <w:rFonts w:ascii="Arial" w:eastAsia="Calibri" w:hAnsi="Arial" w:cs="Arial"/>
      <w:b/>
      <w:bCs/>
      <w:spacing w:val="-3"/>
      <w:sz w:val="22"/>
      <w:szCs w:val="22"/>
      <w:lang w:val="es-CR" w:eastAsia="zh-CN"/>
    </w:rPr>
  </w:style>
  <w:style w:type="paragraph" w:customStyle="1" w:styleId="normalnegrita0">
    <w:name w:val="normalnegrita"/>
    <w:basedOn w:val="Normal"/>
    <w:uiPriority w:val="99"/>
    <w:qFormat/>
    <w:rsid w:val="00B15F7D"/>
    <w:pPr>
      <w:keepNext/>
      <w:suppressAutoHyphens w:val="0"/>
      <w:autoSpaceDE w:val="0"/>
      <w:spacing w:before="120" w:after="120"/>
      <w:ind w:left="851"/>
      <w:jc w:val="both"/>
    </w:pPr>
    <w:rPr>
      <w:rFonts w:ascii="Tahoma" w:eastAsia="Calibri" w:hAnsi="Tahoma" w:cs="Tahoma"/>
      <w:b/>
      <w:bCs/>
      <w:lang w:val="es-CR" w:eastAsia="zh-CN"/>
    </w:rPr>
  </w:style>
  <w:style w:type="paragraph" w:customStyle="1" w:styleId="figura0">
    <w:name w:val="figura"/>
    <w:basedOn w:val="Normal"/>
    <w:uiPriority w:val="99"/>
    <w:qFormat/>
    <w:rsid w:val="00B15F7D"/>
    <w:pPr>
      <w:suppressAutoHyphens w:val="0"/>
      <w:autoSpaceDE w:val="0"/>
      <w:spacing w:before="60"/>
      <w:ind w:left="851"/>
      <w:jc w:val="center"/>
    </w:pPr>
    <w:rPr>
      <w:rFonts w:ascii="Tahoma" w:eastAsia="Calibri" w:hAnsi="Tahoma" w:cs="Tahoma"/>
      <w:lang w:val="es-CR" w:eastAsia="zh-CN"/>
    </w:rPr>
  </w:style>
  <w:style w:type="paragraph" w:customStyle="1" w:styleId="listaconvietastabla0">
    <w:name w:val="listaconvietastabla"/>
    <w:basedOn w:val="Normal"/>
    <w:uiPriority w:val="99"/>
    <w:qFormat/>
    <w:rsid w:val="00B15F7D"/>
    <w:pPr>
      <w:suppressAutoHyphens w:val="0"/>
      <w:autoSpaceDE w:val="0"/>
      <w:spacing w:before="60" w:after="60"/>
      <w:ind w:left="1167"/>
      <w:jc w:val="both"/>
    </w:pPr>
    <w:rPr>
      <w:rFonts w:ascii="Tahoma" w:eastAsia="Calibri" w:hAnsi="Tahoma" w:cs="Tahoma"/>
      <w:lang w:val="es-CR" w:eastAsia="zh-CN"/>
    </w:rPr>
  </w:style>
  <w:style w:type="paragraph" w:customStyle="1" w:styleId="nombredireccininterior0">
    <w:name w:val="nombredireccininterior"/>
    <w:basedOn w:val="Normal"/>
    <w:uiPriority w:val="99"/>
    <w:qFormat/>
    <w:rsid w:val="00B15F7D"/>
    <w:pPr>
      <w:suppressAutoHyphens w:val="0"/>
      <w:spacing w:before="220" w:line="240" w:lineRule="atLeast"/>
      <w:jc w:val="both"/>
    </w:pPr>
    <w:rPr>
      <w:rFonts w:ascii="Arial" w:eastAsia="Calibri" w:hAnsi="Arial" w:cs="Arial"/>
      <w:lang w:val="es-CR" w:eastAsia="zh-CN"/>
    </w:rPr>
  </w:style>
  <w:style w:type="paragraph" w:customStyle="1" w:styleId="carcarcarcarcarcara">
    <w:name w:val="carcarcarcarcarcar"/>
    <w:basedOn w:val="Normal"/>
    <w:uiPriority w:val="99"/>
    <w:qFormat/>
    <w:rsid w:val="00B15F7D"/>
    <w:pPr>
      <w:suppressAutoHyphens w:val="0"/>
      <w:spacing w:after="160" w:line="240" w:lineRule="atLeast"/>
    </w:pPr>
    <w:rPr>
      <w:rFonts w:ascii="Verdana" w:eastAsia="Calibri" w:hAnsi="Verdana" w:cs="Calibri"/>
      <w:lang w:val="es-CR" w:eastAsia="zh-CN"/>
    </w:rPr>
  </w:style>
  <w:style w:type="paragraph" w:customStyle="1" w:styleId="nospacing">
    <w:name w:val="nospacing"/>
    <w:basedOn w:val="Normal"/>
    <w:uiPriority w:val="99"/>
    <w:qFormat/>
    <w:rsid w:val="00B15F7D"/>
    <w:pPr>
      <w:suppressAutoHyphens w:val="0"/>
      <w:autoSpaceDE w:val="0"/>
    </w:pPr>
    <w:rPr>
      <w:rFonts w:ascii="Calibri" w:eastAsia="Calibri" w:hAnsi="Calibri" w:cs="Calibri"/>
      <w:sz w:val="22"/>
      <w:szCs w:val="22"/>
      <w:lang w:val="es-CR" w:eastAsia="zh-CN"/>
    </w:rPr>
  </w:style>
  <w:style w:type="paragraph" w:customStyle="1" w:styleId="textoindependiente210">
    <w:name w:val="textoindependiente21"/>
    <w:basedOn w:val="Normal"/>
    <w:uiPriority w:val="99"/>
    <w:qFormat/>
    <w:rsid w:val="00B15F7D"/>
    <w:pPr>
      <w:suppressAutoHyphens w:val="0"/>
      <w:jc w:val="both"/>
    </w:pPr>
    <w:rPr>
      <w:rFonts w:ascii="Verdana" w:eastAsia="Calibri" w:hAnsi="Verdana" w:cs="Calibri"/>
      <w:i/>
      <w:iCs/>
      <w:lang w:val="es-CR" w:eastAsia="zh-CN"/>
    </w:rPr>
  </w:style>
  <w:style w:type="paragraph" w:customStyle="1" w:styleId="textoindependiente310">
    <w:name w:val="textoindependiente31"/>
    <w:basedOn w:val="Normal"/>
    <w:uiPriority w:val="99"/>
    <w:qFormat/>
    <w:rsid w:val="00B15F7D"/>
    <w:pPr>
      <w:suppressAutoHyphens w:val="0"/>
      <w:autoSpaceDE w:val="0"/>
      <w:jc w:val="both"/>
    </w:pPr>
    <w:rPr>
      <w:rFonts w:ascii="Arial" w:eastAsia="Calibri" w:hAnsi="Arial" w:cs="Arial"/>
      <w:lang w:val="es-CR" w:eastAsia="zh-CN"/>
    </w:rPr>
  </w:style>
  <w:style w:type="paragraph" w:customStyle="1" w:styleId="sangra2detindependiente101">
    <w:name w:val="sangra2detindependiente10"/>
    <w:basedOn w:val="Normal"/>
    <w:uiPriority w:val="99"/>
    <w:qFormat/>
    <w:rsid w:val="00B15F7D"/>
    <w:pPr>
      <w:suppressAutoHyphens w:val="0"/>
      <w:ind w:firstLine="709"/>
      <w:jc w:val="both"/>
    </w:pPr>
    <w:rPr>
      <w:rFonts w:ascii="Trebuchet MS" w:eastAsia="Calibri" w:hAnsi="Trebuchet MS" w:cs="Calibri"/>
      <w:color w:val="000000"/>
      <w:sz w:val="22"/>
      <w:szCs w:val="22"/>
      <w:lang w:val="es-CR" w:eastAsia="zh-CN"/>
    </w:rPr>
  </w:style>
  <w:style w:type="paragraph" w:customStyle="1" w:styleId="bodytext2200">
    <w:name w:val="bodytext220"/>
    <w:basedOn w:val="Normal"/>
    <w:uiPriority w:val="99"/>
    <w:qFormat/>
    <w:rsid w:val="00B15F7D"/>
    <w:pPr>
      <w:suppressAutoHyphens w:val="0"/>
      <w:jc w:val="both"/>
    </w:pPr>
    <w:rPr>
      <w:rFonts w:eastAsia="Calibri"/>
      <w:lang w:val="es-CR" w:eastAsia="zh-CN"/>
    </w:rPr>
  </w:style>
  <w:style w:type="paragraph" w:customStyle="1" w:styleId="normalprueba100">
    <w:name w:val="normalprueba10"/>
    <w:basedOn w:val="Normal"/>
    <w:uiPriority w:val="99"/>
    <w:qFormat/>
    <w:rsid w:val="00B15F7D"/>
    <w:pPr>
      <w:suppressAutoHyphens w:val="0"/>
    </w:pPr>
    <w:rPr>
      <w:rFonts w:eastAsia="Calibri"/>
      <w:sz w:val="28"/>
      <w:szCs w:val="28"/>
      <w:lang w:val="es-CR" w:eastAsia="zh-CN"/>
    </w:rPr>
  </w:style>
  <w:style w:type="paragraph" w:customStyle="1" w:styleId="charchar001">
    <w:name w:val="charchar00"/>
    <w:basedOn w:val="Normal"/>
    <w:uiPriority w:val="99"/>
    <w:qFormat/>
    <w:rsid w:val="00B15F7D"/>
    <w:pPr>
      <w:suppressAutoHyphens w:val="0"/>
      <w:spacing w:after="160" w:line="240" w:lineRule="atLeast"/>
    </w:pPr>
    <w:rPr>
      <w:rFonts w:ascii="Verdana" w:eastAsia="Calibri" w:hAnsi="Verdana" w:cs="Calibri"/>
      <w:lang w:val="es-CR" w:eastAsia="zh-CN"/>
    </w:rPr>
  </w:style>
  <w:style w:type="paragraph" w:customStyle="1" w:styleId="carcarcarcar0">
    <w:name w:val="carcarcarcar"/>
    <w:basedOn w:val="Normal"/>
    <w:uiPriority w:val="99"/>
    <w:qFormat/>
    <w:rsid w:val="00B15F7D"/>
    <w:pPr>
      <w:suppressAutoHyphens w:val="0"/>
      <w:spacing w:after="160" w:line="240" w:lineRule="atLeast"/>
    </w:pPr>
    <w:rPr>
      <w:rFonts w:ascii="Verdana" w:eastAsia="Calibri" w:hAnsi="Verdana" w:cs="Calibri"/>
      <w:lang w:val="es-CR" w:eastAsia="zh-CN"/>
    </w:rPr>
  </w:style>
  <w:style w:type="paragraph" w:customStyle="1" w:styleId="derechos">
    <w:name w:val="derechos"/>
    <w:basedOn w:val="Normal"/>
    <w:uiPriority w:val="99"/>
    <w:qFormat/>
    <w:rsid w:val="00B15F7D"/>
    <w:pPr>
      <w:suppressAutoHyphens w:val="0"/>
      <w:autoSpaceDE w:val="0"/>
      <w:jc w:val="both"/>
    </w:pPr>
    <w:rPr>
      <w:rFonts w:ascii="Helvetica" w:eastAsia="Calibri" w:hAnsi="Helvetica"/>
      <w:lang w:val="es-CR" w:eastAsia="zh-CN"/>
    </w:rPr>
  </w:style>
  <w:style w:type="paragraph" w:customStyle="1" w:styleId="car001">
    <w:name w:val="car00"/>
    <w:basedOn w:val="Normal"/>
    <w:uiPriority w:val="99"/>
    <w:qFormat/>
    <w:rsid w:val="00B15F7D"/>
    <w:pPr>
      <w:suppressAutoHyphens w:val="0"/>
      <w:spacing w:after="160" w:line="240" w:lineRule="atLeast"/>
    </w:pPr>
    <w:rPr>
      <w:rFonts w:ascii="Verdana" w:eastAsia="Calibri" w:hAnsi="Verdana" w:cs="Calibri"/>
      <w:lang w:val="es-CR" w:eastAsia="zh-CN"/>
    </w:rPr>
  </w:style>
  <w:style w:type="paragraph" w:customStyle="1" w:styleId="cuadrculamedia1-nfasis21">
    <w:name w:val="cuadrculamedia1-nfasis21"/>
    <w:basedOn w:val="Normal"/>
    <w:uiPriority w:val="99"/>
    <w:qFormat/>
    <w:rsid w:val="00B15F7D"/>
    <w:pPr>
      <w:suppressAutoHyphens w:val="0"/>
      <w:ind w:left="720"/>
      <w:jc w:val="both"/>
    </w:pPr>
    <w:rPr>
      <w:rFonts w:eastAsia="Calibri"/>
      <w:lang w:val="es-CR" w:eastAsia="zh-CN"/>
    </w:rPr>
  </w:style>
  <w:style w:type="paragraph" w:customStyle="1" w:styleId="colorfullist-accent11">
    <w:name w:val="colorfullist-accent11"/>
    <w:basedOn w:val="Normal"/>
    <w:uiPriority w:val="99"/>
    <w:qFormat/>
    <w:rsid w:val="00B15F7D"/>
    <w:pPr>
      <w:suppressAutoHyphens w:val="0"/>
      <w:ind w:left="720"/>
      <w:jc w:val="both"/>
    </w:pPr>
    <w:rPr>
      <w:rFonts w:eastAsia="Calibri"/>
      <w:lang w:val="es-CR" w:eastAsia="zh-CN"/>
    </w:rPr>
  </w:style>
  <w:style w:type="paragraph" w:customStyle="1" w:styleId="cuadrculamedia1-nfasis22">
    <w:name w:val="cuadrculamedia1-nfasis22"/>
    <w:basedOn w:val="Normal"/>
    <w:uiPriority w:val="99"/>
    <w:qFormat/>
    <w:rsid w:val="00B15F7D"/>
    <w:pPr>
      <w:suppressAutoHyphens w:val="0"/>
      <w:ind w:left="708"/>
      <w:jc w:val="both"/>
    </w:pPr>
    <w:rPr>
      <w:rFonts w:eastAsia="Calibri"/>
      <w:lang w:val="es-CR" w:eastAsia="zh-CN"/>
    </w:rPr>
  </w:style>
  <w:style w:type="paragraph" w:customStyle="1" w:styleId="cuadrculamedia1-nfasis2">
    <w:name w:val="cuadrculamedia1-nfasis2"/>
    <w:basedOn w:val="Normal"/>
    <w:uiPriority w:val="99"/>
    <w:qFormat/>
    <w:rsid w:val="00B15F7D"/>
    <w:pPr>
      <w:suppressAutoHyphens w:val="0"/>
      <w:spacing w:after="160" w:line="252" w:lineRule="auto"/>
      <w:ind w:left="720"/>
    </w:pPr>
    <w:rPr>
      <w:rFonts w:ascii="Calibri" w:eastAsia="Calibri" w:hAnsi="Calibri" w:cs="Calibri"/>
      <w:sz w:val="22"/>
      <w:szCs w:val="22"/>
      <w:lang w:val="es-CR" w:eastAsia="zh-CN"/>
    </w:rPr>
  </w:style>
  <w:style w:type="paragraph" w:customStyle="1" w:styleId="listavistosa-nfasis1">
    <w:name w:val="listavistosa-nfasis1"/>
    <w:basedOn w:val="Normal"/>
    <w:uiPriority w:val="99"/>
    <w:qFormat/>
    <w:rsid w:val="00B15F7D"/>
    <w:pPr>
      <w:suppressAutoHyphens w:val="0"/>
      <w:ind w:left="708"/>
      <w:jc w:val="both"/>
    </w:pPr>
    <w:rPr>
      <w:rFonts w:eastAsia="Calibri"/>
      <w:lang w:val="es-CR" w:eastAsia="zh-CN"/>
    </w:rPr>
  </w:style>
  <w:style w:type="paragraph" w:customStyle="1" w:styleId="estilottulo3arial11ptinterlineado15lneas">
    <w:name w:val="estilottulo3arial11ptinterlineado15lneas"/>
    <w:basedOn w:val="Normal"/>
    <w:uiPriority w:val="99"/>
    <w:qFormat/>
    <w:rsid w:val="00B15F7D"/>
    <w:pPr>
      <w:keepNext/>
      <w:suppressAutoHyphens w:val="0"/>
      <w:overflowPunct w:val="0"/>
      <w:autoSpaceDE w:val="0"/>
      <w:spacing w:line="360" w:lineRule="auto"/>
      <w:ind w:left="2160"/>
      <w:jc w:val="both"/>
    </w:pPr>
    <w:rPr>
      <w:rFonts w:ascii="Arial" w:eastAsia="Calibri" w:hAnsi="Arial" w:cs="Arial"/>
      <w:b/>
      <w:bCs/>
      <w:i/>
      <w:iCs/>
      <w:lang w:val="es-CR" w:eastAsia="zh-CN"/>
    </w:rPr>
  </w:style>
  <w:style w:type="paragraph" w:customStyle="1" w:styleId="prrafodelista000">
    <w:name w:val="prrafodelista00"/>
    <w:basedOn w:val="Normal"/>
    <w:uiPriority w:val="99"/>
    <w:qFormat/>
    <w:rsid w:val="00B15F7D"/>
    <w:pPr>
      <w:suppressAutoHyphens w:val="0"/>
      <w:ind w:left="708"/>
    </w:pPr>
    <w:rPr>
      <w:rFonts w:ascii="MS Sans Serif" w:eastAsia="Calibri" w:hAnsi="MS Sans Serif" w:cs="Calibri"/>
      <w:lang w:val="es-CR" w:eastAsia="zh-CN"/>
    </w:rPr>
  </w:style>
  <w:style w:type="paragraph" w:customStyle="1" w:styleId="cuadrculamedia1-nfasis21cxsplast">
    <w:name w:val="cuadrculamedia1-nfasis21cxsplast"/>
    <w:basedOn w:val="Normal"/>
    <w:uiPriority w:val="99"/>
    <w:qFormat/>
    <w:rsid w:val="00B15F7D"/>
    <w:pPr>
      <w:suppressAutoHyphens w:val="0"/>
      <w:spacing w:before="280" w:after="280"/>
    </w:pPr>
    <w:rPr>
      <w:rFonts w:eastAsia="Calibri"/>
      <w:lang w:val="es-CR" w:eastAsia="zh-CN"/>
    </w:rPr>
  </w:style>
  <w:style w:type="paragraph" w:customStyle="1" w:styleId="listavistosa-nfasis1cxspmiddle">
    <w:name w:val="listavistosa-nfasis1cxspmiddle"/>
    <w:basedOn w:val="Normal"/>
    <w:uiPriority w:val="99"/>
    <w:qFormat/>
    <w:rsid w:val="00B15F7D"/>
    <w:pPr>
      <w:suppressAutoHyphens w:val="0"/>
      <w:spacing w:before="280" w:after="280"/>
    </w:pPr>
    <w:rPr>
      <w:rFonts w:eastAsia="Calibri"/>
      <w:lang w:val="es-CR" w:eastAsia="zh-CN"/>
    </w:rPr>
  </w:style>
  <w:style w:type="paragraph" w:customStyle="1" w:styleId="listavistosa-nfasis1cxsplast">
    <w:name w:val="listavistosa-nfasis1cxsplast"/>
    <w:basedOn w:val="Normal"/>
    <w:uiPriority w:val="99"/>
    <w:qFormat/>
    <w:rsid w:val="00B15F7D"/>
    <w:pPr>
      <w:suppressAutoHyphens w:val="0"/>
      <w:spacing w:before="280" w:after="280"/>
    </w:pPr>
    <w:rPr>
      <w:rFonts w:eastAsia="Calibri"/>
      <w:lang w:val="es-CR" w:eastAsia="zh-CN"/>
    </w:rPr>
  </w:style>
  <w:style w:type="paragraph" w:customStyle="1" w:styleId="prrafodelistacxspmiddle">
    <w:name w:val="prrafodelistacxspmiddle"/>
    <w:basedOn w:val="Normal"/>
    <w:uiPriority w:val="99"/>
    <w:qFormat/>
    <w:rsid w:val="00B15F7D"/>
    <w:pPr>
      <w:suppressAutoHyphens w:val="0"/>
      <w:spacing w:before="280" w:after="280"/>
    </w:pPr>
    <w:rPr>
      <w:rFonts w:eastAsia="Calibri"/>
      <w:lang w:val="es-CR" w:eastAsia="zh-CN"/>
    </w:rPr>
  </w:style>
  <w:style w:type="paragraph" w:customStyle="1" w:styleId="prrafodelistacxsplast">
    <w:name w:val="prrafodelistacxsplast"/>
    <w:basedOn w:val="Normal"/>
    <w:uiPriority w:val="99"/>
    <w:qFormat/>
    <w:rsid w:val="00B15F7D"/>
    <w:pPr>
      <w:suppressAutoHyphens w:val="0"/>
      <w:spacing w:before="280" w:after="280"/>
    </w:pPr>
    <w:rPr>
      <w:rFonts w:eastAsia="Calibri"/>
      <w:lang w:val="es-CR" w:eastAsia="zh-CN"/>
    </w:rPr>
  </w:style>
  <w:style w:type="paragraph" w:customStyle="1" w:styleId="textoindependiente2100">
    <w:name w:val="textoindependiente210"/>
    <w:basedOn w:val="Normal"/>
    <w:uiPriority w:val="99"/>
    <w:qFormat/>
    <w:rsid w:val="00B15F7D"/>
    <w:pPr>
      <w:suppressAutoHyphens w:val="0"/>
      <w:jc w:val="both"/>
    </w:pPr>
    <w:rPr>
      <w:rFonts w:ascii="Verdana" w:eastAsia="Calibri" w:hAnsi="Verdana" w:cs="Calibri"/>
      <w:i/>
      <w:iCs/>
      <w:lang w:val="es-CR" w:eastAsia="zh-CN"/>
    </w:rPr>
  </w:style>
  <w:style w:type="paragraph" w:customStyle="1" w:styleId="estilo200">
    <w:name w:val="estilo20"/>
    <w:basedOn w:val="Normal"/>
    <w:uiPriority w:val="99"/>
    <w:qFormat/>
    <w:rsid w:val="00B15F7D"/>
    <w:pPr>
      <w:suppressAutoHyphens w:val="0"/>
      <w:autoSpaceDE w:val="0"/>
      <w:spacing w:before="100" w:after="100"/>
    </w:pPr>
    <w:rPr>
      <w:rFonts w:ascii="Verdana" w:eastAsia="Calibri" w:hAnsi="Verdana" w:cs="Calibri"/>
      <w:lang w:val="es-CR" w:eastAsia="zh-CN"/>
    </w:rPr>
  </w:style>
  <w:style w:type="paragraph" w:customStyle="1" w:styleId="artculo0">
    <w:name w:val="artculo"/>
    <w:basedOn w:val="Normal"/>
    <w:uiPriority w:val="99"/>
    <w:qFormat/>
    <w:rsid w:val="00B15F7D"/>
    <w:pPr>
      <w:suppressAutoHyphens w:val="0"/>
      <w:jc w:val="center"/>
    </w:pPr>
    <w:rPr>
      <w:rFonts w:eastAsia="Calibri"/>
      <w:b/>
      <w:bCs/>
      <w:u w:val="single"/>
      <w:lang w:val="es-CR" w:eastAsia="zh-CN"/>
    </w:rPr>
  </w:style>
  <w:style w:type="paragraph" w:customStyle="1" w:styleId="heading51">
    <w:name w:val="heading51"/>
    <w:basedOn w:val="Normal"/>
    <w:uiPriority w:val="99"/>
    <w:qFormat/>
    <w:rsid w:val="00B15F7D"/>
    <w:pPr>
      <w:keepNext/>
      <w:shd w:val="clear" w:color="auto" w:fill="FFFFFF"/>
      <w:suppressAutoHyphens w:val="0"/>
      <w:jc w:val="center"/>
    </w:pPr>
    <w:rPr>
      <w:rFonts w:ascii="Arial" w:eastAsia="Calibri" w:hAnsi="Arial" w:cs="Arial"/>
      <w:b/>
      <w:bCs/>
      <w:i/>
      <w:iCs/>
      <w:sz w:val="26"/>
      <w:szCs w:val="26"/>
      <w:u w:val="single"/>
      <w:lang w:val="es-CR" w:eastAsia="zh-CN"/>
    </w:rPr>
  </w:style>
  <w:style w:type="paragraph" w:customStyle="1" w:styleId="msonormalcxspmiddle">
    <w:name w:val="msonormalcxspmiddle"/>
    <w:basedOn w:val="Normal"/>
    <w:uiPriority w:val="99"/>
    <w:qFormat/>
    <w:rsid w:val="00B15F7D"/>
    <w:pPr>
      <w:suppressAutoHyphens w:val="0"/>
      <w:spacing w:before="100" w:after="100"/>
    </w:pPr>
    <w:rPr>
      <w:rFonts w:eastAsia="Calibri"/>
      <w:lang w:val="es-CR" w:eastAsia="zh-CN"/>
    </w:rPr>
  </w:style>
  <w:style w:type="paragraph" w:customStyle="1" w:styleId="cuerpodetexto0">
    <w:name w:val="cuerpodetexto"/>
    <w:basedOn w:val="Normal"/>
    <w:uiPriority w:val="99"/>
    <w:qFormat/>
    <w:rsid w:val="00B15F7D"/>
    <w:pPr>
      <w:suppressAutoHyphens w:val="0"/>
      <w:autoSpaceDE w:val="0"/>
      <w:spacing w:after="120"/>
    </w:pPr>
    <w:rPr>
      <w:rFonts w:eastAsia="Calibri"/>
      <w:lang w:val="es-CR" w:eastAsia="zh-CN"/>
    </w:rPr>
  </w:style>
  <w:style w:type="paragraph" w:customStyle="1" w:styleId="predeterminado00">
    <w:name w:val="predeterminado0"/>
    <w:basedOn w:val="Normal"/>
    <w:uiPriority w:val="99"/>
    <w:qFormat/>
    <w:rsid w:val="00B15F7D"/>
    <w:pPr>
      <w:suppressAutoHyphens w:val="0"/>
      <w:autoSpaceDE w:val="0"/>
    </w:pPr>
    <w:rPr>
      <w:rFonts w:ascii="Trebuchet MS" w:eastAsia="Calibri" w:hAnsi="Trebuchet MS" w:cs="Calibri"/>
      <w:color w:val="000000"/>
      <w:sz w:val="48"/>
      <w:szCs w:val="48"/>
      <w:lang w:val="es-CR" w:eastAsia="zh-CN"/>
    </w:rPr>
  </w:style>
  <w:style w:type="paragraph" w:customStyle="1" w:styleId="normal20">
    <w:name w:val="normal2"/>
    <w:basedOn w:val="Normal"/>
    <w:uiPriority w:val="99"/>
    <w:qFormat/>
    <w:rsid w:val="00B15F7D"/>
    <w:pPr>
      <w:suppressAutoHyphens w:val="0"/>
    </w:pPr>
    <w:rPr>
      <w:rFonts w:eastAsia="Calibri"/>
      <w:lang w:val="es-CR" w:eastAsia="zh-CN"/>
    </w:rPr>
  </w:style>
  <w:style w:type="paragraph" w:customStyle="1" w:styleId="ww-predeterminado2">
    <w:name w:val="ww-predeterminado"/>
    <w:basedOn w:val="Normal"/>
    <w:uiPriority w:val="99"/>
    <w:qFormat/>
    <w:rsid w:val="00B15F7D"/>
    <w:pPr>
      <w:suppressAutoHyphens w:val="0"/>
      <w:autoSpaceDE w:val="0"/>
    </w:pPr>
    <w:rPr>
      <w:rFonts w:ascii="Arial" w:eastAsia="Calibri" w:hAnsi="Arial" w:cs="Arial"/>
      <w:lang w:val="es-CR" w:eastAsia="zh-CN"/>
    </w:rPr>
  </w:style>
  <w:style w:type="paragraph" w:customStyle="1" w:styleId="ww-predeterminado10">
    <w:name w:val="ww-predeterminado1"/>
    <w:basedOn w:val="Normal"/>
    <w:uiPriority w:val="99"/>
    <w:qFormat/>
    <w:rsid w:val="00B15F7D"/>
    <w:pPr>
      <w:suppressAutoHyphens w:val="0"/>
      <w:autoSpaceDE w:val="0"/>
    </w:pPr>
    <w:rPr>
      <w:rFonts w:eastAsia="Calibri"/>
      <w:lang w:val="es-CR" w:eastAsia="zh-CN"/>
    </w:rPr>
  </w:style>
  <w:style w:type="paragraph" w:customStyle="1" w:styleId="sinespaciado0">
    <w:name w:val="sinespaciado"/>
    <w:basedOn w:val="Normal"/>
    <w:uiPriority w:val="99"/>
    <w:qFormat/>
    <w:rsid w:val="00B15F7D"/>
    <w:pPr>
      <w:suppressAutoHyphens w:val="0"/>
      <w:autoSpaceDE w:val="0"/>
    </w:pPr>
    <w:rPr>
      <w:rFonts w:eastAsia="Calibri"/>
      <w:lang w:val="es-CR" w:eastAsia="zh-CN"/>
    </w:rPr>
  </w:style>
  <w:style w:type="paragraph" w:customStyle="1" w:styleId="listparagraph000">
    <w:name w:val="listparagraph00"/>
    <w:basedOn w:val="Normal"/>
    <w:uiPriority w:val="99"/>
    <w:qFormat/>
    <w:rsid w:val="00B15F7D"/>
    <w:pPr>
      <w:suppressAutoHyphens w:val="0"/>
      <w:spacing w:before="280" w:after="280"/>
    </w:pPr>
    <w:rPr>
      <w:rFonts w:eastAsia="Calibri"/>
      <w:lang w:val="es-CR" w:eastAsia="zh-CN"/>
    </w:rPr>
  </w:style>
  <w:style w:type="paragraph" w:customStyle="1" w:styleId="sangra3detindependiente100">
    <w:name w:val="sangra3detindependiente10"/>
    <w:basedOn w:val="Normal"/>
    <w:uiPriority w:val="99"/>
    <w:qFormat/>
    <w:rsid w:val="00B15F7D"/>
    <w:pPr>
      <w:suppressAutoHyphens w:val="0"/>
      <w:spacing w:after="120"/>
      <w:ind w:left="283"/>
    </w:pPr>
    <w:rPr>
      <w:rFonts w:eastAsia="Calibri"/>
      <w:sz w:val="16"/>
      <w:szCs w:val="16"/>
      <w:lang w:val="es-CR" w:eastAsia="zh-CN"/>
    </w:rPr>
  </w:style>
  <w:style w:type="paragraph" w:customStyle="1" w:styleId="nospacing0">
    <w:name w:val="nospacing0"/>
    <w:basedOn w:val="Normal"/>
    <w:uiPriority w:val="99"/>
    <w:qFormat/>
    <w:rsid w:val="00B15F7D"/>
    <w:pPr>
      <w:suppressAutoHyphens w:val="0"/>
    </w:pPr>
    <w:rPr>
      <w:rFonts w:ascii="Calibri" w:eastAsia="Calibri" w:hAnsi="Calibri" w:cs="Calibri"/>
      <w:sz w:val="22"/>
      <w:szCs w:val="22"/>
      <w:lang w:val="es-CR" w:eastAsia="zh-CN"/>
    </w:rPr>
  </w:style>
  <w:style w:type="paragraph" w:customStyle="1" w:styleId="estilopredeterminado0">
    <w:name w:val="estilopredeterminado"/>
    <w:basedOn w:val="Normal"/>
    <w:uiPriority w:val="99"/>
    <w:qFormat/>
    <w:rsid w:val="00B15F7D"/>
    <w:pPr>
      <w:suppressAutoHyphens w:val="0"/>
      <w:spacing w:after="200" w:line="276" w:lineRule="auto"/>
    </w:pPr>
    <w:rPr>
      <w:rFonts w:ascii="Calibri" w:eastAsia="Calibri" w:hAnsi="Calibri" w:cs="Calibri"/>
      <w:color w:val="00000A"/>
      <w:sz w:val="22"/>
      <w:szCs w:val="22"/>
      <w:lang w:val="es-CR" w:eastAsia="zh-CN"/>
    </w:rPr>
  </w:style>
  <w:style w:type="paragraph" w:customStyle="1" w:styleId="pblicodot">
    <w:name w:val="público.dot"/>
    <w:basedOn w:val="Normal"/>
    <w:uiPriority w:val="99"/>
    <w:qFormat/>
    <w:rsid w:val="00B15F7D"/>
    <w:pPr>
      <w:suppressAutoHyphens w:val="0"/>
      <w:spacing w:line="480" w:lineRule="auto"/>
      <w:jc w:val="both"/>
    </w:pPr>
    <w:rPr>
      <w:rFonts w:ascii="Courier 10cpi" w:eastAsia="Calibri" w:hAnsi="Courier 10cpi" w:cs="Calibri"/>
      <w:lang w:val="es-CR" w:eastAsia="zh-CN"/>
    </w:rPr>
  </w:style>
  <w:style w:type="paragraph" w:customStyle="1" w:styleId="Textopredeterminado">
    <w:name w:val="Texto predeterminado"/>
    <w:basedOn w:val="Normal"/>
    <w:uiPriority w:val="99"/>
    <w:qFormat/>
    <w:rsid w:val="00B15F7D"/>
    <w:pPr>
      <w:suppressAutoHyphens w:val="0"/>
    </w:pPr>
    <w:rPr>
      <w:rFonts w:eastAsia="Calibri"/>
      <w:color w:val="000000"/>
      <w:lang w:val="es-CR" w:eastAsia="zh-CN"/>
    </w:rPr>
  </w:style>
  <w:style w:type="paragraph" w:customStyle="1" w:styleId="Char">
    <w:name w:val="Char"/>
    <w:basedOn w:val="Normal"/>
    <w:uiPriority w:val="99"/>
    <w:qFormat/>
    <w:rsid w:val="00B15F7D"/>
    <w:pPr>
      <w:suppressAutoHyphens w:val="0"/>
      <w:jc w:val="both"/>
    </w:pPr>
    <w:rPr>
      <w:rFonts w:ascii="Arial" w:eastAsia="Calibri" w:hAnsi="Arial" w:cs="Arial"/>
      <w:lang w:val="es-CR" w:eastAsia="zh-CN"/>
    </w:rPr>
  </w:style>
  <w:style w:type="paragraph" w:customStyle="1" w:styleId="Ttulo14">
    <w:name w:val="T’tulo 1"/>
    <w:basedOn w:val="Normal"/>
    <w:uiPriority w:val="99"/>
    <w:qFormat/>
    <w:rsid w:val="00B15F7D"/>
    <w:pPr>
      <w:keepNext/>
      <w:suppressAutoHyphens w:val="0"/>
      <w:autoSpaceDE w:val="0"/>
      <w:jc w:val="both"/>
    </w:pPr>
    <w:rPr>
      <w:rFonts w:ascii="Arial" w:eastAsia="Calibri" w:hAnsi="Arial" w:cs="Arial"/>
      <w:b/>
      <w:bCs/>
      <w:color w:val="000000"/>
      <w:sz w:val="22"/>
      <w:szCs w:val="22"/>
      <w:lang w:val="es-CR" w:eastAsia="ja-JP"/>
    </w:rPr>
  </w:style>
  <w:style w:type="paragraph" w:customStyle="1" w:styleId="blocktext0">
    <w:name w:val="blocktext0"/>
    <w:basedOn w:val="Normal"/>
    <w:uiPriority w:val="99"/>
    <w:qFormat/>
    <w:rsid w:val="00B15F7D"/>
    <w:pPr>
      <w:suppressAutoHyphens w:val="0"/>
      <w:autoSpaceDE w:val="0"/>
      <w:ind w:left="680" w:right="680"/>
      <w:jc w:val="both"/>
    </w:pPr>
    <w:rPr>
      <w:rFonts w:ascii="Arial" w:eastAsia="Calibri" w:hAnsi="Arial" w:cs="Arial"/>
      <w:lang w:val="es-CR" w:eastAsia="ja-JP"/>
    </w:rPr>
  </w:style>
  <w:style w:type="paragraph" w:customStyle="1" w:styleId="Prder1">
    <w:name w:val="PÀ_Àr. der. 1"/>
    <w:basedOn w:val="Normal"/>
    <w:uiPriority w:val="99"/>
    <w:qFormat/>
    <w:rsid w:val="00B15F7D"/>
    <w:pPr>
      <w:shd w:val="clear" w:color="auto" w:fill="FFFFFF"/>
      <w:suppressAutoHyphens w:val="0"/>
      <w:autoSpaceDE w:val="0"/>
      <w:ind w:left="720" w:hanging="208"/>
    </w:pPr>
    <w:rPr>
      <w:rFonts w:ascii="Courier New" w:eastAsia="Calibri" w:hAnsi="Courier New" w:cs="Courier New"/>
      <w:color w:val="000000"/>
      <w:lang w:val="es-CR" w:eastAsia="ja-JP"/>
    </w:rPr>
  </w:style>
  <w:style w:type="paragraph" w:customStyle="1" w:styleId="Prder2">
    <w:name w:val="PÀ_Àr. der. 2"/>
    <w:basedOn w:val="Normal"/>
    <w:uiPriority w:val="99"/>
    <w:qFormat/>
    <w:rsid w:val="00B15F7D"/>
    <w:pPr>
      <w:shd w:val="clear" w:color="auto" w:fill="FFFFFF"/>
      <w:suppressAutoHyphens w:val="0"/>
      <w:autoSpaceDE w:val="0"/>
      <w:ind w:left="1440" w:hanging="294"/>
    </w:pPr>
    <w:rPr>
      <w:rFonts w:ascii="Courier New" w:eastAsia="Calibri" w:hAnsi="Courier New" w:cs="Courier New"/>
      <w:color w:val="000000"/>
      <w:lang w:val="es-CR" w:eastAsia="ja-JP"/>
    </w:rPr>
  </w:style>
  <w:style w:type="paragraph" w:customStyle="1" w:styleId="Prder3">
    <w:name w:val="PÀ_Àr. der. 3"/>
    <w:basedOn w:val="Normal"/>
    <w:uiPriority w:val="99"/>
    <w:qFormat/>
    <w:rsid w:val="00B15F7D"/>
    <w:pPr>
      <w:shd w:val="clear" w:color="auto" w:fill="FFFFFF"/>
      <w:suppressAutoHyphens w:val="0"/>
      <w:autoSpaceDE w:val="0"/>
      <w:ind w:left="2160" w:hanging="236"/>
    </w:pPr>
    <w:rPr>
      <w:rFonts w:ascii="Courier New" w:eastAsia="Calibri" w:hAnsi="Courier New" w:cs="Courier New"/>
      <w:color w:val="000000"/>
      <w:lang w:val="es-CR" w:eastAsia="ja-JP"/>
    </w:rPr>
  </w:style>
  <w:style w:type="paragraph" w:customStyle="1" w:styleId="Prder4">
    <w:name w:val="PÀ_Àr. der. 4"/>
    <w:basedOn w:val="Normal"/>
    <w:uiPriority w:val="99"/>
    <w:qFormat/>
    <w:rsid w:val="00B15F7D"/>
    <w:pPr>
      <w:shd w:val="clear" w:color="auto" w:fill="FFFFFF"/>
      <w:suppressAutoHyphens w:val="0"/>
      <w:autoSpaceDE w:val="0"/>
      <w:ind w:left="2880" w:hanging="236"/>
    </w:pPr>
    <w:rPr>
      <w:rFonts w:ascii="Courier New" w:eastAsia="Calibri" w:hAnsi="Courier New" w:cs="Courier New"/>
      <w:color w:val="000000"/>
      <w:lang w:val="es-CR" w:eastAsia="ja-JP"/>
    </w:rPr>
  </w:style>
  <w:style w:type="paragraph" w:customStyle="1" w:styleId="Documento1">
    <w:name w:val="Documento 1"/>
    <w:basedOn w:val="Normal"/>
    <w:uiPriority w:val="99"/>
    <w:qFormat/>
    <w:rsid w:val="00B15F7D"/>
    <w:pPr>
      <w:keepNext/>
      <w:shd w:val="clear" w:color="auto" w:fill="FFFFFF"/>
      <w:suppressAutoHyphens w:val="0"/>
      <w:autoSpaceDE w:val="0"/>
    </w:pPr>
    <w:rPr>
      <w:rFonts w:ascii="Courier New" w:eastAsia="Calibri" w:hAnsi="Courier New" w:cs="Courier New"/>
      <w:color w:val="000000"/>
      <w:lang w:val="es-CR" w:eastAsia="ja-JP"/>
    </w:rPr>
  </w:style>
  <w:style w:type="paragraph" w:customStyle="1" w:styleId="Prder5">
    <w:name w:val="PÀ_Àr. der. 5"/>
    <w:basedOn w:val="Normal"/>
    <w:uiPriority w:val="99"/>
    <w:qFormat/>
    <w:rsid w:val="00B15F7D"/>
    <w:pPr>
      <w:shd w:val="clear" w:color="auto" w:fill="FFFFFF"/>
      <w:suppressAutoHyphens w:val="0"/>
      <w:autoSpaceDE w:val="0"/>
      <w:ind w:left="3600" w:hanging="356"/>
    </w:pPr>
    <w:rPr>
      <w:rFonts w:ascii="Courier New" w:eastAsia="Calibri" w:hAnsi="Courier New" w:cs="Courier New"/>
      <w:color w:val="000000"/>
      <w:lang w:val="es-CR" w:eastAsia="ja-JP"/>
    </w:rPr>
  </w:style>
  <w:style w:type="paragraph" w:customStyle="1" w:styleId="Prder6">
    <w:name w:val="PÀ_Àr. der. 6"/>
    <w:basedOn w:val="Normal"/>
    <w:uiPriority w:val="99"/>
    <w:qFormat/>
    <w:rsid w:val="00B15F7D"/>
    <w:pPr>
      <w:shd w:val="clear" w:color="auto" w:fill="FFFFFF"/>
      <w:suppressAutoHyphens w:val="0"/>
      <w:autoSpaceDE w:val="0"/>
      <w:ind w:left="4320" w:hanging="356"/>
    </w:pPr>
    <w:rPr>
      <w:rFonts w:ascii="Courier New" w:eastAsia="Calibri" w:hAnsi="Courier New" w:cs="Courier New"/>
      <w:color w:val="000000"/>
      <w:lang w:val="es-CR" w:eastAsia="ja-JP"/>
    </w:rPr>
  </w:style>
  <w:style w:type="paragraph" w:customStyle="1" w:styleId="Prder7">
    <w:name w:val="PÀ_Àr. der. 7"/>
    <w:basedOn w:val="Normal"/>
    <w:uiPriority w:val="99"/>
    <w:qFormat/>
    <w:rsid w:val="00B15F7D"/>
    <w:pPr>
      <w:shd w:val="clear" w:color="auto" w:fill="FFFFFF"/>
      <w:suppressAutoHyphens w:val="0"/>
      <w:autoSpaceDE w:val="0"/>
      <w:ind w:left="5040" w:hanging="222"/>
    </w:pPr>
    <w:rPr>
      <w:rFonts w:ascii="Courier New" w:eastAsia="Calibri" w:hAnsi="Courier New" w:cs="Courier New"/>
      <w:color w:val="000000"/>
      <w:lang w:val="es-CR" w:eastAsia="ja-JP"/>
    </w:rPr>
  </w:style>
  <w:style w:type="paragraph" w:customStyle="1" w:styleId="Prder8">
    <w:name w:val="PÀ_Àr. der. 8"/>
    <w:basedOn w:val="Normal"/>
    <w:uiPriority w:val="99"/>
    <w:qFormat/>
    <w:rsid w:val="00B15F7D"/>
    <w:pPr>
      <w:shd w:val="clear" w:color="auto" w:fill="FFFFFF"/>
      <w:suppressAutoHyphens w:val="0"/>
      <w:autoSpaceDE w:val="0"/>
      <w:ind w:left="5760" w:hanging="270"/>
    </w:pPr>
    <w:rPr>
      <w:rFonts w:ascii="Courier New" w:eastAsia="Calibri" w:hAnsi="Courier New" w:cs="Courier New"/>
      <w:color w:val="000000"/>
      <w:lang w:val="es-CR" w:eastAsia="ja-JP"/>
    </w:rPr>
  </w:style>
  <w:style w:type="paragraph" w:customStyle="1" w:styleId="Tcnico4">
    <w:name w:val="TÀ)Àcnico 4"/>
    <w:basedOn w:val="Normal"/>
    <w:uiPriority w:val="99"/>
    <w:qFormat/>
    <w:rsid w:val="00B15F7D"/>
    <w:pPr>
      <w:shd w:val="clear" w:color="auto" w:fill="FFFFFF"/>
      <w:suppressAutoHyphens w:val="0"/>
      <w:autoSpaceDE w:val="0"/>
    </w:pPr>
    <w:rPr>
      <w:rFonts w:ascii="Courier New" w:eastAsia="Calibri" w:hAnsi="Courier New" w:cs="Courier New"/>
      <w:b/>
      <w:bCs/>
      <w:color w:val="000000"/>
      <w:lang w:val="es-CR" w:eastAsia="ja-JP"/>
    </w:rPr>
  </w:style>
  <w:style w:type="paragraph" w:customStyle="1" w:styleId="Tcnico5">
    <w:name w:val="TÀ)Àcnico 5"/>
    <w:basedOn w:val="Normal"/>
    <w:uiPriority w:val="99"/>
    <w:qFormat/>
    <w:rsid w:val="00B15F7D"/>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Tcnico6">
    <w:name w:val="TÀ)Àcnico 6"/>
    <w:basedOn w:val="Normal"/>
    <w:uiPriority w:val="99"/>
    <w:qFormat/>
    <w:rsid w:val="00B15F7D"/>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Tcnico7">
    <w:name w:val="TÀ)Àcnico 7"/>
    <w:basedOn w:val="Normal"/>
    <w:uiPriority w:val="99"/>
    <w:qFormat/>
    <w:rsid w:val="00B15F7D"/>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Tcnico8">
    <w:name w:val="TÀ)Àcnico 8"/>
    <w:basedOn w:val="Normal"/>
    <w:uiPriority w:val="99"/>
    <w:qFormat/>
    <w:rsid w:val="00B15F7D"/>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Escrlegal">
    <w:name w:val="Escr. legal"/>
    <w:basedOn w:val="Normal"/>
    <w:uiPriority w:val="99"/>
    <w:qFormat/>
    <w:rsid w:val="00B15F7D"/>
    <w:pPr>
      <w:shd w:val="clear" w:color="auto" w:fill="FFFFFF"/>
      <w:suppressAutoHyphens w:val="0"/>
      <w:autoSpaceDE w:val="0"/>
      <w:spacing w:line="240" w:lineRule="exact"/>
    </w:pPr>
    <w:rPr>
      <w:rFonts w:ascii="Courier New" w:eastAsia="Calibri" w:hAnsi="Courier New" w:cs="Courier New"/>
      <w:color w:val="000000"/>
      <w:lang w:val="es-CR" w:eastAsia="ja-JP"/>
    </w:rPr>
  </w:style>
  <w:style w:type="paragraph" w:customStyle="1" w:styleId="Sangranormal2">
    <w:name w:val="Sangría normal2"/>
    <w:basedOn w:val="Normal"/>
    <w:uiPriority w:val="99"/>
    <w:qFormat/>
    <w:rsid w:val="00B15F7D"/>
    <w:pPr>
      <w:suppressAutoHyphens w:val="0"/>
      <w:spacing w:line="360" w:lineRule="auto"/>
      <w:ind w:firstLine="567"/>
      <w:jc w:val="both"/>
    </w:pPr>
    <w:rPr>
      <w:rFonts w:ascii="Courier New" w:eastAsia="Calibri" w:hAnsi="Courier New" w:cs="Courier New"/>
      <w:lang w:val="es-CR" w:eastAsia="zh-CN"/>
    </w:rPr>
  </w:style>
  <w:style w:type="paragraph" w:customStyle="1" w:styleId="ww-texto">
    <w:name w:val="ww-texto"/>
    <w:basedOn w:val="Normal"/>
    <w:uiPriority w:val="99"/>
    <w:qFormat/>
    <w:rsid w:val="00B15F7D"/>
    <w:pPr>
      <w:suppressAutoHyphens w:val="0"/>
      <w:overflowPunct w:val="0"/>
      <w:autoSpaceDE w:val="0"/>
      <w:spacing w:after="120" w:line="240" w:lineRule="atLeast"/>
      <w:jc w:val="both"/>
    </w:pPr>
    <w:rPr>
      <w:rFonts w:ascii="Arial" w:eastAsia="Calibri" w:hAnsi="Arial" w:cs="Arial"/>
      <w:lang w:val="es-CR" w:eastAsia="ja-JP"/>
    </w:rPr>
  </w:style>
  <w:style w:type="paragraph" w:customStyle="1" w:styleId="listprocedureitem1">
    <w:name w:val="listprocedureitem1"/>
    <w:basedOn w:val="Normal"/>
    <w:uiPriority w:val="99"/>
    <w:qFormat/>
    <w:rsid w:val="00B15F7D"/>
    <w:pPr>
      <w:suppressAutoHyphens w:val="0"/>
      <w:overflowPunct w:val="0"/>
      <w:autoSpaceDE w:val="0"/>
      <w:spacing w:after="80" w:line="240" w:lineRule="atLeast"/>
      <w:ind w:left="238" w:hanging="238"/>
      <w:jc w:val="both"/>
    </w:pPr>
    <w:rPr>
      <w:rFonts w:ascii="Arial" w:eastAsia="Calibri" w:hAnsi="Arial" w:cs="Arial"/>
      <w:lang w:val="es-CR" w:eastAsia="ja-JP"/>
    </w:rPr>
  </w:style>
  <w:style w:type="paragraph" w:customStyle="1" w:styleId="textoindependiente3100">
    <w:name w:val="textoindependiente310"/>
    <w:basedOn w:val="Normal"/>
    <w:uiPriority w:val="99"/>
    <w:qFormat/>
    <w:rsid w:val="00B15F7D"/>
    <w:pPr>
      <w:suppressAutoHyphens w:val="0"/>
      <w:spacing w:before="280" w:after="280"/>
    </w:pPr>
    <w:rPr>
      <w:rFonts w:eastAsia="Calibri"/>
      <w:lang w:val="es-CR" w:eastAsia="ja-JP"/>
    </w:rPr>
  </w:style>
  <w:style w:type="paragraph" w:customStyle="1" w:styleId="Derechos0">
    <w:name w:val="Derechos"/>
    <w:basedOn w:val="Normal"/>
    <w:uiPriority w:val="99"/>
    <w:qFormat/>
    <w:rsid w:val="00B15F7D"/>
    <w:pPr>
      <w:suppressAutoHyphens w:val="0"/>
      <w:autoSpaceDE w:val="0"/>
      <w:jc w:val="both"/>
    </w:pPr>
    <w:rPr>
      <w:rFonts w:ascii="Helvetica" w:eastAsia="Calibri" w:hAnsi="Helvetica"/>
      <w:sz w:val="20"/>
      <w:szCs w:val="20"/>
      <w:lang w:val="es-CR" w:eastAsia="ja-JP"/>
    </w:rPr>
  </w:style>
  <w:style w:type="paragraph" w:customStyle="1" w:styleId="CarCarCarCarCarCarCarCarCar">
    <w:name w:val="Car Car Car Car Car Car Car Car Car"/>
    <w:basedOn w:val="Normal"/>
    <w:uiPriority w:val="99"/>
    <w:qFormat/>
    <w:rsid w:val="00B15F7D"/>
    <w:pPr>
      <w:suppressAutoHyphens w:val="0"/>
      <w:spacing w:after="160" w:line="240" w:lineRule="exact"/>
    </w:pPr>
    <w:rPr>
      <w:rFonts w:ascii="Arial" w:eastAsia="Calibri" w:hAnsi="Arial" w:cs="Arial"/>
      <w:lang w:val="es-CR" w:eastAsia="zh-CN"/>
    </w:rPr>
  </w:style>
  <w:style w:type="paragraph" w:customStyle="1" w:styleId="CarCarCarCarCarCarCarCarCar4">
    <w:name w:val="Car Car Car Car Car Car Car Car Car4"/>
    <w:basedOn w:val="Normal"/>
    <w:uiPriority w:val="99"/>
    <w:qFormat/>
    <w:rsid w:val="00B15F7D"/>
    <w:pPr>
      <w:suppressAutoHyphens w:val="0"/>
      <w:spacing w:after="160" w:line="240" w:lineRule="exact"/>
    </w:pPr>
    <w:rPr>
      <w:rFonts w:ascii="Arial" w:eastAsia="Calibri" w:hAnsi="Arial" w:cs="Arial"/>
      <w:lang w:val="es-CR" w:eastAsia="zh-CN"/>
    </w:rPr>
  </w:style>
  <w:style w:type="paragraph" w:customStyle="1" w:styleId="CarCarCarCarCarCarCarCarCar3">
    <w:name w:val="Car Car Car Car Car Car Car Car Car3"/>
    <w:basedOn w:val="Normal"/>
    <w:uiPriority w:val="99"/>
    <w:qFormat/>
    <w:rsid w:val="00B15F7D"/>
    <w:pPr>
      <w:suppressAutoHyphens w:val="0"/>
      <w:spacing w:after="160" w:line="240" w:lineRule="exact"/>
    </w:pPr>
    <w:rPr>
      <w:rFonts w:ascii="Arial" w:eastAsia="Calibri" w:hAnsi="Arial" w:cs="Arial"/>
      <w:lang w:val="es-CR" w:eastAsia="zh-CN"/>
    </w:rPr>
  </w:style>
  <w:style w:type="paragraph" w:customStyle="1" w:styleId="CarCarCarCarCarCarCarCarCar2">
    <w:name w:val="Car Car Car Car Car Car Car Car Car2"/>
    <w:basedOn w:val="Normal"/>
    <w:uiPriority w:val="99"/>
    <w:qFormat/>
    <w:rsid w:val="00B15F7D"/>
    <w:pPr>
      <w:suppressAutoHyphens w:val="0"/>
      <w:spacing w:after="160" w:line="240" w:lineRule="exact"/>
    </w:pPr>
    <w:rPr>
      <w:rFonts w:ascii="Arial" w:eastAsia="Calibri" w:hAnsi="Arial" w:cs="Arial"/>
      <w:lang w:val="es-CR" w:eastAsia="zh-CN"/>
    </w:rPr>
  </w:style>
  <w:style w:type="paragraph" w:customStyle="1" w:styleId="CarCarCarCarCarCarCarCarCar1">
    <w:name w:val="Car Car Car Car Car Car Car Car Car1"/>
    <w:basedOn w:val="Normal"/>
    <w:uiPriority w:val="99"/>
    <w:qFormat/>
    <w:rsid w:val="00B15F7D"/>
    <w:pPr>
      <w:suppressAutoHyphens w:val="0"/>
      <w:spacing w:after="160" w:line="240" w:lineRule="exact"/>
    </w:pPr>
    <w:rPr>
      <w:rFonts w:ascii="Arial" w:eastAsia="Calibri" w:hAnsi="Arial" w:cs="Arial"/>
      <w:lang w:val="es-CR" w:eastAsia="zh-CN"/>
    </w:rPr>
  </w:style>
  <w:style w:type="paragraph" w:customStyle="1" w:styleId="rvps2">
    <w:name w:val="rvps2"/>
    <w:basedOn w:val="Normal"/>
    <w:uiPriority w:val="99"/>
    <w:qFormat/>
    <w:rsid w:val="00B15F7D"/>
    <w:pPr>
      <w:suppressAutoHyphens w:val="0"/>
      <w:spacing w:line="480" w:lineRule="auto"/>
      <w:jc w:val="both"/>
    </w:pPr>
    <w:rPr>
      <w:rFonts w:eastAsia="Calibri"/>
      <w:lang w:val="es-CR" w:eastAsia="zh-CN"/>
    </w:rPr>
  </w:style>
  <w:style w:type="paragraph" w:customStyle="1" w:styleId="rvps25">
    <w:name w:val="rvps25"/>
    <w:basedOn w:val="Normal"/>
    <w:uiPriority w:val="99"/>
    <w:qFormat/>
    <w:rsid w:val="00B15F7D"/>
    <w:pPr>
      <w:suppressAutoHyphens w:val="0"/>
      <w:spacing w:line="480" w:lineRule="auto"/>
      <w:jc w:val="both"/>
    </w:pPr>
    <w:rPr>
      <w:rFonts w:eastAsia="Calibri"/>
      <w:lang w:val="es-CR" w:eastAsia="zh-CN"/>
    </w:rPr>
  </w:style>
  <w:style w:type="paragraph" w:customStyle="1" w:styleId="yiv7138735150msonormal">
    <w:name w:val="yiv7138735150msonormal"/>
    <w:basedOn w:val="Normal"/>
    <w:uiPriority w:val="99"/>
    <w:qFormat/>
    <w:rsid w:val="00B15F7D"/>
    <w:pPr>
      <w:suppressAutoHyphens w:val="0"/>
      <w:spacing w:before="280" w:after="280"/>
    </w:pPr>
    <w:rPr>
      <w:rFonts w:eastAsia="Calibri"/>
      <w:lang w:val="es-CR" w:eastAsia="zh-CN"/>
    </w:rPr>
  </w:style>
  <w:style w:type="paragraph" w:customStyle="1" w:styleId="Sangradet">
    <w:name w:val="Sangría de t"/>
    <w:basedOn w:val="Normal"/>
    <w:uiPriority w:val="99"/>
    <w:qFormat/>
    <w:rsid w:val="00B15F7D"/>
    <w:pPr>
      <w:suppressAutoHyphens w:val="0"/>
      <w:jc w:val="both"/>
    </w:pPr>
    <w:rPr>
      <w:rFonts w:ascii="Courier New" w:eastAsia="Calibri" w:hAnsi="Courier New" w:cs="Courier New"/>
      <w:spacing w:val="-3"/>
      <w:sz w:val="28"/>
      <w:szCs w:val="28"/>
      <w:lang w:val="es-CR" w:eastAsia="zh-CN"/>
    </w:rPr>
  </w:style>
  <w:style w:type="paragraph" w:customStyle="1" w:styleId="Sangra2det">
    <w:name w:val="Sangría 2 de t"/>
    <w:basedOn w:val="Normal"/>
    <w:uiPriority w:val="99"/>
    <w:qFormat/>
    <w:rsid w:val="00B15F7D"/>
    <w:pPr>
      <w:suppressAutoHyphens w:val="0"/>
      <w:ind w:firstLine="720"/>
      <w:jc w:val="both"/>
    </w:pPr>
    <w:rPr>
      <w:rFonts w:ascii="Book Antiqua" w:eastAsia="Calibri" w:hAnsi="Book Antiqua" w:cs="Calibri"/>
      <w:b/>
      <w:bCs/>
      <w:spacing w:val="-3"/>
      <w:lang w:val="es-CR" w:eastAsia="zh-CN"/>
    </w:rPr>
  </w:style>
  <w:style w:type="paragraph" w:customStyle="1" w:styleId="Sangra3det">
    <w:name w:val="Sangría 3 de t"/>
    <w:basedOn w:val="Normal"/>
    <w:uiPriority w:val="99"/>
    <w:qFormat/>
    <w:rsid w:val="00B15F7D"/>
    <w:pPr>
      <w:suppressAutoHyphens w:val="0"/>
      <w:ind w:firstLine="720"/>
      <w:jc w:val="both"/>
    </w:pPr>
    <w:rPr>
      <w:rFonts w:ascii="Book Antiqua" w:eastAsia="Calibri" w:hAnsi="Book Antiqua" w:cs="Calibri"/>
      <w:spacing w:val="-3"/>
      <w:lang w:val="es-CR" w:eastAsia="zh-CN"/>
    </w:rPr>
  </w:style>
  <w:style w:type="paragraph" w:customStyle="1" w:styleId="Sangradet1">
    <w:name w:val="Sangría de t1"/>
    <w:basedOn w:val="Normal"/>
    <w:uiPriority w:val="99"/>
    <w:qFormat/>
    <w:rsid w:val="00B15F7D"/>
    <w:pPr>
      <w:suppressAutoHyphens w:val="0"/>
      <w:jc w:val="both"/>
    </w:pPr>
    <w:rPr>
      <w:rFonts w:ascii="Book Antiqua" w:eastAsia="Calibri" w:hAnsi="Book Antiqua" w:cs="Calibri"/>
      <w:spacing w:val="-3"/>
      <w:lang w:val="es-CR" w:eastAsia="zh-CN"/>
    </w:rPr>
  </w:style>
  <w:style w:type="paragraph" w:customStyle="1" w:styleId="ubicador">
    <w:name w:val="ubicador"/>
    <w:basedOn w:val="Normal"/>
    <w:uiPriority w:val="99"/>
    <w:qFormat/>
    <w:rsid w:val="00B15F7D"/>
    <w:pPr>
      <w:suppressAutoHyphens w:val="0"/>
      <w:autoSpaceDE w:val="0"/>
      <w:spacing w:before="100" w:after="100"/>
    </w:pPr>
    <w:rPr>
      <w:rFonts w:eastAsia="Calibri"/>
      <w:vanish/>
      <w:lang w:val="es-CR" w:eastAsia="zh-CN"/>
    </w:rPr>
  </w:style>
  <w:style w:type="paragraph" w:customStyle="1" w:styleId="ubicadorinteligente">
    <w:name w:val="ubicadorinteligente"/>
    <w:basedOn w:val="Normal"/>
    <w:uiPriority w:val="99"/>
    <w:qFormat/>
    <w:rsid w:val="00B15F7D"/>
    <w:pPr>
      <w:suppressAutoHyphens w:val="0"/>
      <w:autoSpaceDE w:val="0"/>
      <w:spacing w:before="100" w:after="100"/>
    </w:pPr>
    <w:rPr>
      <w:rFonts w:eastAsia="Calibri"/>
      <w:lang w:val="es-CR" w:eastAsia="zh-CN"/>
    </w:rPr>
  </w:style>
  <w:style w:type="paragraph" w:customStyle="1" w:styleId="ttulo300">
    <w:name w:val="ttulo30"/>
    <w:basedOn w:val="Normal"/>
    <w:uiPriority w:val="99"/>
    <w:qFormat/>
    <w:rsid w:val="00B15F7D"/>
    <w:pPr>
      <w:suppressAutoHyphens w:val="0"/>
      <w:autoSpaceDE w:val="0"/>
      <w:spacing w:before="100" w:after="100"/>
    </w:pPr>
    <w:rPr>
      <w:rFonts w:eastAsia="Calibri"/>
      <w:lang w:val="es-CR" w:eastAsia="zh-CN"/>
    </w:rPr>
  </w:style>
  <w:style w:type="paragraph" w:customStyle="1" w:styleId="CarCar2CarCarCarCar">
    <w:name w:val="Car Car2 Car Car Car Car"/>
    <w:basedOn w:val="Normal"/>
    <w:uiPriority w:val="99"/>
    <w:qFormat/>
    <w:rsid w:val="00B15F7D"/>
    <w:pPr>
      <w:suppressAutoHyphens w:val="0"/>
      <w:autoSpaceDE w:val="0"/>
      <w:spacing w:after="160" w:line="240" w:lineRule="exact"/>
    </w:pPr>
    <w:rPr>
      <w:rFonts w:ascii="Verdana" w:eastAsia="Calibri" w:hAnsi="Verdana" w:cs="Calibri"/>
      <w:sz w:val="20"/>
      <w:szCs w:val="20"/>
      <w:lang w:val="es-CR" w:eastAsia="zh-CN"/>
    </w:rPr>
  </w:style>
  <w:style w:type="paragraph" w:customStyle="1" w:styleId="WW-Notaalpie">
    <w:name w:val="WW-Nota al pie"/>
    <w:basedOn w:val="Normal"/>
    <w:uiPriority w:val="99"/>
    <w:qFormat/>
    <w:rsid w:val="00B15F7D"/>
    <w:pPr>
      <w:suppressAutoHyphens w:val="0"/>
      <w:spacing w:line="276" w:lineRule="auto"/>
      <w:ind w:left="283" w:hanging="283"/>
    </w:pPr>
    <w:rPr>
      <w:rFonts w:eastAsia="Calibri"/>
      <w:sz w:val="20"/>
      <w:szCs w:val="20"/>
      <w:lang w:val="es-CR" w:eastAsia="zh-CN"/>
    </w:rPr>
  </w:style>
  <w:style w:type="paragraph" w:customStyle="1" w:styleId="ecxxxxmsonormal">
    <w:name w:val="ecxxxxmsonormal"/>
    <w:basedOn w:val="Normal"/>
    <w:uiPriority w:val="99"/>
    <w:qFormat/>
    <w:rsid w:val="00B15F7D"/>
    <w:pPr>
      <w:suppressAutoHyphens w:val="0"/>
      <w:spacing w:before="280" w:after="280"/>
    </w:pPr>
    <w:rPr>
      <w:rFonts w:eastAsia="Calibri"/>
      <w:lang w:val="es-CR" w:eastAsia="zh-CN"/>
    </w:rPr>
  </w:style>
  <w:style w:type="paragraph" w:customStyle="1" w:styleId="cierre10">
    <w:name w:val="cierre10"/>
    <w:basedOn w:val="Normal"/>
    <w:uiPriority w:val="99"/>
    <w:qFormat/>
    <w:rsid w:val="00B15F7D"/>
    <w:pPr>
      <w:suppressAutoHyphens w:val="0"/>
      <w:spacing w:before="280" w:after="280"/>
    </w:pPr>
    <w:rPr>
      <w:rFonts w:eastAsia="Calibri"/>
      <w:color w:val="000000"/>
      <w:lang w:val="es-CR" w:eastAsia="zh-CN"/>
    </w:rPr>
  </w:style>
  <w:style w:type="paragraph" w:customStyle="1" w:styleId="s15">
    <w:name w:val="s15"/>
    <w:basedOn w:val="Normal"/>
    <w:uiPriority w:val="99"/>
    <w:qFormat/>
    <w:rsid w:val="00B15F7D"/>
    <w:pPr>
      <w:suppressAutoHyphens w:val="0"/>
      <w:spacing w:before="100" w:after="100"/>
    </w:pPr>
    <w:rPr>
      <w:rFonts w:eastAsia="Calibri"/>
      <w:lang w:val="es-CR" w:eastAsia="zh-CN"/>
    </w:rPr>
  </w:style>
  <w:style w:type="paragraph" w:customStyle="1" w:styleId="s25">
    <w:name w:val="s25"/>
    <w:basedOn w:val="Normal"/>
    <w:uiPriority w:val="99"/>
    <w:qFormat/>
    <w:rsid w:val="00B15F7D"/>
    <w:pPr>
      <w:suppressAutoHyphens w:val="0"/>
      <w:spacing w:before="100" w:after="100"/>
    </w:pPr>
    <w:rPr>
      <w:rFonts w:eastAsia="Calibri"/>
      <w:lang w:val="es-CR" w:eastAsia="zh-CN"/>
    </w:rPr>
  </w:style>
  <w:style w:type="paragraph" w:customStyle="1" w:styleId="s26">
    <w:name w:val="s26"/>
    <w:basedOn w:val="Normal"/>
    <w:uiPriority w:val="99"/>
    <w:qFormat/>
    <w:rsid w:val="00B15F7D"/>
    <w:pPr>
      <w:suppressAutoHyphens w:val="0"/>
      <w:spacing w:before="100" w:after="100"/>
    </w:pPr>
    <w:rPr>
      <w:rFonts w:eastAsia="Calibri"/>
      <w:lang w:val="es-CR" w:eastAsia="zh-CN"/>
    </w:rPr>
  </w:style>
  <w:style w:type="paragraph" w:customStyle="1" w:styleId="fecha0">
    <w:name w:val="fecha"/>
    <w:basedOn w:val="Normal"/>
    <w:uiPriority w:val="99"/>
    <w:qFormat/>
    <w:rsid w:val="00B15F7D"/>
    <w:pPr>
      <w:suppressAutoHyphens w:val="0"/>
      <w:spacing w:before="280" w:after="280"/>
    </w:pPr>
    <w:rPr>
      <w:rFonts w:eastAsia="Calibri"/>
      <w:color w:val="666666"/>
      <w:lang w:val="es-CR" w:eastAsia="zh-CN"/>
    </w:rPr>
  </w:style>
  <w:style w:type="paragraph" w:customStyle="1" w:styleId="s19">
    <w:name w:val="s19"/>
    <w:basedOn w:val="Normal"/>
    <w:uiPriority w:val="99"/>
    <w:qFormat/>
    <w:rsid w:val="00B15F7D"/>
    <w:pPr>
      <w:suppressAutoHyphens w:val="0"/>
      <w:spacing w:before="100" w:after="100"/>
    </w:pPr>
    <w:rPr>
      <w:rFonts w:eastAsia="Calibri"/>
      <w:lang w:val="es-CR" w:eastAsia="zh-CN"/>
    </w:rPr>
  </w:style>
  <w:style w:type="paragraph" w:customStyle="1" w:styleId="s27">
    <w:name w:val="s27"/>
    <w:basedOn w:val="Normal"/>
    <w:uiPriority w:val="99"/>
    <w:qFormat/>
    <w:rsid w:val="00B15F7D"/>
    <w:pPr>
      <w:suppressAutoHyphens w:val="0"/>
      <w:spacing w:before="100" w:after="100"/>
    </w:pPr>
    <w:rPr>
      <w:rFonts w:eastAsia="Calibri"/>
      <w:lang w:val="es-CR" w:eastAsia="zh-CN"/>
    </w:rPr>
  </w:style>
  <w:style w:type="paragraph" w:customStyle="1" w:styleId="xl27">
    <w:name w:val="xl27"/>
    <w:basedOn w:val="Normal"/>
    <w:uiPriority w:val="99"/>
    <w:qFormat/>
    <w:rsid w:val="00B15F7D"/>
    <w:pPr>
      <w:suppressAutoHyphens w:val="0"/>
      <w:spacing w:before="100" w:after="100"/>
      <w:jc w:val="center"/>
    </w:pPr>
    <w:rPr>
      <w:rFonts w:ascii="Arial" w:eastAsia="Calibri" w:hAnsi="Arial" w:cs="Arial"/>
      <w:lang w:val="es-CR" w:eastAsia="zh-CN"/>
    </w:rPr>
  </w:style>
  <w:style w:type="paragraph" w:customStyle="1" w:styleId="Lneahorizontal">
    <w:name w:val="Línea horizontal"/>
    <w:basedOn w:val="Normal"/>
    <w:uiPriority w:val="99"/>
    <w:qFormat/>
    <w:rsid w:val="00B15F7D"/>
    <w:pPr>
      <w:suppressAutoHyphens w:val="0"/>
      <w:spacing w:after="283"/>
    </w:pPr>
    <w:rPr>
      <w:rFonts w:eastAsia="Calibri"/>
      <w:sz w:val="12"/>
      <w:szCs w:val="12"/>
      <w:lang w:val="es-CR" w:eastAsia="zh-CN"/>
    </w:rPr>
  </w:style>
  <w:style w:type="paragraph" w:customStyle="1" w:styleId="estilo29">
    <w:name w:val="estilo29"/>
    <w:basedOn w:val="Normal"/>
    <w:uiPriority w:val="99"/>
    <w:qFormat/>
    <w:rsid w:val="00B15F7D"/>
    <w:pPr>
      <w:suppressAutoHyphens w:val="0"/>
      <w:spacing w:before="280" w:after="280"/>
    </w:pPr>
    <w:rPr>
      <w:rFonts w:ascii="Arial" w:eastAsia="Calibri" w:hAnsi="Arial" w:cs="Arial"/>
      <w:b/>
      <w:bCs/>
      <w:lang w:val="es-CR" w:eastAsia="zh-CN"/>
    </w:rPr>
  </w:style>
  <w:style w:type="paragraph" w:customStyle="1" w:styleId="xl25">
    <w:name w:val="xl25"/>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28">
    <w:name w:val="xl28"/>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29">
    <w:name w:val="xl29"/>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30">
    <w:name w:val="xl30"/>
    <w:basedOn w:val="Normal"/>
    <w:uiPriority w:val="99"/>
    <w:qFormat/>
    <w:rsid w:val="00B15F7D"/>
    <w:pPr>
      <w:suppressAutoHyphens w:val="0"/>
      <w:spacing w:before="280" w:after="280"/>
    </w:pPr>
    <w:rPr>
      <w:rFonts w:ascii="Book Antiqua" w:eastAsia="Calibri" w:hAnsi="Book Antiqua" w:cs="Calibri"/>
      <w:sz w:val="22"/>
      <w:szCs w:val="22"/>
      <w:lang w:val="es-CR" w:eastAsia="zh-CN"/>
    </w:rPr>
  </w:style>
  <w:style w:type="paragraph" w:customStyle="1" w:styleId="xl31">
    <w:name w:val="xl31"/>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32">
    <w:name w:val="xl32"/>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33">
    <w:name w:val="xl33"/>
    <w:basedOn w:val="Normal"/>
    <w:uiPriority w:val="99"/>
    <w:qFormat/>
    <w:rsid w:val="00B15F7D"/>
    <w:pPr>
      <w:suppressAutoHyphens w:val="0"/>
      <w:spacing w:before="280" w:after="280"/>
      <w:jc w:val="center"/>
    </w:pPr>
    <w:rPr>
      <w:rFonts w:ascii="Book Antiqua" w:eastAsia="Calibri" w:hAnsi="Book Antiqua" w:cs="Calibri"/>
      <w:b/>
      <w:bCs/>
      <w:sz w:val="22"/>
      <w:szCs w:val="22"/>
      <w:lang w:val="es-CR" w:eastAsia="zh-CN"/>
    </w:rPr>
  </w:style>
  <w:style w:type="paragraph" w:customStyle="1" w:styleId="xl34">
    <w:name w:val="xl34"/>
    <w:basedOn w:val="Normal"/>
    <w:uiPriority w:val="99"/>
    <w:qFormat/>
    <w:rsid w:val="00B15F7D"/>
    <w:pPr>
      <w:suppressAutoHyphens w:val="0"/>
      <w:spacing w:before="280" w:after="280"/>
      <w:jc w:val="center"/>
    </w:pPr>
    <w:rPr>
      <w:rFonts w:ascii="Book Antiqua" w:eastAsia="Calibri" w:hAnsi="Book Antiqua" w:cs="Calibri"/>
      <w:b/>
      <w:bCs/>
      <w:sz w:val="22"/>
      <w:szCs w:val="22"/>
      <w:lang w:val="es-CR" w:eastAsia="zh-CN"/>
    </w:rPr>
  </w:style>
  <w:style w:type="paragraph" w:customStyle="1" w:styleId="xl35">
    <w:name w:val="xl35"/>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36">
    <w:name w:val="xl36"/>
    <w:basedOn w:val="Normal"/>
    <w:uiPriority w:val="99"/>
    <w:qFormat/>
    <w:rsid w:val="00B15F7D"/>
    <w:pPr>
      <w:suppressAutoHyphens w:val="0"/>
      <w:spacing w:before="280" w:after="280"/>
      <w:jc w:val="right"/>
    </w:pPr>
    <w:rPr>
      <w:rFonts w:ascii="Book Antiqua" w:eastAsia="Calibri" w:hAnsi="Book Antiqua" w:cs="Calibri"/>
      <w:b/>
      <w:bCs/>
      <w:sz w:val="22"/>
      <w:szCs w:val="22"/>
      <w:lang w:val="es-CR" w:eastAsia="zh-CN"/>
    </w:rPr>
  </w:style>
  <w:style w:type="paragraph" w:customStyle="1" w:styleId="xl37">
    <w:name w:val="xl37"/>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38">
    <w:name w:val="xl38"/>
    <w:basedOn w:val="Normal"/>
    <w:uiPriority w:val="99"/>
    <w:qFormat/>
    <w:rsid w:val="00B15F7D"/>
    <w:pPr>
      <w:suppressAutoHyphens w:val="0"/>
      <w:spacing w:before="280" w:after="280"/>
    </w:pPr>
    <w:rPr>
      <w:rFonts w:ascii="Book Antiqua" w:eastAsia="Calibri" w:hAnsi="Book Antiqua" w:cs="Calibri"/>
      <w:b/>
      <w:bCs/>
      <w:sz w:val="22"/>
      <w:szCs w:val="22"/>
      <w:u w:val="single"/>
      <w:lang w:val="es-CR" w:eastAsia="zh-CN"/>
    </w:rPr>
  </w:style>
  <w:style w:type="paragraph" w:customStyle="1" w:styleId="xl39">
    <w:name w:val="xl39"/>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41">
    <w:name w:val="xl41"/>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42">
    <w:name w:val="xl42"/>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43">
    <w:name w:val="xl43"/>
    <w:basedOn w:val="Normal"/>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44">
    <w:name w:val="xl44"/>
    <w:basedOn w:val="Normal"/>
    <w:uiPriority w:val="99"/>
    <w:qFormat/>
    <w:rsid w:val="00B15F7D"/>
    <w:pPr>
      <w:suppressAutoHyphens w:val="0"/>
      <w:spacing w:before="280" w:after="280"/>
    </w:pPr>
    <w:rPr>
      <w:rFonts w:ascii="Book Antiqua" w:eastAsia="Calibri" w:hAnsi="Book Antiqua" w:cs="Calibri"/>
      <w:sz w:val="22"/>
      <w:szCs w:val="22"/>
      <w:lang w:val="es-CR" w:eastAsia="zh-CN"/>
    </w:rPr>
  </w:style>
  <w:style w:type="paragraph" w:customStyle="1" w:styleId="xl45">
    <w:name w:val="xl45"/>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46">
    <w:name w:val="xl46"/>
    <w:basedOn w:val="Normal"/>
    <w:uiPriority w:val="99"/>
    <w:qFormat/>
    <w:rsid w:val="00B15F7D"/>
    <w:pPr>
      <w:suppressAutoHyphens w:val="0"/>
      <w:spacing w:before="280" w:after="280"/>
      <w:jc w:val="right"/>
    </w:pPr>
    <w:rPr>
      <w:rFonts w:ascii="Book Antiqua" w:eastAsia="Calibri" w:hAnsi="Book Antiqua" w:cs="Calibri"/>
      <w:b/>
      <w:bCs/>
      <w:sz w:val="22"/>
      <w:szCs w:val="22"/>
      <w:lang w:val="es-CR" w:eastAsia="zh-CN"/>
    </w:rPr>
  </w:style>
  <w:style w:type="paragraph" w:customStyle="1" w:styleId="xl47">
    <w:name w:val="xl47"/>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48">
    <w:name w:val="xl48"/>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49">
    <w:name w:val="xl49"/>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50">
    <w:name w:val="xl50"/>
    <w:basedOn w:val="Normal"/>
    <w:uiPriority w:val="99"/>
    <w:qFormat/>
    <w:rsid w:val="00B15F7D"/>
    <w:pPr>
      <w:suppressAutoHyphens w:val="0"/>
      <w:spacing w:before="280" w:after="280"/>
    </w:pPr>
    <w:rPr>
      <w:rFonts w:ascii="Book Antiqua" w:eastAsia="Calibri" w:hAnsi="Book Antiqua" w:cs="Calibri"/>
      <w:sz w:val="22"/>
      <w:szCs w:val="22"/>
      <w:lang w:val="es-CR" w:eastAsia="zh-CN"/>
    </w:rPr>
  </w:style>
  <w:style w:type="paragraph" w:customStyle="1" w:styleId="xl51">
    <w:name w:val="xl51"/>
    <w:basedOn w:val="Normal"/>
    <w:uiPriority w:val="99"/>
    <w:qFormat/>
    <w:rsid w:val="00B15F7D"/>
    <w:pPr>
      <w:suppressAutoHyphens w:val="0"/>
      <w:spacing w:before="280" w:after="280"/>
      <w:jc w:val="center"/>
    </w:pPr>
    <w:rPr>
      <w:rFonts w:ascii="Book Antiqua" w:eastAsia="Calibri" w:hAnsi="Book Antiqua" w:cs="Calibri"/>
      <w:b/>
      <w:bCs/>
      <w:sz w:val="22"/>
      <w:szCs w:val="22"/>
      <w:lang w:val="es-CR" w:eastAsia="zh-CN"/>
    </w:rPr>
  </w:style>
  <w:style w:type="paragraph" w:customStyle="1" w:styleId="xl52">
    <w:name w:val="xl52"/>
    <w:basedOn w:val="Normal"/>
    <w:uiPriority w:val="99"/>
    <w:qFormat/>
    <w:rsid w:val="00B15F7D"/>
    <w:pPr>
      <w:suppressAutoHyphens w:val="0"/>
      <w:spacing w:before="280" w:after="280"/>
    </w:pPr>
    <w:rPr>
      <w:rFonts w:ascii="Book Antiqua" w:eastAsia="Calibri" w:hAnsi="Book Antiqua" w:cs="Calibri"/>
      <w:b/>
      <w:bCs/>
      <w:sz w:val="22"/>
      <w:szCs w:val="22"/>
      <w:lang w:val="es-CR" w:eastAsia="zh-CN"/>
    </w:rPr>
  </w:style>
  <w:style w:type="paragraph" w:customStyle="1" w:styleId="xl53">
    <w:name w:val="xl53"/>
    <w:basedOn w:val="Normal"/>
    <w:uiPriority w:val="99"/>
    <w:qFormat/>
    <w:rsid w:val="00B15F7D"/>
    <w:pPr>
      <w:suppressAutoHyphens w:val="0"/>
      <w:spacing w:before="280" w:after="280"/>
      <w:jc w:val="right"/>
    </w:pPr>
    <w:rPr>
      <w:rFonts w:ascii="Book Antiqua" w:eastAsia="Calibri" w:hAnsi="Book Antiqua" w:cs="Calibri"/>
      <w:b/>
      <w:bCs/>
      <w:sz w:val="22"/>
      <w:szCs w:val="22"/>
      <w:lang w:val="es-CR" w:eastAsia="zh-CN"/>
    </w:rPr>
  </w:style>
  <w:style w:type="paragraph" w:customStyle="1" w:styleId="xl54">
    <w:name w:val="xl54"/>
    <w:basedOn w:val="Normal"/>
    <w:uiPriority w:val="99"/>
    <w:qFormat/>
    <w:rsid w:val="00B15F7D"/>
    <w:pPr>
      <w:shd w:val="clear" w:color="auto" w:fill="FFFFFF"/>
      <w:suppressAutoHyphens w:val="0"/>
      <w:spacing w:before="280" w:after="280"/>
    </w:pPr>
    <w:rPr>
      <w:rFonts w:ascii="Book Antiqua" w:eastAsia="Calibri" w:hAnsi="Book Antiqua" w:cs="Calibri"/>
      <w:b/>
      <w:bCs/>
      <w:sz w:val="22"/>
      <w:szCs w:val="22"/>
      <w:lang w:val="es-CR" w:eastAsia="zh-CN"/>
    </w:rPr>
  </w:style>
  <w:style w:type="paragraph" w:customStyle="1" w:styleId="xl55">
    <w:name w:val="xl55"/>
    <w:basedOn w:val="Normal"/>
    <w:uiPriority w:val="99"/>
    <w:qFormat/>
    <w:rsid w:val="00B15F7D"/>
    <w:pPr>
      <w:suppressAutoHyphens w:val="0"/>
      <w:spacing w:before="280" w:after="280"/>
    </w:pPr>
    <w:rPr>
      <w:rFonts w:ascii="Book Antiqua" w:eastAsia="Calibri" w:hAnsi="Book Antiqua" w:cs="Calibri"/>
      <w:b/>
      <w:bCs/>
      <w:sz w:val="26"/>
      <w:szCs w:val="26"/>
      <w:lang w:val="es-CR" w:eastAsia="zh-CN"/>
    </w:rPr>
  </w:style>
  <w:style w:type="paragraph" w:customStyle="1" w:styleId="xl56">
    <w:name w:val="xl56"/>
    <w:basedOn w:val="Normal"/>
    <w:uiPriority w:val="99"/>
    <w:qFormat/>
    <w:rsid w:val="00B15F7D"/>
    <w:pPr>
      <w:suppressAutoHyphens w:val="0"/>
      <w:spacing w:before="280" w:after="280"/>
    </w:pPr>
    <w:rPr>
      <w:rFonts w:ascii="Book Antiqua" w:eastAsia="Calibri" w:hAnsi="Book Antiqua" w:cs="Calibri"/>
      <w:b/>
      <w:bCs/>
      <w:sz w:val="26"/>
      <w:szCs w:val="26"/>
      <w:lang w:val="es-CR" w:eastAsia="zh-CN"/>
    </w:rPr>
  </w:style>
  <w:style w:type="paragraph" w:customStyle="1" w:styleId="xl58">
    <w:name w:val="xl58"/>
    <w:basedOn w:val="Normal"/>
    <w:uiPriority w:val="99"/>
    <w:qFormat/>
    <w:rsid w:val="00B15F7D"/>
    <w:pPr>
      <w:suppressAutoHyphens w:val="0"/>
      <w:spacing w:before="280" w:after="280"/>
    </w:pPr>
    <w:rPr>
      <w:rFonts w:ascii="Book Antiqua" w:eastAsia="Calibri" w:hAnsi="Book Antiqua" w:cs="Calibri"/>
      <w:sz w:val="26"/>
      <w:szCs w:val="26"/>
      <w:lang w:val="es-CR" w:eastAsia="zh-CN"/>
    </w:rPr>
  </w:style>
  <w:style w:type="paragraph" w:customStyle="1" w:styleId="xl59">
    <w:name w:val="xl59"/>
    <w:basedOn w:val="Normal"/>
    <w:uiPriority w:val="99"/>
    <w:qFormat/>
    <w:rsid w:val="00B15F7D"/>
    <w:pPr>
      <w:suppressAutoHyphens w:val="0"/>
      <w:spacing w:before="280" w:after="280"/>
    </w:pPr>
    <w:rPr>
      <w:rFonts w:ascii="Book Antiqua" w:eastAsia="Calibri" w:hAnsi="Book Antiqua" w:cs="Calibri"/>
      <w:sz w:val="26"/>
      <w:szCs w:val="26"/>
      <w:lang w:val="es-CR" w:eastAsia="zh-CN"/>
    </w:rPr>
  </w:style>
  <w:style w:type="paragraph" w:customStyle="1" w:styleId="xl60">
    <w:name w:val="xl60"/>
    <w:basedOn w:val="Normal"/>
    <w:uiPriority w:val="99"/>
    <w:qFormat/>
    <w:rsid w:val="00B15F7D"/>
    <w:pPr>
      <w:suppressAutoHyphens w:val="0"/>
      <w:spacing w:before="280" w:after="280"/>
    </w:pPr>
    <w:rPr>
      <w:rFonts w:ascii="Book Antiqua" w:eastAsia="Calibri" w:hAnsi="Book Antiqua" w:cs="Calibri"/>
      <w:b/>
      <w:bCs/>
      <w:sz w:val="26"/>
      <w:szCs w:val="26"/>
      <w:lang w:val="es-CR" w:eastAsia="zh-CN"/>
    </w:rPr>
  </w:style>
  <w:style w:type="paragraph" w:customStyle="1" w:styleId="xl61">
    <w:name w:val="xl61"/>
    <w:basedOn w:val="Normal"/>
    <w:uiPriority w:val="99"/>
    <w:qFormat/>
    <w:rsid w:val="00B15F7D"/>
    <w:pPr>
      <w:suppressAutoHyphens w:val="0"/>
      <w:spacing w:before="280" w:after="280"/>
    </w:pPr>
    <w:rPr>
      <w:rFonts w:ascii="Book Antiqua" w:eastAsia="Calibri" w:hAnsi="Book Antiqua" w:cs="Calibri"/>
      <w:sz w:val="26"/>
      <w:szCs w:val="26"/>
      <w:lang w:val="es-CR" w:eastAsia="zh-CN"/>
    </w:rPr>
  </w:style>
  <w:style w:type="paragraph" w:customStyle="1" w:styleId="xl62">
    <w:name w:val="xl62"/>
    <w:basedOn w:val="Normal"/>
    <w:uiPriority w:val="99"/>
    <w:qFormat/>
    <w:rsid w:val="00B15F7D"/>
    <w:pPr>
      <w:suppressAutoHyphens w:val="0"/>
      <w:spacing w:before="280" w:after="280"/>
    </w:pPr>
    <w:rPr>
      <w:rFonts w:ascii="Book Antiqua" w:eastAsia="Calibri" w:hAnsi="Book Antiqua" w:cs="Calibri"/>
      <w:b/>
      <w:bCs/>
      <w:sz w:val="26"/>
      <w:szCs w:val="26"/>
      <w:lang w:val="es-CR" w:eastAsia="zh-CN"/>
    </w:rPr>
  </w:style>
  <w:style w:type="paragraph" w:customStyle="1" w:styleId="heading1">
    <w:name w:val="heading1"/>
    <w:basedOn w:val="Normal"/>
    <w:uiPriority w:val="99"/>
    <w:qFormat/>
    <w:rsid w:val="00B15F7D"/>
    <w:pPr>
      <w:keepNext/>
      <w:suppressAutoHyphens w:val="0"/>
      <w:autoSpaceDE w:val="0"/>
      <w:spacing w:line="480" w:lineRule="auto"/>
      <w:ind w:left="720"/>
      <w:jc w:val="center"/>
    </w:pPr>
    <w:rPr>
      <w:rFonts w:ascii="Arial" w:eastAsia="Calibri" w:hAnsi="Arial" w:cs="Arial"/>
      <w:b/>
      <w:bCs/>
      <w:u w:val="single"/>
      <w:lang w:val="es-CR" w:eastAsia="zh-CN"/>
    </w:rPr>
  </w:style>
  <w:style w:type="paragraph" w:customStyle="1" w:styleId="ttulo70">
    <w:name w:val="ttulo7"/>
    <w:basedOn w:val="Normal"/>
    <w:uiPriority w:val="99"/>
    <w:qFormat/>
    <w:rsid w:val="00B15F7D"/>
    <w:pPr>
      <w:keepNext/>
      <w:suppressAutoHyphens w:val="0"/>
      <w:autoSpaceDE w:val="0"/>
      <w:jc w:val="both"/>
    </w:pPr>
    <w:rPr>
      <w:rFonts w:ascii="Arial" w:eastAsia="Calibri" w:hAnsi="Arial" w:cs="Arial"/>
      <w:b/>
      <w:bCs/>
      <w:u w:val="single"/>
      <w:lang w:val="es-CR" w:eastAsia="zh-CN"/>
    </w:rPr>
  </w:style>
  <w:style w:type="paragraph" w:customStyle="1" w:styleId="bodytextindent2">
    <w:name w:val="bodytextindent2"/>
    <w:basedOn w:val="Normal"/>
    <w:uiPriority w:val="99"/>
    <w:qFormat/>
    <w:rsid w:val="00B15F7D"/>
    <w:pPr>
      <w:suppressAutoHyphens w:val="0"/>
      <w:autoSpaceDE w:val="0"/>
      <w:spacing w:line="480" w:lineRule="auto"/>
      <w:ind w:firstLine="708"/>
      <w:jc w:val="both"/>
    </w:pPr>
    <w:rPr>
      <w:rFonts w:ascii="Arial" w:eastAsia="Calibri" w:hAnsi="Arial" w:cs="Arial"/>
      <w:u w:val="single"/>
      <w:lang w:val="es-CR" w:eastAsia="zh-CN"/>
    </w:rPr>
  </w:style>
  <w:style w:type="paragraph" w:customStyle="1" w:styleId="estilo12">
    <w:name w:val="estilo12"/>
    <w:basedOn w:val="Normal"/>
    <w:uiPriority w:val="99"/>
    <w:qFormat/>
    <w:rsid w:val="00B15F7D"/>
    <w:pPr>
      <w:suppressAutoHyphens w:val="0"/>
      <w:spacing w:before="280" w:after="280"/>
    </w:pPr>
    <w:rPr>
      <w:rFonts w:ascii="Arial" w:eastAsia="Calibri" w:hAnsi="Arial" w:cs="Arial"/>
      <w:color w:val="003366"/>
      <w:sz w:val="21"/>
      <w:szCs w:val="21"/>
      <w:lang w:val="es-CR" w:eastAsia="zh-CN"/>
    </w:rPr>
  </w:style>
  <w:style w:type="paragraph" w:customStyle="1" w:styleId="Ttulo38">
    <w:name w:val="TÕtulo 3"/>
    <w:basedOn w:val="Normal"/>
    <w:uiPriority w:val="99"/>
    <w:qFormat/>
    <w:rsid w:val="00B15F7D"/>
    <w:pPr>
      <w:keepNext/>
      <w:suppressAutoHyphens w:val="0"/>
      <w:autoSpaceDE w:val="0"/>
      <w:jc w:val="both"/>
    </w:pPr>
    <w:rPr>
      <w:rFonts w:ascii="Tahoma" w:eastAsia="Calibri" w:hAnsi="Tahoma" w:cs="Tahoma"/>
      <w:b/>
      <w:bCs/>
      <w:u w:val="single"/>
      <w:lang w:val="es-CR" w:eastAsia="zh-CN"/>
    </w:rPr>
  </w:style>
  <w:style w:type="paragraph" w:customStyle="1" w:styleId="Ttulo74">
    <w:name w:val="T’tulo 7"/>
    <w:basedOn w:val="Normal"/>
    <w:uiPriority w:val="99"/>
    <w:qFormat/>
    <w:rsid w:val="00B15F7D"/>
    <w:pPr>
      <w:keepNext/>
      <w:suppressAutoHyphens w:val="0"/>
      <w:autoSpaceDE w:val="0"/>
      <w:jc w:val="both"/>
    </w:pPr>
    <w:rPr>
      <w:rFonts w:ascii="Arial" w:eastAsia="Calibri" w:hAnsi="Arial" w:cs="Arial"/>
      <w:b/>
      <w:bCs/>
      <w:u w:val="single"/>
      <w:lang w:val="es-CR" w:eastAsia="zh-CN"/>
    </w:rPr>
  </w:style>
  <w:style w:type="paragraph" w:customStyle="1" w:styleId="estilo2estilo3">
    <w:name w:val="estilo2estilo3"/>
    <w:basedOn w:val="Normal"/>
    <w:uiPriority w:val="99"/>
    <w:qFormat/>
    <w:rsid w:val="00B15F7D"/>
    <w:pPr>
      <w:suppressAutoHyphens w:val="0"/>
      <w:spacing w:before="280" w:after="280"/>
    </w:pPr>
    <w:rPr>
      <w:rFonts w:eastAsia="Calibri"/>
      <w:lang w:val="es-CR" w:eastAsia="zh-CN"/>
    </w:rPr>
  </w:style>
  <w:style w:type="paragraph" w:customStyle="1" w:styleId="CM3">
    <w:name w:val="CM3"/>
    <w:basedOn w:val="Normal"/>
    <w:uiPriority w:val="99"/>
    <w:qFormat/>
    <w:rsid w:val="00B15F7D"/>
    <w:pPr>
      <w:suppressAutoHyphens w:val="0"/>
      <w:autoSpaceDE w:val="0"/>
      <w:spacing w:line="233" w:lineRule="atLeast"/>
    </w:pPr>
    <w:rPr>
      <w:rFonts w:ascii="Arial" w:eastAsia="Calibri" w:hAnsi="Arial" w:cs="Arial"/>
      <w:lang w:val="es-CR" w:eastAsia="zh-CN"/>
    </w:rPr>
  </w:style>
  <w:style w:type="paragraph" w:customStyle="1" w:styleId="x4000">
    <w:name w:val="x4000"/>
    <w:basedOn w:val="Normal"/>
    <w:uiPriority w:val="99"/>
    <w:qFormat/>
    <w:rsid w:val="00B15F7D"/>
    <w:pPr>
      <w:suppressAutoHyphens w:val="0"/>
      <w:overflowPunct w:val="0"/>
      <w:autoSpaceDE w:val="0"/>
      <w:ind w:right="567"/>
    </w:pPr>
    <w:rPr>
      <w:rFonts w:ascii="Courier" w:eastAsia="Calibri" w:hAnsi="Courier" w:cs="Calibri"/>
      <w:caps/>
      <w:sz w:val="22"/>
      <w:szCs w:val="22"/>
      <w:lang w:val="es-CR" w:eastAsia="zh-CN"/>
    </w:rPr>
  </w:style>
  <w:style w:type="paragraph" w:customStyle="1" w:styleId="Noparagraphstyle">
    <w:name w:val="[No paragraph style]"/>
    <w:basedOn w:val="Normal"/>
    <w:uiPriority w:val="99"/>
    <w:qFormat/>
    <w:rsid w:val="00B15F7D"/>
    <w:pPr>
      <w:suppressAutoHyphens w:val="0"/>
      <w:autoSpaceDE w:val="0"/>
      <w:spacing w:line="288" w:lineRule="auto"/>
    </w:pPr>
    <w:rPr>
      <w:rFonts w:eastAsia="Calibri"/>
      <w:color w:val="000000"/>
      <w:lang w:val="es-CR" w:eastAsia="zh-CN"/>
    </w:rPr>
  </w:style>
  <w:style w:type="paragraph" w:customStyle="1" w:styleId="xl57">
    <w:name w:val="xl57"/>
    <w:basedOn w:val="Normal"/>
    <w:uiPriority w:val="99"/>
    <w:qFormat/>
    <w:rsid w:val="00B15F7D"/>
    <w:pPr>
      <w:shd w:val="clear" w:color="auto" w:fill="CCFFFF"/>
      <w:suppressAutoHyphens w:val="0"/>
      <w:spacing w:before="280" w:after="280"/>
      <w:jc w:val="center"/>
    </w:pPr>
    <w:rPr>
      <w:rFonts w:ascii="Arial" w:eastAsia="Calibri" w:hAnsi="Arial" w:cs="Arial"/>
      <w:b/>
      <w:bCs/>
      <w:color w:val="000000"/>
      <w:sz w:val="16"/>
      <w:szCs w:val="16"/>
      <w:lang w:val="es-CR" w:eastAsia="zh-CN"/>
    </w:rPr>
  </w:style>
  <w:style w:type="paragraph" w:customStyle="1" w:styleId="xl22">
    <w:name w:val="xl22"/>
    <w:basedOn w:val="Normal"/>
    <w:uiPriority w:val="99"/>
    <w:qFormat/>
    <w:rsid w:val="00B15F7D"/>
    <w:pPr>
      <w:suppressAutoHyphens w:val="0"/>
      <w:spacing w:before="280" w:after="280"/>
      <w:jc w:val="center"/>
    </w:pPr>
    <w:rPr>
      <w:rFonts w:ascii="Arial" w:eastAsia="Calibri" w:hAnsi="Arial" w:cs="Arial"/>
      <w:b/>
      <w:bCs/>
      <w:sz w:val="16"/>
      <w:szCs w:val="16"/>
      <w:lang w:val="es-CR" w:eastAsia="zh-CN"/>
    </w:rPr>
  </w:style>
  <w:style w:type="paragraph" w:customStyle="1" w:styleId="xl23">
    <w:name w:val="xl23"/>
    <w:basedOn w:val="Normal"/>
    <w:uiPriority w:val="99"/>
    <w:qFormat/>
    <w:rsid w:val="00B15F7D"/>
    <w:pPr>
      <w:suppressAutoHyphens w:val="0"/>
      <w:spacing w:before="280" w:after="280"/>
      <w:jc w:val="center"/>
    </w:pPr>
    <w:rPr>
      <w:rFonts w:ascii="Arial" w:eastAsia="Calibri" w:hAnsi="Arial" w:cs="Arial"/>
      <w:lang w:val="es-CR" w:eastAsia="zh-CN"/>
    </w:rPr>
  </w:style>
  <w:style w:type="paragraph" w:customStyle="1" w:styleId="LO-normal10">
    <w:name w:val="LO-normal1"/>
    <w:basedOn w:val="Normal"/>
    <w:uiPriority w:val="99"/>
    <w:qFormat/>
    <w:rsid w:val="00B15F7D"/>
    <w:pPr>
      <w:suppressAutoHyphens w:val="0"/>
    </w:pPr>
    <w:rPr>
      <w:rFonts w:eastAsia="Calibri"/>
      <w:color w:val="000000"/>
      <w:lang w:val="es-CR" w:eastAsia="zh-CN"/>
    </w:rPr>
  </w:style>
  <w:style w:type="paragraph" w:customStyle="1" w:styleId="normal100">
    <w:name w:val="normal10"/>
    <w:basedOn w:val="Normal"/>
    <w:uiPriority w:val="99"/>
    <w:qFormat/>
    <w:rsid w:val="00B15F7D"/>
    <w:pPr>
      <w:suppressAutoHyphens w:val="0"/>
    </w:pPr>
    <w:rPr>
      <w:rFonts w:eastAsia="Calibri"/>
      <w:color w:val="000000"/>
      <w:lang w:val="es-CR" w:eastAsia="zh-CN"/>
    </w:rPr>
  </w:style>
  <w:style w:type="paragraph" w:customStyle="1" w:styleId="h-subtitle01italics0">
    <w:name w:val="h-subtitle01italics"/>
    <w:basedOn w:val="Normal"/>
    <w:uiPriority w:val="99"/>
    <w:qFormat/>
    <w:rsid w:val="00B15F7D"/>
    <w:pPr>
      <w:keepNext/>
      <w:suppressAutoHyphens w:val="0"/>
      <w:spacing w:before="240" w:after="120"/>
    </w:pPr>
    <w:rPr>
      <w:rFonts w:ascii="Arial" w:eastAsia="Calibri" w:hAnsi="Arial" w:cs="Arial"/>
      <w:i/>
      <w:iCs/>
      <w:lang w:val="es-CR" w:eastAsia="zh-CN"/>
    </w:rPr>
  </w:style>
  <w:style w:type="paragraph" w:customStyle="1" w:styleId="bodytextarial">
    <w:name w:val="bodytextarial"/>
    <w:basedOn w:val="Normal"/>
    <w:uiPriority w:val="99"/>
    <w:qFormat/>
    <w:rsid w:val="00B15F7D"/>
    <w:pPr>
      <w:suppressAutoHyphens w:val="0"/>
      <w:spacing w:before="60" w:after="180" w:line="312" w:lineRule="auto"/>
    </w:pPr>
    <w:rPr>
      <w:rFonts w:ascii="Arial" w:eastAsia="Calibri" w:hAnsi="Arial" w:cs="Arial"/>
      <w:lang w:val="es-CR" w:eastAsia="zh-CN"/>
    </w:rPr>
  </w:style>
  <w:style w:type="paragraph" w:customStyle="1" w:styleId="captulottuloapndice">
    <w:name w:val="captulottuloapndice"/>
    <w:basedOn w:val="Normal"/>
    <w:uiPriority w:val="99"/>
    <w:qFormat/>
    <w:rsid w:val="00B15F7D"/>
    <w:pPr>
      <w:keepNext/>
      <w:suppressAutoHyphens w:val="0"/>
      <w:overflowPunct w:val="0"/>
      <w:autoSpaceDE w:val="0"/>
      <w:spacing w:line="680" w:lineRule="atLeast"/>
      <w:jc w:val="right"/>
    </w:pPr>
    <w:rPr>
      <w:rFonts w:eastAsia="Calibri"/>
      <w:sz w:val="68"/>
      <w:szCs w:val="68"/>
      <w:lang w:val="es-CR" w:eastAsia="zh-CN"/>
    </w:rPr>
  </w:style>
  <w:style w:type="paragraph" w:customStyle="1" w:styleId="p4">
    <w:name w:val="p4"/>
    <w:basedOn w:val="Normal"/>
    <w:uiPriority w:val="99"/>
    <w:qFormat/>
    <w:rsid w:val="00B15F7D"/>
    <w:pPr>
      <w:suppressAutoHyphens w:val="0"/>
      <w:autoSpaceDE w:val="0"/>
      <w:jc w:val="both"/>
    </w:pPr>
    <w:rPr>
      <w:rFonts w:eastAsia="Calibri"/>
      <w:lang w:val="es-CR" w:eastAsia="zh-CN"/>
    </w:rPr>
  </w:style>
  <w:style w:type="paragraph" w:customStyle="1" w:styleId="p5">
    <w:name w:val="p5"/>
    <w:basedOn w:val="Normal"/>
    <w:uiPriority w:val="99"/>
    <w:qFormat/>
    <w:rsid w:val="00B15F7D"/>
    <w:pPr>
      <w:suppressAutoHyphens w:val="0"/>
      <w:autoSpaceDE w:val="0"/>
      <w:ind w:firstLine="340"/>
      <w:jc w:val="both"/>
    </w:pPr>
    <w:rPr>
      <w:rFonts w:eastAsia="Calibri"/>
      <w:lang w:val="es-CR" w:eastAsia="zh-CN"/>
    </w:rPr>
  </w:style>
  <w:style w:type="paragraph" w:customStyle="1" w:styleId="subtituloblue">
    <w:name w:val="subtituloblue"/>
    <w:basedOn w:val="Normal"/>
    <w:uiPriority w:val="99"/>
    <w:qFormat/>
    <w:rsid w:val="00B15F7D"/>
    <w:pPr>
      <w:suppressAutoHyphens w:val="0"/>
      <w:spacing w:before="280" w:after="280"/>
    </w:pPr>
    <w:rPr>
      <w:rFonts w:ascii="Georgia" w:eastAsia="Calibri" w:hAnsi="Georgia" w:cs="Calibri"/>
      <w:b/>
      <w:bCs/>
      <w:i/>
      <w:iCs/>
      <w:color w:val="3C5487"/>
      <w:sz w:val="18"/>
      <w:szCs w:val="18"/>
      <w:lang w:val="es-CR" w:eastAsia="zh-CN"/>
    </w:rPr>
  </w:style>
  <w:style w:type="paragraph" w:customStyle="1" w:styleId="noparagraphstyle0">
    <w:name w:val="noparagraphstyle"/>
    <w:basedOn w:val="Normal"/>
    <w:uiPriority w:val="99"/>
    <w:qFormat/>
    <w:rsid w:val="00B15F7D"/>
    <w:pPr>
      <w:suppressAutoHyphens w:val="0"/>
      <w:spacing w:before="280" w:after="280"/>
    </w:pPr>
    <w:rPr>
      <w:rFonts w:eastAsia="Calibri"/>
      <w:lang w:val="es-CR" w:eastAsia="zh-CN"/>
    </w:rPr>
  </w:style>
  <w:style w:type="paragraph" w:customStyle="1" w:styleId="etiqueta0">
    <w:name w:val="etiqueta"/>
    <w:basedOn w:val="Normal"/>
    <w:uiPriority w:val="99"/>
    <w:qFormat/>
    <w:rsid w:val="00B15F7D"/>
    <w:pPr>
      <w:suppressAutoHyphens w:val="0"/>
      <w:spacing w:before="120" w:after="120"/>
    </w:pPr>
    <w:rPr>
      <w:rFonts w:eastAsia="Calibri"/>
      <w:i/>
      <w:iCs/>
      <w:lang w:val="es-CR" w:eastAsia="zh-CN"/>
    </w:rPr>
  </w:style>
  <w:style w:type="paragraph" w:customStyle="1" w:styleId="ndice0">
    <w:name w:val="ndice"/>
    <w:basedOn w:val="Normal"/>
    <w:uiPriority w:val="99"/>
    <w:qFormat/>
    <w:rsid w:val="00B15F7D"/>
    <w:pPr>
      <w:suppressAutoHyphens w:val="0"/>
    </w:pPr>
    <w:rPr>
      <w:rFonts w:eastAsia="Calibri"/>
      <w:lang w:val="es-CR" w:eastAsia="zh-CN"/>
    </w:rPr>
  </w:style>
  <w:style w:type="paragraph" w:customStyle="1" w:styleId="encabezado12">
    <w:name w:val="encabezado1"/>
    <w:basedOn w:val="Normal"/>
    <w:uiPriority w:val="99"/>
    <w:qFormat/>
    <w:rsid w:val="00B15F7D"/>
    <w:pPr>
      <w:keepNext/>
      <w:suppressAutoHyphens w:val="0"/>
      <w:spacing w:before="240" w:after="120"/>
    </w:pPr>
    <w:rPr>
      <w:rFonts w:ascii="Arial" w:eastAsia="Calibri" w:hAnsi="Arial" w:cs="Arial"/>
      <w:sz w:val="28"/>
      <w:szCs w:val="28"/>
      <w:lang w:val="es-CR" w:eastAsia="zh-CN"/>
    </w:rPr>
  </w:style>
  <w:style w:type="paragraph" w:customStyle="1" w:styleId="t3fulo70">
    <w:name w:val="t3fulo7"/>
    <w:basedOn w:val="Normal"/>
    <w:uiPriority w:val="99"/>
    <w:qFormat/>
    <w:rsid w:val="00B15F7D"/>
    <w:pPr>
      <w:keepNext/>
      <w:shd w:val="clear" w:color="auto" w:fill="FFFFFF"/>
      <w:suppressAutoHyphens w:val="0"/>
      <w:autoSpaceDE w:val="0"/>
      <w:jc w:val="both"/>
    </w:pPr>
    <w:rPr>
      <w:rFonts w:ascii="Arial" w:eastAsia="Calibri" w:hAnsi="Arial" w:cs="Arial"/>
      <w:b/>
      <w:bCs/>
      <w:u w:val="single"/>
      <w:lang w:val="es-CR" w:eastAsia="zh-CN"/>
    </w:rPr>
  </w:style>
  <w:style w:type="paragraph" w:customStyle="1" w:styleId="contenidodelmarco0">
    <w:name w:val="contenidodelmarco"/>
    <w:basedOn w:val="Normal"/>
    <w:uiPriority w:val="99"/>
    <w:qFormat/>
    <w:rsid w:val="00B15F7D"/>
    <w:pPr>
      <w:suppressAutoHyphens w:val="0"/>
      <w:spacing w:after="120"/>
    </w:pPr>
    <w:rPr>
      <w:rFonts w:eastAsia="Calibri"/>
      <w:lang w:val="es-CR" w:eastAsia="zh-CN"/>
    </w:rPr>
  </w:style>
  <w:style w:type="paragraph" w:customStyle="1" w:styleId="encabezadodelatabla0">
    <w:name w:val="encabezadodelatabla"/>
    <w:basedOn w:val="Normal"/>
    <w:uiPriority w:val="99"/>
    <w:qFormat/>
    <w:rsid w:val="00B15F7D"/>
    <w:pPr>
      <w:suppressAutoHyphens w:val="0"/>
      <w:jc w:val="center"/>
    </w:pPr>
    <w:rPr>
      <w:rFonts w:eastAsia="Calibri"/>
      <w:b/>
      <w:bCs/>
      <w:lang w:val="es-CR" w:eastAsia="zh-CN"/>
    </w:rPr>
  </w:style>
  <w:style w:type="paragraph" w:customStyle="1" w:styleId="encabezado100">
    <w:name w:val="encabezado10"/>
    <w:basedOn w:val="Normal"/>
    <w:uiPriority w:val="99"/>
    <w:qFormat/>
    <w:rsid w:val="00B15F7D"/>
    <w:pPr>
      <w:keepNext/>
      <w:suppressAutoHyphens w:val="0"/>
      <w:spacing w:before="240" w:after="120"/>
    </w:pPr>
    <w:rPr>
      <w:rFonts w:ascii="Arial" w:eastAsia="Calibri" w:hAnsi="Arial" w:cs="Arial"/>
      <w:b/>
      <w:bCs/>
      <w:sz w:val="21"/>
      <w:szCs w:val="21"/>
      <w:lang w:val="es-CR" w:eastAsia="zh-CN"/>
    </w:rPr>
  </w:style>
  <w:style w:type="paragraph" w:customStyle="1" w:styleId="WW-Texto0">
    <w:name w:val="WW-Texto"/>
    <w:basedOn w:val="Normal"/>
    <w:uiPriority w:val="99"/>
    <w:qFormat/>
    <w:rsid w:val="00B15F7D"/>
    <w:pPr>
      <w:suppressAutoHyphens w:val="0"/>
      <w:overflowPunct w:val="0"/>
      <w:autoSpaceDE w:val="0"/>
      <w:spacing w:after="120" w:line="240" w:lineRule="exact"/>
      <w:jc w:val="both"/>
    </w:pPr>
    <w:rPr>
      <w:rFonts w:ascii="Arial" w:eastAsia="Calibri" w:hAnsi="Arial" w:cs="Arial"/>
      <w:lang w:val="es-CR" w:eastAsia="zh-CN"/>
    </w:rPr>
  </w:style>
  <w:style w:type="paragraph" w:customStyle="1" w:styleId="ListProcedureItem10">
    <w:name w:val="List Procedure Item 1"/>
    <w:basedOn w:val="Normal"/>
    <w:uiPriority w:val="99"/>
    <w:qFormat/>
    <w:rsid w:val="00B15F7D"/>
    <w:pPr>
      <w:suppressAutoHyphens w:val="0"/>
      <w:overflowPunct w:val="0"/>
      <w:autoSpaceDE w:val="0"/>
      <w:spacing w:after="80" w:line="240" w:lineRule="exact"/>
      <w:ind w:left="238" w:hanging="238"/>
      <w:jc w:val="both"/>
    </w:pPr>
    <w:rPr>
      <w:rFonts w:ascii="Arial" w:eastAsia="Calibri" w:hAnsi="Arial" w:cs="Arial"/>
      <w:lang w:val="es-CR" w:eastAsia="zh-CN"/>
    </w:rPr>
  </w:style>
  <w:style w:type="paragraph" w:customStyle="1" w:styleId="Empresa">
    <w:name w:val="Empresa"/>
    <w:basedOn w:val="Normal"/>
    <w:uiPriority w:val="99"/>
    <w:qFormat/>
    <w:rsid w:val="00B15F7D"/>
    <w:pPr>
      <w:suppressAutoHyphens w:val="0"/>
      <w:spacing w:before="360" w:after="360"/>
      <w:ind w:left="357"/>
      <w:jc w:val="center"/>
    </w:pPr>
    <w:rPr>
      <w:rFonts w:ascii="Tahoma" w:eastAsia="Calibri" w:hAnsi="Tahoma" w:cs="Tahoma"/>
      <w:b/>
      <w:bCs/>
      <w:smallCaps/>
      <w:color w:val="800000"/>
      <w:sz w:val="32"/>
      <w:szCs w:val="32"/>
      <w:lang w:val="es-CR" w:eastAsia="zh-CN"/>
    </w:rPr>
  </w:style>
  <w:style w:type="paragraph" w:customStyle="1" w:styleId="msoaddress">
    <w:name w:val="msoaddress"/>
    <w:basedOn w:val="Normal"/>
    <w:uiPriority w:val="99"/>
    <w:qFormat/>
    <w:rsid w:val="00B15F7D"/>
    <w:pPr>
      <w:suppressAutoHyphens w:val="0"/>
      <w:spacing w:before="280" w:after="280"/>
    </w:pPr>
    <w:rPr>
      <w:rFonts w:eastAsia="Calibri"/>
      <w:lang w:val="es-CR" w:eastAsia="zh-CN"/>
    </w:rPr>
  </w:style>
  <w:style w:type="paragraph" w:customStyle="1" w:styleId="citadestacada">
    <w:name w:val="citadestacada"/>
    <w:basedOn w:val="Normal"/>
    <w:uiPriority w:val="99"/>
    <w:qFormat/>
    <w:rsid w:val="00B15F7D"/>
    <w:pPr>
      <w:suppressAutoHyphens w:val="0"/>
      <w:spacing w:before="200" w:after="280"/>
      <w:ind w:left="936" w:right="936"/>
    </w:pPr>
    <w:rPr>
      <w:rFonts w:eastAsia="Calibri"/>
      <w:b/>
      <w:bCs/>
      <w:i/>
      <w:iCs/>
      <w:color w:val="4F81BD"/>
      <w:lang w:val="es-CR" w:eastAsia="zh-CN"/>
    </w:rPr>
  </w:style>
  <w:style w:type="paragraph" w:customStyle="1" w:styleId="epgrafe0">
    <w:name w:val="epgrafe"/>
    <w:basedOn w:val="Normal"/>
    <w:uiPriority w:val="99"/>
    <w:qFormat/>
    <w:rsid w:val="00B15F7D"/>
    <w:pPr>
      <w:suppressAutoHyphens w:val="0"/>
      <w:snapToGrid w:val="0"/>
    </w:pPr>
    <w:rPr>
      <w:rFonts w:eastAsia="Calibri"/>
      <w:lang w:val="es-CR" w:eastAsia="zh-CN"/>
    </w:rPr>
  </w:style>
  <w:style w:type="paragraph" w:customStyle="1" w:styleId="msolistparagraph00">
    <w:name w:val="msolistparagraph0"/>
    <w:basedOn w:val="Normal"/>
    <w:uiPriority w:val="99"/>
    <w:qFormat/>
    <w:rsid w:val="00B15F7D"/>
    <w:pPr>
      <w:suppressAutoHyphens w:val="0"/>
      <w:spacing w:before="280" w:after="280"/>
    </w:pPr>
    <w:rPr>
      <w:rFonts w:eastAsia="Calibri"/>
      <w:lang w:val="es-CR" w:eastAsia="zh-CN"/>
    </w:rPr>
  </w:style>
  <w:style w:type="paragraph" w:customStyle="1" w:styleId="BodyTextArial0">
    <w:name w:val="Body Text_Arial"/>
    <w:basedOn w:val="Normal"/>
    <w:uiPriority w:val="99"/>
    <w:qFormat/>
    <w:rsid w:val="00B15F7D"/>
    <w:pPr>
      <w:suppressAutoHyphens w:val="0"/>
      <w:spacing w:before="60" w:after="180" w:line="312" w:lineRule="auto"/>
    </w:pPr>
    <w:rPr>
      <w:rFonts w:ascii="Arial" w:eastAsia="Calibri" w:hAnsi="Arial" w:cs="Arial"/>
      <w:sz w:val="20"/>
      <w:szCs w:val="20"/>
      <w:lang w:val="es-CR" w:eastAsia="zh-CN"/>
    </w:rPr>
  </w:style>
  <w:style w:type="paragraph" w:customStyle="1" w:styleId="PlainText1">
    <w:name w:val="Plain Text1"/>
    <w:basedOn w:val="Normal"/>
    <w:uiPriority w:val="99"/>
    <w:qFormat/>
    <w:rsid w:val="00B15F7D"/>
    <w:pPr>
      <w:suppressAutoHyphens w:val="0"/>
      <w:jc w:val="both"/>
    </w:pPr>
    <w:rPr>
      <w:rFonts w:ascii="Courier New" w:eastAsia="Calibri" w:hAnsi="Courier New" w:cs="Courier New"/>
      <w:lang w:val="es-CR" w:eastAsia="zh-CN"/>
    </w:rPr>
  </w:style>
  <w:style w:type="paragraph" w:customStyle="1" w:styleId="NombreInforme">
    <w:name w:val="Nombre Informe"/>
    <w:basedOn w:val="Normal"/>
    <w:uiPriority w:val="99"/>
    <w:qFormat/>
    <w:rsid w:val="00B15F7D"/>
    <w:pPr>
      <w:keepNext/>
      <w:suppressAutoHyphens w:val="0"/>
      <w:spacing w:before="360" w:after="240"/>
      <w:jc w:val="center"/>
    </w:pPr>
    <w:rPr>
      <w:rFonts w:ascii="Tahoma" w:eastAsia="Calibri" w:hAnsi="Tahoma" w:cs="Tahoma"/>
      <w:b/>
      <w:bCs/>
      <w:smallCaps/>
      <w:color w:val="800000"/>
      <w:sz w:val="28"/>
      <w:szCs w:val="28"/>
      <w:lang w:val="es-CR" w:eastAsia="zh-CN"/>
    </w:rPr>
  </w:style>
  <w:style w:type="paragraph" w:customStyle="1" w:styleId="ndicel10">
    <w:name w:val="Índicel 10"/>
    <w:basedOn w:val="Normal"/>
    <w:uiPriority w:val="99"/>
    <w:qFormat/>
    <w:rsid w:val="00B15F7D"/>
    <w:pPr>
      <w:suppressAutoHyphens w:val="0"/>
    </w:pPr>
    <w:rPr>
      <w:rFonts w:eastAsia="Calibri"/>
      <w:lang w:val="es-CR" w:eastAsia="es-ES"/>
    </w:rPr>
  </w:style>
  <w:style w:type="paragraph" w:customStyle="1" w:styleId="WW-Predeterminado11">
    <w:name w:val="WW-Predeterminado11"/>
    <w:basedOn w:val="Normal"/>
    <w:qFormat/>
    <w:rsid w:val="00B15F7D"/>
    <w:pPr>
      <w:suppressAutoHyphens w:val="0"/>
      <w:autoSpaceDE w:val="0"/>
    </w:pPr>
    <w:rPr>
      <w:rFonts w:ascii="Arial" w:eastAsia="Calibri" w:hAnsi="Arial" w:cs="Arial"/>
      <w:color w:val="000000"/>
      <w:lang w:val="es-CR" w:eastAsia="zh-CN"/>
    </w:rPr>
  </w:style>
  <w:style w:type="paragraph" w:customStyle="1" w:styleId="WW-Cuerpodetexto1">
    <w:name w:val="WW-Cuerpo de texto1"/>
    <w:basedOn w:val="Normal"/>
    <w:uiPriority w:val="99"/>
    <w:qFormat/>
    <w:rsid w:val="00B15F7D"/>
    <w:pPr>
      <w:suppressAutoHyphens w:val="0"/>
    </w:pPr>
    <w:rPr>
      <w:rFonts w:eastAsia="Calibri"/>
      <w:sz w:val="20"/>
      <w:szCs w:val="20"/>
      <w:lang w:val="es-CR" w:eastAsia="zh-CN"/>
    </w:rPr>
  </w:style>
  <w:style w:type="paragraph" w:customStyle="1" w:styleId="Textocomentario3">
    <w:name w:val="Texto comentario3"/>
    <w:basedOn w:val="Normal"/>
    <w:uiPriority w:val="99"/>
    <w:qFormat/>
    <w:rsid w:val="00B15F7D"/>
    <w:pPr>
      <w:suppressAutoHyphens w:val="0"/>
    </w:pPr>
    <w:rPr>
      <w:rFonts w:eastAsia="Calibri"/>
      <w:lang w:val="es-CR" w:eastAsia="zh-CN"/>
    </w:rPr>
  </w:style>
  <w:style w:type="paragraph" w:customStyle="1" w:styleId="Encabezado70">
    <w:name w:val="Encabezado7"/>
    <w:basedOn w:val="Normal"/>
    <w:qFormat/>
    <w:rsid w:val="00B15F7D"/>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PROGRAMA0">
    <w:name w:val="PROGRAMA"/>
    <w:basedOn w:val="Normal"/>
    <w:uiPriority w:val="99"/>
    <w:qFormat/>
    <w:rsid w:val="00B15F7D"/>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TITULO1">
    <w:name w:val="TITULO1"/>
    <w:basedOn w:val="Normal"/>
    <w:uiPriority w:val="99"/>
    <w:qFormat/>
    <w:rsid w:val="00B15F7D"/>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PRESENTACIONYJUSTIFICACION">
    <w:name w:val="PRESENTACION Y JUSTIFICACION"/>
    <w:basedOn w:val="Normal"/>
    <w:uiPriority w:val="99"/>
    <w:qFormat/>
    <w:rsid w:val="00B15F7D"/>
    <w:pPr>
      <w:suppressAutoHyphens w:val="0"/>
      <w:ind w:left="720" w:hanging="360"/>
      <w:jc w:val="both"/>
    </w:pPr>
    <w:rPr>
      <w:rFonts w:ascii="Cooper Md BT" w:eastAsia="Calibri" w:hAnsi="Cooper Md BT" w:cs="Calibri"/>
      <w:b/>
      <w:bCs/>
      <w:lang w:val="es-CR" w:eastAsia="zh-CN"/>
    </w:rPr>
  </w:style>
  <w:style w:type="paragraph" w:customStyle="1" w:styleId="CURSO">
    <w:name w:val="CURSO"/>
    <w:basedOn w:val="Normal"/>
    <w:uiPriority w:val="99"/>
    <w:qFormat/>
    <w:rsid w:val="00B15F7D"/>
    <w:pPr>
      <w:suppressAutoHyphens w:val="0"/>
      <w:ind w:left="1571" w:hanging="360"/>
      <w:jc w:val="both"/>
    </w:pPr>
    <w:rPr>
      <w:rFonts w:eastAsia="Calibri"/>
      <w:b/>
      <w:bCs/>
      <w:i/>
      <w:iCs/>
      <w:sz w:val="28"/>
      <w:szCs w:val="28"/>
      <w:lang w:val="es-CR" w:eastAsia="zh-CN"/>
    </w:rPr>
  </w:style>
  <w:style w:type="paragraph" w:customStyle="1" w:styleId="Pie">
    <w:name w:val="Pie"/>
    <w:basedOn w:val="Normal"/>
    <w:uiPriority w:val="99"/>
    <w:qFormat/>
    <w:rsid w:val="00B15F7D"/>
    <w:pPr>
      <w:suppressAutoHyphens w:val="0"/>
      <w:spacing w:before="120" w:after="120"/>
      <w:ind w:firstLine="709"/>
      <w:jc w:val="both"/>
    </w:pPr>
    <w:rPr>
      <w:rFonts w:eastAsia="Calibri"/>
      <w:i/>
      <w:iCs/>
      <w:lang w:val="es-CR" w:eastAsia="zh-CN"/>
    </w:rPr>
  </w:style>
  <w:style w:type="paragraph" w:customStyle="1" w:styleId="CM10">
    <w:name w:val="CM10"/>
    <w:basedOn w:val="Normal"/>
    <w:uiPriority w:val="99"/>
    <w:qFormat/>
    <w:rsid w:val="00B15F7D"/>
    <w:pPr>
      <w:suppressAutoHyphens w:val="0"/>
      <w:autoSpaceDE w:val="0"/>
    </w:pPr>
    <w:rPr>
      <w:rFonts w:ascii="Arial" w:eastAsia="Calibri" w:hAnsi="Arial" w:cs="Arial"/>
      <w:lang w:val="es-CR" w:eastAsia="zh-CN"/>
    </w:rPr>
  </w:style>
  <w:style w:type="paragraph" w:customStyle="1" w:styleId="TDC11">
    <w:name w:val="TDC 11"/>
    <w:basedOn w:val="Normal"/>
    <w:uiPriority w:val="99"/>
    <w:semiHidden/>
    <w:qFormat/>
    <w:rsid w:val="00B15F7D"/>
    <w:pPr>
      <w:suppressAutoHyphens w:val="0"/>
      <w:spacing w:after="100"/>
    </w:pPr>
    <w:rPr>
      <w:rFonts w:ascii="Calibri" w:eastAsia="Calibri" w:hAnsi="Calibri" w:cs="Calibri"/>
      <w:sz w:val="22"/>
      <w:szCs w:val="22"/>
      <w:lang w:val="es-CR" w:eastAsia="es-CR"/>
    </w:rPr>
  </w:style>
  <w:style w:type="paragraph" w:customStyle="1" w:styleId="PrrafodelistaCarCarCar1">
    <w:name w:val="Párrafo de lista Car Car Car1"/>
    <w:basedOn w:val="Normal"/>
    <w:uiPriority w:val="99"/>
    <w:semiHidden/>
    <w:qFormat/>
    <w:rsid w:val="00B15F7D"/>
    <w:pPr>
      <w:suppressAutoHyphens w:val="0"/>
      <w:ind w:left="708"/>
    </w:pPr>
    <w:rPr>
      <w:rFonts w:ascii="Calibri" w:eastAsia="Calibri" w:hAnsi="Calibri" w:cs="Calibri"/>
      <w:lang w:val="es-CR" w:eastAsia="es-CR"/>
    </w:rPr>
  </w:style>
  <w:style w:type="paragraph" w:customStyle="1" w:styleId="Sinespaciado7">
    <w:name w:val="Sin espaciado7"/>
    <w:basedOn w:val="Normal"/>
    <w:qFormat/>
    <w:rsid w:val="00B15F7D"/>
    <w:pPr>
      <w:suppressAutoHyphens w:val="0"/>
    </w:pPr>
    <w:rPr>
      <w:rFonts w:ascii="Calibri" w:eastAsia="Calibri" w:hAnsi="Calibri" w:cs="Calibri"/>
      <w:sz w:val="22"/>
      <w:szCs w:val="22"/>
      <w:lang w:val="es-CR" w:eastAsia="es-CR"/>
    </w:rPr>
  </w:style>
  <w:style w:type="paragraph" w:customStyle="1" w:styleId="Ttulo514">
    <w:name w:val="Título 514"/>
    <w:basedOn w:val="Normal"/>
    <w:uiPriority w:val="99"/>
    <w:semiHidden/>
    <w:qFormat/>
    <w:rsid w:val="00B15F7D"/>
    <w:pPr>
      <w:keepNext/>
      <w:shd w:val="clear" w:color="auto" w:fill="FFFFFF"/>
      <w:suppressAutoHyphens w:val="0"/>
      <w:jc w:val="center"/>
    </w:pPr>
    <w:rPr>
      <w:rFonts w:eastAsia="Calibri"/>
      <w:b/>
      <w:bCs/>
      <w:i/>
      <w:iCs/>
      <w:sz w:val="26"/>
      <w:szCs w:val="26"/>
      <w:u w:val="single"/>
      <w:lang w:val="es-CR" w:eastAsia="es-CR"/>
    </w:rPr>
  </w:style>
  <w:style w:type="paragraph" w:customStyle="1" w:styleId="Ttulo370">
    <w:name w:val="Título 37"/>
    <w:basedOn w:val="Normal"/>
    <w:uiPriority w:val="99"/>
    <w:semiHidden/>
    <w:qFormat/>
    <w:rsid w:val="00B15F7D"/>
    <w:pPr>
      <w:shd w:val="clear" w:color="auto" w:fill="FFFFFF"/>
      <w:suppressAutoHyphens w:val="0"/>
      <w:ind w:left="720" w:hanging="360"/>
    </w:pPr>
    <w:rPr>
      <w:rFonts w:eastAsia="Calibri"/>
      <w:u w:val="single"/>
      <w:lang w:val="es-CR" w:eastAsia="es-CR"/>
    </w:rPr>
  </w:style>
  <w:style w:type="paragraph" w:customStyle="1" w:styleId="Sangra2detindependiente6">
    <w:name w:val="Sangría 2 de t. independiente6"/>
    <w:basedOn w:val="Normal"/>
    <w:uiPriority w:val="99"/>
    <w:semiHidden/>
    <w:qFormat/>
    <w:rsid w:val="00B15F7D"/>
    <w:pPr>
      <w:suppressAutoHyphens w:val="0"/>
      <w:autoSpaceDE w:val="0"/>
      <w:spacing w:line="480" w:lineRule="auto"/>
      <w:ind w:firstLine="708"/>
      <w:jc w:val="both"/>
    </w:pPr>
    <w:rPr>
      <w:rFonts w:ascii="Arial" w:eastAsia="Calibri" w:hAnsi="Arial" w:cs="Arial"/>
      <w:u w:val="single"/>
      <w:lang w:val="es-CR" w:eastAsia="es-CR"/>
    </w:rPr>
  </w:style>
  <w:style w:type="paragraph" w:customStyle="1" w:styleId="Textodebloque6">
    <w:name w:val="Texto de bloque6"/>
    <w:basedOn w:val="Normal"/>
    <w:uiPriority w:val="99"/>
    <w:semiHidden/>
    <w:qFormat/>
    <w:rsid w:val="00B15F7D"/>
    <w:pPr>
      <w:suppressAutoHyphens w:val="0"/>
      <w:autoSpaceDE w:val="0"/>
      <w:ind w:firstLine="709"/>
      <w:jc w:val="both"/>
    </w:pPr>
    <w:rPr>
      <w:rFonts w:ascii="Century" w:eastAsia="Calibri" w:hAnsi="Century" w:cs="Calibri"/>
      <w:color w:val="000000"/>
      <w:u w:val="single"/>
      <w:lang w:val="es-CR" w:eastAsia="es-CR"/>
    </w:rPr>
  </w:style>
  <w:style w:type="paragraph" w:customStyle="1" w:styleId="Textoindependiente27">
    <w:name w:val="Texto independiente 27"/>
    <w:basedOn w:val="Normal"/>
    <w:uiPriority w:val="99"/>
    <w:semiHidden/>
    <w:qFormat/>
    <w:rsid w:val="00B15F7D"/>
    <w:pPr>
      <w:suppressAutoHyphens w:val="0"/>
      <w:overflowPunct w:val="0"/>
      <w:autoSpaceDE w:val="0"/>
      <w:autoSpaceDN w:val="0"/>
      <w:jc w:val="both"/>
    </w:pPr>
    <w:rPr>
      <w:rFonts w:ascii="Arial" w:eastAsia="Calibri" w:hAnsi="Arial" w:cs="Arial"/>
      <w:i/>
      <w:iCs/>
      <w:lang w:val="es-CR" w:eastAsia="es-CR"/>
    </w:rPr>
  </w:style>
  <w:style w:type="paragraph" w:customStyle="1" w:styleId="Sinespaciado71">
    <w:name w:val="Sin espaciado71"/>
    <w:basedOn w:val="Normal"/>
    <w:uiPriority w:val="99"/>
    <w:semiHidden/>
    <w:qFormat/>
    <w:rsid w:val="00B15F7D"/>
    <w:pPr>
      <w:suppressAutoHyphens w:val="0"/>
    </w:pPr>
    <w:rPr>
      <w:rFonts w:ascii="Calibri" w:eastAsia="Calibri" w:hAnsi="Calibri" w:cs="Calibri"/>
      <w:sz w:val="22"/>
      <w:szCs w:val="22"/>
      <w:lang w:val="es-CR" w:eastAsia="es-CR"/>
    </w:rPr>
  </w:style>
  <w:style w:type="paragraph" w:customStyle="1" w:styleId="Ttulo5141">
    <w:name w:val="Título 5141"/>
    <w:basedOn w:val="Normal"/>
    <w:uiPriority w:val="99"/>
    <w:semiHidden/>
    <w:qFormat/>
    <w:rsid w:val="00B15F7D"/>
    <w:pPr>
      <w:keepNext/>
      <w:shd w:val="clear" w:color="auto" w:fill="FFFFFF"/>
      <w:suppressAutoHyphens w:val="0"/>
      <w:jc w:val="center"/>
    </w:pPr>
    <w:rPr>
      <w:rFonts w:eastAsia="Calibri"/>
      <w:b/>
      <w:bCs/>
      <w:i/>
      <w:iCs/>
      <w:sz w:val="26"/>
      <w:szCs w:val="26"/>
      <w:u w:val="single"/>
      <w:lang w:val="es-CR" w:eastAsia="es-CR"/>
    </w:rPr>
  </w:style>
  <w:style w:type="paragraph" w:customStyle="1" w:styleId="Ttulo371">
    <w:name w:val="Título 371"/>
    <w:basedOn w:val="Normal"/>
    <w:uiPriority w:val="99"/>
    <w:semiHidden/>
    <w:qFormat/>
    <w:rsid w:val="00B15F7D"/>
    <w:pPr>
      <w:shd w:val="clear" w:color="auto" w:fill="FFFFFF"/>
      <w:suppressAutoHyphens w:val="0"/>
      <w:ind w:left="720" w:hanging="360"/>
    </w:pPr>
    <w:rPr>
      <w:rFonts w:eastAsia="Calibri"/>
      <w:u w:val="single"/>
      <w:lang w:val="es-CR" w:eastAsia="es-CR"/>
    </w:rPr>
  </w:style>
  <w:style w:type="paragraph" w:customStyle="1" w:styleId="Sangra2detindependiente61">
    <w:name w:val="Sangría 2 de t. independiente61"/>
    <w:basedOn w:val="Normal"/>
    <w:uiPriority w:val="99"/>
    <w:semiHidden/>
    <w:qFormat/>
    <w:rsid w:val="00B15F7D"/>
    <w:pPr>
      <w:suppressAutoHyphens w:val="0"/>
      <w:autoSpaceDE w:val="0"/>
      <w:spacing w:line="480" w:lineRule="auto"/>
      <w:ind w:firstLine="708"/>
      <w:jc w:val="both"/>
    </w:pPr>
    <w:rPr>
      <w:rFonts w:ascii="Arial" w:eastAsia="Calibri" w:hAnsi="Arial" w:cs="Arial"/>
      <w:u w:val="single"/>
      <w:lang w:val="es-CR" w:eastAsia="es-CR"/>
    </w:rPr>
  </w:style>
  <w:style w:type="paragraph" w:customStyle="1" w:styleId="Textodebloque61">
    <w:name w:val="Texto de bloque61"/>
    <w:basedOn w:val="Normal"/>
    <w:uiPriority w:val="99"/>
    <w:semiHidden/>
    <w:qFormat/>
    <w:rsid w:val="00B15F7D"/>
    <w:pPr>
      <w:suppressAutoHyphens w:val="0"/>
      <w:autoSpaceDE w:val="0"/>
      <w:ind w:firstLine="709"/>
      <w:jc w:val="both"/>
    </w:pPr>
    <w:rPr>
      <w:rFonts w:ascii="Century" w:eastAsia="Calibri" w:hAnsi="Century" w:cs="Calibri"/>
      <w:color w:val="000000"/>
      <w:u w:val="single"/>
      <w:lang w:val="es-CR" w:eastAsia="es-CR"/>
    </w:rPr>
  </w:style>
  <w:style w:type="paragraph" w:customStyle="1" w:styleId="Style">
    <w:name w:val="Style"/>
    <w:basedOn w:val="Normal"/>
    <w:uiPriority w:val="99"/>
    <w:qFormat/>
    <w:rsid w:val="00B15F7D"/>
    <w:pPr>
      <w:suppressAutoHyphens w:val="0"/>
      <w:autoSpaceDE w:val="0"/>
      <w:autoSpaceDN w:val="0"/>
      <w:spacing w:before="240" w:after="60"/>
      <w:jc w:val="center"/>
    </w:pPr>
    <w:rPr>
      <w:rFonts w:ascii="Cambria" w:hAnsi="Cambria"/>
      <w:spacing w:val="-10"/>
      <w:sz w:val="20"/>
      <w:szCs w:val="20"/>
      <w:lang w:val="es-CR" w:eastAsia="es-ES"/>
    </w:rPr>
  </w:style>
  <w:style w:type="paragraph" w:customStyle="1" w:styleId="Car160">
    <w:name w:val="Car16"/>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tulo515">
    <w:name w:val="Título 515"/>
    <w:basedOn w:val="Normal"/>
    <w:uiPriority w:val="99"/>
    <w:qFormat/>
    <w:rsid w:val="00B15F7D"/>
    <w:pPr>
      <w:keepNext/>
      <w:shd w:val="clear" w:color="auto" w:fill="FFFFFF"/>
      <w:suppressAutoHyphens w:val="0"/>
      <w:jc w:val="center"/>
    </w:pPr>
    <w:rPr>
      <w:rFonts w:eastAsia="Calibri"/>
      <w:b/>
      <w:bCs/>
      <w:i/>
      <w:iCs/>
      <w:sz w:val="26"/>
      <w:szCs w:val="26"/>
      <w:u w:val="single"/>
      <w:lang w:val="es-CR" w:eastAsia="es-ES"/>
    </w:rPr>
  </w:style>
  <w:style w:type="paragraph" w:customStyle="1" w:styleId="Ttulo380">
    <w:name w:val="Título 38"/>
    <w:basedOn w:val="Normal"/>
    <w:uiPriority w:val="99"/>
    <w:qFormat/>
    <w:rsid w:val="00B15F7D"/>
    <w:pPr>
      <w:shd w:val="clear" w:color="auto" w:fill="FFFFFF"/>
      <w:suppressAutoHyphens w:val="0"/>
      <w:ind w:left="2160" w:hanging="180"/>
    </w:pPr>
    <w:rPr>
      <w:rFonts w:eastAsia="Calibri"/>
      <w:u w:val="single"/>
      <w:lang w:val="es-CR" w:eastAsia="es-CR"/>
    </w:rPr>
  </w:style>
  <w:style w:type="paragraph" w:customStyle="1" w:styleId="CharChar150">
    <w:name w:val="Char Char15"/>
    <w:basedOn w:val="Normal"/>
    <w:uiPriority w:val="99"/>
    <w:semiHidden/>
    <w:qFormat/>
    <w:rsid w:val="00B15F7D"/>
    <w:pPr>
      <w:suppressAutoHyphens w:val="0"/>
      <w:spacing w:after="160" w:line="240" w:lineRule="exact"/>
    </w:pPr>
    <w:rPr>
      <w:rFonts w:ascii="Verdana" w:eastAsia="Calibri" w:hAnsi="Verdana" w:cs="Calibri"/>
      <w:lang w:val="es-CR" w:eastAsia="en-US"/>
    </w:rPr>
  </w:style>
  <w:style w:type="paragraph" w:customStyle="1" w:styleId="Textoindependiente28">
    <w:name w:val="Texto independiente 28"/>
    <w:basedOn w:val="Normal"/>
    <w:uiPriority w:val="99"/>
    <w:qFormat/>
    <w:rsid w:val="00B15F7D"/>
    <w:pPr>
      <w:suppressAutoHyphens w:val="0"/>
      <w:jc w:val="both"/>
    </w:pPr>
    <w:rPr>
      <w:rFonts w:eastAsia="Calibri"/>
      <w:lang w:val="es-CR" w:eastAsia="es-ES"/>
    </w:rPr>
  </w:style>
  <w:style w:type="paragraph" w:customStyle="1" w:styleId="Sangra2detindependiente7">
    <w:name w:val="Sangría 2 de t. independiente7"/>
    <w:basedOn w:val="Normal"/>
    <w:uiPriority w:val="99"/>
    <w:qFormat/>
    <w:rsid w:val="00B15F7D"/>
    <w:pPr>
      <w:suppressAutoHyphens w:val="0"/>
      <w:autoSpaceDE w:val="0"/>
      <w:spacing w:line="480" w:lineRule="auto"/>
      <w:ind w:firstLine="708"/>
      <w:jc w:val="both"/>
    </w:pPr>
    <w:rPr>
      <w:rFonts w:ascii="Arial" w:eastAsia="Calibri" w:hAnsi="Arial" w:cs="Arial"/>
      <w:u w:val="single"/>
      <w:lang w:val="es-CR" w:eastAsia="es-ES"/>
    </w:rPr>
  </w:style>
  <w:style w:type="paragraph" w:customStyle="1" w:styleId="Textodebloque7">
    <w:name w:val="Texto de bloque7"/>
    <w:basedOn w:val="Normal"/>
    <w:uiPriority w:val="99"/>
    <w:qFormat/>
    <w:rsid w:val="00B15F7D"/>
    <w:pPr>
      <w:suppressAutoHyphens w:val="0"/>
      <w:autoSpaceDE w:val="0"/>
      <w:ind w:firstLine="709"/>
      <w:jc w:val="both"/>
    </w:pPr>
    <w:rPr>
      <w:rFonts w:ascii="Century" w:eastAsia="Calibri" w:hAnsi="Century" w:cs="Calibri"/>
      <w:color w:val="000000"/>
      <w:u w:val="single"/>
      <w:lang w:val="es-CR" w:eastAsia="es-CR"/>
    </w:rPr>
  </w:style>
  <w:style w:type="paragraph" w:customStyle="1" w:styleId="Sinespaciado8">
    <w:name w:val="Sin espaciado8"/>
    <w:basedOn w:val="Normal"/>
    <w:qFormat/>
    <w:rsid w:val="00B15F7D"/>
    <w:pPr>
      <w:suppressAutoHyphens w:val="0"/>
    </w:pPr>
    <w:rPr>
      <w:rFonts w:ascii="Calibri" w:eastAsia="Calibri" w:hAnsi="Calibri" w:cs="Calibri"/>
      <w:sz w:val="22"/>
      <w:szCs w:val="22"/>
      <w:lang w:val="es-CR" w:eastAsia="en-US"/>
    </w:rPr>
  </w:style>
  <w:style w:type="paragraph" w:customStyle="1" w:styleId="Normal5">
    <w:name w:val="Normal5"/>
    <w:basedOn w:val="Normal"/>
    <w:uiPriority w:val="99"/>
    <w:qFormat/>
    <w:rsid w:val="00B15F7D"/>
    <w:pPr>
      <w:suppressAutoHyphens w:val="0"/>
      <w:spacing w:line="276" w:lineRule="auto"/>
    </w:pPr>
    <w:rPr>
      <w:rFonts w:ascii="Arial" w:eastAsia="Calibri" w:hAnsi="Arial" w:cs="Arial"/>
      <w:color w:val="000000"/>
      <w:sz w:val="22"/>
      <w:szCs w:val="22"/>
      <w:lang w:val="es-CR" w:eastAsia="es-ES"/>
    </w:rPr>
  </w:style>
  <w:style w:type="paragraph" w:customStyle="1" w:styleId="tittextos">
    <w:name w:val="tittextos"/>
    <w:basedOn w:val="Normal"/>
    <w:uiPriority w:val="99"/>
    <w:qFormat/>
    <w:rsid w:val="00B15F7D"/>
    <w:pPr>
      <w:suppressAutoHyphens w:val="0"/>
      <w:spacing w:before="100" w:beforeAutospacing="1" w:after="100" w:afterAutospacing="1"/>
      <w:jc w:val="center"/>
    </w:pPr>
    <w:rPr>
      <w:rFonts w:ascii="Arial" w:eastAsia="Calibri" w:hAnsi="Arial" w:cs="Arial"/>
      <w:b/>
      <w:bCs/>
      <w:color w:val="4C2E24"/>
      <w:sz w:val="18"/>
      <w:szCs w:val="18"/>
      <w:lang w:val="es-CR" w:eastAsia="es-ES"/>
    </w:rPr>
  </w:style>
  <w:style w:type="paragraph" w:customStyle="1" w:styleId="Style31">
    <w:name w:val="_Style 3"/>
    <w:basedOn w:val="Normal"/>
    <w:uiPriority w:val="99"/>
    <w:qFormat/>
    <w:rsid w:val="00B15F7D"/>
    <w:pPr>
      <w:suppressAutoHyphens w:val="0"/>
      <w:ind w:left="720"/>
    </w:pPr>
    <w:rPr>
      <w:rFonts w:ascii="Calibri" w:eastAsia="Calibri" w:hAnsi="Calibri" w:cs="Calibri"/>
      <w:color w:val="000000"/>
      <w:sz w:val="22"/>
      <w:szCs w:val="22"/>
      <w:lang w:val="es-CR" w:eastAsia="hi-IN"/>
    </w:rPr>
  </w:style>
  <w:style w:type="paragraph" w:customStyle="1" w:styleId="Ttulo-base">
    <w:name w:val="Título - base"/>
    <w:basedOn w:val="Normal"/>
    <w:uiPriority w:val="99"/>
    <w:qFormat/>
    <w:rsid w:val="00B15F7D"/>
    <w:pPr>
      <w:keepNext/>
      <w:suppressAutoHyphens w:val="0"/>
      <w:spacing w:before="140" w:line="220" w:lineRule="atLeast"/>
      <w:ind w:left="1080"/>
    </w:pPr>
    <w:rPr>
      <w:rFonts w:ascii="Arial" w:eastAsia="Calibri" w:hAnsi="Arial" w:cs="Arial"/>
      <w:spacing w:val="-4"/>
      <w:sz w:val="22"/>
      <w:szCs w:val="22"/>
      <w:lang w:val="es-CR" w:eastAsia="en-US"/>
    </w:rPr>
  </w:style>
  <w:style w:type="paragraph" w:customStyle="1" w:styleId="Tindependientemantenido">
    <w:name w:val="T. independiente mantenido"/>
    <w:basedOn w:val="Normal"/>
    <w:uiPriority w:val="99"/>
    <w:qFormat/>
    <w:rsid w:val="00B15F7D"/>
    <w:pPr>
      <w:keepNext/>
      <w:suppressAutoHyphens w:val="0"/>
      <w:spacing w:after="240" w:line="240" w:lineRule="atLeast"/>
      <w:ind w:left="1080"/>
      <w:jc w:val="both"/>
    </w:pPr>
    <w:rPr>
      <w:rFonts w:ascii="Arial" w:eastAsia="Calibri" w:hAnsi="Arial" w:cs="Arial"/>
      <w:spacing w:val="-5"/>
      <w:lang w:val="es-CR" w:eastAsia="en-US"/>
    </w:rPr>
  </w:style>
  <w:style w:type="paragraph" w:customStyle="1" w:styleId="Imagen">
    <w:name w:val="Imagen"/>
    <w:basedOn w:val="Normal"/>
    <w:uiPriority w:val="99"/>
    <w:qFormat/>
    <w:rsid w:val="00B15F7D"/>
    <w:pPr>
      <w:keepNext/>
      <w:suppressAutoHyphens w:val="0"/>
      <w:ind w:left="1080"/>
    </w:pPr>
    <w:rPr>
      <w:rFonts w:ascii="Arial" w:eastAsia="Calibri" w:hAnsi="Arial" w:cs="Arial"/>
      <w:spacing w:val="-5"/>
      <w:lang w:val="es-CR" w:eastAsia="en-US"/>
    </w:rPr>
  </w:style>
  <w:style w:type="paragraph" w:customStyle="1" w:styleId="Rtulodeparte">
    <w:name w:val="Rótulo de parte"/>
    <w:basedOn w:val="Normal"/>
    <w:uiPriority w:val="99"/>
    <w:qFormat/>
    <w:rsid w:val="00B15F7D"/>
    <w:pPr>
      <w:shd w:val="clear" w:color="auto" w:fill="000000"/>
      <w:suppressAutoHyphens w:val="0"/>
      <w:spacing w:line="360" w:lineRule="exact"/>
      <w:jc w:val="center"/>
    </w:pPr>
    <w:rPr>
      <w:rFonts w:ascii="Arial" w:eastAsia="Calibri" w:hAnsi="Arial" w:cs="Arial"/>
      <w:color w:val="FFFFFF"/>
      <w:spacing w:val="-16"/>
      <w:sz w:val="26"/>
      <w:szCs w:val="26"/>
      <w:lang w:val="es-CR" w:eastAsia="en-US"/>
    </w:rPr>
  </w:style>
  <w:style w:type="paragraph" w:customStyle="1" w:styleId="Ttulodeparte">
    <w:name w:val="Título de parte"/>
    <w:basedOn w:val="Normal"/>
    <w:uiPriority w:val="99"/>
    <w:qFormat/>
    <w:rsid w:val="00B15F7D"/>
    <w:pPr>
      <w:shd w:val="clear" w:color="auto" w:fill="000000"/>
      <w:suppressAutoHyphens w:val="0"/>
      <w:spacing w:line="660" w:lineRule="exact"/>
      <w:jc w:val="center"/>
    </w:pPr>
    <w:rPr>
      <w:rFonts w:ascii="Arial Black" w:eastAsia="Calibri" w:hAnsi="Arial Black" w:cs="Calibri"/>
      <w:color w:val="FFFFFF"/>
      <w:spacing w:val="-40"/>
      <w:sz w:val="84"/>
      <w:szCs w:val="84"/>
      <w:lang w:val="es-CR" w:eastAsia="en-US"/>
    </w:rPr>
  </w:style>
  <w:style w:type="paragraph" w:customStyle="1" w:styleId="Subttulodecaptulo">
    <w:name w:val="Subtítulo de capítulo"/>
    <w:basedOn w:val="Normal"/>
    <w:uiPriority w:val="99"/>
    <w:qFormat/>
    <w:rsid w:val="00B15F7D"/>
    <w:pPr>
      <w:suppressAutoHyphens w:val="0"/>
      <w:spacing w:after="160" w:line="240" w:lineRule="exact"/>
    </w:pPr>
    <w:rPr>
      <w:rFonts w:ascii="Verdana" w:eastAsia="Calibri" w:hAnsi="Verdana" w:cs="Calibri"/>
      <w:sz w:val="20"/>
      <w:szCs w:val="20"/>
      <w:lang w:val="es-CR" w:eastAsia="es-ES"/>
    </w:rPr>
  </w:style>
  <w:style w:type="paragraph" w:customStyle="1" w:styleId="Organizacin">
    <w:name w:val="Organización"/>
    <w:basedOn w:val="Normal"/>
    <w:uiPriority w:val="99"/>
    <w:qFormat/>
    <w:rsid w:val="00B15F7D"/>
    <w:pPr>
      <w:keepNext/>
      <w:suppressAutoHyphens w:val="0"/>
      <w:spacing w:line="220" w:lineRule="atLeast"/>
    </w:pPr>
    <w:rPr>
      <w:rFonts w:ascii="Arial Black" w:eastAsia="Calibri" w:hAnsi="Arial Black" w:cs="Calibri"/>
      <w:spacing w:val="-25"/>
      <w:sz w:val="32"/>
      <w:szCs w:val="32"/>
      <w:lang w:val="es-CR" w:eastAsia="en-US"/>
    </w:rPr>
  </w:style>
  <w:style w:type="paragraph" w:customStyle="1" w:styleId="Ttulodecaptulo">
    <w:name w:val="Título de capítulo"/>
    <w:basedOn w:val="Normal"/>
    <w:uiPriority w:val="99"/>
    <w:qFormat/>
    <w:rsid w:val="00B15F7D"/>
    <w:pPr>
      <w:suppressAutoHyphens w:val="0"/>
      <w:spacing w:before="120" w:line="660" w:lineRule="exact"/>
      <w:jc w:val="center"/>
    </w:pPr>
    <w:rPr>
      <w:rFonts w:ascii="Arial Black" w:eastAsia="Calibri" w:hAnsi="Arial Black" w:cs="Calibri"/>
      <w:color w:val="FFFFFF"/>
      <w:spacing w:val="-40"/>
      <w:sz w:val="84"/>
      <w:szCs w:val="84"/>
      <w:lang w:val="es-CR" w:eastAsia="en-US"/>
    </w:rPr>
  </w:style>
  <w:style w:type="paragraph" w:customStyle="1" w:styleId="Notaalpie-base">
    <w:name w:val="Nota al pie - base"/>
    <w:basedOn w:val="Normal"/>
    <w:uiPriority w:val="99"/>
    <w:qFormat/>
    <w:rsid w:val="00B15F7D"/>
    <w:pPr>
      <w:suppressAutoHyphens w:val="0"/>
      <w:spacing w:line="200" w:lineRule="atLeast"/>
      <w:ind w:left="1080"/>
    </w:pPr>
    <w:rPr>
      <w:rFonts w:ascii="Arial" w:eastAsia="Calibri" w:hAnsi="Arial" w:cs="Arial"/>
      <w:spacing w:val="-5"/>
      <w:sz w:val="16"/>
      <w:szCs w:val="16"/>
      <w:lang w:val="es-CR" w:eastAsia="en-US"/>
    </w:rPr>
  </w:style>
  <w:style w:type="paragraph" w:customStyle="1" w:styleId="Textodetabla">
    <w:name w:val="Texto de tabla"/>
    <w:basedOn w:val="Normal"/>
    <w:uiPriority w:val="99"/>
    <w:qFormat/>
    <w:rsid w:val="00B15F7D"/>
    <w:pPr>
      <w:suppressAutoHyphens w:val="0"/>
      <w:spacing w:before="60"/>
    </w:pPr>
    <w:rPr>
      <w:rFonts w:ascii="Arial" w:eastAsia="Calibri" w:hAnsi="Arial" w:cs="Arial"/>
      <w:spacing w:val="-5"/>
      <w:sz w:val="16"/>
      <w:szCs w:val="16"/>
      <w:lang w:val="es-CR" w:eastAsia="en-US"/>
    </w:rPr>
  </w:style>
  <w:style w:type="paragraph" w:customStyle="1" w:styleId="Ttulodecubierta">
    <w:name w:val="Título de cubierta"/>
    <w:basedOn w:val="Normal"/>
    <w:uiPriority w:val="99"/>
    <w:qFormat/>
    <w:rsid w:val="00B15F7D"/>
    <w:pPr>
      <w:keepNext/>
      <w:suppressAutoHyphens w:val="0"/>
      <w:spacing w:before="240" w:after="500" w:line="640" w:lineRule="exact"/>
    </w:pPr>
    <w:rPr>
      <w:rFonts w:ascii="Arial Black" w:eastAsia="Calibri" w:hAnsi="Arial Black" w:cs="Calibri"/>
      <w:b/>
      <w:bCs/>
      <w:spacing w:val="-48"/>
      <w:sz w:val="64"/>
      <w:szCs w:val="64"/>
      <w:lang w:val="es-CR" w:eastAsia="en-US"/>
    </w:rPr>
  </w:style>
  <w:style w:type="paragraph" w:customStyle="1" w:styleId="Ttulodeldocumento">
    <w:name w:val="Título del documento"/>
    <w:basedOn w:val="Normal"/>
    <w:uiPriority w:val="99"/>
    <w:qFormat/>
    <w:rsid w:val="00B15F7D"/>
    <w:pPr>
      <w:keepNext/>
      <w:suppressAutoHyphens w:val="0"/>
      <w:spacing w:before="240" w:after="500" w:line="640" w:lineRule="exact"/>
    </w:pPr>
    <w:rPr>
      <w:rFonts w:ascii="Arial Black" w:eastAsia="Calibri" w:hAnsi="Arial Black" w:cs="Calibri"/>
      <w:b/>
      <w:bCs/>
      <w:spacing w:val="-48"/>
      <w:sz w:val="64"/>
      <w:szCs w:val="64"/>
      <w:lang w:val="es-CR" w:eastAsia="en-US"/>
    </w:rPr>
  </w:style>
  <w:style w:type="paragraph" w:customStyle="1" w:styleId="Encabezado-base">
    <w:name w:val="Encabezado - base"/>
    <w:basedOn w:val="Normal"/>
    <w:uiPriority w:val="99"/>
    <w:qFormat/>
    <w:rsid w:val="00B15F7D"/>
    <w:pPr>
      <w:suppressAutoHyphens w:val="0"/>
      <w:spacing w:line="190" w:lineRule="atLeast"/>
      <w:ind w:left="1080"/>
    </w:pPr>
    <w:rPr>
      <w:rFonts w:ascii="Arial" w:eastAsia="Calibri" w:hAnsi="Arial" w:cs="Arial"/>
      <w:caps/>
      <w:spacing w:val="-5"/>
      <w:sz w:val="15"/>
      <w:szCs w:val="15"/>
      <w:lang w:val="es-CR" w:eastAsia="en-US"/>
    </w:rPr>
  </w:style>
  <w:style w:type="paragraph" w:customStyle="1" w:styleId="Piedepginapar">
    <w:name w:val="Pie de página par"/>
    <w:basedOn w:val="Normal"/>
    <w:uiPriority w:val="99"/>
    <w:qFormat/>
    <w:rsid w:val="00B15F7D"/>
    <w:pPr>
      <w:shd w:val="clear" w:color="auto" w:fill="FFFFFF"/>
      <w:suppressAutoHyphens w:val="0"/>
      <w:autoSpaceDE w:val="0"/>
    </w:pPr>
    <w:rPr>
      <w:rFonts w:ascii="Arial" w:eastAsia="Calibri" w:hAnsi="Arial" w:cs="Arial"/>
      <w:u w:val="single"/>
      <w:lang w:val="es-CR" w:eastAsia="es-ES"/>
    </w:rPr>
  </w:style>
  <w:style w:type="paragraph" w:customStyle="1" w:styleId="Piedepginaprimera">
    <w:name w:val="Pie de página primera"/>
    <w:basedOn w:val="Normal"/>
    <w:uiPriority w:val="99"/>
    <w:qFormat/>
    <w:rsid w:val="00B15F7D"/>
    <w:pPr>
      <w:shd w:val="clear" w:color="auto" w:fill="FFFFFF"/>
      <w:suppressAutoHyphens w:val="0"/>
      <w:autoSpaceDE w:val="0"/>
    </w:pPr>
    <w:rPr>
      <w:rFonts w:ascii="Arial" w:eastAsia="Calibri" w:hAnsi="Arial" w:cs="Arial"/>
      <w:u w:val="single"/>
      <w:lang w:val="es-CR" w:eastAsia="es-ES"/>
    </w:rPr>
  </w:style>
  <w:style w:type="paragraph" w:customStyle="1" w:styleId="Piedepginaimpar">
    <w:name w:val="Pie de página impar"/>
    <w:basedOn w:val="Normal"/>
    <w:uiPriority w:val="99"/>
    <w:qFormat/>
    <w:rsid w:val="00B15F7D"/>
    <w:pPr>
      <w:shd w:val="clear" w:color="auto" w:fill="FFFFFF"/>
      <w:suppressAutoHyphens w:val="0"/>
      <w:autoSpaceDE w:val="0"/>
    </w:pPr>
    <w:rPr>
      <w:rFonts w:ascii="Arial" w:eastAsia="Calibri" w:hAnsi="Arial" w:cs="Arial"/>
      <w:u w:val="single"/>
      <w:lang w:val="es-CR" w:eastAsia="es-ES"/>
    </w:rPr>
  </w:style>
  <w:style w:type="paragraph" w:customStyle="1" w:styleId="Encabezadopar">
    <w:name w:val="Encabezado par"/>
    <w:basedOn w:val="Normal"/>
    <w:uiPriority w:val="99"/>
    <w:qFormat/>
    <w:rsid w:val="00B15F7D"/>
    <w:pPr>
      <w:shd w:val="clear" w:color="auto" w:fill="FFFFFF"/>
      <w:suppressAutoHyphens w:val="0"/>
      <w:autoSpaceDE w:val="0"/>
    </w:pPr>
    <w:rPr>
      <w:rFonts w:ascii="Arial" w:eastAsia="Calibri" w:hAnsi="Arial" w:cs="Arial"/>
      <w:u w:val="single"/>
      <w:lang w:val="es-CR" w:eastAsia="es-ES"/>
    </w:rPr>
  </w:style>
  <w:style w:type="paragraph" w:customStyle="1" w:styleId="Encabezadoprimero">
    <w:name w:val="Encabezado primero"/>
    <w:basedOn w:val="Normal"/>
    <w:uiPriority w:val="99"/>
    <w:qFormat/>
    <w:rsid w:val="00B15F7D"/>
    <w:pPr>
      <w:shd w:val="clear" w:color="auto" w:fill="FFFFFF"/>
      <w:suppressAutoHyphens w:val="0"/>
      <w:autoSpaceDE w:val="0"/>
    </w:pPr>
    <w:rPr>
      <w:rFonts w:ascii="Arial" w:eastAsia="Calibri" w:hAnsi="Arial" w:cs="Arial"/>
      <w:u w:val="single"/>
      <w:lang w:val="es-CR" w:eastAsia="es-ES"/>
    </w:rPr>
  </w:style>
  <w:style w:type="paragraph" w:customStyle="1" w:styleId="Encabezadoimpar">
    <w:name w:val="Encabezado impar"/>
    <w:basedOn w:val="Normal"/>
    <w:uiPriority w:val="99"/>
    <w:qFormat/>
    <w:rsid w:val="00B15F7D"/>
    <w:pPr>
      <w:shd w:val="clear" w:color="auto" w:fill="FFFFFF"/>
      <w:suppressAutoHyphens w:val="0"/>
      <w:autoSpaceDE w:val="0"/>
    </w:pPr>
    <w:rPr>
      <w:rFonts w:ascii="Arial" w:eastAsia="Calibri" w:hAnsi="Arial" w:cs="Arial"/>
      <w:u w:val="single"/>
      <w:lang w:val="es-CR" w:eastAsia="es-ES"/>
    </w:rPr>
  </w:style>
  <w:style w:type="paragraph" w:customStyle="1" w:styleId="ndice-base">
    <w:name w:val="Índice - base"/>
    <w:basedOn w:val="Normal"/>
    <w:uiPriority w:val="99"/>
    <w:qFormat/>
    <w:rsid w:val="00B15F7D"/>
    <w:pPr>
      <w:suppressAutoHyphens w:val="0"/>
      <w:spacing w:line="240" w:lineRule="atLeast"/>
      <w:ind w:left="360" w:hanging="360"/>
    </w:pPr>
    <w:rPr>
      <w:rFonts w:ascii="Arial" w:eastAsia="Calibri" w:hAnsi="Arial" w:cs="Arial"/>
      <w:spacing w:val="-5"/>
      <w:sz w:val="18"/>
      <w:szCs w:val="18"/>
      <w:lang w:val="es-CR" w:eastAsia="en-US"/>
    </w:rPr>
  </w:style>
  <w:style w:type="paragraph" w:customStyle="1" w:styleId="Encabezadodetabla">
    <w:name w:val="Encabezado de tabla"/>
    <w:basedOn w:val="Normal"/>
    <w:uiPriority w:val="99"/>
    <w:qFormat/>
    <w:rsid w:val="00B15F7D"/>
    <w:pPr>
      <w:suppressAutoHyphens w:val="0"/>
      <w:spacing w:before="60"/>
      <w:jc w:val="center"/>
    </w:pPr>
    <w:rPr>
      <w:rFonts w:ascii="Arial Black" w:eastAsia="Calibri" w:hAnsi="Arial Black" w:cs="Calibri"/>
      <w:spacing w:val="-5"/>
      <w:sz w:val="16"/>
      <w:szCs w:val="16"/>
      <w:lang w:val="es-CR" w:eastAsia="en-US"/>
    </w:rPr>
  </w:style>
  <w:style w:type="paragraph" w:customStyle="1" w:styleId="Subttulodeparte">
    <w:name w:val="Subtítulo de parte"/>
    <w:basedOn w:val="Normal"/>
    <w:uiPriority w:val="99"/>
    <w:qFormat/>
    <w:rsid w:val="00B15F7D"/>
    <w:pPr>
      <w:keepNext/>
      <w:suppressAutoHyphens w:val="0"/>
      <w:spacing w:before="360" w:after="120"/>
      <w:ind w:left="1080"/>
    </w:pPr>
    <w:rPr>
      <w:rFonts w:ascii="Arial" w:eastAsia="Calibri" w:hAnsi="Arial" w:cs="Arial"/>
      <w:i/>
      <w:iCs/>
      <w:spacing w:val="-5"/>
      <w:sz w:val="26"/>
      <w:szCs w:val="26"/>
      <w:lang w:val="es-CR" w:eastAsia="en-US"/>
    </w:rPr>
  </w:style>
  <w:style w:type="paragraph" w:customStyle="1" w:styleId="Remite">
    <w:name w:val="Remite"/>
    <w:basedOn w:val="Normal"/>
    <w:uiPriority w:val="99"/>
    <w:qFormat/>
    <w:rsid w:val="00B15F7D"/>
    <w:pPr>
      <w:framePr w:w="5160" w:h="840" w:wrap="notBeside" w:vAnchor="page" w:hAnchor="page" w:x="6121" w:y="915" w:anchorLock="1"/>
      <w:suppressAutoHyphens w:val="0"/>
      <w:spacing w:line="160" w:lineRule="atLeast"/>
    </w:pPr>
    <w:rPr>
      <w:rFonts w:ascii="Arial" w:eastAsia="Calibri" w:hAnsi="Arial" w:cs="Arial"/>
      <w:sz w:val="14"/>
      <w:szCs w:val="14"/>
      <w:lang w:val="es-CR" w:eastAsia="en-US"/>
    </w:rPr>
  </w:style>
  <w:style w:type="paragraph" w:customStyle="1" w:styleId="Encabezadodeseccin">
    <w:name w:val="Encabezado de sección"/>
    <w:basedOn w:val="Normal"/>
    <w:uiPriority w:val="99"/>
    <w:qFormat/>
    <w:rsid w:val="00B15F7D"/>
    <w:pPr>
      <w:keepNext/>
      <w:shd w:val="clear" w:color="auto" w:fill="000000"/>
      <w:suppressAutoHyphens w:val="0"/>
      <w:spacing w:after="240" w:line="240" w:lineRule="atLeast"/>
      <w:ind w:left="120"/>
    </w:pPr>
    <w:rPr>
      <w:rFonts w:ascii="Arial Black" w:eastAsia="Calibri" w:hAnsi="Arial Black" w:cs="Calibri"/>
      <w:color w:val="FFFFFF"/>
      <w:spacing w:val="-10"/>
      <w:lang w:val="es-CR" w:eastAsia="en-US"/>
    </w:rPr>
  </w:style>
  <w:style w:type="paragraph" w:customStyle="1" w:styleId="Rtulodeseccin">
    <w:name w:val="Rótulo de sección"/>
    <w:basedOn w:val="Normal"/>
    <w:uiPriority w:val="99"/>
    <w:qFormat/>
    <w:rsid w:val="00B15F7D"/>
    <w:pPr>
      <w:keepNext/>
      <w:suppressAutoHyphens w:val="0"/>
      <w:spacing w:before="360" w:after="960" w:line="220" w:lineRule="atLeast"/>
    </w:pPr>
    <w:rPr>
      <w:rFonts w:ascii="Arial Black" w:eastAsia="Calibri" w:hAnsi="Arial Black" w:cs="Calibri"/>
      <w:spacing w:val="-35"/>
      <w:sz w:val="54"/>
      <w:szCs w:val="54"/>
      <w:lang w:val="es-CR" w:eastAsia="en-US"/>
    </w:rPr>
  </w:style>
  <w:style w:type="paragraph" w:customStyle="1" w:styleId="Subttulodecubierta">
    <w:name w:val="Subtítulo de cubierta"/>
    <w:basedOn w:val="Normal"/>
    <w:uiPriority w:val="99"/>
    <w:qFormat/>
    <w:rsid w:val="00B15F7D"/>
    <w:pPr>
      <w:keepNext/>
      <w:suppressAutoHyphens w:val="0"/>
      <w:spacing w:before="240" w:after="500" w:line="640" w:lineRule="exact"/>
    </w:pPr>
    <w:rPr>
      <w:rFonts w:ascii="Arial Black" w:eastAsia="Calibri" w:hAnsi="Arial Black" w:cs="Calibri"/>
      <w:b/>
      <w:bCs/>
      <w:spacing w:val="-48"/>
      <w:sz w:val="64"/>
      <w:szCs w:val="64"/>
      <w:lang w:val="es-CR" w:eastAsia="en-US"/>
    </w:rPr>
  </w:style>
  <w:style w:type="paragraph" w:customStyle="1" w:styleId="TDC-base">
    <w:name w:val="TDC - base"/>
    <w:basedOn w:val="Normal"/>
    <w:uiPriority w:val="99"/>
    <w:qFormat/>
    <w:rsid w:val="00B15F7D"/>
    <w:pPr>
      <w:suppressAutoHyphens w:val="0"/>
      <w:spacing w:after="240" w:line="240" w:lineRule="atLeast"/>
    </w:pPr>
    <w:rPr>
      <w:rFonts w:ascii="Arial" w:eastAsia="Calibri" w:hAnsi="Arial" w:cs="Arial"/>
      <w:spacing w:val="-5"/>
      <w:lang w:val="es-CR" w:eastAsia="en-US"/>
    </w:rPr>
  </w:style>
  <w:style w:type="paragraph" w:customStyle="1" w:styleId="EstiloTtulo114ptCentradoInterlineadoMnimo24ptoDis">
    <w:name w:val="Estilo Título 1 + 14 pt Centrado Interlineado:  Mínimo 24 pto Dis..."/>
    <w:basedOn w:val="Normal"/>
    <w:uiPriority w:val="99"/>
    <w:qFormat/>
    <w:rsid w:val="00B15F7D"/>
    <w:pPr>
      <w:numPr>
        <w:numId w:val="22"/>
      </w:numPr>
      <w:tabs>
        <w:tab w:val="num" w:pos="540"/>
      </w:tabs>
      <w:suppressAutoHyphens w:val="0"/>
      <w:ind w:left="540"/>
    </w:pPr>
    <w:rPr>
      <w:rFonts w:eastAsia="Calibri"/>
      <w:lang w:val="es-CR" w:eastAsia="es-ES"/>
    </w:rPr>
  </w:style>
  <w:style w:type="paragraph" w:customStyle="1" w:styleId="cm11">
    <w:name w:val="cm1"/>
    <w:basedOn w:val="Normal"/>
    <w:qFormat/>
    <w:rsid w:val="00B15F7D"/>
    <w:pPr>
      <w:suppressAutoHyphens w:val="0"/>
      <w:spacing w:before="100" w:beforeAutospacing="1" w:after="100" w:afterAutospacing="1"/>
    </w:pPr>
    <w:rPr>
      <w:rFonts w:eastAsia="Calibri"/>
      <w:lang w:val="es-CR" w:eastAsia="es-ES"/>
    </w:rPr>
  </w:style>
  <w:style w:type="paragraph" w:customStyle="1" w:styleId="yiv33492148default">
    <w:name w:val="yiv33492148default"/>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Subttulo1">
    <w:name w:val="Subtítulo1"/>
    <w:basedOn w:val="Normal"/>
    <w:uiPriority w:val="99"/>
    <w:qFormat/>
    <w:rsid w:val="00B15F7D"/>
    <w:pPr>
      <w:suppressAutoHyphens w:val="0"/>
    </w:pPr>
    <w:rPr>
      <w:rFonts w:ascii="Helvetica Neue Light" w:eastAsia="Calibri" w:hAnsi="Helvetica Neue Light" w:cs="Calibri"/>
      <w:color w:val="000000"/>
      <w:sz w:val="36"/>
      <w:szCs w:val="36"/>
      <w:lang w:val="es-CR" w:eastAsia="zh-CN"/>
    </w:rPr>
  </w:style>
  <w:style w:type="paragraph" w:customStyle="1" w:styleId="Autocorrecci">
    <w:name w:val="Autocorrecci"/>
    <w:basedOn w:val="Normal"/>
    <w:qFormat/>
    <w:rsid w:val="00B15F7D"/>
    <w:pPr>
      <w:shd w:val="clear" w:color="auto" w:fill="FFFFFF"/>
      <w:suppressAutoHyphens w:val="0"/>
    </w:pPr>
    <w:rPr>
      <w:rFonts w:eastAsia="Calibri"/>
      <w:sz w:val="20"/>
      <w:szCs w:val="20"/>
      <w:u w:val="single"/>
      <w:lang w:val="es-CR" w:eastAsia="en-US"/>
    </w:rPr>
  </w:style>
  <w:style w:type="character" w:customStyle="1" w:styleId="AgestinCar0">
    <w:name w:val="A gestión Car"/>
    <w:basedOn w:val="Fuentedeprrafopredeter"/>
    <w:link w:val="Agestin0"/>
    <w:qFormat/>
    <w:locked/>
    <w:rsid w:val="00B15F7D"/>
    <w:rPr>
      <w:color w:val="000099"/>
    </w:rPr>
  </w:style>
  <w:style w:type="paragraph" w:customStyle="1" w:styleId="Agestin0">
    <w:name w:val="A gestión"/>
    <w:basedOn w:val="Normal"/>
    <w:link w:val="AgestinCar0"/>
    <w:qFormat/>
    <w:rsid w:val="00B15F7D"/>
    <w:pPr>
      <w:suppressAutoHyphens w:val="0"/>
      <w:spacing w:before="120" w:after="120"/>
      <w:ind w:left="851" w:right="851" w:firstLine="709"/>
      <w:jc w:val="both"/>
    </w:pPr>
    <w:rPr>
      <w:rFonts w:asciiTheme="minorHAnsi" w:eastAsiaTheme="minorHAnsi" w:hAnsiTheme="minorHAnsi" w:cstheme="minorBidi"/>
      <w:color w:val="000099"/>
      <w:sz w:val="22"/>
      <w:szCs w:val="22"/>
      <w:lang w:val="es-CR" w:eastAsia="en-US"/>
    </w:rPr>
  </w:style>
  <w:style w:type="paragraph" w:customStyle="1" w:styleId="m9083224749270086736msoheader">
    <w:name w:val="m_9083224749270086736msoheader"/>
    <w:basedOn w:val="Normal"/>
    <w:uiPriority w:val="99"/>
    <w:semiHidden/>
    <w:qFormat/>
    <w:rsid w:val="00B15F7D"/>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CuerpoA">
    <w:name w:val="Cuerpo A"/>
    <w:basedOn w:val="Normal"/>
    <w:uiPriority w:val="99"/>
    <w:qFormat/>
    <w:rsid w:val="00B15F7D"/>
    <w:pPr>
      <w:suppressAutoHyphens w:val="0"/>
    </w:pPr>
    <w:rPr>
      <w:rFonts w:eastAsia="Calibri"/>
      <w:color w:val="000000"/>
      <w:lang w:val="es-CR" w:eastAsia="es-CR"/>
    </w:rPr>
  </w:style>
  <w:style w:type="paragraph" w:customStyle="1" w:styleId="Epgrafe6">
    <w:name w:val="Epígrafe6"/>
    <w:basedOn w:val="Normal"/>
    <w:qFormat/>
    <w:rsid w:val="00B15F7D"/>
    <w:pPr>
      <w:suppressAutoHyphens w:val="0"/>
      <w:autoSpaceDE w:val="0"/>
      <w:autoSpaceDN w:val="0"/>
      <w:spacing w:before="120" w:after="120"/>
    </w:pPr>
    <w:rPr>
      <w:rFonts w:eastAsia="Calibri"/>
      <w:i/>
      <w:iCs/>
      <w:lang w:val="es-CR" w:eastAsia="es-CR"/>
    </w:rPr>
  </w:style>
  <w:style w:type="paragraph" w:customStyle="1" w:styleId="Epgrafe5">
    <w:name w:val="Epígrafe5"/>
    <w:basedOn w:val="Normal"/>
    <w:qFormat/>
    <w:rsid w:val="00B15F7D"/>
    <w:pPr>
      <w:suppressAutoHyphens w:val="0"/>
      <w:autoSpaceDE w:val="0"/>
      <w:autoSpaceDN w:val="0"/>
      <w:spacing w:before="120" w:after="120"/>
    </w:pPr>
    <w:rPr>
      <w:rFonts w:eastAsia="Calibri"/>
      <w:i/>
      <w:iCs/>
      <w:lang w:val="es-CR" w:eastAsia="es-CR"/>
    </w:rPr>
  </w:style>
  <w:style w:type="paragraph" w:customStyle="1" w:styleId="Encabezado40">
    <w:name w:val="Encabezado 4"/>
    <w:basedOn w:val="Normal"/>
    <w:uiPriority w:val="99"/>
    <w:qFormat/>
    <w:rsid w:val="00B15F7D"/>
    <w:pPr>
      <w:keepNext/>
      <w:suppressAutoHyphens w:val="0"/>
      <w:autoSpaceDE w:val="0"/>
      <w:autoSpaceDN w:val="0"/>
      <w:spacing w:before="240" w:after="120"/>
      <w:ind w:left="864" w:hanging="864"/>
      <w:jc w:val="center"/>
    </w:pPr>
    <w:rPr>
      <w:rFonts w:ascii="Courier New" w:eastAsia="Calibri" w:hAnsi="Courier New" w:cs="Courier New"/>
      <w:b/>
      <w:bCs/>
      <w:color w:val="000000"/>
      <w:sz w:val="32"/>
      <w:szCs w:val="32"/>
      <w:lang w:val="es-CR" w:eastAsia="es-CR"/>
    </w:rPr>
  </w:style>
  <w:style w:type="paragraph" w:customStyle="1" w:styleId="Encabezado61">
    <w:name w:val="Encabezado 6"/>
    <w:basedOn w:val="Normal"/>
    <w:uiPriority w:val="99"/>
    <w:qFormat/>
    <w:rsid w:val="00B15F7D"/>
    <w:pPr>
      <w:keepNext/>
      <w:suppressAutoHyphens w:val="0"/>
      <w:autoSpaceDE w:val="0"/>
      <w:autoSpaceDN w:val="0"/>
      <w:spacing w:before="240" w:after="120"/>
      <w:ind w:left="1152" w:hanging="1152"/>
      <w:jc w:val="center"/>
    </w:pPr>
    <w:rPr>
      <w:rFonts w:ascii="Courier New" w:eastAsia="Calibri" w:hAnsi="Courier New" w:cs="Courier New"/>
      <w:b/>
      <w:bCs/>
      <w:i/>
      <w:iCs/>
      <w:color w:val="000000"/>
      <w:sz w:val="22"/>
      <w:szCs w:val="22"/>
      <w:u w:val="single"/>
      <w:lang w:val="es-CR" w:eastAsia="es-CR"/>
    </w:rPr>
  </w:style>
  <w:style w:type="paragraph" w:customStyle="1" w:styleId="Encabezado8">
    <w:name w:val="Encabezado 8"/>
    <w:basedOn w:val="Normal"/>
    <w:uiPriority w:val="99"/>
    <w:qFormat/>
    <w:rsid w:val="00B15F7D"/>
    <w:pPr>
      <w:keepNext/>
      <w:suppressAutoHyphens w:val="0"/>
      <w:autoSpaceDE w:val="0"/>
      <w:autoSpaceDN w:val="0"/>
      <w:spacing w:before="240" w:after="120"/>
      <w:ind w:left="1440" w:hanging="1440"/>
    </w:pPr>
    <w:rPr>
      <w:rFonts w:ascii="Courier New" w:eastAsia="Calibri" w:hAnsi="Courier New" w:cs="Courier New"/>
      <w:b/>
      <w:bCs/>
      <w:color w:val="000000"/>
      <w:lang w:val="es-CR" w:eastAsia="es-CR"/>
    </w:rPr>
  </w:style>
  <w:style w:type="paragraph" w:customStyle="1" w:styleId="Encabezado9">
    <w:name w:val="Encabezado 9"/>
    <w:basedOn w:val="Normal"/>
    <w:uiPriority w:val="99"/>
    <w:qFormat/>
    <w:rsid w:val="00B15F7D"/>
    <w:pPr>
      <w:keepNext/>
      <w:suppressAutoHyphens w:val="0"/>
      <w:autoSpaceDE w:val="0"/>
      <w:autoSpaceDN w:val="0"/>
      <w:spacing w:before="240" w:after="120"/>
      <w:ind w:left="360"/>
      <w:jc w:val="center"/>
    </w:pPr>
    <w:rPr>
      <w:rFonts w:ascii="Courier New" w:eastAsia="Calibri" w:hAnsi="Courier New" w:cs="Courier New"/>
      <w:b/>
      <w:bCs/>
      <w:color w:val="000000"/>
      <w:sz w:val="22"/>
      <w:szCs w:val="22"/>
      <w:u w:val="single"/>
      <w:lang w:val="es-CR" w:eastAsia="es-CR"/>
    </w:rPr>
  </w:style>
  <w:style w:type="paragraph" w:customStyle="1" w:styleId="Cuerpodetextoconsangra">
    <w:name w:val="Cuerpo de texto con sangría"/>
    <w:basedOn w:val="Normal"/>
    <w:uiPriority w:val="99"/>
    <w:qFormat/>
    <w:rsid w:val="00B15F7D"/>
    <w:pPr>
      <w:suppressAutoHyphens w:val="0"/>
      <w:autoSpaceDE w:val="0"/>
      <w:autoSpaceDN w:val="0"/>
      <w:jc w:val="both"/>
    </w:pPr>
    <w:rPr>
      <w:rFonts w:ascii="Arial" w:eastAsia="Calibri" w:hAnsi="Arial" w:cs="Arial"/>
      <w:color w:val="000000"/>
      <w:sz w:val="19"/>
      <w:szCs w:val="19"/>
      <w:lang w:val="es-CR" w:eastAsia="es-CR"/>
    </w:rPr>
  </w:style>
  <w:style w:type="paragraph" w:customStyle="1" w:styleId="Leyenda">
    <w:name w:val="Leyenda"/>
    <w:basedOn w:val="Normal"/>
    <w:qFormat/>
    <w:rsid w:val="00B15F7D"/>
    <w:pPr>
      <w:suppressAutoHyphens w:val="0"/>
      <w:autoSpaceDE w:val="0"/>
      <w:autoSpaceDN w:val="0"/>
      <w:spacing w:before="120" w:after="120" w:line="252" w:lineRule="auto"/>
    </w:pPr>
    <w:rPr>
      <w:rFonts w:ascii="Calibri" w:eastAsia="Calibri" w:hAnsi="Calibri" w:cs="Calibri"/>
      <w:i/>
      <w:iCs/>
      <w:color w:val="000000"/>
      <w:lang w:val="es-CR" w:eastAsia="es-CR"/>
    </w:rPr>
  </w:style>
  <w:style w:type="character" w:customStyle="1" w:styleId="AgestinyanteCar">
    <w:name w:val="A gestión y ante Car"/>
    <w:basedOn w:val="Fuentedeprrafopredeter"/>
    <w:link w:val="Agestinyante"/>
    <w:semiHidden/>
    <w:locked/>
    <w:rsid w:val="00B15F7D"/>
    <w:rPr>
      <w:color w:val="000099"/>
    </w:rPr>
  </w:style>
  <w:style w:type="paragraph" w:customStyle="1" w:styleId="Agestinyante">
    <w:name w:val="A gestión y ante"/>
    <w:basedOn w:val="Normal"/>
    <w:link w:val="AgestinyanteCar"/>
    <w:semiHidden/>
    <w:qFormat/>
    <w:rsid w:val="00B15F7D"/>
    <w:pPr>
      <w:suppressAutoHyphens w:val="0"/>
      <w:spacing w:before="120" w:after="120"/>
      <w:ind w:left="851" w:right="851" w:firstLine="567"/>
      <w:jc w:val="both"/>
    </w:pPr>
    <w:rPr>
      <w:rFonts w:asciiTheme="minorHAnsi" w:eastAsiaTheme="minorHAnsi" w:hAnsiTheme="minorHAnsi" w:cstheme="minorBidi"/>
      <w:color w:val="000099"/>
      <w:sz w:val="22"/>
      <w:szCs w:val="22"/>
      <w:lang w:val="es-CR" w:eastAsia="en-US"/>
    </w:rPr>
  </w:style>
  <w:style w:type="paragraph" w:customStyle="1" w:styleId="Encabezado200">
    <w:name w:val="Encabezado20"/>
    <w:basedOn w:val="Normal"/>
    <w:uiPriority w:val="99"/>
    <w:semiHidden/>
    <w:qFormat/>
    <w:rsid w:val="00B15F7D"/>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9">
    <w:name w:val="Encabezado19"/>
    <w:basedOn w:val="Normal"/>
    <w:uiPriority w:val="99"/>
    <w:semiHidden/>
    <w:qFormat/>
    <w:rsid w:val="00B15F7D"/>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pgrafe7">
    <w:name w:val="Epígrafe7"/>
    <w:basedOn w:val="Normal"/>
    <w:uiPriority w:val="99"/>
    <w:qFormat/>
    <w:rsid w:val="00B15F7D"/>
    <w:pPr>
      <w:suppressAutoHyphens w:val="0"/>
      <w:spacing w:before="120" w:after="120"/>
    </w:pPr>
    <w:rPr>
      <w:rFonts w:eastAsia="Calibri"/>
      <w:i/>
      <w:iCs/>
      <w:lang w:val="es-CR" w:eastAsia="es-CR"/>
    </w:rPr>
  </w:style>
  <w:style w:type="paragraph" w:customStyle="1" w:styleId="Encabezado18">
    <w:name w:val="Encabezado18"/>
    <w:basedOn w:val="Normal"/>
    <w:uiPriority w:val="99"/>
    <w:semiHidden/>
    <w:qFormat/>
    <w:rsid w:val="00B15F7D"/>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pgrafe8">
    <w:name w:val="Epígrafe8"/>
    <w:basedOn w:val="Normal"/>
    <w:uiPriority w:val="99"/>
    <w:qFormat/>
    <w:rsid w:val="00B15F7D"/>
    <w:pPr>
      <w:suppressAutoHyphens w:val="0"/>
      <w:spacing w:before="120" w:after="120"/>
    </w:pPr>
    <w:rPr>
      <w:rFonts w:eastAsia="Calibri"/>
      <w:i/>
      <w:iCs/>
      <w:lang w:val="es-CR" w:eastAsia="es-CR"/>
    </w:rPr>
  </w:style>
  <w:style w:type="paragraph" w:customStyle="1" w:styleId="Encabezado17">
    <w:name w:val="Encabezado17"/>
    <w:basedOn w:val="Normal"/>
    <w:uiPriority w:val="99"/>
    <w:semiHidden/>
    <w:qFormat/>
    <w:rsid w:val="00B15F7D"/>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6">
    <w:name w:val="Encabezado16"/>
    <w:basedOn w:val="Normal"/>
    <w:uiPriority w:val="99"/>
    <w:semiHidden/>
    <w:qFormat/>
    <w:rsid w:val="00B15F7D"/>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5">
    <w:name w:val="Encabezado15"/>
    <w:basedOn w:val="Normal"/>
    <w:uiPriority w:val="99"/>
    <w:semiHidden/>
    <w:qFormat/>
    <w:rsid w:val="00B15F7D"/>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4">
    <w:name w:val="Encabezado14"/>
    <w:basedOn w:val="Normal"/>
    <w:uiPriority w:val="99"/>
    <w:semiHidden/>
    <w:qFormat/>
    <w:rsid w:val="00B15F7D"/>
    <w:pPr>
      <w:suppressAutoHyphens w:val="0"/>
      <w:ind w:left="360"/>
      <w:jc w:val="center"/>
    </w:pPr>
    <w:rPr>
      <w:rFonts w:eastAsia="Calibri"/>
      <w:b/>
      <w:bCs/>
      <w:lang w:val="es-CR" w:eastAsia="es-CR"/>
    </w:rPr>
  </w:style>
  <w:style w:type="paragraph" w:customStyle="1" w:styleId="Encabezado80">
    <w:name w:val="Encabezado8"/>
    <w:basedOn w:val="Normal"/>
    <w:qFormat/>
    <w:rsid w:val="00B15F7D"/>
    <w:pPr>
      <w:keepNext/>
      <w:suppressAutoHyphens w:val="0"/>
      <w:spacing w:before="240" w:after="120"/>
    </w:pPr>
    <w:rPr>
      <w:rFonts w:ascii="Arial" w:eastAsia="Calibri" w:hAnsi="Arial" w:cs="Arial"/>
      <w:sz w:val="28"/>
      <w:szCs w:val="28"/>
      <w:lang w:val="es-CR" w:eastAsia="es-CR"/>
    </w:rPr>
  </w:style>
  <w:style w:type="paragraph" w:customStyle="1" w:styleId="Encabezado13">
    <w:name w:val="Encabezado13"/>
    <w:basedOn w:val="Normal"/>
    <w:uiPriority w:val="99"/>
    <w:semiHidden/>
    <w:qFormat/>
    <w:rsid w:val="00B15F7D"/>
    <w:pPr>
      <w:keepNext/>
      <w:suppressAutoHyphens w:val="0"/>
      <w:spacing w:before="240" w:after="120"/>
    </w:pPr>
    <w:rPr>
      <w:rFonts w:ascii="Arial" w:eastAsia="Calibri" w:hAnsi="Arial" w:cs="Arial"/>
      <w:sz w:val="28"/>
      <w:szCs w:val="28"/>
      <w:lang w:val="es-CR" w:eastAsia="es-CR"/>
    </w:rPr>
  </w:style>
  <w:style w:type="paragraph" w:customStyle="1" w:styleId="Encabezado120">
    <w:name w:val="Encabezado12"/>
    <w:basedOn w:val="Normal"/>
    <w:uiPriority w:val="99"/>
    <w:semiHidden/>
    <w:qFormat/>
    <w:rsid w:val="00B15F7D"/>
    <w:pPr>
      <w:keepNext/>
      <w:suppressAutoHyphens w:val="0"/>
      <w:spacing w:before="240" w:after="120"/>
    </w:pPr>
    <w:rPr>
      <w:rFonts w:ascii="Arial" w:eastAsia="Calibri" w:hAnsi="Arial" w:cs="Arial"/>
      <w:sz w:val="28"/>
      <w:szCs w:val="28"/>
      <w:lang w:val="es-CR" w:eastAsia="es-CR"/>
    </w:rPr>
  </w:style>
  <w:style w:type="paragraph" w:customStyle="1" w:styleId="Encabezado110">
    <w:name w:val="Encabezado11"/>
    <w:basedOn w:val="Normal"/>
    <w:uiPriority w:val="99"/>
    <w:qFormat/>
    <w:rsid w:val="00B15F7D"/>
    <w:pPr>
      <w:keepNext/>
      <w:suppressAutoHyphens w:val="0"/>
      <w:spacing w:before="240" w:after="120"/>
    </w:pPr>
    <w:rPr>
      <w:rFonts w:ascii="Arial" w:eastAsia="Calibri" w:hAnsi="Arial" w:cs="Arial"/>
      <w:sz w:val="28"/>
      <w:szCs w:val="28"/>
      <w:lang w:val="es-CR" w:eastAsia="es-CR"/>
    </w:rPr>
  </w:style>
  <w:style w:type="paragraph" w:customStyle="1" w:styleId="Encabezado101">
    <w:name w:val="Encabezado10"/>
    <w:basedOn w:val="Normal"/>
    <w:uiPriority w:val="99"/>
    <w:semiHidden/>
    <w:qFormat/>
    <w:rsid w:val="00B15F7D"/>
    <w:pPr>
      <w:keepNext/>
      <w:suppressAutoHyphens w:val="0"/>
      <w:spacing w:before="240" w:after="120"/>
    </w:pPr>
    <w:rPr>
      <w:rFonts w:ascii="Arial" w:eastAsia="Calibri" w:hAnsi="Arial" w:cs="Arial"/>
      <w:sz w:val="28"/>
      <w:szCs w:val="28"/>
      <w:lang w:val="es-CR" w:eastAsia="es-CR"/>
    </w:rPr>
  </w:style>
  <w:style w:type="paragraph" w:customStyle="1" w:styleId="Encabezado90">
    <w:name w:val="Encabezado9"/>
    <w:basedOn w:val="Normal"/>
    <w:uiPriority w:val="99"/>
    <w:semiHidden/>
    <w:qFormat/>
    <w:rsid w:val="00B15F7D"/>
    <w:pPr>
      <w:keepNext/>
      <w:suppressAutoHyphens w:val="0"/>
      <w:spacing w:before="240" w:after="120"/>
    </w:pPr>
    <w:rPr>
      <w:rFonts w:ascii="Arial" w:eastAsia="Calibri" w:hAnsi="Arial" w:cs="Arial"/>
      <w:sz w:val="28"/>
      <w:szCs w:val="28"/>
      <w:lang w:val="es-CR" w:eastAsia="es-CR"/>
    </w:rPr>
  </w:style>
  <w:style w:type="paragraph" w:customStyle="1" w:styleId="FootnoteText1">
    <w:name w:val="Footnote Text1"/>
    <w:basedOn w:val="Normal"/>
    <w:uiPriority w:val="99"/>
    <w:semiHidden/>
    <w:qFormat/>
    <w:rsid w:val="00B15F7D"/>
    <w:pPr>
      <w:suppressAutoHyphens w:val="0"/>
    </w:pPr>
    <w:rPr>
      <w:rFonts w:eastAsia="Calibri"/>
      <w:lang w:val="es-CR" w:eastAsia="es-CR"/>
    </w:rPr>
  </w:style>
  <w:style w:type="paragraph" w:customStyle="1" w:styleId="Textoindependiente34">
    <w:name w:val="Texto independiente 34"/>
    <w:basedOn w:val="Normal"/>
    <w:uiPriority w:val="99"/>
    <w:qFormat/>
    <w:rsid w:val="00B15F7D"/>
    <w:pPr>
      <w:suppressAutoHyphens w:val="0"/>
      <w:spacing w:line="360" w:lineRule="auto"/>
      <w:jc w:val="both"/>
    </w:pPr>
    <w:rPr>
      <w:rFonts w:eastAsia="Calibri"/>
      <w:lang w:val="es-CR" w:eastAsia="es-CR"/>
    </w:rPr>
  </w:style>
  <w:style w:type="paragraph" w:customStyle="1" w:styleId="HTMLPreformatted1">
    <w:name w:val="HTML Preformatted1"/>
    <w:basedOn w:val="Normal"/>
    <w:uiPriority w:val="99"/>
    <w:semiHidden/>
    <w:qFormat/>
    <w:rsid w:val="00B15F7D"/>
    <w:pPr>
      <w:suppressAutoHyphens w:val="0"/>
    </w:pPr>
    <w:rPr>
      <w:rFonts w:ascii="Arial Unicode MS" w:eastAsia="Arial Unicode MS" w:hAnsi="Arial Unicode MS" w:cs="Arial Unicode MS"/>
      <w:lang w:val="es-CR" w:eastAsia="es-CR"/>
    </w:rPr>
  </w:style>
  <w:style w:type="paragraph" w:customStyle="1" w:styleId="Listaconvietas23">
    <w:name w:val="Lista con viñetas 23"/>
    <w:basedOn w:val="Normal"/>
    <w:uiPriority w:val="99"/>
    <w:semiHidden/>
    <w:qFormat/>
    <w:rsid w:val="00B15F7D"/>
    <w:pPr>
      <w:suppressAutoHyphens w:val="0"/>
      <w:ind w:left="643" w:hanging="360"/>
      <w:jc w:val="both"/>
    </w:pPr>
    <w:rPr>
      <w:rFonts w:eastAsia="Calibri"/>
      <w:lang w:val="es-CR" w:eastAsia="es-CR"/>
    </w:rPr>
  </w:style>
  <w:style w:type="paragraph" w:customStyle="1" w:styleId="Titulo10">
    <w:name w:val="Titulo1"/>
    <w:basedOn w:val="Normal"/>
    <w:uiPriority w:val="99"/>
    <w:semiHidden/>
    <w:qFormat/>
    <w:rsid w:val="00B15F7D"/>
    <w:pPr>
      <w:suppressAutoHyphens w:val="0"/>
      <w:jc w:val="center"/>
    </w:pPr>
    <w:rPr>
      <w:rFonts w:ascii="BauerBodni BT" w:eastAsia="Calibri" w:hAnsi="BauerBodni BT" w:cs="Calibri"/>
      <w:b/>
      <w:bCs/>
      <w:i/>
      <w:iCs/>
      <w:spacing w:val="20"/>
      <w:sz w:val="36"/>
      <w:szCs w:val="36"/>
      <w:lang w:val="es-CR" w:eastAsia="es-CR"/>
    </w:rPr>
  </w:style>
  <w:style w:type="paragraph" w:customStyle="1" w:styleId="Ttulo40">
    <w:name w:val="Título4"/>
    <w:basedOn w:val="Normal"/>
    <w:qFormat/>
    <w:rsid w:val="00B15F7D"/>
    <w:pPr>
      <w:suppressAutoHyphens w:val="0"/>
      <w:ind w:left="720" w:hanging="360"/>
      <w:jc w:val="both"/>
    </w:pPr>
    <w:rPr>
      <w:rFonts w:ascii="Cooper Md BT" w:eastAsia="Calibri" w:hAnsi="Cooper Md BT" w:cs="Calibri"/>
      <w:b/>
      <w:bCs/>
      <w:lang w:val="es-CR" w:eastAsia="es-CR"/>
    </w:rPr>
  </w:style>
  <w:style w:type="paragraph" w:customStyle="1" w:styleId="T92tulo4">
    <w:name w:val="TÐ92tulo 4"/>
    <w:basedOn w:val="Normal"/>
    <w:uiPriority w:val="99"/>
    <w:semiHidden/>
    <w:qFormat/>
    <w:rsid w:val="00B15F7D"/>
    <w:pPr>
      <w:keepNext/>
      <w:suppressAutoHyphens w:val="0"/>
      <w:jc w:val="center"/>
    </w:pPr>
    <w:rPr>
      <w:rFonts w:eastAsia="Calibri"/>
      <w:b/>
      <w:bCs/>
      <w:lang w:val="es-CR" w:eastAsia="es-CR"/>
    </w:rPr>
  </w:style>
  <w:style w:type="paragraph" w:customStyle="1" w:styleId="Ttulo39">
    <w:name w:val="Título3"/>
    <w:basedOn w:val="Normal"/>
    <w:qFormat/>
    <w:rsid w:val="00B15F7D"/>
    <w:pPr>
      <w:suppressAutoHyphens w:val="0"/>
      <w:ind w:left="1571" w:hanging="360"/>
    </w:pPr>
    <w:rPr>
      <w:rFonts w:eastAsia="Calibri"/>
      <w:b/>
      <w:bCs/>
      <w:i/>
      <w:iCs/>
      <w:sz w:val="28"/>
      <w:szCs w:val="28"/>
      <w:lang w:val="es-CR" w:eastAsia="es-CR"/>
    </w:rPr>
  </w:style>
  <w:style w:type="paragraph" w:customStyle="1" w:styleId="Sangradetextonormal1">
    <w:name w:val="Sangría de texto normal1"/>
    <w:basedOn w:val="Normal"/>
    <w:uiPriority w:val="99"/>
    <w:semiHidden/>
    <w:qFormat/>
    <w:rsid w:val="00B15F7D"/>
    <w:pPr>
      <w:suppressAutoHyphens w:val="0"/>
      <w:spacing w:after="120"/>
      <w:ind w:left="283"/>
    </w:pPr>
    <w:rPr>
      <w:rFonts w:eastAsia="Calibri"/>
      <w:lang w:val="es-CR" w:eastAsia="es-CR"/>
    </w:rPr>
  </w:style>
  <w:style w:type="paragraph" w:customStyle="1" w:styleId="TIT2">
    <w:name w:val="TIT2"/>
    <w:basedOn w:val="Normal"/>
    <w:uiPriority w:val="99"/>
    <w:qFormat/>
    <w:rsid w:val="00B15F7D"/>
    <w:pPr>
      <w:suppressAutoHyphens w:val="0"/>
      <w:spacing w:before="240" w:after="240"/>
      <w:ind w:left="709" w:hanging="709"/>
      <w:jc w:val="both"/>
    </w:pPr>
    <w:rPr>
      <w:rFonts w:eastAsia="Calibri"/>
      <w:b/>
      <w:bCs/>
      <w:sz w:val="28"/>
      <w:szCs w:val="28"/>
      <w:lang w:val="es-CR" w:eastAsia="es-CR"/>
    </w:rPr>
  </w:style>
  <w:style w:type="paragraph" w:customStyle="1" w:styleId="TIT1">
    <w:name w:val="TIT1"/>
    <w:basedOn w:val="Normal"/>
    <w:uiPriority w:val="99"/>
    <w:qFormat/>
    <w:rsid w:val="00B15F7D"/>
    <w:pPr>
      <w:suppressAutoHyphens w:val="0"/>
      <w:spacing w:before="240" w:after="240"/>
      <w:jc w:val="center"/>
    </w:pPr>
    <w:rPr>
      <w:rFonts w:eastAsia="Calibri"/>
      <w:b/>
      <w:bCs/>
      <w:i/>
      <w:iCs/>
      <w:sz w:val="32"/>
      <w:szCs w:val="32"/>
      <w:u w:val="single"/>
      <w:lang w:val="es-CR" w:eastAsia="es-CR"/>
    </w:rPr>
  </w:style>
  <w:style w:type="paragraph" w:customStyle="1" w:styleId="TIT3">
    <w:name w:val="TIT3"/>
    <w:basedOn w:val="Normal"/>
    <w:uiPriority w:val="99"/>
    <w:qFormat/>
    <w:rsid w:val="00B15F7D"/>
    <w:pPr>
      <w:suppressAutoHyphens w:val="0"/>
      <w:spacing w:before="240" w:after="240"/>
      <w:jc w:val="both"/>
    </w:pPr>
    <w:rPr>
      <w:rFonts w:ascii="Arial" w:eastAsia="Calibri" w:hAnsi="Arial" w:cs="Arial"/>
      <w:b/>
      <w:bCs/>
      <w:i/>
      <w:iCs/>
      <w:smallCaps/>
      <w:u w:val="single"/>
      <w:lang w:val="es-CR" w:eastAsia="es-CR"/>
    </w:rPr>
  </w:style>
  <w:style w:type="paragraph" w:customStyle="1" w:styleId="t92tulo40">
    <w:name w:val="t92tulo4"/>
    <w:basedOn w:val="Normal"/>
    <w:uiPriority w:val="99"/>
    <w:semiHidden/>
    <w:qFormat/>
    <w:rsid w:val="00B15F7D"/>
    <w:pPr>
      <w:keepNext/>
      <w:suppressAutoHyphens w:val="0"/>
      <w:jc w:val="center"/>
    </w:pPr>
    <w:rPr>
      <w:rFonts w:eastAsia="Calibri"/>
      <w:b/>
      <w:bCs/>
      <w:lang w:val="es-CR" w:eastAsia="es-CR"/>
    </w:rPr>
  </w:style>
  <w:style w:type="paragraph" w:customStyle="1" w:styleId="normalprueba0">
    <w:name w:val="normalprueba"/>
    <w:basedOn w:val="Normal"/>
    <w:uiPriority w:val="99"/>
    <w:qFormat/>
    <w:rsid w:val="00B15F7D"/>
    <w:pPr>
      <w:suppressAutoHyphens w:val="0"/>
    </w:pPr>
    <w:rPr>
      <w:rFonts w:ascii="Arial" w:eastAsia="Calibri" w:hAnsi="Arial" w:cs="Arial"/>
      <w:lang w:val="es-CR" w:eastAsia="es-CR"/>
    </w:rPr>
  </w:style>
  <w:style w:type="paragraph" w:customStyle="1" w:styleId="BodyText23">
    <w:name w:val="Body Text 23"/>
    <w:basedOn w:val="Normal"/>
    <w:uiPriority w:val="99"/>
    <w:semiHidden/>
    <w:qFormat/>
    <w:rsid w:val="00B15F7D"/>
    <w:pPr>
      <w:suppressAutoHyphens w:val="0"/>
      <w:jc w:val="both"/>
    </w:pPr>
    <w:rPr>
      <w:rFonts w:ascii="Arial" w:eastAsia="Calibri" w:hAnsi="Arial" w:cs="Arial"/>
      <w:lang w:val="es-CR" w:eastAsia="es-CR"/>
    </w:rPr>
  </w:style>
  <w:style w:type="paragraph" w:customStyle="1" w:styleId="BalloonText1">
    <w:name w:val="Balloon Text1"/>
    <w:basedOn w:val="Normal"/>
    <w:uiPriority w:val="99"/>
    <w:semiHidden/>
    <w:qFormat/>
    <w:rsid w:val="00B15F7D"/>
    <w:pPr>
      <w:suppressAutoHyphens w:val="0"/>
    </w:pPr>
    <w:rPr>
      <w:rFonts w:ascii="Tahoma" w:eastAsia="Calibri" w:hAnsi="Tahoma" w:cs="Tahoma"/>
      <w:sz w:val="16"/>
      <w:szCs w:val="16"/>
      <w:lang w:val="es-CR" w:eastAsia="es-CR"/>
    </w:rPr>
  </w:style>
  <w:style w:type="paragraph" w:customStyle="1" w:styleId="CommentSubject1">
    <w:name w:val="Comment Subject1"/>
    <w:basedOn w:val="Normal"/>
    <w:uiPriority w:val="99"/>
    <w:semiHidden/>
    <w:qFormat/>
    <w:rsid w:val="00B15F7D"/>
    <w:pPr>
      <w:suppressAutoHyphens w:val="0"/>
    </w:pPr>
    <w:rPr>
      <w:rFonts w:eastAsia="Calibri"/>
      <w:b/>
      <w:bCs/>
      <w:lang w:val="es-CR" w:eastAsia="es-CR"/>
    </w:rPr>
  </w:style>
  <w:style w:type="paragraph" w:customStyle="1" w:styleId="ListaCC">
    <w:name w:val="Lista CC"/>
    <w:basedOn w:val="Normal"/>
    <w:uiPriority w:val="99"/>
    <w:semiHidden/>
    <w:qFormat/>
    <w:rsid w:val="00B15F7D"/>
    <w:pPr>
      <w:suppressAutoHyphens w:val="0"/>
      <w:ind w:left="1195" w:hanging="360"/>
    </w:pPr>
    <w:rPr>
      <w:rFonts w:eastAsia="Calibri"/>
      <w:lang w:val="es-CR" w:eastAsia="es-CR"/>
    </w:rPr>
  </w:style>
  <w:style w:type="paragraph" w:customStyle="1" w:styleId="Default1">
    <w:name w:val="Default1"/>
    <w:basedOn w:val="Normal"/>
    <w:uiPriority w:val="99"/>
    <w:qFormat/>
    <w:rsid w:val="00B15F7D"/>
    <w:pPr>
      <w:suppressAutoHyphens w:val="0"/>
    </w:pPr>
    <w:rPr>
      <w:rFonts w:ascii="Arial" w:eastAsia="Calibri" w:hAnsi="Arial" w:cs="Arial"/>
      <w:color w:val="000000"/>
      <w:lang w:val="es-CR" w:eastAsia="es-CR"/>
    </w:rPr>
  </w:style>
  <w:style w:type="paragraph" w:customStyle="1" w:styleId="CM14">
    <w:name w:val="CM14"/>
    <w:basedOn w:val="Normal"/>
    <w:uiPriority w:val="99"/>
    <w:semiHidden/>
    <w:qFormat/>
    <w:rsid w:val="00B15F7D"/>
    <w:pPr>
      <w:suppressAutoHyphens w:val="0"/>
      <w:spacing w:after="233"/>
    </w:pPr>
    <w:rPr>
      <w:rFonts w:ascii="Arial" w:eastAsia="Calibri" w:hAnsi="Arial" w:cs="Arial"/>
      <w:color w:val="00000A"/>
      <w:lang w:val="es-CR" w:eastAsia="es-CR"/>
    </w:rPr>
  </w:style>
  <w:style w:type="paragraph" w:customStyle="1" w:styleId="Autocorreccin">
    <w:name w:val="Autocorrección"/>
    <w:basedOn w:val="Normal"/>
    <w:uiPriority w:val="99"/>
    <w:qFormat/>
    <w:rsid w:val="00B15F7D"/>
    <w:pPr>
      <w:suppressAutoHyphens w:val="0"/>
    </w:pPr>
    <w:rPr>
      <w:rFonts w:eastAsia="Calibri"/>
      <w:lang w:val="es-CR" w:eastAsia="es-CR"/>
    </w:rPr>
  </w:style>
  <w:style w:type="paragraph" w:customStyle="1" w:styleId="Mapadeldocumento3">
    <w:name w:val="Mapa del documento3"/>
    <w:basedOn w:val="Normal"/>
    <w:uiPriority w:val="99"/>
    <w:semiHidden/>
    <w:qFormat/>
    <w:rsid w:val="00B15F7D"/>
    <w:pPr>
      <w:suppressAutoHyphens w:val="0"/>
    </w:pPr>
    <w:rPr>
      <w:rFonts w:ascii="Tahoma" w:eastAsia="Calibri" w:hAnsi="Tahoma" w:cs="Tahoma"/>
      <w:lang w:val="es-CR" w:eastAsia="es-CR"/>
    </w:rPr>
  </w:style>
  <w:style w:type="paragraph" w:customStyle="1" w:styleId="PredeterminadoLTUntertitel">
    <w:name w:val="Predeterminado~LT~Untertitel"/>
    <w:basedOn w:val="Normal"/>
    <w:uiPriority w:val="99"/>
    <w:semiHidden/>
    <w:qFormat/>
    <w:rsid w:val="00B15F7D"/>
    <w:pPr>
      <w:suppressAutoHyphens w:val="0"/>
      <w:spacing w:before="160"/>
      <w:jc w:val="center"/>
    </w:pPr>
    <w:rPr>
      <w:rFonts w:ascii="Trebuchet MS" w:eastAsia="Calibri" w:hAnsi="Trebuchet MS" w:cs="Calibri"/>
      <w:color w:val="000000"/>
      <w:sz w:val="64"/>
      <w:szCs w:val="64"/>
      <w:lang w:val="es-CR" w:eastAsia="es-CR"/>
    </w:rPr>
  </w:style>
  <w:style w:type="paragraph" w:customStyle="1" w:styleId="bodytext20">
    <w:name w:val="bodytext20"/>
    <w:basedOn w:val="Normal"/>
    <w:qFormat/>
    <w:rsid w:val="00B15F7D"/>
    <w:pPr>
      <w:suppressAutoHyphens w:val="0"/>
      <w:jc w:val="both"/>
    </w:pPr>
    <w:rPr>
      <w:rFonts w:eastAsia="Calibri"/>
      <w:lang w:val="es-CR" w:eastAsia="es-CR"/>
    </w:rPr>
  </w:style>
  <w:style w:type="paragraph" w:customStyle="1" w:styleId="bodytextindent3">
    <w:name w:val="bodytextindent3"/>
    <w:basedOn w:val="Normal"/>
    <w:uiPriority w:val="99"/>
    <w:semiHidden/>
    <w:qFormat/>
    <w:rsid w:val="00B15F7D"/>
    <w:pPr>
      <w:suppressAutoHyphens w:val="0"/>
      <w:ind w:firstLine="708"/>
      <w:jc w:val="both"/>
    </w:pPr>
    <w:rPr>
      <w:rFonts w:eastAsia="Calibri"/>
      <w:sz w:val="28"/>
      <w:szCs w:val="28"/>
      <w:lang w:val="es-CR" w:eastAsia="es-CR"/>
    </w:rPr>
  </w:style>
  <w:style w:type="paragraph" w:customStyle="1" w:styleId="Sangranormal3">
    <w:name w:val="Sangría normal3"/>
    <w:basedOn w:val="Normal"/>
    <w:uiPriority w:val="99"/>
    <w:semiHidden/>
    <w:qFormat/>
    <w:rsid w:val="00B15F7D"/>
    <w:pPr>
      <w:suppressAutoHyphens w:val="0"/>
      <w:spacing w:line="360" w:lineRule="auto"/>
      <w:ind w:firstLine="567"/>
      <w:jc w:val="both"/>
    </w:pPr>
    <w:rPr>
      <w:rFonts w:eastAsia="Calibri"/>
      <w:lang w:val="es-CR" w:eastAsia="es-CR"/>
    </w:rPr>
  </w:style>
  <w:style w:type="paragraph" w:customStyle="1" w:styleId="textogral">
    <w:name w:val="textogral"/>
    <w:basedOn w:val="Normal"/>
    <w:uiPriority w:val="99"/>
    <w:semiHidden/>
    <w:qFormat/>
    <w:rsid w:val="00B15F7D"/>
    <w:pPr>
      <w:suppressAutoHyphens w:val="0"/>
      <w:spacing w:before="100" w:after="100"/>
    </w:pPr>
    <w:rPr>
      <w:rFonts w:eastAsia="Calibri"/>
      <w:lang w:val="es-CR" w:eastAsia="es-CR"/>
    </w:rPr>
  </w:style>
  <w:style w:type="paragraph" w:customStyle="1" w:styleId="Estilo6">
    <w:name w:val="Estilo6"/>
    <w:basedOn w:val="Normal"/>
    <w:uiPriority w:val="99"/>
    <w:semiHidden/>
    <w:qFormat/>
    <w:rsid w:val="00B15F7D"/>
    <w:pPr>
      <w:suppressAutoHyphens w:val="0"/>
    </w:pPr>
    <w:rPr>
      <w:rFonts w:ascii="Arial" w:eastAsia="Calibri" w:hAnsi="Arial" w:cs="Arial"/>
      <w:lang w:val="es-CR" w:eastAsia="es-CR"/>
    </w:rPr>
  </w:style>
  <w:style w:type="paragraph" w:customStyle="1" w:styleId="estilo50">
    <w:name w:val="estilo5"/>
    <w:basedOn w:val="Normal"/>
    <w:uiPriority w:val="99"/>
    <w:semiHidden/>
    <w:qFormat/>
    <w:rsid w:val="00B15F7D"/>
    <w:pPr>
      <w:suppressAutoHyphens w:val="0"/>
      <w:spacing w:before="100" w:after="100"/>
    </w:pPr>
    <w:rPr>
      <w:rFonts w:eastAsia="Calibri"/>
      <w:sz w:val="18"/>
      <w:szCs w:val="18"/>
      <w:lang w:val="es-CR" w:eastAsia="es-CR"/>
    </w:rPr>
  </w:style>
  <w:style w:type="paragraph" w:customStyle="1" w:styleId="estilo5estilo11">
    <w:name w:val="estilo5estilo11"/>
    <w:basedOn w:val="Normal"/>
    <w:uiPriority w:val="99"/>
    <w:semiHidden/>
    <w:qFormat/>
    <w:rsid w:val="00B15F7D"/>
    <w:pPr>
      <w:suppressAutoHyphens w:val="0"/>
      <w:spacing w:before="100" w:after="100"/>
    </w:pPr>
    <w:rPr>
      <w:rFonts w:eastAsia="Calibri"/>
      <w:lang w:val="es-CR" w:eastAsia="es-CR"/>
    </w:rPr>
  </w:style>
  <w:style w:type="paragraph" w:customStyle="1" w:styleId="Tit">
    <w:name w:val="Tit"/>
    <w:basedOn w:val="Normal"/>
    <w:uiPriority w:val="99"/>
    <w:semiHidden/>
    <w:qFormat/>
    <w:rsid w:val="00B15F7D"/>
    <w:pPr>
      <w:suppressAutoHyphens w:val="0"/>
      <w:spacing w:before="120" w:after="240"/>
    </w:pPr>
    <w:rPr>
      <w:rFonts w:ascii="Verdana" w:eastAsia="Calibri" w:hAnsi="Verdana" w:cs="Calibri"/>
      <w:b/>
      <w:bCs/>
      <w:i/>
      <w:iCs/>
      <w:sz w:val="28"/>
      <w:szCs w:val="28"/>
      <w:lang w:val="es-CR" w:eastAsia="es-CR"/>
    </w:rPr>
  </w:style>
  <w:style w:type="paragraph" w:customStyle="1" w:styleId="Ttulo3a">
    <w:name w:val="T’tulo 3"/>
    <w:basedOn w:val="Normal"/>
    <w:uiPriority w:val="99"/>
    <w:qFormat/>
    <w:rsid w:val="00B15F7D"/>
    <w:pPr>
      <w:keepNext/>
      <w:suppressAutoHyphens w:val="0"/>
    </w:pPr>
    <w:rPr>
      <w:rFonts w:ascii="Book Antiqua" w:eastAsia="Calibri" w:hAnsi="Book Antiqua" w:cs="Calibri"/>
      <w:i/>
      <w:iCs/>
      <w:lang w:val="es-CR" w:eastAsia="es-CR"/>
    </w:rPr>
  </w:style>
  <w:style w:type="paragraph" w:customStyle="1" w:styleId="Lista23">
    <w:name w:val="Lista 23"/>
    <w:basedOn w:val="Normal"/>
    <w:uiPriority w:val="99"/>
    <w:semiHidden/>
    <w:qFormat/>
    <w:rsid w:val="00B15F7D"/>
    <w:pPr>
      <w:suppressAutoHyphens w:val="0"/>
      <w:ind w:left="566" w:hanging="283"/>
    </w:pPr>
    <w:rPr>
      <w:rFonts w:eastAsia="Calibri"/>
      <w:lang w:val="es-CR" w:eastAsia="es-CR"/>
    </w:rPr>
  </w:style>
  <w:style w:type="paragraph" w:customStyle="1" w:styleId="Encabezadodemensaje3">
    <w:name w:val="Encabezado de mensaje3"/>
    <w:basedOn w:val="Normal"/>
    <w:uiPriority w:val="99"/>
    <w:semiHidden/>
    <w:qFormat/>
    <w:rsid w:val="00B15F7D"/>
    <w:pPr>
      <w:suppressAutoHyphens w:val="0"/>
      <w:ind w:left="1134" w:hanging="1134"/>
    </w:pPr>
    <w:rPr>
      <w:rFonts w:ascii="Arial" w:eastAsia="Calibri" w:hAnsi="Arial" w:cs="Arial"/>
      <w:lang w:val="es-CR" w:eastAsia="es-CR"/>
    </w:rPr>
  </w:style>
  <w:style w:type="paragraph" w:customStyle="1" w:styleId="Cierre3">
    <w:name w:val="Cierre3"/>
    <w:basedOn w:val="Normal"/>
    <w:uiPriority w:val="99"/>
    <w:semiHidden/>
    <w:qFormat/>
    <w:rsid w:val="00B15F7D"/>
    <w:pPr>
      <w:suppressAutoHyphens w:val="0"/>
      <w:ind w:left="4252"/>
    </w:pPr>
    <w:rPr>
      <w:rFonts w:eastAsia="Calibri"/>
      <w:lang w:val="es-CR" w:eastAsia="es-CR"/>
    </w:rPr>
  </w:style>
  <w:style w:type="paragraph" w:customStyle="1" w:styleId="Listaconvietas33">
    <w:name w:val="Lista con viñetas 33"/>
    <w:basedOn w:val="Normal"/>
    <w:uiPriority w:val="99"/>
    <w:semiHidden/>
    <w:qFormat/>
    <w:rsid w:val="00B15F7D"/>
    <w:pPr>
      <w:suppressAutoHyphens w:val="0"/>
      <w:ind w:left="926" w:hanging="360"/>
    </w:pPr>
    <w:rPr>
      <w:rFonts w:eastAsia="Calibri"/>
      <w:lang w:val="es-CR" w:eastAsia="es-CR"/>
    </w:rPr>
  </w:style>
  <w:style w:type="paragraph" w:customStyle="1" w:styleId="ListaCC0">
    <w:name w:val="Lista CC."/>
    <w:basedOn w:val="Normal"/>
    <w:uiPriority w:val="99"/>
    <w:semiHidden/>
    <w:qFormat/>
    <w:rsid w:val="00B15F7D"/>
    <w:pPr>
      <w:suppressAutoHyphens w:val="0"/>
    </w:pPr>
    <w:rPr>
      <w:rFonts w:eastAsia="Calibri"/>
      <w:lang w:val="es-CR" w:eastAsia="es-CR"/>
    </w:rPr>
  </w:style>
  <w:style w:type="paragraph" w:customStyle="1" w:styleId="Continuarlista3">
    <w:name w:val="Continuar lista3"/>
    <w:basedOn w:val="Normal"/>
    <w:uiPriority w:val="99"/>
    <w:semiHidden/>
    <w:qFormat/>
    <w:rsid w:val="00B15F7D"/>
    <w:pPr>
      <w:suppressAutoHyphens w:val="0"/>
      <w:spacing w:after="120"/>
      <w:ind w:left="283"/>
    </w:pPr>
    <w:rPr>
      <w:rFonts w:eastAsia="Calibri"/>
      <w:lang w:val="es-CR" w:eastAsia="es-CR"/>
    </w:rPr>
  </w:style>
  <w:style w:type="paragraph" w:customStyle="1" w:styleId="Continuarlista23">
    <w:name w:val="Continuar lista 23"/>
    <w:basedOn w:val="Normal"/>
    <w:uiPriority w:val="99"/>
    <w:semiHidden/>
    <w:qFormat/>
    <w:rsid w:val="00B15F7D"/>
    <w:pPr>
      <w:suppressAutoHyphens w:val="0"/>
      <w:spacing w:after="120"/>
      <w:ind w:left="566"/>
    </w:pPr>
    <w:rPr>
      <w:rFonts w:eastAsia="Calibri"/>
      <w:lang w:val="es-CR" w:eastAsia="es-CR"/>
    </w:rPr>
  </w:style>
  <w:style w:type="paragraph" w:customStyle="1" w:styleId="Remiteabreviado">
    <w:name w:val="Remite abreviado"/>
    <w:basedOn w:val="Normal"/>
    <w:uiPriority w:val="99"/>
    <w:semiHidden/>
    <w:qFormat/>
    <w:rsid w:val="00B15F7D"/>
    <w:pPr>
      <w:suppressAutoHyphens w:val="0"/>
    </w:pPr>
    <w:rPr>
      <w:rFonts w:eastAsia="Calibri"/>
      <w:lang w:val="es-CR" w:eastAsia="es-CR"/>
    </w:rPr>
  </w:style>
  <w:style w:type="paragraph" w:customStyle="1" w:styleId="LneaPg">
    <w:name w:val="Línea Pág."/>
    <w:basedOn w:val="Normal"/>
    <w:uiPriority w:val="99"/>
    <w:semiHidden/>
    <w:qFormat/>
    <w:rsid w:val="00B15F7D"/>
    <w:pPr>
      <w:suppressAutoHyphens w:val="0"/>
      <w:ind w:left="4252"/>
    </w:pPr>
    <w:rPr>
      <w:rFonts w:eastAsia="Calibri"/>
      <w:lang w:val="es-CR" w:eastAsia="es-CR"/>
    </w:rPr>
  </w:style>
  <w:style w:type="paragraph" w:customStyle="1" w:styleId="s">
    <w:name w:val="s"/>
    <w:basedOn w:val="Normal"/>
    <w:uiPriority w:val="99"/>
    <w:semiHidden/>
    <w:qFormat/>
    <w:rsid w:val="00B15F7D"/>
    <w:pPr>
      <w:suppressAutoHyphens w:val="0"/>
      <w:jc w:val="both"/>
    </w:pPr>
    <w:rPr>
      <w:rFonts w:ascii="Arial" w:eastAsia="Calibri" w:hAnsi="Arial" w:cs="Arial"/>
      <w:lang w:val="es-CR" w:eastAsia="es-CR"/>
    </w:rPr>
  </w:style>
  <w:style w:type="paragraph" w:customStyle="1" w:styleId="sE">
    <w:name w:val="sE"/>
    <w:basedOn w:val="Normal"/>
    <w:uiPriority w:val="99"/>
    <w:semiHidden/>
    <w:qFormat/>
    <w:rsid w:val="00B15F7D"/>
    <w:pPr>
      <w:suppressAutoHyphens w:val="0"/>
      <w:jc w:val="both"/>
    </w:pPr>
    <w:rPr>
      <w:rFonts w:ascii="Arial" w:eastAsia="Calibri" w:hAnsi="Arial" w:cs="Arial"/>
      <w:lang w:val="es-CR" w:eastAsia="es-CR"/>
    </w:rPr>
  </w:style>
  <w:style w:type="paragraph" w:customStyle="1" w:styleId="HTMLBody">
    <w:name w:val="HTML Body"/>
    <w:basedOn w:val="Normal"/>
    <w:uiPriority w:val="99"/>
    <w:semiHidden/>
    <w:qFormat/>
    <w:rsid w:val="00B15F7D"/>
    <w:pPr>
      <w:suppressAutoHyphens w:val="0"/>
    </w:pPr>
    <w:rPr>
      <w:rFonts w:ascii="Arial" w:eastAsia="Calibri" w:hAnsi="Arial" w:cs="Arial"/>
      <w:lang w:val="es-CR" w:eastAsia="es-CR"/>
    </w:rPr>
  </w:style>
  <w:style w:type="paragraph" w:customStyle="1" w:styleId="Textoindependienteprimerasangra23">
    <w:name w:val="Texto independiente primera sangría 23"/>
    <w:basedOn w:val="Normal"/>
    <w:uiPriority w:val="99"/>
    <w:semiHidden/>
    <w:qFormat/>
    <w:rsid w:val="00B15F7D"/>
    <w:pPr>
      <w:suppressAutoHyphens w:val="0"/>
      <w:spacing w:after="120"/>
      <w:ind w:left="283" w:firstLine="210"/>
    </w:pPr>
    <w:rPr>
      <w:rFonts w:eastAsia="Calibri"/>
      <w:lang w:val="es-CR" w:eastAsia="es-CR"/>
    </w:rPr>
  </w:style>
  <w:style w:type="paragraph" w:customStyle="1" w:styleId="t1">
    <w:name w:val="t1"/>
    <w:basedOn w:val="Normal"/>
    <w:uiPriority w:val="99"/>
    <w:semiHidden/>
    <w:qFormat/>
    <w:rsid w:val="00B15F7D"/>
    <w:pPr>
      <w:suppressAutoHyphens w:val="0"/>
      <w:spacing w:before="100" w:after="100"/>
    </w:pPr>
    <w:rPr>
      <w:rFonts w:eastAsia="Calibri"/>
      <w:lang w:val="es-CR" w:eastAsia="es-CR"/>
    </w:rPr>
  </w:style>
  <w:style w:type="paragraph" w:customStyle="1" w:styleId="Lista22">
    <w:name w:val="Lista 22"/>
    <w:basedOn w:val="Normal"/>
    <w:uiPriority w:val="99"/>
    <w:semiHidden/>
    <w:qFormat/>
    <w:rsid w:val="00B15F7D"/>
    <w:pPr>
      <w:suppressAutoHyphens w:val="0"/>
      <w:ind w:left="566" w:hanging="283"/>
    </w:pPr>
    <w:rPr>
      <w:rFonts w:eastAsia="Calibri"/>
      <w:lang w:val="es-CR" w:eastAsia="es-CR"/>
    </w:rPr>
  </w:style>
  <w:style w:type="paragraph" w:customStyle="1" w:styleId="Encabezadodemensaje2">
    <w:name w:val="Encabezado de mensaje2"/>
    <w:basedOn w:val="Normal"/>
    <w:uiPriority w:val="99"/>
    <w:semiHidden/>
    <w:qFormat/>
    <w:rsid w:val="00B15F7D"/>
    <w:pPr>
      <w:suppressAutoHyphens w:val="0"/>
      <w:ind w:left="1134" w:hanging="1134"/>
    </w:pPr>
    <w:rPr>
      <w:rFonts w:ascii="Arial" w:eastAsia="Calibri" w:hAnsi="Arial" w:cs="Arial"/>
      <w:lang w:val="es-CR" w:eastAsia="es-CR"/>
    </w:rPr>
  </w:style>
  <w:style w:type="paragraph" w:customStyle="1" w:styleId="Listaconvietas32">
    <w:name w:val="Lista con viñetas 32"/>
    <w:basedOn w:val="Normal"/>
    <w:uiPriority w:val="99"/>
    <w:semiHidden/>
    <w:qFormat/>
    <w:rsid w:val="00B15F7D"/>
    <w:pPr>
      <w:suppressAutoHyphens w:val="0"/>
      <w:ind w:left="926" w:hanging="360"/>
    </w:pPr>
    <w:rPr>
      <w:rFonts w:eastAsia="Calibri"/>
      <w:lang w:val="es-CR" w:eastAsia="es-CR"/>
    </w:rPr>
  </w:style>
  <w:style w:type="paragraph" w:customStyle="1" w:styleId="Objetoconpuntadeflecha">
    <w:name w:val="Objeto con punta de flecha"/>
    <w:basedOn w:val="Normal"/>
    <w:uiPriority w:val="99"/>
    <w:semiHidden/>
    <w:qFormat/>
    <w:rsid w:val="00B15F7D"/>
    <w:pPr>
      <w:suppressAutoHyphens w:val="0"/>
    </w:pPr>
    <w:rPr>
      <w:rFonts w:eastAsia="Calibri"/>
      <w:lang w:val="es-CR" w:eastAsia="es-CR"/>
    </w:rPr>
  </w:style>
  <w:style w:type="paragraph" w:customStyle="1" w:styleId="Objetoconsombra">
    <w:name w:val="Objeto con sombra"/>
    <w:basedOn w:val="Normal"/>
    <w:uiPriority w:val="99"/>
    <w:semiHidden/>
    <w:qFormat/>
    <w:rsid w:val="00B15F7D"/>
    <w:pPr>
      <w:suppressAutoHyphens w:val="0"/>
    </w:pPr>
    <w:rPr>
      <w:rFonts w:eastAsia="Calibri"/>
      <w:lang w:val="es-CR" w:eastAsia="es-CR"/>
    </w:rPr>
  </w:style>
  <w:style w:type="paragraph" w:customStyle="1" w:styleId="Objetosinrelleno">
    <w:name w:val="Objeto sin relleno"/>
    <w:basedOn w:val="Normal"/>
    <w:uiPriority w:val="99"/>
    <w:semiHidden/>
    <w:qFormat/>
    <w:rsid w:val="00B15F7D"/>
    <w:pPr>
      <w:suppressAutoHyphens w:val="0"/>
    </w:pPr>
    <w:rPr>
      <w:rFonts w:eastAsia="Calibri"/>
      <w:lang w:val="es-CR" w:eastAsia="es-CR"/>
    </w:rPr>
  </w:style>
  <w:style w:type="paragraph" w:customStyle="1" w:styleId="Cuerpodetextojustificado">
    <w:name w:val="Cuerpo de texto justificado"/>
    <w:basedOn w:val="Normal"/>
    <w:uiPriority w:val="99"/>
    <w:semiHidden/>
    <w:qFormat/>
    <w:rsid w:val="00B15F7D"/>
    <w:pPr>
      <w:suppressAutoHyphens w:val="0"/>
    </w:pPr>
    <w:rPr>
      <w:rFonts w:eastAsia="Calibri"/>
      <w:lang w:val="es-CR" w:eastAsia="es-CR"/>
    </w:rPr>
  </w:style>
  <w:style w:type="paragraph" w:customStyle="1" w:styleId="Sangradelaprimeralnea">
    <w:name w:val="Sangría de la primera línea"/>
    <w:basedOn w:val="Normal"/>
    <w:uiPriority w:val="99"/>
    <w:semiHidden/>
    <w:qFormat/>
    <w:rsid w:val="00B15F7D"/>
    <w:pPr>
      <w:suppressAutoHyphens w:val="0"/>
      <w:ind w:firstLine="340"/>
    </w:pPr>
    <w:rPr>
      <w:rFonts w:eastAsia="Calibri"/>
      <w:lang w:val="es-CR" w:eastAsia="es-CR"/>
    </w:rPr>
  </w:style>
  <w:style w:type="paragraph" w:customStyle="1" w:styleId="Ttulo20">
    <w:name w:val="Título2"/>
    <w:basedOn w:val="Normal"/>
    <w:qFormat/>
    <w:rsid w:val="00B15F7D"/>
    <w:pPr>
      <w:suppressAutoHyphens w:val="0"/>
      <w:spacing w:before="57" w:after="57"/>
      <w:ind w:right="113"/>
      <w:jc w:val="center"/>
    </w:pPr>
    <w:rPr>
      <w:rFonts w:eastAsia="Calibri"/>
      <w:lang w:val="es-CR" w:eastAsia="es-CR"/>
    </w:rPr>
  </w:style>
  <w:style w:type="paragraph" w:customStyle="1" w:styleId="Lneadedimensiones">
    <w:name w:val="Línea de dimensiones"/>
    <w:basedOn w:val="Normal"/>
    <w:uiPriority w:val="99"/>
    <w:semiHidden/>
    <w:qFormat/>
    <w:rsid w:val="00B15F7D"/>
    <w:pPr>
      <w:suppressAutoHyphens w:val="0"/>
    </w:pPr>
    <w:rPr>
      <w:rFonts w:eastAsia="Calibri"/>
      <w:lang w:val="es-CR" w:eastAsia="es-CR"/>
    </w:rPr>
  </w:style>
  <w:style w:type="paragraph" w:customStyle="1" w:styleId="PredeterminadoLTGliederung1">
    <w:name w:val="Predeterminado~LT~Gliederung 1"/>
    <w:basedOn w:val="Normal"/>
    <w:uiPriority w:val="99"/>
    <w:semiHidden/>
    <w:qFormat/>
    <w:rsid w:val="00B15F7D"/>
    <w:pPr>
      <w:suppressAutoHyphens w:val="0"/>
      <w:spacing w:before="160"/>
    </w:pPr>
    <w:rPr>
      <w:rFonts w:ascii="Tahoma" w:eastAsia="Calibri" w:hAnsi="Tahoma" w:cs="Tahoma"/>
      <w:color w:val="000000"/>
      <w:sz w:val="64"/>
      <w:szCs w:val="64"/>
      <w:lang w:val="es-CR" w:eastAsia="es-CR"/>
    </w:rPr>
  </w:style>
  <w:style w:type="paragraph" w:customStyle="1" w:styleId="PredeterminadoLTGliederung2">
    <w:name w:val="Predeterminado~LT~Gliederung 2"/>
    <w:basedOn w:val="Normal"/>
    <w:uiPriority w:val="99"/>
    <w:semiHidden/>
    <w:qFormat/>
    <w:rsid w:val="00B15F7D"/>
    <w:pPr>
      <w:suppressAutoHyphens w:val="0"/>
      <w:spacing w:before="139"/>
    </w:pPr>
    <w:rPr>
      <w:rFonts w:ascii="Tahoma" w:eastAsia="Calibri" w:hAnsi="Tahoma" w:cs="Tahoma"/>
      <w:color w:val="000000"/>
      <w:sz w:val="56"/>
      <w:szCs w:val="56"/>
      <w:lang w:val="es-CR" w:eastAsia="es-CR"/>
    </w:rPr>
  </w:style>
  <w:style w:type="paragraph" w:customStyle="1" w:styleId="PredeterminadoLTGliederung3">
    <w:name w:val="Predeterminado~LT~Gliederung 3"/>
    <w:basedOn w:val="Normal"/>
    <w:uiPriority w:val="99"/>
    <w:semiHidden/>
    <w:qFormat/>
    <w:rsid w:val="00B15F7D"/>
    <w:pPr>
      <w:suppressAutoHyphens w:val="0"/>
      <w:spacing w:before="120"/>
    </w:pPr>
    <w:rPr>
      <w:rFonts w:ascii="Tahoma" w:eastAsia="Calibri" w:hAnsi="Tahoma" w:cs="Tahoma"/>
      <w:color w:val="000000"/>
      <w:sz w:val="48"/>
      <w:szCs w:val="48"/>
      <w:lang w:val="es-CR" w:eastAsia="es-CR"/>
    </w:rPr>
  </w:style>
  <w:style w:type="paragraph" w:customStyle="1" w:styleId="PredeterminadoLTGliederung4">
    <w:name w:val="Predeterminado~LT~Gliederung 4"/>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PredeterminadoLTGliederung5">
    <w:name w:val="Predeterminado~LT~Gliederung 5"/>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PredeterminadoLTGliederung6">
    <w:name w:val="Predeterminado~LT~Gliederung 6"/>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PredeterminadoLTGliederung7">
    <w:name w:val="Predeterminado~LT~Gliederung 7"/>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PredeterminadoLTGliederung8">
    <w:name w:val="Predeterminado~LT~Gliederung 8"/>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PredeterminadoLTGliederung9">
    <w:name w:val="Predeterminado~LT~Gliederung 9"/>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PredeterminadoLTTitel">
    <w:name w:val="Predeterminado~LT~Titel"/>
    <w:basedOn w:val="Normal"/>
    <w:uiPriority w:val="99"/>
    <w:semiHidden/>
    <w:qFormat/>
    <w:rsid w:val="00B15F7D"/>
    <w:pPr>
      <w:suppressAutoHyphens w:val="0"/>
      <w:jc w:val="center"/>
    </w:pPr>
    <w:rPr>
      <w:rFonts w:ascii="Tahoma" w:eastAsia="Calibri" w:hAnsi="Tahoma" w:cs="Tahoma"/>
      <w:color w:val="000000"/>
      <w:sz w:val="88"/>
      <w:szCs w:val="88"/>
      <w:lang w:val="es-CR" w:eastAsia="es-CR"/>
    </w:rPr>
  </w:style>
  <w:style w:type="paragraph" w:customStyle="1" w:styleId="PredeterminadoLTNotizen">
    <w:name w:val="Predeterminado~LT~Notizen"/>
    <w:basedOn w:val="Normal"/>
    <w:uiPriority w:val="99"/>
    <w:semiHidden/>
    <w:qFormat/>
    <w:rsid w:val="00B15F7D"/>
    <w:pPr>
      <w:suppressAutoHyphens w:val="0"/>
      <w:spacing w:before="90"/>
    </w:pPr>
    <w:rPr>
      <w:rFonts w:ascii="Tahoma" w:eastAsia="Calibri" w:hAnsi="Tahoma" w:cs="Tahoma"/>
      <w:color w:val="000000"/>
      <w:lang w:val="es-CR" w:eastAsia="es-CR"/>
    </w:rPr>
  </w:style>
  <w:style w:type="paragraph" w:customStyle="1" w:styleId="PredeterminadoLTHintergrundobjekte">
    <w:name w:val="Predeterminado~LT~Hintergrundobjekte"/>
    <w:basedOn w:val="Normal"/>
    <w:uiPriority w:val="99"/>
    <w:semiHidden/>
    <w:qFormat/>
    <w:rsid w:val="00B15F7D"/>
    <w:pPr>
      <w:suppressAutoHyphens w:val="0"/>
    </w:pPr>
    <w:rPr>
      <w:rFonts w:ascii="Tahoma" w:eastAsia="Calibri" w:hAnsi="Tahoma" w:cs="Tahoma"/>
      <w:color w:val="000000"/>
      <w:sz w:val="48"/>
      <w:szCs w:val="48"/>
      <w:lang w:val="es-CR" w:eastAsia="es-CR"/>
    </w:rPr>
  </w:style>
  <w:style w:type="paragraph" w:customStyle="1" w:styleId="PredeterminadoLTHintergrund">
    <w:name w:val="Predeterminado~LT~Hintergrund"/>
    <w:basedOn w:val="Normal"/>
    <w:uiPriority w:val="99"/>
    <w:semiHidden/>
    <w:qFormat/>
    <w:rsid w:val="00B15F7D"/>
    <w:pPr>
      <w:suppressAutoHyphens w:val="0"/>
      <w:jc w:val="center"/>
    </w:pPr>
    <w:rPr>
      <w:rFonts w:eastAsia="Calibri"/>
      <w:lang w:val="es-CR" w:eastAsia="es-CR"/>
    </w:rPr>
  </w:style>
  <w:style w:type="paragraph" w:customStyle="1" w:styleId="blue1">
    <w:name w:val="blue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blue2">
    <w:name w:val="blue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blue3">
    <w:name w:val="blue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bw1">
    <w:name w:val="bw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bw2">
    <w:name w:val="bw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bw3">
    <w:name w:val="bw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orange1">
    <w:name w:val="orange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orange2">
    <w:name w:val="orange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orange3">
    <w:name w:val="orange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turquise1">
    <w:name w:val="turquise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turquise2">
    <w:name w:val="turquise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turquise3">
    <w:name w:val="turquise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gray1">
    <w:name w:val="gray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gray2">
    <w:name w:val="gray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gray3">
    <w:name w:val="gray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sun1">
    <w:name w:val="sun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sun2">
    <w:name w:val="sun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sun3">
    <w:name w:val="sun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earth1">
    <w:name w:val="earth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earth2">
    <w:name w:val="earth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earth3">
    <w:name w:val="earth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green1">
    <w:name w:val="green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green2">
    <w:name w:val="green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green3">
    <w:name w:val="green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seetang1">
    <w:name w:val="seetang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seetang2">
    <w:name w:val="seetang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seetang3">
    <w:name w:val="seetang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lightblue1">
    <w:name w:val="lightblue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lightblue2">
    <w:name w:val="lightblue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lightblue3">
    <w:name w:val="lightblue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yellow1">
    <w:name w:val="yellow1"/>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yellow2">
    <w:name w:val="yellow2"/>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yellow3">
    <w:name w:val="yellow3"/>
    <w:basedOn w:val="Normal"/>
    <w:uiPriority w:val="99"/>
    <w:semiHidden/>
    <w:qFormat/>
    <w:rsid w:val="00B15F7D"/>
    <w:pPr>
      <w:suppressAutoHyphens w:val="0"/>
      <w:spacing w:line="200" w:lineRule="atLeast"/>
    </w:pPr>
    <w:rPr>
      <w:rFonts w:ascii="Tahoma" w:eastAsia="Calibri" w:hAnsi="Tahoma" w:cs="Tahoma"/>
      <w:sz w:val="36"/>
      <w:szCs w:val="36"/>
      <w:lang w:val="es-CR" w:eastAsia="es-CR"/>
    </w:rPr>
  </w:style>
  <w:style w:type="paragraph" w:customStyle="1" w:styleId="WW-Ttulo">
    <w:name w:val="WW-Título"/>
    <w:basedOn w:val="Normal"/>
    <w:uiPriority w:val="99"/>
    <w:semiHidden/>
    <w:qFormat/>
    <w:rsid w:val="00B15F7D"/>
    <w:pPr>
      <w:suppressAutoHyphens w:val="0"/>
      <w:jc w:val="center"/>
    </w:pPr>
    <w:rPr>
      <w:rFonts w:ascii="Tahoma" w:eastAsia="Calibri" w:hAnsi="Tahoma" w:cs="Tahoma"/>
      <w:color w:val="000000"/>
      <w:sz w:val="88"/>
      <w:szCs w:val="88"/>
      <w:lang w:val="es-CR" w:eastAsia="es-CR"/>
    </w:rPr>
  </w:style>
  <w:style w:type="paragraph" w:customStyle="1" w:styleId="Objetosdefondo">
    <w:name w:val="Objetos de fondo"/>
    <w:basedOn w:val="Normal"/>
    <w:uiPriority w:val="99"/>
    <w:semiHidden/>
    <w:qFormat/>
    <w:rsid w:val="00B15F7D"/>
    <w:pPr>
      <w:suppressAutoHyphens w:val="0"/>
    </w:pPr>
    <w:rPr>
      <w:rFonts w:ascii="Tahoma" w:eastAsia="Calibri" w:hAnsi="Tahoma" w:cs="Tahoma"/>
      <w:color w:val="000000"/>
      <w:sz w:val="48"/>
      <w:szCs w:val="48"/>
      <w:lang w:val="es-CR" w:eastAsia="es-CR"/>
    </w:rPr>
  </w:style>
  <w:style w:type="paragraph" w:customStyle="1" w:styleId="Fondo">
    <w:name w:val="Fondo"/>
    <w:basedOn w:val="Normal"/>
    <w:uiPriority w:val="99"/>
    <w:semiHidden/>
    <w:qFormat/>
    <w:rsid w:val="00B15F7D"/>
    <w:pPr>
      <w:suppressAutoHyphens w:val="0"/>
      <w:jc w:val="center"/>
    </w:pPr>
    <w:rPr>
      <w:rFonts w:eastAsia="Calibri"/>
      <w:lang w:val="es-CR" w:eastAsia="es-CR"/>
    </w:rPr>
  </w:style>
  <w:style w:type="paragraph" w:customStyle="1" w:styleId="Notas">
    <w:name w:val="Notas"/>
    <w:basedOn w:val="Normal"/>
    <w:uiPriority w:val="99"/>
    <w:semiHidden/>
    <w:qFormat/>
    <w:rsid w:val="00B15F7D"/>
    <w:pPr>
      <w:suppressAutoHyphens w:val="0"/>
      <w:spacing w:before="90"/>
    </w:pPr>
    <w:rPr>
      <w:rFonts w:ascii="Tahoma" w:eastAsia="Calibri" w:hAnsi="Tahoma" w:cs="Tahoma"/>
      <w:color w:val="000000"/>
      <w:lang w:val="es-CR" w:eastAsia="es-CR"/>
    </w:rPr>
  </w:style>
  <w:style w:type="paragraph" w:customStyle="1" w:styleId="Esquema1">
    <w:name w:val="Esquema 1"/>
    <w:basedOn w:val="Normal"/>
    <w:uiPriority w:val="99"/>
    <w:semiHidden/>
    <w:qFormat/>
    <w:rsid w:val="00B15F7D"/>
    <w:pPr>
      <w:suppressAutoHyphens w:val="0"/>
      <w:spacing w:before="160"/>
    </w:pPr>
    <w:rPr>
      <w:rFonts w:ascii="Tahoma" w:eastAsia="Calibri" w:hAnsi="Tahoma" w:cs="Tahoma"/>
      <w:color w:val="000000"/>
      <w:sz w:val="64"/>
      <w:szCs w:val="64"/>
      <w:lang w:val="es-CR" w:eastAsia="es-CR"/>
    </w:rPr>
  </w:style>
  <w:style w:type="paragraph" w:customStyle="1" w:styleId="Esquema2">
    <w:name w:val="Esquema 2"/>
    <w:basedOn w:val="Normal"/>
    <w:uiPriority w:val="99"/>
    <w:semiHidden/>
    <w:qFormat/>
    <w:rsid w:val="00B15F7D"/>
    <w:pPr>
      <w:suppressAutoHyphens w:val="0"/>
      <w:spacing w:before="139"/>
    </w:pPr>
    <w:rPr>
      <w:rFonts w:ascii="Tahoma" w:eastAsia="Calibri" w:hAnsi="Tahoma" w:cs="Tahoma"/>
      <w:color w:val="000000"/>
      <w:sz w:val="56"/>
      <w:szCs w:val="56"/>
      <w:lang w:val="es-CR" w:eastAsia="es-CR"/>
    </w:rPr>
  </w:style>
  <w:style w:type="paragraph" w:customStyle="1" w:styleId="Esquema3">
    <w:name w:val="Esquema 3"/>
    <w:basedOn w:val="Normal"/>
    <w:uiPriority w:val="99"/>
    <w:semiHidden/>
    <w:qFormat/>
    <w:rsid w:val="00B15F7D"/>
    <w:pPr>
      <w:suppressAutoHyphens w:val="0"/>
      <w:spacing w:before="120"/>
    </w:pPr>
    <w:rPr>
      <w:rFonts w:ascii="Tahoma" w:eastAsia="Calibri" w:hAnsi="Tahoma" w:cs="Tahoma"/>
      <w:color w:val="000000"/>
      <w:sz w:val="48"/>
      <w:szCs w:val="48"/>
      <w:lang w:val="es-CR" w:eastAsia="es-CR"/>
    </w:rPr>
  </w:style>
  <w:style w:type="paragraph" w:customStyle="1" w:styleId="Esquema4">
    <w:name w:val="Esquema 4"/>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Esquema5">
    <w:name w:val="Esquema 5"/>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Esquema6">
    <w:name w:val="Esquema 6"/>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Esquema7">
    <w:name w:val="Esquema 7"/>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Esquema8">
    <w:name w:val="Esquema 8"/>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Esquema9">
    <w:name w:val="Esquema 9"/>
    <w:basedOn w:val="Normal"/>
    <w:uiPriority w:val="99"/>
    <w:semiHidden/>
    <w:qFormat/>
    <w:rsid w:val="00B15F7D"/>
    <w:pPr>
      <w:suppressAutoHyphens w:val="0"/>
      <w:spacing w:before="100"/>
    </w:pPr>
    <w:rPr>
      <w:rFonts w:ascii="Tahoma" w:eastAsia="Calibri" w:hAnsi="Tahoma" w:cs="Tahoma"/>
      <w:color w:val="000000"/>
      <w:sz w:val="40"/>
      <w:szCs w:val="40"/>
      <w:lang w:val="es-CR" w:eastAsia="es-CR"/>
    </w:rPr>
  </w:style>
  <w:style w:type="paragraph" w:customStyle="1" w:styleId="WW-Ttulo1">
    <w:name w:val="WW-Título1"/>
    <w:basedOn w:val="Normal"/>
    <w:uiPriority w:val="99"/>
    <w:semiHidden/>
    <w:qFormat/>
    <w:rsid w:val="00B15F7D"/>
    <w:pPr>
      <w:suppressAutoHyphens w:val="0"/>
      <w:jc w:val="center"/>
    </w:pPr>
    <w:rPr>
      <w:rFonts w:ascii="Tahoma" w:eastAsia="Calibri" w:hAnsi="Tahoma" w:cs="Tahoma"/>
      <w:color w:val="000000"/>
      <w:sz w:val="88"/>
      <w:szCs w:val="88"/>
      <w:lang w:val="es-CR" w:eastAsia="es-CR"/>
    </w:rPr>
  </w:style>
  <w:style w:type="paragraph" w:customStyle="1" w:styleId="WW-Ttulo12">
    <w:name w:val="WW-Título12"/>
    <w:basedOn w:val="Normal"/>
    <w:uiPriority w:val="99"/>
    <w:semiHidden/>
    <w:qFormat/>
    <w:rsid w:val="00B15F7D"/>
    <w:pPr>
      <w:suppressAutoHyphens w:val="0"/>
      <w:jc w:val="center"/>
    </w:pPr>
    <w:rPr>
      <w:rFonts w:ascii="Tahoma" w:eastAsia="Calibri" w:hAnsi="Tahoma" w:cs="Tahoma"/>
      <w:color w:val="000000"/>
      <w:sz w:val="88"/>
      <w:szCs w:val="88"/>
      <w:lang w:val="es-CR" w:eastAsia="es-CR"/>
    </w:rPr>
  </w:style>
  <w:style w:type="paragraph" w:customStyle="1" w:styleId="WW-Ttulo123">
    <w:name w:val="WW-Título123"/>
    <w:basedOn w:val="Normal"/>
    <w:uiPriority w:val="99"/>
    <w:semiHidden/>
    <w:qFormat/>
    <w:rsid w:val="00B15F7D"/>
    <w:pPr>
      <w:suppressAutoHyphens w:val="0"/>
      <w:jc w:val="center"/>
    </w:pPr>
    <w:rPr>
      <w:rFonts w:ascii="Tahoma" w:eastAsia="Calibri" w:hAnsi="Tahoma" w:cs="Tahoma"/>
      <w:color w:val="000000"/>
      <w:sz w:val="88"/>
      <w:szCs w:val="88"/>
      <w:lang w:val="es-CR" w:eastAsia="es-CR"/>
    </w:rPr>
  </w:style>
  <w:style w:type="paragraph" w:customStyle="1" w:styleId="Lista24">
    <w:name w:val="Lista 24"/>
    <w:basedOn w:val="Normal"/>
    <w:uiPriority w:val="99"/>
    <w:semiHidden/>
    <w:qFormat/>
    <w:rsid w:val="00B15F7D"/>
    <w:pPr>
      <w:suppressAutoHyphens w:val="0"/>
      <w:ind w:left="566" w:hanging="283"/>
    </w:pPr>
    <w:rPr>
      <w:rFonts w:eastAsia="Calibri"/>
      <w:lang w:val="es-CR" w:eastAsia="es-CR"/>
    </w:rPr>
  </w:style>
  <w:style w:type="paragraph" w:customStyle="1" w:styleId="Textonotapie1">
    <w:name w:val="Texto nota pie1"/>
    <w:basedOn w:val="Normal"/>
    <w:uiPriority w:val="99"/>
    <w:qFormat/>
    <w:rsid w:val="00B15F7D"/>
    <w:pPr>
      <w:suppressAutoHyphens w:val="0"/>
      <w:ind w:left="283" w:hanging="283"/>
    </w:pPr>
    <w:rPr>
      <w:rFonts w:eastAsia="Calibri"/>
      <w:lang w:val="es-CR" w:eastAsia="es-CR"/>
    </w:rPr>
  </w:style>
  <w:style w:type="paragraph" w:customStyle="1" w:styleId="Textonotaalfinal1">
    <w:name w:val="Texto nota al final1"/>
    <w:basedOn w:val="Normal"/>
    <w:uiPriority w:val="99"/>
    <w:semiHidden/>
    <w:qFormat/>
    <w:rsid w:val="00B15F7D"/>
    <w:pPr>
      <w:suppressAutoHyphens w:val="0"/>
      <w:ind w:left="283" w:hanging="283"/>
    </w:pPr>
    <w:rPr>
      <w:rFonts w:eastAsia="Calibri"/>
      <w:lang w:val="es-CR" w:eastAsia="es-CR"/>
    </w:rPr>
  </w:style>
  <w:style w:type="paragraph" w:customStyle="1" w:styleId="Mapadeldocumento4">
    <w:name w:val="Mapa del documento4"/>
    <w:basedOn w:val="Normal"/>
    <w:uiPriority w:val="99"/>
    <w:semiHidden/>
    <w:qFormat/>
    <w:rsid w:val="00B15F7D"/>
    <w:pPr>
      <w:suppressAutoHyphens w:val="0"/>
    </w:pPr>
    <w:rPr>
      <w:rFonts w:ascii="Tahoma" w:eastAsia="Calibri" w:hAnsi="Tahoma" w:cs="Tahoma"/>
      <w:lang w:val="es-CR" w:eastAsia="es-CR"/>
    </w:rPr>
  </w:style>
  <w:style w:type="paragraph" w:customStyle="1" w:styleId="Textoindependiente35">
    <w:name w:val="Texto independiente 35"/>
    <w:basedOn w:val="Normal"/>
    <w:uiPriority w:val="99"/>
    <w:semiHidden/>
    <w:qFormat/>
    <w:rsid w:val="00B15F7D"/>
    <w:pPr>
      <w:suppressAutoHyphens w:val="0"/>
      <w:spacing w:after="120"/>
    </w:pPr>
    <w:rPr>
      <w:rFonts w:eastAsia="Calibri"/>
      <w:sz w:val="16"/>
      <w:szCs w:val="16"/>
      <w:lang w:val="es-CR" w:eastAsia="es-CR"/>
    </w:rPr>
  </w:style>
  <w:style w:type="paragraph" w:customStyle="1" w:styleId="Heading510">
    <w:name w:val="Heading 51"/>
    <w:basedOn w:val="Normal"/>
    <w:uiPriority w:val="99"/>
    <w:qFormat/>
    <w:rsid w:val="00B15F7D"/>
    <w:pPr>
      <w:shd w:val="clear" w:color="auto" w:fill="FFFFFF"/>
      <w:suppressAutoHyphens w:val="0"/>
    </w:pPr>
    <w:rPr>
      <w:rFonts w:eastAsia="Calibri"/>
      <w:i/>
      <w:iCs/>
      <w:sz w:val="26"/>
      <w:szCs w:val="26"/>
      <w:lang w:val="es-CR" w:eastAsia="es-CR"/>
    </w:rPr>
  </w:style>
  <w:style w:type="paragraph" w:customStyle="1" w:styleId="Pa1">
    <w:name w:val="Pa1"/>
    <w:basedOn w:val="Normal"/>
    <w:uiPriority w:val="99"/>
    <w:qFormat/>
    <w:rsid w:val="00B15F7D"/>
    <w:pPr>
      <w:suppressAutoHyphens w:val="0"/>
      <w:spacing w:line="241" w:lineRule="atLeast"/>
    </w:pPr>
    <w:rPr>
      <w:rFonts w:eastAsia="Calibri"/>
      <w:color w:val="00000A"/>
      <w:lang w:val="es-CR" w:eastAsia="es-CR"/>
    </w:rPr>
  </w:style>
  <w:style w:type="paragraph" w:customStyle="1" w:styleId="Pa0">
    <w:name w:val="Pa0"/>
    <w:basedOn w:val="Normal"/>
    <w:uiPriority w:val="99"/>
    <w:qFormat/>
    <w:rsid w:val="00B15F7D"/>
    <w:pPr>
      <w:suppressAutoHyphens w:val="0"/>
      <w:spacing w:line="241" w:lineRule="atLeast"/>
    </w:pPr>
    <w:rPr>
      <w:rFonts w:ascii="Myriad Pro" w:eastAsia="Calibri" w:hAnsi="Myriad Pro" w:cs="Calibri"/>
      <w:lang w:val="es-CR" w:eastAsia="es-CR"/>
    </w:rPr>
  </w:style>
  <w:style w:type="paragraph" w:customStyle="1" w:styleId="HTMLconformatoprevio1">
    <w:name w:val="HTML con formato previo1"/>
    <w:basedOn w:val="Normal"/>
    <w:uiPriority w:val="99"/>
    <w:semiHidden/>
    <w:qFormat/>
    <w:rsid w:val="00B15F7D"/>
    <w:pPr>
      <w:suppressAutoHyphens w:val="0"/>
    </w:pPr>
    <w:rPr>
      <w:rFonts w:ascii="Courier New" w:eastAsia="Calibri" w:hAnsi="Courier New" w:cs="Courier New"/>
      <w:color w:val="000000"/>
      <w:lang w:val="es-CR" w:eastAsia="es-CR"/>
    </w:rPr>
  </w:style>
  <w:style w:type="paragraph" w:customStyle="1" w:styleId="Encabezamientoizquierdo">
    <w:name w:val="Encabezamiento izquierdo"/>
    <w:basedOn w:val="Normal"/>
    <w:uiPriority w:val="99"/>
    <w:semiHidden/>
    <w:qFormat/>
    <w:rsid w:val="00B15F7D"/>
    <w:pPr>
      <w:suppressAutoHyphens w:val="0"/>
    </w:pPr>
    <w:rPr>
      <w:rFonts w:eastAsia="Calibri"/>
      <w:lang w:val="es-CR" w:eastAsia="es-CR"/>
    </w:rPr>
  </w:style>
  <w:style w:type="paragraph" w:customStyle="1" w:styleId="Cabeceraizquierda">
    <w:name w:val="Cabecera izquierda"/>
    <w:basedOn w:val="Normal"/>
    <w:uiPriority w:val="99"/>
    <w:semiHidden/>
    <w:qFormat/>
    <w:rsid w:val="00B15F7D"/>
    <w:pPr>
      <w:suppressAutoHyphens w:val="0"/>
    </w:pPr>
    <w:rPr>
      <w:rFonts w:eastAsia="Calibri"/>
      <w:lang w:val="es-CR" w:eastAsia="es-CR"/>
    </w:rPr>
  </w:style>
  <w:style w:type="paragraph" w:customStyle="1" w:styleId="xxxmsoheading7">
    <w:name w:val="x_x_xmsoheading7"/>
    <w:basedOn w:val="Normal"/>
    <w:uiPriority w:val="99"/>
    <w:semiHidden/>
    <w:qFormat/>
    <w:rsid w:val="00B15F7D"/>
    <w:pPr>
      <w:suppressAutoHyphens w:val="0"/>
      <w:spacing w:before="100" w:beforeAutospacing="1" w:after="100" w:afterAutospacing="1"/>
    </w:pPr>
    <w:rPr>
      <w:rFonts w:eastAsia="Calibri"/>
      <w:lang w:val="es-CR" w:eastAsia="es-CR"/>
    </w:rPr>
  </w:style>
  <w:style w:type="paragraph" w:customStyle="1" w:styleId="xxxmsonormal0">
    <w:name w:val="x_x_xmsonormal"/>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xxxmsobodytext">
    <w:name w:val="x_x_xmsobodytext"/>
    <w:basedOn w:val="Normal"/>
    <w:uiPriority w:val="99"/>
    <w:semiHidden/>
    <w:qFormat/>
    <w:rsid w:val="00B15F7D"/>
    <w:pPr>
      <w:suppressAutoHyphens w:val="0"/>
      <w:spacing w:before="100" w:beforeAutospacing="1" w:after="100" w:afterAutospacing="1"/>
    </w:pPr>
    <w:rPr>
      <w:rFonts w:eastAsia="Calibri"/>
      <w:lang w:val="es-CR" w:eastAsia="es-CR"/>
    </w:rPr>
  </w:style>
  <w:style w:type="paragraph" w:customStyle="1" w:styleId="Cabecera">
    <w:name w:val="Cabecera"/>
    <w:basedOn w:val="Normal"/>
    <w:uiPriority w:val="99"/>
    <w:qFormat/>
    <w:rsid w:val="00B15F7D"/>
    <w:pPr>
      <w:suppressAutoHyphens w:val="0"/>
      <w:autoSpaceDE w:val="0"/>
      <w:autoSpaceDN w:val="0"/>
    </w:pPr>
    <w:rPr>
      <w:rFonts w:eastAsia="Calibri"/>
      <w:color w:val="000000"/>
      <w:lang w:val="es-CR" w:eastAsia="es-CR"/>
    </w:rPr>
  </w:style>
  <w:style w:type="paragraph" w:customStyle="1" w:styleId="xxxmsonormal1">
    <w:name w:val="x_xxmsonormal"/>
    <w:basedOn w:val="Normal"/>
    <w:qFormat/>
    <w:rsid w:val="00B15F7D"/>
    <w:pPr>
      <w:suppressAutoHyphens w:val="0"/>
    </w:pPr>
    <w:rPr>
      <w:rFonts w:ascii="Calibri" w:eastAsia="Calibri" w:hAnsi="Calibri" w:cs="Calibri"/>
      <w:sz w:val="22"/>
      <w:szCs w:val="22"/>
      <w:lang w:val="es-CR" w:eastAsia="es-CR"/>
    </w:rPr>
  </w:style>
  <w:style w:type="paragraph" w:customStyle="1" w:styleId="TtulodeTDC2">
    <w:name w:val="Título de TDC2"/>
    <w:basedOn w:val="Normal"/>
    <w:uiPriority w:val="99"/>
    <w:qFormat/>
    <w:rsid w:val="00B15F7D"/>
    <w:pPr>
      <w:shd w:val="clear" w:color="auto" w:fill="4F81BD"/>
      <w:suppressAutoHyphens w:val="0"/>
    </w:pPr>
    <w:rPr>
      <w:rFonts w:ascii="Arial" w:eastAsia="Calibri" w:hAnsi="Arial" w:cs="Arial"/>
      <w:b/>
      <w:bCs/>
      <w:smallCaps/>
      <w:color w:val="000080"/>
      <w:spacing w:val="15"/>
      <w:sz w:val="28"/>
      <w:szCs w:val="28"/>
      <w:u w:val="single"/>
      <w:lang w:val="es-CR" w:eastAsia="en-US"/>
    </w:rPr>
  </w:style>
  <w:style w:type="paragraph" w:customStyle="1" w:styleId="xww-predeterminado">
    <w:name w:val="x_ww-predeterminado"/>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xxxmsonormal2">
    <w:name w:val="x_x_x_msonormal"/>
    <w:basedOn w:val="Normal"/>
    <w:uiPriority w:val="99"/>
    <w:qFormat/>
    <w:rsid w:val="00B15F7D"/>
    <w:pPr>
      <w:suppressAutoHyphens w:val="0"/>
    </w:pPr>
    <w:rPr>
      <w:rFonts w:eastAsia="Calibri"/>
      <w:lang w:val="es-CR" w:eastAsia="es-CR"/>
    </w:rPr>
  </w:style>
  <w:style w:type="paragraph" w:customStyle="1" w:styleId="xxxmsolistparagraph">
    <w:name w:val="x_x_x_msolistparagraph"/>
    <w:basedOn w:val="Normal"/>
    <w:uiPriority w:val="99"/>
    <w:qFormat/>
    <w:rsid w:val="00B15F7D"/>
    <w:pPr>
      <w:suppressAutoHyphens w:val="0"/>
    </w:pPr>
    <w:rPr>
      <w:rFonts w:eastAsia="Calibri"/>
      <w:lang w:val="es-CR" w:eastAsia="es-CR"/>
    </w:rPr>
  </w:style>
  <w:style w:type="paragraph" w:customStyle="1" w:styleId="Ttulo0">
    <w:name w:val="T’tulo"/>
    <w:basedOn w:val="Normal"/>
    <w:uiPriority w:val="99"/>
    <w:qFormat/>
    <w:rsid w:val="00B15F7D"/>
    <w:pPr>
      <w:suppressAutoHyphens w:val="0"/>
      <w:jc w:val="center"/>
    </w:pPr>
    <w:rPr>
      <w:rFonts w:eastAsia="Calibri"/>
      <w:sz w:val="32"/>
      <w:szCs w:val="32"/>
      <w:lang w:val="es-CR" w:eastAsia="es-ES"/>
    </w:rPr>
  </w:style>
  <w:style w:type="paragraph" w:customStyle="1" w:styleId="c">
    <w:name w:val="c"/>
    <w:basedOn w:val="Normal"/>
    <w:uiPriority w:val="99"/>
    <w:qFormat/>
    <w:rsid w:val="00B15F7D"/>
    <w:pPr>
      <w:suppressAutoHyphens w:val="0"/>
      <w:autoSpaceDE w:val="0"/>
      <w:autoSpaceDN w:val="0"/>
      <w:spacing w:before="100" w:after="100"/>
    </w:pPr>
    <w:rPr>
      <w:rFonts w:ascii="Arial Unicode MS" w:eastAsia="Arial Unicode MS" w:hAnsi="Arial Unicode MS" w:cs="Arial Unicode MS"/>
      <w:lang w:val="es-CR" w:eastAsia="es-ES"/>
    </w:rPr>
  </w:style>
  <w:style w:type="paragraph" w:customStyle="1" w:styleId="CM6">
    <w:name w:val="CM6"/>
    <w:basedOn w:val="Normal"/>
    <w:uiPriority w:val="99"/>
    <w:qFormat/>
    <w:rsid w:val="00B15F7D"/>
    <w:pPr>
      <w:suppressAutoHyphens w:val="0"/>
      <w:autoSpaceDE w:val="0"/>
      <w:autoSpaceDN w:val="0"/>
      <w:spacing w:after="358"/>
    </w:pPr>
    <w:rPr>
      <w:rFonts w:ascii="Calibri" w:eastAsia="Calibri" w:hAnsi="Calibri" w:cs="Calibri"/>
      <w:lang w:val="es-CR" w:eastAsia="es-ES"/>
    </w:rPr>
  </w:style>
  <w:style w:type="paragraph" w:customStyle="1" w:styleId="CM2">
    <w:name w:val="CM2"/>
    <w:basedOn w:val="Normal"/>
    <w:uiPriority w:val="99"/>
    <w:qFormat/>
    <w:rsid w:val="00B15F7D"/>
    <w:pPr>
      <w:suppressAutoHyphens w:val="0"/>
      <w:autoSpaceDE w:val="0"/>
      <w:autoSpaceDN w:val="0"/>
      <w:spacing w:line="358" w:lineRule="atLeast"/>
    </w:pPr>
    <w:rPr>
      <w:rFonts w:ascii="Calibri" w:eastAsia="Calibri" w:hAnsi="Calibri" w:cs="Calibri"/>
      <w:lang w:val="es-CR" w:eastAsia="es-ES"/>
    </w:rPr>
  </w:style>
  <w:style w:type="character" w:customStyle="1" w:styleId="FuenteCar">
    <w:name w:val="Fuente Car"/>
    <w:basedOn w:val="Fuentedeprrafopredeter"/>
    <w:link w:val="Fuente"/>
    <w:locked/>
    <w:rsid w:val="00B15F7D"/>
    <w:rPr>
      <w:rFonts w:ascii="Arial" w:hAnsi="Arial" w:cs="Arial"/>
      <w:b/>
      <w:bCs/>
      <w:i/>
      <w:iCs/>
      <w:lang w:eastAsia="es-ES"/>
    </w:rPr>
  </w:style>
  <w:style w:type="paragraph" w:customStyle="1" w:styleId="Fuente">
    <w:name w:val="Fuente"/>
    <w:basedOn w:val="Normal"/>
    <w:link w:val="FuenteCar"/>
    <w:qFormat/>
    <w:rsid w:val="00B15F7D"/>
    <w:pPr>
      <w:suppressAutoHyphens w:val="0"/>
      <w:spacing w:after="120" w:line="360" w:lineRule="auto"/>
      <w:jc w:val="both"/>
    </w:pPr>
    <w:rPr>
      <w:rFonts w:ascii="Arial" w:eastAsiaTheme="minorHAnsi" w:hAnsi="Arial" w:cs="Arial"/>
      <w:b/>
      <w:bCs/>
      <w:i/>
      <w:iCs/>
      <w:sz w:val="22"/>
      <w:szCs w:val="22"/>
      <w:lang w:val="es-CR" w:eastAsia="es-ES"/>
    </w:rPr>
  </w:style>
  <w:style w:type="paragraph" w:customStyle="1" w:styleId="Encabezado50">
    <w:name w:val="Encabezado 5"/>
    <w:basedOn w:val="Normal"/>
    <w:uiPriority w:val="99"/>
    <w:qFormat/>
    <w:rsid w:val="00B15F7D"/>
    <w:pPr>
      <w:suppressAutoHyphens w:val="0"/>
      <w:spacing w:before="240" w:after="60"/>
    </w:pPr>
    <w:rPr>
      <w:rFonts w:eastAsia="Calibri"/>
      <w:b/>
      <w:bCs/>
      <w:i/>
      <w:iCs/>
      <w:sz w:val="26"/>
      <w:szCs w:val="26"/>
      <w:lang w:val="es-CR" w:eastAsia="es-ES"/>
    </w:rPr>
  </w:style>
  <w:style w:type="character" w:customStyle="1" w:styleId="SupenEncabezadoCar">
    <w:name w:val="Supen_Encabezado Car"/>
    <w:basedOn w:val="Fuentedeprrafopredeter"/>
    <w:link w:val="SupenEncabezado"/>
    <w:locked/>
    <w:rsid w:val="00B15F7D"/>
    <w:rPr>
      <w:rFonts w:ascii="Calibri" w:hAnsi="Calibri" w:cs="Calibri"/>
    </w:rPr>
  </w:style>
  <w:style w:type="paragraph" w:customStyle="1" w:styleId="SupenEncabezado">
    <w:name w:val="Supen_Encabezado"/>
    <w:basedOn w:val="Normal"/>
    <w:link w:val="SupenEncabezadoCar"/>
    <w:qFormat/>
    <w:rsid w:val="00B15F7D"/>
    <w:pPr>
      <w:suppressAutoHyphens w:val="0"/>
      <w:spacing w:line="276" w:lineRule="auto"/>
      <w:jc w:val="both"/>
    </w:pPr>
    <w:rPr>
      <w:rFonts w:ascii="Calibri" w:eastAsiaTheme="minorHAnsi" w:hAnsi="Calibri" w:cs="Calibri"/>
      <w:sz w:val="22"/>
      <w:szCs w:val="22"/>
      <w:lang w:val="es-CR" w:eastAsia="en-US"/>
    </w:rPr>
  </w:style>
  <w:style w:type="paragraph" w:customStyle="1" w:styleId="xmsoheading7">
    <w:name w:val="x_msoheading7"/>
    <w:basedOn w:val="Normal"/>
    <w:uiPriority w:val="99"/>
    <w:qFormat/>
    <w:rsid w:val="00B15F7D"/>
    <w:pPr>
      <w:suppressAutoHyphens w:val="0"/>
    </w:pPr>
    <w:rPr>
      <w:rFonts w:ascii="Calibri" w:eastAsia="Calibri" w:hAnsi="Calibri" w:cs="Calibri"/>
      <w:sz w:val="22"/>
      <w:szCs w:val="22"/>
      <w:lang w:val="es-CR" w:eastAsia="es-CR"/>
    </w:rPr>
  </w:style>
  <w:style w:type="paragraph" w:customStyle="1" w:styleId="xdispositiva">
    <w:name w:val="x_dispositiva"/>
    <w:basedOn w:val="Normal"/>
    <w:uiPriority w:val="99"/>
    <w:qFormat/>
    <w:rsid w:val="00B15F7D"/>
    <w:pPr>
      <w:suppressAutoHyphens w:val="0"/>
      <w:spacing w:before="100" w:beforeAutospacing="1" w:after="100" w:afterAutospacing="1"/>
    </w:pPr>
    <w:rPr>
      <w:rFonts w:eastAsia="Calibri"/>
      <w:lang w:val="es-CR" w:eastAsia="es-CR"/>
    </w:rPr>
  </w:style>
  <w:style w:type="paragraph" w:customStyle="1" w:styleId="xl121">
    <w:name w:val="xl121"/>
    <w:basedOn w:val="Normal"/>
    <w:uiPriority w:val="99"/>
    <w:qFormat/>
    <w:rsid w:val="00B15F7D"/>
    <w:pPr>
      <w:shd w:val="clear" w:color="auto" w:fill="FF00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2">
    <w:name w:val="xl122"/>
    <w:basedOn w:val="Normal"/>
    <w:uiPriority w:val="99"/>
    <w:qFormat/>
    <w:rsid w:val="00B15F7D"/>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3">
    <w:name w:val="xl123"/>
    <w:basedOn w:val="Normal"/>
    <w:uiPriority w:val="99"/>
    <w:qFormat/>
    <w:rsid w:val="00B15F7D"/>
    <w:pPr>
      <w:shd w:val="clear" w:color="auto" w:fill="00B05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4">
    <w:name w:val="xl124"/>
    <w:basedOn w:val="Normal"/>
    <w:uiPriority w:val="99"/>
    <w:qFormat/>
    <w:rsid w:val="00B15F7D"/>
    <w:pPr>
      <w:shd w:val="clear" w:color="auto" w:fill="B8CCE4"/>
      <w:suppressAutoHyphens w:val="0"/>
      <w:spacing w:before="100" w:beforeAutospacing="1" w:after="100" w:afterAutospacing="1"/>
      <w:jc w:val="center"/>
    </w:pPr>
    <w:rPr>
      <w:rFonts w:ascii="Book Antiqua" w:eastAsia="Calibri" w:hAnsi="Book Antiqua" w:cs="Calibri"/>
      <w:b/>
      <w:bCs/>
      <w:lang w:val="es-CR" w:eastAsia="es-ES"/>
    </w:rPr>
  </w:style>
  <w:style w:type="paragraph" w:customStyle="1" w:styleId="xl125">
    <w:name w:val="xl125"/>
    <w:basedOn w:val="Normal"/>
    <w:uiPriority w:val="99"/>
    <w:qFormat/>
    <w:rsid w:val="00B15F7D"/>
    <w:pPr>
      <w:shd w:val="clear" w:color="auto" w:fill="FFCC66"/>
      <w:suppressAutoHyphens w:val="0"/>
      <w:spacing w:before="100" w:beforeAutospacing="1" w:after="100" w:afterAutospacing="1"/>
    </w:pPr>
    <w:rPr>
      <w:rFonts w:ascii="Book Antiqua" w:eastAsia="Calibri" w:hAnsi="Book Antiqua" w:cs="Calibri"/>
      <w:b/>
      <w:bCs/>
      <w:lang w:val="es-CR" w:eastAsia="es-ES"/>
    </w:rPr>
  </w:style>
  <w:style w:type="paragraph" w:customStyle="1" w:styleId="xl126">
    <w:name w:val="xl126"/>
    <w:basedOn w:val="Normal"/>
    <w:uiPriority w:val="99"/>
    <w:qFormat/>
    <w:rsid w:val="00B15F7D"/>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7">
    <w:name w:val="xl127"/>
    <w:basedOn w:val="Normal"/>
    <w:uiPriority w:val="99"/>
    <w:qFormat/>
    <w:rsid w:val="00B15F7D"/>
    <w:pPr>
      <w:shd w:val="clear" w:color="auto" w:fill="FF00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8">
    <w:name w:val="xl128"/>
    <w:basedOn w:val="Normal"/>
    <w:uiPriority w:val="99"/>
    <w:qFormat/>
    <w:rsid w:val="00B15F7D"/>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9">
    <w:name w:val="xl129"/>
    <w:basedOn w:val="Normal"/>
    <w:uiPriority w:val="99"/>
    <w:qFormat/>
    <w:rsid w:val="00B15F7D"/>
    <w:pPr>
      <w:shd w:val="clear" w:color="auto" w:fill="00B05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30">
    <w:name w:val="xl130"/>
    <w:basedOn w:val="Normal"/>
    <w:uiPriority w:val="99"/>
    <w:qFormat/>
    <w:rsid w:val="00B15F7D"/>
    <w:pPr>
      <w:shd w:val="clear" w:color="auto" w:fill="FFFFFF"/>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31">
    <w:name w:val="xl131"/>
    <w:basedOn w:val="Normal"/>
    <w:uiPriority w:val="99"/>
    <w:qFormat/>
    <w:rsid w:val="00B15F7D"/>
    <w:pPr>
      <w:shd w:val="clear" w:color="auto" w:fill="B8CCE4"/>
      <w:suppressAutoHyphens w:val="0"/>
      <w:spacing w:before="100" w:beforeAutospacing="1" w:after="100" w:afterAutospacing="1"/>
      <w:jc w:val="center"/>
    </w:pPr>
    <w:rPr>
      <w:rFonts w:ascii="Book Antiqua" w:eastAsia="Calibri" w:hAnsi="Book Antiqua" w:cs="Calibri"/>
      <w:b/>
      <w:bCs/>
      <w:lang w:val="es-CR" w:eastAsia="es-ES"/>
    </w:rPr>
  </w:style>
  <w:style w:type="paragraph" w:customStyle="1" w:styleId="xl132">
    <w:name w:val="xl132"/>
    <w:basedOn w:val="Normal"/>
    <w:uiPriority w:val="99"/>
    <w:qFormat/>
    <w:rsid w:val="00B15F7D"/>
    <w:pPr>
      <w:shd w:val="clear" w:color="auto" w:fill="FF00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33">
    <w:name w:val="xl133"/>
    <w:basedOn w:val="Normal"/>
    <w:uiPriority w:val="99"/>
    <w:qFormat/>
    <w:rsid w:val="00B15F7D"/>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character" w:customStyle="1" w:styleId="DireccinHTMLCar1">
    <w:name w:val="Dirección HTML Car1"/>
    <w:basedOn w:val="Fuentedeprrafopredeter"/>
    <w:link w:val="DireccinHTML2"/>
    <w:uiPriority w:val="99"/>
    <w:semiHidden/>
    <w:locked/>
    <w:rsid w:val="00B15F7D"/>
    <w:rPr>
      <w:rFonts w:ascii="Calibri" w:eastAsia="Calibri" w:hAnsi="Calibri" w:cs="Calibri"/>
      <w:i/>
      <w:iCs/>
    </w:rPr>
  </w:style>
  <w:style w:type="paragraph" w:customStyle="1" w:styleId="DireccinHTML2">
    <w:name w:val="Dirección HTML2"/>
    <w:basedOn w:val="Normal"/>
    <w:next w:val="Normal"/>
    <w:link w:val="DireccinHTMLCar1"/>
    <w:uiPriority w:val="99"/>
    <w:semiHidden/>
    <w:qFormat/>
    <w:rsid w:val="00B15F7D"/>
    <w:pPr>
      <w:suppressAutoHyphens w:val="0"/>
    </w:pPr>
    <w:rPr>
      <w:rFonts w:ascii="Calibri" w:eastAsia="Calibri" w:hAnsi="Calibri" w:cs="Calibri"/>
      <w:i/>
      <w:iCs/>
      <w:sz w:val="22"/>
      <w:szCs w:val="22"/>
      <w:lang w:val="es-CR" w:eastAsia="en-US"/>
    </w:rPr>
  </w:style>
  <w:style w:type="paragraph" w:customStyle="1" w:styleId="ndice22">
    <w:name w:val="Índice 22"/>
    <w:basedOn w:val="Normal"/>
    <w:next w:val="Normal"/>
    <w:autoRedefine/>
    <w:uiPriority w:val="99"/>
    <w:semiHidden/>
    <w:qFormat/>
    <w:rsid w:val="00B15F7D"/>
    <w:pPr>
      <w:suppressAutoHyphens w:val="0"/>
      <w:ind w:left="440" w:hanging="220"/>
    </w:pPr>
    <w:rPr>
      <w:rFonts w:ascii="Calibri" w:eastAsia="Calibri" w:hAnsi="Calibri"/>
      <w:sz w:val="22"/>
      <w:szCs w:val="22"/>
      <w:lang w:val="es-CR" w:eastAsia="en-US"/>
    </w:rPr>
  </w:style>
  <w:style w:type="paragraph" w:customStyle="1" w:styleId="ndice32">
    <w:name w:val="Índice 32"/>
    <w:basedOn w:val="Normal"/>
    <w:next w:val="Normal"/>
    <w:autoRedefine/>
    <w:uiPriority w:val="99"/>
    <w:semiHidden/>
    <w:qFormat/>
    <w:rsid w:val="00B15F7D"/>
    <w:pPr>
      <w:suppressAutoHyphens w:val="0"/>
      <w:ind w:left="660" w:hanging="220"/>
    </w:pPr>
    <w:rPr>
      <w:rFonts w:ascii="Calibri" w:eastAsia="Calibri" w:hAnsi="Calibri"/>
      <w:sz w:val="22"/>
      <w:szCs w:val="22"/>
      <w:lang w:val="es-CR" w:eastAsia="en-US"/>
    </w:rPr>
  </w:style>
  <w:style w:type="paragraph" w:customStyle="1" w:styleId="ndice42">
    <w:name w:val="Índice 42"/>
    <w:basedOn w:val="Normal"/>
    <w:next w:val="Normal"/>
    <w:autoRedefine/>
    <w:uiPriority w:val="99"/>
    <w:semiHidden/>
    <w:qFormat/>
    <w:rsid w:val="00B15F7D"/>
    <w:pPr>
      <w:suppressAutoHyphens w:val="0"/>
      <w:ind w:left="880" w:hanging="220"/>
    </w:pPr>
    <w:rPr>
      <w:rFonts w:ascii="Calibri" w:eastAsia="Calibri" w:hAnsi="Calibri"/>
      <w:sz w:val="22"/>
      <w:szCs w:val="22"/>
      <w:lang w:val="es-CR" w:eastAsia="en-US"/>
    </w:rPr>
  </w:style>
  <w:style w:type="paragraph" w:customStyle="1" w:styleId="ndice52">
    <w:name w:val="Índice 52"/>
    <w:basedOn w:val="Normal"/>
    <w:next w:val="Normal"/>
    <w:autoRedefine/>
    <w:uiPriority w:val="99"/>
    <w:semiHidden/>
    <w:qFormat/>
    <w:rsid w:val="00B15F7D"/>
    <w:pPr>
      <w:suppressAutoHyphens w:val="0"/>
      <w:ind w:left="1100" w:hanging="220"/>
    </w:pPr>
    <w:rPr>
      <w:rFonts w:ascii="Calibri" w:eastAsia="Calibri" w:hAnsi="Calibri"/>
      <w:sz w:val="22"/>
      <w:szCs w:val="22"/>
      <w:lang w:val="es-CR" w:eastAsia="en-US"/>
    </w:rPr>
  </w:style>
  <w:style w:type="paragraph" w:customStyle="1" w:styleId="ndice62">
    <w:name w:val="Índice 62"/>
    <w:basedOn w:val="Normal"/>
    <w:next w:val="Normal"/>
    <w:autoRedefine/>
    <w:uiPriority w:val="99"/>
    <w:semiHidden/>
    <w:qFormat/>
    <w:rsid w:val="00B15F7D"/>
    <w:pPr>
      <w:suppressAutoHyphens w:val="0"/>
      <w:ind w:left="1320" w:hanging="220"/>
    </w:pPr>
    <w:rPr>
      <w:rFonts w:ascii="Calibri" w:eastAsia="Calibri" w:hAnsi="Calibri"/>
      <w:sz w:val="22"/>
      <w:szCs w:val="22"/>
      <w:lang w:val="es-CR" w:eastAsia="en-US"/>
    </w:rPr>
  </w:style>
  <w:style w:type="paragraph" w:customStyle="1" w:styleId="ndice72">
    <w:name w:val="Índice 72"/>
    <w:basedOn w:val="Normal"/>
    <w:next w:val="Normal"/>
    <w:autoRedefine/>
    <w:uiPriority w:val="99"/>
    <w:semiHidden/>
    <w:qFormat/>
    <w:rsid w:val="00B15F7D"/>
    <w:pPr>
      <w:suppressAutoHyphens w:val="0"/>
      <w:ind w:left="1540" w:hanging="220"/>
    </w:pPr>
    <w:rPr>
      <w:rFonts w:ascii="Calibri" w:eastAsia="Calibri" w:hAnsi="Calibri"/>
      <w:sz w:val="22"/>
      <w:szCs w:val="22"/>
      <w:lang w:val="es-CR" w:eastAsia="en-US"/>
    </w:rPr>
  </w:style>
  <w:style w:type="paragraph" w:customStyle="1" w:styleId="ndice82">
    <w:name w:val="Índice 82"/>
    <w:basedOn w:val="Normal"/>
    <w:next w:val="Normal"/>
    <w:autoRedefine/>
    <w:uiPriority w:val="99"/>
    <w:semiHidden/>
    <w:qFormat/>
    <w:rsid w:val="00B15F7D"/>
    <w:pPr>
      <w:suppressAutoHyphens w:val="0"/>
      <w:ind w:left="1760" w:hanging="220"/>
    </w:pPr>
    <w:rPr>
      <w:rFonts w:ascii="Calibri" w:eastAsia="Calibri" w:hAnsi="Calibri"/>
      <w:sz w:val="22"/>
      <w:szCs w:val="22"/>
      <w:lang w:val="es-CR" w:eastAsia="en-US"/>
    </w:rPr>
  </w:style>
  <w:style w:type="paragraph" w:customStyle="1" w:styleId="ndice92">
    <w:name w:val="Índice 92"/>
    <w:basedOn w:val="Normal"/>
    <w:next w:val="Normal"/>
    <w:autoRedefine/>
    <w:uiPriority w:val="99"/>
    <w:semiHidden/>
    <w:qFormat/>
    <w:rsid w:val="00B15F7D"/>
    <w:pPr>
      <w:suppressAutoHyphens w:val="0"/>
      <w:ind w:left="1980" w:hanging="220"/>
    </w:pPr>
    <w:rPr>
      <w:rFonts w:ascii="Calibri" w:eastAsia="Calibri" w:hAnsi="Calibri"/>
      <w:sz w:val="22"/>
      <w:szCs w:val="22"/>
      <w:lang w:val="es-CR" w:eastAsia="en-US"/>
    </w:rPr>
  </w:style>
  <w:style w:type="paragraph" w:customStyle="1" w:styleId="Sangranormal4">
    <w:name w:val="Sangría normal4"/>
    <w:basedOn w:val="Normal"/>
    <w:next w:val="Normal"/>
    <w:uiPriority w:val="99"/>
    <w:semiHidden/>
    <w:qFormat/>
    <w:rsid w:val="00B15F7D"/>
    <w:pPr>
      <w:suppressAutoHyphens w:val="0"/>
      <w:spacing w:after="160" w:line="252" w:lineRule="auto"/>
      <w:ind w:left="708"/>
    </w:pPr>
    <w:rPr>
      <w:rFonts w:ascii="Calibri" w:eastAsia="Calibri" w:hAnsi="Calibri"/>
      <w:sz w:val="22"/>
      <w:szCs w:val="22"/>
      <w:lang w:val="es-CR" w:eastAsia="en-US"/>
    </w:rPr>
  </w:style>
  <w:style w:type="paragraph" w:customStyle="1" w:styleId="Ttulodendice2">
    <w:name w:val="Título de índice2"/>
    <w:basedOn w:val="Normal"/>
    <w:next w:val="ndice1"/>
    <w:uiPriority w:val="99"/>
    <w:semiHidden/>
    <w:qFormat/>
    <w:rsid w:val="00B15F7D"/>
    <w:pPr>
      <w:suppressAutoHyphens w:val="0"/>
      <w:spacing w:after="160" w:line="252" w:lineRule="auto"/>
    </w:pPr>
    <w:rPr>
      <w:rFonts w:ascii="Cambria" w:hAnsi="Cambria"/>
      <w:b/>
      <w:bCs/>
      <w:sz w:val="22"/>
      <w:szCs w:val="22"/>
      <w:lang w:val="es-CR" w:eastAsia="en-US"/>
    </w:rPr>
  </w:style>
  <w:style w:type="paragraph" w:customStyle="1" w:styleId="Tabladeilustraciones2">
    <w:name w:val="Tabla de ilustraciones2"/>
    <w:basedOn w:val="Normal"/>
    <w:next w:val="Normal"/>
    <w:uiPriority w:val="99"/>
    <w:semiHidden/>
    <w:qFormat/>
    <w:rsid w:val="00B15F7D"/>
    <w:pPr>
      <w:suppressAutoHyphens w:val="0"/>
      <w:spacing w:line="252" w:lineRule="auto"/>
    </w:pPr>
    <w:rPr>
      <w:rFonts w:ascii="Calibri" w:eastAsia="Calibri" w:hAnsi="Calibri"/>
      <w:sz w:val="22"/>
      <w:szCs w:val="22"/>
      <w:lang w:val="es-CR" w:eastAsia="en-US"/>
    </w:rPr>
  </w:style>
  <w:style w:type="paragraph" w:customStyle="1" w:styleId="Direccinsobre2">
    <w:name w:val="Dirección sobre2"/>
    <w:basedOn w:val="Normal"/>
    <w:next w:val="Normal"/>
    <w:uiPriority w:val="99"/>
    <w:semiHidden/>
    <w:qFormat/>
    <w:rsid w:val="00B15F7D"/>
    <w:pPr>
      <w:framePr w:w="7920" w:h="1980" w:hSpace="141" w:wrap="auto" w:hAnchor="page" w:xAlign="center" w:yAlign="bottom"/>
      <w:suppressAutoHyphens w:val="0"/>
      <w:ind w:left="2880"/>
    </w:pPr>
    <w:rPr>
      <w:rFonts w:ascii="Cambria" w:hAnsi="Cambria"/>
      <w:lang w:val="es-CR" w:eastAsia="en-US"/>
    </w:rPr>
  </w:style>
  <w:style w:type="paragraph" w:customStyle="1" w:styleId="Textoconsangra2">
    <w:name w:val="Texto con sangría2"/>
    <w:basedOn w:val="Normal"/>
    <w:next w:val="Normal"/>
    <w:uiPriority w:val="99"/>
    <w:semiHidden/>
    <w:qFormat/>
    <w:rsid w:val="00B15F7D"/>
    <w:pPr>
      <w:suppressAutoHyphens w:val="0"/>
      <w:spacing w:line="252" w:lineRule="auto"/>
      <w:ind w:left="220" w:hanging="220"/>
    </w:pPr>
    <w:rPr>
      <w:rFonts w:ascii="Calibri" w:eastAsia="Calibri" w:hAnsi="Calibri"/>
      <w:sz w:val="22"/>
      <w:szCs w:val="22"/>
      <w:lang w:val="es-CR" w:eastAsia="en-US"/>
    </w:rPr>
  </w:style>
  <w:style w:type="character" w:customStyle="1" w:styleId="TextomacroCar1">
    <w:name w:val="Texto macro Car1"/>
    <w:basedOn w:val="Fuentedeprrafopredeter"/>
    <w:link w:val="Textomacro2"/>
    <w:uiPriority w:val="99"/>
    <w:locked/>
    <w:rsid w:val="00B15F7D"/>
    <w:rPr>
      <w:rFonts w:ascii="Consolas" w:eastAsia="Calibri" w:hAnsi="Consolas" w:cs="Consolas"/>
    </w:rPr>
  </w:style>
  <w:style w:type="paragraph" w:customStyle="1" w:styleId="Textomacro2">
    <w:name w:val="Texto macro2"/>
    <w:next w:val="Normal"/>
    <w:link w:val="TextomacroCar1"/>
    <w:uiPriority w:val="99"/>
    <w:qFormat/>
    <w:rsid w:val="00B15F7D"/>
    <w:pPr>
      <w:tabs>
        <w:tab w:val="left" w:pos="480"/>
        <w:tab w:val="left" w:pos="960"/>
        <w:tab w:val="left" w:pos="1440"/>
        <w:tab w:val="left" w:pos="1920"/>
        <w:tab w:val="left" w:pos="2400"/>
        <w:tab w:val="left" w:pos="2880"/>
        <w:tab w:val="left" w:pos="3360"/>
        <w:tab w:val="left" w:pos="3840"/>
        <w:tab w:val="left" w:pos="4320"/>
      </w:tabs>
      <w:spacing w:after="0" w:line="252" w:lineRule="auto"/>
    </w:pPr>
    <w:rPr>
      <w:rFonts w:ascii="Consolas" w:eastAsia="Calibri" w:hAnsi="Consolas" w:cs="Consolas"/>
    </w:rPr>
  </w:style>
  <w:style w:type="paragraph" w:customStyle="1" w:styleId="Encabezadodelista2">
    <w:name w:val="Encabezado de lista2"/>
    <w:basedOn w:val="Normal"/>
    <w:next w:val="Normal"/>
    <w:uiPriority w:val="99"/>
    <w:semiHidden/>
    <w:qFormat/>
    <w:rsid w:val="00B15F7D"/>
    <w:pPr>
      <w:suppressAutoHyphens w:val="0"/>
      <w:spacing w:before="120" w:after="160" w:line="252" w:lineRule="auto"/>
    </w:pPr>
    <w:rPr>
      <w:rFonts w:ascii="Cambria" w:hAnsi="Cambria"/>
      <w:b/>
      <w:bCs/>
      <w:lang w:val="es-CR" w:eastAsia="en-US"/>
    </w:rPr>
  </w:style>
  <w:style w:type="paragraph" w:customStyle="1" w:styleId="Lista42">
    <w:name w:val="Lista 42"/>
    <w:basedOn w:val="Normal"/>
    <w:next w:val="Normal"/>
    <w:uiPriority w:val="99"/>
    <w:semiHidden/>
    <w:qFormat/>
    <w:rsid w:val="00B15F7D"/>
    <w:pPr>
      <w:suppressAutoHyphens w:val="0"/>
      <w:spacing w:after="160" w:line="252" w:lineRule="auto"/>
      <w:ind w:left="1132" w:hanging="283"/>
      <w:contextualSpacing/>
    </w:pPr>
    <w:rPr>
      <w:rFonts w:ascii="Calibri" w:eastAsia="Calibri" w:hAnsi="Calibri"/>
      <w:sz w:val="22"/>
      <w:szCs w:val="22"/>
      <w:lang w:val="es-CR" w:eastAsia="en-US"/>
    </w:rPr>
  </w:style>
  <w:style w:type="paragraph" w:customStyle="1" w:styleId="Lista52">
    <w:name w:val="Lista 52"/>
    <w:basedOn w:val="Normal"/>
    <w:next w:val="Normal"/>
    <w:uiPriority w:val="99"/>
    <w:semiHidden/>
    <w:qFormat/>
    <w:rsid w:val="00B15F7D"/>
    <w:pPr>
      <w:suppressAutoHyphens w:val="0"/>
      <w:spacing w:after="160" w:line="252" w:lineRule="auto"/>
      <w:ind w:left="1415" w:hanging="283"/>
      <w:contextualSpacing/>
    </w:pPr>
    <w:rPr>
      <w:rFonts w:ascii="Calibri" w:eastAsia="Calibri" w:hAnsi="Calibri"/>
      <w:sz w:val="22"/>
      <w:szCs w:val="22"/>
      <w:lang w:val="es-CR" w:eastAsia="en-US"/>
    </w:rPr>
  </w:style>
  <w:style w:type="paragraph" w:customStyle="1" w:styleId="Listaconvietas52">
    <w:name w:val="Lista con viñetas 52"/>
    <w:basedOn w:val="Normal"/>
    <w:next w:val="Normal"/>
    <w:uiPriority w:val="99"/>
    <w:semiHidden/>
    <w:qFormat/>
    <w:rsid w:val="00B15F7D"/>
    <w:pPr>
      <w:numPr>
        <w:numId w:val="23"/>
      </w:numPr>
      <w:suppressAutoHyphens w:val="0"/>
      <w:spacing w:after="160" w:line="252" w:lineRule="auto"/>
      <w:ind w:left="0" w:firstLine="0"/>
      <w:contextualSpacing/>
    </w:pPr>
    <w:rPr>
      <w:rFonts w:ascii="Calibri" w:eastAsia="Calibri" w:hAnsi="Calibri"/>
      <w:sz w:val="22"/>
      <w:szCs w:val="22"/>
      <w:lang w:val="es-CR" w:eastAsia="en-US"/>
    </w:rPr>
  </w:style>
  <w:style w:type="paragraph" w:customStyle="1" w:styleId="Listaconnmeros23">
    <w:name w:val="Lista con números 23"/>
    <w:basedOn w:val="Normal"/>
    <w:next w:val="Normal"/>
    <w:uiPriority w:val="99"/>
    <w:semiHidden/>
    <w:qFormat/>
    <w:rsid w:val="00B15F7D"/>
    <w:pPr>
      <w:numPr>
        <w:numId w:val="24"/>
      </w:numPr>
      <w:suppressAutoHyphens w:val="0"/>
      <w:spacing w:after="160" w:line="252" w:lineRule="auto"/>
      <w:ind w:left="1068"/>
      <w:contextualSpacing/>
    </w:pPr>
    <w:rPr>
      <w:rFonts w:ascii="Calibri" w:eastAsia="Calibri" w:hAnsi="Calibri"/>
      <w:sz w:val="22"/>
      <w:szCs w:val="22"/>
      <w:lang w:val="es-CR" w:eastAsia="en-US"/>
    </w:rPr>
  </w:style>
  <w:style w:type="paragraph" w:customStyle="1" w:styleId="Listaconnmeros32">
    <w:name w:val="Lista con números 32"/>
    <w:basedOn w:val="Normal"/>
    <w:next w:val="Normal"/>
    <w:uiPriority w:val="99"/>
    <w:semiHidden/>
    <w:qFormat/>
    <w:rsid w:val="00B15F7D"/>
    <w:pPr>
      <w:numPr>
        <w:numId w:val="25"/>
      </w:numPr>
      <w:suppressAutoHyphens w:val="0"/>
      <w:spacing w:after="160" w:line="252" w:lineRule="auto"/>
      <w:ind w:left="1080"/>
      <w:contextualSpacing/>
    </w:pPr>
    <w:rPr>
      <w:rFonts w:ascii="Calibri" w:eastAsia="Calibri" w:hAnsi="Calibri"/>
      <w:sz w:val="22"/>
      <w:szCs w:val="22"/>
      <w:lang w:val="es-CR" w:eastAsia="en-US"/>
    </w:rPr>
  </w:style>
  <w:style w:type="paragraph" w:customStyle="1" w:styleId="Listaconnmeros42">
    <w:name w:val="Lista con números 42"/>
    <w:basedOn w:val="Normal"/>
    <w:next w:val="Normal"/>
    <w:uiPriority w:val="99"/>
    <w:semiHidden/>
    <w:qFormat/>
    <w:rsid w:val="00B15F7D"/>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nmeros52">
    <w:name w:val="Lista con números 52"/>
    <w:basedOn w:val="Normal"/>
    <w:next w:val="Normal"/>
    <w:uiPriority w:val="99"/>
    <w:semiHidden/>
    <w:qFormat/>
    <w:rsid w:val="00B15F7D"/>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Continuarlista32">
    <w:name w:val="Continuar lista 32"/>
    <w:basedOn w:val="Normal"/>
    <w:next w:val="Normal"/>
    <w:uiPriority w:val="99"/>
    <w:qFormat/>
    <w:rsid w:val="00B15F7D"/>
    <w:pPr>
      <w:suppressAutoHyphens w:val="0"/>
      <w:spacing w:after="120" w:line="252" w:lineRule="auto"/>
      <w:ind w:left="849"/>
      <w:contextualSpacing/>
    </w:pPr>
    <w:rPr>
      <w:rFonts w:ascii="Calibri" w:eastAsia="Calibri" w:hAnsi="Calibri"/>
      <w:sz w:val="22"/>
      <w:szCs w:val="22"/>
      <w:lang w:val="es-CR" w:eastAsia="en-US"/>
    </w:rPr>
  </w:style>
  <w:style w:type="paragraph" w:customStyle="1" w:styleId="Continuarlista42">
    <w:name w:val="Continuar lista 42"/>
    <w:basedOn w:val="Normal"/>
    <w:next w:val="Normal"/>
    <w:uiPriority w:val="99"/>
    <w:qFormat/>
    <w:rsid w:val="00B15F7D"/>
    <w:pPr>
      <w:suppressAutoHyphens w:val="0"/>
      <w:spacing w:after="120" w:line="252" w:lineRule="auto"/>
      <w:ind w:left="1132"/>
      <w:contextualSpacing/>
    </w:pPr>
    <w:rPr>
      <w:rFonts w:ascii="Calibri" w:eastAsia="Calibri" w:hAnsi="Calibri"/>
      <w:sz w:val="22"/>
      <w:szCs w:val="22"/>
      <w:lang w:val="es-CR" w:eastAsia="en-US"/>
    </w:rPr>
  </w:style>
  <w:style w:type="paragraph" w:customStyle="1" w:styleId="Continuarlista52">
    <w:name w:val="Continuar lista 52"/>
    <w:basedOn w:val="Normal"/>
    <w:next w:val="Normal"/>
    <w:uiPriority w:val="99"/>
    <w:qFormat/>
    <w:rsid w:val="00B15F7D"/>
    <w:pPr>
      <w:suppressAutoHyphens w:val="0"/>
      <w:spacing w:after="120" w:line="252" w:lineRule="auto"/>
      <w:ind w:left="1415"/>
      <w:contextualSpacing/>
    </w:pPr>
    <w:rPr>
      <w:rFonts w:ascii="Calibri" w:eastAsia="Calibri" w:hAnsi="Calibri"/>
      <w:sz w:val="22"/>
      <w:szCs w:val="22"/>
      <w:lang w:val="es-CR" w:eastAsia="en-US"/>
    </w:rPr>
  </w:style>
  <w:style w:type="character" w:customStyle="1" w:styleId="EncabezadodemensajeCar1">
    <w:name w:val="Encabezado de mensaje Car1"/>
    <w:basedOn w:val="Fuentedeprrafopredeter"/>
    <w:link w:val="Encabezadodemensaje4"/>
    <w:uiPriority w:val="99"/>
    <w:locked/>
    <w:rsid w:val="00B15F7D"/>
    <w:rPr>
      <w:rFonts w:ascii="Cambria" w:hAnsi="Cambria"/>
      <w:sz w:val="24"/>
      <w:szCs w:val="24"/>
      <w:shd w:val="pct20" w:color="auto" w:fill="auto"/>
    </w:rPr>
  </w:style>
  <w:style w:type="paragraph" w:customStyle="1" w:styleId="Encabezadodemensaje4">
    <w:name w:val="Encabezado de mensaje4"/>
    <w:basedOn w:val="Normal"/>
    <w:next w:val="Normal"/>
    <w:link w:val="EncabezadodemensajeCar1"/>
    <w:uiPriority w:val="99"/>
    <w:qFormat/>
    <w:rsid w:val="00B15F7D"/>
    <w:pPr>
      <w:pBdr>
        <w:top w:val="single" w:sz="6" w:space="1" w:color="auto"/>
        <w:left w:val="single" w:sz="6" w:space="1" w:color="auto"/>
        <w:bottom w:val="single" w:sz="6" w:space="1" w:color="auto"/>
        <w:right w:val="single" w:sz="6" w:space="1" w:color="auto"/>
      </w:pBdr>
      <w:shd w:val="pct20" w:color="auto" w:fill="auto"/>
      <w:suppressAutoHyphens w:val="0"/>
      <w:ind w:left="1134" w:hanging="1134"/>
    </w:pPr>
    <w:rPr>
      <w:rFonts w:ascii="Cambria" w:eastAsiaTheme="minorHAnsi" w:hAnsi="Cambria" w:cstheme="minorBidi"/>
      <w:lang w:val="es-CR" w:eastAsia="en-US"/>
    </w:rPr>
  </w:style>
  <w:style w:type="character" w:customStyle="1" w:styleId="EncabezadodenotaCar1">
    <w:name w:val="Encabezado de nota Car1"/>
    <w:basedOn w:val="Fuentedeprrafopredeter"/>
    <w:link w:val="Encabezadodenota2"/>
    <w:uiPriority w:val="99"/>
    <w:semiHidden/>
    <w:locked/>
    <w:rsid w:val="00B15F7D"/>
    <w:rPr>
      <w:rFonts w:ascii="Calibri" w:eastAsia="Calibri" w:hAnsi="Calibri" w:cs="Calibri"/>
    </w:rPr>
  </w:style>
  <w:style w:type="paragraph" w:customStyle="1" w:styleId="Encabezadodenota2">
    <w:name w:val="Encabezado de nota2"/>
    <w:basedOn w:val="Normal"/>
    <w:next w:val="Normal"/>
    <w:link w:val="EncabezadodenotaCar1"/>
    <w:uiPriority w:val="99"/>
    <w:semiHidden/>
    <w:qFormat/>
    <w:rsid w:val="00B15F7D"/>
    <w:pPr>
      <w:suppressAutoHyphens w:val="0"/>
    </w:pPr>
    <w:rPr>
      <w:rFonts w:ascii="Calibri" w:eastAsia="Calibri" w:hAnsi="Calibri" w:cs="Calibri"/>
      <w:sz w:val="22"/>
      <w:szCs w:val="22"/>
      <w:lang w:val="es-CR" w:eastAsia="en-US"/>
    </w:rPr>
  </w:style>
  <w:style w:type="character" w:customStyle="1" w:styleId="FirmadecorreoelectrnicoCar3">
    <w:name w:val="Firma de correo electrónico Car3"/>
    <w:basedOn w:val="Fuentedeprrafopredeter"/>
    <w:link w:val="Firmadecorreoelectrnico2"/>
    <w:uiPriority w:val="99"/>
    <w:semiHidden/>
    <w:locked/>
    <w:rsid w:val="00B15F7D"/>
    <w:rPr>
      <w:rFonts w:ascii="Calibri" w:eastAsia="Calibri" w:hAnsi="Calibri" w:cs="Calibri"/>
    </w:rPr>
  </w:style>
  <w:style w:type="paragraph" w:customStyle="1" w:styleId="Firmadecorreoelectrnico2">
    <w:name w:val="Firma de correo electrónico2"/>
    <w:basedOn w:val="Normal"/>
    <w:next w:val="Normal"/>
    <w:link w:val="FirmadecorreoelectrnicoCar3"/>
    <w:uiPriority w:val="99"/>
    <w:semiHidden/>
    <w:qFormat/>
    <w:rsid w:val="00B15F7D"/>
    <w:pPr>
      <w:suppressAutoHyphens w:val="0"/>
    </w:pPr>
    <w:rPr>
      <w:rFonts w:ascii="Calibri" w:eastAsia="Calibri" w:hAnsi="Calibri" w:cs="Calibri"/>
      <w:sz w:val="22"/>
      <w:szCs w:val="22"/>
      <w:lang w:val="es-CR" w:eastAsia="en-US"/>
    </w:rPr>
  </w:style>
  <w:style w:type="character" w:customStyle="1" w:styleId="AsuntodelcomentarioCar2">
    <w:name w:val="Asunto del comentario Car2"/>
    <w:basedOn w:val="TextocomentarioCar"/>
    <w:link w:val="Asuntodelcomentario2"/>
    <w:uiPriority w:val="99"/>
    <w:semiHidden/>
    <w:locked/>
    <w:rsid w:val="00B15F7D"/>
    <w:rPr>
      <w:rFonts w:ascii="Times New Roman" w:eastAsia="Times New Roman" w:hAnsi="Times New Roman" w:cs="Times New Roman"/>
      <w:sz w:val="20"/>
      <w:szCs w:val="20"/>
      <w:lang w:val="es-ES" w:eastAsia="ar-SA"/>
    </w:rPr>
  </w:style>
  <w:style w:type="paragraph" w:customStyle="1" w:styleId="Asuntodelcomentario2">
    <w:name w:val="Asunto del comentario2"/>
    <w:basedOn w:val="Textocomentario"/>
    <w:next w:val="Textocomentario"/>
    <w:link w:val="AsuntodelcomentarioCar2"/>
    <w:uiPriority w:val="99"/>
    <w:semiHidden/>
    <w:qFormat/>
    <w:rsid w:val="00B15F7D"/>
    <w:pPr>
      <w:suppressAutoHyphens w:val="0"/>
      <w:spacing w:after="160"/>
    </w:pPr>
  </w:style>
  <w:style w:type="paragraph" w:customStyle="1" w:styleId="Revisin2">
    <w:name w:val="Revisión2"/>
    <w:next w:val="Normal"/>
    <w:uiPriority w:val="99"/>
    <w:semiHidden/>
    <w:qFormat/>
    <w:rsid w:val="00B15F7D"/>
    <w:pPr>
      <w:spacing w:after="0" w:line="240" w:lineRule="auto"/>
    </w:pPr>
    <w:rPr>
      <w:rFonts w:ascii="Calibri" w:eastAsia="Calibri" w:hAnsi="Calibri" w:cs="Times New Roman"/>
    </w:rPr>
  </w:style>
  <w:style w:type="character" w:customStyle="1" w:styleId="CitaCar2">
    <w:name w:val="Cita Car2"/>
    <w:basedOn w:val="Fuentedeprrafopredeter"/>
    <w:link w:val="Cita2"/>
    <w:uiPriority w:val="29"/>
    <w:locked/>
    <w:rsid w:val="00B15F7D"/>
    <w:rPr>
      <w:rFonts w:ascii="Calibri" w:eastAsia="Calibri" w:hAnsi="Calibri" w:cs="Calibri"/>
      <w:i/>
      <w:iCs/>
      <w:color w:val="404040"/>
    </w:rPr>
  </w:style>
  <w:style w:type="paragraph" w:customStyle="1" w:styleId="Cita2">
    <w:name w:val="Cita2"/>
    <w:basedOn w:val="Normal"/>
    <w:next w:val="Normal"/>
    <w:link w:val="CitaCar2"/>
    <w:uiPriority w:val="29"/>
    <w:qFormat/>
    <w:rsid w:val="00B15F7D"/>
    <w:pPr>
      <w:suppressAutoHyphens w:val="0"/>
      <w:spacing w:before="200" w:after="160" w:line="252" w:lineRule="auto"/>
      <w:ind w:left="864" w:right="864"/>
      <w:jc w:val="center"/>
    </w:pPr>
    <w:rPr>
      <w:rFonts w:ascii="Calibri" w:eastAsia="Calibri" w:hAnsi="Calibri" w:cs="Calibri"/>
      <w:i/>
      <w:iCs/>
      <w:color w:val="404040"/>
      <w:sz w:val="22"/>
      <w:szCs w:val="22"/>
      <w:lang w:val="es-CR" w:eastAsia="en-US"/>
    </w:rPr>
  </w:style>
  <w:style w:type="character" w:customStyle="1" w:styleId="CitadestacadaCar1">
    <w:name w:val="Cita destacada Car1"/>
    <w:basedOn w:val="Fuentedeprrafopredeter"/>
    <w:link w:val="Citadestacada2"/>
    <w:uiPriority w:val="30"/>
    <w:locked/>
    <w:rsid w:val="00B15F7D"/>
    <w:rPr>
      <w:rFonts w:ascii="Calibri" w:eastAsia="Calibri" w:hAnsi="Calibri" w:cs="Calibri"/>
      <w:i/>
      <w:iCs/>
      <w:color w:val="4F81BD"/>
    </w:rPr>
  </w:style>
  <w:style w:type="paragraph" w:customStyle="1" w:styleId="Citadestacada2">
    <w:name w:val="Cita destacada2"/>
    <w:basedOn w:val="Normal"/>
    <w:next w:val="Normal"/>
    <w:link w:val="CitadestacadaCar1"/>
    <w:uiPriority w:val="30"/>
    <w:qFormat/>
    <w:rsid w:val="00B15F7D"/>
    <w:pPr>
      <w:pBdr>
        <w:top w:val="single" w:sz="4" w:space="10" w:color="4F81BD"/>
        <w:bottom w:val="single" w:sz="4" w:space="10" w:color="4F81BD"/>
      </w:pBdr>
      <w:suppressAutoHyphens w:val="0"/>
      <w:spacing w:before="360" w:after="360" w:line="252" w:lineRule="auto"/>
      <w:ind w:left="864" w:right="864"/>
      <w:jc w:val="center"/>
    </w:pPr>
    <w:rPr>
      <w:rFonts w:ascii="Calibri" w:eastAsia="Calibri" w:hAnsi="Calibri" w:cs="Calibri"/>
      <w:i/>
      <w:iCs/>
      <w:color w:val="4F81BD"/>
      <w:sz w:val="22"/>
      <w:szCs w:val="22"/>
      <w:lang w:val="es-CR" w:eastAsia="en-US"/>
    </w:rPr>
  </w:style>
  <w:style w:type="paragraph" w:customStyle="1" w:styleId="Car20">
    <w:name w:val="Car20"/>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Listaconvietas34">
    <w:name w:val="Lista con viñetas 34"/>
    <w:basedOn w:val="Normal"/>
    <w:next w:val="Normal"/>
    <w:uiPriority w:val="99"/>
    <w:qFormat/>
    <w:rsid w:val="00B15F7D"/>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vietas42">
    <w:name w:val="Lista con viñetas 42"/>
    <w:basedOn w:val="Normal"/>
    <w:next w:val="Normal"/>
    <w:uiPriority w:val="99"/>
    <w:qFormat/>
    <w:rsid w:val="00B15F7D"/>
    <w:pPr>
      <w:suppressAutoHyphens w:val="0"/>
      <w:spacing w:after="160" w:line="252" w:lineRule="auto"/>
      <w:ind w:left="720" w:hanging="360"/>
      <w:contextualSpacing/>
    </w:pPr>
    <w:rPr>
      <w:rFonts w:ascii="Calibri" w:eastAsia="Calibri" w:hAnsi="Calibri"/>
      <w:sz w:val="22"/>
      <w:szCs w:val="22"/>
      <w:lang w:val="es-CR" w:eastAsia="en-US"/>
    </w:rPr>
  </w:style>
  <w:style w:type="character" w:customStyle="1" w:styleId="DireccinHTMLCar2">
    <w:name w:val="Dirección HTML Car2"/>
    <w:basedOn w:val="Fuentedeprrafopredeter"/>
    <w:link w:val="DireccinHTML3"/>
    <w:uiPriority w:val="99"/>
    <w:locked/>
    <w:rsid w:val="00B15F7D"/>
    <w:rPr>
      <w:rFonts w:ascii="Calibri" w:eastAsia="Calibri" w:hAnsi="Calibri" w:cs="Calibri"/>
      <w:i/>
      <w:iCs/>
    </w:rPr>
  </w:style>
  <w:style w:type="paragraph" w:customStyle="1" w:styleId="DireccinHTML3">
    <w:name w:val="Dirección HTML3"/>
    <w:basedOn w:val="Normal"/>
    <w:next w:val="Normal"/>
    <w:link w:val="DireccinHTMLCar2"/>
    <w:uiPriority w:val="99"/>
    <w:qFormat/>
    <w:rsid w:val="00B15F7D"/>
    <w:pPr>
      <w:suppressAutoHyphens w:val="0"/>
    </w:pPr>
    <w:rPr>
      <w:rFonts w:ascii="Calibri" w:eastAsia="Calibri" w:hAnsi="Calibri" w:cs="Calibri"/>
      <w:i/>
      <w:iCs/>
      <w:sz w:val="22"/>
      <w:szCs w:val="22"/>
      <w:lang w:val="es-CR" w:eastAsia="en-US"/>
    </w:rPr>
  </w:style>
  <w:style w:type="paragraph" w:customStyle="1" w:styleId="ndice23">
    <w:name w:val="Índice 23"/>
    <w:basedOn w:val="Normal"/>
    <w:next w:val="Normal"/>
    <w:autoRedefine/>
    <w:uiPriority w:val="99"/>
    <w:qFormat/>
    <w:rsid w:val="00B15F7D"/>
    <w:pPr>
      <w:suppressAutoHyphens w:val="0"/>
      <w:ind w:left="440" w:hanging="220"/>
    </w:pPr>
    <w:rPr>
      <w:rFonts w:ascii="Calibri" w:eastAsia="Calibri" w:hAnsi="Calibri"/>
      <w:sz w:val="22"/>
      <w:szCs w:val="22"/>
      <w:lang w:val="es-CR" w:eastAsia="en-US"/>
    </w:rPr>
  </w:style>
  <w:style w:type="paragraph" w:customStyle="1" w:styleId="ndice33">
    <w:name w:val="Índice 33"/>
    <w:basedOn w:val="Normal"/>
    <w:next w:val="Normal"/>
    <w:autoRedefine/>
    <w:uiPriority w:val="99"/>
    <w:qFormat/>
    <w:rsid w:val="00B15F7D"/>
    <w:pPr>
      <w:suppressAutoHyphens w:val="0"/>
      <w:ind w:left="660" w:hanging="220"/>
    </w:pPr>
    <w:rPr>
      <w:rFonts w:ascii="Calibri" w:eastAsia="Calibri" w:hAnsi="Calibri"/>
      <w:sz w:val="22"/>
      <w:szCs w:val="22"/>
      <w:lang w:val="es-CR" w:eastAsia="en-US"/>
    </w:rPr>
  </w:style>
  <w:style w:type="paragraph" w:customStyle="1" w:styleId="ndice43">
    <w:name w:val="Índice 43"/>
    <w:basedOn w:val="Normal"/>
    <w:next w:val="Normal"/>
    <w:autoRedefine/>
    <w:uiPriority w:val="99"/>
    <w:qFormat/>
    <w:rsid w:val="00B15F7D"/>
    <w:pPr>
      <w:suppressAutoHyphens w:val="0"/>
      <w:ind w:left="880" w:hanging="220"/>
    </w:pPr>
    <w:rPr>
      <w:rFonts w:ascii="Calibri" w:eastAsia="Calibri" w:hAnsi="Calibri"/>
      <w:sz w:val="22"/>
      <w:szCs w:val="22"/>
      <w:lang w:val="es-CR" w:eastAsia="en-US"/>
    </w:rPr>
  </w:style>
  <w:style w:type="paragraph" w:customStyle="1" w:styleId="ndice53">
    <w:name w:val="Índice 53"/>
    <w:basedOn w:val="Normal"/>
    <w:next w:val="Normal"/>
    <w:autoRedefine/>
    <w:uiPriority w:val="99"/>
    <w:qFormat/>
    <w:rsid w:val="00B15F7D"/>
    <w:pPr>
      <w:suppressAutoHyphens w:val="0"/>
      <w:ind w:left="1100" w:hanging="220"/>
    </w:pPr>
    <w:rPr>
      <w:rFonts w:ascii="Calibri" w:eastAsia="Calibri" w:hAnsi="Calibri"/>
      <w:sz w:val="22"/>
      <w:szCs w:val="22"/>
      <w:lang w:val="es-CR" w:eastAsia="en-US"/>
    </w:rPr>
  </w:style>
  <w:style w:type="paragraph" w:customStyle="1" w:styleId="ndice63">
    <w:name w:val="Índice 63"/>
    <w:basedOn w:val="Normal"/>
    <w:next w:val="Normal"/>
    <w:autoRedefine/>
    <w:uiPriority w:val="99"/>
    <w:qFormat/>
    <w:rsid w:val="00B15F7D"/>
    <w:pPr>
      <w:suppressAutoHyphens w:val="0"/>
      <w:ind w:left="1320" w:hanging="220"/>
    </w:pPr>
    <w:rPr>
      <w:rFonts w:ascii="Calibri" w:eastAsia="Calibri" w:hAnsi="Calibri"/>
      <w:sz w:val="22"/>
      <w:szCs w:val="22"/>
      <w:lang w:val="es-CR" w:eastAsia="en-US"/>
    </w:rPr>
  </w:style>
  <w:style w:type="paragraph" w:customStyle="1" w:styleId="ndice73">
    <w:name w:val="Índice 73"/>
    <w:basedOn w:val="Normal"/>
    <w:next w:val="Normal"/>
    <w:autoRedefine/>
    <w:uiPriority w:val="99"/>
    <w:qFormat/>
    <w:rsid w:val="00B15F7D"/>
    <w:pPr>
      <w:suppressAutoHyphens w:val="0"/>
      <w:ind w:left="1540" w:hanging="220"/>
    </w:pPr>
    <w:rPr>
      <w:rFonts w:ascii="Calibri" w:eastAsia="Calibri" w:hAnsi="Calibri"/>
      <w:sz w:val="22"/>
      <w:szCs w:val="22"/>
      <w:lang w:val="es-CR" w:eastAsia="en-US"/>
    </w:rPr>
  </w:style>
  <w:style w:type="paragraph" w:customStyle="1" w:styleId="ndice83">
    <w:name w:val="Índice 83"/>
    <w:basedOn w:val="Normal"/>
    <w:next w:val="Normal"/>
    <w:autoRedefine/>
    <w:uiPriority w:val="99"/>
    <w:qFormat/>
    <w:rsid w:val="00B15F7D"/>
    <w:pPr>
      <w:suppressAutoHyphens w:val="0"/>
      <w:ind w:left="1760" w:hanging="220"/>
    </w:pPr>
    <w:rPr>
      <w:rFonts w:ascii="Calibri" w:eastAsia="Calibri" w:hAnsi="Calibri"/>
      <w:sz w:val="22"/>
      <w:szCs w:val="22"/>
      <w:lang w:val="es-CR" w:eastAsia="en-US"/>
    </w:rPr>
  </w:style>
  <w:style w:type="paragraph" w:customStyle="1" w:styleId="ndice93">
    <w:name w:val="Índice 93"/>
    <w:basedOn w:val="Normal"/>
    <w:next w:val="Normal"/>
    <w:autoRedefine/>
    <w:uiPriority w:val="99"/>
    <w:qFormat/>
    <w:rsid w:val="00B15F7D"/>
    <w:pPr>
      <w:suppressAutoHyphens w:val="0"/>
      <w:ind w:left="1980" w:hanging="220"/>
    </w:pPr>
    <w:rPr>
      <w:rFonts w:ascii="Calibri" w:eastAsia="Calibri" w:hAnsi="Calibri"/>
      <w:sz w:val="22"/>
      <w:szCs w:val="22"/>
      <w:lang w:val="es-CR" w:eastAsia="en-US"/>
    </w:rPr>
  </w:style>
  <w:style w:type="paragraph" w:customStyle="1" w:styleId="Sangranormal5">
    <w:name w:val="Sangría normal5"/>
    <w:basedOn w:val="Normal"/>
    <w:next w:val="Normal"/>
    <w:uiPriority w:val="99"/>
    <w:qFormat/>
    <w:rsid w:val="00B15F7D"/>
    <w:pPr>
      <w:suppressAutoHyphens w:val="0"/>
      <w:spacing w:after="160" w:line="252" w:lineRule="auto"/>
      <w:ind w:left="708"/>
    </w:pPr>
    <w:rPr>
      <w:rFonts w:ascii="Calibri" w:eastAsia="Calibri" w:hAnsi="Calibri"/>
      <w:sz w:val="22"/>
      <w:szCs w:val="22"/>
      <w:lang w:val="es-CR" w:eastAsia="en-US"/>
    </w:rPr>
  </w:style>
  <w:style w:type="paragraph" w:customStyle="1" w:styleId="Ttulodendice3">
    <w:name w:val="Título de índice3"/>
    <w:basedOn w:val="Normal"/>
    <w:next w:val="ndice1"/>
    <w:uiPriority w:val="99"/>
    <w:qFormat/>
    <w:rsid w:val="00B15F7D"/>
    <w:pPr>
      <w:suppressAutoHyphens w:val="0"/>
      <w:spacing w:after="160" w:line="252" w:lineRule="auto"/>
    </w:pPr>
    <w:rPr>
      <w:rFonts w:ascii="Cambria" w:hAnsi="Cambria"/>
      <w:b/>
      <w:bCs/>
      <w:sz w:val="22"/>
      <w:szCs w:val="22"/>
      <w:lang w:val="es-CR" w:eastAsia="en-US"/>
    </w:rPr>
  </w:style>
  <w:style w:type="paragraph" w:customStyle="1" w:styleId="Tabladeilustraciones3">
    <w:name w:val="Tabla de ilustraciones3"/>
    <w:basedOn w:val="Normal"/>
    <w:next w:val="Normal"/>
    <w:uiPriority w:val="99"/>
    <w:qFormat/>
    <w:rsid w:val="00B15F7D"/>
    <w:pPr>
      <w:suppressAutoHyphens w:val="0"/>
      <w:spacing w:line="252" w:lineRule="auto"/>
    </w:pPr>
    <w:rPr>
      <w:rFonts w:ascii="Calibri" w:eastAsia="Calibri" w:hAnsi="Calibri"/>
      <w:sz w:val="22"/>
      <w:szCs w:val="22"/>
      <w:lang w:val="es-CR" w:eastAsia="en-US"/>
    </w:rPr>
  </w:style>
  <w:style w:type="paragraph" w:customStyle="1" w:styleId="Direccinsobre3">
    <w:name w:val="Dirección sobre3"/>
    <w:basedOn w:val="Normal"/>
    <w:next w:val="Normal"/>
    <w:uiPriority w:val="99"/>
    <w:qFormat/>
    <w:rsid w:val="00B15F7D"/>
    <w:pPr>
      <w:framePr w:w="7920" w:h="1980" w:hSpace="141" w:wrap="auto" w:hAnchor="page" w:xAlign="center" w:yAlign="bottom"/>
      <w:suppressAutoHyphens w:val="0"/>
      <w:ind w:left="2880"/>
    </w:pPr>
    <w:rPr>
      <w:rFonts w:ascii="Cambria" w:hAnsi="Cambria"/>
      <w:lang w:val="es-CR" w:eastAsia="en-US"/>
    </w:rPr>
  </w:style>
  <w:style w:type="paragraph" w:customStyle="1" w:styleId="Textoconsangra3">
    <w:name w:val="Texto con sangría3"/>
    <w:basedOn w:val="Normal"/>
    <w:next w:val="Normal"/>
    <w:uiPriority w:val="99"/>
    <w:qFormat/>
    <w:rsid w:val="00B15F7D"/>
    <w:pPr>
      <w:suppressAutoHyphens w:val="0"/>
      <w:spacing w:line="252" w:lineRule="auto"/>
      <w:ind w:left="220" w:hanging="220"/>
    </w:pPr>
    <w:rPr>
      <w:rFonts w:ascii="Calibri" w:eastAsia="Calibri" w:hAnsi="Calibri"/>
      <w:sz w:val="22"/>
      <w:szCs w:val="22"/>
      <w:lang w:val="es-CR" w:eastAsia="en-US"/>
    </w:rPr>
  </w:style>
  <w:style w:type="character" w:customStyle="1" w:styleId="TextomacroCar2">
    <w:name w:val="Texto macro Car2"/>
    <w:basedOn w:val="Fuentedeprrafopredeter"/>
    <w:link w:val="Textomacro3"/>
    <w:uiPriority w:val="99"/>
    <w:locked/>
    <w:rsid w:val="00B15F7D"/>
    <w:rPr>
      <w:rFonts w:ascii="Consolas" w:eastAsia="Calibri" w:hAnsi="Consolas" w:cs="Consolas"/>
    </w:rPr>
  </w:style>
  <w:style w:type="paragraph" w:customStyle="1" w:styleId="Textomacro3">
    <w:name w:val="Texto macro3"/>
    <w:next w:val="Normal"/>
    <w:link w:val="TextomacroCar2"/>
    <w:uiPriority w:val="99"/>
    <w:qFormat/>
    <w:rsid w:val="00B15F7D"/>
    <w:pPr>
      <w:tabs>
        <w:tab w:val="left" w:pos="480"/>
        <w:tab w:val="left" w:pos="960"/>
        <w:tab w:val="left" w:pos="1440"/>
        <w:tab w:val="left" w:pos="1920"/>
        <w:tab w:val="left" w:pos="2400"/>
        <w:tab w:val="left" w:pos="2880"/>
        <w:tab w:val="left" w:pos="3360"/>
        <w:tab w:val="left" w:pos="3840"/>
        <w:tab w:val="left" w:pos="4320"/>
      </w:tabs>
      <w:spacing w:after="0" w:line="252" w:lineRule="auto"/>
    </w:pPr>
    <w:rPr>
      <w:rFonts w:ascii="Consolas" w:eastAsia="Calibri" w:hAnsi="Consolas" w:cs="Consolas"/>
    </w:rPr>
  </w:style>
  <w:style w:type="paragraph" w:customStyle="1" w:styleId="Encabezadodelista3">
    <w:name w:val="Encabezado de lista3"/>
    <w:basedOn w:val="Normal"/>
    <w:next w:val="Normal"/>
    <w:uiPriority w:val="99"/>
    <w:qFormat/>
    <w:rsid w:val="00B15F7D"/>
    <w:pPr>
      <w:suppressAutoHyphens w:val="0"/>
      <w:spacing w:before="120" w:after="160" w:line="252" w:lineRule="auto"/>
    </w:pPr>
    <w:rPr>
      <w:rFonts w:ascii="Cambria" w:hAnsi="Cambria"/>
      <w:b/>
      <w:bCs/>
      <w:lang w:val="es-CR" w:eastAsia="en-US"/>
    </w:rPr>
  </w:style>
  <w:style w:type="paragraph" w:customStyle="1" w:styleId="Lista43">
    <w:name w:val="Lista 43"/>
    <w:basedOn w:val="Normal"/>
    <w:next w:val="Normal"/>
    <w:uiPriority w:val="99"/>
    <w:qFormat/>
    <w:rsid w:val="00B15F7D"/>
    <w:pPr>
      <w:suppressAutoHyphens w:val="0"/>
      <w:spacing w:after="160" w:line="252" w:lineRule="auto"/>
      <w:ind w:left="1132" w:hanging="283"/>
      <w:contextualSpacing/>
    </w:pPr>
    <w:rPr>
      <w:rFonts w:ascii="Calibri" w:eastAsia="Calibri" w:hAnsi="Calibri"/>
      <w:sz w:val="22"/>
      <w:szCs w:val="22"/>
      <w:lang w:val="es-CR" w:eastAsia="en-US"/>
    </w:rPr>
  </w:style>
  <w:style w:type="paragraph" w:customStyle="1" w:styleId="Lista53">
    <w:name w:val="Lista 53"/>
    <w:basedOn w:val="Normal"/>
    <w:next w:val="Normal"/>
    <w:uiPriority w:val="99"/>
    <w:qFormat/>
    <w:rsid w:val="00B15F7D"/>
    <w:pPr>
      <w:suppressAutoHyphens w:val="0"/>
      <w:spacing w:after="160" w:line="252" w:lineRule="auto"/>
      <w:ind w:left="1415" w:hanging="283"/>
      <w:contextualSpacing/>
    </w:pPr>
    <w:rPr>
      <w:rFonts w:ascii="Calibri" w:eastAsia="Calibri" w:hAnsi="Calibri"/>
      <w:sz w:val="22"/>
      <w:szCs w:val="22"/>
      <w:lang w:val="es-CR" w:eastAsia="en-US"/>
    </w:rPr>
  </w:style>
  <w:style w:type="paragraph" w:customStyle="1" w:styleId="Listaconvietas53">
    <w:name w:val="Lista con viñetas 53"/>
    <w:basedOn w:val="Normal"/>
    <w:next w:val="Normal"/>
    <w:uiPriority w:val="99"/>
    <w:qFormat/>
    <w:rsid w:val="00B15F7D"/>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nmeros24">
    <w:name w:val="Lista con números 24"/>
    <w:basedOn w:val="Normal"/>
    <w:next w:val="Normal"/>
    <w:uiPriority w:val="99"/>
    <w:qFormat/>
    <w:rsid w:val="00B15F7D"/>
    <w:pPr>
      <w:numPr>
        <w:numId w:val="26"/>
      </w:numPr>
      <w:tabs>
        <w:tab w:val="num" w:pos="0"/>
      </w:tabs>
      <w:suppressAutoHyphens w:val="0"/>
      <w:spacing w:after="160" w:line="252" w:lineRule="auto"/>
      <w:ind w:left="1068" w:hanging="360"/>
      <w:contextualSpacing/>
    </w:pPr>
    <w:rPr>
      <w:rFonts w:ascii="Calibri" w:eastAsia="Calibri" w:hAnsi="Calibri"/>
      <w:sz w:val="22"/>
      <w:szCs w:val="22"/>
      <w:lang w:val="es-CR" w:eastAsia="en-US"/>
    </w:rPr>
  </w:style>
  <w:style w:type="paragraph" w:customStyle="1" w:styleId="Listaconnmeros33">
    <w:name w:val="Lista con números 33"/>
    <w:basedOn w:val="Normal"/>
    <w:next w:val="Normal"/>
    <w:uiPriority w:val="99"/>
    <w:qFormat/>
    <w:rsid w:val="00B15F7D"/>
    <w:pPr>
      <w:numPr>
        <w:numId w:val="27"/>
      </w:numPr>
      <w:suppressAutoHyphens w:val="0"/>
      <w:spacing w:after="160" w:line="252" w:lineRule="auto"/>
      <w:contextualSpacing/>
    </w:pPr>
    <w:rPr>
      <w:rFonts w:ascii="Calibri" w:eastAsia="Calibri" w:hAnsi="Calibri"/>
      <w:sz w:val="22"/>
      <w:szCs w:val="22"/>
      <w:lang w:val="es-CR" w:eastAsia="en-US"/>
    </w:rPr>
  </w:style>
  <w:style w:type="paragraph" w:customStyle="1" w:styleId="Listaconnmeros43">
    <w:name w:val="Lista con números 43"/>
    <w:basedOn w:val="Normal"/>
    <w:next w:val="Normal"/>
    <w:uiPriority w:val="99"/>
    <w:qFormat/>
    <w:rsid w:val="00B15F7D"/>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nmeros53">
    <w:name w:val="Lista con números 53"/>
    <w:basedOn w:val="Normal"/>
    <w:next w:val="Normal"/>
    <w:uiPriority w:val="99"/>
    <w:qFormat/>
    <w:rsid w:val="00B15F7D"/>
    <w:pPr>
      <w:numPr>
        <w:numId w:val="28"/>
      </w:numPr>
      <w:suppressAutoHyphens w:val="0"/>
      <w:spacing w:after="160" w:line="252" w:lineRule="auto"/>
      <w:ind w:left="1080"/>
      <w:contextualSpacing/>
    </w:pPr>
    <w:rPr>
      <w:rFonts w:ascii="Calibri" w:eastAsia="Calibri" w:hAnsi="Calibri"/>
      <w:sz w:val="22"/>
      <w:szCs w:val="22"/>
      <w:lang w:val="es-CR" w:eastAsia="en-US"/>
    </w:rPr>
  </w:style>
  <w:style w:type="paragraph" w:customStyle="1" w:styleId="Continuarlista33">
    <w:name w:val="Continuar lista 33"/>
    <w:basedOn w:val="Normal"/>
    <w:next w:val="Normal"/>
    <w:uiPriority w:val="99"/>
    <w:qFormat/>
    <w:rsid w:val="00B15F7D"/>
    <w:pPr>
      <w:suppressAutoHyphens w:val="0"/>
      <w:spacing w:after="120" w:line="252" w:lineRule="auto"/>
      <w:ind w:left="849"/>
      <w:contextualSpacing/>
    </w:pPr>
    <w:rPr>
      <w:rFonts w:ascii="Calibri" w:eastAsia="Calibri" w:hAnsi="Calibri"/>
      <w:sz w:val="22"/>
      <w:szCs w:val="22"/>
      <w:lang w:val="es-CR" w:eastAsia="en-US"/>
    </w:rPr>
  </w:style>
  <w:style w:type="paragraph" w:customStyle="1" w:styleId="Continuarlista43">
    <w:name w:val="Continuar lista 43"/>
    <w:basedOn w:val="Normal"/>
    <w:next w:val="Normal"/>
    <w:uiPriority w:val="99"/>
    <w:qFormat/>
    <w:rsid w:val="00B15F7D"/>
    <w:pPr>
      <w:suppressAutoHyphens w:val="0"/>
      <w:spacing w:after="120" w:line="252" w:lineRule="auto"/>
      <w:ind w:left="1132"/>
      <w:contextualSpacing/>
    </w:pPr>
    <w:rPr>
      <w:rFonts w:ascii="Calibri" w:eastAsia="Calibri" w:hAnsi="Calibri"/>
      <w:sz w:val="22"/>
      <w:szCs w:val="22"/>
      <w:lang w:val="es-CR" w:eastAsia="en-US"/>
    </w:rPr>
  </w:style>
  <w:style w:type="paragraph" w:customStyle="1" w:styleId="Continuarlista53">
    <w:name w:val="Continuar lista 53"/>
    <w:basedOn w:val="Normal"/>
    <w:next w:val="Normal"/>
    <w:uiPriority w:val="99"/>
    <w:qFormat/>
    <w:rsid w:val="00B15F7D"/>
    <w:pPr>
      <w:suppressAutoHyphens w:val="0"/>
      <w:spacing w:after="120" w:line="252" w:lineRule="auto"/>
      <w:ind w:left="1415"/>
      <w:contextualSpacing/>
    </w:pPr>
    <w:rPr>
      <w:rFonts w:ascii="Calibri" w:eastAsia="Calibri" w:hAnsi="Calibri"/>
      <w:sz w:val="22"/>
      <w:szCs w:val="22"/>
      <w:lang w:val="es-CR" w:eastAsia="en-US"/>
    </w:rPr>
  </w:style>
  <w:style w:type="character" w:customStyle="1" w:styleId="EncabezadodemensajeCar2">
    <w:name w:val="Encabezado de mensaje Car2"/>
    <w:basedOn w:val="Fuentedeprrafopredeter"/>
    <w:link w:val="Encabezadodemensaje5"/>
    <w:uiPriority w:val="99"/>
    <w:locked/>
    <w:rsid w:val="00B15F7D"/>
    <w:rPr>
      <w:rFonts w:ascii="Cambria" w:hAnsi="Cambria"/>
      <w:sz w:val="24"/>
      <w:szCs w:val="24"/>
      <w:shd w:val="pct20" w:color="auto" w:fill="auto"/>
    </w:rPr>
  </w:style>
  <w:style w:type="paragraph" w:customStyle="1" w:styleId="Encabezadodemensaje5">
    <w:name w:val="Encabezado de mensaje5"/>
    <w:basedOn w:val="Normal"/>
    <w:next w:val="Normal"/>
    <w:link w:val="EncabezadodemensajeCar2"/>
    <w:uiPriority w:val="99"/>
    <w:qFormat/>
    <w:rsid w:val="00B15F7D"/>
    <w:pPr>
      <w:pBdr>
        <w:top w:val="single" w:sz="6" w:space="1" w:color="auto"/>
        <w:left w:val="single" w:sz="6" w:space="1" w:color="auto"/>
        <w:bottom w:val="single" w:sz="6" w:space="1" w:color="auto"/>
        <w:right w:val="single" w:sz="6" w:space="1" w:color="auto"/>
      </w:pBdr>
      <w:shd w:val="pct20" w:color="auto" w:fill="auto"/>
      <w:suppressAutoHyphens w:val="0"/>
      <w:ind w:left="1134" w:hanging="1134"/>
    </w:pPr>
    <w:rPr>
      <w:rFonts w:ascii="Cambria" w:eastAsiaTheme="minorHAnsi" w:hAnsi="Cambria" w:cstheme="minorBidi"/>
      <w:lang w:val="es-CR" w:eastAsia="en-US"/>
    </w:rPr>
  </w:style>
  <w:style w:type="character" w:customStyle="1" w:styleId="EncabezadodenotaCar2">
    <w:name w:val="Encabezado de nota Car2"/>
    <w:basedOn w:val="Fuentedeprrafopredeter"/>
    <w:link w:val="Encabezadodenota3"/>
    <w:uiPriority w:val="99"/>
    <w:locked/>
    <w:rsid w:val="00B15F7D"/>
    <w:rPr>
      <w:rFonts w:ascii="Calibri" w:eastAsia="Calibri" w:hAnsi="Calibri" w:cs="Calibri"/>
    </w:rPr>
  </w:style>
  <w:style w:type="paragraph" w:customStyle="1" w:styleId="Encabezadodenota3">
    <w:name w:val="Encabezado de nota3"/>
    <w:basedOn w:val="Normal"/>
    <w:next w:val="Normal"/>
    <w:link w:val="EncabezadodenotaCar2"/>
    <w:uiPriority w:val="99"/>
    <w:qFormat/>
    <w:rsid w:val="00B15F7D"/>
    <w:pPr>
      <w:suppressAutoHyphens w:val="0"/>
    </w:pPr>
    <w:rPr>
      <w:rFonts w:ascii="Calibri" w:eastAsia="Calibri" w:hAnsi="Calibri" w:cs="Calibri"/>
      <w:sz w:val="22"/>
      <w:szCs w:val="22"/>
      <w:lang w:val="es-CR" w:eastAsia="en-US"/>
    </w:rPr>
  </w:style>
  <w:style w:type="character" w:customStyle="1" w:styleId="FirmadecorreoelectrnicoCar4">
    <w:name w:val="Firma de correo electrónico Car4"/>
    <w:basedOn w:val="Fuentedeprrafopredeter"/>
    <w:link w:val="Firmadecorreoelectrnico3"/>
    <w:uiPriority w:val="99"/>
    <w:locked/>
    <w:rsid w:val="00B15F7D"/>
    <w:rPr>
      <w:rFonts w:ascii="Calibri" w:eastAsia="Calibri" w:hAnsi="Calibri" w:cs="Calibri"/>
    </w:rPr>
  </w:style>
  <w:style w:type="paragraph" w:customStyle="1" w:styleId="Firmadecorreoelectrnico3">
    <w:name w:val="Firma de correo electrónico3"/>
    <w:basedOn w:val="Normal"/>
    <w:next w:val="Normal"/>
    <w:link w:val="FirmadecorreoelectrnicoCar4"/>
    <w:uiPriority w:val="99"/>
    <w:qFormat/>
    <w:rsid w:val="00B15F7D"/>
    <w:pPr>
      <w:suppressAutoHyphens w:val="0"/>
    </w:pPr>
    <w:rPr>
      <w:rFonts w:ascii="Calibri" w:eastAsia="Calibri" w:hAnsi="Calibri" w:cs="Calibri"/>
      <w:sz w:val="22"/>
      <w:szCs w:val="22"/>
      <w:lang w:val="es-CR" w:eastAsia="en-US"/>
    </w:rPr>
  </w:style>
  <w:style w:type="character" w:customStyle="1" w:styleId="AsuntodelcomentarioCar3">
    <w:name w:val="Asunto del comentario Car3"/>
    <w:basedOn w:val="TextocomentarioCar"/>
    <w:link w:val="Asuntodelcomentario3"/>
    <w:locked/>
    <w:rsid w:val="00B15F7D"/>
    <w:rPr>
      <w:rFonts w:ascii="Times New Roman" w:eastAsia="Times New Roman" w:hAnsi="Times New Roman" w:cs="Times New Roman"/>
      <w:sz w:val="20"/>
      <w:szCs w:val="20"/>
      <w:lang w:val="es-ES" w:eastAsia="ar-SA"/>
    </w:rPr>
  </w:style>
  <w:style w:type="paragraph" w:customStyle="1" w:styleId="Asuntodelcomentario3">
    <w:name w:val="Asunto del comentario3"/>
    <w:basedOn w:val="Textocomentario"/>
    <w:next w:val="Textocomentario"/>
    <w:link w:val="AsuntodelcomentarioCar3"/>
    <w:qFormat/>
    <w:rsid w:val="00B15F7D"/>
    <w:pPr>
      <w:suppressAutoHyphens w:val="0"/>
      <w:spacing w:after="160"/>
    </w:pPr>
  </w:style>
  <w:style w:type="paragraph" w:customStyle="1" w:styleId="Revisin3">
    <w:name w:val="Revisión3"/>
    <w:next w:val="Normal"/>
    <w:uiPriority w:val="99"/>
    <w:semiHidden/>
    <w:qFormat/>
    <w:rsid w:val="00B15F7D"/>
    <w:pPr>
      <w:spacing w:after="0" w:line="240" w:lineRule="auto"/>
    </w:pPr>
    <w:rPr>
      <w:rFonts w:ascii="Calibri" w:eastAsia="Calibri" w:hAnsi="Calibri" w:cs="Times New Roman"/>
    </w:rPr>
  </w:style>
  <w:style w:type="character" w:customStyle="1" w:styleId="CitaCar3">
    <w:name w:val="Cita Car3"/>
    <w:basedOn w:val="Fuentedeprrafopredeter"/>
    <w:link w:val="Cita3"/>
    <w:locked/>
    <w:rsid w:val="00B15F7D"/>
    <w:rPr>
      <w:rFonts w:ascii="Calibri" w:eastAsia="Calibri" w:hAnsi="Calibri" w:cs="Calibri"/>
      <w:i/>
      <w:iCs/>
      <w:color w:val="404040"/>
    </w:rPr>
  </w:style>
  <w:style w:type="paragraph" w:customStyle="1" w:styleId="Cita3">
    <w:name w:val="Cita3"/>
    <w:basedOn w:val="Normal"/>
    <w:next w:val="Normal"/>
    <w:link w:val="CitaCar3"/>
    <w:qFormat/>
    <w:rsid w:val="00B15F7D"/>
    <w:pPr>
      <w:suppressAutoHyphens w:val="0"/>
      <w:spacing w:before="200" w:after="160" w:line="252" w:lineRule="auto"/>
      <w:ind w:left="864" w:right="864"/>
      <w:jc w:val="center"/>
    </w:pPr>
    <w:rPr>
      <w:rFonts w:ascii="Calibri" w:eastAsia="Calibri" w:hAnsi="Calibri" w:cs="Calibri"/>
      <w:i/>
      <w:iCs/>
      <w:color w:val="404040"/>
      <w:sz w:val="22"/>
      <w:szCs w:val="22"/>
      <w:lang w:val="es-CR" w:eastAsia="en-US"/>
    </w:rPr>
  </w:style>
  <w:style w:type="character" w:customStyle="1" w:styleId="CitadestacadaCar2">
    <w:name w:val="Cita destacada Car2"/>
    <w:basedOn w:val="Fuentedeprrafopredeter"/>
    <w:link w:val="Citadestacada3"/>
    <w:uiPriority w:val="30"/>
    <w:locked/>
    <w:rsid w:val="00B15F7D"/>
    <w:rPr>
      <w:rFonts w:ascii="Calibri" w:eastAsia="Calibri" w:hAnsi="Calibri" w:cs="Calibri"/>
      <w:i/>
      <w:iCs/>
      <w:color w:val="4F81BD"/>
    </w:rPr>
  </w:style>
  <w:style w:type="paragraph" w:customStyle="1" w:styleId="Citadestacada3">
    <w:name w:val="Cita destacada3"/>
    <w:basedOn w:val="Normal"/>
    <w:next w:val="Normal"/>
    <w:link w:val="CitadestacadaCar2"/>
    <w:uiPriority w:val="30"/>
    <w:qFormat/>
    <w:rsid w:val="00B15F7D"/>
    <w:pPr>
      <w:pBdr>
        <w:top w:val="single" w:sz="4" w:space="10" w:color="4F81BD"/>
        <w:bottom w:val="single" w:sz="4" w:space="10" w:color="4F81BD"/>
      </w:pBdr>
      <w:suppressAutoHyphens w:val="0"/>
      <w:spacing w:before="360" w:after="360" w:line="252" w:lineRule="auto"/>
      <w:ind w:left="864" w:right="864"/>
      <w:jc w:val="center"/>
    </w:pPr>
    <w:rPr>
      <w:rFonts w:ascii="Calibri" w:eastAsia="Calibri" w:hAnsi="Calibri" w:cs="Calibri"/>
      <w:i/>
      <w:iCs/>
      <w:color w:val="4F81BD"/>
      <w:sz w:val="22"/>
      <w:szCs w:val="22"/>
      <w:lang w:val="es-CR" w:eastAsia="en-US"/>
    </w:rPr>
  </w:style>
  <w:style w:type="paragraph" w:customStyle="1" w:styleId="Ttulo516">
    <w:name w:val="Título 516"/>
    <w:next w:val="Normal"/>
    <w:uiPriority w:val="99"/>
    <w:qFormat/>
    <w:rsid w:val="00B15F7D"/>
    <w:pPr>
      <w:keepNext/>
      <w:widowControl w:val="0"/>
      <w:shd w:val="clear" w:color="auto" w:fill="FFFFFF"/>
      <w:tabs>
        <w:tab w:val="left" w:pos="0"/>
      </w:tabs>
      <w:suppressAutoHyphens/>
      <w:spacing w:after="0" w:line="240" w:lineRule="auto"/>
      <w:jc w:val="center"/>
    </w:pPr>
    <w:rPr>
      <w:rFonts w:ascii="Times New Roman" w:eastAsia="Lucida Sans Unicode" w:hAnsi="Times New Roman" w:cs="Times New Roman"/>
      <w:b/>
      <w:bCs/>
      <w:i/>
      <w:iCs/>
      <w:sz w:val="26"/>
      <w:szCs w:val="26"/>
      <w:u w:val="single"/>
      <w:lang w:val="es-ES" w:eastAsia="ar-SA"/>
    </w:rPr>
  </w:style>
  <w:style w:type="character" w:styleId="Refdecomentario">
    <w:name w:val="annotation reference"/>
    <w:basedOn w:val="Fuentedeprrafopredeter"/>
    <w:unhideWhenUsed/>
    <w:qFormat/>
    <w:rsid w:val="00B15F7D"/>
    <w:rPr>
      <w:rFonts w:ascii="Times New Roman" w:hAnsi="Times New Roman" w:cs="Times New Roman" w:hint="default"/>
    </w:rPr>
  </w:style>
  <w:style w:type="character" w:styleId="Textodelmarcadordeposicin">
    <w:name w:val="Placeholder Text"/>
    <w:basedOn w:val="Fuentedeprrafopredeter"/>
    <w:uiPriority w:val="99"/>
    <w:rsid w:val="00B15F7D"/>
    <w:rPr>
      <w:rFonts w:ascii="SimSun" w:eastAsia="SimSun" w:hAnsi="SimSun" w:hint="eastAsia"/>
      <w:color w:val="808080"/>
      <w:lang w:eastAsia="zh-CN"/>
    </w:rPr>
  </w:style>
  <w:style w:type="character" w:styleId="nfasissutil">
    <w:name w:val="Subtle Emphasis"/>
    <w:basedOn w:val="Fuentedeprrafopredeter"/>
    <w:uiPriority w:val="19"/>
    <w:qFormat/>
    <w:rsid w:val="00B15F7D"/>
    <w:rPr>
      <w:i/>
      <w:iCs/>
    </w:rPr>
  </w:style>
  <w:style w:type="character" w:styleId="nfasisintenso">
    <w:name w:val="Intense Emphasis"/>
    <w:basedOn w:val="Fuentedeprrafopredeter"/>
    <w:uiPriority w:val="21"/>
    <w:qFormat/>
    <w:rsid w:val="00B15F7D"/>
    <w:rPr>
      <w:b/>
      <w:bCs/>
      <w:i/>
      <w:iCs/>
    </w:rPr>
  </w:style>
  <w:style w:type="character" w:styleId="Referenciasutil">
    <w:name w:val="Subtle Reference"/>
    <w:basedOn w:val="Fuentedeprrafopredeter"/>
    <w:uiPriority w:val="31"/>
    <w:qFormat/>
    <w:rsid w:val="00B15F7D"/>
    <w:rPr>
      <w:smallCaps/>
      <w:color w:val="595959"/>
    </w:rPr>
  </w:style>
  <w:style w:type="character" w:styleId="Referenciaintensa">
    <w:name w:val="Intense Reference"/>
    <w:basedOn w:val="Fuentedeprrafopredeter"/>
    <w:uiPriority w:val="32"/>
    <w:qFormat/>
    <w:rsid w:val="00B15F7D"/>
    <w:rPr>
      <w:b/>
      <w:bCs/>
      <w:smallCaps/>
      <w:color w:val="70AD47"/>
    </w:rPr>
  </w:style>
  <w:style w:type="character" w:styleId="Ttulodellibro">
    <w:name w:val="Book Title"/>
    <w:aliases w:val="Título del Corte"/>
    <w:basedOn w:val="Fuentedeprrafopredeter"/>
    <w:uiPriority w:val="33"/>
    <w:qFormat/>
    <w:rsid w:val="00B15F7D"/>
    <w:rPr>
      <w:rFonts w:ascii="Times New Roman" w:hAnsi="Times New Roman" w:cs="Times New Roman" w:hint="default"/>
      <w:b/>
      <w:bCs/>
      <w:caps w:val="0"/>
      <w:smallCaps/>
      <w:spacing w:val="7"/>
      <w:sz w:val="32"/>
      <w:u w:val="single"/>
    </w:rPr>
  </w:style>
  <w:style w:type="character" w:customStyle="1" w:styleId="app-page-detaildocumentanyCharacter">
    <w:name w:val="app-page-detail_document_any Character"/>
    <w:qFormat/>
    <w:rsid w:val="00B15F7D"/>
    <w:rPr>
      <w:rFonts w:ascii="Arial" w:eastAsia="Times New Roman" w:hAnsi="Arial" w:cs="Arial" w:hint="default"/>
      <w:color w:val="000000"/>
      <w:sz w:val="21"/>
      <w:szCs w:val="21"/>
      <w:bdr w:val="none" w:sz="0" w:space="0" w:color="auto" w:frame="1"/>
    </w:rPr>
  </w:style>
  <w:style w:type="character" w:customStyle="1" w:styleId="Hipervnculo1">
    <w:name w:val="Hipervínculo1"/>
    <w:basedOn w:val="Fuentedeprrafopredeter"/>
    <w:uiPriority w:val="99"/>
    <w:rsid w:val="00B15F7D"/>
    <w:rPr>
      <w:color w:val="0563C1"/>
      <w:u w:val="single"/>
    </w:rPr>
  </w:style>
  <w:style w:type="character" w:customStyle="1" w:styleId="PiedepginaCar1">
    <w:name w:val="Pie de página Car1"/>
    <w:basedOn w:val="Fuentedeprrafopredeter"/>
    <w:uiPriority w:val="99"/>
    <w:qFormat/>
    <w:rsid w:val="00B15F7D"/>
  </w:style>
  <w:style w:type="character" w:customStyle="1" w:styleId="Ttulo3Car1">
    <w:name w:val="Título 3 Car1"/>
    <w:aliases w:val="Subtítulos de Hallazgo Car1,Graficos Car1,otros Car1,SUBTÍTULO CORTE Car1,SUBTITULO CORTE Car1,MATÍAS Car1,heading 3 Car1"/>
    <w:basedOn w:val="Fuentedeprrafopredeter"/>
    <w:rsid w:val="00B15F7D"/>
    <w:rPr>
      <w:rFonts w:ascii="Arial" w:hAnsi="Arial" w:cs="Arial" w:hint="default"/>
      <w:b/>
      <w:bCs/>
      <w:color w:val="44546A"/>
    </w:rPr>
  </w:style>
  <w:style w:type="character" w:customStyle="1" w:styleId="EstiloCorreo773">
    <w:name w:val="EstiloCorreo773"/>
    <w:rsid w:val="00B15F7D"/>
    <w:rPr>
      <w:rFonts w:ascii="Arial" w:hAnsi="Arial" w:cs="Arial" w:hint="default"/>
      <w:color w:val="000080"/>
      <w:sz w:val="20"/>
      <w:szCs w:val="20"/>
    </w:rPr>
  </w:style>
  <w:style w:type="character" w:customStyle="1" w:styleId="TtuloCar4">
    <w:name w:val="Título Car4"/>
    <w:aliases w:val="Puesto Car2,artículo Car2"/>
    <w:basedOn w:val="Fuentedeprrafopredeter"/>
    <w:locked/>
    <w:rsid w:val="00B15F7D"/>
    <w:rPr>
      <w:rFonts w:ascii="Arial" w:hAnsi="Arial" w:cs="Arial" w:hint="default"/>
      <w:b/>
      <w:bCs/>
      <w:sz w:val="28"/>
      <w:szCs w:val="28"/>
      <w:lang w:val="es-ES" w:eastAsia="es-ES"/>
    </w:rPr>
  </w:style>
  <w:style w:type="character" w:customStyle="1" w:styleId="CdigoHTML1">
    <w:name w:val="Código HTML1"/>
    <w:basedOn w:val="Fuentedeprrafopredeter"/>
    <w:uiPriority w:val="99"/>
    <w:rsid w:val="00B15F7D"/>
    <w:rPr>
      <w:rFonts w:ascii="Courier New" w:eastAsia="Calibri" w:hAnsi="Courier New" w:cs="Courier New" w:hint="default"/>
      <w:sz w:val="20"/>
      <w:szCs w:val="20"/>
    </w:rPr>
  </w:style>
  <w:style w:type="character" w:customStyle="1" w:styleId="TecladoHTML1">
    <w:name w:val="Teclado HTML1"/>
    <w:basedOn w:val="Fuentedeprrafopredeter"/>
    <w:uiPriority w:val="99"/>
    <w:rsid w:val="00B15F7D"/>
    <w:rPr>
      <w:rFonts w:ascii="Courier New" w:eastAsia="Calibri" w:hAnsi="Courier New" w:cs="Courier New" w:hint="default"/>
      <w:sz w:val="20"/>
      <w:szCs w:val="20"/>
    </w:rPr>
  </w:style>
  <w:style w:type="character" w:customStyle="1" w:styleId="EjemplodeHTML1">
    <w:name w:val="Ejemplo de HTML1"/>
    <w:basedOn w:val="Fuentedeprrafopredeter"/>
    <w:uiPriority w:val="99"/>
    <w:rsid w:val="00B15F7D"/>
    <w:rPr>
      <w:rFonts w:ascii="Courier New" w:eastAsia="Calibri" w:hAnsi="Courier New" w:cs="Courier New" w:hint="default"/>
    </w:rPr>
  </w:style>
  <w:style w:type="character" w:customStyle="1" w:styleId="MquinadeescribirHTML1">
    <w:name w:val="Máquina de escribir HTML1"/>
    <w:basedOn w:val="Fuentedeprrafopredeter"/>
    <w:uiPriority w:val="99"/>
    <w:rsid w:val="00B15F7D"/>
    <w:rPr>
      <w:rFonts w:ascii="Courier New" w:eastAsia="Calibri" w:hAnsi="Courier New" w:cs="Courier New" w:hint="default"/>
      <w:sz w:val="20"/>
      <w:szCs w:val="20"/>
    </w:rPr>
  </w:style>
  <w:style w:type="character" w:customStyle="1" w:styleId="estilocorreo1305">
    <w:name w:val="estilocorreo1305"/>
    <w:basedOn w:val="Fuentedeprrafopredeter"/>
    <w:rsid w:val="00B15F7D"/>
    <w:rPr>
      <w:rFonts w:ascii="Calibri" w:hAnsi="Calibri" w:cs="Calibri" w:hint="default"/>
      <w:color w:val="auto"/>
    </w:rPr>
  </w:style>
  <w:style w:type="character" w:customStyle="1" w:styleId="SubttuloCar1">
    <w:name w:val="Subtítulo Car1"/>
    <w:aliases w:val="Cuadros Car1"/>
    <w:basedOn w:val="Fuentedeprrafopredeter"/>
    <w:rsid w:val="00B15F7D"/>
    <w:rPr>
      <w:rFonts w:ascii="Times New Roman" w:hAnsi="Times New Roman" w:cs="Times New Roman" w:hint="default"/>
      <w:color w:val="5A5A5A"/>
      <w:spacing w:val="15"/>
      <w:lang w:eastAsia="ar-SA"/>
    </w:rPr>
  </w:style>
  <w:style w:type="character" w:customStyle="1" w:styleId="Smbolodenotaalpie">
    <w:name w:val="Símbolo de nota al pie"/>
    <w:basedOn w:val="Fuentedeprrafopredeter"/>
    <w:rsid w:val="00B15F7D"/>
    <w:rPr>
      <w:rFonts w:ascii="Times New Roman" w:hAnsi="Times New Roman" w:cs="Times New Roman" w:hint="default"/>
      <w:vertAlign w:val="superscript"/>
    </w:rPr>
  </w:style>
  <w:style w:type="character" w:customStyle="1" w:styleId="EstiloCorreo48">
    <w:name w:val="EstiloCorreo48"/>
    <w:basedOn w:val="Fuentedeprrafopredeter"/>
    <w:rsid w:val="00B15F7D"/>
    <w:rPr>
      <w:rFonts w:ascii="Arial" w:hAnsi="Arial" w:cs="Arial" w:hint="default"/>
      <w:color w:val="000080"/>
    </w:rPr>
  </w:style>
  <w:style w:type="character" w:customStyle="1" w:styleId="SangradetextonormalCar1">
    <w:name w:val="Sangría de texto normal Car1"/>
    <w:basedOn w:val="Fuentedeprrafopredeter"/>
    <w:uiPriority w:val="99"/>
    <w:rsid w:val="00B15F7D"/>
    <w:rPr>
      <w:rFonts w:ascii="Arial" w:hAnsi="Arial" w:cs="Arial" w:hint="default"/>
      <w:lang w:eastAsia="es-ES"/>
    </w:rPr>
  </w:style>
  <w:style w:type="character" w:customStyle="1" w:styleId="EstiloCorreo772">
    <w:name w:val="EstiloCorreo772"/>
    <w:basedOn w:val="Fuentedeprrafopredeter"/>
    <w:rsid w:val="00B15F7D"/>
    <w:rPr>
      <w:rFonts w:ascii="Arial" w:hAnsi="Arial" w:cs="Arial" w:hint="default"/>
      <w:color w:val="000080"/>
    </w:rPr>
  </w:style>
  <w:style w:type="character" w:customStyle="1" w:styleId="HeaderChar">
    <w:name w:val="Header Char"/>
    <w:aliases w:val="encabezado Char,h Char"/>
    <w:basedOn w:val="Fuentedeprrafopredeter"/>
    <w:rsid w:val="00B15F7D"/>
    <w:rPr>
      <w:rFonts w:ascii="Arial" w:hAnsi="Arial" w:cs="Arial" w:hint="default"/>
    </w:rPr>
  </w:style>
  <w:style w:type="character" w:customStyle="1" w:styleId="EstiloCorreo344">
    <w:name w:val="EstiloCorreo344"/>
    <w:basedOn w:val="Fuentedeprrafopredeter"/>
    <w:rsid w:val="00B15F7D"/>
    <w:rPr>
      <w:rFonts w:ascii="Arial" w:hAnsi="Arial" w:cs="Arial" w:hint="default"/>
      <w:color w:val="auto"/>
    </w:rPr>
  </w:style>
  <w:style w:type="character" w:customStyle="1" w:styleId="EstiloCorreo109">
    <w:name w:val="EstiloCorreo109"/>
    <w:basedOn w:val="Fuentedeprrafopredeter"/>
    <w:uiPriority w:val="99"/>
    <w:rsid w:val="00B15F7D"/>
    <w:rPr>
      <w:rFonts w:ascii="Arial" w:hAnsi="Arial" w:cs="Arial" w:hint="default"/>
      <w:color w:val="auto"/>
    </w:rPr>
  </w:style>
  <w:style w:type="character" w:customStyle="1" w:styleId="CharacterStyle3">
    <w:name w:val="Character Style 3"/>
    <w:basedOn w:val="Fuentedeprrafopredeter"/>
    <w:rsid w:val="00B15F7D"/>
    <w:rPr>
      <w:rFonts w:ascii="Verdana" w:hAnsi="Verdana" w:hint="default"/>
      <w:i/>
      <w:iCs/>
    </w:rPr>
  </w:style>
  <w:style w:type="character" w:customStyle="1" w:styleId="CharacterStyle2">
    <w:name w:val="Character Style 2"/>
    <w:basedOn w:val="Fuentedeprrafopredeter"/>
    <w:rsid w:val="00B15F7D"/>
  </w:style>
  <w:style w:type="character" w:customStyle="1" w:styleId="CharacterStyle1">
    <w:name w:val="Character Style 1"/>
    <w:basedOn w:val="Fuentedeprrafopredeter"/>
    <w:rsid w:val="00B15F7D"/>
    <w:rPr>
      <w:rFonts w:ascii="Arial" w:hAnsi="Arial" w:cs="Arial" w:hint="default"/>
    </w:rPr>
  </w:style>
  <w:style w:type="character" w:customStyle="1" w:styleId="CharacterStyle6">
    <w:name w:val="Character Style 6"/>
    <w:basedOn w:val="Fuentedeprrafopredeter"/>
    <w:uiPriority w:val="99"/>
    <w:rsid w:val="00B15F7D"/>
    <w:rPr>
      <w:b/>
      <w:bCs/>
      <w:u w:val="single"/>
    </w:rPr>
  </w:style>
  <w:style w:type="character" w:customStyle="1" w:styleId="CharacterStyle5">
    <w:name w:val="Character Style 5"/>
    <w:basedOn w:val="Fuentedeprrafopredeter"/>
    <w:rsid w:val="00B15F7D"/>
    <w:rPr>
      <w:b/>
      <w:bCs/>
    </w:rPr>
  </w:style>
  <w:style w:type="character" w:customStyle="1" w:styleId="CharacterStyle4">
    <w:name w:val="Character Style 4"/>
    <w:basedOn w:val="Fuentedeprrafopredeter"/>
    <w:rsid w:val="00B15F7D"/>
    <w:rPr>
      <w:i/>
      <w:iCs/>
    </w:rPr>
  </w:style>
  <w:style w:type="character" w:customStyle="1" w:styleId="EstiloCorreo1096">
    <w:name w:val="EstiloCorreo1096"/>
    <w:basedOn w:val="Fuentedeprrafopredeter"/>
    <w:rsid w:val="00B15F7D"/>
    <w:rPr>
      <w:rFonts w:ascii="Arial" w:hAnsi="Arial" w:cs="Arial" w:hint="default"/>
      <w:color w:val="auto"/>
    </w:rPr>
  </w:style>
  <w:style w:type="character" w:customStyle="1" w:styleId="EstiloCorreo1091">
    <w:name w:val="EstiloCorreo1091"/>
    <w:basedOn w:val="Fuentedeprrafopredeter"/>
    <w:uiPriority w:val="99"/>
    <w:rsid w:val="00B15F7D"/>
    <w:rPr>
      <w:rFonts w:ascii="Arial" w:hAnsi="Arial" w:cs="Arial" w:hint="default"/>
      <w:color w:val="auto"/>
    </w:rPr>
  </w:style>
  <w:style w:type="character" w:customStyle="1" w:styleId="EstiloCorreo1095">
    <w:name w:val="EstiloCorreo1095"/>
    <w:basedOn w:val="Fuentedeprrafopredeter"/>
    <w:rsid w:val="00B15F7D"/>
    <w:rPr>
      <w:rFonts w:ascii="Arial" w:hAnsi="Arial" w:cs="Arial" w:hint="default"/>
      <w:color w:val="auto"/>
    </w:rPr>
  </w:style>
  <w:style w:type="character" w:customStyle="1" w:styleId="Heading1Char">
    <w:name w:val="Heading 1 Char"/>
    <w:aliases w:val="Título Principal Char,CAPITULO 1 Char"/>
    <w:basedOn w:val="Fuentedeprrafopredeter"/>
    <w:rsid w:val="00B15F7D"/>
    <w:rPr>
      <w:rFonts w:ascii="Calibri Light" w:hAnsi="Calibri Light" w:cs="Calibri Light" w:hint="default"/>
      <w:color w:val="2F5496"/>
    </w:rPr>
  </w:style>
  <w:style w:type="character" w:customStyle="1" w:styleId="Heading2Char">
    <w:name w:val="Heading 2 Char"/>
    <w:aliases w:val="H2 Char,Títulos de Hallazgo e Introducción Char,CAPITULO 2 Char,H21 Char,Heading 2 Char2 Char Char,Heading 2 Char Char1 Char Char,Headin Char"/>
    <w:basedOn w:val="Fuentedeprrafopredeter"/>
    <w:qFormat/>
    <w:rsid w:val="00B15F7D"/>
    <w:rPr>
      <w:rFonts w:ascii="Calibri Light" w:hAnsi="Calibri Light" w:cs="Calibri Light" w:hint="default"/>
      <w:color w:val="2F5496"/>
    </w:rPr>
  </w:style>
  <w:style w:type="character" w:customStyle="1" w:styleId="Ttulo3Car2">
    <w:name w:val="Título 3 Car2"/>
    <w:aliases w:val="Subtítulos de Hallazgo Car2"/>
    <w:basedOn w:val="Fuentedeprrafopredeter"/>
    <w:uiPriority w:val="99"/>
    <w:rsid w:val="00B15F7D"/>
    <w:rPr>
      <w:rFonts w:ascii="Tahoma" w:hAnsi="Tahoma" w:cs="Tahoma" w:hint="default"/>
      <w:b/>
      <w:bCs/>
      <w:lang w:eastAsia="es-ES"/>
    </w:rPr>
  </w:style>
  <w:style w:type="character" w:customStyle="1" w:styleId="SangradetextonormalCar3">
    <w:name w:val="Sangría de texto normal Car3"/>
    <w:basedOn w:val="Fuentedeprrafopredeter"/>
    <w:uiPriority w:val="99"/>
    <w:rsid w:val="00B15F7D"/>
    <w:rPr>
      <w:rFonts w:ascii="Times New Roman" w:hAnsi="Times New Roman" w:cs="Times New Roman" w:hint="default"/>
      <w:lang w:eastAsia="en-US"/>
    </w:rPr>
  </w:style>
  <w:style w:type="character" w:customStyle="1" w:styleId="FooterChar">
    <w:name w:val="Footer Char"/>
    <w:basedOn w:val="Fuentedeprrafopredeter"/>
    <w:uiPriority w:val="99"/>
    <w:rsid w:val="00B15F7D"/>
    <w:rPr>
      <w:rFonts w:ascii="Times New Roman" w:hAnsi="Times New Roman" w:cs="Times New Roman" w:hint="default"/>
    </w:rPr>
  </w:style>
  <w:style w:type="character" w:customStyle="1" w:styleId="CommentTextChar">
    <w:name w:val="Comment Text Char"/>
    <w:basedOn w:val="Fuentedeprrafopredeter"/>
    <w:uiPriority w:val="99"/>
    <w:rsid w:val="00B15F7D"/>
  </w:style>
  <w:style w:type="character" w:customStyle="1" w:styleId="TextodegloboCar2">
    <w:name w:val="Texto de globo Car2"/>
    <w:basedOn w:val="Fuentedeprrafopredeter"/>
    <w:uiPriority w:val="99"/>
    <w:rsid w:val="00B15F7D"/>
    <w:rPr>
      <w:rFonts w:ascii="Tahoma" w:hAnsi="Tahoma" w:cs="Tahoma" w:hint="default"/>
      <w:lang w:eastAsia="es-ES"/>
    </w:rPr>
  </w:style>
  <w:style w:type="character" w:customStyle="1" w:styleId="EstiloCorreo1094">
    <w:name w:val="EstiloCorreo1094"/>
    <w:basedOn w:val="Fuentedeprrafopredeter"/>
    <w:uiPriority w:val="99"/>
    <w:rsid w:val="00B15F7D"/>
    <w:rPr>
      <w:rFonts w:ascii="Arial" w:hAnsi="Arial" w:cs="Arial" w:hint="default"/>
      <w:color w:val="auto"/>
    </w:rPr>
  </w:style>
  <w:style w:type="character" w:customStyle="1" w:styleId="WW8Num1z8">
    <w:name w:val="WW8Num1z8"/>
    <w:basedOn w:val="Fuentedeprrafopredeter"/>
    <w:qFormat/>
    <w:rsid w:val="00B15F7D"/>
  </w:style>
  <w:style w:type="character" w:customStyle="1" w:styleId="EstiloCorreo1093">
    <w:name w:val="EstiloCorreo1093"/>
    <w:basedOn w:val="Fuentedeprrafopredeter"/>
    <w:uiPriority w:val="99"/>
    <w:rsid w:val="00B15F7D"/>
    <w:rPr>
      <w:rFonts w:ascii="Arial" w:hAnsi="Arial" w:cs="Arial" w:hint="default"/>
      <w:color w:val="auto"/>
    </w:rPr>
  </w:style>
  <w:style w:type="character" w:customStyle="1" w:styleId="EstiloCorreo1092">
    <w:name w:val="EstiloCorreo1092"/>
    <w:basedOn w:val="Fuentedeprrafopredeter"/>
    <w:uiPriority w:val="99"/>
    <w:rsid w:val="00B15F7D"/>
    <w:rPr>
      <w:rFonts w:ascii="Arial" w:hAnsi="Arial" w:cs="Arial" w:hint="default"/>
      <w:color w:val="auto"/>
    </w:rPr>
  </w:style>
  <w:style w:type="character" w:customStyle="1" w:styleId="EstiloCorreo1521">
    <w:name w:val="EstiloCorreo1521"/>
    <w:basedOn w:val="Fuentedeprrafopredeter"/>
    <w:uiPriority w:val="99"/>
    <w:rsid w:val="00B15F7D"/>
    <w:rPr>
      <w:rFonts w:ascii="Arial" w:hAnsi="Arial" w:cs="Arial" w:hint="default"/>
      <w:color w:val="auto"/>
    </w:rPr>
  </w:style>
  <w:style w:type="character" w:customStyle="1" w:styleId="WW-Absatz-Standardschriftart1">
    <w:name w:val="WW-Absatz-Standardschriftart1"/>
    <w:basedOn w:val="Fuentedeprrafopredeter"/>
    <w:qFormat/>
    <w:rsid w:val="00B15F7D"/>
  </w:style>
  <w:style w:type="character" w:customStyle="1" w:styleId="WW-Absatz-Standardschriftart11">
    <w:name w:val="WW-Absatz-Standardschriftart11"/>
    <w:basedOn w:val="Fuentedeprrafopredeter"/>
    <w:rsid w:val="00B15F7D"/>
  </w:style>
  <w:style w:type="character" w:customStyle="1" w:styleId="WW-Absatz-Standardschriftart111">
    <w:name w:val="WW-Absatz-Standardschriftart111"/>
    <w:basedOn w:val="Fuentedeprrafopredeter"/>
    <w:rsid w:val="00B15F7D"/>
  </w:style>
  <w:style w:type="character" w:customStyle="1" w:styleId="WW-Absatz-Standardschriftart1111">
    <w:name w:val="WW-Absatz-Standardschriftart1111"/>
    <w:basedOn w:val="Fuentedeprrafopredeter"/>
    <w:rsid w:val="00B15F7D"/>
  </w:style>
  <w:style w:type="character" w:customStyle="1" w:styleId="WW-Absatz-Standardschriftart11111">
    <w:name w:val="WW-Absatz-Standardschriftart11111"/>
    <w:basedOn w:val="Fuentedeprrafopredeter"/>
    <w:rsid w:val="00B15F7D"/>
  </w:style>
  <w:style w:type="character" w:customStyle="1" w:styleId="Textoindependiente2Car1">
    <w:name w:val="Texto independiente 2 Car1"/>
    <w:basedOn w:val="Fuentedeprrafopredeter"/>
    <w:uiPriority w:val="99"/>
    <w:rsid w:val="00B15F7D"/>
    <w:rPr>
      <w:rFonts w:ascii="Times New Roman" w:hAnsi="Times New Roman" w:cs="Times New Roman" w:hint="default"/>
      <w:lang w:eastAsia="es-CR"/>
    </w:rPr>
  </w:style>
  <w:style w:type="character" w:customStyle="1" w:styleId="Textoindependiente3Car1">
    <w:name w:val="Texto independiente 3 Car1"/>
    <w:basedOn w:val="Fuentedeprrafopredeter"/>
    <w:uiPriority w:val="99"/>
    <w:rsid w:val="00B15F7D"/>
    <w:rPr>
      <w:lang w:eastAsia="ar-SA"/>
    </w:rPr>
  </w:style>
  <w:style w:type="character" w:customStyle="1" w:styleId="Sangra3detindependienteCar1">
    <w:name w:val="Sangría 3 de t. independiente Car1"/>
    <w:basedOn w:val="Fuentedeprrafopredeter"/>
    <w:uiPriority w:val="99"/>
    <w:rsid w:val="00B15F7D"/>
    <w:rPr>
      <w:lang w:eastAsia="ar-SA"/>
    </w:rPr>
  </w:style>
  <w:style w:type="character" w:customStyle="1" w:styleId="FootnoteTextChar1">
    <w:name w:val="Footnote Text Char1"/>
    <w:aliases w:val="Texto Char1,nota Char1,pie Char1,Ref. Char1,al Char1,Footnote Text Char2 Char,Footnote Text Char1 Char1 Char,Footnote Text Char1 Char Char Char Char,Footnote Text Char Char Char Char Char Char"/>
    <w:basedOn w:val="Fuentedeprrafopredeter"/>
    <w:uiPriority w:val="99"/>
    <w:rsid w:val="00B15F7D"/>
    <w:rPr>
      <w:rFonts w:ascii="Times New Roman" w:hAnsi="Times New Roman" w:cs="Times New Roman" w:hint="default"/>
      <w:lang w:eastAsia="zh-CN"/>
    </w:rPr>
  </w:style>
  <w:style w:type="character" w:customStyle="1" w:styleId="HeaderChar1">
    <w:name w:val="Header Char1"/>
    <w:aliases w:val="encabezado Char1,h Char1"/>
    <w:basedOn w:val="Fuentedeprrafopredeter"/>
    <w:uiPriority w:val="99"/>
    <w:rsid w:val="00B15F7D"/>
    <w:rPr>
      <w:rFonts w:ascii="Times New Roman" w:hAnsi="Times New Roman" w:cs="Times New Roman" w:hint="default"/>
      <w:lang w:eastAsia="en-US"/>
    </w:rPr>
  </w:style>
  <w:style w:type="character" w:customStyle="1" w:styleId="EstiloCorreo731">
    <w:name w:val="EstiloCorreo731"/>
    <w:basedOn w:val="Fuentedeprrafopredeter"/>
    <w:uiPriority w:val="99"/>
    <w:rsid w:val="00B15F7D"/>
    <w:rPr>
      <w:rFonts w:ascii="Calibri" w:hAnsi="Calibri" w:cs="Calibri" w:hint="default"/>
      <w:color w:val="auto"/>
    </w:rPr>
  </w:style>
  <w:style w:type="character" w:customStyle="1" w:styleId="nwtovh">
    <w:name w:val="nwt ovh"/>
    <w:basedOn w:val="Fuentedeprrafopredeter"/>
    <w:rsid w:val="00B15F7D"/>
    <w:rPr>
      <w:rFonts w:ascii="Times New Roman" w:hAnsi="Times New Roman" w:cs="Times New Roman" w:hint="default"/>
    </w:rPr>
  </w:style>
  <w:style w:type="character" w:customStyle="1" w:styleId="estilocorreo82">
    <w:name w:val="estilocorreo82"/>
    <w:basedOn w:val="Fuentedeprrafopredeter"/>
    <w:rsid w:val="00B15F7D"/>
    <w:rPr>
      <w:color w:val="000000"/>
    </w:rPr>
  </w:style>
  <w:style w:type="character" w:customStyle="1" w:styleId="SangradetextonormalCar2">
    <w:name w:val="Sangría de texto normal Car2"/>
    <w:basedOn w:val="Fuentedeprrafopredeter"/>
    <w:rsid w:val="00B15F7D"/>
    <w:rPr>
      <w:lang w:eastAsia="en-US"/>
    </w:rPr>
  </w:style>
  <w:style w:type="character" w:customStyle="1" w:styleId="Refdenotaalpie3">
    <w:name w:val="Ref. de nota al pie3"/>
    <w:basedOn w:val="Fuentedeprrafopredeter"/>
    <w:rsid w:val="00B15F7D"/>
    <w:rPr>
      <w:vertAlign w:val="superscript"/>
    </w:rPr>
  </w:style>
  <w:style w:type="character" w:customStyle="1" w:styleId="SangradetextonormalCar4">
    <w:name w:val="Sangría de texto normal Car4"/>
    <w:basedOn w:val="Fuentedeprrafopredeter"/>
    <w:uiPriority w:val="99"/>
    <w:rsid w:val="00B15F7D"/>
    <w:rPr>
      <w:lang w:eastAsia="en-US"/>
    </w:rPr>
  </w:style>
  <w:style w:type="character" w:customStyle="1" w:styleId="HTMLconformatoprevioCar1">
    <w:name w:val="HTML con formato previo Car1"/>
    <w:basedOn w:val="Fuentedeprrafopredeter"/>
    <w:uiPriority w:val="99"/>
    <w:rsid w:val="00B15F7D"/>
    <w:rPr>
      <w:rFonts w:ascii="Courier New" w:hAnsi="Courier New" w:cs="Courier New" w:hint="default"/>
      <w:lang w:eastAsia="en-US"/>
    </w:rPr>
  </w:style>
  <w:style w:type="character" w:customStyle="1" w:styleId="HTMLPreformattedChar">
    <w:name w:val="HTML Preformatted Char"/>
    <w:basedOn w:val="Fuentedeprrafopredeter"/>
    <w:uiPriority w:val="99"/>
    <w:rsid w:val="00B15F7D"/>
    <w:rPr>
      <w:rFonts w:ascii="Courier New" w:hAnsi="Courier New" w:cs="Courier New" w:hint="default"/>
    </w:rPr>
  </w:style>
  <w:style w:type="character" w:customStyle="1" w:styleId="CierreCar1">
    <w:name w:val="Cierre Car1"/>
    <w:basedOn w:val="Fuentedeprrafopredeter"/>
    <w:uiPriority w:val="99"/>
    <w:rsid w:val="00B15F7D"/>
    <w:rPr>
      <w:lang w:eastAsia="en-US"/>
    </w:rPr>
  </w:style>
  <w:style w:type="character" w:customStyle="1" w:styleId="ClosingChar1">
    <w:name w:val="Closing Char1"/>
    <w:basedOn w:val="Fuentedeprrafopredeter"/>
    <w:uiPriority w:val="99"/>
    <w:rsid w:val="00B15F7D"/>
    <w:rPr>
      <w:lang w:eastAsia="en-US"/>
    </w:rPr>
  </w:style>
  <w:style w:type="character" w:customStyle="1" w:styleId="SalutationChar1">
    <w:name w:val="Salutation Char1"/>
    <w:basedOn w:val="Fuentedeprrafopredeter"/>
    <w:uiPriority w:val="99"/>
    <w:rsid w:val="00B15F7D"/>
    <w:rPr>
      <w:lang w:eastAsia="en-US"/>
    </w:rPr>
  </w:style>
  <w:style w:type="character" w:customStyle="1" w:styleId="FechaCar1">
    <w:name w:val="Fecha Car1"/>
    <w:basedOn w:val="Fuentedeprrafopredeter"/>
    <w:uiPriority w:val="99"/>
    <w:rsid w:val="00B15F7D"/>
    <w:rPr>
      <w:lang w:eastAsia="en-US"/>
    </w:rPr>
  </w:style>
  <w:style w:type="character" w:customStyle="1" w:styleId="DateChar1">
    <w:name w:val="Date Char1"/>
    <w:basedOn w:val="Fuentedeprrafopredeter"/>
    <w:uiPriority w:val="99"/>
    <w:rsid w:val="00B15F7D"/>
    <w:rPr>
      <w:lang w:eastAsia="en-US"/>
    </w:rPr>
  </w:style>
  <w:style w:type="character" w:customStyle="1" w:styleId="hasnegrita1">
    <w:name w:val="has_negrita1"/>
    <w:basedOn w:val="Fuentedeprrafopredeter"/>
    <w:rsid w:val="00B15F7D"/>
    <w:rPr>
      <w:b/>
      <w:bCs/>
    </w:rPr>
  </w:style>
  <w:style w:type="character" w:customStyle="1" w:styleId="CarCar3">
    <w:name w:val="Car Car3"/>
    <w:basedOn w:val="Fuentedeprrafopredeter"/>
    <w:qFormat/>
    <w:rsid w:val="00B15F7D"/>
    <w:rPr>
      <w:lang w:eastAsia="es-ES"/>
    </w:rPr>
  </w:style>
  <w:style w:type="character" w:customStyle="1" w:styleId="WW-Absatz-Standardschriftart111111">
    <w:name w:val="WW-Absatz-Standardschriftart111111"/>
    <w:basedOn w:val="Fuentedeprrafopredeter"/>
    <w:rsid w:val="00B15F7D"/>
  </w:style>
  <w:style w:type="character" w:customStyle="1" w:styleId="WW-Absatz-Standardschriftart1111111">
    <w:name w:val="WW-Absatz-Standardschriftart1111111"/>
    <w:basedOn w:val="Fuentedeprrafopredeter"/>
    <w:rsid w:val="00B15F7D"/>
  </w:style>
  <w:style w:type="character" w:customStyle="1" w:styleId="WW-Absatz-Standardschriftart11111111">
    <w:name w:val="WW-Absatz-Standardschriftart11111111"/>
    <w:basedOn w:val="Fuentedeprrafopredeter"/>
    <w:rsid w:val="00B15F7D"/>
  </w:style>
  <w:style w:type="character" w:customStyle="1" w:styleId="WW-Absatz-Standardschriftart111111111">
    <w:name w:val="WW-Absatz-Standardschriftart111111111"/>
    <w:basedOn w:val="Fuentedeprrafopredeter"/>
    <w:rsid w:val="00B15F7D"/>
  </w:style>
  <w:style w:type="character" w:customStyle="1" w:styleId="WW-Absatz-Standardschriftart1111111111">
    <w:name w:val="WW-Absatz-Standardschriftart1111111111"/>
    <w:basedOn w:val="Fuentedeprrafopredeter"/>
    <w:rsid w:val="00B15F7D"/>
  </w:style>
  <w:style w:type="character" w:customStyle="1" w:styleId="WW-Absatz-Standardschriftart11111111111">
    <w:name w:val="WW-Absatz-Standardschriftart11111111111"/>
    <w:basedOn w:val="Fuentedeprrafopredeter"/>
    <w:rsid w:val="00B15F7D"/>
  </w:style>
  <w:style w:type="character" w:customStyle="1" w:styleId="WW-Absatz-Standardschriftart111111111111">
    <w:name w:val="WW-Absatz-Standardschriftart111111111111"/>
    <w:basedOn w:val="Fuentedeprrafopredeter"/>
    <w:rsid w:val="00B15F7D"/>
  </w:style>
  <w:style w:type="character" w:customStyle="1" w:styleId="WW-Absatz-Standardschriftart1111111111111">
    <w:name w:val="WW-Absatz-Standardschriftart1111111111111"/>
    <w:basedOn w:val="Fuentedeprrafopredeter"/>
    <w:rsid w:val="00B15F7D"/>
  </w:style>
  <w:style w:type="character" w:customStyle="1" w:styleId="WW-Absatz-Standardschriftart11111111111111">
    <w:name w:val="WW-Absatz-Standardschriftart11111111111111"/>
    <w:basedOn w:val="Fuentedeprrafopredeter"/>
    <w:rsid w:val="00B15F7D"/>
  </w:style>
  <w:style w:type="character" w:customStyle="1" w:styleId="WW-Absatz-Standardschriftart111111111111111">
    <w:name w:val="WW-Absatz-Standardschriftart111111111111111"/>
    <w:basedOn w:val="Fuentedeprrafopredeter"/>
    <w:rsid w:val="00B15F7D"/>
  </w:style>
  <w:style w:type="character" w:customStyle="1" w:styleId="WW-Absatz-Standardschriftart1111111111111111">
    <w:name w:val="WW-Absatz-Standardschriftart1111111111111111"/>
    <w:basedOn w:val="Fuentedeprrafopredeter"/>
    <w:rsid w:val="00B15F7D"/>
  </w:style>
  <w:style w:type="character" w:customStyle="1" w:styleId="WW-Absatz-Standardschriftart11111111111111111">
    <w:name w:val="WW-Absatz-Standardschriftart11111111111111111"/>
    <w:basedOn w:val="Fuentedeprrafopredeter"/>
    <w:rsid w:val="00B15F7D"/>
  </w:style>
  <w:style w:type="character" w:customStyle="1" w:styleId="WW-Absatz-Standardschriftart111111111111111111">
    <w:name w:val="WW-Absatz-Standardschriftart111111111111111111"/>
    <w:basedOn w:val="Fuentedeprrafopredeter"/>
    <w:rsid w:val="00B15F7D"/>
  </w:style>
  <w:style w:type="character" w:customStyle="1" w:styleId="WW-Absatz-Standardschriftart1111111111111111111">
    <w:name w:val="WW-Absatz-Standardschriftart1111111111111111111"/>
    <w:basedOn w:val="Fuentedeprrafopredeter"/>
    <w:rsid w:val="00B15F7D"/>
  </w:style>
  <w:style w:type="character" w:customStyle="1" w:styleId="WW-Absatz-Standardschriftart11111111111111111111">
    <w:name w:val="WW-Absatz-Standardschriftart11111111111111111111"/>
    <w:basedOn w:val="Fuentedeprrafopredeter"/>
    <w:rsid w:val="00B15F7D"/>
  </w:style>
  <w:style w:type="character" w:customStyle="1" w:styleId="WW-Absatz-Standardschriftart111111111111111111111">
    <w:name w:val="WW-Absatz-Standardschriftart111111111111111111111"/>
    <w:basedOn w:val="Fuentedeprrafopredeter"/>
    <w:rsid w:val="00B15F7D"/>
  </w:style>
  <w:style w:type="character" w:customStyle="1" w:styleId="WW-Absatz-Standardschriftart1111111111111111111111">
    <w:name w:val="WW-Absatz-Standardschriftart1111111111111111111111"/>
    <w:basedOn w:val="Fuentedeprrafopredeter"/>
    <w:rsid w:val="00B15F7D"/>
  </w:style>
  <w:style w:type="character" w:customStyle="1" w:styleId="WW-Absatz-Standardschriftart11111111111111111111111">
    <w:name w:val="WW-Absatz-Standardschriftart11111111111111111111111"/>
    <w:basedOn w:val="Fuentedeprrafopredeter"/>
    <w:rsid w:val="00B15F7D"/>
  </w:style>
  <w:style w:type="character" w:customStyle="1" w:styleId="WW-Absatz-Standardschriftart111111111111111111111111">
    <w:name w:val="WW-Absatz-Standardschriftart111111111111111111111111"/>
    <w:basedOn w:val="Fuentedeprrafopredeter"/>
    <w:rsid w:val="00B15F7D"/>
  </w:style>
  <w:style w:type="character" w:customStyle="1" w:styleId="WW-Absatz-Standardschriftart1111111111111111111111111">
    <w:name w:val="WW-Absatz-Standardschriftart1111111111111111111111111"/>
    <w:basedOn w:val="Fuentedeprrafopredeter"/>
    <w:rsid w:val="00B15F7D"/>
  </w:style>
  <w:style w:type="character" w:customStyle="1" w:styleId="WW-Absatz-Standardschriftart11111111111111111111111111">
    <w:name w:val="WW-Absatz-Standardschriftart11111111111111111111111111"/>
    <w:basedOn w:val="Fuentedeprrafopredeter"/>
    <w:rsid w:val="00B15F7D"/>
  </w:style>
  <w:style w:type="character" w:customStyle="1" w:styleId="WW-Absatz-Standardschriftart111111111111111111111111111">
    <w:name w:val="WW-Absatz-Standardschriftart111111111111111111111111111"/>
    <w:basedOn w:val="Fuentedeprrafopredeter"/>
    <w:rsid w:val="00B15F7D"/>
  </w:style>
  <w:style w:type="character" w:customStyle="1" w:styleId="WW-Absatz-Standardschriftart1111111111111111111111111111">
    <w:name w:val="WW-Absatz-Standardschriftart1111111111111111111111111111"/>
    <w:basedOn w:val="Fuentedeprrafopredeter"/>
    <w:rsid w:val="00B15F7D"/>
  </w:style>
  <w:style w:type="character" w:customStyle="1" w:styleId="WW-Absatz-Standardschriftart11111111111111111111111111111">
    <w:name w:val="WW-Absatz-Standardschriftart11111111111111111111111111111"/>
    <w:basedOn w:val="Fuentedeprrafopredeter"/>
    <w:rsid w:val="00B15F7D"/>
  </w:style>
  <w:style w:type="character" w:customStyle="1" w:styleId="WW-Absatz-Standardschriftart111111111111111111111111111111">
    <w:name w:val="WW-Absatz-Standardschriftart111111111111111111111111111111"/>
    <w:basedOn w:val="Fuentedeprrafopredeter"/>
    <w:rsid w:val="00B15F7D"/>
  </w:style>
  <w:style w:type="character" w:customStyle="1" w:styleId="WW-Absatz-Standardschriftart1111111111111111111111111111111">
    <w:name w:val="WW-Absatz-Standardschriftart1111111111111111111111111111111"/>
    <w:basedOn w:val="Fuentedeprrafopredeter"/>
    <w:rsid w:val="00B15F7D"/>
  </w:style>
  <w:style w:type="character" w:customStyle="1" w:styleId="WW-Absatz-Standardschriftart11111111111111111111111111111111">
    <w:name w:val="WW-Absatz-Standardschriftart11111111111111111111111111111111"/>
    <w:basedOn w:val="Fuentedeprrafopredeter"/>
    <w:rsid w:val="00B15F7D"/>
  </w:style>
  <w:style w:type="character" w:customStyle="1" w:styleId="WW-Absatz-Standardschriftart111111111111111111111111111111111">
    <w:name w:val="WW-Absatz-Standardschriftart111111111111111111111111111111111"/>
    <w:basedOn w:val="Fuentedeprrafopredeter"/>
    <w:rsid w:val="00B15F7D"/>
  </w:style>
  <w:style w:type="character" w:customStyle="1" w:styleId="WW-Absatz-Standardschriftart1111111111111111111111111111111111">
    <w:name w:val="WW-Absatz-Standardschriftart1111111111111111111111111111111111"/>
    <w:basedOn w:val="Fuentedeprrafopredeter"/>
    <w:rsid w:val="00B15F7D"/>
  </w:style>
  <w:style w:type="character" w:customStyle="1" w:styleId="WW-Absatz-Standardschriftart11111111111111111111111111111111111">
    <w:name w:val="WW-Absatz-Standardschriftart11111111111111111111111111111111111"/>
    <w:basedOn w:val="Fuentedeprrafopredeter"/>
    <w:rsid w:val="00B15F7D"/>
  </w:style>
  <w:style w:type="character" w:customStyle="1" w:styleId="WW-Absatz-Standardschriftart111111111111111111111111111111111111">
    <w:name w:val="WW-Absatz-Standardschriftart111111111111111111111111111111111111"/>
    <w:basedOn w:val="Fuentedeprrafopredeter"/>
    <w:rsid w:val="00B15F7D"/>
  </w:style>
  <w:style w:type="character" w:customStyle="1" w:styleId="WW-Absatz-Standardschriftart1111111111111111111111111111111111111">
    <w:name w:val="WW-Absatz-Standardschriftart1111111111111111111111111111111111111"/>
    <w:basedOn w:val="Fuentedeprrafopredeter"/>
    <w:rsid w:val="00B15F7D"/>
  </w:style>
  <w:style w:type="character" w:customStyle="1" w:styleId="WW-Absatz-Standardschriftart11111111111111111111111111111111111111">
    <w:name w:val="WW-Absatz-Standardschriftart11111111111111111111111111111111111111"/>
    <w:basedOn w:val="Fuentedeprrafopredeter"/>
    <w:rsid w:val="00B15F7D"/>
  </w:style>
  <w:style w:type="character" w:customStyle="1" w:styleId="WW-Absatz-Standardschriftart111111111111111111111111111111111111111">
    <w:name w:val="WW-Absatz-Standardschriftart111111111111111111111111111111111111111"/>
    <w:basedOn w:val="Fuentedeprrafopredeter"/>
    <w:rsid w:val="00B15F7D"/>
  </w:style>
  <w:style w:type="character" w:customStyle="1" w:styleId="WW-Absatz-Standardschriftart1111111111111111111111111111111111111111">
    <w:name w:val="WW-Absatz-Standardschriftart1111111111111111111111111111111111111111"/>
    <w:basedOn w:val="Fuentedeprrafopredeter"/>
    <w:rsid w:val="00B15F7D"/>
  </w:style>
  <w:style w:type="character" w:customStyle="1" w:styleId="WW-Absatz-Standardschriftart11111111111111111111111111111111111111111">
    <w:name w:val="WW-Absatz-Standardschriftart11111111111111111111111111111111111111111"/>
    <w:basedOn w:val="Fuentedeprrafopredeter"/>
    <w:rsid w:val="00B15F7D"/>
  </w:style>
  <w:style w:type="character" w:customStyle="1" w:styleId="WW-Absatz-Standardschriftart111111111111111111111111111111111111111111">
    <w:name w:val="WW-Absatz-Standardschriftart111111111111111111111111111111111111111111"/>
    <w:basedOn w:val="Fuentedeprrafopredeter"/>
    <w:rsid w:val="00B15F7D"/>
  </w:style>
  <w:style w:type="character" w:customStyle="1" w:styleId="WW-Absatz-Standardschriftart1111111111111111111111111111111111111111111">
    <w:name w:val="WW-Absatz-Standardschriftart1111111111111111111111111111111111111111111"/>
    <w:basedOn w:val="Fuentedeprrafopredeter"/>
    <w:rsid w:val="00B15F7D"/>
  </w:style>
  <w:style w:type="character" w:customStyle="1" w:styleId="WW-Absatz-Standardschriftart11111111111111111111111111111111111111111111">
    <w:name w:val="WW-Absatz-Standardschriftart11111111111111111111111111111111111111111111"/>
    <w:basedOn w:val="Fuentedeprrafopredeter"/>
    <w:rsid w:val="00B15F7D"/>
  </w:style>
  <w:style w:type="character" w:customStyle="1" w:styleId="WW-Absatz-Standardschriftart111111111111111111111111111111111111111111111">
    <w:name w:val="WW-Absatz-Standardschriftart111111111111111111111111111111111111111111111"/>
    <w:basedOn w:val="Fuentedeprrafopredeter"/>
    <w:rsid w:val="00B15F7D"/>
  </w:style>
  <w:style w:type="character" w:customStyle="1" w:styleId="WW-Absatz-Standardschriftart1111111111111111111111111111111111111111111111">
    <w:name w:val="WW-Absatz-Standardschriftart1111111111111111111111111111111111111111111111"/>
    <w:basedOn w:val="Fuentedeprrafopredeter"/>
    <w:rsid w:val="00B15F7D"/>
  </w:style>
  <w:style w:type="character" w:customStyle="1" w:styleId="WW-Absatz-Standardschriftart11111111111111111111111111111111111111111111111">
    <w:name w:val="WW-Absatz-Standardschriftart11111111111111111111111111111111111111111111111"/>
    <w:basedOn w:val="Fuentedeprrafopredeter"/>
    <w:rsid w:val="00B15F7D"/>
  </w:style>
  <w:style w:type="character" w:customStyle="1" w:styleId="WW-Absatz-Standardschriftart111111111111111111111111111111111111111111111111">
    <w:name w:val="WW-Absatz-Standardschriftart111111111111111111111111111111111111111111111111"/>
    <w:basedOn w:val="Fuentedeprrafopredeter"/>
    <w:rsid w:val="00B15F7D"/>
  </w:style>
  <w:style w:type="character" w:customStyle="1" w:styleId="WW-Absatz-Standardschriftart1111111111111111111111111111111111111111111111111">
    <w:name w:val="WW-Absatz-Standardschriftart1111111111111111111111111111111111111111111111111"/>
    <w:basedOn w:val="Fuentedeprrafopredeter"/>
    <w:rsid w:val="00B15F7D"/>
  </w:style>
  <w:style w:type="character" w:customStyle="1" w:styleId="WW-Absatz-Standardschriftart11111111111111111111111111111111111111111111111111">
    <w:name w:val="WW-Absatz-Standardschriftart11111111111111111111111111111111111111111111111111"/>
    <w:basedOn w:val="Fuentedeprrafopredeter"/>
    <w:rsid w:val="00B15F7D"/>
  </w:style>
  <w:style w:type="character" w:customStyle="1" w:styleId="WW-Absatz-Standardschriftart111111111111111111111111111111111111111111111111111">
    <w:name w:val="WW-Absatz-Standardschriftart111111111111111111111111111111111111111111111111111"/>
    <w:basedOn w:val="Fuentedeprrafopredeter"/>
    <w:rsid w:val="00B15F7D"/>
  </w:style>
  <w:style w:type="character" w:customStyle="1" w:styleId="WW-Absatz-Standardschriftart1111111111111111111111111111111111111111111111111111">
    <w:name w:val="WW-Absatz-Standardschriftart1111111111111111111111111111111111111111111111111111"/>
    <w:basedOn w:val="Fuentedeprrafopredeter"/>
    <w:rsid w:val="00B15F7D"/>
  </w:style>
  <w:style w:type="character" w:customStyle="1" w:styleId="WW-Absatz-Standardschriftart11111111111111111111111111111111111111111111111111111">
    <w:name w:val="WW-Absatz-Standardschriftart11111111111111111111111111111111111111111111111111111"/>
    <w:basedOn w:val="Fuentedeprrafopredeter"/>
    <w:rsid w:val="00B15F7D"/>
  </w:style>
  <w:style w:type="character" w:customStyle="1" w:styleId="WW-Absatz-Standardschriftart111111111111111111111111111111111111111111111111111111">
    <w:name w:val="WW-Absatz-Standardschriftart111111111111111111111111111111111111111111111111111111"/>
    <w:basedOn w:val="Fuentedeprrafopredeter"/>
    <w:rsid w:val="00B15F7D"/>
  </w:style>
  <w:style w:type="character" w:customStyle="1" w:styleId="WW-Absatz-Standardschriftart1111111111111111111111111111111111111111111111111111111">
    <w:name w:val="WW-Absatz-Standardschriftart1111111111111111111111111111111111111111111111111111111"/>
    <w:basedOn w:val="Fuentedeprrafopredeter"/>
    <w:rsid w:val="00B15F7D"/>
  </w:style>
  <w:style w:type="character" w:customStyle="1" w:styleId="WW-Absatz-Standardschriftart11111111111111111111111111111111111111111111111111111111">
    <w:name w:val="WW-Absatz-Standardschriftart11111111111111111111111111111111111111111111111111111111"/>
    <w:basedOn w:val="Fuentedeprrafopredeter"/>
    <w:rsid w:val="00B15F7D"/>
  </w:style>
  <w:style w:type="character" w:customStyle="1" w:styleId="WW-Absatz-Standardschriftart111111111111111111111111111111111111111111111111111111111">
    <w:name w:val="WW-Absatz-Standardschriftart111111111111111111111111111111111111111111111111111111111"/>
    <w:basedOn w:val="Fuentedeprrafopredeter"/>
    <w:rsid w:val="00B15F7D"/>
  </w:style>
  <w:style w:type="character" w:customStyle="1" w:styleId="WW-Absatz-Standardschriftart1111111111111111111111111111111111111111111111111111111111">
    <w:name w:val="WW-Absatz-Standardschriftart1111111111111111111111111111111111111111111111111111111111"/>
    <w:basedOn w:val="Fuentedeprrafopredeter"/>
    <w:rsid w:val="00B15F7D"/>
  </w:style>
  <w:style w:type="character" w:customStyle="1" w:styleId="WW-Absatz-Standardschriftart11111111111111111111111111111111111111111111111111111111111">
    <w:name w:val="WW-Absatz-Standardschriftart11111111111111111111111111111111111111111111111111111111111"/>
    <w:basedOn w:val="Fuentedeprrafopredeter"/>
    <w:rsid w:val="00B15F7D"/>
  </w:style>
  <w:style w:type="character" w:customStyle="1" w:styleId="WW-Absatz-Standardschriftart111111111111111111111111111111111111111111111111111111111111">
    <w:name w:val="WW-Absatz-Standardschriftart111111111111111111111111111111111111111111111111111111111111"/>
    <w:basedOn w:val="Fuentedeprrafopredeter"/>
    <w:rsid w:val="00B15F7D"/>
  </w:style>
  <w:style w:type="character" w:customStyle="1" w:styleId="WW-Absatz-Standardschriftart1111111111111111111111111111111111111111111111111111111111111">
    <w:name w:val="WW-Absatz-Standardschriftart1111111111111111111111111111111111111111111111111111111111111"/>
    <w:basedOn w:val="Fuentedeprrafopredeter"/>
    <w:rsid w:val="00B15F7D"/>
  </w:style>
  <w:style w:type="character" w:customStyle="1" w:styleId="WW-Absatz-Standardschriftart11111111111111111111111111111111111111111111111111111111111111">
    <w:name w:val="WW-Absatz-Standardschriftart11111111111111111111111111111111111111111111111111111111111111"/>
    <w:basedOn w:val="Fuentedeprrafopredeter"/>
    <w:rsid w:val="00B15F7D"/>
  </w:style>
  <w:style w:type="character" w:customStyle="1" w:styleId="WW-Absatz-Standardschriftart111111111111111111111111111111111111111111111111111111111111111">
    <w:name w:val="WW-Absatz-Standardschriftart111111111111111111111111111111111111111111111111111111111111111"/>
    <w:basedOn w:val="Fuentedeprrafopredeter"/>
    <w:rsid w:val="00B15F7D"/>
  </w:style>
  <w:style w:type="character" w:customStyle="1" w:styleId="WW-Absatz-Standardschriftart1111111111111111111111111111111111111111111111111111111111111111">
    <w:name w:val="WW-Absatz-Standardschriftart1111111111111111111111111111111111111111111111111111111111111111"/>
    <w:basedOn w:val="Fuentedeprrafopredeter"/>
    <w:rsid w:val="00B15F7D"/>
  </w:style>
  <w:style w:type="character" w:customStyle="1" w:styleId="WW-Absatz-Standardschriftart11111111111111111111111111111111111111111111111111111111111111111">
    <w:name w:val="WW-Absatz-Standardschriftart11111111111111111111111111111111111111111111111111111111111111111"/>
    <w:basedOn w:val="Fuentedeprrafopredeter"/>
    <w:rsid w:val="00B15F7D"/>
  </w:style>
  <w:style w:type="character" w:customStyle="1" w:styleId="WW-Absatz-Standardschriftart111111111111111111111111111111111111111111111111111111111111111111">
    <w:name w:val="WW-Absatz-Standardschriftart111111111111111111111111111111111111111111111111111111111111111111"/>
    <w:basedOn w:val="Fuentedeprrafopredeter"/>
    <w:rsid w:val="00B15F7D"/>
  </w:style>
  <w:style w:type="character" w:customStyle="1" w:styleId="WW-Absatz-Standardschriftart1111111111111111111111111111111111111111111111111111111111111111111">
    <w:name w:val="WW-Absatz-Standardschriftart1111111111111111111111111111111111111111111111111111111111111111111"/>
    <w:basedOn w:val="Fuentedeprrafopredeter"/>
    <w:rsid w:val="00B15F7D"/>
  </w:style>
  <w:style w:type="character" w:customStyle="1" w:styleId="WW-Absatz-Standardschriftart11111111111111111111111111111111111111111111111111111111111111111111">
    <w:name w:val="WW-Absatz-Standardschriftart11111111111111111111111111111111111111111111111111111111111111111111"/>
    <w:basedOn w:val="Fuentedeprrafopredeter"/>
    <w:rsid w:val="00B15F7D"/>
  </w:style>
  <w:style w:type="character" w:customStyle="1" w:styleId="WW-Absatz-Standardschriftart111111111111111111111111111111111111111111111111111111111111111111111">
    <w:name w:val="WW-Absatz-Standardschriftart111111111111111111111111111111111111111111111111111111111111111111111"/>
    <w:basedOn w:val="Fuentedeprrafopredeter"/>
    <w:rsid w:val="00B15F7D"/>
  </w:style>
  <w:style w:type="character" w:customStyle="1" w:styleId="WW-Absatz-Standardschriftart1111111111111111111111111111111111111111111111111111111111111111111111">
    <w:name w:val="WW-Absatz-Standardschriftart1111111111111111111111111111111111111111111111111111111111111111111111"/>
    <w:basedOn w:val="Fuentedeprrafopredeter"/>
    <w:rsid w:val="00B15F7D"/>
  </w:style>
  <w:style w:type="character" w:customStyle="1" w:styleId="WW-Absatz-Standardschriftart11111111111111111111111111111111111111111111111111111111111111111111111">
    <w:name w:val="WW-Absatz-Standardschriftart11111111111111111111111111111111111111111111111111111111111111111111111"/>
    <w:basedOn w:val="Fuentedeprrafopredeter"/>
    <w:rsid w:val="00B15F7D"/>
  </w:style>
  <w:style w:type="character" w:customStyle="1" w:styleId="WW-Absatz-Standardschriftart111111111111111111111111111111111111111111111111111111111111111111111111">
    <w:name w:val="WW-Absatz-Standardschriftart111111111111111111111111111111111111111111111111111111111111111111111111"/>
    <w:basedOn w:val="Fuentedeprrafopredeter"/>
    <w:rsid w:val="00B15F7D"/>
  </w:style>
  <w:style w:type="character" w:customStyle="1" w:styleId="WW-Absatz-Standardschriftart1111111111111111111111111111111111111111111111111111111111111111111111111">
    <w:name w:val="WW-Absatz-Standardschriftart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
    <w:name w:val="WW-Absatz-Standardschriftart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
    <w:name w:val="WW-Absatz-Standardschriftart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
    <w:name w:val="WW-Absatz-Standardschriftart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
    <w:name w:val="WW-Absatz-Standardschriftart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
    <w:name w:val="WW-Absatz-Standardschriftart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
    <w:name w:val="WW-Absatz-Standardschriftart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
    <w:name w:val="WW-Absatz-Standardschriftart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
    <w:name w:val="WW-Absatz-Standardschriftart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basedOn w:val="Fuentedeprrafopredeter"/>
    <w:rsid w:val="00B15F7D"/>
  </w:style>
  <w:style w:type="character" w:customStyle="1" w:styleId="Carcterdenumeracin">
    <w:name w:val="Carácter de numeración"/>
    <w:basedOn w:val="Fuentedeprrafopredeter"/>
    <w:rsid w:val="00B15F7D"/>
  </w:style>
  <w:style w:type="character" w:customStyle="1" w:styleId="CarCar17">
    <w:name w:val="Car Car17"/>
    <w:basedOn w:val="Fuentedeprrafopredeter"/>
    <w:rsid w:val="00B15F7D"/>
    <w:rPr>
      <w:lang w:eastAsia="ar-SA"/>
    </w:rPr>
  </w:style>
  <w:style w:type="character" w:customStyle="1" w:styleId="z-FinaldelformularioCar1">
    <w:name w:val="z-Final del formulario Car1"/>
    <w:basedOn w:val="Fuentedeprrafopredeter"/>
    <w:uiPriority w:val="99"/>
    <w:rsid w:val="00B15F7D"/>
    <w:rPr>
      <w:rFonts w:ascii="Arial" w:hAnsi="Arial" w:cs="Arial" w:hint="default"/>
      <w:vanish/>
      <w:webHidden w:val="0"/>
      <w:lang w:eastAsia="en-US"/>
      <w:specVanish/>
    </w:rPr>
  </w:style>
  <w:style w:type="character" w:customStyle="1" w:styleId="z-BottomofFormChar1">
    <w:name w:val="z-Bottom of Form Char1"/>
    <w:basedOn w:val="Fuentedeprrafopredeter"/>
    <w:uiPriority w:val="99"/>
    <w:rsid w:val="00B15F7D"/>
    <w:rPr>
      <w:rFonts w:ascii="Arial" w:hAnsi="Arial" w:cs="Arial" w:hint="default"/>
      <w:vanish/>
      <w:webHidden w:val="0"/>
      <w:lang w:eastAsia="en-US"/>
      <w:specVanish/>
    </w:rPr>
  </w:style>
  <w:style w:type="character" w:customStyle="1" w:styleId="z-PrincipiodelformularioCar1">
    <w:name w:val="z-Principio del formulario Car1"/>
    <w:basedOn w:val="Fuentedeprrafopredeter"/>
    <w:uiPriority w:val="99"/>
    <w:rsid w:val="00B15F7D"/>
    <w:rPr>
      <w:rFonts w:ascii="Arial" w:hAnsi="Arial" w:cs="Arial" w:hint="default"/>
      <w:vanish/>
      <w:webHidden w:val="0"/>
      <w:lang w:eastAsia="en-US"/>
      <w:specVanish/>
    </w:rPr>
  </w:style>
  <w:style w:type="character" w:customStyle="1" w:styleId="z-TopofFormChar1">
    <w:name w:val="z-Top of Form Char1"/>
    <w:basedOn w:val="Fuentedeprrafopredeter"/>
    <w:uiPriority w:val="99"/>
    <w:rsid w:val="00B15F7D"/>
    <w:rPr>
      <w:rFonts w:ascii="Arial" w:hAnsi="Arial" w:cs="Arial" w:hint="default"/>
      <w:vanish/>
      <w:webHidden w:val="0"/>
      <w:lang w:eastAsia="en-US"/>
      <w:specVanish/>
    </w:rPr>
  </w:style>
  <w:style w:type="character" w:customStyle="1" w:styleId="avalverde">
    <w:name w:val="avalverde"/>
    <w:basedOn w:val="Fuentedeprrafopredeter"/>
    <w:uiPriority w:val="99"/>
    <w:rsid w:val="00B15F7D"/>
    <w:rPr>
      <w:color w:val="000000"/>
    </w:rPr>
  </w:style>
  <w:style w:type="character" w:customStyle="1" w:styleId="EstiloCorreo143">
    <w:name w:val="EstiloCorreo143"/>
    <w:basedOn w:val="Fuentedeprrafopredeter"/>
    <w:uiPriority w:val="99"/>
    <w:rsid w:val="00B15F7D"/>
    <w:rPr>
      <w:rFonts w:ascii="Arial" w:hAnsi="Arial" w:cs="Arial" w:hint="default"/>
      <w:color w:val="auto"/>
    </w:rPr>
  </w:style>
  <w:style w:type="character" w:customStyle="1" w:styleId="WW8Num5z0">
    <w:name w:val="WW8Num5z0"/>
    <w:basedOn w:val="Fuentedeprrafopredeter"/>
    <w:qFormat/>
    <w:rsid w:val="00B15F7D"/>
    <w:rPr>
      <w:rFonts w:ascii="Symbol" w:hAnsi="Symbol" w:hint="default"/>
    </w:rPr>
  </w:style>
  <w:style w:type="character" w:customStyle="1" w:styleId="WW8Num6z0">
    <w:name w:val="WW8Num6z0"/>
    <w:basedOn w:val="Fuentedeprrafopredeter"/>
    <w:qFormat/>
    <w:rsid w:val="00B15F7D"/>
    <w:rPr>
      <w:rFonts w:ascii="Symbol" w:hAnsi="Symbol" w:hint="default"/>
    </w:rPr>
  </w:style>
  <w:style w:type="character" w:customStyle="1" w:styleId="WW8Num7z0">
    <w:name w:val="WW8Num7z0"/>
    <w:basedOn w:val="Fuentedeprrafopredeter"/>
    <w:qFormat/>
    <w:rsid w:val="00B15F7D"/>
    <w:rPr>
      <w:rFonts w:ascii="Symbol" w:hAnsi="Symbol" w:hint="default"/>
    </w:rPr>
  </w:style>
  <w:style w:type="character" w:customStyle="1" w:styleId="WW8Num8z0">
    <w:name w:val="WW8Num8z0"/>
    <w:basedOn w:val="Fuentedeprrafopredeter"/>
    <w:qFormat/>
    <w:rsid w:val="00B15F7D"/>
    <w:rPr>
      <w:rFonts w:ascii="Symbol" w:hAnsi="Symbol" w:hint="default"/>
    </w:rPr>
  </w:style>
  <w:style w:type="character" w:customStyle="1" w:styleId="WW8Num10z0">
    <w:name w:val="WW8Num10z0"/>
    <w:basedOn w:val="Fuentedeprrafopredeter"/>
    <w:qFormat/>
    <w:rsid w:val="00B15F7D"/>
    <w:rPr>
      <w:rFonts w:ascii="Symbol" w:hAnsi="Symbol" w:hint="default"/>
    </w:rPr>
  </w:style>
  <w:style w:type="character" w:customStyle="1" w:styleId="WW8Num11z0">
    <w:name w:val="WW8Num11z0"/>
    <w:basedOn w:val="Fuentedeprrafopredeter"/>
    <w:qFormat/>
    <w:rsid w:val="00B15F7D"/>
  </w:style>
  <w:style w:type="character" w:customStyle="1" w:styleId="WW8Num11z1">
    <w:name w:val="WW8Num11z1"/>
    <w:basedOn w:val="Fuentedeprrafopredeter"/>
    <w:qFormat/>
    <w:rsid w:val="00B15F7D"/>
    <w:rPr>
      <w:b/>
      <w:bCs/>
    </w:rPr>
  </w:style>
  <w:style w:type="character" w:customStyle="1" w:styleId="WW8Num13z0">
    <w:name w:val="WW8Num13z0"/>
    <w:basedOn w:val="Fuentedeprrafopredeter"/>
    <w:qFormat/>
    <w:rsid w:val="00B15F7D"/>
    <w:rPr>
      <w:rFonts w:ascii="Times New Roman" w:hAnsi="Times New Roman" w:cs="Times New Roman" w:hint="default"/>
    </w:rPr>
  </w:style>
  <w:style w:type="character" w:customStyle="1" w:styleId="WW8Num13z1">
    <w:name w:val="WW8Num13z1"/>
    <w:basedOn w:val="Fuentedeprrafopredeter"/>
    <w:qFormat/>
    <w:rsid w:val="00B15F7D"/>
    <w:rPr>
      <w:rFonts w:ascii="Courier New" w:hAnsi="Courier New" w:cs="Courier New" w:hint="default"/>
    </w:rPr>
  </w:style>
  <w:style w:type="character" w:customStyle="1" w:styleId="WW8Num13z2">
    <w:name w:val="WW8Num13z2"/>
    <w:basedOn w:val="Fuentedeprrafopredeter"/>
    <w:qFormat/>
    <w:rsid w:val="00B15F7D"/>
    <w:rPr>
      <w:rFonts w:ascii="Wingdings" w:hAnsi="Wingdings" w:hint="default"/>
    </w:rPr>
  </w:style>
  <w:style w:type="character" w:customStyle="1" w:styleId="WW8Num13z3">
    <w:name w:val="WW8Num13z3"/>
    <w:basedOn w:val="Fuentedeprrafopredeter"/>
    <w:qFormat/>
    <w:rsid w:val="00B15F7D"/>
    <w:rPr>
      <w:rFonts w:ascii="Symbol" w:hAnsi="Symbol" w:hint="default"/>
    </w:rPr>
  </w:style>
  <w:style w:type="character" w:customStyle="1" w:styleId="EstiloCorreo519">
    <w:name w:val="EstiloCorreo519"/>
    <w:basedOn w:val="Fuentedeprrafopredeter"/>
    <w:uiPriority w:val="99"/>
    <w:rsid w:val="00B15F7D"/>
    <w:rPr>
      <w:rFonts w:ascii="Arial" w:hAnsi="Arial" w:cs="Arial" w:hint="default"/>
      <w:color w:val="000080"/>
    </w:rPr>
  </w:style>
  <w:style w:type="character" w:customStyle="1" w:styleId="A0">
    <w:name w:val="A0"/>
    <w:basedOn w:val="Fuentedeprrafopredeter"/>
    <w:uiPriority w:val="99"/>
    <w:rsid w:val="00B15F7D"/>
    <w:rPr>
      <w:color w:val="000000"/>
    </w:rPr>
  </w:style>
  <w:style w:type="character" w:customStyle="1" w:styleId="EstiloCorreo146">
    <w:name w:val="EstiloCorreo146"/>
    <w:basedOn w:val="Fuentedeprrafopredeter"/>
    <w:uiPriority w:val="99"/>
    <w:rsid w:val="00B15F7D"/>
    <w:rPr>
      <w:rFonts w:ascii="Arial" w:hAnsi="Arial" w:cs="Arial" w:hint="default"/>
      <w:color w:val="auto"/>
    </w:rPr>
  </w:style>
  <w:style w:type="character" w:customStyle="1" w:styleId="WW8Num1z4">
    <w:name w:val="WW8Num1z4"/>
    <w:basedOn w:val="Fuentedeprrafopredeter"/>
    <w:qFormat/>
    <w:rsid w:val="00B15F7D"/>
  </w:style>
  <w:style w:type="character" w:customStyle="1" w:styleId="WW8Num1z5">
    <w:name w:val="WW8Num1z5"/>
    <w:basedOn w:val="Fuentedeprrafopredeter"/>
    <w:qFormat/>
    <w:rsid w:val="00B15F7D"/>
  </w:style>
  <w:style w:type="character" w:customStyle="1" w:styleId="WW8Num1z6">
    <w:name w:val="WW8Num1z6"/>
    <w:basedOn w:val="Fuentedeprrafopredeter"/>
    <w:qFormat/>
    <w:rsid w:val="00B15F7D"/>
  </w:style>
  <w:style w:type="character" w:customStyle="1" w:styleId="WW8Num1z7">
    <w:name w:val="WW8Num1z7"/>
    <w:basedOn w:val="Fuentedeprrafopredeter"/>
    <w:qFormat/>
    <w:rsid w:val="00B15F7D"/>
  </w:style>
  <w:style w:type="character" w:customStyle="1" w:styleId="WW8Num2z0">
    <w:name w:val="WW8Num2z0"/>
    <w:basedOn w:val="Fuentedeprrafopredeter"/>
    <w:qFormat/>
    <w:rsid w:val="00B15F7D"/>
    <w:rPr>
      <w:rFonts w:ascii="Symbol" w:hAnsi="Symbol" w:hint="default"/>
      <w:lang w:eastAsia="es-CR"/>
    </w:rPr>
  </w:style>
  <w:style w:type="character" w:customStyle="1" w:styleId="WW8Num2z1">
    <w:name w:val="WW8Num2z1"/>
    <w:basedOn w:val="Fuentedeprrafopredeter"/>
    <w:qFormat/>
    <w:rsid w:val="00B15F7D"/>
    <w:rPr>
      <w:rFonts w:ascii="Courier New" w:hAnsi="Courier New" w:cs="Courier New" w:hint="default"/>
    </w:rPr>
  </w:style>
  <w:style w:type="character" w:customStyle="1" w:styleId="WW8Num2z2">
    <w:name w:val="WW8Num2z2"/>
    <w:basedOn w:val="Fuentedeprrafopredeter"/>
    <w:qFormat/>
    <w:rsid w:val="00B15F7D"/>
    <w:rPr>
      <w:rFonts w:ascii="Wingdings" w:hAnsi="Wingdings" w:hint="default"/>
    </w:rPr>
  </w:style>
  <w:style w:type="character" w:customStyle="1" w:styleId="WW8Num3z0">
    <w:name w:val="WW8Num3z0"/>
    <w:basedOn w:val="Fuentedeprrafopredeter"/>
    <w:qFormat/>
    <w:rsid w:val="00B15F7D"/>
    <w:rPr>
      <w:rFonts w:ascii="Symbol" w:hAnsi="Symbol" w:hint="default"/>
      <w:color w:val="auto"/>
    </w:rPr>
  </w:style>
  <w:style w:type="character" w:customStyle="1" w:styleId="WW8Num3z1">
    <w:name w:val="WW8Num3z1"/>
    <w:basedOn w:val="Fuentedeprrafopredeter"/>
    <w:qFormat/>
    <w:rsid w:val="00B15F7D"/>
    <w:rPr>
      <w:rFonts w:ascii="Courier New" w:hAnsi="Courier New" w:cs="Courier New" w:hint="default"/>
    </w:rPr>
  </w:style>
  <w:style w:type="character" w:customStyle="1" w:styleId="WW8Num3z2">
    <w:name w:val="WW8Num3z2"/>
    <w:basedOn w:val="Fuentedeprrafopredeter"/>
    <w:qFormat/>
    <w:rsid w:val="00B15F7D"/>
    <w:rPr>
      <w:rFonts w:ascii="Wingdings" w:hAnsi="Wingdings" w:hint="default"/>
    </w:rPr>
  </w:style>
  <w:style w:type="character" w:customStyle="1" w:styleId="WW8Num4z0">
    <w:name w:val="WW8Num4z0"/>
    <w:basedOn w:val="Fuentedeprrafopredeter"/>
    <w:qFormat/>
    <w:rsid w:val="00B15F7D"/>
    <w:rPr>
      <w:rFonts w:ascii="Symbol" w:hAnsi="Symbol" w:hint="default"/>
      <w:color w:val="auto"/>
      <w:lang w:eastAsia="es-CR"/>
    </w:rPr>
  </w:style>
  <w:style w:type="character" w:customStyle="1" w:styleId="WW8Num4z1">
    <w:name w:val="WW8Num4z1"/>
    <w:basedOn w:val="Fuentedeprrafopredeter"/>
    <w:qFormat/>
    <w:rsid w:val="00B15F7D"/>
    <w:rPr>
      <w:rFonts w:ascii="Courier New" w:hAnsi="Courier New" w:cs="Courier New" w:hint="default"/>
    </w:rPr>
  </w:style>
  <w:style w:type="character" w:customStyle="1" w:styleId="WW8Num4z2">
    <w:name w:val="WW8Num4z2"/>
    <w:basedOn w:val="Fuentedeprrafopredeter"/>
    <w:qFormat/>
    <w:rsid w:val="00B15F7D"/>
    <w:rPr>
      <w:rFonts w:ascii="Wingdings" w:hAnsi="Wingdings" w:hint="default"/>
    </w:rPr>
  </w:style>
  <w:style w:type="character" w:customStyle="1" w:styleId="WW8Num5z2">
    <w:name w:val="WW8Num5z2"/>
    <w:basedOn w:val="Fuentedeprrafopredeter"/>
    <w:qFormat/>
    <w:rsid w:val="00B15F7D"/>
    <w:rPr>
      <w:rFonts w:ascii="Symbol" w:hAnsi="Symbol" w:hint="default"/>
      <w:shd w:val="clear" w:color="auto" w:fill="FFFF00"/>
      <w:lang w:eastAsia="es-CR"/>
    </w:rPr>
  </w:style>
  <w:style w:type="character" w:customStyle="1" w:styleId="WW8Num6z1">
    <w:name w:val="WW8Num6z1"/>
    <w:basedOn w:val="Fuentedeprrafopredeter"/>
    <w:qFormat/>
    <w:rsid w:val="00B15F7D"/>
    <w:rPr>
      <w:rFonts w:ascii="Courier New" w:hAnsi="Courier New" w:cs="Courier New" w:hint="default"/>
    </w:rPr>
  </w:style>
  <w:style w:type="character" w:customStyle="1" w:styleId="WW8Num6z2">
    <w:name w:val="WW8Num6z2"/>
    <w:basedOn w:val="Fuentedeprrafopredeter"/>
    <w:qFormat/>
    <w:rsid w:val="00B15F7D"/>
    <w:rPr>
      <w:rFonts w:ascii="Wingdings" w:hAnsi="Wingdings" w:hint="default"/>
    </w:rPr>
  </w:style>
  <w:style w:type="character" w:customStyle="1" w:styleId="WW8Num7z1">
    <w:name w:val="WW8Num7z1"/>
    <w:basedOn w:val="Fuentedeprrafopredeter"/>
    <w:qFormat/>
    <w:rsid w:val="00B15F7D"/>
    <w:rPr>
      <w:rFonts w:ascii="Courier New" w:hAnsi="Courier New" w:cs="Courier New" w:hint="default"/>
    </w:rPr>
  </w:style>
  <w:style w:type="character" w:customStyle="1" w:styleId="WW8Num7z2">
    <w:name w:val="WW8Num7z2"/>
    <w:basedOn w:val="Fuentedeprrafopredeter"/>
    <w:qFormat/>
    <w:rsid w:val="00B15F7D"/>
    <w:rPr>
      <w:rFonts w:ascii="Wingdings" w:hAnsi="Wingdings" w:hint="default"/>
    </w:rPr>
  </w:style>
  <w:style w:type="character" w:customStyle="1" w:styleId="WW8Num8z2">
    <w:name w:val="WW8Num8z2"/>
    <w:basedOn w:val="Fuentedeprrafopredeter"/>
    <w:qFormat/>
    <w:rsid w:val="00B15F7D"/>
    <w:rPr>
      <w:rFonts w:ascii="Symbol" w:hAnsi="Symbol" w:hint="default"/>
      <w:color w:val="1F4D78"/>
    </w:rPr>
  </w:style>
  <w:style w:type="character" w:customStyle="1" w:styleId="WW8Num9z0">
    <w:name w:val="WW8Num9z0"/>
    <w:basedOn w:val="Fuentedeprrafopredeter"/>
    <w:qFormat/>
    <w:rsid w:val="00B15F7D"/>
    <w:rPr>
      <w:rFonts w:ascii="Arial" w:hAnsi="Arial" w:cs="Arial" w:hint="default"/>
      <w:lang w:eastAsia="es-CR"/>
    </w:rPr>
  </w:style>
  <w:style w:type="character" w:customStyle="1" w:styleId="WW8Num9z1">
    <w:name w:val="WW8Num9z1"/>
    <w:basedOn w:val="Fuentedeprrafopredeter"/>
    <w:qFormat/>
    <w:rsid w:val="00B15F7D"/>
  </w:style>
  <w:style w:type="character" w:customStyle="1" w:styleId="WW8Num9z2">
    <w:name w:val="WW8Num9z2"/>
    <w:basedOn w:val="Fuentedeprrafopredeter"/>
    <w:qFormat/>
    <w:rsid w:val="00B15F7D"/>
  </w:style>
  <w:style w:type="character" w:customStyle="1" w:styleId="WW8Num9z3">
    <w:name w:val="WW8Num9z3"/>
    <w:basedOn w:val="Fuentedeprrafopredeter"/>
    <w:qFormat/>
    <w:rsid w:val="00B15F7D"/>
  </w:style>
  <w:style w:type="character" w:customStyle="1" w:styleId="WW8Num9z4">
    <w:name w:val="WW8Num9z4"/>
    <w:basedOn w:val="Fuentedeprrafopredeter"/>
    <w:qFormat/>
    <w:rsid w:val="00B15F7D"/>
  </w:style>
  <w:style w:type="character" w:customStyle="1" w:styleId="WW8Num9z5">
    <w:name w:val="WW8Num9z5"/>
    <w:basedOn w:val="Fuentedeprrafopredeter"/>
    <w:qFormat/>
    <w:rsid w:val="00B15F7D"/>
  </w:style>
  <w:style w:type="character" w:customStyle="1" w:styleId="WW8Num9z6">
    <w:name w:val="WW8Num9z6"/>
    <w:basedOn w:val="Fuentedeprrafopredeter"/>
    <w:qFormat/>
    <w:rsid w:val="00B15F7D"/>
  </w:style>
  <w:style w:type="character" w:customStyle="1" w:styleId="WW8Num9z7">
    <w:name w:val="WW8Num9z7"/>
    <w:basedOn w:val="Fuentedeprrafopredeter"/>
    <w:qFormat/>
    <w:rsid w:val="00B15F7D"/>
  </w:style>
  <w:style w:type="character" w:customStyle="1" w:styleId="WW8Num9z8">
    <w:name w:val="WW8Num9z8"/>
    <w:basedOn w:val="Fuentedeprrafopredeter"/>
    <w:qFormat/>
    <w:rsid w:val="00B15F7D"/>
  </w:style>
  <w:style w:type="character" w:customStyle="1" w:styleId="WW8Num10z1">
    <w:name w:val="WW8Num10z1"/>
    <w:basedOn w:val="Fuentedeprrafopredeter"/>
    <w:qFormat/>
    <w:rsid w:val="00B15F7D"/>
    <w:rPr>
      <w:rFonts w:ascii="Courier New" w:hAnsi="Courier New" w:cs="Courier New" w:hint="default"/>
    </w:rPr>
  </w:style>
  <w:style w:type="character" w:customStyle="1" w:styleId="WW8Num10z2">
    <w:name w:val="WW8Num10z2"/>
    <w:basedOn w:val="Fuentedeprrafopredeter"/>
    <w:qFormat/>
    <w:rsid w:val="00B15F7D"/>
    <w:rPr>
      <w:rFonts w:ascii="Wingdings" w:hAnsi="Wingdings" w:hint="default"/>
    </w:rPr>
  </w:style>
  <w:style w:type="character" w:customStyle="1" w:styleId="WW8Num11z2">
    <w:name w:val="WW8Num11z2"/>
    <w:basedOn w:val="Fuentedeprrafopredeter"/>
    <w:qFormat/>
    <w:rsid w:val="00B15F7D"/>
  </w:style>
  <w:style w:type="character" w:customStyle="1" w:styleId="WW8Num11z3">
    <w:name w:val="WW8Num11z3"/>
    <w:basedOn w:val="Fuentedeprrafopredeter"/>
    <w:qFormat/>
    <w:rsid w:val="00B15F7D"/>
  </w:style>
  <w:style w:type="character" w:customStyle="1" w:styleId="WW8Num11z4">
    <w:name w:val="WW8Num11z4"/>
    <w:basedOn w:val="Fuentedeprrafopredeter"/>
    <w:qFormat/>
    <w:rsid w:val="00B15F7D"/>
  </w:style>
  <w:style w:type="character" w:customStyle="1" w:styleId="WW8Num11z5">
    <w:name w:val="WW8Num11z5"/>
    <w:basedOn w:val="Fuentedeprrafopredeter"/>
    <w:uiPriority w:val="99"/>
    <w:qFormat/>
    <w:rsid w:val="00B15F7D"/>
  </w:style>
  <w:style w:type="character" w:customStyle="1" w:styleId="WW8Num11z6">
    <w:name w:val="WW8Num11z6"/>
    <w:basedOn w:val="Fuentedeprrafopredeter"/>
    <w:uiPriority w:val="99"/>
    <w:qFormat/>
    <w:rsid w:val="00B15F7D"/>
  </w:style>
  <w:style w:type="character" w:customStyle="1" w:styleId="WW8Num11z7">
    <w:name w:val="WW8Num11z7"/>
    <w:basedOn w:val="Fuentedeprrafopredeter"/>
    <w:uiPriority w:val="99"/>
    <w:qFormat/>
    <w:rsid w:val="00B15F7D"/>
  </w:style>
  <w:style w:type="character" w:customStyle="1" w:styleId="WW8Num11z8">
    <w:name w:val="WW8Num11z8"/>
    <w:basedOn w:val="Fuentedeprrafopredeter"/>
    <w:uiPriority w:val="99"/>
    <w:qFormat/>
    <w:rsid w:val="00B15F7D"/>
  </w:style>
  <w:style w:type="character" w:customStyle="1" w:styleId="WW8Num12z0">
    <w:name w:val="WW8Num12z0"/>
    <w:basedOn w:val="Fuentedeprrafopredeter"/>
    <w:qFormat/>
    <w:rsid w:val="00B15F7D"/>
    <w:rPr>
      <w:rFonts w:ascii="Courier New" w:hAnsi="Courier New" w:cs="Courier New" w:hint="default"/>
    </w:rPr>
  </w:style>
  <w:style w:type="character" w:customStyle="1" w:styleId="WW8Num12z1">
    <w:name w:val="WW8Num12z1"/>
    <w:basedOn w:val="Fuentedeprrafopredeter"/>
    <w:qFormat/>
    <w:rsid w:val="00B15F7D"/>
    <w:rPr>
      <w:rFonts w:ascii="Wingdings" w:hAnsi="Wingdings" w:hint="default"/>
    </w:rPr>
  </w:style>
  <w:style w:type="character" w:customStyle="1" w:styleId="WW8Num12z2">
    <w:name w:val="WW8Num12z2"/>
    <w:basedOn w:val="Fuentedeprrafopredeter"/>
    <w:qFormat/>
    <w:rsid w:val="00B15F7D"/>
    <w:rPr>
      <w:rFonts w:ascii="Symbol" w:hAnsi="Symbol" w:hint="default"/>
    </w:rPr>
  </w:style>
  <w:style w:type="character" w:customStyle="1" w:styleId="WW8Num13z4">
    <w:name w:val="WW8Num13z4"/>
    <w:basedOn w:val="Fuentedeprrafopredeter"/>
    <w:qFormat/>
    <w:rsid w:val="00B15F7D"/>
  </w:style>
  <w:style w:type="character" w:customStyle="1" w:styleId="WW8Num13z5">
    <w:name w:val="WW8Num13z5"/>
    <w:basedOn w:val="Fuentedeprrafopredeter"/>
    <w:qFormat/>
    <w:rsid w:val="00B15F7D"/>
  </w:style>
  <w:style w:type="character" w:customStyle="1" w:styleId="WW8Num13z6">
    <w:name w:val="WW8Num13z6"/>
    <w:basedOn w:val="Fuentedeprrafopredeter"/>
    <w:qFormat/>
    <w:rsid w:val="00B15F7D"/>
  </w:style>
  <w:style w:type="character" w:customStyle="1" w:styleId="WW8Num13z7">
    <w:name w:val="WW8Num13z7"/>
    <w:basedOn w:val="Fuentedeprrafopredeter"/>
    <w:qFormat/>
    <w:rsid w:val="00B15F7D"/>
  </w:style>
  <w:style w:type="character" w:customStyle="1" w:styleId="WW8Num13z8">
    <w:name w:val="WW8Num13z8"/>
    <w:basedOn w:val="Fuentedeprrafopredeter"/>
    <w:qFormat/>
    <w:rsid w:val="00B15F7D"/>
  </w:style>
  <w:style w:type="character" w:customStyle="1" w:styleId="WW8Num14z0">
    <w:name w:val="WW8Num14z0"/>
    <w:basedOn w:val="Fuentedeprrafopredeter"/>
    <w:qFormat/>
    <w:rsid w:val="00B15F7D"/>
    <w:rPr>
      <w:rFonts w:ascii="Arial" w:hAnsi="Arial" w:cs="Arial" w:hint="default"/>
      <w:b/>
      <w:bCs/>
    </w:rPr>
  </w:style>
  <w:style w:type="character" w:customStyle="1" w:styleId="WW8Num14z1">
    <w:name w:val="WW8Num14z1"/>
    <w:basedOn w:val="Fuentedeprrafopredeter"/>
    <w:qFormat/>
    <w:rsid w:val="00B15F7D"/>
  </w:style>
  <w:style w:type="character" w:customStyle="1" w:styleId="WW8Num14z2">
    <w:name w:val="WW8Num14z2"/>
    <w:basedOn w:val="Fuentedeprrafopredeter"/>
    <w:qFormat/>
    <w:rsid w:val="00B15F7D"/>
  </w:style>
  <w:style w:type="character" w:customStyle="1" w:styleId="WW8Num14z3">
    <w:name w:val="WW8Num14z3"/>
    <w:basedOn w:val="Fuentedeprrafopredeter"/>
    <w:qFormat/>
    <w:rsid w:val="00B15F7D"/>
  </w:style>
  <w:style w:type="character" w:customStyle="1" w:styleId="WW8Num14z4">
    <w:name w:val="WW8Num14z4"/>
    <w:basedOn w:val="Fuentedeprrafopredeter"/>
    <w:rsid w:val="00B15F7D"/>
  </w:style>
  <w:style w:type="character" w:customStyle="1" w:styleId="WW8Num14z5">
    <w:name w:val="WW8Num14z5"/>
    <w:basedOn w:val="Fuentedeprrafopredeter"/>
    <w:rsid w:val="00B15F7D"/>
  </w:style>
  <w:style w:type="character" w:customStyle="1" w:styleId="WW8Num14z6">
    <w:name w:val="WW8Num14z6"/>
    <w:basedOn w:val="Fuentedeprrafopredeter"/>
    <w:rsid w:val="00B15F7D"/>
  </w:style>
  <w:style w:type="character" w:customStyle="1" w:styleId="WW8Num14z7">
    <w:name w:val="WW8Num14z7"/>
    <w:basedOn w:val="Fuentedeprrafopredeter"/>
    <w:rsid w:val="00B15F7D"/>
  </w:style>
  <w:style w:type="character" w:customStyle="1" w:styleId="WW8Num14z8">
    <w:name w:val="WW8Num14z8"/>
    <w:basedOn w:val="Fuentedeprrafopredeter"/>
    <w:rsid w:val="00B15F7D"/>
  </w:style>
  <w:style w:type="character" w:customStyle="1" w:styleId="WW8Num15z0">
    <w:name w:val="WW8Num15z0"/>
    <w:basedOn w:val="Fuentedeprrafopredeter"/>
    <w:qFormat/>
    <w:rsid w:val="00B15F7D"/>
    <w:rPr>
      <w:rFonts w:ascii="Symbol" w:hAnsi="Symbol" w:hint="default"/>
      <w:lang w:eastAsia="es-CR"/>
    </w:rPr>
  </w:style>
  <w:style w:type="character" w:customStyle="1" w:styleId="WW8Num15z1">
    <w:name w:val="WW8Num15z1"/>
    <w:basedOn w:val="Fuentedeprrafopredeter"/>
    <w:qFormat/>
    <w:rsid w:val="00B15F7D"/>
    <w:rPr>
      <w:rFonts w:ascii="Courier New" w:hAnsi="Courier New" w:cs="Courier New" w:hint="default"/>
    </w:rPr>
  </w:style>
  <w:style w:type="character" w:customStyle="1" w:styleId="WW8Num15z2">
    <w:name w:val="WW8Num15z2"/>
    <w:basedOn w:val="Fuentedeprrafopredeter"/>
    <w:qFormat/>
    <w:rsid w:val="00B15F7D"/>
    <w:rPr>
      <w:rFonts w:ascii="Wingdings" w:hAnsi="Wingdings" w:hint="default"/>
    </w:rPr>
  </w:style>
  <w:style w:type="character" w:customStyle="1" w:styleId="WW8Num16z0">
    <w:name w:val="WW8Num16z0"/>
    <w:basedOn w:val="Fuentedeprrafopredeter"/>
    <w:qFormat/>
    <w:rsid w:val="00B15F7D"/>
    <w:rPr>
      <w:rFonts w:ascii="Arial" w:hAnsi="Arial" w:cs="Arial" w:hint="default"/>
      <w:lang w:eastAsia="es-CR"/>
    </w:rPr>
  </w:style>
  <w:style w:type="character" w:customStyle="1" w:styleId="WW8Num16z1">
    <w:name w:val="WW8Num16z1"/>
    <w:basedOn w:val="Fuentedeprrafopredeter"/>
    <w:qFormat/>
    <w:rsid w:val="00B15F7D"/>
  </w:style>
  <w:style w:type="character" w:customStyle="1" w:styleId="WW8Num16z2">
    <w:name w:val="WW8Num16z2"/>
    <w:basedOn w:val="Fuentedeprrafopredeter"/>
    <w:qFormat/>
    <w:rsid w:val="00B15F7D"/>
  </w:style>
  <w:style w:type="character" w:customStyle="1" w:styleId="WW8Num16z3">
    <w:name w:val="WW8Num16z3"/>
    <w:basedOn w:val="Fuentedeprrafopredeter"/>
    <w:qFormat/>
    <w:rsid w:val="00B15F7D"/>
  </w:style>
  <w:style w:type="character" w:customStyle="1" w:styleId="WW8Num16z4">
    <w:name w:val="WW8Num16z4"/>
    <w:basedOn w:val="Fuentedeprrafopredeter"/>
    <w:qFormat/>
    <w:rsid w:val="00B15F7D"/>
  </w:style>
  <w:style w:type="character" w:customStyle="1" w:styleId="WW8Num16z5">
    <w:name w:val="WW8Num16z5"/>
    <w:basedOn w:val="Fuentedeprrafopredeter"/>
    <w:qFormat/>
    <w:rsid w:val="00B15F7D"/>
  </w:style>
  <w:style w:type="character" w:customStyle="1" w:styleId="WW8Num16z6">
    <w:name w:val="WW8Num16z6"/>
    <w:basedOn w:val="Fuentedeprrafopredeter"/>
    <w:qFormat/>
    <w:rsid w:val="00B15F7D"/>
  </w:style>
  <w:style w:type="character" w:customStyle="1" w:styleId="WW8Num16z7">
    <w:name w:val="WW8Num16z7"/>
    <w:basedOn w:val="Fuentedeprrafopredeter"/>
    <w:qFormat/>
    <w:rsid w:val="00B15F7D"/>
  </w:style>
  <w:style w:type="character" w:customStyle="1" w:styleId="WW8Num16z8">
    <w:name w:val="WW8Num16z8"/>
    <w:basedOn w:val="Fuentedeprrafopredeter"/>
    <w:qFormat/>
    <w:rsid w:val="00B15F7D"/>
  </w:style>
  <w:style w:type="character" w:customStyle="1" w:styleId="WW8Num17z0">
    <w:name w:val="WW8Num17z0"/>
    <w:basedOn w:val="Fuentedeprrafopredeter"/>
    <w:qFormat/>
    <w:rsid w:val="00B15F7D"/>
    <w:rPr>
      <w:rFonts w:ascii="Symbol" w:hAnsi="Symbol" w:hint="default"/>
      <w:b/>
      <w:bCs/>
      <w:lang w:eastAsia="es-CR"/>
    </w:rPr>
  </w:style>
  <w:style w:type="character" w:customStyle="1" w:styleId="WW8Num17z1">
    <w:name w:val="WW8Num17z1"/>
    <w:basedOn w:val="Fuentedeprrafopredeter"/>
    <w:qFormat/>
    <w:rsid w:val="00B15F7D"/>
    <w:rPr>
      <w:rFonts w:ascii="Courier New" w:hAnsi="Courier New" w:cs="Courier New" w:hint="default"/>
    </w:rPr>
  </w:style>
  <w:style w:type="character" w:customStyle="1" w:styleId="WW8Num17z2">
    <w:name w:val="WW8Num17z2"/>
    <w:basedOn w:val="Fuentedeprrafopredeter"/>
    <w:qFormat/>
    <w:rsid w:val="00B15F7D"/>
    <w:rPr>
      <w:rFonts w:ascii="Wingdings" w:hAnsi="Wingdings" w:hint="default"/>
    </w:rPr>
  </w:style>
  <w:style w:type="character" w:customStyle="1" w:styleId="WW8Num17z3">
    <w:name w:val="WW8Num17z3"/>
    <w:basedOn w:val="Fuentedeprrafopredeter"/>
    <w:rsid w:val="00B15F7D"/>
    <w:rPr>
      <w:rFonts w:ascii="Symbol" w:hAnsi="Symbol" w:hint="default"/>
    </w:rPr>
  </w:style>
  <w:style w:type="character" w:customStyle="1" w:styleId="WW8Num18z0">
    <w:name w:val="WW8Num18z0"/>
    <w:basedOn w:val="Fuentedeprrafopredeter"/>
    <w:qFormat/>
    <w:rsid w:val="00B15F7D"/>
  </w:style>
  <w:style w:type="character" w:customStyle="1" w:styleId="WW8Num18z1">
    <w:name w:val="WW8Num18z1"/>
    <w:basedOn w:val="Fuentedeprrafopredeter"/>
    <w:qFormat/>
    <w:rsid w:val="00B15F7D"/>
  </w:style>
  <w:style w:type="character" w:customStyle="1" w:styleId="WW8Num18z2">
    <w:name w:val="WW8Num18z2"/>
    <w:basedOn w:val="Fuentedeprrafopredeter"/>
    <w:qFormat/>
    <w:rsid w:val="00B15F7D"/>
  </w:style>
  <w:style w:type="character" w:customStyle="1" w:styleId="WW8Num18z3">
    <w:name w:val="WW8Num18z3"/>
    <w:basedOn w:val="Fuentedeprrafopredeter"/>
    <w:rsid w:val="00B15F7D"/>
  </w:style>
  <w:style w:type="character" w:customStyle="1" w:styleId="WW8Num18z4">
    <w:name w:val="WW8Num18z4"/>
    <w:basedOn w:val="Fuentedeprrafopredeter"/>
    <w:uiPriority w:val="99"/>
    <w:rsid w:val="00B15F7D"/>
  </w:style>
  <w:style w:type="character" w:customStyle="1" w:styleId="WW8Num18z5">
    <w:name w:val="WW8Num18z5"/>
    <w:basedOn w:val="Fuentedeprrafopredeter"/>
    <w:uiPriority w:val="99"/>
    <w:rsid w:val="00B15F7D"/>
  </w:style>
  <w:style w:type="character" w:customStyle="1" w:styleId="WW8Num18z6">
    <w:name w:val="WW8Num18z6"/>
    <w:basedOn w:val="Fuentedeprrafopredeter"/>
    <w:uiPriority w:val="99"/>
    <w:rsid w:val="00B15F7D"/>
  </w:style>
  <w:style w:type="character" w:customStyle="1" w:styleId="WW8Num18z7">
    <w:name w:val="WW8Num18z7"/>
    <w:basedOn w:val="Fuentedeprrafopredeter"/>
    <w:uiPriority w:val="99"/>
    <w:rsid w:val="00B15F7D"/>
  </w:style>
  <w:style w:type="character" w:customStyle="1" w:styleId="WW8Num18z8">
    <w:name w:val="WW8Num18z8"/>
    <w:basedOn w:val="Fuentedeprrafopredeter"/>
    <w:uiPriority w:val="99"/>
    <w:rsid w:val="00B15F7D"/>
  </w:style>
  <w:style w:type="character" w:customStyle="1" w:styleId="WW8Num17z4">
    <w:name w:val="WW8Num17z4"/>
    <w:basedOn w:val="Fuentedeprrafopredeter"/>
    <w:rsid w:val="00B15F7D"/>
  </w:style>
  <w:style w:type="character" w:customStyle="1" w:styleId="WW8Num17z5">
    <w:name w:val="WW8Num17z5"/>
    <w:basedOn w:val="Fuentedeprrafopredeter"/>
    <w:rsid w:val="00B15F7D"/>
  </w:style>
  <w:style w:type="character" w:customStyle="1" w:styleId="WW8Num17z6">
    <w:name w:val="WW8Num17z6"/>
    <w:basedOn w:val="Fuentedeprrafopredeter"/>
    <w:rsid w:val="00B15F7D"/>
  </w:style>
  <w:style w:type="character" w:customStyle="1" w:styleId="WW8Num17z7">
    <w:name w:val="WW8Num17z7"/>
    <w:basedOn w:val="Fuentedeprrafopredeter"/>
    <w:rsid w:val="00B15F7D"/>
  </w:style>
  <w:style w:type="character" w:customStyle="1" w:styleId="WW8Num17z8">
    <w:name w:val="WW8Num17z8"/>
    <w:basedOn w:val="Fuentedeprrafopredeter"/>
    <w:rsid w:val="00B15F7D"/>
  </w:style>
  <w:style w:type="character" w:customStyle="1" w:styleId="WW8Num19z0">
    <w:name w:val="WW8Num19z0"/>
    <w:basedOn w:val="Fuentedeprrafopredeter"/>
    <w:qFormat/>
    <w:rsid w:val="00B15F7D"/>
  </w:style>
  <w:style w:type="character" w:customStyle="1" w:styleId="WW8Num19z1">
    <w:name w:val="WW8Num19z1"/>
    <w:basedOn w:val="Fuentedeprrafopredeter"/>
    <w:qFormat/>
    <w:rsid w:val="00B15F7D"/>
  </w:style>
  <w:style w:type="character" w:customStyle="1" w:styleId="WW8Num19z2">
    <w:name w:val="WW8Num19z2"/>
    <w:basedOn w:val="Fuentedeprrafopredeter"/>
    <w:qFormat/>
    <w:rsid w:val="00B15F7D"/>
  </w:style>
  <w:style w:type="character" w:customStyle="1" w:styleId="WW8Num19z3">
    <w:name w:val="WW8Num19z3"/>
    <w:basedOn w:val="Fuentedeprrafopredeter"/>
    <w:rsid w:val="00B15F7D"/>
  </w:style>
  <w:style w:type="character" w:customStyle="1" w:styleId="WW8Num19z4">
    <w:name w:val="WW8Num19z4"/>
    <w:basedOn w:val="Fuentedeprrafopredeter"/>
    <w:rsid w:val="00B15F7D"/>
  </w:style>
  <w:style w:type="character" w:customStyle="1" w:styleId="WW8Num19z5">
    <w:name w:val="WW8Num19z5"/>
    <w:basedOn w:val="Fuentedeprrafopredeter"/>
    <w:uiPriority w:val="99"/>
    <w:rsid w:val="00B15F7D"/>
  </w:style>
  <w:style w:type="character" w:customStyle="1" w:styleId="WW8Num19z6">
    <w:name w:val="WW8Num19z6"/>
    <w:basedOn w:val="Fuentedeprrafopredeter"/>
    <w:uiPriority w:val="99"/>
    <w:rsid w:val="00B15F7D"/>
  </w:style>
  <w:style w:type="character" w:customStyle="1" w:styleId="WW8Num19z7">
    <w:name w:val="WW8Num19z7"/>
    <w:basedOn w:val="Fuentedeprrafopredeter"/>
    <w:uiPriority w:val="99"/>
    <w:rsid w:val="00B15F7D"/>
  </w:style>
  <w:style w:type="character" w:customStyle="1" w:styleId="WW8Num19z8">
    <w:name w:val="WW8Num19z8"/>
    <w:basedOn w:val="Fuentedeprrafopredeter"/>
    <w:uiPriority w:val="99"/>
    <w:rsid w:val="00B15F7D"/>
  </w:style>
  <w:style w:type="character" w:customStyle="1" w:styleId="WW8Num2z3">
    <w:name w:val="WW8Num2z3"/>
    <w:basedOn w:val="Fuentedeprrafopredeter"/>
    <w:qFormat/>
    <w:rsid w:val="00B15F7D"/>
  </w:style>
  <w:style w:type="character" w:customStyle="1" w:styleId="WW8Num2z4">
    <w:name w:val="WW8Num2z4"/>
    <w:basedOn w:val="Fuentedeprrafopredeter"/>
    <w:qFormat/>
    <w:rsid w:val="00B15F7D"/>
  </w:style>
  <w:style w:type="character" w:customStyle="1" w:styleId="WW8Num2z5">
    <w:name w:val="WW8Num2z5"/>
    <w:basedOn w:val="Fuentedeprrafopredeter"/>
    <w:qFormat/>
    <w:rsid w:val="00B15F7D"/>
  </w:style>
  <w:style w:type="character" w:customStyle="1" w:styleId="WW8Num2z6">
    <w:name w:val="WW8Num2z6"/>
    <w:basedOn w:val="Fuentedeprrafopredeter"/>
    <w:qFormat/>
    <w:rsid w:val="00B15F7D"/>
  </w:style>
  <w:style w:type="character" w:customStyle="1" w:styleId="WW8Num2z7">
    <w:name w:val="WW8Num2z7"/>
    <w:basedOn w:val="Fuentedeprrafopredeter"/>
    <w:qFormat/>
    <w:rsid w:val="00B15F7D"/>
  </w:style>
  <w:style w:type="character" w:customStyle="1" w:styleId="WW8Num2z8">
    <w:name w:val="WW8Num2z8"/>
    <w:basedOn w:val="Fuentedeprrafopredeter"/>
    <w:qFormat/>
    <w:rsid w:val="00B15F7D"/>
  </w:style>
  <w:style w:type="character" w:customStyle="1" w:styleId="WW8Num5z1">
    <w:name w:val="WW8Num5z1"/>
    <w:basedOn w:val="Fuentedeprrafopredeter"/>
    <w:qFormat/>
    <w:rsid w:val="00B15F7D"/>
    <w:rPr>
      <w:rFonts w:ascii="Courier New" w:hAnsi="Courier New" w:cs="Courier New" w:hint="default"/>
    </w:rPr>
  </w:style>
  <w:style w:type="character" w:customStyle="1" w:styleId="WW8Num8z1">
    <w:name w:val="WW8Num8z1"/>
    <w:basedOn w:val="Fuentedeprrafopredeter"/>
    <w:qFormat/>
    <w:rsid w:val="00B15F7D"/>
    <w:rPr>
      <w:rFonts w:ascii="Courier New" w:hAnsi="Courier New" w:cs="Courier New" w:hint="default"/>
    </w:rPr>
  </w:style>
  <w:style w:type="character" w:customStyle="1" w:styleId="WW8Num10z3">
    <w:name w:val="WW8Num10z3"/>
    <w:basedOn w:val="Fuentedeprrafopredeter"/>
    <w:qFormat/>
    <w:rsid w:val="00B15F7D"/>
  </w:style>
  <w:style w:type="character" w:customStyle="1" w:styleId="WW8Num10z4">
    <w:name w:val="WW8Num10z4"/>
    <w:basedOn w:val="Fuentedeprrafopredeter"/>
    <w:qFormat/>
    <w:rsid w:val="00B15F7D"/>
  </w:style>
  <w:style w:type="character" w:customStyle="1" w:styleId="WW8Num10z5">
    <w:name w:val="WW8Num10z5"/>
    <w:basedOn w:val="Fuentedeprrafopredeter"/>
    <w:qFormat/>
    <w:rsid w:val="00B15F7D"/>
  </w:style>
  <w:style w:type="character" w:customStyle="1" w:styleId="WW8Num10z6">
    <w:name w:val="WW8Num10z6"/>
    <w:basedOn w:val="Fuentedeprrafopredeter"/>
    <w:qFormat/>
    <w:rsid w:val="00B15F7D"/>
  </w:style>
  <w:style w:type="character" w:customStyle="1" w:styleId="WW8Num10z7">
    <w:name w:val="WW8Num10z7"/>
    <w:basedOn w:val="Fuentedeprrafopredeter"/>
    <w:qFormat/>
    <w:rsid w:val="00B15F7D"/>
  </w:style>
  <w:style w:type="character" w:customStyle="1" w:styleId="WW8Num10z8">
    <w:name w:val="WW8Num10z8"/>
    <w:basedOn w:val="Fuentedeprrafopredeter"/>
    <w:qFormat/>
    <w:rsid w:val="00B15F7D"/>
  </w:style>
  <w:style w:type="character" w:customStyle="1" w:styleId="WW8Num12z3">
    <w:name w:val="WW8Num12z3"/>
    <w:basedOn w:val="Fuentedeprrafopredeter"/>
    <w:qFormat/>
    <w:rsid w:val="00B15F7D"/>
  </w:style>
  <w:style w:type="character" w:customStyle="1" w:styleId="WW8Num12z4">
    <w:name w:val="WW8Num12z4"/>
    <w:basedOn w:val="Fuentedeprrafopredeter"/>
    <w:rsid w:val="00B15F7D"/>
  </w:style>
  <w:style w:type="character" w:customStyle="1" w:styleId="WW8Num12z5">
    <w:name w:val="WW8Num12z5"/>
    <w:basedOn w:val="Fuentedeprrafopredeter"/>
    <w:uiPriority w:val="99"/>
    <w:rsid w:val="00B15F7D"/>
  </w:style>
  <w:style w:type="character" w:customStyle="1" w:styleId="WW8Num12z6">
    <w:name w:val="WW8Num12z6"/>
    <w:basedOn w:val="Fuentedeprrafopredeter"/>
    <w:uiPriority w:val="99"/>
    <w:rsid w:val="00B15F7D"/>
  </w:style>
  <w:style w:type="character" w:customStyle="1" w:styleId="WW8Num12z7">
    <w:name w:val="WW8Num12z7"/>
    <w:basedOn w:val="Fuentedeprrafopredeter"/>
    <w:uiPriority w:val="99"/>
    <w:rsid w:val="00B15F7D"/>
  </w:style>
  <w:style w:type="character" w:customStyle="1" w:styleId="WW8Num12z8">
    <w:name w:val="WW8Num12z8"/>
    <w:basedOn w:val="Fuentedeprrafopredeter"/>
    <w:uiPriority w:val="99"/>
    <w:rsid w:val="00B15F7D"/>
  </w:style>
  <w:style w:type="character" w:customStyle="1" w:styleId="WW8Num15z3">
    <w:name w:val="WW8Num15z3"/>
    <w:basedOn w:val="Fuentedeprrafopredeter"/>
    <w:qFormat/>
    <w:rsid w:val="00B15F7D"/>
  </w:style>
  <w:style w:type="character" w:customStyle="1" w:styleId="WW8Num15z4">
    <w:name w:val="WW8Num15z4"/>
    <w:basedOn w:val="Fuentedeprrafopredeter"/>
    <w:qFormat/>
    <w:rsid w:val="00B15F7D"/>
  </w:style>
  <w:style w:type="character" w:customStyle="1" w:styleId="WW8Num15z5">
    <w:name w:val="WW8Num15z5"/>
    <w:basedOn w:val="Fuentedeprrafopredeter"/>
    <w:qFormat/>
    <w:rsid w:val="00B15F7D"/>
  </w:style>
  <w:style w:type="character" w:customStyle="1" w:styleId="WW8Num15z6">
    <w:name w:val="WW8Num15z6"/>
    <w:basedOn w:val="Fuentedeprrafopredeter"/>
    <w:qFormat/>
    <w:rsid w:val="00B15F7D"/>
  </w:style>
  <w:style w:type="character" w:customStyle="1" w:styleId="WW8Num15z7">
    <w:name w:val="WW8Num15z7"/>
    <w:basedOn w:val="Fuentedeprrafopredeter"/>
    <w:qFormat/>
    <w:rsid w:val="00B15F7D"/>
  </w:style>
  <w:style w:type="character" w:customStyle="1" w:styleId="WW8Num15z8">
    <w:name w:val="WW8Num15z8"/>
    <w:basedOn w:val="Fuentedeprrafopredeter"/>
    <w:qFormat/>
    <w:rsid w:val="00B15F7D"/>
  </w:style>
  <w:style w:type="character" w:customStyle="1" w:styleId="Refdecomentario1">
    <w:name w:val="Ref. de comentario1"/>
    <w:basedOn w:val="Fuentedeprrafopredeter"/>
    <w:rsid w:val="00B15F7D"/>
  </w:style>
  <w:style w:type="character" w:customStyle="1" w:styleId="CommentReference1">
    <w:name w:val="Comment Reference1"/>
    <w:basedOn w:val="Fuentedeprrafopredeter"/>
    <w:uiPriority w:val="99"/>
    <w:rsid w:val="00B15F7D"/>
  </w:style>
  <w:style w:type="character" w:customStyle="1" w:styleId="Estilo1Car">
    <w:name w:val="Estilo1 Car"/>
    <w:basedOn w:val="Fuentedeprrafopredeter"/>
    <w:rsid w:val="00B15F7D"/>
    <w:rPr>
      <w:rFonts w:ascii="Arial" w:hAnsi="Arial" w:cs="Arial" w:hint="default"/>
      <w:color w:val="auto"/>
    </w:rPr>
  </w:style>
  <w:style w:type="character" w:customStyle="1" w:styleId="Estilo2Car">
    <w:name w:val="Estilo2 Car"/>
    <w:basedOn w:val="Fuentedeprrafopredeter"/>
    <w:rsid w:val="00B15F7D"/>
    <w:rPr>
      <w:rFonts w:ascii="Arial" w:hAnsi="Arial" w:cs="Arial" w:hint="default"/>
      <w:b/>
      <w:bCs/>
    </w:rPr>
  </w:style>
  <w:style w:type="character" w:customStyle="1" w:styleId="BalloonTextChar1">
    <w:name w:val="Balloon Text Char1"/>
    <w:basedOn w:val="Fuentedeprrafopredeter"/>
    <w:uiPriority w:val="99"/>
    <w:rsid w:val="00B15F7D"/>
    <w:rPr>
      <w:rFonts w:ascii="Segoe UI" w:hAnsi="Segoe UI" w:cs="Segoe UI" w:hint="default"/>
    </w:rPr>
  </w:style>
  <w:style w:type="character" w:customStyle="1" w:styleId="Heading2Char1">
    <w:name w:val="Heading 2 Char1"/>
    <w:basedOn w:val="Fuentedeprrafopredeter"/>
    <w:uiPriority w:val="99"/>
    <w:rsid w:val="00B15F7D"/>
    <w:rPr>
      <w:rFonts w:ascii="Calibri Light" w:hAnsi="Calibri Light" w:cs="Calibri Light" w:hint="default"/>
      <w:color w:val="2F5496"/>
    </w:rPr>
  </w:style>
  <w:style w:type="character" w:customStyle="1" w:styleId="Ttulo3Char">
    <w:name w:val="Título 3 Char"/>
    <w:basedOn w:val="Fuentedeprrafopredeter"/>
    <w:uiPriority w:val="99"/>
    <w:rsid w:val="00B15F7D"/>
    <w:rPr>
      <w:rFonts w:ascii="Arial" w:hAnsi="Arial" w:cs="Arial" w:hint="default"/>
      <w:b/>
      <w:bCs/>
      <w:color w:val="44546A"/>
    </w:rPr>
  </w:style>
  <w:style w:type="character" w:customStyle="1" w:styleId="Style1Char">
    <w:name w:val="Style1 Char"/>
    <w:basedOn w:val="Fuentedeprrafopredeter"/>
    <w:uiPriority w:val="99"/>
    <w:rsid w:val="00B15F7D"/>
    <w:rPr>
      <w:rFonts w:ascii="Arial" w:hAnsi="Arial" w:cs="Arial" w:hint="default"/>
      <w:color w:val="44546A"/>
    </w:rPr>
  </w:style>
  <w:style w:type="character" w:customStyle="1" w:styleId="Heading1Char1">
    <w:name w:val="Heading 1 Char1"/>
    <w:basedOn w:val="Fuentedeprrafopredeter"/>
    <w:uiPriority w:val="99"/>
    <w:rsid w:val="00B15F7D"/>
    <w:rPr>
      <w:rFonts w:ascii="Calibri Light" w:hAnsi="Calibri Light" w:cs="Calibri Light" w:hint="default"/>
      <w:color w:val="2F5496"/>
    </w:rPr>
  </w:style>
  <w:style w:type="character" w:customStyle="1" w:styleId="Style2Char">
    <w:name w:val="Style2 Char"/>
    <w:basedOn w:val="Fuentedeprrafopredeter"/>
    <w:uiPriority w:val="99"/>
    <w:rsid w:val="00B15F7D"/>
    <w:rPr>
      <w:rFonts w:ascii="Arial" w:hAnsi="Arial" w:cs="Arial" w:hint="default"/>
      <w:color w:val="000000"/>
    </w:rPr>
  </w:style>
  <w:style w:type="character" w:customStyle="1" w:styleId="FooterChar1">
    <w:name w:val="Footer Char1"/>
    <w:basedOn w:val="Fuentedeprrafopredeter"/>
    <w:uiPriority w:val="99"/>
    <w:rsid w:val="00B15F7D"/>
    <w:rPr>
      <w:rFonts w:ascii="Times New Roman" w:hAnsi="Times New Roman" w:cs="Times New Roman" w:hint="default"/>
    </w:rPr>
  </w:style>
  <w:style w:type="character" w:customStyle="1" w:styleId="WWCharLFO2LVL1">
    <w:name w:val="WW_CharLFO2LVL1"/>
    <w:basedOn w:val="Fuentedeprrafopredeter"/>
    <w:uiPriority w:val="99"/>
    <w:qFormat/>
    <w:rsid w:val="00B15F7D"/>
    <w:rPr>
      <w:rFonts w:ascii="Symbol" w:hAnsi="Symbol" w:hint="default"/>
    </w:rPr>
  </w:style>
  <w:style w:type="character" w:customStyle="1" w:styleId="WWCharLFO2LVL2">
    <w:name w:val="WW_CharLFO2LVL2"/>
    <w:basedOn w:val="Fuentedeprrafopredeter"/>
    <w:uiPriority w:val="99"/>
    <w:rsid w:val="00B15F7D"/>
    <w:rPr>
      <w:rFonts w:ascii="Courier New" w:hAnsi="Courier New" w:cs="Courier New" w:hint="default"/>
    </w:rPr>
  </w:style>
  <w:style w:type="character" w:customStyle="1" w:styleId="WWCharLFO2LVL3">
    <w:name w:val="WW_CharLFO2LVL3"/>
    <w:basedOn w:val="Fuentedeprrafopredeter"/>
    <w:uiPriority w:val="99"/>
    <w:rsid w:val="00B15F7D"/>
    <w:rPr>
      <w:rFonts w:ascii="Wingdings" w:hAnsi="Wingdings" w:hint="default"/>
    </w:rPr>
  </w:style>
  <w:style w:type="character" w:customStyle="1" w:styleId="WWCharLFO2LVL4">
    <w:name w:val="WW_CharLFO2LVL4"/>
    <w:basedOn w:val="Fuentedeprrafopredeter"/>
    <w:uiPriority w:val="99"/>
    <w:rsid w:val="00B15F7D"/>
    <w:rPr>
      <w:rFonts w:ascii="Symbol" w:hAnsi="Symbol" w:hint="default"/>
    </w:rPr>
  </w:style>
  <w:style w:type="character" w:customStyle="1" w:styleId="WWCharLFO2LVL5">
    <w:name w:val="WW_CharLFO2LVL5"/>
    <w:basedOn w:val="Fuentedeprrafopredeter"/>
    <w:uiPriority w:val="99"/>
    <w:rsid w:val="00B15F7D"/>
    <w:rPr>
      <w:rFonts w:ascii="Courier New" w:hAnsi="Courier New" w:cs="Courier New" w:hint="default"/>
    </w:rPr>
  </w:style>
  <w:style w:type="character" w:customStyle="1" w:styleId="WWCharLFO2LVL6">
    <w:name w:val="WW_CharLFO2LVL6"/>
    <w:basedOn w:val="Fuentedeprrafopredeter"/>
    <w:uiPriority w:val="99"/>
    <w:rsid w:val="00B15F7D"/>
    <w:rPr>
      <w:rFonts w:ascii="Wingdings" w:hAnsi="Wingdings" w:hint="default"/>
    </w:rPr>
  </w:style>
  <w:style w:type="character" w:customStyle="1" w:styleId="WWCharLFO2LVL7">
    <w:name w:val="WW_CharLFO2LVL7"/>
    <w:basedOn w:val="Fuentedeprrafopredeter"/>
    <w:uiPriority w:val="99"/>
    <w:rsid w:val="00B15F7D"/>
    <w:rPr>
      <w:rFonts w:ascii="Symbol" w:hAnsi="Symbol" w:hint="default"/>
    </w:rPr>
  </w:style>
  <w:style w:type="character" w:customStyle="1" w:styleId="WWCharLFO2LVL8">
    <w:name w:val="WW_CharLFO2LVL8"/>
    <w:basedOn w:val="Fuentedeprrafopredeter"/>
    <w:uiPriority w:val="99"/>
    <w:rsid w:val="00B15F7D"/>
    <w:rPr>
      <w:rFonts w:ascii="Courier New" w:hAnsi="Courier New" w:cs="Courier New" w:hint="default"/>
    </w:rPr>
  </w:style>
  <w:style w:type="character" w:customStyle="1" w:styleId="WWCharLFO2LVL9">
    <w:name w:val="WW_CharLFO2LVL9"/>
    <w:basedOn w:val="Fuentedeprrafopredeter"/>
    <w:uiPriority w:val="99"/>
    <w:rsid w:val="00B15F7D"/>
    <w:rPr>
      <w:rFonts w:ascii="Wingdings" w:hAnsi="Wingdings" w:hint="default"/>
    </w:rPr>
  </w:style>
  <w:style w:type="character" w:customStyle="1" w:styleId="WWCharLFO3LVL1">
    <w:name w:val="WW_CharLFO3LVL1"/>
    <w:basedOn w:val="Fuentedeprrafopredeter"/>
    <w:uiPriority w:val="99"/>
    <w:rsid w:val="00B15F7D"/>
    <w:rPr>
      <w:rFonts w:ascii="Symbol" w:hAnsi="Symbol" w:hint="default"/>
    </w:rPr>
  </w:style>
  <w:style w:type="character" w:customStyle="1" w:styleId="WWCharLFO3LVL2">
    <w:name w:val="WW_CharLFO3LVL2"/>
    <w:basedOn w:val="Fuentedeprrafopredeter"/>
    <w:uiPriority w:val="99"/>
    <w:rsid w:val="00B15F7D"/>
    <w:rPr>
      <w:rFonts w:ascii="Courier New" w:hAnsi="Courier New" w:cs="Courier New" w:hint="default"/>
    </w:rPr>
  </w:style>
  <w:style w:type="character" w:customStyle="1" w:styleId="WWCharLFO3LVL3">
    <w:name w:val="WW_CharLFO3LVL3"/>
    <w:basedOn w:val="Fuentedeprrafopredeter"/>
    <w:uiPriority w:val="99"/>
    <w:rsid w:val="00B15F7D"/>
    <w:rPr>
      <w:rFonts w:ascii="Wingdings" w:hAnsi="Wingdings" w:hint="default"/>
    </w:rPr>
  </w:style>
  <w:style w:type="character" w:customStyle="1" w:styleId="WWCharLFO3LVL4">
    <w:name w:val="WW_CharLFO3LVL4"/>
    <w:basedOn w:val="Fuentedeprrafopredeter"/>
    <w:uiPriority w:val="99"/>
    <w:rsid w:val="00B15F7D"/>
    <w:rPr>
      <w:rFonts w:ascii="Symbol" w:hAnsi="Symbol" w:hint="default"/>
    </w:rPr>
  </w:style>
  <w:style w:type="character" w:customStyle="1" w:styleId="WWCharLFO3LVL5">
    <w:name w:val="WW_CharLFO3LVL5"/>
    <w:basedOn w:val="Fuentedeprrafopredeter"/>
    <w:uiPriority w:val="99"/>
    <w:rsid w:val="00B15F7D"/>
    <w:rPr>
      <w:rFonts w:ascii="Courier New" w:hAnsi="Courier New" w:cs="Courier New" w:hint="default"/>
    </w:rPr>
  </w:style>
  <w:style w:type="character" w:customStyle="1" w:styleId="WWCharLFO3LVL6">
    <w:name w:val="WW_CharLFO3LVL6"/>
    <w:basedOn w:val="Fuentedeprrafopredeter"/>
    <w:uiPriority w:val="99"/>
    <w:rsid w:val="00B15F7D"/>
    <w:rPr>
      <w:rFonts w:ascii="Wingdings" w:hAnsi="Wingdings" w:hint="default"/>
    </w:rPr>
  </w:style>
  <w:style w:type="character" w:customStyle="1" w:styleId="WWCharLFO3LVL7">
    <w:name w:val="WW_CharLFO3LVL7"/>
    <w:basedOn w:val="Fuentedeprrafopredeter"/>
    <w:uiPriority w:val="99"/>
    <w:rsid w:val="00B15F7D"/>
    <w:rPr>
      <w:rFonts w:ascii="Symbol" w:hAnsi="Symbol" w:hint="default"/>
    </w:rPr>
  </w:style>
  <w:style w:type="character" w:customStyle="1" w:styleId="WWCharLFO3LVL8">
    <w:name w:val="WW_CharLFO3LVL8"/>
    <w:basedOn w:val="Fuentedeprrafopredeter"/>
    <w:uiPriority w:val="99"/>
    <w:rsid w:val="00B15F7D"/>
    <w:rPr>
      <w:rFonts w:ascii="Courier New" w:hAnsi="Courier New" w:cs="Courier New" w:hint="default"/>
    </w:rPr>
  </w:style>
  <w:style w:type="character" w:customStyle="1" w:styleId="WWCharLFO3LVL9">
    <w:name w:val="WW_CharLFO3LVL9"/>
    <w:basedOn w:val="Fuentedeprrafopredeter"/>
    <w:uiPriority w:val="99"/>
    <w:rsid w:val="00B15F7D"/>
    <w:rPr>
      <w:rFonts w:ascii="Wingdings" w:hAnsi="Wingdings" w:hint="default"/>
    </w:rPr>
  </w:style>
  <w:style w:type="character" w:customStyle="1" w:styleId="WWCharLFO4LVL1">
    <w:name w:val="WW_CharLFO4LVL1"/>
    <w:basedOn w:val="Fuentedeprrafopredeter"/>
    <w:uiPriority w:val="99"/>
    <w:rsid w:val="00B15F7D"/>
    <w:rPr>
      <w:rFonts w:ascii="Symbol" w:hAnsi="Symbol" w:hint="default"/>
    </w:rPr>
  </w:style>
  <w:style w:type="character" w:customStyle="1" w:styleId="WWCharLFO4LVL2">
    <w:name w:val="WW_CharLFO4LVL2"/>
    <w:basedOn w:val="Fuentedeprrafopredeter"/>
    <w:uiPriority w:val="99"/>
    <w:rsid w:val="00B15F7D"/>
    <w:rPr>
      <w:rFonts w:ascii="Courier New" w:hAnsi="Courier New" w:cs="Courier New" w:hint="default"/>
    </w:rPr>
  </w:style>
  <w:style w:type="character" w:customStyle="1" w:styleId="WWCharLFO4LVL3">
    <w:name w:val="WW_CharLFO4LVL3"/>
    <w:basedOn w:val="Fuentedeprrafopredeter"/>
    <w:uiPriority w:val="99"/>
    <w:rsid w:val="00B15F7D"/>
    <w:rPr>
      <w:rFonts w:ascii="Wingdings" w:hAnsi="Wingdings" w:hint="default"/>
    </w:rPr>
  </w:style>
  <w:style w:type="character" w:customStyle="1" w:styleId="WWCharLFO4LVL4">
    <w:name w:val="WW_CharLFO4LVL4"/>
    <w:basedOn w:val="Fuentedeprrafopredeter"/>
    <w:uiPriority w:val="99"/>
    <w:rsid w:val="00B15F7D"/>
    <w:rPr>
      <w:rFonts w:ascii="Symbol" w:hAnsi="Symbol" w:hint="default"/>
    </w:rPr>
  </w:style>
  <w:style w:type="character" w:customStyle="1" w:styleId="WWCharLFO4LVL5">
    <w:name w:val="WW_CharLFO4LVL5"/>
    <w:basedOn w:val="Fuentedeprrafopredeter"/>
    <w:uiPriority w:val="99"/>
    <w:rsid w:val="00B15F7D"/>
    <w:rPr>
      <w:rFonts w:ascii="Courier New" w:hAnsi="Courier New" w:cs="Courier New" w:hint="default"/>
    </w:rPr>
  </w:style>
  <w:style w:type="character" w:customStyle="1" w:styleId="WWCharLFO4LVL6">
    <w:name w:val="WW_CharLFO4LVL6"/>
    <w:basedOn w:val="Fuentedeprrafopredeter"/>
    <w:uiPriority w:val="99"/>
    <w:rsid w:val="00B15F7D"/>
    <w:rPr>
      <w:rFonts w:ascii="Wingdings" w:hAnsi="Wingdings" w:hint="default"/>
    </w:rPr>
  </w:style>
  <w:style w:type="character" w:customStyle="1" w:styleId="WWCharLFO4LVL7">
    <w:name w:val="WW_CharLFO4LVL7"/>
    <w:basedOn w:val="Fuentedeprrafopredeter"/>
    <w:uiPriority w:val="99"/>
    <w:rsid w:val="00B15F7D"/>
    <w:rPr>
      <w:rFonts w:ascii="Symbol" w:hAnsi="Symbol" w:hint="default"/>
    </w:rPr>
  </w:style>
  <w:style w:type="character" w:customStyle="1" w:styleId="WWCharLFO4LVL8">
    <w:name w:val="WW_CharLFO4LVL8"/>
    <w:basedOn w:val="Fuentedeprrafopredeter"/>
    <w:uiPriority w:val="99"/>
    <w:rsid w:val="00B15F7D"/>
    <w:rPr>
      <w:rFonts w:ascii="Courier New" w:hAnsi="Courier New" w:cs="Courier New" w:hint="default"/>
    </w:rPr>
  </w:style>
  <w:style w:type="character" w:customStyle="1" w:styleId="WWCharLFO4LVL9">
    <w:name w:val="WW_CharLFO4LVL9"/>
    <w:basedOn w:val="Fuentedeprrafopredeter"/>
    <w:uiPriority w:val="99"/>
    <w:rsid w:val="00B15F7D"/>
    <w:rPr>
      <w:rFonts w:ascii="Wingdings" w:hAnsi="Wingdings" w:hint="default"/>
    </w:rPr>
  </w:style>
  <w:style w:type="character" w:customStyle="1" w:styleId="WWCharLFO5LVL1">
    <w:name w:val="WW_CharLFO5LVL1"/>
    <w:basedOn w:val="Fuentedeprrafopredeter"/>
    <w:uiPriority w:val="99"/>
    <w:rsid w:val="00B15F7D"/>
    <w:rPr>
      <w:rFonts w:ascii="Wingdings" w:hAnsi="Wingdings" w:hint="default"/>
    </w:rPr>
  </w:style>
  <w:style w:type="character" w:customStyle="1" w:styleId="WWCharLFO5LVL2">
    <w:name w:val="WW_CharLFO5LVL2"/>
    <w:basedOn w:val="Fuentedeprrafopredeter"/>
    <w:uiPriority w:val="99"/>
    <w:rsid w:val="00B15F7D"/>
    <w:rPr>
      <w:rFonts w:ascii="Wingdings" w:hAnsi="Wingdings" w:hint="default"/>
    </w:rPr>
  </w:style>
  <w:style w:type="character" w:customStyle="1" w:styleId="WWCharLFO5LVL3">
    <w:name w:val="WW_CharLFO5LVL3"/>
    <w:basedOn w:val="Fuentedeprrafopredeter"/>
    <w:uiPriority w:val="99"/>
    <w:rsid w:val="00B15F7D"/>
    <w:rPr>
      <w:rFonts w:ascii="Symbol" w:hAnsi="Symbol" w:hint="default"/>
    </w:rPr>
  </w:style>
  <w:style w:type="character" w:customStyle="1" w:styleId="WWCharLFO5LVL4">
    <w:name w:val="WW_CharLFO5LVL4"/>
    <w:basedOn w:val="Fuentedeprrafopredeter"/>
    <w:uiPriority w:val="99"/>
    <w:rsid w:val="00B15F7D"/>
    <w:rPr>
      <w:rFonts w:ascii="Symbol" w:hAnsi="Symbol" w:hint="default"/>
    </w:rPr>
  </w:style>
  <w:style w:type="character" w:customStyle="1" w:styleId="WWCharLFO5LVL5">
    <w:name w:val="WW_CharLFO5LVL5"/>
    <w:basedOn w:val="Fuentedeprrafopredeter"/>
    <w:uiPriority w:val="99"/>
    <w:rsid w:val="00B15F7D"/>
    <w:rPr>
      <w:rFonts w:ascii="Symbol" w:hAnsi="Symbol" w:hint="default"/>
    </w:rPr>
  </w:style>
  <w:style w:type="character" w:customStyle="1" w:styleId="WWCharLFO5LVL6">
    <w:name w:val="WW_CharLFO5LVL6"/>
    <w:basedOn w:val="Fuentedeprrafopredeter"/>
    <w:uiPriority w:val="99"/>
    <w:rsid w:val="00B15F7D"/>
    <w:rPr>
      <w:rFonts w:ascii="Wingdings" w:hAnsi="Wingdings" w:hint="default"/>
    </w:rPr>
  </w:style>
  <w:style w:type="character" w:customStyle="1" w:styleId="WWCharLFO5LVL7">
    <w:name w:val="WW_CharLFO5LVL7"/>
    <w:basedOn w:val="Fuentedeprrafopredeter"/>
    <w:uiPriority w:val="99"/>
    <w:rsid w:val="00B15F7D"/>
    <w:rPr>
      <w:rFonts w:ascii="Wingdings" w:hAnsi="Wingdings" w:hint="default"/>
    </w:rPr>
  </w:style>
  <w:style w:type="character" w:customStyle="1" w:styleId="WWCharLFO5LVL8">
    <w:name w:val="WW_CharLFO5LVL8"/>
    <w:basedOn w:val="Fuentedeprrafopredeter"/>
    <w:uiPriority w:val="99"/>
    <w:rsid w:val="00B15F7D"/>
    <w:rPr>
      <w:rFonts w:ascii="Symbol" w:hAnsi="Symbol" w:hint="default"/>
    </w:rPr>
  </w:style>
  <w:style w:type="character" w:customStyle="1" w:styleId="WWCharLFO5LVL9">
    <w:name w:val="WW_CharLFO5LVL9"/>
    <w:basedOn w:val="Fuentedeprrafopredeter"/>
    <w:uiPriority w:val="99"/>
    <w:rsid w:val="00B15F7D"/>
    <w:rPr>
      <w:rFonts w:ascii="Symbol" w:hAnsi="Symbol" w:hint="default"/>
    </w:rPr>
  </w:style>
  <w:style w:type="character" w:customStyle="1" w:styleId="WWCharLFO7LVL1">
    <w:name w:val="WW_CharLFO7LVL1"/>
    <w:basedOn w:val="Fuentedeprrafopredeter"/>
    <w:uiPriority w:val="99"/>
    <w:rsid w:val="00B15F7D"/>
    <w:rPr>
      <w:rFonts w:ascii="Symbol" w:hAnsi="Symbol" w:hint="default"/>
    </w:rPr>
  </w:style>
  <w:style w:type="character" w:customStyle="1" w:styleId="WWCharLFO7LVL2">
    <w:name w:val="WW_CharLFO7LVL2"/>
    <w:basedOn w:val="Fuentedeprrafopredeter"/>
    <w:uiPriority w:val="99"/>
    <w:rsid w:val="00B15F7D"/>
    <w:rPr>
      <w:rFonts w:ascii="Courier New" w:hAnsi="Courier New" w:cs="Courier New" w:hint="default"/>
    </w:rPr>
  </w:style>
  <w:style w:type="character" w:customStyle="1" w:styleId="WWCharLFO7LVL3">
    <w:name w:val="WW_CharLFO7LVL3"/>
    <w:basedOn w:val="Fuentedeprrafopredeter"/>
    <w:uiPriority w:val="99"/>
    <w:rsid w:val="00B15F7D"/>
    <w:rPr>
      <w:rFonts w:ascii="Wingdings" w:hAnsi="Wingdings" w:hint="default"/>
    </w:rPr>
  </w:style>
  <w:style w:type="character" w:customStyle="1" w:styleId="WWCharLFO7LVL4">
    <w:name w:val="WW_CharLFO7LVL4"/>
    <w:basedOn w:val="Fuentedeprrafopredeter"/>
    <w:uiPriority w:val="99"/>
    <w:rsid w:val="00B15F7D"/>
    <w:rPr>
      <w:rFonts w:ascii="Symbol" w:hAnsi="Symbol" w:hint="default"/>
    </w:rPr>
  </w:style>
  <w:style w:type="character" w:customStyle="1" w:styleId="WWCharLFO7LVL5">
    <w:name w:val="WW_CharLFO7LVL5"/>
    <w:basedOn w:val="Fuentedeprrafopredeter"/>
    <w:uiPriority w:val="99"/>
    <w:rsid w:val="00B15F7D"/>
    <w:rPr>
      <w:rFonts w:ascii="Courier New" w:hAnsi="Courier New" w:cs="Courier New" w:hint="default"/>
    </w:rPr>
  </w:style>
  <w:style w:type="character" w:customStyle="1" w:styleId="WWCharLFO7LVL6">
    <w:name w:val="WW_CharLFO7LVL6"/>
    <w:basedOn w:val="Fuentedeprrafopredeter"/>
    <w:uiPriority w:val="99"/>
    <w:rsid w:val="00B15F7D"/>
    <w:rPr>
      <w:rFonts w:ascii="Wingdings" w:hAnsi="Wingdings" w:hint="default"/>
    </w:rPr>
  </w:style>
  <w:style w:type="character" w:customStyle="1" w:styleId="WWCharLFO7LVL7">
    <w:name w:val="WW_CharLFO7LVL7"/>
    <w:basedOn w:val="Fuentedeprrafopredeter"/>
    <w:uiPriority w:val="99"/>
    <w:rsid w:val="00B15F7D"/>
    <w:rPr>
      <w:rFonts w:ascii="Symbol" w:hAnsi="Symbol" w:hint="default"/>
    </w:rPr>
  </w:style>
  <w:style w:type="character" w:customStyle="1" w:styleId="WWCharLFO7LVL8">
    <w:name w:val="WW_CharLFO7LVL8"/>
    <w:basedOn w:val="Fuentedeprrafopredeter"/>
    <w:uiPriority w:val="99"/>
    <w:rsid w:val="00B15F7D"/>
    <w:rPr>
      <w:rFonts w:ascii="Courier New" w:hAnsi="Courier New" w:cs="Courier New" w:hint="default"/>
    </w:rPr>
  </w:style>
  <w:style w:type="character" w:customStyle="1" w:styleId="WWCharLFO7LVL9">
    <w:name w:val="WW_CharLFO7LVL9"/>
    <w:basedOn w:val="Fuentedeprrafopredeter"/>
    <w:uiPriority w:val="99"/>
    <w:rsid w:val="00B15F7D"/>
    <w:rPr>
      <w:rFonts w:ascii="Wingdings" w:hAnsi="Wingdings" w:hint="default"/>
    </w:rPr>
  </w:style>
  <w:style w:type="character" w:customStyle="1" w:styleId="WWCharLFO8LVL1">
    <w:name w:val="WW_CharLFO8LVL1"/>
    <w:basedOn w:val="Fuentedeprrafopredeter"/>
    <w:uiPriority w:val="99"/>
    <w:rsid w:val="00B15F7D"/>
    <w:rPr>
      <w:b/>
      <w:bCs/>
    </w:rPr>
  </w:style>
  <w:style w:type="character" w:customStyle="1" w:styleId="WWCharLFO9LVL1">
    <w:name w:val="WW_CharLFO9LVL1"/>
    <w:basedOn w:val="Fuentedeprrafopredeter"/>
    <w:uiPriority w:val="99"/>
    <w:rsid w:val="00B15F7D"/>
    <w:rPr>
      <w:rFonts w:ascii="Courier New" w:hAnsi="Courier New" w:cs="Courier New" w:hint="default"/>
    </w:rPr>
  </w:style>
  <w:style w:type="character" w:customStyle="1" w:styleId="WWCharLFO9LVL2">
    <w:name w:val="WW_CharLFO9LVL2"/>
    <w:basedOn w:val="Fuentedeprrafopredeter"/>
    <w:uiPriority w:val="99"/>
    <w:rsid w:val="00B15F7D"/>
    <w:rPr>
      <w:rFonts w:ascii="Wingdings" w:hAnsi="Wingdings" w:hint="default"/>
    </w:rPr>
  </w:style>
  <w:style w:type="character" w:customStyle="1" w:styleId="WWCharLFO9LVL3">
    <w:name w:val="WW_CharLFO9LVL3"/>
    <w:basedOn w:val="Fuentedeprrafopredeter"/>
    <w:uiPriority w:val="99"/>
    <w:rsid w:val="00B15F7D"/>
    <w:rPr>
      <w:rFonts w:ascii="Symbol" w:hAnsi="Symbol" w:hint="default"/>
    </w:rPr>
  </w:style>
  <w:style w:type="character" w:customStyle="1" w:styleId="WWCharLFO9LVL4">
    <w:name w:val="WW_CharLFO9LVL4"/>
    <w:basedOn w:val="Fuentedeprrafopredeter"/>
    <w:uiPriority w:val="99"/>
    <w:rsid w:val="00B15F7D"/>
    <w:rPr>
      <w:rFonts w:ascii="Symbol" w:hAnsi="Symbol" w:hint="default"/>
    </w:rPr>
  </w:style>
  <w:style w:type="character" w:customStyle="1" w:styleId="WWCharLFO9LVL5">
    <w:name w:val="WW_CharLFO9LVL5"/>
    <w:basedOn w:val="Fuentedeprrafopredeter"/>
    <w:uiPriority w:val="99"/>
    <w:rsid w:val="00B15F7D"/>
    <w:rPr>
      <w:rFonts w:ascii="Symbol" w:hAnsi="Symbol" w:hint="default"/>
    </w:rPr>
  </w:style>
  <w:style w:type="character" w:customStyle="1" w:styleId="WWCharLFO9LVL6">
    <w:name w:val="WW_CharLFO9LVL6"/>
    <w:basedOn w:val="Fuentedeprrafopredeter"/>
    <w:uiPriority w:val="99"/>
    <w:rsid w:val="00B15F7D"/>
    <w:rPr>
      <w:rFonts w:ascii="Wingdings" w:hAnsi="Wingdings" w:hint="default"/>
    </w:rPr>
  </w:style>
  <w:style w:type="character" w:customStyle="1" w:styleId="WWCharLFO9LVL7">
    <w:name w:val="WW_CharLFO9LVL7"/>
    <w:basedOn w:val="Fuentedeprrafopredeter"/>
    <w:uiPriority w:val="99"/>
    <w:rsid w:val="00B15F7D"/>
    <w:rPr>
      <w:rFonts w:ascii="Wingdings" w:hAnsi="Wingdings" w:hint="default"/>
    </w:rPr>
  </w:style>
  <w:style w:type="character" w:customStyle="1" w:styleId="WWCharLFO9LVL8">
    <w:name w:val="WW_CharLFO9LVL8"/>
    <w:basedOn w:val="Fuentedeprrafopredeter"/>
    <w:uiPriority w:val="99"/>
    <w:rsid w:val="00B15F7D"/>
    <w:rPr>
      <w:rFonts w:ascii="Symbol" w:hAnsi="Symbol" w:hint="default"/>
    </w:rPr>
  </w:style>
  <w:style w:type="character" w:customStyle="1" w:styleId="WWCharLFO9LVL9">
    <w:name w:val="WW_CharLFO9LVL9"/>
    <w:basedOn w:val="Fuentedeprrafopredeter"/>
    <w:uiPriority w:val="99"/>
    <w:rsid w:val="00B15F7D"/>
    <w:rPr>
      <w:rFonts w:ascii="Symbol" w:hAnsi="Symbol" w:hint="default"/>
    </w:rPr>
  </w:style>
  <w:style w:type="character" w:customStyle="1" w:styleId="WWCharLFO10LVL1">
    <w:name w:val="WW_CharLFO10LVL1"/>
    <w:basedOn w:val="Fuentedeprrafopredeter"/>
    <w:uiPriority w:val="99"/>
    <w:rsid w:val="00B15F7D"/>
    <w:rPr>
      <w:b/>
      <w:bCs/>
    </w:rPr>
  </w:style>
  <w:style w:type="character" w:customStyle="1" w:styleId="WWCharLFO11LVL1">
    <w:name w:val="WW_CharLFO11LVL1"/>
    <w:basedOn w:val="Fuentedeprrafopredeter"/>
    <w:uiPriority w:val="99"/>
    <w:rsid w:val="00B15F7D"/>
    <w:rPr>
      <w:b/>
      <w:bCs/>
    </w:rPr>
  </w:style>
  <w:style w:type="character" w:customStyle="1" w:styleId="WWCharLFO12LVL1">
    <w:name w:val="WW_CharLFO12LVL1"/>
    <w:basedOn w:val="Fuentedeprrafopredeter"/>
    <w:uiPriority w:val="99"/>
    <w:rsid w:val="00B15F7D"/>
    <w:rPr>
      <w:rFonts w:ascii="Symbol" w:hAnsi="Symbol" w:hint="default"/>
    </w:rPr>
  </w:style>
  <w:style w:type="character" w:customStyle="1" w:styleId="WWCharLFO12LVL2">
    <w:name w:val="WW_CharLFO12LVL2"/>
    <w:basedOn w:val="Fuentedeprrafopredeter"/>
    <w:uiPriority w:val="99"/>
    <w:rsid w:val="00B15F7D"/>
    <w:rPr>
      <w:rFonts w:ascii="Courier New" w:hAnsi="Courier New" w:cs="Courier New" w:hint="default"/>
    </w:rPr>
  </w:style>
  <w:style w:type="character" w:customStyle="1" w:styleId="WWCharLFO12LVL3">
    <w:name w:val="WW_CharLFO12LVL3"/>
    <w:basedOn w:val="Fuentedeprrafopredeter"/>
    <w:uiPriority w:val="99"/>
    <w:rsid w:val="00B15F7D"/>
    <w:rPr>
      <w:rFonts w:ascii="Wingdings" w:hAnsi="Wingdings" w:hint="default"/>
    </w:rPr>
  </w:style>
  <w:style w:type="character" w:customStyle="1" w:styleId="WWCharLFO12LVL4">
    <w:name w:val="WW_CharLFO12LVL4"/>
    <w:basedOn w:val="Fuentedeprrafopredeter"/>
    <w:uiPriority w:val="99"/>
    <w:rsid w:val="00B15F7D"/>
    <w:rPr>
      <w:rFonts w:ascii="Symbol" w:hAnsi="Symbol" w:hint="default"/>
    </w:rPr>
  </w:style>
  <w:style w:type="character" w:customStyle="1" w:styleId="WWCharLFO12LVL5">
    <w:name w:val="WW_CharLFO12LVL5"/>
    <w:basedOn w:val="Fuentedeprrafopredeter"/>
    <w:uiPriority w:val="99"/>
    <w:rsid w:val="00B15F7D"/>
    <w:rPr>
      <w:rFonts w:ascii="Courier New" w:hAnsi="Courier New" w:cs="Courier New" w:hint="default"/>
    </w:rPr>
  </w:style>
  <w:style w:type="character" w:customStyle="1" w:styleId="WWCharLFO12LVL6">
    <w:name w:val="WW_CharLFO12LVL6"/>
    <w:basedOn w:val="Fuentedeprrafopredeter"/>
    <w:uiPriority w:val="99"/>
    <w:rsid w:val="00B15F7D"/>
    <w:rPr>
      <w:rFonts w:ascii="Wingdings" w:hAnsi="Wingdings" w:hint="default"/>
    </w:rPr>
  </w:style>
  <w:style w:type="character" w:customStyle="1" w:styleId="WWCharLFO12LVL7">
    <w:name w:val="WW_CharLFO12LVL7"/>
    <w:basedOn w:val="Fuentedeprrafopredeter"/>
    <w:uiPriority w:val="99"/>
    <w:rsid w:val="00B15F7D"/>
    <w:rPr>
      <w:rFonts w:ascii="Symbol" w:hAnsi="Symbol" w:hint="default"/>
    </w:rPr>
  </w:style>
  <w:style w:type="character" w:customStyle="1" w:styleId="WWCharLFO12LVL8">
    <w:name w:val="WW_CharLFO12LVL8"/>
    <w:basedOn w:val="Fuentedeprrafopredeter"/>
    <w:uiPriority w:val="99"/>
    <w:rsid w:val="00B15F7D"/>
    <w:rPr>
      <w:rFonts w:ascii="Courier New" w:hAnsi="Courier New" w:cs="Courier New" w:hint="default"/>
    </w:rPr>
  </w:style>
  <w:style w:type="character" w:customStyle="1" w:styleId="WWCharLFO12LVL9">
    <w:name w:val="WW_CharLFO12LVL9"/>
    <w:basedOn w:val="Fuentedeprrafopredeter"/>
    <w:uiPriority w:val="99"/>
    <w:rsid w:val="00B15F7D"/>
    <w:rPr>
      <w:rFonts w:ascii="Wingdings" w:hAnsi="Wingdings" w:hint="default"/>
    </w:rPr>
  </w:style>
  <w:style w:type="character" w:customStyle="1" w:styleId="WWCharLFO6LVL1">
    <w:name w:val="WW_CharLFO6LVL1"/>
    <w:basedOn w:val="Fuentedeprrafopredeter"/>
    <w:uiPriority w:val="99"/>
    <w:rsid w:val="00B15F7D"/>
    <w:rPr>
      <w:rFonts w:ascii="Symbol" w:hAnsi="Symbol" w:hint="default"/>
    </w:rPr>
  </w:style>
  <w:style w:type="character" w:customStyle="1" w:styleId="WWCharLFO6LVL2">
    <w:name w:val="WW_CharLFO6LVL2"/>
    <w:basedOn w:val="Fuentedeprrafopredeter"/>
    <w:uiPriority w:val="99"/>
    <w:rsid w:val="00B15F7D"/>
    <w:rPr>
      <w:rFonts w:ascii="Courier New" w:hAnsi="Courier New" w:cs="Courier New" w:hint="default"/>
    </w:rPr>
  </w:style>
  <w:style w:type="character" w:customStyle="1" w:styleId="WWCharLFO6LVL3">
    <w:name w:val="WW_CharLFO6LVL3"/>
    <w:basedOn w:val="Fuentedeprrafopredeter"/>
    <w:uiPriority w:val="99"/>
    <w:rsid w:val="00B15F7D"/>
    <w:rPr>
      <w:rFonts w:ascii="Wingdings" w:hAnsi="Wingdings" w:hint="default"/>
    </w:rPr>
  </w:style>
  <w:style w:type="character" w:customStyle="1" w:styleId="WWCharLFO6LVL4">
    <w:name w:val="WW_CharLFO6LVL4"/>
    <w:basedOn w:val="Fuentedeprrafopredeter"/>
    <w:uiPriority w:val="99"/>
    <w:rsid w:val="00B15F7D"/>
    <w:rPr>
      <w:rFonts w:ascii="Symbol" w:hAnsi="Symbol" w:hint="default"/>
    </w:rPr>
  </w:style>
  <w:style w:type="character" w:customStyle="1" w:styleId="WWCharLFO6LVL5">
    <w:name w:val="WW_CharLFO6LVL5"/>
    <w:basedOn w:val="Fuentedeprrafopredeter"/>
    <w:uiPriority w:val="99"/>
    <w:rsid w:val="00B15F7D"/>
    <w:rPr>
      <w:rFonts w:ascii="Courier New" w:hAnsi="Courier New" w:cs="Courier New" w:hint="default"/>
    </w:rPr>
  </w:style>
  <w:style w:type="character" w:customStyle="1" w:styleId="WWCharLFO6LVL6">
    <w:name w:val="WW_CharLFO6LVL6"/>
    <w:basedOn w:val="Fuentedeprrafopredeter"/>
    <w:uiPriority w:val="99"/>
    <w:rsid w:val="00B15F7D"/>
    <w:rPr>
      <w:rFonts w:ascii="Wingdings" w:hAnsi="Wingdings" w:hint="default"/>
    </w:rPr>
  </w:style>
  <w:style w:type="character" w:customStyle="1" w:styleId="WWCharLFO6LVL7">
    <w:name w:val="WW_CharLFO6LVL7"/>
    <w:basedOn w:val="Fuentedeprrafopredeter"/>
    <w:uiPriority w:val="99"/>
    <w:rsid w:val="00B15F7D"/>
    <w:rPr>
      <w:rFonts w:ascii="Symbol" w:hAnsi="Symbol" w:hint="default"/>
    </w:rPr>
  </w:style>
  <w:style w:type="character" w:customStyle="1" w:styleId="WWCharLFO6LVL8">
    <w:name w:val="WW_CharLFO6LVL8"/>
    <w:basedOn w:val="Fuentedeprrafopredeter"/>
    <w:uiPriority w:val="99"/>
    <w:rsid w:val="00B15F7D"/>
    <w:rPr>
      <w:rFonts w:ascii="Courier New" w:hAnsi="Courier New" w:cs="Courier New" w:hint="default"/>
    </w:rPr>
  </w:style>
  <w:style w:type="character" w:customStyle="1" w:styleId="WWCharLFO6LVL9">
    <w:name w:val="WW_CharLFO6LVL9"/>
    <w:basedOn w:val="Fuentedeprrafopredeter"/>
    <w:uiPriority w:val="99"/>
    <w:rsid w:val="00B15F7D"/>
    <w:rPr>
      <w:rFonts w:ascii="Wingdings" w:hAnsi="Wingdings" w:hint="default"/>
    </w:rPr>
  </w:style>
  <w:style w:type="character" w:customStyle="1" w:styleId="Estilo3Car">
    <w:name w:val="Estilo3 Car"/>
    <w:basedOn w:val="Fuentedeprrafopredeter"/>
    <w:rsid w:val="00B15F7D"/>
    <w:rPr>
      <w:rFonts w:ascii="Arial" w:hAnsi="Arial" w:cs="Arial" w:hint="default"/>
      <w:b/>
      <w:bCs/>
      <w:color w:val="44546A"/>
    </w:rPr>
  </w:style>
  <w:style w:type="character" w:customStyle="1" w:styleId="WWCharLFO8LVL2">
    <w:name w:val="WW_CharLFO8LVL2"/>
    <w:basedOn w:val="Fuentedeprrafopredeter"/>
    <w:uiPriority w:val="99"/>
    <w:rsid w:val="00B15F7D"/>
    <w:rPr>
      <w:rFonts w:ascii="Courier New" w:hAnsi="Courier New" w:cs="Courier New" w:hint="default"/>
    </w:rPr>
  </w:style>
  <w:style w:type="character" w:customStyle="1" w:styleId="WWCharLFO8LVL3">
    <w:name w:val="WW_CharLFO8LVL3"/>
    <w:basedOn w:val="Fuentedeprrafopredeter"/>
    <w:uiPriority w:val="99"/>
    <w:rsid w:val="00B15F7D"/>
    <w:rPr>
      <w:rFonts w:ascii="Wingdings" w:hAnsi="Wingdings" w:hint="default"/>
    </w:rPr>
  </w:style>
  <w:style w:type="character" w:customStyle="1" w:styleId="WWCharLFO8LVL4">
    <w:name w:val="WW_CharLFO8LVL4"/>
    <w:basedOn w:val="Fuentedeprrafopredeter"/>
    <w:uiPriority w:val="99"/>
    <w:rsid w:val="00B15F7D"/>
    <w:rPr>
      <w:rFonts w:ascii="Symbol" w:hAnsi="Symbol" w:hint="default"/>
    </w:rPr>
  </w:style>
  <w:style w:type="character" w:customStyle="1" w:styleId="WWCharLFO8LVL5">
    <w:name w:val="WW_CharLFO8LVL5"/>
    <w:basedOn w:val="Fuentedeprrafopredeter"/>
    <w:uiPriority w:val="99"/>
    <w:rsid w:val="00B15F7D"/>
    <w:rPr>
      <w:rFonts w:ascii="Courier New" w:hAnsi="Courier New" w:cs="Courier New" w:hint="default"/>
    </w:rPr>
  </w:style>
  <w:style w:type="character" w:customStyle="1" w:styleId="WWCharLFO8LVL6">
    <w:name w:val="WW_CharLFO8LVL6"/>
    <w:basedOn w:val="Fuentedeprrafopredeter"/>
    <w:uiPriority w:val="99"/>
    <w:rsid w:val="00B15F7D"/>
    <w:rPr>
      <w:rFonts w:ascii="Wingdings" w:hAnsi="Wingdings" w:hint="default"/>
    </w:rPr>
  </w:style>
  <w:style w:type="character" w:customStyle="1" w:styleId="WWCharLFO8LVL7">
    <w:name w:val="WW_CharLFO8LVL7"/>
    <w:basedOn w:val="Fuentedeprrafopredeter"/>
    <w:uiPriority w:val="99"/>
    <w:rsid w:val="00B15F7D"/>
    <w:rPr>
      <w:rFonts w:ascii="Symbol" w:hAnsi="Symbol" w:hint="default"/>
    </w:rPr>
  </w:style>
  <w:style w:type="character" w:customStyle="1" w:styleId="WWCharLFO8LVL8">
    <w:name w:val="WW_CharLFO8LVL8"/>
    <w:basedOn w:val="Fuentedeprrafopredeter"/>
    <w:uiPriority w:val="99"/>
    <w:rsid w:val="00B15F7D"/>
    <w:rPr>
      <w:rFonts w:ascii="Courier New" w:hAnsi="Courier New" w:cs="Courier New" w:hint="default"/>
    </w:rPr>
  </w:style>
  <w:style w:type="character" w:customStyle="1" w:styleId="WWCharLFO8LVL9">
    <w:name w:val="WW_CharLFO8LVL9"/>
    <w:basedOn w:val="Fuentedeprrafopredeter"/>
    <w:uiPriority w:val="99"/>
    <w:rsid w:val="00B15F7D"/>
    <w:rPr>
      <w:rFonts w:ascii="Wingdings" w:hAnsi="Wingdings" w:hint="default"/>
    </w:rPr>
  </w:style>
  <w:style w:type="character" w:customStyle="1" w:styleId="TextodegloboCar1">
    <w:name w:val="Texto de globo Car1"/>
    <w:basedOn w:val="Fuentedeprrafopredeter"/>
    <w:uiPriority w:val="99"/>
    <w:rsid w:val="00B15F7D"/>
    <w:rPr>
      <w:rFonts w:ascii="Segoe UI" w:hAnsi="Segoe UI" w:cs="Segoe UI" w:hint="default"/>
    </w:rPr>
  </w:style>
  <w:style w:type="character" w:customStyle="1" w:styleId="TextocomentarioCar1">
    <w:name w:val="Texto comentario Car1"/>
    <w:basedOn w:val="Fuentedeprrafopredeter"/>
    <w:uiPriority w:val="99"/>
    <w:rsid w:val="00B15F7D"/>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basedOn w:val="Fuentedeprrafopredeter"/>
    <w:rsid w:val="00B15F7D"/>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0"/>
    <w:basedOn w:val="Fuentedeprrafopredeter"/>
    <w:uiPriority w:val="99"/>
    <w:rsid w:val="00B15F7D"/>
  </w:style>
  <w:style w:type="character" w:customStyle="1" w:styleId="TextoindependienteCar1">
    <w:name w:val="Texto independiente Car1"/>
    <w:basedOn w:val="Fuentedeprrafopredeter"/>
    <w:uiPriority w:val="99"/>
    <w:rsid w:val="00B15F7D"/>
    <w:rPr>
      <w:rFonts w:ascii="Times New Roman" w:hAnsi="Times New Roman" w:cs="Times New Roman" w:hint="default"/>
      <w:lang w:eastAsia="ar-SA"/>
    </w:rPr>
  </w:style>
  <w:style w:type="character" w:customStyle="1" w:styleId="nwtdibovh">
    <w:name w:val="nwt dib ovh"/>
    <w:basedOn w:val="Fuentedeprrafopredeter"/>
    <w:rsid w:val="00B15F7D"/>
    <w:rPr>
      <w:rFonts w:ascii="Times New Roman" w:hAnsi="Times New Roman" w:cs="Times New Roman" w:hint="default"/>
    </w:rPr>
  </w:style>
  <w:style w:type="character" w:customStyle="1" w:styleId="EstiloCorreo1061">
    <w:name w:val="EstiloCorreo1061"/>
    <w:basedOn w:val="Fuentedeprrafopredeter"/>
    <w:uiPriority w:val="99"/>
    <w:rsid w:val="00B15F7D"/>
    <w:rPr>
      <w:rFonts w:ascii="Arial" w:hAnsi="Arial" w:cs="Arial" w:hint="default"/>
      <w:color w:val="auto"/>
    </w:rPr>
  </w:style>
  <w:style w:type="character" w:customStyle="1" w:styleId="EstiloCorreo1081">
    <w:name w:val="EstiloCorreo1081"/>
    <w:basedOn w:val="Fuentedeprrafopredeter"/>
    <w:uiPriority w:val="99"/>
    <w:rsid w:val="00B15F7D"/>
    <w:rPr>
      <w:rFonts w:ascii="Arial" w:hAnsi="Arial" w:cs="Arial" w:hint="default"/>
      <w:color w:val="000080"/>
    </w:rPr>
  </w:style>
  <w:style w:type="character" w:customStyle="1" w:styleId="EstiloCorreo1491">
    <w:name w:val="EstiloCorreo1491"/>
    <w:basedOn w:val="Fuentedeprrafopredeter"/>
    <w:uiPriority w:val="99"/>
    <w:rsid w:val="00B15F7D"/>
    <w:rPr>
      <w:rFonts w:ascii="Arial" w:hAnsi="Arial" w:cs="Arial" w:hint="default"/>
      <w:color w:val="auto"/>
    </w:rPr>
  </w:style>
  <w:style w:type="character" w:customStyle="1" w:styleId="EstiloCorreo1501">
    <w:name w:val="EstiloCorreo1501"/>
    <w:basedOn w:val="Fuentedeprrafopredeter"/>
    <w:uiPriority w:val="99"/>
    <w:rsid w:val="00B15F7D"/>
    <w:rPr>
      <w:rFonts w:ascii="Arial" w:hAnsi="Arial" w:cs="Arial" w:hint="default"/>
      <w:color w:val="auto"/>
    </w:rPr>
  </w:style>
  <w:style w:type="character" w:customStyle="1" w:styleId="EstiloCorreo2391">
    <w:name w:val="EstiloCorreo2391"/>
    <w:basedOn w:val="Fuentedeprrafopredeter"/>
    <w:uiPriority w:val="99"/>
    <w:rsid w:val="00B15F7D"/>
    <w:rPr>
      <w:rFonts w:ascii="Palatino Linotype" w:hAnsi="Palatino Linotype" w:hint="default"/>
      <w:b/>
      <w:bCs/>
      <w:color w:val="auto"/>
    </w:rPr>
  </w:style>
  <w:style w:type="character" w:customStyle="1" w:styleId="EstiloCorreo2481">
    <w:name w:val="EstiloCorreo2481"/>
    <w:basedOn w:val="Fuentedeprrafopredeter"/>
    <w:uiPriority w:val="99"/>
    <w:rsid w:val="00B15F7D"/>
    <w:rPr>
      <w:color w:val="000000"/>
    </w:rPr>
  </w:style>
  <w:style w:type="character" w:customStyle="1" w:styleId="EstiloCorreo2741">
    <w:name w:val="EstiloCorreo2741"/>
    <w:basedOn w:val="Fuentedeprrafopredeter"/>
    <w:uiPriority w:val="99"/>
    <w:rsid w:val="00B15F7D"/>
    <w:rPr>
      <w:rFonts w:ascii="Arial" w:hAnsi="Arial" w:cs="Arial" w:hint="default"/>
      <w:color w:val="000080"/>
    </w:rPr>
  </w:style>
  <w:style w:type="character" w:customStyle="1" w:styleId="EstiloCorreo2751">
    <w:name w:val="EstiloCorreo2751"/>
    <w:basedOn w:val="Fuentedeprrafopredeter"/>
    <w:uiPriority w:val="99"/>
    <w:rsid w:val="00B15F7D"/>
    <w:rPr>
      <w:rFonts w:ascii="Arial" w:hAnsi="Arial" w:cs="Arial" w:hint="default"/>
      <w:color w:val="auto"/>
    </w:rPr>
  </w:style>
  <w:style w:type="character" w:customStyle="1" w:styleId="EstiloCorreo2771">
    <w:name w:val="EstiloCorreo2771"/>
    <w:basedOn w:val="Fuentedeprrafopredeter"/>
    <w:uiPriority w:val="99"/>
    <w:rsid w:val="00B15F7D"/>
    <w:rPr>
      <w:rFonts w:ascii="Arial" w:hAnsi="Arial" w:cs="Arial" w:hint="default"/>
      <w:color w:val="000080"/>
    </w:rPr>
  </w:style>
  <w:style w:type="character" w:customStyle="1" w:styleId="EstiloCorreo3141">
    <w:name w:val="EstiloCorreo3141"/>
    <w:basedOn w:val="Fuentedeprrafopredeter"/>
    <w:uiPriority w:val="99"/>
    <w:rsid w:val="00B15F7D"/>
    <w:rPr>
      <w:rFonts w:ascii="Tahoma" w:hAnsi="Tahoma" w:cs="Tahoma" w:hint="default"/>
      <w:color w:val="auto"/>
    </w:rPr>
  </w:style>
  <w:style w:type="character" w:customStyle="1" w:styleId="EstiloCorreo3151">
    <w:name w:val="EstiloCorreo3151"/>
    <w:basedOn w:val="Fuentedeprrafopredeter"/>
    <w:uiPriority w:val="99"/>
    <w:rsid w:val="00B15F7D"/>
    <w:rPr>
      <w:rFonts w:ascii="Tahoma" w:hAnsi="Tahoma" w:cs="Tahoma" w:hint="default"/>
      <w:color w:val="auto"/>
    </w:rPr>
  </w:style>
  <w:style w:type="character" w:customStyle="1" w:styleId="WW8Num3z3">
    <w:name w:val="WW8Num3z3"/>
    <w:basedOn w:val="Fuentedeprrafopredeter"/>
    <w:qFormat/>
    <w:rsid w:val="00B15F7D"/>
  </w:style>
  <w:style w:type="character" w:customStyle="1" w:styleId="WW8Num3z4">
    <w:name w:val="WW8Num3z4"/>
    <w:basedOn w:val="Fuentedeprrafopredeter"/>
    <w:uiPriority w:val="99"/>
    <w:qFormat/>
    <w:rsid w:val="00B15F7D"/>
  </w:style>
  <w:style w:type="character" w:customStyle="1" w:styleId="WW8Num3z5">
    <w:name w:val="WW8Num3z5"/>
    <w:basedOn w:val="Fuentedeprrafopredeter"/>
    <w:uiPriority w:val="99"/>
    <w:qFormat/>
    <w:rsid w:val="00B15F7D"/>
  </w:style>
  <w:style w:type="character" w:customStyle="1" w:styleId="WW8Num3z6">
    <w:name w:val="WW8Num3z6"/>
    <w:basedOn w:val="Fuentedeprrafopredeter"/>
    <w:uiPriority w:val="99"/>
    <w:qFormat/>
    <w:rsid w:val="00B15F7D"/>
  </w:style>
  <w:style w:type="character" w:customStyle="1" w:styleId="WW8Num3z7">
    <w:name w:val="WW8Num3z7"/>
    <w:basedOn w:val="Fuentedeprrafopredeter"/>
    <w:uiPriority w:val="99"/>
    <w:qFormat/>
    <w:rsid w:val="00B15F7D"/>
  </w:style>
  <w:style w:type="character" w:customStyle="1" w:styleId="WW8Num3z8">
    <w:name w:val="WW8Num3z8"/>
    <w:basedOn w:val="Fuentedeprrafopredeter"/>
    <w:uiPriority w:val="99"/>
    <w:qFormat/>
    <w:rsid w:val="00B15F7D"/>
  </w:style>
  <w:style w:type="character" w:customStyle="1" w:styleId="WW8Num4z3">
    <w:name w:val="WW8Num4z3"/>
    <w:basedOn w:val="Fuentedeprrafopredeter"/>
    <w:qFormat/>
    <w:rsid w:val="00B15F7D"/>
  </w:style>
  <w:style w:type="character" w:customStyle="1" w:styleId="WW8Num4z4">
    <w:name w:val="WW8Num4z4"/>
    <w:basedOn w:val="Fuentedeprrafopredeter"/>
    <w:qFormat/>
    <w:rsid w:val="00B15F7D"/>
  </w:style>
  <w:style w:type="character" w:customStyle="1" w:styleId="WW8Num4z5">
    <w:name w:val="WW8Num4z5"/>
    <w:basedOn w:val="Fuentedeprrafopredeter"/>
    <w:uiPriority w:val="99"/>
    <w:qFormat/>
    <w:rsid w:val="00B15F7D"/>
  </w:style>
  <w:style w:type="character" w:customStyle="1" w:styleId="WW8Num4z6">
    <w:name w:val="WW8Num4z6"/>
    <w:basedOn w:val="Fuentedeprrafopredeter"/>
    <w:uiPriority w:val="99"/>
    <w:qFormat/>
    <w:rsid w:val="00B15F7D"/>
  </w:style>
  <w:style w:type="character" w:customStyle="1" w:styleId="WW8Num4z7">
    <w:name w:val="WW8Num4z7"/>
    <w:basedOn w:val="Fuentedeprrafopredeter"/>
    <w:uiPriority w:val="99"/>
    <w:qFormat/>
    <w:rsid w:val="00B15F7D"/>
  </w:style>
  <w:style w:type="character" w:customStyle="1" w:styleId="WW8Num4z8">
    <w:name w:val="WW8Num4z8"/>
    <w:basedOn w:val="Fuentedeprrafopredeter"/>
    <w:qFormat/>
    <w:rsid w:val="00B15F7D"/>
  </w:style>
  <w:style w:type="character" w:customStyle="1" w:styleId="WW8Num5z3">
    <w:name w:val="WW8Num5z3"/>
    <w:basedOn w:val="Fuentedeprrafopredeter"/>
    <w:qFormat/>
    <w:rsid w:val="00B15F7D"/>
  </w:style>
  <w:style w:type="character" w:customStyle="1" w:styleId="WW8Num5z4">
    <w:name w:val="WW8Num5z4"/>
    <w:basedOn w:val="Fuentedeprrafopredeter"/>
    <w:qFormat/>
    <w:rsid w:val="00B15F7D"/>
  </w:style>
  <w:style w:type="character" w:customStyle="1" w:styleId="WW8Num5z5">
    <w:name w:val="WW8Num5z5"/>
    <w:basedOn w:val="Fuentedeprrafopredeter"/>
    <w:qFormat/>
    <w:rsid w:val="00B15F7D"/>
  </w:style>
  <w:style w:type="character" w:customStyle="1" w:styleId="WW8Num5z6">
    <w:name w:val="WW8Num5z6"/>
    <w:basedOn w:val="Fuentedeprrafopredeter"/>
    <w:qFormat/>
    <w:rsid w:val="00B15F7D"/>
  </w:style>
  <w:style w:type="character" w:customStyle="1" w:styleId="WW8Num5z7">
    <w:name w:val="WW8Num5z7"/>
    <w:basedOn w:val="Fuentedeprrafopredeter"/>
    <w:qFormat/>
    <w:rsid w:val="00B15F7D"/>
  </w:style>
  <w:style w:type="character" w:customStyle="1" w:styleId="WW8Num5z8">
    <w:name w:val="WW8Num5z8"/>
    <w:basedOn w:val="Fuentedeprrafopredeter"/>
    <w:qFormat/>
    <w:rsid w:val="00B15F7D"/>
  </w:style>
  <w:style w:type="character" w:customStyle="1" w:styleId="RTFNum21">
    <w:name w:val="RTF_Num 2 1"/>
    <w:basedOn w:val="Fuentedeprrafopredeter"/>
    <w:qFormat/>
    <w:rsid w:val="00B15F7D"/>
    <w:rPr>
      <w:rFonts w:ascii="Symbol" w:hAnsi="Symbol" w:hint="default"/>
    </w:rPr>
  </w:style>
  <w:style w:type="character" w:customStyle="1" w:styleId="RTFNum22">
    <w:name w:val="RTF_Num 2 2"/>
    <w:basedOn w:val="Fuentedeprrafopredeter"/>
    <w:qFormat/>
    <w:rsid w:val="00B15F7D"/>
    <w:rPr>
      <w:rFonts w:ascii="Courier New" w:hAnsi="Courier New" w:cs="Courier New" w:hint="default"/>
    </w:rPr>
  </w:style>
  <w:style w:type="character" w:customStyle="1" w:styleId="RTFNum23">
    <w:name w:val="RTF_Num 2 3"/>
    <w:basedOn w:val="Fuentedeprrafopredeter"/>
    <w:qFormat/>
    <w:rsid w:val="00B15F7D"/>
    <w:rPr>
      <w:rFonts w:ascii="Wingdings" w:hAnsi="Wingdings" w:hint="default"/>
    </w:rPr>
  </w:style>
  <w:style w:type="character" w:customStyle="1" w:styleId="RTFNum24">
    <w:name w:val="RTF_Num 2 4"/>
    <w:basedOn w:val="Fuentedeprrafopredeter"/>
    <w:qFormat/>
    <w:rsid w:val="00B15F7D"/>
    <w:rPr>
      <w:rFonts w:ascii="Symbol" w:hAnsi="Symbol" w:hint="default"/>
    </w:rPr>
  </w:style>
  <w:style w:type="character" w:customStyle="1" w:styleId="RTFNum25">
    <w:name w:val="RTF_Num 2 5"/>
    <w:basedOn w:val="Fuentedeprrafopredeter"/>
    <w:qFormat/>
    <w:rsid w:val="00B15F7D"/>
    <w:rPr>
      <w:rFonts w:ascii="Courier New" w:hAnsi="Courier New" w:cs="Courier New" w:hint="default"/>
    </w:rPr>
  </w:style>
  <w:style w:type="character" w:customStyle="1" w:styleId="RTFNum26">
    <w:name w:val="RTF_Num 2 6"/>
    <w:basedOn w:val="Fuentedeprrafopredeter"/>
    <w:qFormat/>
    <w:rsid w:val="00B15F7D"/>
    <w:rPr>
      <w:rFonts w:ascii="Wingdings" w:hAnsi="Wingdings" w:hint="default"/>
    </w:rPr>
  </w:style>
  <w:style w:type="character" w:customStyle="1" w:styleId="RTFNum27">
    <w:name w:val="RTF_Num 2 7"/>
    <w:basedOn w:val="Fuentedeprrafopredeter"/>
    <w:qFormat/>
    <w:rsid w:val="00B15F7D"/>
    <w:rPr>
      <w:rFonts w:ascii="Symbol" w:hAnsi="Symbol" w:hint="default"/>
    </w:rPr>
  </w:style>
  <w:style w:type="character" w:customStyle="1" w:styleId="RTFNum28">
    <w:name w:val="RTF_Num 2 8"/>
    <w:basedOn w:val="Fuentedeprrafopredeter"/>
    <w:qFormat/>
    <w:rsid w:val="00B15F7D"/>
    <w:rPr>
      <w:rFonts w:ascii="Courier New" w:hAnsi="Courier New" w:cs="Courier New" w:hint="default"/>
    </w:rPr>
  </w:style>
  <w:style w:type="character" w:customStyle="1" w:styleId="RTFNum29">
    <w:name w:val="RTF_Num 2 9"/>
    <w:basedOn w:val="Fuentedeprrafopredeter"/>
    <w:qFormat/>
    <w:rsid w:val="00B15F7D"/>
    <w:rPr>
      <w:rFonts w:ascii="Wingdings" w:hAnsi="Wingdings" w:hint="default"/>
    </w:rPr>
  </w:style>
  <w:style w:type="character" w:customStyle="1" w:styleId="Fuentedeprrafopredeter4">
    <w:name w:val="Fuente de párrafo predeter.4"/>
    <w:basedOn w:val="Fuentedeprrafopredeter"/>
    <w:qFormat/>
    <w:rsid w:val="00B15F7D"/>
  </w:style>
  <w:style w:type="character" w:customStyle="1" w:styleId="RTFNum210">
    <w:name w:val="RTF_Num 2 10"/>
    <w:basedOn w:val="Fuentedeprrafopredeter"/>
    <w:uiPriority w:val="99"/>
    <w:qFormat/>
    <w:rsid w:val="00B15F7D"/>
    <w:rPr>
      <w:rFonts w:ascii="Book Antiqua" w:hAnsi="Book Antiqua" w:hint="default"/>
      <w:color w:val="auto"/>
    </w:rPr>
  </w:style>
  <w:style w:type="character" w:customStyle="1" w:styleId="Fuentedeprrafopredeter5">
    <w:name w:val="Fuente de párrafo predeter.5"/>
    <w:basedOn w:val="Fuentedeprrafopredeter"/>
    <w:qFormat/>
    <w:rsid w:val="00B15F7D"/>
  </w:style>
  <w:style w:type="character" w:customStyle="1" w:styleId="WW8Num7z3">
    <w:name w:val="WW8Num7z3"/>
    <w:basedOn w:val="Fuentedeprrafopredeter"/>
    <w:qFormat/>
    <w:rsid w:val="00B15F7D"/>
  </w:style>
  <w:style w:type="character" w:customStyle="1" w:styleId="WW8Num7z4">
    <w:name w:val="WW8Num7z4"/>
    <w:basedOn w:val="Fuentedeprrafopredeter"/>
    <w:uiPriority w:val="99"/>
    <w:qFormat/>
    <w:rsid w:val="00B15F7D"/>
  </w:style>
  <w:style w:type="character" w:customStyle="1" w:styleId="WW8Num7z5">
    <w:name w:val="WW8Num7z5"/>
    <w:basedOn w:val="Fuentedeprrafopredeter"/>
    <w:uiPriority w:val="99"/>
    <w:qFormat/>
    <w:rsid w:val="00B15F7D"/>
  </w:style>
  <w:style w:type="character" w:customStyle="1" w:styleId="WW8Num7z6">
    <w:name w:val="WW8Num7z6"/>
    <w:basedOn w:val="Fuentedeprrafopredeter"/>
    <w:uiPriority w:val="99"/>
    <w:qFormat/>
    <w:rsid w:val="00B15F7D"/>
  </w:style>
  <w:style w:type="character" w:customStyle="1" w:styleId="WW8Num7z7">
    <w:name w:val="WW8Num7z7"/>
    <w:basedOn w:val="Fuentedeprrafopredeter"/>
    <w:uiPriority w:val="99"/>
    <w:qFormat/>
    <w:rsid w:val="00B15F7D"/>
  </w:style>
  <w:style w:type="character" w:customStyle="1" w:styleId="WW8Num7z8">
    <w:name w:val="WW8Num7z8"/>
    <w:basedOn w:val="Fuentedeprrafopredeter"/>
    <w:uiPriority w:val="99"/>
    <w:qFormat/>
    <w:rsid w:val="00B15F7D"/>
  </w:style>
  <w:style w:type="character" w:customStyle="1" w:styleId="WW8Num20z0">
    <w:name w:val="WW8Num20z0"/>
    <w:basedOn w:val="Fuentedeprrafopredeter"/>
    <w:qFormat/>
    <w:rsid w:val="00B15F7D"/>
    <w:rPr>
      <w:rFonts w:ascii="Symbol" w:hAnsi="Symbol" w:hint="default"/>
    </w:rPr>
  </w:style>
  <w:style w:type="character" w:customStyle="1" w:styleId="WW8Num20z1">
    <w:name w:val="WW8Num20z1"/>
    <w:basedOn w:val="Fuentedeprrafopredeter"/>
    <w:qFormat/>
    <w:rsid w:val="00B15F7D"/>
    <w:rPr>
      <w:rFonts w:ascii="Courier New" w:hAnsi="Courier New" w:cs="Courier New" w:hint="default"/>
    </w:rPr>
  </w:style>
  <w:style w:type="character" w:customStyle="1" w:styleId="WW8Num20z2">
    <w:name w:val="WW8Num20z2"/>
    <w:basedOn w:val="Fuentedeprrafopredeter"/>
    <w:qFormat/>
    <w:rsid w:val="00B15F7D"/>
    <w:rPr>
      <w:rFonts w:ascii="Wingdings" w:hAnsi="Wingdings" w:hint="default"/>
    </w:rPr>
  </w:style>
  <w:style w:type="character" w:customStyle="1" w:styleId="WW8Num21z0">
    <w:name w:val="WW8Num21z0"/>
    <w:basedOn w:val="Fuentedeprrafopredeter"/>
    <w:qFormat/>
    <w:rsid w:val="00B15F7D"/>
  </w:style>
  <w:style w:type="character" w:customStyle="1" w:styleId="WW8Num21z1">
    <w:name w:val="WW8Num21z1"/>
    <w:basedOn w:val="Fuentedeprrafopredeter"/>
    <w:qFormat/>
    <w:rsid w:val="00B15F7D"/>
  </w:style>
  <w:style w:type="character" w:customStyle="1" w:styleId="WW8Num21z2">
    <w:name w:val="WW8Num21z2"/>
    <w:basedOn w:val="Fuentedeprrafopredeter"/>
    <w:qFormat/>
    <w:rsid w:val="00B15F7D"/>
  </w:style>
  <w:style w:type="character" w:customStyle="1" w:styleId="WW8Num21z3">
    <w:name w:val="WW8Num21z3"/>
    <w:basedOn w:val="Fuentedeprrafopredeter"/>
    <w:qFormat/>
    <w:rsid w:val="00B15F7D"/>
  </w:style>
  <w:style w:type="character" w:customStyle="1" w:styleId="WW8Num21z4">
    <w:name w:val="WW8Num21z4"/>
    <w:basedOn w:val="Fuentedeprrafopredeter"/>
    <w:qFormat/>
    <w:rsid w:val="00B15F7D"/>
  </w:style>
  <w:style w:type="character" w:customStyle="1" w:styleId="WW8Num21z5">
    <w:name w:val="WW8Num21z5"/>
    <w:basedOn w:val="Fuentedeprrafopredeter"/>
    <w:qFormat/>
    <w:rsid w:val="00B15F7D"/>
  </w:style>
  <w:style w:type="character" w:customStyle="1" w:styleId="WW8Num21z6">
    <w:name w:val="WW8Num21z6"/>
    <w:basedOn w:val="Fuentedeprrafopredeter"/>
    <w:qFormat/>
    <w:rsid w:val="00B15F7D"/>
  </w:style>
  <w:style w:type="character" w:customStyle="1" w:styleId="WW8Num21z7">
    <w:name w:val="WW8Num21z7"/>
    <w:basedOn w:val="Fuentedeprrafopredeter"/>
    <w:qFormat/>
    <w:rsid w:val="00B15F7D"/>
  </w:style>
  <w:style w:type="character" w:customStyle="1" w:styleId="WW8Num21z8">
    <w:name w:val="WW8Num21z8"/>
    <w:basedOn w:val="Fuentedeprrafopredeter"/>
    <w:qFormat/>
    <w:rsid w:val="00B15F7D"/>
  </w:style>
  <w:style w:type="character" w:customStyle="1" w:styleId="WW8Num22z0">
    <w:name w:val="WW8Num22z0"/>
    <w:basedOn w:val="Fuentedeprrafopredeter"/>
    <w:qFormat/>
    <w:rsid w:val="00B15F7D"/>
  </w:style>
  <w:style w:type="character" w:customStyle="1" w:styleId="WW8Num23z0">
    <w:name w:val="WW8Num23z0"/>
    <w:basedOn w:val="Fuentedeprrafopredeter"/>
    <w:uiPriority w:val="99"/>
    <w:qFormat/>
    <w:rsid w:val="00B15F7D"/>
    <w:rPr>
      <w:rFonts w:ascii="Symbol" w:hAnsi="Symbol" w:hint="default"/>
    </w:rPr>
  </w:style>
  <w:style w:type="character" w:customStyle="1" w:styleId="WW8Num23z1">
    <w:name w:val="WW8Num23z1"/>
    <w:basedOn w:val="Fuentedeprrafopredeter"/>
    <w:qFormat/>
    <w:rsid w:val="00B15F7D"/>
    <w:rPr>
      <w:rFonts w:ascii="Courier New" w:hAnsi="Courier New" w:cs="Courier New" w:hint="default"/>
    </w:rPr>
  </w:style>
  <w:style w:type="character" w:customStyle="1" w:styleId="WW8Num23z2">
    <w:name w:val="WW8Num23z2"/>
    <w:basedOn w:val="Fuentedeprrafopredeter"/>
    <w:qFormat/>
    <w:rsid w:val="00B15F7D"/>
    <w:rPr>
      <w:rFonts w:ascii="Wingdings" w:hAnsi="Wingdings" w:hint="default"/>
    </w:rPr>
  </w:style>
  <w:style w:type="character" w:customStyle="1" w:styleId="WW8Num24z0">
    <w:name w:val="WW8Num24z0"/>
    <w:basedOn w:val="Fuentedeprrafopredeter"/>
    <w:qFormat/>
    <w:rsid w:val="00B15F7D"/>
    <w:rPr>
      <w:rFonts w:ascii="Times New Roman" w:hAnsi="Times New Roman" w:cs="Times New Roman" w:hint="default"/>
    </w:rPr>
  </w:style>
  <w:style w:type="character" w:customStyle="1" w:styleId="WW8Num24z1">
    <w:name w:val="WW8Num24z1"/>
    <w:basedOn w:val="Fuentedeprrafopredeter"/>
    <w:qFormat/>
    <w:rsid w:val="00B15F7D"/>
    <w:rPr>
      <w:rFonts w:ascii="Courier New" w:hAnsi="Courier New" w:cs="Courier New" w:hint="default"/>
    </w:rPr>
  </w:style>
  <w:style w:type="character" w:customStyle="1" w:styleId="WW8Num24z2">
    <w:name w:val="WW8Num24z2"/>
    <w:basedOn w:val="Fuentedeprrafopredeter"/>
    <w:qFormat/>
    <w:rsid w:val="00B15F7D"/>
    <w:rPr>
      <w:rFonts w:ascii="Wingdings" w:hAnsi="Wingdings" w:hint="default"/>
    </w:rPr>
  </w:style>
  <w:style w:type="character" w:customStyle="1" w:styleId="WW8Num24z3">
    <w:name w:val="WW8Num24z3"/>
    <w:basedOn w:val="Fuentedeprrafopredeter"/>
    <w:qFormat/>
    <w:rsid w:val="00B15F7D"/>
    <w:rPr>
      <w:rFonts w:ascii="Symbol" w:hAnsi="Symbol" w:hint="default"/>
    </w:rPr>
  </w:style>
  <w:style w:type="character" w:customStyle="1" w:styleId="WW8Num25z0">
    <w:name w:val="WW8Num25z0"/>
    <w:basedOn w:val="Fuentedeprrafopredeter"/>
    <w:uiPriority w:val="99"/>
    <w:qFormat/>
    <w:rsid w:val="00B15F7D"/>
    <w:rPr>
      <w:rFonts w:ascii="Wingdings" w:hAnsi="Wingdings" w:hint="default"/>
    </w:rPr>
  </w:style>
  <w:style w:type="character" w:customStyle="1" w:styleId="WW8Num25z1">
    <w:name w:val="WW8Num25z1"/>
    <w:basedOn w:val="Fuentedeprrafopredeter"/>
    <w:qFormat/>
    <w:rsid w:val="00B15F7D"/>
    <w:rPr>
      <w:rFonts w:ascii="Courier New" w:hAnsi="Courier New" w:cs="Courier New" w:hint="default"/>
    </w:rPr>
  </w:style>
  <w:style w:type="character" w:customStyle="1" w:styleId="WW8Num25z3">
    <w:name w:val="WW8Num25z3"/>
    <w:basedOn w:val="Fuentedeprrafopredeter"/>
    <w:qFormat/>
    <w:rsid w:val="00B15F7D"/>
    <w:rPr>
      <w:rFonts w:ascii="Symbol" w:hAnsi="Symbol" w:hint="default"/>
    </w:rPr>
  </w:style>
  <w:style w:type="character" w:customStyle="1" w:styleId="WW8Num26z0">
    <w:name w:val="WW8Num26z0"/>
    <w:basedOn w:val="Fuentedeprrafopredeter"/>
    <w:qFormat/>
    <w:rsid w:val="00B15F7D"/>
    <w:rPr>
      <w:rFonts w:ascii="Symbol" w:hAnsi="Symbol" w:hint="default"/>
    </w:rPr>
  </w:style>
  <w:style w:type="character" w:customStyle="1" w:styleId="WW8Num26z1">
    <w:name w:val="WW8Num26z1"/>
    <w:basedOn w:val="Fuentedeprrafopredeter"/>
    <w:qFormat/>
    <w:rsid w:val="00B15F7D"/>
    <w:rPr>
      <w:rFonts w:ascii="Courier New" w:hAnsi="Courier New" w:cs="Courier New" w:hint="default"/>
    </w:rPr>
  </w:style>
  <w:style w:type="character" w:customStyle="1" w:styleId="WW8Num26z2">
    <w:name w:val="WW8Num26z2"/>
    <w:basedOn w:val="Fuentedeprrafopredeter"/>
    <w:qFormat/>
    <w:rsid w:val="00B15F7D"/>
    <w:rPr>
      <w:rFonts w:ascii="Wingdings" w:hAnsi="Wingdings" w:hint="default"/>
    </w:rPr>
  </w:style>
  <w:style w:type="character" w:customStyle="1" w:styleId="WW8Num27z0">
    <w:name w:val="WW8Num27z0"/>
    <w:basedOn w:val="Fuentedeprrafopredeter"/>
    <w:qFormat/>
    <w:rsid w:val="00B15F7D"/>
    <w:rPr>
      <w:rFonts w:ascii="Symbol" w:hAnsi="Symbol" w:hint="default"/>
    </w:rPr>
  </w:style>
  <w:style w:type="character" w:customStyle="1" w:styleId="WW8Num27z1">
    <w:name w:val="WW8Num27z1"/>
    <w:basedOn w:val="Fuentedeprrafopredeter"/>
    <w:qFormat/>
    <w:rsid w:val="00B15F7D"/>
    <w:rPr>
      <w:rFonts w:ascii="Courier New" w:hAnsi="Courier New" w:cs="Courier New" w:hint="default"/>
    </w:rPr>
  </w:style>
  <w:style w:type="character" w:customStyle="1" w:styleId="WW8Num27z2">
    <w:name w:val="WW8Num27z2"/>
    <w:basedOn w:val="Fuentedeprrafopredeter"/>
    <w:qFormat/>
    <w:rsid w:val="00B15F7D"/>
    <w:rPr>
      <w:rFonts w:ascii="Wingdings" w:hAnsi="Wingdings" w:hint="default"/>
    </w:rPr>
  </w:style>
  <w:style w:type="character" w:customStyle="1" w:styleId="WW8Num28z0">
    <w:name w:val="WW8Num28z0"/>
    <w:basedOn w:val="Fuentedeprrafopredeter"/>
    <w:qFormat/>
    <w:rsid w:val="00B15F7D"/>
    <w:rPr>
      <w:rFonts w:ascii="Symbol" w:hAnsi="Symbol" w:hint="default"/>
    </w:rPr>
  </w:style>
  <w:style w:type="character" w:customStyle="1" w:styleId="WW8Num28z1">
    <w:name w:val="WW8Num28z1"/>
    <w:basedOn w:val="Fuentedeprrafopredeter"/>
    <w:qFormat/>
    <w:rsid w:val="00B15F7D"/>
    <w:rPr>
      <w:rFonts w:ascii="Courier New" w:hAnsi="Courier New" w:cs="Courier New" w:hint="default"/>
    </w:rPr>
  </w:style>
  <w:style w:type="character" w:customStyle="1" w:styleId="WW8Num28z2">
    <w:name w:val="WW8Num28z2"/>
    <w:basedOn w:val="Fuentedeprrafopredeter"/>
    <w:qFormat/>
    <w:rsid w:val="00B15F7D"/>
    <w:rPr>
      <w:rFonts w:ascii="Wingdings" w:hAnsi="Wingdings" w:hint="default"/>
    </w:rPr>
  </w:style>
  <w:style w:type="character" w:customStyle="1" w:styleId="WW8Num29z0">
    <w:name w:val="WW8Num29z0"/>
    <w:basedOn w:val="Fuentedeprrafopredeter"/>
    <w:qFormat/>
    <w:rsid w:val="00B15F7D"/>
  </w:style>
  <w:style w:type="character" w:customStyle="1" w:styleId="WW8Num29z1">
    <w:name w:val="WW8Num29z1"/>
    <w:basedOn w:val="Fuentedeprrafopredeter"/>
    <w:qFormat/>
    <w:rsid w:val="00B15F7D"/>
    <w:rPr>
      <w:b/>
      <w:bCs/>
    </w:rPr>
  </w:style>
  <w:style w:type="character" w:customStyle="1" w:styleId="WW8Num29z2">
    <w:name w:val="WW8Num29z2"/>
    <w:basedOn w:val="Fuentedeprrafopredeter"/>
    <w:qFormat/>
    <w:rsid w:val="00B15F7D"/>
  </w:style>
  <w:style w:type="character" w:customStyle="1" w:styleId="WW8Num29z3">
    <w:name w:val="WW8Num29z3"/>
    <w:basedOn w:val="Fuentedeprrafopredeter"/>
    <w:rsid w:val="00B15F7D"/>
  </w:style>
  <w:style w:type="character" w:customStyle="1" w:styleId="WW8Num29z4">
    <w:name w:val="WW8Num29z4"/>
    <w:basedOn w:val="Fuentedeprrafopredeter"/>
    <w:uiPriority w:val="99"/>
    <w:rsid w:val="00B15F7D"/>
  </w:style>
  <w:style w:type="character" w:customStyle="1" w:styleId="WW8Num29z5">
    <w:name w:val="WW8Num29z5"/>
    <w:basedOn w:val="Fuentedeprrafopredeter"/>
    <w:uiPriority w:val="99"/>
    <w:rsid w:val="00B15F7D"/>
  </w:style>
  <w:style w:type="character" w:customStyle="1" w:styleId="WW8Num29z6">
    <w:name w:val="WW8Num29z6"/>
    <w:basedOn w:val="Fuentedeprrafopredeter"/>
    <w:uiPriority w:val="99"/>
    <w:rsid w:val="00B15F7D"/>
  </w:style>
  <w:style w:type="character" w:customStyle="1" w:styleId="WW8Num29z7">
    <w:name w:val="WW8Num29z7"/>
    <w:basedOn w:val="Fuentedeprrafopredeter"/>
    <w:uiPriority w:val="99"/>
    <w:rsid w:val="00B15F7D"/>
  </w:style>
  <w:style w:type="character" w:customStyle="1" w:styleId="WW8Num29z8">
    <w:name w:val="WW8Num29z8"/>
    <w:basedOn w:val="Fuentedeprrafopredeter"/>
    <w:uiPriority w:val="99"/>
    <w:rsid w:val="00B15F7D"/>
  </w:style>
  <w:style w:type="character" w:customStyle="1" w:styleId="WW8Num30z0">
    <w:name w:val="WW8Num30z0"/>
    <w:basedOn w:val="Fuentedeprrafopredeter"/>
    <w:qFormat/>
    <w:rsid w:val="00B15F7D"/>
    <w:rPr>
      <w:rFonts w:ascii="Times New Roman" w:hAnsi="Times New Roman" w:cs="Times New Roman" w:hint="default"/>
    </w:rPr>
  </w:style>
  <w:style w:type="character" w:customStyle="1" w:styleId="WW8Num30z1">
    <w:name w:val="WW8Num30z1"/>
    <w:basedOn w:val="Fuentedeprrafopredeter"/>
    <w:qFormat/>
    <w:rsid w:val="00B15F7D"/>
    <w:rPr>
      <w:rFonts w:ascii="Courier New" w:hAnsi="Courier New" w:cs="Courier New" w:hint="default"/>
    </w:rPr>
  </w:style>
  <w:style w:type="character" w:customStyle="1" w:styleId="WW8Num30z2">
    <w:name w:val="WW8Num30z2"/>
    <w:basedOn w:val="Fuentedeprrafopredeter"/>
    <w:qFormat/>
    <w:rsid w:val="00B15F7D"/>
    <w:rPr>
      <w:rFonts w:ascii="Wingdings" w:hAnsi="Wingdings" w:hint="default"/>
    </w:rPr>
  </w:style>
  <w:style w:type="character" w:customStyle="1" w:styleId="WW8Num30z3">
    <w:name w:val="WW8Num30z3"/>
    <w:basedOn w:val="Fuentedeprrafopredeter"/>
    <w:qFormat/>
    <w:rsid w:val="00B15F7D"/>
    <w:rPr>
      <w:rFonts w:ascii="Symbol" w:hAnsi="Symbol" w:hint="default"/>
    </w:rPr>
  </w:style>
  <w:style w:type="character" w:customStyle="1" w:styleId="WW8Num31z0">
    <w:name w:val="WW8Num31z0"/>
    <w:basedOn w:val="Fuentedeprrafopredeter"/>
    <w:qFormat/>
    <w:rsid w:val="00B15F7D"/>
    <w:rPr>
      <w:rFonts w:ascii="Symbol" w:hAnsi="Symbol" w:hint="default"/>
    </w:rPr>
  </w:style>
  <w:style w:type="character" w:customStyle="1" w:styleId="WW8Num31z1">
    <w:name w:val="WW8Num31z1"/>
    <w:basedOn w:val="Fuentedeprrafopredeter"/>
    <w:qFormat/>
    <w:rsid w:val="00B15F7D"/>
    <w:rPr>
      <w:rFonts w:ascii="Courier New" w:hAnsi="Courier New" w:cs="Courier New" w:hint="default"/>
    </w:rPr>
  </w:style>
  <w:style w:type="character" w:customStyle="1" w:styleId="WW8Num31z2">
    <w:name w:val="WW8Num31z2"/>
    <w:basedOn w:val="Fuentedeprrafopredeter"/>
    <w:qFormat/>
    <w:rsid w:val="00B15F7D"/>
    <w:rPr>
      <w:rFonts w:ascii="Wingdings" w:hAnsi="Wingdings" w:hint="default"/>
    </w:rPr>
  </w:style>
  <w:style w:type="character" w:customStyle="1" w:styleId="WW8Num32z0">
    <w:name w:val="WW8Num32z0"/>
    <w:basedOn w:val="Fuentedeprrafopredeter"/>
    <w:qFormat/>
    <w:rsid w:val="00B15F7D"/>
  </w:style>
  <w:style w:type="character" w:customStyle="1" w:styleId="WW8Num33z0">
    <w:name w:val="WW8Num33z0"/>
    <w:basedOn w:val="Fuentedeprrafopredeter"/>
    <w:qFormat/>
    <w:rsid w:val="00B15F7D"/>
  </w:style>
  <w:style w:type="character" w:customStyle="1" w:styleId="WW8Num33z1">
    <w:name w:val="WW8Num33z1"/>
    <w:basedOn w:val="Fuentedeprrafopredeter"/>
    <w:qFormat/>
    <w:rsid w:val="00B15F7D"/>
  </w:style>
  <w:style w:type="character" w:customStyle="1" w:styleId="WW8Num33z2">
    <w:name w:val="WW8Num33z2"/>
    <w:basedOn w:val="Fuentedeprrafopredeter"/>
    <w:qFormat/>
    <w:rsid w:val="00B15F7D"/>
  </w:style>
  <w:style w:type="character" w:customStyle="1" w:styleId="WW8Num33z3">
    <w:name w:val="WW8Num33z3"/>
    <w:basedOn w:val="Fuentedeprrafopredeter"/>
    <w:qFormat/>
    <w:rsid w:val="00B15F7D"/>
  </w:style>
  <w:style w:type="character" w:customStyle="1" w:styleId="WW8Num33z4">
    <w:name w:val="WW8Num33z4"/>
    <w:basedOn w:val="Fuentedeprrafopredeter"/>
    <w:qFormat/>
    <w:rsid w:val="00B15F7D"/>
  </w:style>
  <w:style w:type="character" w:customStyle="1" w:styleId="WW8Num33z5">
    <w:name w:val="WW8Num33z5"/>
    <w:basedOn w:val="Fuentedeprrafopredeter"/>
    <w:qFormat/>
    <w:rsid w:val="00B15F7D"/>
  </w:style>
  <w:style w:type="character" w:customStyle="1" w:styleId="WW8Num33z6">
    <w:name w:val="WW8Num33z6"/>
    <w:basedOn w:val="Fuentedeprrafopredeter"/>
    <w:qFormat/>
    <w:rsid w:val="00B15F7D"/>
  </w:style>
  <w:style w:type="character" w:customStyle="1" w:styleId="WW8Num33z7">
    <w:name w:val="WW8Num33z7"/>
    <w:basedOn w:val="Fuentedeprrafopredeter"/>
    <w:qFormat/>
    <w:rsid w:val="00B15F7D"/>
  </w:style>
  <w:style w:type="character" w:customStyle="1" w:styleId="WW8Num33z8">
    <w:name w:val="WW8Num33z8"/>
    <w:basedOn w:val="Fuentedeprrafopredeter"/>
    <w:qFormat/>
    <w:rsid w:val="00B15F7D"/>
  </w:style>
  <w:style w:type="character" w:customStyle="1" w:styleId="WW8Num34z0">
    <w:name w:val="WW8Num34z0"/>
    <w:basedOn w:val="Fuentedeprrafopredeter"/>
    <w:qFormat/>
    <w:rsid w:val="00B15F7D"/>
  </w:style>
  <w:style w:type="character" w:customStyle="1" w:styleId="WW8Num34z1">
    <w:name w:val="WW8Num34z1"/>
    <w:basedOn w:val="Fuentedeprrafopredeter"/>
    <w:qFormat/>
    <w:rsid w:val="00B15F7D"/>
  </w:style>
  <w:style w:type="character" w:customStyle="1" w:styleId="WW8Num34z2">
    <w:name w:val="WW8Num34z2"/>
    <w:basedOn w:val="Fuentedeprrafopredeter"/>
    <w:qFormat/>
    <w:rsid w:val="00B15F7D"/>
  </w:style>
  <w:style w:type="character" w:customStyle="1" w:styleId="WW8Num34z3">
    <w:name w:val="WW8Num34z3"/>
    <w:basedOn w:val="Fuentedeprrafopredeter"/>
    <w:qFormat/>
    <w:rsid w:val="00B15F7D"/>
  </w:style>
  <w:style w:type="character" w:customStyle="1" w:styleId="WW8Num34z4">
    <w:name w:val="WW8Num34z4"/>
    <w:basedOn w:val="Fuentedeprrafopredeter"/>
    <w:qFormat/>
    <w:rsid w:val="00B15F7D"/>
  </w:style>
  <w:style w:type="character" w:customStyle="1" w:styleId="WW8Num34z5">
    <w:name w:val="WW8Num34z5"/>
    <w:basedOn w:val="Fuentedeprrafopredeter"/>
    <w:qFormat/>
    <w:rsid w:val="00B15F7D"/>
  </w:style>
  <w:style w:type="character" w:customStyle="1" w:styleId="WW8Num34z6">
    <w:name w:val="WW8Num34z6"/>
    <w:basedOn w:val="Fuentedeprrafopredeter"/>
    <w:qFormat/>
    <w:rsid w:val="00B15F7D"/>
  </w:style>
  <w:style w:type="character" w:customStyle="1" w:styleId="WW8Num34z7">
    <w:name w:val="WW8Num34z7"/>
    <w:basedOn w:val="Fuentedeprrafopredeter"/>
    <w:qFormat/>
    <w:rsid w:val="00B15F7D"/>
  </w:style>
  <w:style w:type="character" w:customStyle="1" w:styleId="WW8Num34z8">
    <w:name w:val="WW8Num34z8"/>
    <w:basedOn w:val="Fuentedeprrafopredeter"/>
    <w:qFormat/>
    <w:rsid w:val="00B15F7D"/>
  </w:style>
  <w:style w:type="character" w:customStyle="1" w:styleId="WW8Num35z0">
    <w:name w:val="WW8Num35z0"/>
    <w:basedOn w:val="Fuentedeprrafopredeter"/>
    <w:qFormat/>
    <w:rsid w:val="00B15F7D"/>
  </w:style>
  <w:style w:type="character" w:customStyle="1" w:styleId="WW8Num35z1">
    <w:name w:val="WW8Num35z1"/>
    <w:basedOn w:val="Fuentedeprrafopredeter"/>
    <w:qFormat/>
    <w:rsid w:val="00B15F7D"/>
  </w:style>
  <w:style w:type="character" w:customStyle="1" w:styleId="WW8Num35z2">
    <w:name w:val="WW8Num35z2"/>
    <w:basedOn w:val="Fuentedeprrafopredeter"/>
    <w:qFormat/>
    <w:rsid w:val="00B15F7D"/>
  </w:style>
  <w:style w:type="character" w:customStyle="1" w:styleId="WW8Num35z3">
    <w:name w:val="WW8Num35z3"/>
    <w:basedOn w:val="Fuentedeprrafopredeter"/>
    <w:qFormat/>
    <w:rsid w:val="00B15F7D"/>
  </w:style>
  <w:style w:type="character" w:customStyle="1" w:styleId="WW8Num35z4">
    <w:name w:val="WW8Num35z4"/>
    <w:basedOn w:val="Fuentedeprrafopredeter"/>
    <w:qFormat/>
    <w:rsid w:val="00B15F7D"/>
  </w:style>
  <w:style w:type="character" w:customStyle="1" w:styleId="WW8Num35z5">
    <w:name w:val="WW8Num35z5"/>
    <w:basedOn w:val="Fuentedeprrafopredeter"/>
    <w:qFormat/>
    <w:rsid w:val="00B15F7D"/>
  </w:style>
  <w:style w:type="character" w:customStyle="1" w:styleId="WW8Num35z6">
    <w:name w:val="WW8Num35z6"/>
    <w:basedOn w:val="Fuentedeprrafopredeter"/>
    <w:qFormat/>
    <w:rsid w:val="00B15F7D"/>
  </w:style>
  <w:style w:type="character" w:customStyle="1" w:styleId="WW8Num35z7">
    <w:name w:val="WW8Num35z7"/>
    <w:basedOn w:val="Fuentedeprrafopredeter"/>
    <w:qFormat/>
    <w:rsid w:val="00B15F7D"/>
  </w:style>
  <w:style w:type="character" w:customStyle="1" w:styleId="WW8Num35z8">
    <w:name w:val="WW8Num35z8"/>
    <w:basedOn w:val="Fuentedeprrafopredeter"/>
    <w:qFormat/>
    <w:rsid w:val="00B15F7D"/>
  </w:style>
  <w:style w:type="character" w:customStyle="1" w:styleId="WW8Num36z0">
    <w:name w:val="WW8Num36z0"/>
    <w:basedOn w:val="Fuentedeprrafopredeter"/>
    <w:qFormat/>
    <w:rsid w:val="00B15F7D"/>
  </w:style>
  <w:style w:type="character" w:customStyle="1" w:styleId="WW8Num36z1">
    <w:name w:val="WW8Num36z1"/>
    <w:basedOn w:val="Fuentedeprrafopredeter"/>
    <w:qFormat/>
    <w:rsid w:val="00B15F7D"/>
  </w:style>
  <w:style w:type="character" w:customStyle="1" w:styleId="WW8Num36z2">
    <w:name w:val="WW8Num36z2"/>
    <w:basedOn w:val="Fuentedeprrafopredeter"/>
    <w:qFormat/>
    <w:rsid w:val="00B15F7D"/>
  </w:style>
  <w:style w:type="character" w:customStyle="1" w:styleId="WW8Num36z3">
    <w:name w:val="WW8Num36z3"/>
    <w:basedOn w:val="Fuentedeprrafopredeter"/>
    <w:qFormat/>
    <w:rsid w:val="00B15F7D"/>
  </w:style>
  <w:style w:type="character" w:customStyle="1" w:styleId="WW8Num36z4">
    <w:name w:val="WW8Num36z4"/>
    <w:basedOn w:val="Fuentedeprrafopredeter"/>
    <w:qFormat/>
    <w:rsid w:val="00B15F7D"/>
  </w:style>
  <w:style w:type="character" w:customStyle="1" w:styleId="WW8Num36z5">
    <w:name w:val="WW8Num36z5"/>
    <w:basedOn w:val="Fuentedeprrafopredeter"/>
    <w:qFormat/>
    <w:rsid w:val="00B15F7D"/>
  </w:style>
  <w:style w:type="character" w:customStyle="1" w:styleId="WW8Num36z6">
    <w:name w:val="WW8Num36z6"/>
    <w:basedOn w:val="Fuentedeprrafopredeter"/>
    <w:qFormat/>
    <w:rsid w:val="00B15F7D"/>
  </w:style>
  <w:style w:type="character" w:customStyle="1" w:styleId="WW8Num36z7">
    <w:name w:val="WW8Num36z7"/>
    <w:basedOn w:val="Fuentedeprrafopredeter"/>
    <w:qFormat/>
    <w:rsid w:val="00B15F7D"/>
  </w:style>
  <w:style w:type="character" w:customStyle="1" w:styleId="WW8Num36z8">
    <w:name w:val="WW8Num36z8"/>
    <w:basedOn w:val="Fuentedeprrafopredeter"/>
    <w:qFormat/>
    <w:rsid w:val="00B15F7D"/>
  </w:style>
  <w:style w:type="character" w:customStyle="1" w:styleId="WW8Num37z0">
    <w:name w:val="WW8Num37z0"/>
    <w:basedOn w:val="Fuentedeprrafopredeter"/>
    <w:qFormat/>
    <w:rsid w:val="00B15F7D"/>
  </w:style>
  <w:style w:type="character" w:customStyle="1" w:styleId="WW8Num37z1">
    <w:name w:val="WW8Num37z1"/>
    <w:basedOn w:val="Fuentedeprrafopredeter"/>
    <w:qFormat/>
    <w:rsid w:val="00B15F7D"/>
  </w:style>
  <w:style w:type="character" w:customStyle="1" w:styleId="WW8Num37z2">
    <w:name w:val="WW8Num37z2"/>
    <w:basedOn w:val="Fuentedeprrafopredeter"/>
    <w:qFormat/>
    <w:rsid w:val="00B15F7D"/>
  </w:style>
  <w:style w:type="character" w:customStyle="1" w:styleId="WW8Num37z3">
    <w:name w:val="WW8Num37z3"/>
    <w:basedOn w:val="Fuentedeprrafopredeter"/>
    <w:qFormat/>
    <w:rsid w:val="00B15F7D"/>
  </w:style>
  <w:style w:type="character" w:customStyle="1" w:styleId="WW8Num37z4">
    <w:name w:val="WW8Num37z4"/>
    <w:basedOn w:val="Fuentedeprrafopredeter"/>
    <w:qFormat/>
    <w:rsid w:val="00B15F7D"/>
  </w:style>
  <w:style w:type="character" w:customStyle="1" w:styleId="WW8Num37z5">
    <w:name w:val="WW8Num37z5"/>
    <w:basedOn w:val="Fuentedeprrafopredeter"/>
    <w:qFormat/>
    <w:rsid w:val="00B15F7D"/>
  </w:style>
  <w:style w:type="character" w:customStyle="1" w:styleId="WW8Num37z6">
    <w:name w:val="WW8Num37z6"/>
    <w:basedOn w:val="Fuentedeprrafopredeter"/>
    <w:qFormat/>
    <w:rsid w:val="00B15F7D"/>
  </w:style>
  <w:style w:type="character" w:customStyle="1" w:styleId="WW8Num37z7">
    <w:name w:val="WW8Num37z7"/>
    <w:basedOn w:val="Fuentedeprrafopredeter"/>
    <w:qFormat/>
    <w:rsid w:val="00B15F7D"/>
  </w:style>
  <w:style w:type="character" w:customStyle="1" w:styleId="WW8Num37z8">
    <w:name w:val="WW8Num37z8"/>
    <w:basedOn w:val="Fuentedeprrafopredeter"/>
    <w:qFormat/>
    <w:rsid w:val="00B15F7D"/>
  </w:style>
  <w:style w:type="character" w:customStyle="1" w:styleId="WW8Num38z0">
    <w:name w:val="WW8Num38z0"/>
    <w:basedOn w:val="Fuentedeprrafopredeter"/>
    <w:qFormat/>
    <w:rsid w:val="00B15F7D"/>
    <w:rPr>
      <w:rFonts w:ascii="Symbol" w:hAnsi="Symbol" w:hint="default"/>
    </w:rPr>
  </w:style>
  <w:style w:type="character" w:customStyle="1" w:styleId="WW8Num38z1">
    <w:name w:val="WW8Num38z1"/>
    <w:basedOn w:val="Fuentedeprrafopredeter"/>
    <w:qFormat/>
    <w:rsid w:val="00B15F7D"/>
    <w:rPr>
      <w:rFonts w:ascii="Times New Roman" w:hAnsi="Times New Roman" w:cs="Times New Roman" w:hint="default"/>
    </w:rPr>
  </w:style>
  <w:style w:type="character" w:customStyle="1" w:styleId="WW8Num38z4">
    <w:name w:val="WW8Num38z4"/>
    <w:basedOn w:val="Fuentedeprrafopredeter"/>
    <w:qFormat/>
    <w:rsid w:val="00B15F7D"/>
    <w:rPr>
      <w:rFonts w:ascii="Courier New" w:hAnsi="Courier New" w:cs="Courier New" w:hint="default"/>
    </w:rPr>
  </w:style>
  <w:style w:type="character" w:customStyle="1" w:styleId="WW8Num38z5">
    <w:name w:val="WW8Num38z5"/>
    <w:basedOn w:val="Fuentedeprrafopredeter"/>
    <w:qFormat/>
    <w:rsid w:val="00B15F7D"/>
    <w:rPr>
      <w:rFonts w:ascii="Wingdings" w:hAnsi="Wingdings" w:hint="default"/>
    </w:rPr>
  </w:style>
  <w:style w:type="character" w:customStyle="1" w:styleId="WW8Num39z0">
    <w:name w:val="WW8Num39z0"/>
    <w:basedOn w:val="Fuentedeprrafopredeter"/>
    <w:qFormat/>
    <w:rsid w:val="00B15F7D"/>
    <w:rPr>
      <w:b/>
      <w:bCs/>
    </w:rPr>
  </w:style>
  <w:style w:type="character" w:customStyle="1" w:styleId="WW8Num40z0">
    <w:name w:val="WW8Num40z0"/>
    <w:basedOn w:val="Fuentedeprrafopredeter"/>
    <w:qFormat/>
    <w:rsid w:val="00B15F7D"/>
    <w:rPr>
      <w:b/>
      <w:bCs/>
    </w:rPr>
  </w:style>
  <w:style w:type="character" w:customStyle="1" w:styleId="WW8Num40z1">
    <w:name w:val="WW8Num40z1"/>
    <w:basedOn w:val="Fuentedeprrafopredeter"/>
    <w:qFormat/>
    <w:rsid w:val="00B15F7D"/>
    <w:rPr>
      <w:b/>
      <w:bCs/>
    </w:rPr>
  </w:style>
  <w:style w:type="character" w:customStyle="1" w:styleId="WW8Num41z0">
    <w:name w:val="WW8Num41z0"/>
    <w:basedOn w:val="Fuentedeprrafopredeter"/>
    <w:qFormat/>
    <w:rsid w:val="00B15F7D"/>
  </w:style>
  <w:style w:type="character" w:customStyle="1" w:styleId="WW8Num41z1">
    <w:name w:val="WW8Num41z1"/>
    <w:basedOn w:val="Fuentedeprrafopredeter"/>
    <w:qFormat/>
    <w:rsid w:val="00B15F7D"/>
  </w:style>
  <w:style w:type="character" w:customStyle="1" w:styleId="WW8Num41z2">
    <w:name w:val="WW8Num41z2"/>
    <w:basedOn w:val="Fuentedeprrafopredeter"/>
    <w:qFormat/>
    <w:rsid w:val="00B15F7D"/>
  </w:style>
  <w:style w:type="character" w:customStyle="1" w:styleId="WW8Num41z3">
    <w:name w:val="WW8Num41z3"/>
    <w:basedOn w:val="Fuentedeprrafopredeter"/>
    <w:qFormat/>
    <w:rsid w:val="00B15F7D"/>
  </w:style>
  <w:style w:type="character" w:customStyle="1" w:styleId="WW8Num41z4">
    <w:name w:val="WW8Num41z4"/>
    <w:basedOn w:val="Fuentedeprrafopredeter"/>
    <w:qFormat/>
    <w:rsid w:val="00B15F7D"/>
  </w:style>
  <w:style w:type="character" w:customStyle="1" w:styleId="WW8Num41z5">
    <w:name w:val="WW8Num41z5"/>
    <w:basedOn w:val="Fuentedeprrafopredeter"/>
    <w:qFormat/>
    <w:rsid w:val="00B15F7D"/>
  </w:style>
  <w:style w:type="character" w:customStyle="1" w:styleId="WW8Num41z6">
    <w:name w:val="WW8Num41z6"/>
    <w:basedOn w:val="Fuentedeprrafopredeter"/>
    <w:qFormat/>
    <w:rsid w:val="00B15F7D"/>
  </w:style>
  <w:style w:type="character" w:customStyle="1" w:styleId="WW8Num41z7">
    <w:name w:val="WW8Num41z7"/>
    <w:basedOn w:val="Fuentedeprrafopredeter"/>
    <w:qFormat/>
    <w:rsid w:val="00B15F7D"/>
  </w:style>
  <w:style w:type="character" w:customStyle="1" w:styleId="WW8Num41z8">
    <w:name w:val="WW8Num41z8"/>
    <w:basedOn w:val="Fuentedeprrafopredeter"/>
    <w:qFormat/>
    <w:rsid w:val="00B15F7D"/>
  </w:style>
  <w:style w:type="character" w:customStyle="1" w:styleId="WW8Num42z0">
    <w:name w:val="WW8Num42z0"/>
    <w:basedOn w:val="Fuentedeprrafopredeter"/>
    <w:qFormat/>
    <w:rsid w:val="00B15F7D"/>
  </w:style>
  <w:style w:type="character" w:customStyle="1" w:styleId="WW8Num42z1">
    <w:name w:val="WW8Num42z1"/>
    <w:basedOn w:val="Fuentedeprrafopredeter"/>
    <w:qFormat/>
    <w:rsid w:val="00B15F7D"/>
  </w:style>
  <w:style w:type="character" w:customStyle="1" w:styleId="WW8Num42z2">
    <w:name w:val="WW8Num42z2"/>
    <w:basedOn w:val="Fuentedeprrafopredeter"/>
    <w:qFormat/>
    <w:rsid w:val="00B15F7D"/>
  </w:style>
  <w:style w:type="character" w:customStyle="1" w:styleId="WW8Num42z3">
    <w:name w:val="WW8Num42z3"/>
    <w:basedOn w:val="Fuentedeprrafopredeter"/>
    <w:qFormat/>
    <w:rsid w:val="00B15F7D"/>
  </w:style>
  <w:style w:type="character" w:customStyle="1" w:styleId="WW8Num42z4">
    <w:name w:val="WW8Num42z4"/>
    <w:basedOn w:val="Fuentedeprrafopredeter"/>
    <w:qFormat/>
    <w:rsid w:val="00B15F7D"/>
  </w:style>
  <w:style w:type="character" w:customStyle="1" w:styleId="WW8Num42z5">
    <w:name w:val="WW8Num42z5"/>
    <w:basedOn w:val="Fuentedeprrafopredeter"/>
    <w:qFormat/>
    <w:rsid w:val="00B15F7D"/>
  </w:style>
  <w:style w:type="character" w:customStyle="1" w:styleId="WW8Num42z6">
    <w:name w:val="WW8Num42z6"/>
    <w:basedOn w:val="Fuentedeprrafopredeter"/>
    <w:qFormat/>
    <w:rsid w:val="00B15F7D"/>
  </w:style>
  <w:style w:type="character" w:customStyle="1" w:styleId="WW8Num42z7">
    <w:name w:val="WW8Num42z7"/>
    <w:basedOn w:val="Fuentedeprrafopredeter"/>
    <w:qFormat/>
    <w:rsid w:val="00B15F7D"/>
  </w:style>
  <w:style w:type="character" w:customStyle="1" w:styleId="WW8Num42z8">
    <w:name w:val="WW8Num42z8"/>
    <w:basedOn w:val="Fuentedeprrafopredeter"/>
    <w:qFormat/>
    <w:rsid w:val="00B15F7D"/>
  </w:style>
  <w:style w:type="character" w:customStyle="1" w:styleId="WW8Num43z0">
    <w:name w:val="WW8Num43z0"/>
    <w:basedOn w:val="Fuentedeprrafopredeter"/>
    <w:qFormat/>
    <w:rsid w:val="00B15F7D"/>
  </w:style>
  <w:style w:type="character" w:customStyle="1" w:styleId="WW8Num43z1">
    <w:name w:val="WW8Num43z1"/>
    <w:basedOn w:val="Fuentedeprrafopredeter"/>
    <w:qFormat/>
    <w:rsid w:val="00B15F7D"/>
  </w:style>
  <w:style w:type="character" w:customStyle="1" w:styleId="WW8Num43z2">
    <w:name w:val="WW8Num43z2"/>
    <w:basedOn w:val="Fuentedeprrafopredeter"/>
    <w:qFormat/>
    <w:rsid w:val="00B15F7D"/>
  </w:style>
  <w:style w:type="character" w:customStyle="1" w:styleId="WW8Num43z3">
    <w:name w:val="WW8Num43z3"/>
    <w:basedOn w:val="Fuentedeprrafopredeter"/>
    <w:uiPriority w:val="99"/>
    <w:rsid w:val="00B15F7D"/>
  </w:style>
  <w:style w:type="character" w:customStyle="1" w:styleId="WW8Num43z4">
    <w:name w:val="WW8Num43z4"/>
    <w:basedOn w:val="Fuentedeprrafopredeter"/>
    <w:uiPriority w:val="99"/>
    <w:rsid w:val="00B15F7D"/>
  </w:style>
  <w:style w:type="character" w:customStyle="1" w:styleId="WW8Num43z5">
    <w:name w:val="WW8Num43z5"/>
    <w:basedOn w:val="Fuentedeprrafopredeter"/>
    <w:uiPriority w:val="99"/>
    <w:rsid w:val="00B15F7D"/>
  </w:style>
  <w:style w:type="character" w:customStyle="1" w:styleId="WW8Num43z6">
    <w:name w:val="WW8Num43z6"/>
    <w:basedOn w:val="Fuentedeprrafopredeter"/>
    <w:uiPriority w:val="99"/>
    <w:rsid w:val="00B15F7D"/>
  </w:style>
  <w:style w:type="character" w:customStyle="1" w:styleId="WW8Num43z7">
    <w:name w:val="WW8Num43z7"/>
    <w:basedOn w:val="Fuentedeprrafopredeter"/>
    <w:uiPriority w:val="99"/>
    <w:rsid w:val="00B15F7D"/>
  </w:style>
  <w:style w:type="character" w:customStyle="1" w:styleId="WW8Num43z8">
    <w:name w:val="WW8Num43z8"/>
    <w:basedOn w:val="Fuentedeprrafopredeter"/>
    <w:uiPriority w:val="99"/>
    <w:rsid w:val="00B15F7D"/>
  </w:style>
  <w:style w:type="character" w:customStyle="1" w:styleId="WW8Num44z0">
    <w:name w:val="WW8Num44z0"/>
    <w:basedOn w:val="Fuentedeprrafopredeter"/>
    <w:qFormat/>
    <w:rsid w:val="00B15F7D"/>
    <w:rPr>
      <w:rFonts w:ascii="Wingdings" w:hAnsi="Wingdings" w:hint="default"/>
    </w:rPr>
  </w:style>
  <w:style w:type="character" w:customStyle="1" w:styleId="WW8Num44z1">
    <w:name w:val="WW8Num44z1"/>
    <w:basedOn w:val="Fuentedeprrafopredeter"/>
    <w:qFormat/>
    <w:rsid w:val="00B15F7D"/>
    <w:rPr>
      <w:rFonts w:ascii="Courier New" w:hAnsi="Courier New" w:cs="Courier New" w:hint="default"/>
    </w:rPr>
  </w:style>
  <w:style w:type="character" w:customStyle="1" w:styleId="WW8Num44z3">
    <w:name w:val="WW8Num44z3"/>
    <w:basedOn w:val="Fuentedeprrafopredeter"/>
    <w:qFormat/>
    <w:rsid w:val="00B15F7D"/>
    <w:rPr>
      <w:rFonts w:ascii="Symbol" w:hAnsi="Symbol" w:hint="default"/>
    </w:rPr>
  </w:style>
  <w:style w:type="character" w:customStyle="1" w:styleId="WW8Num45z0">
    <w:name w:val="WW8Num45z0"/>
    <w:basedOn w:val="Fuentedeprrafopredeter"/>
    <w:qFormat/>
    <w:rsid w:val="00B15F7D"/>
  </w:style>
  <w:style w:type="character" w:customStyle="1" w:styleId="WW8Num45z1">
    <w:name w:val="WW8Num45z1"/>
    <w:basedOn w:val="Fuentedeprrafopredeter"/>
    <w:qFormat/>
    <w:rsid w:val="00B15F7D"/>
  </w:style>
  <w:style w:type="character" w:customStyle="1" w:styleId="WW8Num45z2">
    <w:name w:val="WW8Num45z2"/>
    <w:basedOn w:val="Fuentedeprrafopredeter"/>
    <w:qFormat/>
    <w:rsid w:val="00B15F7D"/>
  </w:style>
  <w:style w:type="character" w:customStyle="1" w:styleId="WW8Num45z3">
    <w:name w:val="WW8Num45z3"/>
    <w:basedOn w:val="Fuentedeprrafopredeter"/>
    <w:qFormat/>
    <w:rsid w:val="00B15F7D"/>
  </w:style>
  <w:style w:type="character" w:customStyle="1" w:styleId="WW8Num45z4">
    <w:name w:val="WW8Num45z4"/>
    <w:basedOn w:val="Fuentedeprrafopredeter"/>
    <w:qFormat/>
    <w:rsid w:val="00B15F7D"/>
  </w:style>
  <w:style w:type="character" w:customStyle="1" w:styleId="WW8Num45z5">
    <w:name w:val="WW8Num45z5"/>
    <w:basedOn w:val="Fuentedeprrafopredeter"/>
    <w:qFormat/>
    <w:rsid w:val="00B15F7D"/>
  </w:style>
  <w:style w:type="character" w:customStyle="1" w:styleId="WW8Num45z6">
    <w:name w:val="WW8Num45z6"/>
    <w:basedOn w:val="Fuentedeprrafopredeter"/>
    <w:qFormat/>
    <w:rsid w:val="00B15F7D"/>
  </w:style>
  <w:style w:type="character" w:customStyle="1" w:styleId="WW8Num45z7">
    <w:name w:val="WW8Num45z7"/>
    <w:basedOn w:val="Fuentedeprrafopredeter"/>
    <w:qFormat/>
    <w:rsid w:val="00B15F7D"/>
  </w:style>
  <w:style w:type="character" w:customStyle="1" w:styleId="WW8Num45z8">
    <w:name w:val="WW8Num45z8"/>
    <w:basedOn w:val="Fuentedeprrafopredeter"/>
    <w:qFormat/>
    <w:rsid w:val="00B15F7D"/>
  </w:style>
  <w:style w:type="character" w:customStyle="1" w:styleId="WW8Num46z1">
    <w:name w:val="WW8Num46z1"/>
    <w:basedOn w:val="Fuentedeprrafopredeter"/>
    <w:qFormat/>
    <w:rsid w:val="00B15F7D"/>
  </w:style>
  <w:style w:type="character" w:customStyle="1" w:styleId="WW8Num46z2">
    <w:name w:val="WW8Num46z2"/>
    <w:basedOn w:val="Fuentedeprrafopredeter"/>
    <w:qFormat/>
    <w:rsid w:val="00B15F7D"/>
  </w:style>
  <w:style w:type="character" w:customStyle="1" w:styleId="WW8Num46z3">
    <w:name w:val="WW8Num46z3"/>
    <w:basedOn w:val="Fuentedeprrafopredeter"/>
    <w:qFormat/>
    <w:rsid w:val="00B15F7D"/>
  </w:style>
  <w:style w:type="character" w:customStyle="1" w:styleId="WW8Num46z4">
    <w:name w:val="WW8Num46z4"/>
    <w:basedOn w:val="Fuentedeprrafopredeter"/>
    <w:qFormat/>
    <w:rsid w:val="00B15F7D"/>
  </w:style>
  <w:style w:type="character" w:customStyle="1" w:styleId="WW8Num46z5">
    <w:name w:val="WW8Num46z5"/>
    <w:basedOn w:val="Fuentedeprrafopredeter"/>
    <w:qFormat/>
    <w:rsid w:val="00B15F7D"/>
  </w:style>
  <w:style w:type="character" w:customStyle="1" w:styleId="WW8Num46z6">
    <w:name w:val="WW8Num46z6"/>
    <w:basedOn w:val="Fuentedeprrafopredeter"/>
    <w:qFormat/>
    <w:rsid w:val="00B15F7D"/>
  </w:style>
  <w:style w:type="character" w:customStyle="1" w:styleId="WW8Num46z7">
    <w:name w:val="WW8Num46z7"/>
    <w:basedOn w:val="Fuentedeprrafopredeter"/>
    <w:qFormat/>
    <w:rsid w:val="00B15F7D"/>
  </w:style>
  <w:style w:type="character" w:customStyle="1" w:styleId="WW8Num46z8">
    <w:name w:val="WW8Num46z8"/>
    <w:basedOn w:val="Fuentedeprrafopredeter"/>
    <w:qFormat/>
    <w:rsid w:val="00B15F7D"/>
  </w:style>
  <w:style w:type="character" w:customStyle="1" w:styleId="WW8Num47z0">
    <w:name w:val="WW8Num47z0"/>
    <w:basedOn w:val="Fuentedeprrafopredeter"/>
    <w:qFormat/>
    <w:rsid w:val="00B15F7D"/>
    <w:rPr>
      <w:rFonts w:ascii="Symbol" w:hAnsi="Symbol" w:hint="default"/>
    </w:rPr>
  </w:style>
  <w:style w:type="character" w:customStyle="1" w:styleId="WW8Num47z1">
    <w:name w:val="WW8Num47z1"/>
    <w:basedOn w:val="Fuentedeprrafopredeter"/>
    <w:qFormat/>
    <w:rsid w:val="00B15F7D"/>
    <w:rPr>
      <w:rFonts w:ascii="Courier New" w:hAnsi="Courier New" w:cs="Courier New" w:hint="default"/>
    </w:rPr>
  </w:style>
  <w:style w:type="character" w:customStyle="1" w:styleId="WW8Num47z2">
    <w:name w:val="WW8Num47z2"/>
    <w:basedOn w:val="Fuentedeprrafopredeter"/>
    <w:uiPriority w:val="99"/>
    <w:rsid w:val="00B15F7D"/>
    <w:rPr>
      <w:rFonts w:ascii="Wingdings" w:hAnsi="Wingdings" w:hint="default"/>
    </w:rPr>
  </w:style>
  <w:style w:type="character" w:customStyle="1" w:styleId="WW8Num48z0">
    <w:name w:val="WW8Num48z0"/>
    <w:basedOn w:val="Fuentedeprrafopredeter"/>
    <w:qFormat/>
    <w:rsid w:val="00B15F7D"/>
    <w:rPr>
      <w:rFonts w:ascii="Times New Roman" w:hAnsi="Times New Roman" w:cs="Times New Roman" w:hint="default"/>
    </w:rPr>
  </w:style>
  <w:style w:type="character" w:customStyle="1" w:styleId="WW8Num48z1">
    <w:name w:val="WW8Num48z1"/>
    <w:basedOn w:val="Fuentedeprrafopredeter"/>
    <w:qFormat/>
    <w:rsid w:val="00B15F7D"/>
    <w:rPr>
      <w:rFonts w:ascii="Courier New" w:hAnsi="Courier New" w:cs="Courier New" w:hint="default"/>
    </w:rPr>
  </w:style>
  <w:style w:type="character" w:customStyle="1" w:styleId="WW8Num48z2">
    <w:name w:val="WW8Num48z2"/>
    <w:basedOn w:val="Fuentedeprrafopredeter"/>
    <w:qFormat/>
    <w:rsid w:val="00B15F7D"/>
    <w:rPr>
      <w:rFonts w:ascii="Wingdings" w:hAnsi="Wingdings" w:hint="default"/>
    </w:rPr>
  </w:style>
  <w:style w:type="character" w:customStyle="1" w:styleId="WW8Num48z3">
    <w:name w:val="WW8Num48z3"/>
    <w:basedOn w:val="Fuentedeprrafopredeter"/>
    <w:qFormat/>
    <w:rsid w:val="00B15F7D"/>
    <w:rPr>
      <w:rFonts w:ascii="Symbol" w:hAnsi="Symbol" w:hint="default"/>
    </w:rPr>
  </w:style>
  <w:style w:type="character" w:customStyle="1" w:styleId="WW8Num49z0">
    <w:name w:val="WW8Num49z0"/>
    <w:basedOn w:val="Fuentedeprrafopredeter"/>
    <w:qFormat/>
    <w:rsid w:val="00B15F7D"/>
  </w:style>
  <w:style w:type="character" w:customStyle="1" w:styleId="WW8Num49z1">
    <w:name w:val="WW8Num49z1"/>
    <w:basedOn w:val="Fuentedeprrafopredeter"/>
    <w:qFormat/>
    <w:rsid w:val="00B15F7D"/>
  </w:style>
  <w:style w:type="character" w:customStyle="1" w:styleId="WW8Num49z2">
    <w:name w:val="WW8Num49z2"/>
    <w:basedOn w:val="Fuentedeprrafopredeter"/>
    <w:qFormat/>
    <w:rsid w:val="00B15F7D"/>
  </w:style>
  <w:style w:type="character" w:customStyle="1" w:styleId="WW8Num49z3">
    <w:name w:val="WW8Num49z3"/>
    <w:basedOn w:val="Fuentedeprrafopredeter"/>
    <w:qFormat/>
    <w:rsid w:val="00B15F7D"/>
  </w:style>
  <w:style w:type="character" w:customStyle="1" w:styleId="WW8Num49z4">
    <w:name w:val="WW8Num49z4"/>
    <w:basedOn w:val="Fuentedeprrafopredeter"/>
    <w:qFormat/>
    <w:rsid w:val="00B15F7D"/>
  </w:style>
  <w:style w:type="character" w:customStyle="1" w:styleId="WW8Num49z5">
    <w:name w:val="WW8Num49z5"/>
    <w:basedOn w:val="Fuentedeprrafopredeter"/>
    <w:qFormat/>
    <w:rsid w:val="00B15F7D"/>
  </w:style>
  <w:style w:type="character" w:customStyle="1" w:styleId="WW8Num49z6">
    <w:name w:val="WW8Num49z6"/>
    <w:basedOn w:val="Fuentedeprrafopredeter"/>
    <w:qFormat/>
    <w:rsid w:val="00B15F7D"/>
  </w:style>
  <w:style w:type="character" w:customStyle="1" w:styleId="WW8Num49z7">
    <w:name w:val="WW8Num49z7"/>
    <w:basedOn w:val="Fuentedeprrafopredeter"/>
    <w:qFormat/>
    <w:rsid w:val="00B15F7D"/>
  </w:style>
  <w:style w:type="character" w:customStyle="1" w:styleId="WW8Num49z8">
    <w:name w:val="WW8Num49z8"/>
    <w:basedOn w:val="Fuentedeprrafopredeter"/>
    <w:qFormat/>
    <w:rsid w:val="00B15F7D"/>
  </w:style>
  <w:style w:type="character" w:customStyle="1" w:styleId="WW8Num50z0">
    <w:name w:val="WW8Num50z0"/>
    <w:basedOn w:val="Fuentedeprrafopredeter"/>
    <w:uiPriority w:val="99"/>
    <w:rsid w:val="00B15F7D"/>
    <w:rPr>
      <w:rFonts w:ascii="Symbol" w:hAnsi="Symbol" w:hint="default"/>
    </w:rPr>
  </w:style>
  <w:style w:type="character" w:customStyle="1" w:styleId="WW8Num50z1">
    <w:name w:val="WW8Num50z1"/>
    <w:basedOn w:val="Fuentedeprrafopredeter"/>
    <w:uiPriority w:val="99"/>
    <w:rsid w:val="00B15F7D"/>
    <w:rPr>
      <w:rFonts w:ascii="Courier New" w:hAnsi="Courier New" w:cs="Courier New" w:hint="default"/>
    </w:rPr>
  </w:style>
  <w:style w:type="character" w:customStyle="1" w:styleId="WW8Num50z2">
    <w:name w:val="WW8Num50z2"/>
    <w:basedOn w:val="Fuentedeprrafopredeter"/>
    <w:uiPriority w:val="99"/>
    <w:rsid w:val="00B15F7D"/>
    <w:rPr>
      <w:rFonts w:ascii="Wingdings" w:hAnsi="Wingdings" w:hint="default"/>
    </w:rPr>
  </w:style>
  <w:style w:type="character" w:customStyle="1" w:styleId="WW8Num51z0">
    <w:name w:val="WW8Num51z0"/>
    <w:basedOn w:val="Fuentedeprrafopredeter"/>
    <w:uiPriority w:val="99"/>
    <w:rsid w:val="00B15F7D"/>
    <w:rPr>
      <w:rFonts w:ascii="Symbol" w:hAnsi="Symbol" w:hint="default"/>
    </w:rPr>
  </w:style>
  <w:style w:type="character" w:customStyle="1" w:styleId="WW8Num51z1">
    <w:name w:val="WW8Num51z1"/>
    <w:basedOn w:val="Fuentedeprrafopredeter"/>
    <w:uiPriority w:val="99"/>
    <w:rsid w:val="00B15F7D"/>
  </w:style>
  <w:style w:type="character" w:customStyle="1" w:styleId="WW8Num51z2">
    <w:name w:val="WW8Num51z2"/>
    <w:basedOn w:val="Fuentedeprrafopredeter"/>
    <w:uiPriority w:val="99"/>
    <w:rsid w:val="00B15F7D"/>
  </w:style>
  <w:style w:type="character" w:customStyle="1" w:styleId="WW8Num51z3">
    <w:name w:val="WW8Num51z3"/>
    <w:basedOn w:val="Fuentedeprrafopredeter"/>
    <w:uiPriority w:val="99"/>
    <w:rsid w:val="00B15F7D"/>
  </w:style>
  <w:style w:type="character" w:customStyle="1" w:styleId="WW8Num51z4">
    <w:name w:val="WW8Num51z4"/>
    <w:basedOn w:val="Fuentedeprrafopredeter"/>
    <w:uiPriority w:val="99"/>
    <w:rsid w:val="00B15F7D"/>
  </w:style>
  <w:style w:type="character" w:customStyle="1" w:styleId="WW8Num51z5">
    <w:name w:val="WW8Num51z5"/>
    <w:basedOn w:val="Fuentedeprrafopredeter"/>
    <w:uiPriority w:val="99"/>
    <w:rsid w:val="00B15F7D"/>
  </w:style>
  <w:style w:type="character" w:customStyle="1" w:styleId="WW8Num51z6">
    <w:name w:val="WW8Num51z6"/>
    <w:basedOn w:val="Fuentedeprrafopredeter"/>
    <w:uiPriority w:val="99"/>
    <w:rsid w:val="00B15F7D"/>
  </w:style>
  <w:style w:type="character" w:customStyle="1" w:styleId="WW8Num51z7">
    <w:name w:val="WW8Num51z7"/>
    <w:basedOn w:val="Fuentedeprrafopredeter"/>
    <w:uiPriority w:val="99"/>
    <w:rsid w:val="00B15F7D"/>
  </w:style>
  <w:style w:type="character" w:customStyle="1" w:styleId="WW8Num51z8">
    <w:name w:val="WW8Num51z8"/>
    <w:basedOn w:val="Fuentedeprrafopredeter"/>
    <w:uiPriority w:val="99"/>
    <w:rsid w:val="00B15F7D"/>
  </w:style>
  <w:style w:type="character" w:customStyle="1" w:styleId="WW8Num52z0">
    <w:name w:val="WW8Num52z0"/>
    <w:basedOn w:val="Fuentedeprrafopredeter"/>
    <w:rsid w:val="00B15F7D"/>
    <w:rPr>
      <w:b/>
      <w:bCs/>
    </w:rPr>
  </w:style>
  <w:style w:type="character" w:customStyle="1" w:styleId="WW8Num53z0">
    <w:name w:val="WW8Num53z0"/>
    <w:basedOn w:val="Fuentedeprrafopredeter"/>
    <w:uiPriority w:val="99"/>
    <w:rsid w:val="00B15F7D"/>
    <w:rPr>
      <w:rFonts w:ascii="Wingdings" w:hAnsi="Wingdings" w:hint="default"/>
    </w:rPr>
  </w:style>
  <w:style w:type="character" w:customStyle="1" w:styleId="WW8Num53z1">
    <w:name w:val="WW8Num53z1"/>
    <w:basedOn w:val="Fuentedeprrafopredeter"/>
    <w:uiPriority w:val="99"/>
    <w:rsid w:val="00B15F7D"/>
    <w:rPr>
      <w:rFonts w:ascii="Courier New" w:hAnsi="Courier New" w:cs="Courier New" w:hint="default"/>
    </w:rPr>
  </w:style>
  <w:style w:type="character" w:customStyle="1" w:styleId="WW8Num53z3">
    <w:name w:val="WW8Num53z3"/>
    <w:basedOn w:val="Fuentedeprrafopredeter"/>
    <w:uiPriority w:val="99"/>
    <w:rsid w:val="00B15F7D"/>
    <w:rPr>
      <w:rFonts w:ascii="Symbol" w:hAnsi="Symbol" w:hint="default"/>
    </w:rPr>
  </w:style>
  <w:style w:type="character" w:customStyle="1" w:styleId="WW8Num54z0">
    <w:name w:val="WW8Num54z0"/>
    <w:basedOn w:val="Fuentedeprrafopredeter"/>
    <w:uiPriority w:val="99"/>
    <w:rsid w:val="00B15F7D"/>
  </w:style>
  <w:style w:type="character" w:customStyle="1" w:styleId="WW8Num54z1">
    <w:name w:val="WW8Num54z1"/>
    <w:basedOn w:val="Fuentedeprrafopredeter"/>
    <w:uiPriority w:val="99"/>
    <w:rsid w:val="00B15F7D"/>
  </w:style>
  <w:style w:type="character" w:customStyle="1" w:styleId="WW8Num54z2">
    <w:name w:val="WW8Num54z2"/>
    <w:basedOn w:val="Fuentedeprrafopredeter"/>
    <w:uiPriority w:val="99"/>
    <w:rsid w:val="00B15F7D"/>
  </w:style>
  <w:style w:type="character" w:customStyle="1" w:styleId="WW8Num54z3">
    <w:name w:val="WW8Num54z3"/>
    <w:basedOn w:val="Fuentedeprrafopredeter"/>
    <w:uiPriority w:val="99"/>
    <w:rsid w:val="00B15F7D"/>
  </w:style>
  <w:style w:type="character" w:customStyle="1" w:styleId="WW8Num54z4">
    <w:name w:val="WW8Num54z4"/>
    <w:basedOn w:val="Fuentedeprrafopredeter"/>
    <w:uiPriority w:val="99"/>
    <w:rsid w:val="00B15F7D"/>
  </w:style>
  <w:style w:type="character" w:customStyle="1" w:styleId="WW8Num54z5">
    <w:name w:val="WW8Num54z5"/>
    <w:basedOn w:val="Fuentedeprrafopredeter"/>
    <w:uiPriority w:val="99"/>
    <w:rsid w:val="00B15F7D"/>
  </w:style>
  <w:style w:type="character" w:customStyle="1" w:styleId="WW8Num54z6">
    <w:name w:val="WW8Num54z6"/>
    <w:basedOn w:val="Fuentedeprrafopredeter"/>
    <w:uiPriority w:val="99"/>
    <w:rsid w:val="00B15F7D"/>
  </w:style>
  <w:style w:type="character" w:customStyle="1" w:styleId="WW8Num54z7">
    <w:name w:val="WW8Num54z7"/>
    <w:basedOn w:val="Fuentedeprrafopredeter"/>
    <w:uiPriority w:val="99"/>
    <w:rsid w:val="00B15F7D"/>
  </w:style>
  <w:style w:type="character" w:customStyle="1" w:styleId="WW8Num54z8">
    <w:name w:val="WW8Num54z8"/>
    <w:basedOn w:val="Fuentedeprrafopredeter"/>
    <w:uiPriority w:val="99"/>
    <w:rsid w:val="00B15F7D"/>
  </w:style>
  <w:style w:type="character" w:customStyle="1" w:styleId="WW8Num55z0">
    <w:name w:val="WW8Num55z0"/>
    <w:basedOn w:val="Fuentedeprrafopredeter"/>
    <w:uiPriority w:val="99"/>
    <w:rsid w:val="00B15F7D"/>
  </w:style>
  <w:style w:type="character" w:customStyle="1" w:styleId="WW8Num55z1">
    <w:name w:val="WW8Num55z1"/>
    <w:basedOn w:val="Fuentedeprrafopredeter"/>
    <w:uiPriority w:val="99"/>
    <w:rsid w:val="00B15F7D"/>
  </w:style>
  <w:style w:type="character" w:customStyle="1" w:styleId="WW8Num55z2">
    <w:name w:val="WW8Num55z2"/>
    <w:basedOn w:val="Fuentedeprrafopredeter"/>
    <w:uiPriority w:val="99"/>
    <w:rsid w:val="00B15F7D"/>
  </w:style>
  <w:style w:type="character" w:customStyle="1" w:styleId="WW8Num55z3">
    <w:name w:val="WW8Num55z3"/>
    <w:basedOn w:val="Fuentedeprrafopredeter"/>
    <w:uiPriority w:val="99"/>
    <w:rsid w:val="00B15F7D"/>
  </w:style>
  <w:style w:type="character" w:customStyle="1" w:styleId="WW8Num55z4">
    <w:name w:val="WW8Num55z4"/>
    <w:basedOn w:val="Fuentedeprrafopredeter"/>
    <w:uiPriority w:val="99"/>
    <w:rsid w:val="00B15F7D"/>
  </w:style>
  <w:style w:type="character" w:customStyle="1" w:styleId="WW8Num55z5">
    <w:name w:val="WW8Num55z5"/>
    <w:basedOn w:val="Fuentedeprrafopredeter"/>
    <w:uiPriority w:val="99"/>
    <w:rsid w:val="00B15F7D"/>
  </w:style>
  <w:style w:type="character" w:customStyle="1" w:styleId="WW8Num55z6">
    <w:name w:val="WW8Num55z6"/>
    <w:basedOn w:val="Fuentedeprrafopredeter"/>
    <w:uiPriority w:val="99"/>
    <w:rsid w:val="00B15F7D"/>
  </w:style>
  <w:style w:type="character" w:customStyle="1" w:styleId="WW8Num55z7">
    <w:name w:val="WW8Num55z7"/>
    <w:basedOn w:val="Fuentedeprrafopredeter"/>
    <w:uiPriority w:val="99"/>
    <w:rsid w:val="00B15F7D"/>
  </w:style>
  <w:style w:type="character" w:customStyle="1" w:styleId="WW8Num55z8">
    <w:name w:val="WW8Num55z8"/>
    <w:basedOn w:val="Fuentedeprrafopredeter"/>
    <w:uiPriority w:val="99"/>
    <w:rsid w:val="00B15F7D"/>
  </w:style>
  <w:style w:type="character" w:customStyle="1" w:styleId="WW8Num56z0">
    <w:name w:val="WW8Num56z0"/>
    <w:basedOn w:val="Fuentedeprrafopredeter"/>
    <w:uiPriority w:val="99"/>
    <w:rsid w:val="00B15F7D"/>
  </w:style>
  <w:style w:type="character" w:customStyle="1" w:styleId="WW8Num56z1">
    <w:name w:val="WW8Num56z1"/>
    <w:basedOn w:val="Fuentedeprrafopredeter"/>
    <w:uiPriority w:val="99"/>
    <w:rsid w:val="00B15F7D"/>
  </w:style>
  <w:style w:type="character" w:customStyle="1" w:styleId="WW8Num56z2">
    <w:name w:val="WW8Num56z2"/>
    <w:basedOn w:val="Fuentedeprrafopredeter"/>
    <w:uiPriority w:val="99"/>
    <w:rsid w:val="00B15F7D"/>
  </w:style>
  <w:style w:type="character" w:customStyle="1" w:styleId="WW8Num56z3">
    <w:name w:val="WW8Num56z3"/>
    <w:basedOn w:val="Fuentedeprrafopredeter"/>
    <w:uiPriority w:val="99"/>
    <w:rsid w:val="00B15F7D"/>
  </w:style>
  <w:style w:type="character" w:customStyle="1" w:styleId="WW8Num56z4">
    <w:name w:val="WW8Num56z4"/>
    <w:basedOn w:val="Fuentedeprrafopredeter"/>
    <w:uiPriority w:val="99"/>
    <w:rsid w:val="00B15F7D"/>
  </w:style>
  <w:style w:type="character" w:customStyle="1" w:styleId="WW8Num56z5">
    <w:name w:val="WW8Num56z5"/>
    <w:basedOn w:val="Fuentedeprrafopredeter"/>
    <w:uiPriority w:val="99"/>
    <w:rsid w:val="00B15F7D"/>
  </w:style>
  <w:style w:type="character" w:customStyle="1" w:styleId="WW8Num56z6">
    <w:name w:val="WW8Num56z6"/>
    <w:basedOn w:val="Fuentedeprrafopredeter"/>
    <w:uiPriority w:val="99"/>
    <w:rsid w:val="00B15F7D"/>
  </w:style>
  <w:style w:type="character" w:customStyle="1" w:styleId="WW8Num56z7">
    <w:name w:val="WW8Num56z7"/>
    <w:basedOn w:val="Fuentedeprrafopredeter"/>
    <w:uiPriority w:val="99"/>
    <w:rsid w:val="00B15F7D"/>
  </w:style>
  <w:style w:type="character" w:customStyle="1" w:styleId="WW8Num56z8">
    <w:name w:val="WW8Num56z8"/>
    <w:basedOn w:val="Fuentedeprrafopredeter"/>
    <w:uiPriority w:val="99"/>
    <w:rsid w:val="00B15F7D"/>
  </w:style>
  <w:style w:type="character" w:customStyle="1" w:styleId="WW8Num57z0">
    <w:name w:val="WW8Num57z0"/>
    <w:basedOn w:val="Fuentedeprrafopredeter"/>
    <w:uiPriority w:val="99"/>
    <w:rsid w:val="00B15F7D"/>
    <w:rPr>
      <w:rFonts w:ascii="Symbol" w:hAnsi="Symbol" w:hint="default"/>
    </w:rPr>
  </w:style>
  <w:style w:type="character" w:customStyle="1" w:styleId="WW8Num57z1">
    <w:name w:val="WW8Num57z1"/>
    <w:basedOn w:val="Fuentedeprrafopredeter"/>
    <w:uiPriority w:val="99"/>
    <w:rsid w:val="00B15F7D"/>
    <w:rPr>
      <w:rFonts w:ascii="Courier New" w:hAnsi="Courier New" w:cs="Courier New" w:hint="default"/>
    </w:rPr>
  </w:style>
  <w:style w:type="character" w:customStyle="1" w:styleId="WW8Num57z2">
    <w:name w:val="WW8Num57z2"/>
    <w:basedOn w:val="Fuentedeprrafopredeter"/>
    <w:uiPriority w:val="99"/>
    <w:rsid w:val="00B15F7D"/>
    <w:rPr>
      <w:rFonts w:ascii="Wingdings" w:hAnsi="Wingdings" w:hint="default"/>
    </w:rPr>
  </w:style>
  <w:style w:type="character" w:customStyle="1" w:styleId="WW8Num58z0">
    <w:name w:val="WW8Num58z0"/>
    <w:basedOn w:val="Fuentedeprrafopredeter"/>
    <w:uiPriority w:val="99"/>
    <w:rsid w:val="00B15F7D"/>
  </w:style>
  <w:style w:type="character" w:customStyle="1" w:styleId="WW8Num58z1">
    <w:name w:val="WW8Num58z1"/>
    <w:basedOn w:val="Fuentedeprrafopredeter"/>
    <w:uiPriority w:val="99"/>
    <w:rsid w:val="00B15F7D"/>
  </w:style>
  <w:style w:type="character" w:customStyle="1" w:styleId="WW8Num58z2">
    <w:name w:val="WW8Num58z2"/>
    <w:basedOn w:val="Fuentedeprrafopredeter"/>
    <w:uiPriority w:val="99"/>
    <w:rsid w:val="00B15F7D"/>
  </w:style>
  <w:style w:type="character" w:customStyle="1" w:styleId="WW8Num58z3">
    <w:name w:val="WW8Num58z3"/>
    <w:basedOn w:val="Fuentedeprrafopredeter"/>
    <w:uiPriority w:val="99"/>
    <w:rsid w:val="00B15F7D"/>
  </w:style>
  <w:style w:type="character" w:customStyle="1" w:styleId="WW8Num58z4">
    <w:name w:val="WW8Num58z4"/>
    <w:basedOn w:val="Fuentedeprrafopredeter"/>
    <w:uiPriority w:val="99"/>
    <w:rsid w:val="00B15F7D"/>
  </w:style>
  <w:style w:type="character" w:customStyle="1" w:styleId="WW8Num58z5">
    <w:name w:val="WW8Num58z5"/>
    <w:basedOn w:val="Fuentedeprrafopredeter"/>
    <w:uiPriority w:val="99"/>
    <w:rsid w:val="00B15F7D"/>
  </w:style>
  <w:style w:type="character" w:customStyle="1" w:styleId="WW8Num58z6">
    <w:name w:val="WW8Num58z6"/>
    <w:basedOn w:val="Fuentedeprrafopredeter"/>
    <w:uiPriority w:val="99"/>
    <w:rsid w:val="00B15F7D"/>
  </w:style>
  <w:style w:type="character" w:customStyle="1" w:styleId="WW8Num58z7">
    <w:name w:val="WW8Num58z7"/>
    <w:basedOn w:val="Fuentedeprrafopredeter"/>
    <w:uiPriority w:val="99"/>
    <w:rsid w:val="00B15F7D"/>
  </w:style>
  <w:style w:type="character" w:customStyle="1" w:styleId="WW8Num58z8">
    <w:name w:val="WW8Num58z8"/>
    <w:basedOn w:val="Fuentedeprrafopredeter"/>
    <w:uiPriority w:val="99"/>
    <w:rsid w:val="00B15F7D"/>
  </w:style>
  <w:style w:type="character" w:customStyle="1" w:styleId="WW8Num59z0">
    <w:name w:val="WW8Num59z0"/>
    <w:basedOn w:val="Fuentedeprrafopredeter"/>
    <w:uiPriority w:val="99"/>
    <w:rsid w:val="00B15F7D"/>
  </w:style>
  <w:style w:type="character" w:customStyle="1" w:styleId="WW8Num59z1">
    <w:name w:val="WW8Num59z1"/>
    <w:basedOn w:val="Fuentedeprrafopredeter"/>
    <w:uiPriority w:val="99"/>
    <w:rsid w:val="00B15F7D"/>
  </w:style>
  <w:style w:type="character" w:customStyle="1" w:styleId="WW8Num59z2">
    <w:name w:val="WW8Num59z2"/>
    <w:basedOn w:val="Fuentedeprrafopredeter"/>
    <w:uiPriority w:val="99"/>
    <w:rsid w:val="00B15F7D"/>
  </w:style>
  <w:style w:type="character" w:customStyle="1" w:styleId="WW8Num59z3">
    <w:name w:val="WW8Num59z3"/>
    <w:basedOn w:val="Fuentedeprrafopredeter"/>
    <w:uiPriority w:val="99"/>
    <w:rsid w:val="00B15F7D"/>
  </w:style>
  <w:style w:type="character" w:customStyle="1" w:styleId="WW8Num59z4">
    <w:name w:val="WW8Num59z4"/>
    <w:basedOn w:val="Fuentedeprrafopredeter"/>
    <w:uiPriority w:val="99"/>
    <w:rsid w:val="00B15F7D"/>
  </w:style>
  <w:style w:type="character" w:customStyle="1" w:styleId="WW8Num59z5">
    <w:name w:val="WW8Num59z5"/>
    <w:basedOn w:val="Fuentedeprrafopredeter"/>
    <w:uiPriority w:val="99"/>
    <w:rsid w:val="00B15F7D"/>
  </w:style>
  <w:style w:type="character" w:customStyle="1" w:styleId="WW8Num59z6">
    <w:name w:val="WW8Num59z6"/>
    <w:basedOn w:val="Fuentedeprrafopredeter"/>
    <w:uiPriority w:val="99"/>
    <w:rsid w:val="00B15F7D"/>
  </w:style>
  <w:style w:type="character" w:customStyle="1" w:styleId="WW8Num59z7">
    <w:name w:val="WW8Num59z7"/>
    <w:basedOn w:val="Fuentedeprrafopredeter"/>
    <w:uiPriority w:val="99"/>
    <w:rsid w:val="00B15F7D"/>
  </w:style>
  <w:style w:type="character" w:customStyle="1" w:styleId="WW8Num59z8">
    <w:name w:val="WW8Num59z8"/>
    <w:basedOn w:val="Fuentedeprrafopredeter"/>
    <w:uiPriority w:val="99"/>
    <w:rsid w:val="00B15F7D"/>
  </w:style>
  <w:style w:type="character" w:customStyle="1" w:styleId="WW8Num60z0">
    <w:name w:val="WW8Num60z0"/>
    <w:basedOn w:val="Fuentedeprrafopredeter"/>
    <w:uiPriority w:val="99"/>
    <w:rsid w:val="00B15F7D"/>
    <w:rPr>
      <w:rFonts w:ascii="Symbol" w:hAnsi="Symbol" w:hint="default"/>
    </w:rPr>
  </w:style>
  <w:style w:type="character" w:customStyle="1" w:styleId="WW8Num60z1">
    <w:name w:val="WW8Num60z1"/>
    <w:basedOn w:val="Fuentedeprrafopredeter"/>
    <w:uiPriority w:val="99"/>
    <w:rsid w:val="00B15F7D"/>
    <w:rPr>
      <w:rFonts w:ascii="Courier New" w:hAnsi="Courier New" w:cs="Courier New" w:hint="default"/>
    </w:rPr>
  </w:style>
  <w:style w:type="character" w:customStyle="1" w:styleId="WW8Num60z2">
    <w:name w:val="WW8Num60z2"/>
    <w:basedOn w:val="Fuentedeprrafopredeter"/>
    <w:uiPriority w:val="99"/>
    <w:rsid w:val="00B15F7D"/>
    <w:rPr>
      <w:rFonts w:ascii="Wingdings" w:hAnsi="Wingdings" w:hint="default"/>
    </w:rPr>
  </w:style>
  <w:style w:type="character" w:customStyle="1" w:styleId="WW8Num61z0">
    <w:name w:val="WW8Num61z0"/>
    <w:basedOn w:val="Fuentedeprrafopredeter"/>
    <w:uiPriority w:val="99"/>
    <w:rsid w:val="00B15F7D"/>
  </w:style>
  <w:style w:type="character" w:customStyle="1" w:styleId="WW8Num61z1">
    <w:name w:val="WW8Num61z1"/>
    <w:basedOn w:val="Fuentedeprrafopredeter"/>
    <w:uiPriority w:val="99"/>
    <w:rsid w:val="00B15F7D"/>
  </w:style>
  <w:style w:type="character" w:customStyle="1" w:styleId="WW8Num61z2">
    <w:name w:val="WW8Num61z2"/>
    <w:basedOn w:val="Fuentedeprrafopredeter"/>
    <w:uiPriority w:val="99"/>
    <w:rsid w:val="00B15F7D"/>
  </w:style>
  <w:style w:type="character" w:customStyle="1" w:styleId="WW8Num61z3">
    <w:name w:val="WW8Num61z3"/>
    <w:basedOn w:val="Fuentedeprrafopredeter"/>
    <w:uiPriority w:val="99"/>
    <w:rsid w:val="00B15F7D"/>
  </w:style>
  <w:style w:type="character" w:customStyle="1" w:styleId="WW8Num61z4">
    <w:name w:val="WW8Num61z4"/>
    <w:basedOn w:val="Fuentedeprrafopredeter"/>
    <w:uiPriority w:val="99"/>
    <w:rsid w:val="00B15F7D"/>
  </w:style>
  <w:style w:type="character" w:customStyle="1" w:styleId="WW8Num61z5">
    <w:name w:val="WW8Num61z5"/>
    <w:basedOn w:val="Fuentedeprrafopredeter"/>
    <w:uiPriority w:val="99"/>
    <w:rsid w:val="00B15F7D"/>
  </w:style>
  <w:style w:type="character" w:customStyle="1" w:styleId="WW8Num61z6">
    <w:name w:val="WW8Num61z6"/>
    <w:basedOn w:val="Fuentedeprrafopredeter"/>
    <w:uiPriority w:val="99"/>
    <w:rsid w:val="00B15F7D"/>
  </w:style>
  <w:style w:type="character" w:customStyle="1" w:styleId="WW8Num61z7">
    <w:name w:val="WW8Num61z7"/>
    <w:basedOn w:val="Fuentedeprrafopredeter"/>
    <w:uiPriority w:val="99"/>
    <w:rsid w:val="00B15F7D"/>
  </w:style>
  <w:style w:type="character" w:customStyle="1" w:styleId="WW8Num61z8">
    <w:name w:val="WW8Num61z8"/>
    <w:basedOn w:val="Fuentedeprrafopredeter"/>
    <w:uiPriority w:val="99"/>
    <w:rsid w:val="00B15F7D"/>
  </w:style>
  <w:style w:type="character" w:customStyle="1" w:styleId="WW8Num62z0">
    <w:name w:val="WW8Num62z0"/>
    <w:basedOn w:val="Fuentedeprrafopredeter"/>
    <w:uiPriority w:val="99"/>
    <w:rsid w:val="00B15F7D"/>
    <w:rPr>
      <w:rFonts w:ascii="Symbol" w:hAnsi="Symbol" w:hint="default"/>
    </w:rPr>
  </w:style>
  <w:style w:type="character" w:customStyle="1" w:styleId="WW8Num62z1">
    <w:name w:val="WW8Num62z1"/>
    <w:basedOn w:val="Fuentedeprrafopredeter"/>
    <w:uiPriority w:val="99"/>
    <w:rsid w:val="00B15F7D"/>
    <w:rPr>
      <w:rFonts w:ascii="Wingdings" w:hAnsi="Wingdings" w:hint="default"/>
    </w:rPr>
  </w:style>
  <w:style w:type="character" w:customStyle="1" w:styleId="WW8Num62z4">
    <w:name w:val="WW8Num62z4"/>
    <w:basedOn w:val="Fuentedeprrafopredeter"/>
    <w:uiPriority w:val="99"/>
    <w:rsid w:val="00B15F7D"/>
    <w:rPr>
      <w:rFonts w:ascii="Courier New" w:hAnsi="Courier New" w:cs="Courier New" w:hint="default"/>
    </w:rPr>
  </w:style>
  <w:style w:type="character" w:customStyle="1" w:styleId="WW8Num63z0">
    <w:name w:val="WW8Num63z0"/>
    <w:basedOn w:val="Fuentedeprrafopredeter"/>
    <w:uiPriority w:val="99"/>
    <w:rsid w:val="00B15F7D"/>
  </w:style>
  <w:style w:type="character" w:customStyle="1" w:styleId="WW8Num63z1">
    <w:name w:val="WW8Num63z1"/>
    <w:basedOn w:val="Fuentedeprrafopredeter"/>
    <w:uiPriority w:val="99"/>
    <w:rsid w:val="00B15F7D"/>
  </w:style>
  <w:style w:type="character" w:customStyle="1" w:styleId="WW8Num63z2">
    <w:name w:val="WW8Num63z2"/>
    <w:basedOn w:val="Fuentedeprrafopredeter"/>
    <w:uiPriority w:val="99"/>
    <w:rsid w:val="00B15F7D"/>
  </w:style>
  <w:style w:type="character" w:customStyle="1" w:styleId="WW8Num63z3">
    <w:name w:val="WW8Num63z3"/>
    <w:basedOn w:val="Fuentedeprrafopredeter"/>
    <w:uiPriority w:val="99"/>
    <w:rsid w:val="00B15F7D"/>
  </w:style>
  <w:style w:type="character" w:customStyle="1" w:styleId="WW8Num63z4">
    <w:name w:val="WW8Num63z4"/>
    <w:basedOn w:val="Fuentedeprrafopredeter"/>
    <w:uiPriority w:val="99"/>
    <w:rsid w:val="00B15F7D"/>
  </w:style>
  <w:style w:type="character" w:customStyle="1" w:styleId="WW8Num63z5">
    <w:name w:val="WW8Num63z5"/>
    <w:basedOn w:val="Fuentedeprrafopredeter"/>
    <w:uiPriority w:val="99"/>
    <w:rsid w:val="00B15F7D"/>
  </w:style>
  <w:style w:type="character" w:customStyle="1" w:styleId="WW8Num63z6">
    <w:name w:val="WW8Num63z6"/>
    <w:basedOn w:val="Fuentedeprrafopredeter"/>
    <w:uiPriority w:val="99"/>
    <w:rsid w:val="00B15F7D"/>
  </w:style>
  <w:style w:type="character" w:customStyle="1" w:styleId="WW8Num63z7">
    <w:name w:val="WW8Num63z7"/>
    <w:basedOn w:val="Fuentedeprrafopredeter"/>
    <w:uiPriority w:val="99"/>
    <w:rsid w:val="00B15F7D"/>
  </w:style>
  <w:style w:type="character" w:customStyle="1" w:styleId="WW8Num63z8">
    <w:name w:val="WW8Num63z8"/>
    <w:basedOn w:val="Fuentedeprrafopredeter"/>
    <w:uiPriority w:val="99"/>
    <w:rsid w:val="00B15F7D"/>
  </w:style>
  <w:style w:type="character" w:customStyle="1" w:styleId="WW8Num64z0">
    <w:name w:val="WW8Num64z0"/>
    <w:basedOn w:val="Fuentedeprrafopredeter"/>
    <w:uiPriority w:val="99"/>
    <w:rsid w:val="00B15F7D"/>
    <w:rPr>
      <w:rFonts w:ascii="Symbol" w:hAnsi="Symbol" w:hint="default"/>
    </w:rPr>
  </w:style>
  <w:style w:type="character" w:customStyle="1" w:styleId="WW8Num64z1">
    <w:name w:val="WW8Num64z1"/>
    <w:basedOn w:val="Fuentedeprrafopredeter"/>
    <w:uiPriority w:val="99"/>
    <w:rsid w:val="00B15F7D"/>
    <w:rPr>
      <w:rFonts w:ascii="Courier New" w:hAnsi="Courier New" w:cs="Courier New" w:hint="default"/>
    </w:rPr>
  </w:style>
  <w:style w:type="character" w:customStyle="1" w:styleId="WW8Num64z2">
    <w:name w:val="WW8Num64z2"/>
    <w:basedOn w:val="Fuentedeprrafopredeter"/>
    <w:uiPriority w:val="99"/>
    <w:rsid w:val="00B15F7D"/>
    <w:rPr>
      <w:rFonts w:ascii="Wingdings" w:hAnsi="Wingdings" w:hint="default"/>
    </w:rPr>
  </w:style>
  <w:style w:type="character" w:customStyle="1" w:styleId="WW8Num65z0">
    <w:name w:val="WW8Num65z0"/>
    <w:basedOn w:val="Fuentedeprrafopredeter"/>
    <w:uiPriority w:val="99"/>
    <w:rsid w:val="00B15F7D"/>
    <w:rPr>
      <w:rFonts w:ascii="Symbol" w:hAnsi="Symbol" w:hint="default"/>
    </w:rPr>
  </w:style>
  <w:style w:type="character" w:customStyle="1" w:styleId="WW8Num65z1">
    <w:name w:val="WW8Num65z1"/>
    <w:basedOn w:val="Fuentedeprrafopredeter"/>
    <w:uiPriority w:val="99"/>
    <w:rsid w:val="00B15F7D"/>
    <w:rPr>
      <w:rFonts w:ascii="Courier New" w:hAnsi="Courier New" w:cs="Courier New" w:hint="default"/>
    </w:rPr>
  </w:style>
  <w:style w:type="character" w:customStyle="1" w:styleId="WW8Num65z2">
    <w:name w:val="WW8Num65z2"/>
    <w:basedOn w:val="Fuentedeprrafopredeter"/>
    <w:uiPriority w:val="99"/>
    <w:rsid w:val="00B15F7D"/>
    <w:rPr>
      <w:rFonts w:ascii="Wingdings" w:hAnsi="Wingdings" w:hint="default"/>
    </w:rPr>
  </w:style>
  <w:style w:type="character" w:customStyle="1" w:styleId="WW8Num66z0">
    <w:name w:val="WW8Num66z0"/>
    <w:basedOn w:val="Fuentedeprrafopredeter"/>
    <w:uiPriority w:val="99"/>
    <w:rsid w:val="00B15F7D"/>
    <w:rPr>
      <w:rFonts w:ascii="Verdana" w:hAnsi="Verdana" w:hint="default"/>
    </w:rPr>
  </w:style>
  <w:style w:type="character" w:customStyle="1" w:styleId="WW8Num66z1">
    <w:name w:val="WW8Num66z1"/>
    <w:basedOn w:val="Fuentedeprrafopredeter"/>
    <w:uiPriority w:val="99"/>
    <w:rsid w:val="00B15F7D"/>
    <w:rPr>
      <w:rFonts w:ascii="Courier New" w:hAnsi="Courier New" w:cs="Courier New" w:hint="default"/>
    </w:rPr>
  </w:style>
  <w:style w:type="character" w:customStyle="1" w:styleId="WW8Num66z2">
    <w:name w:val="WW8Num66z2"/>
    <w:basedOn w:val="Fuentedeprrafopredeter"/>
    <w:uiPriority w:val="99"/>
    <w:rsid w:val="00B15F7D"/>
    <w:rPr>
      <w:rFonts w:ascii="Wingdings" w:hAnsi="Wingdings" w:hint="default"/>
    </w:rPr>
  </w:style>
  <w:style w:type="character" w:customStyle="1" w:styleId="WW8Num66z3">
    <w:name w:val="WW8Num66z3"/>
    <w:basedOn w:val="Fuentedeprrafopredeter"/>
    <w:uiPriority w:val="99"/>
    <w:rsid w:val="00B15F7D"/>
    <w:rPr>
      <w:rFonts w:ascii="Symbol" w:hAnsi="Symbol" w:hint="default"/>
    </w:rPr>
  </w:style>
  <w:style w:type="character" w:customStyle="1" w:styleId="WW8Num67z0">
    <w:name w:val="WW8Num67z0"/>
    <w:basedOn w:val="Fuentedeprrafopredeter"/>
    <w:uiPriority w:val="99"/>
    <w:rsid w:val="00B15F7D"/>
    <w:rPr>
      <w:b/>
      <w:bCs/>
    </w:rPr>
  </w:style>
  <w:style w:type="character" w:customStyle="1" w:styleId="WW8Num67z1">
    <w:name w:val="WW8Num67z1"/>
    <w:basedOn w:val="Fuentedeprrafopredeter"/>
    <w:uiPriority w:val="99"/>
    <w:rsid w:val="00B15F7D"/>
  </w:style>
  <w:style w:type="character" w:customStyle="1" w:styleId="WW8Num67z2">
    <w:name w:val="WW8Num67z2"/>
    <w:basedOn w:val="Fuentedeprrafopredeter"/>
    <w:uiPriority w:val="99"/>
    <w:rsid w:val="00B15F7D"/>
  </w:style>
  <w:style w:type="character" w:customStyle="1" w:styleId="WW8Num67z3">
    <w:name w:val="WW8Num67z3"/>
    <w:basedOn w:val="Fuentedeprrafopredeter"/>
    <w:uiPriority w:val="99"/>
    <w:rsid w:val="00B15F7D"/>
  </w:style>
  <w:style w:type="character" w:customStyle="1" w:styleId="WW8Num67z4">
    <w:name w:val="WW8Num67z4"/>
    <w:basedOn w:val="Fuentedeprrafopredeter"/>
    <w:uiPriority w:val="99"/>
    <w:rsid w:val="00B15F7D"/>
  </w:style>
  <w:style w:type="character" w:customStyle="1" w:styleId="WW8Num67z5">
    <w:name w:val="WW8Num67z5"/>
    <w:basedOn w:val="Fuentedeprrafopredeter"/>
    <w:uiPriority w:val="99"/>
    <w:rsid w:val="00B15F7D"/>
  </w:style>
  <w:style w:type="character" w:customStyle="1" w:styleId="WW8Num67z6">
    <w:name w:val="WW8Num67z6"/>
    <w:basedOn w:val="Fuentedeprrafopredeter"/>
    <w:uiPriority w:val="99"/>
    <w:rsid w:val="00B15F7D"/>
  </w:style>
  <w:style w:type="character" w:customStyle="1" w:styleId="WW8Num67z7">
    <w:name w:val="WW8Num67z7"/>
    <w:basedOn w:val="Fuentedeprrafopredeter"/>
    <w:uiPriority w:val="99"/>
    <w:rsid w:val="00B15F7D"/>
  </w:style>
  <w:style w:type="character" w:customStyle="1" w:styleId="WW8Num67z8">
    <w:name w:val="WW8Num67z8"/>
    <w:basedOn w:val="Fuentedeprrafopredeter"/>
    <w:uiPriority w:val="99"/>
    <w:rsid w:val="00B15F7D"/>
  </w:style>
  <w:style w:type="character" w:customStyle="1" w:styleId="WW8Num68z0">
    <w:name w:val="WW8Num68z0"/>
    <w:basedOn w:val="Fuentedeprrafopredeter"/>
    <w:uiPriority w:val="99"/>
    <w:rsid w:val="00B15F7D"/>
    <w:rPr>
      <w:rFonts w:ascii="Symbol" w:hAnsi="Symbol" w:hint="default"/>
      <w:b/>
      <w:bCs/>
    </w:rPr>
  </w:style>
  <w:style w:type="character" w:customStyle="1" w:styleId="WW8Num68z1">
    <w:name w:val="WW8Num68z1"/>
    <w:basedOn w:val="Fuentedeprrafopredeter"/>
    <w:uiPriority w:val="99"/>
    <w:rsid w:val="00B15F7D"/>
  </w:style>
  <w:style w:type="character" w:customStyle="1" w:styleId="WW8Num68z2">
    <w:name w:val="WW8Num68z2"/>
    <w:basedOn w:val="Fuentedeprrafopredeter"/>
    <w:uiPriority w:val="99"/>
    <w:rsid w:val="00B15F7D"/>
  </w:style>
  <w:style w:type="character" w:customStyle="1" w:styleId="WW8Num68z3">
    <w:name w:val="WW8Num68z3"/>
    <w:basedOn w:val="Fuentedeprrafopredeter"/>
    <w:uiPriority w:val="99"/>
    <w:rsid w:val="00B15F7D"/>
  </w:style>
  <w:style w:type="character" w:customStyle="1" w:styleId="WW8Num68z4">
    <w:name w:val="WW8Num68z4"/>
    <w:basedOn w:val="Fuentedeprrafopredeter"/>
    <w:uiPriority w:val="99"/>
    <w:rsid w:val="00B15F7D"/>
  </w:style>
  <w:style w:type="character" w:customStyle="1" w:styleId="WW8Num68z5">
    <w:name w:val="WW8Num68z5"/>
    <w:basedOn w:val="Fuentedeprrafopredeter"/>
    <w:uiPriority w:val="99"/>
    <w:rsid w:val="00B15F7D"/>
  </w:style>
  <w:style w:type="character" w:customStyle="1" w:styleId="WW8Num68z6">
    <w:name w:val="WW8Num68z6"/>
    <w:basedOn w:val="Fuentedeprrafopredeter"/>
    <w:uiPriority w:val="99"/>
    <w:rsid w:val="00B15F7D"/>
  </w:style>
  <w:style w:type="character" w:customStyle="1" w:styleId="WW8Num68z7">
    <w:name w:val="WW8Num68z7"/>
    <w:basedOn w:val="Fuentedeprrafopredeter"/>
    <w:uiPriority w:val="99"/>
    <w:rsid w:val="00B15F7D"/>
  </w:style>
  <w:style w:type="character" w:customStyle="1" w:styleId="WW8Num68z8">
    <w:name w:val="WW8Num68z8"/>
    <w:basedOn w:val="Fuentedeprrafopredeter"/>
    <w:uiPriority w:val="99"/>
    <w:rsid w:val="00B15F7D"/>
  </w:style>
  <w:style w:type="character" w:customStyle="1" w:styleId="WW8Num69z0">
    <w:name w:val="WW8Num69z0"/>
    <w:basedOn w:val="Fuentedeprrafopredeter"/>
    <w:uiPriority w:val="99"/>
    <w:rsid w:val="00B15F7D"/>
    <w:rPr>
      <w:b/>
      <w:bCs/>
    </w:rPr>
  </w:style>
  <w:style w:type="character" w:customStyle="1" w:styleId="WW8Num70z0">
    <w:name w:val="WW8Num70z0"/>
    <w:basedOn w:val="Fuentedeprrafopredeter"/>
    <w:uiPriority w:val="99"/>
    <w:rsid w:val="00B15F7D"/>
  </w:style>
  <w:style w:type="character" w:customStyle="1" w:styleId="WW8Num70z1">
    <w:name w:val="WW8Num70z1"/>
    <w:basedOn w:val="Fuentedeprrafopredeter"/>
    <w:uiPriority w:val="99"/>
    <w:rsid w:val="00B15F7D"/>
  </w:style>
  <w:style w:type="character" w:customStyle="1" w:styleId="WW8Num70z2">
    <w:name w:val="WW8Num70z2"/>
    <w:basedOn w:val="Fuentedeprrafopredeter"/>
    <w:uiPriority w:val="99"/>
    <w:rsid w:val="00B15F7D"/>
  </w:style>
  <w:style w:type="character" w:customStyle="1" w:styleId="WW8Num70z3">
    <w:name w:val="WW8Num70z3"/>
    <w:basedOn w:val="Fuentedeprrafopredeter"/>
    <w:uiPriority w:val="99"/>
    <w:rsid w:val="00B15F7D"/>
  </w:style>
  <w:style w:type="character" w:customStyle="1" w:styleId="WW8Num70z4">
    <w:name w:val="WW8Num70z4"/>
    <w:basedOn w:val="Fuentedeprrafopredeter"/>
    <w:uiPriority w:val="99"/>
    <w:rsid w:val="00B15F7D"/>
  </w:style>
  <w:style w:type="character" w:customStyle="1" w:styleId="WW8Num70z5">
    <w:name w:val="WW8Num70z5"/>
    <w:basedOn w:val="Fuentedeprrafopredeter"/>
    <w:uiPriority w:val="99"/>
    <w:rsid w:val="00B15F7D"/>
  </w:style>
  <w:style w:type="character" w:customStyle="1" w:styleId="WW8Num70z6">
    <w:name w:val="WW8Num70z6"/>
    <w:basedOn w:val="Fuentedeprrafopredeter"/>
    <w:uiPriority w:val="99"/>
    <w:rsid w:val="00B15F7D"/>
  </w:style>
  <w:style w:type="character" w:customStyle="1" w:styleId="WW8Num70z7">
    <w:name w:val="WW8Num70z7"/>
    <w:basedOn w:val="Fuentedeprrafopredeter"/>
    <w:uiPriority w:val="99"/>
    <w:rsid w:val="00B15F7D"/>
  </w:style>
  <w:style w:type="character" w:customStyle="1" w:styleId="WW8Num70z8">
    <w:name w:val="WW8Num70z8"/>
    <w:basedOn w:val="Fuentedeprrafopredeter"/>
    <w:uiPriority w:val="99"/>
    <w:rsid w:val="00B15F7D"/>
  </w:style>
  <w:style w:type="character" w:customStyle="1" w:styleId="WW8Num71z0">
    <w:name w:val="WW8Num71z0"/>
    <w:basedOn w:val="Fuentedeprrafopredeter"/>
    <w:uiPriority w:val="99"/>
    <w:rsid w:val="00B15F7D"/>
    <w:rPr>
      <w:rFonts w:ascii="Wingdings" w:hAnsi="Wingdings" w:hint="default"/>
    </w:rPr>
  </w:style>
  <w:style w:type="character" w:customStyle="1" w:styleId="WW8Num71z1">
    <w:name w:val="WW8Num71z1"/>
    <w:basedOn w:val="Fuentedeprrafopredeter"/>
    <w:uiPriority w:val="99"/>
    <w:rsid w:val="00B15F7D"/>
    <w:rPr>
      <w:rFonts w:ascii="Courier New" w:hAnsi="Courier New" w:cs="Courier New" w:hint="default"/>
    </w:rPr>
  </w:style>
  <w:style w:type="character" w:customStyle="1" w:styleId="WW8Num71z3">
    <w:name w:val="WW8Num71z3"/>
    <w:basedOn w:val="Fuentedeprrafopredeter"/>
    <w:uiPriority w:val="99"/>
    <w:rsid w:val="00B15F7D"/>
    <w:rPr>
      <w:rFonts w:ascii="Symbol" w:hAnsi="Symbol" w:hint="default"/>
    </w:rPr>
  </w:style>
  <w:style w:type="character" w:customStyle="1" w:styleId="WW8Num72z0">
    <w:name w:val="WW8Num72z0"/>
    <w:basedOn w:val="Fuentedeprrafopredeter"/>
    <w:uiPriority w:val="99"/>
    <w:rsid w:val="00B15F7D"/>
    <w:rPr>
      <w:rFonts w:ascii="Times New Roman" w:hAnsi="Times New Roman" w:cs="Times New Roman" w:hint="default"/>
    </w:rPr>
  </w:style>
  <w:style w:type="character" w:customStyle="1" w:styleId="WW8Num72z1">
    <w:name w:val="WW8Num72z1"/>
    <w:basedOn w:val="Fuentedeprrafopredeter"/>
    <w:uiPriority w:val="99"/>
    <w:rsid w:val="00B15F7D"/>
    <w:rPr>
      <w:rFonts w:ascii="Courier New" w:hAnsi="Courier New" w:cs="Courier New" w:hint="default"/>
    </w:rPr>
  </w:style>
  <w:style w:type="character" w:customStyle="1" w:styleId="WW8Num72z2">
    <w:name w:val="WW8Num72z2"/>
    <w:basedOn w:val="Fuentedeprrafopredeter"/>
    <w:uiPriority w:val="99"/>
    <w:rsid w:val="00B15F7D"/>
    <w:rPr>
      <w:rFonts w:ascii="Wingdings" w:hAnsi="Wingdings" w:hint="default"/>
    </w:rPr>
  </w:style>
  <w:style w:type="character" w:customStyle="1" w:styleId="WW8Num72z3">
    <w:name w:val="WW8Num72z3"/>
    <w:basedOn w:val="Fuentedeprrafopredeter"/>
    <w:uiPriority w:val="99"/>
    <w:rsid w:val="00B15F7D"/>
    <w:rPr>
      <w:rFonts w:ascii="Symbol" w:hAnsi="Symbol" w:hint="default"/>
    </w:rPr>
  </w:style>
  <w:style w:type="character" w:customStyle="1" w:styleId="WW8Num73z0">
    <w:name w:val="WW8Num73z0"/>
    <w:basedOn w:val="Fuentedeprrafopredeter"/>
    <w:uiPriority w:val="99"/>
    <w:rsid w:val="00B15F7D"/>
  </w:style>
  <w:style w:type="character" w:customStyle="1" w:styleId="WW8Num73z1">
    <w:name w:val="WW8Num73z1"/>
    <w:basedOn w:val="Fuentedeprrafopredeter"/>
    <w:uiPriority w:val="99"/>
    <w:rsid w:val="00B15F7D"/>
  </w:style>
  <w:style w:type="character" w:customStyle="1" w:styleId="WW8Num73z2">
    <w:name w:val="WW8Num73z2"/>
    <w:basedOn w:val="Fuentedeprrafopredeter"/>
    <w:uiPriority w:val="99"/>
    <w:rsid w:val="00B15F7D"/>
  </w:style>
  <w:style w:type="character" w:customStyle="1" w:styleId="WW8Num73z3">
    <w:name w:val="WW8Num73z3"/>
    <w:basedOn w:val="Fuentedeprrafopredeter"/>
    <w:uiPriority w:val="99"/>
    <w:rsid w:val="00B15F7D"/>
  </w:style>
  <w:style w:type="character" w:customStyle="1" w:styleId="WW8Num73z4">
    <w:name w:val="WW8Num73z4"/>
    <w:basedOn w:val="Fuentedeprrafopredeter"/>
    <w:uiPriority w:val="99"/>
    <w:rsid w:val="00B15F7D"/>
  </w:style>
  <w:style w:type="character" w:customStyle="1" w:styleId="WW8Num73z5">
    <w:name w:val="WW8Num73z5"/>
    <w:basedOn w:val="Fuentedeprrafopredeter"/>
    <w:uiPriority w:val="99"/>
    <w:rsid w:val="00B15F7D"/>
  </w:style>
  <w:style w:type="character" w:customStyle="1" w:styleId="WW8Num73z6">
    <w:name w:val="WW8Num73z6"/>
    <w:basedOn w:val="Fuentedeprrafopredeter"/>
    <w:uiPriority w:val="99"/>
    <w:rsid w:val="00B15F7D"/>
  </w:style>
  <w:style w:type="character" w:customStyle="1" w:styleId="WW8Num73z7">
    <w:name w:val="WW8Num73z7"/>
    <w:basedOn w:val="Fuentedeprrafopredeter"/>
    <w:uiPriority w:val="99"/>
    <w:rsid w:val="00B15F7D"/>
  </w:style>
  <w:style w:type="character" w:customStyle="1" w:styleId="WW8Num73z8">
    <w:name w:val="WW8Num73z8"/>
    <w:basedOn w:val="Fuentedeprrafopredeter"/>
    <w:uiPriority w:val="99"/>
    <w:rsid w:val="00B15F7D"/>
  </w:style>
  <w:style w:type="character" w:customStyle="1" w:styleId="WW8Num74z0">
    <w:name w:val="WW8Num74z0"/>
    <w:basedOn w:val="Fuentedeprrafopredeter"/>
    <w:uiPriority w:val="99"/>
    <w:rsid w:val="00B15F7D"/>
    <w:rPr>
      <w:rFonts w:ascii="Calibri" w:hAnsi="Calibri" w:cs="Calibri" w:hint="default"/>
    </w:rPr>
  </w:style>
  <w:style w:type="character" w:customStyle="1" w:styleId="WW8Num74z1">
    <w:name w:val="WW8Num74z1"/>
    <w:basedOn w:val="Fuentedeprrafopredeter"/>
    <w:uiPriority w:val="99"/>
    <w:rsid w:val="00B15F7D"/>
  </w:style>
  <w:style w:type="character" w:customStyle="1" w:styleId="WW8Num74z2">
    <w:name w:val="WW8Num74z2"/>
    <w:basedOn w:val="Fuentedeprrafopredeter"/>
    <w:uiPriority w:val="99"/>
    <w:rsid w:val="00B15F7D"/>
  </w:style>
  <w:style w:type="character" w:customStyle="1" w:styleId="WW8Num74z3">
    <w:name w:val="WW8Num74z3"/>
    <w:basedOn w:val="Fuentedeprrafopredeter"/>
    <w:uiPriority w:val="99"/>
    <w:rsid w:val="00B15F7D"/>
  </w:style>
  <w:style w:type="character" w:customStyle="1" w:styleId="WW8Num74z4">
    <w:name w:val="WW8Num74z4"/>
    <w:basedOn w:val="Fuentedeprrafopredeter"/>
    <w:uiPriority w:val="99"/>
    <w:rsid w:val="00B15F7D"/>
  </w:style>
  <w:style w:type="character" w:customStyle="1" w:styleId="WW8Num74z5">
    <w:name w:val="WW8Num74z5"/>
    <w:basedOn w:val="Fuentedeprrafopredeter"/>
    <w:uiPriority w:val="99"/>
    <w:rsid w:val="00B15F7D"/>
  </w:style>
  <w:style w:type="character" w:customStyle="1" w:styleId="WW8Num74z6">
    <w:name w:val="WW8Num74z6"/>
    <w:basedOn w:val="Fuentedeprrafopredeter"/>
    <w:uiPriority w:val="99"/>
    <w:rsid w:val="00B15F7D"/>
  </w:style>
  <w:style w:type="character" w:customStyle="1" w:styleId="WW8Num74z7">
    <w:name w:val="WW8Num74z7"/>
    <w:basedOn w:val="Fuentedeprrafopredeter"/>
    <w:uiPriority w:val="99"/>
    <w:rsid w:val="00B15F7D"/>
  </w:style>
  <w:style w:type="character" w:customStyle="1" w:styleId="WW8Num74z8">
    <w:name w:val="WW8Num74z8"/>
    <w:basedOn w:val="Fuentedeprrafopredeter"/>
    <w:uiPriority w:val="99"/>
    <w:rsid w:val="00B15F7D"/>
  </w:style>
  <w:style w:type="character" w:customStyle="1" w:styleId="WW8Num75z0">
    <w:name w:val="WW8Num75z0"/>
    <w:basedOn w:val="Fuentedeprrafopredeter"/>
    <w:uiPriority w:val="99"/>
    <w:rsid w:val="00B15F7D"/>
    <w:rPr>
      <w:rFonts w:ascii="Symbol" w:hAnsi="Symbol" w:hint="default"/>
    </w:rPr>
  </w:style>
  <w:style w:type="character" w:customStyle="1" w:styleId="WW8Num75z1">
    <w:name w:val="WW8Num75z1"/>
    <w:basedOn w:val="Fuentedeprrafopredeter"/>
    <w:uiPriority w:val="99"/>
    <w:rsid w:val="00B15F7D"/>
    <w:rPr>
      <w:rFonts w:ascii="Courier New" w:hAnsi="Courier New" w:cs="Courier New" w:hint="default"/>
    </w:rPr>
  </w:style>
  <w:style w:type="character" w:customStyle="1" w:styleId="WW8Num75z2">
    <w:name w:val="WW8Num75z2"/>
    <w:basedOn w:val="Fuentedeprrafopredeter"/>
    <w:uiPriority w:val="99"/>
    <w:rsid w:val="00B15F7D"/>
    <w:rPr>
      <w:rFonts w:ascii="Wingdings" w:hAnsi="Wingdings" w:hint="default"/>
    </w:rPr>
  </w:style>
  <w:style w:type="character" w:customStyle="1" w:styleId="WW8Num76z0">
    <w:name w:val="WW8Num76z0"/>
    <w:basedOn w:val="Fuentedeprrafopredeter"/>
    <w:uiPriority w:val="99"/>
    <w:rsid w:val="00B15F7D"/>
    <w:rPr>
      <w:rFonts w:ascii="Symbol" w:hAnsi="Symbol" w:hint="default"/>
    </w:rPr>
  </w:style>
  <w:style w:type="character" w:customStyle="1" w:styleId="WW8Num76z1">
    <w:name w:val="WW8Num76z1"/>
    <w:basedOn w:val="Fuentedeprrafopredeter"/>
    <w:uiPriority w:val="99"/>
    <w:rsid w:val="00B15F7D"/>
    <w:rPr>
      <w:rFonts w:ascii="Courier New" w:hAnsi="Courier New" w:cs="Courier New" w:hint="default"/>
    </w:rPr>
  </w:style>
  <w:style w:type="character" w:customStyle="1" w:styleId="WW8Num76z2">
    <w:name w:val="WW8Num76z2"/>
    <w:basedOn w:val="Fuentedeprrafopredeter"/>
    <w:uiPriority w:val="99"/>
    <w:rsid w:val="00B15F7D"/>
    <w:rPr>
      <w:rFonts w:ascii="Wingdings" w:hAnsi="Wingdings" w:hint="default"/>
    </w:rPr>
  </w:style>
  <w:style w:type="character" w:customStyle="1" w:styleId="WW8Num77z0">
    <w:name w:val="WW8Num77z0"/>
    <w:basedOn w:val="Fuentedeprrafopredeter"/>
    <w:uiPriority w:val="99"/>
    <w:rsid w:val="00B15F7D"/>
  </w:style>
  <w:style w:type="character" w:customStyle="1" w:styleId="WW8Num77z1">
    <w:name w:val="WW8Num77z1"/>
    <w:basedOn w:val="Fuentedeprrafopredeter"/>
    <w:uiPriority w:val="99"/>
    <w:rsid w:val="00B15F7D"/>
  </w:style>
  <w:style w:type="character" w:customStyle="1" w:styleId="WW8Num77z2">
    <w:name w:val="WW8Num77z2"/>
    <w:basedOn w:val="Fuentedeprrafopredeter"/>
    <w:uiPriority w:val="99"/>
    <w:rsid w:val="00B15F7D"/>
  </w:style>
  <w:style w:type="character" w:customStyle="1" w:styleId="WW8Num77z3">
    <w:name w:val="WW8Num77z3"/>
    <w:basedOn w:val="Fuentedeprrafopredeter"/>
    <w:uiPriority w:val="99"/>
    <w:rsid w:val="00B15F7D"/>
  </w:style>
  <w:style w:type="character" w:customStyle="1" w:styleId="WW8Num77z4">
    <w:name w:val="WW8Num77z4"/>
    <w:basedOn w:val="Fuentedeprrafopredeter"/>
    <w:uiPriority w:val="99"/>
    <w:rsid w:val="00B15F7D"/>
  </w:style>
  <w:style w:type="character" w:customStyle="1" w:styleId="WW8Num77z5">
    <w:name w:val="WW8Num77z5"/>
    <w:basedOn w:val="Fuentedeprrafopredeter"/>
    <w:uiPriority w:val="99"/>
    <w:rsid w:val="00B15F7D"/>
  </w:style>
  <w:style w:type="character" w:customStyle="1" w:styleId="WW8Num77z6">
    <w:name w:val="WW8Num77z6"/>
    <w:basedOn w:val="Fuentedeprrafopredeter"/>
    <w:uiPriority w:val="99"/>
    <w:rsid w:val="00B15F7D"/>
  </w:style>
  <w:style w:type="character" w:customStyle="1" w:styleId="WW8Num77z7">
    <w:name w:val="WW8Num77z7"/>
    <w:basedOn w:val="Fuentedeprrafopredeter"/>
    <w:uiPriority w:val="99"/>
    <w:rsid w:val="00B15F7D"/>
  </w:style>
  <w:style w:type="character" w:customStyle="1" w:styleId="WW8Num77z8">
    <w:name w:val="WW8Num77z8"/>
    <w:basedOn w:val="Fuentedeprrafopredeter"/>
    <w:uiPriority w:val="99"/>
    <w:rsid w:val="00B15F7D"/>
  </w:style>
  <w:style w:type="character" w:customStyle="1" w:styleId="WW8Num78z0">
    <w:name w:val="WW8Num78z0"/>
    <w:basedOn w:val="Fuentedeprrafopredeter"/>
    <w:uiPriority w:val="99"/>
    <w:rsid w:val="00B15F7D"/>
    <w:rPr>
      <w:rFonts w:ascii="Symbol" w:hAnsi="Symbol" w:hint="default"/>
    </w:rPr>
  </w:style>
  <w:style w:type="character" w:customStyle="1" w:styleId="WW8Num78z1">
    <w:name w:val="WW8Num78z1"/>
    <w:basedOn w:val="Fuentedeprrafopredeter"/>
    <w:uiPriority w:val="99"/>
    <w:rsid w:val="00B15F7D"/>
    <w:rPr>
      <w:rFonts w:ascii="Courier New" w:hAnsi="Courier New" w:cs="Courier New" w:hint="default"/>
    </w:rPr>
  </w:style>
  <w:style w:type="character" w:customStyle="1" w:styleId="WW8Num78z2">
    <w:name w:val="WW8Num78z2"/>
    <w:basedOn w:val="Fuentedeprrafopredeter"/>
    <w:uiPriority w:val="99"/>
    <w:rsid w:val="00B15F7D"/>
    <w:rPr>
      <w:rFonts w:ascii="Wingdings" w:hAnsi="Wingdings" w:hint="default"/>
    </w:rPr>
  </w:style>
  <w:style w:type="character" w:customStyle="1" w:styleId="WW8Num79z0">
    <w:name w:val="WW8Num79z0"/>
    <w:basedOn w:val="Fuentedeprrafopredeter"/>
    <w:uiPriority w:val="99"/>
    <w:rsid w:val="00B15F7D"/>
    <w:rPr>
      <w:rFonts w:ascii="Symbol" w:hAnsi="Symbol" w:hint="default"/>
    </w:rPr>
  </w:style>
  <w:style w:type="character" w:customStyle="1" w:styleId="WW8Num79z1">
    <w:name w:val="WW8Num79z1"/>
    <w:basedOn w:val="Fuentedeprrafopredeter"/>
    <w:uiPriority w:val="99"/>
    <w:rsid w:val="00B15F7D"/>
    <w:rPr>
      <w:rFonts w:ascii="Courier New" w:hAnsi="Courier New" w:cs="Courier New" w:hint="default"/>
    </w:rPr>
  </w:style>
  <w:style w:type="character" w:customStyle="1" w:styleId="WW8Num79z2">
    <w:name w:val="WW8Num79z2"/>
    <w:basedOn w:val="Fuentedeprrafopredeter"/>
    <w:uiPriority w:val="99"/>
    <w:rsid w:val="00B15F7D"/>
    <w:rPr>
      <w:rFonts w:ascii="Wingdings" w:hAnsi="Wingdings" w:hint="default"/>
    </w:rPr>
  </w:style>
  <w:style w:type="character" w:customStyle="1" w:styleId="WW8Num80z0">
    <w:name w:val="WW8Num80z0"/>
    <w:basedOn w:val="Fuentedeprrafopredeter"/>
    <w:uiPriority w:val="99"/>
    <w:rsid w:val="00B15F7D"/>
  </w:style>
  <w:style w:type="character" w:customStyle="1" w:styleId="WW8Num80z1">
    <w:name w:val="WW8Num80z1"/>
    <w:basedOn w:val="Fuentedeprrafopredeter"/>
    <w:uiPriority w:val="99"/>
    <w:rsid w:val="00B15F7D"/>
  </w:style>
  <w:style w:type="character" w:customStyle="1" w:styleId="WW8Num80z2">
    <w:name w:val="WW8Num80z2"/>
    <w:basedOn w:val="Fuentedeprrafopredeter"/>
    <w:uiPriority w:val="99"/>
    <w:rsid w:val="00B15F7D"/>
  </w:style>
  <w:style w:type="character" w:customStyle="1" w:styleId="WW8Num80z3">
    <w:name w:val="WW8Num80z3"/>
    <w:basedOn w:val="Fuentedeprrafopredeter"/>
    <w:uiPriority w:val="99"/>
    <w:rsid w:val="00B15F7D"/>
  </w:style>
  <w:style w:type="character" w:customStyle="1" w:styleId="WW8Num80z4">
    <w:name w:val="WW8Num80z4"/>
    <w:basedOn w:val="Fuentedeprrafopredeter"/>
    <w:uiPriority w:val="99"/>
    <w:rsid w:val="00B15F7D"/>
  </w:style>
  <w:style w:type="character" w:customStyle="1" w:styleId="WW8Num80z5">
    <w:name w:val="WW8Num80z5"/>
    <w:basedOn w:val="Fuentedeprrafopredeter"/>
    <w:uiPriority w:val="99"/>
    <w:rsid w:val="00B15F7D"/>
  </w:style>
  <w:style w:type="character" w:customStyle="1" w:styleId="WW8Num80z6">
    <w:name w:val="WW8Num80z6"/>
    <w:basedOn w:val="Fuentedeprrafopredeter"/>
    <w:uiPriority w:val="99"/>
    <w:rsid w:val="00B15F7D"/>
  </w:style>
  <w:style w:type="character" w:customStyle="1" w:styleId="WW8Num80z7">
    <w:name w:val="WW8Num80z7"/>
    <w:basedOn w:val="Fuentedeprrafopredeter"/>
    <w:uiPriority w:val="99"/>
    <w:rsid w:val="00B15F7D"/>
  </w:style>
  <w:style w:type="character" w:customStyle="1" w:styleId="WW8Num80z8">
    <w:name w:val="WW8Num80z8"/>
    <w:basedOn w:val="Fuentedeprrafopredeter"/>
    <w:uiPriority w:val="99"/>
    <w:rsid w:val="00B15F7D"/>
  </w:style>
  <w:style w:type="character" w:customStyle="1" w:styleId="WW8Num81z0">
    <w:name w:val="WW8Num81z0"/>
    <w:basedOn w:val="Fuentedeprrafopredeter"/>
    <w:uiPriority w:val="99"/>
    <w:rsid w:val="00B15F7D"/>
    <w:rPr>
      <w:rFonts w:ascii="Symbol" w:hAnsi="Symbol" w:hint="default"/>
    </w:rPr>
  </w:style>
  <w:style w:type="character" w:customStyle="1" w:styleId="WW8Num81z1">
    <w:name w:val="WW8Num81z1"/>
    <w:basedOn w:val="Fuentedeprrafopredeter"/>
    <w:uiPriority w:val="99"/>
    <w:rsid w:val="00B15F7D"/>
    <w:rPr>
      <w:rFonts w:ascii="Courier New" w:hAnsi="Courier New" w:cs="Courier New" w:hint="default"/>
    </w:rPr>
  </w:style>
  <w:style w:type="character" w:customStyle="1" w:styleId="WW8Num81z2">
    <w:name w:val="WW8Num81z2"/>
    <w:basedOn w:val="Fuentedeprrafopredeter"/>
    <w:uiPriority w:val="99"/>
    <w:rsid w:val="00B15F7D"/>
    <w:rPr>
      <w:rFonts w:ascii="Wingdings" w:hAnsi="Wingdings" w:hint="default"/>
    </w:rPr>
  </w:style>
  <w:style w:type="character" w:customStyle="1" w:styleId="WW8Num82z0">
    <w:name w:val="WW8Num82z0"/>
    <w:basedOn w:val="Fuentedeprrafopredeter"/>
    <w:uiPriority w:val="99"/>
    <w:rsid w:val="00B15F7D"/>
    <w:rPr>
      <w:rFonts w:ascii="Symbol" w:hAnsi="Symbol" w:hint="default"/>
      <w:b/>
      <w:bCs/>
    </w:rPr>
  </w:style>
  <w:style w:type="character" w:customStyle="1" w:styleId="WW8Num82z1">
    <w:name w:val="WW8Num82z1"/>
    <w:basedOn w:val="Fuentedeprrafopredeter"/>
    <w:uiPriority w:val="99"/>
    <w:rsid w:val="00B15F7D"/>
    <w:rPr>
      <w:rFonts w:ascii="Courier New" w:hAnsi="Courier New" w:cs="Courier New" w:hint="default"/>
    </w:rPr>
  </w:style>
  <w:style w:type="character" w:customStyle="1" w:styleId="WW8Num82z2">
    <w:name w:val="WW8Num82z2"/>
    <w:basedOn w:val="Fuentedeprrafopredeter"/>
    <w:uiPriority w:val="99"/>
    <w:rsid w:val="00B15F7D"/>
    <w:rPr>
      <w:rFonts w:ascii="Wingdings" w:hAnsi="Wingdings" w:hint="default"/>
    </w:rPr>
  </w:style>
  <w:style w:type="character" w:customStyle="1" w:styleId="WW8Num82z3">
    <w:name w:val="WW8Num82z3"/>
    <w:basedOn w:val="Fuentedeprrafopredeter"/>
    <w:uiPriority w:val="99"/>
    <w:rsid w:val="00B15F7D"/>
    <w:rPr>
      <w:rFonts w:ascii="Symbol" w:hAnsi="Symbol" w:hint="default"/>
    </w:rPr>
  </w:style>
  <w:style w:type="character" w:customStyle="1" w:styleId="WW8Num83z0">
    <w:name w:val="WW8Num83z0"/>
    <w:basedOn w:val="Fuentedeprrafopredeter"/>
    <w:uiPriority w:val="99"/>
    <w:rsid w:val="00B15F7D"/>
  </w:style>
  <w:style w:type="character" w:customStyle="1" w:styleId="WW8Num83z1">
    <w:name w:val="WW8Num83z1"/>
    <w:basedOn w:val="Fuentedeprrafopredeter"/>
    <w:uiPriority w:val="99"/>
    <w:rsid w:val="00B15F7D"/>
  </w:style>
  <w:style w:type="character" w:customStyle="1" w:styleId="WW8Num83z2">
    <w:name w:val="WW8Num83z2"/>
    <w:basedOn w:val="Fuentedeprrafopredeter"/>
    <w:uiPriority w:val="99"/>
    <w:rsid w:val="00B15F7D"/>
  </w:style>
  <w:style w:type="character" w:customStyle="1" w:styleId="WW8Num83z3">
    <w:name w:val="WW8Num83z3"/>
    <w:basedOn w:val="Fuentedeprrafopredeter"/>
    <w:uiPriority w:val="99"/>
    <w:rsid w:val="00B15F7D"/>
  </w:style>
  <w:style w:type="character" w:customStyle="1" w:styleId="WW8Num83z4">
    <w:name w:val="WW8Num83z4"/>
    <w:basedOn w:val="Fuentedeprrafopredeter"/>
    <w:uiPriority w:val="99"/>
    <w:rsid w:val="00B15F7D"/>
  </w:style>
  <w:style w:type="character" w:customStyle="1" w:styleId="WW8Num83z5">
    <w:name w:val="WW8Num83z5"/>
    <w:basedOn w:val="Fuentedeprrafopredeter"/>
    <w:uiPriority w:val="99"/>
    <w:rsid w:val="00B15F7D"/>
  </w:style>
  <w:style w:type="character" w:customStyle="1" w:styleId="WW8Num83z6">
    <w:name w:val="WW8Num83z6"/>
    <w:basedOn w:val="Fuentedeprrafopredeter"/>
    <w:uiPriority w:val="99"/>
    <w:rsid w:val="00B15F7D"/>
  </w:style>
  <w:style w:type="character" w:customStyle="1" w:styleId="WW8Num83z7">
    <w:name w:val="WW8Num83z7"/>
    <w:basedOn w:val="Fuentedeprrafopredeter"/>
    <w:uiPriority w:val="99"/>
    <w:rsid w:val="00B15F7D"/>
  </w:style>
  <w:style w:type="character" w:customStyle="1" w:styleId="WW8Num83z8">
    <w:name w:val="WW8Num83z8"/>
    <w:basedOn w:val="Fuentedeprrafopredeter"/>
    <w:uiPriority w:val="99"/>
    <w:rsid w:val="00B15F7D"/>
  </w:style>
  <w:style w:type="character" w:customStyle="1" w:styleId="WW8Num84z0">
    <w:name w:val="WW8Num84z0"/>
    <w:basedOn w:val="Fuentedeprrafopredeter"/>
    <w:uiPriority w:val="99"/>
    <w:rsid w:val="00B15F7D"/>
    <w:rPr>
      <w:rFonts w:ascii="Symbol" w:hAnsi="Symbol" w:hint="default"/>
    </w:rPr>
  </w:style>
  <w:style w:type="character" w:customStyle="1" w:styleId="WW8Num84z1">
    <w:name w:val="WW8Num84z1"/>
    <w:basedOn w:val="Fuentedeprrafopredeter"/>
    <w:uiPriority w:val="99"/>
    <w:rsid w:val="00B15F7D"/>
    <w:rPr>
      <w:rFonts w:ascii="Courier New" w:hAnsi="Courier New" w:cs="Courier New" w:hint="default"/>
    </w:rPr>
  </w:style>
  <w:style w:type="character" w:customStyle="1" w:styleId="WW8Num84z2">
    <w:name w:val="WW8Num84z2"/>
    <w:basedOn w:val="Fuentedeprrafopredeter"/>
    <w:uiPriority w:val="99"/>
    <w:rsid w:val="00B15F7D"/>
    <w:rPr>
      <w:rFonts w:ascii="Wingdings" w:hAnsi="Wingdings" w:hint="default"/>
    </w:rPr>
  </w:style>
  <w:style w:type="character" w:customStyle="1" w:styleId="WW8Num85z0">
    <w:name w:val="WW8Num85z0"/>
    <w:basedOn w:val="Fuentedeprrafopredeter"/>
    <w:uiPriority w:val="99"/>
    <w:rsid w:val="00B15F7D"/>
  </w:style>
  <w:style w:type="character" w:customStyle="1" w:styleId="WW8Num85z1">
    <w:name w:val="WW8Num85z1"/>
    <w:basedOn w:val="Fuentedeprrafopredeter"/>
    <w:uiPriority w:val="99"/>
    <w:rsid w:val="00B15F7D"/>
  </w:style>
  <w:style w:type="character" w:customStyle="1" w:styleId="WW8Num85z2">
    <w:name w:val="WW8Num85z2"/>
    <w:basedOn w:val="Fuentedeprrafopredeter"/>
    <w:uiPriority w:val="99"/>
    <w:rsid w:val="00B15F7D"/>
  </w:style>
  <w:style w:type="character" w:customStyle="1" w:styleId="WW8Num85z3">
    <w:name w:val="WW8Num85z3"/>
    <w:basedOn w:val="Fuentedeprrafopredeter"/>
    <w:uiPriority w:val="99"/>
    <w:rsid w:val="00B15F7D"/>
  </w:style>
  <w:style w:type="character" w:customStyle="1" w:styleId="WW8Num85z4">
    <w:name w:val="WW8Num85z4"/>
    <w:basedOn w:val="Fuentedeprrafopredeter"/>
    <w:uiPriority w:val="99"/>
    <w:rsid w:val="00B15F7D"/>
  </w:style>
  <w:style w:type="character" w:customStyle="1" w:styleId="WW8Num85z5">
    <w:name w:val="WW8Num85z5"/>
    <w:basedOn w:val="Fuentedeprrafopredeter"/>
    <w:uiPriority w:val="99"/>
    <w:rsid w:val="00B15F7D"/>
  </w:style>
  <w:style w:type="character" w:customStyle="1" w:styleId="WW8Num85z6">
    <w:name w:val="WW8Num85z6"/>
    <w:basedOn w:val="Fuentedeprrafopredeter"/>
    <w:uiPriority w:val="99"/>
    <w:rsid w:val="00B15F7D"/>
  </w:style>
  <w:style w:type="character" w:customStyle="1" w:styleId="WW8Num85z7">
    <w:name w:val="WW8Num85z7"/>
    <w:basedOn w:val="Fuentedeprrafopredeter"/>
    <w:uiPriority w:val="99"/>
    <w:rsid w:val="00B15F7D"/>
  </w:style>
  <w:style w:type="character" w:customStyle="1" w:styleId="WW8Num85z8">
    <w:name w:val="WW8Num85z8"/>
    <w:basedOn w:val="Fuentedeprrafopredeter"/>
    <w:uiPriority w:val="99"/>
    <w:rsid w:val="00B15F7D"/>
  </w:style>
  <w:style w:type="character" w:customStyle="1" w:styleId="WW8Num86z0">
    <w:name w:val="WW8Num86z0"/>
    <w:basedOn w:val="Fuentedeprrafopredeter"/>
    <w:uiPriority w:val="99"/>
    <w:rsid w:val="00B15F7D"/>
  </w:style>
  <w:style w:type="character" w:customStyle="1" w:styleId="WW8Num86z1">
    <w:name w:val="WW8Num86z1"/>
    <w:basedOn w:val="Fuentedeprrafopredeter"/>
    <w:uiPriority w:val="99"/>
    <w:rsid w:val="00B15F7D"/>
  </w:style>
  <w:style w:type="character" w:customStyle="1" w:styleId="WW8Num86z2">
    <w:name w:val="WW8Num86z2"/>
    <w:basedOn w:val="Fuentedeprrafopredeter"/>
    <w:uiPriority w:val="99"/>
    <w:rsid w:val="00B15F7D"/>
  </w:style>
  <w:style w:type="character" w:customStyle="1" w:styleId="WW8Num86z3">
    <w:name w:val="WW8Num86z3"/>
    <w:basedOn w:val="Fuentedeprrafopredeter"/>
    <w:uiPriority w:val="99"/>
    <w:rsid w:val="00B15F7D"/>
  </w:style>
  <w:style w:type="character" w:customStyle="1" w:styleId="WW8Num86z4">
    <w:name w:val="WW8Num86z4"/>
    <w:basedOn w:val="Fuentedeprrafopredeter"/>
    <w:uiPriority w:val="99"/>
    <w:rsid w:val="00B15F7D"/>
  </w:style>
  <w:style w:type="character" w:customStyle="1" w:styleId="WW8Num86z5">
    <w:name w:val="WW8Num86z5"/>
    <w:basedOn w:val="Fuentedeprrafopredeter"/>
    <w:uiPriority w:val="99"/>
    <w:rsid w:val="00B15F7D"/>
  </w:style>
  <w:style w:type="character" w:customStyle="1" w:styleId="WW8Num86z6">
    <w:name w:val="WW8Num86z6"/>
    <w:basedOn w:val="Fuentedeprrafopredeter"/>
    <w:uiPriority w:val="99"/>
    <w:rsid w:val="00B15F7D"/>
  </w:style>
  <w:style w:type="character" w:customStyle="1" w:styleId="WW8Num86z7">
    <w:name w:val="WW8Num86z7"/>
    <w:basedOn w:val="Fuentedeprrafopredeter"/>
    <w:uiPriority w:val="99"/>
    <w:rsid w:val="00B15F7D"/>
  </w:style>
  <w:style w:type="character" w:customStyle="1" w:styleId="WW8Num86z8">
    <w:name w:val="WW8Num86z8"/>
    <w:basedOn w:val="Fuentedeprrafopredeter"/>
    <w:uiPriority w:val="99"/>
    <w:rsid w:val="00B15F7D"/>
  </w:style>
  <w:style w:type="character" w:customStyle="1" w:styleId="WW8Num87z0">
    <w:name w:val="WW8Num87z0"/>
    <w:basedOn w:val="Fuentedeprrafopredeter"/>
    <w:uiPriority w:val="99"/>
    <w:rsid w:val="00B15F7D"/>
  </w:style>
  <w:style w:type="character" w:customStyle="1" w:styleId="WW8Num87z1">
    <w:name w:val="WW8Num87z1"/>
    <w:basedOn w:val="Fuentedeprrafopredeter"/>
    <w:uiPriority w:val="99"/>
    <w:rsid w:val="00B15F7D"/>
  </w:style>
  <w:style w:type="character" w:customStyle="1" w:styleId="WW8Num87z2">
    <w:name w:val="WW8Num87z2"/>
    <w:basedOn w:val="Fuentedeprrafopredeter"/>
    <w:uiPriority w:val="99"/>
    <w:rsid w:val="00B15F7D"/>
  </w:style>
  <w:style w:type="character" w:customStyle="1" w:styleId="WW8Num87z3">
    <w:name w:val="WW8Num87z3"/>
    <w:basedOn w:val="Fuentedeprrafopredeter"/>
    <w:uiPriority w:val="99"/>
    <w:rsid w:val="00B15F7D"/>
  </w:style>
  <w:style w:type="character" w:customStyle="1" w:styleId="WW8Num87z4">
    <w:name w:val="WW8Num87z4"/>
    <w:basedOn w:val="Fuentedeprrafopredeter"/>
    <w:uiPriority w:val="99"/>
    <w:rsid w:val="00B15F7D"/>
  </w:style>
  <w:style w:type="character" w:customStyle="1" w:styleId="WW8Num87z5">
    <w:name w:val="WW8Num87z5"/>
    <w:basedOn w:val="Fuentedeprrafopredeter"/>
    <w:uiPriority w:val="99"/>
    <w:rsid w:val="00B15F7D"/>
  </w:style>
  <w:style w:type="character" w:customStyle="1" w:styleId="WW8Num87z6">
    <w:name w:val="WW8Num87z6"/>
    <w:basedOn w:val="Fuentedeprrafopredeter"/>
    <w:uiPriority w:val="99"/>
    <w:rsid w:val="00B15F7D"/>
  </w:style>
  <w:style w:type="character" w:customStyle="1" w:styleId="WW8Num87z7">
    <w:name w:val="WW8Num87z7"/>
    <w:basedOn w:val="Fuentedeprrafopredeter"/>
    <w:uiPriority w:val="99"/>
    <w:rsid w:val="00B15F7D"/>
  </w:style>
  <w:style w:type="character" w:customStyle="1" w:styleId="WW8Num87z8">
    <w:name w:val="WW8Num87z8"/>
    <w:basedOn w:val="Fuentedeprrafopredeter"/>
    <w:uiPriority w:val="99"/>
    <w:rsid w:val="00B15F7D"/>
  </w:style>
  <w:style w:type="character" w:customStyle="1" w:styleId="WW8Num88z0">
    <w:name w:val="WW8Num88z0"/>
    <w:basedOn w:val="Fuentedeprrafopredeter"/>
    <w:uiPriority w:val="99"/>
    <w:rsid w:val="00B15F7D"/>
  </w:style>
  <w:style w:type="character" w:customStyle="1" w:styleId="WW8Num88z1">
    <w:name w:val="WW8Num88z1"/>
    <w:basedOn w:val="Fuentedeprrafopredeter"/>
    <w:uiPriority w:val="99"/>
    <w:rsid w:val="00B15F7D"/>
  </w:style>
  <w:style w:type="character" w:customStyle="1" w:styleId="WW8Num88z2">
    <w:name w:val="WW8Num88z2"/>
    <w:basedOn w:val="Fuentedeprrafopredeter"/>
    <w:uiPriority w:val="99"/>
    <w:rsid w:val="00B15F7D"/>
  </w:style>
  <w:style w:type="character" w:customStyle="1" w:styleId="WW8Num88z3">
    <w:name w:val="WW8Num88z3"/>
    <w:basedOn w:val="Fuentedeprrafopredeter"/>
    <w:uiPriority w:val="99"/>
    <w:rsid w:val="00B15F7D"/>
  </w:style>
  <w:style w:type="character" w:customStyle="1" w:styleId="WW8Num88z4">
    <w:name w:val="WW8Num88z4"/>
    <w:basedOn w:val="Fuentedeprrafopredeter"/>
    <w:uiPriority w:val="99"/>
    <w:rsid w:val="00B15F7D"/>
  </w:style>
  <w:style w:type="character" w:customStyle="1" w:styleId="WW8Num88z5">
    <w:name w:val="WW8Num88z5"/>
    <w:basedOn w:val="Fuentedeprrafopredeter"/>
    <w:uiPriority w:val="99"/>
    <w:rsid w:val="00B15F7D"/>
  </w:style>
  <w:style w:type="character" w:customStyle="1" w:styleId="WW8Num88z6">
    <w:name w:val="WW8Num88z6"/>
    <w:basedOn w:val="Fuentedeprrafopredeter"/>
    <w:uiPriority w:val="99"/>
    <w:rsid w:val="00B15F7D"/>
  </w:style>
  <w:style w:type="character" w:customStyle="1" w:styleId="WW8Num88z7">
    <w:name w:val="WW8Num88z7"/>
    <w:basedOn w:val="Fuentedeprrafopredeter"/>
    <w:uiPriority w:val="99"/>
    <w:rsid w:val="00B15F7D"/>
  </w:style>
  <w:style w:type="character" w:customStyle="1" w:styleId="WW8Num88z8">
    <w:name w:val="WW8Num88z8"/>
    <w:basedOn w:val="Fuentedeprrafopredeter"/>
    <w:uiPriority w:val="99"/>
    <w:rsid w:val="00B15F7D"/>
  </w:style>
  <w:style w:type="character" w:customStyle="1" w:styleId="WW8Num89z0">
    <w:name w:val="WW8Num89z0"/>
    <w:basedOn w:val="Fuentedeprrafopredeter"/>
    <w:uiPriority w:val="99"/>
    <w:rsid w:val="00B15F7D"/>
  </w:style>
  <w:style w:type="character" w:customStyle="1" w:styleId="WW8Num89z1">
    <w:name w:val="WW8Num89z1"/>
    <w:basedOn w:val="Fuentedeprrafopredeter"/>
    <w:uiPriority w:val="99"/>
    <w:rsid w:val="00B15F7D"/>
  </w:style>
  <w:style w:type="character" w:customStyle="1" w:styleId="WW8Num89z2">
    <w:name w:val="WW8Num89z2"/>
    <w:basedOn w:val="Fuentedeprrafopredeter"/>
    <w:uiPriority w:val="99"/>
    <w:rsid w:val="00B15F7D"/>
  </w:style>
  <w:style w:type="character" w:customStyle="1" w:styleId="WW8Num89z3">
    <w:name w:val="WW8Num89z3"/>
    <w:basedOn w:val="Fuentedeprrafopredeter"/>
    <w:uiPriority w:val="99"/>
    <w:rsid w:val="00B15F7D"/>
  </w:style>
  <w:style w:type="character" w:customStyle="1" w:styleId="WW8Num89z4">
    <w:name w:val="WW8Num89z4"/>
    <w:basedOn w:val="Fuentedeprrafopredeter"/>
    <w:uiPriority w:val="99"/>
    <w:rsid w:val="00B15F7D"/>
  </w:style>
  <w:style w:type="character" w:customStyle="1" w:styleId="WW8Num89z5">
    <w:name w:val="WW8Num89z5"/>
    <w:basedOn w:val="Fuentedeprrafopredeter"/>
    <w:uiPriority w:val="99"/>
    <w:rsid w:val="00B15F7D"/>
  </w:style>
  <w:style w:type="character" w:customStyle="1" w:styleId="WW8Num89z6">
    <w:name w:val="WW8Num89z6"/>
    <w:basedOn w:val="Fuentedeprrafopredeter"/>
    <w:uiPriority w:val="99"/>
    <w:rsid w:val="00B15F7D"/>
  </w:style>
  <w:style w:type="character" w:customStyle="1" w:styleId="WW8Num89z7">
    <w:name w:val="WW8Num89z7"/>
    <w:basedOn w:val="Fuentedeprrafopredeter"/>
    <w:uiPriority w:val="99"/>
    <w:rsid w:val="00B15F7D"/>
  </w:style>
  <w:style w:type="character" w:customStyle="1" w:styleId="WW8Num89z8">
    <w:name w:val="WW8Num89z8"/>
    <w:basedOn w:val="Fuentedeprrafopredeter"/>
    <w:uiPriority w:val="99"/>
    <w:rsid w:val="00B15F7D"/>
  </w:style>
  <w:style w:type="character" w:customStyle="1" w:styleId="WW8Num90z0">
    <w:name w:val="WW8Num90z0"/>
    <w:basedOn w:val="Fuentedeprrafopredeter"/>
    <w:uiPriority w:val="99"/>
    <w:rsid w:val="00B15F7D"/>
  </w:style>
  <w:style w:type="character" w:customStyle="1" w:styleId="WW8Num90z1">
    <w:name w:val="WW8Num90z1"/>
    <w:basedOn w:val="Fuentedeprrafopredeter"/>
    <w:uiPriority w:val="99"/>
    <w:rsid w:val="00B15F7D"/>
  </w:style>
  <w:style w:type="character" w:customStyle="1" w:styleId="WW8Num90z2">
    <w:name w:val="WW8Num90z2"/>
    <w:basedOn w:val="Fuentedeprrafopredeter"/>
    <w:uiPriority w:val="99"/>
    <w:rsid w:val="00B15F7D"/>
  </w:style>
  <w:style w:type="character" w:customStyle="1" w:styleId="WW8Num90z3">
    <w:name w:val="WW8Num90z3"/>
    <w:basedOn w:val="Fuentedeprrafopredeter"/>
    <w:uiPriority w:val="99"/>
    <w:rsid w:val="00B15F7D"/>
  </w:style>
  <w:style w:type="character" w:customStyle="1" w:styleId="WW8Num90z4">
    <w:name w:val="WW8Num90z4"/>
    <w:basedOn w:val="Fuentedeprrafopredeter"/>
    <w:uiPriority w:val="99"/>
    <w:rsid w:val="00B15F7D"/>
  </w:style>
  <w:style w:type="character" w:customStyle="1" w:styleId="WW8Num90z5">
    <w:name w:val="WW8Num90z5"/>
    <w:basedOn w:val="Fuentedeprrafopredeter"/>
    <w:uiPriority w:val="99"/>
    <w:rsid w:val="00B15F7D"/>
  </w:style>
  <w:style w:type="character" w:customStyle="1" w:styleId="WW8Num90z6">
    <w:name w:val="WW8Num90z6"/>
    <w:basedOn w:val="Fuentedeprrafopredeter"/>
    <w:uiPriority w:val="99"/>
    <w:rsid w:val="00B15F7D"/>
  </w:style>
  <w:style w:type="character" w:customStyle="1" w:styleId="WW8Num90z7">
    <w:name w:val="WW8Num90z7"/>
    <w:basedOn w:val="Fuentedeprrafopredeter"/>
    <w:uiPriority w:val="99"/>
    <w:rsid w:val="00B15F7D"/>
  </w:style>
  <w:style w:type="character" w:customStyle="1" w:styleId="WW8Num90z8">
    <w:name w:val="WW8Num90z8"/>
    <w:basedOn w:val="Fuentedeprrafopredeter"/>
    <w:uiPriority w:val="99"/>
    <w:rsid w:val="00B15F7D"/>
  </w:style>
  <w:style w:type="character" w:customStyle="1" w:styleId="WW8Num91z0">
    <w:name w:val="WW8Num91z0"/>
    <w:basedOn w:val="Fuentedeprrafopredeter"/>
    <w:uiPriority w:val="99"/>
    <w:rsid w:val="00B15F7D"/>
  </w:style>
  <w:style w:type="character" w:customStyle="1" w:styleId="WW8Num91z1">
    <w:name w:val="WW8Num91z1"/>
    <w:basedOn w:val="Fuentedeprrafopredeter"/>
    <w:uiPriority w:val="99"/>
    <w:rsid w:val="00B15F7D"/>
  </w:style>
  <w:style w:type="character" w:customStyle="1" w:styleId="WW8Num91z2">
    <w:name w:val="WW8Num91z2"/>
    <w:basedOn w:val="Fuentedeprrafopredeter"/>
    <w:uiPriority w:val="99"/>
    <w:rsid w:val="00B15F7D"/>
  </w:style>
  <w:style w:type="character" w:customStyle="1" w:styleId="WW8Num91z3">
    <w:name w:val="WW8Num91z3"/>
    <w:basedOn w:val="Fuentedeprrafopredeter"/>
    <w:uiPriority w:val="99"/>
    <w:rsid w:val="00B15F7D"/>
  </w:style>
  <w:style w:type="character" w:customStyle="1" w:styleId="WW8Num91z4">
    <w:name w:val="WW8Num91z4"/>
    <w:basedOn w:val="Fuentedeprrafopredeter"/>
    <w:uiPriority w:val="99"/>
    <w:rsid w:val="00B15F7D"/>
  </w:style>
  <w:style w:type="character" w:customStyle="1" w:styleId="WW8Num91z5">
    <w:name w:val="WW8Num91z5"/>
    <w:basedOn w:val="Fuentedeprrafopredeter"/>
    <w:uiPriority w:val="99"/>
    <w:rsid w:val="00B15F7D"/>
  </w:style>
  <w:style w:type="character" w:customStyle="1" w:styleId="WW8Num91z6">
    <w:name w:val="WW8Num91z6"/>
    <w:basedOn w:val="Fuentedeprrafopredeter"/>
    <w:uiPriority w:val="99"/>
    <w:rsid w:val="00B15F7D"/>
  </w:style>
  <w:style w:type="character" w:customStyle="1" w:styleId="WW8Num91z7">
    <w:name w:val="WW8Num91z7"/>
    <w:basedOn w:val="Fuentedeprrafopredeter"/>
    <w:uiPriority w:val="99"/>
    <w:rsid w:val="00B15F7D"/>
  </w:style>
  <w:style w:type="character" w:customStyle="1" w:styleId="WW8Num91z8">
    <w:name w:val="WW8Num91z8"/>
    <w:basedOn w:val="Fuentedeprrafopredeter"/>
    <w:uiPriority w:val="99"/>
    <w:rsid w:val="00B15F7D"/>
  </w:style>
  <w:style w:type="character" w:customStyle="1" w:styleId="WW8Num92z0">
    <w:name w:val="WW8Num92z0"/>
    <w:basedOn w:val="Fuentedeprrafopredeter"/>
    <w:uiPriority w:val="99"/>
    <w:rsid w:val="00B15F7D"/>
  </w:style>
  <w:style w:type="character" w:customStyle="1" w:styleId="WW8Num92z1">
    <w:name w:val="WW8Num92z1"/>
    <w:basedOn w:val="Fuentedeprrafopredeter"/>
    <w:uiPriority w:val="99"/>
    <w:rsid w:val="00B15F7D"/>
  </w:style>
  <w:style w:type="character" w:customStyle="1" w:styleId="WW8Num92z2">
    <w:name w:val="WW8Num92z2"/>
    <w:basedOn w:val="Fuentedeprrafopredeter"/>
    <w:uiPriority w:val="99"/>
    <w:rsid w:val="00B15F7D"/>
  </w:style>
  <w:style w:type="character" w:customStyle="1" w:styleId="WW8Num92z3">
    <w:name w:val="WW8Num92z3"/>
    <w:basedOn w:val="Fuentedeprrafopredeter"/>
    <w:uiPriority w:val="99"/>
    <w:rsid w:val="00B15F7D"/>
  </w:style>
  <w:style w:type="character" w:customStyle="1" w:styleId="WW8Num92z4">
    <w:name w:val="WW8Num92z4"/>
    <w:basedOn w:val="Fuentedeprrafopredeter"/>
    <w:uiPriority w:val="99"/>
    <w:rsid w:val="00B15F7D"/>
  </w:style>
  <w:style w:type="character" w:customStyle="1" w:styleId="WW8Num92z5">
    <w:name w:val="WW8Num92z5"/>
    <w:basedOn w:val="Fuentedeprrafopredeter"/>
    <w:uiPriority w:val="99"/>
    <w:rsid w:val="00B15F7D"/>
  </w:style>
  <w:style w:type="character" w:customStyle="1" w:styleId="WW8Num92z6">
    <w:name w:val="WW8Num92z6"/>
    <w:basedOn w:val="Fuentedeprrafopredeter"/>
    <w:uiPriority w:val="99"/>
    <w:rsid w:val="00B15F7D"/>
  </w:style>
  <w:style w:type="character" w:customStyle="1" w:styleId="WW8Num92z7">
    <w:name w:val="WW8Num92z7"/>
    <w:basedOn w:val="Fuentedeprrafopredeter"/>
    <w:uiPriority w:val="99"/>
    <w:rsid w:val="00B15F7D"/>
  </w:style>
  <w:style w:type="character" w:customStyle="1" w:styleId="WW8Num92z8">
    <w:name w:val="WW8Num92z8"/>
    <w:basedOn w:val="Fuentedeprrafopredeter"/>
    <w:uiPriority w:val="99"/>
    <w:rsid w:val="00B15F7D"/>
  </w:style>
  <w:style w:type="character" w:customStyle="1" w:styleId="WW8Num93z0">
    <w:name w:val="WW8Num93z0"/>
    <w:basedOn w:val="Fuentedeprrafopredeter"/>
    <w:uiPriority w:val="99"/>
    <w:rsid w:val="00B15F7D"/>
  </w:style>
  <w:style w:type="character" w:customStyle="1" w:styleId="WW8Num93z1">
    <w:name w:val="WW8Num93z1"/>
    <w:basedOn w:val="Fuentedeprrafopredeter"/>
    <w:uiPriority w:val="99"/>
    <w:rsid w:val="00B15F7D"/>
  </w:style>
  <w:style w:type="character" w:customStyle="1" w:styleId="WW8Num93z2">
    <w:name w:val="WW8Num93z2"/>
    <w:basedOn w:val="Fuentedeprrafopredeter"/>
    <w:uiPriority w:val="99"/>
    <w:rsid w:val="00B15F7D"/>
  </w:style>
  <w:style w:type="character" w:customStyle="1" w:styleId="WW8Num93z3">
    <w:name w:val="WW8Num93z3"/>
    <w:basedOn w:val="Fuentedeprrafopredeter"/>
    <w:uiPriority w:val="99"/>
    <w:rsid w:val="00B15F7D"/>
  </w:style>
  <w:style w:type="character" w:customStyle="1" w:styleId="WW8Num93z4">
    <w:name w:val="WW8Num93z4"/>
    <w:basedOn w:val="Fuentedeprrafopredeter"/>
    <w:uiPriority w:val="99"/>
    <w:rsid w:val="00B15F7D"/>
  </w:style>
  <w:style w:type="character" w:customStyle="1" w:styleId="WW8Num93z5">
    <w:name w:val="WW8Num93z5"/>
    <w:basedOn w:val="Fuentedeprrafopredeter"/>
    <w:uiPriority w:val="99"/>
    <w:rsid w:val="00B15F7D"/>
  </w:style>
  <w:style w:type="character" w:customStyle="1" w:styleId="WW8Num93z6">
    <w:name w:val="WW8Num93z6"/>
    <w:basedOn w:val="Fuentedeprrafopredeter"/>
    <w:uiPriority w:val="99"/>
    <w:rsid w:val="00B15F7D"/>
  </w:style>
  <w:style w:type="character" w:customStyle="1" w:styleId="WW8Num93z7">
    <w:name w:val="WW8Num93z7"/>
    <w:basedOn w:val="Fuentedeprrafopredeter"/>
    <w:uiPriority w:val="99"/>
    <w:rsid w:val="00B15F7D"/>
  </w:style>
  <w:style w:type="character" w:customStyle="1" w:styleId="WW8Num93z8">
    <w:name w:val="WW8Num93z8"/>
    <w:basedOn w:val="Fuentedeprrafopredeter"/>
    <w:uiPriority w:val="99"/>
    <w:rsid w:val="00B15F7D"/>
  </w:style>
  <w:style w:type="character" w:customStyle="1" w:styleId="WW-Caracteresdenotaalpie">
    <w:name w:val="WW-Caracteres de nota al pie"/>
    <w:basedOn w:val="Fuentedeprrafopredeter"/>
    <w:rsid w:val="00B15F7D"/>
    <w:rPr>
      <w:vertAlign w:val="superscript"/>
    </w:rPr>
  </w:style>
  <w:style w:type="character" w:customStyle="1" w:styleId="nfasis1">
    <w:name w:val="Énfasis1"/>
    <w:basedOn w:val="Fuentedeprrafopredeter"/>
    <w:rsid w:val="00B15F7D"/>
    <w:rPr>
      <w:i/>
      <w:iCs/>
    </w:rPr>
  </w:style>
  <w:style w:type="character" w:customStyle="1" w:styleId="Caracteresdenotafinal">
    <w:name w:val="Caracteres de nota final"/>
    <w:basedOn w:val="Fuentedeprrafopredeter"/>
    <w:qFormat/>
    <w:rsid w:val="00B15F7D"/>
    <w:rPr>
      <w:vertAlign w:val="superscript"/>
    </w:rPr>
  </w:style>
  <w:style w:type="character" w:customStyle="1" w:styleId="WW-Muydestacado">
    <w:name w:val="WW-Muy destacado"/>
    <w:basedOn w:val="Fuentedeprrafopredeter"/>
    <w:rsid w:val="00B15F7D"/>
    <w:rPr>
      <w:b/>
      <w:bCs/>
    </w:rPr>
  </w:style>
  <w:style w:type="character" w:customStyle="1" w:styleId="WW8NumSt1z0">
    <w:name w:val="WW8NumSt1z0"/>
    <w:basedOn w:val="Fuentedeprrafopredeter"/>
    <w:rsid w:val="00B15F7D"/>
    <w:rPr>
      <w:rFonts w:ascii="Symbol" w:hAnsi="Symbol" w:hint="default"/>
    </w:rPr>
  </w:style>
  <w:style w:type="character" w:customStyle="1" w:styleId="Fuentedeencabezadopredeter">
    <w:name w:val="Fuente de encabezado predeter."/>
    <w:basedOn w:val="Fuentedeprrafopredeter"/>
    <w:rsid w:val="00B15F7D"/>
  </w:style>
  <w:style w:type="character" w:customStyle="1" w:styleId="EquationCaption">
    <w:name w:val="_Equation Caption"/>
    <w:basedOn w:val="Fuentedeprrafopredeter"/>
    <w:rsid w:val="00B15F7D"/>
  </w:style>
  <w:style w:type="character" w:customStyle="1" w:styleId="hhernandez">
    <w:name w:val="hhernandez"/>
    <w:basedOn w:val="Fuentedeprrafopredeter"/>
    <w:rsid w:val="00B15F7D"/>
    <w:rPr>
      <w:rFonts w:ascii="Arial" w:hAnsi="Arial" w:cs="Arial" w:hint="default"/>
      <w:color w:val="000080"/>
    </w:rPr>
  </w:style>
  <w:style w:type="character" w:customStyle="1" w:styleId="tgc">
    <w:name w:val="_tgc"/>
    <w:basedOn w:val="Fuentedeprrafopredeter"/>
    <w:rsid w:val="00B15F7D"/>
  </w:style>
  <w:style w:type="character" w:customStyle="1" w:styleId="WW8Num8z3">
    <w:name w:val="WW8Num8z3"/>
    <w:basedOn w:val="Fuentedeprrafopredeter"/>
    <w:qFormat/>
    <w:rsid w:val="00B15F7D"/>
    <w:rPr>
      <w:rFonts w:ascii="Symbol" w:hAnsi="Symbol" w:hint="default"/>
    </w:rPr>
  </w:style>
  <w:style w:type="character" w:customStyle="1" w:styleId="WW8Num39z2">
    <w:name w:val="WW8Num39z2"/>
    <w:basedOn w:val="Fuentedeprrafopredeter"/>
    <w:qFormat/>
    <w:rsid w:val="00B15F7D"/>
  </w:style>
  <w:style w:type="character" w:customStyle="1" w:styleId="WW8Num52z1">
    <w:name w:val="WW8Num52z1"/>
    <w:basedOn w:val="Fuentedeprrafopredeter"/>
    <w:rsid w:val="00B15F7D"/>
    <w:rPr>
      <w:rFonts w:ascii="Courier New" w:hAnsi="Courier New" w:cs="Courier New" w:hint="default"/>
    </w:rPr>
  </w:style>
  <w:style w:type="character" w:customStyle="1" w:styleId="WW8Num52z2">
    <w:name w:val="WW8Num52z2"/>
    <w:basedOn w:val="Fuentedeprrafopredeter"/>
    <w:rsid w:val="00B15F7D"/>
    <w:rPr>
      <w:rFonts w:ascii="Wingdings" w:hAnsi="Wingdings" w:hint="default"/>
    </w:rPr>
  </w:style>
  <w:style w:type="character" w:customStyle="1" w:styleId="WW8Num52z3">
    <w:name w:val="WW8Num52z3"/>
    <w:basedOn w:val="Fuentedeprrafopredeter"/>
    <w:rsid w:val="00B15F7D"/>
    <w:rPr>
      <w:rFonts w:ascii="Symbol" w:hAnsi="Symbol" w:hint="default"/>
    </w:rPr>
  </w:style>
  <w:style w:type="character" w:customStyle="1" w:styleId="CarCar8">
    <w:name w:val="Car Car8"/>
    <w:basedOn w:val="Fuentedeprrafopredeter"/>
    <w:qFormat/>
    <w:rsid w:val="00B15F7D"/>
    <w:rPr>
      <w:rFonts w:ascii="Cambria" w:hAnsi="Cambria" w:hint="default"/>
    </w:rPr>
  </w:style>
  <w:style w:type="character" w:customStyle="1" w:styleId="CarCar7">
    <w:name w:val="Car Car7"/>
    <w:basedOn w:val="Fuentedeprrafopredeter"/>
    <w:qFormat/>
    <w:rsid w:val="00B15F7D"/>
    <w:rPr>
      <w:rFonts w:ascii="Cambria" w:hAnsi="Cambria" w:hint="default"/>
      <w:b/>
      <w:bCs/>
    </w:rPr>
  </w:style>
  <w:style w:type="character" w:customStyle="1" w:styleId="CarCar61">
    <w:name w:val="Car Car61"/>
    <w:basedOn w:val="Fuentedeprrafopredeter"/>
    <w:rsid w:val="00B15F7D"/>
  </w:style>
  <w:style w:type="character" w:customStyle="1" w:styleId="CarCar5">
    <w:name w:val="Car Car5"/>
    <w:basedOn w:val="Fuentedeprrafopredeter"/>
    <w:qFormat/>
    <w:rsid w:val="00B15F7D"/>
    <w:rPr>
      <w:rFonts w:ascii="Tahoma" w:hAnsi="Tahoma" w:cs="Tahoma" w:hint="default"/>
    </w:rPr>
  </w:style>
  <w:style w:type="character" w:customStyle="1" w:styleId="CarCar31">
    <w:name w:val="Car Car31"/>
    <w:basedOn w:val="Fuentedeprrafopredeter"/>
    <w:rsid w:val="00B15F7D"/>
  </w:style>
  <w:style w:type="character" w:customStyle="1" w:styleId="CarCar21">
    <w:name w:val="Car Car21"/>
    <w:basedOn w:val="Fuentedeprrafopredeter"/>
    <w:rsid w:val="00B15F7D"/>
  </w:style>
  <w:style w:type="character" w:customStyle="1" w:styleId="CarCar14">
    <w:name w:val="Car Car14"/>
    <w:basedOn w:val="Fuentedeprrafopredeter"/>
    <w:rsid w:val="00B15F7D"/>
  </w:style>
  <w:style w:type="character" w:customStyle="1" w:styleId="Textoennegrita1">
    <w:name w:val="Texto en negrita1"/>
    <w:basedOn w:val="Fuentedeprrafopredeter"/>
    <w:rsid w:val="00B15F7D"/>
    <w:rPr>
      <w:b/>
      <w:bCs/>
    </w:rPr>
  </w:style>
  <w:style w:type="character" w:customStyle="1" w:styleId="TextoindependienteprimerasangraCar1">
    <w:name w:val="Texto independiente primera sangría Car1"/>
    <w:basedOn w:val="Fuentedeprrafopredeter"/>
    <w:uiPriority w:val="99"/>
    <w:rsid w:val="00B15F7D"/>
    <w:rPr>
      <w:rFonts w:ascii="Times New Roman" w:hAnsi="Times New Roman" w:cs="Times New Roman" w:hint="default"/>
      <w:lang w:eastAsia="ar-SA"/>
    </w:rPr>
  </w:style>
  <w:style w:type="character" w:customStyle="1" w:styleId="Textoindependienteprimerasangra2Car1">
    <w:name w:val="Texto independiente primera sangría 2 Car1"/>
    <w:basedOn w:val="Fuentedeprrafopredeter"/>
    <w:uiPriority w:val="99"/>
    <w:rsid w:val="00B15F7D"/>
    <w:rPr>
      <w:rFonts w:ascii="Times New Roman" w:hAnsi="Times New Roman" w:cs="Times New Roman" w:hint="default"/>
      <w:lang w:eastAsia="ar-SA"/>
    </w:rPr>
  </w:style>
  <w:style w:type="character" w:customStyle="1" w:styleId="TextonotaalfinalCar1">
    <w:name w:val="Texto nota al final Car1"/>
    <w:basedOn w:val="Fuentedeprrafopredeter"/>
    <w:uiPriority w:val="99"/>
    <w:rsid w:val="00B15F7D"/>
    <w:rPr>
      <w:rFonts w:ascii="Calibri" w:hAnsi="Calibri" w:cs="Calibri" w:hint="default"/>
    </w:rPr>
  </w:style>
  <w:style w:type="character" w:customStyle="1" w:styleId="MapadeldocumentoCar1">
    <w:name w:val="Mapa del documento Car1"/>
    <w:basedOn w:val="Fuentedeprrafopredeter"/>
    <w:uiPriority w:val="99"/>
    <w:rsid w:val="00B15F7D"/>
    <w:rPr>
      <w:rFonts w:ascii="Tahoma" w:hAnsi="Tahoma" w:cs="Tahoma" w:hint="default"/>
      <w:color w:val="000000"/>
      <w:shd w:val="clear" w:color="auto" w:fill="000080"/>
      <w:lang w:eastAsia="es-ES"/>
    </w:rPr>
  </w:style>
  <w:style w:type="character" w:customStyle="1" w:styleId="SaludoCar2">
    <w:name w:val="Saludo Car2"/>
    <w:basedOn w:val="Fuentedeprrafopredeter"/>
    <w:uiPriority w:val="99"/>
    <w:rsid w:val="00B15F7D"/>
    <w:rPr>
      <w:rFonts w:ascii="Calibri" w:hAnsi="Calibri" w:cs="Calibri" w:hint="default"/>
    </w:rPr>
  </w:style>
  <w:style w:type="character" w:customStyle="1" w:styleId="FirmaCar1">
    <w:name w:val="Firma Car1"/>
    <w:basedOn w:val="Fuentedeprrafopredeter"/>
    <w:uiPriority w:val="99"/>
    <w:rsid w:val="00B15F7D"/>
    <w:rPr>
      <w:rFonts w:ascii="Century Schoolbook" w:hAnsi="Century Schoolbook" w:hint="default"/>
      <w:i/>
      <w:iCs/>
      <w:lang w:eastAsia="es-ES"/>
    </w:rPr>
  </w:style>
  <w:style w:type="character" w:customStyle="1" w:styleId="WW8Num6z3">
    <w:name w:val="WW8Num6z3"/>
    <w:basedOn w:val="Fuentedeprrafopredeter"/>
    <w:uiPriority w:val="99"/>
    <w:qFormat/>
    <w:rsid w:val="00B15F7D"/>
  </w:style>
  <w:style w:type="character" w:customStyle="1" w:styleId="WW8Num6z4">
    <w:name w:val="WW8Num6z4"/>
    <w:basedOn w:val="Fuentedeprrafopredeter"/>
    <w:uiPriority w:val="99"/>
    <w:rsid w:val="00B15F7D"/>
  </w:style>
  <w:style w:type="character" w:customStyle="1" w:styleId="WW8Num6z5">
    <w:name w:val="WW8Num6z5"/>
    <w:basedOn w:val="Fuentedeprrafopredeter"/>
    <w:uiPriority w:val="99"/>
    <w:rsid w:val="00B15F7D"/>
  </w:style>
  <w:style w:type="character" w:customStyle="1" w:styleId="WW8Num6z6">
    <w:name w:val="WW8Num6z6"/>
    <w:basedOn w:val="Fuentedeprrafopredeter"/>
    <w:uiPriority w:val="99"/>
    <w:rsid w:val="00B15F7D"/>
  </w:style>
  <w:style w:type="character" w:customStyle="1" w:styleId="WW8Num6z7">
    <w:name w:val="WW8Num6z7"/>
    <w:basedOn w:val="Fuentedeprrafopredeter"/>
    <w:uiPriority w:val="99"/>
    <w:rsid w:val="00B15F7D"/>
  </w:style>
  <w:style w:type="character" w:customStyle="1" w:styleId="WW8Num6z8">
    <w:name w:val="WW8Num6z8"/>
    <w:basedOn w:val="Fuentedeprrafopredeter"/>
    <w:uiPriority w:val="99"/>
    <w:rsid w:val="00B15F7D"/>
  </w:style>
  <w:style w:type="character" w:customStyle="1" w:styleId="WW8Num8z4">
    <w:name w:val="WW8Num8z4"/>
    <w:basedOn w:val="Fuentedeprrafopredeter"/>
    <w:uiPriority w:val="99"/>
    <w:rsid w:val="00B15F7D"/>
  </w:style>
  <w:style w:type="character" w:customStyle="1" w:styleId="WW8Num8z5">
    <w:name w:val="WW8Num8z5"/>
    <w:basedOn w:val="Fuentedeprrafopredeter"/>
    <w:uiPriority w:val="99"/>
    <w:rsid w:val="00B15F7D"/>
  </w:style>
  <w:style w:type="character" w:customStyle="1" w:styleId="WW8Num8z6">
    <w:name w:val="WW8Num8z6"/>
    <w:basedOn w:val="Fuentedeprrafopredeter"/>
    <w:uiPriority w:val="99"/>
    <w:rsid w:val="00B15F7D"/>
  </w:style>
  <w:style w:type="character" w:customStyle="1" w:styleId="WW8Num8z7">
    <w:name w:val="WW8Num8z7"/>
    <w:basedOn w:val="Fuentedeprrafopredeter"/>
    <w:uiPriority w:val="99"/>
    <w:rsid w:val="00B15F7D"/>
  </w:style>
  <w:style w:type="character" w:customStyle="1" w:styleId="WW8Num8z8">
    <w:name w:val="WW8Num8z8"/>
    <w:basedOn w:val="Fuentedeprrafopredeter"/>
    <w:uiPriority w:val="99"/>
    <w:rsid w:val="00B15F7D"/>
  </w:style>
  <w:style w:type="character" w:customStyle="1" w:styleId="WW8Num20z3">
    <w:name w:val="WW8Num20z3"/>
    <w:basedOn w:val="Fuentedeprrafopredeter"/>
    <w:qFormat/>
    <w:rsid w:val="00B15F7D"/>
    <w:rPr>
      <w:rFonts w:ascii="Symbol" w:hAnsi="Symbol" w:hint="default"/>
    </w:rPr>
  </w:style>
  <w:style w:type="character" w:customStyle="1" w:styleId="WW8Num22z1">
    <w:name w:val="WW8Num22z1"/>
    <w:basedOn w:val="Fuentedeprrafopredeter"/>
    <w:qFormat/>
    <w:rsid w:val="00B15F7D"/>
    <w:rPr>
      <w:rFonts w:ascii="Courier New" w:hAnsi="Courier New" w:cs="Courier New" w:hint="default"/>
    </w:rPr>
  </w:style>
  <w:style w:type="character" w:customStyle="1" w:styleId="WW8Num22z2">
    <w:name w:val="WW8Num22z2"/>
    <w:basedOn w:val="Fuentedeprrafopredeter"/>
    <w:qFormat/>
    <w:rsid w:val="00B15F7D"/>
    <w:rPr>
      <w:rFonts w:ascii="Wingdings" w:hAnsi="Wingdings" w:hint="default"/>
    </w:rPr>
  </w:style>
  <w:style w:type="character" w:customStyle="1" w:styleId="WW8Num22z3">
    <w:name w:val="WW8Num22z3"/>
    <w:basedOn w:val="Fuentedeprrafopredeter"/>
    <w:qFormat/>
    <w:rsid w:val="00B15F7D"/>
    <w:rPr>
      <w:rFonts w:ascii="Symbol" w:hAnsi="Symbol" w:hint="default"/>
    </w:rPr>
  </w:style>
  <w:style w:type="character" w:customStyle="1" w:styleId="WW8Num24z4">
    <w:name w:val="WW8Num24z4"/>
    <w:basedOn w:val="Fuentedeprrafopredeter"/>
    <w:qFormat/>
    <w:rsid w:val="00B15F7D"/>
  </w:style>
  <w:style w:type="character" w:customStyle="1" w:styleId="WW8Num24z5">
    <w:name w:val="WW8Num24z5"/>
    <w:basedOn w:val="Fuentedeprrafopredeter"/>
    <w:qFormat/>
    <w:rsid w:val="00B15F7D"/>
  </w:style>
  <w:style w:type="character" w:customStyle="1" w:styleId="WW8Num24z6">
    <w:name w:val="WW8Num24z6"/>
    <w:basedOn w:val="Fuentedeprrafopredeter"/>
    <w:qFormat/>
    <w:rsid w:val="00B15F7D"/>
  </w:style>
  <w:style w:type="character" w:customStyle="1" w:styleId="WW8Num24z7">
    <w:name w:val="WW8Num24z7"/>
    <w:basedOn w:val="Fuentedeprrafopredeter"/>
    <w:qFormat/>
    <w:rsid w:val="00B15F7D"/>
  </w:style>
  <w:style w:type="character" w:customStyle="1" w:styleId="WW8Num24z8">
    <w:name w:val="WW8Num24z8"/>
    <w:basedOn w:val="Fuentedeprrafopredeter"/>
    <w:qFormat/>
    <w:rsid w:val="00B15F7D"/>
  </w:style>
  <w:style w:type="character" w:customStyle="1" w:styleId="WW8Num26z3">
    <w:name w:val="WW8Num26z3"/>
    <w:basedOn w:val="Fuentedeprrafopredeter"/>
    <w:qFormat/>
    <w:rsid w:val="00B15F7D"/>
  </w:style>
  <w:style w:type="character" w:customStyle="1" w:styleId="WW8Num26z4">
    <w:name w:val="WW8Num26z4"/>
    <w:basedOn w:val="Fuentedeprrafopredeter"/>
    <w:qFormat/>
    <w:rsid w:val="00B15F7D"/>
  </w:style>
  <w:style w:type="character" w:customStyle="1" w:styleId="WW8Num26z5">
    <w:name w:val="WW8Num26z5"/>
    <w:basedOn w:val="Fuentedeprrafopredeter"/>
    <w:qFormat/>
    <w:rsid w:val="00B15F7D"/>
  </w:style>
  <w:style w:type="character" w:customStyle="1" w:styleId="WW8Num26z6">
    <w:name w:val="WW8Num26z6"/>
    <w:basedOn w:val="Fuentedeprrafopredeter"/>
    <w:qFormat/>
    <w:rsid w:val="00B15F7D"/>
  </w:style>
  <w:style w:type="character" w:customStyle="1" w:styleId="WW8Num26z7">
    <w:name w:val="WW8Num26z7"/>
    <w:basedOn w:val="Fuentedeprrafopredeter"/>
    <w:qFormat/>
    <w:rsid w:val="00B15F7D"/>
  </w:style>
  <w:style w:type="character" w:customStyle="1" w:styleId="WW8Num26z8">
    <w:name w:val="WW8Num26z8"/>
    <w:basedOn w:val="Fuentedeprrafopredeter"/>
    <w:qFormat/>
    <w:rsid w:val="00B15F7D"/>
  </w:style>
  <w:style w:type="character" w:customStyle="1" w:styleId="WW8Num27z3">
    <w:name w:val="WW8Num27z3"/>
    <w:basedOn w:val="Fuentedeprrafopredeter"/>
    <w:qFormat/>
    <w:rsid w:val="00B15F7D"/>
  </w:style>
  <w:style w:type="character" w:customStyle="1" w:styleId="WW8Num27z4">
    <w:name w:val="WW8Num27z4"/>
    <w:basedOn w:val="Fuentedeprrafopredeter"/>
    <w:qFormat/>
    <w:rsid w:val="00B15F7D"/>
  </w:style>
  <w:style w:type="character" w:customStyle="1" w:styleId="WW8Num27z5">
    <w:name w:val="WW8Num27z5"/>
    <w:basedOn w:val="Fuentedeprrafopredeter"/>
    <w:qFormat/>
    <w:rsid w:val="00B15F7D"/>
  </w:style>
  <w:style w:type="character" w:customStyle="1" w:styleId="WW8Num27z6">
    <w:name w:val="WW8Num27z6"/>
    <w:basedOn w:val="Fuentedeprrafopredeter"/>
    <w:qFormat/>
    <w:rsid w:val="00B15F7D"/>
  </w:style>
  <w:style w:type="character" w:customStyle="1" w:styleId="WW8Num27z7">
    <w:name w:val="WW8Num27z7"/>
    <w:basedOn w:val="Fuentedeprrafopredeter"/>
    <w:qFormat/>
    <w:rsid w:val="00B15F7D"/>
  </w:style>
  <w:style w:type="character" w:customStyle="1" w:styleId="WW8Num27z8">
    <w:name w:val="WW8Num27z8"/>
    <w:basedOn w:val="Fuentedeprrafopredeter"/>
    <w:qFormat/>
    <w:rsid w:val="00B15F7D"/>
  </w:style>
  <w:style w:type="character" w:customStyle="1" w:styleId="WW8Num28z3">
    <w:name w:val="WW8Num28z3"/>
    <w:basedOn w:val="Fuentedeprrafopredeter"/>
    <w:rsid w:val="00B15F7D"/>
    <w:rPr>
      <w:rFonts w:ascii="Symbol" w:hAnsi="Symbol" w:hint="default"/>
    </w:rPr>
  </w:style>
  <w:style w:type="character" w:customStyle="1" w:styleId="CarCar62">
    <w:name w:val="Car Car62"/>
    <w:basedOn w:val="Fuentedeprrafopredeter"/>
    <w:uiPriority w:val="99"/>
    <w:rsid w:val="00B15F7D"/>
    <w:rPr>
      <w:color w:val="000000"/>
    </w:rPr>
  </w:style>
  <w:style w:type="character" w:customStyle="1" w:styleId="CalendarInformationChar">
    <w:name w:val="Calendar Information Char"/>
    <w:basedOn w:val="Fuentedeprrafopredeter"/>
    <w:rsid w:val="00B15F7D"/>
    <w:rPr>
      <w:rFonts w:ascii="Century Gothic" w:hAnsi="Century Gothic" w:hint="default"/>
    </w:rPr>
  </w:style>
  <w:style w:type="character" w:customStyle="1" w:styleId="h2car">
    <w:name w:val="h2car"/>
    <w:basedOn w:val="Fuentedeprrafopredeter"/>
    <w:rsid w:val="00B15F7D"/>
    <w:rPr>
      <w:b/>
      <w:bCs/>
    </w:rPr>
  </w:style>
  <w:style w:type="character" w:customStyle="1" w:styleId="encabezadocarcar">
    <w:name w:val="encabezadocarcar"/>
    <w:basedOn w:val="Fuentedeprrafopredeter"/>
    <w:rsid w:val="00B15F7D"/>
    <w:rPr>
      <w:rFonts w:ascii="Courier New" w:hAnsi="Courier New" w:cs="Courier New" w:hint="default"/>
    </w:rPr>
  </w:style>
  <w:style w:type="character" w:customStyle="1" w:styleId="carcar0">
    <w:name w:val="carcar"/>
    <w:basedOn w:val="Fuentedeprrafopredeter"/>
    <w:rsid w:val="00B15F7D"/>
    <w:rPr>
      <w:rFonts w:ascii="Arial" w:hAnsi="Arial" w:cs="Arial" w:hint="default"/>
    </w:rPr>
  </w:style>
  <w:style w:type="character" w:customStyle="1" w:styleId="encabezadocar0">
    <w:name w:val="encabezadocar"/>
    <w:basedOn w:val="Fuentedeprrafopredeter"/>
    <w:rsid w:val="00B15F7D"/>
    <w:rPr>
      <w:rFonts w:ascii="MS Sans Serif" w:hAnsi="MS Sans Serif" w:hint="default"/>
    </w:rPr>
  </w:style>
  <w:style w:type="character" w:customStyle="1" w:styleId="encabezadocarcar0">
    <w:name w:val="encabezadocarcar0"/>
    <w:basedOn w:val="Fuentedeprrafopredeter"/>
    <w:rsid w:val="00B15F7D"/>
    <w:rPr>
      <w:rFonts w:ascii="Courier New" w:hAnsi="Courier New" w:cs="Courier New" w:hint="default"/>
    </w:rPr>
  </w:style>
  <w:style w:type="character" w:customStyle="1" w:styleId="carcar11">
    <w:name w:val="carcar1"/>
    <w:basedOn w:val="Fuentedeprrafopredeter"/>
    <w:rsid w:val="00B15F7D"/>
    <w:rPr>
      <w:rFonts w:ascii="Cambria" w:hAnsi="Cambria" w:hint="default"/>
      <w:b/>
      <w:bCs/>
      <w:color w:val="4F81BD"/>
    </w:rPr>
  </w:style>
  <w:style w:type="character" w:customStyle="1" w:styleId="characterstyle30">
    <w:name w:val="characterstyle3"/>
    <w:basedOn w:val="Fuentedeprrafopredeter"/>
    <w:rsid w:val="00B15F7D"/>
    <w:rPr>
      <w:rFonts w:ascii="Arial" w:hAnsi="Arial" w:cs="Arial" w:hint="default"/>
    </w:rPr>
  </w:style>
  <w:style w:type="character" w:customStyle="1" w:styleId="characterstyle50">
    <w:name w:val="characterstyle5"/>
    <w:basedOn w:val="Fuentedeprrafopredeter"/>
    <w:rsid w:val="00B15F7D"/>
    <w:rPr>
      <w:i/>
      <w:iCs/>
    </w:rPr>
  </w:style>
  <w:style w:type="character" w:customStyle="1" w:styleId="encabezadocarcar10">
    <w:name w:val="encabezadocarcar1"/>
    <w:basedOn w:val="Fuentedeprrafopredeter"/>
    <w:rsid w:val="00B15F7D"/>
    <w:rPr>
      <w:rFonts w:ascii="Arial" w:hAnsi="Arial" w:cs="Arial" w:hint="default"/>
      <w:u w:val="single"/>
      <w:shd w:val="clear" w:color="auto" w:fill="FFFFFF"/>
    </w:rPr>
  </w:style>
  <w:style w:type="character" w:customStyle="1" w:styleId="characterstyle8">
    <w:name w:val="characterstyle8"/>
    <w:basedOn w:val="Fuentedeprrafopredeter"/>
    <w:rsid w:val="00B15F7D"/>
    <w:rPr>
      <w:rFonts w:ascii="Tahoma" w:hAnsi="Tahoma" w:cs="Tahoma" w:hint="default"/>
    </w:rPr>
  </w:style>
  <w:style w:type="character" w:customStyle="1" w:styleId="carcar30">
    <w:name w:val="carcar3"/>
    <w:basedOn w:val="Fuentedeprrafopredeter"/>
    <w:rsid w:val="00B15F7D"/>
    <w:rPr>
      <w:rFonts w:ascii="Arial" w:hAnsi="Arial" w:cs="Arial" w:hint="default"/>
    </w:rPr>
  </w:style>
  <w:style w:type="character" w:customStyle="1" w:styleId="a1">
    <w:name w:val="a"/>
    <w:basedOn w:val="Fuentedeprrafopredeter"/>
    <w:rsid w:val="00B15F7D"/>
    <w:rPr>
      <w:rFonts w:ascii="Times New Roman" w:hAnsi="Times New Roman" w:cs="Times New Roman" w:hint="default"/>
    </w:rPr>
  </w:style>
  <w:style w:type="character" w:customStyle="1" w:styleId="d">
    <w:name w:val="d"/>
    <w:basedOn w:val="Fuentedeprrafopredeter"/>
    <w:rsid w:val="00B15F7D"/>
    <w:rPr>
      <w:rFonts w:ascii="Times New Roman" w:hAnsi="Times New Roman" w:cs="Times New Roman" w:hint="default"/>
    </w:rPr>
  </w:style>
  <w:style w:type="character" w:customStyle="1" w:styleId="b">
    <w:name w:val="b"/>
    <w:basedOn w:val="Fuentedeprrafopredeter"/>
    <w:rsid w:val="00B15F7D"/>
    <w:rPr>
      <w:rFonts w:ascii="Times New Roman" w:hAnsi="Times New Roman" w:cs="Times New Roman" w:hint="default"/>
    </w:rPr>
  </w:style>
  <w:style w:type="character" w:customStyle="1" w:styleId="g">
    <w:name w:val="g"/>
    <w:basedOn w:val="Fuentedeprrafopredeter"/>
    <w:rsid w:val="00B15F7D"/>
    <w:rPr>
      <w:rFonts w:ascii="Times New Roman" w:hAnsi="Times New Roman" w:cs="Times New Roman" w:hint="default"/>
    </w:rPr>
  </w:style>
  <w:style w:type="character" w:customStyle="1" w:styleId="textocorrido1">
    <w:name w:val="textocorrido1"/>
    <w:basedOn w:val="Fuentedeprrafopredeter"/>
    <w:rsid w:val="00B15F7D"/>
    <w:rPr>
      <w:rFonts w:ascii="Verdana" w:hAnsi="Verdana" w:hint="default"/>
      <w:color w:val="000000"/>
    </w:rPr>
  </w:style>
  <w:style w:type="character" w:customStyle="1" w:styleId="rphighlightallclass">
    <w:name w:val="rphighlightallclass"/>
    <w:basedOn w:val="Fuentedeprrafopredeter"/>
    <w:uiPriority w:val="99"/>
    <w:rsid w:val="00B15F7D"/>
  </w:style>
  <w:style w:type="character" w:customStyle="1" w:styleId="CarCar81">
    <w:name w:val="Car Car81"/>
    <w:basedOn w:val="Fuentedeprrafopredeter"/>
    <w:rsid w:val="00B15F7D"/>
    <w:rPr>
      <w:rFonts w:ascii="Cambria" w:hAnsi="Cambria" w:hint="default"/>
    </w:rPr>
  </w:style>
  <w:style w:type="character" w:customStyle="1" w:styleId="CarCar71">
    <w:name w:val="Car Car71"/>
    <w:basedOn w:val="Fuentedeprrafopredeter"/>
    <w:uiPriority w:val="99"/>
    <w:rsid w:val="00B15F7D"/>
    <w:rPr>
      <w:rFonts w:ascii="Cambria" w:hAnsi="Cambria" w:hint="default"/>
      <w:b/>
      <w:bCs/>
    </w:rPr>
  </w:style>
  <w:style w:type="character" w:customStyle="1" w:styleId="CarCar51">
    <w:name w:val="Car Car51"/>
    <w:basedOn w:val="Fuentedeprrafopredeter"/>
    <w:uiPriority w:val="99"/>
    <w:rsid w:val="00B15F7D"/>
    <w:rPr>
      <w:rFonts w:ascii="Tahoma" w:hAnsi="Tahoma" w:cs="Tahoma" w:hint="default"/>
    </w:rPr>
  </w:style>
  <w:style w:type="character" w:customStyle="1" w:styleId="WW-Caracteresdenotafinal">
    <w:name w:val="WW-Caracteres de nota final"/>
    <w:basedOn w:val="Fuentedeprrafopredeter"/>
    <w:rsid w:val="00B15F7D"/>
    <w:rPr>
      <w:vertAlign w:val="superscript"/>
    </w:rPr>
  </w:style>
  <w:style w:type="character" w:customStyle="1" w:styleId="AsuntodelcomentarioCar1">
    <w:name w:val="Asunto del comentario Car1"/>
    <w:basedOn w:val="Fuentedeprrafopredeter"/>
    <w:uiPriority w:val="99"/>
    <w:rsid w:val="00B15F7D"/>
    <w:rPr>
      <w:rFonts w:ascii="Times New Roman" w:hAnsi="Times New Roman" w:cs="Times New Roman" w:hint="default"/>
      <w:b/>
      <w:bCs/>
      <w:lang w:eastAsia="zh-CN"/>
    </w:rPr>
  </w:style>
  <w:style w:type="character" w:customStyle="1" w:styleId="BodyText2Char1">
    <w:name w:val="Body Text 2 Char1"/>
    <w:basedOn w:val="Fuentedeprrafopredeter"/>
    <w:uiPriority w:val="99"/>
    <w:rsid w:val="00B15F7D"/>
  </w:style>
  <w:style w:type="character" w:customStyle="1" w:styleId="spellingerror">
    <w:name w:val="spellingerror"/>
    <w:basedOn w:val="Fuentedeprrafopredeter"/>
    <w:uiPriority w:val="99"/>
    <w:rsid w:val="00B15F7D"/>
  </w:style>
  <w:style w:type="character" w:customStyle="1" w:styleId="breadcrumbspathway">
    <w:name w:val="breadcrumbs pathway"/>
    <w:basedOn w:val="Fuentedeprrafopredeter"/>
    <w:uiPriority w:val="99"/>
    <w:rsid w:val="00B15F7D"/>
  </w:style>
  <w:style w:type="character" w:customStyle="1" w:styleId="WW8Num38z2">
    <w:name w:val="WW8Num38z2"/>
    <w:basedOn w:val="Fuentedeprrafopredeter"/>
    <w:qFormat/>
    <w:rsid w:val="00B15F7D"/>
  </w:style>
  <w:style w:type="character" w:customStyle="1" w:styleId="WW8Num38z3">
    <w:name w:val="WW8Num38z3"/>
    <w:basedOn w:val="Fuentedeprrafopredeter"/>
    <w:qFormat/>
    <w:rsid w:val="00B15F7D"/>
  </w:style>
  <w:style w:type="character" w:customStyle="1" w:styleId="WW8Num38z6">
    <w:name w:val="WW8Num38z6"/>
    <w:basedOn w:val="Fuentedeprrafopredeter"/>
    <w:qFormat/>
    <w:rsid w:val="00B15F7D"/>
  </w:style>
  <w:style w:type="character" w:customStyle="1" w:styleId="WW8Num38z7">
    <w:name w:val="WW8Num38z7"/>
    <w:basedOn w:val="Fuentedeprrafopredeter"/>
    <w:qFormat/>
    <w:rsid w:val="00B15F7D"/>
  </w:style>
  <w:style w:type="character" w:customStyle="1" w:styleId="WW8Num38z8">
    <w:name w:val="WW8Num38z8"/>
    <w:basedOn w:val="Fuentedeprrafopredeter"/>
    <w:qFormat/>
    <w:rsid w:val="00B15F7D"/>
  </w:style>
  <w:style w:type="character" w:customStyle="1" w:styleId="NormalWebCar2">
    <w:name w:val="Normal (Web) Car2"/>
    <w:basedOn w:val="Fuentedeprrafopredeter"/>
    <w:uiPriority w:val="99"/>
    <w:rsid w:val="00B15F7D"/>
    <w:rPr>
      <w:lang w:eastAsia="es-ES"/>
    </w:rPr>
  </w:style>
  <w:style w:type="character" w:customStyle="1" w:styleId="EstiloCorreo781">
    <w:name w:val="EstiloCorreo781"/>
    <w:basedOn w:val="Fuentedeprrafopredeter"/>
    <w:uiPriority w:val="99"/>
    <w:rsid w:val="00B15F7D"/>
    <w:rPr>
      <w:rFonts w:ascii="Times New Roman" w:hAnsi="Times New Roman" w:cs="Times New Roman" w:hint="default"/>
    </w:rPr>
  </w:style>
  <w:style w:type="character" w:customStyle="1" w:styleId="CarCar131">
    <w:name w:val="Car Car131"/>
    <w:basedOn w:val="Fuentedeprrafopredeter"/>
    <w:rsid w:val="00B15F7D"/>
    <w:rPr>
      <w:b/>
      <w:bCs/>
    </w:rPr>
  </w:style>
  <w:style w:type="character" w:customStyle="1" w:styleId="CarCar12">
    <w:name w:val="Car Car12"/>
    <w:basedOn w:val="Fuentedeprrafopredeter"/>
    <w:qFormat/>
    <w:rsid w:val="00B15F7D"/>
    <w:rPr>
      <w:b/>
      <w:bCs/>
    </w:rPr>
  </w:style>
  <w:style w:type="character" w:customStyle="1" w:styleId="CarCar110">
    <w:name w:val="Car Car11"/>
    <w:basedOn w:val="Fuentedeprrafopredeter"/>
    <w:qFormat/>
    <w:rsid w:val="00B15F7D"/>
    <w:rPr>
      <w:b/>
      <w:bCs/>
    </w:rPr>
  </w:style>
  <w:style w:type="character" w:customStyle="1" w:styleId="CarCar101">
    <w:name w:val="Car Car101"/>
    <w:basedOn w:val="Fuentedeprrafopredeter"/>
    <w:uiPriority w:val="99"/>
    <w:rsid w:val="00B15F7D"/>
    <w:rPr>
      <w:b/>
      <w:bCs/>
    </w:rPr>
  </w:style>
  <w:style w:type="character" w:customStyle="1" w:styleId="CarCar91">
    <w:name w:val="Car Car91"/>
    <w:basedOn w:val="Fuentedeprrafopredeter"/>
    <w:uiPriority w:val="99"/>
    <w:rsid w:val="00B15F7D"/>
    <w:rPr>
      <w:b/>
      <w:bCs/>
    </w:rPr>
  </w:style>
  <w:style w:type="character" w:customStyle="1" w:styleId="CarCar41">
    <w:name w:val="Car Car41"/>
    <w:basedOn w:val="Fuentedeprrafopredeter"/>
    <w:uiPriority w:val="99"/>
    <w:rsid w:val="00B15F7D"/>
    <w:rPr>
      <w:rFonts w:ascii="Times New Roman" w:hAnsi="Times New Roman" w:cs="Times New Roman" w:hint="default"/>
    </w:rPr>
  </w:style>
  <w:style w:type="character" w:customStyle="1" w:styleId="EstiloCorreo4272">
    <w:name w:val="EstiloCorreo4272"/>
    <w:basedOn w:val="Fuentedeprrafopredeter"/>
    <w:uiPriority w:val="99"/>
    <w:rsid w:val="00B15F7D"/>
    <w:rPr>
      <w:rFonts w:ascii="Times New Roman" w:hAnsi="Times New Roman" w:cs="Times New Roman" w:hint="default"/>
    </w:rPr>
  </w:style>
  <w:style w:type="character" w:customStyle="1" w:styleId="EstiloCorreo35">
    <w:name w:val="EstiloCorreo35"/>
    <w:basedOn w:val="Fuentedeprrafopredeter"/>
    <w:rsid w:val="00B15F7D"/>
    <w:rPr>
      <w:rFonts w:ascii="Times New Roman" w:hAnsi="Times New Roman" w:cs="Times New Roman" w:hint="default"/>
    </w:rPr>
  </w:style>
  <w:style w:type="character" w:customStyle="1" w:styleId="Ninguno">
    <w:name w:val="Ninguno"/>
    <w:basedOn w:val="Fuentedeprrafopredeter"/>
    <w:rsid w:val="00B15F7D"/>
    <w:rPr>
      <w:rFonts w:ascii="Times New Roman" w:hAnsi="Times New Roman" w:cs="Times New Roman" w:hint="default"/>
    </w:rPr>
  </w:style>
  <w:style w:type="character" w:customStyle="1" w:styleId="EstiloCorreo450">
    <w:name w:val="EstiloCorreo450"/>
    <w:basedOn w:val="Fuentedeprrafopredeter"/>
    <w:uiPriority w:val="99"/>
    <w:rsid w:val="00B15F7D"/>
    <w:rPr>
      <w:rFonts w:ascii="Times New Roman" w:hAnsi="Times New Roman" w:cs="Times New Roman" w:hint="default"/>
    </w:rPr>
  </w:style>
  <w:style w:type="character" w:customStyle="1" w:styleId="EstiloCorreo451">
    <w:name w:val="EstiloCorreo451"/>
    <w:basedOn w:val="Fuentedeprrafopredeter"/>
    <w:uiPriority w:val="99"/>
    <w:rsid w:val="00B15F7D"/>
    <w:rPr>
      <w:rFonts w:ascii="Times New Roman" w:hAnsi="Times New Roman" w:cs="Times New Roman" w:hint="default"/>
    </w:rPr>
  </w:style>
  <w:style w:type="character" w:customStyle="1" w:styleId="FirmadecorreoelectrnicoCar1">
    <w:name w:val="Firma de correo electrónico Car1"/>
    <w:basedOn w:val="Fuentedeprrafopredeter"/>
    <w:uiPriority w:val="99"/>
    <w:rsid w:val="00B15F7D"/>
    <w:rPr>
      <w:rFonts w:ascii="Times New Roman" w:hAnsi="Times New Roman" w:cs="Times New Roman" w:hint="default"/>
      <w:lang w:eastAsia="ar-SA"/>
    </w:rPr>
  </w:style>
  <w:style w:type="character" w:customStyle="1" w:styleId="E-mailSignatureChar1">
    <w:name w:val="E-mail Signature Char1"/>
    <w:basedOn w:val="Fuentedeprrafopredeter"/>
    <w:uiPriority w:val="99"/>
    <w:rsid w:val="00B15F7D"/>
    <w:rPr>
      <w:lang w:eastAsia="en-US"/>
    </w:rPr>
  </w:style>
  <w:style w:type="character" w:customStyle="1" w:styleId="ttulo1car0">
    <w:name w:val="ttulo1car"/>
    <w:basedOn w:val="Fuentedeprrafopredeter"/>
    <w:rsid w:val="00B15F7D"/>
    <w:rPr>
      <w:rFonts w:ascii="Arial" w:hAnsi="Arial" w:cs="Arial" w:hint="default"/>
      <w:b/>
      <w:bCs/>
      <w:color w:val="000080"/>
      <w:u w:val="single"/>
    </w:rPr>
  </w:style>
  <w:style w:type="character" w:customStyle="1" w:styleId="tdc1car0">
    <w:name w:val="tdc1car"/>
    <w:basedOn w:val="Fuentedeprrafopredeter"/>
    <w:rsid w:val="00B15F7D"/>
    <w:rPr>
      <w:b/>
      <w:bCs/>
      <w:color w:val="000080"/>
      <w:u w:val="single"/>
    </w:rPr>
  </w:style>
  <w:style w:type="character" w:customStyle="1" w:styleId="ttulo2car0">
    <w:name w:val="ttulo2car"/>
    <w:basedOn w:val="Fuentedeprrafopredeter"/>
    <w:rsid w:val="00B15F7D"/>
    <w:rPr>
      <w:rFonts w:ascii="Arial" w:hAnsi="Arial" w:cs="Arial" w:hint="default"/>
      <w:b/>
      <w:bCs/>
      <w:i/>
      <w:iCs/>
    </w:rPr>
  </w:style>
  <w:style w:type="character" w:customStyle="1" w:styleId="ttulo3car0">
    <w:name w:val="ttulo3car"/>
    <w:basedOn w:val="Fuentedeprrafopredeter"/>
    <w:rsid w:val="00B15F7D"/>
    <w:rPr>
      <w:rFonts w:ascii="Arial" w:hAnsi="Arial" w:cs="Arial" w:hint="default"/>
      <w:b/>
      <w:bCs/>
    </w:rPr>
  </w:style>
  <w:style w:type="character" w:customStyle="1" w:styleId="h4carcar1">
    <w:name w:val="h4carcar1"/>
    <w:basedOn w:val="Fuentedeprrafopredeter"/>
    <w:rsid w:val="00B15F7D"/>
    <w:rPr>
      <w:b/>
      <w:bCs/>
    </w:rPr>
  </w:style>
  <w:style w:type="character" w:customStyle="1" w:styleId="carcar190">
    <w:name w:val="carcar19"/>
    <w:basedOn w:val="Fuentedeprrafopredeter"/>
    <w:rsid w:val="00B15F7D"/>
    <w:rPr>
      <w:b/>
      <w:bCs/>
      <w:u w:val="single"/>
    </w:rPr>
  </w:style>
  <w:style w:type="character" w:customStyle="1" w:styleId="carcar170">
    <w:name w:val="carcar17"/>
    <w:basedOn w:val="Fuentedeprrafopredeter"/>
    <w:rsid w:val="00B15F7D"/>
    <w:rPr>
      <w:b/>
      <w:bCs/>
    </w:rPr>
  </w:style>
  <w:style w:type="character" w:customStyle="1" w:styleId="carcar22">
    <w:name w:val="carcar2"/>
    <w:basedOn w:val="Fuentedeprrafopredeter"/>
    <w:rsid w:val="00B15F7D"/>
    <w:rPr>
      <w:rFonts w:ascii="Calibri" w:hAnsi="Calibri" w:cs="Calibri" w:hint="default"/>
      <w:i/>
      <w:iCs/>
    </w:rPr>
  </w:style>
  <w:style w:type="character" w:customStyle="1" w:styleId="carcar140">
    <w:name w:val="carcar14"/>
    <w:basedOn w:val="Fuentedeprrafopredeter"/>
    <w:rsid w:val="00B15F7D"/>
    <w:rPr>
      <w:rFonts w:ascii="Arial" w:hAnsi="Arial" w:cs="Arial" w:hint="default"/>
    </w:rPr>
  </w:style>
  <w:style w:type="character" w:customStyle="1" w:styleId="sinespaciadocar0">
    <w:name w:val="sinespaciadocar"/>
    <w:basedOn w:val="Fuentedeprrafopredeter"/>
    <w:rsid w:val="00B15F7D"/>
    <w:rPr>
      <w:rFonts w:ascii="Calibri" w:hAnsi="Calibri" w:cs="Calibri" w:hint="default"/>
    </w:rPr>
  </w:style>
  <w:style w:type="character" w:customStyle="1" w:styleId="ww8num1z00">
    <w:name w:val="ww8num1z0"/>
    <w:basedOn w:val="Fuentedeprrafopredeter"/>
    <w:rsid w:val="00B15F7D"/>
    <w:rPr>
      <w:rFonts w:ascii="Symbol" w:hAnsi="Symbol" w:hint="default"/>
    </w:rPr>
  </w:style>
  <w:style w:type="character" w:customStyle="1" w:styleId="vietas0">
    <w:name w:val="vietas"/>
    <w:basedOn w:val="Fuentedeprrafopredeter"/>
    <w:rsid w:val="00B15F7D"/>
    <w:rPr>
      <w:rFonts w:ascii="StarSymbol" w:hAnsi="StarSymbol" w:hint="default"/>
    </w:rPr>
  </w:style>
  <w:style w:type="character" w:customStyle="1" w:styleId="carcar50">
    <w:name w:val="carcar5"/>
    <w:basedOn w:val="Fuentedeprrafopredeter"/>
    <w:rsid w:val="00B15F7D"/>
    <w:rPr>
      <w:rFonts w:ascii="Tahoma" w:hAnsi="Tahoma" w:cs="Tahoma" w:hint="default"/>
    </w:rPr>
  </w:style>
  <w:style w:type="character" w:customStyle="1" w:styleId="ww8num46z00">
    <w:name w:val="ww8num46z0"/>
    <w:basedOn w:val="Fuentedeprrafopredeter"/>
    <w:rsid w:val="00B15F7D"/>
    <w:rPr>
      <w:rFonts w:ascii="Symbol" w:hAnsi="Symbol" w:hint="default"/>
    </w:rPr>
  </w:style>
  <w:style w:type="character" w:customStyle="1" w:styleId="caracteresdenotaalpie0">
    <w:name w:val="caracteresdenotaalpie"/>
    <w:basedOn w:val="Fuentedeprrafopredeter"/>
    <w:rsid w:val="00B15F7D"/>
    <w:rPr>
      <w:vertAlign w:val="superscript"/>
    </w:rPr>
  </w:style>
  <w:style w:type="character" w:customStyle="1" w:styleId="estilottulo3rojocar0">
    <w:name w:val="estilottulo3rojocar"/>
    <w:basedOn w:val="Fuentedeprrafopredeter"/>
    <w:rsid w:val="00B15F7D"/>
    <w:rPr>
      <w:rFonts w:ascii="Arial" w:hAnsi="Arial" w:cs="Arial" w:hint="default"/>
      <w:b/>
      <w:bCs/>
      <w:color w:val="000080"/>
    </w:rPr>
  </w:style>
  <w:style w:type="character" w:customStyle="1" w:styleId="refdenotaalpie10">
    <w:name w:val="refdenotaalpie1"/>
    <w:basedOn w:val="Fuentedeprrafopredeter"/>
    <w:rsid w:val="00B15F7D"/>
    <w:rPr>
      <w:vertAlign w:val="superscript"/>
    </w:rPr>
  </w:style>
  <w:style w:type="character" w:customStyle="1" w:styleId="prrafodelistacar0">
    <w:name w:val="prrafodelistacar"/>
    <w:basedOn w:val="Fuentedeprrafopredeter"/>
    <w:rsid w:val="00B15F7D"/>
    <w:rPr>
      <w:rFonts w:ascii="Calibri" w:hAnsi="Calibri" w:cs="Calibri" w:hint="default"/>
    </w:rPr>
  </w:style>
  <w:style w:type="character" w:customStyle="1" w:styleId="destacado0">
    <w:name w:val="destacado"/>
    <w:basedOn w:val="Fuentedeprrafopredeter"/>
    <w:rsid w:val="00B15F7D"/>
    <w:rPr>
      <w:i/>
      <w:iCs/>
    </w:rPr>
  </w:style>
  <w:style w:type="character" w:customStyle="1" w:styleId="carcterdecarcter0">
    <w:name w:val="carcterdecarcter"/>
    <w:basedOn w:val="Fuentedeprrafopredeter"/>
    <w:rsid w:val="00B15F7D"/>
    <w:rPr>
      <w:rFonts w:ascii="Tahoma" w:hAnsi="Tahoma" w:cs="Tahoma" w:hint="default"/>
      <w:b/>
      <w:bCs/>
      <w:color w:val="FFFFFF"/>
    </w:rPr>
  </w:style>
  <w:style w:type="character" w:customStyle="1" w:styleId="programa1">
    <w:name w:val="programa"/>
    <w:basedOn w:val="Fuentedeprrafopredeter"/>
    <w:rsid w:val="00B15F7D"/>
    <w:rPr>
      <w:rFonts w:ascii="Tahoma" w:hAnsi="Tahoma" w:cs="Tahoma" w:hint="default"/>
      <w:color w:val="000000"/>
    </w:rPr>
  </w:style>
  <w:style w:type="character" w:customStyle="1" w:styleId="ww8num1z10">
    <w:name w:val="ww8num1z1"/>
    <w:basedOn w:val="Fuentedeprrafopredeter"/>
    <w:rsid w:val="00B15F7D"/>
    <w:rPr>
      <w:rFonts w:ascii="Courier New" w:hAnsi="Courier New" w:cs="Courier New" w:hint="default"/>
    </w:rPr>
  </w:style>
  <w:style w:type="character" w:customStyle="1" w:styleId="ww8num1z20">
    <w:name w:val="ww8num1z2"/>
    <w:basedOn w:val="Fuentedeprrafopredeter"/>
    <w:rsid w:val="00B15F7D"/>
    <w:rPr>
      <w:rFonts w:ascii="Wingdings" w:hAnsi="Wingdings" w:hint="default"/>
    </w:rPr>
  </w:style>
  <w:style w:type="character" w:customStyle="1" w:styleId="ww8num1z30">
    <w:name w:val="ww8num1z3"/>
    <w:basedOn w:val="Fuentedeprrafopredeter"/>
    <w:rsid w:val="00B15F7D"/>
    <w:rPr>
      <w:rFonts w:ascii="Symbol" w:hAnsi="Symbol" w:hint="default"/>
    </w:rPr>
  </w:style>
  <w:style w:type="character" w:customStyle="1" w:styleId="definition0">
    <w:name w:val="definition"/>
    <w:basedOn w:val="Fuentedeprrafopredeter"/>
    <w:rsid w:val="00B15F7D"/>
    <w:rPr>
      <w:i/>
      <w:iCs/>
    </w:rPr>
  </w:style>
  <w:style w:type="character" w:customStyle="1" w:styleId="cite0">
    <w:name w:val="cite"/>
    <w:basedOn w:val="Fuentedeprrafopredeter"/>
    <w:rsid w:val="00B15F7D"/>
    <w:rPr>
      <w:i/>
      <w:iCs/>
    </w:rPr>
  </w:style>
  <w:style w:type="character" w:customStyle="1" w:styleId="code0">
    <w:name w:val="code"/>
    <w:basedOn w:val="Fuentedeprrafopredeter"/>
    <w:rsid w:val="00B15F7D"/>
    <w:rPr>
      <w:rFonts w:ascii="Courier New" w:hAnsi="Courier New" w:cs="Courier New" w:hint="default"/>
    </w:rPr>
  </w:style>
  <w:style w:type="character" w:customStyle="1" w:styleId="keyboard0">
    <w:name w:val="keyboard"/>
    <w:basedOn w:val="Fuentedeprrafopredeter"/>
    <w:rsid w:val="00B15F7D"/>
    <w:rPr>
      <w:rFonts w:ascii="Courier New" w:hAnsi="Courier New" w:cs="Courier New" w:hint="default"/>
      <w:b/>
      <w:bCs/>
    </w:rPr>
  </w:style>
  <w:style w:type="character" w:customStyle="1" w:styleId="sample0">
    <w:name w:val="sample"/>
    <w:basedOn w:val="Fuentedeprrafopredeter"/>
    <w:rsid w:val="00B15F7D"/>
    <w:rPr>
      <w:rFonts w:ascii="Courier New" w:hAnsi="Courier New" w:cs="Courier New" w:hint="default"/>
    </w:rPr>
  </w:style>
  <w:style w:type="character" w:customStyle="1" w:styleId="typewriter0">
    <w:name w:val="typewriter"/>
    <w:basedOn w:val="Fuentedeprrafopredeter"/>
    <w:rsid w:val="00B15F7D"/>
    <w:rPr>
      <w:rFonts w:ascii="Courier New" w:hAnsi="Courier New" w:cs="Courier New" w:hint="default"/>
    </w:rPr>
  </w:style>
  <w:style w:type="character" w:customStyle="1" w:styleId="variable0">
    <w:name w:val="variable"/>
    <w:basedOn w:val="Fuentedeprrafopredeter"/>
    <w:rsid w:val="00B15F7D"/>
    <w:rPr>
      <w:i/>
      <w:iCs/>
    </w:rPr>
  </w:style>
  <w:style w:type="character" w:customStyle="1" w:styleId="htmlmarkup0">
    <w:name w:val="htmlmarkup"/>
    <w:basedOn w:val="Fuentedeprrafopredeter"/>
    <w:rsid w:val="00B15F7D"/>
    <w:rPr>
      <w:vanish/>
      <w:webHidden w:val="0"/>
      <w:color w:val="FF0000"/>
      <w:specVanish/>
    </w:rPr>
  </w:style>
  <w:style w:type="character" w:customStyle="1" w:styleId="comment0">
    <w:name w:val="comment"/>
    <w:basedOn w:val="Fuentedeprrafopredeter"/>
    <w:rsid w:val="00B15F7D"/>
    <w:rPr>
      <w:vanish/>
      <w:webHidden w:val="0"/>
      <w:specVanish/>
    </w:rPr>
  </w:style>
  <w:style w:type="character" w:customStyle="1" w:styleId="carcar60">
    <w:name w:val="carcar6"/>
    <w:basedOn w:val="Fuentedeprrafopredeter"/>
    <w:rsid w:val="00B15F7D"/>
    <w:rPr>
      <w:rFonts w:ascii="Arial" w:hAnsi="Arial" w:cs="Arial" w:hint="default"/>
      <w:color w:val="000000"/>
    </w:rPr>
  </w:style>
  <w:style w:type="character" w:customStyle="1" w:styleId="muydestacado0">
    <w:name w:val="muydestacado"/>
    <w:basedOn w:val="Fuentedeprrafopredeter"/>
    <w:rsid w:val="00B15F7D"/>
    <w:rPr>
      <w:b/>
      <w:bCs/>
    </w:rPr>
  </w:style>
  <w:style w:type="character" w:customStyle="1" w:styleId="ttuloprincipalcarcar0">
    <w:name w:val="ttuloprincipalcarcar"/>
    <w:basedOn w:val="Fuentedeprrafopredeter"/>
    <w:rsid w:val="00B15F7D"/>
    <w:rPr>
      <w:rFonts w:ascii="Arial" w:hAnsi="Arial" w:cs="Arial" w:hint="default"/>
      <w:b/>
      <w:bCs/>
    </w:rPr>
  </w:style>
  <w:style w:type="character" w:customStyle="1" w:styleId="carcar200">
    <w:name w:val="carcar200"/>
    <w:basedOn w:val="Fuentedeprrafopredeter"/>
    <w:rsid w:val="00B15F7D"/>
    <w:rPr>
      <w:b/>
      <w:bCs/>
      <w:u w:val="single"/>
    </w:rPr>
  </w:style>
  <w:style w:type="character" w:customStyle="1" w:styleId="subttulosdehallazgocarcar0">
    <w:name w:val="subttulosdehallazgocarcar"/>
    <w:basedOn w:val="Fuentedeprrafopredeter"/>
    <w:rsid w:val="00B15F7D"/>
    <w:rPr>
      <w:rFonts w:ascii="Arial" w:hAnsi="Arial" w:cs="Arial" w:hint="default"/>
      <w:b/>
      <w:bCs/>
    </w:rPr>
  </w:style>
  <w:style w:type="character" w:customStyle="1" w:styleId="carcar150">
    <w:name w:val="carcar15"/>
    <w:basedOn w:val="Fuentedeprrafopredeter"/>
    <w:rsid w:val="00B15F7D"/>
    <w:rPr>
      <w:i/>
      <w:iCs/>
    </w:rPr>
  </w:style>
  <w:style w:type="character" w:customStyle="1" w:styleId="h4carcar0">
    <w:name w:val="h4carcar"/>
    <w:basedOn w:val="Fuentedeprrafopredeter"/>
    <w:rsid w:val="00B15F7D"/>
    <w:rPr>
      <w:rFonts w:ascii="Book Antiqua" w:hAnsi="Book Antiqua" w:hint="default"/>
      <w:b/>
      <w:bCs/>
    </w:rPr>
  </w:style>
  <w:style w:type="character" w:customStyle="1" w:styleId="carcar180">
    <w:name w:val="carcar18"/>
    <w:basedOn w:val="Fuentedeprrafopredeter"/>
    <w:rsid w:val="00B15F7D"/>
    <w:rPr>
      <w:rFonts w:ascii="Arial" w:hAnsi="Arial" w:cs="Arial" w:hint="default"/>
    </w:rPr>
  </w:style>
  <w:style w:type="character" w:customStyle="1" w:styleId="carcar100">
    <w:name w:val="carcar10"/>
    <w:basedOn w:val="Fuentedeprrafopredeter"/>
    <w:rsid w:val="00B15F7D"/>
    <w:rPr>
      <w:rFonts w:ascii="Arial" w:hAnsi="Arial" w:cs="Arial" w:hint="default"/>
    </w:rPr>
  </w:style>
  <w:style w:type="character" w:customStyle="1" w:styleId="ww8num4z00">
    <w:name w:val="ww8num4z0"/>
    <w:basedOn w:val="Fuentedeprrafopredeter"/>
    <w:rsid w:val="00B15F7D"/>
    <w:rPr>
      <w:rFonts w:ascii="Symbol" w:hAnsi="Symbol" w:hint="default"/>
    </w:rPr>
  </w:style>
  <w:style w:type="character" w:customStyle="1" w:styleId="ww8num5z00">
    <w:name w:val="ww8num5z0"/>
    <w:basedOn w:val="Fuentedeprrafopredeter"/>
    <w:rsid w:val="00B15F7D"/>
    <w:rPr>
      <w:rFonts w:ascii="Symbol" w:hAnsi="Symbol" w:hint="default"/>
    </w:rPr>
  </w:style>
  <w:style w:type="character" w:customStyle="1" w:styleId="ww8num6z00">
    <w:name w:val="ww8num6z0"/>
    <w:basedOn w:val="Fuentedeprrafopredeter"/>
    <w:rsid w:val="00B15F7D"/>
    <w:rPr>
      <w:rFonts w:ascii="Symbol" w:hAnsi="Symbol" w:hint="default"/>
    </w:rPr>
  </w:style>
  <w:style w:type="character" w:customStyle="1" w:styleId="ww8num7z00">
    <w:name w:val="ww8num7z0"/>
    <w:basedOn w:val="Fuentedeprrafopredeter"/>
    <w:rsid w:val="00B15F7D"/>
    <w:rPr>
      <w:rFonts w:ascii="Wingdings 2" w:hAnsi="Wingdings 2" w:hint="default"/>
    </w:rPr>
  </w:style>
  <w:style w:type="character" w:customStyle="1" w:styleId="ww8num7z10">
    <w:name w:val="ww8num7z1"/>
    <w:basedOn w:val="Fuentedeprrafopredeter"/>
    <w:rsid w:val="00B15F7D"/>
    <w:rPr>
      <w:rFonts w:ascii="OpenSymbol" w:hAnsi="OpenSymbol" w:hint="default"/>
    </w:rPr>
  </w:style>
  <w:style w:type="character" w:customStyle="1" w:styleId="ww8num8z00">
    <w:name w:val="ww8num8z0"/>
    <w:basedOn w:val="Fuentedeprrafopredeter"/>
    <w:rsid w:val="00B15F7D"/>
    <w:rPr>
      <w:rFonts w:ascii="Wingdings 2" w:hAnsi="Wingdings 2" w:hint="default"/>
    </w:rPr>
  </w:style>
  <w:style w:type="character" w:customStyle="1" w:styleId="ww8num8z10">
    <w:name w:val="ww8num8z1"/>
    <w:basedOn w:val="Fuentedeprrafopredeter"/>
    <w:rsid w:val="00B15F7D"/>
    <w:rPr>
      <w:rFonts w:ascii="OpenSymbol" w:hAnsi="OpenSymbol" w:hint="default"/>
    </w:rPr>
  </w:style>
  <w:style w:type="character" w:customStyle="1" w:styleId="ww8num9z00">
    <w:name w:val="ww8num9z0"/>
    <w:basedOn w:val="Fuentedeprrafopredeter"/>
    <w:rsid w:val="00B15F7D"/>
    <w:rPr>
      <w:rFonts w:ascii="Symbol" w:hAnsi="Symbol" w:hint="default"/>
    </w:rPr>
  </w:style>
  <w:style w:type="character" w:customStyle="1" w:styleId="ww8num11z00">
    <w:name w:val="ww8num11z0"/>
    <w:basedOn w:val="Fuentedeprrafopredeter"/>
    <w:rsid w:val="00B15F7D"/>
    <w:rPr>
      <w:rFonts w:ascii="Symbol" w:hAnsi="Symbol" w:hint="default"/>
    </w:rPr>
  </w:style>
  <w:style w:type="character" w:customStyle="1" w:styleId="ww8num12z00">
    <w:name w:val="ww8num12z0"/>
    <w:basedOn w:val="Fuentedeprrafopredeter"/>
    <w:rsid w:val="00B15F7D"/>
    <w:rPr>
      <w:rFonts w:ascii="Symbol" w:hAnsi="Symbol" w:hint="default"/>
    </w:rPr>
  </w:style>
  <w:style w:type="character" w:customStyle="1" w:styleId="ww8num13z00">
    <w:name w:val="ww8num13z0"/>
    <w:basedOn w:val="Fuentedeprrafopredeter"/>
    <w:rsid w:val="00B15F7D"/>
    <w:rPr>
      <w:rFonts w:ascii="Symbol" w:hAnsi="Symbol" w:hint="default"/>
    </w:rPr>
  </w:style>
  <w:style w:type="character" w:customStyle="1" w:styleId="ww8num13z10">
    <w:name w:val="ww8num13z1"/>
    <w:basedOn w:val="Fuentedeprrafopredeter"/>
    <w:rsid w:val="00B15F7D"/>
    <w:rPr>
      <w:rFonts w:ascii="Courier New" w:hAnsi="Courier New" w:cs="Courier New" w:hint="default"/>
    </w:rPr>
  </w:style>
  <w:style w:type="character" w:customStyle="1" w:styleId="ww8num14z00">
    <w:name w:val="ww8num14z0"/>
    <w:basedOn w:val="Fuentedeprrafopredeter"/>
    <w:rsid w:val="00B15F7D"/>
    <w:rPr>
      <w:rFonts w:ascii="Symbol" w:hAnsi="Symbol" w:hint="default"/>
    </w:rPr>
  </w:style>
  <w:style w:type="character" w:customStyle="1" w:styleId="ww8num18z00">
    <w:name w:val="ww8num18z0"/>
    <w:basedOn w:val="Fuentedeprrafopredeter"/>
    <w:rsid w:val="00B15F7D"/>
    <w:rPr>
      <w:rFonts w:ascii="Symbol" w:hAnsi="Symbol" w:hint="default"/>
    </w:rPr>
  </w:style>
  <w:style w:type="character" w:customStyle="1" w:styleId="ww8num18z10">
    <w:name w:val="ww8num18z1"/>
    <w:basedOn w:val="Fuentedeprrafopredeter"/>
    <w:rsid w:val="00B15F7D"/>
    <w:rPr>
      <w:rFonts w:ascii="Courier New" w:hAnsi="Courier New" w:cs="Courier New" w:hint="default"/>
    </w:rPr>
  </w:style>
  <w:style w:type="character" w:customStyle="1" w:styleId="ww8num18z20">
    <w:name w:val="ww8num18z2"/>
    <w:basedOn w:val="Fuentedeprrafopredeter"/>
    <w:rsid w:val="00B15F7D"/>
    <w:rPr>
      <w:rFonts w:ascii="Wingdings" w:hAnsi="Wingdings" w:hint="default"/>
    </w:rPr>
  </w:style>
  <w:style w:type="character" w:customStyle="1" w:styleId="ww8num20z00">
    <w:name w:val="ww8num20z0"/>
    <w:basedOn w:val="Fuentedeprrafopredeter"/>
    <w:rsid w:val="00B15F7D"/>
    <w:rPr>
      <w:rFonts w:ascii="Symbol" w:hAnsi="Symbol" w:hint="default"/>
    </w:rPr>
  </w:style>
  <w:style w:type="character" w:customStyle="1" w:styleId="ww8num20z10">
    <w:name w:val="ww8num20z1"/>
    <w:basedOn w:val="Fuentedeprrafopredeter"/>
    <w:rsid w:val="00B15F7D"/>
    <w:rPr>
      <w:rFonts w:ascii="Courier New" w:hAnsi="Courier New" w:cs="Courier New" w:hint="default"/>
    </w:rPr>
  </w:style>
  <w:style w:type="character" w:customStyle="1" w:styleId="ww8num20z20">
    <w:name w:val="ww8num20z2"/>
    <w:basedOn w:val="Fuentedeprrafopredeter"/>
    <w:rsid w:val="00B15F7D"/>
    <w:rPr>
      <w:rFonts w:ascii="Wingdings" w:hAnsi="Wingdings" w:hint="default"/>
    </w:rPr>
  </w:style>
  <w:style w:type="character" w:customStyle="1" w:styleId="ww8num21z00">
    <w:name w:val="ww8num21z0"/>
    <w:basedOn w:val="Fuentedeprrafopredeter"/>
    <w:rsid w:val="00B15F7D"/>
    <w:rPr>
      <w:rFonts w:ascii="Times New Roman" w:hAnsi="Times New Roman" w:cs="Times New Roman" w:hint="default"/>
    </w:rPr>
  </w:style>
  <w:style w:type="character" w:customStyle="1" w:styleId="ww8num21z10">
    <w:name w:val="ww8num21z1"/>
    <w:basedOn w:val="Fuentedeprrafopredeter"/>
    <w:rsid w:val="00B15F7D"/>
    <w:rPr>
      <w:rFonts w:ascii="Courier New" w:hAnsi="Courier New" w:cs="Courier New" w:hint="default"/>
    </w:rPr>
  </w:style>
  <w:style w:type="character" w:customStyle="1" w:styleId="ww8num21z20">
    <w:name w:val="ww8num21z2"/>
    <w:basedOn w:val="Fuentedeprrafopredeter"/>
    <w:rsid w:val="00B15F7D"/>
    <w:rPr>
      <w:rFonts w:ascii="Wingdings" w:hAnsi="Wingdings" w:hint="default"/>
    </w:rPr>
  </w:style>
  <w:style w:type="character" w:customStyle="1" w:styleId="ww8num21z30">
    <w:name w:val="ww8num21z3"/>
    <w:basedOn w:val="Fuentedeprrafopredeter"/>
    <w:rsid w:val="00B15F7D"/>
    <w:rPr>
      <w:rFonts w:ascii="Symbol" w:hAnsi="Symbol" w:hint="default"/>
    </w:rPr>
  </w:style>
  <w:style w:type="character" w:customStyle="1" w:styleId="ww8num22z00">
    <w:name w:val="ww8num22z0"/>
    <w:basedOn w:val="Fuentedeprrafopredeter"/>
    <w:rsid w:val="00B15F7D"/>
    <w:rPr>
      <w:rFonts w:ascii="Wingdings" w:hAnsi="Wingdings" w:hint="default"/>
    </w:rPr>
  </w:style>
  <w:style w:type="character" w:customStyle="1" w:styleId="ww8num22z10">
    <w:name w:val="ww8num22z1"/>
    <w:basedOn w:val="Fuentedeprrafopredeter"/>
    <w:rsid w:val="00B15F7D"/>
    <w:rPr>
      <w:rFonts w:ascii="Courier New" w:hAnsi="Courier New" w:cs="Courier New" w:hint="default"/>
    </w:rPr>
  </w:style>
  <w:style w:type="character" w:customStyle="1" w:styleId="ww8num22z30">
    <w:name w:val="ww8num22z3"/>
    <w:basedOn w:val="Fuentedeprrafopredeter"/>
    <w:rsid w:val="00B15F7D"/>
    <w:rPr>
      <w:rFonts w:ascii="Symbol" w:hAnsi="Symbol" w:hint="default"/>
    </w:rPr>
  </w:style>
  <w:style w:type="character" w:customStyle="1" w:styleId="ww8num23z00">
    <w:name w:val="ww8num23z0"/>
    <w:basedOn w:val="Fuentedeprrafopredeter"/>
    <w:rsid w:val="00B15F7D"/>
    <w:rPr>
      <w:rFonts w:ascii="Symbol" w:hAnsi="Symbol" w:hint="default"/>
    </w:rPr>
  </w:style>
  <w:style w:type="character" w:customStyle="1" w:styleId="ww8num23z10">
    <w:name w:val="ww8num23z1"/>
    <w:basedOn w:val="Fuentedeprrafopredeter"/>
    <w:rsid w:val="00B15F7D"/>
    <w:rPr>
      <w:rFonts w:ascii="Courier New" w:hAnsi="Courier New" w:cs="Courier New" w:hint="default"/>
    </w:rPr>
  </w:style>
  <w:style w:type="character" w:customStyle="1" w:styleId="ww8num23z20">
    <w:name w:val="ww8num23z2"/>
    <w:basedOn w:val="Fuentedeprrafopredeter"/>
    <w:rsid w:val="00B15F7D"/>
    <w:rPr>
      <w:rFonts w:ascii="Wingdings" w:hAnsi="Wingdings" w:hint="default"/>
    </w:rPr>
  </w:style>
  <w:style w:type="character" w:customStyle="1" w:styleId="ww8num24z00">
    <w:name w:val="ww8num24z0"/>
    <w:basedOn w:val="Fuentedeprrafopredeter"/>
    <w:rsid w:val="00B15F7D"/>
    <w:rPr>
      <w:rFonts w:ascii="Symbol" w:hAnsi="Symbol" w:hint="default"/>
    </w:rPr>
  </w:style>
  <w:style w:type="character" w:customStyle="1" w:styleId="ww8num24z10">
    <w:name w:val="ww8num24z1"/>
    <w:basedOn w:val="Fuentedeprrafopredeter"/>
    <w:rsid w:val="00B15F7D"/>
    <w:rPr>
      <w:rFonts w:ascii="Courier New" w:hAnsi="Courier New" w:cs="Courier New" w:hint="default"/>
    </w:rPr>
  </w:style>
  <w:style w:type="character" w:customStyle="1" w:styleId="ww8num24z20">
    <w:name w:val="ww8num24z2"/>
    <w:basedOn w:val="Fuentedeprrafopredeter"/>
    <w:rsid w:val="00B15F7D"/>
    <w:rPr>
      <w:rFonts w:ascii="Wingdings" w:hAnsi="Wingdings" w:hint="default"/>
    </w:rPr>
  </w:style>
  <w:style w:type="character" w:customStyle="1" w:styleId="ww8num25z00">
    <w:name w:val="ww8num25z0"/>
    <w:basedOn w:val="Fuentedeprrafopredeter"/>
    <w:rsid w:val="00B15F7D"/>
    <w:rPr>
      <w:rFonts w:ascii="Symbol" w:hAnsi="Symbol" w:hint="default"/>
    </w:rPr>
  </w:style>
  <w:style w:type="character" w:customStyle="1" w:styleId="ww8num25z10">
    <w:name w:val="ww8num25z1"/>
    <w:basedOn w:val="Fuentedeprrafopredeter"/>
    <w:rsid w:val="00B15F7D"/>
    <w:rPr>
      <w:rFonts w:ascii="Courier New" w:hAnsi="Courier New" w:cs="Courier New" w:hint="default"/>
    </w:rPr>
  </w:style>
  <w:style w:type="character" w:customStyle="1" w:styleId="ww8num25z2">
    <w:name w:val="ww8num25z2"/>
    <w:basedOn w:val="Fuentedeprrafopredeter"/>
    <w:rsid w:val="00B15F7D"/>
    <w:rPr>
      <w:rFonts w:ascii="Wingdings" w:hAnsi="Wingdings" w:hint="default"/>
    </w:rPr>
  </w:style>
  <w:style w:type="character" w:customStyle="1" w:styleId="ww8num26z00">
    <w:name w:val="ww8num26z0"/>
    <w:basedOn w:val="Fuentedeprrafopredeter"/>
    <w:rsid w:val="00B15F7D"/>
    <w:rPr>
      <w:rFonts w:ascii="Times New Roman" w:hAnsi="Times New Roman" w:cs="Times New Roman" w:hint="default"/>
    </w:rPr>
  </w:style>
  <w:style w:type="character" w:customStyle="1" w:styleId="ww8num26z10">
    <w:name w:val="ww8num26z1"/>
    <w:basedOn w:val="Fuentedeprrafopredeter"/>
    <w:rsid w:val="00B15F7D"/>
    <w:rPr>
      <w:rFonts w:ascii="Courier New" w:hAnsi="Courier New" w:cs="Courier New" w:hint="default"/>
    </w:rPr>
  </w:style>
  <w:style w:type="character" w:customStyle="1" w:styleId="ww8num26z20">
    <w:name w:val="ww8num26z2"/>
    <w:basedOn w:val="Fuentedeprrafopredeter"/>
    <w:rsid w:val="00B15F7D"/>
    <w:rPr>
      <w:rFonts w:ascii="Wingdings" w:hAnsi="Wingdings" w:hint="default"/>
    </w:rPr>
  </w:style>
  <w:style w:type="character" w:customStyle="1" w:styleId="ww8num26z30">
    <w:name w:val="ww8num26z3"/>
    <w:basedOn w:val="Fuentedeprrafopredeter"/>
    <w:rsid w:val="00B15F7D"/>
    <w:rPr>
      <w:rFonts w:ascii="Symbol" w:hAnsi="Symbol" w:hint="default"/>
    </w:rPr>
  </w:style>
  <w:style w:type="character" w:customStyle="1" w:styleId="ww8num27z00">
    <w:name w:val="ww8num27z0"/>
    <w:basedOn w:val="Fuentedeprrafopredeter"/>
    <w:rsid w:val="00B15F7D"/>
    <w:rPr>
      <w:rFonts w:ascii="Symbol" w:hAnsi="Symbol" w:hint="default"/>
    </w:rPr>
  </w:style>
  <w:style w:type="character" w:customStyle="1" w:styleId="ww8num27z10">
    <w:name w:val="ww8num27z1"/>
    <w:basedOn w:val="Fuentedeprrafopredeter"/>
    <w:rsid w:val="00B15F7D"/>
    <w:rPr>
      <w:rFonts w:ascii="Courier New" w:hAnsi="Courier New" w:cs="Courier New" w:hint="default"/>
    </w:rPr>
  </w:style>
  <w:style w:type="character" w:customStyle="1" w:styleId="ww8num27z20">
    <w:name w:val="ww8num27z2"/>
    <w:basedOn w:val="Fuentedeprrafopredeter"/>
    <w:rsid w:val="00B15F7D"/>
    <w:rPr>
      <w:rFonts w:ascii="Wingdings" w:hAnsi="Wingdings" w:hint="default"/>
    </w:rPr>
  </w:style>
  <w:style w:type="character" w:customStyle="1" w:styleId="ww8num34z00">
    <w:name w:val="ww8num34z0"/>
    <w:basedOn w:val="Fuentedeprrafopredeter"/>
    <w:rsid w:val="00B15F7D"/>
    <w:rPr>
      <w:rFonts w:ascii="Symbol" w:hAnsi="Symbol" w:hint="default"/>
    </w:rPr>
  </w:style>
  <w:style w:type="character" w:customStyle="1" w:styleId="ww8num34z10">
    <w:name w:val="ww8num34z1"/>
    <w:basedOn w:val="Fuentedeprrafopredeter"/>
    <w:rsid w:val="00B15F7D"/>
    <w:rPr>
      <w:rFonts w:ascii="Times New Roman" w:hAnsi="Times New Roman" w:cs="Times New Roman" w:hint="default"/>
    </w:rPr>
  </w:style>
  <w:style w:type="character" w:customStyle="1" w:styleId="ww8num34z40">
    <w:name w:val="ww8num34z4"/>
    <w:basedOn w:val="Fuentedeprrafopredeter"/>
    <w:rsid w:val="00B15F7D"/>
    <w:rPr>
      <w:rFonts w:ascii="Courier New" w:hAnsi="Courier New" w:cs="Courier New" w:hint="default"/>
    </w:rPr>
  </w:style>
  <w:style w:type="character" w:customStyle="1" w:styleId="ww8num34z50">
    <w:name w:val="ww8num34z5"/>
    <w:basedOn w:val="Fuentedeprrafopredeter"/>
    <w:rsid w:val="00B15F7D"/>
    <w:rPr>
      <w:rFonts w:ascii="Wingdings" w:hAnsi="Wingdings" w:hint="default"/>
    </w:rPr>
  </w:style>
  <w:style w:type="character" w:customStyle="1" w:styleId="ww8num35z00">
    <w:name w:val="ww8num35z0"/>
    <w:basedOn w:val="Fuentedeprrafopredeter"/>
    <w:rsid w:val="00B15F7D"/>
    <w:rPr>
      <w:b/>
      <w:bCs/>
    </w:rPr>
  </w:style>
  <w:style w:type="character" w:customStyle="1" w:styleId="ww8num35z10">
    <w:name w:val="ww8num35z1"/>
    <w:basedOn w:val="Fuentedeprrafopredeter"/>
    <w:rsid w:val="00B15F7D"/>
    <w:rPr>
      <w:b/>
      <w:bCs/>
    </w:rPr>
  </w:style>
  <w:style w:type="character" w:customStyle="1" w:styleId="ww8num39z00">
    <w:name w:val="ww8num39z0"/>
    <w:basedOn w:val="Fuentedeprrafopredeter"/>
    <w:rsid w:val="00B15F7D"/>
    <w:rPr>
      <w:rFonts w:ascii="Wingdings" w:hAnsi="Wingdings" w:hint="default"/>
    </w:rPr>
  </w:style>
  <w:style w:type="character" w:customStyle="1" w:styleId="ww8num39z1">
    <w:name w:val="ww8num39z1"/>
    <w:basedOn w:val="Fuentedeprrafopredeter"/>
    <w:rsid w:val="00B15F7D"/>
    <w:rPr>
      <w:rFonts w:ascii="Courier New" w:hAnsi="Courier New" w:cs="Courier New" w:hint="default"/>
    </w:rPr>
  </w:style>
  <w:style w:type="character" w:customStyle="1" w:styleId="ww8num39z3">
    <w:name w:val="ww8num39z3"/>
    <w:basedOn w:val="Fuentedeprrafopredeter"/>
    <w:rsid w:val="00B15F7D"/>
    <w:rPr>
      <w:rFonts w:ascii="Symbol" w:hAnsi="Symbol" w:hint="default"/>
    </w:rPr>
  </w:style>
  <w:style w:type="character" w:customStyle="1" w:styleId="ww8num41z00">
    <w:name w:val="ww8num41z0"/>
    <w:basedOn w:val="Fuentedeprrafopredeter"/>
    <w:rsid w:val="00B15F7D"/>
    <w:rPr>
      <w:b/>
      <w:bCs/>
    </w:rPr>
  </w:style>
  <w:style w:type="character" w:customStyle="1" w:styleId="ww8num42z00">
    <w:name w:val="ww8num42z0"/>
    <w:basedOn w:val="Fuentedeprrafopredeter"/>
    <w:rsid w:val="00B15F7D"/>
    <w:rPr>
      <w:rFonts w:ascii="Symbol" w:hAnsi="Symbol" w:hint="default"/>
    </w:rPr>
  </w:style>
  <w:style w:type="character" w:customStyle="1" w:styleId="ww8num42z10">
    <w:name w:val="ww8num42z1"/>
    <w:basedOn w:val="Fuentedeprrafopredeter"/>
    <w:rsid w:val="00B15F7D"/>
    <w:rPr>
      <w:rFonts w:ascii="Courier New" w:hAnsi="Courier New" w:cs="Courier New" w:hint="default"/>
    </w:rPr>
  </w:style>
  <w:style w:type="character" w:customStyle="1" w:styleId="ww8num42z20">
    <w:name w:val="ww8num42z2"/>
    <w:basedOn w:val="Fuentedeprrafopredeter"/>
    <w:rsid w:val="00B15F7D"/>
    <w:rPr>
      <w:rFonts w:ascii="Wingdings" w:hAnsi="Wingdings" w:hint="default"/>
    </w:rPr>
  </w:style>
  <w:style w:type="character" w:customStyle="1" w:styleId="ww8num44z00">
    <w:name w:val="ww8num44z0"/>
    <w:basedOn w:val="Fuentedeprrafopredeter"/>
    <w:rsid w:val="00B15F7D"/>
    <w:rPr>
      <w:rFonts w:ascii="Symbol" w:hAnsi="Symbol" w:hint="default"/>
    </w:rPr>
  </w:style>
  <w:style w:type="character" w:customStyle="1" w:styleId="ww8num44z10">
    <w:name w:val="ww8num44z1"/>
    <w:basedOn w:val="Fuentedeprrafopredeter"/>
    <w:rsid w:val="00B15F7D"/>
    <w:rPr>
      <w:rFonts w:ascii="Courier New" w:hAnsi="Courier New" w:cs="Courier New" w:hint="default"/>
    </w:rPr>
  </w:style>
  <w:style w:type="character" w:customStyle="1" w:styleId="ww8num44z2">
    <w:name w:val="ww8num44z2"/>
    <w:basedOn w:val="Fuentedeprrafopredeter"/>
    <w:rsid w:val="00B15F7D"/>
    <w:rPr>
      <w:rFonts w:ascii="Wingdings" w:hAnsi="Wingdings" w:hint="default"/>
    </w:rPr>
  </w:style>
  <w:style w:type="character" w:customStyle="1" w:styleId="ww8num45z00">
    <w:name w:val="ww8num45z0"/>
    <w:basedOn w:val="Fuentedeprrafopredeter"/>
    <w:rsid w:val="00B15F7D"/>
    <w:rPr>
      <w:rFonts w:ascii="Symbol" w:hAnsi="Symbol" w:hint="default"/>
    </w:rPr>
  </w:style>
  <w:style w:type="character" w:customStyle="1" w:styleId="ww8num47z00">
    <w:name w:val="ww8num47z0"/>
    <w:basedOn w:val="Fuentedeprrafopredeter"/>
    <w:rsid w:val="00B15F7D"/>
    <w:rPr>
      <w:rFonts w:ascii="Wingdings" w:hAnsi="Wingdings" w:hint="default"/>
    </w:rPr>
  </w:style>
  <w:style w:type="character" w:customStyle="1" w:styleId="ww8num47z10">
    <w:name w:val="ww8num47z1"/>
    <w:basedOn w:val="Fuentedeprrafopredeter"/>
    <w:rsid w:val="00B15F7D"/>
    <w:rPr>
      <w:rFonts w:ascii="Courier New" w:hAnsi="Courier New" w:cs="Courier New" w:hint="default"/>
    </w:rPr>
  </w:style>
  <w:style w:type="character" w:customStyle="1" w:styleId="ww8num47z3">
    <w:name w:val="ww8num47z3"/>
    <w:basedOn w:val="Fuentedeprrafopredeter"/>
    <w:rsid w:val="00B15F7D"/>
    <w:rPr>
      <w:rFonts w:ascii="Symbol" w:hAnsi="Symbol" w:hint="default"/>
    </w:rPr>
  </w:style>
  <w:style w:type="character" w:customStyle="1" w:styleId="ww8num51z00">
    <w:name w:val="ww8num51z0"/>
    <w:basedOn w:val="Fuentedeprrafopredeter"/>
    <w:rsid w:val="00B15F7D"/>
    <w:rPr>
      <w:rFonts w:ascii="Symbol" w:hAnsi="Symbol" w:hint="default"/>
    </w:rPr>
  </w:style>
  <w:style w:type="character" w:customStyle="1" w:styleId="ww8num51z10">
    <w:name w:val="ww8num51z1"/>
    <w:basedOn w:val="Fuentedeprrafopredeter"/>
    <w:rsid w:val="00B15F7D"/>
    <w:rPr>
      <w:rFonts w:ascii="Courier New" w:hAnsi="Courier New" w:cs="Courier New" w:hint="default"/>
    </w:rPr>
  </w:style>
  <w:style w:type="character" w:customStyle="1" w:styleId="ww8num51z20">
    <w:name w:val="ww8num51z2"/>
    <w:basedOn w:val="Fuentedeprrafopredeter"/>
    <w:rsid w:val="00B15F7D"/>
    <w:rPr>
      <w:rFonts w:ascii="Wingdings" w:hAnsi="Wingdings" w:hint="default"/>
    </w:rPr>
  </w:style>
  <w:style w:type="character" w:customStyle="1" w:styleId="ww8num54z00">
    <w:name w:val="ww8num54z0"/>
    <w:basedOn w:val="Fuentedeprrafopredeter"/>
    <w:rsid w:val="00B15F7D"/>
    <w:rPr>
      <w:rFonts w:ascii="Symbol" w:hAnsi="Symbol" w:hint="default"/>
    </w:rPr>
  </w:style>
  <w:style w:type="character" w:customStyle="1" w:styleId="ww8num54z10">
    <w:name w:val="ww8num54z1"/>
    <w:basedOn w:val="Fuentedeprrafopredeter"/>
    <w:rsid w:val="00B15F7D"/>
    <w:rPr>
      <w:rFonts w:ascii="Courier New" w:hAnsi="Courier New" w:cs="Courier New" w:hint="default"/>
    </w:rPr>
  </w:style>
  <w:style w:type="character" w:customStyle="1" w:styleId="ww8num54z20">
    <w:name w:val="ww8num54z2"/>
    <w:basedOn w:val="Fuentedeprrafopredeter"/>
    <w:rsid w:val="00B15F7D"/>
    <w:rPr>
      <w:rFonts w:ascii="Wingdings" w:hAnsi="Wingdings" w:hint="default"/>
    </w:rPr>
  </w:style>
  <w:style w:type="character" w:customStyle="1" w:styleId="ww8num56z00">
    <w:name w:val="ww8num56z0"/>
    <w:basedOn w:val="Fuentedeprrafopredeter"/>
    <w:rsid w:val="00B15F7D"/>
    <w:rPr>
      <w:rFonts w:ascii="Symbol" w:hAnsi="Symbol" w:hint="default"/>
    </w:rPr>
  </w:style>
  <w:style w:type="character" w:customStyle="1" w:styleId="ww8num56z10">
    <w:name w:val="ww8num56z1"/>
    <w:basedOn w:val="Fuentedeprrafopredeter"/>
    <w:rsid w:val="00B15F7D"/>
    <w:rPr>
      <w:rFonts w:ascii="Wingdings" w:hAnsi="Wingdings" w:hint="default"/>
    </w:rPr>
  </w:style>
  <w:style w:type="character" w:customStyle="1" w:styleId="ww8num56z40">
    <w:name w:val="ww8num56z4"/>
    <w:basedOn w:val="Fuentedeprrafopredeter"/>
    <w:rsid w:val="00B15F7D"/>
    <w:rPr>
      <w:rFonts w:ascii="Courier New" w:hAnsi="Courier New" w:cs="Courier New" w:hint="default"/>
    </w:rPr>
  </w:style>
  <w:style w:type="character" w:customStyle="1" w:styleId="ww8num58z00">
    <w:name w:val="ww8num58z0"/>
    <w:basedOn w:val="Fuentedeprrafopredeter"/>
    <w:rsid w:val="00B15F7D"/>
    <w:rPr>
      <w:rFonts w:ascii="Symbol" w:hAnsi="Symbol" w:hint="default"/>
    </w:rPr>
  </w:style>
  <w:style w:type="character" w:customStyle="1" w:styleId="ww8num58z10">
    <w:name w:val="ww8num58z1"/>
    <w:basedOn w:val="Fuentedeprrafopredeter"/>
    <w:rsid w:val="00B15F7D"/>
    <w:rPr>
      <w:rFonts w:ascii="Courier New" w:hAnsi="Courier New" w:cs="Courier New" w:hint="default"/>
    </w:rPr>
  </w:style>
  <w:style w:type="character" w:customStyle="1" w:styleId="ww8num58z20">
    <w:name w:val="ww8num58z2"/>
    <w:basedOn w:val="Fuentedeprrafopredeter"/>
    <w:rsid w:val="00B15F7D"/>
    <w:rPr>
      <w:rFonts w:ascii="Wingdings" w:hAnsi="Wingdings" w:hint="default"/>
    </w:rPr>
  </w:style>
  <w:style w:type="character" w:customStyle="1" w:styleId="ww8num59z00">
    <w:name w:val="ww8num59z0"/>
    <w:basedOn w:val="Fuentedeprrafopredeter"/>
    <w:rsid w:val="00B15F7D"/>
    <w:rPr>
      <w:rFonts w:ascii="Symbol" w:hAnsi="Symbol" w:hint="default"/>
    </w:rPr>
  </w:style>
  <w:style w:type="character" w:customStyle="1" w:styleId="ww8num59z10">
    <w:name w:val="ww8num59z1"/>
    <w:basedOn w:val="Fuentedeprrafopredeter"/>
    <w:rsid w:val="00B15F7D"/>
    <w:rPr>
      <w:rFonts w:ascii="Courier New" w:hAnsi="Courier New" w:cs="Courier New" w:hint="default"/>
    </w:rPr>
  </w:style>
  <w:style w:type="character" w:customStyle="1" w:styleId="ww8num59z20">
    <w:name w:val="ww8num59z2"/>
    <w:basedOn w:val="Fuentedeprrafopredeter"/>
    <w:rsid w:val="00B15F7D"/>
    <w:rPr>
      <w:rFonts w:ascii="Wingdings" w:hAnsi="Wingdings" w:hint="default"/>
    </w:rPr>
  </w:style>
  <w:style w:type="character" w:customStyle="1" w:styleId="ww8num60z00">
    <w:name w:val="ww8num60z0"/>
    <w:basedOn w:val="Fuentedeprrafopredeter"/>
    <w:rsid w:val="00B15F7D"/>
    <w:rPr>
      <w:b/>
      <w:bCs/>
    </w:rPr>
  </w:style>
  <w:style w:type="character" w:customStyle="1" w:styleId="ww8num61z00">
    <w:name w:val="ww8num61z0"/>
    <w:basedOn w:val="Fuentedeprrafopredeter"/>
    <w:rsid w:val="00B15F7D"/>
    <w:rPr>
      <w:rFonts w:ascii="Symbol" w:hAnsi="Symbol" w:hint="default"/>
      <w:b/>
      <w:bCs/>
    </w:rPr>
  </w:style>
  <w:style w:type="character" w:customStyle="1" w:styleId="ww8num62z00">
    <w:name w:val="ww8num62z0"/>
    <w:basedOn w:val="Fuentedeprrafopredeter"/>
    <w:rsid w:val="00B15F7D"/>
    <w:rPr>
      <w:b/>
      <w:bCs/>
    </w:rPr>
  </w:style>
  <w:style w:type="character" w:customStyle="1" w:styleId="ww8num64z00">
    <w:name w:val="ww8num64z0"/>
    <w:basedOn w:val="Fuentedeprrafopredeter"/>
    <w:rsid w:val="00B15F7D"/>
    <w:rPr>
      <w:rFonts w:ascii="Wingdings" w:hAnsi="Wingdings" w:hint="default"/>
    </w:rPr>
  </w:style>
  <w:style w:type="character" w:customStyle="1" w:styleId="ww8num64z10">
    <w:name w:val="ww8num64z1"/>
    <w:basedOn w:val="Fuentedeprrafopredeter"/>
    <w:rsid w:val="00B15F7D"/>
    <w:rPr>
      <w:rFonts w:ascii="Courier New" w:hAnsi="Courier New" w:cs="Courier New" w:hint="default"/>
    </w:rPr>
  </w:style>
  <w:style w:type="character" w:customStyle="1" w:styleId="ww8num64z3">
    <w:name w:val="ww8num64z3"/>
    <w:basedOn w:val="Fuentedeprrafopredeter"/>
    <w:rsid w:val="00B15F7D"/>
    <w:rPr>
      <w:rFonts w:ascii="Symbol" w:hAnsi="Symbol" w:hint="default"/>
    </w:rPr>
  </w:style>
  <w:style w:type="character" w:customStyle="1" w:styleId="ww8num66z00">
    <w:name w:val="ww8num66z0"/>
    <w:basedOn w:val="Fuentedeprrafopredeter"/>
    <w:rsid w:val="00B15F7D"/>
    <w:rPr>
      <w:rFonts w:ascii="Calibri" w:hAnsi="Calibri" w:cs="Calibri" w:hint="default"/>
    </w:rPr>
  </w:style>
  <w:style w:type="character" w:customStyle="1" w:styleId="ww8num67z00">
    <w:name w:val="ww8num67z0"/>
    <w:basedOn w:val="Fuentedeprrafopredeter"/>
    <w:rsid w:val="00B15F7D"/>
    <w:rPr>
      <w:rFonts w:ascii="Symbol" w:hAnsi="Symbol" w:hint="default"/>
    </w:rPr>
  </w:style>
  <w:style w:type="character" w:customStyle="1" w:styleId="ww8num67z10">
    <w:name w:val="ww8num67z1"/>
    <w:basedOn w:val="Fuentedeprrafopredeter"/>
    <w:rsid w:val="00B15F7D"/>
    <w:rPr>
      <w:rFonts w:ascii="Courier New" w:hAnsi="Courier New" w:cs="Courier New" w:hint="default"/>
    </w:rPr>
  </w:style>
  <w:style w:type="character" w:customStyle="1" w:styleId="ww8num67z20">
    <w:name w:val="ww8num67z2"/>
    <w:basedOn w:val="Fuentedeprrafopredeter"/>
    <w:rsid w:val="00B15F7D"/>
    <w:rPr>
      <w:rFonts w:ascii="Wingdings" w:hAnsi="Wingdings" w:hint="default"/>
    </w:rPr>
  </w:style>
  <w:style w:type="character" w:customStyle="1" w:styleId="ww8num68z00">
    <w:name w:val="ww8num68z0"/>
    <w:basedOn w:val="Fuentedeprrafopredeter"/>
    <w:rsid w:val="00B15F7D"/>
    <w:rPr>
      <w:rFonts w:ascii="Symbol" w:hAnsi="Symbol" w:hint="default"/>
    </w:rPr>
  </w:style>
  <w:style w:type="character" w:customStyle="1" w:styleId="ww8num68z10">
    <w:name w:val="ww8num68z1"/>
    <w:basedOn w:val="Fuentedeprrafopredeter"/>
    <w:rsid w:val="00B15F7D"/>
    <w:rPr>
      <w:rFonts w:ascii="Courier New" w:hAnsi="Courier New" w:cs="Courier New" w:hint="default"/>
    </w:rPr>
  </w:style>
  <w:style w:type="character" w:customStyle="1" w:styleId="ww8num68z20">
    <w:name w:val="ww8num68z2"/>
    <w:basedOn w:val="Fuentedeprrafopredeter"/>
    <w:rsid w:val="00B15F7D"/>
    <w:rPr>
      <w:rFonts w:ascii="Wingdings" w:hAnsi="Wingdings" w:hint="default"/>
    </w:rPr>
  </w:style>
  <w:style w:type="character" w:customStyle="1" w:styleId="ww8num70z00">
    <w:name w:val="ww8num70z0"/>
    <w:basedOn w:val="Fuentedeprrafopredeter"/>
    <w:rsid w:val="00B15F7D"/>
    <w:rPr>
      <w:rFonts w:ascii="Symbol" w:hAnsi="Symbol" w:hint="default"/>
    </w:rPr>
  </w:style>
  <w:style w:type="character" w:customStyle="1" w:styleId="ww8num70z10">
    <w:name w:val="ww8num70z1"/>
    <w:basedOn w:val="Fuentedeprrafopredeter"/>
    <w:rsid w:val="00B15F7D"/>
    <w:rPr>
      <w:rFonts w:ascii="Courier New" w:hAnsi="Courier New" w:cs="Courier New" w:hint="default"/>
    </w:rPr>
  </w:style>
  <w:style w:type="character" w:customStyle="1" w:styleId="ww8num70z20">
    <w:name w:val="ww8num70z2"/>
    <w:basedOn w:val="Fuentedeprrafopredeter"/>
    <w:rsid w:val="00B15F7D"/>
    <w:rPr>
      <w:rFonts w:ascii="Wingdings" w:hAnsi="Wingdings" w:hint="default"/>
    </w:rPr>
  </w:style>
  <w:style w:type="character" w:customStyle="1" w:styleId="ww8num71z00">
    <w:name w:val="ww8num71z0"/>
    <w:basedOn w:val="Fuentedeprrafopredeter"/>
    <w:rsid w:val="00B15F7D"/>
    <w:rPr>
      <w:rFonts w:ascii="Symbol" w:hAnsi="Symbol" w:hint="default"/>
    </w:rPr>
  </w:style>
  <w:style w:type="character" w:customStyle="1" w:styleId="ww8num71z10">
    <w:name w:val="ww8num71z1"/>
    <w:basedOn w:val="Fuentedeprrafopredeter"/>
    <w:rsid w:val="00B15F7D"/>
    <w:rPr>
      <w:rFonts w:ascii="Courier New" w:hAnsi="Courier New" w:cs="Courier New" w:hint="default"/>
    </w:rPr>
  </w:style>
  <w:style w:type="character" w:customStyle="1" w:styleId="ww8num71z2">
    <w:name w:val="ww8num71z2"/>
    <w:basedOn w:val="Fuentedeprrafopredeter"/>
    <w:rsid w:val="00B15F7D"/>
    <w:rPr>
      <w:rFonts w:ascii="Wingdings" w:hAnsi="Wingdings" w:hint="default"/>
    </w:rPr>
  </w:style>
  <w:style w:type="character" w:customStyle="1" w:styleId="ww8num73z00">
    <w:name w:val="ww8num73z0"/>
    <w:basedOn w:val="Fuentedeprrafopredeter"/>
    <w:rsid w:val="00B15F7D"/>
    <w:rPr>
      <w:rFonts w:ascii="Symbol" w:hAnsi="Symbol" w:hint="default"/>
    </w:rPr>
  </w:style>
  <w:style w:type="character" w:customStyle="1" w:styleId="ww8num73z10">
    <w:name w:val="ww8num73z1"/>
    <w:basedOn w:val="Fuentedeprrafopredeter"/>
    <w:rsid w:val="00B15F7D"/>
    <w:rPr>
      <w:rFonts w:ascii="Courier New" w:hAnsi="Courier New" w:cs="Courier New" w:hint="default"/>
    </w:rPr>
  </w:style>
  <w:style w:type="character" w:customStyle="1" w:styleId="ww8num73z20">
    <w:name w:val="ww8num73z2"/>
    <w:basedOn w:val="Fuentedeprrafopredeter"/>
    <w:rsid w:val="00B15F7D"/>
    <w:rPr>
      <w:rFonts w:ascii="Wingdings" w:hAnsi="Wingdings" w:hint="default"/>
    </w:rPr>
  </w:style>
  <w:style w:type="character" w:customStyle="1" w:styleId="ww8num74z00">
    <w:name w:val="ww8num74z0"/>
    <w:basedOn w:val="Fuentedeprrafopredeter"/>
    <w:rsid w:val="00B15F7D"/>
    <w:rPr>
      <w:rFonts w:ascii="Symbol" w:hAnsi="Symbol" w:hint="default"/>
      <w:b/>
      <w:bCs/>
    </w:rPr>
  </w:style>
  <w:style w:type="character" w:customStyle="1" w:styleId="ww8num74z10">
    <w:name w:val="ww8num74z1"/>
    <w:basedOn w:val="Fuentedeprrafopredeter"/>
    <w:rsid w:val="00B15F7D"/>
    <w:rPr>
      <w:rFonts w:ascii="Courier New" w:hAnsi="Courier New" w:cs="Courier New" w:hint="default"/>
    </w:rPr>
  </w:style>
  <w:style w:type="character" w:customStyle="1" w:styleId="ww8num74z20">
    <w:name w:val="ww8num74z2"/>
    <w:basedOn w:val="Fuentedeprrafopredeter"/>
    <w:rsid w:val="00B15F7D"/>
    <w:rPr>
      <w:rFonts w:ascii="Wingdings" w:hAnsi="Wingdings" w:hint="default"/>
    </w:rPr>
  </w:style>
  <w:style w:type="character" w:customStyle="1" w:styleId="ww8num74z30">
    <w:name w:val="ww8num74z3"/>
    <w:basedOn w:val="Fuentedeprrafopredeter"/>
    <w:rsid w:val="00B15F7D"/>
    <w:rPr>
      <w:rFonts w:ascii="Symbol" w:hAnsi="Symbol" w:hint="default"/>
    </w:rPr>
  </w:style>
  <w:style w:type="character" w:customStyle="1" w:styleId="ww8num75z00">
    <w:name w:val="ww8num75z0"/>
    <w:basedOn w:val="Fuentedeprrafopredeter"/>
    <w:rsid w:val="00B15F7D"/>
    <w:rPr>
      <w:rFonts w:ascii="Symbol" w:hAnsi="Symbol" w:hint="default"/>
    </w:rPr>
  </w:style>
  <w:style w:type="character" w:customStyle="1" w:styleId="ww8num75z10">
    <w:name w:val="ww8num75z1"/>
    <w:basedOn w:val="Fuentedeprrafopredeter"/>
    <w:rsid w:val="00B15F7D"/>
    <w:rPr>
      <w:rFonts w:ascii="Courier New" w:hAnsi="Courier New" w:cs="Courier New" w:hint="default"/>
    </w:rPr>
  </w:style>
  <w:style w:type="character" w:customStyle="1" w:styleId="ww8num75z20">
    <w:name w:val="ww8num75z2"/>
    <w:basedOn w:val="Fuentedeprrafopredeter"/>
    <w:rsid w:val="00B15F7D"/>
    <w:rPr>
      <w:rFonts w:ascii="Wingdings" w:hAnsi="Wingdings" w:hint="default"/>
    </w:rPr>
  </w:style>
  <w:style w:type="character" w:customStyle="1" w:styleId="ww-caracteresdenotaalpie0">
    <w:name w:val="ww-caracteresdenotaalpie"/>
    <w:basedOn w:val="Fuentedeprrafopredeter"/>
    <w:rsid w:val="00B15F7D"/>
    <w:rPr>
      <w:vertAlign w:val="superscript"/>
    </w:rPr>
  </w:style>
  <w:style w:type="character" w:customStyle="1" w:styleId="nfasis10">
    <w:name w:val="nfasis1"/>
    <w:basedOn w:val="Fuentedeprrafopredeter"/>
    <w:rsid w:val="00B15F7D"/>
    <w:rPr>
      <w:i/>
      <w:iCs/>
    </w:rPr>
  </w:style>
  <w:style w:type="character" w:customStyle="1" w:styleId="caracteresdenotafinal0">
    <w:name w:val="caracteresdenotafinal"/>
    <w:basedOn w:val="Fuentedeprrafopredeter"/>
    <w:rsid w:val="00B15F7D"/>
    <w:rPr>
      <w:vertAlign w:val="superscript"/>
    </w:rPr>
  </w:style>
  <w:style w:type="character" w:customStyle="1" w:styleId="ww-muydestacado0">
    <w:name w:val="ww-muydestacado"/>
    <w:basedOn w:val="Fuentedeprrafopredeter"/>
    <w:rsid w:val="00B15F7D"/>
    <w:rPr>
      <w:b/>
      <w:bCs/>
    </w:rPr>
  </w:style>
  <w:style w:type="character" w:customStyle="1" w:styleId="ww8num2z00">
    <w:name w:val="ww8num2z0"/>
    <w:basedOn w:val="Fuentedeprrafopredeter"/>
    <w:rsid w:val="00B15F7D"/>
    <w:rPr>
      <w:b/>
      <w:bCs/>
    </w:rPr>
  </w:style>
  <w:style w:type="character" w:customStyle="1" w:styleId="ww8num3z00">
    <w:name w:val="ww8num3z0"/>
    <w:basedOn w:val="Fuentedeprrafopredeter"/>
    <w:rsid w:val="00B15F7D"/>
    <w:rPr>
      <w:rFonts w:ascii="Wingdings" w:hAnsi="Wingdings" w:hint="default"/>
    </w:rPr>
  </w:style>
  <w:style w:type="character" w:customStyle="1" w:styleId="ww8num3z10">
    <w:name w:val="ww8num3z1"/>
    <w:basedOn w:val="Fuentedeprrafopredeter"/>
    <w:rsid w:val="00B15F7D"/>
    <w:rPr>
      <w:rFonts w:ascii="Courier New" w:hAnsi="Courier New" w:cs="Courier New" w:hint="default"/>
    </w:rPr>
  </w:style>
  <w:style w:type="character" w:customStyle="1" w:styleId="ww8num3z30">
    <w:name w:val="ww8num3z3"/>
    <w:basedOn w:val="Fuentedeprrafopredeter"/>
    <w:rsid w:val="00B15F7D"/>
    <w:rPr>
      <w:rFonts w:ascii="Symbol" w:hAnsi="Symbol" w:hint="default"/>
    </w:rPr>
  </w:style>
  <w:style w:type="character" w:customStyle="1" w:styleId="ww8num8z30">
    <w:name w:val="ww8num8z3"/>
    <w:basedOn w:val="Fuentedeprrafopredeter"/>
    <w:rsid w:val="00B15F7D"/>
    <w:rPr>
      <w:rFonts w:ascii="Symbol" w:hAnsi="Symbol" w:hint="default"/>
    </w:rPr>
  </w:style>
  <w:style w:type="character" w:customStyle="1" w:styleId="ww8num10z00">
    <w:name w:val="ww8num10z0"/>
    <w:basedOn w:val="Fuentedeprrafopredeter"/>
    <w:rsid w:val="00B15F7D"/>
    <w:rPr>
      <w:rFonts w:ascii="Times New Roman" w:hAnsi="Times New Roman" w:cs="Times New Roman" w:hint="default"/>
    </w:rPr>
  </w:style>
  <w:style w:type="character" w:customStyle="1" w:styleId="ww8num11z10">
    <w:name w:val="ww8num11z1"/>
    <w:basedOn w:val="Fuentedeprrafopredeter"/>
    <w:rsid w:val="00B15F7D"/>
    <w:rPr>
      <w:rFonts w:ascii="Courier New" w:hAnsi="Courier New" w:cs="Courier New" w:hint="default"/>
    </w:rPr>
  </w:style>
  <w:style w:type="character" w:customStyle="1" w:styleId="ww8num11z20">
    <w:name w:val="ww8num11z2"/>
    <w:basedOn w:val="Fuentedeprrafopredeter"/>
    <w:rsid w:val="00B15F7D"/>
    <w:rPr>
      <w:rFonts w:ascii="Wingdings" w:hAnsi="Wingdings" w:hint="default"/>
    </w:rPr>
  </w:style>
  <w:style w:type="character" w:customStyle="1" w:styleId="ww8num11z30">
    <w:name w:val="ww8num11z3"/>
    <w:basedOn w:val="Fuentedeprrafopredeter"/>
    <w:rsid w:val="00B15F7D"/>
    <w:rPr>
      <w:rFonts w:ascii="Symbol" w:hAnsi="Symbol" w:hint="default"/>
    </w:rPr>
  </w:style>
  <w:style w:type="character" w:customStyle="1" w:styleId="estilo191">
    <w:name w:val="estilo191"/>
    <w:basedOn w:val="Fuentedeprrafopredeter"/>
    <w:rsid w:val="00B15F7D"/>
    <w:rPr>
      <w:rFonts w:ascii="Monotype Corsiva" w:hAnsi="Monotype Corsiva" w:hint="default"/>
      <w:b/>
      <w:bCs/>
      <w:i/>
      <w:iCs/>
      <w:color w:val="1D0000"/>
    </w:rPr>
  </w:style>
  <w:style w:type="character" w:customStyle="1" w:styleId="estilo111">
    <w:name w:val="estilo111"/>
    <w:basedOn w:val="Fuentedeprrafopredeter"/>
    <w:rsid w:val="00B15F7D"/>
    <w:rPr>
      <w:rFonts w:ascii="Arial" w:hAnsi="Arial" w:cs="Arial" w:hint="default"/>
    </w:rPr>
  </w:style>
  <w:style w:type="character" w:customStyle="1" w:styleId="estilo141">
    <w:name w:val="estilo141"/>
    <w:basedOn w:val="Fuentedeprrafopredeter"/>
    <w:rsid w:val="00B15F7D"/>
    <w:rPr>
      <w:rFonts w:ascii="Arial" w:hAnsi="Arial" w:cs="Arial" w:hint="default"/>
    </w:rPr>
  </w:style>
  <w:style w:type="character" w:customStyle="1" w:styleId="defaultparagraphfont">
    <w:name w:val="defaultparagraphfont"/>
    <w:basedOn w:val="Fuentedeprrafopredeter"/>
    <w:rsid w:val="00B15F7D"/>
    <w:rPr>
      <w:color w:val="auto"/>
      <w:u w:val="single"/>
      <w:shd w:val="clear" w:color="auto" w:fill="FFFFFF"/>
    </w:rPr>
  </w:style>
  <w:style w:type="character" w:customStyle="1" w:styleId="internetlink">
    <w:name w:val="internetlink"/>
    <w:basedOn w:val="Fuentedeprrafopredeter"/>
    <w:rsid w:val="00B15F7D"/>
    <w:rPr>
      <w:rFonts w:ascii="Arial" w:hAnsi="Arial" w:cs="Arial" w:hint="default"/>
      <w:color w:val="000080"/>
      <w:u w:val="single"/>
      <w:shd w:val="clear" w:color="auto" w:fill="FFFFFF"/>
    </w:rPr>
  </w:style>
  <w:style w:type="character" w:customStyle="1" w:styleId="carcar2carcarcarcarcarcarcar">
    <w:name w:val="carcar2carcarcarcarcarcarcar"/>
    <w:basedOn w:val="Fuentedeprrafopredeter"/>
    <w:rsid w:val="00B15F7D"/>
    <w:rPr>
      <w:rFonts w:ascii="Arial" w:hAnsi="Arial" w:cs="Arial" w:hint="default"/>
      <w:b/>
      <w:bCs/>
    </w:rPr>
  </w:style>
  <w:style w:type="character" w:customStyle="1" w:styleId="smbolodenotaalpie0">
    <w:name w:val="smbolodenotaalpie"/>
    <w:basedOn w:val="Fuentedeprrafopredeter"/>
    <w:rsid w:val="00B15F7D"/>
    <w:rPr>
      <w:rFonts w:ascii="Courier New" w:hAnsi="Courier New" w:cs="Courier New" w:hint="default"/>
      <w:vertAlign w:val="superscript"/>
    </w:rPr>
  </w:style>
  <w:style w:type="character" w:customStyle="1" w:styleId="unsupportedobjecttext">
    <w:name w:val="unsupportedobjecttext"/>
    <w:basedOn w:val="Fuentedeprrafopredeter"/>
    <w:uiPriority w:val="99"/>
    <w:rsid w:val="00B15F7D"/>
    <w:rPr>
      <w:rFonts w:ascii="Calibri" w:hAnsi="Calibri" w:cs="Calibri" w:hint="default"/>
      <w:strike w:val="0"/>
      <w:dstrike w:val="0"/>
      <w:color w:val="000000"/>
      <w:u w:val="none"/>
      <w:effect w:val="none"/>
      <w:shd w:val="clear" w:color="auto" w:fill="E1E3E6"/>
    </w:rPr>
  </w:style>
  <w:style w:type="character" w:customStyle="1" w:styleId="unsupportedobjectblock">
    <w:name w:val="unsupportedobjectblock"/>
    <w:basedOn w:val="Fuentedeprrafopredeter"/>
    <w:uiPriority w:val="99"/>
    <w:rsid w:val="00B15F7D"/>
    <w:rPr>
      <w:rFonts w:ascii="Calibri" w:hAnsi="Calibri" w:cs="Calibri" w:hint="default"/>
      <w:strike w:val="0"/>
      <w:dstrike w:val="0"/>
      <w:vanish/>
      <w:webHidden w:val="0"/>
      <w:color w:val="000000"/>
      <w:u w:val="none"/>
      <w:effect w:val="none"/>
      <w:shd w:val="clear" w:color="auto" w:fill="E1E3E6"/>
      <w:specVanish/>
    </w:rPr>
  </w:style>
  <w:style w:type="character" w:customStyle="1" w:styleId="breakobjecttext">
    <w:name w:val="breakobjecttext"/>
    <w:basedOn w:val="Fuentedeprrafopredeter"/>
    <w:uiPriority w:val="99"/>
    <w:rsid w:val="00B15F7D"/>
    <w:rPr>
      <w:rFonts w:ascii="Calibri" w:hAnsi="Calibri" w:cs="Calibri" w:hint="default"/>
      <w:strike w:val="0"/>
      <w:dstrike w:val="0"/>
      <w:color w:val="000000"/>
      <w:u w:val="none"/>
      <w:effect w:val="none"/>
      <w:shd w:val="clear" w:color="auto" w:fill="FFFFFF"/>
    </w:rPr>
  </w:style>
  <w:style w:type="character" w:customStyle="1" w:styleId="fieldrange">
    <w:name w:val="fieldrange"/>
    <w:basedOn w:val="Fuentedeprrafopredeter"/>
    <w:uiPriority w:val="99"/>
    <w:rsid w:val="00B15F7D"/>
    <w:rPr>
      <w:color w:val="000000"/>
      <w:shd w:val="clear" w:color="auto" w:fill="E1E3E6"/>
    </w:rPr>
  </w:style>
  <w:style w:type="character" w:customStyle="1" w:styleId="contextualspellingandgrammarerror">
    <w:name w:val="contextualspellingandgrammarerror"/>
    <w:basedOn w:val="Fuentedeprrafopredeter"/>
    <w:uiPriority w:val="99"/>
    <w:rsid w:val="00B15F7D"/>
    <w:rPr>
      <w:rFonts w:ascii="Times New Roman" w:hAnsi="Times New Roman" w:cs="Times New Roman" w:hint="default"/>
    </w:rPr>
  </w:style>
  <w:style w:type="character" w:customStyle="1" w:styleId="findhit">
    <w:name w:val="findhit"/>
    <w:basedOn w:val="Fuentedeprrafopredeter"/>
    <w:rsid w:val="00B15F7D"/>
    <w:rPr>
      <w:shd w:val="clear" w:color="auto" w:fill="FFEE80"/>
    </w:rPr>
  </w:style>
  <w:style w:type="character" w:customStyle="1" w:styleId="lastreplacedfindhit">
    <w:name w:val="lastreplacedfindhit"/>
    <w:basedOn w:val="Fuentedeprrafopredeter"/>
    <w:uiPriority w:val="99"/>
    <w:rsid w:val="00B15F7D"/>
    <w:rPr>
      <w:shd w:val="clear" w:color="auto" w:fill="DCE9F8"/>
    </w:rPr>
  </w:style>
  <w:style w:type="character" w:customStyle="1" w:styleId="wacimagecontainer1">
    <w:name w:val="wacimagecontainer1"/>
    <w:basedOn w:val="Fuentedeprrafopredeter"/>
    <w:uiPriority w:val="99"/>
    <w:rsid w:val="00B15F7D"/>
    <w:rPr>
      <w:rFonts w:ascii="Times New Roman" w:hAnsi="Times New Roman" w:cs="Times New Roman" w:hint="default"/>
    </w:rPr>
  </w:style>
  <w:style w:type="character" w:customStyle="1" w:styleId="wacmovearrowicon">
    <w:name w:val="wacmovearrowicon"/>
    <w:basedOn w:val="Fuentedeprrafopredeter"/>
    <w:uiPriority w:val="99"/>
    <w:rsid w:val="00B15F7D"/>
    <w:rPr>
      <w:rFonts w:ascii="Times New Roman" w:hAnsi="Times New Roman" w:cs="Times New Roman" w:hint="default"/>
    </w:rPr>
  </w:style>
  <w:style w:type="character" w:customStyle="1" w:styleId="empty1">
    <w:name w:val="empty1"/>
    <w:basedOn w:val="Fuentedeprrafopredeter"/>
    <w:uiPriority w:val="99"/>
    <w:rsid w:val="00B15F7D"/>
    <w:rPr>
      <w:rFonts w:ascii="Times New Roman" w:hAnsi="Times New Roman" w:cs="Times New Roman" w:hint="default"/>
    </w:rPr>
  </w:style>
  <w:style w:type="character" w:customStyle="1" w:styleId="selected">
    <w:name w:val="selected"/>
    <w:basedOn w:val="Fuentedeprrafopredeter"/>
    <w:uiPriority w:val="99"/>
    <w:rsid w:val="00B15F7D"/>
    <w:rPr>
      <w:rFonts w:ascii="Times New Roman" w:hAnsi="Times New Roman" w:cs="Times New Roman" w:hint="default"/>
    </w:rPr>
  </w:style>
  <w:style w:type="character" w:customStyle="1" w:styleId="breadcrumbitem1">
    <w:name w:val="breadcrumbitem1"/>
    <w:basedOn w:val="Fuentedeprrafopredeter"/>
    <w:uiPriority w:val="99"/>
    <w:rsid w:val="00B15F7D"/>
    <w:rPr>
      <w:color w:val="FFFFFF"/>
    </w:rPr>
  </w:style>
  <w:style w:type="character" w:customStyle="1" w:styleId="cui-fslb1">
    <w:name w:val="cui-fslb1"/>
    <w:basedOn w:val="Fuentedeprrafopredeter"/>
    <w:uiPriority w:val="99"/>
    <w:rsid w:val="00B15F7D"/>
    <w:rPr>
      <w:color w:val="444444"/>
    </w:rPr>
  </w:style>
  <w:style w:type="character" w:customStyle="1" w:styleId="textrun">
    <w:name w:val="textrun"/>
    <w:basedOn w:val="Fuentedeprrafopredeter"/>
    <w:uiPriority w:val="99"/>
    <w:rsid w:val="00B15F7D"/>
    <w:rPr>
      <w:rFonts w:ascii="Times New Roman" w:hAnsi="Times New Roman" w:cs="Times New Roman" w:hint="default"/>
    </w:rPr>
  </w:style>
  <w:style w:type="character" w:customStyle="1" w:styleId="spellingerror1">
    <w:name w:val="spellingerror1"/>
    <w:basedOn w:val="Fuentedeprrafopredeter"/>
    <w:uiPriority w:val="99"/>
    <w:rsid w:val="00B15F7D"/>
    <w:rPr>
      <w:rFonts w:ascii="Times New Roman" w:hAnsi="Times New Roman" w:cs="Times New Roman" w:hint="default"/>
    </w:rPr>
  </w:style>
  <w:style w:type="character" w:customStyle="1" w:styleId="spellingerror2">
    <w:name w:val="spellingerror2"/>
    <w:basedOn w:val="Fuentedeprrafopredeter"/>
    <w:uiPriority w:val="99"/>
    <w:rsid w:val="00B15F7D"/>
    <w:rPr>
      <w:rFonts w:ascii="Times New Roman" w:hAnsi="Times New Roman" w:cs="Times New Roman" w:hint="default"/>
    </w:rPr>
  </w:style>
  <w:style w:type="character" w:customStyle="1" w:styleId="contextualspellingandgrammarerror1">
    <w:name w:val="contextualspellingandgrammarerror1"/>
    <w:basedOn w:val="Fuentedeprrafopredeter"/>
    <w:uiPriority w:val="99"/>
    <w:rsid w:val="00B15F7D"/>
    <w:rPr>
      <w:rFonts w:ascii="Times New Roman" w:hAnsi="Times New Roman" w:cs="Times New Roman" w:hint="default"/>
    </w:rPr>
  </w:style>
  <w:style w:type="character" w:customStyle="1" w:styleId="contextualspellingandgrammarerror2">
    <w:name w:val="contextualspellingandgrammarerror2"/>
    <w:basedOn w:val="Fuentedeprrafopredeter"/>
    <w:uiPriority w:val="99"/>
    <w:rsid w:val="00B15F7D"/>
    <w:rPr>
      <w:rFonts w:ascii="Times New Roman" w:hAnsi="Times New Roman" w:cs="Times New Roman" w:hint="default"/>
    </w:rPr>
  </w:style>
  <w:style w:type="character" w:customStyle="1" w:styleId="textrun1">
    <w:name w:val="textrun1"/>
    <w:basedOn w:val="Fuentedeprrafopredeter"/>
    <w:uiPriority w:val="99"/>
    <w:rsid w:val="00B15F7D"/>
    <w:rPr>
      <w:color w:val="000000"/>
      <w:shd w:val="clear" w:color="auto" w:fill="E1E3E6"/>
    </w:rPr>
  </w:style>
  <w:style w:type="character" w:customStyle="1" w:styleId="normaltextrun1">
    <w:name w:val="normaltextrun1"/>
    <w:basedOn w:val="Fuentedeprrafopredeter"/>
    <w:qFormat/>
    <w:rsid w:val="00B15F7D"/>
    <w:rPr>
      <w:color w:val="000000"/>
      <w:shd w:val="clear" w:color="auto" w:fill="E1E3E6"/>
    </w:rPr>
  </w:style>
  <w:style w:type="character" w:customStyle="1" w:styleId="breakobjecttext1">
    <w:name w:val="breakobjecttext1"/>
    <w:basedOn w:val="Fuentedeprrafopredeter"/>
    <w:uiPriority w:val="99"/>
    <w:rsid w:val="00B15F7D"/>
    <w:rPr>
      <w:rFonts w:ascii="Calibri" w:hAnsi="Calibri" w:cs="Calibri" w:hint="default"/>
      <w:strike w:val="0"/>
      <w:dstrike w:val="0"/>
      <w:color w:val="000000"/>
      <w:u w:val="none"/>
      <w:effect w:val="none"/>
      <w:shd w:val="clear" w:color="auto" w:fill="E1E3E6"/>
    </w:rPr>
  </w:style>
  <w:style w:type="character" w:customStyle="1" w:styleId="breadcrumbitem2">
    <w:name w:val="breadcrumbitem2"/>
    <w:basedOn w:val="Fuentedeprrafopredeter"/>
    <w:uiPriority w:val="99"/>
    <w:rsid w:val="00B15F7D"/>
    <w:rPr>
      <w:color w:val="FFFFFF"/>
    </w:rPr>
  </w:style>
  <w:style w:type="character" w:customStyle="1" w:styleId="cui-fslb6">
    <w:name w:val="cui-fslb6"/>
    <w:basedOn w:val="Fuentedeprrafopredeter"/>
    <w:uiPriority w:val="99"/>
    <w:rsid w:val="00B15F7D"/>
    <w:rPr>
      <w:color w:val="444444"/>
    </w:rPr>
  </w:style>
  <w:style w:type="character" w:customStyle="1" w:styleId="selected1">
    <w:name w:val="selected1"/>
    <w:basedOn w:val="Fuentedeprrafopredeter"/>
    <w:uiPriority w:val="99"/>
    <w:rsid w:val="00B15F7D"/>
    <w:rPr>
      <w:u w:val="single"/>
    </w:rPr>
  </w:style>
  <w:style w:type="character" w:customStyle="1" w:styleId="selected2">
    <w:name w:val="selected2"/>
    <w:basedOn w:val="Fuentedeprrafopredeter"/>
    <w:uiPriority w:val="99"/>
    <w:rsid w:val="00B15F7D"/>
    <w:rPr>
      <w:u w:val="single"/>
    </w:rPr>
  </w:style>
  <w:style w:type="character" w:customStyle="1" w:styleId="selected3">
    <w:name w:val="selected3"/>
    <w:basedOn w:val="Fuentedeprrafopredeter"/>
    <w:uiPriority w:val="99"/>
    <w:rsid w:val="00B15F7D"/>
    <w:rPr>
      <w:strike/>
    </w:rPr>
  </w:style>
  <w:style w:type="character" w:customStyle="1" w:styleId="selected4">
    <w:name w:val="selected4"/>
    <w:basedOn w:val="Fuentedeprrafopredeter"/>
    <w:uiPriority w:val="99"/>
    <w:rsid w:val="00B15F7D"/>
    <w:rPr>
      <w:u w:val="single"/>
    </w:rPr>
  </w:style>
  <w:style w:type="character" w:customStyle="1" w:styleId="listghost1">
    <w:name w:val="listghost1"/>
    <w:basedOn w:val="Fuentedeprrafopredeter"/>
    <w:uiPriority w:val="99"/>
    <w:rsid w:val="00B15F7D"/>
    <w:rPr>
      <w:vanish/>
      <w:webHidden w:val="0"/>
      <w:specVanish/>
    </w:rPr>
  </w:style>
  <w:style w:type="character" w:customStyle="1" w:styleId="linebreakblob">
    <w:name w:val="linebreakblob"/>
    <w:basedOn w:val="Fuentedeprrafopredeter"/>
    <w:uiPriority w:val="99"/>
    <w:rsid w:val="00B15F7D"/>
    <w:rPr>
      <w:rFonts w:ascii="Times New Roman" w:hAnsi="Times New Roman" w:cs="Times New Roman" w:hint="default"/>
    </w:rPr>
  </w:style>
  <w:style w:type="character" w:customStyle="1" w:styleId="scx190034271">
    <w:name w:val="scx190034271"/>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9"/>
    <w:basedOn w:val="Fuentedeprrafopredeter"/>
    <w:uiPriority w:val="99"/>
    <w:rsid w:val="00B15F7D"/>
    <w:rPr>
      <w:rFonts w:ascii="Times New Roman" w:hAnsi="Times New Roman" w:cs="Times New Roman" w:hint="default"/>
    </w:rPr>
  </w:style>
  <w:style w:type="character" w:customStyle="1" w:styleId="estilocorreo76">
    <w:name w:val="estilocorreo76"/>
    <w:basedOn w:val="Fuentedeprrafopredeter"/>
    <w:uiPriority w:val="99"/>
    <w:rsid w:val="00B15F7D"/>
    <w:rPr>
      <w:rFonts w:ascii="Calibri" w:hAnsi="Calibri" w:cs="Calibri" w:hint="default"/>
      <w:color w:val="auto"/>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2"/>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21">
    <w:name w:val="WW-Absatz-Standardschriftart111111111111111111111111111111111111111111111111111111111111111111111111111111111111111111111111111111111111111111111111111111111111111111111111111111111111111111111111111111111111111111111111111111111111111111111111111111121"/>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8"/>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7"/>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6"/>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5"/>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4"/>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3"/>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2"/>
    <w:basedOn w:val="Fuentedeprrafopredeter"/>
    <w:uiPriority w:val="99"/>
    <w:rsid w:val="00B15F7D"/>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basedOn w:val="Fuentedeprrafopredeter"/>
    <w:rsid w:val="00B15F7D"/>
    <w:rPr>
      <w:rFonts w:ascii="Times New Roman" w:hAnsi="Times New Roman" w:cs="Times New Roman" w:hint="default"/>
    </w:rPr>
  </w:style>
  <w:style w:type="character" w:customStyle="1" w:styleId="estilocorreo319">
    <w:name w:val="estilocorreo319"/>
    <w:basedOn w:val="Fuentedeprrafopredeter"/>
    <w:uiPriority w:val="99"/>
    <w:rsid w:val="00B15F7D"/>
    <w:rPr>
      <w:rFonts w:ascii="Arial" w:hAnsi="Arial" w:cs="Arial" w:hint="default"/>
      <w:color w:val="000080"/>
    </w:rPr>
  </w:style>
  <w:style w:type="character" w:customStyle="1" w:styleId="estilocorreo322">
    <w:name w:val="estilocorreo322"/>
    <w:basedOn w:val="Fuentedeprrafopredeter"/>
    <w:uiPriority w:val="99"/>
    <w:rsid w:val="00B15F7D"/>
    <w:rPr>
      <w:rFonts w:ascii="Calibri" w:hAnsi="Calibri" w:cs="Calibri" w:hint="default"/>
      <w:color w:val="auto"/>
    </w:rPr>
  </w:style>
  <w:style w:type="character" w:customStyle="1" w:styleId="estilocorreo323">
    <w:name w:val="estilocorreo323"/>
    <w:basedOn w:val="Fuentedeprrafopredeter"/>
    <w:uiPriority w:val="99"/>
    <w:rsid w:val="00B15F7D"/>
    <w:rPr>
      <w:rFonts w:ascii="Bookman Old Style" w:hAnsi="Bookman Old Style" w:hint="default"/>
      <w:color w:val="1F497D"/>
    </w:rPr>
  </w:style>
  <w:style w:type="character" w:customStyle="1" w:styleId="ListParagraphChar">
    <w:name w:val="List Paragraph Char"/>
    <w:basedOn w:val="Fuentedeprrafopredeter"/>
    <w:uiPriority w:val="99"/>
    <w:rsid w:val="00B15F7D"/>
    <w:rPr>
      <w:rFonts w:ascii="Arial" w:hAnsi="Arial" w:cs="Arial" w:hint="default"/>
      <w:lang w:eastAsia="es-ES"/>
    </w:rPr>
  </w:style>
  <w:style w:type="character" w:customStyle="1" w:styleId="estilocorreo18">
    <w:name w:val="estilocorreo18"/>
    <w:basedOn w:val="Fuentedeprrafopredeter"/>
    <w:rsid w:val="00B15F7D"/>
    <w:rPr>
      <w:rFonts w:ascii="Times New Roman" w:hAnsi="Times New Roman" w:cs="Times New Roman" w:hint="default"/>
      <w:strike w:val="0"/>
      <w:dstrike w:val="0"/>
      <w:color w:val="auto"/>
      <w:u w:val="none"/>
      <w:effect w:val="none"/>
    </w:rPr>
  </w:style>
  <w:style w:type="character" w:customStyle="1" w:styleId="estilocorreo19">
    <w:name w:val="estilocorreo19"/>
    <w:basedOn w:val="Fuentedeprrafopredeter"/>
    <w:uiPriority w:val="99"/>
    <w:rsid w:val="00B15F7D"/>
    <w:rPr>
      <w:rFonts w:ascii="Calibri" w:hAnsi="Calibri" w:cs="Calibri" w:hint="default"/>
      <w:color w:val="1F497D"/>
    </w:rPr>
  </w:style>
  <w:style w:type="character" w:customStyle="1" w:styleId="estilocorreo20">
    <w:name w:val="estilocorreo20"/>
    <w:basedOn w:val="Fuentedeprrafopredeter"/>
    <w:uiPriority w:val="99"/>
    <w:rsid w:val="00B15F7D"/>
    <w:rPr>
      <w:rFonts w:ascii="Times New Roman" w:hAnsi="Times New Roman" w:cs="Times New Roman" w:hint="default"/>
      <w:strike w:val="0"/>
      <w:dstrike w:val="0"/>
      <w:color w:val="1F497D"/>
      <w:u w:val="none"/>
      <w:effect w:val="none"/>
    </w:rPr>
  </w:style>
  <w:style w:type="character" w:customStyle="1" w:styleId="EstiloCorreo1432">
    <w:name w:val="EstiloCorreo1432"/>
    <w:basedOn w:val="Fuentedeprrafopredeter"/>
    <w:uiPriority w:val="99"/>
    <w:rsid w:val="00B15F7D"/>
    <w:rPr>
      <w:rFonts w:ascii="Arial" w:hAnsi="Arial" w:cs="Arial" w:hint="default"/>
      <w:color w:val="auto"/>
    </w:rPr>
  </w:style>
  <w:style w:type="character" w:customStyle="1" w:styleId="EstiloCorreo20171">
    <w:name w:val="EstiloCorreo20171"/>
    <w:basedOn w:val="Fuentedeprrafopredeter"/>
    <w:uiPriority w:val="99"/>
    <w:rsid w:val="00B15F7D"/>
    <w:rPr>
      <w:rFonts w:ascii="Times New Roman" w:hAnsi="Times New Roman" w:cs="Times New Roman" w:hint="default"/>
      <w:strike w:val="0"/>
      <w:dstrike w:val="0"/>
      <w:color w:val="auto"/>
      <w:u w:val="none"/>
      <w:effect w:val="none"/>
    </w:rPr>
  </w:style>
  <w:style w:type="character" w:customStyle="1" w:styleId="EstiloCorreo20181">
    <w:name w:val="EstiloCorreo20181"/>
    <w:basedOn w:val="Fuentedeprrafopredeter"/>
    <w:uiPriority w:val="99"/>
    <w:rsid w:val="00B15F7D"/>
    <w:rPr>
      <w:rFonts w:ascii="Calibri" w:hAnsi="Calibri" w:cs="Calibri" w:hint="default"/>
      <w:color w:val="1F497D"/>
    </w:rPr>
  </w:style>
  <w:style w:type="character" w:customStyle="1" w:styleId="EstiloCorreo20191">
    <w:name w:val="EstiloCorreo20191"/>
    <w:basedOn w:val="Fuentedeprrafopredeter"/>
    <w:uiPriority w:val="99"/>
    <w:rsid w:val="00B15F7D"/>
    <w:rPr>
      <w:rFonts w:ascii="Times New Roman" w:hAnsi="Times New Roman" w:cs="Times New Roman" w:hint="default"/>
      <w:strike w:val="0"/>
      <w:dstrike w:val="0"/>
      <w:color w:val="1F497D"/>
      <w:u w:val="none"/>
      <w:effect w:val="none"/>
    </w:rPr>
  </w:style>
  <w:style w:type="character" w:customStyle="1" w:styleId="CarCar63">
    <w:name w:val="Car Car63"/>
    <w:basedOn w:val="Fuentedeprrafopredeter"/>
    <w:uiPriority w:val="99"/>
    <w:rsid w:val="00B15F7D"/>
    <w:rPr>
      <w:color w:val="000000"/>
      <w:lang w:eastAsia="es-ES"/>
    </w:rPr>
  </w:style>
  <w:style w:type="character" w:customStyle="1" w:styleId="CarCar52">
    <w:name w:val="Car Car52"/>
    <w:basedOn w:val="Fuentedeprrafopredeter"/>
    <w:uiPriority w:val="99"/>
    <w:rsid w:val="00B15F7D"/>
    <w:rPr>
      <w:rFonts w:ascii="Arial" w:hAnsi="Arial" w:cs="Arial" w:hint="default"/>
      <w:b/>
      <w:bCs/>
      <w:lang w:eastAsia="ar-SA"/>
    </w:rPr>
  </w:style>
  <w:style w:type="character" w:customStyle="1" w:styleId="CarCar82">
    <w:name w:val="Car Car82"/>
    <w:basedOn w:val="Fuentedeprrafopredeter"/>
    <w:uiPriority w:val="99"/>
    <w:rsid w:val="00B15F7D"/>
    <w:rPr>
      <w:rFonts w:ascii="Arial" w:hAnsi="Arial" w:cs="Arial" w:hint="default"/>
      <w:b/>
      <w:bCs/>
      <w:lang w:eastAsia="ar-SA"/>
    </w:rPr>
  </w:style>
  <w:style w:type="character" w:customStyle="1" w:styleId="CarCar72">
    <w:name w:val="Car Car72"/>
    <w:basedOn w:val="Fuentedeprrafopredeter"/>
    <w:uiPriority w:val="99"/>
    <w:rsid w:val="00B15F7D"/>
    <w:rPr>
      <w:b/>
      <w:bCs/>
      <w:lang w:eastAsia="es-ES"/>
    </w:rPr>
  </w:style>
  <w:style w:type="character" w:customStyle="1" w:styleId="EstiloCorreo1461">
    <w:name w:val="EstiloCorreo1461"/>
    <w:basedOn w:val="Fuentedeprrafopredeter"/>
    <w:uiPriority w:val="99"/>
    <w:rsid w:val="00B15F7D"/>
    <w:rPr>
      <w:rFonts w:ascii="Arial" w:hAnsi="Arial" w:cs="Arial" w:hint="default"/>
      <w:color w:val="auto"/>
    </w:rPr>
  </w:style>
  <w:style w:type="character" w:customStyle="1" w:styleId="EstiloCorreo2158">
    <w:name w:val="EstiloCorreo2158"/>
    <w:basedOn w:val="Fuentedeprrafopredeter"/>
    <w:uiPriority w:val="99"/>
    <w:rsid w:val="00B15F7D"/>
    <w:rPr>
      <w:rFonts w:ascii="Arial" w:hAnsi="Arial" w:cs="Arial" w:hint="default"/>
      <w:color w:val="000080"/>
    </w:rPr>
  </w:style>
  <w:style w:type="character" w:customStyle="1" w:styleId="EstiloCorreo2159">
    <w:name w:val="EstiloCorreo2159"/>
    <w:basedOn w:val="Fuentedeprrafopredeter"/>
    <w:uiPriority w:val="99"/>
    <w:rsid w:val="00B15F7D"/>
    <w:rPr>
      <w:rFonts w:ascii="Arial" w:hAnsi="Arial" w:cs="Arial" w:hint="default"/>
      <w:color w:val="000080"/>
    </w:rPr>
  </w:style>
  <w:style w:type="character" w:customStyle="1" w:styleId="TtuloCar2">
    <w:name w:val="Título Car2"/>
    <w:basedOn w:val="Fuentedeprrafopredeter"/>
    <w:uiPriority w:val="99"/>
    <w:rsid w:val="00B15F7D"/>
    <w:rPr>
      <w:rFonts w:ascii="Cambria" w:hAnsi="Cambria" w:hint="default"/>
      <w:b/>
      <w:bCs/>
      <w:lang w:eastAsia="es-ES"/>
    </w:rPr>
  </w:style>
  <w:style w:type="character" w:customStyle="1" w:styleId="cescoto">
    <w:name w:val="cescoto"/>
    <w:basedOn w:val="Fuentedeprrafopredeter"/>
    <w:uiPriority w:val="99"/>
    <w:rsid w:val="00B15F7D"/>
    <w:rPr>
      <w:rFonts w:ascii="Arial" w:hAnsi="Arial" w:cs="Arial" w:hint="default"/>
      <w:color w:val="000080"/>
    </w:rPr>
  </w:style>
  <w:style w:type="character" w:customStyle="1" w:styleId="WW8Num23z3">
    <w:name w:val="WW8Num23z3"/>
    <w:basedOn w:val="Fuentedeprrafopredeter"/>
    <w:qFormat/>
    <w:rsid w:val="00B15F7D"/>
    <w:rPr>
      <w:rFonts w:ascii="Symbol" w:hAnsi="Symbol" w:hint="default"/>
    </w:rPr>
  </w:style>
  <w:style w:type="character" w:customStyle="1" w:styleId="Smbolosdenumeracin">
    <w:name w:val="Símbolos de numeración"/>
    <w:basedOn w:val="Fuentedeprrafopredeter"/>
    <w:qFormat/>
    <w:rsid w:val="00B15F7D"/>
  </w:style>
  <w:style w:type="character" w:customStyle="1" w:styleId="CarCar53">
    <w:name w:val="Car Car53"/>
    <w:basedOn w:val="Fuentedeprrafopredeter"/>
    <w:uiPriority w:val="99"/>
    <w:rsid w:val="00B15F7D"/>
  </w:style>
  <w:style w:type="character" w:customStyle="1" w:styleId="CarCar42">
    <w:name w:val="Car Car42"/>
    <w:basedOn w:val="Fuentedeprrafopredeter"/>
    <w:uiPriority w:val="99"/>
    <w:rsid w:val="00B15F7D"/>
  </w:style>
  <w:style w:type="character" w:customStyle="1" w:styleId="encabezadoCarCar2">
    <w:name w:val="encabezado Car Car"/>
    <w:basedOn w:val="Fuentedeprrafopredeter"/>
    <w:uiPriority w:val="99"/>
    <w:rsid w:val="00B15F7D"/>
  </w:style>
  <w:style w:type="character" w:customStyle="1" w:styleId="CarCar73">
    <w:name w:val="Car Car73"/>
    <w:basedOn w:val="Fuentedeprrafopredeter"/>
    <w:uiPriority w:val="99"/>
    <w:rsid w:val="00B15F7D"/>
    <w:rPr>
      <w:rFonts w:ascii="Calibri" w:hAnsi="Calibri" w:cs="Calibri" w:hint="default"/>
      <w:b/>
      <w:bCs/>
    </w:rPr>
  </w:style>
  <w:style w:type="character" w:customStyle="1" w:styleId="CarCar32">
    <w:name w:val="Car Car32"/>
    <w:basedOn w:val="Fuentedeprrafopredeter"/>
    <w:uiPriority w:val="99"/>
    <w:rsid w:val="00B15F7D"/>
    <w:rPr>
      <w:rFonts w:ascii="Courier New" w:hAnsi="Courier New" w:cs="Courier New" w:hint="default"/>
      <w:color w:val="000000"/>
    </w:rPr>
  </w:style>
  <w:style w:type="character" w:customStyle="1" w:styleId="CarCar23">
    <w:name w:val="Car Car23"/>
    <w:basedOn w:val="Fuentedeprrafopredeter"/>
    <w:rsid w:val="00B15F7D"/>
    <w:rPr>
      <w:rFonts w:ascii="Consolas" w:hAnsi="Consolas" w:cs="Consolas" w:hint="default"/>
    </w:rPr>
  </w:style>
  <w:style w:type="character" w:customStyle="1" w:styleId="ecx839002916-01022012">
    <w:name w:val="ecx839002916-01022012"/>
    <w:basedOn w:val="Fuentedeprrafopredeter"/>
    <w:uiPriority w:val="99"/>
    <w:rsid w:val="00B15F7D"/>
    <w:rPr>
      <w:rFonts w:ascii="Times New Roman" w:hAnsi="Times New Roman" w:cs="Times New Roman" w:hint="default"/>
    </w:rPr>
  </w:style>
  <w:style w:type="character" w:customStyle="1" w:styleId="CarCar64">
    <w:name w:val="Car Car64"/>
    <w:basedOn w:val="Fuentedeprrafopredeter"/>
    <w:uiPriority w:val="99"/>
    <w:rsid w:val="00B15F7D"/>
  </w:style>
  <w:style w:type="character" w:customStyle="1" w:styleId="CarCar83">
    <w:name w:val="Car Car83"/>
    <w:basedOn w:val="Fuentedeprrafopredeter"/>
    <w:uiPriority w:val="99"/>
    <w:rsid w:val="00B15F7D"/>
    <w:rPr>
      <w:b/>
      <w:bCs/>
    </w:rPr>
  </w:style>
  <w:style w:type="character" w:customStyle="1" w:styleId="CarCar1100">
    <w:name w:val="Car Car110"/>
    <w:basedOn w:val="Fuentedeprrafopredeter"/>
    <w:rsid w:val="00B15F7D"/>
  </w:style>
  <w:style w:type="character" w:customStyle="1" w:styleId="hoenzb">
    <w:name w:val="hoenzb"/>
    <w:basedOn w:val="Fuentedeprrafopredeter"/>
    <w:uiPriority w:val="99"/>
    <w:rsid w:val="00B15F7D"/>
    <w:rPr>
      <w:rFonts w:ascii="Times New Roman" w:hAnsi="Times New Roman" w:cs="Times New Roman" w:hint="default"/>
    </w:rPr>
  </w:style>
  <w:style w:type="character" w:customStyle="1" w:styleId="CarCar171">
    <w:name w:val="Car Car171"/>
    <w:basedOn w:val="Fuentedeprrafopredeter"/>
    <w:uiPriority w:val="99"/>
    <w:rsid w:val="00B15F7D"/>
  </w:style>
  <w:style w:type="character" w:customStyle="1" w:styleId="CarCar220">
    <w:name w:val="Car Car22"/>
    <w:basedOn w:val="Fuentedeprrafopredeter"/>
    <w:rsid w:val="00B15F7D"/>
    <w:rPr>
      <w:lang w:eastAsia="es-ES"/>
    </w:rPr>
  </w:style>
  <w:style w:type="character" w:customStyle="1" w:styleId="EstiloCorreo36">
    <w:name w:val="EstiloCorreo36"/>
    <w:basedOn w:val="Fuentedeprrafopredeter"/>
    <w:uiPriority w:val="99"/>
    <w:rsid w:val="00B15F7D"/>
    <w:rPr>
      <w:rFonts w:ascii="Vrinda" w:hAnsi="Vrinda" w:cs="Vrinda" w:hint="default"/>
      <w:color w:val="365F91"/>
    </w:rPr>
  </w:style>
  <w:style w:type="character" w:customStyle="1" w:styleId="EstiloCorreo37">
    <w:name w:val="EstiloCorreo37"/>
    <w:basedOn w:val="Fuentedeprrafopredeter"/>
    <w:uiPriority w:val="99"/>
    <w:rsid w:val="00B15F7D"/>
    <w:rPr>
      <w:rFonts w:ascii="Calibri" w:hAnsi="Calibri" w:cs="Calibri" w:hint="default"/>
      <w:color w:val="1F497D"/>
    </w:rPr>
  </w:style>
  <w:style w:type="character" w:customStyle="1" w:styleId="EstiloCorreo38">
    <w:name w:val="EstiloCorreo38"/>
    <w:basedOn w:val="Fuentedeprrafopredeter"/>
    <w:uiPriority w:val="99"/>
    <w:rsid w:val="00B15F7D"/>
    <w:rPr>
      <w:rFonts w:ascii="Calibri" w:hAnsi="Calibri" w:cs="Calibri" w:hint="default"/>
      <w:color w:val="1F497D"/>
    </w:rPr>
  </w:style>
  <w:style w:type="character" w:customStyle="1" w:styleId="EstiloCorreo39">
    <w:name w:val="EstiloCorreo39"/>
    <w:basedOn w:val="Fuentedeprrafopredeter"/>
    <w:uiPriority w:val="99"/>
    <w:rsid w:val="00B15F7D"/>
    <w:rPr>
      <w:rFonts w:ascii="Calibri" w:hAnsi="Calibri" w:cs="Calibri" w:hint="default"/>
      <w:color w:val="1F497D"/>
    </w:rPr>
  </w:style>
  <w:style w:type="character" w:customStyle="1" w:styleId="EstiloCorreo31">
    <w:name w:val="EstiloCorreo31"/>
    <w:basedOn w:val="Fuentedeprrafopredeter"/>
    <w:rsid w:val="00B15F7D"/>
    <w:rPr>
      <w:rFonts w:ascii="Arial" w:hAnsi="Arial" w:cs="Arial" w:hint="default"/>
      <w:color w:val="000080"/>
    </w:rPr>
  </w:style>
  <w:style w:type="character" w:customStyle="1" w:styleId="EnlacedeInternet">
    <w:name w:val="Enlace de Internet"/>
    <w:basedOn w:val="Fuentedeprrafopredeter"/>
    <w:rsid w:val="00B15F7D"/>
    <w:rPr>
      <w:color w:val="0563C1"/>
      <w:u w:val="single"/>
      <w:lang w:eastAsia="es-ES"/>
    </w:rPr>
  </w:style>
  <w:style w:type="character" w:customStyle="1" w:styleId="EstiloCorreo241">
    <w:name w:val="EstiloCorreo241"/>
    <w:basedOn w:val="Fuentedeprrafopredeter"/>
    <w:rsid w:val="00B15F7D"/>
    <w:rPr>
      <w:rFonts w:ascii="Arial" w:hAnsi="Arial" w:cs="Arial" w:hint="default"/>
      <w:color w:val="000080"/>
    </w:rPr>
  </w:style>
  <w:style w:type="character" w:customStyle="1" w:styleId="EstiloCorreo281">
    <w:name w:val="EstiloCorreo281"/>
    <w:basedOn w:val="Fuentedeprrafopredeter"/>
    <w:rsid w:val="00B15F7D"/>
    <w:rPr>
      <w:rFonts w:ascii="Arial" w:hAnsi="Arial" w:cs="Arial" w:hint="default"/>
      <w:color w:val="auto"/>
    </w:rPr>
  </w:style>
  <w:style w:type="character" w:customStyle="1" w:styleId="justificado">
    <w:name w:val="justificado"/>
    <w:basedOn w:val="Fuentedeprrafopredeter"/>
    <w:rsid w:val="00B15F7D"/>
  </w:style>
  <w:style w:type="character" w:customStyle="1" w:styleId="hscoswrapper">
    <w:name w:val="hs_cos_wrapper"/>
    <w:basedOn w:val="Fuentedeprrafopredeter"/>
    <w:rsid w:val="00B15F7D"/>
  </w:style>
  <w:style w:type="character" w:customStyle="1" w:styleId="estilocorreo276">
    <w:name w:val="estilocorreo276"/>
    <w:basedOn w:val="Fuentedeprrafopredeter"/>
    <w:rsid w:val="00B15F7D"/>
    <w:rPr>
      <w:rFonts w:ascii="Calibri" w:hAnsi="Calibri" w:cs="Calibri" w:hint="default"/>
      <w:color w:val="auto"/>
    </w:rPr>
  </w:style>
  <w:style w:type="character" w:customStyle="1" w:styleId="Refdenotaalfinal1">
    <w:name w:val="Ref. de nota al final1"/>
    <w:basedOn w:val="Fuentedeprrafopredeter"/>
    <w:rsid w:val="00B15F7D"/>
    <w:rPr>
      <w:rFonts w:ascii="Times New Roman" w:hAnsi="Times New Roman" w:cs="Times New Roman" w:hint="default"/>
      <w:vertAlign w:val="superscript"/>
    </w:rPr>
  </w:style>
  <w:style w:type="character" w:customStyle="1" w:styleId="Refdenotaalfinal2">
    <w:name w:val="Ref. de nota al final2"/>
    <w:basedOn w:val="Fuentedeprrafopredeter"/>
    <w:rsid w:val="00B15F7D"/>
    <w:rPr>
      <w:vertAlign w:val="superscript"/>
    </w:rPr>
  </w:style>
  <w:style w:type="character" w:customStyle="1" w:styleId="EstiloCorreo3591">
    <w:name w:val="EstiloCorreo3591"/>
    <w:basedOn w:val="Fuentedeprrafopredeter"/>
    <w:rsid w:val="00B15F7D"/>
    <w:rPr>
      <w:rFonts w:ascii="Calibri" w:hAnsi="Calibri" w:cs="Calibri" w:hint="default"/>
      <w:color w:val="auto"/>
    </w:rPr>
  </w:style>
  <w:style w:type="character" w:customStyle="1" w:styleId="EstiloCorreo357">
    <w:name w:val="EstiloCorreo357"/>
    <w:basedOn w:val="Fuentedeprrafopredeter"/>
    <w:rsid w:val="00B15F7D"/>
    <w:rPr>
      <w:rFonts w:ascii="Calibri" w:hAnsi="Calibri" w:cs="Calibri" w:hint="default"/>
      <w:color w:val="auto"/>
    </w:rPr>
  </w:style>
  <w:style w:type="character" w:customStyle="1" w:styleId="estilocorreo354">
    <w:name w:val="estilocorreo354"/>
    <w:basedOn w:val="Fuentedeprrafopredeter"/>
    <w:rsid w:val="00B15F7D"/>
    <w:rPr>
      <w:rFonts w:ascii="Calibri" w:hAnsi="Calibri" w:cs="Calibri" w:hint="default"/>
      <w:color w:val="auto"/>
    </w:rPr>
  </w:style>
  <w:style w:type="character" w:customStyle="1" w:styleId="EncabezadoCar2">
    <w:name w:val="Encabezado Car2"/>
    <w:aliases w:val="encabezado Car2"/>
    <w:basedOn w:val="Fuentedeprrafopredeter"/>
    <w:rsid w:val="00B15F7D"/>
    <w:rPr>
      <w:color w:val="000000"/>
    </w:rPr>
  </w:style>
  <w:style w:type="character" w:customStyle="1" w:styleId="rvts15">
    <w:name w:val="rvts15"/>
    <w:basedOn w:val="Fuentedeprrafopredeter"/>
    <w:rsid w:val="00B15F7D"/>
    <w:rPr>
      <w:i/>
      <w:iCs/>
      <w:color w:val="000000"/>
    </w:rPr>
  </w:style>
  <w:style w:type="character" w:customStyle="1" w:styleId="f11">
    <w:name w:val="f11"/>
    <w:basedOn w:val="Fuentedeprrafopredeter"/>
    <w:rsid w:val="00B15F7D"/>
    <w:rPr>
      <w:rFonts w:ascii="Times New Roman" w:hAnsi="Times New Roman" w:cs="Times New Roman" w:hint="default"/>
      <w:color w:val="000000"/>
    </w:rPr>
  </w:style>
  <w:style w:type="character" w:customStyle="1" w:styleId="EstiloCorreo2237">
    <w:name w:val="EstiloCorreo2237"/>
    <w:basedOn w:val="Fuentedeprrafopredeter"/>
    <w:rsid w:val="00B15F7D"/>
    <w:rPr>
      <w:rFonts w:ascii="Arial" w:hAnsi="Arial" w:cs="Arial" w:hint="default"/>
      <w:color w:val="auto"/>
    </w:rPr>
  </w:style>
  <w:style w:type="character" w:customStyle="1" w:styleId="highlightedtext1">
    <w:name w:val="highlightedtext1"/>
    <w:basedOn w:val="Fuentedeprrafopredeter"/>
    <w:rsid w:val="00B15F7D"/>
    <w:rPr>
      <w:shd w:val="clear" w:color="auto" w:fill="FFFF00"/>
    </w:rPr>
  </w:style>
  <w:style w:type="character" w:customStyle="1" w:styleId="CharacterStyle7">
    <w:name w:val="Character Style 7"/>
    <w:basedOn w:val="Fuentedeprrafopredeter"/>
    <w:uiPriority w:val="99"/>
    <w:rsid w:val="00B15F7D"/>
    <w:rPr>
      <w:b/>
      <w:bCs/>
      <w:color w:val="000000"/>
    </w:rPr>
  </w:style>
  <w:style w:type="character" w:customStyle="1" w:styleId="CharacterStyle80">
    <w:name w:val="Character Style 8"/>
    <w:basedOn w:val="Fuentedeprrafopredeter"/>
    <w:uiPriority w:val="99"/>
    <w:rsid w:val="00B15F7D"/>
  </w:style>
  <w:style w:type="character" w:customStyle="1" w:styleId="EstiloCorreo22641">
    <w:name w:val="EstiloCorreo22641"/>
    <w:basedOn w:val="Fuentedeprrafopredeter"/>
    <w:rsid w:val="00B15F7D"/>
    <w:rPr>
      <w:rFonts w:ascii="Times New Roman" w:hAnsi="Times New Roman" w:cs="Times New Roman" w:hint="default"/>
      <w:b w:val="0"/>
      <w:bCs w:val="0"/>
      <w:i w:val="0"/>
      <w:iCs w:val="0"/>
      <w:color w:val="auto"/>
    </w:rPr>
  </w:style>
  <w:style w:type="character" w:customStyle="1" w:styleId="TextonotapieCar2">
    <w:name w:val="Texto nota pie Car2"/>
    <w:basedOn w:val="Fuentedeprrafopredeter"/>
    <w:uiPriority w:val="99"/>
    <w:rsid w:val="00B15F7D"/>
    <w:rPr>
      <w:rFonts w:ascii="Calibri" w:hAnsi="Calibri" w:cs="Calibri" w:hint="default"/>
    </w:rPr>
  </w:style>
  <w:style w:type="character" w:customStyle="1" w:styleId="EstiloCorreo22661">
    <w:name w:val="EstiloCorreo22661"/>
    <w:basedOn w:val="Fuentedeprrafopredeter"/>
    <w:rsid w:val="00B15F7D"/>
    <w:rPr>
      <w:rFonts w:ascii="Calibri" w:hAnsi="Calibri" w:cs="Calibri" w:hint="default"/>
      <w:color w:val="1F497D"/>
    </w:rPr>
  </w:style>
  <w:style w:type="character" w:customStyle="1" w:styleId="WW8Num20z4">
    <w:name w:val="WW8Num20z4"/>
    <w:basedOn w:val="Fuentedeprrafopredeter"/>
    <w:qFormat/>
    <w:rsid w:val="00B15F7D"/>
  </w:style>
  <w:style w:type="character" w:customStyle="1" w:styleId="WW8Num20z5">
    <w:name w:val="WW8Num20z5"/>
    <w:basedOn w:val="Fuentedeprrafopredeter"/>
    <w:qFormat/>
    <w:rsid w:val="00B15F7D"/>
  </w:style>
  <w:style w:type="character" w:customStyle="1" w:styleId="WW8Num20z6">
    <w:name w:val="WW8Num20z6"/>
    <w:basedOn w:val="Fuentedeprrafopredeter"/>
    <w:qFormat/>
    <w:rsid w:val="00B15F7D"/>
  </w:style>
  <w:style w:type="character" w:customStyle="1" w:styleId="WW8Num20z7">
    <w:name w:val="WW8Num20z7"/>
    <w:basedOn w:val="Fuentedeprrafopredeter"/>
    <w:qFormat/>
    <w:rsid w:val="00B15F7D"/>
  </w:style>
  <w:style w:type="character" w:customStyle="1" w:styleId="WW8Num20z8">
    <w:name w:val="WW8Num20z8"/>
    <w:basedOn w:val="Fuentedeprrafopredeter"/>
    <w:qFormat/>
    <w:rsid w:val="00B15F7D"/>
  </w:style>
  <w:style w:type="character" w:customStyle="1" w:styleId="WW8Num22z4">
    <w:name w:val="WW8Num22z4"/>
    <w:basedOn w:val="Fuentedeprrafopredeter"/>
    <w:qFormat/>
    <w:rsid w:val="00B15F7D"/>
  </w:style>
  <w:style w:type="character" w:customStyle="1" w:styleId="WW8Num22z5">
    <w:name w:val="WW8Num22z5"/>
    <w:basedOn w:val="Fuentedeprrafopredeter"/>
    <w:qFormat/>
    <w:rsid w:val="00B15F7D"/>
  </w:style>
  <w:style w:type="character" w:customStyle="1" w:styleId="WW8Num22z6">
    <w:name w:val="WW8Num22z6"/>
    <w:basedOn w:val="Fuentedeprrafopredeter"/>
    <w:qFormat/>
    <w:rsid w:val="00B15F7D"/>
  </w:style>
  <w:style w:type="character" w:customStyle="1" w:styleId="WW8Num22z7">
    <w:name w:val="WW8Num22z7"/>
    <w:basedOn w:val="Fuentedeprrafopredeter"/>
    <w:qFormat/>
    <w:rsid w:val="00B15F7D"/>
  </w:style>
  <w:style w:type="character" w:customStyle="1" w:styleId="WW8Num22z8">
    <w:name w:val="WW8Num22z8"/>
    <w:basedOn w:val="Fuentedeprrafopredeter"/>
    <w:qFormat/>
    <w:rsid w:val="00B15F7D"/>
  </w:style>
  <w:style w:type="character" w:customStyle="1" w:styleId="WW8Num25z20">
    <w:name w:val="WW8Num25z2"/>
    <w:basedOn w:val="Fuentedeprrafopredeter"/>
    <w:qFormat/>
    <w:rsid w:val="00B15F7D"/>
  </w:style>
  <w:style w:type="character" w:customStyle="1" w:styleId="WW8Num25z4">
    <w:name w:val="WW8Num25z4"/>
    <w:basedOn w:val="Fuentedeprrafopredeter"/>
    <w:qFormat/>
    <w:rsid w:val="00B15F7D"/>
  </w:style>
  <w:style w:type="character" w:customStyle="1" w:styleId="WW8Num25z5">
    <w:name w:val="WW8Num25z5"/>
    <w:basedOn w:val="Fuentedeprrafopredeter"/>
    <w:qFormat/>
    <w:rsid w:val="00B15F7D"/>
  </w:style>
  <w:style w:type="character" w:customStyle="1" w:styleId="WW8Num25z6">
    <w:name w:val="WW8Num25z6"/>
    <w:basedOn w:val="Fuentedeprrafopredeter"/>
    <w:qFormat/>
    <w:rsid w:val="00B15F7D"/>
  </w:style>
  <w:style w:type="character" w:customStyle="1" w:styleId="WW8Num25z7">
    <w:name w:val="WW8Num25z7"/>
    <w:basedOn w:val="Fuentedeprrafopredeter"/>
    <w:qFormat/>
    <w:rsid w:val="00B15F7D"/>
  </w:style>
  <w:style w:type="character" w:customStyle="1" w:styleId="WW8Num25z8">
    <w:name w:val="WW8Num25z8"/>
    <w:basedOn w:val="Fuentedeprrafopredeter"/>
    <w:qFormat/>
    <w:rsid w:val="00B15F7D"/>
  </w:style>
  <w:style w:type="character" w:customStyle="1" w:styleId="WW8Num30z4">
    <w:name w:val="WW8Num30z4"/>
    <w:basedOn w:val="Fuentedeprrafopredeter"/>
    <w:qFormat/>
    <w:rsid w:val="00B15F7D"/>
  </w:style>
  <w:style w:type="character" w:customStyle="1" w:styleId="WW8Num30z5">
    <w:name w:val="WW8Num30z5"/>
    <w:basedOn w:val="Fuentedeprrafopredeter"/>
    <w:qFormat/>
    <w:rsid w:val="00B15F7D"/>
  </w:style>
  <w:style w:type="character" w:customStyle="1" w:styleId="WW8Num30z6">
    <w:name w:val="WW8Num30z6"/>
    <w:basedOn w:val="Fuentedeprrafopredeter"/>
    <w:qFormat/>
    <w:rsid w:val="00B15F7D"/>
  </w:style>
  <w:style w:type="character" w:customStyle="1" w:styleId="WW8Num30z7">
    <w:name w:val="WW8Num30z7"/>
    <w:basedOn w:val="Fuentedeprrafopredeter"/>
    <w:qFormat/>
    <w:rsid w:val="00B15F7D"/>
  </w:style>
  <w:style w:type="character" w:customStyle="1" w:styleId="WW8Num30z8">
    <w:name w:val="WW8Num30z8"/>
    <w:basedOn w:val="Fuentedeprrafopredeter"/>
    <w:qFormat/>
    <w:rsid w:val="00B15F7D"/>
  </w:style>
  <w:style w:type="character" w:customStyle="1" w:styleId="WW8Num31z3">
    <w:name w:val="WW8Num31z3"/>
    <w:basedOn w:val="Fuentedeprrafopredeter"/>
    <w:qFormat/>
    <w:rsid w:val="00B15F7D"/>
  </w:style>
  <w:style w:type="character" w:customStyle="1" w:styleId="WW8Num31z4">
    <w:name w:val="WW8Num31z4"/>
    <w:basedOn w:val="Fuentedeprrafopredeter"/>
    <w:qFormat/>
    <w:rsid w:val="00B15F7D"/>
  </w:style>
  <w:style w:type="character" w:customStyle="1" w:styleId="WW8Num31z5">
    <w:name w:val="WW8Num31z5"/>
    <w:basedOn w:val="Fuentedeprrafopredeter"/>
    <w:qFormat/>
    <w:rsid w:val="00B15F7D"/>
  </w:style>
  <w:style w:type="character" w:customStyle="1" w:styleId="WW8Num31z6">
    <w:name w:val="WW8Num31z6"/>
    <w:basedOn w:val="Fuentedeprrafopredeter"/>
    <w:qFormat/>
    <w:rsid w:val="00B15F7D"/>
  </w:style>
  <w:style w:type="character" w:customStyle="1" w:styleId="WW8Num31z7">
    <w:name w:val="WW8Num31z7"/>
    <w:basedOn w:val="Fuentedeprrafopredeter"/>
    <w:qFormat/>
    <w:rsid w:val="00B15F7D"/>
  </w:style>
  <w:style w:type="character" w:customStyle="1" w:styleId="WW8Num31z8">
    <w:name w:val="WW8Num31z8"/>
    <w:basedOn w:val="Fuentedeprrafopredeter"/>
    <w:qFormat/>
    <w:rsid w:val="00B15F7D"/>
  </w:style>
  <w:style w:type="character" w:customStyle="1" w:styleId="WW8Num32z1">
    <w:name w:val="WW8Num32z1"/>
    <w:basedOn w:val="Fuentedeprrafopredeter"/>
    <w:qFormat/>
    <w:rsid w:val="00B15F7D"/>
  </w:style>
  <w:style w:type="character" w:customStyle="1" w:styleId="WW8Num32z2">
    <w:name w:val="WW8Num32z2"/>
    <w:basedOn w:val="Fuentedeprrafopredeter"/>
    <w:qFormat/>
    <w:rsid w:val="00B15F7D"/>
  </w:style>
  <w:style w:type="character" w:customStyle="1" w:styleId="WW8Num32z3">
    <w:name w:val="WW8Num32z3"/>
    <w:basedOn w:val="Fuentedeprrafopredeter"/>
    <w:qFormat/>
    <w:rsid w:val="00B15F7D"/>
  </w:style>
  <w:style w:type="character" w:customStyle="1" w:styleId="WW8Num32z4">
    <w:name w:val="WW8Num32z4"/>
    <w:basedOn w:val="Fuentedeprrafopredeter"/>
    <w:qFormat/>
    <w:rsid w:val="00B15F7D"/>
  </w:style>
  <w:style w:type="character" w:customStyle="1" w:styleId="WW8Num32z5">
    <w:name w:val="WW8Num32z5"/>
    <w:basedOn w:val="Fuentedeprrafopredeter"/>
    <w:qFormat/>
    <w:rsid w:val="00B15F7D"/>
  </w:style>
  <w:style w:type="character" w:customStyle="1" w:styleId="WW8Num32z6">
    <w:name w:val="WW8Num32z6"/>
    <w:basedOn w:val="Fuentedeprrafopredeter"/>
    <w:qFormat/>
    <w:rsid w:val="00B15F7D"/>
  </w:style>
  <w:style w:type="character" w:customStyle="1" w:styleId="WW8Num32z7">
    <w:name w:val="WW8Num32z7"/>
    <w:basedOn w:val="Fuentedeprrafopredeter"/>
    <w:qFormat/>
    <w:rsid w:val="00B15F7D"/>
  </w:style>
  <w:style w:type="character" w:customStyle="1" w:styleId="WW8Num32z8">
    <w:name w:val="WW8Num32z8"/>
    <w:basedOn w:val="Fuentedeprrafopredeter"/>
    <w:qFormat/>
    <w:rsid w:val="00B15F7D"/>
  </w:style>
  <w:style w:type="character" w:customStyle="1" w:styleId="TextosinformatoCar1">
    <w:name w:val="Texto sin formato Car1"/>
    <w:basedOn w:val="Fuentedeprrafopredeter"/>
    <w:uiPriority w:val="99"/>
    <w:rsid w:val="00B15F7D"/>
    <w:rPr>
      <w:rFonts w:ascii="Consolas" w:hAnsi="Consolas" w:cs="Consolas" w:hint="default"/>
    </w:rPr>
  </w:style>
  <w:style w:type="character" w:customStyle="1" w:styleId="WW8Num28z4">
    <w:name w:val="WW8Num28z4"/>
    <w:basedOn w:val="Fuentedeprrafopredeter"/>
    <w:rsid w:val="00B15F7D"/>
  </w:style>
  <w:style w:type="character" w:customStyle="1" w:styleId="WW8Num28z5">
    <w:name w:val="WW8Num28z5"/>
    <w:basedOn w:val="Fuentedeprrafopredeter"/>
    <w:rsid w:val="00B15F7D"/>
  </w:style>
  <w:style w:type="character" w:customStyle="1" w:styleId="WW8Num28z6">
    <w:name w:val="WW8Num28z6"/>
    <w:basedOn w:val="Fuentedeprrafopredeter"/>
    <w:rsid w:val="00B15F7D"/>
  </w:style>
  <w:style w:type="character" w:customStyle="1" w:styleId="WW8Num28z7">
    <w:name w:val="WW8Num28z7"/>
    <w:basedOn w:val="Fuentedeprrafopredeter"/>
    <w:rsid w:val="00B15F7D"/>
  </w:style>
  <w:style w:type="character" w:customStyle="1" w:styleId="WW8Num28z8">
    <w:name w:val="WW8Num28z8"/>
    <w:basedOn w:val="Fuentedeprrafopredeter"/>
    <w:rsid w:val="00B15F7D"/>
  </w:style>
  <w:style w:type="character" w:customStyle="1" w:styleId="WW8Num39z10">
    <w:name w:val="WW8Num39z1"/>
    <w:basedOn w:val="Fuentedeprrafopredeter"/>
    <w:qFormat/>
    <w:rsid w:val="00B15F7D"/>
  </w:style>
  <w:style w:type="character" w:customStyle="1" w:styleId="WW8Num39z30">
    <w:name w:val="WW8Num39z3"/>
    <w:basedOn w:val="Fuentedeprrafopredeter"/>
    <w:qFormat/>
    <w:rsid w:val="00B15F7D"/>
  </w:style>
  <w:style w:type="character" w:customStyle="1" w:styleId="WW8Num39z4">
    <w:name w:val="WW8Num39z4"/>
    <w:basedOn w:val="Fuentedeprrafopredeter"/>
    <w:qFormat/>
    <w:rsid w:val="00B15F7D"/>
  </w:style>
  <w:style w:type="character" w:customStyle="1" w:styleId="WW8Num39z5">
    <w:name w:val="WW8Num39z5"/>
    <w:basedOn w:val="Fuentedeprrafopredeter"/>
    <w:qFormat/>
    <w:rsid w:val="00B15F7D"/>
  </w:style>
  <w:style w:type="character" w:customStyle="1" w:styleId="WW8Num39z6">
    <w:name w:val="WW8Num39z6"/>
    <w:basedOn w:val="Fuentedeprrafopredeter"/>
    <w:qFormat/>
    <w:rsid w:val="00B15F7D"/>
  </w:style>
  <w:style w:type="character" w:customStyle="1" w:styleId="WW8Num39z7">
    <w:name w:val="WW8Num39z7"/>
    <w:basedOn w:val="Fuentedeprrafopredeter"/>
    <w:qFormat/>
    <w:rsid w:val="00B15F7D"/>
  </w:style>
  <w:style w:type="character" w:customStyle="1" w:styleId="WW8Num39z8">
    <w:name w:val="WW8Num39z8"/>
    <w:basedOn w:val="Fuentedeprrafopredeter"/>
    <w:qFormat/>
    <w:rsid w:val="00B15F7D"/>
  </w:style>
  <w:style w:type="character" w:customStyle="1" w:styleId="WW8Num40z2">
    <w:name w:val="WW8Num40z2"/>
    <w:basedOn w:val="Fuentedeprrafopredeter"/>
    <w:qFormat/>
    <w:rsid w:val="00B15F7D"/>
  </w:style>
  <w:style w:type="character" w:customStyle="1" w:styleId="WW8Num40z3">
    <w:name w:val="WW8Num40z3"/>
    <w:basedOn w:val="Fuentedeprrafopredeter"/>
    <w:qFormat/>
    <w:rsid w:val="00B15F7D"/>
  </w:style>
  <w:style w:type="character" w:customStyle="1" w:styleId="WW8Num40z4">
    <w:name w:val="WW8Num40z4"/>
    <w:basedOn w:val="Fuentedeprrafopredeter"/>
    <w:qFormat/>
    <w:rsid w:val="00B15F7D"/>
  </w:style>
  <w:style w:type="character" w:customStyle="1" w:styleId="WW8Num40z5">
    <w:name w:val="WW8Num40z5"/>
    <w:basedOn w:val="Fuentedeprrafopredeter"/>
    <w:qFormat/>
    <w:rsid w:val="00B15F7D"/>
  </w:style>
  <w:style w:type="character" w:customStyle="1" w:styleId="WW8Num40z6">
    <w:name w:val="WW8Num40z6"/>
    <w:basedOn w:val="Fuentedeprrafopredeter"/>
    <w:qFormat/>
    <w:rsid w:val="00B15F7D"/>
  </w:style>
  <w:style w:type="character" w:customStyle="1" w:styleId="WW8Num40z7">
    <w:name w:val="WW8Num40z7"/>
    <w:basedOn w:val="Fuentedeprrafopredeter"/>
    <w:qFormat/>
    <w:rsid w:val="00B15F7D"/>
  </w:style>
  <w:style w:type="character" w:customStyle="1" w:styleId="WW8Num40z8">
    <w:name w:val="WW8Num40z8"/>
    <w:basedOn w:val="Fuentedeprrafopredeter"/>
    <w:qFormat/>
    <w:rsid w:val="00B15F7D"/>
  </w:style>
  <w:style w:type="character" w:customStyle="1" w:styleId="Refdecomentario2">
    <w:name w:val="Ref. de comentario2"/>
    <w:basedOn w:val="Fuentedeprrafopredeter"/>
    <w:qFormat/>
    <w:rsid w:val="00B15F7D"/>
  </w:style>
  <w:style w:type="character" w:customStyle="1" w:styleId="Nmerodepgina1">
    <w:name w:val="Número de página1"/>
    <w:basedOn w:val="Fuentedeprrafopredeter"/>
    <w:rsid w:val="00B15F7D"/>
    <w:rPr>
      <w:rFonts w:ascii="Times New Roman" w:hAnsi="Times New Roman" w:cs="Times New Roman" w:hint="default"/>
    </w:rPr>
  </w:style>
  <w:style w:type="character" w:customStyle="1" w:styleId="Heading3Char">
    <w:name w:val="Heading 3 Char"/>
    <w:basedOn w:val="Fuentedeprrafopredeter"/>
    <w:qFormat/>
    <w:rsid w:val="00B15F7D"/>
    <w:rPr>
      <w:rFonts w:ascii="Book Antiqua" w:hAnsi="Book Antiqua" w:hint="default"/>
      <w:b/>
      <w:bCs/>
      <w:i/>
      <w:iCs/>
      <w:u w:val="single"/>
    </w:rPr>
  </w:style>
  <w:style w:type="character" w:customStyle="1" w:styleId="ListLabel1">
    <w:name w:val="ListLabel 1"/>
    <w:basedOn w:val="Fuentedeprrafopredeter"/>
    <w:qFormat/>
    <w:rsid w:val="00B15F7D"/>
    <w:rPr>
      <w:rFonts w:ascii="Times New Roman" w:hAnsi="Times New Roman" w:cs="Times New Roman" w:hint="default"/>
    </w:rPr>
  </w:style>
  <w:style w:type="character" w:customStyle="1" w:styleId="ListLabel2">
    <w:name w:val="ListLabel 2"/>
    <w:basedOn w:val="Fuentedeprrafopredeter"/>
    <w:qFormat/>
    <w:rsid w:val="00B15F7D"/>
    <w:rPr>
      <w:rFonts w:ascii="Times New Roman" w:hAnsi="Times New Roman" w:cs="Times New Roman" w:hint="default"/>
    </w:rPr>
  </w:style>
  <w:style w:type="character" w:customStyle="1" w:styleId="ListLabel3">
    <w:name w:val="ListLabel 3"/>
    <w:basedOn w:val="Fuentedeprrafopredeter"/>
    <w:uiPriority w:val="99"/>
    <w:qFormat/>
    <w:rsid w:val="00B15F7D"/>
    <w:rPr>
      <w:rFonts w:ascii="Times New Roman" w:hAnsi="Times New Roman" w:cs="Times New Roman" w:hint="default"/>
    </w:rPr>
  </w:style>
  <w:style w:type="character" w:customStyle="1" w:styleId="ListLabel4">
    <w:name w:val="ListLabel 4"/>
    <w:basedOn w:val="Fuentedeprrafopredeter"/>
    <w:uiPriority w:val="99"/>
    <w:qFormat/>
    <w:rsid w:val="00B15F7D"/>
    <w:rPr>
      <w:rFonts w:ascii="Times New Roman" w:hAnsi="Times New Roman" w:cs="Times New Roman" w:hint="default"/>
    </w:rPr>
  </w:style>
  <w:style w:type="character" w:customStyle="1" w:styleId="ListLabel5">
    <w:name w:val="ListLabel 5"/>
    <w:basedOn w:val="Fuentedeprrafopredeter"/>
    <w:uiPriority w:val="99"/>
    <w:qFormat/>
    <w:rsid w:val="00B15F7D"/>
    <w:rPr>
      <w:rFonts w:ascii="Times New Roman" w:hAnsi="Times New Roman" w:cs="Times New Roman" w:hint="default"/>
    </w:rPr>
  </w:style>
  <w:style w:type="character" w:customStyle="1" w:styleId="ListLabel6">
    <w:name w:val="ListLabel 6"/>
    <w:basedOn w:val="Fuentedeprrafopredeter"/>
    <w:uiPriority w:val="99"/>
    <w:qFormat/>
    <w:rsid w:val="00B15F7D"/>
    <w:rPr>
      <w:rFonts w:ascii="Times New Roman" w:hAnsi="Times New Roman" w:cs="Times New Roman" w:hint="default"/>
    </w:rPr>
  </w:style>
  <w:style w:type="character" w:customStyle="1" w:styleId="ListLabel7">
    <w:name w:val="ListLabel 7"/>
    <w:basedOn w:val="Fuentedeprrafopredeter"/>
    <w:uiPriority w:val="99"/>
    <w:qFormat/>
    <w:rsid w:val="00B15F7D"/>
    <w:rPr>
      <w:rFonts w:ascii="Times New Roman" w:hAnsi="Times New Roman" w:cs="Times New Roman" w:hint="default"/>
    </w:rPr>
  </w:style>
  <w:style w:type="character" w:customStyle="1" w:styleId="ListLabel8">
    <w:name w:val="ListLabel 8"/>
    <w:basedOn w:val="Fuentedeprrafopredeter"/>
    <w:uiPriority w:val="99"/>
    <w:qFormat/>
    <w:rsid w:val="00B15F7D"/>
    <w:rPr>
      <w:rFonts w:ascii="Times New Roman" w:hAnsi="Times New Roman" w:cs="Times New Roman" w:hint="default"/>
    </w:rPr>
  </w:style>
  <w:style w:type="character" w:customStyle="1" w:styleId="ListLabel9">
    <w:name w:val="ListLabel 9"/>
    <w:basedOn w:val="Fuentedeprrafopredeter"/>
    <w:uiPriority w:val="99"/>
    <w:qFormat/>
    <w:rsid w:val="00B15F7D"/>
    <w:rPr>
      <w:rFonts w:ascii="Times New Roman" w:hAnsi="Times New Roman" w:cs="Times New Roman" w:hint="default"/>
    </w:rPr>
  </w:style>
  <w:style w:type="character" w:customStyle="1" w:styleId="ListParagraphChar1">
    <w:name w:val="List Paragraph Char1"/>
    <w:aliases w:val="3 Char"/>
    <w:basedOn w:val="Fuentedeprrafopredeter"/>
    <w:rsid w:val="00B15F7D"/>
    <w:rPr>
      <w:rFonts w:ascii="Calibri" w:hAnsi="Calibri" w:cs="Calibri" w:hint="default"/>
      <w:lang w:eastAsia="zh-CN"/>
    </w:rPr>
  </w:style>
  <w:style w:type="character" w:customStyle="1" w:styleId="Cuerpodeltexto0">
    <w:name w:val="Cuerpo del texto_"/>
    <w:basedOn w:val="Fuentedeprrafopredeter"/>
    <w:rsid w:val="00B15F7D"/>
    <w:rPr>
      <w:rFonts w:ascii="Microsoft Sans Serif" w:hAnsi="Microsoft Sans Serif" w:cs="Microsoft Sans Serif" w:hint="default"/>
      <w:shd w:val="clear" w:color="auto" w:fill="FFFFFF"/>
    </w:rPr>
  </w:style>
  <w:style w:type="character" w:customStyle="1" w:styleId="Cuerpodeltexto20">
    <w:name w:val="Cuerpo del texto (2)_"/>
    <w:basedOn w:val="Fuentedeprrafopredeter"/>
    <w:rsid w:val="00B15F7D"/>
    <w:rPr>
      <w:rFonts w:ascii="Microsoft Sans Serif" w:hAnsi="Microsoft Sans Serif" w:cs="Microsoft Sans Serif" w:hint="default"/>
      <w:shd w:val="clear" w:color="auto" w:fill="FFFFFF"/>
    </w:rPr>
  </w:style>
  <w:style w:type="character" w:customStyle="1" w:styleId="highlightedtext">
    <w:name w:val="highlightedtext"/>
    <w:basedOn w:val="Fuentedeprrafopredeter"/>
    <w:rsid w:val="00B15F7D"/>
  </w:style>
  <w:style w:type="character" w:customStyle="1" w:styleId="Fuentedeprrafopredeter8">
    <w:name w:val="Fuente de párrafo predeter.8"/>
    <w:basedOn w:val="Fuentedeprrafopredeter"/>
    <w:rsid w:val="00B15F7D"/>
  </w:style>
  <w:style w:type="character" w:customStyle="1" w:styleId="st1">
    <w:name w:val="st1"/>
    <w:basedOn w:val="Fuentedeprrafopredeter"/>
    <w:rsid w:val="00B15F7D"/>
  </w:style>
  <w:style w:type="character" w:customStyle="1" w:styleId="gmail-m384306313266177511gmail-il">
    <w:name w:val="gmail-m_384306313266177511gmail-il"/>
    <w:basedOn w:val="Fuentedeprrafopredeter"/>
    <w:rsid w:val="00B15F7D"/>
  </w:style>
  <w:style w:type="character" w:customStyle="1" w:styleId="EstiloCorreo2369">
    <w:name w:val="EstiloCorreo2369"/>
    <w:basedOn w:val="Fuentedeprrafopredeter"/>
    <w:rsid w:val="00B15F7D"/>
    <w:rPr>
      <w:rFonts w:ascii="Arial" w:hAnsi="Arial" w:cs="Arial" w:hint="default"/>
      <w:color w:val="auto"/>
    </w:rPr>
  </w:style>
  <w:style w:type="character" w:customStyle="1" w:styleId="WW8NumSt8z0">
    <w:name w:val="WW8NumSt8z0"/>
    <w:basedOn w:val="Fuentedeprrafopredeter"/>
    <w:rsid w:val="00B15F7D"/>
    <w:rPr>
      <w:rFonts w:ascii="Symbol" w:hAnsi="Symbol" w:hint="default"/>
    </w:rPr>
  </w:style>
  <w:style w:type="character" w:customStyle="1" w:styleId="estilocorreo300">
    <w:name w:val="estilocorreo30"/>
    <w:basedOn w:val="Fuentedeprrafopredeter"/>
    <w:rsid w:val="00B15F7D"/>
    <w:rPr>
      <w:rFonts w:ascii="Arial" w:hAnsi="Arial" w:cs="Arial" w:hint="default"/>
      <w:color w:val="000080"/>
    </w:rPr>
  </w:style>
  <w:style w:type="character" w:customStyle="1" w:styleId="go">
    <w:name w:val="go"/>
    <w:basedOn w:val="Fuentedeprrafopredeter"/>
    <w:rsid w:val="00B15F7D"/>
    <w:rPr>
      <w:rFonts w:ascii="Times New Roman" w:hAnsi="Times New Roman" w:cs="Times New Roman" w:hint="default"/>
    </w:rPr>
  </w:style>
  <w:style w:type="character" w:customStyle="1" w:styleId="WW-Destacado">
    <w:name w:val="WW-Destacado"/>
    <w:basedOn w:val="Fuentedeprrafopredeter"/>
    <w:rsid w:val="00B15F7D"/>
    <w:rPr>
      <w:i/>
      <w:iCs/>
    </w:rPr>
  </w:style>
  <w:style w:type="character" w:customStyle="1" w:styleId="estilocorreo28">
    <w:name w:val="estilocorreo28"/>
    <w:basedOn w:val="Fuentedeprrafopredeter"/>
    <w:rsid w:val="00B15F7D"/>
    <w:rPr>
      <w:color w:val="000000"/>
    </w:rPr>
  </w:style>
  <w:style w:type="character" w:customStyle="1" w:styleId="listparagraphchar0">
    <w:name w:val="listparagraphchar"/>
    <w:basedOn w:val="Fuentedeprrafopredeter"/>
    <w:rsid w:val="00B15F7D"/>
    <w:rPr>
      <w:rFonts w:ascii="Calibri" w:hAnsi="Calibri" w:cs="Calibri" w:hint="default"/>
    </w:rPr>
  </w:style>
  <w:style w:type="character" w:customStyle="1" w:styleId="footnotetextchar">
    <w:name w:val="footnotetextchar"/>
    <w:basedOn w:val="Fuentedeprrafopredeter"/>
    <w:rsid w:val="00B15F7D"/>
    <w:rPr>
      <w:rFonts w:ascii="Times New Roman" w:hAnsi="Times New Roman" w:cs="Times New Roman" w:hint="default"/>
    </w:rPr>
  </w:style>
  <w:style w:type="character" w:customStyle="1" w:styleId="ecxestilo41">
    <w:name w:val="ecxestilo41"/>
    <w:basedOn w:val="Fuentedeprrafopredeter"/>
    <w:rsid w:val="00B15F7D"/>
    <w:rPr>
      <w:rFonts w:ascii="Times New Roman" w:hAnsi="Times New Roman" w:cs="Times New Roman" w:hint="default"/>
    </w:rPr>
  </w:style>
  <w:style w:type="character" w:customStyle="1" w:styleId="characterstyle20">
    <w:name w:val="characterstyle2"/>
    <w:basedOn w:val="Fuentedeprrafopredeter"/>
    <w:rsid w:val="00B15F7D"/>
    <w:rPr>
      <w:b/>
      <w:bCs/>
    </w:rPr>
  </w:style>
  <w:style w:type="character" w:customStyle="1" w:styleId="encabezadocarcar20">
    <w:name w:val="encabezadocarcar2"/>
    <w:basedOn w:val="Fuentedeprrafopredeter"/>
    <w:rsid w:val="00B15F7D"/>
    <w:rPr>
      <w:rFonts w:ascii="MS Sans Serif" w:hAnsi="MS Sans Serif" w:hint="default"/>
    </w:rPr>
  </w:style>
  <w:style w:type="character" w:customStyle="1" w:styleId="carcar201">
    <w:name w:val="carcar20"/>
    <w:basedOn w:val="Fuentedeprrafopredeter"/>
    <w:rsid w:val="00B15F7D"/>
    <w:rPr>
      <w:rFonts w:ascii="Palatino Linotype" w:hAnsi="Palatino Linotype" w:hint="default"/>
      <w:color w:val="002060"/>
    </w:rPr>
  </w:style>
  <w:style w:type="character" w:customStyle="1" w:styleId="carcar80">
    <w:name w:val="carcar8"/>
    <w:basedOn w:val="Fuentedeprrafopredeter"/>
    <w:rsid w:val="00B15F7D"/>
    <w:rPr>
      <w:rFonts w:ascii="Arial" w:hAnsi="Arial" w:cs="Arial" w:hint="default"/>
      <w:i/>
      <w:iCs/>
    </w:rPr>
  </w:style>
  <w:style w:type="character" w:customStyle="1" w:styleId="carcar70">
    <w:name w:val="carcar7"/>
    <w:basedOn w:val="Fuentedeprrafopredeter"/>
    <w:rsid w:val="00B15F7D"/>
    <w:rPr>
      <w:rFonts w:ascii="Arial" w:hAnsi="Arial" w:cs="Arial" w:hint="default"/>
      <w:b/>
      <w:bCs/>
      <w:i/>
      <w:iCs/>
    </w:rPr>
  </w:style>
  <w:style w:type="character" w:customStyle="1" w:styleId="characterstyle40">
    <w:name w:val="characterstyle40"/>
    <w:basedOn w:val="Fuentedeprrafopredeter"/>
    <w:rsid w:val="00B15F7D"/>
    <w:rPr>
      <w:rFonts w:ascii="Tahoma" w:hAnsi="Tahoma" w:cs="Tahoma" w:hint="default"/>
    </w:rPr>
  </w:style>
  <w:style w:type="character" w:customStyle="1" w:styleId="characterstyle500">
    <w:name w:val="characterstyle50"/>
    <w:basedOn w:val="Fuentedeprrafopredeter"/>
    <w:rsid w:val="00B15F7D"/>
    <w:rPr>
      <w:color w:val="191A17"/>
    </w:rPr>
  </w:style>
  <w:style w:type="character" w:customStyle="1" w:styleId="characterstyle100">
    <w:name w:val="characterstyle100"/>
    <w:basedOn w:val="Fuentedeprrafopredeter"/>
    <w:rsid w:val="00B15F7D"/>
    <w:rPr>
      <w:rFonts w:ascii="Verdana" w:hAnsi="Verdana" w:hint="default"/>
    </w:rPr>
  </w:style>
  <w:style w:type="character" w:customStyle="1" w:styleId="carcar210">
    <w:name w:val="carcar210"/>
    <w:basedOn w:val="Fuentedeprrafopredeter"/>
    <w:rsid w:val="00B15F7D"/>
    <w:rPr>
      <w:rFonts w:ascii="MS Sans Serif" w:hAnsi="MS Sans Serif" w:hint="default"/>
    </w:rPr>
  </w:style>
  <w:style w:type="character" w:customStyle="1" w:styleId="fontstyle12">
    <w:name w:val="fontstyle12"/>
    <w:basedOn w:val="Fuentedeprrafopredeter"/>
    <w:rsid w:val="00B15F7D"/>
    <w:rPr>
      <w:rFonts w:ascii="Bookman Old Style" w:hAnsi="Bookman Old Style" w:hint="default"/>
    </w:rPr>
  </w:style>
  <w:style w:type="character" w:customStyle="1" w:styleId="amadriz">
    <w:name w:val="amadriz"/>
    <w:basedOn w:val="Fuentedeprrafopredeter"/>
    <w:rsid w:val="00B15F7D"/>
    <w:rPr>
      <w:rFonts w:ascii="Book Antiqua" w:hAnsi="Book Antiqua" w:hint="default"/>
      <w:b w:val="0"/>
      <w:bCs w:val="0"/>
      <w:i w:val="0"/>
      <w:iCs w:val="0"/>
      <w:strike w:val="0"/>
      <w:dstrike w:val="0"/>
      <w:color w:val="auto"/>
      <w:u w:val="none"/>
      <w:effect w:val="none"/>
    </w:rPr>
  </w:style>
  <w:style w:type="character" w:customStyle="1" w:styleId="characterstyle41">
    <w:name w:val="characterstyle4"/>
    <w:basedOn w:val="Fuentedeprrafopredeter"/>
    <w:rsid w:val="00B15F7D"/>
    <w:rPr>
      <w:rFonts w:ascii="Tahoma" w:hAnsi="Tahoma" w:cs="Tahoma" w:hint="default"/>
    </w:rPr>
  </w:style>
  <w:style w:type="character" w:customStyle="1" w:styleId="characterstyle10">
    <w:name w:val="characterstyle1"/>
    <w:basedOn w:val="Fuentedeprrafopredeter"/>
    <w:rsid w:val="00B15F7D"/>
    <w:rPr>
      <w:b/>
      <w:bCs/>
    </w:rPr>
  </w:style>
  <w:style w:type="character" w:customStyle="1" w:styleId="characterstyle101">
    <w:name w:val="characterstyle10"/>
    <w:basedOn w:val="Fuentedeprrafopredeter"/>
    <w:rsid w:val="00B15F7D"/>
    <w:rPr>
      <w:rFonts w:ascii="Verdana" w:hAnsi="Verdana" w:hint="default"/>
    </w:rPr>
  </w:style>
  <w:style w:type="character" w:customStyle="1" w:styleId="NormalWebChar">
    <w:name w:val="Normal (Web) Char"/>
    <w:basedOn w:val="Fuentedeprrafopredeter"/>
    <w:rsid w:val="00B15F7D"/>
  </w:style>
  <w:style w:type="character" w:customStyle="1" w:styleId="lchaves">
    <w:name w:val="lchaves"/>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mediumtext">
    <w:name w:val="mediumtext"/>
    <w:basedOn w:val="Fuentedeprrafopredeter"/>
    <w:rsid w:val="00B15F7D"/>
  </w:style>
  <w:style w:type="character" w:customStyle="1" w:styleId="eacep">
    <w:name w:val="eacep"/>
    <w:basedOn w:val="Fuentedeprrafopredeter"/>
    <w:rsid w:val="00B15F7D"/>
  </w:style>
  <w:style w:type="character" w:customStyle="1" w:styleId="style481">
    <w:name w:val="style481"/>
    <w:basedOn w:val="Fuentedeprrafopredeter"/>
    <w:rsid w:val="00B15F7D"/>
    <w:rPr>
      <w:rFonts w:ascii="Times New Roman" w:hAnsi="Times New Roman" w:cs="Times New Roman" w:hint="default"/>
      <w:color w:val="0000FF"/>
    </w:rPr>
  </w:style>
  <w:style w:type="character" w:customStyle="1" w:styleId="CarCar24">
    <w:name w:val="Car Car24"/>
    <w:basedOn w:val="Fuentedeprrafopredeter"/>
    <w:rsid w:val="00B15F7D"/>
    <w:rPr>
      <w:rFonts w:ascii="Arial" w:hAnsi="Arial" w:cs="Arial" w:hint="default"/>
      <w:b/>
      <w:bCs/>
      <w:i/>
      <w:iCs/>
    </w:rPr>
  </w:style>
  <w:style w:type="character" w:customStyle="1" w:styleId="CarCar121">
    <w:name w:val="Car Car121"/>
    <w:basedOn w:val="Fuentedeprrafopredeter"/>
    <w:rsid w:val="00B15F7D"/>
  </w:style>
  <w:style w:type="character" w:customStyle="1" w:styleId="EstiloCorreo691">
    <w:name w:val="EstiloCorreo691"/>
    <w:basedOn w:val="Fuentedeprrafopredeter"/>
    <w:rsid w:val="00B15F7D"/>
    <w:rPr>
      <w:rFonts w:ascii="Arial" w:hAnsi="Arial" w:cs="Arial" w:hint="default"/>
      <w:color w:val="000080"/>
    </w:rPr>
  </w:style>
  <w:style w:type="character" w:customStyle="1" w:styleId="CarCar26">
    <w:name w:val="Car Car26"/>
    <w:basedOn w:val="Fuentedeprrafopredeter"/>
    <w:rsid w:val="00B15F7D"/>
  </w:style>
  <w:style w:type="character" w:customStyle="1" w:styleId="skypepnhcontainer">
    <w:name w:val="skype_pnh_container"/>
    <w:basedOn w:val="Fuentedeprrafopredeter"/>
    <w:rsid w:val="00B15F7D"/>
  </w:style>
  <w:style w:type="character" w:customStyle="1" w:styleId="skypepnhmark1">
    <w:name w:val="skype_pnh_mark1"/>
    <w:basedOn w:val="Fuentedeprrafopredeter"/>
    <w:rsid w:val="00B15F7D"/>
    <w:rPr>
      <w:vanish/>
      <w:webHidden w:val="0"/>
      <w:specVanish/>
    </w:rPr>
  </w:style>
  <w:style w:type="character" w:customStyle="1" w:styleId="skypepnhprintcontainer1366813726">
    <w:name w:val="skype_pnh_print_container_1366813726"/>
    <w:basedOn w:val="Fuentedeprrafopredeter"/>
    <w:rsid w:val="00B15F7D"/>
  </w:style>
  <w:style w:type="character" w:customStyle="1" w:styleId="skypepnhtextspan">
    <w:name w:val="skype_pnh_text_span"/>
    <w:basedOn w:val="Fuentedeprrafopredeter"/>
    <w:rsid w:val="00B15F7D"/>
  </w:style>
  <w:style w:type="character" w:customStyle="1" w:styleId="skypepnhfreetextspan">
    <w:name w:val="skype_pnh_free_text_span"/>
    <w:basedOn w:val="Fuentedeprrafopredeter"/>
    <w:rsid w:val="00B15F7D"/>
  </w:style>
  <w:style w:type="character" w:customStyle="1" w:styleId="EstiloCorreo1211">
    <w:name w:val="EstiloCorreo1211"/>
    <w:basedOn w:val="Fuentedeprrafopredeter"/>
    <w:rsid w:val="00B15F7D"/>
  </w:style>
  <w:style w:type="character" w:customStyle="1" w:styleId="CarCar25">
    <w:name w:val="Car Car25"/>
    <w:basedOn w:val="Fuentedeprrafopredeter"/>
    <w:rsid w:val="00B15F7D"/>
    <w:rPr>
      <w:rFonts w:ascii="Courier New" w:hAnsi="Courier New" w:cs="Courier New" w:hint="default"/>
      <w:color w:val="000000"/>
    </w:rPr>
  </w:style>
  <w:style w:type="character" w:customStyle="1" w:styleId="estilocorreo24">
    <w:name w:val="estilocorreo24"/>
    <w:basedOn w:val="Fuentedeprrafopredeter"/>
    <w:rsid w:val="00B15F7D"/>
    <w:rPr>
      <w:rFonts w:ascii="Arial" w:hAnsi="Arial" w:cs="Arial" w:hint="default"/>
      <w:color w:val="000080"/>
    </w:rPr>
  </w:style>
  <w:style w:type="character" w:customStyle="1" w:styleId="estilocorreo26">
    <w:name w:val="estilocorreo26"/>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estilocorreo27">
    <w:name w:val="estilocorreo27"/>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estilocorreo290">
    <w:name w:val="estilocorreo29"/>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CarCar28">
    <w:name w:val="Car Car28"/>
    <w:basedOn w:val="Fuentedeprrafopredeter"/>
    <w:rsid w:val="00B15F7D"/>
    <w:rPr>
      <w:rFonts w:ascii="MS Mincho" w:eastAsia="MS Mincho" w:hAnsi="MS Mincho" w:hint="eastAsia"/>
    </w:rPr>
  </w:style>
  <w:style w:type="character" w:customStyle="1" w:styleId="nwtovh0">
    <w:name w:val="nwtovh"/>
    <w:basedOn w:val="Fuentedeprrafopredeter"/>
    <w:rsid w:val="00B15F7D"/>
  </w:style>
  <w:style w:type="character" w:customStyle="1" w:styleId="WW-EnlacedeInternet">
    <w:name w:val="WW-Enlace de Internet"/>
    <w:basedOn w:val="Fuentedeprrafopredeter"/>
    <w:rsid w:val="00B15F7D"/>
    <w:rPr>
      <w:rFonts w:ascii="Times New Roman" w:hAnsi="Times New Roman" w:cs="Times New Roman" w:hint="default"/>
      <w:color w:val="0000FF"/>
      <w:u w:val="single"/>
    </w:rPr>
  </w:style>
  <w:style w:type="character" w:customStyle="1" w:styleId="DefaultParagraphFont1">
    <w:name w:val="Default Paragraph Font1"/>
    <w:basedOn w:val="Fuentedeprrafopredeter"/>
    <w:qFormat/>
    <w:rsid w:val="00B15F7D"/>
    <w:rPr>
      <w:rFonts w:ascii="Times New Roman" w:hAnsi="Times New Roman" w:cs="Times New Roman" w:hint="default"/>
      <w:color w:val="00000A"/>
    </w:rPr>
  </w:style>
  <w:style w:type="character" w:customStyle="1" w:styleId="s9">
    <w:name w:val="s9"/>
    <w:basedOn w:val="Fuentedeprrafopredeter"/>
    <w:rsid w:val="00B15F7D"/>
  </w:style>
  <w:style w:type="character" w:customStyle="1" w:styleId="s24">
    <w:name w:val="s24"/>
    <w:basedOn w:val="Fuentedeprrafopredeter"/>
    <w:rsid w:val="00B15F7D"/>
  </w:style>
  <w:style w:type="character" w:customStyle="1" w:styleId="12ptlargebluebold">
    <w:name w:val="12pt large blue bold"/>
    <w:basedOn w:val="Fuentedeprrafopredeter"/>
    <w:rsid w:val="00B15F7D"/>
    <w:rPr>
      <w:color w:val="5EAAC4"/>
    </w:rPr>
  </w:style>
  <w:style w:type="character" w:customStyle="1" w:styleId="estilo171">
    <w:name w:val="estilo171"/>
    <w:basedOn w:val="Fuentedeprrafopredeter"/>
    <w:rsid w:val="00B15F7D"/>
  </w:style>
  <w:style w:type="character" w:customStyle="1" w:styleId="Internetlink0">
    <w:name w:val="Internet link"/>
    <w:basedOn w:val="Fuentedeprrafopredeter"/>
    <w:rsid w:val="00B15F7D"/>
    <w:rPr>
      <w:rFonts w:ascii="Arial" w:hAnsi="Arial" w:cs="Arial" w:hint="default"/>
      <w:color w:val="000080"/>
      <w:u w:val="single"/>
      <w:shd w:val="clear" w:color="auto" w:fill="FFFFFF"/>
    </w:rPr>
  </w:style>
  <w:style w:type="character" w:customStyle="1" w:styleId="CarCar2CarCarCarCarCarCarCar0">
    <w:name w:val="Car Car2 Car Car Car Car Car Car Car"/>
    <w:basedOn w:val="Fuentedeprrafopredeter"/>
    <w:rsid w:val="00B15F7D"/>
    <w:rPr>
      <w:rFonts w:ascii="Arial" w:hAnsi="Arial" w:cs="Arial" w:hint="default"/>
      <w:b/>
      <w:bCs/>
    </w:rPr>
  </w:style>
  <w:style w:type="character" w:customStyle="1" w:styleId="texto">
    <w:name w:val="texto"/>
    <w:basedOn w:val="Fuentedeprrafopredeter"/>
    <w:rsid w:val="00B15F7D"/>
  </w:style>
  <w:style w:type="character" w:customStyle="1" w:styleId="displayonly">
    <w:name w:val="display_only"/>
    <w:basedOn w:val="Fuentedeprrafopredeter"/>
    <w:rsid w:val="00B15F7D"/>
  </w:style>
  <w:style w:type="character" w:customStyle="1" w:styleId="acamposj">
    <w:name w:val="acamposj"/>
    <w:basedOn w:val="Fuentedeprrafopredeter"/>
    <w:rsid w:val="00B15F7D"/>
    <w:rPr>
      <w:rFonts w:ascii="Arial" w:hAnsi="Arial" w:cs="Arial" w:hint="default"/>
      <w:color w:val="auto"/>
    </w:rPr>
  </w:style>
  <w:style w:type="character" w:customStyle="1" w:styleId="body">
    <w:name w:val="body"/>
    <w:basedOn w:val="Fuentedeprrafopredeter"/>
    <w:rsid w:val="00B15F7D"/>
  </w:style>
  <w:style w:type="character" w:customStyle="1" w:styleId="drilldown">
    <w:name w:val="drilldown"/>
    <w:basedOn w:val="Fuentedeprrafopredeter"/>
    <w:rsid w:val="00B15F7D"/>
  </w:style>
  <w:style w:type="character" w:customStyle="1" w:styleId="EstiloArial11ptNegrita">
    <w:name w:val="Estilo Arial 11 pt Negrita"/>
    <w:basedOn w:val="Fuentedeprrafopredeter"/>
    <w:rsid w:val="00B15F7D"/>
    <w:rPr>
      <w:rFonts w:ascii="Arial" w:hAnsi="Arial" w:cs="Arial" w:hint="default"/>
      <w:b/>
      <w:bCs/>
    </w:rPr>
  </w:style>
  <w:style w:type="character" w:customStyle="1" w:styleId="xvegaguz">
    <w:name w:val="xvegaguz"/>
    <w:basedOn w:val="Fuentedeprrafopredeter"/>
    <w:rsid w:val="00B15F7D"/>
    <w:rPr>
      <w:rFonts w:ascii="Arial" w:hAnsi="Arial" w:cs="Arial" w:hint="default"/>
      <w:color w:val="000080"/>
    </w:rPr>
  </w:style>
  <w:style w:type="character" w:customStyle="1" w:styleId="FootnoteTextChar0">
    <w:name w:val="Footnote Text Char"/>
    <w:basedOn w:val="Fuentedeprrafopredeter"/>
    <w:rsid w:val="00B15F7D"/>
  </w:style>
  <w:style w:type="character" w:customStyle="1" w:styleId="TtulosdeHallazgoeIntroduccinCarCar">
    <w:name w:val="Títulos de Hallazgo e Introducción Car Car"/>
    <w:aliases w:val="H2 Car"/>
    <w:basedOn w:val="Fuentedeprrafopredeter"/>
    <w:rsid w:val="00B15F7D"/>
    <w:rPr>
      <w:rFonts w:ascii="Times New Roman" w:hAnsi="Times New Roman" w:cs="Times New Roman" w:hint="default"/>
      <w:b/>
      <w:bCs/>
      <w:i/>
      <w:iCs/>
    </w:rPr>
  </w:style>
  <w:style w:type="character" w:customStyle="1" w:styleId="WW-Caracteresdenotaalpie1">
    <w:name w:val="WW-Caracteres de nota al pie1"/>
    <w:basedOn w:val="Fuentedeprrafopredeter"/>
    <w:rsid w:val="00B15F7D"/>
    <w:rPr>
      <w:vertAlign w:val="superscript"/>
    </w:rPr>
  </w:style>
  <w:style w:type="character" w:customStyle="1" w:styleId="WW-Muydestacado1">
    <w:name w:val="WW-Muy destacado1"/>
    <w:basedOn w:val="Fuentedeprrafopredeter"/>
    <w:rsid w:val="00B15F7D"/>
    <w:rPr>
      <w:b/>
      <w:bCs/>
    </w:rPr>
  </w:style>
  <w:style w:type="character" w:customStyle="1" w:styleId="rcalderonf">
    <w:name w:val="rcalderonf"/>
    <w:basedOn w:val="Fuentedeprrafopredeter"/>
    <w:rsid w:val="00B15F7D"/>
    <w:rPr>
      <w:rFonts w:ascii="Arial" w:hAnsi="Arial" w:cs="Arial" w:hint="default"/>
      <w:color w:val="auto"/>
    </w:rPr>
  </w:style>
  <w:style w:type="character" w:customStyle="1" w:styleId="EstiloCorreo80">
    <w:name w:val="EstiloCorreo80"/>
    <w:basedOn w:val="Fuentedeprrafopredeter"/>
    <w:rsid w:val="00B15F7D"/>
    <w:rPr>
      <w:rFonts w:ascii="Arial" w:hAnsi="Arial" w:cs="Arial" w:hint="default"/>
      <w:color w:val="000080"/>
    </w:rPr>
  </w:style>
  <w:style w:type="character" w:customStyle="1" w:styleId="EstiloCorreo103">
    <w:name w:val="EstiloCorreo103"/>
    <w:basedOn w:val="Fuentedeprrafopredeter"/>
    <w:rsid w:val="00B15F7D"/>
    <w:rPr>
      <w:rFonts w:ascii="Arial" w:hAnsi="Arial" w:cs="Arial" w:hint="default"/>
      <w:color w:val="auto"/>
    </w:rPr>
  </w:style>
  <w:style w:type="character" w:customStyle="1" w:styleId="EstiloCorreo105">
    <w:name w:val="EstiloCorreo105"/>
    <w:basedOn w:val="Fuentedeprrafopredeter"/>
    <w:rsid w:val="00B15F7D"/>
    <w:rPr>
      <w:rFonts w:ascii="Arial" w:hAnsi="Arial" w:cs="Arial" w:hint="default"/>
      <w:color w:val="000080"/>
    </w:rPr>
  </w:style>
  <w:style w:type="character" w:customStyle="1" w:styleId="EstiloCorreo142">
    <w:name w:val="EstiloCorreo142"/>
    <w:basedOn w:val="Fuentedeprrafopredeter"/>
    <w:rsid w:val="00B15F7D"/>
    <w:rPr>
      <w:rFonts w:ascii="Arial" w:hAnsi="Arial" w:cs="Arial" w:hint="default"/>
      <w:color w:val="auto"/>
    </w:rPr>
  </w:style>
  <w:style w:type="character" w:customStyle="1" w:styleId="EstiloCorreo228">
    <w:name w:val="EstiloCorreo228"/>
    <w:basedOn w:val="Fuentedeprrafopredeter"/>
    <w:rsid w:val="00B15F7D"/>
    <w:rPr>
      <w:rFonts w:ascii="Palatino Linotype" w:hAnsi="Palatino Linotype" w:hint="default"/>
      <w:b/>
      <w:bCs/>
      <w:color w:val="auto"/>
    </w:rPr>
  </w:style>
  <w:style w:type="character" w:customStyle="1" w:styleId="EstiloCorreo237">
    <w:name w:val="EstiloCorreo237"/>
    <w:basedOn w:val="Fuentedeprrafopredeter"/>
    <w:rsid w:val="00B15F7D"/>
    <w:rPr>
      <w:color w:val="000000"/>
    </w:rPr>
  </w:style>
  <w:style w:type="character" w:customStyle="1" w:styleId="EstiloCorreo264">
    <w:name w:val="EstiloCorreo264"/>
    <w:basedOn w:val="Fuentedeprrafopredeter"/>
    <w:rsid w:val="00B15F7D"/>
    <w:rPr>
      <w:rFonts w:ascii="Arial" w:hAnsi="Arial" w:cs="Arial" w:hint="default"/>
      <w:color w:val="000080"/>
    </w:rPr>
  </w:style>
  <w:style w:type="character" w:customStyle="1" w:styleId="EstiloCorreo265">
    <w:name w:val="EstiloCorreo265"/>
    <w:basedOn w:val="Fuentedeprrafopredeter"/>
    <w:rsid w:val="00B15F7D"/>
    <w:rPr>
      <w:rFonts w:ascii="Arial" w:hAnsi="Arial" w:cs="Arial" w:hint="default"/>
      <w:color w:val="auto"/>
    </w:rPr>
  </w:style>
  <w:style w:type="character" w:customStyle="1" w:styleId="EstiloCorreo267">
    <w:name w:val="EstiloCorreo267"/>
    <w:basedOn w:val="Fuentedeprrafopredeter"/>
    <w:rsid w:val="00B15F7D"/>
    <w:rPr>
      <w:rFonts w:ascii="Arial" w:hAnsi="Arial" w:cs="Arial" w:hint="default"/>
      <w:color w:val="000080"/>
    </w:rPr>
  </w:style>
  <w:style w:type="character" w:customStyle="1" w:styleId="EstiloCorreo298">
    <w:name w:val="EstiloCorreo298"/>
    <w:basedOn w:val="Fuentedeprrafopredeter"/>
    <w:rsid w:val="00B15F7D"/>
    <w:rPr>
      <w:rFonts w:ascii="Tahoma" w:hAnsi="Tahoma" w:cs="Tahoma" w:hint="default"/>
      <w:color w:val="auto"/>
    </w:rPr>
  </w:style>
  <w:style w:type="character" w:customStyle="1" w:styleId="EstiloCorreo299">
    <w:name w:val="EstiloCorreo299"/>
    <w:basedOn w:val="Fuentedeprrafopredeter"/>
    <w:rsid w:val="00B15F7D"/>
    <w:rPr>
      <w:rFonts w:ascii="Tahoma" w:hAnsi="Tahoma" w:cs="Tahoma" w:hint="default"/>
      <w:color w:val="auto"/>
    </w:rPr>
  </w:style>
  <w:style w:type="character" w:customStyle="1" w:styleId="xl43Car">
    <w:name w:val="xl43 Car"/>
    <w:basedOn w:val="Fuentedeprrafopredeter"/>
    <w:rsid w:val="00B15F7D"/>
    <w:rPr>
      <w:rFonts w:ascii="Book Antiqua" w:hAnsi="Book Antiqua" w:hint="default"/>
      <w:b/>
      <w:bCs/>
    </w:rPr>
  </w:style>
  <w:style w:type="character" w:customStyle="1" w:styleId="estilocorreo766">
    <w:name w:val="estilocorreo766"/>
    <w:basedOn w:val="Fuentedeprrafopredeter"/>
    <w:rsid w:val="00B15F7D"/>
    <w:rPr>
      <w:rFonts w:ascii="Times New Roman" w:hAnsi="Times New Roman" w:cs="Times New Roman" w:hint="default"/>
      <w:b w:val="0"/>
      <w:bCs w:val="0"/>
      <w:i w:val="0"/>
      <w:iCs w:val="0"/>
      <w:color w:val="auto"/>
    </w:rPr>
  </w:style>
  <w:style w:type="character" w:customStyle="1" w:styleId="TextonotapieCar3">
    <w:name w:val="Texto nota pie Car3"/>
    <w:basedOn w:val="Fuentedeprrafopredeter"/>
    <w:uiPriority w:val="99"/>
    <w:rsid w:val="00B15F7D"/>
    <w:rPr>
      <w:rFonts w:ascii="Calibri" w:hAnsi="Calibri" w:cs="Calibri" w:hint="default"/>
    </w:rPr>
  </w:style>
  <w:style w:type="character" w:customStyle="1" w:styleId="EncabezadoCar3">
    <w:name w:val="Encabezado Car3"/>
    <w:basedOn w:val="Fuentedeprrafopredeter"/>
    <w:uiPriority w:val="99"/>
    <w:rsid w:val="00B15F7D"/>
    <w:rPr>
      <w:rFonts w:ascii="Arial" w:hAnsi="Arial" w:cs="Arial" w:hint="default"/>
      <w:u w:val="single"/>
    </w:rPr>
  </w:style>
  <w:style w:type="character" w:customStyle="1" w:styleId="TtuloCar3">
    <w:name w:val="Título Car3"/>
    <w:aliases w:val="Título niv 3 Car1"/>
    <w:basedOn w:val="Fuentedeprrafopredeter"/>
    <w:uiPriority w:val="10"/>
    <w:qFormat/>
    <w:rsid w:val="00B15F7D"/>
    <w:rPr>
      <w:rFonts w:ascii="Arial" w:hAnsi="Arial" w:cs="Arial" w:hint="default"/>
      <w:b/>
      <w:bCs/>
    </w:rPr>
  </w:style>
  <w:style w:type="character" w:customStyle="1" w:styleId="SubttuloCar2">
    <w:name w:val="Subtítulo Car2"/>
    <w:basedOn w:val="Fuentedeprrafopredeter"/>
    <w:uiPriority w:val="11"/>
    <w:rsid w:val="00B15F7D"/>
    <w:rPr>
      <w:rFonts w:ascii="Century Schoolbook" w:hAnsi="Century Schoolbook" w:hint="default"/>
      <w:b/>
      <w:bCs/>
    </w:rPr>
  </w:style>
  <w:style w:type="character" w:customStyle="1" w:styleId="estilocorreo2306">
    <w:name w:val="estilocorreo2306"/>
    <w:basedOn w:val="Fuentedeprrafopredeter"/>
    <w:rsid w:val="00B15F7D"/>
    <w:rPr>
      <w:rFonts w:ascii="Calibri" w:hAnsi="Calibri" w:cs="Calibri" w:hint="default"/>
      <w:color w:val="1F497D"/>
    </w:rPr>
  </w:style>
  <w:style w:type="character" w:customStyle="1" w:styleId="estilocorreo2307">
    <w:name w:val="estilocorreo2307"/>
    <w:basedOn w:val="Fuentedeprrafopredeter"/>
    <w:rsid w:val="00B15F7D"/>
    <w:rPr>
      <w:rFonts w:ascii="Times New Roman" w:hAnsi="Times New Roman" w:cs="Times New Roman" w:hint="default"/>
      <w:b w:val="0"/>
      <w:bCs w:val="0"/>
      <w:i w:val="0"/>
      <w:iCs w:val="0"/>
      <w:color w:val="1F3864"/>
    </w:rPr>
  </w:style>
  <w:style w:type="character" w:customStyle="1" w:styleId="estilocorreo2308">
    <w:name w:val="estilocorreo2308"/>
    <w:basedOn w:val="Fuentedeprrafopredeter"/>
    <w:rsid w:val="00B15F7D"/>
    <w:rPr>
      <w:rFonts w:ascii="Calibri" w:hAnsi="Calibri" w:cs="Calibri" w:hint="default"/>
      <w:color w:val="auto"/>
    </w:rPr>
  </w:style>
  <w:style w:type="character" w:customStyle="1" w:styleId="tnnotaobtenida">
    <w:name w:val="tn_nota_obtenida"/>
    <w:basedOn w:val="Fuentedeprrafopredeter"/>
    <w:rsid w:val="00B15F7D"/>
  </w:style>
  <w:style w:type="character" w:customStyle="1" w:styleId="estilocorreo78">
    <w:name w:val="estilocorreo78"/>
    <w:basedOn w:val="Fuentedeprrafopredeter"/>
    <w:rsid w:val="00B15F7D"/>
    <w:rPr>
      <w:rFonts w:ascii="Calibri" w:hAnsi="Calibri" w:cs="Calibri" w:hint="default"/>
      <w:color w:val="auto"/>
    </w:rPr>
  </w:style>
  <w:style w:type="character" w:customStyle="1" w:styleId="TitleChar1">
    <w:name w:val="Title Char1"/>
    <w:basedOn w:val="Fuentedeprrafopredeter"/>
    <w:uiPriority w:val="10"/>
    <w:rsid w:val="00B15F7D"/>
    <w:rPr>
      <w:rFonts w:ascii="Calibri Light" w:hAnsi="Calibri Light" w:cs="Calibri Light" w:hint="default"/>
      <w:b/>
      <w:bCs/>
      <w:lang w:eastAsia="en-US"/>
    </w:rPr>
  </w:style>
  <w:style w:type="character" w:customStyle="1" w:styleId="estilocorreo1019">
    <w:name w:val="estilocorreo1019"/>
    <w:basedOn w:val="Fuentedeprrafopredeter"/>
    <w:rsid w:val="00B15F7D"/>
    <w:rPr>
      <w:rFonts w:ascii="Calibri" w:hAnsi="Calibri" w:cs="Calibri" w:hint="default"/>
      <w:color w:val="auto"/>
    </w:rPr>
  </w:style>
  <w:style w:type="character" w:customStyle="1" w:styleId="CarCar65">
    <w:name w:val="Car Car65"/>
    <w:basedOn w:val="Fuentedeprrafopredeter"/>
    <w:rsid w:val="00B15F7D"/>
    <w:rPr>
      <w:rFonts w:ascii="Arial" w:hAnsi="Arial" w:cs="Arial" w:hint="default"/>
      <w:color w:val="000000"/>
      <w:lang w:eastAsia="es-ES"/>
    </w:rPr>
  </w:style>
  <w:style w:type="character" w:customStyle="1" w:styleId="CarCar54">
    <w:name w:val="Car Car54"/>
    <w:basedOn w:val="Fuentedeprrafopredeter"/>
    <w:rsid w:val="00B15F7D"/>
    <w:rPr>
      <w:rFonts w:ascii="Arial" w:hAnsi="Arial" w:cs="Arial" w:hint="default"/>
      <w:b/>
      <w:bCs/>
      <w:lang w:eastAsia="ar-SA"/>
    </w:rPr>
  </w:style>
  <w:style w:type="character" w:customStyle="1" w:styleId="CarCar84">
    <w:name w:val="Car Car84"/>
    <w:basedOn w:val="Fuentedeprrafopredeter"/>
    <w:rsid w:val="00B15F7D"/>
    <w:rPr>
      <w:rFonts w:ascii="Arial" w:hAnsi="Arial" w:cs="Arial" w:hint="default"/>
      <w:b/>
      <w:bCs/>
      <w:lang w:eastAsia="ar-SA"/>
    </w:rPr>
  </w:style>
  <w:style w:type="character" w:customStyle="1" w:styleId="CarCar74">
    <w:name w:val="Car Car74"/>
    <w:basedOn w:val="Fuentedeprrafopredeter"/>
    <w:rsid w:val="00B15F7D"/>
    <w:rPr>
      <w:b/>
      <w:bCs/>
      <w:lang w:eastAsia="es-ES"/>
    </w:rPr>
  </w:style>
  <w:style w:type="character" w:customStyle="1" w:styleId="EstiloCorreo780">
    <w:name w:val="EstiloCorreo78"/>
    <w:basedOn w:val="Fuentedeprrafopredeter"/>
    <w:rsid w:val="00B15F7D"/>
    <w:rPr>
      <w:rFonts w:ascii="Arial" w:hAnsi="Arial" w:cs="Arial" w:hint="default"/>
      <w:color w:val="000080"/>
    </w:rPr>
  </w:style>
  <w:style w:type="character" w:customStyle="1" w:styleId="EstiloCorreo333">
    <w:name w:val="EstiloCorreo333"/>
    <w:basedOn w:val="Fuentedeprrafopredeter"/>
    <w:rsid w:val="00B15F7D"/>
    <w:rPr>
      <w:rFonts w:ascii="Arial" w:hAnsi="Arial" w:cs="Arial" w:hint="default"/>
      <w:color w:val="000080"/>
    </w:rPr>
  </w:style>
  <w:style w:type="character" w:customStyle="1" w:styleId="CitaCar1">
    <w:name w:val="Cita Car1"/>
    <w:basedOn w:val="Fuentedeprrafopredeter"/>
    <w:uiPriority w:val="29"/>
    <w:rsid w:val="00B15F7D"/>
    <w:rPr>
      <w:i/>
      <w:iCs/>
      <w:color w:val="000000"/>
    </w:rPr>
  </w:style>
  <w:style w:type="character" w:customStyle="1" w:styleId="x998142620-04022016">
    <w:name w:val="x_998142620-04022016"/>
    <w:basedOn w:val="Fuentedeprrafopredeter"/>
    <w:rsid w:val="00B15F7D"/>
  </w:style>
  <w:style w:type="character" w:customStyle="1" w:styleId="Refdecomentario11">
    <w:name w:val="Ref. de comentario11"/>
    <w:basedOn w:val="Fuentedeprrafopredeter"/>
    <w:rsid w:val="00B15F7D"/>
  </w:style>
  <w:style w:type="character" w:customStyle="1" w:styleId="Rtuloconnfasis">
    <w:name w:val="Rótulo con énfasis"/>
    <w:basedOn w:val="Fuentedeprrafopredeter"/>
    <w:rsid w:val="00B15F7D"/>
    <w:rPr>
      <w:rFonts w:ascii="Arial Black" w:hAnsi="Arial Black" w:hint="default"/>
      <w:spacing w:val="-4"/>
    </w:rPr>
  </w:style>
  <w:style w:type="character" w:customStyle="1" w:styleId="Eslogan">
    <w:name w:val="Eslogan"/>
    <w:basedOn w:val="Fuentedeprrafopredeter"/>
    <w:rsid w:val="00B15F7D"/>
    <w:rPr>
      <w:i/>
      <w:iCs/>
      <w:spacing w:val="-6"/>
    </w:rPr>
  </w:style>
  <w:style w:type="character" w:customStyle="1" w:styleId="Superndice">
    <w:name w:val="Superíndice"/>
    <w:basedOn w:val="Fuentedeprrafopredeter"/>
    <w:rsid w:val="00B15F7D"/>
    <w:rPr>
      <w:b/>
      <w:bCs/>
      <w:vertAlign w:val="superscript"/>
    </w:rPr>
  </w:style>
  <w:style w:type="character" w:customStyle="1" w:styleId="estilocorreo1273">
    <w:name w:val="estilocorreo1273"/>
    <w:basedOn w:val="Fuentedeprrafopredeter"/>
    <w:rsid w:val="00B15F7D"/>
    <w:rPr>
      <w:rFonts w:ascii="Calibri" w:hAnsi="Calibri" w:cs="Calibri" w:hint="default"/>
      <w:color w:val="auto"/>
    </w:rPr>
  </w:style>
  <w:style w:type="character" w:customStyle="1" w:styleId="Fuentedeprrafopredeter7">
    <w:name w:val="Fuente de párrafo predeter.7"/>
    <w:basedOn w:val="Fuentedeprrafopredeter"/>
    <w:rsid w:val="00B15F7D"/>
  </w:style>
  <w:style w:type="character" w:customStyle="1" w:styleId="Fuentedeprrafopredeter6">
    <w:name w:val="Fuente de párrafo predeter.6"/>
    <w:basedOn w:val="Fuentedeprrafopredeter"/>
    <w:qFormat/>
    <w:rsid w:val="00B15F7D"/>
  </w:style>
  <w:style w:type="character" w:customStyle="1" w:styleId="BodyTextIndentChar1">
    <w:name w:val="Body Text Indent Char1"/>
    <w:basedOn w:val="Fuentedeprrafopredeter"/>
    <w:uiPriority w:val="99"/>
    <w:rsid w:val="00B15F7D"/>
    <w:rPr>
      <w:rFonts w:ascii="Times New Roman" w:hAnsi="Times New Roman" w:cs="Times New Roman" w:hint="default"/>
    </w:rPr>
  </w:style>
  <w:style w:type="character" w:customStyle="1" w:styleId="BodyText3Char1">
    <w:name w:val="Body Text 3 Char1"/>
    <w:basedOn w:val="Fuentedeprrafopredeter"/>
    <w:uiPriority w:val="99"/>
    <w:rsid w:val="00B15F7D"/>
    <w:rPr>
      <w:rFonts w:ascii="Times New Roman" w:hAnsi="Times New Roman" w:cs="Times New Roman" w:hint="default"/>
    </w:rPr>
  </w:style>
  <w:style w:type="character" w:customStyle="1" w:styleId="Sangra2detindependienteCar1">
    <w:name w:val="Sangría 2 de t. independiente Car1"/>
    <w:basedOn w:val="Fuentedeprrafopredeter"/>
    <w:uiPriority w:val="99"/>
    <w:rsid w:val="00B15F7D"/>
    <w:rPr>
      <w:rFonts w:ascii="MS Sans Serif" w:hAnsi="MS Sans Serif" w:hint="default"/>
    </w:rPr>
  </w:style>
  <w:style w:type="character" w:customStyle="1" w:styleId="BodyTextIndent2Char1">
    <w:name w:val="Body Text Indent 2 Char1"/>
    <w:basedOn w:val="Fuentedeprrafopredeter"/>
    <w:uiPriority w:val="99"/>
    <w:rsid w:val="00B15F7D"/>
    <w:rPr>
      <w:rFonts w:ascii="Times New Roman" w:hAnsi="Times New Roman" w:cs="Times New Roman" w:hint="default"/>
    </w:rPr>
  </w:style>
  <w:style w:type="character" w:customStyle="1" w:styleId="BodyTextIndent3Char1">
    <w:name w:val="Body Text Indent 3 Char1"/>
    <w:basedOn w:val="Fuentedeprrafopredeter"/>
    <w:uiPriority w:val="99"/>
    <w:rsid w:val="00B15F7D"/>
    <w:rPr>
      <w:rFonts w:ascii="Times New Roman" w:hAnsi="Times New Roman" w:cs="Times New Roman" w:hint="default"/>
    </w:rPr>
  </w:style>
  <w:style w:type="character" w:customStyle="1" w:styleId="DocumentMapChar1">
    <w:name w:val="Document Map Char1"/>
    <w:basedOn w:val="Fuentedeprrafopredeter"/>
    <w:uiPriority w:val="99"/>
    <w:rsid w:val="00B15F7D"/>
    <w:rPr>
      <w:rFonts w:ascii="Times New Roman" w:hAnsi="Times New Roman" w:cs="Times New Roman" w:hint="default"/>
    </w:rPr>
  </w:style>
  <w:style w:type="character" w:customStyle="1" w:styleId="PlainTextChar1">
    <w:name w:val="Plain Text Char1"/>
    <w:basedOn w:val="Fuentedeprrafopredeter"/>
    <w:uiPriority w:val="99"/>
    <w:rsid w:val="00B15F7D"/>
    <w:rPr>
      <w:rFonts w:ascii="Courier New" w:hAnsi="Courier New" w:cs="Courier New" w:hint="default"/>
    </w:rPr>
  </w:style>
  <w:style w:type="character" w:customStyle="1" w:styleId="yiv8699257545">
    <w:name w:val="yiv8699257545"/>
    <w:basedOn w:val="Fuentedeprrafopredeter"/>
    <w:uiPriority w:val="99"/>
    <w:rsid w:val="00B15F7D"/>
  </w:style>
  <w:style w:type="character" w:customStyle="1" w:styleId="Heading4Char">
    <w:name w:val="Heading 4 Char"/>
    <w:basedOn w:val="Fuentedeprrafopredeter"/>
    <w:rsid w:val="00B15F7D"/>
    <w:rPr>
      <w:rFonts w:ascii="Calibri" w:hAnsi="Calibri" w:cs="Calibri" w:hint="default"/>
      <w:b/>
      <w:bCs/>
    </w:rPr>
  </w:style>
  <w:style w:type="character" w:customStyle="1" w:styleId="Heading5Char">
    <w:name w:val="Heading 5 Char"/>
    <w:basedOn w:val="Fuentedeprrafopredeter"/>
    <w:rsid w:val="00B15F7D"/>
    <w:rPr>
      <w:rFonts w:ascii="Calibri" w:hAnsi="Calibri" w:cs="Calibri" w:hint="default"/>
      <w:b/>
      <w:bCs/>
      <w:i/>
      <w:iCs/>
    </w:rPr>
  </w:style>
  <w:style w:type="character" w:customStyle="1" w:styleId="Heading6Char">
    <w:name w:val="Heading 6 Char"/>
    <w:basedOn w:val="Fuentedeprrafopredeter"/>
    <w:rsid w:val="00B15F7D"/>
    <w:rPr>
      <w:rFonts w:ascii="Calibri" w:hAnsi="Calibri" w:cs="Calibri" w:hint="default"/>
      <w:b/>
      <w:bCs/>
    </w:rPr>
  </w:style>
  <w:style w:type="character" w:customStyle="1" w:styleId="Heading7Char">
    <w:name w:val="Heading 7 Char"/>
    <w:basedOn w:val="Fuentedeprrafopredeter"/>
    <w:rsid w:val="00B15F7D"/>
    <w:rPr>
      <w:rFonts w:ascii="Calibri" w:hAnsi="Calibri" w:cs="Calibri" w:hint="default"/>
    </w:rPr>
  </w:style>
  <w:style w:type="character" w:customStyle="1" w:styleId="Heading8Char">
    <w:name w:val="Heading 8 Char"/>
    <w:basedOn w:val="Fuentedeprrafopredeter"/>
    <w:rsid w:val="00B15F7D"/>
    <w:rPr>
      <w:rFonts w:ascii="Calibri" w:hAnsi="Calibri" w:cs="Calibri" w:hint="default"/>
      <w:i/>
      <w:iCs/>
    </w:rPr>
  </w:style>
  <w:style w:type="character" w:customStyle="1" w:styleId="Heading9Char">
    <w:name w:val="Heading 9 Char"/>
    <w:basedOn w:val="Fuentedeprrafopredeter"/>
    <w:rsid w:val="00B15F7D"/>
    <w:rPr>
      <w:rFonts w:ascii="Cambria" w:hAnsi="Cambria" w:hint="default"/>
    </w:rPr>
  </w:style>
  <w:style w:type="character" w:customStyle="1" w:styleId="Fuentedeprrafopredeter18">
    <w:name w:val="Fuente de párrafo predeter.18"/>
    <w:basedOn w:val="Fuentedeprrafopredeter"/>
    <w:rsid w:val="00B15F7D"/>
  </w:style>
  <w:style w:type="character" w:customStyle="1" w:styleId="Fuentedeprrafopredeter17">
    <w:name w:val="Fuente de párrafo predeter.17"/>
    <w:basedOn w:val="Fuentedeprrafopredeter"/>
    <w:rsid w:val="00B15F7D"/>
  </w:style>
  <w:style w:type="character" w:customStyle="1" w:styleId="Fuentedeprrafopredeter16">
    <w:name w:val="Fuente de párrafo predeter.16"/>
    <w:basedOn w:val="Fuentedeprrafopredeter"/>
    <w:rsid w:val="00B15F7D"/>
  </w:style>
  <w:style w:type="character" w:customStyle="1" w:styleId="Fuentedeprrafopredeter15">
    <w:name w:val="Fuente de párrafo predeter.15"/>
    <w:basedOn w:val="Fuentedeprrafopredeter"/>
    <w:rsid w:val="00B15F7D"/>
  </w:style>
  <w:style w:type="character" w:customStyle="1" w:styleId="Fuentedeprrafopredeter14">
    <w:name w:val="Fuente de párrafo predeter.14"/>
    <w:basedOn w:val="Fuentedeprrafopredeter"/>
    <w:rsid w:val="00B15F7D"/>
  </w:style>
  <w:style w:type="character" w:customStyle="1" w:styleId="Fuentedeprrafopredeter13">
    <w:name w:val="Fuente de párrafo predeter.13"/>
    <w:basedOn w:val="Fuentedeprrafopredeter"/>
    <w:rsid w:val="00B15F7D"/>
  </w:style>
  <w:style w:type="character" w:customStyle="1" w:styleId="Fuentedeprrafopredeter12">
    <w:name w:val="Fuente de párrafo predeter.12"/>
    <w:basedOn w:val="Fuentedeprrafopredeter"/>
    <w:rsid w:val="00B15F7D"/>
  </w:style>
  <w:style w:type="character" w:customStyle="1" w:styleId="Fuentedeprrafopredeter11">
    <w:name w:val="Fuente de párrafo predeter.11"/>
    <w:basedOn w:val="Fuentedeprrafopredeter"/>
    <w:rsid w:val="00B15F7D"/>
  </w:style>
  <w:style w:type="character" w:customStyle="1" w:styleId="Fuentedeprrafopredeter10">
    <w:name w:val="Fuente de párrafo predeter.10"/>
    <w:basedOn w:val="Fuentedeprrafopredeter"/>
    <w:rsid w:val="00B15F7D"/>
  </w:style>
  <w:style w:type="character" w:customStyle="1" w:styleId="Fuentedeprrafopredeter9">
    <w:name w:val="Fuente de párrafo predeter.9"/>
    <w:basedOn w:val="Fuentedeprrafopredeter"/>
    <w:rsid w:val="00B15F7D"/>
  </w:style>
  <w:style w:type="character" w:customStyle="1" w:styleId="PageNumber1">
    <w:name w:val="Page Number1"/>
    <w:basedOn w:val="Fuentedeprrafopredeter"/>
    <w:rsid w:val="00B15F7D"/>
  </w:style>
  <w:style w:type="character" w:customStyle="1" w:styleId="FollowedHyperlink1">
    <w:name w:val="FollowedHyperlink1"/>
    <w:basedOn w:val="Fuentedeprrafopredeter"/>
    <w:rsid w:val="00B15F7D"/>
    <w:rPr>
      <w:color w:val="800080"/>
      <w:u w:val="single"/>
    </w:rPr>
  </w:style>
  <w:style w:type="character" w:customStyle="1" w:styleId="Refdecomentario3">
    <w:name w:val="Ref. de comentario3"/>
    <w:basedOn w:val="Fuentedeprrafopredeter"/>
    <w:rsid w:val="00B15F7D"/>
  </w:style>
  <w:style w:type="character" w:customStyle="1" w:styleId="Hipervnculo7">
    <w:name w:val="Hipervínculo7"/>
    <w:basedOn w:val="Fuentedeprrafopredeter"/>
    <w:rsid w:val="00B15F7D"/>
    <w:rPr>
      <w:color w:val="FFFFFF"/>
      <w:u w:val="single"/>
    </w:rPr>
  </w:style>
  <w:style w:type="character" w:customStyle="1" w:styleId="Nmerodepgina0">
    <w:name w:val="Nœmero de p‡gina"/>
    <w:basedOn w:val="Fuentedeprrafopredeter"/>
    <w:rsid w:val="00B15F7D"/>
  </w:style>
  <w:style w:type="character" w:customStyle="1" w:styleId="texto1">
    <w:name w:val="texto1"/>
    <w:basedOn w:val="Fuentedeprrafopredeter"/>
    <w:rsid w:val="00B15F7D"/>
    <w:rPr>
      <w:rFonts w:ascii="Arial" w:hAnsi="Arial" w:cs="Arial" w:hint="default"/>
    </w:rPr>
  </w:style>
  <w:style w:type="character" w:customStyle="1" w:styleId="MarcadorChar">
    <w:name w:val="Marcador Char"/>
    <w:basedOn w:val="Fuentedeprrafopredeter"/>
    <w:rsid w:val="00B15F7D"/>
    <w:rPr>
      <w:color w:val="990000"/>
    </w:rPr>
  </w:style>
  <w:style w:type="character" w:customStyle="1" w:styleId="e072">
    <w:name w:val="e072"/>
    <w:basedOn w:val="Fuentedeprrafopredeter"/>
    <w:rsid w:val="00B15F7D"/>
    <w:rPr>
      <w:rFonts w:ascii="Tahoma" w:hAnsi="Tahoma" w:cs="Tahoma" w:hint="default"/>
      <w:strike/>
      <w:color w:val="3D3D3D"/>
    </w:rPr>
  </w:style>
  <w:style w:type="character" w:customStyle="1" w:styleId="WW-Smbolodenotaalpie">
    <w:name w:val="WW-Símbolo de nota al pie"/>
    <w:basedOn w:val="Fuentedeprrafopredeter"/>
    <w:rsid w:val="00B15F7D"/>
  </w:style>
  <w:style w:type="character" w:customStyle="1" w:styleId="mg-cuerpo12">
    <w:name w:val="mg-cuerpo12"/>
    <w:basedOn w:val="Fuentedeprrafopredeter"/>
    <w:rsid w:val="00B15F7D"/>
  </w:style>
  <w:style w:type="character" w:customStyle="1" w:styleId="estilo21">
    <w:name w:val="estilo21"/>
    <w:basedOn w:val="Fuentedeprrafopredeter"/>
    <w:rsid w:val="00B15F7D"/>
    <w:rPr>
      <w:color w:val="993300"/>
    </w:rPr>
  </w:style>
  <w:style w:type="character" w:customStyle="1" w:styleId="Definicin">
    <w:name w:val="Definición"/>
    <w:basedOn w:val="Fuentedeprrafopredeter"/>
    <w:uiPriority w:val="99"/>
    <w:rsid w:val="00B15F7D"/>
    <w:rPr>
      <w:i/>
      <w:iCs/>
    </w:rPr>
  </w:style>
  <w:style w:type="character" w:customStyle="1" w:styleId="asinclair">
    <w:name w:val="asinclair"/>
    <w:basedOn w:val="Fuentedeprrafopredeter"/>
    <w:rsid w:val="00B15F7D"/>
    <w:rPr>
      <w:rFonts w:ascii="Arial" w:hAnsi="Arial" w:cs="Arial" w:hint="default"/>
      <w:color w:val="000080"/>
    </w:rPr>
  </w:style>
  <w:style w:type="character" w:customStyle="1" w:styleId="WW-Absatz-Standardschriftart12">
    <w:name w:val="WW-Absatz-Standardschriftart12"/>
    <w:basedOn w:val="Fuentedeprrafopredeter"/>
    <w:rsid w:val="00B15F7D"/>
  </w:style>
  <w:style w:type="character" w:customStyle="1" w:styleId="296236302z0">
    <w:name w:val="296236302z0"/>
    <w:basedOn w:val="Fuentedeprrafopredeter"/>
    <w:rsid w:val="00B15F7D"/>
    <w:rPr>
      <w:b/>
      <w:bCs/>
    </w:rPr>
  </w:style>
  <w:style w:type="character" w:customStyle="1" w:styleId="296236306z0">
    <w:name w:val="296236306z0"/>
    <w:basedOn w:val="Fuentedeprrafopredeter"/>
    <w:rsid w:val="00B15F7D"/>
    <w:rPr>
      <w:rFonts w:ascii="Symbol" w:hAnsi="Symbol" w:hint="default"/>
    </w:rPr>
  </w:style>
  <w:style w:type="character" w:customStyle="1" w:styleId="296137281z0">
    <w:name w:val="296137281z0"/>
    <w:basedOn w:val="Fuentedeprrafopredeter"/>
    <w:rsid w:val="00B15F7D"/>
    <w:rPr>
      <w:rFonts w:ascii="Symbol" w:hAnsi="Symbol" w:hint="default"/>
    </w:rPr>
  </w:style>
  <w:style w:type="character" w:customStyle="1" w:styleId="296137282z0">
    <w:name w:val="296137282z0"/>
    <w:basedOn w:val="Fuentedeprrafopredeter"/>
    <w:rsid w:val="00B15F7D"/>
    <w:rPr>
      <w:rFonts w:ascii="Symbol" w:hAnsi="Symbol" w:hint="default"/>
    </w:rPr>
  </w:style>
  <w:style w:type="character" w:customStyle="1" w:styleId="296137282z1">
    <w:name w:val="296137282z1"/>
    <w:basedOn w:val="Fuentedeprrafopredeter"/>
    <w:rsid w:val="00B15F7D"/>
    <w:rPr>
      <w:rFonts w:ascii="Arial" w:hAnsi="Arial" w:cs="Arial" w:hint="default"/>
    </w:rPr>
  </w:style>
  <w:style w:type="character" w:customStyle="1" w:styleId="296137282z2">
    <w:name w:val="296137282z2"/>
    <w:basedOn w:val="Fuentedeprrafopredeter"/>
    <w:rsid w:val="00B15F7D"/>
    <w:rPr>
      <w:rFonts w:ascii="Wingdings" w:hAnsi="Wingdings" w:hint="default"/>
    </w:rPr>
  </w:style>
  <w:style w:type="character" w:customStyle="1" w:styleId="296137282z4">
    <w:name w:val="296137282z4"/>
    <w:basedOn w:val="Fuentedeprrafopredeter"/>
    <w:rsid w:val="00B15F7D"/>
    <w:rPr>
      <w:rFonts w:ascii="Courier New" w:hAnsi="Courier New" w:cs="Courier New" w:hint="default"/>
    </w:rPr>
  </w:style>
  <w:style w:type="character" w:customStyle="1" w:styleId="296137283z0">
    <w:name w:val="296137283z0"/>
    <w:basedOn w:val="Fuentedeprrafopredeter"/>
    <w:rsid w:val="00B15F7D"/>
    <w:rPr>
      <w:rFonts w:ascii="Arial" w:hAnsi="Arial" w:cs="Arial" w:hint="default"/>
      <w:b/>
      <w:bCs/>
    </w:rPr>
  </w:style>
  <w:style w:type="character" w:customStyle="1" w:styleId="Smbolodenotafinal">
    <w:name w:val="Símbolo de nota final"/>
    <w:basedOn w:val="Fuentedeprrafopredeter"/>
    <w:rsid w:val="00B15F7D"/>
    <w:rPr>
      <w:rFonts w:ascii="Times New Roman" w:hAnsi="Times New Roman" w:cs="Times New Roman" w:hint="default"/>
    </w:rPr>
  </w:style>
  <w:style w:type="character" w:customStyle="1" w:styleId="314732121z0">
    <w:name w:val="314732121z0"/>
    <w:basedOn w:val="Fuentedeprrafopredeter"/>
    <w:rsid w:val="00B15F7D"/>
    <w:rPr>
      <w:rFonts w:ascii="Symbol" w:hAnsi="Symbol" w:hint="default"/>
      <w:color w:val="000000"/>
    </w:rPr>
  </w:style>
  <w:style w:type="character" w:customStyle="1" w:styleId="314732121z1">
    <w:name w:val="314732121z1"/>
    <w:basedOn w:val="Fuentedeprrafopredeter"/>
    <w:rsid w:val="00B15F7D"/>
    <w:rPr>
      <w:rFonts w:ascii="Courier New" w:hAnsi="Courier New" w:cs="Courier New" w:hint="default"/>
    </w:rPr>
  </w:style>
  <w:style w:type="character" w:customStyle="1" w:styleId="314732121z2">
    <w:name w:val="314732121z2"/>
    <w:basedOn w:val="Fuentedeprrafopredeter"/>
    <w:rsid w:val="00B15F7D"/>
    <w:rPr>
      <w:rFonts w:ascii="Wingdings" w:hAnsi="Wingdings" w:hint="default"/>
    </w:rPr>
  </w:style>
  <w:style w:type="character" w:customStyle="1" w:styleId="314732121z3">
    <w:name w:val="314732121z3"/>
    <w:basedOn w:val="Fuentedeprrafopredeter"/>
    <w:rsid w:val="00B15F7D"/>
    <w:rPr>
      <w:rFonts w:ascii="Symbol" w:hAnsi="Symbol" w:hint="default"/>
    </w:rPr>
  </w:style>
  <w:style w:type="character" w:customStyle="1" w:styleId="WW-WW8Num15z0">
    <w:name w:val="WW-WW8Num15z0"/>
    <w:basedOn w:val="Fuentedeprrafopredeter"/>
    <w:rsid w:val="00B15F7D"/>
    <w:rPr>
      <w:rFonts w:ascii="Symbol" w:hAnsi="Symbol" w:hint="default"/>
    </w:rPr>
  </w:style>
  <w:style w:type="character" w:customStyle="1" w:styleId="WW-WW8Num19z0">
    <w:name w:val="WW-WW8Num19z0"/>
    <w:basedOn w:val="Fuentedeprrafopredeter"/>
    <w:rsid w:val="00B15F7D"/>
    <w:rPr>
      <w:rFonts w:ascii="Symbol" w:hAnsi="Symbol" w:hint="default"/>
    </w:rPr>
  </w:style>
  <w:style w:type="character" w:customStyle="1" w:styleId="WW-WW8Num19z1">
    <w:name w:val="WW-WW8Num19z1"/>
    <w:basedOn w:val="Fuentedeprrafopredeter"/>
    <w:rsid w:val="00B15F7D"/>
    <w:rPr>
      <w:rFonts w:ascii="Courier New" w:hAnsi="Courier New" w:cs="Courier New" w:hint="default"/>
    </w:rPr>
  </w:style>
  <w:style w:type="character" w:customStyle="1" w:styleId="WW-WW8Num22z0">
    <w:name w:val="WW-WW8Num22z0"/>
    <w:basedOn w:val="Fuentedeprrafopredeter"/>
    <w:rsid w:val="00B15F7D"/>
    <w:rPr>
      <w:rFonts w:ascii="Symbol" w:hAnsi="Symbol" w:hint="default"/>
      <w:color w:val="000000"/>
    </w:rPr>
  </w:style>
  <w:style w:type="character" w:customStyle="1" w:styleId="WW-WW8Num22z1">
    <w:name w:val="WW-WW8Num22z1"/>
    <w:basedOn w:val="Fuentedeprrafopredeter"/>
    <w:rsid w:val="00B15F7D"/>
    <w:rPr>
      <w:rFonts w:ascii="Courier New" w:hAnsi="Courier New" w:cs="Courier New" w:hint="default"/>
    </w:rPr>
  </w:style>
  <w:style w:type="character" w:customStyle="1" w:styleId="WW-WW8Num26z0">
    <w:name w:val="WW-WW8Num26z0"/>
    <w:basedOn w:val="Fuentedeprrafopredeter"/>
    <w:rsid w:val="00B15F7D"/>
    <w:rPr>
      <w:rFonts w:ascii="Symbol" w:hAnsi="Symbol" w:hint="default"/>
      <w:color w:val="000000"/>
    </w:rPr>
  </w:style>
  <w:style w:type="character" w:customStyle="1" w:styleId="WW-WW8Num26z1">
    <w:name w:val="WW-WW8Num26z1"/>
    <w:basedOn w:val="Fuentedeprrafopredeter"/>
    <w:rsid w:val="00B15F7D"/>
    <w:rPr>
      <w:rFonts w:ascii="Courier New" w:hAnsi="Courier New" w:cs="Courier New" w:hint="default"/>
    </w:rPr>
  </w:style>
  <w:style w:type="character" w:customStyle="1" w:styleId="WW-WW8Num27z0">
    <w:name w:val="WW-WW8Num27z0"/>
    <w:basedOn w:val="Fuentedeprrafopredeter"/>
    <w:rsid w:val="00B15F7D"/>
    <w:rPr>
      <w:rFonts w:ascii="Symbol" w:hAnsi="Symbol" w:hint="default"/>
      <w:color w:val="000000"/>
    </w:rPr>
  </w:style>
  <w:style w:type="character" w:customStyle="1" w:styleId="WW-WW8Num29z0">
    <w:name w:val="WW-WW8Num29z0"/>
    <w:basedOn w:val="Fuentedeprrafopredeter"/>
    <w:rsid w:val="00B15F7D"/>
  </w:style>
  <w:style w:type="character" w:customStyle="1" w:styleId="WW-WW8Num31z0">
    <w:name w:val="WW-WW8Num31z0"/>
    <w:basedOn w:val="Fuentedeprrafopredeter"/>
    <w:rsid w:val="00B15F7D"/>
    <w:rPr>
      <w:rFonts w:ascii="Calibri" w:hAnsi="Calibri" w:cs="Calibri" w:hint="default"/>
    </w:rPr>
  </w:style>
  <w:style w:type="character" w:customStyle="1" w:styleId="WW-WW8Num31z1">
    <w:name w:val="WW-WW8Num31z1"/>
    <w:basedOn w:val="Fuentedeprrafopredeter"/>
    <w:rsid w:val="00B15F7D"/>
    <w:rPr>
      <w:rFonts w:ascii="Courier New" w:hAnsi="Courier New" w:cs="Courier New" w:hint="default"/>
    </w:rPr>
  </w:style>
  <w:style w:type="character" w:customStyle="1" w:styleId="315135612z0">
    <w:name w:val="315135612z0"/>
    <w:basedOn w:val="Fuentedeprrafopredeter"/>
    <w:rsid w:val="00B15F7D"/>
    <w:rPr>
      <w:rFonts w:ascii="Wingdings" w:hAnsi="Wingdings" w:hint="default"/>
    </w:rPr>
  </w:style>
  <w:style w:type="character" w:customStyle="1" w:styleId="315135612z1">
    <w:name w:val="315135612z1"/>
    <w:basedOn w:val="Fuentedeprrafopredeter"/>
    <w:rsid w:val="00B15F7D"/>
    <w:rPr>
      <w:rFonts w:ascii="Courier New" w:hAnsi="Courier New" w:cs="Courier New" w:hint="default"/>
    </w:rPr>
  </w:style>
  <w:style w:type="character" w:customStyle="1" w:styleId="315135612z3">
    <w:name w:val="315135612z3"/>
    <w:basedOn w:val="Fuentedeprrafopredeter"/>
    <w:rsid w:val="00B15F7D"/>
    <w:rPr>
      <w:rFonts w:ascii="Symbol" w:hAnsi="Symbol" w:hint="default"/>
    </w:rPr>
  </w:style>
  <w:style w:type="character" w:customStyle="1" w:styleId="315628794z0">
    <w:name w:val="315628794z0"/>
    <w:basedOn w:val="Fuentedeprrafopredeter"/>
    <w:rsid w:val="00B15F7D"/>
    <w:rPr>
      <w:rFonts w:ascii="Wingdings" w:hAnsi="Wingdings" w:hint="default"/>
    </w:rPr>
  </w:style>
  <w:style w:type="character" w:customStyle="1" w:styleId="315628794z1">
    <w:name w:val="315628794z1"/>
    <w:basedOn w:val="Fuentedeprrafopredeter"/>
    <w:rsid w:val="00B15F7D"/>
    <w:rPr>
      <w:rFonts w:ascii="Courier New" w:hAnsi="Courier New" w:cs="Courier New" w:hint="default"/>
    </w:rPr>
  </w:style>
  <w:style w:type="character" w:customStyle="1" w:styleId="315628794z2">
    <w:name w:val="315628794z2"/>
    <w:basedOn w:val="Fuentedeprrafopredeter"/>
    <w:rsid w:val="00B15F7D"/>
    <w:rPr>
      <w:rFonts w:ascii="Symbol" w:hAnsi="Symbol" w:hint="default"/>
    </w:rPr>
  </w:style>
  <w:style w:type="character" w:customStyle="1" w:styleId="WW-Absatz-Standardschriftart123">
    <w:name w:val="WW-Absatz-Standardschriftart123"/>
    <w:basedOn w:val="Fuentedeprrafopredeter"/>
    <w:rsid w:val="00B15F7D"/>
  </w:style>
  <w:style w:type="character" w:customStyle="1" w:styleId="343912882z0">
    <w:name w:val="343912882z0"/>
    <w:basedOn w:val="Fuentedeprrafopredeter"/>
    <w:rsid w:val="00B15F7D"/>
    <w:rPr>
      <w:rFonts w:ascii="Times New Roman" w:hAnsi="Times New Roman" w:cs="Times New Roman" w:hint="default"/>
    </w:rPr>
  </w:style>
  <w:style w:type="character" w:customStyle="1" w:styleId="343912883z0">
    <w:name w:val="343912883z0"/>
    <w:basedOn w:val="Fuentedeprrafopredeter"/>
    <w:rsid w:val="00B15F7D"/>
    <w:rPr>
      <w:rFonts w:ascii="Symbol" w:hAnsi="Symbol" w:hint="default"/>
    </w:rPr>
  </w:style>
  <w:style w:type="character" w:customStyle="1" w:styleId="343912886z0">
    <w:name w:val="343912886z0"/>
    <w:basedOn w:val="Fuentedeprrafopredeter"/>
    <w:rsid w:val="00B15F7D"/>
    <w:rPr>
      <w:rFonts w:ascii="Symbol" w:hAnsi="Symbol" w:hint="default"/>
    </w:rPr>
  </w:style>
  <w:style w:type="character" w:customStyle="1" w:styleId="WW-Absatz-Standardschriftart1234">
    <w:name w:val="WW-Absatz-Standardschriftart1234"/>
    <w:basedOn w:val="Fuentedeprrafopredeter"/>
    <w:rsid w:val="00B15F7D"/>
  </w:style>
  <w:style w:type="character" w:customStyle="1" w:styleId="RTFNum31">
    <w:name w:val="RTF_Num 3 1"/>
    <w:basedOn w:val="Fuentedeprrafopredeter"/>
    <w:rsid w:val="00B15F7D"/>
    <w:rPr>
      <w:rFonts w:ascii="Symbol" w:hAnsi="Symbol" w:hint="default"/>
    </w:rPr>
  </w:style>
  <w:style w:type="character" w:customStyle="1" w:styleId="353613364z0">
    <w:name w:val="353613364z0"/>
    <w:basedOn w:val="Fuentedeprrafopredeter"/>
    <w:rsid w:val="00B15F7D"/>
    <w:rPr>
      <w:rFonts w:ascii="Wingdings" w:hAnsi="Wingdings" w:hint="default"/>
    </w:rPr>
  </w:style>
  <w:style w:type="character" w:customStyle="1" w:styleId="A2">
    <w:name w:val="A2"/>
    <w:basedOn w:val="Fuentedeprrafopredeter"/>
    <w:rsid w:val="00B15F7D"/>
    <w:rPr>
      <w:rFonts w:ascii="ITC New Baskerville Std" w:hAnsi="ITC New Baskerville Std" w:hint="default"/>
      <w:color w:val="000000"/>
    </w:rPr>
  </w:style>
  <w:style w:type="character" w:customStyle="1" w:styleId="A7">
    <w:name w:val="A7"/>
    <w:basedOn w:val="Fuentedeprrafopredeter"/>
    <w:rsid w:val="00B15F7D"/>
    <w:rPr>
      <w:rFonts w:ascii="ITC New Baskerville Std" w:hAnsi="ITC New Baskerville Std" w:hint="default"/>
      <w:color w:val="000000"/>
    </w:rPr>
  </w:style>
  <w:style w:type="character" w:customStyle="1" w:styleId="BodyTextChar">
    <w:name w:val="Body Text Char"/>
    <w:basedOn w:val="Fuentedeprrafopredeter"/>
    <w:qFormat/>
    <w:rsid w:val="00B15F7D"/>
    <w:rPr>
      <w:rFonts w:ascii="Times New Roman" w:hAnsi="Times New Roman" w:cs="Times New Roman" w:hint="default"/>
    </w:rPr>
  </w:style>
  <w:style w:type="character" w:customStyle="1" w:styleId="TitleChar">
    <w:name w:val="Title Char"/>
    <w:basedOn w:val="Fuentedeprrafopredeter"/>
    <w:rsid w:val="00B15F7D"/>
    <w:rPr>
      <w:rFonts w:ascii="Cambria" w:hAnsi="Cambria" w:hint="default"/>
      <w:b/>
      <w:bCs/>
    </w:rPr>
  </w:style>
  <w:style w:type="character" w:customStyle="1" w:styleId="BodyTextIndentChar">
    <w:name w:val="Body Text Indent Char"/>
    <w:basedOn w:val="Fuentedeprrafopredeter"/>
    <w:rsid w:val="00B15F7D"/>
    <w:rPr>
      <w:rFonts w:ascii="Times New Roman" w:hAnsi="Times New Roman" w:cs="Times New Roman" w:hint="default"/>
    </w:rPr>
  </w:style>
  <w:style w:type="character" w:customStyle="1" w:styleId="SubtitleChar">
    <w:name w:val="Subtitle Char"/>
    <w:basedOn w:val="Fuentedeprrafopredeter"/>
    <w:rsid w:val="00B15F7D"/>
    <w:rPr>
      <w:rFonts w:ascii="Cambria" w:hAnsi="Cambria" w:hint="default"/>
    </w:rPr>
  </w:style>
  <w:style w:type="character" w:customStyle="1" w:styleId="SignatureChar">
    <w:name w:val="Signature Char"/>
    <w:basedOn w:val="Fuentedeprrafopredeter"/>
    <w:rsid w:val="00B15F7D"/>
    <w:rPr>
      <w:rFonts w:ascii="Times New Roman" w:hAnsi="Times New Roman" w:cs="Times New Roman" w:hint="default"/>
    </w:rPr>
  </w:style>
  <w:style w:type="character" w:customStyle="1" w:styleId="EndnoteTextChar">
    <w:name w:val="Endnote Text Char"/>
    <w:basedOn w:val="Fuentedeprrafopredeter"/>
    <w:rsid w:val="00B15F7D"/>
    <w:rPr>
      <w:rFonts w:ascii="Times New Roman" w:hAnsi="Times New Roman" w:cs="Times New Roman" w:hint="default"/>
    </w:rPr>
  </w:style>
  <w:style w:type="character" w:customStyle="1" w:styleId="BalloonTextChar">
    <w:name w:val="Balloon Text Char"/>
    <w:basedOn w:val="Fuentedeprrafopredeter"/>
    <w:rsid w:val="00B15F7D"/>
    <w:rPr>
      <w:rFonts w:ascii="Times New Roman" w:hAnsi="Times New Roman" w:cs="Times New Roman" w:hint="default"/>
    </w:rPr>
  </w:style>
  <w:style w:type="character" w:customStyle="1" w:styleId="Mencinsinresolver2">
    <w:name w:val="Mención sin resolver2"/>
    <w:basedOn w:val="Fuentedeprrafopredeter"/>
    <w:uiPriority w:val="99"/>
    <w:rsid w:val="00B15F7D"/>
    <w:rPr>
      <w:color w:val="808080"/>
      <w:shd w:val="clear" w:color="auto" w:fill="E6E6E6"/>
    </w:rPr>
  </w:style>
  <w:style w:type="character" w:customStyle="1" w:styleId="EstiloCorreo3220">
    <w:name w:val="EstiloCorreo322"/>
    <w:basedOn w:val="Fuentedeprrafopredeter"/>
    <w:rsid w:val="00B15F7D"/>
    <w:rPr>
      <w:rFonts w:ascii="Arial" w:hAnsi="Arial" w:cs="Arial" w:hint="default"/>
      <w:color w:val="000080"/>
    </w:rPr>
  </w:style>
  <w:style w:type="character" w:customStyle="1" w:styleId="nfasis2">
    <w:name w:val="Énfasis2"/>
    <w:basedOn w:val="Fuentedeprrafopredeter"/>
    <w:rsid w:val="00B15F7D"/>
    <w:rPr>
      <w:i/>
      <w:iCs/>
    </w:rPr>
  </w:style>
  <w:style w:type="character" w:customStyle="1" w:styleId="Hipervnculovisitado1">
    <w:name w:val="Hipervínculo visitado1"/>
    <w:basedOn w:val="Fuentedeprrafopredeter"/>
    <w:rsid w:val="00B15F7D"/>
    <w:rPr>
      <w:color w:val="800080"/>
      <w:u w:val="single"/>
    </w:rPr>
  </w:style>
  <w:style w:type="character" w:customStyle="1" w:styleId="highlight">
    <w:name w:val="highlight"/>
    <w:basedOn w:val="Fuentedeprrafopredeter"/>
    <w:rsid w:val="00B15F7D"/>
  </w:style>
  <w:style w:type="character" w:customStyle="1" w:styleId="estilocorreo1285">
    <w:name w:val="estilocorreo1285"/>
    <w:basedOn w:val="Fuentedeprrafopredeter"/>
    <w:rsid w:val="00B15F7D"/>
    <w:rPr>
      <w:rFonts w:ascii="Arial" w:hAnsi="Arial" w:cs="Arial" w:hint="default"/>
      <w:color w:val="auto"/>
    </w:rPr>
  </w:style>
  <w:style w:type="character" w:customStyle="1" w:styleId="EstiloCorreo3441">
    <w:name w:val="EstiloCorreo3441"/>
    <w:basedOn w:val="Fuentedeprrafopredeter"/>
    <w:rsid w:val="00B15F7D"/>
    <w:rPr>
      <w:rFonts w:ascii="Arial" w:hAnsi="Arial" w:cs="Arial" w:hint="default"/>
      <w:color w:val="auto"/>
    </w:rPr>
  </w:style>
  <w:style w:type="character" w:customStyle="1" w:styleId="EstiloCorreo3094">
    <w:name w:val="EstiloCorreo3094"/>
    <w:basedOn w:val="Fuentedeprrafopredeter"/>
    <w:rsid w:val="00B15F7D"/>
    <w:rPr>
      <w:rFonts w:ascii="Arial" w:hAnsi="Arial" w:cs="Arial" w:hint="default"/>
      <w:color w:val="000080"/>
    </w:rPr>
  </w:style>
  <w:style w:type="character" w:customStyle="1" w:styleId="nacep">
    <w:name w:val="n_acep"/>
    <w:basedOn w:val="Fuentedeprrafopredeter"/>
    <w:rsid w:val="00B15F7D"/>
  </w:style>
  <w:style w:type="character" w:customStyle="1" w:styleId="st">
    <w:name w:val="st"/>
    <w:basedOn w:val="Fuentedeprrafopredeter"/>
    <w:rsid w:val="00B15F7D"/>
  </w:style>
  <w:style w:type="character" w:customStyle="1" w:styleId="Mencinsinresolver3">
    <w:name w:val="Mención sin resolver3"/>
    <w:basedOn w:val="Fuentedeprrafopredeter"/>
    <w:uiPriority w:val="99"/>
    <w:rsid w:val="00B15F7D"/>
    <w:rPr>
      <w:color w:val="605E5C"/>
      <w:shd w:val="clear" w:color="auto" w:fill="E1DFDD"/>
    </w:rPr>
  </w:style>
  <w:style w:type="character" w:customStyle="1" w:styleId="TextonotaalfinalCar2">
    <w:name w:val="Texto nota al final Car2"/>
    <w:basedOn w:val="Fuentedeprrafopredeter"/>
    <w:rsid w:val="00B15F7D"/>
    <w:rPr>
      <w:lang w:eastAsia="es-ES"/>
    </w:rPr>
  </w:style>
  <w:style w:type="character" w:customStyle="1" w:styleId="EstiloCorreo651">
    <w:name w:val="EstiloCorreo651"/>
    <w:basedOn w:val="Fuentedeprrafopredeter"/>
    <w:rsid w:val="00B15F7D"/>
    <w:rPr>
      <w:rFonts w:ascii="Arial" w:hAnsi="Arial" w:cs="Arial" w:hint="default"/>
      <w:color w:val="000080"/>
    </w:rPr>
  </w:style>
  <w:style w:type="character" w:customStyle="1" w:styleId="EstiloCorreo861">
    <w:name w:val="EstiloCorreo861"/>
    <w:basedOn w:val="Fuentedeprrafopredeter"/>
    <w:rsid w:val="00B15F7D"/>
    <w:rPr>
      <w:rFonts w:ascii="Arial" w:hAnsi="Arial" w:cs="Arial" w:hint="default"/>
      <w:color w:val="000080"/>
    </w:rPr>
  </w:style>
  <w:style w:type="character" w:customStyle="1" w:styleId="EstiloCorreo1431">
    <w:name w:val="EstiloCorreo1431"/>
    <w:basedOn w:val="Fuentedeprrafopredeter"/>
    <w:rsid w:val="00B15F7D"/>
    <w:rPr>
      <w:rFonts w:ascii="Arial" w:hAnsi="Arial" w:cs="Arial" w:hint="default"/>
      <w:color w:val="000080"/>
    </w:rPr>
  </w:style>
  <w:style w:type="character" w:customStyle="1" w:styleId="EstiloCorreo1551">
    <w:name w:val="EstiloCorreo1551"/>
    <w:basedOn w:val="Fuentedeprrafopredeter"/>
    <w:rsid w:val="00B15F7D"/>
    <w:rPr>
      <w:rFonts w:ascii="Arial" w:hAnsi="Arial" w:cs="Arial" w:hint="default"/>
      <w:color w:val="auto"/>
    </w:rPr>
  </w:style>
  <w:style w:type="character" w:customStyle="1" w:styleId="EstiloCorreo157">
    <w:name w:val="EstiloCorreo157"/>
    <w:basedOn w:val="Fuentedeprrafopredeter"/>
    <w:rsid w:val="00B15F7D"/>
    <w:rPr>
      <w:rFonts w:ascii="Arial" w:hAnsi="Arial" w:cs="Arial" w:hint="default"/>
      <w:color w:val="000080"/>
    </w:rPr>
  </w:style>
  <w:style w:type="character" w:customStyle="1" w:styleId="EstiloCorreo1741">
    <w:name w:val="EstiloCorreo1741"/>
    <w:basedOn w:val="Fuentedeprrafopredeter"/>
    <w:rsid w:val="00B15F7D"/>
    <w:rPr>
      <w:rFonts w:ascii="Arial" w:hAnsi="Arial" w:cs="Arial" w:hint="default"/>
      <w:color w:val="auto"/>
    </w:rPr>
  </w:style>
  <w:style w:type="character" w:customStyle="1" w:styleId="EstiloCorreo1751">
    <w:name w:val="EstiloCorreo1751"/>
    <w:basedOn w:val="Fuentedeprrafopredeter"/>
    <w:rsid w:val="00B15F7D"/>
    <w:rPr>
      <w:rFonts w:ascii="Arial" w:hAnsi="Arial" w:cs="Arial" w:hint="default"/>
      <w:color w:val="auto"/>
    </w:rPr>
  </w:style>
  <w:style w:type="character" w:customStyle="1" w:styleId="EstiloCorreo2521">
    <w:name w:val="EstiloCorreo2521"/>
    <w:basedOn w:val="Fuentedeprrafopredeter"/>
    <w:rsid w:val="00B15F7D"/>
    <w:rPr>
      <w:rFonts w:ascii="Palatino Linotype" w:hAnsi="Palatino Linotype" w:hint="default"/>
      <w:b/>
      <w:bCs/>
      <w:color w:val="auto"/>
    </w:rPr>
  </w:style>
  <w:style w:type="character" w:customStyle="1" w:styleId="EstiloCorreo2601">
    <w:name w:val="EstiloCorreo2601"/>
    <w:basedOn w:val="Fuentedeprrafopredeter"/>
    <w:rsid w:val="00B15F7D"/>
    <w:rPr>
      <w:color w:val="000000"/>
    </w:rPr>
  </w:style>
  <w:style w:type="character" w:customStyle="1" w:styleId="EstiloCorreo2841">
    <w:name w:val="EstiloCorreo2841"/>
    <w:basedOn w:val="Fuentedeprrafopredeter"/>
    <w:rsid w:val="00B15F7D"/>
    <w:rPr>
      <w:rFonts w:ascii="Arial" w:hAnsi="Arial" w:cs="Arial" w:hint="default"/>
      <w:color w:val="auto"/>
    </w:rPr>
  </w:style>
  <w:style w:type="character" w:customStyle="1" w:styleId="EstiloCorreo2861">
    <w:name w:val="EstiloCorreo2861"/>
    <w:basedOn w:val="Fuentedeprrafopredeter"/>
    <w:rsid w:val="00B15F7D"/>
    <w:rPr>
      <w:rFonts w:ascii="Arial" w:hAnsi="Arial" w:cs="Arial" w:hint="default"/>
      <w:color w:val="000080"/>
    </w:rPr>
  </w:style>
  <w:style w:type="character" w:customStyle="1" w:styleId="EstiloCorreo3191">
    <w:name w:val="EstiloCorreo3191"/>
    <w:basedOn w:val="Fuentedeprrafopredeter"/>
    <w:rsid w:val="00B15F7D"/>
    <w:rPr>
      <w:rFonts w:ascii="Tahoma" w:hAnsi="Tahoma" w:cs="Tahoma" w:hint="default"/>
      <w:b w:val="0"/>
      <w:bCs w:val="0"/>
      <w:i w:val="0"/>
      <w:iCs w:val="0"/>
      <w:color w:val="auto"/>
    </w:rPr>
  </w:style>
  <w:style w:type="character" w:customStyle="1" w:styleId="EstiloCorreo3201">
    <w:name w:val="EstiloCorreo3201"/>
    <w:basedOn w:val="Fuentedeprrafopredeter"/>
    <w:rsid w:val="00B15F7D"/>
    <w:rPr>
      <w:rFonts w:ascii="Tahoma" w:hAnsi="Tahoma" w:cs="Tahoma" w:hint="default"/>
      <w:b w:val="0"/>
      <w:bCs w:val="0"/>
      <w:i w:val="0"/>
      <w:iCs w:val="0"/>
      <w:color w:val="auto"/>
    </w:rPr>
  </w:style>
  <w:style w:type="character" w:customStyle="1" w:styleId="EstiloCorreo3211">
    <w:name w:val="EstiloCorreo3211"/>
    <w:basedOn w:val="Fuentedeprrafopredeter"/>
    <w:rsid w:val="00B15F7D"/>
    <w:rPr>
      <w:color w:val="000000"/>
    </w:rPr>
  </w:style>
  <w:style w:type="character" w:customStyle="1" w:styleId="EstiloCorreo3891">
    <w:name w:val="EstiloCorreo3891"/>
    <w:basedOn w:val="Fuentedeprrafopredeter"/>
    <w:rsid w:val="00B15F7D"/>
    <w:rPr>
      <w:rFonts w:ascii="Book Antiqua" w:hAnsi="Book Antiqua" w:hint="default"/>
      <w:b w:val="0"/>
      <w:bCs w:val="0"/>
      <w:i w:val="0"/>
      <w:iCs w:val="0"/>
      <w:strike w:val="0"/>
      <w:dstrike w:val="0"/>
      <w:color w:val="auto"/>
      <w:u w:val="none"/>
      <w:effect w:val="none"/>
    </w:rPr>
  </w:style>
  <w:style w:type="character" w:customStyle="1" w:styleId="EstiloCorreo4321">
    <w:name w:val="EstiloCorreo4321"/>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EstiloCorreo4981">
    <w:name w:val="EstiloCorreo4981"/>
    <w:basedOn w:val="Fuentedeprrafopredeter"/>
    <w:rsid w:val="00B15F7D"/>
    <w:rPr>
      <w:rFonts w:ascii="Arial" w:hAnsi="Arial" w:cs="Arial" w:hint="default"/>
      <w:color w:val="auto"/>
    </w:rPr>
  </w:style>
  <w:style w:type="character" w:customStyle="1" w:styleId="EstiloCorreo683">
    <w:name w:val="EstiloCorreo683"/>
    <w:basedOn w:val="Fuentedeprrafopredeter"/>
    <w:rsid w:val="00B15F7D"/>
    <w:rPr>
      <w:rFonts w:ascii="Arial" w:hAnsi="Arial" w:cs="Arial" w:hint="default"/>
      <w:color w:val="auto"/>
    </w:rPr>
  </w:style>
  <w:style w:type="character" w:customStyle="1" w:styleId="EstiloCorreo684">
    <w:name w:val="EstiloCorreo684"/>
    <w:basedOn w:val="Fuentedeprrafopredeter"/>
    <w:rsid w:val="00B15F7D"/>
    <w:rPr>
      <w:rFonts w:ascii="Arial" w:hAnsi="Arial" w:cs="Arial" w:hint="default"/>
      <w:color w:val="000080"/>
    </w:rPr>
  </w:style>
  <w:style w:type="character" w:customStyle="1" w:styleId="EstiloCorreo685">
    <w:name w:val="EstiloCorreo685"/>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EstiloCorreo686">
    <w:name w:val="EstiloCorreo686"/>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EstiloCorreo6871">
    <w:name w:val="EstiloCorreo6871"/>
    <w:basedOn w:val="Fuentedeprrafopredeter"/>
    <w:rsid w:val="00B15F7D"/>
    <w:rPr>
      <w:rFonts w:ascii="Arial" w:hAnsi="Arial" w:cs="Arial" w:hint="default"/>
      <w:b w:val="0"/>
      <w:bCs w:val="0"/>
      <w:i w:val="0"/>
      <w:iCs w:val="0"/>
      <w:strike w:val="0"/>
      <w:dstrike w:val="0"/>
      <w:color w:val="auto"/>
      <w:u w:val="none"/>
      <w:effect w:val="none"/>
    </w:rPr>
  </w:style>
  <w:style w:type="character" w:customStyle="1" w:styleId="Ancladenotaalpie">
    <w:name w:val="Ancla de nota al pie"/>
    <w:basedOn w:val="Fuentedeprrafopredeter"/>
    <w:rsid w:val="00B15F7D"/>
    <w:rPr>
      <w:vertAlign w:val="superscript"/>
    </w:rPr>
  </w:style>
  <w:style w:type="character" w:customStyle="1" w:styleId="EstiloCorreo8231">
    <w:name w:val="EstiloCorreo8231"/>
    <w:basedOn w:val="Fuentedeprrafopredeter"/>
    <w:rsid w:val="00B15F7D"/>
    <w:rPr>
      <w:color w:val="000000"/>
    </w:rPr>
  </w:style>
  <w:style w:type="character" w:customStyle="1" w:styleId="EstiloCorreo828">
    <w:name w:val="EstiloCorreo828"/>
    <w:basedOn w:val="Fuentedeprrafopredeter"/>
    <w:rsid w:val="00B15F7D"/>
    <w:rPr>
      <w:rFonts w:ascii="Arial" w:hAnsi="Arial" w:cs="Arial" w:hint="default"/>
      <w:color w:val="auto"/>
    </w:rPr>
  </w:style>
  <w:style w:type="character" w:customStyle="1" w:styleId="EstiloCorreo9791">
    <w:name w:val="EstiloCorreo9791"/>
    <w:basedOn w:val="Fuentedeprrafopredeter"/>
    <w:rsid w:val="00B15F7D"/>
    <w:rPr>
      <w:rFonts w:ascii="Arial" w:hAnsi="Arial" w:cs="Arial" w:hint="default"/>
      <w:color w:val="auto"/>
    </w:rPr>
  </w:style>
  <w:style w:type="character" w:customStyle="1" w:styleId="EstiloCorreo9831">
    <w:name w:val="EstiloCorreo9831"/>
    <w:basedOn w:val="Fuentedeprrafopredeter"/>
    <w:rsid w:val="00B15F7D"/>
    <w:rPr>
      <w:rFonts w:ascii="Arial" w:hAnsi="Arial" w:cs="Arial" w:hint="default"/>
      <w:color w:val="000080"/>
    </w:rPr>
  </w:style>
  <w:style w:type="character" w:customStyle="1" w:styleId="EstiloCorreo9841">
    <w:name w:val="EstiloCorreo9841"/>
    <w:basedOn w:val="Fuentedeprrafopredeter"/>
    <w:rsid w:val="00B15F7D"/>
    <w:rPr>
      <w:rFonts w:ascii="Arial" w:hAnsi="Arial" w:cs="Arial" w:hint="default"/>
      <w:color w:val="auto"/>
    </w:rPr>
  </w:style>
  <w:style w:type="character" w:customStyle="1" w:styleId="EstiloCorreo9851">
    <w:name w:val="EstiloCorreo9851"/>
    <w:basedOn w:val="Fuentedeprrafopredeter"/>
    <w:rsid w:val="00B15F7D"/>
    <w:rPr>
      <w:rFonts w:ascii="Arial" w:hAnsi="Arial" w:cs="Arial" w:hint="default"/>
      <w:color w:val="000080"/>
    </w:rPr>
  </w:style>
  <w:style w:type="character" w:customStyle="1" w:styleId="EstiloCorreo9861">
    <w:name w:val="EstiloCorreo9861"/>
    <w:basedOn w:val="Fuentedeprrafopredeter"/>
    <w:rsid w:val="00B15F7D"/>
    <w:rPr>
      <w:rFonts w:ascii="Arial" w:hAnsi="Arial" w:cs="Arial" w:hint="default"/>
      <w:color w:val="auto"/>
    </w:rPr>
  </w:style>
  <w:style w:type="character" w:customStyle="1" w:styleId="EstiloCorreo987">
    <w:name w:val="EstiloCorreo987"/>
    <w:basedOn w:val="Fuentedeprrafopredeter"/>
    <w:rsid w:val="00B15F7D"/>
    <w:rPr>
      <w:rFonts w:ascii="Arial" w:hAnsi="Arial" w:cs="Arial" w:hint="default"/>
      <w:color w:val="auto"/>
    </w:rPr>
  </w:style>
  <w:style w:type="character" w:customStyle="1" w:styleId="EstiloCorreo989">
    <w:name w:val="EstiloCorreo989"/>
    <w:basedOn w:val="Fuentedeprrafopredeter"/>
    <w:rsid w:val="00B15F7D"/>
    <w:rPr>
      <w:rFonts w:ascii="Palatino Linotype" w:hAnsi="Palatino Linotype" w:hint="default"/>
      <w:b/>
      <w:bCs/>
      <w:color w:val="auto"/>
    </w:rPr>
  </w:style>
  <w:style w:type="character" w:customStyle="1" w:styleId="EstiloCorreo990">
    <w:name w:val="EstiloCorreo990"/>
    <w:basedOn w:val="Fuentedeprrafopredeter"/>
    <w:rsid w:val="00B15F7D"/>
    <w:rPr>
      <w:color w:val="000000"/>
    </w:rPr>
  </w:style>
  <w:style w:type="character" w:customStyle="1" w:styleId="EstiloCorreo991">
    <w:name w:val="EstiloCorreo991"/>
    <w:basedOn w:val="Fuentedeprrafopredeter"/>
    <w:rsid w:val="00B15F7D"/>
    <w:rPr>
      <w:rFonts w:ascii="Arial" w:hAnsi="Arial" w:cs="Arial" w:hint="default"/>
      <w:color w:val="000080"/>
    </w:rPr>
  </w:style>
  <w:style w:type="character" w:customStyle="1" w:styleId="EstiloCorreo9921">
    <w:name w:val="EstiloCorreo9921"/>
    <w:basedOn w:val="Fuentedeprrafopredeter"/>
    <w:rsid w:val="00B15F7D"/>
    <w:rPr>
      <w:rFonts w:ascii="Arial" w:hAnsi="Arial" w:cs="Arial" w:hint="default"/>
      <w:color w:val="auto"/>
    </w:rPr>
  </w:style>
  <w:style w:type="character" w:customStyle="1" w:styleId="EstiloCorreo993">
    <w:name w:val="EstiloCorreo993"/>
    <w:basedOn w:val="Fuentedeprrafopredeter"/>
    <w:rsid w:val="00B15F7D"/>
    <w:rPr>
      <w:rFonts w:ascii="Arial" w:hAnsi="Arial" w:cs="Arial" w:hint="default"/>
      <w:color w:val="000080"/>
    </w:rPr>
  </w:style>
  <w:style w:type="character" w:customStyle="1" w:styleId="EstiloCorreo994">
    <w:name w:val="EstiloCorreo994"/>
    <w:basedOn w:val="Fuentedeprrafopredeter"/>
    <w:rsid w:val="00B15F7D"/>
    <w:rPr>
      <w:rFonts w:ascii="Tahoma" w:hAnsi="Tahoma" w:cs="Tahoma" w:hint="default"/>
      <w:color w:val="auto"/>
    </w:rPr>
  </w:style>
  <w:style w:type="character" w:customStyle="1" w:styleId="EstiloCorreo995">
    <w:name w:val="EstiloCorreo995"/>
    <w:basedOn w:val="Fuentedeprrafopredeter"/>
    <w:rsid w:val="00B15F7D"/>
    <w:rPr>
      <w:rFonts w:ascii="Tahoma" w:hAnsi="Tahoma" w:cs="Tahoma" w:hint="default"/>
      <w:color w:val="auto"/>
    </w:rPr>
  </w:style>
  <w:style w:type="character" w:customStyle="1" w:styleId="StrongEmphasis">
    <w:name w:val="Strong Emphasis"/>
    <w:basedOn w:val="Fuentedeprrafopredeter"/>
    <w:qFormat/>
    <w:rsid w:val="00B15F7D"/>
    <w:rPr>
      <w:b/>
      <w:bCs/>
      <w:color w:val="000000"/>
      <w:shd w:val="clear" w:color="auto" w:fill="FFFFFF"/>
    </w:rPr>
  </w:style>
  <w:style w:type="character" w:customStyle="1" w:styleId="BulletSymbols">
    <w:name w:val="Bullet Symbols"/>
    <w:basedOn w:val="Fuentedeprrafopredeter"/>
    <w:rsid w:val="00B15F7D"/>
    <w:rPr>
      <w:rFonts w:ascii="Arial Unicode MS" w:eastAsia="Arial Unicode MS" w:hAnsi="Arial Unicode MS" w:cs="Arial Unicode MS" w:hint="eastAsia"/>
      <w:color w:val="000000"/>
      <w:shd w:val="clear" w:color="auto" w:fill="FFFFFF"/>
    </w:rPr>
  </w:style>
  <w:style w:type="character" w:customStyle="1" w:styleId="RTFNum32">
    <w:name w:val="RTF_Num 3 2"/>
    <w:basedOn w:val="Fuentedeprrafopredeter"/>
    <w:rsid w:val="00B15F7D"/>
    <w:rPr>
      <w:rFonts w:ascii="Wingdings" w:hAnsi="Wingdings" w:hint="default"/>
      <w:color w:val="000000"/>
      <w:u w:val="single"/>
      <w:shd w:val="clear" w:color="auto" w:fill="FFFFFF"/>
    </w:rPr>
  </w:style>
  <w:style w:type="character" w:customStyle="1" w:styleId="RTFNum33">
    <w:name w:val="RTF_Num 3 3"/>
    <w:basedOn w:val="Fuentedeprrafopredeter"/>
    <w:rsid w:val="00B15F7D"/>
    <w:rPr>
      <w:rFonts w:ascii="Arial Unicode MS" w:eastAsia="Arial Unicode MS" w:hAnsi="Arial Unicode MS" w:cs="Arial Unicode MS" w:hint="eastAsia"/>
      <w:color w:val="000000"/>
      <w:shd w:val="clear" w:color="auto" w:fill="FFFFFF"/>
    </w:rPr>
  </w:style>
  <w:style w:type="character" w:customStyle="1" w:styleId="RTFNum34">
    <w:name w:val="RTF_Num 3 4"/>
    <w:basedOn w:val="Fuentedeprrafopredeter"/>
    <w:rsid w:val="00B15F7D"/>
    <w:rPr>
      <w:rFonts w:ascii="Arial Unicode MS" w:eastAsia="Arial Unicode MS" w:hAnsi="Arial Unicode MS" w:cs="Arial Unicode MS" w:hint="eastAsia"/>
      <w:color w:val="000000"/>
      <w:shd w:val="clear" w:color="auto" w:fill="FFFFFF"/>
    </w:rPr>
  </w:style>
  <w:style w:type="character" w:customStyle="1" w:styleId="RTFNum35">
    <w:name w:val="RTF_Num 3 5"/>
    <w:basedOn w:val="Fuentedeprrafopredeter"/>
    <w:rsid w:val="00B15F7D"/>
    <w:rPr>
      <w:rFonts w:ascii="Wingdings 2" w:hAnsi="Wingdings 2" w:hint="default"/>
      <w:color w:val="000000"/>
      <w:shd w:val="clear" w:color="auto" w:fill="FFFFFF"/>
    </w:rPr>
  </w:style>
  <w:style w:type="character" w:customStyle="1" w:styleId="RTFNum36">
    <w:name w:val="RTF_Num 3 6"/>
    <w:basedOn w:val="Fuentedeprrafopredeter"/>
    <w:rsid w:val="00B15F7D"/>
    <w:rPr>
      <w:rFonts w:ascii="Arial Unicode MS" w:eastAsia="Arial Unicode MS" w:hAnsi="Arial Unicode MS" w:cs="Arial Unicode MS" w:hint="eastAsia"/>
      <w:color w:val="000000"/>
      <w:shd w:val="clear" w:color="auto" w:fill="FFFFFF"/>
    </w:rPr>
  </w:style>
  <w:style w:type="character" w:customStyle="1" w:styleId="RTFNum37">
    <w:name w:val="RTF_Num 3 7"/>
    <w:basedOn w:val="Fuentedeprrafopredeter"/>
    <w:rsid w:val="00B15F7D"/>
    <w:rPr>
      <w:rFonts w:ascii="Arial Unicode MS" w:eastAsia="Arial Unicode MS" w:hAnsi="Arial Unicode MS" w:cs="Arial Unicode MS" w:hint="eastAsia"/>
      <w:color w:val="000000"/>
      <w:shd w:val="clear" w:color="auto" w:fill="FFFFFF"/>
    </w:rPr>
  </w:style>
  <w:style w:type="character" w:customStyle="1" w:styleId="RTFNum38">
    <w:name w:val="RTF_Num 3 8"/>
    <w:basedOn w:val="Fuentedeprrafopredeter"/>
    <w:rsid w:val="00B15F7D"/>
    <w:rPr>
      <w:rFonts w:ascii="Wingdings 2" w:hAnsi="Wingdings 2" w:hint="default"/>
      <w:color w:val="000000"/>
      <w:shd w:val="clear" w:color="auto" w:fill="FFFFFF"/>
    </w:rPr>
  </w:style>
  <w:style w:type="character" w:customStyle="1" w:styleId="RTFNum39">
    <w:name w:val="RTF_Num 3 9"/>
    <w:basedOn w:val="Fuentedeprrafopredeter"/>
    <w:rsid w:val="00B15F7D"/>
    <w:rPr>
      <w:rFonts w:ascii="Arial Unicode MS" w:eastAsia="Arial Unicode MS" w:hAnsi="Arial Unicode MS" w:cs="Arial Unicode MS" w:hint="eastAsia"/>
      <w:color w:val="000000"/>
      <w:shd w:val="clear" w:color="auto" w:fill="FFFFFF"/>
    </w:rPr>
  </w:style>
  <w:style w:type="character" w:customStyle="1" w:styleId="RTFNum42">
    <w:name w:val="RTF_Num 4 2"/>
    <w:basedOn w:val="Fuentedeprrafopredeter"/>
    <w:rsid w:val="00B15F7D"/>
    <w:rPr>
      <w:rFonts w:ascii="Wingdings" w:hAnsi="Wingdings" w:hint="default"/>
      <w:color w:val="000000"/>
      <w:u w:val="single"/>
      <w:shd w:val="clear" w:color="auto" w:fill="FFFFFF"/>
    </w:rPr>
  </w:style>
  <w:style w:type="character" w:customStyle="1" w:styleId="RTFNum82">
    <w:name w:val="RTF_Num 8 2"/>
    <w:basedOn w:val="Fuentedeprrafopredeter"/>
    <w:rsid w:val="00B15F7D"/>
    <w:rPr>
      <w:rFonts w:ascii="Symbol" w:hAnsi="Symbol" w:hint="default"/>
      <w:color w:val="000000"/>
      <w:u w:val="single"/>
      <w:shd w:val="clear" w:color="auto" w:fill="FFFFFF"/>
    </w:rPr>
  </w:style>
  <w:style w:type="character" w:customStyle="1" w:styleId="RTFNum122">
    <w:name w:val="RTF_Num 12 2"/>
    <w:basedOn w:val="Fuentedeprrafopredeter"/>
    <w:rsid w:val="00B15F7D"/>
    <w:rPr>
      <w:rFonts w:ascii="Symbol" w:hAnsi="Symbol" w:hint="default"/>
      <w:color w:val="000000"/>
      <w:u w:val="single"/>
      <w:shd w:val="clear" w:color="auto" w:fill="FFFFFF"/>
    </w:rPr>
  </w:style>
  <w:style w:type="character" w:customStyle="1" w:styleId="RTFNum132">
    <w:name w:val="RTF_Num 13 2"/>
    <w:basedOn w:val="Fuentedeprrafopredeter"/>
    <w:rsid w:val="00B15F7D"/>
    <w:rPr>
      <w:rFonts w:ascii="Wingdings" w:hAnsi="Wingdings" w:hint="default"/>
      <w:color w:val="000000"/>
      <w:u w:val="single"/>
      <w:shd w:val="clear" w:color="auto" w:fill="FFFFFF"/>
    </w:rPr>
  </w:style>
  <w:style w:type="character" w:customStyle="1" w:styleId="RTFNum142">
    <w:name w:val="RTF_Num 14 2"/>
    <w:basedOn w:val="Fuentedeprrafopredeter"/>
    <w:rsid w:val="00B15F7D"/>
    <w:rPr>
      <w:rFonts w:ascii="Symbol" w:hAnsi="Symbol" w:hint="default"/>
      <w:color w:val="000000"/>
      <w:u w:val="single"/>
      <w:shd w:val="clear" w:color="auto" w:fill="FFFFFF"/>
    </w:rPr>
  </w:style>
  <w:style w:type="character" w:customStyle="1" w:styleId="RTFNum152">
    <w:name w:val="RTF_Num 15 2"/>
    <w:basedOn w:val="Fuentedeprrafopredeter"/>
    <w:rsid w:val="00B15F7D"/>
    <w:rPr>
      <w:rFonts w:ascii="Symbol" w:hAnsi="Symbol" w:hint="default"/>
      <w:color w:val="000000"/>
      <w:u w:val="single"/>
      <w:shd w:val="clear" w:color="auto" w:fill="FFFFFF"/>
    </w:rPr>
  </w:style>
  <w:style w:type="character" w:customStyle="1" w:styleId="RTFNum162">
    <w:name w:val="RTF_Num 16 2"/>
    <w:basedOn w:val="Fuentedeprrafopredeter"/>
    <w:rsid w:val="00B15F7D"/>
    <w:rPr>
      <w:rFonts w:ascii="Wingdings" w:hAnsi="Wingdings" w:hint="default"/>
      <w:color w:val="000000"/>
      <w:u w:val="single"/>
      <w:shd w:val="clear" w:color="auto" w:fill="FFFFFF"/>
    </w:rPr>
  </w:style>
  <w:style w:type="character" w:customStyle="1" w:styleId="RTFNum182">
    <w:name w:val="RTF_Num 18 2"/>
    <w:basedOn w:val="Fuentedeprrafopredeter"/>
    <w:rsid w:val="00B15F7D"/>
    <w:rPr>
      <w:rFonts w:ascii="Symbol" w:hAnsi="Symbol" w:hint="default"/>
      <w:color w:val="000000"/>
      <w:u w:val="single"/>
      <w:shd w:val="clear" w:color="auto" w:fill="FFFFFF"/>
    </w:rPr>
  </w:style>
  <w:style w:type="character" w:customStyle="1" w:styleId="RTFNum192">
    <w:name w:val="RTF_Num 19 2"/>
    <w:basedOn w:val="Fuentedeprrafopredeter"/>
    <w:rsid w:val="00B15F7D"/>
    <w:rPr>
      <w:rFonts w:ascii="Symbol" w:hAnsi="Symbol" w:hint="default"/>
      <w:color w:val="000000"/>
      <w:u w:val="single"/>
      <w:shd w:val="clear" w:color="auto" w:fill="FFFFFF"/>
    </w:rPr>
  </w:style>
  <w:style w:type="character" w:customStyle="1" w:styleId="RTFNum212">
    <w:name w:val="RTF_Num 21 2"/>
    <w:basedOn w:val="Fuentedeprrafopredeter"/>
    <w:rsid w:val="00B15F7D"/>
    <w:rPr>
      <w:rFonts w:ascii="Symbol" w:hAnsi="Symbol" w:hint="default"/>
      <w:color w:val="000000"/>
      <w:u w:val="single"/>
      <w:shd w:val="clear" w:color="auto" w:fill="FFFFFF"/>
    </w:rPr>
  </w:style>
  <w:style w:type="character" w:customStyle="1" w:styleId="RTFNum242">
    <w:name w:val="RTF_Num 24 2"/>
    <w:basedOn w:val="Fuentedeprrafopredeter"/>
    <w:rsid w:val="00B15F7D"/>
    <w:rPr>
      <w:rFonts w:ascii="Wingdings" w:hAnsi="Wingdings" w:hint="default"/>
      <w:color w:val="000000"/>
      <w:u w:val="single"/>
      <w:shd w:val="clear" w:color="auto" w:fill="FFFFFF"/>
    </w:rPr>
  </w:style>
  <w:style w:type="character" w:customStyle="1" w:styleId="RTFNum262">
    <w:name w:val="RTF_Num 26 2"/>
    <w:basedOn w:val="Fuentedeprrafopredeter"/>
    <w:rsid w:val="00B15F7D"/>
    <w:rPr>
      <w:rFonts w:ascii="Wingdings" w:hAnsi="Wingdings" w:hint="default"/>
      <w:color w:val="000000"/>
      <w:u w:val="single"/>
      <w:shd w:val="clear" w:color="auto" w:fill="FFFFFF"/>
    </w:rPr>
  </w:style>
  <w:style w:type="character" w:customStyle="1" w:styleId="RTFNum272">
    <w:name w:val="RTF_Num 27 2"/>
    <w:basedOn w:val="Fuentedeprrafopredeter"/>
    <w:rsid w:val="00B15F7D"/>
    <w:rPr>
      <w:rFonts w:ascii="Wingdings" w:hAnsi="Wingdings" w:hint="default"/>
      <w:color w:val="000000"/>
      <w:u w:val="single"/>
      <w:shd w:val="clear" w:color="auto" w:fill="FFFFFF"/>
    </w:rPr>
  </w:style>
  <w:style w:type="character" w:customStyle="1" w:styleId="RTFNum282">
    <w:name w:val="RTF_Num 28 2"/>
    <w:basedOn w:val="Fuentedeprrafopredeter"/>
    <w:rsid w:val="00B15F7D"/>
    <w:rPr>
      <w:rFonts w:ascii="Wingdings" w:hAnsi="Wingdings" w:hint="default"/>
      <w:color w:val="000000"/>
      <w:u w:val="single"/>
      <w:shd w:val="clear" w:color="auto" w:fill="FFFFFF"/>
    </w:rPr>
  </w:style>
  <w:style w:type="character" w:customStyle="1" w:styleId="RTFNum292">
    <w:name w:val="RTF_Num 29 2"/>
    <w:basedOn w:val="Fuentedeprrafopredeter"/>
    <w:rsid w:val="00B15F7D"/>
    <w:rPr>
      <w:rFonts w:ascii="Wingdings" w:hAnsi="Wingdings" w:hint="default"/>
      <w:color w:val="000000"/>
      <w:u w:val="single"/>
      <w:shd w:val="clear" w:color="auto" w:fill="FFFFFF"/>
    </w:rPr>
  </w:style>
  <w:style w:type="character" w:customStyle="1" w:styleId="RTFNum302">
    <w:name w:val="RTF_Num 30 2"/>
    <w:basedOn w:val="Fuentedeprrafopredeter"/>
    <w:rsid w:val="00B15F7D"/>
    <w:rPr>
      <w:rFonts w:ascii="Symbol" w:hAnsi="Symbol" w:hint="default"/>
      <w:color w:val="000000"/>
      <w:u w:val="single"/>
      <w:shd w:val="clear" w:color="auto" w:fill="FFFFFF"/>
    </w:rPr>
  </w:style>
  <w:style w:type="character" w:customStyle="1" w:styleId="RTFNum322">
    <w:name w:val="RTF_Num 32 2"/>
    <w:basedOn w:val="Fuentedeprrafopredeter"/>
    <w:rsid w:val="00B15F7D"/>
    <w:rPr>
      <w:rFonts w:ascii="Wingdings" w:hAnsi="Wingdings" w:hint="default"/>
      <w:color w:val="000000"/>
      <w:u w:val="single"/>
      <w:shd w:val="clear" w:color="auto" w:fill="FFFFFF"/>
    </w:rPr>
  </w:style>
  <w:style w:type="character" w:customStyle="1" w:styleId="RTFNum342">
    <w:name w:val="RTF_Num 34 2"/>
    <w:basedOn w:val="Fuentedeprrafopredeter"/>
    <w:rsid w:val="00B15F7D"/>
    <w:rPr>
      <w:rFonts w:ascii="Symbol" w:hAnsi="Symbol" w:hint="default"/>
      <w:color w:val="000000"/>
      <w:u w:val="single"/>
      <w:shd w:val="clear" w:color="auto" w:fill="FFFFFF"/>
    </w:rPr>
  </w:style>
  <w:style w:type="character" w:customStyle="1" w:styleId="RTFNum352">
    <w:name w:val="RTF_Num 35 2"/>
    <w:basedOn w:val="Fuentedeprrafopredeter"/>
    <w:rsid w:val="00B15F7D"/>
    <w:rPr>
      <w:rFonts w:ascii="Wingdings" w:hAnsi="Wingdings" w:hint="default"/>
      <w:color w:val="000000"/>
      <w:u w:val="single"/>
      <w:shd w:val="clear" w:color="auto" w:fill="FFFFFF"/>
    </w:rPr>
  </w:style>
  <w:style w:type="character" w:customStyle="1" w:styleId="RTFNum362">
    <w:name w:val="RTF_Num 36 2"/>
    <w:basedOn w:val="Fuentedeprrafopredeter"/>
    <w:rsid w:val="00B15F7D"/>
    <w:rPr>
      <w:rFonts w:ascii="Wingdings" w:hAnsi="Wingdings" w:hint="default"/>
      <w:color w:val="000000"/>
      <w:u w:val="single"/>
      <w:shd w:val="clear" w:color="auto" w:fill="FFFFFF"/>
    </w:rPr>
  </w:style>
  <w:style w:type="character" w:customStyle="1" w:styleId="RTFNum382">
    <w:name w:val="RTF_Num 38 2"/>
    <w:basedOn w:val="Fuentedeprrafopredeter"/>
    <w:rsid w:val="00B15F7D"/>
    <w:rPr>
      <w:rFonts w:ascii="Wingdings" w:hAnsi="Wingdings" w:hint="default"/>
      <w:color w:val="000000"/>
      <w:u w:val="single"/>
      <w:shd w:val="clear" w:color="auto" w:fill="FFFFFF"/>
    </w:rPr>
  </w:style>
  <w:style w:type="character" w:customStyle="1" w:styleId="RTFNum392">
    <w:name w:val="RTF_Num 39 2"/>
    <w:basedOn w:val="Fuentedeprrafopredeter"/>
    <w:rsid w:val="00B15F7D"/>
    <w:rPr>
      <w:rFonts w:ascii="Symbol" w:hAnsi="Symbol" w:hint="default"/>
      <w:color w:val="000000"/>
      <w:u w:val="single"/>
      <w:shd w:val="clear" w:color="auto" w:fill="FFFFFF"/>
    </w:rPr>
  </w:style>
  <w:style w:type="character" w:customStyle="1" w:styleId="RTFNum402">
    <w:name w:val="RTF_Num 40 2"/>
    <w:basedOn w:val="Fuentedeprrafopredeter"/>
    <w:rsid w:val="00B15F7D"/>
    <w:rPr>
      <w:rFonts w:ascii="Wingdings" w:hAnsi="Wingdings" w:hint="default"/>
      <w:color w:val="000000"/>
      <w:u w:val="single"/>
      <w:shd w:val="clear" w:color="auto" w:fill="FFFFFF"/>
    </w:rPr>
  </w:style>
  <w:style w:type="character" w:customStyle="1" w:styleId="RTFNum412">
    <w:name w:val="RTF_Num 41 2"/>
    <w:basedOn w:val="Fuentedeprrafopredeter"/>
    <w:rsid w:val="00B15F7D"/>
    <w:rPr>
      <w:rFonts w:ascii="Wingdings" w:hAnsi="Wingdings" w:hint="default"/>
      <w:color w:val="000000"/>
      <w:u w:val="single"/>
      <w:shd w:val="clear" w:color="auto" w:fill="FFFFFF"/>
    </w:rPr>
  </w:style>
  <w:style w:type="character" w:customStyle="1" w:styleId="RTFNum422">
    <w:name w:val="RTF_Num 42 2"/>
    <w:basedOn w:val="Fuentedeprrafopredeter"/>
    <w:rsid w:val="00B15F7D"/>
    <w:rPr>
      <w:rFonts w:ascii="Symbol" w:hAnsi="Symbol" w:hint="default"/>
      <w:color w:val="000000"/>
      <w:u w:val="single"/>
      <w:shd w:val="clear" w:color="auto" w:fill="FFFFFF"/>
    </w:rPr>
  </w:style>
  <w:style w:type="character" w:customStyle="1" w:styleId="RTFNum442">
    <w:name w:val="RTF_Num 44 2"/>
    <w:basedOn w:val="Fuentedeprrafopredeter"/>
    <w:rsid w:val="00B15F7D"/>
    <w:rPr>
      <w:rFonts w:ascii="Symbol" w:hAnsi="Symbol" w:hint="default"/>
      <w:color w:val="000000"/>
      <w:u w:val="single"/>
      <w:shd w:val="clear" w:color="auto" w:fill="FFFFFF"/>
    </w:rPr>
  </w:style>
  <w:style w:type="character" w:customStyle="1" w:styleId="RTFNum452">
    <w:name w:val="RTF_Num 45 2"/>
    <w:basedOn w:val="Fuentedeprrafopredeter"/>
    <w:rsid w:val="00B15F7D"/>
    <w:rPr>
      <w:rFonts w:ascii="Symbol" w:hAnsi="Symbol" w:hint="default"/>
      <w:color w:val="000000"/>
      <w:u w:val="single"/>
      <w:shd w:val="clear" w:color="auto" w:fill="FFFFFF"/>
    </w:rPr>
  </w:style>
  <w:style w:type="character" w:customStyle="1" w:styleId="RTFNum462">
    <w:name w:val="RTF_Num 46 2"/>
    <w:basedOn w:val="Fuentedeprrafopredeter"/>
    <w:rsid w:val="00B15F7D"/>
    <w:rPr>
      <w:rFonts w:ascii="Symbol" w:hAnsi="Symbol" w:hint="default"/>
      <w:color w:val="000000"/>
      <w:u w:val="single"/>
      <w:shd w:val="clear" w:color="auto" w:fill="FFFFFF"/>
    </w:rPr>
  </w:style>
  <w:style w:type="character" w:customStyle="1" w:styleId="RTFNum472">
    <w:name w:val="RTF_Num 47 2"/>
    <w:basedOn w:val="Fuentedeprrafopredeter"/>
    <w:rsid w:val="00B15F7D"/>
    <w:rPr>
      <w:rFonts w:ascii="Wingdings" w:hAnsi="Wingdings" w:hint="default"/>
      <w:color w:val="000000"/>
      <w:u w:val="single"/>
      <w:shd w:val="clear" w:color="auto" w:fill="FFFFFF"/>
    </w:rPr>
  </w:style>
  <w:style w:type="character" w:customStyle="1" w:styleId="RTFNum482">
    <w:name w:val="RTF_Num 48 2"/>
    <w:basedOn w:val="Fuentedeprrafopredeter"/>
    <w:rsid w:val="00B15F7D"/>
    <w:rPr>
      <w:rFonts w:ascii="Wingdings" w:hAnsi="Wingdings" w:hint="default"/>
      <w:color w:val="000000"/>
      <w:u w:val="single"/>
      <w:shd w:val="clear" w:color="auto" w:fill="FFFFFF"/>
    </w:rPr>
  </w:style>
  <w:style w:type="character" w:customStyle="1" w:styleId="RTFNum492">
    <w:name w:val="RTF_Num 49 2"/>
    <w:basedOn w:val="Fuentedeprrafopredeter"/>
    <w:rsid w:val="00B15F7D"/>
    <w:rPr>
      <w:rFonts w:ascii="Wingdings" w:hAnsi="Wingdings" w:hint="default"/>
      <w:color w:val="000000"/>
      <w:u w:val="single"/>
      <w:shd w:val="clear" w:color="auto" w:fill="FFFFFF"/>
    </w:rPr>
  </w:style>
  <w:style w:type="character" w:customStyle="1" w:styleId="RTFNum502">
    <w:name w:val="RTF_Num 50 2"/>
    <w:basedOn w:val="Fuentedeprrafopredeter"/>
    <w:rsid w:val="00B15F7D"/>
    <w:rPr>
      <w:rFonts w:ascii="Wingdings" w:hAnsi="Wingdings" w:hint="default"/>
      <w:color w:val="000000"/>
      <w:u w:val="single"/>
      <w:shd w:val="clear" w:color="auto" w:fill="FFFFFF"/>
    </w:rPr>
  </w:style>
  <w:style w:type="character" w:customStyle="1" w:styleId="RTFNum512">
    <w:name w:val="RTF_Num 51 2"/>
    <w:basedOn w:val="Fuentedeprrafopredeter"/>
    <w:rsid w:val="00B15F7D"/>
    <w:rPr>
      <w:rFonts w:ascii="Wingdings" w:hAnsi="Wingdings" w:hint="default"/>
      <w:color w:val="000000"/>
      <w:u w:val="single"/>
      <w:shd w:val="clear" w:color="auto" w:fill="FFFFFF"/>
    </w:rPr>
  </w:style>
  <w:style w:type="character" w:customStyle="1" w:styleId="RTFNum522">
    <w:name w:val="RTF_Num 52 2"/>
    <w:basedOn w:val="Fuentedeprrafopredeter"/>
    <w:rsid w:val="00B15F7D"/>
    <w:rPr>
      <w:rFonts w:ascii="Wingdings" w:hAnsi="Wingdings" w:hint="default"/>
      <w:color w:val="000000"/>
      <w:u w:val="single"/>
      <w:shd w:val="clear" w:color="auto" w:fill="FFFFFF"/>
    </w:rPr>
  </w:style>
  <w:style w:type="character" w:customStyle="1" w:styleId="RTFNum532">
    <w:name w:val="RTF_Num 53 2"/>
    <w:basedOn w:val="Fuentedeprrafopredeter"/>
    <w:rsid w:val="00B15F7D"/>
    <w:rPr>
      <w:rFonts w:ascii="Wingdings" w:hAnsi="Wingdings" w:hint="default"/>
      <w:color w:val="000000"/>
      <w:u w:val="single"/>
      <w:shd w:val="clear" w:color="auto" w:fill="FFFFFF"/>
    </w:rPr>
  </w:style>
  <w:style w:type="character" w:customStyle="1" w:styleId="RTFNum542">
    <w:name w:val="RTF_Num 54 2"/>
    <w:basedOn w:val="Fuentedeprrafopredeter"/>
    <w:rsid w:val="00B15F7D"/>
    <w:rPr>
      <w:rFonts w:ascii="Wingdings" w:hAnsi="Wingdings" w:hint="default"/>
      <w:color w:val="000000"/>
      <w:u w:val="single"/>
      <w:shd w:val="clear" w:color="auto" w:fill="FFFFFF"/>
    </w:rPr>
  </w:style>
  <w:style w:type="character" w:customStyle="1" w:styleId="RTFNum552">
    <w:name w:val="RTF_Num 55 2"/>
    <w:basedOn w:val="Fuentedeprrafopredeter"/>
    <w:rsid w:val="00B15F7D"/>
    <w:rPr>
      <w:rFonts w:ascii="Wingdings" w:hAnsi="Wingdings" w:hint="default"/>
      <w:color w:val="000000"/>
      <w:u w:val="single"/>
      <w:shd w:val="clear" w:color="auto" w:fill="FFFFFF"/>
    </w:rPr>
  </w:style>
  <w:style w:type="character" w:customStyle="1" w:styleId="RTFNum562">
    <w:name w:val="RTF_Num 56 2"/>
    <w:basedOn w:val="Fuentedeprrafopredeter"/>
    <w:rsid w:val="00B15F7D"/>
    <w:rPr>
      <w:rFonts w:ascii="Wingdings" w:hAnsi="Wingdings" w:hint="default"/>
      <w:color w:val="000000"/>
      <w:u w:val="single"/>
      <w:shd w:val="clear" w:color="auto" w:fill="FFFFFF"/>
    </w:rPr>
  </w:style>
  <w:style w:type="character" w:customStyle="1" w:styleId="RTFNum572">
    <w:name w:val="RTF_Num 57 2"/>
    <w:basedOn w:val="Fuentedeprrafopredeter"/>
    <w:rsid w:val="00B15F7D"/>
    <w:rPr>
      <w:rFonts w:ascii="Wingdings" w:hAnsi="Wingdings" w:hint="default"/>
      <w:color w:val="000000"/>
      <w:u w:val="single"/>
      <w:shd w:val="clear" w:color="auto" w:fill="FFFFFF"/>
    </w:rPr>
  </w:style>
  <w:style w:type="character" w:customStyle="1" w:styleId="RTFNum582">
    <w:name w:val="RTF_Num 58 2"/>
    <w:basedOn w:val="Fuentedeprrafopredeter"/>
    <w:rsid w:val="00B15F7D"/>
    <w:rPr>
      <w:rFonts w:ascii="Wingdings" w:hAnsi="Wingdings" w:hint="default"/>
      <w:color w:val="000000"/>
      <w:u w:val="single"/>
      <w:shd w:val="clear" w:color="auto" w:fill="FFFFFF"/>
    </w:rPr>
  </w:style>
  <w:style w:type="character" w:customStyle="1" w:styleId="RTFNum592">
    <w:name w:val="RTF_Num 59 2"/>
    <w:basedOn w:val="Fuentedeprrafopredeter"/>
    <w:rsid w:val="00B15F7D"/>
    <w:rPr>
      <w:rFonts w:ascii="Wingdings" w:hAnsi="Wingdings" w:hint="default"/>
      <w:color w:val="000000"/>
      <w:u w:val="single"/>
      <w:shd w:val="clear" w:color="auto" w:fill="FFFFFF"/>
    </w:rPr>
  </w:style>
  <w:style w:type="character" w:customStyle="1" w:styleId="RTFNum602">
    <w:name w:val="RTF_Num 60 2"/>
    <w:basedOn w:val="Fuentedeprrafopredeter"/>
    <w:rsid w:val="00B15F7D"/>
    <w:rPr>
      <w:rFonts w:ascii="Wingdings" w:hAnsi="Wingdings" w:hint="default"/>
      <w:color w:val="000000"/>
      <w:u w:val="single"/>
      <w:shd w:val="clear" w:color="auto" w:fill="FFFFFF"/>
    </w:rPr>
  </w:style>
  <w:style w:type="character" w:customStyle="1" w:styleId="RTFNum612">
    <w:name w:val="RTF_Num 61 2"/>
    <w:basedOn w:val="Fuentedeprrafopredeter"/>
    <w:rsid w:val="00B15F7D"/>
    <w:rPr>
      <w:rFonts w:ascii="Wingdings" w:hAnsi="Wingdings" w:hint="default"/>
      <w:color w:val="000000"/>
      <w:u w:val="single"/>
      <w:shd w:val="clear" w:color="auto" w:fill="FFFFFF"/>
    </w:rPr>
  </w:style>
  <w:style w:type="character" w:customStyle="1" w:styleId="RTFNum622">
    <w:name w:val="RTF_Num 62 2"/>
    <w:basedOn w:val="Fuentedeprrafopredeter"/>
    <w:rsid w:val="00B15F7D"/>
    <w:rPr>
      <w:rFonts w:ascii="Wingdings" w:hAnsi="Wingdings" w:hint="default"/>
      <w:color w:val="000000"/>
      <w:u w:val="single"/>
      <w:shd w:val="clear" w:color="auto" w:fill="FFFFFF"/>
    </w:rPr>
  </w:style>
  <w:style w:type="character" w:customStyle="1" w:styleId="RTFNum632">
    <w:name w:val="RTF_Num 63 2"/>
    <w:basedOn w:val="Fuentedeprrafopredeter"/>
    <w:rsid w:val="00B15F7D"/>
    <w:rPr>
      <w:rFonts w:ascii="Wingdings" w:hAnsi="Wingdings" w:hint="default"/>
      <w:color w:val="000000"/>
      <w:u w:val="single"/>
      <w:shd w:val="clear" w:color="auto" w:fill="FFFFFF"/>
    </w:rPr>
  </w:style>
  <w:style w:type="character" w:customStyle="1" w:styleId="RTFNum642">
    <w:name w:val="RTF_Num 64 2"/>
    <w:basedOn w:val="Fuentedeprrafopredeter"/>
    <w:rsid w:val="00B15F7D"/>
    <w:rPr>
      <w:rFonts w:ascii="Wingdings" w:hAnsi="Wingdings" w:hint="default"/>
      <w:color w:val="000000"/>
      <w:u w:val="single"/>
      <w:shd w:val="clear" w:color="auto" w:fill="FFFFFF"/>
    </w:rPr>
  </w:style>
  <w:style w:type="character" w:customStyle="1" w:styleId="RTFNum652">
    <w:name w:val="RTF_Num 65 2"/>
    <w:basedOn w:val="Fuentedeprrafopredeter"/>
    <w:rsid w:val="00B15F7D"/>
    <w:rPr>
      <w:rFonts w:ascii="Wingdings" w:hAnsi="Wingdings" w:hint="default"/>
      <w:color w:val="000000"/>
      <w:u w:val="single"/>
      <w:shd w:val="clear" w:color="auto" w:fill="FFFFFF"/>
    </w:rPr>
  </w:style>
  <w:style w:type="character" w:customStyle="1" w:styleId="RTFNum662">
    <w:name w:val="RTF_Num 66 2"/>
    <w:basedOn w:val="Fuentedeprrafopredeter"/>
    <w:rsid w:val="00B15F7D"/>
    <w:rPr>
      <w:rFonts w:ascii="Wingdings" w:hAnsi="Wingdings" w:hint="default"/>
      <w:color w:val="000000"/>
      <w:u w:val="single"/>
      <w:shd w:val="clear" w:color="auto" w:fill="FFFFFF"/>
    </w:rPr>
  </w:style>
  <w:style w:type="character" w:customStyle="1" w:styleId="RTFNum672">
    <w:name w:val="RTF_Num 67 2"/>
    <w:basedOn w:val="Fuentedeprrafopredeter"/>
    <w:rsid w:val="00B15F7D"/>
    <w:rPr>
      <w:rFonts w:ascii="Wingdings" w:hAnsi="Wingdings" w:hint="default"/>
      <w:color w:val="000000"/>
      <w:u w:val="single"/>
      <w:shd w:val="clear" w:color="auto" w:fill="FFFFFF"/>
    </w:rPr>
  </w:style>
  <w:style w:type="character" w:customStyle="1" w:styleId="RTFNum682">
    <w:name w:val="RTF_Num 68 2"/>
    <w:basedOn w:val="Fuentedeprrafopredeter"/>
    <w:rsid w:val="00B15F7D"/>
    <w:rPr>
      <w:rFonts w:ascii="Wingdings" w:hAnsi="Wingdings" w:hint="default"/>
      <w:color w:val="000000"/>
      <w:u w:val="single"/>
      <w:shd w:val="clear" w:color="auto" w:fill="FFFFFF"/>
    </w:rPr>
  </w:style>
  <w:style w:type="character" w:customStyle="1" w:styleId="RTFNum692">
    <w:name w:val="RTF_Num 69 2"/>
    <w:basedOn w:val="Fuentedeprrafopredeter"/>
    <w:rsid w:val="00B15F7D"/>
    <w:rPr>
      <w:rFonts w:ascii="Wingdings" w:hAnsi="Wingdings" w:hint="default"/>
      <w:color w:val="000000"/>
      <w:u w:val="single"/>
      <w:shd w:val="clear" w:color="auto" w:fill="FFFFFF"/>
    </w:rPr>
  </w:style>
  <w:style w:type="character" w:customStyle="1" w:styleId="RTFNum702">
    <w:name w:val="RTF_Num 70 2"/>
    <w:basedOn w:val="Fuentedeprrafopredeter"/>
    <w:rsid w:val="00B15F7D"/>
    <w:rPr>
      <w:rFonts w:ascii="Wingdings" w:hAnsi="Wingdings" w:hint="default"/>
      <w:color w:val="000000"/>
      <w:u w:val="single"/>
      <w:shd w:val="clear" w:color="auto" w:fill="FFFFFF"/>
    </w:rPr>
  </w:style>
  <w:style w:type="character" w:customStyle="1" w:styleId="RTFNum712">
    <w:name w:val="RTF_Num 71 2"/>
    <w:basedOn w:val="Fuentedeprrafopredeter"/>
    <w:rsid w:val="00B15F7D"/>
    <w:rPr>
      <w:rFonts w:ascii="Wingdings" w:hAnsi="Wingdings" w:hint="default"/>
      <w:color w:val="000000"/>
      <w:u w:val="single"/>
      <w:shd w:val="clear" w:color="auto" w:fill="FFFFFF"/>
    </w:rPr>
  </w:style>
  <w:style w:type="character" w:customStyle="1" w:styleId="RTFNum722">
    <w:name w:val="RTF_Num 72 2"/>
    <w:basedOn w:val="Fuentedeprrafopredeter"/>
    <w:rsid w:val="00B15F7D"/>
    <w:rPr>
      <w:rFonts w:ascii="Symbol" w:hAnsi="Symbol" w:hint="default"/>
      <w:color w:val="000000"/>
      <w:u w:val="single"/>
      <w:shd w:val="clear" w:color="auto" w:fill="FFFFFF"/>
    </w:rPr>
  </w:style>
  <w:style w:type="character" w:customStyle="1" w:styleId="RTFNum732">
    <w:name w:val="RTF_Num 73 2"/>
    <w:basedOn w:val="Fuentedeprrafopredeter"/>
    <w:rsid w:val="00B15F7D"/>
    <w:rPr>
      <w:rFonts w:ascii="Wingdings" w:hAnsi="Wingdings" w:hint="default"/>
      <w:color w:val="000000"/>
      <w:u w:val="single"/>
      <w:shd w:val="clear" w:color="auto" w:fill="FFFFFF"/>
    </w:rPr>
  </w:style>
  <w:style w:type="character" w:customStyle="1" w:styleId="RTFNum742">
    <w:name w:val="RTF_Num 74 2"/>
    <w:basedOn w:val="Fuentedeprrafopredeter"/>
    <w:rsid w:val="00B15F7D"/>
    <w:rPr>
      <w:rFonts w:ascii="Wingdings" w:hAnsi="Wingdings" w:hint="default"/>
      <w:color w:val="000000"/>
      <w:u w:val="single"/>
      <w:shd w:val="clear" w:color="auto" w:fill="FFFFFF"/>
    </w:rPr>
  </w:style>
  <w:style w:type="character" w:customStyle="1" w:styleId="RTFNum752">
    <w:name w:val="RTF_Num 75 2"/>
    <w:basedOn w:val="Fuentedeprrafopredeter"/>
    <w:rsid w:val="00B15F7D"/>
    <w:rPr>
      <w:rFonts w:ascii="Symbol" w:hAnsi="Symbol" w:hint="default"/>
      <w:color w:val="000000"/>
      <w:u w:val="single"/>
      <w:shd w:val="clear" w:color="auto" w:fill="FFFFFF"/>
    </w:rPr>
  </w:style>
  <w:style w:type="character" w:customStyle="1" w:styleId="RTFNum762">
    <w:name w:val="RTF_Num 76 2"/>
    <w:basedOn w:val="Fuentedeprrafopredeter"/>
    <w:rsid w:val="00B15F7D"/>
    <w:rPr>
      <w:rFonts w:ascii="Wingdings" w:hAnsi="Wingdings" w:hint="default"/>
      <w:color w:val="000000"/>
      <w:u w:val="single"/>
      <w:shd w:val="clear" w:color="auto" w:fill="FFFFFF"/>
    </w:rPr>
  </w:style>
  <w:style w:type="character" w:customStyle="1" w:styleId="RTFNum772">
    <w:name w:val="RTF_Num 77 2"/>
    <w:basedOn w:val="Fuentedeprrafopredeter"/>
    <w:rsid w:val="00B15F7D"/>
    <w:rPr>
      <w:rFonts w:ascii="Symbol" w:hAnsi="Symbol" w:hint="default"/>
      <w:color w:val="000000"/>
      <w:u w:val="single"/>
      <w:shd w:val="clear" w:color="auto" w:fill="FFFFFF"/>
    </w:rPr>
  </w:style>
  <w:style w:type="character" w:customStyle="1" w:styleId="RTFNum782">
    <w:name w:val="RTF_Num 78 2"/>
    <w:basedOn w:val="Fuentedeprrafopredeter"/>
    <w:rsid w:val="00B15F7D"/>
    <w:rPr>
      <w:rFonts w:ascii="Wingdings" w:hAnsi="Wingdings" w:hint="default"/>
      <w:color w:val="000000"/>
      <w:u w:val="single"/>
      <w:shd w:val="clear" w:color="auto" w:fill="FFFFFF"/>
    </w:rPr>
  </w:style>
  <w:style w:type="character" w:customStyle="1" w:styleId="RTFNum792">
    <w:name w:val="RTF_Num 79 2"/>
    <w:basedOn w:val="Fuentedeprrafopredeter"/>
    <w:rsid w:val="00B15F7D"/>
    <w:rPr>
      <w:rFonts w:ascii="Wingdings" w:hAnsi="Wingdings" w:hint="default"/>
      <w:color w:val="000000"/>
      <w:u w:val="single"/>
      <w:shd w:val="clear" w:color="auto" w:fill="FFFFFF"/>
    </w:rPr>
  </w:style>
  <w:style w:type="character" w:customStyle="1" w:styleId="RTFNum802">
    <w:name w:val="RTF_Num 80 2"/>
    <w:basedOn w:val="Fuentedeprrafopredeter"/>
    <w:rsid w:val="00B15F7D"/>
    <w:rPr>
      <w:rFonts w:ascii="Wingdings" w:hAnsi="Wingdings" w:hint="default"/>
      <w:color w:val="000000"/>
      <w:u w:val="single"/>
      <w:shd w:val="clear" w:color="auto" w:fill="FFFFFF"/>
    </w:rPr>
  </w:style>
  <w:style w:type="character" w:customStyle="1" w:styleId="RTFNum812">
    <w:name w:val="RTF_Num 81 2"/>
    <w:basedOn w:val="Fuentedeprrafopredeter"/>
    <w:rsid w:val="00B15F7D"/>
    <w:rPr>
      <w:rFonts w:ascii="Wingdings" w:hAnsi="Wingdings" w:hint="default"/>
      <w:color w:val="000000"/>
      <w:u w:val="single"/>
      <w:shd w:val="clear" w:color="auto" w:fill="FFFFFF"/>
    </w:rPr>
  </w:style>
  <w:style w:type="character" w:customStyle="1" w:styleId="RTFNum822">
    <w:name w:val="RTF_Num 82 2"/>
    <w:basedOn w:val="Fuentedeprrafopredeter"/>
    <w:rsid w:val="00B15F7D"/>
    <w:rPr>
      <w:rFonts w:ascii="Wingdings" w:hAnsi="Wingdings" w:hint="default"/>
      <w:color w:val="000000"/>
      <w:u w:val="single"/>
      <w:shd w:val="clear" w:color="auto" w:fill="FFFFFF"/>
    </w:rPr>
  </w:style>
  <w:style w:type="character" w:customStyle="1" w:styleId="RTFNum832">
    <w:name w:val="RTF_Num 83 2"/>
    <w:basedOn w:val="Fuentedeprrafopredeter"/>
    <w:rsid w:val="00B15F7D"/>
    <w:rPr>
      <w:rFonts w:ascii="Wingdings" w:hAnsi="Wingdings" w:hint="default"/>
      <w:color w:val="000000"/>
      <w:u w:val="single"/>
      <w:shd w:val="clear" w:color="auto" w:fill="FFFFFF"/>
    </w:rPr>
  </w:style>
  <w:style w:type="character" w:customStyle="1" w:styleId="RTFNum842">
    <w:name w:val="RTF_Num 84 2"/>
    <w:basedOn w:val="Fuentedeprrafopredeter"/>
    <w:rsid w:val="00B15F7D"/>
    <w:rPr>
      <w:rFonts w:ascii="Wingdings" w:hAnsi="Wingdings" w:hint="default"/>
      <w:color w:val="000000"/>
      <w:u w:val="single"/>
      <w:shd w:val="clear" w:color="auto" w:fill="FFFFFF"/>
    </w:rPr>
  </w:style>
  <w:style w:type="character" w:customStyle="1" w:styleId="RTFNum852">
    <w:name w:val="RTF_Num 85 2"/>
    <w:basedOn w:val="Fuentedeprrafopredeter"/>
    <w:rsid w:val="00B15F7D"/>
    <w:rPr>
      <w:rFonts w:ascii="Wingdings" w:hAnsi="Wingdings" w:hint="default"/>
      <w:color w:val="000000"/>
      <w:u w:val="single"/>
      <w:shd w:val="clear" w:color="auto" w:fill="FFFFFF"/>
    </w:rPr>
  </w:style>
  <w:style w:type="character" w:customStyle="1" w:styleId="RTFNum862">
    <w:name w:val="RTF_Num 86 2"/>
    <w:basedOn w:val="Fuentedeprrafopredeter"/>
    <w:rsid w:val="00B15F7D"/>
    <w:rPr>
      <w:rFonts w:ascii="Wingdings" w:hAnsi="Wingdings" w:hint="default"/>
      <w:color w:val="000000"/>
      <w:u w:val="single"/>
      <w:shd w:val="clear" w:color="auto" w:fill="FFFFFF"/>
    </w:rPr>
  </w:style>
  <w:style w:type="character" w:customStyle="1" w:styleId="RTFNum872">
    <w:name w:val="RTF_Num 87 2"/>
    <w:basedOn w:val="Fuentedeprrafopredeter"/>
    <w:rsid w:val="00B15F7D"/>
    <w:rPr>
      <w:rFonts w:ascii="Wingdings" w:hAnsi="Wingdings" w:hint="default"/>
      <w:color w:val="000000"/>
      <w:u w:val="single"/>
      <w:shd w:val="clear" w:color="auto" w:fill="FFFFFF"/>
    </w:rPr>
  </w:style>
  <w:style w:type="character" w:customStyle="1" w:styleId="RTFNum882">
    <w:name w:val="RTF_Num 88 2"/>
    <w:basedOn w:val="Fuentedeprrafopredeter"/>
    <w:rsid w:val="00B15F7D"/>
    <w:rPr>
      <w:rFonts w:ascii="Wingdings" w:hAnsi="Wingdings" w:hint="default"/>
      <w:color w:val="000000"/>
      <w:u w:val="single"/>
      <w:shd w:val="clear" w:color="auto" w:fill="FFFFFF"/>
    </w:rPr>
  </w:style>
  <w:style w:type="character" w:customStyle="1" w:styleId="RTFNum892">
    <w:name w:val="RTF_Num 89 2"/>
    <w:basedOn w:val="Fuentedeprrafopredeter"/>
    <w:rsid w:val="00B15F7D"/>
    <w:rPr>
      <w:rFonts w:ascii="Wingdings" w:hAnsi="Wingdings" w:hint="default"/>
      <w:color w:val="000000"/>
      <w:u w:val="single"/>
      <w:shd w:val="clear" w:color="auto" w:fill="FFFFFF"/>
    </w:rPr>
  </w:style>
  <w:style w:type="character" w:customStyle="1" w:styleId="RTFNum902">
    <w:name w:val="RTF_Num 90 2"/>
    <w:basedOn w:val="Fuentedeprrafopredeter"/>
    <w:rsid w:val="00B15F7D"/>
    <w:rPr>
      <w:rFonts w:ascii="Wingdings" w:hAnsi="Wingdings" w:hint="default"/>
      <w:color w:val="000000"/>
      <w:u w:val="single"/>
      <w:shd w:val="clear" w:color="auto" w:fill="FFFFFF"/>
    </w:rPr>
  </w:style>
  <w:style w:type="character" w:customStyle="1" w:styleId="RTFNum912">
    <w:name w:val="RTF_Num 91 2"/>
    <w:basedOn w:val="Fuentedeprrafopredeter"/>
    <w:rsid w:val="00B15F7D"/>
    <w:rPr>
      <w:rFonts w:ascii="Symbol" w:hAnsi="Symbol" w:hint="default"/>
      <w:color w:val="000000"/>
      <w:u w:val="single"/>
      <w:shd w:val="clear" w:color="auto" w:fill="FFFFFF"/>
    </w:rPr>
  </w:style>
  <w:style w:type="character" w:customStyle="1" w:styleId="RTFNum922">
    <w:name w:val="RTF_Num 92 2"/>
    <w:basedOn w:val="Fuentedeprrafopredeter"/>
    <w:rsid w:val="00B15F7D"/>
    <w:rPr>
      <w:rFonts w:ascii="Symbol" w:hAnsi="Symbol" w:hint="default"/>
      <w:color w:val="000000"/>
      <w:u w:val="single"/>
      <w:shd w:val="clear" w:color="auto" w:fill="FFFFFF"/>
    </w:rPr>
  </w:style>
  <w:style w:type="character" w:customStyle="1" w:styleId="RTFNum932">
    <w:name w:val="RTF_Num 93 2"/>
    <w:basedOn w:val="Fuentedeprrafopredeter"/>
    <w:rsid w:val="00B15F7D"/>
    <w:rPr>
      <w:rFonts w:ascii="Symbol" w:hAnsi="Symbol" w:hint="default"/>
      <w:color w:val="000000"/>
      <w:u w:val="single"/>
      <w:shd w:val="clear" w:color="auto" w:fill="FFFFFF"/>
    </w:rPr>
  </w:style>
  <w:style w:type="character" w:customStyle="1" w:styleId="RTFNum942">
    <w:name w:val="RTF_Num 94 2"/>
    <w:basedOn w:val="Fuentedeprrafopredeter"/>
    <w:rsid w:val="00B15F7D"/>
    <w:rPr>
      <w:rFonts w:ascii="Wingdings" w:hAnsi="Wingdings" w:hint="default"/>
      <w:color w:val="000000"/>
      <w:u w:val="single"/>
      <w:shd w:val="clear" w:color="auto" w:fill="FFFFFF"/>
    </w:rPr>
  </w:style>
  <w:style w:type="character" w:customStyle="1" w:styleId="RTFNum952">
    <w:name w:val="RTF_Num 95 2"/>
    <w:basedOn w:val="Fuentedeprrafopredeter"/>
    <w:rsid w:val="00B15F7D"/>
    <w:rPr>
      <w:rFonts w:ascii="Wingdings" w:hAnsi="Wingdings" w:hint="default"/>
      <w:color w:val="000000"/>
      <w:u w:val="single"/>
      <w:shd w:val="clear" w:color="auto" w:fill="FFFFFF"/>
    </w:rPr>
  </w:style>
  <w:style w:type="character" w:customStyle="1" w:styleId="RTFNum962">
    <w:name w:val="RTF_Num 96 2"/>
    <w:basedOn w:val="Fuentedeprrafopredeter"/>
    <w:rsid w:val="00B15F7D"/>
    <w:rPr>
      <w:rFonts w:ascii="Wingdings" w:hAnsi="Wingdings" w:hint="default"/>
      <w:color w:val="000000"/>
      <w:u w:val="single"/>
      <w:shd w:val="clear" w:color="auto" w:fill="FFFFFF"/>
    </w:rPr>
  </w:style>
  <w:style w:type="character" w:customStyle="1" w:styleId="RTFNum972">
    <w:name w:val="RTF_Num 97 2"/>
    <w:basedOn w:val="Fuentedeprrafopredeter"/>
    <w:rsid w:val="00B15F7D"/>
    <w:rPr>
      <w:rFonts w:ascii="Symbol" w:hAnsi="Symbol" w:hint="default"/>
      <w:color w:val="000000"/>
      <w:u w:val="single"/>
      <w:shd w:val="clear" w:color="auto" w:fill="FFFFFF"/>
    </w:rPr>
  </w:style>
  <w:style w:type="character" w:customStyle="1" w:styleId="RTFNum982">
    <w:name w:val="RTF_Num 98 2"/>
    <w:basedOn w:val="Fuentedeprrafopredeter"/>
    <w:rsid w:val="00B15F7D"/>
    <w:rPr>
      <w:rFonts w:ascii="Symbol" w:hAnsi="Symbol" w:hint="default"/>
      <w:color w:val="000000"/>
      <w:u w:val="single"/>
      <w:shd w:val="clear" w:color="auto" w:fill="FFFFFF"/>
    </w:rPr>
  </w:style>
  <w:style w:type="character" w:customStyle="1" w:styleId="RTFNum992">
    <w:name w:val="RTF_Num 99 2"/>
    <w:basedOn w:val="Fuentedeprrafopredeter"/>
    <w:rsid w:val="00B15F7D"/>
    <w:rPr>
      <w:rFonts w:ascii="Symbol" w:hAnsi="Symbol" w:hint="default"/>
      <w:color w:val="000000"/>
      <w:u w:val="single"/>
      <w:shd w:val="clear" w:color="auto" w:fill="FFFFFF"/>
    </w:rPr>
  </w:style>
  <w:style w:type="character" w:customStyle="1" w:styleId="RTFNum1002">
    <w:name w:val="RTF_Num 100 2"/>
    <w:basedOn w:val="Fuentedeprrafopredeter"/>
    <w:rsid w:val="00B15F7D"/>
    <w:rPr>
      <w:rFonts w:ascii="Symbol" w:hAnsi="Symbol" w:hint="default"/>
      <w:color w:val="000000"/>
      <w:u w:val="single"/>
      <w:shd w:val="clear" w:color="auto" w:fill="FFFFFF"/>
    </w:rPr>
  </w:style>
  <w:style w:type="character" w:customStyle="1" w:styleId="RTFNum1012">
    <w:name w:val="RTF_Num 101 2"/>
    <w:basedOn w:val="Fuentedeprrafopredeter"/>
    <w:rsid w:val="00B15F7D"/>
    <w:rPr>
      <w:rFonts w:ascii="Symbol" w:hAnsi="Symbol" w:hint="default"/>
      <w:color w:val="000000"/>
      <w:u w:val="single"/>
      <w:shd w:val="clear" w:color="auto" w:fill="FFFFFF"/>
    </w:rPr>
  </w:style>
  <w:style w:type="character" w:customStyle="1" w:styleId="RTFNum1022">
    <w:name w:val="RTF_Num 102 2"/>
    <w:basedOn w:val="Fuentedeprrafopredeter"/>
    <w:rsid w:val="00B15F7D"/>
    <w:rPr>
      <w:rFonts w:ascii="Symbol" w:hAnsi="Symbol" w:hint="default"/>
      <w:color w:val="000000"/>
      <w:u w:val="single"/>
      <w:shd w:val="clear" w:color="auto" w:fill="FFFFFF"/>
    </w:rPr>
  </w:style>
  <w:style w:type="character" w:customStyle="1" w:styleId="RTFNum1032">
    <w:name w:val="RTF_Num 103 2"/>
    <w:basedOn w:val="Fuentedeprrafopredeter"/>
    <w:rsid w:val="00B15F7D"/>
    <w:rPr>
      <w:rFonts w:ascii="Symbol" w:hAnsi="Symbol" w:hint="default"/>
      <w:color w:val="000000"/>
      <w:u w:val="single"/>
      <w:shd w:val="clear" w:color="auto" w:fill="FFFFFF"/>
    </w:rPr>
  </w:style>
  <w:style w:type="character" w:customStyle="1" w:styleId="RTFNum1042">
    <w:name w:val="RTF_Num 104 2"/>
    <w:basedOn w:val="Fuentedeprrafopredeter"/>
    <w:rsid w:val="00B15F7D"/>
    <w:rPr>
      <w:rFonts w:ascii="Symbol" w:hAnsi="Symbol" w:hint="default"/>
      <w:color w:val="000000"/>
      <w:u w:val="single"/>
      <w:shd w:val="clear" w:color="auto" w:fill="FFFFFF"/>
    </w:rPr>
  </w:style>
  <w:style w:type="character" w:customStyle="1" w:styleId="RTFNum1052">
    <w:name w:val="RTF_Num 105 2"/>
    <w:basedOn w:val="Fuentedeprrafopredeter"/>
    <w:rsid w:val="00B15F7D"/>
    <w:rPr>
      <w:rFonts w:ascii="Symbol" w:hAnsi="Symbol" w:hint="default"/>
      <w:color w:val="000000"/>
      <w:u w:val="single"/>
      <w:shd w:val="clear" w:color="auto" w:fill="FFFFFF"/>
    </w:rPr>
  </w:style>
  <w:style w:type="character" w:customStyle="1" w:styleId="RTFNum1062">
    <w:name w:val="RTF_Num 106 2"/>
    <w:basedOn w:val="Fuentedeprrafopredeter"/>
    <w:rsid w:val="00B15F7D"/>
    <w:rPr>
      <w:rFonts w:ascii="Symbol" w:hAnsi="Symbol" w:hint="default"/>
      <w:color w:val="000000"/>
      <w:u w:val="single"/>
      <w:shd w:val="clear" w:color="auto" w:fill="FFFFFF"/>
    </w:rPr>
  </w:style>
  <w:style w:type="character" w:customStyle="1" w:styleId="RTFNum1072">
    <w:name w:val="RTF_Num 107 2"/>
    <w:basedOn w:val="Fuentedeprrafopredeter"/>
    <w:rsid w:val="00B15F7D"/>
    <w:rPr>
      <w:rFonts w:ascii="Symbol" w:hAnsi="Symbol" w:hint="default"/>
      <w:color w:val="000000"/>
      <w:u w:val="single"/>
      <w:shd w:val="clear" w:color="auto" w:fill="FFFFFF"/>
    </w:rPr>
  </w:style>
  <w:style w:type="character" w:customStyle="1" w:styleId="RTFNum1082">
    <w:name w:val="RTF_Num 108 2"/>
    <w:basedOn w:val="Fuentedeprrafopredeter"/>
    <w:rsid w:val="00B15F7D"/>
    <w:rPr>
      <w:rFonts w:ascii="Symbol" w:hAnsi="Symbol" w:hint="default"/>
      <w:color w:val="000000"/>
      <w:u w:val="single"/>
      <w:shd w:val="clear" w:color="auto" w:fill="FFFFFF"/>
    </w:rPr>
  </w:style>
  <w:style w:type="character" w:customStyle="1" w:styleId="RTFNum1092">
    <w:name w:val="RTF_Num 109 2"/>
    <w:basedOn w:val="Fuentedeprrafopredeter"/>
    <w:rsid w:val="00B15F7D"/>
    <w:rPr>
      <w:rFonts w:ascii="Wingdings" w:hAnsi="Wingdings" w:hint="default"/>
      <w:color w:val="000000"/>
      <w:u w:val="single"/>
      <w:shd w:val="clear" w:color="auto" w:fill="FFFFFF"/>
    </w:rPr>
  </w:style>
  <w:style w:type="character" w:customStyle="1" w:styleId="RTFNum1102">
    <w:name w:val="RTF_Num 110 2"/>
    <w:basedOn w:val="Fuentedeprrafopredeter"/>
    <w:rsid w:val="00B15F7D"/>
    <w:rPr>
      <w:rFonts w:ascii="Symbol" w:hAnsi="Symbol" w:hint="default"/>
      <w:color w:val="000000"/>
      <w:u w:val="single"/>
      <w:shd w:val="clear" w:color="auto" w:fill="FFFFFF"/>
    </w:rPr>
  </w:style>
  <w:style w:type="character" w:customStyle="1" w:styleId="RTFNum1112">
    <w:name w:val="RTF_Num 111 2"/>
    <w:basedOn w:val="Fuentedeprrafopredeter"/>
    <w:rsid w:val="00B15F7D"/>
    <w:rPr>
      <w:rFonts w:ascii="Symbol" w:hAnsi="Symbol" w:hint="default"/>
      <w:color w:val="000000"/>
      <w:u w:val="single"/>
      <w:shd w:val="clear" w:color="auto" w:fill="FFFFFF"/>
    </w:rPr>
  </w:style>
  <w:style w:type="character" w:customStyle="1" w:styleId="RTFNum1122">
    <w:name w:val="RTF_Num 112 2"/>
    <w:basedOn w:val="Fuentedeprrafopredeter"/>
    <w:rsid w:val="00B15F7D"/>
    <w:rPr>
      <w:rFonts w:ascii="Symbol" w:hAnsi="Symbol" w:hint="default"/>
      <w:color w:val="000000"/>
      <w:u w:val="single"/>
      <w:shd w:val="clear" w:color="auto" w:fill="FFFFFF"/>
    </w:rPr>
  </w:style>
  <w:style w:type="character" w:customStyle="1" w:styleId="RTFNum1132">
    <w:name w:val="RTF_Num 113 2"/>
    <w:basedOn w:val="Fuentedeprrafopredeter"/>
    <w:rsid w:val="00B15F7D"/>
    <w:rPr>
      <w:rFonts w:ascii="Symbol" w:hAnsi="Symbol" w:hint="default"/>
      <w:color w:val="000000"/>
      <w:u w:val="single"/>
      <w:shd w:val="clear" w:color="auto" w:fill="FFFFFF"/>
    </w:rPr>
  </w:style>
  <w:style w:type="character" w:customStyle="1" w:styleId="RTFNum1152">
    <w:name w:val="RTF_Num 115 2"/>
    <w:basedOn w:val="Fuentedeprrafopredeter"/>
    <w:rsid w:val="00B15F7D"/>
    <w:rPr>
      <w:rFonts w:ascii="Symbol" w:hAnsi="Symbol" w:hint="default"/>
      <w:color w:val="000000"/>
      <w:u w:val="single"/>
      <w:shd w:val="clear" w:color="auto" w:fill="FFFFFF"/>
    </w:rPr>
  </w:style>
  <w:style w:type="character" w:customStyle="1" w:styleId="RTFNum1172">
    <w:name w:val="RTF_Num 117 2"/>
    <w:basedOn w:val="Fuentedeprrafopredeter"/>
    <w:rsid w:val="00B15F7D"/>
    <w:rPr>
      <w:rFonts w:ascii="Symbol" w:hAnsi="Symbol" w:hint="default"/>
      <w:color w:val="000000"/>
      <w:u w:val="single"/>
      <w:shd w:val="clear" w:color="auto" w:fill="FFFFFF"/>
    </w:rPr>
  </w:style>
  <w:style w:type="character" w:customStyle="1" w:styleId="RTFNum1182">
    <w:name w:val="RTF_Num 118 2"/>
    <w:basedOn w:val="Fuentedeprrafopredeter"/>
    <w:rsid w:val="00B15F7D"/>
    <w:rPr>
      <w:rFonts w:ascii="Symbol" w:hAnsi="Symbol" w:hint="default"/>
      <w:color w:val="000000"/>
      <w:u w:val="single"/>
      <w:shd w:val="clear" w:color="auto" w:fill="FFFFFF"/>
    </w:rPr>
  </w:style>
  <w:style w:type="character" w:customStyle="1" w:styleId="RTFNum1192">
    <w:name w:val="RTF_Num 119 2"/>
    <w:basedOn w:val="Fuentedeprrafopredeter"/>
    <w:rsid w:val="00B15F7D"/>
    <w:rPr>
      <w:rFonts w:ascii="Symbol" w:hAnsi="Symbol" w:hint="default"/>
      <w:color w:val="000000"/>
      <w:u w:val="single"/>
      <w:shd w:val="clear" w:color="auto" w:fill="FFFFFF"/>
    </w:rPr>
  </w:style>
  <w:style w:type="character" w:customStyle="1" w:styleId="RTFNum1202">
    <w:name w:val="RTF_Num 120 2"/>
    <w:basedOn w:val="Fuentedeprrafopredeter"/>
    <w:rsid w:val="00B15F7D"/>
    <w:rPr>
      <w:rFonts w:ascii="Symbol" w:hAnsi="Symbol" w:hint="default"/>
      <w:color w:val="000000"/>
      <w:u w:val="single"/>
      <w:shd w:val="clear" w:color="auto" w:fill="FFFFFF"/>
    </w:rPr>
  </w:style>
  <w:style w:type="character" w:customStyle="1" w:styleId="RTFNum1212">
    <w:name w:val="RTF_Num 121 2"/>
    <w:basedOn w:val="Fuentedeprrafopredeter"/>
    <w:rsid w:val="00B15F7D"/>
    <w:rPr>
      <w:rFonts w:ascii="Symbol" w:hAnsi="Symbol" w:hint="default"/>
      <w:color w:val="000000"/>
      <w:u w:val="single"/>
      <w:shd w:val="clear" w:color="auto" w:fill="FFFFFF"/>
    </w:rPr>
  </w:style>
  <w:style w:type="character" w:customStyle="1" w:styleId="RTFNum1222">
    <w:name w:val="RTF_Num 122 2"/>
    <w:basedOn w:val="Fuentedeprrafopredeter"/>
    <w:rsid w:val="00B15F7D"/>
    <w:rPr>
      <w:rFonts w:ascii="Symbol" w:hAnsi="Symbol" w:hint="default"/>
      <w:color w:val="000000"/>
      <w:u w:val="single"/>
      <w:shd w:val="clear" w:color="auto" w:fill="FFFFFF"/>
    </w:rPr>
  </w:style>
  <w:style w:type="character" w:customStyle="1" w:styleId="RTFNum1232">
    <w:name w:val="RTF_Num 123 2"/>
    <w:basedOn w:val="Fuentedeprrafopredeter"/>
    <w:rsid w:val="00B15F7D"/>
    <w:rPr>
      <w:rFonts w:ascii="Symbol" w:hAnsi="Symbol" w:hint="default"/>
      <w:color w:val="000000"/>
      <w:u w:val="single"/>
      <w:shd w:val="clear" w:color="auto" w:fill="FFFFFF"/>
    </w:rPr>
  </w:style>
  <w:style w:type="character" w:customStyle="1" w:styleId="RTFNum1262">
    <w:name w:val="RTF_Num 126 2"/>
    <w:basedOn w:val="Fuentedeprrafopredeter"/>
    <w:rsid w:val="00B15F7D"/>
    <w:rPr>
      <w:rFonts w:ascii="Symbol" w:hAnsi="Symbol" w:hint="default"/>
      <w:color w:val="000000"/>
      <w:u w:val="single"/>
      <w:shd w:val="clear" w:color="auto" w:fill="FFFFFF"/>
    </w:rPr>
  </w:style>
  <w:style w:type="character" w:customStyle="1" w:styleId="RTFNum1292">
    <w:name w:val="RTF_Num 129 2"/>
    <w:basedOn w:val="Fuentedeprrafopredeter"/>
    <w:rsid w:val="00B15F7D"/>
    <w:rPr>
      <w:rFonts w:ascii="Symbol" w:hAnsi="Symbol" w:hint="default"/>
      <w:color w:val="000000"/>
      <w:shd w:val="clear" w:color="auto" w:fill="FFFFFF"/>
    </w:rPr>
  </w:style>
  <w:style w:type="character" w:customStyle="1" w:styleId="RTFNum1302">
    <w:name w:val="RTF_Num 130 2"/>
    <w:basedOn w:val="Fuentedeprrafopredeter"/>
    <w:rsid w:val="00B15F7D"/>
    <w:rPr>
      <w:rFonts w:ascii="Symbol" w:hAnsi="Symbol" w:hint="default"/>
      <w:color w:val="000000"/>
      <w:shd w:val="clear" w:color="auto" w:fill="FFFFFF"/>
    </w:rPr>
  </w:style>
  <w:style w:type="character" w:customStyle="1" w:styleId="RTFNum1312">
    <w:name w:val="RTF_Num 131 2"/>
    <w:basedOn w:val="Fuentedeprrafopredeter"/>
    <w:rsid w:val="00B15F7D"/>
    <w:rPr>
      <w:rFonts w:ascii="Symbol" w:hAnsi="Symbol" w:hint="default"/>
      <w:color w:val="000000"/>
      <w:shd w:val="clear" w:color="auto" w:fill="FFFFFF"/>
    </w:rPr>
  </w:style>
  <w:style w:type="character" w:customStyle="1" w:styleId="RTFNum1322">
    <w:name w:val="RTF_Num 132 2"/>
    <w:basedOn w:val="Fuentedeprrafopredeter"/>
    <w:rsid w:val="00B15F7D"/>
    <w:rPr>
      <w:rFonts w:ascii="Symbol" w:hAnsi="Symbol" w:hint="default"/>
      <w:color w:val="000000"/>
      <w:shd w:val="clear" w:color="auto" w:fill="FFFFFF"/>
    </w:rPr>
  </w:style>
  <w:style w:type="character" w:customStyle="1" w:styleId="RTFNum1332">
    <w:name w:val="RTF_Num 133 2"/>
    <w:basedOn w:val="Fuentedeprrafopredeter"/>
    <w:rsid w:val="00B15F7D"/>
    <w:rPr>
      <w:rFonts w:ascii="Symbol" w:hAnsi="Symbol" w:hint="default"/>
      <w:color w:val="000000"/>
      <w:shd w:val="clear" w:color="auto" w:fill="FFFFFF"/>
    </w:rPr>
  </w:style>
  <w:style w:type="character" w:customStyle="1" w:styleId="RTFNum1342">
    <w:name w:val="RTF_Num 134 2"/>
    <w:basedOn w:val="Fuentedeprrafopredeter"/>
    <w:rsid w:val="00B15F7D"/>
    <w:rPr>
      <w:rFonts w:ascii="Symbol" w:hAnsi="Symbol" w:hint="default"/>
      <w:color w:val="000000"/>
      <w:shd w:val="clear" w:color="auto" w:fill="FFFFFF"/>
    </w:rPr>
  </w:style>
  <w:style w:type="character" w:customStyle="1" w:styleId="RTFNum1352">
    <w:name w:val="RTF_Num 135 2"/>
    <w:basedOn w:val="Fuentedeprrafopredeter"/>
    <w:rsid w:val="00B15F7D"/>
    <w:rPr>
      <w:rFonts w:ascii="Symbol" w:hAnsi="Symbol" w:hint="default"/>
      <w:color w:val="000000"/>
      <w:shd w:val="clear" w:color="auto" w:fill="FFFFFF"/>
    </w:rPr>
  </w:style>
  <w:style w:type="character" w:customStyle="1" w:styleId="RTFNum1362">
    <w:name w:val="RTF_Num 136 2"/>
    <w:basedOn w:val="Fuentedeprrafopredeter"/>
    <w:rsid w:val="00B15F7D"/>
    <w:rPr>
      <w:rFonts w:ascii="Symbol" w:hAnsi="Symbol" w:hint="default"/>
      <w:color w:val="000000"/>
      <w:shd w:val="clear" w:color="auto" w:fill="FFFFFF"/>
    </w:rPr>
  </w:style>
  <w:style w:type="character" w:customStyle="1" w:styleId="RTFNum1372">
    <w:name w:val="RTF_Num 137 2"/>
    <w:basedOn w:val="Fuentedeprrafopredeter"/>
    <w:rsid w:val="00B15F7D"/>
    <w:rPr>
      <w:rFonts w:ascii="Symbol" w:hAnsi="Symbol" w:hint="default"/>
      <w:color w:val="000000"/>
      <w:shd w:val="clear" w:color="auto" w:fill="FFFFFF"/>
    </w:rPr>
  </w:style>
  <w:style w:type="character" w:customStyle="1" w:styleId="RTFNum1382">
    <w:name w:val="RTF_Num 138 2"/>
    <w:basedOn w:val="Fuentedeprrafopredeter"/>
    <w:rsid w:val="00B15F7D"/>
    <w:rPr>
      <w:rFonts w:ascii="Symbol" w:hAnsi="Symbol" w:hint="default"/>
      <w:color w:val="000000"/>
      <w:shd w:val="clear" w:color="auto" w:fill="FFFFFF"/>
    </w:rPr>
  </w:style>
  <w:style w:type="character" w:customStyle="1" w:styleId="RTFNum1392">
    <w:name w:val="RTF_Num 139 2"/>
    <w:basedOn w:val="Fuentedeprrafopredeter"/>
    <w:rsid w:val="00B15F7D"/>
    <w:rPr>
      <w:rFonts w:ascii="Symbol" w:hAnsi="Symbol" w:hint="default"/>
      <w:color w:val="000000"/>
      <w:shd w:val="clear" w:color="auto" w:fill="FFFFFF"/>
    </w:rPr>
  </w:style>
  <w:style w:type="character" w:customStyle="1" w:styleId="RTFNum1402">
    <w:name w:val="RTF_Num 140 2"/>
    <w:basedOn w:val="Fuentedeprrafopredeter"/>
    <w:rsid w:val="00B15F7D"/>
    <w:rPr>
      <w:rFonts w:ascii="Symbol" w:hAnsi="Symbol" w:hint="default"/>
      <w:color w:val="000000"/>
      <w:shd w:val="clear" w:color="auto" w:fill="FFFFFF"/>
    </w:rPr>
  </w:style>
  <w:style w:type="character" w:customStyle="1" w:styleId="RTFNum1412">
    <w:name w:val="RTF_Num 141 2"/>
    <w:basedOn w:val="Fuentedeprrafopredeter"/>
    <w:rsid w:val="00B15F7D"/>
    <w:rPr>
      <w:rFonts w:ascii="Symbol" w:hAnsi="Symbol" w:hint="default"/>
      <w:color w:val="000000"/>
      <w:shd w:val="clear" w:color="auto" w:fill="FFFFFF"/>
    </w:rPr>
  </w:style>
  <w:style w:type="character" w:customStyle="1" w:styleId="RTFNum1422">
    <w:name w:val="RTF_Num 142 2"/>
    <w:basedOn w:val="Fuentedeprrafopredeter"/>
    <w:rsid w:val="00B15F7D"/>
    <w:rPr>
      <w:rFonts w:ascii="Symbol" w:hAnsi="Symbol" w:hint="default"/>
      <w:color w:val="000000"/>
      <w:shd w:val="clear" w:color="auto" w:fill="FFFFFF"/>
    </w:rPr>
  </w:style>
  <w:style w:type="character" w:customStyle="1" w:styleId="RTFNum1432">
    <w:name w:val="RTF_Num 143 2"/>
    <w:basedOn w:val="Fuentedeprrafopredeter"/>
    <w:rsid w:val="00B15F7D"/>
    <w:rPr>
      <w:rFonts w:ascii="Symbol" w:hAnsi="Symbol" w:hint="default"/>
      <w:color w:val="000000"/>
      <w:shd w:val="clear" w:color="auto" w:fill="FFFFFF"/>
    </w:rPr>
  </w:style>
  <w:style w:type="character" w:customStyle="1" w:styleId="RTFNum1442">
    <w:name w:val="RTF_Num 144 2"/>
    <w:basedOn w:val="Fuentedeprrafopredeter"/>
    <w:rsid w:val="00B15F7D"/>
    <w:rPr>
      <w:rFonts w:ascii="Wingdings" w:hAnsi="Wingdings" w:hint="default"/>
      <w:color w:val="000000"/>
      <w:shd w:val="clear" w:color="auto" w:fill="FFFFFF"/>
    </w:rPr>
  </w:style>
  <w:style w:type="character" w:customStyle="1" w:styleId="RTFNum1452">
    <w:name w:val="RTF_Num 145 2"/>
    <w:basedOn w:val="Fuentedeprrafopredeter"/>
    <w:rsid w:val="00B15F7D"/>
    <w:rPr>
      <w:rFonts w:ascii="Symbol" w:hAnsi="Symbol" w:hint="default"/>
      <w:color w:val="000000"/>
      <w:shd w:val="clear" w:color="auto" w:fill="FFFFFF"/>
    </w:rPr>
  </w:style>
  <w:style w:type="character" w:customStyle="1" w:styleId="RTFNum1462">
    <w:name w:val="RTF_Num 146 2"/>
    <w:basedOn w:val="Fuentedeprrafopredeter"/>
    <w:rsid w:val="00B15F7D"/>
    <w:rPr>
      <w:rFonts w:ascii="Symbol" w:hAnsi="Symbol" w:hint="default"/>
      <w:color w:val="000000"/>
      <w:shd w:val="clear" w:color="auto" w:fill="FFFFFF"/>
    </w:rPr>
  </w:style>
  <w:style w:type="character" w:customStyle="1" w:styleId="RTFNum1472">
    <w:name w:val="RTF_Num 147 2"/>
    <w:basedOn w:val="Fuentedeprrafopredeter"/>
    <w:rsid w:val="00B15F7D"/>
    <w:rPr>
      <w:rFonts w:ascii="Symbol" w:hAnsi="Symbol" w:hint="default"/>
      <w:color w:val="000000"/>
      <w:shd w:val="clear" w:color="auto" w:fill="FFFFFF"/>
    </w:rPr>
  </w:style>
  <w:style w:type="character" w:customStyle="1" w:styleId="RTFNum1482">
    <w:name w:val="RTF_Num 148 2"/>
    <w:basedOn w:val="Fuentedeprrafopredeter"/>
    <w:rsid w:val="00B15F7D"/>
    <w:rPr>
      <w:rFonts w:ascii="Symbol" w:hAnsi="Symbol" w:hint="default"/>
      <w:color w:val="000000"/>
      <w:shd w:val="clear" w:color="auto" w:fill="FFFFFF"/>
    </w:rPr>
  </w:style>
  <w:style w:type="character" w:customStyle="1" w:styleId="RTFNum1492">
    <w:name w:val="RTF_Num 149 2"/>
    <w:basedOn w:val="Fuentedeprrafopredeter"/>
    <w:rsid w:val="00B15F7D"/>
    <w:rPr>
      <w:rFonts w:ascii="Wingdings" w:hAnsi="Wingdings" w:hint="default"/>
      <w:color w:val="000000"/>
      <w:shd w:val="clear" w:color="auto" w:fill="FFFFFF"/>
    </w:rPr>
  </w:style>
  <w:style w:type="character" w:customStyle="1" w:styleId="RTFNum1502">
    <w:name w:val="RTF_Num 150 2"/>
    <w:basedOn w:val="Fuentedeprrafopredeter"/>
    <w:rsid w:val="00B15F7D"/>
    <w:rPr>
      <w:rFonts w:ascii="Symbol" w:hAnsi="Symbol" w:hint="default"/>
      <w:color w:val="000000"/>
      <w:shd w:val="clear" w:color="auto" w:fill="FFFFFF"/>
    </w:rPr>
  </w:style>
  <w:style w:type="character" w:customStyle="1" w:styleId="RTFNum1512">
    <w:name w:val="RTF_Num 151 2"/>
    <w:basedOn w:val="Fuentedeprrafopredeter"/>
    <w:rsid w:val="00B15F7D"/>
    <w:rPr>
      <w:rFonts w:ascii="Symbol" w:hAnsi="Symbol" w:hint="default"/>
      <w:color w:val="000000"/>
      <w:shd w:val="clear" w:color="auto" w:fill="FFFFFF"/>
    </w:rPr>
  </w:style>
  <w:style w:type="character" w:customStyle="1" w:styleId="RTFNum1522">
    <w:name w:val="RTF_Num 152 2"/>
    <w:basedOn w:val="Fuentedeprrafopredeter"/>
    <w:rsid w:val="00B15F7D"/>
    <w:rPr>
      <w:rFonts w:ascii="Symbol" w:hAnsi="Symbol" w:hint="default"/>
      <w:color w:val="000000"/>
      <w:shd w:val="clear" w:color="auto" w:fill="FFFFFF"/>
    </w:rPr>
  </w:style>
  <w:style w:type="character" w:customStyle="1" w:styleId="RTFNum1532">
    <w:name w:val="RTF_Num 153 2"/>
    <w:basedOn w:val="Fuentedeprrafopredeter"/>
    <w:rsid w:val="00B15F7D"/>
    <w:rPr>
      <w:rFonts w:ascii="Symbol" w:hAnsi="Symbol" w:hint="default"/>
      <w:color w:val="000000"/>
      <w:shd w:val="clear" w:color="auto" w:fill="FFFFFF"/>
    </w:rPr>
  </w:style>
  <w:style w:type="character" w:customStyle="1" w:styleId="RTFNum1542">
    <w:name w:val="RTF_Num 154 2"/>
    <w:basedOn w:val="Fuentedeprrafopredeter"/>
    <w:rsid w:val="00B15F7D"/>
    <w:rPr>
      <w:rFonts w:ascii="Symbol" w:hAnsi="Symbol" w:hint="default"/>
      <w:color w:val="000000"/>
      <w:shd w:val="clear" w:color="auto" w:fill="FFFFFF"/>
    </w:rPr>
  </w:style>
  <w:style w:type="character" w:customStyle="1" w:styleId="RTFNum1552">
    <w:name w:val="RTF_Num 155 2"/>
    <w:basedOn w:val="Fuentedeprrafopredeter"/>
    <w:rsid w:val="00B15F7D"/>
    <w:rPr>
      <w:rFonts w:ascii="Wingdings" w:hAnsi="Wingdings" w:hint="default"/>
      <w:color w:val="000000"/>
      <w:shd w:val="clear" w:color="auto" w:fill="FFFFFF"/>
    </w:rPr>
  </w:style>
  <w:style w:type="character" w:customStyle="1" w:styleId="RTFNum1562">
    <w:name w:val="RTF_Num 156 2"/>
    <w:basedOn w:val="Fuentedeprrafopredeter"/>
    <w:rsid w:val="00B15F7D"/>
    <w:rPr>
      <w:rFonts w:ascii="Wingdings" w:hAnsi="Wingdings" w:hint="default"/>
      <w:color w:val="000000"/>
      <w:shd w:val="clear" w:color="auto" w:fill="FFFFFF"/>
    </w:rPr>
  </w:style>
  <w:style w:type="character" w:customStyle="1" w:styleId="RTFNum1572">
    <w:name w:val="RTF_Num 157 2"/>
    <w:basedOn w:val="Fuentedeprrafopredeter"/>
    <w:rsid w:val="00B15F7D"/>
    <w:rPr>
      <w:rFonts w:ascii="Wingdings" w:hAnsi="Wingdings" w:hint="default"/>
      <w:color w:val="000000"/>
      <w:shd w:val="clear" w:color="auto" w:fill="FFFFFF"/>
    </w:rPr>
  </w:style>
  <w:style w:type="character" w:customStyle="1" w:styleId="RTFNum1582">
    <w:name w:val="RTF_Num 158 2"/>
    <w:basedOn w:val="Fuentedeprrafopredeter"/>
    <w:rsid w:val="00B15F7D"/>
    <w:rPr>
      <w:rFonts w:ascii="Wingdings" w:hAnsi="Wingdings" w:hint="default"/>
      <w:color w:val="000000"/>
      <w:shd w:val="clear" w:color="auto" w:fill="FFFFFF"/>
    </w:rPr>
  </w:style>
  <w:style w:type="character" w:customStyle="1" w:styleId="RTFNum1592">
    <w:name w:val="RTF_Num 159 2"/>
    <w:basedOn w:val="Fuentedeprrafopredeter"/>
    <w:rsid w:val="00B15F7D"/>
    <w:rPr>
      <w:rFonts w:ascii="Wingdings" w:hAnsi="Wingdings" w:hint="default"/>
      <w:color w:val="000000"/>
      <w:shd w:val="clear" w:color="auto" w:fill="FFFFFF"/>
    </w:rPr>
  </w:style>
  <w:style w:type="character" w:customStyle="1" w:styleId="RTFNum1602">
    <w:name w:val="RTF_Num 160 2"/>
    <w:basedOn w:val="Fuentedeprrafopredeter"/>
    <w:rsid w:val="00B15F7D"/>
    <w:rPr>
      <w:rFonts w:ascii="Wingdings" w:hAnsi="Wingdings" w:hint="default"/>
      <w:color w:val="000000"/>
      <w:shd w:val="clear" w:color="auto" w:fill="FFFFFF"/>
    </w:rPr>
  </w:style>
  <w:style w:type="character" w:customStyle="1" w:styleId="RTFNum1612">
    <w:name w:val="RTF_Num 161 2"/>
    <w:basedOn w:val="Fuentedeprrafopredeter"/>
    <w:rsid w:val="00B15F7D"/>
    <w:rPr>
      <w:rFonts w:ascii="Wingdings" w:hAnsi="Wingdings" w:hint="default"/>
      <w:color w:val="000000"/>
      <w:shd w:val="clear" w:color="auto" w:fill="FFFFFF"/>
    </w:rPr>
  </w:style>
  <w:style w:type="character" w:customStyle="1" w:styleId="RTFNum1622">
    <w:name w:val="RTF_Num 162 2"/>
    <w:basedOn w:val="Fuentedeprrafopredeter"/>
    <w:rsid w:val="00B15F7D"/>
    <w:rPr>
      <w:rFonts w:ascii="Wingdings" w:hAnsi="Wingdings" w:hint="default"/>
      <w:color w:val="000000"/>
      <w:shd w:val="clear" w:color="auto" w:fill="FFFFFF"/>
    </w:rPr>
  </w:style>
  <w:style w:type="character" w:customStyle="1" w:styleId="RTFNum1632">
    <w:name w:val="RTF_Num 163 2"/>
    <w:basedOn w:val="Fuentedeprrafopredeter"/>
    <w:rsid w:val="00B15F7D"/>
    <w:rPr>
      <w:rFonts w:ascii="Symbol" w:hAnsi="Symbol" w:hint="default"/>
      <w:color w:val="000000"/>
      <w:shd w:val="clear" w:color="auto" w:fill="FFFFFF"/>
    </w:rPr>
  </w:style>
  <w:style w:type="character" w:customStyle="1" w:styleId="RTFNum1642">
    <w:name w:val="RTF_Num 164 2"/>
    <w:basedOn w:val="Fuentedeprrafopredeter"/>
    <w:rsid w:val="00B15F7D"/>
    <w:rPr>
      <w:rFonts w:ascii="Symbol" w:hAnsi="Symbol" w:hint="default"/>
      <w:color w:val="000000"/>
      <w:shd w:val="clear" w:color="auto" w:fill="FFFFFF"/>
    </w:rPr>
  </w:style>
  <w:style w:type="character" w:customStyle="1" w:styleId="RTFNum1652">
    <w:name w:val="RTF_Num 165 2"/>
    <w:basedOn w:val="Fuentedeprrafopredeter"/>
    <w:rsid w:val="00B15F7D"/>
    <w:rPr>
      <w:rFonts w:ascii="Symbol" w:hAnsi="Symbol" w:hint="default"/>
      <w:color w:val="000000"/>
      <w:shd w:val="clear" w:color="auto" w:fill="FFFFFF"/>
    </w:rPr>
  </w:style>
  <w:style w:type="character" w:customStyle="1" w:styleId="RTFNum1662">
    <w:name w:val="RTF_Num 166 2"/>
    <w:basedOn w:val="Fuentedeprrafopredeter"/>
    <w:rsid w:val="00B15F7D"/>
    <w:rPr>
      <w:rFonts w:ascii="Wingdings" w:hAnsi="Wingdings" w:hint="default"/>
      <w:color w:val="000000"/>
      <w:shd w:val="clear" w:color="auto" w:fill="FFFFFF"/>
    </w:rPr>
  </w:style>
  <w:style w:type="character" w:customStyle="1" w:styleId="RTFNum1672">
    <w:name w:val="RTF_Num 167 2"/>
    <w:basedOn w:val="Fuentedeprrafopredeter"/>
    <w:rsid w:val="00B15F7D"/>
    <w:rPr>
      <w:rFonts w:ascii="Wingdings" w:hAnsi="Wingdings" w:hint="default"/>
      <w:color w:val="000000"/>
      <w:shd w:val="clear" w:color="auto" w:fill="FFFFFF"/>
    </w:rPr>
  </w:style>
  <w:style w:type="character" w:customStyle="1" w:styleId="RTFNum1682">
    <w:name w:val="RTF_Num 168 2"/>
    <w:basedOn w:val="Fuentedeprrafopredeter"/>
    <w:rsid w:val="00B15F7D"/>
    <w:rPr>
      <w:rFonts w:ascii="Wingdings" w:hAnsi="Wingdings" w:hint="default"/>
      <w:color w:val="000000"/>
      <w:shd w:val="clear" w:color="auto" w:fill="FFFFFF"/>
    </w:rPr>
  </w:style>
  <w:style w:type="character" w:customStyle="1" w:styleId="RTFNum1692">
    <w:name w:val="RTF_Num 169 2"/>
    <w:basedOn w:val="Fuentedeprrafopredeter"/>
    <w:rsid w:val="00B15F7D"/>
    <w:rPr>
      <w:rFonts w:ascii="Symbol" w:hAnsi="Symbol" w:hint="default"/>
      <w:color w:val="000000"/>
      <w:shd w:val="clear" w:color="auto" w:fill="FFFFFF"/>
    </w:rPr>
  </w:style>
  <w:style w:type="character" w:customStyle="1" w:styleId="RTFNum1702">
    <w:name w:val="RTF_Num 170 2"/>
    <w:basedOn w:val="Fuentedeprrafopredeter"/>
    <w:rsid w:val="00B15F7D"/>
    <w:rPr>
      <w:rFonts w:ascii="Wingdings" w:hAnsi="Wingdings" w:hint="default"/>
      <w:color w:val="000000"/>
      <w:shd w:val="clear" w:color="auto" w:fill="FFFFFF"/>
    </w:rPr>
  </w:style>
  <w:style w:type="character" w:customStyle="1" w:styleId="RTFNum1712">
    <w:name w:val="RTF_Num 171 2"/>
    <w:basedOn w:val="Fuentedeprrafopredeter"/>
    <w:rsid w:val="00B15F7D"/>
    <w:rPr>
      <w:rFonts w:ascii="Symbol" w:hAnsi="Symbol" w:hint="default"/>
      <w:color w:val="000000"/>
      <w:shd w:val="clear" w:color="auto" w:fill="FFFFFF"/>
    </w:rPr>
  </w:style>
  <w:style w:type="character" w:customStyle="1" w:styleId="RTFNum1722">
    <w:name w:val="RTF_Num 172 2"/>
    <w:basedOn w:val="Fuentedeprrafopredeter"/>
    <w:rsid w:val="00B15F7D"/>
    <w:rPr>
      <w:rFonts w:ascii="Symbol" w:hAnsi="Symbol" w:hint="default"/>
      <w:color w:val="000000"/>
      <w:shd w:val="clear" w:color="auto" w:fill="FFFFFF"/>
    </w:rPr>
  </w:style>
  <w:style w:type="character" w:customStyle="1" w:styleId="RTFNum1732">
    <w:name w:val="RTF_Num 173 2"/>
    <w:basedOn w:val="Fuentedeprrafopredeter"/>
    <w:rsid w:val="00B15F7D"/>
    <w:rPr>
      <w:rFonts w:ascii="Wingdings" w:hAnsi="Wingdings" w:hint="default"/>
      <w:color w:val="000000"/>
      <w:shd w:val="clear" w:color="auto" w:fill="FFFFFF"/>
    </w:rPr>
  </w:style>
  <w:style w:type="character" w:customStyle="1" w:styleId="RTFNum1742">
    <w:name w:val="RTF_Num 174 2"/>
    <w:basedOn w:val="Fuentedeprrafopredeter"/>
    <w:rsid w:val="00B15F7D"/>
    <w:rPr>
      <w:rFonts w:ascii="Wingdings" w:hAnsi="Wingdings" w:hint="default"/>
      <w:color w:val="000000"/>
      <w:shd w:val="clear" w:color="auto" w:fill="FFFFFF"/>
    </w:rPr>
  </w:style>
  <w:style w:type="character" w:customStyle="1" w:styleId="RTFNum1752">
    <w:name w:val="RTF_Num 175 2"/>
    <w:basedOn w:val="Fuentedeprrafopredeter"/>
    <w:rsid w:val="00B15F7D"/>
    <w:rPr>
      <w:rFonts w:ascii="Wingdings" w:hAnsi="Wingdings" w:hint="default"/>
      <w:color w:val="000000"/>
      <w:shd w:val="clear" w:color="auto" w:fill="FFFFFF"/>
    </w:rPr>
  </w:style>
  <w:style w:type="character" w:customStyle="1" w:styleId="RTFNum1762">
    <w:name w:val="RTF_Num 176 2"/>
    <w:basedOn w:val="Fuentedeprrafopredeter"/>
    <w:rsid w:val="00B15F7D"/>
    <w:rPr>
      <w:rFonts w:ascii="Wingdings" w:hAnsi="Wingdings" w:hint="default"/>
      <w:color w:val="000000"/>
      <w:shd w:val="clear" w:color="auto" w:fill="FFFFFF"/>
    </w:rPr>
  </w:style>
  <w:style w:type="character" w:customStyle="1" w:styleId="RTFNum1772">
    <w:name w:val="RTF_Num 177 2"/>
    <w:basedOn w:val="Fuentedeprrafopredeter"/>
    <w:rsid w:val="00B15F7D"/>
    <w:rPr>
      <w:rFonts w:ascii="Symbol" w:hAnsi="Symbol" w:hint="default"/>
      <w:color w:val="000000"/>
      <w:shd w:val="clear" w:color="auto" w:fill="FFFFFF"/>
    </w:rPr>
  </w:style>
  <w:style w:type="character" w:customStyle="1" w:styleId="RTFNum1782">
    <w:name w:val="RTF_Num 178 2"/>
    <w:basedOn w:val="Fuentedeprrafopredeter"/>
    <w:rsid w:val="00B15F7D"/>
    <w:rPr>
      <w:rFonts w:ascii="Wingdings" w:hAnsi="Wingdings" w:hint="default"/>
      <w:color w:val="000000"/>
      <w:shd w:val="clear" w:color="auto" w:fill="FFFFFF"/>
    </w:rPr>
  </w:style>
  <w:style w:type="character" w:customStyle="1" w:styleId="RTFNum1792">
    <w:name w:val="RTF_Num 179 2"/>
    <w:basedOn w:val="Fuentedeprrafopredeter"/>
    <w:rsid w:val="00B15F7D"/>
    <w:rPr>
      <w:rFonts w:ascii="Wingdings" w:hAnsi="Wingdings" w:hint="default"/>
      <w:color w:val="000000"/>
      <w:shd w:val="clear" w:color="auto" w:fill="FFFFFF"/>
    </w:rPr>
  </w:style>
  <w:style w:type="character" w:customStyle="1" w:styleId="RTFNum1802">
    <w:name w:val="RTF_Num 180 2"/>
    <w:basedOn w:val="Fuentedeprrafopredeter"/>
    <w:rsid w:val="00B15F7D"/>
    <w:rPr>
      <w:rFonts w:ascii="Symbol" w:hAnsi="Symbol" w:hint="default"/>
      <w:color w:val="000000"/>
      <w:shd w:val="clear" w:color="auto" w:fill="FFFFFF"/>
    </w:rPr>
  </w:style>
  <w:style w:type="character" w:customStyle="1" w:styleId="RTFNum1812">
    <w:name w:val="RTF_Num 181 2"/>
    <w:basedOn w:val="Fuentedeprrafopredeter"/>
    <w:rsid w:val="00B15F7D"/>
    <w:rPr>
      <w:rFonts w:ascii="Wingdings" w:hAnsi="Wingdings" w:hint="default"/>
      <w:color w:val="000000"/>
      <w:shd w:val="clear" w:color="auto" w:fill="FFFFFF"/>
    </w:rPr>
  </w:style>
  <w:style w:type="character" w:customStyle="1" w:styleId="RTFNum1822">
    <w:name w:val="RTF_Num 182 2"/>
    <w:basedOn w:val="Fuentedeprrafopredeter"/>
    <w:rsid w:val="00B15F7D"/>
    <w:rPr>
      <w:rFonts w:ascii="Symbol" w:hAnsi="Symbol" w:hint="default"/>
      <w:color w:val="000000"/>
      <w:shd w:val="clear" w:color="auto" w:fill="FFFFFF"/>
    </w:rPr>
  </w:style>
  <w:style w:type="character" w:customStyle="1" w:styleId="RTFNum1832">
    <w:name w:val="RTF_Num 183 2"/>
    <w:basedOn w:val="Fuentedeprrafopredeter"/>
    <w:rsid w:val="00B15F7D"/>
    <w:rPr>
      <w:rFonts w:ascii="Symbol" w:hAnsi="Symbol" w:hint="default"/>
      <w:color w:val="000000"/>
      <w:shd w:val="clear" w:color="auto" w:fill="FFFFFF"/>
    </w:rPr>
  </w:style>
  <w:style w:type="character" w:customStyle="1" w:styleId="RTFNum1842">
    <w:name w:val="RTF_Num 184 2"/>
    <w:basedOn w:val="Fuentedeprrafopredeter"/>
    <w:rsid w:val="00B15F7D"/>
    <w:rPr>
      <w:rFonts w:ascii="Symbol" w:hAnsi="Symbol" w:hint="default"/>
      <w:color w:val="000000"/>
      <w:shd w:val="clear" w:color="auto" w:fill="FFFFFF"/>
    </w:rPr>
  </w:style>
  <w:style w:type="character" w:customStyle="1" w:styleId="RTFNum1852">
    <w:name w:val="RTF_Num 185 2"/>
    <w:basedOn w:val="Fuentedeprrafopredeter"/>
    <w:rsid w:val="00B15F7D"/>
    <w:rPr>
      <w:rFonts w:ascii="Symbol" w:hAnsi="Symbol" w:hint="default"/>
      <w:color w:val="000000"/>
      <w:shd w:val="clear" w:color="auto" w:fill="FFFFFF"/>
    </w:rPr>
  </w:style>
  <w:style w:type="character" w:customStyle="1" w:styleId="RTFNum1862">
    <w:name w:val="RTF_Num 186 2"/>
    <w:basedOn w:val="Fuentedeprrafopredeter"/>
    <w:rsid w:val="00B15F7D"/>
    <w:rPr>
      <w:rFonts w:ascii="Symbol" w:hAnsi="Symbol" w:hint="default"/>
      <w:color w:val="000000"/>
      <w:shd w:val="clear" w:color="auto" w:fill="FFFFFF"/>
    </w:rPr>
  </w:style>
  <w:style w:type="character" w:customStyle="1" w:styleId="RTFNum1872">
    <w:name w:val="RTF_Num 187 2"/>
    <w:basedOn w:val="Fuentedeprrafopredeter"/>
    <w:rsid w:val="00B15F7D"/>
    <w:rPr>
      <w:rFonts w:ascii="Symbol" w:hAnsi="Symbol" w:hint="default"/>
      <w:color w:val="000000"/>
      <w:shd w:val="clear" w:color="auto" w:fill="FFFFFF"/>
    </w:rPr>
  </w:style>
  <w:style w:type="character" w:customStyle="1" w:styleId="RTFNum1882">
    <w:name w:val="RTF_Num 188 2"/>
    <w:basedOn w:val="Fuentedeprrafopredeter"/>
    <w:rsid w:val="00B15F7D"/>
    <w:rPr>
      <w:rFonts w:ascii="Symbol" w:hAnsi="Symbol" w:hint="default"/>
      <w:color w:val="000000"/>
      <w:shd w:val="clear" w:color="auto" w:fill="FFFFFF"/>
    </w:rPr>
  </w:style>
  <w:style w:type="character" w:customStyle="1" w:styleId="RTFNum1892">
    <w:name w:val="RTF_Num 189 2"/>
    <w:basedOn w:val="Fuentedeprrafopredeter"/>
    <w:rsid w:val="00B15F7D"/>
    <w:rPr>
      <w:rFonts w:ascii="Symbol" w:hAnsi="Symbol" w:hint="default"/>
      <w:color w:val="000000"/>
      <w:shd w:val="clear" w:color="auto" w:fill="FFFFFF"/>
    </w:rPr>
  </w:style>
  <w:style w:type="character" w:customStyle="1" w:styleId="RTFNum1902">
    <w:name w:val="RTF_Num 190 2"/>
    <w:basedOn w:val="Fuentedeprrafopredeter"/>
    <w:rsid w:val="00B15F7D"/>
    <w:rPr>
      <w:rFonts w:ascii="Symbol" w:hAnsi="Symbol" w:hint="default"/>
      <w:color w:val="000000"/>
      <w:shd w:val="clear" w:color="auto" w:fill="FFFFFF"/>
    </w:rPr>
  </w:style>
  <w:style w:type="character" w:customStyle="1" w:styleId="RTFNum1912">
    <w:name w:val="RTF_Num 191 2"/>
    <w:basedOn w:val="Fuentedeprrafopredeter"/>
    <w:rsid w:val="00B15F7D"/>
    <w:rPr>
      <w:rFonts w:ascii="Wingdings" w:hAnsi="Wingdings" w:hint="default"/>
      <w:color w:val="000000"/>
      <w:shd w:val="clear" w:color="auto" w:fill="FFFFFF"/>
    </w:rPr>
  </w:style>
  <w:style w:type="character" w:customStyle="1" w:styleId="RTFNum1922">
    <w:name w:val="RTF_Num 192 2"/>
    <w:basedOn w:val="Fuentedeprrafopredeter"/>
    <w:rsid w:val="00B15F7D"/>
    <w:rPr>
      <w:rFonts w:ascii="Wingdings" w:hAnsi="Wingdings" w:hint="default"/>
      <w:color w:val="000000"/>
      <w:shd w:val="clear" w:color="auto" w:fill="FFFFFF"/>
    </w:rPr>
  </w:style>
  <w:style w:type="character" w:customStyle="1" w:styleId="RTFNum1932">
    <w:name w:val="RTF_Num 193 2"/>
    <w:basedOn w:val="Fuentedeprrafopredeter"/>
    <w:rsid w:val="00B15F7D"/>
    <w:rPr>
      <w:rFonts w:ascii="Symbol" w:hAnsi="Symbol" w:hint="default"/>
      <w:color w:val="000000"/>
      <w:shd w:val="clear" w:color="auto" w:fill="FFFFFF"/>
    </w:rPr>
  </w:style>
  <w:style w:type="character" w:customStyle="1" w:styleId="RTFNum1942">
    <w:name w:val="RTF_Num 194 2"/>
    <w:basedOn w:val="Fuentedeprrafopredeter"/>
    <w:rsid w:val="00B15F7D"/>
    <w:rPr>
      <w:rFonts w:ascii="Symbol" w:hAnsi="Symbol" w:hint="default"/>
      <w:color w:val="000000"/>
      <w:shd w:val="clear" w:color="auto" w:fill="FFFFFF"/>
    </w:rPr>
  </w:style>
  <w:style w:type="character" w:customStyle="1" w:styleId="RTFNum1952">
    <w:name w:val="RTF_Num 195 2"/>
    <w:basedOn w:val="Fuentedeprrafopredeter"/>
    <w:rsid w:val="00B15F7D"/>
    <w:rPr>
      <w:rFonts w:ascii="Symbol" w:hAnsi="Symbol" w:hint="default"/>
      <w:color w:val="000000"/>
      <w:shd w:val="clear" w:color="auto" w:fill="FFFFFF"/>
    </w:rPr>
  </w:style>
  <w:style w:type="character" w:customStyle="1" w:styleId="RTFNum1962">
    <w:name w:val="RTF_Num 196 2"/>
    <w:basedOn w:val="Fuentedeprrafopredeter"/>
    <w:rsid w:val="00B15F7D"/>
    <w:rPr>
      <w:rFonts w:ascii="Wingdings" w:hAnsi="Wingdings" w:hint="default"/>
      <w:color w:val="000000"/>
      <w:shd w:val="clear" w:color="auto" w:fill="FFFFFF"/>
    </w:rPr>
  </w:style>
  <w:style w:type="character" w:customStyle="1" w:styleId="RTFNum1972">
    <w:name w:val="RTF_Num 197 2"/>
    <w:basedOn w:val="Fuentedeprrafopredeter"/>
    <w:rsid w:val="00B15F7D"/>
    <w:rPr>
      <w:rFonts w:ascii="Wingdings" w:hAnsi="Wingdings" w:hint="default"/>
      <w:color w:val="000000"/>
      <w:shd w:val="clear" w:color="auto" w:fill="FFFFFF"/>
    </w:rPr>
  </w:style>
  <w:style w:type="character" w:customStyle="1" w:styleId="RTFNum1982">
    <w:name w:val="RTF_Num 198 2"/>
    <w:basedOn w:val="Fuentedeprrafopredeter"/>
    <w:rsid w:val="00B15F7D"/>
    <w:rPr>
      <w:rFonts w:ascii="Wingdings" w:hAnsi="Wingdings" w:hint="default"/>
      <w:color w:val="000000"/>
      <w:shd w:val="clear" w:color="auto" w:fill="FFFFFF"/>
    </w:rPr>
  </w:style>
  <w:style w:type="character" w:customStyle="1" w:styleId="RTFNum1992">
    <w:name w:val="RTF_Num 199 2"/>
    <w:basedOn w:val="Fuentedeprrafopredeter"/>
    <w:rsid w:val="00B15F7D"/>
    <w:rPr>
      <w:rFonts w:ascii="Wingdings" w:hAnsi="Wingdings" w:hint="default"/>
      <w:color w:val="000000"/>
      <w:shd w:val="clear" w:color="auto" w:fill="FFFFFF"/>
    </w:rPr>
  </w:style>
  <w:style w:type="character" w:customStyle="1" w:styleId="RTFNum2002">
    <w:name w:val="RTF_Num 200 2"/>
    <w:basedOn w:val="Fuentedeprrafopredeter"/>
    <w:rsid w:val="00B15F7D"/>
    <w:rPr>
      <w:rFonts w:ascii="Wingdings" w:hAnsi="Wingdings" w:hint="default"/>
      <w:color w:val="000000"/>
      <w:shd w:val="clear" w:color="auto" w:fill="FFFFFF"/>
    </w:rPr>
  </w:style>
  <w:style w:type="character" w:customStyle="1" w:styleId="RTFNum2012">
    <w:name w:val="RTF_Num 201 2"/>
    <w:basedOn w:val="Fuentedeprrafopredeter"/>
    <w:rsid w:val="00B15F7D"/>
    <w:rPr>
      <w:rFonts w:ascii="Wingdings" w:hAnsi="Wingdings" w:hint="default"/>
      <w:color w:val="000000"/>
      <w:shd w:val="clear" w:color="auto" w:fill="FFFFFF"/>
    </w:rPr>
  </w:style>
  <w:style w:type="character" w:customStyle="1" w:styleId="RTFNum2022">
    <w:name w:val="RTF_Num 202 2"/>
    <w:basedOn w:val="Fuentedeprrafopredeter"/>
    <w:rsid w:val="00B15F7D"/>
    <w:rPr>
      <w:rFonts w:ascii="Wingdings" w:hAnsi="Wingdings" w:hint="default"/>
      <w:color w:val="000000"/>
      <w:shd w:val="clear" w:color="auto" w:fill="FFFFFF"/>
    </w:rPr>
  </w:style>
  <w:style w:type="character" w:customStyle="1" w:styleId="RTFNum2032">
    <w:name w:val="RTF_Num 203 2"/>
    <w:basedOn w:val="Fuentedeprrafopredeter"/>
    <w:rsid w:val="00B15F7D"/>
    <w:rPr>
      <w:rFonts w:ascii="Wingdings" w:hAnsi="Wingdings" w:hint="default"/>
      <w:color w:val="000000"/>
      <w:shd w:val="clear" w:color="auto" w:fill="FFFFFF"/>
    </w:rPr>
  </w:style>
  <w:style w:type="character" w:customStyle="1" w:styleId="RTFNum2042">
    <w:name w:val="RTF_Num 204 2"/>
    <w:basedOn w:val="Fuentedeprrafopredeter"/>
    <w:rsid w:val="00B15F7D"/>
    <w:rPr>
      <w:rFonts w:ascii="Wingdings" w:hAnsi="Wingdings" w:hint="default"/>
      <w:color w:val="000000"/>
      <w:shd w:val="clear" w:color="auto" w:fill="FFFFFF"/>
    </w:rPr>
  </w:style>
  <w:style w:type="character" w:customStyle="1" w:styleId="RTFNum2052">
    <w:name w:val="RTF_Num 205 2"/>
    <w:basedOn w:val="Fuentedeprrafopredeter"/>
    <w:rsid w:val="00B15F7D"/>
    <w:rPr>
      <w:rFonts w:ascii="Wingdings" w:hAnsi="Wingdings" w:hint="default"/>
      <w:color w:val="000000"/>
      <w:shd w:val="clear" w:color="auto" w:fill="FFFFFF"/>
    </w:rPr>
  </w:style>
  <w:style w:type="character" w:customStyle="1" w:styleId="RTFNum2062">
    <w:name w:val="RTF_Num 206 2"/>
    <w:basedOn w:val="Fuentedeprrafopredeter"/>
    <w:rsid w:val="00B15F7D"/>
    <w:rPr>
      <w:rFonts w:ascii="Wingdings" w:hAnsi="Wingdings" w:hint="default"/>
      <w:color w:val="000000"/>
      <w:shd w:val="clear" w:color="auto" w:fill="FFFFFF"/>
    </w:rPr>
  </w:style>
  <w:style w:type="character" w:customStyle="1" w:styleId="RTFNum2072">
    <w:name w:val="RTF_Num 207 2"/>
    <w:basedOn w:val="Fuentedeprrafopredeter"/>
    <w:rsid w:val="00B15F7D"/>
    <w:rPr>
      <w:rFonts w:ascii="Wingdings" w:hAnsi="Wingdings" w:hint="default"/>
      <w:color w:val="000000"/>
      <w:shd w:val="clear" w:color="auto" w:fill="FFFFFF"/>
    </w:rPr>
  </w:style>
  <w:style w:type="character" w:customStyle="1" w:styleId="RTFNum2082">
    <w:name w:val="RTF_Num 208 2"/>
    <w:basedOn w:val="Fuentedeprrafopredeter"/>
    <w:rsid w:val="00B15F7D"/>
    <w:rPr>
      <w:rFonts w:ascii="Wingdings" w:hAnsi="Wingdings" w:hint="default"/>
      <w:color w:val="000000"/>
      <w:shd w:val="clear" w:color="auto" w:fill="FFFFFF"/>
    </w:rPr>
  </w:style>
  <w:style w:type="character" w:customStyle="1" w:styleId="RTFNum2092">
    <w:name w:val="RTF_Num 209 2"/>
    <w:basedOn w:val="Fuentedeprrafopredeter"/>
    <w:rsid w:val="00B15F7D"/>
    <w:rPr>
      <w:rFonts w:ascii="Wingdings" w:hAnsi="Wingdings" w:hint="default"/>
      <w:color w:val="000000"/>
      <w:shd w:val="clear" w:color="auto" w:fill="FFFFFF"/>
    </w:rPr>
  </w:style>
  <w:style w:type="character" w:customStyle="1" w:styleId="RTFNum2102">
    <w:name w:val="RTF_Num 210 2"/>
    <w:basedOn w:val="Fuentedeprrafopredeter"/>
    <w:rsid w:val="00B15F7D"/>
    <w:rPr>
      <w:rFonts w:ascii="Wingdings" w:hAnsi="Wingdings" w:hint="default"/>
      <w:color w:val="000000"/>
      <w:shd w:val="clear" w:color="auto" w:fill="FFFFFF"/>
    </w:rPr>
  </w:style>
  <w:style w:type="character" w:customStyle="1" w:styleId="RTFNum2112">
    <w:name w:val="RTF_Num 211 2"/>
    <w:basedOn w:val="Fuentedeprrafopredeter"/>
    <w:rsid w:val="00B15F7D"/>
    <w:rPr>
      <w:rFonts w:ascii="Wingdings" w:hAnsi="Wingdings" w:hint="default"/>
      <w:color w:val="000000"/>
      <w:shd w:val="clear" w:color="auto" w:fill="FFFFFF"/>
    </w:rPr>
  </w:style>
  <w:style w:type="character" w:customStyle="1" w:styleId="RTFNum2122">
    <w:name w:val="RTF_Num 212 2"/>
    <w:basedOn w:val="Fuentedeprrafopredeter"/>
    <w:rsid w:val="00B15F7D"/>
    <w:rPr>
      <w:rFonts w:ascii="Wingdings" w:hAnsi="Wingdings" w:hint="default"/>
      <w:color w:val="000000"/>
      <w:shd w:val="clear" w:color="auto" w:fill="FFFFFF"/>
    </w:rPr>
  </w:style>
  <w:style w:type="character" w:customStyle="1" w:styleId="RTFNum2132">
    <w:name w:val="RTF_Num 213 2"/>
    <w:basedOn w:val="Fuentedeprrafopredeter"/>
    <w:rsid w:val="00B15F7D"/>
    <w:rPr>
      <w:rFonts w:ascii="Wingdings" w:hAnsi="Wingdings" w:hint="default"/>
      <w:color w:val="000000"/>
      <w:shd w:val="clear" w:color="auto" w:fill="FFFFFF"/>
    </w:rPr>
  </w:style>
  <w:style w:type="character" w:customStyle="1" w:styleId="RTFNum2142">
    <w:name w:val="RTF_Num 214 2"/>
    <w:basedOn w:val="Fuentedeprrafopredeter"/>
    <w:rsid w:val="00B15F7D"/>
    <w:rPr>
      <w:rFonts w:ascii="Wingdings" w:hAnsi="Wingdings" w:hint="default"/>
      <w:color w:val="000000"/>
      <w:shd w:val="clear" w:color="auto" w:fill="FFFFFF"/>
    </w:rPr>
  </w:style>
  <w:style w:type="character" w:customStyle="1" w:styleId="RTFNum2152">
    <w:name w:val="RTF_Num 215 2"/>
    <w:basedOn w:val="Fuentedeprrafopredeter"/>
    <w:rsid w:val="00B15F7D"/>
    <w:rPr>
      <w:rFonts w:ascii="Wingdings" w:hAnsi="Wingdings" w:hint="default"/>
      <w:color w:val="000000"/>
      <w:shd w:val="clear" w:color="auto" w:fill="FFFFFF"/>
    </w:rPr>
  </w:style>
  <w:style w:type="character" w:customStyle="1" w:styleId="RTFNum2162">
    <w:name w:val="RTF_Num 216 2"/>
    <w:basedOn w:val="Fuentedeprrafopredeter"/>
    <w:rsid w:val="00B15F7D"/>
    <w:rPr>
      <w:rFonts w:ascii="Wingdings" w:hAnsi="Wingdings" w:hint="default"/>
      <w:color w:val="000000"/>
      <w:shd w:val="clear" w:color="auto" w:fill="FFFFFF"/>
    </w:rPr>
  </w:style>
  <w:style w:type="character" w:customStyle="1" w:styleId="RTFNum2172">
    <w:name w:val="RTF_Num 217 2"/>
    <w:basedOn w:val="Fuentedeprrafopredeter"/>
    <w:rsid w:val="00B15F7D"/>
    <w:rPr>
      <w:rFonts w:ascii="Wingdings" w:hAnsi="Wingdings" w:hint="default"/>
      <w:color w:val="000000"/>
      <w:shd w:val="clear" w:color="auto" w:fill="FFFFFF"/>
    </w:rPr>
  </w:style>
  <w:style w:type="character" w:customStyle="1" w:styleId="RTFNum2182">
    <w:name w:val="RTF_Num 218 2"/>
    <w:basedOn w:val="Fuentedeprrafopredeter"/>
    <w:rsid w:val="00B15F7D"/>
    <w:rPr>
      <w:rFonts w:ascii="Wingdings" w:hAnsi="Wingdings" w:hint="default"/>
      <w:color w:val="000000"/>
      <w:shd w:val="clear" w:color="auto" w:fill="FFFFFF"/>
    </w:rPr>
  </w:style>
  <w:style w:type="character" w:customStyle="1" w:styleId="RTFNum2192">
    <w:name w:val="RTF_Num 219 2"/>
    <w:basedOn w:val="Fuentedeprrafopredeter"/>
    <w:rsid w:val="00B15F7D"/>
    <w:rPr>
      <w:rFonts w:ascii="Wingdings" w:hAnsi="Wingdings" w:hint="default"/>
      <w:color w:val="000000"/>
      <w:shd w:val="clear" w:color="auto" w:fill="FFFFFF"/>
    </w:rPr>
  </w:style>
  <w:style w:type="character" w:customStyle="1" w:styleId="RTFNum2202">
    <w:name w:val="RTF_Num 220 2"/>
    <w:basedOn w:val="Fuentedeprrafopredeter"/>
    <w:rsid w:val="00B15F7D"/>
    <w:rPr>
      <w:rFonts w:ascii="Wingdings" w:hAnsi="Wingdings" w:hint="default"/>
      <w:color w:val="000000"/>
      <w:shd w:val="clear" w:color="auto" w:fill="FFFFFF"/>
    </w:rPr>
  </w:style>
  <w:style w:type="character" w:customStyle="1" w:styleId="RTFNum2212">
    <w:name w:val="RTF_Num 221 2"/>
    <w:basedOn w:val="Fuentedeprrafopredeter"/>
    <w:rsid w:val="00B15F7D"/>
    <w:rPr>
      <w:rFonts w:ascii="Wingdings" w:hAnsi="Wingdings" w:hint="default"/>
      <w:color w:val="000000"/>
      <w:shd w:val="clear" w:color="auto" w:fill="FFFFFF"/>
    </w:rPr>
  </w:style>
  <w:style w:type="character" w:customStyle="1" w:styleId="RTFNum2222">
    <w:name w:val="RTF_Num 222 2"/>
    <w:basedOn w:val="Fuentedeprrafopredeter"/>
    <w:rsid w:val="00B15F7D"/>
    <w:rPr>
      <w:rFonts w:ascii="Wingdings" w:hAnsi="Wingdings" w:hint="default"/>
      <w:color w:val="000000"/>
      <w:shd w:val="clear" w:color="auto" w:fill="FFFFFF"/>
    </w:rPr>
  </w:style>
  <w:style w:type="character" w:customStyle="1" w:styleId="RTFNum2232">
    <w:name w:val="RTF_Num 223 2"/>
    <w:basedOn w:val="Fuentedeprrafopredeter"/>
    <w:rsid w:val="00B15F7D"/>
    <w:rPr>
      <w:rFonts w:ascii="Wingdings" w:hAnsi="Wingdings" w:hint="default"/>
      <w:color w:val="000000"/>
      <w:shd w:val="clear" w:color="auto" w:fill="FFFFFF"/>
    </w:rPr>
  </w:style>
  <w:style w:type="character" w:customStyle="1" w:styleId="RTFNum2242">
    <w:name w:val="RTF_Num 224 2"/>
    <w:basedOn w:val="Fuentedeprrafopredeter"/>
    <w:rsid w:val="00B15F7D"/>
    <w:rPr>
      <w:rFonts w:ascii="Wingdings" w:hAnsi="Wingdings" w:hint="default"/>
      <w:color w:val="000000"/>
      <w:shd w:val="clear" w:color="auto" w:fill="FFFFFF"/>
    </w:rPr>
  </w:style>
  <w:style w:type="character" w:customStyle="1" w:styleId="RTFNum2252">
    <w:name w:val="RTF_Num 225 2"/>
    <w:basedOn w:val="Fuentedeprrafopredeter"/>
    <w:rsid w:val="00B15F7D"/>
    <w:rPr>
      <w:rFonts w:ascii="Wingdings" w:hAnsi="Wingdings" w:hint="default"/>
      <w:color w:val="000000"/>
      <w:shd w:val="clear" w:color="auto" w:fill="FFFFFF"/>
    </w:rPr>
  </w:style>
  <w:style w:type="character" w:customStyle="1" w:styleId="RTFNum2262">
    <w:name w:val="RTF_Num 226 2"/>
    <w:basedOn w:val="Fuentedeprrafopredeter"/>
    <w:rsid w:val="00B15F7D"/>
    <w:rPr>
      <w:rFonts w:ascii="Wingdings" w:hAnsi="Wingdings" w:hint="default"/>
      <w:color w:val="000000"/>
      <w:shd w:val="clear" w:color="auto" w:fill="FFFFFF"/>
    </w:rPr>
  </w:style>
  <w:style w:type="character" w:customStyle="1" w:styleId="RTFNum2272">
    <w:name w:val="RTF_Num 227 2"/>
    <w:basedOn w:val="Fuentedeprrafopredeter"/>
    <w:rsid w:val="00B15F7D"/>
    <w:rPr>
      <w:rFonts w:ascii="Wingdings" w:hAnsi="Wingdings" w:hint="default"/>
      <w:color w:val="000000"/>
      <w:shd w:val="clear" w:color="auto" w:fill="FFFFFF"/>
    </w:rPr>
  </w:style>
  <w:style w:type="character" w:customStyle="1" w:styleId="RTFNum2282">
    <w:name w:val="RTF_Num 228 2"/>
    <w:basedOn w:val="Fuentedeprrafopredeter"/>
    <w:rsid w:val="00B15F7D"/>
    <w:rPr>
      <w:rFonts w:ascii="Wingdings" w:hAnsi="Wingdings" w:hint="default"/>
      <w:color w:val="000000"/>
      <w:shd w:val="clear" w:color="auto" w:fill="FFFFFF"/>
    </w:rPr>
  </w:style>
  <w:style w:type="character" w:customStyle="1" w:styleId="RTFNum2292">
    <w:name w:val="RTF_Num 229 2"/>
    <w:basedOn w:val="Fuentedeprrafopredeter"/>
    <w:rsid w:val="00B15F7D"/>
    <w:rPr>
      <w:rFonts w:ascii="Wingdings" w:hAnsi="Wingdings" w:hint="default"/>
      <w:color w:val="000000"/>
      <w:shd w:val="clear" w:color="auto" w:fill="FFFFFF"/>
    </w:rPr>
  </w:style>
  <w:style w:type="character" w:customStyle="1" w:styleId="RTFNum2302">
    <w:name w:val="RTF_Num 230 2"/>
    <w:basedOn w:val="Fuentedeprrafopredeter"/>
    <w:rsid w:val="00B15F7D"/>
    <w:rPr>
      <w:rFonts w:ascii="Wingdings" w:hAnsi="Wingdings" w:hint="default"/>
      <w:color w:val="000000"/>
      <w:shd w:val="clear" w:color="auto" w:fill="FFFFFF"/>
    </w:rPr>
  </w:style>
  <w:style w:type="character" w:customStyle="1" w:styleId="RTFNum2312">
    <w:name w:val="RTF_Num 231 2"/>
    <w:basedOn w:val="Fuentedeprrafopredeter"/>
    <w:rsid w:val="00B15F7D"/>
    <w:rPr>
      <w:rFonts w:ascii="Wingdings" w:hAnsi="Wingdings" w:hint="default"/>
      <w:color w:val="000000"/>
      <w:shd w:val="clear" w:color="auto" w:fill="FFFFFF"/>
    </w:rPr>
  </w:style>
  <w:style w:type="character" w:customStyle="1" w:styleId="RTFNum2322">
    <w:name w:val="RTF_Num 232 2"/>
    <w:basedOn w:val="Fuentedeprrafopredeter"/>
    <w:rsid w:val="00B15F7D"/>
    <w:rPr>
      <w:rFonts w:ascii="Wingdings" w:hAnsi="Wingdings" w:hint="default"/>
      <w:color w:val="000000"/>
      <w:shd w:val="clear" w:color="auto" w:fill="FFFFFF"/>
    </w:rPr>
  </w:style>
  <w:style w:type="character" w:customStyle="1" w:styleId="RTFNum2332">
    <w:name w:val="RTF_Num 233 2"/>
    <w:basedOn w:val="Fuentedeprrafopredeter"/>
    <w:rsid w:val="00B15F7D"/>
    <w:rPr>
      <w:rFonts w:ascii="Wingdings" w:hAnsi="Wingdings" w:hint="default"/>
      <w:color w:val="000000"/>
      <w:shd w:val="clear" w:color="auto" w:fill="FFFFFF"/>
    </w:rPr>
  </w:style>
  <w:style w:type="character" w:customStyle="1" w:styleId="RTFNum2342">
    <w:name w:val="RTF_Num 234 2"/>
    <w:basedOn w:val="Fuentedeprrafopredeter"/>
    <w:rsid w:val="00B15F7D"/>
    <w:rPr>
      <w:rFonts w:ascii="Wingdings" w:hAnsi="Wingdings" w:hint="default"/>
      <w:color w:val="000000"/>
      <w:shd w:val="clear" w:color="auto" w:fill="FFFFFF"/>
    </w:rPr>
  </w:style>
  <w:style w:type="character" w:customStyle="1" w:styleId="RTFNum2352">
    <w:name w:val="RTF_Num 235 2"/>
    <w:basedOn w:val="Fuentedeprrafopredeter"/>
    <w:rsid w:val="00B15F7D"/>
    <w:rPr>
      <w:rFonts w:ascii="Wingdings" w:hAnsi="Wingdings" w:hint="default"/>
      <w:color w:val="000000"/>
      <w:shd w:val="clear" w:color="auto" w:fill="FFFFFF"/>
    </w:rPr>
  </w:style>
  <w:style w:type="character" w:customStyle="1" w:styleId="RTFNum2362">
    <w:name w:val="RTF_Num 236 2"/>
    <w:basedOn w:val="Fuentedeprrafopredeter"/>
    <w:rsid w:val="00B15F7D"/>
    <w:rPr>
      <w:rFonts w:ascii="Wingdings" w:hAnsi="Wingdings" w:hint="default"/>
      <w:color w:val="000000"/>
      <w:shd w:val="clear" w:color="auto" w:fill="FFFFFF"/>
    </w:rPr>
  </w:style>
  <w:style w:type="character" w:customStyle="1" w:styleId="RTFNum2372">
    <w:name w:val="RTF_Num 237 2"/>
    <w:basedOn w:val="Fuentedeprrafopredeter"/>
    <w:rsid w:val="00B15F7D"/>
    <w:rPr>
      <w:rFonts w:ascii="Symbol" w:hAnsi="Symbol" w:hint="default"/>
      <w:color w:val="000000"/>
      <w:shd w:val="clear" w:color="auto" w:fill="FFFFFF"/>
    </w:rPr>
  </w:style>
  <w:style w:type="character" w:customStyle="1" w:styleId="RTFNum2382">
    <w:name w:val="RTF_Num 238 2"/>
    <w:basedOn w:val="Fuentedeprrafopredeter"/>
    <w:rsid w:val="00B15F7D"/>
    <w:rPr>
      <w:rFonts w:ascii="Wingdings" w:hAnsi="Wingdings" w:hint="default"/>
      <w:color w:val="000000"/>
      <w:shd w:val="clear" w:color="auto" w:fill="FFFFFF"/>
    </w:rPr>
  </w:style>
  <w:style w:type="character" w:customStyle="1" w:styleId="RTFNum2392">
    <w:name w:val="RTF_Num 239 2"/>
    <w:basedOn w:val="Fuentedeprrafopredeter"/>
    <w:rsid w:val="00B15F7D"/>
    <w:rPr>
      <w:rFonts w:ascii="Wingdings" w:hAnsi="Wingdings" w:hint="default"/>
      <w:color w:val="000000"/>
      <w:shd w:val="clear" w:color="auto" w:fill="FFFFFF"/>
    </w:rPr>
  </w:style>
  <w:style w:type="character" w:customStyle="1" w:styleId="RTFNum2402">
    <w:name w:val="RTF_Num 240 2"/>
    <w:basedOn w:val="Fuentedeprrafopredeter"/>
    <w:rsid w:val="00B15F7D"/>
    <w:rPr>
      <w:rFonts w:ascii="Wingdings" w:hAnsi="Wingdings" w:hint="default"/>
      <w:color w:val="000000"/>
      <w:shd w:val="clear" w:color="auto" w:fill="FFFFFF"/>
    </w:rPr>
  </w:style>
  <w:style w:type="character" w:customStyle="1" w:styleId="RTFNum2412">
    <w:name w:val="RTF_Num 241 2"/>
    <w:basedOn w:val="Fuentedeprrafopredeter"/>
    <w:rsid w:val="00B15F7D"/>
    <w:rPr>
      <w:rFonts w:ascii="Wingdings" w:hAnsi="Wingdings" w:hint="default"/>
      <w:color w:val="000000"/>
      <w:shd w:val="clear" w:color="auto" w:fill="FFFFFF"/>
    </w:rPr>
  </w:style>
  <w:style w:type="character" w:customStyle="1" w:styleId="RTFNum2422">
    <w:name w:val="RTF_Num 242 2"/>
    <w:basedOn w:val="Fuentedeprrafopredeter"/>
    <w:rsid w:val="00B15F7D"/>
    <w:rPr>
      <w:rFonts w:ascii="Wingdings" w:hAnsi="Wingdings" w:hint="default"/>
      <w:color w:val="000000"/>
      <w:shd w:val="clear" w:color="auto" w:fill="FFFFFF"/>
    </w:rPr>
  </w:style>
  <w:style w:type="character" w:customStyle="1" w:styleId="RTFNum2432">
    <w:name w:val="RTF_Num 243 2"/>
    <w:basedOn w:val="Fuentedeprrafopredeter"/>
    <w:rsid w:val="00B15F7D"/>
    <w:rPr>
      <w:rFonts w:ascii="Wingdings" w:hAnsi="Wingdings" w:hint="default"/>
      <w:color w:val="000000"/>
      <w:shd w:val="clear" w:color="auto" w:fill="FFFFFF"/>
    </w:rPr>
  </w:style>
  <w:style w:type="character" w:customStyle="1" w:styleId="RTFNum2442">
    <w:name w:val="RTF_Num 244 2"/>
    <w:basedOn w:val="Fuentedeprrafopredeter"/>
    <w:rsid w:val="00B15F7D"/>
    <w:rPr>
      <w:rFonts w:ascii="Wingdings" w:hAnsi="Wingdings" w:hint="default"/>
      <w:color w:val="000000"/>
      <w:shd w:val="clear" w:color="auto" w:fill="FFFFFF"/>
    </w:rPr>
  </w:style>
  <w:style w:type="character" w:customStyle="1" w:styleId="RTFNum2452">
    <w:name w:val="RTF_Num 245 2"/>
    <w:basedOn w:val="Fuentedeprrafopredeter"/>
    <w:rsid w:val="00B15F7D"/>
    <w:rPr>
      <w:rFonts w:ascii="Wingdings" w:hAnsi="Wingdings" w:hint="default"/>
      <w:color w:val="000000"/>
      <w:shd w:val="clear" w:color="auto" w:fill="FFFFFF"/>
    </w:rPr>
  </w:style>
  <w:style w:type="character" w:customStyle="1" w:styleId="RTFNum2462">
    <w:name w:val="RTF_Num 246 2"/>
    <w:basedOn w:val="Fuentedeprrafopredeter"/>
    <w:rsid w:val="00B15F7D"/>
    <w:rPr>
      <w:rFonts w:ascii="Wingdings" w:hAnsi="Wingdings" w:hint="default"/>
      <w:color w:val="000000"/>
      <w:shd w:val="clear" w:color="auto" w:fill="FFFFFF"/>
    </w:rPr>
  </w:style>
  <w:style w:type="character" w:customStyle="1" w:styleId="RTFNum2472">
    <w:name w:val="RTF_Num 247 2"/>
    <w:basedOn w:val="Fuentedeprrafopredeter"/>
    <w:rsid w:val="00B15F7D"/>
    <w:rPr>
      <w:rFonts w:ascii="Wingdings" w:hAnsi="Wingdings" w:hint="default"/>
      <w:color w:val="000000"/>
      <w:shd w:val="clear" w:color="auto" w:fill="FFFFFF"/>
    </w:rPr>
  </w:style>
  <w:style w:type="character" w:customStyle="1" w:styleId="RTFNum2482">
    <w:name w:val="RTF_Num 248 2"/>
    <w:basedOn w:val="Fuentedeprrafopredeter"/>
    <w:rsid w:val="00B15F7D"/>
    <w:rPr>
      <w:rFonts w:ascii="Wingdings" w:hAnsi="Wingdings" w:hint="default"/>
      <w:color w:val="000000"/>
      <w:shd w:val="clear" w:color="auto" w:fill="FFFFFF"/>
    </w:rPr>
  </w:style>
  <w:style w:type="character" w:customStyle="1" w:styleId="RTFNum2492">
    <w:name w:val="RTF_Num 249 2"/>
    <w:basedOn w:val="Fuentedeprrafopredeter"/>
    <w:rsid w:val="00B15F7D"/>
    <w:rPr>
      <w:rFonts w:ascii="Symbol" w:hAnsi="Symbol" w:hint="default"/>
      <w:color w:val="000000"/>
      <w:shd w:val="clear" w:color="auto" w:fill="FFFFFF"/>
    </w:rPr>
  </w:style>
  <w:style w:type="character" w:customStyle="1" w:styleId="RTFNum2502">
    <w:name w:val="RTF_Num 250 2"/>
    <w:basedOn w:val="Fuentedeprrafopredeter"/>
    <w:rsid w:val="00B15F7D"/>
    <w:rPr>
      <w:rFonts w:ascii="Symbol" w:hAnsi="Symbol" w:hint="default"/>
      <w:color w:val="000000"/>
      <w:shd w:val="clear" w:color="auto" w:fill="FFFFFF"/>
    </w:rPr>
  </w:style>
  <w:style w:type="character" w:customStyle="1" w:styleId="RTFNum2512">
    <w:name w:val="RTF_Num 251 2"/>
    <w:basedOn w:val="Fuentedeprrafopredeter"/>
    <w:rsid w:val="00B15F7D"/>
    <w:rPr>
      <w:rFonts w:ascii="Symbol" w:hAnsi="Symbol" w:hint="default"/>
      <w:color w:val="000000"/>
      <w:shd w:val="clear" w:color="auto" w:fill="FFFFFF"/>
    </w:rPr>
  </w:style>
  <w:style w:type="character" w:customStyle="1" w:styleId="RTFNum2522">
    <w:name w:val="RTF_Num 252 2"/>
    <w:basedOn w:val="Fuentedeprrafopredeter"/>
    <w:rsid w:val="00B15F7D"/>
    <w:rPr>
      <w:rFonts w:ascii="Symbol" w:hAnsi="Symbol" w:hint="default"/>
      <w:color w:val="000000"/>
      <w:shd w:val="clear" w:color="auto" w:fill="FFFFFF"/>
    </w:rPr>
  </w:style>
  <w:style w:type="character" w:customStyle="1" w:styleId="RTFNum2532">
    <w:name w:val="RTF_Num 253 2"/>
    <w:basedOn w:val="Fuentedeprrafopredeter"/>
    <w:rsid w:val="00B15F7D"/>
    <w:rPr>
      <w:rFonts w:ascii="Symbol" w:hAnsi="Symbol" w:hint="default"/>
      <w:color w:val="000000"/>
      <w:shd w:val="clear" w:color="auto" w:fill="FFFFFF"/>
    </w:rPr>
  </w:style>
  <w:style w:type="character" w:customStyle="1" w:styleId="RTFNum2542">
    <w:name w:val="RTF_Num 254 2"/>
    <w:basedOn w:val="Fuentedeprrafopredeter"/>
    <w:rsid w:val="00B15F7D"/>
    <w:rPr>
      <w:rFonts w:ascii="Symbol" w:hAnsi="Symbol" w:hint="default"/>
      <w:color w:val="000000"/>
      <w:shd w:val="clear" w:color="auto" w:fill="FFFFFF"/>
    </w:rPr>
  </w:style>
  <w:style w:type="character" w:customStyle="1" w:styleId="RTFNum2552">
    <w:name w:val="RTF_Num 255 2"/>
    <w:basedOn w:val="Fuentedeprrafopredeter"/>
    <w:rsid w:val="00B15F7D"/>
    <w:rPr>
      <w:rFonts w:ascii="Symbol" w:hAnsi="Symbol" w:hint="default"/>
      <w:color w:val="000000"/>
      <w:shd w:val="clear" w:color="auto" w:fill="FFFFFF"/>
    </w:rPr>
  </w:style>
  <w:style w:type="character" w:customStyle="1" w:styleId="RTFNum2562">
    <w:name w:val="RTF_Num 256 2"/>
    <w:basedOn w:val="Fuentedeprrafopredeter"/>
    <w:rsid w:val="00B15F7D"/>
    <w:rPr>
      <w:rFonts w:ascii="Symbol" w:hAnsi="Symbol" w:hint="default"/>
      <w:color w:val="000000"/>
      <w:shd w:val="clear" w:color="auto" w:fill="FFFFFF"/>
    </w:rPr>
  </w:style>
  <w:style w:type="character" w:customStyle="1" w:styleId="RTFNum2572">
    <w:name w:val="RTF_Num 257 2"/>
    <w:basedOn w:val="Fuentedeprrafopredeter"/>
    <w:rsid w:val="00B15F7D"/>
    <w:rPr>
      <w:rFonts w:ascii="Symbol" w:hAnsi="Symbol" w:hint="default"/>
      <w:color w:val="000000"/>
      <w:shd w:val="clear" w:color="auto" w:fill="FFFFFF"/>
    </w:rPr>
  </w:style>
  <w:style w:type="character" w:customStyle="1" w:styleId="RTFNum2582">
    <w:name w:val="RTF_Num 258 2"/>
    <w:basedOn w:val="Fuentedeprrafopredeter"/>
    <w:rsid w:val="00B15F7D"/>
    <w:rPr>
      <w:rFonts w:ascii="Symbol" w:hAnsi="Symbol" w:hint="default"/>
      <w:color w:val="000000"/>
      <w:shd w:val="clear" w:color="auto" w:fill="FFFFFF"/>
    </w:rPr>
  </w:style>
  <w:style w:type="character" w:customStyle="1" w:styleId="RTFNum2592">
    <w:name w:val="RTF_Num 259 2"/>
    <w:basedOn w:val="Fuentedeprrafopredeter"/>
    <w:rsid w:val="00B15F7D"/>
    <w:rPr>
      <w:rFonts w:ascii="Symbol" w:hAnsi="Symbol" w:hint="default"/>
      <w:color w:val="000000"/>
      <w:shd w:val="clear" w:color="auto" w:fill="FFFFFF"/>
    </w:rPr>
  </w:style>
  <w:style w:type="character" w:customStyle="1" w:styleId="RTFNum2602">
    <w:name w:val="RTF_Num 260 2"/>
    <w:basedOn w:val="Fuentedeprrafopredeter"/>
    <w:rsid w:val="00B15F7D"/>
    <w:rPr>
      <w:rFonts w:ascii="Wingdings" w:hAnsi="Wingdings" w:hint="default"/>
      <w:color w:val="000000"/>
      <w:shd w:val="clear" w:color="auto" w:fill="FFFFFF"/>
    </w:rPr>
  </w:style>
  <w:style w:type="character" w:customStyle="1" w:styleId="RTFNum2612">
    <w:name w:val="RTF_Num 261 2"/>
    <w:basedOn w:val="Fuentedeprrafopredeter"/>
    <w:rsid w:val="00B15F7D"/>
    <w:rPr>
      <w:rFonts w:ascii="Wingdings" w:hAnsi="Wingdings" w:hint="default"/>
      <w:color w:val="000000"/>
      <w:shd w:val="clear" w:color="auto" w:fill="FFFFFF"/>
    </w:rPr>
  </w:style>
  <w:style w:type="character" w:customStyle="1" w:styleId="RTFNum2622">
    <w:name w:val="RTF_Num 262 2"/>
    <w:basedOn w:val="Fuentedeprrafopredeter"/>
    <w:rsid w:val="00B15F7D"/>
    <w:rPr>
      <w:rFonts w:ascii="Wingdings" w:hAnsi="Wingdings" w:hint="default"/>
      <w:color w:val="000000"/>
      <w:shd w:val="clear" w:color="auto" w:fill="FFFFFF"/>
    </w:rPr>
  </w:style>
  <w:style w:type="character" w:customStyle="1" w:styleId="RTFNum2632">
    <w:name w:val="RTF_Num 263 2"/>
    <w:basedOn w:val="Fuentedeprrafopredeter"/>
    <w:rsid w:val="00B15F7D"/>
    <w:rPr>
      <w:rFonts w:ascii="Wingdings" w:hAnsi="Wingdings" w:hint="default"/>
      <w:color w:val="000000"/>
      <w:shd w:val="clear" w:color="auto" w:fill="FFFFFF"/>
    </w:rPr>
  </w:style>
  <w:style w:type="character" w:customStyle="1" w:styleId="RTFNum2642">
    <w:name w:val="RTF_Num 264 2"/>
    <w:basedOn w:val="Fuentedeprrafopredeter"/>
    <w:rsid w:val="00B15F7D"/>
    <w:rPr>
      <w:rFonts w:ascii="Wingdings" w:hAnsi="Wingdings" w:hint="default"/>
      <w:color w:val="000000"/>
      <w:shd w:val="clear" w:color="auto" w:fill="FFFFFF"/>
    </w:rPr>
  </w:style>
  <w:style w:type="character" w:customStyle="1" w:styleId="RTFNum2652">
    <w:name w:val="RTF_Num 265 2"/>
    <w:basedOn w:val="Fuentedeprrafopredeter"/>
    <w:rsid w:val="00B15F7D"/>
    <w:rPr>
      <w:rFonts w:ascii="Wingdings" w:hAnsi="Wingdings" w:hint="default"/>
      <w:color w:val="000000"/>
      <w:shd w:val="clear" w:color="auto" w:fill="FFFFFF"/>
    </w:rPr>
  </w:style>
  <w:style w:type="character" w:customStyle="1" w:styleId="RTFNum2662">
    <w:name w:val="RTF_Num 266 2"/>
    <w:basedOn w:val="Fuentedeprrafopredeter"/>
    <w:rsid w:val="00B15F7D"/>
    <w:rPr>
      <w:rFonts w:ascii="Wingdings" w:hAnsi="Wingdings" w:hint="default"/>
      <w:color w:val="000000"/>
      <w:shd w:val="clear" w:color="auto" w:fill="FFFFFF"/>
    </w:rPr>
  </w:style>
  <w:style w:type="character" w:customStyle="1" w:styleId="RTFNum2672">
    <w:name w:val="RTF_Num 267 2"/>
    <w:basedOn w:val="Fuentedeprrafopredeter"/>
    <w:rsid w:val="00B15F7D"/>
    <w:rPr>
      <w:rFonts w:ascii="Symbol" w:hAnsi="Symbol" w:hint="default"/>
      <w:color w:val="000000"/>
      <w:shd w:val="clear" w:color="auto" w:fill="FFFFFF"/>
    </w:rPr>
  </w:style>
  <w:style w:type="character" w:customStyle="1" w:styleId="RTFNum2682">
    <w:name w:val="RTF_Num 268 2"/>
    <w:basedOn w:val="Fuentedeprrafopredeter"/>
    <w:rsid w:val="00B15F7D"/>
    <w:rPr>
      <w:rFonts w:ascii="Wingdings" w:hAnsi="Wingdings" w:hint="default"/>
      <w:color w:val="000000"/>
      <w:shd w:val="clear" w:color="auto" w:fill="FFFFFF"/>
    </w:rPr>
  </w:style>
  <w:style w:type="character" w:customStyle="1" w:styleId="RTFNum2692">
    <w:name w:val="RTF_Num 269 2"/>
    <w:basedOn w:val="Fuentedeprrafopredeter"/>
    <w:rsid w:val="00B15F7D"/>
    <w:rPr>
      <w:rFonts w:ascii="Wingdings" w:hAnsi="Wingdings" w:hint="default"/>
      <w:color w:val="000000"/>
      <w:shd w:val="clear" w:color="auto" w:fill="FFFFFF"/>
    </w:rPr>
  </w:style>
  <w:style w:type="character" w:customStyle="1" w:styleId="RTFNum2702">
    <w:name w:val="RTF_Num 270 2"/>
    <w:basedOn w:val="Fuentedeprrafopredeter"/>
    <w:rsid w:val="00B15F7D"/>
    <w:rPr>
      <w:rFonts w:ascii="Wingdings" w:hAnsi="Wingdings" w:hint="default"/>
      <w:color w:val="000000"/>
      <w:shd w:val="clear" w:color="auto" w:fill="FFFFFF"/>
    </w:rPr>
  </w:style>
  <w:style w:type="character" w:customStyle="1" w:styleId="RTFNum2712">
    <w:name w:val="RTF_Num 271 2"/>
    <w:basedOn w:val="Fuentedeprrafopredeter"/>
    <w:rsid w:val="00B15F7D"/>
    <w:rPr>
      <w:rFonts w:ascii="Wingdings" w:hAnsi="Wingdings" w:hint="default"/>
      <w:color w:val="000000"/>
      <w:shd w:val="clear" w:color="auto" w:fill="FFFFFF"/>
    </w:rPr>
  </w:style>
  <w:style w:type="character" w:customStyle="1" w:styleId="RTFNum2722">
    <w:name w:val="RTF_Num 272 2"/>
    <w:basedOn w:val="Fuentedeprrafopredeter"/>
    <w:rsid w:val="00B15F7D"/>
    <w:rPr>
      <w:rFonts w:ascii="Wingdings" w:hAnsi="Wingdings" w:hint="default"/>
      <w:color w:val="000000"/>
      <w:shd w:val="clear" w:color="auto" w:fill="FFFFFF"/>
    </w:rPr>
  </w:style>
  <w:style w:type="character" w:customStyle="1" w:styleId="RTFNum2732">
    <w:name w:val="RTF_Num 273 2"/>
    <w:basedOn w:val="Fuentedeprrafopredeter"/>
    <w:rsid w:val="00B15F7D"/>
    <w:rPr>
      <w:rFonts w:ascii="Wingdings" w:hAnsi="Wingdings" w:hint="default"/>
      <w:color w:val="000000"/>
      <w:shd w:val="clear" w:color="auto" w:fill="FFFFFF"/>
    </w:rPr>
  </w:style>
  <w:style w:type="character" w:customStyle="1" w:styleId="RTFNum2742">
    <w:name w:val="RTF_Num 274 2"/>
    <w:basedOn w:val="Fuentedeprrafopredeter"/>
    <w:rsid w:val="00B15F7D"/>
    <w:rPr>
      <w:rFonts w:ascii="Wingdings" w:hAnsi="Wingdings" w:hint="default"/>
      <w:color w:val="000000"/>
      <w:shd w:val="clear" w:color="auto" w:fill="FFFFFF"/>
    </w:rPr>
  </w:style>
  <w:style w:type="character" w:customStyle="1" w:styleId="RTFNum2752">
    <w:name w:val="RTF_Num 275 2"/>
    <w:basedOn w:val="Fuentedeprrafopredeter"/>
    <w:rsid w:val="00B15F7D"/>
    <w:rPr>
      <w:rFonts w:ascii="Wingdings" w:hAnsi="Wingdings" w:hint="default"/>
      <w:color w:val="000000"/>
      <w:shd w:val="clear" w:color="auto" w:fill="FFFFFF"/>
    </w:rPr>
  </w:style>
  <w:style w:type="character" w:customStyle="1" w:styleId="RTFNum2762">
    <w:name w:val="RTF_Num 276 2"/>
    <w:basedOn w:val="Fuentedeprrafopredeter"/>
    <w:rsid w:val="00B15F7D"/>
    <w:rPr>
      <w:rFonts w:ascii="Wingdings" w:hAnsi="Wingdings" w:hint="default"/>
      <w:color w:val="000000"/>
      <w:shd w:val="clear" w:color="auto" w:fill="FFFFFF"/>
    </w:rPr>
  </w:style>
  <w:style w:type="character" w:customStyle="1" w:styleId="RTFNum2772">
    <w:name w:val="RTF_Num 277 2"/>
    <w:basedOn w:val="Fuentedeprrafopredeter"/>
    <w:rsid w:val="00B15F7D"/>
    <w:rPr>
      <w:rFonts w:ascii="Wingdings" w:hAnsi="Wingdings" w:hint="default"/>
      <w:color w:val="000000"/>
      <w:shd w:val="clear" w:color="auto" w:fill="FFFFFF"/>
    </w:rPr>
  </w:style>
  <w:style w:type="character" w:customStyle="1" w:styleId="RTFNum2782">
    <w:name w:val="RTF_Num 278 2"/>
    <w:basedOn w:val="Fuentedeprrafopredeter"/>
    <w:rsid w:val="00B15F7D"/>
    <w:rPr>
      <w:rFonts w:ascii="Wingdings" w:hAnsi="Wingdings" w:hint="default"/>
      <w:color w:val="000000"/>
      <w:shd w:val="clear" w:color="auto" w:fill="FFFFFF"/>
    </w:rPr>
  </w:style>
  <w:style w:type="character" w:customStyle="1" w:styleId="RTFNum2792">
    <w:name w:val="RTF_Num 279 2"/>
    <w:basedOn w:val="Fuentedeprrafopredeter"/>
    <w:rsid w:val="00B15F7D"/>
    <w:rPr>
      <w:rFonts w:ascii="Wingdings" w:hAnsi="Wingdings" w:hint="default"/>
      <w:color w:val="000000"/>
      <w:shd w:val="clear" w:color="auto" w:fill="FFFFFF"/>
    </w:rPr>
  </w:style>
  <w:style w:type="character" w:customStyle="1" w:styleId="RTFNum2802">
    <w:name w:val="RTF_Num 280 2"/>
    <w:basedOn w:val="Fuentedeprrafopredeter"/>
    <w:rsid w:val="00B15F7D"/>
    <w:rPr>
      <w:rFonts w:ascii="Wingdings" w:hAnsi="Wingdings" w:hint="default"/>
      <w:color w:val="000000"/>
      <w:shd w:val="clear" w:color="auto" w:fill="FFFFFF"/>
    </w:rPr>
  </w:style>
  <w:style w:type="character" w:customStyle="1" w:styleId="RTFNum2812">
    <w:name w:val="RTF_Num 281 2"/>
    <w:basedOn w:val="Fuentedeprrafopredeter"/>
    <w:rsid w:val="00B15F7D"/>
    <w:rPr>
      <w:rFonts w:ascii="Wingdings" w:hAnsi="Wingdings" w:hint="default"/>
      <w:color w:val="000000"/>
      <w:shd w:val="clear" w:color="auto" w:fill="FFFFFF"/>
    </w:rPr>
  </w:style>
  <w:style w:type="character" w:customStyle="1" w:styleId="RTFNum2822">
    <w:name w:val="RTF_Num 282 2"/>
    <w:basedOn w:val="Fuentedeprrafopredeter"/>
    <w:rsid w:val="00B15F7D"/>
    <w:rPr>
      <w:rFonts w:ascii="Wingdings" w:hAnsi="Wingdings" w:hint="default"/>
      <w:color w:val="000000"/>
      <w:shd w:val="clear" w:color="auto" w:fill="FFFFFF"/>
    </w:rPr>
  </w:style>
  <w:style w:type="character" w:customStyle="1" w:styleId="RTFNum2832">
    <w:name w:val="RTF_Num 283 2"/>
    <w:basedOn w:val="Fuentedeprrafopredeter"/>
    <w:rsid w:val="00B15F7D"/>
    <w:rPr>
      <w:rFonts w:ascii="Wingdings" w:hAnsi="Wingdings" w:hint="default"/>
      <w:color w:val="000000"/>
      <w:shd w:val="clear" w:color="auto" w:fill="FFFFFF"/>
    </w:rPr>
  </w:style>
  <w:style w:type="character" w:customStyle="1" w:styleId="RTFNum2842">
    <w:name w:val="RTF_Num 284 2"/>
    <w:basedOn w:val="Fuentedeprrafopredeter"/>
    <w:rsid w:val="00B15F7D"/>
    <w:rPr>
      <w:rFonts w:ascii="Wingdings" w:hAnsi="Wingdings" w:hint="default"/>
      <w:color w:val="000000"/>
      <w:shd w:val="clear" w:color="auto" w:fill="FFFFFF"/>
    </w:rPr>
  </w:style>
  <w:style w:type="character" w:customStyle="1" w:styleId="RTFNum2852">
    <w:name w:val="RTF_Num 285 2"/>
    <w:basedOn w:val="Fuentedeprrafopredeter"/>
    <w:rsid w:val="00B15F7D"/>
    <w:rPr>
      <w:rFonts w:ascii="Symbol" w:hAnsi="Symbol" w:hint="default"/>
      <w:color w:val="000000"/>
      <w:shd w:val="clear" w:color="auto" w:fill="FFFFFF"/>
    </w:rPr>
  </w:style>
  <w:style w:type="character" w:customStyle="1" w:styleId="RTFNum2862">
    <w:name w:val="RTF_Num 286 2"/>
    <w:basedOn w:val="Fuentedeprrafopredeter"/>
    <w:rsid w:val="00B15F7D"/>
    <w:rPr>
      <w:rFonts w:ascii="Symbol" w:hAnsi="Symbol" w:hint="default"/>
      <w:color w:val="000000"/>
      <w:shd w:val="clear" w:color="auto" w:fill="FFFFFF"/>
    </w:rPr>
  </w:style>
  <w:style w:type="character" w:customStyle="1" w:styleId="RTFNum2872">
    <w:name w:val="RTF_Num 287 2"/>
    <w:basedOn w:val="Fuentedeprrafopredeter"/>
    <w:rsid w:val="00B15F7D"/>
    <w:rPr>
      <w:rFonts w:ascii="Symbol" w:hAnsi="Symbol" w:hint="default"/>
      <w:color w:val="000000"/>
      <w:shd w:val="clear" w:color="auto" w:fill="FFFFFF"/>
    </w:rPr>
  </w:style>
  <w:style w:type="character" w:customStyle="1" w:styleId="RTFNum2882">
    <w:name w:val="RTF_Num 288 2"/>
    <w:basedOn w:val="Fuentedeprrafopredeter"/>
    <w:rsid w:val="00B15F7D"/>
    <w:rPr>
      <w:rFonts w:ascii="Symbol" w:hAnsi="Symbol" w:hint="default"/>
      <w:color w:val="000000"/>
      <w:shd w:val="clear" w:color="auto" w:fill="FFFFFF"/>
    </w:rPr>
  </w:style>
  <w:style w:type="character" w:customStyle="1" w:styleId="RTFNum2892">
    <w:name w:val="RTF_Num 289 2"/>
    <w:basedOn w:val="Fuentedeprrafopredeter"/>
    <w:rsid w:val="00B15F7D"/>
    <w:rPr>
      <w:rFonts w:ascii="Symbol" w:hAnsi="Symbol" w:hint="default"/>
      <w:color w:val="000000"/>
      <w:shd w:val="clear" w:color="auto" w:fill="FFFFFF"/>
    </w:rPr>
  </w:style>
  <w:style w:type="character" w:customStyle="1" w:styleId="RTFNum2902">
    <w:name w:val="RTF_Num 290 2"/>
    <w:basedOn w:val="Fuentedeprrafopredeter"/>
    <w:rsid w:val="00B15F7D"/>
    <w:rPr>
      <w:rFonts w:ascii="Symbol" w:hAnsi="Symbol" w:hint="default"/>
      <w:color w:val="000000"/>
      <w:shd w:val="clear" w:color="auto" w:fill="FFFFFF"/>
    </w:rPr>
  </w:style>
  <w:style w:type="character" w:customStyle="1" w:styleId="RTFNum2912">
    <w:name w:val="RTF_Num 291 2"/>
    <w:basedOn w:val="Fuentedeprrafopredeter"/>
    <w:rsid w:val="00B15F7D"/>
    <w:rPr>
      <w:rFonts w:ascii="Symbol" w:hAnsi="Symbol" w:hint="default"/>
      <w:color w:val="000000"/>
      <w:shd w:val="clear" w:color="auto" w:fill="FFFFFF"/>
    </w:rPr>
  </w:style>
  <w:style w:type="character" w:customStyle="1" w:styleId="RTFNum2922">
    <w:name w:val="RTF_Num 292 2"/>
    <w:basedOn w:val="Fuentedeprrafopredeter"/>
    <w:rsid w:val="00B15F7D"/>
    <w:rPr>
      <w:rFonts w:ascii="Symbol" w:hAnsi="Symbol" w:hint="default"/>
      <w:color w:val="000000"/>
      <w:shd w:val="clear" w:color="auto" w:fill="FFFFFF"/>
    </w:rPr>
  </w:style>
  <w:style w:type="character" w:customStyle="1" w:styleId="RTFNum2932">
    <w:name w:val="RTF_Num 293 2"/>
    <w:basedOn w:val="Fuentedeprrafopredeter"/>
    <w:rsid w:val="00B15F7D"/>
    <w:rPr>
      <w:rFonts w:ascii="Symbol" w:hAnsi="Symbol" w:hint="default"/>
      <w:color w:val="000000"/>
      <w:shd w:val="clear" w:color="auto" w:fill="FFFFFF"/>
    </w:rPr>
  </w:style>
  <w:style w:type="character" w:customStyle="1" w:styleId="RTFNum2942">
    <w:name w:val="RTF_Num 294 2"/>
    <w:basedOn w:val="Fuentedeprrafopredeter"/>
    <w:rsid w:val="00B15F7D"/>
    <w:rPr>
      <w:rFonts w:ascii="Symbol" w:hAnsi="Symbol" w:hint="default"/>
      <w:color w:val="000000"/>
      <w:shd w:val="clear" w:color="auto" w:fill="FFFFFF"/>
    </w:rPr>
  </w:style>
  <w:style w:type="character" w:customStyle="1" w:styleId="RTFNum2952">
    <w:name w:val="RTF_Num 295 2"/>
    <w:basedOn w:val="Fuentedeprrafopredeter"/>
    <w:rsid w:val="00B15F7D"/>
    <w:rPr>
      <w:rFonts w:ascii="Wingdings" w:hAnsi="Wingdings" w:hint="default"/>
      <w:color w:val="000000"/>
      <w:shd w:val="clear" w:color="auto" w:fill="FFFFFF"/>
    </w:rPr>
  </w:style>
  <w:style w:type="character" w:customStyle="1" w:styleId="RTFNum2962">
    <w:name w:val="RTF_Num 296 2"/>
    <w:basedOn w:val="Fuentedeprrafopredeter"/>
    <w:rsid w:val="00B15F7D"/>
    <w:rPr>
      <w:rFonts w:ascii="Wingdings" w:hAnsi="Wingdings" w:hint="default"/>
      <w:color w:val="000000"/>
      <w:shd w:val="clear" w:color="auto" w:fill="FFFFFF"/>
    </w:rPr>
  </w:style>
  <w:style w:type="character" w:customStyle="1" w:styleId="RTFNum2972">
    <w:name w:val="RTF_Num 297 2"/>
    <w:basedOn w:val="Fuentedeprrafopredeter"/>
    <w:rsid w:val="00B15F7D"/>
    <w:rPr>
      <w:rFonts w:ascii="Wingdings" w:hAnsi="Wingdings" w:hint="default"/>
      <w:color w:val="000000"/>
      <w:shd w:val="clear" w:color="auto" w:fill="FFFFFF"/>
    </w:rPr>
  </w:style>
  <w:style w:type="character" w:customStyle="1" w:styleId="RTFNum2982">
    <w:name w:val="RTF_Num 298 2"/>
    <w:basedOn w:val="Fuentedeprrafopredeter"/>
    <w:rsid w:val="00B15F7D"/>
    <w:rPr>
      <w:rFonts w:ascii="Wingdings" w:hAnsi="Wingdings" w:hint="default"/>
      <w:color w:val="000000"/>
      <w:shd w:val="clear" w:color="auto" w:fill="FFFFFF"/>
    </w:rPr>
  </w:style>
  <w:style w:type="character" w:customStyle="1" w:styleId="RTFNum2992">
    <w:name w:val="RTF_Num 299 2"/>
    <w:basedOn w:val="Fuentedeprrafopredeter"/>
    <w:rsid w:val="00B15F7D"/>
    <w:rPr>
      <w:rFonts w:ascii="Wingdings" w:hAnsi="Wingdings" w:hint="default"/>
      <w:color w:val="000000"/>
      <w:shd w:val="clear" w:color="auto" w:fill="FFFFFF"/>
    </w:rPr>
  </w:style>
  <w:style w:type="character" w:customStyle="1" w:styleId="RTFNum3002">
    <w:name w:val="RTF_Num 300 2"/>
    <w:basedOn w:val="Fuentedeprrafopredeter"/>
    <w:rsid w:val="00B15F7D"/>
    <w:rPr>
      <w:rFonts w:ascii="Wingdings" w:hAnsi="Wingdings" w:hint="default"/>
      <w:color w:val="000000"/>
      <w:shd w:val="clear" w:color="auto" w:fill="FFFFFF"/>
    </w:rPr>
  </w:style>
  <w:style w:type="character" w:customStyle="1" w:styleId="RTFNum3012">
    <w:name w:val="RTF_Num 301 2"/>
    <w:basedOn w:val="Fuentedeprrafopredeter"/>
    <w:rsid w:val="00B15F7D"/>
    <w:rPr>
      <w:rFonts w:ascii="Wingdings" w:hAnsi="Wingdings" w:hint="default"/>
      <w:color w:val="000000"/>
      <w:shd w:val="clear" w:color="auto" w:fill="FFFFFF"/>
    </w:rPr>
  </w:style>
  <w:style w:type="character" w:customStyle="1" w:styleId="RTFNum3022">
    <w:name w:val="RTF_Num 302 2"/>
    <w:basedOn w:val="Fuentedeprrafopredeter"/>
    <w:rsid w:val="00B15F7D"/>
    <w:rPr>
      <w:rFonts w:ascii="Wingdings" w:hAnsi="Wingdings" w:hint="default"/>
      <w:color w:val="000000"/>
      <w:shd w:val="clear" w:color="auto" w:fill="FFFFFF"/>
    </w:rPr>
  </w:style>
  <w:style w:type="character" w:customStyle="1" w:styleId="RTFNum3032">
    <w:name w:val="RTF_Num 303 2"/>
    <w:basedOn w:val="Fuentedeprrafopredeter"/>
    <w:rsid w:val="00B15F7D"/>
    <w:rPr>
      <w:rFonts w:ascii="Wingdings" w:hAnsi="Wingdings" w:hint="default"/>
      <w:color w:val="000000"/>
      <w:shd w:val="clear" w:color="auto" w:fill="FFFFFF"/>
    </w:rPr>
  </w:style>
  <w:style w:type="character" w:customStyle="1" w:styleId="RTFNum3042">
    <w:name w:val="RTF_Num 304 2"/>
    <w:basedOn w:val="Fuentedeprrafopredeter"/>
    <w:rsid w:val="00B15F7D"/>
    <w:rPr>
      <w:rFonts w:ascii="Symbol" w:hAnsi="Symbol" w:hint="default"/>
      <w:color w:val="000000"/>
      <w:shd w:val="clear" w:color="auto" w:fill="FFFFFF"/>
    </w:rPr>
  </w:style>
  <w:style w:type="character" w:customStyle="1" w:styleId="RTFNum3052">
    <w:name w:val="RTF_Num 305 2"/>
    <w:basedOn w:val="Fuentedeprrafopredeter"/>
    <w:rsid w:val="00B15F7D"/>
    <w:rPr>
      <w:rFonts w:ascii="Wingdings" w:hAnsi="Wingdings" w:hint="default"/>
      <w:color w:val="000000"/>
      <w:shd w:val="clear" w:color="auto" w:fill="FFFFFF"/>
    </w:rPr>
  </w:style>
  <w:style w:type="character" w:customStyle="1" w:styleId="RTFNum3062">
    <w:name w:val="RTF_Num 306 2"/>
    <w:basedOn w:val="Fuentedeprrafopredeter"/>
    <w:rsid w:val="00B15F7D"/>
    <w:rPr>
      <w:rFonts w:ascii="Wingdings" w:hAnsi="Wingdings" w:hint="default"/>
      <w:color w:val="000000"/>
      <w:shd w:val="clear" w:color="auto" w:fill="FFFFFF"/>
    </w:rPr>
  </w:style>
  <w:style w:type="character" w:customStyle="1" w:styleId="RTFNum3072">
    <w:name w:val="RTF_Num 307 2"/>
    <w:basedOn w:val="Fuentedeprrafopredeter"/>
    <w:rsid w:val="00B15F7D"/>
    <w:rPr>
      <w:rFonts w:ascii="Wingdings" w:hAnsi="Wingdings" w:hint="default"/>
      <w:color w:val="000000"/>
      <w:shd w:val="clear" w:color="auto" w:fill="FFFFFF"/>
    </w:rPr>
  </w:style>
  <w:style w:type="character" w:customStyle="1" w:styleId="RTFNum3082">
    <w:name w:val="RTF_Num 308 2"/>
    <w:basedOn w:val="Fuentedeprrafopredeter"/>
    <w:rsid w:val="00B15F7D"/>
    <w:rPr>
      <w:rFonts w:ascii="Wingdings" w:hAnsi="Wingdings" w:hint="default"/>
      <w:color w:val="000000"/>
      <w:shd w:val="clear" w:color="auto" w:fill="FFFFFF"/>
    </w:rPr>
  </w:style>
  <w:style w:type="character" w:customStyle="1" w:styleId="RTFNum3092">
    <w:name w:val="RTF_Num 309 2"/>
    <w:basedOn w:val="Fuentedeprrafopredeter"/>
    <w:rsid w:val="00B15F7D"/>
    <w:rPr>
      <w:rFonts w:ascii="Wingdings" w:hAnsi="Wingdings" w:hint="default"/>
      <w:color w:val="000000"/>
      <w:shd w:val="clear" w:color="auto" w:fill="FFFFFF"/>
    </w:rPr>
  </w:style>
  <w:style w:type="character" w:customStyle="1" w:styleId="RTFNum3102">
    <w:name w:val="RTF_Num 310 2"/>
    <w:basedOn w:val="Fuentedeprrafopredeter"/>
    <w:rsid w:val="00B15F7D"/>
    <w:rPr>
      <w:rFonts w:ascii="Wingdings" w:hAnsi="Wingdings" w:hint="default"/>
      <w:color w:val="000000"/>
      <w:shd w:val="clear" w:color="auto" w:fill="FFFFFF"/>
    </w:rPr>
  </w:style>
  <w:style w:type="character" w:customStyle="1" w:styleId="RTFNum3112">
    <w:name w:val="RTF_Num 311 2"/>
    <w:basedOn w:val="Fuentedeprrafopredeter"/>
    <w:rsid w:val="00B15F7D"/>
    <w:rPr>
      <w:rFonts w:ascii="Wingdings" w:hAnsi="Wingdings" w:hint="default"/>
      <w:color w:val="000000"/>
      <w:shd w:val="clear" w:color="auto" w:fill="FFFFFF"/>
    </w:rPr>
  </w:style>
  <w:style w:type="character" w:customStyle="1" w:styleId="RTFNum3122">
    <w:name w:val="RTF_Num 312 2"/>
    <w:basedOn w:val="Fuentedeprrafopredeter"/>
    <w:rsid w:val="00B15F7D"/>
    <w:rPr>
      <w:rFonts w:ascii="Wingdings" w:hAnsi="Wingdings" w:hint="default"/>
      <w:color w:val="000000"/>
      <w:shd w:val="clear" w:color="auto" w:fill="FFFFFF"/>
    </w:rPr>
  </w:style>
  <w:style w:type="character" w:customStyle="1" w:styleId="RTFNum3132">
    <w:name w:val="RTF_Num 313 2"/>
    <w:basedOn w:val="Fuentedeprrafopredeter"/>
    <w:rsid w:val="00B15F7D"/>
    <w:rPr>
      <w:rFonts w:ascii="Wingdings" w:hAnsi="Wingdings" w:hint="default"/>
      <w:color w:val="000000"/>
      <w:shd w:val="clear" w:color="auto" w:fill="FFFFFF"/>
    </w:rPr>
  </w:style>
  <w:style w:type="character" w:customStyle="1" w:styleId="RTFNum3142">
    <w:name w:val="RTF_Num 314 2"/>
    <w:basedOn w:val="Fuentedeprrafopredeter"/>
    <w:rsid w:val="00B15F7D"/>
    <w:rPr>
      <w:rFonts w:ascii="Wingdings" w:hAnsi="Wingdings" w:hint="default"/>
      <w:color w:val="000000"/>
      <w:shd w:val="clear" w:color="auto" w:fill="FFFFFF"/>
    </w:rPr>
  </w:style>
  <w:style w:type="character" w:customStyle="1" w:styleId="RTFNum3152">
    <w:name w:val="RTF_Num 315 2"/>
    <w:basedOn w:val="Fuentedeprrafopredeter"/>
    <w:rsid w:val="00B15F7D"/>
    <w:rPr>
      <w:rFonts w:ascii="Wingdings" w:hAnsi="Wingdings" w:hint="default"/>
      <w:color w:val="000000"/>
      <w:shd w:val="clear" w:color="auto" w:fill="FFFFFF"/>
    </w:rPr>
  </w:style>
  <w:style w:type="character" w:customStyle="1" w:styleId="RTFNum3162">
    <w:name w:val="RTF_Num 316 2"/>
    <w:basedOn w:val="Fuentedeprrafopredeter"/>
    <w:rsid w:val="00B15F7D"/>
    <w:rPr>
      <w:rFonts w:ascii="Wingdings" w:hAnsi="Wingdings" w:hint="default"/>
      <w:color w:val="000000"/>
      <w:shd w:val="clear" w:color="auto" w:fill="FFFFFF"/>
    </w:rPr>
  </w:style>
  <w:style w:type="character" w:customStyle="1" w:styleId="RTFNum3172">
    <w:name w:val="RTF_Num 317 2"/>
    <w:basedOn w:val="Fuentedeprrafopredeter"/>
    <w:rsid w:val="00B15F7D"/>
    <w:rPr>
      <w:rFonts w:ascii="Symbol" w:hAnsi="Symbol" w:hint="default"/>
      <w:color w:val="000000"/>
      <w:shd w:val="clear" w:color="auto" w:fill="FFFFFF"/>
    </w:rPr>
  </w:style>
  <w:style w:type="character" w:customStyle="1" w:styleId="RTFNum3182">
    <w:name w:val="RTF_Num 318 2"/>
    <w:basedOn w:val="Fuentedeprrafopredeter"/>
    <w:rsid w:val="00B15F7D"/>
    <w:rPr>
      <w:rFonts w:ascii="Wingdings" w:hAnsi="Wingdings" w:hint="default"/>
      <w:color w:val="000000"/>
      <w:shd w:val="clear" w:color="auto" w:fill="FFFFFF"/>
    </w:rPr>
  </w:style>
  <w:style w:type="character" w:customStyle="1" w:styleId="RTFNum3192">
    <w:name w:val="RTF_Num 319 2"/>
    <w:basedOn w:val="Fuentedeprrafopredeter"/>
    <w:rsid w:val="00B15F7D"/>
    <w:rPr>
      <w:rFonts w:ascii="Wingdings" w:hAnsi="Wingdings" w:hint="default"/>
      <w:color w:val="000000"/>
      <w:shd w:val="clear" w:color="auto" w:fill="FFFFFF"/>
    </w:rPr>
  </w:style>
  <w:style w:type="character" w:customStyle="1" w:styleId="RTFNum3202">
    <w:name w:val="RTF_Num 320 2"/>
    <w:basedOn w:val="Fuentedeprrafopredeter"/>
    <w:rsid w:val="00B15F7D"/>
    <w:rPr>
      <w:rFonts w:ascii="Symbol" w:hAnsi="Symbol" w:hint="default"/>
      <w:color w:val="000000"/>
      <w:shd w:val="clear" w:color="auto" w:fill="FFFFFF"/>
    </w:rPr>
  </w:style>
  <w:style w:type="character" w:customStyle="1" w:styleId="RTFNum3212">
    <w:name w:val="RTF_Num 321 2"/>
    <w:basedOn w:val="Fuentedeprrafopredeter"/>
    <w:rsid w:val="00B15F7D"/>
    <w:rPr>
      <w:rFonts w:ascii="Symbol" w:hAnsi="Symbol" w:hint="default"/>
      <w:color w:val="000000"/>
      <w:shd w:val="clear" w:color="auto" w:fill="FFFFFF"/>
    </w:rPr>
  </w:style>
  <w:style w:type="character" w:customStyle="1" w:styleId="RTFNum3222">
    <w:name w:val="RTF_Num 322 2"/>
    <w:basedOn w:val="Fuentedeprrafopredeter"/>
    <w:rsid w:val="00B15F7D"/>
    <w:rPr>
      <w:rFonts w:ascii="Symbol" w:hAnsi="Symbol" w:hint="default"/>
      <w:color w:val="000000"/>
      <w:shd w:val="clear" w:color="auto" w:fill="FFFFFF"/>
    </w:rPr>
  </w:style>
  <w:style w:type="character" w:customStyle="1" w:styleId="RTFNum3232">
    <w:name w:val="RTF_Num 323 2"/>
    <w:basedOn w:val="Fuentedeprrafopredeter"/>
    <w:rsid w:val="00B15F7D"/>
    <w:rPr>
      <w:rFonts w:ascii="Symbol" w:hAnsi="Symbol" w:hint="default"/>
      <w:color w:val="000000"/>
      <w:shd w:val="clear" w:color="auto" w:fill="FFFFFF"/>
    </w:rPr>
  </w:style>
  <w:style w:type="character" w:customStyle="1" w:styleId="RTFNum3242">
    <w:name w:val="RTF_Num 324 2"/>
    <w:basedOn w:val="Fuentedeprrafopredeter"/>
    <w:rsid w:val="00B15F7D"/>
    <w:rPr>
      <w:rFonts w:ascii="Symbol" w:hAnsi="Symbol" w:hint="default"/>
      <w:color w:val="000000"/>
      <w:shd w:val="clear" w:color="auto" w:fill="FFFFFF"/>
    </w:rPr>
  </w:style>
  <w:style w:type="character" w:customStyle="1" w:styleId="RTFNum3252">
    <w:name w:val="RTF_Num 325 2"/>
    <w:basedOn w:val="Fuentedeprrafopredeter"/>
    <w:rsid w:val="00B15F7D"/>
    <w:rPr>
      <w:rFonts w:ascii="Symbol" w:hAnsi="Symbol" w:hint="default"/>
      <w:color w:val="000000"/>
      <w:shd w:val="clear" w:color="auto" w:fill="FFFFFF"/>
    </w:rPr>
  </w:style>
  <w:style w:type="character" w:customStyle="1" w:styleId="RTFNum3262">
    <w:name w:val="RTF_Num 326 2"/>
    <w:basedOn w:val="Fuentedeprrafopredeter"/>
    <w:rsid w:val="00B15F7D"/>
    <w:rPr>
      <w:rFonts w:ascii="Wingdings" w:hAnsi="Wingdings" w:hint="default"/>
      <w:color w:val="000000"/>
      <w:shd w:val="clear" w:color="auto" w:fill="FFFFFF"/>
    </w:rPr>
  </w:style>
  <w:style w:type="character" w:customStyle="1" w:styleId="RTFNum3272">
    <w:name w:val="RTF_Num 327 2"/>
    <w:basedOn w:val="Fuentedeprrafopredeter"/>
    <w:rsid w:val="00B15F7D"/>
    <w:rPr>
      <w:rFonts w:ascii="Wingdings" w:hAnsi="Wingdings" w:hint="default"/>
      <w:color w:val="000000"/>
      <w:shd w:val="clear" w:color="auto" w:fill="FFFFFF"/>
    </w:rPr>
  </w:style>
  <w:style w:type="character" w:customStyle="1" w:styleId="RTFNum3282">
    <w:name w:val="RTF_Num 328 2"/>
    <w:basedOn w:val="Fuentedeprrafopredeter"/>
    <w:rsid w:val="00B15F7D"/>
    <w:rPr>
      <w:rFonts w:ascii="Symbol" w:hAnsi="Symbol" w:hint="default"/>
      <w:color w:val="000000"/>
      <w:shd w:val="clear" w:color="auto" w:fill="FFFFFF"/>
    </w:rPr>
  </w:style>
  <w:style w:type="character" w:customStyle="1" w:styleId="RTFNum3292">
    <w:name w:val="RTF_Num 329 2"/>
    <w:basedOn w:val="Fuentedeprrafopredeter"/>
    <w:rsid w:val="00B15F7D"/>
    <w:rPr>
      <w:rFonts w:ascii="Symbol" w:hAnsi="Symbol" w:hint="default"/>
      <w:color w:val="000000"/>
      <w:shd w:val="clear" w:color="auto" w:fill="FFFFFF"/>
    </w:rPr>
  </w:style>
  <w:style w:type="character" w:customStyle="1" w:styleId="RTFNum3302">
    <w:name w:val="RTF_Num 330 2"/>
    <w:basedOn w:val="Fuentedeprrafopredeter"/>
    <w:rsid w:val="00B15F7D"/>
    <w:rPr>
      <w:rFonts w:ascii="Wingdings" w:hAnsi="Wingdings" w:hint="default"/>
      <w:color w:val="000000"/>
      <w:shd w:val="clear" w:color="auto" w:fill="FFFFFF"/>
    </w:rPr>
  </w:style>
  <w:style w:type="character" w:customStyle="1" w:styleId="RTFNum3312">
    <w:name w:val="RTF_Num 331 2"/>
    <w:basedOn w:val="Fuentedeprrafopredeter"/>
    <w:rsid w:val="00B15F7D"/>
    <w:rPr>
      <w:rFonts w:ascii="Wingdings" w:hAnsi="Wingdings" w:hint="default"/>
      <w:color w:val="000000"/>
      <w:shd w:val="clear" w:color="auto" w:fill="FFFFFF"/>
    </w:rPr>
  </w:style>
  <w:style w:type="character" w:customStyle="1" w:styleId="RTFNum3322">
    <w:name w:val="RTF_Num 332 2"/>
    <w:basedOn w:val="Fuentedeprrafopredeter"/>
    <w:rsid w:val="00B15F7D"/>
    <w:rPr>
      <w:rFonts w:ascii="Symbol" w:hAnsi="Symbol" w:hint="default"/>
      <w:color w:val="000000"/>
      <w:shd w:val="clear" w:color="auto" w:fill="FFFFFF"/>
    </w:rPr>
  </w:style>
  <w:style w:type="character" w:customStyle="1" w:styleId="RTFNum3332">
    <w:name w:val="RTF_Num 333 2"/>
    <w:basedOn w:val="Fuentedeprrafopredeter"/>
    <w:rsid w:val="00B15F7D"/>
    <w:rPr>
      <w:rFonts w:ascii="Wingdings" w:hAnsi="Wingdings" w:hint="default"/>
      <w:color w:val="000000"/>
      <w:shd w:val="clear" w:color="auto" w:fill="FFFFFF"/>
    </w:rPr>
  </w:style>
  <w:style w:type="character" w:customStyle="1" w:styleId="RTFNum3342">
    <w:name w:val="RTF_Num 334 2"/>
    <w:basedOn w:val="Fuentedeprrafopredeter"/>
    <w:rsid w:val="00B15F7D"/>
    <w:rPr>
      <w:rFonts w:ascii="Symbol" w:hAnsi="Symbol" w:hint="default"/>
      <w:color w:val="000000"/>
      <w:shd w:val="clear" w:color="auto" w:fill="FFFFFF"/>
    </w:rPr>
  </w:style>
  <w:style w:type="character" w:customStyle="1" w:styleId="RTFNum3352">
    <w:name w:val="RTF_Num 335 2"/>
    <w:basedOn w:val="Fuentedeprrafopredeter"/>
    <w:rsid w:val="00B15F7D"/>
    <w:rPr>
      <w:rFonts w:ascii="Wingdings" w:hAnsi="Wingdings" w:hint="default"/>
      <w:color w:val="000000"/>
      <w:shd w:val="clear" w:color="auto" w:fill="FFFFFF"/>
    </w:rPr>
  </w:style>
  <w:style w:type="character" w:customStyle="1" w:styleId="RTFNum3362">
    <w:name w:val="RTF_Num 336 2"/>
    <w:basedOn w:val="Fuentedeprrafopredeter"/>
    <w:rsid w:val="00B15F7D"/>
    <w:rPr>
      <w:rFonts w:ascii="Wingdings" w:hAnsi="Wingdings" w:hint="default"/>
      <w:color w:val="000000"/>
      <w:shd w:val="clear" w:color="auto" w:fill="FFFFFF"/>
    </w:rPr>
  </w:style>
  <w:style w:type="character" w:customStyle="1" w:styleId="RTFNum3372">
    <w:name w:val="RTF_Num 337 2"/>
    <w:basedOn w:val="Fuentedeprrafopredeter"/>
    <w:rsid w:val="00B15F7D"/>
    <w:rPr>
      <w:rFonts w:ascii="Wingdings" w:hAnsi="Wingdings" w:hint="default"/>
      <w:color w:val="000000"/>
      <w:shd w:val="clear" w:color="auto" w:fill="FFFFFF"/>
    </w:rPr>
  </w:style>
  <w:style w:type="character" w:customStyle="1" w:styleId="RTFNum3382">
    <w:name w:val="RTF_Num 338 2"/>
    <w:basedOn w:val="Fuentedeprrafopredeter"/>
    <w:rsid w:val="00B15F7D"/>
    <w:rPr>
      <w:rFonts w:ascii="Wingdings" w:hAnsi="Wingdings" w:hint="default"/>
      <w:color w:val="000000"/>
      <w:shd w:val="clear" w:color="auto" w:fill="FFFFFF"/>
    </w:rPr>
  </w:style>
  <w:style w:type="character" w:customStyle="1" w:styleId="RTFNum3392">
    <w:name w:val="RTF_Num 339 2"/>
    <w:basedOn w:val="Fuentedeprrafopredeter"/>
    <w:rsid w:val="00B15F7D"/>
    <w:rPr>
      <w:rFonts w:ascii="Wingdings" w:hAnsi="Wingdings" w:hint="default"/>
      <w:color w:val="000000"/>
      <w:shd w:val="clear" w:color="auto" w:fill="FFFFFF"/>
    </w:rPr>
  </w:style>
  <w:style w:type="character" w:customStyle="1" w:styleId="RTFNum3402">
    <w:name w:val="RTF_Num 340 2"/>
    <w:basedOn w:val="Fuentedeprrafopredeter"/>
    <w:rsid w:val="00B15F7D"/>
    <w:rPr>
      <w:rFonts w:ascii="Wingdings" w:hAnsi="Wingdings" w:hint="default"/>
      <w:color w:val="000000"/>
      <w:shd w:val="clear" w:color="auto" w:fill="FFFFFF"/>
    </w:rPr>
  </w:style>
  <w:style w:type="character" w:customStyle="1" w:styleId="RTFNum3412">
    <w:name w:val="RTF_Num 341 2"/>
    <w:basedOn w:val="Fuentedeprrafopredeter"/>
    <w:rsid w:val="00B15F7D"/>
    <w:rPr>
      <w:rFonts w:ascii="Wingdings" w:hAnsi="Wingdings" w:hint="default"/>
      <w:color w:val="000000"/>
      <w:shd w:val="clear" w:color="auto" w:fill="FFFFFF"/>
    </w:rPr>
  </w:style>
  <w:style w:type="character" w:customStyle="1" w:styleId="RTFNum3422">
    <w:name w:val="RTF_Num 342 2"/>
    <w:basedOn w:val="Fuentedeprrafopredeter"/>
    <w:rsid w:val="00B15F7D"/>
    <w:rPr>
      <w:rFonts w:ascii="Wingdings" w:hAnsi="Wingdings" w:hint="default"/>
      <w:color w:val="000000"/>
      <w:shd w:val="clear" w:color="auto" w:fill="FFFFFF"/>
    </w:rPr>
  </w:style>
  <w:style w:type="character" w:customStyle="1" w:styleId="RTFNum3432">
    <w:name w:val="RTF_Num 343 2"/>
    <w:basedOn w:val="Fuentedeprrafopredeter"/>
    <w:rsid w:val="00B15F7D"/>
    <w:rPr>
      <w:rFonts w:ascii="Wingdings" w:hAnsi="Wingdings" w:hint="default"/>
      <w:color w:val="000000"/>
      <w:shd w:val="clear" w:color="auto" w:fill="FFFFFF"/>
    </w:rPr>
  </w:style>
  <w:style w:type="character" w:customStyle="1" w:styleId="RTFNum3442">
    <w:name w:val="RTF_Num 344 2"/>
    <w:basedOn w:val="Fuentedeprrafopredeter"/>
    <w:rsid w:val="00B15F7D"/>
    <w:rPr>
      <w:rFonts w:ascii="Wingdings" w:hAnsi="Wingdings" w:hint="default"/>
      <w:color w:val="000000"/>
      <w:shd w:val="clear" w:color="auto" w:fill="FFFFFF"/>
    </w:rPr>
  </w:style>
  <w:style w:type="character" w:customStyle="1" w:styleId="RTFNum3452">
    <w:name w:val="RTF_Num 345 2"/>
    <w:basedOn w:val="Fuentedeprrafopredeter"/>
    <w:rsid w:val="00B15F7D"/>
    <w:rPr>
      <w:rFonts w:ascii="Wingdings" w:hAnsi="Wingdings" w:hint="default"/>
      <w:color w:val="000000"/>
      <w:shd w:val="clear" w:color="auto" w:fill="FFFFFF"/>
    </w:rPr>
  </w:style>
  <w:style w:type="character" w:customStyle="1" w:styleId="RTFNum3462">
    <w:name w:val="RTF_Num 346 2"/>
    <w:basedOn w:val="Fuentedeprrafopredeter"/>
    <w:rsid w:val="00B15F7D"/>
    <w:rPr>
      <w:rFonts w:ascii="Wingdings" w:hAnsi="Wingdings" w:hint="default"/>
      <w:color w:val="000000"/>
      <w:shd w:val="clear" w:color="auto" w:fill="FFFFFF"/>
    </w:rPr>
  </w:style>
  <w:style w:type="character" w:customStyle="1" w:styleId="RTFNum3472">
    <w:name w:val="RTF_Num 347 2"/>
    <w:basedOn w:val="Fuentedeprrafopredeter"/>
    <w:rsid w:val="00B15F7D"/>
    <w:rPr>
      <w:rFonts w:ascii="Wingdings" w:hAnsi="Wingdings" w:hint="default"/>
      <w:color w:val="000000"/>
      <w:shd w:val="clear" w:color="auto" w:fill="FFFFFF"/>
    </w:rPr>
  </w:style>
  <w:style w:type="character" w:customStyle="1" w:styleId="RTFNum3482">
    <w:name w:val="RTF_Num 348 2"/>
    <w:basedOn w:val="Fuentedeprrafopredeter"/>
    <w:rsid w:val="00B15F7D"/>
    <w:rPr>
      <w:rFonts w:ascii="Symbol" w:hAnsi="Symbol" w:hint="default"/>
      <w:color w:val="000000"/>
      <w:shd w:val="clear" w:color="auto" w:fill="FFFFFF"/>
    </w:rPr>
  </w:style>
  <w:style w:type="character" w:customStyle="1" w:styleId="RTFNum3492">
    <w:name w:val="RTF_Num 349 2"/>
    <w:basedOn w:val="Fuentedeprrafopredeter"/>
    <w:rsid w:val="00B15F7D"/>
    <w:rPr>
      <w:rFonts w:ascii="Symbol" w:hAnsi="Symbol" w:hint="default"/>
      <w:color w:val="000000"/>
      <w:shd w:val="clear" w:color="auto" w:fill="FFFFFF"/>
    </w:rPr>
  </w:style>
  <w:style w:type="character" w:customStyle="1" w:styleId="RTFNum3502">
    <w:name w:val="RTF_Num 350 2"/>
    <w:basedOn w:val="Fuentedeprrafopredeter"/>
    <w:rsid w:val="00B15F7D"/>
    <w:rPr>
      <w:rFonts w:ascii="Symbol" w:hAnsi="Symbol" w:hint="default"/>
      <w:color w:val="000000"/>
      <w:shd w:val="clear" w:color="auto" w:fill="FFFFFF"/>
    </w:rPr>
  </w:style>
  <w:style w:type="character" w:customStyle="1" w:styleId="RTFNum3512">
    <w:name w:val="RTF_Num 351 2"/>
    <w:basedOn w:val="Fuentedeprrafopredeter"/>
    <w:rsid w:val="00B15F7D"/>
    <w:rPr>
      <w:rFonts w:ascii="Wingdings" w:hAnsi="Wingdings" w:hint="default"/>
      <w:color w:val="000000"/>
      <w:shd w:val="clear" w:color="auto" w:fill="FFFFFF"/>
    </w:rPr>
  </w:style>
  <w:style w:type="character" w:customStyle="1" w:styleId="RTFNum3522">
    <w:name w:val="RTF_Num 352 2"/>
    <w:basedOn w:val="Fuentedeprrafopredeter"/>
    <w:rsid w:val="00B15F7D"/>
    <w:rPr>
      <w:rFonts w:ascii="Wingdings" w:hAnsi="Wingdings" w:hint="default"/>
      <w:color w:val="000000"/>
      <w:shd w:val="clear" w:color="auto" w:fill="FFFFFF"/>
    </w:rPr>
  </w:style>
  <w:style w:type="character" w:customStyle="1" w:styleId="RTFNum3532">
    <w:name w:val="RTF_Num 353 2"/>
    <w:basedOn w:val="Fuentedeprrafopredeter"/>
    <w:rsid w:val="00B15F7D"/>
    <w:rPr>
      <w:rFonts w:ascii="Wingdings" w:hAnsi="Wingdings" w:hint="default"/>
      <w:color w:val="000000"/>
      <w:shd w:val="clear" w:color="auto" w:fill="FFFFFF"/>
    </w:rPr>
  </w:style>
  <w:style w:type="character" w:customStyle="1" w:styleId="RTFNum3542">
    <w:name w:val="RTF_Num 354 2"/>
    <w:basedOn w:val="Fuentedeprrafopredeter"/>
    <w:rsid w:val="00B15F7D"/>
    <w:rPr>
      <w:rFonts w:ascii="Symbol" w:hAnsi="Symbol" w:hint="default"/>
      <w:color w:val="000000"/>
      <w:shd w:val="clear" w:color="auto" w:fill="FFFFFF"/>
    </w:rPr>
  </w:style>
  <w:style w:type="character" w:customStyle="1" w:styleId="RTFNum3552">
    <w:name w:val="RTF_Num 355 2"/>
    <w:basedOn w:val="Fuentedeprrafopredeter"/>
    <w:rsid w:val="00B15F7D"/>
    <w:rPr>
      <w:rFonts w:ascii="Symbol" w:hAnsi="Symbol" w:hint="default"/>
      <w:color w:val="000000"/>
      <w:shd w:val="clear" w:color="auto" w:fill="FFFFFF"/>
    </w:rPr>
  </w:style>
  <w:style w:type="character" w:customStyle="1" w:styleId="RTFNum3562">
    <w:name w:val="RTF_Num 356 2"/>
    <w:basedOn w:val="Fuentedeprrafopredeter"/>
    <w:rsid w:val="00B15F7D"/>
    <w:rPr>
      <w:rFonts w:ascii="Symbol" w:hAnsi="Symbol" w:hint="default"/>
      <w:color w:val="000000"/>
      <w:shd w:val="clear" w:color="auto" w:fill="FFFFFF"/>
    </w:rPr>
  </w:style>
  <w:style w:type="character" w:customStyle="1" w:styleId="RTFNum3572">
    <w:name w:val="RTF_Num 357 2"/>
    <w:basedOn w:val="Fuentedeprrafopredeter"/>
    <w:rsid w:val="00B15F7D"/>
    <w:rPr>
      <w:rFonts w:ascii="Symbol" w:hAnsi="Symbol" w:hint="default"/>
      <w:color w:val="000000"/>
      <w:shd w:val="clear" w:color="auto" w:fill="FFFFFF"/>
    </w:rPr>
  </w:style>
  <w:style w:type="character" w:customStyle="1" w:styleId="RTFNum3582">
    <w:name w:val="RTF_Num 358 2"/>
    <w:basedOn w:val="Fuentedeprrafopredeter"/>
    <w:rsid w:val="00B15F7D"/>
    <w:rPr>
      <w:rFonts w:ascii="Symbol" w:hAnsi="Symbol" w:hint="default"/>
      <w:color w:val="000000"/>
      <w:shd w:val="clear" w:color="auto" w:fill="FFFFFF"/>
    </w:rPr>
  </w:style>
  <w:style w:type="character" w:customStyle="1" w:styleId="RTFNum3592">
    <w:name w:val="RTF_Num 359 2"/>
    <w:basedOn w:val="Fuentedeprrafopredeter"/>
    <w:rsid w:val="00B15F7D"/>
    <w:rPr>
      <w:rFonts w:ascii="Symbol" w:hAnsi="Symbol" w:hint="default"/>
      <w:color w:val="000000"/>
      <w:shd w:val="clear" w:color="auto" w:fill="FFFFFF"/>
    </w:rPr>
  </w:style>
  <w:style w:type="character" w:customStyle="1" w:styleId="RTFNum3602">
    <w:name w:val="RTF_Num 360 2"/>
    <w:basedOn w:val="Fuentedeprrafopredeter"/>
    <w:rsid w:val="00B15F7D"/>
    <w:rPr>
      <w:rFonts w:ascii="Symbol" w:hAnsi="Symbol" w:hint="default"/>
      <w:color w:val="000000"/>
      <w:shd w:val="clear" w:color="auto" w:fill="FFFFFF"/>
    </w:rPr>
  </w:style>
  <w:style w:type="character" w:customStyle="1" w:styleId="RTFNum3612">
    <w:name w:val="RTF_Num 361 2"/>
    <w:basedOn w:val="Fuentedeprrafopredeter"/>
    <w:rsid w:val="00B15F7D"/>
    <w:rPr>
      <w:rFonts w:ascii="Symbol" w:hAnsi="Symbol" w:hint="default"/>
      <w:color w:val="000000"/>
      <w:shd w:val="clear" w:color="auto" w:fill="FFFFFF"/>
    </w:rPr>
  </w:style>
  <w:style w:type="character" w:customStyle="1" w:styleId="RTFNum3622">
    <w:name w:val="RTF_Num 362 2"/>
    <w:basedOn w:val="Fuentedeprrafopredeter"/>
    <w:rsid w:val="00B15F7D"/>
    <w:rPr>
      <w:rFonts w:ascii="Symbol" w:hAnsi="Symbol" w:hint="default"/>
      <w:color w:val="000000"/>
      <w:shd w:val="clear" w:color="auto" w:fill="FFFFFF"/>
    </w:rPr>
  </w:style>
  <w:style w:type="character" w:customStyle="1" w:styleId="RTFNum3632">
    <w:name w:val="RTF_Num 363 2"/>
    <w:basedOn w:val="Fuentedeprrafopredeter"/>
    <w:rsid w:val="00B15F7D"/>
    <w:rPr>
      <w:rFonts w:ascii="Symbol" w:hAnsi="Symbol" w:hint="default"/>
      <w:color w:val="000000"/>
      <w:shd w:val="clear" w:color="auto" w:fill="FFFFFF"/>
    </w:rPr>
  </w:style>
  <w:style w:type="character" w:customStyle="1" w:styleId="RTFNum3642">
    <w:name w:val="RTF_Num 364 2"/>
    <w:basedOn w:val="Fuentedeprrafopredeter"/>
    <w:rsid w:val="00B15F7D"/>
    <w:rPr>
      <w:rFonts w:ascii="Symbol" w:hAnsi="Symbol" w:hint="default"/>
      <w:color w:val="000000"/>
      <w:shd w:val="clear" w:color="auto" w:fill="FFFFFF"/>
    </w:rPr>
  </w:style>
  <w:style w:type="character" w:customStyle="1" w:styleId="RTFNum3652">
    <w:name w:val="RTF_Num 365 2"/>
    <w:basedOn w:val="Fuentedeprrafopredeter"/>
    <w:rsid w:val="00B15F7D"/>
    <w:rPr>
      <w:rFonts w:ascii="Symbol" w:hAnsi="Symbol" w:hint="default"/>
      <w:color w:val="000000"/>
      <w:shd w:val="clear" w:color="auto" w:fill="FFFFFF"/>
    </w:rPr>
  </w:style>
  <w:style w:type="character" w:customStyle="1" w:styleId="RTFNum3662">
    <w:name w:val="RTF_Num 366 2"/>
    <w:basedOn w:val="Fuentedeprrafopredeter"/>
    <w:rsid w:val="00B15F7D"/>
    <w:rPr>
      <w:rFonts w:ascii="Wingdings" w:hAnsi="Wingdings" w:hint="default"/>
      <w:color w:val="000000"/>
      <w:shd w:val="clear" w:color="auto" w:fill="FFFFFF"/>
    </w:rPr>
  </w:style>
  <w:style w:type="character" w:customStyle="1" w:styleId="RTFNum3672">
    <w:name w:val="RTF_Num 367 2"/>
    <w:basedOn w:val="Fuentedeprrafopredeter"/>
    <w:rsid w:val="00B15F7D"/>
    <w:rPr>
      <w:rFonts w:ascii="Symbol" w:hAnsi="Symbol" w:hint="default"/>
      <w:color w:val="000000"/>
      <w:shd w:val="clear" w:color="auto" w:fill="FFFFFF"/>
    </w:rPr>
  </w:style>
  <w:style w:type="character" w:customStyle="1" w:styleId="RTFNum3682">
    <w:name w:val="RTF_Num 368 2"/>
    <w:basedOn w:val="Fuentedeprrafopredeter"/>
    <w:rsid w:val="00B15F7D"/>
    <w:rPr>
      <w:rFonts w:ascii="Symbol" w:hAnsi="Symbol" w:hint="default"/>
      <w:color w:val="000000"/>
      <w:shd w:val="clear" w:color="auto" w:fill="FFFFFF"/>
    </w:rPr>
  </w:style>
  <w:style w:type="character" w:customStyle="1" w:styleId="RTFNum3692">
    <w:name w:val="RTF_Num 369 2"/>
    <w:basedOn w:val="Fuentedeprrafopredeter"/>
    <w:rsid w:val="00B15F7D"/>
    <w:rPr>
      <w:rFonts w:ascii="Symbol" w:hAnsi="Symbol" w:hint="default"/>
      <w:color w:val="000000"/>
      <w:shd w:val="clear" w:color="auto" w:fill="FFFFFF"/>
    </w:rPr>
  </w:style>
  <w:style w:type="character" w:customStyle="1" w:styleId="RTFNum3702">
    <w:name w:val="RTF_Num 370 2"/>
    <w:basedOn w:val="Fuentedeprrafopredeter"/>
    <w:rsid w:val="00B15F7D"/>
    <w:rPr>
      <w:rFonts w:ascii="Symbol" w:hAnsi="Symbol" w:hint="default"/>
      <w:color w:val="000000"/>
      <w:shd w:val="clear" w:color="auto" w:fill="FFFFFF"/>
    </w:rPr>
  </w:style>
  <w:style w:type="character" w:customStyle="1" w:styleId="RTFNum3712">
    <w:name w:val="RTF_Num 371 2"/>
    <w:basedOn w:val="Fuentedeprrafopredeter"/>
    <w:rsid w:val="00B15F7D"/>
    <w:rPr>
      <w:rFonts w:ascii="Symbol" w:hAnsi="Symbol" w:hint="default"/>
      <w:color w:val="000000"/>
      <w:shd w:val="clear" w:color="auto" w:fill="FFFFFF"/>
    </w:rPr>
  </w:style>
  <w:style w:type="character" w:customStyle="1" w:styleId="RTFNum3722">
    <w:name w:val="RTF_Num 372 2"/>
    <w:basedOn w:val="Fuentedeprrafopredeter"/>
    <w:rsid w:val="00B15F7D"/>
    <w:rPr>
      <w:rFonts w:ascii="Symbol" w:hAnsi="Symbol" w:hint="default"/>
      <w:color w:val="000000"/>
      <w:shd w:val="clear" w:color="auto" w:fill="FFFFFF"/>
    </w:rPr>
  </w:style>
  <w:style w:type="character" w:customStyle="1" w:styleId="RTFNum3732">
    <w:name w:val="RTF_Num 373 2"/>
    <w:basedOn w:val="Fuentedeprrafopredeter"/>
    <w:rsid w:val="00B15F7D"/>
    <w:rPr>
      <w:rFonts w:ascii="Symbol" w:hAnsi="Symbol" w:hint="default"/>
      <w:color w:val="000000"/>
      <w:shd w:val="clear" w:color="auto" w:fill="FFFFFF"/>
    </w:rPr>
  </w:style>
  <w:style w:type="character" w:customStyle="1" w:styleId="RTFNum3742">
    <w:name w:val="RTF_Num 374 2"/>
    <w:basedOn w:val="Fuentedeprrafopredeter"/>
    <w:rsid w:val="00B15F7D"/>
    <w:rPr>
      <w:rFonts w:ascii="Symbol" w:hAnsi="Symbol" w:hint="default"/>
      <w:color w:val="000000"/>
      <w:shd w:val="clear" w:color="auto" w:fill="FFFFFF"/>
    </w:rPr>
  </w:style>
  <w:style w:type="character" w:customStyle="1" w:styleId="RTFNum3752">
    <w:name w:val="RTF_Num 375 2"/>
    <w:basedOn w:val="Fuentedeprrafopredeter"/>
    <w:rsid w:val="00B15F7D"/>
    <w:rPr>
      <w:rFonts w:ascii="Wingdings" w:hAnsi="Wingdings" w:hint="default"/>
      <w:color w:val="000000"/>
      <w:shd w:val="clear" w:color="auto" w:fill="FFFFFF"/>
    </w:rPr>
  </w:style>
  <w:style w:type="character" w:customStyle="1" w:styleId="RTFNum3762">
    <w:name w:val="RTF_Num 376 2"/>
    <w:basedOn w:val="Fuentedeprrafopredeter"/>
    <w:rsid w:val="00B15F7D"/>
    <w:rPr>
      <w:rFonts w:ascii="Wingdings" w:hAnsi="Wingdings" w:hint="default"/>
      <w:color w:val="000000"/>
      <w:shd w:val="clear" w:color="auto" w:fill="FFFFFF"/>
    </w:rPr>
  </w:style>
  <w:style w:type="character" w:customStyle="1" w:styleId="RTFNum3772">
    <w:name w:val="RTF_Num 377 2"/>
    <w:basedOn w:val="Fuentedeprrafopredeter"/>
    <w:rsid w:val="00B15F7D"/>
    <w:rPr>
      <w:rFonts w:ascii="Wingdings" w:hAnsi="Wingdings" w:hint="default"/>
      <w:color w:val="000000"/>
      <w:shd w:val="clear" w:color="auto" w:fill="FFFFFF"/>
    </w:rPr>
  </w:style>
  <w:style w:type="character" w:customStyle="1" w:styleId="RTFNum3782">
    <w:name w:val="RTF_Num 378 2"/>
    <w:basedOn w:val="Fuentedeprrafopredeter"/>
    <w:rsid w:val="00B15F7D"/>
    <w:rPr>
      <w:rFonts w:ascii="Wingdings" w:hAnsi="Wingdings" w:hint="default"/>
      <w:color w:val="000000"/>
      <w:shd w:val="clear" w:color="auto" w:fill="FFFFFF"/>
    </w:rPr>
  </w:style>
  <w:style w:type="character" w:customStyle="1" w:styleId="RTFNum3792">
    <w:name w:val="RTF_Num 379 2"/>
    <w:basedOn w:val="Fuentedeprrafopredeter"/>
    <w:rsid w:val="00B15F7D"/>
    <w:rPr>
      <w:rFonts w:ascii="Wingdings" w:hAnsi="Wingdings" w:hint="default"/>
      <w:color w:val="000000"/>
      <w:shd w:val="clear" w:color="auto" w:fill="FFFFFF"/>
    </w:rPr>
  </w:style>
  <w:style w:type="character" w:customStyle="1" w:styleId="RTFNum3802">
    <w:name w:val="RTF_Num 380 2"/>
    <w:basedOn w:val="Fuentedeprrafopredeter"/>
    <w:rsid w:val="00B15F7D"/>
    <w:rPr>
      <w:rFonts w:ascii="Wingdings" w:hAnsi="Wingdings" w:hint="default"/>
      <w:color w:val="000000"/>
      <w:shd w:val="clear" w:color="auto" w:fill="FFFFFF"/>
    </w:rPr>
  </w:style>
  <w:style w:type="character" w:customStyle="1" w:styleId="RTFNum3812">
    <w:name w:val="RTF_Num 381 2"/>
    <w:basedOn w:val="Fuentedeprrafopredeter"/>
    <w:rsid w:val="00B15F7D"/>
    <w:rPr>
      <w:rFonts w:ascii="Symbol" w:hAnsi="Symbol" w:hint="default"/>
      <w:color w:val="000000"/>
      <w:shd w:val="clear" w:color="auto" w:fill="FFFFFF"/>
    </w:rPr>
  </w:style>
  <w:style w:type="character" w:customStyle="1" w:styleId="RTFNum3822">
    <w:name w:val="RTF_Num 382 2"/>
    <w:basedOn w:val="Fuentedeprrafopredeter"/>
    <w:rsid w:val="00B15F7D"/>
    <w:rPr>
      <w:rFonts w:ascii="Symbol" w:hAnsi="Symbol" w:hint="default"/>
      <w:color w:val="000000"/>
      <w:shd w:val="clear" w:color="auto" w:fill="FFFFFF"/>
    </w:rPr>
  </w:style>
  <w:style w:type="character" w:customStyle="1" w:styleId="RTFNum3832">
    <w:name w:val="RTF_Num 383 2"/>
    <w:basedOn w:val="Fuentedeprrafopredeter"/>
    <w:rsid w:val="00B15F7D"/>
    <w:rPr>
      <w:rFonts w:ascii="Wingdings" w:hAnsi="Wingdings" w:hint="default"/>
      <w:color w:val="000000"/>
      <w:shd w:val="clear" w:color="auto" w:fill="FFFFFF"/>
    </w:rPr>
  </w:style>
  <w:style w:type="character" w:customStyle="1" w:styleId="RTFNum3842">
    <w:name w:val="RTF_Num 384 2"/>
    <w:basedOn w:val="Fuentedeprrafopredeter"/>
    <w:rsid w:val="00B15F7D"/>
    <w:rPr>
      <w:rFonts w:ascii="Wingdings" w:hAnsi="Wingdings" w:hint="default"/>
      <w:color w:val="000000"/>
      <w:shd w:val="clear" w:color="auto" w:fill="FFFFFF"/>
    </w:rPr>
  </w:style>
  <w:style w:type="character" w:customStyle="1" w:styleId="RTFNum3852">
    <w:name w:val="RTF_Num 385 2"/>
    <w:basedOn w:val="Fuentedeprrafopredeter"/>
    <w:rsid w:val="00B15F7D"/>
    <w:rPr>
      <w:rFonts w:ascii="Symbol" w:hAnsi="Symbol" w:hint="default"/>
      <w:color w:val="000000"/>
      <w:shd w:val="clear" w:color="auto" w:fill="FFFFFF"/>
    </w:rPr>
  </w:style>
  <w:style w:type="character" w:customStyle="1" w:styleId="RTFNum3862">
    <w:name w:val="RTF_Num 386 2"/>
    <w:basedOn w:val="Fuentedeprrafopredeter"/>
    <w:rsid w:val="00B15F7D"/>
    <w:rPr>
      <w:rFonts w:ascii="Symbol" w:hAnsi="Symbol" w:hint="default"/>
      <w:color w:val="000000"/>
      <w:shd w:val="clear" w:color="auto" w:fill="FFFFFF"/>
    </w:rPr>
  </w:style>
  <w:style w:type="character" w:customStyle="1" w:styleId="RTFNum3872">
    <w:name w:val="RTF_Num 387 2"/>
    <w:basedOn w:val="Fuentedeprrafopredeter"/>
    <w:rsid w:val="00B15F7D"/>
    <w:rPr>
      <w:rFonts w:ascii="Symbol" w:hAnsi="Symbol" w:hint="default"/>
      <w:color w:val="000000"/>
      <w:shd w:val="clear" w:color="auto" w:fill="FFFFFF"/>
    </w:rPr>
  </w:style>
  <w:style w:type="character" w:customStyle="1" w:styleId="RTFNum3882">
    <w:name w:val="RTF_Num 388 2"/>
    <w:basedOn w:val="Fuentedeprrafopredeter"/>
    <w:rsid w:val="00B15F7D"/>
    <w:rPr>
      <w:rFonts w:ascii="Symbol" w:hAnsi="Symbol" w:hint="default"/>
      <w:color w:val="000000"/>
      <w:shd w:val="clear" w:color="auto" w:fill="FFFFFF"/>
    </w:rPr>
  </w:style>
  <w:style w:type="character" w:customStyle="1" w:styleId="RTFNum3892">
    <w:name w:val="RTF_Num 389 2"/>
    <w:basedOn w:val="Fuentedeprrafopredeter"/>
    <w:rsid w:val="00B15F7D"/>
    <w:rPr>
      <w:rFonts w:ascii="Symbol" w:hAnsi="Symbol" w:hint="default"/>
      <w:color w:val="000000"/>
      <w:shd w:val="clear" w:color="auto" w:fill="FFFFFF"/>
    </w:rPr>
  </w:style>
  <w:style w:type="character" w:customStyle="1" w:styleId="RTFNum3902">
    <w:name w:val="RTF_Num 390 2"/>
    <w:basedOn w:val="Fuentedeprrafopredeter"/>
    <w:rsid w:val="00B15F7D"/>
    <w:rPr>
      <w:rFonts w:ascii="Symbol" w:hAnsi="Symbol" w:hint="default"/>
      <w:color w:val="000000"/>
      <w:shd w:val="clear" w:color="auto" w:fill="FFFFFF"/>
    </w:rPr>
  </w:style>
  <w:style w:type="character" w:customStyle="1" w:styleId="RTFNum3912">
    <w:name w:val="RTF_Num 391 2"/>
    <w:basedOn w:val="Fuentedeprrafopredeter"/>
    <w:rsid w:val="00B15F7D"/>
    <w:rPr>
      <w:rFonts w:ascii="Symbol" w:hAnsi="Symbol" w:hint="default"/>
      <w:color w:val="000000"/>
      <w:shd w:val="clear" w:color="auto" w:fill="FFFFFF"/>
    </w:rPr>
  </w:style>
  <w:style w:type="character" w:customStyle="1" w:styleId="RTFNum3922">
    <w:name w:val="RTF_Num 392 2"/>
    <w:basedOn w:val="Fuentedeprrafopredeter"/>
    <w:rsid w:val="00B15F7D"/>
    <w:rPr>
      <w:rFonts w:ascii="Symbol" w:hAnsi="Symbol" w:hint="default"/>
      <w:color w:val="000000"/>
      <w:shd w:val="clear" w:color="auto" w:fill="FFFFFF"/>
    </w:rPr>
  </w:style>
  <w:style w:type="character" w:customStyle="1" w:styleId="RTFNum3932">
    <w:name w:val="RTF_Num 393 2"/>
    <w:basedOn w:val="Fuentedeprrafopredeter"/>
    <w:rsid w:val="00B15F7D"/>
    <w:rPr>
      <w:rFonts w:ascii="Symbol" w:hAnsi="Symbol" w:hint="default"/>
      <w:color w:val="000000"/>
      <w:shd w:val="clear" w:color="auto" w:fill="FFFFFF"/>
    </w:rPr>
  </w:style>
  <w:style w:type="character" w:customStyle="1" w:styleId="RTFNum3942">
    <w:name w:val="RTF_Num 394 2"/>
    <w:basedOn w:val="Fuentedeprrafopredeter"/>
    <w:rsid w:val="00B15F7D"/>
    <w:rPr>
      <w:rFonts w:ascii="Symbol" w:hAnsi="Symbol" w:hint="default"/>
      <w:color w:val="000000"/>
      <w:shd w:val="clear" w:color="auto" w:fill="FFFFFF"/>
    </w:rPr>
  </w:style>
  <w:style w:type="character" w:customStyle="1" w:styleId="RTFNum3952">
    <w:name w:val="RTF_Num 395 2"/>
    <w:basedOn w:val="Fuentedeprrafopredeter"/>
    <w:rsid w:val="00B15F7D"/>
    <w:rPr>
      <w:rFonts w:ascii="Symbol" w:hAnsi="Symbol" w:hint="default"/>
      <w:color w:val="000000"/>
      <w:shd w:val="clear" w:color="auto" w:fill="FFFFFF"/>
    </w:rPr>
  </w:style>
  <w:style w:type="character" w:customStyle="1" w:styleId="RTFNum3962">
    <w:name w:val="RTF_Num 396 2"/>
    <w:basedOn w:val="Fuentedeprrafopredeter"/>
    <w:rsid w:val="00B15F7D"/>
    <w:rPr>
      <w:rFonts w:ascii="Symbol" w:hAnsi="Symbol" w:hint="default"/>
      <w:color w:val="000000"/>
      <w:shd w:val="clear" w:color="auto" w:fill="FFFFFF"/>
    </w:rPr>
  </w:style>
  <w:style w:type="character" w:customStyle="1" w:styleId="RTFNum3972">
    <w:name w:val="RTF_Num 397 2"/>
    <w:basedOn w:val="Fuentedeprrafopredeter"/>
    <w:rsid w:val="00B15F7D"/>
    <w:rPr>
      <w:rFonts w:ascii="Symbol" w:hAnsi="Symbol" w:hint="default"/>
      <w:color w:val="000000"/>
      <w:shd w:val="clear" w:color="auto" w:fill="FFFFFF"/>
    </w:rPr>
  </w:style>
  <w:style w:type="character" w:customStyle="1" w:styleId="RTFNum3982">
    <w:name w:val="RTF_Num 398 2"/>
    <w:basedOn w:val="Fuentedeprrafopredeter"/>
    <w:rsid w:val="00B15F7D"/>
    <w:rPr>
      <w:rFonts w:ascii="Symbol" w:hAnsi="Symbol" w:hint="default"/>
      <w:color w:val="000000"/>
      <w:shd w:val="clear" w:color="auto" w:fill="FFFFFF"/>
    </w:rPr>
  </w:style>
  <w:style w:type="character" w:customStyle="1" w:styleId="RTFNum3992">
    <w:name w:val="RTF_Num 399 2"/>
    <w:basedOn w:val="Fuentedeprrafopredeter"/>
    <w:rsid w:val="00B15F7D"/>
    <w:rPr>
      <w:rFonts w:ascii="Wingdings" w:hAnsi="Wingdings" w:hint="default"/>
      <w:color w:val="000000"/>
      <w:shd w:val="clear" w:color="auto" w:fill="FFFFFF"/>
    </w:rPr>
  </w:style>
  <w:style w:type="character" w:customStyle="1" w:styleId="RTFNum4002">
    <w:name w:val="RTF_Num 400 2"/>
    <w:basedOn w:val="Fuentedeprrafopredeter"/>
    <w:rsid w:val="00B15F7D"/>
    <w:rPr>
      <w:rFonts w:ascii="Wingdings" w:hAnsi="Wingdings" w:hint="default"/>
      <w:color w:val="000000"/>
      <w:shd w:val="clear" w:color="auto" w:fill="FFFFFF"/>
    </w:rPr>
  </w:style>
  <w:style w:type="character" w:customStyle="1" w:styleId="RTFNum4012">
    <w:name w:val="RTF_Num 401 2"/>
    <w:basedOn w:val="Fuentedeprrafopredeter"/>
    <w:rsid w:val="00B15F7D"/>
    <w:rPr>
      <w:rFonts w:ascii="Wingdings" w:hAnsi="Wingdings" w:hint="default"/>
      <w:color w:val="000000"/>
      <w:shd w:val="clear" w:color="auto" w:fill="FFFFFF"/>
    </w:rPr>
  </w:style>
  <w:style w:type="character" w:customStyle="1" w:styleId="RTFNum4022">
    <w:name w:val="RTF_Num 402 2"/>
    <w:basedOn w:val="Fuentedeprrafopredeter"/>
    <w:rsid w:val="00B15F7D"/>
    <w:rPr>
      <w:rFonts w:ascii="Wingdings" w:hAnsi="Wingdings" w:hint="default"/>
      <w:color w:val="000000"/>
      <w:shd w:val="clear" w:color="auto" w:fill="FFFFFF"/>
    </w:rPr>
  </w:style>
  <w:style w:type="character" w:customStyle="1" w:styleId="RTFNum4032">
    <w:name w:val="RTF_Num 403 2"/>
    <w:basedOn w:val="Fuentedeprrafopredeter"/>
    <w:rsid w:val="00B15F7D"/>
    <w:rPr>
      <w:rFonts w:ascii="Wingdings" w:hAnsi="Wingdings" w:hint="default"/>
      <w:color w:val="000000"/>
      <w:shd w:val="clear" w:color="auto" w:fill="FFFFFF"/>
    </w:rPr>
  </w:style>
  <w:style w:type="character" w:customStyle="1" w:styleId="RTFNum4042">
    <w:name w:val="RTF_Num 404 2"/>
    <w:basedOn w:val="Fuentedeprrafopredeter"/>
    <w:rsid w:val="00B15F7D"/>
    <w:rPr>
      <w:rFonts w:ascii="Wingdings" w:hAnsi="Wingdings" w:hint="default"/>
      <w:color w:val="000000"/>
      <w:shd w:val="clear" w:color="auto" w:fill="FFFFFF"/>
    </w:rPr>
  </w:style>
  <w:style w:type="character" w:customStyle="1" w:styleId="RTFNum4052">
    <w:name w:val="RTF_Num 405 2"/>
    <w:basedOn w:val="Fuentedeprrafopredeter"/>
    <w:rsid w:val="00B15F7D"/>
    <w:rPr>
      <w:rFonts w:ascii="Wingdings" w:hAnsi="Wingdings" w:hint="default"/>
      <w:color w:val="000000"/>
      <w:shd w:val="clear" w:color="auto" w:fill="FFFFFF"/>
    </w:rPr>
  </w:style>
  <w:style w:type="character" w:customStyle="1" w:styleId="RTFNum4062">
    <w:name w:val="RTF_Num 406 2"/>
    <w:basedOn w:val="Fuentedeprrafopredeter"/>
    <w:rsid w:val="00B15F7D"/>
    <w:rPr>
      <w:rFonts w:ascii="Wingdings" w:hAnsi="Wingdings" w:hint="default"/>
      <w:color w:val="000000"/>
      <w:shd w:val="clear" w:color="auto" w:fill="FFFFFF"/>
    </w:rPr>
  </w:style>
  <w:style w:type="character" w:customStyle="1" w:styleId="RTFNum4072">
    <w:name w:val="RTF_Num 407 2"/>
    <w:basedOn w:val="Fuentedeprrafopredeter"/>
    <w:rsid w:val="00B15F7D"/>
    <w:rPr>
      <w:rFonts w:ascii="Wingdings" w:hAnsi="Wingdings" w:hint="default"/>
      <w:color w:val="000000"/>
      <w:shd w:val="clear" w:color="auto" w:fill="FFFFFF"/>
    </w:rPr>
  </w:style>
  <w:style w:type="character" w:customStyle="1" w:styleId="RTFNum4082">
    <w:name w:val="RTF_Num 408 2"/>
    <w:basedOn w:val="Fuentedeprrafopredeter"/>
    <w:rsid w:val="00B15F7D"/>
    <w:rPr>
      <w:rFonts w:ascii="Symbol" w:hAnsi="Symbol" w:hint="default"/>
      <w:color w:val="000000"/>
      <w:shd w:val="clear" w:color="auto" w:fill="FFFFFF"/>
    </w:rPr>
  </w:style>
  <w:style w:type="character" w:customStyle="1" w:styleId="RTFNum4092">
    <w:name w:val="RTF_Num 409 2"/>
    <w:basedOn w:val="Fuentedeprrafopredeter"/>
    <w:rsid w:val="00B15F7D"/>
    <w:rPr>
      <w:rFonts w:ascii="Symbol" w:hAnsi="Symbol" w:hint="default"/>
      <w:color w:val="000000"/>
      <w:shd w:val="clear" w:color="auto" w:fill="FFFFFF"/>
    </w:rPr>
  </w:style>
  <w:style w:type="character" w:customStyle="1" w:styleId="RTFNum4102">
    <w:name w:val="RTF_Num 410 2"/>
    <w:basedOn w:val="Fuentedeprrafopredeter"/>
    <w:rsid w:val="00B15F7D"/>
    <w:rPr>
      <w:rFonts w:ascii="Symbol" w:hAnsi="Symbol" w:hint="default"/>
      <w:color w:val="000000"/>
      <w:shd w:val="clear" w:color="auto" w:fill="FFFFFF"/>
    </w:rPr>
  </w:style>
  <w:style w:type="character" w:customStyle="1" w:styleId="RTFNum4112">
    <w:name w:val="RTF_Num 411 2"/>
    <w:basedOn w:val="Fuentedeprrafopredeter"/>
    <w:rsid w:val="00B15F7D"/>
    <w:rPr>
      <w:rFonts w:ascii="Symbol" w:hAnsi="Symbol" w:hint="default"/>
      <w:color w:val="000000"/>
      <w:shd w:val="clear" w:color="auto" w:fill="FFFFFF"/>
    </w:rPr>
  </w:style>
  <w:style w:type="character" w:customStyle="1" w:styleId="RTFNum4122">
    <w:name w:val="RTF_Num 412 2"/>
    <w:basedOn w:val="Fuentedeprrafopredeter"/>
    <w:rsid w:val="00B15F7D"/>
    <w:rPr>
      <w:rFonts w:ascii="Symbol" w:hAnsi="Symbol" w:hint="default"/>
      <w:color w:val="000000"/>
      <w:shd w:val="clear" w:color="auto" w:fill="FFFFFF"/>
    </w:rPr>
  </w:style>
  <w:style w:type="character" w:customStyle="1" w:styleId="RTFNum4132">
    <w:name w:val="RTF_Num 413 2"/>
    <w:basedOn w:val="Fuentedeprrafopredeter"/>
    <w:rsid w:val="00B15F7D"/>
    <w:rPr>
      <w:rFonts w:ascii="Wingdings" w:hAnsi="Wingdings" w:hint="default"/>
      <w:color w:val="000000"/>
      <w:shd w:val="clear" w:color="auto" w:fill="FFFFFF"/>
    </w:rPr>
  </w:style>
  <w:style w:type="character" w:customStyle="1" w:styleId="RTFNum4142">
    <w:name w:val="RTF_Num 414 2"/>
    <w:basedOn w:val="Fuentedeprrafopredeter"/>
    <w:rsid w:val="00B15F7D"/>
    <w:rPr>
      <w:rFonts w:ascii="Wingdings" w:hAnsi="Wingdings" w:hint="default"/>
      <w:color w:val="000000"/>
      <w:shd w:val="clear" w:color="auto" w:fill="FFFFFF"/>
    </w:rPr>
  </w:style>
  <w:style w:type="character" w:customStyle="1" w:styleId="RTFNum4152">
    <w:name w:val="RTF_Num 415 2"/>
    <w:basedOn w:val="Fuentedeprrafopredeter"/>
    <w:rsid w:val="00B15F7D"/>
    <w:rPr>
      <w:rFonts w:ascii="Wingdings" w:hAnsi="Wingdings" w:hint="default"/>
      <w:color w:val="000000"/>
      <w:shd w:val="clear" w:color="auto" w:fill="FFFFFF"/>
    </w:rPr>
  </w:style>
  <w:style w:type="character" w:customStyle="1" w:styleId="RTFNum4162">
    <w:name w:val="RTF_Num 416 2"/>
    <w:basedOn w:val="Fuentedeprrafopredeter"/>
    <w:rsid w:val="00B15F7D"/>
    <w:rPr>
      <w:rFonts w:ascii="Wingdings" w:hAnsi="Wingdings" w:hint="default"/>
      <w:color w:val="000000"/>
      <w:shd w:val="clear" w:color="auto" w:fill="FFFFFF"/>
    </w:rPr>
  </w:style>
  <w:style w:type="character" w:customStyle="1" w:styleId="RTFNum4172">
    <w:name w:val="RTF_Num 417 2"/>
    <w:basedOn w:val="Fuentedeprrafopredeter"/>
    <w:rsid w:val="00B15F7D"/>
    <w:rPr>
      <w:rFonts w:ascii="Wingdings" w:hAnsi="Wingdings" w:hint="default"/>
      <w:color w:val="000000"/>
      <w:shd w:val="clear" w:color="auto" w:fill="FFFFFF"/>
    </w:rPr>
  </w:style>
  <w:style w:type="character" w:customStyle="1" w:styleId="RTFNum4182">
    <w:name w:val="RTF_Num 418 2"/>
    <w:basedOn w:val="Fuentedeprrafopredeter"/>
    <w:rsid w:val="00B15F7D"/>
    <w:rPr>
      <w:rFonts w:ascii="Wingdings" w:hAnsi="Wingdings" w:hint="default"/>
      <w:color w:val="000000"/>
      <w:shd w:val="clear" w:color="auto" w:fill="FFFFFF"/>
    </w:rPr>
  </w:style>
  <w:style w:type="character" w:customStyle="1" w:styleId="RTFNum4192">
    <w:name w:val="RTF_Num 419 2"/>
    <w:basedOn w:val="Fuentedeprrafopredeter"/>
    <w:rsid w:val="00B15F7D"/>
    <w:rPr>
      <w:rFonts w:ascii="Symbol" w:hAnsi="Symbol" w:hint="default"/>
      <w:color w:val="000000"/>
      <w:shd w:val="clear" w:color="auto" w:fill="FFFFFF"/>
    </w:rPr>
  </w:style>
  <w:style w:type="character" w:customStyle="1" w:styleId="RTFNum4202">
    <w:name w:val="RTF_Num 420 2"/>
    <w:basedOn w:val="Fuentedeprrafopredeter"/>
    <w:rsid w:val="00B15F7D"/>
    <w:rPr>
      <w:rFonts w:ascii="Symbol" w:hAnsi="Symbol" w:hint="default"/>
      <w:color w:val="000000"/>
      <w:shd w:val="clear" w:color="auto" w:fill="FFFFFF"/>
    </w:rPr>
  </w:style>
  <w:style w:type="character" w:customStyle="1" w:styleId="RTFNum4212">
    <w:name w:val="RTF_Num 421 2"/>
    <w:basedOn w:val="Fuentedeprrafopredeter"/>
    <w:rsid w:val="00B15F7D"/>
    <w:rPr>
      <w:rFonts w:ascii="Wingdings" w:hAnsi="Wingdings" w:hint="default"/>
      <w:color w:val="000000"/>
      <w:shd w:val="clear" w:color="auto" w:fill="FFFFFF"/>
    </w:rPr>
  </w:style>
  <w:style w:type="character" w:customStyle="1" w:styleId="RTFNum4222">
    <w:name w:val="RTF_Num 422 2"/>
    <w:basedOn w:val="Fuentedeprrafopredeter"/>
    <w:rsid w:val="00B15F7D"/>
    <w:rPr>
      <w:rFonts w:ascii="Wingdings" w:hAnsi="Wingdings" w:hint="default"/>
      <w:color w:val="000000"/>
      <w:shd w:val="clear" w:color="auto" w:fill="FFFFFF"/>
    </w:rPr>
  </w:style>
  <w:style w:type="character" w:customStyle="1" w:styleId="RTFNum4232">
    <w:name w:val="RTF_Num 423 2"/>
    <w:basedOn w:val="Fuentedeprrafopredeter"/>
    <w:rsid w:val="00B15F7D"/>
    <w:rPr>
      <w:rFonts w:ascii="Symbol" w:hAnsi="Symbol" w:hint="default"/>
      <w:color w:val="000000"/>
      <w:shd w:val="clear" w:color="auto" w:fill="FFFFFF"/>
    </w:rPr>
  </w:style>
  <w:style w:type="character" w:customStyle="1" w:styleId="RTFNum4242">
    <w:name w:val="RTF_Num 424 2"/>
    <w:basedOn w:val="Fuentedeprrafopredeter"/>
    <w:rsid w:val="00B15F7D"/>
    <w:rPr>
      <w:rFonts w:ascii="Wingdings" w:hAnsi="Wingdings" w:hint="default"/>
      <w:color w:val="000000"/>
      <w:shd w:val="clear" w:color="auto" w:fill="FFFFFF"/>
    </w:rPr>
  </w:style>
  <w:style w:type="character" w:customStyle="1" w:styleId="RTFNum4252">
    <w:name w:val="RTF_Num 425 2"/>
    <w:basedOn w:val="Fuentedeprrafopredeter"/>
    <w:rsid w:val="00B15F7D"/>
    <w:rPr>
      <w:rFonts w:ascii="Wingdings" w:hAnsi="Wingdings" w:hint="default"/>
      <w:color w:val="000000"/>
      <w:shd w:val="clear" w:color="auto" w:fill="FFFFFF"/>
    </w:rPr>
  </w:style>
  <w:style w:type="character" w:customStyle="1" w:styleId="RTFNum4262">
    <w:name w:val="RTF_Num 426 2"/>
    <w:basedOn w:val="Fuentedeprrafopredeter"/>
    <w:rsid w:val="00B15F7D"/>
    <w:rPr>
      <w:rFonts w:ascii="Symbol" w:hAnsi="Symbol" w:hint="default"/>
      <w:color w:val="000000"/>
      <w:shd w:val="clear" w:color="auto" w:fill="FFFFFF"/>
    </w:rPr>
  </w:style>
  <w:style w:type="character" w:customStyle="1" w:styleId="RTFNum4272">
    <w:name w:val="RTF_Num 427 2"/>
    <w:basedOn w:val="Fuentedeprrafopredeter"/>
    <w:rsid w:val="00B15F7D"/>
    <w:rPr>
      <w:rFonts w:ascii="Wingdings" w:hAnsi="Wingdings" w:hint="default"/>
      <w:color w:val="000000"/>
      <w:shd w:val="clear" w:color="auto" w:fill="FFFFFF"/>
    </w:rPr>
  </w:style>
  <w:style w:type="character" w:customStyle="1" w:styleId="RTFNum4282">
    <w:name w:val="RTF_Num 428 2"/>
    <w:basedOn w:val="Fuentedeprrafopredeter"/>
    <w:rsid w:val="00B15F7D"/>
    <w:rPr>
      <w:rFonts w:ascii="Symbol" w:hAnsi="Symbol" w:hint="default"/>
      <w:color w:val="000000"/>
      <w:shd w:val="clear" w:color="auto" w:fill="FFFFFF"/>
    </w:rPr>
  </w:style>
  <w:style w:type="character" w:customStyle="1" w:styleId="RTFNum4292">
    <w:name w:val="RTF_Num 429 2"/>
    <w:basedOn w:val="Fuentedeprrafopredeter"/>
    <w:rsid w:val="00B15F7D"/>
    <w:rPr>
      <w:rFonts w:ascii="Symbol" w:hAnsi="Symbol" w:hint="default"/>
      <w:color w:val="000000"/>
      <w:shd w:val="clear" w:color="auto" w:fill="FFFFFF"/>
    </w:rPr>
  </w:style>
  <w:style w:type="character" w:customStyle="1" w:styleId="RTFNum52">
    <w:name w:val="RTF_Num 5 2"/>
    <w:basedOn w:val="Fuentedeprrafopredeter"/>
    <w:rsid w:val="00B15F7D"/>
    <w:rPr>
      <w:rFonts w:ascii="Wingdings" w:hAnsi="Wingdings" w:hint="default"/>
      <w:color w:val="000000"/>
      <w:u w:val="single"/>
      <w:shd w:val="clear" w:color="auto" w:fill="FFFFFF"/>
    </w:rPr>
  </w:style>
  <w:style w:type="character" w:customStyle="1" w:styleId="RTFNum62">
    <w:name w:val="RTF_Num 6 2"/>
    <w:basedOn w:val="Fuentedeprrafopredeter"/>
    <w:rsid w:val="00B15F7D"/>
    <w:rPr>
      <w:rFonts w:ascii="Wingdings" w:hAnsi="Wingdings" w:hint="default"/>
      <w:color w:val="000000"/>
      <w:u w:val="single"/>
      <w:shd w:val="clear" w:color="auto" w:fill="FFFFFF"/>
    </w:rPr>
  </w:style>
  <w:style w:type="character" w:customStyle="1" w:styleId="RTFNum72">
    <w:name w:val="RTF_Num 7 2"/>
    <w:basedOn w:val="Fuentedeprrafopredeter"/>
    <w:rsid w:val="00B15F7D"/>
    <w:rPr>
      <w:rFonts w:ascii="Wingdings" w:hAnsi="Wingdings" w:hint="default"/>
      <w:color w:val="000000"/>
      <w:u w:val="single"/>
      <w:shd w:val="clear" w:color="auto" w:fill="FFFFFF"/>
    </w:rPr>
  </w:style>
  <w:style w:type="character" w:customStyle="1" w:styleId="NumberingSymbols">
    <w:name w:val="Numbering Symbols"/>
    <w:basedOn w:val="Fuentedeprrafopredeter"/>
    <w:rsid w:val="00B15F7D"/>
    <w:rPr>
      <w:rFonts w:ascii="Arial" w:hAnsi="Arial" w:cs="Arial" w:hint="default"/>
      <w:color w:val="000000"/>
      <w:u w:val="single"/>
      <w:shd w:val="clear" w:color="auto" w:fill="FFFFFF"/>
    </w:rPr>
  </w:style>
  <w:style w:type="character" w:customStyle="1" w:styleId="RTFNum102">
    <w:name w:val="RTF_Num 10 2"/>
    <w:basedOn w:val="Fuentedeprrafopredeter"/>
    <w:rsid w:val="00B15F7D"/>
    <w:rPr>
      <w:rFonts w:ascii="Symbol" w:hAnsi="Symbol" w:hint="default"/>
      <w:color w:val="000000"/>
      <w:u w:val="single"/>
      <w:shd w:val="clear" w:color="auto" w:fill="FFFFFF"/>
    </w:rPr>
  </w:style>
  <w:style w:type="character" w:customStyle="1" w:styleId="RTFNum92">
    <w:name w:val="RTF_Num 9 2"/>
    <w:basedOn w:val="Fuentedeprrafopredeter"/>
    <w:rsid w:val="00B15F7D"/>
    <w:rPr>
      <w:rFonts w:ascii="Symbol" w:hAnsi="Symbol" w:hint="default"/>
      <w:color w:val="000000"/>
      <w:u w:val="single"/>
      <w:shd w:val="clear" w:color="auto" w:fill="FFFFFF"/>
    </w:rPr>
  </w:style>
  <w:style w:type="character" w:customStyle="1" w:styleId="RTFNum112">
    <w:name w:val="RTF_Num 11 2"/>
    <w:basedOn w:val="Fuentedeprrafopredeter"/>
    <w:rsid w:val="00B15F7D"/>
    <w:rPr>
      <w:rFonts w:ascii="Symbol" w:hAnsi="Symbol" w:hint="default"/>
      <w:color w:val="000000"/>
      <w:u w:val="single"/>
      <w:shd w:val="clear" w:color="auto" w:fill="FFFFFF"/>
    </w:rPr>
  </w:style>
  <w:style w:type="character" w:customStyle="1" w:styleId="RTFNum172">
    <w:name w:val="RTF_Num 17 2"/>
    <w:basedOn w:val="Fuentedeprrafopredeter"/>
    <w:rsid w:val="00B15F7D"/>
    <w:rPr>
      <w:rFonts w:ascii="Symbol" w:hAnsi="Symbol" w:hint="default"/>
      <w:color w:val="000000"/>
      <w:u w:val="single"/>
      <w:shd w:val="clear" w:color="auto" w:fill="FFFFFF"/>
    </w:rPr>
  </w:style>
  <w:style w:type="character" w:customStyle="1" w:styleId="RTFNum202">
    <w:name w:val="RTF_Num 20 2"/>
    <w:basedOn w:val="Fuentedeprrafopredeter"/>
    <w:rsid w:val="00B15F7D"/>
    <w:rPr>
      <w:rFonts w:ascii="Symbol" w:hAnsi="Symbol" w:hint="default"/>
      <w:color w:val="000000"/>
      <w:u w:val="single"/>
      <w:shd w:val="clear" w:color="auto" w:fill="FFFFFF"/>
    </w:rPr>
  </w:style>
  <w:style w:type="character" w:customStyle="1" w:styleId="RTFNum222">
    <w:name w:val="RTF_Num 22 2"/>
    <w:basedOn w:val="Fuentedeprrafopredeter"/>
    <w:rsid w:val="00B15F7D"/>
    <w:rPr>
      <w:rFonts w:ascii="Symbol" w:hAnsi="Symbol" w:hint="default"/>
      <w:color w:val="000000"/>
      <w:u w:val="single"/>
      <w:shd w:val="clear" w:color="auto" w:fill="FFFFFF"/>
    </w:rPr>
  </w:style>
  <w:style w:type="character" w:customStyle="1" w:styleId="RTFNum232">
    <w:name w:val="RTF_Num 23 2"/>
    <w:basedOn w:val="Fuentedeprrafopredeter"/>
    <w:rsid w:val="00B15F7D"/>
    <w:rPr>
      <w:rFonts w:ascii="Symbol" w:hAnsi="Symbol" w:hint="default"/>
      <w:color w:val="000000"/>
      <w:u w:val="single"/>
      <w:shd w:val="clear" w:color="auto" w:fill="FFFFFF"/>
    </w:rPr>
  </w:style>
  <w:style w:type="character" w:customStyle="1" w:styleId="RTFNum252">
    <w:name w:val="RTF_Num 25 2"/>
    <w:basedOn w:val="Fuentedeprrafopredeter"/>
    <w:rsid w:val="00B15F7D"/>
    <w:rPr>
      <w:rFonts w:ascii="Wingdings" w:hAnsi="Wingdings" w:hint="default"/>
      <w:color w:val="000000"/>
      <w:u w:val="single"/>
      <w:shd w:val="clear" w:color="auto" w:fill="FFFFFF"/>
    </w:rPr>
  </w:style>
  <w:style w:type="character" w:customStyle="1" w:styleId="RTFNum312">
    <w:name w:val="RTF_Num 31 2"/>
    <w:basedOn w:val="Fuentedeprrafopredeter"/>
    <w:rsid w:val="00B15F7D"/>
    <w:rPr>
      <w:rFonts w:ascii="Symbol" w:hAnsi="Symbol" w:hint="default"/>
      <w:color w:val="000000"/>
      <w:u w:val="single"/>
      <w:shd w:val="clear" w:color="auto" w:fill="FFFFFF"/>
    </w:rPr>
  </w:style>
  <w:style w:type="character" w:customStyle="1" w:styleId="RTFNum332">
    <w:name w:val="RTF_Num 33 2"/>
    <w:basedOn w:val="Fuentedeprrafopredeter"/>
    <w:rsid w:val="00B15F7D"/>
    <w:rPr>
      <w:rFonts w:ascii="Wingdings" w:hAnsi="Wingdings" w:hint="default"/>
      <w:color w:val="000000"/>
      <w:u w:val="single"/>
      <w:shd w:val="clear" w:color="auto" w:fill="FFFFFF"/>
    </w:rPr>
  </w:style>
  <w:style w:type="character" w:customStyle="1" w:styleId="RTFNum372">
    <w:name w:val="RTF_Num 37 2"/>
    <w:basedOn w:val="Fuentedeprrafopredeter"/>
    <w:rsid w:val="00B15F7D"/>
    <w:rPr>
      <w:rFonts w:ascii="Symbol" w:hAnsi="Symbol" w:hint="default"/>
      <w:color w:val="000000"/>
      <w:u w:val="single"/>
      <w:shd w:val="clear" w:color="auto" w:fill="FFFFFF"/>
    </w:rPr>
  </w:style>
  <w:style w:type="character" w:customStyle="1" w:styleId="RTFNum432">
    <w:name w:val="RTF_Num 43 2"/>
    <w:basedOn w:val="Fuentedeprrafopredeter"/>
    <w:rsid w:val="00B15F7D"/>
    <w:rPr>
      <w:rFonts w:ascii="Symbol" w:hAnsi="Symbol" w:hint="default"/>
      <w:color w:val="000000"/>
      <w:u w:val="single"/>
      <w:shd w:val="clear" w:color="auto" w:fill="FFFFFF"/>
    </w:rPr>
  </w:style>
  <w:style w:type="character" w:customStyle="1" w:styleId="RTFNum1142">
    <w:name w:val="RTF_Num 114 2"/>
    <w:basedOn w:val="Fuentedeprrafopredeter"/>
    <w:rsid w:val="00B15F7D"/>
    <w:rPr>
      <w:rFonts w:ascii="Symbol" w:hAnsi="Symbol" w:hint="default"/>
      <w:color w:val="000000"/>
      <w:u w:val="single"/>
      <w:shd w:val="clear" w:color="auto" w:fill="FFFFFF"/>
    </w:rPr>
  </w:style>
  <w:style w:type="character" w:customStyle="1" w:styleId="RTFNum1162">
    <w:name w:val="RTF_Num 116 2"/>
    <w:basedOn w:val="Fuentedeprrafopredeter"/>
    <w:rsid w:val="00B15F7D"/>
    <w:rPr>
      <w:rFonts w:ascii="Symbol" w:hAnsi="Symbol" w:hint="default"/>
      <w:color w:val="000000"/>
      <w:u w:val="single"/>
      <w:shd w:val="clear" w:color="auto" w:fill="FFFFFF"/>
    </w:rPr>
  </w:style>
  <w:style w:type="character" w:customStyle="1" w:styleId="RTFNum1242">
    <w:name w:val="RTF_Num 124 2"/>
    <w:basedOn w:val="Fuentedeprrafopredeter"/>
    <w:rsid w:val="00B15F7D"/>
    <w:rPr>
      <w:rFonts w:ascii="Symbol" w:hAnsi="Symbol" w:hint="default"/>
      <w:color w:val="000000"/>
      <w:u w:val="single"/>
      <w:shd w:val="clear" w:color="auto" w:fill="FFFFFF"/>
    </w:rPr>
  </w:style>
  <w:style w:type="character" w:customStyle="1" w:styleId="RTFNum1252">
    <w:name w:val="RTF_Num 125 2"/>
    <w:basedOn w:val="Fuentedeprrafopredeter"/>
    <w:rsid w:val="00B15F7D"/>
    <w:rPr>
      <w:rFonts w:ascii="Symbol" w:hAnsi="Symbol" w:hint="default"/>
      <w:color w:val="000000"/>
      <w:u w:val="single"/>
      <w:shd w:val="clear" w:color="auto" w:fill="FFFFFF"/>
    </w:rPr>
  </w:style>
  <w:style w:type="character" w:customStyle="1" w:styleId="RTFNum1272">
    <w:name w:val="RTF_Num 127 2"/>
    <w:basedOn w:val="Fuentedeprrafopredeter"/>
    <w:rsid w:val="00B15F7D"/>
    <w:rPr>
      <w:rFonts w:ascii="Symbol" w:hAnsi="Symbol" w:hint="default"/>
      <w:color w:val="000000"/>
      <w:u w:val="single"/>
      <w:shd w:val="clear" w:color="auto" w:fill="FFFFFF"/>
    </w:rPr>
  </w:style>
  <w:style w:type="character" w:customStyle="1" w:styleId="RTFNum1282">
    <w:name w:val="RTF_Num 128 2"/>
    <w:basedOn w:val="Fuentedeprrafopredeter"/>
    <w:rsid w:val="00B15F7D"/>
    <w:rPr>
      <w:rFonts w:ascii="Symbol" w:hAnsi="Symbol" w:hint="default"/>
      <w:color w:val="000000"/>
      <w:u w:val="single"/>
      <w:shd w:val="clear" w:color="auto" w:fill="FFFFFF"/>
    </w:rPr>
  </w:style>
  <w:style w:type="character" w:customStyle="1" w:styleId="EstiloCorreo15">
    <w:name w:val="EstiloCorreo15"/>
    <w:basedOn w:val="Fuentedeprrafopredeter"/>
    <w:rsid w:val="00B15F7D"/>
    <w:rPr>
      <w:rFonts w:ascii="Arial" w:hAnsi="Arial" w:cs="Arial" w:hint="default"/>
      <w:color w:val="000080"/>
    </w:rPr>
  </w:style>
  <w:style w:type="character" w:customStyle="1" w:styleId="srtitle1">
    <w:name w:val="srtitle1"/>
    <w:basedOn w:val="Fuentedeprrafopredeter"/>
    <w:rsid w:val="00B15F7D"/>
    <w:rPr>
      <w:b/>
      <w:bCs/>
    </w:rPr>
  </w:style>
  <w:style w:type="character" w:customStyle="1" w:styleId="resultindex2">
    <w:name w:val="resultindex2"/>
    <w:basedOn w:val="Fuentedeprrafopredeter"/>
    <w:rsid w:val="00B15F7D"/>
    <w:rPr>
      <w:color w:val="000000"/>
    </w:rPr>
  </w:style>
  <w:style w:type="character" w:customStyle="1" w:styleId="bindingblock1">
    <w:name w:val="bindingblock1"/>
    <w:basedOn w:val="Fuentedeprrafopredeter"/>
    <w:rsid w:val="00B15F7D"/>
  </w:style>
  <w:style w:type="character" w:customStyle="1" w:styleId="binding1">
    <w:name w:val="binding1"/>
    <w:basedOn w:val="Fuentedeprrafopredeter"/>
    <w:rsid w:val="00B15F7D"/>
    <w:rPr>
      <w:b/>
      <w:bCs/>
    </w:rPr>
  </w:style>
  <w:style w:type="character" w:customStyle="1" w:styleId="postbody1">
    <w:name w:val="postbody1"/>
    <w:basedOn w:val="Fuentedeprrafopredeter"/>
    <w:rsid w:val="00B15F7D"/>
  </w:style>
  <w:style w:type="character" w:customStyle="1" w:styleId="RTFNum41">
    <w:name w:val="RTF_Num 4 1"/>
    <w:basedOn w:val="Fuentedeprrafopredeter"/>
    <w:rsid w:val="00B15F7D"/>
    <w:rPr>
      <w:rFonts w:ascii="Symbol" w:hAnsi="Symbol" w:hint="default"/>
      <w:color w:val="000000"/>
      <w:shd w:val="clear" w:color="auto" w:fill="FFFFFF"/>
    </w:rPr>
  </w:style>
  <w:style w:type="character" w:customStyle="1" w:styleId="RTFNum43">
    <w:name w:val="RTF_Num 4 3"/>
    <w:basedOn w:val="Fuentedeprrafopredeter"/>
    <w:rsid w:val="00B15F7D"/>
    <w:rPr>
      <w:rFonts w:ascii="Wingdings" w:hAnsi="Wingdings" w:hint="default"/>
      <w:color w:val="000000"/>
      <w:shd w:val="clear" w:color="auto" w:fill="FFFFFF"/>
    </w:rPr>
  </w:style>
  <w:style w:type="character" w:customStyle="1" w:styleId="RTFNum44">
    <w:name w:val="RTF_Num 4 4"/>
    <w:basedOn w:val="Fuentedeprrafopredeter"/>
    <w:rsid w:val="00B15F7D"/>
    <w:rPr>
      <w:rFonts w:ascii="Symbol" w:hAnsi="Symbol" w:hint="default"/>
      <w:color w:val="000000"/>
      <w:shd w:val="clear" w:color="auto" w:fill="FFFFFF"/>
    </w:rPr>
  </w:style>
  <w:style w:type="character" w:customStyle="1" w:styleId="RTFNum45">
    <w:name w:val="RTF_Num 4 5"/>
    <w:basedOn w:val="Fuentedeprrafopredeter"/>
    <w:rsid w:val="00B15F7D"/>
    <w:rPr>
      <w:rFonts w:ascii="Courier New" w:hAnsi="Courier New" w:cs="Courier New" w:hint="default"/>
      <w:color w:val="000000"/>
      <w:shd w:val="clear" w:color="auto" w:fill="FFFFFF"/>
    </w:rPr>
  </w:style>
  <w:style w:type="character" w:customStyle="1" w:styleId="RTFNum46">
    <w:name w:val="RTF_Num 4 6"/>
    <w:basedOn w:val="Fuentedeprrafopredeter"/>
    <w:rsid w:val="00B15F7D"/>
    <w:rPr>
      <w:rFonts w:ascii="Wingdings" w:hAnsi="Wingdings" w:hint="default"/>
      <w:color w:val="000000"/>
      <w:shd w:val="clear" w:color="auto" w:fill="FFFFFF"/>
    </w:rPr>
  </w:style>
  <w:style w:type="character" w:customStyle="1" w:styleId="RTFNum47">
    <w:name w:val="RTF_Num 4 7"/>
    <w:basedOn w:val="Fuentedeprrafopredeter"/>
    <w:rsid w:val="00B15F7D"/>
    <w:rPr>
      <w:rFonts w:ascii="Symbol" w:hAnsi="Symbol" w:hint="default"/>
      <w:color w:val="000000"/>
      <w:shd w:val="clear" w:color="auto" w:fill="FFFFFF"/>
    </w:rPr>
  </w:style>
  <w:style w:type="character" w:customStyle="1" w:styleId="RTFNum48">
    <w:name w:val="RTF_Num 4 8"/>
    <w:basedOn w:val="Fuentedeprrafopredeter"/>
    <w:rsid w:val="00B15F7D"/>
    <w:rPr>
      <w:rFonts w:ascii="Courier New" w:hAnsi="Courier New" w:cs="Courier New" w:hint="default"/>
      <w:color w:val="000000"/>
      <w:shd w:val="clear" w:color="auto" w:fill="FFFFFF"/>
    </w:rPr>
  </w:style>
  <w:style w:type="character" w:customStyle="1" w:styleId="RTFNum49">
    <w:name w:val="RTF_Num 4 9"/>
    <w:basedOn w:val="Fuentedeprrafopredeter"/>
    <w:rsid w:val="00B15F7D"/>
    <w:rPr>
      <w:rFonts w:ascii="Wingdings" w:hAnsi="Wingdings" w:hint="default"/>
      <w:color w:val="000000"/>
      <w:shd w:val="clear" w:color="auto" w:fill="FFFFFF"/>
    </w:rPr>
  </w:style>
  <w:style w:type="character" w:customStyle="1" w:styleId="RTFNum3249">
    <w:name w:val="RTF_Num 324 9"/>
    <w:basedOn w:val="Fuentedeprrafopredeter"/>
    <w:rsid w:val="00B15F7D"/>
    <w:rPr>
      <w:rFonts w:ascii="Wingdings" w:hAnsi="Wingdings" w:hint="default"/>
    </w:rPr>
  </w:style>
  <w:style w:type="character" w:customStyle="1" w:styleId="RTFNum3377">
    <w:name w:val="RTF_Num 337 7"/>
    <w:basedOn w:val="Fuentedeprrafopredeter"/>
    <w:rsid w:val="00B15F7D"/>
    <w:rPr>
      <w:rFonts w:ascii="Symbol" w:hAnsi="Symbol" w:hint="default"/>
    </w:rPr>
  </w:style>
  <w:style w:type="character" w:customStyle="1" w:styleId="EstiloCorreo149">
    <w:name w:val="EstiloCorreo149"/>
    <w:basedOn w:val="Fuentedeprrafopredeter"/>
    <w:rsid w:val="00B15F7D"/>
    <w:rPr>
      <w:rFonts w:ascii="Arial" w:hAnsi="Arial" w:cs="Arial" w:hint="default"/>
      <w:color w:val="auto"/>
    </w:rPr>
  </w:style>
  <w:style w:type="character" w:customStyle="1" w:styleId="Refdecomentario4">
    <w:name w:val="Ref. de comentario4"/>
    <w:basedOn w:val="Fuentedeprrafopredeter"/>
    <w:uiPriority w:val="99"/>
    <w:rsid w:val="00B15F7D"/>
  </w:style>
  <w:style w:type="character" w:customStyle="1" w:styleId="wT1">
    <w:name w:val="wT1"/>
    <w:basedOn w:val="Fuentedeprrafopredeter"/>
    <w:rsid w:val="00B15F7D"/>
    <w:rPr>
      <w:b w:val="0"/>
      <w:bCs w:val="0"/>
    </w:rPr>
  </w:style>
  <w:style w:type="character" w:customStyle="1" w:styleId="EstiloCorreo1578">
    <w:name w:val="EstiloCorreo1578"/>
    <w:basedOn w:val="Fuentedeprrafopredeter"/>
    <w:rsid w:val="00B15F7D"/>
    <w:rPr>
      <w:rFonts w:ascii="Arial" w:hAnsi="Arial" w:cs="Arial" w:hint="default"/>
      <w:color w:val="000080"/>
    </w:rPr>
  </w:style>
  <w:style w:type="character" w:customStyle="1" w:styleId="Mencinsinresolver4">
    <w:name w:val="Mención sin resolver4"/>
    <w:basedOn w:val="Fuentedeprrafopredeter"/>
    <w:uiPriority w:val="99"/>
    <w:rsid w:val="00B15F7D"/>
    <w:rPr>
      <w:color w:val="605E5C"/>
      <w:shd w:val="clear" w:color="auto" w:fill="E1DFDD"/>
    </w:rPr>
  </w:style>
  <w:style w:type="character" w:customStyle="1" w:styleId="Mencinsinresolver5">
    <w:name w:val="Mención sin resolver5"/>
    <w:basedOn w:val="Fuentedeprrafopredeter"/>
    <w:uiPriority w:val="99"/>
    <w:rsid w:val="00B15F7D"/>
    <w:rPr>
      <w:color w:val="605E5C"/>
      <w:shd w:val="clear" w:color="auto" w:fill="E1DFDD"/>
    </w:rPr>
  </w:style>
  <w:style w:type="character" w:customStyle="1" w:styleId="FirmadecorreoelectrnicoCar2">
    <w:name w:val="Firma de correo electrónico Car2"/>
    <w:basedOn w:val="Fuentedeprrafopredeter"/>
    <w:rsid w:val="00B15F7D"/>
    <w:rPr>
      <w:lang w:eastAsia="ar-SA"/>
    </w:rPr>
  </w:style>
  <w:style w:type="character" w:customStyle="1" w:styleId="Mencinsinresolver6">
    <w:name w:val="Mención sin resolver6"/>
    <w:basedOn w:val="Fuentedeprrafopredeter"/>
    <w:uiPriority w:val="99"/>
    <w:rsid w:val="00B15F7D"/>
    <w:rPr>
      <w:color w:val="605E5C"/>
      <w:shd w:val="clear" w:color="auto" w:fill="E1DFDD"/>
    </w:rPr>
  </w:style>
  <w:style w:type="character" w:customStyle="1" w:styleId="Mencinsinresolver7">
    <w:name w:val="Mención sin resolver7"/>
    <w:basedOn w:val="Fuentedeprrafopredeter"/>
    <w:uiPriority w:val="99"/>
    <w:rsid w:val="00B15F7D"/>
    <w:rPr>
      <w:color w:val="605E5C"/>
      <w:shd w:val="clear" w:color="auto" w:fill="E1DFDD"/>
    </w:rPr>
  </w:style>
  <w:style w:type="character" w:customStyle="1" w:styleId="Mencinsinresolver8">
    <w:name w:val="Mención sin resolver8"/>
    <w:basedOn w:val="Fuentedeprrafopredeter"/>
    <w:uiPriority w:val="99"/>
    <w:rsid w:val="00B15F7D"/>
    <w:rPr>
      <w:color w:val="605E5C"/>
      <w:shd w:val="clear" w:color="auto" w:fill="E1DFDD"/>
    </w:rPr>
  </w:style>
  <w:style w:type="character" w:customStyle="1" w:styleId="TextonotapieCar4">
    <w:name w:val="Texto nota pie Car4"/>
    <w:basedOn w:val="Fuentedeprrafopredeter"/>
    <w:uiPriority w:val="99"/>
    <w:locked/>
    <w:rsid w:val="00B15F7D"/>
    <w:rPr>
      <w:rFonts w:ascii="Calibri" w:eastAsia="Calibri" w:hAnsi="Calibri" w:cs="Calibri" w:hint="default"/>
      <w:sz w:val="22"/>
      <w:szCs w:val="22"/>
      <w:lang w:eastAsia="es-ES"/>
    </w:rPr>
  </w:style>
  <w:style w:type="character" w:customStyle="1" w:styleId="EncabezadoCar4">
    <w:name w:val="Encabezado Car4"/>
    <w:basedOn w:val="Fuentedeprrafopredeter"/>
    <w:uiPriority w:val="99"/>
    <w:locked/>
    <w:rsid w:val="00B15F7D"/>
    <w:rPr>
      <w:rFonts w:ascii="Calibri" w:eastAsia="Calibri" w:hAnsi="Calibri" w:cs="Calibri" w:hint="default"/>
      <w:sz w:val="22"/>
      <w:szCs w:val="22"/>
      <w:lang w:eastAsia="es-ES"/>
    </w:rPr>
  </w:style>
  <w:style w:type="character" w:customStyle="1" w:styleId="Mencinsinresolver9">
    <w:name w:val="Mención sin resolver9"/>
    <w:basedOn w:val="Fuentedeprrafopredeter"/>
    <w:uiPriority w:val="99"/>
    <w:rsid w:val="00B15F7D"/>
    <w:rPr>
      <w:color w:val="605E5C"/>
      <w:shd w:val="clear" w:color="auto" w:fill="E1DFDD"/>
    </w:rPr>
  </w:style>
  <w:style w:type="character" w:customStyle="1" w:styleId="Mencinsinresolver10">
    <w:name w:val="Mención sin resolver10"/>
    <w:basedOn w:val="Fuentedeprrafopredeter"/>
    <w:uiPriority w:val="99"/>
    <w:rsid w:val="00B15F7D"/>
    <w:rPr>
      <w:color w:val="605E5C"/>
      <w:shd w:val="clear" w:color="auto" w:fill="E1DFDD"/>
    </w:rPr>
  </w:style>
  <w:style w:type="character" w:customStyle="1" w:styleId="style2110">
    <w:name w:val="style211"/>
    <w:basedOn w:val="Fuentedeprrafopredeter"/>
    <w:rsid w:val="00B15F7D"/>
    <w:rPr>
      <w:rFonts w:ascii="Times New Roman" w:hAnsi="Times New Roman" w:cs="Times New Roman" w:hint="default"/>
    </w:rPr>
  </w:style>
  <w:style w:type="character" w:customStyle="1" w:styleId="style631">
    <w:name w:val="style631"/>
    <w:basedOn w:val="Fuentedeprrafopredeter"/>
    <w:rsid w:val="00B15F7D"/>
    <w:rPr>
      <w:sz w:val="28"/>
      <w:szCs w:val="28"/>
    </w:rPr>
  </w:style>
  <w:style w:type="character" w:customStyle="1" w:styleId="estilocorreo1301">
    <w:name w:val="estilocorreo1301"/>
    <w:basedOn w:val="Fuentedeprrafopredeter"/>
    <w:rsid w:val="00B15F7D"/>
    <w:rPr>
      <w:rFonts w:ascii="Times New Roman" w:hAnsi="Times New Roman" w:cs="Times New Roman" w:hint="default"/>
      <w:b w:val="0"/>
      <w:bCs w:val="0"/>
      <w:i w:val="0"/>
      <w:iCs w:val="0"/>
      <w:color w:val="auto"/>
    </w:rPr>
  </w:style>
  <w:style w:type="character" w:customStyle="1" w:styleId="estilocorreo261">
    <w:name w:val="estilocorreo261"/>
    <w:basedOn w:val="Fuentedeprrafopredeter"/>
    <w:uiPriority w:val="99"/>
    <w:rsid w:val="00B15F7D"/>
    <w:rPr>
      <w:rFonts w:ascii="Calibri" w:hAnsi="Calibri" w:cs="Calibri" w:hint="default"/>
      <w:color w:val="auto"/>
    </w:rPr>
  </w:style>
  <w:style w:type="character" w:customStyle="1" w:styleId="estilocorreo3543">
    <w:name w:val="estilocorreo3543"/>
    <w:basedOn w:val="Fuentedeprrafopredeter"/>
    <w:rsid w:val="00B15F7D"/>
    <w:rPr>
      <w:rFonts w:ascii="Calibri" w:hAnsi="Calibri" w:cs="Calibri" w:hint="default"/>
      <w:color w:val="auto"/>
    </w:rPr>
  </w:style>
  <w:style w:type="character" w:customStyle="1" w:styleId="estilocorreo3652">
    <w:name w:val="estilocorreo3652"/>
    <w:basedOn w:val="Fuentedeprrafopredeter"/>
    <w:rsid w:val="00B15F7D"/>
    <w:rPr>
      <w:rFonts w:ascii="Calibri" w:eastAsia="Calibri" w:hAnsi="Calibri" w:cs="Times New Roman" w:hint="default"/>
      <w:color w:val="auto"/>
      <w:sz w:val="22"/>
      <w:szCs w:val="22"/>
    </w:rPr>
  </w:style>
  <w:style w:type="character" w:customStyle="1" w:styleId="wvargcal">
    <w:name w:val="wvargcal"/>
    <w:rsid w:val="00B15F7D"/>
    <w:rPr>
      <w:rFonts w:ascii="Arial" w:hAnsi="Arial" w:cs="Arial" w:hint="default"/>
      <w:color w:val="auto"/>
      <w:sz w:val="20"/>
      <w:szCs w:val="20"/>
    </w:rPr>
  </w:style>
  <w:style w:type="table" w:styleId="Listamedia2-nfasis1">
    <w:name w:val="Medium List 2 Accent 1"/>
    <w:basedOn w:val="Tablanormal"/>
    <w:uiPriority w:val="99"/>
    <w:unhideWhenUsed/>
    <w:rsid w:val="00B15F7D"/>
    <w:pPr>
      <w:spacing w:after="0" w:line="240" w:lineRule="auto"/>
    </w:pPr>
    <w:rPr>
      <w:rFonts w:ascii="Cambria" w:eastAsia="Times New Roman" w:hAnsi="Cambria" w:cs="Times New Roman"/>
      <w:color w:val="000000"/>
      <w:sz w:val="20"/>
      <w:szCs w:val="20"/>
      <w:lang w:val="es-ES"/>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rFonts w:ascii="@Malgun Gothic" w:eastAsia="@Malgun Gothic" w:hAnsi="@Malgun Gothic" w:cs="Times New Roman" w:hint="eastAsia"/>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ascii="@Malgun Gothic" w:eastAsia="@Malgun Gothic" w:hAnsi="@Malgun Gothic" w:cs="Times New Roman" w:hint="eastAsia"/>
      </w:rPr>
      <w:tblPr/>
      <w:tcPr>
        <w:tcBorders>
          <w:top w:val="single" w:sz="8" w:space="0" w:color="4F81BD"/>
          <w:left w:val="nil"/>
          <w:bottom w:val="nil"/>
          <w:right w:val="nil"/>
          <w:insideH w:val="nil"/>
          <w:insideV w:val="nil"/>
        </w:tcBorders>
        <w:shd w:val="clear" w:color="auto" w:fill="FFFFFF"/>
      </w:tcPr>
    </w:tblStylePr>
    <w:tblStylePr w:type="firstCol">
      <w:rPr>
        <w:rFonts w:ascii="@Malgun Gothic" w:eastAsia="@Malgun Gothic" w:hAnsi="@Malgun Gothic" w:cs="Times New Roman" w:hint="eastAsia"/>
      </w:rPr>
      <w:tblPr/>
      <w:tcPr>
        <w:tcBorders>
          <w:top w:val="nil"/>
          <w:left w:val="nil"/>
          <w:bottom w:val="nil"/>
          <w:right w:val="single" w:sz="8" w:space="0" w:color="4F81BD"/>
          <w:insideH w:val="nil"/>
          <w:insideV w:val="nil"/>
        </w:tcBorders>
        <w:shd w:val="clear" w:color="auto" w:fill="FFFFFF"/>
      </w:tcPr>
    </w:tblStylePr>
    <w:tblStylePr w:type="lastCol">
      <w:rPr>
        <w:rFonts w:ascii="@Malgun Gothic" w:eastAsia="@Malgun Gothic" w:hAnsi="@Malgun Gothic" w:cs="Times New Roman" w:hint="eastAsia"/>
      </w:rPr>
      <w:tblPr/>
      <w:tcPr>
        <w:tcBorders>
          <w:top w:val="nil"/>
          <w:left w:val="single" w:sz="8" w:space="0" w:color="4F81BD"/>
          <w:bottom w:val="nil"/>
          <w:right w:val="nil"/>
          <w:insideH w:val="nil"/>
          <w:insideV w:val="nil"/>
        </w:tcBorders>
        <w:shd w:val="clear" w:color="auto" w:fill="FFFFFF"/>
      </w:tcPr>
    </w:tblStylePr>
    <w:tblStylePr w:type="band1Vert">
      <w:rPr>
        <w:rFonts w:ascii="@Malgun Gothic" w:eastAsia="@Malgun Gothic" w:hAnsi="@Malgun Gothic" w:cs="Times New Roman" w:hint="eastAsia"/>
      </w:rPr>
      <w:tblPr/>
      <w:tcPr>
        <w:tcBorders>
          <w:left w:val="nil"/>
          <w:right w:val="nil"/>
          <w:insideH w:val="nil"/>
          <w:insideV w:val="nil"/>
        </w:tcBorders>
        <w:shd w:val="clear" w:color="auto" w:fill="D3DFEE"/>
      </w:tcPr>
    </w:tblStylePr>
    <w:tblStylePr w:type="band1Horz">
      <w:rPr>
        <w:rFonts w:ascii="@Malgun Gothic" w:eastAsia="@Malgun Gothic" w:hAnsi="@Malgun Gothic" w:cs="Times New Roman" w:hint="eastAsia"/>
      </w:rPr>
      <w:tblPr/>
      <w:tcPr>
        <w:tcBorders>
          <w:top w:val="nil"/>
          <w:bottom w:val="nil"/>
          <w:insideH w:val="nil"/>
          <w:insideV w:val="nil"/>
        </w:tcBorders>
        <w:shd w:val="clear" w:color="auto" w:fill="D3DFEE"/>
      </w:tcPr>
    </w:tblStylePr>
    <w:tblStylePr w:type="nwCell">
      <w:rPr>
        <w:rFonts w:ascii="@Malgun Gothic" w:eastAsia="@Malgun Gothic" w:hAnsi="@Malgun Gothic" w:cs="Times New Roman" w:hint="eastAsia"/>
      </w:rPr>
      <w:tblPr/>
      <w:tcPr>
        <w:shd w:val="clear" w:color="auto" w:fill="FFFFFF"/>
      </w:tcPr>
    </w:tblStylePr>
    <w:tblStylePr w:type="swCell">
      <w:rPr>
        <w:rFonts w:ascii="@Malgun Gothic" w:eastAsia="@Malgun Gothic" w:hAnsi="@Malgun Gothic" w:cs="Times New Roman" w:hint="eastAsia"/>
      </w:rPr>
      <w:tblPr/>
      <w:tcPr>
        <w:tcBorders>
          <w:top w:val="nil"/>
        </w:tcBorders>
      </w:tcPr>
    </w:tblStylePr>
  </w:style>
  <w:style w:type="table" w:customStyle="1" w:styleId="Tablaconcuadrcula2">
    <w:name w:val="Tabla con cuadrícula2"/>
    <w:basedOn w:val="Tablanormal"/>
    <w:uiPriority w:val="39"/>
    <w:rsid w:val="00B15F7D"/>
    <w:pPr>
      <w:spacing w:after="0" w:line="240" w:lineRule="auto"/>
    </w:pPr>
    <w:rPr>
      <w:rFonts w:ascii="Times New Roman" w:eastAsia="Times New Roman" w:hAnsi="Times New Roman"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uiPriority w:val="39"/>
    <w:rsid w:val="00B15F7D"/>
    <w:pPr>
      <w:spacing w:after="0" w:line="240" w:lineRule="auto"/>
    </w:pPr>
    <w:rPr>
      <w:rFonts w:ascii="Times New Roman" w:eastAsia="Times New Roman" w:hAnsi="Times New Roman"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111">
    <w:name w:val="Cuadrícula clara - Énfasis 111"/>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Bahnschrift SemiBold Condensed" w:eastAsia="Times New Roman" w:hAnsi="Bahnschrift SemiBold Condensed"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ahnschrift SemiBold Condensed" w:eastAsia="Times New Roman" w:hAnsi="Bahnschrift SemiBold Condensed"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Bold Condensed" w:eastAsia="Times New Roman" w:hAnsi="Bahnschrift SemiBold Condensed" w:cs="Times New Roman" w:hint="default"/>
        <w:b/>
        <w:bCs/>
      </w:rPr>
    </w:tblStylePr>
    <w:tblStylePr w:type="lastCol">
      <w:rPr>
        <w:rFonts w:ascii="Bahnschrift SemiBold Condensed" w:eastAsia="Times New Roman" w:hAnsi="Bahnschrift SemiBold Condensed"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1">
    <w:name w:val="Cuadrícula clara - Énfasis 1111"/>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Candara Light" w:eastAsia="Times New Roman" w:hAnsi="Candara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ndara Light" w:eastAsia="Times New Roman" w:hAnsi="Candara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ndara Light" w:eastAsia="Times New Roman" w:hAnsi="Candara Light" w:cs="Times New Roman" w:hint="default"/>
        <w:b/>
        <w:bCs/>
      </w:rPr>
    </w:tblStylePr>
    <w:tblStylePr w:type="lastCol">
      <w:rPr>
        <w:rFonts w:ascii="Candara Light" w:eastAsia="Times New Roman" w:hAnsi="Candara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profesional1">
    <w:name w:val="Tabla profesional1"/>
    <w:basedOn w:val="Tablanormal"/>
    <w:rsid w:val="00B15F7D"/>
    <w:pPr>
      <w:suppressAutoHyphens/>
      <w:spacing w:after="0" w:line="240" w:lineRule="auto"/>
    </w:pPr>
    <w:rPr>
      <w:rFonts w:ascii="Times New Roman" w:eastAsia="Times New Roman" w:hAnsi="Times New Roman" w:cs="Times New Roman"/>
      <w:sz w:val="20"/>
      <w:szCs w:val="20"/>
      <w:lang w:val="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
    <w:name w:val="Tabla web 11"/>
    <w:basedOn w:val="Tablanormal"/>
    <w:rsid w:val="00B15F7D"/>
    <w:pPr>
      <w:spacing w:after="0" w:line="240" w:lineRule="auto"/>
    </w:pPr>
    <w:rPr>
      <w:rFonts w:ascii="Times New Roman" w:eastAsia="Times New Roman" w:hAnsi="Times New Roman" w:cs="Times New Roman"/>
      <w:sz w:val="20"/>
      <w:szCs w:val="20"/>
      <w:lang w:val="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Cuadrculaclara-nfasis11111">
    <w:name w:val="Cuadrícula clara - Énfasis 1111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algun Gothic Semilight" w:eastAsia="Times New Roman" w:hAnsi="Malgun Gothic Semilight"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algun Gothic Semilight" w:eastAsia="Times New Roman" w:hAnsi="Malgun Gothic Semilight"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hint="eastAsia"/>
        <w:b/>
        <w:bCs/>
      </w:rPr>
    </w:tblStylePr>
    <w:tblStylePr w:type="lastCol">
      <w:rPr>
        <w:rFonts w:ascii="Malgun Gothic Semilight" w:eastAsia="Times New Roman" w:hAnsi="Malgun Gothic Semilight"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
    <w:name w:val="Cuadrícula clara - Énfasis 11111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algun Gothic Semilight" w:eastAsia="Times New Roman" w:hAnsi="@Malgun Gothic Semilight"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algun Gothic Semilight" w:eastAsia="Times New Roman" w:hAnsi="@Malgun Gothic Semilight"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hint="eastAsia"/>
        <w:b/>
        <w:bCs/>
      </w:rPr>
    </w:tblStylePr>
    <w:tblStylePr w:type="lastCol">
      <w:rPr>
        <w:rFonts w:ascii="@Malgun Gothic Semilight" w:eastAsia="Times New Roman" w:hAnsi="@Malgun Gothic Semilight"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
    <w:name w:val="Cuadrícula clara - Énfasis 111111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icrosoft Himalaya" w:eastAsia="Times New Roman" w:hAnsi="Microsoft Himalay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icrosoft Himalaya" w:eastAsia="Times New Roman" w:hAnsi="Microsoft Himalay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crosoft Himalaya" w:eastAsia="Times New Roman" w:hAnsi="Microsoft Himalaya" w:cs="Times New Roman" w:hint="default"/>
        <w:b/>
        <w:bCs/>
      </w:rPr>
    </w:tblStylePr>
    <w:tblStylePr w:type="lastCol">
      <w:rPr>
        <w:rFonts w:ascii="Microsoft Himalaya" w:eastAsia="Times New Roman" w:hAnsi="Microsoft Himalay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
    <w:name w:val="Cuadrícula clara - Énfasis 1111111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icrosoft JhengHei" w:eastAsia="Times New Roman" w:hAnsi="Microsoft JhengHei"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icrosoft JhengHei" w:eastAsia="Times New Roman" w:hAnsi="Microsoft JhengHei"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crosoft JhengHei" w:eastAsia="Times New Roman" w:hAnsi="Microsoft JhengHei" w:cs="Times New Roman" w:hint="eastAsia"/>
        <w:b/>
        <w:bCs/>
      </w:rPr>
    </w:tblStylePr>
    <w:tblStylePr w:type="lastCol">
      <w:rPr>
        <w:rFonts w:ascii="Microsoft JhengHei" w:eastAsia="Times New Roman" w:hAnsi="Microsoft JhengHei"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
    <w:name w:val="Cuadrícula clara - Énfasis 11111111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icrosoft JhengHei" w:eastAsia="Times New Roman" w:hAnsi="@Microsoft JhengHei"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icrosoft JhengHei" w:eastAsia="Times New Roman" w:hAnsi="@Microsoft JhengHei"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crosoft JhengHei" w:eastAsia="Times New Roman" w:hAnsi="@Microsoft JhengHei" w:cs="Times New Roman" w:hint="eastAsia"/>
        <w:b/>
        <w:bCs/>
      </w:rPr>
    </w:tblStylePr>
    <w:tblStylePr w:type="lastCol">
      <w:rPr>
        <w:rFonts w:ascii="@Microsoft JhengHei" w:eastAsia="Times New Roman" w:hAnsi="@Microsoft JhengHei"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
    <w:name w:val="Cuadrícula clara - Énfasis 111111111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algun Gothic" w:eastAsia="Times New Roman" w:hAnsi="@Malgun Gothic"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algun Gothic" w:eastAsia="Times New Roman" w:hAnsi="@Malgun Gothic"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w:eastAsia="Times New Roman" w:hAnsi="@Malgun Gothic" w:cs="Times New Roman" w:hint="eastAsia"/>
        <w:b/>
        <w:bCs/>
      </w:rPr>
    </w:tblStylePr>
    <w:tblStylePr w:type="lastCol">
      <w:rPr>
        <w:rFonts w:ascii="@Malgun Gothic" w:eastAsia="Times New Roman" w:hAnsi="@Malgun Gothic"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Tablaprofesional11">
    <w:name w:val="Tabla profesional11"/>
    <w:basedOn w:val="Tablanormal"/>
    <w:rsid w:val="00B15F7D"/>
    <w:pPr>
      <w:suppressAutoHyphens/>
      <w:spacing w:after="0" w:line="240" w:lineRule="auto"/>
    </w:pPr>
    <w:rPr>
      <w:rFonts w:ascii="Times New Roman" w:eastAsia="Times New Roman" w:hAnsi="Times New Roman" w:cs="Times New Roman"/>
      <w:sz w:val="20"/>
      <w:szCs w:val="20"/>
      <w:lang w:val="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Cuadrculaclara-nfasis11111111111">
    <w:name w:val="Cuadrícula clara - Énfasis 11111111111"/>
    <w:basedOn w:val="Tablanormal"/>
    <w:uiPriority w:val="62"/>
    <w:rsid w:val="00B15F7D"/>
    <w:pPr>
      <w:spacing w:after="0" w:line="240" w:lineRule="auto"/>
    </w:pPr>
    <w:rPr>
      <w:rFonts w:ascii="Calibri" w:eastAsia="Calibri" w:hAnsi="Calibri" w:cs="Times New Roman"/>
      <w:sz w:val="20"/>
      <w:szCs w:val="20"/>
      <w:lang w:val="en-US"/>
    </w:rPr>
    <w:tblPr>
      <w:tblInd w:w="0" w:type="nil"/>
    </w:tbl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delista42">
    <w:name w:val="Tabla de lista 42"/>
    <w:basedOn w:val="Tablanormal"/>
    <w:uiPriority w:val="49"/>
    <w:rsid w:val="00B15F7D"/>
    <w:pPr>
      <w:spacing w:after="0" w:line="240" w:lineRule="auto"/>
    </w:pPr>
    <w:rPr>
      <w:rFonts w:ascii="Calibri" w:eastAsia="Calibri" w:hAnsi="Calibri" w:cs="Times New Roman"/>
      <w:lang w:val="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style>
  <w:style w:type="table" w:customStyle="1" w:styleId="Tabladelista411">
    <w:name w:val="Tabla de lista 411"/>
    <w:basedOn w:val="Tablanormal"/>
    <w:uiPriority w:val="49"/>
    <w:rsid w:val="00B15F7D"/>
    <w:pPr>
      <w:spacing w:after="0" w:line="240" w:lineRule="auto"/>
    </w:pPr>
    <w:rPr>
      <w:rFonts w:ascii="Calibri" w:eastAsia="Calibri" w:hAnsi="Calibri" w:cs="Times New Roman"/>
      <w:sz w:val="20"/>
      <w:szCs w:val="20"/>
      <w:lang w:val="en-US"/>
    </w:rPr>
    <w:tblPr>
      <w:tblInd w:w="0" w:type="nil"/>
    </w:tblPr>
    <w:tblStylePr w:type="band1Horz">
      <w:tblPr/>
      <w:tcPr>
        <w:shd w:val="clear" w:color="auto" w:fill="CCCCCC"/>
      </w:tcPr>
    </w:tblStylePr>
  </w:style>
  <w:style w:type="table" w:customStyle="1" w:styleId="Tablanormal12">
    <w:name w:val="Tabla normal 12"/>
    <w:uiPriority w:val="41"/>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adecuadrcula412">
    <w:name w:val="Tabla de cuadrícula 412"/>
    <w:basedOn w:val="Tablanormal"/>
    <w:uiPriority w:val="49"/>
    <w:rsid w:val="00B15F7D"/>
    <w:pPr>
      <w:spacing w:after="0" w:line="240" w:lineRule="auto"/>
    </w:pPr>
    <w:rPr>
      <w:rFonts w:ascii="Calibri" w:eastAsia="Calibri" w:hAnsi="Calibri" w:cs="Times New Roman"/>
      <w:sz w:val="20"/>
      <w:szCs w:val="20"/>
      <w:lang w:val="en-US"/>
    </w:rPr>
    <w:tblPr>
      <w:tblInd w:w="0" w:type="nil"/>
    </w:tblPr>
    <w:tblStylePr w:type="firstCol">
      <w:rPr>
        <w:b/>
        <w:bCs/>
      </w:rPr>
    </w:tblStylePr>
    <w:tblStylePr w:type="lastCol">
      <w:rPr>
        <w:b/>
        <w:bCs/>
      </w:rPr>
    </w:tblStylePr>
    <w:tblStylePr w:type="band1Vert">
      <w:tblPr/>
      <w:tcPr>
        <w:shd w:val="clear" w:color="auto" w:fill="CCCCCC"/>
      </w:tcPr>
    </w:tblStylePr>
  </w:style>
  <w:style w:type="table" w:customStyle="1" w:styleId="Tabladecuadrcula42">
    <w:name w:val="Tabla de cuadrícula 42"/>
    <w:basedOn w:val="Tablanormal"/>
    <w:uiPriority w:val="49"/>
    <w:rsid w:val="00B15F7D"/>
    <w:pPr>
      <w:spacing w:after="0" w:line="240" w:lineRule="auto"/>
    </w:pPr>
    <w:rPr>
      <w:rFonts w:ascii="Calibri" w:eastAsia="Calibri" w:hAnsi="Calibri" w:cs="Times New Roman"/>
      <w:sz w:val="20"/>
      <w:szCs w:val="20"/>
      <w:lang w:val="en-US"/>
    </w:rPr>
    <w:tblPr>
      <w:tblInd w:w="0" w:type="nil"/>
    </w:tblPr>
    <w:tblStylePr w:type="band1Horz">
      <w:tblPr/>
      <w:tcPr>
        <w:shd w:val="clear" w:color="auto" w:fill="CCCCCC"/>
      </w:tcPr>
    </w:tblStylePr>
  </w:style>
  <w:style w:type="table" w:customStyle="1" w:styleId="Tablaprofesional3">
    <w:name w:val="Tabla profesional3"/>
    <w:basedOn w:val="Tablanormal"/>
    <w:uiPriority w:val="99"/>
    <w:rsid w:val="00B15F7D"/>
    <w:pPr>
      <w:spacing w:after="0" w:line="240" w:lineRule="auto"/>
    </w:pPr>
    <w:rPr>
      <w:rFonts w:ascii="Times New Roman" w:eastAsia="Times New Roman" w:hAnsi="Times New Roman" w:cs="Times New Roman"/>
      <w:sz w:val="20"/>
      <w:szCs w:val="20"/>
      <w:lang w:val="es-ES" w:eastAsia="es-E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stamedia2-nfasis11">
    <w:name w:val="Lista media 2 - Énfasis 11"/>
    <w:basedOn w:val="Tablanormal"/>
    <w:uiPriority w:val="99"/>
    <w:rsid w:val="00B15F7D"/>
    <w:pPr>
      <w:spacing w:after="0" w:line="240" w:lineRule="auto"/>
    </w:pPr>
    <w:rPr>
      <w:rFonts w:ascii="Calibri" w:eastAsia="Calibri" w:hAnsi="Calibri" w:cs="Times New Roman"/>
      <w:sz w:val="20"/>
      <w:szCs w:val="20"/>
      <w:lang w:val="en-US"/>
    </w:rPr>
    <w:tblPr>
      <w:tblInd w:w="0" w:type="nil"/>
    </w:tblPr>
    <w:tblStylePr w:type="band1Vert">
      <w:rPr>
        <w:rFonts w:ascii="@Malgun Gothic" w:eastAsia="@Malgun Gothic" w:hAnsi="@Malgun Gothic" w:cs="Times New Roman" w:hint="eastAsia"/>
      </w:rPr>
      <w:tblPr/>
      <w:tcPr>
        <w:tcBorders>
          <w:left w:val="nil"/>
          <w:right w:val="nil"/>
          <w:insideH w:val="nil"/>
          <w:insideV w:val="nil"/>
        </w:tcBorders>
        <w:shd w:val="clear" w:color="auto" w:fill="D3DFEE"/>
      </w:tcPr>
    </w:tblStylePr>
  </w:style>
  <w:style w:type="table" w:customStyle="1" w:styleId="Tabladecuadrcula451">
    <w:name w:val="Tabla de cuadrícula 451"/>
    <w:basedOn w:val="Tablanormal"/>
    <w:uiPriority w:val="49"/>
    <w:rsid w:val="00B15F7D"/>
    <w:pPr>
      <w:spacing w:after="0" w:line="240" w:lineRule="auto"/>
    </w:pPr>
    <w:rPr>
      <w:rFonts w:ascii="Calibri" w:eastAsia="Calibri" w:hAnsi="Calibri" w:cs="Times New Roman"/>
      <w:sz w:val="20"/>
      <w:szCs w:val="20"/>
      <w:lang w:val="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style>
  <w:style w:type="table" w:customStyle="1" w:styleId="Tabladecuadrcula461">
    <w:name w:val="Tabla de cuadrícula 461"/>
    <w:basedOn w:val="Tablanormal"/>
    <w:uiPriority w:val="49"/>
    <w:rsid w:val="00B15F7D"/>
    <w:pPr>
      <w:spacing w:after="0" w:line="240" w:lineRule="auto"/>
    </w:pPr>
    <w:rPr>
      <w:rFonts w:ascii="Calibri" w:eastAsia="Calibri" w:hAnsi="Calibri" w:cs="Times New Roman"/>
      <w:sz w:val="20"/>
      <w:szCs w:val="20"/>
      <w:lang w:val="en-US"/>
    </w:rPr>
    <w:tblPr>
      <w:tblInd w:w="0" w:type="nil"/>
    </w:tblPr>
    <w:tblStylePr w:type="band1Horz">
      <w:tblPr/>
      <w:tcPr>
        <w:shd w:val="clear" w:color="auto" w:fill="CCCCCC"/>
      </w:tcPr>
    </w:tblStylePr>
  </w:style>
  <w:style w:type="table" w:customStyle="1" w:styleId="TablaWeb12">
    <w:name w:val="Tabla Web 12"/>
    <w:basedOn w:val="Tablanormal"/>
    <w:rsid w:val="00B15F7D"/>
    <w:pPr>
      <w:spacing w:after="0" w:line="240" w:lineRule="auto"/>
    </w:pPr>
    <w:rPr>
      <w:rFonts w:ascii="Times New Roman" w:eastAsia="Times New Roman" w:hAnsi="Times New Roman" w:cs="Times New Roman"/>
      <w:sz w:val="20"/>
      <w:szCs w:val="20"/>
      <w:lang w:val="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Cuadrculaclara-nfasis112">
    <w:name w:val="Cuadrícula clara - Énfasis 112"/>
    <w:basedOn w:val="Tablanormal"/>
    <w:uiPriority w:val="62"/>
    <w:rsid w:val="00B15F7D"/>
    <w:pPr>
      <w:spacing w:after="0" w:line="240" w:lineRule="auto"/>
    </w:pPr>
    <w:rPr>
      <w:rFonts w:ascii="Calibri" w:eastAsia="Calibri" w:hAnsi="Calibri" w:cs="Times New Roman"/>
      <w:sz w:val="20"/>
      <w:szCs w:val="20"/>
      <w:lang w:val="en-US"/>
    </w:rPr>
    <w:tblPr>
      <w:tblInd w:w="0" w:type="nil"/>
    </w:tblPr>
    <w:tblStylePr w:type="firstCol">
      <w:rPr>
        <w:rFonts w:ascii="Microsoft JhengHei UI" w:eastAsia="Times New Roman" w:hAnsi="Microsoft JhengHei UI" w:cs="Times New Roman" w:hint="eastAsia"/>
        <w:b/>
        <w:bCs/>
      </w:rPr>
    </w:tblStylePr>
    <w:tblStylePr w:type="lastCol">
      <w:rPr>
        <w:rFonts w:ascii="Microsoft JhengHei UI" w:eastAsia="Times New Roman" w:hAnsi="Microsoft JhengHei UI"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Tablaprofesional5">
    <w:name w:val="Tabla profesional5"/>
    <w:basedOn w:val="Tablanormal"/>
    <w:semiHidden/>
    <w:rsid w:val="00B15F7D"/>
    <w:pPr>
      <w:suppressAutoHyphens/>
      <w:spacing w:after="0" w:line="240" w:lineRule="auto"/>
    </w:pPr>
    <w:rPr>
      <w:rFonts w:ascii="Times New Roman" w:eastAsia="Times New Roman" w:hAnsi="Times New Roman" w:cs="Times New Roman"/>
      <w:sz w:val="20"/>
      <w:szCs w:val="20"/>
      <w:lang w:val="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Cuadrculaclara-nfasis113">
    <w:name w:val="Cuadrícula clara - Énfasis 113"/>
    <w:basedOn w:val="Tablanormal"/>
    <w:uiPriority w:val="62"/>
    <w:rsid w:val="00B15F7D"/>
    <w:pPr>
      <w:spacing w:after="0" w:line="240" w:lineRule="auto"/>
    </w:pPr>
    <w:rPr>
      <w:rFonts w:ascii="Calibri" w:eastAsia="Calibri" w:hAnsi="Calibri" w:cs="Times New Roman"/>
      <w:sz w:val="20"/>
      <w:szCs w:val="20"/>
      <w:lang w:val="en-US"/>
    </w:rPr>
    <w:tblPr>
      <w:tblInd w:w="0" w:type="nil"/>
    </w:tblPr>
    <w:tblStylePr w:type="lastCol">
      <w:rPr>
        <w:rFonts w:ascii="@Malgun Gothic" w:eastAsia="Times New Roman" w:hAnsi="@Malgun Gothic"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2">
    <w:name w:val="Cuadrícula clara - Énfasis 1112"/>
    <w:basedOn w:val="Tablanormal"/>
    <w:uiPriority w:val="62"/>
    <w:rsid w:val="00B15F7D"/>
    <w:pPr>
      <w:spacing w:after="0" w:line="240" w:lineRule="auto"/>
    </w:pPr>
    <w:rPr>
      <w:rFonts w:ascii="Calibri" w:eastAsia="Calibri" w:hAnsi="Calibri" w:cs="Times New Roman"/>
      <w:sz w:val="20"/>
      <w:szCs w:val="20"/>
      <w:lang w:val="en-US"/>
    </w:rPr>
    <w:tblPr>
      <w:tblInd w:w="0" w:type="nil"/>
    </w:tbl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profesional2">
    <w:name w:val="Tabla profesional2"/>
    <w:basedOn w:val="Tablanormal"/>
    <w:rsid w:val="00B15F7D"/>
    <w:pPr>
      <w:suppressAutoHyphens/>
      <w:spacing w:after="0" w:line="240" w:lineRule="auto"/>
    </w:pPr>
    <w:rPr>
      <w:rFonts w:ascii="Times New Roman" w:eastAsia="Times New Roman" w:hAnsi="Times New Roman" w:cs="Times New Roman"/>
      <w:sz w:val="20"/>
      <w:szCs w:val="20"/>
      <w:lang w:val="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0">
    <w:name w:val="Tabla web 12"/>
    <w:basedOn w:val="Tablanormal"/>
    <w:semiHidden/>
    <w:rsid w:val="00B15F7D"/>
    <w:pPr>
      <w:spacing w:after="0" w:line="240" w:lineRule="auto"/>
    </w:pPr>
    <w:rPr>
      <w:rFonts w:ascii="Times New Roman" w:eastAsia="Times New Roman" w:hAnsi="Times New Roman" w:cs="Times New Roman"/>
      <w:sz w:val="20"/>
      <w:szCs w:val="20"/>
      <w:lang w:val="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Cuadrculaclara-nfasis114">
    <w:name w:val="Cuadrícula clara - Énfasis 114"/>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algun Gothic Semilight" w:eastAsia="Times New Roman" w:hAnsi="Malgun Gothic Semilight"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algun Gothic Semilight" w:eastAsia="Times New Roman" w:hAnsi="Malgun Gothic Semilight"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hint="eastAsia"/>
        <w:b/>
        <w:bCs/>
      </w:rPr>
    </w:tblStylePr>
    <w:tblStylePr w:type="lastCol">
      <w:rPr>
        <w:rFonts w:ascii="Malgun Gothic Semilight" w:eastAsia="Times New Roman" w:hAnsi="Malgun Gothic Semilight"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numbering" w:customStyle="1" w:styleId="WWNum91412">
    <w:name w:val="WWNum91412"/>
    <w:rsid w:val="00B15F7D"/>
    <w:pPr>
      <w:numPr>
        <w:numId w:val="55"/>
      </w:numPr>
    </w:pPr>
  </w:style>
  <w:style w:type="numbering" w:customStyle="1" w:styleId="WWNum314211">
    <w:name w:val="WWNum314211"/>
    <w:rsid w:val="00B15F7D"/>
    <w:pPr>
      <w:numPr>
        <w:numId w:val="56"/>
      </w:numPr>
    </w:pPr>
  </w:style>
  <w:style w:type="numbering" w:customStyle="1" w:styleId="11111111131111221">
    <w:name w:val="1.1 / 1.1.1 / 1.1.1.131111221"/>
    <w:rsid w:val="00B15F7D"/>
    <w:pPr>
      <w:numPr>
        <w:numId w:val="57"/>
      </w:numPr>
    </w:pPr>
  </w:style>
  <w:style w:type="numbering" w:customStyle="1" w:styleId="WWNum1114211">
    <w:name w:val="WWNum1114211"/>
    <w:rsid w:val="00B15F7D"/>
    <w:pPr>
      <w:numPr>
        <w:numId w:val="58"/>
      </w:numPr>
    </w:pPr>
  </w:style>
  <w:style w:type="numbering" w:customStyle="1" w:styleId="WWNum111211">
    <w:name w:val="WWNum111211"/>
    <w:rsid w:val="00B15F7D"/>
    <w:pPr>
      <w:numPr>
        <w:numId w:val="59"/>
      </w:numPr>
    </w:pPr>
  </w:style>
  <w:style w:type="numbering" w:customStyle="1" w:styleId="WWNum513311">
    <w:name w:val="WWNum513311"/>
    <w:rsid w:val="00B15F7D"/>
    <w:pPr>
      <w:numPr>
        <w:numId w:val="60"/>
      </w:numPr>
    </w:pPr>
  </w:style>
  <w:style w:type="numbering" w:customStyle="1" w:styleId="WWNum21511">
    <w:name w:val="WWNum21511"/>
    <w:uiPriority w:val="99"/>
    <w:rsid w:val="00B15F7D"/>
    <w:pPr>
      <w:numPr>
        <w:numId w:val="61"/>
      </w:numPr>
    </w:pPr>
  </w:style>
  <w:style w:type="numbering" w:customStyle="1" w:styleId="Estilo42111">
    <w:name w:val="Estilo42111"/>
    <w:uiPriority w:val="99"/>
    <w:rsid w:val="00B15F7D"/>
    <w:pPr>
      <w:numPr>
        <w:numId w:val="62"/>
      </w:numPr>
    </w:pPr>
  </w:style>
  <w:style w:type="numbering" w:customStyle="1" w:styleId="WWNum611111112111">
    <w:name w:val="WWNum611111112111"/>
    <w:rsid w:val="00B15F7D"/>
    <w:pPr>
      <w:numPr>
        <w:numId w:val="63"/>
      </w:numPr>
    </w:pPr>
  </w:style>
  <w:style w:type="numbering" w:customStyle="1" w:styleId="WWNum211112211">
    <w:name w:val="WWNum211112211"/>
    <w:rsid w:val="00B15F7D"/>
    <w:pPr>
      <w:numPr>
        <w:numId w:val="64"/>
      </w:numPr>
    </w:pPr>
  </w:style>
  <w:style w:type="numbering" w:customStyle="1" w:styleId="Estilo4212">
    <w:name w:val="Estilo4212"/>
    <w:rsid w:val="00B15F7D"/>
    <w:pPr>
      <w:numPr>
        <w:numId w:val="65"/>
      </w:numPr>
    </w:pPr>
  </w:style>
  <w:style w:type="numbering" w:customStyle="1" w:styleId="WWNum61411">
    <w:name w:val="WWNum61411"/>
    <w:rsid w:val="00B15F7D"/>
    <w:pPr>
      <w:numPr>
        <w:numId w:val="66"/>
      </w:numPr>
    </w:pPr>
  </w:style>
  <w:style w:type="numbering" w:customStyle="1" w:styleId="WWNum71411211">
    <w:name w:val="WWNum71411211"/>
    <w:rsid w:val="00B15F7D"/>
    <w:pPr>
      <w:numPr>
        <w:numId w:val="67"/>
      </w:numPr>
    </w:pPr>
  </w:style>
  <w:style w:type="numbering" w:customStyle="1" w:styleId="WWNum5111">
    <w:name w:val="WWNum5111"/>
    <w:rsid w:val="00B15F7D"/>
    <w:pPr>
      <w:numPr>
        <w:numId w:val="68"/>
      </w:numPr>
    </w:pPr>
  </w:style>
  <w:style w:type="numbering" w:customStyle="1" w:styleId="WWNum41132111">
    <w:name w:val="WWNum41132111"/>
    <w:uiPriority w:val="99"/>
    <w:rsid w:val="00B15F7D"/>
    <w:pPr>
      <w:numPr>
        <w:numId w:val="69"/>
      </w:numPr>
    </w:pPr>
  </w:style>
  <w:style w:type="numbering" w:customStyle="1" w:styleId="WWNum5121">
    <w:name w:val="WWNum5121"/>
    <w:rsid w:val="00B15F7D"/>
    <w:pPr>
      <w:numPr>
        <w:numId w:val="70"/>
      </w:numPr>
    </w:pPr>
  </w:style>
  <w:style w:type="numbering" w:customStyle="1" w:styleId="WWNum9122111">
    <w:name w:val="WWNum9122111"/>
    <w:rsid w:val="00B15F7D"/>
    <w:pPr>
      <w:numPr>
        <w:numId w:val="71"/>
      </w:numPr>
    </w:pPr>
  </w:style>
  <w:style w:type="numbering" w:customStyle="1" w:styleId="WWNum4131121">
    <w:name w:val="WWNum4131121"/>
    <w:rsid w:val="00B15F7D"/>
    <w:pPr>
      <w:numPr>
        <w:numId w:val="72"/>
      </w:numPr>
    </w:pPr>
  </w:style>
  <w:style w:type="numbering" w:customStyle="1" w:styleId="WWNum4132121">
    <w:name w:val="WWNum4132121"/>
    <w:rsid w:val="00B15F7D"/>
    <w:pPr>
      <w:numPr>
        <w:numId w:val="73"/>
      </w:numPr>
    </w:pPr>
  </w:style>
  <w:style w:type="numbering" w:customStyle="1" w:styleId="WWNum311223111">
    <w:name w:val="WWNum311223111"/>
    <w:rsid w:val="00B15F7D"/>
    <w:pPr>
      <w:numPr>
        <w:numId w:val="74"/>
      </w:numPr>
    </w:pPr>
  </w:style>
  <w:style w:type="numbering" w:customStyle="1" w:styleId="WWNum114121">
    <w:name w:val="WWNum114121"/>
    <w:rsid w:val="00B15F7D"/>
    <w:pPr>
      <w:numPr>
        <w:numId w:val="75"/>
      </w:numPr>
    </w:pPr>
  </w:style>
  <w:style w:type="numbering" w:customStyle="1" w:styleId="WWNum5131221">
    <w:name w:val="WWNum5131221"/>
    <w:rsid w:val="00B15F7D"/>
    <w:pPr>
      <w:numPr>
        <w:numId w:val="76"/>
      </w:numPr>
    </w:pPr>
  </w:style>
  <w:style w:type="numbering" w:customStyle="1" w:styleId="WWNum41111121">
    <w:name w:val="WWNum41111121"/>
    <w:rsid w:val="00B15F7D"/>
    <w:pPr>
      <w:numPr>
        <w:numId w:val="77"/>
      </w:numPr>
    </w:pPr>
  </w:style>
  <w:style w:type="numbering" w:customStyle="1" w:styleId="WWNum4111231">
    <w:name w:val="WWNum4111231"/>
    <w:rsid w:val="00B15F7D"/>
    <w:pPr>
      <w:numPr>
        <w:numId w:val="78"/>
      </w:numPr>
    </w:pPr>
  </w:style>
  <w:style w:type="numbering" w:customStyle="1" w:styleId="WWNum6112222">
    <w:name w:val="WWNum6112222"/>
    <w:rsid w:val="00B15F7D"/>
    <w:pPr>
      <w:numPr>
        <w:numId w:val="79"/>
      </w:numPr>
    </w:pPr>
  </w:style>
  <w:style w:type="numbering" w:customStyle="1" w:styleId="WWNum3113121">
    <w:name w:val="WWNum3113121"/>
    <w:rsid w:val="00B15F7D"/>
    <w:pPr>
      <w:numPr>
        <w:numId w:val="80"/>
      </w:numPr>
    </w:pPr>
  </w:style>
  <w:style w:type="numbering" w:customStyle="1" w:styleId="WWNum614121">
    <w:name w:val="WWNum614121"/>
    <w:rsid w:val="00B15F7D"/>
    <w:pPr>
      <w:numPr>
        <w:numId w:val="81"/>
      </w:numPr>
    </w:pPr>
  </w:style>
  <w:style w:type="numbering" w:customStyle="1" w:styleId="WWNum21112121">
    <w:name w:val="WWNum21112121"/>
    <w:rsid w:val="00B15F7D"/>
    <w:pPr>
      <w:numPr>
        <w:numId w:val="82"/>
      </w:numPr>
    </w:pPr>
  </w:style>
  <w:style w:type="numbering" w:customStyle="1" w:styleId="WWNum611111131">
    <w:name w:val="WWNum611111131"/>
    <w:rsid w:val="00B15F7D"/>
    <w:pPr>
      <w:numPr>
        <w:numId w:val="83"/>
      </w:numPr>
    </w:pPr>
  </w:style>
  <w:style w:type="numbering" w:customStyle="1" w:styleId="WWNum6111131">
    <w:name w:val="WWNum6111131"/>
    <w:rsid w:val="00B15F7D"/>
    <w:pPr>
      <w:numPr>
        <w:numId w:val="84"/>
      </w:numPr>
    </w:pPr>
  </w:style>
  <w:style w:type="numbering" w:customStyle="1" w:styleId="WWNum9112">
    <w:name w:val="WWNum9112"/>
    <w:rsid w:val="00B15F7D"/>
    <w:pPr>
      <w:numPr>
        <w:numId w:val="85"/>
      </w:numPr>
    </w:pPr>
  </w:style>
  <w:style w:type="numbering" w:customStyle="1" w:styleId="WWNum2111212">
    <w:name w:val="WWNum2111212"/>
    <w:rsid w:val="00B15F7D"/>
    <w:pPr>
      <w:numPr>
        <w:numId w:val="86"/>
      </w:numPr>
    </w:pPr>
  </w:style>
  <w:style w:type="numbering" w:customStyle="1" w:styleId="WWNum61111113">
    <w:name w:val="WWNum61111113"/>
    <w:rsid w:val="00B15F7D"/>
    <w:pPr>
      <w:numPr>
        <w:numId w:val="87"/>
      </w:numPr>
    </w:pPr>
  </w:style>
  <w:style w:type="numbering" w:customStyle="1" w:styleId="WWNum5131211">
    <w:name w:val="WWNum5131211"/>
    <w:rsid w:val="00B15F7D"/>
    <w:pPr>
      <w:numPr>
        <w:numId w:val="88"/>
      </w:numPr>
    </w:pPr>
  </w:style>
  <w:style w:type="numbering" w:customStyle="1" w:styleId="WWNum611113">
    <w:name w:val="WWNum611113"/>
    <w:rsid w:val="00B15F7D"/>
    <w:pPr>
      <w:numPr>
        <w:numId w:val="89"/>
      </w:numPr>
    </w:pPr>
  </w:style>
  <w:style w:type="table" w:customStyle="1" w:styleId="Tablaconcuadrcula5">
    <w:name w:val="Tabla con cuadrícula5"/>
    <w:basedOn w:val="Tablanormal"/>
    <w:next w:val="Tablaconcuadrcula"/>
    <w:uiPriority w:val="39"/>
    <w:rsid w:val="00B15F7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B15F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qFormat/>
    <w:rsid w:val="00B15F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qFormat/>
    <w:rsid w:val="00B15F7D"/>
    <w:pPr>
      <w:suppressAutoHyphens/>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1013111111">
    <w:name w:val="WWNum1013111111"/>
    <w:rsid w:val="00B15F7D"/>
    <w:pPr>
      <w:numPr>
        <w:numId w:val="200"/>
      </w:numPr>
    </w:pPr>
  </w:style>
  <w:style w:type="numbering" w:customStyle="1" w:styleId="WWNum4111112111">
    <w:name w:val="WWNum4111112111"/>
    <w:rsid w:val="00B15F7D"/>
    <w:pPr>
      <w:numPr>
        <w:numId w:val="5"/>
      </w:numPr>
    </w:pPr>
  </w:style>
  <w:style w:type="numbering" w:customStyle="1" w:styleId="WWNum312111">
    <w:name w:val="WWNum312111"/>
    <w:rsid w:val="00B15F7D"/>
    <w:pPr>
      <w:numPr>
        <w:numId w:val="6"/>
      </w:numPr>
    </w:pPr>
  </w:style>
  <w:style w:type="numbering" w:customStyle="1" w:styleId="1111111113131111">
    <w:name w:val="1.1 / 1.1.1 / 1.1.1.13131111"/>
    <w:rsid w:val="00B15F7D"/>
    <w:pPr>
      <w:numPr>
        <w:numId w:val="201"/>
      </w:numPr>
    </w:pPr>
  </w:style>
  <w:style w:type="numbering" w:customStyle="1" w:styleId="1111111111212111">
    <w:name w:val="1.1 / 1.1.1 / 1.1.1.11212111"/>
    <w:rsid w:val="00B15F7D"/>
    <w:pPr>
      <w:numPr>
        <w:numId w:val="7"/>
      </w:numPr>
    </w:pPr>
  </w:style>
  <w:style w:type="numbering" w:customStyle="1" w:styleId="WWNum511212111">
    <w:name w:val="WWNum511212111"/>
    <w:rsid w:val="00B15F7D"/>
    <w:pPr>
      <w:numPr>
        <w:numId w:val="8"/>
      </w:numPr>
    </w:pPr>
  </w:style>
  <w:style w:type="numbering" w:customStyle="1" w:styleId="WWNum1013111">
    <w:name w:val="WWNum1013111"/>
    <w:rsid w:val="00B15F7D"/>
    <w:pPr>
      <w:numPr>
        <w:numId w:val="9"/>
      </w:numPr>
    </w:pPr>
  </w:style>
  <w:style w:type="numbering" w:customStyle="1" w:styleId="WWNum613111111">
    <w:name w:val="WWNum613111111"/>
    <w:rsid w:val="00B15F7D"/>
    <w:pPr>
      <w:numPr>
        <w:numId w:val="10"/>
      </w:numPr>
    </w:pPr>
  </w:style>
  <w:style w:type="numbering" w:customStyle="1" w:styleId="WWNum91133111">
    <w:name w:val="WWNum91133111"/>
    <w:rsid w:val="00B15F7D"/>
    <w:pPr>
      <w:numPr>
        <w:numId w:val="11"/>
      </w:numPr>
    </w:pPr>
  </w:style>
  <w:style w:type="numbering" w:customStyle="1" w:styleId="WWNum411121111">
    <w:name w:val="WWNum411121111"/>
    <w:rsid w:val="00B15F7D"/>
    <w:pPr>
      <w:numPr>
        <w:numId w:val="12"/>
      </w:numPr>
    </w:pPr>
  </w:style>
  <w:style w:type="numbering" w:customStyle="1" w:styleId="WWNum61511111">
    <w:name w:val="WWNum61511111"/>
    <w:uiPriority w:val="99"/>
    <w:rsid w:val="00B15F7D"/>
    <w:pPr>
      <w:numPr>
        <w:numId w:val="13"/>
      </w:numPr>
    </w:pPr>
  </w:style>
  <w:style w:type="numbering" w:customStyle="1" w:styleId="WWNum511221111">
    <w:name w:val="WWNum511221111"/>
    <w:rsid w:val="00B15F7D"/>
    <w:pPr>
      <w:numPr>
        <w:numId w:val="212"/>
      </w:numPr>
    </w:pPr>
  </w:style>
  <w:style w:type="numbering" w:customStyle="1" w:styleId="WWNum31212111">
    <w:name w:val="WWNum31212111"/>
    <w:rsid w:val="00B15F7D"/>
    <w:pPr>
      <w:numPr>
        <w:numId w:val="15"/>
      </w:numPr>
    </w:pPr>
  </w:style>
  <w:style w:type="numbering" w:customStyle="1" w:styleId="1111111112121111">
    <w:name w:val="1.1 / 1.1.1 / 1.1.1.12121111"/>
    <w:uiPriority w:val="99"/>
    <w:rsid w:val="00B15F7D"/>
    <w:pPr>
      <w:numPr>
        <w:numId w:val="16"/>
      </w:numPr>
    </w:pPr>
  </w:style>
  <w:style w:type="numbering" w:customStyle="1" w:styleId="WWNum911222111">
    <w:name w:val="WWNum911222111"/>
    <w:rsid w:val="00B15F7D"/>
    <w:pPr>
      <w:numPr>
        <w:numId w:val="211"/>
      </w:numPr>
    </w:pPr>
  </w:style>
  <w:style w:type="numbering" w:customStyle="1" w:styleId="WWNum101123111">
    <w:name w:val="WWNum101123111"/>
    <w:rsid w:val="00B15F7D"/>
    <w:pPr>
      <w:numPr>
        <w:numId w:val="18"/>
      </w:numPr>
    </w:pPr>
  </w:style>
  <w:style w:type="numbering" w:customStyle="1" w:styleId="WWNum914121">
    <w:name w:val="WWNum914121"/>
    <w:rsid w:val="00B15F7D"/>
    <w:pPr>
      <w:numPr>
        <w:numId w:val="19"/>
      </w:numPr>
    </w:pPr>
  </w:style>
  <w:style w:type="numbering" w:customStyle="1" w:styleId="WWNum3142111">
    <w:name w:val="WWNum3142111"/>
    <w:rsid w:val="00B15F7D"/>
    <w:pPr>
      <w:numPr>
        <w:numId w:val="20"/>
      </w:numPr>
    </w:pPr>
  </w:style>
  <w:style w:type="numbering" w:customStyle="1" w:styleId="111111111311112211">
    <w:name w:val="1.1 / 1.1.1 / 1.1.1.1311112211"/>
    <w:rsid w:val="00B15F7D"/>
    <w:pPr>
      <w:numPr>
        <w:numId w:val="21"/>
      </w:numPr>
    </w:pPr>
  </w:style>
  <w:style w:type="numbering" w:customStyle="1" w:styleId="WWNum5133111">
    <w:name w:val="WWNum5133111"/>
    <w:rsid w:val="00B15F7D"/>
    <w:pPr>
      <w:numPr>
        <w:numId w:val="24"/>
      </w:numPr>
    </w:pPr>
  </w:style>
  <w:style w:type="numbering" w:customStyle="1" w:styleId="WWNum215111">
    <w:name w:val="WWNum215111"/>
    <w:uiPriority w:val="99"/>
    <w:rsid w:val="00B15F7D"/>
    <w:pPr>
      <w:numPr>
        <w:numId w:val="25"/>
      </w:numPr>
    </w:pPr>
  </w:style>
  <w:style w:type="numbering" w:customStyle="1" w:styleId="Estilo421111">
    <w:name w:val="Estilo421111"/>
    <w:uiPriority w:val="99"/>
    <w:rsid w:val="00B15F7D"/>
    <w:pPr>
      <w:numPr>
        <w:numId w:val="26"/>
      </w:numPr>
    </w:pPr>
  </w:style>
  <w:style w:type="numbering" w:customStyle="1" w:styleId="Estilo42121">
    <w:name w:val="Estilo42121"/>
    <w:rsid w:val="00B15F7D"/>
    <w:pPr>
      <w:numPr>
        <w:numId w:val="29"/>
      </w:numPr>
    </w:pPr>
  </w:style>
  <w:style w:type="numbering" w:customStyle="1" w:styleId="WWNum614111">
    <w:name w:val="WWNum614111"/>
    <w:rsid w:val="00B15F7D"/>
    <w:pPr>
      <w:numPr>
        <w:numId w:val="30"/>
      </w:numPr>
    </w:pPr>
  </w:style>
  <w:style w:type="numbering" w:customStyle="1" w:styleId="WWNum714112111">
    <w:name w:val="WWNum714112111"/>
    <w:rsid w:val="00B15F7D"/>
    <w:pPr>
      <w:numPr>
        <w:numId w:val="31"/>
      </w:numPr>
    </w:pPr>
  </w:style>
  <w:style w:type="numbering" w:customStyle="1" w:styleId="WWNum51111">
    <w:name w:val="WWNum51111"/>
    <w:rsid w:val="00B15F7D"/>
    <w:pPr>
      <w:numPr>
        <w:numId w:val="32"/>
      </w:numPr>
    </w:pPr>
  </w:style>
  <w:style w:type="numbering" w:customStyle="1" w:styleId="WWNum411321111">
    <w:name w:val="WWNum411321111"/>
    <w:uiPriority w:val="99"/>
    <w:rsid w:val="00B15F7D"/>
    <w:pPr>
      <w:numPr>
        <w:numId w:val="33"/>
      </w:numPr>
    </w:pPr>
  </w:style>
  <w:style w:type="numbering" w:customStyle="1" w:styleId="WWNum91221111">
    <w:name w:val="WWNum91221111"/>
    <w:rsid w:val="00B15F7D"/>
    <w:pPr>
      <w:numPr>
        <w:numId w:val="35"/>
      </w:numPr>
    </w:pPr>
  </w:style>
  <w:style w:type="numbering" w:customStyle="1" w:styleId="WWNum41321211">
    <w:name w:val="WWNum41321211"/>
    <w:rsid w:val="00B15F7D"/>
    <w:pPr>
      <w:numPr>
        <w:numId w:val="37"/>
      </w:numPr>
    </w:pPr>
  </w:style>
  <w:style w:type="numbering" w:customStyle="1" w:styleId="WWNum3112231111">
    <w:name w:val="WWNum3112231111"/>
    <w:rsid w:val="00B15F7D"/>
    <w:pPr>
      <w:numPr>
        <w:numId w:val="38"/>
      </w:numPr>
    </w:pPr>
  </w:style>
  <w:style w:type="numbering" w:customStyle="1" w:styleId="WWNum1141211">
    <w:name w:val="WWNum1141211"/>
    <w:rsid w:val="00B15F7D"/>
    <w:pPr>
      <w:numPr>
        <w:numId w:val="39"/>
      </w:numPr>
    </w:pPr>
  </w:style>
  <w:style w:type="numbering" w:customStyle="1" w:styleId="WWNum51312211">
    <w:name w:val="WWNum51312211"/>
    <w:rsid w:val="00B15F7D"/>
    <w:pPr>
      <w:numPr>
        <w:numId w:val="40"/>
      </w:numPr>
    </w:pPr>
  </w:style>
  <w:style w:type="numbering" w:customStyle="1" w:styleId="WWNum41112311">
    <w:name w:val="WWNum41112311"/>
    <w:rsid w:val="00B15F7D"/>
    <w:pPr>
      <w:numPr>
        <w:numId w:val="41"/>
      </w:numPr>
    </w:pPr>
  </w:style>
  <w:style w:type="numbering" w:customStyle="1" w:styleId="WWNum61122221">
    <w:name w:val="WWNum61122221"/>
    <w:rsid w:val="00B15F7D"/>
    <w:pPr>
      <w:numPr>
        <w:numId w:val="42"/>
      </w:numPr>
    </w:pPr>
  </w:style>
  <w:style w:type="numbering" w:customStyle="1" w:styleId="WWNum31131211">
    <w:name w:val="WWNum31131211"/>
    <w:rsid w:val="00B15F7D"/>
    <w:pPr>
      <w:numPr>
        <w:numId w:val="43"/>
      </w:numPr>
    </w:pPr>
  </w:style>
  <w:style w:type="numbering" w:customStyle="1" w:styleId="WWNum6141211">
    <w:name w:val="WWNum6141211"/>
    <w:rsid w:val="00B15F7D"/>
    <w:pPr>
      <w:numPr>
        <w:numId w:val="44"/>
      </w:numPr>
    </w:pPr>
  </w:style>
  <w:style w:type="numbering" w:customStyle="1" w:styleId="WWNum211121211">
    <w:name w:val="WWNum211121211"/>
    <w:rsid w:val="00B15F7D"/>
    <w:pPr>
      <w:numPr>
        <w:numId w:val="45"/>
      </w:numPr>
    </w:pPr>
  </w:style>
  <w:style w:type="numbering" w:customStyle="1" w:styleId="WWNum6111111311">
    <w:name w:val="WWNum6111111311"/>
    <w:rsid w:val="00B15F7D"/>
    <w:pPr>
      <w:numPr>
        <w:numId w:val="46"/>
      </w:numPr>
    </w:pPr>
  </w:style>
  <w:style w:type="numbering" w:customStyle="1" w:styleId="WWNum61111311">
    <w:name w:val="WWNum61111311"/>
    <w:rsid w:val="00B15F7D"/>
    <w:pPr>
      <w:numPr>
        <w:numId w:val="47"/>
      </w:numPr>
    </w:pPr>
  </w:style>
  <w:style w:type="numbering" w:customStyle="1" w:styleId="WWNum91121">
    <w:name w:val="WWNum91121"/>
    <w:rsid w:val="00B15F7D"/>
    <w:pPr>
      <w:numPr>
        <w:numId w:val="48"/>
      </w:numPr>
    </w:pPr>
  </w:style>
  <w:style w:type="numbering" w:customStyle="1" w:styleId="WWNum21112122">
    <w:name w:val="WWNum21112122"/>
    <w:rsid w:val="00B15F7D"/>
    <w:pPr>
      <w:numPr>
        <w:numId w:val="49"/>
      </w:numPr>
    </w:pPr>
  </w:style>
  <w:style w:type="numbering" w:customStyle="1" w:styleId="WWNum611111132">
    <w:name w:val="WWNum611111132"/>
    <w:rsid w:val="00B15F7D"/>
    <w:pPr>
      <w:numPr>
        <w:numId w:val="50"/>
      </w:numPr>
    </w:pPr>
  </w:style>
  <w:style w:type="numbering" w:customStyle="1" w:styleId="WWNum51312111">
    <w:name w:val="WWNum51312111"/>
    <w:rsid w:val="00B15F7D"/>
    <w:pPr>
      <w:numPr>
        <w:numId w:val="51"/>
      </w:numPr>
    </w:pPr>
  </w:style>
  <w:style w:type="numbering" w:customStyle="1" w:styleId="WWNum6111132">
    <w:name w:val="WWNum6111132"/>
    <w:rsid w:val="00B15F7D"/>
    <w:pPr>
      <w:numPr>
        <w:numId w:val="52"/>
      </w:numPr>
    </w:pPr>
  </w:style>
  <w:style w:type="numbering" w:customStyle="1" w:styleId="WWNum5131212">
    <w:name w:val="WWNum5131212"/>
    <w:rsid w:val="00B15F7D"/>
    <w:pPr>
      <w:numPr>
        <w:numId w:val="53"/>
      </w:numPr>
    </w:pPr>
  </w:style>
  <w:style w:type="numbering" w:customStyle="1" w:styleId="WWNum10113212111">
    <w:name w:val="WWNum10113212111"/>
    <w:rsid w:val="00B15F7D"/>
    <w:pPr>
      <w:numPr>
        <w:numId w:val="54"/>
      </w:numPr>
    </w:pPr>
  </w:style>
  <w:style w:type="table" w:customStyle="1" w:styleId="Tablaconcuadrcula1clara-nfasis52">
    <w:name w:val="Tabla con cuadrícula 1 clara - Énfasis 52"/>
    <w:basedOn w:val="Tablanormal"/>
    <w:uiPriority w:val="46"/>
    <w:rsid w:val="00B15F7D"/>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aconcuadrcula1clara-nfasis53">
    <w:name w:val="Tabla con cuadrícula 1 clara - Énfasis 53"/>
    <w:basedOn w:val="Tablanormal"/>
    <w:uiPriority w:val="46"/>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footnotedescription">
    <w:name w:val="footnote description"/>
    <w:next w:val="Normal"/>
    <w:link w:val="footnotedescriptionChar"/>
    <w:hidden/>
    <w:qFormat/>
    <w:rsid w:val="00B15F7D"/>
    <w:pPr>
      <w:spacing w:after="0" w:line="362" w:lineRule="auto"/>
      <w:ind w:left="5511" w:firstLine="86"/>
    </w:pPr>
    <w:rPr>
      <w:rFonts w:ascii="Calibri" w:eastAsia="Calibri" w:hAnsi="Calibri" w:cs="Calibri"/>
      <w:color w:val="000000"/>
      <w:sz w:val="18"/>
      <w:lang w:eastAsia="es-CR"/>
    </w:rPr>
  </w:style>
  <w:style w:type="character" w:customStyle="1" w:styleId="footnotedescriptionChar">
    <w:name w:val="footnote description Char"/>
    <w:link w:val="footnotedescription"/>
    <w:rsid w:val="00B15F7D"/>
    <w:rPr>
      <w:rFonts w:ascii="Calibri" w:eastAsia="Calibri" w:hAnsi="Calibri" w:cs="Calibri"/>
      <w:color w:val="000000"/>
      <w:sz w:val="18"/>
      <w:lang w:eastAsia="es-CR"/>
    </w:rPr>
  </w:style>
  <w:style w:type="table" w:customStyle="1" w:styleId="Tablaconcuadrcula8">
    <w:name w:val="Tabla con cuadrícula8"/>
    <w:basedOn w:val="Tablanormal"/>
    <w:next w:val="Tablaconcuadrcula"/>
    <w:uiPriority w:val="59"/>
    <w:qFormat/>
    <w:rsid w:val="00B15F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qFormat/>
    <w:rsid w:val="00B15F7D"/>
    <w:pPr>
      <w:suppressAutoHyphens/>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B15F7D"/>
    <w:pPr>
      <w:suppressAutoHyphens/>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unhideWhenUsed/>
    <w:rsid w:val="00B15F7D"/>
    <w:rPr>
      <w:color w:val="605E5C"/>
      <w:shd w:val="clear" w:color="auto" w:fill="E1DFDD"/>
    </w:rPr>
  </w:style>
  <w:style w:type="paragraph" w:customStyle="1" w:styleId="yiv6223881646msonormal">
    <w:name w:val="yiv6223881646msonormal"/>
    <w:basedOn w:val="Normal"/>
    <w:qFormat/>
    <w:rsid w:val="00B15F7D"/>
    <w:pPr>
      <w:suppressAutoHyphens w:val="0"/>
      <w:spacing w:before="100" w:beforeAutospacing="1" w:after="100" w:afterAutospacing="1"/>
    </w:pPr>
    <w:rPr>
      <w:lang w:val="es-CR" w:eastAsia="es-CR"/>
    </w:rPr>
  </w:style>
  <w:style w:type="table" w:customStyle="1" w:styleId="Tablaweb111">
    <w:name w:val="Tabla web 111"/>
    <w:basedOn w:val="Tablanormal"/>
    <w:next w:val="Tablaweb1"/>
    <w:unhideWhenUsed/>
    <w:rsid w:val="00B15F7D"/>
    <w:pPr>
      <w:spacing w:after="0" w:line="240" w:lineRule="auto"/>
    </w:pPr>
    <w:rPr>
      <w:rFonts w:ascii="Times New Roman" w:eastAsia="Times New Roman" w:hAnsi="Times New Roman" w:cs="Times New Roman"/>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Cuadrculaclara-nfasis111111111111">
    <w:name w:val="Cuadrícula clara - Énfasis 111111111111"/>
    <w:basedOn w:val="Tablanormal"/>
    <w:uiPriority w:val="62"/>
    <w:rsid w:val="00B15F7D"/>
    <w:pPr>
      <w:spacing w:after="0" w:line="240" w:lineRule="auto"/>
    </w:pPr>
    <w:rPr>
      <w:rFonts w:ascii="Calibri" w:eastAsia="Calibri" w:hAnsi="Calibri" w:cs="Times New Roman"/>
      <w:sz w:val="20"/>
      <w:szCs w:val="20"/>
      <w:lang w:val="en-US"/>
    </w:rPr>
    <w:tbl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1111111112122">
    <w:name w:val="1.1 / 1.1.1 / 1.1.1.12122"/>
    <w:rsid w:val="00B15F7D"/>
    <w:pPr>
      <w:numPr>
        <w:numId w:val="92"/>
      </w:numPr>
    </w:pPr>
  </w:style>
  <w:style w:type="numbering" w:customStyle="1" w:styleId="WWNum411111211">
    <w:name w:val="WWNum411111211"/>
    <w:rsid w:val="00B15F7D"/>
    <w:pPr>
      <w:numPr>
        <w:numId w:val="93"/>
      </w:numPr>
    </w:pPr>
  </w:style>
  <w:style w:type="numbering" w:customStyle="1" w:styleId="WWNum7131121">
    <w:name w:val="WWNum7131121"/>
    <w:rsid w:val="00B15F7D"/>
    <w:pPr>
      <w:numPr>
        <w:numId w:val="34"/>
      </w:numPr>
    </w:pPr>
  </w:style>
  <w:style w:type="numbering" w:customStyle="1" w:styleId="WWNum712121">
    <w:name w:val="WWNum712121"/>
    <w:rsid w:val="00B15F7D"/>
    <w:pPr>
      <w:numPr>
        <w:numId w:val="36"/>
      </w:numPr>
    </w:pPr>
  </w:style>
  <w:style w:type="numbering" w:customStyle="1" w:styleId="WWNum61311111">
    <w:name w:val="WWNum61311111"/>
    <w:rsid w:val="00B15F7D"/>
    <w:pPr>
      <w:numPr>
        <w:numId w:val="99"/>
      </w:numPr>
    </w:pPr>
  </w:style>
  <w:style w:type="numbering" w:customStyle="1" w:styleId="WWNum711111">
    <w:name w:val="WWNum711111"/>
    <w:uiPriority w:val="99"/>
    <w:rsid w:val="00B15F7D"/>
    <w:pPr>
      <w:numPr>
        <w:numId w:val="198"/>
      </w:numPr>
    </w:pPr>
  </w:style>
  <w:style w:type="numbering" w:customStyle="1" w:styleId="WWNum511412111">
    <w:name w:val="WWNum511412111"/>
    <w:rsid w:val="00B15F7D"/>
    <w:pPr>
      <w:numPr>
        <w:numId w:val="91"/>
      </w:numPr>
    </w:pPr>
  </w:style>
  <w:style w:type="numbering" w:customStyle="1" w:styleId="WWNum71411111">
    <w:name w:val="WWNum71411111"/>
    <w:rsid w:val="00B15F7D"/>
    <w:pPr>
      <w:numPr>
        <w:numId w:val="199"/>
      </w:numPr>
    </w:pPr>
  </w:style>
  <w:style w:type="numbering" w:customStyle="1" w:styleId="111111111313111">
    <w:name w:val="1.1 / 1.1.1 / 1.1.1.1313111"/>
    <w:rsid w:val="00B15F7D"/>
    <w:pPr>
      <w:numPr>
        <w:numId w:val="98"/>
      </w:numPr>
    </w:pPr>
  </w:style>
  <w:style w:type="numbering" w:customStyle="1" w:styleId="WWNum4142111">
    <w:name w:val="WWNum4142111"/>
    <w:rsid w:val="00B15F7D"/>
    <w:pPr>
      <w:numPr>
        <w:numId w:val="90"/>
      </w:numPr>
    </w:pPr>
  </w:style>
  <w:style w:type="numbering" w:customStyle="1" w:styleId="111111111212111">
    <w:name w:val="1.1 / 1.1.1 / 1.1.1.1212111"/>
    <w:uiPriority w:val="99"/>
    <w:rsid w:val="00B15F7D"/>
    <w:pPr>
      <w:numPr>
        <w:numId w:val="100"/>
      </w:numPr>
    </w:pPr>
  </w:style>
  <w:style w:type="numbering" w:customStyle="1" w:styleId="WWNum4113221">
    <w:name w:val="WWNum4113221"/>
    <w:rsid w:val="00B15F7D"/>
    <w:pPr>
      <w:numPr>
        <w:numId w:val="94"/>
      </w:numPr>
    </w:pPr>
  </w:style>
  <w:style w:type="numbering" w:customStyle="1" w:styleId="WWNum101311111">
    <w:name w:val="WWNum101311111"/>
    <w:rsid w:val="00B15F7D"/>
    <w:pPr>
      <w:numPr>
        <w:numId w:val="96"/>
      </w:numPr>
    </w:pPr>
  </w:style>
  <w:style w:type="table" w:customStyle="1" w:styleId="Cuadrculaclara-nfasis115">
    <w:name w:val="Cuadrícula clara - Énfasis 115"/>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ar45">
    <w:name w:val="Car45"/>
    <w:basedOn w:val="Normal"/>
    <w:uiPriority w:val="99"/>
    <w:qFormat/>
    <w:rsid w:val="00B15F7D"/>
    <w:pPr>
      <w:spacing w:after="160" w:line="240" w:lineRule="exact"/>
    </w:pPr>
    <w:rPr>
      <w:rFonts w:ascii="Verdana" w:hAnsi="Verdana"/>
      <w:sz w:val="20"/>
      <w:szCs w:val="21"/>
      <w:lang w:val="en-AU"/>
    </w:rPr>
  </w:style>
  <w:style w:type="paragraph" w:customStyle="1" w:styleId="CharChar70">
    <w:name w:val="Char Char70"/>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33">
    <w:name w:val="Párrafo de lista133"/>
    <w:basedOn w:val="Normal"/>
    <w:uiPriority w:val="99"/>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31">
    <w:name w:val="Car Car Car Car Car Car31"/>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9">
    <w:name w:val="Texto de bloque129"/>
    <w:basedOn w:val="Normal"/>
    <w:uiPriority w:val="99"/>
    <w:qFormat/>
    <w:rsid w:val="00B15F7D"/>
    <w:pPr>
      <w:widowControl w:val="0"/>
      <w:autoSpaceDE w:val="0"/>
      <w:ind w:left="-540" w:right="-415" w:firstLine="1248"/>
      <w:jc w:val="both"/>
    </w:pPr>
    <w:rPr>
      <w:rFonts w:ascii="Arial" w:hAnsi="Arial" w:cs="Arial"/>
      <w:lang w:eastAsia="zh-CN"/>
    </w:rPr>
  </w:style>
  <w:style w:type="paragraph" w:customStyle="1" w:styleId="Textoindependiente2230">
    <w:name w:val="Texto independiente 2230"/>
    <w:basedOn w:val="Normal"/>
    <w:uiPriority w:val="99"/>
    <w:qFormat/>
    <w:rsid w:val="00B15F7D"/>
    <w:pPr>
      <w:spacing w:line="360" w:lineRule="auto"/>
      <w:jc w:val="both"/>
    </w:pPr>
    <w:rPr>
      <w:rFonts w:ascii="Arial" w:hAnsi="Arial" w:cs="Arial"/>
      <w:kern w:val="1"/>
      <w:szCs w:val="20"/>
      <w:lang w:val="es-CR"/>
    </w:rPr>
  </w:style>
  <w:style w:type="paragraph" w:customStyle="1" w:styleId="Sangra2detindependiente129">
    <w:name w:val="Sangría 2 de t. independiente129"/>
    <w:basedOn w:val="Normal"/>
    <w:uiPriority w:val="99"/>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9">
    <w:name w:val="Char Char69"/>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Car44">
    <w:name w:val="Car44"/>
    <w:basedOn w:val="Normal"/>
    <w:uiPriority w:val="99"/>
    <w:qFormat/>
    <w:rsid w:val="00B15F7D"/>
    <w:pPr>
      <w:spacing w:after="160" w:line="240" w:lineRule="exact"/>
    </w:pPr>
    <w:rPr>
      <w:rFonts w:ascii="Verdana" w:hAnsi="Verdana"/>
      <w:sz w:val="20"/>
      <w:szCs w:val="21"/>
      <w:lang w:val="en-AU"/>
    </w:rPr>
  </w:style>
  <w:style w:type="paragraph" w:customStyle="1" w:styleId="CharChar68">
    <w:name w:val="Char Char68"/>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32">
    <w:name w:val="Párrafo de lista132"/>
    <w:basedOn w:val="Normal"/>
    <w:uiPriority w:val="99"/>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30">
    <w:name w:val="Car Car Car Car Car Car30"/>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8">
    <w:name w:val="Texto de bloque128"/>
    <w:basedOn w:val="Normal"/>
    <w:uiPriority w:val="99"/>
    <w:qFormat/>
    <w:rsid w:val="00B15F7D"/>
    <w:pPr>
      <w:widowControl w:val="0"/>
      <w:autoSpaceDE w:val="0"/>
      <w:ind w:left="-540" w:right="-415" w:firstLine="1248"/>
      <w:jc w:val="both"/>
    </w:pPr>
    <w:rPr>
      <w:rFonts w:ascii="Arial" w:hAnsi="Arial" w:cs="Arial"/>
      <w:lang w:eastAsia="zh-CN"/>
    </w:rPr>
  </w:style>
  <w:style w:type="paragraph" w:customStyle="1" w:styleId="Textoindependiente2229">
    <w:name w:val="Texto independiente 2229"/>
    <w:basedOn w:val="Normal"/>
    <w:uiPriority w:val="99"/>
    <w:qFormat/>
    <w:rsid w:val="00B15F7D"/>
    <w:pPr>
      <w:spacing w:line="360" w:lineRule="auto"/>
      <w:jc w:val="both"/>
    </w:pPr>
    <w:rPr>
      <w:rFonts w:ascii="Arial" w:hAnsi="Arial" w:cs="Arial"/>
      <w:kern w:val="1"/>
      <w:szCs w:val="20"/>
      <w:lang w:val="es-CR"/>
    </w:rPr>
  </w:style>
  <w:style w:type="paragraph" w:customStyle="1" w:styleId="Sangra2detindependiente128">
    <w:name w:val="Sangría 2 de t. independiente128"/>
    <w:basedOn w:val="Normal"/>
    <w:uiPriority w:val="99"/>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7">
    <w:name w:val="Char Char67"/>
    <w:basedOn w:val="Normal"/>
    <w:uiPriority w:val="99"/>
    <w:qFormat/>
    <w:rsid w:val="00B15F7D"/>
    <w:pPr>
      <w:suppressAutoHyphens w:val="0"/>
      <w:spacing w:after="160" w:line="240" w:lineRule="exact"/>
    </w:pPr>
    <w:rPr>
      <w:rFonts w:ascii="Verdana" w:hAnsi="Verdana"/>
      <w:sz w:val="20"/>
      <w:szCs w:val="21"/>
      <w:lang w:val="en-AU" w:eastAsia="en-US"/>
    </w:rPr>
  </w:style>
  <w:style w:type="table" w:customStyle="1" w:styleId="Cuadrculaclara-nfasis1113">
    <w:name w:val="Cuadrícula clara - Énfasis 1113"/>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SemiBold SemiConden" w:eastAsia="Times New Roman" w:hAnsi="Bahnschrift SemiBold SemiConde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Bold SemiConden" w:eastAsia="Times New Roman" w:hAnsi="Bahnschrift SemiBold SemiConde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Bold SemiConden" w:eastAsia="Times New Roman" w:hAnsi="Bahnschrift SemiBold SemiConden" w:cs="Times New Roman"/>
        <w:b/>
        <w:bCs/>
      </w:rPr>
    </w:tblStylePr>
    <w:tblStylePr w:type="lastCol">
      <w:rPr>
        <w:rFonts w:ascii="Bahnschrift SemiBold SemiConden" w:eastAsia="Times New Roman" w:hAnsi="Bahnschrift SemiBold SemiConde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11">
    <w:name w:val="Tabla con cuadrícula111"/>
    <w:basedOn w:val="Tablanormal"/>
    <w:next w:val="Tablaconcuadrcula"/>
    <w:uiPriority w:val="39"/>
    <w:qFormat/>
    <w:rsid w:val="00B15F7D"/>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11">
    <w:name w:val="Tabla con cuadrícula 1 clara - Énfasis 11"/>
    <w:basedOn w:val="Tablanormal"/>
    <w:next w:val="Tablanormal"/>
    <w:uiPriority w:val="46"/>
    <w:rsid w:val="00B15F7D"/>
    <w:pPr>
      <w:spacing w:after="0" w:line="240" w:lineRule="auto"/>
    </w:pPr>
    <w:rPr>
      <w:rFonts w:ascii="Calibri" w:eastAsia="Calibri" w:hAnsi="Calibri" w:cs="Times New Roman"/>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clara-nfasis12">
    <w:name w:val="Tabla con cuadrícula 1 clara - Énfasis 12"/>
    <w:basedOn w:val="Tablanormal"/>
    <w:next w:val="Tablanormal"/>
    <w:uiPriority w:val="46"/>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111">
    <w:name w:val="Tabla con cuadrícula1111"/>
    <w:basedOn w:val="Tablanormal"/>
    <w:next w:val="Tablaconcuadrcula"/>
    <w:uiPriority w:val="39"/>
    <w:rsid w:val="00B15F7D"/>
    <w:pPr>
      <w:suppressAutoHyphens/>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basedOn w:val="Tablanormal"/>
    <w:next w:val="Tablaconcuadrcula"/>
    <w:uiPriority w:val="39"/>
    <w:rsid w:val="00B15F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43">
    <w:name w:val="Car43"/>
    <w:basedOn w:val="Normal"/>
    <w:uiPriority w:val="99"/>
    <w:qFormat/>
    <w:rsid w:val="00B15F7D"/>
    <w:pPr>
      <w:spacing w:after="160" w:line="240" w:lineRule="exact"/>
    </w:pPr>
    <w:rPr>
      <w:rFonts w:ascii="Verdana" w:hAnsi="Verdana"/>
      <w:sz w:val="20"/>
      <w:szCs w:val="21"/>
      <w:lang w:val="en-AU"/>
    </w:rPr>
  </w:style>
  <w:style w:type="paragraph" w:customStyle="1" w:styleId="CharChar66">
    <w:name w:val="Char Char66"/>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31">
    <w:name w:val="Párrafo de lista131"/>
    <w:basedOn w:val="Normal"/>
    <w:uiPriority w:val="99"/>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9">
    <w:name w:val="Car Car Car Car Car Car29"/>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7">
    <w:name w:val="Texto de bloque127"/>
    <w:basedOn w:val="Normal"/>
    <w:uiPriority w:val="99"/>
    <w:qFormat/>
    <w:rsid w:val="00B15F7D"/>
    <w:pPr>
      <w:widowControl w:val="0"/>
      <w:autoSpaceDE w:val="0"/>
      <w:ind w:left="-540" w:right="-415" w:firstLine="1248"/>
      <w:jc w:val="both"/>
    </w:pPr>
    <w:rPr>
      <w:rFonts w:ascii="Arial" w:hAnsi="Arial" w:cs="Arial"/>
      <w:lang w:eastAsia="zh-CN"/>
    </w:rPr>
  </w:style>
  <w:style w:type="paragraph" w:customStyle="1" w:styleId="Textoindependiente2228">
    <w:name w:val="Texto independiente 2228"/>
    <w:basedOn w:val="Normal"/>
    <w:uiPriority w:val="99"/>
    <w:qFormat/>
    <w:rsid w:val="00B15F7D"/>
    <w:pPr>
      <w:spacing w:line="360" w:lineRule="auto"/>
      <w:jc w:val="both"/>
    </w:pPr>
    <w:rPr>
      <w:rFonts w:ascii="Arial" w:hAnsi="Arial" w:cs="Arial"/>
      <w:kern w:val="1"/>
      <w:szCs w:val="20"/>
      <w:lang w:val="es-CR"/>
    </w:rPr>
  </w:style>
  <w:style w:type="paragraph" w:customStyle="1" w:styleId="Sangra2detindependiente127">
    <w:name w:val="Sangría 2 de t. independiente127"/>
    <w:basedOn w:val="Normal"/>
    <w:uiPriority w:val="99"/>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5">
    <w:name w:val="Char Char65"/>
    <w:basedOn w:val="Normal"/>
    <w:uiPriority w:val="99"/>
    <w:qFormat/>
    <w:rsid w:val="00B15F7D"/>
    <w:pPr>
      <w:suppressAutoHyphens w:val="0"/>
      <w:spacing w:after="160" w:line="240" w:lineRule="exact"/>
    </w:pPr>
    <w:rPr>
      <w:rFonts w:ascii="Verdana" w:hAnsi="Verdana"/>
      <w:sz w:val="20"/>
      <w:szCs w:val="21"/>
      <w:lang w:val="en-AU" w:eastAsia="en-US"/>
    </w:rPr>
  </w:style>
  <w:style w:type="paragraph" w:customStyle="1" w:styleId="Car420">
    <w:name w:val="Car42"/>
    <w:basedOn w:val="Normal"/>
    <w:uiPriority w:val="99"/>
    <w:qFormat/>
    <w:rsid w:val="00B15F7D"/>
    <w:pPr>
      <w:spacing w:after="160" w:line="240" w:lineRule="exact"/>
    </w:pPr>
    <w:rPr>
      <w:rFonts w:ascii="Verdana" w:hAnsi="Verdana"/>
      <w:sz w:val="20"/>
      <w:szCs w:val="21"/>
      <w:lang w:val="en-AU"/>
    </w:rPr>
  </w:style>
  <w:style w:type="paragraph" w:customStyle="1" w:styleId="CharChar64">
    <w:name w:val="Char Char64"/>
    <w:basedOn w:val="Normal"/>
    <w:uiPriority w:val="99"/>
    <w:semiHidden/>
    <w:qFormat/>
    <w:rsid w:val="00B15F7D"/>
    <w:pPr>
      <w:suppressAutoHyphens w:val="0"/>
      <w:spacing w:after="160" w:line="240" w:lineRule="exact"/>
    </w:pPr>
    <w:rPr>
      <w:rFonts w:ascii="Verdana" w:hAnsi="Verdana"/>
      <w:sz w:val="20"/>
      <w:szCs w:val="21"/>
      <w:lang w:val="en-AU" w:eastAsia="en-US"/>
    </w:rPr>
  </w:style>
  <w:style w:type="paragraph" w:customStyle="1" w:styleId="Prrafodelista130">
    <w:name w:val="Párrafo de lista130"/>
    <w:basedOn w:val="Normal"/>
    <w:uiPriority w:val="34"/>
    <w:qFormat/>
    <w:rsid w:val="00B15F7D"/>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8">
    <w:name w:val="Car Car Car Car Car Car28"/>
    <w:basedOn w:val="Normal"/>
    <w:uiPriority w:val="99"/>
    <w:semiHidden/>
    <w:qFormat/>
    <w:rsid w:val="00B15F7D"/>
    <w:pPr>
      <w:suppressAutoHyphens w:val="0"/>
      <w:spacing w:after="160" w:line="240" w:lineRule="exact"/>
    </w:pPr>
    <w:rPr>
      <w:rFonts w:ascii="Verdana" w:hAnsi="Verdana" w:cs="Verdana"/>
      <w:sz w:val="20"/>
      <w:szCs w:val="20"/>
      <w:lang w:val="en-AU" w:eastAsia="en-US"/>
    </w:rPr>
  </w:style>
  <w:style w:type="paragraph" w:customStyle="1" w:styleId="Textodebloque126">
    <w:name w:val="Texto de bloque126"/>
    <w:basedOn w:val="Normal"/>
    <w:uiPriority w:val="99"/>
    <w:qFormat/>
    <w:rsid w:val="00B15F7D"/>
    <w:pPr>
      <w:widowControl w:val="0"/>
      <w:autoSpaceDE w:val="0"/>
      <w:ind w:left="-540" w:right="-415" w:firstLine="1248"/>
      <w:jc w:val="both"/>
    </w:pPr>
    <w:rPr>
      <w:rFonts w:ascii="Arial" w:hAnsi="Arial" w:cs="Arial"/>
      <w:lang w:eastAsia="zh-CN"/>
    </w:rPr>
  </w:style>
  <w:style w:type="paragraph" w:customStyle="1" w:styleId="Textoindependiente2227">
    <w:name w:val="Texto independiente 2227"/>
    <w:basedOn w:val="Normal"/>
    <w:uiPriority w:val="99"/>
    <w:qFormat/>
    <w:rsid w:val="00B15F7D"/>
    <w:pPr>
      <w:spacing w:line="360" w:lineRule="auto"/>
      <w:jc w:val="both"/>
    </w:pPr>
    <w:rPr>
      <w:rFonts w:ascii="Arial" w:hAnsi="Arial" w:cs="Arial"/>
      <w:kern w:val="1"/>
      <w:szCs w:val="20"/>
      <w:lang w:val="es-CR"/>
    </w:rPr>
  </w:style>
  <w:style w:type="paragraph" w:customStyle="1" w:styleId="Sangra2detindependiente126">
    <w:name w:val="Sangría 2 de t. independiente126"/>
    <w:basedOn w:val="Normal"/>
    <w:uiPriority w:val="99"/>
    <w:qFormat/>
    <w:rsid w:val="00B15F7D"/>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3">
    <w:name w:val="Char Char63"/>
    <w:basedOn w:val="Normal"/>
    <w:uiPriority w:val="99"/>
    <w:qFormat/>
    <w:rsid w:val="00B15F7D"/>
    <w:pPr>
      <w:suppressAutoHyphens w:val="0"/>
      <w:spacing w:after="160" w:line="240" w:lineRule="exact"/>
    </w:pPr>
    <w:rPr>
      <w:rFonts w:ascii="Verdana" w:hAnsi="Verdana"/>
      <w:sz w:val="20"/>
      <w:szCs w:val="21"/>
      <w:lang w:val="en-AU" w:eastAsia="en-US"/>
    </w:rPr>
  </w:style>
  <w:style w:type="table" w:customStyle="1" w:styleId="Cuadrculaclara-nfasis11112">
    <w:name w:val="Cuadrícula clara - Énfasis 11112"/>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Condensed" w:eastAsia="Times New Roman" w:hAnsi="Bahnschrift Light 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Condensed" w:eastAsia="Times New Roman" w:hAnsi="Bahnschrift Light 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Condensed" w:eastAsia="Times New Roman" w:hAnsi="Bahnschrift Light Condensed" w:cs="Times New Roman"/>
        <w:b/>
        <w:bCs/>
      </w:rPr>
    </w:tblStylePr>
    <w:tblStylePr w:type="lastCol">
      <w:rPr>
        <w:rFonts w:ascii="Bahnschrift Light Condensed" w:eastAsia="Times New Roman" w:hAnsi="Bahnschrift Light 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11111">
    <w:name w:val="Tabla con cuadrícula111111"/>
    <w:basedOn w:val="Tablanormal"/>
    <w:next w:val="Tablaconcuadrcula"/>
    <w:uiPriority w:val="39"/>
    <w:rsid w:val="00B15F7D"/>
    <w:pPr>
      <w:suppressAutoHyphens/>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111112">
    <w:name w:val="Cuadrícula clara - Énfasis 111112"/>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SemiLight Condensed" w:eastAsia="Times New Roman" w:hAnsi="Bahnschrift SemiLight 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Light Condensed" w:eastAsia="Times New Roman" w:hAnsi="Bahnschrift SemiLight 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Light Condensed" w:eastAsia="Times New Roman" w:hAnsi="Bahnschrift SemiLight Condensed" w:cs="Times New Roman"/>
        <w:b/>
        <w:bCs/>
      </w:rPr>
    </w:tblStylePr>
    <w:tblStylePr w:type="lastCol">
      <w:rPr>
        <w:rFonts w:ascii="Bahnschrift SemiLight Condensed" w:eastAsia="Times New Roman" w:hAnsi="Bahnschrift SemiLight 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1112">
    <w:name w:val="Cuadrícula clara - Énfasis 1111112"/>
    <w:basedOn w:val="Tablanormal"/>
    <w:uiPriority w:val="62"/>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SemiBold Condensed" w:eastAsia="Times New Roman" w:hAnsi="Bahnschrift SemiBold 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Bold Condensed" w:eastAsia="Times New Roman" w:hAnsi="Bahnschrift SemiBold 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Bold Condensed" w:eastAsia="Times New Roman" w:hAnsi="Bahnschrift SemiBold Condensed" w:cs="Times New Roman"/>
        <w:b/>
        <w:bCs/>
      </w:rPr>
    </w:tblStylePr>
    <w:tblStylePr w:type="lastCol">
      <w:rPr>
        <w:rFonts w:ascii="Bahnschrift SemiBold Condensed" w:eastAsia="Times New Roman" w:hAnsi="Bahnschrift SemiBold 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media2-nfasis12">
    <w:name w:val="Lista media 2 - Énfasis 12"/>
    <w:basedOn w:val="Tablanormal"/>
    <w:next w:val="Listamedia2-nfasis1"/>
    <w:uiPriority w:val="99"/>
    <w:unhideWhenUsed/>
    <w:rsid w:val="00B15F7D"/>
    <w:pPr>
      <w:spacing w:after="0" w:line="240" w:lineRule="auto"/>
    </w:pPr>
    <w:rPr>
      <w:rFonts w:ascii="Cambria" w:eastAsia="Times New Roman" w:hAnsi="Cambria" w:cs="Times New Roman"/>
      <w:color w:val="000000"/>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ascii="Lucida Sans Unicode" w:hAnsi="Lucida Sans Unicode" w:cs="Times New Roman" w:hint="default"/>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ascii="Lucida Sans Unicode" w:hAnsi="Lucida Sans Unicode" w:cs="Times New Roman" w:hint="default"/>
      </w:rPr>
      <w:tblPr/>
      <w:tcPr>
        <w:tcBorders>
          <w:top w:val="single" w:sz="8" w:space="0" w:color="4F81BD"/>
          <w:left w:val="nil"/>
          <w:bottom w:val="nil"/>
          <w:right w:val="nil"/>
          <w:insideH w:val="nil"/>
          <w:insideV w:val="nil"/>
        </w:tcBorders>
        <w:shd w:val="clear" w:color="auto" w:fill="FFFFFF"/>
      </w:tcPr>
    </w:tblStylePr>
    <w:tblStylePr w:type="firstCol">
      <w:rPr>
        <w:rFonts w:ascii="Lucida Sans Unicode" w:hAnsi="Lucida Sans Unicode" w:cs="Times New Roman" w:hint="default"/>
      </w:rPr>
      <w:tblPr/>
      <w:tcPr>
        <w:tcBorders>
          <w:top w:val="nil"/>
          <w:left w:val="nil"/>
          <w:bottom w:val="nil"/>
          <w:right w:val="single" w:sz="8" w:space="0" w:color="4F81BD"/>
          <w:insideH w:val="nil"/>
          <w:insideV w:val="nil"/>
        </w:tcBorders>
        <w:shd w:val="clear" w:color="auto" w:fill="FFFFFF"/>
      </w:tcPr>
    </w:tblStylePr>
    <w:tblStylePr w:type="lastCol">
      <w:rPr>
        <w:rFonts w:ascii="Lucida Sans Unicode" w:hAnsi="Lucida Sans Unicode" w:cs="Times New Roman" w:hint="default"/>
      </w:rPr>
      <w:tblPr/>
      <w:tcPr>
        <w:tcBorders>
          <w:top w:val="nil"/>
          <w:left w:val="single" w:sz="8" w:space="0" w:color="4F81BD"/>
          <w:bottom w:val="nil"/>
          <w:right w:val="nil"/>
          <w:insideH w:val="nil"/>
          <w:insideV w:val="nil"/>
        </w:tcBorders>
        <w:shd w:val="clear" w:color="auto" w:fill="FFFFFF"/>
      </w:tcPr>
    </w:tblStylePr>
    <w:tblStylePr w:type="band1Vert">
      <w:rPr>
        <w:rFonts w:ascii="Lucida Sans Unicode" w:hAnsi="Lucida Sans Unicode" w:cs="Times New Roman" w:hint="default"/>
      </w:rPr>
      <w:tblPr/>
      <w:tcPr>
        <w:tcBorders>
          <w:left w:val="nil"/>
          <w:right w:val="nil"/>
          <w:insideH w:val="nil"/>
          <w:insideV w:val="nil"/>
        </w:tcBorders>
        <w:shd w:val="clear" w:color="auto" w:fill="D3DFEE"/>
      </w:tcPr>
    </w:tblStylePr>
    <w:tblStylePr w:type="band1Horz">
      <w:rPr>
        <w:rFonts w:ascii="Lucida Sans Unicode" w:hAnsi="Lucida Sans Unicode" w:cs="Times New Roman" w:hint="default"/>
      </w:rPr>
      <w:tblPr/>
      <w:tcPr>
        <w:tcBorders>
          <w:top w:val="nil"/>
          <w:bottom w:val="nil"/>
          <w:insideH w:val="nil"/>
          <w:insideV w:val="nil"/>
        </w:tcBorders>
        <w:shd w:val="clear" w:color="auto" w:fill="D3DFEE"/>
      </w:tcPr>
    </w:tblStylePr>
    <w:tblStylePr w:type="nwCell">
      <w:rPr>
        <w:rFonts w:ascii="Lucida Sans Unicode" w:hAnsi="Lucida Sans Unicode" w:cs="Times New Roman" w:hint="default"/>
      </w:rPr>
      <w:tblPr/>
      <w:tcPr>
        <w:shd w:val="clear" w:color="auto" w:fill="FFFFFF"/>
      </w:tcPr>
    </w:tblStylePr>
    <w:tblStylePr w:type="swCell">
      <w:rPr>
        <w:rFonts w:ascii="Lucida Sans Unicode" w:hAnsi="Lucida Sans Unicode" w:cs="Times New Roman" w:hint="default"/>
      </w:rPr>
      <w:tblPr/>
      <w:tcPr>
        <w:tcBorders>
          <w:top w:val="nil"/>
        </w:tcBorders>
      </w:tcPr>
    </w:tblStylePr>
  </w:style>
  <w:style w:type="table" w:customStyle="1" w:styleId="Cuadrculaclara-nfasis11111112">
    <w:name w:val="Cuadrícula clara - Énfasis 11111112"/>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algun Gothic" w:eastAsia="Times New Roman" w:hAnsi="Malgun Gothic"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algun Gothic" w:eastAsia="Times New Roman" w:hAnsi="Malgun Gothic"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w:eastAsia="Times New Roman" w:hAnsi="Malgun Gothic" w:cs="Times New Roman" w:hint="default"/>
        <w:b/>
        <w:bCs/>
      </w:rPr>
    </w:tblStylePr>
    <w:tblStylePr w:type="lastCol">
      <w:rPr>
        <w:rFonts w:ascii="Malgun Gothic" w:eastAsia="Times New Roman" w:hAnsi="Malgun Gothic"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2">
    <w:name w:val="Cuadrícula clara - Énfasis 111111112"/>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algun Gothic" w:eastAsia="Times New Roman" w:hAnsi="@Malgun Gothic"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algun Gothic" w:eastAsia="Times New Roman" w:hAnsi="@Malgun Gothic"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w:eastAsia="Times New Roman" w:hAnsi="@Malgun Gothic" w:cs="Times New Roman" w:hint="default"/>
        <w:b/>
        <w:bCs/>
      </w:rPr>
    </w:tblStylePr>
    <w:tblStylePr w:type="lastCol">
      <w:rPr>
        <w:rFonts w:ascii="@Malgun Gothic" w:eastAsia="Times New Roman" w:hAnsi="@Malgun Gothic"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2">
    <w:name w:val="Cuadrícula clara - Énfasis 1111111112"/>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algun Gothic Semilight" w:eastAsia="Times New Roman" w:hAnsi="Malgun Gothic Semi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algun Gothic Semilight" w:eastAsia="Times New Roman" w:hAnsi="Malgun Gothic Semi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hint="default"/>
        <w:b/>
        <w:bCs/>
      </w:rPr>
    </w:tblStylePr>
    <w:tblStylePr w:type="lastCol">
      <w:rPr>
        <w:rFonts w:ascii="Malgun Gothic Semilight" w:eastAsia="Times New Roman" w:hAnsi="Malgun Gothic Semi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2">
    <w:name w:val="Cuadrícula clara - Énfasis 11111111112"/>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Bahnschrift Condensed" w:eastAsia="Times New Roman" w:hAnsi="Bahnschrift Condensed"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Bahnschrift Condensed" w:eastAsia="Times New Roman" w:hAnsi="Bahnschrift Condensed"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Condensed" w:eastAsia="Times New Roman" w:hAnsi="Bahnschrift Condensed" w:cs="Times New Roman" w:hint="default"/>
        <w:b/>
        <w:bCs/>
      </w:rPr>
    </w:tblStylePr>
    <w:tblStylePr w:type="lastCol">
      <w:rPr>
        <w:rFonts w:ascii="Bahnschrift Condensed" w:eastAsia="Times New Roman" w:hAnsi="Bahnschrift Condensed"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12">
    <w:name w:val="Cuadrícula clara - Énfasis 111111111112"/>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algun Gothic Semilight" w:eastAsia="Times New Roman" w:hAnsi="@Malgun Gothic Semi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algun Gothic Semilight" w:eastAsia="Times New Roman" w:hAnsi="@Malgun Gothic Semi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hint="default"/>
        <w:b/>
        <w:bCs/>
      </w:rPr>
    </w:tblStylePr>
    <w:tblStylePr w:type="lastCol">
      <w:rPr>
        <w:rFonts w:ascii="@Malgun Gothic Semilight" w:eastAsia="Times New Roman" w:hAnsi="@Malgun Gothic Semi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111">
    <w:name w:val="Cuadrícula clara - Énfasis 111111111111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Lucida Sans Unicode" w:eastAsia="Times New Roman" w:hAnsi="Lucida Sans Unicode"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Lucida Sans Unicode" w:eastAsia="Times New Roman" w:hAnsi="Lucida Sans Unicode"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ucida Sans Unicode" w:eastAsia="Times New Roman" w:hAnsi="Lucida Sans Unicode" w:cs="Times New Roman" w:hint="default"/>
        <w:b/>
        <w:bCs/>
      </w:rPr>
    </w:tblStylePr>
    <w:tblStylePr w:type="lastCol">
      <w:rPr>
        <w:rFonts w:ascii="Lucida Sans Unicode" w:eastAsia="Times New Roman" w:hAnsi="Lucida Sans Unicode"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1111">
    <w:name w:val="Cuadrícula clara - Énfasis 11111111111111"/>
    <w:basedOn w:val="Tablanormal"/>
    <w:uiPriority w:val="62"/>
    <w:rsid w:val="00B15F7D"/>
    <w:pPr>
      <w:spacing w:after="0" w:line="240" w:lineRule="auto"/>
    </w:pPr>
    <w:rPr>
      <w:rFonts w:ascii="Calibri" w:eastAsia="Calibri" w:hAnsi="Calibri" w:cs="Times New Roman"/>
      <w:sz w:val="20"/>
      <w:szCs w:val="20"/>
      <w:lang w:val="en-US"/>
    </w:rPr>
    <w:tbl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media2-nfasis111">
    <w:name w:val="Lista media 2 - Énfasis 111"/>
    <w:basedOn w:val="Tablanormal"/>
    <w:uiPriority w:val="99"/>
    <w:rsid w:val="00B15F7D"/>
    <w:pPr>
      <w:spacing w:after="0" w:line="240" w:lineRule="auto"/>
    </w:pPr>
    <w:rPr>
      <w:rFonts w:ascii="Calibri" w:eastAsia="Calibri" w:hAnsi="Calibri" w:cs="Times New Roman"/>
      <w:sz w:val="20"/>
      <w:szCs w:val="20"/>
      <w:lang w:val="en-US"/>
    </w:rPr>
    <w:tblPr/>
    <w:tblStylePr w:type="band1Vert">
      <w:rPr>
        <w:rFonts w:ascii="Lucida Sans Unicode" w:hAnsi="Lucida Sans Unicode" w:cs="Times New Roman" w:hint="default"/>
      </w:rPr>
      <w:tblPr/>
      <w:tcPr>
        <w:tcBorders>
          <w:left w:val="nil"/>
          <w:right w:val="nil"/>
          <w:insideH w:val="nil"/>
          <w:insideV w:val="nil"/>
        </w:tcBorders>
        <w:shd w:val="clear" w:color="auto" w:fill="D3DFEE"/>
      </w:tcPr>
    </w:tblStylePr>
  </w:style>
  <w:style w:type="table" w:customStyle="1" w:styleId="Cuadrculaclara-nfasis1121">
    <w:name w:val="Cuadrícula clara - Énfasis 1121"/>
    <w:basedOn w:val="Tablanormal"/>
    <w:uiPriority w:val="62"/>
    <w:rsid w:val="00B15F7D"/>
    <w:pPr>
      <w:spacing w:after="0" w:line="240" w:lineRule="auto"/>
    </w:pPr>
    <w:rPr>
      <w:rFonts w:ascii="Calibri" w:eastAsia="Calibri" w:hAnsi="Calibri" w:cs="Times New Roman"/>
      <w:sz w:val="20"/>
      <w:szCs w:val="20"/>
      <w:lang w:val="en-US"/>
    </w:rPr>
    <w:tblPr/>
    <w:tblStylePr w:type="firstCol">
      <w:rPr>
        <w:rFonts w:ascii="Microsoft Himalaya" w:eastAsia="Times New Roman" w:hAnsi="Microsoft Himalaya" w:cs="Times New Roman" w:hint="default"/>
        <w:b/>
        <w:bCs/>
      </w:rPr>
    </w:tblStylePr>
    <w:tblStylePr w:type="lastCol">
      <w:rPr>
        <w:rFonts w:ascii="Microsoft Himalaya" w:eastAsia="Times New Roman" w:hAnsi="Microsoft Himalay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31">
    <w:name w:val="Cuadrícula clara - Énfasis 1131"/>
    <w:basedOn w:val="Tablanormal"/>
    <w:uiPriority w:val="62"/>
    <w:rsid w:val="00B15F7D"/>
    <w:pPr>
      <w:spacing w:after="0" w:line="240" w:lineRule="auto"/>
    </w:pPr>
    <w:rPr>
      <w:rFonts w:ascii="Calibri" w:eastAsia="Calibri" w:hAnsi="Calibri" w:cs="Times New Roman"/>
      <w:sz w:val="20"/>
      <w:szCs w:val="20"/>
      <w:lang w:val="en-US"/>
    </w:rPr>
    <w:tblPr/>
    <w:tblStylePr w:type="lastCol">
      <w:rPr>
        <w:rFonts w:ascii="Lucida Sans Unicode" w:eastAsia="Times New Roman" w:hAnsi="Lucida Sans Unicode"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41">
    <w:name w:val="Cuadrícula clara - Énfasis 1141"/>
    <w:basedOn w:val="Tablanormal"/>
    <w:uiPriority w:val="62"/>
    <w:rsid w:val="00B15F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algun Gothic" w:eastAsia="Times New Roman" w:hAnsi="Malgun Gothic"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algun Gothic" w:eastAsia="Times New Roman" w:hAnsi="Malgun Gothic"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w:eastAsia="Times New Roman" w:hAnsi="Malgun Gothic" w:cs="Times New Roman" w:hint="default"/>
        <w:b/>
        <w:bCs/>
      </w:rPr>
    </w:tblStylePr>
    <w:tblStylePr w:type="lastCol">
      <w:rPr>
        <w:rFonts w:ascii="Malgun Gothic" w:eastAsia="Times New Roman" w:hAnsi="Malgun Gothic"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paragraph" w:styleId="Asuntodelcomentario">
    <w:name w:val="annotation subject"/>
    <w:basedOn w:val="Textocomentario"/>
    <w:next w:val="Textocomentario"/>
    <w:link w:val="AsuntodelcomentarioCar4"/>
    <w:unhideWhenUsed/>
    <w:qFormat/>
    <w:rsid w:val="00B15F7D"/>
    <w:rPr>
      <w:b/>
      <w:bCs/>
      <w:lang w:val="es-ES_tradnl"/>
    </w:rPr>
  </w:style>
  <w:style w:type="character" w:customStyle="1" w:styleId="AsuntodelcomentarioCar4">
    <w:name w:val="Asunto del comentario Car4"/>
    <w:basedOn w:val="TextocomentarioCar"/>
    <w:link w:val="Asuntodelcomentario"/>
    <w:rsid w:val="00B15F7D"/>
    <w:rPr>
      <w:rFonts w:ascii="Times New Roman" w:eastAsia="Times New Roman" w:hAnsi="Times New Roman" w:cs="Times New Roman"/>
      <w:b/>
      <w:bCs/>
      <w:sz w:val="20"/>
      <w:szCs w:val="20"/>
      <w:lang w:val="es-ES_tradnl" w:eastAsia="ar-SA"/>
    </w:rPr>
  </w:style>
  <w:style w:type="character" w:customStyle="1" w:styleId="Mencinsinresolver11">
    <w:name w:val="Mención sin resolver11"/>
    <w:basedOn w:val="Fuentedeprrafopredeter"/>
    <w:uiPriority w:val="99"/>
    <w:semiHidden/>
    <w:unhideWhenUsed/>
    <w:rsid w:val="00B15F7D"/>
    <w:rPr>
      <w:color w:val="605E5C"/>
      <w:shd w:val="clear" w:color="auto" w:fill="E1DFDD"/>
    </w:rPr>
  </w:style>
  <w:style w:type="table" w:customStyle="1" w:styleId="Tablaconcuadrcula5oscura-nfasis11">
    <w:name w:val="Tabla con cuadrícula 5 oscura - Énfasis 11"/>
    <w:basedOn w:val="Tablanormal"/>
    <w:next w:val="Tablanormal"/>
    <w:uiPriority w:val="50"/>
    <w:rsid w:val="00B15F7D"/>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12">
    <w:name w:val="Tabla con cuadrícula 5 oscura - Énfasis 12"/>
    <w:basedOn w:val="Tablanormal"/>
    <w:next w:val="Tablanormal"/>
    <w:uiPriority w:val="50"/>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wordsection1">
    <w:name w:val="wordsection1"/>
    <w:basedOn w:val="Normal"/>
    <w:uiPriority w:val="99"/>
    <w:qFormat/>
    <w:rsid w:val="00B15F7D"/>
    <w:pPr>
      <w:suppressAutoHyphens w:val="0"/>
      <w:autoSpaceDN w:val="0"/>
    </w:pPr>
    <w:rPr>
      <w:rFonts w:eastAsia="Calibri"/>
      <w:lang w:val="es-CR" w:eastAsia="es-CR"/>
    </w:rPr>
  </w:style>
  <w:style w:type="table" w:customStyle="1" w:styleId="Tablaconcuadrcula1clara-nfasis13">
    <w:name w:val="Tabla con cuadrícula 1 clara - Énfasis 13"/>
    <w:basedOn w:val="Tablanormal"/>
    <w:next w:val="Tablanormal"/>
    <w:uiPriority w:val="46"/>
    <w:rsid w:val="00B15F7D"/>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5oscura-nfasis13">
    <w:name w:val="Tabla con cuadrícula 5 oscura - Énfasis 13"/>
    <w:basedOn w:val="Tablanormal"/>
    <w:next w:val="Tablanormal"/>
    <w:uiPriority w:val="50"/>
    <w:rsid w:val="00B15F7D"/>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1clara-nfasis131">
    <w:name w:val="Tabla con cuadrícula 1 clara - Énfasis 131"/>
    <w:basedOn w:val="Tablanormal"/>
    <w:next w:val="Tablanormal"/>
    <w:uiPriority w:val="46"/>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5oscura-nfasis131">
    <w:name w:val="Tabla con cuadrícula 5 oscura - Énfasis 131"/>
    <w:basedOn w:val="Tablanormal"/>
    <w:next w:val="Tablanormal"/>
    <w:uiPriority w:val="50"/>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1clara-nfasis14">
    <w:name w:val="Tabla con cuadrícula 1 clara - Énfasis 14"/>
    <w:basedOn w:val="Tablanormal"/>
    <w:next w:val="Tablanormal"/>
    <w:uiPriority w:val="46"/>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5oscura-nfasis14">
    <w:name w:val="Tabla con cuadrícula 5 oscura - Énfasis 14"/>
    <w:basedOn w:val="Tablanormal"/>
    <w:next w:val="Tablanormal"/>
    <w:uiPriority w:val="50"/>
    <w:rsid w:val="00B15F7D"/>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decuadrcula41">
    <w:name w:val="Tabla de cuadrícula 41"/>
    <w:basedOn w:val="Tablanormal"/>
    <w:next w:val="Tablanormal"/>
    <w:uiPriority w:val="49"/>
    <w:rsid w:val="00B15F7D"/>
    <w:pPr>
      <w:spacing w:after="0" w:line="240" w:lineRule="auto"/>
    </w:pPr>
    <w:rPr>
      <w:rFonts w:ascii="Calibri" w:eastAsia="Calibri" w:hAnsi="Calibri" w:cs="Times New Roman"/>
      <w:lang w:val="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clara-nfasis15">
    <w:name w:val="Tabla con cuadrícula 1 clara - Énfasis 15"/>
    <w:basedOn w:val="Tablanormal"/>
    <w:next w:val="Tablanormal"/>
    <w:uiPriority w:val="46"/>
    <w:rsid w:val="00B15F7D"/>
    <w:pPr>
      <w:spacing w:after="0" w:line="240" w:lineRule="auto"/>
    </w:pPr>
    <w:rPr>
      <w:rFonts w:ascii="Calibri" w:eastAsia="Calibri" w:hAnsi="Calibri" w:cs="Times New Roman"/>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5oscura-nfasis15">
    <w:name w:val="Tabla con cuadrícula 5 oscura - Énfasis 15"/>
    <w:basedOn w:val="Tablanormal"/>
    <w:next w:val="Tablanormal"/>
    <w:uiPriority w:val="50"/>
    <w:rsid w:val="00B15F7D"/>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decuadrcula43">
    <w:name w:val="Tabla de cuadrícula 43"/>
    <w:basedOn w:val="Tablanormal"/>
    <w:next w:val="Tablanormal"/>
    <w:uiPriority w:val="49"/>
    <w:rsid w:val="00B15F7D"/>
    <w:pPr>
      <w:spacing w:after="0" w:line="240" w:lineRule="auto"/>
    </w:pPr>
    <w:rPr>
      <w:rFonts w:ascii="Calibri" w:eastAsia="Calibri" w:hAnsi="Calibri" w:cs="Times New Roman"/>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WWNum4152111">
    <w:name w:val="WWNum4152111"/>
    <w:rsid w:val="00B15F7D"/>
    <w:pPr>
      <w:numPr>
        <w:numId w:val="97"/>
      </w:numPr>
    </w:pPr>
  </w:style>
  <w:style w:type="numbering" w:customStyle="1" w:styleId="WWNum211111111">
    <w:name w:val="WWNum211111111"/>
    <w:rsid w:val="00B15F7D"/>
    <w:pPr>
      <w:numPr>
        <w:numId w:val="95"/>
      </w:numPr>
    </w:pPr>
  </w:style>
  <w:style w:type="numbering" w:customStyle="1" w:styleId="Nmero">
    <w:name w:val="Nmero"/>
    <w:rsid w:val="00B15F7D"/>
    <w:pPr>
      <w:numPr>
        <w:numId w:val="10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oleObject" Target="embeddings/oleObject6.bin"/><Relationship Id="rId42" Type="http://schemas.openxmlformats.org/officeDocument/2006/relationships/oleObject" Target="embeddings/oleObject10.bin"/><Relationship Id="rId63" Type="http://schemas.openxmlformats.org/officeDocument/2006/relationships/image" Target="media/image36.emf"/><Relationship Id="rId84" Type="http://schemas.openxmlformats.org/officeDocument/2006/relationships/image" Target="media/image47.emf"/><Relationship Id="rId138" Type="http://schemas.openxmlformats.org/officeDocument/2006/relationships/package" Target="embeddings/Microsoft_Word_Document10.docx"/><Relationship Id="rId159" Type="http://schemas.openxmlformats.org/officeDocument/2006/relationships/oleObject" Target="embeddings/oleObject30.bin"/><Relationship Id="rId170" Type="http://schemas.openxmlformats.org/officeDocument/2006/relationships/image" Target="media/image101.png"/><Relationship Id="rId107" Type="http://schemas.openxmlformats.org/officeDocument/2006/relationships/image" Target="media/image61.png"/><Relationship Id="rId11" Type="http://schemas.openxmlformats.org/officeDocument/2006/relationships/oleObject" Target="embeddings/oleObject2.bin"/><Relationship Id="rId32" Type="http://schemas.openxmlformats.org/officeDocument/2006/relationships/image" Target="media/image16.png"/><Relationship Id="rId53" Type="http://schemas.openxmlformats.org/officeDocument/2006/relationships/footer" Target="footer1.xml"/><Relationship Id="rId74" Type="http://schemas.openxmlformats.org/officeDocument/2006/relationships/image" Target="media/image42.emf"/><Relationship Id="rId128" Type="http://schemas.openxmlformats.org/officeDocument/2006/relationships/oleObject" Target="embeddings/oleObject24.bin"/><Relationship Id="rId149" Type="http://schemas.openxmlformats.org/officeDocument/2006/relationships/image" Target="media/image88.wmf"/><Relationship Id="rId5" Type="http://schemas.openxmlformats.org/officeDocument/2006/relationships/webSettings" Target="webSettings.xml"/><Relationship Id="rId95" Type="http://schemas.openxmlformats.org/officeDocument/2006/relationships/image" Target="media/image53.emf"/><Relationship Id="rId160" Type="http://schemas.openxmlformats.org/officeDocument/2006/relationships/image" Target="media/image95.emf"/><Relationship Id="rId181" Type="http://schemas.openxmlformats.org/officeDocument/2006/relationships/oleObject" Target="embeddings/oleObject37.bin"/><Relationship Id="rId22" Type="http://schemas.openxmlformats.org/officeDocument/2006/relationships/image" Target="media/image9.emf"/><Relationship Id="rId43" Type="http://schemas.openxmlformats.org/officeDocument/2006/relationships/image" Target="media/image23.emf"/><Relationship Id="rId64" Type="http://schemas.openxmlformats.org/officeDocument/2006/relationships/image" Target="media/image37.emf"/><Relationship Id="rId118" Type="http://schemas.openxmlformats.org/officeDocument/2006/relationships/chart" Target="charts/chart6.xml"/><Relationship Id="rId139" Type="http://schemas.openxmlformats.org/officeDocument/2006/relationships/image" Target="media/image80.png"/><Relationship Id="rId85" Type="http://schemas.openxmlformats.org/officeDocument/2006/relationships/package" Target="embeddings/Microsoft_Excel_Worksheet5.xlsx"/><Relationship Id="rId150" Type="http://schemas.openxmlformats.org/officeDocument/2006/relationships/image" Target="media/image89.emf"/><Relationship Id="rId171" Type="http://schemas.openxmlformats.org/officeDocument/2006/relationships/image" Target="cid:image019.png@01D936DE.4A745D80" TargetMode="External"/><Relationship Id="rId12" Type="http://schemas.openxmlformats.org/officeDocument/2006/relationships/image" Target="media/image3.emf"/><Relationship Id="rId33" Type="http://schemas.openxmlformats.org/officeDocument/2006/relationships/image" Target="media/image17.png"/><Relationship Id="rId108" Type="http://schemas.openxmlformats.org/officeDocument/2006/relationships/image" Target="media/image62.png"/><Relationship Id="rId129" Type="http://schemas.openxmlformats.org/officeDocument/2006/relationships/header" Target="header3.xml"/><Relationship Id="rId54" Type="http://schemas.openxmlformats.org/officeDocument/2006/relationships/image" Target="media/image29.png"/><Relationship Id="rId75" Type="http://schemas.openxmlformats.org/officeDocument/2006/relationships/oleObject" Target="embeddings/oleObject17.bin"/><Relationship Id="rId96" Type="http://schemas.openxmlformats.org/officeDocument/2006/relationships/package" Target="embeddings/Microsoft_Excel_Worksheet6.xlsx"/><Relationship Id="rId140" Type="http://schemas.openxmlformats.org/officeDocument/2006/relationships/image" Target="media/image81.png"/><Relationship Id="rId161" Type="http://schemas.openxmlformats.org/officeDocument/2006/relationships/oleObject" Target="embeddings/oleObject31.bin"/><Relationship Id="rId182" Type="http://schemas.openxmlformats.org/officeDocument/2006/relationships/header" Target="header5.xml"/><Relationship Id="rId6" Type="http://schemas.openxmlformats.org/officeDocument/2006/relationships/footnotes" Target="footnotes.xml"/><Relationship Id="rId23" Type="http://schemas.openxmlformats.org/officeDocument/2006/relationships/package" Target="embeddings/Microsoft_Word_Document.docx"/><Relationship Id="rId119" Type="http://schemas.openxmlformats.org/officeDocument/2006/relationships/image" Target="media/image67.png"/><Relationship Id="rId44" Type="http://schemas.openxmlformats.org/officeDocument/2006/relationships/oleObject" Target="embeddings/oleObject11.bin"/><Relationship Id="rId65" Type="http://schemas.openxmlformats.org/officeDocument/2006/relationships/chart" Target="charts/chart1.xml"/><Relationship Id="rId86" Type="http://schemas.openxmlformats.org/officeDocument/2006/relationships/image" Target="media/image48.emf"/><Relationship Id="rId130" Type="http://schemas.openxmlformats.org/officeDocument/2006/relationships/image" Target="media/image73.jpeg"/><Relationship Id="rId151" Type="http://schemas.openxmlformats.org/officeDocument/2006/relationships/header" Target="header4.xml"/><Relationship Id="rId172" Type="http://schemas.openxmlformats.org/officeDocument/2006/relationships/image" Target="media/image102.png"/><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21.emf"/><Relationship Id="rId109" Type="http://schemas.openxmlformats.org/officeDocument/2006/relationships/image" Target="media/image63.emf"/><Relationship Id="rId34" Type="http://schemas.openxmlformats.org/officeDocument/2006/relationships/image" Target="media/image18.png"/><Relationship Id="rId50" Type="http://schemas.openxmlformats.org/officeDocument/2006/relationships/package" Target="embeddings/Microsoft_Excel_Worksheet.xlsx"/><Relationship Id="rId55" Type="http://schemas.openxmlformats.org/officeDocument/2006/relationships/image" Target="media/image30.png"/><Relationship Id="rId76" Type="http://schemas.openxmlformats.org/officeDocument/2006/relationships/image" Target="media/image43.emf"/><Relationship Id="rId97" Type="http://schemas.openxmlformats.org/officeDocument/2006/relationships/image" Target="media/image54.emf"/><Relationship Id="rId104" Type="http://schemas.openxmlformats.org/officeDocument/2006/relationships/image" Target="media/image59.emf"/><Relationship Id="rId120" Type="http://schemas.openxmlformats.org/officeDocument/2006/relationships/image" Target="media/image68.png"/><Relationship Id="rId125" Type="http://schemas.openxmlformats.org/officeDocument/2006/relationships/chart" Target="charts/chart9.xml"/><Relationship Id="rId141" Type="http://schemas.openxmlformats.org/officeDocument/2006/relationships/image" Target="media/image82.emf"/><Relationship Id="rId146" Type="http://schemas.openxmlformats.org/officeDocument/2006/relationships/oleObject" Target="embeddings/oleObject27.bin"/><Relationship Id="rId167" Type="http://schemas.openxmlformats.org/officeDocument/2006/relationships/image" Target="media/image99.emf"/><Relationship Id="rId7" Type="http://schemas.openxmlformats.org/officeDocument/2006/relationships/endnotes" Target="endnotes.xml"/><Relationship Id="rId71" Type="http://schemas.openxmlformats.org/officeDocument/2006/relationships/package" Target="embeddings/Microsoft_Word_Document2.docx"/><Relationship Id="rId92" Type="http://schemas.openxmlformats.org/officeDocument/2006/relationships/oleObject" Target="embeddings/oleObject21.bin"/><Relationship Id="rId162" Type="http://schemas.openxmlformats.org/officeDocument/2006/relationships/image" Target="media/image96.emf"/><Relationship Id="rId183"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10.emf"/><Relationship Id="rId40" Type="http://schemas.openxmlformats.org/officeDocument/2006/relationships/oleObject" Target="embeddings/oleObject9.bin"/><Relationship Id="rId45" Type="http://schemas.openxmlformats.org/officeDocument/2006/relationships/image" Target="media/image24.emf"/><Relationship Id="rId66" Type="http://schemas.openxmlformats.org/officeDocument/2006/relationships/image" Target="media/image38.png"/><Relationship Id="rId87" Type="http://schemas.openxmlformats.org/officeDocument/2006/relationships/oleObject" Target="embeddings/oleObject19.bin"/><Relationship Id="rId110" Type="http://schemas.openxmlformats.org/officeDocument/2006/relationships/package" Target="embeddings/Microsoft_Excel_Worksheet9.xlsx"/><Relationship Id="rId115" Type="http://schemas.openxmlformats.org/officeDocument/2006/relationships/image" Target="media/image65.png"/><Relationship Id="rId131" Type="http://schemas.openxmlformats.org/officeDocument/2006/relationships/image" Target="media/image74.emf"/><Relationship Id="rId136" Type="http://schemas.openxmlformats.org/officeDocument/2006/relationships/image" Target="media/image78.emf"/><Relationship Id="rId157" Type="http://schemas.openxmlformats.org/officeDocument/2006/relationships/image" Target="media/image93.emf"/><Relationship Id="rId178" Type="http://schemas.openxmlformats.org/officeDocument/2006/relationships/image" Target="media/image105.emf"/><Relationship Id="rId61" Type="http://schemas.openxmlformats.org/officeDocument/2006/relationships/oleObject" Target="embeddings/oleObject15.bin"/><Relationship Id="rId82" Type="http://schemas.openxmlformats.org/officeDocument/2006/relationships/image" Target="media/image46.emf"/><Relationship Id="rId152" Type="http://schemas.openxmlformats.org/officeDocument/2006/relationships/image" Target="media/image90.emf"/><Relationship Id="rId173" Type="http://schemas.openxmlformats.org/officeDocument/2006/relationships/image" Target="cid:image021.png@01D936DE.4A745D80" TargetMode="External"/><Relationship Id="rId19" Type="http://schemas.openxmlformats.org/officeDocument/2006/relationships/image" Target="media/image7.png"/><Relationship Id="rId14" Type="http://schemas.openxmlformats.org/officeDocument/2006/relationships/image" Target="media/image4.emf"/><Relationship Id="rId30" Type="http://schemas.openxmlformats.org/officeDocument/2006/relationships/image" Target="media/image14.png"/><Relationship Id="rId35" Type="http://schemas.openxmlformats.org/officeDocument/2006/relationships/image" Target="media/image19.emf"/><Relationship Id="rId56" Type="http://schemas.openxmlformats.org/officeDocument/2006/relationships/image" Target="media/image31.png"/><Relationship Id="rId77" Type="http://schemas.openxmlformats.org/officeDocument/2006/relationships/package" Target="embeddings/Microsoft_Excel_Worksheet3.xlsx"/><Relationship Id="rId100" Type="http://schemas.openxmlformats.org/officeDocument/2006/relationships/package" Target="embeddings/Microsoft_Excel_Worksheet8.xlsx"/><Relationship Id="rId105" Type="http://schemas.openxmlformats.org/officeDocument/2006/relationships/oleObject" Target="embeddings/oleObject23.bin"/><Relationship Id="rId126" Type="http://schemas.openxmlformats.org/officeDocument/2006/relationships/image" Target="media/image71.png"/><Relationship Id="rId147" Type="http://schemas.openxmlformats.org/officeDocument/2006/relationships/image" Target="media/image86.emf"/><Relationship Id="rId168" Type="http://schemas.openxmlformats.org/officeDocument/2006/relationships/image" Target="media/image100.png"/><Relationship Id="rId8" Type="http://schemas.openxmlformats.org/officeDocument/2006/relationships/image" Target="media/image1.emf"/><Relationship Id="rId51" Type="http://schemas.openxmlformats.org/officeDocument/2006/relationships/image" Target="media/image27.emf"/><Relationship Id="rId72" Type="http://schemas.openxmlformats.org/officeDocument/2006/relationships/image" Target="media/image41.emf"/><Relationship Id="rId93" Type="http://schemas.openxmlformats.org/officeDocument/2006/relationships/image" Target="media/image52.emf"/><Relationship Id="rId98" Type="http://schemas.openxmlformats.org/officeDocument/2006/relationships/package" Target="embeddings/Microsoft_Excel_Worksheet7.xlsx"/><Relationship Id="rId121" Type="http://schemas.openxmlformats.org/officeDocument/2006/relationships/chart" Target="charts/chart7.xml"/><Relationship Id="rId142" Type="http://schemas.openxmlformats.org/officeDocument/2006/relationships/image" Target="media/image83.emf"/><Relationship Id="rId163" Type="http://schemas.openxmlformats.org/officeDocument/2006/relationships/image" Target="media/image97.emf"/><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package" Target="embeddings/Microsoft_Word_Document1.docx"/><Relationship Id="rId46" Type="http://schemas.openxmlformats.org/officeDocument/2006/relationships/oleObject" Target="embeddings/oleObject12.bin"/><Relationship Id="rId67" Type="http://schemas.openxmlformats.org/officeDocument/2006/relationships/image" Target="media/image39.png"/><Relationship Id="rId116" Type="http://schemas.openxmlformats.org/officeDocument/2006/relationships/chart" Target="charts/chart5.xml"/><Relationship Id="rId137" Type="http://schemas.openxmlformats.org/officeDocument/2006/relationships/image" Target="media/image79.emf"/><Relationship Id="rId158" Type="http://schemas.openxmlformats.org/officeDocument/2006/relationships/image" Target="media/image94.emf"/><Relationship Id="rId20" Type="http://schemas.openxmlformats.org/officeDocument/2006/relationships/image" Target="media/image8.emf"/><Relationship Id="rId41" Type="http://schemas.openxmlformats.org/officeDocument/2006/relationships/image" Target="media/image22.emf"/><Relationship Id="rId62" Type="http://schemas.openxmlformats.org/officeDocument/2006/relationships/image" Target="media/image35.emf"/><Relationship Id="rId83" Type="http://schemas.openxmlformats.org/officeDocument/2006/relationships/package" Target="embeddings/Microsoft_Word_Document4.docx"/><Relationship Id="rId88" Type="http://schemas.openxmlformats.org/officeDocument/2006/relationships/image" Target="media/image49.emf"/><Relationship Id="rId111" Type="http://schemas.openxmlformats.org/officeDocument/2006/relationships/image" Target="media/image64.png"/><Relationship Id="rId132" Type="http://schemas.openxmlformats.org/officeDocument/2006/relationships/image" Target="media/image75.emf"/><Relationship Id="rId153" Type="http://schemas.openxmlformats.org/officeDocument/2006/relationships/oleObject" Target="embeddings/oleObject28.bin"/><Relationship Id="rId174" Type="http://schemas.openxmlformats.org/officeDocument/2006/relationships/image" Target="media/image103.emf"/><Relationship Id="rId179" Type="http://schemas.openxmlformats.org/officeDocument/2006/relationships/oleObject" Target="embeddings/oleObject36.bin"/><Relationship Id="rId15" Type="http://schemas.openxmlformats.org/officeDocument/2006/relationships/oleObject" Target="embeddings/oleObject4.bin"/><Relationship Id="rId36" Type="http://schemas.openxmlformats.org/officeDocument/2006/relationships/oleObject" Target="embeddings/Microsoft_Word_97_-_2003_Document.doc"/><Relationship Id="rId57" Type="http://schemas.openxmlformats.org/officeDocument/2006/relationships/image" Target="media/image32.emf"/><Relationship Id="rId106" Type="http://schemas.openxmlformats.org/officeDocument/2006/relationships/image" Target="media/image60.emf"/><Relationship Id="rId127" Type="http://schemas.openxmlformats.org/officeDocument/2006/relationships/image" Target="media/image72.emf"/><Relationship Id="rId10" Type="http://schemas.openxmlformats.org/officeDocument/2006/relationships/image" Target="media/image2.emf"/><Relationship Id="rId31" Type="http://schemas.openxmlformats.org/officeDocument/2006/relationships/image" Target="media/image15.emf"/><Relationship Id="rId52" Type="http://schemas.openxmlformats.org/officeDocument/2006/relationships/header" Target="header1.xml"/><Relationship Id="rId73" Type="http://schemas.openxmlformats.org/officeDocument/2006/relationships/oleObject" Target="embeddings/oleObject16.bin"/><Relationship Id="rId78" Type="http://schemas.openxmlformats.org/officeDocument/2006/relationships/image" Target="media/image44.emf"/><Relationship Id="rId94" Type="http://schemas.openxmlformats.org/officeDocument/2006/relationships/oleObject" Target="embeddings/oleObject22.bin"/><Relationship Id="rId99" Type="http://schemas.openxmlformats.org/officeDocument/2006/relationships/image" Target="media/image55.emf"/><Relationship Id="rId101" Type="http://schemas.openxmlformats.org/officeDocument/2006/relationships/image" Target="media/image56.png"/><Relationship Id="rId122" Type="http://schemas.openxmlformats.org/officeDocument/2006/relationships/chart" Target="charts/chart8.xml"/><Relationship Id="rId143" Type="http://schemas.openxmlformats.org/officeDocument/2006/relationships/image" Target="media/image84.emf"/><Relationship Id="rId148" Type="http://schemas.openxmlformats.org/officeDocument/2006/relationships/image" Target="media/image87.png"/><Relationship Id="rId164" Type="http://schemas.openxmlformats.org/officeDocument/2006/relationships/oleObject" Target="embeddings/oleObject32.bin"/><Relationship Id="rId169" Type="http://schemas.openxmlformats.org/officeDocument/2006/relationships/image" Target="cid:image005.png@01D936DE.4A745D80" TargetMode="External"/><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06.emf"/><Relationship Id="rId26" Type="http://schemas.openxmlformats.org/officeDocument/2006/relationships/image" Target="media/image11.emf"/><Relationship Id="rId47" Type="http://schemas.openxmlformats.org/officeDocument/2006/relationships/image" Target="media/image25.emf"/><Relationship Id="rId68" Type="http://schemas.openxmlformats.org/officeDocument/2006/relationships/header" Target="header2.xml"/><Relationship Id="rId89" Type="http://schemas.openxmlformats.org/officeDocument/2006/relationships/oleObject" Target="embeddings/oleObject20.bin"/><Relationship Id="rId112" Type="http://schemas.openxmlformats.org/officeDocument/2006/relationships/chart" Target="charts/chart2.xml"/><Relationship Id="rId133" Type="http://schemas.openxmlformats.org/officeDocument/2006/relationships/oleObject" Target="embeddings/oleObject25.bin"/><Relationship Id="rId154" Type="http://schemas.openxmlformats.org/officeDocument/2006/relationships/image" Target="media/image91.emf"/><Relationship Id="rId175" Type="http://schemas.openxmlformats.org/officeDocument/2006/relationships/oleObject" Target="embeddings/oleObject34.bin"/><Relationship Id="rId16" Type="http://schemas.openxmlformats.org/officeDocument/2006/relationships/image" Target="media/image5.emf"/><Relationship Id="rId37" Type="http://schemas.openxmlformats.org/officeDocument/2006/relationships/image" Target="media/image20.emf"/><Relationship Id="rId58" Type="http://schemas.openxmlformats.org/officeDocument/2006/relationships/oleObject" Target="embeddings/oleObject14.bin"/><Relationship Id="rId79" Type="http://schemas.openxmlformats.org/officeDocument/2006/relationships/oleObject" Target="embeddings/oleObject18.bin"/><Relationship Id="rId102" Type="http://schemas.openxmlformats.org/officeDocument/2006/relationships/image" Target="media/image57.emf"/><Relationship Id="rId123" Type="http://schemas.openxmlformats.org/officeDocument/2006/relationships/image" Target="media/image69.png"/><Relationship Id="rId144" Type="http://schemas.openxmlformats.org/officeDocument/2006/relationships/oleObject" Target="embeddings/oleObject26.bin"/><Relationship Id="rId90" Type="http://schemas.openxmlformats.org/officeDocument/2006/relationships/image" Target="media/image50.emf"/><Relationship Id="rId165" Type="http://schemas.openxmlformats.org/officeDocument/2006/relationships/image" Target="media/image98.emf"/><Relationship Id="rId27" Type="http://schemas.openxmlformats.org/officeDocument/2006/relationships/oleObject" Target="embeddings/oleObject7.bin"/><Relationship Id="rId48" Type="http://schemas.openxmlformats.org/officeDocument/2006/relationships/oleObject" Target="embeddings/oleObject13.bin"/><Relationship Id="rId69" Type="http://schemas.openxmlformats.org/officeDocument/2006/relationships/footer" Target="footer2.xml"/><Relationship Id="rId113" Type="http://schemas.openxmlformats.org/officeDocument/2006/relationships/chart" Target="charts/chart3.xml"/><Relationship Id="rId134" Type="http://schemas.openxmlformats.org/officeDocument/2006/relationships/image" Target="media/image76.emf"/><Relationship Id="rId80" Type="http://schemas.openxmlformats.org/officeDocument/2006/relationships/image" Target="media/image45.emf"/><Relationship Id="rId155" Type="http://schemas.openxmlformats.org/officeDocument/2006/relationships/image" Target="media/image92.emf"/><Relationship Id="rId176" Type="http://schemas.openxmlformats.org/officeDocument/2006/relationships/image" Target="media/image104.emf"/><Relationship Id="rId17" Type="http://schemas.openxmlformats.org/officeDocument/2006/relationships/oleObject" Target="embeddings/oleObject5.bin"/><Relationship Id="rId38" Type="http://schemas.openxmlformats.org/officeDocument/2006/relationships/oleObject" Target="embeddings/oleObject8.bin"/><Relationship Id="rId59" Type="http://schemas.openxmlformats.org/officeDocument/2006/relationships/image" Target="media/image33.emf"/><Relationship Id="rId103" Type="http://schemas.openxmlformats.org/officeDocument/2006/relationships/image" Target="media/image58.emf"/><Relationship Id="rId124" Type="http://schemas.openxmlformats.org/officeDocument/2006/relationships/image" Target="media/image70.png"/><Relationship Id="rId70" Type="http://schemas.openxmlformats.org/officeDocument/2006/relationships/image" Target="media/image40.emf"/><Relationship Id="rId91" Type="http://schemas.openxmlformats.org/officeDocument/2006/relationships/image" Target="media/image51.emf"/><Relationship Id="rId145" Type="http://schemas.openxmlformats.org/officeDocument/2006/relationships/image" Target="media/image85.emf"/><Relationship Id="rId166" Type="http://schemas.openxmlformats.org/officeDocument/2006/relationships/oleObject" Target="embeddings/oleObject33.bin"/><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image" Target="media/image26.emf"/><Relationship Id="rId114" Type="http://schemas.openxmlformats.org/officeDocument/2006/relationships/chart" Target="charts/chart4.xml"/><Relationship Id="rId60" Type="http://schemas.openxmlformats.org/officeDocument/2006/relationships/image" Target="media/image34.emf"/><Relationship Id="rId81" Type="http://schemas.openxmlformats.org/officeDocument/2006/relationships/oleObject" Target="embeddings/Microsoft_Excel_97-2003_Worksheet.xls"/><Relationship Id="rId135" Type="http://schemas.openxmlformats.org/officeDocument/2006/relationships/image" Target="media/image77.emf"/><Relationship Id="rId156" Type="http://schemas.openxmlformats.org/officeDocument/2006/relationships/oleObject" Target="embeddings/oleObject29.bin"/><Relationship Id="rId177" Type="http://schemas.openxmlformats.org/officeDocument/2006/relationships/oleObject" Target="embeddings/oleObject35.bin"/></Relationships>
</file>

<file path=word/_rels/footer1.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0.png"/><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2" Type="http://schemas.openxmlformats.org/officeDocument/2006/relationships/image" Target="media/image280.png"/><Relationship Id="rId1" Type="http://schemas.openxmlformats.org/officeDocument/2006/relationships/image" Target="media/image28.png"/></Relationships>
</file>

<file path=word/_rels/header3.xml.rels><?xml version="1.0" encoding="UTF-8" standalone="yes"?>
<Relationships xmlns="http://schemas.openxmlformats.org/package/2006/relationships"><Relationship Id="rId2" Type="http://schemas.openxmlformats.org/officeDocument/2006/relationships/image" Target="media/image280.png"/><Relationship Id="rId1" Type="http://schemas.openxmlformats.org/officeDocument/2006/relationships/image" Target="media/image28.png"/></Relationships>
</file>

<file path=word/_rels/header5.xml.rels><?xml version="1.0" encoding="UTF-8" standalone="yes"?>
<Relationships xmlns="http://schemas.openxmlformats.org/package/2006/relationships"><Relationship Id="rId2" Type="http://schemas.openxmlformats.org/officeDocument/2006/relationships/image" Target="media/image280.png"/><Relationship Id="rId1" Type="http://schemas.openxmlformats.org/officeDocument/2006/relationships/image" Target="media/image2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LEDA\RESPALDO%202023\Justicia%20Restaurativa\An&#225;lisis%20de%20datos%20Justicia%20Restaurativa%202022.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PRESUPUESTO%202024\1-%20INFORM&#193;TICA%20-%20LISTO\&#193;REA%20DE%20INFORM&#193;TICA%20-%20An&#225;lisis%20Comparativo%202023-2024.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PRESUPUESTO%202024\1-%20INFORM&#193;TICA%20-%20LISTO\&#193;REA%20DE%20INFORM&#193;TICA%20-%20An&#225;lisis%20Comparativo%202023-2024.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PRESUPUESTO%202024\1-%20INFORM&#193;TICA%20-%20LISTO\&#193;REA%20DE%20INFORM&#193;TICA%20-%20An&#225;lisis%20Comparativo%202023-2024.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PRESUPUESTO%202024\1-%20INFORM&#193;TICA%20-%20LISTO\&#193;REA%20DE%20INFORM&#193;TICA%20-%20An&#225;lisis%20Comparativo%202023-2024.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PRESUPUESTO%202024\1-%20INFORM&#193;TICA%20-%20LISTO\&#193;REA%20DE%20INFORM&#193;TICA%20-%20An&#225;lisis%20Comparativo%202023-2024.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PRESUPUESTO%202024\1-%20INFORM&#193;TICA%20-%20LISTO\&#193;REA%20DE%20INFORM&#193;TICA%20-%20An&#225;lisis%20Comparativo%202023-2024.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PRESUPUESTO%202024\1-%20INFORM&#193;TICA%20-%20LISTO\&#193;REA%20DE%20INFORM&#193;TICA%20-%20An&#225;lisis%20Comparativo%202023-2024.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D:\PRESUPUESTO%202024\1-%20INFORM&#193;TICA%20-%20LISTO\&#193;REA%20DE%20INFORM&#193;TICA%20-%20An&#225;lisis%20Comparativo%202023-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Resumen!$Z$3</c:f>
              <c:strCache>
                <c:ptCount val="1"/>
                <c:pt idx="0">
                  <c:v>Entrados</c:v>
                </c:pt>
              </c:strCache>
            </c:strRef>
          </c:tx>
          <c:spPr>
            <a:solidFill>
              <a:schemeClr val="accent1"/>
            </a:solidFill>
            <a:ln>
              <a:noFill/>
            </a:ln>
            <a:effectLst/>
          </c:spPr>
          <c:invertIfNegative val="0"/>
          <c:cat>
            <c:multiLvlStrRef>
              <c:f>Resumen!$X$4:$Y$11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2019</c:v>
                  </c:pt>
                  <c:pt idx="2">
                    <c:v>2020</c:v>
                  </c:pt>
                  <c:pt idx="4">
                    <c:v>2021</c:v>
                  </c:pt>
                  <c:pt idx="6">
                    <c:v>2022</c:v>
                  </c:pt>
                </c:lvl>
              </c:multiLvlStrCache>
            </c:multiLvlStrRef>
          </c:cat>
          <c:val>
            <c:numRef>
              <c:f>Resumen!$Z$4:$Z$11</c:f>
              <c:numCache>
                <c:formatCode>General</c:formatCode>
                <c:ptCount val="8"/>
                <c:pt idx="0">
                  <c:v>2729</c:v>
                </c:pt>
                <c:pt idx="2">
                  <c:v>2428</c:v>
                </c:pt>
                <c:pt idx="4">
                  <c:v>3144</c:v>
                </c:pt>
                <c:pt idx="6">
                  <c:v>3726</c:v>
                </c:pt>
              </c:numCache>
            </c:numRef>
          </c:val>
          <c:extLst>
            <c:ext xmlns:c16="http://schemas.microsoft.com/office/drawing/2014/chart" uri="{C3380CC4-5D6E-409C-BE32-E72D297353CC}">
              <c16:uniqueId val="{00000000-A982-4610-A8B7-EB91549AF6AD}"/>
            </c:ext>
          </c:extLst>
        </c:ser>
        <c:ser>
          <c:idx val="1"/>
          <c:order val="1"/>
          <c:tx>
            <c:strRef>
              <c:f>Resumen!$AA$3</c:f>
              <c:strCache>
                <c:ptCount val="1"/>
                <c:pt idx="0">
                  <c:v>Reentrados</c:v>
                </c:pt>
              </c:strCache>
            </c:strRef>
          </c:tx>
          <c:spPr>
            <a:solidFill>
              <a:schemeClr val="accent2"/>
            </a:solidFill>
            <a:ln>
              <a:noFill/>
            </a:ln>
            <a:effectLst/>
          </c:spPr>
          <c:invertIfNegative val="0"/>
          <c:cat>
            <c:multiLvlStrRef>
              <c:f>Resumen!$X$4:$Y$11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2019</c:v>
                  </c:pt>
                  <c:pt idx="2">
                    <c:v>2020</c:v>
                  </c:pt>
                  <c:pt idx="4">
                    <c:v>2021</c:v>
                  </c:pt>
                  <c:pt idx="6">
                    <c:v>2022</c:v>
                  </c:pt>
                </c:lvl>
              </c:multiLvlStrCache>
            </c:multiLvlStrRef>
          </c:cat>
          <c:val>
            <c:numRef>
              <c:f>Resumen!$AA$4:$AA$11</c:f>
              <c:numCache>
                <c:formatCode>General</c:formatCode>
                <c:ptCount val="8"/>
                <c:pt idx="0">
                  <c:v>100</c:v>
                </c:pt>
                <c:pt idx="2">
                  <c:v>70</c:v>
                </c:pt>
                <c:pt idx="4">
                  <c:v>77</c:v>
                </c:pt>
                <c:pt idx="6">
                  <c:v>102</c:v>
                </c:pt>
              </c:numCache>
            </c:numRef>
          </c:val>
          <c:extLst>
            <c:ext xmlns:c16="http://schemas.microsoft.com/office/drawing/2014/chart" uri="{C3380CC4-5D6E-409C-BE32-E72D297353CC}">
              <c16:uniqueId val="{00000001-A982-4610-A8B7-EB91549AF6AD}"/>
            </c:ext>
          </c:extLst>
        </c:ser>
        <c:ser>
          <c:idx val="2"/>
          <c:order val="2"/>
          <c:tx>
            <c:strRef>
              <c:f>Resumen!$AB$3</c:f>
              <c:strCache>
                <c:ptCount val="1"/>
                <c:pt idx="0">
                  <c:v>Terminados</c:v>
                </c:pt>
              </c:strCache>
            </c:strRef>
          </c:tx>
          <c:spPr>
            <a:solidFill>
              <a:schemeClr val="accent3"/>
            </a:solidFill>
            <a:ln>
              <a:noFill/>
            </a:ln>
            <a:effectLst/>
          </c:spPr>
          <c:invertIfNegative val="0"/>
          <c:cat>
            <c:multiLvlStrRef>
              <c:f>Resumen!$X$4:$Y$11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2019</c:v>
                  </c:pt>
                  <c:pt idx="2">
                    <c:v>2020</c:v>
                  </c:pt>
                  <c:pt idx="4">
                    <c:v>2021</c:v>
                  </c:pt>
                  <c:pt idx="6">
                    <c:v>2022</c:v>
                  </c:pt>
                </c:lvl>
              </c:multiLvlStrCache>
            </c:multiLvlStrRef>
          </c:cat>
          <c:val>
            <c:numRef>
              <c:f>Resumen!$AB$4:$AB$11</c:f>
              <c:numCache>
                <c:formatCode>General</c:formatCode>
                <c:ptCount val="8"/>
                <c:pt idx="1">
                  <c:v>2985</c:v>
                </c:pt>
                <c:pt idx="3">
                  <c:v>2287</c:v>
                </c:pt>
                <c:pt idx="5">
                  <c:v>3256</c:v>
                </c:pt>
                <c:pt idx="7">
                  <c:v>3806</c:v>
                </c:pt>
              </c:numCache>
            </c:numRef>
          </c:val>
          <c:extLst>
            <c:ext xmlns:c16="http://schemas.microsoft.com/office/drawing/2014/chart" uri="{C3380CC4-5D6E-409C-BE32-E72D297353CC}">
              <c16:uniqueId val="{00000002-A982-4610-A8B7-EB91549AF6AD}"/>
            </c:ext>
          </c:extLst>
        </c:ser>
        <c:dLbls>
          <c:showLegendKey val="0"/>
          <c:showVal val="0"/>
          <c:showCatName val="0"/>
          <c:showSerName val="0"/>
          <c:showPercent val="0"/>
          <c:showBubbleSize val="0"/>
        </c:dLbls>
        <c:gapWidth val="150"/>
        <c:overlap val="100"/>
        <c:axId val="518713936"/>
        <c:axId val="518708112"/>
      </c:barChart>
      <c:catAx>
        <c:axId val="5187139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18708112"/>
        <c:crosses val="autoZero"/>
        <c:auto val="0"/>
        <c:lblAlgn val="ctr"/>
        <c:lblOffset val="100"/>
        <c:tickLblSkip val="1"/>
        <c:noMultiLvlLbl val="0"/>
      </c:catAx>
      <c:valAx>
        <c:axId val="518708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18713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Clasificación de Recursos Operación y Proyectos</a:t>
            </a:r>
          </a:p>
          <a:p>
            <a:pPr>
              <a:defRPr>
                <a:latin typeface="Times New Roman" panose="02020603050405020304" pitchFamily="18" charset="0"/>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Área de Informática 2022-2024</a:t>
            </a:r>
            <a:endParaRPr lang="es-CR" sz="1200" b="1">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barChart>
        <c:barDir val="col"/>
        <c:grouping val="clustered"/>
        <c:varyColors val="0"/>
        <c:ser>
          <c:idx val="0"/>
          <c:order val="0"/>
          <c:tx>
            <c:strRef>
              <c:f>'Proyectos 1'!$B$5</c:f>
              <c:strCache>
                <c:ptCount val="1"/>
                <c:pt idx="0">
                  <c:v>Operación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'Proyectos 1'!$C$4:$E$4</c:f>
              <c:numCache>
                <c:formatCode>General</c:formatCode>
                <c:ptCount val="3"/>
                <c:pt idx="0">
                  <c:v>2022</c:v>
                </c:pt>
                <c:pt idx="1">
                  <c:v>2023</c:v>
                </c:pt>
                <c:pt idx="2">
                  <c:v>2024</c:v>
                </c:pt>
              </c:numCache>
            </c:numRef>
          </c:cat>
          <c:val>
            <c:numRef>
              <c:f>'Proyectos 1'!$C$5:$E$5</c:f>
              <c:numCache>
                <c:formatCode>"₡"#,##0_);\("₡"#,##0\)</c:formatCode>
                <c:ptCount val="3"/>
                <c:pt idx="0">
                  <c:v>8687739913</c:v>
                </c:pt>
                <c:pt idx="1">
                  <c:v>8638865777</c:v>
                </c:pt>
                <c:pt idx="2">
                  <c:v>8740586285</c:v>
                </c:pt>
              </c:numCache>
            </c:numRef>
          </c:val>
          <c:extLst>
            <c:ext xmlns:c16="http://schemas.microsoft.com/office/drawing/2014/chart" uri="{C3380CC4-5D6E-409C-BE32-E72D297353CC}">
              <c16:uniqueId val="{00000000-7A4E-4404-B585-D86864C4FD15}"/>
            </c:ext>
          </c:extLst>
        </c:ser>
        <c:ser>
          <c:idx val="1"/>
          <c:order val="1"/>
          <c:tx>
            <c:strRef>
              <c:f>'Proyectos 1'!$B$6</c:f>
              <c:strCache>
                <c:ptCount val="1"/>
                <c:pt idx="0">
                  <c:v>Proyectos</c:v>
                </c:pt>
              </c:strCache>
            </c:strRef>
          </c:tx>
          <c:spPr>
            <a:solidFill>
              <a:schemeClr val="accent2"/>
            </a:solidFill>
            <a:ln>
              <a:noFill/>
            </a:ln>
            <a:effectLst/>
          </c:spPr>
          <c:invertIfNegative val="0"/>
          <c:dLbls>
            <c:dLbl>
              <c:idx val="0"/>
              <c:layout>
                <c:manualLayout>
                  <c:x val="4.1666666666666664E-2"/>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4E-4404-B585-D86864C4FD15}"/>
                </c:ext>
              </c:extLst>
            </c:dLbl>
            <c:dLbl>
              <c:idx val="1"/>
              <c:layout>
                <c:manualLayout>
                  <c:x val="2.500000000000000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4E-4404-B585-D86864C4FD15}"/>
                </c:ext>
              </c:extLst>
            </c:dLbl>
            <c:dLbl>
              <c:idx val="2"/>
              <c:layout>
                <c:manualLayout>
                  <c:x val="2.499999999999989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4E-4404-B585-D86864C4FD1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'Proyectos 1'!$C$4:$E$4</c:f>
              <c:numCache>
                <c:formatCode>General</c:formatCode>
                <c:ptCount val="3"/>
                <c:pt idx="0">
                  <c:v>2022</c:v>
                </c:pt>
                <c:pt idx="1">
                  <c:v>2023</c:v>
                </c:pt>
                <c:pt idx="2">
                  <c:v>2024</c:v>
                </c:pt>
              </c:numCache>
            </c:numRef>
          </c:cat>
          <c:val>
            <c:numRef>
              <c:f>'Proyectos 1'!$C$6:$E$6</c:f>
              <c:numCache>
                <c:formatCode>"₡"#,##0_);\("₡"#,##0\)</c:formatCode>
                <c:ptCount val="3"/>
                <c:pt idx="0">
                  <c:v>770222585</c:v>
                </c:pt>
                <c:pt idx="1">
                  <c:v>950320530</c:v>
                </c:pt>
                <c:pt idx="2">
                  <c:v>6029692240</c:v>
                </c:pt>
              </c:numCache>
            </c:numRef>
          </c:val>
          <c:extLst>
            <c:ext xmlns:c16="http://schemas.microsoft.com/office/drawing/2014/chart" uri="{C3380CC4-5D6E-409C-BE32-E72D297353CC}">
              <c16:uniqueId val="{00000005-7A4E-4404-B585-D86864C4FD15}"/>
            </c:ext>
          </c:extLst>
        </c:ser>
        <c:dLbls>
          <c:dLblPos val="outEnd"/>
          <c:showLegendKey val="0"/>
          <c:showVal val="1"/>
          <c:showCatName val="0"/>
          <c:showSerName val="0"/>
          <c:showPercent val="0"/>
          <c:showBubbleSize val="0"/>
        </c:dLbls>
        <c:gapWidth val="219"/>
        <c:overlap val="-27"/>
        <c:axId val="-1995118432"/>
        <c:axId val="-1995112992"/>
      </c:barChart>
      <c:catAx>
        <c:axId val="-199511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1995112992"/>
        <c:crosses val="autoZero"/>
        <c:auto val="1"/>
        <c:lblAlgn val="ctr"/>
        <c:lblOffset val="100"/>
        <c:noMultiLvlLbl val="0"/>
      </c:catAx>
      <c:valAx>
        <c:axId val="-1995112992"/>
        <c:scaling>
          <c:orientation val="minMax"/>
        </c:scaling>
        <c:delete val="1"/>
        <c:axPos val="l"/>
        <c:numFmt formatCode="&quot;₡&quot;#,##0_);\(&quot;₡&quot;#,##0\)" sourceLinked="1"/>
        <c:majorTickMark val="none"/>
        <c:minorTickMark val="none"/>
        <c:tickLblPos val="nextTo"/>
        <c:crossAx val="-199511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Área de Informática 2024</a:t>
            </a:r>
            <a:endParaRPr lang="es-CR" sz="1200" b="1">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latin typeface="Times New Roman" panose="02020603050405020304" pitchFamily="18" charset="0"/>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Clasificación de Recursos Operación y Proyectos</a:t>
            </a:r>
            <a:endParaRPr lang="es-CR" sz="1200" b="1">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E19-4911-BCAF-29EBE638726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E19-4911-BCAF-29EBE6387262}"/>
              </c:ext>
            </c:extLst>
          </c:dPt>
          <c:dLbls>
            <c:dLbl>
              <c:idx val="0"/>
              <c:layout>
                <c:manualLayout>
                  <c:x val="-0.11045810670174956"/>
                  <c:y val="-6.858856017435689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E19-4911-BCAF-29EBE6387262}"/>
                </c:ext>
              </c:extLst>
            </c:dLbl>
            <c:dLbl>
              <c:idx val="1"/>
              <c:layout>
                <c:manualLayout>
                  <c:x val="0.12342922222004045"/>
                  <c:y val="3.752623440740340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E19-4911-BCAF-29EBE638726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'Proyectos 1'!$B$5:$B$6</c:f>
              <c:strCache>
                <c:ptCount val="2"/>
                <c:pt idx="0">
                  <c:v>Operación</c:v>
                </c:pt>
                <c:pt idx="1">
                  <c:v>Proyectos</c:v>
                </c:pt>
              </c:strCache>
            </c:strRef>
          </c:cat>
          <c:val>
            <c:numRef>
              <c:f>'Proyectos 1'!$E$5:$E$6</c:f>
              <c:numCache>
                <c:formatCode>"₡"#,##0_);\("₡"#,##0\)</c:formatCode>
                <c:ptCount val="2"/>
                <c:pt idx="0">
                  <c:v>8740586285</c:v>
                </c:pt>
                <c:pt idx="1">
                  <c:v>6029692240</c:v>
                </c:pt>
              </c:numCache>
            </c:numRef>
          </c:val>
          <c:extLst>
            <c:ext xmlns:c16="http://schemas.microsoft.com/office/drawing/2014/chart" uri="{C3380CC4-5D6E-409C-BE32-E72D297353CC}">
              <c16:uniqueId val="{00000004-4E19-4911-BCAF-29EBE638726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1948140923472181"/>
          <c:y val="0.48738371245261009"/>
          <c:w val="0.19290529771391868"/>
          <c:h val="0.15625109361329836"/>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200" b="1">
                <a:latin typeface="Times New Roman" panose="02020603050405020304" pitchFamily="18" charset="0"/>
                <a:cs typeface="Times New Roman" panose="02020603050405020304" pitchFamily="18" charset="0"/>
              </a:rPr>
              <a:t>Área de Informática 2024</a:t>
            </a:r>
          </a:p>
          <a:p>
            <a:pPr>
              <a:defRPr>
                <a:latin typeface="Times New Roman" panose="02020603050405020304" pitchFamily="18" charset="0"/>
                <a:cs typeface="Times New Roman" panose="02020603050405020304" pitchFamily="18" charset="0"/>
              </a:defRPr>
            </a:pPr>
            <a:r>
              <a:rPr lang="es-CR" sz="1200" b="1">
                <a:latin typeface="Times New Roman" panose="02020603050405020304" pitchFamily="18" charset="0"/>
                <a:cs typeface="Times New Roman" panose="02020603050405020304" pitchFamily="18" charset="0"/>
              </a:rPr>
              <a:t>Distribución por Programa Presupuestario</a:t>
            </a:r>
          </a:p>
        </c:rich>
      </c:tx>
      <c:layout>
        <c:manualLayout>
          <c:xMode val="edge"/>
          <c:yMode val="edge"/>
          <c:x val="0.25878724086048432"/>
          <c:y val="1.49812734082397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0.10161807587379831"/>
          <c:y val="0.24897465450179834"/>
          <c:w val="0.40741360612646044"/>
          <c:h val="0.6581296024091177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B51-4DFA-8823-D21295DFAAE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B51-4DFA-8823-D21295DFAAE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B51-4DFA-8823-D21295DFAAE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B51-4DFA-8823-D21295DFAAE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B51-4DFA-8823-D21295DFAAE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B51-4DFA-8823-D21295DFAAE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B51-4DFA-8823-D21295DFAAEB}"/>
              </c:ext>
            </c:extLst>
          </c:dPt>
          <c:dLbls>
            <c:dLbl>
              <c:idx val="4"/>
              <c:layout>
                <c:manualLayout>
                  <c:x val="-3.7848785177628047E-2"/>
                  <c:y val="-4.5613966311841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B51-4DFA-8823-D21295DFAAE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Programas!$B$5:$B$11</c:f>
              <c:strCache>
                <c:ptCount val="7"/>
                <c:pt idx="0">
                  <c:v>926 Dirección y Administración</c:v>
                </c:pt>
                <c:pt idx="1">
                  <c:v>927 Servicio Jurisdiccional</c:v>
                </c:pt>
                <c:pt idx="2">
                  <c:v>928 Organismo de Investigación Judicial</c:v>
                </c:pt>
                <c:pt idx="3">
                  <c:v>929 Ministerio Público</c:v>
                </c:pt>
                <c:pt idx="4">
                  <c:v>930 Defensa Pública</c:v>
                </c:pt>
                <c:pt idx="5">
                  <c:v>950 Servicio de Atención y Protección</c:v>
                </c:pt>
                <c:pt idx="6">
                  <c:v>951 Fondo de Jubilaciones y Pensiones</c:v>
                </c:pt>
              </c:strCache>
            </c:strRef>
          </c:cat>
          <c:val>
            <c:numRef>
              <c:f>Programas!$D$5:$D$11</c:f>
              <c:numCache>
                <c:formatCode>0.00%</c:formatCode>
                <c:ptCount val="7"/>
                <c:pt idx="0">
                  <c:v>0.87098245731963952</c:v>
                </c:pt>
                <c:pt idx="1">
                  <c:v>4.1212245386550689E-2</c:v>
                </c:pt>
                <c:pt idx="2">
                  <c:v>5.861780917228844E-2</c:v>
                </c:pt>
                <c:pt idx="3">
                  <c:v>1.8099843381254043E-2</c:v>
                </c:pt>
                <c:pt idx="4">
                  <c:v>8.653812978790797E-3</c:v>
                </c:pt>
                <c:pt idx="5">
                  <c:v>1.7369399606497941E-3</c:v>
                </c:pt>
                <c:pt idx="6">
                  <c:v>6.9689180082675522E-4</c:v>
                </c:pt>
              </c:numCache>
            </c:numRef>
          </c:val>
          <c:extLst>
            <c:ext xmlns:c16="http://schemas.microsoft.com/office/drawing/2014/chart" uri="{C3380CC4-5D6E-409C-BE32-E72D297353CC}">
              <c16:uniqueId val="{0000000E-5B51-4DFA-8823-D21295DFAAE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7401888843118098"/>
          <c:y val="0.23104948327992522"/>
          <c:w val="0.41090561221228955"/>
          <c:h val="0.617293429873428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b="1">
                <a:latin typeface="Times New Roman" panose="02020603050405020304" pitchFamily="18" charset="0"/>
                <a:cs typeface="Times New Roman" panose="02020603050405020304" pitchFamily="18" charset="0"/>
              </a:rPr>
              <a:t>Área de Informática 2024</a:t>
            </a:r>
          </a:p>
          <a:p>
            <a:pPr>
              <a:defRPr b="1">
                <a:latin typeface="Times New Roman" panose="02020603050405020304" pitchFamily="18" charset="0"/>
                <a:cs typeface="Times New Roman" panose="02020603050405020304" pitchFamily="18" charset="0"/>
              </a:defRPr>
            </a:pPr>
            <a:r>
              <a:rPr lang="es-CR" b="1">
                <a:latin typeface="Times New Roman" panose="02020603050405020304" pitchFamily="18" charset="0"/>
                <a:cs typeface="Times New Roman" panose="02020603050405020304" pitchFamily="18" charset="0"/>
              </a:rPr>
              <a:t>Centro</a:t>
            </a:r>
            <a:r>
              <a:rPr lang="es-CR" b="1" baseline="0">
                <a:latin typeface="Times New Roman" panose="02020603050405020304" pitchFamily="18" charset="0"/>
                <a:cs typeface="Times New Roman" panose="02020603050405020304" pitchFamily="18" charset="0"/>
              </a:rPr>
              <a:t> de Responsabilidad más Representativos</a:t>
            </a:r>
            <a:endParaRPr lang="es-CR" b="1">
              <a:latin typeface="Times New Roman" panose="02020603050405020304" pitchFamily="18" charset="0"/>
              <a:cs typeface="Times New Roman" panose="02020603050405020304" pitchFamily="18" charset="0"/>
            </a:endParaRPr>
          </a:p>
        </c:rich>
      </c:tx>
      <c:layout>
        <c:manualLayout>
          <c:xMode val="edge"/>
          <c:yMode val="edge"/>
          <c:x val="0.15698080253831487"/>
          <c:y val="1.007556941511980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0.50570886646981628"/>
          <c:y val="0.1819647836370637"/>
          <c:w val="0.43699946686351715"/>
          <c:h val="0.78109146184083034"/>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Centro!$B$30:$B$43</c:f>
              <c:strCache>
                <c:ptCount val="14"/>
                <c:pt idx="0">
                  <c:v>Segundo Circuito Judicial Zona Sur</c:v>
                </c:pt>
                <c:pt idx="1">
                  <c:v>Primer Circuito Judicial Zona Atlántica</c:v>
                </c:pt>
                <c:pt idx="2">
                  <c:v>Circuito Judicial Cartago</c:v>
                </c:pt>
                <c:pt idx="3">
                  <c:v>Circuito Judicial Heredia</c:v>
                </c:pt>
                <c:pt idx="4">
                  <c:v>Tercer Circuito Judicial Alajuela</c:v>
                </c:pt>
                <c:pt idx="5">
                  <c:v>Escuela Judicial</c:v>
                </c:pt>
                <c:pt idx="6">
                  <c:v>Departamento Trabajo Social</c:v>
                </c:pt>
                <c:pt idx="7">
                  <c:v>Dirección de Gestión Humana</c:v>
                </c:pt>
                <c:pt idx="8">
                  <c:v>Defensa Pública </c:v>
                </c:pt>
                <c:pt idx="9">
                  <c:v>Ministerio Público</c:v>
                </c:pt>
                <c:pt idx="10">
                  <c:v>Primer Circuito Judicial San José</c:v>
                </c:pt>
                <c:pt idx="11">
                  <c:v>Dirección Ejecutiva</c:v>
                </c:pt>
                <c:pt idx="12">
                  <c:v>Organismo de Investigación Judicial</c:v>
                </c:pt>
                <c:pt idx="13">
                  <c:v>Dirección Tecnología Información</c:v>
                </c:pt>
              </c:strCache>
            </c:strRef>
          </c:cat>
          <c:val>
            <c:numRef>
              <c:f>Centro!$C$30:$C$43</c:f>
              <c:numCache>
                <c:formatCode>"₡"#,##0_);\("₡"#,##0\)</c:formatCode>
                <c:ptCount val="14"/>
                <c:pt idx="0">
                  <c:v>31691836</c:v>
                </c:pt>
                <c:pt idx="1">
                  <c:v>33262561</c:v>
                </c:pt>
                <c:pt idx="2">
                  <c:v>33839320</c:v>
                </c:pt>
                <c:pt idx="3">
                  <c:v>34067246</c:v>
                </c:pt>
                <c:pt idx="4">
                  <c:v>36429035</c:v>
                </c:pt>
                <c:pt idx="5">
                  <c:v>39139198</c:v>
                </c:pt>
                <c:pt idx="6">
                  <c:v>53079451</c:v>
                </c:pt>
                <c:pt idx="7">
                  <c:v>121782870</c:v>
                </c:pt>
                <c:pt idx="8">
                  <c:v>127819228</c:v>
                </c:pt>
                <c:pt idx="9">
                  <c:v>267339728</c:v>
                </c:pt>
                <c:pt idx="10">
                  <c:v>317933291</c:v>
                </c:pt>
                <c:pt idx="11">
                  <c:v>368846126</c:v>
                </c:pt>
                <c:pt idx="12">
                  <c:v>865801368</c:v>
                </c:pt>
                <c:pt idx="13">
                  <c:v>12186200760</c:v>
                </c:pt>
              </c:numCache>
            </c:numRef>
          </c:val>
          <c:extLst>
            <c:ext xmlns:c16="http://schemas.microsoft.com/office/drawing/2014/chart" uri="{C3380CC4-5D6E-409C-BE32-E72D297353CC}">
              <c16:uniqueId val="{00000000-3830-443C-9A7A-F28021A99884}"/>
            </c:ext>
          </c:extLst>
        </c:ser>
        <c:dLbls>
          <c:dLblPos val="outEnd"/>
          <c:showLegendKey val="0"/>
          <c:showVal val="1"/>
          <c:showCatName val="0"/>
          <c:showSerName val="0"/>
          <c:showPercent val="0"/>
          <c:showBubbleSize val="0"/>
        </c:dLbls>
        <c:gapWidth val="182"/>
        <c:axId val="-1995110816"/>
        <c:axId val="-2039009120"/>
      </c:barChart>
      <c:catAx>
        <c:axId val="-199511081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2039009120"/>
        <c:crosses val="autoZero"/>
        <c:auto val="1"/>
        <c:lblAlgn val="ctr"/>
        <c:lblOffset val="100"/>
        <c:noMultiLvlLbl val="0"/>
      </c:catAx>
      <c:valAx>
        <c:axId val="-2039009120"/>
        <c:scaling>
          <c:orientation val="minMax"/>
        </c:scaling>
        <c:delete val="1"/>
        <c:axPos val="b"/>
        <c:numFmt formatCode="&quot;₡&quot;#,##0_);\(&quot;₡&quot;#,##0\)" sourceLinked="1"/>
        <c:majorTickMark val="out"/>
        <c:minorTickMark val="none"/>
        <c:tickLblPos val="nextTo"/>
        <c:crossAx val="-1995110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200" b="1">
                <a:latin typeface="Times New Roman" panose="02020603050405020304" pitchFamily="18" charset="0"/>
                <a:cs typeface="Times New Roman" panose="02020603050405020304" pitchFamily="18" charset="0"/>
              </a:rPr>
              <a:t>Área de Informática 2024</a:t>
            </a:r>
          </a:p>
          <a:p>
            <a:pPr>
              <a:defRPr sz="1200">
                <a:latin typeface="Times New Roman" panose="02020603050405020304" pitchFamily="18" charset="0"/>
                <a:cs typeface="Times New Roman" panose="02020603050405020304" pitchFamily="18" charset="0"/>
              </a:defRPr>
            </a:pPr>
            <a:r>
              <a:rPr lang="es-CR" sz="1200" b="1">
                <a:latin typeface="Times New Roman" panose="02020603050405020304" pitchFamily="18" charset="0"/>
                <a:cs typeface="Times New Roman" panose="02020603050405020304" pitchFamily="18" charset="0"/>
              </a:rPr>
              <a:t>Subpartidas</a:t>
            </a:r>
            <a:r>
              <a:rPr lang="es-CR" sz="1200" b="1" baseline="0">
                <a:latin typeface="Times New Roman" panose="02020603050405020304" pitchFamily="18" charset="0"/>
                <a:cs typeface="Times New Roman" panose="02020603050405020304" pitchFamily="18" charset="0"/>
              </a:rPr>
              <a:t> Más Representativas</a:t>
            </a:r>
            <a:endParaRPr lang="es-CR" sz="1200" b="1">
              <a:latin typeface="Times New Roman" panose="02020603050405020304" pitchFamily="18" charset="0"/>
              <a:cs typeface="Times New Roman" panose="02020603050405020304" pitchFamily="18" charset="0"/>
            </a:endParaRPr>
          </a:p>
        </c:rich>
      </c:tx>
      <c:layout>
        <c:manualLayout>
          <c:xMode val="edge"/>
          <c:yMode val="edge"/>
          <c:x val="0.22514904971597885"/>
          <c:y val="2.777777777777777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188-4A85-A73B-E1FAD07ADA1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188-4A85-A73B-E1FAD07ADA1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188-4A85-A73B-E1FAD07ADA1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188-4A85-A73B-E1FAD07ADA1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188-4A85-A73B-E1FAD07ADA1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188-4A85-A73B-E1FAD07ADA1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188-4A85-A73B-E1FAD07ADA1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'Gráfico Sub'!$B$4:$B$10</c:f>
              <c:strCache>
                <c:ptCount val="7"/>
                <c:pt idx="0">
                  <c:v>50105 Equipo Cómputo</c:v>
                </c:pt>
                <c:pt idx="1">
                  <c:v>59903 Bienes Intangibles</c:v>
                </c:pt>
                <c:pt idx="2">
                  <c:v>50103 Equipo Comunicación</c:v>
                </c:pt>
                <c:pt idx="3">
                  <c:v>10204 Servicio Telecomunicaciones</c:v>
                </c:pt>
                <c:pt idx="4">
                  <c:v>10405 Servicios Informáticos</c:v>
                </c:pt>
                <c:pt idx="5">
                  <c:v>50201 Edificios</c:v>
                </c:pt>
                <c:pt idx="6">
                  <c:v>10199 Otros Alquileres</c:v>
                </c:pt>
              </c:strCache>
            </c:strRef>
          </c:cat>
          <c:val>
            <c:numRef>
              <c:f>'Gráfico Sub'!$D$4:$D$10</c:f>
              <c:numCache>
                <c:formatCode>0%</c:formatCode>
                <c:ptCount val="7"/>
                <c:pt idx="0">
                  <c:v>0.42864138940608193</c:v>
                </c:pt>
                <c:pt idx="1">
                  <c:v>0.37923835521788246</c:v>
                </c:pt>
                <c:pt idx="2">
                  <c:v>4.6534510296669607E-2</c:v>
                </c:pt>
                <c:pt idx="3">
                  <c:v>3.4870093296386614E-2</c:v>
                </c:pt>
                <c:pt idx="4">
                  <c:v>2.3702156603935185E-2</c:v>
                </c:pt>
                <c:pt idx="5">
                  <c:v>9.7406123029870617E-3</c:v>
                </c:pt>
                <c:pt idx="6">
                  <c:v>1.4351168793067604E-2</c:v>
                </c:pt>
              </c:numCache>
            </c:numRef>
          </c:val>
          <c:extLst>
            <c:ext xmlns:c16="http://schemas.microsoft.com/office/drawing/2014/chart" uri="{C3380CC4-5D6E-409C-BE32-E72D297353CC}">
              <c16:uniqueId val="{0000000E-9188-4A85-A73B-E1FAD07ADA1C}"/>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044059746056659"/>
          <c:y val="0.24864048849153261"/>
          <c:w val="0.34361785988346361"/>
          <c:h val="0.6522601077792255"/>
        </c:manualLayout>
      </c:layout>
      <c:overlay val="0"/>
      <c:spPr>
        <a:noFill/>
        <a:ln>
          <a:noFill/>
        </a:ln>
        <a:effectLst/>
      </c:spPr>
      <c:txPr>
        <a:bodyPr rot="0" spcFirstLastPara="1" vertOverflow="ellipsis" vert="horz" wrap="square" anchor="ctr" anchorCtr="1"/>
        <a:lstStyle/>
        <a:p>
          <a:pPr>
            <a:defRPr sz="900" b="1" i="0" u="none" strike="noStrike" kern="8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Clasificación de Recursos Operación y Proyectos</a:t>
            </a:r>
          </a:p>
          <a:p>
            <a:pPr>
              <a:defRPr>
                <a:latin typeface="Times New Roman" panose="02020603050405020304" pitchFamily="18" charset="0"/>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Área de Informática 2022-2024</a:t>
            </a:r>
            <a:endParaRPr lang="es-CR" sz="1200" b="1">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barChart>
        <c:barDir val="col"/>
        <c:grouping val="clustered"/>
        <c:varyColors val="0"/>
        <c:ser>
          <c:idx val="0"/>
          <c:order val="0"/>
          <c:tx>
            <c:strRef>
              <c:f>'Proyectos 1'!$B$5</c:f>
              <c:strCache>
                <c:ptCount val="1"/>
                <c:pt idx="0">
                  <c:v>Operación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'Proyectos 1'!$C$4:$E$4</c:f>
              <c:numCache>
                <c:formatCode>General</c:formatCode>
                <c:ptCount val="3"/>
                <c:pt idx="0">
                  <c:v>2022</c:v>
                </c:pt>
                <c:pt idx="1">
                  <c:v>2023</c:v>
                </c:pt>
                <c:pt idx="2">
                  <c:v>2024</c:v>
                </c:pt>
              </c:numCache>
            </c:numRef>
          </c:cat>
          <c:val>
            <c:numRef>
              <c:f>'Proyectos 1'!$C$5:$E$5</c:f>
              <c:numCache>
                <c:formatCode>"₡"#,##0_);\("₡"#,##0\)</c:formatCode>
                <c:ptCount val="3"/>
                <c:pt idx="0">
                  <c:v>8687739913</c:v>
                </c:pt>
                <c:pt idx="1">
                  <c:v>8638865777</c:v>
                </c:pt>
                <c:pt idx="2">
                  <c:v>8740586285</c:v>
                </c:pt>
              </c:numCache>
            </c:numRef>
          </c:val>
          <c:extLst>
            <c:ext xmlns:c16="http://schemas.microsoft.com/office/drawing/2014/chart" uri="{C3380CC4-5D6E-409C-BE32-E72D297353CC}">
              <c16:uniqueId val="{00000000-5E71-462E-908F-3457434470E1}"/>
            </c:ext>
          </c:extLst>
        </c:ser>
        <c:ser>
          <c:idx val="1"/>
          <c:order val="1"/>
          <c:tx>
            <c:strRef>
              <c:f>'Proyectos 1'!$B$6</c:f>
              <c:strCache>
                <c:ptCount val="1"/>
                <c:pt idx="0">
                  <c:v>Proyectos</c:v>
                </c:pt>
              </c:strCache>
            </c:strRef>
          </c:tx>
          <c:spPr>
            <a:solidFill>
              <a:schemeClr val="accent2"/>
            </a:solidFill>
            <a:ln>
              <a:noFill/>
            </a:ln>
            <a:effectLst/>
          </c:spPr>
          <c:invertIfNegative val="0"/>
          <c:dLbls>
            <c:dLbl>
              <c:idx val="0"/>
              <c:layout>
                <c:manualLayout>
                  <c:x val="4.1666666666666664E-2"/>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71-462E-908F-3457434470E1}"/>
                </c:ext>
              </c:extLst>
            </c:dLbl>
            <c:dLbl>
              <c:idx val="1"/>
              <c:layout>
                <c:manualLayout>
                  <c:x val="2.500000000000000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E71-462E-908F-3457434470E1}"/>
                </c:ext>
              </c:extLst>
            </c:dLbl>
            <c:dLbl>
              <c:idx val="2"/>
              <c:layout>
                <c:manualLayout>
                  <c:x val="2.499999999999989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E71-462E-908F-3457434470E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'Proyectos 1'!$C$4:$E$4</c:f>
              <c:numCache>
                <c:formatCode>General</c:formatCode>
                <c:ptCount val="3"/>
                <c:pt idx="0">
                  <c:v>2022</c:v>
                </c:pt>
                <c:pt idx="1">
                  <c:v>2023</c:v>
                </c:pt>
                <c:pt idx="2">
                  <c:v>2024</c:v>
                </c:pt>
              </c:numCache>
            </c:numRef>
          </c:cat>
          <c:val>
            <c:numRef>
              <c:f>'Proyectos 1'!$C$6:$E$6</c:f>
              <c:numCache>
                <c:formatCode>"₡"#,##0_);\("₡"#,##0\)</c:formatCode>
                <c:ptCount val="3"/>
                <c:pt idx="0">
                  <c:v>770222585</c:v>
                </c:pt>
                <c:pt idx="1">
                  <c:v>950320530</c:v>
                </c:pt>
                <c:pt idx="2">
                  <c:v>6029692240</c:v>
                </c:pt>
              </c:numCache>
            </c:numRef>
          </c:val>
          <c:extLst>
            <c:ext xmlns:c16="http://schemas.microsoft.com/office/drawing/2014/chart" uri="{C3380CC4-5D6E-409C-BE32-E72D297353CC}">
              <c16:uniqueId val="{00000005-5E71-462E-908F-3457434470E1}"/>
            </c:ext>
          </c:extLst>
        </c:ser>
        <c:dLbls>
          <c:dLblPos val="outEnd"/>
          <c:showLegendKey val="0"/>
          <c:showVal val="1"/>
          <c:showCatName val="0"/>
          <c:showSerName val="0"/>
          <c:showPercent val="0"/>
          <c:showBubbleSize val="0"/>
        </c:dLbls>
        <c:gapWidth val="219"/>
        <c:overlap val="-27"/>
        <c:axId val="-2039018368"/>
        <c:axId val="-2039016192"/>
      </c:barChart>
      <c:catAx>
        <c:axId val="-2039018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2039016192"/>
        <c:crosses val="autoZero"/>
        <c:auto val="1"/>
        <c:lblAlgn val="ctr"/>
        <c:lblOffset val="100"/>
        <c:noMultiLvlLbl val="0"/>
      </c:catAx>
      <c:valAx>
        <c:axId val="-2039016192"/>
        <c:scaling>
          <c:orientation val="minMax"/>
        </c:scaling>
        <c:delete val="1"/>
        <c:axPos val="l"/>
        <c:numFmt formatCode="&quot;₡&quot;#,##0_);\(&quot;₡&quot;#,##0\)" sourceLinked="1"/>
        <c:majorTickMark val="none"/>
        <c:minorTickMark val="none"/>
        <c:tickLblPos val="nextTo"/>
        <c:crossAx val="-2039018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Área de Informática 2024</a:t>
            </a:r>
            <a:endParaRPr lang="es-CR" sz="1200" b="1">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latin typeface="Times New Roman" panose="02020603050405020304" pitchFamily="18" charset="0"/>
                <a:cs typeface="Times New Roman" panose="02020603050405020304" pitchFamily="18" charset="0"/>
              </a:defRPr>
            </a:pPr>
            <a:r>
              <a:rPr lang="es-CR" sz="1200" b="1" i="0" baseline="0">
                <a:effectLst/>
                <a:latin typeface="Times New Roman" panose="02020603050405020304" pitchFamily="18" charset="0"/>
                <a:cs typeface="Times New Roman" panose="02020603050405020304" pitchFamily="18" charset="0"/>
              </a:rPr>
              <a:t>Clasificación de Recursos Operación y Proyectos</a:t>
            </a:r>
            <a:endParaRPr lang="es-CR" sz="1200" b="1">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464-4A6E-A8C8-14FF8901B5A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464-4A6E-A8C8-14FF8901B5A9}"/>
              </c:ext>
            </c:extLst>
          </c:dPt>
          <c:dLbls>
            <c:dLbl>
              <c:idx val="0"/>
              <c:layout>
                <c:manualLayout>
                  <c:x val="-0.11045810670174956"/>
                  <c:y val="-6.858856017435689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464-4A6E-A8C8-14FF8901B5A9}"/>
                </c:ext>
              </c:extLst>
            </c:dLbl>
            <c:dLbl>
              <c:idx val="1"/>
              <c:layout>
                <c:manualLayout>
                  <c:x val="0.12342922222004045"/>
                  <c:y val="3.752623440740340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464-4A6E-A8C8-14FF8901B5A9}"/>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'Proyectos 1'!$B$5:$B$6</c:f>
              <c:strCache>
                <c:ptCount val="2"/>
                <c:pt idx="0">
                  <c:v>Operación</c:v>
                </c:pt>
                <c:pt idx="1">
                  <c:v>Proyectos</c:v>
                </c:pt>
              </c:strCache>
            </c:strRef>
          </c:cat>
          <c:val>
            <c:numRef>
              <c:f>'Proyectos 1'!$E$5:$E$6</c:f>
              <c:numCache>
                <c:formatCode>"₡"#,##0_);\("₡"#,##0\)</c:formatCode>
                <c:ptCount val="2"/>
                <c:pt idx="0">
                  <c:v>8740586285</c:v>
                </c:pt>
                <c:pt idx="1">
                  <c:v>6029692240</c:v>
                </c:pt>
              </c:numCache>
            </c:numRef>
          </c:val>
          <c:extLst>
            <c:ext xmlns:c16="http://schemas.microsoft.com/office/drawing/2014/chart" uri="{C3380CC4-5D6E-409C-BE32-E72D297353CC}">
              <c16:uniqueId val="{00000004-9464-4A6E-A8C8-14FF8901B5A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1948140923472181"/>
          <c:y val="0.48738371245261009"/>
          <c:w val="0.19290529771391868"/>
          <c:h val="0.15625109361329836"/>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R" sz="1100" b="1">
                <a:latin typeface="Times New Roman" panose="02020603050405020304" pitchFamily="18" charset="0"/>
                <a:cs typeface="Times New Roman" panose="02020603050405020304" pitchFamily="18" charset="0"/>
              </a:rPr>
              <a:t>Área</a:t>
            </a:r>
            <a:r>
              <a:rPr lang="es-CR" sz="1100" b="1" baseline="0">
                <a:latin typeface="Times New Roman" panose="02020603050405020304" pitchFamily="18" charset="0"/>
                <a:cs typeface="Times New Roman" panose="02020603050405020304" pitchFamily="18" charset="0"/>
              </a:rPr>
              <a:t> de Informática 2024</a:t>
            </a:r>
          </a:p>
          <a:p>
            <a:pPr>
              <a:defRPr sz="1100" b="1">
                <a:latin typeface="Times New Roman" panose="02020603050405020304" pitchFamily="18" charset="0"/>
                <a:cs typeface="Times New Roman" panose="02020603050405020304" pitchFamily="18" charset="0"/>
              </a:defRPr>
            </a:pPr>
            <a:r>
              <a:rPr lang="es-CR" sz="1100" b="1" baseline="0">
                <a:latin typeface="Times New Roman" panose="02020603050405020304" pitchFamily="18" charset="0"/>
                <a:cs typeface="Times New Roman" panose="02020603050405020304" pitchFamily="18" charset="0"/>
              </a:rPr>
              <a:t>Recursos Clasificados en Proyectos</a:t>
            </a:r>
            <a:endParaRPr lang="es-CR" sz="1100" b="1">
              <a:latin typeface="Times New Roman" panose="02020603050405020304" pitchFamily="18" charset="0"/>
              <a:cs typeface="Times New Roman" panose="02020603050405020304" pitchFamily="18" charset="0"/>
            </a:endParaRPr>
          </a:p>
        </c:rich>
      </c:tx>
      <c:layout>
        <c:manualLayout>
          <c:xMode val="edge"/>
          <c:yMode val="edge"/>
          <c:x val="0.27602685875426902"/>
          <c:y val="1.663585322409385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title>
    <c:autoTitleDeleted val="0"/>
    <c:plotArea>
      <c:layout>
        <c:manualLayout>
          <c:layoutTarget val="inner"/>
          <c:xMode val="edge"/>
          <c:yMode val="edge"/>
          <c:x val="0.19265026246719161"/>
          <c:y val="0.25083333333333335"/>
          <c:w val="0.77123862642169727"/>
          <c:h val="0.64176727909011377"/>
        </c:manualLayout>
      </c:layout>
      <c:pieChart>
        <c:varyColors val="1"/>
        <c:ser>
          <c:idx val="0"/>
          <c:order val="0"/>
          <c:dPt>
            <c:idx val="0"/>
            <c:bubble3D val="0"/>
            <c:spPr>
              <a:solidFill>
                <a:schemeClr val="accent1"/>
              </a:solidFill>
              <a:ln>
                <a:noFill/>
              </a:ln>
              <a:effectLst/>
            </c:spPr>
            <c:extLst>
              <c:ext xmlns:c16="http://schemas.microsoft.com/office/drawing/2014/chart" uri="{C3380CC4-5D6E-409C-BE32-E72D297353CC}">
                <c16:uniqueId val="{00000001-2184-46FE-8370-2D6954F237AB}"/>
              </c:ext>
            </c:extLst>
          </c:dPt>
          <c:dPt>
            <c:idx val="1"/>
            <c:bubble3D val="0"/>
            <c:spPr>
              <a:solidFill>
                <a:schemeClr val="accent2"/>
              </a:solidFill>
              <a:ln>
                <a:noFill/>
              </a:ln>
              <a:effectLst/>
            </c:spPr>
            <c:extLst>
              <c:ext xmlns:c16="http://schemas.microsoft.com/office/drawing/2014/chart" uri="{C3380CC4-5D6E-409C-BE32-E72D297353CC}">
                <c16:uniqueId val="{00000003-2184-46FE-8370-2D6954F237AB}"/>
              </c:ext>
            </c:extLst>
          </c:dPt>
          <c:dPt>
            <c:idx val="2"/>
            <c:bubble3D val="0"/>
            <c:spPr>
              <a:solidFill>
                <a:schemeClr val="accent3"/>
              </a:solidFill>
              <a:ln>
                <a:noFill/>
              </a:ln>
              <a:effectLst/>
            </c:spPr>
            <c:extLst>
              <c:ext xmlns:c16="http://schemas.microsoft.com/office/drawing/2014/chart" uri="{C3380CC4-5D6E-409C-BE32-E72D297353CC}">
                <c16:uniqueId val="{00000005-2184-46FE-8370-2D6954F237AB}"/>
              </c:ext>
            </c:extLst>
          </c:dPt>
          <c:dPt>
            <c:idx val="3"/>
            <c:bubble3D val="0"/>
            <c:spPr>
              <a:solidFill>
                <a:schemeClr val="accent4"/>
              </a:solidFill>
              <a:ln>
                <a:noFill/>
              </a:ln>
              <a:effectLst/>
            </c:spPr>
            <c:extLst>
              <c:ext xmlns:c16="http://schemas.microsoft.com/office/drawing/2014/chart" uri="{C3380CC4-5D6E-409C-BE32-E72D297353CC}">
                <c16:uniqueId val="{00000007-2184-46FE-8370-2D6954F237AB}"/>
              </c:ext>
            </c:extLst>
          </c:dPt>
          <c:dLbls>
            <c:dLbl>
              <c:idx val="0"/>
              <c:layout>
                <c:manualLayout>
                  <c:x val="-6.802324491478863E-2"/>
                  <c:y val="-2.913967804753014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84-46FE-8370-2D6954F237AB}"/>
                </c:ext>
              </c:extLst>
            </c:dLbl>
            <c:dLbl>
              <c:idx val="1"/>
              <c:layout>
                <c:manualLayout>
                  <c:x val="5.2325573011375769E-2"/>
                  <c:y val="2.081405574823576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84-46FE-8370-2D6954F237AB}"/>
                </c:ext>
              </c:extLst>
            </c:dLbl>
            <c:dLbl>
              <c:idx val="2"/>
              <c:layout>
                <c:manualLayout>
                  <c:x val="-1.3091604123480122E-2"/>
                  <c:y val="-0.18066634765710177"/>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84-46FE-8370-2D6954F237AB}"/>
                </c:ext>
              </c:extLst>
            </c:dLbl>
            <c:dLbl>
              <c:idx val="3"/>
              <c:layout>
                <c:manualLayout>
                  <c:x val="-0.10465114602275179"/>
                  <c:y val="3.330248919717725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184-46FE-8370-2D6954F237A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'Proyectos 2'!$J$21:$J$24</c:f>
              <c:strCache>
                <c:ptCount val="4"/>
                <c:pt idx="0">
                  <c:v>Estratégico</c:v>
                </c:pt>
                <c:pt idx="1">
                  <c:v>Operativo 1</c:v>
                </c:pt>
                <c:pt idx="2">
                  <c:v>Operativo 2</c:v>
                </c:pt>
                <c:pt idx="3">
                  <c:v>Sin proyecto</c:v>
                </c:pt>
              </c:strCache>
            </c:strRef>
          </c:cat>
          <c:val>
            <c:numRef>
              <c:f>'Proyectos 2'!$L$21:$L$24</c:f>
              <c:numCache>
                <c:formatCode>0.00%</c:formatCode>
                <c:ptCount val="4"/>
                <c:pt idx="0">
                  <c:v>6.5073591882029463E-2</c:v>
                </c:pt>
                <c:pt idx="1">
                  <c:v>1.8211045710021179E-2</c:v>
                </c:pt>
                <c:pt idx="2">
                  <c:v>0.85932463926218561</c:v>
                </c:pt>
                <c:pt idx="3">
                  <c:v>5.7390723145763739E-2</c:v>
                </c:pt>
              </c:numCache>
            </c:numRef>
          </c:val>
          <c:extLst>
            <c:ext xmlns:c16="http://schemas.microsoft.com/office/drawing/2014/chart" uri="{C3380CC4-5D6E-409C-BE32-E72D297353CC}">
              <c16:uniqueId val="{00000008-2184-46FE-8370-2D6954F237A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214104-5AAA-4DA1-874E-CB4D97596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579</Pages>
  <Words>142238</Words>
  <Characters>782312</Characters>
  <Application>Microsoft Office Word</Application>
  <DocSecurity>4</DocSecurity>
  <Lines>6519</Lines>
  <Paragraphs>1845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922705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Secretaría General de la Corte - Comunicaciones - Isidro Quesada Castillo</dc:creator>
  <cp:keywords/>
  <dc:description/>
  <cp:lastModifiedBy>Paulo Mena Quesada (internet por Jones y Planificación)</cp:lastModifiedBy>
  <cp:revision>2</cp:revision>
  <dcterms:created xsi:type="dcterms:W3CDTF">2023-06-19T17:25:00Z</dcterms:created>
  <dcterms:modified xsi:type="dcterms:W3CDTF">2023-06-19T17:25:00Z</dcterms:modified>
</cp:coreProperties>
</file>